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DD1F2D" w14:textId="77777777" w:rsidR="00B50E11" w:rsidRDefault="00B50E11" w:rsidP="00C80F29">
      <w:pPr>
        <w:pStyle w:val="Heading2"/>
        <w:jc w:val="center"/>
      </w:pPr>
      <w:r>
        <w:rPr>
          <w:noProof/>
        </w:rPr>
        <w:drawing>
          <wp:inline distT="0" distB="0" distL="0" distR="0" wp14:anchorId="6B5B6C71" wp14:editId="2D5C227D">
            <wp:extent cx="1495425" cy="1495425"/>
            <wp:effectExtent l="0" t="0" r="3175" b="3175"/>
            <wp:docPr id="1073741825"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8"/>
                    <a:stretch>
                      <a:fillRect/>
                    </a:stretch>
                  </pic:blipFill>
                  <pic:spPr>
                    <a:xfrm>
                      <a:off x="0" y="0"/>
                      <a:ext cx="1495425" cy="1495425"/>
                    </a:xfrm>
                    <a:prstGeom prst="rect">
                      <a:avLst/>
                    </a:prstGeom>
                    <a:ln w="12700" cap="flat">
                      <a:noFill/>
                      <a:miter lim="400000"/>
                    </a:ln>
                    <a:effectLst/>
                  </pic:spPr>
                </pic:pic>
              </a:graphicData>
            </a:graphic>
          </wp:inline>
        </w:drawing>
      </w:r>
    </w:p>
    <w:p w14:paraId="1D01E514" w14:textId="52A01189" w:rsidR="00B50E11" w:rsidRPr="0031449E" w:rsidRDefault="00B50E11" w:rsidP="00B50E11">
      <w:pPr>
        <w:pStyle w:val="Body"/>
        <w:jc w:val="center"/>
        <w:outlineLvl w:val="0"/>
        <w:rPr>
          <w:rFonts w:cs="Arial"/>
          <w:b/>
          <w:bCs/>
          <w:sz w:val="24"/>
          <w:szCs w:val="24"/>
        </w:rPr>
      </w:pPr>
      <w:r w:rsidRPr="0031449E">
        <w:rPr>
          <w:rFonts w:cs="Arial"/>
          <w:b/>
          <w:bCs/>
          <w:sz w:val="24"/>
          <w:szCs w:val="24"/>
          <w:u w:val="single"/>
        </w:rPr>
        <w:t>IN THE HIGH COURT OF SOUTH AFRICA</w:t>
      </w:r>
    </w:p>
    <w:p w14:paraId="350B431D" w14:textId="7A137714" w:rsidR="00C519B2" w:rsidRPr="004A0230" w:rsidRDefault="00B50E11" w:rsidP="004A0230">
      <w:pPr>
        <w:pStyle w:val="Body"/>
        <w:jc w:val="center"/>
        <w:rPr>
          <w:rFonts w:cs="Arial"/>
          <w:b/>
          <w:bCs/>
          <w:sz w:val="24"/>
          <w:szCs w:val="24"/>
          <w:u w:val="single"/>
        </w:rPr>
      </w:pPr>
      <w:r w:rsidRPr="0031449E">
        <w:rPr>
          <w:rFonts w:cs="Arial"/>
          <w:b/>
          <w:bCs/>
          <w:sz w:val="24"/>
          <w:szCs w:val="24"/>
          <w:u w:val="single"/>
          <w:lang w:val="de-DE"/>
        </w:rPr>
        <w:t>(GAUTENG DIVISION, PRETORIA)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98"/>
      </w:tblGrid>
      <w:tr w:rsidR="00C519B2" w:rsidRPr="004164F3" w14:paraId="7564B942" w14:textId="77777777" w:rsidTr="00F41E52">
        <w:trPr>
          <w:trHeight w:val="2205"/>
        </w:trPr>
        <w:tc>
          <w:tcPr>
            <w:tcW w:w="3998" w:type="dxa"/>
          </w:tcPr>
          <w:p w14:paraId="0C1A8C99" w14:textId="77777777" w:rsidR="00C519B2" w:rsidRPr="004164F3" w:rsidRDefault="00C519B2" w:rsidP="00C64B6A">
            <w:pPr>
              <w:rPr>
                <w:rFonts w:ascii="Arial Unicode MS" w:eastAsia="Arial Unicode MS" w:hAnsi="Arial Unicode MS" w:cs="Arial Unicode MS"/>
                <w:b/>
                <w:sz w:val="16"/>
                <w:szCs w:val="16"/>
              </w:rPr>
            </w:pPr>
            <w:r w:rsidRPr="004164F3">
              <w:rPr>
                <w:rFonts w:ascii="Arial Unicode MS" w:eastAsia="Arial Unicode MS" w:hAnsi="Arial Unicode MS" w:cs="Arial Unicode MS"/>
                <w:b/>
                <w:sz w:val="16"/>
                <w:szCs w:val="16"/>
              </w:rPr>
              <w:t>DELETE WHICHEVER IS NOT APPLICABLE</w:t>
            </w:r>
          </w:p>
          <w:p w14:paraId="719093FC" w14:textId="40B1E179" w:rsidR="00C519B2" w:rsidRPr="004164F3" w:rsidRDefault="00C519B2" w:rsidP="00C64B6A">
            <w:pPr>
              <w:rPr>
                <w:rFonts w:ascii="Arial Unicode MS" w:eastAsia="Arial Unicode MS" w:hAnsi="Arial Unicode MS" w:cs="Arial Unicode MS"/>
                <w:sz w:val="16"/>
                <w:szCs w:val="16"/>
              </w:rPr>
            </w:pPr>
            <w:r w:rsidRPr="004164F3">
              <w:rPr>
                <w:rFonts w:ascii="Arial Unicode MS" w:eastAsia="Arial Unicode MS" w:hAnsi="Arial Unicode MS" w:cs="Arial Unicode MS"/>
                <w:sz w:val="16"/>
                <w:szCs w:val="16"/>
              </w:rPr>
              <w:t>(1)</w:t>
            </w:r>
            <w:r w:rsidR="00F84D9F">
              <w:rPr>
                <w:rFonts w:ascii="Arial Unicode MS" w:eastAsia="Arial Unicode MS" w:hAnsi="Arial Unicode MS" w:cs="Arial Unicode MS"/>
                <w:sz w:val="16"/>
                <w:szCs w:val="16"/>
              </w:rPr>
              <w:t xml:space="preserve">  </w:t>
            </w:r>
            <w:r w:rsidRPr="004164F3">
              <w:rPr>
                <w:rFonts w:ascii="Arial Unicode MS" w:eastAsia="Arial Unicode MS" w:hAnsi="Arial Unicode MS" w:cs="Arial Unicode MS"/>
                <w:sz w:val="16"/>
                <w:szCs w:val="16"/>
              </w:rPr>
              <w:t>REPORTABLE:</w:t>
            </w:r>
            <w:r w:rsidRPr="00EB6125">
              <w:rPr>
                <w:rFonts w:ascii="Arial Unicode MS" w:eastAsia="Arial Unicode MS" w:hAnsi="Arial Unicode MS" w:cs="Arial Unicode MS"/>
                <w:strike/>
                <w:sz w:val="16"/>
                <w:szCs w:val="16"/>
              </w:rPr>
              <w:tab/>
              <w:t>YES</w:t>
            </w:r>
            <w:r w:rsidRPr="004164F3">
              <w:rPr>
                <w:rFonts w:ascii="Arial Unicode MS" w:eastAsia="Arial Unicode MS" w:hAnsi="Arial Unicode MS" w:cs="Arial Unicode MS"/>
                <w:sz w:val="16"/>
                <w:szCs w:val="16"/>
              </w:rPr>
              <w:t>/</w:t>
            </w:r>
            <w:r w:rsidRPr="00EB6125">
              <w:rPr>
                <w:rFonts w:ascii="Arial Unicode MS" w:eastAsia="Arial Unicode MS" w:hAnsi="Arial Unicode MS" w:cs="Arial Unicode MS"/>
                <w:b/>
                <w:bCs/>
                <w:sz w:val="16"/>
                <w:szCs w:val="16"/>
              </w:rPr>
              <w:t>NO</w:t>
            </w:r>
          </w:p>
          <w:p w14:paraId="528A128C" w14:textId="00B73AE2" w:rsidR="00C519B2" w:rsidRPr="004164F3" w:rsidRDefault="00C519B2" w:rsidP="00C64B6A">
            <w:pPr>
              <w:rPr>
                <w:rFonts w:ascii="Arial Unicode MS" w:eastAsia="Arial Unicode MS" w:hAnsi="Arial Unicode MS" w:cs="Arial Unicode MS"/>
                <w:sz w:val="16"/>
                <w:szCs w:val="16"/>
              </w:rPr>
            </w:pPr>
            <w:r w:rsidRPr="004164F3">
              <w:rPr>
                <w:rFonts w:ascii="Arial Unicode MS" w:eastAsia="Arial Unicode MS" w:hAnsi="Arial Unicode MS" w:cs="Arial Unicode MS"/>
                <w:sz w:val="16"/>
                <w:szCs w:val="16"/>
              </w:rPr>
              <w:t>(2)</w:t>
            </w:r>
            <w:r w:rsidR="00F84D9F">
              <w:rPr>
                <w:rFonts w:ascii="Arial Unicode MS" w:eastAsia="Arial Unicode MS" w:hAnsi="Arial Unicode MS" w:cs="Arial Unicode MS"/>
                <w:sz w:val="16"/>
                <w:szCs w:val="16"/>
              </w:rPr>
              <w:t xml:space="preserve">  </w:t>
            </w:r>
            <w:r w:rsidRPr="004164F3">
              <w:rPr>
                <w:rFonts w:ascii="Arial Unicode MS" w:eastAsia="Arial Unicode MS" w:hAnsi="Arial Unicode MS" w:cs="Arial Unicode MS"/>
                <w:sz w:val="16"/>
                <w:szCs w:val="16"/>
              </w:rPr>
              <w:t xml:space="preserve">OF INTEREST TO OTHER JUDGES: </w:t>
            </w:r>
            <w:r w:rsidR="00F84D9F">
              <w:rPr>
                <w:rFonts w:ascii="Arial Unicode MS" w:eastAsia="Arial Unicode MS" w:hAnsi="Arial Unicode MS" w:cs="Arial Unicode MS"/>
                <w:sz w:val="16"/>
                <w:szCs w:val="16"/>
              </w:rPr>
              <w:t xml:space="preserve">  </w:t>
            </w:r>
            <w:r w:rsidRPr="00EB6125">
              <w:rPr>
                <w:rFonts w:ascii="Arial Unicode MS" w:eastAsia="Arial Unicode MS" w:hAnsi="Arial Unicode MS" w:cs="Arial Unicode MS"/>
                <w:strike/>
                <w:sz w:val="16"/>
                <w:szCs w:val="16"/>
              </w:rPr>
              <w:t>YES</w:t>
            </w:r>
            <w:r w:rsidRPr="00EB6125">
              <w:rPr>
                <w:rFonts w:ascii="Arial Unicode MS" w:eastAsia="Arial Unicode MS" w:hAnsi="Arial Unicode MS" w:cs="Arial Unicode MS"/>
                <w:b/>
                <w:bCs/>
                <w:sz w:val="16"/>
                <w:szCs w:val="16"/>
              </w:rPr>
              <w:t>/NO</w:t>
            </w:r>
          </w:p>
          <w:p w14:paraId="15F66332" w14:textId="0867F1E2" w:rsidR="00C519B2" w:rsidRPr="004164F3" w:rsidRDefault="00C519B2" w:rsidP="00C64B6A">
            <w:pPr>
              <w:rPr>
                <w:rFonts w:ascii="Arial Unicode MS" w:eastAsia="Arial Unicode MS" w:hAnsi="Arial Unicode MS" w:cs="Arial Unicode MS"/>
                <w:sz w:val="16"/>
                <w:szCs w:val="16"/>
              </w:rPr>
            </w:pPr>
            <w:r w:rsidRPr="004164F3">
              <w:rPr>
                <w:rFonts w:ascii="Arial Unicode MS" w:eastAsia="Arial Unicode MS" w:hAnsi="Arial Unicode MS" w:cs="Arial Unicode MS"/>
                <w:sz w:val="16"/>
                <w:szCs w:val="16"/>
              </w:rPr>
              <w:t>(3)</w:t>
            </w:r>
            <w:r w:rsidR="00F84D9F">
              <w:rPr>
                <w:rFonts w:ascii="Arial Unicode MS" w:eastAsia="Arial Unicode MS" w:hAnsi="Arial Unicode MS" w:cs="Arial Unicode MS"/>
                <w:sz w:val="16"/>
                <w:szCs w:val="16"/>
              </w:rPr>
              <w:t xml:space="preserve">  </w:t>
            </w:r>
            <w:r w:rsidRPr="004164F3">
              <w:rPr>
                <w:rFonts w:ascii="Arial Unicode MS" w:eastAsia="Arial Unicode MS" w:hAnsi="Arial Unicode MS" w:cs="Arial Unicode MS"/>
                <w:sz w:val="16"/>
                <w:szCs w:val="16"/>
              </w:rPr>
              <w:t>REVISED</w:t>
            </w:r>
            <w:r w:rsidR="00EB6125">
              <w:rPr>
                <w:rFonts w:ascii="Arial Unicode MS" w:eastAsia="Arial Unicode MS" w:hAnsi="Arial Unicode MS" w:cs="Arial Unicode MS"/>
                <w:sz w:val="16"/>
                <w:szCs w:val="16"/>
              </w:rPr>
              <w:t xml:space="preserve"> </w:t>
            </w:r>
            <w:r w:rsidR="00EB6125" w:rsidRPr="00EB6125">
              <w:rPr>
                <w:rFonts w:ascii="Arial Unicode MS" w:eastAsia="Arial Unicode MS" w:hAnsi="Arial Unicode MS" w:cs="Arial Unicode MS"/>
                <w:b/>
                <w:bCs/>
                <w:sz w:val="16"/>
                <w:szCs w:val="16"/>
              </w:rPr>
              <w:t>NO</w:t>
            </w:r>
          </w:p>
          <w:p w14:paraId="284842F1" w14:textId="787A9494" w:rsidR="00C519B2" w:rsidRPr="004164F3" w:rsidRDefault="00C519B2" w:rsidP="00C64B6A">
            <w:pPr>
              <w:spacing w:before="120"/>
              <w:rPr>
                <w:rFonts w:ascii="Arial Unicode MS" w:eastAsia="Arial Unicode MS" w:hAnsi="Arial Unicode MS" w:cs="Arial Unicode MS"/>
                <w:sz w:val="16"/>
                <w:szCs w:val="16"/>
              </w:rPr>
            </w:pPr>
            <w:r w:rsidRPr="004164F3">
              <w:rPr>
                <w:rFonts w:ascii="Arial Unicode MS" w:eastAsia="Arial Unicode MS" w:hAnsi="Arial Unicode MS" w:cs="Arial Unicode MS"/>
                <w:sz w:val="16"/>
                <w:szCs w:val="16"/>
              </w:rPr>
              <w:t>DATE:</w:t>
            </w:r>
            <w:r w:rsidRPr="004164F3">
              <w:rPr>
                <w:rFonts w:ascii="Arial Unicode MS" w:eastAsia="Arial Unicode MS" w:hAnsi="Arial Unicode MS" w:cs="Arial Unicode MS"/>
                <w:sz w:val="16"/>
                <w:szCs w:val="16"/>
              </w:rPr>
              <w:tab/>
            </w:r>
            <w:r w:rsidR="00D01E98" w:rsidRPr="004A0230">
              <w:rPr>
                <w:rFonts w:ascii="Arial" w:eastAsia="Arial Unicode MS" w:hAnsi="Arial" w:cs="Arial"/>
                <w:b/>
                <w:bCs/>
                <w:sz w:val="20"/>
                <w:szCs w:val="20"/>
              </w:rPr>
              <w:t xml:space="preserve">1 August </w:t>
            </w:r>
            <w:r w:rsidR="00EB6125" w:rsidRPr="004A0230">
              <w:rPr>
                <w:rFonts w:ascii="Arial" w:eastAsia="Arial Unicode MS" w:hAnsi="Arial" w:cs="Arial"/>
                <w:b/>
                <w:bCs/>
                <w:sz w:val="20"/>
                <w:szCs w:val="20"/>
              </w:rPr>
              <w:t>2022</w:t>
            </w:r>
            <w:r w:rsidR="004A0230">
              <w:rPr>
                <w:rFonts w:ascii="Arial Unicode MS" w:eastAsia="Arial Unicode MS" w:hAnsi="Arial Unicode MS" w:cs="Arial Unicode MS"/>
                <w:sz w:val="16"/>
                <w:szCs w:val="16"/>
              </w:rPr>
              <w:t xml:space="preserve"> </w:t>
            </w:r>
            <w:r>
              <w:rPr>
                <w:rFonts w:ascii="Arial Unicode MS" w:eastAsia="Arial Unicode MS" w:hAnsi="Arial Unicode MS" w:cs="Arial Unicode MS"/>
                <w:sz w:val="16"/>
                <w:szCs w:val="16"/>
              </w:rPr>
              <w:br/>
            </w:r>
          </w:p>
          <w:p w14:paraId="773CDFDB" w14:textId="5A2C32A3" w:rsidR="00C519B2" w:rsidRPr="004164F3" w:rsidRDefault="00C519B2" w:rsidP="00C64B6A">
            <w:pPr>
              <w:rPr>
                <w:rFonts w:ascii="Arial Unicode MS" w:eastAsia="Arial Unicode MS" w:hAnsi="Arial Unicode MS" w:cs="Arial Unicode MS"/>
                <w:sz w:val="16"/>
                <w:szCs w:val="16"/>
              </w:rPr>
            </w:pPr>
            <w:r w:rsidRPr="004164F3">
              <w:rPr>
                <w:rFonts w:ascii="Arial Unicode MS" w:eastAsia="Arial Unicode MS" w:hAnsi="Arial Unicode MS" w:cs="Arial Unicode MS"/>
                <w:sz w:val="16"/>
                <w:szCs w:val="16"/>
              </w:rPr>
              <w:t>SIGNATURE:………………………………</w:t>
            </w:r>
          </w:p>
        </w:tc>
      </w:tr>
    </w:tbl>
    <w:p w14:paraId="5AB50CF5" w14:textId="77777777" w:rsidR="004A0230" w:rsidRDefault="004A0230" w:rsidP="004A0230">
      <w:pPr>
        <w:pStyle w:val="Body"/>
        <w:spacing w:line="360" w:lineRule="auto"/>
        <w:jc w:val="right"/>
        <w:outlineLvl w:val="0"/>
        <w:rPr>
          <w:rFonts w:cs="Arial"/>
          <w:sz w:val="24"/>
          <w:szCs w:val="24"/>
        </w:rPr>
      </w:pPr>
    </w:p>
    <w:p w14:paraId="46E43E32" w14:textId="3900471E" w:rsidR="00B50E11" w:rsidRPr="0031449E" w:rsidRDefault="00B50E11" w:rsidP="004A0230">
      <w:pPr>
        <w:pStyle w:val="Body"/>
        <w:spacing w:line="360" w:lineRule="auto"/>
        <w:jc w:val="right"/>
        <w:outlineLvl w:val="0"/>
        <w:rPr>
          <w:rFonts w:cs="Arial"/>
          <w:sz w:val="24"/>
          <w:szCs w:val="24"/>
        </w:rPr>
      </w:pPr>
      <w:r w:rsidRPr="0031449E">
        <w:rPr>
          <w:rFonts w:cs="Arial"/>
          <w:sz w:val="24"/>
          <w:szCs w:val="24"/>
        </w:rPr>
        <w:tab/>
      </w:r>
      <w:r w:rsidRPr="0031449E">
        <w:rPr>
          <w:rFonts w:cs="Arial"/>
          <w:b/>
          <w:bCs/>
          <w:sz w:val="24"/>
          <w:szCs w:val="24"/>
        </w:rPr>
        <w:t xml:space="preserve">Case No. </w:t>
      </w:r>
      <w:r w:rsidR="0083691E">
        <w:rPr>
          <w:rFonts w:cs="Arial"/>
          <w:b/>
          <w:bCs/>
          <w:sz w:val="24"/>
          <w:szCs w:val="24"/>
        </w:rPr>
        <w:t>15703/2021</w:t>
      </w:r>
    </w:p>
    <w:tbl>
      <w:tblPr>
        <w:tblStyle w:val="TableGrid"/>
        <w:tblW w:w="96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4100"/>
      </w:tblGrid>
      <w:tr w:rsidR="00B50E11" w:rsidRPr="0031449E" w14:paraId="22698168" w14:textId="77777777" w:rsidTr="004A0230">
        <w:tc>
          <w:tcPr>
            <w:tcW w:w="5529" w:type="dxa"/>
          </w:tcPr>
          <w:p w14:paraId="30D56682" w14:textId="77777777" w:rsidR="004A0230" w:rsidRDefault="004A0230" w:rsidP="004A0230">
            <w:pPr>
              <w:pStyle w:val="Body"/>
              <w:spacing w:line="360" w:lineRule="auto"/>
              <w:jc w:val="both"/>
              <w:rPr>
                <w:rFonts w:cs="Arial"/>
                <w:sz w:val="24"/>
                <w:szCs w:val="24"/>
              </w:rPr>
            </w:pPr>
          </w:p>
          <w:p w14:paraId="3D32D802" w14:textId="6EBF02A5" w:rsidR="00B50E11" w:rsidRPr="0031449E" w:rsidRDefault="00B50E11" w:rsidP="004A0230">
            <w:pPr>
              <w:pStyle w:val="Body"/>
              <w:spacing w:line="360" w:lineRule="auto"/>
              <w:jc w:val="both"/>
              <w:rPr>
                <w:rFonts w:cs="Arial"/>
                <w:sz w:val="24"/>
                <w:szCs w:val="24"/>
              </w:rPr>
            </w:pPr>
            <w:r w:rsidRPr="0031449E">
              <w:rPr>
                <w:rFonts w:cs="Arial"/>
                <w:sz w:val="24"/>
                <w:szCs w:val="24"/>
              </w:rPr>
              <w:t>In the matter between:</w:t>
            </w:r>
          </w:p>
        </w:tc>
        <w:tc>
          <w:tcPr>
            <w:tcW w:w="4100" w:type="dxa"/>
          </w:tcPr>
          <w:p w14:paraId="6295A861" w14:textId="77777777" w:rsidR="00B50E11" w:rsidRPr="0031449E" w:rsidRDefault="00B50E11" w:rsidP="004A023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cs="Arial"/>
                <w:b/>
                <w:sz w:val="24"/>
                <w:szCs w:val="24"/>
              </w:rPr>
            </w:pPr>
          </w:p>
        </w:tc>
      </w:tr>
      <w:tr w:rsidR="00B50E11" w:rsidRPr="0031449E" w14:paraId="4638A8A4" w14:textId="77777777" w:rsidTr="004A0230">
        <w:trPr>
          <w:trHeight w:val="1045"/>
        </w:trPr>
        <w:tc>
          <w:tcPr>
            <w:tcW w:w="5529" w:type="dxa"/>
          </w:tcPr>
          <w:p w14:paraId="2456782D" w14:textId="77777777" w:rsidR="00B50E11" w:rsidRDefault="00B50E11" w:rsidP="004A023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cs="Arial"/>
                <w:sz w:val="24"/>
                <w:szCs w:val="24"/>
              </w:rPr>
            </w:pPr>
          </w:p>
          <w:p w14:paraId="548AA6FE" w14:textId="5CA027CB" w:rsidR="007F7FED" w:rsidRPr="0083691E" w:rsidRDefault="0083691E" w:rsidP="004A023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cs="Arial"/>
                <w:b/>
                <w:bCs/>
                <w:sz w:val="24"/>
                <w:szCs w:val="24"/>
              </w:rPr>
            </w:pPr>
            <w:r w:rsidRPr="0083691E">
              <w:rPr>
                <w:rFonts w:cs="Arial"/>
                <w:b/>
                <w:bCs/>
                <w:sz w:val="24"/>
                <w:szCs w:val="24"/>
              </w:rPr>
              <w:t>DEIGHTON, MICHAEL EDWARD</w:t>
            </w:r>
          </w:p>
        </w:tc>
        <w:tc>
          <w:tcPr>
            <w:tcW w:w="4100" w:type="dxa"/>
          </w:tcPr>
          <w:p w14:paraId="66354F6A" w14:textId="77777777" w:rsidR="00B50E11" w:rsidRPr="004A0230" w:rsidRDefault="00B50E11" w:rsidP="004A023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right"/>
              <w:rPr>
                <w:rFonts w:cs="Arial"/>
                <w:b/>
                <w:sz w:val="24"/>
                <w:szCs w:val="24"/>
              </w:rPr>
            </w:pPr>
          </w:p>
          <w:p w14:paraId="302CEB3E" w14:textId="77777777" w:rsidR="00B50E11" w:rsidRDefault="000218AC" w:rsidP="004A023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right"/>
              <w:rPr>
                <w:rFonts w:cs="Arial"/>
                <w:b/>
                <w:sz w:val="24"/>
                <w:szCs w:val="24"/>
              </w:rPr>
            </w:pPr>
            <w:r w:rsidRPr="004A0230">
              <w:rPr>
                <w:rFonts w:cs="Arial"/>
                <w:b/>
                <w:sz w:val="24"/>
                <w:szCs w:val="24"/>
              </w:rPr>
              <w:t>APPLICANT</w:t>
            </w:r>
          </w:p>
          <w:p w14:paraId="263479FD" w14:textId="65A235B5" w:rsidR="004A0230" w:rsidRPr="004A0230" w:rsidRDefault="004A0230" w:rsidP="004A023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right"/>
              <w:rPr>
                <w:rFonts w:cs="Arial"/>
                <w:b/>
                <w:sz w:val="24"/>
                <w:szCs w:val="24"/>
              </w:rPr>
            </w:pPr>
            <w:r>
              <w:rPr>
                <w:rFonts w:cs="Arial"/>
                <w:b/>
                <w:sz w:val="24"/>
                <w:szCs w:val="24"/>
              </w:rPr>
              <w:t>(Respondent in leave to appeal)</w:t>
            </w:r>
          </w:p>
        </w:tc>
      </w:tr>
      <w:tr w:rsidR="00B50E11" w:rsidRPr="0031449E" w14:paraId="2DE3831D" w14:textId="77777777" w:rsidTr="004A0230">
        <w:tc>
          <w:tcPr>
            <w:tcW w:w="5529" w:type="dxa"/>
          </w:tcPr>
          <w:p w14:paraId="06AA6B3B" w14:textId="7CD9CC68" w:rsidR="00B50E11" w:rsidRPr="00F43C52" w:rsidRDefault="00B50E11" w:rsidP="004A0230">
            <w:pPr>
              <w:pStyle w:val="Body"/>
              <w:spacing w:line="360" w:lineRule="auto"/>
              <w:jc w:val="both"/>
              <w:rPr>
                <w:rFonts w:cs="Arial"/>
                <w:b/>
                <w:sz w:val="24"/>
                <w:szCs w:val="24"/>
              </w:rPr>
            </w:pPr>
          </w:p>
          <w:p w14:paraId="52E06D21" w14:textId="65F278A7" w:rsidR="00B50E11" w:rsidRPr="0031449E" w:rsidRDefault="00416EA1" w:rsidP="004A0230">
            <w:pPr>
              <w:pStyle w:val="Body"/>
              <w:spacing w:line="360" w:lineRule="auto"/>
              <w:jc w:val="both"/>
              <w:rPr>
                <w:rFonts w:eastAsia="Tahoma" w:cs="Arial"/>
                <w:sz w:val="24"/>
                <w:szCs w:val="24"/>
              </w:rPr>
            </w:pPr>
            <w:r w:rsidRPr="0031449E">
              <w:rPr>
                <w:rFonts w:cs="Arial"/>
                <w:sz w:val="24"/>
                <w:szCs w:val="24"/>
              </w:rPr>
              <w:t>A</w:t>
            </w:r>
            <w:r w:rsidR="00B50E11" w:rsidRPr="0031449E">
              <w:rPr>
                <w:rFonts w:cs="Arial"/>
                <w:sz w:val="24"/>
                <w:szCs w:val="24"/>
              </w:rPr>
              <w:t>nd</w:t>
            </w:r>
          </w:p>
        </w:tc>
        <w:tc>
          <w:tcPr>
            <w:tcW w:w="4100" w:type="dxa"/>
          </w:tcPr>
          <w:p w14:paraId="06C77BC2" w14:textId="032FD205" w:rsidR="00B50E11" w:rsidRPr="004A0230" w:rsidRDefault="00B50E11" w:rsidP="004A023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right"/>
              <w:rPr>
                <w:rFonts w:cs="Arial"/>
                <w:b/>
                <w:sz w:val="24"/>
                <w:szCs w:val="24"/>
              </w:rPr>
            </w:pPr>
          </w:p>
        </w:tc>
      </w:tr>
      <w:tr w:rsidR="00B50E11" w:rsidRPr="0031449E" w14:paraId="4829D036" w14:textId="77777777" w:rsidTr="004A0230">
        <w:tc>
          <w:tcPr>
            <w:tcW w:w="5529" w:type="dxa"/>
          </w:tcPr>
          <w:p w14:paraId="0C29CDE0" w14:textId="77777777" w:rsidR="00B50E11" w:rsidRDefault="00B50E11" w:rsidP="004A023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cs="Arial"/>
                <w:b/>
                <w:bCs/>
                <w:sz w:val="24"/>
                <w:szCs w:val="24"/>
                <w:lang w:val="de-DE"/>
              </w:rPr>
            </w:pPr>
          </w:p>
          <w:p w14:paraId="480DF639" w14:textId="1AF35FB0" w:rsidR="001F07DD" w:rsidRDefault="0083691E" w:rsidP="004A023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right="-405"/>
              <w:jc w:val="both"/>
              <w:rPr>
                <w:rFonts w:cs="Arial"/>
                <w:b/>
                <w:bCs/>
                <w:sz w:val="24"/>
                <w:szCs w:val="24"/>
                <w:lang w:val="de-DE"/>
              </w:rPr>
            </w:pPr>
            <w:r>
              <w:rPr>
                <w:rFonts w:cs="Arial"/>
                <w:b/>
                <w:bCs/>
                <w:sz w:val="24"/>
                <w:szCs w:val="24"/>
                <w:lang w:val="de-DE"/>
              </w:rPr>
              <w:t>FINANCIAL SECTOR CONDUCT AUTHORITY</w:t>
            </w:r>
          </w:p>
          <w:p w14:paraId="3ACBB1CA" w14:textId="7EECA570" w:rsidR="00B50E11" w:rsidRPr="00DA7A8D" w:rsidRDefault="004A0230" w:rsidP="004A023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right="-405"/>
              <w:jc w:val="both"/>
              <w:rPr>
                <w:rFonts w:cs="Arial"/>
                <w:b/>
                <w:bCs/>
                <w:sz w:val="24"/>
                <w:szCs w:val="24"/>
                <w:lang w:val="de-DE"/>
              </w:rPr>
            </w:pPr>
            <w:r>
              <w:rPr>
                <w:rFonts w:cs="Arial"/>
                <w:b/>
                <w:bCs/>
                <w:sz w:val="24"/>
                <w:szCs w:val="24"/>
                <w:lang w:val="de-DE"/>
              </w:rPr>
              <w:t>AND FOUR OTHERS</w:t>
            </w:r>
          </w:p>
        </w:tc>
        <w:tc>
          <w:tcPr>
            <w:tcW w:w="4100" w:type="dxa"/>
          </w:tcPr>
          <w:p w14:paraId="33705AB1" w14:textId="77777777" w:rsidR="00B50E11" w:rsidRPr="004A0230" w:rsidRDefault="00B50E11" w:rsidP="004A023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right"/>
              <w:rPr>
                <w:rFonts w:cs="Arial"/>
                <w:b/>
                <w:sz w:val="24"/>
                <w:szCs w:val="24"/>
              </w:rPr>
            </w:pPr>
          </w:p>
          <w:p w14:paraId="61E4D099" w14:textId="77777777" w:rsidR="00B50E11" w:rsidRDefault="001F07DD" w:rsidP="004A023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right"/>
              <w:rPr>
                <w:rFonts w:cs="Arial"/>
                <w:b/>
                <w:sz w:val="24"/>
                <w:szCs w:val="24"/>
              </w:rPr>
            </w:pPr>
            <w:r w:rsidRPr="004A0230">
              <w:rPr>
                <w:rFonts w:cs="Arial"/>
                <w:b/>
                <w:sz w:val="24"/>
                <w:szCs w:val="24"/>
              </w:rPr>
              <w:t xml:space="preserve">FIRST </w:t>
            </w:r>
            <w:r w:rsidR="000218AC" w:rsidRPr="004A0230">
              <w:rPr>
                <w:rFonts w:cs="Arial"/>
                <w:b/>
                <w:sz w:val="24"/>
                <w:szCs w:val="24"/>
              </w:rPr>
              <w:t>RESPONDENT</w:t>
            </w:r>
          </w:p>
          <w:p w14:paraId="7853F6A3" w14:textId="091B7F3B" w:rsidR="004A0230" w:rsidRPr="004A0230" w:rsidRDefault="004A0230" w:rsidP="004A023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right"/>
              <w:rPr>
                <w:rFonts w:cs="Arial"/>
                <w:b/>
                <w:sz w:val="24"/>
                <w:szCs w:val="24"/>
              </w:rPr>
            </w:pPr>
            <w:r>
              <w:rPr>
                <w:rFonts w:cs="Arial"/>
                <w:b/>
                <w:sz w:val="24"/>
                <w:szCs w:val="24"/>
              </w:rPr>
              <w:t>(Applicants in leave to appeal)</w:t>
            </w:r>
          </w:p>
        </w:tc>
      </w:tr>
    </w:tbl>
    <w:p w14:paraId="4055C6EF" w14:textId="77777777" w:rsidR="00C80F29" w:rsidRPr="0031449E" w:rsidRDefault="00C80F29" w:rsidP="004A0230">
      <w:pPr>
        <w:pStyle w:val="Body"/>
        <w:spacing w:line="360" w:lineRule="auto"/>
        <w:jc w:val="both"/>
        <w:rPr>
          <w:rFonts w:eastAsia="Tahoma" w:cs="Arial"/>
          <w:b/>
          <w:bCs/>
          <w:sz w:val="24"/>
          <w:szCs w:val="24"/>
        </w:rPr>
      </w:pPr>
    </w:p>
    <w:tbl>
      <w:tblPr>
        <w:tblStyle w:val="TableGrid"/>
        <w:tblW w:w="0" w:type="auto"/>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B50E11" w:rsidRPr="0031449E" w14:paraId="5475438F" w14:textId="77777777" w:rsidTr="006568FD">
        <w:tc>
          <w:tcPr>
            <w:tcW w:w="9350" w:type="dxa"/>
          </w:tcPr>
          <w:p w14:paraId="16C259EB" w14:textId="77777777" w:rsidR="004A0230" w:rsidRDefault="004A0230" w:rsidP="004A0230">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360" w:lineRule="auto"/>
              <w:contextualSpacing/>
              <w:jc w:val="center"/>
              <w:rPr>
                <w:rFonts w:eastAsia="Tahoma" w:cs="Arial"/>
                <w:b/>
                <w:bCs/>
                <w:sz w:val="32"/>
                <w:szCs w:val="24"/>
                <w:lang w:val="de-DE"/>
              </w:rPr>
            </w:pPr>
          </w:p>
          <w:p w14:paraId="47459BC2" w14:textId="19B6D97D" w:rsidR="00B50E11" w:rsidRPr="0027341B" w:rsidRDefault="00B50E11" w:rsidP="004A0230">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360" w:lineRule="auto"/>
              <w:contextualSpacing/>
              <w:jc w:val="center"/>
              <w:rPr>
                <w:rFonts w:eastAsia="Tahoma" w:cs="Arial"/>
                <w:b/>
                <w:bCs/>
                <w:sz w:val="24"/>
                <w:szCs w:val="24"/>
                <w:lang w:val="de-DE"/>
              </w:rPr>
            </w:pPr>
            <w:r w:rsidRPr="0027341B">
              <w:rPr>
                <w:rFonts w:eastAsia="Tahoma" w:cs="Arial"/>
                <w:b/>
                <w:bCs/>
                <w:sz w:val="32"/>
                <w:szCs w:val="24"/>
                <w:lang w:val="de-DE"/>
              </w:rPr>
              <w:t>JUDGMENT</w:t>
            </w:r>
          </w:p>
        </w:tc>
      </w:tr>
    </w:tbl>
    <w:p w14:paraId="50364444" w14:textId="77777777" w:rsidR="00C145E3" w:rsidRDefault="00C145E3" w:rsidP="00F41E52">
      <w:pPr>
        <w:pStyle w:val="Body"/>
        <w:spacing w:line="360" w:lineRule="auto"/>
        <w:jc w:val="both"/>
        <w:rPr>
          <w:b/>
          <w:sz w:val="22"/>
          <w:szCs w:val="22"/>
        </w:rPr>
      </w:pPr>
    </w:p>
    <w:p w14:paraId="31AD95DF" w14:textId="6F7A3587" w:rsidR="00B50E11" w:rsidRPr="009B5D54" w:rsidRDefault="00B50E11" w:rsidP="00F41E52">
      <w:pPr>
        <w:pStyle w:val="Body"/>
        <w:tabs>
          <w:tab w:val="center" w:pos="720"/>
          <w:tab w:val="center" w:pos="1440"/>
          <w:tab w:val="center" w:pos="2160"/>
          <w:tab w:val="center" w:pos="2880"/>
          <w:tab w:val="center" w:pos="3600"/>
          <w:tab w:val="center" w:pos="4320"/>
          <w:tab w:val="center" w:pos="5040"/>
          <w:tab w:val="center" w:pos="5760"/>
        </w:tabs>
        <w:spacing w:line="360" w:lineRule="auto"/>
        <w:jc w:val="both"/>
        <w:rPr>
          <w:b/>
          <w:sz w:val="24"/>
          <w:szCs w:val="24"/>
          <w:u w:val="single"/>
        </w:rPr>
      </w:pPr>
      <w:r w:rsidRPr="009B5D54">
        <w:rPr>
          <w:b/>
          <w:sz w:val="24"/>
          <w:szCs w:val="24"/>
          <w:u w:val="single"/>
        </w:rPr>
        <w:t>MILLAR</w:t>
      </w:r>
      <w:r w:rsidR="004075F2" w:rsidRPr="009B5D54">
        <w:rPr>
          <w:b/>
          <w:sz w:val="24"/>
          <w:szCs w:val="24"/>
          <w:u w:val="single"/>
        </w:rPr>
        <w:t xml:space="preserve"> </w:t>
      </w:r>
      <w:r w:rsidRPr="009B5D54">
        <w:rPr>
          <w:b/>
          <w:sz w:val="24"/>
          <w:szCs w:val="24"/>
          <w:u w:val="single"/>
        </w:rPr>
        <w:t>J</w:t>
      </w:r>
    </w:p>
    <w:p w14:paraId="3E64719B" w14:textId="05CA58BB" w:rsidR="00C145E3" w:rsidRDefault="00C145E3" w:rsidP="00F41E52">
      <w:pPr>
        <w:pStyle w:val="Body"/>
        <w:tabs>
          <w:tab w:val="center" w:pos="851"/>
          <w:tab w:val="center" w:pos="1440"/>
          <w:tab w:val="center" w:pos="2160"/>
          <w:tab w:val="center" w:pos="2880"/>
          <w:tab w:val="center" w:pos="3600"/>
          <w:tab w:val="center" w:pos="4320"/>
          <w:tab w:val="center" w:pos="5040"/>
          <w:tab w:val="center" w:pos="5760"/>
        </w:tabs>
        <w:spacing w:line="360" w:lineRule="auto"/>
        <w:ind w:left="851" w:hanging="851"/>
        <w:jc w:val="both"/>
        <w:rPr>
          <w:b/>
          <w:sz w:val="24"/>
          <w:szCs w:val="24"/>
          <w:u w:val="single"/>
        </w:rPr>
      </w:pPr>
    </w:p>
    <w:p w14:paraId="3EBAA6B2" w14:textId="77777777" w:rsidR="004A0230" w:rsidRPr="009B5D54" w:rsidRDefault="004A0230" w:rsidP="00F41E52">
      <w:pPr>
        <w:pStyle w:val="Body"/>
        <w:tabs>
          <w:tab w:val="center" w:pos="851"/>
          <w:tab w:val="center" w:pos="1440"/>
          <w:tab w:val="center" w:pos="2160"/>
          <w:tab w:val="center" w:pos="2880"/>
          <w:tab w:val="center" w:pos="3600"/>
          <w:tab w:val="center" w:pos="4320"/>
          <w:tab w:val="center" w:pos="5040"/>
          <w:tab w:val="center" w:pos="5760"/>
        </w:tabs>
        <w:spacing w:line="360" w:lineRule="auto"/>
        <w:ind w:left="851" w:hanging="851"/>
        <w:jc w:val="both"/>
        <w:rPr>
          <w:b/>
          <w:sz w:val="24"/>
          <w:szCs w:val="24"/>
          <w:u w:val="single"/>
        </w:rPr>
      </w:pPr>
    </w:p>
    <w:p w14:paraId="0E9F8280" w14:textId="77777777" w:rsidR="001C74A3" w:rsidRPr="001C74A3" w:rsidRDefault="00D01E98" w:rsidP="00D01E98">
      <w:pPr>
        <w:pStyle w:val="Body"/>
        <w:numPr>
          <w:ilvl w:val="0"/>
          <w:numId w:val="19"/>
        </w:numPr>
        <w:tabs>
          <w:tab w:val="center" w:pos="851"/>
          <w:tab w:val="center" w:pos="1440"/>
          <w:tab w:val="center" w:pos="2160"/>
          <w:tab w:val="center" w:pos="2880"/>
          <w:tab w:val="center" w:pos="3600"/>
          <w:tab w:val="center" w:pos="4320"/>
          <w:tab w:val="center" w:pos="5040"/>
          <w:tab w:val="center" w:pos="5760"/>
        </w:tabs>
        <w:spacing w:line="360" w:lineRule="auto"/>
        <w:ind w:left="851" w:hanging="851"/>
        <w:jc w:val="both"/>
        <w:rPr>
          <w:rFonts w:cs="Arial"/>
          <w:sz w:val="24"/>
          <w:szCs w:val="24"/>
        </w:rPr>
      </w:pPr>
      <w:r>
        <w:rPr>
          <w:bCs/>
          <w:sz w:val="24"/>
          <w:szCs w:val="24"/>
        </w:rPr>
        <w:t xml:space="preserve">This is an application for leave to appeal against a judgment and order handed down by me on 8 July 2022.  The order was as follows: </w:t>
      </w:r>
    </w:p>
    <w:p w14:paraId="71048DB8" w14:textId="77777777" w:rsidR="001C74A3" w:rsidRDefault="001C74A3" w:rsidP="001C74A3">
      <w:pPr>
        <w:pStyle w:val="Body"/>
        <w:tabs>
          <w:tab w:val="center" w:pos="851"/>
          <w:tab w:val="center" w:pos="1440"/>
          <w:tab w:val="center" w:pos="2160"/>
          <w:tab w:val="center" w:pos="2880"/>
          <w:tab w:val="center" w:pos="3600"/>
          <w:tab w:val="center" w:pos="4320"/>
          <w:tab w:val="center" w:pos="5040"/>
          <w:tab w:val="center" w:pos="5760"/>
        </w:tabs>
        <w:spacing w:line="360" w:lineRule="auto"/>
        <w:ind w:left="851"/>
        <w:jc w:val="both"/>
        <w:rPr>
          <w:bCs/>
          <w:sz w:val="24"/>
          <w:szCs w:val="24"/>
        </w:rPr>
      </w:pPr>
    </w:p>
    <w:p w14:paraId="45A6246B" w14:textId="77777777" w:rsidR="001A52F1" w:rsidRDefault="001C74A3" w:rsidP="001A52F1">
      <w:pPr>
        <w:pStyle w:val="Body"/>
        <w:tabs>
          <w:tab w:val="center" w:pos="851"/>
          <w:tab w:val="center" w:pos="1440"/>
          <w:tab w:val="center" w:pos="2160"/>
          <w:tab w:val="center" w:pos="2880"/>
          <w:tab w:val="center" w:pos="3600"/>
          <w:tab w:val="center" w:pos="4320"/>
          <w:tab w:val="center" w:pos="5040"/>
          <w:tab w:val="center" w:pos="5760"/>
        </w:tabs>
        <w:spacing w:line="360" w:lineRule="auto"/>
        <w:ind w:left="1418" w:hanging="567"/>
        <w:jc w:val="both"/>
        <w:rPr>
          <w:bCs/>
          <w:i/>
          <w:iCs/>
          <w:sz w:val="22"/>
          <w:szCs w:val="22"/>
        </w:rPr>
      </w:pPr>
      <w:r>
        <w:rPr>
          <w:bCs/>
          <w:i/>
          <w:iCs/>
          <w:sz w:val="22"/>
          <w:szCs w:val="22"/>
        </w:rPr>
        <w:t>“1.</w:t>
      </w:r>
      <w:r>
        <w:rPr>
          <w:bCs/>
          <w:i/>
          <w:iCs/>
          <w:sz w:val="22"/>
          <w:szCs w:val="22"/>
        </w:rPr>
        <w:tab/>
      </w:r>
      <w:r>
        <w:rPr>
          <w:bCs/>
          <w:i/>
          <w:iCs/>
          <w:sz w:val="22"/>
          <w:szCs w:val="22"/>
        </w:rPr>
        <w:tab/>
      </w:r>
      <w:r w:rsidRPr="001C74A3">
        <w:rPr>
          <w:bCs/>
          <w:i/>
          <w:iCs/>
          <w:sz w:val="22"/>
          <w:szCs w:val="22"/>
        </w:rPr>
        <w:t>It is declared that the investigation and/or action undertaken against the applicant pursuant to the Respondents’ investigation instruction dated 26 October 2020 is unlawful on the basis that it is procedurally unfair;</w:t>
      </w:r>
    </w:p>
    <w:p w14:paraId="751574CF" w14:textId="77777777" w:rsidR="001A52F1" w:rsidRDefault="001A52F1" w:rsidP="001A52F1">
      <w:pPr>
        <w:pStyle w:val="Body"/>
        <w:tabs>
          <w:tab w:val="center" w:pos="851"/>
          <w:tab w:val="center" w:pos="1440"/>
          <w:tab w:val="center" w:pos="2160"/>
          <w:tab w:val="center" w:pos="2880"/>
          <w:tab w:val="center" w:pos="3600"/>
          <w:tab w:val="center" w:pos="4320"/>
          <w:tab w:val="center" w:pos="5040"/>
          <w:tab w:val="center" w:pos="5760"/>
        </w:tabs>
        <w:spacing w:line="360" w:lineRule="auto"/>
        <w:ind w:left="1418" w:hanging="567"/>
        <w:jc w:val="both"/>
        <w:rPr>
          <w:bCs/>
          <w:i/>
          <w:iCs/>
          <w:sz w:val="22"/>
          <w:szCs w:val="22"/>
        </w:rPr>
      </w:pPr>
    </w:p>
    <w:p w14:paraId="4F3D8390" w14:textId="05ED0887" w:rsidR="001A52F1" w:rsidRDefault="001C74A3" w:rsidP="001A52F1">
      <w:pPr>
        <w:pStyle w:val="Body"/>
        <w:numPr>
          <w:ilvl w:val="0"/>
          <w:numId w:val="19"/>
        </w:numPr>
        <w:tabs>
          <w:tab w:val="center" w:pos="851"/>
          <w:tab w:val="center" w:pos="1440"/>
          <w:tab w:val="center" w:pos="2160"/>
          <w:tab w:val="center" w:pos="2880"/>
          <w:tab w:val="center" w:pos="3600"/>
          <w:tab w:val="center" w:pos="4320"/>
          <w:tab w:val="center" w:pos="5040"/>
          <w:tab w:val="center" w:pos="5760"/>
        </w:tabs>
        <w:spacing w:line="360" w:lineRule="auto"/>
        <w:ind w:left="1418" w:hanging="567"/>
        <w:jc w:val="both"/>
        <w:rPr>
          <w:bCs/>
          <w:i/>
          <w:iCs/>
          <w:sz w:val="22"/>
          <w:szCs w:val="22"/>
        </w:rPr>
      </w:pPr>
      <w:r w:rsidRPr="001C74A3">
        <w:rPr>
          <w:bCs/>
          <w:i/>
          <w:iCs/>
          <w:sz w:val="22"/>
          <w:szCs w:val="22"/>
        </w:rPr>
        <w:t>The investigation instituted and pursued by the Respondents against the Applicant in terms of the Financial Services Regulation Act, 9 of 2017, is reviewed and set aside on the basis that it violates the requirements of procedural fairness.</w:t>
      </w:r>
    </w:p>
    <w:p w14:paraId="716CD504" w14:textId="77777777" w:rsidR="001A52F1" w:rsidRDefault="001A52F1" w:rsidP="001A52F1">
      <w:pPr>
        <w:pStyle w:val="Body"/>
        <w:tabs>
          <w:tab w:val="center" w:pos="851"/>
          <w:tab w:val="center" w:pos="1440"/>
          <w:tab w:val="center" w:pos="2160"/>
          <w:tab w:val="center" w:pos="2880"/>
          <w:tab w:val="center" w:pos="3600"/>
          <w:tab w:val="center" w:pos="4320"/>
          <w:tab w:val="center" w:pos="5040"/>
          <w:tab w:val="center" w:pos="5760"/>
        </w:tabs>
        <w:spacing w:line="360" w:lineRule="auto"/>
        <w:ind w:left="1418" w:hanging="567"/>
        <w:jc w:val="both"/>
        <w:rPr>
          <w:bCs/>
          <w:i/>
          <w:iCs/>
          <w:sz w:val="22"/>
          <w:szCs w:val="22"/>
        </w:rPr>
      </w:pPr>
    </w:p>
    <w:p w14:paraId="0D574EA1" w14:textId="42EB12D0" w:rsidR="001C74A3" w:rsidRPr="001A52F1" w:rsidRDefault="001C74A3" w:rsidP="001A52F1">
      <w:pPr>
        <w:pStyle w:val="Body"/>
        <w:numPr>
          <w:ilvl w:val="0"/>
          <w:numId w:val="19"/>
        </w:numPr>
        <w:tabs>
          <w:tab w:val="center" w:pos="851"/>
          <w:tab w:val="center" w:pos="1440"/>
          <w:tab w:val="center" w:pos="2160"/>
          <w:tab w:val="center" w:pos="2880"/>
          <w:tab w:val="center" w:pos="3600"/>
          <w:tab w:val="center" w:pos="4320"/>
          <w:tab w:val="center" w:pos="5040"/>
          <w:tab w:val="center" w:pos="5760"/>
        </w:tabs>
        <w:spacing w:line="360" w:lineRule="auto"/>
        <w:ind w:left="1418" w:hanging="567"/>
        <w:jc w:val="both"/>
        <w:rPr>
          <w:bCs/>
          <w:i/>
          <w:iCs/>
          <w:sz w:val="22"/>
          <w:szCs w:val="22"/>
        </w:rPr>
      </w:pPr>
      <w:r w:rsidRPr="001A52F1">
        <w:rPr>
          <w:bCs/>
          <w:i/>
          <w:iCs/>
          <w:sz w:val="22"/>
          <w:szCs w:val="22"/>
        </w:rPr>
        <w:t>If the first Respondent chooses to proceed afresh with the investigation against the Applicant, then that must only be done provided that:</w:t>
      </w:r>
    </w:p>
    <w:p w14:paraId="2021F9AB" w14:textId="1BEB4DFB" w:rsidR="001C74A3" w:rsidRPr="001C74A3" w:rsidRDefault="001C74A3" w:rsidP="001C74A3">
      <w:pPr>
        <w:pStyle w:val="Body"/>
        <w:tabs>
          <w:tab w:val="center" w:pos="851"/>
          <w:tab w:val="center" w:pos="1440"/>
          <w:tab w:val="center" w:pos="2160"/>
          <w:tab w:val="center" w:pos="2880"/>
          <w:tab w:val="center" w:pos="3600"/>
          <w:tab w:val="center" w:pos="4320"/>
          <w:tab w:val="center" w:pos="5040"/>
          <w:tab w:val="center" w:pos="5760"/>
        </w:tabs>
        <w:spacing w:line="360" w:lineRule="auto"/>
        <w:ind w:left="720" w:hanging="589"/>
        <w:jc w:val="both"/>
        <w:rPr>
          <w:bCs/>
          <w:i/>
          <w:iCs/>
          <w:sz w:val="22"/>
          <w:szCs w:val="22"/>
        </w:rPr>
      </w:pPr>
    </w:p>
    <w:p w14:paraId="733EEE8A" w14:textId="5052131A" w:rsidR="001A52F1" w:rsidRDefault="001C74A3" w:rsidP="001A52F1">
      <w:pPr>
        <w:pStyle w:val="Body"/>
        <w:numPr>
          <w:ilvl w:val="1"/>
          <w:numId w:val="19"/>
        </w:numPr>
        <w:tabs>
          <w:tab w:val="center" w:pos="851"/>
          <w:tab w:val="center" w:pos="2127"/>
          <w:tab w:val="center" w:pos="2268"/>
          <w:tab w:val="center" w:pos="2880"/>
          <w:tab w:val="center" w:pos="3600"/>
          <w:tab w:val="center" w:pos="4320"/>
          <w:tab w:val="center" w:pos="5040"/>
          <w:tab w:val="center" w:pos="5760"/>
        </w:tabs>
        <w:spacing w:line="360" w:lineRule="auto"/>
        <w:ind w:left="1985" w:hanging="567"/>
        <w:jc w:val="both"/>
        <w:rPr>
          <w:bCs/>
          <w:i/>
          <w:iCs/>
          <w:sz w:val="22"/>
          <w:szCs w:val="22"/>
        </w:rPr>
      </w:pPr>
      <w:r w:rsidRPr="001C74A3">
        <w:rPr>
          <w:bCs/>
          <w:i/>
          <w:iCs/>
          <w:sz w:val="22"/>
          <w:szCs w:val="22"/>
        </w:rPr>
        <w:t>the third, fourth and fifth respondents are removed an take no further part in the investigation and/or action against the applicant.</w:t>
      </w:r>
    </w:p>
    <w:p w14:paraId="77B3A6BB" w14:textId="77777777" w:rsidR="001A52F1" w:rsidRDefault="001A52F1" w:rsidP="001A52F1">
      <w:pPr>
        <w:pStyle w:val="Body"/>
        <w:tabs>
          <w:tab w:val="center" w:pos="851"/>
          <w:tab w:val="center" w:pos="2127"/>
          <w:tab w:val="center" w:pos="2268"/>
          <w:tab w:val="center" w:pos="2880"/>
          <w:tab w:val="center" w:pos="3600"/>
          <w:tab w:val="center" w:pos="4320"/>
          <w:tab w:val="center" w:pos="5040"/>
          <w:tab w:val="center" w:pos="5760"/>
        </w:tabs>
        <w:spacing w:line="360" w:lineRule="auto"/>
        <w:ind w:left="1985" w:hanging="567"/>
        <w:jc w:val="both"/>
        <w:rPr>
          <w:bCs/>
          <w:i/>
          <w:iCs/>
          <w:sz w:val="22"/>
          <w:szCs w:val="22"/>
        </w:rPr>
      </w:pPr>
    </w:p>
    <w:p w14:paraId="5967216A" w14:textId="53E6D965" w:rsidR="001C74A3" w:rsidRPr="001A52F1" w:rsidRDefault="001C74A3" w:rsidP="001A52F1">
      <w:pPr>
        <w:pStyle w:val="Body"/>
        <w:numPr>
          <w:ilvl w:val="1"/>
          <w:numId w:val="19"/>
        </w:numPr>
        <w:tabs>
          <w:tab w:val="center" w:pos="851"/>
          <w:tab w:val="center" w:pos="2127"/>
          <w:tab w:val="center" w:pos="2268"/>
          <w:tab w:val="center" w:pos="2880"/>
          <w:tab w:val="center" w:pos="3600"/>
          <w:tab w:val="center" w:pos="4320"/>
          <w:tab w:val="center" w:pos="5040"/>
          <w:tab w:val="center" w:pos="5760"/>
        </w:tabs>
        <w:spacing w:line="360" w:lineRule="auto"/>
        <w:ind w:left="1985" w:hanging="567"/>
        <w:jc w:val="both"/>
        <w:rPr>
          <w:bCs/>
          <w:i/>
          <w:iCs/>
          <w:sz w:val="22"/>
          <w:szCs w:val="22"/>
        </w:rPr>
      </w:pPr>
      <w:r w:rsidRPr="001A52F1">
        <w:rPr>
          <w:bCs/>
          <w:i/>
          <w:iCs/>
          <w:sz w:val="22"/>
          <w:szCs w:val="22"/>
        </w:rPr>
        <w:t>The investigation against the Applicant is conducted in accordance with the principles of natural justice, procedural fairness, and section 3(2) of the Promotion of Administrative Justice Act 3 of 2000 (PAJA), with due regard to the findings made by the Court in this judgment as regards the requirements of fairness as applied to the facts of this case.</w:t>
      </w:r>
    </w:p>
    <w:p w14:paraId="291BC1AA" w14:textId="77777777" w:rsidR="001A52F1" w:rsidRPr="001C74A3" w:rsidRDefault="001A52F1" w:rsidP="004A0230">
      <w:pPr>
        <w:pStyle w:val="Body"/>
        <w:tabs>
          <w:tab w:val="center" w:pos="851"/>
          <w:tab w:val="center" w:pos="1440"/>
          <w:tab w:val="center" w:pos="2160"/>
          <w:tab w:val="center" w:pos="2880"/>
          <w:tab w:val="center" w:pos="3600"/>
          <w:tab w:val="center" w:pos="4320"/>
          <w:tab w:val="center" w:pos="5040"/>
          <w:tab w:val="center" w:pos="5760"/>
        </w:tabs>
        <w:spacing w:line="360" w:lineRule="auto"/>
        <w:jc w:val="both"/>
        <w:rPr>
          <w:bCs/>
          <w:i/>
          <w:iCs/>
          <w:sz w:val="22"/>
          <w:szCs w:val="22"/>
        </w:rPr>
      </w:pPr>
    </w:p>
    <w:p w14:paraId="6738F23E" w14:textId="6635EEAF" w:rsidR="001C74A3" w:rsidRPr="001C74A3" w:rsidRDefault="001C74A3" w:rsidP="001A52F1">
      <w:pPr>
        <w:pStyle w:val="Body"/>
        <w:numPr>
          <w:ilvl w:val="0"/>
          <w:numId w:val="19"/>
        </w:numPr>
        <w:tabs>
          <w:tab w:val="center" w:pos="851"/>
          <w:tab w:val="center" w:pos="1440"/>
          <w:tab w:val="center" w:pos="2160"/>
          <w:tab w:val="center" w:pos="2880"/>
          <w:tab w:val="center" w:pos="3600"/>
          <w:tab w:val="center" w:pos="4320"/>
          <w:tab w:val="center" w:pos="5040"/>
          <w:tab w:val="center" w:pos="5760"/>
        </w:tabs>
        <w:spacing w:line="360" w:lineRule="auto"/>
        <w:ind w:left="1418" w:hanging="567"/>
        <w:jc w:val="both"/>
        <w:rPr>
          <w:bCs/>
          <w:i/>
          <w:iCs/>
          <w:sz w:val="22"/>
          <w:szCs w:val="22"/>
        </w:rPr>
      </w:pPr>
      <w:r w:rsidRPr="001C74A3">
        <w:rPr>
          <w:bCs/>
          <w:i/>
          <w:iCs/>
          <w:sz w:val="22"/>
          <w:szCs w:val="22"/>
        </w:rPr>
        <w:t>The Respondents are to pay the costs of this application, on the scale as between party and party which costs are to include the costs consequent upon the employment of two counsel, jointly and severally, the one paying, other/s to be absolved</w:t>
      </w:r>
      <w:r w:rsidR="001A52F1">
        <w:rPr>
          <w:bCs/>
          <w:i/>
          <w:iCs/>
          <w:sz w:val="22"/>
          <w:szCs w:val="22"/>
        </w:rPr>
        <w:t>’</w:t>
      </w:r>
      <w:r w:rsidRPr="001C74A3">
        <w:rPr>
          <w:bCs/>
          <w:i/>
          <w:iCs/>
          <w:sz w:val="22"/>
          <w:szCs w:val="22"/>
        </w:rPr>
        <w:t>.</w:t>
      </w:r>
    </w:p>
    <w:p w14:paraId="7DEB79A3" w14:textId="77777777" w:rsidR="00D01E98" w:rsidRPr="00D01E98" w:rsidRDefault="00D01E98" w:rsidP="00D01E98">
      <w:pPr>
        <w:pStyle w:val="Body"/>
        <w:tabs>
          <w:tab w:val="center" w:pos="851"/>
          <w:tab w:val="center" w:pos="1440"/>
          <w:tab w:val="center" w:pos="2160"/>
          <w:tab w:val="center" w:pos="2880"/>
          <w:tab w:val="center" w:pos="3600"/>
          <w:tab w:val="center" w:pos="4320"/>
          <w:tab w:val="center" w:pos="5040"/>
          <w:tab w:val="center" w:pos="5760"/>
        </w:tabs>
        <w:spacing w:line="360" w:lineRule="auto"/>
        <w:jc w:val="both"/>
        <w:rPr>
          <w:rFonts w:cs="Arial"/>
          <w:sz w:val="24"/>
          <w:szCs w:val="24"/>
        </w:rPr>
      </w:pPr>
    </w:p>
    <w:p w14:paraId="5B8E5E3E" w14:textId="7B69456B" w:rsidR="00D01E98" w:rsidRPr="00D01E98" w:rsidRDefault="00D01E98" w:rsidP="001A52F1">
      <w:pPr>
        <w:pStyle w:val="Body"/>
        <w:numPr>
          <w:ilvl w:val="0"/>
          <w:numId w:val="38"/>
        </w:numPr>
        <w:tabs>
          <w:tab w:val="center" w:pos="851"/>
          <w:tab w:val="center" w:pos="1440"/>
          <w:tab w:val="center" w:pos="2160"/>
          <w:tab w:val="center" w:pos="2880"/>
          <w:tab w:val="center" w:pos="3600"/>
          <w:tab w:val="center" w:pos="4320"/>
          <w:tab w:val="center" w:pos="5040"/>
          <w:tab w:val="center" w:pos="5760"/>
        </w:tabs>
        <w:spacing w:line="360" w:lineRule="auto"/>
        <w:ind w:hanging="720"/>
        <w:jc w:val="both"/>
        <w:rPr>
          <w:rFonts w:cs="Arial"/>
          <w:sz w:val="24"/>
          <w:szCs w:val="24"/>
        </w:rPr>
      </w:pPr>
      <w:r>
        <w:rPr>
          <w:bCs/>
          <w:sz w:val="24"/>
          <w:szCs w:val="24"/>
        </w:rPr>
        <w:t xml:space="preserve">On 20 July 2022, the 5 respondents in the main application, applied for leave to appeal that judgment and order. </w:t>
      </w:r>
    </w:p>
    <w:p w14:paraId="4A6637F3" w14:textId="5F51AE08" w:rsidR="006D5ABB" w:rsidRPr="00D01E98" w:rsidRDefault="00D01E98" w:rsidP="00D01E98">
      <w:pPr>
        <w:pStyle w:val="Body"/>
        <w:tabs>
          <w:tab w:val="center" w:pos="851"/>
          <w:tab w:val="center" w:pos="1440"/>
          <w:tab w:val="center" w:pos="2160"/>
          <w:tab w:val="center" w:pos="2880"/>
          <w:tab w:val="center" w:pos="3600"/>
          <w:tab w:val="center" w:pos="4320"/>
          <w:tab w:val="center" w:pos="5040"/>
          <w:tab w:val="center" w:pos="5760"/>
        </w:tabs>
        <w:spacing w:line="360" w:lineRule="auto"/>
        <w:jc w:val="both"/>
        <w:rPr>
          <w:rFonts w:cs="Arial"/>
          <w:sz w:val="24"/>
          <w:szCs w:val="24"/>
        </w:rPr>
      </w:pPr>
      <w:r>
        <w:rPr>
          <w:bCs/>
          <w:sz w:val="24"/>
          <w:szCs w:val="24"/>
        </w:rPr>
        <w:t xml:space="preserve"> </w:t>
      </w:r>
    </w:p>
    <w:p w14:paraId="736A32C8" w14:textId="7AA2CDFD" w:rsidR="00D01E98" w:rsidRDefault="00D01E98" w:rsidP="001A52F1">
      <w:pPr>
        <w:pStyle w:val="Body"/>
        <w:numPr>
          <w:ilvl w:val="0"/>
          <w:numId w:val="38"/>
        </w:numPr>
        <w:tabs>
          <w:tab w:val="center" w:pos="0"/>
          <w:tab w:val="center" w:pos="1440"/>
          <w:tab w:val="center" w:pos="2160"/>
          <w:tab w:val="center" w:pos="2880"/>
          <w:tab w:val="center" w:pos="3600"/>
          <w:tab w:val="center" w:pos="4320"/>
          <w:tab w:val="center" w:pos="5040"/>
          <w:tab w:val="center" w:pos="5760"/>
        </w:tabs>
        <w:spacing w:line="360" w:lineRule="auto"/>
        <w:ind w:hanging="720"/>
        <w:jc w:val="both"/>
        <w:rPr>
          <w:rFonts w:cs="Arial"/>
          <w:sz w:val="24"/>
          <w:szCs w:val="24"/>
        </w:rPr>
      </w:pPr>
      <w:r>
        <w:rPr>
          <w:rFonts w:cs="Arial"/>
          <w:sz w:val="24"/>
          <w:szCs w:val="24"/>
        </w:rPr>
        <w:t>The application was brought on the basis that the court had erred on 5 grounds:</w:t>
      </w:r>
    </w:p>
    <w:p w14:paraId="52C56E93" w14:textId="04ABBB04" w:rsidR="00D01E98" w:rsidRDefault="00D01E98" w:rsidP="00D01E98">
      <w:pPr>
        <w:pStyle w:val="Body"/>
        <w:tabs>
          <w:tab w:val="center" w:pos="0"/>
          <w:tab w:val="center" w:pos="1440"/>
          <w:tab w:val="center" w:pos="2160"/>
          <w:tab w:val="center" w:pos="2880"/>
          <w:tab w:val="center" w:pos="3600"/>
          <w:tab w:val="center" w:pos="4320"/>
          <w:tab w:val="center" w:pos="5040"/>
          <w:tab w:val="center" w:pos="5760"/>
        </w:tabs>
        <w:spacing w:line="360" w:lineRule="auto"/>
        <w:jc w:val="both"/>
        <w:rPr>
          <w:rFonts w:cs="Arial"/>
          <w:sz w:val="24"/>
          <w:szCs w:val="24"/>
        </w:rPr>
      </w:pPr>
    </w:p>
    <w:p w14:paraId="4B322C58" w14:textId="77777777" w:rsidR="004A0230" w:rsidRDefault="004A0230" w:rsidP="00D01E98">
      <w:pPr>
        <w:pStyle w:val="Body"/>
        <w:tabs>
          <w:tab w:val="center" w:pos="0"/>
          <w:tab w:val="center" w:pos="1440"/>
          <w:tab w:val="center" w:pos="2160"/>
          <w:tab w:val="center" w:pos="2880"/>
          <w:tab w:val="center" w:pos="3600"/>
          <w:tab w:val="center" w:pos="4320"/>
          <w:tab w:val="center" w:pos="5040"/>
          <w:tab w:val="center" w:pos="5760"/>
        </w:tabs>
        <w:spacing w:line="360" w:lineRule="auto"/>
        <w:jc w:val="both"/>
        <w:rPr>
          <w:rFonts w:cs="Arial"/>
          <w:sz w:val="24"/>
          <w:szCs w:val="24"/>
        </w:rPr>
      </w:pPr>
    </w:p>
    <w:p w14:paraId="54082370" w14:textId="2E274019" w:rsidR="001A52F1" w:rsidRDefault="00D01E98" w:rsidP="001A52F1">
      <w:pPr>
        <w:pStyle w:val="Body"/>
        <w:numPr>
          <w:ilvl w:val="1"/>
          <w:numId w:val="40"/>
        </w:numPr>
        <w:tabs>
          <w:tab w:val="center" w:pos="0"/>
          <w:tab w:val="center" w:pos="1440"/>
          <w:tab w:val="center" w:pos="2160"/>
          <w:tab w:val="center" w:pos="2880"/>
          <w:tab w:val="center" w:pos="3600"/>
          <w:tab w:val="center" w:pos="4320"/>
          <w:tab w:val="center" w:pos="5040"/>
          <w:tab w:val="center" w:pos="5760"/>
        </w:tabs>
        <w:spacing w:line="360" w:lineRule="auto"/>
        <w:ind w:left="1418" w:hanging="709"/>
        <w:jc w:val="both"/>
        <w:rPr>
          <w:rFonts w:cs="Arial"/>
          <w:sz w:val="24"/>
          <w:szCs w:val="24"/>
        </w:rPr>
      </w:pPr>
      <w:r>
        <w:rPr>
          <w:rFonts w:cs="Arial"/>
          <w:sz w:val="24"/>
          <w:szCs w:val="24"/>
        </w:rPr>
        <w:t>The 1</w:t>
      </w:r>
      <w:r w:rsidRPr="00D01E98">
        <w:rPr>
          <w:rFonts w:cs="Arial"/>
          <w:sz w:val="24"/>
          <w:szCs w:val="24"/>
          <w:vertAlign w:val="superscript"/>
        </w:rPr>
        <w:t>st</w:t>
      </w:r>
      <w:r>
        <w:rPr>
          <w:rFonts w:cs="Arial"/>
          <w:sz w:val="24"/>
          <w:szCs w:val="24"/>
        </w:rPr>
        <w:t xml:space="preserve"> was that the entire application had been brought prematurely.</w:t>
      </w:r>
    </w:p>
    <w:p w14:paraId="32D2D434" w14:textId="77777777" w:rsidR="001A52F1" w:rsidRDefault="001A52F1" w:rsidP="001A52F1">
      <w:pPr>
        <w:pStyle w:val="Body"/>
        <w:tabs>
          <w:tab w:val="center" w:pos="0"/>
          <w:tab w:val="center" w:pos="1440"/>
          <w:tab w:val="center" w:pos="2160"/>
          <w:tab w:val="center" w:pos="2880"/>
          <w:tab w:val="center" w:pos="3600"/>
          <w:tab w:val="center" w:pos="4320"/>
          <w:tab w:val="center" w:pos="5040"/>
          <w:tab w:val="center" w:pos="5760"/>
        </w:tabs>
        <w:spacing w:line="360" w:lineRule="auto"/>
        <w:ind w:left="1418"/>
        <w:jc w:val="both"/>
        <w:rPr>
          <w:rFonts w:cs="Arial"/>
          <w:sz w:val="24"/>
          <w:szCs w:val="24"/>
        </w:rPr>
      </w:pPr>
    </w:p>
    <w:p w14:paraId="32D809BF" w14:textId="5D238F8D" w:rsidR="001A52F1" w:rsidRDefault="00D01E98" w:rsidP="001A52F1">
      <w:pPr>
        <w:pStyle w:val="Body"/>
        <w:numPr>
          <w:ilvl w:val="1"/>
          <w:numId w:val="40"/>
        </w:numPr>
        <w:tabs>
          <w:tab w:val="center" w:pos="0"/>
          <w:tab w:val="center" w:pos="1440"/>
          <w:tab w:val="center" w:pos="2160"/>
          <w:tab w:val="center" w:pos="2880"/>
          <w:tab w:val="center" w:pos="3600"/>
          <w:tab w:val="center" w:pos="4320"/>
          <w:tab w:val="center" w:pos="5040"/>
          <w:tab w:val="center" w:pos="5760"/>
        </w:tabs>
        <w:spacing w:line="360" w:lineRule="auto"/>
        <w:ind w:left="1418" w:hanging="709"/>
        <w:jc w:val="both"/>
        <w:rPr>
          <w:rFonts w:cs="Arial"/>
          <w:sz w:val="24"/>
          <w:szCs w:val="24"/>
        </w:rPr>
      </w:pPr>
      <w:r w:rsidRPr="001A52F1">
        <w:rPr>
          <w:rFonts w:cs="Arial"/>
          <w:sz w:val="24"/>
          <w:szCs w:val="24"/>
        </w:rPr>
        <w:t>The 2</w:t>
      </w:r>
      <w:r w:rsidRPr="001A52F1">
        <w:rPr>
          <w:rFonts w:cs="Arial"/>
          <w:sz w:val="24"/>
          <w:szCs w:val="24"/>
          <w:vertAlign w:val="superscript"/>
        </w:rPr>
        <w:t>nd</w:t>
      </w:r>
      <w:r w:rsidRPr="001A52F1">
        <w:rPr>
          <w:rFonts w:cs="Arial"/>
          <w:sz w:val="24"/>
          <w:szCs w:val="24"/>
        </w:rPr>
        <w:t xml:space="preserve"> was that PAJA (Promotion of Administrative Justice Act) did not apply.</w:t>
      </w:r>
    </w:p>
    <w:p w14:paraId="18801B70" w14:textId="77777777" w:rsidR="001A52F1" w:rsidRDefault="001A52F1" w:rsidP="001A52F1">
      <w:pPr>
        <w:pStyle w:val="ListParagraph"/>
        <w:rPr>
          <w:rFonts w:cs="Arial"/>
        </w:rPr>
      </w:pPr>
    </w:p>
    <w:p w14:paraId="7EDC5539" w14:textId="77777777" w:rsidR="001A52F1" w:rsidRDefault="00D01E98" w:rsidP="001A52F1">
      <w:pPr>
        <w:pStyle w:val="Body"/>
        <w:numPr>
          <w:ilvl w:val="1"/>
          <w:numId w:val="40"/>
        </w:numPr>
        <w:tabs>
          <w:tab w:val="center" w:pos="0"/>
          <w:tab w:val="center" w:pos="1440"/>
          <w:tab w:val="center" w:pos="2160"/>
          <w:tab w:val="center" w:pos="2880"/>
          <w:tab w:val="center" w:pos="3600"/>
          <w:tab w:val="center" w:pos="4320"/>
          <w:tab w:val="center" w:pos="5040"/>
          <w:tab w:val="center" w:pos="5760"/>
        </w:tabs>
        <w:spacing w:line="360" w:lineRule="auto"/>
        <w:ind w:left="1418" w:hanging="709"/>
        <w:jc w:val="both"/>
        <w:rPr>
          <w:rFonts w:cs="Arial"/>
          <w:sz w:val="24"/>
          <w:szCs w:val="24"/>
        </w:rPr>
      </w:pPr>
      <w:r w:rsidRPr="001A52F1">
        <w:rPr>
          <w:rFonts w:cs="Arial"/>
          <w:sz w:val="24"/>
          <w:szCs w:val="24"/>
        </w:rPr>
        <w:t>The 3</w:t>
      </w:r>
      <w:r w:rsidRPr="001A52F1">
        <w:rPr>
          <w:rFonts w:cs="Arial"/>
          <w:sz w:val="24"/>
          <w:szCs w:val="24"/>
          <w:vertAlign w:val="superscript"/>
        </w:rPr>
        <w:t>rd</w:t>
      </w:r>
      <w:r w:rsidRPr="001A52F1">
        <w:rPr>
          <w:rFonts w:cs="Arial"/>
          <w:sz w:val="24"/>
          <w:szCs w:val="24"/>
        </w:rPr>
        <w:t xml:space="preserve"> was that there was no basis for the order excluding the 3</w:t>
      </w:r>
      <w:r w:rsidRPr="001A52F1">
        <w:rPr>
          <w:rFonts w:cs="Arial"/>
          <w:sz w:val="24"/>
          <w:szCs w:val="24"/>
          <w:vertAlign w:val="superscript"/>
        </w:rPr>
        <w:t>rd</w:t>
      </w:r>
      <w:r w:rsidRPr="001A52F1">
        <w:rPr>
          <w:rFonts w:cs="Arial"/>
          <w:sz w:val="24"/>
          <w:szCs w:val="24"/>
        </w:rPr>
        <w:t>, 4</w:t>
      </w:r>
      <w:r w:rsidRPr="001A52F1">
        <w:rPr>
          <w:rFonts w:cs="Arial"/>
          <w:sz w:val="24"/>
          <w:szCs w:val="24"/>
          <w:vertAlign w:val="superscript"/>
        </w:rPr>
        <w:t>th</w:t>
      </w:r>
      <w:r w:rsidRPr="001A52F1">
        <w:rPr>
          <w:rFonts w:cs="Arial"/>
          <w:sz w:val="24"/>
          <w:szCs w:val="24"/>
        </w:rPr>
        <w:t xml:space="preserve"> and 5</w:t>
      </w:r>
      <w:r w:rsidRPr="001A52F1">
        <w:rPr>
          <w:rFonts w:cs="Arial"/>
          <w:sz w:val="24"/>
          <w:szCs w:val="24"/>
          <w:vertAlign w:val="superscript"/>
        </w:rPr>
        <w:t>th</w:t>
      </w:r>
      <w:r w:rsidRPr="001A52F1">
        <w:rPr>
          <w:rFonts w:cs="Arial"/>
          <w:sz w:val="24"/>
          <w:szCs w:val="24"/>
        </w:rPr>
        <w:t xml:space="preserve"> respondents from any further participation in the investigation relating to the applicant.</w:t>
      </w:r>
    </w:p>
    <w:p w14:paraId="65BE68C3" w14:textId="77777777" w:rsidR="001A52F1" w:rsidRDefault="001A52F1" w:rsidP="001A52F1">
      <w:pPr>
        <w:pStyle w:val="ListParagraph"/>
        <w:rPr>
          <w:rFonts w:cs="Arial"/>
        </w:rPr>
      </w:pPr>
    </w:p>
    <w:p w14:paraId="1CAC3360" w14:textId="77777777" w:rsidR="001A52F1" w:rsidRDefault="00D01E98" w:rsidP="001A52F1">
      <w:pPr>
        <w:pStyle w:val="Body"/>
        <w:numPr>
          <w:ilvl w:val="1"/>
          <w:numId w:val="40"/>
        </w:numPr>
        <w:tabs>
          <w:tab w:val="center" w:pos="0"/>
          <w:tab w:val="center" w:pos="1440"/>
          <w:tab w:val="center" w:pos="2160"/>
          <w:tab w:val="center" w:pos="2880"/>
          <w:tab w:val="center" w:pos="3600"/>
          <w:tab w:val="center" w:pos="4320"/>
          <w:tab w:val="center" w:pos="5040"/>
          <w:tab w:val="center" w:pos="5760"/>
        </w:tabs>
        <w:spacing w:line="360" w:lineRule="auto"/>
        <w:ind w:left="1418" w:hanging="709"/>
        <w:jc w:val="both"/>
        <w:rPr>
          <w:rFonts w:cs="Arial"/>
          <w:sz w:val="24"/>
          <w:szCs w:val="24"/>
        </w:rPr>
      </w:pPr>
      <w:r w:rsidRPr="001A52F1">
        <w:rPr>
          <w:rFonts w:cs="Arial"/>
          <w:sz w:val="24"/>
          <w:szCs w:val="24"/>
        </w:rPr>
        <w:t>The 4</w:t>
      </w:r>
      <w:r w:rsidRPr="001A52F1">
        <w:rPr>
          <w:rFonts w:cs="Arial"/>
          <w:sz w:val="24"/>
          <w:szCs w:val="24"/>
          <w:vertAlign w:val="superscript"/>
        </w:rPr>
        <w:t>th</w:t>
      </w:r>
      <w:r w:rsidRPr="001A52F1">
        <w:rPr>
          <w:rFonts w:cs="Arial"/>
          <w:sz w:val="24"/>
          <w:szCs w:val="24"/>
        </w:rPr>
        <w:t xml:space="preserve"> ground was that there had been no duty on the respondents to provide the applicant with any documents in advance.</w:t>
      </w:r>
    </w:p>
    <w:p w14:paraId="153BB747" w14:textId="77777777" w:rsidR="001A52F1" w:rsidRDefault="001A52F1" w:rsidP="001A52F1">
      <w:pPr>
        <w:pStyle w:val="ListParagraph"/>
        <w:rPr>
          <w:rFonts w:cs="Arial"/>
        </w:rPr>
      </w:pPr>
    </w:p>
    <w:p w14:paraId="14D2CBAD" w14:textId="65DE4FE7" w:rsidR="00D01E98" w:rsidRPr="001A52F1" w:rsidRDefault="00D01E98" w:rsidP="001A52F1">
      <w:pPr>
        <w:pStyle w:val="Body"/>
        <w:numPr>
          <w:ilvl w:val="1"/>
          <w:numId w:val="40"/>
        </w:numPr>
        <w:tabs>
          <w:tab w:val="center" w:pos="0"/>
          <w:tab w:val="center" w:pos="1440"/>
          <w:tab w:val="center" w:pos="2160"/>
          <w:tab w:val="center" w:pos="2880"/>
          <w:tab w:val="center" w:pos="3600"/>
          <w:tab w:val="center" w:pos="4320"/>
          <w:tab w:val="center" w:pos="5040"/>
          <w:tab w:val="center" w:pos="5760"/>
        </w:tabs>
        <w:spacing w:line="360" w:lineRule="auto"/>
        <w:ind w:left="1418" w:hanging="709"/>
        <w:jc w:val="both"/>
        <w:rPr>
          <w:rFonts w:cs="Arial"/>
          <w:sz w:val="24"/>
          <w:szCs w:val="24"/>
        </w:rPr>
      </w:pPr>
      <w:r w:rsidRPr="001A52F1">
        <w:rPr>
          <w:rFonts w:cs="Arial"/>
          <w:sz w:val="24"/>
          <w:szCs w:val="24"/>
        </w:rPr>
        <w:t>The 5</w:t>
      </w:r>
      <w:r w:rsidRPr="001A52F1">
        <w:rPr>
          <w:rFonts w:cs="Arial"/>
          <w:sz w:val="24"/>
          <w:szCs w:val="24"/>
          <w:vertAlign w:val="superscript"/>
        </w:rPr>
        <w:t>th</w:t>
      </w:r>
      <w:r w:rsidRPr="001A52F1">
        <w:rPr>
          <w:rFonts w:cs="Arial"/>
          <w:sz w:val="24"/>
          <w:szCs w:val="24"/>
        </w:rPr>
        <w:t xml:space="preserve"> ground was that there were reasonable prospects of success and other compelling reasons for the granting of leave to appeal.</w:t>
      </w:r>
    </w:p>
    <w:p w14:paraId="4EC10CF8" w14:textId="77777777" w:rsidR="006D5ABB" w:rsidRDefault="006D5ABB" w:rsidP="006D5ABB">
      <w:pPr>
        <w:pStyle w:val="ListParagraph"/>
        <w:spacing w:line="360" w:lineRule="auto"/>
        <w:jc w:val="both"/>
        <w:rPr>
          <w:rFonts w:ascii="Arial" w:hAnsi="Arial" w:cs="Arial"/>
        </w:rPr>
      </w:pPr>
    </w:p>
    <w:p w14:paraId="3AA8B25A" w14:textId="132B745C" w:rsidR="0037606D" w:rsidRDefault="00D01E98" w:rsidP="001A52F1">
      <w:pPr>
        <w:pStyle w:val="ListParagraph"/>
        <w:numPr>
          <w:ilvl w:val="0"/>
          <w:numId w:val="38"/>
        </w:numPr>
        <w:spacing w:line="360" w:lineRule="auto"/>
        <w:ind w:hanging="720"/>
        <w:jc w:val="both"/>
        <w:rPr>
          <w:rFonts w:ascii="Arial" w:hAnsi="Arial" w:cs="Arial"/>
        </w:rPr>
      </w:pPr>
      <w:r w:rsidRPr="00D01E98">
        <w:rPr>
          <w:rFonts w:ascii="Arial" w:hAnsi="Arial" w:cs="Arial"/>
        </w:rPr>
        <w:t>The 1</w:t>
      </w:r>
      <w:r w:rsidRPr="00D01E98">
        <w:rPr>
          <w:rFonts w:ascii="Arial" w:hAnsi="Arial" w:cs="Arial"/>
          <w:vertAlign w:val="superscript"/>
        </w:rPr>
        <w:t>st</w:t>
      </w:r>
      <w:r w:rsidRPr="00D01E98">
        <w:rPr>
          <w:rFonts w:ascii="Arial" w:hAnsi="Arial" w:cs="Arial"/>
        </w:rPr>
        <w:t xml:space="preserve">, </w:t>
      </w:r>
      <w:r w:rsidR="0037606D">
        <w:rPr>
          <w:rFonts w:ascii="Arial" w:hAnsi="Arial" w:cs="Arial"/>
        </w:rPr>
        <w:t>2</w:t>
      </w:r>
      <w:r w:rsidR="0037606D" w:rsidRPr="0037606D">
        <w:rPr>
          <w:rFonts w:ascii="Arial" w:hAnsi="Arial" w:cs="Arial"/>
          <w:vertAlign w:val="superscript"/>
        </w:rPr>
        <w:t>nd</w:t>
      </w:r>
      <w:r w:rsidR="0037606D">
        <w:rPr>
          <w:rFonts w:ascii="Arial" w:hAnsi="Arial" w:cs="Arial"/>
        </w:rPr>
        <w:t>, 3</w:t>
      </w:r>
      <w:r w:rsidR="0037606D" w:rsidRPr="0037606D">
        <w:rPr>
          <w:rFonts w:ascii="Arial" w:hAnsi="Arial" w:cs="Arial"/>
          <w:vertAlign w:val="superscript"/>
        </w:rPr>
        <w:t>rd</w:t>
      </w:r>
      <w:r w:rsidR="0037606D">
        <w:rPr>
          <w:rFonts w:ascii="Arial" w:hAnsi="Arial" w:cs="Arial"/>
        </w:rPr>
        <w:t xml:space="preserve"> and</w:t>
      </w:r>
      <w:r w:rsidRPr="00D01E98">
        <w:rPr>
          <w:rFonts w:ascii="Arial" w:hAnsi="Arial" w:cs="Arial"/>
        </w:rPr>
        <w:t xml:space="preserve"> 4</w:t>
      </w:r>
      <w:r w:rsidRPr="00D01E98">
        <w:rPr>
          <w:rFonts w:ascii="Arial" w:hAnsi="Arial" w:cs="Arial"/>
          <w:vertAlign w:val="superscript"/>
        </w:rPr>
        <w:t>th</w:t>
      </w:r>
      <w:r w:rsidRPr="00D01E98">
        <w:rPr>
          <w:rFonts w:ascii="Arial" w:hAnsi="Arial" w:cs="Arial"/>
        </w:rPr>
        <w:t xml:space="preserve"> grounds </w:t>
      </w:r>
      <w:r>
        <w:rPr>
          <w:rFonts w:ascii="Arial" w:hAnsi="Arial" w:cs="Arial"/>
        </w:rPr>
        <w:t>were the pillars upon which the respondents had opposed the main application.  The judgment deals with the evidence considered and findings made in respect of these grounds</w:t>
      </w:r>
      <w:r w:rsidR="0037606D">
        <w:rPr>
          <w:rFonts w:ascii="Arial" w:hAnsi="Arial" w:cs="Arial"/>
        </w:rPr>
        <w:t>.</w:t>
      </w:r>
    </w:p>
    <w:p w14:paraId="051B97C3" w14:textId="77777777" w:rsidR="0037606D" w:rsidRPr="0037606D" w:rsidRDefault="0037606D" w:rsidP="0037606D">
      <w:pPr>
        <w:spacing w:line="360" w:lineRule="auto"/>
        <w:jc w:val="both"/>
        <w:rPr>
          <w:rFonts w:ascii="Arial" w:hAnsi="Arial" w:cs="Arial"/>
        </w:rPr>
      </w:pPr>
    </w:p>
    <w:p w14:paraId="305CEBDC" w14:textId="02204F52" w:rsidR="0037606D" w:rsidRDefault="00D01E98" w:rsidP="001A52F1">
      <w:pPr>
        <w:pStyle w:val="ListParagraph"/>
        <w:numPr>
          <w:ilvl w:val="0"/>
          <w:numId w:val="38"/>
        </w:numPr>
        <w:spacing w:line="360" w:lineRule="auto"/>
        <w:ind w:hanging="720"/>
        <w:jc w:val="both"/>
        <w:rPr>
          <w:rFonts w:ascii="Arial" w:hAnsi="Arial" w:cs="Arial"/>
        </w:rPr>
      </w:pPr>
      <w:r>
        <w:rPr>
          <w:rFonts w:ascii="Arial" w:hAnsi="Arial" w:cs="Arial"/>
        </w:rPr>
        <w:t>I do not intend to repeat what is set out in the judgment herein</w:t>
      </w:r>
      <w:r w:rsidR="0037606D">
        <w:rPr>
          <w:rFonts w:ascii="Arial" w:hAnsi="Arial" w:cs="Arial"/>
        </w:rPr>
        <w:t xml:space="preserve"> save to say that in respect of the 3</w:t>
      </w:r>
      <w:r w:rsidR="0037606D" w:rsidRPr="0037606D">
        <w:rPr>
          <w:rFonts w:ascii="Arial" w:hAnsi="Arial" w:cs="Arial"/>
          <w:vertAlign w:val="superscript"/>
        </w:rPr>
        <w:t>rd</w:t>
      </w:r>
      <w:r w:rsidR="0037606D">
        <w:rPr>
          <w:rFonts w:ascii="Arial" w:hAnsi="Arial" w:cs="Arial"/>
        </w:rPr>
        <w:t xml:space="preserve"> ground, having found as I did in paragraph 66</w:t>
      </w:r>
      <w:r w:rsidR="0037606D">
        <w:rPr>
          <w:rStyle w:val="FootnoteReference"/>
          <w:rFonts w:ascii="Arial" w:hAnsi="Arial" w:cs="Arial"/>
        </w:rPr>
        <w:footnoteReference w:id="1"/>
      </w:r>
      <w:r w:rsidR="0037606D">
        <w:rPr>
          <w:rFonts w:ascii="Arial" w:hAnsi="Arial" w:cs="Arial"/>
        </w:rPr>
        <w:t>, the conclusion drawn in paragraph 69 that:</w:t>
      </w:r>
    </w:p>
    <w:p w14:paraId="1EE40207" w14:textId="77777777" w:rsidR="0037606D" w:rsidRPr="0037606D" w:rsidRDefault="0037606D" w:rsidP="001C74A3">
      <w:pPr>
        <w:spacing w:line="360" w:lineRule="auto"/>
        <w:jc w:val="both"/>
        <w:rPr>
          <w:rFonts w:ascii="Arial" w:hAnsi="Arial" w:cs="Arial"/>
        </w:rPr>
      </w:pPr>
    </w:p>
    <w:p w14:paraId="4729989A" w14:textId="24B571BA" w:rsidR="0037606D" w:rsidRPr="001C74A3" w:rsidRDefault="0037606D" w:rsidP="004A0230">
      <w:pPr>
        <w:tabs>
          <w:tab w:val="left" w:pos="1701"/>
        </w:tabs>
        <w:spacing w:line="360" w:lineRule="auto"/>
        <w:ind w:left="1418" w:hanging="709"/>
        <w:jc w:val="both"/>
        <w:rPr>
          <w:rFonts w:ascii="Arial" w:hAnsi="Arial" w:cs="Arial"/>
          <w:i/>
          <w:iCs/>
          <w:sz w:val="22"/>
          <w:szCs w:val="22"/>
        </w:rPr>
      </w:pPr>
      <w:r w:rsidRPr="001C74A3">
        <w:rPr>
          <w:rFonts w:ascii="Arial" w:hAnsi="Arial" w:cs="Arial"/>
          <w:i/>
          <w:iCs/>
          <w:sz w:val="22"/>
          <w:szCs w:val="22"/>
        </w:rPr>
        <w:t>“69.</w:t>
      </w:r>
      <w:r w:rsidRPr="001C74A3">
        <w:rPr>
          <w:rFonts w:ascii="Arial" w:hAnsi="Arial" w:cs="Arial"/>
          <w:i/>
          <w:iCs/>
          <w:sz w:val="22"/>
          <w:szCs w:val="22"/>
        </w:rPr>
        <w:tab/>
        <w:t>It is indisputable that if a person is to be questioned upon specific documents and the law compels him to answer fully and truthfully and to the best of his knowledge and, to ensure that his responses are neither false nor misleading even by omission, that natural justice demands that he ought to be given those documents beforehand to ensure that his responses meet the standard expected of him by the law.”</w:t>
      </w:r>
    </w:p>
    <w:p w14:paraId="5FD8ABE2" w14:textId="1646E99A" w:rsidR="0037606D" w:rsidRDefault="0037606D" w:rsidP="0037606D">
      <w:pPr>
        <w:spacing w:line="360" w:lineRule="auto"/>
        <w:ind w:left="360"/>
        <w:jc w:val="both"/>
        <w:rPr>
          <w:rFonts w:ascii="Arial" w:hAnsi="Arial" w:cs="Arial"/>
        </w:rPr>
      </w:pPr>
    </w:p>
    <w:p w14:paraId="397C6D05" w14:textId="65097E2F" w:rsidR="0037606D" w:rsidRPr="0037606D" w:rsidRDefault="0037606D" w:rsidP="001C74A3">
      <w:pPr>
        <w:spacing w:line="360" w:lineRule="auto"/>
        <w:ind w:left="709"/>
        <w:jc w:val="both"/>
        <w:rPr>
          <w:rFonts w:ascii="Arial" w:hAnsi="Arial" w:cs="Arial"/>
        </w:rPr>
      </w:pPr>
      <w:r>
        <w:rPr>
          <w:rFonts w:ascii="Arial" w:hAnsi="Arial" w:cs="Arial"/>
        </w:rPr>
        <w:t>And the findings in paragraphs 74 and 75, to my mind, clearly and unequivocally set out the basis for the granting of the order excluding the 3</w:t>
      </w:r>
      <w:r w:rsidRPr="0037606D">
        <w:rPr>
          <w:rFonts w:ascii="Arial" w:hAnsi="Arial" w:cs="Arial"/>
          <w:vertAlign w:val="superscript"/>
        </w:rPr>
        <w:t>rd</w:t>
      </w:r>
      <w:r>
        <w:rPr>
          <w:rFonts w:ascii="Arial" w:hAnsi="Arial" w:cs="Arial"/>
        </w:rPr>
        <w:t xml:space="preserve"> to 5</w:t>
      </w:r>
      <w:r w:rsidRPr="0037606D">
        <w:rPr>
          <w:rFonts w:ascii="Arial" w:hAnsi="Arial" w:cs="Arial"/>
          <w:vertAlign w:val="superscript"/>
        </w:rPr>
        <w:t>th</w:t>
      </w:r>
      <w:r>
        <w:rPr>
          <w:rFonts w:ascii="Arial" w:hAnsi="Arial" w:cs="Arial"/>
        </w:rPr>
        <w:t xml:space="preserve"> respondents from any further participation in investigation proceedings relating to the applicant.</w:t>
      </w:r>
    </w:p>
    <w:p w14:paraId="061DA657" w14:textId="527D7D15" w:rsidR="0037606D" w:rsidRDefault="0037606D" w:rsidP="0037606D">
      <w:pPr>
        <w:pStyle w:val="ListParagraph"/>
        <w:spacing w:line="360" w:lineRule="auto"/>
        <w:jc w:val="both"/>
        <w:rPr>
          <w:rFonts w:ascii="Arial" w:hAnsi="Arial" w:cs="Arial"/>
        </w:rPr>
      </w:pPr>
    </w:p>
    <w:p w14:paraId="5EA69304" w14:textId="710E5FB2" w:rsidR="0037606D" w:rsidRPr="00A91A03" w:rsidRDefault="00D01E98" w:rsidP="001A52F1">
      <w:pPr>
        <w:pStyle w:val="ListParagraph"/>
        <w:numPr>
          <w:ilvl w:val="0"/>
          <w:numId w:val="38"/>
        </w:numPr>
        <w:spacing w:line="360" w:lineRule="auto"/>
        <w:ind w:hanging="720"/>
        <w:jc w:val="both"/>
        <w:rPr>
          <w:rFonts w:ascii="Arial" w:hAnsi="Arial" w:cs="Arial"/>
        </w:rPr>
      </w:pPr>
      <w:r w:rsidRPr="00A91A03">
        <w:rPr>
          <w:rFonts w:ascii="Arial" w:hAnsi="Arial" w:cs="Arial"/>
        </w:rPr>
        <w:t>The</w:t>
      </w:r>
      <w:r w:rsidR="0037606D" w:rsidRPr="00A91A03">
        <w:rPr>
          <w:rFonts w:ascii="Arial" w:hAnsi="Arial" w:cs="Arial"/>
        </w:rPr>
        <w:t xml:space="preserve"> test for the granting of leave to appeal, applicable to the present application is set out in S 17(1)(a) of the Superior Courts Act </w:t>
      </w:r>
      <w:r w:rsidR="0037606D" w:rsidRPr="00A91A03">
        <w:rPr>
          <w:rStyle w:val="FootnoteReference"/>
          <w:rFonts w:ascii="Arial" w:hAnsi="Arial" w:cs="Arial"/>
        </w:rPr>
        <w:footnoteReference w:id="2"/>
      </w:r>
      <w:r w:rsidR="0037606D" w:rsidRPr="00A91A03">
        <w:rPr>
          <w:rFonts w:ascii="Arial" w:hAnsi="Arial" w:cs="Arial"/>
        </w:rPr>
        <w:t xml:space="preserve"> as follows:</w:t>
      </w:r>
    </w:p>
    <w:p w14:paraId="3762F6B1" w14:textId="77777777" w:rsidR="0037606D" w:rsidRPr="001B7D06" w:rsidRDefault="0037606D" w:rsidP="0037606D">
      <w:pPr>
        <w:pStyle w:val="Body"/>
        <w:spacing w:line="360" w:lineRule="auto"/>
        <w:jc w:val="both"/>
        <w:rPr>
          <w:rFonts w:cs="Arial"/>
          <w:sz w:val="24"/>
          <w:szCs w:val="24"/>
        </w:rPr>
      </w:pPr>
    </w:p>
    <w:p w14:paraId="6A9EAFE7" w14:textId="77777777" w:rsidR="0037606D" w:rsidRPr="001B7D06" w:rsidRDefault="0037606D" w:rsidP="00A91A03">
      <w:pPr>
        <w:autoSpaceDE w:val="0"/>
        <w:autoSpaceDN w:val="0"/>
        <w:adjustRightInd w:val="0"/>
        <w:spacing w:before="120" w:after="120" w:line="360" w:lineRule="auto"/>
        <w:ind w:left="709" w:right="136"/>
        <w:jc w:val="both"/>
        <w:rPr>
          <w:rFonts w:ascii="Arial" w:hAnsi="Arial" w:cs="Arial"/>
          <w:i/>
          <w:sz w:val="22"/>
          <w:szCs w:val="22"/>
        </w:rPr>
      </w:pPr>
      <w:r w:rsidRPr="001B7D06">
        <w:rPr>
          <w:rFonts w:ascii="Arial" w:hAnsi="Arial" w:cs="Arial"/>
          <w:i/>
          <w:sz w:val="22"/>
          <w:szCs w:val="22"/>
        </w:rPr>
        <w:t>“Leave to appeal may only be given where the judge or judges concerned are of the opinion that –</w:t>
      </w:r>
    </w:p>
    <w:p w14:paraId="64CF1552" w14:textId="4F7A2959" w:rsidR="0037606D" w:rsidRPr="001B7D06" w:rsidRDefault="0037606D" w:rsidP="00A91A03">
      <w:pPr>
        <w:autoSpaceDE w:val="0"/>
        <w:autoSpaceDN w:val="0"/>
        <w:adjustRightInd w:val="0"/>
        <w:spacing w:before="120" w:after="120" w:line="360" w:lineRule="auto"/>
        <w:ind w:left="1134" w:right="136" w:hanging="425"/>
        <w:jc w:val="both"/>
        <w:rPr>
          <w:rFonts w:ascii="Arial" w:hAnsi="Arial" w:cs="Arial"/>
          <w:i/>
          <w:sz w:val="22"/>
          <w:szCs w:val="22"/>
        </w:rPr>
      </w:pPr>
      <w:r w:rsidRPr="001B7D06">
        <w:rPr>
          <w:rFonts w:ascii="Arial" w:hAnsi="Arial" w:cs="Arial"/>
          <w:i/>
          <w:sz w:val="22"/>
          <w:szCs w:val="22"/>
        </w:rPr>
        <w:t>(a)</w:t>
      </w:r>
      <w:r w:rsidRPr="001B7D06">
        <w:rPr>
          <w:rFonts w:ascii="Arial" w:hAnsi="Arial" w:cs="Arial"/>
          <w:i/>
          <w:sz w:val="22"/>
          <w:szCs w:val="22"/>
        </w:rPr>
        <w:tab/>
        <w:t xml:space="preserve">(i) </w:t>
      </w:r>
      <w:r w:rsidRPr="001B7D06">
        <w:rPr>
          <w:rFonts w:ascii="Arial" w:hAnsi="Arial" w:cs="Arial"/>
          <w:i/>
          <w:sz w:val="22"/>
          <w:szCs w:val="22"/>
        </w:rPr>
        <w:tab/>
        <w:t>the appeal would have a reasonable prospect of success; or</w:t>
      </w:r>
    </w:p>
    <w:p w14:paraId="2FF210D9" w14:textId="1C911493" w:rsidR="001A52F1" w:rsidRDefault="0037606D" w:rsidP="00A91A03">
      <w:pPr>
        <w:autoSpaceDE w:val="0"/>
        <w:autoSpaceDN w:val="0"/>
        <w:adjustRightInd w:val="0"/>
        <w:spacing w:before="120" w:after="120" w:line="360" w:lineRule="auto"/>
        <w:ind w:left="1418" w:right="136" w:hanging="284"/>
        <w:jc w:val="both"/>
        <w:rPr>
          <w:rFonts w:ascii="Arial" w:hAnsi="Arial" w:cs="Arial"/>
          <w:i/>
          <w:sz w:val="22"/>
          <w:szCs w:val="22"/>
        </w:rPr>
      </w:pPr>
      <w:r w:rsidRPr="001B7D06">
        <w:rPr>
          <w:rFonts w:ascii="Arial" w:hAnsi="Arial" w:cs="Arial"/>
          <w:i/>
          <w:sz w:val="22"/>
          <w:szCs w:val="22"/>
        </w:rPr>
        <w:t>(ii)</w:t>
      </w:r>
      <w:r w:rsidRPr="001B7D06">
        <w:rPr>
          <w:rFonts w:ascii="Arial" w:hAnsi="Arial" w:cs="Arial"/>
          <w:i/>
          <w:sz w:val="22"/>
          <w:szCs w:val="22"/>
        </w:rPr>
        <w:tab/>
        <w:t xml:space="preserve"> there is some other compelling reason why the appeal should be heard; including conflicting judgments on the matter under consideration;</w:t>
      </w:r>
    </w:p>
    <w:p w14:paraId="004C3B7B" w14:textId="77777777" w:rsidR="001A52F1" w:rsidRDefault="001A52F1" w:rsidP="0037606D">
      <w:pPr>
        <w:autoSpaceDE w:val="0"/>
        <w:autoSpaceDN w:val="0"/>
        <w:adjustRightInd w:val="0"/>
        <w:spacing w:before="120" w:after="120" w:line="360" w:lineRule="auto"/>
        <w:ind w:left="2835" w:right="136" w:hanging="708"/>
        <w:jc w:val="both"/>
        <w:rPr>
          <w:rFonts w:ascii="Arial" w:hAnsi="Arial" w:cs="Arial"/>
          <w:i/>
          <w:sz w:val="22"/>
          <w:szCs w:val="22"/>
        </w:rPr>
      </w:pPr>
    </w:p>
    <w:p w14:paraId="4A955C28" w14:textId="5EFD3FB9" w:rsidR="001A52F1" w:rsidRDefault="00E91470" w:rsidP="001A52F1">
      <w:pPr>
        <w:pStyle w:val="Body"/>
        <w:numPr>
          <w:ilvl w:val="0"/>
          <w:numId w:val="38"/>
        </w:numPr>
        <w:spacing w:line="360" w:lineRule="auto"/>
        <w:ind w:left="709" w:hanging="720"/>
        <w:jc w:val="both"/>
        <w:rPr>
          <w:rFonts w:cs="Arial"/>
          <w:sz w:val="24"/>
          <w:szCs w:val="24"/>
        </w:rPr>
      </w:pPr>
      <w:r>
        <w:rPr>
          <w:rFonts w:cs="Arial"/>
          <w:sz w:val="24"/>
          <w:szCs w:val="24"/>
        </w:rPr>
        <w:t xml:space="preserve">Is there a reasonable prospect that another court would come to a different conclusion or is there some other compelling reason for leave to appeal to be granted? </w:t>
      </w:r>
    </w:p>
    <w:p w14:paraId="34828A34" w14:textId="77777777" w:rsidR="001A52F1" w:rsidRDefault="001A52F1" w:rsidP="001A52F1">
      <w:pPr>
        <w:pStyle w:val="Body"/>
        <w:spacing w:line="360" w:lineRule="auto"/>
        <w:ind w:left="709"/>
        <w:jc w:val="both"/>
        <w:rPr>
          <w:rFonts w:cs="Arial"/>
          <w:sz w:val="24"/>
          <w:szCs w:val="24"/>
        </w:rPr>
      </w:pPr>
    </w:p>
    <w:p w14:paraId="18C052E6" w14:textId="77777777" w:rsidR="00E7656F" w:rsidRDefault="00E91470" w:rsidP="001A52F1">
      <w:pPr>
        <w:pStyle w:val="Body"/>
        <w:numPr>
          <w:ilvl w:val="0"/>
          <w:numId w:val="38"/>
        </w:numPr>
        <w:spacing w:line="360" w:lineRule="auto"/>
        <w:ind w:left="709" w:hanging="720"/>
        <w:jc w:val="both"/>
        <w:rPr>
          <w:rFonts w:cs="Arial"/>
          <w:sz w:val="24"/>
          <w:szCs w:val="24"/>
        </w:rPr>
      </w:pPr>
      <w:r w:rsidRPr="001A52F1">
        <w:rPr>
          <w:rFonts w:cs="Arial"/>
          <w:sz w:val="24"/>
          <w:szCs w:val="24"/>
        </w:rPr>
        <w:t xml:space="preserve">Having regard to the specific facts in the main case, I am of the view that the issue to be considered at its heart is whether another court would view the manner in which the respondents sought to conduct the investigation in respect of the applicant as being fundamentally fair. </w:t>
      </w:r>
    </w:p>
    <w:p w14:paraId="2538FF5F" w14:textId="77777777" w:rsidR="00E7656F" w:rsidRDefault="00E7656F" w:rsidP="00E7656F">
      <w:pPr>
        <w:pStyle w:val="ListParagraph"/>
        <w:rPr>
          <w:rFonts w:cs="Arial"/>
        </w:rPr>
      </w:pPr>
    </w:p>
    <w:p w14:paraId="07358491" w14:textId="190966FA" w:rsidR="00E91470" w:rsidRDefault="00E91470" w:rsidP="001A52F1">
      <w:pPr>
        <w:pStyle w:val="Body"/>
        <w:numPr>
          <w:ilvl w:val="0"/>
          <w:numId w:val="38"/>
        </w:numPr>
        <w:spacing w:line="360" w:lineRule="auto"/>
        <w:ind w:left="709" w:hanging="720"/>
        <w:jc w:val="both"/>
        <w:rPr>
          <w:rFonts w:cs="Arial"/>
          <w:sz w:val="24"/>
          <w:szCs w:val="24"/>
        </w:rPr>
      </w:pPr>
      <w:r w:rsidRPr="001A52F1">
        <w:rPr>
          <w:rFonts w:cs="Arial"/>
          <w:sz w:val="24"/>
          <w:szCs w:val="24"/>
        </w:rPr>
        <w:t>I was also urged to grant leave to appeal on the basis that various other statutory bodies which conduct investigations and interrogations in the same or similar manner of that the FSCA, would be impacted and that there would be ramifications in consequence of the judgment, were leave to appeal not granted.  I was referred to:</w:t>
      </w:r>
    </w:p>
    <w:p w14:paraId="567D1CE4" w14:textId="16A9B3BC" w:rsidR="001A52F1" w:rsidRDefault="001A52F1" w:rsidP="00E7656F">
      <w:pPr>
        <w:pStyle w:val="Body"/>
        <w:spacing w:line="360" w:lineRule="auto"/>
        <w:ind w:left="-11"/>
        <w:jc w:val="both"/>
        <w:rPr>
          <w:rFonts w:cs="Arial"/>
          <w:sz w:val="24"/>
          <w:szCs w:val="24"/>
        </w:rPr>
      </w:pPr>
    </w:p>
    <w:p w14:paraId="0760ED12" w14:textId="2C7380BD" w:rsidR="00E7656F" w:rsidRDefault="00E7656F" w:rsidP="00E7656F">
      <w:pPr>
        <w:pStyle w:val="Body"/>
        <w:spacing w:line="360" w:lineRule="auto"/>
        <w:ind w:left="-11"/>
        <w:jc w:val="both"/>
        <w:rPr>
          <w:rFonts w:cs="Arial"/>
          <w:sz w:val="24"/>
          <w:szCs w:val="24"/>
        </w:rPr>
      </w:pPr>
    </w:p>
    <w:p w14:paraId="661EAB26" w14:textId="77777777" w:rsidR="00E7656F" w:rsidRPr="001A52F1" w:rsidRDefault="00E7656F" w:rsidP="00E7656F">
      <w:pPr>
        <w:pStyle w:val="Body"/>
        <w:spacing w:line="360" w:lineRule="auto"/>
        <w:ind w:left="-11"/>
        <w:jc w:val="both"/>
        <w:rPr>
          <w:rFonts w:cs="Arial"/>
          <w:sz w:val="24"/>
          <w:szCs w:val="24"/>
        </w:rPr>
      </w:pPr>
    </w:p>
    <w:p w14:paraId="7BBE3166" w14:textId="2A018F4B" w:rsidR="001A52F1" w:rsidRPr="001A52F1" w:rsidRDefault="001A52F1" w:rsidP="001A52F1">
      <w:pPr>
        <w:pStyle w:val="Body"/>
        <w:spacing w:line="360" w:lineRule="auto"/>
        <w:ind w:left="1560" w:hanging="851"/>
        <w:jc w:val="both"/>
        <w:rPr>
          <w:rFonts w:cs="Arial"/>
          <w:i/>
          <w:iCs/>
          <w:sz w:val="22"/>
          <w:szCs w:val="22"/>
        </w:rPr>
      </w:pPr>
      <w:r>
        <w:rPr>
          <w:rFonts w:cs="Arial"/>
          <w:sz w:val="24"/>
          <w:szCs w:val="24"/>
        </w:rPr>
        <w:t>‘</w:t>
      </w:r>
      <w:r w:rsidR="00E91470" w:rsidRPr="001A52F1">
        <w:rPr>
          <w:rFonts w:cs="Arial"/>
          <w:i/>
          <w:iCs/>
          <w:sz w:val="22"/>
          <w:szCs w:val="22"/>
        </w:rPr>
        <w:t>5.</w:t>
      </w:r>
      <w:r w:rsidRPr="001A52F1">
        <w:rPr>
          <w:rFonts w:cs="Arial"/>
          <w:i/>
          <w:iCs/>
          <w:sz w:val="22"/>
          <w:szCs w:val="22"/>
        </w:rPr>
        <w:t>5.1</w:t>
      </w:r>
      <w:r w:rsidRPr="001A52F1">
        <w:rPr>
          <w:rFonts w:cs="Arial"/>
          <w:i/>
          <w:iCs/>
          <w:sz w:val="22"/>
          <w:szCs w:val="22"/>
        </w:rPr>
        <w:tab/>
        <w:t>the Competition Commission (in terms of Chapter 5 of the Competition Act 89 of 1998);</w:t>
      </w:r>
    </w:p>
    <w:p w14:paraId="1917DA7F" w14:textId="77777777" w:rsidR="00A91A03" w:rsidRPr="001A52F1" w:rsidRDefault="00A91A03" w:rsidP="001A52F1">
      <w:pPr>
        <w:pStyle w:val="Body"/>
        <w:spacing w:line="360" w:lineRule="auto"/>
        <w:ind w:left="1560" w:hanging="851"/>
        <w:jc w:val="both"/>
        <w:rPr>
          <w:rFonts w:cs="Arial"/>
          <w:i/>
          <w:iCs/>
          <w:sz w:val="22"/>
          <w:szCs w:val="22"/>
        </w:rPr>
      </w:pPr>
    </w:p>
    <w:p w14:paraId="7BFD1C42" w14:textId="5B458B5C" w:rsidR="00E91470" w:rsidRPr="001A52F1" w:rsidRDefault="001A52F1" w:rsidP="001A52F1">
      <w:pPr>
        <w:pStyle w:val="Body"/>
        <w:spacing w:line="360" w:lineRule="auto"/>
        <w:ind w:left="1560" w:hanging="851"/>
        <w:jc w:val="both"/>
        <w:rPr>
          <w:rFonts w:cs="Arial"/>
          <w:i/>
          <w:iCs/>
          <w:sz w:val="22"/>
          <w:szCs w:val="22"/>
        </w:rPr>
      </w:pPr>
      <w:r w:rsidRPr="001A52F1">
        <w:rPr>
          <w:rFonts w:cs="Arial"/>
          <w:i/>
          <w:iCs/>
          <w:sz w:val="22"/>
          <w:szCs w:val="22"/>
        </w:rPr>
        <w:t>5.5.2</w:t>
      </w:r>
      <w:r w:rsidRPr="001A52F1">
        <w:rPr>
          <w:rFonts w:cs="Arial"/>
          <w:i/>
          <w:iCs/>
          <w:sz w:val="22"/>
          <w:szCs w:val="22"/>
        </w:rPr>
        <w:tab/>
        <w:t>the National Credit Regulator (in terms of Part B and Part C of Chapter 7 of the National Credit Act 34 of 2005);</w:t>
      </w:r>
    </w:p>
    <w:p w14:paraId="7360A04D" w14:textId="5CF29232" w:rsidR="001A52F1" w:rsidRPr="001A52F1" w:rsidRDefault="001A52F1" w:rsidP="001A52F1">
      <w:pPr>
        <w:pStyle w:val="Body"/>
        <w:spacing w:line="360" w:lineRule="auto"/>
        <w:ind w:left="1560" w:hanging="851"/>
        <w:jc w:val="both"/>
        <w:rPr>
          <w:rFonts w:cs="Arial"/>
          <w:i/>
          <w:iCs/>
          <w:sz w:val="22"/>
          <w:szCs w:val="22"/>
        </w:rPr>
      </w:pPr>
    </w:p>
    <w:p w14:paraId="60DF7B7A" w14:textId="160025DC" w:rsidR="001A52F1" w:rsidRPr="001A52F1" w:rsidRDefault="001A52F1" w:rsidP="001A52F1">
      <w:pPr>
        <w:pStyle w:val="Body"/>
        <w:spacing w:line="360" w:lineRule="auto"/>
        <w:ind w:left="1560" w:hanging="851"/>
        <w:jc w:val="both"/>
        <w:rPr>
          <w:rFonts w:cs="Arial"/>
          <w:i/>
          <w:iCs/>
          <w:sz w:val="22"/>
          <w:szCs w:val="22"/>
        </w:rPr>
      </w:pPr>
      <w:r w:rsidRPr="001A52F1">
        <w:rPr>
          <w:rFonts w:cs="Arial"/>
          <w:i/>
          <w:iCs/>
          <w:sz w:val="22"/>
          <w:szCs w:val="22"/>
        </w:rPr>
        <w:t>5.5.3</w:t>
      </w:r>
      <w:r w:rsidRPr="001A52F1">
        <w:rPr>
          <w:rFonts w:cs="Arial"/>
          <w:i/>
          <w:iCs/>
          <w:sz w:val="22"/>
          <w:szCs w:val="22"/>
        </w:rPr>
        <w:tab/>
        <w:t>the National Consumer Commission (in terms of Part B of Chapter 3 of the Consumer Protection Act 68 of 2008);</w:t>
      </w:r>
    </w:p>
    <w:p w14:paraId="1EB92FCE" w14:textId="416BC53B" w:rsidR="001A52F1" w:rsidRPr="001A52F1" w:rsidRDefault="001A52F1" w:rsidP="001A52F1">
      <w:pPr>
        <w:pStyle w:val="Body"/>
        <w:spacing w:line="360" w:lineRule="auto"/>
        <w:ind w:left="1560" w:hanging="851"/>
        <w:jc w:val="both"/>
        <w:rPr>
          <w:rFonts w:cs="Arial"/>
          <w:i/>
          <w:iCs/>
          <w:sz w:val="22"/>
          <w:szCs w:val="22"/>
        </w:rPr>
      </w:pPr>
    </w:p>
    <w:p w14:paraId="5E7A48A4" w14:textId="2A23B6F0" w:rsidR="001A52F1" w:rsidRPr="001A52F1" w:rsidRDefault="001A52F1" w:rsidP="001A52F1">
      <w:pPr>
        <w:pStyle w:val="Body"/>
        <w:spacing w:line="360" w:lineRule="auto"/>
        <w:ind w:left="1560" w:hanging="851"/>
        <w:jc w:val="both"/>
        <w:rPr>
          <w:rFonts w:cs="Arial"/>
          <w:i/>
          <w:iCs/>
          <w:sz w:val="22"/>
          <w:szCs w:val="22"/>
        </w:rPr>
      </w:pPr>
      <w:r w:rsidRPr="001A52F1">
        <w:rPr>
          <w:rFonts w:cs="Arial"/>
          <w:i/>
          <w:iCs/>
          <w:sz w:val="22"/>
          <w:szCs w:val="22"/>
        </w:rPr>
        <w:t>5.5.4</w:t>
      </w:r>
      <w:r w:rsidRPr="001A52F1">
        <w:rPr>
          <w:rFonts w:cs="Arial"/>
          <w:i/>
          <w:iCs/>
          <w:sz w:val="22"/>
          <w:szCs w:val="22"/>
        </w:rPr>
        <w:tab/>
        <w:t>the South African Revenue Service (in terms of inter alia Chapter 5 of the Tax Administration Act 28 of 2011);</w:t>
      </w:r>
    </w:p>
    <w:p w14:paraId="372DE06B" w14:textId="76072A6E" w:rsidR="001A52F1" w:rsidRPr="001A52F1" w:rsidRDefault="001A52F1" w:rsidP="001A52F1">
      <w:pPr>
        <w:pStyle w:val="Body"/>
        <w:spacing w:line="360" w:lineRule="auto"/>
        <w:ind w:left="1560" w:hanging="851"/>
        <w:jc w:val="both"/>
        <w:rPr>
          <w:rFonts w:cs="Arial"/>
          <w:i/>
          <w:iCs/>
          <w:sz w:val="22"/>
          <w:szCs w:val="22"/>
        </w:rPr>
      </w:pPr>
    </w:p>
    <w:p w14:paraId="0BF3BBB2" w14:textId="0EE96D3F" w:rsidR="001A52F1" w:rsidRPr="001A52F1" w:rsidRDefault="001A52F1" w:rsidP="001A52F1">
      <w:pPr>
        <w:pStyle w:val="Body"/>
        <w:spacing w:line="360" w:lineRule="auto"/>
        <w:ind w:left="1560" w:hanging="851"/>
        <w:jc w:val="both"/>
        <w:rPr>
          <w:rFonts w:cs="Arial"/>
          <w:i/>
          <w:iCs/>
          <w:sz w:val="22"/>
          <w:szCs w:val="22"/>
        </w:rPr>
      </w:pPr>
      <w:r w:rsidRPr="001A52F1">
        <w:rPr>
          <w:rFonts w:cs="Arial"/>
          <w:i/>
          <w:iCs/>
          <w:sz w:val="22"/>
          <w:szCs w:val="22"/>
        </w:rPr>
        <w:t>5.5.5</w:t>
      </w:r>
      <w:r w:rsidRPr="001A52F1">
        <w:rPr>
          <w:rFonts w:cs="Arial"/>
          <w:i/>
          <w:iCs/>
          <w:sz w:val="22"/>
          <w:szCs w:val="22"/>
        </w:rPr>
        <w:tab/>
        <w:t>the International Trade Administration Commission (in terms of Part E of Chapter 4 of the International Trade Administration Act 71 of 2002); and</w:t>
      </w:r>
    </w:p>
    <w:p w14:paraId="2C10C921" w14:textId="1B00B628" w:rsidR="001A52F1" w:rsidRPr="001A52F1" w:rsidRDefault="001A52F1" w:rsidP="001A52F1">
      <w:pPr>
        <w:pStyle w:val="Body"/>
        <w:spacing w:line="360" w:lineRule="auto"/>
        <w:ind w:left="1560" w:hanging="851"/>
        <w:jc w:val="both"/>
        <w:rPr>
          <w:rFonts w:cs="Arial"/>
          <w:i/>
          <w:iCs/>
          <w:sz w:val="22"/>
          <w:szCs w:val="22"/>
        </w:rPr>
      </w:pPr>
    </w:p>
    <w:p w14:paraId="0558D4BB" w14:textId="5DC4863F" w:rsidR="001A52F1" w:rsidRPr="001A52F1" w:rsidRDefault="001A52F1" w:rsidP="001A52F1">
      <w:pPr>
        <w:pStyle w:val="Body"/>
        <w:spacing w:line="360" w:lineRule="auto"/>
        <w:ind w:left="1560" w:hanging="851"/>
        <w:jc w:val="both"/>
        <w:rPr>
          <w:rFonts w:cs="Arial"/>
          <w:i/>
          <w:iCs/>
          <w:sz w:val="22"/>
          <w:szCs w:val="22"/>
        </w:rPr>
      </w:pPr>
      <w:r w:rsidRPr="001A52F1">
        <w:rPr>
          <w:rFonts w:cs="Arial"/>
          <w:i/>
          <w:iCs/>
          <w:sz w:val="22"/>
          <w:szCs w:val="22"/>
        </w:rPr>
        <w:t>5.6</w:t>
      </w:r>
      <w:r w:rsidRPr="001A52F1">
        <w:rPr>
          <w:rFonts w:cs="Arial"/>
          <w:i/>
          <w:iCs/>
          <w:sz w:val="22"/>
          <w:szCs w:val="22"/>
        </w:rPr>
        <w:tab/>
        <w:t>almost every Commission of Inquiry established under section 84(2)(f) of the Constitution.’</w:t>
      </w:r>
    </w:p>
    <w:p w14:paraId="77437C59" w14:textId="73065F2A" w:rsidR="00E91470" w:rsidRDefault="00E91470" w:rsidP="00E91470">
      <w:pPr>
        <w:pStyle w:val="Body"/>
        <w:spacing w:line="360" w:lineRule="auto"/>
        <w:jc w:val="both"/>
        <w:rPr>
          <w:rFonts w:cs="Arial"/>
          <w:sz w:val="24"/>
          <w:szCs w:val="24"/>
        </w:rPr>
      </w:pPr>
    </w:p>
    <w:p w14:paraId="6AFA5974" w14:textId="72F9CACE" w:rsidR="004A0230" w:rsidRPr="004A0230" w:rsidRDefault="00E91470" w:rsidP="004A0230">
      <w:pPr>
        <w:pStyle w:val="Body"/>
        <w:numPr>
          <w:ilvl w:val="0"/>
          <w:numId w:val="38"/>
        </w:numPr>
        <w:spacing w:line="360" w:lineRule="auto"/>
        <w:ind w:hanging="720"/>
        <w:jc w:val="both"/>
        <w:rPr>
          <w:rFonts w:cs="Arial"/>
          <w:i/>
          <w:iCs/>
          <w:sz w:val="24"/>
          <w:szCs w:val="24"/>
        </w:rPr>
      </w:pPr>
      <w:r>
        <w:rPr>
          <w:rFonts w:cs="Arial"/>
          <w:sz w:val="24"/>
          <w:szCs w:val="24"/>
        </w:rPr>
        <w:t>I</w:t>
      </w:r>
      <w:r w:rsidR="00774222">
        <w:rPr>
          <w:rFonts w:cs="Arial"/>
          <w:sz w:val="24"/>
          <w:szCs w:val="24"/>
        </w:rPr>
        <w:t>t is self-evident</w:t>
      </w:r>
      <w:r>
        <w:rPr>
          <w:rFonts w:cs="Arial"/>
          <w:sz w:val="24"/>
          <w:szCs w:val="24"/>
        </w:rPr>
        <w:t xml:space="preserve"> that every statutorily established body is required to conduct itself in a constitutionally compliant way </w:t>
      </w:r>
      <w:r w:rsidR="00774222">
        <w:rPr>
          <w:rFonts w:cs="Arial"/>
          <w:sz w:val="24"/>
          <w:szCs w:val="24"/>
        </w:rPr>
        <w:t>and</w:t>
      </w:r>
      <w:r>
        <w:rPr>
          <w:rFonts w:cs="Arial"/>
          <w:sz w:val="24"/>
          <w:szCs w:val="24"/>
        </w:rPr>
        <w:t xml:space="preserve"> must recognize that </w:t>
      </w:r>
      <w:r w:rsidRPr="004A0230">
        <w:rPr>
          <w:rFonts w:cs="Arial"/>
          <w:i/>
          <w:iCs/>
          <w:sz w:val="22"/>
          <w:szCs w:val="22"/>
        </w:rPr>
        <w:t>‘every citizen is equally protected by law’</w:t>
      </w:r>
      <w:r>
        <w:rPr>
          <w:rStyle w:val="FootnoteReference"/>
          <w:rFonts w:cs="Arial"/>
          <w:sz w:val="24"/>
          <w:szCs w:val="24"/>
        </w:rPr>
        <w:footnoteReference w:id="3"/>
      </w:r>
      <w:r>
        <w:rPr>
          <w:rFonts w:cs="Arial"/>
          <w:sz w:val="24"/>
          <w:szCs w:val="24"/>
        </w:rPr>
        <w:t xml:space="preserve"> and the rights afforded by the Constitution, and in particular those rights set out in Sections 33 (Right to just administrative action), 34 (Access to courts) and 35 (Arrested, detained and accused persons).   </w:t>
      </w:r>
    </w:p>
    <w:p w14:paraId="31507894" w14:textId="77777777" w:rsidR="004A0230" w:rsidRDefault="004A0230" w:rsidP="004A0230">
      <w:pPr>
        <w:pStyle w:val="Body"/>
        <w:spacing w:line="360" w:lineRule="auto"/>
        <w:ind w:left="720"/>
        <w:jc w:val="both"/>
        <w:rPr>
          <w:rFonts w:cs="Arial"/>
          <w:i/>
          <w:iCs/>
          <w:sz w:val="24"/>
          <w:szCs w:val="24"/>
        </w:rPr>
      </w:pPr>
    </w:p>
    <w:p w14:paraId="4186D290" w14:textId="0D397B7F" w:rsidR="004A0230" w:rsidRDefault="00E91470" w:rsidP="004A0230">
      <w:pPr>
        <w:pStyle w:val="Body"/>
        <w:numPr>
          <w:ilvl w:val="0"/>
          <w:numId w:val="38"/>
        </w:numPr>
        <w:spacing w:line="360" w:lineRule="auto"/>
        <w:ind w:hanging="720"/>
        <w:jc w:val="both"/>
        <w:rPr>
          <w:rFonts w:cs="Arial"/>
          <w:i/>
          <w:iCs/>
          <w:sz w:val="24"/>
          <w:szCs w:val="24"/>
        </w:rPr>
      </w:pPr>
      <w:r w:rsidRPr="004A0230">
        <w:rPr>
          <w:rFonts w:cs="Arial"/>
          <w:sz w:val="24"/>
          <w:szCs w:val="24"/>
        </w:rPr>
        <w:t>I have considered all the grounds upon which this application for leave to appeal has been brought, the reasons for granting the judgment</w:t>
      </w:r>
      <w:r w:rsidR="00E81F26">
        <w:rPr>
          <w:rFonts w:cs="Arial"/>
          <w:sz w:val="24"/>
          <w:szCs w:val="24"/>
        </w:rPr>
        <w:t xml:space="preserve"> and order</w:t>
      </w:r>
      <w:r w:rsidRPr="004A0230">
        <w:rPr>
          <w:rFonts w:cs="Arial"/>
          <w:sz w:val="24"/>
          <w:szCs w:val="24"/>
        </w:rPr>
        <w:t xml:space="preserve"> of 8 July 2022</w:t>
      </w:r>
      <w:r w:rsidR="00774222">
        <w:rPr>
          <w:rFonts w:cs="Arial"/>
          <w:sz w:val="24"/>
          <w:szCs w:val="24"/>
        </w:rPr>
        <w:t>,</w:t>
      </w:r>
      <w:r w:rsidRPr="004A0230">
        <w:rPr>
          <w:rFonts w:cs="Arial"/>
          <w:sz w:val="24"/>
          <w:szCs w:val="24"/>
        </w:rPr>
        <w:t xml:space="preserve"> a</w:t>
      </w:r>
      <w:r w:rsidR="00774222">
        <w:rPr>
          <w:rFonts w:cs="Arial"/>
          <w:sz w:val="24"/>
          <w:szCs w:val="24"/>
        </w:rPr>
        <w:t>s well as</w:t>
      </w:r>
      <w:r w:rsidRPr="004A0230">
        <w:rPr>
          <w:rFonts w:cs="Arial"/>
          <w:sz w:val="24"/>
          <w:szCs w:val="24"/>
        </w:rPr>
        <w:t xml:space="preserve"> the arguments advanced on behalf of the parties and I am of the view that there is neither a reasonable prospect that another court would come to a different conclusion nor any </w:t>
      </w:r>
      <w:r w:rsidR="00774222">
        <w:rPr>
          <w:rFonts w:cs="Arial"/>
          <w:sz w:val="24"/>
          <w:szCs w:val="24"/>
        </w:rPr>
        <w:t xml:space="preserve">other </w:t>
      </w:r>
      <w:r w:rsidRPr="004A0230">
        <w:rPr>
          <w:rFonts w:cs="Arial"/>
          <w:sz w:val="24"/>
          <w:szCs w:val="24"/>
        </w:rPr>
        <w:t>compelling reason for the granting of leave to appeal.</w:t>
      </w:r>
    </w:p>
    <w:p w14:paraId="6C48B2C1" w14:textId="432607C3" w:rsidR="004A0230" w:rsidRDefault="004A0230" w:rsidP="004A0230">
      <w:pPr>
        <w:pStyle w:val="ListParagraph"/>
        <w:rPr>
          <w:rFonts w:cs="Arial"/>
        </w:rPr>
      </w:pPr>
    </w:p>
    <w:p w14:paraId="731771B3" w14:textId="6571C28E" w:rsidR="00A91A03" w:rsidRDefault="00A91A03" w:rsidP="004A0230">
      <w:pPr>
        <w:pStyle w:val="ListParagraph"/>
        <w:rPr>
          <w:rFonts w:cs="Arial"/>
        </w:rPr>
      </w:pPr>
    </w:p>
    <w:p w14:paraId="5841BC64" w14:textId="77777777" w:rsidR="00A91A03" w:rsidRDefault="00A91A03" w:rsidP="004A0230">
      <w:pPr>
        <w:pStyle w:val="ListParagraph"/>
        <w:rPr>
          <w:rFonts w:cs="Arial"/>
        </w:rPr>
      </w:pPr>
    </w:p>
    <w:p w14:paraId="410BAC05" w14:textId="77777777" w:rsidR="004A0230" w:rsidRDefault="00F10A9C" w:rsidP="004A0230">
      <w:pPr>
        <w:pStyle w:val="Body"/>
        <w:numPr>
          <w:ilvl w:val="0"/>
          <w:numId w:val="38"/>
        </w:numPr>
        <w:spacing w:line="360" w:lineRule="auto"/>
        <w:ind w:hanging="720"/>
        <w:jc w:val="both"/>
        <w:rPr>
          <w:rFonts w:cs="Arial"/>
          <w:i/>
          <w:iCs/>
          <w:sz w:val="24"/>
          <w:szCs w:val="24"/>
        </w:rPr>
      </w:pPr>
      <w:r w:rsidRPr="004A0230">
        <w:rPr>
          <w:rFonts w:cs="Arial"/>
          <w:sz w:val="24"/>
          <w:szCs w:val="24"/>
        </w:rPr>
        <w:t>I</w:t>
      </w:r>
      <w:r w:rsidR="006A32CF" w:rsidRPr="004A0230">
        <w:rPr>
          <w:rFonts w:cs="Arial"/>
          <w:sz w:val="24"/>
          <w:szCs w:val="24"/>
        </w:rPr>
        <w:t>n the circumstances I make the following order:</w:t>
      </w:r>
    </w:p>
    <w:p w14:paraId="77D316B4" w14:textId="77777777" w:rsidR="004A0230" w:rsidRDefault="004A0230" w:rsidP="004A0230">
      <w:pPr>
        <w:pStyle w:val="ListParagraph"/>
        <w:rPr>
          <w:rFonts w:cs="Arial"/>
          <w:bCs/>
        </w:rPr>
      </w:pPr>
    </w:p>
    <w:p w14:paraId="329BAC00" w14:textId="08045DF8" w:rsidR="004A0230" w:rsidRPr="004A0230" w:rsidRDefault="00E91470" w:rsidP="00E7656F">
      <w:pPr>
        <w:pStyle w:val="Body"/>
        <w:numPr>
          <w:ilvl w:val="1"/>
          <w:numId w:val="42"/>
        </w:numPr>
        <w:spacing w:line="360" w:lineRule="auto"/>
        <w:jc w:val="both"/>
        <w:rPr>
          <w:rFonts w:cs="Arial"/>
          <w:i/>
          <w:iCs/>
          <w:sz w:val="24"/>
          <w:szCs w:val="24"/>
        </w:rPr>
      </w:pPr>
      <w:r w:rsidRPr="004A0230">
        <w:rPr>
          <w:rFonts w:cs="Arial"/>
          <w:bCs/>
          <w:sz w:val="24"/>
          <w:szCs w:val="24"/>
        </w:rPr>
        <w:t xml:space="preserve">The application </w:t>
      </w:r>
      <w:r w:rsidR="00075501" w:rsidRPr="004A0230">
        <w:rPr>
          <w:rFonts w:cs="Arial"/>
          <w:bCs/>
          <w:sz w:val="24"/>
          <w:szCs w:val="24"/>
        </w:rPr>
        <w:t xml:space="preserve">for leave to appeal </w:t>
      </w:r>
      <w:r w:rsidRPr="004A0230">
        <w:rPr>
          <w:rFonts w:cs="Arial"/>
          <w:bCs/>
          <w:sz w:val="24"/>
          <w:szCs w:val="24"/>
        </w:rPr>
        <w:t>is dismissed</w:t>
      </w:r>
      <w:r w:rsidR="00075501" w:rsidRPr="004A0230">
        <w:rPr>
          <w:rFonts w:cs="Arial"/>
          <w:bCs/>
          <w:sz w:val="24"/>
          <w:szCs w:val="24"/>
        </w:rPr>
        <w:t>.</w:t>
      </w:r>
    </w:p>
    <w:p w14:paraId="5178567D" w14:textId="77777777" w:rsidR="004A0230" w:rsidRDefault="004A0230" w:rsidP="004A0230">
      <w:pPr>
        <w:pStyle w:val="Body"/>
        <w:spacing w:line="360" w:lineRule="auto"/>
        <w:ind w:left="1418" w:hanging="709"/>
        <w:jc w:val="both"/>
        <w:rPr>
          <w:rFonts w:cs="Arial"/>
          <w:i/>
          <w:iCs/>
          <w:sz w:val="24"/>
          <w:szCs w:val="24"/>
        </w:rPr>
      </w:pPr>
    </w:p>
    <w:p w14:paraId="752F9BF8" w14:textId="3EF4ABEB" w:rsidR="00E91470" w:rsidRPr="004A0230" w:rsidRDefault="00075501" w:rsidP="00E7656F">
      <w:pPr>
        <w:pStyle w:val="Body"/>
        <w:numPr>
          <w:ilvl w:val="1"/>
          <w:numId w:val="42"/>
        </w:numPr>
        <w:spacing w:line="360" w:lineRule="auto"/>
        <w:ind w:left="1418" w:hanging="709"/>
        <w:jc w:val="both"/>
        <w:rPr>
          <w:rFonts w:cs="Arial"/>
          <w:i/>
          <w:iCs/>
          <w:sz w:val="24"/>
          <w:szCs w:val="24"/>
        </w:rPr>
      </w:pPr>
      <w:r w:rsidRPr="004A0230">
        <w:rPr>
          <w:rFonts w:cs="Arial"/>
          <w:bCs/>
          <w:sz w:val="24"/>
          <w:szCs w:val="24"/>
        </w:rPr>
        <w:t>The respondents (applicants for leave to appeal) are ordered to pay the costs</w:t>
      </w:r>
      <w:r w:rsidR="00E91470" w:rsidRPr="004A0230">
        <w:rPr>
          <w:rFonts w:cs="Arial"/>
          <w:bCs/>
          <w:sz w:val="24"/>
          <w:szCs w:val="24"/>
        </w:rPr>
        <w:t>.</w:t>
      </w:r>
    </w:p>
    <w:p w14:paraId="3E7F8117" w14:textId="77777777" w:rsidR="00E91470" w:rsidRDefault="00E91470" w:rsidP="00E91470">
      <w:pPr>
        <w:pStyle w:val="Body"/>
        <w:tabs>
          <w:tab w:val="left" w:pos="851"/>
        </w:tabs>
        <w:spacing w:line="360" w:lineRule="auto"/>
        <w:ind w:left="1701" w:hanging="850"/>
        <w:jc w:val="both"/>
        <w:rPr>
          <w:rFonts w:cs="Arial"/>
          <w:sz w:val="24"/>
          <w:szCs w:val="24"/>
        </w:rPr>
      </w:pPr>
    </w:p>
    <w:p w14:paraId="624BA256" w14:textId="77777777" w:rsidR="00CB5978" w:rsidRDefault="00CB5978" w:rsidP="00F41E52">
      <w:pPr>
        <w:pStyle w:val="Body"/>
        <w:spacing w:line="360" w:lineRule="auto"/>
        <w:ind w:left="720"/>
        <w:jc w:val="right"/>
        <w:rPr>
          <w:rFonts w:cs="Arial"/>
          <w:b/>
          <w:bCs/>
          <w:sz w:val="24"/>
          <w:szCs w:val="24"/>
        </w:rPr>
      </w:pPr>
    </w:p>
    <w:p w14:paraId="75814BE3" w14:textId="112F653D" w:rsidR="00101D88" w:rsidRPr="00413603" w:rsidRDefault="00101D88" w:rsidP="00F41E52">
      <w:pPr>
        <w:pStyle w:val="Body"/>
        <w:spacing w:line="360" w:lineRule="auto"/>
        <w:ind w:left="720"/>
        <w:jc w:val="right"/>
        <w:rPr>
          <w:rFonts w:cs="Arial"/>
          <w:sz w:val="24"/>
          <w:szCs w:val="24"/>
        </w:rPr>
      </w:pPr>
      <w:r w:rsidRPr="00413603">
        <w:rPr>
          <w:rFonts w:cs="Arial"/>
          <w:b/>
          <w:bCs/>
          <w:sz w:val="24"/>
          <w:szCs w:val="24"/>
        </w:rPr>
        <w:t>_____________________________</w:t>
      </w:r>
    </w:p>
    <w:p w14:paraId="67B4416D" w14:textId="77777777" w:rsidR="001D6C62" w:rsidRDefault="001D6C62" w:rsidP="00F41E52">
      <w:pPr>
        <w:pStyle w:val="BodyA"/>
        <w:spacing w:line="360" w:lineRule="auto"/>
        <w:ind w:left="720"/>
        <w:jc w:val="right"/>
        <w:rPr>
          <w:rFonts w:ascii="Arial" w:hAnsi="Arial" w:cs="Arial"/>
          <w:b/>
          <w:bCs/>
        </w:rPr>
      </w:pPr>
    </w:p>
    <w:p w14:paraId="7C493B1F" w14:textId="65ACEF1C" w:rsidR="00101D88" w:rsidRPr="00242E76" w:rsidRDefault="00101D88" w:rsidP="00F41E52">
      <w:pPr>
        <w:pStyle w:val="BodyA"/>
        <w:spacing w:line="360" w:lineRule="auto"/>
        <w:ind w:left="7920"/>
        <w:jc w:val="right"/>
        <w:rPr>
          <w:rFonts w:ascii="Arial" w:hAnsi="Arial" w:cs="Arial"/>
          <w:b/>
          <w:bCs/>
        </w:rPr>
      </w:pPr>
      <w:r w:rsidRPr="00242E76">
        <w:rPr>
          <w:rFonts w:ascii="Arial" w:hAnsi="Arial" w:cs="Arial"/>
          <w:b/>
          <w:bCs/>
        </w:rPr>
        <w:t>A MILLAR</w:t>
      </w:r>
    </w:p>
    <w:p w14:paraId="206E179D" w14:textId="76294E94" w:rsidR="00101D88" w:rsidRPr="00242E76" w:rsidRDefault="00101D88" w:rsidP="004A0230">
      <w:pPr>
        <w:pStyle w:val="BodyA"/>
        <w:spacing w:before="120"/>
        <w:ind w:left="720"/>
        <w:jc w:val="right"/>
        <w:rPr>
          <w:rFonts w:ascii="Arial" w:hAnsi="Arial" w:cs="Arial"/>
          <w:b/>
          <w:bCs/>
        </w:rPr>
      </w:pPr>
      <w:r w:rsidRPr="00242E76">
        <w:rPr>
          <w:rFonts w:ascii="Arial" w:hAnsi="Arial" w:cs="Arial"/>
          <w:b/>
          <w:bCs/>
        </w:rPr>
        <w:t xml:space="preserve"> JUDGE OF THE HIGH COURT</w:t>
      </w:r>
    </w:p>
    <w:p w14:paraId="4EBF1408" w14:textId="77777777" w:rsidR="00416EA1" w:rsidRPr="00242E76" w:rsidRDefault="00416EA1" w:rsidP="004A0230">
      <w:pPr>
        <w:spacing w:before="120"/>
        <w:ind w:left="720"/>
        <w:jc w:val="right"/>
        <w:rPr>
          <w:rFonts w:ascii="Arial" w:eastAsia="Arial Unicode MS" w:hAnsi="Arial" w:cs="Arial"/>
          <w:b/>
          <w:sz w:val="22"/>
          <w:szCs w:val="22"/>
        </w:rPr>
      </w:pPr>
      <w:r w:rsidRPr="00242E76">
        <w:rPr>
          <w:rFonts w:ascii="Arial" w:eastAsia="Arial Unicode MS" w:hAnsi="Arial" w:cs="Arial"/>
          <w:b/>
          <w:sz w:val="22"/>
          <w:szCs w:val="22"/>
        </w:rPr>
        <w:t>GAUTENG DIVISION, PRETORIA</w:t>
      </w:r>
    </w:p>
    <w:p w14:paraId="365DFCFC" w14:textId="77777777" w:rsidR="00416EA1" w:rsidRPr="00077E92" w:rsidRDefault="00416EA1" w:rsidP="00F41E52">
      <w:pPr>
        <w:pStyle w:val="BodyA"/>
        <w:spacing w:line="360" w:lineRule="auto"/>
        <w:ind w:left="720"/>
        <w:jc w:val="right"/>
        <w:rPr>
          <w:rFonts w:ascii="Arial" w:eastAsia="Tahoma" w:hAnsi="Arial" w:cs="Arial"/>
          <w:b/>
          <w:bCs/>
        </w:rPr>
      </w:pPr>
    </w:p>
    <w:p w14:paraId="6370866B" w14:textId="66FA6204" w:rsidR="00416EA1" w:rsidRDefault="00416EA1" w:rsidP="00F41E52">
      <w:pPr>
        <w:spacing w:line="360" w:lineRule="auto"/>
        <w:ind w:left="567" w:hanging="567"/>
        <w:jc w:val="both"/>
        <w:rPr>
          <w:rFonts w:ascii="Arial" w:hAnsi="Arial" w:cs="Arial"/>
        </w:rPr>
      </w:pPr>
    </w:p>
    <w:tbl>
      <w:tblPr>
        <w:tblStyle w:val="TableGrid"/>
        <w:tblW w:w="0" w:type="auto"/>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3"/>
        <w:gridCol w:w="4390"/>
      </w:tblGrid>
      <w:tr w:rsidR="00DD2100" w14:paraId="0AC49193" w14:textId="77777777" w:rsidTr="004A0230">
        <w:tc>
          <w:tcPr>
            <w:tcW w:w="4823" w:type="dxa"/>
          </w:tcPr>
          <w:p w14:paraId="22AF55A1" w14:textId="014C3923" w:rsidR="00DD2100" w:rsidRPr="00DD2100" w:rsidRDefault="00DD2100" w:rsidP="00F41E52">
            <w:pPr>
              <w:spacing w:line="360" w:lineRule="auto"/>
              <w:jc w:val="both"/>
              <w:rPr>
                <w:rFonts w:ascii="Arial" w:hAnsi="Arial" w:cs="Arial"/>
                <w:b/>
                <w:bCs/>
              </w:rPr>
            </w:pPr>
            <w:r w:rsidRPr="00DD2100">
              <w:rPr>
                <w:rFonts w:ascii="Arial" w:hAnsi="Arial" w:cs="Arial"/>
                <w:b/>
                <w:bCs/>
                <w:sz w:val="24"/>
                <w:szCs w:val="24"/>
              </w:rPr>
              <w:t>HEARD ON:</w:t>
            </w:r>
            <w:r w:rsidRPr="00DD2100">
              <w:rPr>
                <w:rFonts w:ascii="Arial" w:hAnsi="Arial" w:cs="Arial"/>
                <w:b/>
                <w:bCs/>
                <w:sz w:val="24"/>
                <w:szCs w:val="24"/>
              </w:rPr>
              <w:tab/>
            </w:r>
          </w:p>
        </w:tc>
        <w:tc>
          <w:tcPr>
            <w:tcW w:w="4390" w:type="dxa"/>
          </w:tcPr>
          <w:p w14:paraId="3B74CC0B" w14:textId="50BF23FF" w:rsidR="00DD2100" w:rsidRPr="00DD2100" w:rsidRDefault="00F10A9C" w:rsidP="00F41E52">
            <w:pPr>
              <w:spacing w:line="360" w:lineRule="auto"/>
              <w:jc w:val="both"/>
              <w:rPr>
                <w:rFonts w:ascii="Arial" w:hAnsi="Arial" w:cs="Arial"/>
                <w:b/>
                <w:bCs/>
              </w:rPr>
            </w:pPr>
            <w:r>
              <w:rPr>
                <w:rFonts w:ascii="Arial" w:hAnsi="Arial" w:cs="Arial"/>
                <w:b/>
                <w:bCs/>
                <w:sz w:val="24"/>
                <w:szCs w:val="24"/>
              </w:rPr>
              <w:t>26 JULY</w:t>
            </w:r>
            <w:r w:rsidR="00DD2100" w:rsidRPr="00DD2100">
              <w:rPr>
                <w:rFonts w:ascii="Arial" w:hAnsi="Arial" w:cs="Arial"/>
                <w:b/>
                <w:bCs/>
                <w:sz w:val="24"/>
                <w:szCs w:val="24"/>
              </w:rPr>
              <w:t xml:space="preserve"> 2022</w:t>
            </w:r>
          </w:p>
        </w:tc>
      </w:tr>
      <w:tr w:rsidR="00DD2100" w14:paraId="5B4E8B00" w14:textId="77777777" w:rsidTr="004A0230">
        <w:tc>
          <w:tcPr>
            <w:tcW w:w="4823" w:type="dxa"/>
          </w:tcPr>
          <w:p w14:paraId="32116422" w14:textId="393F952C" w:rsidR="00DD2100" w:rsidRPr="00DD2100" w:rsidRDefault="00DD2100" w:rsidP="00F41E52">
            <w:pPr>
              <w:spacing w:line="360" w:lineRule="auto"/>
              <w:jc w:val="both"/>
              <w:rPr>
                <w:rFonts w:ascii="Arial" w:hAnsi="Arial" w:cs="Arial"/>
                <w:b/>
                <w:bCs/>
              </w:rPr>
            </w:pPr>
            <w:r w:rsidRPr="00DD2100">
              <w:rPr>
                <w:rFonts w:ascii="Arial" w:hAnsi="Arial" w:cs="Arial"/>
                <w:b/>
                <w:bCs/>
                <w:sz w:val="24"/>
                <w:szCs w:val="24"/>
              </w:rPr>
              <w:t>JUDGMENT DELIVERED ON:</w:t>
            </w:r>
          </w:p>
        </w:tc>
        <w:tc>
          <w:tcPr>
            <w:tcW w:w="4390" w:type="dxa"/>
          </w:tcPr>
          <w:p w14:paraId="603B3AE0" w14:textId="3D1327E7" w:rsidR="00DD2100" w:rsidRPr="00DD2100" w:rsidRDefault="00D01E98" w:rsidP="00F41E52">
            <w:pPr>
              <w:spacing w:line="360" w:lineRule="auto"/>
              <w:jc w:val="both"/>
              <w:rPr>
                <w:rFonts w:ascii="Arial" w:hAnsi="Arial" w:cs="Arial"/>
                <w:b/>
                <w:bCs/>
              </w:rPr>
            </w:pPr>
            <w:r>
              <w:rPr>
                <w:rFonts w:ascii="Arial" w:hAnsi="Arial" w:cs="Arial"/>
                <w:b/>
                <w:bCs/>
                <w:sz w:val="24"/>
                <w:szCs w:val="24"/>
              </w:rPr>
              <w:t>1 AUGUST</w:t>
            </w:r>
            <w:r w:rsidR="00DD2100" w:rsidRPr="00DD2100">
              <w:rPr>
                <w:rFonts w:ascii="Arial" w:hAnsi="Arial" w:cs="Arial"/>
                <w:b/>
                <w:bCs/>
                <w:sz w:val="24"/>
                <w:szCs w:val="24"/>
              </w:rPr>
              <w:t xml:space="preserve"> 2022</w:t>
            </w:r>
          </w:p>
        </w:tc>
      </w:tr>
      <w:tr w:rsidR="00DD2100" w14:paraId="17B74B10" w14:textId="77777777" w:rsidTr="004A0230">
        <w:tc>
          <w:tcPr>
            <w:tcW w:w="4823" w:type="dxa"/>
          </w:tcPr>
          <w:p w14:paraId="6F3760DB" w14:textId="29EF58A3" w:rsidR="00DD2100" w:rsidRPr="00DD2100" w:rsidRDefault="00DD2100" w:rsidP="00F41E52">
            <w:pPr>
              <w:spacing w:line="360" w:lineRule="auto"/>
              <w:jc w:val="both"/>
              <w:rPr>
                <w:rFonts w:ascii="Arial" w:hAnsi="Arial" w:cs="Arial"/>
                <w:b/>
                <w:bCs/>
              </w:rPr>
            </w:pPr>
            <w:r w:rsidRPr="00DD2100">
              <w:rPr>
                <w:rFonts w:ascii="Arial" w:hAnsi="Arial" w:cs="Arial"/>
                <w:b/>
                <w:bCs/>
                <w:sz w:val="24"/>
                <w:szCs w:val="24"/>
              </w:rPr>
              <w:t>COUNSEL FOR THE APPLICANT:</w:t>
            </w:r>
          </w:p>
        </w:tc>
        <w:tc>
          <w:tcPr>
            <w:tcW w:w="4390" w:type="dxa"/>
          </w:tcPr>
          <w:p w14:paraId="3A8B93F1" w14:textId="682D00E5" w:rsidR="00DD2100" w:rsidRPr="00DD2100" w:rsidRDefault="00DD2100" w:rsidP="00F41E52">
            <w:pPr>
              <w:spacing w:line="360" w:lineRule="auto"/>
              <w:jc w:val="both"/>
              <w:rPr>
                <w:rFonts w:ascii="Arial" w:hAnsi="Arial" w:cs="Arial"/>
                <w:b/>
                <w:bCs/>
              </w:rPr>
            </w:pPr>
            <w:r w:rsidRPr="00DD2100">
              <w:rPr>
                <w:rFonts w:ascii="Arial" w:hAnsi="Arial" w:cs="Arial"/>
                <w:b/>
                <w:bCs/>
                <w:sz w:val="24"/>
                <w:szCs w:val="24"/>
              </w:rPr>
              <w:t>ADV. M DU PLESSIS SC</w:t>
            </w:r>
          </w:p>
        </w:tc>
      </w:tr>
      <w:tr w:rsidR="00DD2100" w14:paraId="38035F51" w14:textId="77777777" w:rsidTr="004A0230">
        <w:tc>
          <w:tcPr>
            <w:tcW w:w="4823" w:type="dxa"/>
          </w:tcPr>
          <w:p w14:paraId="6DC7555D" w14:textId="46178F61" w:rsidR="00DD2100" w:rsidRPr="00DD2100" w:rsidRDefault="004A0230" w:rsidP="00F41E52">
            <w:pPr>
              <w:spacing w:line="360" w:lineRule="auto"/>
              <w:jc w:val="both"/>
              <w:rPr>
                <w:rFonts w:ascii="Arial" w:hAnsi="Arial" w:cs="Arial"/>
                <w:b/>
                <w:bCs/>
              </w:rPr>
            </w:pPr>
            <w:r w:rsidRPr="00DD2100">
              <w:rPr>
                <w:rFonts w:ascii="Arial" w:hAnsi="Arial" w:cs="Arial"/>
                <w:b/>
                <w:bCs/>
                <w:sz w:val="24"/>
                <w:szCs w:val="24"/>
              </w:rPr>
              <w:t>REFERENCE</w:t>
            </w:r>
          </w:p>
        </w:tc>
        <w:tc>
          <w:tcPr>
            <w:tcW w:w="4390" w:type="dxa"/>
          </w:tcPr>
          <w:p w14:paraId="1322C59A" w14:textId="42094E73" w:rsidR="00DD2100" w:rsidRPr="00DD2100" w:rsidRDefault="004A0230" w:rsidP="00F41E52">
            <w:pPr>
              <w:spacing w:line="360" w:lineRule="auto"/>
              <w:jc w:val="both"/>
              <w:rPr>
                <w:rFonts w:ascii="Arial" w:hAnsi="Arial" w:cs="Arial"/>
                <w:b/>
                <w:bCs/>
              </w:rPr>
            </w:pPr>
            <w:r w:rsidRPr="00EB6125">
              <w:rPr>
                <w:rFonts w:ascii="Arial" w:hAnsi="Arial" w:cs="Arial"/>
                <w:b/>
                <w:bCs/>
                <w:sz w:val="24"/>
                <w:szCs w:val="24"/>
              </w:rPr>
              <w:t>MR. PARSEE</w:t>
            </w:r>
          </w:p>
        </w:tc>
      </w:tr>
      <w:tr w:rsidR="004A0230" w14:paraId="545D2036" w14:textId="77777777" w:rsidTr="004A0230">
        <w:tc>
          <w:tcPr>
            <w:tcW w:w="4823" w:type="dxa"/>
          </w:tcPr>
          <w:p w14:paraId="000F0EC4" w14:textId="77777777" w:rsidR="004A0230" w:rsidRPr="00DD2100" w:rsidRDefault="004A0230" w:rsidP="004A0230">
            <w:pPr>
              <w:spacing w:line="360" w:lineRule="auto"/>
              <w:jc w:val="both"/>
              <w:rPr>
                <w:rFonts w:ascii="Arial" w:hAnsi="Arial" w:cs="Arial"/>
                <w:b/>
                <w:bCs/>
              </w:rPr>
            </w:pPr>
          </w:p>
        </w:tc>
        <w:tc>
          <w:tcPr>
            <w:tcW w:w="4390" w:type="dxa"/>
          </w:tcPr>
          <w:p w14:paraId="5CB63005" w14:textId="77777777" w:rsidR="004A0230" w:rsidRPr="00DD2100" w:rsidRDefault="004A0230" w:rsidP="004A0230">
            <w:pPr>
              <w:spacing w:line="360" w:lineRule="auto"/>
              <w:jc w:val="both"/>
              <w:rPr>
                <w:rFonts w:ascii="Arial" w:hAnsi="Arial" w:cs="Arial"/>
                <w:b/>
                <w:bCs/>
              </w:rPr>
            </w:pPr>
          </w:p>
        </w:tc>
      </w:tr>
      <w:tr w:rsidR="004A0230" w14:paraId="47CB4104" w14:textId="77777777" w:rsidTr="004A0230">
        <w:tc>
          <w:tcPr>
            <w:tcW w:w="4823" w:type="dxa"/>
          </w:tcPr>
          <w:p w14:paraId="13A98A6A" w14:textId="2A060854" w:rsidR="004A0230" w:rsidRPr="00DD2100" w:rsidRDefault="004A0230" w:rsidP="004A0230">
            <w:pPr>
              <w:spacing w:line="360" w:lineRule="auto"/>
              <w:jc w:val="both"/>
              <w:rPr>
                <w:rFonts w:ascii="Arial" w:hAnsi="Arial" w:cs="Arial"/>
                <w:b/>
                <w:bCs/>
              </w:rPr>
            </w:pPr>
            <w:r w:rsidRPr="00DD2100">
              <w:rPr>
                <w:rFonts w:ascii="Arial" w:hAnsi="Arial" w:cs="Arial"/>
                <w:b/>
                <w:bCs/>
                <w:sz w:val="24"/>
                <w:szCs w:val="24"/>
              </w:rPr>
              <w:t>COUNSEL FOR THE RESPONDENTS:</w:t>
            </w:r>
          </w:p>
        </w:tc>
        <w:tc>
          <w:tcPr>
            <w:tcW w:w="4390" w:type="dxa"/>
          </w:tcPr>
          <w:p w14:paraId="6A2FD355" w14:textId="58E71EFD" w:rsidR="004A0230" w:rsidRPr="00DD2100" w:rsidRDefault="004A0230" w:rsidP="004A0230">
            <w:pPr>
              <w:spacing w:line="360" w:lineRule="auto"/>
              <w:jc w:val="both"/>
              <w:rPr>
                <w:rFonts w:ascii="Arial" w:hAnsi="Arial" w:cs="Arial"/>
                <w:b/>
                <w:bCs/>
              </w:rPr>
            </w:pPr>
            <w:r w:rsidRPr="00DD2100">
              <w:rPr>
                <w:rFonts w:ascii="Arial" w:hAnsi="Arial" w:cs="Arial"/>
                <w:b/>
                <w:bCs/>
                <w:sz w:val="24"/>
                <w:szCs w:val="24"/>
              </w:rPr>
              <w:t>ADV. G MARCUS SC</w:t>
            </w:r>
          </w:p>
        </w:tc>
      </w:tr>
      <w:tr w:rsidR="004A0230" w14:paraId="359729C9" w14:textId="77777777" w:rsidTr="004A0230">
        <w:tc>
          <w:tcPr>
            <w:tcW w:w="4823" w:type="dxa"/>
          </w:tcPr>
          <w:p w14:paraId="41DAA31C" w14:textId="03BEF722" w:rsidR="004A0230" w:rsidRPr="00DD2100" w:rsidRDefault="004A0230" w:rsidP="004A0230">
            <w:pPr>
              <w:spacing w:line="360" w:lineRule="auto"/>
              <w:jc w:val="both"/>
              <w:rPr>
                <w:rFonts w:ascii="Arial" w:hAnsi="Arial" w:cs="Arial"/>
                <w:b/>
                <w:bCs/>
              </w:rPr>
            </w:pPr>
            <w:r w:rsidRPr="00DD2100">
              <w:rPr>
                <w:rFonts w:ascii="Arial" w:hAnsi="Arial" w:cs="Arial"/>
                <w:b/>
                <w:bCs/>
                <w:sz w:val="24"/>
                <w:szCs w:val="24"/>
              </w:rPr>
              <w:t>INSTRUCTED BY:</w:t>
            </w:r>
            <w:r w:rsidRPr="00DD2100">
              <w:rPr>
                <w:rFonts w:ascii="Arial" w:hAnsi="Arial" w:cs="Arial"/>
                <w:b/>
                <w:bCs/>
                <w:sz w:val="24"/>
                <w:szCs w:val="24"/>
              </w:rPr>
              <w:tab/>
            </w:r>
          </w:p>
        </w:tc>
        <w:tc>
          <w:tcPr>
            <w:tcW w:w="4390" w:type="dxa"/>
          </w:tcPr>
          <w:p w14:paraId="7BB04D6C" w14:textId="4F28DAEC" w:rsidR="004A0230" w:rsidRPr="00DD2100" w:rsidRDefault="004A0230" w:rsidP="004A0230">
            <w:pPr>
              <w:spacing w:line="360" w:lineRule="auto"/>
              <w:jc w:val="both"/>
              <w:rPr>
                <w:rFonts w:ascii="Arial" w:hAnsi="Arial" w:cs="Arial"/>
                <w:b/>
                <w:bCs/>
              </w:rPr>
            </w:pPr>
            <w:r w:rsidRPr="00DD2100">
              <w:rPr>
                <w:rFonts w:ascii="Arial" w:hAnsi="Arial" w:cs="Arial"/>
                <w:b/>
                <w:bCs/>
                <w:sz w:val="24"/>
                <w:szCs w:val="24"/>
              </w:rPr>
              <w:t>RW ATTORNEYS</w:t>
            </w:r>
          </w:p>
        </w:tc>
      </w:tr>
      <w:tr w:rsidR="004A0230" w14:paraId="6BB8892B" w14:textId="77777777" w:rsidTr="004A0230">
        <w:tc>
          <w:tcPr>
            <w:tcW w:w="4823" w:type="dxa"/>
          </w:tcPr>
          <w:p w14:paraId="12113898" w14:textId="4BCB1C48" w:rsidR="004A0230" w:rsidRPr="00DD2100" w:rsidRDefault="004A0230" w:rsidP="004A0230">
            <w:pPr>
              <w:spacing w:line="360" w:lineRule="auto"/>
              <w:jc w:val="both"/>
              <w:rPr>
                <w:rFonts w:ascii="Arial" w:hAnsi="Arial" w:cs="Arial"/>
                <w:b/>
                <w:bCs/>
              </w:rPr>
            </w:pPr>
            <w:r w:rsidRPr="00DD2100">
              <w:rPr>
                <w:rFonts w:ascii="Arial" w:hAnsi="Arial" w:cs="Arial"/>
                <w:b/>
                <w:bCs/>
                <w:sz w:val="24"/>
                <w:szCs w:val="24"/>
              </w:rPr>
              <w:t>REFERENCE:</w:t>
            </w:r>
          </w:p>
        </w:tc>
        <w:tc>
          <w:tcPr>
            <w:tcW w:w="4390" w:type="dxa"/>
          </w:tcPr>
          <w:p w14:paraId="39B4E4C1" w14:textId="17EA7431" w:rsidR="004A0230" w:rsidRPr="00DD2100" w:rsidRDefault="004A0230" w:rsidP="004A0230">
            <w:pPr>
              <w:spacing w:line="360" w:lineRule="auto"/>
              <w:jc w:val="both"/>
              <w:rPr>
                <w:rFonts w:ascii="Arial" w:hAnsi="Arial" w:cs="Arial"/>
                <w:b/>
                <w:bCs/>
              </w:rPr>
            </w:pPr>
            <w:r w:rsidRPr="00DD2100">
              <w:rPr>
                <w:rFonts w:ascii="Arial" w:hAnsi="Arial" w:cs="Arial"/>
                <w:b/>
                <w:bCs/>
                <w:sz w:val="24"/>
                <w:szCs w:val="24"/>
              </w:rPr>
              <w:t>MR. L GROOME</w:t>
            </w:r>
          </w:p>
        </w:tc>
      </w:tr>
    </w:tbl>
    <w:p w14:paraId="56023C2B" w14:textId="3BB5C993" w:rsidR="0027008F" w:rsidRPr="00A91A03" w:rsidRDefault="0027008F" w:rsidP="00A91A03">
      <w:pPr>
        <w:spacing w:line="360" w:lineRule="auto"/>
        <w:jc w:val="both"/>
        <w:rPr>
          <w:rFonts w:ascii="Arial" w:hAnsi="Arial" w:cs="Arial"/>
        </w:rPr>
      </w:pPr>
    </w:p>
    <w:sectPr w:rsidR="0027008F" w:rsidRPr="00A91A03" w:rsidSect="00B22B0A">
      <w:headerReference w:type="even" r:id="rId9"/>
      <w:headerReference w:type="default" r:id="rId10"/>
      <w:pgSz w:w="12240" w:h="15840"/>
      <w:pgMar w:top="432" w:right="1440" w:bottom="1440" w:left="144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B34530" w14:textId="77777777" w:rsidR="00923FB0" w:rsidRDefault="00923FB0" w:rsidP="008C18AE">
      <w:r>
        <w:separator/>
      </w:r>
    </w:p>
  </w:endnote>
  <w:endnote w:type="continuationSeparator" w:id="0">
    <w:p w14:paraId="337D8674" w14:textId="77777777" w:rsidR="00923FB0" w:rsidRDefault="00923FB0" w:rsidP="008C18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8B05F2" w14:textId="77777777" w:rsidR="00923FB0" w:rsidRDefault="00923FB0" w:rsidP="008C18AE">
      <w:r>
        <w:separator/>
      </w:r>
    </w:p>
  </w:footnote>
  <w:footnote w:type="continuationSeparator" w:id="0">
    <w:p w14:paraId="4C5D7A4F" w14:textId="77777777" w:rsidR="00923FB0" w:rsidRDefault="00923FB0" w:rsidP="008C18AE">
      <w:r>
        <w:continuationSeparator/>
      </w:r>
    </w:p>
  </w:footnote>
  <w:footnote w:id="1">
    <w:p w14:paraId="01DBC4A1" w14:textId="5536E013" w:rsidR="0037606D" w:rsidRPr="001A52F1" w:rsidRDefault="0037606D" w:rsidP="001C74A3">
      <w:pPr>
        <w:pStyle w:val="FootnoteText"/>
        <w:ind w:left="567" w:hanging="567"/>
        <w:jc w:val="both"/>
        <w:rPr>
          <w:rFonts w:ascii="Arial" w:hAnsi="Arial" w:cs="Arial"/>
          <w:sz w:val="20"/>
          <w:szCs w:val="20"/>
        </w:rPr>
      </w:pPr>
      <w:r w:rsidRPr="001A52F1">
        <w:rPr>
          <w:rStyle w:val="FootnoteReference"/>
          <w:rFonts w:ascii="Arial" w:hAnsi="Arial" w:cs="Arial"/>
          <w:sz w:val="20"/>
          <w:szCs w:val="20"/>
        </w:rPr>
        <w:footnoteRef/>
      </w:r>
      <w:r w:rsidRPr="001A52F1">
        <w:rPr>
          <w:rStyle w:val="FootnoteReference"/>
          <w:rFonts w:ascii="Arial" w:hAnsi="Arial" w:cs="Arial"/>
          <w:sz w:val="20"/>
          <w:szCs w:val="20"/>
        </w:rPr>
        <w:t xml:space="preserve"> </w:t>
      </w:r>
      <w:r w:rsidR="001C74A3" w:rsidRPr="001A52F1">
        <w:rPr>
          <w:rFonts w:ascii="Arial" w:hAnsi="Arial" w:cs="Arial"/>
          <w:sz w:val="20"/>
          <w:szCs w:val="20"/>
        </w:rPr>
        <w:t>‘</w:t>
      </w:r>
      <w:r w:rsidRPr="001A52F1">
        <w:rPr>
          <w:rFonts w:ascii="Arial" w:hAnsi="Arial" w:cs="Arial"/>
          <w:sz w:val="20"/>
          <w:szCs w:val="20"/>
        </w:rPr>
        <w:t xml:space="preserve">66.  </w:t>
      </w:r>
      <w:r w:rsidRPr="001A52F1">
        <w:rPr>
          <w:rFonts w:ascii="Arial" w:hAnsi="Arial" w:cs="Arial"/>
          <w:i/>
          <w:iCs/>
          <w:sz w:val="20"/>
          <w:szCs w:val="20"/>
        </w:rPr>
        <w:t xml:space="preserve">However, central to the conduct of the investigations by the FSCA is that the person or persons appointed to conduct the investigations must have ‘appropriate skills and expertise’.  This provision is particularly important given the wide powers granted to the investigators.  Most significantly are the </w:t>
      </w:r>
      <w:r w:rsidR="00A91A03" w:rsidRPr="001A52F1">
        <w:rPr>
          <w:rFonts w:ascii="Arial" w:hAnsi="Arial" w:cs="Arial"/>
          <w:i/>
          <w:iCs/>
          <w:sz w:val="20"/>
          <w:szCs w:val="20"/>
        </w:rPr>
        <w:t>provisions</w:t>
      </w:r>
      <w:r w:rsidRPr="001A52F1">
        <w:rPr>
          <w:rFonts w:ascii="Arial" w:hAnsi="Arial" w:cs="Arial"/>
          <w:i/>
          <w:iCs/>
          <w:sz w:val="20"/>
          <w:szCs w:val="20"/>
        </w:rPr>
        <w:t xml:space="preserve"> of Section 139.’</w:t>
      </w:r>
      <w:r w:rsidRPr="001A52F1">
        <w:rPr>
          <w:rFonts w:ascii="Arial" w:hAnsi="Arial" w:cs="Arial"/>
          <w:sz w:val="20"/>
          <w:szCs w:val="20"/>
        </w:rPr>
        <w:t xml:space="preserve"> (footnotes referred to in that paragraph omitted).</w:t>
      </w:r>
    </w:p>
  </w:footnote>
  <w:footnote w:id="2">
    <w:p w14:paraId="558E2E21" w14:textId="77777777" w:rsidR="0037606D" w:rsidRPr="00A27133" w:rsidRDefault="0037606D" w:rsidP="0037606D">
      <w:pPr>
        <w:pStyle w:val="FootnoteText"/>
        <w:rPr>
          <w:rFonts w:ascii="Arial" w:hAnsi="Arial" w:cs="Arial"/>
          <w:sz w:val="20"/>
          <w:szCs w:val="20"/>
        </w:rPr>
      </w:pPr>
      <w:r w:rsidRPr="001A52F1">
        <w:rPr>
          <w:rStyle w:val="FootnoteReference"/>
          <w:rFonts w:ascii="Arial" w:hAnsi="Arial" w:cs="Arial"/>
          <w:sz w:val="20"/>
          <w:szCs w:val="20"/>
        </w:rPr>
        <w:footnoteRef/>
      </w:r>
      <w:r w:rsidRPr="001A52F1">
        <w:rPr>
          <w:rFonts w:ascii="Arial" w:hAnsi="Arial" w:cs="Arial"/>
          <w:sz w:val="20"/>
          <w:szCs w:val="20"/>
        </w:rPr>
        <w:t xml:space="preserve"> Act 10 of 2013</w:t>
      </w:r>
    </w:p>
  </w:footnote>
  <w:footnote w:id="3">
    <w:p w14:paraId="644AF023" w14:textId="04571B50" w:rsidR="00E91470" w:rsidRDefault="00E91470" w:rsidP="004A0230">
      <w:pPr>
        <w:pStyle w:val="FootnoteText"/>
        <w:jc w:val="both"/>
      </w:pPr>
      <w:r>
        <w:rPr>
          <w:rStyle w:val="FootnoteReference"/>
        </w:rPr>
        <w:footnoteRef/>
      </w:r>
      <w:r>
        <w:t xml:space="preserve"> </w:t>
      </w:r>
      <w:r w:rsidRPr="004A0230">
        <w:rPr>
          <w:rFonts w:ascii="Arial" w:hAnsi="Arial" w:cs="Arial"/>
          <w:sz w:val="20"/>
          <w:szCs w:val="20"/>
        </w:rPr>
        <w:t>Preamble to the Constitution of the Republic of South Africa 1996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43A27A" w14:textId="77777777" w:rsidR="00A74379" w:rsidRDefault="00A74379" w:rsidP="00C80F29">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298F6DF" w14:textId="77777777" w:rsidR="00A74379" w:rsidRDefault="00A74379" w:rsidP="00B50E1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EA28D8" w14:textId="77777777" w:rsidR="00A74379" w:rsidRDefault="00A74379" w:rsidP="00C80F29">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19</w:t>
    </w:r>
    <w:r>
      <w:rPr>
        <w:rStyle w:val="PageNumber"/>
      </w:rPr>
      <w:fldChar w:fldCharType="end"/>
    </w:r>
  </w:p>
  <w:p w14:paraId="7E704A95" w14:textId="77777777" w:rsidR="00A74379" w:rsidRDefault="00A74379" w:rsidP="00B50E11">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7"/>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7"/>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EF0FC2"/>
    <w:multiLevelType w:val="hybridMultilevel"/>
    <w:tmpl w:val="E522E2C8"/>
    <w:lvl w:ilvl="0" w:tplc="51A0CD6A">
      <w:start w:val="1"/>
      <w:numFmt w:val="lowerLetter"/>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 w15:restartNumberingAfterBreak="0">
    <w:nsid w:val="0116570D"/>
    <w:multiLevelType w:val="hybridMultilevel"/>
    <w:tmpl w:val="289670B2"/>
    <w:lvl w:ilvl="0" w:tplc="477277A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A9B0F09"/>
    <w:multiLevelType w:val="multilevel"/>
    <w:tmpl w:val="8F8EABE2"/>
    <w:lvl w:ilvl="0">
      <w:start w:val="1"/>
      <w:numFmt w:val="decimal"/>
      <w:lvlText w:val="%1."/>
      <w:lvlJc w:val="left"/>
      <w:pPr>
        <w:ind w:left="1500" w:hanging="1140"/>
      </w:pPr>
      <w:rPr>
        <w:rFonts w:hint="default"/>
      </w:rPr>
    </w:lvl>
    <w:lvl w:ilvl="1">
      <w:start w:val="1"/>
      <w:numFmt w:val="decimal"/>
      <w:isLgl/>
      <w:lvlText w:val="%1.%2"/>
      <w:lvlJc w:val="left"/>
      <w:pPr>
        <w:ind w:left="2160" w:hanging="660"/>
      </w:pPr>
      <w:rPr>
        <w:rFonts w:hint="default"/>
      </w:rPr>
    </w:lvl>
    <w:lvl w:ilvl="2">
      <w:start w:val="1"/>
      <w:numFmt w:val="decimal"/>
      <w:isLgl/>
      <w:lvlText w:val="%1.%2.%3"/>
      <w:lvlJc w:val="left"/>
      <w:pPr>
        <w:ind w:left="3360" w:hanging="720"/>
      </w:pPr>
      <w:rPr>
        <w:rFonts w:hint="default"/>
      </w:rPr>
    </w:lvl>
    <w:lvl w:ilvl="3">
      <w:start w:val="1"/>
      <w:numFmt w:val="decimal"/>
      <w:isLgl/>
      <w:lvlText w:val="%1.%2.%3.%4"/>
      <w:lvlJc w:val="left"/>
      <w:pPr>
        <w:ind w:left="4500" w:hanging="720"/>
      </w:pPr>
      <w:rPr>
        <w:rFonts w:hint="default"/>
      </w:rPr>
    </w:lvl>
    <w:lvl w:ilvl="4">
      <w:start w:val="1"/>
      <w:numFmt w:val="decimal"/>
      <w:isLgl/>
      <w:lvlText w:val="%1.%2.%3.%4.%5"/>
      <w:lvlJc w:val="left"/>
      <w:pPr>
        <w:ind w:left="6000" w:hanging="1080"/>
      </w:pPr>
      <w:rPr>
        <w:rFonts w:hint="default"/>
      </w:rPr>
    </w:lvl>
    <w:lvl w:ilvl="5">
      <w:start w:val="1"/>
      <w:numFmt w:val="decimal"/>
      <w:isLgl/>
      <w:lvlText w:val="%1.%2.%3.%4.%5.%6"/>
      <w:lvlJc w:val="left"/>
      <w:pPr>
        <w:ind w:left="7140" w:hanging="1080"/>
      </w:pPr>
      <w:rPr>
        <w:rFonts w:hint="default"/>
      </w:rPr>
    </w:lvl>
    <w:lvl w:ilvl="6">
      <w:start w:val="1"/>
      <w:numFmt w:val="decimal"/>
      <w:isLgl/>
      <w:lvlText w:val="%1.%2.%3.%4.%5.%6.%7"/>
      <w:lvlJc w:val="left"/>
      <w:pPr>
        <w:ind w:left="8640" w:hanging="1440"/>
      </w:pPr>
      <w:rPr>
        <w:rFonts w:hint="default"/>
      </w:rPr>
    </w:lvl>
    <w:lvl w:ilvl="7">
      <w:start w:val="1"/>
      <w:numFmt w:val="decimal"/>
      <w:isLgl/>
      <w:lvlText w:val="%1.%2.%3.%4.%5.%6.%7.%8"/>
      <w:lvlJc w:val="left"/>
      <w:pPr>
        <w:ind w:left="9780" w:hanging="1440"/>
      </w:pPr>
      <w:rPr>
        <w:rFonts w:hint="default"/>
      </w:rPr>
    </w:lvl>
    <w:lvl w:ilvl="8">
      <w:start w:val="1"/>
      <w:numFmt w:val="decimal"/>
      <w:isLgl/>
      <w:lvlText w:val="%1.%2.%3.%4.%5.%6.%7.%8.%9"/>
      <w:lvlJc w:val="left"/>
      <w:pPr>
        <w:ind w:left="11280" w:hanging="1800"/>
      </w:pPr>
      <w:rPr>
        <w:rFonts w:hint="default"/>
      </w:rPr>
    </w:lvl>
  </w:abstractNum>
  <w:abstractNum w:abstractNumId="5" w15:restartNumberingAfterBreak="0">
    <w:nsid w:val="0BF8678B"/>
    <w:multiLevelType w:val="multilevel"/>
    <w:tmpl w:val="2F3EA860"/>
    <w:lvl w:ilvl="0">
      <w:start w:val="11"/>
      <w:numFmt w:val="decimal"/>
      <w:lvlText w:val="%1"/>
      <w:lvlJc w:val="left"/>
      <w:pPr>
        <w:ind w:left="460" w:hanging="460"/>
      </w:pPr>
      <w:rPr>
        <w:rFonts w:hint="default"/>
        <w:i w:val="0"/>
      </w:rPr>
    </w:lvl>
    <w:lvl w:ilvl="1">
      <w:start w:val="1"/>
      <w:numFmt w:val="decimal"/>
      <w:lvlText w:val="%1.%2"/>
      <w:lvlJc w:val="left"/>
      <w:pPr>
        <w:ind w:left="1180" w:hanging="460"/>
      </w:pPr>
      <w:rPr>
        <w:rFonts w:hint="default"/>
        <w:i w:val="0"/>
      </w:rPr>
    </w:lvl>
    <w:lvl w:ilvl="2">
      <w:start w:val="1"/>
      <w:numFmt w:val="decimal"/>
      <w:lvlText w:val="%1.%2.%3"/>
      <w:lvlJc w:val="left"/>
      <w:pPr>
        <w:ind w:left="2160" w:hanging="720"/>
      </w:pPr>
      <w:rPr>
        <w:rFonts w:hint="default"/>
        <w:i w:val="0"/>
      </w:rPr>
    </w:lvl>
    <w:lvl w:ilvl="3">
      <w:start w:val="1"/>
      <w:numFmt w:val="decimal"/>
      <w:lvlText w:val="%1.%2.%3.%4"/>
      <w:lvlJc w:val="left"/>
      <w:pPr>
        <w:ind w:left="3240" w:hanging="1080"/>
      </w:pPr>
      <w:rPr>
        <w:rFonts w:hint="default"/>
        <w:i w:val="0"/>
      </w:rPr>
    </w:lvl>
    <w:lvl w:ilvl="4">
      <w:start w:val="1"/>
      <w:numFmt w:val="decimal"/>
      <w:lvlText w:val="%1.%2.%3.%4.%5"/>
      <w:lvlJc w:val="left"/>
      <w:pPr>
        <w:ind w:left="3960" w:hanging="1080"/>
      </w:pPr>
      <w:rPr>
        <w:rFonts w:hint="default"/>
        <w:i w:val="0"/>
      </w:rPr>
    </w:lvl>
    <w:lvl w:ilvl="5">
      <w:start w:val="1"/>
      <w:numFmt w:val="decimal"/>
      <w:lvlText w:val="%1.%2.%3.%4.%5.%6"/>
      <w:lvlJc w:val="left"/>
      <w:pPr>
        <w:ind w:left="5040" w:hanging="1440"/>
      </w:pPr>
      <w:rPr>
        <w:rFonts w:hint="default"/>
        <w:i w:val="0"/>
      </w:rPr>
    </w:lvl>
    <w:lvl w:ilvl="6">
      <w:start w:val="1"/>
      <w:numFmt w:val="decimal"/>
      <w:lvlText w:val="%1.%2.%3.%4.%5.%6.%7"/>
      <w:lvlJc w:val="left"/>
      <w:pPr>
        <w:ind w:left="5760" w:hanging="1440"/>
      </w:pPr>
      <w:rPr>
        <w:rFonts w:hint="default"/>
        <w:i w:val="0"/>
      </w:rPr>
    </w:lvl>
    <w:lvl w:ilvl="7">
      <w:start w:val="1"/>
      <w:numFmt w:val="decimal"/>
      <w:lvlText w:val="%1.%2.%3.%4.%5.%6.%7.%8"/>
      <w:lvlJc w:val="left"/>
      <w:pPr>
        <w:ind w:left="6840" w:hanging="1800"/>
      </w:pPr>
      <w:rPr>
        <w:rFonts w:hint="default"/>
        <w:i w:val="0"/>
      </w:rPr>
    </w:lvl>
    <w:lvl w:ilvl="8">
      <w:start w:val="1"/>
      <w:numFmt w:val="decimal"/>
      <w:lvlText w:val="%1.%2.%3.%4.%5.%6.%7.%8.%9"/>
      <w:lvlJc w:val="left"/>
      <w:pPr>
        <w:ind w:left="7560" w:hanging="1800"/>
      </w:pPr>
      <w:rPr>
        <w:rFonts w:hint="default"/>
        <w:i w:val="0"/>
      </w:rPr>
    </w:lvl>
  </w:abstractNum>
  <w:abstractNum w:abstractNumId="6" w15:restartNumberingAfterBreak="0">
    <w:nsid w:val="107A5790"/>
    <w:multiLevelType w:val="hybridMultilevel"/>
    <w:tmpl w:val="A0CA063C"/>
    <w:lvl w:ilvl="0" w:tplc="4D0ADE7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0985978"/>
    <w:multiLevelType w:val="hybridMultilevel"/>
    <w:tmpl w:val="5666E030"/>
    <w:lvl w:ilvl="0" w:tplc="551ED484">
      <w:start w:val="2"/>
      <w:numFmt w:val="decimal"/>
      <w:lvlText w:val="%1."/>
      <w:lvlJc w:val="left"/>
      <w:pPr>
        <w:ind w:left="720" w:hanging="360"/>
      </w:pPr>
      <w:rPr>
        <w:rFonts w:cs="Arial Unicode MS" w:hint="default"/>
        <w:i w:val="0"/>
        <w:iCs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32230E5"/>
    <w:multiLevelType w:val="hybridMultilevel"/>
    <w:tmpl w:val="34DC2FA4"/>
    <w:lvl w:ilvl="0" w:tplc="A9383276">
      <w:start w:val="1"/>
      <w:numFmt w:val="lowerRoman"/>
      <w:lvlText w:val="(%1)"/>
      <w:lvlJc w:val="left"/>
      <w:pPr>
        <w:ind w:left="3272" w:hanging="720"/>
      </w:pPr>
      <w:rPr>
        <w:rFonts w:hint="default"/>
      </w:rPr>
    </w:lvl>
    <w:lvl w:ilvl="1" w:tplc="08090019" w:tentative="1">
      <w:start w:val="1"/>
      <w:numFmt w:val="lowerLetter"/>
      <w:lvlText w:val="%2."/>
      <w:lvlJc w:val="left"/>
      <w:pPr>
        <w:ind w:left="3632" w:hanging="360"/>
      </w:pPr>
    </w:lvl>
    <w:lvl w:ilvl="2" w:tplc="0809001B" w:tentative="1">
      <w:start w:val="1"/>
      <w:numFmt w:val="lowerRoman"/>
      <w:lvlText w:val="%3."/>
      <w:lvlJc w:val="right"/>
      <w:pPr>
        <w:ind w:left="4352" w:hanging="180"/>
      </w:pPr>
    </w:lvl>
    <w:lvl w:ilvl="3" w:tplc="0809000F" w:tentative="1">
      <w:start w:val="1"/>
      <w:numFmt w:val="decimal"/>
      <w:lvlText w:val="%4."/>
      <w:lvlJc w:val="left"/>
      <w:pPr>
        <w:ind w:left="5072" w:hanging="360"/>
      </w:pPr>
    </w:lvl>
    <w:lvl w:ilvl="4" w:tplc="08090019" w:tentative="1">
      <w:start w:val="1"/>
      <w:numFmt w:val="lowerLetter"/>
      <w:lvlText w:val="%5."/>
      <w:lvlJc w:val="left"/>
      <w:pPr>
        <w:ind w:left="5792" w:hanging="360"/>
      </w:pPr>
    </w:lvl>
    <w:lvl w:ilvl="5" w:tplc="0809001B" w:tentative="1">
      <w:start w:val="1"/>
      <w:numFmt w:val="lowerRoman"/>
      <w:lvlText w:val="%6."/>
      <w:lvlJc w:val="right"/>
      <w:pPr>
        <w:ind w:left="6512" w:hanging="180"/>
      </w:pPr>
    </w:lvl>
    <w:lvl w:ilvl="6" w:tplc="0809000F" w:tentative="1">
      <w:start w:val="1"/>
      <w:numFmt w:val="decimal"/>
      <w:lvlText w:val="%7."/>
      <w:lvlJc w:val="left"/>
      <w:pPr>
        <w:ind w:left="7232" w:hanging="360"/>
      </w:pPr>
    </w:lvl>
    <w:lvl w:ilvl="7" w:tplc="08090019" w:tentative="1">
      <w:start w:val="1"/>
      <w:numFmt w:val="lowerLetter"/>
      <w:lvlText w:val="%8."/>
      <w:lvlJc w:val="left"/>
      <w:pPr>
        <w:ind w:left="7952" w:hanging="360"/>
      </w:pPr>
    </w:lvl>
    <w:lvl w:ilvl="8" w:tplc="0809001B" w:tentative="1">
      <w:start w:val="1"/>
      <w:numFmt w:val="lowerRoman"/>
      <w:lvlText w:val="%9."/>
      <w:lvlJc w:val="right"/>
      <w:pPr>
        <w:ind w:left="8672" w:hanging="180"/>
      </w:pPr>
    </w:lvl>
  </w:abstractNum>
  <w:abstractNum w:abstractNumId="9" w15:restartNumberingAfterBreak="0">
    <w:nsid w:val="15BC6EE2"/>
    <w:multiLevelType w:val="multilevel"/>
    <w:tmpl w:val="338A906C"/>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0" w15:restartNumberingAfterBreak="0">
    <w:nsid w:val="164E695C"/>
    <w:multiLevelType w:val="multilevel"/>
    <w:tmpl w:val="77348F4A"/>
    <w:lvl w:ilvl="0">
      <w:start w:val="2"/>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11" w15:restartNumberingAfterBreak="0">
    <w:nsid w:val="171E146B"/>
    <w:multiLevelType w:val="hybridMultilevel"/>
    <w:tmpl w:val="23EEE780"/>
    <w:lvl w:ilvl="0" w:tplc="E1F88F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5C75D4"/>
    <w:multiLevelType w:val="hybridMultilevel"/>
    <w:tmpl w:val="E7C03554"/>
    <w:lvl w:ilvl="0" w:tplc="E9E81BF4">
      <w:start w:val="1"/>
      <w:numFmt w:val="decimal"/>
      <w:lvlText w:val="(%1)"/>
      <w:lvlJc w:val="left"/>
      <w:pPr>
        <w:ind w:left="1149" w:hanging="44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3" w15:restartNumberingAfterBreak="0">
    <w:nsid w:val="1BCE6B6E"/>
    <w:multiLevelType w:val="hybridMultilevel"/>
    <w:tmpl w:val="D97C03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CA8013E"/>
    <w:multiLevelType w:val="multilevel"/>
    <w:tmpl w:val="96245C56"/>
    <w:lvl w:ilvl="0">
      <w:start w:val="1"/>
      <w:numFmt w:val="decimal"/>
      <w:lvlText w:val="%1."/>
      <w:lvlJc w:val="left"/>
      <w:pPr>
        <w:ind w:left="720" w:hanging="360"/>
      </w:pPr>
    </w:lvl>
    <w:lvl w:ilvl="1">
      <w:start w:val="1"/>
      <w:numFmt w:val="decimal"/>
      <w:isLgl/>
      <w:lvlText w:val="%1.%2"/>
      <w:lvlJc w:val="left"/>
      <w:pPr>
        <w:ind w:left="1007" w:hanging="44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5" w15:restartNumberingAfterBreak="0">
    <w:nsid w:val="1ED0414C"/>
    <w:multiLevelType w:val="hybridMultilevel"/>
    <w:tmpl w:val="C6624E38"/>
    <w:lvl w:ilvl="0" w:tplc="2952AF18">
      <w:start w:val="1"/>
      <w:numFmt w:val="lowerLetter"/>
      <w:lvlText w:val="(%1)"/>
      <w:lvlJc w:val="left"/>
      <w:pPr>
        <w:ind w:left="920" w:hanging="5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FD868BA"/>
    <w:multiLevelType w:val="hybridMultilevel"/>
    <w:tmpl w:val="F1EA3BA0"/>
    <w:lvl w:ilvl="0" w:tplc="E6D2B7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0267A4E"/>
    <w:multiLevelType w:val="hybridMultilevel"/>
    <w:tmpl w:val="8F3C65CC"/>
    <w:lvl w:ilvl="0" w:tplc="8FF08292">
      <w:start w:val="1"/>
      <w:numFmt w:val="lowerLetter"/>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4917C91"/>
    <w:multiLevelType w:val="multilevel"/>
    <w:tmpl w:val="1766F6D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4F763CB"/>
    <w:multiLevelType w:val="multilevel"/>
    <w:tmpl w:val="D0DE703A"/>
    <w:lvl w:ilvl="0">
      <w:start w:val="1"/>
      <w:numFmt w:val="decimal"/>
      <w:lvlText w:val="%1."/>
      <w:lvlJc w:val="left"/>
      <w:pPr>
        <w:ind w:left="720" w:hanging="360"/>
      </w:pPr>
    </w:lvl>
    <w:lvl w:ilvl="1">
      <w:start w:val="1"/>
      <w:numFmt w:val="decimal"/>
      <w:isLgl/>
      <w:lvlText w:val="%1.%2"/>
      <w:lvlJc w:val="left"/>
      <w:pPr>
        <w:ind w:left="1100" w:hanging="360"/>
      </w:pPr>
      <w:rPr>
        <w:rFonts w:hint="default"/>
      </w:rPr>
    </w:lvl>
    <w:lvl w:ilvl="2">
      <w:start w:val="1"/>
      <w:numFmt w:val="decimal"/>
      <w:isLgl/>
      <w:lvlText w:val="%1.%2.%3"/>
      <w:lvlJc w:val="left"/>
      <w:pPr>
        <w:ind w:left="1840" w:hanging="720"/>
      </w:pPr>
      <w:rPr>
        <w:rFonts w:hint="default"/>
      </w:rPr>
    </w:lvl>
    <w:lvl w:ilvl="3">
      <w:start w:val="1"/>
      <w:numFmt w:val="decimal"/>
      <w:isLgl/>
      <w:lvlText w:val="%1.%2.%3.%4"/>
      <w:lvlJc w:val="left"/>
      <w:pPr>
        <w:ind w:left="2580" w:hanging="1080"/>
      </w:pPr>
      <w:rPr>
        <w:rFonts w:hint="default"/>
      </w:rPr>
    </w:lvl>
    <w:lvl w:ilvl="4">
      <w:start w:val="1"/>
      <w:numFmt w:val="decimal"/>
      <w:isLgl/>
      <w:lvlText w:val="%1.%2.%3.%4.%5"/>
      <w:lvlJc w:val="left"/>
      <w:pPr>
        <w:ind w:left="2960" w:hanging="1080"/>
      </w:pPr>
      <w:rPr>
        <w:rFonts w:hint="default"/>
      </w:rPr>
    </w:lvl>
    <w:lvl w:ilvl="5">
      <w:start w:val="1"/>
      <w:numFmt w:val="decimal"/>
      <w:isLgl/>
      <w:lvlText w:val="%1.%2.%3.%4.%5.%6"/>
      <w:lvlJc w:val="left"/>
      <w:pPr>
        <w:ind w:left="3700" w:hanging="1440"/>
      </w:pPr>
      <w:rPr>
        <w:rFonts w:hint="default"/>
      </w:rPr>
    </w:lvl>
    <w:lvl w:ilvl="6">
      <w:start w:val="1"/>
      <w:numFmt w:val="decimal"/>
      <w:isLgl/>
      <w:lvlText w:val="%1.%2.%3.%4.%5.%6.%7"/>
      <w:lvlJc w:val="left"/>
      <w:pPr>
        <w:ind w:left="4080" w:hanging="1440"/>
      </w:pPr>
      <w:rPr>
        <w:rFonts w:hint="default"/>
      </w:rPr>
    </w:lvl>
    <w:lvl w:ilvl="7">
      <w:start w:val="1"/>
      <w:numFmt w:val="decimal"/>
      <w:isLgl/>
      <w:lvlText w:val="%1.%2.%3.%4.%5.%6.%7.%8"/>
      <w:lvlJc w:val="left"/>
      <w:pPr>
        <w:ind w:left="4820" w:hanging="1800"/>
      </w:pPr>
      <w:rPr>
        <w:rFonts w:hint="default"/>
      </w:rPr>
    </w:lvl>
    <w:lvl w:ilvl="8">
      <w:start w:val="1"/>
      <w:numFmt w:val="decimal"/>
      <w:isLgl/>
      <w:lvlText w:val="%1.%2.%3.%4.%5.%6.%7.%8.%9"/>
      <w:lvlJc w:val="left"/>
      <w:pPr>
        <w:ind w:left="5200" w:hanging="1800"/>
      </w:pPr>
      <w:rPr>
        <w:rFonts w:hint="default"/>
      </w:rPr>
    </w:lvl>
  </w:abstractNum>
  <w:abstractNum w:abstractNumId="20" w15:restartNumberingAfterBreak="0">
    <w:nsid w:val="2A954AD8"/>
    <w:multiLevelType w:val="multilevel"/>
    <w:tmpl w:val="0B200EB2"/>
    <w:lvl w:ilvl="0">
      <w:start w:val="12"/>
      <w:numFmt w:val="decimal"/>
      <w:lvlText w:val="%1"/>
      <w:lvlJc w:val="left"/>
      <w:pPr>
        <w:ind w:left="460" w:hanging="460"/>
      </w:pPr>
      <w:rPr>
        <w:rFonts w:hint="default"/>
        <w:i w:val="0"/>
      </w:rPr>
    </w:lvl>
    <w:lvl w:ilvl="1">
      <w:start w:val="1"/>
      <w:numFmt w:val="decimal"/>
      <w:lvlText w:val="%1.%2"/>
      <w:lvlJc w:val="left"/>
      <w:pPr>
        <w:ind w:left="1180" w:hanging="460"/>
      </w:pPr>
      <w:rPr>
        <w:rFonts w:hint="default"/>
        <w:i w:val="0"/>
      </w:rPr>
    </w:lvl>
    <w:lvl w:ilvl="2">
      <w:start w:val="1"/>
      <w:numFmt w:val="decimal"/>
      <w:lvlText w:val="%1.%2.%3"/>
      <w:lvlJc w:val="left"/>
      <w:pPr>
        <w:ind w:left="2160" w:hanging="720"/>
      </w:pPr>
      <w:rPr>
        <w:rFonts w:hint="default"/>
        <w:i w:val="0"/>
      </w:rPr>
    </w:lvl>
    <w:lvl w:ilvl="3">
      <w:start w:val="1"/>
      <w:numFmt w:val="decimal"/>
      <w:lvlText w:val="%1.%2.%3.%4"/>
      <w:lvlJc w:val="left"/>
      <w:pPr>
        <w:ind w:left="3240" w:hanging="1080"/>
      </w:pPr>
      <w:rPr>
        <w:rFonts w:hint="default"/>
        <w:i w:val="0"/>
      </w:rPr>
    </w:lvl>
    <w:lvl w:ilvl="4">
      <w:start w:val="1"/>
      <w:numFmt w:val="decimal"/>
      <w:lvlText w:val="%1.%2.%3.%4.%5"/>
      <w:lvlJc w:val="left"/>
      <w:pPr>
        <w:ind w:left="3960" w:hanging="1080"/>
      </w:pPr>
      <w:rPr>
        <w:rFonts w:hint="default"/>
        <w:i w:val="0"/>
      </w:rPr>
    </w:lvl>
    <w:lvl w:ilvl="5">
      <w:start w:val="1"/>
      <w:numFmt w:val="decimal"/>
      <w:lvlText w:val="%1.%2.%3.%4.%5.%6"/>
      <w:lvlJc w:val="left"/>
      <w:pPr>
        <w:ind w:left="5040" w:hanging="1440"/>
      </w:pPr>
      <w:rPr>
        <w:rFonts w:hint="default"/>
        <w:i w:val="0"/>
      </w:rPr>
    </w:lvl>
    <w:lvl w:ilvl="6">
      <w:start w:val="1"/>
      <w:numFmt w:val="decimal"/>
      <w:lvlText w:val="%1.%2.%3.%4.%5.%6.%7"/>
      <w:lvlJc w:val="left"/>
      <w:pPr>
        <w:ind w:left="5760" w:hanging="1440"/>
      </w:pPr>
      <w:rPr>
        <w:rFonts w:hint="default"/>
        <w:i w:val="0"/>
      </w:rPr>
    </w:lvl>
    <w:lvl w:ilvl="7">
      <w:start w:val="1"/>
      <w:numFmt w:val="decimal"/>
      <w:lvlText w:val="%1.%2.%3.%4.%5.%6.%7.%8"/>
      <w:lvlJc w:val="left"/>
      <w:pPr>
        <w:ind w:left="6840" w:hanging="1800"/>
      </w:pPr>
      <w:rPr>
        <w:rFonts w:hint="default"/>
        <w:i w:val="0"/>
      </w:rPr>
    </w:lvl>
    <w:lvl w:ilvl="8">
      <w:start w:val="1"/>
      <w:numFmt w:val="decimal"/>
      <w:lvlText w:val="%1.%2.%3.%4.%5.%6.%7.%8.%9"/>
      <w:lvlJc w:val="left"/>
      <w:pPr>
        <w:ind w:left="7560" w:hanging="1800"/>
      </w:pPr>
      <w:rPr>
        <w:rFonts w:hint="default"/>
        <w:i w:val="0"/>
      </w:rPr>
    </w:lvl>
  </w:abstractNum>
  <w:abstractNum w:abstractNumId="21" w15:restartNumberingAfterBreak="0">
    <w:nsid w:val="2AB7591A"/>
    <w:multiLevelType w:val="hybridMultilevel"/>
    <w:tmpl w:val="CEA2DB26"/>
    <w:lvl w:ilvl="0" w:tplc="077EEA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DEE39B9"/>
    <w:multiLevelType w:val="multilevel"/>
    <w:tmpl w:val="ED3A90CC"/>
    <w:lvl w:ilvl="0">
      <w:start w:val="1"/>
      <w:numFmt w:val="decimal"/>
      <w:lvlText w:val="%1."/>
      <w:lvlJc w:val="left"/>
      <w:pPr>
        <w:ind w:left="720" w:hanging="360"/>
      </w:pPr>
      <w:rPr>
        <w:i w:val="0"/>
        <w:iCs/>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3" w15:restartNumberingAfterBreak="0">
    <w:nsid w:val="30BB39F0"/>
    <w:multiLevelType w:val="hybridMultilevel"/>
    <w:tmpl w:val="A622DCBA"/>
    <w:lvl w:ilvl="0" w:tplc="DBA027F8">
      <w:start w:val="1"/>
      <w:numFmt w:val="lowerRoman"/>
      <w:lvlText w:val="(%1)"/>
      <w:lvlJc w:val="left"/>
      <w:pPr>
        <w:ind w:left="3414" w:hanging="720"/>
      </w:pPr>
      <w:rPr>
        <w:rFonts w:hint="default"/>
      </w:rPr>
    </w:lvl>
    <w:lvl w:ilvl="1" w:tplc="08090019" w:tentative="1">
      <w:start w:val="1"/>
      <w:numFmt w:val="lowerLetter"/>
      <w:lvlText w:val="%2."/>
      <w:lvlJc w:val="left"/>
      <w:pPr>
        <w:ind w:left="3774" w:hanging="360"/>
      </w:pPr>
    </w:lvl>
    <w:lvl w:ilvl="2" w:tplc="0809001B" w:tentative="1">
      <w:start w:val="1"/>
      <w:numFmt w:val="lowerRoman"/>
      <w:lvlText w:val="%3."/>
      <w:lvlJc w:val="right"/>
      <w:pPr>
        <w:ind w:left="4494" w:hanging="180"/>
      </w:pPr>
    </w:lvl>
    <w:lvl w:ilvl="3" w:tplc="0809000F" w:tentative="1">
      <w:start w:val="1"/>
      <w:numFmt w:val="decimal"/>
      <w:lvlText w:val="%4."/>
      <w:lvlJc w:val="left"/>
      <w:pPr>
        <w:ind w:left="5214" w:hanging="360"/>
      </w:pPr>
    </w:lvl>
    <w:lvl w:ilvl="4" w:tplc="08090019" w:tentative="1">
      <w:start w:val="1"/>
      <w:numFmt w:val="lowerLetter"/>
      <w:lvlText w:val="%5."/>
      <w:lvlJc w:val="left"/>
      <w:pPr>
        <w:ind w:left="5934" w:hanging="360"/>
      </w:pPr>
    </w:lvl>
    <w:lvl w:ilvl="5" w:tplc="0809001B" w:tentative="1">
      <w:start w:val="1"/>
      <w:numFmt w:val="lowerRoman"/>
      <w:lvlText w:val="%6."/>
      <w:lvlJc w:val="right"/>
      <w:pPr>
        <w:ind w:left="6654" w:hanging="180"/>
      </w:pPr>
    </w:lvl>
    <w:lvl w:ilvl="6" w:tplc="0809000F" w:tentative="1">
      <w:start w:val="1"/>
      <w:numFmt w:val="decimal"/>
      <w:lvlText w:val="%7."/>
      <w:lvlJc w:val="left"/>
      <w:pPr>
        <w:ind w:left="7374" w:hanging="360"/>
      </w:pPr>
    </w:lvl>
    <w:lvl w:ilvl="7" w:tplc="08090019" w:tentative="1">
      <w:start w:val="1"/>
      <w:numFmt w:val="lowerLetter"/>
      <w:lvlText w:val="%8."/>
      <w:lvlJc w:val="left"/>
      <w:pPr>
        <w:ind w:left="8094" w:hanging="360"/>
      </w:pPr>
    </w:lvl>
    <w:lvl w:ilvl="8" w:tplc="0809001B" w:tentative="1">
      <w:start w:val="1"/>
      <w:numFmt w:val="lowerRoman"/>
      <w:lvlText w:val="%9."/>
      <w:lvlJc w:val="right"/>
      <w:pPr>
        <w:ind w:left="8814" w:hanging="180"/>
      </w:pPr>
    </w:lvl>
  </w:abstractNum>
  <w:abstractNum w:abstractNumId="24" w15:restartNumberingAfterBreak="0">
    <w:nsid w:val="338C37EF"/>
    <w:multiLevelType w:val="multilevel"/>
    <w:tmpl w:val="264ED5D0"/>
    <w:lvl w:ilvl="0">
      <w:start w:val="39"/>
      <w:numFmt w:val="decimal"/>
      <w:lvlText w:val="%1"/>
      <w:lvlJc w:val="left"/>
      <w:pPr>
        <w:ind w:left="420" w:hanging="420"/>
      </w:pPr>
      <w:rPr>
        <w:rFonts w:eastAsiaTheme="minorHAnsi" w:hint="default"/>
      </w:rPr>
    </w:lvl>
    <w:lvl w:ilvl="1">
      <w:start w:val="1"/>
      <w:numFmt w:val="decimal"/>
      <w:lvlText w:val="%1.%2"/>
      <w:lvlJc w:val="left"/>
      <w:pPr>
        <w:ind w:left="420" w:hanging="42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25" w15:restartNumberingAfterBreak="0">
    <w:nsid w:val="401F2B1D"/>
    <w:multiLevelType w:val="hybridMultilevel"/>
    <w:tmpl w:val="08D4FCD4"/>
    <w:lvl w:ilvl="0" w:tplc="18863588">
      <w:start w:val="9"/>
      <w:numFmt w:val="lowerLetter"/>
      <w:lvlText w:val="(%1)"/>
      <w:lvlJc w:val="left"/>
      <w:pPr>
        <w:ind w:left="1280" w:hanging="360"/>
      </w:pPr>
      <w:rPr>
        <w:rFonts w:hint="default"/>
      </w:rPr>
    </w:lvl>
    <w:lvl w:ilvl="1" w:tplc="08090019" w:tentative="1">
      <w:start w:val="1"/>
      <w:numFmt w:val="lowerLetter"/>
      <w:lvlText w:val="%2."/>
      <w:lvlJc w:val="left"/>
      <w:pPr>
        <w:ind w:left="2000" w:hanging="360"/>
      </w:pPr>
    </w:lvl>
    <w:lvl w:ilvl="2" w:tplc="0809001B" w:tentative="1">
      <w:start w:val="1"/>
      <w:numFmt w:val="lowerRoman"/>
      <w:lvlText w:val="%3."/>
      <w:lvlJc w:val="right"/>
      <w:pPr>
        <w:ind w:left="2720" w:hanging="180"/>
      </w:pPr>
    </w:lvl>
    <w:lvl w:ilvl="3" w:tplc="0809000F" w:tentative="1">
      <w:start w:val="1"/>
      <w:numFmt w:val="decimal"/>
      <w:lvlText w:val="%4."/>
      <w:lvlJc w:val="left"/>
      <w:pPr>
        <w:ind w:left="3440" w:hanging="360"/>
      </w:pPr>
    </w:lvl>
    <w:lvl w:ilvl="4" w:tplc="08090019" w:tentative="1">
      <w:start w:val="1"/>
      <w:numFmt w:val="lowerLetter"/>
      <w:lvlText w:val="%5."/>
      <w:lvlJc w:val="left"/>
      <w:pPr>
        <w:ind w:left="4160" w:hanging="360"/>
      </w:pPr>
    </w:lvl>
    <w:lvl w:ilvl="5" w:tplc="0809001B" w:tentative="1">
      <w:start w:val="1"/>
      <w:numFmt w:val="lowerRoman"/>
      <w:lvlText w:val="%6."/>
      <w:lvlJc w:val="right"/>
      <w:pPr>
        <w:ind w:left="4880" w:hanging="180"/>
      </w:pPr>
    </w:lvl>
    <w:lvl w:ilvl="6" w:tplc="0809000F" w:tentative="1">
      <w:start w:val="1"/>
      <w:numFmt w:val="decimal"/>
      <w:lvlText w:val="%7."/>
      <w:lvlJc w:val="left"/>
      <w:pPr>
        <w:ind w:left="5600" w:hanging="360"/>
      </w:pPr>
    </w:lvl>
    <w:lvl w:ilvl="7" w:tplc="08090019" w:tentative="1">
      <w:start w:val="1"/>
      <w:numFmt w:val="lowerLetter"/>
      <w:lvlText w:val="%8."/>
      <w:lvlJc w:val="left"/>
      <w:pPr>
        <w:ind w:left="6320" w:hanging="360"/>
      </w:pPr>
    </w:lvl>
    <w:lvl w:ilvl="8" w:tplc="0809001B" w:tentative="1">
      <w:start w:val="1"/>
      <w:numFmt w:val="lowerRoman"/>
      <w:lvlText w:val="%9."/>
      <w:lvlJc w:val="right"/>
      <w:pPr>
        <w:ind w:left="7040" w:hanging="180"/>
      </w:pPr>
    </w:lvl>
  </w:abstractNum>
  <w:abstractNum w:abstractNumId="26" w15:restartNumberingAfterBreak="0">
    <w:nsid w:val="45517DC0"/>
    <w:multiLevelType w:val="hybridMultilevel"/>
    <w:tmpl w:val="8FBA53FE"/>
    <w:lvl w:ilvl="0" w:tplc="C0A06FC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7B229C4"/>
    <w:multiLevelType w:val="hybridMultilevel"/>
    <w:tmpl w:val="B14EA3A6"/>
    <w:lvl w:ilvl="0" w:tplc="2C92465C">
      <w:start w:val="1"/>
      <w:numFmt w:val="lowerLetter"/>
      <w:lvlText w:val="(%1)"/>
      <w:lvlJc w:val="left"/>
      <w:pPr>
        <w:ind w:left="2169" w:hanging="1020"/>
      </w:pPr>
      <w:rPr>
        <w:rFonts w:hint="default"/>
      </w:rPr>
    </w:lvl>
    <w:lvl w:ilvl="1" w:tplc="08090019" w:tentative="1">
      <w:start w:val="1"/>
      <w:numFmt w:val="lowerLetter"/>
      <w:lvlText w:val="%2."/>
      <w:lvlJc w:val="left"/>
      <w:pPr>
        <w:ind w:left="2229" w:hanging="360"/>
      </w:pPr>
    </w:lvl>
    <w:lvl w:ilvl="2" w:tplc="0809001B" w:tentative="1">
      <w:start w:val="1"/>
      <w:numFmt w:val="lowerRoman"/>
      <w:lvlText w:val="%3."/>
      <w:lvlJc w:val="right"/>
      <w:pPr>
        <w:ind w:left="2949" w:hanging="180"/>
      </w:pPr>
    </w:lvl>
    <w:lvl w:ilvl="3" w:tplc="0809000F" w:tentative="1">
      <w:start w:val="1"/>
      <w:numFmt w:val="decimal"/>
      <w:lvlText w:val="%4."/>
      <w:lvlJc w:val="left"/>
      <w:pPr>
        <w:ind w:left="3669" w:hanging="360"/>
      </w:pPr>
    </w:lvl>
    <w:lvl w:ilvl="4" w:tplc="08090019" w:tentative="1">
      <w:start w:val="1"/>
      <w:numFmt w:val="lowerLetter"/>
      <w:lvlText w:val="%5."/>
      <w:lvlJc w:val="left"/>
      <w:pPr>
        <w:ind w:left="4389" w:hanging="360"/>
      </w:pPr>
    </w:lvl>
    <w:lvl w:ilvl="5" w:tplc="0809001B" w:tentative="1">
      <w:start w:val="1"/>
      <w:numFmt w:val="lowerRoman"/>
      <w:lvlText w:val="%6."/>
      <w:lvlJc w:val="right"/>
      <w:pPr>
        <w:ind w:left="5109" w:hanging="180"/>
      </w:pPr>
    </w:lvl>
    <w:lvl w:ilvl="6" w:tplc="0809000F" w:tentative="1">
      <w:start w:val="1"/>
      <w:numFmt w:val="decimal"/>
      <w:lvlText w:val="%7."/>
      <w:lvlJc w:val="left"/>
      <w:pPr>
        <w:ind w:left="5829" w:hanging="360"/>
      </w:pPr>
    </w:lvl>
    <w:lvl w:ilvl="7" w:tplc="08090019" w:tentative="1">
      <w:start w:val="1"/>
      <w:numFmt w:val="lowerLetter"/>
      <w:lvlText w:val="%8."/>
      <w:lvlJc w:val="left"/>
      <w:pPr>
        <w:ind w:left="6549" w:hanging="360"/>
      </w:pPr>
    </w:lvl>
    <w:lvl w:ilvl="8" w:tplc="0809001B" w:tentative="1">
      <w:start w:val="1"/>
      <w:numFmt w:val="lowerRoman"/>
      <w:lvlText w:val="%9."/>
      <w:lvlJc w:val="right"/>
      <w:pPr>
        <w:ind w:left="7269" w:hanging="180"/>
      </w:pPr>
    </w:lvl>
  </w:abstractNum>
  <w:abstractNum w:abstractNumId="28" w15:restartNumberingAfterBreak="0">
    <w:nsid w:val="48745070"/>
    <w:multiLevelType w:val="hybridMultilevel"/>
    <w:tmpl w:val="650C0228"/>
    <w:lvl w:ilvl="0" w:tplc="F08A83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95C17E1"/>
    <w:multiLevelType w:val="hybridMultilevel"/>
    <w:tmpl w:val="AD82D94E"/>
    <w:lvl w:ilvl="0" w:tplc="525A97F8">
      <w:start w:val="1"/>
      <w:numFmt w:val="lowerLetter"/>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05E6274"/>
    <w:multiLevelType w:val="multilevel"/>
    <w:tmpl w:val="15EC639E"/>
    <w:lvl w:ilvl="0">
      <w:start w:val="1"/>
      <w:numFmt w:val="decimal"/>
      <w:lvlText w:val="%1."/>
      <w:lvlJc w:val="left"/>
      <w:pPr>
        <w:ind w:left="1440" w:hanging="360"/>
      </w:pPr>
    </w:lvl>
    <w:lvl w:ilvl="1">
      <w:start w:val="1"/>
      <w:numFmt w:val="decimal"/>
      <w:isLgl/>
      <w:lvlText w:val="%1.%2"/>
      <w:lvlJc w:val="left"/>
      <w:pPr>
        <w:ind w:left="180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320" w:hanging="144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400" w:hanging="1800"/>
      </w:pPr>
      <w:rPr>
        <w:rFonts w:hint="default"/>
      </w:rPr>
    </w:lvl>
    <w:lvl w:ilvl="8">
      <w:start w:val="1"/>
      <w:numFmt w:val="decimal"/>
      <w:isLgl/>
      <w:lvlText w:val="%1.%2.%3.%4.%5.%6.%7.%8.%9"/>
      <w:lvlJc w:val="left"/>
      <w:pPr>
        <w:ind w:left="5760" w:hanging="1800"/>
      </w:pPr>
      <w:rPr>
        <w:rFonts w:hint="default"/>
      </w:rPr>
    </w:lvl>
  </w:abstractNum>
  <w:abstractNum w:abstractNumId="31" w15:restartNumberingAfterBreak="0">
    <w:nsid w:val="552662AB"/>
    <w:multiLevelType w:val="hybridMultilevel"/>
    <w:tmpl w:val="421A48E8"/>
    <w:lvl w:ilvl="0" w:tplc="B2EEFF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5D50618"/>
    <w:multiLevelType w:val="hybridMultilevel"/>
    <w:tmpl w:val="1268796E"/>
    <w:lvl w:ilvl="0" w:tplc="72E05458">
      <w:start w:val="9"/>
      <w:numFmt w:val="lowerLetter"/>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3" w15:restartNumberingAfterBreak="0">
    <w:nsid w:val="567A5072"/>
    <w:multiLevelType w:val="multilevel"/>
    <w:tmpl w:val="B45C9FC6"/>
    <w:lvl w:ilvl="0">
      <w:start w:val="1"/>
      <w:numFmt w:val="decimal"/>
      <w:lvlText w:val="%1."/>
      <w:lvlJc w:val="left"/>
      <w:pPr>
        <w:ind w:left="720" w:hanging="360"/>
      </w:pPr>
      <w:rPr>
        <w:rFonts w:ascii="Arial" w:hAnsi="Arial" w:cs="Arial" w:hint="default"/>
        <w:b w:val="0"/>
        <w:bCs/>
        <w:i w:val="0"/>
        <w:iCs w:val="0"/>
        <w:sz w:val="22"/>
        <w:szCs w:val="22"/>
      </w:rPr>
    </w:lvl>
    <w:lvl w:ilvl="1">
      <w:start w:val="1"/>
      <w:numFmt w:val="decimal"/>
      <w:isLgl/>
      <w:lvlText w:val="%1.%2"/>
      <w:lvlJc w:val="left"/>
      <w:pPr>
        <w:ind w:left="1480" w:hanging="580"/>
      </w:pPr>
      <w:rPr>
        <w:rFonts w:hint="default"/>
        <w:b w:val="0"/>
        <w:bCs/>
        <w:i/>
        <w:iCs/>
        <w:sz w:val="22"/>
        <w:szCs w:val="22"/>
        <w:u w:val="none"/>
      </w:rPr>
    </w:lvl>
    <w:lvl w:ilvl="2">
      <w:start w:val="1"/>
      <w:numFmt w:val="decimal"/>
      <w:isLgl/>
      <w:lvlText w:val="%1.%2.%3"/>
      <w:lvlJc w:val="left"/>
      <w:pPr>
        <w:ind w:left="2062" w:hanging="720"/>
      </w:pPr>
      <w:rPr>
        <w:rFonts w:hint="default"/>
        <w:i w:val="0"/>
        <w:iCs w:val="0"/>
        <w:u w:val="none"/>
      </w:rPr>
    </w:lvl>
    <w:lvl w:ilvl="3">
      <w:start w:val="1"/>
      <w:numFmt w:val="decimal"/>
      <w:isLgl/>
      <w:lvlText w:val="%1.%2.%3.%4"/>
      <w:lvlJc w:val="left"/>
      <w:pPr>
        <w:ind w:left="2553" w:hanging="720"/>
      </w:pPr>
      <w:rPr>
        <w:rFonts w:hint="default"/>
        <w:u w:val="none"/>
      </w:rPr>
    </w:lvl>
    <w:lvl w:ilvl="4">
      <w:start w:val="1"/>
      <w:numFmt w:val="decimal"/>
      <w:isLgl/>
      <w:lvlText w:val="%1.%2.%3.%4.%5"/>
      <w:lvlJc w:val="left"/>
      <w:pPr>
        <w:ind w:left="3404" w:hanging="1080"/>
      </w:pPr>
      <w:rPr>
        <w:rFonts w:hint="default"/>
        <w:u w:val="none"/>
      </w:rPr>
    </w:lvl>
    <w:lvl w:ilvl="5">
      <w:start w:val="1"/>
      <w:numFmt w:val="decimal"/>
      <w:isLgl/>
      <w:lvlText w:val="%1.%2.%3.%4.%5.%6"/>
      <w:lvlJc w:val="left"/>
      <w:pPr>
        <w:ind w:left="3895" w:hanging="1080"/>
      </w:pPr>
      <w:rPr>
        <w:rFonts w:hint="default"/>
        <w:u w:val="none"/>
      </w:rPr>
    </w:lvl>
    <w:lvl w:ilvl="6">
      <w:start w:val="1"/>
      <w:numFmt w:val="decimal"/>
      <w:isLgl/>
      <w:lvlText w:val="%1.%2.%3.%4.%5.%6.%7"/>
      <w:lvlJc w:val="left"/>
      <w:pPr>
        <w:ind w:left="4746" w:hanging="1440"/>
      </w:pPr>
      <w:rPr>
        <w:rFonts w:hint="default"/>
        <w:u w:val="none"/>
      </w:rPr>
    </w:lvl>
    <w:lvl w:ilvl="7">
      <w:start w:val="1"/>
      <w:numFmt w:val="decimal"/>
      <w:isLgl/>
      <w:lvlText w:val="%1.%2.%3.%4.%5.%6.%7.%8"/>
      <w:lvlJc w:val="left"/>
      <w:pPr>
        <w:ind w:left="5237" w:hanging="1440"/>
      </w:pPr>
      <w:rPr>
        <w:rFonts w:hint="default"/>
        <w:u w:val="none"/>
      </w:rPr>
    </w:lvl>
    <w:lvl w:ilvl="8">
      <w:start w:val="1"/>
      <w:numFmt w:val="decimal"/>
      <w:isLgl/>
      <w:lvlText w:val="%1.%2.%3.%4.%5.%6.%7.%8.%9"/>
      <w:lvlJc w:val="left"/>
      <w:pPr>
        <w:ind w:left="6088" w:hanging="1800"/>
      </w:pPr>
      <w:rPr>
        <w:rFonts w:hint="default"/>
        <w:u w:val="none"/>
      </w:rPr>
    </w:lvl>
  </w:abstractNum>
  <w:abstractNum w:abstractNumId="34" w15:restartNumberingAfterBreak="0">
    <w:nsid w:val="5A3149A4"/>
    <w:multiLevelType w:val="multilevel"/>
    <w:tmpl w:val="E58A654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5" w15:restartNumberingAfterBreak="0">
    <w:nsid w:val="67E15D06"/>
    <w:multiLevelType w:val="hybridMultilevel"/>
    <w:tmpl w:val="16C6144C"/>
    <w:lvl w:ilvl="0" w:tplc="48843D8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15:restartNumberingAfterBreak="0">
    <w:nsid w:val="67F874A9"/>
    <w:multiLevelType w:val="hybridMultilevel"/>
    <w:tmpl w:val="DFCAEDCC"/>
    <w:lvl w:ilvl="0" w:tplc="4AF4FE6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A452D56"/>
    <w:multiLevelType w:val="hybridMultilevel"/>
    <w:tmpl w:val="FC80837C"/>
    <w:lvl w:ilvl="0" w:tplc="7AF0B6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0D26F0C"/>
    <w:multiLevelType w:val="multilevel"/>
    <w:tmpl w:val="D072296E"/>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9" w15:restartNumberingAfterBreak="0">
    <w:nsid w:val="76B2677D"/>
    <w:multiLevelType w:val="hybridMultilevel"/>
    <w:tmpl w:val="F0708DA4"/>
    <w:lvl w:ilvl="0" w:tplc="B04E514A">
      <w:start w:val="1"/>
      <w:numFmt w:val="lowerLetter"/>
      <w:lvlText w:val="(%1)"/>
      <w:lvlJc w:val="left"/>
      <w:pPr>
        <w:ind w:left="1694" w:hanging="5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40" w15:restartNumberingAfterBreak="0">
    <w:nsid w:val="7EDF7EF0"/>
    <w:multiLevelType w:val="multilevel"/>
    <w:tmpl w:val="CB7CF62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1" w15:restartNumberingAfterBreak="0">
    <w:nsid w:val="7F4A12EC"/>
    <w:multiLevelType w:val="hybridMultilevel"/>
    <w:tmpl w:val="DC287D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14"/>
  </w:num>
  <w:num w:numId="3">
    <w:abstractNumId w:val="0"/>
  </w:num>
  <w:num w:numId="4">
    <w:abstractNumId w:val="1"/>
  </w:num>
  <w:num w:numId="5">
    <w:abstractNumId w:val="10"/>
  </w:num>
  <w:num w:numId="6">
    <w:abstractNumId w:val="34"/>
  </w:num>
  <w:num w:numId="7">
    <w:abstractNumId w:val="41"/>
  </w:num>
  <w:num w:numId="8">
    <w:abstractNumId w:val="40"/>
  </w:num>
  <w:num w:numId="9">
    <w:abstractNumId w:val="9"/>
  </w:num>
  <w:num w:numId="10">
    <w:abstractNumId w:val="13"/>
  </w:num>
  <w:num w:numId="11">
    <w:abstractNumId w:val="24"/>
  </w:num>
  <w:num w:numId="12">
    <w:abstractNumId w:val="4"/>
  </w:num>
  <w:num w:numId="13">
    <w:abstractNumId w:val="21"/>
  </w:num>
  <w:num w:numId="14">
    <w:abstractNumId w:val="37"/>
  </w:num>
  <w:num w:numId="15">
    <w:abstractNumId w:val="11"/>
  </w:num>
  <w:num w:numId="16">
    <w:abstractNumId w:val="3"/>
  </w:num>
  <w:num w:numId="17">
    <w:abstractNumId w:val="28"/>
  </w:num>
  <w:num w:numId="18">
    <w:abstractNumId w:val="6"/>
  </w:num>
  <w:num w:numId="19">
    <w:abstractNumId w:val="33"/>
  </w:num>
  <w:num w:numId="20">
    <w:abstractNumId w:val="16"/>
  </w:num>
  <w:num w:numId="21">
    <w:abstractNumId w:val="26"/>
  </w:num>
  <w:num w:numId="22">
    <w:abstractNumId w:val="8"/>
  </w:num>
  <w:num w:numId="23">
    <w:abstractNumId w:val="23"/>
  </w:num>
  <w:num w:numId="24">
    <w:abstractNumId w:val="12"/>
  </w:num>
  <w:num w:numId="25">
    <w:abstractNumId w:val="27"/>
  </w:num>
  <w:num w:numId="26">
    <w:abstractNumId w:val="39"/>
  </w:num>
  <w:num w:numId="27">
    <w:abstractNumId w:val="15"/>
  </w:num>
  <w:num w:numId="28">
    <w:abstractNumId w:val="17"/>
  </w:num>
  <w:num w:numId="29">
    <w:abstractNumId w:val="29"/>
  </w:num>
  <w:num w:numId="30">
    <w:abstractNumId w:val="36"/>
  </w:num>
  <w:num w:numId="31">
    <w:abstractNumId w:val="2"/>
  </w:num>
  <w:num w:numId="32">
    <w:abstractNumId w:val="32"/>
  </w:num>
  <w:num w:numId="33">
    <w:abstractNumId w:val="25"/>
  </w:num>
  <w:num w:numId="34">
    <w:abstractNumId w:val="35"/>
  </w:num>
  <w:num w:numId="35">
    <w:abstractNumId w:val="19"/>
  </w:num>
  <w:num w:numId="36">
    <w:abstractNumId w:val="22"/>
  </w:num>
  <w:num w:numId="37">
    <w:abstractNumId w:val="30"/>
  </w:num>
  <w:num w:numId="38">
    <w:abstractNumId w:val="7"/>
  </w:num>
  <w:num w:numId="39">
    <w:abstractNumId w:val="18"/>
  </w:num>
  <w:num w:numId="40">
    <w:abstractNumId w:val="38"/>
  </w:num>
  <w:num w:numId="41">
    <w:abstractNumId w:val="5"/>
  </w:num>
  <w:num w:numId="4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48C6"/>
    <w:rsid w:val="000028EF"/>
    <w:rsid w:val="0000346D"/>
    <w:rsid w:val="0000439B"/>
    <w:rsid w:val="00004A9C"/>
    <w:rsid w:val="000060CB"/>
    <w:rsid w:val="000104B4"/>
    <w:rsid w:val="00016016"/>
    <w:rsid w:val="000218AC"/>
    <w:rsid w:val="0002295E"/>
    <w:rsid w:val="00022E29"/>
    <w:rsid w:val="00023BF6"/>
    <w:rsid w:val="0002636B"/>
    <w:rsid w:val="0002658C"/>
    <w:rsid w:val="00027B5B"/>
    <w:rsid w:val="00030EDB"/>
    <w:rsid w:val="00032932"/>
    <w:rsid w:val="00033066"/>
    <w:rsid w:val="00036E73"/>
    <w:rsid w:val="00050078"/>
    <w:rsid w:val="00052547"/>
    <w:rsid w:val="00053176"/>
    <w:rsid w:val="000578D1"/>
    <w:rsid w:val="00062CEF"/>
    <w:rsid w:val="0006302B"/>
    <w:rsid w:val="00070EA4"/>
    <w:rsid w:val="000730BB"/>
    <w:rsid w:val="00075501"/>
    <w:rsid w:val="0008376B"/>
    <w:rsid w:val="0008544C"/>
    <w:rsid w:val="00085E25"/>
    <w:rsid w:val="0008693D"/>
    <w:rsid w:val="00094C99"/>
    <w:rsid w:val="000964D1"/>
    <w:rsid w:val="000971DB"/>
    <w:rsid w:val="00097A80"/>
    <w:rsid w:val="000A26D7"/>
    <w:rsid w:val="000A5272"/>
    <w:rsid w:val="000A57D4"/>
    <w:rsid w:val="000A6929"/>
    <w:rsid w:val="000B2CF1"/>
    <w:rsid w:val="000B44CB"/>
    <w:rsid w:val="000C091F"/>
    <w:rsid w:val="000C144B"/>
    <w:rsid w:val="000C1577"/>
    <w:rsid w:val="000C1D16"/>
    <w:rsid w:val="000C4554"/>
    <w:rsid w:val="000D0136"/>
    <w:rsid w:val="000D6B08"/>
    <w:rsid w:val="000D75E1"/>
    <w:rsid w:val="000E07B1"/>
    <w:rsid w:val="000E279F"/>
    <w:rsid w:val="000E5109"/>
    <w:rsid w:val="000E5543"/>
    <w:rsid w:val="000E5FB9"/>
    <w:rsid w:val="000E6633"/>
    <w:rsid w:val="000F35E9"/>
    <w:rsid w:val="000F5B0B"/>
    <w:rsid w:val="00101D88"/>
    <w:rsid w:val="001021EE"/>
    <w:rsid w:val="00103EC1"/>
    <w:rsid w:val="00112F71"/>
    <w:rsid w:val="00114724"/>
    <w:rsid w:val="001158B1"/>
    <w:rsid w:val="00115BE6"/>
    <w:rsid w:val="00121456"/>
    <w:rsid w:val="0013492F"/>
    <w:rsid w:val="00135C94"/>
    <w:rsid w:val="00144EA8"/>
    <w:rsid w:val="00151F35"/>
    <w:rsid w:val="001542D8"/>
    <w:rsid w:val="00155668"/>
    <w:rsid w:val="0016046F"/>
    <w:rsid w:val="00160826"/>
    <w:rsid w:val="00161F55"/>
    <w:rsid w:val="00163683"/>
    <w:rsid w:val="001721F5"/>
    <w:rsid w:val="0017465D"/>
    <w:rsid w:val="00177619"/>
    <w:rsid w:val="00194AFD"/>
    <w:rsid w:val="00194BAE"/>
    <w:rsid w:val="001A21CD"/>
    <w:rsid w:val="001A45F8"/>
    <w:rsid w:val="001A46B5"/>
    <w:rsid w:val="001A52F1"/>
    <w:rsid w:val="001A7F86"/>
    <w:rsid w:val="001B0821"/>
    <w:rsid w:val="001B1199"/>
    <w:rsid w:val="001B288A"/>
    <w:rsid w:val="001B487B"/>
    <w:rsid w:val="001B5DCD"/>
    <w:rsid w:val="001C74A3"/>
    <w:rsid w:val="001D29B2"/>
    <w:rsid w:val="001D6C62"/>
    <w:rsid w:val="001D6F4F"/>
    <w:rsid w:val="001D7C47"/>
    <w:rsid w:val="001E33E6"/>
    <w:rsid w:val="001E36EF"/>
    <w:rsid w:val="001E6710"/>
    <w:rsid w:val="001E75D7"/>
    <w:rsid w:val="001F0466"/>
    <w:rsid w:val="001F07DD"/>
    <w:rsid w:val="001F450A"/>
    <w:rsid w:val="001F4AE5"/>
    <w:rsid w:val="002003EF"/>
    <w:rsid w:val="00201A93"/>
    <w:rsid w:val="002040D5"/>
    <w:rsid w:val="00205098"/>
    <w:rsid w:val="0020751F"/>
    <w:rsid w:val="00211A55"/>
    <w:rsid w:val="0021216F"/>
    <w:rsid w:val="002129F5"/>
    <w:rsid w:val="00216F5B"/>
    <w:rsid w:val="00220E1F"/>
    <w:rsid w:val="00232B53"/>
    <w:rsid w:val="00232BFD"/>
    <w:rsid w:val="00232EA0"/>
    <w:rsid w:val="002332DE"/>
    <w:rsid w:val="00235638"/>
    <w:rsid w:val="00237CC3"/>
    <w:rsid w:val="0024214A"/>
    <w:rsid w:val="00242E76"/>
    <w:rsid w:val="00244901"/>
    <w:rsid w:val="00250583"/>
    <w:rsid w:val="00254146"/>
    <w:rsid w:val="00255485"/>
    <w:rsid w:val="00260FF6"/>
    <w:rsid w:val="00264079"/>
    <w:rsid w:val="00265336"/>
    <w:rsid w:val="00267036"/>
    <w:rsid w:val="0027008F"/>
    <w:rsid w:val="002727C7"/>
    <w:rsid w:val="00277413"/>
    <w:rsid w:val="00280528"/>
    <w:rsid w:val="00281CA0"/>
    <w:rsid w:val="00283B34"/>
    <w:rsid w:val="00287E6E"/>
    <w:rsid w:val="00290883"/>
    <w:rsid w:val="002914E5"/>
    <w:rsid w:val="00293D72"/>
    <w:rsid w:val="00294C0B"/>
    <w:rsid w:val="00297584"/>
    <w:rsid w:val="0029767F"/>
    <w:rsid w:val="002A1B8D"/>
    <w:rsid w:val="002A3867"/>
    <w:rsid w:val="002A3FC0"/>
    <w:rsid w:val="002A51AF"/>
    <w:rsid w:val="002A53F8"/>
    <w:rsid w:val="002A6A3F"/>
    <w:rsid w:val="002B0A35"/>
    <w:rsid w:val="002B0AC0"/>
    <w:rsid w:val="002B416D"/>
    <w:rsid w:val="002B4437"/>
    <w:rsid w:val="002B5319"/>
    <w:rsid w:val="002B69B1"/>
    <w:rsid w:val="002B7882"/>
    <w:rsid w:val="002C2332"/>
    <w:rsid w:val="002C413A"/>
    <w:rsid w:val="002C4D4E"/>
    <w:rsid w:val="002C6EBE"/>
    <w:rsid w:val="002C7527"/>
    <w:rsid w:val="002D690E"/>
    <w:rsid w:val="002D6A2A"/>
    <w:rsid w:val="002D6BF0"/>
    <w:rsid w:val="002E1F21"/>
    <w:rsid w:val="002E2E7C"/>
    <w:rsid w:val="002F55EB"/>
    <w:rsid w:val="0030384B"/>
    <w:rsid w:val="00306F7E"/>
    <w:rsid w:val="00307191"/>
    <w:rsid w:val="00311527"/>
    <w:rsid w:val="00311623"/>
    <w:rsid w:val="003131A7"/>
    <w:rsid w:val="00313396"/>
    <w:rsid w:val="003155D7"/>
    <w:rsid w:val="00316515"/>
    <w:rsid w:val="00316D5B"/>
    <w:rsid w:val="00322298"/>
    <w:rsid w:val="00323F5E"/>
    <w:rsid w:val="0032764A"/>
    <w:rsid w:val="00333325"/>
    <w:rsid w:val="003348C6"/>
    <w:rsid w:val="00334F20"/>
    <w:rsid w:val="00335D42"/>
    <w:rsid w:val="003404EC"/>
    <w:rsid w:val="00342015"/>
    <w:rsid w:val="0035741F"/>
    <w:rsid w:val="00360697"/>
    <w:rsid w:val="00363165"/>
    <w:rsid w:val="003654BA"/>
    <w:rsid w:val="003669B2"/>
    <w:rsid w:val="00371BE5"/>
    <w:rsid w:val="00375DC6"/>
    <w:rsid w:val="0037606D"/>
    <w:rsid w:val="003768BD"/>
    <w:rsid w:val="00376F45"/>
    <w:rsid w:val="00377915"/>
    <w:rsid w:val="00381D13"/>
    <w:rsid w:val="00385391"/>
    <w:rsid w:val="00385FBC"/>
    <w:rsid w:val="00393A1A"/>
    <w:rsid w:val="003A14B0"/>
    <w:rsid w:val="003A20FB"/>
    <w:rsid w:val="003A3574"/>
    <w:rsid w:val="003A4CCC"/>
    <w:rsid w:val="003A5BC8"/>
    <w:rsid w:val="003A7114"/>
    <w:rsid w:val="003B3BD0"/>
    <w:rsid w:val="003B5E58"/>
    <w:rsid w:val="003B6C23"/>
    <w:rsid w:val="003C415E"/>
    <w:rsid w:val="003C432D"/>
    <w:rsid w:val="003D3E27"/>
    <w:rsid w:val="003E1AF9"/>
    <w:rsid w:val="003E3540"/>
    <w:rsid w:val="003E5D99"/>
    <w:rsid w:val="003E6369"/>
    <w:rsid w:val="003E6BDA"/>
    <w:rsid w:val="003F37AE"/>
    <w:rsid w:val="003F46D7"/>
    <w:rsid w:val="00406F88"/>
    <w:rsid w:val="004075F2"/>
    <w:rsid w:val="00407B06"/>
    <w:rsid w:val="00412E0C"/>
    <w:rsid w:val="00413603"/>
    <w:rsid w:val="00413B53"/>
    <w:rsid w:val="00413E2B"/>
    <w:rsid w:val="00416EA1"/>
    <w:rsid w:val="00417BE7"/>
    <w:rsid w:val="0042006C"/>
    <w:rsid w:val="00420A17"/>
    <w:rsid w:val="0042184A"/>
    <w:rsid w:val="004247F2"/>
    <w:rsid w:val="00425F53"/>
    <w:rsid w:val="00427A0C"/>
    <w:rsid w:val="00432B66"/>
    <w:rsid w:val="0043453A"/>
    <w:rsid w:val="00440D4B"/>
    <w:rsid w:val="0044117D"/>
    <w:rsid w:val="0044333F"/>
    <w:rsid w:val="0044361B"/>
    <w:rsid w:val="00443ADE"/>
    <w:rsid w:val="00444C8B"/>
    <w:rsid w:val="00450944"/>
    <w:rsid w:val="0045149D"/>
    <w:rsid w:val="00452A4C"/>
    <w:rsid w:val="00452F1A"/>
    <w:rsid w:val="00454072"/>
    <w:rsid w:val="00454B26"/>
    <w:rsid w:val="00460F1A"/>
    <w:rsid w:val="00461C81"/>
    <w:rsid w:val="00461E12"/>
    <w:rsid w:val="00464393"/>
    <w:rsid w:val="004668A7"/>
    <w:rsid w:val="00475569"/>
    <w:rsid w:val="00475A8E"/>
    <w:rsid w:val="0048191C"/>
    <w:rsid w:val="00482966"/>
    <w:rsid w:val="004854D5"/>
    <w:rsid w:val="0049074E"/>
    <w:rsid w:val="004923E3"/>
    <w:rsid w:val="0049313B"/>
    <w:rsid w:val="004954F4"/>
    <w:rsid w:val="00497B5E"/>
    <w:rsid w:val="004A0230"/>
    <w:rsid w:val="004B40B5"/>
    <w:rsid w:val="004B5A4B"/>
    <w:rsid w:val="004C519E"/>
    <w:rsid w:val="004C6A1E"/>
    <w:rsid w:val="004D12FE"/>
    <w:rsid w:val="004D3845"/>
    <w:rsid w:val="004E3E4D"/>
    <w:rsid w:val="004E581A"/>
    <w:rsid w:val="004F0167"/>
    <w:rsid w:val="004F1CBA"/>
    <w:rsid w:val="004F536A"/>
    <w:rsid w:val="00500DA0"/>
    <w:rsid w:val="005069D9"/>
    <w:rsid w:val="005137BC"/>
    <w:rsid w:val="00514611"/>
    <w:rsid w:val="0051651C"/>
    <w:rsid w:val="0053459D"/>
    <w:rsid w:val="00534E01"/>
    <w:rsid w:val="00540198"/>
    <w:rsid w:val="005439CA"/>
    <w:rsid w:val="00547AC7"/>
    <w:rsid w:val="00551B4C"/>
    <w:rsid w:val="0055431B"/>
    <w:rsid w:val="00555550"/>
    <w:rsid w:val="005560EF"/>
    <w:rsid w:val="0057074A"/>
    <w:rsid w:val="005720E9"/>
    <w:rsid w:val="00572EB2"/>
    <w:rsid w:val="0057371F"/>
    <w:rsid w:val="00575153"/>
    <w:rsid w:val="00576BBA"/>
    <w:rsid w:val="00582212"/>
    <w:rsid w:val="005847FB"/>
    <w:rsid w:val="00587548"/>
    <w:rsid w:val="00587BF3"/>
    <w:rsid w:val="00592286"/>
    <w:rsid w:val="00595099"/>
    <w:rsid w:val="005A2F73"/>
    <w:rsid w:val="005A51FA"/>
    <w:rsid w:val="005B0DB3"/>
    <w:rsid w:val="005B118D"/>
    <w:rsid w:val="005B3133"/>
    <w:rsid w:val="005B6266"/>
    <w:rsid w:val="005B6C72"/>
    <w:rsid w:val="005B75C1"/>
    <w:rsid w:val="005D0246"/>
    <w:rsid w:val="005D3007"/>
    <w:rsid w:val="005D3DE9"/>
    <w:rsid w:val="005D4790"/>
    <w:rsid w:val="005D796B"/>
    <w:rsid w:val="005E2259"/>
    <w:rsid w:val="005E230C"/>
    <w:rsid w:val="005E448E"/>
    <w:rsid w:val="005F3F7C"/>
    <w:rsid w:val="005F49B3"/>
    <w:rsid w:val="005F653D"/>
    <w:rsid w:val="006036F8"/>
    <w:rsid w:val="00605316"/>
    <w:rsid w:val="006077A9"/>
    <w:rsid w:val="00613E4D"/>
    <w:rsid w:val="00615A0C"/>
    <w:rsid w:val="006216B4"/>
    <w:rsid w:val="0062377D"/>
    <w:rsid w:val="006238CE"/>
    <w:rsid w:val="00625958"/>
    <w:rsid w:val="00635CC5"/>
    <w:rsid w:val="006430C0"/>
    <w:rsid w:val="00644BB3"/>
    <w:rsid w:val="00646138"/>
    <w:rsid w:val="00650745"/>
    <w:rsid w:val="00650ED7"/>
    <w:rsid w:val="00651B9B"/>
    <w:rsid w:val="00653433"/>
    <w:rsid w:val="00655236"/>
    <w:rsid w:val="006568FD"/>
    <w:rsid w:val="006629EA"/>
    <w:rsid w:val="006630FB"/>
    <w:rsid w:val="006710DC"/>
    <w:rsid w:val="00675035"/>
    <w:rsid w:val="00676840"/>
    <w:rsid w:val="00676987"/>
    <w:rsid w:val="00677BC9"/>
    <w:rsid w:val="00683071"/>
    <w:rsid w:val="00685943"/>
    <w:rsid w:val="00686AFF"/>
    <w:rsid w:val="006876EA"/>
    <w:rsid w:val="0069003A"/>
    <w:rsid w:val="00690045"/>
    <w:rsid w:val="00690B7B"/>
    <w:rsid w:val="00695533"/>
    <w:rsid w:val="00697551"/>
    <w:rsid w:val="006A1AA8"/>
    <w:rsid w:val="006A256A"/>
    <w:rsid w:val="006A32CF"/>
    <w:rsid w:val="006A37E3"/>
    <w:rsid w:val="006A50D6"/>
    <w:rsid w:val="006A6111"/>
    <w:rsid w:val="006A6DDB"/>
    <w:rsid w:val="006A770C"/>
    <w:rsid w:val="006B0014"/>
    <w:rsid w:val="006B293E"/>
    <w:rsid w:val="006B3D1D"/>
    <w:rsid w:val="006B67ED"/>
    <w:rsid w:val="006C1F9C"/>
    <w:rsid w:val="006C4B55"/>
    <w:rsid w:val="006C5C39"/>
    <w:rsid w:val="006C6C10"/>
    <w:rsid w:val="006C705A"/>
    <w:rsid w:val="006D206C"/>
    <w:rsid w:val="006D4FB3"/>
    <w:rsid w:val="006D5ABB"/>
    <w:rsid w:val="006E4415"/>
    <w:rsid w:val="006E462C"/>
    <w:rsid w:val="006E6A4F"/>
    <w:rsid w:val="006F0D1D"/>
    <w:rsid w:val="006F2787"/>
    <w:rsid w:val="006F409D"/>
    <w:rsid w:val="006F40B5"/>
    <w:rsid w:val="006F6E5D"/>
    <w:rsid w:val="00706C1E"/>
    <w:rsid w:val="00707C51"/>
    <w:rsid w:val="00713A5D"/>
    <w:rsid w:val="00714F53"/>
    <w:rsid w:val="00715A7D"/>
    <w:rsid w:val="00716463"/>
    <w:rsid w:val="00720FEF"/>
    <w:rsid w:val="00721D1C"/>
    <w:rsid w:val="0072221F"/>
    <w:rsid w:val="007240E6"/>
    <w:rsid w:val="007253C2"/>
    <w:rsid w:val="0073212D"/>
    <w:rsid w:val="00733746"/>
    <w:rsid w:val="00735EB8"/>
    <w:rsid w:val="00736CDA"/>
    <w:rsid w:val="00737291"/>
    <w:rsid w:val="00737352"/>
    <w:rsid w:val="00742BAE"/>
    <w:rsid w:val="007479FB"/>
    <w:rsid w:val="00750CC1"/>
    <w:rsid w:val="00753AD4"/>
    <w:rsid w:val="00755484"/>
    <w:rsid w:val="00755729"/>
    <w:rsid w:val="00761B18"/>
    <w:rsid w:val="00763002"/>
    <w:rsid w:val="00766468"/>
    <w:rsid w:val="007679D5"/>
    <w:rsid w:val="00767E16"/>
    <w:rsid w:val="00771DA4"/>
    <w:rsid w:val="00771E0F"/>
    <w:rsid w:val="007728D2"/>
    <w:rsid w:val="00774222"/>
    <w:rsid w:val="00774F2E"/>
    <w:rsid w:val="007768DA"/>
    <w:rsid w:val="00785866"/>
    <w:rsid w:val="00786BB7"/>
    <w:rsid w:val="007875AE"/>
    <w:rsid w:val="0078777C"/>
    <w:rsid w:val="00791B98"/>
    <w:rsid w:val="00793D7E"/>
    <w:rsid w:val="007943D0"/>
    <w:rsid w:val="0079680F"/>
    <w:rsid w:val="007970E1"/>
    <w:rsid w:val="007A0683"/>
    <w:rsid w:val="007A288E"/>
    <w:rsid w:val="007A4678"/>
    <w:rsid w:val="007A53BB"/>
    <w:rsid w:val="007A5C4E"/>
    <w:rsid w:val="007A6093"/>
    <w:rsid w:val="007B0C85"/>
    <w:rsid w:val="007B2C1E"/>
    <w:rsid w:val="007B46F6"/>
    <w:rsid w:val="007B63CD"/>
    <w:rsid w:val="007B667A"/>
    <w:rsid w:val="007C373C"/>
    <w:rsid w:val="007C7D36"/>
    <w:rsid w:val="007D17B5"/>
    <w:rsid w:val="007D24A3"/>
    <w:rsid w:val="007E0FCC"/>
    <w:rsid w:val="007E14BF"/>
    <w:rsid w:val="007E481E"/>
    <w:rsid w:val="007E6798"/>
    <w:rsid w:val="007E7B98"/>
    <w:rsid w:val="007F0BBF"/>
    <w:rsid w:val="007F7FED"/>
    <w:rsid w:val="0080094D"/>
    <w:rsid w:val="00805B94"/>
    <w:rsid w:val="0080634A"/>
    <w:rsid w:val="00806DFA"/>
    <w:rsid w:val="008119B5"/>
    <w:rsid w:val="00811A45"/>
    <w:rsid w:val="00816303"/>
    <w:rsid w:val="00816C09"/>
    <w:rsid w:val="00821962"/>
    <w:rsid w:val="00822511"/>
    <w:rsid w:val="00826F46"/>
    <w:rsid w:val="0083215B"/>
    <w:rsid w:val="00835C39"/>
    <w:rsid w:val="0083691E"/>
    <w:rsid w:val="0083710F"/>
    <w:rsid w:val="00837200"/>
    <w:rsid w:val="00840547"/>
    <w:rsid w:val="0084332A"/>
    <w:rsid w:val="00843A83"/>
    <w:rsid w:val="008465D6"/>
    <w:rsid w:val="00856295"/>
    <w:rsid w:val="00860899"/>
    <w:rsid w:val="00863ECB"/>
    <w:rsid w:val="00866025"/>
    <w:rsid w:val="00866632"/>
    <w:rsid w:val="00866C7E"/>
    <w:rsid w:val="00872D10"/>
    <w:rsid w:val="0088233C"/>
    <w:rsid w:val="008A262E"/>
    <w:rsid w:val="008A3877"/>
    <w:rsid w:val="008B1A58"/>
    <w:rsid w:val="008B1B71"/>
    <w:rsid w:val="008B2182"/>
    <w:rsid w:val="008B56C9"/>
    <w:rsid w:val="008C18AE"/>
    <w:rsid w:val="008C3603"/>
    <w:rsid w:val="008C45A5"/>
    <w:rsid w:val="008D2B40"/>
    <w:rsid w:val="008D34A8"/>
    <w:rsid w:val="008D3EFF"/>
    <w:rsid w:val="008D4FD5"/>
    <w:rsid w:val="008D5B34"/>
    <w:rsid w:val="008E04A7"/>
    <w:rsid w:val="008E4705"/>
    <w:rsid w:val="008E5BBF"/>
    <w:rsid w:val="008F2EA2"/>
    <w:rsid w:val="008F327D"/>
    <w:rsid w:val="009007B6"/>
    <w:rsid w:val="0090095B"/>
    <w:rsid w:val="00901159"/>
    <w:rsid w:val="009026AA"/>
    <w:rsid w:val="00903C0A"/>
    <w:rsid w:val="00903F72"/>
    <w:rsid w:val="00906ADB"/>
    <w:rsid w:val="009075E4"/>
    <w:rsid w:val="00911000"/>
    <w:rsid w:val="00911F9D"/>
    <w:rsid w:val="00915248"/>
    <w:rsid w:val="009155B3"/>
    <w:rsid w:val="00916812"/>
    <w:rsid w:val="00916FDE"/>
    <w:rsid w:val="009227A6"/>
    <w:rsid w:val="009230F2"/>
    <w:rsid w:val="00923678"/>
    <w:rsid w:val="00923FB0"/>
    <w:rsid w:val="00926EAA"/>
    <w:rsid w:val="009270A3"/>
    <w:rsid w:val="009302AA"/>
    <w:rsid w:val="00931BFC"/>
    <w:rsid w:val="0093492C"/>
    <w:rsid w:val="0093725A"/>
    <w:rsid w:val="0093762E"/>
    <w:rsid w:val="00940B57"/>
    <w:rsid w:val="00941562"/>
    <w:rsid w:val="00941795"/>
    <w:rsid w:val="00942F59"/>
    <w:rsid w:val="00944BDE"/>
    <w:rsid w:val="0094618C"/>
    <w:rsid w:val="0095576C"/>
    <w:rsid w:val="0096352D"/>
    <w:rsid w:val="00967254"/>
    <w:rsid w:val="009732B6"/>
    <w:rsid w:val="00974554"/>
    <w:rsid w:val="009759F1"/>
    <w:rsid w:val="00976D15"/>
    <w:rsid w:val="00977E1A"/>
    <w:rsid w:val="009838D5"/>
    <w:rsid w:val="00986AAB"/>
    <w:rsid w:val="00986D20"/>
    <w:rsid w:val="00987290"/>
    <w:rsid w:val="009950C9"/>
    <w:rsid w:val="009A0A4A"/>
    <w:rsid w:val="009A269B"/>
    <w:rsid w:val="009A2C11"/>
    <w:rsid w:val="009A33C1"/>
    <w:rsid w:val="009A79F1"/>
    <w:rsid w:val="009B099B"/>
    <w:rsid w:val="009B1DA4"/>
    <w:rsid w:val="009B2BC9"/>
    <w:rsid w:val="009B36AA"/>
    <w:rsid w:val="009B4C31"/>
    <w:rsid w:val="009B5AEB"/>
    <w:rsid w:val="009B5D54"/>
    <w:rsid w:val="009C12B1"/>
    <w:rsid w:val="009C75A3"/>
    <w:rsid w:val="009C77A2"/>
    <w:rsid w:val="009D57DB"/>
    <w:rsid w:val="009E1EF1"/>
    <w:rsid w:val="009E554F"/>
    <w:rsid w:val="009F2161"/>
    <w:rsid w:val="009F22F0"/>
    <w:rsid w:val="009F43A4"/>
    <w:rsid w:val="009F5C34"/>
    <w:rsid w:val="009F5E83"/>
    <w:rsid w:val="009F6639"/>
    <w:rsid w:val="009F682F"/>
    <w:rsid w:val="009F6903"/>
    <w:rsid w:val="00A01777"/>
    <w:rsid w:val="00A05DD7"/>
    <w:rsid w:val="00A066DC"/>
    <w:rsid w:val="00A06E43"/>
    <w:rsid w:val="00A07432"/>
    <w:rsid w:val="00A12932"/>
    <w:rsid w:val="00A13793"/>
    <w:rsid w:val="00A15217"/>
    <w:rsid w:val="00A156AE"/>
    <w:rsid w:val="00A15E04"/>
    <w:rsid w:val="00A165EA"/>
    <w:rsid w:val="00A17E59"/>
    <w:rsid w:val="00A20492"/>
    <w:rsid w:val="00A22388"/>
    <w:rsid w:val="00A24354"/>
    <w:rsid w:val="00A24B93"/>
    <w:rsid w:val="00A2630B"/>
    <w:rsid w:val="00A337E6"/>
    <w:rsid w:val="00A352F5"/>
    <w:rsid w:val="00A35C68"/>
    <w:rsid w:val="00A3600A"/>
    <w:rsid w:val="00A43F9C"/>
    <w:rsid w:val="00A4634B"/>
    <w:rsid w:val="00A50F95"/>
    <w:rsid w:val="00A54C36"/>
    <w:rsid w:val="00A563F9"/>
    <w:rsid w:val="00A56BC1"/>
    <w:rsid w:val="00A600CF"/>
    <w:rsid w:val="00A62151"/>
    <w:rsid w:val="00A62353"/>
    <w:rsid w:val="00A63F51"/>
    <w:rsid w:val="00A65432"/>
    <w:rsid w:val="00A66AAE"/>
    <w:rsid w:val="00A72FC4"/>
    <w:rsid w:val="00A74379"/>
    <w:rsid w:val="00A75EF4"/>
    <w:rsid w:val="00A77551"/>
    <w:rsid w:val="00A83FD8"/>
    <w:rsid w:val="00A9010C"/>
    <w:rsid w:val="00A901C5"/>
    <w:rsid w:val="00A91A03"/>
    <w:rsid w:val="00A95AAB"/>
    <w:rsid w:val="00A97F42"/>
    <w:rsid w:val="00AA5168"/>
    <w:rsid w:val="00AA663B"/>
    <w:rsid w:val="00AA763D"/>
    <w:rsid w:val="00AB1510"/>
    <w:rsid w:val="00AB2DE7"/>
    <w:rsid w:val="00AB2ED0"/>
    <w:rsid w:val="00AB4CA7"/>
    <w:rsid w:val="00AB636E"/>
    <w:rsid w:val="00AB6798"/>
    <w:rsid w:val="00AB6F9D"/>
    <w:rsid w:val="00AB7572"/>
    <w:rsid w:val="00AC1B56"/>
    <w:rsid w:val="00AC784E"/>
    <w:rsid w:val="00AD49F8"/>
    <w:rsid w:val="00AE1E5D"/>
    <w:rsid w:val="00AE4E9C"/>
    <w:rsid w:val="00AF1688"/>
    <w:rsid w:val="00AF3194"/>
    <w:rsid w:val="00AF4078"/>
    <w:rsid w:val="00AF57DD"/>
    <w:rsid w:val="00B11DEB"/>
    <w:rsid w:val="00B120C9"/>
    <w:rsid w:val="00B20170"/>
    <w:rsid w:val="00B21489"/>
    <w:rsid w:val="00B22495"/>
    <w:rsid w:val="00B22B0A"/>
    <w:rsid w:val="00B23A29"/>
    <w:rsid w:val="00B244B7"/>
    <w:rsid w:val="00B246A7"/>
    <w:rsid w:val="00B3097A"/>
    <w:rsid w:val="00B3106B"/>
    <w:rsid w:val="00B40271"/>
    <w:rsid w:val="00B404D0"/>
    <w:rsid w:val="00B43965"/>
    <w:rsid w:val="00B44466"/>
    <w:rsid w:val="00B44F10"/>
    <w:rsid w:val="00B50E11"/>
    <w:rsid w:val="00B5486D"/>
    <w:rsid w:val="00B566A2"/>
    <w:rsid w:val="00B61822"/>
    <w:rsid w:val="00B64048"/>
    <w:rsid w:val="00B64D36"/>
    <w:rsid w:val="00B70181"/>
    <w:rsid w:val="00B73443"/>
    <w:rsid w:val="00B73931"/>
    <w:rsid w:val="00B7639B"/>
    <w:rsid w:val="00B774C6"/>
    <w:rsid w:val="00B80F95"/>
    <w:rsid w:val="00B8347D"/>
    <w:rsid w:val="00B84AEC"/>
    <w:rsid w:val="00B862D2"/>
    <w:rsid w:val="00B908DF"/>
    <w:rsid w:val="00B92A41"/>
    <w:rsid w:val="00B93F76"/>
    <w:rsid w:val="00B9551D"/>
    <w:rsid w:val="00B95693"/>
    <w:rsid w:val="00B956AF"/>
    <w:rsid w:val="00B95E84"/>
    <w:rsid w:val="00BA1F62"/>
    <w:rsid w:val="00BA2E9D"/>
    <w:rsid w:val="00BB3F9A"/>
    <w:rsid w:val="00BD2454"/>
    <w:rsid w:val="00BD53F1"/>
    <w:rsid w:val="00BD556D"/>
    <w:rsid w:val="00BE05F6"/>
    <w:rsid w:val="00BE16FD"/>
    <w:rsid w:val="00BE350D"/>
    <w:rsid w:val="00BE75D8"/>
    <w:rsid w:val="00BF09B4"/>
    <w:rsid w:val="00C04C43"/>
    <w:rsid w:val="00C063DD"/>
    <w:rsid w:val="00C11D38"/>
    <w:rsid w:val="00C145E3"/>
    <w:rsid w:val="00C15AD9"/>
    <w:rsid w:val="00C30FCA"/>
    <w:rsid w:val="00C33AAD"/>
    <w:rsid w:val="00C4185B"/>
    <w:rsid w:val="00C45291"/>
    <w:rsid w:val="00C4642A"/>
    <w:rsid w:val="00C519B2"/>
    <w:rsid w:val="00C52737"/>
    <w:rsid w:val="00C53B19"/>
    <w:rsid w:val="00C56D01"/>
    <w:rsid w:val="00C5727B"/>
    <w:rsid w:val="00C63FFA"/>
    <w:rsid w:val="00C64B6A"/>
    <w:rsid w:val="00C66530"/>
    <w:rsid w:val="00C66DAA"/>
    <w:rsid w:val="00C72A6C"/>
    <w:rsid w:val="00C7361A"/>
    <w:rsid w:val="00C7460D"/>
    <w:rsid w:val="00C80F29"/>
    <w:rsid w:val="00C83A98"/>
    <w:rsid w:val="00C8430A"/>
    <w:rsid w:val="00C9262D"/>
    <w:rsid w:val="00CA5DAD"/>
    <w:rsid w:val="00CA6C2A"/>
    <w:rsid w:val="00CB2381"/>
    <w:rsid w:val="00CB2439"/>
    <w:rsid w:val="00CB5978"/>
    <w:rsid w:val="00CB6F8A"/>
    <w:rsid w:val="00CB7EE8"/>
    <w:rsid w:val="00CC3AB3"/>
    <w:rsid w:val="00CD1BDD"/>
    <w:rsid w:val="00CD2F8F"/>
    <w:rsid w:val="00CE09E5"/>
    <w:rsid w:val="00CE0CC7"/>
    <w:rsid w:val="00CE2A17"/>
    <w:rsid w:val="00CE30E0"/>
    <w:rsid w:val="00CE3BED"/>
    <w:rsid w:val="00CF044D"/>
    <w:rsid w:val="00CF05BE"/>
    <w:rsid w:val="00CF655E"/>
    <w:rsid w:val="00CF7D86"/>
    <w:rsid w:val="00CF7D99"/>
    <w:rsid w:val="00D00B2E"/>
    <w:rsid w:val="00D01E5F"/>
    <w:rsid w:val="00D01E98"/>
    <w:rsid w:val="00D026E5"/>
    <w:rsid w:val="00D0642F"/>
    <w:rsid w:val="00D06AE6"/>
    <w:rsid w:val="00D16320"/>
    <w:rsid w:val="00D167CB"/>
    <w:rsid w:val="00D2145B"/>
    <w:rsid w:val="00D23AB6"/>
    <w:rsid w:val="00D24EEE"/>
    <w:rsid w:val="00D2698D"/>
    <w:rsid w:val="00D31928"/>
    <w:rsid w:val="00D33793"/>
    <w:rsid w:val="00D344C1"/>
    <w:rsid w:val="00D371C9"/>
    <w:rsid w:val="00D4086F"/>
    <w:rsid w:val="00D42B06"/>
    <w:rsid w:val="00D47DD7"/>
    <w:rsid w:val="00D523A1"/>
    <w:rsid w:val="00D526DF"/>
    <w:rsid w:val="00D567A3"/>
    <w:rsid w:val="00D61362"/>
    <w:rsid w:val="00D72530"/>
    <w:rsid w:val="00D72E0B"/>
    <w:rsid w:val="00D751F4"/>
    <w:rsid w:val="00D77C76"/>
    <w:rsid w:val="00D91BA3"/>
    <w:rsid w:val="00DA44A9"/>
    <w:rsid w:val="00DA6C0C"/>
    <w:rsid w:val="00DA7A8D"/>
    <w:rsid w:val="00DB0ADD"/>
    <w:rsid w:val="00DB19FF"/>
    <w:rsid w:val="00DB6B1A"/>
    <w:rsid w:val="00DB7CDC"/>
    <w:rsid w:val="00DC0738"/>
    <w:rsid w:val="00DC21EC"/>
    <w:rsid w:val="00DD0D2F"/>
    <w:rsid w:val="00DD2100"/>
    <w:rsid w:val="00DD4D3D"/>
    <w:rsid w:val="00DD73A9"/>
    <w:rsid w:val="00DE0282"/>
    <w:rsid w:val="00DE03D1"/>
    <w:rsid w:val="00DE1587"/>
    <w:rsid w:val="00DE158F"/>
    <w:rsid w:val="00DE39D7"/>
    <w:rsid w:val="00DF0D64"/>
    <w:rsid w:val="00DF1032"/>
    <w:rsid w:val="00DF4D83"/>
    <w:rsid w:val="00E01835"/>
    <w:rsid w:val="00E02EAF"/>
    <w:rsid w:val="00E03204"/>
    <w:rsid w:val="00E03B46"/>
    <w:rsid w:val="00E0502F"/>
    <w:rsid w:val="00E067A2"/>
    <w:rsid w:val="00E077DF"/>
    <w:rsid w:val="00E07A72"/>
    <w:rsid w:val="00E15BCC"/>
    <w:rsid w:val="00E15F19"/>
    <w:rsid w:val="00E166C6"/>
    <w:rsid w:val="00E1685A"/>
    <w:rsid w:val="00E226D9"/>
    <w:rsid w:val="00E23D12"/>
    <w:rsid w:val="00E24BCF"/>
    <w:rsid w:val="00E25AA9"/>
    <w:rsid w:val="00E3052B"/>
    <w:rsid w:val="00E31629"/>
    <w:rsid w:val="00E41F3B"/>
    <w:rsid w:val="00E43F8E"/>
    <w:rsid w:val="00E44C66"/>
    <w:rsid w:val="00E45186"/>
    <w:rsid w:val="00E46482"/>
    <w:rsid w:val="00E50554"/>
    <w:rsid w:val="00E507F0"/>
    <w:rsid w:val="00E51144"/>
    <w:rsid w:val="00E55848"/>
    <w:rsid w:val="00E55F94"/>
    <w:rsid w:val="00E575CA"/>
    <w:rsid w:val="00E63F2E"/>
    <w:rsid w:val="00E65FD4"/>
    <w:rsid w:val="00E7192B"/>
    <w:rsid w:val="00E7210A"/>
    <w:rsid w:val="00E72A79"/>
    <w:rsid w:val="00E7656F"/>
    <w:rsid w:val="00E802B6"/>
    <w:rsid w:val="00E81F26"/>
    <w:rsid w:val="00E82E00"/>
    <w:rsid w:val="00E8500B"/>
    <w:rsid w:val="00E8695C"/>
    <w:rsid w:val="00E86AD4"/>
    <w:rsid w:val="00E904E4"/>
    <w:rsid w:val="00E91470"/>
    <w:rsid w:val="00E9155B"/>
    <w:rsid w:val="00E932B5"/>
    <w:rsid w:val="00E94C86"/>
    <w:rsid w:val="00E95904"/>
    <w:rsid w:val="00E972D3"/>
    <w:rsid w:val="00EA775D"/>
    <w:rsid w:val="00EA78B0"/>
    <w:rsid w:val="00EB239A"/>
    <w:rsid w:val="00EB6125"/>
    <w:rsid w:val="00EC7C52"/>
    <w:rsid w:val="00ED011F"/>
    <w:rsid w:val="00ED23AA"/>
    <w:rsid w:val="00ED52BC"/>
    <w:rsid w:val="00ED58E4"/>
    <w:rsid w:val="00ED600C"/>
    <w:rsid w:val="00ED68B8"/>
    <w:rsid w:val="00ED71C5"/>
    <w:rsid w:val="00EE0738"/>
    <w:rsid w:val="00EE0DBB"/>
    <w:rsid w:val="00EE6771"/>
    <w:rsid w:val="00EE7699"/>
    <w:rsid w:val="00EE7C9E"/>
    <w:rsid w:val="00EF063D"/>
    <w:rsid w:val="00EF0C48"/>
    <w:rsid w:val="00EF2E7F"/>
    <w:rsid w:val="00EF46E6"/>
    <w:rsid w:val="00EF5F44"/>
    <w:rsid w:val="00EF626F"/>
    <w:rsid w:val="00F00B18"/>
    <w:rsid w:val="00F062DF"/>
    <w:rsid w:val="00F10A9C"/>
    <w:rsid w:val="00F12440"/>
    <w:rsid w:val="00F142DB"/>
    <w:rsid w:val="00F1598C"/>
    <w:rsid w:val="00F16056"/>
    <w:rsid w:val="00F21520"/>
    <w:rsid w:val="00F21EFC"/>
    <w:rsid w:val="00F25D67"/>
    <w:rsid w:val="00F26114"/>
    <w:rsid w:val="00F26354"/>
    <w:rsid w:val="00F3578B"/>
    <w:rsid w:val="00F411E1"/>
    <w:rsid w:val="00F41E52"/>
    <w:rsid w:val="00F43A15"/>
    <w:rsid w:val="00F43C52"/>
    <w:rsid w:val="00F44185"/>
    <w:rsid w:val="00F471C4"/>
    <w:rsid w:val="00F53553"/>
    <w:rsid w:val="00F5420B"/>
    <w:rsid w:val="00F55830"/>
    <w:rsid w:val="00F55C9B"/>
    <w:rsid w:val="00F56324"/>
    <w:rsid w:val="00F57032"/>
    <w:rsid w:val="00F60D0D"/>
    <w:rsid w:val="00F63187"/>
    <w:rsid w:val="00F7183B"/>
    <w:rsid w:val="00F71C68"/>
    <w:rsid w:val="00F82070"/>
    <w:rsid w:val="00F84D9F"/>
    <w:rsid w:val="00F85632"/>
    <w:rsid w:val="00F87163"/>
    <w:rsid w:val="00F871D3"/>
    <w:rsid w:val="00F90936"/>
    <w:rsid w:val="00F91C56"/>
    <w:rsid w:val="00F9308A"/>
    <w:rsid w:val="00F9391C"/>
    <w:rsid w:val="00F93BA4"/>
    <w:rsid w:val="00F94FAF"/>
    <w:rsid w:val="00F95B0D"/>
    <w:rsid w:val="00F96145"/>
    <w:rsid w:val="00F964A6"/>
    <w:rsid w:val="00F97E13"/>
    <w:rsid w:val="00FA04AE"/>
    <w:rsid w:val="00FC01F2"/>
    <w:rsid w:val="00FC0385"/>
    <w:rsid w:val="00FC2556"/>
    <w:rsid w:val="00FC2867"/>
    <w:rsid w:val="00FC5542"/>
    <w:rsid w:val="00FC72D2"/>
    <w:rsid w:val="00FC76E7"/>
    <w:rsid w:val="00FD07EE"/>
    <w:rsid w:val="00FD36CE"/>
    <w:rsid w:val="00FD370C"/>
    <w:rsid w:val="00FD370E"/>
    <w:rsid w:val="00FD48A0"/>
    <w:rsid w:val="00FE07D3"/>
    <w:rsid w:val="00FE4CCD"/>
    <w:rsid w:val="00FE53D2"/>
    <w:rsid w:val="00FF07BC"/>
    <w:rsid w:val="00FF1218"/>
    <w:rsid w:val="00FF68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AE265"/>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C52737"/>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8C18AE"/>
  </w:style>
  <w:style w:type="character" w:customStyle="1" w:styleId="FootnoteTextChar">
    <w:name w:val="Footnote Text Char"/>
    <w:basedOn w:val="DefaultParagraphFont"/>
    <w:link w:val="FootnoteText"/>
    <w:uiPriority w:val="99"/>
    <w:rsid w:val="008C18AE"/>
  </w:style>
  <w:style w:type="character" w:styleId="FootnoteReference">
    <w:name w:val="footnote reference"/>
    <w:basedOn w:val="DefaultParagraphFont"/>
    <w:uiPriority w:val="99"/>
    <w:unhideWhenUsed/>
    <w:rsid w:val="008C18AE"/>
    <w:rPr>
      <w:vertAlign w:val="superscript"/>
    </w:rPr>
  </w:style>
  <w:style w:type="paragraph" w:styleId="ListParagraph">
    <w:name w:val="List Paragraph"/>
    <w:basedOn w:val="Normal"/>
    <w:uiPriority w:val="34"/>
    <w:qFormat/>
    <w:rsid w:val="00A165EA"/>
    <w:pPr>
      <w:ind w:left="720"/>
      <w:contextualSpacing/>
    </w:pPr>
  </w:style>
  <w:style w:type="paragraph" w:customStyle="1" w:styleId="Body">
    <w:name w:val="Body"/>
    <w:rsid w:val="00B50E11"/>
    <w:pPr>
      <w:pBdr>
        <w:top w:val="nil"/>
        <w:left w:val="nil"/>
        <w:bottom w:val="nil"/>
        <w:right w:val="nil"/>
        <w:between w:val="nil"/>
        <w:bar w:val="nil"/>
      </w:pBdr>
      <w:spacing w:line="480" w:lineRule="auto"/>
    </w:pPr>
    <w:rPr>
      <w:rFonts w:ascii="Arial" w:eastAsia="Arial Unicode MS" w:hAnsi="Arial" w:cs="Arial Unicode MS"/>
      <w:color w:val="000000"/>
      <w:sz w:val="26"/>
      <w:szCs w:val="26"/>
      <w:bdr w:val="nil"/>
    </w:rPr>
  </w:style>
  <w:style w:type="table" w:styleId="TableGrid">
    <w:name w:val="Table Grid"/>
    <w:basedOn w:val="TableNormal"/>
    <w:uiPriority w:val="39"/>
    <w:rsid w:val="00B50E11"/>
    <w:pPr>
      <w:pBdr>
        <w:top w:val="nil"/>
        <w:left w:val="nil"/>
        <w:bottom w:val="nil"/>
        <w:right w:val="nil"/>
        <w:between w:val="nil"/>
        <w:bar w:val="nil"/>
      </w:pBdr>
    </w:pPr>
    <w:rPr>
      <w:rFonts w:ascii="Times New Roman" w:eastAsia="Arial Unicode MS" w:hAnsi="Times New Roman" w:cs="Times New Roman"/>
      <w:sz w:val="20"/>
      <w:szCs w:val="20"/>
      <w:bdr w:val="n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50E11"/>
    <w:pPr>
      <w:tabs>
        <w:tab w:val="center" w:pos="4513"/>
        <w:tab w:val="right" w:pos="9026"/>
      </w:tabs>
    </w:pPr>
  </w:style>
  <w:style w:type="character" w:customStyle="1" w:styleId="HeaderChar">
    <w:name w:val="Header Char"/>
    <w:basedOn w:val="DefaultParagraphFont"/>
    <w:link w:val="Header"/>
    <w:uiPriority w:val="99"/>
    <w:rsid w:val="00B50E11"/>
  </w:style>
  <w:style w:type="character" w:styleId="PageNumber">
    <w:name w:val="page number"/>
    <w:basedOn w:val="DefaultParagraphFont"/>
    <w:uiPriority w:val="99"/>
    <w:semiHidden/>
    <w:unhideWhenUsed/>
    <w:rsid w:val="00B50E11"/>
  </w:style>
  <w:style w:type="paragraph" w:customStyle="1" w:styleId="BodyA">
    <w:name w:val="Body A"/>
    <w:rsid w:val="00101D88"/>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rPr>
  </w:style>
  <w:style w:type="paragraph" w:styleId="NormalWeb">
    <w:name w:val="Normal (Web)"/>
    <w:basedOn w:val="Normal"/>
    <w:uiPriority w:val="99"/>
    <w:unhideWhenUsed/>
    <w:rsid w:val="00A56BC1"/>
    <w:pPr>
      <w:spacing w:before="100" w:beforeAutospacing="1" w:after="100" w:afterAutospacing="1"/>
    </w:pPr>
    <w:rPr>
      <w:rFonts w:ascii="Times New Roman" w:hAnsi="Times New Roman" w:cs="Times New Roman"/>
    </w:rPr>
  </w:style>
  <w:style w:type="paragraph" w:styleId="BalloonText">
    <w:name w:val="Balloon Text"/>
    <w:basedOn w:val="Normal"/>
    <w:link w:val="BalloonTextChar"/>
    <w:uiPriority w:val="99"/>
    <w:semiHidden/>
    <w:unhideWhenUsed/>
    <w:rsid w:val="00C519B2"/>
    <w:rPr>
      <w:rFonts w:ascii="Tahoma" w:hAnsi="Tahoma" w:cs="Tahoma"/>
      <w:sz w:val="16"/>
      <w:szCs w:val="16"/>
    </w:rPr>
  </w:style>
  <w:style w:type="character" w:customStyle="1" w:styleId="BalloonTextChar">
    <w:name w:val="Balloon Text Char"/>
    <w:basedOn w:val="DefaultParagraphFont"/>
    <w:link w:val="BalloonText"/>
    <w:uiPriority w:val="99"/>
    <w:semiHidden/>
    <w:rsid w:val="00C519B2"/>
    <w:rPr>
      <w:rFonts w:ascii="Tahoma" w:hAnsi="Tahoma" w:cs="Tahoma"/>
      <w:sz w:val="16"/>
      <w:szCs w:val="16"/>
    </w:rPr>
  </w:style>
  <w:style w:type="character" w:customStyle="1" w:styleId="apple-converted-space">
    <w:name w:val="apple-converted-space"/>
    <w:basedOn w:val="DefaultParagraphFont"/>
    <w:rsid w:val="003F46D7"/>
  </w:style>
  <w:style w:type="character" w:styleId="Hyperlink">
    <w:name w:val="Hyperlink"/>
    <w:basedOn w:val="DefaultParagraphFont"/>
    <w:uiPriority w:val="99"/>
    <w:semiHidden/>
    <w:unhideWhenUsed/>
    <w:rsid w:val="003F46D7"/>
    <w:rPr>
      <w:color w:val="0000FF"/>
      <w:u w:val="single"/>
    </w:rPr>
  </w:style>
  <w:style w:type="character" w:customStyle="1" w:styleId="Heading2Char">
    <w:name w:val="Heading 2 Char"/>
    <w:basedOn w:val="DefaultParagraphFont"/>
    <w:link w:val="Heading2"/>
    <w:uiPriority w:val="9"/>
    <w:rsid w:val="00C52737"/>
    <w:rPr>
      <w:rFonts w:ascii="Times New Roman" w:hAnsi="Times New Roman" w:cs="Times New Roman"/>
      <w:b/>
      <w:bCs/>
      <w:sz w:val="36"/>
      <w:szCs w:val="36"/>
    </w:rPr>
  </w:style>
  <w:style w:type="paragraph" w:customStyle="1" w:styleId="LegalMAINHEADING">
    <w:name w:val="Legal_MAINHEADING"/>
    <w:basedOn w:val="Normal"/>
    <w:next w:val="Normal"/>
    <w:semiHidden/>
    <w:rsid w:val="007A4678"/>
    <w:pPr>
      <w:keepNext/>
      <w:suppressAutoHyphens/>
      <w:spacing w:before="480" w:after="360" w:line="480" w:lineRule="auto"/>
      <w:jc w:val="both"/>
    </w:pPr>
    <w:rPr>
      <w:rFonts w:ascii="Arial" w:eastAsia="Times New Roman" w:hAnsi="Arial" w:cs="Times New Roman"/>
      <w:b/>
      <w:caps/>
      <w:lang w:val="en-GB" w:eastAsia="en-GB"/>
    </w:rPr>
  </w:style>
  <w:style w:type="paragraph" w:customStyle="1" w:styleId="LegalTramLines">
    <w:name w:val="Legal_TramLines"/>
    <w:basedOn w:val="Normal"/>
    <w:next w:val="Normal"/>
    <w:semiHidden/>
    <w:rsid w:val="007A4678"/>
    <w:pPr>
      <w:pBdr>
        <w:top w:val="single" w:sz="4" w:space="18" w:color="auto"/>
        <w:bottom w:val="single" w:sz="4" w:space="18" w:color="auto"/>
      </w:pBdr>
      <w:suppressAutoHyphens/>
      <w:spacing w:after="480"/>
      <w:jc w:val="center"/>
    </w:pPr>
    <w:rPr>
      <w:rFonts w:ascii="Arial Bold" w:eastAsia="Times New Roman" w:hAnsi="Arial Bold" w:cs="Times New Roman"/>
      <w:b/>
      <w:lang w:val="en-GB" w:eastAsia="en-GB"/>
    </w:rPr>
  </w:style>
  <w:style w:type="paragraph" w:styleId="Title">
    <w:name w:val="Title"/>
    <w:basedOn w:val="Normal"/>
    <w:next w:val="Normal"/>
    <w:link w:val="TitleChar"/>
    <w:uiPriority w:val="10"/>
    <w:qFormat/>
    <w:rsid w:val="00C80F2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80F29"/>
    <w:rPr>
      <w:rFonts w:asciiTheme="majorHAnsi" w:eastAsiaTheme="majorEastAsia" w:hAnsiTheme="majorHAnsi" w:cstheme="majorBidi"/>
      <w:spacing w:val="-10"/>
      <w:kern w:val="28"/>
      <w:sz w:val="56"/>
      <w:szCs w:val="56"/>
    </w:rPr>
  </w:style>
  <w:style w:type="paragraph" w:styleId="Revision">
    <w:name w:val="Revision"/>
    <w:hidden/>
    <w:uiPriority w:val="99"/>
    <w:semiHidden/>
    <w:rsid w:val="009C77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798764">
      <w:bodyDiv w:val="1"/>
      <w:marLeft w:val="0"/>
      <w:marRight w:val="0"/>
      <w:marTop w:val="0"/>
      <w:marBottom w:val="0"/>
      <w:divBdr>
        <w:top w:val="none" w:sz="0" w:space="0" w:color="auto"/>
        <w:left w:val="none" w:sz="0" w:space="0" w:color="auto"/>
        <w:bottom w:val="none" w:sz="0" w:space="0" w:color="auto"/>
        <w:right w:val="none" w:sz="0" w:space="0" w:color="auto"/>
      </w:divBdr>
    </w:div>
    <w:div w:id="344865891">
      <w:bodyDiv w:val="1"/>
      <w:marLeft w:val="0"/>
      <w:marRight w:val="0"/>
      <w:marTop w:val="0"/>
      <w:marBottom w:val="0"/>
      <w:divBdr>
        <w:top w:val="none" w:sz="0" w:space="0" w:color="auto"/>
        <w:left w:val="none" w:sz="0" w:space="0" w:color="auto"/>
        <w:bottom w:val="none" w:sz="0" w:space="0" w:color="auto"/>
        <w:right w:val="none" w:sz="0" w:space="0" w:color="auto"/>
      </w:divBdr>
    </w:div>
    <w:div w:id="595023076">
      <w:bodyDiv w:val="1"/>
      <w:marLeft w:val="0"/>
      <w:marRight w:val="0"/>
      <w:marTop w:val="0"/>
      <w:marBottom w:val="0"/>
      <w:divBdr>
        <w:top w:val="none" w:sz="0" w:space="0" w:color="auto"/>
        <w:left w:val="none" w:sz="0" w:space="0" w:color="auto"/>
        <w:bottom w:val="none" w:sz="0" w:space="0" w:color="auto"/>
        <w:right w:val="none" w:sz="0" w:space="0" w:color="auto"/>
      </w:divBdr>
    </w:div>
    <w:div w:id="1854999173">
      <w:bodyDiv w:val="1"/>
      <w:marLeft w:val="0"/>
      <w:marRight w:val="0"/>
      <w:marTop w:val="0"/>
      <w:marBottom w:val="0"/>
      <w:divBdr>
        <w:top w:val="none" w:sz="0" w:space="0" w:color="auto"/>
        <w:left w:val="none" w:sz="0" w:space="0" w:color="auto"/>
        <w:bottom w:val="none" w:sz="0" w:space="0" w:color="auto"/>
        <w:right w:val="none" w:sz="0" w:space="0" w:color="auto"/>
      </w:divBdr>
      <w:divsChild>
        <w:div w:id="714280317">
          <w:marLeft w:val="0"/>
          <w:marRight w:val="0"/>
          <w:marTop w:val="0"/>
          <w:marBottom w:val="0"/>
          <w:divBdr>
            <w:top w:val="none" w:sz="0" w:space="0" w:color="auto"/>
            <w:left w:val="none" w:sz="0" w:space="0" w:color="auto"/>
            <w:bottom w:val="none" w:sz="0" w:space="0" w:color="auto"/>
            <w:right w:val="none" w:sz="0" w:space="0" w:color="auto"/>
          </w:divBdr>
          <w:divsChild>
            <w:div w:id="1372001312">
              <w:marLeft w:val="0"/>
              <w:marRight w:val="0"/>
              <w:marTop w:val="0"/>
              <w:marBottom w:val="0"/>
              <w:divBdr>
                <w:top w:val="none" w:sz="0" w:space="0" w:color="auto"/>
                <w:left w:val="none" w:sz="0" w:space="0" w:color="auto"/>
                <w:bottom w:val="none" w:sz="0" w:space="0" w:color="auto"/>
                <w:right w:val="none" w:sz="0" w:space="0" w:color="auto"/>
              </w:divBdr>
              <w:divsChild>
                <w:div w:id="15565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320857">
      <w:bodyDiv w:val="1"/>
      <w:marLeft w:val="0"/>
      <w:marRight w:val="0"/>
      <w:marTop w:val="0"/>
      <w:marBottom w:val="0"/>
      <w:divBdr>
        <w:top w:val="none" w:sz="0" w:space="0" w:color="auto"/>
        <w:left w:val="none" w:sz="0" w:space="0" w:color="auto"/>
        <w:bottom w:val="none" w:sz="0" w:space="0" w:color="auto"/>
        <w:right w:val="none" w:sz="0" w:space="0" w:color="auto"/>
      </w:divBdr>
    </w:div>
    <w:div w:id="2136822873">
      <w:bodyDiv w:val="1"/>
      <w:marLeft w:val="0"/>
      <w:marRight w:val="0"/>
      <w:marTop w:val="0"/>
      <w:marBottom w:val="0"/>
      <w:divBdr>
        <w:top w:val="none" w:sz="0" w:space="0" w:color="auto"/>
        <w:left w:val="none" w:sz="0" w:space="0" w:color="auto"/>
        <w:bottom w:val="none" w:sz="0" w:space="0" w:color="auto"/>
        <w:right w:val="none" w:sz="0" w:space="0" w:color="auto"/>
      </w:divBdr>
      <w:divsChild>
        <w:div w:id="909536353">
          <w:marLeft w:val="0"/>
          <w:marRight w:val="0"/>
          <w:marTop w:val="0"/>
          <w:marBottom w:val="0"/>
          <w:divBdr>
            <w:top w:val="none" w:sz="0" w:space="0" w:color="auto"/>
            <w:left w:val="none" w:sz="0" w:space="0" w:color="auto"/>
            <w:bottom w:val="none" w:sz="0" w:space="0" w:color="auto"/>
            <w:right w:val="none" w:sz="0" w:space="0" w:color="auto"/>
          </w:divBdr>
          <w:divsChild>
            <w:div w:id="67576162">
              <w:marLeft w:val="0"/>
              <w:marRight w:val="0"/>
              <w:marTop w:val="0"/>
              <w:marBottom w:val="0"/>
              <w:divBdr>
                <w:top w:val="none" w:sz="0" w:space="0" w:color="auto"/>
                <w:left w:val="none" w:sz="0" w:space="0" w:color="auto"/>
                <w:bottom w:val="none" w:sz="0" w:space="0" w:color="auto"/>
                <w:right w:val="none" w:sz="0" w:space="0" w:color="auto"/>
              </w:divBdr>
              <w:divsChild>
                <w:div w:id="96542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B5D6420-3B67-8A44-8D04-927767313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6</Pages>
  <Words>1058</Words>
  <Characters>6036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 Millar</dc:creator>
  <cp:lastModifiedBy>Anthony Millar</cp:lastModifiedBy>
  <cp:revision>5</cp:revision>
  <cp:lastPrinted>2018-02-04T10:32:00Z</cp:lastPrinted>
  <dcterms:created xsi:type="dcterms:W3CDTF">2022-07-31T10:14:00Z</dcterms:created>
  <dcterms:modified xsi:type="dcterms:W3CDTF">2022-07-31T12:19:00Z</dcterms:modified>
</cp:coreProperties>
</file>