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2D" w:rsidRDefault="00424B2D" w:rsidP="000E0E66">
      <w:pPr>
        <w:pStyle w:val="LegalTitle"/>
        <w:spacing w:after="120" w:line="360" w:lineRule="auto"/>
        <w:jc w:val="left"/>
        <w:rPr>
          <w:u w:val="single"/>
        </w:rPr>
      </w:pPr>
      <w:r>
        <w:rPr>
          <w:rFonts w:ascii="Times New Roman" w:eastAsia="Calibri" w:hAnsi="Times New Roman"/>
          <w:sz w:val="28"/>
          <w:szCs w:val="28"/>
        </w:rPr>
        <w:t xml:space="preserve">    </w:t>
      </w:r>
    </w:p>
    <w:p w:rsidR="00424B2D" w:rsidRDefault="00424B2D" w:rsidP="00424B2D">
      <w:pPr>
        <w:pStyle w:val="LegalTitle"/>
        <w:spacing w:after="120" w:line="360" w:lineRule="auto"/>
        <w:rPr>
          <w:u w:val="single"/>
        </w:rPr>
      </w:pPr>
      <w:r>
        <w:rPr>
          <w:noProof/>
          <w:lang w:val="en-ZA" w:eastAsia="en-ZA"/>
        </w:rPr>
        <w:drawing>
          <wp:inline distT="0" distB="0" distL="0" distR="0" wp14:anchorId="1B2C5ED2" wp14:editId="103E4E8C">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424B2D" w:rsidRPr="00520A6F" w:rsidRDefault="00424B2D" w:rsidP="00424B2D">
      <w:pPr>
        <w:pStyle w:val="LegalTitle"/>
        <w:spacing w:after="240" w:line="360" w:lineRule="auto"/>
        <w:rPr>
          <w:rFonts w:ascii="Times New Roman" w:hAnsi="Times New Roman"/>
          <w:sz w:val="28"/>
          <w:szCs w:val="28"/>
          <w:u w:val="single"/>
        </w:rPr>
      </w:pPr>
      <w:r w:rsidRPr="00520A6F">
        <w:rPr>
          <w:rFonts w:ascii="Times New Roman" w:hAnsi="Times New Roman"/>
          <w:sz w:val="28"/>
          <w:szCs w:val="28"/>
          <w:u w:val="single"/>
        </w:rPr>
        <w:t>IN THE HIGH COURT OF SOUTH AFRICA</w:t>
      </w:r>
    </w:p>
    <w:p w:rsidR="00424B2D" w:rsidRPr="00520A6F" w:rsidRDefault="00424B2D" w:rsidP="00424B2D">
      <w:pPr>
        <w:pStyle w:val="LegalTitle"/>
        <w:spacing w:line="360" w:lineRule="auto"/>
        <w:rPr>
          <w:rFonts w:ascii="Times New Roman" w:hAnsi="Times New Roman"/>
          <w:sz w:val="28"/>
          <w:szCs w:val="28"/>
          <w:u w:val="single"/>
        </w:rPr>
      </w:pPr>
      <w:r w:rsidRPr="00520A6F">
        <w:rPr>
          <w:rFonts w:ascii="Times New Roman" w:eastAsiaTheme="minorEastAsia" w:hAnsi="Times New Roman"/>
          <w:noProof/>
          <w:sz w:val="28"/>
          <w:szCs w:val="28"/>
          <w:lang w:val="en-ZA" w:eastAsia="en-ZA"/>
        </w:rPr>
        <mc:AlternateContent>
          <mc:Choice Requires="wps">
            <w:drawing>
              <wp:anchor distT="0" distB="0" distL="114300" distR="114300" simplePos="0" relativeHeight="251659264" behindDoc="0" locked="0" layoutInCell="1" allowOverlap="1" wp14:anchorId="41580370" wp14:editId="6888AA77">
                <wp:simplePos x="0" y="0"/>
                <wp:positionH relativeFrom="margin">
                  <wp:align>left</wp:align>
                </wp:positionH>
                <wp:positionV relativeFrom="paragraph">
                  <wp:posOffset>384175</wp:posOffset>
                </wp:positionV>
                <wp:extent cx="3683000" cy="15621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562100"/>
                        </a:xfrm>
                        <a:prstGeom prst="rect">
                          <a:avLst/>
                        </a:prstGeom>
                        <a:solidFill>
                          <a:srgbClr val="FFFFFF"/>
                        </a:solidFill>
                        <a:ln w="9525">
                          <a:solidFill>
                            <a:srgbClr val="000000"/>
                          </a:solidFill>
                          <a:miter lim="800000"/>
                          <a:headEnd/>
                          <a:tailEnd/>
                        </a:ln>
                      </wps:spPr>
                      <wps:txbx>
                        <w:txbxContent>
                          <w:p w:rsidR="00424B2D" w:rsidRPr="0038792A" w:rsidRDefault="00424B2D" w:rsidP="00424B2D">
                            <w:pPr>
                              <w:rPr>
                                <w:rFonts w:ascii="Century Gothic" w:hAnsi="Century Gothic" w:cs="Arial"/>
                                <w:b/>
                                <w:sz w:val="20"/>
                                <w:szCs w:val="20"/>
                              </w:rPr>
                            </w:pPr>
                            <w:r w:rsidRPr="0038792A">
                              <w:rPr>
                                <w:rFonts w:ascii="Century Gothic" w:hAnsi="Century Gothic" w:cs="Arial"/>
                                <w:b/>
                                <w:sz w:val="20"/>
                                <w:szCs w:val="20"/>
                              </w:rPr>
                              <w:t>DELETE WHICHEVER IS NOT APPLICABLE</w:t>
                            </w:r>
                          </w:p>
                          <w:p w:rsidR="00424B2D" w:rsidRPr="0038792A" w:rsidRDefault="00424B2D" w:rsidP="00424B2D">
                            <w:pPr>
                              <w:numPr>
                                <w:ilvl w:val="0"/>
                                <w:numId w:val="1"/>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424B2D" w:rsidRPr="0038792A" w:rsidRDefault="00424B2D" w:rsidP="00424B2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424B2D" w:rsidRDefault="00424B2D" w:rsidP="00424B2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rsidR="00424B2D" w:rsidRPr="00760E3A" w:rsidRDefault="00424B2D" w:rsidP="00424B2D">
                            <w:pPr>
                              <w:ind w:left="900"/>
                              <w:rPr>
                                <w:rFonts w:ascii="Century Gothic" w:hAnsi="Century Gothic"/>
                                <w:sz w:val="20"/>
                                <w:szCs w:val="20"/>
                              </w:rPr>
                            </w:pPr>
                          </w:p>
                          <w:p w:rsidR="00424B2D" w:rsidRPr="000C3AF7" w:rsidRDefault="00424B2D" w:rsidP="00424B2D">
                            <w:pPr>
                              <w:rPr>
                                <w:rFonts w:ascii="Century Gothic" w:hAnsi="Century Gothic"/>
                              </w:rPr>
                            </w:pPr>
                            <w:r>
                              <w:rPr>
                                <w:rFonts w:ascii="Century Gothic" w:hAnsi="Century Gothic"/>
                              </w:rPr>
                              <w:t xml:space="preserve">Date: </w:t>
                            </w:r>
                            <w:r>
                              <w:rPr>
                                <w:rFonts w:ascii="Century Gothic" w:hAnsi="Century Gothic"/>
                                <w:b/>
                                <w:i/>
                                <w:u w:val="single"/>
                              </w:rPr>
                              <w:t xml:space="preserve"> </w:t>
                            </w:r>
                            <w:r w:rsidR="000E0E66">
                              <w:rPr>
                                <w:rFonts w:ascii="Century Gothic" w:hAnsi="Century Gothic"/>
                                <w:b/>
                                <w:i/>
                                <w:u w:val="single"/>
                              </w:rPr>
                              <w:t xml:space="preserve">12 July </w:t>
                            </w:r>
                            <w:r>
                              <w:rPr>
                                <w:rFonts w:ascii="Century Gothic" w:hAnsi="Century Gothic"/>
                                <w:b/>
                                <w:i/>
                                <w:u w:val="single"/>
                              </w:rPr>
                              <w:t>2022</w:t>
                            </w:r>
                            <w:r>
                              <w:rPr>
                                <w:rFonts w:ascii="Century Gothic" w:hAnsi="Century Gothic"/>
                              </w:rPr>
                              <w:t xml:space="preserve"> Signature: _________________</w:t>
                            </w: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r>
                              <w:rPr>
                                <w:rFonts w:ascii="Century Gothic" w:hAnsi="Century Gothic"/>
                                <w:sz w:val="28"/>
                                <w:szCs w:val="28"/>
                              </w:rPr>
                              <w:t>____________________        ____________________</w:t>
                            </w:r>
                          </w:p>
                          <w:p w:rsidR="00424B2D" w:rsidRDefault="00424B2D" w:rsidP="00424B2D">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p>
                          <w:p w:rsidR="00424B2D" w:rsidRPr="009533D5" w:rsidRDefault="00424B2D" w:rsidP="00424B2D">
                            <w:pPr>
                              <w:rPr>
                                <w:rFonts w:ascii="Century Gothic" w:hAnsi="Century Gothic"/>
                                <w:sz w:val="28"/>
                                <w:szCs w:val="28"/>
                              </w:rPr>
                            </w:pPr>
                          </w:p>
                          <w:p w:rsidR="00424B2D" w:rsidRDefault="00424B2D" w:rsidP="00424B2D">
                            <w:pPr>
                              <w:rPr>
                                <w:rFonts w:ascii="Century Gothic" w:hAnsi="Century Gothic"/>
                                <w:b/>
                                <w:sz w:val="18"/>
                                <w:szCs w:val="18"/>
                              </w:rPr>
                            </w:pPr>
                          </w:p>
                          <w:p w:rsidR="00424B2D" w:rsidRDefault="00424B2D" w:rsidP="00424B2D">
                            <w:pPr>
                              <w:rPr>
                                <w:rFonts w:ascii="Century Gothic" w:hAnsi="Century Gothic"/>
                                <w:b/>
                                <w:sz w:val="18"/>
                                <w:szCs w:val="18"/>
                              </w:rPr>
                            </w:pPr>
                          </w:p>
                          <w:p w:rsidR="00424B2D" w:rsidRDefault="00424B2D" w:rsidP="00424B2D">
                            <w:pPr>
                              <w:rPr>
                                <w:rFonts w:ascii="Century Gothic" w:hAnsi="Century Gothic"/>
                                <w:b/>
                                <w:sz w:val="18"/>
                                <w:szCs w:val="18"/>
                              </w:rPr>
                            </w:pPr>
                          </w:p>
                          <w:p w:rsidR="00424B2D" w:rsidRPr="00B93709" w:rsidRDefault="00424B2D" w:rsidP="00424B2D">
                            <w:pPr>
                              <w:rPr>
                                <w:rFonts w:ascii="Century Gothic" w:hAnsi="Century Gothic"/>
                                <w:b/>
                                <w:sz w:val="18"/>
                                <w:szCs w:val="18"/>
                              </w:rPr>
                            </w:pPr>
                          </w:p>
                          <w:p w:rsidR="00424B2D" w:rsidRPr="00B93709" w:rsidRDefault="00424B2D" w:rsidP="00424B2D">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80370" id="_x0000_t202" coordsize="21600,21600" o:spt="202" path="m,l,21600r21600,l21600,xe">
                <v:stroke joinstyle="miter"/>
                <v:path gradientshapeok="t" o:connecttype="rect"/>
              </v:shapetype>
              <v:shape id="Text Box 1" o:spid="_x0000_s1026" type="#_x0000_t202" style="position:absolute;left:0;text-align:left;margin-left:0;margin-top:30.25pt;width:290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">
                <v:textbox>
                  <w:txbxContent>
                    <w:p w:rsidR="00424B2D" w:rsidRPr="0038792A" w:rsidRDefault="00424B2D" w:rsidP="00424B2D">
                      <w:pPr>
                        <w:rPr>
                          <w:rFonts w:ascii="Century Gothic" w:hAnsi="Century Gothic" w:cs="Arial"/>
                          <w:b/>
                          <w:sz w:val="20"/>
                          <w:szCs w:val="20"/>
                        </w:rPr>
                      </w:pPr>
                      <w:r w:rsidRPr="0038792A">
                        <w:rPr>
                          <w:rFonts w:ascii="Century Gothic" w:hAnsi="Century Gothic" w:cs="Arial"/>
                          <w:b/>
                          <w:sz w:val="20"/>
                          <w:szCs w:val="20"/>
                        </w:rPr>
                        <w:t>DELETE WHICHEVER IS NOT APPLICABLE</w:t>
                      </w:r>
                    </w:p>
                    <w:p w:rsidR="00424B2D" w:rsidRPr="0038792A" w:rsidRDefault="00424B2D" w:rsidP="00424B2D">
                      <w:pPr>
                        <w:numPr>
                          <w:ilvl w:val="0"/>
                          <w:numId w:val="1"/>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424B2D" w:rsidRPr="0038792A" w:rsidRDefault="00424B2D" w:rsidP="00424B2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424B2D" w:rsidRDefault="00424B2D" w:rsidP="00424B2D">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rsidR="00424B2D" w:rsidRPr="00760E3A" w:rsidRDefault="00424B2D" w:rsidP="00424B2D">
                      <w:pPr>
                        <w:ind w:left="900"/>
                        <w:rPr>
                          <w:rFonts w:ascii="Century Gothic" w:hAnsi="Century Gothic"/>
                          <w:sz w:val="20"/>
                          <w:szCs w:val="20"/>
                        </w:rPr>
                      </w:pPr>
                    </w:p>
                    <w:p w:rsidR="00424B2D" w:rsidRPr="000C3AF7" w:rsidRDefault="00424B2D" w:rsidP="00424B2D">
                      <w:pPr>
                        <w:rPr>
                          <w:rFonts w:ascii="Century Gothic" w:hAnsi="Century Gothic"/>
                        </w:rPr>
                      </w:pPr>
                      <w:r>
                        <w:rPr>
                          <w:rFonts w:ascii="Century Gothic" w:hAnsi="Century Gothic"/>
                        </w:rPr>
                        <w:t xml:space="preserve">Date: </w:t>
                      </w:r>
                      <w:r>
                        <w:rPr>
                          <w:rFonts w:ascii="Century Gothic" w:hAnsi="Century Gothic"/>
                          <w:b/>
                          <w:i/>
                          <w:u w:val="single"/>
                        </w:rPr>
                        <w:t xml:space="preserve"> </w:t>
                      </w:r>
                      <w:r w:rsidR="000E0E66">
                        <w:rPr>
                          <w:rFonts w:ascii="Century Gothic" w:hAnsi="Century Gothic"/>
                          <w:b/>
                          <w:i/>
                          <w:u w:val="single"/>
                        </w:rPr>
                        <w:t xml:space="preserve">12 July </w:t>
                      </w:r>
                      <w:r>
                        <w:rPr>
                          <w:rFonts w:ascii="Century Gothic" w:hAnsi="Century Gothic"/>
                          <w:b/>
                          <w:i/>
                          <w:u w:val="single"/>
                        </w:rPr>
                        <w:t>2022</w:t>
                      </w:r>
                      <w:r>
                        <w:rPr>
                          <w:rFonts w:ascii="Century Gothic" w:hAnsi="Century Gothic"/>
                        </w:rPr>
                        <w:t xml:space="preserve"> Signature: _________________</w:t>
                      </w: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r>
                        <w:rPr>
                          <w:rFonts w:ascii="Century Gothic" w:hAnsi="Century Gothic"/>
                          <w:sz w:val="28"/>
                          <w:szCs w:val="28"/>
                        </w:rPr>
                        <w:t>____________________        ____________________</w:t>
                      </w:r>
                    </w:p>
                    <w:p w:rsidR="00424B2D" w:rsidRDefault="00424B2D" w:rsidP="00424B2D">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p>
                    <w:p w:rsidR="00424B2D" w:rsidRDefault="00424B2D" w:rsidP="00424B2D">
                      <w:pPr>
                        <w:rPr>
                          <w:rFonts w:ascii="Century Gothic" w:hAnsi="Century Gothic"/>
                          <w:sz w:val="28"/>
                          <w:szCs w:val="28"/>
                        </w:rPr>
                      </w:pPr>
                    </w:p>
                    <w:p w:rsidR="00424B2D" w:rsidRPr="009533D5" w:rsidRDefault="00424B2D" w:rsidP="00424B2D">
                      <w:pPr>
                        <w:rPr>
                          <w:rFonts w:ascii="Century Gothic" w:hAnsi="Century Gothic"/>
                          <w:sz w:val="28"/>
                          <w:szCs w:val="28"/>
                        </w:rPr>
                      </w:pPr>
                    </w:p>
                    <w:p w:rsidR="00424B2D" w:rsidRDefault="00424B2D" w:rsidP="00424B2D">
                      <w:pPr>
                        <w:rPr>
                          <w:rFonts w:ascii="Century Gothic" w:hAnsi="Century Gothic"/>
                          <w:b/>
                          <w:sz w:val="18"/>
                          <w:szCs w:val="18"/>
                        </w:rPr>
                      </w:pPr>
                    </w:p>
                    <w:p w:rsidR="00424B2D" w:rsidRDefault="00424B2D" w:rsidP="00424B2D">
                      <w:pPr>
                        <w:rPr>
                          <w:rFonts w:ascii="Century Gothic" w:hAnsi="Century Gothic"/>
                          <w:b/>
                          <w:sz w:val="18"/>
                          <w:szCs w:val="18"/>
                        </w:rPr>
                      </w:pPr>
                    </w:p>
                    <w:p w:rsidR="00424B2D" w:rsidRDefault="00424B2D" w:rsidP="00424B2D">
                      <w:pPr>
                        <w:rPr>
                          <w:rFonts w:ascii="Century Gothic" w:hAnsi="Century Gothic"/>
                          <w:b/>
                          <w:sz w:val="18"/>
                          <w:szCs w:val="18"/>
                        </w:rPr>
                      </w:pPr>
                    </w:p>
                    <w:p w:rsidR="00424B2D" w:rsidRPr="00B93709" w:rsidRDefault="00424B2D" w:rsidP="00424B2D">
                      <w:pPr>
                        <w:rPr>
                          <w:rFonts w:ascii="Century Gothic" w:hAnsi="Century Gothic"/>
                          <w:b/>
                          <w:sz w:val="18"/>
                          <w:szCs w:val="18"/>
                        </w:rPr>
                      </w:pPr>
                    </w:p>
                    <w:p w:rsidR="00424B2D" w:rsidRPr="00B93709" w:rsidRDefault="00424B2D" w:rsidP="00424B2D">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Pr="00520A6F">
        <w:rPr>
          <w:rFonts w:ascii="Times New Roman" w:hAnsi="Times New Roman"/>
          <w:sz w:val="28"/>
          <w:szCs w:val="28"/>
          <w:u w:val="single"/>
        </w:rPr>
        <w:t>GAUTENG DIVISION, prEtoRia</w:t>
      </w:r>
    </w:p>
    <w:p w:rsidR="00424B2D" w:rsidRDefault="00424B2D" w:rsidP="0041145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24B2D" w:rsidRDefault="00424B2D" w:rsidP="00411458">
      <w:pPr>
        <w:spacing w:line="360" w:lineRule="auto"/>
        <w:jc w:val="both"/>
        <w:rPr>
          <w:rFonts w:ascii="Times New Roman" w:eastAsia="Calibri" w:hAnsi="Times New Roman" w:cs="Times New Roman"/>
          <w:sz w:val="28"/>
          <w:szCs w:val="28"/>
        </w:rPr>
      </w:pPr>
    </w:p>
    <w:p w:rsidR="00424B2D" w:rsidRDefault="00424B2D" w:rsidP="00411458">
      <w:pPr>
        <w:spacing w:line="360" w:lineRule="auto"/>
        <w:jc w:val="both"/>
        <w:rPr>
          <w:rFonts w:ascii="Times New Roman" w:eastAsia="Calibri" w:hAnsi="Times New Roman" w:cs="Times New Roman"/>
          <w:sz w:val="28"/>
          <w:szCs w:val="28"/>
        </w:rPr>
      </w:pPr>
    </w:p>
    <w:p w:rsidR="00424B2D" w:rsidRDefault="00424B2D" w:rsidP="00411458">
      <w:pPr>
        <w:spacing w:line="360" w:lineRule="auto"/>
        <w:jc w:val="both"/>
        <w:rPr>
          <w:rFonts w:ascii="Times New Roman" w:eastAsia="Calibri" w:hAnsi="Times New Roman" w:cs="Times New Roman"/>
          <w:sz w:val="28"/>
          <w:szCs w:val="28"/>
        </w:rPr>
      </w:pPr>
    </w:p>
    <w:p w:rsidR="002E4B40" w:rsidRPr="000E0E66" w:rsidRDefault="000E0E66" w:rsidP="000E0E6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E0E66">
        <w:rPr>
          <w:rFonts w:ascii="Times New Roman" w:eastAsia="Calibri" w:hAnsi="Times New Roman" w:cs="Times New Roman"/>
          <w:sz w:val="28"/>
          <w:szCs w:val="28"/>
        </w:rPr>
        <w:t xml:space="preserve">                                                            </w:t>
      </w:r>
      <w:r w:rsidR="00424B2D" w:rsidRPr="000E0E66">
        <w:rPr>
          <w:rFonts w:ascii="Times New Roman" w:eastAsia="Calibri" w:hAnsi="Times New Roman" w:cs="Times New Roman"/>
          <w:sz w:val="28"/>
          <w:szCs w:val="28"/>
        </w:rPr>
        <w:t>C</w:t>
      </w:r>
      <w:r w:rsidR="002E4B40" w:rsidRPr="000E0E66">
        <w:rPr>
          <w:rFonts w:ascii="Times New Roman" w:eastAsia="Calibri" w:hAnsi="Times New Roman" w:cs="Times New Roman"/>
          <w:sz w:val="28"/>
          <w:szCs w:val="28"/>
        </w:rPr>
        <w:t xml:space="preserve">ase </w:t>
      </w:r>
      <w:r w:rsidR="00702C59" w:rsidRPr="000E0E66">
        <w:rPr>
          <w:rFonts w:ascii="Times New Roman" w:eastAsia="Calibri" w:hAnsi="Times New Roman" w:cs="Times New Roman"/>
          <w:sz w:val="28"/>
          <w:szCs w:val="28"/>
        </w:rPr>
        <w:t xml:space="preserve">Number:  </w:t>
      </w:r>
      <w:r w:rsidR="005000C4" w:rsidRPr="000E0E66">
        <w:rPr>
          <w:rFonts w:ascii="Times New Roman" w:eastAsia="Calibri" w:hAnsi="Times New Roman" w:cs="Times New Roman"/>
          <w:sz w:val="28"/>
          <w:szCs w:val="28"/>
        </w:rPr>
        <w:t>66890</w:t>
      </w:r>
      <w:r w:rsidR="002E4B40" w:rsidRPr="000E0E66">
        <w:rPr>
          <w:rFonts w:ascii="Times New Roman" w:eastAsia="Calibri" w:hAnsi="Times New Roman" w:cs="Times New Roman"/>
          <w:sz w:val="28"/>
          <w:szCs w:val="28"/>
        </w:rPr>
        <w:t>/201</w:t>
      </w:r>
      <w:r w:rsidR="005000C4" w:rsidRPr="000E0E66">
        <w:rPr>
          <w:rFonts w:ascii="Times New Roman" w:eastAsia="Calibri" w:hAnsi="Times New Roman" w:cs="Times New Roman"/>
          <w:sz w:val="28"/>
          <w:szCs w:val="28"/>
        </w:rPr>
        <w:t>0</w:t>
      </w:r>
      <w:r w:rsidR="002E4B40" w:rsidRPr="000E0E66">
        <w:rPr>
          <w:rFonts w:ascii="Times New Roman" w:eastAsia="Calibri" w:hAnsi="Times New Roman" w:cs="Times New Roman"/>
          <w:sz w:val="28"/>
          <w:szCs w:val="28"/>
        </w:rPr>
        <w:t xml:space="preserve"> </w:t>
      </w:r>
    </w:p>
    <w:p w:rsidR="002E4B40" w:rsidRPr="0019579D" w:rsidRDefault="002E4B40" w:rsidP="00411458">
      <w:pPr>
        <w:spacing w:line="36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In the matter between:</w:t>
      </w:r>
    </w:p>
    <w:p w:rsidR="009B50BF" w:rsidRPr="0019579D" w:rsidRDefault="009B50BF" w:rsidP="00411458">
      <w:pPr>
        <w:spacing w:line="360" w:lineRule="auto"/>
        <w:jc w:val="both"/>
        <w:rPr>
          <w:rFonts w:ascii="Times New Roman" w:eastAsia="Calibri" w:hAnsi="Times New Roman" w:cs="Times New Roman"/>
          <w:sz w:val="28"/>
          <w:szCs w:val="28"/>
        </w:rPr>
      </w:pPr>
    </w:p>
    <w:p w:rsidR="002E4B40" w:rsidRPr="000E0E66" w:rsidRDefault="005000C4" w:rsidP="00411458">
      <w:pPr>
        <w:spacing w:line="360" w:lineRule="auto"/>
        <w:jc w:val="both"/>
        <w:rPr>
          <w:rFonts w:ascii="Times New Roman" w:hAnsi="Times New Roman" w:cs="Times New Roman"/>
          <w:sz w:val="28"/>
          <w:szCs w:val="28"/>
        </w:rPr>
      </w:pPr>
      <w:r w:rsidRPr="0019579D">
        <w:rPr>
          <w:rFonts w:ascii="Times New Roman" w:hAnsi="Times New Roman" w:cs="Times New Roman"/>
          <w:b/>
          <w:sz w:val="28"/>
          <w:szCs w:val="28"/>
        </w:rPr>
        <w:t>S</w:t>
      </w:r>
      <w:r w:rsidR="00702C59" w:rsidRPr="0019579D">
        <w:rPr>
          <w:rFonts w:ascii="Times New Roman" w:hAnsi="Times New Roman" w:cs="Times New Roman"/>
          <w:b/>
          <w:sz w:val="28"/>
          <w:szCs w:val="28"/>
        </w:rPr>
        <w:t>O</w:t>
      </w:r>
      <w:r w:rsidRPr="0019579D">
        <w:rPr>
          <w:rFonts w:ascii="Times New Roman" w:hAnsi="Times New Roman" w:cs="Times New Roman"/>
          <w:b/>
          <w:sz w:val="28"/>
          <w:szCs w:val="28"/>
        </w:rPr>
        <w:t xml:space="preserve">LOMON </w:t>
      </w:r>
      <w:r w:rsidR="00702C59" w:rsidRPr="0019579D">
        <w:rPr>
          <w:rFonts w:ascii="Times New Roman" w:hAnsi="Times New Roman" w:cs="Times New Roman"/>
          <w:b/>
          <w:sz w:val="28"/>
          <w:szCs w:val="28"/>
        </w:rPr>
        <w:t>M</w:t>
      </w:r>
      <w:r w:rsidRPr="0019579D">
        <w:rPr>
          <w:rFonts w:ascii="Times New Roman" w:hAnsi="Times New Roman" w:cs="Times New Roman"/>
          <w:b/>
          <w:sz w:val="28"/>
          <w:szCs w:val="28"/>
        </w:rPr>
        <w:t>O</w:t>
      </w:r>
      <w:r w:rsidR="00702C59" w:rsidRPr="0019579D">
        <w:rPr>
          <w:rFonts w:ascii="Times New Roman" w:hAnsi="Times New Roman" w:cs="Times New Roman"/>
          <w:b/>
          <w:sz w:val="28"/>
          <w:szCs w:val="28"/>
        </w:rPr>
        <w:t>T</w:t>
      </w:r>
      <w:r w:rsidRPr="0019579D">
        <w:rPr>
          <w:rFonts w:ascii="Times New Roman" w:hAnsi="Times New Roman" w:cs="Times New Roman"/>
          <w:b/>
          <w:sz w:val="28"/>
          <w:szCs w:val="28"/>
        </w:rPr>
        <w:t>S</w:t>
      </w:r>
      <w:r w:rsidR="00702C59" w:rsidRPr="0019579D">
        <w:rPr>
          <w:rFonts w:ascii="Times New Roman" w:hAnsi="Times New Roman" w:cs="Times New Roman"/>
          <w:b/>
          <w:sz w:val="28"/>
          <w:szCs w:val="28"/>
        </w:rPr>
        <w:t>H</w:t>
      </w:r>
      <w:r w:rsidRPr="0019579D">
        <w:rPr>
          <w:rFonts w:ascii="Times New Roman" w:hAnsi="Times New Roman" w:cs="Times New Roman"/>
          <w:b/>
          <w:sz w:val="28"/>
          <w:szCs w:val="28"/>
        </w:rPr>
        <w:t>W</w:t>
      </w:r>
      <w:r w:rsidR="00702C59" w:rsidRPr="0019579D">
        <w:rPr>
          <w:rFonts w:ascii="Times New Roman" w:hAnsi="Times New Roman" w:cs="Times New Roman"/>
          <w:b/>
          <w:sz w:val="28"/>
          <w:szCs w:val="28"/>
        </w:rPr>
        <w:t>A</w:t>
      </w:r>
      <w:r w:rsidRPr="0019579D">
        <w:rPr>
          <w:rFonts w:ascii="Times New Roman" w:hAnsi="Times New Roman" w:cs="Times New Roman"/>
          <w:b/>
          <w:sz w:val="28"/>
          <w:szCs w:val="28"/>
        </w:rPr>
        <w:t>NE</w:t>
      </w:r>
      <w:r w:rsidR="002E4B40" w:rsidRPr="0019579D">
        <w:rPr>
          <w:rFonts w:ascii="Times New Roman" w:hAnsi="Times New Roman" w:cs="Times New Roman"/>
          <w:b/>
          <w:sz w:val="28"/>
          <w:szCs w:val="28"/>
        </w:rPr>
        <w:t xml:space="preserve">                            </w:t>
      </w:r>
      <w:r w:rsidR="00702C59" w:rsidRPr="0019579D">
        <w:rPr>
          <w:rFonts w:ascii="Times New Roman" w:hAnsi="Times New Roman" w:cs="Times New Roman"/>
          <w:b/>
          <w:sz w:val="28"/>
          <w:szCs w:val="28"/>
        </w:rPr>
        <w:t xml:space="preserve">                        </w:t>
      </w:r>
      <w:r w:rsidR="00702C59" w:rsidRPr="0019579D">
        <w:rPr>
          <w:rFonts w:ascii="Times New Roman" w:hAnsi="Times New Roman" w:cs="Times New Roman"/>
          <w:sz w:val="28"/>
          <w:szCs w:val="28"/>
        </w:rPr>
        <w:t>App</w:t>
      </w:r>
      <w:r w:rsidR="002E4B40" w:rsidRPr="0019579D">
        <w:rPr>
          <w:rFonts w:ascii="Times New Roman" w:hAnsi="Times New Roman" w:cs="Times New Roman"/>
          <w:sz w:val="28"/>
          <w:szCs w:val="28"/>
        </w:rPr>
        <w:t>l</w:t>
      </w:r>
      <w:r w:rsidRPr="0019579D">
        <w:rPr>
          <w:rFonts w:ascii="Times New Roman" w:hAnsi="Times New Roman" w:cs="Times New Roman"/>
          <w:sz w:val="28"/>
          <w:szCs w:val="28"/>
        </w:rPr>
        <w:t>ic</w:t>
      </w:r>
      <w:r w:rsidR="002E4B40" w:rsidRPr="0019579D">
        <w:rPr>
          <w:rFonts w:ascii="Times New Roman" w:hAnsi="Times New Roman" w:cs="Times New Roman"/>
          <w:sz w:val="28"/>
          <w:szCs w:val="28"/>
        </w:rPr>
        <w:t>ant</w:t>
      </w:r>
      <w:r w:rsidR="002E4B40" w:rsidRPr="0019579D">
        <w:rPr>
          <w:rFonts w:ascii="Times New Roman" w:hAnsi="Times New Roman" w:cs="Times New Roman"/>
          <w:b/>
          <w:sz w:val="28"/>
          <w:szCs w:val="28"/>
        </w:rPr>
        <w:t xml:space="preserve">                                           </w:t>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r w:rsidR="002E4B40" w:rsidRPr="0019579D">
        <w:rPr>
          <w:rFonts w:ascii="Times New Roman" w:hAnsi="Times New Roman" w:cs="Times New Roman"/>
          <w:b/>
          <w:sz w:val="28"/>
          <w:szCs w:val="28"/>
        </w:rPr>
        <w:tab/>
      </w:r>
    </w:p>
    <w:p w:rsidR="002E4B40" w:rsidRPr="0019579D" w:rsidRDefault="002E4B40" w:rsidP="00411458">
      <w:pPr>
        <w:spacing w:line="360" w:lineRule="auto"/>
        <w:jc w:val="both"/>
        <w:rPr>
          <w:rFonts w:ascii="Times New Roman" w:hAnsi="Times New Roman" w:cs="Times New Roman"/>
          <w:sz w:val="28"/>
          <w:szCs w:val="28"/>
        </w:rPr>
      </w:pPr>
      <w:r w:rsidRPr="0019579D">
        <w:rPr>
          <w:rFonts w:ascii="Times New Roman" w:hAnsi="Times New Roman" w:cs="Times New Roman"/>
          <w:sz w:val="28"/>
          <w:szCs w:val="28"/>
        </w:rPr>
        <w:t>and</w:t>
      </w:r>
    </w:p>
    <w:p w:rsidR="002E4B40" w:rsidRPr="0019579D" w:rsidRDefault="005000C4" w:rsidP="00411458">
      <w:pPr>
        <w:spacing w:line="360" w:lineRule="auto"/>
        <w:jc w:val="both"/>
        <w:rPr>
          <w:rFonts w:ascii="Times New Roman" w:hAnsi="Times New Roman" w:cs="Times New Roman"/>
          <w:sz w:val="28"/>
          <w:szCs w:val="28"/>
        </w:rPr>
      </w:pPr>
      <w:r w:rsidRPr="0019579D">
        <w:rPr>
          <w:rFonts w:ascii="Times New Roman" w:hAnsi="Times New Roman" w:cs="Times New Roman"/>
          <w:b/>
          <w:sz w:val="28"/>
          <w:szCs w:val="28"/>
        </w:rPr>
        <w:t>N</w:t>
      </w:r>
      <w:r w:rsidR="002E4B40" w:rsidRPr="0019579D">
        <w:rPr>
          <w:rFonts w:ascii="Times New Roman" w:hAnsi="Times New Roman" w:cs="Times New Roman"/>
          <w:b/>
          <w:sz w:val="28"/>
          <w:szCs w:val="28"/>
        </w:rPr>
        <w:t>E</w:t>
      </w:r>
      <w:r w:rsidRPr="0019579D">
        <w:rPr>
          <w:rFonts w:ascii="Times New Roman" w:hAnsi="Times New Roman" w:cs="Times New Roman"/>
          <w:b/>
          <w:sz w:val="28"/>
          <w:szCs w:val="28"/>
        </w:rPr>
        <w:t>DBANK LMITED</w:t>
      </w:r>
      <w:r w:rsidR="002E4B40" w:rsidRPr="0019579D">
        <w:rPr>
          <w:rFonts w:ascii="Times New Roman" w:hAnsi="Times New Roman" w:cs="Times New Roman"/>
          <w:b/>
          <w:sz w:val="28"/>
          <w:szCs w:val="28"/>
        </w:rPr>
        <w:t xml:space="preserve">                                                                </w:t>
      </w:r>
      <w:r w:rsidR="000E0E66">
        <w:rPr>
          <w:rFonts w:ascii="Times New Roman" w:hAnsi="Times New Roman" w:cs="Times New Roman"/>
          <w:b/>
          <w:sz w:val="28"/>
          <w:szCs w:val="28"/>
        </w:rPr>
        <w:t xml:space="preserve">                 </w:t>
      </w:r>
      <w:r w:rsidR="002E4B40" w:rsidRPr="0019579D">
        <w:rPr>
          <w:rFonts w:ascii="Times New Roman" w:hAnsi="Times New Roman" w:cs="Times New Roman"/>
          <w:sz w:val="28"/>
          <w:szCs w:val="28"/>
        </w:rPr>
        <w:t>Respondent</w:t>
      </w:r>
      <w:r w:rsidR="002E4B40" w:rsidRPr="0019579D">
        <w:rPr>
          <w:rFonts w:ascii="Times New Roman" w:hAnsi="Times New Roman" w:cs="Times New Roman"/>
          <w:b/>
          <w:sz w:val="28"/>
          <w:szCs w:val="28"/>
        </w:rPr>
        <w:t xml:space="preserve">                                                            </w:t>
      </w:r>
    </w:p>
    <w:p w:rsidR="002E4B40" w:rsidRPr="0019579D" w:rsidRDefault="002E4B40" w:rsidP="00411458">
      <w:pPr>
        <w:pBdr>
          <w:bottom w:val="single" w:sz="12" w:space="1" w:color="auto"/>
        </w:pBdr>
        <w:spacing w:line="360" w:lineRule="auto"/>
        <w:jc w:val="both"/>
        <w:rPr>
          <w:rFonts w:ascii="Times New Roman" w:hAnsi="Times New Roman" w:cs="Times New Roman"/>
          <w:b/>
          <w:sz w:val="28"/>
          <w:szCs w:val="28"/>
        </w:rPr>
      </w:pPr>
    </w:p>
    <w:p w:rsidR="002E4B40" w:rsidRPr="0019579D" w:rsidRDefault="00424B2D" w:rsidP="0041145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E0E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E4B40" w:rsidRPr="0019579D">
        <w:rPr>
          <w:rFonts w:ascii="Times New Roman" w:hAnsi="Times New Roman" w:cs="Times New Roman"/>
          <w:b/>
          <w:sz w:val="28"/>
          <w:szCs w:val="28"/>
        </w:rPr>
        <w:t>JUDGMENT</w:t>
      </w:r>
    </w:p>
    <w:p w:rsidR="002E4B40" w:rsidRPr="0019579D" w:rsidRDefault="002E4B40" w:rsidP="00411458">
      <w:pPr>
        <w:spacing w:line="360" w:lineRule="auto"/>
        <w:jc w:val="both"/>
        <w:rPr>
          <w:rFonts w:ascii="Times New Roman" w:hAnsi="Times New Roman" w:cs="Times New Roman"/>
          <w:b/>
          <w:sz w:val="28"/>
          <w:szCs w:val="28"/>
        </w:rPr>
      </w:pPr>
      <w:r w:rsidRPr="0019579D">
        <w:rPr>
          <w:rFonts w:ascii="Times New Roman" w:hAnsi="Times New Roman" w:cs="Times New Roman"/>
          <w:b/>
          <w:sz w:val="28"/>
          <w:szCs w:val="28"/>
        </w:rPr>
        <w:t>_________________________________________________________</w:t>
      </w:r>
      <w:r w:rsidR="0019579D" w:rsidRPr="0019579D">
        <w:rPr>
          <w:rFonts w:ascii="Times New Roman" w:hAnsi="Times New Roman" w:cs="Times New Roman"/>
          <w:b/>
          <w:sz w:val="28"/>
          <w:szCs w:val="28"/>
        </w:rPr>
        <w:t>_______</w:t>
      </w:r>
    </w:p>
    <w:p w:rsidR="002E4B40" w:rsidRPr="000E0E66" w:rsidRDefault="00702C59" w:rsidP="00411458">
      <w:pPr>
        <w:jc w:val="both"/>
        <w:rPr>
          <w:rFonts w:ascii="Times New Roman" w:hAnsi="Times New Roman" w:cs="Times New Roman"/>
          <w:b/>
          <w:sz w:val="28"/>
          <w:szCs w:val="28"/>
          <w:u w:val="single"/>
        </w:rPr>
      </w:pPr>
      <w:r w:rsidRPr="000E0E66">
        <w:rPr>
          <w:rFonts w:ascii="Times New Roman" w:hAnsi="Times New Roman" w:cs="Times New Roman"/>
          <w:b/>
          <w:sz w:val="28"/>
          <w:szCs w:val="28"/>
          <w:u w:val="single"/>
        </w:rPr>
        <w:lastRenderedPageBreak/>
        <w:t>NYATH</w:t>
      </w:r>
      <w:r w:rsidR="002E4B40" w:rsidRPr="000E0E66">
        <w:rPr>
          <w:rFonts w:ascii="Times New Roman" w:hAnsi="Times New Roman" w:cs="Times New Roman"/>
          <w:b/>
          <w:sz w:val="28"/>
          <w:szCs w:val="28"/>
          <w:u w:val="single"/>
        </w:rPr>
        <w:t>I J</w:t>
      </w:r>
    </w:p>
    <w:p w:rsidR="002E4B40" w:rsidRPr="0019579D" w:rsidRDefault="002E4B40" w:rsidP="00411458">
      <w:pPr>
        <w:jc w:val="both"/>
        <w:rPr>
          <w:rFonts w:ascii="Times New Roman" w:hAnsi="Times New Roman" w:cs="Times New Roman"/>
          <w:b/>
          <w:sz w:val="28"/>
          <w:szCs w:val="28"/>
        </w:rPr>
      </w:pPr>
    </w:p>
    <w:p w:rsidR="002E4B40" w:rsidRPr="0019579D" w:rsidRDefault="002E4B40" w:rsidP="00411458">
      <w:pPr>
        <w:jc w:val="both"/>
        <w:rPr>
          <w:rFonts w:ascii="Times New Roman" w:hAnsi="Times New Roman" w:cs="Times New Roman"/>
          <w:sz w:val="28"/>
          <w:szCs w:val="28"/>
          <w:u w:val="single"/>
        </w:rPr>
      </w:pPr>
      <w:r w:rsidRPr="0019579D">
        <w:rPr>
          <w:rFonts w:ascii="Times New Roman" w:hAnsi="Times New Roman" w:cs="Times New Roman"/>
          <w:b/>
          <w:sz w:val="28"/>
          <w:szCs w:val="28"/>
        </w:rPr>
        <w:tab/>
      </w:r>
      <w:r w:rsidR="007F7EAC" w:rsidRPr="0019579D">
        <w:rPr>
          <w:rFonts w:ascii="Times New Roman" w:hAnsi="Times New Roman" w:cs="Times New Roman"/>
          <w:sz w:val="28"/>
          <w:szCs w:val="28"/>
          <w:u w:val="single"/>
        </w:rPr>
        <w:t>Introduction</w:t>
      </w:r>
    </w:p>
    <w:p w:rsidR="00AB58AA" w:rsidRPr="0019579D" w:rsidRDefault="002E4B40"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[1]</w:t>
      </w:r>
      <w:r w:rsidRPr="0019579D">
        <w:rPr>
          <w:rFonts w:ascii="Times New Roman" w:hAnsi="Times New Roman" w:cs="Times New Roman"/>
          <w:sz w:val="28"/>
          <w:szCs w:val="28"/>
        </w:rPr>
        <w:tab/>
      </w:r>
      <w:r w:rsidR="00F747E4" w:rsidRPr="0019579D">
        <w:rPr>
          <w:rFonts w:ascii="Times New Roman" w:hAnsi="Times New Roman" w:cs="Times New Roman"/>
          <w:sz w:val="28"/>
          <w:szCs w:val="28"/>
        </w:rPr>
        <w:t>T</w:t>
      </w:r>
      <w:r w:rsidRPr="0019579D">
        <w:rPr>
          <w:rFonts w:ascii="Times New Roman" w:hAnsi="Times New Roman" w:cs="Times New Roman"/>
          <w:sz w:val="28"/>
          <w:szCs w:val="28"/>
        </w:rPr>
        <w:t xml:space="preserve">he </w:t>
      </w:r>
      <w:r w:rsidR="00DF04E6" w:rsidRPr="0019579D">
        <w:rPr>
          <w:rFonts w:ascii="Times New Roman" w:hAnsi="Times New Roman" w:cs="Times New Roman"/>
          <w:sz w:val="28"/>
          <w:szCs w:val="28"/>
        </w:rPr>
        <w:t xml:space="preserve">Applicant </w:t>
      </w:r>
      <w:r w:rsidR="00680056" w:rsidRPr="0019579D">
        <w:rPr>
          <w:rFonts w:ascii="Times New Roman" w:hAnsi="Times New Roman" w:cs="Times New Roman"/>
          <w:sz w:val="28"/>
          <w:szCs w:val="28"/>
        </w:rPr>
        <w:t>is before court seeking a rescission of a court order that was granted against him on 13 August 2012.</w:t>
      </w:r>
      <w:r w:rsidR="0027562E" w:rsidRPr="0019579D">
        <w:rPr>
          <w:rFonts w:ascii="Times New Roman" w:hAnsi="Times New Roman" w:cs="Times New Roman"/>
          <w:sz w:val="28"/>
          <w:szCs w:val="28"/>
        </w:rPr>
        <w:t xml:space="preserve"> The Applicant is a qualified medical doctor of many years standing.</w:t>
      </w:r>
    </w:p>
    <w:p w:rsidR="00C97E54" w:rsidRPr="0019579D" w:rsidRDefault="002E4B40"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[2]</w:t>
      </w:r>
      <w:r w:rsidRPr="0019579D">
        <w:rPr>
          <w:rFonts w:ascii="Times New Roman" w:hAnsi="Times New Roman" w:cs="Times New Roman"/>
          <w:sz w:val="28"/>
          <w:szCs w:val="28"/>
        </w:rPr>
        <w:tab/>
      </w:r>
      <w:r w:rsidR="00680056" w:rsidRPr="0019579D">
        <w:rPr>
          <w:rFonts w:ascii="Times New Roman" w:hAnsi="Times New Roman" w:cs="Times New Roman"/>
          <w:sz w:val="28"/>
          <w:szCs w:val="28"/>
        </w:rPr>
        <w:t>The A</w:t>
      </w:r>
      <w:r w:rsidR="00C97E54" w:rsidRPr="0019579D">
        <w:rPr>
          <w:rFonts w:ascii="Times New Roman" w:hAnsi="Times New Roman" w:cs="Times New Roman"/>
          <w:sz w:val="28"/>
          <w:szCs w:val="28"/>
        </w:rPr>
        <w:t>pplicant bases his application on the fact that:</w:t>
      </w:r>
    </w:p>
    <w:p w:rsidR="00C97E54" w:rsidRPr="0019579D" w:rsidRDefault="00C97E54" w:rsidP="00411458">
      <w:pPr>
        <w:spacing w:line="360" w:lineRule="auto"/>
        <w:ind w:left="1440" w:hanging="720"/>
        <w:jc w:val="both"/>
        <w:rPr>
          <w:rFonts w:ascii="Times New Roman" w:hAnsi="Times New Roman" w:cs="Times New Roman"/>
          <w:sz w:val="28"/>
          <w:szCs w:val="28"/>
        </w:rPr>
      </w:pPr>
      <w:r w:rsidRPr="0019579D">
        <w:rPr>
          <w:rFonts w:ascii="Times New Roman" w:hAnsi="Times New Roman" w:cs="Times New Roman"/>
          <w:sz w:val="28"/>
          <w:szCs w:val="28"/>
        </w:rPr>
        <w:t>2.1</w:t>
      </w:r>
      <w:r w:rsidRPr="0019579D">
        <w:rPr>
          <w:rFonts w:ascii="Times New Roman" w:hAnsi="Times New Roman" w:cs="Times New Roman"/>
          <w:sz w:val="28"/>
          <w:szCs w:val="28"/>
        </w:rPr>
        <w:tab/>
        <w:t>He had not read the documents presented to him when he signed as surety and was not aware of their significance;</w:t>
      </w:r>
    </w:p>
    <w:p w:rsidR="002E4B40" w:rsidRPr="0019579D" w:rsidRDefault="00C97E54" w:rsidP="00411458">
      <w:pPr>
        <w:spacing w:line="360" w:lineRule="auto"/>
        <w:ind w:left="1440" w:hanging="720"/>
        <w:jc w:val="both"/>
        <w:rPr>
          <w:rFonts w:ascii="Times New Roman" w:hAnsi="Times New Roman" w:cs="Times New Roman"/>
          <w:sz w:val="28"/>
          <w:szCs w:val="28"/>
        </w:rPr>
      </w:pPr>
      <w:r w:rsidRPr="0019579D">
        <w:rPr>
          <w:rFonts w:ascii="Times New Roman" w:hAnsi="Times New Roman" w:cs="Times New Roman"/>
          <w:sz w:val="28"/>
          <w:szCs w:val="28"/>
        </w:rPr>
        <w:t>2.2</w:t>
      </w:r>
      <w:r w:rsidR="00680056" w:rsidRPr="0019579D">
        <w:rPr>
          <w:rFonts w:ascii="Times New Roman" w:hAnsi="Times New Roman" w:cs="Times New Roman"/>
          <w:sz w:val="28"/>
          <w:szCs w:val="28"/>
        </w:rPr>
        <w:t xml:space="preserve"> </w:t>
      </w:r>
      <w:r w:rsidRPr="0019579D">
        <w:rPr>
          <w:rFonts w:ascii="Times New Roman" w:hAnsi="Times New Roman" w:cs="Times New Roman"/>
          <w:sz w:val="28"/>
          <w:szCs w:val="28"/>
        </w:rPr>
        <w:tab/>
        <w:t>He had</w:t>
      </w:r>
      <w:r w:rsidR="00680056" w:rsidRPr="0019579D">
        <w:rPr>
          <w:rFonts w:ascii="Times New Roman" w:hAnsi="Times New Roman" w:cs="Times New Roman"/>
          <w:sz w:val="28"/>
          <w:szCs w:val="28"/>
        </w:rPr>
        <w:t xml:space="preserve"> </w:t>
      </w:r>
      <w:r w:rsidRPr="0019579D">
        <w:rPr>
          <w:rFonts w:ascii="Times New Roman" w:hAnsi="Times New Roman" w:cs="Times New Roman"/>
          <w:sz w:val="28"/>
          <w:szCs w:val="28"/>
        </w:rPr>
        <w:t>received summons, but assumed it was not against him in his personal capacity and elected not to read it; and</w:t>
      </w:r>
    </w:p>
    <w:p w:rsidR="00C97E54" w:rsidRPr="0019579D" w:rsidRDefault="00C97E54" w:rsidP="00411458">
      <w:pPr>
        <w:spacing w:line="360" w:lineRule="auto"/>
        <w:ind w:left="1440" w:hanging="720"/>
        <w:jc w:val="both"/>
        <w:rPr>
          <w:rFonts w:ascii="Times New Roman" w:hAnsi="Times New Roman" w:cs="Times New Roman"/>
          <w:sz w:val="28"/>
          <w:szCs w:val="28"/>
        </w:rPr>
      </w:pPr>
      <w:r w:rsidRPr="0019579D">
        <w:rPr>
          <w:rFonts w:ascii="Times New Roman" w:hAnsi="Times New Roman" w:cs="Times New Roman"/>
          <w:sz w:val="28"/>
          <w:szCs w:val="28"/>
        </w:rPr>
        <w:t>2.3</w:t>
      </w:r>
      <w:r w:rsidRPr="0019579D">
        <w:rPr>
          <w:rFonts w:ascii="Times New Roman" w:hAnsi="Times New Roman" w:cs="Times New Roman"/>
          <w:sz w:val="28"/>
          <w:szCs w:val="28"/>
        </w:rPr>
        <w:tab/>
        <w:t>He was legally represented at the time and assumed his lawyer would handle the matter.</w:t>
      </w:r>
    </w:p>
    <w:p w:rsidR="00A61E41" w:rsidRPr="0019579D" w:rsidRDefault="00A61E41" w:rsidP="00411458">
      <w:pPr>
        <w:spacing w:line="360" w:lineRule="auto"/>
        <w:ind w:left="1440" w:hanging="720"/>
        <w:jc w:val="both"/>
        <w:rPr>
          <w:rFonts w:ascii="Times New Roman" w:hAnsi="Times New Roman" w:cs="Times New Roman"/>
          <w:sz w:val="28"/>
          <w:szCs w:val="28"/>
        </w:rPr>
      </w:pPr>
    </w:p>
    <w:p w:rsidR="00A61E41" w:rsidRPr="0019579D" w:rsidRDefault="00A61E41" w:rsidP="00411458">
      <w:pPr>
        <w:spacing w:line="360" w:lineRule="auto"/>
        <w:ind w:left="1440" w:hanging="720"/>
        <w:jc w:val="both"/>
        <w:rPr>
          <w:rFonts w:ascii="Times New Roman" w:hAnsi="Times New Roman" w:cs="Times New Roman"/>
          <w:sz w:val="28"/>
          <w:szCs w:val="28"/>
          <w:u w:val="single"/>
        </w:rPr>
      </w:pPr>
      <w:r w:rsidRPr="0019579D">
        <w:rPr>
          <w:rFonts w:ascii="Times New Roman" w:hAnsi="Times New Roman" w:cs="Times New Roman"/>
          <w:sz w:val="28"/>
          <w:szCs w:val="28"/>
          <w:u w:val="single"/>
        </w:rPr>
        <w:t>Summary of substantial facts</w:t>
      </w:r>
    </w:p>
    <w:p w:rsidR="00B76228" w:rsidRPr="0019579D" w:rsidRDefault="00884548"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[3]</w:t>
      </w:r>
      <w:r w:rsidRPr="0019579D">
        <w:rPr>
          <w:rFonts w:ascii="Times New Roman" w:hAnsi="Times New Roman" w:cs="Times New Roman"/>
          <w:sz w:val="28"/>
          <w:szCs w:val="28"/>
        </w:rPr>
        <w:tab/>
      </w:r>
      <w:r w:rsidR="00DB3778" w:rsidRPr="0019579D">
        <w:rPr>
          <w:rFonts w:ascii="Times New Roman" w:hAnsi="Times New Roman" w:cs="Times New Roman"/>
          <w:sz w:val="28"/>
          <w:szCs w:val="28"/>
        </w:rPr>
        <w:t>The Applicant was a shareholder of a company called Interlink Airlines (Pty) Ltd (</w:t>
      </w:r>
      <w:r w:rsidR="00B76228" w:rsidRPr="0019579D">
        <w:rPr>
          <w:rFonts w:ascii="Times New Roman" w:hAnsi="Times New Roman" w:cs="Times New Roman"/>
          <w:sz w:val="28"/>
          <w:szCs w:val="28"/>
        </w:rPr>
        <w:t>“</w:t>
      </w:r>
      <w:r w:rsidR="00DB3778" w:rsidRPr="0019579D">
        <w:rPr>
          <w:rFonts w:ascii="Times New Roman" w:hAnsi="Times New Roman" w:cs="Times New Roman"/>
          <w:sz w:val="28"/>
          <w:szCs w:val="28"/>
        </w:rPr>
        <w:t>Interlink</w:t>
      </w:r>
      <w:r w:rsidR="00B76228" w:rsidRPr="0019579D">
        <w:rPr>
          <w:rFonts w:ascii="Times New Roman" w:hAnsi="Times New Roman" w:cs="Times New Roman"/>
          <w:sz w:val="28"/>
          <w:szCs w:val="28"/>
        </w:rPr>
        <w:t>”</w:t>
      </w:r>
      <w:r w:rsidR="00DB3778" w:rsidRPr="0019579D">
        <w:rPr>
          <w:rFonts w:ascii="Times New Roman" w:hAnsi="Times New Roman" w:cs="Times New Roman"/>
          <w:sz w:val="28"/>
          <w:szCs w:val="28"/>
        </w:rPr>
        <w:t>).</w:t>
      </w:r>
      <w:r w:rsidR="00B76228" w:rsidRPr="0019579D">
        <w:rPr>
          <w:rFonts w:ascii="Times New Roman" w:hAnsi="Times New Roman" w:cs="Times New Roman"/>
          <w:sz w:val="28"/>
          <w:szCs w:val="28"/>
        </w:rPr>
        <w:t xml:space="preserve"> I</w:t>
      </w:r>
      <w:r w:rsidR="00DB3778" w:rsidRPr="0019579D">
        <w:rPr>
          <w:rFonts w:ascii="Times New Roman" w:hAnsi="Times New Roman" w:cs="Times New Roman"/>
          <w:sz w:val="28"/>
          <w:szCs w:val="28"/>
        </w:rPr>
        <w:t>nterlink entered into three in</w:t>
      </w:r>
      <w:r w:rsidR="00B76228" w:rsidRPr="0019579D">
        <w:rPr>
          <w:rFonts w:ascii="Times New Roman" w:hAnsi="Times New Roman" w:cs="Times New Roman"/>
          <w:sz w:val="28"/>
          <w:szCs w:val="28"/>
        </w:rPr>
        <w:t>stalment sale agreements on 27 June 2006, 30 J</w:t>
      </w:r>
      <w:r w:rsidR="00DB3778" w:rsidRPr="0019579D">
        <w:rPr>
          <w:rFonts w:ascii="Times New Roman" w:hAnsi="Times New Roman" w:cs="Times New Roman"/>
          <w:sz w:val="28"/>
          <w:szCs w:val="28"/>
        </w:rPr>
        <w:t>un</w:t>
      </w:r>
      <w:r w:rsidR="00B76228" w:rsidRPr="0019579D">
        <w:rPr>
          <w:rFonts w:ascii="Times New Roman" w:hAnsi="Times New Roman" w:cs="Times New Roman"/>
          <w:sz w:val="28"/>
          <w:szCs w:val="28"/>
        </w:rPr>
        <w:t xml:space="preserve">e 2006 and 21 August 2006 (the “Instalment Agreements”) </w:t>
      </w:r>
    </w:p>
    <w:p w:rsidR="002E4B40" w:rsidRPr="0019579D" w:rsidRDefault="00B76228"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[4]</w:t>
      </w:r>
      <w:r w:rsidRPr="0019579D">
        <w:rPr>
          <w:rFonts w:ascii="Times New Roman" w:hAnsi="Times New Roman" w:cs="Times New Roman"/>
          <w:sz w:val="28"/>
          <w:szCs w:val="28"/>
        </w:rPr>
        <w:tab/>
        <w:t>On</w:t>
      </w:r>
      <w:r w:rsidR="00884548" w:rsidRPr="0019579D">
        <w:rPr>
          <w:rFonts w:ascii="Times New Roman" w:hAnsi="Times New Roman" w:cs="Times New Roman"/>
          <w:sz w:val="28"/>
          <w:szCs w:val="28"/>
        </w:rPr>
        <w:t xml:space="preserve"> </w:t>
      </w:r>
      <w:r w:rsidRPr="0019579D">
        <w:rPr>
          <w:rFonts w:ascii="Times New Roman" w:hAnsi="Times New Roman" w:cs="Times New Roman"/>
          <w:sz w:val="28"/>
          <w:szCs w:val="28"/>
        </w:rPr>
        <w:t>27 June 2006, the Applicant entered into a suretyship agreement wherein he bound himself as surety and co-principal debtor in solidum for the repayment on demand of all amounts that Interlink owed to the Respondent (the “Suretyship Agreement.)”</w:t>
      </w:r>
    </w:p>
    <w:p w:rsidR="00B76228" w:rsidRPr="0019579D" w:rsidRDefault="00B76228"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lastRenderedPageBreak/>
        <w:t>[5]</w:t>
      </w:r>
      <w:r w:rsidRPr="0019579D">
        <w:rPr>
          <w:rFonts w:ascii="Times New Roman" w:hAnsi="Times New Roman" w:cs="Times New Roman"/>
          <w:sz w:val="28"/>
          <w:szCs w:val="28"/>
        </w:rPr>
        <w:tab/>
      </w:r>
      <w:r w:rsidR="000D3259" w:rsidRPr="0019579D">
        <w:rPr>
          <w:rFonts w:ascii="Times New Roman" w:hAnsi="Times New Roman" w:cs="Times New Roman"/>
          <w:sz w:val="28"/>
          <w:szCs w:val="28"/>
        </w:rPr>
        <w:t xml:space="preserve">Interlink defaulted in its payment obligations. The Respondent instituted proceedings against the three parties who signed surety on behalf of Interlink, </w:t>
      </w:r>
      <w:r w:rsidR="005F2599">
        <w:rPr>
          <w:rFonts w:ascii="Times New Roman" w:hAnsi="Times New Roman" w:cs="Times New Roman"/>
          <w:sz w:val="28"/>
          <w:szCs w:val="28"/>
        </w:rPr>
        <w:t xml:space="preserve">for the payment of the amounts owing plus interest, in terms of the 3 instalment sale agreements, </w:t>
      </w:r>
      <w:r w:rsidR="000D3259" w:rsidRPr="0019579D">
        <w:rPr>
          <w:rFonts w:ascii="Times New Roman" w:hAnsi="Times New Roman" w:cs="Times New Roman"/>
          <w:sz w:val="28"/>
          <w:szCs w:val="28"/>
        </w:rPr>
        <w:t>the</w:t>
      </w:r>
      <w:r w:rsidR="005F2599">
        <w:rPr>
          <w:rFonts w:ascii="Times New Roman" w:hAnsi="Times New Roman" w:cs="Times New Roman"/>
          <w:sz w:val="28"/>
          <w:szCs w:val="28"/>
        </w:rPr>
        <w:t xml:space="preserve"> one paying, the others to be absolved. </w:t>
      </w:r>
      <w:r w:rsidR="000D3259" w:rsidRPr="0019579D">
        <w:rPr>
          <w:rFonts w:ascii="Times New Roman" w:hAnsi="Times New Roman" w:cs="Times New Roman"/>
          <w:sz w:val="28"/>
          <w:szCs w:val="28"/>
        </w:rPr>
        <w:t xml:space="preserve"> Applicant </w:t>
      </w:r>
      <w:r w:rsidR="005F2599">
        <w:rPr>
          <w:rFonts w:ascii="Times New Roman" w:hAnsi="Times New Roman" w:cs="Times New Roman"/>
          <w:sz w:val="28"/>
          <w:szCs w:val="28"/>
        </w:rPr>
        <w:t xml:space="preserve">is </w:t>
      </w:r>
      <w:r w:rsidR="000D3259" w:rsidRPr="0019579D">
        <w:rPr>
          <w:rFonts w:ascii="Times New Roman" w:hAnsi="Times New Roman" w:cs="Times New Roman"/>
          <w:sz w:val="28"/>
          <w:szCs w:val="28"/>
        </w:rPr>
        <w:t>one of the</w:t>
      </w:r>
      <w:r w:rsidR="005F2599">
        <w:rPr>
          <w:rFonts w:ascii="Times New Roman" w:hAnsi="Times New Roman" w:cs="Times New Roman"/>
          <w:sz w:val="28"/>
          <w:szCs w:val="28"/>
        </w:rPr>
        <w:t xml:space="preserve"> three parties</w:t>
      </w:r>
      <w:r w:rsidR="000D3259" w:rsidRPr="0019579D">
        <w:rPr>
          <w:rFonts w:ascii="Times New Roman" w:hAnsi="Times New Roman" w:cs="Times New Roman"/>
          <w:sz w:val="28"/>
          <w:szCs w:val="28"/>
        </w:rPr>
        <w:t>.</w:t>
      </w:r>
      <w:r w:rsidR="005F2599">
        <w:rPr>
          <w:rFonts w:ascii="Times New Roman" w:hAnsi="Times New Roman" w:cs="Times New Roman"/>
          <w:sz w:val="28"/>
          <w:szCs w:val="28"/>
        </w:rPr>
        <w:t xml:space="preserve"> </w:t>
      </w:r>
    </w:p>
    <w:p w:rsidR="00E21A63" w:rsidRPr="0019579D" w:rsidRDefault="00E21A63"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[6]</w:t>
      </w:r>
      <w:r w:rsidRPr="0019579D">
        <w:rPr>
          <w:rFonts w:ascii="Times New Roman" w:hAnsi="Times New Roman" w:cs="Times New Roman"/>
          <w:sz w:val="28"/>
          <w:szCs w:val="28"/>
        </w:rPr>
        <w:tab/>
        <w:t xml:space="preserve">On </w:t>
      </w:r>
      <w:r w:rsidRPr="0019579D">
        <w:rPr>
          <w:rFonts w:ascii="Times New Roman" w:hAnsi="Times New Roman" w:cs="Times New Roman"/>
          <w:b/>
          <w:sz w:val="28"/>
          <w:szCs w:val="28"/>
        </w:rPr>
        <w:t>13 August 2012</w:t>
      </w:r>
      <w:r w:rsidR="005F602C">
        <w:rPr>
          <w:rFonts w:ascii="Times New Roman" w:hAnsi="Times New Roman" w:cs="Times New Roman"/>
          <w:sz w:val="28"/>
          <w:szCs w:val="28"/>
        </w:rPr>
        <w:t xml:space="preserve"> the Honourable J</w:t>
      </w:r>
      <w:r w:rsidRPr="0019579D">
        <w:rPr>
          <w:rFonts w:ascii="Times New Roman" w:hAnsi="Times New Roman" w:cs="Times New Roman"/>
          <w:sz w:val="28"/>
          <w:szCs w:val="28"/>
        </w:rPr>
        <w:t>ustice Ebersohn AJ granted an order wherein the Applicant (the Third Defendant in the proceedings before Acting Judge Ebersohn) was ordered to effect payment to the Respondent in respect of three instalment sale agreements (“the Order”).</w:t>
      </w:r>
    </w:p>
    <w:p w:rsidR="00C92059" w:rsidRPr="0019579D" w:rsidRDefault="00C92059"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[7]</w:t>
      </w:r>
      <w:r w:rsidRPr="0019579D">
        <w:rPr>
          <w:rFonts w:ascii="Times New Roman" w:hAnsi="Times New Roman" w:cs="Times New Roman"/>
          <w:sz w:val="28"/>
          <w:szCs w:val="28"/>
        </w:rPr>
        <w:tab/>
        <w:t xml:space="preserve">The Applicant applied to rescind the Order during or about </w:t>
      </w:r>
      <w:r w:rsidRPr="0019579D">
        <w:rPr>
          <w:rFonts w:ascii="Times New Roman" w:hAnsi="Times New Roman" w:cs="Times New Roman"/>
          <w:b/>
          <w:sz w:val="28"/>
          <w:szCs w:val="28"/>
        </w:rPr>
        <w:t>May 2021</w:t>
      </w:r>
      <w:r w:rsidR="005F602C">
        <w:rPr>
          <w:rFonts w:ascii="Times New Roman" w:hAnsi="Times New Roman" w:cs="Times New Roman"/>
          <w:b/>
          <w:sz w:val="28"/>
          <w:szCs w:val="28"/>
        </w:rPr>
        <w:t>.</w:t>
      </w:r>
      <w:r w:rsidRPr="0019579D">
        <w:rPr>
          <w:rFonts w:ascii="Times New Roman" w:hAnsi="Times New Roman" w:cs="Times New Roman"/>
          <w:sz w:val="28"/>
          <w:szCs w:val="28"/>
        </w:rPr>
        <w:t xml:space="preserve"> His explanation for the delay</w:t>
      </w:r>
      <w:r w:rsidR="00D51E14" w:rsidRPr="0019579D">
        <w:rPr>
          <w:rFonts w:ascii="Times New Roman" w:hAnsi="Times New Roman" w:cs="Times New Roman"/>
          <w:sz w:val="28"/>
          <w:szCs w:val="28"/>
        </w:rPr>
        <w:t>, gleaned from his replying affidavit,</w:t>
      </w:r>
      <w:r w:rsidRPr="0019579D">
        <w:rPr>
          <w:rFonts w:ascii="Times New Roman" w:hAnsi="Times New Roman" w:cs="Times New Roman"/>
          <w:sz w:val="28"/>
          <w:szCs w:val="28"/>
        </w:rPr>
        <w:t xml:space="preserve"> is</w:t>
      </w:r>
      <w:r w:rsidR="00D51E14" w:rsidRPr="0019579D">
        <w:rPr>
          <w:rFonts w:ascii="Times New Roman" w:hAnsi="Times New Roman" w:cs="Times New Roman"/>
          <w:sz w:val="28"/>
          <w:szCs w:val="28"/>
        </w:rPr>
        <w:t xml:space="preserve"> that</w:t>
      </w:r>
      <w:r w:rsidRPr="0019579D">
        <w:rPr>
          <w:rFonts w:ascii="Times New Roman" w:hAnsi="Times New Roman" w:cs="Times New Roman"/>
          <w:sz w:val="28"/>
          <w:szCs w:val="28"/>
        </w:rPr>
        <w:t>:</w:t>
      </w:r>
    </w:p>
    <w:p w:rsidR="004B7F2E" w:rsidRPr="0019579D" w:rsidRDefault="004B7F2E"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ab/>
        <w:t>7.1</w:t>
      </w:r>
      <w:r w:rsidRPr="0019579D">
        <w:rPr>
          <w:rFonts w:ascii="Times New Roman" w:hAnsi="Times New Roman" w:cs="Times New Roman"/>
          <w:sz w:val="28"/>
          <w:szCs w:val="28"/>
        </w:rPr>
        <w:tab/>
        <w:t xml:space="preserve">He did not know he could apply for rescission; </w:t>
      </w:r>
    </w:p>
    <w:p w:rsidR="004B7F2E" w:rsidRPr="0019579D" w:rsidRDefault="004B7F2E" w:rsidP="00411458">
      <w:pPr>
        <w:spacing w:line="360" w:lineRule="auto"/>
        <w:ind w:left="1440" w:hanging="720"/>
        <w:jc w:val="both"/>
        <w:rPr>
          <w:rFonts w:ascii="Times New Roman" w:hAnsi="Times New Roman" w:cs="Times New Roman"/>
          <w:sz w:val="28"/>
          <w:szCs w:val="28"/>
        </w:rPr>
      </w:pPr>
      <w:r w:rsidRPr="0019579D">
        <w:rPr>
          <w:rFonts w:ascii="Times New Roman" w:hAnsi="Times New Roman" w:cs="Times New Roman"/>
          <w:sz w:val="28"/>
          <w:szCs w:val="28"/>
        </w:rPr>
        <w:t>7.2</w:t>
      </w:r>
      <w:r w:rsidRPr="0019579D">
        <w:rPr>
          <w:rFonts w:ascii="Times New Roman" w:hAnsi="Times New Roman" w:cs="Times New Roman"/>
          <w:sz w:val="28"/>
          <w:szCs w:val="28"/>
        </w:rPr>
        <w:tab/>
        <w:t xml:space="preserve">His erstwhile attorney of record that assisted him in 2013 did not advise him of this option and instead assisted him with an interpleader; </w:t>
      </w:r>
    </w:p>
    <w:p w:rsidR="004B7F2E" w:rsidRPr="0019579D" w:rsidRDefault="004B7F2E" w:rsidP="00411458">
      <w:pPr>
        <w:spacing w:line="360" w:lineRule="auto"/>
        <w:ind w:left="1440" w:hanging="720"/>
        <w:jc w:val="both"/>
        <w:rPr>
          <w:rFonts w:ascii="Times New Roman" w:hAnsi="Times New Roman" w:cs="Times New Roman"/>
          <w:sz w:val="28"/>
          <w:szCs w:val="28"/>
        </w:rPr>
      </w:pPr>
      <w:r w:rsidRPr="0019579D">
        <w:rPr>
          <w:rFonts w:ascii="Times New Roman" w:hAnsi="Times New Roman" w:cs="Times New Roman"/>
          <w:sz w:val="28"/>
          <w:szCs w:val="28"/>
        </w:rPr>
        <w:t>7.3</w:t>
      </w:r>
      <w:r w:rsidRPr="0019579D">
        <w:rPr>
          <w:rFonts w:ascii="Times New Roman" w:hAnsi="Times New Roman" w:cs="Times New Roman"/>
          <w:sz w:val="28"/>
          <w:szCs w:val="28"/>
        </w:rPr>
        <w:tab/>
        <w:t xml:space="preserve">He assumed because the Respondent took no further steps to execute on the Order for the years 2014 to 2019 that the matter was moot; </w:t>
      </w:r>
    </w:p>
    <w:p w:rsidR="004B7F2E" w:rsidRPr="0019579D" w:rsidRDefault="004B7F2E" w:rsidP="00411458">
      <w:pPr>
        <w:spacing w:line="360" w:lineRule="auto"/>
        <w:ind w:left="1440" w:hanging="720"/>
        <w:jc w:val="both"/>
        <w:rPr>
          <w:rFonts w:ascii="Times New Roman" w:hAnsi="Times New Roman" w:cs="Times New Roman"/>
          <w:sz w:val="28"/>
          <w:szCs w:val="28"/>
        </w:rPr>
      </w:pPr>
      <w:r w:rsidRPr="0019579D">
        <w:rPr>
          <w:rFonts w:ascii="Times New Roman" w:hAnsi="Times New Roman" w:cs="Times New Roman"/>
          <w:sz w:val="28"/>
          <w:szCs w:val="28"/>
        </w:rPr>
        <w:t>7.4</w:t>
      </w:r>
      <w:r w:rsidRPr="0019579D">
        <w:rPr>
          <w:rFonts w:ascii="Times New Roman" w:hAnsi="Times New Roman" w:cs="Times New Roman"/>
          <w:sz w:val="28"/>
          <w:szCs w:val="28"/>
        </w:rPr>
        <w:tab/>
        <w:t>His second set of attorneys also did not advise him of this possibility when they assisted him in 2020.</w:t>
      </w:r>
    </w:p>
    <w:p w:rsidR="008F0247" w:rsidRPr="0019579D" w:rsidRDefault="008F0247"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[8]</w:t>
      </w:r>
      <w:r w:rsidRPr="0019579D">
        <w:rPr>
          <w:rFonts w:ascii="Times New Roman" w:hAnsi="Times New Roman" w:cs="Times New Roman"/>
          <w:sz w:val="28"/>
          <w:szCs w:val="28"/>
        </w:rPr>
        <w:tab/>
        <w:t xml:space="preserve">The Applicant states </w:t>
      </w:r>
      <w:r w:rsidR="000C2749" w:rsidRPr="0019579D">
        <w:rPr>
          <w:rFonts w:ascii="Times New Roman" w:hAnsi="Times New Roman" w:cs="Times New Roman"/>
          <w:sz w:val="28"/>
          <w:szCs w:val="28"/>
        </w:rPr>
        <w:t xml:space="preserve">in his founding affidavit </w:t>
      </w:r>
      <w:r w:rsidRPr="0019579D">
        <w:rPr>
          <w:rFonts w:ascii="Times New Roman" w:hAnsi="Times New Roman" w:cs="Times New Roman"/>
          <w:sz w:val="28"/>
          <w:szCs w:val="28"/>
        </w:rPr>
        <w:t>that whilst he had paid an attorney a deposit. This attorney drafted a plea. On the face of it, the plea is in respect of all the defendants to the proceedings</w:t>
      </w:r>
      <w:r w:rsidR="003557E8" w:rsidRPr="0019579D">
        <w:rPr>
          <w:rFonts w:ascii="Times New Roman" w:hAnsi="Times New Roman" w:cs="Times New Roman"/>
          <w:sz w:val="28"/>
          <w:szCs w:val="28"/>
        </w:rPr>
        <w:t>.</w:t>
      </w:r>
      <w:r w:rsidRPr="0019579D">
        <w:rPr>
          <w:rFonts w:ascii="Times New Roman" w:hAnsi="Times New Roman" w:cs="Times New Roman"/>
          <w:sz w:val="28"/>
          <w:szCs w:val="28"/>
        </w:rPr>
        <w:t xml:space="preserve"> </w:t>
      </w:r>
      <w:r w:rsidR="003557E8" w:rsidRPr="0019579D">
        <w:rPr>
          <w:rFonts w:ascii="Times New Roman" w:hAnsi="Times New Roman" w:cs="Times New Roman"/>
          <w:sz w:val="28"/>
          <w:szCs w:val="28"/>
        </w:rPr>
        <w:t>T</w:t>
      </w:r>
      <w:r w:rsidRPr="0019579D">
        <w:rPr>
          <w:rFonts w:ascii="Times New Roman" w:hAnsi="Times New Roman" w:cs="Times New Roman"/>
          <w:sz w:val="28"/>
          <w:szCs w:val="28"/>
        </w:rPr>
        <w:t xml:space="preserve">he Applicant then avers that he was never consulted by the attorney who on his own included an averment that Applicant </w:t>
      </w:r>
      <w:r w:rsidR="003557E8" w:rsidRPr="0019579D">
        <w:rPr>
          <w:rFonts w:ascii="Times New Roman" w:hAnsi="Times New Roman" w:cs="Times New Roman"/>
          <w:sz w:val="28"/>
          <w:szCs w:val="28"/>
        </w:rPr>
        <w:t>was married in community of property</w:t>
      </w:r>
      <w:r w:rsidRPr="0019579D">
        <w:rPr>
          <w:rFonts w:ascii="Times New Roman" w:hAnsi="Times New Roman" w:cs="Times New Roman"/>
          <w:sz w:val="28"/>
          <w:szCs w:val="28"/>
        </w:rPr>
        <w:t xml:space="preserve"> </w:t>
      </w:r>
      <w:r w:rsidR="003557E8" w:rsidRPr="0019579D">
        <w:rPr>
          <w:rFonts w:ascii="Times New Roman" w:hAnsi="Times New Roman" w:cs="Times New Roman"/>
          <w:sz w:val="28"/>
          <w:szCs w:val="28"/>
        </w:rPr>
        <w:t xml:space="preserve">and was therefore not bound by the deed of suretyship which was allegedly void </w:t>
      </w:r>
      <w:r w:rsidR="003557E8" w:rsidRPr="0019579D">
        <w:rPr>
          <w:rFonts w:ascii="Times New Roman" w:hAnsi="Times New Roman" w:cs="Times New Roman"/>
          <w:sz w:val="28"/>
          <w:szCs w:val="28"/>
        </w:rPr>
        <w:lastRenderedPageBreak/>
        <w:t>due to provisions of the Matrimonial Property Act.</w:t>
      </w:r>
      <w:r w:rsidR="003557E8" w:rsidRPr="0019579D">
        <w:rPr>
          <w:rStyle w:val="FootnoteReference"/>
          <w:rFonts w:ascii="Times New Roman" w:hAnsi="Times New Roman" w:cs="Times New Roman"/>
          <w:sz w:val="28"/>
          <w:szCs w:val="28"/>
        </w:rPr>
        <w:footnoteReference w:id="1"/>
      </w:r>
      <w:r w:rsidR="003557E8" w:rsidRPr="0019579D">
        <w:rPr>
          <w:rFonts w:ascii="Times New Roman" w:hAnsi="Times New Roman" w:cs="Times New Roman"/>
          <w:sz w:val="28"/>
          <w:szCs w:val="28"/>
        </w:rPr>
        <w:t xml:space="preserve"> Applicant appears to rely on this fact to support his version that the said attorney acted without his direct instruction because in actual fact he was married out of community of property with accrual. </w:t>
      </w:r>
    </w:p>
    <w:p w:rsidR="002B29D3" w:rsidRPr="0019579D" w:rsidRDefault="002B29D3"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w:t>
      </w:r>
      <w:r w:rsidR="00827D56" w:rsidRPr="0019579D">
        <w:rPr>
          <w:rFonts w:ascii="Times New Roman" w:hAnsi="Times New Roman" w:cs="Times New Roman"/>
          <w:sz w:val="28"/>
          <w:szCs w:val="28"/>
        </w:rPr>
        <w:t>9</w:t>
      </w:r>
      <w:r w:rsidRPr="0019579D">
        <w:rPr>
          <w:rFonts w:ascii="Times New Roman" w:hAnsi="Times New Roman" w:cs="Times New Roman"/>
          <w:sz w:val="28"/>
          <w:szCs w:val="28"/>
        </w:rPr>
        <w:t>]</w:t>
      </w:r>
      <w:r w:rsidR="00827D56" w:rsidRPr="0019579D">
        <w:rPr>
          <w:rFonts w:ascii="Times New Roman" w:hAnsi="Times New Roman" w:cs="Times New Roman"/>
          <w:sz w:val="28"/>
          <w:szCs w:val="28"/>
        </w:rPr>
        <w:tab/>
        <w:t>The Applicant states that he had assumed, incorrectly, that the summons claimed payment from him personally.</w:t>
      </w:r>
      <w:r w:rsidR="00BE7D81" w:rsidRPr="0019579D">
        <w:rPr>
          <w:rFonts w:ascii="Times New Roman" w:hAnsi="Times New Roman" w:cs="Times New Roman"/>
          <w:sz w:val="28"/>
          <w:szCs w:val="28"/>
        </w:rPr>
        <w:t xml:space="preserve"> He had assumed that the matter </w:t>
      </w:r>
      <w:r w:rsidR="00E0440B" w:rsidRPr="0019579D">
        <w:rPr>
          <w:rFonts w:ascii="Times New Roman" w:hAnsi="Times New Roman" w:cs="Times New Roman"/>
          <w:sz w:val="28"/>
          <w:szCs w:val="28"/>
        </w:rPr>
        <w:t>pertained only</w:t>
      </w:r>
      <w:r w:rsidR="00BE7D81" w:rsidRPr="0019579D">
        <w:rPr>
          <w:rFonts w:ascii="Times New Roman" w:hAnsi="Times New Roman" w:cs="Times New Roman"/>
          <w:sz w:val="28"/>
          <w:szCs w:val="28"/>
        </w:rPr>
        <w:t xml:space="preserve"> to Interlink and did not attend court. He also did not enq</w:t>
      </w:r>
      <w:r w:rsidR="00E0440B" w:rsidRPr="0019579D">
        <w:rPr>
          <w:rFonts w:ascii="Times New Roman" w:hAnsi="Times New Roman" w:cs="Times New Roman"/>
          <w:sz w:val="28"/>
          <w:szCs w:val="28"/>
        </w:rPr>
        <w:t>uire from the attorneys who represented him</w:t>
      </w:r>
      <w:r w:rsidR="000E0E66">
        <w:rPr>
          <w:rFonts w:ascii="Times New Roman" w:hAnsi="Times New Roman" w:cs="Times New Roman"/>
          <w:sz w:val="28"/>
          <w:szCs w:val="28"/>
        </w:rPr>
        <w:t xml:space="preserve"> whether he should attend court. </w:t>
      </w:r>
      <w:r w:rsidRPr="0019579D">
        <w:rPr>
          <w:rFonts w:ascii="Times New Roman" w:hAnsi="Times New Roman" w:cs="Times New Roman"/>
          <w:sz w:val="28"/>
          <w:szCs w:val="28"/>
        </w:rPr>
        <w:tab/>
      </w:r>
    </w:p>
    <w:p w:rsidR="001B1F6F" w:rsidRPr="0019579D" w:rsidRDefault="001B1F6F"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[10]</w:t>
      </w:r>
      <w:r w:rsidRPr="0019579D">
        <w:rPr>
          <w:rFonts w:ascii="Times New Roman" w:hAnsi="Times New Roman" w:cs="Times New Roman"/>
          <w:sz w:val="28"/>
          <w:szCs w:val="28"/>
        </w:rPr>
        <w:tab/>
        <w:t xml:space="preserve">The </w:t>
      </w:r>
      <w:r w:rsidR="00666D4F" w:rsidRPr="0019579D">
        <w:rPr>
          <w:rFonts w:ascii="Times New Roman" w:hAnsi="Times New Roman" w:cs="Times New Roman"/>
          <w:sz w:val="28"/>
          <w:szCs w:val="28"/>
        </w:rPr>
        <w:t>A</w:t>
      </w:r>
      <w:r w:rsidRPr="0019579D">
        <w:rPr>
          <w:rFonts w:ascii="Times New Roman" w:hAnsi="Times New Roman" w:cs="Times New Roman"/>
          <w:sz w:val="28"/>
          <w:szCs w:val="28"/>
        </w:rPr>
        <w:t xml:space="preserve">pplicant is thus raising a defence of </w:t>
      </w:r>
      <w:r w:rsidRPr="0019579D">
        <w:rPr>
          <w:rFonts w:ascii="Times New Roman" w:hAnsi="Times New Roman" w:cs="Times New Roman"/>
          <w:i/>
          <w:sz w:val="28"/>
          <w:szCs w:val="28"/>
        </w:rPr>
        <w:t>iustus error</w:t>
      </w:r>
      <w:r w:rsidRPr="0019579D">
        <w:rPr>
          <w:rFonts w:ascii="Times New Roman" w:hAnsi="Times New Roman" w:cs="Times New Roman"/>
          <w:sz w:val="28"/>
          <w:szCs w:val="28"/>
        </w:rPr>
        <w:t>. In this regard:</w:t>
      </w:r>
    </w:p>
    <w:p w:rsidR="001B1F6F" w:rsidRPr="0019579D" w:rsidRDefault="001B1F6F" w:rsidP="00411458">
      <w:pPr>
        <w:spacing w:line="360" w:lineRule="auto"/>
        <w:ind w:left="720"/>
        <w:jc w:val="both"/>
        <w:rPr>
          <w:rFonts w:ascii="Times New Roman" w:hAnsi="Times New Roman" w:cs="Times New Roman"/>
          <w:sz w:val="28"/>
          <w:szCs w:val="28"/>
        </w:rPr>
      </w:pPr>
      <w:r w:rsidRPr="0019579D">
        <w:rPr>
          <w:rFonts w:ascii="Times New Roman" w:hAnsi="Times New Roman" w:cs="Times New Roman"/>
          <w:sz w:val="28"/>
          <w:szCs w:val="28"/>
        </w:rPr>
        <w:t>10.1</w:t>
      </w:r>
      <w:r w:rsidRPr="0019579D">
        <w:rPr>
          <w:rFonts w:ascii="Times New Roman" w:hAnsi="Times New Roman" w:cs="Times New Roman"/>
          <w:sz w:val="28"/>
          <w:szCs w:val="28"/>
        </w:rPr>
        <w:tab/>
        <w:t>He admits signing the Suretyship Agreement;</w:t>
      </w:r>
    </w:p>
    <w:p w:rsidR="001B1F6F" w:rsidRPr="0019579D" w:rsidRDefault="001B1F6F" w:rsidP="00411458">
      <w:pPr>
        <w:spacing w:line="360" w:lineRule="auto"/>
        <w:ind w:left="1440" w:hanging="720"/>
        <w:jc w:val="both"/>
        <w:rPr>
          <w:rFonts w:ascii="Times New Roman" w:hAnsi="Times New Roman" w:cs="Times New Roman"/>
          <w:sz w:val="28"/>
          <w:szCs w:val="28"/>
        </w:rPr>
      </w:pPr>
      <w:r w:rsidRPr="0019579D">
        <w:rPr>
          <w:rFonts w:ascii="Times New Roman" w:hAnsi="Times New Roman" w:cs="Times New Roman"/>
          <w:sz w:val="28"/>
          <w:szCs w:val="28"/>
        </w:rPr>
        <w:t>10.2</w:t>
      </w:r>
      <w:r w:rsidRPr="0019579D">
        <w:rPr>
          <w:rFonts w:ascii="Times New Roman" w:hAnsi="Times New Roman" w:cs="Times New Roman"/>
          <w:sz w:val="28"/>
          <w:szCs w:val="28"/>
        </w:rPr>
        <w:tab/>
        <w:t xml:space="preserve"> He does not recognise the handwriting of the portions which were filled in manuscript, yet he admits to having initialled next to it; and</w:t>
      </w:r>
    </w:p>
    <w:p w:rsidR="001B1F6F" w:rsidRPr="0019579D" w:rsidRDefault="001B1F6F" w:rsidP="00411458">
      <w:pPr>
        <w:spacing w:line="360" w:lineRule="auto"/>
        <w:ind w:left="1440" w:hanging="720"/>
        <w:jc w:val="both"/>
        <w:rPr>
          <w:rFonts w:ascii="Times New Roman" w:hAnsi="Times New Roman" w:cs="Times New Roman"/>
          <w:sz w:val="28"/>
          <w:szCs w:val="28"/>
        </w:rPr>
      </w:pPr>
      <w:r w:rsidRPr="0019579D">
        <w:rPr>
          <w:rFonts w:ascii="Times New Roman" w:hAnsi="Times New Roman" w:cs="Times New Roman"/>
          <w:sz w:val="28"/>
          <w:szCs w:val="28"/>
        </w:rPr>
        <w:t>10.3</w:t>
      </w:r>
      <w:r w:rsidRPr="0019579D">
        <w:rPr>
          <w:rFonts w:ascii="Times New Roman" w:hAnsi="Times New Roman" w:cs="Times New Roman"/>
          <w:sz w:val="28"/>
          <w:szCs w:val="28"/>
        </w:rPr>
        <w:tab/>
        <w:t>He did not read the Suretyship Agreement</w:t>
      </w:r>
      <w:r w:rsidR="00D57FB6" w:rsidRPr="0019579D">
        <w:rPr>
          <w:rFonts w:ascii="Times New Roman" w:hAnsi="Times New Roman" w:cs="Times New Roman"/>
          <w:sz w:val="28"/>
          <w:szCs w:val="28"/>
        </w:rPr>
        <w:t xml:space="preserve"> and had not intended entering into such agreement.</w:t>
      </w:r>
    </w:p>
    <w:p w:rsidR="00D403C4" w:rsidRPr="0019579D" w:rsidRDefault="00D403C4" w:rsidP="00411458">
      <w:pPr>
        <w:spacing w:line="360" w:lineRule="auto"/>
        <w:ind w:left="1440" w:hanging="720"/>
        <w:jc w:val="both"/>
        <w:rPr>
          <w:rFonts w:ascii="Times New Roman" w:hAnsi="Times New Roman" w:cs="Times New Roman"/>
          <w:sz w:val="28"/>
          <w:szCs w:val="28"/>
        </w:rPr>
      </w:pPr>
    </w:p>
    <w:p w:rsidR="003A1A4B" w:rsidRPr="0019579D" w:rsidRDefault="00D403C4" w:rsidP="00411458">
      <w:pPr>
        <w:spacing w:line="360" w:lineRule="auto"/>
        <w:ind w:firstLine="720"/>
        <w:jc w:val="both"/>
        <w:rPr>
          <w:rFonts w:ascii="Times New Roman" w:hAnsi="Times New Roman" w:cs="Times New Roman"/>
          <w:sz w:val="28"/>
          <w:szCs w:val="28"/>
          <w:u w:val="single"/>
        </w:rPr>
      </w:pPr>
      <w:r w:rsidRPr="0019579D">
        <w:rPr>
          <w:rFonts w:ascii="Times New Roman" w:hAnsi="Times New Roman" w:cs="Times New Roman"/>
          <w:sz w:val="28"/>
          <w:szCs w:val="28"/>
          <w:u w:val="single"/>
        </w:rPr>
        <w:t>The law on rescission</w:t>
      </w:r>
      <w:r w:rsidR="000451B4" w:rsidRPr="0019579D">
        <w:rPr>
          <w:rFonts w:ascii="Times New Roman" w:hAnsi="Times New Roman" w:cs="Times New Roman"/>
          <w:sz w:val="28"/>
          <w:szCs w:val="28"/>
          <w:u w:val="single"/>
        </w:rPr>
        <w:t xml:space="preserve"> applied to the facts</w:t>
      </w:r>
    </w:p>
    <w:p w:rsidR="00D403C4" w:rsidRPr="0019579D" w:rsidRDefault="000405C5"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[1</w:t>
      </w:r>
      <w:r w:rsidR="00AC6F50" w:rsidRPr="0019579D">
        <w:rPr>
          <w:rFonts w:ascii="Times New Roman" w:hAnsi="Times New Roman" w:cs="Times New Roman"/>
          <w:sz w:val="28"/>
          <w:szCs w:val="28"/>
        </w:rPr>
        <w:t>1</w:t>
      </w:r>
      <w:r w:rsidRPr="0019579D">
        <w:rPr>
          <w:rFonts w:ascii="Times New Roman" w:hAnsi="Times New Roman" w:cs="Times New Roman"/>
          <w:sz w:val="28"/>
          <w:szCs w:val="28"/>
        </w:rPr>
        <w:t>]</w:t>
      </w:r>
      <w:r w:rsidRPr="0019579D">
        <w:rPr>
          <w:rFonts w:ascii="Times New Roman" w:hAnsi="Times New Roman" w:cs="Times New Roman"/>
          <w:sz w:val="28"/>
          <w:szCs w:val="28"/>
        </w:rPr>
        <w:tab/>
      </w:r>
      <w:r w:rsidR="00D403C4" w:rsidRPr="0019579D">
        <w:rPr>
          <w:rFonts w:ascii="Times New Roman" w:hAnsi="Times New Roman" w:cs="Times New Roman"/>
          <w:sz w:val="28"/>
          <w:szCs w:val="28"/>
        </w:rPr>
        <w:t xml:space="preserve">In </w:t>
      </w:r>
      <w:r w:rsidR="00D403C4" w:rsidRPr="0019579D">
        <w:rPr>
          <w:rFonts w:ascii="Times New Roman" w:hAnsi="Times New Roman" w:cs="Times New Roman"/>
          <w:i/>
          <w:sz w:val="28"/>
          <w:szCs w:val="28"/>
        </w:rPr>
        <w:t xml:space="preserve">Colyn v Tiger Food Industries Ltd t/a Meadow Feed Mills (Cape) 2003 (6) SA 1 (SCA) </w:t>
      </w:r>
      <w:r w:rsidR="0076030C" w:rsidRPr="0019579D">
        <w:rPr>
          <w:rFonts w:ascii="Times New Roman" w:hAnsi="Times New Roman" w:cs="Times New Roman"/>
          <w:sz w:val="28"/>
          <w:szCs w:val="28"/>
        </w:rPr>
        <w:t>the Supreme Court of Appeal (“SCA”) held that:</w:t>
      </w:r>
    </w:p>
    <w:p w:rsidR="0076030C" w:rsidRPr="0019579D" w:rsidRDefault="0076030C" w:rsidP="00411458">
      <w:pPr>
        <w:spacing w:line="360" w:lineRule="auto"/>
        <w:ind w:left="1440"/>
        <w:jc w:val="both"/>
        <w:rPr>
          <w:rFonts w:ascii="Times New Roman" w:hAnsi="Times New Roman" w:cs="Times New Roman"/>
          <w:sz w:val="28"/>
          <w:szCs w:val="28"/>
        </w:rPr>
      </w:pPr>
      <w:r w:rsidRPr="0019579D">
        <w:rPr>
          <w:rFonts w:ascii="Times New Roman" w:hAnsi="Times New Roman" w:cs="Times New Roman"/>
          <w:i/>
          <w:sz w:val="28"/>
          <w:szCs w:val="28"/>
        </w:rPr>
        <w:t xml:space="preserve">“With that as the underlying approach the Courts generally expect an applicant to show good cause (a) by giving a reasonable explanation of his default; (b) by showing that his application is made bona fide; and (c) by showing that he has a bona fide defence </w:t>
      </w:r>
      <w:r w:rsidRPr="0019579D">
        <w:rPr>
          <w:rFonts w:ascii="Times New Roman" w:hAnsi="Times New Roman" w:cs="Times New Roman"/>
          <w:i/>
          <w:sz w:val="28"/>
          <w:szCs w:val="28"/>
        </w:rPr>
        <w:lastRenderedPageBreak/>
        <w:t>to the plaintiffs claim which prima facie has some prospect of success...”</w:t>
      </w:r>
    </w:p>
    <w:p w:rsidR="00AC6F50" w:rsidRPr="0019579D" w:rsidRDefault="00DE762A"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[12]</w:t>
      </w:r>
      <w:r w:rsidRPr="0019579D">
        <w:rPr>
          <w:rFonts w:ascii="Times New Roman" w:hAnsi="Times New Roman" w:cs="Times New Roman"/>
          <w:sz w:val="28"/>
          <w:szCs w:val="28"/>
        </w:rPr>
        <w:tab/>
      </w:r>
      <w:r w:rsidR="00AC6F50" w:rsidRPr="0019579D">
        <w:rPr>
          <w:rFonts w:ascii="Times New Roman" w:hAnsi="Times New Roman" w:cs="Times New Roman"/>
          <w:sz w:val="28"/>
          <w:szCs w:val="28"/>
        </w:rPr>
        <w:t xml:space="preserve">In </w:t>
      </w:r>
      <w:r w:rsidR="00AC6F50" w:rsidRPr="0019579D">
        <w:rPr>
          <w:rFonts w:ascii="Times New Roman" w:hAnsi="Times New Roman" w:cs="Times New Roman"/>
          <w:i/>
          <w:sz w:val="28"/>
          <w:szCs w:val="28"/>
        </w:rPr>
        <w:t>Grant v Plumbers (Pty) Ltd 1949 (2) SA 470 (O)</w:t>
      </w:r>
      <w:r w:rsidR="00AC6F50" w:rsidRPr="0019579D">
        <w:rPr>
          <w:rFonts w:ascii="Times New Roman" w:hAnsi="Times New Roman" w:cs="Times New Roman"/>
          <w:sz w:val="28"/>
          <w:szCs w:val="28"/>
        </w:rPr>
        <w:t xml:space="preserve"> Brink J held that in order to show good cause an Applicant should comply with the following requirements:</w:t>
      </w:r>
    </w:p>
    <w:p w:rsidR="00AC6F50" w:rsidRPr="0019579D" w:rsidRDefault="00AC6F50" w:rsidP="00411458">
      <w:pPr>
        <w:spacing w:line="360" w:lineRule="auto"/>
        <w:ind w:left="720" w:firstLine="720"/>
        <w:jc w:val="both"/>
        <w:rPr>
          <w:rFonts w:ascii="Times New Roman" w:hAnsi="Times New Roman" w:cs="Times New Roman"/>
          <w:sz w:val="28"/>
          <w:szCs w:val="28"/>
        </w:rPr>
      </w:pPr>
      <w:r w:rsidRPr="0019579D">
        <w:rPr>
          <w:rFonts w:ascii="Times New Roman" w:hAnsi="Times New Roman" w:cs="Times New Roman"/>
          <w:sz w:val="28"/>
          <w:szCs w:val="28"/>
        </w:rPr>
        <w:t xml:space="preserve">(a) He must give a reasonable explanation of his default; </w:t>
      </w:r>
    </w:p>
    <w:p w:rsidR="00AC6F50" w:rsidRPr="0019579D" w:rsidRDefault="00AC6F50" w:rsidP="00411458">
      <w:pPr>
        <w:spacing w:line="360" w:lineRule="auto"/>
        <w:ind w:left="720" w:firstLine="720"/>
        <w:jc w:val="both"/>
        <w:rPr>
          <w:rFonts w:ascii="Times New Roman" w:hAnsi="Times New Roman" w:cs="Times New Roman"/>
          <w:sz w:val="28"/>
          <w:szCs w:val="28"/>
        </w:rPr>
      </w:pPr>
      <w:r w:rsidRPr="0019579D">
        <w:rPr>
          <w:rFonts w:ascii="Times New Roman" w:hAnsi="Times New Roman" w:cs="Times New Roman"/>
          <w:sz w:val="28"/>
          <w:szCs w:val="28"/>
        </w:rPr>
        <w:t xml:space="preserve">(b) His application must be made bona fide; </w:t>
      </w:r>
    </w:p>
    <w:p w:rsidR="00DE762A" w:rsidRPr="0019579D" w:rsidRDefault="00AC6F50" w:rsidP="00411458">
      <w:pPr>
        <w:spacing w:line="360" w:lineRule="auto"/>
        <w:ind w:left="1440"/>
        <w:jc w:val="both"/>
        <w:rPr>
          <w:rFonts w:ascii="Times New Roman" w:hAnsi="Times New Roman" w:cs="Times New Roman"/>
          <w:sz w:val="28"/>
          <w:szCs w:val="28"/>
        </w:rPr>
      </w:pPr>
      <w:r w:rsidRPr="0019579D">
        <w:rPr>
          <w:rFonts w:ascii="Times New Roman" w:hAnsi="Times New Roman" w:cs="Times New Roman"/>
          <w:sz w:val="28"/>
          <w:szCs w:val="28"/>
        </w:rPr>
        <w:t>(c) He must show that he has a bona fide defence to the plaintiff’s claim.</w:t>
      </w:r>
      <w:r w:rsidR="00B85128" w:rsidRPr="0019579D">
        <w:rPr>
          <w:rStyle w:val="FootnoteReference"/>
          <w:rFonts w:ascii="Times New Roman" w:hAnsi="Times New Roman" w:cs="Times New Roman"/>
          <w:sz w:val="28"/>
          <w:szCs w:val="28"/>
        </w:rPr>
        <w:footnoteReference w:id="2"/>
      </w:r>
    </w:p>
    <w:p w:rsidR="00666D4F" w:rsidRPr="0019579D" w:rsidRDefault="00666D4F"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[13]</w:t>
      </w:r>
      <w:r w:rsidRPr="0019579D">
        <w:rPr>
          <w:rFonts w:ascii="Times New Roman" w:hAnsi="Times New Roman" w:cs="Times New Roman"/>
          <w:sz w:val="28"/>
          <w:szCs w:val="28"/>
        </w:rPr>
        <w:tab/>
        <w:t>The Applicant’s explanation of his default is rather lacking in substance, to start with, he elected not to read the summons which were properly served.</w:t>
      </w:r>
      <w:r w:rsidR="000C6460" w:rsidRPr="0019579D">
        <w:rPr>
          <w:rFonts w:ascii="Times New Roman" w:hAnsi="Times New Roman" w:cs="Times New Roman"/>
          <w:sz w:val="28"/>
          <w:szCs w:val="28"/>
        </w:rPr>
        <w:t xml:space="preserve"> He is an intelligent, well-educated professional who is not deficient of the ability to read and appreciate a document placed before him. His decision not to read the summons therefore amounts to negligence on his part.</w:t>
      </w:r>
    </w:p>
    <w:p w:rsidR="003E52B5" w:rsidRPr="0019579D" w:rsidRDefault="006F54E2"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t>[14]</w:t>
      </w:r>
      <w:r w:rsidRPr="0019579D">
        <w:rPr>
          <w:rFonts w:ascii="Times New Roman" w:hAnsi="Times New Roman" w:cs="Times New Roman"/>
          <w:sz w:val="28"/>
          <w:szCs w:val="28"/>
        </w:rPr>
        <w:tab/>
        <w:t>On the Applicant’s defence that he had signed the Suretyship Agreement without reading it and had not intended to enter into such an agreement, and obviously be bound by it, there is a decision which is on point.</w:t>
      </w:r>
      <w:r w:rsidR="003E52B5" w:rsidRPr="0019579D">
        <w:rPr>
          <w:rFonts w:ascii="Times New Roman" w:hAnsi="Times New Roman" w:cs="Times New Roman"/>
          <w:sz w:val="28"/>
          <w:szCs w:val="28"/>
        </w:rPr>
        <w:t xml:space="preserve"> It is the matter of </w:t>
      </w:r>
      <w:r w:rsidR="003E52B5" w:rsidRPr="0019579D">
        <w:rPr>
          <w:rFonts w:ascii="Times New Roman" w:hAnsi="Times New Roman" w:cs="Times New Roman"/>
          <w:i/>
          <w:sz w:val="28"/>
          <w:szCs w:val="28"/>
        </w:rPr>
        <w:t>Slip Knot Investments 777 (Pty) Ltd v Du Toit</w:t>
      </w:r>
      <w:r w:rsidR="002E19B2" w:rsidRPr="0019579D">
        <w:rPr>
          <w:rFonts w:ascii="Times New Roman" w:hAnsi="Times New Roman" w:cs="Times New Roman"/>
          <w:i/>
          <w:sz w:val="28"/>
          <w:szCs w:val="28"/>
        </w:rPr>
        <w:t xml:space="preserve"> </w:t>
      </w:r>
      <w:r w:rsidR="002E19B2" w:rsidRPr="0019579D">
        <w:rPr>
          <w:rFonts w:ascii="Times New Roman" w:hAnsi="Times New Roman" w:cs="Times New Roman"/>
          <w:sz w:val="28"/>
          <w:szCs w:val="28"/>
        </w:rPr>
        <w:t>2011 (4) SA 72 (SCA)</w:t>
      </w:r>
      <w:r w:rsidR="002E19B2" w:rsidRPr="0019579D">
        <w:rPr>
          <w:rFonts w:ascii="Times New Roman" w:hAnsi="Times New Roman" w:cs="Times New Roman"/>
          <w:i/>
          <w:sz w:val="28"/>
          <w:szCs w:val="28"/>
        </w:rPr>
        <w:t xml:space="preserve"> at paragraph [9]</w:t>
      </w:r>
      <w:r w:rsidR="003E52B5" w:rsidRPr="0019579D">
        <w:rPr>
          <w:rFonts w:ascii="Times New Roman" w:hAnsi="Times New Roman" w:cs="Times New Roman"/>
          <w:sz w:val="28"/>
          <w:szCs w:val="28"/>
        </w:rPr>
        <w:t xml:space="preserve">, where the SCA held: </w:t>
      </w:r>
    </w:p>
    <w:p w:rsidR="006F54E2" w:rsidRPr="0019579D" w:rsidRDefault="003E52B5" w:rsidP="00411458">
      <w:pPr>
        <w:spacing w:line="360" w:lineRule="auto"/>
        <w:ind w:left="1440"/>
        <w:jc w:val="both"/>
        <w:rPr>
          <w:rFonts w:ascii="Times New Roman" w:hAnsi="Times New Roman" w:cs="Times New Roman"/>
          <w:i/>
          <w:sz w:val="28"/>
          <w:szCs w:val="28"/>
        </w:rPr>
      </w:pPr>
      <w:r w:rsidRPr="0019579D">
        <w:rPr>
          <w:rFonts w:ascii="Times New Roman" w:hAnsi="Times New Roman" w:cs="Times New Roman"/>
          <w:sz w:val="28"/>
          <w:szCs w:val="28"/>
        </w:rPr>
        <w:t xml:space="preserve">"The respondent’s defence is that he lacked the intention to be bound and therefore that no agreement of suretyship was concluded. Contractual liability however arises not only in cases where there is consensus or a real meeting of the minds but also by virtue of the </w:t>
      </w:r>
      <w:r w:rsidRPr="0019579D">
        <w:rPr>
          <w:rFonts w:ascii="Times New Roman" w:hAnsi="Times New Roman" w:cs="Times New Roman"/>
          <w:sz w:val="28"/>
          <w:szCs w:val="28"/>
        </w:rPr>
        <w:lastRenderedPageBreak/>
        <w:t xml:space="preserve">doctrine of quasi-mutual assent: Even where there is no consensus, contractual liability may nevertheless ensue. The respondent's mistake is a unilateral one. Referring to the mistake of the kind the respondent laboured under, it was said in </w:t>
      </w:r>
      <w:r w:rsidRPr="0019579D">
        <w:rPr>
          <w:rFonts w:ascii="Times New Roman" w:hAnsi="Times New Roman" w:cs="Times New Roman"/>
          <w:i/>
          <w:sz w:val="28"/>
          <w:szCs w:val="28"/>
        </w:rPr>
        <w:t>National and Overseas Distributors Corporation (Pty) Ltd v Potato Board:</w:t>
      </w:r>
    </w:p>
    <w:p w:rsidR="00796BEB" w:rsidRPr="0019579D" w:rsidRDefault="00796BEB" w:rsidP="00411458">
      <w:pPr>
        <w:spacing w:line="360" w:lineRule="auto"/>
        <w:ind w:left="2160"/>
        <w:jc w:val="both"/>
        <w:rPr>
          <w:rFonts w:ascii="Times New Roman" w:hAnsi="Times New Roman" w:cs="Times New Roman"/>
          <w:sz w:val="28"/>
          <w:szCs w:val="28"/>
        </w:rPr>
      </w:pPr>
      <w:r w:rsidRPr="0019579D">
        <w:rPr>
          <w:rFonts w:ascii="Times New Roman" w:hAnsi="Times New Roman" w:cs="Times New Roman"/>
          <w:sz w:val="28"/>
          <w:szCs w:val="28"/>
        </w:rPr>
        <w:t>‘Our law allows a party to set up his own mistake in certain circumstances in order to escape liability under a contract into which he has entered but where the other party has not made any misrepresentation and has not appreciated at the time of acceptance that his offer was being accepted under a misapprehension, the scope for a defence of unilateral mistake is very narrow, if it exists at all. At least the mistake (error) would have to be reasonable (justus) and it would have to be pleaded.’</w:t>
      </w:r>
    </w:p>
    <w:p w:rsidR="00CE3EB6" w:rsidRPr="0019579D" w:rsidRDefault="00CE3EB6" w:rsidP="00411458">
      <w:pPr>
        <w:spacing w:line="360" w:lineRule="auto"/>
        <w:ind w:left="2160"/>
        <w:jc w:val="both"/>
        <w:rPr>
          <w:rFonts w:ascii="Times New Roman" w:hAnsi="Times New Roman" w:cs="Times New Roman"/>
          <w:i/>
          <w:sz w:val="28"/>
          <w:szCs w:val="28"/>
        </w:rPr>
      </w:pPr>
      <w:r w:rsidRPr="0019579D">
        <w:rPr>
          <w:rFonts w:ascii="Times New Roman" w:hAnsi="Times New Roman" w:cs="Times New Roman"/>
          <w:i/>
          <w:sz w:val="28"/>
          <w:szCs w:val="28"/>
        </w:rPr>
        <w:t>‘the decisive question to be asked in cases such as this has been formulated as follows:</w:t>
      </w:r>
    </w:p>
    <w:p w:rsidR="00CE3EB6" w:rsidRDefault="00CE3EB6" w:rsidP="00411458">
      <w:pPr>
        <w:spacing w:line="360" w:lineRule="auto"/>
        <w:ind w:left="2160"/>
        <w:jc w:val="both"/>
        <w:rPr>
          <w:rFonts w:ascii="Times New Roman" w:hAnsi="Times New Roman" w:cs="Times New Roman"/>
          <w:sz w:val="28"/>
          <w:szCs w:val="28"/>
        </w:rPr>
      </w:pPr>
      <w:r w:rsidRPr="0019579D">
        <w:rPr>
          <w:rFonts w:ascii="Times New Roman" w:hAnsi="Times New Roman" w:cs="Times New Roman"/>
          <w:sz w:val="28"/>
          <w:szCs w:val="28"/>
        </w:rPr>
        <w:t xml:space="preserve">‘Did the party whose actual intention did not conform to the common intention expressed, lead the other party, as a reasonable man, to believe that his declared intention represented his actual intention?... To answer this question, a three-fold enquiry is usually necessary, namely, firstly was there </w:t>
      </w:r>
      <w:r w:rsidR="00424B2D">
        <w:rPr>
          <w:rFonts w:ascii="Times New Roman" w:hAnsi="Times New Roman" w:cs="Times New Roman"/>
          <w:sz w:val="28"/>
          <w:szCs w:val="28"/>
        </w:rPr>
        <w:t>a misrepresentation as to one</w:t>
      </w:r>
      <w:r w:rsidRPr="0019579D">
        <w:rPr>
          <w:rFonts w:ascii="Times New Roman" w:hAnsi="Times New Roman" w:cs="Times New Roman"/>
          <w:sz w:val="28"/>
          <w:szCs w:val="28"/>
        </w:rPr>
        <w:t>'s intention secondly who made that misrepresentat</w:t>
      </w:r>
      <w:r w:rsidR="00424B2D">
        <w:rPr>
          <w:rFonts w:ascii="Times New Roman" w:hAnsi="Times New Roman" w:cs="Times New Roman"/>
          <w:sz w:val="28"/>
          <w:szCs w:val="28"/>
        </w:rPr>
        <w:t xml:space="preserve">ion and thirdly was the other </w:t>
      </w:r>
      <w:r w:rsidRPr="0019579D">
        <w:rPr>
          <w:rFonts w:ascii="Times New Roman" w:hAnsi="Times New Roman" w:cs="Times New Roman"/>
          <w:sz w:val="28"/>
          <w:szCs w:val="28"/>
        </w:rPr>
        <w:t>misled thereby? ... The last question postulates two possibilities: Was he actually misled and would a reasonable man have been misled?</w:t>
      </w:r>
    </w:p>
    <w:p w:rsidR="00DA4467" w:rsidRDefault="00DA4467" w:rsidP="00411458">
      <w:pPr>
        <w:spacing w:line="360" w:lineRule="auto"/>
        <w:jc w:val="both"/>
        <w:rPr>
          <w:rFonts w:ascii="Times New Roman" w:hAnsi="Times New Roman" w:cs="Times New Roman"/>
          <w:sz w:val="28"/>
          <w:szCs w:val="28"/>
        </w:rPr>
      </w:pPr>
    </w:p>
    <w:p w:rsidR="00DA4467" w:rsidRDefault="00DA4467" w:rsidP="0041145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r>
      <w:r w:rsidRPr="00DA4467">
        <w:rPr>
          <w:rFonts w:ascii="Times New Roman" w:hAnsi="Times New Roman" w:cs="Times New Roman"/>
          <w:sz w:val="28"/>
          <w:szCs w:val="28"/>
        </w:rPr>
        <w:t>The Applicant did not make any averments as to having been misled due to a misrepresentation. Instead, the Applicant states that he would sign documents placed before hi</w:t>
      </w:r>
      <w:r>
        <w:rPr>
          <w:rFonts w:ascii="Times New Roman" w:hAnsi="Times New Roman" w:cs="Times New Roman"/>
          <w:sz w:val="28"/>
          <w:szCs w:val="28"/>
        </w:rPr>
        <w:t>m by the First Defendant which “related to the affairs of Inter</w:t>
      </w:r>
      <w:r w:rsidRPr="00DA4467">
        <w:rPr>
          <w:rFonts w:ascii="Times New Roman" w:hAnsi="Times New Roman" w:cs="Times New Roman"/>
          <w:sz w:val="28"/>
          <w:szCs w:val="28"/>
        </w:rPr>
        <w:t>l</w:t>
      </w:r>
      <w:r>
        <w:rPr>
          <w:rFonts w:ascii="Times New Roman" w:hAnsi="Times New Roman" w:cs="Times New Roman"/>
          <w:sz w:val="28"/>
          <w:szCs w:val="28"/>
        </w:rPr>
        <w:t>i</w:t>
      </w:r>
      <w:r w:rsidRPr="00DA4467">
        <w:rPr>
          <w:rFonts w:ascii="Times New Roman" w:hAnsi="Times New Roman" w:cs="Times New Roman"/>
          <w:sz w:val="28"/>
          <w:szCs w:val="28"/>
        </w:rPr>
        <w:t>nk</w:t>
      </w:r>
      <w:r>
        <w:rPr>
          <w:rFonts w:ascii="Times New Roman" w:hAnsi="Times New Roman" w:cs="Times New Roman"/>
          <w:sz w:val="28"/>
          <w:szCs w:val="28"/>
        </w:rPr>
        <w:t>.” T</w:t>
      </w:r>
      <w:r w:rsidRPr="00DA4467">
        <w:rPr>
          <w:rFonts w:ascii="Times New Roman" w:hAnsi="Times New Roman" w:cs="Times New Roman"/>
          <w:sz w:val="28"/>
          <w:szCs w:val="28"/>
        </w:rPr>
        <w:t xml:space="preserve">his is not a reasonable explanation, nor does it constitute a valid basis to rely upon </w:t>
      </w:r>
      <w:r w:rsidRPr="00DA4467">
        <w:rPr>
          <w:rFonts w:ascii="Times New Roman" w:hAnsi="Times New Roman" w:cs="Times New Roman"/>
          <w:i/>
          <w:sz w:val="28"/>
          <w:szCs w:val="28"/>
        </w:rPr>
        <w:t>iustus error</w:t>
      </w:r>
      <w:r w:rsidRPr="00DA4467">
        <w:rPr>
          <w:rFonts w:ascii="Times New Roman" w:hAnsi="Times New Roman" w:cs="Times New Roman"/>
          <w:sz w:val="28"/>
          <w:szCs w:val="28"/>
        </w:rPr>
        <w:t>.</w:t>
      </w:r>
    </w:p>
    <w:p w:rsidR="0052281C" w:rsidRDefault="0052281C" w:rsidP="0041145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The legally recognized defences which could help a signatory to a contract avoid liability are: misrepresentation, fraud, duress and undue influence. Absent any of these, liability will follow.</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w:t>
      </w:r>
    </w:p>
    <w:p w:rsidR="00C52940" w:rsidRDefault="00D25707" w:rsidP="0041145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C52940">
        <w:rPr>
          <w:rFonts w:ascii="Times New Roman" w:hAnsi="Times New Roman" w:cs="Times New Roman"/>
          <w:sz w:val="28"/>
          <w:szCs w:val="28"/>
        </w:rPr>
        <w:t>]</w:t>
      </w:r>
      <w:r w:rsidR="00C52940">
        <w:rPr>
          <w:rFonts w:ascii="Times New Roman" w:hAnsi="Times New Roman" w:cs="Times New Roman"/>
          <w:sz w:val="28"/>
          <w:szCs w:val="28"/>
        </w:rPr>
        <w:tab/>
        <w:t>What flows from the above is that the</w:t>
      </w:r>
      <w:r w:rsidR="006F2DE6">
        <w:rPr>
          <w:rFonts w:ascii="Times New Roman" w:hAnsi="Times New Roman" w:cs="Times New Roman"/>
          <w:sz w:val="28"/>
          <w:szCs w:val="28"/>
        </w:rPr>
        <w:t xml:space="preserve"> Applicant was not able to p</w:t>
      </w:r>
      <w:r w:rsidR="00C52940">
        <w:rPr>
          <w:rFonts w:ascii="Times New Roman" w:hAnsi="Times New Roman" w:cs="Times New Roman"/>
          <w:sz w:val="28"/>
          <w:szCs w:val="28"/>
        </w:rPr>
        <w:t>re</w:t>
      </w:r>
      <w:r w:rsidR="006F2DE6">
        <w:rPr>
          <w:rFonts w:ascii="Times New Roman" w:hAnsi="Times New Roman" w:cs="Times New Roman"/>
          <w:sz w:val="28"/>
          <w:szCs w:val="28"/>
        </w:rPr>
        <w:t>sent and sustain a</w:t>
      </w:r>
      <w:r w:rsidR="00C52940">
        <w:rPr>
          <w:rFonts w:ascii="Times New Roman" w:hAnsi="Times New Roman" w:cs="Times New Roman"/>
          <w:sz w:val="28"/>
          <w:szCs w:val="28"/>
        </w:rPr>
        <w:t xml:space="preserve"> bona fide defence.</w:t>
      </w:r>
      <w:r w:rsidR="006F2DE6">
        <w:rPr>
          <w:rFonts w:ascii="Times New Roman" w:hAnsi="Times New Roman" w:cs="Times New Roman"/>
          <w:sz w:val="28"/>
          <w:szCs w:val="28"/>
        </w:rPr>
        <w:t xml:space="preserve"> What seems</w:t>
      </w:r>
      <w:r w:rsidR="00730D7F">
        <w:rPr>
          <w:rFonts w:ascii="Times New Roman" w:hAnsi="Times New Roman" w:cs="Times New Roman"/>
          <w:sz w:val="28"/>
          <w:szCs w:val="28"/>
        </w:rPr>
        <w:t xml:space="preserve"> to have spurred the Applicant on to launc</w:t>
      </w:r>
      <w:r w:rsidR="006F2DE6">
        <w:rPr>
          <w:rFonts w:ascii="Times New Roman" w:hAnsi="Times New Roman" w:cs="Times New Roman"/>
          <w:sz w:val="28"/>
          <w:szCs w:val="28"/>
        </w:rPr>
        <w:t>h this application is when the S</w:t>
      </w:r>
      <w:r w:rsidR="00730D7F">
        <w:rPr>
          <w:rFonts w:ascii="Times New Roman" w:hAnsi="Times New Roman" w:cs="Times New Roman"/>
          <w:sz w:val="28"/>
          <w:szCs w:val="28"/>
        </w:rPr>
        <w:t xml:space="preserve">heriff came knocking to attach his </w:t>
      </w:r>
      <w:r w:rsidR="00000D59">
        <w:rPr>
          <w:rFonts w:ascii="Times New Roman" w:hAnsi="Times New Roman" w:cs="Times New Roman"/>
          <w:sz w:val="28"/>
          <w:szCs w:val="28"/>
        </w:rPr>
        <w:t>assets</w:t>
      </w:r>
      <w:r w:rsidR="00730D7F">
        <w:rPr>
          <w:rFonts w:ascii="Times New Roman" w:hAnsi="Times New Roman" w:cs="Times New Roman"/>
          <w:sz w:val="28"/>
          <w:szCs w:val="28"/>
        </w:rPr>
        <w:t xml:space="preserve">. </w:t>
      </w:r>
    </w:p>
    <w:p w:rsidR="00730D7F" w:rsidRDefault="00730D7F" w:rsidP="0041145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D25707">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S</w:t>
      </w:r>
      <w:r w:rsidR="00000D59">
        <w:rPr>
          <w:rFonts w:ascii="Times New Roman" w:hAnsi="Times New Roman" w:cs="Times New Roman"/>
          <w:sz w:val="28"/>
          <w:szCs w:val="28"/>
        </w:rPr>
        <w:t>imilarly i</w:t>
      </w:r>
      <w:r>
        <w:rPr>
          <w:rFonts w:ascii="Times New Roman" w:hAnsi="Times New Roman" w:cs="Times New Roman"/>
          <w:sz w:val="28"/>
          <w:szCs w:val="28"/>
        </w:rPr>
        <w:t xml:space="preserve">n </w:t>
      </w:r>
      <w:r w:rsidRPr="00000D59">
        <w:rPr>
          <w:rFonts w:ascii="Times New Roman" w:hAnsi="Times New Roman" w:cs="Times New Roman"/>
          <w:i/>
          <w:sz w:val="28"/>
          <w:szCs w:val="28"/>
        </w:rPr>
        <w:t>Rieks Towing (Pty) Ltd v Nienaber</w:t>
      </w:r>
      <w:r w:rsidR="00D509F6">
        <w:rPr>
          <w:rStyle w:val="FootnoteReference"/>
          <w:rFonts w:ascii="Times New Roman" w:hAnsi="Times New Roman" w:cs="Times New Roman"/>
          <w:i/>
          <w:sz w:val="28"/>
          <w:szCs w:val="28"/>
        </w:rPr>
        <w:footnoteReference w:id="4"/>
      </w:r>
      <w:r>
        <w:rPr>
          <w:rFonts w:ascii="Times New Roman" w:hAnsi="Times New Roman" w:cs="Times New Roman"/>
          <w:sz w:val="28"/>
          <w:szCs w:val="28"/>
        </w:rPr>
        <w:t xml:space="preserve">, </w:t>
      </w:r>
      <w:r w:rsidR="00000D59">
        <w:rPr>
          <w:rFonts w:ascii="Times New Roman" w:hAnsi="Times New Roman" w:cs="Times New Roman"/>
          <w:sz w:val="28"/>
          <w:szCs w:val="28"/>
        </w:rPr>
        <w:t>a</w:t>
      </w:r>
      <w:r w:rsidRPr="00730D7F">
        <w:rPr>
          <w:rFonts w:ascii="Times New Roman" w:hAnsi="Times New Roman" w:cs="Times New Roman"/>
          <w:sz w:val="28"/>
          <w:szCs w:val="28"/>
        </w:rPr>
        <w:t xml:space="preserve">fter the </w:t>
      </w:r>
      <w:r w:rsidR="00000D59">
        <w:rPr>
          <w:rFonts w:ascii="Times New Roman" w:hAnsi="Times New Roman" w:cs="Times New Roman"/>
          <w:sz w:val="28"/>
          <w:szCs w:val="28"/>
        </w:rPr>
        <w:t>j</w:t>
      </w:r>
      <w:r w:rsidRPr="00730D7F">
        <w:rPr>
          <w:rFonts w:ascii="Times New Roman" w:hAnsi="Times New Roman" w:cs="Times New Roman"/>
          <w:sz w:val="28"/>
          <w:szCs w:val="28"/>
        </w:rPr>
        <w:t>udgment was</w:t>
      </w:r>
      <w:r w:rsidR="00000D59">
        <w:rPr>
          <w:rFonts w:ascii="Times New Roman" w:hAnsi="Times New Roman" w:cs="Times New Roman"/>
          <w:sz w:val="28"/>
          <w:szCs w:val="28"/>
        </w:rPr>
        <w:t xml:space="preserve"> obtained against the </w:t>
      </w:r>
      <w:r w:rsidRPr="00730D7F">
        <w:rPr>
          <w:rFonts w:ascii="Times New Roman" w:hAnsi="Times New Roman" w:cs="Times New Roman"/>
          <w:sz w:val="28"/>
          <w:szCs w:val="28"/>
        </w:rPr>
        <w:t>Respondents, it took them eight (8) months to bring an Application for rescission of judgment</w:t>
      </w:r>
      <w:r w:rsidR="00000D59">
        <w:rPr>
          <w:rFonts w:ascii="Times New Roman" w:hAnsi="Times New Roman" w:cs="Times New Roman"/>
          <w:sz w:val="28"/>
          <w:szCs w:val="28"/>
        </w:rPr>
        <w:t>. T</w:t>
      </w:r>
      <w:r w:rsidR="00D509F6">
        <w:rPr>
          <w:rFonts w:ascii="Times New Roman" w:hAnsi="Times New Roman" w:cs="Times New Roman"/>
          <w:sz w:val="28"/>
          <w:szCs w:val="28"/>
        </w:rPr>
        <w:t>his</w:t>
      </w:r>
      <w:r w:rsidRPr="00730D7F">
        <w:rPr>
          <w:rFonts w:ascii="Times New Roman" w:hAnsi="Times New Roman" w:cs="Times New Roman"/>
          <w:sz w:val="28"/>
          <w:szCs w:val="28"/>
        </w:rPr>
        <w:t xml:space="preserve"> was after the Sheriff attended to their property to remove attached assets.</w:t>
      </w:r>
      <w:r w:rsidR="00BB2F1B">
        <w:rPr>
          <w:rFonts w:ascii="Times New Roman" w:hAnsi="Times New Roman" w:cs="Times New Roman"/>
          <w:sz w:val="28"/>
          <w:szCs w:val="28"/>
        </w:rPr>
        <w:t xml:space="preserve"> In the Rieks Towing matter the application for rescission was successful, the Applicants having </w:t>
      </w:r>
      <w:r w:rsidR="00843A6F">
        <w:rPr>
          <w:rFonts w:ascii="Times New Roman" w:hAnsi="Times New Roman" w:cs="Times New Roman"/>
          <w:sz w:val="28"/>
          <w:szCs w:val="28"/>
        </w:rPr>
        <w:t>proffered</w:t>
      </w:r>
      <w:r w:rsidR="00BB2F1B">
        <w:rPr>
          <w:rFonts w:ascii="Times New Roman" w:hAnsi="Times New Roman" w:cs="Times New Roman"/>
          <w:sz w:val="28"/>
          <w:szCs w:val="28"/>
        </w:rPr>
        <w:t xml:space="preserve"> a defence which was found by the court to be valid.</w:t>
      </w:r>
    </w:p>
    <w:p w:rsidR="00D403C4" w:rsidRDefault="003727CA" w:rsidP="0041145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D25707">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I reiterate the fact that in casu the Applicant</w:t>
      </w:r>
      <w:r w:rsidR="0091025A">
        <w:rPr>
          <w:rFonts w:ascii="Times New Roman" w:hAnsi="Times New Roman" w:cs="Times New Roman"/>
          <w:sz w:val="28"/>
          <w:szCs w:val="28"/>
        </w:rPr>
        <w:t>’s evidence as presented,</w:t>
      </w:r>
      <w:r>
        <w:rPr>
          <w:rFonts w:ascii="Times New Roman" w:hAnsi="Times New Roman" w:cs="Times New Roman"/>
          <w:sz w:val="28"/>
          <w:szCs w:val="28"/>
        </w:rPr>
        <w:t xml:space="preserve"> did not persuade me that he has a bona fide defence with good prospects of success.</w:t>
      </w:r>
    </w:p>
    <w:p w:rsidR="000E0E66" w:rsidRDefault="000E0E66" w:rsidP="00411458">
      <w:pPr>
        <w:spacing w:line="360" w:lineRule="auto"/>
        <w:ind w:left="720" w:hanging="720"/>
        <w:jc w:val="both"/>
        <w:rPr>
          <w:rFonts w:ascii="Times New Roman" w:hAnsi="Times New Roman" w:cs="Times New Roman"/>
          <w:sz w:val="28"/>
          <w:szCs w:val="28"/>
        </w:rPr>
      </w:pPr>
    </w:p>
    <w:p w:rsidR="000E0E66" w:rsidRPr="0019579D" w:rsidRDefault="000E0E66" w:rsidP="00411458">
      <w:pPr>
        <w:spacing w:line="360" w:lineRule="auto"/>
        <w:ind w:left="720" w:hanging="720"/>
        <w:jc w:val="both"/>
        <w:rPr>
          <w:rFonts w:ascii="Times New Roman" w:hAnsi="Times New Roman" w:cs="Times New Roman"/>
          <w:sz w:val="28"/>
          <w:szCs w:val="28"/>
        </w:rPr>
      </w:pPr>
    </w:p>
    <w:p w:rsidR="00B7116B" w:rsidRPr="0019579D" w:rsidRDefault="003A1A4B" w:rsidP="00411458">
      <w:pPr>
        <w:spacing w:line="360" w:lineRule="auto"/>
        <w:ind w:left="720" w:hanging="720"/>
        <w:jc w:val="both"/>
        <w:rPr>
          <w:rFonts w:ascii="Times New Roman" w:hAnsi="Times New Roman" w:cs="Times New Roman"/>
          <w:sz w:val="28"/>
          <w:szCs w:val="28"/>
        </w:rPr>
      </w:pPr>
      <w:r w:rsidRPr="0019579D">
        <w:rPr>
          <w:rFonts w:ascii="Times New Roman" w:hAnsi="Times New Roman" w:cs="Times New Roman"/>
          <w:sz w:val="28"/>
          <w:szCs w:val="28"/>
        </w:rPr>
        <w:lastRenderedPageBreak/>
        <w:t>[</w:t>
      </w:r>
      <w:r w:rsidR="00D25707">
        <w:rPr>
          <w:rFonts w:ascii="Times New Roman" w:hAnsi="Times New Roman" w:cs="Times New Roman"/>
          <w:sz w:val="28"/>
          <w:szCs w:val="28"/>
        </w:rPr>
        <w:t>20</w:t>
      </w:r>
      <w:r w:rsidRPr="0019579D">
        <w:rPr>
          <w:rFonts w:ascii="Times New Roman" w:hAnsi="Times New Roman" w:cs="Times New Roman"/>
          <w:sz w:val="28"/>
          <w:szCs w:val="28"/>
        </w:rPr>
        <w:t>]</w:t>
      </w:r>
      <w:r w:rsidRPr="0019579D">
        <w:rPr>
          <w:rFonts w:ascii="Times New Roman" w:hAnsi="Times New Roman" w:cs="Times New Roman"/>
          <w:sz w:val="28"/>
          <w:szCs w:val="28"/>
        </w:rPr>
        <w:tab/>
      </w:r>
      <w:r w:rsidR="00E075AE" w:rsidRPr="0019579D">
        <w:rPr>
          <w:rFonts w:ascii="Times New Roman" w:hAnsi="Times New Roman" w:cs="Times New Roman"/>
          <w:sz w:val="28"/>
          <w:szCs w:val="28"/>
        </w:rPr>
        <w:t>I according</w:t>
      </w:r>
      <w:r w:rsidR="00010855" w:rsidRPr="0019579D">
        <w:rPr>
          <w:rFonts w:ascii="Times New Roman" w:hAnsi="Times New Roman" w:cs="Times New Roman"/>
          <w:sz w:val="28"/>
          <w:szCs w:val="28"/>
        </w:rPr>
        <w:t>ly</w:t>
      </w:r>
      <w:r w:rsidR="00B7116B" w:rsidRPr="0019579D">
        <w:rPr>
          <w:rFonts w:ascii="Times New Roman" w:hAnsi="Times New Roman" w:cs="Times New Roman"/>
          <w:sz w:val="28"/>
          <w:szCs w:val="28"/>
        </w:rPr>
        <w:t xml:space="preserve"> </w:t>
      </w:r>
      <w:r w:rsidR="003A5C46">
        <w:rPr>
          <w:rFonts w:ascii="Times New Roman" w:hAnsi="Times New Roman" w:cs="Times New Roman"/>
          <w:sz w:val="28"/>
          <w:szCs w:val="28"/>
        </w:rPr>
        <w:t>make the following order:</w:t>
      </w:r>
    </w:p>
    <w:p w:rsidR="00010855" w:rsidRPr="0019579D" w:rsidRDefault="00B7116B" w:rsidP="00411458">
      <w:pPr>
        <w:spacing w:line="360" w:lineRule="auto"/>
        <w:ind w:left="720"/>
        <w:jc w:val="both"/>
        <w:rPr>
          <w:rFonts w:ascii="Times New Roman" w:eastAsia="Calibri" w:hAnsi="Times New Roman" w:cs="Times New Roman"/>
          <w:b/>
          <w:sz w:val="28"/>
          <w:szCs w:val="28"/>
        </w:rPr>
      </w:pPr>
      <w:r w:rsidRPr="0019579D">
        <w:rPr>
          <w:rFonts w:ascii="Times New Roman" w:hAnsi="Times New Roman" w:cs="Times New Roman"/>
          <w:sz w:val="28"/>
          <w:szCs w:val="28"/>
        </w:rPr>
        <w:t>T</w:t>
      </w:r>
      <w:r w:rsidR="00E075AE" w:rsidRPr="0019579D">
        <w:rPr>
          <w:rFonts w:ascii="Times New Roman" w:hAnsi="Times New Roman" w:cs="Times New Roman"/>
          <w:sz w:val="28"/>
          <w:szCs w:val="28"/>
        </w:rPr>
        <w:t>he appl</w:t>
      </w:r>
      <w:r w:rsidR="00AB58AA" w:rsidRPr="0019579D">
        <w:rPr>
          <w:rFonts w:ascii="Times New Roman" w:hAnsi="Times New Roman" w:cs="Times New Roman"/>
          <w:sz w:val="28"/>
          <w:szCs w:val="28"/>
        </w:rPr>
        <w:t xml:space="preserve">ication </w:t>
      </w:r>
      <w:r w:rsidRPr="0019579D">
        <w:rPr>
          <w:rFonts w:ascii="Times New Roman" w:hAnsi="Times New Roman" w:cs="Times New Roman"/>
          <w:sz w:val="28"/>
          <w:szCs w:val="28"/>
        </w:rPr>
        <w:t>is</w:t>
      </w:r>
      <w:r w:rsidR="00E075AE" w:rsidRPr="0019579D">
        <w:rPr>
          <w:rFonts w:ascii="Times New Roman" w:hAnsi="Times New Roman" w:cs="Times New Roman"/>
          <w:sz w:val="28"/>
          <w:szCs w:val="28"/>
        </w:rPr>
        <w:t xml:space="preserve"> dismissed</w:t>
      </w:r>
      <w:r w:rsidR="00AB58AA" w:rsidRPr="0019579D">
        <w:rPr>
          <w:rFonts w:ascii="Times New Roman" w:hAnsi="Times New Roman" w:cs="Times New Roman"/>
          <w:sz w:val="28"/>
          <w:szCs w:val="28"/>
        </w:rPr>
        <w:t xml:space="preserve"> with costs.</w:t>
      </w:r>
    </w:p>
    <w:p w:rsidR="00010855" w:rsidRPr="0019579D" w:rsidRDefault="00010855" w:rsidP="00411458">
      <w:pPr>
        <w:spacing w:line="240" w:lineRule="auto"/>
        <w:jc w:val="both"/>
        <w:rPr>
          <w:rFonts w:ascii="Times New Roman" w:eastAsia="Calibri" w:hAnsi="Times New Roman" w:cs="Times New Roman"/>
          <w:b/>
          <w:sz w:val="28"/>
          <w:szCs w:val="28"/>
        </w:rPr>
      </w:pPr>
    </w:p>
    <w:p w:rsidR="000E0E66" w:rsidRPr="000E0E66" w:rsidRDefault="000E0E66" w:rsidP="000E0E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163B1">
        <w:rPr>
          <w:rFonts w:ascii="Times New Roman" w:eastAsia="Calibri" w:hAnsi="Times New Roman" w:cs="Times New Roman"/>
          <w:b/>
          <w:sz w:val="28"/>
          <w:szCs w:val="28"/>
        </w:rPr>
        <w:t xml:space="preserve">                             </w:t>
      </w:r>
      <w:bookmarkStart w:id="0" w:name="_GoBack"/>
      <w:bookmarkEnd w:id="0"/>
      <w:r>
        <w:rPr>
          <w:rFonts w:ascii="Times New Roman" w:eastAsia="Calibri" w:hAnsi="Times New Roman" w:cs="Times New Roman"/>
          <w:b/>
          <w:sz w:val="28"/>
          <w:szCs w:val="28"/>
        </w:rPr>
        <w:t xml:space="preserve"> </w:t>
      </w:r>
      <w:r w:rsidRPr="000E0E66">
        <w:rPr>
          <w:rFonts w:ascii="Times New Roman" w:eastAsia="Calibri" w:hAnsi="Times New Roman" w:cs="Times New Roman"/>
          <w:b/>
          <w:sz w:val="28"/>
          <w:szCs w:val="28"/>
        </w:rPr>
        <w:t>__________________</w:t>
      </w:r>
    </w:p>
    <w:p w:rsidR="000E0E66" w:rsidRPr="000E0E66" w:rsidRDefault="000E0E66" w:rsidP="000E0E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163B1">
        <w:rPr>
          <w:rFonts w:ascii="Times New Roman" w:eastAsia="Calibri" w:hAnsi="Times New Roman" w:cs="Times New Roman"/>
          <w:b/>
          <w:sz w:val="28"/>
          <w:szCs w:val="28"/>
        </w:rPr>
        <w:t xml:space="preserve">                            </w:t>
      </w:r>
      <w:r w:rsidRPr="000E0E66">
        <w:rPr>
          <w:rFonts w:ascii="Times New Roman" w:eastAsia="Calibri" w:hAnsi="Times New Roman" w:cs="Times New Roman"/>
          <w:b/>
          <w:sz w:val="28"/>
          <w:szCs w:val="28"/>
        </w:rPr>
        <w:t>J.S. NYATHI</w:t>
      </w:r>
    </w:p>
    <w:p w:rsidR="000E0E66" w:rsidRPr="000E0E66" w:rsidRDefault="000E0E66" w:rsidP="000E0E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E0E66">
        <w:rPr>
          <w:rFonts w:ascii="Times New Roman" w:eastAsia="Calibri" w:hAnsi="Times New Roman" w:cs="Times New Roman"/>
          <w:b/>
          <w:sz w:val="28"/>
          <w:szCs w:val="28"/>
        </w:rPr>
        <w:t>JUDGE OF THE HIGH COURT</w:t>
      </w:r>
    </w:p>
    <w:p w:rsidR="000E0E66" w:rsidRPr="000E0E66" w:rsidRDefault="000E0E66" w:rsidP="000E0E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E0E66">
        <w:rPr>
          <w:rFonts w:ascii="Times New Roman" w:eastAsia="Calibri" w:hAnsi="Times New Roman" w:cs="Times New Roman"/>
          <w:b/>
          <w:sz w:val="28"/>
          <w:szCs w:val="28"/>
        </w:rPr>
        <w:t>GAUTENG DIVISION</w:t>
      </w:r>
    </w:p>
    <w:p w:rsidR="00807AE3" w:rsidRPr="0019579D" w:rsidRDefault="000E0E66" w:rsidP="000E0E66">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E0E66">
        <w:rPr>
          <w:rFonts w:ascii="Times New Roman" w:eastAsia="Calibri" w:hAnsi="Times New Roman" w:cs="Times New Roman"/>
          <w:b/>
          <w:sz w:val="28"/>
          <w:szCs w:val="28"/>
        </w:rPr>
        <w:t>PRETORIA</w:t>
      </w:r>
    </w:p>
    <w:p w:rsidR="00B7116B" w:rsidRPr="0019579D" w:rsidRDefault="00B7116B" w:rsidP="00411458">
      <w:pPr>
        <w:spacing w:line="240" w:lineRule="auto"/>
        <w:jc w:val="both"/>
        <w:rPr>
          <w:rFonts w:ascii="Times New Roman" w:eastAsia="Calibri" w:hAnsi="Times New Roman" w:cs="Times New Roman"/>
          <w:b/>
          <w:sz w:val="28"/>
          <w:szCs w:val="28"/>
        </w:rPr>
      </w:pPr>
    </w:p>
    <w:p w:rsidR="00B7116B" w:rsidRPr="0019579D" w:rsidRDefault="00B7116B" w:rsidP="00411458">
      <w:pPr>
        <w:spacing w:line="240" w:lineRule="auto"/>
        <w:jc w:val="both"/>
        <w:rPr>
          <w:rFonts w:ascii="Times New Roman" w:eastAsia="Calibri" w:hAnsi="Times New Roman" w:cs="Times New Roman"/>
          <w:b/>
          <w:sz w:val="28"/>
          <w:szCs w:val="28"/>
        </w:rPr>
      </w:pPr>
    </w:p>
    <w:p w:rsidR="0055111C" w:rsidRPr="0019579D" w:rsidRDefault="0055111C"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 xml:space="preserve">CASE NUMBER:  </w:t>
      </w:r>
      <w:r w:rsidR="00115FC0" w:rsidRPr="0019579D">
        <w:rPr>
          <w:rFonts w:ascii="Times New Roman" w:eastAsia="Calibri" w:hAnsi="Times New Roman" w:cs="Times New Roman"/>
          <w:sz w:val="28"/>
          <w:szCs w:val="28"/>
        </w:rPr>
        <w:t>66890</w:t>
      </w:r>
      <w:r w:rsidRPr="0019579D">
        <w:rPr>
          <w:rFonts w:ascii="Times New Roman" w:eastAsia="Calibri" w:hAnsi="Times New Roman" w:cs="Times New Roman"/>
          <w:sz w:val="28"/>
          <w:szCs w:val="28"/>
        </w:rPr>
        <w:t>/201</w:t>
      </w:r>
      <w:r w:rsidR="00115FC0" w:rsidRPr="0019579D">
        <w:rPr>
          <w:rFonts w:ascii="Times New Roman" w:eastAsia="Calibri" w:hAnsi="Times New Roman" w:cs="Times New Roman"/>
          <w:sz w:val="28"/>
          <w:szCs w:val="28"/>
        </w:rPr>
        <w:t>0</w:t>
      </w:r>
    </w:p>
    <w:p w:rsidR="0055111C" w:rsidRDefault="0055111C"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HEARD ON:   1</w:t>
      </w:r>
      <w:r w:rsidR="00115FC0" w:rsidRPr="0019579D">
        <w:rPr>
          <w:rFonts w:ascii="Times New Roman" w:eastAsia="Calibri" w:hAnsi="Times New Roman" w:cs="Times New Roman"/>
          <w:sz w:val="28"/>
          <w:szCs w:val="28"/>
        </w:rPr>
        <w:t>5</w:t>
      </w:r>
      <w:r w:rsidRPr="0019579D">
        <w:rPr>
          <w:rFonts w:ascii="Times New Roman" w:eastAsia="Calibri" w:hAnsi="Times New Roman" w:cs="Times New Roman"/>
          <w:sz w:val="28"/>
          <w:szCs w:val="28"/>
        </w:rPr>
        <w:t xml:space="preserve"> </w:t>
      </w:r>
      <w:r w:rsidR="00115FC0" w:rsidRPr="0019579D">
        <w:rPr>
          <w:rFonts w:ascii="Times New Roman" w:eastAsia="Calibri" w:hAnsi="Times New Roman" w:cs="Times New Roman"/>
          <w:sz w:val="28"/>
          <w:szCs w:val="28"/>
        </w:rPr>
        <w:t>March</w:t>
      </w:r>
      <w:r w:rsidRPr="0019579D">
        <w:rPr>
          <w:rFonts w:ascii="Times New Roman" w:eastAsia="Calibri" w:hAnsi="Times New Roman" w:cs="Times New Roman"/>
          <w:sz w:val="28"/>
          <w:szCs w:val="28"/>
        </w:rPr>
        <w:t xml:space="preserve"> 2022</w:t>
      </w:r>
    </w:p>
    <w:p w:rsidR="000E0E66" w:rsidRPr="0019579D" w:rsidRDefault="000E0E66" w:rsidP="00411458">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DATE OF JUDGMENT: 12 July 2022</w:t>
      </w:r>
    </w:p>
    <w:p w:rsidR="0055111C" w:rsidRPr="0019579D" w:rsidRDefault="0055111C" w:rsidP="00411458">
      <w:pPr>
        <w:spacing w:line="240" w:lineRule="auto"/>
        <w:jc w:val="both"/>
        <w:rPr>
          <w:rFonts w:ascii="Times New Roman" w:eastAsia="Calibri" w:hAnsi="Times New Roman" w:cs="Times New Roman"/>
          <w:sz w:val="28"/>
          <w:szCs w:val="28"/>
        </w:rPr>
      </w:pPr>
    </w:p>
    <w:p w:rsidR="0055111C" w:rsidRPr="0019579D" w:rsidRDefault="00C63F27"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 xml:space="preserve">FOR THE </w:t>
      </w:r>
      <w:r w:rsidR="00C1736F" w:rsidRPr="0019579D">
        <w:rPr>
          <w:rFonts w:ascii="Times New Roman" w:eastAsia="Calibri" w:hAnsi="Times New Roman" w:cs="Times New Roman"/>
          <w:sz w:val="28"/>
          <w:szCs w:val="28"/>
        </w:rPr>
        <w:t>APP</w:t>
      </w:r>
      <w:r w:rsidR="0055111C" w:rsidRPr="0019579D">
        <w:rPr>
          <w:rFonts w:ascii="Times New Roman" w:eastAsia="Calibri" w:hAnsi="Times New Roman" w:cs="Times New Roman"/>
          <w:sz w:val="28"/>
          <w:szCs w:val="28"/>
        </w:rPr>
        <w:t>L</w:t>
      </w:r>
      <w:r w:rsidR="00C1736F" w:rsidRPr="0019579D">
        <w:rPr>
          <w:rFonts w:ascii="Times New Roman" w:eastAsia="Calibri" w:hAnsi="Times New Roman" w:cs="Times New Roman"/>
          <w:sz w:val="28"/>
          <w:szCs w:val="28"/>
        </w:rPr>
        <w:t>IC</w:t>
      </w:r>
      <w:r w:rsidR="0055111C" w:rsidRPr="0019579D">
        <w:rPr>
          <w:rFonts w:ascii="Times New Roman" w:eastAsia="Calibri" w:hAnsi="Times New Roman" w:cs="Times New Roman"/>
          <w:sz w:val="28"/>
          <w:szCs w:val="28"/>
        </w:rPr>
        <w:t xml:space="preserve">ANT: </w:t>
      </w:r>
      <w:r w:rsidR="00115FC0" w:rsidRPr="0019579D">
        <w:rPr>
          <w:rFonts w:ascii="Times New Roman" w:eastAsia="Calibri" w:hAnsi="Times New Roman" w:cs="Times New Roman"/>
          <w:sz w:val="28"/>
          <w:szCs w:val="28"/>
        </w:rPr>
        <w:t>Adv. K.A.R Thobakgale</w:t>
      </w:r>
    </w:p>
    <w:p w:rsidR="00C1736F" w:rsidRPr="0019579D" w:rsidRDefault="00C1736F"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Applicant’s attorneys: Barter Mckellar</w:t>
      </w:r>
    </w:p>
    <w:p w:rsidR="00C1736F" w:rsidRPr="0019579D" w:rsidRDefault="00C1736F"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 xml:space="preserve">e-mail: </w:t>
      </w:r>
      <w:hyperlink r:id="rId9" w:history="1">
        <w:r w:rsidRPr="0019579D">
          <w:rPr>
            <w:rStyle w:val="Hyperlink"/>
            <w:rFonts w:ascii="Times New Roman" w:eastAsia="Calibri" w:hAnsi="Times New Roman" w:cs="Times New Roman"/>
            <w:sz w:val="28"/>
            <w:szCs w:val="28"/>
          </w:rPr>
          <w:t>caleb@bartermckellarlaw.law</w:t>
        </w:r>
      </w:hyperlink>
    </w:p>
    <w:p w:rsidR="00C1736F" w:rsidRPr="0019579D" w:rsidRDefault="00C1736F"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C/O Tim Du Toit &amp; Co.: Pretoria.</w:t>
      </w:r>
    </w:p>
    <w:p w:rsidR="00C1736F" w:rsidRPr="0019579D" w:rsidRDefault="00C1736F"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 xml:space="preserve">e-mail: </w:t>
      </w:r>
      <w:hyperlink r:id="rId10" w:history="1">
        <w:r w:rsidRPr="0019579D">
          <w:rPr>
            <w:rStyle w:val="Hyperlink"/>
            <w:rFonts w:ascii="Times New Roman" w:eastAsia="Calibri" w:hAnsi="Times New Roman" w:cs="Times New Roman"/>
            <w:sz w:val="28"/>
            <w:szCs w:val="28"/>
          </w:rPr>
          <w:t>Ksoffberg@timdutoit.co.za</w:t>
        </w:r>
      </w:hyperlink>
    </w:p>
    <w:p w:rsidR="0055111C" w:rsidRPr="0019579D" w:rsidRDefault="0055111C" w:rsidP="00411458">
      <w:pPr>
        <w:spacing w:line="240" w:lineRule="auto"/>
        <w:jc w:val="both"/>
        <w:rPr>
          <w:rFonts w:ascii="Times New Roman" w:eastAsia="Calibri" w:hAnsi="Times New Roman" w:cs="Times New Roman"/>
          <w:sz w:val="28"/>
          <w:szCs w:val="28"/>
        </w:rPr>
      </w:pPr>
    </w:p>
    <w:p w:rsidR="0055111C" w:rsidRPr="0019579D" w:rsidRDefault="0055111C"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FOR THE RESPONDENT:  A</w:t>
      </w:r>
      <w:r w:rsidR="00115FC0" w:rsidRPr="0019579D">
        <w:rPr>
          <w:rFonts w:ascii="Times New Roman" w:eastAsia="Calibri" w:hAnsi="Times New Roman" w:cs="Times New Roman"/>
          <w:sz w:val="28"/>
          <w:szCs w:val="28"/>
        </w:rPr>
        <w:t>dv.</w:t>
      </w:r>
      <w:r w:rsidRPr="0019579D">
        <w:rPr>
          <w:rFonts w:ascii="Times New Roman" w:eastAsia="Calibri" w:hAnsi="Times New Roman" w:cs="Times New Roman"/>
          <w:sz w:val="28"/>
          <w:szCs w:val="28"/>
        </w:rPr>
        <w:t xml:space="preserve"> </w:t>
      </w:r>
      <w:r w:rsidR="00115FC0" w:rsidRPr="0019579D">
        <w:rPr>
          <w:rFonts w:ascii="Times New Roman" w:eastAsia="Calibri" w:hAnsi="Times New Roman" w:cs="Times New Roman"/>
          <w:sz w:val="28"/>
          <w:szCs w:val="28"/>
        </w:rPr>
        <w:t>B. Brammer</w:t>
      </w:r>
    </w:p>
    <w:p w:rsidR="00B7116B" w:rsidRPr="0019579D" w:rsidRDefault="00C1736F"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Respondent’s attorneys: Victor &amp; Partners</w:t>
      </w:r>
    </w:p>
    <w:p w:rsidR="00C1736F" w:rsidRPr="0019579D" w:rsidRDefault="00C1736F"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Constantia Kloof</w:t>
      </w:r>
    </w:p>
    <w:p w:rsidR="00C1736F" w:rsidRPr="0019579D" w:rsidRDefault="00C1736F" w:rsidP="00411458">
      <w:pPr>
        <w:spacing w:line="240" w:lineRule="auto"/>
        <w:jc w:val="both"/>
        <w:rPr>
          <w:rFonts w:ascii="Times New Roman" w:eastAsia="Calibri" w:hAnsi="Times New Roman" w:cs="Times New Roman"/>
          <w:sz w:val="28"/>
          <w:szCs w:val="28"/>
        </w:rPr>
      </w:pPr>
      <w:r w:rsidRPr="0019579D">
        <w:rPr>
          <w:rFonts w:ascii="Times New Roman" w:eastAsia="Calibri" w:hAnsi="Times New Roman" w:cs="Times New Roman"/>
          <w:sz w:val="28"/>
          <w:szCs w:val="28"/>
        </w:rPr>
        <w:t xml:space="preserve">e-mail: </w:t>
      </w:r>
      <w:hyperlink r:id="rId11" w:history="1">
        <w:r w:rsidRPr="0019579D">
          <w:rPr>
            <w:rStyle w:val="Hyperlink"/>
            <w:rFonts w:ascii="Times New Roman" w:eastAsia="Calibri" w:hAnsi="Times New Roman" w:cs="Times New Roman"/>
            <w:sz w:val="28"/>
            <w:szCs w:val="28"/>
          </w:rPr>
          <w:t>melissa@victorandpartners.co.za</w:t>
        </w:r>
      </w:hyperlink>
    </w:p>
    <w:sectPr w:rsidR="00C1736F" w:rsidRPr="0019579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52" w:rsidRDefault="00AE1F52" w:rsidP="00BD0B7B">
      <w:pPr>
        <w:spacing w:after="0" w:line="240" w:lineRule="auto"/>
      </w:pPr>
      <w:r>
        <w:separator/>
      </w:r>
    </w:p>
  </w:endnote>
  <w:endnote w:type="continuationSeparator" w:id="0">
    <w:p w:rsidR="00AE1F52" w:rsidRDefault="00AE1F52" w:rsidP="00B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52" w:rsidRDefault="00AE1F52" w:rsidP="00BD0B7B">
      <w:pPr>
        <w:spacing w:after="0" w:line="240" w:lineRule="auto"/>
      </w:pPr>
      <w:r>
        <w:separator/>
      </w:r>
    </w:p>
  </w:footnote>
  <w:footnote w:type="continuationSeparator" w:id="0">
    <w:p w:rsidR="00AE1F52" w:rsidRDefault="00AE1F52" w:rsidP="00BD0B7B">
      <w:pPr>
        <w:spacing w:after="0" w:line="240" w:lineRule="auto"/>
      </w:pPr>
      <w:r>
        <w:continuationSeparator/>
      </w:r>
    </w:p>
  </w:footnote>
  <w:footnote w:id="1">
    <w:p w:rsidR="003557E8" w:rsidRPr="003557E8" w:rsidRDefault="003557E8">
      <w:pPr>
        <w:pStyle w:val="FootnoteText"/>
        <w:rPr>
          <w:lang w:val="en-US"/>
        </w:rPr>
      </w:pPr>
      <w:r>
        <w:rPr>
          <w:rStyle w:val="FootnoteReference"/>
        </w:rPr>
        <w:footnoteRef/>
      </w:r>
      <w:r>
        <w:t xml:space="preserve"> Section 15 (2) (h) of </w:t>
      </w:r>
      <w:r>
        <w:rPr>
          <w:lang w:val="en-US"/>
        </w:rPr>
        <w:t>Act 88 of 1984.</w:t>
      </w:r>
    </w:p>
  </w:footnote>
  <w:footnote w:id="2">
    <w:p w:rsidR="00B85128" w:rsidRPr="00B85128" w:rsidRDefault="00B85128">
      <w:pPr>
        <w:pStyle w:val="FootnoteText"/>
        <w:rPr>
          <w:lang w:val="en-US"/>
        </w:rPr>
      </w:pPr>
      <w:r>
        <w:rPr>
          <w:rStyle w:val="FootnoteReference"/>
        </w:rPr>
        <w:footnoteRef/>
      </w:r>
      <w:r>
        <w:t xml:space="preserve"> </w:t>
      </w:r>
      <w:r>
        <w:rPr>
          <w:lang w:val="en-US"/>
        </w:rPr>
        <w:t xml:space="preserve">Excerpt from Rieks Towing (Pty) Ltd &amp; Another v Nienaber &amp; Another ZAGPJHC/2020/437 (Case No. 8553/2019) </w:t>
      </w:r>
      <w:r w:rsidR="00F5168F">
        <w:rPr>
          <w:lang w:val="en-US"/>
        </w:rPr>
        <w:t xml:space="preserve">at Paragraph 19 </w:t>
      </w:r>
      <w:r w:rsidR="00C62865">
        <w:rPr>
          <w:lang w:val="en-US"/>
        </w:rPr>
        <w:t>per Vukeya AJ (as she then was).</w:t>
      </w:r>
    </w:p>
  </w:footnote>
  <w:footnote w:id="3">
    <w:p w:rsidR="0052281C" w:rsidRPr="0052281C" w:rsidRDefault="0052281C">
      <w:pPr>
        <w:pStyle w:val="FootnoteText"/>
        <w:rPr>
          <w:lang w:val="en-US"/>
        </w:rPr>
      </w:pPr>
      <w:r>
        <w:rPr>
          <w:rStyle w:val="FootnoteReference"/>
        </w:rPr>
        <w:footnoteRef/>
      </w:r>
      <w:r>
        <w:t xml:space="preserve"> The Law of Contract – RH Christie (5</w:t>
      </w:r>
      <w:r w:rsidRPr="0052281C">
        <w:rPr>
          <w:vertAlign w:val="superscript"/>
        </w:rPr>
        <w:t>th</w:t>
      </w:r>
      <w:r>
        <w:t xml:space="preserve"> Edition) </w:t>
      </w:r>
      <w:r>
        <w:rPr>
          <w:lang w:val="en-US"/>
        </w:rPr>
        <w:t xml:space="preserve">Chapters 7, 8 and 9 </w:t>
      </w:r>
    </w:p>
  </w:footnote>
  <w:footnote w:id="4">
    <w:p w:rsidR="00D509F6" w:rsidRPr="00D509F6" w:rsidRDefault="00D509F6" w:rsidP="00D509F6">
      <w:pPr>
        <w:pStyle w:val="FootnoteText"/>
        <w:rPr>
          <w:lang w:val="en-US"/>
        </w:rPr>
      </w:pPr>
      <w:r>
        <w:rPr>
          <w:rStyle w:val="FootnoteReference"/>
        </w:rPr>
        <w:footnoteRef/>
      </w:r>
      <w:r>
        <w:t xml:space="preserve"> </w:t>
      </w:r>
      <w:r w:rsidRPr="00D509F6">
        <w:rPr>
          <w:lang w:val="en-US"/>
        </w:rPr>
        <w:t>Rieks Towing (Pty) Ltd &amp; Another v Nienaber &amp; Another ZAGPJHC/2020/437 (Case No. 8553/2019) at Paragraph</w:t>
      </w:r>
      <w:r>
        <w:rPr>
          <w:lang w:val="en-US"/>
        </w:rPr>
        <w:t xml:space="preserve">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3E3157">
        <w:pPr>
          <w:pStyle w:val="Header"/>
          <w:jc w:val="center"/>
        </w:pPr>
        <w:r>
          <w:fldChar w:fldCharType="begin"/>
        </w:r>
        <w:r>
          <w:instrText xml:space="preserve"> PAGE   \* MERGEFORMAT </w:instrText>
        </w:r>
        <w:r>
          <w:fldChar w:fldCharType="separate"/>
        </w:r>
        <w:r w:rsidR="00B163B1">
          <w:rPr>
            <w:noProof/>
          </w:rPr>
          <w:t>8</w:t>
        </w:r>
        <w:r>
          <w:rPr>
            <w:noProof/>
          </w:rPr>
          <w:fldChar w:fldCharType="end"/>
        </w:r>
      </w:p>
    </w:sdtContent>
  </w:sdt>
  <w:p w:rsidR="00040901" w:rsidRDefault="00AE1F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E845A03"/>
    <w:multiLevelType w:val="hybridMultilevel"/>
    <w:tmpl w:val="E66AEE6C"/>
    <w:lvl w:ilvl="0" w:tplc="9434312C">
      <w:numFmt w:val="bullet"/>
      <w:lvlText w:val="-"/>
      <w:lvlJc w:val="left"/>
      <w:pPr>
        <w:ind w:left="1760" w:hanging="360"/>
      </w:pPr>
      <w:rPr>
        <w:rFonts w:ascii="Times New Roman" w:eastAsia="Calibri" w:hAnsi="Times New Roman" w:cs="Times New Roman" w:hint="default"/>
      </w:rPr>
    </w:lvl>
    <w:lvl w:ilvl="1" w:tplc="1C090003" w:tentative="1">
      <w:start w:val="1"/>
      <w:numFmt w:val="bullet"/>
      <w:lvlText w:val="o"/>
      <w:lvlJc w:val="left"/>
      <w:pPr>
        <w:ind w:left="2480" w:hanging="360"/>
      </w:pPr>
      <w:rPr>
        <w:rFonts w:ascii="Courier New" w:hAnsi="Courier New" w:cs="Courier New" w:hint="default"/>
      </w:rPr>
    </w:lvl>
    <w:lvl w:ilvl="2" w:tplc="1C090005" w:tentative="1">
      <w:start w:val="1"/>
      <w:numFmt w:val="bullet"/>
      <w:lvlText w:val=""/>
      <w:lvlJc w:val="left"/>
      <w:pPr>
        <w:ind w:left="3200" w:hanging="360"/>
      </w:pPr>
      <w:rPr>
        <w:rFonts w:ascii="Wingdings" w:hAnsi="Wingdings" w:hint="default"/>
      </w:rPr>
    </w:lvl>
    <w:lvl w:ilvl="3" w:tplc="1C090001" w:tentative="1">
      <w:start w:val="1"/>
      <w:numFmt w:val="bullet"/>
      <w:lvlText w:val=""/>
      <w:lvlJc w:val="left"/>
      <w:pPr>
        <w:ind w:left="3920" w:hanging="360"/>
      </w:pPr>
      <w:rPr>
        <w:rFonts w:ascii="Symbol" w:hAnsi="Symbol" w:hint="default"/>
      </w:rPr>
    </w:lvl>
    <w:lvl w:ilvl="4" w:tplc="1C090003" w:tentative="1">
      <w:start w:val="1"/>
      <w:numFmt w:val="bullet"/>
      <w:lvlText w:val="o"/>
      <w:lvlJc w:val="left"/>
      <w:pPr>
        <w:ind w:left="4640" w:hanging="360"/>
      </w:pPr>
      <w:rPr>
        <w:rFonts w:ascii="Courier New" w:hAnsi="Courier New" w:cs="Courier New" w:hint="default"/>
      </w:rPr>
    </w:lvl>
    <w:lvl w:ilvl="5" w:tplc="1C090005" w:tentative="1">
      <w:start w:val="1"/>
      <w:numFmt w:val="bullet"/>
      <w:lvlText w:val=""/>
      <w:lvlJc w:val="left"/>
      <w:pPr>
        <w:ind w:left="5360" w:hanging="360"/>
      </w:pPr>
      <w:rPr>
        <w:rFonts w:ascii="Wingdings" w:hAnsi="Wingdings" w:hint="default"/>
      </w:rPr>
    </w:lvl>
    <w:lvl w:ilvl="6" w:tplc="1C090001" w:tentative="1">
      <w:start w:val="1"/>
      <w:numFmt w:val="bullet"/>
      <w:lvlText w:val=""/>
      <w:lvlJc w:val="left"/>
      <w:pPr>
        <w:ind w:left="6080" w:hanging="360"/>
      </w:pPr>
      <w:rPr>
        <w:rFonts w:ascii="Symbol" w:hAnsi="Symbol" w:hint="default"/>
      </w:rPr>
    </w:lvl>
    <w:lvl w:ilvl="7" w:tplc="1C090003" w:tentative="1">
      <w:start w:val="1"/>
      <w:numFmt w:val="bullet"/>
      <w:lvlText w:val="o"/>
      <w:lvlJc w:val="left"/>
      <w:pPr>
        <w:ind w:left="6800" w:hanging="360"/>
      </w:pPr>
      <w:rPr>
        <w:rFonts w:ascii="Courier New" w:hAnsi="Courier New" w:cs="Courier New" w:hint="default"/>
      </w:rPr>
    </w:lvl>
    <w:lvl w:ilvl="8" w:tplc="1C090005" w:tentative="1">
      <w:start w:val="1"/>
      <w:numFmt w:val="bullet"/>
      <w:lvlText w:val=""/>
      <w:lvlJc w:val="left"/>
      <w:pPr>
        <w:ind w:left="7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0"/>
    <w:rsid w:val="00000D59"/>
    <w:rsid w:val="00010855"/>
    <w:rsid w:val="000405C5"/>
    <w:rsid w:val="000451B4"/>
    <w:rsid w:val="00074136"/>
    <w:rsid w:val="000B52EC"/>
    <w:rsid w:val="000C2749"/>
    <w:rsid w:val="000C6460"/>
    <w:rsid w:val="000D3259"/>
    <w:rsid w:val="000E0E66"/>
    <w:rsid w:val="00115FC0"/>
    <w:rsid w:val="001860DF"/>
    <w:rsid w:val="0019579D"/>
    <w:rsid w:val="001B1F6F"/>
    <w:rsid w:val="001B4E13"/>
    <w:rsid w:val="00224FC5"/>
    <w:rsid w:val="0024458C"/>
    <w:rsid w:val="00255D9F"/>
    <w:rsid w:val="0027562E"/>
    <w:rsid w:val="002841C8"/>
    <w:rsid w:val="00295988"/>
    <w:rsid w:val="002B29D3"/>
    <w:rsid w:val="002E19B2"/>
    <w:rsid w:val="002E4B40"/>
    <w:rsid w:val="002E7B23"/>
    <w:rsid w:val="00342B7B"/>
    <w:rsid w:val="003557E8"/>
    <w:rsid w:val="003578FE"/>
    <w:rsid w:val="003727CA"/>
    <w:rsid w:val="003A1A4B"/>
    <w:rsid w:val="003A4FB8"/>
    <w:rsid w:val="003A5C46"/>
    <w:rsid w:val="003D36DA"/>
    <w:rsid w:val="003E3157"/>
    <w:rsid w:val="003E52B5"/>
    <w:rsid w:val="00411458"/>
    <w:rsid w:val="00424B2D"/>
    <w:rsid w:val="004B1849"/>
    <w:rsid w:val="004B7F2E"/>
    <w:rsid w:val="005000C4"/>
    <w:rsid w:val="0052281C"/>
    <w:rsid w:val="0055111C"/>
    <w:rsid w:val="00587295"/>
    <w:rsid w:val="005D04F4"/>
    <w:rsid w:val="005E2E40"/>
    <w:rsid w:val="005F2599"/>
    <w:rsid w:val="005F602C"/>
    <w:rsid w:val="00625F6B"/>
    <w:rsid w:val="006325CE"/>
    <w:rsid w:val="00641744"/>
    <w:rsid w:val="006515BA"/>
    <w:rsid w:val="00654BD0"/>
    <w:rsid w:val="00666D4F"/>
    <w:rsid w:val="00680056"/>
    <w:rsid w:val="006F2DE6"/>
    <w:rsid w:val="006F54E2"/>
    <w:rsid w:val="00702C59"/>
    <w:rsid w:val="00730D7F"/>
    <w:rsid w:val="0076030C"/>
    <w:rsid w:val="00784129"/>
    <w:rsid w:val="00793A2B"/>
    <w:rsid w:val="00796BEB"/>
    <w:rsid w:val="007F1DAE"/>
    <w:rsid w:val="007F7EAC"/>
    <w:rsid w:val="00807AE3"/>
    <w:rsid w:val="00827D56"/>
    <w:rsid w:val="00843A6F"/>
    <w:rsid w:val="00876B23"/>
    <w:rsid w:val="00884548"/>
    <w:rsid w:val="008D3D0F"/>
    <w:rsid w:val="008D5805"/>
    <w:rsid w:val="008F0247"/>
    <w:rsid w:val="0091025A"/>
    <w:rsid w:val="00911131"/>
    <w:rsid w:val="00917A89"/>
    <w:rsid w:val="0096416C"/>
    <w:rsid w:val="009B50BF"/>
    <w:rsid w:val="009F0C80"/>
    <w:rsid w:val="00A61E41"/>
    <w:rsid w:val="00A62463"/>
    <w:rsid w:val="00A630F6"/>
    <w:rsid w:val="00A71645"/>
    <w:rsid w:val="00A82378"/>
    <w:rsid w:val="00AB58AA"/>
    <w:rsid w:val="00AC6F50"/>
    <w:rsid w:val="00AE1F52"/>
    <w:rsid w:val="00B163B1"/>
    <w:rsid w:val="00B47581"/>
    <w:rsid w:val="00B7116B"/>
    <w:rsid w:val="00B76228"/>
    <w:rsid w:val="00B85128"/>
    <w:rsid w:val="00BA4192"/>
    <w:rsid w:val="00BA4C6C"/>
    <w:rsid w:val="00BB2F1B"/>
    <w:rsid w:val="00BB7568"/>
    <w:rsid w:val="00BD0B7B"/>
    <w:rsid w:val="00BE7D81"/>
    <w:rsid w:val="00C1736F"/>
    <w:rsid w:val="00C52940"/>
    <w:rsid w:val="00C578DE"/>
    <w:rsid w:val="00C62865"/>
    <w:rsid w:val="00C63F27"/>
    <w:rsid w:val="00C92059"/>
    <w:rsid w:val="00C927D1"/>
    <w:rsid w:val="00C9386C"/>
    <w:rsid w:val="00C97E54"/>
    <w:rsid w:val="00CA2A0F"/>
    <w:rsid w:val="00CE3EB6"/>
    <w:rsid w:val="00D25707"/>
    <w:rsid w:val="00D26897"/>
    <w:rsid w:val="00D403C4"/>
    <w:rsid w:val="00D508E6"/>
    <w:rsid w:val="00D509F6"/>
    <w:rsid w:val="00D51E14"/>
    <w:rsid w:val="00D57FB6"/>
    <w:rsid w:val="00D951F6"/>
    <w:rsid w:val="00D96F08"/>
    <w:rsid w:val="00DA4467"/>
    <w:rsid w:val="00DB3778"/>
    <w:rsid w:val="00DE762A"/>
    <w:rsid w:val="00DF04E6"/>
    <w:rsid w:val="00E0440B"/>
    <w:rsid w:val="00E07135"/>
    <w:rsid w:val="00E075AE"/>
    <w:rsid w:val="00E1403A"/>
    <w:rsid w:val="00E21A63"/>
    <w:rsid w:val="00E21B4C"/>
    <w:rsid w:val="00E3625A"/>
    <w:rsid w:val="00E96D56"/>
    <w:rsid w:val="00EA0833"/>
    <w:rsid w:val="00EB5505"/>
    <w:rsid w:val="00F119AD"/>
    <w:rsid w:val="00F5168F"/>
    <w:rsid w:val="00F747E4"/>
    <w:rsid w:val="00FA6B1E"/>
    <w:rsid w:val="00FB7CA6"/>
    <w:rsid w:val="00FE53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9ECB"/>
  <w15:chartTrackingRefBased/>
  <w15:docId w15:val="{4F060D02-0B61-4C88-BC08-F828692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0"/>
  </w:style>
  <w:style w:type="paragraph" w:styleId="FootnoteText">
    <w:name w:val="footnote text"/>
    <w:basedOn w:val="Normal"/>
    <w:link w:val="FootnoteTextChar"/>
    <w:uiPriority w:val="99"/>
    <w:semiHidden/>
    <w:unhideWhenUsed/>
    <w:rsid w:val="00BD0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7B"/>
    <w:rPr>
      <w:sz w:val="20"/>
      <w:szCs w:val="20"/>
    </w:rPr>
  </w:style>
  <w:style w:type="character" w:styleId="FootnoteReference">
    <w:name w:val="footnote reference"/>
    <w:basedOn w:val="DefaultParagraphFont"/>
    <w:uiPriority w:val="99"/>
    <w:semiHidden/>
    <w:unhideWhenUsed/>
    <w:rsid w:val="00BD0B7B"/>
    <w:rPr>
      <w:vertAlign w:val="superscript"/>
    </w:rPr>
  </w:style>
  <w:style w:type="paragraph" w:styleId="BalloonText">
    <w:name w:val="Balloon Text"/>
    <w:basedOn w:val="Normal"/>
    <w:link w:val="BalloonTextChar"/>
    <w:uiPriority w:val="99"/>
    <w:semiHidden/>
    <w:unhideWhenUsed/>
    <w:rsid w:val="0022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C5"/>
    <w:rPr>
      <w:rFonts w:ascii="Segoe UI" w:hAnsi="Segoe UI" w:cs="Segoe UI"/>
      <w:sz w:val="18"/>
      <w:szCs w:val="18"/>
    </w:rPr>
  </w:style>
  <w:style w:type="character" w:styleId="Hyperlink">
    <w:name w:val="Hyperlink"/>
    <w:basedOn w:val="DefaultParagraphFont"/>
    <w:uiPriority w:val="99"/>
    <w:unhideWhenUsed/>
    <w:rsid w:val="00C1736F"/>
    <w:rPr>
      <w:color w:val="0563C1" w:themeColor="hyperlink"/>
      <w:u w:val="single"/>
    </w:rPr>
  </w:style>
  <w:style w:type="paragraph" w:styleId="NormalWeb">
    <w:name w:val="Normal (Web)"/>
    <w:basedOn w:val="Normal"/>
    <w:uiPriority w:val="99"/>
    <w:semiHidden/>
    <w:unhideWhenUsed/>
    <w:rsid w:val="003E52B5"/>
    <w:rPr>
      <w:rFonts w:ascii="Times New Roman" w:hAnsi="Times New Roman" w:cs="Times New Roman"/>
      <w:sz w:val="24"/>
      <w:szCs w:val="24"/>
    </w:rPr>
  </w:style>
  <w:style w:type="paragraph" w:customStyle="1" w:styleId="LegalTitle">
    <w:name w:val="Legal_Title"/>
    <w:basedOn w:val="Normal"/>
    <w:next w:val="Normal"/>
    <w:semiHidden/>
    <w:rsid w:val="00424B2D"/>
    <w:pPr>
      <w:keepNext/>
      <w:spacing w:after="360" w:line="480" w:lineRule="auto"/>
      <w:jc w:val="center"/>
    </w:pPr>
    <w:rPr>
      <w:rFonts w:ascii="Arial" w:eastAsia="Times New Roman" w:hAnsi="Arial" w:cs="Times New Roman"/>
      <w:b/>
      <w:caps/>
      <w:sz w:val="24"/>
      <w:szCs w:val="24"/>
      <w:lang w:val="en-GB" w:eastAsia="en-GB"/>
    </w:rPr>
  </w:style>
  <w:style w:type="paragraph" w:styleId="ListParagraph">
    <w:name w:val="List Paragraph"/>
    <w:basedOn w:val="Normal"/>
    <w:uiPriority w:val="34"/>
    <w:qFormat/>
    <w:rsid w:val="000E0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9304">
      <w:bodyDiv w:val="1"/>
      <w:marLeft w:val="0"/>
      <w:marRight w:val="0"/>
      <w:marTop w:val="0"/>
      <w:marBottom w:val="0"/>
      <w:divBdr>
        <w:top w:val="none" w:sz="0" w:space="0" w:color="auto"/>
        <w:left w:val="none" w:sz="0" w:space="0" w:color="auto"/>
        <w:bottom w:val="none" w:sz="0" w:space="0" w:color="auto"/>
        <w:right w:val="none" w:sz="0" w:space="0" w:color="auto"/>
      </w:divBdr>
      <w:divsChild>
        <w:div w:id="187880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victorandpartners.co.za" TargetMode="External"/><Relationship Id="rId5" Type="http://schemas.openxmlformats.org/officeDocument/2006/relationships/webSettings" Target="webSettings.xml"/><Relationship Id="rId10" Type="http://schemas.openxmlformats.org/officeDocument/2006/relationships/hyperlink" Target="mailto:Ksoffberg@timdutoit.co.za" TargetMode="External"/><Relationship Id="rId4" Type="http://schemas.openxmlformats.org/officeDocument/2006/relationships/settings" Target="settings.xml"/><Relationship Id="rId9" Type="http://schemas.openxmlformats.org/officeDocument/2006/relationships/hyperlink" Target="mailto:caleb@bartermckellarlaw.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D759-F6F5-46B8-A8AA-5FBD8F3B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Katlego Sebola</cp:lastModifiedBy>
  <cp:revision>2</cp:revision>
  <cp:lastPrinted>2022-05-11T06:45:00Z</cp:lastPrinted>
  <dcterms:created xsi:type="dcterms:W3CDTF">2022-07-12T08:47:00Z</dcterms:created>
  <dcterms:modified xsi:type="dcterms:W3CDTF">2022-07-12T08:47:00Z</dcterms:modified>
</cp:coreProperties>
</file>