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E3" w:rsidRPr="00041891" w:rsidRDefault="00C33EE3" w:rsidP="00C33EE3">
      <w:pPr>
        <w:spacing w:after="0" w:line="360" w:lineRule="auto"/>
        <w:jc w:val="center"/>
        <w:rPr>
          <w:rFonts w:ascii="Arial" w:eastAsia="Arial Unicode MS" w:hAnsi="Arial" w:cs="Arial"/>
          <w:b/>
          <w:bCs/>
          <w:sz w:val="24"/>
          <w:szCs w:val="24"/>
          <w:lang w:eastAsia="en-GB"/>
        </w:rPr>
      </w:pPr>
      <w:r w:rsidRPr="00041891">
        <w:rPr>
          <w:rFonts w:ascii="Arial" w:eastAsia="Arial Unicode MS" w:hAnsi="Arial" w:cs="Arial"/>
          <w:b/>
          <w:noProof/>
          <w:sz w:val="24"/>
          <w:szCs w:val="24"/>
          <w:lang w:eastAsia="en-ZA"/>
        </w:rPr>
        <w:drawing>
          <wp:inline distT="0" distB="0" distL="0" distR="0" wp14:anchorId="70AD3B4E" wp14:editId="40C90DEE">
            <wp:extent cx="15049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619250"/>
                    </a:xfrm>
                    <a:prstGeom prst="rect">
                      <a:avLst/>
                    </a:prstGeom>
                    <a:noFill/>
                    <a:ln>
                      <a:noFill/>
                    </a:ln>
                  </pic:spPr>
                </pic:pic>
              </a:graphicData>
            </a:graphic>
          </wp:inline>
        </w:drawing>
      </w:r>
    </w:p>
    <w:p w:rsidR="00C33EE3" w:rsidRPr="00041891" w:rsidRDefault="00C33EE3" w:rsidP="00C33EE3">
      <w:pPr>
        <w:spacing w:after="0" w:line="360" w:lineRule="auto"/>
        <w:jc w:val="center"/>
        <w:rPr>
          <w:rFonts w:ascii="Arial" w:eastAsia="Arial Unicode MS" w:hAnsi="Arial" w:cs="Arial"/>
          <w:b/>
          <w:bCs/>
          <w:sz w:val="24"/>
          <w:szCs w:val="24"/>
          <w:lang w:eastAsia="en-GB"/>
        </w:rPr>
      </w:pPr>
      <w:r w:rsidRPr="00041891">
        <w:rPr>
          <w:rFonts w:ascii="Arial" w:eastAsia="Arial Unicode MS" w:hAnsi="Arial" w:cs="Arial"/>
          <w:b/>
          <w:bCs/>
          <w:sz w:val="24"/>
          <w:szCs w:val="24"/>
          <w:lang w:eastAsia="en-GB"/>
        </w:rPr>
        <w:t>IN THE HIGH COURT OF SOUTH AFRICA</w:t>
      </w:r>
    </w:p>
    <w:p w:rsidR="00C33EE3" w:rsidRPr="00041891" w:rsidRDefault="00C33EE3" w:rsidP="00C33EE3">
      <w:pPr>
        <w:spacing w:after="0" w:line="480" w:lineRule="auto"/>
        <w:jc w:val="center"/>
        <w:rPr>
          <w:rFonts w:ascii="Arial" w:eastAsia="Arial Unicode MS" w:hAnsi="Arial" w:cs="Arial"/>
          <w:b/>
          <w:bCs/>
          <w:sz w:val="24"/>
          <w:szCs w:val="24"/>
          <w:lang w:eastAsia="en-GB"/>
        </w:rPr>
      </w:pPr>
      <w:r w:rsidRPr="00041891">
        <w:rPr>
          <w:rFonts w:ascii="Arial" w:eastAsia="Arial Unicode MS" w:hAnsi="Arial" w:cs="Arial"/>
          <w:b/>
          <w:bCs/>
          <w:sz w:val="24"/>
          <w:szCs w:val="24"/>
          <w:lang w:eastAsia="en-GB"/>
        </w:rPr>
        <w:t>GAUTENG DIVISION, PRETORIA</w:t>
      </w:r>
    </w:p>
    <w:p w:rsidR="00C33EE3" w:rsidRPr="001B22A4" w:rsidRDefault="00C33EE3" w:rsidP="00C33EE3">
      <w:pPr>
        <w:spacing w:after="0" w:line="480" w:lineRule="auto"/>
        <w:jc w:val="right"/>
        <w:rPr>
          <w:rFonts w:ascii="Arial" w:eastAsia="Times New Roman" w:hAnsi="Arial" w:cs="Arial"/>
          <w:sz w:val="24"/>
          <w:szCs w:val="24"/>
        </w:rPr>
      </w:pPr>
      <w:r w:rsidRPr="0004189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7C284131" wp14:editId="2F59FDEC">
                <wp:simplePos x="0" y="0"/>
                <wp:positionH relativeFrom="margin">
                  <wp:posOffset>25940</wp:posOffset>
                </wp:positionH>
                <wp:positionV relativeFrom="paragraph">
                  <wp:posOffset>14348</wp:posOffset>
                </wp:positionV>
                <wp:extent cx="3060700" cy="1446179"/>
                <wp:effectExtent l="0" t="0" r="2540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446179"/>
                        </a:xfrm>
                        <a:prstGeom prst="rect">
                          <a:avLst/>
                        </a:prstGeom>
                        <a:solidFill>
                          <a:srgbClr val="FFFFFF"/>
                        </a:solidFill>
                        <a:ln w="9525">
                          <a:solidFill>
                            <a:srgbClr val="000000"/>
                          </a:solidFill>
                          <a:miter lim="800000"/>
                          <a:headEnd/>
                          <a:tailEnd/>
                        </a:ln>
                      </wps:spPr>
                      <wps:txbx>
                        <w:txbxContent>
                          <w:p w:rsidR="000C1C56" w:rsidRDefault="000C1C56" w:rsidP="00C33EE3">
                            <w:pPr>
                              <w:widowControl w:val="0"/>
                              <w:autoSpaceDE w:val="0"/>
                              <w:autoSpaceDN w:val="0"/>
                              <w:adjustRightInd w:val="0"/>
                              <w:spacing w:after="0" w:line="240" w:lineRule="auto"/>
                              <w:contextualSpacing/>
                              <w:rPr>
                                <w:rFonts w:ascii="Calibri" w:hAnsi="Calibri" w:cs="Times New Roman"/>
                                <w:sz w:val="20"/>
                                <w:szCs w:val="20"/>
                                <w:lang w:val="af-ZA"/>
                              </w:rPr>
                            </w:pPr>
                          </w:p>
                          <w:p w:rsidR="000C1C56" w:rsidRPr="007C20F4" w:rsidRDefault="000C1C56" w:rsidP="00C33EE3">
                            <w:pPr>
                              <w:widowControl w:val="0"/>
                              <w:numPr>
                                <w:ilvl w:val="0"/>
                                <w:numId w:val="2"/>
                              </w:numPr>
                              <w:autoSpaceDE w:val="0"/>
                              <w:autoSpaceDN w:val="0"/>
                              <w:adjustRightInd w:val="0"/>
                              <w:spacing w:after="0" w:line="240" w:lineRule="auto"/>
                              <w:ind w:left="426" w:hanging="426"/>
                              <w:contextualSpacing/>
                              <w:rPr>
                                <w:rFonts w:ascii="Calibri" w:hAnsi="Calibri" w:cs="Times New Roman"/>
                                <w:sz w:val="20"/>
                                <w:szCs w:val="20"/>
                                <w:lang w:val="af-ZA"/>
                              </w:rPr>
                            </w:pPr>
                            <w:r>
                              <w:rPr>
                                <w:rFonts w:ascii="Calibri" w:hAnsi="Calibri" w:cs="Times New Roman"/>
                                <w:sz w:val="20"/>
                                <w:szCs w:val="20"/>
                                <w:lang w:val="af-ZA"/>
                              </w:rPr>
                              <w:t xml:space="preserve">REPORTABLE: </w:t>
                            </w:r>
                            <w:r w:rsidRPr="00AA5026">
                              <w:rPr>
                                <w:rFonts w:ascii="Calibri" w:hAnsi="Calibri" w:cs="Times New Roman"/>
                                <w:strike/>
                                <w:sz w:val="20"/>
                                <w:szCs w:val="20"/>
                                <w:lang w:val="af-ZA"/>
                              </w:rPr>
                              <w:t>YES</w:t>
                            </w:r>
                            <w:r>
                              <w:rPr>
                                <w:rFonts w:ascii="Calibri" w:hAnsi="Calibri" w:cs="Times New Roman"/>
                                <w:sz w:val="20"/>
                                <w:szCs w:val="20"/>
                                <w:lang w:val="af-ZA"/>
                              </w:rPr>
                              <w:t xml:space="preserve">/ </w:t>
                            </w:r>
                            <w:r w:rsidRPr="007C20F4">
                              <w:rPr>
                                <w:rFonts w:ascii="Calibri" w:hAnsi="Calibri" w:cs="Times New Roman"/>
                                <w:sz w:val="20"/>
                                <w:szCs w:val="20"/>
                                <w:lang w:val="af-ZA"/>
                              </w:rPr>
                              <w:t>NO</w:t>
                            </w:r>
                          </w:p>
                          <w:p w:rsidR="000C1C56" w:rsidRPr="007C20F4" w:rsidRDefault="000C1C56" w:rsidP="00C33EE3">
                            <w:pPr>
                              <w:widowControl w:val="0"/>
                              <w:numPr>
                                <w:ilvl w:val="0"/>
                                <w:numId w:val="2"/>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w:t>
                            </w:r>
                            <w:r>
                              <w:rPr>
                                <w:rFonts w:ascii="Calibri" w:hAnsi="Calibri" w:cs="Times New Roman"/>
                                <w:sz w:val="20"/>
                                <w:szCs w:val="20"/>
                                <w:lang w:val="af-ZA"/>
                              </w:rPr>
                              <w:t xml:space="preserve"> INTEREST TO OTHERS JUDGES: </w:t>
                            </w:r>
                            <w:r w:rsidRPr="00AA5026">
                              <w:rPr>
                                <w:rFonts w:ascii="Calibri" w:hAnsi="Calibri" w:cs="Times New Roman"/>
                                <w:strike/>
                                <w:sz w:val="20"/>
                                <w:szCs w:val="20"/>
                                <w:lang w:val="af-ZA"/>
                              </w:rPr>
                              <w:t>YES</w:t>
                            </w:r>
                            <w:r>
                              <w:rPr>
                                <w:rFonts w:ascii="Calibri" w:hAnsi="Calibri" w:cs="Times New Roman"/>
                                <w:sz w:val="20"/>
                                <w:szCs w:val="20"/>
                                <w:lang w:val="af-ZA"/>
                              </w:rPr>
                              <w:t xml:space="preserve">/ </w:t>
                            </w:r>
                            <w:r w:rsidRPr="007C20F4">
                              <w:rPr>
                                <w:rFonts w:ascii="Calibri" w:hAnsi="Calibri" w:cs="Times New Roman"/>
                                <w:sz w:val="20"/>
                                <w:szCs w:val="20"/>
                                <w:lang w:val="af-ZA"/>
                              </w:rPr>
                              <w:t>NO</w:t>
                            </w:r>
                          </w:p>
                          <w:p w:rsidR="000C1C56" w:rsidRPr="007C20F4" w:rsidRDefault="000C1C56" w:rsidP="00C33EE3">
                            <w:pPr>
                              <w:widowControl w:val="0"/>
                              <w:numPr>
                                <w:ilvl w:val="0"/>
                                <w:numId w:val="2"/>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rsidR="000C1C56" w:rsidRDefault="000C1C56" w:rsidP="00AA5026">
                            <w:pPr>
                              <w:tabs>
                                <w:tab w:val="center" w:pos="4320"/>
                                <w:tab w:val="right" w:pos="8640"/>
                              </w:tabs>
                              <w:spacing w:after="0" w:line="240" w:lineRule="auto"/>
                              <w:contextualSpacing/>
                              <w:rPr>
                                <w:rFonts w:ascii="Calibri" w:hAnsi="Calibri" w:cs="Times New Roman"/>
                                <w:sz w:val="20"/>
                                <w:szCs w:val="20"/>
                                <w:lang w:val="af-ZA"/>
                              </w:rPr>
                            </w:pPr>
                            <w:r>
                              <w:rPr>
                                <w:rFonts w:ascii="Calibri" w:eastAsia="Calibri" w:hAnsi="Calibri" w:cs="Times New Roman"/>
                                <w:b/>
                                <w:bCs/>
                                <w:noProof/>
                                <w:u w:val="dotted"/>
                                <w:lang w:eastAsia="en-ZA"/>
                              </w:rPr>
                              <w:t xml:space="preserve">  </w:t>
                            </w:r>
                            <w:r w:rsidR="00AA5026" w:rsidRPr="008E5079">
                              <w:rPr>
                                <w:rFonts w:ascii="Calibri" w:eastAsia="Calibri" w:hAnsi="Calibri" w:cs="Times New Roman"/>
                                <w:b/>
                                <w:bCs/>
                                <w:noProof/>
                                <w:u w:val="dotted"/>
                                <w:lang w:eastAsia="en-ZA"/>
                              </w:rPr>
                              <w:drawing>
                                <wp:inline distT="0" distB="0" distL="0" distR="0" wp14:anchorId="2A5015AC" wp14:editId="5D5C1FE8">
                                  <wp:extent cx="901700" cy="387350"/>
                                  <wp:effectExtent l="19050" t="0" r="12700" b="146050"/>
                                  <wp:docPr id="3" name="Picture 3" descr="C:\Users\ChMsimango\Downloads\IMG-2022040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hMsimango\Downloads\IMG-20220401-WA0013.jpg"/>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901700" cy="387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Calibri" w:hAnsi="Calibri" w:cs="Times New Roman"/>
                                <w:sz w:val="20"/>
                                <w:szCs w:val="20"/>
                                <w:lang w:val="af-ZA"/>
                              </w:rPr>
                              <w:tab/>
                              <w:t>............</w:t>
                            </w:r>
                            <w:r w:rsidR="00AA5026">
                              <w:rPr>
                                <w:rFonts w:ascii="Calibri" w:hAnsi="Calibri" w:cs="Times New Roman"/>
                                <w:sz w:val="20"/>
                                <w:szCs w:val="20"/>
                                <w:u w:val="dotted"/>
                                <w:lang w:val="af-ZA"/>
                              </w:rPr>
                              <w:t>12 July 2022</w:t>
                            </w:r>
                            <w:r>
                              <w:rPr>
                                <w:rFonts w:ascii="Calibri" w:hAnsi="Calibri" w:cs="Times New Roman"/>
                                <w:sz w:val="20"/>
                                <w:szCs w:val="20"/>
                                <w:lang w:val="af-ZA"/>
                              </w:rPr>
                              <w:t>.........</w:t>
                            </w:r>
                          </w:p>
                          <w:p w:rsidR="000C1C56" w:rsidRPr="007C20F4" w:rsidRDefault="000C1C56" w:rsidP="00C33EE3">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84131" id="_x0000_t202" coordsize="21600,21600" o:spt="202" path="m,l,21600r21600,l21600,xe">
                <v:stroke joinstyle="miter"/>
                <v:path gradientshapeok="t" o:connecttype="rect"/>
              </v:shapetype>
              <v:shape id="Text Box 6" o:spid="_x0000_s1026" type="#_x0000_t202" style="position:absolute;left:0;text-align:left;margin-left:2.05pt;margin-top:1.15pt;width:241pt;height:11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KgIAAFEEAAAOAAAAZHJzL2Uyb0RvYy54bWysVNtu2zAMfR+wfxD0vtjJkrQx4hRdugwD&#10;ugvQ7gNkWY6FSaImKbGzry8lu1l2exnmB4EUqUPykPT6pteKHIXzEkxJp5OcEmE41NLsS/rlcffq&#10;mhIfmKmZAiNKehKe3mxevlh3thAzaEHVwhEEMb7obEnbEGyRZZ63QjM/ASsMGhtwmgVU3T6rHesQ&#10;XatslufLrANXWwdceI+3d4ORbhJ+0wgePjWNF4GokmJuIZ0unVU8s82aFXvHbCv5mAb7hyw0kwaD&#10;nqHuWGDk4ORvUFpyBx6aMOGgM2gayUWqAauZ5r9U89AyK1ItSI63Z5r8/4PlH4+fHZF1SZeUGKax&#10;RY+iD+QN9GQZ2emsL9DpwaJb6PEau5wq9fYe+FdPDGxbZvbi1jnoWsFqzG4aX2YXTwccH0Gq7gPU&#10;GIYdAiSgvnE6UodkEETHLp3OnYmpcLx8nS/zqxxNHG3T+Xw5vVqlGKx4fm6dD+8EaBKFkjpsfYJn&#10;x3sfYjqseHaJ0TwoWe+kUklx+2qrHDkyHJNd+kb0n9yUIV1JV4vZYmDgrxB5+v4EoWXAeVdSl/T6&#10;7MSKyNtbU6dpDEyqQcaUlRmJjNwNLIa+6sfGVFCfkFIHw1zjHqLQgvtOSYczXVL/7cCcoES9N9iW&#10;FTIXlyAp88XVDBV3aakuLcxwhCppoGQQt2FYnIN1ct9ipGEQDNxiKxuZSI49H7Ia88a5TdyPOxYX&#10;41JPXj/+BJsnAAAA//8DAFBLAwQUAAYACAAAACEAGWUBwtsAAAAHAQAADwAAAGRycy9kb3ducmV2&#10;LnhtbEyOwU7DMBBE70j8g7VIXFBrt41CCHEqhASCWykVXN3YTSLsdbDdNPw92xMcn2Y086r15Cwb&#10;TYi9RwmLuQBmsPG6x1bC7v1pVgCLSaFW1qOR8GMirOvLi0qV2p/wzYzb1DIawVgqCV1KQ8l5bDrj&#10;VJz7wSBlBx+cSoSh5TqoE407y5dC5NypHumhU4N57EzztT06CUX2Mn7G19Xmo8kP9i7d3I7P30HK&#10;66vp4R5YMlP6K8NZn9ShJqe9P6KOzErIFlSUsFwBozQrcuL9mYUAXlf8v3/9CwAA//8DAFBLAQIt&#10;ABQABgAIAAAAIQC2gziS/gAAAOEBAAATAAAAAAAAAAAAAAAAAAAAAABbQ29udGVudF9UeXBlc10u&#10;eG1sUEsBAi0AFAAGAAgAAAAhADj9If/WAAAAlAEAAAsAAAAAAAAAAAAAAAAALwEAAF9yZWxzLy5y&#10;ZWxzUEsBAi0AFAAGAAgAAAAhACEHUEoqAgAAUQQAAA4AAAAAAAAAAAAAAAAALgIAAGRycy9lMm9E&#10;b2MueG1sUEsBAi0AFAAGAAgAAAAhABllAcLbAAAABwEAAA8AAAAAAAAAAAAAAAAAhAQAAGRycy9k&#10;b3ducmV2LnhtbFBLBQYAAAAABAAEAPMAAACMBQAAAAA=&#10;">
                <v:textbox>
                  <w:txbxContent>
                    <w:p w:rsidR="000C1C56" w:rsidRDefault="000C1C56" w:rsidP="00C33EE3">
                      <w:pPr>
                        <w:widowControl w:val="0"/>
                        <w:autoSpaceDE w:val="0"/>
                        <w:autoSpaceDN w:val="0"/>
                        <w:adjustRightInd w:val="0"/>
                        <w:spacing w:after="0" w:line="240" w:lineRule="auto"/>
                        <w:contextualSpacing/>
                        <w:rPr>
                          <w:rFonts w:ascii="Calibri" w:hAnsi="Calibri" w:cs="Times New Roman"/>
                          <w:sz w:val="20"/>
                          <w:szCs w:val="20"/>
                          <w:lang w:val="af-ZA"/>
                        </w:rPr>
                      </w:pPr>
                    </w:p>
                    <w:p w:rsidR="000C1C56" w:rsidRPr="007C20F4" w:rsidRDefault="000C1C56" w:rsidP="00C33EE3">
                      <w:pPr>
                        <w:widowControl w:val="0"/>
                        <w:numPr>
                          <w:ilvl w:val="0"/>
                          <w:numId w:val="2"/>
                        </w:numPr>
                        <w:autoSpaceDE w:val="0"/>
                        <w:autoSpaceDN w:val="0"/>
                        <w:adjustRightInd w:val="0"/>
                        <w:spacing w:after="0" w:line="240" w:lineRule="auto"/>
                        <w:ind w:left="426" w:hanging="426"/>
                        <w:contextualSpacing/>
                        <w:rPr>
                          <w:rFonts w:ascii="Calibri" w:hAnsi="Calibri" w:cs="Times New Roman"/>
                          <w:sz w:val="20"/>
                          <w:szCs w:val="20"/>
                          <w:lang w:val="af-ZA"/>
                        </w:rPr>
                      </w:pPr>
                      <w:r>
                        <w:rPr>
                          <w:rFonts w:ascii="Calibri" w:hAnsi="Calibri" w:cs="Times New Roman"/>
                          <w:sz w:val="20"/>
                          <w:szCs w:val="20"/>
                          <w:lang w:val="af-ZA"/>
                        </w:rPr>
                        <w:t xml:space="preserve">REPORTABLE: </w:t>
                      </w:r>
                      <w:r w:rsidRPr="00AA5026">
                        <w:rPr>
                          <w:rFonts w:ascii="Calibri" w:hAnsi="Calibri" w:cs="Times New Roman"/>
                          <w:strike/>
                          <w:sz w:val="20"/>
                          <w:szCs w:val="20"/>
                          <w:lang w:val="af-ZA"/>
                        </w:rPr>
                        <w:t>YES</w:t>
                      </w:r>
                      <w:r>
                        <w:rPr>
                          <w:rFonts w:ascii="Calibri" w:hAnsi="Calibri" w:cs="Times New Roman"/>
                          <w:sz w:val="20"/>
                          <w:szCs w:val="20"/>
                          <w:lang w:val="af-ZA"/>
                        </w:rPr>
                        <w:t xml:space="preserve">/ </w:t>
                      </w:r>
                      <w:r w:rsidRPr="007C20F4">
                        <w:rPr>
                          <w:rFonts w:ascii="Calibri" w:hAnsi="Calibri" w:cs="Times New Roman"/>
                          <w:sz w:val="20"/>
                          <w:szCs w:val="20"/>
                          <w:lang w:val="af-ZA"/>
                        </w:rPr>
                        <w:t>NO</w:t>
                      </w:r>
                    </w:p>
                    <w:p w:rsidR="000C1C56" w:rsidRPr="007C20F4" w:rsidRDefault="000C1C56" w:rsidP="00C33EE3">
                      <w:pPr>
                        <w:widowControl w:val="0"/>
                        <w:numPr>
                          <w:ilvl w:val="0"/>
                          <w:numId w:val="2"/>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w:t>
                      </w:r>
                      <w:r>
                        <w:rPr>
                          <w:rFonts w:ascii="Calibri" w:hAnsi="Calibri" w:cs="Times New Roman"/>
                          <w:sz w:val="20"/>
                          <w:szCs w:val="20"/>
                          <w:lang w:val="af-ZA"/>
                        </w:rPr>
                        <w:t xml:space="preserve"> INTEREST TO OTHERS JUDGES: </w:t>
                      </w:r>
                      <w:r w:rsidRPr="00AA5026">
                        <w:rPr>
                          <w:rFonts w:ascii="Calibri" w:hAnsi="Calibri" w:cs="Times New Roman"/>
                          <w:strike/>
                          <w:sz w:val="20"/>
                          <w:szCs w:val="20"/>
                          <w:lang w:val="af-ZA"/>
                        </w:rPr>
                        <w:t>YES</w:t>
                      </w:r>
                      <w:r>
                        <w:rPr>
                          <w:rFonts w:ascii="Calibri" w:hAnsi="Calibri" w:cs="Times New Roman"/>
                          <w:sz w:val="20"/>
                          <w:szCs w:val="20"/>
                          <w:lang w:val="af-ZA"/>
                        </w:rPr>
                        <w:t xml:space="preserve">/ </w:t>
                      </w:r>
                      <w:r w:rsidRPr="007C20F4">
                        <w:rPr>
                          <w:rFonts w:ascii="Calibri" w:hAnsi="Calibri" w:cs="Times New Roman"/>
                          <w:sz w:val="20"/>
                          <w:szCs w:val="20"/>
                          <w:lang w:val="af-ZA"/>
                        </w:rPr>
                        <w:t>NO</w:t>
                      </w:r>
                    </w:p>
                    <w:p w:rsidR="000C1C56" w:rsidRPr="007C20F4" w:rsidRDefault="000C1C56" w:rsidP="00C33EE3">
                      <w:pPr>
                        <w:widowControl w:val="0"/>
                        <w:numPr>
                          <w:ilvl w:val="0"/>
                          <w:numId w:val="2"/>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rsidR="000C1C56" w:rsidRDefault="000C1C56" w:rsidP="00AA5026">
                      <w:pPr>
                        <w:tabs>
                          <w:tab w:val="center" w:pos="4320"/>
                          <w:tab w:val="right" w:pos="8640"/>
                        </w:tabs>
                        <w:spacing w:after="0" w:line="240" w:lineRule="auto"/>
                        <w:contextualSpacing/>
                        <w:rPr>
                          <w:rFonts w:ascii="Calibri" w:hAnsi="Calibri" w:cs="Times New Roman"/>
                          <w:sz w:val="20"/>
                          <w:szCs w:val="20"/>
                          <w:lang w:val="af-ZA"/>
                        </w:rPr>
                      </w:pPr>
                      <w:r>
                        <w:rPr>
                          <w:rFonts w:ascii="Calibri" w:eastAsia="Calibri" w:hAnsi="Calibri" w:cs="Times New Roman"/>
                          <w:b/>
                          <w:bCs/>
                          <w:noProof/>
                          <w:u w:val="dotted"/>
                          <w:lang w:eastAsia="en-ZA"/>
                        </w:rPr>
                        <w:t xml:space="preserve">  </w:t>
                      </w:r>
                      <w:r w:rsidR="00AA5026" w:rsidRPr="008E5079">
                        <w:rPr>
                          <w:rFonts w:ascii="Calibri" w:eastAsia="Calibri" w:hAnsi="Calibri" w:cs="Times New Roman"/>
                          <w:b/>
                          <w:bCs/>
                          <w:noProof/>
                          <w:u w:val="dotted"/>
                          <w:lang w:eastAsia="en-ZA"/>
                        </w:rPr>
                        <w:drawing>
                          <wp:inline distT="0" distB="0" distL="0" distR="0" wp14:anchorId="2A5015AC" wp14:editId="5D5C1FE8">
                            <wp:extent cx="901700" cy="387350"/>
                            <wp:effectExtent l="19050" t="0" r="12700" b="146050"/>
                            <wp:docPr id="3" name="Picture 3" descr="C:\Users\ChMsimango\Downloads\IMG-2022040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hMsimango\Downloads\IMG-20220401-WA0013.jpg"/>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901700" cy="387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Calibri" w:hAnsi="Calibri" w:cs="Times New Roman"/>
                          <w:sz w:val="20"/>
                          <w:szCs w:val="20"/>
                          <w:lang w:val="af-ZA"/>
                        </w:rPr>
                        <w:tab/>
                        <w:t>............</w:t>
                      </w:r>
                      <w:r w:rsidR="00AA5026">
                        <w:rPr>
                          <w:rFonts w:ascii="Calibri" w:hAnsi="Calibri" w:cs="Times New Roman"/>
                          <w:sz w:val="20"/>
                          <w:szCs w:val="20"/>
                          <w:u w:val="dotted"/>
                          <w:lang w:val="af-ZA"/>
                        </w:rPr>
                        <w:t>12 July 2022</w:t>
                      </w:r>
                      <w:r>
                        <w:rPr>
                          <w:rFonts w:ascii="Calibri" w:hAnsi="Calibri" w:cs="Times New Roman"/>
                          <w:sz w:val="20"/>
                          <w:szCs w:val="20"/>
                          <w:lang w:val="af-ZA"/>
                        </w:rPr>
                        <w:t>.........</w:t>
                      </w:r>
                    </w:p>
                    <w:p w:rsidR="000C1C56" w:rsidRPr="007C20F4" w:rsidRDefault="000C1C56" w:rsidP="00C33EE3">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r w:rsidRPr="00457F4A">
        <w:rPr>
          <w:rFonts w:ascii="Arial" w:eastAsia="Times New Roman" w:hAnsi="Arial" w:cs="Arial"/>
          <w:sz w:val="24"/>
          <w:szCs w:val="24"/>
        </w:rPr>
        <w:t>C</w:t>
      </w:r>
      <w:r>
        <w:rPr>
          <w:rFonts w:ascii="Arial" w:eastAsia="Times New Roman" w:hAnsi="Arial" w:cs="Arial"/>
          <w:sz w:val="24"/>
          <w:szCs w:val="24"/>
        </w:rPr>
        <w:t>ase</w:t>
      </w:r>
      <w:r w:rsidRPr="00457F4A">
        <w:rPr>
          <w:rFonts w:ascii="Arial" w:eastAsia="Times New Roman" w:hAnsi="Arial" w:cs="Arial"/>
          <w:sz w:val="24"/>
          <w:szCs w:val="24"/>
        </w:rPr>
        <w:t xml:space="preserve"> N</w:t>
      </w:r>
      <w:r>
        <w:rPr>
          <w:rFonts w:ascii="Arial" w:eastAsia="Times New Roman" w:hAnsi="Arial" w:cs="Arial"/>
          <w:sz w:val="24"/>
          <w:szCs w:val="24"/>
        </w:rPr>
        <w:t>o: 47143/2020</w:t>
      </w:r>
    </w:p>
    <w:p w:rsidR="00C33EE3" w:rsidRDefault="00C33EE3" w:rsidP="00C33EE3">
      <w:pPr>
        <w:spacing w:after="0" w:line="360" w:lineRule="auto"/>
        <w:jc w:val="both"/>
        <w:rPr>
          <w:rFonts w:ascii="Arial" w:eastAsia="Times New Roman" w:hAnsi="Arial" w:cs="Arial"/>
          <w:sz w:val="24"/>
          <w:szCs w:val="24"/>
        </w:rPr>
      </w:pPr>
    </w:p>
    <w:p w:rsidR="00C33EE3" w:rsidRDefault="00C33EE3" w:rsidP="00C33EE3">
      <w:pPr>
        <w:spacing w:after="0" w:line="360" w:lineRule="auto"/>
        <w:jc w:val="both"/>
        <w:rPr>
          <w:rFonts w:ascii="Arial" w:eastAsia="Times New Roman" w:hAnsi="Arial" w:cs="Arial"/>
          <w:sz w:val="24"/>
          <w:szCs w:val="24"/>
        </w:rPr>
      </w:pPr>
    </w:p>
    <w:p w:rsidR="00C33EE3" w:rsidRDefault="00C33EE3" w:rsidP="00C33EE3">
      <w:pPr>
        <w:spacing w:after="0" w:line="360" w:lineRule="auto"/>
        <w:jc w:val="both"/>
        <w:rPr>
          <w:rFonts w:ascii="Arial" w:eastAsia="Times New Roman" w:hAnsi="Arial" w:cs="Arial"/>
          <w:sz w:val="24"/>
          <w:szCs w:val="24"/>
        </w:rPr>
      </w:pPr>
    </w:p>
    <w:p w:rsidR="00C33EE3" w:rsidRDefault="00C33EE3" w:rsidP="00C33EE3">
      <w:pPr>
        <w:spacing w:after="0" w:line="360" w:lineRule="auto"/>
        <w:jc w:val="both"/>
        <w:rPr>
          <w:rFonts w:ascii="Arial" w:eastAsia="Times New Roman" w:hAnsi="Arial" w:cs="Arial"/>
          <w:sz w:val="24"/>
          <w:szCs w:val="24"/>
        </w:rPr>
      </w:pPr>
      <w:bookmarkStart w:id="0" w:name="_GoBack"/>
      <w:bookmarkEnd w:id="0"/>
    </w:p>
    <w:p w:rsidR="00C33EE3" w:rsidRDefault="00C33EE3" w:rsidP="00C33EE3">
      <w:pPr>
        <w:spacing w:after="0" w:line="360" w:lineRule="auto"/>
        <w:jc w:val="both"/>
        <w:rPr>
          <w:rFonts w:ascii="Arial" w:eastAsia="Times New Roman" w:hAnsi="Arial" w:cs="Arial"/>
          <w:sz w:val="24"/>
          <w:szCs w:val="24"/>
        </w:rPr>
      </w:pPr>
    </w:p>
    <w:p w:rsidR="00C33EE3" w:rsidRDefault="00C33EE3" w:rsidP="00C33EE3">
      <w:pPr>
        <w:spacing w:after="0" w:line="360" w:lineRule="auto"/>
        <w:jc w:val="both"/>
        <w:rPr>
          <w:rFonts w:ascii="Arial" w:eastAsia="Times New Roman" w:hAnsi="Arial" w:cs="Arial"/>
          <w:sz w:val="24"/>
          <w:szCs w:val="24"/>
        </w:rPr>
      </w:pPr>
    </w:p>
    <w:p w:rsidR="00C33EE3" w:rsidRPr="009E2C3E" w:rsidRDefault="00C33EE3" w:rsidP="00C33EE3">
      <w:pPr>
        <w:spacing w:after="0" w:line="360" w:lineRule="auto"/>
        <w:jc w:val="both"/>
        <w:rPr>
          <w:rFonts w:ascii="Arial" w:eastAsia="Times New Roman" w:hAnsi="Arial" w:cs="Arial"/>
          <w:sz w:val="24"/>
          <w:szCs w:val="24"/>
        </w:rPr>
      </w:pPr>
      <w:r w:rsidRPr="009E2C3E">
        <w:rPr>
          <w:rFonts w:ascii="Arial" w:eastAsia="Times New Roman" w:hAnsi="Arial" w:cs="Arial"/>
          <w:sz w:val="24"/>
          <w:szCs w:val="24"/>
        </w:rPr>
        <w:t>In the matter between:</w:t>
      </w:r>
    </w:p>
    <w:p w:rsidR="00C33EE3" w:rsidRPr="00041891" w:rsidRDefault="00C33EE3" w:rsidP="00C33EE3">
      <w:pPr>
        <w:spacing w:after="0" w:line="360" w:lineRule="auto"/>
        <w:jc w:val="both"/>
        <w:rPr>
          <w:rFonts w:ascii="Arial" w:eastAsia="Times New Roman" w:hAnsi="Arial" w:cs="Arial"/>
          <w:sz w:val="24"/>
          <w:szCs w:val="24"/>
        </w:rPr>
      </w:pPr>
    </w:p>
    <w:p w:rsidR="00C33EE3" w:rsidRDefault="00C33EE3" w:rsidP="00C33EE3">
      <w:pPr>
        <w:tabs>
          <w:tab w:val="left" w:pos="4395"/>
        </w:tabs>
        <w:spacing w:after="0" w:line="360" w:lineRule="auto"/>
        <w:jc w:val="both"/>
        <w:rPr>
          <w:rFonts w:ascii="Arial" w:eastAsia="Times New Roman" w:hAnsi="Arial" w:cs="Arial"/>
          <w:sz w:val="24"/>
          <w:szCs w:val="24"/>
        </w:rPr>
      </w:pPr>
      <w:r>
        <w:rPr>
          <w:rFonts w:ascii="Arial" w:eastAsia="Times New Roman" w:hAnsi="Arial" w:cs="Arial"/>
          <w:b/>
          <w:sz w:val="24"/>
          <w:szCs w:val="24"/>
        </w:rPr>
        <w:t>REYAKOPELE TRADING 117 CC</w:t>
      </w:r>
      <w:r>
        <w:rPr>
          <w:rFonts w:ascii="Arial" w:eastAsia="Times New Roman" w:hAnsi="Arial" w:cs="Arial"/>
          <w:b/>
          <w:sz w:val="24"/>
          <w:szCs w:val="24"/>
        </w:rPr>
        <w:tab/>
      </w:r>
      <w:r>
        <w:rPr>
          <w:rFonts w:ascii="Arial" w:eastAsia="Times New Roman" w:hAnsi="Arial" w:cs="Arial"/>
          <w:sz w:val="24"/>
          <w:szCs w:val="24"/>
        </w:rPr>
        <w:tab/>
      </w:r>
      <w:r>
        <w:rPr>
          <w:rFonts w:ascii="Arial" w:eastAsia="Times New Roman" w:hAnsi="Arial" w:cs="Arial"/>
          <w:sz w:val="24"/>
          <w:szCs w:val="24"/>
        </w:rPr>
        <w:tab/>
      </w:r>
      <w:r w:rsidRPr="00041891">
        <w:rPr>
          <w:rFonts w:ascii="Arial" w:eastAsia="Times New Roman" w:hAnsi="Arial" w:cs="Arial"/>
          <w:sz w:val="24"/>
          <w:szCs w:val="24"/>
        </w:rPr>
        <w:tab/>
      </w:r>
      <w:r>
        <w:rPr>
          <w:rFonts w:ascii="Arial" w:eastAsia="Times New Roman" w:hAnsi="Arial" w:cs="Arial"/>
          <w:sz w:val="24"/>
          <w:szCs w:val="24"/>
        </w:rPr>
        <w:t xml:space="preserve">      </w:t>
      </w:r>
      <w:r>
        <w:rPr>
          <w:rFonts w:ascii="Arial" w:eastAsia="Times New Roman" w:hAnsi="Arial" w:cs="Arial"/>
          <w:sz w:val="24"/>
          <w:szCs w:val="24"/>
        </w:rPr>
        <w:tab/>
        <w:t xml:space="preserve">       APPLICANT</w:t>
      </w:r>
    </w:p>
    <w:p w:rsidR="00C33EE3" w:rsidRPr="00041891" w:rsidRDefault="00C33EE3" w:rsidP="00C33EE3">
      <w:pPr>
        <w:spacing w:after="0" w:line="360" w:lineRule="auto"/>
        <w:jc w:val="both"/>
        <w:rPr>
          <w:rFonts w:ascii="Arial" w:eastAsia="Times New Roman" w:hAnsi="Arial" w:cs="Arial"/>
          <w:sz w:val="24"/>
          <w:szCs w:val="24"/>
        </w:rPr>
      </w:pPr>
    </w:p>
    <w:p w:rsidR="00C33EE3" w:rsidRPr="00041891" w:rsidRDefault="00C33EE3" w:rsidP="00C33EE3">
      <w:pPr>
        <w:spacing w:after="0" w:line="360" w:lineRule="auto"/>
        <w:jc w:val="both"/>
        <w:rPr>
          <w:rFonts w:ascii="Arial" w:eastAsia="Times New Roman" w:hAnsi="Arial" w:cs="Arial"/>
          <w:sz w:val="24"/>
          <w:szCs w:val="24"/>
        </w:rPr>
      </w:pPr>
      <w:r w:rsidRPr="00041891">
        <w:rPr>
          <w:rFonts w:ascii="Arial" w:eastAsia="Times New Roman" w:hAnsi="Arial" w:cs="Arial"/>
          <w:sz w:val="24"/>
          <w:szCs w:val="24"/>
        </w:rPr>
        <w:t>and</w:t>
      </w:r>
    </w:p>
    <w:p w:rsidR="00C33EE3" w:rsidRPr="00041891" w:rsidRDefault="00C33EE3" w:rsidP="00C33EE3">
      <w:pPr>
        <w:spacing w:after="0" w:line="360" w:lineRule="auto"/>
        <w:jc w:val="both"/>
        <w:rPr>
          <w:rFonts w:ascii="Arial" w:eastAsia="Times New Roman" w:hAnsi="Arial" w:cs="Arial"/>
          <w:sz w:val="24"/>
          <w:szCs w:val="24"/>
        </w:rPr>
      </w:pPr>
    </w:p>
    <w:p w:rsidR="00C33EE3" w:rsidRDefault="00C33EE3" w:rsidP="00C33EE3">
      <w:pPr>
        <w:spacing w:after="0" w:line="360" w:lineRule="auto"/>
        <w:jc w:val="both"/>
        <w:rPr>
          <w:rFonts w:ascii="Arial" w:eastAsia="Times New Roman" w:hAnsi="Arial" w:cs="Arial"/>
          <w:sz w:val="24"/>
          <w:szCs w:val="24"/>
        </w:rPr>
      </w:pPr>
      <w:r>
        <w:rPr>
          <w:rFonts w:ascii="Arial" w:eastAsia="Times New Roman" w:hAnsi="Arial" w:cs="Arial"/>
          <w:b/>
          <w:sz w:val="24"/>
          <w:szCs w:val="24"/>
        </w:rPr>
        <w:t>VELOCITY FINANCE (RF) LTD</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t xml:space="preserve">  RESPONDENT</w:t>
      </w:r>
    </w:p>
    <w:p w:rsidR="00C33EE3" w:rsidRPr="00A22CCD" w:rsidRDefault="00C33EE3" w:rsidP="00C33EE3">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rFonts w:ascii="Arial" w:eastAsia="Calibri" w:hAnsi="Arial" w:cs="Arial"/>
          <w:sz w:val="24"/>
          <w:szCs w:val="24"/>
        </w:rPr>
      </w:pPr>
    </w:p>
    <w:p w:rsidR="00C33EE3" w:rsidRPr="006F1B2C" w:rsidRDefault="00C33EE3" w:rsidP="00C33EE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Calibri" w:hAnsi="Times New Roman" w:cs="Times New Roman"/>
          <w:b/>
          <w:sz w:val="26"/>
        </w:rPr>
      </w:pPr>
    </w:p>
    <w:p w:rsidR="00C33EE3" w:rsidRPr="006F1B2C" w:rsidRDefault="00C33EE3" w:rsidP="00C33EE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center"/>
        <w:rPr>
          <w:rFonts w:ascii="Arial" w:eastAsia="Calibri" w:hAnsi="Arial" w:cs="Arial"/>
          <w:b/>
          <w:sz w:val="24"/>
          <w:szCs w:val="24"/>
        </w:rPr>
      </w:pPr>
      <w:r w:rsidRPr="006F1B2C">
        <w:rPr>
          <w:rFonts w:ascii="Arial" w:eastAsia="Calibri" w:hAnsi="Arial" w:cs="Arial"/>
          <w:b/>
          <w:sz w:val="24"/>
          <w:szCs w:val="24"/>
        </w:rPr>
        <w:t>JUDGMENT</w:t>
      </w:r>
    </w:p>
    <w:p w:rsidR="00C33EE3" w:rsidRPr="006F1B2C" w:rsidRDefault="00C33EE3" w:rsidP="00C33EE3">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Calibri" w:hAnsi="Times New Roman" w:cs="Times New Roman"/>
          <w:b/>
          <w:sz w:val="18"/>
          <w:szCs w:val="18"/>
        </w:rPr>
      </w:pPr>
    </w:p>
    <w:p w:rsidR="00C33EE3" w:rsidRDefault="00C33EE3" w:rsidP="00C33EE3">
      <w:pPr>
        <w:spacing w:after="0" w:line="360" w:lineRule="auto"/>
        <w:jc w:val="both"/>
        <w:rPr>
          <w:rFonts w:ascii="Arial" w:eastAsia="Times New Roman" w:hAnsi="Arial" w:cs="Arial"/>
          <w:b/>
          <w:sz w:val="24"/>
          <w:szCs w:val="24"/>
        </w:rPr>
      </w:pPr>
    </w:p>
    <w:p w:rsidR="00C33EE3" w:rsidRDefault="00C33EE3" w:rsidP="00C33EE3">
      <w:pPr>
        <w:spacing w:after="0" w:line="360" w:lineRule="auto"/>
        <w:jc w:val="both"/>
        <w:rPr>
          <w:rFonts w:ascii="Arial" w:eastAsia="Times New Roman" w:hAnsi="Arial" w:cs="Arial"/>
          <w:b/>
          <w:sz w:val="24"/>
          <w:szCs w:val="24"/>
        </w:rPr>
      </w:pPr>
      <w:r w:rsidRPr="007B0267">
        <w:rPr>
          <w:rFonts w:ascii="Arial" w:eastAsia="Times New Roman" w:hAnsi="Arial" w:cs="Arial"/>
          <w:b/>
          <w:sz w:val="24"/>
          <w:szCs w:val="24"/>
        </w:rPr>
        <w:t xml:space="preserve">MOLEFE J </w:t>
      </w:r>
    </w:p>
    <w:p w:rsidR="00C33EE3" w:rsidRPr="001B22A4" w:rsidRDefault="00C33EE3" w:rsidP="00C33EE3">
      <w:pPr>
        <w:spacing w:after="0" w:line="360" w:lineRule="auto"/>
        <w:jc w:val="both"/>
        <w:rPr>
          <w:rFonts w:ascii="Arial" w:eastAsia="Times New Roman" w:hAnsi="Arial" w:cs="Arial"/>
          <w:b/>
          <w:sz w:val="24"/>
          <w:szCs w:val="24"/>
        </w:rPr>
      </w:pPr>
    </w:p>
    <w:p w:rsidR="00C33EE3" w:rsidRDefault="00C33EE3" w:rsidP="00C33EE3">
      <w:pPr>
        <w:pStyle w:val="JUDGMENTNUMBERED"/>
      </w:pPr>
      <w:r>
        <w:t xml:space="preserve">This is an application for rescission of the judgment granted against the applicant (the defendant in the main action) on 22 December 2020, on the ground that such order was granted in the absence of the applicant, and that pending the outcome </w:t>
      </w:r>
      <w:r>
        <w:lastRenderedPageBreak/>
        <w:t>of the rescission application, the execution or operation of the default judgment be stayed and/or suspended.</w:t>
      </w:r>
    </w:p>
    <w:p w:rsidR="00C33EE3" w:rsidRPr="00C33EE3" w:rsidRDefault="00C33EE3" w:rsidP="00C33EE3"/>
    <w:p w:rsidR="0091779A" w:rsidRDefault="00C33EE3" w:rsidP="00C33EE3">
      <w:pPr>
        <w:pStyle w:val="JUDGMENTNUMBERED"/>
      </w:pPr>
      <w:r>
        <w:t xml:space="preserve">The application </w:t>
      </w:r>
      <w:r w:rsidR="00226FCE">
        <w:t>is brought in terms of the provisions of rule 31(2), alter</w:t>
      </w:r>
      <w:r w:rsidR="0091779A">
        <w:t>natively rule 42(1)(b) of the Uniform Rules of Court, alternatively the common law.</w:t>
      </w:r>
    </w:p>
    <w:p w:rsidR="0091779A" w:rsidRPr="0091779A" w:rsidRDefault="0091779A" w:rsidP="0091779A"/>
    <w:p w:rsidR="0091779A" w:rsidRDefault="0091779A" w:rsidP="00C33EE3">
      <w:pPr>
        <w:pStyle w:val="JUDGMENTNUMBERED"/>
        <w:rPr>
          <w:i/>
        </w:rPr>
      </w:pPr>
      <w:r>
        <w:t xml:space="preserve">The requirements that a rescission application in terms of rule 31(2)(b) must satisfy are well established in </w:t>
      </w:r>
      <w:r>
        <w:rPr>
          <w:i/>
        </w:rPr>
        <w:t>Col</w:t>
      </w:r>
      <w:r w:rsidR="00161D37">
        <w:rPr>
          <w:i/>
        </w:rPr>
        <w:t>y</w:t>
      </w:r>
      <w:r>
        <w:rPr>
          <w:i/>
        </w:rPr>
        <w:t>n v Tiger Food Industries Ltd t/a Me</w:t>
      </w:r>
      <w:r w:rsidR="00CB42D7">
        <w:rPr>
          <w:i/>
        </w:rPr>
        <w:t>a</w:t>
      </w:r>
      <w:r>
        <w:rPr>
          <w:i/>
        </w:rPr>
        <w:t>dow Feed Mills (</w:t>
      </w:r>
      <w:r w:rsidR="003E5F12">
        <w:rPr>
          <w:i/>
        </w:rPr>
        <w:t xml:space="preserve">Cape): </w:t>
      </w:r>
    </w:p>
    <w:p w:rsidR="003E5F12" w:rsidRPr="003E5F12" w:rsidRDefault="00C805E1" w:rsidP="003846AA">
      <w:pPr>
        <w:spacing w:line="360" w:lineRule="auto"/>
        <w:ind w:left="720"/>
        <w:jc w:val="both"/>
        <w:rPr>
          <w:rFonts w:ascii="Arial" w:hAnsi="Arial" w:cs="Arial"/>
        </w:rPr>
      </w:pPr>
      <w:r>
        <w:rPr>
          <w:rFonts w:ascii="Arial" w:hAnsi="Arial" w:cs="Arial"/>
        </w:rPr>
        <w:t>“…the courts generally expect an applicant to show good cause</w:t>
      </w:r>
      <w:r>
        <w:rPr>
          <w:rFonts w:ascii="Arial" w:hAnsi="Arial" w:cs="Arial"/>
          <w:i/>
        </w:rPr>
        <w:t xml:space="preserve"> by</w:t>
      </w:r>
      <w:r w:rsidR="003E5F12" w:rsidRPr="00F5361A">
        <w:rPr>
          <w:rFonts w:ascii="Arial" w:hAnsi="Arial" w:cs="Arial"/>
          <w:i/>
        </w:rPr>
        <w:t xml:space="preserve"> (a) giving a reasonable explanation of the default; (b) showing that </w:t>
      </w:r>
      <w:r>
        <w:rPr>
          <w:rFonts w:ascii="Arial" w:hAnsi="Arial" w:cs="Arial"/>
          <w:i/>
        </w:rPr>
        <w:t>his</w:t>
      </w:r>
      <w:r w:rsidR="003E5F12" w:rsidRPr="00F5361A">
        <w:rPr>
          <w:rFonts w:ascii="Arial" w:hAnsi="Arial" w:cs="Arial"/>
          <w:i/>
        </w:rPr>
        <w:t xml:space="preserve"> application is made bona fide; and (c) </w:t>
      </w:r>
      <w:r>
        <w:rPr>
          <w:rFonts w:ascii="Arial" w:hAnsi="Arial" w:cs="Arial"/>
          <w:i/>
        </w:rPr>
        <w:t xml:space="preserve">by </w:t>
      </w:r>
      <w:r w:rsidR="003E5F12" w:rsidRPr="00F5361A">
        <w:rPr>
          <w:rFonts w:ascii="Arial" w:hAnsi="Arial" w:cs="Arial"/>
          <w:i/>
        </w:rPr>
        <w:t>showing that there is a bona fide defence to the plaintiff’s claim which prima facie has some prospects of success.</w:t>
      </w:r>
      <w:r w:rsidR="000863F5">
        <w:rPr>
          <w:rFonts w:ascii="Arial" w:hAnsi="Arial" w:cs="Arial"/>
        </w:rPr>
        <w:t>”</w:t>
      </w:r>
      <w:r w:rsidR="003E5F12">
        <w:rPr>
          <w:rStyle w:val="FootnoteReference"/>
          <w:rFonts w:ascii="Arial" w:hAnsi="Arial" w:cs="Arial"/>
        </w:rPr>
        <w:footnoteReference w:id="1"/>
      </w:r>
    </w:p>
    <w:p w:rsidR="0091779A" w:rsidRPr="0091779A" w:rsidRDefault="0091779A" w:rsidP="004E22EB">
      <w:pPr>
        <w:jc w:val="both"/>
      </w:pPr>
    </w:p>
    <w:p w:rsidR="00E5552A" w:rsidRDefault="00CB42D7" w:rsidP="004E22EB">
      <w:pPr>
        <w:pStyle w:val="JUDGMENTNUMBERED"/>
      </w:pPr>
      <w:r>
        <w:t xml:space="preserve">Rule 42(1) of the Uniform Rules of Court provides that the court may in addition to any </w:t>
      </w:r>
      <w:r w:rsidR="00E5552A">
        <w:t xml:space="preserve">other powers it may have, </w:t>
      </w:r>
      <w:r w:rsidR="00E5552A">
        <w:rPr>
          <w:i/>
        </w:rPr>
        <w:t>mero m</w:t>
      </w:r>
      <w:r w:rsidR="006F6689">
        <w:rPr>
          <w:i/>
        </w:rPr>
        <w:t>o</w:t>
      </w:r>
      <w:r w:rsidR="00E5552A">
        <w:rPr>
          <w:i/>
        </w:rPr>
        <w:t xml:space="preserve">to </w:t>
      </w:r>
      <w:r w:rsidR="00E5552A">
        <w:t>or upon application of any party affected, rescind or vary:</w:t>
      </w:r>
    </w:p>
    <w:p w:rsidR="00E5552A" w:rsidRDefault="00E5552A" w:rsidP="00C41B7F">
      <w:pPr>
        <w:tabs>
          <w:tab w:val="left" w:pos="709"/>
        </w:tabs>
        <w:spacing w:line="360" w:lineRule="auto"/>
        <w:ind w:left="709" w:hanging="567"/>
        <w:jc w:val="both"/>
        <w:rPr>
          <w:rFonts w:ascii="Arial" w:hAnsi="Arial" w:cs="Arial"/>
          <w:sz w:val="24"/>
          <w:szCs w:val="24"/>
        </w:rPr>
      </w:pPr>
      <w:r>
        <w:rPr>
          <w:rFonts w:ascii="Arial" w:hAnsi="Arial" w:cs="Arial"/>
          <w:sz w:val="24"/>
          <w:szCs w:val="24"/>
        </w:rPr>
        <w:t>4.1</w:t>
      </w:r>
      <w:r w:rsidR="00C805E1">
        <w:rPr>
          <w:rFonts w:ascii="Arial" w:hAnsi="Arial" w:cs="Arial"/>
          <w:sz w:val="24"/>
          <w:szCs w:val="24"/>
        </w:rPr>
        <w:tab/>
      </w:r>
      <w:r>
        <w:rPr>
          <w:rFonts w:ascii="Arial" w:hAnsi="Arial" w:cs="Arial"/>
          <w:sz w:val="24"/>
          <w:szCs w:val="24"/>
        </w:rPr>
        <w:t xml:space="preserve">an order or judgment erroneously granted in the absence of any party </w:t>
      </w:r>
      <w:r w:rsidR="00B710DB">
        <w:rPr>
          <w:rFonts w:ascii="Arial" w:hAnsi="Arial" w:cs="Arial"/>
          <w:sz w:val="24"/>
          <w:szCs w:val="24"/>
        </w:rPr>
        <w:t>affected thereby;</w:t>
      </w:r>
    </w:p>
    <w:p w:rsidR="00B710DB" w:rsidRDefault="00B710DB" w:rsidP="00C805E1">
      <w:pPr>
        <w:tabs>
          <w:tab w:val="left" w:pos="709"/>
        </w:tabs>
        <w:spacing w:line="360" w:lineRule="auto"/>
        <w:ind w:left="709" w:hanging="567"/>
        <w:jc w:val="both"/>
        <w:rPr>
          <w:rFonts w:ascii="Arial" w:hAnsi="Arial" w:cs="Arial"/>
          <w:sz w:val="24"/>
          <w:szCs w:val="24"/>
        </w:rPr>
      </w:pPr>
      <w:r>
        <w:rPr>
          <w:rFonts w:ascii="Arial" w:hAnsi="Arial" w:cs="Arial"/>
          <w:sz w:val="24"/>
          <w:szCs w:val="24"/>
        </w:rPr>
        <w:t>4.2</w:t>
      </w:r>
      <w:r w:rsidR="00C805E1">
        <w:rPr>
          <w:rFonts w:ascii="Arial" w:hAnsi="Arial" w:cs="Arial"/>
          <w:sz w:val="24"/>
          <w:szCs w:val="24"/>
        </w:rPr>
        <w:tab/>
      </w:r>
      <w:r>
        <w:rPr>
          <w:rFonts w:ascii="Arial" w:hAnsi="Arial" w:cs="Arial"/>
          <w:sz w:val="24"/>
          <w:szCs w:val="24"/>
        </w:rPr>
        <w:t>an order or judgment in which there is an ambiguity or a patent error or omission</w:t>
      </w:r>
      <w:r w:rsidR="009A7758">
        <w:rPr>
          <w:rFonts w:ascii="Arial" w:hAnsi="Arial" w:cs="Arial"/>
          <w:sz w:val="24"/>
          <w:szCs w:val="24"/>
        </w:rPr>
        <w:t xml:space="preserve">, but </w:t>
      </w:r>
      <w:r w:rsidR="002222C7">
        <w:rPr>
          <w:rFonts w:ascii="Arial" w:hAnsi="Arial" w:cs="Arial"/>
          <w:sz w:val="24"/>
          <w:szCs w:val="24"/>
        </w:rPr>
        <w:t xml:space="preserve">only </w:t>
      </w:r>
      <w:r w:rsidR="009B4891">
        <w:rPr>
          <w:rFonts w:ascii="Arial" w:hAnsi="Arial" w:cs="Arial"/>
          <w:sz w:val="24"/>
          <w:szCs w:val="24"/>
        </w:rPr>
        <w:t>to the extent of such</w:t>
      </w:r>
      <w:r w:rsidR="002222C7">
        <w:rPr>
          <w:rFonts w:ascii="Arial" w:hAnsi="Arial" w:cs="Arial"/>
          <w:sz w:val="24"/>
          <w:szCs w:val="24"/>
        </w:rPr>
        <w:t xml:space="preserve"> ambiguity, error or omission</w:t>
      </w:r>
      <w:r>
        <w:rPr>
          <w:rFonts w:ascii="Arial" w:hAnsi="Arial" w:cs="Arial"/>
          <w:sz w:val="24"/>
          <w:szCs w:val="24"/>
        </w:rPr>
        <w:t xml:space="preserve">; </w:t>
      </w:r>
    </w:p>
    <w:p w:rsidR="009B4891" w:rsidRDefault="009B4891" w:rsidP="00C805E1">
      <w:pPr>
        <w:tabs>
          <w:tab w:val="left" w:pos="709"/>
        </w:tabs>
        <w:spacing w:line="360" w:lineRule="auto"/>
        <w:ind w:left="709" w:hanging="567"/>
        <w:jc w:val="both"/>
        <w:rPr>
          <w:rFonts w:ascii="Arial" w:hAnsi="Arial" w:cs="Arial"/>
          <w:sz w:val="24"/>
          <w:szCs w:val="24"/>
        </w:rPr>
      </w:pPr>
      <w:r>
        <w:rPr>
          <w:rFonts w:ascii="Arial" w:hAnsi="Arial" w:cs="Arial"/>
          <w:sz w:val="24"/>
          <w:szCs w:val="24"/>
        </w:rPr>
        <w:t>4.3</w:t>
      </w:r>
      <w:r w:rsidR="00C805E1">
        <w:rPr>
          <w:rFonts w:ascii="Arial" w:hAnsi="Arial" w:cs="Arial"/>
          <w:sz w:val="24"/>
          <w:szCs w:val="24"/>
        </w:rPr>
        <w:tab/>
      </w:r>
      <w:r>
        <w:rPr>
          <w:rFonts w:ascii="Arial" w:hAnsi="Arial" w:cs="Arial"/>
          <w:sz w:val="24"/>
          <w:szCs w:val="24"/>
        </w:rPr>
        <w:t>an order or judgment granted as a result of a mistake common to the parties.</w:t>
      </w:r>
    </w:p>
    <w:p w:rsidR="009B4891" w:rsidRPr="00E5552A" w:rsidRDefault="009B4891" w:rsidP="004E22EB">
      <w:pPr>
        <w:spacing w:line="360" w:lineRule="auto"/>
        <w:jc w:val="both"/>
        <w:rPr>
          <w:rFonts w:ascii="Arial" w:hAnsi="Arial" w:cs="Arial"/>
          <w:sz w:val="24"/>
          <w:szCs w:val="24"/>
        </w:rPr>
      </w:pPr>
      <w:r>
        <w:rPr>
          <w:rFonts w:ascii="Arial" w:hAnsi="Arial" w:cs="Arial"/>
          <w:sz w:val="24"/>
          <w:szCs w:val="24"/>
        </w:rPr>
        <w:t xml:space="preserve">An order is erroneously granted as </w:t>
      </w:r>
      <w:r w:rsidR="00610388">
        <w:rPr>
          <w:rFonts w:ascii="Arial" w:hAnsi="Arial" w:cs="Arial"/>
          <w:sz w:val="24"/>
          <w:szCs w:val="24"/>
        </w:rPr>
        <w:t>a result of a procedural irregularity</w:t>
      </w:r>
      <w:r w:rsidR="00610388">
        <w:rPr>
          <w:rStyle w:val="FootnoteReference"/>
          <w:rFonts w:ascii="Arial" w:hAnsi="Arial" w:cs="Arial"/>
          <w:sz w:val="24"/>
          <w:szCs w:val="24"/>
        </w:rPr>
        <w:footnoteReference w:id="2"/>
      </w:r>
      <w:r w:rsidR="00A02702">
        <w:rPr>
          <w:rFonts w:ascii="Arial" w:hAnsi="Arial" w:cs="Arial"/>
          <w:sz w:val="24"/>
          <w:szCs w:val="24"/>
        </w:rPr>
        <w:t xml:space="preserve"> or if it was not legally competent for the court to have granted such an order.</w:t>
      </w:r>
      <w:r w:rsidR="00A02702">
        <w:rPr>
          <w:rStyle w:val="FootnoteReference"/>
          <w:rFonts w:ascii="Arial" w:hAnsi="Arial" w:cs="Arial"/>
          <w:sz w:val="24"/>
          <w:szCs w:val="24"/>
        </w:rPr>
        <w:footnoteReference w:id="3"/>
      </w:r>
      <w:r w:rsidR="00A02702">
        <w:rPr>
          <w:rFonts w:ascii="Arial" w:hAnsi="Arial" w:cs="Arial"/>
          <w:sz w:val="24"/>
          <w:szCs w:val="24"/>
        </w:rPr>
        <w:t xml:space="preserve"> Once the court holds that an order or judgment was erroneously sought of granted, it should without further enquiry rescind </w:t>
      </w:r>
      <w:r w:rsidR="00C63F66">
        <w:rPr>
          <w:rFonts w:ascii="Arial" w:hAnsi="Arial" w:cs="Arial"/>
          <w:sz w:val="24"/>
          <w:szCs w:val="24"/>
        </w:rPr>
        <w:t>or vary the order, and it is not necessary for a party to show good cause.</w:t>
      </w:r>
      <w:r w:rsidR="00C63F66">
        <w:rPr>
          <w:rStyle w:val="FootnoteReference"/>
          <w:rFonts w:ascii="Arial" w:hAnsi="Arial" w:cs="Arial"/>
          <w:sz w:val="24"/>
          <w:szCs w:val="24"/>
        </w:rPr>
        <w:footnoteReference w:id="4"/>
      </w:r>
    </w:p>
    <w:p w:rsidR="00E5552A" w:rsidRPr="00E5552A" w:rsidRDefault="00E5552A" w:rsidP="00E5552A"/>
    <w:p w:rsidR="007D6518" w:rsidRDefault="00C63F66" w:rsidP="00C33EE3">
      <w:pPr>
        <w:pStyle w:val="JUDGMENTNUMBERED"/>
      </w:pPr>
      <w:r>
        <w:t>For a rescission of an order in terms of the common law, sufficient cause</w:t>
      </w:r>
      <w:r w:rsidR="007D6518">
        <w:t xml:space="preserve"> must be shown; which means that:</w:t>
      </w:r>
    </w:p>
    <w:p w:rsidR="007D6518" w:rsidRDefault="007D6518" w:rsidP="00C41B7F">
      <w:pPr>
        <w:tabs>
          <w:tab w:val="left" w:pos="709"/>
        </w:tabs>
        <w:ind w:left="709" w:hanging="567"/>
        <w:jc w:val="both"/>
        <w:rPr>
          <w:rFonts w:ascii="Arial" w:hAnsi="Arial" w:cs="Arial"/>
          <w:sz w:val="24"/>
          <w:szCs w:val="24"/>
        </w:rPr>
      </w:pPr>
      <w:r>
        <w:rPr>
          <w:rFonts w:ascii="Arial" w:hAnsi="Arial" w:cs="Arial"/>
          <w:sz w:val="24"/>
          <w:szCs w:val="24"/>
        </w:rPr>
        <w:t>5.1</w:t>
      </w:r>
      <w:r w:rsidR="00C41B7F">
        <w:rPr>
          <w:rFonts w:ascii="Arial" w:hAnsi="Arial" w:cs="Arial"/>
          <w:sz w:val="24"/>
          <w:szCs w:val="24"/>
        </w:rPr>
        <w:tab/>
      </w:r>
      <w:r>
        <w:rPr>
          <w:rFonts w:ascii="Arial" w:hAnsi="Arial" w:cs="Arial"/>
          <w:sz w:val="24"/>
          <w:szCs w:val="24"/>
        </w:rPr>
        <w:t>there must be reasonable explanation for the default;</w:t>
      </w:r>
    </w:p>
    <w:p w:rsidR="007D6518" w:rsidRDefault="007D6518" w:rsidP="00C41B7F">
      <w:pPr>
        <w:tabs>
          <w:tab w:val="left" w:pos="709"/>
        </w:tabs>
        <w:ind w:left="709" w:hanging="567"/>
        <w:jc w:val="both"/>
        <w:rPr>
          <w:rFonts w:ascii="Arial" w:hAnsi="Arial" w:cs="Arial"/>
          <w:sz w:val="24"/>
          <w:szCs w:val="24"/>
        </w:rPr>
      </w:pPr>
      <w:r>
        <w:rPr>
          <w:rFonts w:ascii="Arial" w:hAnsi="Arial" w:cs="Arial"/>
          <w:sz w:val="24"/>
          <w:szCs w:val="24"/>
        </w:rPr>
        <w:t>5.2</w:t>
      </w:r>
      <w:r w:rsidR="00C41B7F">
        <w:rPr>
          <w:rFonts w:ascii="Arial" w:hAnsi="Arial" w:cs="Arial"/>
          <w:sz w:val="24"/>
          <w:szCs w:val="24"/>
        </w:rPr>
        <w:tab/>
      </w:r>
      <w:r>
        <w:rPr>
          <w:rFonts w:ascii="Arial" w:hAnsi="Arial" w:cs="Arial"/>
          <w:sz w:val="24"/>
          <w:szCs w:val="24"/>
        </w:rPr>
        <w:t xml:space="preserve">the applicant must show </w:t>
      </w:r>
      <w:r w:rsidR="004E22EB">
        <w:rPr>
          <w:rFonts w:ascii="Arial" w:hAnsi="Arial" w:cs="Arial"/>
          <w:sz w:val="24"/>
          <w:szCs w:val="24"/>
        </w:rPr>
        <w:t>that the applicant</w:t>
      </w:r>
      <w:r w:rsidR="00A04E2F">
        <w:rPr>
          <w:rFonts w:ascii="Arial" w:hAnsi="Arial" w:cs="Arial"/>
          <w:sz w:val="24"/>
          <w:szCs w:val="24"/>
        </w:rPr>
        <w:t xml:space="preserve"> is made </w:t>
      </w:r>
      <w:r w:rsidR="004E22EB">
        <w:rPr>
          <w:rFonts w:ascii="Arial" w:hAnsi="Arial" w:cs="Arial"/>
          <w:i/>
          <w:sz w:val="24"/>
          <w:szCs w:val="24"/>
        </w:rPr>
        <w:t xml:space="preserve">bona fide; </w:t>
      </w:r>
      <w:r w:rsidR="004E22EB">
        <w:rPr>
          <w:rFonts w:ascii="Arial" w:hAnsi="Arial" w:cs="Arial"/>
          <w:sz w:val="24"/>
          <w:szCs w:val="24"/>
        </w:rPr>
        <w:t>and</w:t>
      </w:r>
    </w:p>
    <w:p w:rsidR="004E22EB" w:rsidRDefault="004E22EB" w:rsidP="00C41B7F">
      <w:pPr>
        <w:tabs>
          <w:tab w:val="left" w:pos="709"/>
        </w:tabs>
        <w:ind w:left="709" w:hanging="567"/>
        <w:jc w:val="both"/>
        <w:rPr>
          <w:rFonts w:ascii="Arial" w:hAnsi="Arial" w:cs="Arial"/>
          <w:sz w:val="24"/>
          <w:szCs w:val="24"/>
        </w:rPr>
      </w:pPr>
      <w:r>
        <w:rPr>
          <w:rFonts w:ascii="Arial" w:hAnsi="Arial" w:cs="Arial"/>
          <w:sz w:val="24"/>
          <w:szCs w:val="24"/>
        </w:rPr>
        <w:t>5.3</w:t>
      </w:r>
      <w:r w:rsidR="00C41B7F">
        <w:rPr>
          <w:rFonts w:ascii="Arial" w:hAnsi="Arial" w:cs="Arial"/>
          <w:sz w:val="24"/>
          <w:szCs w:val="24"/>
        </w:rPr>
        <w:tab/>
      </w:r>
      <w:r>
        <w:rPr>
          <w:rFonts w:ascii="Arial" w:hAnsi="Arial" w:cs="Arial"/>
          <w:sz w:val="24"/>
          <w:szCs w:val="24"/>
        </w:rPr>
        <w:t xml:space="preserve">the applicant must show that he has a </w:t>
      </w:r>
      <w:r>
        <w:rPr>
          <w:rFonts w:ascii="Arial" w:hAnsi="Arial" w:cs="Arial"/>
          <w:i/>
          <w:sz w:val="24"/>
          <w:szCs w:val="24"/>
        </w:rPr>
        <w:t xml:space="preserve">bona fide </w:t>
      </w:r>
      <w:r>
        <w:rPr>
          <w:rFonts w:ascii="Arial" w:hAnsi="Arial" w:cs="Arial"/>
          <w:sz w:val="24"/>
          <w:szCs w:val="24"/>
        </w:rPr>
        <w:t xml:space="preserve">defence which </w:t>
      </w:r>
      <w:r>
        <w:rPr>
          <w:rFonts w:ascii="Arial" w:hAnsi="Arial" w:cs="Arial"/>
          <w:i/>
          <w:sz w:val="24"/>
          <w:szCs w:val="24"/>
        </w:rPr>
        <w:t xml:space="preserve">prima facie </w:t>
      </w:r>
      <w:r>
        <w:rPr>
          <w:rFonts w:ascii="Arial" w:hAnsi="Arial" w:cs="Arial"/>
          <w:sz w:val="24"/>
          <w:szCs w:val="24"/>
        </w:rPr>
        <w:t>has some prospects of success.</w:t>
      </w:r>
    </w:p>
    <w:p w:rsidR="004E22EB" w:rsidRDefault="004E22EB" w:rsidP="007D6518">
      <w:pPr>
        <w:rPr>
          <w:rFonts w:ascii="Arial" w:hAnsi="Arial" w:cs="Arial"/>
          <w:sz w:val="24"/>
          <w:szCs w:val="24"/>
        </w:rPr>
      </w:pPr>
    </w:p>
    <w:p w:rsidR="004E22EB" w:rsidRPr="004E22EB" w:rsidRDefault="004E22EB" w:rsidP="007D6518">
      <w:pPr>
        <w:rPr>
          <w:rFonts w:ascii="Arial" w:hAnsi="Arial" w:cs="Arial"/>
          <w:b/>
          <w:sz w:val="24"/>
          <w:szCs w:val="24"/>
        </w:rPr>
      </w:pPr>
      <w:r>
        <w:rPr>
          <w:rFonts w:ascii="Arial" w:hAnsi="Arial" w:cs="Arial"/>
          <w:b/>
          <w:sz w:val="24"/>
          <w:szCs w:val="24"/>
        </w:rPr>
        <w:t>Background</w:t>
      </w:r>
    </w:p>
    <w:p w:rsidR="007D6518" w:rsidRPr="007D6518" w:rsidRDefault="007D6518" w:rsidP="007D6518"/>
    <w:p w:rsidR="00597BEB" w:rsidRDefault="004E22EB" w:rsidP="00C33EE3">
      <w:pPr>
        <w:pStyle w:val="JUDGMENTNUMBERED"/>
      </w:pPr>
      <w:r>
        <w:t xml:space="preserve">The factual background </w:t>
      </w:r>
      <w:r w:rsidR="005F4F70">
        <w:t>is</w:t>
      </w:r>
      <w:r>
        <w:t xml:space="preserve"> common cause. On 07 November 2018, the applicant and Volkswagen Financial Services (SA)(Pty)(Ltd) </w:t>
      </w:r>
      <w:r w:rsidR="002222C7">
        <w:t xml:space="preserve">(VW) </w:t>
      </w:r>
      <w:r w:rsidR="00597BEB">
        <w:t>entered into a written instalment sale agreement in terms of which the applicant purchased a 2016 Volkswagen Amarok motor vehicle from VW. Thereafter, VW ceded all its rights, title and interest in the instalment sale agreement to the respondent, Velocity Finance</w:t>
      </w:r>
      <w:r w:rsidR="0057353A">
        <w:t xml:space="preserve"> (the plaintiff in the main action). The ter</w:t>
      </w:r>
      <w:r w:rsidR="002222C7">
        <w:t>ms of the agreement are not dispu</w:t>
      </w:r>
      <w:r w:rsidR="0057353A">
        <w:t xml:space="preserve">ted. The applicant fell in arrears with its payment obligations, and the respondent instituted legal action </w:t>
      </w:r>
      <w:r w:rsidR="00E741DB">
        <w:t>for cancellation of the instalment sale agreement</w:t>
      </w:r>
      <w:r w:rsidR="007876C2">
        <w:t xml:space="preserve">, the attachment of the motor vehicle and the return thereof to the respondent due to the applicant being in breach of the agreement. The sheriff served summons at the applicant’s chosen </w:t>
      </w:r>
      <w:r w:rsidR="007876C2" w:rsidRPr="007876C2">
        <w:rPr>
          <w:i/>
        </w:rPr>
        <w:t>domicilium</w:t>
      </w:r>
      <w:r w:rsidR="007876C2">
        <w:t xml:space="preserve"> on 01 October 2020.</w:t>
      </w:r>
    </w:p>
    <w:p w:rsidR="00597BEB" w:rsidRPr="00597BEB" w:rsidRDefault="00597BEB" w:rsidP="00597BEB"/>
    <w:p w:rsidR="00284F40" w:rsidRDefault="007876C2" w:rsidP="00451B16">
      <w:pPr>
        <w:pStyle w:val="JUDGMENTNUMBERED"/>
      </w:pPr>
      <w:r>
        <w:t>The applicant contends that he learned of the legal action in January 2021</w:t>
      </w:r>
      <w:r w:rsidR="00284F40">
        <w:t xml:space="preserve"> and became aware of the default judgment on 26 January 2021. It is the applicant’s submission that: </w:t>
      </w:r>
    </w:p>
    <w:p w:rsidR="00284F40" w:rsidRDefault="00284F40" w:rsidP="00862C00">
      <w:pPr>
        <w:tabs>
          <w:tab w:val="left" w:pos="709"/>
        </w:tabs>
        <w:spacing w:line="360" w:lineRule="auto"/>
        <w:ind w:left="709" w:hanging="567"/>
        <w:jc w:val="both"/>
        <w:rPr>
          <w:rFonts w:ascii="Arial" w:hAnsi="Arial" w:cs="Arial"/>
          <w:sz w:val="24"/>
          <w:szCs w:val="24"/>
        </w:rPr>
      </w:pPr>
      <w:r>
        <w:rPr>
          <w:rFonts w:ascii="Arial" w:hAnsi="Arial" w:cs="Arial"/>
          <w:sz w:val="24"/>
          <w:szCs w:val="24"/>
        </w:rPr>
        <w:t>7.1</w:t>
      </w:r>
      <w:r w:rsidR="00862C00">
        <w:rPr>
          <w:rFonts w:ascii="Arial" w:hAnsi="Arial" w:cs="Arial"/>
          <w:sz w:val="24"/>
          <w:szCs w:val="24"/>
        </w:rPr>
        <w:tab/>
      </w:r>
      <w:r>
        <w:rPr>
          <w:rFonts w:ascii="Arial" w:hAnsi="Arial" w:cs="Arial"/>
          <w:sz w:val="24"/>
          <w:szCs w:val="24"/>
        </w:rPr>
        <w:t>he was not aware of the summons/legal proceedings as the sheriff did not serve the summons on him;</w:t>
      </w:r>
    </w:p>
    <w:p w:rsidR="00284F40" w:rsidRDefault="00284F40" w:rsidP="00862C00">
      <w:pPr>
        <w:tabs>
          <w:tab w:val="left" w:pos="709"/>
        </w:tabs>
        <w:spacing w:line="360" w:lineRule="auto"/>
        <w:ind w:left="709" w:hanging="567"/>
        <w:jc w:val="both"/>
        <w:rPr>
          <w:rFonts w:ascii="Arial" w:hAnsi="Arial" w:cs="Arial"/>
          <w:sz w:val="24"/>
          <w:szCs w:val="24"/>
        </w:rPr>
      </w:pPr>
      <w:r>
        <w:rPr>
          <w:rFonts w:ascii="Arial" w:hAnsi="Arial" w:cs="Arial"/>
          <w:sz w:val="24"/>
          <w:szCs w:val="24"/>
        </w:rPr>
        <w:t>7.2</w:t>
      </w:r>
      <w:r w:rsidR="00862C00">
        <w:rPr>
          <w:rFonts w:ascii="Arial" w:hAnsi="Arial" w:cs="Arial"/>
          <w:sz w:val="24"/>
          <w:szCs w:val="24"/>
        </w:rPr>
        <w:tab/>
      </w:r>
      <w:r>
        <w:rPr>
          <w:rFonts w:ascii="Arial" w:hAnsi="Arial" w:cs="Arial"/>
          <w:sz w:val="24"/>
          <w:szCs w:val="24"/>
        </w:rPr>
        <w:t xml:space="preserve">no section 129 notice as </w:t>
      </w:r>
      <w:r w:rsidR="00451B16">
        <w:rPr>
          <w:rFonts w:ascii="Arial" w:hAnsi="Arial" w:cs="Arial"/>
          <w:sz w:val="24"/>
          <w:szCs w:val="24"/>
        </w:rPr>
        <w:t xml:space="preserve">envisaged in the National Credit Act, 34 of 2005 (‘the NCA’) was served by the respondent; </w:t>
      </w:r>
    </w:p>
    <w:p w:rsidR="00451B16" w:rsidRDefault="00451B16" w:rsidP="00862C00">
      <w:pPr>
        <w:tabs>
          <w:tab w:val="left" w:pos="709"/>
        </w:tabs>
        <w:spacing w:line="360" w:lineRule="auto"/>
        <w:ind w:left="709" w:hanging="567"/>
        <w:jc w:val="both"/>
        <w:rPr>
          <w:rFonts w:ascii="Arial" w:hAnsi="Arial" w:cs="Arial"/>
          <w:sz w:val="24"/>
          <w:szCs w:val="24"/>
        </w:rPr>
      </w:pPr>
      <w:r>
        <w:rPr>
          <w:rFonts w:ascii="Arial" w:hAnsi="Arial" w:cs="Arial"/>
          <w:sz w:val="24"/>
          <w:szCs w:val="24"/>
        </w:rPr>
        <w:t>7.3</w:t>
      </w:r>
      <w:r w:rsidR="00862C00">
        <w:rPr>
          <w:rFonts w:ascii="Arial" w:hAnsi="Arial" w:cs="Arial"/>
          <w:sz w:val="24"/>
          <w:szCs w:val="24"/>
        </w:rPr>
        <w:tab/>
      </w:r>
      <w:r>
        <w:rPr>
          <w:rFonts w:ascii="Arial" w:hAnsi="Arial" w:cs="Arial"/>
          <w:sz w:val="24"/>
          <w:szCs w:val="24"/>
        </w:rPr>
        <w:t xml:space="preserve">there was an oral agreement between the applicant and the respondent which varied the </w:t>
      </w:r>
      <w:r w:rsidR="002222C7">
        <w:rPr>
          <w:rFonts w:ascii="Arial" w:hAnsi="Arial" w:cs="Arial"/>
          <w:sz w:val="24"/>
          <w:szCs w:val="24"/>
        </w:rPr>
        <w:t xml:space="preserve">repayment </w:t>
      </w:r>
      <w:r>
        <w:rPr>
          <w:rFonts w:ascii="Arial" w:hAnsi="Arial" w:cs="Arial"/>
          <w:sz w:val="24"/>
          <w:szCs w:val="24"/>
        </w:rPr>
        <w:t>terms of the agreement.</w:t>
      </w:r>
    </w:p>
    <w:p w:rsidR="009D5D71" w:rsidRDefault="009D5D71" w:rsidP="00862C00">
      <w:pPr>
        <w:tabs>
          <w:tab w:val="left" w:pos="709"/>
        </w:tabs>
        <w:spacing w:line="360" w:lineRule="auto"/>
        <w:ind w:left="709" w:hanging="567"/>
        <w:jc w:val="both"/>
        <w:rPr>
          <w:rFonts w:ascii="Arial" w:hAnsi="Arial" w:cs="Arial"/>
          <w:sz w:val="24"/>
          <w:szCs w:val="24"/>
        </w:rPr>
      </w:pPr>
    </w:p>
    <w:p w:rsidR="00451B16" w:rsidRPr="002222C7" w:rsidRDefault="00451B16" w:rsidP="00451B16">
      <w:pPr>
        <w:spacing w:line="360" w:lineRule="auto"/>
        <w:rPr>
          <w:rFonts w:ascii="Arial" w:hAnsi="Arial" w:cs="Arial"/>
          <w:b/>
          <w:sz w:val="24"/>
          <w:szCs w:val="24"/>
        </w:rPr>
      </w:pPr>
      <w:r w:rsidRPr="002222C7">
        <w:rPr>
          <w:rFonts w:ascii="Arial" w:hAnsi="Arial" w:cs="Arial"/>
          <w:b/>
          <w:sz w:val="24"/>
          <w:szCs w:val="24"/>
        </w:rPr>
        <w:lastRenderedPageBreak/>
        <w:t>Point in limine</w:t>
      </w:r>
    </w:p>
    <w:p w:rsidR="00247E6A" w:rsidRDefault="00451B16" w:rsidP="00451B16">
      <w:pPr>
        <w:pStyle w:val="JUDGMENTNUMBERED"/>
      </w:pPr>
      <w:r>
        <w:t xml:space="preserve">The applicant in its replying affidavit raised a </w:t>
      </w:r>
      <w:r w:rsidRPr="00AB7333">
        <w:rPr>
          <w:i/>
        </w:rPr>
        <w:t>point in</w:t>
      </w:r>
      <w:r>
        <w:t xml:space="preserve"> </w:t>
      </w:r>
      <w:r w:rsidRPr="00451B16">
        <w:rPr>
          <w:i/>
        </w:rPr>
        <w:t>limine</w:t>
      </w:r>
      <w:r>
        <w:t xml:space="preserve"> </w:t>
      </w:r>
      <w:r w:rsidR="00AB7333">
        <w:t xml:space="preserve">that the </w:t>
      </w:r>
      <w:r w:rsidR="00247E6A">
        <w:t xml:space="preserve">deponent to the respondent’s answering affidavit had no authority to depose to the affidavit on behalf of the respondent. </w:t>
      </w:r>
    </w:p>
    <w:p w:rsidR="00247E6A" w:rsidRPr="00247E6A" w:rsidRDefault="00247E6A" w:rsidP="00247E6A"/>
    <w:p w:rsidR="00C56180" w:rsidRDefault="00247E6A" w:rsidP="00451B16">
      <w:pPr>
        <w:pStyle w:val="JUDGMENTNUMBERED"/>
      </w:pPr>
      <w:r>
        <w:t xml:space="preserve">The legal principle is that a deponent to an affidavit </w:t>
      </w:r>
      <w:r w:rsidR="00C56180">
        <w:t>does not need to be authorised to depose to an affidavit. Rule 7(1) of the Uniform Rules of Court provides that:</w:t>
      </w:r>
    </w:p>
    <w:p w:rsidR="00C56180" w:rsidRPr="00E85C2C" w:rsidRDefault="009D5D71" w:rsidP="00D0149F">
      <w:pPr>
        <w:spacing w:line="360" w:lineRule="auto"/>
        <w:ind w:left="720"/>
        <w:jc w:val="both"/>
        <w:rPr>
          <w:rFonts w:ascii="Arial" w:hAnsi="Arial" w:cs="Arial"/>
        </w:rPr>
      </w:pPr>
      <w:r>
        <w:rPr>
          <w:rFonts w:ascii="Arial" w:hAnsi="Arial" w:cs="Arial"/>
        </w:rPr>
        <w:t>“</w:t>
      </w:r>
      <w:r w:rsidR="00E85C2C" w:rsidRPr="00F5361A">
        <w:rPr>
          <w:rFonts w:ascii="Arial" w:hAnsi="Arial" w:cs="Arial"/>
          <w:i/>
        </w:rPr>
        <w:t xml:space="preserve">(1) Subject to the provisions of subrules (2) and (3) a power of attorney to act need to be filed, but the authority of anyone acting on behalf of a party, may, within 10 (ten) days after it has come to the notice of a party that such person is so acting or with the leave of the court on </w:t>
      </w:r>
      <w:r w:rsidR="00007216" w:rsidRPr="00F5361A">
        <w:rPr>
          <w:rFonts w:ascii="Arial" w:hAnsi="Arial" w:cs="Arial"/>
          <w:i/>
        </w:rPr>
        <w:t>good cause shown at any</w:t>
      </w:r>
      <w:r w:rsidR="002222C7" w:rsidRPr="00F5361A">
        <w:rPr>
          <w:rFonts w:ascii="Arial" w:hAnsi="Arial" w:cs="Arial"/>
          <w:i/>
        </w:rPr>
        <w:t xml:space="preserve"> </w:t>
      </w:r>
      <w:r w:rsidR="00007216" w:rsidRPr="00F5361A">
        <w:rPr>
          <w:rFonts w:ascii="Arial" w:hAnsi="Arial" w:cs="Arial"/>
          <w:i/>
        </w:rPr>
        <w:t>time before judgment, be disputed, whereafter such person may no longer act unless he is authorised so to act, and to enable him to do so the court may postpone the hearing of the action or application</w:t>
      </w:r>
      <w:r w:rsidR="00007216">
        <w:rPr>
          <w:rFonts w:ascii="Arial" w:hAnsi="Arial" w:cs="Arial"/>
        </w:rPr>
        <w:t>.</w:t>
      </w:r>
      <w:r>
        <w:rPr>
          <w:rFonts w:ascii="Arial" w:hAnsi="Arial" w:cs="Arial"/>
        </w:rPr>
        <w:t>”</w:t>
      </w:r>
    </w:p>
    <w:p w:rsidR="00C56180" w:rsidRPr="00C56180" w:rsidRDefault="00C56180" w:rsidP="00C56180"/>
    <w:p w:rsidR="00D0149F" w:rsidRDefault="00C56180" w:rsidP="00451B16">
      <w:pPr>
        <w:pStyle w:val="JUDGMENTNUMBERED"/>
      </w:pPr>
      <w:r>
        <w:t xml:space="preserve"> </w:t>
      </w:r>
      <w:r w:rsidR="00D0149F">
        <w:t>Since the inception of the above-mentioned rule 7(1)</w:t>
      </w:r>
      <w:r w:rsidR="002222C7">
        <w:t>,</w:t>
      </w:r>
      <w:r w:rsidR="00D0149F">
        <w:t xml:space="preserve"> any issue with the authority of a party representing another in legal proceedings held in the High Court should be raised in the context of rule 7(1). If the legal practitioner is duly authorised, it follows that the legal proceedings are autho</w:t>
      </w:r>
      <w:r w:rsidR="009A75C5">
        <w:t xml:space="preserve">rised, and any witness (or affidavit) relied upon by the legal practitioner in such proceedings is so relied upon at the behest of the legal practitioner. As such, any challenge to the authority of a party begins and ends with the authority of the </w:t>
      </w:r>
      <w:r w:rsidR="00214706">
        <w:t xml:space="preserve">legal practitioner, and is in this case, not in the replying </w:t>
      </w:r>
      <w:r w:rsidR="00D63C21">
        <w:t>affidavit or heads of argument.</w:t>
      </w:r>
      <w:r w:rsidR="00D63C21">
        <w:rPr>
          <w:rStyle w:val="FootnoteReference"/>
        </w:rPr>
        <w:footnoteReference w:id="5"/>
      </w:r>
      <w:r w:rsidR="00D63C21">
        <w:t xml:space="preserve"> Only a legal </w:t>
      </w:r>
      <w:r w:rsidR="002222C7">
        <w:t xml:space="preserve">practitioner </w:t>
      </w:r>
      <w:r w:rsidR="00D63C21">
        <w:t xml:space="preserve">needs authority to act on behalf of a party. There is therefore no merit in the </w:t>
      </w:r>
      <w:r w:rsidR="00D63C21" w:rsidRPr="00D63C21">
        <w:rPr>
          <w:i/>
        </w:rPr>
        <w:t>point in limine</w:t>
      </w:r>
      <w:r w:rsidR="00D63C21">
        <w:rPr>
          <w:i/>
        </w:rPr>
        <w:t xml:space="preserve"> </w:t>
      </w:r>
      <w:r w:rsidR="00D63C21">
        <w:t>and it should fail.</w:t>
      </w:r>
    </w:p>
    <w:p w:rsidR="00D0149F" w:rsidRDefault="00D0149F" w:rsidP="00D0149F"/>
    <w:p w:rsidR="00D63C21" w:rsidRPr="002222C7" w:rsidRDefault="00D63C21" w:rsidP="00D0149F">
      <w:pPr>
        <w:rPr>
          <w:rFonts w:ascii="Arial" w:hAnsi="Arial" w:cs="Arial"/>
          <w:b/>
          <w:sz w:val="24"/>
          <w:szCs w:val="24"/>
        </w:rPr>
      </w:pPr>
      <w:r w:rsidRPr="002222C7">
        <w:rPr>
          <w:rFonts w:ascii="Arial" w:hAnsi="Arial" w:cs="Arial"/>
          <w:b/>
          <w:sz w:val="24"/>
          <w:szCs w:val="24"/>
        </w:rPr>
        <w:t>Service of the summons</w:t>
      </w:r>
    </w:p>
    <w:p w:rsidR="009667D5" w:rsidRDefault="00D63C21" w:rsidP="00451B16">
      <w:pPr>
        <w:pStyle w:val="JUDGMENTNUMBERED"/>
      </w:pPr>
      <w:r>
        <w:t xml:space="preserve">The </w:t>
      </w:r>
      <w:r w:rsidR="002222C7">
        <w:t>high</w:t>
      </w:r>
      <w:r w:rsidR="003846AA">
        <w:t>water</w:t>
      </w:r>
      <w:r w:rsidR="00082C80">
        <w:t xml:space="preserve"> mark of the application fo</w:t>
      </w:r>
      <w:r>
        <w:t xml:space="preserve">r rescission </w:t>
      </w:r>
      <w:r w:rsidR="00082C80">
        <w:t xml:space="preserve">of judgment is that the applicant did not receive </w:t>
      </w:r>
      <w:r w:rsidR="00264CD3">
        <w:t xml:space="preserve">the summons nor the notice of set down for the default judgment application. Counsel for the applicant submitted </w:t>
      </w:r>
      <w:r w:rsidR="002222C7">
        <w:t xml:space="preserve">that </w:t>
      </w:r>
      <w:r w:rsidR="00264CD3">
        <w:t xml:space="preserve">according to the sheriff’s return of service the applicant’s business premises are kept locked and the applicant’s business is no longer at the given address, and service was therefore </w:t>
      </w:r>
      <w:r w:rsidR="00264CD3">
        <w:lastRenderedPageBreak/>
        <w:t xml:space="preserve">effected by affixing. It is therefore argued that the sheriff should have made a return of </w:t>
      </w:r>
      <w:r w:rsidR="002222C7">
        <w:t>non-</w:t>
      </w:r>
      <w:r w:rsidR="00264CD3">
        <w:t xml:space="preserve">service as the applicant’s business is no longer at the given address. </w:t>
      </w:r>
    </w:p>
    <w:p w:rsidR="009667D5" w:rsidRDefault="009667D5" w:rsidP="009667D5">
      <w:pPr>
        <w:pStyle w:val="JUDGMENTNUMBERED"/>
        <w:numPr>
          <w:ilvl w:val="0"/>
          <w:numId w:val="0"/>
        </w:numPr>
      </w:pPr>
    </w:p>
    <w:p w:rsidR="00264CD3" w:rsidRDefault="00264CD3" w:rsidP="00265330">
      <w:pPr>
        <w:pStyle w:val="JUDGMENTNUMBERED"/>
      </w:pPr>
      <w:r>
        <w:t>Rule 4 of the Uniform Rules of Court provides for different manners in which summons may be served. Rule 4(1)(a)(iv) states that:</w:t>
      </w:r>
    </w:p>
    <w:p w:rsidR="00264CD3" w:rsidRPr="00F5361A" w:rsidRDefault="006804E7" w:rsidP="00717C3E">
      <w:pPr>
        <w:spacing w:after="0" w:line="360" w:lineRule="auto"/>
        <w:ind w:left="720"/>
        <w:jc w:val="both"/>
        <w:rPr>
          <w:rFonts w:ascii="Arial" w:hAnsi="Arial" w:cs="Arial"/>
          <w:i/>
        </w:rPr>
      </w:pPr>
      <w:r>
        <w:rPr>
          <w:rFonts w:ascii="Arial" w:hAnsi="Arial" w:cs="Arial"/>
          <w:i/>
        </w:rPr>
        <w:t>“</w:t>
      </w:r>
      <w:r w:rsidR="00264CD3" w:rsidRPr="00F5361A">
        <w:rPr>
          <w:rFonts w:ascii="Arial" w:hAnsi="Arial" w:cs="Arial"/>
          <w:i/>
        </w:rPr>
        <w:t>(1)(a) Service of any process of the court directed to the sheriff and subject to the provisions of paragraph (</w:t>
      </w:r>
      <w:r>
        <w:rPr>
          <w:rFonts w:ascii="Arial" w:hAnsi="Arial" w:cs="Arial"/>
          <w:i/>
        </w:rPr>
        <w:t>a</w:t>
      </w:r>
      <w:r w:rsidR="00265330" w:rsidRPr="00F5361A">
        <w:rPr>
          <w:rFonts w:ascii="Arial" w:hAnsi="Arial" w:cs="Arial"/>
          <w:i/>
        </w:rPr>
        <w:t>A) any document initiating application proceedings shall be effected by the sheriff in one or other of the following manner-</w:t>
      </w:r>
    </w:p>
    <w:p w:rsidR="00265330" w:rsidRPr="00F5361A" w:rsidRDefault="00265330" w:rsidP="00717C3E">
      <w:pPr>
        <w:spacing w:after="0" w:line="360" w:lineRule="auto"/>
        <w:ind w:left="720"/>
        <w:jc w:val="both"/>
        <w:rPr>
          <w:rFonts w:ascii="Arial" w:hAnsi="Arial" w:cs="Arial"/>
          <w:i/>
        </w:rPr>
      </w:pPr>
      <w:r w:rsidRPr="00F5361A">
        <w:rPr>
          <w:rFonts w:ascii="Arial" w:hAnsi="Arial" w:cs="Arial"/>
          <w:i/>
        </w:rPr>
        <w:t>…</w:t>
      </w:r>
    </w:p>
    <w:p w:rsidR="00265330" w:rsidRPr="00264CD3" w:rsidRDefault="00265330" w:rsidP="00717C3E">
      <w:pPr>
        <w:spacing w:after="0" w:line="360" w:lineRule="auto"/>
        <w:ind w:left="720"/>
        <w:jc w:val="both"/>
        <w:rPr>
          <w:rFonts w:ascii="Arial" w:hAnsi="Arial" w:cs="Arial"/>
        </w:rPr>
      </w:pPr>
      <w:r w:rsidRPr="00F5361A">
        <w:rPr>
          <w:rFonts w:ascii="Arial" w:hAnsi="Arial" w:cs="Arial"/>
          <w:i/>
        </w:rPr>
        <w:t>(iv) if the person so to be served has chosen a domicilium citandi; by delivering or leaving a copy thereof at the domicilium so chosen;</w:t>
      </w:r>
      <w:r w:rsidR="006804E7">
        <w:rPr>
          <w:rFonts w:ascii="Arial" w:hAnsi="Arial" w:cs="Arial"/>
        </w:rPr>
        <w:t>”</w:t>
      </w:r>
    </w:p>
    <w:p w:rsidR="00264CD3" w:rsidRPr="006C52D5" w:rsidRDefault="00264CD3" w:rsidP="00264CD3">
      <w:pPr>
        <w:rPr>
          <w:i/>
        </w:rPr>
      </w:pPr>
    </w:p>
    <w:p w:rsidR="000C1C56" w:rsidRDefault="006C52D5" w:rsidP="00451B16">
      <w:pPr>
        <w:pStyle w:val="JUDGMENTNUMBERED"/>
      </w:pPr>
      <w:r>
        <w:t xml:space="preserve">The applicant’s chosen </w:t>
      </w:r>
      <w:r>
        <w:rPr>
          <w:i/>
        </w:rPr>
        <w:t xml:space="preserve">domicilium citandi </w:t>
      </w:r>
      <w:r>
        <w:t>in the instalment sale a</w:t>
      </w:r>
      <w:r w:rsidR="002222C7">
        <w:t>greement is 82 Edwards Avenue, O</w:t>
      </w:r>
      <w:r>
        <w:t>ffice no 2, Westonaria, and this is the address where the sheriff effected service of the summons o</w:t>
      </w:r>
      <w:r w:rsidR="002222C7">
        <w:t>n</w:t>
      </w:r>
      <w:r>
        <w:t xml:space="preserve"> 01 October 2020, in terms of rule 4(1)(a)(iv). Our courts have held that if the debtor was not there at the chosen </w:t>
      </w:r>
      <w:r>
        <w:rPr>
          <w:i/>
        </w:rPr>
        <w:t xml:space="preserve">domicilium citandi </w:t>
      </w:r>
      <w:r>
        <w:t>address, it does not alter the fact that there was adequate service.</w:t>
      </w:r>
      <w:r w:rsidR="000C1C56">
        <w:rPr>
          <w:rStyle w:val="FootnoteReference"/>
        </w:rPr>
        <w:footnoteReference w:id="6"/>
      </w:r>
      <w:r>
        <w:t xml:space="preserve"> Even if the defendant did not get </w:t>
      </w:r>
      <w:r w:rsidR="000C1C56">
        <w:t>knowledge of the summons, service would be proper if the rules of service were followed.</w:t>
      </w:r>
      <w:r w:rsidR="000C1C56">
        <w:rPr>
          <w:rStyle w:val="FootnoteReference"/>
        </w:rPr>
        <w:footnoteReference w:id="7"/>
      </w:r>
    </w:p>
    <w:p w:rsidR="000C1C56" w:rsidRPr="000C1C56" w:rsidRDefault="000C1C56" w:rsidP="000C1C56"/>
    <w:p w:rsidR="004E56CC" w:rsidRDefault="000C1C56" w:rsidP="004E56CC">
      <w:pPr>
        <w:pStyle w:val="JUDGMENTNUMBERED"/>
      </w:pPr>
      <w:r>
        <w:t xml:space="preserve">I am satisfied </w:t>
      </w:r>
      <w:r w:rsidR="004E56CC">
        <w:t xml:space="preserve">that the sheriff </w:t>
      </w:r>
      <w:r w:rsidR="004E56CC" w:rsidRPr="003846AA">
        <w:rPr>
          <w:i/>
        </w:rPr>
        <w:t>in casu</w:t>
      </w:r>
      <w:r w:rsidR="004E56CC">
        <w:t xml:space="preserve"> proper</w:t>
      </w:r>
      <w:r>
        <w:t>ly</w:t>
      </w:r>
      <w:r w:rsidR="004E56CC">
        <w:t xml:space="preserve"> served the summon</w:t>
      </w:r>
      <w:r w:rsidR="002222C7">
        <w:t>s</w:t>
      </w:r>
      <w:r w:rsidR="004E56CC">
        <w:t xml:space="preserve"> in terms of the rule 4(1)(a)(iv), and the default judgment was properly granted even without the applicant’s knowledge. It cannot be argued that there existed a procedural irregularity in terms of rule 42(1) and in my view, the rescission application cannot succeed on this basis.</w:t>
      </w:r>
    </w:p>
    <w:p w:rsidR="004E56CC" w:rsidRPr="004E56CC" w:rsidRDefault="004E56CC" w:rsidP="004E56CC"/>
    <w:p w:rsidR="001C0902" w:rsidRDefault="004E56CC" w:rsidP="00451B16">
      <w:pPr>
        <w:pStyle w:val="JUDGMENTNUMBERED"/>
      </w:pPr>
      <w:r>
        <w:t xml:space="preserve">Furthermore, in terms of the instalment sale agreement, the applicant must immediately notify the respondent in writing of any change to the chosen </w:t>
      </w:r>
      <w:r>
        <w:rPr>
          <w:i/>
        </w:rPr>
        <w:t xml:space="preserve">domicilium </w:t>
      </w:r>
      <w:r>
        <w:t>address and failure to do so the respondent will for all purposes us</w:t>
      </w:r>
      <w:r w:rsidR="001C0902">
        <w:t>e the address it has even if the applicant is no longer there. Although the judgment was granted in the applicant’s absence, it is not in my view a default judgment as envisaged in r</w:t>
      </w:r>
      <w:r w:rsidR="00DF4091">
        <w:t xml:space="preserve">ule 31, </w:t>
      </w:r>
      <w:r w:rsidR="00DF4091">
        <w:lastRenderedPageBreak/>
        <w:t>and such judgment cannot be rescinded in terms of rule 31(2)(b) of the Uniform Rules of Court.</w:t>
      </w:r>
    </w:p>
    <w:p w:rsidR="00DF4091" w:rsidRDefault="00DF4091" w:rsidP="00DF4091"/>
    <w:p w:rsidR="00DF4091" w:rsidRPr="002222C7" w:rsidRDefault="00DF4091" w:rsidP="00DF4091">
      <w:pPr>
        <w:rPr>
          <w:rFonts w:ascii="Arial" w:hAnsi="Arial" w:cs="Arial"/>
          <w:b/>
          <w:sz w:val="24"/>
          <w:szCs w:val="24"/>
        </w:rPr>
      </w:pPr>
      <w:r w:rsidRPr="002222C7">
        <w:rPr>
          <w:rFonts w:ascii="Arial" w:hAnsi="Arial" w:cs="Arial"/>
          <w:b/>
          <w:sz w:val="24"/>
          <w:szCs w:val="24"/>
        </w:rPr>
        <w:t>Section 129 notice</w:t>
      </w:r>
    </w:p>
    <w:p w:rsidR="001C0902" w:rsidRPr="001C0902" w:rsidRDefault="001C0902" w:rsidP="001C0902"/>
    <w:p w:rsidR="00DF4091" w:rsidRDefault="00DF4091" w:rsidP="00451B16">
      <w:pPr>
        <w:pStyle w:val="JUDGMENTNUMBERED"/>
      </w:pPr>
      <w:r>
        <w:t xml:space="preserve">Section 129 read with section 130 of the NCA stipulates that a credit provider should deliver a section 129(1)(a) notice </w:t>
      </w:r>
      <w:r w:rsidR="008A687E">
        <w:t>to a consumer, informing such consumer of their rights under NCA prior to taking legal action. Counsel for the respondent however submitted that the respondent is exempt from such obligation as the instalment sale agreement does not fall within the ambit of the NCA by the workings of section 4(1) of the NCA.</w:t>
      </w:r>
    </w:p>
    <w:p w:rsidR="00DF4091" w:rsidRPr="00DF4091" w:rsidRDefault="00DF4091" w:rsidP="00DF4091"/>
    <w:p w:rsidR="009D4080" w:rsidRDefault="008A687E" w:rsidP="00A22982">
      <w:pPr>
        <w:pStyle w:val="JUDGMENTNUMBERED"/>
      </w:pPr>
      <w:r>
        <w:t xml:space="preserve">Section 4(1) of the NCA states that: </w:t>
      </w:r>
    </w:p>
    <w:p w:rsidR="009D4080" w:rsidRPr="00F5361A" w:rsidRDefault="005C4454" w:rsidP="00A22982">
      <w:pPr>
        <w:spacing w:line="360" w:lineRule="auto"/>
        <w:ind w:left="708"/>
        <w:jc w:val="both"/>
        <w:rPr>
          <w:rFonts w:ascii="Arial" w:hAnsi="Arial" w:cs="Arial"/>
          <w:i/>
        </w:rPr>
      </w:pPr>
      <w:r>
        <w:rPr>
          <w:rFonts w:ascii="Arial" w:hAnsi="Arial" w:cs="Arial"/>
        </w:rPr>
        <w:t>“</w:t>
      </w:r>
      <w:r w:rsidR="009D4080" w:rsidRPr="00F5361A">
        <w:rPr>
          <w:rFonts w:ascii="Arial" w:hAnsi="Arial" w:cs="Arial"/>
          <w:i/>
        </w:rPr>
        <w:t>Subject to sections 5 and 6, this Act applies to every credit agreement between parties dealing at arm’s length and made within or having an effect within the Republic except-</w:t>
      </w:r>
    </w:p>
    <w:p w:rsidR="009D4080" w:rsidRPr="00F5361A" w:rsidRDefault="009D4080" w:rsidP="00A22982">
      <w:pPr>
        <w:pStyle w:val="ListParagraph"/>
        <w:numPr>
          <w:ilvl w:val="1"/>
          <w:numId w:val="1"/>
        </w:numPr>
        <w:spacing w:line="360" w:lineRule="auto"/>
        <w:ind w:left="1776"/>
        <w:jc w:val="both"/>
        <w:rPr>
          <w:rFonts w:ascii="Arial" w:hAnsi="Arial" w:cs="Arial"/>
          <w:i/>
        </w:rPr>
      </w:pPr>
      <w:r w:rsidRPr="00F5361A">
        <w:rPr>
          <w:rFonts w:ascii="Arial" w:hAnsi="Arial" w:cs="Arial"/>
          <w:i/>
        </w:rPr>
        <w:t>a credit agreement in terms of which the consumer is-</w:t>
      </w:r>
    </w:p>
    <w:p w:rsidR="009D4080" w:rsidRPr="00F5361A" w:rsidRDefault="009D4080" w:rsidP="00717C3E">
      <w:pPr>
        <w:pStyle w:val="ListParagraph"/>
        <w:numPr>
          <w:ilvl w:val="0"/>
          <w:numId w:val="6"/>
        </w:numPr>
        <w:spacing w:line="360" w:lineRule="auto"/>
        <w:jc w:val="both"/>
        <w:rPr>
          <w:rFonts w:ascii="Arial" w:hAnsi="Arial" w:cs="Arial"/>
          <w:i/>
        </w:rPr>
      </w:pPr>
      <w:r w:rsidRPr="00F5361A">
        <w:rPr>
          <w:rFonts w:ascii="Arial" w:hAnsi="Arial" w:cs="Arial"/>
          <w:i/>
        </w:rPr>
        <w:t>a juristic person whose asset value or annual turnover, together with the combined asset value or annual turnover of all related juristic persons, at the time the agreement is made, equals or exceeds the threshold value determined by the Minister in terms of Section 7(1)</w:t>
      </w:r>
      <w:r w:rsidR="00A22982" w:rsidRPr="00F5361A">
        <w:rPr>
          <w:rFonts w:ascii="Arial" w:hAnsi="Arial" w:cs="Arial"/>
          <w:i/>
        </w:rPr>
        <w:t xml:space="preserve"> </w:t>
      </w:r>
      <w:r w:rsidRPr="00F5361A">
        <w:rPr>
          <w:rFonts w:ascii="Arial" w:hAnsi="Arial" w:cs="Arial"/>
          <w:i/>
        </w:rPr>
        <w:t>…</w:t>
      </w:r>
    </w:p>
    <w:p w:rsidR="009D4080" w:rsidRPr="009D4080" w:rsidRDefault="009D4080" w:rsidP="00A22982">
      <w:pPr>
        <w:pStyle w:val="ListParagraph"/>
        <w:numPr>
          <w:ilvl w:val="1"/>
          <w:numId w:val="1"/>
        </w:numPr>
        <w:spacing w:line="360" w:lineRule="auto"/>
        <w:ind w:left="1776"/>
        <w:jc w:val="both"/>
        <w:rPr>
          <w:rFonts w:ascii="Arial" w:hAnsi="Arial" w:cs="Arial"/>
        </w:rPr>
      </w:pPr>
      <w:r w:rsidRPr="00F5361A">
        <w:rPr>
          <w:rFonts w:ascii="Arial" w:hAnsi="Arial" w:cs="Arial"/>
          <w:i/>
        </w:rPr>
        <w:t>a large agreement, as described in section 9(4), in terms of which the con</w:t>
      </w:r>
      <w:r w:rsidR="00A22982" w:rsidRPr="00F5361A">
        <w:rPr>
          <w:rFonts w:ascii="Arial" w:hAnsi="Arial" w:cs="Arial"/>
          <w:i/>
        </w:rPr>
        <w:t>sumer is a juristic person whose asset value or annual turnover is, at the time the agreement is made, below the threshold value determined by the Minister in terms of section 7(1) …</w:t>
      </w:r>
      <w:r w:rsidR="005C4454">
        <w:rPr>
          <w:rFonts w:ascii="Arial" w:hAnsi="Arial" w:cs="Arial"/>
        </w:rPr>
        <w:t>”</w:t>
      </w:r>
      <w:r w:rsidR="000D6747">
        <w:rPr>
          <w:rStyle w:val="FootnoteReference"/>
          <w:rFonts w:ascii="Arial" w:hAnsi="Arial" w:cs="Arial"/>
        </w:rPr>
        <w:footnoteReference w:id="8"/>
      </w:r>
    </w:p>
    <w:p w:rsidR="009D4080" w:rsidRPr="009D4080" w:rsidRDefault="009D4080" w:rsidP="009D4080"/>
    <w:p w:rsidR="00A22982" w:rsidRDefault="00A22982" w:rsidP="00451B16">
      <w:pPr>
        <w:pStyle w:val="JUDGMENTNUMBERED"/>
      </w:pPr>
      <w:r>
        <w:t>It is the respondent’s submission that the instalment sale agreement falls within the scope of section (4)(a)(i) of the NCA, causing the agreement to fall outside the ambit of the NCA, making section 129 (1)</w:t>
      </w:r>
      <w:r w:rsidR="002222C7">
        <w:t xml:space="preserve"> redundant to this matter.</w:t>
      </w:r>
      <w:r>
        <w:t xml:space="preserve"> </w:t>
      </w:r>
      <w:r w:rsidR="002222C7">
        <w:t>T</w:t>
      </w:r>
      <w:r>
        <w:t>herefore</w:t>
      </w:r>
      <w:r w:rsidR="002222C7">
        <w:t>,</w:t>
      </w:r>
      <w:r>
        <w:t xml:space="preserve"> </w:t>
      </w:r>
      <w:r w:rsidR="002222C7">
        <w:t xml:space="preserve">there is </w:t>
      </w:r>
      <w:r>
        <w:t>no requirement to send out a section 129 notice to the applicant.</w:t>
      </w:r>
    </w:p>
    <w:p w:rsidR="00A22982" w:rsidRDefault="00A22982" w:rsidP="00A22982">
      <w:pPr>
        <w:pStyle w:val="JUDGMENTNUMBERED"/>
        <w:numPr>
          <w:ilvl w:val="0"/>
          <w:numId w:val="0"/>
        </w:numPr>
      </w:pPr>
    </w:p>
    <w:p w:rsidR="000D6747" w:rsidRDefault="00A22982" w:rsidP="003846AA">
      <w:pPr>
        <w:pStyle w:val="JUDGMENTNUMBERED"/>
      </w:pPr>
      <w:r>
        <w:t>In interpreting section 4(1) of the NCA, the Supreme Court of Appeal held that:</w:t>
      </w:r>
    </w:p>
    <w:p w:rsidR="000D6747" w:rsidRPr="000D6747" w:rsidRDefault="00312F6D" w:rsidP="003846AA">
      <w:pPr>
        <w:spacing w:line="360" w:lineRule="auto"/>
        <w:ind w:left="720"/>
        <w:jc w:val="both"/>
        <w:rPr>
          <w:rFonts w:ascii="Arial" w:hAnsi="Arial" w:cs="Arial"/>
        </w:rPr>
      </w:pPr>
      <w:r>
        <w:lastRenderedPageBreak/>
        <w:t>“</w:t>
      </w:r>
      <w:r w:rsidR="000D6747" w:rsidRPr="00F5361A">
        <w:rPr>
          <w:rFonts w:ascii="Arial" w:hAnsi="Arial" w:cs="Arial"/>
          <w:i/>
        </w:rPr>
        <w:t xml:space="preserve">If Clear Creek [a juristic person] had an asset or annual turnover greater than the threshold set by the Minister under the Act [NCA], it was excluded in terms of s4(1)(a)(i). If it had an asset value or annual turnover below that threshold, s4(1)(b) made s9(4) applicable and mortgage bonds [large agreements] were excluded. So, regardless of the asset </w:t>
      </w:r>
      <w:r w:rsidR="00997B8C" w:rsidRPr="00F5361A">
        <w:rPr>
          <w:rFonts w:ascii="Arial" w:hAnsi="Arial" w:cs="Arial"/>
          <w:i/>
        </w:rPr>
        <w:t>value or annual turnover of Clear Creek, the Act did not by law, apply to the agreement.</w:t>
      </w:r>
      <w:r>
        <w:rPr>
          <w:rFonts w:ascii="Arial" w:hAnsi="Arial" w:cs="Arial"/>
        </w:rPr>
        <w:t>”</w:t>
      </w:r>
      <w:r w:rsidR="00997B8C">
        <w:rPr>
          <w:rStyle w:val="FootnoteReference"/>
          <w:rFonts w:ascii="Arial" w:hAnsi="Arial" w:cs="Arial"/>
        </w:rPr>
        <w:footnoteReference w:id="9"/>
      </w:r>
    </w:p>
    <w:p w:rsidR="000D6747" w:rsidRPr="000D6747" w:rsidRDefault="000D6747" w:rsidP="000D6747"/>
    <w:p w:rsidR="00997B8C" w:rsidRDefault="00997B8C" w:rsidP="00451B16">
      <w:pPr>
        <w:pStyle w:val="JUDGMENTNUMBERED"/>
      </w:pPr>
      <w:r>
        <w:t xml:space="preserve">Accordingly, the applicant </w:t>
      </w:r>
      <w:r w:rsidRPr="00997B8C">
        <w:rPr>
          <w:i/>
        </w:rPr>
        <w:t>in casu</w:t>
      </w:r>
      <w:r>
        <w:t xml:space="preserve"> cannot rely on the provisions of the NCA for not receiving a section 129 notice in order to show a </w:t>
      </w:r>
      <w:r>
        <w:rPr>
          <w:i/>
        </w:rPr>
        <w:t xml:space="preserve">bona fide </w:t>
      </w:r>
      <w:r>
        <w:t xml:space="preserve">defence to the respondent’s claim as the NCA does not regulate the instalment sale agreement. </w:t>
      </w:r>
    </w:p>
    <w:p w:rsidR="00997B8C" w:rsidRDefault="00997B8C" w:rsidP="00997B8C"/>
    <w:p w:rsidR="00997B8C" w:rsidRPr="002222C7" w:rsidRDefault="00997B8C" w:rsidP="00997B8C">
      <w:pPr>
        <w:rPr>
          <w:rFonts w:ascii="Arial" w:hAnsi="Arial" w:cs="Arial"/>
          <w:b/>
          <w:sz w:val="24"/>
          <w:szCs w:val="24"/>
        </w:rPr>
      </w:pPr>
      <w:r w:rsidRPr="002222C7">
        <w:rPr>
          <w:rFonts w:ascii="Arial" w:hAnsi="Arial" w:cs="Arial"/>
          <w:b/>
          <w:sz w:val="24"/>
          <w:szCs w:val="24"/>
        </w:rPr>
        <w:t>Oral agreement</w:t>
      </w:r>
    </w:p>
    <w:p w:rsidR="00997B8C" w:rsidRPr="00997B8C" w:rsidRDefault="00997B8C" w:rsidP="00997B8C"/>
    <w:p w:rsidR="00030ADE" w:rsidRDefault="00997B8C" w:rsidP="00451B16">
      <w:pPr>
        <w:pStyle w:val="JUDGMENTNUMBERED"/>
      </w:pPr>
      <w:r>
        <w:t>The applicant submitted that there was an oral agreement made between the parties varyin</w:t>
      </w:r>
      <w:r w:rsidR="00030ADE">
        <w:t>g the repayment terms of the instalment sale agreement. The respondent denied that such oral agreement and/or variation existed and argued that the applicant makes vague allegations of an oral agreement without any particularities of exactly when, where and with whom the oral variation was agreed. Counsel for the respondent submitted that the instalment sale agreement contains a ‘non-variation clause’ also known as a ‘Shifren clause’ which limits the parties’</w:t>
      </w:r>
      <w:r w:rsidR="002222C7">
        <w:t xml:space="preserve"> ability to </w:t>
      </w:r>
      <w:r w:rsidR="00030ADE">
        <w:t>informally vary the terms of the agreement.</w:t>
      </w:r>
      <w:r w:rsidR="00030ADE">
        <w:rPr>
          <w:rStyle w:val="FootnoteReference"/>
        </w:rPr>
        <w:footnoteReference w:id="10"/>
      </w:r>
    </w:p>
    <w:p w:rsidR="00030ADE" w:rsidRPr="00030ADE" w:rsidRDefault="00030ADE" w:rsidP="00030ADE"/>
    <w:p w:rsidR="00AA3397" w:rsidRDefault="00AA3397" w:rsidP="00451B16">
      <w:pPr>
        <w:pStyle w:val="JUDGMENTNUMBERED"/>
      </w:pPr>
      <w:r>
        <w:t>I agree with the submission made by the respondent’s counsel that in the absence of compliance with the non-variation clause, the oral agreement defence should fail since the parties are bound by clause 14 of the instalment sale agreement which has not been complied with in order to give effect to any variation to the agreement.</w:t>
      </w:r>
    </w:p>
    <w:p w:rsidR="00AA3397" w:rsidRPr="00AA3397" w:rsidRDefault="00AA3397" w:rsidP="00AA3397"/>
    <w:p w:rsidR="001E6163" w:rsidRDefault="00AA3397" w:rsidP="00451B16">
      <w:pPr>
        <w:pStyle w:val="JUDGMENTNUMBERED"/>
      </w:pPr>
      <w:r>
        <w:lastRenderedPageBreak/>
        <w:t xml:space="preserve">To rescind a judgment under common law, the </w:t>
      </w:r>
      <w:r w:rsidRPr="001E6163">
        <w:t xml:space="preserve">‘sufficient clause’ </w:t>
      </w:r>
      <w:r>
        <w:t xml:space="preserve">must be shown. </w:t>
      </w:r>
      <w:r w:rsidR="001E6163">
        <w:t xml:space="preserve">In </w:t>
      </w:r>
      <w:r w:rsidR="001E6163">
        <w:rPr>
          <w:i/>
        </w:rPr>
        <w:t xml:space="preserve">Chetty v Law Society, Transvaal, </w:t>
      </w:r>
      <w:r w:rsidR="001E6163">
        <w:t>sufficient cause was described as having two essential elements:</w:t>
      </w:r>
    </w:p>
    <w:p w:rsidR="001E6163" w:rsidRDefault="001E6163" w:rsidP="00F5361A">
      <w:pPr>
        <w:tabs>
          <w:tab w:val="left" w:pos="851"/>
        </w:tabs>
        <w:spacing w:line="360" w:lineRule="auto"/>
        <w:ind w:left="851" w:hanging="567"/>
        <w:jc w:val="both"/>
        <w:rPr>
          <w:rFonts w:ascii="Arial" w:hAnsi="Arial" w:cs="Arial"/>
          <w:sz w:val="24"/>
          <w:szCs w:val="24"/>
        </w:rPr>
      </w:pPr>
      <w:r>
        <w:rPr>
          <w:rFonts w:ascii="Arial" w:hAnsi="Arial" w:cs="Arial"/>
          <w:sz w:val="24"/>
          <w:szCs w:val="24"/>
        </w:rPr>
        <w:t>23.1</w:t>
      </w:r>
      <w:r w:rsidR="00977629">
        <w:rPr>
          <w:rFonts w:ascii="Arial" w:hAnsi="Arial" w:cs="Arial"/>
          <w:sz w:val="24"/>
          <w:szCs w:val="24"/>
        </w:rPr>
        <w:tab/>
      </w:r>
      <w:r>
        <w:rPr>
          <w:rFonts w:ascii="Arial" w:hAnsi="Arial" w:cs="Arial"/>
          <w:sz w:val="24"/>
          <w:szCs w:val="24"/>
        </w:rPr>
        <w:t xml:space="preserve"> that the party seeking relief must present a reasonable and acceptable</w:t>
      </w:r>
      <w:r w:rsidR="00977629">
        <w:rPr>
          <w:rFonts w:ascii="Arial" w:hAnsi="Arial" w:cs="Arial"/>
          <w:sz w:val="24"/>
          <w:szCs w:val="24"/>
        </w:rPr>
        <w:t xml:space="preserve"> </w:t>
      </w:r>
      <w:r w:rsidR="002222C7">
        <w:rPr>
          <w:rFonts w:ascii="Arial" w:hAnsi="Arial" w:cs="Arial"/>
          <w:sz w:val="24"/>
          <w:szCs w:val="24"/>
        </w:rPr>
        <w:t xml:space="preserve">explanation </w:t>
      </w:r>
      <w:r>
        <w:rPr>
          <w:rFonts w:ascii="Arial" w:hAnsi="Arial" w:cs="Arial"/>
          <w:sz w:val="24"/>
          <w:szCs w:val="24"/>
        </w:rPr>
        <w:t>for his default.</w:t>
      </w:r>
    </w:p>
    <w:p w:rsidR="001E6163" w:rsidRPr="001E6163" w:rsidRDefault="001E6163" w:rsidP="00977629">
      <w:pPr>
        <w:tabs>
          <w:tab w:val="left" w:pos="851"/>
        </w:tabs>
        <w:spacing w:line="360" w:lineRule="auto"/>
        <w:ind w:left="851" w:hanging="567"/>
        <w:jc w:val="both"/>
        <w:rPr>
          <w:rFonts w:ascii="Arial" w:hAnsi="Arial" w:cs="Arial"/>
          <w:sz w:val="24"/>
          <w:szCs w:val="24"/>
        </w:rPr>
      </w:pPr>
      <w:r>
        <w:rPr>
          <w:rFonts w:ascii="Arial" w:hAnsi="Arial" w:cs="Arial"/>
          <w:sz w:val="24"/>
          <w:szCs w:val="24"/>
        </w:rPr>
        <w:t>23.2</w:t>
      </w:r>
      <w:r w:rsidR="00977629">
        <w:rPr>
          <w:rFonts w:ascii="Arial" w:hAnsi="Arial" w:cs="Arial"/>
          <w:sz w:val="24"/>
          <w:szCs w:val="24"/>
        </w:rPr>
        <w:tab/>
      </w:r>
      <w:r>
        <w:rPr>
          <w:rFonts w:ascii="Arial" w:hAnsi="Arial" w:cs="Arial"/>
          <w:sz w:val="24"/>
          <w:szCs w:val="24"/>
        </w:rPr>
        <w:t xml:space="preserve">that on the merits such party has a </w:t>
      </w:r>
      <w:r w:rsidRPr="001E6163">
        <w:rPr>
          <w:rFonts w:ascii="Arial" w:hAnsi="Arial" w:cs="Arial"/>
          <w:i/>
          <w:sz w:val="24"/>
          <w:szCs w:val="24"/>
        </w:rPr>
        <w:t>bona fide</w:t>
      </w:r>
      <w:r>
        <w:rPr>
          <w:rFonts w:ascii="Arial" w:hAnsi="Arial" w:cs="Arial"/>
          <w:sz w:val="24"/>
          <w:szCs w:val="24"/>
        </w:rPr>
        <w:t xml:space="preserve"> defence which </w:t>
      </w:r>
      <w:r>
        <w:rPr>
          <w:rFonts w:ascii="Arial" w:hAnsi="Arial" w:cs="Arial"/>
          <w:i/>
          <w:sz w:val="24"/>
          <w:szCs w:val="24"/>
        </w:rPr>
        <w:t xml:space="preserve">prima facie </w:t>
      </w:r>
      <w:r>
        <w:rPr>
          <w:rFonts w:ascii="Arial" w:hAnsi="Arial" w:cs="Arial"/>
          <w:sz w:val="24"/>
          <w:szCs w:val="24"/>
        </w:rPr>
        <w:t>carries some prospects of success.</w:t>
      </w:r>
      <w:r>
        <w:rPr>
          <w:rStyle w:val="FootnoteReference"/>
          <w:rFonts w:ascii="Arial" w:hAnsi="Arial" w:cs="Arial"/>
          <w:sz w:val="24"/>
          <w:szCs w:val="24"/>
        </w:rPr>
        <w:footnoteReference w:id="11"/>
      </w:r>
    </w:p>
    <w:p w:rsidR="001E6163" w:rsidRPr="001E6163" w:rsidRDefault="001E6163" w:rsidP="001E6163"/>
    <w:p w:rsidR="009F7292" w:rsidRDefault="009F7292" w:rsidP="00451B16">
      <w:pPr>
        <w:pStyle w:val="JUDGMENTNUMBERED"/>
      </w:pPr>
      <w:r>
        <w:t xml:space="preserve">I have already given reasons for dismissing the explanation given by the applicant that he defaulted because he was not aware of the service of the summons. Regarding the merits of the application, the applicant’s defences are that the NCA section 129 notice was not complied with, and that there was an oral variation agreement of the repayment terms. As above-mentioned these defences have no merit. I agree with the respondent’s counsel that covid-19 or other financial hardships are not </w:t>
      </w:r>
      <w:r>
        <w:rPr>
          <w:i/>
        </w:rPr>
        <w:t xml:space="preserve">bona fide </w:t>
      </w:r>
      <w:r>
        <w:t>defences. I have also noted that at no stage has the applicant denied that he was not in arrears with his payment obligations when default judgment was granted.</w:t>
      </w:r>
    </w:p>
    <w:p w:rsidR="009F7292" w:rsidRPr="009F7292" w:rsidRDefault="009F7292" w:rsidP="009F7292"/>
    <w:p w:rsidR="00C33EE3" w:rsidRDefault="009F7292" w:rsidP="004479FD">
      <w:pPr>
        <w:pStyle w:val="JUDGMENTNUMBERED"/>
      </w:pPr>
      <w:r>
        <w:t xml:space="preserve">I am not satisfied </w:t>
      </w:r>
      <w:r w:rsidR="00B12365">
        <w:t xml:space="preserve">that the applicant’s defences are sufficient to establish a </w:t>
      </w:r>
      <w:r w:rsidR="00B12365" w:rsidRPr="00B12365">
        <w:rPr>
          <w:i/>
        </w:rPr>
        <w:t xml:space="preserve">bona fide </w:t>
      </w:r>
      <w:r w:rsidR="00B12365">
        <w:t xml:space="preserve">defence that </w:t>
      </w:r>
      <w:r w:rsidR="00B12365" w:rsidRPr="00B12365">
        <w:rPr>
          <w:i/>
        </w:rPr>
        <w:t xml:space="preserve">prima </w:t>
      </w:r>
      <w:r w:rsidR="00B12365" w:rsidRPr="00B12365">
        <w:t>facie</w:t>
      </w:r>
      <w:r w:rsidR="00B12365">
        <w:t xml:space="preserve"> carries some prospects of success. The applicant has not made out a good case for the relief sought.</w:t>
      </w:r>
      <w:r w:rsidR="00C33EE3">
        <w:t xml:space="preserve"> </w:t>
      </w:r>
    </w:p>
    <w:p w:rsidR="00B12365" w:rsidRPr="00B12365" w:rsidRDefault="00B12365" w:rsidP="00B12365"/>
    <w:p w:rsidR="00C33EE3" w:rsidRDefault="00B12365" w:rsidP="00C33EE3">
      <w:pPr>
        <w:pStyle w:val="JUDGMENTNUMBERED"/>
      </w:pPr>
      <w:r>
        <w:t>In the premises the following order is</w:t>
      </w:r>
      <w:r w:rsidR="00C33EE3">
        <w:t xml:space="preserve"> made: </w:t>
      </w:r>
    </w:p>
    <w:p w:rsidR="00C33EE3" w:rsidRPr="005E50BE" w:rsidRDefault="00C33EE3" w:rsidP="00C33EE3"/>
    <w:p w:rsidR="00C33EE3" w:rsidRDefault="00B12365" w:rsidP="00C33EE3">
      <w:pPr>
        <w:pStyle w:val="JUDGMENTNUMBERED"/>
        <w:numPr>
          <w:ilvl w:val="0"/>
          <w:numId w:val="3"/>
        </w:numPr>
      </w:pPr>
      <w:r>
        <w:t>The application for rescission of judgment is dismissed with costs.</w:t>
      </w:r>
    </w:p>
    <w:p w:rsidR="00C33EE3" w:rsidRDefault="001E2971" w:rsidP="001E2971">
      <w:pPr>
        <w:autoSpaceDE w:val="0"/>
        <w:autoSpaceDN w:val="0"/>
        <w:adjustRightInd w:val="0"/>
        <w:spacing w:after="0" w:line="240" w:lineRule="auto"/>
        <w:jc w:val="right"/>
        <w:rPr>
          <w:rFonts w:ascii="Calibri" w:hAnsi="Calibri" w:cs="Times New Roman"/>
          <w:noProof/>
          <w:sz w:val="20"/>
          <w:szCs w:val="20"/>
          <w:lang w:eastAsia="en-ZA"/>
        </w:rPr>
      </w:pPr>
      <w:r w:rsidRPr="002E6514">
        <w:rPr>
          <w:rFonts w:ascii="Calibri" w:eastAsia="Calibri" w:hAnsi="Calibri" w:cs="Times New Roman"/>
          <w:b/>
          <w:bCs/>
          <w:noProof/>
          <w:u w:val="thick"/>
          <w:lang w:eastAsia="en-ZA"/>
        </w:rPr>
        <w:drawing>
          <wp:inline distT="0" distB="0" distL="0" distR="0" wp14:anchorId="241CB9A4" wp14:editId="7D0AA051">
            <wp:extent cx="1746250" cy="525563"/>
            <wp:effectExtent l="19050" t="0" r="25400" b="198755"/>
            <wp:docPr id="2" name="Picture 2" descr="C:\Users\ChMsimango\Downloads\IMG-2022040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hMsimango\Downloads\IMG-20220401-WA0013.jpg"/>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1762371" cy="530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33EE3" w:rsidRPr="00041891" w:rsidRDefault="00C33EE3" w:rsidP="001E2971">
      <w:pPr>
        <w:autoSpaceDE w:val="0"/>
        <w:autoSpaceDN w:val="0"/>
        <w:adjustRightInd w:val="0"/>
        <w:spacing w:after="0" w:line="240" w:lineRule="auto"/>
        <w:ind w:left="2160" w:firstLine="720"/>
        <w:jc w:val="right"/>
        <w:rPr>
          <w:rFonts w:ascii="Arial" w:eastAsia="Arial Unicode MS" w:hAnsi="Arial" w:cs="Arial"/>
          <w:b/>
          <w:bCs/>
          <w:sz w:val="24"/>
          <w:szCs w:val="24"/>
          <w:lang w:eastAsia="en-GB"/>
        </w:rPr>
      </w:pPr>
      <w:r w:rsidRPr="00041891">
        <w:rPr>
          <w:rFonts w:ascii="Arial" w:eastAsia="Arial Unicode MS" w:hAnsi="Arial" w:cs="Arial"/>
          <w:b/>
          <w:bCs/>
          <w:sz w:val="24"/>
          <w:szCs w:val="24"/>
          <w:lang w:eastAsia="en-GB"/>
        </w:rPr>
        <w:t>D</w:t>
      </w:r>
      <w:r>
        <w:rPr>
          <w:rFonts w:ascii="Arial" w:eastAsia="Arial Unicode MS" w:hAnsi="Arial" w:cs="Arial"/>
          <w:b/>
          <w:bCs/>
          <w:sz w:val="24"/>
          <w:szCs w:val="24"/>
          <w:lang w:eastAsia="en-GB"/>
        </w:rPr>
        <w:t xml:space="preserve"> </w:t>
      </w:r>
      <w:r w:rsidRPr="00041891">
        <w:rPr>
          <w:rFonts w:ascii="Arial" w:eastAsia="Arial Unicode MS" w:hAnsi="Arial" w:cs="Arial"/>
          <w:b/>
          <w:bCs/>
          <w:sz w:val="24"/>
          <w:szCs w:val="24"/>
          <w:lang w:eastAsia="en-GB"/>
        </w:rPr>
        <w:t>S MOLEFE</w:t>
      </w:r>
    </w:p>
    <w:p w:rsidR="00C33EE3" w:rsidRDefault="00C33EE3" w:rsidP="00C33EE3">
      <w:pPr>
        <w:autoSpaceDE w:val="0"/>
        <w:autoSpaceDN w:val="0"/>
        <w:adjustRightInd w:val="0"/>
        <w:spacing w:after="0" w:line="360" w:lineRule="auto"/>
        <w:jc w:val="right"/>
        <w:rPr>
          <w:rFonts w:ascii="Arial" w:eastAsia="Arial Unicode MS" w:hAnsi="Arial" w:cs="Arial"/>
          <w:b/>
          <w:bCs/>
          <w:sz w:val="24"/>
          <w:szCs w:val="24"/>
          <w:lang w:eastAsia="en-GB"/>
        </w:rPr>
      </w:pPr>
      <w:r w:rsidRPr="00041891">
        <w:rPr>
          <w:rFonts w:ascii="Arial" w:eastAsia="Arial Unicode MS" w:hAnsi="Arial" w:cs="Arial"/>
          <w:b/>
          <w:bCs/>
          <w:sz w:val="24"/>
          <w:szCs w:val="24"/>
          <w:lang w:eastAsia="en-GB"/>
        </w:rPr>
        <w:t>JUDGE OF THE HIGH COURT</w:t>
      </w:r>
    </w:p>
    <w:p w:rsidR="00C33EE3" w:rsidRDefault="00C33EE3" w:rsidP="00C33EE3">
      <w:pPr>
        <w:autoSpaceDE w:val="0"/>
        <w:autoSpaceDN w:val="0"/>
        <w:adjustRightInd w:val="0"/>
        <w:spacing w:after="0" w:line="360" w:lineRule="auto"/>
        <w:jc w:val="right"/>
        <w:rPr>
          <w:rFonts w:ascii="Arial" w:eastAsia="Arial Unicode MS" w:hAnsi="Arial" w:cs="Arial"/>
          <w:b/>
          <w:bCs/>
          <w:sz w:val="24"/>
          <w:szCs w:val="24"/>
          <w:lang w:eastAsia="en-GB"/>
        </w:rPr>
      </w:pPr>
    </w:p>
    <w:p w:rsidR="00C33EE3" w:rsidRPr="001F49DC" w:rsidRDefault="00C33EE3" w:rsidP="00C33EE3">
      <w:pPr>
        <w:spacing w:after="0" w:line="360" w:lineRule="auto"/>
        <w:jc w:val="both"/>
        <w:rPr>
          <w:rFonts w:ascii="Arial" w:eastAsia="Times New Roman" w:hAnsi="Arial" w:cs="Arial"/>
          <w:sz w:val="24"/>
          <w:szCs w:val="24"/>
        </w:rPr>
      </w:pPr>
      <w:r w:rsidRPr="00BE66AE">
        <w:rPr>
          <w:rFonts w:ascii="Arial" w:eastAsia="Arial Unicode MS" w:hAnsi="Arial" w:cs="Arial"/>
          <w:i/>
          <w:iCs/>
          <w:sz w:val="24"/>
          <w:szCs w:val="24"/>
          <w:lang w:eastAsia="en-GB"/>
        </w:rPr>
        <w:lastRenderedPageBreak/>
        <w:t>Thi</w:t>
      </w:r>
      <w:r>
        <w:rPr>
          <w:rFonts w:ascii="Arial" w:eastAsia="Arial Unicode MS" w:hAnsi="Arial" w:cs="Arial"/>
          <w:i/>
          <w:iCs/>
          <w:sz w:val="24"/>
          <w:szCs w:val="24"/>
          <w:lang w:eastAsia="en-GB"/>
        </w:rPr>
        <w:t>s judgment by the Judge whose name</w:t>
      </w:r>
      <w:r w:rsidRPr="00BE66AE">
        <w:rPr>
          <w:rFonts w:ascii="Arial" w:eastAsia="Arial Unicode MS" w:hAnsi="Arial" w:cs="Arial"/>
          <w:i/>
          <w:iCs/>
          <w:sz w:val="24"/>
          <w:szCs w:val="24"/>
          <w:lang w:eastAsia="en-GB"/>
        </w:rPr>
        <w:t xml:space="preserve"> is</w:t>
      </w:r>
      <w:r>
        <w:rPr>
          <w:rFonts w:ascii="Arial" w:eastAsia="Arial Unicode MS" w:hAnsi="Arial" w:cs="Arial"/>
          <w:i/>
          <w:iCs/>
          <w:sz w:val="24"/>
          <w:szCs w:val="24"/>
          <w:lang w:eastAsia="en-GB"/>
        </w:rPr>
        <w:t xml:space="preserve"> reflected herein,</w:t>
      </w:r>
      <w:r w:rsidRPr="00BE66AE">
        <w:rPr>
          <w:rFonts w:ascii="Arial" w:eastAsia="Arial Unicode MS" w:hAnsi="Arial" w:cs="Arial"/>
          <w:i/>
          <w:iCs/>
          <w:sz w:val="24"/>
          <w:szCs w:val="24"/>
          <w:lang w:eastAsia="en-GB"/>
        </w:rPr>
        <w:t xml:space="preserve"> is </w:t>
      </w:r>
      <w:r>
        <w:rPr>
          <w:rFonts w:ascii="Arial" w:eastAsia="Arial Unicode MS" w:hAnsi="Arial" w:cs="Arial"/>
          <w:i/>
          <w:iCs/>
          <w:sz w:val="24"/>
          <w:szCs w:val="24"/>
          <w:lang w:eastAsia="en-GB"/>
        </w:rPr>
        <w:t xml:space="preserve">delivered and </w:t>
      </w:r>
      <w:r w:rsidRPr="00BE66AE">
        <w:rPr>
          <w:rFonts w:ascii="Arial" w:eastAsia="Arial Unicode MS" w:hAnsi="Arial" w:cs="Arial"/>
          <w:i/>
          <w:iCs/>
          <w:sz w:val="24"/>
          <w:szCs w:val="24"/>
          <w:lang w:eastAsia="en-GB"/>
        </w:rPr>
        <w:t>submitted electronically to the parties/their legal repre</w:t>
      </w:r>
      <w:r>
        <w:rPr>
          <w:rFonts w:ascii="Arial" w:eastAsia="Arial Unicode MS" w:hAnsi="Arial" w:cs="Arial"/>
          <w:i/>
          <w:iCs/>
          <w:sz w:val="24"/>
          <w:szCs w:val="24"/>
          <w:lang w:eastAsia="en-GB"/>
        </w:rPr>
        <w:t>sentatives by e-mail. This judgment</w:t>
      </w:r>
      <w:r w:rsidRPr="00BE66AE">
        <w:rPr>
          <w:rFonts w:ascii="Arial" w:eastAsia="Arial Unicode MS" w:hAnsi="Arial" w:cs="Arial"/>
          <w:i/>
          <w:iCs/>
          <w:sz w:val="24"/>
          <w:szCs w:val="24"/>
          <w:lang w:eastAsia="en-GB"/>
        </w:rPr>
        <w:t xml:space="preserve"> is further uploaded to the electronic file on this matter on Caselines by the Judge or his / her </w:t>
      </w:r>
      <w:r>
        <w:rPr>
          <w:rFonts w:ascii="Arial" w:eastAsia="Arial Unicode MS" w:hAnsi="Arial" w:cs="Arial"/>
          <w:i/>
          <w:iCs/>
          <w:sz w:val="24"/>
          <w:szCs w:val="24"/>
          <w:lang w:eastAsia="en-GB"/>
        </w:rPr>
        <w:t>secretary. The date of the judgment</w:t>
      </w:r>
      <w:r w:rsidRPr="00BE66AE">
        <w:rPr>
          <w:rFonts w:ascii="Arial" w:eastAsia="Arial Unicode MS" w:hAnsi="Arial" w:cs="Arial"/>
          <w:i/>
          <w:iCs/>
          <w:sz w:val="24"/>
          <w:szCs w:val="24"/>
          <w:lang w:eastAsia="en-GB"/>
        </w:rPr>
        <w:t xml:space="preserve"> deemed to be</w:t>
      </w:r>
      <w:r w:rsidR="001E2971">
        <w:rPr>
          <w:rFonts w:ascii="Arial" w:eastAsia="Arial Unicode MS" w:hAnsi="Arial" w:cs="Arial"/>
          <w:i/>
          <w:iCs/>
          <w:sz w:val="24"/>
          <w:szCs w:val="24"/>
          <w:lang w:eastAsia="en-GB"/>
        </w:rPr>
        <w:t xml:space="preserve"> 12 July 2022</w:t>
      </w:r>
      <w:r w:rsidRPr="00BE66AE">
        <w:rPr>
          <w:rFonts w:ascii="Arial" w:eastAsia="Arial Unicode MS" w:hAnsi="Arial" w:cs="Arial"/>
          <w:i/>
          <w:iCs/>
          <w:sz w:val="24"/>
          <w:szCs w:val="24"/>
          <w:lang w:eastAsia="en-GB"/>
        </w:rPr>
        <w:t>.</w:t>
      </w:r>
    </w:p>
    <w:p w:rsidR="00C33EE3" w:rsidRDefault="00C33EE3" w:rsidP="00C33EE3">
      <w:pPr>
        <w:autoSpaceDE w:val="0"/>
        <w:autoSpaceDN w:val="0"/>
        <w:adjustRightInd w:val="0"/>
        <w:spacing w:after="0" w:line="360" w:lineRule="auto"/>
        <w:jc w:val="right"/>
        <w:rPr>
          <w:rFonts w:ascii="Arial" w:eastAsia="Arial Unicode MS" w:hAnsi="Arial" w:cs="Arial"/>
          <w:b/>
          <w:bCs/>
          <w:sz w:val="24"/>
          <w:szCs w:val="24"/>
          <w:lang w:eastAsia="en-GB"/>
        </w:rPr>
      </w:pPr>
    </w:p>
    <w:p w:rsidR="004F2C69" w:rsidRDefault="004F2C69" w:rsidP="00C33EE3">
      <w:pPr>
        <w:autoSpaceDE w:val="0"/>
        <w:autoSpaceDN w:val="0"/>
        <w:adjustRightInd w:val="0"/>
        <w:spacing w:after="0" w:line="360" w:lineRule="auto"/>
        <w:jc w:val="right"/>
        <w:rPr>
          <w:rFonts w:ascii="Arial" w:eastAsia="Arial Unicode MS" w:hAnsi="Arial" w:cs="Arial"/>
          <w:b/>
          <w:bCs/>
          <w:sz w:val="24"/>
          <w:szCs w:val="24"/>
          <w:lang w:eastAsia="en-GB"/>
        </w:rPr>
      </w:pPr>
    </w:p>
    <w:p w:rsidR="004F2C69" w:rsidRPr="00EA3A3B" w:rsidRDefault="004F2C69" w:rsidP="00C33EE3">
      <w:pPr>
        <w:autoSpaceDE w:val="0"/>
        <w:autoSpaceDN w:val="0"/>
        <w:adjustRightInd w:val="0"/>
        <w:spacing w:after="0" w:line="360" w:lineRule="auto"/>
        <w:jc w:val="right"/>
        <w:rPr>
          <w:rFonts w:ascii="Arial" w:eastAsia="Arial Unicode MS" w:hAnsi="Arial" w:cs="Arial"/>
          <w:b/>
          <w:bCs/>
          <w:sz w:val="24"/>
          <w:szCs w:val="24"/>
          <w:lang w:eastAsia="en-GB"/>
        </w:rPr>
      </w:pPr>
    </w:p>
    <w:p w:rsidR="00C33EE3" w:rsidRDefault="00C33EE3" w:rsidP="00C33EE3">
      <w:pPr>
        <w:tabs>
          <w:tab w:val="left" w:pos="3000"/>
        </w:tabs>
        <w:spacing w:after="0" w:line="360" w:lineRule="auto"/>
        <w:rPr>
          <w:rFonts w:ascii="Arial" w:eastAsia="Arial Unicode MS" w:hAnsi="Arial" w:cs="Arial"/>
          <w:b/>
          <w:sz w:val="24"/>
          <w:szCs w:val="24"/>
          <w:lang w:eastAsia="en-GB"/>
        </w:rPr>
      </w:pPr>
      <w:r w:rsidRPr="0023470F">
        <w:rPr>
          <w:rFonts w:ascii="Arial" w:eastAsia="Arial Unicode MS" w:hAnsi="Arial" w:cs="Arial"/>
          <w:b/>
          <w:sz w:val="24"/>
          <w:szCs w:val="24"/>
          <w:lang w:eastAsia="en-GB"/>
        </w:rPr>
        <w:t>APPEARANCES</w:t>
      </w:r>
    </w:p>
    <w:p w:rsidR="004F2C69" w:rsidRPr="006E529C" w:rsidRDefault="004F2C69" w:rsidP="00C33EE3">
      <w:pPr>
        <w:tabs>
          <w:tab w:val="left" w:pos="3000"/>
        </w:tabs>
        <w:spacing w:after="0" w:line="360" w:lineRule="auto"/>
        <w:rPr>
          <w:rFonts w:ascii="Arial" w:eastAsia="Arial Unicode MS" w:hAnsi="Arial" w:cs="Arial"/>
          <w:b/>
          <w:sz w:val="24"/>
          <w:szCs w:val="24"/>
          <w:lang w:eastAsia="en-GB"/>
        </w:rPr>
      </w:pPr>
    </w:p>
    <w:p w:rsidR="00C33EE3" w:rsidRPr="00041891" w:rsidRDefault="00C33EE3" w:rsidP="00C33EE3">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Counsel for the Applicants:</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sidR="00A619B1">
        <w:rPr>
          <w:rFonts w:ascii="Arial" w:eastAsia="Arial Unicode MS" w:hAnsi="Arial" w:cs="Arial"/>
          <w:sz w:val="24"/>
          <w:szCs w:val="24"/>
          <w:lang w:eastAsia="en-GB"/>
        </w:rPr>
        <w:t xml:space="preserve">Adv.  </w:t>
      </w:r>
      <w:r w:rsidR="001E2971">
        <w:rPr>
          <w:rFonts w:ascii="Arial" w:eastAsia="Arial Unicode MS" w:hAnsi="Arial" w:cs="Arial"/>
          <w:sz w:val="24"/>
          <w:szCs w:val="24"/>
          <w:lang w:eastAsia="en-GB"/>
        </w:rPr>
        <w:t>L Matshidza</w:t>
      </w:r>
    </w:p>
    <w:p w:rsidR="00C33EE3" w:rsidRPr="00041891" w:rsidRDefault="00C33EE3" w:rsidP="00C33EE3">
      <w:pPr>
        <w:tabs>
          <w:tab w:val="left" w:pos="3000"/>
        </w:tabs>
        <w:spacing w:after="0" w:line="360" w:lineRule="auto"/>
        <w:rPr>
          <w:rFonts w:ascii="Arial" w:eastAsia="Arial Unicode MS" w:hAnsi="Arial" w:cs="Arial"/>
          <w:sz w:val="24"/>
          <w:szCs w:val="24"/>
          <w:lang w:eastAsia="en-GB"/>
        </w:rPr>
      </w:pPr>
      <w:r w:rsidRPr="00041891">
        <w:rPr>
          <w:rFonts w:ascii="Arial" w:eastAsia="Arial Unicode MS" w:hAnsi="Arial" w:cs="Arial"/>
          <w:sz w:val="24"/>
          <w:szCs w:val="24"/>
          <w:lang w:eastAsia="en-GB"/>
        </w:rPr>
        <w:t>Instructed by:</w:t>
      </w:r>
      <w:r w:rsidRPr="00041891">
        <w:rPr>
          <w:rFonts w:ascii="Arial" w:eastAsia="Arial Unicode MS" w:hAnsi="Arial" w:cs="Arial"/>
          <w:sz w:val="24"/>
          <w:szCs w:val="24"/>
          <w:lang w:eastAsia="en-GB"/>
        </w:rPr>
        <w:tab/>
      </w:r>
      <w:r w:rsidRPr="00041891">
        <w:rPr>
          <w:rFonts w:ascii="Arial" w:eastAsia="Arial Unicode MS" w:hAnsi="Arial" w:cs="Arial"/>
          <w:sz w:val="24"/>
          <w:szCs w:val="24"/>
          <w:lang w:eastAsia="en-GB"/>
        </w:rPr>
        <w:tab/>
      </w:r>
      <w:r w:rsidRPr="00041891">
        <w:rPr>
          <w:rFonts w:ascii="Arial" w:eastAsia="Arial Unicode MS" w:hAnsi="Arial" w:cs="Arial"/>
          <w:sz w:val="24"/>
          <w:szCs w:val="24"/>
          <w:lang w:eastAsia="en-GB"/>
        </w:rPr>
        <w:tab/>
      </w:r>
      <w:r w:rsidRPr="00041891">
        <w:rPr>
          <w:rFonts w:ascii="Arial" w:eastAsia="Arial Unicode MS" w:hAnsi="Arial" w:cs="Arial"/>
          <w:sz w:val="24"/>
          <w:szCs w:val="24"/>
          <w:lang w:eastAsia="en-GB"/>
        </w:rPr>
        <w:tab/>
      </w:r>
      <w:r w:rsidR="001E2971">
        <w:rPr>
          <w:rFonts w:ascii="Arial" w:eastAsia="Arial Unicode MS" w:hAnsi="Arial" w:cs="Arial"/>
          <w:sz w:val="24"/>
          <w:szCs w:val="24"/>
          <w:lang w:eastAsia="en-GB"/>
        </w:rPr>
        <w:t>Mr M Yokwe (in person)</w:t>
      </w:r>
    </w:p>
    <w:p w:rsidR="00C33EE3" w:rsidRPr="00041891" w:rsidRDefault="00C33EE3" w:rsidP="00C33EE3">
      <w:pPr>
        <w:tabs>
          <w:tab w:val="left" w:pos="3000"/>
        </w:tabs>
        <w:spacing w:after="0" w:line="360" w:lineRule="auto"/>
        <w:rPr>
          <w:rFonts w:ascii="Arial" w:eastAsia="Arial Unicode MS" w:hAnsi="Arial" w:cs="Arial"/>
          <w:sz w:val="24"/>
          <w:szCs w:val="24"/>
          <w:lang w:eastAsia="en-GB"/>
        </w:rPr>
      </w:pPr>
    </w:p>
    <w:p w:rsidR="00C33EE3" w:rsidRPr="00041891" w:rsidRDefault="00C33EE3" w:rsidP="00C33EE3">
      <w:pPr>
        <w:tabs>
          <w:tab w:val="left" w:pos="3000"/>
        </w:tabs>
        <w:spacing w:after="0" w:line="360" w:lineRule="auto"/>
        <w:rPr>
          <w:rFonts w:ascii="Arial" w:eastAsia="Arial Unicode MS" w:hAnsi="Arial" w:cs="Arial"/>
          <w:sz w:val="24"/>
          <w:szCs w:val="24"/>
          <w:lang w:eastAsia="en-GB"/>
        </w:rPr>
      </w:pPr>
      <w:r w:rsidRPr="00041891">
        <w:rPr>
          <w:rFonts w:ascii="Arial" w:eastAsia="Arial Unicode MS" w:hAnsi="Arial" w:cs="Arial"/>
          <w:sz w:val="24"/>
          <w:szCs w:val="24"/>
          <w:lang w:eastAsia="en-GB"/>
        </w:rPr>
        <w:t xml:space="preserve">Counsel for the </w:t>
      </w:r>
      <w:r>
        <w:rPr>
          <w:rFonts w:ascii="Arial" w:eastAsia="Arial Unicode MS" w:hAnsi="Arial" w:cs="Arial"/>
          <w:sz w:val="24"/>
          <w:szCs w:val="24"/>
          <w:lang w:eastAsia="en-GB"/>
        </w:rPr>
        <w:t>Respondents</w:t>
      </w:r>
      <w:r w:rsidRPr="00041891">
        <w:rPr>
          <w:rFonts w:ascii="Arial" w:eastAsia="Arial Unicode MS" w:hAnsi="Arial" w:cs="Arial"/>
          <w:sz w:val="24"/>
          <w:szCs w:val="24"/>
          <w:lang w:eastAsia="en-GB"/>
        </w:rPr>
        <w:t>:</w:t>
      </w:r>
      <w:r w:rsidR="00A619B1">
        <w:rPr>
          <w:rFonts w:ascii="Arial" w:eastAsia="Arial Unicode MS" w:hAnsi="Arial" w:cs="Arial"/>
          <w:sz w:val="24"/>
          <w:szCs w:val="24"/>
          <w:lang w:eastAsia="en-GB"/>
        </w:rPr>
        <w:tab/>
      </w:r>
      <w:r w:rsidR="00A619B1">
        <w:rPr>
          <w:rFonts w:ascii="Arial" w:eastAsia="Arial Unicode MS" w:hAnsi="Arial" w:cs="Arial"/>
          <w:sz w:val="24"/>
          <w:szCs w:val="24"/>
          <w:lang w:eastAsia="en-GB"/>
        </w:rPr>
        <w:tab/>
      </w:r>
      <w:r w:rsidR="00A619B1">
        <w:rPr>
          <w:rFonts w:ascii="Arial" w:eastAsia="Arial Unicode MS" w:hAnsi="Arial" w:cs="Arial"/>
          <w:sz w:val="24"/>
          <w:szCs w:val="24"/>
          <w:lang w:eastAsia="en-GB"/>
        </w:rPr>
        <w:tab/>
        <w:t xml:space="preserve">Adv. </w:t>
      </w:r>
      <w:r>
        <w:rPr>
          <w:rFonts w:ascii="Arial" w:eastAsia="Arial Unicode MS" w:hAnsi="Arial" w:cs="Arial"/>
          <w:sz w:val="24"/>
          <w:szCs w:val="24"/>
          <w:lang w:eastAsia="en-GB"/>
        </w:rPr>
        <w:tab/>
      </w:r>
      <w:r w:rsidR="00A619B1">
        <w:rPr>
          <w:rFonts w:ascii="Arial" w:eastAsia="Arial Unicode MS" w:hAnsi="Arial" w:cs="Arial"/>
          <w:sz w:val="24"/>
          <w:szCs w:val="24"/>
          <w:lang w:eastAsia="en-GB"/>
        </w:rPr>
        <w:t>R Carvalheira</w:t>
      </w:r>
    </w:p>
    <w:p w:rsidR="00C33EE3" w:rsidRPr="00041891" w:rsidRDefault="00C33EE3" w:rsidP="00C33EE3">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Instructed by:</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sidR="00A619B1">
        <w:rPr>
          <w:rFonts w:ascii="Arial" w:eastAsia="Arial Unicode MS" w:hAnsi="Arial" w:cs="Arial"/>
          <w:sz w:val="24"/>
          <w:szCs w:val="24"/>
          <w:lang w:eastAsia="en-GB"/>
        </w:rPr>
        <w:t>Glover Kannieappan Inc</w:t>
      </w:r>
    </w:p>
    <w:p w:rsidR="00C33EE3" w:rsidRPr="00041891" w:rsidRDefault="00C33EE3" w:rsidP="00C33EE3">
      <w:pPr>
        <w:tabs>
          <w:tab w:val="left" w:pos="3000"/>
        </w:tabs>
        <w:spacing w:after="0" w:line="360" w:lineRule="auto"/>
        <w:rPr>
          <w:rFonts w:ascii="Arial" w:eastAsia="Arial Unicode MS" w:hAnsi="Arial" w:cs="Arial"/>
          <w:sz w:val="24"/>
          <w:szCs w:val="24"/>
          <w:lang w:eastAsia="en-GB"/>
        </w:rPr>
      </w:pPr>
    </w:p>
    <w:p w:rsidR="001E2971" w:rsidRDefault="00C33EE3" w:rsidP="00C33EE3">
      <w:pPr>
        <w:tabs>
          <w:tab w:val="left" w:pos="3000"/>
        </w:tabs>
        <w:spacing w:after="0" w:line="360" w:lineRule="auto"/>
        <w:rPr>
          <w:rFonts w:ascii="Arial" w:eastAsia="Arial Unicode MS" w:hAnsi="Arial" w:cs="Arial"/>
          <w:sz w:val="24"/>
          <w:szCs w:val="24"/>
          <w:lang w:eastAsia="en-GB"/>
        </w:rPr>
      </w:pPr>
      <w:r w:rsidRPr="00041891">
        <w:rPr>
          <w:rFonts w:ascii="Arial" w:eastAsia="Arial Unicode MS" w:hAnsi="Arial" w:cs="Arial"/>
          <w:sz w:val="24"/>
          <w:szCs w:val="24"/>
          <w:lang w:eastAsia="en-GB"/>
        </w:rPr>
        <w:t>Date heard:</w:t>
      </w:r>
      <w:r w:rsidRPr="00041891">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0</w:t>
      </w:r>
      <w:r w:rsidR="001E2971">
        <w:rPr>
          <w:rFonts w:ascii="Arial" w:eastAsia="Arial Unicode MS" w:hAnsi="Arial" w:cs="Arial"/>
          <w:sz w:val="24"/>
          <w:szCs w:val="24"/>
          <w:lang w:eastAsia="en-GB"/>
        </w:rPr>
        <w:t>4</w:t>
      </w:r>
      <w:r>
        <w:rPr>
          <w:rFonts w:ascii="Arial" w:eastAsia="Arial Unicode MS" w:hAnsi="Arial" w:cs="Arial"/>
          <w:sz w:val="24"/>
          <w:szCs w:val="24"/>
          <w:lang w:eastAsia="en-GB"/>
        </w:rPr>
        <w:t xml:space="preserve"> May 2022</w:t>
      </w:r>
      <w:r>
        <w:rPr>
          <w:rFonts w:ascii="Arial" w:eastAsia="Arial Unicode MS" w:hAnsi="Arial" w:cs="Arial"/>
          <w:sz w:val="24"/>
          <w:szCs w:val="24"/>
          <w:lang w:eastAsia="en-GB"/>
        </w:rPr>
        <w:tab/>
      </w:r>
    </w:p>
    <w:p w:rsidR="00C33EE3" w:rsidRPr="00041891" w:rsidRDefault="001E2971" w:rsidP="00C33EE3">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Date of Judgment:</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12 July 2022</w:t>
      </w:r>
      <w:r w:rsidR="00C33EE3">
        <w:rPr>
          <w:rFonts w:ascii="Arial" w:eastAsia="Arial Unicode MS" w:hAnsi="Arial" w:cs="Arial"/>
          <w:sz w:val="24"/>
          <w:szCs w:val="24"/>
          <w:lang w:eastAsia="en-GB"/>
        </w:rPr>
        <w:tab/>
      </w:r>
      <w:r w:rsidR="00C33EE3">
        <w:rPr>
          <w:rFonts w:ascii="Arial" w:eastAsia="Arial Unicode MS" w:hAnsi="Arial" w:cs="Arial"/>
          <w:sz w:val="24"/>
          <w:szCs w:val="24"/>
          <w:lang w:eastAsia="en-GB"/>
        </w:rPr>
        <w:tab/>
      </w:r>
      <w:r w:rsidR="00C33EE3">
        <w:rPr>
          <w:rFonts w:ascii="Arial" w:eastAsia="Arial Unicode MS" w:hAnsi="Arial" w:cs="Arial"/>
          <w:sz w:val="24"/>
          <w:szCs w:val="24"/>
          <w:lang w:eastAsia="en-GB"/>
        </w:rPr>
        <w:tab/>
      </w:r>
      <w:r w:rsidR="00C33EE3">
        <w:rPr>
          <w:rFonts w:ascii="Arial" w:eastAsia="Arial Unicode MS" w:hAnsi="Arial" w:cs="Arial"/>
          <w:sz w:val="24"/>
          <w:szCs w:val="24"/>
          <w:lang w:eastAsia="en-GB"/>
        </w:rPr>
        <w:tab/>
        <w:t xml:space="preserve">        </w:t>
      </w:r>
    </w:p>
    <w:p w:rsidR="00C33EE3" w:rsidRPr="00041891" w:rsidRDefault="00C33EE3" w:rsidP="00C33EE3">
      <w:pPr>
        <w:tabs>
          <w:tab w:val="left" w:pos="3000"/>
        </w:tabs>
        <w:spacing w:after="0" w:line="360" w:lineRule="auto"/>
        <w:rPr>
          <w:rFonts w:ascii="Arial" w:hAnsi="Arial" w:cs="Arial"/>
          <w:sz w:val="24"/>
          <w:szCs w:val="24"/>
        </w:rPr>
      </w:pPr>
      <w:r w:rsidRPr="00041891">
        <w:rPr>
          <w:rFonts w:ascii="Arial" w:eastAsia="Arial Unicode MS" w:hAnsi="Arial" w:cs="Arial"/>
          <w:sz w:val="24"/>
          <w:szCs w:val="24"/>
          <w:lang w:eastAsia="en-GB"/>
        </w:rPr>
        <w:tab/>
      </w:r>
      <w:r w:rsidRPr="00041891">
        <w:rPr>
          <w:rFonts w:ascii="Arial" w:eastAsia="Arial Unicode MS" w:hAnsi="Arial" w:cs="Arial"/>
          <w:sz w:val="24"/>
          <w:szCs w:val="24"/>
          <w:lang w:eastAsia="en-GB"/>
        </w:rPr>
        <w:tab/>
        <w:t xml:space="preserve"> </w:t>
      </w:r>
      <w:r w:rsidRPr="00041891">
        <w:rPr>
          <w:rFonts w:ascii="Arial" w:eastAsia="Arial Unicode MS" w:hAnsi="Arial" w:cs="Arial"/>
          <w:sz w:val="24"/>
          <w:szCs w:val="24"/>
          <w:lang w:eastAsia="en-GB"/>
        </w:rPr>
        <w:tab/>
      </w:r>
      <w:r w:rsidRPr="00041891">
        <w:rPr>
          <w:rFonts w:ascii="Arial" w:eastAsia="Arial Unicode MS" w:hAnsi="Arial" w:cs="Arial"/>
          <w:sz w:val="24"/>
          <w:szCs w:val="24"/>
          <w:lang w:eastAsia="en-GB"/>
        </w:rPr>
        <w:tab/>
      </w:r>
    </w:p>
    <w:p w:rsidR="00C33EE3" w:rsidRPr="009C3B3A" w:rsidRDefault="00C33EE3" w:rsidP="00C33EE3">
      <w:pPr>
        <w:rPr>
          <w:rFonts w:ascii="Arial" w:eastAsia="Times New Roman" w:hAnsi="Arial" w:cs="Arial"/>
          <w:bCs/>
          <w:sz w:val="24"/>
          <w:szCs w:val="24"/>
          <w:lang w:eastAsia="ja-JP"/>
        </w:rPr>
      </w:pPr>
    </w:p>
    <w:p w:rsidR="00C33EE3" w:rsidRDefault="00C33EE3" w:rsidP="00C33EE3"/>
    <w:p w:rsidR="00C33EE3" w:rsidRDefault="00C33EE3" w:rsidP="00C33EE3"/>
    <w:p w:rsidR="00C33EE3" w:rsidRDefault="00C33EE3" w:rsidP="00C33EE3"/>
    <w:p w:rsidR="00C33EE3" w:rsidRDefault="00C33EE3"/>
    <w:sectPr w:rsidR="00C33EE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74" w:rsidRDefault="00886074" w:rsidP="00C33EE3">
      <w:pPr>
        <w:spacing w:after="0" w:line="240" w:lineRule="auto"/>
      </w:pPr>
      <w:r>
        <w:separator/>
      </w:r>
    </w:p>
  </w:endnote>
  <w:endnote w:type="continuationSeparator" w:id="0">
    <w:p w:rsidR="00886074" w:rsidRDefault="00886074" w:rsidP="00C3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74" w:rsidRDefault="00886074" w:rsidP="00C33EE3">
      <w:pPr>
        <w:spacing w:after="0" w:line="240" w:lineRule="auto"/>
      </w:pPr>
      <w:r>
        <w:separator/>
      </w:r>
    </w:p>
  </w:footnote>
  <w:footnote w:type="continuationSeparator" w:id="0">
    <w:p w:rsidR="00886074" w:rsidRDefault="00886074" w:rsidP="00C33EE3">
      <w:pPr>
        <w:spacing w:after="0" w:line="240" w:lineRule="auto"/>
      </w:pPr>
      <w:r>
        <w:continuationSeparator/>
      </w:r>
    </w:p>
  </w:footnote>
  <w:footnote w:id="1">
    <w:p w:rsidR="000C1C56" w:rsidRPr="003E5F12" w:rsidRDefault="000C1C56">
      <w:pPr>
        <w:pStyle w:val="FootnoteText"/>
        <w:rPr>
          <w:rFonts w:ascii="Arial" w:hAnsi="Arial" w:cs="Arial"/>
          <w:lang w:val="en-GB"/>
        </w:rPr>
      </w:pPr>
      <w:r>
        <w:rPr>
          <w:rStyle w:val="FootnoteReference"/>
        </w:rPr>
        <w:footnoteRef/>
      </w:r>
      <w:r>
        <w:t xml:space="preserve"> </w:t>
      </w:r>
      <w:r w:rsidRPr="00F5361A">
        <w:rPr>
          <w:rFonts w:ascii="Arial" w:hAnsi="Arial" w:cs="Arial"/>
          <w:i/>
        </w:rPr>
        <w:t>Col</w:t>
      </w:r>
      <w:r w:rsidR="00161D37">
        <w:rPr>
          <w:rFonts w:ascii="Arial" w:hAnsi="Arial" w:cs="Arial"/>
          <w:i/>
        </w:rPr>
        <w:t>y</w:t>
      </w:r>
      <w:r w:rsidRPr="00F5361A">
        <w:rPr>
          <w:rFonts w:ascii="Arial" w:hAnsi="Arial" w:cs="Arial"/>
          <w:i/>
        </w:rPr>
        <w:t>n v Tiger Food Industries Ltd t/a Meadow Feed Mills (Cape)</w:t>
      </w:r>
      <w:r>
        <w:rPr>
          <w:rFonts w:ascii="Arial" w:hAnsi="Arial" w:cs="Arial"/>
        </w:rPr>
        <w:t xml:space="preserve"> 2003 (6) SA 1(SCA) (2003) ZA11 SA 113</w:t>
      </w:r>
      <w:r w:rsidR="006F6689">
        <w:rPr>
          <w:rFonts w:ascii="Arial" w:hAnsi="Arial" w:cs="Arial"/>
        </w:rPr>
        <w:t xml:space="preserve"> at</w:t>
      </w:r>
      <w:r>
        <w:rPr>
          <w:rFonts w:ascii="Arial" w:hAnsi="Arial" w:cs="Arial"/>
        </w:rPr>
        <w:t xml:space="preserve"> para 11. The court in Col</w:t>
      </w:r>
      <w:r w:rsidR="00161D37">
        <w:rPr>
          <w:rFonts w:ascii="Arial" w:hAnsi="Arial" w:cs="Arial"/>
        </w:rPr>
        <w:t>y</w:t>
      </w:r>
      <w:r>
        <w:rPr>
          <w:rFonts w:ascii="Arial" w:hAnsi="Arial" w:cs="Arial"/>
        </w:rPr>
        <w:t>n was concerned with an application for rescission in terms of rule 42(1)(a). This applicable approach is the same.</w:t>
      </w:r>
    </w:p>
  </w:footnote>
  <w:footnote w:id="2">
    <w:p w:rsidR="000C1C56" w:rsidRPr="00610388" w:rsidRDefault="000C1C56">
      <w:pPr>
        <w:pStyle w:val="FootnoteText"/>
        <w:rPr>
          <w:rFonts w:ascii="Arial" w:hAnsi="Arial" w:cs="Arial"/>
          <w:lang w:val="en-GB"/>
        </w:rPr>
      </w:pPr>
      <w:r>
        <w:rPr>
          <w:rStyle w:val="FootnoteReference"/>
        </w:rPr>
        <w:footnoteRef/>
      </w:r>
      <w:r>
        <w:t xml:space="preserve"> </w:t>
      </w:r>
      <w:r w:rsidRPr="00F5361A">
        <w:rPr>
          <w:rFonts w:ascii="Arial" w:hAnsi="Arial" w:cs="Arial"/>
          <w:i/>
          <w:lang w:val="en-GB"/>
        </w:rPr>
        <w:t>De Wet v Western Bank Ltd 1979 (2) SA 103</w:t>
      </w:r>
      <w:r>
        <w:rPr>
          <w:rFonts w:ascii="Arial" w:hAnsi="Arial" w:cs="Arial"/>
          <w:lang w:val="en-GB"/>
        </w:rPr>
        <w:t>1 (A) at 1038D.</w:t>
      </w:r>
    </w:p>
  </w:footnote>
  <w:footnote w:id="3">
    <w:p w:rsidR="000C1C56" w:rsidRPr="00A02702" w:rsidRDefault="000C1C56">
      <w:pPr>
        <w:pStyle w:val="FootnoteText"/>
        <w:rPr>
          <w:rFonts w:ascii="Arial" w:hAnsi="Arial" w:cs="Arial"/>
          <w:lang w:val="en-GB"/>
        </w:rPr>
      </w:pPr>
      <w:r>
        <w:rPr>
          <w:rStyle w:val="FootnoteReference"/>
        </w:rPr>
        <w:footnoteRef/>
      </w:r>
      <w:r>
        <w:t xml:space="preserve"> </w:t>
      </w:r>
      <w:r w:rsidRPr="00F5361A">
        <w:rPr>
          <w:rFonts w:ascii="Arial" w:hAnsi="Arial" w:cs="Arial"/>
          <w:i/>
          <w:lang w:val="en-GB"/>
        </w:rPr>
        <w:t>Athmaran v Singh</w:t>
      </w:r>
      <w:r>
        <w:rPr>
          <w:rFonts w:ascii="Arial" w:hAnsi="Arial" w:cs="Arial"/>
          <w:lang w:val="en-GB"/>
        </w:rPr>
        <w:t xml:space="preserve"> 1989 (3) SA 953D.</w:t>
      </w:r>
    </w:p>
  </w:footnote>
  <w:footnote w:id="4">
    <w:p w:rsidR="000C1C56" w:rsidRPr="00C63F66" w:rsidRDefault="000C1C56">
      <w:pPr>
        <w:pStyle w:val="FootnoteText"/>
        <w:rPr>
          <w:rFonts w:ascii="Arial" w:hAnsi="Arial" w:cs="Arial"/>
          <w:lang w:val="en-GB"/>
        </w:rPr>
      </w:pPr>
      <w:r>
        <w:rPr>
          <w:rStyle w:val="FootnoteReference"/>
        </w:rPr>
        <w:footnoteRef/>
      </w:r>
      <w:r>
        <w:t xml:space="preserve"> </w:t>
      </w:r>
      <w:r w:rsidRPr="00F5361A">
        <w:rPr>
          <w:rFonts w:ascii="Arial" w:hAnsi="Arial" w:cs="Arial"/>
          <w:i/>
          <w:lang w:val="en-GB"/>
        </w:rPr>
        <w:t>Rossiter v Nedbank Ltd</w:t>
      </w:r>
      <w:r>
        <w:rPr>
          <w:rFonts w:ascii="Arial" w:hAnsi="Arial" w:cs="Arial"/>
          <w:lang w:val="en-GB"/>
        </w:rPr>
        <w:t xml:space="preserve"> SCA unreported 96/2014 dated 01 December 2015</w:t>
      </w:r>
      <w:r w:rsidR="00DB4AD2">
        <w:rPr>
          <w:rFonts w:ascii="Arial" w:hAnsi="Arial" w:cs="Arial"/>
          <w:lang w:val="en-GB"/>
        </w:rPr>
        <w:t>.</w:t>
      </w:r>
    </w:p>
  </w:footnote>
  <w:footnote w:id="5">
    <w:p w:rsidR="000C1C56" w:rsidRPr="00D63C21" w:rsidRDefault="000C1C56">
      <w:pPr>
        <w:pStyle w:val="FootnoteText"/>
        <w:rPr>
          <w:rFonts w:ascii="Arial" w:hAnsi="Arial" w:cs="Arial"/>
          <w:lang w:val="en-GB"/>
        </w:rPr>
      </w:pPr>
      <w:r>
        <w:rPr>
          <w:rStyle w:val="FootnoteReference"/>
        </w:rPr>
        <w:footnoteRef/>
      </w:r>
      <w:r>
        <w:t xml:space="preserve"> </w:t>
      </w:r>
      <w:r>
        <w:rPr>
          <w:rFonts w:ascii="Arial" w:hAnsi="Arial" w:cs="Arial"/>
          <w:lang w:val="en-GB"/>
        </w:rPr>
        <w:t>Eskom v Soweto City Council 1992 (2) SA 703 (W) at 705A-706G.</w:t>
      </w:r>
    </w:p>
  </w:footnote>
  <w:footnote w:id="6">
    <w:p w:rsidR="000C1C56" w:rsidRPr="000C1C56" w:rsidRDefault="000C1C56">
      <w:pPr>
        <w:pStyle w:val="FootnoteText"/>
        <w:rPr>
          <w:rFonts w:ascii="Arial" w:hAnsi="Arial" w:cs="Arial"/>
          <w:lang w:val="en-GB"/>
        </w:rPr>
      </w:pPr>
      <w:r>
        <w:rPr>
          <w:rStyle w:val="FootnoteReference"/>
        </w:rPr>
        <w:footnoteRef/>
      </w:r>
      <w:r>
        <w:t xml:space="preserve"> </w:t>
      </w:r>
      <w:r w:rsidRPr="00F5361A">
        <w:rPr>
          <w:rFonts w:ascii="Arial" w:hAnsi="Arial" w:cs="Arial"/>
          <w:i/>
          <w:lang w:val="en-GB"/>
        </w:rPr>
        <w:t>Gerber v Stolze and Others</w:t>
      </w:r>
      <w:r>
        <w:rPr>
          <w:rFonts w:ascii="Arial" w:hAnsi="Arial" w:cs="Arial"/>
          <w:lang w:val="en-GB"/>
        </w:rPr>
        <w:t xml:space="preserve"> 1951 (2) SA 166 (T) at 170G.</w:t>
      </w:r>
    </w:p>
  </w:footnote>
  <w:footnote w:id="7">
    <w:p w:rsidR="000C1C56" w:rsidRPr="000C1C56" w:rsidRDefault="000C1C56">
      <w:pPr>
        <w:pStyle w:val="FootnoteText"/>
        <w:rPr>
          <w:rFonts w:ascii="Arial" w:hAnsi="Arial" w:cs="Arial"/>
          <w:lang w:val="en-GB"/>
        </w:rPr>
      </w:pPr>
      <w:r>
        <w:rPr>
          <w:rStyle w:val="FootnoteReference"/>
        </w:rPr>
        <w:footnoteRef/>
      </w:r>
      <w:r>
        <w:t xml:space="preserve"> </w:t>
      </w:r>
      <w:r w:rsidRPr="00F5361A">
        <w:rPr>
          <w:rFonts w:ascii="Arial" w:hAnsi="Arial" w:cs="Arial"/>
          <w:i/>
          <w:lang w:val="en-GB"/>
        </w:rPr>
        <w:t>Hardroad (Pty) Ltd v Oribi Motors (Pty) Ltd</w:t>
      </w:r>
      <w:r>
        <w:rPr>
          <w:rFonts w:ascii="Arial" w:hAnsi="Arial" w:cs="Arial"/>
          <w:lang w:val="en-GB"/>
        </w:rPr>
        <w:t xml:space="preserve"> 1977 (2) SA 576 (W) at 580G.</w:t>
      </w:r>
    </w:p>
  </w:footnote>
  <w:footnote w:id="8">
    <w:p w:rsidR="000D6747" w:rsidRPr="000D6747" w:rsidRDefault="000D6747">
      <w:pPr>
        <w:pStyle w:val="FootnoteText"/>
        <w:rPr>
          <w:rFonts w:ascii="Arial" w:hAnsi="Arial" w:cs="Arial"/>
          <w:lang w:val="en-GB"/>
        </w:rPr>
      </w:pPr>
      <w:r>
        <w:rPr>
          <w:rStyle w:val="FootnoteReference"/>
        </w:rPr>
        <w:footnoteRef/>
      </w:r>
      <w:r>
        <w:t xml:space="preserve"> </w:t>
      </w:r>
      <w:r>
        <w:rPr>
          <w:rFonts w:ascii="Arial" w:hAnsi="Arial" w:cs="Arial"/>
        </w:rPr>
        <w:t>The Minister determined the “turnover” threshold to be R1 000 000.00 and the “large credit agreement” to be R250 000.00 0r above.</w:t>
      </w:r>
    </w:p>
  </w:footnote>
  <w:footnote w:id="9">
    <w:p w:rsidR="00997B8C" w:rsidRPr="00997B8C" w:rsidRDefault="00997B8C">
      <w:pPr>
        <w:pStyle w:val="FootnoteText"/>
        <w:rPr>
          <w:rFonts w:ascii="Arial" w:hAnsi="Arial" w:cs="Arial"/>
          <w:lang w:val="en-GB"/>
        </w:rPr>
      </w:pPr>
      <w:r>
        <w:rPr>
          <w:rStyle w:val="FootnoteReference"/>
        </w:rPr>
        <w:footnoteRef/>
      </w:r>
      <w:r>
        <w:t xml:space="preserve"> </w:t>
      </w:r>
      <w:r w:rsidRPr="00F5361A">
        <w:rPr>
          <w:rFonts w:ascii="Arial" w:hAnsi="Arial" w:cs="Arial"/>
          <w:i/>
          <w:lang w:val="en-GB"/>
        </w:rPr>
        <w:t>Firstrand Bank Ltd v Clear Creek Trading 12 (Pty) Ltd and Another</w:t>
      </w:r>
      <w:r>
        <w:rPr>
          <w:rFonts w:ascii="Arial" w:hAnsi="Arial" w:cs="Arial"/>
          <w:lang w:val="en-GB"/>
        </w:rPr>
        <w:t xml:space="preserve"> 2018 (5) SA 300 (SCA) at 302 para 2.</w:t>
      </w:r>
    </w:p>
  </w:footnote>
  <w:footnote w:id="10">
    <w:p w:rsidR="00030ADE" w:rsidRPr="00030ADE" w:rsidRDefault="00030ADE">
      <w:pPr>
        <w:pStyle w:val="FootnoteText"/>
        <w:rPr>
          <w:rFonts w:ascii="Arial" w:hAnsi="Arial" w:cs="Arial"/>
          <w:lang w:val="en-GB"/>
        </w:rPr>
      </w:pPr>
      <w:r>
        <w:rPr>
          <w:rStyle w:val="FootnoteReference"/>
        </w:rPr>
        <w:footnoteRef/>
      </w:r>
      <w:r>
        <w:t xml:space="preserve"> </w:t>
      </w:r>
      <w:r w:rsidRPr="00F5361A">
        <w:rPr>
          <w:rFonts w:ascii="Arial" w:hAnsi="Arial" w:cs="Arial"/>
          <w:i/>
          <w:lang w:val="en-GB"/>
        </w:rPr>
        <w:t>SA Sentrial Ko-Op Graanmply Bpk v Shifren</w:t>
      </w:r>
      <w:r>
        <w:rPr>
          <w:rFonts w:ascii="Arial" w:hAnsi="Arial" w:cs="Arial"/>
          <w:lang w:val="en-GB"/>
        </w:rPr>
        <w:t xml:space="preserve"> 1964 (</w:t>
      </w:r>
      <w:r w:rsidR="00AA3397">
        <w:rPr>
          <w:rFonts w:ascii="Arial" w:hAnsi="Arial" w:cs="Arial"/>
          <w:lang w:val="en-GB"/>
        </w:rPr>
        <w:t>4) SA 760 (A).</w:t>
      </w:r>
    </w:p>
  </w:footnote>
  <w:footnote w:id="11">
    <w:p w:rsidR="001E6163" w:rsidRPr="001E6163" w:rsidRDefault="001E6163">
      <w:pPr>
        <w:pStyle w:val="FootnoteText"/>
        <w:rPr>
          <w:rFonts w:ascii="Arial" w:hAnsi="Arial" w:cs="Arial"/>
          <w:lang w:val="en-GB"/>
        </w:rPr>
      </w:pPr>
      <w:r>
        <w:rPr>
          <w:rStyle w:val="FootnoteReference"/>
        </w:rPr>
        <w:footnoteRef/>
      </w:r>
      <w:r>
        <w:t xml:space="preserve"> </w:t>
      </w:r>
      <w:r>
        <w:rPr>
          <w:rFonts w:ascii="Arial" w:hAnsi="Arial" w:cs="Arial"/>
          <w:lang w:val="en-GB"/>
        </w:rPr>
        <w:t xml:space="preserve">Chetty v Law Society, Transvaal 1985 (2) SA 756 at </w:t>
      </w:r>
      <w:r w:rsidR="009F7292">
        <w:rPr>
          <w:rFonts w:ascii="Arial" w:hAnsi="Arial" w:cs="Arial"/>
          <w:lang w:val="en-GB"/>
        </w:rPr>
        <w:t>764I- 765E.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1572"/>
      <w:docPartObj>
        <w:docPartGallery w:val="Page Numbers (Top of Page)"/>
        <w:docPartUnique/>
      </w:docPartObj>
    </w:sdtPr>
    <w:sdtEndPr>
      <w:rPr>
        <w:noProof/>
      </w:rPr>
    </w:sdtEndPr>
    <w:sdtContent>
      <w:p w:rsidR="000C1C56" w:rsidRDefault="000C1C56">
        <w:pPr>
          <w:pStyle w:val="Header"/>
          <w:jc w:val="right"/>
        </w:pPr>
        <w:r w:rsidRPr="00D351D3">
          <w:rPr>
            <w:rFonts w:ascii="Arial" w:hAnsi="Arial" w:cs="Arial"/>
          </w:rPr>
          <w:fldChar w:fldCharType="begin"/>
        </w:r>
        <w:r w:rsidRPr="00D351D3">
          <w:rPr>
            <w:rFonts w:ascii="Arial" w:hAnsi="Arial" w:cs="Arial"/>
          </w:rPr>
          <w:instrText xml:space="preserve"> PAGE   \* MERGEFORMAT </w:instrText>
        </w:r>
        <w:r w:rsidRPr="00D351D3">
          <w:rPr>
            <w:rFonts w:ascii="Arial" w:hAnsi="Arial" w:cs="Arial"/>
          </w:rPr>
          <w:fldChar w:fldCharType="separate"/>
        </w:r>
        <w:r w:rsidR="00AA315A">
          <w:rPr>
            <w:rFonts w:ascii="Arial" w:hAnsi="Arial" w:cs="Arial"/>
            <w:noProof/>
          </w:rPr>
          <w:t>1</w:t>
        </w:r>
        <w:r w:rsidRPr="00D351D3">
          <w:rPr>
            <w:rFonts w:ascii="Arial" w:hAnsi="Arial" w:cs="Arial"/>
            <w:noProof/>
          </w:rPr>
          <w:fldChar w:fldCharType="end"/>
        </w:r>
      </w:p>
    </w:sdtContent>
  </w:sdt>
  <w:p w:rsidR="000C1C56" w:rsidRDefault="000C1C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1D5"/>
    <w:multiLevelType w:val="hybridMultilevel"/>
    <w:tmpl w:val="1D2A1850"/>
    <w:lvl w:ilvl="0" w:tplc="01FEADDE">
      <w:start w:val="1"/>
      <w:numFmt w:val="lowerRoman"/>
      <w:lvlText w:val="(%1)"/>
      <w:lvlJc w:val="left"/>
      <w:pPr>
        <w:ind w:left="2136" w:hanging="360"/>
      </w:pPr>
      <w:rPr>
        <w:rFonts w:hint="default"/>
      </w:rPr>
    </w:lvl>
    <w:lvl w:ilvl="1" w:tplc="1C090019" w:tentative="1">
      <w:start w:val="1"/>
      <w:numFmt w:val="lowerLetter"/>
      <w:lvlText w:val="%2."/>
      <w:lvlJc w:val="left"/>
      <w:pPr>
        <w:ind w:left="2856" w:hanging="360"/>
      </w:pPr>
    </w:lvl>
    <w:lvl w:ilvl="2" w:tplc="1C09001B" w:tentative="1">
      <w:start w:val="1"/>
      <w:numFmt w:val="lowerRoman"/>
      <w:lvlText w:val="%3."/>
      <w:lvlJc w:val="right"/>
      <w:pPr>
        <w:ind w:left="3576" w:hanging="180"/>
      </w:pPr>
    </w:lvl>
    <w:lvl w:ilvl="3" w:tplc="1C09000F" w:tentative="1">
      <w:start w:val="1"/>
      <w:numFmt w:val="decimal"/>
      <w:lvlText w:val="%4."/>
      <w:lvlJc w:val="left"/>
      <w:pPr>
        <w:ind w:left="4296" w:hanging="360"/>
      </w:pPr>
    </w:lvl>
    <w:lvl w:ilvl="4" w:tplc="1C090019" w:tentative="1">
      <w:start w:val="1"/>
      <w:numFmt w:val="lowerLetter"/>
      <w:lvlText w:val="%5."/>
      <w:lvlJc w:val="left"/>
      <w:pPr>
        <w:ind w:left="5016" w:hanging="360"/>
      </w:pPr>
    </w:lvl>
    <w:lvl w:ilvl="5" w:tplc="1C09001B" w:tentative="1">
      <w:start w:val="1"/>
      <w:numFmt w:val="lowerRoman"/>
      <w:lvlText w:val="%6."/>
      <w:lvlJc w:val="right"/>
      <w:pPr>
        <w:ind w:left="5736" w:hanging="180"/>
      </w:pPr>
    </w:lvl>
    <w:lvl w:ilvl="6" w:tplc="1C09000F" w:tentative="1">
      <w:start w:val="1"/>
      <w:numFmt w:val="decimal"/>
      <w:lvlText w:val="%7."/>
      <w:lvlJc w:val="left"/>
      <w:pPr>
        <w:ind w:left="6456" w:hanging="360"/>
      </w:pPr>
    </w:lvl>
    <w:lvl w:ilvl="7" w:tplc="1C090019" w:tentative="1">
      <w:start w:val="1"/>
      <w:numFmt w:val="lowerLetter"/>
      <w:lvlText w:val="%8."/>
      <w:lvlJc w:val="left"/>
      <w:pPr>
        <w:ind w:left="7176" w:hanging="360"/>
      </w:pPr>
    </w:lvl>
    <w:lvl w:ilvl="8" w:tplc="1C09001B" w:tentative="1">
      <w:start w:val="1"/>
      <w:numFmt w:val="lowerRoman"/>
      <w:lvlText w:val="%9."/>
      <w:lvlJc w:val="right"/>
      <w:pPr>
        <w:ind w:left="7896" w:hanging="180"/>
      </w:pPr>
    </w:lvl>
  </w:abstractNum>
  <w:abstractNum w:abstractNumId="1" w15:restartNumberingAfterBreak="0">
    <w:nsid w:val="08C04EAC"/>
    <w:multiLevelType w:val="hybridMultilevel"/>
    <w:tmpl w:val="466C14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1068"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2C903D87"/>
    <w:multiLevelType w:val="hybridMultilevel"/>
    <w:tmpl w:val="AE6E4CA6"/>
    <w:lvl w:ilvl="0" w:tplc="01FEADDE">
      <w:start w:val="1"/>
      <w:numFmt w:val="lowerRoman"/>
      <w:lvlText w:val="(%1)"/>
      <w:lvlJc w:val="left"/>
      <w:pPr>
        <w:ind w:left="1428" w:hanging="72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5" w15:restartNumberingAfterBreak="0">
    <w:nsid w:val="55DC3251"/>
    <w:multiLevelType w:val="hybridMultilevel"/>
    <w:tmpl w:val="A8D0E43A"/>
    <w:lvl w:ilvl="0" w:tplc="AEB4C478">
      <w:start w:val="1"/>
      <w:numFmt w:val="lowerRoman"/>
      <w:lvlText w:val="(%1)"/>
      <w:lvlJc w:val="left"/>
      <w:pPr>
        <w:ind w:left="1788" w:hanging="720"/>
      </w:pPr>
      <w:rPr>
        <w:rFonts w:hint="default"/>
      </w:rPr>
    </w:lvl>
    <w:lvl w:ilvl="1" w:tplc="1C090019" w:tentative="1">
      <w:start w:val="1"/>
      <w:numFmt w:val="lowerLetter"/>
      <w:lvlText w:val="%2."/>
      <w:lvlJc w:val="left"/>
      <w:pPr>
        <w:ind w:left="2148" w:hanging="360"/>
      </w:pPr>
    </w:lvl>
    <w:lvl w:ilvl="2" w:tplc="1C09001B" w:tentative="1">
      <w:start w:val="1"/>
      <w:numFmt w:val="lowerRoman"/>
      <w:lvlText w:val="%3."/>
      <w:lvlJc w:val="right"/>
      <w:pPr>
        <w:ind w:left="2868" w:hanging="180"/>
      </w:pPr>
    </w:lvl>
    <w:lvl w:ilvl="3" w:tplc="1C09000F" w:tentative="1">
      <w:start w:val="1"/>
      <w:numFmt w:val="decimal"/>
      <w:lvlText w:val="%4."/>
      <w:lvlJc w:val="left"/>
      <w:pPr>
        <w:ind w:left="3588" w:hanging="360"/>
      </w:pPr>
    </w:lvl>
    <w:lvl w:ilvl="4" w:tplc="1C090019" w:tentative="1">
      <w:start w:val="1"/>
      <w:numFmt w:val="lowerLetter"/>
      <w:lvlText w:val="%5."/>
      <w:lvlJc w:val="left"/>
      <w:pPr>
        <w:ind w:left="4308" w:hanging="360"/>
      </w:pPr>
    </w:lvl>
    <w:lvl w:ilvl="5" w:tplc="1C09001B" w:tentative="1">
      <w:start w:val="1"/>
      <w:numFmt w:val="lowerRoman"/>
      <w:lvlText w:val="%6."/>
      <w:lvlJc w:val="right"/>
      <w:pPr>
        <w:ind w:left="5028" w:hanging="180"/>
      </w:pPr>
    </w:lvl>
    <w:lvl w:ilvl="6" w:tplc="1C09000F" w:tentative="1">
      <w:start w:val="1"/>
      <w:numFmt w:val="decimal"/>
      <w:lvlText w:val="%7."/>
      <w:lvlJc w:val="left"/>
      <w:pPr>
        <w:ind w:left="5748" w:hanging="360"/>
      </w:pPr>
    </w:lvl>
    <w:lvl w:ilvl="7" w:tplc="1C090019" w:tentative="1">
      <w:start w:val="1"/>
      <w:numFmt w:val="lowerLetter"/>
      <w:lvlText w:val="%8."/>
      <w:lvlJc w:val="left"/>
      <w:pPr>
        <w:ind w:left="6468" w:hanging="360"/>
      </w:pPr>
    </w:lvl>
    <w:lvl w:ilvl="8" w:tplc="1C09001B" w:tentative="1">
      <w:start w:val="1"/>
      <w:numFmt w:val="lowerRoman"/>
      <w:lvlText w:val="%9."/>
      <w:lvlJc w:val="right"/>
      <w:pPr>
        <w:ind w:left="7188"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E3"/>
    <w:rsid w:val="00007216"/>
    <w:rsid w:val="00030ADE"/>
    <w:rsid w:val="00082C80"/>
    <w:rsid w:val="000863F5"/>
    <w:rsid w:val="000C1C56"/>
    <w:rsid w:val="000D6747"/>
    <w:rsid w:val="00157E25"/>
    <w:rsid w:val="00161D37"/>
    <w:rsid w:val="00164719"/>
    <w:rsid w:val="001C0902"/>
    <w:rsid w:val="001D73AE"/>
    <w:rsid w:val="001E2971"/>
    <w:rsid w:val="001E6163"/>
    <w:rsid w:val="002021E3"/>
    <w:rsid w:val="00214706"/>
    <w:rsid w:val="002222C7"/>
    <w:rsid w:val="00226FCE"/>
    <w:rsid w:val="00247E6A"/>
    <w:rsid w:val="00264CD3"/>
    <w:rsid w:val="00265330"/>
    <w:rsid w:val="002725BC"/>
    <w:rsid w:val="00284F40"/>
    <w:rsid w:val="002E0FDE"/>
    <w:rsid w:val="002E7BCB"/>
    <w:rsid w:val="00312F6D"/>
    <w:rsid w:val="003846AA"/>
    <w:rsid w:val="003E5F12"/>
    <w:rsid w:val="003F2AFD"/>
    <w:rsid w:val="003F2F33"/>
    <w:rsid w:val="00451B16"/>
    <w:rsid w:val="004E22EB"/>
    <w:rsid w:val="004E56CC"/>
    <w:rsid w:val="004F2C69"/>
    <w:rsid w:val="004F3C2D"/>
    <w:rsid w:val="0057353A"/>
    <w:rsid w:val="00597BEB"/>
    <w:rsid w:val="005B06F7"/>
    <w:rsid w:val="005C4454"/>
    <w:rsid w:val="005F4F70"/>
    <w:rsid w:val="00610388"/>
    <w:rsid w:val="006804E7"/>
    <w:rsid w:val="006C47B2"/>
    <w:rsid w:val="006C52D5"/>
    <w:rsid w:val="006F6689"/>
    <w:rsid w:val="00717C3E"/>
    <w:rsid w:val="00724762"/>
    <w:rsid w:val="007876C2"/>
    <w:rsid w:val="007A48DB"/>
    <w:rsid w:val="007D6518"/>
    <w:rsid w:val="00860F6C"/>
    <w:rsid w:val="00862C00"/>
    <w:rsid w:val="00886074"/>
    <w:rsid w:val="008A687E"/>
    <w:rsid w:val="008D1980"/>
    <w:rsid w:val="0091779A"/>
    <w:rsid w:val="00931015"/>
    <w:rsid w:val="00935AFD"/>
    <w:rsid w:val="009667D5"/>
    <w:rsid w:val="00977629"/>
    <w:rsid w:val="00997B8C"/>
    <w:rsid w:val="009A75C5"/>
    <w:rsid w:val="009A7758"/>
    <w:rsid w:val="009B4891"/>
    <w:rsid w:val="009D4080"/>
    <w:rsid w:val="009D5D71"/>
    <w:rsid w:val="009F7292"/>
    <w:rsid w:val="00A02702"/>
    <w:rsid w:val="00A04E2F"/>
    <w:rsid w:val="00A164A0"/>
    <w:rsid w:val="00A22982"/>
    <w:rsid w:val="00A314B1"/>
    <w:rsid w:val="00A619B1"/>
    <w:rsid w:val="00AA315A"/>
    <w:rsid w:val="00AA3397"/>
    <w:rsid w:val="00AA5026"/>
    <w:rsid w:val="00AB7333"/>
    <w:rsid w:val="00B12365"/>
    <w:rsid w:val="00B165D1"/>
    <w:rsid w:val="00B6574B"/>
    <w:rsid w:val="00B710DB"/>
    <w:rsid w:val="00C33EE3"/>
    <w:rsid w:val="00C41B7F"/>
    <w:rsid w:val="00C56180"/>
    <w:rsid w:val="00C63F66"/>
    <w:rsid w:val="00C805E1"/>
    <w:rsid w:val="00CB42D7"/>
    <w:rsid w:val="00CF765D"/>
    <w:rsid w:val="00D0149F"/>
    <w:rsid w:val="00D439B6"/>
    <w:rsid w:val="00D63C21"/>
    <w:rsid w:val="00DB4AD2"/>
    <w:rsid w:val="00DF4091"/>
    <w:rsid w:val="00E5552A"/>
    <w:rsid w:val="00E741DB"/>
    <w:rsid w:val="00E85C2C"/>
    <w:rsid w:val="00EB3B36"/>
    <w:rsid w:val="00F5361A"/>
    <w:rsid w:val="00FC1815"/>
    <w:rsid w:val="00FD4A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314C"/>
  <w15:chartTrackingRefBased/>
  <w15:docId w15:val="{6FFB82AC-6992-4A25-8214-BAB1CC41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nhideWhenUsed/>
    <w:qFormat/>
    <w:rsid w:val="00C33EE3"/>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rsid w:val="00C33EE3"/>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nhideWhenUsed/>
    <w:rsid w:val="00C33EE3"/>
    <w:rPr>
      <w:vertAlign w:val="superscript"/>
    </w:rPr>
  </w:style>
  <w:style w:type="paragraph" w:styleId="Header">
    <w:name w:val="header"/>
    <w:basedOn w:val="Normal"/>
    <w:link w:val="HeaderChar"/>
    <w:uiPriority w:val="99"/>
    <w:unhideWhenUsed/>
    <w:rsid w:val="00C33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E3"/>
  </w:style>
  <w:style w:type="paragraph" w:customStyle="1" w:styleId="JUDGMENTNUMBERED">
    <w:name w:val="JUDGMENT NUMBERED"/>
    <w:basedOn w:val="Normal"/>
    <w:next w:val="Normal"/>
    <w:qFormat/>
    <w:rsid w:val="00C33EE3"/>
    <w:pPr>
      <w:numPr>
        <w:numId w:val="1"/>
      </w:numPr>
      <w:spacing w:after="0" w:line="360" w:lineRule="auto"/>
      <w:ind w:left="0" w:firstLine="0"/>
      <w:jc w:val="both"/>
    </w:pPr>
    <w:rPr>
      <w:rFonts w:ascii="Arial" w:eastAsia="Calibri" w:hAnsi="Arial" w:cs="Times New Roman"/>
      <w:color w:val="000000"/>
      <w:sz w:val="24"/>
      <w14:scene3d>
        <w14:camera w14:prst="orthographicFront"/>
        <w14:lightRig w14:rig="threePt" w14:dir="t">
          <w14:rot w14:lat="0" w14:lon="0" w14:rev="0"/>
        </w14:lightRig>
      </w14:scene3d>
    </w:rPr>
  </w:style>
  <w:style w:type="paragraph" w:styleId="ListParagraph">
    <w:name w:val="List Paragraph"/>
    <w:basedOn w:val="Normal"/>
    <w:uiPriority w:val="34"/>
    <w:qFormat/>
    <w:rsid w:val="00C33EE3"/>
    <w:pPr>
      <w:ind w:left="720"/>
      <w:contextualSpacing/>
    </w:pPr>
  </w:style>
  <w:style w:type="paragraph" w:styleId="BalloonText">
    <w:name w:val="Balloon Text"/>
    <w:basedOn w:val="Normal"/>
    <w:link w:val="BalloonTextChar"/>
    <w:uiPriority w:val="99"/>
    <w:semiHidden/>
    <w:unhideWhenUsed/>
    <w:rsid w:val="001E2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696E-0D0A-4F8B-A5EE-18760616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Christinah Msimango</dc:creator>
  <cp:keywords/>
  <dc:description/>
  <cp:lastModifiedBy>Christinah Msimango</cp:lastModifiedBy>
  <cp:revision>2</cp:revision>
  <dcterms:created xsi:type="dcterms:W3CDTF">2022-07-12T12:49:00Z</dcterms:created>
  <dcterms:modified xsi:type="dcterms:W3CDTF">2022-07-12T12:49:00Z</dcterms:modified>
</cp:coreProperties>
</file>