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7E33" w14:textId="77777777" w:rsidR="00F97937" w:rsidRDefault="00F97937" w:rsidP="00F97937">
      <w:pPr>
        <w:spacing w:after="0" w:line="480" w:lineRule="auto"/>
        <w:jc w:val="center"/>
        <w:rPr>
          <w:rFonts w:cs="Arial"/>
          <w:b/>
          <w:sz w:val="24"/>
          <w:szCs w:val="24"/>
        </w:rPr>
      </w:pPr>
      <w:r>
        <w:rPr>
          <w:rFonts w:cs="Arial"/>
          <w:b/>
          <w:noProof/>
          <w:sz w:val="24"/>
          <w:szCs w:val="24"/>
          <w:lang w:eastAsia="en-GB"/>
        </w:rPr>
        <w:drawing>
          <wp:anchor distT="0" distB="0" distL="114300" distR="114300" simplePos="0" relativeHeight="251659264" behindDoc="0" locked="0" layoutInCell="1" allowOverlap="1" wp14:anchorId="2690B010" wp14:editId="17BF22C4">
            <wp:simplePos x="0" y="0"/>
            <wp:positionH relativeFrom="column">
              <wp:posOffset>2326640</wp:posOffset>
            </wp:positionH>
            <wp:positionV relativeFrom="paragraph">
              <wp:posOffset>-537845</wp:posOffset>
            </wp:positionV>
            <wp:extent cx="1007110" cy="1292225"/>
            <wp:effectExtent l="0" t="0" r="2540" b="317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1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245DE" w14:textId="77777777" w:rsidR="00F97937" w:rsidRDefault="00F97937" w:rsidP="00F97937">
      <w:pPr>
        <w:spacing w:after="0" w:line="480" w:lineRule="auto"/>
        <w:jc w:val="center"/>
        <w:rPr>
          <w:rFonts w:cs="Arial"/>
          <w:b/>
          <w:sz w:val="24"/>
          <w:szCs w:val="24"/>
        </w:rPr>
      </w:pPr>
    </w:p>
    <w:p w14:paraId="05FF193D" w14:textId="77777777" w:rsidR="00F97937" w:rsidRDefault="00F97937" w:rsidP="00F97937">
      <w:pPr>
        <w:spacing w:after="0" w:line="360" w:lineRule="auto"/>
        <w:rPr>
          <w:rFonts w:cs="Arial"/>
          <w:b/>
          <w:sz w:val="24"/>
          <w:szCs w:val="24"/>
        </w:rPr>
      </w:pPr>
    </w:p>
    <w:p w14:paraId="2677E67E" w14:textId="77777777" w:rsidR="00F97937" w:rsidRDefault="00F97937" w:rsidP="00F97937">
      <w:pPr>
        <w:spacing w:after="0" w:line="360" w:lineRule="auto"/>
        <w:ind w:left="1440" w:firstLine="720"/>
        <w:rPr>
          <w:rFonts w:cs="Arial"/>
          <w:b/>
          <w:sz w:val="24"/>
          <w:szCs w:val="24"/>
        </w:rPr>
      </w:pPr>
      <w:r>
        <w:rPr>
          <w:rFonts w:cs="Arial"/>
          <w:b/>
          <w:sz w:val="24"/>
          <w:szCs w:val="24"/>
        </w:rPr>
        <w:t>IN THE HIGH COURT OF SOUTH AFRICA</w:t>
      </w:r>
    </w:p>
    <w:p w14:paraId="60D2457D" w14:textId="77777777" w:rsidR="00F97937" w:rsidRDefault="00F97937" w:rsidP="00F97937">
      <w:pPr>
        <w:spacing w:after="0" w:line="360" w:lineRule="auto"/>
        <w:jc w:val="center"/>
        <w:rPr>
          <w:rFonts w:cs="Arial"/>
          <w:b/>
          <w:sz w:val="24"/>
          <w:szCs w:val="24"/>
        </w:rPr>
      </w:pPr>
      <w:r>
        <w:rPr>
          <w:rFonts w:cs="Arial"/>
          <w:b/>
          <w:sz w:val="24"/>
          <w:szCs w:val="24"/>
        </w:rPr>
        <w:t>(GAUTENG DIVISION, PRETORIA)</w:t>
      </w:r>
    </w:p>
    <w:p w14:paraId="7DC0C4D1" w14:textId="77777777" w:rsidR="00F97937" w:rsidRDefault="00F97937" w:rsidP="00F97937">
      <w:pPr>
        <w:spacing w:after="0" w:line="480" w:lineRule="auto"/>
        <w:jc w:val="center"/>
        <w:rPr>
          <w:rFonts w:cs="Arial"/>
          <w:b/>
          <w:sz w:val="24"/>
          <w:szCs w:val="24"/>
        </w:rPr>
      </w:pPr>
    </w:p>
    <w:p w14:paraId="674B8228" w14:textId="77777777" w:rsidR="00F97937" w:rsidRDefault="00F97937" w:rsidP="00F97937">
      <w:pPr>
        <w:spacing w:line="480" w:lineRule="auto"/>
        <w:jc w:val="right"/>
        <w:rPr>
          <w:rFonts w:cs="Arial"/>
          <w:sz w:val="24"/>
          <w:szCs w:val="24"/>
        </w:rPr>
      </w:pPr>
      <w:r>
        <w:rPr>
          <w:rFonts w:cs="Arial"/>
          <w:noProof/>
          <w:sz w:val="24"/>
          <w:szCs w:val="24"/>
          <w:lang w:eastAsia="en-GB"/>
        </w:rPr>
        <mc:AlternateContent>
          <mc:Choice Requires="wps">
            <w:drawing>
              <wp:anchor distT="0" distB="0" distL="114300" distR="114300" simplePos="0" relativeHeight="251660288" behindDoc="0" locked="0" layoutInCell="1" allowOverlap="1" wp14:anchorId="1AA58196" wp14:editId="5A691CCD">
                <wp:simplePos x="0" y="0"/>
                <wp:positionH relativeFrom="column">
                  <wp:posOffset>-141605</wp:posOffset>
                </wp:positionH>
                <wp:positionV relativeFrom="paragraph">
                  <wp:posOffset>40005</wp:posOffset>
                </wp:positionV>
                <wp:extent cx="3408680" cy="1562100"/>
                <wp:effectExtent l="0" t="0" r="2032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562100"/>
                        </a:xfrm>
                        <a:prstGeom prst="rect">
                          <a:avLst/>
                        </a:prstGeom>
                        <a:solidFill>
                          <a:srgbClr val="FFFFFF"/>
                        </a:solidFill>
                        <a:ln w="9525">
                          <a:solidFill>
                            <a:srgbClr val="000000"/>
                          </a:solidFill>
                          <a:miter lim="800000"/>
                          <a:headEnd/>
                          <a:tailEnd/>
                        </a:ln>
                      </wps:spPr>
                      <wps:txbx>
                        <w:txbxContent>
                          <w:p w14:paraId="57206287" w14:textId="77777777" w:rsidR="00F97937" w:rsidRPr="00913F95" w:rsidRDefault="00F97937" w:rsidP="00F97937">
                            <w:pPr>
                              <w:jc w:val="center"/>
                              <w:rPr>
                                <w:rFonts w:ascii="Century Gothic" w:hAnsi="Century Gothic"/>
                                <w:b/>
                                <w:sz w:val="20"/>
                                <w:szCs w:val="20"/>
                              </w:rPr>
                            </w:pPr>
                          </w:p>
                          <w:p w14:paraId="1070B6D4" w14:textId="77777777" w:rsidR="00F97937" w:rsidRPr="0087438D" w:rsidRDefault="00F97937" w:rsidP="00F97937">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REPORTABLE: YES / NO</w:t>
                            </w:r>
                          </w:p>
                          <w:p w14:paraId="4F229810" w14:textId="77777777" w:rsidR="00F97937" w:rsidRPr="0087438D" w:rsidRDefault="00F97937" w:rsidP="00F97937">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OF INTEREST TO OTHER JUDGES: YES/NO</w:t>
                            </w:r>
                          </w:p>
                          <w:p w14:paraId="7D308EBA" w14:textId="77777777" w:rsidR="00F97937" w:rsidRPr="0087438D" w:rsidRDefault="00F97937" w:rsidP="00F97937">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 xml:space="preserve">REVISED. </w:t>
                            </w:r>
                          </w:p>
                          <w:p w14:paraId="4AE06B82" w14:textId="77777777" w:rsidR="00F97937" w:rsidRPr="0087438D" w:rsidRDefault="00F97937" w:rsidP="00F97937">
                            <w:pPr>
                              <w:rPr>
                                <w:rFonts w:ascii="Century Gothic" w:hAnsi="Century Gothic"/>
                                <w:b/>
                                <w:sz w:val="18"/>
                                <w:szCs w:val="18"/>
                              </w:rPr>
                            </w:pPr>
                          </w:p>
                          <w:p w14:paraId="1E893079" w14:textId="77777777" w:rsidR="00F97937" w:rsidRDefault="00F97937" w:rsidP="00F97937">
                            <w:pPr>
                              <w:rPr>
                                <w:rFonts w:ascii="Century Gothic" w:hAnsi="Century Gothic"/>
                                <w:sz w:val="18"/>
                                <w:szCs w:val="18"/>
                              </w:rPr>
                            </w:pPr>
                            <w:r w:rsidRPr="0087438D">
                              <w:rPr>
                                <w:rFonts w:ascii="Century Gothic" w:hAnsi="Century Gothic"/>
                                <w:b/>
                                <w:sz w:val="18"/>
                                <w:szCs w:val="18"/>
                              </w:rPr>
                              <w:t xml:space="preserve"> </w:t>
                            </w:r>
                            <w:r>
                              <w:rPr>
                                <w:rFonts w:ascii="Century Gothic" w:hAnsi="Century Gothic"/>
                                <w:b/>
                                <w:sz w:val="18"/>
                                <w:szCs w:val="18"/>
                              </w:rPr>
                              <w:t xml:space="preserve">        ……………………..</w:t>
                            </w:r>
                            <w:r>
                              <w:rPr>
                                <w:rFonts w:ascii="Century Gothic" w:hAnsi="Century Gothic"/>
                                <w:b/>
                                <w:sz w:val="18"/>
                                <w:szCs w:val="18"/>
                              </w:rPr>
                              <w:tab/>
                              <w:t>……………………</w:t>
                            </w:r>
                            <w:r w:rsidRPr="0087438D">
                              <w:rPr>
                                <w:rFonts w:ascii="Century Gothic" w:hAnsi="Century Gothic"/>
                                <w:sz w:val="18"/>
                                <w:szCs w:val="18"/>
                              </w:rPr>
                              <w:t xml:space="preserve">  </w:t>
                            </w:r>
                          </w:p>
                          <w:p w14:paraId="1015480F" w14:textId="77777777" w:rsidR="00F97937" w:rsidRPr="00A3547E" w:rsidRDefault="00F97937" w:rsidP="00F97937">
                            <w:pPr>
                              <w:rPr>
                                <w:rFonts w:ascii="Century Gothic" w:hAnsi="Century Gothic"/>
                                <w:b/>
                                <w:sz w:val="18"/>
                                <w:szCs w:val="18"/>
                              </w:rPr>
                            </w:pPr>
                            <w:r>
                              <w:rPr>
                                <w:rFonts w:ascii="Century Gothic" w:hAnsi="Century Gothic"/>
                                <w:sz w:val="18"/>
                                <w:szCs w:val="18"/>
                              </w:rPr>
                              <w:t xml:space="preserve">         DATE</w:t>
                            </w:r>
                            <w:r>
                              <w:rPr>
                                <w:rFonts w:ascii="Century Gothic" w:hAnsi="Century Gothic"/>
                                <w:sz w:val="18"/>
                                <w:szCs w:val="18"/>
                              </w:rPr>
                              <w:tab/>
                              <w:t xml:space="preserve">               </w:t>
                            </w:r>
                            <w:r w:rsidRPr="0087438D">
                              <w:rPr>
                                <w:rFonts w:ascii="Century Gothic" w:hAnsi="Century Gothic"/>
                                <w:sz w:val="18"/>
                                <w:szCs w:val="18"/>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58196" id="_x0000_t202" coordsize="21600,21600" o:spt="202" path="m,l,21600r21600,l21600,xe">
                <v:stroke joinstyle="miter"/>
                <v:path gradientshapeok="t" o:connecttype="rect"/>
              </v:shapetype>
              <v:shape id="Text Box 1" o:spid="_x0000_s1026" type="#_x0000_t202" style="position:absolute;left:0;text-align:left;margin-left:-11.15pt;margin-top:3.15pt;width:268.4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">
                <v:textbox>
                  <w:txbxContent>
                    <w:p w14:paraId="57206287" w14:textId="77777777" w:rsidR="00F97937" w:rsidRPr="00913F95" w:rsidRDefault="00F97937" w:rsidP="00F97937">
                      <w:pPr>
                        <w:jc w:val="center"/>
                        <w:rPr>
                          <w:rFonts w:ascii="Century Gothic" w:hAnsi="Century Gothic"/>
                          <w:b/>
                          <w:sz w:val="20"/>
                          <w:szCs w:val="20"/>
                        </w:rPr>
                      </w:pPr>
                    </w:p>
                    <w:p w14:paraId="1070B6D4" w14:textId="77777777" w:rsidR="00F97937" w:rsidRPr="0087438D" w:rsidRDefault="00F97937" w:rsidP="00F97937">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REPORTABLE: YES / NO</w:t>
                      </w:r>
                    </w:p>
                    <w:p w14:paraId="4F229810" w14:textId="77777777" w:rsidR="00F97937" w:rsidRPr="0087438D" w:rsidRDefault="00F97937" w:rsidP="00F97937">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OF INTEREST TO OTHER JUDGES: YES/NO</w:t>
                      </w:r>
                    </w:p>
                    <w:p w14:paraId="7D308EBA" w14:textId="77777777" w:rsidR="00F97937" w:rsidRPr="0087438D" w:rsidRDefault="00F97937" w:rsidP="00F97937">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 xml:space="preserve">REVISED. </w:t>
                      </w:r>
                    </w:p>
                    <w:p w14:paraId="4AE06B82" w14:textId="77777777" w:rsidR="00F97937" w:rsidRPr="0087438D" w:rsidRDefault="00F97937" w:rsidP="00F97937">
                      <w:pPr>
                        <w:rPr>
                          <w:rFonts w:ascii="Century Gothic" w:hAnsi="Century Gothic"/>
                          <w:b/>
                          <w:sz w:val="18"/>
                          <w:szCs w:val="18"/>
                        </w:rPr>
                      </w:pPr>
                    </w:p>
                    <w:p w14:paraId="1E893079" w14:textId="77777777" w:rsidR="00F97937" w:rsidRDefault="00F97937" w:rsidP="00F97937">
                      <w:pPr>
                        <w:rPr>
                          <w:rFonts w:ascii="Century Gothic" w:hAnsi="Century Gothic"/>
                          <w:sz w:val="18"/>
                          <w:szCs w:val="18"/>
                        </w:rPr>
                      </w:pPr>
                      <w:r w:rsidRPr="0087438D">
                        <w:rPr>
                          <w:rFonts w:ascii="Century Gothic" w:hAnsi="Century Gothic"/>
                          <w:b/>
                          <w:sz w:val="18"/>
                          <w:szCs w:val="18"/>
                        </w:rPr>
                        <w:t xml:space="preserve"> </w:t>
                      </w:r>
                      <w:r>
                        <w:rPr>
                          <w:rFonts w:ascii="Century Gothic" w:hAnsi="Century Gothic"/>
                          <w:b/>
                          <w:sz w:val="18"/>
                          <w:szCs w:val="18"/>
                        </w:rPr>
                        <w:t xml:space="preserve">        ……………………..</w:t>
                      </w:r>
                      <w:r>
                        <w:rPr>
                          <w:rFonts w:ascii="Century Gothic" w:hAnsi="Century Gothic"/>
                          <w:b/>
                          <w:sz w:val="18"/>
                          <w:szCs w:val="18"/>
                        </w:rPr>
                        <w:tab/>
                        <w:t>……………………</w:t>
                      </w:r>
                      <w:r w:rsidRPr="0087438D">
                        <w:rPr>
                          <w:rFonts w:ascii="Century Gothic" w:hAnsi="Century Gothic"/>
                          <w:sz w:val="18"/>
                          <w:szCs w:val="18"/>
                        </w:rPr>
                        <w:t xml:space="preserve">  </w:t>
                      </w:r>
                    </w:p>
                    <w:p w14:paraId="1015480F" w14:textId="77777777" w:rsidR="00F97937" w:rsidRPr="00A3547E" w:rsidRDefault="00F97937" w:rsidP="00F97937">
                      <w:pPr>
                        <w:rPr>
                          <w:rFonts w:ascii="Century Gothic" w:hAnsi="Century Gothic"/>
                          <w:b/>
                          <w:sz w:val="18"/>
                          <w:szCs w:val="18"/>
                        </w:rPr>
                      </w:pPr>
                      <w:r>
                        <w:rPr>
                          <w:rFonts w:ascii="Century Gothic" w:hAnsi="Century Gothic"/>
                          <w:sz w:val="18"/>
                          <w:szCs w:val="18"/>
                        </w:rPr>
                        <w:t xml:space="preserve">         DATE</w:t>
                      </w:r>
                      <w:r>
                        <w:rPr>
                          <w:rFonts w:ascii="Century Gothic" w:hAnsi="Century Gothic"/>
                          <w:sz w:val="18"/>
                          <w:szCs w:val="18"/>
                        </w:rPr>
                        <w:tab/>
                        <w:t xml:space="preserve">               </w:t>
                      </w:r>
                      <w:r w:rsidRPr="0087438D">
                        <w:rPr>
                          <w:rFonts w:ascii="Century Gothic" w:hAnsi="Century Gothic"/>
                          <w:sz w:val="18"/>
                          <w:szCs w:val="18"/>
                        </w:rPr>
                        <w:t xml:space="preserve">  SIGNATURE</w:t>
                      </w:r>
                    </w:p>
                  </w:txbxContent>
                </v:textbox>
              </v:shape>
            </w:pict>
          </mc:Fallback>
        </mc:AlternateContent>
      </w:r>
    </w:p>
    <w:p w14:paraId="56CD18AA" w14:textId="77777777" w:rsidR="00F97937" w:rsidRDefault="00F97937" w:rsidP="00F97937">
      <w:pPr>
        <w:spacing w:line="480" w:lineRule="auto"/>
        <w:jc w:val="right"/>
        <w:rPr>
          <w:rFonts w:cs="Arial"/>
          <w:sz w:val="24"/>
          <w:szCs w:val="24"/>
        </w:rPr>
      </w:pPr>
    </w:p>
    <w:p w14:paraId="15380D53" w14:textId="77777777" w:rsidR="00F97937" w:rsidRDefault="00F97937" w:rsidP="00F97937">
      <w:pPr>
        <w:spacing w:line="480" w:lineRule="auto"/>
        <w:jc w:val="right"/>
        <w:rPr>
          <w:rFonts w:cs="Arial"/>
          <w:sz w:val="24"/>
          <w:szCs w:val="24"/>
        </w:rPr>
      </w:pPr>
    </w:p>
    <w:p w14:paraId="2263DB48" w14:textId="77777777" w:rsidR="00F97937" w:rsidRDefault="00F97937" w:rsidP="00F97937">
      <w:pPr>
        <w:spacing w:after="0" w:line="240" w:lineRule="auto"/>
        <w:jc w:val="right"/>
        <w:rPr>
          <w:rFonts w:cs="Arial"/>
          <w:b/>
          <w:sz w:val="24"/>
          <w:szCs w:val="24"/>
        </w:rPr>
      </w:pPr>
    </w:p>
    <w:p w14:paraId="6BE0207C" w14:textId="77777777" w:rsidR="00F97937" w:rsidRPr="00601890" w:rsidRDefault="00F97937" w:rsidP="00F97937">
      <w:pPr>
        <w:spacing w:after="0" w:line="360" w:lineRule="auto"/>
        <w:rPr>
          <w:rFonts w:eastAsia="Times New Roman" w:cs="Arial"/>
          <w:b/>
          <w:bCs/>
          <w:sz w:val="24"/>
          <w:szCs w:val="24"/>
        </w:rPr>
      </w:pPr>
    </w:p>
    <w:p w14:paraId="104B3241" w14:textId="77777777" w:rsidR="00F97937" w:rsidRDefault="00F97937" w:rsidP="00F97937">
      <w:pPr>
        <w:widowControl w:val="0"/>
        <w:tabs>
          <w:tab w:val="left" w:pos="-720"/>
        </w:tabs>
        <w:suppressAutoHyphens/>
        <w:spacing w:after="0" w:line="240" w:lineRule="auto"/>
        <w:jc w:val="center"/>
        <w:rPr>
          <w:rFonts w:eastAsia="Times New Roman" w:cs="Arial"/>
          <w:bCs/>
          <w:spacing w:val="-3"/>
          <w:sz w:val="24"/>
          <w:szCs w:val="24"/>
        </w:rPr>
      </w:pPr>
      <w:r w:rsidRPr="00601890">
        <w:rPr>
          <w:rFonts w:eastAsia="Times New Roman" w:cs="Arial"/>
          <w:bCs/>
          <w:spacing w:val="-3"/>
          <w:sz w:val="24"/>
          <w:szCs w:val="24"/>
        </w:rPr>
        <w:t xml:space="preserve">                                                </w:t>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t xml:space="preserve">                          </w:t>
      </w:r>
    </w:p>
    <w:p w14:paraId="2FD3AF2C" w14:textId="1FE4BD63" w:rsidR="00F97937" w:rsidRPr="00806BBB" w:rsidRDefault="00F97937" w:rsidP="00F97937">
      <w:pPr>
        <w:widowControl w:val="0"/>
        <w:tabs>
          <w:tab w:val="left" w:pos="-720"/>
        </w:tabs>
        <w:suppressAutoHyphens/>
        <w:spacing w:after="0" w:line="240" w:lineRule="auto"/>
        <w:jc w:val="center"/>
        <w:rPr>
          <w:rFonts w:eastAsia="Times New Roman" w:cs="Arial"/>
          <w:b/>
          <w:bCs/>
          <w:spacing w:val="-3"/>
          <w:sz w:val="24"/>
          <w:szCs w:val="24"/>
        </w:rPr>
      </w:pP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t xml:space="preserve">                       </w:t>
      </w:r>
      <w:r>
        <w:rPr>
          <w:rFonts w:eastAsia="Times New Roman" w:cs="Arial"/>
          <w:b/>
          <w:bCs/>
          <w:spacing w:val="-3"/>
          <w:sz w:val="24"/>
          <w:szCs w:val="24"/>
        </w:rPr>
        <w:t xml:space="preserve">                           Case No: </w:t>
      </w:r>
      <w:r w:rsidR="00EF177A">
        <w:rPr>
          <w:rFonts w:eastAsia="Times New Roman" w:cs="Arial"/>
          <w:b/>
          <w:bCs/>
          <w:spacing w:val="-3"/>
          <w:sz w:val="24"/>
          <w:szCs w:val="24"/>
        </w:rPr>
        <w:t>27427/</w:t>
      </w:r>
      <w:r>
        <w:rPr>
          <w:rFonts w:eastAsia="Times New Roman" w:cs="Arial"/>
          <w:b/>
          <w:bCs/>
          <w:spacing w:val="-3"/>
          <w:sz w:val="24"/>
          <w:szCs w:val="24"/>
        </w:rPr>
        <w:t>19</w:t>
      </w:r>
    </w:p>
    <w:p w14:paraId="66F3F05E" w14:textId="77777777" w:rsidR="00F97937" w:rsidRPr="00806BBB" w:rsidRDefault="00F97937" w:rsidP="00F97937">
      <w:pPr>
        <w:widowControl w:val="0"/>
        <w:tabs>
          <w:tab w:val="left" w:pos="-720"/>
        </w:tabs>
        <w:suppressAutoHyphens/>
        <w:spacing w:after="0" w:line="240" w:lineRule="auto"/>
        <w:jc w:val="center"/>
        <w:rPr>
          <w:rFonts w:eastAsia="Times New Roman" w:cs="Arial"/>
          <w:b/>
          <w:bCs/>
          <w:spacing w:val="-3"/>
          <w:sz w:val="24"/>
          <w:szCs w:val="24"/>
        </w:rPr>
      </w:pPr>
      <w:r w:rsidRPr="00F6578C">
        <w:rPr>
          <w:rFonts w:eastAsia="Times New Roman" w:cs="Arial"/>
          <w:bCs/>
          <w:spacing w:val="-3"/>
          <w:sz w:val="24"/>
          <w:szCs w:val="24"/>
        </w:rPr>
        <w:t xml:space="preserve">                                                                    </w:t>
      </w:r>
      <w:r>
        <w:rPr>
          <w:rFonts w:eastAsia="Times New Roman" w:cs="Arial"/>
          <w:bCs/>
          <w:spacing w:val="-3"/>
          <w:sz w:val="24"/>
          <w:szCs w:val="24"/>
        </w:rPr>
        <w:t xml:space="preserve">                      </w:t>
      </w:r>
      <w:r w:rsidRPr="00F6578C">
        <w:rPr>
          <w:rFonts w:eastAsia="Times New Roman" w:cs="Arial"/>
          <w:bCs/>
          <w:spacing w:val="-3"/>
          <w:sz w:val="24"/>
          <w:szCs w:val="24"/>
        </w:rPr>
        <w:t xml:space="preserve">    </w:t>
      </w:r>
      <w:r w:rsidRPr="00806BBB">
        <w:rPr>
          <w:rFonts w:eastAsia="Times New Roman" w:cs="Arial"/>
          <w:b/>
          <w:bCs/>
          <w:spacing w:val="-3"/>
          <w:sz w:val="24"/>
          <w:szCs w:val="24"/>
        </w:rPr>
        <w:t xml:space="preserve">                                          </w:t>
      </w:r>
    </w:p>
    <w:p w14:paraId="375927A2" w14:textId="77777777" w:rsidR="00F97937" w:rsidRPr="006A178A" w:rsidRDefault="00F97937" w:rsidP="00F97937">
      <w:pPr>
        <w:widowControl w:val="0"/>
        <w:tabs>
          <w:tab w:val="left" w:pos="-720"/>
        </w:tabs>
        <w:suppressAutoHyphens/>
        <w:spacing w:after="0" w:line="240" w:lineRule="auto"/>
        <w:jc w:val="center"/>
        <w:rPr>
          <w:rFonts w:eastAsia="Times New Roman" w:cs="Arial"/>
          <w:b/>
          <w:bCs/>
          <w:spacing w:val="-3"/>
          <w:sz w:val="24"/>
          <w:szCs w:val="24"/>
        </w:rPr>
      </w:pPr>
    </w:p>
    <w:p w14:paraId="72523163" w14:textId="77777777" w:rsidR="00F97937" w:rsidRPr="00601890" w:rsidRDefault="00F97937" w:rsidP="00F97937">
      <w:pPr>
        <w:widowControl w:val="0"/>
        <w:tabs>
          <w:tab w:val="left" w:pos="-720"/>
        </w:tabs>
        <w:suppressAutoHyphens/>
        <w:spacing w:after="0" w:line="240" w:lineRule="auto"/>
        <w:jc w:val="left"/>
        <w:rPr>
          <w:rFonts w:eastAsia="Times New Roman" w:cs="Arial"/>
          <w:bCs/>
          <w:spacing w:val="-3"/>
          <w:sz w:val="24"/>
          <w:szCs w:val="24"/>
        </w:rPr>
      </w:pPr>
      <w:r w:rsidRPr="00601890">
        <w:rPr>
          <w:rFonts w:eastAsia="Times New Roman" w:cs="Arial"/>
          <w:bCs/>
          <w:spacing w:val="-3"/>
          <w:sz w:val="24"/>
          <w:szCs w:val="24"/>
        </w:rPr>
        <w:t>In the matter between:</w:t>
      </w:r>
    </w:p>
    <w:p w14:paraId="563DA45D" w14:textId="77777777" w:rsidR="00F97937" w:rsidRPr="00601890" w:rsidRDefault="00F97937" w:rsidP="00F97937">
      <w:pPr>
        <w:widowControl w:val="0"/>
        <w:tabs>
          <w:tab w:val="left" w:pos="-720"/>
        </w:tabs>
        <w:suppressAutoHyphens/>
        <w:spacing w:after="0" w:line="240" w:lineRule="auto"/>
        <w:jc w:val="left"/>
        <w:rPr>
          <w:rFonts w:eastAsia="Times New Roman" w:cs="Arial"/>
          <w:bCs/>
          <w:spacing w:val="-3"/>
          <w:sz w:val="24"/>
          <w:szCs w:val="24"/>
        </w:rPr>
      </w:pPr>
    </w:p>
    <w:p w14:paraId="15D7784D" w14:textId="77777777" w:rsidR="00F97937" w:rsidRPr="00601890" w:rsidRDefault="00F97937" w:rsidP="00F97937">
      <w:pPr>
        <w:widowControl w:val="0"/>
        <w:tabs>
          <w:tab w:val="left" w:pos="-720"/>
        </w:tabs>
        <w:suppressAutoHyphens/>
        <w:spacing w:after="0" w:line="240" w:lineRule="auto"/>
        <w:jc w:val="left"/>
        <w:rPr>
          <w:rFonts w:eastAsia="Times New Roman" w:cs="Arial"/>
          <w:bCs/>
          <w:spacing w:val="-3"/>
          <w:sz w:val="24"/>
          <w:szCs w:val="24"/>
        </w:rPr>
      </w:pPr>
    </w:p>
    <w:p w14:paraId="062EE6C3" w14:textId="6BCF2D39" w:rsidR="00F97937" w:rsidRDefault="00EF177A" w:rsidP="00F97937">
      <w:pPr>
        <w:widowControl w:val="0"/>
        <w:tabs>
          <w:tab w:val="left" w:pos="-720"/>
          <w:tab w:val="right" w:pos="8788"/>
        </w:tabs>
        <w:suppressAutoHyphens/>
        <w:spacing w:after="0" w:line="240" w:lineRule="auto"/>
        <w:jc w:val="left"/>
        <w:rPr>
          <w:rFonts w:eastAsia="Times New Roman" w:cs="Arial"/>
          <w:bCs/>
          <w:spacing w:val="-3"/>
          <w:sz w:val="24"/>
          <w:szCs w:val="24"/>
        </w:rPr>
      </w:pPr>
      <w:r>
        <w:rPr>
          <w:rFonts w:eastAsia="Times New Roman" w:cs="Arial"/>
          <w:b/>
          <w:bCs/>
          <w:spacing w:val="-3"/>
          <w:sz w:val="24"/>
          <w:szCs w:val="24"/>
        </w:rPr>
        <w:t>LEROY CURTIS BARNES</w:t>
      </w:r>
      <w:r w:rsidR="00F97937">
        <w:rPr>
          <w:rFonts w:eastAsia="Times New Roman" w:cs="Arial"/>
          <w:b/>
          <w:bCs/>
          <w:spacing w:val="-3"/>
          <w:sz w:val="24"/>
          <w:szCs w:val="24"/>
        </w:rPr>
        <w:t xml:space="preserve">   </w:t>
      </w:r>
      <w:r>
        <w:rPr>
          <w:rFonts w:eastAsia="Times New Roman" w:cs="Arial"/>
          <w:b/>
          <w:bCs/>
          <w:spacing w:val="-3"/>
          <w:sz w:val="24"/>
          <w:szCs w:val="24"/>
        </w:rPr>
        <w:t xml:space="preserve">    </w:t>
      </w:r>
      <w:r w:rsidR="00F97937">
        <w:rPr>
          <w:rFonts w:eastAsia="Times New Roman" w:cs="Arial"/>
          <w:b/>
          <w:bCs/>
          <w:spacing w:val="-3"/>
          <w:sz w:val="24"/>
          <w:szCs w:val="24"/>
        </w:rPr>
        <w:t xml:space="preserve">                                             </w:t>
      </w:r>
      <w:r w:rsidR="007C52C1">
        <w:rPr>
          <w:rFonts w:eastAsia="Times New Roman" w:cs="Arial"/>
          <w:b/>
          <w:bCs/>
          <w:spacing w:val="-3"/>
          <w:sz w:val="24"/>
          <w:szCs w:val="24"/>
        </w:rPr>
        <w:t xml:space="preserve"> </w:t>
      </w:r>
      <w:r w:rsidR="00F97937">
        <w:rPr>
          <w:rFonts w:eastAsia="Times New Roman" w:cs="Arial"/>
          <w:bCs/>
          <w:spacing w:val="-3"/>
          <w:sz w:val="24"/>
          <w:szCs w:val="24"/>
        </w:rPr>
        <w:t xml:space="preserve">First </w:t>
      </w:r>
      <w:r>
        <w:rPr>
          <w:rFonts w:eastAsia="Times New Roman" w:cs="Arial"/>
          <w:bCs/>
          <w:spacing w:val="-3"/>
          <w:sz w:val="24"/>
          <w:szCs w:val="24"/>
        </w:rPr>
        <w:t>Plaintiff / Respondent</w:t>
      </w:r>
    </w:p>
    <w:p w14:paraId="50577093" w14:textId="77777777" w:rsidR="00F97937" w:rsidRDefault="00F97937" w:rsidP="00F97937">
      <w:pPr>
        <w:widowControl w:val="0"/>
        <w:tabs>
          <w:tab w:val="left" w:pos="-720"/>
          <w:tab w:val="right" w:pos="8788"/>
        </w:tabs>
        <w:suppressAutoHyphens/>
        <w:spacing w:after="0" w:line="240" w:lineRule="auto"/>
        <w:jc w:val="left"/>
        <w:rPr>
          <w:rFonts w:eastAsia="Times New Roman" w:cs="Arial"/>
          <w:bCs/>
          <w:spacing w:val="-3"/>
          <w:sz w:val="24"/>
          <w:szCs w:val="24"/>
        </w:rPr>
      </w:pPr>
    </w:p>
    <w:p w14:paraId="458697E9" w14:textId="43EDA6B5" w:rsidR="00F97937" w:rsidRPr="00B70A3E" w:rsidRDefault="00EF177A" w:rsidP="00F97937">
      <w:pPr>
        <w:widowControl w:val="0"/>
        <w:tabs>
          <w:tab w:val="left" w:pos="-720"/>
          <w:tab w:val="right" w:pos="8788"/>
        </w:tabs>
        <w:suppressAutoHyphens/>
        <w:spacing w:after="0" w:line="240" w:lineRule="auto"/>
        <w:jc w:val="left"/>
        <w:rPr>
          <w:rFonts w:eastAsia="Times New Roman" w:cs="Arial"/>
          <w:b/>
          <w:spacing w:val="-3"/>
          <w:sz w:val="24"/>
          <w:szCs w:val="24"/>
        </w:rPr>
      </w:pPr>
      <w:r>
        <w:rPr>
          <w:rFonts w:eastAsia="Times New Roman" w:cs="Arial"/>
          <w:b/>
          <w:spacing w:val="-3"/>
          <w:sz w:val="24"/>
          <w:szCs w:val="24"/>
        </w:rPr>
        <w:t>THABO MILTON NCALO</w:t>
      </w:r>
      <w:r w:rsidR="00F97937">
        <w:rPr>
          <w:rFonts w:eastAsia="Times New Roman" w:cs="Arial"/>
          <w:b/>
          <w:spacing w:val="-3"/>
          <w:sz w:val="24"/>
          <w:szCs w:val="24"/>
        </w:rPr>
        <w:t xml:space="preserve">                                                 </w:t>
      </w:r>
      <w:r w:rsidR="007C52C1">
        <w:rPr>
          <w:rFonts w:eastAsia="Times New Roman" w:cs="Arial"/>
          <w:b/>
          <w:spacing w:val="-3"/>
          <w:sz w:val="24"/>
          <w:szCs w:val="24"/>
        </w:rPr>
        <w:t xml:space="preserve"> </w:t>
      </w:r>
      <w:r w:rsidR="00F97937" w:rsidRPr="00B70A3E">
        <w:rPr>
          <w:rFonts w:eastAsia="Times New Roman" w:cs="Arial"/>
          <w:bCs/>
          <w:spacing w:val="-3"/>
          <w:sz w:val="24"/>
          <w:szCs w:val="24"/>
        </w:rPr>
        <w:t xml:space="preserve">Second </w:t>
      </w:r>
      <w:r>
        <w:rPr>
          <w:rFonts w:eastAsia="Times New Roman" w:cs="Arial"/>
          <w:bCs/>
          <w:spacing w:val="-3"/>
          <w:sz w:val="24"/>
          <w:szCs w:val="24"/>
        </w:rPr>
        <w:t xml:space="preserve">Plaintiff / Respondent </w:t>
      </w:r>
      <w:r w:rsidR="00F97937" w:rsidRPr="00B70A3E">
        <w:rPr>
          <w:rFonts w:eastAsia="Times New Roman" w:cs="Arial"/>
          <w:b/>
          <w:spacing w:val="-3"/>
          <w:sz w:val="24"/>
          <w:szCs w:val="24"/>
        </w:rPr>
        <w:tab/>
        <w:t xml:space="preserve">  </w:t>
      </w:r>
    </w:p>
    <w:p w14:paraId="577E9DAF" w14:textId="77777777" w:rsidR="00F97937" w:rsidRPr="005A33CD" w:rsidRDefault="00F97937" w:rsidP="00F97937">
      <w:pPr>
        <w:widowControl w:val="0"/>
        <w:tabs>
          <w:tab w:val="left" w:pos="-720"/>
        </w:tabs>
        <w:suppressAutoHyphens/>
        <w:spacing w:after="0" w:line="240" w:lineRule="auto"/>
        <w:jc w:val="left"/>
        <w:rPr>
          <w:rFonts w:eastAsia="Times New Roman" w:cs="Arial"/>
          <w:b/>
          <w:bCs/>
          <w:spacing w:val="-3"/>
          <w:sz w:val="24"/>
          <w:szCs w:val="24"/>
        </w:rPr>
      </w:pPr>
    </w:p>
    <w:p w14:paraId="2F742CD3" w14:textId="77777777" w:rsidR="00F97937" w:rsidRDefault="00F97937" w:rsidP="00F97937">
      <w:pPr>
        <w:widowControl w:val="0"/>
        <w:tabs>
          <w:tab w:val="left" w:pos="-720"/>
        </w:tabs>
        <w:suppressAutoHyphens/>
        <w:spacing w:after="0" w:line="240" w:lineRule="auto"/>
        <w:jc w:val="left"/>
        <w:rPr>
          <w:rFonts w:eastAsia="Times New Roman" w:cs="Arial"/>
          <w:bCs/>
          <w:spacing w:val="-3"/>
          <w:sz w:val="24"/>
          <w:szCs w:val="24"/>
        </w:rPr>
      </w:pPr>
      <w:r>
        <w:rPr>
          <w:rFonts w:eastAsia="Times New Roman" w:cs="Arial"/>
          <w:bCs/>
          <w:spacing w:val="-3"/>
          <w:sz w:val="24"/>
          <w:szCs w:val="24"/>
        </w:rPr>
        <w:t xml:space="preserve">and </w:t>
      </w:r>
    </w:p>
    <w:p w14:paraId="16E863DC" w14:textId="77777777" w:rsidR="00F97937" w:rsidRDefault="00F97937"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spacing w:val="-3"/>
          <w:sz w:val="24"/>
          <w:szCs w:val="24"/>
        </w:rPr>
      </w:pPr>
      <w:r>
        <w:rPr>
          <w:rFonts w:eastAsia="Times New Roman" w:cs="Arial"/>
          <w:b/>
          <w:bCs/>
          <w:spacing w:val="-3"/>
          <w:sz w:val="24"/>
          <w:szCs w:val="24"/>
        </w:rPr>
        <w:tab/>
      </w:r>
      <w:r>
        <w:rPr>
          <w:rFonts w:eastAsia="Times New Roman" w:cs="Arial"/>
          <w:b/>
          <w:bCs/>
          <w:spacing w:val="-3"/>
          <w:sz w:val="24"/>
          <w:szCs w:val="24"/>
        </w:rPr>
        <w:tab/>
        <w:t xml:space="preserve">                                                         </w:t>
      </w:r>
    </w:p>
    <w:p w14:paraId="6C4BB427" w14:textId="77777777" w:rsidR="00F97937" w:rsidRDefault="00F97937"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spacing w:val="-3"/>
          <w:sz w:val="24"/>
          <w:szCs w:val="24"/>
        </w:rPr>
      </w:pPr>
    </w:p>
    <w:p w14:paraId="2F4B3614" w14:textId="3CD37438" w:rsidR="00F97937" w:rsidRPr="00034AE4" w:rsidRDefault="00EF177A"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r>
        <w:rPr>
          <w:rFonts w:eastAsia="Times New Roman" w:cs="Arial"/>
          <w:b/>
          <w:bCs/>
          <w:spacing w:val="-3"/>
          <w:sz w:val="24"/>
          <w:szCs w:val="24"/>
        </w:rPr>
        <w:t xml:space="preserve">KUSHITE INVESTMENT HOLDINGS (PTY) </w:t>
      </w:r>
      <w:proofErr w:type="gramStart"/>
      <w:r>
        <w:rPr>
          <w:rFonts w:eastAsia="Times New Roman" w:cs="Arial"/>
          <w:b/>
          <w:bCs/>
          <w:spacing w:val="-3"/>
          <w:sz w:val="24"/>
          <w:szCs w:val="24"/>
        </w:rPr>
        <w:t xml:space="preserve">LTD  </w:t>
      </w:r>
      <w:r>
        <w:rPr>
          <w:rFonts w:eastAsia="Times New Roman" w:cs="Arial"/>
          <w:b/>
          <w:bCs/>
          <w:spacing w:val="-3"/>
          <w:sz w:val="24"/>
          <w:szCs w:val="24"/>
        </w:rPr>
        <w:tab/>
      </w:r>
      <w:proofErr w:type="gramEnd"/>
      <w:r>
        <w:rPr>
          <w:rFonts w:eastAsia="Times New Roman" w:cs="Arial"/>
          <w:b/>
          <w:bCs/>
          <w:spacing w:val="-3"/>
          <w:sz w:val="24"/>
          <w:szCs w:val="24"/>
        </w:rPr>
        <w:t xml:space="preserve">       </w:t>
      </w:r>
      <w:r w:rsidR="007C52C1">
        <w:rPr>
          <w:rFonts w:eastAsia="Times New Roman" w:cs="Arial"/>
          <w:b/>
          <w:bCs/>
          <w:spacing w:val="-3"/>
          <w:sz w:val="24"/>
          <w:szCs w:val="24"/>
        </w:rPr>
        <w:t xml:space="preserve"> </w:t>
      </w:r>
      <w:r w:rsidRPr="00EF177A">
        <w:rPr>
          <w:rFonts w:eastAsia="Times New Roman" w:cs="Arial"/>
          <w:spacing w:val="-3"/>
          <w:sz w:val="24"/>
          <w:szCs w:val="24"/>
        </w:rPr>
        <w:t>First Defendant / Applicant</w:t>
      </w:r>
      <w:r>
        <w:rPr>
          <w:rFonts w:eastAsia="Times New Roman" w:cs="Arial"/>
          <w:b/>
          <w:bCs/>
          <w:spacing w:val="-3"/>
          <w:sz w:val="24"/>
          <w:szCs w:val="24"/>
        </w:rPr>
        <w:t xml:space="preserve"> </w:t>
      </w:r>
      <w:r w:rsidR="00F97937">
        <w:rPr>
          <w:rFonts w:eastAsia="Times New Roman" w:cs="Arial"/>
          <w:b/>
          <w:bCs/>
          <w:spacing w:val="-3"/>
          <w:sz w:val="24"/>
          <w:szCs w:val="24"/>
        </w:rPr>
        <w:t xml:space="preserve">                                              </w:t>
      </w:r>
      <w:r w:rsidR="00F97937">
        <w:rPr>
          <w:rFonts w:eastAsia="Times New Roman" w:cs="Arial"/>
          <w:spacing w:val="-3"/>
          <w:sz w:val="24"/>
          <w:szCs w:val="24"/>
        </w:rPr>
        <w:t xml:space="preserve">         </w:t>
      </w:r>
    </w:p>
    <w:p w14:paraId="0ABFA924" w14:textId="77777777"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p>
    <w:p w14:paraId="2E46D197" w14:textId="6E133B44"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r>
        <w:rPr>
          <w:rFonts w:eastAsia="Times New Roman" w:cs="Arial"/>
          <w:b/>
          <w:bCs/>
          <w:spacing w:val="-3"/>
          <w:sz w:val="24"/>
          <w:szCs w:val="24"/>
        </w:rPr>
        <w:t xml:space="preserve">KUSHITE LIFESTYLE (PTY) LTD                                  </w:t>
      </w:r>
      <w:r w:rsidR="00DA44CE">
        <w:rPr>
          <w:rFonts w:eastAsia="Times New Roman" w:cs="Arial"/>
          <w:b/>
          <w:bCs/>
          <w:spacing w:val="-3"/>
          <w:sz w:val="24"/>
          <w:szCs w:val="24"/>
        </w:rPr>
        <w:t xml:space="preserve">   </w:t>
      </w:r>
      <w:r w:rsidRPr="007C52C1">
        <w:rPr>
          <w:rFonts w:eastAsia="Times New Roman" w:cs="Arial"/>
          <w:spacing w:val="-3"/>
          <w:sz w:val="24"/>
          <w:szCs w:val="24"/>
        </w:rPr>
        <w:t>Second Defendant / Applicant</w:t>
      </w:r>
      <w:r w:rsidR="00F97937" w:rsidRPr="00034AE4">
        <w:rPr>
          <w:rFonts w:eastAsia="Times New Roman" w:cs="Arial"/>
          <w:b/>
          <w:bCs/>
          <w:spacing w:val="-3"/>
          <w:sz w:val="24"/>
          <w:szCs w:val="24"/>
        </w:rPr>
        <w:t xml:space="preserve"> </w:t>
      </w:r>
    </w:p>
    <w:p w14:paraId="49A9FA77" w14:textId="18FA9035"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p>
    <w:p w14:paraId="5F7B0716" w14:textId="584C8B20"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r>
        <w:rPr>
          <w:rFonts w:eastAsia="Times New Roman" w:cs="Arial"/>
          <w:b/>
          <w:bCs/>
          <w:spacing w:val="-3"/>
          <w:sz w:val="24"/>
          <w:szCs w:val="24"/>
        </w:rPr>
        <w:t xml:space="preserve">ANDILE CALEB MAKHUNGA                                              </w:t>
      </w:r>
      <w:r w:rsidRPr="007C52C1">
        <w:rPr>
          <w:rFonts w:eastAsia="Times New Roman" w:cs="Arial"/>
          <w:spacing w:val="-3"/>
          <w:sz w:val="24"/>
          <w:szCs w:val="24"/>
        </w:rPr>
        <w:t>Third Defendant / Applicant</w:t>
      </w:r>
    </w:p>
    <w:p w14:paraId="795B0703" w14:textId="3428F753"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p>
    <w:p w14:paraId="22A50119" w14:textId="33583AFA"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spacing w:val="-3"/>
          <w:sz w:val="24"/>
          <w:szCs w:val="24"/>
        </w:rPr>
      </w:pPr>
      <w:r>
        <w:rPr>
          <w:rFonts w:eastAsia="Times New Roman" w:cs="Arial"/>
          <w:b/>
          <w:bCs/>
          <w:spacing w:val="-3"/>
          <w:sz w:val="24"/>
          <w:szCs w:val="24"/>
        </w:rPr>
        <w:t xml:space="preserve">BUYISIWE MAKHUNGA                                                     </w:t>
      </w:r>
      <w:r w:rsidRPr="007C52C1">
        <w:rPr>
          <w:rFonts w:eastAsia="Times New Roman" w:cs="Arial"/>
          <w:spacing w:val="-3"/>
          <w:sz w:val="24"/>
          <w:szCs w:val="24"/>
        </w:rPr>
        <w:t xml:space="preserve">Fourth Defendant / Applicant    </w:t>
      </w:r>
    </w:p>
    <w:p w14:paraId="5ADB5097" w14:textId="2AAFA243"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spacing w:val="-3"/>
          <w:sz w:val="24"/>
          <w:szCs w:val="24"/>
        </w:rPr>
      </w:pPr>
    </w:p>
    <w:p w14:paraId="2EF0A7A0" w14:textId="460FF7BE"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r w:rsidRPr="007C52C1">
        <w:rPr>
          <w:rFonts w:eastAsia="Times New Roman" w:cs="Arial"/>
          <w:b/>
          <w:bCs/>
          <w:spacing w:val="-3"/>
          <w:sz w:val="24"/>
          <w:szCs w:val="24"/>
        </w:rPr>
        <w:t xml:space="preserve">MOTLATSI MTHIMUNYE           </w:t>
      </w:r>
      <w:r>
        <w:rPr>
          <w:rFonts w:eastAsia="Times New Roman" w:cs="Arial"/>
          <w:b/>
          <w:bCs/>
          <w:spacing w:val="-3"/>
          <w:sz w:val="24"/>
          <w:szCs w:val="24"/>
        </w:rPr>
        <w:t xml:space="preserve">                                             </w:t>
      </w:r>
      <w:r w:rsidRPr="007C52C1">
        <w:rPr>
          <w:rFonts w:eastAsia="Times New Roman" w:cs="Arial"/>
          <w:spacing w:val="-3"/>
          <w:sz w:val="24"/>
          <w:szCs w:val="24"/>
        </w:rPr>
        <w:t>Fifth Defendant / Applicant</w:t>
      </w:r>
      <w:r>
        <w:rPr>
          <w:rFonts w:eastAsia="Times New Roman" w:cs="Arial"/>
          <w:b/>
          <w:bCs/>
          <w:spacing w:val="-3"/>
          <w:sz w:val="24"/>
          <w:szCs w:val="24"/>
        </w:rPr>
        <w:t xml:space="preserve"> </w:t>
      </w:r>
    </w:p>
    <w:p w14:paraId="6DA0059E" w14:textId="2F04772F"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p>
    <w:p w14:paraId="595D186B" w14:textId="3EFB3B93" w:rsidR="007C52C1" w:rsidRP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spacing w:val="-3"/>
          <w:sz w:val="24"/>
          <w:szCs w:val="24"/>
        </w:rPr>
      </w:pPr>
      <w:r>
        <w:rPr>
          <w:rFonts w:eastAsia="Times New Roman" w:cs="Arial"/>
          <w:b/>
          <w:bCs/>
          <w:spacing w:val="-3"/>
          <w:sz w:val="24"/>
          <w:szCs w:val="24"/>
        </w:rPr>
        <w:t xml:space="preserve">MMATU MBULELO MZAIDUME                                           </w:t>
      </w:r>
      <w:r w:rsidRPr="007C52C1">
        <w:rPr>
          <w:rFonts w:eastAsia="Times New Roman" w:cs="Arial"/>
          <w:spacing w:val="-3"/>
          <w:sz w:val="24"/>
          <w:szCs w:val="24"/>
        </w:rPr>
        <w:t>Sixth Defendant / Applicant</w:t>
      </w:r>
    </w:p>
    <w:p w14:paraId="511DBF5E" w14:textId="7D43633E" w:rsidR="007C52C1" w:rsidRP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spacing w:val="-3"/>
          <w:sz w:val="24"/>
          <w:szCs w:val="24"/>
        </w:rPr>
      </w:pPr>
    </w:p>
    <w:p w14:paraId="1D434985" w14:textId="77777777"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p>
    <w:p w14:paraId="46841B0E" w14:textId="77777777" w:rsidR="007C52C1" w:rsidRDefault="007C52C1"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
          <w:bCs/>
          <w:spacing w:val="-3"/>
          <w:sz w:val="24"/>
          <w:szCs w:val="24"/>
        </w:rPr>
      </w:pPr>
    </w:p>
    <w:p w14:paraId="7366651E" w14:textId="6DE35D6D" w:rsidR="00F97937" w:rsidRDefault="00F97937"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r>
        <w:rPr>
          <w:rFonts w:eastAsia="Times New Roman" w:cs="Arial"/>
          <w:spacing w:val="-3"/>
          <w:sz w:val="24"/>
          <w:szCs w:val="24"/>
        </w:rPr>
        <w:lastRenderedPageBreak/>
        <w:tab/>
      </w:r>
      <w:r>
        <w:rPr>
          <w:rFonts w:eastAsia="Times New Roman" w:cs="Arial"/>
          <w:spacing w:val="-3"/>
          <w:sz w:val="24"/>
          <w:szCs w:val="24"/>
        </w:rPr>
        <w:tab/>
      </w:r>
      <w:r>
        <w:rPr>
          <w:rFonts w:eastAsia="Times New Roman" w:cs="Arial"/>
          <w:spacing w:val="-3"/>
          <w:sz w:val="24"/>
          <w:szCs w:val="24"/>
        </w:rPr>
        <w:tab/>
      </w:r>
      <w:r>
        <w:rPr>
          <w:rFonts w:eastAsia="Times New Roman" w:cs="Arial"/>
          <w:spacing w:val="-3"/>
          <w:sz w:val="24"/>
          <w:szCs w:val="24"/>
        </w:rPr>
        <w:tab/>
      </w:r>
      <w:r>
        <w:rPr>
          <w:rFonts w:eastAsia="Times New Roman" w:cs="Arial"/>
          <w:spacing w:val="-3"/>
          <w:sz w:val="24"/>
          <w:szCs w:val="24"/>
        </w:rPr>
        <w:tab/>
      </w:r>
      <w:r>
        <w:rPr>
          <w:rFonts w:eastAsia="Times New Roman" w:cs="Arial"/>
          <w:spacing w:val="-3"/>
          <w:sz w:val="24"/>
          <w:szCs w:val="24"/>
        </w:rPr>
        <w:tab/>
        <w:t xml:space="preserve">                 </w:t>
      </w:r>
      <w:r w:rsidRPr="00034AE4">
        <w:rPr>
          <w:rFonts w:eastAsia="Times New Roman" w:cs="Arial"/>
          <w:spacing w:val="-3"/>
          <w:sz w:val="24"/>
          <w:szCs w:val="24"/>
        </w:rPr>
        <w:tab/>
      </w:r>
      <w:r>
        <w:rPr>
          <w:rFonts w:eastAsia="Times New Roman" w:cs="Arial"/>
          <w:b/>
          <w:bCs/>
          <w:spacing w:val="-3"/>
          <w:sz w:val="24"/>
          <w:szCs w:val="24"/>
        </w:rPr>
        <w:tab/>
        <w:t xml:space="preserve">                       </w:t>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t xml:space="preserve">    </w:t>
      </w:r>
    </w:p>
    <w:p w14:paraId="3A423785" w14:textId="77777777" w:rsidR="00F97937" w:rsidRDefault="00F97937"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p>
    <w:p w14:paraId="1958BA77" w14:textId="56C61724" w:rsidR="00F97937" w:rsidRDefault="00F97937"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r>
        <w:rPr>
          <w:rFonts w:eastAsia="Times New Roman" w:cs="Arial"/>
          <w:bCs/>
          <w:spacing w:val="-3"/>
          <w:sz w:val="24"/>
          <w:szCs w:val="24"/>
        </w:rPr>
        <w:t xml:space="preserve">Date of Hearing: </w:t>
      </w:r>
      <w:r w:rsidR="00C072DE">
        <w:rPr>
          <w:rFonts w:eastAsia="Times New Roman" w:cs="Arial"/>
          <w:bCs/>
          <w:spacing w:val="-3"/>
          <w:sz w:val="24"/>
          <w:szCs w:val="24"/>
        </w:rPr>
        <w:t xml:space="preserve"> </w:t>
      </w:r>
      <w:r w:rsidR="00DA44CE" w:rsidRPr="00DA44CE">
        <w:rPr>
          <w:rFonts w:eastAsia="Times New Roman" w:cs="Arial"/>
          <w:bCs/>
          <w:spacing w:val="-3"/>
          <w:sz w:val="24"/>
          <w:szCs w:val="24"/>
        </w:rPr>
        <w:t>23</w:t>
      </w:r>
      <w:r>
        <w:rPr>
          <w:rFonts w:eastAsia="Times New Roman" w:cs="Arial"/>
          <w:bCs/>
          <w:spacing w:val="-3"/>
          <w:sz w:val="24"/>
          <w:szCs w:val="24"/>
        </w:rPr>
        <w:t xml:space="preserve"> November 2021</w:t>
      </w:r>
    </w:p>
    <w:p w14:paraId="08729739" w14:textId="77777777" w:rsidR="00DA44CE" w:rsidRDefault="00DA44CE"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p>
    <w:p w14:paraId="7BF63634" w14:textId="1CBC101C" w:rsidR="00F97937" w:rsidRDefault="00F97937" w:rsidP="00F9793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r>
        <w:rPr>
          <w:rFonts w:eastAsia="Times New Roman" w:cs="Arial"/>
          <w:bCs/>
          <w:spacing w:val="-3"/>
          <w:sz w:val="24"/>
          <w:szCs w:val="24"/>
        </w:rPr>
        <w:t xml:space="preserve">Date of Judgment: </w:t>
      </w:r>
      <w:r w:rsidR="00DA44CE">
        <w:rPr>
          <w:rFonts w:eastAsia="Times New Roman" w:cs="Arial"/>
          <w:b/>
          <w:spacing w:val="-3"/>
          <w:sz w:val="24"/>
          <w:szCs w:val="24"/>
        </w:rPr>
        <w:t xml:space="preserve"> </w:t>
      </w:r>
      <w:r w:rsidR="00916519" w:rsidRPr="00916519">
        <w:rPr>
          <w:rFonts w:eastAsia="Times New Roman" w:cs="Arial"/>
          <w:bCs/>
          <w:spacing w:val="-3"/>
          <w:sz w:val="24"/>
          <w:szCs w:val="24"/>
        </w:rPr>
        <w:t>1</w:t>
      </w:r>
      <w:r w:rsidR="00725E9D">
        <w:rPr>
          <w:rFonts w:eastAsia="Times New Roman" w:cs="Arial"/>
          <w:bCs/>
          <w:spacing w:val="-3"/>
          <w:sz w:val="24"/>
          <w:szCs w:val="24"/>
        </w:rPr>
        <w:t>2</w:t>
      </w:r>
      <w:r w:rsidR="00DA44CE" w:rsidRPr="00916519">
        <w:rPr>
          <w:rFonts w:eastAsia="Times New Roman" w:cs="Arial"/>
          <w:bCs/>
          <w:spacing w:val="-3"/>
          <w:sz w:val="24"/>
          <w:szCs w:val="24"/>
        </w:rPr>
        <w:t xml:space="preserve"> </w:t>
      </w:r>
      <w:r>
        <w:rPr>
          <w:rFonts w:eastAsia="Times New Roman" w:cs="Arial"/>
          <w:bCs/>
          <w:spacing w:val="-3"/>
          <w:sz w:val="24"/>
          <w:szCs w:val="24"/>
        </w:rPr>
        <w:t>Ju</w:t>
      </w:r>
      <w:r w:rsidR="00DA44CE">
        <w:rPr>
          <w:rFonts w:eastAsia="Times New Roman" w:cs="Arial"/>
          <w:bCs/>
          <w:spacing w:val="-3"/>
          <w:sz w:val="24"/>
          <w:szCs w:val="24"/>
        </w:rPr>
        <w:t>ly</w:t>
      </w:r>
      <w:r>
        <w:rPr>
          <w:rFonts w:eastAsia="Times New Roman" w:cs="Arial"/>
          <w:bCs/>
          <w:spacing w:val="-3"/>
          <w:sz w:val="24"/>
          <w:szCs w:val="24"/>
        </w:rPr>
        <w:t xml:space="preserve"> 2022</w:t>
      </w:r>
    </w:p>
    <w:p w14:paraId="2F8A53F7" w14:textId="77777777" w:rsidR="00F97937" w:rsidRPr="00601890" w:rsidRDefault="00F97937" w:rsidP="00F97937">
      <w:pPr>
        <w:widowControl w:val="0"/>
        <w:tabs>
          <w:tab w:val="left" w:pos="-720"/>
        </w:tabs>
        <w:suppressAutoHyphens/>
        <w:spacing w:after="0" w:line="240" w:lineRule="auto"/>
        <w:jc w:val="left"/>
        <w:rPr>
          <w:rFonts w:eastAsia="Times New Roman" w:cs="Arial"/>
          <w:b/>
          <w:bCs/>
          <w:spacing w:val="-3"/>
          <w:sz w:val="24"/>
          <w:szCs w:val="24"/>
        </w:rPr>
      </w:pPr>
    </w:p>
    <w:p w14:paraId="68C3F3EF" w14:textId="77777777" w:rsidR="00F97937" w:rsidRPr="00601890" w:rsidRDefault="00F97937" w:rsidP="00F97937">
      <w:pPr>
        <w:spacing w:after="0" w:line="240" w:lineRule="auto"/>
        <w:jc w:val="left"/>
        <w:rPr>
          <w:rFonts w:eastAsia="Times New Roman" w:cs="Arial"/>
          <w:sz w:val="24"/>
          <w:szCs w:val="24"/>
        </w:rPr>
      </w:pPr>
      <w:r w:rsidRPr="00601890">
        <w:rPr>
          <w:rFonts w:eastAsia="Times New Roman" w:cs="Arial"/>
          <w:sz w:val="24"/>
          <w:szCs w:val="24"/>
        </w:rPr>
        <w:t>_____________________________________________________________</w:t>
      </w:r>
      <w:r>
        <w:rPr>
          <w:rFonts w:eastAsia="Times New Roman" w:cs="Arial"/>
          <w:sz w:val="24"/>
          <w:szCs w:val="24"/>
        </w:rPr>
        <w:t>__</w:t>
      </w:r>
      <w:r w:rsidRPr="00601890">
        <w:rPr>
          <w:rFonts w:eastAsia="Times New Roman" w:cs="Arial"/>
          <w:sz w:val="24"/>
          <w:szCs w:val="24"/>
        </w:rPr>
        <w:t>__</w:t>
      </w:r>
    </w:p>
    <w:p w14:paraId="4072036C" w14:textId="77777777" w:rsidR="00F97937" w:rsidRPr="00601890" w:rsidRDefault="00F97937" w:rsidP="00F97937">
      <w:pPr>
        <w:tabs>
          <w:tab w:val="center" w:pos="4513"/>
        </w:tabs>
        <w:suppressAutoHyphens/>
        <w:spacing w:after="0" w:line="240" w:lineRule="auto"/>
        <w:jc w:val="center"/>
        <w:rPr>
          <w:rFonts w:eastAsia="Times New Roman" w:cs="Arial"/>
          <w:b/>
          <w:bCs/>
          <w:spacing w:val="-3"/>
          <w:sz w:val="28"/>
          <w:szCs w:val="28"/>
        </w:rPr>
      </w:pPr>
    </w:p>
    <w:p w14:paraId="70FA19C7" w14:textId="77777777" w:rsidR="00F97937" w:rsidRPr="00601890" w:rsidRDefault="00F97937" w:rsidP="00F97937">
      <w:pPr>
        <w:tabs>
          <w:tab w:val="center" w:pos="4513"/>
        </w:tabs>
        <w:suppressAutoHyphens/>
        <w:spacing w:before="120" w:after="240" w:line="240" w:lineRule="auto"/>
        <w:jc w:val="center"/>
        <w:rPr>
          <w:rFonts w:eastAsia="Times New Roman" w:cs="Arial"/>
          <w:b/>
          <w:bCs/>
          <w:spacing w:val="-3"/>
          <w:sz w:val="24"/>
          <w:szCs w:val="24"/>
        </w:rPr>
      </w:pPr>
      <w:r>
        <w:rPr>
          <w:rFonts w:eastAsia="Times New Roman" w:cs="Arial"/>
          <w:b/>
          <w:bCs/>
          <w:spacing w:val="-3"/>
          <w:sz w:val="24"/>
          <w:szCs w:val="24"/>
        </w:rPr>
        <w:t xml:space="preserve">JUDGMENT </w:t>
      </w:r>
    </w:p>
    <w:p w14:paraId="45BBD570" w14:textId="77777777" w:rsidR="00F97937" w:rsidRPr="00BF13DA" w:rsidRDefault="00F97937" w:rsidP="00F97937">
      <w:pPr>
        <w:spacing w:after="0" w:line="240" w:lineRule="auto"/>
        <w:rPr>
          <w:rFonts w:eastAsia="Times New Roman" w:cs="Arial"/>
          <w:b/>
          <w:bCs/>
          <w:sz w:val="24"/>
          <w:szCs w:val="24"/>
        </w:rPr>
      </w:pPr>
      <w:r w:rsidRPr="00601890">
        <w:rPr>
          <w:rFonts w:eastAsia="Times New Roman" w:cs="Arial"/>
          <w:sz w:val="24"/>
          <w:szCs w:val="24"/>
        </w:rPr>
        <w:t>_______________________________________________________________</w:t>
      </w:r>
      <w:r>
        <w:rPr>
          <w:rFonts w:eastAsia="Times New Roman" w:cs="Arial"/>
          <w:sz w:val="24"/>
          <w:szCs w:val="24"/>
        </w:rPr>
        <w:t>__</w:t>
      </w:r>
    </w:p>
    <w:p w14:paraId="51F80420" w14:textId="77777777" w:rsidR="00F97937" w:rsidRDefault="00F97937" w:rsidP="00F97937">
      <w:pPr>
        <w:pStyle w:val="HBNoNumber"/>
        <w:ind w:left="0"/>
        <w:rPr>
          <w:b/>
        </w:rPr>
      </w:pPr>
    </w:p>
    <w:p w14:paraId="32C322AE" w14:textId="2C55F17D" w:rsidR="00F97937" w:rsidRDefault="00F97937" w:rsidP="00F97937">
      <w:pPr>
        <w:pStyle w:val="HBNoNumber"/>
        <w:ind w:left="0"/>
        <w:rPr>
          <w:b/>
        </w:rPr>
      </w:pPr>
      <w:r w:rsidRPr="004B4F30">
        <w:rPr>
          <w:b/>
        </w:rPr>
        <w:t>BARNES A</w:t>
      </w:r>
      <w:r>
        <w:rPr>
          <w:b/>
        </w:rPr>
        <w:t>J</w:t>
      </w:r>
    </w:p>
    <w:p w14:paraId="781E1AC1" w14:textId="1C2BF735" w:rsidR="00586C78" w:rsidRPr="00586C78" w:rsidRDefault="00586C78" w:rsidP="00F97937">
      <w:pPr>
        <w:pStyle w:val="HBNoNumber"/>
        <w:ind w:left="0"/>
        <w:rPr>
          <w:bCs/>
          <w:u w:val="single"/>
        </w:rPr>
      </w:pPr>
      <w:r w:rsidRPr="00586C78">
        <w:rPr>
          <w:bCs/>
          <w:u w:val="single"/>
        </w:rPr>
        <w:t>Introduction</w:t>
      </w:r>
    </w:p>
    <w:p w14:paraId="3649B2AF" w14:textId="3254BC6B" w:rsidR="00207F16" w:rsidRDefault="00C072DE" w:rsidP="00F97937">
      <w:pPr>
        <w:pStyle w:val="HB1"/>
        <w:rPr>
          <w:sz w:val="24"/>
          <w:szCs w:val="24"/>
        </w:rPr>
      </w:pPr>
      <w:r>
        <w:rPr>
          <w:sz w:val="24"/>
          <w:szCs w:val="24"/>
        </w:rPr>
        <w:t>This is an application</w:t>
      </w:r>
      <w:r w:rsidR="00DA44CE">
        <w:rPr>
          <w:sz w:val="24"/>
          <w:szCs w:val="24"/>
        </w:rPr>
        <w:t xml:space="preserve"> launched by the first to fifth defendants</w:t>
      </w:r>
      <w:r w:rsidR="00DA44CE">
        <w:rPr>
          <w:rStyle w:val="FootnoteReference"/>
          <w:sz w:val="24"/>
          <w:szCs w:val="24"/>
        </w:rPr>
        <w:footnoteReference w:id="1"/>
      </w:r>
      <w:r w:rsidR="00207F16">
        <w:rPr>
          <w:sz w:val="24"/>
          <w:szCs w:val="24"/>
        </w:rPr>
        <w:t xml:space="preserve"> to have the plaintiffs’ application for default judgment,</w:t>
      </w:r>
      <w:r w:rsidR="00586C78">
        <w:rPr>
          <w:sz w:val="24"/>
          <w:szCs w:val="24"/>
        </w:rPr>
        <w:t xml:space="preserve"> delivered</w:t>
      </w:r>
      <w:r w:rsidR="00207F16">
        <w:rPr>
          <w:sz w:val="24"/>
          <w:szCs w:val="24"/>
        </w:rPr>
        <w:t xml:space="preserve"> on 25 March 2020,</w:t>
      </w:r>
      <w:r w:rsidR="00DA44CE">
        <w:rPr>
          <w:sz w:val="24"/>
          <w:szCs w:val="24"/>
        </w:rPr>
        <w:t xml:space="preserve"> </w:t>
      </w:r>
      <w:r w:rsidR="00207F16">
        <w:rPr>
          <w:sz w:val="24"/>
          <w:szCs w:val="24"/>
        </w:rPr>
        <w:t>set aside as an irregular step</w:t>
      </w:r>
      <w:r w:rsidR="00586C78">
        <w:rPr>
          <w:sz w:val="24"/>
          <w:szCs w:val="24"/>
        </w:rPr>
        <w:t xml:space="preserve"> in terms of </w:t>
      </w:r>
      <w:r w:rsidR="00B54EFA">
        <w:rPr>
          <w:sz w:val="24"/>
          <w:szCs w:val="24"/>
        </w:rPr>
        <w:t>Ru</w:t>
      </w:r>
      <w:r w:rsidR="00586C78">
        <w:rPr>
          <w:sz w:val="24"/>
          <w:szCs w:val="24"/>
        </w:rPr>
        <w:t>le 30</w:t>
      </w:r>
      <w:r w:rsidR="002F04F3">
        <w:rPr>
          <w:sz w:val="24"/>
          <w:szCs w:val="24"/>
        </w:rPr>
        <w:t>.</w:t>
      </w:r>
    </w:p>
    <w:p w14:paraId="1B1CE416" w14:textId="3617C61F" w:rsidR="00313C5A" w:rsidRDefault="00313C5A" w:rsidP="00F97937">
      <w:pPr>
        <w:pStyle w:val="HB1"/>
        <w:rPr>
          <w:sz w:val="24"/>
          <w:szCs w:val="24"/>
        </w:rPr>
      </w:pPr>
      <w:r>
        <w:rPr>
          <w:sz w:val="24"/>
          <w:szCs w:val="24"/>
        </w:rPr>
        <w:t xml:space="preserve">For convenience, I </w:t>
      </w:r>
      <w:r w:rsidR="007540A6">
        <w:rPr>
          <w:sz w:val="24"/>
          <w:szCs w:val="24"/>
        </w:rPr>
        <w:t>shall</w:t>
      </w:r>
      <w:r>
        <w:rPr>
          <w:sz w:val="24"/>
          <w:szCs w:val="24"/>
        </w:rPr>
        <w:t xml:space="preserve"> refer to the parties as they are referred to in the main action</w:t>
      </w:r>
      <w:r w:rsidR="00586C78">
        <w:rPr>
          <w:sz w:val="24"/>
          <w:szCs w:val="24"/>
        </w:rPr>
        <w:t>.</w:t>
      </w:r>
    </w:p>
    <w:p w14:paraId="74763D7C" w14:textId="272D9A24" w:rsidR="00313C5A" w:rsidRDefault="00313C5A" w:rsidP="00F97937">
      <w:pPr>
        <w:pStyle w:val="HB1"/>
        <w:rPr>
          <w:sz w:val="24"/>
          <w:szCs w:val="24"/>
        </w:rPr>
      </w:pPr>
      <w:r>
        <w:rPr>
          <w:sz w:val="24"/>
          <w:szCs w:val="24"/>
        </w:rPr>
        <w:t xml:space="preserve">The facts </w:t>
      </w:r>
      <w:r w:rsidR="00445034">
        <w:rPr>
          <w:sz w:val="24"/>
          <w:szCs w:val="24"/>
        </w:rPr>
        <w:t>giving rise to this application are the following:</w:t>
      </w:r>
    </w:p>
    <w:p w14:paraId="03B02E07" w14:textId="7BBD6844" w:rsidR="00C072DE" w:rsidRDefault="00177017" w:rsidP="006B6B25">
      <w:pPr>
        <w:pStyle w:val="HB2"/>
      </w:pPr>
      <w:r>
        <w:t>On 6 May 2019, the plaintiffs instit</w:t>
      </w:r>
      <w:r w:rsidR="006B6B25">
        <w:t>uted the main action against the defendants.</w:t>
      </w:r>
    </w:p>
    <w:p w14:paraId="63C83B73" w14:textId="63D32370" w:rsidR="00C072DE" w:rsidRDefault="006B6B25" w:rsidP="006B6B25">
      <w:pPr>
        <w:pStyle w:val="HB2"/>
      </w:pPr>
      <w:r>
        <w:t>On 2</w:t>
      </w:r>
      <w:r w:rsidR="00703201">
        <w:t xml:space="preserve">0 May </w:t>
      </w:r>
      <w:r>
        <w:t>2019, the first to fifth defendants (</w:t>
      </w:r>
      <w:r w:rsidR="00B54EFA">
        <w:t>hereinafte</w:t>
      </w:r>
      <w:r w:rsidR="001D30C9">
        <w:t>r</w:t>
      </w:r>
      <w:r w:rsidR="00B54EFA">
        <w:t xml:space="preserve"> </w:t>
      </w:r>
      <w:r>
        <w:t xml:space="preserve">“the defendants”) </w:t>
      </w:r>
      <w:r w:rsidR="00B54EFA">
        <w:t>delivered</w:t>
      </w:r>
      <w:r>
        <w:t xml:space="preserve"> </w:t>
      </w:r>
      <w:r w:rsidR="00586C78">
        <w:t>a</w:t>
      </w:r>
      <w:r>
        <w:t xml:space="preserve"> notice of intention to defend.</w:t>
      </w:r>
    </w:p>
    <w:p w14:paraId="05CBC028" w14:textId="4823DAFA" w:rsidR="0007528E" w:rsidRPr="009A489B" w:rsidRDefault="00703201" w:rsidP="009A489B">
      <w:pPr>
        <w:pStyle w:val="HB2"/>
      </w:pPr>
      <w:r>
        <w:t>On 24 June 2019, the</w:t>
      </w:r>
      <w:r w:rsidR="0007528E" w:rsidRPr="009A489B">
        <w:rPr>
          <w:szCs w:val="24"/>
        </w:rPr>
        <w:t xml:space="preserve"> defendants delivered a notice of intention to except</w:t>
      </w:r>
      <w:r w:rsidR="00B54EFA">
        <w:rPr>
          <w:szCs w:val="24"/>
        </w:rPr>
        <w:t xml:space="preserve"> in terms of Rule 23(1)</w:t>
      </w:r>
      <w:r w:rsidR="007540A6">
        <w:rPr>
          <w:szCs w:val="24"/>
        </w:rPr>
        <w:t>.</w:t>
      </w:r>
    </w:p>
    <w:p w14:paraId="45FB52E9" w14:textId="5FDC7D92" w:rsidR="0007528E" w:rsidRPr="009A489B" w:rsidRDefault="009A489B" w:rsidP="009A489B">
      <w:pPr>
        <w:pStyle w:val="HB2"/>
      </w:pPr>
      <w:r>
        <w:rPr>
          <w:szCs w:val="24"/>
        </w:rPr>
        <w:t xml:space="preserve">On 17 July </w:t>
      </w:r>
      <w:r w:rsidR="0007528E" w:rsidRPr="009A489B">
        <w:rPr>
          <w:szCs w:val="24"/>
        </w:rPr>
        <w:t>2019, the plaintiffs delivered a notice of intention to amend.</w:t>
      </w:r>
    </w:p>
    <w:p w14:paraId="3D63E932" w14:textId="5C109B8A" w:rsidR="009A489B" w:rsidRDefault="0007528E" w:rsidP="009A489B">
      <w:pPr>
        <w:pStyle w:val="HB2"/>
      </w:pPr>
      <w:r>
        <w:t>The plaintiffs failed to deliver the</w:t>
      </w:r>
      <w:r w:rsidR="00242FDE">
        <w:t>ir</w:t>
      </w:r>
      <w:r>
        <w:t xml:space="preserve"> amended pages timeously.</w:t>
      </w:r>
      <w:r w:rsidR="009A489B">
        <w:t xml:space="preserve"> The defendants</w:t>
      </w:r>
      <w:r w:rsidR="00802665">
        <w:t xml:space="preserve"> accordingly</w:t>
      </w:r>
      <w:r w:rsidR="009A489B">
        <w:t xml:space="preserve"> required the plaintiffs to “re-deliver” their notice of intention to amend. Th</w:t>
      </w:r>
      <w:r w:rsidR="00802665">
        <w:t>e plaintiffs did so on</w:t>
      </w:r>
      <w:r w:rsidR="009A489B">
        <w:t xml:space="preserve"> 2 October 2019.</w:t>
      </w:r>
    </w:p>
    <w:p w14:paraId="0307FCF0" w14:textId="4EC8FC64" w:rsidR="00242FDE" w:rsidRDefault="00802665" w:rsidP="009A489B">
      <w:pPr>
        <w:pStyle w:val="HB2"/>
      </w:pPr>
      <w:r>
        <w:t>On</w:t>
      </w:r>
      <w:r w:rsidR="00242FDE">
        <w:t xml:space="preserve"> 1 November 2019, the plaintiffs delivered the</w:t>
      </w:r>
      <w:r w:rsidR="00B54EFA">
        <w:t>ir</w:t>
      </w:r>
      <w:r w:rsidR="00242FDE">
        <w:t xml:space="preserve"> amended pages</w:t>
      </w:r>
      <w:r>
        <w:t>.</w:t>
      </w:r>
    </w:p>
    <w:p w14:paraId="64B306A7" w14:textId="3CBD91C0" w:rsidR="0007528E" w:rsidRDefault="00242FDE" w:rsidP="009A489B">
      <w:pPr>
        <w:pStyle w:val="HB2"/>
      </w:pPr>
      <w:r>
        <w:t>On 2 December 2019 the defendants delivered</w:t>
      </w:r>
      <w:r w:rsidR="00802665">
        <w:t xml:space="preserve"> a further notice of intention to except</w:t>
      </w:r>
      <w:r w:rsidR="0047316E">
        <w:t xml:space="preserve"> in terms of Rule 23(1).</w:t>
      </w:r>
      <w:r w:rsidR="00B54EFA">
        <w:t xml:space="preserve"> I shall refer to this as “the December notice.”</w:t>
      </w:r>
    </w:p>
    <w:p w14:paraId="1C2305DA" w14:textId="1EBD7AD6" w:rsidR="00242FDE" w:rsidRDefault="00242FDE" w:rsidP="009A489B">
      <w:pPr>
        <w:pStyle w:val="HB2"/>
      </w:pPr>
      <w:r>
        <w:t>On 14 February 2020 the plaintiffs</w:t>
      </w:r>
      <w:r w:rsidR="00F4164B">
        <w:t xml:space="preserve"> delivered</w:t>
      </w:r>
      <w:r>
        <w:t xml:space="preserve"> a notice of bar.</w:t>
      </w:r>
    </w:p>
    <w:p w14:paraId="07CC82C7" w14:textId="0E92E42D" w:rsidR="00F4164B" w:rsidRDefault="00F4164B" w:rsidP="00F4164B">
      <w:pPr>
        <w:pStyle w:val="HB2"/>
      </w:pPr>
      <w:r>
        <w:t>On 18 February</w:t>
      </w:r>
      <w:r w:rsidR="00802665">
        <w:t xml:space="preserve"> 2020</w:t>
      </w:r>
      <w:r>
        <w:t xml:space="preserve"> the defendants “re-</w:t>
      </w:r>
      <w:r w:rsidR="00725E9D">
        <w:t>delivered</w:t>
      </w:r>
      <w:r>
        <w:t>” the December notice</w:t>
      </w:r>
      <w:r w:rsidR="0047316E">
        <w:t>.</w:t>
      </w:r>
      <w:r w:rsidR="00802665">
        <w:t xml:space="preserve"> I shall refer to this as “the February notice.”</w:t>
      </w:r>
    </w:p>
    <w:p w14:paraId="6C76B7FC" w14:textId="1D9D7137" w:rsidR="00F4164B" w:rsidRDefault="00F4164B" w:rsidP="00F4164B">
      <w:pPr>
        <w:pStyle w:val="HB2"/>
      </w:pPr>
      <w:r>
        <w:t xml:space="preserve">On 25 March 2020 the plaintiffs </w:t>
      </w:r>
      <w:r w:rsidR="00802665">
        <w:t xml:space="preserve">delivered an application for default judgment. </w:t>
      </w:r>
    </w:p>
    <w:p w14:paraId="41B34D86" w14:textId="2AA80916" w:rsidR="00F4164B" w:rsidRDefault="00F4164B" w:rsidP="00F4164B">
      <w:pPr>
        <w:pStyle w:val="HB2"/>
      </w:pPr>
      <w:r>
        <w:t>On 26 March 2020 the defendants delivered their exc</w:t>
      </w:r>
      <w:r w:rsidR="00730D88">
        <w:t>eption</w:t>
      </w:r>
      <w:r w:rsidR="00802665">
        <w:t>.</w:t>
      </w:r>
    </w:p>
    <w:p w14:paraId="587F12F1" w14:textId="19D317E3" w:rsidR="000A490D" w:rsidRDefault="00730D88" w:rsidP="00802665">
      <w:pPr>
        <w:pStyle w:val="HB2"/>
      </w:pPr>
      <w:r>
        <w:t xml:space="preserve">The application </w:t>
      </w:r>
      <w:r w:rsidR="00F6434D">
        <w:t>for default judgment was enrolled</w:t>
      </w:r>
      <w:r w:rsidR="000A490D">
        <w:t xml:space="preserve"> for hearing on 17 June 2020. </w:t>
      </w:r>
      <w:r w:rsidR="00802665">
        <w:t xml:space="preserve">It was postponed </w:t>
      </w:r>
      <w:r w:rsidR="00802665" w:rsidRPr="00802665">
        <w:rPr>
          <w:i/>
          <w:iCs/>
        </w:rPr>
        <w:t>sine die</w:t>
      </w:r>
      <w:r w:rsidR="00802665">
        <w:t xml:space="preserve"> </w:t>
      </w:r>
      <w:proofErr w:type="gramStart"/>
      <w:r w:rsidR="0047316E">
        <w:t xml:space="preserve">in order </w:t>
      </w:r>
      <w:r w:rsidR="00802665">
        <w:t>to</w:t>
      </w:r>
      <w:proofErr w:type="gramEnd"/>
      <w:r w:rsidR="00802665">
        <w:t xml:space="preserve"> allow this application to be heard.</w:t>
      </w:r>
    </w:p>
    <w:p w14:paraId="6D1075EE" w14:textId="30D9E668" w:rsidR="007442A0" w:rsidRDefault="007442A0" w:rsidP="007442A0">
      <w:pPr>
        <w:pStyle w:val="HB1"/>
      </w:pPr>
      <w:r>
        <w:t>The plaintiffs contend that the February notice delivered by the defendants on 18 February 2020 did not constitute a valid response to the notice of bar and that they were accordingly entitled to apply for default judgment.</w:t>
      </w:r>
    </w:p>
    <w:p w14:paraId="1D5B2020" w14:textId="2DF2E594" w:rsidR="002A68D0" w:rsidRDefault="00D15BE9" w:rsidP="007442A0">
      <w:pPr>
        <w:pStyle w:val="HB1"/>
      </w:pPr>
      <w:r>
        <w:t>The plaintiffs contend that</w:t>
      </w:r>
      <w:r w:rsidR="00426D7B">
        <w:t>, faced with the notice of bar</w:t>
      </w:r>
      <w:r w:rsidR="000538F5">
        <w:t xml:space="preserve"> in the present case</w:t>
      </w:r>
      <w:r w:rsidR="00426D7B">
        <w:t xml:space="preserve">, there were two options </w:t>
      </w:r>
      <w:r w:rsidR="0047316E">
        <w:t>open</w:t>
      </w:r>
      <w:r w:rsidR="00426D7B">
        <w:t xml:space="preserve"> to the defendant</w:t>
      </w:r>
      <w:r w:rsidR="007540A6">
        <w:t>s</w:t>
      </w:r>
      <w:r w:rsidR="002A68D0">
        <w:t>:</w:t>
      </w:r>
      <w:r w:rsidR="00426D7B">
        <w:t xml:space="preserve"> they could have filed an exception on the back of the December notice (together with an application for cond</w:t>
      </w:r>
      <w:r w:rsidR="002A68D0">
        <w:t xml:space="preserve">onation since the exception would have been out of time) or they could have filed a plea. </w:t>
      </w:r>
      <w:r w:rsidR="00AD32B9">
        <w:t>In the plaintiffs’ submission, the February notice</w:t>
      </w:r>
      <w:r w:rsidR="007540A6">
        <w:t>, not being an exception or a plea,</w:t>
      </w:r>
      <w:r w:rsidR="00AD32B9">
        <w:t xml:space="preserve"> did not constitute a valid response to the notice of bar. </w:t>
      </w:r>
    </w:p>
    <w:p w14:paraId="62C38705" w14:textId="74D991E2" w:rsidR="00871266" w:rsidRDefault="002A68D0" w:rsidP="007442A0">
      <w:pPr>
        <w:pStyle w:val="HB1"/>
      </w:pPr>
      <w:r>
        <w:t>The defendants</w:t>
      </w:r>
      <w:r w:rsidR="007540A6">
        <w:t>, for their part,</w:t>
      </w:r>
      <w:r>
        <w:t xml:space="preserve"> contend that it was not open to them to deliver an exception on the back of the </w:t>
      </w:r>
      <w:r w:rsidR="00871266">
        <w:t>December notice. This was because the exception was out of time and “an exception delivered out of time is defective and a nullity and</w:t>
      </w:r>
      <w:r w:rsidR="00426D7B">
        <w:t xml:space="preserve"> </w:t>
      </w:r>
      <w:r w:rsidR="00871266">
        <w:t>stands to be dismissed for that reason alone</w:t>
      </w:r>
      <w:r w:rsidR="00C17DBD">
        <w:t>.</w:t>
      </w:r>
      <w:r w:rsidR="008E2A16">
        <w:t>”</w:t>
      </w:r>
    </w:p>
    <w:p w14:paraId="3268EFAF" w14:textId="089E120B" w:rsidR="00D15BE9" w:rsidRDefault="000538F5" w:rsidP="007442A0">
      <w:pPr>
        <w:pStyle w:val="HB1"/>
      </w:pPr>
      <w:r>
        <w:t xml:space="preserve">More fundamentally however, the defendants contend that </w:t>
      </w:r>
      <w:r w:rsidR="00216885">
        <w:t>the February notice, as a matter of principle, constituted a valid response to the notice of bar and precluded an application for default judgment</w:t>
      </w:r>
      <w:r w:rsidR="005F494B">
        <w:t xml:space="preserve"> by the plaintiffs.</w:t>
      </w:r>
    </w:p>
    <w:p w14:paraId="6CB270B5" w14:textId="2D136667" w:rsidR="00701D17" w:rsidRDefault="000538F5" w:rsidP="007442A0">
      <w:pPr>
        <w:pStyle w:val="HB1"/>
      </w:pPr>
      <w:r>
        <w:t>The defendants contend, in the alternative</w:t>
      </w:r>
      <w:r w:rsidR="002F04F3">
        <w:t xml:space="preserve">, </w:t>
      </w:r>
      <w:proofErr w:type="gramStart"/>
      <w:r w:rsidR="002F04F3">
        <w:t>in the event that</w:t>
      </w:r>
      <w:proofErr w:type="gramEnd"/>
      <w:r w:rsidR="002F04F3">
        <w:t xml:space="preserve"> it is found that they were not correct in filing the February notice, that the plaintiffs were not entitled simply</w:t>
      </w:r>
      <w:r w:rsidR="00C17DBD">
        <w:t xml:space="preserve"> to</w:t>
      </w:r>
      <w:r w:rsidR="002F04F3">
        <w:t xml:space="preserve"> ignore the February notice and proceed with an application for default judgment. </w:t>
      </w:r>
      <w:r w:rsidR="00216885">
        <w:t xml:space="preserve">The defendants contend that if the </w:t>
      </w:r>
      <w:r w:rsidR="001D30C9">
        <w:t xml:space="preserve">plaintiffs were </w:t>
      </w:r>
      <w:r w:rsidR="002F04F3">
        <w:t>of the view that the February notice was irregular th</w:t>
      </w:r>
      <w:r w:rsidR="00B432B4">
        <w:t>en</w:t>
      </w:r>
      <w:r w:rsidR="001D30C9">
        <w:t xml:space="preserve"> </w:t>
      </w:r>
      <w:r w:rsidR="002F04F3">
        <w:t xml:space="preserve">they were obliged to serve a notice </w:t>
      </w:r>
      <w:r w:rsidR="00B432B4">
        <w:t>in terms of Rule 30 to set aside the February notice as an irregular step.</w:t>
      </w:r>
    </w:p>
    <w:p w14:paraId="3343D332" w14:textId="1FB7EDD7" w:rsidR="00711F30" w:rsidRDefault="001D30C9" w:rsidP="007442A0">
      <w:pPr>
        <w:pStyle w:val="HB1"/>
      </w:pPr>
      <w:r>
        <w:t>The crisp question in the application before me is accordingly</w:t>
      </w:r>
      <w:r w:rsidR="00701D17">
        <w:t xml:space="preserve"> whether the February notice constituted a valid response to</w:t>
      </w:r>
      <w:r w:rsidR="00C15C45">
        <w:t xml:space="preserve"> the plaintiffs’</w:t>
      </w:r>
      <w:r w:rsidR="00701D17">
        <w:t xml:space="preserve"> notice of bar. </w:t>
      </w:r>
    </w:p>
    <w:p w14:paraId="3446D508" w14:textId="5CB5ADAA" w:rsidR="00711F30" w:rsidRPr="00711F30" w:rsidRDefault="00711F30" w:rsidP="00711F30">
      <w:pPr>
        <w:pStyle w:val="HB1"/>
        <w:numPr>
          <w:ilvl w:val="0"/>
          <w:numId w:val="0"/>
        </w:numPr>
        <w:rPr>
          <w:u w:val="single"/>
        </w:rPr>
      </w:pPr>
      <w:proofErr w:type="gramStart"/>
      <w:r w:rsidRPr="00711F30">
        <w:rPr>
          <w:u w:val="single"/>
        </w:rPr>
        <w:t>Was</w:t>
      </w:r>
      <w:proofErr w:type="gramEnd"/>
      <w:r w:rsidRPr="00711F30">
        <w:rPr>
          <w:u w:val="single"/>
        </w:rPr>
        <w:t xml:space="preserve"> the February notice a valid response to the notice of bar?</w:t>
      </w:r>
    </w:p>
    <w:p w14:paraId="11ED2602" w14:textId="67D1A618" w:rsidR="00D3230B" w:rsidRDefault="00D3230B" w:rsidP="007442A0">
      <w:pPr>
        <w:pStyle w:val="HB1"/>
      </w:pPr>
      <w:r>
        <w:t xml:space="preserve">The weight of authority is to effect that a notice of intention </w:t>
      </w:r>
      <w:r w:rsidR="00711F30">
        <w:t xml:space="preserve">to </w:t>
      </w:r>
      <w:r>
        <w:t xml:space="preserve">except, as </w:t>
      </w:r>
      <w:r w:rsidR="00CA368B">
        <w:t>contemplated in</w:t>
      </w:r>
      <w:r>
        <w:t xml:space="preserve"> Rule 23(1), constitutes a pleading for purposes of Rule 26 or at least “the next procedural step in the proceedings” and therefore </w:t>
      </w:r>
      <w:r w:rsidR="00B33451">
        <w:t>constitutes a</w:t>
      </w:r>
      <w:r>
        <w:t xml:space="preserve"> valid response to a notice of bar.</w:t>
      </w:r>
    </w:p>
    <w:p w14:paraId="1B04EFAE" w14:textId="04A00136" w:rsidR="00791088" w:rsidRDefault="00791088" w:rsidP="007442A0">
      <w:pPr>
        <w:pStyle w:val="HB1"/>
      </w:pPr>
      <w:r>
        <w:t xml:space="preserve">In </w:t>
      </w:r>
      <w:r w:rsidRPr="00791088">
        <w:rPr>
          <w:i/>
          <w:iCs/>
        </w:rPr>
        <w:t>Steve’s Wrought Iron Works and Others v Nelson Mandela Metro</w:t>
      </w:r>
      <w:r>
        <w:t>,</w:t>
      </w:r>
      <w:r>
        <w:rPr>
          <w:rStyle w:val="FootnoteReference"/>
        </w:rPr>
        <w:footnoteReference w:id="2"/>
      </w:r>
      <w:r>
        <w:t xml:space="preserve"> </w:t>
      </w:r>
      <w:r w:rsidR="0012551A">
        <w:t xml:space="preserve"> </w:t>
      </w:r>
      <w:r w:rsidR="00CA368B">
        <w:t xml:space="preserve">a judgment </w:t>
      </w:r>
      <w:r w:rsidR="0012551A">
        <w:t xml:space="preserve">handed down in </w:t>
      </w:r>
      <w:r>
        <w:t>the Eastern Cape High Court, Goosen</w:t>
      </w:r>
      <w:r w:rsidR="00CB484C">
        <w:t xml:space="preserve"> J</w:t>
      </w:r>
      <w:r>
        <w:t>, faced with the same</w:t>
      </w:r>
      <w:r w:rsidR="00CA368B">
        <w:t xml:space="preserve"> crisp</w:t>
      </w:r>
      <w:r>
        <w:t xml:space="preserve"> legal question</w:t>
      </w:r>
      <w:r w:rsidR="00CA368B">
        <w:t xml:space="preserve"> which arises in this case</w:t>
      </w:r>
      <w:r w:rsidR="00CB484C">
        <w:t>,</w:t>
      </w:r>
      <w:r>
        <w:t xml:space="preserve"> </w:t>
      </w:r>
      <w:r w:rsidR="00CB484C">
        <w:t>reasoned as follows:</w:t>
      </w:r>
    </w:p>
    <w:p w14:paraId="4CD1A406" w14:textId="4DFDEA39" w:rsidR="00791088" w:rsidRDefault="00791088" w:rsidP="00725E9D">
      <w:pPr>
        <w:pStyle w:val="HB1"/>
        <w:numPr>
          <w:ilvl w:val="0"/>
          <w:numId w:val="0"/>
        </w:numPr>
        <w:spacing w:after="240" w:line="240" w:lineRule="auto"/>
        <w:ind w:left="1440"/>
      </w:pPr>
      <w:r>
        <w:t>“</w:t>
      </w:r>
      <w:r w:rsidR="00721A70">
        <w:t xml:space="preserve">Rule 23(1) provides that an exception may be filed ‘within the </w:t>
      </w:r>
      <w:proofErr w:type="gramStart"/>
      <w:r w:rsidR="00721A70">
        <w:t>time period</w:t>
      </w:r>
      <w:proofErr w:type="gramEnd"/>
      <w:r w:rsidR="00721A70">
        <w:t xml:space="preserve"> allowed for filling any subsequent pleading.’ It requires, however</w:t>
      </w:r>
      <w:r w:rsidR="00183A0C">
        <w:t>,</w:t>
      </w:r>
      <w:r w:rsidR="00721A70">
        <w:t xml:space="preserve"> the peremptory filing of a notice if it is contended that the pleading is vague and embarrassing. A party is only barred f</w:t>
      </w:r>
      <w:r w:rsidR="00CA368B">
        <w:t>rom</w:t>
      </w:r>
      <w:r w:rsidR="00721A70">
        <w:t xml:space="preserve"> filing an exception (which is a pleading) i</w:t>
      </w:r>
      <w:r w:rsidR="00CA368B">
        <w:t>f</w:t>
      </w:r>
      <w:r w:rsidR="00721A70">
        <w:t xml:space="preserve"> that party is time barred in accordance with rule 26</w:t>
      </w:r>
      <w:r w:rsidR="00183A0C">
        <w:t>.</w:t>
      </w:r>
    </w:p>
    <w:p w14:paraId="210F5DB5" w14:textId="6B47DCE8" w:rsidR="00183A0C" w:rsidRDefault="00183A0C" w:rsidP="00725E9D">
      <w:pPr>
        <w:pStyle w:val="HB1"/>
        <w:numPr>
          <w:ilvl w:val="0"/>
          <w:numId w:val="0"/>
        </w:numPr>
        <w:spacing w:after="240" w:line="240" w:lineRule="auto"/>
        <w:ind w:left="1440"/>
      </w:pPr>
      <w:r>
        <w:t>…</w:t>
      </w:r>
    </w:p>
    <w:p w14:paraId="6BB3B124" w14:textId="57E9808B" w:rsidR="00721A70" w:rsidRDefault="00721A70" w:rsidP="00725E9D">
      <w:pPr>
        <w:pStyle w:val="HB1"/>
        <w:numPr>
          <w:ilvl w:val="0"/>
          <w:numId w:val="0"/>
        </w:numPr>
        <w:spacing w:after="240" w:line="240" w:lineRule="auto"/>
        <w:ind w:left="1440"/>
      </w:pPr>
      <w:r>
        <w:t xml:space="preserve">In this instance the notice of exception was delivered within the </w:t>
      </w:r>
      <w:proofErr w:type="gramStart"/>
      <w:r>
        <w:t>five day</w:t>
      </w:r>
      <w:proofErr w:type="gramEnd"/>
      <w:r>
        <w:t xml:space="preserve"> period provided in the notice of bar. That is permitted in accordance with the authorities referred to and the </w:t>
      </w:r>
      <w:r w:rsidR="00995AF4">
        <w:t>plain wording of the rules.</w:t>
      </w:r>
    </w:p>
    <w:p w14:paraId="33F53B86" w14:textId="3EF28ED7" w:rsidR="00995AF4" w:rsidRDefault="00995AF4" w:rsidP="00725E9D">
      <w:pPr>
        <w:pStyle w:val="HB1"/>
        <w:numPr>
          <w:ilvl w:val="0"/>
          <w:numId w:val="0"/>
        </w:numPr>
        <w:spacing w:after="240" w:line="240" w:lineRule="auto"/>
        <w:ind w:left="1440"/>
      </w:pPr>
      <w:r>
        <w:t xml:space="preserve">Plaintiff’s counsel relied upon the judgment in </w:t>
      </w:r>
      <w:r w:rsidRPr="00263244">
        <w:rPr>
          <w:i/>
          <w:iCs/>
        </w:rPr>
        <w:t xml:space="preserve">McNally NO and Others v </w:t>
      </w:r>
      <w:proofErr w:type="spellStart"/>
      <w:r w:rsidRPr="00263244">
        <w:rPr>
          <w:i/>
          <w:iCs/>
        </w:rPr>
        <w:t>Codron</w:t>
      </w:r>
      <w:proofErr w:type="spellEnd"/>
      <w:r w:rsidRPr="00263244">
        <w:rPr>
          <w:i/>
          <w:iCs/>
        </w:rPr>
        <w:t xml:space="preserve"> and Others</w:t>
      </w:r>
      <w:r w:rsidR="00263244">
        <w:rPr>
          <w:rStyle w:val="FootnoteReference"/>
          <w:i/>
          <w:iCs/>
        </w:rPr>
        <w:footnoteReference w:id="3"/>
      </w:r>
      <w:r>
        <w:t xml:space="preserve"> where </w:t>
      </w:r>
      <w:proofErr w:type="spellStart"/>
      <w:r>
        <w:t>Yekiso</w:t>
      </w:r>
      <w:proofErr w:type="spellEnd"/>
      <w:r w:rsidR="005E1E3C">
        <w:t xml:space="preserve"> J</w:t>
      </w:r>
      <w:r>
        <w:t xml:space="preserve"> held that the notice of an exception constitutes a procedural step which would not preclude a bar being imposed by a notice of bar</w:t>
      </w:r>
      <w:r w:rsidR="00F96FE9">
        <w:t xml:space="preserve"> ..</w:t>
      </w:r>
      <w:r w:rsidR="00E90002">
        <w:t>.</w:t>
      </w:r>
    </w:p>
    <w:p w14:paraId="70121951" w14:textId="07A59751" w:rsidR="00721A70" w:rsidRDefault="00E90002" w:rsidP="00725E9D">
      <w:pPr>
        <w:pStyle w:val="HB1"/>
        <w:numPr>
          <w:ilvl w:val="0"/>
          <w:numId w:val="0"/>
        </w:numPr>
        <w:spacing w:after="240" w:line="240" w:lineRule="auto"/>
        <w:ind w:left="1440"/>
        <w:rPr>
          <w:i/>
          <w:iCs/>
        </w:rPr>
      </w:pPr>
      <w:r>
        <w:t xml:space="preserve">The finding of </w:t>
      </w:r>
      <w:proofErr w:type="spellStart"/>
      <w:r>
        <w:t>Yekiso</w:t>
      </w:r>
      <w:proofErr w:type="spellEnd"/>
      <w:r>
        <w:t xml:space="preserve"> J runs counter to the authority of this division. It bears emphasis that it was specifically held in </w:t>
      </w:r>
      <w:r w:rsidRPr="00263244">
        <w:rPr>
          <w:i/>
          <w:iCs/>
        </w:rPr>
        <w:t>Felix</w:t>
      </w:r>
      <w:r w:rsidR="00263244">
        <w:rPr>
          <w:rStyle w:val="FootnoteReference"/>
          <w:i/>
          <w:iCs/>
        </w:rPr>
        <w:footnoteReference w:id="4"/>
      </w:r>
      <w:r>
        <w:t xml:space="preserve"> that a party is entitled to</w:t>
      </w:r>
      <w:r w:rsidR="00183A0C">
        <w:t xml:space="preserve"> proceed to</w:t>
      </w:r>
      <w:r>
        <w:t xml:space="preserve"> except in response to a notice of bar. Thus, the filing of a notice of exception, which is a peremptory requirement where it is alleged that a pleading is va</w:t>
      </w:r>
      <w:r w:rsidR="00183A0C">
        <w:t>g</w:t>
      </w:r>
      <w:r>
        <w:t>ue and embarrassing</w:t>
      </w:r>
      <w:r w:rsidR="00B33451">
        <w:t xml:space="preserve">, is permitted. This was followed in Landmark Mthatha (Pty) Ltd v </w:t>
      </w:r>
      <w:r w:rsidR="00B33451" w:rsidRPr="00263244">
        <w:rPr>
          <w:i/>
          <w:iCs/>
        </w:rPr>
        <w:t xml:space="preserve">King </w:t>
      </w:r>
      <w:proofErr w:type="spellStart"/>
      <w:r w:rsidR="00B33451" w:rsidRPr="00263244">
        <w:rPr>
          <w:i/>
          <w:iCs/>
        </w:rPr>
        <w:t>Sabata</w:t>
      </w:r>
      <w:proofErr w:type="spellEnd"/>
      <w:r w:rsidR="00B33451" w:rsidRPr="00263244">
        <w:rPr>
          <w:i/>
          <w:iCs/>
        </w:rPr>
        <w:t xml:space="preserve"> </w:t>
      </w:r>
      <w:proofErr w:type="spellStart"/>
      <w:r w:rsidR="00B33451" w:rsidRPr="00263244">
        <w:rPr>
          <w:i/>
          <w:iCs/>
        </w:rPr>
        <w:t>Dalinyebo</w:t>
      </w:r>
      <w:proofErr w:type="spellEnd"/>
      <w:r w:rsidR="00B33451" w:rsidRPr="00263244">
        <w:rPr>
          <w:i/>
          <w:iCs/>
        </w:rPr>
        <w:t xml:space="preserve"> Municipality and Others</w:t>
      </w:r>
      <w:r w:rsidR="00263244" w:rsidRPr="00263244">
        <w:rPr>
          <w:i/>
          <w:iCs/>
        </w:rPr>
        <w:t>: In re African Earthworks (Pty) Ltd v Landmark Mthatha (Pty) Ltd and Others.</w:t>
      </w:r>
      <w:r w:rsidR="00CB484C">
        <w:rPr>
          <w:rStyle w:val="FootnoteReference"/>
          <w:i/>
          <w:iCs/>
        </w:rPr>
        <w:footnoteReference w:id="5"/>
      </w:r>
    </w:p>
    <w:p w14:paraId="5752CD80" w14:textId="20498BED" w:rsidR="00370EBF" w:rsidRDefault="00F2737A" w:rsidP="008E2A16">
      <w:pPr>
        <w:pStyle w:val="HB1"/>
        <w:numPr>
          <w:ilvl w:val="0"/>
          <w:numId w:val="0"/>
        </w:numPr>
        <w:spacing w:after="240" w:line="240" w:lineRule="auto"/>
        <w:ind w:left="1440"/>
      </w:pPr>
      <w:r>
        <w:t xml:space="preserve">I am bound by the decisions of this </w:t>
      </w:r>
      <w:r w:rsidR="00725E9D">
        <w:t xml:space="preserve">division </w:t>
      </w:r>
      <w:r>
        <w:t xml:space="preserve">unless I am persuaded that they are wrong. I am not so persuaded. To the contrary, they are in my view correctly decided. The decision in </w:t>
      </w:r>
      <w:r w:rsidRPr="00183A0C">
        <w:rPr>
          <w:i/>
          <w:iCs/>
        </w:rPr>
        <w:t>McNally</w:t>
      </w:r>
      <w:r>
        <w:t xml:space="preserve"> in effect precludes a party who intends to object to a pleading on the basis that it is vague and embarrassing </w:t>
      </w:r>
      <w:r w:rsidR="00370EBF">
        <w:t>from taking such exception upon receipt of a notice of bar unless that party has filed such notice of intention to except within the initial period allowed for the filing of a plea. Such construction of rule 23(1), in my view, would defeat the purpose to be served by the process of excepting to a pleading.”</w:t>
      </w:r>
      <w:r w:rsidR="004629E3">
        <w:rPr>
          <w:rStyle w:val="FootnoteReference"/>
        </w:rPr>
        <w:footnoteReference w:id="6"/>
      </w:r>
    </w:p>
    <w:p w14:paraId="0F24771C" w14:textId="77777777" w:rsidR="008E2A16" w:rsidRDefault="008E2A16" w:rsidP="00725E9D">
      <w:pPr>
        <w:pStyle w:val="HB1"/>
        <w:numPr>
          <w:ilvl w:val="0"/>
          <w:numId w:val="0"/>
        </w:numPr>
        <w:spacing w:after="240" w:line="240" w:lineRule="auto"/>
        <w:ind w:left="1440"/>
      </w:pPr>
    </w:p>
    <w:p w14:paraId="685422D2" w14:textId="2B3684DB" w:rsidR="004629E3" w:rsidRDefault="00370EBF" w:rsidP="007442A0">
      <w:pPr>
        <w:pStyle w:val="HB1"/>
      </w:pPr>
      <w:r>
        <w:t>This division has followed the same approach</w:t>
      </w:r>
      <w:r w:rsidR="00183A0C">
        <w:t xml:space="preserve"> as that followed by Goosen J</w:t>
      </w:r>
      <w:r>
        <w:t xml:space="preserve"> and has criticised the judgment in </w:t>
      </w:r>
      <w:r w:rsidRPr="00370EBF">
        <w:rPr>
          <w:i/>
          <w:iCs/>
        </w:rPr>
        <w:t xml:space="preserve">McNally </w:t>
      </w:r>
      <w:r>
        <w:t xml:space="preserve">for the same reasons. In </w:t>
      </w:r>
      <w:proofErr w:type="spellStart"/>
      <w:r w:rsidR="004629E3" w:rsidRPr="00207765">
        <w:rPr>
          <w:i/>
          <w:iCs/>
        </w:rPr>
        <w:t>Tuffsan</w:t>
      </w:r>
      <w:proofErr w:type="spellEnd"/>
      <w:r w:rsidR="004629E3" w:rsidRPr="00207765">
        <w:rPr>
          <w:i/>
          <w:iCs/>
        </w:rPr>
        <w:t xml:space="preserve"> Investments 1088 (Pty) Ltd v </w:t>
      </w:r>
      <w:proofErr w:type="spellStart"/>
      <w:r w:rsidR="004629E3" w:rsidRPr="00207765">
        <w:rPr>
          <w:i/>
          <w:iCs/>
        </w:rPr>
        <w:t>Sethole</w:t>
      </w:r>
      <w:proofErr w:type="spellEnd"/>
      <w:r w:rsidR="004629E3" w:rsidRPr="00207765">
        <w:rPr>
          <w:i/>
          <w:iCs/>
        </w:rPr>
        <w:t xml:space="preserve"> and Another,</w:t>
      </w:r>
      <w:r w:rsidR="00207765">
        <w:rPr>
          <w:rStyle w:val="FootnoteReference"/>
          <w:i/>
          <w:iCs/>
        </w:rPr>
        <w:footnoteReference w:id="7"/>
      </w:r>
      <w:r w:rsidR="004629E3">
        <w:t xml:space="preserve"> Van der Westhuizen AJ held as follows:</w:t>
      </w:r>
    </w:p>
    <w:p w14:paraId="03758E3F" w14:textId="6E2C124A" w:rsidR="00791088" w:rsidRDefault="004629E3" w:rsidP="00725E9D">
      <w:pPr>
        <w:pStyle w:val="HB1"/>
        <w:numPr>
          <w:ilvl w:val="0"/>
          <w:numId w:val="0"/>
        </w:numPr>
        <w:spacing w:after="240" w:line="240" w:lineRule="auto"/>
        <w:ind w:left="1440"/>
      </w:pPr>
      <w:r>
        <w:t xml:space="preserve">“I am in respectful agreement with the findings in this regard of </w:t>
      </w:r>
      <w:r w:rsidRPr="004629E3">
        <w:rPr>
          <w:i/>
          <w:iCs/>
        </w:rPr>
        <w:t>Felix</w:t>
      </w:r>
      <w:r>
        <w:t xml:space="preserve"> </w:t>
      </w:r>
      <w:r w:rsidRPr="004629E3">
        <w:t xml:space="preserve">supra </w:t>
      </w:r>
      <w:r>
        <w:t xml:space="preserve">and </w:t>
      </w:r>
      <w:r w:rsidRPr="004629E3">
        <w:rPr>
          <w:i/>
          <w:iCs/>
        </w:rPr>
        <w:t>Landmark</w:t>
      </w:r>
      <w:r w:rsidR="00370EBF" w:rsidRPr="004629E3">
        <w:rPr>
          <w:i/>
          <w:iCs/>
        </w:rPr>
        <w:t xml:space="preserve"> </w:t>
      </w:r>
      <w:r w:rsidRPr="004629E3">
        <w:rPr>
          <w:i/>
          <w:iCs/>
        </w:rPr>
        <w:t>Mthatha</w:t>
      </w:r>
      <w:r>
        <w:t xml:space="preserve"> supra. To hold the contrary, as in </w:t>
      </w:r>
      <w:r w:rsidRPr="004629E3">
        <w:rPr>
          <w:i/>
          <w:iCs/>
        </w:rPr>
        <w:t xml:space="preserve">McNally </w:t>
      </w:r>
      <w:r>
        <w:t>supra, would disentitle a party after the initial period of 20 days within which to file an exception where the pleading is vague an</w:t>
      </w:r>
      <w:r w:rsidR="00C15C45">
        <w:t>d</w:t>
      </w:r>
      <w:r>
        <w:t xml:space="preserve"> embarrassing to thereafter take such an exception. Such party would have difficulty in pleading to vague and embarrassing allegations. It is trite that the very purpose of pleadings is to crystallise the issues in dispute.</w:t>
      </w:r>
    </w:p>
    <w:p w14:paraId="1C80C370" w14:textId="11983FFD" w:rsidR="004629E3" w:rsidRDefault="005E1E3C" w:rsidP="00653DFA">
      <w:pPr>
        <w:pStyle w:val="HB1"/>
        <w:numPr>
          <w:ilvl w:val="0"/>
          <w:numId w:val="0"/>
        </w:numPr>
        <w:spacing w:line="240" w:lineRule="auto"/>
        <w:ind w:left="1440"/>
      </w:pPr>
      <w:r>
        <w:t>It follows that the defendants were entitled to serve the notice in terms of rule 23(1) within the period allotted in the notice of bar.”</w:t>
      </w:r>
    </w:p>
    <w:p w14:paraId="36799514" w14:textId="42500A4D" w:rsidR="00A256CE" w:rsidRPr="00A256CE" w:rsidRDefault="006A1175" w:rsidP="00A256CE">
      <w:pPr>
        <w:pStyle w:val="HB1"/>
        <w:rPr>
          <w:i/>
          <w:iCs/>
        </w:rPr>
      </w:pPr>
      <w:r>
        <w:t xml:space="preserve">The </w:t>
      </w:r>
      <w:r w:rsidR="00845B47">
        <w:t>judgment</w:t>
      </w:r>
      <w:r>
        <w:t xml:space="preserve"> of </w:t>
      </w:r>
      <w:r w:rsidRPr="006F23D6">
        <w:rPr>
          <w:i/>
          <w:iCs/>
        </w:rPr>
        <w:t xml:space="preserve">Kramer </w:t>
      </w:r>
      <w:proofErr w:type="spellStart"/>
      <w:r w:rsidRPr="006F23D6">
        <w:rPr>
          <w:i/>
          <w:iCs/>
        </w:rPr>
        <w:t>Weihmann</w:t>
      </w:r>
      <w:proofErr w:type="spellEnd"/>
      <w:r w:rsidRPr="006F23D6">
        <w:rPr>
          <w:i/>
          <w:iCs/>
        </w:rPr>
        <w:t xml:space="preserve"> </w:t>
      </w:r>
      <w:r w:rsidR="006F23D6" w:rsidRPr="006F23D6">
        <w:rPr>
          <w:i/>
          <w:iCs/>
        </w:rPr>
        <w:t>and Joubert Inc v South African Commercial Catering and Allied Workers Union</w:t>
      </w:r>
      <w:r w:rsidR="006F23D6">
        <w:rPr>
          <w:rStyle w:val="FootnoteReference"/>
          <w:i/>
          <w:iCs/>
        </w:rPr>
        <w:footnoteReference w:id="8"/>
      </w:r>
      <w:r w:rsidR="00653DFA">
        <w:t xml:space="preserve"> handed down in the Free State High Court</w:t>
      </w:r>
      <w:r w:rsidR="006F23D6" w:rsidRPr="006F23D6">
        <w:rPr>
          <w:i/>
          <w:iCs/>
        </w:rPr>
        <w:t xml:space="preserve"> </w:t>
      </w:r>
      <w:r w:rsidR="006F23D6">
        <w:t xml:space="preserve">is the most closely related to the present </w:t>
      </w:r>
      <w:r w:rsidR="00A256CE">
        <w:t>case</w:t>
      </w:r>
      <w:r w:rsidR="00EF37D7">
        <w:t xml:space="preserve"> </w:t>
      </w:r>
      <w:r w:rsidR="006F23D6">
        <w:t>from a factual point of view.  The plaintiffs served a notice of bar on the defendants and the defendants</w:t>
      </w:r>
      <w:r w:rsidR="00EF37D7">
        <w:t xml:space="preserve"> responded by serving</w:t>
      </w:r>
      <w:r w:rsidR="006F23D6">
        <w:t xml:space="preserve"> a notice in terms of </w:t>
      </w:r>
      <w:r w:rsidR="00C17DBD">
        <w:t>R</w:t>
      </w:r>
      <w:r w:rsidR="006F23D6">
        <w:t>ule 23(1) within the</w:t>
      </w:r>
      <w:r w:rsidR="00EF37D7">
        <w:t xml:space="preserve"> allot</w:t>
      </w:r>
      <w:r w:rsidR="00A256CE">
        <w:t>t</w:t>
      </w:r>
      <w:r w:rsidR="00EF37D7">
        <w:t>ed</w:t>
      </w:r>
      <w:r w:rsidR="006F23D6">
        <w:t xml:space="preserve"> five</w:t>
      </w:r>
      <w:r w:rsidR="00F96FE9">
        <w:t>-</w:t>
      </w:r>
      <w:r w:rsidR="006F23D6">
        <w:t xml:space="preserve">day period. </w:t>
      </w:r>
      <w:r w:rsidR="00845B47">
        <w:t xml:space="preserve">The plaintiffs ignored the </w:t>
      </w:r>
      <w:r w:rsidR="00C17DBD">
        <w:t>R</w:t>
      </w:r>
      <w:r w:rsidR="00845B47">
        <w:t xml:space="preserve">ule 23(1) notice and proceeded to apply for default judgment. The </w:t>
      </w:r>
      <w:r w:rsidR="00153B43">
        <w:t>C</w:t>
      </w:r>
      <w:r w:rsidR="00845B47">
        <w:t>ourt held that a party faced with a notice of bar may file any relevant pleading</w:t>
      </w:r>
      <w:r w:rsidR="00A256CE">
        <w:t xml:space="preserve"> in response thereto. </w:t>
      </w:r>
      <w:r w:rsidR="00845B47">
        <w:t>The Court held that the defendant</w:t>
      </w:r>
      <w:r w:rsidR="00153B43">
        <w:t>s</w:t>
      </w:r>
      <w:r w:rsidR="00845B47">
        <w:t xml:space="preserve"> had filed the rule 23(1) notice within the p</w:t>
      </w:r>
      <w:r w:rsidR="00153B43">
        <w:t>eriod</w:t>
      </w:r>
      <w:r w:rsidR="00845B47">
        <w:t xml:space="preserve"> stipulated in the notice of bar and that the defendant had therefore filed a relevant pleading before the expiration of the period stipulated in the notice of bar. </w:t>
      </w:r>
      <w:r w:rsidR="00153B43">
        <w:t xml:space="preserve"> It follows logically said the Court </w:t>
      </w:r>
      <w:r w:rsidR="00153B43" w:rsidRPr="00A256CE">
        <w:rPr>
          <w:i/>
          <w:iCs/>
        </w:rPr>
        <w:t xml:space="preserve">“that where the respondent in response to a notice of bar delivers </w:t>
      </w:r>
      <w:r w:rsidR="00A256CE" w:rsidRPr="00A256CE">
        <w:rPr>
          <w:i/>
          <w:iCs/>
        </w:rPr>
        <w:t xml:space="preserve">a rule 23(1) </w:t>
      </w:r>
      <w:proofErr w:type="gramStart"/>
      <w:r w:rsidR="00A256CE" w:rsidRPr="00A256CE">
        <w:rPr>
          <w:i/>
          <w:iCs/>
        </w:rPr>
        <w:t>notice</w:t>
      </w:r>
      <w:proofErr w:type="gramEnd"/>
      <w:r w:rsidR="00A256CE" w:rsidRPr="00A256CE">
        <w:rPr>
          <w:i/>
          <w:iCs/>
        </w:rPr>
        <w:t xml:space="preserve"> he has taken the next procedural step in the matter and has thus complied with the court rules.”</w:t>
      </w:r>
      <w:r w:rsidR="00A256CE">
        <w:rPr>
          <w:rStyle w:val="FootnoteReference"/>
          <w:i/>
          <w:iCs/>
        </w:rPr>
        <w:footnoteReference w:id="9"/>
      </w:r>
    </w:p>
    <w:p w14:paraId="642D1736" w14:textId="1CB88219" w:rsidR="004B4CCF" w:rsidRDefault="006A1175" w:rsidP="007442A0">
      <w:pPr>
        <w:pStyle w:val="HB1"/>
      </w:pPr>
      <w:r>
        <w:t xml:space="preserve">As </w:t>
      </w:r>
      <w:r w:rsidR="005F494B">
        <w:t>Adv McKenzie, counsel for the</w:t>
      </w:r>
      <w:r>
        <w:t xml:space="preserve"> defendants</w:t>
      </w:r>
      <w:r w:rsidR="005F494B">
        <w:t>,</w:t>
      </w:r>
      <w:r w:rsidR="00A256CE">
        <w:t xml:space="preserve"> correctly</w:t>
      </w:r>
      <w:r>
        <w:t xml:space="preserve"> pointed out</w:t>
      </w:r>
      <w:r w:rsidR="00A256CE">
        <w:t xml:space="preserve"> in argument before me</w:t>
      </w:r>
      <w:r>
        <w:t xml:space="preserve">, </w:t>
      </w:r>
      <w:r w:rsidRPr="004B4CCF">
        <w:rPr>
          <w:i/>
          <w:iCs/>
        </w:rPr>
        <w:t>McNally</w:t>
      </w:r>
      <w:r>
        <w:t xml:space="preserve"> was</w:t>
      </w:r>
      <w:r w:rsidR="004B4CCF">
        <w:t xml:space="preserve"> for a long time</w:t>
      </w:r>
      <w:r>
        <w:t xml:space="preserve"> the lone judgment which</w:t>
      </w:r>
      <w:r w:rsidR="004B4CCF">
        <w:t xml:space="preserve"> held that a notice of intention to except</w:t>
      </w:r>
      <w:r w:rsidR="00A256CE">
        <w:t xml:space="preserve"> in terms of Rule 23(1)</w:t>
      </w:r>
      <w:r w:rsidR="004B4CCF">
        <w:t xml:space="preserve"> did not constitute a valid response to a notice of bar.</w:t>
      </w:r>
    </w:p>
    <w:p w14:paraId="70CA1565" w14:textId="1DB6B112" w:rsidR="0025597B" w:rsidRDefault="004B4CCF" w:rsidP="007442A0">
      <w:pPr>
        <w:pStyle w:val="HB1"/>
      </w:pPr>
      <w:r>
        <w:t xml:space="preserve">This was until </w:t>
      </w:r>
      <w:r w:rsidRPr="004B4CCF">
        <w:rPr>
          <w:i/>
          <w:iCs/>
        </w:rPr>
        <w:t>Tracey Hill N</w:t>
      </w:r>
      <w:r w:rsidR="00A256CE">
        <w:rPr>
          <w:i/>
          <w:iCs/>
        </w:rPr>
        <w:t>.</w:t>
      </w:r>
      <w:r w:rsidRPr="004B4CCF">
        <w:rPr>
          <w:i/>
          <w:iCs/>
        </w:rPr>
        <w:t xml:space="preserve"> O</w:t>
      </w:r>
      <w:r w:rsidR="00A256CE">
        <w:rPr>
          <w:i/>
          <w:iCs/>
        </w:rPr>
        <w:t>.</w:t>
      </w:r>
      <w:r w:rsidRPr="004B4CCF">
        <w:rPr>
          <w:i/>
          <w:iCs/>
        </w:rPr>
        <w:t xml:space="preserve"> and another v Mark Brown</w:t>
      </w:r>
      <w:r w:rsidR="00A256CE">
        <w:rPr>
          <w:i/>
          <w:iCs/>
        </w:rPr>
        <w:t>,</w:t>
      </w:r>
      <w:r w:rsidR="00980934">
        <w:rPr>
          <w:rStyle w:val="FootnoteReference"/>
          <w:i/>
          <w:iCs/>
        </w:rPr>
        <w:footnoteReference w:id="10"/>
      </w:r>
      <w:r>
        <w:t xml:space="preserve"> </w:t>
      </w:r>
      <w:r w:rsidR="00A256CE">
        <w:t>a judgment handed down by the</w:t>
      </w:r>
      <w:r>
        <w:t xml:space="preserve"> Western Cape High Court on 6 July 2020 after the launch of the present application. </w:t>
      </w:r>
      <w:r w:rsidR="00A256CE">
        <w:t xml:space="preserve">Relying on </w:t>
      </w:r>
      <w:r w:rsidR="00A256CE" w:rsidRPr="00A256CE">
        <w:rPr>
          <w:i/>
          <w:iCs/>
        </w:rPr>
        <w:t>McNally,</w:t>
      </w:r>
      <w:r w:rsidR="00A256CE">
        <w:t xml:space="preserve"> the Cour</w:t>
      </w:r>
      <w:r w:rsidR="0002496F">
        <w:t>t in</w:t>
      </w:r>
      <w:r>
        <w:t xml:space="preserve"> </w:t>
      </w:r>
      <w:r w:rsidR="0025597B" w:rsidRPr="0025597B">
        <w:rPr>
          <w:i/>
          <w:iCs/>
        </w:rPr>
        <w:t>Tracey Hill</w:t>
      </w:r>
      <w:r w:rsidR="0025597B">
        <w:t xml:space="preserve">, </w:t>
      </w:r>
      <w:r w:rsidR="00EA637D" w:rsidRPr="00EA637D">
        <w:t>held</w:t>
      </w:r>
      <w:r w:rsidR="0025597B" w:rsidRPr="00EA637D">
        <w:t xml:space="preserve"> t</w:t>
      </w:r>
      <w:r w:rsidR="0025597B">
        <w:t xml:space="preserve">hat if a defendant is to avoid being barred pursuant to a notice in terms of </w:t>
      </w:r>
      <w:r w:rsidR="0002496F">
        <w:t>R</w:t>
      </w:r>
      <w:r w:rsidR="0025597B">
        <w:t>ule 26, he</w:t>
      </w:r>
      <w:r w:rsidR="0002496F">
        <w:t xml:space="preserve"> or she</w:t>
      </w:r>
      <w:r w:rsidR="0025597B">
        <w:t xml:space="preserve"> must file a pleading, </w:t>
      </w:r>
      <w:r w:rsidR="0002496F">
        <w:t>that is,</w:t>
      </w:r>
      <w:r w:rsidR="0025597B">
        <w:t xml:space="preserve"> a plea or an exception. The </w:t>
      </w:r>
      <w:r w:rsidR="0002496F">
        <w:t>C</w:t>
      </w:r>
      <w:r w:rsidR="0025597B">
        <w:t xml:space="preserve">ourt held that a </w:t>
      </w:r>
      <w:r w:rsidR="0002496F">
        <w:t>R</w:t>
      </w:r>
      <w:r w:rsidR="0025597B">
        <w:t xml:space="preserve">ule 23(1) notice which is merely a precursor to an exception </w:t>
      </w:r>
      <w:r w:rsidR="0002496F">
        <w:t>does not constitute a proper response to a notice of bar</w:t>
      </w:r>
      <w:r w:rsidR="0025597B">
        <w:t>.</w:t>
      </w:r>
      <w:r w:rsidR="0025597B">
        <w:rPr>
          <w:rStyle w:val="FootnoteReference"/>
        </w:rPr>
        <w:footnoteReference w:id="11"/>
      </w:r>
    </w:p>
    <w:p w14:paraId="14783A88" w14:textId="04B3B6EA" w:rsidR="00AA6546" w:rsidRPr="0002496F" w:rsidRDefault="00AA6546" w:rsidP="007442A0">
      <w:pPr>
        <w:pStyle w:val="HB1"/>
        <w:rPr>
          <w:i/>
          <w:iCs/>
        </w:rPr>
      </w:pPr>
      <w:r>
        <w:t>Curiously</w:t>
      </w:r>
      <w:r w:rsidR="00EA637D">
        <w:t xml:space="preserve">, the </w:t>
      </w:r>
      <w:r w:rsidR="0002496F">
        <w:t>C</w:t>
      </w:r>
      <w:r w:rsidR="00EA637D">
        <w:t xml:space="preserve">ourt in </w:t>
      </w:r>
      <w:r w:rsidR="00EA637D" w:rsidRPr="0002496F">
        <w:rPr>
          <w:i/>
          <w:iCs/>
        </w:rPr>
        <w:t>Tracey Hill</w:t>
      </w:r>
      <w:r w:rsidR="00EA637D">
        <w:t xml:space="preserve"> made no reference to the judgments in</w:t>
      </w:r>
      <w:r>
        <w:t xml:space="preserve"> </w:t>
      </w:r>
      <w:r w:rsidR="00EA637D" w:rsidRPr="00AA6546">
        <w:rPr>
          <w:i/>
          <w:iCs/>
        </w:rPr>
        <w:t>Landmark Mthatha</w:t>
      </w:r>
      <w:r w:rsidR="0002496F">
        <w:rPr>
          <w:i/>
          <w:iCs/>
        </w:rPr>
        <w:t>;</w:t>
      </w:r>
      <w:r w:rsidRPr="00AA6546">
        <w:rPr>
          <w:i/>
          <w:iCs/>
        </w:rPr>
        <w:t xml:space="preserve"> Steve</w:t>
      </w:r>
      <w:r w:rsidR="0002496F">
        <w:rPr>
          <w:i/>
          <w:iCs/>
        </w:rPr>
        <w:t>’</w:t>
      </w:r>
      <w:r w:rsidRPr="00AA6546">
        <w:rPr>
          <w:i/>
          <w:iCs/>
        </w:rPr>
        <w:t>s Wrought Iron Works</w:t>
      </w:r>
      <w:r w:rsidR="0002496F">
        <w:rPr>
          <w:i/>
          <w:iCs/>
        </w:rPr>
        <w:t>;</w:t>
      </w:r>
      <w:r w:rsidRPr="00AA6546">
        <w:rPr>
          <w:i/>
          <w:iCs/>
        </w:rPr>
        <w:t xml:space="preserve"> </w:t>
      </w:r>
      <w:proofErr w:type="spellStart"/>
      <w:r w:rsidRPr="00AA6546">
        <w:rPr>
          <w:i/>
          <w:iCs/>
        </w:rPr>
        <w:t>Tuffsan</w:t>
      </w:r>
      <w:proofErr w:type="spellEnd"/>
      <w:r w:rsidRPr="00AA6546">
        <w:rPr>
          <w:i/>
          <w:iCs/>
        </w:rPr>
        <w:t xml:space="preserve"> Investments or Kramer </w:t>
      </w:r>
      <w:proofErr w:type="spellStart"/>
      <w:r w:rsidRPr="00AA6546">
        <w:rPr>
          <w:i/>
          <w:iCs/>
        </w:rPr>
        <w:t>Weihmann</w:t>
      </w:r>
      <w:proofErr w:type="spellEnd"/>
      <w:r>
        <w:t xml:space="preserve">, all of which </w:t>
      </w:r>
      <w:r w:rsidR="0002496F">
        <w:t>ruled</w:t>
      </w:r>
      <w:r>
        <w:t xml:space="preserve"> that a notice in terms of </w:t>
      </w:r>
      <w:r w:rsidR="0002496F">
        <w:t>R</w:t>
      </w:r>
      <w:r>
        <w:t>ule 23(1) constitut</w:t>
      </w:r>
      <w:r w:rsidR="0002496F">
        <w:t>es a valid response</w:t>
      </w:r>
      <w:r>
        <w:t xml:space="preserve"> to a notice of bar. Moreover, as set out above, the judgments in </w:t>
      </w:r>
      <w:r w:rsidRPr="00786A57">
        <w:rPr>
          <w:i/>
          <w:iCs/>
        </w:rPr>
        <w:t>Steve</w:t>
      </w:r>
      <w:r w:rsidR="0002496F">
        <w:rPr>
          <w:i/>
          <w:iCs/>
        </w:rPr>
        <w:t>’</w:t>
      </w:r>
      <w:r w:rsidRPr="00786A57">
        <w:rPr>
          <w:i/>
          <w:iCs/>
        </w:rPr>
        <w:t>s Wrought Iron Works</w:t>
      </w:r>
      <w:r>
        <w:t xml:space="preserve"> and </w:t>
      </w:r>
      <w:proofErr w:type="spellStart"/>
      <w:r w:rsidRPr="00786A57">
        <w:rPr>
          <w:i/>
          <w:iCs/>
        </w:rPr>
        <w:t>Tuffsan</w:t>
      </w:r>
      <w:proofErr w:type="spellEnd"/>
      <w:r w:rsidRPr="00786A57">
        <w:rPr>
          <w:i/>
          <w:iCs/>
        </w:rPr>
        <w:t xml:space="preserve"> Investments</w:t>
      </w:r>
      <w:r>
        <w:t>, were highly critical of</w:t>
      </w:r>
      <w:r w:rsidR="0002496F">
        <w:t xml:space="preserve"> the reasoning in</w:t>
      </w:r>
      <w:r>
        <w:t xml:space="preserve"> </w:t>
      </w:r>
      <w:r w:rsidRPr="0002496F">
        <w:rPr>
          <w:i/>
          <w:iCs/>
        </w:rPr>
        <w:t>McNally.</w:t>
      </w:r>
    </w:p>
    <w:p w14:paraId="0ED795E0" w14:textId="0D55807D" w:rsidR="00786A57" w:rsidRDefault="00786A57" w:rsidP="007442A0">
      <w:pPr>
        <w:pStyle w:val="HB1"/>
      </w:pPr>
      <w:r>
        <w:t xml:space="preserve">In addition to </w:t>
      </w:r>
      <w:r w:rsidRPr="002A2C6B">
        <w:rPr>
          <w:i/>
          <w:iCs/>
        </w:rPr>
        <w:t>McNally</w:t>
      </w:r>
      <w:r>
        <w:t xml:space="preserve"> and </w:t>
      </w:r>
      <w:r w:rsidRPr="002A2C6B">
        <w:rPr>
          <w:i/>
          <w:iCs/>
        </w:rPr>
        <w:t>Tracey Hill</w:t>
      </w:r>
      <w:r>
        <w:t xml:space="preserve">, the plaintiffs sought to rely on the judgment of </w:t>
      </w:r>
      <w:r w:rsidR="003E7DCD" w:rsidRPr="002A2C6B">
        <w:rPr>
          <w:i/>
          <w:iCs/>
        </w:rPr>
        <w:t xml:space="preserve">De </w:t>
      </w:r>
      <w:proofErr w:type="spellStart"/>
      <w:r w:rsidR="003E7DCD" w:rsidRPr="002A2C6B">
        <w:rPr>
          <w:i/>
          <w:iCs/>
        </w:rPr>
        <w:t>Br</w:t>
      </w:r>
      <w:r w:rsidR="002A2C6B" w:rsidRPr="002A2C6B">
        <w:rPr>
          <w:i/>
          <w:iCs/>
        </w:rPr>
        <w:t>u</w:t>
      </w:r>
      <w:r w:rsidR="003E7DCD" w:rsidRPr="002A2C6B">
        <w:rPr>
          <w:i/>
          <w:iCs/>
        </w:rPr>
        <w:t>yn</w:t>
      </w:r>
      <w:proofErr w:type="spellEnd"/>
      <w:r w:rsidR="003E7DCD" w:rsidRPr="002A2C6B">
        <w:rPr>
          <w:i/>
          <w:iCs/>
        </w:rPr>
        <w:t xml:space="preserve"> v Mile </w:t>
      </w:r>
      <w:proofErr w:type="spellStart"/>
      <w:r w:rsidR="003E7DCD" w:rsidRPr="002A2C6B">
        <w:rPr>
          <w:i/>
          <w:iCs/>
        </w:rPr>
        <w:t>Inv</w:t>
      </w:r>
      <w:proofErr w:type="spellEnd"/>
      <w:r w:rsidR="003E7DCD" w:rsidRPr="002A2C6B">
        <w:rPr>
          <w:i/>
          <w:iCs/>
        </w:rPr>
        <w:t xml:space="preserve"> 307 (Pty) Ltd and Others</w:t>
      </w:r>
      <w:r w:rsidR="003E7DCD">
        <w:rPr>
          <w:rStyle w:val="FootnoteReference"/>
        </w:rPr>
        <w:footnoteReference w:id="12"/>
      </w:r>
      <w:r w:rsidR="003E7DCD">
        <w:t xml:space="preserve"> </w:t>
      </w:r>
      <w:r w:rsidR="000F524D">
        <w:t xml:space="preserve">in support of their contention that </w:t>
      </w:r>
      <w:r w:rsidR="0002496F">
        <w:t xml:space="preserve">the February notice filed by the defendants did not constitute </w:t>
      </w:r>
      <w:r w:rsidR="000F524D">
        <w:t>a valid response to</w:t>
      </w:r>
      <w:r w:rsidR="0002496F">
        <w:t xml:space="preserve"> the</w:t>
      </w:r>
      <w:r w:rsidR="000F524D">
        <w:t xml:space="preserve"> notice of bar. Th</w:t>
      </w:r>
      <w:r w:rsidR="002A2C6B">
        <w:t>e</w:t>
      </w:r>
      <w:r w:rsidR="000F524D">
        <w:t xml:space="preserve"> judgment</w:t>
      </w:r>
      <w:r w:rsidR="002A2C6B">
        <w:t xml:space="preserve"> of </w:t>
      </w:r>
      <w:r w:rsidR="002A2C6B" w:rsidRPr="002A2C6B">
        <w:rPr>
          <w:i/>
          <w:iCs/>
        </w:rPr>
        <w:t xml:space="preserve">De </w:t>
      </w:r>
      <w:proofErr w:type="spellStart"/>
      <w:r w:rsidR="002A2C6B" w:rsidRPr="002A2C6B">
        <w:rPr>
          <w:i/>
          <w:iCs/>
        </w:rPr>
        <w:t>Bruyn</w:t>
      </w:r>
      <w:proofErr w:type="spellEnd"/>
      <w:r w:rsidR="000F524D" w:rsidRPr="002A2C6B">
        <w:rPr>
          <w:i/>
          <w:iCs/>
        </w:rPr>
        <w:t>,</w:t>
      </w:r>
      <w:r w:rsidR="000F524D">
        <w:t xml:space="preserve"> did not, however</w:t>
      </w:r>
      <w:r w:rsidR="002A2C6B">
        <w:t>,</w:t>
      </w:r>
      <w:r w:rsidR="000F524D">
        <w:t xml:space="preserve"> consider the question of whether the delivery of a </w:t>
      </w:r>
      <w:r w:rsidR="002A2C6B">
        <w:t>R</w:t>
      </w:r>
      <w:r w:rsidR="000F524D">
        <w:t xml:space="preserve">ule 23(1) notice had the effect of interrupting a notice of </w:t>
      </w:r>
      <w:r w:rsidR="000F524D" w:rsidRPr="002A2C6B">
        <w:t>bar</w:t>
      </w:r>
      <w:r w:rsidR="002A2C6B" w:rsidRPr="002A2C6B">
        <w:t xml:space="preserve">. </w:t>
      </w:r>
      <w:r w:rsidR="000F524D" w:rsidRPr="002A2C6B">
        <w:t xml:space="preserve">The </w:t>
      </w:r>
      <w:r w:rsidR="002A2C6B" w:rsidRPr="002A2C6B">
        <w:t>C</w:t>
      </w:r>
      <w:r w:rsidR="000F524D" w:rsidRPr="002A2C6B">
        <w:t>ourt in</w:t>
      </w:r>
      <w:r w:rsidR="000F524D">
        <w:t xml:space="preserve"> </w:t>
      </w:r>
      <w:r w:rsidR="000F524D" w:rsidRPr="002A2C6B">
        <w:rPr>
          <w:i/>
          <w:iCs/>
        </w:rPr>
        <w:t>D</w:t>
      </w:r>
      <w:r w:rsidR="002A2C6B" w:rsidRPr="002A2C6B">
        <w:rPr>
          <w:i/>
          <w:iCs/>
        </w:rPr>
        <w:t>e</w:t>
      </w:r>
      <w:r w:rsidR="000F524D" w:rsidRPr="002A2C6B">
        <w:rPr>
          <w:i/>
          <w:iCs/>
        </w:rPr>
        <w:t xml:space="preserve"> </w:t>
      </w:r>
      <w:proofErr w:type="spellStart"/>
      <w:r w:rsidR="000F524D" w:rsidRPr="002A2C6B">
        <w:rPr>
          <w:i/>
          <w:iCs/>
        </w:rPr>
        <w:t>Br</w:t>
      </w:r>
      <w:r w:rsidR="001F0E58" w:rsidRPr="002A2C6B">
        <w:rPr>
          <w:i/>
          <w:iCs/>
        </w:rPr>
        <w:t>u</w:t>
      </w:r>
      <w:r w:rsidR="000F524D" w:rsidRPr="002A2C6B">
        <w:rPr>
          <w:i/>
          <w:iCs/>
        </w:rPr>
        <w:t>yn</w:t>
      </w:r>
      <w:proofErr w:type="spellEnd"/>
      <w:r w:rsidR="000F524D">
        <w:t xml:space="preserve"> was called upon to determine the validity of an exception in circumstances </w:t>
      </w:r>
      <w:r w:rsidR="002A2C6B">
        <w:t>in which the</w:t>
      </w:r>
      <w:r w:rsidR="000F524D">
        <w:t xml:space="preserve"> exception had been delivered out of time following the delivery of the </w:t>
      </w:r>
      <w:r w:rsidR="002A2C6B">
        <w:t>R</w:t>
      </w:r>
      <w:r w:rsidR="000F524D">
        <w:t>ule 23(1) notice.</w:t>
      </w:r>
    </w:p>
    <w:p w14:paraId="3580D3E2" w14:textId="484A784F" w:rsidR="004D08BF" w:rsidRPr="004D08BF" w:rsidRDefault="001F0E58" w:rsidP="007442A0">
      <w:pPr>
        <w:pStyle w:val="HB1"/>
        <w:rPr>
          <w:i/>
          <w:iCs/>
        </w:rPr>
      </w:pPr>
      <w:r>
        <w:t xml:space="preserve">Ultimately, I am bound by the </w:t>
      </w:r>
      <w:r w:rsidR="002A2C6B">
        <w:t>judgment</w:t>
      </w:r>
      <w:r>
        <w:t xml:space="preserve"> </w:t>
      </w:r>
      <w:r w:rsidR="002A2C6B">
        <w:t>in</w:t>
      </w:r>
      <w:r>
        <w:t xml:space="preserve"> </w:t>
      </w:r>
      <w:proofErr w:type="spellStart"/>
      <w:r w:rsidRPr="001F0E58">
        <w:rPr>
          <w:i/>
          <w:iCs/>
        </w:rPr>
        <w:t>Tuffsan</w:t>
      </w:r>
      <w:proofErr w:type="spellEnd"/>
      <w:r w:rsidRPr="001F0E58">
        <w:rPr>
          <w:i/>
          <w:iCs/>
        </w:rPr>
        <w:t xml:space="preserve"> Investments</w:t>
      </w:r>
      <w:r>
        <w:t xml:space="preserve"> which is a </w:t>
      </w:r>
      <w:r w:rsidR="002A2C6B">
        <w:t>judgment</w:t>
      </w:r>
      <w:r>
        <w:t xml:space="preserve"> of this division unless I am satisfied that it is wrong. I am not. On the contrary, the </w:t>
      </w:r>
      <w:r w:rsidR="002A2C6B">
        <w:t>judgment</w:t>
      </w:r>
      <w:r>
        <w:t xml:space="preserve"> in </w:t>
      </w:r>
      <w:proofErr w:type="spellStart"/>
      <w:r w:rsidRPr="002A2C6B">
        <w:rPr>
          <w:i/>
          <w:iCs/>
        </w:rPr>
        <w:t>Tuffsan</w:t>
      </w:r>
      <w:proofErr w:type="spellEnd"/>
      <w:r w:rsidRPr="002A2C6B">
        <w:rPr>
          <w:i/>
          <w:iCs/>
        </w:rPr>
        <w:t xml:space="preserve"> </w:t>
      </w:r>
      <w:r>
        <w:t xml:space="preserve">accords with the weight of authority on this point which is that a notice in terms of </w:t>
      </w:r>
      <w:r w:rsidR="00DD2866">
        <w:t>Rule</w:t>
      </w:r>
      <w:r>
        <w:t xml:space="preserve"> 23(1) </w:t>
      </w:r>
      <w:r w:rsidR="0020399D">
        <w:t>constitutes</w:t>
      </w:r>
      <w:r w:rsidR="002A2C6B">
        <w:t xml:space="preserve"> a</w:t>
      </w:r>
      <w:r>
        <w:t xml:space="preserve"> pleading or at least the next procedural step</w:t>
      </w:r>
      <w:r w:rsidR="002A2C6B">
        <w:t xml:space="preserve"> in the proceedings</w:t>
      </w:r>
      <w:r>
        <w:t xml:space="preserve"> and </w:t>
      </w:r>
      <w:r w:rsidR="0020399D">
        <w:t xml:space="preserve">is </w:t>
      </w:r>
      <w:r>
        <w:t xml:space="preserve">therefore a valid response to a notice of bar. </w:t>
      </w:r>
      <w:r w:rsidR="002A2C6B">
        <w:t xml:space="preserve">I agree with </w:t>
      </w:r>
      <w:r w:rsidR="0020399D">
        <w:t xml:space="preserve">Goosen J in </w:t>
      </w:r>
      <w:r w:rsidR="0020399D" w:rsidRPr="0020399D">
        <w:rPr>
          <w:i/>
          <w:iCs/>
        </w:rPr>
        <w:t>Steve’s Wrought Iron Works</w:t>
      </w:r>
      <w:r w:rsidR="0020399D">
        <w:t xml:space="preserve"> that the alternative construction of </w:t>
      </w:r>
      <w:r w:rsidR="00C15C45">
        <w:t>Rule 23(1)</w:t>
      </w:r>
      <w:r w:rsidR="0020399D">
        <w:t xml:space="preserve"> endorsed by </w:t>
      </w:r>
      <w:r w:rsidR="0020399D" w:rsidRPr="0020399D">
        <w:rPr>
          <w:i/>
          <w:iCs/>
        </w:rPr>
        <w:t>McNally</w:t>
      </w:r>
      <w:r w:rsidR="0020399D">
        <w:t xml:space="preserve"> would defeat the purpose to be served by the process of excepting to a pleading. As such it is a construction which favours form over substance. It </w:t>
      </w:r>
      <w:r w:rsidR="00A37591">
        <w:t>bears emphasis</w:t>
      </w:r>
      <w:r w:rsidR="0020399D">
        <w:t xml:space="preserve"> that</w:t>
      </w:r>
      <w:r w:rsidR="004D08BF">
        <w:t xml:space="preserve"> the rules of court exist to facilitate the ventilation of disputes and not to make substantive law. As was held in </w:t>
      </w:r>
      <w:r w:rsidR="004D08BF" w:rsidRPr="004D08BF">
        <w:rPr>
          <w:i/>
          <w:iCs/>
        </w:rPr>
        <w:t xml:space="preserve">Absa Bank Ltd v </w:t>
      </w:r>
      <w:proofErr w:type="spellStart"/>
      <w:r w:rsidR="004D08BF" w:rsidRPr="004D08BF">
        <w:rPr>
          <w:i/>
          <w:iCs/>
        </w:rPr>
        <w:t>Zalvest</w:t>
      </w:r>
      <w:proofErr w:type="spellEnd"/>
      <w:r w:rsidR="004D08BF" w:rsidRPr="004D08BF">
        <w:rPr>
          <w:i/>
          <w:iCs/>
        </w:rPr>
        <w:t xml:space="preserve"> Twenty (Pty) Ltd</w:t>
      </w:r>
      <w:r w:rsidR="00A13165">
        <w:rPr>
          <w:rStyle w:val="FootnoteReference"/>
          <w:i/>
          <w:iCs/>
        </w:rPr>
        <w:footnoteReference w:id="13"/>
      </w:r>
    </w:p>
    <w:p w14:paraId="4F42F0C3" w14:textId="77777777" w:rsidR="00CD14DD" w:rsidRDefault="004D08BF" w:rsidP="00DD2866">
      <w:pPr>
        <w:pStyle w:val="HB1"/>
        <w:numPr>
          <w:ilvl w:val="0"/>
          <w:numId w:val="0"/>
        </w:numPr>
        <w:spacing w:line="240" w:lineRule="auto"/>
        <w:ind w:left="1440"/>
      </w:pPr>
      <w:r>
        <w:t>“The rules of court exist to facilitate the ventilation of disputes arising from substantive law. The rules of court may only regulate matters of procedure</w:t>
      </w:r>
      <w:r w:rsidR="00A37591">
        <w:t xml:space="preserve">; they cannot make or alter substantive law </w:t>
      </w:r>
      <w:r w:rsidR="00A37591" w:rsidRPr="00A37591">
        <w:rPr>
          <w:i/>
          <w:iCs/>
        </w:rPr>
        <w:t>(United Reflective Converters Pty Ltd v Levine</w:t>
      </w:r>
      <w:r w:rsidR="00A37591">
        <w:t xml:space="preserve"> </w:t>
      </w:r>
      <w:r w:rsidR="00A37591" w:rsidRPr="00A37591">
        <w:rPr>
          <w:b/>
          <w:bCs/>
        </w:rPr>
        <w:t>1988 (4) SA 460</w:t>
      </w:r>
      <w:r w:rsidR="00A37591">
        <w:t xml:space="preserve"> (W) at 463B -E and authority there cited). The court is, moreover, not a slave to the rules of court. As has often been said, the rules exist for the courts not the courts for the rules (see </w:t>
      </w:r>
      <w:r w:rsidR="00A37591" w:rsidRPr="00A37591">
        <w:rPr>
          <w:i/>
          <w:iCs/>
        </w:rPr>
        <w:t xml:space="preserve">Standard </w:t>
      </w:r>
      <w:proofErr w:type="gramStart"/>
      <w:r w:rsidR="00A37591" w:rsidRPr="00A37591">
        <w:rPr>
          <w:i/>
          <w:iCs/>
        </w:rPr>
        <w:t>bank</w:t>
      </w:r>
      <w:proofErr w:type="gramEnd"/>
      <w:r w:rsidR="00A37591" w:rsidRPr="00A37591">
        <w:rPr>
          <w:i/>
          <w:iCs/>
        </w:rPr>
        <w:t xml:space="preserve"> of South Africa v Dawood</w:t>
      </w:r>
      <w:r w:rsidR="00A37591">
        <w:t xml:space="preserve"> </w:t>
      </w:r>
      <w:r w:rsidR="00A37591" w:rsidRPr="00A37591">
        <w:rPr>
          <w:b/>
          <w:bCs/>
        </w:rPr>
        <w:t>2012 (6) SA 151 (WCC)</w:t>
      </w:r>
      <w:r w:rsidR="00A37591">
        <w:t xml:space="preserve"> para 12).”</w:t>
      </w:r>
      <w:r w:rsidR="00A13165">
        <w:rPr>
          <w:rStyle w:val="FootnoteReference"/>
        </w:rPr>
        <w:footnoteReference w:id="14"/>
      </w:r>
      <w:r w:rsidR="00A37591">
        <w:t xml:space="preserve"> </w:t>
      </w:r>
    </w:p>
    <w:p w14:paraId="01667872" w14:textId="1D473181" w:rsidR="004D08BF" w:rsidRDefault="004D08BF" w:rsidP="00725E9D">
      <w:pPr>
        <w:pStyle w:val="HB1"/>
        <w:numPr>
          <w:ilvl w:val="0"/>
          <w:numId w:val="0"/>
        </w:numPr>
        <w:spacing w:after="120" w:line="240" w:lineRule="auto"/>
        <w:ind w:left="1440"/>
      </w:pPr>
      <w:r>
        <w:t xml:space="preserve"> </w:t>
      </w:r>
    </w:p>
    <w:p w14:paraId="0ED3DFC2" w14:textId="2E8945A9" w:rsidR="00A13165" w:rsidRDefault="00A13165" w:rsidP="007442A0">
      <w:pPr>
        <w:pStyle w:val="HB1"/>
      </w:pPr>
      <w:r>
        <w:t xml:space="preserve">For </w:t>
      </w:r>
      <w:proofErr w:type="gramStart"/>
      <w:r>
        <w:t>all of</w:t>
      </w:r>
      <w:proofErr w:type="gramEnd"/>
      <w:r>
        <w:t xml:space="preserve"> the above reasons, I find that the February notice delivered by the defendants on 18 February 2020 constituted a valid response to the plaintiffs</w:t>
      </w:r>
      <w:r w:rsidR="00DD2866">
        <w:t>’</w:t>
      </w:r>
      <w:r>
        <w:t xml:space="preserve"> notice of bar.</w:t>
      </w:r>
    </w:p>
    <w:p w14:paraId="43031939" w14:textId="08C65C02" w:rsidR="00A13165" w:rsidRDefault="00A13165" w:rsidP="007442A0">
      <w:pPr>
        <w:pStyle w:val="HB1"/>
      </w:pPr>
      <w:r>
        <w:t>It follows that the plaintiffs were not entitled to apply for default judgment in the circumstances and their application for default judgment accordingly falls to be set aside as an irregular step.</w:t>
      </w:r>
    </w:p>
    <w:p w14:paraId="0CA03EEE" w14:textId="60A07977" w:rsidR="00A13165" w:rsidRDefault="00A13165" w:rsidP="007442A0">
      <w:pPr>
        <w:pStyle w:val="HB1"/>
      </w:pPr>
      <w:r>
        <w:t>I</w:t>
      </w:r>
      <w:r w:rsidR="00DD2866">
        <w:t>n the circumstances I make the following order:</w:t>
      </w:r>
    </w:p>
    <w:p w14:paraId="3D6134AA" w14:textId="6CE0C3B9" w:rsidR="00A13165" w:rsidRPr="00A13165" w:rsidRDefault="00A13165" w:rsidP="00A13165">
      <w:pPr>
        <w:pStyle w:val="HB1"/>
        <w:numPr>
          <w:ilvl w:val="0"/>
          <w:numId w:val="0"/>
        </w:numPr>
        <w:rPr>
          <w:u w:val="single"/>
        </w:rPr>
      </w:pPr>
      <w:r w:rsidRPr="00A13165">
        <w:rPr>
          <w:u w:val="single"/>
        </w:rPr>
        <w:t>Order</w:t>
      </w:r>
    </w:p>
    <w:p w14:paraId="7205310C" w14:textId="6B73CE30" w:rsidR="00F908DA" w:rsidRDefault="00F908DA" w:rsidP="00D4133C">
      <w:pPr>
        <w:pStyle w:val="HB1"/>
        <w:numPr>
          <w:ilvl w:val="0"/>
          <w:numId w:val="8"/>
        </w:numPr>
      </w:pPr>
      <w:r>
        <w:t>The application succeeds with costs.</w:t>
      </w:r>
    </w:p>
    <w:p w14:paraId="448EE79E" w14:textId="0F80657C" w:rsidR="00D4133C" w:rsidRDefault="00F908DA" w:rsidP="00D4133C">
      <w:pPr>
        <w:pStyle w:val="HB1"/>
      </w:pPr>
      <w:r>
        <w:t>The plaintiffs</w:t>
      </w:r>
      <w:r w:rsidR="00D4133C">
        <w:t>’</w:t>
      </w:r>
      <w:r>
        <w:t xml:space="preserve"> application for default judgment delivered on 25 March 2020 is declared an irregular step and set aside</w:t>
      </w:r>
      <w:r w:rsidR="00D4133C">
        <w:t>.</w:t>
      </w:r>
    </w:p>
    <w:p w14:paraId="4BC21219" w14:textId="518F4367" w:rsidR="00D4133C" w:rsidRDefault="00D4133C" w:rsidP="00D4133C">
      <w:pPr>
        <w:pStyle w:val="HB1"/>
      </w:pPr>
      <w:r>
        <w:t>The plaintiffs shall pay the costs of the application.</w:t>
      </w:r>
    </w:p>
    <w:p w14:paraId="289B4F2A" w14:textId="77777777" w:rsidR="00F97937" w:rsidRPr="00D53325" w:rsidRDefault="00F97937" w:rsidP="00F97937">
      <w:pPr>
        <w:pStyle w:val="HB1"/>
        <w:numPr>
          <w:ilvl w:val="0"/>
          <w:numId w:val="0"/>
        </w:numPr>
        <w:spacing w:after="480" w:line="240" w:lineRule="auto"/>
        <w:ind w:left="4820"/>
        <w:rPr>
          <w:sz w:val="24"/>
          <w:szCs w:val="24"/>
        </w:rPr>
      </w:pPr>
      <w:r>
        <w:rPr>
          <w:sz w:val="24"/>
          <w:szCs w:val="24"/>
        </w:rPr>
        <w:tab/>
      </w:r>
      <w:r>
        <w:rPr>
          <w:sz w:val="24"/>
          <w:szCs w:val="24"/>
        </w:rPr>
        <w:tab/>
      </w:r>
      <w:r>
        <w:rPr>
          <w:sz w:val="24"/>
          <w:szCs w:val="24"/>
        </w:rPr>
        <w:tab/>
      </w:r>
      <w:r>
        <w:rPr>
          <w:sz w:val="24"/>
          <w:szCs w:val="24"/>
        </w:rPr>
        <w:tab/>
      </w:r>
      <w:r>
        <w:rPr>
          <w:sz w:val="24"/>
          <w:szCs w:val="24"/>
        </w:rPr>
        <w:tab/>
      </w:r>
      <w:r w:rsidRPr="00D53325">
        <w:rPr>
          <w:sz w:val="24"/>
          <w:szCs w:val="24"/>
        </w:rPr>
        <w:t>__________________________</w:t>
      </w:r>
    </w:p>
    <w:p w14:paraId="6938D6D2" w14:textId="77777777" w:rsidR="00F97937" w:rsidRPr="00675EB3" w:rsidRDefault="00F97937" w:rsidP="00F97937">
      <w:pPr>
        <w:pStyle w:val="HB1"/>
        <w:numPr>
          <w:ilvl w:val="0"/>
          <w:numId w:val="0"/>
        </w:numPr>
        <w:spacing w:line="240" w:lineRule="auto"/>
        <w:ind w:left="3731" w:firstLine="589"/>
        <w:rPr>
          <w:sz w:val="24"/>
          <w:szCs w:val="24"/>
        </w:rPr>
      </w:pPr>
      <w:r w:rsidRPr="00675EB3">
        <w:rPr>
          <w:sz w:val="24"/>
          <w:szCs w:val="24"/>
        </w:rPr>
        <w:t xml:space="preserve">            BARNES AJ</w:t>
      </w:r>
    </w:p>
    <w:p w14:paraId="44962AF4" w14:textId="77777777" w:rsidR="00F97937" w:rsidRPr="00675EB3" w:rsidRDefault="00F97937" w:rsidP="00F97937">
      <w:pPr>
        <w:pStyle w:val="HB1"/>
        <w:numPr>
          <w:ilvl w:val="0"/>
          <w:numId w:val="0"/>
        </w:numPr>
        <w:spacing w:line="240" w:lineRule="auto"/>
        <w:ind w:left="851" w:hanging="851"/>
        <w:rPr>
          <w:sz w:val="24"/>
          <w:szCs w:val="24"/>
        </w:rPr>
      </w:pPr>
      <w:r w:rsidRPr="00675EB3">
        <w:rPr>
          <w:sz w:val="24"/>
          <w:szCs w:val="24"/>
        </w:rPr>
        <w:t>Appearances:</w:t>
      </w:r>
    </w:p>
    <w:p w14:paraId="4FFAA55C" w14:textId="50780C82" w:rsidR="00F97937" w:rsidRPr="00675EB3" w:rsidRDefault="00F97937" w:rsidP="00F97937">
      <w:pPr>
        <w:pStyle w:val="HB1"/>
        <w:numPr>
          <w:ilvl w:val="0"/>
          <w:numId w:val="0"/>
        </w:numPr>
        <w:spacing w:line="240" w:lineRule="auto"/>
        <w:ind w:left="851" w:hanging="851"/>
        <w:rPr>
          <w:sz w:val="24"/>
          <w:szCs w:val="24"/>
        </w:rPr>
      </w:pPr>
      <w:r w:rsidRPr="00675EB3">
        <w:rPr>
          <w:sz w:val="24"/>
          <w:szCs w:val="24"/>
        </w:rPr>
        <w:t xml:space="preserve">For the </w:t>
      </w:r>
      <w:r w:rsidR="00F908DA">
        <w:rPr>
          <w:sz w:val="24"/>
          <w:szCs w:val="24"/>
        </w:rPr>
        <w:t>Defendants</w:t>
      </w:r>
      <w:r w:rsidRPr="00675EB3">
        <w:rPr>
          <w:sz w:val="24"/>
          <w:szCs w:val="24"/>
        </w:rPr>
        <w:t>: Adv</w:t>
      </w:r>
      <w:r>
        <w:rPr>
          <w:sz w:val="24"/>
          <w:szCs w:val="24"/>
        </w:rPr>
        <w:t xml:space="preserve"> </w:t>
      </w:r>
      <w:r w:rsidR="00F908DA">
        <w:rPr>
          <w:sz w:val="24"/>
          <w:szCs w:val="24"/>
        </w:rPr>
        <w:t>A C McKenzie</w:t>
      </w:r>
      <w:r>
        <w:rPr>
          <w:sz w:val="24"/>
          <w:szCs w:val="24"/>
        </w:rPr>
        <w:t xml:space="preserve"> instructed by </w:t>
      </w:r>
      <w:r w:rsidR="00F908DA">
        <w:rPr>
          <w:sz w:val="24"/>
          <w:szCs w:val="24"/>
        </w:rPr>
        <w:t xml:space="preserve">Webber Wentzel </w:t>
      </w:r>
    </w:p>
    <w:p w14:paraId="5DA6A8A4" w14:textId="660796F0" w:rsidR="00F97937" w:rsidRDefault="00F97937" w:rsidP="00F97937">
      <w:pPr>
        <w:pStyle w:val="HB1"/>
        <w:numPr>
          <w:ilvl w:val="0"/>
          <w:numId w:val="0"/>
        </w:numPr>
        <w:spacing w:line="240" w:lineRule="auto"/>
        <w:ind w:left="851" w:hanging="851"/>
      </w:pPr>
      <w:r w:rsidRPr="00675EB3">
        <w:rPr>
          <w:sz w:val="24"/>
          <w:szCs w:val="24"/>
        </w:rPr>
        <w:t xml:space="preserve">For the </w:t>
      </w:r>
      <w:r w:rsidR="00F908DA">
        <w:rPr>
          <w:sz w:val="24"/>
          <w:szCs w:val="24"/>
        </w:rPr>
        <w:t>Plaintiffs</w:t>
      </w:r>
      <w:r w:rsidRPr="00675EB3">
        <w:rPr>
          <w:sz w:val="24"/>
          <w:szCs w:val="24"/>
        </w:rPr>
        <w:t xml:space="preserve">: </w:t>
      </w:r>
      <w:r>
        <w:rPr>
          <w:sz w:val="24"/>
          <w:szCs w:val="24"/>
        </w:rPr>
        <w:t>A</w:t>
      </w:r>
      <w:r w:rsidR="00F908DA">
        <w:rPr>
          <w:sz w:val="24"/>
          <w:szCs w:val="24"/>
        </w:rPr>
        <w:t xml:space="preserve">ttorney J </w:t>
      </w:r>
      <w:proofErr w:type="spellStart"/>
      <w:r w:rsidR="00F908DA">
        <w:rPr>
          <w:sz w:val="24"/>
          <w:szCs w:val="24"/>
        </w:rPr>
        <w:t>Dorning</w:t>
      </w:r>
      <w:proofErr w:type="spellEnd"/>
      <w:r w:rsidR="00F908DA">
        <w:rPr>
          <w:sz w:val="24"/>
          <w:szCs w:val="24"/>
        </w:rPr>
        <w:t xml:space="preserve"> of Millers Attorneys </w:t>
      </w:r>
    </w:p>
    <w:sectPr w:rsidR="00F97937" w:rsidSect="00B3017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C878" w14:textId="77777777" w:rsidR="00CA79AE" w:rsidRDefault="00CA79AE">
      <w:pPr>
        <w:spacing w:after="0" w:line="240" w:lineRule="auto"/>
      </w:pPr>
      <w:r>
        <w:separator/>
      </w:r>
    </w:p>
  </w:endnote>
  <w:endnote w:type="continuationSeparator" w:id="0">
    <w:p w14:paraId="43B5E22B" w14:textId="77777777" w:rsidR="00CA79AE" w:rsidRDefault="00CA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1433" w14:textId="77777777" w:rsidR="00CA79AE" w:rsidRDefault="00CA79AE">
      <w:pPr>
        <w:spacing w:after="0" w:line="240" w:lineRule="auto"/>
      </w:pPr>
      <w:r>
        <w:separator/>
      </w:r>
    </w:p>
  </w:footnote>
  <w:footnote w:type="continuationSeparator" w:id="0">
    <w:p w14:paraId="21E5D6F6" w14:textId="77777777" w:rsidR="00CA79AE" w:rsidRDefault="00CA79AE">
      <w:pPr>
        <w:spacing w:after="0" w:line="240" w:lineRule="auto"/>
      </w:pPr>
      <w:r>
        <w:continuationSeparator/>
      </w:r>
    </w:p>
  </w:footnote>
  <w:footnote w:id="1">
    <w:p w14:paraId="62315DC0" w14:textId="32741F67" w:rsidR="00DA44CE" w:rsidRPr="00DA44CE" w:rsidRDefault="00DA44CE">
      <w:pPr>
        <w:pStyle w:val="FootnoteText"/>
        <w:rPr>
          <w:lang w:val="en-US"/>
        </w:rPr>
      </w:pPr>
      <w:r>
        <w:rPr>
          <w:rStyle w:val="FootnoteReference"/>
        </w:rPr>
        <w:footnoteRef/>
      </w:r>
      <w:r>
        <w:t xml:space="preserve"> </w:t>
      </w:r>
      <w:r w:rsidR="00586C78">
        <w:t>As they are referred to in the main</w:t>
      </w:r>
      <w:r w:rsidR="00B54EFA">
        <w:t xml:space="preserve"> action</w:t>
      </w:r>
      <w:r w:rsidR="00586C78">
        <w:t xml:space="preserve"> proceedings under the same case number. The plaintiffs sought no relief against the sixth defendant </w:t>
      </w:r>
      <w:r w:rsidR="00B54EFA">
        <w:t>and cited it merely as an interested party.</w:t>
      </w:r>
    </w:p>
  </w:footnote>
  <w:footnote w:id="2">
    <w:p w14:paraId="2DF3DB38" w14:textId="65B71DC0" w:rsidR="00791088" w:rsidRPr="00791088" w:rsidRDefault="00791088">
      <w:pPr>
        <w:pStyle w:val="FootnoteText"/>
        <w:rPr>
          <w:lang w:val="en-US"/>
        </w:rPr>
      </w:pPr>
      <w:r>
        <w:rPr>
          <w:rStyle w:val="FootnoteReference"/>
        </w:rPr>
        <w:footnoteRef/>
      </w:r>
      <w:r>
        <w:t xml:space="preserve"> </w:t>
      </w:r>
      <w:r>
        <w:rPr>
          <w:lang w:val="en-US"/>
        </w:rPr>
        <w:t>2020 (3) SA 535 (ECP)</w:t>
      </w:r>
    </w:p>
  </w:footnote>
  <w:footnote w:id="3">
    <w:p w14:paraId="79559496" w14:textId="10F1B935" w:rsidR="00263244" w:rsidRPr="00263244" w:rsidRDefault="00263244">
      <w:pPr>
        <w:pStyle w:val="FootnoteText"/>
        <w:rPr>
          <w:lang w:val="en-US"/>
        </w:rPr>
      </w:pPr>
      <w:r>
        <w:rPr>
          <w:rStyle w:val="FootnoteReference"/>
        </w:rPr>
        <w:footnoteRef/>
      </w:r>
      <w:r>
        <w:t xml:space="preserve"> </w:t>
      </w:r>
      <w:r>
        <w:rPr>
          <w:lang w:val="en-US"/>
        </w:rPr>
        <w:t>[2012] ZAWCHC 17 (19 March 2012)</w:t>
      </w:r>
    </w:p>
  </w:footnote>
  <w:footnote w:id="4">
    <w:p w14:paraId="4D8D7F07" w14:textId="37190EBF" w:rsidR="00263244" w:rsidRPr="00263244" w:rsidRDefault="00263244">
      <w:pPr>
        <w:pStyle w:val="FootnoteText"/>
        <w:rPr>
          <w:lang w:val="en-US"/>
        </w:rPr>
      </w:pPr>
      <w:r>
        <w:rPr>
          <w:rStyle w:val="FootnoteReference"/>
        </w:rPr>
        <w:footnoteRef/>
      </w:r>
      <w:r>
        <w:t xml:space="preserve"> </w:t>
      </w:r>
      <w:r w:rsidRPr="00263244">
        <w:rPr>
          <w:i/>
          <w:iCs/>
          <w:lang w:val="en-US"/>
        </w:rPr>
        <w:t xml:space="preserve">Felix and Another v </w:t>
      </w:r>
      <w:proofErr w:type="spellStart"/>
      <w:r w:rsidRPr="00263244">
        <w:rPr>
          <w:i/>
          <w:iCs/>
          <w:lang w:val="en-US"/>
        </w:rPr>
        <w:t>Nortier</w:t>
      </w:r>
      <w:proofErr w:type="spellEnd"/>
      <w:r w:rsidRPr="00263244">
        <w:rPr>
          <w:i/>
          <w:iCs/>
          <w:lang w:val="en-US"/>
        </w:rPr>
        <w:t xml:space="preserve"> NO and Others</w:t>
      </w:r>
      <w:r>
        <w:rPr>
          <w:lang w:val="en-US"/>
        </w:rPr>
        <w:t xml:space="preserve"> (2) 1994 (4) 502 (SE) at 506E, where Leach J specifically held that a defendant is entitled to file a notice of exception upon receipt of a notice of bar. </w:t>
      </w:r>
    </w:p>
  </w:footnote>
  <w:footnote w:id="5">
    <w:p w14:paraId="5B92E8F0" w14:textId="3491E9E1" w:rsidR="00CB484C" w:rsidRPr="00CB484C" w:rsidRDefault="00CB484C">
      <w:pPr>
        <w:pStyle w:val="FootnoteText"/>
        <w:rPr>
          <w:lang w:val="en-US"/>
        </w:rPr>
      </w:pPr>
      <w:r>
        <w:rPr>
          <w:rStyle w:val="FootnoteReference"/>
        </w:rPr>
        <w:footnoteRef/>
      </w:r>
      <w:r>
        <w:t xml:space="preserve"> </w:t>
      </w:r>
      <w:r>
        <w:rPr>
          <w:lang w:val="en-US"/>
        </w:rPr>
        <w:t>2010 (3) SA 81 (ECM) at para 13.</w:t>
      </w:r>
    </w:p>
  </w:footnote>
  <w:footnote w:id="6">
    <w:p w14:paraId="45674096" w14:textId="098D966E" w:rsidR="004629E3" w:rsidRPr="004629E3" w:rsidRDefault="004629E3">
      <w:pPr>
        <w:pStyle w:val="FootnoteText"/>
        <w:rPr>
          <w:lang w:val="en-US"/>
        </w:rPr>
      </w:pPr>
      <w:r>
        <w:rPr>
          <w:rStyle w:val="FootnoteReference"/>
        </w:rPr>
        <w:footnoteRef/>
      </w:r>
      <w:r>
        <w:t xml:space="preserve"> </w:t>
      </w:r>
      <w:r>
        <w:rPr>
          <w:lang w:val="en-US"/>
        </w:rPr>
        <w:t>At paras 14 to 18</w:t>
      </w:r>
    </w:p>
  </w:footnote>
  <w:footnote w:id="7">
    <w:p w14:paraId="6DD01B52" w14:textId="0781DF3B" w:rsidR="00207765" w:rsidRPr="00207765" w:rsidRDefault="00207765">
      <w:pPr>
        <w:pStyle w:val="FootnoteText"/>
        <w:rPr>
          <w:lang w:val="en-US"/>
        </w:rPr>
      </w:pPr>
      <w:r>
        <w:rPr>
          <w:rStyle w:val="FootnoteReference"/>
        </w:rPr>
        <w:footnoteRef/>
      </w:r>
      <w:r>
        <w:t xml:space="preserve"> 2016 JDR 1425 (GP); [2016] SAGPPHC 653 (4 August 2016)</w:t>
      </w:r>
    </w:p>
  </w:footnote>
  <w:footnote w:id="8">
    <w:p w14:paraId="03BAFFA0" w14:textId="28B82224" w:rsidR="006F23D6" w:rsidRPr="006F23D6" w:rsidRDefault="006F23D6">
      <w:pPr>
        <w:pStyle w:val="FootnoteText"/>
        <w:rPr>
          <w:lang w:val="en-US"/>
        </w:rPr>
      </w:pPr>
      <w:r>
        <w:rPr>
          <w:rStyle w:val="FootnoteReference"/>
        </w:rPr>
        <w:footnoteRef/>
      </w:r>
      <w:r>
        <w:t xml:space="preserve"> </w:t>
      </w:r>
      <w:r>
        <w:rPr>
          <w:lang w:val="en-US"/>
        </w:rPr>
        <w:t>[2012] SAFSHC 152 (16 August 2012)</w:t>
      </w:r>
    </w:p>
  </w:footnote>
  <w:footnote w:id="9">
    <w:p w14:paraId="79DF3940" w14:textId="70501E88" w:rsidR="00A256CE" w:rsidRPr="00A256CE" w:rsidRDefault="00A256CE">
      <w:pPr>
        <w:pStyle w:val="FootnoteText"/>
        <w:rPr>
          <w:lang w:val="en-US"/>
        </w:rPr>
      </w:pPr>
      <w:r>
        <w:rPr>
          <w:rStyle w:val="FootnoteReference"/>
        </w:rPr>
        <w:footnoteRef/>
      </w:r>
      <w:r>
        <w:t xml:space="preserve"> </w:t>
      </w:r>
      <w:r>
        <w:rPr>
          <w:lang w:val="en-US"/>
        </w:rPr>
        <w:t xml:space="preserve">At para 9. </w:t>
      </w:r>
    </w:p>
  </w:footnote>
  <w:footnote w:id="10">
    <w:p w14:paraId="6750F9E5" w14:textId="2C55EA26" w:rsidR="00980934" w:rsidRPr="00980934" w:rsidRDefault="00980934">
      <w:pPr>
        <w:pStyle w:val="FootnoteText"/>
        <w:rPr>
          <w:lang w:val="en-US"/>
        </w:rPr>
      </w:pPr>
      <w:r>
        <w:rPr>
          <w:rStyle w:val="FootnoteReference"/>
        </w:rPr>
        <w:footnoteRef/>
      </w:r>
      <w:r>
        <w:t xml:space="preserve"> </w:t>
      </w:r>
      <w:r>
        <w:rPr>
          <w:lang w:val="en-US"/>
        </w:rPr>
        <w:t>[2020] ZAWCHC 61 (3 July 2020)</w:t>
      </w:r>
    </w:p>
  </w:footnote>
  <w:footnote w:id="11">
    <w:p w14:paraId="07F32FBE" w14:textId="2F2FB2AE" w:rsidR="0025597B" w:rsidRPr="0025597B" w:rsidRDefault="0025597B">
      <w:pPr>
        <w:pStyle w:val="FootnoteText"/>
        <w:rPr>
          <w:lang w:val="en-US"/>
        </w:rPr>
      </w:pPr>
      <w:r>
        <w:rPr>
          <w:rStyle w:val="FootnoteReference"/>
        </w:rPr>
        <w:footnoteRef/>
      </w:r>
      <w:r>
        <w:t xml:space="preserve"> </w:t>
      </w:r>
      <w:r>
        <w:rPr>
          <w:lang w:val="en-US"/>
        </w:rPr>
        <w:t>A para 8.</w:t>
      </w:r>
    </w:p>
  </w:footnote>
  <w:footnote w:id="12">
    <w:p w14:paraId="3F7BACDC" w14:textId="27D7C939" w:rsidR="003E7DCD" w:rsidRPr="003E7DCD" w:rsidRDefault="003E7DCD">
      <w:pPr>
        <w:pStyle w:val="FootnoteText"/>
        <w:rPr>
          <w:lang w:val="en-US"/>
        </w:rPr>
      </w:pPr>
      <w:r>
        <w:rPr>
          <w:rStyle w:val="FootnoteReference"/>
        </w:rPr>
        <w:footnoteRef/>
      </w:r>
      <w:r>
        <w:t xml:space="preserve"> </w:t>
      </w:r>
      <w:r>
        <w:rPr>
          <w:lang w:val="en-US"/>
        </w:rPr>
        <w:t xml:space="preserve">[2017] SAGPPHC 286 </w:t>
      </w:r>
      <w:proofErr w:type="gramStart"/>
      <w:r>
        <w:rPr>
          <w:lang w:val="en-US"/>
        </w:rPr>
        <w:t>( 5</w:t>
      </w:r>
      <w:proofErr w:type="gramEnd"/>
      <w:r>
        <w:rPr>
          <w:lang w:val="en-US"/>
        </w:rPr>
        <w:t xml:space="preserve"> May 2017)</w:t>
      </w:r>
    </w:p>
  </w:footnote>
  <w:footnote w:id="13">
    <w:p w14:paraId="5ABBD043" w14:textId="0B1CD3CE" w:rsidR="00A13165" w:rsidRPr="00A13165" w:rsidRDefault="00A13165">
      <w:pPr>
        <w:pStyle w:val="FootnoteText"/>
        <w:rPr>
          <w:lang w:val="en-US"/>
        </w:rPr>
      </w:pPr>
      <w:r>
        <w:rPr>
          <w:rStyle w:val="FootnoteReference"/>
        </w:rPr>
        <w:footnoteRef/>
      </w:r>
      <w:r>
        <w:t xml:space="preserve"> </w:t>
      </w:r>
      <w:r>
        <w:rPr>
          <w:lang w:val="en-US"/>
        </w:rPr>
        <w:t xml:space="preserve">2014 (2) SA 119 (WCC). </w:t>
      </w:r>
    </w:p>
  </w:footnote>
  <w:footnote w:id="14">
    <w:p w14:paraId="615D5416" w14:textId="4D300CBC" w:rsidR="00A13165" w:rsidRPr="00A13165" w:rsidRDefault="00A13165">
      <w:pPr>
        <w:pStyle w:val="FootnoteText"/>
        <w:rPr>
          <w:lang w:val="en-US"/>
        </w:rPr>
      </w:pPr>
      <w:r>
        <w:rPr>
          <w:rStyle w:val="FootnoteReference"/>
        </w:rPr>
        <w:footnoteRef/>
      </w:r>
      <w:r>
        <w:t xml:space="preserve"> </w:t>
      </w:r>
      <w:r>
        <w:rPr>
          <w:lang w:val="en-US"/>
        </w:rPr>
        <w:t>At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2679"/>
      <w:docPartObj>
        <w:docPartGallery w:val="Page Numbers (Top of Page)"/>
        <w:docPartUnique/>
      </w:docPartObj>
    </w:sdtPr>
    <w:sdtEndPr>
      <w:rPr>
        <w:noProof/>
      </w:rPr>
    </w:sdtEndPr>
    <w:sdtContent>
      <w:p w14:paraId="0D82BEFD" w14:textId="77777777" w:rsidR="00290C52" w:rsidRDefault="0011246D">
        <w:pPr>
          <w:pStyle w:val="Header"/>
          <w:jc w:val="center"/>
        </w:pPr>
        <w:r>
          <w:fldChar w:fldCharType="begin"/>
        </w:r>
        <w:r>
          <w:instrText xml:space="preserve"> PAGE   \* MERGEFORMAT </w:instrText>
        </w:r>
        <w:r>
          <w:fldChar w:fldCharType="separate"/>
        </w:r>
        <w:r>
          <w:rPr>
            <w:noProof/>
          </w:rPr>
          <w:t>37</w:t>
        </w:r>
        <w:r>
          <w:rPr>
            <w:noProof/>
          </w:rPr>
          <w:fldChar w:fldCharType="end"/>
        </w:r>
      </w:p>
    </w:sdtContent>
  </w:sdt>
  <w:p w14:paraId="6BE5B391" w14:textId="77777777" w:rsidR="00290C5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C823222"/>
    <w:multiLevelType w:val="multilevel"/>
    <w:tmpl w:val="6812D14C"/>
    <w:lvl w:ilvl="0">
      <w:start w:val="1"/>
      <w:numFmt w:val="decimal"/>
      <w:pStyle w:val="HB1"/>
      <w:isLgl/>
      <w:lvlText w:val="%1."/>
      <w:lvlJc w:val="left"/>
      <w:pPr>
        <w:tabs>
          <w:tab w:val="num" w:pos="851"/>
        </w:tabs>
        <w:ind w:left="851" w:hanging="851"/>
      </w:pPr>
      <w:rPr>
        <w:rFonts w:ascii="Arial" w:hAnsi="Arial" w:cs="Arial" w:hint="default"/>
        <w:b w:val="0"/>
        <w:i w:val="0"/>
        <w:sz w:val="24"/>
        <w:szCs w:val="24"/>
      </w:rPr>
    </w:lvl>
    <w:lvl w:ilvl="1">
      <w:start w:val="1"/>
      <w:numFmt w:val="decimal"/>
      <w:pStyle w:val="HB2"/>
      <w:lvlText w:val="%1.%2"/>
      <w:lvlJc w:val="left"/>
      <w:pPr>
        <w:tabs>
          <w:tab w:val="num" w:pos="851"/>
        </w:tabs>
        <w:ind w:left="851" w:hanging="851"/>
      </w:pPr>
      <w:rPr>
        <w:rFonts w:ascii="Arial" w:hAnsi="Arial" w:cs="Arial" w:hint="default"/>
        <w:b w:val="0"/>
        <w:i w:val="0"/>
        <w:sz w:val="24"/>
        <w:szCs w:val="24"/>
        <w:lang w:val="en-GB"/>
      </w:rPr>
    </w:lvl>
    <w:lvl w:ilvl="2">
      <w:start w:val="1"/>
      <w:numFmt w:val="decimal"/>
      <w:pStyle w:val="HB3"/>
      <w:lvlText w:val="%1.%2.%3"/>
      <w:lvlJc w:val="left"/>
      <w:pPr>
        <w:tabs>
          <w:tab w:val="num" w:pos="1418"/>
        </w:tabs>
        <w:ind w:left="1418" w:hanging="1418"/>
      </w:pPr>
      <w:rPr>
        <w:rFonts w:ascii="Arial" w:hAnsi="Arial" w:cs="Arial" w:hint="default"/>
        <w:sz w:val="25"/>
        <w:szCs w:val="25"/>
        <w:lang w:val="en-ZA"/>
      </w:rPr>
    </w:lvl>
    <w:lvl w:ilvl="3">
      <w:start w:val="1"/>
      <w:numFmt w:val="decimal"/>
      <w:pStyle w:val="HB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2" w15:restartNumberingAfterBreak="0">
    <w:nsid w:val="2EC32EAB"/>
    <w:multiLevelType w:val="multilevel"/>
    <w:tmpl w:val="EA58EBD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i w: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57334426">
    <w:abstractNumId w:val="2"/>
  </w:num>
  <w:num w:numId="2" w16cid:durableId="1150370282">
    <w:abstractNumId w:val="2"/>
  </w:num>
  <w:num w:numId="3" w16cid:durableId="833254500">
    <w:abstractNumId w:val="2"/>
  </w:num>
  <w:num w:numId="4" w16cid:durableId="1464496485">
    <w:abstractNumId w:val="2"/>
  </w:num>
  <w:num w:numId="5" w16cid:durableId="1387946838">
    <w:abstractNumId w:val="2"/>
  </w:num>
  <w:num w:numId="6" w16cid:durableId="442723348">
    <w:abstractNumId w:val="1"/>
  </w:num>
  <w:num w:numId="7" w16cid:durableId="1993439650">
    <w:abstractNumId w:val="0"/>
  </w:num>
  <w:num w:numId="8" w16cid:durableId="22645395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37"/>
    <w:rsid w:val="00007C21"/>
    <w:rsid w:val="0002496F"/>
    <w:rsid w:val="000538F5"/>
    <w:rsid w:val="0007528E"/>
    <w:rsid w:val="000A490D"/>
    <w:rsid w:val="000D7B48"/>
    <w:rsid w:val="000F524D"/>
    <w:rsid w:val="0011246D"/>
    <w:rsid w:val="0012551A"/>
    <w:rsid w:val="00153B43"/>
    <w:rsid w:val="001711A6"/>
    <w:rsid w:val="00177017"/>
    <w:rsid w:val="00183A0C"/>
    <w:rsid w:val="001D30C9"/>
    <w:rsid w:val="001F0E58"/>
    <w:rsid w:val="0020399D"/>
    <w:rsid w:val="00205904"/>
    <w:rsid w:val="00207765"/>
    <w:rsid w:val="00207F16"/>
    <w:rsid w:val="00216885"/>
    <w:rsid w:val="00242FDE"/>
    <w:rsid w:val="0025597B"/>
    <w:rsid w:val="00263244"/>
    <w:rsid w:val="002A2C6B"/>
    <w:rsid w:val="002A68D0"/>
    <w:rsid w:val="002E5621"/>
    <w:rsid w:val="002F04F3"/>
    <w:rsid w:val="00313C5A"/>
    <w:rsid w:val="00370EBF"/>
    <w:rsid w:val="003D3619"/>
    <w:rsid w:val="003E099A"/>
    <w:rsid w:val="003E7DCD"/>
    <w:rsid w:val="00426D7B"/>
    <w:rsid w:val="00445034"/>
    <w:rsid w:val="004629E3"/>
    <w:rsid w:val="0047316E"/>
    <w:rsid w:val="00485106"/>
    <w:rsid w:val="004B4CCF"/>
    <w:rsid w:val="004D08BF"/>
    <w:rsid w:val="00586C78"/>
    <w:rsid w:val="005E1E3C"/>
    <w:rsid w:val="005F494B"/>
    <w:rsid w:val="00644F79"/>
    <w:rsid w:val="00653DFA"/>
    <w:rsid w:val="0069732C"/>
    <w:rsid w:val="006A1175"/>
    <w:rsid w:val="006B037E"/>
    <w:rsid w:val="006B49F8"/>
    <w:rsid w:val="006B6B25"/>
    <w:rsid w:val="006F23D6"/>
    <w:rsid w:val="00701D17"/>
    <w:rsid w:val="00703201"/>
    <w:rsid w:val="00711F30"/>
    <w:rsid w:val="00721A70"/>
    <w:rsid w:val="00725E9D"/>
    <w:rsid w:val="00730D88"/>
    <w:rsid w:val="007442A0"/>
    <w:rsid w:val="007540A6"/>
    <w:rsid w:val="00776DDD"/>
    <w:rsid w:val="00786A57"/>
    <w:rsid w:val="00791088"/>
    <w:rsid w:val="007C52C1"/>
    <w:rsid w:val="00802665"/>
    <w:rsid w:val="00845B47"/>
    <w:rsid w:val="00871266"/>
    <w:rsid w:val="008C2F08"/>
    <w:rsid w:val="008E2A16"/>
    <w:rsid w:val="00916519"/>
    <w:rsid w:val="00977FF7"/>
    <w:rsid w:val="00980934"/>
    <w:rsid w:val="00995AF4"/>
    <w:rsid w:val="009A489B"/>
    <w:rsid w:val="00A04AF6"/>
    <w:rsid w:val="00A13165"/>
    <w:rsid w:val="00A256CE"/>
    <w:rsid w:val="00A37591"/>
    <w:rsid w:val="00AA6546"/>
    <w:rsid w:val="00AD32B9"/>
    <w:rsid w:val="00B33451"/>
    <w:rsid w:val="00B432B4"/>
    <w:rsid w:val="00B54EFA"/>
    <w:rsid w:val="00C072DE"/>
    <w:rsid w:val="00C15C45"/>
    <w:rsid w:val="00C17DBD"/>
    <w:rsid w:val="00C776B9"/>
    <w:rsid w:val="00CA368B"/>
    <w:rsid w:val="00CA79AE"/>
    <w:rsid w:val="00CB484C"/>
    <w:rsid w:val="00CD14DD"/>
    <w:rsid w:val="00D15BE9"/>
    <w:rsid w:val="00D3230B"/>
    <w:rsid w:val="00D4133C"/>
    <w:rsid w:val="00D52201"/>
    <w:rsid w:val="00D637ED"/>
    <w:rsid w:val="00DA08EC"/>
    <w:rsid w:val="00DA44CE"/>
    <w:rsid w:val="00DD2866"/>
    <w:rsid w:val="00DE1B01"/>
    <w:rsid w:val="00E01E63"/>
    <w:rsid w:val="00E90002"/>
    <w:rsid w:val="00EA637D"/>
    <w:rsid w:val="00EE4669"/>
    <w:rsid w:val="00EF177A"/>
    <w:rsid w:val="00EF37D7"/>
    <w:rsid w:val="00F2737A"/>
    <w:rsid w:val="00F4164B"/>
    <w:rsid w:val="00F6434D"/>
    <w:rsid w:val="00F908DA"/>
    <w:rsid w:val="00F96FE9"/>
    <w:rsid w:val="00F97937"/>
    <w:rsid w:val="00FC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D600"/>
  <w15:chartTrackingRefBased/>
  <w15:docId w15:val="{E821D03F-245D-4AAD-8E20-571791DA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37"/>
    <w:pPr>
      <w:jc w:val="both"/>
    </w:pPr>
    <w:rPr>
      <w:rFonts w:eastAsia="Calibri" w:cs="Times New Roman"/>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1711A6"/>
    <w:pPr>
      <w:widowControl w:val="0"/>
      <w:numPr>
        <w:numId w:val="5"/>
      </w:numPr>
      <w:spacing w:before="480" w:after="0" w:line="480" w:lineRule="auto"/>
    </w:pPr>
    <w:rPr>
      <w:rFonts w:eastAsia="Times New Roman"/>
      <w:iCs/>
      <w:color w:val="000000"/>
    </w:rPr>
  </w:style>
  <w:style w:type="paragraph" w:customStyle="1" w:styleId="2">
    <w:name w:val="2"/>
    <w:basedOn w:val="1"/>
    <w:qFormat/>
    <w:rsid w:val="001711A6"/>
    <w:pPr>
      <w:numPr>
        <w:ilvl w:val="1"/>
      </w:numPr>
    </w:pPr>
  </w:style>
  <w:style w:type="paragraph" w:customStyle="1" w:styleId="3">
    <w:name w:val="3"/>
    <w:basedOn w:val="2"/>
    <w:qFormat/>
    <w:rsid w:val="001711A6"/>
    <w:pPr>
      <w:numPr>
        <w:ilvl w:val="2"/>
      </w:numPr>
    </w:pPr>
  </w:style>
  <w:style w:type="paragraph" w:customStyle="1" w:styleId="4">
    <w:name w:val="4"/>
    <w:basedOn w:val="Normal"/>
    <w:qFormat/>
    <w:rsid w:val="001711A6"/>
    <w:pPr>
      <w:numPr>
        <w:ilvl w:val="3"/>
        <w:numId w:val="5"/>
      </w:numPr>
      <w:spacing w:before="240" w:after="0" w:line="480" w:lineRule="auto"/>
    </w:pPr>
    <w:rPr>
      <w:rFonts w:eastAsia="Times New Roman"/>
      <w:iCs/>
      <w:color w:val="000000"/>
      <w:szCs w:val="16"/>
      <w:lang w:eastAsia="en-ZA"/>
    </w:rPr>
  </w:style>
  <w:style w:type="paragraph" w:customStyle="1" w:styleId="5">
    <w:name w:val="5"/>
    <w:basedOn w:val="4"/>
    <w:qFormat/>
    <w:rsid w:val="001711A6"/>
    <w:pPr>
      <w:numPr>
        <w:ilvl w:val="4"/>
      </w:numPr>
    </w:pPr>
  </w:style>
  <w:style w:type="paragraph" w:customStyle="1" w:styleId="HB1">
    <w:name w:val="HB1"/>
    <w:basedOn w:val="Normal"/>
    <w:qFormat/>
    <w:rsid w:val="00F97937"/>
    <w:pPr>
      <w:widowControl w:val="0"/>
      <w:numPr>
        <w:numId w:val="6"/>
      </w:numPr>
      <w:spacing w:after="600" w:line="480" w:lineRule="auto"/>
      <w:outlineLvl w:val="0"/>
    </w:pPr>
    <w:rPr>
      <w:rFonts w:eastAsia="Times New Roman"/>
      <w:szCs w:val="26"/>
    </w:rPr>
  </w:style>
  <w:style w:type="paragraph" w:customStyle="1" w:styleId="HB2">
    <w:name w:val="HB2"/>
    <w:basedOn w:val="Normal"/>
    <w:qFormat/>
    <w:rsid w:val="00F97937"/>
    <w:pPr>
      <w:widowControl w:val="0"/>
      <w:numPr>
        <w:ilvl w:val="1"/>
        <w:numId w:val="6"/>
      </w:numPr>
      <w:tabs>
        <w:tab w:val="clear" w:pos="851"/>
        <w:tab w:val="num" w:pos="1701"/>
      </w:tabs>
      <w:spacing w:after="600" w:line="480" w:lineRule="auto"/>
      <w:ind w:left="1701" w:hanging="1701"/>
      <w:outlineLvl w:val="1"/>
    </w:pPr>
    <w:rPr>
      <w:rFonts w:eastAsia="Times New Roman"/>
      <w:sz w:val="24"/>
      <w:szCs w:val="27"/>
    </w:rPr>
  </w:style>
  <w:style w:type="paragraph" w:customStyle="1" w:styleId="HB3">
    <w:name w:val="HB3"/>
    <w:basedOn w:val="HB2"/>
    <w:qFormat/>
    <w:rsid w:val="00F97937"/>
    <w:pPr>
      <w:numPr>
        <w:ilvl w:val="2"/>
      </w:numPr>
      <w:tabs>
        <w:tab w:val="clear" w:pos="1418"/>
        <w:tab w:val="num" w:pos="360"/>
        <w:tab w:val="num" w:pos="2155"/>
        <w:tab w:val="num" w:pos="2552"/>
      </w:tabs>
      <w:ind w:left="2552" w:hanging="2552"/>
      <w:outlineLvl w:val="2"/>
    </w:pPr>
    <w:rPr>
      <w:iCs/>
      <w:lang w:eastAsia="en-ZA"/>
    </w:rPr>
  </w:style>
  <w:style w:type="paragraph" w:customStyle="1" w:styleId="HB4">
    <w:name w:val="HB4"/>
    <w:basedOn w:val="HB3"/>
    <w:qFormat/>
    <w:rsid w:val="00F97937"/>
    <w:pPr>
      <w:numPr>
        <w:ilvl w:val="3"/>
      </w:numPr>
      <w:tabs>
        <w:tab w:val="clear" w:pos="1985"/>
        <w:tab w:val="num" w:pos="360"/>
        <w:tab w:val="left" w:pos="3119"/>
      </w:tabs>
      <w:ind w:left="3119" w:hanging="3119"/>
      <w:outlineLvl w:val="3"/>
    </w:pPr>
  </w:style>
  <w:style w:type="paragraph" w:customStyle="1" w:styleId="HBNoNumber">
    <w:name w:val="HBNoNumber"/>
    <w:basedOn w:val="HB2"/>
    <w:qFormat/>
    <w:rsid w:val="00F97937"/>
    <w:pPr>
      <w:numPr>
        <w:ilvl w:val="0"/>
        <w:numId w:val="0"/>
      </w:numPr>
      <w:ind w:left="851"/>
    </w:pPr>
    <w:rPr>
      <w:lang w:eastAsia="en-ZA"/>
    </w:rPr>
  </w:style>
  <w:style w:type="paragraph" w:styleId="Header">
    <w:name w:val="header"/>
    <w:basedOn w:val="Normal"/>
    <w:link w:val="HeaderChar"/>
    <w:uiPriority w:val="99"/>
    <w:unhideWhenUsed/>
    <w:rsid w:val="00F97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37"/>
    <w:rPr>
      <w:rFonts w:eastAsia="Calibri" w:cs="Times New Roman"/>
      <w:sz w:val="25"/>
      <w:szCs w:val="22"/>
    </w:rPr>
  </w:style>
  <w:style w:type="paragraph" w:styleId="FootnoteText">
    <w:name w:val="footnote text"/>
    <w:basedOn w:val="Normal"/>
    <w:link w:val="FootnoteTextChar"/>
    <w:uiPriority w:val="99"/>
    <w:semiHidden/>
    <w:unhideWhenUsed/>
    <w:rsid w:val="00DA4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4CE"/>
    <w:rPr>
      <w:rFonts w:eastAsia="Calibri" w:cs="Times New Roman"/>
      <w:sz w:val="20"/>
      <w:szCs w:val="20"/>
    </w:rPr>
  </w:style>
  <w:style w:type="character" w:styleId="FootnoteReference">
    <w:name w:val="footnote reference"/>
    <w:basedOn w:val="DefaultParagraphFont"/>
    <w:uiPriority w:val="99"/>
    <w:semiHidden/>
    <w:unhideWhenUsed/>
    <w:rsid w:val="00DA44CE"/>
    <w:rPr>
      <w:vertAlign w:val="superscript"/>
    </w:rPr>
  </w:style>
  <w:style w:type="paragraph" w:styleId="Revision">
    <w:name w:val="Revision"/>
    <w:hidden/>
    <w:uiPriority w:val="99"/>
    <w:semiHidden/>
    <w:rsid w:val="008E2A16"/>
    <w:pPr>
      <w:spacing w:after="0" w:line="240" w:lineRule="auto"/>
    </w:pPr>
    <w:rPr>
      <w:rFonts w:eastAsia="Calibri" w:cs="Times New Roman"/>
      <w:sz w:val="25"/>
      <w:szCs w:val="22"/>
    </w:rPr>
  </w:style>
  <w:style w:type="character" w:styleId="CommentReference">
    <w:name w:val="annotation reference"/>
    <w:basedOn w:val="DefaultParagraphFont"/>
    <w:uiPriority w:val="99"/>
    <w:semiHidden/>
    <w:unhideWhenUsed/>
    <w:rsid w:val="008E2A16"/>
    <w:rPr>
      <w:sz w:val="16"/>
      <w:szCs w:val="16"/>
    </w:rPr>
  </w:style>
  <w:style w:type="paragraph" w:styleId="CommentText">
    <w:name w:val="annotation text"/>
    <w:basedOn w:val="Normal"/>
    <w:link w:val="CommentTextChar"/>
    <w:uiPriority w:val="99"/>
    <w:unhideWhenUsed/>
    <w:rsid w:val="008E2A16"/>
    <w:pPr>
      <w:spacing w:line="240" w:lineRule="auto"/>
    </w:pPr>
    <w:rPr>
      <w:sz w:val="20"/>
      <w:szCs w:val="20"/>
    </w:rPr>
  </w:style>
  <w:style w:type="character" w:customStyle="1" w:styleId="CommentTextChar">
    <w:name w:val="Comment Text Char"/>
    <w:basedOn w:val="DefaultParagraphFont"/>
    <w:link w:val="CommentText"/>
    <w:uiPriority w:val="99"/>
    <w:rsid w:val="008E2A1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E2A16"/>
    <w:rPr>
      <w:b/>
      <w:bCs/>
    </w:rPr>
  </w:style>
  <w:style w:type="character" w:customStyle="1" w:styleId="CommentSubjectChar">
    <w:name w:val="Comment Subject Char"/>
    <w:basedOn w:val="CommentTextChar"/>
    <w:link w:val="CommentSubject"/>
    <w:uiPriority w:val="99"/>
    <w:semiHidden/>
    <w:rsid w:val="008E2A16"/>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9E28-0E2E-43B4-AAB5-99766D76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2028</Words>
  <Characters>11560</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    </vt:lpstr>
      <vt:lpstr>    BARNES AJ</vt:lpstr>
      <vt:lpstr>    Introduction</vt:lpstr>
      <vt:lpstr>This is an application launched by the first to fifth defendants  to have the pl</vt:lpstr>
      <vt:lpstr>For convenience, I shall refer to the parties as they are referred to in the mai</vt:lpstr>
      <vt:lpstr>The facts giving rise to this application are the following:</vt:lpstr>
      <vt:lpstr>    On 6 May 2019, the plaintiffs instituted the main action against the defendants.</vt:lpstr>
      <vt:lpstr>    On 20 May 2019, the first to fifth defendants (hereinafter “the defendants”) del</vt:lpstr>
      <vt:lpstr>    On 24 June 2019, the defendants delivered a notice of intention to except in ter</vt:lpstr>
      <vt:lpstr>    On 17 July 2019, the plaintiffs delivered a notice of intention to amend.</vt:lpstr>
      <vt:lpstr>    The plaintiffs failed to deliver their amended pages timeously. The defendants a</vt:lpstr>
      <vt:lpstr>    On 1 November 2019, the plaintiffs delivered their amended pages.</vt:lpstr>
      <vt:lpstr>    On 2 December 2019 the defendants delivered a further notice of intention to exc</vt:lpstr>
      <vt:lpstr>    On 14 February 2020 the plaintiffs delivered a notice of bar.</vt:lpstr>
      <vt:lpstr>    On 18 February 2020 the defendants “re-delivered” the December notice. I shall r</vt:lpstr>
      <vt:lpstr>    On 25 March 2020 the plaintiffs delivered an application for default judgment. </vt:lpstr>
      <vt:lpstr>    On 26 March 2020 the defendants delivered their exception.</vt:lpstr>
      <vt:lpstr>    The application for default judgment was enrolled for hearing on 17 June 2020. I</vt:lpstr>
      <vt:lpstr>The plaintiffs contend that the February notice delivered by the defendants on 1</vt:lpstr>
      <vt:lpstr>The plaintiffs contend that, faced with the notice of bar in the present case, t</vt:lpstr>
      <vt:lpstr>The defendants, for their part, contend that it was not open to them to deliver </vt:lpstr>
      <vt:lpstr>More fundamentally however, the defendants contend that the February notice, as </vt:lpstr>
      <vt:lpstr>The defendants contend, in the alternative, in the event that it is found that t</vt:lpstr>
      <vt:lpstr>The crisp question in the application before me is accordingly whether the Febru</vt:lpstr>
      <vt:lpstr>Was the February notice a valid response to the notice of bar?</vt:lpstr>
      <vt:lpstr>The weight of authority is to effect that a notice of intention to except, as co</vt:lpstr>
      <vt:lpstr>In Steve’s Wrought Iron Works and Others v Nelson Mandela Metro,   a judgment ha</vt:lpstr>
      <vt:lpstr>“Rule 23(1) provides that an exception may be filed ‘within the time period allo</vt:lpstr>
      <vt:lpstr>…</vt:lpstr>
      <vt:lpstr>In this instance the notice of exception was delivered within the five day perio</vt:lpstr>
      <vt:lpstr>Plaintiff’s counsel relied upon the judgment in McNally NO and Others v Codron a</vt:lpstr>
      <vt:lpstr>The finding of Yekiso J runs counter to the authority of this division. It bears</vt:lpstr>
      <vt:lpstr>I am bound by the decisions of this division unless I am persuaded that they are</vt:lpstr>
      <vt:lpstr/>
      <vt:lpstr>This division has followed the same approach as that followed by Goosen J and ha</vt:lpstr>
      <vt:lpstr>“I am in respectful agreement with the findings in this regard of Felix supra an</vt:lpstr>
      <vt:lpstr>It follows that the defendants were entitled to serve the notice in terms of rul</vt:lpstr>
      <vt:lpstr>The judgment of Kramer Weihmann and Joubert Inc v South African Commercial Cater</vt:lpstr>
      <vt:lpstr>As Adv McKenzie, counsel for the defendants, correctly pointed out in argument b</vt:lpstr>
      <vt:lpstr>This was until Tracey Hill N. O. and another v Mark Brown,  a judgment handed do</vt:lpstr>
      <vt:lpstr>Curiously, the Court in Tracey Hill made no reference to the judgments in Landma</vt:lpstr>
      <vt:lpstr>In addition to McNally and Tracey Hill, the plaintiffs sought to rely on the jud</vt:lpstr>
      <vt:lpstr>Ultimately, I am bound by the judgment in Tuffsan Investments which is a judgmen</vt:lpstr>
      <vt:lpstr>“The rules of court exist to facilitate the ventilation of disputes arising from</vt:lpstr>
      <vt:lpstr/>
      <vt:lpstr>For all of the above reasons, I find that the February notice delivered by the d</vt:lpstr>
      <vt:lpstr>It follows that the plaintiffs were not entitled to apply for default judgment i</vt:lpstr>
      <vt:lpstr>In the circumstances I make the following order:</vt:lpstr>
      <vt:lpstr>Order</vt:lpstr>
      <vt:lpstr>The application succeeds with costs.</vt:lpstr>
      <vt:lpstr>The plaintiffs’ application for default judgment delivered on 25 March 2020 is d</vt:lpstr>
      <vt:lpstr>The plaintiffs shall pay the costs of the application.</vt:lpstr>
      <vt:lpstr>__________________________</vt:lpstr>
      <vt:lpstr>BARNES AJ</vt:lpstr>
      <vt:lpstr>Appearances:</vt:lpstr>
      <vt:lpstr>For the Defendants: Adv A C McKenzie instructed by Webber Wentzel </vt:lpstr>
      <vt:lpstr>For the Plaintiffs: Attorney J Dorning of Millers Attorneys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Barnes SC</dc:creator>
  <cp:keywords/>
  <dc:description/>
  <cp:lastModifiedBy>Heidi Barnes SC</cp:lastModifiedBy>
  <cp:revision>3</cp:revision>
  <cp:lastPrinted>2022-07-12T10:14:00Z</cp:lastPrinted>
  <dcterms:created xsi:type="dcterms:W3CDTF">2022-07-12T10:14:00Z</dcterms:created>
  <dcterms:modified xsi:type="dcterms:W3CDTF">2022-07-12T10:25:00Z</dcterms:modified>
</cp:coreProperties>
</file>