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C7" w:rsidRDefault="00A60BC7" w:rsidP="00A60BC7">
      <w:pPr>
        <w:pStyle w:val="Title"/>
        <w:spacing w:after="120" w:line="360" w:lineRule="auto"/>
      </w:pPr>
      <w:r>
        <w:rPr>
          <w:noProof/>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E519F2" w:rsidRPr="00315D55" w:rsidRDefault="00E519F2" w:rsidP="00E519F2">
      <w:pPr>
        <w:spacing w:line="240" w:lineRule="auto"/>
        <w:jc w:val="center"/>
        <w:rPr>
          <w:b/>
          <w:sz w:val="24"/>
        </w:rPr>
      </w:pPr>
      <w:r w:rsidRPr="00315D55">
        <w:rPr>
          <w:b/>
          <w:sz w:val="24"/>
        </w:rPr>
        <w:t xml:space="preserve">IN THE HIGH COURT OF SOUTH AFRICA, </w:t>
      </w:r>
    </w:p>
    <w:p w:rsidR="00E519F2" w:rsidRPr="00315D55" w:rsidRDefault="00E519F2" w:rsidP="00E519F2">
      <w:pPr>
        <w:spacing w:line="240" w:lineRule="auto"/>
        <w:jc w:val="center"/>
        <w:rPr>
          <w:b/>
          <w:sz w:val="24"/>
        </w:rPr>
      </w:pPr>
      <w:r w:rsidRPr="00315D55">
        <w:rPr>
          <w:b/>
          <w:sz w:val="24"/>
        </w:rPr>
        <w:t xml:space="preserve">GAUTENG DIVISION, </w:t>
      </w:r>
      <w:r w:rsidR="002965E0" w:rsidRPr="00315D55">
        <w:rPr>
          <w:b/>
          <w:sz w:val="24"/>
        </w:rPr>
        <w:t>PRETORIA</w:t>
      </w:r>
    </w:p>
    <w:p w:rsidR="00E519F2" w:rsidRPr="00315D55" w:rsidRDefault="00E519F2" w:rsidP="00E519F2">
      <w:pPr>
        <w:spacing w:line="240" w:lineRule="auto"/>
        <w:rPr>
          <w:b/>
          <w:sz w:val="24"/>
        </w:rPr>
      </w:pPr>
    </w:p>
    <w:p w:rsidR="002B1C11" w:rsidRPr="00315D55" w:rsidRDefault="002B1C11" w:rsidP="00E519F2">
      <w:pPr>
        <w:jc w:val="right"/>
        <w:rPr>
          <w:b/>
          <w:sz w:val="24"/>
        </w:rPr>
      </w:pPr>
      <w:r w:rsidRPr="00315D55">
        <w:rPr>
          <w:b/>
          <w:sz w:val="24"/>
        </w:rPr>
        <w:t xml:space="preserve">CASE NO:  </w:t>
      </w:r>
      <w:r w:rsidR="002965E0" w:rsidRPr="00315D55">
        <w:rPr>
          <w:b/>
          <w:sz w:val="24"/>
        </w:rPr>
        <w:t>48046/20</w:t>
      </w:r>
    </w:p>
    <w:p w:rsidR="00E519F2" w:rsidRDefault="00792993" w:rsidP="00647012">
      <w:pPr>
        <w:jc w:val="right"/>
      </w:pPr>
      <w:r>
        <w:rPr>
          <w:noProof/>
          <w:lang w:eastAsia="en-ZA"/>
        </w:rPr>
        <mc:AlternateContent>
          <mc:Choice Requires="wps">
            <w:drawing>
              <wp:anchor distT="0" distB="0" distL="114300" distR="114300" simplePos="0" relativeHeight="251659264"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A87D5A" w:rsidRPr="00913F95" w:rsidRDefault="00A87D5A" w:rsidP="00E519F2">
                            <w:pPr>
                              <w:jc w:val="center"/>
                              <w:rPr>
                                <w:rFonts w:ascii="Century Gothic" w:hAnsi="Century Gothic"/>
                                <w:b/>
                                <w:sz w:val="20"/>
                                <w:szCs w:val="20"/>
                              </w:rPr>
                            </w:pPr>
                          </w:p>
                          <w:p w:rsidR="00A87D5A" w:rsidRDefault="00A87D5A"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rsidR="00A87D5A" w:rsidRPr="00913F95" w:rsidRDefault="00A87D5A"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rsidR="00A87D5A" w:rsidRPr="00913F95" w:rsidRDefault="00A87D5A"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A87D5A" w:rsidRDefault="00A87D5A" w:rsidP="00E519F2">
                            <w:pPr>
                              <w:rPr>
                                <w:rFonts w:ascii="Century Gothic" w:hAnsi="Century Gothic"/>
                                <w:b/>
                                <w:sz w:val="18"/>
                                <w:szCs w:val="18"/>
                              </w:rPr>
                            </w:pPr>
                          </w:p>
                          <w:p w:rsidR="00A87D5A" w:rsidRPr="00084341" w:rsidRDefault="00A87D5A"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A87D5A" w:rsidRPr="00084341" w:rsidRDefault="00A87D5A"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rsidR="00A87D5A" w:rsidRPr="00913F95" w:rsidRDefault="00A87D5A" w:rsidP="00E519F2">
                      <w:pPr>
                        <w:jc w:val="center"/>
                        <w:rPr>
                          <w:rFonts w:ascii="Century Gothic" w:hAnsi="Century Gothic"/>
                          <w:b/>
                          <w:sz w:val="20"/>
                          <w:szCs w:val="20"/>
                        </w:rPr>
                      </w:pPr>
                    </w:p>
                    <w:p w:rsidR="00A87D5A" w:rsidRDefault="00A87D5A"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rsidR="00A87D5A" w:rsidRPr="00913F95" w:rsidRDefault="00A87D5A"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rsidR="00A87D5A" w:rsidRPr="00913F95" w:rsidRDefault="00A87D5A"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A87D5A" w:rsidRDefault="00A87D5A" w:rsidP="00E519F2">
                      <w:pPr>
                        <w:rPr>
                          <w:rFonts w:ascii="Century Gothic" w:hAnsi="Century Gothic"/>
                          <w:b/>
                          <w:sz w:val="18"/>
                          <w:szCs w:val="18"/>
                        </w:rPr>
                      </w:pPr>
                    </w:p>
                    <w:p w:rsidR="00A87D5A" w:rsidRPr="00084341" w:rsidRDefault="00A87D5A"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A87D5A" w:rsidRPr="00084341" w:rsidRDefault="00A87D5A"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F9123D" w:rsidRPr="006E2081" w:rsidRDefault="00F9123D" w:rsidP="00E519F2"/>
    <w:p w:rsidR="00E519F2" w:rsidRPr="006E2081" w:rsidRDefault="00E519F2" w:rsidP="00E519F2"/>
    <w:p w:rsidR="00E519F2" w:rsidRPr="006E2081" w:rsidRDefault="00E519F2" w:rsidP="00E519F2"/>
    <w:p w:rsidR="00E519F2" w:rsidRDefault="00E519F2" w:rsidP="00E519F2">
      <w:pPr>
        <w:spacing w:line="480" w:lineRule="auto"/>
      </w:pPr>
    </w:p>
    <w:p w:rsidR="00E519F2" w:rsidRDefault="00E519F2" w:rsidP="00E519F2">
      <w:pPr>
        <w:spacing w:line="480" w:lineRule="auto"/>
      </w:pPr>
    </w:p>
    <w:p w:rsidR="00E519F2" w:rsidRPr="00315D55" w:rsidRDefault="00E519F2" w:rsidP="00E519F2">
      <w:pPr>
        <w:spacing w:line="480" w:lineRule="auto"/>
        <w:rPr>
          <w:rFonts w:cs="Arial"/>
          <w:sz w:val="24"/>
        </w:rPr>
      </w:pPr>
      <w:r w:rsidRPr="00315D55">
        <w:rPr>
          <w:rFonts w:cs="Arial"/>
          <w:sz w:val="24"/>
        </w:rPr>
        <w:t>In the</w:t>
      </w:r>
      <w:r w:rsidR="005103BA" w:rsidRPr="00315D55">
        <w:rPr>
          <w:rFonts w:cs="Arial"/>
          <w:sz w:val="24"/>
        </w:rPr>
        <w:t xml:space="preserve"> </w:t>
      </w:r>
      <w:r w:rsidR="002B1C11" w:rsidRPr="00315D55">
        <w:rPr>
          <w:rFonts w:cs="Arial"/>
          <w:sz w:val="24"/>
        </w:rPr>
        <w:t>matter</w:t>
      </w:r>
      <w:r w:rsidRPr="00315D55">
        <w:rPr>
          <w:rFonts w:cs="Arial"/>
          <w:sz w:val="24"/>
        </w:rPr>
        <w:t xml:space="preserve"> between:</w:t>
      </w:r>
    </w:p>
    <w:p w:rsidR="00E519F2" w:rsidRPr="00315D55" w:rsidRDefault="00E519F2" w:rsidP="00E519F2">
      <w:pPr>
        <w:spacing w:line="480" w:lineRule="auto"/>
        <w:rPr>
          <w:rFonts w:cs="Arial"/>
          <w:sz w:val="24"/>
        </w:rPr>
      </w:pPr>
    </w:p>
    <w:tbl>
      <w:tblPr>
        <w:tblW w:w="0" w:type="auto"/>
        <w:tblLook w:val="0000" w:firstRow="0" w:lastRow="0" w:firstColumn="0" w:lastColumn="0" w:noHBand="0" w:noVBand="0"/>
      </w:tblPr>
      <w:tblGrid>
        <w:gridCol w:w="5034"/>
        <w:gridCol w:w="3659"/>
      </w:tblGrid>
      <w:tr w:rsidR="00647012" w:rsidRPr="00315D55" w:rsidTr="00363B2F">
        <w:tc>
          <w:tcPr>
            <w:tcW w:w="5070" w:type="dxa"/>
          </w:tcPr>
          <w:p w:rsidR="0009063C" w:rsidRPr="00315D55" w:rsidRDefault="002965E0" w:rsidP="009B39DE">
            <w:pPr>
              <w:spacing w:line="240" w:lineRule="auto"/>
              <w:jc w:val="left"/>
              <w:rPr>
                <w:rFonts w:cs="Arial"/>
                <w:bCs/>
                <w:sz w:val="24"/>
              </w:rPr>
            </w:pPr>
            <w:r w:rsidRPr="00315D55">
              <w:rPr>
                <w:rFonts w:cs="Arial"/>
                <w:b/>
                <w:bCs/>
                <w:sz w:val="24"/>
              </w:rPr>
              <w:t>WYNO CONSTRUCTION AND PROJECTS (PROPRIETARY LIMITED</w:t>
            </w:r>
          </w:p>
        </w:tc>
        <w:tc>
          <w:tcPr>
            <w:tcW w:w="3685" w:type="dxa"/>
          </w:tcPr>
          <w:p w:rsidR="002965E0" w:rsidRPr="00315D55" w:rsidRDefault="002965E0" w:rsidP="001D105C">
            <w:pPr>
              <w:spacing w:line="240" w:lineRule="auto"/>
              <w:jc w:val="right"/>
              <w:rPr>
                <w:rFonts w:cs="Arial"/>
                <w:sz w:val="24"/>
              </w:rPr>
            </w:pPr>
          </w:p>
          <w:p w:rsidR="00647012" w:rsidRPr="00315D55" w:rsidRDefault="00B80F80" w:rsidP="001D105C">
            <w:pPr>
              <w:spacing w:line="240" w:lineRule="auto"/>
              <w:jc w:val="right"/>
              <w:rPr>
                <w:rFonts w:cs="Arial"/>
                <w:sz w:val="24"/>
              </w:rPr>
            </w:pPr>
            <w:r w:rsidRPr="00315D55">
              <w:rPr>
                <w:rFonts w:cs="Arial"/>
                <w:sz w:val="24"/>
              </w:rPr>
              <w:t>Applicant</w:t>
            </w:r>
          </w:p>
        </w:tc>
      </w:tr>
      <w:tr w:rsidR="00647012" w:rsidRPr="00315D55" w:rsidTr="00363B2F">
        <w:tc>
          <w:tcPr>
            <w:tcW w:w="5070" w:type="dxa"/>
          </w:tcPr>
          <w:p w:rsidR="00647012" w:rsidRPr="00315D55" w:rsidRDefault="00647012" w:rsidP="000F05C4">
            <w:pPr>
              <w:spacing w:line="240" w:lineRule="auto"/>
              <w:jc w:val="left"/>
              <w:rPr>
                <w:sz w:val="24"/>
              </w:rPr>
            </w:pPr>
          </w:p>
          <w:p w:rsidR="00647012" w:rsidRPr="00315D55" w:rsidRDefault="00647012" w:rsidP="00F9123D">
            <w:pPr>
              <w:spacing w:line="240" w:lineRule="auto"/>
              <w:jc w:val="left"/>
              <w:rPr>
                <w:sz w:val="24"/>
              </w:rPr>
            </w:pPr>
          </w:p>
        </w:tc>
        <w:tc>
          <w:tcPr>
            <w:tcW w:w="3685" w:type="dxa"/>
          </w:tcPr>
          <w:p w:rsidR="00647012" w:rsidRPr="00315D55" w:rsidRDefault="00647012" w:rsidP="00F9123D">
            <w:pPr>
              <w:spacing w:line="240" w:lineRule="auto"/>
              <w:jc w:val="right"/>
              <w:rPr>
                <w:rFonts w:cs="Arial"/>
                <w:sz w:val="24"/>
              </w:rPr>
            </w:pPr>
          </w:p>
        </w:tc>
      </w:tr>
      <w:tr w:rsidR="00647012" w:rsidRPr="00315D55" w:rsidTr="00363B2F">
        <w:tc>
          <w:tcPr>
            <w:tcW w:w="5070" w:type="dxa"/>
          </w:tcPr>
          <w:p w:rsidR="00647012" w:rsidRPr="00315D55" w:rsidRDefault="00647012" w:rsidP="00F9123D">
            <w:pPr>
              <w:spacing w:line="240" w:lineRule="auto"/>
              <w:jc w:val="left"/>
              <w:rPr>
                <w:sz w:val="24"/>
              </w:rPr>
            </w:pPr>
            <w:r w:rsidRPr="00315D55">
              <w:rPr>
                <w:sz w:val="24"/>
              </w:rPr>
              <w:t xml:space="preserve">and  </w:t>
            </w:r>
          </w:p>
        </w:tc>
        <w:tc>
          <w:tcPr>
            <w:tcW w:w="3685" w:type="dxa"/>
          </w:tcPr>
          <w:p w:rsidR="00647012" w:rsidRPr="00315D55" w:rsidRDefault="00647012" w:rsidP="00F9123D">
            <w:pPr>
              <w:spacing w:line="240" w:lineRule="auto"/>
              <w:jc w:val="right"/>
              <w:rPr>
                <w:rFonts w:cs="Arial"/>
                <w:sz w:val="24"/>
              </w:rPr>
            </w:pPr>
          </w:p>
        </w:tc>
      </w:tr>
      <w:tr w:rsidR="00647012" w:rsidRPr="00315D55" w:rsidTr="00363B2F">
        <w:tc>
          <w:tcPr>
            <w:tcW w:w="5070" w:type="dxa"/>
          </w:tcPr>
          <w:p w:rsidR="00647012" w:rsidRPr="00315D55" w:rsidRDefault="00647012" w:rsidP="000F05C4">
            <w:pPr>
              <w:spacing w:line="240" w:lineRule="auto"/>
              <w:jc w:val="left"/>
              <w:rPr>
                <w:sz w:val="24"/>
              </w:rPr>
            </w:pPr>
          </w:p>
          <w:p w:rsidR="00647012" w:rsidRPr="00315D55" w:rsidRDefault="00647012" w:rsidP="00F9123D">
            <w:pPr>
              <w:spacing w:line="240" w:lineRule="auto"/>
              <w:jc w:val="left"/>
              <w:rPr>
                <w:sz w:val="24"/>
              </w:rPr>
            </w:pPr>
          </w:p>
        </w:tc>
        <w:tc>
          <w:tcPr>
            <w:tcW w:w="3685" w:type="dxa"/>
          </w:tcPr>
          <w:p w:rsidR="00647012" w:rsidRPr="00315D55" w:rsidRDefault="00647012" w:rsidP="00F9123D">
            <w:pPr>
              <w:spacing w:line="240" w:lineRule="auto"/>
              <w:jc w:val="right"/>
              <w:rPr>
                <w:rFonts w:cs="Arial"/>
                <w:sz w:val="24"/>
              </w:rPr>
            </w:pPr>
          </w:p>
        </w:tc>
      </w:tr>
      <w:tr w:rsidR="0009063C" w:rsidRPr="00315D55" w:rsidTr="00363B2F">
        <w:tc>
          <w:tcPr>
            <w:tcW w:w="5070" w:type="dxa"/>
          </w:tcPr>
          <w:p w:rsidR="0009063C" w:rsidRPr="00315D55" w:rsidRDefault="00FB18A1" w:rsidP="009B39DE">
            <w:pPr>
              <w:spacing w:line="240" w:lineRule="auto"/>
              <w:jc w:val="left"/>
              <w:rPr>
                <w:rFonts w:cs="Arial"/>
                <w:b/>
                <w:bCs/>
                <w:sz w:val="24"/>
              </w:rPr>
            </w:pPr>
            <w:r w:rsidRPr="00315D55">
              <w:rPr>
                <w:rFonts w:cs="Arial"/>
                <w:b/>
                <w:bCs/>
                <w:sz w:val="24"/>
              </w:rPr>
              <w:t>MI</w:t>
            </w:r>
            <w:r w:rsidR="002965E0" w:rsidRPr="00315D55">
              <w:rPr>
                <w:rFonts w:cs="Arial"/>
                <w:b/>
                <w:bCs/>
                <w:sz w:val="24"/>
              </w:rPr>
              <w:t>WAY INSURANCE LIMITED</w:t>
            </w:r>
          </w:p>
          <w:p w:rsidR="002965E0" w:rsidRPr="00315D55" w:rsidRDefault="002965E0" w:rsidP="009B39DE">
            <w:pPr>
              <w:spacing w:line="240" w:lineRule="auto"/>
              <w:jc w:val="left"/>
              <w:rPr>
                <w:rFonts w:cs="Arial"/>
                <w:b/>
                <w:bCs/>
                <w:sz w:val="24"/>
              </w:rPr>
            </w:pPr>
            <w:r w:rsidRPr="00315D55">
              <w:rPr>
                <w:rFonts w:cs="Arial"/>
                <w:b/>
                <w:bCs/>
                <w:sz w:val="24"/>
              </w:rPr>
              <w:t>(Licence No: 33970)</w:t>
            </w:r>
          </w:p>
        </w:tc>
        <w:tc>
          <w:tcPr>
            <w:tcW w:w="3685" w:type="dxa"/>
          </w:tcPr>
          <w:p w:rsidR="0009063C" w:rsidRPr="00315D55" w:rsidRDefault="00B80F80" w:rsidP="00E94714">
            <w:pPr>
              <w:spacing w:line="240" w:lineRule="auto"/>
              <w:jc w:val="right"/>
              <w:rPr>
                <w:rFonts w:cs="Arial"/>
                <w:sz w:val="24"/>
              </w:rPr>
            </w:pPr>
            <w:r w:rsidRPr="00315D55">
              <w:rPr>
                <w:rFonts w:cs="Arial"/>
                <w:sz w:val="24"/>
              </w:rPr>
              <w:t>Respondent</w:t>
            </w:r>
          </w:p>
        </w:tc>
      </w:tr>
    </w:tbl>
    <w:p w:rsidR="00E94714" w:rsidRPr="00315D55" w:rsidRDefault="00E94714" w:rsidP="008C3CE8">
      <w:pPr>
        <w:pStyle w:val="ListParagraph"/>
        <w:spacing w:after="200"/>
        <w:ind w:left="0"/>
        <w:rPr>
          <w:rFonts w:eastAsia="Arial Unicode MS" w:cs="Arial"/>
          <w:bCs/>
          <w:sz w:val="24"/>
        </w:rPr>
      </w:pPr>
    </w:p>
    <w:p w:rsidR="008C3CE8" w:rsidRPr="00315D55" w:rsidRDefault="008C3CE8" w:rsidP="008C3CE8">
      <w:pPr>
        <w:pStyle w:val="ListParagraph"/>
        <w:spacing w:after="200"/>
        <w:ind w:left="0"/>
        <w:rPr>
          <w:rFonts w:eastAsia="Arial Unicode MS" w:cs="Arial"/>
          <w:bCs/>
          <w:sz w:val="24"/>
        </w:rPr>
      </w:pPr>
      <w:r w:rsidRPr="00315D55">
        <w:rPr>
          <w:rFonts w:eastAsia="Arial Unicode MS" w:cs="Arial"/>
          <w:bCs/>
          <w:sz w:val="24"/>
        </w:rPr>
        <w:t xml:space="preserve">Delivered: This judgment was prepared and authored by the Judge whose name is reflected and is handed down electronically by circulation to the Parties / their legal representatives by email and by uploading it to the electronic file of this matter on </w:t>
      </w:r>
      <w:proofErr w:type="spellStart"/>
      <w:r w:rsidRPr="00315D55">
        <w:rPr>
          <w:rFonts w:eastAsia="Arial Unicode MS" w:cs="Arial"/>
          <w:bCs/>
          <w:sz w:val="24"/>
        </w:rPr>
        <w:t>CaseLines</w:t>
      </w:r>
      <w:proofErr w:type="spellEnd"/>
      <w:r w:rsidRPr="00315D55">
        <w:rPr>
          <w:rFonts w:eastAsia="Arial Unicode MS" w:cs="Arial"/>
          <w:bCs/>
          <w:sz w:val="24"/>
        </w:rPr>
        <w:t xml:space="preserve">. The date of the judgment is deemed to be </w:t>
      </w:r>
      <w:r w:rsidR="003B65BD" w:rsidRPr="00315D55">
        <w:rPr>
          <w:rFonts w:eastAsia="Arial Unicode MS" w:cs="Arial"/>
          <w:bCs/>
          <w:sz w:val="24"/>
        </w:rPr>
        <w:t>10 June</w:t>
      </w:r>
      <w:r w:rsidRPr="00315D55">
        <w:rPr>
          <w:rFonts w:eastAsia="Arial Unicode MS" w:cs="Arial"/>
          <w:bCs/>
          <w:sz w:val="24"/>
        </w:rPr>
        <w:t xml:space="preserve"> 202</w:t>
      </w:r>
      <w:r w:rsidR="00363B2F" w:rsidRPr="00315D55">
        <w:rPr>
          <w:rFonts w:eastAsia="Arial Unicode MS" w:cs="Arial"/>
          <w:bCs/>
          <w:sz w:val="24"/>
        </w:rPr>
        <w:t>2</w:t>
      </w:r>
      <w:r w:rsidRPr="00315D55">
        <w:rPr>
          <w:rFonts w:eastAsia="Arial Unicode MS" w:cs="Arial"/>
          <w:bCs/>
          <w:sz w:val="24"/>
        </w:rPr>
        <w:t>.</w:t>
      </w:r>
    </w:p>
    <w:p w:rsidR="00B605FC" w:rsidRPr="000E462D" w:rsidRDefault="00B605FC" w:rsidP="00B605FC">
      <w:pPr>
        <w:keepNext/>
        <w:pBdr>
          <w:bottom w:val="single" w:sz="4" w:space="1" w:color="auto"/>
        </w:pBdr>
        <w:rPr>
          <w:rFonts w:cs="Arial"/>
          <w:szCs w:val="22"/>
        </w:rPr>
      </w:pPr>
    </w:p>
    <w:p w:rsidR="00E519F2" w:rsidRPr="000E462D" w:rsidRDefault="00E519F2" w:rsidP="00E519F2">
      <w:pPr>
        <w:spacing w:line="276" w:lineRule="auto"/>
        <w:rPr>
          <w:rFonts w:cs="Arial"/>
          <w:szCs w:val="22"/>
        </w:rPr>
      </w:pPr>
    </w:p>
    <w:p w:rsidR="00E519F2" w:rsidRPr="00315D55" w:rsidRDefault="00E519F2" w:rsidP="00E519F2">
      <w:pPr>
        <w:pStyle w:val="Heading2"/>
        <w:spacing w:line="276" w:lineRule="auto"/>
        <w:rPr>
          <w:sz w:val="24"/>
        </w:rPr>
      </w:pPr>
      <w:r w:rsidRPr="00315D55">
        <w:rPr>
          <w:sz w:val="24"/>
        </w:rPr>
        <w:t>JUDGMENT</w:t>
      </w:r>
    </w:p>
    <w:p w:rsidR="00E519F2" w:rsidRPr="000E462D" w:rsidRDefault="00E519F2" w:rsidP="00E519F2">
      <w:pPr>
        <w:pBdr>
          <w:bottom w:val="single" w:sz="4" w:space="1" w:color="auto"/>
        </w:pBdr>
        <w:spacing w:line="240" w:lineRule="auto"/>
        <w:rPr>
          <w:rFonts w:cs="Arial"/>
          <w:szCs w:val="22"/>
        </w:rPr>
      </w:pPr>
    </w:p>
    <w:p w:rsidR="00E519F2" w:rsidRDefault="00E519F2" w:rsidP="00E519F2">
      <w:pPr>
        <w:spacing w:after="480" w:line="480" w:lineRule="auto"/>
        <w:rPr>
          <w:rFonts w:cs="Arial"/>
          <w:szCs w:val="22"/>
        </w:rPr>
      </w:pPr>
    </w:p>
    <w:p w:rsidR="00E70877" w:rsidRPr="00315D55" w:rsidRDefault="001326B0" w:rsidP="00315D55">
      <w:pPr>
        <w:spacing w:after="240" w:line="480" w:lineRule="auto"/>
        <w:rPr>
          <w:rFonts w:cs="Arial"/>
          <w:b/>
          <w:sz w:val="24"/>
        </w:rPr>
      </w:pPr>
      <w:r w:rsidRPr="00315D55">
        <w:rPr>
          <w:rFonts w:cs="Arial"/>
          <w:b/>
          <w:sz w:val="24"/>
        </w:rPr>
        <w:lastRenderedPageBreak/>
        <w:t>MALINDI</w:t>
      </w:r>
      <w:r w:rsidR="008A0E64" w:rsidRPr="00315D55">
        <w:rPr>
          <w:rFonts w:cs="Arial"/>
          <w:b/>
          <w:sz w:val="24"/>
        </w:rPr>
        <w:t xml:space="preserve"> </w:t>
      </w:r>
      <w:r w:rsidR="00E519F2" w:rsidRPr="00315D55">
        <w:rPr>
          <w:rFonts w:cs="Arial"/>
          <w:b/>
          <w:sz w:val="24"/>
        </w:rPr>
        <w:t>J:</w:t>
      </w:r>
    </w:p>
    <w:p w:rsidR="0037104D" w:rsidRPr="007B0F5A" w:rsidRDefault="00E94714" w:rsidP="00315D55">
      <w:pPr>
        <w:pStyle w:val="ListParagraph"/>
        <w:spacing w:after="240" w:line="480" w:lineRule="auto"/>
        <w:ind w:left="0"/>
        <w:contextualSpacing w:val="0"/>
        <w:rPr>
          <w:rFonts w:cs="Arial"/>
          <w:bCs/>
          <w:sz w:val="24"/>
          <w:u w:val="single"/>
        </w:rPr>
      </w:pPr>
      <w:r w:rsidRPr="007B0F5A">
        <w:rPr>
          <w:rFonts w:cs="Arial"/>
          <w:bCs/>
          <w:sz w:val="24"/>
          <w:u w:val="single"/>
        </w:rPr>
        <w:t>Introduction</w:t>
      </w:r>
    </w:p>
    <w:p w:rsidR="00ED105E" w:rsidRPr="007B0F5A" w:rsidRDefault="00B80F80" w:rsidP="00315D55">
      <w:pPr>
        <w:pStyle w:val="ListParagraph"/>
        <w:numPr>
          <w:ilvl w:val="0"/>
          <w:numId w:val="1"/>
        </w:numPr>
        <w:spacing w:after="240" w:line="480" w:lineRule="auto"/>
        <w:contextualSpacing w:val="0"/>
        <w:rPr>
          <w:rFonts w:cs="Arial"/>
          <w:bCs/>
          <w:sz w:val="24"/>
        </w:rPr>
      </w:pPr>
      <w:r w:rsidRPr="007B0F5A">
        <w:rPr>
          <w:rFonts w:cs="Arial"/>
          <w:bCs/>
          <w:sz w:val="24"/>
        </w:rPr>
        <w:t>The applicant</w:t>
      </w:r>
      <w:r w:rsidR="004E01BA" w:rsidRPr="007B0F5A">
        <w:rPr>
          <w:rFonts w:cs="Arial"/>
          <w:bCs/>
          <w:sz w:val="24"/>
        </w:rPr>
        <w:t xml:space="preserve">, </w:t>
      </w:r>
      <w:proofErr w:type="spellStart"/>
      <w:r w:rsidR="004E01BA" w:rsidRPr="007B0F5A">
        <w:rPr>
          <w:rFonts w:cs="Arial"/>
          <w:bCs/>
          <w:sz w:val="24"/>
        </w:rPr>
        <w:t>Wyno</w:t>
      </w:r>
      <w:proofErr w:type="spellEnd"/>
      <w:r w:rsidR="004E01BA" w:rsidRPr="007B0F5A">
        <w:rPr>
          <w:rFonts w:cs="Arial"/>
          <w:bCs/>
          <w:sz w:val="24"/>
        </w:rPr>
        <w:t xml:space="preserve"> Construction and Projects (</w:t>
      </w:r>
      <w:r w:rsidR="004E01BA" w:rsidRPr="007B0F5A">
        <w:rPr>
          <w:rFonts w:cs="Arial"/>
          <w:bCs/>
          <w:i/>
          <w:sz w:val="24"/>
        </w:rPr>
        <w:t>“</w:t>
      </w:r>
      <w:proofErr w:type="spellStart"/>
      <w:r w:rsidR="004E01BA" w:rsidRPr="007B0F5A">
        <w:rPr>
          <w:rFonts w:cs="Arial"/>
          <w:bCs/>
          <w:i/>
          <w:sz w:val="24"/>
        </w:rPr>
        <w:t>Wyno</w:t>
      </w:r>
      <w:proofErr w:type="spellEnd"/>
      <w:r w:rsidR="004E01BA" w:rsidRPr="007B0F5A">
        <w:rPr>
          <w:rFonts w:cs="Arial"/>
          <w:bCs/>
          <w:i/>
          <w:sz w:val="24"/>
        </w:rPr>
        <w:t>”</w:t>
      </w:r>
      <w:r w:rsidR="004E01BA" w:rsidRPr="007B0F5A">
        <w:rPr>
          <w:rFonts w:cs="Arial"/>
          <w:bCs/>
          <w:sz w:val="24"/>
        </w:rPr>
        <w:t>)</w:t>
      </w:r>
      <w:r w:rsidRPr="007B0F5A">
        <w:rPr>
          <w:rFonts w:cs="Arial"/>
          <w:bCs/>
          <w:sz w:val="24"/>
        </w:rPr>
        <w:t xml:space="preserve"> seeks </w:t>
      </w:r>
      <w:r w:rsidR="004E01BA" w:rsidRPr="007B0F5A">
        <w:rPr>
          <w:rFonts w:cs="Arial"/>
          <w:bCs/>
          <w:sz w:val="24"/>
        </w:rPr>
        <w:t>the following</w:t>
      </w:r>
      <w:r w:rsidR="00317845" w:rsidRPr="007B0F5A">
        <w:rPr>
          <w:rFonts w:cs="Arial"/>
          <w:bCs/>
          <w:sz w:val="24"/>
        </w:rPr>
        <w:t xml:space="preserve"> order</w:t>
      </w:r>
      <w:r w:rsidRPr="007B0F5A">
        <w:rPr>
          <w:rFonts w:cs="Arial"/>
          <w:bCs/>
          <w:sz w:val="24"/>
        </w:rPr>
        <w:t>:</w:t>
      </w:r>
    </w:p>
    <w:p w:rsidR="00B80F80" w:rsidRPr="007B0F5A" w:rsidRDefault="00B80F80" w:rsidP="00315D55">
      <w:pPr>
        <w:pStyle w:val="ListParagraph"/>
        <w:spacing w:after="240" w:line="480" w:lineRule="auto"/>
        <w:ind w:left="567" w:hanging="567"/>
        <w:contextualSpacing w:val="0"/>
        <w:rPr>
          <w:rFonts w:cs="Arial"/>
          <w:bCs/>
          <w:szCs w:val="22"/>
        </w:rPr>
      </w:pPr>
      <w:r w:rsidRPr="007B0F5A">
        <w:rPr>
          <w:rFonts w:cs="Arial"/>
          <w:bCs/>
          <w:szCs w:val="22"/>
        </w:rPr>
        <w:t>“1</w:t>
      </w:r>
      <w:r w:rsidRPr="007B0F5A">
        <w:rPr>
          <w:rFonts w:cs="Arial"/>
          <w:bCs/>
          <w:szCs w:val="22"/>
        </w:rPr>
        <w:tab/>
      </w:r>
      <w:r w:rsidR="004E01BA" w:rsidRPr="007B0F5A">
        <w:rPr>
          <w:rFonts w:cs="Arial"/>
          <w:bCs/>
          <w:szCs w:val="22"/>
        </w:rPr>
        <w:t xml:space="preserve">The Respondent’s policy (attached to the founding affidavit as annexure </w:t>
      </w:r>
      <w:r w:rsidR="004E01BA" w:rsidRPr="007B0F5A">
        <w:rPr>
          <w:rFonts w:cs="Arial"/>
          <w:b/>
          <w:bCs/>
          <w:szCs w:val="22"/>
        </w:rPr>
        <w:t>“FA2”</w:t>
      </w:r>
      <w:r w:rsidR="004E01BA" w:rsidRPr="007B0F5A">
        <w:rPr>
          <w:rFonts w:cs="Arial"/>
          <w:bCs/>
          <w:szCs w:val="22"/>
        </w:rPr>
        <w:t>) of excluding liability arising from loss or damage to a policy holder in circumstances of where it is caused by theft or attempted theft of a vehicle by any employee of the policy holder is declared unconstitutional in that it is contrary to public policy and unenforceable.</w:t>
      </w:r>
    </w:p>
    <w:p w:rsidR="00B80F80" w:rsidRPr="007B0F5A" w:rsidRDefault="00B80F80" w:rsidP="00315D55">
      <w:pPr>
        <w:pStyle w:val="ListParagraph"/>
        <w:spacing w:after="240" w:line="480" w:lineRule="auto"/>
        <w:ind w:left="567" w:hanging="567"/>
        <w:contextualSpacing w:val="0"/>
        <w:rPr>
          <w:rFonts w:cs="Arial"/>
          <w:bCs/>
          <w:szCs w:val="22"/>
        </w:rPr>
      </w:pPr>
      <w:r w:rsidRPr="007B0F5A">
        <w:rPr>
          <w:rFonts w:cs="Arial"/>
          <w:bCs/>
          <w:szCs w:val="22"/>
        </w:rPr>
        <w:t>2</w:t>
      </w:r>
      <w:r w:rsidRPr="007B0F5A">
        <w:rPr>
          <w:rFonts w:cs="Arial"/>
          <w:bCs/>
          <w:szCs w:val="22"/>
        </w:rPr>
        <w:tab/>
      </w:r>
      <w:r w:rsidR="004E01BA" w:rsidRPr="007B0F5A">
        <w:rPr>
          <w:rFonts w:cs="Arial"/>
          <w:bCs/>
          <w:szCs w:val="22"/>
        </w:rPr>
        <w:t xml:space="preserve">The Respondent’s decision to reject the Applicant’s claim on the basis described in paragraph 1 above, is declared unconstitutional in that it is </w:t>
      </w:r>
      <w:r w:rsidR="00FB18A1" w:rsidRPr="007B0F5A">
        <w:rPr>
          <w:rFonts w:cs="Arial"/>
          <w:bCs/>
          <w:szCs w:val="22"/>
        </w:rPr>
        <w:t>contrary to public policy and unenforceable.</w:t>
      </w:r>
    </w:p>
    <w:p w:rsidR="00FB18A1" w:rsidRPr="007B0F5A" w:rsidRDefault="00FB18A1" w:rsidP="00315D55">
      <w:pPr>
        <w:pStyle w:val="ListParagraph"/>
        <w:spacing w:after="240" w:line="480" w:lineRule="auto"/>
        <w:ind w:left="567" w:hanging="567"/>
        <w:contextualSpacing w:val="0"/>
        <w:rPr>
          <w:rFonts w:cs="Arial"/>
          <w:bCs/>
          <w:szCs w:val="22"/>
        </w:rPr>
      </w:pPr>
      <w:r w:rsidRPr="007B0F5A">
        <w:rPr>
          <w:rFonts w:cs="Arial"/>
          <w:bCs/>
          <w:szCs w:val="22"/>
        </w:rPr>
        <w:t>3.</w:t>
      </w:r>
      <w:r w:rsidRPr="007B0F5A">
        <w:rPr>
          <w:rFonts w:cs="Arial"/>
          <w:bCs/>
          <w:szCs w:val="22"/>
        </w:rPr>
        <w:tab/>
        <w:t xml:space="preserve">The Respondent is liable to indemnify the Applicant in terms of the contract of insurance (attached to the founding affidavit as annexure </w:t>
      </w:r>
      <w:r w:rsidRPr="007B0F5A">
        <w:rPr>
          <w:rFonts w:cs="Arial"/>
          <w:b/>
          <w:bCs/>
          <w:szCs w:val="22"/>
        </w:rPr>
        <w:t>“FA2”</w:t>
      </w:r>
      <w:r w:rsidRPr="007B0F5A">
        <w:rPr>
          <w:rFonts w:cs="Arial"/>
          <w:bCs/>
          <w:szCs w:val="22"/>
        </w:rPr>
        <w:t>) concluded between the Applicant and the Respondent in respect of the Applicant’s loss of its vehicle MAN TGS 33.440 BBS L 6x4 T/T C./C, with registration number HN32MMGP (the truck).</w:t>
      </w:r>
    </w:p>
    <w:p w:rsidR="00FB18A1" w:rsidRPr="007B0F5A" w:rsidRDefault="00FB18A1" w:rsidP="00315D55">
      <w:pPr>
        <w:pStyle w:val="ListParagraph"/>
        <w:spacing w:after="240" w:line="480" w:lineRule="auto"/>
        <w:ind w:left="567" w:hanging="567"/>
        <w:contextualSpacing w:val="0"/>
        <w:rPr>
          <w:rFonts w:cs="Arial"/>
          <w:bCs/>
          <w:szCs w:val="22"/>
        </w:rPr>
      </w:pPr>
      <w:r w:rsidRPr="007B0F5A">
        <w:rPr>
          <w:rFonts w:cs="Arial"/>
          <w:bCs/>
          <w:szCs w:val="22"/>
        </w:rPr>
        <w:t>4.</w:t>
      </w:r>
      <w:r w:rsidRPr="007B0F5A">
        <w:rPr>
          <w:rFonts w:cs="Arial"/>
          <w:bCs/>
          <w:szCs w:val="22"/>
        </w:rPr>
        <w:tab/>
        <w:t>Alternative to prayers 1 – 3:</w:t>
      </w:r>
    </w:p>
    <w:p w:rsidR="00FB18A1" w:rsidRPr="007B0F5A" w:rsidRDefault="00FB18A1" w:rsidP="00315D55">
      <w:pPr>
        <w:pStyle w:val="ListParagraph"/>
        <w:spacing w:after="240" w:line="480" w:lineRule="auto"/>
        <w:ind w:left="1134" w:hanging="567"/>
        <w:contextualSpacing w:val="0"/>
        <w:rPr>
          <w:rFonts w:cs="Arial"/>
          <w:bCs/>
          <w:szCs w:val="22"/>
        </w:rPr>
      </w:pPr>
      <w:r w:rsidRPr="007B0F5A">
        <w:rPr>
          <w:rFonts w:cs="Arial"/>
          <w:bCs/>
          <w:szCs w:val="22"/>
        </w:rPr>
        <w:t>4.1</w:t>
      </w:r>
      <w:r w:rsidRPr="007B0F5A">
        <w:rPr>
          <w:rFonts w:cs="Arial"/>
          <w:bCs/>
          <w:szCs w:val="22"/>
        </w:rPr>
        <w:tab/>
        <w:t>the Respondent’s decision to not pay the Applicant’s claim on the ground of the alleged theft or attempted theft by the Applicant’s employee (detailed in the founding affidavit) is set aside on the ground that the theft or alleged theft was not proved.</w:t>
      </w:r>
    </w:p>
    <w:p w:rsidR="00FB18A1" w:rsidRPr="007B0F5A" w:rsidRDefault="00FB18A1" w:rsidP="00315D55">
      <w:pPr>
        <w:pStyle w:val="ListParagraph"/>
        <w:spacing w:after="240" w:line="480" w:lineRule="auto"/>
        <w:ind w:left="1134" w:hanging="567"/>
        <w:contextualSpacing w:val="0"/>
        <w:rPr>
          <w:rFonts w:cs="Arial"/>
          <w:bCs/>
          <w:szCs w:val="22"/>
        </w:rPr>
      </w:pPr>
      <w:r w:rsidRPr="007B0F5A">
        <w:rPr>
          <w:rFonts w:cs="Arial"/>
          <w:bCs/>
          <w:szCs w:val="22"/>
        </w:rPr>
        <w:t>4.2</w:t>
      </w:r>
      <w:r w:rsidRPr="007B0F5A">
        <w:rPr>
          <w:rFonts w:cs="Arial"/>
          <w:bCs/>
          <w:szCs w:val="22"/>
        </w:rPr>
        <w:tab/>
        <w:t xml:space="preserve">the Respondent is liable to indemnify the Applicant in terms of the contract of insurance (attached to the founding affidavit as annexure </w:t>
      </w:r>
      <w:r w:rsidRPr="007B0F5A">
        <w:rPr>
          <w:rFonts w:cs="Arial"/>
          <w:b/>
          <w:bCs/>
          <w:szCs w:val="22"/>
        </w:rPr>
        <w:t>“FA2”</w:t>
      </w:r>
      <w:r w:rsidRPr="007B0F5A">
        <w:rPr>
          <w:rFonts w:cs="Arial"/>
          <w:bCs/>
          <w:szCs w:val="22"/>
        </w:rPr>
        <w:t xml:space="preserve">) concluded </w:t>
      </w:r>
      <w:r w:rsidRPr="007B0F5A">
        <w:rPr>
          <w:rFonts w:cs="Arial"/>
          <w:bCs/>
          <w:szCs w:val="22"/>
        </w:rPr>
        <w:lastRenderedPageBreak/>
        <w:t>between the Applicant and the Respondent in respect of the applicant’s loss of its vehicle MAN TGS 33.440 BBS L 6x4 T/T C./C, with registration number HN32MMGP (the truck).</w:t>
      </w:r>
    </w:p>
    <w:p w:rsidR="00130717" w:rsidRPr="007B0F5A" w:rsidRDefault="00130717" w:rsidP="00315D55">
      <w:pPr>
        <w:pStyle w:val="ListParagraph"/>
        <w:spacing w:after="240" w:line="480" w:lineRule="auto"/>
        <w:ind w:left="567" w:hanging="567"/>
        <w:contextualSpacing w:val="0"/>
        <w:rPr>
          <w:rFonts w:cs="Arial"/>
          <w:bCs/>
          <w:szCs w:val="22"/>
        </w:rPr>
      </w:pPr>
      <w:r w:rsidRPr="007B0F5A">
        <w:rPr>
          <w:rFonts w:cs="Arial"/>
          <w:bCs/>
          <w:szCs w:val="22"/>
        </w:rPr>
        <w:t>5.</w:t>
      </w:r>
      <w:r w:rsidRPr="007B0F5A">
        <w:rPr>
          <w:rFonts w:cs="Arial"/>
          <w:bCs/>
          <w:szCs w:val="22"/>
        </w:rPr>
        <w:tab/>
      </w:r>
      <w:r w:rsidR="00FB18A1" w:rsidRPr="007B0F5A">
        <w:rPr>
          <w:rFonts w:cs="Arial"/>
          <w:bCs/>
          <w:szCs w:val="22"/>
        </w:rPr>
        <w:t>Costs of suit.</w:t>
      </w:r>
      <w:r w:rsidRPr="007B0F5A">
        <w:rPr>
          <w:rFonts w:cs="Arial"/>
          <w:bCs/>
          <w:szCs w:val="22"/>
        </w:rPr>
        <w:t>”</w:t>
      </w:r>
    </w:p>
    <w:p w:rsidR="00BB5C33" w:rsidRPr="007B0F5A" w:rsidRDefault="00FB18A1" w:rsidP="00315D55">
      <w:pPr>
        <w:pStyle w:val="ListParagraph"/>
        <w:numPr>
          <w:ilvl w:val="0"/>
          <w:numId w:val="1"/>
        </w:numPr>
        <w:spacing w:after="240" w:line="480" w:lineRule="auto"/>
        <w:contextualSpacing w:val="0"/>
        <w:rPr>
          <w:rFonts w:cs="Arial"/>
          <w:bCs/>
          <w:sz w:val="24"/>
        </w:rPr>
      </w:pPr>
      <w:r w:rsidRPr="007B0F5A">
        <w:rPr>
          <w:rFonts w:cs="Arial"/>
          <w:bCs/>
          <w:sz w:val="24"/>
        </w:rPr>
        <w:t xml:space="preserve">The respondent, </w:t>
      </w:r>
      <w:proofErr w:type="spellStart"/>
      <w:r w:rsidRPr="007B0F5A">
        <w:rPr>
          <w:rFonts w:cs="Arial"/>
          <w:bCs/>
          <w:sz w:val="24"/>
        </w:rPr>
        <w:t>Mi</w:t>
      </w:r>
      <w:r w:rsidR="00776F71" w:rsidRPr="007B0F5A">
        <w:rPr>
          <w:rFonts w:cs="Arial"/>
          <w:bCs/>
          <w:sz w:val="24"/>
        </w:rPr>
        <w:t>W</w:t>
      </w:r>
      <w:r w:rsidRPr="007B0F5A">
        <w:rPr>
          <w:rFonts w:cs="Arial"/>
          <w:bCs/>
          <w:sz w:val="24"/>
        </w:rPr>
        <w:t>ay</w:t>
      </w:r>
      <w:proofErr w:type="spellEnd"/>
      <w:r w:rsidRPr="007B0F5A">
        <w:rPr>
          <w:rFonts w:cs="Arial"/>
          <w:bCs/>
          <w:sz w:val="24"/>
        </w:rPr>
        <w:t xml:space="preserve"> Insurance Limited (</w:t>
      </w:r>
      <w:r w:rsidRPr="007B0F5A">
        <w:rPr>
          <w:rFonts w:cs="Arial"/>
          <w:bCs/>
          <w:i/>
          <w:sz w:val="24"/>
        </w:rPr>
        <w:t>“</w:t>
      </w:r>
      <w:proofErr w:type="spellStart"/>
      <w:r w:rsidRPr="007B0F5A">
        <w:rPr>
          <w:rFonts w:cs="Arial"/>
          <w:bCs/>
          <w:i/>
          <w:sz w:val="24"/>
        </w:rPr>
        <w:t>Mi</w:t>
      </w:r>
      <w:r w:rsidR="00776F71" w:rsidRPr="007B0F5A">
        <w:rPr>
          <w:rFonts w:cs="Arial"/>
          <w:bCs/>
          <w:i/>
          <w:sz w:val="24"/>
        </w:rPr>
        <w:t>W</w:t>
      </w:r>
      <w:r w:rsidRPr="007B0F5A">
        <w:rPr>
          <w:rFonts w:cs="Arial"/>
          <w:bCs/>
          <w:i/>
          <w:sz w:val="24"/>
        </w:rPr>
        <w:t>ay</w:t>
      </w:r>
      <w:proofErr w:type="spellEnd"/>
      <w:r w:rsidRPr="007B0F5A">
        <w:rPr>
          <w:rFonts w:cs="Arial"/>
          <w:bCs/>
          <w:i/>
          <w:sz w:val="24"/>
        </w:rPr>
        <w:t>”</w:t>
      </w:r>
      <w:r w:rsidRPr="007B0F5A">
        <w:rPr>
          <w:rFonts w:cs="Arial"/>
          <w:bCs/>
          <w:sz w:val="24"/>
        </w:rPr>
        <w:t xml:space="preserve">) offers short-term insurance and </w:t>
      </w:r>
      <w:proofErr w:type="spellStart"/>
      <w:r w:rsidRPr="007B0F5A">
        <w:rPr>
          <w:rFonts w:cs="Arial"/>
          <w:bCs/>
          <w:sz w:val="24"/>
        </w:rPr>
        <w:t>Wyno</w:t>
      </w:r>
      <w:proofErr w:type="spellEnd"/>
      <w:r w:rsidRPr="007B0F5A">
        <w:rPr>
          <w:rFonts w:cs="Arial"/>
          <w:bCs/>
          <w:sz w:val="24"/>
        </w:rPr>
        <w:t xml:space="preserve"> has subscribed </w:t>
      </w:r>
      <w:r w:rsidR="00776F71" w:rsidRPr="007B0F5A">
        <w:rPr>
          <w:rFonts w:cs="Arial"/>
          <w:bCs/>
          <w:sz w:val="24"/>
        </w:rPr>
        <w:t xml:space="preserve">to the insurance in respect of its truck which disappeared on or about 4 October 2019. The issue in this case is that </w:t>
      </w:r>
      <w:proofErr w:type="spellStart"/>
      <w:r w:rsidR="00776F71" w:rsidRPr="007B0F5A">
        <w:rPr>
          <w:rFonts w:cs="Arial"/>
          <w:bCs/>
          <w:sz w:val="24"/>
        </w:rPr>
        <w:t>MiWay</w:t>
      </w:r>
      <w:proofErr w:type="spellEnd"/>
      <w:r w:rsidR="00776F71" w:rsidRPr="007B0F5A">
        <w:rPr>
          <w:rFonts w:cs="Arial"/>
          <w:bCs/>
          <w:sz w:val="24"/>
        </w:rPr>
        <w:t xml:space="preserve"> has repudiated a claim of </w:t>
      </w:r>
      <w:proofErr w:type="spellStart"/>
      <w:r w:rsidR="00776F71" w:rsidRPr="007B0F5A">
        <w:rPr>
          <w:rFonts w:cs="Arial"/>
          <w:bCs/>
          <w:sz w:val="24"/>
        </w:rPr>
        <w:t>Wyno</w:t>
      </w:r>
      <w:proofErr w:type="spellEnd"/>
      <w:r w:rsidR="00776F71" w:rsidRPr="007B0F5A">
        <w:rPr>
          <w:rFonts w:cs="Arial"/>
          <w:bCs/>
          <w:sz w:val="24"/>
        </w:rPr>
        <w:t xml:space="preserve"> on the basis that the insurance policy (</w:t>
      </w:r>
      <w:r w:rsidR="00776F71" w:rsidRPr="007B0F5A">
        <w:rPr>
          <w:rFonts w:cs="Arial"/>
          <w:bCs/>
          <w:i/>
          <w:sz w:val="24"/>
        </w:rPr>
        <w:t>“the policy”</w:t>
      </w:r>
      <w:r w:rsidR="00776F71" w:rsidRPr="007B0F5A">
        <w:rPr>
          <w:rFonts w:cs="Arial"/>
          <w:bCs/>
          <w:sz w:val="24"/>
        </w:rPr>
        <w:t xml:space="preserve">) excludes </w:t>
      </w:r>
      <w:r w:rsidR="00776F71" w:rsidRPr="007B0F5A">
        <w:rPr>
          <w:rFonts w:cs="Arial"/>
          <w:bCs/>
          <w:i/>
          <w:sz w:val="24"/>
        </w:rPr>
        <w:t>“loss or damage due to theft or attempted theft of the vehicle by any employee of the policy holder”</w:t>
      </w:r>
      <w:r w:rsidR="00776F71" w:rsidRPr="007B0F5A">
        <w:rPr>
          <w:rFonts w:cs="Arial"/>
          <w:bCs/>
          <w:sz w:val="24"/>
        </w:rPr>
        <w:t>.</w:t>
      </w:r>
    </w:p>
    <w:p w:rsidR="00776F71" w:rsidRPr="007B0F5A" w:rsidRDefault="00776F71" w:rsidP="00315D55">
      <w:pPr>
        <w:pStyle w:val="ListParagraph"/>
        <w:numPr>
          <w:ilvl w:val="0"/>
          <w:numId w:val="1"/>
        </w:numPr>
        <w:spacing w:after="240" w:line="480" w:lineRule="auto"/>
        <w:contextualSpacing w:val="0"/>
        <w:rPr>
          <w:rFonts w:cs="Arial"/>
          <w:bCs/>
          <w:sz w:val="24"/>
        </w:rPr>
      </w:pPr>
      <w:proofErr w:type="spellStart"/>
      <w:r w:rsidRPr="007B0F5A">
        <w:rPr>
          <w:rFonts w:cs="Arial"/>
          <w:bCs/>
          <w:sz w:val="24"/>
        </w:rPr>
        <w:t>Wyno</w:t>
      </w:r>
      <w:proofErr w:type="spellEnd"/>
      <w:r w:rsidRPr="007B0F5A">
        <w:rPr>
          <w:rFonts w:cs="Arial"/>
          <w:bCs/>
          <w:sz w:val="24"/>
        </w:rPr>
        <w:t xml:space="preserve"> contends that such a provision in an insurance policy contravenes public policy as its enforcement would be unjust or unfair, and that the provision be declared unconstitutional. If it does not succeed on this point, that it has not been proven that the disappearance of the truck was as a result of theft by its employee and therefore that the clause has not been triggered.</w:t>
      </w:r>
    </w:p>
    <w:p w:rsidR="00776F71" w:rsidRPr="007B0F5A" w:rsidRDefault="00776F71" w:rsidP="00315D55">
      <w:pPr>
        <w:pStyle w:val="ListParagraph"/>
        <w:numPr>
          <w:ilvl w:val="0"/>
          <w:numId w:val="1"/>
        </w:numPr>
        <w:spacing w:after="240" w:line="480" w:lineRule="auto"/>
        <w:contextualSpacing w:val="0"/>
        <w:rPr>
          <w:rFonts w:cs="Arial"/>
          <w:bCs/>
          <w:sz w:val="24"/>
        </w:rPr>
      </w:pPr>
      <w:proofErr w:type="spellStart"/>
      <w:r w:rsidRPr="007B0F5A">
        <w:rPr>
          <w:rFonts w:cs="Arial"/>
          <w:bCs/>
          <w:sz w:val="24"/>
        </w:rPr>
        <w:t>MiWay</w:t>
      </w:r>
      <w:proofErr w:type="spellEnd"/>
      <w:r w:rsidRPr="007B0F5A">
        <w:rPr>
          <w:rFonts w:cs="Arial"/>
          <w:bCs/>
          <w:sz w:val="24"/>
        </w:rPr>
        <w:t xml:space="preserve"> opposes the application on the following grounds;</w:t>
      </w:r>
    </w:p>
    <w:p w:rsidR="00776F71" w:rsidRPr="007B0F5A" w:rsidRDefault="00776F71" w:rsidP="00315D55">
      <w:pPr>
        <w:pStyle w:val="ListParagraph"/>
        <w:numPr>
          <w:ilvl w:val="1"/>
          <w:numId w:val="1"/>
        </w:numPr>
        <w:spacing w:after="240" w:line="480" w:lineRule="auto"/>
        <w:contextualSpacing w:val="0"/>
        <w:rPr>
          <w:rFonts w:cs="Arial"/>
          <w:bCs/>
          <w:sz w:val="24"/>
        </w:rPr>
      </w:pPr>
      <w:r w:rsidRPr="007B0F5A">
        <w:rPr>
          <w:rFonts w:cs="Arial"/>
          <w:bCs/>
          <w:sz w:val="24"/>
        </w:rPr>
        <w:t>A real and factual dispute between the parties’ versions has arisen and therefore the application must be dismissed.</w:t>
      </w:r>
    </w:p>
    <w:p w:rsidR="00776F71" w:rsidRPr="007B0F5A" w:rsidRDefault="00776F71" w:rsidP="00315D55">
      <w:pPr>
        <w:pStyle w:val="ListParagraph"/>
        <w:numPr>
          <w:ilvl w:val="1"/>
          <w:numId w:val="1"/>
        </w:numPr>
        <w:spacing w:after="240" w:line="480" w:lineRule="auto"/>
        <w:contextualSpacing w:val="0"/>
        <w:rPr>
          <w:rFonts w:cs="Arial"/>
          <w:bCs/>
          <w:sz w:val="24"/>
        </w:rPr>
      </w:pPr>
      <w:r w:rsidRPr="007B0F5A">
        <w:rPr>
          <w:rFonts w:cs="Arial"/>
          <w:bCs/>
          <w:sz w:val="24"/>
        </w:rPr>
        <w:t xml:space="preserve">The policy affords the insured an option of excluding or including loss arising out of driver dishonesty and therefore that the policy clause is not unconstitutional. </w:t>
      </w:r>
    </w:p>
    <w:p w:rsidR="00776F71" w:rsidRPr="007B0F5A" w:rsidRDefault="00776F71" w:rsidP="00315D55">
      <w:pPr>
        <w:pStyle w:val="ListParagraph"/>
        <w:numPr>
          <w:ilvl w:val="1"/>
          <w:numId w:val="1"/>
        </w:numPr>
        <w:spacing w:after="240" w:line="480" w:lineRule="auto"/>
        <w:contextualSpacing w:val="0"/>
        <w:rPr>
          <w:rFonts w:cs="Arial"/>
          <w:bCs/>
          <w:sz w:val="24"/>
        </w:rPr>
      </w:pPr>
      <w:r w:rsidRPr="007B0F5A">
        <w:rPr>
          <w:rFonts w:cs="Arial"/>
          <w:bCs/>
          <w:sz w:val="24"/>
        </w:rPr>
        <w:t xml:space="preserve">The theft of the vehicle by </w:t>
      </w:r>
      <w:proofErr w:type="spellStart"/>
      <w:r w:rsidRPr="007B0F5A">
        <w:rPr>
          <w:rFonts w:cs="Arial"/>
          <w:bCs/>
          <w:sz w:val="24"/>
        </w:rPr>
        <w:t>Wyno’s</w:t>
      </w:r>
      <w:proofErr w:type="spellEnd"/>
      <w:r w:rsidRPr="007B0F5A">
        <w:rPr>
          <w:rFonts w:cs="Arial"/>
          <w:bCs/>
          <w:sz w:val="24"/>
        </w:rPr>
        <w:t xml:space="preserve"> own employee has been proven and therefore the relevant clause triggered.</w:t>
      </w:r>
    </w:p>
    <w:p w:rsidR="00776F71" w:rsidRPr="007B0F5A" w:rsidRDefault="00776F71" w:rsidP="00315D55">
      <w:pPr>
        <w:pStyle w:val="ListParagraph"/>
        <w:spacing w:after="240" w:line="480" w:lineRule="auto"/>
        <w:ind w:left="0"/>
        <w:contextualSpacing w:val="0"/>
        <w:rPr>
          <w:rFonts w:cs="Arial"/>
          <w:bCs/>
          <w:sz w:val="24"/>
          <w:u w:val="single"/>
        </w:rPr>
      </w:pPr>
      <w:r w:rsidRPr="007B0F5A">
        <w:rPr>
          <w:rFonts w:cs="Arial"/>
          <w:bCs/>
          <w:sz w:val="24"/>
          <w:u w:val="single"/>
        </w:rPr>
        <w:lastRenderedPageBreak/>
        <w:t>Background</w:t>
      </w:r>
    </w:p>
    <w:p w:rsidR="00776F71" w:rsidRPr="007B0F5A" w:rsidRDefault="00776F71" w:rsidP="00315D55">
      <w:pPr>
        <w:pStyle w:val="ListParagraph"/>
        <w:numPr>
          <w:ilvl w:val="0"/>
          <w:numId w:val="1"/>
        </w:numPr>
        <w:spacing w:after="240" w:line="480" w:lineRule="auto"/>
        <w:contextualSpacing w:val="0"/>
        <w:rPr>
          <w:rFonts w:cs="Arial"/>
          <w:bCs/>
          <w:sz w:val="24"/>
        </w:rPr>
      </w:pPr>
      <w:r w:rsidRPr="007B0F5A">
        <w:rPr>
          <w:rFonts w:cs="Arial"/>
          <w:bCs/>
          <w:sz w:val="24"/>
        </w:rPr>
        <w:t xml:space="preserve">It is common cause that </w:t>
      </w:r>
      <w:proofErr w:type="spellStart"/>
      <w:r w:rsidRPr="007B0F5A">
        <w:rPr>
          <w:rFonts w:cs="Arial"/>
          <w:bCs/>
          <w:sz w:val="24"/>
        </w:rPr>
        <w:t>Wyno</w:t>
      </w:r>
      <w:proofErr w:type="spellEnd"/>
      <w:r w:rsidRPr="007B0F5A">
        <w:rPr>
          <w:rFonts w:cs="Arial"/>
          <w:bCs/>
          <w:sz w:val="24"/>
        </w:rPr>
        <w:t xml:space="preserve"> is the owner of the truck </w:t>
      </w:r>
      <w:r w:rsidR="00317845" w:rsidRPr="007B0F5A">
        <w:rPr>
          <w:rFonts w:cs="Arial"/>
          <w:bCs/>
          <w:sz w:val="24"/>
        </w:rPr>
        <w:t xml:space="preserve">which it uses commercially to transport coal </w:t>
      </w:r>
      <w:r w:rsidRPr="007B0F5A">
        <w:rPr>
          <w:rFonts w:cs="Arial"/>
          <w:bCs/>
          <w:sz w:val="24"/>
        </w:rPr>
        <w:t xml:space="preserve">and that it was insured by </w:t>
      </w:r>
      <w:proofErr w:type="spellStart"/>
      <w:r w:rsidRPr="007B0F5A">
        <w:rPr>
          <w:rFonts w:cs="Arial"/>
          <w:bCs/>
          <w:sz w:val="24"/>
        </w:rPr>
        <w:t>MiWay</w:t>
      </w:r>
      <w:proofErr w:type="spellEnd"/>
      <w:r w:rsidRPr="007B0F5A">
        <w:rPr>
          <w:rFonts w:cs="Arial"/>
          <w:bCs/>
          <w:sz w:val="24"/>
        </w:rPr>
        <w:t>. It is also common cause that the truck remains unaccounted for since 4 October 2019.</w:t>
      </w:r>
    </w:p>
    <w:p w:rsidR="00776F71" w:rsidRPr="007B0F5A" w:rsidRDefault="00776F71" w:rsidP="00315D55">
      <w:pPr>
        <w:pStyle w:val="ListParagraph"/>
        <w:numPr>
          <w:ilvl w:val="0"/>
          <w:numId w:val="1"/>
        </w:numPr>
        <w:spacing w:after="240" w:line="480" w:lineRule="auto"/>
        <w:contextualSpacing w:val="0"/>
        <w:rPr>
          <w:rFonts w:cs="Arial"/>
          <w:bCs/>
          <w:sz w:val="24"/>
        </w:rPr>
      </w:pPr>
      <w:r w:rsidRPr="007B0F5A">
        <w:rPr>
          <w:rFonts w:cs="Arial"/>
          <w:bCs/>
          <w:sz w:val="24"/>
        </w:rPr>
        <w:t>The respondent has set out the background and sequence of events from 4 October 2019 in its answering affidavit. This is the version that the Court must accept, together with additional admitted facts in the founding affidavit.</w:t>
      </w:r>
      <w:r w:rsidRPr="007B0F5A">
        <w:rPr>
          <w:rStyle w:val="FootnoteReference"/>
          <w:rFonts w:cs="Arial"/>
          <w:bCs/>
          <w:sz w:val="24"/>
        </w:rPr>
        <w:footnoteReference w:id="2"/>
      </w:r>
    </w:p>
    <w:p w:rsidR="00776F71" w:rsidRPr="007B0F5A" w:rsidRDefault="00776F71" w:rsidP="00315D55">
      <w:pPr>
        <w:pStyle w:val="ListParagraph"/>
        <w:numPr>
          <w:ilvl w:val="0"/>
          <w:numId w:val="1"/>
        </w:numPr>
        <w:spacing w:after="240" w:line="480" w:lineRule="auto"/>
        <w:contextualSpacing w:val="0"/>
        <w:rPr>
          <w:rFonts w:cs="Arial"/>
          <w:bCs/>
          <w:sz w:val="24"/>
        </w:rPr>
      </w:pPr>
      <w:r w:rsidRPr="007B0F5A">
        <w:rPr>
          <w:rFonts w:cs="Arial"/>
          <w:bCs/>
          <w:sz w:val="24"/>
        </w:rPr>
        <w:t xml:space="preserve">The facts establish that </w:t>
      </w:r>
      <w:proofErr w:type="spellStart"/>
      <w:r w:rsidRPr="007B0F5A">
        <w:rPr>
          <w:rFonts w:cs="Arial"/>
          <w:bCs/>
          <w:sz w:val="24"/>
        </w:rPr>
        <w:t>Wyno’s</w:t>
      </w:r>
      <w:proofErr w:type="spellEnd"/>
      <w:r w:rsidRPr="007B0F5A">
        <w:rPr>
          <w:rFonts w:cs="Arial"/>
          <w:bCs/>
          <w:sz w:val="24"/>
        </w:rPr>
        <w:t xml:space="preserve"> employee driver </w:t>
      </w:r>
      <w:r w:rsidR="000B71E0" w:rsidRPr="007B0F5A">
        <w:rPr>
          <w:rFonts w:cs="Arial"/>
          <w:bCs/>
          <w:sz w:val="24"/>
        </w:rPr>
        <w:t xml:space="preserve">conjured reasons why he could not load the truck on the </w:t>
      </w:r>
      <w:r w:rsidR="004F1DBA" w:rsidRPr="007B0F5A">
        <w:rPr>
          <w:rFonts w:cs="Arial"/>
          <w:bCs/>
          <w:sz w:val="24"/>
        </w:rPr>
        <w:t xml:space="preserve">ordinary designated day of Friday and that it would be convenient to do so on the Sunday although it was known that the </w:t>
      </w:r>
      <w:r w:rsidR="00317845" w:rsidRPr="007B0F5A">
        <w:rPr>
          <w:rFonts w:cs="Arial"/>
          <w:bCs/>
          <w:sz w:val="24"/>
        </w:rPr>
        <w:t xml:space="preserve">coal </w:t>
      </w:r>
      <w:r w:rsidR="004F1DBA" w:rsidRPr="007B0F5A">
        <w:rPr>
          <w:rFonts w:cs="Arial"/>
          <w:bCs/>
          <w:sz w:val="24"/>
        </w:rPr>
        <w:t>depot was closed on Sundays. He then connived to drive the truck to the truck st</w:t>
      </w:r>
      <w:r w:rsidR="00317845" w:rsidRPr="007B0F5A">
        <w:rPr>
          <w:rFonts w:cs="Arial"/>
          <w:bCs/>
          <w:sz w:val="24"/>
        </w:rPr>
        <w:t>o</w:t>
      </w:r>
      <w:r w:rsidR="004F1DBA" w:rsidRPr="007B0F5A">
        <w:rPr>
          <w:rFonts w:cs="Arial"/>
          <w:bCs/>
          <w:sz w:val="24"/>
        </w:rPr>
        <w:t>p (where the trucks would always be parked when not in use) but not to enter the premises. It was later dismantled of the tracking devices of both the truck</w:t>
      </w:r>
      <w:r w:rsidR="00317845" w:rsidRPr="007B0F5A">
        <w:rPr>
          <w:rFonts w:cs="Arial"/>
          <w:bCs/>
          <w:sz w:val="24"/>
        </w:rPr>
        <w:t xml:space="preserve"> horse</w:t>
      </w:r>
      <w:r w:rsidR="004F1DBA" w:rsidRPr="007B0F5A">
        <w:rPr>
          <w:rFonts w:cs="Arial"/>
          <w:bCs/>
          <w:sz w:val="24"/>
        </w:rPr>
        <w:t xml:space="preserve"> and its trailers, which were found outside the truck stop on Tuesday, 8 October 2019 on the side of the road.</w:t>
      </w:r>
    </w:p>
    <w:p w:rsidR="004F1DBA" w:rsidRPr="007B0F5A" w:rsidRDefault="004F1DBA" w:rsidP="00315D55">
      <w:pPr>
        <w:pStyle w:val="ListParagraph"/>
        <w:numPr>
          <w:ilvl w:val="0"/>
          <w:numId w:val="1"/>
        </w:numPr>
        <w:spacing w:after="240" w:line="480" w:lineRule="auto"/>
        <w:contextualSpacing w:val="0"/>
        <w:rPr>
          <w:rFonts w:cs="Arial"/>
          <w:bCs/>
          <w:sz w:val="24"/>
        </w:rPr>
      </w:pPr>
      <w:r w:rsidRPr="007B0F5A">
        <w:rPr>
          <w:rFonts w:cs="Arial"/>
          <w:bCs/>
          <w:sz w:val="24"/>
        </w:rPr>
        <w:t>The applicant’s driver has since been sighted in a township in Swaziland.</w:t>
      </w:r>
      <w:r w:rsidR="00317845" w:rsidRPr="007B0F5A">
        <w:rPr>
          <w:rFonts w:cs="Arial"/>
          <w:bCs/>
          <w:sz w:val="24"/>
        </w:rPr>
        <w:t xml:space="preserve"> The applicant has submitted that this double-hearsay evidence not be admitted. It is admitted on the basis that the deponent to the founding affidavit has given reasons why they believe it to be true. The Court has given weight to the hearsay evidence tak</w:t>
      </w:r>
      <w:r w:rsidR="00401639" w:rsidRPr="007B0F5A">
        <w:rPr>
          <w:rFonts w:cs="Arial"/>
          <w:bCs/>
          <w:sz w:val="24"/>
        </w:rPr>
        <w:t>ing into account the</w:t>
      </w:r>
      <w:r w:rsidR="00317845" w:rsidRPr="007B0F5A">
        <w:rPr>
          <w:rFonts w:cs="Arial"/>
          <w:bCs/>
          <w:sz w:val="24"/>
        </w:rPr>
        <w:t xml:space="preserve"> probabilities in this case. The driver would not have disappeared had he been innocent.</w:t>
      </w:r>
    </w:p>
    <w:p w:rsidR="004F1DBA" w:rsidRPr="007B0F5A" w:rsidRDefault="004F1DBA" w:rsidP="00315D55">
      <w:pPr>
        <w:pStyle w:val="ListParagraph"/>
        <w:numPr>
          <w:ilvl w:val="0"/>
          <w:numId w:val="1"/>
        </w:numPr>
        <w:spacing w:after="240" w:line="480" w:lineRule="auto"/>
        <w:contextualSpacing w:val="0"/>
        <w:rPr>
          <w:rFonts w:cs="Arial"/>
          <w:bCs/>
          <w:sz w:val="24"/>
        </w:rPr>
      </w:pPr>
      <w:r w:rsidRPr="007B0F5A">
        <w:rPr>
          <w:rFonts w:cs="Arial"/>
          <w:bCs/>
          <w:sz w:val="24"/>
        </w:rPr>
        <w:lastRenderedPageBreak/>
        <w:t xml:space="preserve">The deponent to the founding affidavit, and owner of </w:t>
      </w:r>
      <w:proofErr w:type="spellStart"/>
      <w:r w:rsidRPr="007B0F5A">
        <w:rPr>
          <w:rFonts w:cs="Arial"/>
          <w:bCs/>
          <w:sz w:val="24"/>
        </w:rPr>
        <w:t>Wyno</w:t>
      </w:r>
      <w:proofErr w:type="spellEnd"/>
      <w:r w:rsidRPr="007B0F5A">
        <w:rPr>
          <w:rFonts w:cs="Arial"/>
          <w:bCs/>
          <w:sz w:val="24"/>
        </w:rPr>
        <w:t xml:space="preserve">, challenges the respondent’s repudiation based on, </w:t>
      </w:r>
      <w:r w:rsidRPr="007B0F5A">
        <w:rPr>
          <w:rFonts w:cs="Arial"/>
          <w:bCs/>
          <w:i/>
          <w:sz w:val="24"/>
        </w:rPr>
        <w:t>inter alia</w:t>
      </w:r>
      <w:r w:rsidRPr="007B0F5A">
        <w:rPr>
          <w:rFonts w:cs="Arial"/>
          <w:bCs/>
          <w:sz w:val="24"/>
        </w:rPr>
        <w:t xml:space="preserve">, her </w:t>
      </w:r>
      <w:r w:rsidRPr="007B0F5A">
        <w:rPr>
          <w:rFonts w:cs="Arial"/>
          <w:bCs/>
          <w:i/>
          <w:sz w:val="24"/>
        </w:rPr>
        <w:t>“baseless suspicion”</w:t>
      </w:r>
      <w:r w:rsidRPr="007B0F5A">
        <w:rPr>
          <w:rFonts w:cs="Arial"/>
          <w:bCs/>
          <w:sz w:val="24"/>
        </w:rPr>
        <w:t xml:space="preserve"> that her own employee stole the truck. However, her suspicions were not baseless. She was so suspicious of her driver’s conduct that she made calls to him to ensure that the truck was safe over the relevant weekend and caused further investigations into its whereabouts when it disappeared without trace on 4 October 2019. She repeated her suspicions in detail to the police.</w:t>
      </w:r>
    </w:p>
    <w:p w:rsidR="004F1DBA" w:rsidRPr="007B0F5A" w:rsidRDefault="00317845" w:rsidP="00315D55">
      <w:pPr>
        <w:pStyle w:val="ListParagraph"/>
        <w:numPr>
          <w:ilvl w:val="0"/>
          <w:numId w:val="1"/>
        </w:numPr>
        <w:spacing w:after="240" w:line="480" w:lineRule="auto"/>
        <w:contextualSpacing w:val="0"/>
        <w:rPr>
          <w:rFonts w:cs="Arial"/>
          <w:bCs/>
          <w:sz w:val="24"/>
        </w:rPr>
      </w:pPr>
      <w:r w:rsidRPr="007B0F5A">
        <w:rPr>
          <w:rFonts w:cs="Arial"/>
          <w:bCs/>
          <w:sz w:val="24"/>
        </w:rPr>
        <w:t>Thes</w:t>
      </w:r>
      <w:r w:rsidR="004F1DBA" w:rsidRPr="007B0F5A">
        <w:rPr>
          <w:rFonts w:cs="Arial"/>
          <w:bCs/>
          <w:sz w:val="24"/>
        </w:rPr>
        <w:t xml:space="preserve">e are civil proceedings. It is trite law that whether the disappearance of the truck was as a result of theft will be decided on a balance of probabilities, not beyond reasonable doubt as required in criminal proceedings. There is no evidence or basis to suspect that the driver was disposed of the truck by any other person. The movements of the truck indicate that it was at all times within his control. Had such an unfortunate </w:t>
      </w:r>
      <w:r w:rsidRPr="007B0F5A">
        <w:rPr>
          <w:rFonts w:cs="Arial"/>
          <w:bCs/>
          <w:sz w:val="24"/>
        </w:rPr>
        <w:t xml:space="preserve">event </w:t>
      </w:r>
      <w:r w:rsidR="004F1DBA" w:rsidRPr="007B0F5A">
        <w:rPr>
          <w:rFonts w:cs="Arial"/>
          <w:bCs/>
          <w:sz w:val="24"/>
        </w:rPr>
        <w:t xml:space="preserve">occurred he would not have hesitated to report it to his employer. His conduct of disappearing in the circumstances that are common cause can only point to him having stolen the truck or colluded in its theft. </w:t>
      </w:r>
      <w:proofErr w:type="spellStart"/>
      <w:r w:rsidR="004F1DBA" w:rsidRPr="007B0F5A">
        <w:rPr>
          <w:rFonts w:cs="Arial"/>
          <w:bCs/>
          <w:sz w:val="24"/>
        </w:rPr>
        <w:t>Wyno</w:t>
      </w:r>
      <w:proofErr w:type="spellEnd"/>
      <w:r w:rsidR="004F1DBA" w:rsidRPr="007B0F5A">
        <w:rPr>
          <w:rFonts w:cs="Arial"/>
          <w:bCs/>
          <w:sz w:val="24"/>
        </w:rPr>
        <w:t xml:space="preserve"> opted not to take cover in circumstances where its own employee commits the act of dishonesty such as theft. </w:t>
      </w:r>
      <w:proofErr w:type="spellStart"/>
      <w:r w:rsidR="004F1DBA" w:rsidRPr="007B0F5A">
        <w:rPr>
          <w:rFonts w:cs="Arial"/>
          <w:bCs/>
          <w:sz w:val="24"/>
        </w:rPr>
        <w:t>MiWay’s</w:t>
      </w:r>
      <w:proofErr w:type="spellEnd"/>
      <w:r w:rsidR="004F1DBA" w:rsidRPr="007B0F5A">
        <w:rPr>
          <w:rFonts w:cs="Arial"/>
          <w:bCs/>
          <w:sz w:val="24"/>
        </w:rPr>
        <w:t xml:space="preserve"> repudiation of the claim was therefore </w:t>
      </w:r>
      <w:r w:rsidRPr="007B0F5A">
        <w:rPr>
          <w:rFonts w:cs="Arial"/>
          <w:bCs/>
          <w:sz w:val="24"/>
        </w:rPr>
        <w:t>triggered</w:t>
      </w:r>
      <w:r w:rsidR="004F1DBA" w:rsidRPr="007B0F5A">
        <w:rPr>
          <w:rFonts w:cs="Arial"/>
          <w:bCs/>
          <w:sz w:val="24"/>
        </w:rPr>
        <w:t xml:space="preserve">. Theft by </w:t>
      </w:r>
      <w:proofErr w:type="spellStart"/>
      <w:r w:rsidR="004F1DBA" w:rsidRPr="007B0F5A">
        <w:rPr>
          <w:rFonts w:cs="Arial"/>
          <w:bCs/>
          <w:sz w:val="24"/>
        </w:rPr>
        <w:t>Wyno’s</w:t>
      </w:r>
      <w:proofErr w:type="spellEnd"/>
      <w:r w:rsidR="004F1DBA" w:rsidRPr="007B0F5A">
        <w:rPr>
          <w:rFonts w:cs="Arial"/>
          <w:bCs/>
          <w:sz w:val="24"/>
        </w:rPr>
        <w:t xml:space="preserve"> employee is the most reasonable inference to draw under these facts.</w:t>
      </w:r>
      <w:r w:rsidR="004F1DBA" w:rsidRPr="007B0F5A">
        <w:rPr>
          <w:rStyle w:val="FootnoteReference"/>
          <w:rFonts w:cs="Arial"/>
          <w:bCs/>
          <w:sz w:val="24"/>
        </w:rPr>
        <w:footnoteReference w:id="3"/>
      </w:r>
      <w:r w:rsidRPr="007B0F5A">
        <w:rPr>
          <w:rFonts w:cs="Arial"/>
          <w:bCs/>
          <w:sz w:val="24"/>
        </w:rPr>
        <w:t xml:space="preserve"> This leads to the next enquiry.</w:t>
      </w:r>
    </w:p>
    <w:p w:rsidR="004F1DBA" w:rsidRPr="007B0F5A" w:rsidRDefault="004F1DBA" w:rsidP="00315D55">
      <w:pPr>
        <w:pStyle w:val="ListParagraph"/>
        <w:spacing w:after="240" w:line="480" w:lineRule="auto"/>
        <w:ind w:left="0"/>
        <w:contextualSpacing w:val="0"/>
        <w:rPr>
          <w:rFonts w:cs="Arial"/>
          <w:bCs/>
          <w:sz w:val="24"/>
          <w:u w:val="single"/>
        </w:rPr>
      </w:pPr>
      <w:r w:rsidRPr="007B0F5A">
        <w:rPr>
          <w:rFonts w:cs="Arial"/>
          <w:bCs/>
          <w:sz w:val="24"/>
          <w:u w:val="single"/>
        </w:rPr>
        <w:t>Unconstitutionality of the policy</w:t>
      </w:r>
    </w:p>
    <w:p w:rsidR="004F1DBA" w:rsidRDefault="004F1DBA" w:rsidP="00315D55">
      <w:pPr>
        <w:pStyle w:val="ListParagraph"/>
        <w:numPr>
          <w:ilvl w:val="0"/>
          <w:numId w:val="1"/>
        </w:numPr>
        <w:spacing w:after="240" w:line="480" w:lineRule="auto"/>
        <w:contextualSpacing w:val="0"/>
        <w:rPr>
          <w:rFonts w:cs="Arial"/>
          <w:bCs/>
          <w:szCs w:val="22"/>
        </w:rPr>
      </w:pPr>
      <w:proofErr w:type="spellStart"/>
      <w:r>
        <w:rPr>
          <w:rFonts w:cs="Arial"/>
          <w:bCs/>
          <w:szCs w:val="22"/>
        </w:rPr>
        <w:t>MiWay’s</w:t>
      </w:r>
      <w:proofErr w:type="spellEnd"/>
      <w:r>
        <w:rPr>
          <w:rFonts w:cs="Arial"/>
          <w:bCs/>
          <w:szCs w:val="22"/>
        </w:rPr>
        <w:t xml:space="preserve"> response to this claim is as follows:</w:t>
      </w:r>
    </w:p>
    <w:p w:rsidR="00A87D5A" w:rsidRPr="007B0F5A" w:rsidRDefault="00C90487" w:rsidP="00315D55">
      <w:pPr>
        <w:pStyle w:val="ListParagraph"/>
        <w:spacing w:after="240" w:line="480" w:lineRule="auto"/>
        <w:ind w:left="567" w:hanging="567"/>
        <w:contextualSpacing w:val="0"/>
        <w:rPr>
          <w:rFonts w:cs="Arial"/>
          <w:bCs/>
          <w:i/>
          <w:szCs w:val="22"/>
        </w:rPr>
      </w:pPr>
      <w:r w:rsidRPr="007B0F5A">
        <w:rPr>
          <w:rFonts w:cs="Arial"/>
          <w:bCs/>
          <w:i/>
          <w:szCs w:val="22"/>
        </w:rPr>
        <w:t>“</w:t>
      </w:r>
      <w:r w:rsidR="00A87D5A" w:rsidRPr="007B0F5A">
        <w:rPr>
          <w:rFonts w:cs="Arial"/>
          <w:bCs/>
          <w:i/>
          <w:szCs w:val="22"/>
        </w:rPr>
        <w:t>2.3</w:t>
      </w:r>
      <w:r w:rsidR="00A87D5A" w:rsidRPr="007B0F5A">
        <w:rPr>
          <w:rFonts w:cs="Arial"/>
          <w:bCs/>
          <w:i/>
          <w:szCs w:val="22"/>
        </w:rPr>
        <w:tab/>
        <w:t>The policy:</w:t>
      </w:r>
    </w:p>
    <w:p w:rsidR="00A87D5A" w:rsidRPr="007B0F5A" w:rsidRDefault="00A87D5A" w:rsidP="00315D55">
      <w:pPr>
        <w:pStyle w:val="ListParagraph"/>
        <w:spacing w:after="240" w:line="480" w:lineRule="auto"/>
        <w:ind w:left="1134" w:hanging="567"/>
        <w:contextualSpacing w:val="0"/>
        <w:rPr>
          <w:rFonts w:cs="Arial"/>
          <w:bCs/>
          <w:i/>
          <w:szCs w:val="22"/>
        </w:rPr>
      </w:pPr>
      <w:r w:rsidRPr="007B0F5A">
        <w:rPr>
          <w:rFonts w:cs="Arial"/>
          <w:bCs/>
          <w:i/>
          <w:szCs w:val="22"/>
        </w:rPr>
        <w:lastRenderedPageBreak/>
        <w:t>2.3.1</w:t>
      </w:r>
      <w:r w:rsidRPr="007B0F5A">
        <w:rPr>
          <w:rFonts w:cs="Arial"/>
          <w:bCs/>
          <w:i/>
          <w:szCs w:val="22"/>
        </w:rPr>
        <w:tab/>
        <w:t>under the heading summary of cover included the truck at a premium of R2 846.63 per month;</w:t>
      </w:r>
    </w:p>
    <w:p w:rsidR="00A87D5A" w:rsidRPr="007B0F5A" w:rsidRDefault="00A87D5A" w:rsidP="00315D55">
      <w:pPr>
        <w:pStyle w:val="ListParagraph"/>
        <w:spacing w:after="240" w:line="480" w:lineRule="auto"/>
        <w:ind w:left="1134" w:hanging="567"/>
        <w:contextualSpacing w:val="0"/>
        <w:rPr>
          <w:rFonts w:cs="Arial"/>
          <w:bCs/>
          <w:i/>
          <w:szCs w:val="22"/>
        </w:rPr>
      </w:pPr>
      <w:r w:rsidRPr="007B0F5A">
        <w:rPr>
          <w:rFonts w:cs="Arial"/>
          <w:bCs/>
          <w:i/>
          <w:szCs w:val="22"/>
        </w:rPr>
        <w:t>2.3.2</w:t>
      </w:r>
      <w:r w:rsidRPr="007B0F5A">
        <w:rPr>
          <w:rFonts w:cs="Arial"/>
          <w:bCs/>
          <w:i/>
          <w:szCs w:val="22"/>
        </w:rPr>
        <w:tab/>
        <w:t>Under “The Cover” had the option for and included cover for theft and hi-jack;</w:t>
      </w:r>
    </w:p>
    <w:p w:rsidR="00A87D5A" w:rsidRPr="007B0F5A" w:rsidRDefault="00A87D5A" w:rsidP="00315D55">
      <w:pPr>
        <w:pStyle w:val="ListParagraph"/>
        <w:spacing w:after="240" w:line="480" w:lineRule="auto"/>
        <w:ind w:left="1134" w:hanging="567"/>
        <w:contextualSpacing w:val="0"/>
        <w:rPr>
          <w:rFonts w:cs="Arial"/>
          <w:bCs/>
          <w:i/>
          <w:szCs w:val="22"/>
        </w:rPr>
      </w:pPr>
      <w:r w:rsidRPr="007B0F5A">
        <w:rPr>
          <w:rFonts w:cs="Arial"/>
          <w:bCs/>
          <w:i/>
          <w:szCs w:val="22"/>
        </w:rPr>
        <w:t>2.3.3</w:t>
      </w:r>
      <w:r w:rsidRPr="007B0F5A">
        <w:rPr>
          <w:rFonts w:cs="Arial"/>
          <w:bCs/>
          <w:i/>
          <w:szCs w:val="22"/>
        </w:rPr>
        <w:tab/>
        <w:t>Under “Optional Add-On Cover” had the option for “vehicle loss of use” and “driver dishonest</w:t>
      </w:r>
      <w:r w:rsidR="00317845" w:rsidRPr="007B0F5A">
        <w:rPr>
          <w:rFonts w:cs="Arial"/>
          <w:bCs/>
          <w:i/>
          <w:szCs w:val="22"/>
        </w:rPr>
        <w:t>y</w:t>
      </w:r>
      <w:r w:rsidRPr="007B0F5A">
        <w:rPr>
          <w:rFonts w:cs="Arial"/>
          <w:bCs/>
          <w:i/>
          <w:szCs w:val="22"/>
        </w:rPr>
        <w:t>”, however this option was excluded by the applicant;</w:t>
      </w:r>
    </w:p>
    <w:p w:rsidR="00692250" w:rsidRPr="00907431" w:rsidRDefault="00692250" w:rsidP="00315D55">
      <w:pPr>
        <w:pStyle w:val="ListParagraph"/>
        <w:spacing w:after="240" w:line="480" w:lineRule="auto"/>
        <w:ind w:left="567" w:hanging="567"/>
        <w:contextualSpacing w:val="0"/>
        <w:rPr>
          <w:rFonts w:cs="Arial"/>
          <w:bCs/>
          <w:i/>
          <w:szCs w:val="22"/>
        </w:rPr>
      </w:pPr>
      <w:r w:rsidRPr="007B0F5A">
        <w:rPr>
          <w:rFonts w:cs="Arial"/>
          <w:bCs/>
          <w:i/>
          <w:szCs w:val="22"/>
        </w:rPr>
        <w:t>2.4</w:t>
      </w:r>
      <w:r w:rsidRPr="007B0F5A">
        <w:rPr>
          <w:rFonts w:cs="Arial"/>
          <w:bCs/>
          <w:i/>
          <w:szCs w:val="22"/>
        </w:rPr>
        <w:tab/>
        <w:t xml:space="preserve">The applicant deliberately elected to exclude driver dishonesty. The respondent’s policy is designed that by default all the optional add on cover is included or “ticked” </w:t>
      </w:r>
      <w:r w:rsidRPr="00907431">
        <w:rPr>
          <w:rFonts w:cs="Arial"/>
          <w:bCs/>
          <w:i/>
          <w:szCs w:val="22"/>
        </w:rPr>
        <w:t xml:space="preserve">and it was for the applicant </w:t>
      </w:r>
      <w:r w:rsidR="00317845" w:rsidRPr="00907431">
        <w:rPr>
          <w:rFonts w:cs="Arial"/>
          <w:bCs/>
          <w:i/>
          <w:szCs w:val="22"/>
        </w:rPr>
        <w:t xml:space="preserve">(to) </w:t>
      </w:r>
      <w:r w:rsidRPr="00907431">
        <w:rPr>
          <w:rFonts w:cs="Arial"/>
          <w:bCs/>
          <w:i/>
          <w:szCs w:val="22"/>
        </w:rPr>
        <w:t>exclude or “untick” these options.</w:t>
      </w:r>
    </w:p>
    <w:p w:rsidR="00692250" w:rsidRPr="00907431" w:rsidRDefault="00692250" w:rsidP="00315D55">
      <w:pPr>
        <w:pStyle w:val="ListParagraph"/>
        <w:spacing w:after="240" w:line="480" w:lineRule="auto"/>
        <w:ind w:left="567" w:hanging="567"/>
        <w:contextualSpacing w:val="0"/>
        <w:rPr>
          <w:rFonts w:cs="Arial"/>
          <w:bCs/>
          <w:i/>
          <w:szCs w:val="22"/>
        </w:rPr>
      </w:pPr>
      <w:r w:rsidRPr="00907431">
        <w:rPr>
          <w:rFonts w:cs="Arial"/>
          <w:bCs/>
          <w:i/>
          <w:szCs w:val="22"/>
        </w:rPr>
        <w:t>2.5</w:t>
      </w:r>
      <w:r w:rsidRPr="00907431">
        <w:rPr>
          <w:rFonts w:cs="Arial"/>
          <w:bCs/>
          <w:i/>
          <w:szCs w:val="22"/>
        </w:rPr>
        <w:tab/>
        <w:t>The option was excluded as it influences the monthly premium. The applicant would have paid R3 350.09 per month as opposed to R2 846.63 had it “ticked” the driver dishonesty box.</w:t>
      </w:r>
    </w:p>
    <w:p w:rsidR="00692250" w:rsidRPr="00907431" w:rsidRDefault="00692250" w:rsidP="00315D55">
      <w:pPr>
        <w:pStyle w:val="ListParagraph"/>
        <w:spacing w:after="240" w:line="480" w:lineRule="auto"/>
        <w:ind w:left="567" w:hanging="567"/>
        <w:contextualSpacing w:val="0"/>
        <w:rPr>
          <w:rFonts w:cs="Arial"/>
          <w:bCs/>
          <w:i/>
          <w:szCs w:val="22"/>
        </w:rPr>
      </w:pPr>
      <w:r w:rsidRPr="00907431">
        <w:rPr>
          <w:rFonts w:cs="Arial"/>
          <w:bCs/>
          <w:i/>
          <w:szCs w:val="22"/>
        </w:rPr>
        <w:t>2.6</w:t>
      </w:r>
      <w:r w:rsidRPr="00907431">
        <w:rPr>
          <w:rFonts w:cs="Arial"/>
          <w:bCs/>
          <w:i/>
          <w:szCs w:val="22"/>
        </w:rPr>
        <w:tab/>
        <w:t xml:space="preserve">The heading in the policy titled “Driver Dishonesty” which start on page 15 of the policy wording stipulates the </w:t>
      </w:r>
      <w:proofErr w:type="gramStart"/>
      <w:r w:rsidRPr="00907431">
        <w:rPr>
          <w:rFonts w:cs="Arial"/>
          <w:bCs/>
          <w:i/>
          <w:szCs w:val="22"/>
        </w:rPr>
        <w:t>following:-</w:t>
      </w:r>
      <w:proofErr w:type="gramEnd"/>
    </w:p>
    <w:p w:rsidR="00692250" w:rsidRPr="00907431" w:rsidRDefault="00692250" w:rsidP="00315D55">
      <w:pPr>
        <w:pStyle w:val="ListParagraph"/>
        <w:spacing w:after="240" w:line="480" w:lineRule="auto"/>
        <w:ind w:left="567"/>
        <w:contextualSpacing w:val="0"/>
        <w:rPr>
          <w:rFonts w:cs="Arial"/>
          <w:bCs/>
          <w:i/>
          <w:szCs w:val="22"/>
        </w:rPr>
      </w:pPr>
      <w:r w:rsidRPr="00907431">
        <w:rPr>
          <w:rFonts w:cs="Arial"/>
          <w:bCs/>
          <w:i/>
          <w:szCs w:val="22"/>
        </w:rPr>
        <w:t>“</w:t>
      </w:r>
      <w:r w:rsidRPr="00907431">
        <w:rPr>
          <w:rFonts w:cs="Arial"/>
          <w:b/>
          <w:bCs/>
          <w:i/>
          <w:szCs w:val="22"/>
        </w:rPr>
        <w:t>Driver dishonesty</w:t>
      </w:r>
    </w:p>
    <w:p w:rsidR="00692250" w:rsidRPr="00907431" w:rsidRDefault="00692250" w:rsidP="00315D55">
      <w:pPr>
        <w:pStyle w:val="ListParagraph"/>
        <w:spacing w:after="240" w:line="480" w:lineRule="auto"/>
        <w:ind w:left="567"/>
        <w:contextualSpacing w:val="0"/>
        <w:rPr>
          <w:rFonts w:cs="Arial"/>
          <w:bCs/>
          <w:i/>
          <w:szCs w:val="22"/>
        </w:rPr>
      </w:pPr>
      <w:r w:rsidRPr="00907431">
        <w:rPr>
          <w:rFonts w:cs="Arial"/>
          <w:bCs/>
          <w:i/>
          <w:szCs w:val="22"/>
        </w:rPr>
        <w:t>Cover against loss, damage, injury and liability which would otherwise have been excluded due to one of the exclusions listed below.</w:t>
      </w:r>
    </w:p>
    <w:p w:rsidR="00692250" w:rsidRPr="00907431" w:rsidRDefault="00692250" w:rsidP="00315D55">
      <w:pPr>
        <w:pStyle w:val="ListParagraph"/>
        <w:spacing w:after="240" w:line="480" w:lineRule="auto"/>
        <w:ind w:left="567"/>
        <w:contextualSpacing w:val="0"/>
        <w:rPr>
          <w:rFonts w:cs="Arial"/>
          <w:bCs/>
          <w:i/>
          <w:szCs w:val="22"/>
        </w:rPr>
      </w:pPr>
      <w:r w:rsidRPr="00907431">
        <w:rPr>
          <w:rFonts w:cs="Arial"/>
          <w:bCs/>
          <w:i/>
          <w:szCs w:val="22"/>
        </w:rPr>
        <w:t>…</w:t>
      </w:r>
    </w:p>
    <w:p w:rsidR="00692250" w:rsidRPr="00907431" w:rsidRDefault="00692250" w:rsidP="00315D55">
      <w:pPr>
        <w:pStyle w:val="ListParagraph"/>
        <w:spacing w:after="240" w:line="480" w:lineRule="auto"/>
        <w:ind w:left="1134" w:hanging="567"/>
        <w:contextualSpacing w:val="0"/>
        <w:rPr>
          <w:rFonts w:cs="Arial"/>
          <w:bCs/>
          <w:i/>
          <w:szCs w:val="22"/>
        </w:rPr>
      </w:pPr>
      <w:r w:rsidRPr="00907431">
        <w:rPr>
          <w:rFonts w:cs="Arial"/>
          <w:bCs/>
          <w:i/>
          <w:szCs w:val="22"/>
        </w:rPr>
        <w:sym w:font="Wingdings" w:char="F09F"/>
      </w:r>
      <w:r w:rsidRPr="00907431">
        <w:rPr>
          <w:rFonts w:cs="Arial"/>
          <w:bCs/>
          <w:i/>
          <w:szCs w:val="22"/>
        </w:rPr>
        <w:tab/>
        <w:t>Loss of damage due to theft or attempted theft of the vehicle by any employee of the policyholder.</w:t>
      </w:r>
    </w:p>
    <w:p w:rsidR="00692250" w:rsidRPr="00907431" w:rsidRDefault="00692250" w:rsidP="00315D55">
      <w:pPr>
        <w:pStyle w:val="ListParagraph"/>
        <w:spacing w:after="240" w:line="480" w:lineRule="auto"/>
        <w:ind w:left="567"/>
        <w:contextualSpacing w:val="0"/>
        <w:rPr>
          <w:rFonts w:cs="Arial"/>
          <w:bCs/>
          <w:i/>
          <w:szCs w:val="22"/>
        </w:rPr>
      </w:pPr>
      <w:r w:rsidRPr="00907431">
        <w:rPr>
          <w:rFonts w:cs="Arial"/>
          <w:bCs/>
          <w:i/>
          <w:szCs w:val="22"/>
        </w:rPr>
        <w:t>…</w:t>
      </w:r>
    </w:p>
    <w:p w:rsidR="00692250" w:rsidRPr="00907431" w:rsidRDefault="00692250" w:rsidP="00315D55">
      <w:pPr>
        <w:pStyle w:val="ListParagraph"/>
        <w:spacing w:after="240" w:line="480" w:lineRule="auto"/>
        <w:ind w:left="567"/>
        <w:contextualSpacing w:val="0"/>
        <w:rPr>
          <w:rFonts w:cs="Arial"/>
          <w:bCs/>
          <w:i/>
          <w:szCs w:val="22"/>
        </w:rPr>
      </w:pPr>
      <w:r w:rsidRPr="00907431">
        <w:rPr>
          <w:rFonts w:cs="Arial"/>
          <w:b/>
          <w:bCs/>
          <w:i/>
          <w:szCs w:val="22"/>
        </w:rPr>
        <w:t>WHAT IS NOT COVERED UNDER BUSINESS VEHICLES?</w:t>
      </w:r>
    </w:p>
    <w:p w:rsidR="00692250" w:rsidRPr="00907431" w:rsidRDefault="00692250" w:rsidP="00315D55">
      <w:pPr>
        <w:pStyle w:val="ListParagraph"/>
        <w:spacing w:after="240" w:line="480" w:lineRule="auto"/>
        <w:ind w:left="567"/>
        <w:contextualSpacing w:val="0"/>
        <w:rPr>
          <w:rFonts w:cs="Arial"/>
          <w:bCs/>
          <w:i/>
          <w:szCs w:val="22"/>
        </w:rPr>
      </w:pPr>
      <w:r w:rsidRPr="00907431">
        <w:rPr>
          <w:rFonts w:cs="Arial"/>
          <w:bCs/>
          <w:i/>
          <w:szCs w:val="22"/>
        </w:rPr>
        <w:t>…</w:t>
      </w:r>
    </w:p>
    <w:p w:rsidR="00692250" w:rsidRPr="00907431" w:rsidRDefault="00692250" w:rsidP="00315D55">
      <w:pPr>
        <w:pStyle w:val="ListParagraph"/>
        <w:spacing w:after="240" w:line="480" w:lineRule="auto"/>
        <w:ind w:left="1134" w:hanging="567"/>
        <w:contextualSpacing w:val="0"/>
        <w:rPr>
          <w:rFonts w:cs="Arial"/>
          <w:bCs/>
          <w:i/>
          <w:szCs w:val="22"/>
        </w:rPr>
      </w:pPr>
      <w:r w:rsidRPr="00907431">
        <w:rPr>
          <w:rFonts w:cs="Arial"/>
          <w:bCs/>
          <w:i/>
          <w:szCs w:val="22"/>
        </w:rPr>
        <w:lastRenderedPageBreak/>
        <w:sym w:font="Wingdings" w:char="F09F"/>
      </w:r>
      <w:r w:rsidR="003B65BD" w:rsidRPr="00907431">
        <w:rPr>
          <w:rFonts w:cs="Arial"/>
          <w:bCs/>
          <w:i/>
          <w:szCs w:val="22"/>
        </w:rPr>
        <w:tab/>
        <w:t>Loss of damage due to theft or attempted theft of the vehicle by any employee of the policyholder.</w:t>
      </w:r>
    </w:p>
    <w:p w:rsidR="00692250" w:rsidRPr="00907431" w:rsidRDefault="003B65BD" w:rsidP="00315D55">
      <w:pPr>
        <w:pStyle w:val="ListParagraph"/>
        <w:spacing w:after="240" w:line="480" w:lineRule="auto"/>
        <w:ind w:left="567"/>
        <w:contextualSpacing w:val="0"/>
        <w:rPr>
          <w:rFonts w:cs="Arial"/>
          <w:bCs/>
          <w:i/>
          <w:szCs w:val="22"/>
        </w:rPr>
      </w:pPr>
      <w:r w:rsidRPr="00907431">
        <w:rPr>
          <w:rFonts w:cs="Arial"/>
          <w:bCs/>
          <w:i/>
          <w:szCs w:val="22"/>
        </w:rPr>
        <w:t>…</w:t>
      </w:r>
    </w:p>
    <w:p w:rsidR="003B65BD" w:rsidRPr="00907431" w:rsidRDefault="003B65BD" w:rsidP="00315D55">
      <w:pPr>
        <w:pStyle w:val="ListParagraph"/>
        <w:spacing w:after="240" w:line="480" w:lineRule="auto"/>
        <w:ind w:left="567"/>
        <w:contextualSpacing w:val="0"/>
        <w:rPr>
          <w:rFonts w:cs="Arial"/>
          <w:bCs/>
          <w:i/>
          <w:szCs w:val="22"/>
        </w:rPr>
      </w:pPr>
      <w:r w:rsidRPr="00907431">
        <w:rPr>
          <w:rFonts w:cs="Arial"/>
          <w:bCs/>
          <w:i/>
          <w:szCs w:val="22"/>
        </w:rPr>
        <w:t>The above exclusions will not apply if driver dishonesty cover is selected and if the conditions of cover explained further under the driver dishonest section were met …”</w:t>
      </w:r>
    </w:p>
    <w:p w:rsidR="00692250" w:rsidRPr="00907431" w:rsidRDefault="003B65BD" w:rsidP="00315D55">
      <w:pPr>
        <w:pStyle w:val="ListParagraph"/>
        <w:spacing w:after="240" w:line="480" w:lineRule="auto"/>
        <w:ind w:left="567" w:hanging="567"/>
        <w:contextualSpacing w:val="0"/>
        <w:rPr>
          <w:rFonts w:cs="Arial"/>
          <w:bCs/>
          <w:i/>
          <w:szCs w:val="22"/>
        </w:rPr>
      </w:pPr>
      <w:r w:rsidRPr="00907431">
        <w:rPr>
          <w:rFonts w:cs="Arial"/>
          <w:bCs/>
          <w:i/>
          <w:szCs w:val="22"/>
        </w:rPr>
        <w:t>2.7</w:t>
      </w:r>
      <w:r w:rsidRPr="00907431">
        <w:rPr>
          <w:rFonts w:cs="Arial"/>
          <w:bCs/>
          <w:i/>
          <w:szCs w:val="22"/>
        </w:rPr>
        <w:tab/>
        <w:t>From the policy wording, it is therefore clear that contractually the applicant was well capable of selecting and benefiting from the driver “dishonesty cover” that would have included cover for theft or attempted theft by one of its employees.</w:t>
      </w:r>
      <w:r w:rsidR="00317845" w:rsidRPr="00907431">
        <w:rPr>
          <w:rFonts w:cs="Arial"/>
          <w:bCs/>
          <w:i/>
          <w:szCs w:val="22"/>
        </w:rPr>
        <w:t>”</w:t>
      </w:r>
    </w:p>
    <w:p w:rsidR="004F1DBA" w:rsidRPr="00907431" w:rsidRDefault="00C90487" w:rsidP="00315D55">
      <w:pPr>
        <w:pStyle w:val="ListParagraph"/>
        <w:numPr>
          <w:ilvl w:val="0"/>
          <w:numId w:val="1"/>
        </w:numPr>
        <w:spacing w:before="480" w:after="240" w:line="480" w:lineRule="auto"/>
        <w:contextualSpacing w:val="0"/>
        <w:rPr>
          <w:rFonts w:cs="Arial"/>
          <w:bCs/>
          <w:sz w:val="24"/>
        </w:rPr>
      </w:pPr>
      <w:r w:rsidRPr="00907431">
        <w:rPr>
          <w:rFonts w:cs="Arial"/>
          <w:bCs/>
          <w:sz w:val="24"/>
        </w:rPr>
        <w:t>The policy was accompanied by a covering letter which</w:t>
      </w:r>
      <w:r w:rsidR="00317845" w:rsidRPr="00907431">
        <w:rPr>
          <w:rFonts w:cs="Arial"/>
          <w:bCs/>
          <w:sz w:val="24"/>
        </w:rPr>
        <w:t>, in relevant parts,</w:t>
      </w:r>
      <w:r w:rsidRPr="00907431">
        <w:rPr>
          <w:rFonts w:cs="Arial"/>
          <w:bCs/>
          <w:sz w:val="24"/>
        </w:rPr>
        <w:t xml:space="preserve"> reads as follows:</w:t>
      </w:r>
    </w:p>
    <w:p w:rsidR="00C90487" w:rsidRPr="00907431" w:rsidRDefault="00C90487" w:rsidP="00315D55">
      <w:pPr>
        <w:pStyle w:val="ListParagraph"/>
        <w:spacing w:before="240" w:after="240" w:line="480" w:lineRule="auto"/>
        <w:ind w:left="0"/>
        <w:contextualSpacing w:val="0"/>
        <w:rPr>
          <w:rFonts w:cs="Arial"/>
          <w:bCs/>
          <w:i/>
          <w:szCs w:val="22"/>
        </w:rPr>
      </w:pPr>
      <w:r w:rsidRPr="00907431">
        <w:rPr>
          <w:rFonts w:cs="Arial"/>
          <w:bCs/>
          <w:i/>
          <w:szCs w:val="22"/>
        </w:rPr>
        <w:t>“</w:t>
      </w:r>
      <w:r w:rsidR="00A87D5A" w:rsidRPr="00907431">
        <w:rPr>
          <w:rFonts w:cs="Arial"/>
          <w:bCs/>
          <w:i/>
          <w:szCs w:val="22"/>
        </w:rPr>
        <w:t>Dear Wendy Mchunu</w:t>
      </w:r>
    </w:p>
    <w:p w:rsidR="00A87D5A" w:rsidRPr="00907431" w:rsidRDefault="00317845" w:rsidP="00315D55">
      <w:pPr>
        <w:pStyle w:val="ListParagraph"/>
        <w:spacing w:before="240" w:after="240" w:line="480" w:lineRule="auto"/>
        <w:ind w:left="0"/>
        <w:contextualSpacing w:val="0"/>
        <w:rPr>
          <w:rFonts w:cs="Arial"/>
          <w:bCs/>
          <w:i/>
          <w:szCs w:val="22"/>
        </w:rPr>
      </w:pPr>
      <w:r w:rsidRPr="00907431">
        <w:rPr>
          <w:rFonts w:cs="Arial"/>
          <w:bCs/>
          <w:i/>
          <w:szCs w:val="22"/>
        </w:rPr>
        <w:t>…</w:t>
      </w:r>
    </w:p>
    <w:p w:rsidR="00A87D5A" w:rsidRPr="00907431" w:rsidRDefault="00A87D5A" w:rsidP="00315D55">
      <w:pPr>
        <w:pStyle w:val="ListParagraph"/>
        <w:spacing w:before="240" w:after="240" w:line="480" w:lineRule="auto"/>
        <w:ind w:left="0"/>
        <w:contextualSpacing w:val="0"/>
        <w:rPr>
          <w:rFonts w:cs="Arial"/>
          <w:bCs/>
          <w:i/>
          <w:szCs w:val="22"/>
        </w:rPr>
      </w:pPr>
      <w:r w:rsidRPr="00907431">
        <w:rPr>
          <w:rFonts w:cs="Arial"/>
          <w:bCs/>
          <w:i/>
          <w:szCs w:val="22"/>
        </w:rPr>
        <w:t>The Policy Wording, Coversheet (Policy schedule) and all relevant attachments confirm the details of this insurance policy. Please read through all the documentation to ensure that your insurance needs are met and that you are familiar with the details regarding the cover and any amendments thereto, including the cover exclusions, condition of cover and applicable excesses.</w:t>
      </w:r>
    </w:p>
    <w:p w:rsidR="00A87D5A" w:rsidRPr="00907431" w:rsidRDefault="00A87D5A" w:rsidP="00315D55">
      <w:pPr>
        <w:pStyle w:val="ListParagraph"/>
        <w:spacing w:before="240" w:after="240" w:line="480" w:lineRule="auto"/>
        <w:ind w:left="0"/>
        <w:contextualSpacing w:val="0"/>
        <w:rPr>
          <w:rFonts w:cs="Arial"/>
          <w:bCs/>
          <w:i/>
          <w:szCs w:val="22"/>
        </w:rPr>
      </w:pPr>
      <w:r w:rsidRPr="00907431">
        <w:rPr>
          <w:rFonts w:cs="Arial"/>
          <w:bCs/>
          <w:i/>
          <w:szCs w:val="22"/>
        </w:rPr>
        <w:t xml:space="preserve">It is important to confirm that the information noted on the Coversheet is correct, as the premium is based thereon. </w:t>
      </w:r>
      <w:r w:rsidR="00317845" w:rsidRPr="00907431">
        <w:rPr>
          <w:rFonts w:cs="Arial"/>
          <w:bCs/>
          <w:i/>
          <w:szCs w:val="22"/>
        </w:rPr>
        <w:t>…</w:t>
      </w:r>
    </w:p>
    <w:p w:rsidR="00692250" w:rsidRPr="00907431" w:rsidRDefault="00692250" w:rsidP="00315D55">
      <w:pPr>
        <w:pStyle w:val="ListParagraph"/>
        <w:spacing w:before="240" w:after="240" w:line="480" w:lineRule="auto"/>
        <w:ind w:left="0"/>
        <w:contextualSpacing w:val="0"/>
        <w:rPr>
          <w:rFonts w:cs="Arial"/>
          <w:bCs/>
          <w:i/>
          <w:szCs w:val="22"/>
        </w:rPr>
      </w:pPr>
      <w:r w:rsidRPr="00907431">
        <w:rPr>
          <w:rFonts w:cs="Arial"/>
          <w:bCs/>
          <w:i/>
          <w:szCs w:val="22"/>
        </w:rPr>
        <w:t>We are confident that your policy provides you with real value for money, combining the widest cover and benefits.</w:t>
      </w:r>
    </w:p>
    <w:p w:rsidR="00A87D5A" w:rsidRPr="00907431" w:rsidRDefault="00A87D5A" w:rsidP="00315D55">
      <w:pPr>
        <w:pStyle w:val="ListParagraph"/>
        <w:spacing w:before="240" w:after="240" w:line="480" w:lineRule="auto"/>
        <w:ind w:left="0"/>
        <w:contextualSpacing w:val="0"/>
        <w:rPr>
          <w:rFonts w:cs="Arial"/>
          <w:bCs/>
          <w:i/>
          <w:szCs w:val="22"/>
        </w:rPr>
      </w:pPr>
      <w:r w:rsidRPr="00907431">
        <w:rPr>
          <w:rFonts w:cs="Arial"/>
          <w:bCs/>
          <w:i/>
          <w:szCs w:val="22"/>
        </w:rPr>
        <w:t>Kind regards</w:t>
      </w:r>
      <w:r w:rsidR="00692250" w:rsidRPr="00907431">
        <w:rPr>
          <w:rFonts w:cs="Arial"/>
          <w:bCs/>
          <w:i/>
          <w:szCs w:val="22"/>
        </w:rPr>
        <w:t>”</w:t>
      </w:r>
      <w:r w:rsidR="003B65BD" w:rsidRPr="00907431">
        <w:rPr>
          <w:rFonts w:cs="Arial"/>
          <w:bCs/>
          <w:i/>
          <w:szCs w:val="22"/>
        </w:rPr>
        <w:t xml:space="preserve"> </w:t>
      </w:r>
    </w:p>
    <w:p w:rsidR="00C90487" w:rsidRPr="00907431" w:rsidRDefault="00AB1339" w:rsidP="00315D55">
      <w:pPr>
        <w:pStyle w:val="ListParagraph"/>
        <w:widowControl w:val="0"/>
        <w:numPr>
          <w:ilvl w:val="0"/>
          <w:numId w:val="1"/>
        </w:numPr>
        <w:spacing w:before="360" w:after="240" w:line="480" w:lineRule="auto"/>
        <w:contextualSpacing w:val="0"/>
        <w:rPr>
          <w:rFonts w:cs="Arial"/>
          <w:bCs/>
          <w:sz w:val="24"/>
        </w:rPr>
      </w:pPr>
      <w:r w:rsidRPr="00907431">
        <w:rPr>
          <w:rFonts w:cs="Arial"/>
          <w:bCs/>
          <w:sz w:val="24"/>
        </w:rPr>
        <w:lastRenderedPageBreak/>
        <w:t xml:space="preserve">The applicant relies on </w:t>
      </w:r>
      <w:proofErr w:type="spellStart"/>
      <w:r w:rsidRPr="00907431">
        <w:rPr>
          <w:rFonts w:cs="Arial"/>
          <w:bCs/>
          <w:i/>
          <w:sz w:val="24"/>
        </w:rPr>
        <w:t>Beadic</w:t>
      </w:r>
      <w:r w:rsidR="00317845" w:rsidRPr="00907431">
        <w:rPr>
          <w:rFonts w:cs="Arial"/>
          <w:bCs/>
          <w:i/>
          <w:sz w:val="24"/>
        </w:rPr>
        <w:t>a</w:t>
      </w:r>
      <w:proofErr w:type="spellEnd"/>
      <w:r w:rsidRPr="00907431">
        <w:rPr>
          <w:rFonts w:cs="Arial"/>
          <w:bCs/>
          <w:i/>
          <w:sz w:val="24"/>
        </w:rPr>
        <w:t xml:space="preserve"> 231 CC &amp; Others v Trustees for the time being of the Oregon Trust &amp; Others</w:t>
      </w:r>
      <w:r w:rsidRPr="00907431">
        <w:rPr>
          <w:rStyle w:val="FootnoteReference"/>
          <w:rFonts w:cs="Arial"/>
          <w:bCs/>
          <w:i/>
          <w:sz w:val="24"/>
        </w:rPr>
        <w:footnoteReference w:id="4"/>
      </w:r>
      <w:r w:rsidRPr="00907431">
        <w:rPr>
          <w:rFonts w:cs="Arial"/>
          <w:bCs/>
          <w:sz w:val="24"/>
        </w:rPr>
        <w:t xml:space="preserve"> and </w:t>
      </w:r>
      <w:r w:rsidRPr="00907431">
        <w:rPr>
          <w:rFonts w:cs="Arial"/>
          <w:bCs/>
          <w:i/>
          <w:sz w:val="24"/>
        </w:rPr>
        <w:t xml:space="preserve">AB &amp; Another v </w:t>
      </w:r>
      <w:proofErr w:type="spellStart"/>
      <w:r w:rsidRPr="00907431">
        <w:rPr>
          <w:rFonts w:cs="Arial"/>
          <w:bCs/>
          <w:i/>
          <w:sz w:val="24"/>
        </w:rPr>
        <w:t>Pridwin</w:t>
      </w:r>
      <w:proofErr w:type="spellEnd"/>
      <w:r w:rsidRPr="00907431">
        <w:rPr>
          <w:rFonts w:cs="Arial"/>
          <w:bCs/>
          <w:i/>
          <w:sz w:val="24"/>
        </w:rPr>
        <w:t xml:space="preserve"> Preparatory School &amp; Others</w:t>
      </w:r>
      <w:r w:rsidRPr="00907431">
        <w:rPr>
          <w:rStyle w:val="FootnoteReference"/>
          <w:rFonts w:cs="Arial"/>
          <w:bCs/>
          <w:sz w:val="24"/>
        </w:rPr>
        <w:footnoteReference w:id="5"/>
      </w:r>
      <w:r w:rsidRPr="00907431">
        <w:rPr>
          <w:rFonts w:cs="Arial"/>
          <w:bCs/>
          <w:sz w:val="24"/>
        </w:rPr>
        <w:t xml:space="preserve">. In </w:t>
      </w:r>
      <w:proofErr w:type="spellStart"/>
      <w:r w:rsidRPr="00907431">
        <w:rPr>
          <w:rFonts w:cs="Arial"/>
          <w:bCs/>
          <w:i/>
          <w:sz w:val="24"/>
        </w:rPr>
        <w:t>Beadic</w:t>
      </w:r>
      <w:r w:rsidR="00EC6F97" w:rsidRPr="00907431">
        <w:rPr>
          <w:rFonts w:cs="Arial"/>
          <w:bCs/>
          <w:i/>
          <w:sz w:val="24"/>
        </w:rPr>
        <w:t>a</w:t>
      </w:r>
      <w:proofErr w:type="spellEnd"/>
      <w:r w:rsidRPr="00907431">
        <w:rPr>
          <w:rFonts w:cs="Arial"/>
          <w:bCs/>
          <w:sz w:val="24"/>
        </w:rPr>
        <w:t xml:space="preserve"> the following is stated:</w:t>
      </w:r>
    </w:p>
    <w:p w:rsidR="004A3CE3" w:rsidRPr="00907431" w:rsidRDefault="00A87D5A" w:rsidP="00315D55">
      <w:pPr>
        <w:pStyle w:val="ListParagraph"/>
        <w:spacing w:before="240" w:after="240" w:line="480" w:lineRule="auto"/>
        <w:ind w:left="567" w:hanging="567"/>
        <w:contextualSpacing w:val="0"/>
        <w:rPr>
          <w:rFonts w:cs="Arial"/>
          <w:bCs/>
          <w:i/>
          <w:szCs w:val="22"/>
        </w:rPr>
      </w:pPr>
      <w:r w:rsidRPr="00907431">
        <w:rPr>
          <w:rFonts w:cs="Arial"/>
          <w:bCs/>
          <w:i/>
          <w:szCs w:val="22"/>
        </w:rPr>
        <w:t xml:space="preserve"> </w:t>
      </w:r>
      <w:r w:rsidR="004A3CE3" w:rsidRPr="00907431">
        <w:rPr>
          <w:rFonts w:cs="Arial"/>
          <w:bCs/>
          <w:i/>
          <w:szCs w:val="22"/>
        </w:rPr>
        <w:t xml:space="preserve">“[72] </w:t>
      </w:r>
      <w:r w:rsidRPr="00907431">
        <w:rPr>
          <w:rFonts w:cs="Arial"/>
          <w:bCs/>
          <w:i/>
          <w:szCs w:val="22"/>
        </w:rPr>
        <w:tab/>
      </w:r>
      <w:r w:rsidR="004A3CE3" w:rsidRPr="00907431">
        <w:rPr>
          <w:rFonts w:cs="Arial"/>
          <w:bCs/>
          <w:i/>
          <w:szCs w:val="22"/>
        </w:rPr>
        <w:t xml:space="preserve">It is clear that public policy imports values of fairness, reasonableness and justice. Ubuntu, which encompasses these values, is now also recognised as a constitutional value, inspiring our constitutional compact, which in turn informs public policy. These values form important considerations in the balancing exercise required to determine whether a contractual term, or its enforcement, is contrary to public policy. </w:t>
      </w:r>
    </w:p>
    <w:p w:rsidR="004A3CE3" w:rsidRPr="00907431" w:rsidRDefault="004A3CE3" w:rsidP="00315D55">
      <w:pPr>
        <w:pStyle w:val="ListParagraph"/>
        <w:spacing w:before="240" w:after="240" w:line="480" w:lineRule="auto"/>
        <w:ind w:left="567" w:hanging="567"/>
        <w:contextualSpacing w:val="0"/>
        <w:rPr>
          <w:rFonts w:cs="Arial"/>
          <w:bCs/>
          <w:i/>
          <w:szCs w:val="22"/>
        </w:rPr>
      </w:pPr>
      <w:r w:rsidRPr="00907431">
        <w:rPr>
          <w:rFonts w:cs="Arial"/>
          <w:bCs/>
          <w:i/>
          <w:szCs w:val="22"/>
        </w:rPr>
        <w:t xml:space="preserve">[73] </w:t>
      </w:r>
      <w:r w:rsidR="00A87D5A" w:rsidRPr="00907431">
        <w:rPr>
          <w:rFonts w:cs="Arial"/>
          <w:bCs/>
          <w:i/>
          <w:szCs w:val="22"/>
        </w:rPr>
        <w:tab/>
      </w:r>
      <w:r w:rsidRPr="00907431">
        <w:rPr>
          <w:rFonts w:cs="Arial"/>
          <w:bCs/>
          <w:i/>
          <w:szCs w:val="22"/>
        </w:rPr>
        <w:t>While these values play an important role in the public policy analysis, they also perform creative, informative and controlling functions in that they underlie and inform the substantive law of contract.</w:t>
      </w:r>
      <w:r w:rsidR="00A87D5A" w:rsidRPr="00907431">
        <w:rPr>
          <w:rFonts w:cs="Arial"/>
          <w:bCs/>
          <w:i/>
          <w:szCs w:val="22"/>
        </w:rPr>
        <w:t xml:space="preserve"> …</w:t>
      </w:r>
      <w:r w:rsidRPr="00907431">
        <w:rPr>
          <w:rFonts w:cs="Arial"/>
          <w:bCs/>
          <w:i/>
          <w:szCs w:val="22"/>
        </w:rPr>
        <w:t>”</w:t>
      </w:r>
    </w:p>
    <w:p w:rsidR="00130717" w:rsidRPr="00907431" w:rsidRDefault="00AB1339" w:rsidP="00315D55">
      <w:pPr>
        <w:pStyle w:val="ListParagraph"/>
        <w:numPr>
          <w:ilvl w:val="0"/>
          <w:numId w:val="1"/>
        </w:numPr>
        <w:spacing w:after="240" w:line="480" w:lineRule="auto"/>
        <w:contextualSpacing w:val="0"/>
        <w:rPr>
          <w:rFonts w:cs="Arial"/>
          <w:bCs/>
          <w:sz w:val="24"/>
        </w:rPr>
      </w:pPr>
      <w:r w:rsidRPr="00907431">
        <w:rPr>
          <w:rFonts w:cs="Arial"/>
          <w:bCs/>
          <w:sz w:val="24"/>
        </w:rPr>
        <w:t xml:space="preserve">It then submits that the principle enunciated in </w:t>
      </w:r>
      <w:proofErr w:type="spellStart"/>
      <w:r w:rsidRPr="00907431">
        <w:rPr>
          <w:rFonts w:cs="Arial"/>
          <w:bCs/>
          <w:i/>
          <w:sz w:val="24"/>
        </w:rPr>
        <w:t>Bafana</w:t>
      </w:r>
      <w:proofErr w:type="spellEnd"/>
      <w:r w:rsidRPr="00907431">
        <w:rPr>
          <w:rFonts w:cs="Arial"/>
          <w:bCs/>
          <w:i/>
          <w:sz w:val="24"/>
        </w:rPr>
        <w:t xml:space="preserve"> Finance </w:t>
      </w:r>
      <w:proofErr w:type="spellStart"/>
      <w:r w:rsidRPr="00907431">
        <w:rPr>
          <w:rFonts w:cs="Arial"/>
          <w:bCs/>
          <w:i/>
          <w:sz w:val="24"/>
        </w:rPr>
        <w:t>Mabopane</w:t>
      </w:r>
      <w:proofErr w:type="spellEnd"/>
      <w:r w:rsidRPr="00907431">
        <w:rPr>
          <w:rFonts w:cs="Arial"/>
          <w:bCs/>
          <w:i/>
          <w:sz w:val="24"/>
        </w:rPr>
        <w:t xml:space="preserve"> v </w:t>
      </w:r>
      <w:proofErr w:type="spellStart"/>
      <w:r w:rsidRPr="00907431">
        <w:rPr>
          <w:rFonts w:cs="Arial"/>
          <w:bCs/>
          <w:i/>
          <w:sz w:val="24"/>
        </w:rPr>
        <w:t>Makwakwa</w:t>
      </w:r>
      <w:proofErr w:type="spellEnd"/>
      <w:r w:rsidRPr="00907431">
        <w:rPr>
          <w:rFonts w:cs="Arial"/>
          <w:bCs/>
          <w:i/>
          <w:sz w:val="24"/>
        </w:rPr>
        <w:t xml:space="preserve"> &amp; Another</w:t>
      </w:r>
      <w:r w:rsidRPr="00907431">
        <w:rPr>
          <w:rStyle w:val="FootnoteReference"/>
          <w:rFonts w:cs="Arial"/>
          <w:bCs/>
          <w:sz w:val="24"/>
        </w:rPr>
        <w:footnoteReference w:id="6"/>
      </w:r>
      <w:r w:rsidRPr="00907431">
        <w:rPr>
          <w:rFonts w:cs="Arial"/>
          <w:bCs/>
          <w:sz w:val="24"/>
        </w:rPr>
        <w:t xml:space="preserve"> that a Court may not enforce an agreement or clause in a contract whose objective is contrary to public policy. </w:t>
      </w:r>
      <w:r w:rsidR="00EC6F97" w:rsidRPr="00907431">
        <w:rPr>
          <w:rFonts w:cs="Arial"/>
          <w:bCs/>
          <w:sz w:val="24"/>
        </w:rPr>
        <w:t xml:space="preserve">In </w:t>
      </w:r>
      <w:proofErr w:type="spellStart"/>
      <w:r w:rsidR="00EC6F97" w:rsidRPr="00907431">
        <w:rPr>
          <w:rFonts w:cs="Arial"/>
          <w:bCs/>
          <w:i/>
          <w:sz w:val="24"/>
        </w:rPr>
        <w:t>Makwakwa</w:t>
      </w:r>
      <w:proofErr w:type="spellEnd"/>
      <w:r w:rsidR="00EC6F97" w:rsidRPr="00907431">
        <w:rPr>
          <w:rFonts w:cs="Arial"/>
          <w:bCs/>
          <w:sz w:val="24"/>
        </w:rPr>
        <w:t xml:space="preserve"> the appellant had entered into a loan agreement with a clause in which he purported to waive his statutory right to apply to a Magistrates’ Court for an order placing his estate under administration, the right to do so being conferred on a debtor in terms of section 74(1) of the Magistrates’ Courts Act, 32 of 1944. </w:t>
      </w:r>
      <w:r w:rsidRPr="00907431">
        <w:rPr>
          <w:rFonts w:cs="Arial"/>
          <w:bCs/>
          <w:sz w:val="24"/>
        </w:rPr>
        <w:t>The principl</w:t>
      </w:r>
      <w:r w:rsidR="00EC6F97" w:rsidRPr="00907431">
        <w:rPr>
          <w:rFonts w:cs="Arial"/>
          <w:bCs/>
          <w:sz w:val="24"/>
        </w:rPr>
        <w:t>e</w:t>
      </w:r>
      <w:r w:rsidRPr="00907431">
        <w:rPr>
          <w:rFonts w:cs="Arial"/>
          <w:bCs/>
          <w:sz w:val="24"/>
        </w:rPr>
        <w:t xml:space="preserve"> was </w:t>
      </w:r>
      <w:r w:rsidR="00EC6F97" w:rsidRPr="00907431">
        <w:rPr>
          <w:rFonts w:cs="Arial"/>
          <w:bCs/>
          <w:sz w:val="24"/>
        </w:rPr>
        <w:t xml:space="preserve">stated </w:t>
      </w:r>
      <w:r w:rsidRPr="00907431">
        <w:rPr>
          <w:rFonts w:cs="Arial"/>
          <w:bCs/>
          <w:sz w:val="24"/>
        </w:rPr>
        <w:t>as follows:</w:t>
      </w:r>
    </w:p>
    <w:p w:rsidR="008F153D" w:rsidRPr="00907431" w:rsidRDefault="00AB1339" w:rsidP="00315D55">
      <w:pPr>
        <w:pStyle w:val="ListParagraph"/>
        <w:spacing w:after="240" w:line="480" w:lineRule="auto"/>
        <w:ind w:left="0"/>
        <w:contextualSpacing w:val="0"/>
        <w:rPr>
          <w:rFonts w:cs="Arial"/>
          <w:bCs/>
          <w:i/>
          <w:szCs w:val="22"/>
        </w:rPr>
      </w:pPr>
      <w:r w:rsidRPr="00907431">
        <w:rPr>
          <w:rFonts w:cs="Arial"/>
          <w:bCs/>
          <w:i/>
          <w:szCs w:val="22"/>
        </w:rPr>
        <w:t>“</w:t>
      </w:r>
      <w:r w:rsidR="00EC6F97" w:rsidRPr="00907431">
        <w:rPr>
          <w:rFonts w:cs="Arial"/>
          <w:bCs/>
          <w:i/>
          <w:szCs w:val="22"/>
        </w:rPr>
        <w:t xml:space="preserve">In my opinion, the applicant’s conduct in having purported to stipulate for these rights was, and remains, unconscionable. It purported to empower itself, in the event of any relevant default by the respondent, to deprive him of his status as a solvent person, an inevitably to subject him to all the </w:t>
      </w:r>
      <w:r w:rsidR="008F153D" w:rsidRPr="00907431">
        <w:rPr>
          <w:rFonts w:cs="Arial"/>
          <w:bCs/>
          <w:i/>
          <w:szCs w:val="22"/>
        </w:rPr>
        <w:t xml:space="preserve">onerous obligations and extensive restrictions which bind an </w:t>
      </w:r>
      <w:r w:rsidR="008F153D" w:rsidRPr="00907431">
        <w:rPr>
          <w:rFonts w:cs="Arial"/>
          <w:bCs/>
          <w:i/>
          <w:szCs w:val="22"/>
        </w:rPr>
        <w:lastRenderedPageBreak/>
        <w:t xml:space="preserve">insolvent in terms of the Act … without his being in any event able to defend himself. This conduct offends </w:t>
      </w:r>
      <w:proofErr w:type="spellStart"/>
      <w:r w:rsidR="008F153D" w:rsidRPr="00907431">
        <w:rPr>
          <w:rFonts w:cs="Arial"/>
          <w:bCs/>
          <w:i/>
          <w:szCs w:val="22"/>
        </w:rPr>
        <w:t>my</w:t>
      </w:r>
      <w:proofErr w:type="spellEnd"/>
      <w:r w:rsidR="008F153D" w:rsidRPr="00907431">
        <w:rPr>
          <w:rFonts w:cs="Arial"/>
          <w:bCs/>
          <w:i/>
          <w:szCs w:val="22"/>
        </w:rPr>
        <w:t>, and in my opinion would offend any reasonable person’s, sense of … justice.</w:t>
      </w:r>
      <w:r w:rsidR="00D16D26" w:rsidRPr="00907431">
        <w:rPr>
          <w:rFonts w:cs="Arial"/>
          <w:bCs/>
          <w:i/>
          <w:szCs w:val="22"/>
        </w:rPr>
        <w:t>”</w:t>
      </w:r>
    </w:p>
    <w:p w:rsidR="00AB1339" w:rsidRPr="00907431" w:rsidRDefault="00AB1339" w:rsidP="00315D55">
      <w:pPr>
        <w:pStyle w:val="ListParagraph"/>
        <w:numPr>
          <w:ilvl w:val="0"/>
          <w:numId w:val="1"/>
        </w:numPr>
        <w:spacing w:before="480" w:after="240" w:line="480" w:lineRule="auto"/>
        <w:contextualSpacing w:val="0"/>
        <w:rPr>
          <w:rFonts w:cs="Arial"/>
          <w:bCs/>
          <w:sz w:val="24"/>
        </w:rPr>
      </w:pPr>
      <w:r w:rsidRPr="00907431">
        <w:rPr>
          <w:rFonts w:cs="Arial"/>
          <w:bCs/>
          <w:sz w:val="24"/>
        </w:rPr>
        <w:t xml:space="preserve">The submission is that first, the clause is unreasonable to the extent that it attributes action of one person to another, especially where in this case the applicant will suffer financial prejudice as a </w:t>
      </w:r>
      <w:r w:rsidR="00A2165D" w:rsidRPr="00907431">
        <w:rPr>
          <w:rFonts w:cs="Arial"/>
          <w:bCs/>
          <w:sz w:val="24"/>
        </w:rPr>
        <w:t>result of the inability to claim under the insurance. Secondly, and in the event that the Court does not find the clause to be so unreasonable as to be rendered unenforceable, it should not be enforced in light of the circumstances which prevented compliance.</w:t>
      </w:r>
    </w:p>
    <w:p w:rsidR="00A2165D" w:rsidRPr="00907431" w:rsidRDefault="00A2165D" w:rsidP="00315D55">
      <w:pPr>
        <w:pStyle w:val="ListParagraph"/>
        <w:numPr>
          <w:ilvl w:val="0"/>
          <w:numId w:val="1"/>
        </w:numPr>
        <w:spacing w:after="240" w:line="480" w:lineRule="auto"/>
        <w:contextualSpacing w:val="0"/>
        <w:rPr>
          <w:rFonts w:cs="Arial"/>
          <w:bCs/>
          <w:sz w:val="24"/>
        </w:rPr>
      </w:pPr>
      <w:r w:rsidRPr="00907431">
        <w:rPr>
          <w:rFonts w:cs="Arial"/>
          <w:bCs/>
          <w:sz w:val="24"/>
        </w:rPr>
        <w:t>The two-stage inquiry</w:t>
      </w:r>
      <w:r w:rsidRPr="00907431">
        <w:rPr>
          <w:rStyle w:val="FootnoteReference"/>
          <w:rFonts w:cs="Arial"/>
          <w:bCs/>
          <w:sz w:val="24"/>
        </w:rPr>
        <w:footnoteReference w:id="7"/>
      </w:r>
      <w:r w:rsidRPr="00907431">
        <w:rPr>
          <w:rFonts w:cs="Arial"/>
          <w:bCs/>
          <w:sz w:val="24"/>
        </w:rPr>
        <w:t xml:space="preserve"> requires that the Court first inquire into whether it was the objective of the impugned contract or clause thereof to prejudice unfairly or unjustly or unreasonably the other party. The second enquiry, which is only engaged in when the contract or clause is not against public policy, requires scrutinising the individual circumstances of the contract in question and in particular of the party that is unable to comply in order to exonerate it from compliance.</w:t>
      </w:r>
    </w:p>
    <w:p w:rsidR="00A2165D" w:rsidRPr="00907431" w:rsidRDefault="00A2165D" w:rsidP="00315D55">
      <w:pPr>
        <w:pStyle w:val="ListParagraph"/>
        <w:numPr>
          <w:ilvl w:val="0"/>
          <w:numId w:val="1"/>
        </w:numPr>
        <w:spacing w:after="240" w:line="480" w:lineRule="auto"/>
        <w:contextualSpacing w:val="0"/>
        <w:rPr>
          <w:rFonts w:cs="Arial"/>
          <w:bCs/>
          <w:sz w:val="24"/>
        </w:rPr>
      </w:pPr>
      <w:r w:rsidRPr="00907431">
        <w:rPr>
          <w:rFonts w:cs="Arial"/>
          <w:bCs/>
          <w:sz w:val="24"/>
        </w:rPr>
        <w:t xml:space="preserve">The impugned clause is one that applies in many circumstances when an insured applies for insurance. Parties opt for varying options depending on their personal needs or requirements and often the premiums payable determine their options. Subscribers cut their coat according to their cloth. It is therefore reasonable for the respondent to have this general policy and not unreasonable to have accepted the applicant’s choice to exclude the right to claim for loss arising out of its own employee’s theft. </w:t>
      </w:r>
      <w:proofErr w:type="spellStart"/>
      <w:r w:rsidR="00EC6F97" w:rsidRPr="00907431">
        <w:rPr>
          <w:rFonts w:cs="Arial"/>
          <w:bCs/>
          <w:sz w:val="24"/>
        </w:rPr>
        <w:t>Wyno</w:t>
      </w:r>
      <w:proofErr w:type="spellEnd"/>
      <w:r w:rsidRPr="00907431">
        <w:rPr>
          <w:rFonts w:cs="Arial"/>
          <w:bCs/>
          <w:sz w:val="24"/>
        </w:rPr>
        <w:t xml:space="preserve"> clearly trusted its employees not to do so or to </w:t>
      </w:r>
      <w:r w:rsidRPr="00907431">
        <w:rPr>
          <w:rFonts w:cs="Arial"/>
          <w:bCs/>
          <w:sz w:val="24"/>
        </w:rPr>
        <w:lastRenderedPageBreak/>
        <w:t>collude with any other person intent on doing so.</w:t>
      </w:r>
      <w:r w:rsidR="00EC6F97" w:rsidRPr="00907431">
        <w:rPr>
          <w:rFonts w:cs="Arial"/>
          <w:bCs/>
          <w:sz w:val="24"/>
        </w:rPr>
        <w:t xml:space="preserve"> It unticked the default option to include this cover and ticked the exclusion option.</w:t>
      </w:r>
    </w:p>
    <w:p w:rsidR="00A2165D" w:rsidRPr="00907431" w:rsidRDefault="00A2165D" w:rsidP="00315D55">
      <w:pPr>
        <w:pStyle w:val="ListParagraph"/>
        <w:numPr>
          <w:ilvl w:val="0"/>
          <w:numId w:val="1"/>
        </w:numPr>
        <w:spacing w:after="240" w:line="480" w:lineRule="auto"/>
        <w:contextualSpacing w:val="0"/>
        <w:rPr>
          <w:rFonts w:cs="Arial"/>
          <w:bCs/>
          <w:sz w:val="24"/>
        </w:rPr>
      </w:pPr>
      <w:proofErr w:type="spellStart"/>
      <w:r w:rsidRPr="00907431">
        <w:rPr>
          <w:rFonts w:cs="Arial"/>
          <w:bCs/>
          <w:sz w:val="24"/>
        </w:rPr>
        <w:t>Wyno</w:t>
      </w:r>
      <w:proofErr w:type="spellEnd"/>
      <w:r w:rsidRPr="00907431">
        <w:rPr>
          <w:rFonts w:cs="Arial"/>
          <w:bCs/>
          <w:sz w:val="24"/>
        </w:rPr>
        <w:t xml:space="preserve"> was aware of the import of the relevant clause. The covering letter to the policy pertinently invited the respondent to familiarise itself with the policy and alerted it to the cover exclusions and conditions of cover. The applicant is not contending that it had no option but to accept the exclusion clause. The clause does not attribute fault or guilt on the part of the applicant but merely excludes a claim under those circumstances – an option that </w:t>
      </w:r>
      <w:proofErr w:type="spellStart"/>
      <w:r w:rsidRPr="00907431">
        <w:rPr>
          <w:rFonts w:cs="Arial"/>
          <w:bCs/>
          <w:sz w:val="24"/>
        </w:rPr>
        <w:t>Wyno</w:t>
      </w:r>
      <w:proofErr w:type="spellEnd"/>
      <w:r w:rsidRPr="00907431">
        <w:rPr>
          <w:rFonts w:cs="Arial"/>
          <w:bCs/>
          <w:sz w:val="24"/>
        </w:rPr>
        <w:t xml:space="preserve"> embraced voluntarily when it could have opted for the inclusion clause with a higher premium.</w:t>
      </w:r>
    </w:p>
    <w:p w:rsidR="00A93239" w:rsidRPr="00907431" w:rsidRDefault="00A93239" w:rsidP="00315D55">
      <w:pPr>
        <w:pStyle w:val="ListParagraph"/>
        <w:numPr>
          <w:ilvl w:val="0"/>
          <w:numId w:val="1"/>
        </w:numPr>
        <w:spacing w:after="240" w:line="480" w:lineRule="auto"/>
        <w:contextualSpacing w:val="0"/>
        <w:rPr>
          <w:rFonts w:cs="Arial"/>
          <w:bCs/>
          <w:sz w:val="24"/>
        </w:rPr>
      </w:pPr>
      <w:r w:rsidRPr="00907431">
        <w:rPr>
          <w:rFonts w:cs="Arial"/>
          <w:bCs/>
          <w:sz w:val="24"/>
        </w:rPr>
        <w:t xml:space="preserve">As was stated in </w:t>
      </w:r>
      <w:proofErr w:type="spellStart"/>
      <w:r w:rsidRPr="00907431">
        <w:rPr>
          <w:rFonts w:cs="Arial"/>
          <w:bCs/>
          <w:i/>
          <w:sz w:val="24"/>
        </w:rPr>
        <w:t>Barkhuizen</w:t>
      </w:r>
      <w:proofErr w:type="spellEnd"/>
      <w:r w:rsidRPr="00907431">
        <w:rPr>
          <w:rFonts w:cs="Arial"/>
          <w:bCs/>
          <w:sz w:val="24"/>
        </w:rPr>
        <w:t>:</w:t>
      </w:r>
    </w:p>
    <w:p w:rsidR="00A93239" w:rsidRPr="00907431" w:rsidRDefault="00A93239" w:rsidP="00315D55">
      <w:pPr>
        <w:pStyle w:val="ListParagraph"/>
        <w:spacing w:after="240" w:line="480" w:lineRule="auto"/>
        <w:ind w:left="0"/>
        <w:contextualSpacing w:val="0"/>
        <w:rPr>
          <w:rFonts w:cs="Arial"/>
          <w:bCs/>
          <w:i/>
          <w:szCs w:val="22"/>
        </w:rPr>
      </w:pPr>
      <w:r w:rsidRPr="00907431">
        <w:rPr>
          <w:rFonts w:cs="Arial"/>
          <w:bCs/>
          <w:i/>
          <w:szCs w:val="22"/>
        </w:rPr>
        <w:t>“Self-autonomy, or the ability to regulate one’s own affairs, even to one’s own detriment, is the very essence of freedom and a vital part of dignity. The extent to which the contract was freely and voluntarily concluded is clearly a vital factor as it will determine the weight that should be afforded to the values of freedom and dignity.”</w:t>
      </w:r>
      <w:r w:rsidRPr="00907431">
        <w:rPr>
          <w:rStyle w:val="FootnoteReference"/>
          <w:rFonts w:cs="Arial"/>
          <w:bCs/>
          <w:i/>
          <w:szCs w:val="22"/>
        </w:rPr>
        <w:footnoteReference w:id="8"/>
      </w:r>
    </w:p>
    <w:p w:rsidR="00A93239" w:rsidRPr="00907431" w:rsidRDefault="00A93239" w:rsidP="00315D55">
      <w:pPr>
        <w:pStyle w:val="ListParagraph"/>
        <w:numPr>
          <w:ilvl w:val="0"/>
          <w:numId w:val="1"/>
        </w:numPr>
        <w:spacing w:after="240" w:line="480" w:lineRule="auto"/>
        <w:contextualSpacing w:val="0"/>
        <w:rPr>
          <w:rFonts w:cs="Arial"/>
          <w:bCs/>
          <w:sz w:val="24"/>
        </w:rPr>
      </w:pPr>
      <w:r w:rsidRPr="00907431">
        <w:rPr>
          <w:rFonts w:cs="Arial"/>
          <w:bCs/>
          <w:sz w:val="24"/>
        </w:rPr>
        <w:t xml:space="preserve">There is no suggestion that </w:t>
      </w:r>
      <w:proofErr w:type="spellStart"/>
      <w:r w:rsidRPr="00907431">
        <w:rPr>
          <w:rFonts w:cs="Arial"/>
          <w:bCs/>
          <w:sz w:val="24"/>
        </w:rPr>
        <w:t>Wyno</w:t>
      </w:r>
      <w:proofErr w:type="spellEnd"/>
      <w:r w:rsidRPr="00907431">
        <w:rPr>
          <w:rFonts w:cs="Arial"/>
          <w:bCs/>
          <w:sz w:val="24"/>
        </w:rPr>
        <w:t xml:space="preserve"> was coerced into giving up its freedom and dignity. It was its exercise of its self-autonomy that has unfortunately resulted into its own detriment.</w:t>
      </w:r>
    </w:p>
    <w:p w:rsidR="00A2165D" w:rsidRPr="00907431" w:rsidRDefault="00A2165D" w:rsidP="00315D55">
      <w:pPr>
        <w:pStyle w:val="ListParagraph"/>
        <w:numPr>
          <w:ilvl w:val="0"/>
          <w:numId w:val="1"/>
        </w:numPr>
        <w:spacing w:after="240" w:line="480" w:lineRule="auto"/>
        <w:contextualSpacing w:val="0"/>
        <w:rPr>
          <w:rFonts w:cs="Arial"/>
          <w:bCs/>
          <w:sz w:val="24"/>
        </w:rPr>
      </w:pPr>
      <w:r w:rsidRPr="00907431">
        <w:rPr>
          <w:rFonts w:cs="Arial"/>
          <w:bCs/>
          <w:sz w:val="24"/>
        </w:rPr>
        <w:t xml:space="preserve">As to the next stage of inquiry there is nothing that suggests that the </w:t>
      </w:r>
      <w:r w:rsidRPr="00907431">
        <w:rPr>
          <w:rFonts w:cs="Arial"/>
          <w:bCs/>
          <w:i/>
          <w:sz w:val="24"/>
        </w:rPr>
        <w:t>“necessity to do simpl</w:t>
      </w:r>
      <w:r w:rsidR="008F153D" w:rsidRPr="00907431">
        <w:rPr>
          <w:rFonts w:cs="Arial"/>
          <w:bCs/>
          <w:i/>
          <w:sz w:val="24"/>
        </w:rPr>
        <w:t>e</w:t>
      </w:r>
      <w:r w:rsidRPr="00907431">
        <w:rPr>
          <w:rFonts w:cs="Arial"/>
          <w:bCs/>
          <w:i/>
          <w:sz w:val="24"/>
        </w:rPr>
        <w:t xml:space="preserve"> justice between individuals”</w:t>
      </w:r>
      <w:r w:rsidR="00A93239" w:rsidRPr="00907431">
        <w:rPr>
          <w:rStyle w:val="FootnoteReference"/>
          <w:rFonts w:cs="Arial"/>
          <w:bCs/>
          <w:i/>
          <w:sz w:val="24"/>
        </w:rPr>
        <w:footnoteReference w:id="9"/>
      </w:r>
      <w:r w:rsidRPr="00907431">
        <w:rPr>
          <w:rFonts w:cs="Arial"/>
          <w:bCs/>
          <w:sz w:val="24"/>
        </w:rPr>
        <w:t xml:space="preserve"> requires to be invoked. The deponent to the founding affidavit, Ms Mchunu, is not pleading any disadvantage when entering into the contract voluntarily. The Court can assume that she manages and owns a thriving business with enough resources to attend to its legal </w:t>
      </w:r>
      <w:r w:rsidRPr="00907431">
        <w:rPr>
          <w:rFonts w:cs="Arial"/>
          <w:bCs/>
          <w:sz w:val="24"/>
        </w:rPr>
        <w:lastRenderedPageBreak/>
        <w:t>matters such as entering into contracts with the assistance of appropriately qualified persons.</w:t>
      </w:r>
    </w:p>
    <w:p w:rsidR="00A93239" w:rsidRPr="00907431" w:rsidRDefault="00A93239" w:rsidP="00315D55">
      <w:pPr>
        <w:pStyle w:val="ListParagraph"/>
        <w:numPr>
          <w:ilvl w:val="0"/>
          <w:numId w:val="1"/>
        </w:numPr>
        <w:spacing w:after="240" w:line="480" w:lineRule="auto"/>
        <w:contextualSpacing w:val="0"/>
        <w:rPr>
          <w:rFonts w:cs="Arial"/>
          <w:bCs/>
          <w:sz w:val="24"/>
        </w:rPr>
      </w:pPr>
      <w:r w:rsidRPr="00907431">
        <w:rPr>
          <w:rFonts w:cs="Arial"/>
          <w:bCs/>
          <w:sz w:val="24"/>
        </w:rPr>
        <w:t xml:space="preserve">The second inquiry put differently, was it unreasonable for </w:t>
      </w:r>
      <w:proofErr w:type="spellStart"/>
      <w:r w:rsidRPr="00907431">
        <w:rPr>
          <w:rFonts w:cs="Arial"/>
          <w:bCs/>
          <w:sz w:val="24"/>
        </w:rPr>
        <w:t>MiWay</w:t>
      </w:r>
      <w:proofErr w:type="spellEnd"/>
      <w:r w:rsidRPr="00907431">
        <w:rPr>
          <w:rFonts w:cs="Arial"/>
          <w:bCs/>
          <w:sz w:val="24"/>
        </w:rPr>
        <w:t xml:space="preserve"> to enforce the repudiation by invoking the exclusion clause in the circumstances of this case? The onus is on </w:t>
      </w:r>
      <w:proofErr w:type="spellStart"/>
      <w:r w:rsidRPr="00907431">
        <w:rPr>
          <w:rFonts w:cs="Arial"/>
          <w:bCs/>
          <w:sz w:val="24"/>
        </w:rPr>
        <w:t>Wyno</w:t>
      </w:r>
      <w:proofErr w:type="spellEnd"/>
      <w:r w:rsidRPr="00907431">
        <w:rPr>
          <w:rFonts w:cs="Arial"/>
          <w:bCs/>
          <w:sz w:val="24"/>
        </w:rPr>
        <w:t xml:space="preserve"> to prove the unreasonableness.</w:t>
      </w:r>
      <w:r w:rsidRPr="00907431">
        <w:rPr>
          <w:rStyle w:val="FootnoteReference"/>
          <w:rFonts w:cs="Arial"/>
          <w:bCs/>
          <w:sz w:val="24"/>
        </w:rPr>
        <w:footnoteReference w:id="10"/>
      </w:r>
      <w:r w:rsidRPr="00907431">
        <w:rPr>
          <w:rFonts w:cs="Arial"/>
          <w:bCs/>
          <w:sz w:val="24"/>
        </w:rPr>
        <w:t xml:space="preserve"> As stated herein the objective terms of the impugned clause are not manifestly unreasonable. The applicant has done little, if anything, to discharge its onus in this regard.</w:t>
      </w:r>
    </w:p>
    <w:p w:rsidR="00A93239" w:rsidRPr="00907431" w:rsidRDefault="00A93239" w:rsidP="00315D55">
      <w:pPr>
        <w:pStyle w:val="ListParagraph"/>
        <w:spacing w:after="240" w:line="480" w:lineRule="auto"/>
        <w:ind w:left="0"/>
        <w:contextualSpacing w:val="0"/>
        <w:rPr>
          <w:rFonts w:cs="Arial"/>
          <w:bCs/>
          <w:sz w:val="24"/>
          <w:u w:val="single"/>
        </w:rPr>
      </w:pPr>
      <w:r w:rsidRPr="00907431">
        <w:rPr>
          <w:rFonts w:cs="Arial"/>
          <w:bCs/>
          <w:sz w:val="24"/>
          <w:u w:val="single"/>
        </w:rPr>
        <w:t>Conclusion</w:t>
      </w:r>
    </w:p>
    <w:p w:rsidR="00A93239" w:rsidRPr="00907431" w:rsidRDefault="00A93239" w:rsidP="00315D55">
      <w:pPr>
        <w:pStyle w:val="ListParagraph"/>
        <w:numPr>
          <w:ilvl w:val="0"/>
          <w:numId w:val="1"/>
        </w:numPr>
        <w:spacing w:after="240" w:line="480" w:lineRule="auto"/>
        <w:contextualSpacing w:val="0"/>
        <w:rPr>
          <w:rFonts w:cs="Arial"/>
          <w:bCs/>
          <w:sz w:val="24"/>
        </w:rPr>
      </w:pPr>
      <w:r w:rsidRPr="00907431">
        <w:rPr>
          <w:rFonts w:cs="Arial"/>
          <w:bCs/>
          <w:sz w:val="24"/>
        </w:rPr>
        <w:t xml:space="preserve">For the reasons stated above the application is dismissed. The respondent’s </w:t>
      </w:r>
      <w:r w:rsidRPr="00907431">
        <w:rPr>
          <w:rFonts w:cs="Arial"/>
          <w:bCs/>
          <w:i/>
          <w:sz w:val="24"/>
        </w:rPr>
        <w:t>“driver dishonesty”</w:t>
      </w:r>
      <w:r w:rsidRPr="00907431">
        <w:rPr>
          <w:rFonts w:cs="Arial"/>
          <w:bCs/>
          <w:sz w:val="24"/>
        </w:rPr>
        <w:t xml:space="preserve"> clause which excludes payment for loss or damage </w:t>
      </w:r>
      <w:r w:rsidRPr="00907431">
        <w:rPr>
          <w:rFonts w:cs="Arial"/>
          <w:bCs/>
          <w:i/>
          <w:sz w:val="24"/>
        </w:rPr>
        <w:t>“due to theft or attempted theft of the vehicle by any employee of the policyholder”</w:t>
      </w:r>
      <w:r w:rsidRPr="00907431">
        <w:rPr>
          <w:rFonts w:cs="Arial"/>
          <w:bCs/>
          <w:sz w:val="24"/>
        </w:rPr>
        <w:t xml:space="preserve"> is reasonable and therefore not against public policy. This is a type of clause that is common place in insurance policies, not only on the specific subject matter in this case but in many other instances. Such optional clauses do not coerce a policyholder to choose them but gives them an option to choose from more than one with the commensurate premium to be paid. It is constitutional.</w:t>
      </w:r>
    </w:p>
    <w:p w:rsidR="00A93239" w:rsidRPr="00907431" w:rsidRDefault="00A93239" w:rsidP="00315D55">
      <w:pPr>
        <w:pStyle w:val="ListParagraph"/>
        <w:numPr>
          <w:ilvl w:val="0"/>
          <w:numId w:val="1"/>
        </w:numPr>
        <w:spacing w:after="240" w:line="480" w:lineRule="auto"/>
        <w:contextualSpacing w:val="0"/>
        <w:rPr>
          <w:rFonts w:cs="Arial"/>
          <w:bCs/>
          <w:sz w:val="24"/>
        </w:rPr>
      </w:pPr>
      <w:r w:rsidRPr="00907431">
        <w:rPr>
          <w:rFonts w:cs="Arial"/>
          <w:bCs/>
          <w:sz w:val="24"/>
        </w:rPr>
        <w:t xml:space="preserve">As to whether the exclusion clause should be enforced in these circumstances the applicant has failed to discharge the onus as to why it should not. There are no </w:t>
      </w:r>
      <w:r w:rsidR="00E740E3" w:rsidRPr="00907431">
        <w:rPr>
          <w:rFonts w:cs="Arial"/>
          <w:bCs/>
          <w:sz w:val="24"/>
        </w:rPr>
        <w:t xml:space="preserve">individual </w:t>
      </w:r>
      <w:r w:rsidR="00401639" w:rsidRPr="00907431">
        <w:rPr>
          <w:rFonts w:cs="Arial"/>
          <w:bCs/>
          <w:sz w:val="24"/>
        </w:rPr>
        <w:t>circumstances or</w:t>
      </w:r>
      <w:r w:rsidR="00A87D5A" w:rsidRPr="00907431">
        <w:rPr>
          <w:rFonts w:cs="Arial"/>
          <w:bCs/>
          <w:sz w:val="24"/>
        </w:rPr>
        <w:t xml:space="preserve"> factors pertaining to both parties that manifest an uneven bargaining power. None were argued by the applicant who seeks relief from the clause being invoked. </w:t>
      </w:r>
    </w:p>
    <w:p w:rsidR="006C0B9D" w:rsidRPr="00907431" w:rsidRDefault="00A87D5A" w:rsidP="00315D55">
      <w:pPr>
        <w:pStyle w:val="ListParagraph"/>
        <w:numPr>
          <w:ilvl w:val="0"/>
          <w:numId w:val="1"/>
        </w:numPr>
        <w:spacing w:after="240" w:line="480" w:lineRule="auto"/>
        <w:contextualSpacing w:val="0"/>
        <w:rPr>
          <w:rFonts w:cs="Arial"/>
          <w:bCs/>
          <w:sz w:val="24"/>
        </w:rPr>
      </w:pPr>
      <w:r w:rsidRPr="00907431">
        <w:rPr>
          <w:rFonts w:cs="Arial"/>
          <w:bCs/>
          <w:sz w:val="24"/>
        </w:rPr>
        <w:t xml:space="preserve">For these reasons the </w:t>
      </w:r>
      <w:r w:rsidR="007C71A7" w:rsidRPr="00907431">
        <w:rPr>
          <w:rFonts w:cs="Arial"/>
          <w:bCs/>
          <w:sz w:val="24"/>
        </w:rPr>
        <w:t>following order</w:t>
      </w:r>
      <w:r w:rsidRPr="00907431">
        <w:rPr>
          <w:rFonts w:cs="Arial"/>
          <w:bCs/>
          <w:sz w:val="24"/>
        </w:rPr>
        <w:t xml:space="preserve"> is made</w:t>
      </w:r>
      <w:r w:rsidR="00E76315" w:rsidRPr="00907431">
        <w:rPr>
          <w:rFonts w:cs="Arial"/>
          <w:bCs/>
          <w:sz w:val="24"/>
        </w:rPr>
        <w:t>:</w:t>
      </w:r>
    </w:p>
    <w:p w:rsidR="001A3E05" w:rsidRPr="00907431" w:rsidRDefault="00A87D5A" w:rsidP="00315D55">
      <w:pPr>
        <w:pStyle w:val="ListParagraph"/>
        <w:numPr>
          <w:ilvl w:val="0"/>
          <w:numId w:val="21"/>
        </w:numPr>
        <w:spacing w:after="240" w:line="480" w:lineRule="auto"/>
        <w:contextualSpacing w:val="0"/>
        <w:rPr>
          <w:rFonts w:cs="Arial"/>
          <w:bCs/>
          <w:sz w:val="24"/>
        </w:rPr>
      </w:pPr>
      <w:r w:rsidRPr="00907431">
        <w:rPr>
          <w:rFonts w:cs="Arial"/>
          <w:bCs/>
          <w:sz w:val="24"/>
        </w:rPr>
        <w:lastRenderedPageBreak/>
        <w:t>The application is dismissed.</w:t>
      </w:r>
    </w:p>
    <w:p w:rsidR="00A87D5A" w:rsidRPr="00907431" w:rsidRDefault="00A87D5A" w:rsidP="00315D55">
      <w:pPr>
        <w:pStyle w:val="ListParagraph"/>
        <w:numPr>
          <w:ilvl w:val="0"/>
          <w:numId w:val="21"/>
        </w:numPr>
        <w:spacing w:after="240" w:line="480" w:lineRule="auto"/>
        <w:contextualSpacing w:val="0"/>
        <w:rPr>
          <w:rFonts w:cs="Arial"/>
          <w:bCs/>
          <w:sz w:val="24"/>
        </w:rPr>
      </w:pPr>
      <w:r w:rsidRPr="00907431">
        <w:rPr>
          <w:rFonts w:cs="Arial"/>
          <w:bCs/>
          <w:sz w:val="24"/>
        </w:rPr>
        <w:t>The applicant is ordered to pay the costs of the application on the scale as between party-and party.</w:t>
      </w:r>
    </w:p>
    <w:p w:rsidR="000D25AF" w:rsidRDefault="000D25AF" w:rsidP="000C7D50">
      <w:pPr>
        <w:pStyle w:val="ListParagraph"/>
        <w:keepNext/>
        <w:tabs>
          <w:tab w:val="right" w:pos="0"/>
        </w:tabs>
        <w:ind w:left="0"/>
        <w:jc w:val="right"/>
        <w:rPr>
          <w:rFonts w:cs="Arial"/>
          <w:sz w:val="24"/>
        </w:rPr>
      </w:pPr>
    </w:p>
    <w:p w:rsidR="00E81C17" w:rsidRPr="00CD1437" w:rsidRDefault="00A413AD" w:rsidP="000C7D50">
      <w:pPr>
        <w:pStyle w:val="ListParagraph"/>
        <w:keepNext/>
        <w:tabs>
          <w:tab w:val="right" w:pos="0"/>
        </w:tabs>
        <w:ind w:left="0"/>
        <w:jc w:val="right"/>
        <w:rPr>
          <w:rFonts w:cs="Arial"/>
          <w:sz w:val="24"/>
        </w:rPr>
      </w:pPr>
      <w:r>
        <w:rPr>
          <w:rFonts w:cs="Arial"/>
          <w:sz w:val="24"/>
        </w:rPr>
        <w:t>_____________________________________</w:t>
      </w:r>
    </w:p>
    <w:p w:rsidR="007A4557" w:rsidRDefault="001326B0" w:rsidP="00A413AD">
      <w:pPr>
        <w:pStyle w:val="ListParagraph"/>
        <w:tabs>
          <w:tab w:val="right" w:pos="0"/>
        </w:tabs>
        <w:ind w:left="0"/>
        <w:jc w:val="right"/>
        <w:rPr>
          <w:rFonts w:cs="Arial"/>
          <w:b/>
          <w:sz w:val="24"/>
        </w:rPr>
      </w:pPr>
      <w:r>
        <w:rPr>
          <w:rFonts w:cs="Arial"/>
          <w:b/>
          <w:sz w:val="24"/>
        </w:rPr>
        <w:t>G MALINDI</w:t>
      </w:r>
    </w:p>
    <w:p w:rsidR="007A4557" w:rsidRDefault="007A4557" w:rsidP="00A413AD">
      <w:pPr>
        <w:pStyle w:val="ListParagraph"/>
        <w:tabs>
          <w:tab w:val="right" w:pos="0"/>
        </w:tabs>
        <w:ind w:left="0"/>
        <w:jc w:val="right"/>
        <w:rPr>
          <w:rFonts w:cs="Arial"/>
          <w:b/>
          <w:sz w:val="24"/>
        </w:rPr>
      </w:pPr>
      <w:r>
        <w:rPr>
          <w:rFonts w:cs="Arial"/>
          <w:b/>
          <w:sz w:val="24"/>
        </w:rPr>
        <w:t>JUDGE OF THE HIGH COURT OF SOUTH AFRICA</w:t>
      </w:r>
    </w:p>
    <w:p w:rsidR="00C65281" w:rsidRDefault="007A4557" w:rsidP="00A413AD">
      <w:pPr>
        <w:pStyle w:val="ListParagraph"/>
        <w:tabs>
          <w:tab w:val="right" w:pos="0"/>
          <w:tab w:val="left" w:pos="4253"/>
        </w:tabs>
        <w:ind w:left="0"/>
        <w:jc w:val="right"/>
        <w:rPr>
          <w:rFonts w:cs="Arial"/>
          <w:b/>
          <w:sz w:val="24"/>
        </w:rPr>
      </w:pPr>
      <w:r>
        <w:rPr>
          <w:rFonts w:cs="Arial"/>
          <w:b/>
          <w:sz w:val="24"/>
        </w:rPr>
        <w:t>GAUTENG LOCAL DIVISION</w:t>
      </w:r>
    </w:p>
    <w:p w:rsidR="007A4557" w:rsidRDefault="007A4557" w:rsidP="00A413AD">
      <w:pPr>
        <w:pStyle w:val="ListParagraph"/>
        <w:tabs>
          <w:tab w:val="right" w:pos="0"/>
          <w:tab w:val="left" w:pos="4253"/>
        </w:tabs>
        <w:ind w:left="0"/>
        <w:jc w:val="right"/>
        <w:rPr>
          <w:rFonts w:cs="Arial"/>
          <w:b/>
          <w:sz w:val="24"/>
        </w:rPr>
      </w:pPr>
      <w:r>
        <w:rPr>
          <w:rFonts w:cs="Arial"/>
          <w:b/>
          <w:sz w:val="24"/>
        </w:rPr>
        <w:t>JOHANNESBURG</w:t>
      </w:r>
    </w:p>
    <w:p w:rsidR="00A413AD" w:rsidRDefault="00A413AD" w:rsidP="00A413AD">
      <w:pPr>
        <w:pStyle w:val="ListParagraph"/>
        <w:tabs>
          <w:tab w:val="right" w:pos="0"/>
          <w:tab w:val="left" w:pos="4253"/>
        </w:tabs>
        <w:ind w:left="0"/>
        <w:jc w:val="center"/>
        <w:rPr>
          <w:rFonts w:cs="Arial"/>
          <w:b/>
          <w:sz w:val="24"/>
        </w:rPr>
      </w:pPr>
    </w:p>
    <w:p w:rsidR="007A4557" w:rsidRDefault="007A4557" w:rsidP="007A4557">
      <w:pPr>
        <w:pStyle w:val="ListParagraph"/>
        <w:spacing w:after="200" w:line="480" w:lineRule="auto"/>
        <w:ind w:left="0"/>
        <w:jc w:val="right"/>
        <w:rPr>
          <w:rFonts w:cs="Arial"/>
          <w:b/>
          <w:i/>
          <w:iCs/>
        </w:rPr>
      </w:pPr>
    </w:p>
    <w:p w:rsidR="003A1A6A" w:rsidRDefault="000D25AF" w:rsidP="006E65CF">
      <w:pPr>
        <w:pStyle w:val="ListParagraph"/>
        <w:tabs>
          <w:tab w:val="right" w:pos="8647"/>
        </w:tabs>
        <w:ind w:left="0"/>
        <w:rPr>
          <w:rFonts w:cs="Arial"/>
          <w:sz w:val="24"/>
        </w:rPr>
      </w:pPr>
      <w:r>
        <w:rPr>
          <w:rFonts w:cs="Arial"/>
          <w:sz w:val="24"/>
        </w:rPr>
        <w:t xml:space="preserve">FOR THE </w:t>
      </w:r>
      <w:r w:rsidR="003A7937">
        <w:rPr>
          <w:rFonts w:cs="Arial"/>
          <w:sz w:val="24"/>
        </w:rPr>
        <w:t>APPLICANT</w:t>
      </w:r>
      <w:r w:rsidR="003A1A6A">
        <w:rPr>
          <w:rFonts w:cs="Arial"/>
          <w:sz w:val="24"/>
        </w:rPr>
        <w:t xml:space="preserve">: </w:t>
      </w:r>
      <w:r w:rsidR="003A1A6A">
        <w:rPr>
          <w:rFonts w:cs="Arial"/>
          <w:sz w:val="24"/>
        </w:rPr>
        <w:tab/>
      </w:r>
      <w:r w:rsidR="00315D55">
        <w:rPr>
          <w:rFonts w:cs="Arial"/>
          <w:sz w:val="24"/>
        </w:rPr>
        <w:t>ADV. K PREMHID</w:t>
      </w:r>
    </w:p>
    <w:p w:rsidR="00315D55" w:rsidRDefault="00315D55" w:rsidP="006E65CF">
      <w:pPr>
        <w:pStyle w:val="ListParagraph"/>
        <w:tabs>
          <w:tab w:val="right" w:pos="8647"/>
        </w:tabs>
        <w:ind w:left="0"/>
        <w:rPr>
          <w:rFonts w:cs="Arial"/>
          <w:sz w:val="24"/>
        </w:rPr>
      </w:pPr>
      <w:r>
        <w:rPr>
          <w:rFonts w:cs="Arial"/>
          <w:sz w:val="24"/>
        </w:rPr>
        <w:tab/>
        <w:t>ADV. M MARONGO</w:t>
      </w:r>
    </w:p>
    <w:p w:rsidR="00315D55" w:rsidRPr="00EA3B3A" w:rsidRDefault="00315D55" w:rsidP="006E65CF">
      <w:pPr>
        <w:pStyle w:val="ListParagraph"/>
        <w:tabs>
          <w:tab w:val="right" w:pos="8647"/>
        </w:tabs>
        <w:ind w:left="0"/>
        <w:rPr>
          <w:rFonts w:cs="Arial"/>
          <w:sz w:val="24"/>
        </w:rPr>
      </w:pPr>
      <w:r>
        <w:rPr>
          <w:rFonts w:cs="Arial"/>
          <w:sz w:val="24"/>
        </w:rPr>
        <w:tab/>
        <w:t>ADV. G BENSON</w:t>
      </w:r>
    </w:p>
    <w:p w:rsidR="003A1A6A" w:rsidRDefault="003A1A6A" w:rsidP="006E65CF">
      <w:pPr>
        <w:pStyle w:val="ListParagraph"/>
        <w:tabs>
          <w:tab w:val="right" w:pos="0"/>
          <w:tab w:val="right" w:pos="8647"/>
        </w:tabs>
        <w:ind w:left="0"/>
        <w:rPr>
          <w:rFonts w:cs="Arial"/>
          <w:sz w:val="24"/>
        </w:rPr>
      </w:pPr>
    </w:p>
    <w:p w:rsidR="003A1A6A" w:rsidRPr="00F36FFF" w:rsidRDefault="003A1A6A" w:rsidP="00EA4C3C">
      <w:pPr>
        <w:pStyle w:val="ListParagraph"/>
        <w:tabs>
          <w:tab w:val="right" w:pos="8647"/>
        </w:tabs>
        <w:ind w:left="3686" w:hanging="3686"/>
        <w:jc w:val="left"/>
        <w:rPr>
          <w:rFonts w:cs="Arial"/>
          <w:sz w:val="24"/>
        </w:rPr>
      </w:pPr>
      <w:r>
        <w:rPr>
          <w:rFonts w:cs="Arial"/>
          <w:sz w:val="24"/>
        </w:rPr>
        <w:t xml:space="preserve">INSTRUCTED BY: </w:t>
      </w:r>
      <w:r>
        <w:rPr>
          <w:rFonts w:cs="Arial"/>
          <w:sz w:val="24"/>
        </w:rPr>
        <w:tab/>
      </w:r>
      <w:r>
        <w:rPr>
          <w:rFonts w:cs="Arial"/>
          <w:sz w:val="24"/>
        </w:rPr>
        <w:tab/>
      </w:r>
      <w:r w:rsidR="00315D55">
        <w:rPr>
          <w:rFonts w:cs="Arial"/>
          <w:sz w:val="24"/>
        </w:rPr>
        <w:t>THOBAKGALE ATTORNEYS INC</w:t>
      </w:r>
      <w:r w:rsidR="00315D55">
        <w:rPr>
          <w:rFonts w:cs="Arial"/>
          <w:sz w:val="24"/>
        </w:rPr>
        <w:t>.</w:t>
      </w:r>
    </w:p>
    <w:p w:rsidR="003A1A6A" w:rsidRDefault="003A1A6A" w:rsidP="006E65CF">
      <w:pPr>
        <w:pStyle w:val="ListParagraph"/>
        <w:tabs>
          <w:tab w:val="right" w:pos="0"/>
          <w:tab w:val="right" w:pos="8647"/>
        </w:tabs>
        <w:ind w:left="0"/>
        <w:rPr>
          <w:rFonts w:cs="Arial"/>
          <w:sz w:val="24"/>
        </w:rPr>
      </w:pPr>
    </w:p>
    <w:p w:rsidR="003A1A6A" w:rsidRDefault="000D25AF" w:rsidP="006E65CF">
      <w:pPr>
        <w:pStyle w:val="ListParagraph"/>
        <w:tabs>
          <w:tab w:val="right" w:pos="0"/>
          <w:tab w:val="right" w:pos="8647"/>
        </w:tabs>
        <w:ind w:left="0"/>
        <w:rPr>
          <w:rFonts w:cs="Arial"/>
          <w:sz w:val="24"/>
        </w:rPr>
      </w:pPr>
      <w:r>
        <w:rPr>
          <w:rFonts w:cs="Arial"/>
          <w:sz w:val="24"/>
        </w:rPr>
        <w:t>COUNSEL</w:t>
      </w:r>
      <w:r w:rsidR="003A1A6A" w:rsidRPr="008209AF">
        <w:rPr>
          <w:rFonts w:cs="Arial"/>
          <w:sz w:val="24"/>
        </w:rPr>
        <w:t xml:space="preserve"> FOR </w:t>
      </w:r>
      <w:r w:rsidR="003A7937">
        <w:rPr>
          <w:rFonts w:cs="Arial"/>
          <w:sz w:val="24"/>
        </w:rPr>
        <w:t>RESPONDENT</w:t>
      </w:r>
      <w:r w:rsidR="003A1A6A">
        <w:rPr>
          <w:rFonts w:cs="Arial"/>
          <w:sz w:val="24"/>
        </w:rPr>
        <w:t xml:space="preserve">: </w:t>
      </w:r>
      <w:r w:rsidR="003A1A6A">
        <w:rPr>
          <w:rFonts w:cs="Arial"/>
          <w:sz w:val="24"/>
        </w:rPr>
        <w:tab/>
      </w:r>
      <w:r w:rsidR="00315D55">
        <w:rPr>
          <w:rFonts w:cs="Arial"/>
          <w:sz w:val="24"/>
        </w:rPr>
        <w:t>ADV. H VAN DER VYVER</w:t>
      </w:r>
    </w:p>
    <w:p w:rsidR="003A1A6A" w:rsidRPr="00F420DA" w:rsidRDefault="003A1A6A" w:rsidP="006E65CF">
      <w:pPr>
        <w:pStyle w:val="ListParagraph"/>
        <w:tabs>
          <w:tab w:val="right" w:pos="0"/>
          <w:tab w:val="right" w:pos="8647"/>
        </w:tabs>
        <w:ind w:left="0"/>
        <w:rPr>
          <w:rFonts w:cs="Arial"/>
          <w:sz w:val="24"/>
        </w:rPr>
      </w:pPr>
    </w:p>
    <w:p w:rsidR="003A1A6A" w:rsidRDefault="003A1A6A" w:rsidP="006E65CF">
      <w:pPr>
        <w:pStyle w:val="ListParagraph"/>
        <w:tabs>
          <w:tab w:val="right" w:pos="8647"/>
        </w:tabs>
        <w:ind w:left="0"/>
        <w:rPr>
          <w:rFonts w:cs="Arial"/>
          <w:sz w:val="24"/>
        </w:rPr>
      </w:pPr>
      <w:r w:rsidRPr="00F420DA">
        <w:rPr>
          <w:rFonts w:cs="Arial"/>
          <w:sz w:val="24"/>
        </w:rPr>
        <w:t>INSTRUCTED BY</w:t>
      </w:r>
      <w:r>
        <w:rPr>
          <w:rFonts w:cs="Arial"/>
          <w:sz w:val="24"/>
        </w:rPr>
        <w:t xml:space="preserve">: </w:t>
      </w:r>
      <w:r>
        <w:rPr>
          <w:rFonts w:cs="Arial"/>
          <w:sz w:val="24"/>
        </w:rPr>
        <w:tab/>
      </w:r>
      <w:r w:rsidR="00315D55">
        <w:rPr>
          <w:rFonts w:cs="Arial"/>
          <w:sz w:val="24"/>
        </w:rPr>
        <w:t>HJ BADENHORST &amp; ASSOCIATES INC.</w:t>
      </w:r>
    </w:p>
    <w:p w:rsidR="003301BC" w:rsidRDefault="003301BC" w:rsidP="006E65CF">
      <w:pPr>
        <w:pStyle w:val="ListParagraph"/>
        <w:tabs>
          <w:tab w:val="right" w:pos="8647"/>
        </w:tabs>
        <w:ind w:left="0"/>
        <w:rPr>
          <w:rFonts w:cs="Arial"/>
          <w:sz w:val="24"/>
        </w:rPr>
      </w:pPr>
    </w:p>
    <w:p w:rsidR="003A1A6A" w:rsidRPr="008209AF" w:rsidRDefault="003A1A6A" w:rsidP="006E65CF">
      <w:pPr>
        <w:pStyle w:val="ListParagraph"/>
        <w:tabs>
          <w:tab w:val="right" w:pos="0"/>
          <w:tab w:val="right" w:pos="8647"/>
        </w:tabs>
        <w:ind w:left="0"/>
        <w:rPr>
          <w:rFonts w:cs="Arial"/>
          <w:sz w:val="24"/>
        </w:rPr>
      </w:pPr>
      <w:r w:rsidRPr="008209AF">
        <w:rPr>
          <w:rFonts w:cs="Arial"/>
          <w:sz w:val="24"/>
        </w:rPr>
        <w:t xml:space="preserve">DATE OF </w:t>
      </w:r>
      <w:r w:rsidR="00272BBF">
        <w:rPr>
          <w:rFonts w:cs="Arial"/>
          <w:sz w:val="24"/>
        </w:rPr>
        <w:t xml:space="preserve">THE </w:t>
      </w:r>
      <w:r w:rsidR="000C7D50">
        <w:rPr>
          <w:rFonts w:cs="Arial"/>
          <w:sz w:val="24"/>
        </w:rPr>
        <w:t>HEARING</w:t>
      </w:r>
      <w:r>
        <w:rPr>
          <w:rFonts w:cs="Arial"/>
          <w:sz w:val="24"/>
        </w:rPr>
        <w:t>:</w:t>
      </w:r>
      <w:r w:rsidRPr="008209AF">
        <w:rPr>
          <w:rFonts w:cs="Arial"/>
          <w:sz w:val="24"/>
        </w:rPr>
        <w:tab/>
      </w:r>
      <w:r w:rsidR="00315D55">
        <w:rPr>
          <w:rFonts w:cs="Arial"/>
          <w:sz w:val="24"/>
        </w:rPr>
        <w:t>27 JULY</w:t>
      </w:r>
      <w:r w:rsidR="00ED105E">
        <w:rPr>
          <w:rFonts w:cs="Arial"/>
          <w:sz w:val="24"/>
        </w:rPr>
        <w:t xml:space="preserve"> 2022</w:t>
      </w:r>
    </w:p>
    <w:p w:rsidR="003A1A6A" w:rsidRDefault="003A1A6A" w:rsidP="006E65CF">
      <w:pPr>
        <w:pStyle w:val="ListParagraph"/>
        <w:tabs>
          <w:tab w:val="right" w:pos="0"/>
          <w:tab w:val="right" w:pos="8647"/>
        </w:tabs>
        <w:ind w:left="0"/>
        <w:rPr>
          <w:rFonts w:cs="Arial"/>
          <w:sz w:val="24"/>
        </w:rPr>
      </w:pPr>
    </w:p>
    <w:p w:rsidR="003A1A6A" w:rsidRPr="00A63BF3" w:rsidRDefault="003A1A6A" w:rsidP="006E65CF">
      <w:pPr>
        <w:pStyle w:val="ListParagraph"/>
        <w:tabs>
          <w:tab w:val="right" w:pos="0"/>
          <w:tab w:val="right" w:pos="8647"/>
        </w:tabs>
        <w:ind w:left="0"/>
        <w:rPr>
          <w:rFonts w:cs="Arial"/>
          <w:sz w:val="24"/>
        </w:rPr>
      </w:pPr>
      <w:r w:rsidRPr="008209AF">
        <w:rPr>
          <w:rFonts w:cs="Arial"/>
          <w:sz w:val="24"/>
        </w:rPr>
        <w:t>DATE OF JUDGMENT</w:t>
      </w:r>
      <w:r>
        <w:rPr>
          <w:rFonts w:cs="Arial"/>
          <w:sz w:val="24"/>
        </w:rPr>
        <w:t>:</w:t>
      </w:r>
      <w:r w:rsidRPr="008209AF">
        <w:rPr>
          <w:rFonts w:cs="Arial"/>
          <w:sz w:val="24"/>
        </w:rPr>
        <w:tab/>
      </w:r>
      <w:r w:rsidR="00315D55">
        <w:rPr>
          <w:rFonts w:cs="Arial"/>
          <w:sz w:val="24"/>
        </w:rPr>
        <w:t>13 JUNE</w:t>
      </w:r>
      <w:r w:rsidR="00786F21">
        <w:rPr>
          <w:rFonts w:cs="Arial"/>
          <w:sz w:val="24"/>
        </w:rPr>
        <w:t xml:space="preserve"> 202</w:t>
      </w:r>
      <w:r w:rsidR="00AC1F68">
        <w:rPr>
          <w:rFonts w:cs="Arial"/>
          <w:sz w:val="24"/>
        </w:rPr>
        <w:t>2</w:t>
      </w:r>
    </w:p>
    <w:sectPr w:rsidR="003A1A6A" w:rsidRPr="00A63BF3" w:rsidSect="003B65BD">
      <w:headerReference w:type="default" r:id="rId9"/>
      <w:pgSz w:w="11906" w:h="16838"/>
      <w:pgMar w:top="1440" w:right="1416"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05" w:rsidRDefault="00150105">
      <w:r>
        <w:separator/>
      </w:r>
    </w:p>
  </w:endnote>
  <w:endnote w:type="continuationSeparator" w:id="0">
    <w:p w:rsidR="00150105" w:rsidRDefault="0015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05" w:rsidRDefault="00150105" w:rsidP="00927532">
      <w:pPr>
        <w:spacing w:line="240" w:lineRule="auto"/>
      </w:pPr>
      <w:r>
        <w:separator/>
      </w:r>
    </w:p>
  </w:footnote>
  <w:footnote w:type="continuationSeparator" w:id="0">
    <w:p w:rsidR="00150105" w:rsidRDefault="00150105" w:rsidP="00927532">
      <w:pPr>
        <w:spacing w:line="240" w:lineRule="auto"/>
      </w:pPr>
      <w:r>
        <w:continuationSeparator/>
      </w:r>
    </w:p>
  </w:footnote>
  <w:footnote w:type="continuationNotice" w:id="1">
    <w:p w:rsidR="00150105" w:rsidRDefault="00150105" w:rsidP="00927532">
      <w:pPr>
        <w:spacing w:line="240" w:lineRule="auto"/>
      </w:pPr>
    </w:p>
  </w:footnote>
  <w:footnote w:id="2">
    <w:p w:rsidR="00A87D5A" w:rsidRDefault="00A87D5A">
      <w:pPr>
        <w:pStyle w:val="FootnoteText"/>
      </w:pPr>
      <w:r>
        <w:rPr>
          <w:rStyle w:val="FootnoteReference"/>
        </w:rPr>
        <w:footnoteRef/>
      </w:r>
      <w:r>
        <w:t xml:space="preserve"> </w:t>
      </w:r>
      <w:r>
        <w:tab/>
      </w:r>
      <w:proofErr w:type="spellStart"/>
      <w:r w:rsidR="006100D1">
        <w:t>Plascon</w:t>
      </w:r>
      <w:proofErr w:type="spellEnd"/>
      <w:r w:rsidR="006100D1">
        <w:t xml:space="preserve">-Evans Paints (TVL) Ltd v Van </w:t>
      </w:r>
      <w:proofErr w:type="spellStart"/>
      <w:r w:rsidR="006100D1">
        <w:t>Riebeck</w:t>
      </w:r>
      <w:proofErr w:type="spellEnd"/>
      <w:r w:rsidR="006100D1">
        <w:t xml:space="preserve"> Paints (Pty) Ltd 1984 (3) SA 623 (AD</w:t>
      </w:r>
      <w:bookmarkStart w:id="0" w:name="_GoBack"/>
      <w:bookmarkEnd w:id="0"/>
      <w:r w:rsidR="006100D1">
        <w:t>)</w:t>
      </w:r>
    </w:p>
  </w:footnote>
  <w:footnote w:id="3">
    <w:p w:rsidR="00A87D5A" w:rsidRPr="00C90487" w:rsidRDefault="00A87D5A">
      <w:pPr>
        <w:pStyle w:val="FootnoteText"/>
      </w:pPr>
      <w:r>
        <w:rPr>
          <w:rStyle w:val="FootnoteReference"/>
        </w:rPr>
        <w:footnoteRef/>
      </w:r>
      <w:r>
        <w:t xml:space="preserve"> </w:t>
      </w:r>
      <w:r>
        <w:tab/>
      </w:r>
      <w:r>
        <w:rPr>
          <w:i/>
        </w:rPr>
        <w:t xml:space="preserve">AA </w:t>
      </w:r>
      <w:proofErr w:type="spellStart"/>
      <w:r>
        <w:rPr>
          <w:i/>
        </w:rPr>
        <w:t>Onderlinge</w:t>
      </w:r>
      <w:proofErr w:type="spellEnd"/>
      <w:r>
        <w:rPr>
          <w:i/>
        </w:rPr>
        <w:t xml:space="preserve"> </w:t>
      </w:r>
      <w:proofErr w:type="spellStart"/>
      <w:r>
        <w:rPr>
          <w:i/>
        </w:rPr>
        <w:t>Assuransie-Assosiasie</w:t>
      </w:r>
      <w:proofErr w:type="spellEnd"/>
      <w:r>
        <w:rPr>
          <w:i/>
        </w:rPr>
        <w:t xml:space="preserve"> </w:t>
      </w:r>
      <w:proofErr w:type="spellStart"/>
      <w:r>
        <w:rPr>
          <w:i/>
        </w:rPr>
        <w:t>Bpk</w:t>
      </w:r>
      <w:proofErr w:type="spellEnd"/>
      <w:r>
        <w:rPr>
          <w:i/>
        </w:rPr>
        <w:t xml:space="preserve"> v De Beer </w:t>
      </w:r>
      <w:r>
        <w:t>1982 (2) SA 603 (A) at 614.</w:t>
      </w:r>
    </w:p>
  </w:footnote>
  <w:footnote w:id="4">
    <w:p w:rsidR="00A87D5A" w:rsidRDefault="00A87D5A">
      <w:pPr>
        <w:pStyle w:val="FootnoteText"/>
      </w:pPr>
      <w:r>
        <w:rPr>
          <w:rStyle w:val="FootnoteReference"/>
        </w:rPr>
        <w:footnoteRef/>
      </w:r>
      <w:r>
        <w:t xml:space="preserve"> </w:t>
      </w:r>
      <w:r>
        <w:tab/>
        <w:t>2020 (5) SA 247 (CC).</w:t>
      </w:r>
    </w:p>
  </w:footnote>
  <w:footnote w:id="5">
    <w:p w:rsidR="00A87D5A" w:rsidRDefault="00A87D5A">
      <w:pPr>
        <w:pStyle w:val="FootnoteText"/>
      </w:pPr>
      <w:r>
        <w:rPr>
          <w:rStyle w:val="FootnoteReference"/>
        </w:rPr>
        <w:footnoteRef/>
      </w:r>
      <w:r>
        <w:t xml:space="preserve"> </w:t>
      </w:r>
      <w:r>
        <w:tab/>
        <w:t>2020 (5) SA 327 (CC).</w:t>
      </w:r>
    </w:p>
  </w:footnote>
  <w:footnote w:id="6">
    <w:p w:rsidR="00A87D5A" w:rsidRDefault="00A87D5A">
      <w:pPr>
        <w:pStyle w:val="FootnoteText"/>
      </w:pPr>
      <w:r>
        <w:rPr>
          <w:rStyle w:val="FootnoteReference"/>
        </w:rPr>
        <w:footnoteRef/>
      </w:r>
      <w:r>
        <w:t xml:space="preserve"> </w:t>
      </w:r>
      <w:r>
        <w:tab/>
        <w:t>2006 (4) SA 581 (SCA).</w:t>
      </w:r>
    </w:p>
  </w:footnote>
  <w:footnote w:id="7">
    <w:p w:rsidR="00A87D5A" w:rsidRPr="00A2165D" w:rsidRDefault="00A87D5A">
      <w:pPr>
        <w:pStyle w:val="FootnoteText"/>
      </w:pPr>
      <w:r>
        <w:rPr>
          <w:rStyle w:val="FootnoteReference"/>
        </w:rPr>
        <w:footnoteRef/>
      </w:r>
      <w:r>
        <w:t xml:space="preserve"> </w:t>
      </w:r>
      <w:r>
        <w:tab/>
      </w:r>
      <w:proofErr w:type="spellStart"/>
      <w:r>
        <w:rPr>
          <w:i/>
        </w:rPr>
        <w:t>Barkhuizen</w:t>
      </w:r>
      <w:proofErr w:type="spellEnd"/>
      <w:r>
        <w:rPr>
          <w:i/>
        </w:rPr>
        <w:t xml:space="preserve"> v Napier </w:t>
      </w:r>
      <w:r>
        <w:t>2007 (5) SA 323 (CC) at [56].</w:t>
      </w:r>
    </w:p>
  </w:footnote>
  <w:footnote w:id="8">
    <w:p w:rsidR="00A87D5A" w:rsidRPr="00A93239" w:rsidRDefault="00A87D5A">
      <w:pPr>
        <w:pStyle w:val="FootnoteText"/>
      </w:pPr>
      <w:r>
        <w:rPr>
          <w:rStyle w:val="FootnoteReference"/>
        </w:rPr>
        <w:footnoteRef/>
      </w:r>
      <w:r>
        <w:t xml:space="preserve"> </w:t>
      </w:r>
      <w:r>
        <w:tab/>
      </w:r>
      <w:r>
        <w:rPr>
          <w:i/>
        </w:rPr>
        <w:t>Ibid</w:t>
      </w:r>
      <w:r>
        <w:t xml:space="preserve"> at [57].</w:t>
      </w:r>
    </w:p>
  </w:footnote>
  <w:footnote w:id="9">
    <w:p w:rsidR="00A87D5A" w:rsidRPr="00A93239" w:rsidRDefault="00A87D5A">
      <w:pPr>
        <w:pStyle w:val="FootnoteText"/>
      </w:pPr>
      <w:r>
        <w:rPr>
          <w:rStyle w:val="FootnoteReference"/>
        </w:rPr>
        <w:footnoteRef/>
      </w:r>
      <w:r>
        <w:t xml:space="preserve"> </w:t>
      </w:r>
      <w:r>
        <w:tab/>
      </w:r>
      <w:r w:rsidR="008F153D">
        <w:rPr>
          <w:i/>
        </w:rPr>
        <w:t>Ibid</w:t>
      </w:r>
      <w:r>
        <w:rPr>
          <w:i/>
        </w:rPr>
        <w:t xml:space="preserve"> </w:t>
      </w:r>
      <w:r>
        <w:t>at [33].</w:t>
      </w:r>
    </w:p>
  </w:footnote>
  <w:footnote w:id="10">
    <w:p w:rsidR="00A87D5A" w:rsidRPr="00A93239" w:rsidRDefault="00A87D5A">
      <w:pPr>
        <w:pStyle w:val="FootnoteText"/>
      </w:pPr>
      <w:r>
        <w:rPr>
          <w:rStyle w:val="FootnoteReference"/>
        </w:rPr>
        <w:footnoteRef/>
      </w:r>
      <w:r>
        <w:t xml:space="preserve"> </w:t>
      </w:r>
      <w:r>
        <w:tab/>
      </w:r>
      <w:r>
        <w:rPr>
          <w:i/>
        </w:rPr>
        <w:t xml:space="preserve">Ibid </w:t>
      </w:r>
      <w:r>
        <w:t>at [58].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5A" w:rsidRPr="00787DAE" w:rsidRDefault="00A87D5A"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6100D1">
      <w:rPr>
        <w:rStyle w:val="PageNumber"/>
        <w:rFonts w:cs="Arial"/>
        <w:noProof/>
        <w:sz w:val="20"/>
        <w:szCs w:val="20"/>
      </w:rPr>
      <w:t>12</w:t>
    </w:r>
    <w:r w:rsidRPr="00787DAE">
      <w:rPr>
        <w:rStyle w:val="PageNumber"/>
        <w:rFonts w:cs="Arial"/>
        <w:sz w:val="20"/>
        <w:szCs w:val="20"/>
      </w:rPr>
      <w:fldChar w:fldCharType="end"/>
    </w:r>
  </w:p>
  <w:p w:rsidR="00A87D5A" w:rsidRDefault="00A87D5A"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F95787E"/>
    <w:multiLevelType w:val="multilevel"/>
    <w:tmpl w:val="5CC430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FFC1874"/>
    <w:multiLevelType w:val="multilevel"/>
    <w:tmpl w:val="2D1E255C"/>
    <w:lvl w:ilvl="0">
      <w:start w:val="1"/>
      <w:numFmt w:val="decimal"/>
      <w:lvlText w:val="[%1]"/>
      <w:lvlJc w:val="left"/>
      <w:pPr>
        <w:tabs>
          <w:tab w:val="num" w:pos="567"/>
        </w:tabs>
        <w:ind w:left="0" w:firstLine="0"/>
      </w:pPr>
      <w:rPr>
        <w:rFonts w:hint="default"/>
        <w:b w:val="0"/>
        <w:i w:val="0"/>
        <w:color w:val="auto"/>
        <w:sz w:val="24"/>
        <w:szCs w:val="24"/>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7EC160C"/>
    <w:multiLevelType w:val="multilevel"/>
    <w:tmpl w:val="11A2B510"/>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6BD0572"/>
    <w:multiLevelType w:val="multilevel"/>
    <w:tmpl w:val="8DE6244E"/>
    <w:lvl w:ilvl="0">
      <w:start w:val="1"/>
      <w:numFmt w:val="decimal"/>
      <w:lvlText w:val="%1."/>
      <w:lvlJc w:val="left"/>
      <w:pPr>
        <w:ind w:left="1418" w:hanging="567"/>
      </w:pPr>
      <w:rPr>
        <w:rFonts w:hint="default"/>
      </w:rPr>
    </w:lvl>
    <w:lvl w:ilvl="1">
      <w:start w:val="1"/>
      <w:numFmt w:val="decimal"/>
      <w:lvlText w:val="%1.%2."/>
      <w:lvlJc w:val="left"/>
      <w:pPr>
        <w:ind w:left="1985"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9"/>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6"/>
  </w:num>
  <w:num w:numId="7">
    <w:abstractNumId w:val="10"/>
  </w:num>
  <w:num w:numId="8">
    <w:abstractNumId w:val="1"/>
  </w:num>
  <w:num w:numId="9">
    <w:abstractNumId w:val="0"/>
  </w:num>
  <w:num w:numId="10">
    <w:abstractNumId w:val="20"/>
  </w:num>
  <w:num w:numId="11">
    <w:abstractNumId w:val="15"/>
  </w:num>
  <w:num w:numId="12">
    <w:abstractNumId w:val="8"/>
  </w:num>
  <w:num w:numId="13">
    <w:abstractNumId w:val="13"/>
  </w:num>
  <w:num w:numId="14">
    <w:abstractNumId w:val="17"/>
  </w:num>
  <w:num w:numId="15">
    <w:abstractNumId w:val="18"/>
  </w:num>
  <w:num w:numId="16">
    <w:abstractNumId w:val="16"/>
  </w:num>
  <w:num w:numId="17">
    <w:abstractNumId w:val="5"/>
  </w:num>
  <w:num w:numId="18">
    <w:abstractNumId w:val="7"/>
  </w:num>
  <w:num w:numId="19">
    <w:abstractNumId w:val="14"/>
  </w:num>
  <w:num w:numId="20">
    <w:abstractNumId w:val="11"/>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AB"/>
    <w:rsid w:val="00001C2B"/>
    <w:rsid w:val="00001D87"/>
    <w:rsid w:val="00001ED1"/>
    <w:rsid w:val="00001F37"/>
    <w:rsid w:val="00001F4A"/>
    <w:rsid w:val="00002A5A"/>
    <w:rsid w:val="00003B22"/>
    <w:rsid w:val="00004DCC"/>
    <w:rsid w:val="00005098"/>
    <w:rsid w:val="000054B3"/>
    <w:rsid w:val="00005559"/>
    <w:rsid w:val="00005FB2"/>
    <w:rsid w:val="00006217"/>
    <w:rsid w:val="000067E8"/>
    <w:rsid w:val="00006B0B"/>
    <w:rsid w:val="00006EF4"/>
    <w:rsid w:val="000075E6"/>
    <w:rsid w:val="00007649"/>
    <w:rsid w:val="00007A49"/>
    <w:rsid w:val="00007F4C"/>
    <w:rsid w:val="00010555"/>
    <w:rsid w:val="0001097C"/>
    <w:rsid w:val="00011B90"/>
    <w:rsid w:val="00012122"/>
    <w:rsid w:val="00012338"/>
    <w:rsid w:val="000138E7"/>
    <w:rsid w:val="00013C41"/>
    <w:rsid w:val="00015564"/>
    <w:rsid w:val="000159D0"/>
    <w:rsid w:val="000159E3"/>
    <w:rsid w:val="00015DF2"/>
    <w:rsid w:val="00016CAE"/>
    <w:rsid w:val="00017ADC"/>
    <w:rsid w:val="00017F38"/>
    <w:rsid w:val="00017FBE"/>
    <w:rsid w:val="000201F3"/>
    <w:rsid w:val="0002183E"/>
    <w:rsid w:val="000218D9"/>
    <w:rsid w:val="00022137"/>
    <w:rsid w:val="00022755"/>
    <w:rsid w:val="00022D18"/>
    <w:rsid w:val="00022DBD"/>
    <w:rsid w:val="0002339D"/>
    <w:rsid w:val="00024D9F"/>
    <w:rsid w:val="00025230"/>
    <w:rsid w:val="000257BF"/>
    <w:rsid w:val="00025F74"/>
    <w:rsid w:val="0002779C"/>
    <w:rsid w:val="00027F96"/>
    <w:rsid w:val="0003016A"/>
    <w:rsid w:val="00030771"/>
    <w:rsid w:val="00031BEB"/>
    <w:rsid w:val="00032B62"/>
    <w:rsid w:val="00032CB6"/>
    <w:rsid w:val="00033905"/>
    <w:rsid w:val="00033951"/>
    <w:rsid w:val="00033B8B"/>
    <w:rsid w:val="00033BB2"/>
    <w:rsid w:val="00033D80"/>
    <w:rsid w:val="00033E4B"/>
    <w:rsid w:val="00034750"/>
    <w:rsid w:val="00034CA4"/>
    <w:rsid w:val="000368F0"/>
    <w:rsid w:val="00036C6F"/>
    <w:rsid w:val="0003747A"/>
    <w:rsid w:val="00040BEF"/>
    <w:rsid w:val="00041412"/>
    <w:rsid w:val="000417FB"/>
    <w:rsid w:val="00042147"/>
    <w:rsid w:val="000424CF"/>
    <w:rsid w:val="00042F90"/>
    <w:rsid w:val="00043428"/>
    <w:rsid w:val="0004394E"/>
    <w:rsid w:val="00043BD9"/>
    <w:rsid w:val="00043FBC"/>
    <w:rsid w:val="000445E3"/>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793"/>
    <w:rsid w:val="00061E96"/>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B65"/>
    <w:rsid w:val="00071C87"/>
    <w:rsid w:val="00071CED"/>
    <w:rsid w:val="00072209"/>
    <w:rsid w:val="00072880"/>
    <w:rsid w:val="00072E6A"/>
    <w:rsid w:val="00073083"/>
    <w:rsid w:val="00073173"/>
    <w:rsid w:val="0007320F"/>
    <w:rsid w:val="000736CC"/>
    <w:rsid w:val="00073A15"/>
    <w:rsid w:val="00073B67"/>
    <w:rsid w:val="00074EFC"/>
    <w:rsid w:val="00075846"/>
    <w:rsid w:val="00075EF8"/>
    <w:rsid w:val="00076993"/>
    <w:rsid w:val="00076B87"/>
    <w:rsid w:val="00076FDD"/>
    <w:rsid w:val="000774B9"/>
    <w:rsid w:val="00077825"/>
    <w:rsid w:val="00077BE9"/>
    <w:rsid w:val="00080236"/>
    <w:rsid w:val="00080D72"/>
    <w:rsid w:val="000815CC"/>
    <w:rsid w:val="000818E4"/>
    <w:rsid w:val="00082591"/>
    <w:rsid w:val="000846A3"/>
    <w:rsid w:val="00084DB1"/>
    <w:rsid w:val="000859AD"/>
    <w:rsid w:val="00085B09"/>
    <w:rsid w:val="00085F9F"/>
    <w:rsid w:val="00085FC0"/>
    <w:rsid w:val="00086D96"/>
    <w:rsid w:val="0009063C"/>
    <w:rsid w:val="00091291"/>
    <w:rsid w:val="000920BA"/>
    <w:rsid w:val="00092D66"/>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2ECC"/>
    <w:rsid w:val="000A304C"/>
    <w:rsid w:val="000A326D"/>
    <w:rsid w:val="000A3670"/>
    <w:rsid w:val="000A3705"/>
    <w:rsid w:val="000A3911"/>
    <w:rsid w:val="000A3992"/>
    <w:rsid w:val="000A3BE6"/>
    <w:rsid w:val="000A43C8"/>
    <w:rsid w:val="000A4BCE"/>
    <w:rsid w:val="000A5083"/>
    <w:rsid w:val="000A5310"/>
    <w:rsid w:val="000A5691"/>
    <w:rsid w:val="000A5902"/>
    <w:rsid w:val="000A5CFF"/>
    <w:rsid w:val="000A5F6C"/>
    <w:rsid w:val="000A674D"/>
    <w:rsid w:val="000A70B2"/>
    <w:rsid w:val="000A73A2"/>
    <w:rsid w:val="000A75E3"/>
    <w:rsid w:val="000A7B46"/>
    <w:rsid w:val="000A7DB6"/>
    <w:rsid w:val="000B077F"/>
    <w:rsid w:val="000B0F63"/>
    <w:rsid w:val="000B18B5"/>
    <w:rsid w:val="000B1D38"/>
    <w:rsid w:val="000B20BE"/>
    <w:rsid w:val="000B2DCC"/>
    <w:rsid w:val="000B3AD7"/>
    <w:rsid w:val="000B4664"/>
    <w:rsid w:val="000B5120"/>
    <w:rsid w:val="000B60D0"/>
    <w:rsid w:val="000B62E1"/>
    <w:rsid w:val="000B66C8"/>
    <w:rsid w:val="000B6AB6"/>
    <w:rsid w:val="000B71E0"/>
    <w:rsid w:val="000B73E6"/>
    <w:rsid w:val="000B7560"/>
    <w:rsid w:val="000B7740"/>
    <w:rsid w:val="000B7F2F"/>
    <w:rsid w:val="000C0E4C"/>
    <w:rsid w:val="000C11A2"/>
    <w:rsid w:val="000C23CE"/>
    <w:rsid w:val="000C2F7E"/>
    <w:rsid w:val="000C340C"/>
    <w:rsid w:val="000C37A9"/>
    <w:rsid w:val="000C37B9"/>
    <w:rsid w:val="000C3E6D"/>
    <w:rsid w:val="000C54B8"/>
    <w:rsid w:val="000C6187"/>
    <w:rsid w:val="000C6459"/>
    <w:rsid w:val="000C671C"/>
    <w:rsid w:val="000C6929"/>
    <w:rsid w:val="000C7459"/>
    <w:rsid w:val="000C79C6"/>
    <w:rsid w:val="000C7D50"/>
    <w:rsid w:val="000C7F43"/>
    <w:rsid w:val="000D102B"/>
    <w:rsid w:val="000D132A"/>
    <w:rsid w:val="000D1ECD"/>
    <w:rsid w:val="000D25AF"/>
    <w:rsid w:val="000D2CEB"/>
    <w:rsid w:val="000D2F06"/>
    <w:rsid w:val="000D3A78"/>
    <w:rsid w:val="000D40E2"/>
    <w:rsid w:val="000D4BC5"/>
    <w:rsid w:val="000D4D04"/>
    <w:rsid w:val="000D512A"/>
    <w:rsid w:val="000D5306"/>
    <w:rsid w:val="000D5462"/>
    <w:rsid w:val="000D5BD6"/>
    <w:rsid w:val="000D60CB"/>
    <w:rsid w:val="000D65C9"/>
    <w:rsid w:val="000D67EE"/>
    <w:rsid w:val="000D6BD0"/>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C94"/>
    <w:rsid w:val="000E5D15"/>
    <w:rsid w:val="000E5E2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ED1"/>
    <w:rsid w:val="000F7238"/>
    <w:rsid w:val="000F75ED"/>
    <w:rsid w:val="0010088E"/>
    <w:rsid w:val="001017AA"/>
    <w:rsid w:val="00101811"/>
    <w:rsid w:val="0010191A"/>
    <w:rsid w:val="001026AC"/>
    <w:rsid w:val="00102832"/>
    <w:rsid w:val="00102A45"/>
    <w:rsid w:val="00103182"/>
    <w:rsid w:val="0010452B"/>
    <w:rsid w:val="00104818"/>
    <w:rsid w:val="00105D5A"/>
    <w:rsid w:val="001061C2"/>
    <w:rsid w:val="001074A3"/>
    <w:rsid w:val="00110198"/>
    <w:rsid w:val="00110911"/>
    <w:rsid w:val="00110B59"/>
    <w:rsid w:val="00110C9C"/>
    <w:rsid w:val="001119A7"/>
    <w:rsid w:val="0011232E"/>
    <w:rsid w:val="00112648"/>
    <w:rsid w:val="00112796"/>
    <w:rsid w:val="00112E3E"/>
    <w:rsid w:val="00112FA3"/>
    <w:rsid w:val="00113782"/>
    <w:rsid w:val="00113984"/>
    <w:rsid w:val="001145A5"/>
    <w:rsid w:val="001157A3"/>
    <w:rsid w:val="001164AF"/>
    <w:rsid w:val="00117303"/>
    <w:rsid w:val="00117F01"/>
    <w:rsid w:val="00120A5D"/>
    <w:rsid w:val="00120B19"/>
    <w:rsid w:val="001211F9"/>
    <w:rsid w:val="0012138A"/>
    <w:rsid w:val="00122AF9"/>
    <w:rsid w:val="001236DB"/>
    <w:rsid w:val="00124028"/>
    <w:rsid w:val="00124235"/>
    <w:rsid w:val="001246AF"/>
    <w:rsid w:val="001249F8"/>
    <w:rsid w:val="00124A80"/>
    <w:rsid w:val="00125C9C"/>
    <w:rsid w:val="001277E1"/>
    <w:rsid w:val="001301CC"/>
    <w:rsid w:val="00130561"/>
    <w:rsid w:val="00130717"/>
    <w:rsid w:val="00130946"/>
    <w:rsid w:val="00131080"/>
    <w:rsid w:val="001315C2"/>
    <w:rsid w:val="00131AB6"/>
    <w:rsid w:val="00131D0D"/>
    <w:rsid w:val="0013226D"/>
    <w:rsid w:val="001326B0"/>
    <w:rsid w:val="0013320B"/>
    <w:rsid w:val="00133C40"/>
    <w:rsid w:val="00134210"/>
    <w:rsid w:val="00135CEF"/>
    <w:rsid w:val="00136787"/>
    <w:rsid w:val="00137139"/>
    <w:rsid w:val="00137B1B"/>
    <w:rsid w:val="00140568"/>
    <w:rsid w:val="00140FCD"/>
    <w:rsid w:val="001418F6"/>
    <w:rsid w:val="00141934"/>
    <w:rsid w:val="00141FA6"/>
    <w:rsid w:val="00142FB3"/>
    <w:rsid w:val="00143208"/>
    <w:rsid w:val="00143C72"/>
    <w:rsid w:val="0014511D"/>
    <w:rsid w:val="00145C4D"/>
    <w:rsid w:val="00145F25"/>
    <w:rsid w:val="0014646E"/>
    <w:rsid w:val="0014686F"/>
    <w:rsid w:val="00146A5D"/>
    <w:rsid w:val="00146FE2"/>
    <w:rsid w:val="00147534"/>
    <w:rsid w:val="00147F0A"/>
    <w:rsid w:val="00150105"/>
    <w:rsid w:val="0015043C"/>
    <w:rsid w:val="00150FB0"/>
    <w:rsid w:val="0015158E"/>
    <w:rsid w:val="001515C2"/>
    <w:rsid w:val="00151A5C"/>
    <w:rsid w:val="001521BF"/>
    <w:rsid w:val="00152218"/>
    <w:rsid w:val="001522F0"/>
    <w:rsid w:val="00152374"/>
    <w:rsid w:val="0015346F"/>
    <w:rsid w:val="001539DC"/>
    <w:rsid w:val="00154DFB"/>
    <w:rsid w:val="00155D72"/>
    <w:rsid w:val="001561ED"/>
    <w:rsid w:val="00156BE8"/>
    <w:rsid w:val="0015711A"/>
    <w:rsid w:val="00160532"/>
    <w:rsid w:val="00160C3A"/>
    <w:rsid w:val="00160CB0"/>
    <w:rsid w:val="00161306"/>
    <w:rsid w:val="00161774"/>
    <w:rsid w:val="00161F2C"/>
    <w:rsid w:val="001639B4"/>
    <w:rsid w:val="00165B65"/>
    <w:rsid w:val="001663F8"/>
    <w:rsid w:val="00166C64"/>
    <w:rsid w:val="001670E1"/>
    <w:rsid w:val="001677D4"/>
    <w:rsid w:val="00167C60"/>
    <w:rsid w:val="001705DD"/>
    <w:rsid w:val="001708A2"/>
    <w:rsid w:val="00170A01"/>
    <w:rsid w:val="00170EF1"/>
    <w:rsid w:val="00170FFC"/>
    <w:rsid w:val="00171EEF"/>
    <w:rsid w:val="00171F40"/>
    <w:rsid w:val="0017249D"/>
    <w:rsid w:val="001725DC"/>
    <w:rsid w:val="0017293F"/>
    <w:rsid w:val="001735DD"/>
    <w:rsid w:val="00174292"/>
    <w:rsid w:val="0017471E"/>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87DDE"/>
    <w:rsid w:val="001900C0"/>
    <w:rsid w:val="0019118A"/>
    <w:rsid w:val="0019145F"/>
    <w:rsid w:val="001920EA"/>
    <w:rsid w:val="00192438"/>
    <w:rsid w:val="001928D0"/>
    <w:rsid w:val="00192CEE"/>
    <w:rsid w:val="00192D3B"/>
    <w:rsid w:val="00192FB3"/>
    <w:rsid w:val="001936C6"/>
    <w:rsid w:val="00193F44"/>
    <w:rsid w:val="0019591C"/>
    <w:rsid w:val="00196531"/>
    <w:rsid w:val="001978CD"/>
    <w:rsid w:val="00197E9D"/>
    <w:rsid w:val="001A0D6D"/>
    <w:rsid w:val="001A181F"/>
    <w:rsid w:val="001A185D"/>
    <w:rsid w:val="001A1F5C"/>
    <w:rsid w:val="001A211A"/>
    <w:rsid w:val="001A29BA"/>
    <w:rsid w:val="001A3E05"/>
    <w:rsid w:val="001A3F92"/>
    <w:rsid w:val="001A4019"/>
    <w:rsid w:val="001A4417"/>
    <w:rsid w:val="001A4535"/>
    <w:rsid w:val="001A56FF"/>
    <w:rsid w:val="001A677B"/>
    <w:rsid w:val="001A6CA8"/>
    <w:rsid w:val="001A7257"/>
    <w:rsid w:val="001A7FF3"/>
    <w:rsid w:val="001B05B4"/>
    <w:rsid w:val="001B0826"/>
    <w:rsid w:val="001B087A"/>
    <w:rsid w:val="001B0DF5"/>
    <w:rsid w:val="001B0E6E"/>
    <w:rsid w:val="001B0ED8"/>
    <w:rsid w:val="001B118F"/>
    <w:rsid w:val="001B11A3"/>
    <w:rsid w:val="001B1D83"/>
    <w:rsid w:val="001B1EF2"/>
    <w:rsid w:val="001B2103"/>
    <w:rsid w:val="001B267C"/>
    <w:rsid w:val="001B30EE"/>
    <w:rsid w:val="001B3D65"/>
    <w:rsid w:val="001B3E1D"/>
    <w:rsid w:val="001B6735"/>
    <w:rsid w:val="001B7144"/>
    <w:rsid w:val="001B78E5"/>
    <w:rsid w:val="001B7B42"/>
    <w:rsid w:val="001C0207"/>
    <w:rsid w:val="001C0390"/>
    <w:rsid w:val="001C0640"/>
    <w:rsid w:val="001C066F"/>
    <w:rsid w:val="001C06E4"/>
    <w:rsid w:val="001C0DA5"/>
    <w:rsid w:val="001C186E"/>
    <w:rsid w:val="001C1FBB"/>
    <w:rsid w:val="001C20ED"/>
    <w:rsid w:val="001C2207"/>
    <w:rsid w:val="001C264B"/>
    <w:rsid w:val="001C2908"/>
    <w:rsid w:val="001C40D9"/>
    <w:rsid w:val="001C4D7F"/>
    <w:rsid w:val="001C508B"/>
    <w:rsid w:val="001C53A3"/>
    <w:rsid w:val="001C5776"/>
    <w:rsid w:val="001C57B1"/>
    <w:rsid w:val="001C6472"/>
    <w:rsid w:val="001C6C89"/>
    <w:rsid w:val="001C749A"/>
    <w:rsid w:val="001D0863"/>
    <w:rsid w:val="001D0A15"/>
    <w:rsid w:val="001D0DC9"/>
    <w:rsid w:val="001D0F50"/>
    <w:rsid w:val="001D105C"/>
    <w:rsid w:val="001D18EE"/>
    <w:rsid w:val="001D1B00"/>
    <w:rsid w:val="001D1E1D"/>
    <w:rsid w:val="001D29C7"/>
    <w:rsid w:val="001D3140"/>
    <w:rsid w:val="001D4425"/>
    <w:rsid w:val="001D470B"/>
    <w:rsid w:val="001D47C8"/>
    <w:rsid w:val="001D4E67"/>
    <w:rsid w:val="001D546C"/>
    <w:rsid w:val="001D5D3E"/>
    <w:rsid w:val="001D6026"/>
    <w:rsid w:val="001D6341"/>
    <w:rsid w:val="001D67A8"/>
    <w:rsid w:val="001D7B87"/>
    <w:rsid w:val="001E021E"/>
    <w:rsid w:val="001E03C3"/>
    <w:rsid w:val="001E143C"/>
    <w:rsid w:val="001E156C"/>
    <w:rsid w:val="001E221F"/>
    <w:rsid w:val="001E2530"/>
    <w:rsid w:val="001E25A7"/>
    <w:rsid w:val="001E316D"/>
    <w:rsid w:val="001E394B"/>
    <w:rsid w:val="001E3C31"/>
    <w:rsid w:val="001E3E1F"/>
    <w:rsid w:val="001E4134"/>
    <w:rsid w:val="001E4B2F"/>
    <w:rsid w:val="001E4DB4"/>
    <w:rsid w:val="001E4E87"/>
    <w:rsid w:val="001E5E97"/>
    <w:rsid w:val="001E694F"/>
    <w:rsid w:val="001E714A"/>
    <w:rsid w:val="001E72B0"/>
    <w:rsid w:val="001E791E"/>
    <w:rsid w:val="001F00E5"/>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DB8"/>
    <w:rsid w:val="0020015C"/>
    <w:rsid w:val="00202075"/>
    <w:rsid w:val="00203474"/>
    <w:rsid w:val="00203AE3"/>
    <w:rsid w:val="00204D01"/>
    <w:rsid w:val="0020513E"/>
    <w:rsid w:val="00205577"/>
    <w:rsid w:val="0020557D"/>
    <w:rsid w:val="00205D02"/>
    <w:rsid w:val="00205DE8"/>
    <w:rsid w:val="00205FA5"/>
    <w:rsid w:val="00206393"/>
    <w:rsid w:val="00206E70"/>
    <w:rsid w:val="002070EB"/>
    <w:rsid w:val="00210399"/>
    <w:rsid w:val="002129DA"/>
    <w:rsid w:val="002130A3"/>
    <w:rsid w:val="002130F8"/>
    <w:rsid w:val="0021467E"/>
    <w:rsid w:val="00214942"/>
    <w:rsid w:val="00214A36"/>
    <w:rsid w:val="0021536D"/>
    <w:rsid w:val="00215625"/>
    <w:rsid w:val="0021667B"/>
    <w:rsid w:val="00216A91"/>
    <w:rsid w:val="00216CB7"/>
    <w:rsid w:val="002171B3"/>
    <w:rsid w:val="00220401"/>
    <w:rsid w:val="0022062B"/>
    <w:rsid w:val="00220798"/>
    <w:rsid w:val="0022087F"/>
    <w:rsid w:val="0022168A"/>
    <w:rsid w:val="002217AB"/>
    <w:rsid w:val="00221B2D"/>
    <w:rsid w:val="00221B55"/>
    <w:rsid w:val="002233C3"/>
    <w:rsid w:val="002233ED"/>
    <w:rsid w:val="00223AA7"/>
    <w:rsid w:val="00224AA8"/>
    <w:rsid w:val="00225102"/>
    <w:rsid w:val="0022643C"/>
    <w:rsid w:val="00226A78"/>
    <w:rsid w:val="0022707A"/>
    <w:rsid w:val="002275E5"/>
    <w:rsid w:val="00227EEF"/>
    <w:rsid w:val="00230A6E"/>
    <w:rsid w:val="00231AC4"/>
    <w:rsid w:val="002327D1"/>
    <w:rsid w:val="00232827"/>
    <w:rsid w:val="00232E66"/>
    <w:rsid w:val="00233523"/>
    <w:rsid w:val="00233934"/>
    <w:rsid w:val="00233A86"/>
    <w:rsid w:val="00233E2F"/>
    <w:rsid w:val="00234F5C"/>
    <w:rsid w:val="00235167"/>
    <w:rsid w:val="00236A92"/>
    <w:rsid w:val="00237261"/>
    <w:rsid w:val="0024022C"/>
    <w:rsid w:val="002409CB"/>
    <w:rsid w:val="00240C58"/>
    <w:rsid w:val="00241548"/>
    <w:rsid w:val="00243F62"/>
    <w:rsid w:val="00244131"/>
    <w:rsid w:val="002444AB"/>
    <w:rsid w:val="00244C2D"/>
    <w:rsid w:val="00244CBB"/>
    <w:rsid w:val="002452EE"/>
    <w:rsid w:val="002458F9"/>
    <w:rsid w:val="00246840"/>
    <w:rsid w:val="002476ED"/>
    <w:rsid w:val="00247B9E"/>
    <w:rsid w:val="00250378"/>
    <w:rsid w:val="00250BD9"/>
    <w:rsid w:val="002520C1"/>
    <w:rsid w:val="00252B87"/>
    <w:rsid w:val="00252ECC"/>
    <w:rsid w:val="0025308B"/>
    <w:rsid w:val="0025358C"/>
    <w:rsid w:val="00253DB2"/>
    <w:rsid w:val="00255177"/>
    <w:rsid w:val="002600FF"/>
    <w:rsid w:val="002606AE"/>
    <w:rsid w:val="00261AC4"/>
    <w:rsid w:val="00261C0E"/>
    <w:rsid w:val="0026232A"/>
    <w:rsid w:val="002627A3"/>
    <w:rsid w:val="00262D1B"/>
    <w:rsid w:val="002634E8"/>
    <w:rsid w:val="002640EB"/>
    <w:rsid w:val="00264485"/>
    <w:rsid w:val="0026512D"/>
    <w:rsid w:val="00265BBC"/>
    <w:rsid w:val="00265BE4"/>
    <w:rsid w:val="00265D7D"/>
    <w:rsid w:val="00265DEC"/>
    <w:rsid w:val="00266956"/>
    <w:rsid w:val="0026732D"/>
    <w:rsid w:val="002673B6"/>
    <w:rsid w:val="002675F7"/>
    <w:rsid w:val="00270C3D"/>
    <w:rsid w:val="002723E4"/>
    <w:rsid w:val="002725D0"/>
    <w:rsid w:val="00272BBF"/>
    <w:rsid w:val="00273767"/>
    <w:rsid w:val="002740B9"/>
    <w:rsid w:val="0027430B"/>
    <w:rsid w:val="0027530E"/>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2EEE"/>
    <w:rsid w:val="002934FF"/>
    <w:rsid w:val="00293BC0"/>
    <w:rsid w:val="0029444C"/>
    <w:rsid w:val="002946B2"/>
    <w:rsid w:val="00295461"/>
    <w:rsid w:val="00295B9B"/>
    <w:rsid w:val="00295FBE"/>
    <w:rsid w:val="0029632B"/>
    <w:rsid w:val="002965E0"/>
    <w:rsid w:val="002977A4"/>
    <w:rsid w:val="002A03BD"/>
    <w:rsid w:val="002A0C31"/>
    <w:rsid w:val="002A0D1A"/>
    <w:rsid w:val="002A1F85"/>
    <w:rsid w:val="002A2EFA"/>
    <w:rsid w:val="002A3037"/>
    <w:rsid w:val="002A3124"/>
    <w:rsid w:val="002A3288"/>
    <w:rsid w:val="002A3952"/>
    <w:rsid w:val="002A3D79"/>
    <w:rsid w:val="002A511C"/>
    <w:rsid w:val="002A66C9"/>
    <w:rsid w:val="002A72AB"/>
    <w:rsid w:val="002A7FCE"/>
    <w:rsid w:val="002B0A52"/>
    <w:rsid w:val="002B0E5E"/>
    <w:rsid w:val="002B1444"/>
    <w:rsid w:val="002B17EF"/>
    <w:rsid w:val="002B1B08"/>
    <w:rsid w:val="002B1C11"/>
    <w:rsid w:val="002B1F93"/>
    <w:rsid w:val="002B255C"/>
    <w:rsid w:val="002B33D1"/>
    <w:rsid w:val="002B3A89"/>
    <w:rsid w:val="002B3BF0"/>
    <w:rsid w:val="002B415D"/>
    <w:rsid w:val="002B4EA7"/>
    <w:rsid w:val="002B5804"/>
    <w:rsid w:val="002B6279"/>
    <w:rsid w:val="002B66F3"/>
    <w:rsid w:val="002B6AEB"/>
    <w:rsid w:val="002B7B1D"/>
    <w:rsid w:val="002C0527"/>
    <w:rsid w:val="002C079B"/>
    <w:rsid w:val="002C1012"/>
    <w:rsid w:val="002C1E67"/>
    <w:rsid w:val="002C2C33"/>
    <w:rsid w:val="002C385F"/>
    <w:rsid w:val="002C3CFF"/>
    <w:rsid w:val="002C4732"/>
    <w:rsid w:val="002C5318"/>
    <w:rsid w:val="002C62B7"/>
    <w:rsid w:val="002C79ED"/>
    <w:rsid w:val="002D2DFD"/>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CE"/>
    <w:rsid w:val="002E51B7"/>
    <w:rsid w:val="002E59C4"/>
    <w:rsid w:val="002E5C4B"/>
    <w:rsid w:val="002E5EE7"/>
    <w:rsid w:val="002E6155"/>
    <w:rsid w:val="002E63D5"/>
    <w:rsid w:val="002E6473"/>
    <w:rsid w:val="002E6A1F"/>
    <w:rsid w:val="002E6F63"/>
    <w:rsid w:val="002E791D"/>
    <w:rsid w:val="002E7EF0"/>
    <w:rsid w:val="002F07FB"/>
    <w:rsid w:val="002F0C6B"/>
    <w:rsid w:val="002F0CD2"/>
    <w:rsid w:val="002F0DE8"/>
    <w:rsid w:val="002F12A0"/>
    <w:rsid w:val="002F1778"/>
    <w:rsid w:val="002F2397"/>
    <w:rsid w:val="002F321E"/>
    <w:rsid w:val="002F36CF"/>
    <w:rsid w:val="002F39A0"/>
    <w:rsid w:val="002F5B33"/>
    <w:rsid w:val="002F5F15"/>
    <w:rsid w:val="002F6FAE"/>
    <w:rsid w:val="002F71CA"/>
    <w:rsid w:val="002F7CD9"/>
    <w:rsid w:val="00300BF6"/>
    <w:rsid w:val="00302692"/>
    <w:rsid w:val="00302D6C"/>
    <w:rsid w:val="00302F7A"/>
    <w:rsid w:val="0030314B"/>
    <w:rsid w:val="00303334"/>
    <w:rsid w:val="00303A19"/>
    <w:rsid w:val="00304381"/>
    <w:rsid w:val="003043D5"/>
    <w:rsid w:val="003043DC"/>
    <w:rsid w:val="00304C08"/>
    <w:rsid w:val="00304DE0"/>
    <w:rsid w:val="00305047"/>
    <w:rsid w:val="003053BA"/>
    <w:rsid w:val="00305E04"/>
    <w:rsid w:val="00305F2C"/>
    <w:rsid w:val="003062F8"/>
    <w:rsid w:val="003072D7"/>
    <w:rsid w:val="00307686"/>
    <w:rsid w:val="00307DB8"/>
    <w:rsid w:val="00307EBB"/>
    <w:rsid w:val="00307F09"/>
    <w:rsid w:val="003103AD"/>
    <w:rsid w:val="003105AD"/>
    <w:rsid w:val="0031080C"/>
    <w:rsid w:val="003108ED"/>
    <w:rsid w:val="003126A3"/>
    <w:rsid w:val="00313096"/>
    <w:rsid w:val="003140C1"/>
    <w:rsid w:val="0031415A"/>
    <w:rsid w:val="003142DD"/>
    <w:rsid w:val="00314507"/>
    <w:rsid w:val="00314AFE"/>
    <w:rsid w:val="00314BC2"/>
    <w:rsid w:val="00314CDC"/>
    <w:rsid w:val="00314F33"/>
    <w:rsid w:val="00315D55"/>
    <w:rsid w:val="00316206"/>
    <w:rsid w:val="00316E45"/>
    <w:rsid w:val="00317125"/>
    <w:rsid w:val="00317845"/>
    <w:rsid w:val="00317F6B"/>
    <w:rsid w:val="003208E1"/>
    <w:rsid w:val="00321329"/>
    <w:rsid w:val="00321CC5"/>
    <w:rsid w:val="00322F66"/>
    <w:rsid w:val="00323AD5"/>
    <w:rsid w:val="00323B4E"/>
    <w:rsid w:val="00323D94"/>
    <w:rsid w:val="00324159"/>
    <w:rsid w:val="0032458F"/>
    <w:rsid w:val="0032463C"/>
    <w:rsid w:val="00324CFA"/>
    <w:rsid w:val="00324FE9"/>
    <w:rsid w:val="00325E88"/>
    <w:rsid w:val="00326EEB"/>
    <w:rsid w:val="003301BC"/>
    <w:rsid w:val="00331104"/>
    <w:rsid w:val="00332046"/>
    <w:rsid w:val="00332096"/>
    <w:rsid w:val="003321C0"/>
    <w:rsid w:val="00332DC2"/>
    <w:rsid w:val="00333640"/>
    <w:rsid w:val="0033385A"/>
    <w:rsid w:val="0033445E"/>
    <w:rsid w:val="00334FDF"/>
    <w:rsid w:val="0033509B"/>
    <w:rsid w:val="0033556F"/>
    <w:rsid w:val="00335999"/>
    <w:rsid w:val="00335B24"/>
    <w:rsid w:val="00336322"/>
    <w:rsid w:val="003366C6"/>
    <w:rsid w:val="00336A9E"/>
    <w:rsid w:val="00340D05"/>
    <w:rsid w:val="003413B0"/>
    <w:rsid w:val="003426E4"/>
    <w:rsid w:val="0034341B"/>
    <w:rsid w:val="0034400D"/>
    <w:rsid w:val="003444DE"/>
    <w:rsid w:val="00345324"/>
    <w:rsid w:val="003455C8"/>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378"/>
    <w:rsid w:val="0035648A"/>
    <w:rsid w:val="0036028E"/>
    <w:rsid w:val="00360557"/>
    <w:rsid w:val="00360AF9"/>
    <w:rsid w:val="003618EB"/>
    <w:rsid w:val="00361E1E"/>
    <w:rsid w:val="00362EE3"/>
    <w:rsid w:val="00363174"/>
    <w:rsid w:val="003638CA"/>
    <w:rsid w:val="0036399C"/>
    <w:rsid w:val="00363B2F"/>
    <w:rsid w:val="00364948"/>
    <w:rsid w:val="00364B3C"/>
    <w:rsid w:val="0036500E"/>
    <w:rsid w:val="003651ED"/>
    <w:rsid w:val="0036549E"/>
    <w:rsid w:val="0036591C"/>
    <w:rsid w:val="00365DF7"/>
    <w:rsid w:val="00365F7B"/>
    <w:rsid w:val="0036620A"/>
    <w:rsid w:val="00366A57"/>
    <w:rsid w:val="00367CAF"/>
    <w:rsid w:val="0037104D"/>
    <w:rsid w:val="003710E5"/>
    <w:rsid w:val="003717F2"/>
    <w:rsid w:val="00371C71"/>
    <w:rsid w:val="00371CB9"/>
    <w:rsid w:val="003720CF"/>
    <w:rsid w:val="00372C57"/>
    <w:rsid w:val="00373066"/>
    <w:rsid w:val="003732A8"/>
    <w:rsid w:val="0037346D"/>
    <w:rsid w:val="00373F2E"/>
    <w:rsid w:val="003740D4"/>
    <w:rsid w:val="0037412E"/>
    <w:rsid w:val="00374240"/>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4DC"/>
    <w:rsid w:val="00383E02"/>
    <w:rsid w:val="0038461A"/>
    <w:rsid w:val="00384662"/>
    <w:rsid w:val="0038487F"/>
    <w:rsid w:val="00384BD7"/>
    <w:rsid w:val="0038543F"/>
    <w:rsid w:val="003855D5"/>
    <w:rsid w:val="00385926"/>
    <w:rsid w:val="00385DFD"/>
    <w:rsid w:val="003871EF"/>
    <w:rsid w:val="0039090D"/>
    <w:rsid w:val="00391131"/>
    <w:rsid w:val="00391865"/>
    <w:rsid w:val="00392014"/>
    <w:rsid w:val="00392398"/>
    <w:rsid w:val="00392A26"/>
    <w:rsid w:val="0039373A"/>
    <w:rsid w:val="00394223"/>
    <w:rsid w:val="003945CB"/>
    <w:rsid w:val="00394608"/>
    <w:rsid w:val="003951DB"/>
    <w:rsid w:val="00395828"/>
    <w:rsid w:val="0039683F"/>
    <w:rsid w:val="003969B1"/>
    <w:rsid w:val="00397D15"/>
    <w:rsid w:val="00397D48"/>
    <w:rsid w:val="00397EF3"/>
    <w:rsid w:val="003A0FFC"/>
    <w:rsid w:val="003A1710"/>
    <w:rsid w:val="003A1A6A"/>
    <w:rsid w:val="003A1D8B"/>
    <w:rsid w:val="003A2FA4"/>
    <w:rsid w:val="003A3094"/>
    <w:rsid w:val="003A3466"/>
    <w:rsid w:val="003A4135"/>
    <w:rsid w:val="003A42B6"/>
    <w:rsid w:val="003A4F05"/>
    <w:rsid w:val="003A566F"/>
    <w:rsid w:val="003A57AA"/>
    <w:rsid w:val="003A6328"/>
    <w:rsid w:val="003A71B6"/>
    <w:rsid w:val="003A7937"/>
    <w:rsid w:val="003B0788"/>
    <w:rsid w:val="003B13E2"/>
    <w:rsid w:val="003B1D7E"/>
    <w:rsid w:val="003B2DF6"/>
    <w:rsid w:val="003B3243"/>
    <w:rsid w:val="003B3610"/>
    <w:rsid w:val="003B4214"/>
    <w:rsid w:val="003B4B09"/>
    <w:rsid w:val="003B4C4F"/>
    <w:rsid w:val="003B512F"/>
    <w:rsid w:val="003B58E4"/>
    <w:rsid w:val="003B5942"/>
    <w:rsid w:val="003B65BD"/>
    <w:rsid w:val="003B6B32"/>
    <w:rsid w:val="003B7324"/>
    <w:rsid w:val="003B7D91"/>
    <w:rsid w:val="003C0B06"/>
    <w:rsid w:val="003C233D"/>
    <w:rsid w:val="003C2FDD"/>
    <w:rsid w:val="003C3981"/>
    <w:rsid w:val="003C4AD8"/>
    <w:rsid w:val="003C5AF6"/>
    <w:rsid w:val="003C5D34"/>
    <w:rsid w:val="003C65C7"/>
    <w:rsid w:val="003C6994"/>
    <w:rsid w:val="003C6BFD"/>
    <w:rsid w:val="003C704E"/>
    <w:rsid w:val="003C73D1"/>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8FE"/>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2D9"/>
    <w:rsid w:val="003E7D6D"/>
    <w:rsid w:val="003F04A8"/>
    <w:rsid w:val="003F1F55"/>
    <w:rsid w:val="003F2554"/>
    <w:rsid w:val="003F259D"/>
    <w:rsid w:val="003F279B"/>
    <w:rsid w:val="003F3767"/>
    <w:rsid w:val="003F3B09"/>
    <w:rsid w:val="003F3CEF"/>
    <w:rsid w:val="003F4FD8"/>
    <w:rsid w:val="003F51B2"/>
    <w:rsid w:val="003F587A"/>
    <w:rsid w:val="003F5AE4"/>
    <w:rsid w:val="003F61EB"/>
    <w:rsid w:val="003F648F"/>
    <w:rsid w:val="003F6D53"/>
    <w:rsid w:val="00400401"/>
    <w:rsid w:val="004008A7"/>
    <w:rsid w:val="00400B7E"/>
    <w:rsid w:val="00401639"/>
    <w:rsid w:val="004019DC"/>
    <w:rsid w:val="00401DC1"/>
    <w:rsid w:val="00401DF0"/>
    <w:rsid w:val="00403727"/>
    <w:rsid w:val="00403A20"/>
    <w:rsid w:val="00403AC5"/>
    <w:rsid w:val="00404C85"/>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FD9"/>
    <w:rsid w:val="00420962"/>
    <w:rsid w:val="004211A6"/>
    <w:rsid w:val="0042181B"/>
    <w:rsid w:val="00422A45"/>
    <w:rsid w:val="004235CA"/>
    <w:rsid w:val="004243BD"/>
    <w:rsid w:val="00424437"/>
    <w:rsid w:val="004245D2"/>
    <w:rsid w:val="00425370"/>
    <w:rsid w:val="004258D8"/>
    <w:rsid w:val="004262D5"/>
    <w:rsid w:val="00426919"/>
    <w:rsid w:val="0042698B"/>
    <w:rsid w:val="00426BE4"/>
    <w:rsid w:val="00426E39"/>
    <w:rsid w:val="00432668"/>
    <w:rsid w:val="004327E2"/>
    <w:rsid w:val="00432AE8"/>
    <w:rsid w:val="004331BE"/>
    <w:rsid w:val="004333F4"/>
    <w:rsid w:val="00434641"/>
    <w:rsid w:val="00434F13"/>
    <w:rsid w:val="00434F4D"/>
    <w:rsid w:val="00435324"/>
    <w:rsid w:val="00435A4F"/>
    <w:rsid w:val="00435A8C"/>
    <w:rsid w:val="00435AAF"/>
    <w:rsid w:val="00436399"/>
    <w:rsid w:val="00437828"/>
    <w:rsid w:val="0043796F"/>
    <w:rsid w:val="004403EC"/>
    <w:rsid w:val="004406E0"/>
    <w:rsid w:val="00440A40"/>
    <w:rsid w:val="00440EAF"/>
    <w:rsid w:val="00441BBC"/>
    <w:rsid w:val="004427AA"/>
    <w:rsid w:val="004427EA"/>
    <w:rsid w:val="00442BF2"/>
    <w:rsid w:val="004431C7"/>
    <w:rsid w:val="00443880"/>
    <w:rsid w:val="00444B0A"/>
    <w:rsid w:val="00444B32"/>
    <w:rsid w:val="00445816"/>
    <w:rsid w:val="0044792B"/>
    <w:rsid w:val="004479AE"/>
    <w:rsid w:val="0045082F"/>
    <w:rsid w:val="004511FE"/>
    <w:rsid w:val="0045190F"/>
    <w:rsid w:val="00452064"/>
    <w:rsid w:val="004520E6"/>
    <w:rsid w:val="00452814"/>
    <w:rsid w:val="00453B72"/>
    <w:rsid w:val="00454041"/>
    <w:rsid w:val="004545F2"/>
    <w:rsid w:val="00454D23"/>
    <w:rsid w:val="004552B6"/>
    <w:rsid w:val="00455D86"/>
    <w:rsid w:val="0045607D"/>
    <w:rsid w:val="004561D0"/>
    <w:rsid w:val="00456252"/>
    <w:rsid w:val="00456273"/>
    <w:rsid w:val="00456993"/>
    <w:rsid w:val="00456CE3"/>
    <w:rsid w:val="0046071D"/>
    <w:rsid w:val="00460D14"/>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47A"/>
    <w:rsid w:val="00471E18"/>
    <w:rsid w:val="00472D4A"/>
    <w:rsid w:val="00473442"/>
    <w:rsid w:val="0047361A"/>
    <w:rsid w:val="00473A33"/>
    <w:rsid w:val="00474AEB"/>
    <w:rsid w:val="00475341"/>
    <w:rsid w:val="00475FB1"/>
    <w:rsid w:val="004761C4"/>
    <w:rsid w:val="004762BD"/>
    <w:rsid w:val="004764E5"/>
    <w:rsid w:val="0047673B"/>
    <w:rsid w:val="004769E5"/>
    <w:rsid w:val="004771CA"/>
    <w:rsid w:val="0047756D"/>
    <w:rsid w:val="00477A6D"/>
    <w:rsid w:val="00477A97"/>
    <w:rsid w:val="0048003B"/>
    <w:rsid w:val="004803AA"/>
    <w:rsid w:val="004806DA"/>
    <w:rsid w:val="00480B78"/>
    <w:rsid w:val="00480EDC"/>
    <w:rsid w:val="00481489"/>
    <w:rsid w:val="004820C0"/>
    <w:rsid w:val="0048381F"/>
    <w:rsid w:val="0048453D"/>
    <w:rsid w:val="00484A7E"/>
    <w:rsid w:val="00485157"/>
    <w:rsid w:val="004855A1"/>
    <w:rsid w:val="004855F7"/>
    <w:rsid w:val="004857D5"/>
    <w:rsid w:val="0048596A"/>
    <w:rsid w:val="00486104"/>
    <w:rsid w:val="00486A26"/>
    <w:rsid w:val="00486A4C"/>
    <w:rsid w:val="00486FDE"/>
    <w:rsid w:val="00491F6F"/>
    <w:rsid w:val="00492346"/>
    <w:rsid w:val="004926F8"/>
    <w:rsid w:val="00492D8D"/>
    <w:rsid w:val="004939D7"/>
    <w:rsid w:val="004949A5"/>
    <w:rsid w:val="00495268"/>
    <w:rsid w:val="00495619"/>
    <w:rsid w:val="004959A3"/>
    <w:rsid w:val="00495C25"/>
    <w:rsid w:val="004964FF"/>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3CE3"/>
    <w:rsid w:val="004A564A"/>
    <w:rsid w:val="004A65DB"/>
    <w:rsid w:val="004A6C05"/>
    <w:rsid w:val="004A77CC"/>
    <w:rsid w:val="004B05BB"/>
    <w:rsid w:val="004B0892"/>
    <w:rsid w:val="004B0D02"/>
    <w:rsid w:val="004B135D"/>
    <w:rsid w:val="004B298E"/>
    <w:rsid w:val="004B2BF2"/>
    <w:rsid w:val="004B2D66"/>
    <w:rsid w:val="004B4C8F"/>
    <w:rsid w:val="004B4CD3"/>
    <w:rsid w:val="004B50A7"/>
    <w:rsid w:val="004B5FD9"/>
    <w:rsid w:val="004B758C"/>
    <w:rsid w:val="004C024E"/>
    <w:rsid w:val="004C0265"/>
    <w:rsid w:val="004C0562"/>
    <w:rsid w:val="004C1908"/>
    <w:rsid w:val="004C1AEC"/>
    <w:rsid w:val="004C202C"/>
    <w:rsid w:val="004C2D33"/>
    <w:rsid w:val="004C3283"/>
    <w:rsid w:val="004C33DA"/>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21B2"/>
    <w:rsid w:val="004D29DB"/>
    <w:rsid w:val="004D2B43"/>
    <w:rsid w:val="004D390A"/>
    <w:rsid w:val="004D4130"/>
    <w:rsid w:val="004D4141"/>
    <w:rsid w:val="004D459A"/>
    <w:rsid w:val="004D5E79"/>
    <w:rsid w:val="004D6A2C"/>
    <w:rsid w:val="004D6F93"/>
    <w:rsid w:val="004D7445"/>
    <w:rsid w:val="004D77E9"/>
    <w:rsid w:val="004D7A2C"/>
    <w:rsid w:val="004E00CE"/>
    <w:rsid w:val="004E01BA"/>
    <w:rsid w:val="004E0600"/>
    <w:rsid w:val="004E06FF"/>
    <w:rsid w:val="004E1DD6"/>
    <w:rsid w:val="004E2C88"/>
    <w:rsid w:val="004E33E4"/>
    <w:rsid w:val="004E39E0"/>
    <w:rsid w:val="004E4443"/>
    <w:rsid w:val="004E4520"/>
    <w:rsid w:val="004E4715"/>
    <w:rsid w:val="004E4733"/>
    <w:rsid w:val="004E57D8"/>
    <w:rsid w:val="004E7D8D"/>
    <w:rsid w:val="004F0C8E"/>
    <w:rsid w:val="004F1301"/>
    <w:rsid w:val="004F1642"/>
    <w:rsid w:val="004F1DA4"/>
    <w:rsid w:val="004F1DBA"/>
    <w:rsid w:val="004F254E"/>
    <w:rsid w:val="004F3121"/>
    <w:rsid w:val="004F344A"/>
    <w:rsid w:val="004F3706"/>
    <w:rsid w:val="004F38E2"/>
    <w:rsid w:val="004F3A4F"/>
    <w:rsid w:val="004F3C4D"/>
    <w:rsid w:val="004F476A"/>
    <w:rsid w:val="004F4E46"/>
    <w:rsid w:val="004F50C0"/>
    <w:rsid w:val="004F5FE6"/>
    <w:rsid w:val="004F6469"/>
    <w:rsid w:val="004F6B91"/>
    <w:rsid w:val="004F75F7"/>
    <w:rsid w:val="004F765E"/>
    <w:rsid w:val="00501285"/>
    <w:rsid w:val="005012C9"/>
    <w:rsid w:val="005014FF"/>
    <w:rsid w:val="005015D2"/>
    <w:rsid w:val="0050199D"/>
    <w:rsid w:val="0050230D"/>
    <w:rsid w:val="00503C0B"/>
    <w:rsid w:val="005043D6"/>
    <w:rsid w:val="00504D69"/>
    <w:rsid w:val="00505394"/>
    <w:rsid w:val="00505EB9"/>
    <w:rsid w:val="00505EC0"/>
    <w:rsid w:val="00506525"/>
    <w:rsid w:val="00506865"/>
    <w:rsid w:val="00506D78"/>
    <w:rsid w:val="005072CB"/>
    <w:rsid w:val="005073D2"/>
    <w:rsid w:val="00510305"/>
    <w:rsid w:val="005103BA"/>
    <w:rsid w:val="0051119B"/>
    <w:rsid w:val="00511588"/>
    <w:rsid w:val="00511E12"/>
    <w:rsid w:val="005125A4"/>
    <w:rsid w:val="005131BD"/>
    <w:rsid w:val="00513A59"/>
    <w:rsid w:val="00513DCF"/>
    <w:rsid w:val="00514644"/>
    <w:rsid w:val="0051490E"/>
    <w:rsid w:val="0051561E"/>
    <w:rsid w:val="00515EC9"/>
    <w:rsid w:val="00516412"/>
    <w:rsid w:val="005166B3"/>
    <w:rsid w:val="005166E9"/>
    <w:rsid w:val="00516CFC"/>
    <w:rsid w:val="00517A9B"/>
    <w:rsid w:val="00517FCB"/>
    <w:rsid w:val="005202DB"/>
    <w:rsid w:val="00520524"/>
    <w:rsid w:val="005206F6"/>
    <w:rsid w:val="0052096B"/>
    <w:rsid w:val="0052123B"/>
    <w:rsid w:val="0052130F"/>
    <w:rsid w:val="00521484"/>
    <w:rsid w:val="005214C7"/>
    <w:rsid w:val="00521719"/>
    <w:rsid w:val="00522FA1"/>
    <w:rsid w:val="0052392E"/>
    <w:rsid w:val="00523BD3"/>
    <w:rsid w:val="0052484B"/>
    <w:rsid w:val="00524E4E"/>
    <w:rsid w:val="00524FF8"/>
    <w:rsid w:val="00527B04"/>
    <w:rsid w:val="00527B81"/>
    <w:rsid w:val="00527C01"/>
    <w:rsid w:val="005305A0"/>
    <w:rsid w:val="00531530"/>
    <w:rsid w:val="0053162F"/>
    <w:rsid w:val="00531F08"/>
    <w:rsid w:val="00531F0A"/>
    <w:rsid w:val="00532A87"/>
    <w:rsid w:val="00533F0C"/>
    <w:rsid w:val="00534FAB"/>
    <w:rsid w:val="0053612F"/>
    <w:rsid w:val="005361ED"/>
    <w:rsid w:val="00540028"/>
    <w:rsid w:val="00540C48"/>
    <w:rsid w:val="00541359"/>
    <w:rsid w:val="0054195B"/>
    <w:rsid w:val="005419E2"/>
    <w:rsid w:val="00541B63"/>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5D9"/>
    <w:rsid w:val="005537E0"/>
    <w:rsid w:val="00553C68"/>
    <w:rsid w:val="005541F7"/>
    <w:rsid w:val="00554424"/>
    <w:rsid w:val="00554A2A"/>
    <w:rsid w:val="0055588D"/>
    <w:rsid w:val="0055664E"/>
    <w:rsid w:val="00556CE8"/>
    <w:rsid w:val="00556DDD"/>
    <w:rsid w:val="00556EE0"/>
    <w:rsid w:val="00557DBB"/>
    <w:rsid w:val="00560390"/>
    <w:rsid w:val="0056096D"/>
    <w:rsid w:val="00560BDD"/>
    <w:rsid w:val="00560C1E"/>
    <w:rsid w:val="00561703"/>
    <w:rsid w:val="0056185A"/>
    <w:rsid w:val="00561ECA"/>
    <w:rsid w:val="00562E2A"/>
    <w:rsid w:val="00563334"/>
    <w:rsid w:val="00563F98"/>
    <w:rsid w:val="005673AA"/>
    <w:rsid w:val="00567644"/>
    <w:rsid w:val="00567C47"/>
    <w:rsid w:val="005705F4"/>
    <w:rsid w:val="0057273B"/>
    <w:rsid w:val="005736FF"/>
    <w:rsid w:val="00573E64"/>
    <w:rsid w:val="005747FA"/>
    <w:rsid w:val="005751AF"/>
    <w:rsid w:val="00575311"/>
    <w:rsid w:val="005754F4"/>
    <w:rsid w:val="00575B59"/>
    <w:rsid w:val="00577604"/>
    <w:rsid w:val="00577C90"/>
    <w:rsid w:val="00577D10"/>
    <w:rsid w:val="0058066D"/>
    <w:rsid w:val="005808CC"/>
    <w:rsid w:val="00580AD5"/>
    <w:rsid w:val="00580B32"/>
    <w:rsid w:val="00581408"/>
    <w:rsid w:val="00581CE4"/>
    <w:rsid w:val="0058270F"/>
    <w:rsid w:val="00582D23"/>
    <w:rsid w:val="00582D83"/>
    <w:rsid w:val="00584315"/>
    <w:rsid w:val="00584445"/>
    <w:rsid w:val="00584582"/>
    <w:rsid w:val="00584F5B"/>
    <w:rsid w:val="00585BCC"/>
    <w:rsid w:val="00585DA0"/>
    <w:rsid w:val="0058695A"/>
    <w:rsid w:val="00586BE3"/>
    <w:rsid w:val="0058778D"/>
    <w:rsid w:val="00587E14"/>
    <w:rsid w:val="0059016D"/>
    <w:rsid w:val="00591155"/>
    <w:rsid w:val="00591948"/>
    <w:rsid w:val="00591DA5"/>
    <w:rsid w:val="00592E3C"/>
    <w:rsid w:val="005930E4"/>
    <w:rsid w:val="00594466"/>
    <w:rsid w:val="005948E2"/>
    <w:rsid w:val="00594BCE"/>
    <w:rsid w:val="00594E81"/>
    <w:rsid w:val="005975F3"/>
    <w:rsid w:val="00597791"/>
    <w:rsid w:val="005A0D67"/>
    <w:rsid w:val="005A1024"/>
    <w:rsid w:val="005A1239"/>
    <w:rsid w:val="005A1C4C"/>
    <w:rsid w:val="005A1E2E"/>
    <w:rsid w:val="005A240B"/>
    <w:rsid w:val="005A30EF"/>
    <w:rsid w:val="005A3244"/>
    <w:rsid w:val="005A5BF8"/>
    <w:rsid w:val="005A6550"/>
    <w:rsid w:val="005A67CC"/>
    <w:rsid w:val="005A7BA0"/>
    <w:rsid w:val="005B0C29"/>
    <w:rsid w:val="005B0D4F"/>
    <w:rsid w:val="005B0E4A"/>
    <w:rsid w:val="005B21DF"/>
    <w:rsid w:val="005B21F5"/>
    <w:rsid w:val="005B2319"/>
    <w:rsid w:val="005B2624"/>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98F"/>
    <w:rsid w:val="005B79AF"/>
    <w:rsid w:val="005B7A3F"/>
    <w:rsid w:val="005B7C1F"/>
    <w:rsid w:val="005B7E35"/>
    <w:rsid w:val="005C0468"/>
    <w:rsid w:val="005C0ACE"/>
    <w:rsid w:val="005C163B"/>
    <w:rsid w:val="005C1B88"/>
    <w:rsid w:val="005C1B97"/>
    <w:rsid w:val="005C1EBE"/>
    <w:rsid w:val="005C32EB"/>
    <w:rsid w:val="005C39BD"/>
    <w:rsid w:val="005C3F84"/>
    <w:rsid w:val="005C51D9"/>
    <w:rsid w:val="005C5A21"/>
    <w:rsid w:val="005C60A1"/>
    <w:rsid w:val="005C7B66"/>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42B"/>
    <w:rsid w:val="005D7FE5"/>
    <w:rsid w:val="005E0153"/>
    <w:rsid w:val="005E0406"/>
    <w:rsid w:val="005E0443"/>
    <w:rsid w:val="005E0578"/>
    <w:rsid w:val="005E08AC"/>
    <w:rsid w:val="005E0ADA"/>
    <w:rsid w:val="005E26AC"/>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570"/>
    <w:rsid w:val="005E55FF"/>
    <w:rsid w:val="005E5AF5"/>
    <w:rsid w:val="005E7763"/>
    <w:rsid w:val="005F0208"/>
    <w:rsid w:val="005F0555"/>
    <w:rsid w:val="005F0823"/>
    <w:rsid w:val="005F0890"/>
    <w:rsid w:val="005F117F"/>
    <w:rsid w:val="005F1BB5"/>
    <w:rsid w:val="005F2C38"/>
    <w:rsid w:val="005F3B98"/>
    <w:rsid w:val="005F4BC5"/>
    <w:rsid w:val="005F4D31"/>
    <w:rsid w:val="005F5F00"/>
    <w:rsid w:val="005F6A25"/>
    <w:rsid w:val="005F6F57"/>
    <w:rsid w:val="005F7142"/>
    <w:rsid w:val="005F7412"/>
    <w:rsid w:val="005F7C1C"/>
    <w:rsid w:val="005F7CF6"/>
    <w:rsid w:val="00600DC7"/>
    <w:rsid w:val="006013FC"/>
    <w:rsid w:val="006016C9"/>
    <w:rsid w:val="00602581"/>
    <w:rsid w:val="00602A5D"/>
    <w:rsid w:val="006032B4"/>
    <w:rsid w:val="00603F1F"/>
    <w:rsid w:val="00604666"/>
    <w:rsid w:val="00604993"/>
    <w:rsid w:val="00604997"/>
    <w:rsid w:val="006066F8"/>
    <w:rsid w:val="00606F84"/>
    <w:rsid w:val="0060703A"/>
    <w:rsid w:val="0061001F"/>
    <w:rsid w:val="006100D1"/>
    <w:rsid w:val="00610473"/>
    <w:rsid w:val="0061179F"/>
    <w:rsid w:val="00611BDB"/>
    <w:rsid w:val="00611C3F"/>
    <w:rsid w:val="00611CF4"/>
    <w:rsid w:val="0061256F"/>
    <w:rsid w:val="00612A88"/>
    <w:rsid w:val="00613B06"/>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1F03"/>
    <w:rsid w:val="00622AFD"/>
    <w:rsid w:val="00622CED"/>
    <w:rsid w:val="00624287"/>
    <w:rsid w:val="00624409"/>
    <w:rsid w:val="0062575C"/>
    <w:rsid w:val="00625AEE"/>
    <w:rsid w:val="00625D0B"/>
    <w:rsid w:val="00627BF1"/>
    <w:rsid w:val="00627FB2"/>
    <w:rsid w:val="006308C0"/>
    <w:rsid w:val="006319DA"/>
    <w:rsid w:val="006322A9"/>
    <w:rsid w:val="006323F3"/>
    <w:rsid w:val="006325EA"/>
    <w:rsid w:val="00632834"/>
    <w:rsid w:val="00632CC0"/>
    <w:rsid w:val="006333D3"/>
    <w:rsid w:val="00633FA9"/>
    <w:rsid w:val="0063401C"/>
    <w:rsid w:val="006345AA"/>
    <w:rsid w:val="00634D8F"/>
    <w:rsid w:val="006351F3"/>
    <w:rsid w:val="00635488"/>
    <w:rsid w:val="00635DF9"/>
    <w:rsid w:val="006369CA"/>
    <w:rsid w:val="00637023"/>
    <w:rsid w:val="00637293"/>
    <w:rsid w:val="00637917"/>
    <w:rsid w:val="0064131B"/>
    <w:rsid w:val="00642504"/>
    <w:rsid w:val="00642569"/>
    <w:rsid w:val="00642896"/>
    <w:rsid w:val="00644114"/>
    <w:rsid w:val="006448CC"/>
    <w:rsid w:val="00644CD5"/>
    <w:rsid w:val="00645BB7"/>
    <w:rsid w:val="00647012"/>
    <w:rsid w:val="00647840"/>
    <w:rsid w:val="00651D66"/>
    <w:rsid w:val="00654AEC"/>
    <w:rsid w:val="00654F20"/>
    <w:rsid w:val="006555F4"/>
    <w:rsid w:val="00655D97"/>
    <w:rsid w:val="00655F5C"/>
    <w:rsid w:val="006563EC"/>
    <w:rsid w:val="006566EA"/>
    <w:rsid w:val="00657233"/>
    <w:rsid w:val="006576DA"/>
    <w:rsid w:val="006608CF"/>
    <w:rsid w:val="00661489"/>
    <w:rsid w:val="0066171F"/>
    <w:rsid w:val="0066244A"/>
    <w:rsid w:val="00662C7C"/>
    <w:rsid w:val="00663157"/>
    <w:rsid w:val="00663BDF"/>
    <w:rsid w:val="00663CBD"/>
    <w:rsid w:val="00664130"/>
    <w:rsid w:val="00664DD2"/>
    <w:rsid w:val="00664EB6"/>
    <w:rsid w:val="00664F5B"/>
    <w:rsid w:val="00665AE4"/>
    <w:rsid w:val="00665AE5"/>
    <w:rsid w:val="00665B5C"/>
    <w:rsid w:val="00665F2C"/>
    <w:rsid w:val="00666DD1"/>
    <w:rsid w:val="00666EE9"/>
    <w:rsid w:val="006715CD"/>
    <w:rsid w:val="006719A8"/>
    <w:rsid w:val="00671C60"/>
    <w:rsid w:val="006720E5"/>
    <w:rsid w:val="00672A1D"/>
    <w:rsid w:val="00673223"/>
    <w:rsid w:val="0067371B"/>
    <w:rsid w:val="00674197"/>
    <w:rsid w:val="006742EC"/>
    <w:rsid w:val="00674B3E"/>
    <w:rsid w:val="0067517E"/>
    <w:rsid w:val="00675D9B"/>
    <w:rsid w:val="00676144"/>
    <w:rsid w:val="0067618A"/>
    <w:rsid w:val="00676A26"/>
    <w:rsid w:val="00676B2B"/>
    <w:rsid w:val="006807B1"/>
    <w:rsid w:val="00680814"/>
    <w:rsid w:val="0068096B"/>
    <w:rsid w:val="00680FE7"/>
    <w:rsid w:val="00682AA6"/>
    <w:rsid w:val="00682D11"/>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448"/>
    <w:rsid w:val="00691EEC"/>
    <w:rsid w:val="00691FCB"/>
    <w:rsid w:val="00692250"/>
    <w:rsid w:val="006927A4"/>
    <w:rsid w:val="006935EB"/>
    <w:rsid w:val="0069484D"/>
    <w:rsid w:val="006954F3"/>
    <w:rsid w:val="00697643"/>
    <w:rsid w:val="006A1AAD"/>
    <w:rsid w:val="006A1BF5"/>
    <w:rsid w:val="006A1FF0"/>
    <w:rsid w:val="006A2FCE"/>
    <w:rsid w:val="006A2FEE"/>
    <w:rsid w:val="006A3237"/>
    <w:rsid w:val="006A426F"/>
    <w:rsid w:val="006A4644"/>
    <w:rsid w:val="006A4F88"/>
    <w:rsid w:val="006A5B43"/>
    <w:rsid w:val="006A5CED"/>
    <w:rsid w:val="006A70BC"/>
    <w:rsid w:val="006A7F83"/>
    <w:rsid w:val="006B08FB"/>
    <w:rsid w:val="006B0B3A"/>
    <w:rsid w:val="006B152E"/>
    <w:rsid w:val="006B1C88"/>
    <w:rsid w:val="006B212B"/>
    <w:rsid w:val="006B3982"/>
    <w:rsid w:val="006B3FC7"/>
    <w:rsid w:val="006B637C"/>
    <w:rsid w:val="006B6829"/>
    <w:rsid w:val="006C0454"/>
    <w:rsid w:val="006C0938"/>
    <w:rsid w:val="006C0ADA"/>
    <w:rsid w:val="006C0B9D"/>
    <w:rsid w:val="006C1F02"/>
    <w:rsid w:val="006C2326"/>
    <w:rsid w:val="006C3672"/>
    <w:rsid w:val="006C367F"/>
    <w:rsid w:val="006C4929"/>
    <w:rsid w:val="006C4A7D"/>
    <w:rsid w:val="006C4D91"/>
    <w:rsid w:val="006C5691"/>
    <w:rsid w:val="006C57A1"/>
    <w:rsid w:val="006C589B"/>
    <w:rsid w:val="006C6F01"/>
    <w:rsid w:val="006C7219"/>
    <w:rsid w:val="006C7927"/>
    <w:rsid w:val="006D090E"/>
    <w:rsid w:val="006D2252"/>
    <w:rsid w:val="006D26E0"/>
    <w:rsid w:val="006D2764"/>
    <w:rsid w:val="006D2D41"/>
    <w:rsid w:val="006D3B46"/>
    <w:rsid w:val="006D3F41"/>
    <w:rsid w:val="006D4A01"/>
    <w:rsid w:val="006D4B57"/>
    <w:rsid w:val="006D5A9F"/>
    <w:rsid w:val="006D681E"/>
    <w:rsid w:val="006D6D8C"/>
    <w:rsid w:val="006D6FB2"/>
    <w:rsid w:val="006E0492"/>
    <w:rsid w:val="006E0A42"/>
    <w:rsid w:val="006E1B89"/>
    <w:rsid w:val="006E2AFD"/>
    <w:rsid w:val="006E37C2"/>
    <w:rsid w:val="006E3F9E"/>
    <w:rsid w:val="006E45FA"/>
    <w:rsid w:val="006E46CB"/>
    <w:rsid w:val="006E4CAE"/>
    <w:rsid w:val="006E540C"/>
    <w:rsid w:val="006E5AB6"/>
    <w:rsid w:val="006E5E40"/>
    <w:rsid w:val="006E6163"/>
    <w:rsid w:val="006E65CF"/>
    <w:rsid w:val="006E770E"/>
    <w:rsid w:val="006E7C04"/>
    <w:rsid w:val="006F0487"/>
    <w:rsid w:val="006F06E2"/>
    <w:rsid w:val="006F0AFF"/>
    <w:rsid w:val="006F0C49"/>
    <w:rsid w:val="006F13B8"/>
    <w:rsid w:val="006F1EB0"/>
    <w:rsid w:val="006F1FE0"/>
    <w:rsid w:val="006F2910"/>
    <w:rsid w:val="006F2A62"/>
    <w:rsid w:val="006F2CF2"/>
    <w:rsid w:val="006F3B15"/>
    <w:rsid w:val="006F3EE3"/>
    <w:rsid w:val="006F4A4B"/>
    <w:rsid w:val="006F553A"/>
    <w:rsid w:val="006F5E3F"/>
    <w:rsid w:val="006F686E"/>
    <w:rsid w:val="006F7323"/>
    <w:rsid w:val="00700061"/>
    <w:rsid w:val="0070019B"/>
    <w:rsid w:val="007007A3"/>
    <w:rsid w:val="00700A43"/>
    <w:rsid w:val="00700D77"/>
    <w:rsid w:val="00701472"/>
    <w:rsid w:val="00701CF6"/>
    <w:rsid w:val="0070227A"/>
    <w:rsid w:val="00702716"/>
    <w:rsid w:val="007029E4"/>
    <w:rsid w:val="00703509"/>
    <w:rsid w:val="0070391C"/>
    <w:rsid w:val="00706F9A"/>
    <w:rsid w:val="0070706B"/>
    <w:rsid w:val="007075C2"/>
    <w:rsid w:val="007078DF"/>
    <w:rsid w:val="00707DAB"/>
    <w:rsid w:val="00707FBF"/>
    <w:rsid w:val="0071088A"/>
    <w:rsid w:val="00711595"/>
    <w:rsid w:val="007118DE"/>
    <w:rsid w:val="00711BD0"/>
    <w:rsid w:val="00711DE6"/>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1412"/>
    <w:rsid w:val="007226A1"/>
    <w:rsid w:val="00722F63"/>
    <w:rsid w:val="00723958"/>
    <w:rsid w:val="0072551B"/>
    <w:rsid w:val="007256A8"/>
    <w:rsid w:val="00726373"/>
    <w:rsid w:val="00726A05"/>
    <w:rsid w:val="00727B8B"/>
    <w:rsid w:val="007302D1"/>
    <w:rsid w:val="0073055E"/>
    <w:rsid w:val="00730596"/>
    <w:rsid w:val="007317DA"/>
    <w:rsid w:val="00731A9A"/>
    <w:rsid w:val="00732342"/>
    <w:rsid w:val="00732690"/>
    <w:rsid w:val="0073555E"/>
    <w:rsid w:val="00736331"/>
    <w:rsid w:val="007376BE"/>
    <w:rsid w:val="00740477"/>
    <w:rsid w:val="007404E2"/>
    <w:rsid w:val="00740AA5"/>
    <w:rsid w:val="00740D48"/>
    <w:rsid w:val="00740FB0"/>
    <w:rsid w:val="00741440"/>
    <w:rsid w:val="00741BAD"/>
    <w:rsid w:val="00742386"/>
    <w:rsid w:val="00742A62"/>
    <w:rsid w:val="00743394"/>
    <w:rsid w:val="0074392B"/>
    <w:rsid w:val="00743D6C"/>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E5B"/>
    <w:rsid w:val="007513C0"/>
    <w:rsid w:val="00751941"/>
    <w:rsid w:val="007547AC"/>
    <w:rsid w:val="00754B6C"/>
    <w:rsid w:val="00754C47"/>
    <w:rsid w:val="00754E8A"/>
    <w:rsid w:val="007552DD"/>
    <w:rsid w:val="00755498"/>
    <w:rsid w:val="00755996"/>
    <w:rsid w:val="0075627D"/>
    <w:rsid w:val="0075643D"/>
    <w:rsid w:val="00761C4F"/>
    <w:rsid w:val="00761E37"/>
    <w:rsid w:val="00761FF5"/>
    <w:rsid w:val="00762E16"/>
    <w:rsid w:val="0076400A"/>
    <w:rsid w:val="00764942"/>
    <w:rsid w:val="00765C11"/>
    <w:rsid w:val="00765DD9"/>
    <w:rsid w:val="007664D7"/>
    <w:rsid w:val="00766A8D"/>
    <w:rsid w:val="007670F2"/>
    <w:rsid w:val="00770026"/>
    <w:rsid w:val="00770A50"/>
    <w:rsid w:val="007710D8"/>
    <w:rsid w:val="007718EB"/>
    <w:rsid w:val="0077283C"/>
    <w:rsid w:val="00772AA3"/>
    <w:rsid w:val="00772B3B"/>
    <w:rsid w:val="007731E1"/>
    <w:rsid w:val="007735B9"/>
    <w:rsid w:val="007737B2"/>
    <w:rsid w:val="00774290"/>
    <w:rsid w:val="00776F71"/>
    <w:rsid w:val="007774AB"/>
    <w:rsid w:val="007777D3"/>
    <w:rsid w:val="00777820"/>
    <w:rsid w:val="0077782E"/>
    <w:rsid w:val="00777EF7"/>
    <w:rsid w:val="0078006E"/>
    <w:rsid w:val="00780379"/>
    <w:rsid w:val="00780729"/>
    <w:rsid w:val="00780BE2"/>
    <w:rsid w:val="00781B47"/>
    <w:rsid w:val="00781C01"/>
    <w:rsid w:val="00783051"/>
    <w:rsid w:val="00783A34"/>
    <w:rsid w:val="0078451D"/>
    <w:rsid w:val="00785333"/>
    <w:rsid w:val="00785756"/>
    <w:rsid w:val="00785ABF"/>
    <w:rsid w:val="00786417"/>
    <w:rsid w:val="00786865"/>
    <w:rsid w:val="0078691B"/>
    <w:rsid w:val="00786A7C"/>
    <w:rsid w:val="00786EC4"/>
    <w:rsid w:val="00786F21"/>
    <w:rsid w:val="00787391"/>
    <w:rsid w:val="00787745"/>
    <w:rsid w:val="00787DAE"/>
    <w:rsid w:val="00790209"/>
    <w:rsid w:val="00790223"/>
    <w:rsid w:val="007905FF"/>
    <w:rsid w:val="007906B2"/>
    <w:rsid w:val="0079191E"/>
    <w:rsid w:val="00791DC5"/>
    <w:rsid w:val="00792721"/>
    <w:rsid w:val="00792993"/>
    <w:rsid w:val="00793230"/>
    <w:rsid w:val="00793D5B"/>
    <w:rsid w:val="00793EE3"/>
    <w:rsid w:val="00794540"/>
    <w:rsid w:val="007948B6"/>
    <w:rsid w:val="00794D15"/>
    <w:rsid w:val="00795155"/>
    <w:rsid w:val="00795327"/>
    <w:rsid w:val="00795CE8"/>
    <w:rsid w:val="00796072"/>
    <w:rsid w:val="007975CC"/>
    <w:rsid w:val="00797E2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F"/>
    <w:rsid w:val="007A5096"/>
    <w:rsid w:val="007A52C0"/>
    <w:rsid w:val="007A54C6"/>
    <w:rsid w:val="007A5DE0"/>
    <w:rsid w:val="007A6D9A"/>
    <w:rsid w:val="007A717A"/>
    <w:rsid w:val="007B0904"/>
    <w:rsid w:val="007B0F5A"/>
    <w:rsid w:val="007B175B"/>
    <w:rsid w:val="007B2286"/>
    <w:rsid w:val="007B247F"/>
    <w:rsid w:val="007B2A88"/>
    <w:rsid w:val="007B2B18"/>
    <w:rsid w:val="007B3021"/>
    <w:rsid w:val="007B34FE"/>
    <w:rsid w:val="007B5084"/>
    <w:rsid w:val="007B522C"/>
    <w:rsid w:val="007B5EE1"/>
    <w:rsid w:val="007B5F5D"/>
    <w:rsid w:val="007B66E4"/>
    <w:rsid w:val="007B708D"/>
    <w:rsid w:val="007B70CB"/>
    <w:rsid w:val="007C0F00"/>
    <w:rsid w:val="007C1FFA"/>
    <w:rsid w:val="007C2716"/>
    <w:rsid w:val="007C293B"/>
    <w:rsid w:val="007C2DE8"/>
    <w:rsid w:val="007C4977"/>
    <w:rsid w:val="007C4F2D"/>
    <w:rsid w:val="007C5D85"/>
    <w:rsid w:val="007C69F3"/>
    <w:rsid w:val="007C6BD3"/>
    <w:rsid w:val="007C6F3F"/>
    <w:rsid w:val="007C6FC9"/>
    <w:rsid w:val="007C71A7"/>
    <w:rsid w:val="007C72FD"/>
    <w:rsid w:val="007C784A"/>
    <w:rsid w:val="007C7CF1"/>
    <w:rsid w:val="007D0C67"/>
    <w:rsid w:val="007D3A15"/>
    <w:rsid w:val="007D4959"/>
    <w:rsid w:val="007D4C42"/>
    <w:rsid w:val="007D5377"/>
    <w:rsid w:val="007D55F8"/>
    <w:rsid w:val="007D5EA8"/>
    <w:rsid w:val="007D6C9E"/>
    <w:rsid w:val="007D7089"/>
    <w:rsid w:val="007D76BA"/>
    <w:rsid w:val="007D793E"/>
    <w:rsid w:val="007D797F"/>
    <w:rsid w:val="007D7D39"/>
    <w:rsid w:val="007E0111"/>
    <w:rsid w:val="007E01CD"/>
    <w:rsid w:val="007E1056"/>
    <w:rsid w:val="007E139E"/>
    <w:rsid w:val="007E19C1"/>
    <w:rsid w:val="007E1FEC"/>
    <w:rsid w:val="007E2A32"/>
    <w:rsid w:val="007E2FE1"/>
    <w:rsid w:val="007E3127"/>
    <w:rsid w:val="007E3E5A"/>
    <w:rsid w:val="007E40AE"/>
    <w:rsid w:val="007E42D3"/>
    <w:rsid w:val="007E43C5"/>
    <w:rsid w:val="007E4B3C"/>
    <w:rsid w:val="007E52AC"/>
    <w:rsid w:val="007E53BF"/>
    <w:rsid w:val="007E54DF"/>
    <w:rsid w:val="007E5AFD"/>
    <w:rsid w:val="007E6403"/>
    <w:rsid w:val="007E6A88"/>
    <w:rsid w:val="007E6BC9"/>
    <w:rsid w:val="007E74D8"/>
    <w:rsid w:val="007E77D3"/>
    <w:rsid w:val="007E7AA5"/>
    <w:rsid w:val="007E7D4E"/>
    <w:rsid w:val="007F13EA"/>
    <w:rsid w:val="007F2681"/>
    <w:rsid w:val="007F30E4"/>
    <w:rsid w:val="007F3E5E"/>
    <w:rsid w:val="007F44E9"/>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1DE6"/>
    <w:rsid w:val="00801F8C"/>
    <w:rsid w:val="008021CB"/>
    <w:rsid w:val="00802297"/>
    <w:rsid w:val="00803A46"/>
    <w:rsid w:val="008054E7"/>
    <w:rsid w:val="008078F5"/>
    <w:rsid w:val="0081016B"/>
    <w:rsid w:val="0081056B"/>
    <w:rsid w:val="00810A77"/>
    <w:rsid w:val="00810DB0"/>
    <w:rsid w:val="00811289"/>
    <w:rsid w:val="00811CE1"/>
    <w:rsid w:val="0081251D"/>
    <w:rsid w:val="00812E90"/>
    <w:rsid w:val="00812EB8"/>
    <w:rsid w:val="0081315F"/>
    <w:rsid w:val="0081378C"/>
    <w:rsid w:val="00813E3C"/>
    <w:rsid w:val="0081430C"/>
    <w:rsid w:val="00814523"/>
    <w:rsid w:val="00814ED3"/>
    <w:rsid w:val="008163C2"/>
    <w:rsid w:val="00817381"/>
    <w:rsid w:val="008178AD"/>
    <w:rsid w:val="0082064C"/>
    <w:rsid w:val="008209AF"/>
    <w:rsid w:val="008212D6"/>
    <w:rsid w:val="008213CB"/>
    <w:rsid w:val="008227F6"/>
    <w:rsid w:val="00823E76"/>
    <w:rsid w:val="00824224"/>
    <w:rsid w:val="00824228"/>
    <w:rsid w:val="008252E0"/>
    <w:rsid w:val="00825490"/>
    <w:rsid w:val="00825DB0"/>
    <w:rsid w:val="00825EFD"/>
    <w:rsid w:val="00827343"/>
    <w:rsid w:val="0082756D"/>
    <w:rsid w:val="00831586"/>
    <w:rsid w:val="00831927"/>
    <w:rsid w:val="00832677"/>
    <w:rsid w:val="00834083"/>
    <w:rsid w:val="00834FDE"/>
    <w:rsid w:val="00836150"/>
    <w:rsid w:val="008366FA"/>
    <w:rsid w:val="00836C38"/>
    <w:rsid w:val="00837366"/>
    <w:rsid w:val="00837F23"/>
    <w:rsid w:val="00840B30"/>
    <w:rsid w:val="00840F49"/>
    <w:rsid w:val="008428C1"/>
    <w:rsid w:val="00842A65"/>
    <w:rsid w:val="00842CA9"/>
    <w:rsid w:val="0084350E"/>
    <w:rsid w:val="0084359E"/>
    <w:rsid w:val="008436D6"/>
    <w:rsid w:val="008442B3"/>
    <w:rsid w:val="00844318"/>
    <w:rsid w:val="00844CC1"/>
    <w:rsid w:val="00844E09"/>
    <w:rsid w:val="00845A88"/>
    <w:rsid w:val="008464DC"/>
    <w:rsid w:val="00846A0F"/>
    <w:rsid w:val="00851242"/>
    <w:rsid w:val="00851593"/>
    <w:rsid w:val="008518EA"/>
    <w:rsid w:val="00851B3D"/>
    <w:rsid w:val="00851B42"/>
    <w:rsid w:val="00851D69"/>
    <w:rsid w:val="00851F06"/>
    <w:rsid w:val="0085295A"/>
    <w:rsid w:val="00853A99"/>
    <w:rsid w:val="008549B7"/>
    <w:rsid w:val="00855223"/>
    <w:rsid w:val="008565A3"/>
    <w:rsid w:val="008567C4"/>
    <w:rsid w:val="00856AC4"/>
    <w:rsid w:val="00856F27"/>
    <w:rsid w:val="008600DD"/>
    <w:rsid w:val="008601F3"/>
    <w:rsid w:val="00860AAC"/>
    <w:rsid w:val="0086125B"/>
    <w:rsid w:val="00861367"/>
    <w:rsid w:val="00861DF4"/>
    <w:rsid w:val="008629E3"/>
    <w:rsid w:val="00864290"/>
    <w:rsid w:val="00864675"/>
    <w:rsid w:val="0086539A"/>
    <w:rsid w:val="008654A5"/>
    <w:rsid w:val="0086565A"/>
    <w:rsid w:val="00865EAF"/>
    <w:rsid w:val="008667F9"/>
    <w:rsid w:val="00870435"/>
    <w:rsid w:val="00870482"/>
    <w:rsid w:val="008709B2"/>
    <w:rsid w:val="0087148E"/>
    <w:rsid w:val="0087181A"/>
    <w:rsid w:val="008718CE"/>
    <w:rsid w:val="00871B4D"/>
    <w:rsid w:val="00872A2E"/>
    <w:rsid w:val="00872EB0"/>
    <w:rsid w:val="0087340C"/>
    <w:rsid w:val="0087482B"/>
    <w:rsid w:val="00874A20"/>
    <w:rsid w:val="00874F62"/>
    <w:rsid w:val="008750ED"/>
    <w:rsid w:val="0087581D"/>
    <w:rsid w:val="0087720A"/>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603"/>
    <w:rsid w:val="00891ABA"/>
    <w:rsid w:val="00891E32"/>
    <w:rsid w:val="00894283"/>
    <w:rsid w:val="00895551"/>
    <w:rsid w:val="008956F1"/>
    <w:rsid w:val="00895CE9"/>
    <w:rsid w:val="008966E9"/>
    <w:rsid w:val="008972FD"/>
    <w:rsid w:val="0089777D"/>
    <w:rsid w:val="008A07BF"/>
    <w:rsid w:val="008A0E64"/>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0AD9"/>
    <w:rsid w:val="008C21C8"/>
    <w:rsid w:val="008C2431"/>
    <w:rsid w:val="008C2C2D"/>
    <w:rsid w:val="008C2F29"/>
    <w:rsid w:val="008C3401"/>
    <w:rsid w:val="008C36D2"/>
    <w:rsid w:val="008C39B9"/>
    <w:rsid w:val="008C3CE8"/>
    <w:rsid w:val="008C3D00"/>
    <w:rsid w:val="008C417C"/>
    <w:rsid w:val="008C508D"/>
    <w:rsid w:val="008C5264"/>
    <w:rsid w:val="008C54BA"/>
    <w:rsid w:val="008C6233"/>
    <w:rsid w:val="008C6243"/>
    <w:rsid w:val="008C6E21"/>
    <w:rsid w:val="008C6F20"/>
    <w:rsid w:val="008C6F9E"/>
    <w:rsid w:val="008C737E"/>
    <w:rsid w:val="008C7452"/>
    <w:rsid w:val="008D0320"/>
    <w:rsid w:val="008D143D"/>
    <w:rsid w:val="008D145D"/>
    <w:rsid w:val="008D17D7"/>
    <w:rsid w:val="008D3955"/>
    <w:rsid w:val="008D3D19"/>
    <w:rsid w:val="008D3D31"/>
    <w:rsid w:val="008D5861"/>
    <w:rsid w:val="008D5ED6"/>
    <w:rsid w:val="008D6272"/>
    <w:rsid w:val="008D6328"/>
    <w:rsid w:val="008D69DA"/>
    <w:rsid w:val="008D6B72"/>
    <w:rsid w:val="008D6D85"/>
    <w:rsid w:val="008D6FF3"/>
    <w:rsid w:val="008D792A"/>
    <w:rsid w:val="008E021C"/>
    <w:rsid w:val="008E0328"/>
    <w:rsid w:val="008E143A"/>
    <w:rsid w:val="008E14D4"/>
    <w:rsid w:val="008E2B6C"/>
    <w:rsid w:val="008E3044"/>
    <w:rsid w:val="008E3C1B"/>
    <w:rsid w:val="008E5275"/>
    <w:rsid w:val="008E6310"/>
    <w:rsid w:val="008E6AF7"/>
    <w:rsid w:val="008E751A"/>
    <w:rsid w:val="008E78EC"/>
    <w:rsid w:val="008E7F63"/>
    <w:rsid w:val="008F128E"/>
    <w:rsid w:val="008F13B8"/>
    <w:rsid w:val="008F153D"/>
    <w:rsid w:val="008F1626"/>
    <w:rsid w:val="008F1A35"/>
    <w:rsid w:val="008F21F4"/>
    <w:rsid w:val="008F25DB"/>
    <w:rsid w:val="008F2DF3"/>
    <w:rsid w:val="008F3FB1"/>
    <w:rsid w:val="008F4044"/>
    <w:rsid w:val="008F46B0"/>
    <w:rsid w:val="008F5085"/>
    <w:rsid w:val="008F5454"/>
    <w:rsid w:val="008F58A3"/>
    <w:rsid w:val="008F6506"/>
    <w:rsid w:val="009003D1"/>
    <w:rsid w:val="0090047A"/>
    <w:rsid w:val="009005BA"/>
    <w:rsid w:val="009005BE"/>
    <w:rsid w:val="00900804"/>
    <w:rsid w:val="00901F13"/>
    <w:rsid w:val="00902220"/>
    <w:rsid w:val="0090255B"/>
    <w:rsid w:val="00902C59"/>
    <w:rsid w:val="00902E05"/>
    <w:rsid w:val="00903101"/>
    <w:rsid w:val="00903A9A"/>
    <w:rsid w:val="009046D2"/>
    <w:rsid w:val="009051B5"/>
    <w:rsid w:val="0090539E"/>
    <w:rsid w:val="009055D2"/>
    <w:rsid w:val="0090564E"/>
    <w:rsid w:val="00905A7D"/>
    <w:rsid w:val="00905B00"/>
    <w:rsid w:val="00906D3F"/>
    <w:rsid w:val="00907431"/>
    <w:rsid w:val="00907A42"/>
    <w:rsid w:val="00907BCA"/>
    <w:rsid w:val="0091175B"/>
    <w:rsid w:val="009120C5"/>
    <w:rsid w:val="009126FC"/>
    <w:rsid w:val="009137AE"/>
    <w:rsid w:val="009139EB"/>
    <w:rsid w:val="009156AA"/>
    <w:rsid w:val="00915999"/>
    <w:rsid w:val="00915EC1"/>
    <w:rsid w:val="0091679F"/>
    <w:rsid w:val="00916FED"/>
    <w:rsid w:val="00917FF8"/>
    <w:rsid w:val="00920E25"/>
    <w:rsid w:val="00921377"/>
    <w:rsid w:val="00921F2A"/>
    <w:rsid w:val="009221B9"/>
    <w:rsid w:val="00922290"/>
    <w:rsid w:val="009225FD"/>
    <w:rsid w:val="0092260C"/>
    <w:rsid w:val="00922A97"/>
    <w:rsid w:val="00922C54"/>
    <w:rsid w:val="00922DAC"/>
    <w:rsid w:val="009231EF"/>
    <w:rsid w:val="009238F5"/>
    <w:rsid w:val="00925726"/>
    <w:rsid w:val="00927532"/>
    <w:rsid w:val="00930527"/>
    <w:rsid w:val="0093187A"/>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661"/>
    <w:rsid w:val="00937FEE"/>
    <w:rsid w:val="00940DB6"/>
    <w:rsid w:val="00941D59"/>
    <w:rsid w:val="00942AE1"/>
    <w:rsid w:val="00942E24"/>
    <w:rsid w:val="00942F9D"/>
    <w:rsid w:val="009445CC"/>
    <w:rsid w:val="009448BD"/>
    <w:rsid w:val="00944B08"/>
    <w:rsid w:val="00944CD8"/>
    <w:rsid w:val="00944F65"/>
    <w:rsid w:val="009458C8"/>
    <w:rsid w:val="009463BB"/>
    <w:rsid w:val="00946958"/>
    <w:rsid w:val="00947077"/>
    <w:rsid w:val="009475F6"/>
    <w:rsid w:val="00950898"/>
    <w:rsid w:val="00951068"/>
    <w:rsid w:val="0095128E"/>
    <w:rsid w:val="00951C93"/>
    <w:rsid w:val="00953315"/>
    <w:rsid w:val="00954A4F"/>
    <w:rsid w:val="00954B6A"/>
    <w:rsid w:val="00955AD3"/>
    <w:rsid w:val="00957C19"/>
    <w:rsid w:val="00960C10"/>
    <w:rsid w:val="00960C59"/>
    <w:rsid w:val="00961EE7"/>
    <w:rsid w:val="00963B35"/>
    <w:rsid w:val="0096404E"/>
    <w:rsid w:val="009647C4"/>
    <w:rsid w:val="00964802"/>
    <w:rsid w:val="0096562C"/>
    <w:rsid w:val="00967793"/>
    <w:rsid w:val="00967C74"/>
    <w:rsid w:val="00967CF2"/>
    <w:rsid w:val="00967DC6"/>
    <w:rsid w:val="00970450"/>
    <w:rsid w:val="00970E9F"/>
    <w:rsid w:val="0097135B"/>
    <w:rsid w:val="00971A05"/>
    <w:rsid w:val="00971EDF"/>
    <w:rsid w:val="009738E8"/>
    <w:rsid w:val="00974287"/>
    <w:rsid w:val="00975AB0"/>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4383"/>
    <w:rsid w:val="009853E4"/>
    <w:rsid w:val="0098601D"/>
    <w:rsid w:val="009869FD"/>
    <w:rsid w:val="009872DF"/>
    <w:rsid w:val="009875BF"/>
    <w:rsid w:val="00987681"/>
    <w:rsid w:val="009878C2"/>
    <w:rsid w:val="00987E73"/>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6384"/>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89B"/>
    <w:rsid w:val="009A4FD8"/>
    <w:rsid w:val="009A575D"/>
    <w:rsid w:val="009A60B2"/>
    <w:rsid w:val="009A66C7"/>
    <w:rsid w:val="009A6861"/>
    <w:rsid w:val="009B0643"/>
    <w:rsid w:val="009B0664"/>
    <w:rsid w:val="009B0704"/>
    <w:rsid w:val="009B11FE"/>
    <w:rsid w:val="009B1670"/>
    <w:rsid w:val="009B1B35"/>
    <w:rsid w:val="009B1CC2"/>
    <w:rsid w:val="009B1D57"/>
    <w:rsid w:val="009B21C2"/>
    <w:rsid w:val="009B2684"/>
    <w:rsid w:val="009B2BC9"/>
    <w:rsid w:val="009B2E8A"/>
    <w:rsid w:val="009B3192"/>
    <w:rsid w:val="009B37CD"/>
    <w:rsid w:val="009B39DE"/>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B39"/>
    <w:rsid w:val="009C58DE"/>
    <w:rsid w:val="009C5E92"/>
    <w:rsid w:val="009C5F4F"/>
    <w:rsid w:val="009C614A"/>
    <w:rsid w:val="009C693C"/>
    <w:rsid w:val="009C6CB9"/>
    <w:rsid w:val="009C7281"/>
    <w:rsid w:val="009C7310"/>
    <w:rsid w:val="009C76DD"/>
    <w:rsid w:val="009C785B"/>
    <w:rsid w:val="009D050C"/>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F108F"/>
    <w:rsid w:val="009F14D6"/>
    <w:rsid w:val="009F1BCD"/>
    <w:rsid w:val="009F2796"/>
    <w:rsid w:val="009F3275"/>
    <w:rsid w:val="009F32A4"/>
    <w:rsid w:val="009F3A41"/>
    <w:rsid w:val="009F3C36"/>
    <w:rsid w:val="009F3FE6"/>
    <w:rsid w:val="009F46AF"/>
    <w:rsid w:val="009F4C50"/>
    <w:rsid w:val="009F523A"/>
    <w:rsid w:val="009F54FB"/>
    <w:rsid w:val="009F5B47"/>
    <w:rsid w:val="009F5C11"/>
    <w:rsid w:val="009F6059"/>
    <w:rsid w:val="009F675E"/>
    <w:rsid w:val="009F6AAC"/>
    <w:rsid w:val="009F6AD3"/>
    <w:rsid w:val="009F6AD7"/>
    <w:rsid w:val="009F6DA9"/>
    <w:rsid w:val="00A006E9"/>
    <w:rsid w:val="00A0253A"/>
    <w:rsid w:val="00A02FD6"/>
    <w:rsid w:val="00A03610"/>
    <w:rsid w:val="00A03C78"/>
    <w:rsid w:val="00A043F8"/>
    <w:rsid w:val="00A04690"/>
    <w:rsid w:val="00A05440"/>
    <w:rsid w:val="00A0595D"/>
    <w:rsid w:val="00A05A67"/>
    <w:rsid w:val="00A06262"/>
    <w:rsid w:val="00A068CC"/>
    <w:rsid w:val="00A07155"/>
    <w:rsid w:val="00A07F9A"/>
    <w:rsid w:val="00A11227"/>
    <w:rsid w:val="00A11579"/>
    <w:rsid w:val="00A11BEA"/>
    <w:rsid w:val="00A11D5A"/>
    <w:rsid w:val="00A129D6"/>
    <w:rsid w:val="00A131B0"/>
    <w:rsid w:val="00A13472"/>
    <w:rsid w:val="00A13943"/>
    <w:rsid w:val="00A149D5"/>
    <w:rsid w:val="00A14D22"/>
    <w:rsid w:val="00A15B14"/>
    <w:rsid w:val="00A15B83"/>
    <w:rsid w:val="00A16ED2"/>
    <w:rsid w:val="00A1744B"/>
    <w:rsid w:val="00A17864"/>
    <w:rsid w:val="00A17C99"/>
    <w:rsid w:val="00A17F45"/>
    <w:rsid w:val="00A204A9"/>
    <w:rsid w:val="00A2165D"/>
    <w:rsid w:val="00A21BF1"/>
    <w:rsid w:val="00A222FF"/>
    <w:rsid w:val="00A2281D"/>
    <w:rsid w:val="00A23078"/>
    <w:rsid w:val="00A2319B"/>
    <w:rsid w:val="00A238E3"/>
    <w:rsid w:val="00A2531C"/>
    <w:rsid w:val="00A25960"/>
    <w:rsid w:val="00A25E8A"/>
    <w:rsid w:val="00A261D0"/>
    <w:rsid w:val="00A2624A"/>
    <w:rsid w:val="00A2635E"/>
    <w:rsid w:val="00A263E1"/>
    <w:rsid w:val="00A26421"/>
    <w:rsid w:val="00A271CD"/>
    <w:rsid w:val="00A2776F"/>
    <w:rsid w:val="00A27E5E"/>
    <w:rsid w:val="00A301D0"/>
    <w:rsid w:val="00A3187C"/>
    <w:rsid w:val="00A32886"/>
    <w:rsid w:val="00A32F19"/>
    <w:rsid w:val="00A335E0"/>
    <w:rsid w:val="00A33D0D"/>
    <w:rsid w:val="00A353FF"/>
    <w:rsid w:val="00A35972"/>
    <w:rsid w:val="00A3631A"/>
    <w:rsid w:val="00A366ED"/>
    <w:rsid w:val="00A3692C"/>
    <w:rsid w:val="00A36E9A"/>
    <w:rsid w:val="00A3766D"/>
    <w:rsid w:val="00A4054E"/>
    <w:rsid w:val="00A413AD"/>
    <w:rsid w:val="00A41701"/>
    <w:rsid w:val="00A418E1"/>
    <w:rsid w:val="00A421C4"/>
    <w:rsid w:val="00A42958"/>
    <w:rsid w:val="00A443D3"/>
    <w:rsid w:val="00A44D8D"/>
    <w:rsid w:val="00A44DB3"/>
    <w:rsid w:val="00A45A0F"/>
    <w:rsid w:val="00A45FE0"/>
    <w:rsid w:val="00A4642A"/>
    <w:rsid w:val="00A469FA"/>
    <w:rsid w:val="00A476A6"/>
    <w:rsid w:val="00A47874"/>
    <w:rsid w:val="00A47F6A"/>
    <w:rsid w:val="00A5049B"/>
    <w:rsid w:val="00A50594"/>
    <w:rsid w:val="00A505E6"/>
    <w:rsid w:val="00A509F8"/>
    <w:rsid w:val="00A511BB"/>
    <w:rsid w:val="00A512A4"/>
    <w:rsid w:val="00A52314"/>
    <w:rsid w:val="00A52FD2"/>
    <w:rsid w:val="00A5360F"/>
    <w:rsid w:val="00A53BE5"/>
    <w:rsid w:val="00A54938"/>
    <w:rsid w:val="00A549ED"/>
    <w:rsid w:val="00A54B34"/>
    <w:rsid w:val="00A553A7"/>
    <w:rsid w:val="00A5543E"/>
    <w:rsid w:val="00A556FA"/>
    <w:rsid w:val="00A56BDA"/>
    <w:rsid w:val="00A56E0B"/>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6AE"/>
    <w:rsid w:val="00A80795"/>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7D5A"/>
    <w:rsid w:val="00A87E23"/>
    <w:rsid w:val="00A91A3C"/>
    <w:rsid w:val="00A91B82"/>
    <w:rsid w:val="00A9252F"/>
    <w:rsid w:val="00A92EC3"/>
    <w:rsid w:val="00A93239"/>
    <w:rsid w:val="00A946B0"/>
    <w:rsid w:val="00A94F7B"/>
    <w:rsid w:val="00A9568F"/>
    <w:rsid w:val="00A95888"/>
    <w:rsid w:val="00A96648"/>
    <w:rsid w:val="00AA0454"/>
    <w:rsid w:val="00AA22AB"/>
    <w:rsid w:val="00AA282C"/>
    <w:rsid w:val="00AA311B"/>
    <w:rsid w:val="00AA3361"/>
    <w:rsid w:val="00AA3D06"/>
    <w:rsid w:val="00AA45E1"/>
    <w:rsid w:val="00AA5386"/>
    <w:rsid w:val="00AA6DB3"/>
    <w:rsid w:val="00AA7BF2"/>
    <w:rsid w:val="00AA7C2B"/>
    <w:rsid w:val="00AA7F57"/>
    <w:rsid w:val="00AB0120"/>
    <w:rsid w:val="00AB0840"/>
    <w:rsid w:val="00AB0BA2"/>
    <w:rsid w:val="00AB0C4C"/>
    <w:rsid w:val="00AB10F6"/>
    <w:rsid w:val="00AB1339"/>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265"/>
    <w:rsid w:val="00AB660E"/>
    <w:rsid w:val="00AB6658"/>
    <w:rsid w:val="00AB6D0F"/>
    <w:rsid w:val="00AB737D"/>
    <w:rsid w:val="00AB78CC"/>
    <w:rsid w:val="00AB7E98"/>
    <w:rsid w:val="00AC03F0"/>
    <w:rsid w:val="00AC062F"/>
    <w:rsid w:val="00AC1ACE"/>
    <w:rsid w:val="00AC1F68"/>
    <w:rsid w:val="00AC2570"/>
    <w:rsid w:val="00AC2664"/>
    <w:rsid w:val="00AC28FD"/>
    <w:rsid w:val="00AC319B"/>
    <w:rsid w:val="00AC3858"/>
    <w:rsid w:val="00AC39C8"/>
    <w:rsid w:val="00AC3D7C"/>
    <w:rsid w:val="00AC4C09"/>
    <w:rsid w:val="00AC4C44"/>
    <w:rsid w:val="00AC5503"/>
    <w:rsid w:val="00AC5588"/>
    <w:rsid w:val="00AC5A80"/>
    <w:rsid w:val="00AC5B98"/>
    <w:rsid w:val="00AC6B99"/>
    <w:rsid w:val="00AC6E6A"/>
    <w:rsid w:val="00AC6EA9"/>
    <w:rsid w:val="00AC6F0C"/>
    <w:rsid w:val="00AC7CFF"/>
    <w:rsid w:val="00AD0B94"/>
    <w:rsid w:val="00AD12EC"/>
    <w:rsid w:val="00AD2CA8"/>
    <w:rsid w:val="00AD317C"/>
    <w:rsid w:val="00AD3354"/>
    <w:rsid w:val="00AD45CE"/>
    <w:rsid w:val="00AD66BF"/>
    <w:rsid w:val="00AD68B0"/>
    <w:rsid w:val="00AD6B02"/>
    <w:rsid w:val="00AD72FC"/>
    <w:rsid w:val="00AE0FBE"/>
    <w:rsid w:val="00AE1107"/>
    <w:rsid w:val="00AE1217"/>
    <w:rsid w:val="00AE12B6"/>
    <w:rsid w:val="00AE191D"/>
    <w:rsid w:val="00AE1F15"/>
    <w:rsid w:val="00AE3B3E"/>
    <w:rsid w:val="00AE3E0B"/>
    <w:rsid w:val="00AE4A43"/>
    <w:rsid w:val="00AE4C77"/>
    <w:rsid w:val="00AE576C"/>
    <w:rsid w:val="00AE5C63"/>
    <w:rsid w:val="00AE5CEF"/>
    <w:rsid w:val="00AE66A0"/>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852"/>
    <w:rsid w:val="00AF6A64"/>
    <w:rsid w:val="00AF6BB3"/>
    <w:rsid w:val="00AF756A"/>
    <w:rsid w:val="00AF78DA"/>
    <w:rsid w:val="00AF7E93"/>
    <w:rsid w:val="00B001A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5286"/>
    <w:rsid w:val="00B153AB"/>
    <w:rsid w:val="00B16465"/>
    <w:rsid w:val="00B174F7"/>
    <w:rsid w:val="00B17611"/>
    <w:rsid w:val="00B178E0"/>
    <w:rsid w:val="00B20568"/>
    <w:rsid w:val="00B20803"/>
    <w:rsid w:val="00B20D46"/>
    <w:rsid w:val="00B213E9"/>
    <w:rsid w:val="00B215E7"/>
    <w:rsid w:val="00B21CD6"/>
    <w:rsid w:val="00B21F3D"/>
    <w:rsid w:val="00B22704"/>
    <w:rsid w:val="00B22951"/>
    <w:rsid w:val="00B229FC"/>
    <w:rsid w:val="00B22F72"/>
    <w:rsid w:val="00B23486"/>
    <w:rsid w:val="00B234C9"/>
    <w:rsid w:val="00B24C45"/>
    <w:rsid w:val="00B24E12"/>
    <w:rsid w:val="00B24F43"/>
    <w:rsid w:val="00B2516E"/>
    <w:rsid w:val="00B25559"/>
    <w:rsid w:val="00B25744"/>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43CA"/>
    <w:rsid w:val="00B34F97"/>
    <w:rsid w:val="00B350E3"/>
    <w:rsid w:val="00B3539E"/>
    <w:rsid w:val="00B353FE"/>
    <w:rsid w:val="00B3542E"/>
    <w:rsid w:val="00B359BF"/>
    <w:rsid w:val="00B365D8"/>
    <w:rsid w:val="00B36B1D"/>
    <w:rsid w:val="00B36D0E"/>
    <w:rsid w:val="00B3755C"/>
    <w:rsid w:val="00B3780B"/>
    <w:rsid w:val="00B4040D"/>
    <w:rsid w:val="00B404AA"/>
    <w:rsid w:val="00B40746"/>
    <w:rsid w:val="00B41247"/>
    <w:rsid w:val="00B42381"/>
    <w:rsid w:val="00B42754"/>
    <w:rsid w:val="00B427DD"/>
    <w:rsid w:val="00B42E48"/>
    <w:rsid w:val="00B4399A"/>
    <w:rsid w:val="00B43BB5"/>
    <w:rsid w:val="00B440E7"/>
    <w:rsid w:val="00B45B27"/>
    <w:rsid w:val="00B469F4"/>
    <w:rsid w:val="00B46A63"/>
    <w:rsid w:val="00B46BA3"/>
    <w:rsid w:val="00B46C65"/>
    <w:rsid w:val="00B4716E"/>
    <w:rsid w:val="00B50110"/>
    <w:rsid w:val="00B52F94"/>
    <w:rsid w:val="00B53E18"/>
    <w:rsid w:val="00B5401A"/>
    <w:rsid w:val="00B56100"/>
    <w:rsid w:val="00B56A4E"/>
    <w:rsid w:val="00B571A9"/>
    <w:rsid w:val="00B5734A"/>
    <w:rsid w:val="00B5753B"/>
    <w:rsid w:val="00B60218"/>
    <w:rsid w:val="00B605FC"/>
    <w:rsid w:val="00B629FA"/>
    <w:rsid w:val="00B62E19"/>
    <w:rsid w:val="00B63143"/>
    <w:rsid w:val="00B63D03"/>
    <w:rsid w:val="00B64281"/>
    <w:rsid w:val="00B64787"/>
    <w:rsid w:val="00B652BF"/>
    <w:rsid w:val="00B662D4"/>
    <w:rsid w:val="00B6666D"/>
    <w:rsid w:val="00B671BE"/>
    <w:rsid w:val="00B671EB"/>
    <w:rsid w:val="00B67612"/>
    <w:rsid w:val="00B67724"/>
    <w:rsid w:val="00B67D8D"/>
    <w:rsid w:val="00B7050D"/>
    <w:rsid w:val="00B707F0"/>
    <w:rsid w:val="00B70996"/>
    <w:rsid w:val="00B70A4D"/>
    <w:rsid w:val="00B71243"/>
    <w:rsid w:val="00B715A3"/>
    <w:rsid w:val="00B71BA9"/>
    <w:rsid w:val="00B728B3"/>
    <w:rsid w:val="00B73389"/>
    <w:rsid w:val="00B73B5C"/>
    <w:rsid w:val="00B745EF"/>
    <w:rsid w:val="00B7467C"/>
    <w:rsid w:val="00B74BED"/>
    <w:rsid w:val="00B7534B"/>
    <w:rsid w:val="00B76558"/>
    <w:rsid w:val="00B8051B"/>
    <w:rsid w:val="00B80F80"/>
    <w:rsid w:val="00B81DD9"/>
    <w:rsid w:val="00B82AA2"/>
    <w:rsid w:val="00B842EF"/>
    <w:rsid w:val="00B85B5C"/>
    <w:rsid w:val="00B85F3F"/>
    <w:rsid w:val="00B861C7"/>
    <w:rsid w:val="00B87315"/>
    <w:rsid w:val="00B873D4"/>
    <w:rsid w:val="00B87E5B"/>
    <w:rsid w:val="00B903BF"/>
    <w:rsid w:val="00B90A1B"/>
    <w:rsid w:val="00B91AF9"/>
    <w:rsid w:val="00B91C73"/>
    <w:rsid w:val="00B92321"/>
    <w:rsid w:val="00B92643"/>
    <w:rsid w:val="00B92B1C"/>
    <w:rsid w:val="00B95E60"/>
    <w:rsid w:val="00B961C5"/>
    <w:rsid w:val="00B96421"/>
    <w:rsid w:val="00B96921"/>
    <w:rsid w:val="00B97193"/>
    <w:rsid w:val="00B9762F"/>
    <w:rsid w:val="00B978BC"/>
    <w:rsid w:val="00B97C45"/>
    <w:rsid w:val="00BA049C"/>
    <w:rsid w:val="00BA0DEA"/>
    <w:rsid w:val="00BA1064"/>
    <w:rsid w:val="00BA1623"/>
    <w:rsid w:val="00BA173F"/>
    <w:rsid w:val="00BA2965"/>
    <w:rsid w:val="00BA2C5D"/>
    <w:rsid w:val="00BA3264"/>
    <w:rsid w:val="00BA3E93"/>
    <w:rsid w:val="00BA3F1B"/>
    <w:rsid w:val="00BA467C"/>
    <w:rsid w:val="00BA4844"/>
    <w:rsid w:val="00BA5051"/>
    <w:rsid w:val="00BA5D4F"/>
    <w:rsid w:val="00BA76C6"/>
    <w:rsid w:val="00BB00FC"/>
    <w:rsid w:val="00BB086B"/>
    <w:rsid w:val="00BB15F8"/>
    <w:rsid w:val="00BB18D4"/>
    <w:rsid w:val="00BB2274"/>
    <w:rsid w:val="00BB2AF2"/>
    <w:rsid w:val="00BB31A9"/>
    <w:rsid w:val="00BB3595"/>
    <w:rsid w:val="00BB3B60"/>
    <w:rsid w:val="00BB3E23"/>
    <w:rsid w:val="00BB48D1"/>
    <w:rsid w:val="00BB49D7"/>
    <w:rsid w:val="00BB4F5C"/>
    <w:rsid w:val="00BB5809"/>
    <w:rsid w:val="00BB5920"/>
    <w:rsid w:val="00BB5A2B"/>
    <w:rsid w:val="00BB5C33"/>
    <w:rsid w:val="00BB746E"/>
    <w:rsid w:val="00BB797A"/>
    <w:rsid w:val="00BC05AA"/>
    <w:rsid w:val="00BC07C7"/>
    <w:rsid w:val="00BC0A59"/>
    <w:rsid w:val="00BC0B92"/>
    <w:rsid w:val="00BC0BC8"/>
    <w:rsid w:val="00BC11A4"/>
    <w:rsid w:val="00BC151E"/>
    <w:rsid w:val="00BC1784"/>
    <w:rsid w:val="00BC1CD5"/>
    <w:rsid w:val="00BC3CEC"/>
    <w:rsid w:val="00BC4BBA"/>
    <w:rsid w:val="00BC4EE9"/>
    <w:rsid w:val="00BC58DF"/>
    <w:rsid w:val="00BC5A3B"/>
    <w:rsid w:val="00BD03F4"/>
    <w:rsid w:val="00BD07EE"/>
    <w:rsid w:val="00BD0FAC"/>
    <w:rsid w:val="00BD1050"/>
    <w:rsid w:val="00BD2CF9"/>
    <w:rsid w:val="00BD2E18"/>
    <w:rsid w:val="00BD317F"/>
    <w:rsid w:val="00BD31AA"/>
    <w:rsid w:val="00BD422C"/>
    <w:rsid w:val="00BD484A"/>
    <w:rsid w:val="00BD4C64"/>
    <w:rsid w:val="00BD582C"/>
    <w:rsid w:val="00BD5A58"/>
    <w:rsid w:val="00BD5C92"/>
    <w:rsid w:val="00BD6074"/>
    <w:rsid w:val="00BD64BD"/>
    <w:rsid w:val="00BD6568"/>
    <w:rsid w:val="00BD6709"/>
    <w:rsid w:val="00BD6E66"/>
    <w:rsid w:val="00BD7678"/>
    <w:rsid w:val="00BD7DC8"/>
    <w:rsid w:val="00BE0334"/>
    <w:rsid w:val="00BE043A"/>
    <w:rsid w:val="00BE05C8"/>
    <w:rsid w:val="00BE0F32"/>
    <w:rsid w:val="00BE2053"/>
    <w:rsid w:val="00BE254D"/>
    <w:rsid w:val="00BE257C"/>
    <w:rsid w:val="00BE2F2B"/>
    <w:rsid w:val="00BE4B51"/>
    <w:rsid w:val="00BE57A1"/>
    <w:rsid w:val="00BE5C9E"/>
    <w:rsid w:val="00BE6195"/>
    <w:rsid w:val="00BE62FF"/>
    <w:rsid w:val="00BE7E56"/>
    <w:rsid w:val="00BF0D2C"/>
    <w:rsid w:val="00BF100B"/>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F9"/>
    <w:rsid w:val="00BF622A"/>
    <w:rsid w:val="00BF6693"/>
    <w:rsid w:val="00C0144C"/>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5549"/>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E84"/>
    <w:rsid w:val="00C20425"/>
    <w:rsid w:val="00C207C0"/>
    <w:rsid w:val="00C20F8D"/>
    <w:rsid w:val="00C21293"/>
    <w:rsid w:val="00C2131A"/>
    <w:rsid w:val="00C220A2"/>
    <w:rsid w:val="00C23382"/>
    <w:rsid w:val="00C23811"/>
    <w:rsid w:val="00C24023"/>
    <w:rsid w:val="00C24A56"/>
    <w:rsid w:val="00C25064"/>
    <w:rsid w:val="00C266D8"/>
    <w:rsid w:val="00C2775B"/>
    <w:rsid w:val="00C277B2"/>
    <w:rsid w:val="00C3009D"/>
    <w:rsid w:val="00C30149"/>
    <w:rsid w:val="00C309C9"/>
    <w:rsid w:val="00C31896"/>
    <w:rsid w:val="00C31AE3"/>
    <w:rsid w:val="00C33DBA"/>
    <w:rsid w:val="00C3511A"/>
    <w:rsid w:val="00C35F15"/>
    <w:rsid w:val="00C3650D"/>
    <w:rsid w:val="00C369C0"/>
    <w:rsid w:val="00C40328"/>
    <w:rsid w:val="00C40B61"/>
    <w:rsid w:val="00C40F76"/>
    <w:rsid w:val="00C412D7"/>
    <w:rsid w:val="00C4204E"/>
    <w:rsid w:val="00C425F1"/>
    <w:rsid w:val="00C428BE"/>
    <w:rsid w:val="00C4323F"/>
    <w:rsid w:val="00C433B4"/>
    <w:rsid w:val="00C43814"/>
    <w:rsid w:val="00C43A2F"/>
    <w:rsid w:val="00C44348"/>
    <w:rsid w:val="00C45A54"/>
    <w:rsid w:val="00C45B86"/>
    <w:rsid w:val="00C45FDE"/>
    <w:rsid w:val="00C45FF0"/>
    <w:rsid w:val="00C462B2"/>
    <w:rsid w:val="00C47827"/>
    <w:rsid w:val="00C478B5"/>
    <w:rsid w:val="00C50243"/>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6BC"/>
    <w:rsid w:val="00C56776"/>
    <w:rsid w:val="00C56E17"/>
    <w:rsid w:val="00C57757"/>
    <w:rsid w:val="00C57A08"/>
    <w:rsid w:val="00C60A60"/>
    <w:rsid w:val="00C60EF2"/>
    <w:rsid w:val="00C6122C"/>
    <w:rsid w:val="00C61A90"/>
    <w:rsid w:val="00C61D34"/>
    <w:rsid w:val="00C62EAE"/>
    <w:rsid w:val="00C6336C"/>
    <w:rsid w:val="00C63B40"/>
    <w:rsid w:val="00C64452"/>
    <w:rsid w:val="00C647B9"/>
    <w:rsid w:val="00C65281"/>
    <w:rsid w:val="00C656FE"/>
    <w:rsid w:val="00C6635C"/>
    <w:rsid w:val="00C66459"/>
    <w:rsid w:val="00C668FB"/>
    <w:rsid w:val="00C66AE2"/>
    <w:rsid w:val="00C66F96"/>
    <w:rsid w:val="00C67467"/>
    <w:rsid w:val="00C6754B"/>
    <w:rsid w:val="00C676A1"/>
    <w:rsid w:val="00C70BB7"/>
    <w:rsid w:val="00C710C8"/>
    <w:rsid w:val="00C718D9"/>
    <w:rsid w:val="00C7234E"/>
    <w:rsid w:val="00C7256F"/>
    <w:rsid w:val="00C725A5"/>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626"/>
    <w:rsid w:val="00C76FA6"/>
    <w:rsid w:val="00C7727A"/>
    <w:rsid w:val="00C77D64"/>
    <w:rsid w:val="00C8014A"/>
    <w:rsid w:val="00C80696"/>
    <w:rsid w:val="00C80C1E"/>
    <w:rsid w:val="00C80C2A"/>
    <w:rsid w:val="00C80F15"/>
    <w:rsid w:val="00C81B97"/>
    <w:rsid w:val="00C81C9F"/>
    <w:rsid w:val="00C8222B"/>
    <w:rsid w:val="00C825CF"/>
    <w:rsid w:val="00C82E2D"/>
    <w:rsid w:val="00C82F39"/>
    <w:rsid w:val="00C83EFB"/>
    <w:rsid w:val="00C83F76"/>
    <w:rsid w:val="00C851C3"/>
    <w:rsid w:val="00C85A46"/>
    <w:rsid w:val="00C85D3E"/>
    <w:rsid w:val="00C85DF1"/>
    <w:rsid w:val="00C871B2"/>
    <w:rsid w:val="00C875E9"/>
    <w:rsid w:val="00C90487"/>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2E"/>
    <w:rsid w:val="00C95286"/>
    <w:rsid w:val="00C95290"/>
    <w:rsid w:val="00C95C29"/>
    <w:rsid w:val="00CA1A88"/>
    <w:rsid w:val="00CA2DAF"/>
    <w:rsid w:val="00CA2F0C"/>
    <w:rsid w:val="00CA39C2"/>
    <w:rsid w:val="00CA4382"/>
    <w:rsid w:val="00CA4482"/>
    <w:rsid w:val="00CA48B9"/>
    <w:rsid w:val="00CA4AF9"/>
    <w:rsid w:val="00CA4BC5"/>
    <w:rsid w:val="00CA4DAF"/>
    <w:rsid w:val="00CA5C27"/>
    <w:rsid w:val="00CA60AF"/>
    <w:rsid w:val="00CA7608"/>
    <w:rsid w:val="00CA7BAA"/>
    <w:rsid w:val="00CB0162"/>
    <w:rsid w:val="00CB1A5F"/>
    <w:rsid w:val="00CB1B31"/>
    <w:rsid w:val="00CB203D"/>
    <w:rsid w:val="00CB24E6"/>
    <w:rsid w:val="00CB3197"/>
    <w:rsid w:val="00CB33D9"/>
    <w:rsid w:val="00CB37BB"/>
    <w:rsid w:val="00CB3F82"/>
    <w:rsid w:val="00CB4613"/>
    <w:rsid w:val="00CB4C02"/>
    <w:rsid w:val="00CB5515"/>
    <w:rsid w:val="00CB5854"/>
    <w:rsid w:val="00CB5932"/>
    <w:rsid w:val="00CB65E4"/>
    <w:rsid w:val="00CB6C6D"/>
    <w:rsid w:val="00CB7280"/>
    <w:rsid w:val="00CB78BF"/>
    <w:rsid w:val="00CB79BA"/>
    <w:rsid w:val="00CB7D12"/>
    <w:rsid w:val="00CC2F07"/>
    <w:rsid w:val="00CC2FD1"/>
    <w:rsid w:val="00CC3749"/>
    <w:rsid w:val="00CC42A5"/>
    <w:rsid w:val="00CC653A"/>
    <w:rsid w:val="00CC6870"/>
    <w:rsid w:val="00CC6911"/>
    <w:rsid w:val="00CC6DF6"/>
    <w:rsid w:val="00CC76A7"/>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E073F"/>
    <w:rsid w:val="00CE09A6"/>
    <w:rsid w:val="00CE0FC1"/>
    <w:rsid w:val="00CE14B7"/>
    <w:rsid w:val="00CE1907"/>
    <w:rsid w:val="00CE1C54"/>
    <w:rsid w:val="00CE1FB2"/>
    <w:rsid w:val="00CE2766"/>
    <w:rsid w:val="00CE291C"/>
    <w:rsid w:val="00CE3364"/>
    <w:rsid w:val="00CE3E32"/>
    <w:rsid w:val="00CE4EC1"/>
    <w:rsid w:val="00CE5366"/>
    <w:rsid w:val="00CE571B"/>
    <w:rsid w:val="00CE59AE"/>
    <w:rsid w:val="00CE6AF3"/>
    <w:rsid w:val="00CE727B"/>
    <w:rsid w:val="00CE73DB"/>
    <w:rsid w:val="00CE7E82"/>
    <w:rsid w:val="00CF0A66"/>
    <w:rsid w:val="00CF0BE6"/>
    <w:rsid w:val="00CF1D3A"/>
    <w:rsid w:val="00CF1D83"/>
    <w:rsid w:val="00CF275E"/>
    <w:rsid w:val="00CF2AEF"/>
    <w:rsid w:val="00CF3997"/>
    <w:rsid w:val="00CF3FA4"/>
    <w:rsid w:val="00CF46B7"/>
    <w:rsid w:val="00CF5206"/>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413C"/>
    <w:rsid w:val="00D0454C"/>
    <w:rsid w:val="00D047FA"/>
    <w:rsid w:val="00D04EBA"/>
    <w:rsid w:val="00D06288"/>
    <w:rsid w:val="00D066EC"/>
    <w:rsid w:val="00D06CD3"/>
    <w:rsid w:val="00D072EF"/>
    <w:rsid w:val="00D07461"/>
    <w:rsid w:val="00D07864"/>
    <w:rsid w:val="00D07D21"/>
    <w:rsid w:val="00D103E7"/>
    <w:rsid w:val="00D10FC3"/>
    <w:rsid w:val="00D11230"/>
    <w:rsid w:val="00D11D13"/>
    <w:rsid w:val="00D121C9"/>
    <w:rsid w:val="00D1228B"/>
    <w:rsid w:val="00D128CE"/>
    <w:rsid w:val="00D13FFC"/>
    <w:rsid w:val="00D144EC"/>
    <w:rsid w:val="00D1466C"/>
    <w:rsid w:val="00D15788"/>
    <w:rsid w:val="00D1617C"/>
    <w:rsid w:val="00D162DE"/>
    <w:rsid w:val="00D163EF"/>
    <w:rsid w:val="00D1690A"/>
    <w:rsid w:val="00D16CC8"/>
    <w:rsid w:val="00D16D26"/>
    <w:rsid w:val="00D1781C"/>
    <w:rsid w:val="00D206FA"/>
    <w:rsid w:val="00D20AF4"/>
    <w:rsid w:val="00D21DFB"/>
    <w:rsid w:val="00D2244F"/>
    <w:rsid w:val="00D22919"/>
    <w:rsid w:val="00D22C9A"/>
    <w:rsid w:val="00D24B95"/>
    <w:rsid w:val="00D24BF7"/>
    <w:rsid w:val="00D2539A"/>
    <w:rsid w:val="00D253CA"/>
    <w:rsid w:val="00D2547E"/>
    <w:rsid w:val="00D25AA0"/>
    <w:rsid w:val="00D26011"/>
    <w:rsid w:val="00D266E9"/>
    <w:rsid w:val="00D26BE4"/>
    <w:rsid w:val="00D26C69"/>
    <w:rsid w:val="00D26F0F"/>
    <w:rsid w:val="00D27103"/>
    <w:rsid w:val="00D3053A"/>
    <w:rsid w:val="00D3149E"/>
    <w:rsid w:val="00D314B1"/>
    <w:rsid w:val="00D318BF"/>
    <w:rsid w:val="00D31DAD"/>
    <w:rsid w:val="00D320C9"/>
    <w:rsid w:val="00D3295B"/>
    <w:rsid w:val="00D333E5"/>
    <w:rsid w:val="00D338FE"/>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365B"/>
    <w:rsid w:val="00D446A8"/>
    <w:rsid w:val="00D44F35"/>
    <w:rsid w:val="00D4717C"/>
    <w:rsid w:val="00D47C6A"/>
    <w:rsid w:val="00D50988"/>
    <w:rsid w:val="00D50B30"/>
    <w:rsid w:val="00D5131F"/>
    <w:rsid w:val="00D51531"/>
    <w:rsid w:val="00D5190B"/>
    <w:rsid w:val="00D51B0E"/>
    <w:rsid w:val="00D51FDA"/>
    <w:rsid w:val="00D53E64"/>
    <w:rsid w:val="00D548D9"/>
    <w:rsid w:val="00D54E5A"/>
    <w:rsid w:val="00D55821"/>
    <w:rsid w:val="00D55E7F"/>
    <w:rsid w:val="00D56228"/>
    <w:rsid w:val="00D562E5"/>
    <w:rsid w:val="00D57C03"/>
    <w:rsid w:val="00D6051A"/>
    <w:rsid w:val="00D6078D"/>
    <w:rsid w:val="00D620EC"/>
    <w:rsid w:val="00D62A1A"/>
    <w:rsid w:val="00D63319"/>
    <w:rsid w:val="00D63A86"/>
    <w:rsid w:val="00D63AC5"/>
    <w:rsid w:val="00D65422"/>
    <w:rsid w:val="00D660E6"/>
    <w:rsid w:val="00D66549"/>
    <w:rsid w:val="00D6674B"/>
    <w:rsid w:val="00D66B95"/>
    <w:rsid w:val="00D67583"/>
    <w:rsid w:val="00D67E74"/>
    <w:rsid w:val="00D7007B"/>
    <w:rsid w:val="00D702FF"/>
    <w:rsid w:val="00D705C4"/>
    <w:rsid w:val="00D70B1C"/>
    <w:rsid w:val="00D70B3E"/>
    <w:rsid w:val="00D70DF2"/>
    <w:rsid w:val="00D719B9"/>
    <w:rsid w:val="00D71D03"/>
    <w:rsid w:val="00D72C28"/>
    <w:rsid w:val="00D7423B"/>
    <w:rsid w:val="00D744E1"/>
    <w:rsid w:val="00D74D4F"/>
    <w:rsid w:val="00D7516C"/>
    <w:rsid w:val="00D75E6D"/>
    <w:rsid w:val="00D75FA5"/>
    <w:rsid w:val="00D76C53"/>
    <w:rsid w:val="00D82FA5"/>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48D1"/>
    <w:rsid w:val="00D94D03"/>
    <w:rsid w:val="00D9567B"/>
    <w:rsid w:val="00D95EF2"/>
    <w:rsid w:val="00D9734A"/>
    <w:rsid w:val="00DA02DA"/>
    <w:rsid w:val="00DA0836"/>
    <w:rsid w:val="00DA08B9"/>
    <w:rsid w:val="00DA0A1D"/>
    <w:rsid w:val="00DA1E96"/>
    <w:rsid w:val="00DA3388"/>
    <w:rsid w:val="00DA351D"/>
    <w:rsid w:val="00DA3706"/>
    <w:rsid w:val="00DA5063"/>
    <w:rsid w:val="00DA5437"/>
    <w:rsid w:val="00DA5A7B"/>
    <w:rsid w:val="00DA7533"/>
    <w:rsid w:val="00DA767D"/>
    <w:rsid w:val="00DA792E"/>
    <w:rsid w:val="00DB0546"/>
    <w:rsid w:val="00DB0CB1"/>
    <w:rsid w:val="00DB162A"/>
    <w:rsid w:val="00DB173D"/>
    <w:rsid w:val="00DB237F"/>
    <w:rsid w:val="00DB30F0"/>
    <w:rsid w:val="00DB3B32"/>
    <w:rsid w:val="00DB3EC4"/>
    <w:rsid w:val="00DB4622"/>
    <w:rsid w:val="00DB47D2"/>
    <w:rsid w:val="00DB58CC"/>
    <w:rsid w:val="00DB6658"/>
    <w:rsid w:val="00DB7DE2"/>
    <w:rsid w:val="00DC0536"/>
    <w:rsid w:val="00DC099E"/>
    <w:rsid w:val="00DC0A39"/>
    <w:rsid w:val="00DC18E1"/>
    <w:rsid w:val="00DC259E"/>
    <w:rsid w:val="00DC26D6"/>
    <w:rsid w:val="00DC2E59"/>
    <w:rsid w:val="00DC2EB5"/>
    <w:rsid w:val="00DC3935"/>
    <w:rsid w:val="00DC492A"/>
    <w:rsid w:val="00DC4C43"/>
    <w:rsid w:val="00DC4EFB"/>
    <w:rsid w:val="00DC5808"/>
    <w:rsid w:val="00DC59E8"/>
    <w:rsid w:val="00DC5E1D"/>
    <w:rsid w:val="00DC5E8E"/>
    <w:rsid w:val="00DC5EA2"/>
    <w:rsid w:val="00DC6717"/>
    <w:rsid w:val="00DC6798"/>
    <w:rsid w:val="00DC6E33"/>
    <w:rsid w:val="00DD1124"/>
    <w:rsid w:val="00DD1948"/>
    <w:rsid w:val="00DD244F"/>
    <w:rsid w:val="00DD2BD4"/>
    <w:rsid w:val="00DD4980"/>
    <w:rsid w:val="00DD49E0"/>
    <w:rsid w:val="00DD66DB"/>
    <w:rsid w:val="00DD673C"/>
    <w:rsid w:val="00DD67C0"/>
    <w:rsid w:val="00DD67F1"/>
    <w:rsid w:val="00DD6AB2"/>
    <w:rsid w:val="00DD7BB6"/>
    <w:rsid w:val="00DE0391"/>
    <w:rsid w:val="00DE0996"/>
    <w:rsid w:val="00DE16EF"/>
    <w:rsid w:val="00DE1B5E"/>
    <w:rsid w:val="00DE2056"/>
    <w:rsid w:val="00DE23FA"/>
    <w:rsid w:val="00DE3B49"/>
    <w:rsid w:val="00DE3D4F"/>
    <w:rsid w:val="00DE425A"/>
    <w:rsid w:val="00DE4DAF"/>
    <w:rsid w:val="00DE584A"/>
    <w:rsid w:val="00DE5FEA"/>
    <w:rsid w:val="00DE6BB8"/>
    <w:rsid w:val="00DE6C28"/>
    <w:rsid w:val="00DE6DC2"/>
    <w:rsid w:val="00DF0230"/>
    <w:rsid w:val="00DF05D0"/>
    <w:rsid w:val="00DF0738"/>
    <w:rsid w:val="00DF07A8"/>
    <w:rsid w:val="00DF0950"/>
    <w:rsid w:val="00DF0C53"/>
    <w:rsid w:val="00DF11BE"/>
    <w:rsid w:val="00DF144A"/>
    <w:rsid w:val="00DF15C8"/>
    <w:rsid w:val="00DF1FBC"/>
    <w:rsid w:val="00DF34AE"/>
    <w:rsid w:val="00DF3DD2"/>
    <w:rsid w:val="00DF4013"/>
    <w:rsid w:val="00DF435F"/>
    <w:rsid w:val="00DF444F"/>
    <w:rsid w:val="00DF45A8"/>
    <w:rsid w:val="00DF48A0"/>
    <w:rsid w:val="00DF4C4D"/>
    <w:rsid w:val="00DF4CDA"/>
    <w:rsid w:val="00DF5531"/>
    <w:rsid w:val="00DF5994"/>
    <w:rsid w:val="00DF5A1D"/>
    <w:rsid w:val="00DF5F19"/>
    <w:rsid w:val="00DF6282"/>
    <w:rsid w:val="00DF674F"/>
    <w:rsid w:val="00DF6E35"/>
    <w:rsid w:val="00DF765E"/>
    <w:rsid w:val="00DF7853"/>
    <w:rsid w:val="00DF7B10"/>
    <w:rsid w:val="00DF7E20"/>
    <w:rsid w:val="00E005D0"/>
    <w:rsid w:val="00E00B40"/>
    <w:rsid w:val="00E00E37"/>
    <w:rsid w:val="00E017FA"/>
    <w:rsid w:val="00E01D8D"/>
    <w:rsid w:val="00E021A7"/>
    <w:rsid w:val="00E03EB5"/>
    <w:rsid w:val="00E04408"/>
    <w:rsid w:val="00E045AB"/>
    <w:rsid w:val="00E04741"/>
    <w:rsid w:val="00E05427"/>
    <w:rsid w:val="00E0767B"/>
    <w:rsid w:val="00E07D2C"/>
    <w:rsid w:val="00E10CAE"/>
    <w:rsid w:val="00E112DD"/>
    <w:rsid w:val="00E11478"/>
    <w:rsid w:val="00E1163E"/>
    <w:rsid w:val="00E11721"/>
    <w:rsid w:val="00E11BD1"/>
    <w:rsid w:val="00E11C5D"/>
    <w:rsid w:val="00E11D9D"/>
    <w:rsid w:val="00E13DBD"/>
    <w:rsid w:val="00E149C4"/>
    <w:rsid w:val="00E14BEA"/>
    <w:rsid w:val="00E15158"/>
    <w:rsid w:val="00E1542D"/>
    <w:rsid w:val="00E1566E"/>
    <w:rsid w:val="00E15AE4"/>
    <w:rsid w:val="00E16923"/>
    <w:rsid w:val="00E2029A"/>
    <w:rsid w:val="00E2069B"/>
    <w:rsid w:val="00E212B1"/>
    <w:rsid w:val="00E214DC"/>
    <w:rsid w:val="00E2168E"/>
    <w:rsid w:val="00E216BE"/>
    <w:rsid w:val="00E2191C"/>
    <w:rsid w:val="00E2194E"/>
    <w:rsid w:val="00E21D4C"/>
    <w:rsid w:val="00E21F31"/>
    <w:rsid w:val="00E222E8"/>
    <w:rsid w:val="00E23630"/>
    <w:rsid w:val="00E237CB"/>
    <w:rsid w:val="00E24085"/>
    <w:rsid w:val="00E25490"/>
    <w:rsid w:val="00E255AE"/>
    <w:rsid w:val="00E2592B"/>
    <w:rsid w:val="00E261D8"/>
    <w:rsid w:val="00E27B88"/>
    <w:rsid w:val="00E27C60"/>
    <w:rsid w:val="00E27DD3"/>
    <w:rsid w:val="00E30CB5"/>
    <w:rsid w:val="00E30DA2"/>
    <w:rsid w:val="00E31FD9"/>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5E3"/>
    <w:rsid w:val="00E40F97"/>
    <w:rsid w:val="00E4115D"/>
    <w:rsid w:val="00E41DBD"/>
    <w:rsid w:val="00E43133"/>
    <w:rsid w:val="00E43481"/>
    <w:rsid w:val="00E460C4"/>
    <w:rsid w:val="00E46A55"/>
    <w:rsid w:val="00E46EF5"/>
    <w:rsid w:val="00E4758A"/>
    <w:rsid w:val="00E50788"/>
    <w:rsid w:val="00E5142F"/>
    <w:rsid w:val="00E51657"/>
    <w:rsid w:val="00E5178D"/>
    <w:rsid w:val="00E517F2"/>
    <w:rsid w:val="00E518B3"/>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4772"/>
    <w:rsid w:val="00E64FAC"/>
    <w:rsid w:val="00E650F6"/>
    <w:rsid w:val="00E65979"/>
    <w:rsid w:val="00E65A11"/>
    <w:rsid w:val="00E66663"/>
    <w:rsid w:val="00E6686C"/>
    <w:rsid w:val="00E66E69"/>
    <w:rsid w:val="00E675FD"/>
    <w:rsid w:val="00E67A82"/>
    <w:rsid w:val="00E67D92"/>
    <w:rsid w:val="00E70877"/>
    <w:rsid w:val="00E70906"/>
    <w:rsid w:val="00E70B62"/>
    <w:rsid w:val="00E70B64"/>
    <w:rsid w:val="00E721AB"/>
    <w:rsid w:val="00E7226D"/>
    <w:rsid w:val="00E72D1E"/>
    <w:rsid w:val="00E735E6"/>
    <w:rsid w:val="00E73E4F"/>
    <w:rsid w:val="00E74026"/>
    <w:rsid w:val="00E74062"/>
    <w:rsid w:val="00E740E3"/>
    <w:rsid w:val="00E74844"/>
    <w:rsid w:val="00E74AC2"/>
    <w:rsid w:val="00E750A7"/>
    <w:rsid w:val="00E758A8"/>
    <w:rsid w:val="00E7615D"/>
    <w:rsid w:val="00E76315"/>
    <w:rsid w:val="00E763A8"/>
    <w:rsid w:val="00E766B5"/>
    <w:rsid w:val="00E769CF"/>
    <w:rsid w:val="00E77367"/>
    <w:rsid w:val="00E80472"/>
    <w:rsid w:val="00E80E86"/>
    <w:rsid w:val="00E81253"/>
    <w:rsid w:val="00E81AE3"/>
    <w:rsid w:val="00E81C17"/>
    <w:rsid w:val="00E83241"/>
    <w:rsid w:val="00E8361D"/>
    <w:rsid w:val="00E844EE"/>
    <w:rsid w:val="00E853D5"/>
    <w:rsid w:val="00E858C4"/>
    <w:rsid w:val="00E85FDD"/>
    <w:rsid w:val="00E862BB"/>
    <w:rsid w:val="00E8650C"/>
    <w:rsid w:val="00E868D2"/>
    <w:rsid w:val="00E86ACF"/>
    <w:rsid w:val="00E86BF7"/>
    <w:rsid w:val="00E8702D"/>
    <w:rsid w:val="00E905CD"/>
    <w:rsid w:val="00E907D2"/>
    <w:rsid w:val="00E9099D"/>
    <w:rsid w:val="00E90B21"/>
    <w:rsid w:val="00E91030"/>
    <w:rsid w:val="00E9121B"/>
    <w:rsid w:val="00E91E18"/>
    <w:rsid w:val="00E923AA"/>
    <w:rsid w:val="00E926CD"/>
    <w:rsid w:val="00E92C52"/>
    <w:rsid w:val="00E9343F"/>
    <w:rsid w:val="00E93A0C"/>
    <w:rsid w:val="00E93A23"/>
    <w:rsid w:val="00E9452F"/>
    <w:rsid w:val="00E94714"/>
    <w:rsid w:val="00E95582"/>
    <w:rsid w:val="00E95C31"/>
    <w:rsid w:val="00E95D8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4C3C"/>
    <w:rsid w:val="00EA545D"/>
    <w:rsid w:val="00EA5B14"/>
    <w:rsid w:val="00EA5D04"/>
    <w:rsid w:val="00EA67B0"/>
    <w:rsid w:val="00EA6ADD"/>
    <w:rsid w:val="00EA6E19"/>
    <w:rsid w:val="00EA7F02"/>
    <w:rsid w:val="00EA7F72"/>
    <w:rsid w:val="00EB12F6"/>
    <w:rsid w:val="00EB29A2"/>
    <w:rsid w:val="00EB2BDB"/>
    <w:rsid w:val="00EB3A59"/>
    <w:rsid w:val="00EB42D0"/>
    <w:rsid w:val="00EB4551"/>
    <w:rsid w:val="00EB48CA"/>
    <w:rsid w:val="00EB518F"/>
    <w:rsid w:val="00EB5B60"/>
    <w:rsid w:val="00EB6235"/>
    <w:rsid w:val="00EB6240"/>
    <w:rsid w:val="00EC1578"/>
    <w:rsid w:val="00EC15B5"/>
    <w:rsid w:val="00EC1DE3"/>
    <w:rsid w:val="00EC1FD7"/>
    <w:rsid w:val="00EC313B"/>
    <w:rsid w:val="00EC3A75"/>
    <w:rsid w:val="00EC5686"/>
    <w:rsid w:val="00EC5E45"/>
    <w:rsid w:val="00EC622A"/>
    <w:rsid w:val="00EC68EF"/>
    <w:rsid w:val="00EC6D8C"/>
    <w:rsid w:val="00EC6F97"/>
    <w:rsid w:val="00EC70C4"/>
    <w:rsid w:val="00EC724B"/>
    <w:rsid w:val="00EC7673"/>
    <w:rsid w:val="00ED04E0"/>
    <w:rsid w:val="00ED04E9"/>
    <w:rsid w:val="00ED08D9"/>
    <w:rsid w:val="00ED105E"/>
    <w:rsid w:val="00ED2A07"/>
    <w:rsid w:val="00ED2F42"/>
    <w:rsid w:val="00ED3640"/>
    <w:rsid w:val="00ED3CF3"/>
    <w:rsid w:val="00ED3D0C"/>
    <w:rsid w:val="00ED4B29"/>
    <w:rsid w:val="00ED5065"/>
    <w:rsid w:val="00ED5489"/>
    <w:rsid w:val="00ED570E"/>
    <w:rsid w:val="00ED58D4"/>
    <w:rsid w:val="00ED58D9"/>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B1E"/>
    <w:rsid w:val="00EE6DC7"/>
    <w:rsid w:val="00EF00A8"/>
    <w:rsid w:val="00EF07D8"/>
    <w:rsid w:val="00EF119D"/>
    <w:rsid w:val="00EF1933"/>
    <w:rsid w:val="00EF1BE7"/>
    <w:rsid w:val="00EF1F1B"/>
    <w:rsid w:val="00EF20D2"/>
    <w:rsid w:val="00EF27FF"/>
    <w:rsid w:val="00EF307B"/>
    <w:rsid w:val="00EF30D2"/>
    <w:rsid w:val="00EF328F"/>
    <w:rsid w:val="00EF36AE"/>
    <w:rsid w:val="00EF37DF"/>
    <w:rsid w:val="00EF5092"/>
    <w:rsid w:val="00EF524B"/>
    <w:rsid w:val="00EF54A6"/>
    <w:rsid w:val="00EF5755"/>
    <w:rsid w:val="00EF63FA"/>
    <w:rsid w:val="00EF7132"/>
    <w:rsid w:val="00EF7315"/>
    <w:rsid w:val="00EF7D70"/>
    <w:rsid w:val="00F0090F"/>
    <w:rsid w:val="00F0093D"/>
    <w:rsid w:val="00F00C41"/>
    <w:rsid w:val="00F00C88"/>
    <w:rsid w:val="00F00E06"/>
    <w:rsid w:val="00F01053"/>
    <w:rsid w:val="00F017AD"/>
    <w:rsid w:val="00F01A26"/>
    <w:rsid w:val="00F01B08"/>
    <w:rsid w:val="00F03DF9"/>
    <w:rsid w:val="00F0463E"/>
    <w:rsid w:val="00F04A62"/>
    <w:rsid w:val="00F04BCD"/>
    <w:rsid w:val="00F05426"/>
    <w:rsid w:val="00F0570D"/>
    <w:rsid w:val="00F05C6B"/>
    <w:rsid w:val="00F06274"/>
    <w:rsid w:val="00F06F92"/>
    <w:rsid w:val="00F10275"/>
    <w:rsid w:val="00F10417"/>
    <w:rsid w:val="00F1105C"/>
    <w:rsid w:val="00F119C9"/>
    <w:rsid w:val="00F11DEB"/>
    <w:rsid w:val="00F12A45"/>
    <w:rsid w:val="00F132A7"/>
    <w:rsid w:val="00F14708"/>
    <w:rsid w:val="00F147E5"/>
    <w:rsid w:val="00F14A55"/>
    <w:rsid w:val="00F14D28"/>
    <w:rsid w:val="00F14F2A"/>
    <w:rsid w:val="00F15B29"/>
    <w:rsid w:val="00F16251"/>
    <w:rsid w:val="00F16C94"/>
    <w:rsid w:val="00F174DA"/>
    <w:rsid w:val="00F17FCC"/>
    <w:rsid w:val="00F204B3"/>
    <w:rsid w:val="00F204F1"/>
    <w:rsid w:val="00F20D6E"/>
    <w:rsid w:val="00F213B6"/>
    <w:rsid w:val="00F218E7"/>
    <w:rsid w:val="00F222F9"/>
    <w:rsid w:val="00F227BD"/>
    <w:rsid w:val="00F23069"/>
    <w:rsid w:val="00F2389A"/>
    <w:rsid w:val="00F23A8A"/>
    <w:rsid w:val="00F252F9"/>
    <w:rsid w:val="00F25362"/>
    <w:rsid w:val="00F259BE"/>
    <w:rsid w:val="00F266EE"/>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881"/>
    <w:rsid w:val="00F4027D"/>
    <w:rsid w:val="00F40427"/>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9B7"/>
    <w:rsid w:val="00F47A1B"/>
    <w:rsid w:val="00F47D07"/>
    <w:rsid w:val="00F50901"/>
    <w:rsid w:val="00F51242"/>
    <w:rsid w:val="00F516F7"/>
    <w:rsid w:val="00F521A7"/>
    <w:rsid w:val="00F52F24"/>
    <w:rsid w:val="00F52F94"/>
    <w:rsid w:val="00F5346E"/>
    <w:rsid w:val="00F53761"/>
    <w:rsid w:val="00F5408C"/>
    <w:rsid w:val="00F55681"/>
    <w:rsid w:val="00F55B56"/>
    <w:rsid w:val="00F56027"/>
    <w:rsid w:val="00F566FE"/>
    <w:rsid w:val="00F60AE3"/>
    <w:rsid w:val="00F6196F"/>
    <w:rsid w:val="00F61EF0"/>
    <w:rsid w:val="00F6262A"/>
    <w:rsid w:val="00F62B9B"/>
    <w:rsid w:val="00F62F2C"/>
    <w:rsid w:val="00F63404"/>
    <w:rsid w:val="00F635DA"/>
    <w:rsid w:val="00F637C6"/>
    <w:rsid w:val="00F64A04"/>
    <w:rsid w:val="00F64E6D"/>
    <w:rsid w:val="00F6540D"/>
    <w:rsid w:val="00F6546B"/>
    <w:rsid w:val="00F65730"/>
    <w:rsid w:val="00F65BBA"/>
    <w:rsid w:val="00F66124"/>
    <w:rsid w:val="00F662A6"/>
    <w:rsid w:val="00F66825"/>
    <w:rsid w:val="00F669A9"/>
    <w:rsid w:val="00F67CA4"/>
    <w:rsid w:val="00F704AC"/>
    <w:rsid w:val="00F70787"/>
    <w:rsid w:val="00F712D7"/>
    <w:rsid w:val="00F71430"/>
    <w:rsid w:val="00F716F3"/>
    <w:rsid w:val="00F717FF"/>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710"/>
    <w:rsid w:val="00F82BBC"/>
    <w:rsid w:val="00F84001"/>
    <w:rsid w:val="00F843B9"/>
    <w:rsid w:val="00F8479D"/>
    <w:rsid w:val="00F84808"/>
    <w:rsid w:val="00F8493E"/>
    <w:rsid w:val="00F85282"/>
    <w:rsid w:val="00F85398"/>
    <w:rsid w:val="00F85714"/>
    <w:rsid w:val="00F85BBF"/>
    <w:rsid w:val="00F85EA0"/>
    <w:rsid w:val="00F85EAF"/>
    <w:rsid w:val="00F86291"/>
    <w:rsid w:val="00F8745C"/>
    <w:rsid w:val="00F87A50"/>
    <w:rsid w:val="00F9003D"/>
    <w:rsid w:val="00F9028F"/>
    <w:rsid w:val="00F903AD"/>
    <w:rsid w:val="00F9047A"/>
    <w:rsid w:val="00F90A9F"/>
    <w:rsid w:val="00F90E27"/>
    <w:rsid w:val="00F9123D"/>
    <w:rsid w:val="00F9315C"/>
    <w:rsid w:val="00F93FD1"/>
    <w:rsid w:val="00F9400A"/>
    <w:rsid w:val="00F94B8A"/>
    <w:rsid w:val="00F950B6"/>
    <w:rsid w:val="00F95286"/>
    <w:rsid w:val="00F955FA"/>
    <w:rsid w:val="00F95888"/>
    <w:rsid w:val="00F96793"/>
    <w:rsid w:val="00F96E0B"/>
    <w:rsid w:val="00F96E1C"/>
    <w:rsid w:val="00F96E47"/>
    <w:rsid w:val="00F96E6B"/>
    <w:rsid w:val="00FA03B3"/>
    <w:rsid w:val="00FA03FE"/>
    <w:rsid w:val="00FA10CF"/>
    <w:rsid w:val="00FA2980"/>
    <w:rsid w:val="00FA3305"/>
    <w:rsid w:val="00FA37A4"/>
    <w:rsid w:val="00FA3CB2"/>
    <w:rsid w:val="00FA4F11"/>
    <w:rsid w:val="00FA727B"/>
    <w:rsid w:val="00FB04DE"/>
    <w:rsid w:val="00FB18A1"/>
    <w:rsid w:val="00FB295A"/>
    <w:rsid w:val="00FB2E78"/>
    <w:rsid w:val="00FB31DA"/>
    <w:rsid w:val="00FB3225"/>
    <w:rsid w:val="00FB410A"/>
    <w:rsid w:val="00FB42CD"/>
    <w:rsid w:val="00FB4E6E"/>
    <w:rsid w:val="00FB4E87"/>
    <w:rsid w:val="00FB5461"/>
    <w:rsid w:val="00FB5686"/>
    <w:rsid w:val="00FB5D5D"/>
    <w:rsid w:val="00FB5E7F"/>
    <w:rsid w:val="00FB676F"/>
    <w:rsid w:val="00FB6891"/>
    <w:rsid w:val="00FB6C89"/>
    <w:rsid w:val="00FB71A2"/>
    <w:rsid w:val="00FB7604"/>
    <w:rsid w:val="00FB7D61"/>
    <w:rsid w:val="00FC18B6"/>
    <w:rsid w:val="00FC21AA"/>
    <w:rsid w:val="00FC3CF8"/>
    <w:rsid w:val="00FC3DDC"/>
    <w:rsid w:val="00FC4651"/>
    <w:rsid w:val="00FC477D"/>
    <w:rsid w:val="00FC66AE"/>
    <w:rsid w:val="00FC6FD7"/>
    <w:rsid w:val="00FD1234"/>
    <w:rsid w:val="00FD377F"/>
    <w:rsid w:val="00FD3C2B"/>
    <w:rsid w:val="00FD4447"/>
    <w:rsid w:val="00FD45FA"/>
    <w:rsid w:val="00FD460D"/>
    <w:rsid w:val="00FD4A71"/>
    <w:rsid w:val="00FD4B25"/>
    <w:rsid w:val="00FD5422"/>
    <w:rsid w:val="00FD5B4F"/>
    <w:rsid w:val="00FD5B77"/>
    <w:rsid w:val="00FD5D89"/>
    <w:rsid w:val="00FD5E00"/>
    <w:rsid w:val="00FD6022"/>
    <w:rsid w:val="00FD60EC"/>
    <w:rsid w:val="00FD6C87"/>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3F9A"/>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3EE17"/>
  <w15:docId w15:val="{19B0ECA9-AE50-41B1-AAA1-7AC44161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2C6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417508883">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1598-8A23-4752-BD48-0F7A9548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8</TotalTime>
  <Pages>12</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G MALINDI J</cp:keywords>
  <cp:lastModifiedBy>Awelani Thangavhuelelo</cp:lastModifiedBy>
  <cp:revision>3</cp:revision>
  <cp:lastPrinted>2021-08-22T14:21:00Z</cp:lastPrinted>
  <dcterms:created xsi:type="dcterms:W3CDTF">2022-06-10T10:54:00Z</dcterms:created>
  <dcterms:modified xsi:type="dcterms:W3CDTF">2022-06-10T10:56:00Z</dcterms:modified>
</cp:coreProperties>
</file>