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4BAA9031" w:rsidR="00200386" w:rsidRDefault="00ED2FC5" w:rsidP="00200386">
      <w:pPr>
        <w:spacing w:before="120" w:after="120" w:line="360" w:lineRule="auto"/>
        <w:ind w:left="661" w:hangingChars="236" w:hanging="661"/>
        <w:rPr>
          <w:rFonts w:ascii="Arial" w:eastAsia="Times New Roman" w:hAnsi="Arial" w:cs="Arial"/>
          <w:sz w:val="28"/>
          <w:szCs w:val="28"/>
          <w:lang w:eastAsia="en-GB"/>
        </w:rPr>
      </w:pPr>
      <w:r w:rsidRPr="00665539">
        <w:rPr>
          <w:rFonts w:ascii="Arial" w:hAnsi="Arial" w:cs="Arial"/>
          <w:b/>
          <w:noProof/>
          <w:sz w:val="28"/>
          <w:szCs w:val="28"/>
          <w:lang w:val="en-US"/>
        </w:rPr>
        <w:drawing>
          <wp:anchor distT="0" distB="0" distL="114300" distR="114300" simplePos="0" relativeHeight="251660288" behindDoc="0" locked="0" layoutInCell="1" allowOverlap="1" wp14:anchorId="5337FCBA" wp14:editId="25BD28B5">
            <wp:simplePos x="0" y="0"/>
            <wp:positionH relativeFrom="margin">
              <wp:align>center</wp:align>
            </wp:positionH>
            <wp:positionV relativeFrom="paragraph">
              <wp:posOffset>190500</wp:posOffset>
            </wp:positionV>
            <wp:extent cx="1352550" cy="1352550"/>
            <wp:effectExtent l="0" t="0" r="0" b="0"/>
            <wp:wrapSquare wrapText="bothSides"/>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p>
    <w:p w14:paraId="696A8FCD" w14:textId="77777777" w:rsidR="00ED2FC5" w:rsidRPr="00665539" w:rsidRDefault="00200386" w:rsidP="00200386">
      <w:pPr>
        <w:spacing w:before="120" w:after="120" w:line="360" w:lineRule="auto"/>
        <w:ind w:left="661" w:hangingChars="236" w:hanging="661"/>
        <w:rPr>
          <w:rFonts w:ascii="Arial" w:eastAsia="Times New Roman" w:hAnsi="Arial" w:cs="Arial"/>
          <w:sz w:val="28"/>
          <w:szCs w:val="28"/>
          <w:lang w:eastAsia="en-GB"/>
        </w:rPr>
      </w:pPr>
      <w:bookmarkStart w:id="0" w:name="_GoBack"/>
      <w:bookmarkEnd w:id="0"/>
      <w:r>
        <w:rPr>
          <w:rFonts w:ascii="Arial" w:eastAsia="Times New Roman" w:hAnsi="Arial" w:cs="Arial"/>
          <w:sz w:val="28"/>
          <w:szCs w:val="28"/>
          <w:lang w:eastAsia="en-GB"/>
        </w:rPr>
        <w:br w:type="textWrapping" w:clear="all"/>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590E5EC"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CF0644">
        <w:rPr>
          <w:rFonts w:ascii="Arial" w:eastAsia="Times New Roman" w:hAnsi="Arial" w:cs="Arial"/>
          <w:sz w:val="28"/>
          <w:szCs w:val="28"/>
          <w:lang w:eastAsia="en-GB"/>
        </w:rPr>
        <w:t>33259/2021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B94EBE" w:rsidRDefault="00B94EBE" w:rsidP="00ED2FC5">
                            <w:pPr>
                              <w:jc w:val="center"/>
                              <w:rPr>
                                <w:rFonts w:ascii="Century Gothic" w:hAnsi="Century Gothic"/>
                                <w:b/>
                                <w:sz w:val="20"/>
                                <w:szCs w:val="20"/>
                              </w:rPr>
                            </w:pPr>
                          </w:p>
                          <w:p w14:paraId="2B4C2A7A" w14:textId="2AECD91E" w:rsidR="00B94EBE" w:rsidRDefault="00B94EBE"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B94EBE" w:rsidRDefault="00B94EBE"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B94EBE" w:rsidRDefault="00B94EBE"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B94EBE" w:rsidRDefault="00B94EBE"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6359587" w:rsidR="00B94EBE" w:rsidRDefault="001600C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A11AB7">
                              <w:rPr>
                                <w:rFonts w:ascii="Century Gothic" w:hAnsi="Century Gothic"/>
                                <w:sz w:val="20"/>
                                <w:szCs w:val="20"/>
                              </w:rPr>
                              <w:t>4</w:t>
                            </w:r>
                            <w:r>
                              <w:rPr>
                                <w:rFonts w:ascii="Century Gothic" w:hAnsi="Century Gothic"/>
                                <w:sz w:val="20"/>
                                <w:szCs w:val="20"/>
                              </w:rPr>
                              <w:t xml:space="preserve"> July</w:t>
                            </w:r>
                            <w:r w:rsidR="00B94EBE">
                              <w:rPr>
                                <w:rFonts w:ascii="Century Gothic" w:hAnsi="Century Gothic"/>
                                <w:sz w:val="20"/>
                                <w:szCs w:val="20"/>
                              </w:rPr>
                              <w:t xml:space="preserve"> 2022 </w:t>
                            </w:r>
                            <w:r w:rsidR="00B94EBE">
                              <w:rPr>
                                <w:rFonts w:ascii="Century Gothic" w:hAnsi="Century Gothic"/>
                                <w:sz w:val="20"/>
                                <w:szCs w:val="20"/>
                              </w:rPr>
                              <w:tab/>
                              <w:t>E van der Schyff</w:t>
                            </w:r>
                          </w:p>
                          <w:p w14:paraId="1F64CB6E" w14:textId="77777777" w:rsidR="00B94EBE" w:rsidRDefault="00B94EBE"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B94EBE" w:rsidRDefault="00B94EBE" w:rsidP="00ED2FC5">
                      <w:pPr>
                        <w:jc w:val="center"/>
                        <w:rPr>
                          <w:rFonts w:ascii="Century Gothic" w:hAnsi="Century Gothic"/>
                          <w:b/>
                          <w:sz w:val="20"/>
                          <w:szCs w:val="20"/>
                        </w:rPr>
                      </w:pPr>
                    </w:p>
                    <w:p w14:paraId="2B4C2A7A" w14:textId="2AECD91E" w:rsidR="00B94EBE" w:rsidRDefault="00B94EBE"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B94EBE" w:rsidRDefault="00B94EBE"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B94EBE" w:rsidRDefault="00B94EBE"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B94EBE" w:rsidRDefault="00B94EBE"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6359587" w:rsidR="00B94EBE" w:rsidRDefault="001600C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A11AB7">
                        <w:rPr>
                          <w:rFonts w:ascii="Century Gothic" w:hAnsi="Century Gothic"/>
                          <w:sz w:val="20"/>
                          <w:szCs w:val="20"/>
                        </w:rPr>
                        <w:t>4</w:t>
                      </w:r>
                      <w:r>
                        <w:rPr>
                          <w:rFonts w:ascii="Century Gothic" w:hAnsi="Century Gothic"/>
                          <w:sz w:val="20"/>
                          <w:szCs w:val="20"/>
                        </w:rPr>
                        <w:t xml:space="preserve"> July</w:t>
                      </w:r>
                      <w:r w:rsidR="00B94EBE">
                        <w:rPr>
                          <w:rFonts w:ascii="Century Gothic" w:hAnsi="Century Gothic"/>
                          <w:sz w:val="20"/>
                          <w:szCs w:val="20"/>
                        </w:rPr>
                        <w:t xml:space="preserve"> 2022 </w:t>
                      </w:r>
                      <w:r w:rsidR="00B94EBE">
                        <w:rPr>
                          <w:rFonts w:ascii="Century Gothic" w:hAnsi="Century Gothic"/>
                          <w:sz w:val="20"/>
                          <w:szCs w:val="20"/>
                        </w:rPr>
                        <w:tab/>
                        <w:t>E van der Schyff</w:t>
                      </w:r>
                    </w:p>
                    <w:p w14:paraId="1F64CB6E" w14:textId="77777777" w:rsidR="00B94EBE" w:rsidRDefault="00B94EBE"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7EE40310"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268764F0" w14:textId="7F8FD715" w:rsidR="00690EC2" w:rsidRDefault="00190A23" w:rsidP="00690EC2">
      <w:pPr>
        <w:tabs>
          <w:tab w:val="left" w:pos="4917"/>
        </w:tabs>
        <w:spacing w:before="120" w:after="0" w:line="360" w:lineRule="auto"/>
        <w:rPr>
          <w:rFonts w:ascii="Arial" w:hAnsi="Arial" w:cs="Arial"/>
          <w:sz w:val="24"/>
          <w:szCs w:val="24"/>
        </w:rPr>
      </w:pPr>
      <w:r>
        <w:rPr>
          <w:rFonts w:ascii="Arial" w:hAnsi="Arial" w:cs="Arial"/>
          <w:sz w:val="24"/>
          <w:szCs w:val="24"/>
        </w:rPr>
        <w:t>XOLISWA TINI</w:t>
      </w:r>
      <w:r w:rsidR="00690EC2">
        <w:rPr>
          <w:rFonts w:ascii="Arial" w:hAnsi="Arial" w:cs="Arial"/>
          <w:sz w:val="24"/>
          <w:szCs w:val="24"/>
        </w:rPr>
        <w:t xml:space="preserve"> FACILITIES MANAGEMENT </w:t>
      </w:r>
    </w:p>
    <w:p w14:paraId="0C56680A" w14:textId="0F85ADB9" w:rsidR="00690EC2" w:rsidRDefault="00690EC2" w:rsidP="00690EC2">
      <w:pPr>
        <w:tabs>
          <w:tab w:val="left" w:pos="4917"/>
        </w:tabs>
        <w:spacing w:after="120" w:line="360" w:lineRule="auto"/>
        <w:rPr>
          <w:rFonts w:ascii="Arial" w:hAnsi="Arial" w:cs="Arial"/>
          <w:sz w:val="24"/>
          <w:szCs w:val="24"/>
        </w:rPr>
      </w:pPr>
      <w:r>
        <w:rPr>
          <w:rFonts w:ascii="Arial" w:hAnsi="Arial" w:cs="Arial"/>
          <w:sz w:val="24"/>
          <w:szCs w:val="24"/>
        </w:rPr>
        <w:t>SERVICES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APPLICANT</w:t>
      </w:r>
    </w:p>
    <w:p w14:paraId="67AFE539" w14:textId="439559C4" w:rsidR="00690EC2" w:rsidRDefault="00690EC2"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1CD0A34" w14:textId="16665113" w:rsidR="00690EC2" w:rsidRDefault="00690EC2" w:rsidP="009C6780">
      <w:pPr>
        <w:tabs>
          <w:tab w:val="left" w:pos="4917"/>
        </w:tabs>
        <w:spacing w:before="120" w:after="120" w:line="360" w:lineRule="auto"/>
        <w:rPr>
          <w:rFonts w:ascii="Arial" w:hAnsi="Arial" w:cs="Arial"/>
          <w:sz w:val="24"/>
          <w:szCs w:val="24"/>
        </w:rPr>
      </w:pPr>
      <w:r>
        <w:rPr>
          <w:rFonts w:ascii="Arial" w:hAnsi="Arial" w:cs="Arial"/>
          <w:sz w:val="24"/>
          <w:szCs w:val="24"/>
        </w:rPr>
        <w:t>MINISTER OF PUBLIC WORKS AND INFRASTRUCTURE</w:t>
      </w:r>
      <w:r>
        <w:rPr>
          <w:rFonts w:ascii="Arial" w:hAnsi="Arial" w:cs="Arial"/>
          <w:sz w:val="24"/>
          <w:szCs w:val="24"/>
        </w:rPr>
        <w:tab/>
        <w:t>FIRST RESPONDENT</w:t>
      </w:r>
    </w:p>
    <w:p w14:paraId="2028791A" w14:textId="77777777" w:rsidR="00690EC2" w:rsidRDefault="00690EC2" w:rsidP="00690EC2">
      <w:pPr>
        <w:tabs>
          <w:tab w:val="left" w:pos="4917"/>
        </w:tabs>
        <w:spacing w:before="120" w:after="0" w:line="360" w:lineRule="auto"/>
        <w:rPr>
          <w:rFonts w:ascii="Arial" w:hAnsi="Arial" w:cs="Arial"/>
          <w:sz w:val="24"/>
          <w:szCs w:val="24"/>
        </w:rPr>
      </w:pPr>
      <w:r>
        <w:rPr>
          <w:rFonts w:ascii="Arial" w:hAnsi="Arial" w:cs="Arial"/>
          <w:sz w:val="24"/>
          <w:szCs w:val="24"/>
        </w:rPr>
        <w:t xml:space="preserve">MINISTER OF INTERNATIONAL RELATIONS </w:t>
      </w:r>
    </w:p>
    <w:p w14:paraId="6E410896" w14:textId="6B8CDE88" w:rsidR="00690EC2" w:rsidRDefault="00690EC2" w:rsidP="00690EC2">
      <w:pPr>
        <w:tabs>
          <w:tab w:val="left" w:pos="4917"/>
        </w:tabs>
        <w:spacing w:after="120" w:line="360" w:lineRule="auto"/>
        <w:rPr>
          <w:rFonts w:ascii="Arial" w:hAnsi="Arial" w:cs="Arial"/>
          <w:sz w:val="24"/>
          <w:szCs w:val="24"/>
        </w:rPr>
      </w:pPr>
      <w:r>
        <w:rPr>
          <w:rFonts w:ascii="Arial" w:hAnsi="Arial" w:cs="Arial"/>
          <w:sz w:val="24"/>
          <w:szCs w:val="24"/>
        </w:rPr>
        <w:t>AND COOPERATION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1641F388" w14:textId="6F6C72A4" w:rsidR="00690EC2" w:rsidRDefault="00690EC2" w:rsidP="00690EC2">
      <w:pPr>
        <w:tabs>
          <w:tab w:val="left" w:pos="4917"/>
        </w:tabs>
        <w:spacing w:after="120" w:line="360" w:lineRule="auto"/>
        <w:rPr>
          <w:rFonts w:ascii="Arial" w:hAnsi="Arial" w:cs="Arial"/>
          <w:sz w:val="24"/>
          <w:szCs w:val="24"/>
        </w:rPr>
      </w:pPr>
      <w:r>
        <w:rPr>
          <w:rFonts w:ascii="Arial" w:hAnsi="Arial" w:cs="Arial"/>
          <w:sz w:val="24"/>
          <w:szCs w:val="24"/>
        </w:rPr>
        <w:t>OMAROSTAX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THIRD RESPONDENT</w:t>
      </w:r>
    </w:p>
    <w:p w14:paraId="2E76FF48" w14:textId="4D6993FC" w:rsidR="00690EC2" w:rsidRDefault="00690EC2" w:rsidP="00690EC2">
      <w:pPr>
        <w:tabs>
          <w:tab w:val="left" w:pos="4917"/>
        </w:tabs>
        <w:spacing w:after="120" w:line="360" w:lineRule="auto"/>
        <w:rPr>
          <w:rFonts w:ascii="Arial" w:hAnsi="Arial" w:cs="Arial"/>
          <w:sz w:val="24"/>
          <w:szCs w:val="24"/>
        </w:rPr>
      </w:pPr>
      <w:r>
        <w:rPr>
          <w:rFonts w:ascii="Arial" w:hAnsi="Arial" w:cs="Arial"/>
          <w:sz w:val="24"/>
          <w:szCs w:val="24"/>
        </w:rPr>
        <w:t>LICIAFIN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FOURTH RESPONDENT</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lastRenderedPageBreak/>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29C8ADD8" w14:textId="3EDDB303" w:rsidR="00EA4756" w:rsidRDefault="00690EC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On 27 November 2020, the first respondent (the DPW) issued and advertised a tender, under tender number H20/011PF</w:t>
      </w:r>
      <w:r w:rsidR="004209D9">
        <w:rPr>
          <w:rFonts w:ascii="Arial" w:hAnsi="Arial" w:cs="Arial"/>
          <w:sz w:val="24"/>
          <w:szCs w:val="24"/>
        </w:rPr>
        <w:t>,</w:t>
      </w:r>
      <w:r>
        <w:rPr>
          <w:rFonts w:ascii="Arial" w:hAnsi="Arial" w:cs="Arial"/>
          <w:sz w:val="24"/>
          <w:szCs w:val="24"/>
        </w:rPr>
        <w:t xml:space="preserve"> for the procurement of alternative office accommodation of 12 146m</w:t>
      </w:r>
      <w:r w:rsidR="00B04A27">
        <w:rPr>
          <w:rFonts w:ascii="Arial" w:hAnsi="Arial" w:cs="Arial"/>
          <w:sz w:val="24"/>
          <w:szCs w:val="24"/>
          <w:vertAlign w:val="superscript"/>
        </w:rPr>
        <w:t>2</w:t>
      </w:r>
      <w:r w:rsidR="00B04A27" w:rsidRPr="00B04A27">
        <w:rPr>
          <w:rFonts w:ascii="Arial" w:hAnsi="Arial" w:cs="Arial"/>
          <w:sz w:val="24"/>
          <w:szCs w:val="24"/>
        </w:rPr>
        <w:t xml:space="preserve"> and</w:t>
      </w:r>
      <w:r>
        <w:rPr>
          <w:rFonts w:ascii="Arial" w:hAnsi="Arial" w:cs="Arial"/>
          <w:sz w:val="24"/>
          <w:szCs w:val="24"/>
        </w:rPr>
        <w:t xml:space="preserve"> 528 parking bays for a period of 5 years</w:t>
      </w:r>
      <w:r w:rsidR="00390A6D">
        <w:rPr>
          <w:rFonts w:ascii="Arial" w:hAnsi="Arial" w:cs="Arial"/>
          <w:sz w:val="24"/>
          <w:szCs w:val="24"/>
        </w:rPr>
        <w:t>, for the second respondent</w:t>
      </w:r>
      <w:r w:rsidR="001A15F9">
        <w:rPr>
          <w:rFonts w:ascii="Arial" w:hAnsi="Arial" w:cs="Arial"/>
          <w:sz w:val="24"/>
          <w:szCs w:val="24"/>
        </w:rPr>
        <w:t xml:space="preserve"> (DIRCO)</w:t>
      </w:r>
      <w:r w:rsidR="00390A6D">
        <w:rPr>
          <w:rFonts w:ascii="Arial" w:hAnsi="Arial" w:cs="Arial"/>
          <w:sz w:val="24"/>
          <w:szCs w:val="24"/>
        </w:rPr>
        <w:t xml:space="preserve">. The initial </w:t>
      </w:r>
      <w:r w:rsidR="00B04A27">
        <w:rPr>
          <w:rFonts w:ascii="Arial" w:hAnsi="Arial" w:cs="Arial"/>
          <w:sz w:val="24"/>
          <w:szCs w:val="24"/>
        </w:rPr>
        <w:t>submission closing date</w:t>
      </w:r>
      <w:r w:rsidR="00200386">
        <w:rPr>
          <w:rFonts w:ascii="Arial" w:hAnsi="Arial" w:cs="Arial"/>
          <w:sz w:val="24"/>
          <w:szCs w:val="24"/>
        </w:rPr>
        <w:t xml:space="preserve"> </w:t>
      </w:r>
      <w:r w:rsidR="00390A6D">
        <w:rPr>
          <w:rFonts w:ascii="Arial" w:hAnsi="Arial" w:cs="Arial"/>
          <w:sz w:val="24"/>
          <w:szCs w:val="24"/>
        </w:rPr>
        <w:t>was 18 December 2020</w:t>
      </w:r>
      <w:r w:rsidR="004209D9">
        <w:rPr>
          <w:rFonts w:ascii="Arial" w:hAnsi="Arial" w:cs="Arial"/>
          <w:sz w:val="24"/>
          <w:szCs w:val="24"/>
        </w:rPr>
        <w:t>,</w:t>
      </w:r>
      <w:r w:rsidR="00390A6D">
        <w:rPr>
          <w:rFonts w:ascii="Arial" w:hAnsi="Arial" w:cs="Arial"/>
          <w:sz w:val="24"/>
          <w:szCs w:val="24"/>
        </w:rPr>
        <w:t xml:space="preserve"> but </w:t>
      </w:r>
      <w:r w:rsidR="00200386">
        <w:rPr>
          <w:rFonts w:ascii="Arial" w:hAnsi="Arial" w:cs="Arial"/>
          <w:sz w:val="24"/>
          <w:szCs w:val="24"/>
        </w:rPr>
        <w:t xml:space="preserve">the date </w:t>
      </w:r>
      <w:r w:rsidR="00390A6D">
        <w:rPr>
          <w:rFonts w:ascii="Arial" w:hAnsi="Arial" w:cs="Arial"/>
          <w:sz w:val="24"/>
          <w:szCs w:val="24"/>
        </w:rPr>
        <w:t>was changed to 22 January 2021 in an erratum published on 4 December 2020. The advertisement and tender document recor</w:t>
      </w:r>
      <w:r w:rsidR="00200386">
        <w:rPr>
          <w:rFonts w:ascii="Arial" w:hAnsi="Arial" w:cs="Arial"/>
          <w:sz w:val="24"/>
          <w:szCs w:val="24"/>
        </w:rPr>
        <w:t>d</w:t>
      </w:r>
      <w:r w:rsidR="0076196C">
        <w:rPr>
          <w:rFonts w:ascii="Arial" w:hAnsi="Arial" w:cs="Arial"/>
          <w:sz w:val="24"/>
          <w:szCs w:val="24"/>
        </w:rPr>
        <w:t xml:space="preserve"> that</w:t>
      </w:r>
      <w:r w:rsidR="00200386">
        <w:rPr>
          <w:rFonts w:ascii="Arial" w:hAnsi="Arial" w:cs="Arial"/>
          <w:sz w:val="24"/>
          <w:szCs w:val="24"/>
        </w:rPr>
        <w:t xml:space="preserve"> a minimum functionality score of</w:t>
      </w:r>
      <w:r w:rsidR="004209D9">
        <w:rPr>
          <w:rFonts w:ascii="Arial" w:hAnsi="Arial" w:cs="Arial"/>
          <w:sz w:val="24"/>
          <w:szCs w:val="24"/>
        </w:rPr>
        <w:t xml:space="preserve"> 50% had to be</w:t>
      </w:r>
      <w:r w:rsidR="0076196C">
        <w:rPr>
          <w:rFonts w:ascii="Arial" w:hAnsi="Arial" w:cs="Arial"/>
          <w:sz w:val="24"/>
          <w:szCs w:val="24"/>
        </w:rPr>
        <w:t xml:space="preserve"> met for further evaluation on price and preference.</w:t>
      </w:r>
      <w:r w:rsidR="00ED6656">
        <w:rPr>
          <w:rStyle w:val="FootnoteReference"/>
          <w:rFonts w:ascii="Arial" w:hAnsi="Arial" w:cs="Arial"/>
          <w:sz w:val="24"/>
          <w:szCs w:val="24"/>
        </w:rPr>
        <w:footnoteReference w:id="1"/>
      </w:r>
      <w:r w:rsidR="0076196C">
        <w:rPr>
          <w:rFonts w:ascii="Arial" w:hAnsi="Arial" w:cs="Arial"/>
          <w:sz w:val="24"/>
          <w:szCs w:val="24"/>
        </w:rPr>
        <w:t xml:space="preserve"> </w:t>
      </w:r>
    </w:p>
    <w:p w14:paraId="620FA939" w14:textId="77777777" w:rsidR="00390A6D" w:rsidRDefault="00390A6D" w:rsidP="00390A6D">
      <w:pPr>
        <w:pStyle w:val="ListParagraph"/>
        <w:tabs>
          <w:tab w:val="left" w:pos="4917"/>
        </w:tabs>
        <w:spacing w:before="120" w:after="120" w:line="360" w:lineRule="auto"/>
        <w:jc w:val="both"/>
        <w:rPr>
          <w:rFonts w:ascii="Arial" w:hAnsi="Arial" w:cs="Arial"/>
          <w:sz w:val="24"/>
          <w:szCs w:val="24"/>
        </w:rPr>
      </w:pPr>
    </w:p>
    <w:p w14:paraId="2EE141BD" w14:textId="420356FC" w:rsidR="00390A6D" w:rsidRDefault="00390A6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 and five other parties submitted bids. The DPW bid evaluation committee (the BEC) met on 16 February 2021 to evaluate the bids. All the bids were found to be responsive. The BEC convened again on 8 March 2021 and evaluated the bids on functionality.</w:t>
      </w:r>
      <w:r w:rsidR="0076196C">
        <w:rPr>
          <w:rFonts w:ascii="Arial" w:hAnsi="Arial" w:cs="Arial"/>
          <w:sz w:val="24"/>
          <w:szCs w:val="24"/>
        </w:rPr>
        <w:t xml:space="preserve"> </w:t>
      </w:r>
      <w:r>
        <w:rPr>
          <w:rFonts w:ascii="Arial" w:hAnsi="Arial" w:cs="Arial"/>
          <w:sz w:val="24"/>
          <w:szCs w:val="24"/>
        </w:rPr>
        <w:t xml:space="preserve">One of the bidders was disqualified for offering land instead of an existing building. Some bidders were eliminated for not scoring a minimum </w:t>
      </w:r>
      <w:r w:rsidR="00FD032C">
        <w:rPr>
          <w:rFonts w:ascii="Arial" w:hAnsi="Arial" w:cs="Arial"/>
          <w:sz w:val="24"/>
          <w:szCs w:val="24"/>
        </w:rPr>
        <w:t xml:space="preserve">of </w:t>
      </w:r>
      <w:r>
        <w:rPr>
          <w:rFonts w:ascii="Arial" w:hAnsi="Arial" w:cs="Arial"/>
          <w:sz w:val="24"/>
          <w:szCs w:val="24"/>
        </w:rPr>
        <w:t>5</w:t>
      </w:r>
      <w:r w:rsidR="00FD032C">
        <w:rPr>
          <w:rFonts w:ascii="Arial" w:hAnsi="Arial" w:cs="Arial"/>
          <w:sz w:val="24"/>
          <w:szCs w:val="24"/>
        </w:rPr>
        <w:t>0</w:t>
      </w:r>
      <w:r>
        <w:rPr>
          <w:rFonts w:ascii="Arial" w:hAnsi="Arial" w:cs="Arial"/>
          <w:sz w:val="24"/>
          <w:szCs w:val="24"/>
        </w:rPr>
        <w:t>%.</w:t>
      </w:r>
    </w:p>
    <w:p w14:paraId="4E3F2ED3" w14:textId="7AB74088" w:rsidR="00EA4756" w:rsidRDefault="00EA4756" w:rsidP="00EA4756">
      <w:pPr>
        <w:pStyle w:val="ListParagraph"/>
        <w:tabs>
          <w:tab w:val="left" w:pos="4917"/>
        </w:tabs>
        <w:spacing w:before="120" w:after="120" w:line="360" w:lineRule="auto"/>
        <w:jc w:val="both"/>
        <w:rPr>
          <w:rFonts w:ascii="Arial" w:hAnsi="Arial" w:cs="Arial"/>
          <w:sz w:val="24"/>
          <w:szCs w:val="24"/>
        </w:rPr>
      </w:pPr>
    </w:p>
    <w:p w14:paraId="0E616C6B" w14:textId="36F8C774" w:rsidR="00EA4756" w:rsidRDefault="0076196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applicant</w:t>
      </w:r>
      <w:r w:rsidR="00200386">
        <w:rPr>
          <w:rFonts w:ascii="Arial" w:hAnsi="Arial" w:cs="Arial"/>
          <w:sz w:val="24"/>
          <w:szCs w:val="24"/>
        </w:rPr>
        <w:t xml:space="preserve"> (</w:t>
      </w:r>
      <w:r w:rsidR="002F0E39">
        <w:rPr>
          <w:rFonts w:ascii="Arial" w:hAnsi="Arial" w:cs="Arial"/>
          <w:sz w:val="24"/>
          <w:szCs w:val="24"/>
        </w:rPr>
        <w:t>XTFM</w:t>
      </w:r>
      <w:r w:rsidR="00FD032C">
        <w:rPr>
          <w:rFonts w:ascii="Arial" w:hAnsi="Arial" w:cs="Arial"/>
          <w:sz w:val="24"/>
          <w:szCs w:val="24"/>
        </w:rPr>
        <w:t>), the third respondent (Oma</w:t>
      </w:r>
      <w:r w:rsidR="005C3458">
        <w:rPr>
          <w:rFonts w:ascii="Arial" w:hAnsi="Arial" w:cs="Arial"/>
          <w:sz w:val="24"/>
          <w:szCs w:val="24"/>
        </w:rPr>
        <w:t>r</w:t>
      </w:r>
      <w:r w:rsidR="00FD032C">
        <w:rPr>
          <w:rFonts w:ascii="Arial" w:hAnsi="Arial" w:cs="Arial"/>
          <w:sz w:val="24"/>
          <w:szCs w:val="24"/>
        </w:rPr>
        <w:t xml:space="preserve">ostax), and the fourth respondent (Liciafin) proceeded to the next level of evaluation. </w:t>
      </w:r>
      <w:r w:rsidR="005C3458">
        <w:rPr>
          <w:rFonts w:ascii="Arial" w:hAnsi="Arial" w:cs="Arial"/>
          <w:sz w:val="24"/>
          <w:szCs w:val="24"/>
        </w:rPr>
        <w:t>Omarostax and Liciafin scored 80% for functionality</w:t>
      </w:r>
      <w:r w:rsidR="004209D9">
        <w:rPr>
          <w:rFonts w:ascii="Arial" w:hAnsi="Arial" w:cs="Arial"/>
          <w:sz w:val="24"/>
          <w:szCs w:val="24"/>
        </w:rPr>
        <w:t>,</w:t>
      </w:r>
      <w:r w:rsidR="005C3458">
        <w:rPr>
          <w:rFonts w:ascii="Arial" w:hAnsi="Arial" w:cs="Arial"/>
          <w:sz w:val="24"/>
          <w:szCs w:val="24"/>
        </w:rPr>
        <w:t xml:space="preserve"> and </w:t>
      </w:r>
      <w:r w:rsidR="002F0E39">
        <w:rPr>
          <w:rFonts w:ascii="Arial" w:hAnsi="Arial" w:cs="Arial"/>
          <w:sz w:val="24"/>
          <w:szCs w:val="24"/>
        </w:rPr>
        <w:t>XTFM</w:t>
      </w:r>
      <w:r w:rsidR="005C3458">
        <w:rPr>
          <w:rFonts w:ascii="Arial" w:hAnsi="Arial" w:cs="Arial"/>
          <w:sz w:val="24"/>
          <w:szCs w:val="24"/>
        </w:rPr>
        <w:t xml:space="preserve"> scored 76%. </w:t>
      </w:r>
      <w:r w:rsidR="00ED6656">
        <w:rPr>
          <w:rFonts w:ascii="Arial" w:hAnsi="Arial" w:cs="Arial"/>
          <w:sz w:val="24"/>
          <w:szCs w:val="24"/>
        </w:rPr>
        <w:t>At</w:t>
      </w:r>
      <w:r w:rsidR="005C3458">
        <w:rPr>
          <w:rFonts w:ascii="Arial" w:hAnsi="Arial" w:cs="Arial"/>
          <w:sz w:val="24"/>
          <w:szCs w:val="24"/>
        </w:rPr>
        <w:t xml:space="preserve"> the meeting </w:t>
      </w:r>
      <w:r w:rsidR="00ED6656">
        <w:rPr>
          <w:rFonts w:ascii="Arial" w:hAnsi="Arial" w:cs="Arial"/>
          <w:sz w:val="24"/>
          <w:szCs w:val="24"/>
        </w:rPr>
        <w:t>on</w:t>
      </w:r>
      <w:r w:rsidR="005C3458">
        <w:rPr>
          <w:rFonts w:ascii="Arial" w:hAnsi="Arial" w:cs="Arial"/>
          <w:sz w:val="24"/>
          <w:szCs w:val="24"/>
        </w:rPr>
        <w:t xml:space="preserve"> 8 March 2021</w:t>
      </w:r>
      <w:r w:rsidR="004209D9">
        <w:rPr>
          <w:rFonts w:ascii="Arial" w:hAnsi="Arial" w:cs="Arial"/>
          <w:sz w:val="24"/>
          <w:szCs w:val="24"/>
        </w:rPr>
        <w:t>,</w:t>
      </w:r>
      <w:r w:rsidR="005C3458">
        <w:rPr>
          <w:rFonts w:ascii="Arial" w:hAnsi="Arial" w:cs="Arial"/>
          <w:sz w:val="24"/>
          <w:szCs w:val="24"/>
        </w:rPr>
        <w:t xml:space="preserve"> the BEC recommended Omarostax as the successful and highest score bidder to the </w:t>
      </w:r>
      <w:r w:rsidR="009B5B53" w:rsidRPr="009B5B53">
        <w:rPr>
          <w:rFonts w:ascii="Arial" w:hAnsi="Arial" w:cs="Arial"/>
          <w:sz w:val="24"/>
          <w:szCs w:val="24"/>
        </w:rPr>
        <w:t>National Bid Adjudication Committee</w:t>
      </w:r>
      <w:r w:rsidR="00ED6656">
        <w:rPr>
          <w:rFonts w:ascii="Arial" w:hAnsi="Arial" w:cs="Arial"/>
          <w:sz w:val="24"/>
          <w:szCs w:val="24"/>
        </w:rPr>
        <w:t xml:space="preserve"> (</w:t>
      </w:r>
      <w:r w:rsidR="005C3458">
        <w:rPr>
          <w:rFonts w:ascii="Arial" w:hAnsi="Arial" w:cs="Arial"/>
          <w:sz w:val="24"/>
          <w:szCs w:val="24"/>
        </w:rPr>
        <w:t>NBACL</w:t>
      </w:r>
      <w:r w:rsidR="00ED6656">
        <w:rPr>
          <w:rFonts w:ascii="Arial" w:hAnsi="Arial" w:cs="Arial"/>
          <w:sz w:val="24"/>
          <w:szCs w:val="24"/>
        </w:rPr>
        <w:t>)</w:t>
      </w:r>
      <w:r w:rsidR="005C3458">
        <w:rPr>
          <w:rFonts w:ascii="Arial" w:hAnsi="Arial" w:cs="Arial"/>
          <w:sz w:val="24"/>
          <w:szCs w:val="24"/>
        </w:rPr>
        <w:t>.</w:t>
      </w:r>
      <w:r w:rsidR="00ED6656">
        <w:rPr>
          <w:rFonts w:ascii="Arial" w:hAnsi="Arial" w:cs="Arial"/>
          <w:sz w:val="24"/>
          <w:szCs w:val="24"/>
        </w:rPr>
        <w:t xml:space="preserve"> </w:t>
      </w:r>
      <w:r w:rsidR="002F0E39">
        <w:rPr>
          <w:rFonts w:ascii="Arial" w:hAnsi="Arial" w:cs="Arial"/>
          <w:sz w:val="24"/>
          <w:szCs w:val="24"/>
        </w:rPr>
        <w:t>XTFM</w:t>
      </w:r>
      <w:r w:rsidR="00ED6656">
        <w:rPr>
          <w:rFonts w:ascii="Arial" w:hAnsi="Arial" w:cs="Arial"/>
          <w:sz w:val="24"/>
          <w:szCs w:val="24"/>
        </w:rPr>
        <w:t xml:space="preserve"> received an email on 10 May 2021 wherein </w:t>
      </w:r>
      <w:r w:rsidR="004209D9">
        <w:rPr>
          <w:rFonts w:ascii="Arial" w:hAnsi="Arial" w:cs="Arial"/>
          <w:sz w:val="24"/>
          <w:szCs w:val="24"/>
        </w:rPr>
        <w:t>the DPW informed</w:t>
      </w:r>
      <w:r w:rsidR="00ED6656">
        <w:rPr>
          <w:rFonts w:ascii="Arial" w:hAnsi="Arial" w:cs="Arial"/>
          <w:sz w:val="24"/>
          <w:szCs w:val="24"/>
        </w:rPr>
        <w:t xml:space="preserve"> that the tender was awarded to Omarostax on 3 May 2021.</w:t>
      </w:r>
    </w:p>
    <w:p w14:paraId="194809C0" w14:textId="77777777" w:rsidR="00EA4756" w:rsidRPr="00EA4756" w:rsidRDefault="00EA4756" w:rsidP="00EA4756">
      <w:pPr>
        <w:pStyle w:val="ListParagraph"/>
        <w:rPr>
          <w:rFonts w:ascii="Arial" w:hAnsi="Arial" w:cs="Arial"/>
          <w:sz w:val="24"/>
          <w:szCs w:val="24"/>
        </w:rPr>
      </w:pPr>
    </w:p>
    <w:p w14:paraId="3738AA62" w14:textId="4A677D53" w:rsidR="00EA4756" w:rsidRDefault="002F0E3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XTFM</w:t>
      </w:r>
      <w:r w:rsidR="00ED6656">
        <w:rPr>
          <w:rFonts w:ascii="Arial" w:hAnsi="Arial" w:cs="Arial"/>
          <w:sz w:val="24"/>
          <w:szCs w:val="24"/>
        </w:rPr>
        <w:t xml:space="preserve"> approached the court on an urgent basis for relief. On 28 July 2021</w:t>
      </w:r>
      <w:r w:rsidR="004209D9">
        <w:rPr>
          <w:rFonts w:ascii="Arial" w:hAnsi="Arial" w:cs="Arial"/>
          <w:sz w:val="24"/>
          <w:szCs w:val="24"/>
        </w:rPr>
        <w:t>,</w:t>
      </w:r>
      <w:r w:rsidR="00ED6656">
        <w:rPr>
          <w:rFonts w:ascii="Arial" w:hAnsi="Arial" w:cs="Arial"/>
          <w:sz w:val="24"/>
          <w:szCs w:val="24"/>
        </w:rPr>
        <w:t xml:space="preserve"> </w:t>
      </w:r>
      <w:r>
        <w:rPr>
          <w:rFonts w:ascii="Arial" w:hAnsi="Arial" w:cs="Arial"/>
          <w:sz w:val="24"/>
          <w:szCs w:val="24"/>
        </w:rPr>
        <w:t>XTFM</w:t>
      </w:r>
      <w:r w:rsidR="00ED6656">
        <w:rPr>
          <w:rFonts w:ascii="Arial" w:hAnsi="Arial" w:cs="Arial"/>
          <w:sz w:val="24"/>
          <w:szCs w:val="24"/>
        </w:rPr>
        <w:t xml:space="preserve"> obtained an order interdicting and restraining the D</w:t>
      </w:r>
      <w:r w:rsidR="00200386">
        <w:rPr>
          <w:rFonts w:ascii="Arial" w:hAnsi="Arial" w:cs="Arial"/>
          <w:sz w:val="24"/>
          <w:szCs w:val="24"/>
        </w:rPr>
        <w:t>P</w:t>
      </w:r>
      <w:r w:rsidR="00ED6656">
        <w:rPr>
          <w:rFonts w:ascii="Arial" w:hAnsi="Arial" w:cs="Arial"/>
          <w:sz w:val="24"/>
          <w:szCs w:val="24"/>
        </w:rPr>
        <w:t xml:space="preserve">W and </w:t>
      </w:r>
      <w:r w:rsidR="00200386">
        <w:rPr>
          <w:rFonts w:ascii="Arial" w:hAnsi="Arial" w:cs="Arial"/>
          <w:sz w:val="24"/>
          <w:szCs w:val="24"/>
        </w:rPr>
        <w:t xml:space="preserve">the </w:t>
      </w:r>
      <w:r w:rsidR="00ED6656">
        <w:rPr>
          <w:rFonts w:ascii="Arial" w:hAnsi="Arial" w:cs="Arial"/>
          <w:sz w:val="24"/>
          <w:szCs w:val="24"/>
        </w:rPr>
        <w:t xml:space="preserve">second respondent from taking any step in </w:t>
      </w:r>
      <w:r w:rsidR="004209D9">
        <w:rPr>
          <w:rFonts w:ascii="Arial" w:hAnsi="Arial" w:cs="Arial"/>
          <w:sz w:val="24"/>
          <w:szCs w:val="24"/>
        </w:rPr>
        <w:t>implementing</w:t>
      </w:r>
      <w:r w:rsidR="00ED6656">
        <w:rPr>
          <w:rFonts w:ascii="Arial" w:hAnsi="Arial" w:cs="Arial"/>
          <w:sz w:val="24"/>
          <w:szCs w:val="24"/>
        </w:rPr>
        <w:t xml:space="preserve"> the award pursuant to the tender process under tender number H20/011PF, pending the finalisation of a review application. This court is </w:t>
      </w:r>
      <w:r w:rsidR="004C5BA7">
        <w:rPr>
          <w:rFonts w:ascii="Arial" w:hAnsi="Arial" w:cs="Arial"/>
          <w:sz w:val="24"/>
          <w:szCs w:val="24"/>
        </w:rPr>
        <w:t xml:space="preserve">tasked with </w:t>
      </w:r>
      <w:r w:rsidR="00ED6656">
        <w:rPr>
          <w:rFonts w:ascii="Arial" w:hAnsi="Arial" w:cs="Arial"/>
          <w:sz w:val="24"/>
          <w:szCs w:val="24"/>
        </w:rPr>
        <w:t>deciding the review application.</w:t>
      </w:r>
    </w:p>
    <w:p w14:paraId="66231B64" w14:textId="77777777" w:rsidR="00B57969" w:rsidRPr="00B57969" w:rsidRDefault="00B57969" w:rsidP="00B57969">
      <w:pPr>
        <w:pStyle w:val="ListParagraph"/>
        <w:rPr>
          <w:rFonts w:ascii="Arial" w:hAnsi="Arial" w:cs="Arial"/>
          <w:sz w:val="24"/>
          <w:szCs w:val="24"/>
        </w:rPr>
      </w:pPr>
    </w:p>
    <w:p w14:paraId="69163B14" w14:textId="77E9DA1F" w:rsidR="00B57969" w:rsidRPr="00B57969" w:rsidRDefault="00B57969" w:rsidP="00B57969">
      <w:pPr>
        <w:tabs>
          <w:tab w:val="left" w:pos="4917"/>
        </w:tabs>
        <w:spacing w:before="120" w:after="120" w:line="360" w:lineRule="auto"/>
        <w:jc w:val="both"/>
        <w:rPr>
          <w:rFonts w:ascii="Arial" w:hAnsi="Arial" w:cs="Arial"/>
          <w:b/>
          <w:sz w:val="24"/>
          <w:szCs w:val="24"/>
        </w:rPr>
      </w:pPr>
      <w:r>
        <w:rPr>
          <w:rFonts w:ascii="Arial" w:hAnsi="Arial" w:cs="Arial"/>
          <w:b/>
          <w:sz w:val="24"/>
          <w:szCs w:val="24"/>
        </w:rPr>
        <w:t>Preliminary and procedural issues</w:t>
      </w:r>
    </w:p>
    <w:p w14:paraId="5E991074" w14:textId="77777777" w:rsidR="00B57969" w:rsidRPr="00B57969" w:rsidRDefault="00B57969" w:rsidP="00B57969">
      <w:pPr>
        <w:pStyle w:val="ListParagraph"/>
        <w:rPr>
          <w:rFonts w:ascii="Arial" w:hAnsi="Arial" w:cs="Arial"/>
          <w:sz w:val="24"/>
          <w:szCs w:val="24"/>
        </w:rPr>
      </w:pPr>
    </w:p>
    <w:p w14:paraId="6F5C097A" w14:textId="676069CF" w:rsidR="00B57969" w:rsidRDefault="00B5796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is common cause that a case-management meeting was held before Ledwaba AJP on 10 March 2022. The purpose of the case-management meeting </w:t>
      </w:r>
      <w:r w:rsidR="004209D9">
        <w:rPr>
          <w:rFonts w:ascii="Arial" w:hAnsi="Arial" w:cs="Arial"/>
          <w:sz w:val="24"/>
          <w:szCs w:val="24"/>
        </w:rPr>
        <w:t>held at the bequest of Omarostax was to get the matter ripe for hearing and</w:t>
      </w:r>
      <w:r>
        <w:rPr>
          <w:rFonts w:ascii="Arial" w:hAnsi="Arial" w:cs="Arial"/>
          <w:sz w:val="24"/>
          <w:szCs w:val="24"/>
        </w:rPr>
        <w:t xml:space="preserve"> obtain a special hearing date. By the time the case-management meeting was held, the filing of affidavits </w:t>
      </w:r>
      <w:r w:rsidR="004209D9">
        <w:rPr>
          <w:rFonts w:ascii="Arial" w:hAnsi="Arial" w:cs="Arial"/>
          <w:sz w:val="24"/>
          <w:szCs w:val="24"/>
        </w:rPr>
        <w:t xml:space="preserve">had </w:t>
      </w:r>
      <w:r>
        <w:rPr>
          <w:rFonts w:ascii="Arial" w:hAnsi="Arial" w:cs="Arial"/>
          <w:sz w:val="24"/>
          <w:szCs w:val="24"/>
        </w:rPr>
        <w:t>already deviated from what is ordinarily allowed in terms of Rule 6.</w:t>
      </w:r>
    </w:p>
    <w:p w14:paraId="1CC6B7DC" w14:textId="77777777" w:rsidR="00B57969" w:rsidRDefault="00B57969" w:rsidP="00B57969">
      <w:pPr>
        <w:pStyle w:val="ListParagraph"/>
        <w:tabs>
          <w:tab w:val="left" w:pos="4917"/>
        </w:tabs>
        <w:spacing w:before="120" w:after="120" w:line="360" w:lineRule="auto"/>
        <w:jc w:val="both"/>
        <w:rPr>
          <w:rFonts w:ascii="Arial" w:hAnsi="Arial" w:cs="Arial"/>
          <w:sz w:val="24"/>
          <w:szCs w:val="24"/>
        </w:rPr>
      </w:pPr>
    </w:p>
    <w:p w14:paraId="73543839" w14:textId="77777777" w:rsidR="00B57969" w:rsidRDefault="00B5796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following affidavits were filed in this application:</w:t>
      </w:r>
    </w:p>
    <w:p w14:paraId="7EBD4435" w14:textId="77777777" w:rsidR="00B57969" w:rsidRPr="00B57969" w:rsidRDefault="00B57969" w:rsidP="00B57969">
      <w:pPr>
        <w:pStyle w:val="ListParagraph"/>
        <w:rPr>
          <w:rFonts w:ascii="Arial" w:hAnsi="Arial" w:cs="Arial"/>
          <w:sz w:val="24"/>
          <w:szCs w:val="24"/>
        </w:rPr>
      </w:pPr>
    </w:p>
    <w:p w14:paraId="6D99349B" w14:textId="3B95262A" w:rsidR="00B57969" w:rsidRDefault="002F0E39"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w:t>
      </w:r>
      <w:r w:rsidR="00B57969">
        <w:rPr>
          <w:rFonts w:ascii="Arial" w:hAnsi="Arial" w:cs="Arial"/>
          <w:sz w:val="24"/>
          <w:szCs w:val="24"/>
        </w:rPr>
        <w:t xml:space="preserve"> filed its founding affidavit when the urgent application was launched;</w:t>
      </w:r>
    </w:p>
    <w:p w14:paraId="150EE00E" w14:textId="0067D6A7" w:rsidR="00B57969" w:rsidRDefault="00C839F3"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DPW filed </w:t>
      </w:r>
      <w:r w:rsidR="00200386">
        <w:rPr>
          <w:rFonts w:ascii="Arial" w:hAnsi="Arial" w:cs="Arial"/>
          <w:sz w:val="24"/>
          <w:szCs w:val="24"/>
        </w:rPr>
        <w:t>an</w:t>
      </w:r>
      <w:r>
        <w:rPr>
          <w:rFonts w:ascii="Arial" w:hAnsi="Arial" w:cs="Arial"/>
          <w:sz w:val="24"/>
          <w:szCs w:val="24"/>
        </w:rPr>
        <w:t xml:space="preserve"> answering affidavit;</w:t>
      </w:r>
    </w:p>
    <w:p w14:paraId="0B29F71A" w14:textId="099481C6" w:rsidR="00C839F3" w:rsidRDefault="002F0E39"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w:t>
      </w:r>
      <w:r w:rsidR="00C839F3">
        <w:rPr>
          <w:rFonts w:ascii="Arial" w:hAnsi="Arial" w:cs="Arial"/>
          <w:sz w:val="24"/>
          <w:szCs w:val="24"/>
        </w:rPr>
        <w:t xml:space="preserve"> filed a replying affidavit;</w:t>
      </w:r>
    </w:p>
    <w:p w14:paraId="071F6DD1" w14:textId="655C2BDC" w:rsidR="00C839F3" w:rsidRDefault="002F0E39"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w:t>
      </w:r>
      <w:r w:rsidR="00C839F3">
        <w:rPr>
          <w:rFonts w:ascii="Arial" w:hAnsi="Arial" w:cs="Arial"/>
          <w:sz w:val="24"/>
          <w:szCs w:val="24"/>
        </w:rPr>
        <w:t xml:space="preserve"> filed a supplementary founding affidavit;</w:t>
      </w:r>
    </w:p>
    <w:p w14:paraId="1C0B80A6" w14:textId="16F58154" w:rsidR="009A6A0A" w:rsidRDefault="009A6A0A"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 filed a ‘further’ supplementary founding affidavit;</w:t>
      </w:r>
    </w:p>
    <w:p w14:paraId="511DC708" w14:textId="71B752E8" w:rsidR="00C839F3" w:rsidRDefault="00200386"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Omar</w:t>
      </w:r>
      <w:r w:rsidR="00C839F3">
        <w:rPr>
          <w:rFonts w:ascii="Arial" w:hAnsi="Arial" w:cs="Arial"/>
          <w:sz w:val="24"/>
          <w:szCs w:val="24"/>
        </w:rPr>
        <w:t xml:space="preserve">ostax filed an answering affidavit to </w:t>
      </w:r>
      <w:r w:rsidR="002F0E39">
        <w:rPr>
          <w:rFonts w:ascii="Arial" w:hAnsi="Arial" w:cs="Arial"/>
          <w:sz w:val="24"/>
          <w:szCs w:val="24"/>
        </w:rPr>
        <w:t>XTFM</w:t>
      </w:r>
      <w:r w:rsidR="00646017">
        <w:rPr>
          <w:rFonts w:ascii="Arial" w:hAnsi="Arial" w:cs="Arial"/>
          <w:sz w:val="24"/>
          <w:szCs w:val="24"/>
        </w:rPr>
        <w:t>'</w:t>
      </w:r>
      <w:r w:rsidR="00C839F3">
        <w:rPr>
          <w:rFonts w:ascii="Arial" w:hAnsi="Arial" w:cs="Arial"/>
          <w:sz w:val="24"/>
          <w:szCs w:val="24"/>
        </w:rPr>
        <w:t>s founding and supplementary founding affidavits;</w:t>
      </w:r>
    </w:p>
    <w:p w14:paraId="2295D008" w14:textId="383A26B3" w:rsidR="00C839F3" w:rsidRDefault="00C839F3"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DPW filed an answering affidavit to </w:t>
      </w:r>
      <w:r w:rsidR="002F0E39">
        <w:rPr>
          <w:rFonts w:ascii="Arial" w:hAnsi="Arial" w:cs="Arial"/>
          <w:sz w:val="24"/>
          <w:szCs w:val="24"/>
        </w:rPr>
        <w:t>XTFM</w:t>
      </w:r>
      <w:r w:rsidR="00646017">
        <w:rPr>
          <w:rFonts w:ascii="Arial" w:hAnsi="Arial" w:cs="Arial"/>
          <w:sz w:val="24"/>
          <w:szCs w:val="24"/>
        </w:rPr>
        <w:t>'</w:t>
      </w:r>
      <w:r>
        <w:rPr>
          <w:rFonts w:ascii="Arial" w:hAnsi="Arial" w:cs="Arial"/>
          <w:sz w:val="24"/>
          <w:szCs w:val="24"/>
        </w:rPr>
        <w:t>s supplementary founding affidavit;</w:t>
      </w:r>
    </w:p>
    <w:p w14:paraId="181F95BF" w14:textId="565D51E3" w:rsidR="00C839F3" w:rsidRDefault="002F0E39"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w:t>
      </w:r>
      <w:r w:rsidR="00C839F3">
        <w:rPr>
          <w:rFonts w:ascii="Arial" w:hAnsi="Arial" w:cs="Arial"/>
          <w:sz w:val="24"/>
          <w:szCs w:val="24"/>
        </w:rPr>
        <w:t xml:space="preserve"> filed a replying affidavit to DPW</w:t>
      </w:r>
      <w:r w:rsidR="00646017">
        <w:rPr>
          <w:rFonts w:ascii="Arial" w:hAnsi="Arial" w:cs="Arial"/>
          <w:sz w:val="24"/>
          <w:szCs w:val="24"/>
        </w:rPr>
        <w:t>'</w:t>
      </w:r>
      <w:r w:rsidR="00C839F3">
        <w:rPr>
          <w:rFonts w:ascii="Arial" w:hAnsi="Arial" w:cs="Arial"/>
          <w:sz w:val="24"/>
          <w:szCs w:val="24"/>
        </w:rPr>
        <w:t>s answering affidavit;</w:t>
      </w:r>
    </w:p>
    <w:p w14:paraId="490C8706" w14:textId="7FA5CEA2" w:rsidR="00C839F3" w:rsidRDefault="00B04A27"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w:t>
      </w:r>
      <w:r w:rsidR="00C839F3">
        <w:rPr>
          <w:rFonts w:ascii="Arial" w:hAnsi="Arial" w:cs="Arial"/>
          <w:sz w:val="24"/>
          <w:szCs w:val="24"/>
        </w:rPr>
        <w:t xml:space="preserve"> filed a replying affidavit to Omarostax</w:t>
      </w:r>
      <w:r w:rsidR="00646017">
        <w:rPr>
          <w:rFonts w:ascii="Arial" w:hAnsi="Arial" w:cs="Arial"/>
          <w:sz w:val="24"/>
          <w:szCs w:val="24"/>
        </w:rPr>
        <w:t>'</w:t>
      </w:r>
      <w:r w:rsidR="00C839F3">
        <w:rPr>
          <w:rFonts w:ascii="Arial" w:hAnsi="Arial" w:cs="Arial"/>
          <w:sz w:val="24"/>
          <w:szCs w:val="24"/>
        </w:rPr>
        <w:t>s answering affidavit;</w:t>
      </w:r>
    </w:p>
    <w:p w14:paraId="736F29B0" w14:textId="5AB9A893" w:rsidR="00C839F3" w:rsidRDefault="00C839F3"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Omarostax filed a supplementary answering affidavit;</w:t>
      </w:r>
    </w:p>
    <w:p w14:paraId="1F84F05D" w14:textId="47AC80C9" w:rsidR="00C839F3" w:rsidRDefault="002F0E39"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XTFM</w:t>
      </w:r>
      <w:r w:rsidR="00200386">
        <w:rPr>
          <w:rFonts w:ascii="Arial" w:hAnsi="Arial" w:cs="Arial"/>
          <w:sz w:val="24"/>
          <w:szCs w:val="24"/>
        </w:rPr>
        <w:t xml:space="preserve"> </w:t>
      </w:r>
      <w:r w:rsidR="00C839F3">
        <w:rPr>
          <w:rFonts w:ascii="Arial" w:hAnsi="Arial" w:cs="Arial"/>
          <w:sz w:val="24"/>
          <w:szCs w:val="24"/>
        </w:rPr>
        <w:t>filed a supplementary replying affidavit to Omarostax</w:t>
      </w:r>
      <w:r w:rsidR="00646017">
        <w:rPr>
          <w:rFonts w:ascii="Arial" w:hAnsi="Arial" w:cs="Arial"/>
          <w:sz w:val="24"/>
          <w:szCs w:val="24"/>
        </w:rPr>
        <w:t>'</w:t>
      </w:r>
      <w:r w:rsidR="00C839F3">
        <w:rPr>
          <w:rFonts w:ascii="Arial" w:hAnsi="Arial" w:cs="Arial"/>
          <w:sz w:val="24"/>
          <w:szCs w:val="24"/>
        </w:rPr>
        <w:t>s supplementary answering affidavit</w:t>
      </w:r>
      <w:r w:rsidR="00AD2720">
        <w:rPr>
          <w:rFonts w:ascii="Arial" w:hAnsi="Arial" w:cs="Arial"/>
          <w:sz w:val="24"/>
          <w:szCs w:val="24"/>
        </w:rPr>
        <w:t>.</w:t>
      </w:r>
    </w:p>
    <w:p w14:paraId="413BB219" w14:textId="77777777" w:rsidR="00B57969" w:rsidRPr="00B57969" w:rsidRDefault="00B57969" w:rsidP="00B57969">
      <w:pPr>
        <w:pStyle w:val="ListParagraph"/>
        <w:rPr>
          <w:rFonts w:ascii="Arial" w:hAnsi="Arial" w:cs="Arial"/>
          <w:sz w:val="24"/>
          <w:szCs w:val="24"/>
        </w:rPr>
      </w:pPr>
    </w:p>
    <w:p w14:paraId="255083F9" w14:textId="11CB777F" w:rsidR="00B57969" w:rsidRDefault="004941AD"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t>
      </w:r>
      <w:r w:rsidR="00C839F3">
        <w:rPr>
          <w:rFonts w:ascii="Arial" w:hAnsi="Arial" w:cs="Arial"/>
          <w:sz w:val="24"/>
          <w:szCs w:val="24"/>
        </w:rPr>
        <w:t xml:space="preserve">he DPW and Omarostax submitted in their answering affidavits that </w:t>
      </w:r>
      <w:r w:rsidR="002F0E39">
        <w:rPr>
          <w:rFonts w:ascii="Arial" w:hAnsi="Arial" w:cs="Arial"/>
          <w:sz w:val="24"/>
          <w:szCs w:val="24"/>
        </w:rPr>
        <w:t>XTFM</w:t>
      </w:r>
      <w:r w:rsidR="00646017">
        <w:rPr>
          <w:rFonts w:ascii="Arial" w:hAnsi="Arial" w:cs="Arial"/>
          <w:sz w:val="24"/>
          <w:szCs w:val="24"/>
        </w:rPr>
        <w:t>'</w:t>
      </w:r>
      <w:r w:rsidR="005650BD">
        <w:rPr>
          <w:rFonts w:ascii="Arial" w:hAnsi="Arial" w:cs="Arial"/>
          <w:sz w:val="24"/>
          <w:szCs w:val="24"/>
        </w:rPr>
        <w:t>s</w:t>
      </w:r>
      <w:r w:rsidR="00C839F3">
        <w:rPr>
          <w:rFonts w:ascii="Arial" w:hAnsi="Arial" w:cs="Arial"/>
          <w:sz w:val="24"/>
          <w:szCs w:val="24"/>
        </w:rPr>
        <w:t xml:space="preserve"> supplementary founding affidavit was not filed within the period allowed by rule 53(4). Omarostax objected to the late filing. Omarostax also takes issue with the fact </w:t>
      </w:r>
      <w:r w:rsidR="00C839F3">
        <w:rPr>
          <w:rFonts w:ascii="Arial" w:hAnsi="Arial" w:cs="Arial"/>
          <w:sz w:val="24"/>
          <w:szCs w:val="24"/>
        </w:rPr>
        <w:lastRenderedPageBreak/>
        <w:t xml:space="preserve">that the review record that </w:t>
      </w:r>
      <w:r w:rsidR="002F0E39">
        <w:rPr>
          <w:rFonts w:ascii="Arial" w:hAnsi="Arial" w:cs="Arial"/>
          <w:sz w:val="24"/>
          <w:szCs w:val="24"/>
        </w:rPr>
        <w:t>XTFM</w:t>
      </w:r>
      <w:r w:rsidR="00C839F3">
        <w:rPr>
          <w:rFonts w:ascii="Arial" w:hAnsi="Arial" w:cs="Arial"/>
          <w:sz w:val="24"/>
          <w:szCs w:val="24"/>
        </w:rPr>
        <w:t xml:space="preserve"> had to prepare</w:t>
      </w:r>
      <w:r w:rsidR="002F0E39">
        <w:rPr>
          <w:rFonts w:ascii="Arial" w:hAnsi="Arial" w:cs="Arial"/>
          <w:sz w:val="24"/>
          <w:szCs w:val="24"/>
        </w:rPr>
        <w:t xml:space="preserve"> and certify in terms of r</w:t>
      </w:r>
      <w:r w:rsidR="004F3BAE">
        <w:rPr>
          <w:rFonts w:ascii="Arial" w:hAnsi="Arial" w:cs="Arial"/>
          <w:sz w:val="24"/>
          <w:szCs w:val="24"/>
        </w:rPr>
        <w:t>ule 53(3) was filed 32 court days after the record was made available to the applicant. Omarostax submit</w:t>
      </w:r>
      <w:r>
        <w:rPr>
          <w:rFonts w:ascii="Arial" w:hAnsi="Arial" w:cs="Arial"/>
          <w:sz w:val="24"/>
          <w:szCs w:val="24"/>
        </w:rPr>
        <w:t>ted</w:t>
      </w:r>
      <w:r w:rsidR="004F3BAE">
        <w:rPr>
          <w:rFonts w:ascii="Arial" w:hAnsi="Arial" w:cs="Arial"/>
          <w:sz w:val="24"/>
          <w:szCs w:val="24"/>
        </w:rPr>
        <w:t xml:space="preserve"> that no condonation application ha</w:t>
      </w:r>
      <w:r>
        <w:rPr>
          <w:rFonts w:ascii="Arial" w:hAnsi="Arial" w:cs="Arial"/>
          <w:sz w:val="24"/>
          <w:szCs w:val="24"/>
        </w:rPr>
        <w:t>d</w:t>
      </w:r>
      <w:r w:rsidR="004F3BAE">
        <w:rPr>
          <w:rFonts w:ascii="Arial" w:hAnsi="Arial" w:cs="Arial"/>
          <w:sz w:val="24"/>
          <w:szCs w:val="24"/>
        </w:rPr>
        <w:t xml:space="preserve"> been brought </w:t>
      </w:r>
      <w:r>
        <w:rPr>
          <w:rFonts w:ascii="Arial" w:hAnsi="Arial" w:cs="Arial"/>
          <w:sz w:val="24"/>
          <w:szCs w:val="24"/>
        </w:rPr>
        <w:t>regarding</w:t>
      </w:r>
      <w:r w:rsidR="004F3BAE">
        <w:rPr>
          <w:rFonts w:ascii="Arial" w:hAnsi="Arial" w:cs="Arial"/>
          <w:sz w:val="24"/>
          <w:szCs w:val="24"/>
        </w:rPr>
        <w:t xml:space="preserve"> these delays. It claims that it suffered prejudice because an inordinate delay in the occupation of the relevant office building cause</w:t>
      </w:r>
      <w:r>
        <w:rPr>
          <w:rFonts w:ascii="Arial" w:hAnsi="Arial" w:cs="Arial"/>
          <w:sz w:val="24"/>
          <w:szCs w:val="24"/>
        </w:rPr>
        <w:t>d</w:t>
      </w:r>
      <w:r w:rsidR="004F3BAE">
        <w:rPr>
          <w:rFonts w:ascii="Arial" w:hAnsi="Arial" w:cs="Arial"/>
          <w:sz w:val="24"/>
          <w:szCs w:val="24"/>
        </w:rPr>
        <w:t xml:space="preserve"> losses for the DPW and a severe loss of income for Omarostax.</w:t>
      </w:r>
    </w:p>
    <w:p w14:paraId="74096F3D" w14:textId="77777777" w:rsidR="00B57969" w:rsidRPr="00B57969" w:rsidRDefault="00B57969" w:rsidP="00B57969">
      <w:pPr>
        <w:pStyle w:val="ListParagraph"/>
        <w:rPr>
          <w:rFonts w:ascii="Arial" w:hAnsi="Arial" w:cs="Arial"/>
          <w:sz w:val="24"/>
          <w:szCs w:val="24"/>
        </w:rPr>
      </w:pPr>
    </w:p>
    <w:p w14:paraId="30E39CFF" w14:textId="0C41F3A8" w:rsidR="00B57969" w:rsidRPr="00B168AC" w:rsidRDefault="004F3BAE" w:rsidP="00B168AC">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Omarostax</w:t>
      </w:r>
      <w:r w:rsidR="00646017">
        <w:rPr>
          <w:rFonts w:ascii="Arial" w:hAnsi="Arial" w:cs="Arial"/>
          <w:sz w:val="24"/>
          <w:szCs w:val="24"/>
        </w:rPr>
        <w:t>'</w:t>
      </w:r>
      <w:r>
        <w:rPr>
          <w:rFonts w:ascii="Arial" w:hAnsi="Arial" w:cs="Arial"/>
          <w:sz w:val="24"/>
          <w:szCs w:val="24"/>
        </w:rPr>
        <w:t xml:space="preserve">s counsel submitted that </w:t>
      </w:r>
      <w:r w:rsidR="002F0E39">
        <w:rPr>
          <w:rFonts w:ascii="Arial" w:hAnsi="Arial" w:cs="Arial"/>
          <w:sz w:val="24"/>
          <w:szCs w:val="24"/>
        </w:rPr>
        <w:t>XTFM</w:t>
      </w:r>
      <w:r w:rsidR="00646017">
        <w:rPr>
          <w:rFonts w:ascii="Arial" w:hAnsi="Arial" w:cs="Arial"/>
          <w:sz w:val="24"/>
          <w:szCs w:val="24"/>
        </w:rPr>
        <w:t>'</w:t>
      </w:r>
      <w:r>
        <w:rPr>
          <w:rFonts w:ascii="Arial" w:hAnsi="Arial" w:cs="Arial"/>
          <w:sz w:val="24"/>
          <w:szCs w:val="24"/>
        </w:rPr>
        <w:t xml:space="preserve">s assertion that neither DPW </w:t>
      </w:r>
      <w:r w:rsidR="004941AD">
        <w:rPr>
          <w:rFonts w:ascii="Arial" w:hAnsi="Arial" w:cs="Arial"/>
          <w:sz w:val="24"/>
          <w:szCs w:val="24"/>
        </w:rPr>
        <w:t>n</w:t>
      </w:r>
      <w:r>
        <w:rPr>
          <w:rFonts w:ascii="Arial" w:hAnsi="Arial" w:cs="Arial"/>
          <w:sz w:val="24"/>
          <w:szCs w:val="24"/>
        </w:rPr>
        <w:t xml:space="preserve">or Omarostax required at the case-management meeting before Ledwaba AJP that </w:t>
      </w:r>
      <w:r w:rsidR="002F0E39">
        <w:rPr>
          <w:rFonts w:ascii="Arial" w:hAnsi="Arial" w:cs="Arial"/>
          <w:sz w:val="24"/>
          <w:szCs w:val="24"/>
        </w:rPr>
        <w:t>XTFM</w:t>
      </w:r>
      <w:r>
        <w:rPr>
          <w:rFonts w:ascii="Arial" w:hAnsi="Arial" w:cs="Arial"/>
          <w:sz w:val="24"/>
          <w:szCs w:val="24"/>
        </w:rPr>
        <w:t xml:space="preserve"> seek condonation, is without merit. Counsel explained that the meeting was not a case-management meeting in terms of Rule 37A but followed a request from Omarostax</w:t>
      </w:r>
      <w:r w:rsidR="00646017">
        <w:rPr>
          <w:rFonts w:ascii="Arial" w:hAnsi="Arial" w:cs="Arial"/>
          <w:sz w:val="24"/>
          <w:szCs w:val="24"/>
        </w:rPr>
        <w:t>'</w:t>
      </w:r>
      <w:r>
        <w:rPr>
          <w:rFonts w:ascii="Arial" w:hAnsi="Arial" w:cs="Arial"/>
          <w:sz w:val="24"/>
          <w:szCs w:val="24"/>
        </w:rPr>
        <w:t xml:space="preserve">s attorney to arrange dates to get the matter ripe for hearing and obtain the earliest possible hearing date. Omarostax was not required to raise procedural or interlocutory issues at the case-management meeting and </w:t>
      </w:r>
      <w:r w:rsidR="004941AD">
        <w:rPr>
          <w:rFonts w:ascii="Arial" w:hAnsi="Arial" w:cs="Arial"/>
          <w:sz w:val="24"/>
          <w:szCs w:val="24"/>
        </w:rPr>
        <w:t>wa</w:t>
      </w:r>
      <w:r>
        <w:rPr>
          <w:rFonts w:ascii="Arial" w:hAnsi="Arial" w:cs="Arial"/>
          <w:sz w:val="24"/>
          <w:szCs w:val="24"/>
        </w:rPr>
        <w:t>s not prevented from raising such issues at the hearing.</w:t>
      </w:r>
      <w:r w:rsidR="004941AD">
        <w:rPr>
          <w:rFonts w:ascii="Arial" w:hAnsi="Arial" w:cs="Arial"/>
          <w:sz w:val="24"/>
          <w:szCs w:val="24"/>
        </w:rPr>
        <w:t xml:space="preserve"> Omarostax thus sought</w:t>
      </w:r>
      <w:r w:rsidR="00B168AC">
        <w:rPr>
          <w:rFonts w:ascii="Arial" w:hAnsi="Arial" w:cs="Arial"/>
          <w:sz w:val="24"/>
          <w:szCs w:val="24"/>
        </w:rPr>
        <w:t xml:space="preserve"> that the court considers its striking out application </w:t>
      </w:r>
      <w:r w:rsidR="00B168AC">
        <w:rPr>
          <w:rFonts w:ascii="Arial" w:hAnsi="Arial" w:cs="Arial"/>
          <w:i/>
          <w:sz w:val="24"/>
          <w:szCs w:val="24"/>
        </w:rPr>
        <w:t>in limine.</w:t>
      </w:r>
      <w:r w:rsidR="00B168AC">
        <w:rPr>
          <w:rFonts w:ascii="Arial" w:hAnsi="Arial" w:cs="Arial"/>
          <w:sz w:val="24"/>
          <w:szCs w:val="24"/>
        </w:rPr>
        <w:t xml:space="preserve"> In the event that the court would not be willing to strike out the parts of the affidavits and the documents as set out in Omarostax</w:t>
      </w:r>
      <w:r w:rsidR="00646017">
        <w:rPr>
          <w:rFonts w:ascii="Arial" w:hAnsi="Arial" w:cs="Arial"/>
          <w:sz w:val="24"/>
          <w:szCs w:val="24"/>
        </w:rPr>
        <w:t>'</w:t>
      </w:r>
      <w:r w:rsidR="00B168AC">
        <w:rPr>
          <w:rFonts w:ascii="Arial" w:hAnsi="Arial" w:cs="Arial"/>
          <w:sz w:val="24"/>
          <w:szCs w:val="24"/>
        </w:rPr>
        <w:t xml:space="preserve">s application to strike out, counsel implored that the court should refuse to give any weight to inadmissible hearsay evidence and irregularly presented </w:t>
      </w:r>
      <w:r w:rsidR="00646017">
        <w:rPr>
          <w:rFonts w:ascii="Arial" w:hAnsi="Arial" w:cs="Arial"/>
          <w:sz w:val="24"/>
          <w:szCs w:val="24"/>
        </w:rPr>
        <w:t>'</w:t>
      </w:r>
      <w:r w:rsidR="00B168AC">
        <w:rPr>
          <w:rFonts w:ascii="Arial" w:hAnsi="Arial" w:cs="Arial"/>
          <w:sz w:val="24"/>
          <w:szCs w:val="24"/>
        </w:rPr>
        <w:t>expert</w:t>
      </w:r>
      <w:r w:rsidR="00646017">
        <w:rPr>
          <w:rFonts w:ascii="Arial" w:hAnsi="Arial" w:cs="Arial"/>
          <w:sz w:val="24"/>
          <w:szCs w:val="24"/>
        </w:rPr>
        <w:t>'</w:t>
      </w:r>
      <w:r w:rsidR="00B168AC">
        <w:rPr>
          <w:rFonts w:ascii="Arial" w:hAnsi="Arial" w:cs="Arial"/>
          <w:sz w:val="24"/>
          <w:szCs w:val="24"/>
        </w:rPr>
        <w:t xml:space="preserve"> evidence in reply and the supplementary affidavit.</w:t>
      </w:r>
    </w:p>
    <w:p w14:paraId="3BE5D371" w14:textId="77777777" w:rsidR="004F3BAE" w:rsidRPr="004F3BAE" w:rsidRDefault="004F3BAE" w:rsidP="004F3BAE">
      <w:pPr>
        <w:pStyle w:val="ListParagraph"/>
        <w:rPr>
          <w:rFonts w:ascii="Arial" w:hAnsi="Arial" w:cs="Arial"/>
          <w:sz w:val="24"/>
          <w:szCs w:val="24"/>
        </w:rPr>
      </w:pPr>
    </w:p>
    <w:p w14:paraId="654B6E0A" w14:textId="0C374F17" w:rsidR="00EA4756" w:rsidRPr="004F3BAE" w:rsidRDefault="00E62C5C" w:rsidP="00B168AC">
      <w:pPr>
        <w:pStyle w:val="ListParagraph"/>
        <w:tabs>
          <w:tab w:val="left" w:pos="4917"/>
        </w:tabs>
        <w:spacing w:before="120" w:after="120" w:line="360" w:lineRule="auto"/>
        <w:jc w:val="both"/>
        <w:rPr>
          <w:rFonts w:ascii="Arial" w:hAnsi="Arial" w:cs="Arial"/>
          <w:sz w:val="24"/>
          <w:szCs w:val="24"/>
        </w:rPr>
      </w:pPr>
      <w:r w:rsidRPr="004F3BAE">
        <w:rPr>
          <w:rFonts w:ascii="Arial" w:hAnsi="Arial" w:cs="Arial"/>
          <w:i/>
          <w:sz w:val="24"/>
          <w:szCs w:val="24"/>
        </w:rPr>
        <w:t>Application to strike out</w:t>
      </w:r>
    </w:p>
    <w:p w14:paraId="421871D0" w14:textId="77777777" w:rsidR="00EA4756" w:rsidRPr="00EA4756" w:rsidRDefault="00EA4756" w:rsidP="00EA4756">
      <w:pPr>
        <w:pStyle w:val="ListParagraph"/>
        <w:rPr>
          <w:rFonts w:ascii="Arial" w:hAnsi="Arial" w:cs="Arial"/>
          <w:sz w:val="24"/>
          <w:szCs w:val="24"/>
        </w:rPr>
      </w:pPr>
    </w:p>
    <w:p w14:paraId="41369AD2" w14:textId="67F3DD15" w:rsidR="00EA4756" w:rsidRDefault="00E62C5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Omarostax filed an application to strike out in terms of rule 6(15) of the Uniform Rules of Court. Omarostax seeks the striking out of:</w:t>
      </w:r>
    </w:p>
    <w:p w14:paraId="1175556F" w14:textId="2D57A44F" w:rsidR="00E62C5C" w:rsidRDefault="00E62C5C" w:rsidP="00E62C5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Annexure RRA2 to </w:t>
      </w:r>
      <w:r w:rsidR="002F0E39">
        <w:rPr>
          <w:rFonts w:ascii="Arial" w:hAnsi="Arial" w:cs="Arial"/>
          <w:sz w:val="24"/>
          <w:szCs w:val="24"/>
        </w:rPr>
        <w:t>XTFM</w:t>
      </w:r>
      <w:r w:rsidR="00646017">
        <w:rPr>
          <w:rFonts w:ascii="Arial" w:hAnsi="Arial" w:cs="Arial"/>
          <w:sz w:val="24"/>
          <w:szCs w:val="24"/>
        </w:rPr>
        <w:t>'</w:t>
      </w:r>
      <w:r>
        <w:rPr>
          <w:rFonts w:ascii="Arial" w:hAnsi="Arial" w:cs="Arial"/>
          <w:sz w:val="24"/>
          <w:szCs w:val="24"/>
        </w:rPr>
        <w:t xml:space="preserve">s </w:t>
      </w:r>
      <w:r w:rsidR="007D3FC3">
        <w:rPr>
          <w:rFonts w:ascii="Arial" w:hAnsi="Arial" w:cs="Arial"/>
          <w:sz w:val="24"/>
          <w:szCs w:val="24"/>
        </w:rPr>
        <w:t>R</w:t>
      </w:r>
      <w:r>
        <w:rPr>
          <w:rFonts w:ascii="Arial" w:hAnsi="Arial" w:cs="Arial"/>
          <w:sz w:val="24"/>
          <w:szCs w:val="24"/>
        </w:rPr>
        <w:t>eplying affidavit, all references to such report, its content and the annexures thereto, the affidavit of Mr. Van Zyl, annexure RRA3</w:t>
      </w:r>
      <w:r w:rsidR="004941AD">
        <w:rPr>
          <w:rFonts w:ascii="Arial" w:hAnsi="Arial" w:cs="Arial"/>
          <w:sz w:val="24"/>
          <w:szCs w:val="24"/>
        </w:rPr>
        <w:t>,</w:t>
      </w:r>
      <w:r>
        <w:rPr>
          <w:rFonts w:ascii="Arial" w:hAnsi="Arial" w:cs="Arial"/>
          <w:sz w:val="24"/>
          <w:szCs w:val="24"/>
        </w:rPr>
        <w:t xml:space="preserve"> and all paragraphs in the replying affidavit </w:t>
      </w:r>
      <w:r w:rsidR="002F0E39">
        <w:rPr>
          <w:rFonts w:ascii="Arial" w:hAnsi="Arial" w:cs="Arial"/>
          <w:sz w:val="24"/>
          <w:szCs w:val="24"/>
        </w:rPr>
        <w:t>where reliance is placed on the</w:t>
      </w:r>
      <w:r>
        <w:rPr>
          <w:rFonts w:ascii="Arial" w:hAnsi="Arial" w:cs="Arial"/>
          <w:sz w:val="24"/>
          <w:szCs w:val="24"/>
        </w:rPr>
        <w:t xml:space="preserve"> affidavit and report;</w:t>
      </w:r>
    </w:p>
    <w:p w14:paraId="4E626174" w14:textId="5A1E87C1" w:rsidR="00E62C5C" w:rsidRDefault="00E62C5C" w:rsidP="00E62C5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All references in </w:t>
      </w:r>
      <w:r w:rsidR="002F0E39">
        <w:rPr>
          <w:rFonts w:ascii="Arial" w:hAnsi="Arial" w:cs="Arial"/>
          <w:sz w:val="24"/>
          <w:szCs w:val="24"/>
        </w:rPr>
        <w:t>XTFM</w:t>
      </w:r>
      <w:r w:rsidR="00646017">
        <w:rPr>
          <w:rFonts w:ascii="Arial" w:hAnsi="Arial" w:cs="Arial"/>
          <w:sz w:val="24"/>
          <w:szCs w:val="24"/>
        </w:rPr>
        <w:t>'</w:t>
      </w:r>
      <w:r>
        <w:rPr>
          <w:rFonts w:ascii="Arial" w:hAnsi="Arial" w:cs="Arial"/>
          <w:sz w:val="24"/>
          <w:szCs w:val="24"/>
        </w:rPr>
        <w:t>s replying affidavit to Omarostax</w:t>
      </w:r>
      <w:r w:rsidR="00646017">
        <w:rPr>
          <w:rFonts w:ascii="Arial" w:hAnsi="Arial" w:cs="Arial"/>
          <w:sz w:val="24"/>
          <w:szCs w:val="24"/>
        </w:rPr>
        <w:t>'</w:t>
      </w:r>
      <w:r>
        <w:rPr>
          <w:rFonts w:ascii="Arial" w:hAnsi="Arial" w:cs="Arial"/>
          <w:sz w:val="24"/>
          <w:szCs w:val="24"/>
        </w:rPr>
        <w:t>s answering affidavit to annexure RRA2, the affidavit of Mr. Van Zyl</w:t>
      </w:r>
      <w:r w:rsidR="004941AD">
        <w:rPr>
          <w:rFonts w:ascii="Arial" w:hAnsi="Arial" w:cs="Arial"/>
          <w:sz w:val="24"/>
          <w:szCs w:val="24"/>
        </w:rPr>
        <w:t>,</w:t>
      </w:r>
      <w:r>
        <w:rPr>
          <w:rFonts w:ascii="Arial" w:hAnsi="Arial" w:cs="Arial"/>
          <w:sz w:val="24"/>
          <w:szCs w:val="24"/>
        </w:rPr>
        <w:t xml:space="preserve"> and RRA3;</w:t>
      </w:r>
    </w:p>
    <w:p w14:paraId="7827D5F6" w14:textId="5C4715A3" w:rsidR="00B57969" w:rsidRPr="00B57969" w:rsidRDefault="00E62C5C" w:rsidP="00B5796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further report of Mr. Van Zyl annexed to </w:t>
      </w:r>
      <w:r w:rsidR="002F0E39">
        <w:rPr>
          <w:rFonts w:ascii="Arial" w:hAnsi="Arial" w:cs="Arial"/>
          <w:sz w:val="24"/>
          <w:szCs w:val="24"/>
        </w:rPr>
        <w:t>XTFM</w:t>
      </w:r>
      <w:r w:rsidR="00646017">
        <w:rPr>
          <w:rFonts w:ascii="Arial" w:hAnsi="Arial" w:cs="Arial"/>
          <w:sz w:val="24"/>
          <w:szCs w:val="24"/>
        </w:rPr>
        <w:t>'</w:t>
      </w:r>
      <w:r>
        <w:rPr>
          <w:rFonts w:ascii="Arial" w:hAnsi="Arial" w:cs="Arial"/>
          <w:sz w:val="24"/>
          <w:szCs w:val="24"/>
        </w:rPr>
        <w:t>s supplementary replying affidavit</w:t>
      </w:r>
      <w:r w:rsidR="00B57969">
        <w:rPr>
          <w:rFonts w:ascii="Arial" w:hAnsi="Arial" w:cs="Arial"/>
          <w:sz w:val="24"/>
          <w:szCs w:val="24"/>
        </w:rPr>
        <w:t xml:space="preserve"> as well as all paragraphs in the applicant</w:t>
      </w:r>
      <w:r w:rsidR="00646017">
        <w:rPr>
          <w:rFonts w:ascii="Arial" w:hAnsi="Arial" w:cs="Arial"/>
          <w:sz w:val="24"/>
          <w:szCs w:val="24"/>
        </w:rPr>
        <w:t>'</w:t>
      </w:r>
      <w:r w:rsidR="00B57969">
        <w:rPr>
          <w:rFonts w:ascii="Arial" w:hAnsi="Arial" w:cs="Arial"/>
          <w:sz w:val="24"/>
          <w:szCs w:val="24"/>
        </w:rPr>
        <w:t>s supplementary replying affidavit where reliance is placed on the report, being paragraphs 13 to 18.</w:t>
      </w:r>
    </w:p>
    <w:p w14:paraId="2C5568A5" w14:textId="77777777" w:rsidR="00EA4756" w:rsidRPr="00EA4756" w:rsidRDefault="00EA4756" w:rsidP="00EA4756">
      <w:pPr>
        <w:pStyle w:val="ListParagraph"/>
        <w:rPr>
          <w:rFonts w:ascii="Arial" w:hAnsi="Arial" w:cs="Arial"/>
          <w:sz w:val="24"/>
          <w:szCs w:val="24"/>
        </w:rPr>
      </w:pPr>
    </w:p>
    <w:p w14:paraId="22FAEEB9" w14:textId="6B4C9C5A" w:rsidR="00EA4756" w:rsidRDefault="002F0E3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am not inclined to waste any time discussing what may or may not constitute technicalities.</w:t>
      </w:r>
      <w:r w:rsidR="00AD2720">
        <w:rPr>
          <w:rFonts w:ascii="Arial" w:hAnsi="Arial" w:cs="Arial"/>
          <w:sz w:val="24"/>
          <w:szCs w:val="24"/>
        </w:rPr>
        <w:t xml:space="preserve"> As for the alle</w:t>
      </w:r>
      <w:r w:rsidR="009A6A0A">
        <w:rPr>
          <w:rFonts w:ascii="Arial" w:hAnsi="Arial" w:cs="Arial"/>
          <w:sz w:val="24"/>
          <w:szCs w:val="24"/>
        </w:rPr>
        <w:t xml:space="preserve">ged late filing of the </w:t>
      </w:r>
      <w:r w:rsidR="00AD2720">
        <w:rPr>
          <w:rFonts w:ascii="Arial" w:hAnsi="Arial" w:cs="Arial"/>
          <w:sz w:val="24"/>
          <w:szCs w:val="24"/>
        </w:rPr>
        <w:t xml:space="preserve">record of proceedings by XTFM, and the fact that it was not timeously certified, it is evident that XTFM had difficulties obtaining legible copies of the ROD from the DPW. Whether this record was </w:t>
      </w:r>
      <w:r w:rsidR="004941AD">
        <w:rPr>
          <w:rFonts w:ascii="Arial" w:hAnsi="Arial" w:cs="Arial"/>
          <w:sz w:val="24"/>
          <w:szCs w:val="24"/>
        </w:rPr>
        <w:t>adequate</w:t>
      </w:r>
      <w:r w:rsidR="00AD2720">
        <w:rPr>
          <w:rFonts w:ascii="Arial" w:hAnsi="Arial" w:cs="Arial"/>
          <w:sz w:val="24"/>
          <w:szCs w:val="24"/>
        </w:rPr>
        <w:t>ly indexed and paginated may be a bone of contention between two opposing parties, but as far as I am concerned</w:t>
      </w:r>
      <w:r w:rsidR="004941AD">
        <w:rPr>
          <w:rFonts w:ascii="Arial" w:hAnsi="Arial" w:cs="Arial"/>
          <w:sz w:val="24"/>
          <w:szCs w:val="24"/>
        </w:rPr>
        <w:t>,</w:t>
      </w:r>
      <w:r w:rsidR="00AD2720">
        <w:rPr>
          <w:rFonts w:ascii="Arial" w:hAnsi="Arial" w:cs="Arial"/>
          <w:sz w:val="24"/>
          <w:szCs w:val="24"/>
        </w:rPr>
        <w:t xml:space="preserve"> the parties are satisfied that the record of the decision that this court is sought to review is properly before the court. The parties</w:t>
      </w:r>
      <w:r w:rsidR="00646017">
        <w:rPr>
          <w:rFonts w:ascii="Arial" w:hAnsi="Arial" w:cs="Arial"/>
          <w:sz w:val="24"/>
          <w:szCs w:val="24"/>
        </w:rPr>
        <w:t>'</w:t>
      </w:r>
      <w:r w:rsidR="00AD2720">
        <w:rPr>
          <w:rFonts w:ascii="Arial" w:hAnsi="Arial" w:cs="Arial"/>
          <w:sz w:val="24"/>
          <w:szCs w:val="24"/>
        </w:rPr>
        <w:t xml:space="preserve"> inability to sit around a table and finalise the full extent of the record resulted in the so-called </w:t>
      </w:r>
      <w:r w:rsidR="00646017">
        <w:rPr>
          <w:rFonts w:ascii="Arial" w:hAnsi="Arial" w:cs="Arial"/>
          <w:sz w:val="24"/>
          <w:szCs w:val="24"/>
        </w:rPr>
        <w:t>'</w:t>
      </w:r>
      <w:r w:rsidR="00AD2720">
        <w:rPr>
          <w:rFonts w:ascii="Arial" w:hAnsi="Arial" w:cs="Arial"/>
          <w:sz w:val="24"/>
          <w:szCs w:val="24"/>
        </w:rPr>
        <w:t>complete ROD</w:t>
      </w:r>
      <w:r w:rsidR="00646017">
        <w:rPr>
          <w:rFonts w:ascii="Arial" w:hAnsi="Arial" w:cs="Arial"/>
          <w:sz w:val="24"/>
          <w:szCs w:val="24"/>
        </w:rPr>
        <w:t>'</w:t>
      </w:r>
      <w:r w:rsidR="00AD2720">
        <w:rPr>
          <w:rFonts w:ascii="Arial" w:hAnsi="Arial" w:cs="Arial"/>
          <w:sz w:val="24"/>
          <w:szCs w:val="24"/>
        </w:rPr>
        <w:t xml:space="preserve"> only becoming available after XTFM filed its supplementary founding affidavit</w:t>
      </w:r>
      <w:r w:rsidR="004941AD">
        <w:rPr>
          <w:rFonts w:ascii="Arial" w:hAnsi="Arial" w:cs="Arial"/>
          <w:sz w:val="24"/>
          <w:szCs w:val="24"/>
        </w:rPr>
        <w:t>,</w:t>
      </w:r>
      <w:r w:rsidR="00AD2720">
        <w:rPr>
          <w:rFonts w:ascii="Arial" w:hAnsi="Arial" w:cs="Arial"/>
          <w:sz w:val="24"/>
          <w:szCs w:val="24"/>
        </w:rPr>
        <w:t xml:space="preserve"> and this, in turn, caused them to deal with the completed bid only in its replying papers. This led Omarostax to file a supplementary answering affidavit which in turn prompted the filing of a supplement</w:t>
      </w:r>
      <w:r w:rsidR="00E63CD6">
        <w:rPr>
          <w:rFonts w:ascii="Arial" w:hAnsi="Arial" w:cs="Arial"/>
          <w:sz w:val="24"/>
          <w:szCs w:val="24"/>
        </w:rPr>
        <w:t xml:space="preserve">ary replying affidavit by XTFM. I am convinced that the </w:t>
      </w:r>
      <w:r w:rsidR="00E63CD6">
        <w:rPr>
          <w:rFonts w:ascii="Arial" w:hAnsi="Arial" w:cs="Arial"/>
          <w:i/>
          <w:sz w:val="24"/>
          <w:szCs w:val="24"/>
        </w:rPr>
        <w:t>audi et alteram</w:t>
      </w:r>
      <w:r w:rsidR="00E63CD6">
        <w:rPr>
          <w:rFonts w:ascii="Arial" w:hAnsi="Arial" w:cs="Arial"/>
          <w:sz w:val="24"/>
          <w:szCs w:val="24"/>
        </w:rPr>
        <w:t xml:space="preserve"> principle has been satisfied and that all the parties had sufficient opportunity to place their respective versions before this court. Omarostax had sufficient </w:t>
      </w:r>
      <w:r w:rsidR="004941AD">
        <w:rPr>
          <w:rFonts w:ascii="Arial" w:hAnsi="Arial" w:cs="Arial"/>
          <w:sz w:val="24"/>
          <w:szCs w:val="24"/>
        </w:rPr>
        <w:t>opportunity to answer all</w:t>
      </w:r>
      <w:r w:rsidR="00E63CD6">
        <w:rPr>
          <w:rFonts w:ascii="Arial" w:hAnsi="Arial" w:cs="Arial"/>
          <w:sz w:val="24"/>
          <w:szCs w:val="24"/>
        </w:rPr>
        <w:t xml:space="preserve"> matter</w:t>
      </w:r>
      <w:r w:rsidR="004941AD">
        <w:rPr>
          <w:rFonts w:ascii="Arial" w:hAnsi="Arial" w:cs="Arial"/>
          <w:sz w:val="24"/>
          <w:szCs w:val="24"/>
        </w:rPr>
        <w:t>s raised</w:t>
      </w:r>
      <w:r w:rsidR="00E63CD6">
        <w:rPr>
          <w:rFonts w:ascii="Arial" w:hAnsi="Arial" w:cs="Arial"/>
          <w:sz w:val="24"/>
          <w:szCs w:val="24"/>
        </w:rPr>
        <w:t xml:space="preserve"> in X</w:t>
      </w:r>
      <w:r w:rsidR="004941AD">
        <w:rPr>
          <w:rFonts w:ascii="Arial" w:hAnsi="Arial" w:cs="Arial"/>
          <w:sz w:val="24"/>
          <w:szCs w:val="24"/>
        </w:rPr>
        <w:t>TFM</w:t>
      </w:r>
      <w:r w:rsidR="00646017">
        <w:rPr>
          <w:rFonts w:ascii="Arial" w:hAnsi="Arial" w:cs="Arial"/>
          <w:sz w:val="24"/>
          <w:szCs w:val="24"/>
        </w:rPr>
        <w:t>'</w:t>
      </w:r>
      <w:r w:rsidR="004941AD">
        <w:rPr>
          <w:rFonts w:ascii="Arial" w:hAnsi="Arial" w:cs="Arial"/>
          <w:sz w:val="24"/>
          <w:szCs w:val="24"/>
        </w:rPr>
        <w:t xml:space="preserve">s </w:t>
      </w:r>
      <w:r w:rsidR="009A6A0A">
        <w:rPr>
          <w:rFonts w:ascii="Arial" w:hAnsi="Arial" w:cs="Arial"/>
          <w:sz w:val="24"/>
          <w:szCs w:val="24"/>
        </w:rPr>
        <w:t>r</w:t>
      </w:r>
      <w:r w:rsidR="004941AD">
        <w:rPr>
          <w:rFonts w:ascii="Arial" w:hAnsi="Arial" w:cs="Arial"/>
          <w:sz w:val="24"/>
          <w:szCs w:val="24"/>
        </w:rPr>
        <w:t>eplying affidavit, and XT</w:t>
      </w:r>
      <w:r w:rsidR="00E63CD6">
        <w:rPr>
          <w:rFonts w:ascii="Arial" w:hAnsi="Arial" w:cs="Arial"/>
          <w:sz w:val="24"/>
          <w:szCs w:val="24"/>
        </w:rPr>
        <w:t xml:space="preserve">FM had the opportunity to reply to </w:t>
      </w:r>
      <w:r w:rsidR="004941AD">
        <w:rPr>
          <w:rFonts w:ascii="Arial" w:hAnsi="Arial" w:cs="Arial"/>
          <w:sz w:val="24"/>
          <w:szCs w:val="24"/>
        </w:rPr>
        <w:t xml:space="preserve">the </w:t>
      </w:r>
      <w:r w:rsidR="00E63CD6">
        <w:rPr>
          <w:rFonts w:ascii="Arial" w:hAnsi="Arial" w:cs="Arial"/>
          <w:sz w:val="24"/>
          <w:szCs w:val="24"/>
        </w:rPr>
        <w:t>new matter introduced in Omarostax</w:t>
      </w:r>
      <w:r w:rsidR="00646017">
        <w:rPr>
          <w:rFonts w:ascii="Arial" w:hAnsi="Arial" w:cs="Arial"/>
          <w:sz w:val="24"/>
          <w:szCs w:val="24"/>
        </w:rPr>
        <w:t>'</w:t>
      </w:r>
      <w:r w:rsidR="00E63CD6">
        <w:rPr>
          <w:rFonts w:ascii="Arial" w:hAnsi="Arial" w:cs="Arial"/>
          <w:sz w:val="24"/>
          <w:szCs w:val="24"/>
        </w:rPr>
        <w:t xml:space="preserve">s supplementary answering affidavit. </w:t>
      </w:r>
    </w:p>
    <w:p w14:paraId="1F0DA10F" w14:textId="3165CA53" w:rsidR="00B57969" w:rsidRDefault="00B57969" w:rsidP="00B57969">
      <w:pPr>
        <w:pStyle w:val="ListParagraph"/>
        <w:tabs>
          <w:tab w:val="left" w:pos="4917"/>
        </w:tabs>
        <w:spacing w:before="120" w:after="120" w:line="360" w:lineRule="auto"/>
        <w:jc w:val="both"/>
        <w:rPr>
          <w:rFonts w:ascii="Arial" w:hAnsi="Arial" w:cs="Arial"/>
          <w:sz w:val="24"/>
          <w:szCs w:val="24"/>
        </w:rPr>
      </w:pPr>
    </w:p>
    <w:p w14:paraId="1F2A7271" w14:textId="5515FB37" w:rsidR="00B57969" w:rsidRDefault="00E63CD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Omarostax</w:t>
      </w:r>
      <w:r w:rsidR="00646017">
        <w:rPr>
          <w:rFonts w:ascii="Arial" w:hAnsi="Arial" w:cs="Arial"/>
          <w:sz w:val="24"/>
          <w:szCs w:val="24"/>
        </w:rPr>
        <w:t>'</w:t>
      </w:r>
      <w:r>
        <w:rPr>
          <w:rFonts w:ascii="Arial" w:hAnsi="Arial" w:cs="Arial"/>
          <w:sz w:val="24"/>
          <w:szCs w:val="24"/>
        </w:rPr>
        <w:t>s counsel lamented th</w:t>
      </w:r>
      <w:r w:rsidR="004941AD">
        <w:rPr>
          <w:rFonts w:ascii="Arial" w:hAnsi="Arial" w:cs="Arial"/>
          <w:sz w:val="24"/>
          <w:szCs w:val="24"/>
        </w:rPr>
        <w:t>at XTFM did not file a condonation application, formally seeking the condonation of the late filing of the ROD and its supplementary founding affidavit and</w:t>
      </w:r>
      <w:r>
        <w:rPr>
          <w:rFonts w:ascii="Arial" w:hAnsi="Arial" w:cs="Arial"/>
          <w:sz w:val="24"/>
          <w:szCs w:val="24"/>
        </w:rPr>
        <w:t xml:space="preserve"> permission to file the supplementary replying affidavit. XTFM</w:t>
      </w:r>
      <w:r w:rsidR="00646017">
        <w:rPr>
          <w:rFonts w:ascii="Arial" w:hAnsi="Arial" w:cs="Arial"/>
          <w:sz w:val="24"/>
          <w:szCs w:val="24"/>
        </w:rPr>
        <w:t>'</w:t>
      </w:r>
      <w:r>
        <w:rPr>
          <w:rFonts w:ascii="Arial" w:hAnsi="Arial" w:cs="Arial"/>
          <w:sz w:val="24"/>
          <w:szCs w:val="24"/>
        </w:rPr>
        <w:t>s counsel submitted that the launching of condonation proceedings would have delayed the finalisation of the matter and caused additional costs. XTFM subm</w:t>
      </w:r>
      <w:r w:rsidR="004941AD">
        <w:rPr>
          <w:rFonts w:ascii="Arial" w:hAnsi="Arial" w:cs="Arial"/>
          <w:sz w:val="24"/>
          <w:szCs w:val="24"/>
        </w:rPr>
        <w:t>itted that the starting point for</w:t>
      </w:r>
      <w:r>
        <w:rPr>
          <w:rFonts w:ascii="Arial" w:hAnsi="Arial" w:cs="Arial"/>
          <w:sz w:val="24"/>
          <w:szCs w:val="24"/>
        </w:rPr>
        <w:t xml:space="preserve"> condonation is prejudice and that neither the DPW </w:t>
      </w:r>
      <w:r w:rsidR="004941AD">
        <w:rPr>
          <w:rFonts w:ascii="Arial" w:hAnsi="Arial" w:cs="Arial"/>
          <w:sz w:val="24"/>
          <w:szCs w:val="24"/>
        </w:rPr>
        <w:t>n</w:t>
      </w:r>
      <w:r>
        <w:rPr>
          <w:rFonts w:ascii="Arial" w:hAnsi="Arial" w:cs="Arial"/>
          <w:sz w:val="24"/>
          <w:szCs w:val="24"/>
        </w:rPr>
        <w:t xml:space="preserve">or Omarostax set out with any particularity the prejudice they may suffer if the supplementary founding affidavit is allowed. XTFM submitted that neither the DPW </w:t>
      </w:r>
      <w:r w:rsidR="004941AD">
        <w:rPr>
          <w:rFonts w:ascii="Arial" w:hAnsi="Arial" w:cs="Arial"/>
          <w:sz w:val="24"/>
          <w:szCs w:val="24"/>
        </w:rPr>
        <w:t>n</w:t>
      </w:r>
      <w:r>
        <w:rPr>
          <w:rFonts w:ascii="Arial" w:hAnsi="Arial" w:cs="Arial"/>
          <w:sz w:val="24"/>
          <w:szCs w:val="24"/>
        </w:rPr>
        <w:t xml:space="preserve">or Omarostax indicated at the case-management meeting with AJP Ledwaba that XTSF must apply for condonation for the late filing of its papers. </w:t>
      </w:r>
      <w:r w:rsidR="00096775">
        <w:rPr>
          <w:rFonts w:ascii="Arial" w:hAnsi="Arial" w:cs="Arial"/>
          <w:sz w:val="24"/>
          <w:szCs w:val="24"/>
        </w:rPr>
        <w:t>They both, however, requested an opportunity to file supplementary answering affidavit</w:t>
      </w:r>
      <w:r w:rsidR="004941AD">
        <w:rPr>
          <w:rFonts w:ascii="Arial" w:hAnsi="Arial" w:cs="Arial"/>
          <w:sz w:val="24"/>
          <w:szCs w:val="24"/>
        </w:rPr>
        <w:t xml:space="preserve">s. XTFM submitted that in its </w:t>
      </w:r>
      <w:r w:rsidR="00096775">
        <w:rPr>
          <w:rFonts w:ascii="Arial" w:hAnsi="Arial" w:cs="Arial"/>
          <w:sz w:val="24"/>
          <w:szCs w:val="24"/>
        </w:rPr>
        <w:t>view</w:t>
      </w:r>
      <w:r w:rsidR="004941AD">
        <w:rPr>
          <w:rFonts w:ascii="Arial" w:hAnsi="Arial" w:cs="Arial"/>
          <w:sz w:val="24"/>
          <w:szCs w:val="24"/>
        </w:rPr>
        <w:t>,</w:t>
      </w:r>
      <w:r w:rsidR="00096775">
        <w:rPr>
          <w:rFonts w:ascii="Arial" w:hAnsi="Arial" w:cs="Arial"/>
          <w:sz w:val="24"/>
          <w:szCs w:val="24"/>
        </w:rPr>
        <w:t xml:space="preserve"> no condonation is required in the </w:t>
      </w:r>
      <w:r w:rsidR="007C298C">
        <w:rPr>
          <w:rFonts w:ascii="Arial" w:hAnsi="Arial" w:cs="Arial"/>
          <w:sz w:val="24"/>
          <w:szCs w:val="24"/>
        </w:rPr>
        <w:t>circumstances</w:t>
      </w:r>
      <w:r w:rsidR="004941AD">
        <w:rPr>
          <w:rFonts w:ascii="Arial" w:hAnsi="Arial" w:cs="Arial"/>
          <w:sz w:val="24"/>
          <w:szCs w:val="24"/>
        </w:rPr>
        <w:t>. However, if condonation is</w:t>
      </w:r>
      <w:r w:rsidR="00096775">
        <w:rPr>
          <w:rFonts w:ascii="Arial" w:hAnsi="Arial" w:cs="Arial"/>
          <w:sz w:val="24"/>
          <w:szCs w:val="24"/>
        </w:rPr>
        <w:t xml:space="preserve"> required, XTFM requested that the late filing of their supplementary founding affidavit be condoned.</w:t>
      </w:r>
    </w:p>
    <w:p w14:paraId="3DC4E2F3" w14:textId="77777777" w:rsidR="00E63CD6" w:rsidRPr="00E63CD6" w:rsidRDefault="00E63CD6" w:rsidP="00E63CD6">
      <w:pPr>
        <w:pStyle w:val="ListParagraph"/>
        <w:rPr>
          <w:rFonts w:ascii="Arial" w:hAnsi="Arial" w:cs="Arial"/>
          <w:sz w:val="24"/>
          <w:szCs w:val="24"/>
        </w:rPr>
      </w:pPr>
    </w:p>
    <w:p w14:paraId="2C29984F" w14:textId="099D11E5" w:rsidR="00E63CD6" w:rsidRDefault="007C298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Part</w:t>
      </w:r>
      <w:r w:rsidR="007C1687">
        <w:rPr>
          <w:rFonts w:ascii="Arial" w:hAnsi="Arial" w:cs="Arial"/>
          <w:sz w:val="24"/>
          <w:szCs w:val="24"/>
        </w:rPr>
        <w:t>ies to legal proceedings sometimes</w:t>
      </w:r>
      <w:r w:rsidR="004941AD">
        <w:rPr>
          <w:rFonts w:ascii="Arial" w:hAnsi="Arial" w:cs="Arial"/>
          <w:sz w:val="24"/>
          <w:szCs w:val="24"/>
        </w:rPr>
        <w:t xml:space="preserve"> lose sight that</w:t>
      </w:r>
      <w:r>
        <w:rPr>
          <w:rFonts w:ascii="Arial" w:hAnsi="Arial" w:cs="Arial"/>
          <w:sz w:val="24"/>
          <w:szCs w:val="24"/>
        </w:rPr>
        <w:t xml:space="preserve"> the Uniform Rules of Court are a set of procedural prescripts which must be followed by parties and their lawyers within the court</w:t>
      </w:r>
      <w:r w:rsidR="00646017">
        <w:rPr>
          <w:rFonts w:ascii="Arial" w:hAnsi="Arial" w:cs="Arial"/>
          <w:sz w:val="24"/>
          <w:szCs w:val="24"/>
        </w:rPr>
        <w:t>'</w:t>
      </w:r>
      <w:r>
        <w:rPr>
          <w:rFonts w:ascii="Arial" w:hAnsi="Arial" w:cs="Arial"/>
          <w:sz w:val="24"/>
          <w:szCs w:val="24"/>
        </w:rPr>
        <w:t>s jurisdiction. The view that condonation need not be sought by one party because the other party also filed papers outside the prescribed time period, is untenable. Rule 27 provides that where parties cannot agree, the court may</w:t>
      </w:r>
      <w:r w:rsidR="004941AD">
        <w:rPr>
          <w:rFonts w:ascii="Arial" w:hAnsi="Arial" w:cs="Arial"/>
          <w:sz w:val="24"/>
          <w:szCs w:val="24"/>
        </w:rPr>
        <w:t>,</w:t>
      </w:r>
      <w:r>
        <w:rPr>
          <w:rFonts w:ascii="Arial" w:hAnsi="Arial" w:cs="Arial"/>
          <w:sz w:val="24"/>
          <w:szCs w:val="24"/>
        </w:rPr>
        <w:t xml:space="preserve"> on application on notice and on good cause shown, make an order extending or abridging any prescribed time period</w:t>
      </w:r>
      <w:r w:rsidR="00F854AF">
        <w:rPr>
          <w:rFonts w:ascii="Arial" w:hAnsi="Arial" w:cs="Arial"/>
          <w:sz w:val="24"/>
          <w:szCs w:val="24"/>
        </w:rPr>
        <w:t>s</w:t>
      </w:r>
      <w:r>
        <w:rPr>
          <w:rFonts w:ascii="Arial" w:hAnsi="Arial" w:cs="Arial"/>
          <w:sz w:val="24"/>
          <w:szCs w:val="24"/>
        </w:rPr>
        <w:t>. Rule 27(3)</w:t>
      </w:r>
      <w:r w:rsidR="00E00357">
        <w:rPr>
          <w:rFonts w:ascii="Arial" w:hAnsi="Arial" w:cs="Arial"/>
          <w:sz w:val="24"/>
          <w:szCs w:val="24"/>
        </w:rPr>
        <w:t xml:space="preserve"> provides that the court may, on good cause shown, condone any non-compliance with the rules. It is</w:t>
      </w:r>
      <w:r w:rsidR="007C1687">
        <w:rPr>
          <w:rFonts w:ascii="Arial" w:hAnsi="Arial" w:cs="Arial"/>
          <w:sz w:val="24"/>
          <w:szCs w:val="24"/>
        </w:rPr>
        <w:t>, however, trite</w:t>
      </w:r>
      <w:r w:rsidR="00E00357">
        <w:rPr>
          <w:rFonts w:ascii="Arial" w:hAnsi="Arial" w:cs="Arial"/>
          <w:sz w:val="24"/>
          <w:szCs w:val="24"/>
        </w:rPr>
        <w:t xml:space="preserve"> that the power conferred to the court by rule 27(3) is wide. In </w:t>
      </w:r>
      <w:r w:rsidR="00E00357">
        <w:rPr>
          <w:rFonts w:ascii="Arial" w:hAnsi="Arial" w:cs="Arial"/>
          <w:i/>
          <w:sz w:val="24"/>
          <w:szCs w:val="24"/>
        </w:rPr>
        <w:t>Ncoweni v Bezuidenhout</w:t>
      </w:r>
      <w:r w:rsidR="00E00357">
        <w:rPr>
          <w:rStyle w:val="FootnoteReference"/>
          <w:rFonts w:ascii="Arial" w:hAnsi="Arial" w:cs="Arial"/>
          <w:i/>
          <w:sz w:val="24"/>
          <w:szCs w:val="24"/>
        </w:rPr>
        <w:footnoteReference w:id="2"/>
      </w:r>
      <w:r w:rsidR="00E00357">
        <w:rPr>
          <w:rFonts w:ascii="Arial" w:hAnsi="Arial" w:cs="Arial"/>
          <w:sz w:val="24"/>
          <w:szCs w:val="24"/>
        </w:rPr>
        <w:t xml:space="preserve"> it was held that:</w:t>
      </w:r>
    </w:p>
    <w:p w14:paraId="6CDF6707" w14:textId="77777777" w:rsidR="00E00357" w:rsidRPr="00E00357" w:rsidRDefault="00E00357" w:rsidP="00E00357">
      <w:pPr>
        <w:pStyle w:val="ListParagraph"/>
        <w:rPr>
          <w:rFonts w:ascii="Arial" w:hAnsi="Arial" w:cs="Arial"/>
          <w:sz w:val="24"/>
          <w:szCs w:val="24"/>
        </w:rPr>
      </w:pPr>
    </w:p>
    <w:p w14:paraId="7FD1C9FB" w14:textId="12123BF3" w:rsidR="00E00357" w:rsidRDefault="00646017" w:rsidP="00BC6F2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E00357">
        <w:rPr>
          <w:rFonts w:ascii="Arial" w:hAnsi="Arial" w:cs="Arial"/>
          <w:sz w:val="24"/>
          <w:szCs w:val="24"/>
        </w:rPr>
        <w:t>The Rules of Procedure of this Court are devised for the purpose of administering justice and not for hampering it …</w:t>
      </w:r>
      <w:r w:rsidR="004941AD">
        <w:rPr>
          <w:rFonts w:ascii="Arial" w:hAnsi="Arial" w:cs="Arial"/>
          <w:sz w:val="24"/>
          <w:szCs w:val="24"/>
        </w:rPr>
        <w:t>.</w:t>
      </w:r>
      <w:r>
        <w:rPr>
          <w:rFonts w:ascii="Arial" w:hAnsi="Arial" w:cs="Arial"/>
          <w:sz w:val="24"/>
          <w:szCs w:val="24"/>
        </w:rPr>
        <w:t>'</w:t>
      </w:r>
    </w:p>
    <w:p w14:paraId="26F0A81F" w14:textId="77777777" w:rsidR="00B57969" w:rsidRPr="00B57969" w:rsidRDefault="00B57969" w:rsidP="00B57969">
      <w:pPr>
        <w:pStyle w:val="ListParagraph"/>
        <w:rPr>
          <w:rFonts w:ascii="Arial" w:hAnsi="Arial" w:cs="Arial"/>
          <w:sz w:val="24"/>
          <w:szCs w:val="24"/>
        </w:rPr>
      </w:pPr>
    </w:p>
    <w:p w14:paraId="0A096437" w14:textId="2B64D337" w:rsidR="004941AD" w:rsidRDefault="007C168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XTFM effectively sought condonation from the bar</w:t>
      </w:r>
      <w:r w:rsidR="004941AD">
        <w:rPr>
          <w:rFonts w:ascii="Arial" w:hAnsi="Arial" w:cs="Arial"/>
          <w:sz w:val="24"/>
          <w:szCs w:val="24"/>
        </w:rPr>
        <w:t xml:space="preserve"> since no substantive condonation application was filed</w:t>
      </w:r>
      <w:r>
        <w:rPr>
          <w:rFonts w:ascii="Arial" w:hAnsi="Arial" w:cs="Arial"/>
          <w:sz w:val="24"/>
          <w:szCs w:val="24"/>
        </w:rPr>
        <w:t xml:space="preserve">. </w:t>
      </w:r>
      <w:r w:rsidR="004941AD">
        <w:rPr>
          <w:rFonts w:ascii="Arial" w:hAnsi="Arial" w:cs="Arial"/>
          <w:sz w:val="24"/>
          <w:szCs w:val="24"/>
        </w:rPr>
        <w:t>However, t</w:t>
      </w:r>
      <w:r>
        <w:rPr>
          <w:rFonts w:ascii="Arial" w:hAnsi="Arial" w:cs="Arial"/>
          <w:sz w:val="24"/>
          <w:szCs w:val="24"/>
        </w:rPr>
        <w:t>he DPW and Omarostax were forewarned since XTFM alluded in their heads of argument that although they are of the view that condonation need not be sought</w:t>
      </w:r>
      <w:r w:rsidR="004941AD">
        <w:rPr>
          <w:rFonts w:ascii="Arial" w:hAnsi="Arial" w:cs="Arial"/>
          <w:sz w:val="24"/>
          <w:szCs w:val="24"/>
        </w:rPr>
        <w:t>,</w:t>
      </w:r>
      <w:r>
        <w:rPr>
          <w:rFonts w:ascii="Arial" w:hAnsi="Arial" w:cs="Arial"/>
          <w:sz w:val="24"/>
          <w:szCs w:val="24"/>
        </w:rPr>
        <w:t xml:space="preserve"> they request the court to grant them condonation if the court holds otherwise. </w:t>
      </w:r>
    </w:p>
    <w:p w14:paraId="5607B8AD" w14:textId="77777777" w:rsidR="004941AD" w:rsidRDefault="004941AD" w:rsidP="004941AD">
      <w:pPr>
        <w:pStyle w:val="ListParagraph"/>
        <w:tabs>
          <w:tab w:val="left" w:pos="4917"/>
        </w:tabs>
        <w:spacing w:before="120" w:after="120" w:line="360" w:lineRule="auto"/>
        <w:jc w:val="both"/>
        <w:rPr>
          <w:rFonts w:ascii="Arial" w:hAnsi="Arial" w:cs="Arial"/>
          <w:sz w:val="24"/>
          <w:szCs w:val="24"/>
        </w:rPr>
      </w:pPr>
    </w:p>
    <w:p w14:paraId="104676FB" w14:textId="14265C48" w:rsidR="00B57969" w:rsidRDefault="00BC6F2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W</w:t>
      </w:r>
      <w:r w:rsidR="004941AD">
        <w:rPr>
          <w:rFonts w:ascii="Arial" w:hAnsi="Arial" w:cs="Arial"/>
          <w:sz w:val="24"/>
          <w:szCs w:val="24"/>
        </w:rPr>
        <w:t>here public funds are at stake</w:t>
      </w:r>
      <w:r w:rsidR="00E00357">
        <w:rPr>
          <w:rFonts w:ascii="Arial" w:hAnsi="Arial" w:cs="Arial"/>
          <w:sz w:val="24"/>
          <w:szCs w:val="24"/>
        </w:rPr>
        <w:t xml:space="preserve">, and </w:t>
      </w:r>
      <w:r>
        <w:rPr>
          <w:rFonts w:ascii="Arial" w:hAnsi="Arial" w:cs="Arial"/>
          <w:sz w:val="24"/>
          <w:szCs w:val="24"/>
        </w:rPr>
        <w:t>an administrative decision</w:t>
      </w:r>
      <w:r w:rsidR="00E00357">
        <w:rPr>
          <w:rFonts w:ascii="Arial" w:hAnsi="Arial" w:cs="Arial"/>
          <w:sz w:val="24"/>
          <w:szCs w:val="24"/>
        </w:rPr>
        <w:t xml:space="preserve"> </w:t>
      </w:r>
      <w:r>
        <w:rPr>
          <w:rFonts w:ascii="Arial" w:hAnsi="Arial" w:cs="Arial"/>
          <w:sz w:val="24"/>
          <w:szCs w:val="24"/>
        </w:rPr>
        <w:t xml:space="preserve">is </w:t>
      </w:r>
      <w:r w:rsidR="00E00357">
        <w:rPr>
          <w:rFonts w:ascii="Arial" w:hAnsi="Arial" w:cs="Arial"/>
          <w:sz w:val="24"/>
          <w:szCs w:val="24"/>
        </w:rPr>
        <w:t xml:space="preserve">sought to be scrutinised for irregularities, </w:t>
      </w:r>
      <w:r>
        <w:rPr>
          <w:rFonts w:ascii="Arial" w:hAnsi="Arial" w:cs="Arial"/>
          <w:sz w:val="24"/>
          <w:szCs w:val="24"/>
        </w:rPr>
        <w:t xml:space="preserve">in circumstances </w:t>
      </w:r>
      <w:r w:rsidR="00E00357">
        <w:rPr>
          <w:rFonts w:ascii="Arial" w:hAnsi="Arial" w:cs="Arial"/>
          <w:sz w:val="24"/>
          <w:szCs w:val="24"/>
        </w:rPr>
        <w:t xml:space="preserve">where XTFM explained the reasons that caused the late filing of the </w:t>
      </w:r>
      <w:r>
        <w:rPr>
          <w:rFonts w:ascii="Arial" w:hAnsi="Arial" w:cs="Arial"/>
          <w:sz w:val="24"/>
          <w:szCs w:val="24"/>
        </w:rPr>
        <w:t xml:space="preserve">ROD and its </w:t>
      </w:r>
      <w:r w:rsidR="00E00357">
        <w:rPr>
          <w:rFonts w:ascii="Arial" w:hAnsi="Arial" w:cs="Arial"/>
          <w:sz w:val="24"/>
          <w:szCs w:val="24"/>
        </w:rPr>
        <w:t>supple</w:t>
      </w:r>
      <w:r>
        <w:rPr>
          <w:rFonts w:ascii="Arial" w:hAnsi="Arial" w:cs="Arial"/>
          <w:sz w:val="24"/>
          <w:szCs w:val="24"/>
        </w:rPr>
        <w:t xml:space="preserve">mentary founding affidavit, </w:t>
      </w:r>
      <w:r w:rsidR="00E00357">
        <w:rPr>
          <w:rFonts w:ascii="Arial" w:hAnsi="Arial" w:cs="Arial"/>
          <w:sz w:val="24"/>
          <w:szCs w:val="24"/>
        </w:rPr>
        <w:t>where it is not evident from the papers that eit</w:t>
      </w:r>
      <w:r>
        <w:rPr>
          <w:rFonts w:ascii="Arial" w:hAnsi="Arial" w:cs="Arial"/>
          <w:sz w:val="24"/>
          <w:szCs w:val="24"/>
        </w:rPr>
        <w:t xml:space="preserve">her the DPW or </w:t>
      </w:r>
      <w:r w:rsidR="00B04A27">
        <w:rPr>
          <w:rFonts w:ascii="Arial" w:hAnsi="Arial" w:cs="Arial"/>
          <w:sz w:val="24"/>
          <w:szCs w:val="24"/>
        </w:rPr>
        <w:t>Omarostax</w:t>
      </w:r>
      <w:r>
        <w:rPr>
          <w:rFonts w:ascii="Arial" w:hAnsi="Arial" w:cs="Arial"/>
          <w:sz w:val="24"/>
          <w:szCs w:val="24"/>
        </w:rPr>
        <w:t xml:space="preserve"> are</w:t>
      </w:r>
      <w:r w:rsidR="00E00357">
        <w:rPr>
          <w:rFonts w:ascii="Arial" w:hAnsi="Arial" w:cs="Arial"/>
          <w:sz w:val="24"/>
          <w:szCs w:val="24"/>
        </w:rPr>
        <w:t xml:space="preserve"> prejudiced in the conduct of the </w:t>
      </w:r>
      <w:r>
        <w:rPr>
          <w:rFonts w:ascii="Arial" w:hAnsi="Arial" w:cs="Arial"/>
          <w:sz w:val="24"/>
          <w:szCs w:val="24"/>
        </w:rPr>
        <w:t>proceedings, and where another court already granted interim relief by interdicting the implementation of the impug</w:t>
      </w:r>
      <w:r w:rsidR="004941AD">
        <w:rPr>
          <w:rFonts w:ascii="Arial" w:hAnsi="Arial" w:cs="Arial"/>
          <w:sz w:val="24"/>
          <w:szCs w:val="24"/>
        </w:rPr>
        <w:t>n</w:t>
      </w:r>
      <w:r>
        <w:rPr>
          <w:rFonts w:ascii="Arial" w:hAnsi="Arial" w:cs="Arial"/>
          <w:sz w:val="24"/>
          <w:szCs w:val="24"/>
        </w:rPr>
        <w:t>ed decision, I am condoning the late filing of the ROD and the supplementary founding affidavit. Omarostax and the DPW filed supplementary answering affidavits</w:t>
      </w:r>
      <w:r w:rsidR="004941AD">
        <w:rPr>
          <w:rFonts w:ascii="Arial" w:hAnsi="Arial" w:cs="Arial"/>
          <w:sz w:val="24"/>
          <w:szCs w:val="24"/>
        </w:rPr>
        <w:t>, which in turn necessitated filing</w:t>
      </w:r>
      <w:r>
        <w:rPr>
          <w:rFonts w:ascii="Arial" w:hAnsi="Arial" w:cs="Arial"/>
          <w:sz w:val="24"/>
          <w:szCs w:val="24"/>
        </w:rPr>
        <w:t xml:space="preserve"> a supplementary replying affidavit</w:t>
      </w:r>
      <w:r w:rsidR="004941AD">
        <w:rPr>
          <w:rFonts w:ascii="Arial" w:hAnsi="Arial" w:cs="Arial"/>
          <w:sz w:val="24"/>
          <w:szCs w:val="24"/>
        </w:rPr>
        <w:t xml:space="preserve"> by XTFM</w:t>
      </w:r>
      <w:r>
        <w:rPr>
          <w:rFonts w:ascii="Arial" w:hAnsi="Arial" w:cs="Arial"/>
          <w:sz w:val="24"/>
          <w:szCs w:val="24"/>
        </w:rPr>
        <w:t xml:space="preserve">. To deprive an applicant of its right to reply to an answering affidavit would be to ignore the </w:t>
      </w:r>
      <w:r>
        <w:rPr>
          <w:rFonts w:ascii="Arial" w:hAnsi="Arial" w:cs="Arial"/>
          <w:i/>
          <w:sz w:val="24"/>
          <w:szCs w:val="24"/>
        </w:rPr>
        <w:t>audi</w:t>
      </w:r>
      <w:r>
        <w:rPr>
          <w:rFonts w:ascii="Arial" w:hAnsi="Arial" w:cs="Arial"/>
          <w:sz w:val="24"/>
          <w:szCs w:val="24"/>
        </w:rPr>
        <w:t xml:space="preserve"> </w:t>
      </w:r>
      <w:r w:rsidRPr="00BC6F27">
        <w:rPr>
          <w:rFonts w:ascii="Arial" w:hAnsi="Arial" w:cs="Arial"/>
          <w:i/>
          <w:sz w:val="24"/>
          <w:szCs w:val="24"/>
        </w:rPr>
        <w:t>et alteram partem</w:t>
      </w:r>
      <w:r w:rsidR="004941AD">
        <w:rPr>
          <w:rFonts w:ascii="Arial" w:hAnsi="Arial" w:cs="Arial"/>
          <w:i/>
          <w:sz w:val="24"/>
          <w:szCs w:val="24"/>
        </w:rPr>
        <w:t xml:space="preserve"> </w:t>
      </w:r>
      <w:r>
        <w:rPr>
          <w:rFonts w:ascii="Arial" w:hAnsi="Arial" w:cs="Arial"/>
          <w:sz w:val="24"/>
          <w:szCs w:val="24"/>
        </w:rPr>
        <w:t>-doctrine.</w:t>
      </w:r>
    </w:p>
    <w:p w14:paraId="5F98A784" w14:textId="77777777" w:rsidR="00BC6F27" w:rsidRDefault="00BC6F27" w:rsidP="00BC6F27">
      <w:pPr>
        <w:pStyle w:val="ListParagraph"/>
        <w:tabs>
          <w:tab w:val="left" w:pos="4917"/>
        </w:tabs>
        <w:spacing w:before="120" w:after="120" w:line="360" w:lineRule="auto"/>
        <w:jc w:val="both"/>
        <w:rPr>
          <w:rFonts w:ascii="Arial" w:hAnsi="Arial" w:cs="Arial"/>
          <w:sz w:val="24"/>
          <w:szCs w:val="24"/>
        </w:rPr>
      </w:pPr>
    </w:p>
    <w:p w14:paraId="563FBD7B" w14:textId="66B29836" w:rsidR="00AF78C2" w:rsidRDefault="00BC6F27" w:rsidP="00AF78C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As for the application to strike out the report and affidavit of Mr. Van Zyl, the so-called </w:t>
      </w:r>
      <w:r w:rsidR="00FF424D">
        <w:rPr>
          <w:rFonts w:ascii="Arial" w:hAnsi="Arial" w:cs="Arial"/>
          <w:sz w:val="24"/>
          <w:szCs w:val="24"/>
        </w:rPr>
        <w:t>Ohkre-</w:t>
      </w:r>
      <w:r>
        <w:rPr>
          <w:rFonts w:ascii="Arial" w:hAnsi="Arial" w:cs="Arial"/>
          <w:sz w:val="24"/>
          <w:szCs w:val="24"/>
        </w:rPr>
        <w:t>report,</w:t>
      </w:r>
      <w:r w:rsidR="00AF78C2">
        <w:rPr>
          <w:rFonts w:ascii="Arial" w:hAnsi="Arial" w:cs="Arial"/>
          <w:sz w:val="24"/>
          <w:szCs w:val="24"/>
        </w:rPr>
        <w:t xml:space="preserve"> </w:t>
      </w:r>
      <w:r w:rsidR="004941AD">
        <w:rPr>
          <w:rFonts w:ascii="Arial" w:hAnsi="Arial" w:cs="Arial"/>
          <w:sz w:val="24"/>
          <w:szCs w:val="24"/>
        </w:rPr>
        <w:t xml:space="preserve">it is sufficient to state that the basis on which this review application is decided renders the consideration of the admissibility of the Ohkre-report </w:t>
      </w:r>
      <w:r w:rsidR="009A6A0A">
        <w:rPr>
          <w:rFonts w:ascii="Arial" w:hAnsi="Arial" w:cs="Arial"/>
          <w:sz w:val="24"/>
          <w:szCs w:val="24"/>
        </w:rPr>
        <w:t>redundant</w:t>
      </w:r>
      <w:r w:rsidR="004941AD">
        <w:rPr>
          <w:rFonts w:ascii="Arial" w:hAnsi="Arial" w:cs="Arial"/>
          <w:sz w:val="24"/>
          <w:szCs w:val="24"/>
        </w:rPr>
        <w:t>.</w:t>
      </w:r>
    </w:p>
    <w:p w14:paraId="7DA9E3FF" w14:textId="77777777" w:rsidR="00AF78C2" w:rsidRPr="00AF78C2" w:rsidRDefault="00AF78C2" w:rsidP="00AF78C2">
      <w:pPr>
        <w:pStyle w:val="ListParagraph"/>
        <w:rPr>
          <w:rFonts w:ascii="Arial" w:hAnsi="Arial" w:cs="Arial"/>
          <w:sz w:val="24"/>
          <w:szCs w:val="24"/>
        </w:rPr>
      </w:pPr>
    </w:p>
    <w:p w14:paraId="1DB35DEC" w14:textId="2F3B9FAE" w:rsidR="00CC4CBF" w:rsidRPr="00AF78C2" w:rsidRDefault="00581965" w:rsidP="00AF78C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AF78C2">
        <w:rPr>
          <w:rFonts w:ascii="Arial" w:hAnsi="Arial" w:cs="Arial"/>
          <w:sz w:val="24"/>
          <w:szCs w:val="24"/>
        </w:rPr>
        <w:t>The DPW, the custodian of the ROD, purported to attach Omarostax</w:t>
      </w:r>
      <w:r w:rsidR="00646017">
        <w:rPr>
          <w:rFonts w:ascii="Arial" w:hAnsi="Arial" w:cs="Arial"/>
          <w:sz w:val="24"/>
          <w:szCs w:val="24"/>
        </w:rPr>
        <w:t>'</w:t>
      </w:r>
      <w:r w:rsidRPr="00AF78C2">
        <w:rPr>
          <w:rFonts w:ascii="Arial" w:hAnsi="Arial" w:cs="Arial"/>
          <w:sz w:val="24"/>
          <w:szCs w:val="24"/>
        </w:rPr>
        <w:t xml:space="preserve">s bid to its answering affidavit in the urgent application. It </w:t>
      </w:r>
      <w:r w:rsidR="00AF78C2">
        <w:rPr>
          <w:rFonts w:ascii="Arial" w:hAnsi="Arial" w:cs="Arial"/>
          <w:sz w:val="24"/>
          <w:szCs w:val="24"/>
        </w:rPr>
        <w:t xml:space="preserve">provided parts of the record as annexures to the answering affidavit filed in the urgent court application during July 2021, </w:t>
      </w:r>
      <w:r w:rsidRPr="00AF78C2">
        <w:rPr>
          <w:rFonts w:ascii="Arial" w:hAnsi="Arial" w:cs="Arial"/>
          <w:sz w:val="24"/>
          <w:szCs w:val="24"/>
        </w:rPr>
        <w:t>up</w:t>
      </w:r>
      <w:r w:rsidR="00AF78C2">
        <w:rPr>
          <w:rFonts w:ascii="Arial" w:hAnsi="Arial" w:cs="Arial"/>
          <w:sz w:val="24"/>
          <w:szCs w:val="24"/>
        </w:rPr>
        <w:t xml:space="preserve">loaded a ROD to Caseline on 31 </w:t>
      </w:r>
      <w:r w:rsidRPr="00AF78C2">
        <w:rPr>
          <w:rFonts w:ascii="Arial" w:hAnsi="Arial" w:cs="Arial"/>
          <w:sz w:val="24"/>
          <w:szCs w:val="24"/>
        </w:rPr>
        <w:t>August 2021</w:t>
      </w:r>
      <w:r w:rsidR="00AF78C2">
        <w:rPr>
          <w:rFonts w:ascii="Arial" w:hAnsi="Arial" w:cs="Arial"/>
          <w:sz w:val="24"/>
          <w:szCs w:val="24"/>
        </w:rPr>
        <w:t>,</w:t>
      </w:r>
      <w:r w:rsidRPr="00AF78C2">
        <w:rPr>
          <w:rFonts w:ascii="Arial" w:hAnsi="Arial" w:cs="Arial"/>
          <w:sz w:val="24"/>
          <w:szCs w:val="24"/>
        </w:rPr>
        <w:t xml:space="preserve"> and again uploaded a so-called- complete ROD on 3 December 2021. The DPW did not explain the </w:t>
      </w:r>
      <w:r w:rsidR="00A34ECA" w:rsidRPr="00AF78C2">
        <w:rPr>
          <w:rFonts w:ascii="Arial" w:hAnsi="Arial" w:cs="Arial"/>
          <w:sz w:val="24"/>
          <w:szCs w:val="24"/>
        </w:rPr>
        <w:t xml:space="preserve">need to upload a complete ROD or why the ROD provided during August was not </w:t>
      </w:r>
      <w:r w:rsidR="00646017">
        <w:rPr>
          <w:rFonts w:ascii="Arial" w:hAnsi="Arial" w:cs="Arial"/>
          <w:sz w:val="24"/>
          <w:szCs w:val="24"/>
        </w:rPr>
        <w:t>'</w:t>
      </w:r>
      <w:r w:rsidR="00A34ECA" w:rsidRPr="00AF78C2">
        <w:rPr>
          <w:rFonts w:ascii="Arial" w:hAnsi="Arial" w:cs="Arial"/>
          <w:sz w:val="24"/>
          <w:szCs w:val="24"/>
        </w:rPr>
        <w:t>complete</w:t>
      </w:r>
      <w:r w:rsidR="00646017">
        <w:rPr>
          <w:rFonts w:ascii="Arial" w:hAnsi="Arial" w:cs="Arial"/>
          <w:sz w:val="24"/>
          <w:szCs w:val="24"/>
        </w:rPr>
        <w:t>'</w:t>
      </w:r>
      <w:r w:rsidR="00AF78C2">
        <w:rPr>
          <w:rFonts w:ascii="Arial" w:hAnsi="Arial" w:cs="Arial"/>
          <w:sz w:val="24"/>
          <w:szCs w:val="24"/>
        </w:rPr>
        <w:t>.</w:t>
      </w:r>
      <w:r w:rsidR="00A34ECA" w:rsidRPr="00AF78C2">
        <w:rPr>
          <w:rFonts w:ascii="Arial" w:hAnsi="Arial" w:cs="Arial"/>
          <w:sz w:val="24"/>
          <w:szCs w:val="24"/>
        </w:rPr>
        <w:t xml:space="preserve"> </w:t>
      </w:r>
      <w:r w:rsidR="00AF78C2">
        <w:rPr>
          <w:rFonts w:ascii="Arial" w:hAnsi="Arial" w:cs="Arial"/>
          <w:sz w:val="24"/>
          <w:szCs w:val="24"/>
        </w:rPr>
        <w:t>Although no finding turns on this</w:t>
      </w:r>
      <w:r w:rsidR="009A6A0A">
        <w:rPr>
          <w:rFonts w:ascii="Arial" w:hAnsi="Arial" w:cs="Arial"/>
          <w:sz w:val="24"/>
          <w:szCs w:val="24"/>
        </w:rPr>
        <w:t>,</w:t>
      </w:r>
      <w:r w:rsidR="00AF78C2">
        <w:rPr>
          <w:rFonts w:ascii="Arial" w:hAnsi="Arial" w:cs="Arial"/>
          <w:sz w:val="24"/>
          <w:szCs w:val="24"/>
        </w:rPr>
        <w:t xml:space="preserve"> due to the basis on which the application was decided, the DPW should be aware that the absence of an explanation may raise questions about the authenticity of the parts of the record belatedly uploaded.</w:t>
      </w:r>
    </w:p>
    <w:p w14:paraId="1D47DE6B" w14:textId="77777777" w:rsidR="00CC4CBF" w:rsidRPr="00CC4CBF" w:rsidRDefault="00CC4CBF" w:rsidP="00CC4CBF">
      <w:pPr>
        <w:pStyle w:val="ListParagraph"/>
        <w:rPr>
          <w:rFonts w:ascii="Arial" w:hAnsi="Arial" w:cs="Arial"/>
          <w:sz w:val="24"/>
          <w:szCs w:val="24"/>
        </w:rPr>
      </w:pPr>
    </w:p>
    <w:p w14:paraId="7EB73E57" w14:textId="6AE8E10C" w:rsidR="00CC4CBF" w:rsidRPr="00CC4CBF" w:rsidRDefault="00CC4CBF" w:rsidP="00CC4CBF">
      <w:pPr>
        <w:tabs>
          <w:tab w:val="left" w:pos="4917"/>
        </w:tabs>
        <w:spacing w:before="120" w:after="120" w:line="360" w:lineRule="auto"/>
        <w:jc w:val="both"/>
        <w:rPr>
          <w:rFonts w:ascii="Arial" w:hAnsi="Arial" w:cs="Arial"/>
          <w:i/>
          <w:sz w:val="24"/>
          <w:szCs w:val="24"/>
        </w:rPr>
      </w:pPr>
      <w:r>
        <w:rPr>
          <w:rFonts w:ascii="Arial" w:hAnsi="Arial" w:cs="Arial"/>
          <w:i/>
          <w:sz w:val="24"/>
          <w:szCs w:val="24"/>
        </w:rPr>
        <w:t>Grounds for review</w:t>
      </w:r>
    </w:p>
    <w:p w14:paraId="66213142" w14:textId="77777777" w:rsidR="00B57969" w:rsidRPr="00B57969" w:rsidRDefault="00B57969" w:rsidP="00B57969">
      <w:pPr>
        <w:pStyle w:val="ListParagraph"/>
        <w:rPr>
          <w:rFonts w:ascii="Arial" w:hAnsi="Arial" w:cs="Arial"/>
          <w:sz w:val="24"/>
          <w:szCs w:val="24"/>
        </w:rPr>
      </w:pPr>
    </w:p>
    <w:p w14:paraId="3768D005" w14:textId="4FA6D08E" w:rsidR="00B57969" w:rsidRDefault="008939C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XTFM raised the following grounds </w:t>
      </w:r>
      <w:r w:rsidR="00AF78C2">
        <w:rPr>
          <w:rFonts w:ascii="Arial" w:hAnsi="Arial" w:cs="Arial"/>
          <w:sz w:val="24"/>
          <w:szCs w:val="24"/>
        </w:rPr>
        <w:t>for</w:t>
      </w:r>
      <w:r>
        <w:rPr>
          <w:rFonts w:ascii="Arial" w:hAnsi="Arial" w:cs="Arial"/>
          <w:sz w:val="24"/>
          <w:szCs w:val="24"/>
        </w:rPr>
        <w:t xml:space="preserve"> review:</w:t>
      </w:r>
    </w:p>
    <w:p w14:paraId="36AAF669" w14:textId="153281EC" w:rsidR="008939C6" w:rsidRDefault="008939C6" w:rsidP="008939C6">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property offered by Omarostax, Oak Avenue, does not comply with the space requirement</w:t>
      </w:r>
      <w:r w:rsidR="007C1687">
        <w:rPr>
          <w:rFonts w:ascii="Arial" w:hAnsi="Arial" w:cs="Arial"/>
          <w:sz w:val="24"/>
          <w:szCs w:val="24"/>
        </w:rPr>
        <w:t xml:space="preserve"> stipulated in the tender document</w:t>
      </w:r>
      <w:r>
        <w:rPr>
          <w:rFonts w:ascii="Arial" w:hAnsi="Arial" w:cs="Arial"/>
          <w:sz w:val="24"/>
          <w:szCs w:val="24"/>
        </w:rPr>
        <w:t>. The tender document requires office space of 12 146m</w:t>
      </w:r>
      <w:r w:rsidR="00B04A27">
        <w:rPr>
          <w:rFonts w:ascii="Arial" w:hAnsi="Arial" w:cs="Arial"/>
          <w:sz w:val="24"/>
          <w:szCs w:val="24"/>
          <w:vertAlign w:val="superscript"/>
        </w:rPr>
        <w:t xml:space="preserve">2 </w:t>
      </w:r>
      <w:r w:rsidR="00B04A27">
        <w:rPr>
          <w:rFonts w:ascii="Arial" w:hAnsi="Arial" w:cs="Arial"/>
          <w:sz w:val="24"/>
          <w:szCs w:val="24"/>
        </w:rPr>
        <w:t>and</w:t>
      </w:r>
      <w:r>
        <w:rPr>
          <w:rFonts w:ascii="Arial" w:hAnsi="Arial" w:cs="Arial"/>
          <w:sz w:val="24"/>
          <w:szCs w:val="24"/>
        </w:rPr>
        <w:t xml:space="preserve"> 528 parking bays;</w:t>
      </w:r>
    </w:p>
    <w:p w14:paraId="4FE56DDA" w14:textId="35F3E3EC" w:rsidR="00F11D79" w:rsidRDefault="00F11D79" w:rsidP="00F11D7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Oak Avenue is not correctly zoned as it is zoned for </w:t>
      </w:r>
      <w:r w:rsidR="00646017">
        <w:rPr>
          <w:rFonts w:ascii="Arial" w:hAnsi="Arial" w:cs="Arial"/>
          <w:sz w:val="24"/>
          <w:szCs w:val="24"/>
        </w:rPr>
        <w:t>'</w:t>
      </w:r>
      <w:r>
        <w:rPr>
          <w:rFonts w:ascii="Arial" w:hAnsi="Arial" w:cs="Arial"/>
          <w:sz w:val="24"/>
          <w:szCs w:val="24"/>
        </w:rPr>
        <w:t>industrial 2</w:t>
      </w:r>
      <w:r w:rsidR="00646017">
        <w:rPr>
          <w:rFonts w:ascii="Arial" w:hAnsi="Arial" w:cs="Arial"/>
          <w:sz w:val="24"/>
          <w:szCs w:val="24"/>
        </w:rPr>
        <w:t>'</w:t>
      </w:r>
      <w:r>
        <w:rPr>
          <w:rFonts w:ascii="Arial" w:hAnsi="Arial" w:cs="Arial"/>
          <w:sz w:val="24"/>
          <w:szCs w:val="24"/>
        </w:rPr>
        <w:t xml:space="preserve"> use</w:t>
      </w:r>
      <w:r w:rsidR="00AF78C2">
        <w:rPr>
          <w:rFonts w:ascii="Arial" w:hAnsi="Arial" w:cs="Arial"/>
          <w:sz w:val="24"/>
          <w:szCs w:val="24"/>
        </w:rPr>
        <w:t>, and property</w:t>
      </w:r>
      <w:r>
        <w:rPr>
          <w:rFonts w:ascii="Arial" w:hAnsi="Arial" w:cs="Arial"/>
          <w:sz w:val="24"/>
          <w:szCs w:val="24"/>
        </w:rPr>
        <w:t xml:space="preserve"> zoned </w:t>
      </w:r>
      <w:r w:rsidR="00646017">
        <w:rPr>
          <w:rFonts w:ascii="Arial" w:hAnsi="Arial" w:cs="Arial"/>
          <w:sz w:val="24"/>
          <w:szCs w:val="24"/>
        </w:rPr>
        <w:t>'</w:t>
      </w:r>
      <w:r>
        <w:rPr>
          <w:rFonts w:ascii="Arial" w:hAnsi="Arial" w:cs="Arial"/>
          <w:sz w:val="24"/>
          <w:szCs w:val="24"/>
        </w:rPr>
        <w:t>industrial 2</w:t>
      </w:r>
      <w:r w:rsidR="00646017">
        <w:rPr>
          <w:rFonts w:ascii="Arial" w:hAnsi="Arial" w:cs="Arial"/>
          <w:sz w:val="24"/>
          <w:szCs w:val="24"/>
        </w:rPr>
        <w:t>'</w:t>
      </w:r>
      <w:r>
        <w:rPr>
          <w:rFonts w:ascii="Arial" w:hAnsi="Arial" w:cs="Arial"/>
          <w:sz w:val="24"/>
          <w:szCs w:val="24"/>
        </w:rPr>
        <w:t xml:space="preserve"> is not to be used for office space as </w:t>
      </w:r>
      <w:r w:rsidR="00AF78C2">
        <w:rPr>
          <w:rFonts w:ascii="Arial" w:hAnsi="Arial" w:cs="Arial"/>
          <w:sz w:val="24"/>
          <w:szCs w:val="24"/>
        </w:rPr>
        <w:t>the</w:t>
      </w:r>
      <w:r>
        <w:rPr>
          <w:rFonts w:ascii="Arial" w:hAnsi="Arial" w:cs="Arial"/>
          <w:sz w:val="24"/>
          <w:szCs w:val="24"/>
        </w:rPr>
        <w:t xml:space="preserve"> main use. </w:t>
      </w:r>
    </w:p>
    <w:p w14:paraId="5EDAA43B" w14:textId="34DC1D61" w:rsidR="00F11D79" w:rsidRDefault="00F11D79" w:rsidP="00F11D7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Omarostax was not the </w:t>
      </w:r>
      <w:r w:rsidR="00AF78C2">
        <w:rPr>
          <w:rFonts w:ascii="Arial" w:hAnsi="Arial" w:cs="Arial"/>
          <w:sz w:val="24"/>
          <w:szCs w:val="24"/>
        </w:rPr>
        <w:t>property owner</w:t>
      </w:r>
      <w:r>
        <w:rPr>
          <w:rFonts w:ascii="Arial" w:hAnsi="Arial" w:cs="Arial"/>
          <w:sz w:val="24"/>
          <w:szCs w:val="24"/>
        </w:rPr>
        <w:t xml:space="preserve"> at the time it submitted its bid. As a result, and in accordance with the responsiveness criteria set out in the tender document, Omarostax was obliged to submit a signed purchase agreement and title deed with its bid. The ROD reflects that Omarostax</w:t>
      </w:r>
      <w:r w:rsidR="00646017">
        <w:rPr>
          <w:rFonts w:ascii="Arial" w:hAnsi="Arial" w:cs="Arial"/>
          <w:sz w:val="24"/>
          <w:szCs w:val="24"/>
        </w:rPr>
        <w:t>'</w:t>
      </w:r>
      <w:r>
        <w:rPr>
          <w:rFonts w:ascii="Arial" w:hAnsi="Arial" w:cs="Arial"/>
          <w:sz w:val="24"/>
          <w:szCs w:val="24"/>
        </w:rPr>
        <w:t>s bid did not include a signed purchase agreement or the title deed in respect of Oak Avenue;</w:t>
      </w:r>
    </w:p>
    <w:p w14:paraId="0CC66015" w14:textId="77777777" w:rsidR="00F11D79" w:rsidRDefault="00F11D79" w:rsidP="00F11D79">
      <w:pPr>
        <w:pStyle w:val="ListParagraph"/>
        <w:numPr>
          <w:ilvl w:val="1"/>
          <w:numId w:val="37"/>
        </w:numPr>
        <w:tabs>
          <w:tab w:val="left" w:pos="4917"/>
        </w:tabs>
        <w:spacing w:before="120" w:after="120" w:line="360" w:lineRule="auto"/>
        <w:jc w:val="both"/>
        <w:rPr>
          <w:rFonts w:ascii="Arial" w:hAnsi="Arial" w:cs="Arial"/>
          <w:sz w:val="24"/>
          <w:szCs w:val="24"/>
        </w:rPr>
      </w:pPr>
      <w:r w:rsidRPr="00F11D79">
        <w:rPr>
          <w:rFonts w:ascii="Arial" w:hAnsi="Arial" w:cs="Arial"/>
          <w:sz w:val="24"/>
          <w:szCs w:val="24"/>
        </w:rPr>
        <w:t>Omarostax failed to comply with important conditions of bid</w:t>
      </w:r>
      <w:r>
        <w:rPr>
          <w:rFonts w:ascii="Arial" w:hAnsi="Arial" w:cs="Arial"/>
          <w:sz w:val="24"/>
          <w:szCs w:val="24"/>
        </w:rPr>
        <w:t>;</w:t>
      </w:r>
    </w:p>
    <w:p w14:paraId="6459E4F9" w14:textId="5314F5B5" w:rsidR="00F11D79" w:rsidRDefault="00F11D79" w:rsidP="00F11D7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lastRenderedPageBreak/>
        <w:t>Misce</w:t>
      </w:r>
      <w:r w:rsidR="00AF78C2">
        <w:rPr>
          <w:rFonts w:ascii="Arial" w:hAnsi="Arial" w:cs="Arial"/>
          <w:sz w:val="24"/>
          <w:szCs w:val="24"/>
        </w:rPr>
        <w:t>llaneous irregularities relate</w:t>
      </w:r>
      <w:r>
        <w:rPr>
          <w:rFonts w:ascii="Arial" w:hAnsi="Arial" w:cs="Arial"/>
          <w:sz w:val="24"/>
          <w:szCs w:val="24"/>
        </w:rPr>
        <w:t xml:space="preserve"> to the date of occupation, Omarostax not be</w:t>
      </w:r>
      <w:r w:rsidR="00AF78C2">
        <w:rPr>
          <w:rFonts w:ascii="Arial" w:hAnsi="Arial" w:cs="Arial"/>
          <w:sz w:val="24"/>
          <w:szCs w:val="24"/>
        </w:rPr>
        <w:t>ing</w:t>
      </w:r>
      <w:r>
        <w:rPr>
          <w:rFonts w:ascii="Arial" w:hAnsi="Arial" w:cs="Arial"/>
          <w:sz w:val="24"/>
          <w:szCs w:val="24"/>
        </w:rPr>
        <w:t xml:space="preserve"> registered for VAT, the period that Omarostax was in business; alleged non-compliance with National Building Regulations;</w:t>
      </w:r>
    </w:p>
    <w:p w14:paraId="47260644" w14:textId="6B700AA2" w:rsidR="00F11D79" w:rsidRDefault="00F11D79" w:rsidP="00F11D7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lease agreement which forms part of the tender document is not the </w:t>
      </w:r>
      <w:r w:rsidR="00FC67DA">
        <w:rPr>
          <w:rFonts w:ascii="Arial" w:hAnsi="Arial" w:cs="Arial"/>
          <w:sz w:val="24"/>
          <w:szCs w:val="24"/>
        </w:rPr>
        <w:t>same as the lease agreement concluded between Omarostax and the DPW;</w:t>
      </w:r>
    </w:p>
    <w:p w14:paraId="4454C936" w14:textId="5075BC8E" w:rsidR="00FC67DA" w:rsidRDefault="00FC67DA" w:rsidP="00F11D79">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Irregularities pertaining to the scoring sheets.</w:t>
      </w:r>
    </w:p>
    <w:p w14:paraId="5F4783E5" w14:textId="6F2F526D" w:rsidR="00F11D79" w:rsidRPr="00FC67DA" w:rsidRDefault="00F11D79" w:rsidP="00FC67DA">
      <w:pPr>
        <w:tabs>
          <w:tab w:val="left" w:pos="4917"/>
        </w:tabs>
        <w:spacing w:before="120" w:after="120" w:line="360" w:lineRule="auto"/>
        <w:jc w:val="both"/>
        <w:rPr>
          <w:rFonts w:ascii="Arial" w:hAnsi="Arial" w:cs="Arial"/>
          <w:sz w:val="24"/>
          <w:szCs w:val="24"/>
        </w:rPr>
      </w:pPr>
    </w:p>
    <w:p w14:paraId="405E89AB" w14:textId="6507066D" w:rsidR="008939C6" w:rsidRDefault="00FC67DA"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XTFM avers that the decision by the DPW to award the tender to Omarostax was</w:t>
      </w:r>
    </w:p>
    <w:p w14:paraId="598E6142" w14:textId="05EFF9A4" w:rsidR="00FC67DA" w:rsidRDefault="00FC67DA" w:rsidP="00FC67D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Procedurally unfair;</w:t>
      </w:r>
    </w:p>
    <w:p w14:paraId="6248B5FC" w14:textId="3796DDC9" w:rsidR="00FC67DA" w:rsidRDefault="00FC67DA" w:rsidP="00FC67D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Made for an ulterior purpose in that the space offered was, according to the DPW and Omarostax</w:t>
      </w:r>
      <w:r w:rsidR="00AF78C2">
        <w:rPr>
          <w:rFonts w:ascii="Arial" w:hAnsi="Arial" w:cs="Arial"/>
          <w:sz w:val="24"/>
          <w:szCs w:val="24"/>
        </w:rPr>
        <w:t>,</w:t>
      </w:r>
      <w:r>
        <w:rPr>
          <w:rFonts w:ascii="Arial" w:hAnsi="Arial" w:cs="Arial"/>
          <w:sz w:val="24"/>
          <w:szCs w:val="24"/>
        </w:rPr>
        <w:t xml:space="preserve"> </w:t>
      </w:r>
      <w:r w:rsidR="00646017">
        <w:rPr>
          <w:rFonts w:ascii="Arial" w:hAnsi="Arial" w:cs="Arial"/>
          <w:sz w:val="24"/>
          <w:szCs w:val="24"/>
        </w:rPr>
        <w:t>'</w:t>
      </w:r>
      <w:r>
        <w:rPr>
          <w:rFonts w:ascii="Arial" w:hAnsi="Arial" w:cs="Arial"/>
          <w:sz w:val="24"/>
          <w:szCs w:val="24"/>
        </w:rPr>
        <w:t>exactly</w:t>
      </w:r>
      <w:r w:rsidR="00646017">
        <w:rPr>
          <w:rFonts w:ascii="Arial" w:hAnsi="Arial" w:cs="Arial"/>
          <w:sz w:val="24"/>
          <w:szCs w:val="24"/>
        </w:rPr>
        <w:t>'</w:t>
      </w:r>
      <w:r>
        <w:rPr>
          <w:rFonts w:ascii="Arial" w:hAnsi="Arial" w:cs="Arial"/>
          <w:sz w:val="24"/>
          <w:szCs w:val="24"/>
        </w:rPr>
        <w:t xml:space="preserve"> the same as the space required;</w:t>
      </w:r>
    </w:p>
    <w:p w14:paraId="4160C4D9" w14:textId="10EFCB6B" w:rsidR="00FC67DA" w:rsidRDefault="00AF78C2" w:rsidP="00FC67D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FC67DA">
        <w:rPr>
          <w:rFonts w:ascii="Arial" w:hAnsi="Arial" w:cs="Arial"/>
          <w:sz w:val="24"/>
          <w:szCs w:val="24"/>
        </w:rPr>
        <w:t>aken because irrelevant conditions were taken into account or relevant conditions were not considered;</w:t>
      </w:r>
    </w:p>
    <w:p w14:paraId="7636EE62" w14:textId="6BBB7436" w:rsidR="00FC67DA" w:rsidRDefault="00AF78C2" w:rsidP="00FC67D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FC67DA">
        <w:rPr>
          <w:rFonts w:ascii="Arial" w:hAnsi="Arial" w:cs="Arial"/>
          <w:sz w:val="24"/>
          <w:szCs w:val="24"/>
        </w:rPr>
        <w:t>aken in bad faith, arbitrarily</w:t>
      </w:r>
      <w:r>
        <w:rPr>
          <w:rFonts w:ascii="Arial" w:hAnsi="Arial" w:cs="Arial"/>
          <w:sz w:val="24"/>
          <w:szCs w:val="24"/>
        </w:rPr>
        <w:t>,</w:t>
      </w:r>
      <w:r w:rsidR="00FC67DA">
        <w:rPr>
          <w:rFonts w:ascii="Arial" w:hAnsi="Arial" w:cs="Arial"/>
          <w:sz w:val="24"/>
          <w:szCs w:val="24"/>
        </w:rPr>
        <w:t xml:space="preserve"> and capriciously;</w:t>
      </w:r>
    </w:p>
    <w:p w14:paraId="3CD7C8C0" w14:textId="7DF863BE" w:rsidR="00FC67DA" w:rsidRDefault="00AF78C2" w:rsidP="00FC67D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N</w:t>
      </w:r>
      <w:r w:rsidR="00FC67DA">
        <w:rPr>
          <w:rFonts w:ascii="Arial" w:hAnsi="Arial" w:cs="Arial"/>
          <w:sz w:val="24"/>
          <w:szCs w:val="24"/>
        </w:rPr>
        <w:t>ot rationally connected to the purpose for which it was made, the purpose of the empowering provision, the information before the DPW</w:t>
      </w:r>
      <w:r>
        <w:rPr>
          <w:rFonts w:ascii="Arial" w:hAnsi="Arial" w:cs="Arial"/>
          <w:sz w:val="24"/>
          <w:szCs w:val="24"/>
        </w:rPr>
        <w:t>,</w:t>
      </w:r>
      <w:r w:rsidR="00FC67DA">
        <w:rPr>
          <w:rFonts w:ascii="Arial" w:hAnsi="Arial" w:cs="Arial"/>
          <w:sz w:val="24"/>
          <w:szCs w:val="24"/>
        </w:rPr>
        <w:t xml:space="preserve"> or the reasons given for it by the DPW;</w:t>
      </w:r>
    </w:p>
    <w:p w14:paraId="7AEBE079" w14:textId="395E6E42" w:rsidR="00FC67DA" w:rsidRDefault="00AF78C2" w:rsidP="00FC67D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S</w:t>
      </w:r>
      <w:r w:rsidR="00FC67DA">
        <w:rPr>
          <w:rFonts w:ascii="Arial" w:hAnsi="Arial" w:cs="Arial"/>
          <w:sz w:val="24"/>
          <w:szCs w:val="24"/>
        </w:rPr>
        <w:t>o unreasonable that no reasonable person could have made the same decision; and</w:t>
      </w:r>
    </w:p>
    <w:p w14:paraId="424DE301" w14:textId="414157B8" w:rsidR="008939C6" w:rsidRPr="00AF78C2" w:rsidRDefault="00AF78C2" w:rsidP="00671212">
      <w:pPr>
        <w:pStyle w:val="ListParagraph"/>
        <w:numPr>
          <w:ilvl w:val="1"/>
          <w:numId w:val="37"/>
        </w:numPr>
        <w:tabs>
          <w:tab w:val="left" w:pos="4917"/>
        </w:tabs>
        <w:spacing w:before="120" w:after="120" w:line="360" w:lineRule="auto"/>
        <w:jc w:val="both"/>
        <w:rPr>
          <w:rFonts w:ascii="Arial" w:hAnsi="Arial" w:cs="Arial"/>
          <w:sz w:val="24"/>
          <w:szCs w:val="24"/>
        </w:rPr>
      </w:pPr>
      <w:r w:rsidRPr="00AF78C2">
        <w:rPr>
          <w:rFonts w:ascii="Arial" w:hAnsi="Arial" w:cs="Arial"/>
          <w:sz w:val="24"/>
          <w:szCs w:val="24"/>
        </w:rPr>
        <w:t>U</w:t>
      </w:r>
      <w:r w:rsidR="00FC67DA" w:rsidRPr="00AF78C2">
        <w:rPr>
          <w:rFonts w:ascii="Arial" w:hAnsi="Arial" w:cs="Arial"/>
          <w:sz w:val="24"/>
          <w:szCs w:val="24"/>
        </w:rPr>
        <w:t>nconstitutional as it is inconsistent with section 217 of the Constitution.</w:t>
      </w:r>
    </w:p>
    <w:p w14:paraId="61391DF3" w14:textId="77777777" w:rsidR="00B57969" w:rsidRPr="00B57969" w:rsidRDefault="00B57969" w:rsidP="00B57969">
      <w:pPr>
        <w:pStyle w:val="ListParagraph"/>
        <w:rPr>
          <w:rFonts w:ascii="Arial" w:hAnsi="Arial" w:cs="Arial"/>
          <w:sz w:val="24"/>
          <w:szCs w:val="24"/>
        </w:rPr>
      </w:pPr>
    </w:p>
    <w:p w14:paraId="3B4E9A07" w14:textId="5727418F" w:rsidR="00B57969" w:rsidRPr="00BC6F27" w:rsidRDefault="00BC6F27" w:rsidP="00BC6F27">
      <w:pPr>
        <w:tabs>
          <w:tab w:val="left" w:pos="4917"/>
        </w:tabs>
        <w:spacing w:before="120" w:after="120" w:line="360" w:lineRule="auto"/>
        <w:jc w:val="both"/>
        <w:rPr>
          <w:rFonts w:ascii="Arial" w:hAnsi="Arial" w:cs="Arial"/>
          <w:i/>
          <w:sz w:val="24"/>
          <w:szCs w:val="24"/>
        </w:rPr>
      </w:pPr>
      <w:r>
        <w:rPr>
          <w:rFonts w:ascii="Arial" w:hAnsi="Arial" w:cs="Arial"/>
          <w:i/>
          <w:sz w:val="24"/>
          <w:szCs w:val="24"/>
        </w:rPr>
        <w:t>The issues</w:t>
      </w:r>
      <w:r w:rsidR="00987774">
        <w:rPr>
          <w:rFonts w:ascii="Arial" w:hAnsi="Arial" w:cs="Arial"/>
          <w:i/>
          <w:sz w:val="24"/>
          <w:szCs w:val="24"/>
        </w:rPr>
        <w:t xml:space="preserve"> for determination</w:t>
      </w:r>
    </w:p>
    <w:p w14:paraId="3E421DF5" w14:textId="77777777" w:rsidR="00B57969" w:rsidRPr="00B57969" w:rsidRDefault="00B57969" w:rsidP="00B57969">
      <w:pPr>
        <w:pStyle w:val="ListParagraph"/>
        <w:rPr>
          <w:rFonts w:ascii="Arial" w:hAnsi="Arial" w:cs="Arial"/>
          <w:sz w:val="24"/>
          <w:szCs w:val="24"/>
        </w:rPr>
      </w:pPr>
    </w:p>
    <w:p w14:paraId="790940CE" w14:textId="02BF5390" w:rsidR="00B57969" w:rsidRDefault="00CC4CB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parties compiled and filed a joint practice note, wherein they identified the following issues for determination on the merits:</w:t>
      </w:r>
    </w:p>
    <w:p w14:paraId="00F572B0" w14:textId="7EE62820" w:rsidR="00CC4CBF" w:rsidRDefault="00CC4CBF" w:rsidP="00CC4CB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Whether the property offered by Omarostax (Oak Avenue) complied with the tender requirements, in particular:</w:t>
      </w:r>
    </w:p>
    <w:p w14:paraId="37002A4A" w14:textId="5143EB15" w:rsidR="00CC4CBF" w:rsidRDefault="00CC4CBF" w:rsidP="00CC4CBF">
      <w:pPr>
        <w:pStyle w:val="ListParagraph"/>
        <w:numPr>
          <w:ilvl w:val="3"/>
          <w:numId w:val="37"/>
        </w:numPr>
        <w:tabs>
          <w:tab w:val="left" w:pos="4917"/>
        </w:tabs>
        <w:spacing w:before="120" w:after="120" w:line="360" w:lineRule="auto"/>
        <w:ind w:left="2160" w:hanging="450"/>
        <w:jc w:val="both"/>
        <w:rPr>
          <w:rFonts w:ascii="Arial" w:hAnsi="Arial" w:cs="Arial"/>
          <w:sz w:val="24"/>
          <w:szCs w:val="24"/>
        </w:rPr>
      </w:pPr>
      <w:r>
        <w:rPr>
          <w:rFonts w:ascii="Arial" w:hAnsi="Arial" w:cs="Arial"/>
          <w:sz w:val="24"/>
          <w:szCs w:val="24"/>
        </w:rPr>
        <w:t>Whether the bid invitation required an exact size or whether size was estimated, as contended for by the DPW;</w:t>
      </w:r>
    </w:p>
    <w:p w14:paraId="359E5507" w14:textId="6800EEDF" w:rsidR="00CC4CBF" w:rsidRDefault="00CC4CBF" w:rsidP="00CC4CBF">
      <w:pPr>
        <w:pStyle w:val="ListParagraph"/>
        <w:numPr>
          <w:ilvl w:val="3"/>
          <w:numId w:val="37"/>
        </w:numPr>
        <w:tabs>
          <w:tab w:val="left" w:pos="4917"/>
        </w:tabs>
        <w:spacing w:before="120" w:after="120" w:line="360" w:lineRule="auto"/>
        <w:ind w:left="2160" w:hanging="450"/>
        <w:jc w:val="both"/>
        <w:rPr>
          <w:rFonts w:ascii="Arial" w:hAnsi="Arial" w:cs="Arial"/>
          <w:sz w:val="24"/>
          <w:szCs w:val="24"/>
        </w:rPr>
      </w:pPr>
      <w:r>
        <w:rPr>
          <w:rFonts w:ascii="Arial" w:hAnsi="Arial" w:cs="Arial"/>
          <w:sz w:val="24"/>
          <w:szCs w:val="24"/>
        </w:rPr>
        <w:t>Whether Oak Avenue is suitable in terms of the bid invitation;</w:t>
      </w:r>
    </w:p>
    <w:p w14:paraId="53AA2559" w14:textId="32AE2F13" w:rsidR="00CC4CBF" w:rsidRDefault="00CC4CBF" w:rsidP="00CC4CBF">
      <w:pPr>
        <w:pStyle w:val="ListParagraph"/>
        <w:numPr>
          <w:ilvl w:val="3"/>
          <w:numId w:val="37"/>
        </w:numPr>
        <w:tabs>
          <w:tab w:val="left" w:pos="4917"/>
        </w:tabs>
        <w:spacing w:before="120" w:after="120" w:line="360" w:lineRule="auto"/>
        <w:ind w:left="2160" w:hanging="450"/>
        <w:jc w:val="both"/>
        <w:rPr>
          <w:rFonts w:ascii="Arial" w:hAnsi="Arial" w:cs="Arial"/>
          <w:sz w:val="24"/>
          <w:szCs w:val="24"/>
        </w:rPr>
      </w:pPr>
      <w:r>
        <w:rPr>
          <w:rFonts w:ascii="Arial" w:hAnsi="Arial" w:cs="Arial"/>
          <w:sz w:val="24"/>
          <w:szCs w:val="24"/>
        </w:rPr>
        <w:t>Whether Oak Avenue complied with the required lettable space in terms of the bid invitation;</w:t>
      </w:r>
    </w:p>
    <w:p w14:paraId="74767604" w14:textId="2F1F195E" w:rsidR="00CC4CBF" w:rsidRDefault="00CC4CBF" w:rsidP="00CC4CBF">
      <w:pPr>
        <w:pStyle w:val="ListParagraph"/>
        <w:numPr>
          <w:ilvl w:val="3"/>
          <w:numId w:val="37"/>
        </w:numPr>
        <w:tabs>
          <w:tab w:val="left" w:pos="4917"/>
        </w:tabs>
        <w:spacing w:before="120" w:after="120" w:line="360" w:lineRule="auto"/>
        <w:ind w:left="2160" w:hanging="450"/>
        <w:jc w:val="both"/>
        <w:rPr>
          <w:rFonts w:ascii="Arial" w:hAnsi="Arial" w:cs="Arial"/>
          <w:sz w:val="24"/>
          <w:szCs w:val="24"/>
        </w:rPr>
      </w:pPr>
      <w:r>
        <w:rPr>
          <w:rFonts w:ascii="Arial" w:hAnsi="Arial" w:cs="Arial"/>
          <w:sz w:val="24"/>
          <w:szCs w:val="24"/>
        </w:rPr>
        <w:lastRenderedPageBreak/>
        <w:t>Whether Oak Avenue is correctly or appropriately zoned for the purpose it was offered;</w:t>
      </w:r>
    </w:p>
    <w:p w14:paraId="17E491EF" w14:textId="0EFB1526" w:rsidR="00CC4CBF" w:rsidRDefault="00CC4CBF" w:rsidP="00CC4CB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Whether there was a valid purchase agreement of Oak Avenue between Omarostax and the owner of Oak Avenue (Fortress) and whether XTFM has sufficient standing and knowledge to challenge an agreement between third parties;</w:t>
      </w:r>
    </w:p>
    <w:p w14:paraId="3AA8CAC0" w14:textId="1944FAE4" w:rsidR="00CC4CBF" w:rsidRDefault="00CC4CBF" w:rsidP="00CC4CB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Whether Omarostax</w:t>
      </w:r>
      <w:r w:rsidR="00646017">
        <w:rPr>
          <w:rFonts w:ascii="Arial" w:hAnsi="Arial" w:cs="Arial"/>
          <w:sz w:val="24"/>
          <w:szCs w:val="24"/>
        </w:rPr>
        <w:t>'</w:t>
      </w:r>
      <w:r>
        <w:rPr>
          <w:rFonts w:ascii="Arial" w:hAnsi="Arial" w:cs="Arial"/>
          <w:sz w:val="24"/>
          <w:szCs w:val="24"/>
        </w:rPr>
        <w:t>s bid complied with all the conditions of the tender invitation;</w:t>
      </w:r>
    </w:p>
    <w:p w14:paraId="593B5A63" w14:textId="4BBCE39D" w:rsidR="00CC4CBF" w:rsidRDefault="00CC4CBF" w:rsidP="00CC4CB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Whether XTMF made out a case for an order of substitution;</w:t>
      </w:r>
    </w:p>
    <w:p w14:paraId="2874E19E" w14:textId="039D6ABB" w:rsidR="00CC4CBF" w:rsidRDefault="00CC4CBF" w:rsidP="00CC4CBF">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nature of the just and equitable relief in the event of the review application being successful.</w:t>
      </w:r>
    </w:p>
    <w:p w14:paraId="40F52858" w14:textId="77777777" w:rsidR="00B57969" w:rsidRPr="00B57969" w:rsidRDefault="00B57969" w:rsidP="00B57969">
      <w:pPr>
        <w:pStyle w:val="ListParagraph"/>
        <w:rPr>
          <w:rFonts w:ascii="Arial" w:hAnsi="Arial" w:cs="Arial"/>
          <w:sz w:val="24"/>
          <w:szCs w:val="24"/>
        </w:rPr>
      </w:pPr>
    </w:p>
    <w:p w14:paraId="29BDCA70" w14:textId="5F9A3F34" w:rsidR="00B57969" w:rsidRPr="00AF78C2" w:rsidRDefault="00F72187" w:rsidP="00AF78C2">
      <w:pPr>
        <w:rPr>
          <w:rFonts w:ascii="Arial" w:hAnsi="Arial" w:cs="Arial"/>
          <w:b/>
          <w:sz w:val="24"/>
          <w:szCs w:val="24"/>
        </w:rPr>
      </w:pPr>
      <w:r w:rsidRPr="00AF78C2">
        <w:rPr>
          <w:rFonts w:ascii="Arial" w:hAnsi="Arial" w:cs="Arial"/>
          <w:b/>
          <w:sz w:val="24"/>
          <w:szCs w:val="24"/>
        </w:rPr>
        <w:t xml:space="preserve">The </w:t>
      </w:r>
      <w:r w:rsidR="00BE57EF" w:rsidRPr="00AF78C2">
        <w:rPr>
          <w:rFonts w:ascii="Arial" w:hAnsi="Arial" w:cs="Arial"/>
          <w:b/>
          <w:sz w:val="24"/>
          <w:szCs w:val="24"/>
        </w:rPr>
        <w:t>approach to tenders</w:t>
      </w:r>
    </w:p>
    <w:p w14:paraId="787FC7F9" w14:textId="77777777" w:rsidR="00F72187" w:rsidRPr="00F72187" w:rsidRDefault="00F72187" w:rsidP="00F72187">
      <w:pPr>
        <w:pStyle w:val="ListParagraph"/>
        <w:tabs>
          <w:tab w:val="left" w:pos="4917"/>
        </w:tabs>
        <w:spacing w:before="120" w:after="120" w:line="360" w:lineRule="auto"/>
        <w:jc w:val="both"/>
        <w:rPr>
          <w:rFonts w:ascii="Arial" w:hAnsi="Arial" w:cs="Arial"/>
          <w:sz w:val="24"/>
          <w:szCs w:val="24"/>
        </w:rPr>
      </w:pPr>
    </w:p>
    <w:p w14:paraId="4D6ACF15" w14:textId="568F547F" w:rsidR="009A6A0A" w:rsidRPr="009A6A0A" w:rsidRDefault="009A6A0A" w:rsidP="009A6A0A">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9A6A0A">
        <w:rPr>
          <w:rFonts w:ascii="Arial" w:hAnsi="Arial" w:cs="Arial"/>
          <w:sz w:val="24"/>
          <w:szCs w:val="24"/>
        </w:rPr>
        <w:t xml:space="preserve">Section 217(1) of the Constitution provides that an organ of state that contracts for goods or services, must do so in accordance with a system that is fair, equitable, transparent, competitive, and cost-effective. It is trite and has been confirmed by the Constitutional Court in </w:t>
      </w:r>
      <w:r w:rsidRPr="009A6A0A">
        <w:rPr>
          <w:rFonts w:ascii="Arial" w:hAnsi="Arial" w:cs="Arial"/>
          <w:i/>
          <w:sz w:val="24"/>
          <w:szCs w:val="24"/>
        </w:rPr>
        <w:t>Allpay Consolidated Investment Holdings (Pty) Ltd and Others v Chief Executive Officer, South African Social Security Agency and Others</w:t>
      </w:r>
      <w:r w:rsidRPr="005C6E1B">
        <w:rPr>
          <w:rStyle w:val="FootnoteReference"/>
          <w:rFonts w:ascii="Arial" w:hAnsi="Arial" w:cs="Arial"/>
          <w:i/>
          <w:sz w:val="24"/>
          <w:szCs w:val="24"/>
        </w:rPr>
        <w:footnoteReference w:id="3"/>
      </w:r>
      <w:r w:rsidRPr="009A6A0A">
        <w:rPr>
          <w:rFonts w:ascii="Arial" w:hAnsi="Arial" w:cs="Arial"/>
          <w:sz w:val="24"/>
          <w:szCs w:val="24"/>
        </w:rPr>
        <w:t xml:space="preserve"> that the starting point for an evaluation of the proper approach to an assessment of the constitutional validity of outcomes under the state procurement process is s 217 of the Constitution. This review inquiry is therefore governed by s 217 of the Constitution.</w:t>
      </w:r>
    </w:p>
    <w:p w14:paraId="0F999414" w14:textId="6A77CEA1" w:rsidR="009A6A0A" w:rsidRPr="009A6A0A" w:rsidRDefault="009A6A0A" w:rsidP="009A6A0A">
      <w:pPr>
        <w:pStyle w:val="ListParagraph"/>
        <w:tabs>
          <w:tab w:val="left" w:pos="4917"/>
        </w:tabs>
        <w:spacing w:before="120" w:after="120" w:line="360" w:lineRule="auto"/>
        <w:jc w:val="both"/>
        <w:rPr>
          <w:rFonts w:ascii="Arial" w:hAnsi="Arial" w:cs="Arial"/>
          <w:sz w:val="24"/>
          <w:szCs w:val="24"/>
        </w:rPr>
      </w:pPr>
    </w:p>
    <w:p w14:paraId="7CD1CCDF" w14:textId="1367C913" w:rsidR="00B57969" w:rsidRDefault="0030349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 court that is approached to review an administrative action does not have a free hand to interfere in the administrative proce</w:t>
      </w:r>
      <w:r w:rsidR="002B0CB0">
        <w:rPr>
          <w:rFonts w:ascii="Arial" w:hAnsi="Arial" w:cs="Arial"/>
          <w:sz w:val="24"/>
          <w:szCs w:val="24"/>
        </w:rPr>
        <w:t>ss</w:t>
      </w:r>
      <w:r>
        <w:rPr>
          <w:rFonts w:ascii="Arial" w:hAnsi="Arial" w:cs="Arial"/>
          <w:sz w:val="24"/>
          <w:szCs w:val="24"/>
        </w:rPr>
        <w:t xml:space="preserve">. Lowe J explained in </w:t>
      </w:r>
      <w:r>
        <w:rPr>
          <w:rFonts w:ascii="Arial" w:hAnsi="Arial" w:cs="Arial"/>
          <w:i/>
          <w:sz w:val="24"/>
          <w:szCs w:val="24"/>
        </w:rPr>
        <w:t>C &amp; M Fastners CC v Buffalo City Municipality</w:t>
      </w:r>
      <w:r>
        <w:rPr>
          <w:rStyle w:val="FootnoteReference"/>
          <w:rFonts w:ascii="Arial" w:hAnsi="Arial" w:cs="Arial"/>
          <w:i/>
          <w:sz w:val="24"/>
          <w:szCs w:val="24"/>
        </w:rPr>
        <w:footnoteReference w:id="4"/>
      </w:r>
      <w:r>
        <w:rPr>
          <w:rFonts w:ascii="Arial" w:hAnsi="Arial" w:cs="Arial"/>
          <w:i/>
          <w:sz w:val="24"/>
          <w:szCs w:val="24"/>
        </w:rPr>
        <w:t xml:space="preserve"> </w:t>
      </w:r>
      <w:r>
        <w:rPr>
          <w:rFonts w:ascii="Arial" w:hAnsi="Arial" w:cs="Arial"/>
          <w:sz w:val="24"/>
          <w:szCs w:val="24"/>
        </w:rPr>
        <w:t xml:space="preserve"> that a court</w:t>
      </w:r>
      <w:r w:rsidR="00646017">
        <w:rPr>
          <w:rFonts w:ascii="Arial" w:hAnsi="Arial" w:cs="Arial"/>
          <w:sz w:val="24"/>
          <w:szCs w:val="24"/>
        </w:rPr>
        <w:t>'</w:t>
      </w:r>
      <w:r>
        <w:rPr>
          <w:rFonts w:ascii="Arial" w:hAnsi="Arial" w:cs="Arial"/>
          <w:sz w:val="24"/>
          <w:szCs w:val="24"/>
        </w:rPr>
        <w:t>s powers are limited in this regard:</w:t>
      </w:r>
    </w:p>
    <w:p w14:paraId="07CD0E23" w14:textId="7E621213" w:rsidR="002B0CB0" w:rsidRPr="00AF78C2" w:rsidRDefault="00646017" w:rsidP="002B0CB0">
      <w:pPr>
        <w:pStyle w:val="NormalWeb"/>
        <w:shd w:val="clear" w:color="auto" w:fill="FFFFFF"/>
        <w:spacing w:before="144" w:beforeAutospacing="0" w:after="0" w:afterAutospacing="0" w:line="480" w:lineRule="atLeast"/>
        <w:ind w:left="1008" w:right="1008"/>
        <w:jc w:val="both"/>
        <w:rPr>
          <w:rFonts w:ascii="Arial" w:hAnsi="Arial" w:cs="Arial"/>
          <w:lang w:val="en-US"/>
        </w:rPr>
      </w:pPr>
      <w:r>
        <w:rPr>
          <w:rFonts w:ascii="Arial" w:hAnsi="Arial" w:cs="Arial"/>
        </w:rPr>
        <w:t>'</w:t>
      </w:r>
      <w:r w:rsidR="002B0CB0" w:rsidRPr="00AF78C2">
        <w:rPr>
          <w:rFonts w:ascii="Arial" w:hAnsi="Arial" w:cs="Arial"/>
        </w:rPr>
        <w:t>[8] … As Lord Brightman stated in </w:t>
      </w:r>
      <w:r w:rsidR="002B0CB0" w:rsidRPr="00AF78C2">
        <w:rPr>
          <w:rFonts w:ascii="Arial" w:hAnsi="Arial" w:cs="Arial"/>
          <w:i/>
          <w:iCs/>
        </w:rPr>
        <w:t>Chief Constable of the North Wales Police v Evans</w:t>
      </w:r>
      <w:r w:rsidR="002B0CB0" w:rsidRPr="00AF78C2">
        <w:rPr>
          <w:rFonts w:ascii="Arial" w:hAnsi="Arial" w:cs="Arial"/>
          <w:b/>
          <w:bCs/>
          <w:i/>
          <w:iCs/>
        </w:rPr>
        <w:t xml:space="preserve"> </w:t>
      </w:r>
      <w:r>
        <w:rPr>
          <w:rFonts w:ascii="Arial" w:hAnsi="Arial" w:cs="Arial"/>
        </w:rPr>
        <w:t>"</w:t>
      </w:r>
      <w:r w:rsidR="002B0CB0" w:rsidRPr="00AF78C2">
        <w:rPr>
          <w:rFonts w:ascii="Arial" w:hAnsi="Arial" w:cs="Arial"/>
          <w:i/>
          <w:iCs/>
        </w:rPr>
        <w:t xml:space="preserve">[j]udicial review is concerned, not with the decision, but </w:t>
      </w:r>
      <w:r w:rsidR="002B0CB0" w:rsidRPr="00AF78C2">
        <w:rPr>
          <w:rFonts w:ascii="Arial" w:hAnsi="Arial" w:cs="Arial"/>
          <w:i/>
          <w:iCs/>
        </w:rPr>
        <w:lastRenderedPageBreak/>
        <w:t>with the decision-making process</w:t>
      </w:r>
      <w:r>
        <w:rPr>
          <w:rFonts w:ascii="Arial" w:hAnsi="Arial" w:cs="Arial"/>
          <w:i/>
          <w:iCs/>
        </w:rPr>
        <w:t>"</w:t>
      </w:r>
      <w:r w:rsidR="002B0CB0" w:rsidRPr="00AF78C2">
        <w:rPr>
          <w:rFonts w:ascii="Arial" w:hAnsi="Arial" w:cs="Arial"/>
          <w:i/>
          <w:iCs/>
        </w:rPr>
        <w:t>.</w:t>
      </w:r>
      <w:r w:rsidR="002B0CB0" w:rsidRPr="00AF78C2">
        <w:rPr>
          <w:rFonts w:ascii="Arial" w:hAnsi="Arial" w:cs="Arial"/>
        </w:rPr>
        <w:t> This was made clear by Innes CJ more than a century ago in </w:t>
      </w:r>
      <w:r w:rsidR="002B0CB0" w:rsidRPr="00AF78C2">
        <w:rPr>
          <w:rFonts w:ascii="Arial" w:hAnsi="Arial" w:cs="Arial"/>
          <w:i/>
          <w:iCs/>
        </w:rPr>
        <w:t>Johannesburg Consolidated Investment Co Ltd v Johannesburg Town Council </w:t>
      </w:r>
      <w:r w:rsidR="002B0CB0" w:rsidRPr="00AF78C2">
        <w:rPr>
          <w:rFonts w:ascii="Arial" w:hAnsi="Arial" w:cs="Arial"/>
        </w:rPr>
        <w:t>when he said:</w:t>
      </w:r>
    </w:p>
    <w:p w14:paraId="60A40903" w14:textId="08EEEBC6" w:rsidR="002B0CB0" w:rsidRPr="00935F2D" w:rsidRDefault="00646017" w:rsidP="008A149F">
      <w:pPr>
        <w:pStyle w:val="NormalWeb"/>
        <w:shd w:val="clear" w:color="auto" w:fill="FFFFFF"/>
        <w:spacing w:before="144" w:beforeAutospacing="0" w:after="0" w:afterAutospacing="0" w:line="480" w:lineRule="atLeast"/>
        <w:ind w:left="1296" w:right="1296"/>
        <w:jc w:val="both"/>
        <w:rPr>
          <w:rFonts w:ascii="Arial" w:hAnsi="Arial" w:cs="Arial"/>
          <w:color w:val="242121"/>
        </w:rPr>
      </w:pPr>
      <w:r>
        <w:rPr>
          <w:rFonts w:ascii="Arial" w:hAnsi="Arial" w:cs="Arial"/>
          <w:color w:val="242121"/>
        </w:rPr>
        <w:t>'</w:t>
      </w:r>
      <w:r w:rsidR="002B0CB0" w:rsidRPr="00935F2D">
        <w:rPr>
          <w:rFonts w:ascii="Arial" w:hAnsi="Arial" w:cs="Arial"/>
          <w:color w:val="242121"/>
        </w:rPr>
        <w:t>Whenever a public body has a duty imposed on it by statute, and disregards important provisions of the statute, or is guilty of gross irregularity or clear illegality in the performance of the duty, this Court may be asked to review the proceedings complained of and set aside or correct them.</w:t>
      </w:r>
      <w:r>
        <w:rPr>
          <w:rFonts w:ascii="Arial" w:hAnsi="Arial" w:cs="Arial"/>
          <w:color w:val="242121"/>
        </w:rPr>
        <w:t>'</w:t>
      </w:r>
    </w:p>
    <w:p w14:paraId="0FFAB00E" w14:textId="1C6BFA5C" w:rsidR="002B0CB0" w:rsidRPr="00935F2D" w:rsidRDefault="002B0CB0" w:rsidP="002B0CB0">
      <w:pPr>
        <w:pStyle w:val="NormalWeb"/>
        <w:shd w:val="clear" w:color="auto" w:fill="FFFFFF"/>
        <w:spacing w:before="144" w:beforeAutospacing="0" w:after="0" w:afterAutospacing="0" w:line="480" w:lineRule="atLeast"/>
        <w:ind w:left="1008" w:right="1008"/>
        <w:jc w:val="both"/>
        <w:rPr>
          <w:rFonts w:ascii="Arial" w:hAnsi="Arial" w:cs="Arial"/>
          <w:color w:val="242121"/>
        </w:rPr>
      </w:pPr>
      <w:r w:rsidRPr="00935F2D">
        <w:rPr>
          <w:rFonts w:ascii="Arial" w:hAnsi="Arial" w:cs="Arial"/>
          <w:color w:val="242121"/>
        </w:rPr>
        <w:t>[9]        Less than a decade later, after Union and the establishment of the Appellate Division, Innes ACJ, in </w:t>
      </w:r>
      <w:r w:rsidRPr="00935F2D">
        <w:rPr>
          <w:rFonts w:ascii="Arial" w:hAnsi="Arial" w:cs="Arial"/>
          <w:i/>
          <w:iCs/>
          <w:color w:val="242121"/>
        </w:rPr>
        <w:t>Shidiack v Union Government (Minister of the Interior),</w:t>
      </w:r>
      <w:r w:rsidRPr="00935F2D">
        <w:rPr>
          <w:rFonts w:ascii="Arial" w:hAnsi="Arial" w:cs="Arial"/>
          <w:color w:val="242121"/>
        </w:rPr>
        <w:t xml:space="preserve"> captured the limits of the review function of a superior court when he said that a court would be </w:t>
      </w:r>
      <w:r w:rsidR="00646017">
        <w:rPr>
          <w:rFonts w:ascii="Arial" w:hAnsi="Arial" w:cs="Arial"/>
          <w:color w:val="242121"/>
        </w:rPr>
        <w:t>"</w:t>
      </w:r>
      <w:r w:rsidRPr="00935F2D">
        <w:rPr>
          <w:rFonts w:ascii="Arial" w:hAnsi="Arial" w:cs="Arial"/>
          <w:i/>
          <w:iCs/>
          <w:color w:val="242121"/>
        </w:rPr>
        <w:t>unable to interfere with a due and honest exercise of discretion, even if it considered the decision inequitable or wrong</w:t>
      </w:r>
      <w:r w:rsidR="00646017">
        <w:rPr>
          <w:rFonts w:ascii="Arial" w:hAnsi="Arial" w:cs="Arial"/>
          <w:i/>
          <w:iCs/>
          <w:color w:val="242121"/>
        </w:rPr>
        <w:t>"</w:t>
      </w:r>
      <w:r w:rsidRPr="00935F2D">
        <w:rPr>
          <w:rFonts w:ascii="Arial" w:hAnsi="Arial" w:cs="Arial"/>
          <w:i/>
          <w:iCs/>
          <w:color w:val="242121"/>
        </w:rPr>
        <w:t>.</w:t>
      </w:r>
      <w:r w:rsidRPr="00935F2D">
        <w:rPr>
          <w:rFonts w:ascii="Arial" w:hAnsi="Arial" w:cs="Arial"/>
          <w:color w:val="242121"/>
        </w:rPr>
        <w:t> The reason for this is simple: the legislature mandated and empowered administrators to administer, and not courts</w:t>
      </w:r>
      <w:r w:rsidR="00AF78C2">
        <w:rPr>
          <w:rFonts w:ascii="Arial" w:hAnsi="Arial" w:cs="Arial"/>
          <w:color w:val="242121"/>
        </w:rPr>
        <w:t xml:space="preserve">, </w:t>
      </w:r>
      <w:r w:rsidRPr="00935F2D">
        <w:rPr>
          <w:rFonts w:ascii="Arial" w:hAnsi="Arial" w:cs="Arial"/>
          <w:color w:val="242121"/>
        </w:rPr>
        <w:t>and the role of the courts is limited to ensuring that administrators do not stray beyond the legal limits of their mandates.</w:t>
      </w:r>
    </w:p>
    <w:p w14:paraId="3D27B023" w14:textId="06EB428F" w:rsidR="00303499" w:rsidRDefault="002B0CB0" w:rsidP="0016541E">
      <w:pPr>
        <w:pStyle w:val="NormalWeb"/>
        <w:shd w:val="clear" w:color="auto" w:fill="FFFFFF"/>
        <w:spacing w:before="144" w:beforeAutospacing="0" w:after="0" w:afterAutospacing="0" w:line="480" w:lineRule="atLeast"/>
        <w:ind w:left="1008" w:right="1008"/>
        <w:jc w:val="both"/>
        <w:rPr>
          <w:rFonts w:ascii="Arial" w:hAnsi="Arial" w:cs="Arial"/>
        </w:rPr>
      </w:pPr>
      <w:r w:rsidRPr="00935F2D">
        <w:rPr>
          <w:rFonts w:ascii="Arial" w:hAnsi="Arial" w:cs="Arial"/>
          <w:color w:val="242121"/>
        </w:rPr>
        <w:t>[10]      The passages I have cited from the </w:t>
      </w:r>
      <w:r w:rsidRPr="00935F2D">
        <w:rPr>
          <w:rFonts w:ascii="Arial" w:hAnsi="Arial" w:cs="Arial"/>
          <w:i/>
          <w:iCs/>
          <w:color w:val="242121"/>
        </w:rPr>
        <w:t>Johannesburg Consolidated Investments </w:t>
      </w:r>
      <w:r w:rsidRPr="00935F2D">
        <w:rPr>
          <w:rFonts w:ascii="Arial" w:hAnsi="Arial" w:cs="Arial"/>
          <w:color w:val="242121"/>
        </w:rPr>
        <w:t>case and the </w:t>
      </w:r>
      <w:r w:rsidRPr="00935F2D">
        <w:rPr>
          <w:rFonts w:ascii="Arial" w:hAnsi="Arial" w:cs="Arial"/>
          <w:i/>
          <w:iCs/>
          <w:color w:val="242121"/>
        </w:rPr>
        <w:t>Shidiack</w:t>
      </w:r>
      <w:r w:rsidRPr="00935F2D">
        <w:rPr>
          <w:rFonts w:ascii="Arial" w:hAnsi="Arial" w:cs="Arial"/>
          <w:color w:val="242121"/>
        </w:rPr>
        <w:t xml:space="preserve"> case articulated the position when the review of administrative action was a common law jurisdiction of the superior courts. The principles stated still hold good now that the power to review administrative action is sourced in the Constitution and the PAJA:  the distinction between appeal and review, based as it is on the doctrine of the separation of powers, remains in place and remains fundamentally important. Administrative action may only be set aside by a court exercising its review powers if it is irregular. It may not be </w:t>
      </w:r>
      <w:r w:rsidRPr="00935F2D">
        <w:rPr>
          <w:rFonts w:ascii="Arial" w:hAnsi="Arial" w:cs="Arial"/>
          <w:color w:val="242121"/>
        </w:rPr>
        <w:lastRenderedPageBreak/>
        <w:t>interfered with because it is a decision</w:t>
      </w:r>
      <w:r>
        <w:rPr>
          <w:rFonts w:ascii="Arial" w:hAnsi="Arial" w:cs="Arial"/>
          <w:color w:val="242121"/>
        </w:rPr>
        <w:t xml:space="preserve"> a judge considers to be wrong.</w:t>
      </w:r>
      <w:r w:rsidR="00646017">
        <w:rPr>
          <w:rFonts w:ascii="Arial" w:hAnsi="Arial" w:cs="Arial"/>
          <w:color w:val="242121"/>
        </w:rPr>
        <w:t>'</w:t>
      </w:r>
      <w:r>
        <w:rPr>
          <w:rFonts w:ascii="Arial" w:hAnsi="Arial" w:cs="Arial"/>
          <w:color w:val="242121"/>
        </w:rPr>
        <w:t xml:space="preserve"> (Footnotes omitted).</w:t>
      </w:r>
    </w:p>
    <w:p w14:paraId="49F6BA0B" w14:textId="77777777" w:rsidR="00B57969" w:rsidRPr="00B57969" w:rsidRDefault="00B57969" w:rsidP="00B57969">
      <w:pPr>
        <w:pStyle w:val="ListParagraph"/>
        <w:rPr>
          <w:rFonts w:ascii="Arial" w:hAnsi="Arial" w:cs="Arial"/>
          <w:sz w:val="24"/>
          <w:szCs w:val="24"/>
        </w:rPr>
      </w:pPr>
    </w:p>
    <w:p w14:paraId="3C1D3FAF" w14:textId="3EABABF6" w:rsidR="002B0CB0" w:rsidRDefault="002B0CB0" w:rsidP="008E0FA4">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2B0CB0">
        <w:rPr>
          <w:rFonts w:ascii="Arial" w:hAnsi="Arial" w:cs="Arial"/>
          <w:sz w:val="24"/>
          <w:szCs w:val="24"/>
        </w:rPr>
        <w:t>With this principle in mind</w:t>
      </w:r>
      <w:r w:rsidR="00AF78C2">
        <w:rPr>
          <w:rFonts w:ascii="Arial" w:hAnsi="Arial" w:cs="Arial"/>
          <w:sz w:val="24"/>
          <w:szCs w:val="24"/>
        </w:rPr>
        <w:t>,</w:t>
      </w:r>
      <w:r w:rsidRPr="002B0CB0">
        <w:rPr>
          <w:rFonts w:ascii="Arial" w:hAnsi="Arial" w:cs="Arial"/>
          <w:sz w:val="24"/>
          <w:szCs w:val="24"/>
        </w:rPr>
        <w:t xml:space="preserve"> cognisance must be taken of the Supreme Court of Appeal</w:t>
      </w:r>
      <w:r w:rsidR="00646017">
        <w:rPr>
          <w:rFonts w:ascii="Arial" w:hAnsi="Arial" w:cs="Arial"/>
          <w:sz w:val="24"/>
          <w:szCs w:val="24"/>
        </w:rPr>
        <w:t>'</w:t>
      </w:r>
      <w:r>
        <w:rPr>
          <w:rFonts w:ascii="Arial" w:hAnsi="Arial" w:cs="Arial"/>
          <w:sz w:val="24"/>
          <w:szCs w:val="24"/>
        </w:rPr>
        <w:t>s view</w:t>
      </w:r>
      <w:r w:rsidRPr="002B0CB0">
        <w:rPr>
          <w:rFonts w:ascii="Arial" w:hAnsi="Arial" w:cs="Arial"/>
          <w:sz w:val="24"/>
          <w:szCs w:val="24"/>
        </w:rPr>
        <w:t xml:space="preserve"> in </w:t>
      </w:r>
      <w:r w:rsidRPr="002B0CB0">
        <w:rPr>
          <w:rFonts w:ascii="Arial" w:hAnsi="Arial" w:cs="Arial"/>
          <w:i/>
          <w:sz w:val="24"/>
          <w:szCs w:val="24"/>
        </w:rPr>
        <w:t>Dr JS Moroka Municipal</w:t>
      </w:r>
      <w:r>
        <w:rPr>
          <w:rFonts w:ascii="Arial" w:hAnsi="Arial" w:cs="Arial"/>
          <w:i/>
          <w:sz w:val="24"/>
          <w:szCs w:val="24"/>
        </w:rPr>
        <w:t>ity &amp; others v Bertram (Pty) Ltd</w:t>
      </w:r>
      <w:r w:rsidRPr="002B0CB0">
        <w:rPr>
          <w:rFonts w:ascii="Arial" w:hAnsi="Arial" w:cs="Arial"/>
          <w:i/>
          <w:sz w:val="24"/>
          <w:szCs w:val="24"/>
        </w:rPr>
        <w:t xml:space="preserve"> and another</w:t>
      </w:r>
      <w:r>
        <w:rPr>
          <w:rStyle w:val="FootnoteReference"/>
          <w:rFonts w:ascii="Arial" w:hAnsi="Arial" w:cs="Arial"/>
          <w:i/>
          <w:sz w:val="24"/>
          <w:szCs w:val="24"/>
        </w:rPr>
        <w:footnoteReference w:id="5"/>
      </w:r>
      <w:r w:rsidRPr="002B0CB0">
        <w:rPr>
          <w:rFonts w:ascii="Arial" w:hAnsi="Arial" w:cs="Arial"/>
          <w:sz w:val="24"/>
          <w:szCs w:val="24"/>
        </w:rPr>
        <w:t xml:space="preserve"> </w:t>
      </w:r>
      <w:r>
        <w:rPr>
          <w:rFonts w:ascii="Arial" w:hAnsi="Arial" w:cs="Arial"/>
          <w:sz w:val="24"/>
          <w:szCs w:val="24"/>
        </w:rPr>
        <w:t xml:space="preserve"> where Leach JA confirmed </w:t>
      </w:r>
      <w:r w:rsidRPr="002B0CB0">
        <w:rPr>
          <w:rFonts w:ascii="Arial" w:hAnsi="Arial" w:cs="Arial"/>
          <w:sz w:val="24"/>
          <w:szCs w:val="24"/>
        </w:rPr>
        <w:t>that it is essentially for the administrative organ and not the court, to decide what should be a prerequisite for a</w:t>
      </w:r>
      <w:r>
        <w:rPr>
          <w:rFonts w:ascii="Arial" w:hAnsi="Arial" w:cs="Arial"/>
          <w:sz w:val="24"/>
          <w:szCs w:val="24"/>
        </w:rPr>
        <w:t xml:space="preserve"> valid tender, but continued to explain</w:t>
      </w:r>
      <w:r w:rsidRPr="002B0CB0">
        <w:rPr>
          <w:rFonts w:ascii="Arial" w:hAnsi="Arial" w:cs="Arial"/>
          <w:sz w:val="24"/>
          <w:szCs w:val="24"/>
        </w:rPr>
        <w:t xml:space="preserve"> that a failure to comply with prescribed conditions will result in a tender being disqual</w:t>
      </w:r>
      <w:r w:rsidR="0030206C">
        <w:rPr>
          <w:rFonts w:ascii="Arial" w:hAnsi="Arial" w:cs="Arial"/>
          <w:sz w:val="24"/>
          <w:szCs w:val="24"/>
        </w:rPr>
        <w:t xml:space="preserve">ified as an </w:t>
      </w:r>
      <w:r w:rsidR="00646017">
        <w:rPr>
          <w:rFonts w:ascii="Arial" w:hAnsi="Arial" w:cs="Arial"/>
          <w:sz w:val="24"/>
          <w:szCs w:val="24"/>
        </w:rPr>
        <w:t>'</w:t>
      </w:r>
      <w:r w:rsidR="0030206C">
        <w:rPr>
          <w:rFonts w:ascii="Arial" w:hAnsi="Arial" w:cs="Arial"/>
          <w:sz w:val="24"/>
          <w:szCs w:val="24"/>
        </w:rPr>
        <w:t>acceptable tender</w:t>
      </w:r>
      <w:r w:rsidR="00646017">
        <w:rPr>
          <w:rFonts w:ascii="Arial" w:hAnsi="Arial" w:cs="Arial"/>
          <w:sz w:val="24"/>
          <w:szCs w:val="24"/>
        </w:rPr>
        <w:t>'</w:t>
      </w:r>
      <w:r w:rsidRPr="002B0CB0">
        <w:rPr>
          <w:rFonts w:ascii="Arial" w:hAnsi="Arial" w:cs="Arial"/>
          <w:sz w:val="24"/>
          <w:szCs w:val="24"/>
        </w:rPr>
        <w:t xml:space="preserve"> unless those conditions a</w:t>
      </w:r>
      <w:r>
        <w:rPr>
          <w:rFonts w:ascii="Arial" w:hAnsi="Arial" w:cs="Arial"/>
          <w:sz w:val="24"/>
          <w:szCs w:val="24"/>
        </w:rPr>
        <w:t>re immaterial, unreasonable or u</w:t>
      </w:r>
      <w:r w:rsidRPr="002B0CB0">
        <w:rPr>
          <w:rFonts w:ascii="Arial" w:hAnsi="Arial" w:cs="Arial"/>
          <w:sz w:val="24"/>
          <w:szCs w:val="24"/>
        </w:rPr>
        <w:t xml:space="preserve">nconstitutional. </w:t>
      </w:r>
      <w:r>
        <w:rPr>
          <w:rFonts w:ascii="Arial" w:hAnsi="Arial" w:cs="Arial"/>
          <w:sz w:val="24"/>
          <w:szCs w:val="24"/>
        </w:rPr>
        <w:t xml:space="preserve">This approach corresponds with </w:t>
      </w:r>
      <w:r w:rsidR="0030206C">
        <w:rPr>
          <w:rFonts w:ascii="Arial" w:hAnsi="Arial" w:cs="Arial"/>
          <w:sz w:val="24"/>
          <w:szCs w:val="24"/>
        </w:rPr>
        <w:t xml:space="preserve">the approach followed </w:t>
      </w:r>
      <w:r w:rsidR="00AF78C2">
        <w:rPr>
          <w:rFonts w:ascii="Arial" w:hAnsi="Arial" w:cs="Arial"/>
          <w:sz w:val="24"/>
          <w:szCs w:val="24"/>
        </w:rPr>
        <w:t xml:space="preserve">by </w:t>
      </w:r>
      <w:r w:rsidRPr="002B0CB0">
        <w:rPr>
          <w:rFonts w:ascii="Arial" w:hAnsi="Arial" w:cs="Arial"/>
          <w:sz w:val="24"/>
          <w:szCs w:val="24"/>
        </w:rPr>
        <w:t xml:space="preserve">Brand JA in </w:t>
      </w:r>
      <w:r w:rsidRPr="002B0CB0">
        <w:rPr>
          <w:rFonts w:ascii="Arial" w:hAnsi="Arial" w:cs="Arial"/>
          <w:i/>
          <w:sz w:val="24"/>
          <w:szCs w:val="24"/>
        </w:rPr>
        <w:t>Minister of Environmental Affairs and Tourism v Pepper Bay Fishing (Pty) Ltd; Minister of Environmental Affairs v Smith</w:t>
      </w:r>
      <w:r>
        <w:rPr>
          <w:rStyle w:val="FootnoteReference"/>
          <w:rFonts w:ascii="Arial" w:hAnsi="Arial" w:cs="Arial"/>
          <w:i/>
          <w:sz w:val="24"/>
          <w:szCs w:val="24"/>
        </w:rPr>
        <w:footnoteReference w:id="6"/>
      </w:r>
      <w:r w:rsidRPr="002B0CB0">
        <w:rPr>
          <w:rFonts w:ascii="Arial" w:hAnsi="Arial" w:cs="Arial"/>
          <w:sz w:val="24"/>
          <w:szCs w:val="24"/>
        </w:rPr>
        <w:t xml:space="preserve"> that:</w:t>
      </w:r>
    </w:p>
    <w:p w14:paraId="7FE42A64" w14:textId="77777777" w:rsidR="00AF78C2" w:rsidRPr="002B0CB0" w:rsidRDefault="00AF78C2" w:rsidP="00AF78C2">
      <w:pPr>
        <w:pStyle w:val="ListParagraph"/>
        <w:tabs>
          <w:tab w:val="left" w:pos="4917"/>
        </w:tabs>
        <w:spacing w:before="120" w:after="120" w:line="360" w:lineRule="auto"/>
        <w:jc w:val="both"/>
        <w:rPr>
          <w:rFonts w:ascii="Arial" w:hAnsi="Arial" w:cs="Arial"/>
          <w:sz w:val="24"/>
          <w:szCs w:val="24"/>
        </w:rPr>
      </w:pPr>
    </w:p>
    <w:p w14:paraId="4920F464" w14:textId="1456611F" w:rsidR="002B0CB0" w:rsidRDefault="00646017" w:rsidP="002B0CB0">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2B0CB0">
        <w:rPr>
          <w:rFonts w:ascii="Arial" w:hAnsi="Arial" w:cs="Arial"/>
          <w:sz w:val="24"/>
          <w:szCs w:val="24"/>
        </w:rPr>
        <w:t>As a general principle an administrative authority has no inherent power to condone failure with a peremptory requirement. It only has such power if it has been afforded the discretion to do so</w:t>
      </w:r>
      <w:r>
        <w:rPr>
          <w:rFonts w:ascii="Arial" w:hAnsi="Arial" w:cs="Arial"/>
          <w:sz w:val="24"/>
          <w:szCs w:val="24"/>
        </w:rPr>
        <w:t>'</w:t>
      </w:r>
      <w:r w:rsidR="002B0CB0">
        <w:rPr>
          <w:rFonts w:ascii="Arial" w:hAnsi="Arial" w:cs="Arial"/>
          <w:sz w:val="24"/>
          <w:szCs w:val="24"/>
        </w:rPr>
        <w:t xml:space="preserve">. </w:t>
      </w:r>
    </w:p>
    <w:p w14:paraId="0DD60986" w14:textId="77777777" w:rsidR="003E7115" w:rsidRDefault="003E7115" w:rsidP="002B0CB0">
      <w:pPr>
        <w:pStyle w:val="ListParagraph"/>
        <w:tabs>
          <w:tab w:val="left" w:pos="4917"/>
        </w:tabs>
        <w:spacing w:before="120" w:after="120" w:line="360" w:lineRule="auto"/>
        <w:ind w:left="1008" w:right="1008"/>
        <w:jc w:val="both"/>
        <w:rPr>
          <w:rFonts w:ascii="Arial" w:hAnsi="Arial" w:cs="Arial"/>
          <w:sz w:val="24"/>
          <w:szCs w:val="24"/>
        </w:rPr>
      </w:pPr>
    </w:p>
    <w:p w14:paraId="725961D5" w14:textId="44C0DFC0" w:rsidR="002B0CB0" w:rsidRDefault="005768EA"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Bolton </w:t>
      </w:r>
      <w:r w:rsidR="00AF78C2">
        <w:rPr>
          <w:rFonts w:ascii="Arial" w:hAnsi="Arial" w:cs="Arial"/>
          <w:sz w:val="24"/>
          <w:szCs w:val="24"/>
        </w:rPr>
        <w:t>brief</w:t>
      </w:r>
      <w:r>
        <w:rPr>
          <w:rFonts w:ascii="Arial" w:hAnsi="Arial" w:cs="Arial"/>
          <w:sz w:val="24"/>
          <w:szCs w:val="24"/>
        </w:rPr>
        <w:t xml:space="preserve">ly explained in an article titled </w:t>
      </w:r>
      <w:r>
        <w:rPr>
          <w:rFonts w:ascii="Arial" w:hAnsi="Arial" w:cs="Arial"/>
          <w:i/>
          <w:sz w:val="24"/>
          <w:szCs w:val="24"/>
        </w:rPr>
        <w:t>Disqualification for non-compliance with public tender conditions</w:t>
      </w:r>
      <w:r>
        <w:rPr>
          <w:rStyle w:val="FootnoteReference"/>
          <w:rFonts w:ascii="Arial" w:hAnsi="Arial" w:cs="Arial"/>
          <w:i/>
          <w:sz w:val="24"/>
          <w:szCs w:val="24"/>
        </w:rPr>
        <w:footnoteReference w:id="7"/>
      </w:r>
      <w:r>
        <w:rPr>
          <w:rFonts w:ascii="Arial" w:hAnsi="Arial" w:cs="Arial"/>
          <w:sz w:val="24"/>
          <w:szCs w:val="24"/>
        </w:rPr>
        <w:t xml:space="preserve"> that in public procurement regulation</w:t>
      </w:r>
      <w:r w:rsidR="00AF78C2">
        <w:rPr>
          <w:rFonts w:ascii="Arial" w:hAnsi="Arial" w:cs="Arial"/>
          <w:sz w:val="24"/>
          <w:szCs w:val="24"/>
        </w:rPr>
        <w:t>,</w:t>
      </w:r>
      <w:r>
        <w:rPr>
          <w:rFonts w:ascii="Arial" w:hAnsi="Arial" w:cs="Arial"/>
          <w:sz w:val="24"/>
          <w:szCs w:val="24"/>
        </w:rPr>
        <w:t xml:space="preserve"> it is a general rule that procuring entities consider only conforming, compliant or responsive tenders:</w:t>
      </w:r>
    </w:p>
    <w:p w14:paraId="3231B99A" w14:textId="77777777" w:rsidR="00AF78C2" w:rsidRDefault="00AF78C2" w:rsidP="00AF78C2">
      <w:pPr>
        <w:pStyle w:val="ListParagraph"/>
        <w:tabs>
          <w:tab w:val="left" w:pos="4917"/>
        </w:tabs>
        <w:spacing w:before="120" w:after="120" w:line="360" w:lineRule="auto"/>
        <w:jc w:val="both"/>
        <w:rPr>
          <w:rFonts w:ascii="Arial" w:hAnsi="Arial" w:cs="Arial"/>
          <w:sz w:val="24"/>
          <w:szCs w:val="24"/>
        </w:rPr>
      </w:pPr>
    </w:p>
    <w:p w14:paraId="6DDB5F6B" w14:textId="5AF0C57F" w:rsidR="005768EA" w:rsidRDefault="00646017" w:rsidP="003E711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5768EA">
        <w:rPr>
          <w:rFonts w:ascii="Arial" w:hAnsi="Arial" w:cs="Arial"/>
          <w:sz w:val="24"/>
          <w:szCs w:val="24"/>
        </w:rPr>
        <w:t>Tenders should comply with</w:t>
      </w:r>
      <w:r w:rsidR="008E0FA4">
        <w:rPr>
          <w:rFonts w:ascii="Arial" w:hAnsi="Arial" w:cs="Arial"/>
          <w:sz w:val="24"/>
          <w:szCs w:val="24"/>
        </w:rPr>
        <w:t xml:space="preserve"> all the aspects of the invitation to tender and meet any other requirements laid down by the procuring entity in its tender document. Bidders should, in other words, comply with tender conditions; a failure to do so would def</w:t>
      </w:r>
      <w:r w:rsidR="00AF78C2">
        <w:rPr>
          <w:rFonts w:ascii="Arial" w:hAnsi="Arial" w:cs="Arial"/>
          <w:sz w:val="24"/>
          <w:szCs w:val="24"/>
        </w:rPr>
        <w:t>e</w:t>
      </w:r>
      <w:r w:rsidR="008E0FA4">
        <w:rPr>
          <w:rFonts w:ascii="Arial" w:hAnsi="Arial" w:cs="Arial"/>
          <w:sz w:val="24"/>
          <w:szCs w:val="24"/>
        </w:rPr>
        <w:t xml:space="preserve">at the underlying purpose of supplying information to bidders for the preparation of tenders and amount to unfairness if some bidders were allowed to circumvent tender conditions. It is important for bidders to compete on an equal footing. Moreover, they have a legitimate expectation that the procuring entity </w:t>
      </w:r>
      <w:r w:rsidR="008E0FA4">
        <w:rPr>
          <w:rFonts w:ascii="Arial" w:hAnsi="Arial" w:cs="Arial"/>
          <w:sz w:val="24"/>
          <w:szCs w:val="24"/>
        </w:rPr>
        <w:lastRenderedPageBreak/>
        <w:t>will comply with its own tender conditions. Requiring bidders to submit responsive, conforming</w:t>
      </w:r>
      <w:r w:rsidR="002043F5">
        <w:rPr>
          <w:rFonts w:ascii="Arial" w:hAnsi="Arial" w:cs="Arial"/>
          <w:sz w:val="24"/>
          <w:szCs w:val="24"/>
        </w:rPr>
        <w:t>,</w:t>
      </w:r>
      <w:r w:rsidR="008E0FA4">
        <w:rPr>
          <w:rFonts w:ascii="Arial" w:hAnsi="Arial" w:cs="Arial"/>
          <w:sz w:val="24"/>
          <w:szCs w:val="24"/>
        </w:rPr>
        <w:t xml:space="preserve"> or compliant tenders also promote</w:t>
      </w:r>
      <w:r w:rsidR="00AF78C2">
        <w:rPr>
          <w:rFonts w:ascii="Arial" w:hAnsi="Arial" w:cs="Arial"/>
          <w:sz w:val="24"/>
          <w:szCs w:val="24"/>
        </w:rPr>
        <w:t>s</w:t>
      </w:r>
      <w:r w:rsidR="008E0FA4">
        <w:rPr>
          <w:rFonts w:ascii="Arial" w:hAnsi="Arial" w:cs="Arial"/>
          <w:sz w:val="24"/>
          <w:szCs w:val="24"/>
        </w:rPr>
        <w:t xml:space="preserve"> objectivity and encourages wide competition in that all bidders are required to tender on the same work and to the same terms and conditions.</w:t>
      </w:r>
      <w:r>
        <w:rPr>
          <w:rFonts w:ascii="Arial" w:hAnsi="Arial" w:cs="Arial"/>
          <w:sz w:val="24"/>
          <w:szCs w:val="24"/>
        </w:rPr>
        <w:t>'</w:t>
      </w:r>
    </w:p>
    <w:p w14:paraId="56F96A17" w14:textId="77777777" w:rsidR="00B57969" w:rsidRPr="00B57969" w:rsidRDefault="00B57969" w:rsidP="00B57969">
      <w:pPr>
        <w:pStyle w:val="ListParagraph"/>
        <w:rPr>
          <w:rFonts w:ascii="Arial" w:hAnsi="Arial" w:cs="Arial"/>
          <w:sz w:val="24"/>
          <w:szCs w:val="24"/>
        </w:rPr>
      </w:pPr>
    </w:p>
    <w:p w14:paraId="5C89BC0F" w14:textId="6C79FCEA" w:rsidR="0024139D" w:rsidRPr="00AF78C2" w:rsidRDefault="0024139D" w:rsidP="000468D9">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AF78C2">
        <w:rPr>
          <w:rFonts w:ascii="Arial" w:hAnsi="Arial" w:cs="Arial"/>
          <w:sz w:val="24"/>
          <w:szCs w:val="24"/>
        </w:rPr>
        <w:t xml:space="preserve">An acceptable tender is defined in s 1 of the </w:t>
      </w:r>
      <w:r w:rsidR="00987774" w:rsidRPr="00AF78C2">
        <w:rPr>
          <w:rFonts w:ascii="Arial" w:hAnsi="Arial" w:cs="Arial"/>
          <w:sz w:val="24"/>
          <w:szCs w:val="24"/>
        </w:rPr>
        <w:t>Preferential Procurement Polic</w:t>
      </w:r>
      <w:r w:rsidR="00AF78C2" w:rsidRPr="00AF78C2">
        <w:rPr>
          <w:rFonts w:ascii="Arial" w:hAnsi="Arial" w:cs="Arial"/>
          <w:sz w:val="24"/>
          <w:szCs w:val="24"/>
        </w:rPr>
        <w:t>y</w:t>
      </w:r>
      <w:r w:rsidR="00987774" w:rsidRPr="00AF78C2">
        <w:rPr>
          <w:rFonts w:ascii="Arial" w:hAnsi="Arial" w:cs="Arial"/>
          <w:sz w:val="24"/>
          <w:szCs w:val="24"/>
        </w:rPr>
        <w:t xml:space="preserve"> Framework Act, 5 of 2000, (the </w:t>
      </w:r>
      <w:r w:rsidR="00B04A27" w:rsidRPr="00AF78C2">
        <w:rPr>
          <w:rFonts w:ascii="Arial" w:hAnsi="Arial" w:cs="Arial"/>
          <w:sz w:val="24"/>
          <w:szCs w:val="24"/>
        </w:rPr>
        <w:t>PPPFA)</w:t>
      </w:r>
      <w:r w:rsidR="00B04A27" w:rsidRPr="00AF78C2">
        <w:rPr>
          <w:rFonts w:ascii="Arial" w:hAnsi="Arial" w:cs="Arial"/>
          <w:i/>
          <w:sz w:val="24"/>
          <w:szCs w:val="24"/>
        </w:rPr>
        <w:t xml:space="preserve"> </w:t>
      </w:r>
      <w:r w:rsidR="00B04A27" w:rsidRPr="00AF78C2">
        <w:rPr>
          <w:rFonts w:ascii="Arial" w:hAnsi="Arial" w:cs="Arial"/>
          <w:sz w:val="24"/>
          <w:szCs w:val="24"/>
        </w:rPr>
        <w:t>as</w:t>
      </w:r>
      <w:r w:rsidRPr="00AF78C2">
        <w:rPr>
          <w:rFonts w:ascii="Arial" w:hAnsi="Arial" w:cs="Arial"/>
          <w:sz w:val="24"/>
          <w:szCs w:val="24"/>
        </w:rPr>
        <w:t xml:space="preserve"> </w:t>
      </w:r>
      <w:r w:rsidR="00646017">
        <w:rPr>
          <w:rFonts w:ascii="Arial" w:hAnsi="Arial" w:cs="Arial"/>
          <w:sz w:val="24"/>
          <w:szCs w:val="24"/>
        </w:rPr>
        <w:t>'</w:t>
      </w:r>
      <w:r w:rsidRPr="00AF78C2">
        <w:rPr>
          <w:rFonts w:ascii="Arial" w:hAnsi="Arial" w:cs="Arial"/>
          <w:sz w:val="24"/>
          <w:szCs w:val="24"/>
        </w:rPr>
        <w:t>any tender which, in all respects, complies with the specifications and conditions of tender as set out in the tender document</w:t>
      </w:r>
      <w:r w:rsidR="00646017">
        <w:rPr>
          <w:rFonts w:ascii="Arial" w:hAnsi="Arial" w:cs="Arial"/>
          <w:sz w:val="24"/>
          <w:szCs w:val="24"/>
        </w:rPr>
        <w:t>'</w:t>
      </w:r>
      <w:r w:rsidR="008A149F">
        <w:rPr>
          <w:rFonts w:ascii="Arial" w:hAnsi="Arial" w:cs="Arial"/>
          <w:sz w:val="24"/>
          <w:szCs w:val="24"/>
        </w:rPr>
        <w:t>. I</w:t>
      </w:r>
      <w:r w:rsidRPr="00AF78C2">
        <w:rPr>
          <w:rFonts w:ascii="Arial" w:hAnsi="Arial" w:cs="Arial"/>
          <w:sz w:val="24"/>
          <w:szCs w:val="24"/>
        </w:rPr>
        <w:t xml:space="preserve">t was held by the Supreme Court of Appeal in </w:t>
      </w:r>
      <w:r w:rsidR="00AF78C2" w:rsidRPr="00AF78C2">
        <w:rPr>
          <w:rFonts w:ascii="Arial" w:hAnsi="Arial" w:cs="Arial"/>
          <w:i/>
          <w:sz w:val="24"/>
          <w:szCs w:val="24"/>
        </w:rPr>
        <w:t>Chairperson, Standing T</w:t>
      </w:r>
      <w:r w:rsidRPr="00AF78C2">
        <w:rPr>
          <w:rFonts w:ascii="Arial" w:hAnsi="Arial" w:cs="Arial"/>
          <w:i/>
          <w:sz w:val="24"/>
          <w:szCs w:val="24"/>
        </w:rPr>
        <w:t>ender Committee and Others v JFE Sapela Electronics (Pty) Ltd and Others</w:t>
      </w:r>
      <w:r w:rsidR="00AF78C2" w:rsidRPr="00AF78C2">
        <w:rPr>
          <w:rFonts w:ascii="Arial" w:hAnsi="Arial" w:cs="Arial"/>
          <w:i/>
          <w:sz w:val="24"/>
          <w:szCs w:val="24"/>
        </w:rPr>
        <w:t>,</w:t>
      </w:r>
      <w:r>
        <w:rPr>
          <w:rStyle w:val="FootnoteReference"/>
          <w:rFonts w:ascii="Arial" w:hAnsi="Arial" w:cs="Arial"/>
          <w:i/>
          <w:sz w:val="24"/>
          <w:szCs w:val="24"/>
        </w:rPr>
        <w:footnoteReference w:id="8"/>
      </w:r>
      <w:r w:rsidR="00790286" w:rsidRPr="00AF78C2">
        <w:rPr>
          <w:rFonts w:ascii="Arial" w:hAnsi="Arial" w:cs="Arial"/>
          <w:i/>
          <w:sz w:val="24"/>
          <w:szCs w:val="24"/>
        </w:rPr>
        <w:t xml:space="preserve"> </w:t>
      </w:r>
      <w:r w:rsidR="00790286" w:rsidRPr="00AF78C2">
        <w:rPr>
          <w:rFonts w:ascii="Arial" w:hAnsi="Arial" w:cs="Arial"/>
          <w:sz w:val="24"/>
          <w:szCs w:val="24"/>
        </w:rPr>
        <w:t xml:space="preserve">that </w:t>
      </w:r>
      <w:r w:rsidR="008A149F">
        <w:rPr>
          <w:rFonts w:ascii="Arial" w:hAnsi="Arial" w:cs="Arial"/>
          <w:sz w:val="24"/>
          <w:szCs w:val="24"/>
        </w:rPr>
        <w:t xml:space="preserve">the meaning </w:t>
      </w:r>
      <w:r w:rsidR="00790286" w:rsidRPr="00AF78C2">
        <w:rPr>
          <w:rFonts w:ascii="Arial" w:hAnsi="Arial" w:cs="Arial"/>
          <w:sz w:val="24"/>
          <w:szCs w:val="24"/>
        </w:rPr>
        <w:t xml:space="preserve">of </w:t>
      </w:r>
      <w:r w:rsidR="00646017">
        <w:rPr>
          <w:rFonts w:ascii="Arial" w:hAnsi="Arial" w:cs="Arial"/>
          <w:sz w:val="24"/>
          <w:szCs w:val="24"/>
        </w:rPr>
        <w:t>'</w:t>
      </w:r>
      <w:r w:rsidR="00790286" w:rsidRPr="00AF78C2">
        <w:rPr>
          <w:rFonts w:ascii="Arial" w:hAnsi="Arial" w:cs="Arial"/>
          <w:sz w:val="24"/>
          <w:szCs w:val="24"/>
        </w:rPr>
        <w:t>acceptable tender</w:t>
      </w:r>
      <w:r w:rsidR="00646017">
        <w:rPr>
          <w:rFonts w:ascii="Arial" w:hAnsi="Arial" w:cs="Arial"/>
          <w:sz w:val="24"/>
          <w:szCs w:val="24"/>
        </w:rPr>
        <w:t>'</w:t>
      </w:r>
      <w:r w:rsidR="00790286" w:rsidRPr="00AF78C2">
        <w:rPr>
          <w:rFonts w:ascii="Arial" w:hAnsi="Arial" w:cs="Arial"/>
          <w:sz w:val="24"/>
          <w:szCs w:val="24"/>
        </w:rPr>
        <w:t xml:space="preserve"> must be co</w:t>
      </w:r>
      <w:r w:rsidR="0030206C" w:rsidRPr="00AF78C2">
        <w:rPr>
          <w:rFonts w:ascii="Arial" w:hAnsi="Arial" w:cs="Arial"/>
          <w:sz w:val="24"/>
          <w:szCs w:val="24"/>
        </w:rPr>
        <w:t>n</w:t>
      </w:r>
      <w:r w:rsidR="00790286" w:rsidRPr="00AF78C2">
        <w:rPr>
          <w:rFonts w:ascii="Arial" w:hAnsi="Arial" w:cs="Arial"/>
          <w:sz w:val="24"/>
          <w:szCs w:val="24"/>
        </w:rPr>
        <w:t>strued against the background of the system envis</w:t>
      </w:r>
      <w:r w:rsidR="00AF78C2" w:rsidRPr="00AF78C2">
        <w:rPr>
          <w:rFonts w:ascii="Arial" w:hAnsi="Arial" w:cs="Arial"/>
          <w:sz w:val="24"/>
          <w:szCs w:val="24"/>
        </w:rPr>
        <w:t>ag</w:t>
      </w:r>
      <w:r w:rsidR="00790286" w:rsidRPr="00AF78C2">
        <w:rPr>
          <w:rFonts w:ascii="Arial" w:hAnsi="Arial" w:cs="Arial"/>
          <w:sz w:val="24"/>
          <w:szCs w:val="24"/>
        </w:rPr>
        <w:t xml:space="preserve">ed by s 217 of the Constitution. </w:t>
      </w:r>
      <w:r w:rsidR="00AF78C2" w:rsidRPr="00AF78C2">
        <w:rPr>
          <w:rFonts w:ascii="Arial" w:hAnsi="Arial" w:cs="Arial"/>
          <w:sz w:val="24"/>
          <w:szCs w:val="24"/>
        </w:rPr>
        <w:t>The court held that</w:t>
      </w:r>
      <w:r w:rsidR="00AF78C2">
        <w:rPr>
          <w:rFonts w:ascii="Arial" w:hAnsi="Arial" w:cs="Arial"/>
          <w:sz w:val="24"/>
          <w:szCs w:val="24"/>
        </w:rPr>
        <w:t xml:space="preserve"> </w:t>
      </w:r>
      <w:r w:rsidR="00646017">
        <w:rPr>
          <w:rFonts w:ascii="Arial" w:hAnsi="Arial" w:cs="Arial"/>
          <w:sz w:val="24"/>
          <w:szCs w:val="24"/>
        </w:rPr>
        <w:t>'</w:t>
      </w:r>
      <w:r w:rsidR="00AF78C2">
        <w:rPr>
          <w:rFonts w:ascii="Arial" w:hAnsi="Arial" w:cs="Arial"/>
          <w:sz w:val="24"/>
          <w:szCs w:val="24"/>
        </w:rPr>
        <w:t>[t]</w:t>
      </w:r>
      <w:r w:rsidR="00AF78C2" w:rsidRPr="00AF78C2">
        <w:rPr>
          <w:rFonts w:ascii="Arial" w:hAnsi="Arial" w:cs="Arial"/>
          <w:sz w:val="24"/>
          <w:szCs w:val="24"/>
        </w:rPr>
        <w:t xml:space="preserve">he acceptance of a tender which is not </w:t>
      </w:r>
      <w:r w:rsidR="00646017">
        <w:rPr>
          <w:rFonts w:ascii="Arial" w:hAnsi="Arial" w:cs="Arial"/>
          <w:sz w:val="24"/>
          <w:szCs w:val="24"/>
        </w:rPr>
        <w:t>'</w:t>
      </w:r>
      <w:r w:rsidR="00AF78C2" w:rsidRPr="00AF78C2">
        <w:rPr>
          <w:rFonts w:ascii="Arial" w:hAnsi="Arial" w:cs="Arial"/>
          <w:sz w:val="24"/>
          <w:szCs w:val="24"/>
        </w:rPr>
        <w:t>acceptable</w:t>
      </w:r>
      <w:r w:rsidR="00646017">
        <w:rPr>
          <w:rFonts w:ascii="Arial" w:hAnsi="Arial" w:cs="Arial"/>
          <w:sz w:val="24"/>
          <w:szCs w:val="24"/>
        </w:rPr>
        <w:t>'</w:t>
      </w:r>
      <w:r w:rsidR="00AF78C2" w:rsidRPr="00AF78C2">
        <w:rPr>
          <w:rFonts w:ascii="Arial" w:hAnsi="Arial" w:cs="Arial"/>
          <w:sz w:val="24"/>
          <w:szCs w:val="24"/>
        </w:rPr>
        <w:t xml:space="preserve"> within the meaning of the Prefer</w:t>
      </w:r>
      <w:r w:rsidR="00AF78C2">
        <w:rPr>
          <w:rFonts w:ascii="Arial" w:hAnsi="Arial" w:cs="Arial"/>
          <w:sz w:val="24"/>
          <w:szCs w:val="24"/>
        </w:rPr>
        <w:t>e</w:t>
      </w:r>
      <w:r w:rsidR="00AF78C2" w:rsidRPr="00AF78C2">
        <w:rPr>
          <w:rFonts w:ascii="Arial" w:hAnsi="Arial" w:cs="Arial"/>
          <w:sz w:val="24"/>
          <w:szCs w:val="24"/>
        </w:rPr>
        <w:t>ntial Act is therefore an invalid act and falls to be set aside</w:t>
      </w:r>
      <w:r w:rsidR="00AF78C2">
        <w:rPr>
          <w:rFonts w:ascii="Arial" w:hAnsi="Arial" w:cs="Arial"/>
          <w:sz w:val="24"/>
          <w:szCs w:val="24"/>
        </w:rPr>
        <w:t>.</w:t>
      </w:r>
      <w:r w:rsidR="00646017">
        <w:rPr>
          <w:rFonts w:ascii="Arial" w:hAnsi="Arial" w:cs="Arial"/>
          <w:sz w:val="24"/>
          <w:szCs w:val="24"/>
        </w:rPr>
        <w:t>'</w:t>
      </w:r>
      <w:r w:rsidR="00AF78C2">
        <w:rPr>
          <w:rFonts w:ascii="Arial" w:hAnsi="Arial" w:cs="Arial"/>
          <w:sz w:val="24"/>
          <w:szCs w:val="24"/>
        </w:rPr>
        <w:t xml:space="preserve"> It explained that where</w:t>
      </w:r>
      <w:r w:rsidR="00790286" w:rsidRPr="00AF78C2">
        <w:rPr>
          <w:rFonts w:ascii="Arial" w:hAnsi="Arial" w:cs="Arial"/>
          <w:sz w:val="24"/>
          <w:szCs w:val="24"/>
        </w:rPr>
        <w:t xml:space="preserve"> a bidder gains an unfair advantage over competing tenderers by omitting, for example, a section of the work that should have been included and therefore submits the lowest tender</w:t>
      </w:r>
      <w:r w:rsidR="008A149F">
        <w:rPr>
          <w:rFonts w:ascii="Arial" w:hAnsi="Arial" w:cs="Arial"/>
          <w:sz w:val="24"/>
          <w:szCs w:val="24"/>
        </w:rPr>
        <w:t>, an unfair advantage is gained.</w:t>
      </w:r>
    </w:p>
    <w:p w14:paraId="744DE6D6" w14:textId="77777777" w:rsidR="0024139D" w:rsidRDefault="0024139D" w:rsidP="0024139D">
      <w:pPr>
        <w:pStyle w:val="ListParagraph"/>
        <w:tabs>
          <w:tab w:val="left" w:pos="4917"/>
        </w:tabs>
        <w:spacing w:before="120" w:after="120" w:line="360" w:lineRule="auto"/>
        <w:jc w:val="both"/>
        <w:rPr>
          <w:rFonts w:ascii="Arial" w:hAnsi="Arial" w:cs="Arial"/>
          <w:sz w:val="24"/>
          <w:szCs w:val="24"/>
        </w:rPr>
      </w:pPr>
    </w:p>
    <w:p w14:paraId="40C5B01E" w14:textId="6A572B1D" w:rsidR="00B57969" w:rsidRDefault="00AF78C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Article 43 of the UNCITRAL Model Law on Public Procurement (2011) states</w:t>
      </w:r>
      <w:r w:rsidR="008E0FA4">
        <w:rPr>
          <w:rFonts w:ascii="Arial" w:hAnsi="Arial" w:cs="Arial"/>
          <w:sz w:val="24"/>
          <w:szCs w:val="24"/>
        </w:rPr>
        <w:t xml:space="preserve"> that a tender must conform to all the requirements in the solicitation documents to be responsive. The procuring entity may, however, regard a tender as responsive if it contains minor deviations that do not materially alter or depart from the characteristics, terms, conditions</w:t>
      </w:r>
      <w:r w:rsidR="00F72187">
        <w:rPr>
          <w:rFonts w:ascii="Arial" w:hAnsi="Arial" w:cs="Arial"/>
          <w:sz w:val="24"/>
          <w:szCs w:val="24"/>
        </w:rPr>
        <w:t>,</w:t>
      </w:r>
      <w:r w:rsidR="008E0FA4">
        <w:rPr>
          <w:rFonts w:ascii="Arial" w:hAnsi="Arial" w:cs="Arial"/>
          <w:sz w:val="24"/>
          <w:szCs w:val="24"/>
        </w:rPr>
        <w:t xml:space="preserve"> or other</w:t>
      </w:r>
      <w:r w:rsidR="0016541E">
        <w:rPr>
          <w:rFonts w:ascii="Arial" w:hAnsi="Arial" w:cs="Arial"/>
          <w:sz w:val="24"/>
          <w:szCs w:val="24"/>
        </w:rPr>
        <w:t xml:space="preserve"> requirements set out in the solicitation documents </w:t>
      </w:r>
      <w:r w:rsidR="00F72187">
        <w:rPr>
          <w:rFonts w:ascii="Arial" w:hAnsi="Arial" w:cs="Arial"/>
          <w:sz w:val="24"/>
          <w:szCs w:val="24"/>
        </w:rPr>
        <w:t>or</w:t>
      </w:r>
      <w:r w:rsidR="0016541E">
        <w:rPr>
          <w:rFonts w:ascii="Arial" w:hAnsi="Arial" w:cs="Arial"/>
          <w:sz w:val="24"/>
          <w:szCs w:val="24"/>
        </w:rPr>
        <w:t xml:space="preserve"> if it contains an error or oversight that can be corrected without touching on the substance of the tender. </w:t>
      </w:r>
    </w:p>
    <w:p w14:paraId="0BD317AD" w14:textId="77777777" w:rsidR="00B57969" w:rsidRPr="00B57969" w:rsidRDefault="00B57969" w:rsidP="00B57969">
      <w:pPr>
        <w:pStyle w:val="ListParagraph"/>
        <w:rPr>
          <w:rFonts w:ascii="Arial" w:hAnsi="Arial" w:cs="Arial"/>
          <w:sz w:val="24"/>
          <w:szCs w:val="24"/>
        </w:rPr>
      </w:pPr>
    </w:p>
    <w:p w14:paraId="765975A5" w14:textId="71923D7B" w:rsidR="00790286" w:rsidRDefault="0030206C" w:rsidP="0030206C">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w:t>
      </w:r>
      <w:r w:rsidR="006E749B">
        <w:rPr>
          <w:rFonts w:ascii="Arial" w:hAnsi="Arial" w:cs="Arial"/>
          <w:sz w:val="24"/>
          <w:szCs w:val="24"/>
        </w:rPr>
        <w:t xml:space="preserve">n </w:t>
      </w:r>
      <w:r w:rsidR="00DD451F" w:rsidRPr="001F7A65">
        <w:rPr>
          <w:rFonts w:ascii="Arial" w:hAnsi="Arial" w:cs="Arial"/>
          <w:i/>
          <w:sz w:val="24"/>
          <w:szCs w:val="24"/>
        </w:rPr>
        <w:t>Allpay Consolid</w:t>
      </w:r>
      <w:r w:rsidR="006E749B">
        <w:rPr>
          <w:rFonts w:ascii="Arial" w:hAnsi="Arial" w:cs="Arial"/>
          <w:i/>
          <w:sz w:val="24"/>
          <w:szCs w:val="24"/>
        </w:rPr>
        <w:t>ated Investment Holdings (Pty) L</w:t>
      </w:r>
      <w:r w:rsidR="00DD451F" w:rsidRPr="001F7A65">
        <w:rPr>
          <w:rFonts w:ascii="Arial" w:hAnsi="Arial" w:cs="Arial"/>
          <w:i/>
          <w:sz w:val="24"/>
          <w:szCs w:val="24"/>
        </w:rPr>
        <w:t>td and Others v Chief Executive Officer, South African Soc</w:t>
      </w:r>
      <w:r w:rsidR="006E749B">
        <w:rPr>
          <w:rFonts w:ascii="Arial" w:hAnsi="Arial" w:cs="Arial"/>
          <w:i/>
          <w:sz w:val="24"/>
          <w:szCs w:val="24"/>
        </w:rPr>
        <w:t>ial S</w:t>
      </w:r>
      <w:r w:rsidR="00DD451F" w:rsidRPr="001F7A65">
        <w:rPr>
          <w:rFonts w:ascii="Arial" w:hAnsi="Arial" w:cs="Arial"/>
          <w:i/>
          <w:sz w:val="24"/>
          <w:szCs w:val="24"/>
        </w:rPr>
        <w:t>ecurity Agency and Others</w:t>
      </w:r>
      <w:r w:rsidR="00AF78C2">
        <w:rPr>
          <w:rFonts w:ascii="Arial" w:hAnsi="Arial" w:cs="Arial"/>
          <w:i/>
          <w:sz w:val="24"/>
          <w:szCs w:val="24"/>
        </w:rPr>
        <w:t>,</w:t>
      </w:r>
      <w:r w:rsidR="00FE0D71">
        <w:rPr>
          <w:rStyle w:val="FootnoteReference"/>
          <w:rFonts w:ascii="Arial" w:hAnsi="Arial" w:cs="Arial"/>
          <w:i/>
          <w:sz w:val="24"/>
          <w:szCs w:val="24"/>
        </w:rPr>
        <w:footnoteReference w:id="9"/>
      </w:r>
      <w:r>
        <w:rPr>
          <w:rFonts w:ascii="Arial" w:hAnsi="Arial" w:cs="Arial"/>
          <w:i/>
          <w:sz w:val="24"/>
          <w:szCs w:val="24"/>
        </w:rPr>
        <w:t xml:space="preserve"> </w:t>
      </w:r>
      <w:r>
        <w:rPr>
          <w:rFonts w:ascii="Arial" w:hAnsi="Arial" w:cs="Arial"/>
          <w:sz w:val="24"/>
          <w:szCs w:val="24"/>
        </w:rPr>
        <w:t>the Constitutional Court set out the proper legal approach in determining whether a deviation from prescribed tender conditions renders the award of a tender unlawful. To fully grasp the extent of the Constitutional Court</w:t>
      </w:r>
      <w:r w:rsidR="00646017">
        <w:rPr>
          <w:rFonts w:ascii="Arial" w:hAnsi="Arial" w:cs="Arial"/>
          <w:sz w:val="24"/>
          <w:szCs w:val="24"/>
        </w:rPr>
        <w:t>'</w:t>
      </w:r>
      <w:r>
        <w:rPr>
          <w:rFonts w:ascii="Arial" w:hAnsi="Arial" w:cs="Arial"/>
          <w:sz w:val="24"/>
          <w:szCs w:val="24"/>
        </w:rPr>
        <w:t>s guidance</w:t>
      </w:r>
      <w:r w:rsidR="00AF78C2">
        <w:rPr>
          <w:rFonts w:ascii="Arial" w:hAnsi="Arial" w:cs="Arial"/>
          <w:sz w:val="24"/>
          <w:szCs w:val="24"/>
        </w:rPr>
        <w:t>,</w:t>
      </w:r>
      <w:r>
        <w:rPr>
          <w:rFonts w:ascii="Arial" w:hAnsi="Arial" w:cs="Arial"/>
          <w:sz w:val="24"/>
          <w:szCs w:val="24"/>
        </w:rPr>
        <w:t xml:space="preserve"> it is necessary </w:t>
      </w:r>
      <w:r w:rsidR="00AF78C2">
        <w:rPr>
          <w:rFonts w:ascii="Arial" w:hAnsi="Arial" w:cs="Arial"/>
          <w:sz w:val="24"/>
          <w:szCs w:val="24"/>
        </w:rPr>
        <w:t>to</w:t>
      </w:r>
      <w:r>
        <w:rPr>
          <w:rFonts w:ascii="Arial" w:hAnsi="Arial" w:cs="Arial"/>
          <w:sz w:val="24"/>
          <w:szCs w:val="24"/>
        </w:rPr>
        <w:t xml:space="preserve"> consider the approach </w:t>
      </w:r>
      <w:r>
        <w:rPr>
          <w:rFonts w:ascii="Arial" w:hAnsi="Arial" w:cs="Arial"/>
          <w:sz w:val="24"/>
          <w:szCs w:val="24"/>
        </w:rPr>
        <w:lastRenderedPageBreak/>
        <w:t xml:space="preserve">followed </w:t>
      </w:r>
      <w:r w:rsidR="00AF78C2">
        <w:rPr>
          <w:rFonts w:ascii="Arial" w:hAnsi="Arial" w:cs="Arial"/>
          <w:sz w:val="24"/>
          <w:szCs w:val="24"/>
        </w:rPr>
        <w:t>by</w:t>
      </w:r>
      <w:r>
        <w:rPr>
          <w:rFonts w:ascii="Arial" w:hAnsi="Arial" w:cs="Arial"/>
          <w:sz w:val="24"/>
          <w:szCs w:val="24"/>
        </w:rPr>
        <w:t xml:space="preserve"> the </w:t>
      </w:r>
      <w:r w:rsidR="00F72187">
        <w:rPr>
          <w:rFonts w:ascii="Arial" w:hAnsi="Arial" w:cs="Arial"/>
          <w:sz w:val="24"/>
          <w:szCs w:val="24"/>
        </w:rPr>
        <w:t>Supreme</w:t>
      </w:r>
      <w:r>
        <w:rPr>
          <w:rFonts w:ascii="Arial" w:hAnsi="Arial" w:cs="Arial"/>
          <w:sz w:val="24"/>
          <w:szCs w:val="24"/>
        </w:rPr>
        <w:t xml:space="preserve"> Court of Appeal (the SCA). </w:t>
      </w:r>
      <w:r w:rsidR="006E749B">
        <w:rPr>
          <w:rFonts w:ascii="Arial" w:hAnsi="Arial" w:cs="Arial"/>
          <w:sz w:val="24"/>
          <w:szCs w:val="24"/>
        </w:rPr>
        <w:t xml:space="preserve">When the </w:t>
      </w:r>
      <w:r w:rsidR="00AF78C2">
        <w:rPr>
          <w:rFonts w:ascii="Arial" w:hAnsi="Arial" w:cs="Arial"/>
          <w:sz w:val="24"/>
          <w:szCs w:val="24"/>
        </w:rPr>
        <w:t>SCA dealt with the matter</w:t>
      </w:r>
      <w:r w:rsidR="006E749B">
        <w:rPr>
          <w:rFonts w:ascii="Arial" w:hAnsi="Arial" w:cs="Arial"/>
          <w:sz w:val="24"/>
          <w:szCs w:val="24"/>
        </w:rPr>
        <w:t>,</w:t>
      </w:r>
      <w:r w:rsidR="006E749B" w:rsidRPr="00EA7C56">
        <w:rPr>
          <w:rStyle w:val="FootnoteReference"/>
          <w:rFonts w:ascii="Arial" w:hAnsi="Arial" w:cs="Arial"/>
          <w:sz w:val="24"/>
          <w:szCs w:val="24"/>
        </w:rPr>
        <w:footnoteReference w:id="10"/>
      </w:r>
      <w:r w:rsidR="00EA7C56">
        <w:rPr>
          <w:rFonts w:ascii="Arial" w:hAnsi="Arial" w:cs="Arial"/>
          <w:sz w:val="24"/>
          <w:szCs w:val="24"/>
        </w:rPr>
        <w:t xml:space="preserve"> </w:t>
      </w:r>
      <w:r w:rsidR="006E749B">
        <w:rPr>
          <w:rFonts w:ascii="Arial" w:hAnsi="Arial" w:cs="Arial"/>
          <w:sz w:val="24"/>
          <w:szCs w:val="24"/>
        </w:rPr>
        <w:t xml:space="preserve">the SCA </w:t>
      </w:r>
      <w:r w:rsidR="00DD451F" w:rsidRPr="001F7A65">
        <w:rPr>
          <w:rFonts w:ascii="Arial" w:hAnsi="Arial" w:cs="Arial"/>
          <w:sz w:val="24"/>
          <w:szCs w:val="24"/>
        </w:rPr>
        <w:t xml:space="preserve">held that irregularities in the tender process must be consequential to </w:t>
      </w:r>
      <w:r w:rsidR="00FE0D71">
        <w:rPr>
          <w:rFonts w:ascii="Arial" w:hAnsi="Arial" w:cs="Arial"/>
          <w:sz w:val="24"/>
          <w:szCs w:val="24"/>
        </w:rPr>
        <w:t xml:space="preserve">render a tender </w:t>
      </w:r>
      <w:r w:rsidR="00DD451F" w:rsidRPr="001F7A65">
        <w:rPr>
          <w:rFonts w:ascii="Arial" w:hAnsi="Arial" w:cs="Arial"/>
          <w:sz w:val="24"/>
          <w:szCs w:val="24"/>
        </w:rPr>
        <w:t>reviewable.</w:t>
      </w:r>
      <w:r>
        <w:rPr>
          <w:rFonts w:ascii="Arial" w:hAnsi="Arial" w:cs="Arial"/>
          <w:sz w:val="24"/>
          <w:szCs w:val="24"/>
        </w:rPr>
        <w:t xml:space="preserve"> The SCA</w:t>
      </w:r>
      <w:r w:rsidR="00790286" w:rsidRPr="001F7A65">
        <w:rPr>
          <w:rFonts w:ascii="Arial" w:hAnsi="Arial" w:cs="Arial"/>
          <w:sz w:val="24"/>
          <w:szCs w:val="24"/>
        </w:rPr>
        <w:t xml:space="preserve"> held that in its view</w:t>
      </w:r>
      <w:r w:rsidR="00AF78C2">
        <w:rPr>
          <w:rFonts w:ascii="Arial" w:hAnsi="Arial" w:cs="Arial"/>
          <w:sz w:val="24"/>
          <w:szCs w:val="24"/>
        </w:rPr>
        <w:t>,</w:t>
      </w:r>
      <w:r w:rsidR="00790286" w:rsidRPr="001F7A65">
        <w:rPr>
          <w:rFonts w:ascii="Arial" w:hAnsi="Arial" w:cs="Arial"/>
          <w:sz w:val="24"/>
          <w:szCs w:val="24"/>
        </w:rPr>
        <w:t xml:space="preserve"> </w:t>
      </w:r>
      <w:r w:rsidR="00646017">
        <w:rPr>
          <w:rFonts w:ascii="Arial" w:hAnsi="Arial" w:cs="Arial"/>
          <w:sz w:val="24"/>
          <w:szCs w:val="24"/>
        </w:rPr>
        <w:t>'</w:t>
      </w:r>
      <w:r w:rsidR="00790286" w:rsidRPr="001F7A65">
        <w:rPr>
          <w:rFonts w:ascii="Arial" w:hAnsi="Arial" w:cs="Arial"/>
          <w:sz w:val="24"/>
          <w:szCs w:val="24"/>
        </w:rPr>
        <w:t>a fa</w:t>
      </w:r>
      <w:r w:rsidR="001F7A65" w:rsidRPr="001F7A65">
        <w:rPr>
          <w:rFonts w:ascii="Arial" w:hAnsi="Arial" w:cs="Arial"/>
          <w:sz w:val="24"/>
          <w:szCs w:val="24"/>
        </w:rPr>
        <w:t>i</w:t>
      </w:r>
      <w:r w:rsidR="00790286" w:rsidRPr="001F7A65">
        <w:rPr>
          <w:rFonts w:ascii="Arial" w:hAnsi="Arial" w:cs="Arial"/>
          <w:sz w:val="24"/>
          <w:szCs w:val="24"/>
        </w:rPr>
        <w:t>r process does not demand perfection and not every flaw is fatal,</w:t>
      </w:r>
      <w:r w:rsidR="00646017">
        <w:rPr>
          <w:rFonts w:ascii="Arial" w:hAnsi="Arial" w:cs="Arial"/>
          <w:sz w:val="24"/>
          <w:szCs w:val="24"/>
        </w:rPr>
        <w:t>'</w:t>
      </w:r>
      <w:r w:rsidR="00790286">
        <w:rPr>
          <w:rStyle w:val="FootnoteReference"/>
          <w:rFonts w:ascii="Arial" w:hAnsi="Arial" w:cs="Arial"/>
          <w:sz w:val="24"/>
          <w:szCs w:val="24"/>
        </w:rPr>
        <w:footnoteReference w:id="11"/>
      </w:r>
      <w:r w:rsidR="00790286" w:rsidRPr="001F7A65">
        <w:rPr>
          <w:rFonts w:ascii="Arial" w:hAnsi="Arial" w:cs="Arial"/>
          <w:sz w:val="24"/>
          <w:szCs w:val="24"/>
        </w:rPr>
        <w:t xml:space="preserve"> and pointed out that </w:t>
      </w:r>
      <w:r w:rsidR="00646017">
        <w:rPr>
          <w:rFonts w:ascii="Arial" w:hAnsi="Arial" w:cs="Arial"/>
          <w:sz w:val="24"/>
          <w:szCs w:val="24"/>
        </w:rPr>
        <w:t>'</w:t>
      </w:r>
      <w:r w:rsidR="00790286" w:rsidRPr="001F7A65">
        <w:rPr>
          <w:rFonts w:ascii="Arial" w:hAnsi="Arial" w:cs="Arial"/>
          <w:sz w:val="24"/>
          <w:szCs w:val="24"/>
        </w:rPr>
        <w:t>[i]t would be gravely prejudicial to the public interest if the law was to invalidate public contracts for inconsequential irregularities.</w:t>
      </w:r>
      <w:r w:rsidR="00646017">
        <w:rPr>
          <w:rFonts w:ascii="Arial" w:hAnsi="Arial" w:cs="Arial"/>
          <w:sz w:val="24"/>
          <w:szCs w:val="24"/>
        </w:rPr>
        <w:t>'</w:t>
      </w:r>
      <w:r w:rsidR="00790286">
        <w:rPr>
          <w:rStyle w:val="FootnoteReference"/>
          <w:rFonts w:ascii="Arial" w:hAnsi="Arial" w:cs="Arial"/>
          <w:sz w:val="24"/>
          <w:szCs w:val="24"/>
        </w:rPr>
        <w:footnoteReference w:id="12"/>
      </w:r>
      <w:r w:rsidR="001F7A65" w:rsidRPr="001F7A65">
        <w:rPr>
          <w:rFonts w:ascii="Arial" w:hAnsi="Arial" w:cs="Arial"/>
          <w:sz w:val="24"/>
          <w:szCs w:val="24"/>
        </w:rPr>
        <w:t xml:space="preserve"> </w:t>
      </w:r>
    </w:p>
    <w:p w14:paraId="2818FDF4" w14:textId="77777777" w:rsidR="001F7A65" w:rsidRPr="001F7A65" w:rsidRDefault="001F7A65" w:rsidP="001F7A65">
      <w:pPr>
        <w:pStyle w:val="ListParagraph"/>
        <w:rPr>
          <w:rFonts w:ascii="Arial" w:hAnsi="Arial" w:cs="Arial"/>
          <w:sz w:val="24"/>
          <w:szCs w:val="24"/>
        </w:rPr>
      </w:pPr>
    </w:p>
    <w:p w14:paraId="72C22A7E" w14:textId="1841D030" w:rsidR="00BC6D56" w:rsidRPr="00BC6D56" w:rsidRDefault="00DD451F" w:rsidP="003C03C0">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BC6D56">
        <w:rPr>
          <w:rFonts w:ascii="Arial" w:hAnsi="Arial" w:cs="Arial"/>
          <w:sz w:val="24"/>
          <w:szCs w:val="24"/>
        </w:rPr>
        <w:t xml:space="preserve">The Constitutional Court, however, discarded this approach and dismissed the idea of an </w:t>
      </w:r>
      <w:r w:rsidR="00646017">
        <w:rPr>
          <w:rFonts w:ascii="Arial" w:hAnsi="Arial" w:cs="Arial"/>
          <w:sz w:val="24"/>
          <w:szCs w:val="24"/>
        </w:rPr>
        <w:t>'</w:t>
      </w:r>
      <w:r w:rsidRPr="00BC6D56">
        <w:rPr>
          <w:rFonts w:ascii="Arial" w:hAnsi="Arial" w:cs="Arial"/>
          <w:sz w:val="24"/>
          <w:szCs w:val="24"/>
        </w:rPr>
        <w:t>inconsequential irregularity</w:t>
      </w:r>
      <w:r w:rsidR="00646017">
        <w:rPr>
          <w:rFonts w:ascii="Arial" w:hAnsi="Arial" w:cs="Arial"/>
          <w:sz w:val="24"/>
          <w:szCs w:val="24"/>
        </w:rPr>
        <w:t>'</w:t>
      </w:r>
      <w:r w:rsidRPr="00BC6D56">
        <w:rPr>
          <w:rFonts w:ascii="Arial" w:hAnsi="Arial" w:cs="Arial"/>
          <w:sz w:val="24"/>
          <w:szCs w:val="24"/>
        </w:rPr>
        <w:t xml:space="preserve"> as being relevant to the determination of lawfulness.</w:t>
      </w:r>
      <w:r>
        <w:rPr>
          <w:rStyle w:val="FootnoteReference"/>
          <w:rFonts w:ascii="Arial" w:hAnsi="Arial" w:cs="Arial"/>
          <w:sz w:val="24"/>
          <w:szCs w:val="24"/>
        </w:rPr>
        <w:footnoteReference w:id="13"/>
      </w:r>
      <w:r w:rsidR="0030206C" w:rsidRPr="00BC6D56">
        <w:rPr>
          <w:rFonts w:ascii="Arial" w:hAnsi="Arial" w:cs="Arial"/>
          <w:sz w:val="24"/>
          <w:szCs w:val="24"/>
        </w:rPr>
        <w:t xml:space="preserve"> It</w:t>
      </w:r>
      <w:r w:rsidR="00762137" w:rsidRPr="00BC6D56">
        <w:rPr>
          <w:rFonts w:ascii="Arial" w:hAnsi="Arial" w:cs="Arial"/>
          <w:sz w:val="24"/>
          <w:szCs w:val="24"/>
        </w:rPr>
        <w:t xml:space="preserve"> rejected the idea that </w:t>
      </w:r>
      <w:r w:rsidR="00646017">
        <w:rPr>
          <w:rFonts w:ascii="Arial" w:hAnsi="Arial" w:cs="Arial"/>
          <w:sz w:val="24"/>
          <w:szCs w:val="24"/>
        </w:rPr>
        <w:t>'</w:t>
      </w:r>
      <w:r w:rsidR="00762137" w:rsidRPr="00BC6D56">
        <w:rPr>
          <w:rFonts w:ascii="Arial" w:hAnsi="Arial" w:cs="Arial"/>
          <w:sz w:val="24"/>
          <w:szCs w:val="24"/>
        </w:rPr>
        <w:t>even if proven irregularities exist, the inevitability of a certain outcome is a factor that should be considered in determining the validity of administrative action.</w:t>
      </w:r>
      <w:r w:rsidR="00646017">
        <w:rPr>
          <w:rFonts w:ascii="Arial" w:hAnsi="Arial" w:cs="Arial"/>
          <w:sz w:val="24"/>
          <w:szCs w:val="24"/>
        </w:rPr>
        <w:t>'</w:t>
      </w:r>
      <w:r w:rsidR="00762137">
        <w:rPr>
          <w:rStyle w:val="FootnoteReference"/>
          <w:rFonts w:ascii="Arial" w:hAnsi="Arial" w:cs="Arial"/>
          <w:sz w:val="24"/>
          <w:szCs w:val="24"/>
        </w:rPr>
        <w:footnoteReference w:id="14"/>
      </w:r>
      <w:r w:rsidR="001F7A65" w:rsidRPr="00BC6D56">
        <w:rPr>
          <w:rFonts w:ascii="Arial" w:hAnsi="Arial" w:cs="Arial"/>
          <w:sz w:val="24"/>
          <w:szCs w:val="24"/>
        </w:rPr>
        <w:t xml:space="preserve"> In the Constitutional Court</w:t>
      </w:r>
      <w:r w:rsidR="00646017">
        <w:rPr>
          <w:rFonts w:ascii="Arial" w:hAnsi="Arial" w:cs="Arial"/>
          <w:sz w:val="24"/>
          <w:szCs w:val="24"/>
        </w:rPr>
        <w:t>'</w:t>
      </w:r>
      <w:r w:rsidR="001F7A65" w:rsidRPr="00BC6D56">
        <w:rPr>
          <w:rFonts w:ascii="Arial" w:hAnsi="Arial" w:cs="Arial"/>
          <w:sz w:val="24"/>
          <w:szCs w:val="24"/>
        </w:rPr>
        <w:t>s view</w:t>
      </w:r>
      <w:r w:rsidR="00AF78C2">
        <w:rPr>
          <w:rFonts w:ascii="Arial" w:hAnsi="Arial" w:cs="Arial"/>
          <w:sz w:val="24"/>
          <w:szCs w:val="24"/>
        </w:rPr>
        <w:t>,</w:t>
      </w:r>
      <w:r w:rsidR="001F7A65" w:rsidRPr="00BC6D56">
        <w:rPr>
          <w:rFonts w:ascii="Arial" w:hAnsi="Arial" w:cs="Arial"/>
          <w:sz w:val="24"/>
          <w:szCs w:val="24"/>
        </w:rPr>
        <w:t xml:space="preserve"> such an approach </w:t>
      </w:r>
      <w:r w:rsidR="00646017">
        <w:rPr>
          <w:rFonts w:ascii="Arial" w:hAnsi="Arial" w:cs="Arial"/>
          <w:sz w:val="24"/>
          <w:szCs w:val="24"/>
        </w:rPr>
        <w:t>'</w:t>
      </w:r>
      <w:r w:rsidR="001F7A65" w:rsidRPr="00BC6D56">
        <w:rPr>
          <w:rFonts w:ascii="Arial" w:hAnsi="Arial" w:cs="Arial"/>
          <w:sz w:val="24"/>
          <w:szCs w:val="24"/>
        </w:rPr>
        <w:t>undermines the role procedural requirements play in ensuring even treatment of all bidders</w:t>
      </w:r>
      <w:r w:rsidR="00646017">
        <w:rPr>
          <w:rFonts w:ascii="Arial" w:hAnsi="Arial" w:cs="Arial"/>
          <w:sz w:val="24"/>
          <w:szCs w:val="24"/>
        </w:rPr>
        <w:t>'</w:t>
      </w:r>
      <w:r w:rsidR="001F7A65">
        <w:rPr>
          <w:rStyle w:val="FootnoteReference"/>
          <w:rFonts w:ascii="Arial" w:hAnsi="Arial" w:cs="Arial"/>
          <w:sz w:val="24"/>
          <w:szCs w:val="24"/>
        </w:rPr>
        <w:footnoteReference w:id="15"/>
      </w:r>
      <w:r w:rsidR="001F7A65" w:rsidRPr="00BC6D56">
        <w:rPr>
          <w:rFonts w:ascii="Arial" w:hAnsi="Arial" w:cs="Arial"/>
          <w:sz w:val="24"/>
          <w:szCs w:val="24"/>
        </w:rPr>
        <w:t xml:space="preserve"> and </w:t>
      </w:r>
      <w:r w:rsidR="00646017">
        <w:rPr>
          <w:rFonts w:ascii="Arial" w:hAnsi="Arial" w:cs="Arial"/>
          <w:sz w:val="24"/>
          <w:szCs w:val="24"/>
        </w:rPr>
        <w:t>'</w:t>
      </w:r>
      <w:r w:rsidR="001F7A65" w:rsidRPr="00BC6D56">
        <w:rPr>
          <w:rFonts w:ascii="Arial" w:hAnsi="Arial" w:cs="Arial"/>
          <w:sz w:val="24"/>
          <w:szCs w:val="24"/>
        </w:rPr>
        <w:t>it overlooks that the purpose of a fair process is to ensure the best outcome.</w:t>
      </w:r>
      <w:r w:rsidR="00646017">
        <w:rPr>
          <w:rFonts w:ascii="Arial" w:hAnsi="Arial" w:cs="Arial"/>
          <w:sz w:val="24"/>
          <w:szCs w:val="24"/>
        </w:rPr>
        <w:t>'</w:t>
      </w:r>
      <w:r w:rsidR="001F7A65">
        <w:rPr>
          <w:rStyle w:val="FootnoteReference"/>
          <w:rFonts w:ascii="Arial" w:hAnsi="Arial" w:cs="Arial"/>
          <w:sz w:val="24"/>
          <w:szCs w:val="24"/>
        </w:rPr>
        <w:footnoteReference w:id="16"/>
      </w:r>
      <w:r w:rsidR="006E749B" w:rsidRPr="00BC6D56">
        <w:rPr>
          <w:rFonts w:ascii="Arial" w:hAnsi="Arial" w:cs="Arial"/>
          <w:sz w:val="24"/>
          <w:szCs w:val="24"/>
        </w:rPr>
        <w:t xml:space="preserve"> The Constitutiona</w:t>
      </w:r>
      <w:r w:rsidR="00FE0D71" w:rsidRPr="00BC6D56">
        <w:rPr>
          <w:rFonts w:ascii="Arial" w:hAnsi="Arial" w:cs="Arial"/>
          <w:sz w:val="24"/>
          <w:szCs w:val="24"/>
        </w:rPr>
        <w:t>l</w:t>
      </w:r>
      <w:r w:rsidR="006E749B" w:rsidRPr="00BC6D56">
        <w:rPr>
          <w:rFonts w:ascii="Arial" w:hAnsi="Arial" w:cs="Arial"/>
          <w:sz w:val="24"/>
          <w:szCs w:val="24"/>
        </w:rPr>
        <w:t xml:space="preserve"> Cou</w:t>
      </w:r>
      <w:r w:rsidR="00EA7C56">
        <w:rPr>
          <w:rFonts w:ascii="Arial" w:hAnsi="Arial" w:cs="Arial"/>
          <w:sz w:val="24"/>
          <w:szCs w:val="24"/>
        </w:rPr>
        <w:t>rt distinguished between</w:t>
      </w:r>
      <w:r w:rsidR="006E749B" w:rsidRPr="00BC6D56">
        <w:rPr>
          <w:rFonts w:ascii="Arial" w:hAnsi="Arial" w:cs="Arial"/>
          <w:sz w:val="24"/>
          <w:szCs w:val="24"/>
        </w:rPr>
        <w:t xml:space="preserve"> the lawfulness </w:t>
      </w:r>
      <w:r w:rsidR="00AF78C2">
        <w:rPr>
          <w:rFonts w:ascii="Arial" w:hAnsi="Arial" w:cs="Arial"/>
          <w:sz w:val="24"/>
          <w:szCs w:val="24"/>
        </w:rPr>
        <w:t>i</w:t>
      </w:r>
      <w:r w:rsidR="00EA7C56">
        <w:rPr>
          <w:rFonts w:ascii="Arial" w:hAnsi="Arial" w:cs="Arial"/>
          <w:sz w:val="24"/>
          <w:szCs w:val="24"/>
        </w:rPr>
        <w:t>nquiry and</w:t>
      </w:r>
      <w:r w:rsidR="006E749B" w:rsidRPr="00BC6D56">
        <w:rPr>
          <w:rFonts w:ascii="Arial" w:hAnsi="Arial" w:cs="Arial"/>
          <w:sz w:val="24"/>
          <w:szCs w:val="24"/>
        </w:rPr>
        <w:t xml:space="preserve"> the determination </w:t>
      </w:r>
      <w:r w:rsidR="00EA7C56">
        <w:rPr>
          <w:rFonts w:ascii="Arial" w:hAnsi="Arial" w:cs="Arial"/>
          <w:sz w:val="24"/>
          <w:szCs w:val="24"/>
        </w:rPr>
        <w:t>of a just and equitable remedy</w:t>
      </w:r>
      <w:r w:rsidR="006E749B" w:rsidRPr="00BC6D56">
        <w:rPr>
          <w:rFonts w:ascii="Arial" w:hAnsi="Arial" w:cs="Arial"/>
          <w:sz w:val="24"/>
          <w:szCs w:val="24"/>
        </w:rPr>
        <w:t>.</w:t>
      </w:r>
    </w:p>
    <w:p w14:paraId="27CD026D" w14:textId="77777777" w:rsidR="00B57969" w:rsidRPr="00B57969" w:rsidRDefault="00B57969" w:rsidP="00B57969">
      <w:pPr>
        <w:pStyle w:val="ListParagraph"/>
        <w:rPr>
          <w:rFonts w:ascii="Arial" w:hAnsi="Arial" w:cs="Arial"/>
          <w:sz w:val="24"/>
          <w:szCs w:val="24"/>
        </w:rPr>
      </w:pPr>
    </w:p>
    <w:p w14:paraId="614FB954" w14:textId="6CCF02EE" w:rsidR="00B57969" w:rsidRDefault="00BC6D5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Constitutional Court confirmed the inevitable - procedural requirements </w:t>
      </w:r>
      <w:r w:rsidR="00AF78C2">
        <w:rPr>
          <w:rFonts w:ascii="Arial" w:hAnsi="Arial" w:cs="Arial"/>
          <w:sz w:val="24"/>
          <w:szCs w:val="24"/>
        </w:rPr>
        <w:t>must</w:t>
      </w:r>
      <w:r>
        <w:rPr>
          <w:rFonts w:ascii="Arial" w:hAnsi="Arial" w:cs="Arial"/>
          <w:sz w:val="24"/>
          <w:szCs w:val="24"/>
        </w:rPr>
        <w:t xml:space="preserve"> be considered on their own merits</w:t>
      </w:r>
      <w:r w:rsidR="00AF78C2">
        <w:rPr>
          <w:rFonts w:ascii="Arial" w:hAnsi="Arial" w:cs="Arial"/>
          <w:sz w:val="24"/>
          <w:szCs w:val="24"/>
        </w:rPr>
        <w:t>. O</w:t>
      </w:r>
      <w:r>
        <w:rPr>
          <w:rFonts w:ascii="Arial" w:hAnsi="Arial" w:cs="Arial"/>
          <w:sz w:val="24"/>
          <w:szCs w:val="24"/>
        </w:rPr>
        <w:t>nce a ground for review under PAJA has been established</w:t>
      </w:r>
      <w:r w:rsidR="00AF78C2">
        <w:rPr>
          <w:rFonts w:ascii="Arial" w:hAnsi="Arial" w:cs="Arial"/>
          <w:sz w:val="24"/>
          <w:szCs w:val="24"/>
        </w:rPr>
        <w:t>,</w:t>
      </w:r>
      <w:r>
        <w:rPr>
          <w:rFonts w:ascii="Arial" w:hAnsi="Arial" w:cs="Arial"/>
          <w:sz w:val="24"/>
          <w:szCs w:val="24"/>
        </w:rPr>
        <w:t xml:space="preserve"> there is no room f</w:t>
      </w:r>
      <w:r w:rsidR="00AF78C2">
        <w:rPr>
          <w:rFonts w:ascii="Arial" w:hAnsi="Arial" w:cs="Arial"/>
          <w:sz w:val="24"/>
          <w:szCs w:val="24"/>
        </w:rPr>
        <w:t>or</w:t>
      </w:r>
      <w:r>
        <w:rPr>
          <w:rFonts w:ascii="Arial" w:hAnsi="Arial" w:cs="Arial"/>
          <w:sz w:val="24"/>
          <w:szCs w:val="24"/>
        </w:rPr>
        <w:t xml:space="preserve"> shying away from it. Section 172(1)(a) of the Constitution requires the decision to be declared unlawful.</w:t>
      </w:r>
      <w:r>
        <w:rPr>
          <w:rStyle w:val="FootnoteReference"/>
          <w:rFonts w:ascii="Arial" w:hAnsi="Arial" w:cs="Arial"/>
          <w:sz w:val="24"/>
          <w:szCs w:val="24"/>
        </w:rPr>
        <w:footnoteReference w:id="17"/>
      </w:r>
      <w:r>
        <w:rPr>
          <w:rFonts w:ascii="Arial" w:hAnsi="Arial" w:cs="Arial"/>
          <w:sz w:val="24"/>
          <w:szCs w:val="24"/>
        </w:rPr>
        <w:t xml:space="preserve">  </w:t>
      </w:r>
      <w:r w:rsidR="003C03C0">
        <w:rPr>
          <w:rFonts w:ascii="Arial" w:hAnsi="Arial" w:cs="Arial"/>
          <w:sz w:val="24"/>
          <w:szCs w:val="24"/>
        </w:rPr>
        <w:t>The Constitutional Court reiterated that there is no reason to conflate procedure and merit.</w:t>
      </w:r>
      <w:r w:rsidR="003C03C0">
        <w:rPr>
          <w:rStyle w:val="FootnoteReference"/>
          <w:rFonts w:ascii="Arial" w:hAnsi="Arial" w:cs="Arial"/>
          <w:sz w:val="24"/>
          <w:szCs w:val="24"/>
        </w:rPr>
        <w:footnoteReference w:id="18"/>
      </w:r>
    </w:p>
    <w:p w14:paraId="702E4D41" w14:textId="77777777" w:rsidR="00B57969" w:rsidRPr="00B57969" w:rsidRDefault="00B57969" w:rsidP="00B57969">
      <w:pPr>
        <w:pStyle w:val="ListParagraph"/>
        <w:rPr>
          <w:rFonts w:ascii="Arial" w:hAnsi="Arial" w:cs="Arial"/>
          <w:sz w:val="24"/>
          <w:szCs w:val="24"/>
        </w:rPr>
      </w:pPr>
    </w:p>
    <w:p w14:paraId="20CCB4AD" w14:textId="37873050" w:rsidR="00B57969" w:rsidRDefault="003C03C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line with the approach set out in </w:t>
      </w:r>
      <w:r>
        <w:rPr>
          <w:rFonts w:ascii="Arial" w:hAnsi="Arial" w:cs="Arial"/>
          <w:i/>
          <w:sz w:val="24"/>
          <w:szCs w:val="24"/>
        </w:rPr>
        <w:t>AllPay</w:t>
      </w:r>
      <w:r w:rsidR="00AF78C2">
        <w:rPr>
          <w:rFonts w:ascii="Arial" w:hAnsi="Arial" w:cs="Arial"/>
          <w:i/>
          <w:sz w:val="24"/>
          <w:szCs w:val="24"/>
        </w:rPr>
        <w:t>,</w:t>
      </w:r>
      <w:r>
        <w:rPr>
          <w:rFonts w:ascii="Arial" w:hAnsi="Arial" w:cs="Arial"/>
          <w:sz w:val="24"/>
          <w:szCs w:val="24"/>
        </w:rPr>
        <w:t xml:space="preserve"> it is thus necessary to first establish whether an irregularity or irregularities occurred. If that is found to be the position, </w:t>
      </w:r>
      <w:r>
        <w:rPr>
          <w:rFonts w:ascii="Arial" w:hAnsi="Arial" w:cs="Arial"/>
          <w:sz w:val="24"/>
          <w:szCs w:val="24"/>
        </w:rPr>
        <w:lastRenderedPageBreak/>
        <w:t>the irregularities must be legally evaluated to determine whether it amounts to</w:t>
      </w:r>
      <w:r w:rsidR="00AF78C2">
        <w:rPr>
          <w:rFonts w:ascii="Arial" w:hAnsi="Arial" w:cs="Arial"/>
          <w:sz w:val="24"/>
          <w:szCs w:val="24"/>
        </w:rPr>
        <w:t xml:space="preserve"> a ground of review under PAJA. </w:t>
      </w:r>
      <w:r w:rsidR="00EA7C56">
        <w:rPr>
          <w:rFonts w:ascii="Arial" w:hAnsi="Arial" w:cs="Arial"/>
          <w:sz w:val="24"/>
          <w:szCs w:val="24"/>
        </w:rPr>
        <w:t xml:space="preserve">In this legal evaluation </w:t>
      </w:r>
      <w:r>
        <w:rPr>
          <w:rFonts w:ascii="Arial" w:hAnsi="Arial" w:cs="Arial"/>
          <w:sz w:val="24"/>
          <w:szCs w:val="24"/>
        </w:rPr>
        <w:t xml:space="preserve">the materiality of any deviance from legal requirements </w:t>
      </w:r>
      <w:r w:rsidR="00EA7C56">
        <w:rPr>
          <w:rFonts w:ascii="Arial" w:hAnsi="Arial" w:cs="Arial"/>
          <w:sz w:val="24"/>
          <w:szCs w:val="24"/>
        </w:rPr>
        <w:t xml:space="preserve">must be considered </w:t>
      </w:r>
      <w:r w:rsidR="00646017">
        <w:rPr>
          <w:rFonts w:ascii="Arial" w:hAnsi="Arial" w:cs="Arial"/>
          <w:sz w:val="24"/>
          <w:szCs w:val="24"/>
        </w:rPr>
        <w:t>'</w:t>
      </w:r>
      <w:r>
        <w:rPr>
          <w:rFonts w:ascii="Arial" w:hAnsi="Arial" w:cs="Arial"/>
          <w:sz w:val="24"/>
          <w:szCs w:val="24"/>
        </w:rPr>
        <w:t>by linking the question of compliance to the purpose of the provision, before establishing that a review ground under PAJA has been established.</w:t>
      </w:r>
      <w:r w:rsidR="00646017">
        <w:rPr>
          <w:rFonts w:ascii="Arial" w:hAnsi="Arial" w:cs="Arial"/>
          <w:sz w:val="24"/>
          <w:szCs w:val="24"/>
        </w:rPr>
        <w:t>'</w:t>
      </w:r>
      <w:r>
        <w:rPr>
          <w:rStyle w:val="FootnoteReference"/>
          <w:rFonts w:ascii="Arial" w:hAnsi="Arial" w:cs="Arial"/>
          <w:sz w:val="24"/>
          <w:szCs w:val="24"/>
        </w:rPr>
        <w:footnoteReference w:id="19"/>
      </w:r>
      <w:r>
        <w:rPr>
          <w:rFonts w:ascii="Arial" w:hAnsi="Arial" w:cs="Arial"/>
          <w:sz w:val="24"/>
          <w:szCs w:val="24"/>
        </w:rPr>
        <w:t xml:space="preserve"> </w:t>
      </w:r>
    </w:p>
    <w:p w14:paraId="7AD6AC93" w14:textId="77777777" w:rsidR="00B57969" w:rsidRPr="00B57969" w:rsidRDefault="00B57969" w:rsidP="00B57969">
      <w:pPr>
        <w:pStyle w:val="ListParagraph"/>
        <w:rPr>
          <w:rFonts w:ascii="Arial" w:hAnsi="Arial" w:cs="Arial"/>
          <w:sz w:val="24"/>
          <w:szCs w:val="24"/>
        </w:rPr>
      </w:pPr>
    </w:p>
    <w:p w14:paraId="722C099F" w14:textId="196CB1E3" w:rsidR="00B57969" w:rsidRDefault="00EA7C5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Froneman J provided further guidance </w:t>
      </w:r>
      <w:r w:rsidR="003C03C0">
        <w:rPr>
          <w:rFonts w:ascii="Arial" w:hAnsi="Arial" w:cs="Arial"/>
          <w:sz w:val="24"/>
          <w:szCs w:val="24"/>
        </w:rPr>
        <w:t xml:space="preserve">on assessing the materiality of compliance with legal requirements. He contextualised the approach </w:t>
      </w:r>
      <w:r w:rsidR="00F72187">
        <w:rPr>
          <w:rFonts w:ascii="Arial" w:hAnsi="Arial" w:cs="Arial"/>
          <w:sz w:val="24"/>
          <w:szCs w:val="24"/>
        </w:rPr>
        <w:t>to be followed by explaining:</w:t>
      </w:r>
      <w:r>
        <w:rPr>
          <w:rStyle w:val="FootnoteReference"/>
          <w:rFonts w:ascii="Arial" w:hAnsi="Arial" w:cs="Arial"/>
          <w:sz w:val="24"/>
          <w:szCs w:val="24"/>
        </w:rPr>
        <w:footnoteReference w:id="20"/>
      </w:r>
    </w:p>
    <w:p w14:paraId="02BCEAEE" w14:textId="77777777" w:rsidR="00F72187" w:rsidRPr="00F72187" w:rsidRDefault="00F72187" w:rsidP="00F72187">
      <w:pPr>
        <w:pStyle w:val="ListParagraph"/>
        <w:rPr>
          <w:rFonts w:ascii="Arial" w:hAnsi="Arial" w:cs="Arial"/>
          <w:sz w:val="24"/>
          <w:szCs w:val="24"/>
        </w:rPr>
      </w:pPr>
    </w:p>
    <w:p w14:paraId="75EFE23D" w14:textId="4ABA6B8A" w:rsidR="00F72187" w:rsidRPr="00F72187" w:rsidRDefault="00646017" w:rsidP="00F7218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F72187" w:rsidRPr="00F72187">
        <w:rPr>
          <w:rFonts w:ascii="Arial" w:hAnsi="Arial" w:cs="Arial"/>
          <w:sz w:val="24"/>
          <w:szCs w:val="24"/>
        </w:rPr>
        <w:t xml:space="preserve">Assessing the materiality of compliance with legal requirements in our administrative law is, fortunately, an exercise unencumbered by excessive formality. It was not always so. Formal distinctions were drawn between </w:t>
      </w:r>
      <w:r>
        <w:rPr>
          <w:rFonts w:ascii="Arial" w:hAnsi="Arial" w:cs="Arial"/>
          <w:sz w:val="24"/>
          <w:szCs w:val="24"/>
        </w:rPr>
        <w:t>"</w:t>
      </w:r>
      <w:r w:rsidR="00F72187" w:rsidRPr="00F72187">
        <w:rPr>
          <w:rFonts w:ascii="Arial" w:hAnsi="Arial" w:cs="Arial"/>
          <w:sz w:val="24"/>
          <w:szCs w:val="24"/>
        </w:rPr>
        <w:t>mandatory</w:t>
      </w:r>
      <w:r>
        <w:rPr>
          <w:rFonts w:ascii="Arial" w:hAnsi="Arial" w:cs="Arial"/>
          <w:sz w:val="24"/>
          <w:szCs w:val="24"/>
        </w:rPr>
        <w:t>"</w:t>
      </w:r>
      <w:r w:rsidR="00F72187" w:rsidRPr="00F72187">
        <w:rPr>
          <w:rFonts w:ascii="Arial" w:hAnsi="Arial" w:cs="Arial"/>
          <w:sz w:val="24"/>
          <w:szCs w:val="24"/>
        </w:rPr>
        <w:t xml:space="preserve"> or </w:t>
      </w:r>
      <w:r>
        <w:rPr>
          <w:rFonts w:ascii="Arial" w:hAnsi="Arial" w:cs="Arial"/>
          <w:sz w:val="24"/>
          <w:szCs w:val="24"/>
        </w:rPr>
        <w:t>"</w:t>
      </w:r>
      <w:r w:rsidR="00F72187" w:rsidRPr="00F72187">
        <w:rPr>
          <w:rFonts w:ascii="Arial" w:hAnsi="Arial" w:cs="Arial"/>
          <w:sz w:val="24"/>
          <w:szCs w:val="24"/>
        </w:rPr>
        <w:t>peremptory</w:t>
      </w:r>
      <w:r>
        <w:rPr>
          <w:rFonts w:ascii="Arial" w:hAnsi="Arial" w:cs="Arial"/>
          <w:sz w:val="24"/>
          <w:szCs w:val="24"/>
        </w:rPr>
        <w:t>"</w:t>
      </w:r>
      <w:r w:rsidR="00F72187" w:rsidRPr="00F72187">
        <w:rPr>
          <w:rFonts w:ascii="Arial" w:hAnsi="Arial" w:cs="Arial"/>
          <w:sz w:val="24"/>
          <w:szCs w:val="24"/>
        </w:rPr>
        <w:t xml:space="preserve"> provisions on the one hand and </w:t>
      </w:r>
      <w:r>
        <w:rPr>
          <w:rFonts w:ascii="Arial" w:hAnsi="Arial" w:cs="Arial"/>
          <w:sz w:val="24"/>
          <w:szCs w:val="24"/>
        </w:rPr>
        <w:t>"</w:t>
      </w:r>
      <w:r w:rsidR="00F72187" w:rsidRPr="00F72187">
        <w:rPr>
          <w:rFonts w:ascii="Arial" w:hAnsi="Arial" w:cs="Arial"/>
          <w:sz w:val="24"/>
          <w:szCs w:val="24"/>
        </w:rPr>
        <w:t>directory</w:t>
      </w:r>
      <w:r>
        <w:rPr>
          <w:rFonts w:ascii="Arial" w:hAnsi="Arial" w:cs="Arial"/>
          <w:sz w:val="24"/>
          <w:szCs w:val="24"/>
        </w:rPr>
        <w:t>"</w:t>
      </w:r>
      <w:r w:rsidR="00F72187" w:rsidRPr="00F72187">
        <w:rPr>
          <w:rFonts w:ascii="Arial" w:hAnsi="Arial" w:cs="Arial"/>
          <w:sz w:val="24"/>
          <w:szCs w:val="24"/>
        </w:rPr>
        <w:t xml:space="preserve"> ones on the other, the former needing strict compliance on pain of non-validity, and the latter only substantial compliance or even non-compliance. That strict mechanical approach has been discarded. Although a number of factors need to be considered in this kind of enquiry, the central element is to link the question of compliance to the purpose of the provision. In this Court O</w:t>
      </w:r>
      <w:r>
        <w:rPr>
          <w:rFonts w:ascii="Arial" w:hAnsi="Arial" w:cs="Arial"/>
          <w:sz w:val="24"/>
          <w:szCs w:val="24"/>
        </w:rPr>
        <w:t>'</w:t>
      </w:r>
      <w:r w:rsidR="00F72187" w:rsidRPr="00F72187">
        <w:rPr>
          <w:rFonts w:ascii="Arial" w:hAnsi="Arial" w:cs="Arial"/>
          <w:sz w:val="24"/>
          <w:szCs w:val="24"/>
        </w:rPr>
        <w:t xml:space="preserve">Regan J succinctly put the question in </w:t>
      </w:r>
      <w:r w:rsidR="00F72187" w:rsidRPr="00F72187">
        <w:rPr>
          <w:rFonts w:ascii="Arial" w:hAnsi="Arial" w:cs="Arial"/>
          <w:i/>
          <w:sz w:val="24"/>
          <w:szCs w:val="24"/>
        </w:rPr>
        <w:t>ACDP v Electoral Commission</w:t>
      </w:r>
      <w:r w:rsidR="00F72187" w:rsidRPr="00F72187">
        <w:rPr>
          <w:rFonts w:ascii="Arial" w:hAnsi="Arial" w:cs="Arial"/>
          <w:sz w:val="24"/>
          <w:szCs w:val="24"/>
        </w:rPr>
        <w:t xml:space="preserve"> as being </w:t>
      </w:r>
      <w:r>
        <w:rPr>
          <w:rFonts w:ascii="Arial" w:hAnsi="Arial" w:cs="Arial"/>
          <w:sz w:val="24"/>
          <w:szCs w:val="24"/>
        </w:rPr>
        <w:t>"</w:t>
      </w:r>
      <w:r w:rsidR="00F72187" w:rsidRPr="00F72187">
        <w:rPr>
          <w:rFonts w:ascii="Arial" w:hAnsi="Arial" w:cs="Arial"/>
          <w:sz w:val="24"/>
          <w:szCs w:val="24"/>
        </w:rPr>
        <w:t>whether what the applicant did constituted compliance with the statutory provisions viewed in light of their purpose.</w:t>
      </w:r>
      <w:r>
        <w:rPr>
          <w:rFonts w:ascii="Arial" w:hAnsi="Arial" w:cs="Arial"/>
          <w:sz w:val="24"/>
          <w:szCs w:val="24"/>
        </w:rPr>
        <w:t>'</w:t>
      </w:r>
      <w:r w:rsidR="00F72187" w:rsidRPr="00F72187">
        <w:rPr>
          <w:rFonts w:ascii="Arial" w:hAnsi="Arial" w:cs="Arial"/>
          <w:sz w:val="24"/>
          <w:szCs w:val="24"/>
        </w:rPr>
        <w:t xml:space="preserve"> (Footnotes omitted)</w:t>
      </w:r>
    </w:p>
    <w:p w14:paraId="36262CF1" w14:textId="77777777" w:rsidR="00B57969" w:rsidRPr="00B57969" w:rsidRDefault="00B57969" w:rsidP="00B57969">
      <w:pPr>
        <w:pStyle w:val="ListParagraph"/>
        <w:rPr>
          <w:rFonts w:ascii="Arial" w:hAnsi="Arial" w:cs="Arial"/>
          <w:sz w:val="24"/>
          <w:szCs w:val="24"/>
        </w:rPr>
      </w:pPr>
    </w:p>
    <w:p w14:paraId="2A98A688" w14:textId="19FFD302" w:rsidR="00B57969" w:rsidRPr="00987774" w:rsidRDefault="00987774" w:rsidP="00987774">
      <w:pPr>
        <w:tabs>
          <w:tab w:val="left" w:pos="4917"/>
        </w:tabs>
        <w:spacing w:before="120" w:after="120" w:line="360" w:lineRule="auto"/>
        <w:jc w:val="both"/>
        <w:rPr>
          <w:rFonts w:ascii="Arial" w:hAnsi="Arial" w:cs="Arial"/>
          <w:b/>
          <w:sz w:val="24"/>
          <w:szCs w:val="24"/>
        </w:rPr>
      </w:pPr>
      <w:r>
        <w:rPr>
          <w:rFonts w:ascii="Arial" w:hAnsi="Arial" w:cs="Arial"/>
          <w:b/>
          <w:sz w:val="24"/>
          <w:szCs w:val="24"/>
        </w:rPr>
        <w:t>The call for tender H20/</w:t>
      </w:r>
      <w:r w:rsidR="00A96A37">
        <w:rPr>
          <w:rFonts w:ascii="Arial" w:hAnsi="Arial" w:cs="Arial"/>
          <w:b/>
          <w:sz w:val="24"/>
          <w:szCs w:val="24"/>
        </w:rPr>
        <w:t>011PF</w:t>
      </w:r>
    </w:p>
    <w:p w14:paraId="1F83B522" w14:textId="77777777" w:rsidR="00B57969" w:rsidRPr="00B57969" w:rsidRDefault="00B57969" w:rsidP="00B57969">
      <w:pPr>
        <w:pStyle w:val="ListParagraph"/>
        <w:rPr>
          <w:rFonts w:ascii="Arial" w:hAnsi="Arial" w:cs="Arial"/>
          <w:sz w:val="24"/>
          <w:szCs w:val="24"/>
        </w:rPr>
      </w:pPr>
    </w:p>
    <w:p w14:paraId="36289080" w14:textId="14993474" w:rsidR="00B57969" w:rsidRDefault="00A96A3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cover page of tender H20/011PF reflects the following:</w:t>
      </w:r>
    </w:p>
    <w:p w14:paraId="37377A27" w14:textId="130ADE2F" w:rsidR="00A96A37" w:rsidRPr="00A96A37" w:rsidRDefault="00646017" w:rsidP="00A96A3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96A37">
        <w:rPr>
          <w:rFonts w:ascii="Arial" w:hAnsi="Arial" w:cs="Arial"/>
          <w:sz w:val="24"/>
          <w:szCs w:val="24"/>
        </w:rPr>
        <w:t>RETURNABLE DOCUMENTS FOR PROCUREMENT OF ALTERNATIVE OFFICE ACCOM</w:t>
      </w:r>
      <w:r w:rsidR="00AF78C2">
        <w:rPr>
          <w:rFonts w:ascii="Arial" w:hAnsi="Arial" w:cs="Arial"/>
          <w:sz w:val="24"/>
          <w:szCs w:val="24"/>
        </w:rPr>
        <w:t>M</w:t>
      </w:r>
      <w:r w:rsidR="00A96A37">
        <w:rPr>
          <w:rFonts w:ascii="Arial" w:hAnsi="Arial" w:cs="Arial"/>
          <w:sz w:val="24"/>
          <w:szCs w:val="24"/>
        </w:rPr>
        <w:t>ODATION PF 12 146M</w:t>
      </w:r>
      <w:r w:rsidR="00A96A37">
        <w:rPr>
          <w:rFonts w:ascii="Arial" w:hAnsi="Arial" w:cs="Arial"/>
          <w:sz w:val="24"/>
          <w:szCs w:val="24"/>
          <w:vertAlign w:val="superscript"/>
        </w:rPr>
        <w:t>2</w:t>
      </w:r>
      <w:r w:rsidR="00A96A37">
        <w:rPr>
          <w:rFonts w:ascii="Arial" w:hAnsi="Arial" w:cs="Arial"/>
          <w:sz w:val="24"/>
          <w:szCs w:val="24"/>
        </w:rPr>
        <w:t xml:space="preserve"> AND 528 PARKING BAYS FOR A PERIOD OF 5 YEARS FOR DEPARTMENT </w:t>
      </w:r>
      <w:r w:rsidR="00A96A37">
        <w:rPr>
          <w:rFonts w:ascii="Arial" w:hAnsi="Arial" w:cs="Arial"/>
          <w:sz w:val="24"/>
          <w:szCs w:val="24"/>
        </w:rPr>
        <w:lastRenderedPageBreak/>
        <w:t>OF INTERNATIONAL RELATIONS AND COOPERATION IN HATFIELD, CENTURION, BROOKLYN</w:t>
      </w:r>
      <w:r w:rsidR="00AF78C2">
        <w:rPr>
          <w:rFonts w:ascii="Arial" w:hAnsi="Arial" w:cs="Arial"/>
          <w:sz w:val="24"/>
          <w:szCs w:val="24"/>
        </w:rPr>
        <w:t>,</w:t>
      </w:r>
      <w:r w:rsidR="00A96A37">
        <w:rPr>
          <w:rFonts w:ascii="Arial" w:hAnsi="Arial" w:cs="Arial"/>
          <w:sz w:val="24"/>
          <w:szCs w:val="24"/>
        </w:rPr>
        <w:t xml:space="preserve"> AND MENLYN</w:t>
      </w:r>
      <w:r>
        <w:rPr>
          <w:rFonts w:ascii="Arial" w:hAnsi="Arial" w:cs="Arial"/>
          <w:sz w:val="24"/>
          <w:szCs w:val="24"/>
        </w:rPr>
        <w:t>'</w:t>
      </w:r>
    </w:p>
    <w:p w14:paraId="2B32E2C5" w14:textId="77777777" w:rsidR="00B57969" w:rsidRPr="00B57969" w:rsidRDefault="00B57969" w:rsidP="00B57969">
      <w:pPr>
        <w:pStyle w:val="ListParagraph"/>
        <w:rPr>
          <w:rFonts w:ascii="Arial" w:hAnsi="Arial" w:cs="Arial"/>
          <w:sz w:val="24"/>
          <w:szCs w:val="24"/>
        </w:rPr>
      </w:pPr>
    </w:p>
    <w:p w14:paraId="086B4738" w14:textId="52E47B73" w:rsidR="0009544D" w:rsidRDefault="0009544D" w:rsidP="0009544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stated in</w:t>
      </w:r>
      <w:r w:rsidR="00060F94">
        <w:rPr>
          <w:rFonts w:ascii="Arial" w:hAnsi="Arial" w:cs="Arial"/>
          <w:sz w:val="24"/>
          <w:szCs w:val="24"/>
        </w:rPr>
        <w:t xml:space="preserve"> </w:t>
      </w:r>
      <w:r>
        <w:rPr>
          <w:rFonts w:ascii="Arial" w:hAnsi="Arial" w:cs="Arial"/>
          <w:sz w:val="24"/>
          <w:szCs w:val="24"/>
        </w:rPr>
        <w:t>PA-04 (LS): Notice and Invitation to Bid, that only bidders responsive to the listed responsiveness criteria are eli</w:t>
      </w:r>
      <w:r w:rsidR="00AF78C2">
        <w:rPr>
          <w:rFonts w:ascii="Arial" w:hAnsi="Arial" w:cs="Arial"/>
          <w:sz w:val="24"/>
          <w:szCs w:val="24"/>
        </w:rPr>
        <w:t>g</w:t>
      </w:r>
      <w:r>
        <w:rPr>
          <w:rFonts w:ascii="Arial" w:hAnsi="Arial" w:cs="Arial"/>
          <w:sz w:val="24"/>
          <w:szCs w:val="24"/>
        </w:rPr>
        <w:t>ible to submit bids. These</w:t>
      </w:r>
      <w:r w:rsidR="009F116F">
        <w:rPr>
          <w:rFonts w:ascii="Arial" w:hAnsi="Arial" w:cs="Arial"/>
          <w:sz w:val="24"/>
          <w:szCs w:val="24"/>
        </w:rPr>
        <w:t xml:space="preserve"> criteria</w:t>
      </w:r>
      <w:r>
        <w:rPr>
          <w:rFonts w:ascii="Arial" w:hAnsi="Arial" w:cs="Arial"/>
          <w:sz w:val="24"/>
          <w:szCs w:val="24"/>
        </w:rPr>
        <w:t xml:space="preserve"> include, amongs</w:t>
      </w:r>
      <w:r w:rsidR="00AF78C2">
        <w:rPr>
          <w:rFonts w:ascii="Arial" w:hAnsi="Arial" w:cs="Arial"/>
          <w:sz w:val="24"/>
          <w:szCs w:val="24"/>
        </w:rPr>
        <w:t>t</w:t>
      </w:r>
      <w:r>
        <w:rPr>
          <w:rFonts w:ascii="Arial" w:hAnsi="Arial" w:cs="Arial"/>
          <w:sz w:val="24"/>
          <w:szCs w:val="24"/>
        </w:rPr>
        <w:t xml:space="preserve"> others:</w:t>
      </w:r>
    </w:p>
    <w:p w14:paraId="4AE00B38" w14:textId="77777777" w:rsidR="00AF78C2" w:rsidRDefault="00AF78C2" w:rsidP="00AF78C2">
      <w:pPr>
        <w:pStyle w:val="ListParagraph"/>
        <w:tabs>
          <w:tab w:val="left" w:pos="4917"/>
        </w:tabs>
        <w:spacing w:before="120" w:after="120" w:line="360" w:lineRule="auto"/>
        <w:jc w:val="both"/>
        <w:rPr>
          <w:rFonts w:ascii="Arial" w:hAnsi="Arial" w:cs="Arial"/>
          <w:sz w:val="24"/>
          <w:szCs w:val="24"/>
        </w:rPr>
      </w:pPr>
    </w:p>
    <w:p w14:paraId="1697E49F" w14:textId="4B166D5C" w:rsidR="0009544D" w:rsidRDefault="00646017" w:rsidP="0009544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9544D">
        <w:rPr>
          <w:rFonts w:ascii="Arial" w:hAnsi="Arial" w:cs="Arial"/>
          <w:sz w:val="24"/>
          <w:szCs w:val="24"/>
        </w:rPr>
        <w:t>If the bidder is an agent, a copy of the mandate from the owner and title deed must be submitted with the bid documents or in the case of a prospective buyer the signed purchase agreement and title deed must be submitted. If the bidder is the owner, the title deed must be submitted.</w:t>
      </w:r>
      <w:r>
        <w:rPr>
          <w:rFonts w:ascii="Arial" w:hAnsi="Arial" w:cs="Arial"/>
          <w:sz w:val="24"/>
          <w:szCs w:val="24"/>
        </w:rPr>
        <w:t>'</w:t>
      </w:r>
    </w:p>
    <w:p w14:paraId="7D55E304" w14:textId="77777777" w:rsidR="0009544D" w:rsidRDefault="0009544D" w:rsidP="0009544D">
      <w:pPr>
        <w:pStyle w:val="ListParagraph"/>
        <w:tabs>
          <w:tab w:val="left" w:pos="4917"/>
        </w:tabs>
        <w:spacing w:before="120" w:after="120" w:line="360" w:lineRule="auto"/>
        <w:jc w:val="both"/>
        <w:rPr>
          <w:rFonts w:ascii="Arial" w:hAnsi="Arial" w:cs="Arial"/>
          <w:sz w:val="24"/>
          <w:szCs w:val="24"/>
        </w:rPr>
      </w:pPr>
    </w:p>
    <w:p w14:paraId="475B70C8" w14:textId="3B71BA48" w:rsidR="00B57969" w:rsidRDefault="0076261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important conditions of bid relevant to this application as set out in PA-10(LS) are the following:</w:t>
      </w:r>
    </w:p>
    <w:p w14:paraId="15042AE9" w14:textId="77777777" w:rsidR="009F116F" w:rsidRDefault="009F116F" w:rsidP="009F116F">
      <w:pPr>
        <w:pStyle w:val="ListParagraph"/>
        <w:tabs>
          <w:tab w:val="left" w:pos="4917"/>
        </w:tabs>
        <w:spacing w:before="120" w:after="120" w:line="360" w:lineRule="auto"/>
        <w:jc w:val="both"/>
        <w:rPr>
          <w:rFonts w:ascii="Arial" w:hAnsi="Arial" w:cs="Arial"/>
          <w:sz w:val="24"/>
          <w:szCs w:val="24"/>
        </w:rPr>
      </w:pPr>
    </w:p>
    <w:p w14:paraId="731D9785" w14:textId="1DC289DF" w:rsidR="0076261C" w:rsidRDefault="0076261C" w:rsidP="0076261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Bids that are not accompanied by written proof that the bidder is authorised to offer the accommodation for leasing will not be considered;</w:t>
      </w:r>
    </w:p>
    <w:p w14:paraId="4B2FE164" w14:textId="5C73588D" w:rsidR="0076261C" w:rsidRDefault="0076261C" w:rsidP="0076261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DPW is the sole a</w:t>
      </w:r>
      <w:r w:rsidR="009F116F">
        <w:rPr>
          <w:rFonts w:ascii="Arial" w:hAnsi="Arial" w:cs="Arial"/>
          <w:sz w:val="24"/>
          <w:szCs w:val="24"/>
        </w:rPr>
        <w:t>djudicator of the suitability</w:t>
      </w:r>
      <w:r>
        <w:rPr>
          <w:rFonts w:ascii="Arial" w:hAnsi="Arial" w:cs="Arial"/>
          <w:sz w:val="24"/>
          <w:szCs w:val="24"/>
        </w:rPr>
        <w:t xml:space="preserve"> of the accommodation for the purpose for which it is required. The Department</w:t>
      </w:r>
      <w:r w:rsidR="00646017">
        <w:rPr>
          <w:rFonts w:ascii="Arial" w:hAnsi="Arial" w:cs="Arial"/>
          <w:sz w:val="24"/>
          <w:szCs w:val="24"/>
        </w:rPr>
        <w:t>'</w:t>
      </w:r>
      <w:r>
        <w:rPr>
          <w:rFonts w:ascii="Arial" w:hAnsi="Arial" w:cs="Arial"/>
          <w:sz w:val="24"/>
          <w:szCs w:val="24"/>
        </w:rPr>
        <w:t>s decision in this regard will be final.</w:t>
      </w:r>
    </w:p>
    <w:p w14:paraId="3D06A35F" w14:textId="09397D30" w:rsidR="0076261C" w:rsidRDefault="0076261C" w:rsidP="0076261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DPW will in no way be responsible for or committed to negotiations that a user department may or might have concluded with a lessor or owner of a building;</w:t>
      </w:r>
    </w:p>
    <w:p w14:paraId="7D845A7F" w14:textId="3CE73388" w:rsidR="00D81B80" w:rsidRDefault="00D81B80" w:rsidP="0076261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It is a requirement that the accommodation offered, including all equipment and installations, must comply with the National Building regulations and the requirements of the Occupational Health and Safety Act, 85 of 1993, as amended. A certificate to this effect must be issued; </w:t>
      </w:r>
    </w:p>
    <w:p w14:paraId="0C541C4B" w14:textId="6EEF06E9" w:rsidR="0076261C" w:rsidRDefault="0076261C" w:rsidP="0076261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Drawings / Architect plans of the accommodation must be submitted. In this regard</w:t>
      </w:r>
      <w:r w:rsidR="00646017">
        <w:rPr>
          <w:rFonts w:ascii="Arial" w:hAnsi="Arial" w:cs="Arial"/>
          <w:sz w:val="24"/>
          <w:szCs w:val="24"/>
        </w:rPr>
        <w:t>,</w:t>
      </w:r>
      <w:r>
        <w:rPr>
          <w:rFonts w:ascii="Arial" w:hAnsi="Arial" w:cs="Arial"/>
          <w:sz w:val="24"/>
          <w:szCs w:val="24"/>
        </w:rPr>
        <w:t xml:space="preserve"> it is a prerequisite that bidders should do a preliminary planning on the floor plans in accordance with the norm documents;</w:t>
      </w:r>
    </w:p>
    <w:p w14:paraId="0B67D22F" w14:textId="138523B6" w:rsidR="0076261C" w:rsidRDefault="0076261C" w:rsidP="0076261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lastRenderedPageBreak/>
        <w:t>Lettable areas have to be determined in accordance with the SAPOA method for measuring floor areas in office buildings. The offer may not be considered if a certificate by an architect, certi</w:t>
      </w:r>
      <w:r w:rsidR="0009544D">
        <w:rPr>
          <w:rFonts w:ascii="Arial" w:hAnsi="Arial" w:cs="Arial"/>
          <w:sz w:val="24"/>
          <w:szCs w:val="24"/>
        </w:rPr>
        <w:t>fying the area is not submitted.</w:t>
      </w:r>
    </w:p>
    <w:p w14:paraId="39FECD0A" w14:textId="77777777" w:rsidR="00B57969" w:rsidRPr="00B57969" w:rsidRDefault="00B57969" w:rsidP="00B57969">
      <w:pPr>
        <w:pStyle w:val="ListParagraph"/>
        <w:rPr>
          <w:rFonts w:ascii="Arial" w:hAnsi="Arial" w:cs="Arial"/>
          <w:sz w:val="24"/>
          <w:szCs w:val="24"/>
        </w:rPr>
      </w:pPr>
    </w:p>
    <w:p w14:paraId="273EA8FF" w14:textId="09BA7E05" w:rsidR="00D81B80" w:rsidRDefault="00D81B80" w:rsidP="0009544D">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09544D">
        <w:rPr>
          <w:rFonts w:ascii="Arial" w:hAnsi="Arial" w:cs="Arial"/>
          <w:sz w:val="24"/>
          <w:szCs w:val="24"/>
        </w:rPr>
        <w:t>Bidders were obliged to confirm compliance with all the Acts, regulations and by-laws governing the built environment.</w:t>
      </w:r>
    </w:p>
    <w:p w14:paraId="528137B8" w14:textId="77777777" w:rsidR="0009544D" w:rsidRPr="0009544D" w:rsidRDefault="0009544D" w:rsidP="0009544D">
      <w:pPr>
        <w:pStyle w:val="ListParagraph"/>
        <w:tabs>
          <w:tab w:val="left" w:pos="4917"/>
        </w:tabs>
        <w:spacing w:before="120" w:after="120" w:line="360" w:lineRule="auto"/>
        <w:jc w:val="both"/>
        <w:rPr>
          <w:rFonts w:ascii="Arial" w:hAnsi="Arial" w:cs="Arial"/>
          <w:sz w:val="24"/>
          <w:szCs w:val="24"/>
        </w:rPr>
      </w:pPr>
    </w:p>
    <w:p w14:paraId="5600E4BF" w14:textId="5AF8F7AE" w:rsidR="00D81B80" w:rsidRDefault="00D81B8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One of the annexures annexed to the tender document is titled </w:t>
      </w:r>
      <w:r w:rsidR="00646017">
        <w:rPr>
          <w:rFonts w:ascii="Arial" w:hAnsi="Arial" w:cs="Arial"/>
          <w:sz w:val="24"/>
          <w:szCs w:val="24"/>
        </w:rPr>
        <w:t>'</w:t>
      </w:r>
      <w:r>
        <w:rPr>
          <w:rFonts w:ascii="Arial" w:hAnsi="Arial" w:cs="Arial"/>
          <w:sz w:val="24"/>
          <w:szCs w:val="24"/>
        </w:rPr>
        <w:t>Estimated Space Requirement for Leasing of Buildings</w:t>
      </w:r>
      <w:r w:rsidR="00646017">
        <w:rPr>
          <w:rFonts w:ascii="Arial" w:hAnsi="Arial" w:cs="Arial"/>
          <w:sz w:val="24"/>
          <w:szCs w:val="24"/>
        </w:rPr>
        <w:t>'</w:t>
      </w:r>
      <w:r>
        <w:rPr>
          <w:rFonts w:ascii="Arial" w:hAnsi="Arial" w:cs="Arial"/>
          <w:sz w:val="24"/>
          <w:szCs w:val="24"/>
        </w:rPr>
        <w:t xml:space="preserve">. The lettable area without parking area is indicated </w:t>
      </w:r>
      <w:r w:rsidR="0009544D">
        <w:rPr>
          <w:rFonts w:ascii="Arial" w:hAnsi="Arial" w:cs="Arial"/>
          <w:sz w:val="24"/>
          <w:szCs w:val="24"/>
        </w:rPr>
        <w:t xml:space="preserve">therein </w:t>
      </w:r>
      <w:r>
        <w:rPr>
          <w:rFonts w:ascii="Arial" w:hAnsi="Arial" w:cs="Arial"/>
          <w:sz w:val="24"/>
          <w:szCs w:val="24"/>
        </w:rPr>
        <w:t>as 12 148</w:t>
      </w:r>
      <w:r w:rsidR="0009544D">
        <w:rPr>
          <w:rFonts w:ascii="Arial" w:hAnsi="Arial" w:cs="Arial"/>
          <w:sz w:val="24"/>
          <w:szCs w:val="24"/>
        </w:rPr>
        <w:t>m</w:t>
      </w:r>
      <w:r w:rsidR="0009544D">
        <w:rPr>
          <w:rFonts w:ascii="Arial" w:hAnsi="Arial" w:cs="Arial"/>
          <w:sz w:val="24"/>
          <w:szCs w:val="24"/>
          <w:vertAlign w:val="superscript"/>
        </w:rPr>
        <w:t>2</w:t>
      </w:r>
      <w:r w:rsidR="0009544D">
        <w:rPr>
          <w:rFonts w:ascii="Arial" w:hAnsi="Arial" w:cs="Arial"/>
          <w:sz w:val="24"/>
          <w:szCs w:val="24"/>
        </w:rPr>
        <w:t>.</w:t>
      </w:r>
      <w:r w:rsidR="009F116F">
        <w:rPr>
          <w:rFonts w:ascii="Arial" w:hAnsi="Arial" w:cs="Arial"/>
          <w:sz w:val="24"/>
          <w:szCs w:val="24"/>
        </w:rPr>
        <w:t xml:space="preserve"> The exact measurement of the lettable area of the Oak Avenue property is a point of contention between the parties. However, I need not deal with the issue in light of the finding I came to.</w:t>
      </w:r>
    </w:p>
    <w:p w14:paraId="0FAE22AB" w14:textId="77777777" w:rsidR="00B57969" w:rsidRPr="00B57969" w:rsidRDefault="00B57969" w:rsidP="00B57969">
      <w:pPr>
        <w:pStyle w:val="ListParagraph"/>
        <w:rPr>
          <w:rFonts w:ascii="Arial" w:hAnsi="Arial" w:cs="Arial"/>
          <w:sz w:val="24"/>
          <w:szCs w:val="24"/>
        </w:rPr>
      </w:pPr>
    </w:p>
    <w:p w14:paraId="7A8DE733" w14:textId="29F6AE4E" w:rsidR="00B57969" w:rsidRPr="0009544D" w:rsidRDefault="0009544D" w:rsidP="0009544D">
      <w:pPr>
        <w:pStyle w:val="ListParagraph"/>
        <w:numPr>
          <w:ilvl w:val="0"/>
          <w:numId w:val="39"/>
        </w:numPr>
        <w:tabs>
          <w:tab w:val="left" w:pos="4917"/>
        </w:tabs>
        <w:spacing w:before="120" w:after="120" w:line="360" w:lineRule="auto"/>
        <w:jc w:val="both"/>
        <w:rPr>
          <w:rFonts w:ascii="Arial" w:hAnsi="Arial" w:cs="Arial"/>
          <w:i/>
          <w:sz w:val="24"/>
          <w:szCs w:val="24"/>
        </w:rPr>
      </w:pPr>
      <w:r>
        <w:rPr>
          <w:rFonts w:ascii="Arial" w:hAnsi="Arial" w:cs="Arial"/>
          <w:i/>
          <w:sz w:val="24"/>
          <w:szCs w:val="24"/>
        </w:rPr>
        <w:t>Omarostax as a prospective buyer of Oak Avenue</w:t>
      </w:r>
    </w:p>
    <w:p w14:paraId="129A02D8" w14:textId="77777777" w:rsidR="00B57969" w:rsidRPr="00B57969" w:rsidRDefault="00B57969" w:rsidP="00B57969">
      <w:pPr>
        <w:pStyle w:val="ListParagraph"/>
        <w:rPr>
          <w:rFonts w:ascii="Arial" w:hAnsi="Arial" w:cs="Arial"/>
          <w:sz w:val="24"/>
          <w:szCs w:val="24"/>
        </w:rPr>
      </w:pPr>
    </w:p>
    <w:p w14:paraId="6A3F8951" w14:textId="49CF1A37" w:rsidR="009F116F" w:rsidRDefault="00066082"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common cause that Liciafin and Omarostax presented the sam</w:t>
      </w:r>
      <w:r w:rsidR="009F116F">
        <w:rPr>
          <w:rFonts w:ascii="Arial" w:hAnsi="Arial" w:cs="Arial"/>
          <w:sz w:val="24"/>
          <w:szCs w:val="24"/>
        </w:rPr>
        <w:t>e property, Oak Avenue, as suitable office accommodation to the DPW</w:t>
      </w:r>
      <w:r>
        <w:rPr>
          <w:rFonts w:ascii="Arial" w:hAnsi="Arial" w:cs="Arial"/>
          <w:sz w:val="24"/>
          <w:szCs w:val="24"/>
        </w:rPr>
        <w:t>. The Sale of Property Agreement between the owner of the property and Omarostax provides that the agreement, save for clauses 1, 3, 7.2, 16, 17</w:t>
      </w:r>
      <w:r w:rsidR="009F116F">
        <w:rPr>
          <w:rFonts w:ascii="Arial" w:hAnsi="Arial" w:cs="Arial"/>
          <w:sz w:val="24"/>
          <w:szCs w:val="24"/>
        </w:rPr>
        <w:t>,</w:t>
      </w:r>
      <w:r>
        <w:rPr>
          <w:rFonts w:ascii="Arial" w:hAnsi="Arial" w:cs="Arial"/>
          <w:sz w:val="24"/>
          <w:szCs w:val="24"/>
        </w:rPr>
        <w:t xml:space="preserve"> and 19-24, is subject to and conditional upon the </w:t>
      </w:r>
      <w:r w:rsidR="00B82E5B">
        <w:rPr>
          <w:rFonts w:ascii="Arial" w:hAnsi="Arial" w:cs="Arial"/>
          <w:sz w:val="24"/>
          <w:szCs w:val="24"/>
        </w:rPr>
        <w:t>fulfilment</w:t>
      </w:r>
      <w:r>
        <w:rPr>
          <w:rFonts w:ascii="Arial" w:hAnsi="Arial" w:cs="Arial"/>
          <w:sz w:val="24"/>
          <w:szCs w:val="24"/>
        </w:rPr>
        <w:t xml:space="preserve"> or waiver of certain conditions. Important for purposes of this review application</w:t>
      </w:r>
      <w:r w:rsidR="009F116F">
        <w:rPr>
          <w:rFonts w:ascii="Arial" w:hAnsi="Arial" w:cs="Arial"/>
          <w:sz w:val="24"/>
          <w:szCs w:val="24"/>
        </w:rPr>
        <w:t>:</w:t>
      </w:r>
    </w:p>
    <w:p w14:paraId="0D3C3D18" w14:textId="77777777" w:rsidR="009F116F" w:rsidRDefault="009F116F" w:rsidP="009F116F">
      <w:pPr>
        <w:pStyle w:val="ListParagraph"/>
        <w:tabs>
          <w:tab w:val="left" w:pos="4917"/>
        </w:tabs>
        <w:spacing w:before="120" w:after="120" w:line="360" w:lineRule="auto"/>
        <w:jc w:val="both"/>
        <w:rPr>
          <w:rFonts w:ascii="Arial" w:hAnsi="Arial" w:cs="Arial"/>
          <w:sz w:val="24"/>
          <w:szCs w:val="24"/>
        </w:rPr>
      </w:pPr>
    </w:p>
    <w:p w14:paraId="798E0290" w14:textId="64428645" w:rsidR="00B57969" w:rsidRDefault="009F116F" w:rsidP="009F116F">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Clause 3.1.3 provides that:</w:t>
      </w:r>
    </w:p>
    <w:p w14:paraId="634EE1F3" w14:textId="16108CD4" w:rsidR="00066082" w:rsidRDefault="00646017" w:rsidP="00066082">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66082">
        <w:rPr>
          <w:rFonts w:ascii="Arial" w:hAnsi="Arial" w:cs="Arial"/>
          <w:sz w:val="24"/>
          <w:szCs w:val="24"/>
        </w:rPr>
        <w:t>the Purchaser being successfully awarded the tender for the leasing of the Property by the Department of Public Works for DIRCO Tender No. H19/014PF, and the Purchaser advising the Seller, in writing, that this condition has been fulfilled, by no later than 90 (ninety) days from the Date of Signature.</w:t>
      </w:r>
      <w:r>
        <w:rPr>
          <w:rFonts w:ascii="Arial" w:hAnsi="Arial" w:cs="Arial"/>
          <w:sz w:val="24"/>
          <w:szCs w:val="24"/>
        </w:rPr>
        <w:t>'</w:t>
      </w:r>
    </w:p>
    <w:p w14:paraId="0C702B26" w14:textId="77777777" w:rsidR="00464FA9" w:rsidRDefault="00464FA9" w:rsidP="00066082">
      <w:pPr>
        <w:pStyle w:val="ListParagraph"/>
        <w:tabs>
          <w:tab w:val="left" w:pos="4917"/>
        </w:tabs>
        <w:spacing w:before="120" w:after="120" w:line="360" w:lineRule="auto"/>
        <w:ind w:left="1008" w:right="1008"/>
        <w:jc w:val="both"/>
        <w:rPr>
          <w:rFonts w:ascii="Arial" w:hAnsi="Arial" w:cs="Arial"/>
          <w:sz w:val="24"/>
          <w:szCs w:val="24"/>
        </w:rPr>
      </w:pPr>
    </w:p>
    <w:p w14:paraId="1D1AA780" w14:textId="3AB1FDA9" w:rsidR="00464FA9" w:rsidRDefault="004C44F3" w:rsidP="00076679">
      <w:pPr>
        <w:pStyle w:val="ListParagraph"/>
        <w:spacing w:before="120" w:after="120" w:line="360" w:lineRule="auto"/>
        <w:jc w:val="both"/>
        <w:rPr>
          <w:rFonts w:ascii="Arial" w:hAnsi="Arial" w:cs="Arial"/>
          <w:sz w:val="24"/>
          <w:szCs w:val="24"/>
        </w:rPr>
      </w:pPr>
      <w:r>
        <w:rPr>
          <w:rFonts w:ascii="Arial" w:hAnsi="Arial" w:cs="Arial"/>
          <w:sz w:val="24"/>
          <w:szCs w:val="24"/>
        </w:rPr>
        <w:t>Clause 3.2 provides that the conditions precedent referr</w:t>
      </w:r>
      <w:r w:rsidR="009F116F">
        <w:rPr>
          <w:rFonts w:ascii="Arial" w:hAnsi="Arial" w:cs="Arial"/>
          <w:sz w:val="24"/>
          <w:szCs w:val="24"/>
        </w:rPr>
        <w:t>e</w:t>
      </w:r>
      <w:r>
        <w:rPr>
          <w:rFonts w:ascii="Arial" w:hAnsi="Arial" w:cs="Arial"/>
          <w:sz w:val="24"/>
          <w:szCs w:val="24"/>
        </w:rPr>
        <w:t>d to in clauses 3.1.1, 3.1.2, 3.1.3</w:t>
      </w:r>
      <w:r w:rsidR="005A77F9">
        <w:rPr>
          <w:rFonts w:ascii="Arial" w:hAnsi="Arial" w:cs="Arial"/>
          <w:sz w:val="24"/>
          <w:szCs w:val="24"/>
        </w:rPr>
        <w:t>,</w:t>
      </w:r>
      <w:r>
        <w:rPr>
          <w:rFonts w:ascii="Arial" w:hAnsi="Arial" w:cs="Arial"/>
          <w:sz w:val="24"/>
          <w:szCs w:val="24"/>
        </w:rPr>
        <w:t xml:space="preserve"> and 3.1.4 have been inserted for the benefit of the purchaser, who shall be entitled to waive</w:t>
      </w:r>
      <w:r w:rsidR="005A77F9">
        <w:rPr>
          <w:rFonts w:ascii="Arial" w:hAnsi="Arial" w:cs="Arial"/>
          <w:sz w:val="24"/>
          <w:szCs w:val="24"/>
        </w:rPr>
        <w:t xml:space="preserve"> fulfillment of same (if capable of waiver) by written notice to the seller. </w:t>
      </w:r>
    </w:p>
    <w:p w14:paraId="1EA298A2" w14:textId="136198B6" w:rsidR="00464FA9" w:rsidRDefault="005A77F9" w:rsidP="00076679">
      <w:pPr>
        <w:pStyle w:val="ListParagraph"/>
        <w:spacing w:before="120" w:after="120" w:line="360" w:lineRule="auto"/>
        <w:jc w:val="both"/>
        <w:rPr>
          <w:rFonts w:ascii="Arial" w:hAnsi="Arial" w:cs="Arial"/>
          <w:sz w:val="24"/>
          <w:szCs w:val="24"/>
        </w:rPr>
      </w:pPr>
      <w:r>
        <w:rPr>
          <w:rFonts w:ascii="Arial" w:hAnsi="Arial" w:cs="Arial"/>
          <w:sz w:val="24"/>
          <w:szCs w:val="24"/>
        </w:rPr>
        <w:lastRenderedPageBreak/>
        <w:t>Clause 3.6 provides that the parties may extend the date for the fulfillment of any of the conditions precedent to such further dates as they may, in writing</w:t>
      </w:r>
      <w:r w:rsidR="009F116F">
        <w:rPr>
          <w:rFonts w:ascii="Arial" w:hAnsi="Arial" w:cs="Arial"/>
          <w:sz w:val="24"/>
          <w:szCs w:val="24"/>
        </w:rPr>
        <w:t>,</w:t>
      </w:r>
      <w:r>
        <w:rPr>
          <w:rFonts w:ascii="Arial" w:hAnsi="Arial" w:cs="Arial"/>
          <w:sz w:val="24"/>
          <w:szCs w:val="24"/>
        </w:rPr>
        <w:t xml:space="preserve"> agree.</w:t>
      </w:r>
    </w:p>
    <w:p w14:paraId="134D4DB2" w14:textId="77777777" w:rsidR="009F116F" w:rsidRDefault="009F116F" w:rsidP="00076679">
      <w:pPr>
        <w:pStyle w:val="ListParagraph"/>
        <w:spacing w:before="120" w:after="120" w:line="360" w:lineRule="auto"/>
        <w:jc w:val="both"/>
        <w:rPr>
          <w:rFonts w:ascii="Arial" w:hAnsi="Arial" w:cs="Arial"/>
          <w:sz w:val="24"/>
          <w:szCs w:val="24"/>
        </w:rPr>
      </w:pPr>
    </w:p>
    <w:p w14:paraId="69457CA6" w14:textId="1B2F4011" w:rsidR="004C44F3" w:rsidRDefault="005A77F9" w:rsidP="00076679">
      <w:pPr>
        <w:pStyle w:val="ListParagraph"/>
        <w:spacing w:before="120" w:after="120" w:line="360" w:lineRule="auto"/>
        <w:jc w:val="both"/>
        <w:rPr>
          <w:rFonts w:ascii="Arial" w:hAnsi="Arial" w:cs="Arial"/>
          <w:sz w:val="24"/>
          <w:szCs w:val="24"/>
        </w:rPr>
      </w:pPr>
      <w:r>
        <w:rPr>
          <w:rFonts w:ascii="Arial" w:hAnsi="Arial" w:cs="Arial"/>
          <w:sz w:val="24"/>
          <w:szCs w:val="24"/>
        </w:rPr>
        <w:t>Clause 3.7 provides that should the conditions precedent not be fulfilled or waived within the time period stipulated therefor, or within such extension, as may be agreed between the parties, then the agreement, save for clauses 1, 3, 16, 17, and 18-24, shall cease to be of any force or effect.</w:t>
      </w:r>
    </w:p>
    <w:p w14:paraId="7EB997A0" w14:textId="77777777" w:rsidR="009F116F" w:rsidRDefault="009F116F" w:rsidP="00076679">
      <w:pPr>
        <w:pStyle w:val="ListParagraph"/>
        <w:spacing w:before="120" w:after="120" w:line="360" w:lineRule="auto"/>
        <w:jc w:val="both"/>
        <w:rPr>
          <w:rFonts w:ascii="Arial" w:hAnsi="Arial" w:cs="Arial"/>
          <w:sz w:val="24"/>
          <w:szCs w:val="24"/>
        </w:rPr>
      </w:pPr>
    </w:p>
    <w:p w14:paraId="24112825" w14:textId="292D96DC" w:rsidR="009F116F" w:rsidRDefault="00076679" w:rsidP="00076679">
      <w:pPr>
        <w:pStyle w:val="ListParagraph"/>
        <w:spacing w:before="120" w:after="120" w:line="360" w:lineRule="auto"/>
        <w:jc w:val="both"/>
        <w:rPr>
          <w:rFonts w:ascii="Arial" w:hAnsi="Arial" w:cs="Arial"/>
          <w:sz w:val="24"/>
          <w:szCs w:val="24"/>
        </w:rPr>
      </w:pPr>
      <w:r>
        <w:rPr>
          <w:rFonts w:ascii="Arial" w:hAnsi="Arial" w:cs="Arial"/>
          <w:sz w:val="24"/>
          <w:szCs w:val="24"/>
        </w:rPr>
        <w:t xml:space="preserve">Clause </w:t>
      </w:r>
      <w:r w:rsidR="00EA2B5B">
        <w:rPr>
          <w:rFonts w:ascii="Arial" w:hAnsi="Arial" w:cs="Arial"/>
          <w:sz w:val="24"/>
          <w:szCs w:val="24"/>
        </w:rPr>
        <w:t>18 of the agreement provides that no addition or variation, consensual cancellation or novation of the agreement, and no waiver of any right arising from the agreement</w:t>
      </w:r>
      <w:r w:rsidR="00B82E5B">
        <w:rPr>
          <w:rFonts w:ascii="Arial" w:hAnsi="Arial" w:cs="Arial"/>
          <w:sz w:val="24"/>
          <w:szCs w:val="24"/>
        </w:rPr>
        <w:t>,</w:t>
      </w:r>
      <w:r w:rsidR="00EA2B5B">
        <w:rPr>
          <w:rFonts w:ascii="Arial" w:hAnsi="Arial" w:cs="Arial"/>
          <w:sz w:val="24"/>
          <w:szCs w:val="24"/>
        </w:rPr>
        <w:t xml:space="preserve"> or its breach or termination shall be of any force or effect unless reduced to writing and signed by all parties or their duly authorised representatives.</w:t>
      </w:r>
    </w:p>
    <w:p w14:paraId="23EB3459" w14:textId="53BD667A" w:rsidR="009F116F" w:rsidRDefault="00EA2B5B" w:rsidP="00076679">
      <w:pPr>
        <w:pStyle w:val="ListParagraph"/>
        <w:spacing w:before="120" w:after="120" w:line="360" w:lineRule="auto"/>
        <w:jc w:val="both"/>
        <w:rPr>
          <w:rFonts w:ascii="Arial" w:hAnsi="Arial" w:cs="Arial"/>
          <w:sz w:val="24"/>
          <w:szCs w:val="24"/>
        </w:rPr>
      </w:pPr>
      <w:r>
        <w:rPr>
          <w:rFonts w:ascii="Arial" w:hAnsi="Arial" w:cs="Arial"/>
          <w:sz w:val="24"/>
          <w:szCs w:val="24"/>
        </w:rPr>
        <w:t xml:space="preserve"> </w:t>
      </w:r>
    </w:p>
    <w:p w14:paraId="102C78DF" w14:textId="5113BC5E" w:rsidR="00464FA9" w:rsidRDefault="00EA2B5B" w:rsidP="00076679">
      <w:pPr>
        <w:pStyle w:val="ListParagraph"/>
        <w:spacing w:before="120" w:after="120" w:line="360" w:lineRule="auto"/>
        <w:jc w:val="both"/>
        <w:rPr>
          <w:rFonts w:ascii="Arial" w:hAnsi="Arial" w:cs="Arial"/>
          <w:sz w:val="24"/>
          <w:szCs w:val="24"/>
        </w:rPr>
      </w:pPr>
      <w:r>
        <w:rPr>
          <w:rFonts w:ascii="Arial" w:hAnsi="Arial" w:cs="Arial"/>
          <w:sz w:val="24"/>
          <w:szCs w:val="24"/>
        </w:rPr>
        <w:t>Clause 20 provides that no latitude, extension of time</w:t>
      </w:r>
      <w:r w:rsidR="009F116F">
        <w:rPr>
          <w:rFonts w:ascii="Arial" w:hAnsi="Arial" w:cs="Arial"/>
          <w:sz w:val="24"/>
          <w:szCs w:val="24"/>
        </w:rPr>
        <w:t>,</w:t>
      </w:r>
      <w:r>
        <w:rPr>
          <w:rFonts w:ascii="Arial" w:hAnsi="Arial" w:cs="Arial"/>
          <w:sz w:val="24"/>
          <w:szCs w:val="24"/>
        </w:rPr>
        <w:t xml:space="preserve"> or other indulgence which may be given or allowed by any party to any other party in respect of the performance of any obligation or any right arising from the agreement shall be construed to be an implied consent by such party or operate as a waiver or a novation of, or otherwise affect any of that party</w:t>
      </w:r>
      <w:r w:rsidR="00646017">
        <w:rPr>
          <w:rFonts w:ascii="Arial" w:hAnsi="Arial" w:cs="Arial"/>
          <w:sz w:val="24"/>
          <w:szCs w:val="24"/>
        </w:rPr>
        <w:t>'</w:t>
      </w:r>
      <w:r>
        <w:rPr>
          <w:rFonts w:ascii="Arial" w:hAnsi="Arial" w:cs="Arial"/>
          <w:sz w:val="24"/>
          <w:szCs w:val="24"/>
        </w:rPr>
        <w:t>s rights in terms of or arising from the agreement or estop such party from enforcing, at any time and without notice, strict and punctual compliance with every provision or term thereof.</w:t>
      </w:r>
    </w:p>
    <w:p w14:paraId="5988AFED" w14:textId="77777777" w:rsidR="009F116F" w:rsidRDefault="009F116F" w:rsidP="00076679">
      <w:pPr>
        <w:pStyle w:val="ListParagraph"/>
        <w:spacing w:before="120" w:after="120" w:line="360" w:lineRule="auto"/>
        <w:jc w:val="both"/>
        <w:rPr>
          <w:rFonts w:ascii="Arial" w:hAnsi="Arial" w:cs="Arial"/>
          <w:sz w:val="24"/>
          <w:szCs w:val="24"/>
        </w:rPr>
      </w:pPr>
    </w:p>
    <w:p w14:paraId="4DB00B0A" w14:textId="074C4BBF" w:rsidR="00076679" w:rsidRDefault="00EA2B5B" w:rsidP="00076679">
      <w:pPr>
        <w:pStyle w:val="ListParagraph"/>
        <w:spacing w:before="120" w:after="120" w:line="360" w:lineRule="auto"/>
        <w:jc w:val="both"/>
        <w:rPr>
          <w:rFonts w:ascii="Arial" w:hAnsi="Arial" w:cs="Arial"/>
          <w:sz w:val="24"/>
          <w:szCs w:val="24"/>
        </w:rPr>
      </w:pPr>
      <w:r>
        <w:rPr>
          <w:rFonts w:ascii="Arial" w:hAnsi="Arial" w:cs="Arial"/>
          <w:sz w:val="24"/>
          <w:szCs w:val="24"/>
        </w:rPr>
        <w:t xml:space="preserve">Clause </w:t>
      </w:r>
      <w:r w:rsidR="00076679">
        <w:rPr>
          <w:rFonts w:ascii="Arial" w:hAnsi="Arial" w:cs="Arial"/>
          <w:sz w:val="24"/>
          <w:szCs w:val="24"/>
        </w:rPr>
        <w:t xml:space="preserve">23 of the agreement provides that the agreement </w:t>
      </w:r>
      <w:r>
        <w:rPr>
          <w:rFonts w:ascii="Arial" w:hAnsi="Arial" w:cs="Arial"/>
          <w:sz w:val="24"/>
          <w:szCs w:val="24"/>
        </w:rPr>
        <w:t>constitutes</w:t>
      </w:r>
      <w:r w:rsidR="00076679">
        <w:rPr>
          <w:rFonts w:ascii="Arial" w:hAnsi="Arial" w:cs="Arial"/>
          <w:sz w:val="24"/>
          <w:szCs w:val="24"/>
        </w:rPr>
        <w:t xml:space="preserve"> the whole agreement between the parties.</w:t>
      </w:r>
    </w:p>
    <w:p w14:paraId="15028BB9" w14:textId="77777777" w:rsidR="009F116F" w:rsidRDefault="009F116F" w:rsidP="00076679">
      <w:pPr>
        <w:pStyle w:val="ListParagraph"/>
        <w:spacing w:before="120" w:after="120" w:line="360" w:lineRule="auto"/>
        <w:jc w:val="both"/>
        <w:rPr>
          <w:rFonts w:ascii="Arial" w:hAnsi="Arial" w:cs="Arial"/>
          <w:sz w:val="24"/>
          <w:szCs w:val="24"/>
        </w:rPr>
      </w:pPr>
    </w:p>
    <w:p w14:paraId="0E5D56AC" w14:textId="458D0E7B" w:rsidR="00076679" w:rsidRDefault="00EA2B5B" w:rsidP="00076679">
      <w:pPr>
        <w:pStyle w:val="ListParagraph"/>
        <w:spacing w:before="120" w:after="120" w:line="360" w:lineRule="auto"/>
        <w:jc w:val="both"/>
        <w:rPr>
          <w:rFonts w:ascii="Arial" w:hAnsi="Arial" w:cs="Arial"/>
          <w:sz w:val="24"/>
          <w:szCs w:val="24"/>
        </w:rPr>
      </w:pPr>
      <w:r>
        <w:rPr>
          <w:rFonts w:ascii="Arial" w:hAnsi="Arial" w:cs="Arial"/>
          <w:sz w:val="24"/>
          <w:szCs w:val="24"/>
        </w:rPr>
        <w:t>In clause 26.1 of the agreement</w:t>
      </w:r>
      <w:r w:rsidR="009F116F">
        <w:rPr>
          <w:rFonts w:ascii="Arial" w:hAnsi="Arial" w:cs="Arial"/>
          <w:sz w:val="24"/>
          <w:szCs w:val="24"/>
        </w:rPr>
        <w:t>,</w:t>
      </w:r>
      <w:r>
        <w:rPr>
          <w:rFonts w:ascii="Arial" w:hAnsi="Arial" w:cs="Arial"/>
          <w:sz w:val="24"/>
          <w:szCs w:val="24"/>
        </w:rPr>
        <w:t xml:space="preserve"> reference is again made to Tender No. H19/014PF.</w:t>
      </w:r>
    </w:p>
    <w:p w14:paraId="0500D2CE" w14:textId="77777777" w:rsidR="009F116F" w:rsidRDefault="009F116F" w:rsidP="009F116F">
      <w:pPr>
        <w:pStyle w:val="ListParagraph"/>
        <w:spacing w:before="120" w:after="120" w:line="360" w:lineRule="auto"/>
        <w:jc w:val="both"/>
        <w:rPr>
          <w:rFonts w:ascii="Arial" w:hAnsi="Arial" w:cs="Arial"/>
          <w:sz w:val="24"/>
          <w:szCs w:val="24"/>
        </w:rPr>
      </w:pPr>
    </w:p>
    <w:p w14:paraId="7EA5B9AE" w14:textId="18139CC4" w:rsidR="009F116F" w:rsidRDefault="009F116F" w:rsidP="009F116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purchaser and seller signed the agreement on 26 February 2020 and 27 February 2020, respectively. The initial closing date for tender H20/011PF was 18 December 2020, although it was subsequently extended.</w:t>
      </w:r>
    </w:p>
    <w:p w14:paraId="654D8E5F" w14:textId="77777777" w:rsidR="009F116F" w:rsidRDefault="009F116F" w:rsidP="009F116F">
      <w:pPr>
        <w:pStyle w:val="ListParagraph"/>
        <w:tabs>
          <w:tab w:val="left" w:pos="4917"/>
        </w:tabs>
        <w:spacing w:before="120" w:after="120" w:line="360" w:lineRule="auto"/>
        <w:jc w:val="both"/>
        <w:rPr>
          <w:rFonts w:ascii="Arial" w:hAnsi="Arial" w:cs="Arial"/>
          <w:sz w:val="24"/>
          <w:szCs w:val="24"/>
        </w:rPr>
      </w:pPr>
    </w:p>
    <w:p w14:paraId="61E0C835" w14:textId="7F1D6927" w:rsidR="00B57969" w:rsidRDefault="0007667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sale agreement concluded with Liciafin contains s</w:t>
      </w:r>
      <w:r w:rsidR="009C4D08">
        <w:rPr>
          <w:rFonts w:ascii="Arial" w:hAnsi="Arial" w:cs="Arial"/>
          <w:sz w:val="24"/>
          <w:szCs w:val="24"/>
        </w:rPr>
        <w:t>imilar conditions</w:t>
      </w:r>
      <w:r w:rsidR="009F116F">
        <w:rPr>
          <w:rFonts w:ascii="Arial" w:hAnsi="Arial" w:cs="Arial"/>
          <w:sz w:val="24"/>
          <w:szCs w:val="24"/>
        </w:rPr>
        <w:t>. H</w:t>
      </w:r>
      <w:r w:rsidR="009C4D08">
        <w:rPr>
          <w:rFonts w:ascii="Arial" w:hAnsi="Arial" w:cs="Arial"/>
          <w:sz w:val="24"/>
          <w:szCs w:val="24"/>
        </w:rPr>
        <w:t>owever, the</w:t>
      </w:r>
      <w:r>
        <w:rPr>
          <w:rFonts w:ascii="Arial" w:hAnsi="Arial" w:cs="Arial"/>
          <w:sz w:val="24"/>
          <w:szCs w:val="24"/>
        </w:rPr>
        <w:t xml:space="preserve"> agreement </w:t>
      </w:r>
      <w:r w:rsidR="009C4D08">
        <w:rPr>
          <w:rFonts w:ascii="Arial" w:hAnsi="Arial" w:cs="Arial"/>
          <w:sz w:val="24"/>
          <w:szCs w:val="24"/>
        </w:rPr>
        <w:t xml:space="preserve">with Liciafin </w:t>
      </w:r>
      <w:r>
        <w:rPr>
          <w:rFonts w:ascii="Arial" w:hAnsi="Arial" w:cs="Arial"/>
          <w:sz w:val="24"/>
          <w:szCs w:val="24"/>
        </w:rPr>
        <w:t>refers to Tender No H20/011PF. It was concluded in January 2021.</w:t>
      </w:r>
    </w:p>
    <w:p w14:paraId="70FE0719" w14:textId="77777777" w:rsidR="00B57969" w:rsidRPr="00B57969" w:rsidRDefault="00B57969" w:rsidP="00B57969">
      <w:pPr>
        <w:pStyle w:val="ListParagraph"/>
        <w:rPr>
          <w:rFonts w:ascii="Arial" w:hAnsi="Arial" w:cs="Arial"/>
          <w:sz w:val="24"/>
          <w:szCs w:val="24"/>
        </w:rPr>
      </w:pPr>
    </w:p>
    <w:p w14:paraId="2A44F22E" w14:textId="7E84BBA0" w:rsidR="009C4D08" w:rsidRDefault="009C4D08"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Several addenda concluded between Omarostax</w:t>
      </w:r>
      <w:r w:rsidR="009F116F">
        <w:rPr>
          <w:rFonts w:ascii="Arial" w:hAnsi="Arial" w:cs="Arial"/>
          <w:sz w:val="24"/>
          <w:szCs w:val="24"/>
        </w:rPr>
        <w:t>,</w:t>
      </w:r>
      <w:r>
        <w:rPr>
          <w:rFonts w:ascii="Arial" w:hAnsi="Arial" w:cs="Arial"/>
          <w:sz w:val="24"/>
          <w:szCs w:val="24"/>
        </w:rPr>
        <w:t xml:space="preserve"> and the owner of the Oak Avenue property reflect that the time periods within which the respective parties were obliged to act in some way or another way in terms of the agreement were frequently extended. </w:t>
      </w:r>
      <w:r w:rsidR="00464FA9">
        <w:rPr>
          <w:rFonts w:ascii="Arial" w:hAnsi="Arial" w:cs="Arial"/>
          <w:sz w:val="24"/>
          <w:szCs w:val="24"/>
        </w:rPr>
        <w:t>The DPW acknowledges that the bids submitted by Liciafin and Omarostax referred to the same property but contend</w:t>
      </w:r>
      <w:r w:rsidR="009F116F">
        <w:rPr>
          <w:rFonts w:ascii="Arial" w:hAnsi="Arial" w:cs="Arial"/>
          <w:sz w:val="24"/>
          <w:szCs w:val="24"/>
        </w:rPr>
        <w:t>s</w:t>
      </w:r>
      <w:r w:rsidR="00464FA9">
        <w:rPr>
          <w:rFonts w:ascii="Arial" w:hAnsi="Arial" w:cs="Arial"/>
          <w:sz w:val="24"/>
          <w:szCs w:val="24"/>
        </w:rPr>
        <w:t xml:space="preserve"> that they followed this up with the </w:t>
      </w:r>
      <w:r w:rsidR="009F116F">
        <w:rPr>
          <w:rFonts w:ascii="Arial" w:hAnsi="Arial" w:cs="Arial"/>
          <w:sz w:val="24"/>
          <w:szCs w:val="24"/>
        </w:rPr>
        <w:t>property owner</w:t>
      </w:r>
      <w:r w:rsidR="00464FA9">
        <w:rPr>
          <w:rFonts w:ascii="Arial" w:hAnsi="Arial" w:cs="Arial"/>
          <w:sz w:val="24"/>
          <w:szCs w:val="24"/>
        </w:rPr>
        <w:t xml:space="preserve">. The owner confirmed in </w:t>
      </w:r>
      <w:r w:rsidR="009F116F">
        <w:rPr>
          <w:rFonts w:ascii="Arial" w:hAnsi="Arial" w:cs="Arial"/>
          <w:sz w:val="24"/>
          <w:szCs w:val="24"/>
        </w:rPr>
        <w:t xml:space="preserve">an </w:t>
      </w:r>
      <w:r w:rsidR="00464FA9">
        <w:rPr>
          <w:rFonts w:ascii="Arial" w:hAnsi="Arial" w:cs="Arial"/>
          <w:sz w:val="24"/>
          <w:szCs w:val="24"/>
        </w:rPr>
        <w:t xml:space="preserve">email </w:t>
      </w:r>
      <w:r w:rsidR="009F116F">
        <w:rPr>
          <w:rFonts w:ascii="Arial" w:hAnsi="Arial" w:cs="Arial"/>
          <w:sz w:val="24"/>
          <w:szCs w:val="24"/>
        </w:rPr>
        <w:t>that valid sale agreements were concluded wi</w:t>
      </w:r>
      <w:r w:rsidR="00464FA9">
        <w:rPr>
          <w:rFonts w:ascii="Arial" w:hAnsi="Arial" w:cs="Arial"/>
          <w:sz w:val="24"/>
          <w:szCs w:val="24"/>
        </w:rPr>
        <w:t>th Omarostax and Liciafin.</w:t>
      </w:r>
    </w:p>
    <w:p w14:paraId="3C6F13C4" w14:textId="77777777" w:rsidR="009C4D08" w:rsidRPr="009C4D08" w:rsidRDefault="009C4D08" w:rsidP="009C4D08">
      <w:pPr>
        <w:pStyle w:val="ListParagraph"/>
        <w:rPr>
          <w:rFonts w:ascii="Arial" w:hAnsi="Arial" w:cs="Arial"/>
          <w:sz w:val="24"/>
          <w:szCs w:val="24"/>
        </w:rPr>
      </w:pPr>
    </w:p>
    <w:p w14:paraId="4EBE859D" w14:textId="36C85F69" w:rsidR="00DD28A7" w:rsidRDefault="00333837" w:rsidP="00013FA9">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013FA9">
        <w:rPr>
          <w:rFonts w:ascii="Arial" w:hAnsi="Arial" w:cs="Arial"/>
          <w:sz w:val="24"/>
          <w:szCs w:val="24"/>
        </w:rPr>
        <w:t>T</w:t>
      </w:r>
      <w:r w:rsidR="00DA3F0F" w:rsidRPr="00013FA9">
        <w:rPr>
          <w:rFonts w:ascii="Arial" w:hAnsi="Arial" w:cs="Arial"/>
          <w:sz w:val="24"/>
          <w:szCs w:val="24"/>
        </w:rPr>
        <w:t>he ROD uploaded t</w:t>
      </w:r>
      <w:r w:rsidRPr="00013FA9">
        <w:rPr>
          <w:rFonts w:ascii="Arial" w:hAnsi="Arial" w:cs="Arial"/>
          <w:sz w:val="24"/>
          <w:szCs w:val="24"/>
        </w:rPr>
        <w:t>o Caselines</w:t>
      </w:r>
      <w:r w:rsidR="00DA3F0F" w:rsidRPr="00013FA9">
        <w:rPr>
          <w:rFonts w:ascii="Arial" w:hAnsi="Arial" w:cs="Arial"/>
          <w:sz w:val="24"/>
          <w:szCs w:val="24"/>
        </w:rPr>
        <w:t xml:space="preserve"> </w:t>
      </w:r>
      <w:r w:rsidRPr="00013FA9">
        <w:rPr>
          <w:rFonts w:ascii="Arial" w:hAnsi="Arial" w:cs="Arial"/>
          <w:sz w:val="24"/>
          <w:szCs w:val="24"/>
        </w:rPr>
        <w:t xml:space="preserve">on 31 August 2021 </w:t>
      </w:r>
      <w:r w:rsidR="00DA3F0F" w:rsidRPr="00013FA9">
        <w:rPr>
          <w:rFonts w:ascii="Arial" w:hAnsi="Arial" w:cs="Arial"/>
          <w:sz w:val="24"/>
          <w:szCs w:val="24"/>
        </w:rPr>
        <w:t xml:space="preserve">reflects that the initial purchase agreement concluded between Omarostax and the owner of the Oak Avenue property </w:t>
      </w:r>
      <w:r w:rsidRPr="00013FA9">
        <w:rPr>
          <w:rFonts w:ascii="Arial" w:hAnsi="Arial" w:cs="Arial"/>
          <w:sz w:val="24"/>
          <w:szCs w:val="24"/>
        </w:rPr>
        <w:t>formed part of the record</w:t>
      </w:r>
      <w:r w:rsidR="005D7EB3" w:rsidRPr="00013FA9">
        <w:rPr>
          <w:rFonts w:ascii="Arial" w:hAnsi="Arial" w:cs="Arial"/>
          <w:sz w:val="24"/>
          <w:szCs w:val="24"/>
        </w:rPr>
        <w:t xml:space="preserve"> when the decision was taken to award the bid to Omarostax.</w:t>
      </w:r>
      <w:r w:rsidR="00DA3F0F" w:rsidRPr="00013FA9">
        <w:rPr>
          <w:rFonts w:ascii="Arial" w:hAnsi="Arial" w:cs="Arial"/>
          <w:sz w:val="24"/>
          <w:szCs w:val="24"/>
        </w:rPr>
        <w:t xml:space="preserve"> </w:t>
      </w:r>
      <w:r w:rsidR="00646017">
        <w:rPr>
          <w:rFonts w:ascii="Arial" w:hAnsi="Arial" w:cs="Arial"/>
          <w:sz w:val="24"/>
          <w:szCs w:val="24"/>
        </w:rPr>
        <w:t>I am alive to</w:t>
      </w:r>
      <w:r w:rsidRPr="00013FA9">
        <w:rPr>
          <w:rFonts w:ascii="Arial" w:hAnsi="Arial" w:cs="Arial"/>
          <w:sz w:val="24"/>
          <w:szCs w:val="24"/>
        </w:rPr>
        <w:t xml:space="preserve"> the fact that it was not annexed to the DPW</w:t>
      </w:r>
      <w:r w:rsidR="00646017">
        <w:rPr>
          <w:rFonts w:ascii="Arial" w:hAnsi="Arial" w:cs="Arial"/>
          <w:sz w:val="24"/>
          <w:szCs w:val="24"/>
        </w:rPr>
        <w:t>'</w:t>
      </w:r>
      <w:r w:rsidRPr="00013FA9">
        <w:rPr>
          <w:rFonts w:ascii="Arial" w:hAnsi="Arial" w:cs="Arial"/>
          <w:sz w:val="24"/>
          <w:szCs w:val="24"/>
        </w:rPr>
        <w:t xml:space="preserve">s answering affidavit in the urgent application, </w:t>
      </w:r>
      <w:r w:rsidR="00013FA9" w:rsidRPr="00013FA9">
        <w:rPr>
          <w:rFonts w:ascii="Arial" w:hAnsi="Arial" w:cs="Arial"/>
          <w:sz w:val="24"/>
          <w:szCs w:val="24"/>
        </w:rPr>
        <w:t>but</w:t>
      </w:r>
      <w:r w:rsidRPr="00013FA9">
        <w:rPr>
          <w:rFonts w:ascii="Arial" w:hAnsi="Arial" w:cs="Arial"/>
          <w:sz w:val="24"/>
          <w:szCs w:val="24"/>
        </w:rPr>
        <w:t xml:space="preserve"> the mere fact that it was not attached at that time does not inevitably point to it not forming part of the record</w:t>
      </w:r>
      <w:r w:rsidR="00013FA9">
        <w:rPr>
          <w:rFonts w:ascii="Arial" w:hAnsi="Arial" w:cs="Arial"/>
          <w:sz w:val="24"/>
          <w:szCs w:val="24"/>
        </w:rPr>
        <w:t xml:space="preserve">. </w:t>
      </w:r>
      <w:r w:rsidR="00DD28A7" w:rsidRPr="00013FA9">
        <w:rPr>
          <w:rFonts w:ascii="Arial" w:hAnsi="Arial" w:cs="Arial"/>
          <w:sz w:val="24"/>
          <w:szCs w:val="24"/>
        </w:rPr>
        <w:t>The main agreement records a sale agreement concluded subject to certain conditions precedent. The relevant condition precedent is that the agreement between Omarosta</w:t>
      </w:r>
      <w:r w:rsidR="00646017">
        <w:rPr>
          <w:rFonts w:ascii="Arial" w:hAnsi="Arial" w:cs="Arial"/>
          <w:sz w:val="24"/>
          <w:szCs w:val="24"/>
        </w:rPr>
        <w:t>x and the owner of Oak Avenue was</w:t>
      </w:r>
      <w:r w:rsidR="00DD28A7" w:rsidRPr="00013FA9">
        <w:rPr>
          <w:rFonts w:ascii="Arial" w:hAnsi="Arial" w:cs="Arial"/>
          <w:sz w:val="24"/>
          <w:szCs w:val="24"/>
        </w:rPr>
        <w:t xml:space="preserve"> subject and conditional upon Omarostax being successfully awarded the tender for the leasing of the property by DPW for DIRCO</w:t>
      </w:r>
      <w:r w:rsidR="00646017">
        <w:rPr>
          <w:rFonts w:ascii="Arial" w:hAnsi="Arial" w:cs="Arial"/>
          <w:sz w:val="24"/>
          <w:szCs w:val="24"/>
        </w:rPr>
        <w:t xml:space="preserve">' </w:t>
      </w:r>
      <w:r w:rsidR="00DD28A7" w:rsidRPr="00013FA9">
        <w:rPr>
          <w:rFonts w:ascii="Arial" w:hAnsi="Arial" w:cs="Arial"/>
          <w:sz w:val="24"/>
          <w:szCs w:val="24"/>
        </w:rPr>
        <w:t>Tender No H19/014PF</w:t>
      </w:r>
      <w:r w:rsidR="00646017">
        <w:rPr>
          <w:rFonts w:ascii="Arial" w:hAnsi="Arial" w:cs="Arial"/>
          <w:sz w:val="24"/>
          <w:szCs w:val="24"/>
        </w:rPr>
        <w:t>'</w:t>
      </w:r>
      <w:r w:rsidR="00DD28A7" w:rsidRPr="00013FA9">
        <w:rPr>
          <w:rFonts w:ascii="Arial" w:hAnsi="Arial" w:cs="Arial"/>
          <w:sz w:val="24"/>
          <w:szCs w:val="24"/>
        </w:rPr>
        <w:t>. Although this condition has been inserted for the benefit of Omarostax, who was entitled to waive fulfi</w:t>
      </w:r>
      <w:r w:rsidR="00646017">
        <w:rPr>
          <w:rFonts w:ascii="Arial" w:hAnsi="Arial" w:cs="Arial"/>
          <w:sz w:val="24"/>
          <w:szCs w:val="24"/>
        </w:rPr>
        <w:t>l</w:t>
      </w:r>
      <w:r w:rsidR="00DD28A7" w:rsidRPr="00013FA9">
        <w:rPr>
          <w:rFonts w:ascii="Arial" w:hAnsi="Arial" w:cs="Arial"/>
          <w:sz w:val="24"/>
          <w:szCs w:val="24"/>
        </w:rPr>
        <w:t xml:space="preserve">lment by written notice to the seller of the property, such </w:t>
      </w:r>
      <w:r w:rsidR="00EA7C56">
        <w:rPr>
          <w:rFonts w:ascii="Arial" w:hAnsi="Arial" w:cs="Arial"/>
          <w:sz w:val="24"/>
          <w:szCs w:val="24"/>
        </w:rPr>
        <w:t>waiver is not included in the</w:t>
      </w:r>
      <w:r w:rsidR="00DD28A7" w:rsidRPr="00013FA9">
        <w:rPr>
          <w:rFonts w:ascii="Arial" w:hAnsi="Arial" w:cs="Arial"/>
          <w:sz w:val="24"/>
          <w:szCs w:val="24"/>
        </w:rPr>
        <w:t xml:space="preserve"> documentation submitted as part of the bid</w:t>
      </w:r>
      <w:r w:rsidR="00646017">
        <w:rPr>
          <w:rFonts w:ascii="Arial" w:hAnsi="Arial" w:cs="Arial"/>
          <w:sz w:val="24"/>
          <w:szCs w:val="24"/>
        </w:rPr>
        <w:t xml:space="preserve"> </w:t>
      </w:r>
      <w:r w:rsidR="00DD28A7" w:rsidRPr="00013FA9">
        <w:rPr>
          <w:rFonts w:ascii="Arial" w:hAnsi="Arial" w:cs="Arial"/>
          <w:sz w:val="24"/>
          <w:szCs w:val="24"/>
        </w:rPr>
        <w:t>bundle. Such a waiver was, in fact, not placed before the court at all.</w:t>
      </w:r>
      <w:r w:rsidR="005D7EB3" w:rsidRPr="00013FA9">
        <w:rPr>
          <w:rFonts w:ascii="Arial" w:hAnsi="Arial" w:cs="Arial"/>
          <w:sz w:val="24"/>
          <w:szCs w:val="24"/>
        </w:rPr>
        <w:t xml:space="preserve"> The tende</w:t>
      </w:r>
      <w:r w:rsidR="00646017">
        <w:rPr>
          <w:rFonts w:ascii="Arial" w:hAnsi="Arial" w:cs="Arial"/>
          <w:sz w:val="24"/>
          <w:szCs w:val="24"/>
        </w:rPr>
        <w:t xml:space="preserve">r reference number </w:t>
      </w:r>
      <w:r w:rsidR="00EA7C56">
        <w:rPr>
          <w:rFonts w:ascii="Arial" w:hAnsi="Arial" w:cs="Arial"/>
          <w:sz w:val="24"/>
          <w:szCs w:val="24"/>
        </w:rPr>
        <w:t xml:space="preserve">included in the agreement </w:t>
      </w:r>
      <w:r w:rsidR="00646017">
        <w:rPr>
          <w:rFonts w:ascii="Arial" w:hAnsi="Arial" w:cs="Arial"/>
          <w:sz w:val="24"/>
          <w:szCs w:val="24"/>
        </w:rPr>
        <w:t>was also not the</w:t>
      </w:r>
      <w:r w:rsidR="005D7EB3" w:rsidRPr="00013FA9">
        <w:rPr>
          <w:rFonts w:ascii="Arial" w:hAnsi="Arial" w:cs="Arial"/>
          <w:sz w:val="24"/>
          <w:szCs w:val="24"/>
        </w:rPr>
        <w:t xml:space="preserve"> result of a typing error or oversight, as the same tender number is also referred to in clause 26 of the</w:t>
      </w:r>
      <w:r w:rsidR="00EA7C56">
        <w:rPr>
          <w:rFonts w:ascii="Arial" w:hAnsi="Arial" w:cs="Arial"/>
          <w:sz w:val="24"/>
          <w:szCs w:val="24"/>
        </w:rPr>
        <w:t xml:space="preserve"> main agreement, and the agreement was concluded prior to tender H20/011PF </w:t>
      </w:r>
      <w:r w:rsidR="00A42495">
        <w:rPr>
          <w:rFonts w:ascii="Arial" w:hAnsi="Arial" w:cs="Arial"/>
          <w:sz w:val="24"/>
          <w:szCs w:val="24"/>
        </w:rPr>
        <w:t>being</w:t>
      </w:r>
      <w:r w:rsidR="00EA7C56">
        <w:rPr>
          <w:rFonts w:ascii="Arial" w:hAnsi="Arial" w:cs="Arial"/>
          <w:sz w:val="24"/>
          <w:szCs w:val="24"/>
        </w:rPr>
        <w:t xml:space="preserve"> advertised.</w:t>
      </w:r>
    </w:p>
    <w:p w14:paraId="1FE982EF" w14:textId="77777777" w:rsidR="004C0355" w:rsidRDefault="004C0355" w:rsidP="004C0355">
      <w:pPr>
        <w:pStyle w:val="ListParagraph"/>
        <w:tabs>
          <w:tab w:val="left" w:pos="4917"/>
        </w:tabs>
        <w:spacing w:before="120" w:after="120" w:line="360" w:lineRule="auto"/>
        <w:jc w:val="both"/>
        <w:rPr>
          <w:rFonts w:ascii="Arial" w:hAnsi="Arial" w:cs="Arial"/>
          <w:sz w:val="24"/>
          <w:szCs w:val="24"/>
        </w:rPr>
      </w:pPr>
    </w:p>
    <w:p w14:paraId="31ABADB5" w14:textId="638776D0" w:rsidR="00875DB7" w:rsidRDefault="00013FA9" w:rsidP="00464FA9">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9C4D08">
        <w:rPr>
          <w:rFonts w:ascii="Arial" w:hAnsi="Arial" w:cs="Arial"/>
          <w:sz w:val="24"/>
          <w:szCs w:val="24"/>
        </w:rPr>
        <w:t>Can it be said, in the circumstances that O</w:t>
      </w:r>
      <w:r w:rsidR="00060F94" w:rsidRPr="009C4D08">
        <w:rPr>
          <w:rFonts w:ascii="Arial" w:hAnsi="Arial" w:cs="Arial"/>
          <w:sz w:val="24"/>
          <w:szCs w:val="24"/>
        </w:rPr>
        <w:t>marosta</w:t>
      </w:r>
      <w:r w:rsidRPr="009C4D08">
        <w:rPr>
          <w:rFonts w:ascii="Arial" w:hAnsi="Arial" w:cs="Arial"/>
          <w:sz w:val="24"/>
          <w:szCs w:val="24"/>
        </w:rPr>
        <w:t>x</w:t>
      </w:r>
      <w:r w:rsidR="00646017">
        <w:rPr>
          <w:rFonts w:ascii="Arial" w:hAnsi="Arial" w:cs="Arial"/>
          <w:sz w:val="24"/>
          <w:szCs w:val="24"/>
        </w:rPr>
        <w:t>'</w:t>
      </w:r>
      <w:r w:rsidRPr="009C4D08">
        <w:rPr>
          <w:rFonts w:ascii="Arial" w:hAnsi="Arial" w:cs="Arial"/>
          <w:sz w:val="24"/>
          <w:szCs w:val="24"/>
        </w:rPr>
        <w:t xml:space="preserve">s bid was non-responsive because </w:t>
      </w:r>
      <w:r w:rsidR="00060F94" w:rsidRPr="009C4D08">
        <w:rPr>
          <w:rFonts w:ascii="Arial" w:hAnsi="Arial" w:cs="Arial"/>
          <w:sz w:val="24"/>
          <w:szCs w:val="24"/>
        </w:rPr>
        <w:t xml:space="preserve">the sale agreement was conditional on Omarostax being awarded a different tender, albeit that the tender also related to the provision of office space to </w:t>
      </w:r>
      <w:r w:rsidR="0008222B" w:rsidRPr="009C4D08">
        <w:rPr>
          <w:rFonts w:ascii="Arial" w:hAnsi="Arial" w:cs="Arial"/>
          <w:sz w:val="24"/>
          <w:szCs w:val="24"/>
        </w:rPr>
        <w:t>the DPW for DIRCO</w:t>
      </w:r>
      <w:r w:rsidR="00646017">
        <w:rPr>
          <w:rFonts w:ascii="Arial" w:hAnsi="Arial" w:cs="Arial"/>
          <w:sz w:val="24"/>
          <w:szCs w:val="24"/>
        </w:rPr>
        <w:t>'</w:t>
      </w:r>
      <w:r w:rsidR="0008222B" w:rsidRPr="009C4D08">
        <w:rPr>
          <w:rFonts w:ascii="Arial" w:hAnsi="Arial" w:cs="Arial"/>
          <w:sz w:val="24"/>
          <w:szCs w:val="24"/>
        </w:rPr>
        <w:t>s benefit?</w:t>
      </w:r>
      <w:r w:rsidR="009E2268" w:rsidRPr="009C4D08">
        <w:rPr>
          <w:rFonts w:ascii="Arial" w:hAnsi="Arial" w:cs="Arial"/>
          <w:sz w:val="24"/>
          <w:szCs w:val="24"/>
        </w:rPr>
        <w:t xml:space="preserve"> </w:t>
      </w:r>
    </w:p>
    <w:p w14:paraId="62C2BF7D" w14:textId="77777777" w:rsidR="00875DB7" w:rsidRPr="00875DB7" w:rsidRDefault="00875DB7" w:rsidP="00875DB7">
      <w:pPr>
        <w:pStyle w:val="ListParagraph"/>
        <w:rPr>
          <w:rFonts w:ascii="Arial" w:hAnsi="Arial" w:cs="Arial"/>
          <w:sz w:val="24"/>
          <w:szCs w:val="24"/>
        </w:rPr>
      </w:pPr>
    </w:p>
    <w:p w14:paraId="1934D858" w14:textId="7F474F6D" w:rsidR="00464FA9" w:rsidRPr="00875DB7" w:rsidRDefault="00875DB7" w:rsidP="00875DB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The DPW submitted that the fact that </w:t>
      </w:r>
      <w:r w:rsidR="00646017">
        <w:rPr>
          <w:rFonts w:ascii="Arial" w:hAnsi="Arial" w:cs="Arial"/>
          <w:sz w:val="24"/>
          <w:szCs w:val="24"/>
        </w:rPr>
        <w:t>'</w:t>
      </w:r>
      <w:r>
        <w:rPr>
          <w:rFonts w:ascii="Arial" w:hAnsi="Arial" w:cs="Arial"/>
          <w:sz w:val="24"/>
          <w:szCs w:val="24"/>
        </w:rPr>
        <w:t>the sale has not yet been perfected</w:t>
      </w:r>
      <w:r w:rsidR="00646017">
        <w:rPr>
          <w:rFonts w:ascii="Arial" w:hAnsi="Arial" w:cs="Arial"/>
          <w:sz w:val="24"/>
          <w:szCs w:val="24"/>
        </w:rPr>
        <w:t>'</w:t>
      </w:r>
      <w:r>
        <w:rPr>
          <w:rFonts w:ascii="Arial" w:hAnsi="Arial" w:cs="Arial"/>
          <w:sz w:val="24"/>
          <w:szCs w:val="24"/>
        </w:rPr>
        <w:t xml:space="preserve"> is of no consequence. </w:t>
      </w:r>
      <w:r w:rsidR="00A42495">
        <w:rPr>
          <w:rFonts w:ascii="Arial" w:hAnsi="Arial" w:cs="Arial"/>
          <w:sz w:val="24"/>
          <w:szCs w:val="24"/>
        </w:rPr>
        <w:t xml:space="preserve">I disagree. </w:t>
      </w:r>
      <w:r w:rsidR="00464FA9" w:rsidRPr="00875DB7">
        <w:rPr>
          <w:rFonts w:ascii="Arial" w:hAnsi="Arial" w:cs="Arial"/>
          <w:sz w:val="24"/>
          <w:szCs w:val="24"/>
        </w:rPr>
        <w:t xml:space="preserve">I am of the view that clause 3.1.3 of the agreement concluded between Omarostax and the owner of the Oak Avenue property during February 2020 constitutes a suspensive condition. It is trite that when a contract is subject to a suspensive condition, the contract only comes into effect if the condition is met. The Supreme Court of Appeal explained in </w:t>
      </w:r>
      <w:r w:rsidR="00464FA9" w:rsidRPr="00875DB7">
        <w:rPr>
          <w:rFonts w:ascii="Arial" w:hAnsi="Arial" w:cs="Arial"/>
          <w:i/>
          <w:sz w:val="24"/>
          <w:szCs w:val="24"/>
        </w:rPr>
        <w:t>Mia v Verimark Holdings (Pty) Ltd:</w:t>
      </w:r>
      <w:r w:rsidR="00464FA9">
        <w:rPr>
          <w:rStyle w:val="FootnoteReference"/>
          <w:rFonts w:ascii="Arial" w:hAnsi="Arial" w:cs="Arial"/>
          <w:i/>
          <w:sz w:val="24"/>
          <w:szCs w:val="24"/>
        </w:rPr>
        <w:footnoteReference w:id="21"/>
      </w:r>
    </w:p>
    <w:p w14:paraId="0BDCF1E4" w14:textId="77777777" w:rsidR="00464FA9" w:rsidRPr="00464FA9" w:rsidRDefault="00464FA9" w:rsidP="00464FA9">
      <w:pPr>
        <w:pStyle w:val="ListParagraph"/>
        <w:rPr>
          <w:rFonts w:ascii="Arial" w:hAnsi="Arial" w:cs="Arial"/>
          <w:sz w:val="24"/>
          <w:szCs w:val="24"/>
        </w:rPr>
      </w:pPr>
    </w:p>
    <w:p w14:paraId="122F08B9" w14:textId="4088875B" w:rsidR="00464FA9" w:rsidRPr="00464FA9" w:rsidRDefault="00646017" w:rsidP="00464FA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464FA9" w:rsidRPr="00464FA9">
        <w:rPr>
          <w:rFonts w:ascii="Arial" w:hAnsi="Arial" w:cs="Arial"/>
          <w:color w:val="242121"/>
          <w:sz w:val="24"/>
          <w:szCs w:val="24"/>
          <w:shd w:val="clear" w:color="auto" w:fill="FFFFFF"/>
        </w:rPr>
        <w:t xml:space="preserve">Suspensive conditions are commonly encountered in contracts for the sale of immovable property. Their legal effect is well settled. The conclusion of a contract subject to a suspensive condition creates </w:t>
      </w:r>
      <w:r>
        <w:rPr>
          <w:rFonts w:ascii="Arial" w:hAnsi="Arial" w:cs="Arial"/>
          <w:color w:val="242121"/>
          <w:sz w:val="24"/>
          <w:szCs w:val="24"/>
          <w:shd w:val="clear" w:color="auto" w:fill="FFFFFF"/>
        </w:rPr>
        <w:t>'</w:t>
      </w:r>
      <w:r w:rsidR="00464FA9" w:rsidRPr="00464FA9">
        <w:rPr>
          <w:rFonts w:ascii="Arial" w:hAnsi="Arial" w:cs="Arial"/>
          <w:color w:val="242121"/>
          <w:sz w:val="24"/>
          <w:szCs w:val="24"/>
          <w:shd w:val="clear" w:color="auto" w:fill="FFFFFF"/>
        </w:rPr>
        <w:t>a very real and definite contractual relationship</w:t>
      </w:r>
      <w:r>
        <w:rPr>
          <w:rFonts w:ascii="Arial" w:hAnsi="Arial" w:cs="Arial"/>
          <w:color w:val="242121"/>
          <w:sz w:val="24"/>
          <w:szCs w:val="24"/>
          <w:shd w:val="clear" w:color="auto" w:fill="FFFFFF"/>
        </w:rPr>
        <w:t>'</w:t>
      </w:r>
      <w:r w:rsidR="00464FA9" w:rsidRPr="00464FA9">
        <w:rPr>
          <w:rFonts w:ascii="Arial" w:hAnsi="Arial" w:cs="Arial"/>
          <w:color w:val="242121"/>
          <w:sz w:val="24"/>
          <w:szCs w:val="24"/>
          <w:shd w:val="clear" w:color="auto" w:fill="FFFFFF"/>
        </w:rPr>
        <w:t xml:space="preserve"> between the parties. Pending fulfilment of the suspensive condition the exigible content of the contract is suspended.</w:t>
      </w:r>
      <w:r w:rsidR="00464FA9" w:rsidRPr="00464FA9">
        <w:rPr>
          <w:rFonts w:ascii="Arial" w:hAnsi="Arial" w:cs="Arial"/>
          <w:b/>
          <w:bCs/>
          <w:color w:val="242121"/>
          <w:sz w:val="24"/>
          <w:szCs w:val="24"/>
          <w:shd w:val="clear" w:color="auto" w:fill="FFFFFF"/>
          <w:vertAlign w:val="superscript"/>
        </w:rPr>
        <w:t xml:space="preserve"> </w:t>
      </w:r>
      <w:r w:rsidR="00464FA9" w:rsidRPr="00464FA9">
        <w:rPr>
          <w:rFonts w:ascii="Arial" w:hAnsi="Arial" w:cs="Arial"/>
          <w:color w:val="242121"/>
          <w:sz w:val="24"/>
          <w:szCs w:val="24"/>
          <w:shd w:val="clear" w:color="auto" w:fill="FFFFFF"/>
        </w:rPr>
        <w:t>On fulfilment of the condition the contract becomes of full force and effect and enforceable by the parties in accordance with its terms. No action lies to compel a party to fulfil a suspensive condition. If it is not fulfilled the contract falls away and no claim for damages flows from its failure…</w:t>
      </w:r>
      <w:r>
        <w:rPr>
          <w:rFonts w:ascii="Arial" w:hAnsi="Arial" w:cs="Arial"/>
          <w:color w:val="242121"/>
          <w:sz w:val="24"/>
          <w:szCs w:val="24"/>
          <w:shd w:val="clear" w:color="auto" w:fill="FFFFFF"/>
        </w:rPr>
        <w:t>'</w:t>
      </w:r>
      <w:r w:rsidR="00464FA9" w:rsidRPr="00464FA9">
        <w:rPr>
          <w:rFonts w:ascii="Arial" w:hAnsi="Arial" w:cs="Arial"/>
          <w:color w:val="242121"/>
          <w:sz w:val="24"/>
          <w:szCs w:val="24"/>
          <w:shd w:val="clear" w:color="auto" w:fill="FFFFFF"/>
        </w:rPr>
        <w:t xml:space="preserve"> (Footnotes omitted.)</w:t>
      </w:r>
    </w:p>
    <w:p w14:paraId="284E1EA3" w14:textId="77777777" w:rsidR="00464FA9" w:rsidRPr="00464FA9" w:rsidRDefault="00464FA9" w:rsidP="00464FA9">
      <w:pPr>
        <w:pStyle w:val="ListParagraph"/>
        <w:rPr>
          <w:rFonts w:ascii="Arial" w:hAnsi="Arial" w:cs="Arial"/>
          <w:sz w:val="24"/>
          <w:szCs w:val="24"/>
        </w:rPr>
      </w:pPr>
    </w:p>
    <w:p w14:paraId="5CDC920F" w14:textId="104CCAF3" w:rsidR="00B86A48" w:rsidRDefault="001221DE" w:rsidP="00B86A48">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i/>
          <w:sz w:val="24"/>
          <w:szCs w:val="24"/>
        </w:rPr>
        <w:t>In casu</w:t>
      </w:r>
      <w:r w:rsidR="00646017">
        <w:rPr>
          <w:rFonts w:ascii="Arial" w:hAnsi="Arial" w:cs="Arial"/>
          <w:i/>
          <w:sz w:val="24"/>
          <w:szCs w:val="24"/>
        </w:rPr>
        <w:t>,</w:t>
      </w:r>
      <w:r>
        <w:rPr>
          <w:rFonts w:ascii="Arial" w:hAnsi="Arial" w:cs="Arial"/>
          <w:sz w:val="24"/>
          <w:szCs w:val="24"/>
        </w:rPr>
        <w:t xml:space="preserve"> the agreement </w:t>
      </w:r>
      <w:r w:rsidR="00646017">
        <w:rPr>
          <w:rFonts w:ascii="Arial" w:hAnsi="Arial" w:cs="Arial"/>
          <w:sz w:val="24"/>
          <w:szCs w:val="24"/>
        </w:rPr>
        <w:t xml:space="preserve">between Omarostax and the owner of the Oak Avenue property </w:t>
      </w:r>
      <w:r>
        <w:rPr>
          <w:rFonts w:ascii="Arial" w:hAnsi="Arial" w:cs="Arial"/>
          <w:sz w:val="24"/>
          <w:szCs w:val="24"/>
        </w:rPr>
        <w:t>lapsed when the co</w:t>
      </w:r>
      <w:r w:rsidR="00C87D9D">
        <w:rPr>
          <w:rFonts w:ascii="Arial" w:hAnsi="Arial" w:cs="Arial"/>
          <w:sz w:val="24"/>
          <w:szCs w:val="24"/>
        </w:rPr>
        <w:t>ndition was not met. Since it i</w:t>
      </w:r>
      <w:r>
        <w:rPr>
          <w:rFonts w:ascii="Arial" w:hAnsi="Arial" w:cs="Arial"/>
          <w:sz w:val="24"/>
          <w:szCs w:val="24"/>
        </w:rPr>
        <w:t>s impossible to meet the condition</w:t>
      </w:r>
      <w:r w:rsidR="00646017">
        <w:rPr>
          <w:rFonts w:ascii="Arial" w:hAnsi="Arial" w:cs="Arial"/>
          <w:sz w:val="24"/>
          <w:szCs w:val="24"/>
        </w:rPr>
        <w:t>,</w:t>
      </w:r>
      <w:r>
        <w:rPr>
          <w:rFonts w:ascii="Arial" w:hAnsi="Arial" w:cs="Arial"/>
          <w:sz w:val="24"/>
          <w:szCs w:val="24"/>
        </w:rPr>
        <w:t xml:space="preserve"> which was not waived at any time, the question of a possible</w:t>
      </w:r>
      <w:r w:rsidR="00C87D9D">
        <w:rPr>
          <w:rFonts w:ascii="Arial" w:hAnsi="Arial" w:cs="Arial"/>
          <w:sz w:val="24"/>
          <w:szCs w:val="24"/>
        </w:rPr>
        <w:t xml:space="preserve"> revival of the contract does not arise.</w:t>
      </w:r>
      <w:r w:rsidR="002834BC">
        <w:rPr>
          <w:rFonts w:ascii="Arial" w:hAnsi="Arial" w:cs="Arial"/>
          <w:sz w:val="24"/>
          <w:szCs w:val="24"/>
        </w:rPr>
        <w:t xml:space="preserve"> In the result, it cannot be said that a v</w:t>
      </w:r>
      <w:r w:rsidR="00C87D9D">
        <w:rPr>
          <w:rFonts w:ascii="Arial" w:hAnsi="Arial" w:cs="Arial"/>
          <w:sz w:val="24"/>
          <w:szCs w:val="24"/>
        </w:rPr>
        <w:t>alid</w:t>
      </w:r>
      <w:r w:rsidR="002D19FA">
        <w:rPr>
          <w:rFonts w:ascii="Arial" w:hAnsi="Arial" w:cs="Arial"/>
          <w:sz w:val="24"/>
          <w:szCs w:val="24"/>
        </w:rPr>
        <w:t xml:space="preserve"> agreement existed when the bidding period closed</w:t>
      </w:r>
      <w:r w:rsidR="002834BC">
        <w:rPr>
          <w:rFonts w:ascii="Arial" w:hAnsi="Arial" w:cs="Arial"/>
          <w:sz w:val="24"/>
          <w:szCs w:val="24"/>
        </w:rPr>
        <w:t>, irrespective of the extension of time peri</w:t>
      </w:r>
      <w:r>
        <w:rPr>
          <w:rFonts w:ascii="Arial" w:hAnsi="Arial" w:cs="Arial"/>
          <w:sz w:val="24"/>
          <w:szCs w:val="24"/>
        </w:rPr>
        <w:t>ods provided for in subsequent addenda</w:t>
      </w:r>
      <w:r w:rsidR="002834BC">
        <w:rPr>
          <w:rFonts w:ascii="Arial" w:hAnsi="Arial" w:cs="Arial"/>
          <w:sz w:val="24"/>
          <w:szCs w:val="24"/>
        </w:rPr>
        <w:t>. Tender H19/014PF was not awarded to Omarostax</w:t>
      </w:r>
      <w:r w:rsidR="00646017">
        <w:rPr>
          <w:rFonts w:ascii="Arial" w:hAnsi="Arial" w:cs="Arial"/>
          <w:sz w:val="24"/>
          <w:szCs w:val="24"/>
        </w:rPr>
        <w:t>,</w:t>
      </w:r>
      <w:r w:rsidR="002834BC">
        <w:rPr>
          <w:rFonts w:ascii="Arial" w:hAnsi="Arial" w:cs="Arial"/>
          <w:sz w:val="24"/>
          <w:szCs w:val="24"/>
        </w:rPr>
        <w:t xml:space="preserve"> and the con</w:t>
      </w:r>
      <w:r w:rsidR="00646017">
        <w:rPr>
          <w:rFonts w:ascii="Arial" w:hAnsi="Arial" w:cs="Arial"/>
          <w:sz w:val="24"/>
          <w:szCs w:val="24"/>
        </w:rPr>
        <w:t>d</w:t>
      </w:r>
      <w:r w:rsidR="002834BC">
        <w:rPr>
          <w:rFonts w:ascii="Arial" w:hAnsi="Arial" w:cs="Arial"/>
          <w:sz w:val="24"/>
          <w:szCs w:val="24"/>
        </w:rPr>
        <w:t>ition was not waived. On this ground</w:t>
      </w:r>
      <w:r w:rsidR="00646017">
        <w:rPr>
          <w:rFonts w:ascii="Arial" w:hAnsi="Arial" w:cs="Arial"/>
          <w:sz w:val="24"/>
          <w:szCs w:val="24"/>
        </w:rPr>
        <w:t>,</w:t>
      </w:r>
      <w:r w:rsidR="002834BC">
        <w:rPr>
          <w:rFonts w:ascii="Arial" w:hAnsi="Arial" w:cs="Arial"/>
          <w:sz w:val="24"/>
          <w:szCs w:val="24"/>
        </w:rPr>
        <w:t xml:space="preserve"> the BEC should have found that Omarostax</w:t>
      </w:r>
      <w:r w:rsidR="00646017">
        <w:rPr>
          <w:rFonts w:ascii="Arial" w:hAnsi="Arial" w:cs="Arial"/>
          <w:sz w:val="24"/>
          <w:szCs w:val="24"/>
        </w:rPr>
        <w:t>'</w:t>
      </w:r>
      <w:r w:rsidR="002834BC">
        <w:rPr>
          <w:rFonts w:ascii="Arial" w:hAnsi="Arial" w:cs="Arial"/>
          <w:sz w:val="24"/>
          <w:szCs w:val="24"/>
        </w:rPr>
        <w:t>s bid was non-responsive.</w:t>
      </w:r>
    </w:p>
    <w:p w14:paraId="34A1BE79" w14:textId="77777777" w:rsidR="00875DB7" w:rsidRPr="00875DB7" w:rsidRDefault="00875DB7" w:rsidP="00875DB7">
      <w:pPr>
        <w:pStyle w:val="ListParagraph"/>
        <w:rPr>
          <w:rFonts w:ascii="Arial" w:hAnsi="Arial" w:cs="Arial"/>
          <w:sz w:val="24"/>
          <w:szCs w:val="24"/>
        </w:rPr>
      </w:pPr>
    </w:p>
    <w:p w14:paraId="296D16DF" w14:textId="580E89E1" w:rsidR="00875DB7" w:rsidRDefault="00875DB7" w:rsidP="00875DB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parties brought the respective decisions in </w:t>
      </w:r>
      <w:r>
        <w:rPr>
          <w:rFonts w:ascii="Arial" w:hAnsi="Arial" w:cs="Arial"/>
          <w:i/>
          <w:sz w:val="24"/>
          <w:szCs w:val="24"/>
        </w:rPr>
        <w:t>Benkenstein v Neisius and Others</w:t>
      </w:r>
      <w:r>
        <w:rPr>
          <w:rStyle w:val="FootnoteReference"/>
          <w:rFonts w:ascii="Arial" w:hAnsi="Arial" w:cs="Arial"/>
          <w:i/>
          <w:sz w:val="24"/>
          <w:szCs w:val="24"/>
        </w:rPr>
        <w:footnoteReference w:id="22"/>
      </w:r>
      <w:r>
        <w:rPr>
          <w:rFonts w:ascii="Arial" w:hAnsi="Arial" w:cs="Arial"/>
          <w:sz w:val="24"/>
          <w:szCs w:val="24"/>
        </w:rPr>
        <w:t xml:space="preserve"> and </w:t>
      </w:r>
      <w:r>
        <w:rPr>
          <w:rFonts w:ascii="Arial" w:hAnsi="Arial" w:cs="Arial"/>
          <w:i/>
          <w:sz w:val="24"/>
          <w:szCs w:val="24"/>
        </w:rPr>
        <w:t>Abrinah 7804 (Pty) Ltd v Kapa Koni Investments CC</w:t>
      </w:r>
      <w:r>
        <w:rPr>
          <w:rStyle w:val="FootnoteReference"/>
          <w:rFonts w:ascii="Arial" w:hAnsi="Arial" w:cs="Arial"/>
          <w:i/>
          <w:sz w:val="24"/>
          <w:szCs w:val="24"/>
        </w:rPr>
        <w:footnoteReference w:id="23"/>
      </w:r>
      <w:r>
        <w:rPr>
          <w:rFonts w:ascii="Arial" w:hAnsi="Arial" w:cs="Arial"/>
          <w:i/>
          <w:sz w:val="24"/>
          <w:szCs w:val="24"/>
        </w:rPr>
        <w:t xml:space="preserve"> </w:t>
      </w:r>
      <w:r>
        <w:rPr>
          <w:rFonts w:ascii="Arial" w:hAnsi="Arial" w:cs="Arial"/>
          <w:sz w:val="24"/>
          <w:szCs w:val="24"/>
        </w:rPr>
        <w:t xml:space="preserve">to my attention as it </w:t>
      </w:r>
      <w:r>
        <w:rPr>
          <w:rFonts w:ascii="Arial" w:hAnsi="Arial" w:cs="Arial"/>
          <w:sz w:val="24"/>
          <w:szCs w:val="24"/>
        </w:rPr>
        <w:lastRenderedPageBreak/>
        <w:t xml:space="preserve">relates to the issue of the lapsing and revival of a sale agreement. In </w:t>
      </w:r>
      <w:r>
        <w:rPr>
          <w:rFonts w:ascii="Arial" w:hAnsi="Arial" w:cs="Arial"/>
          <w:i/>
          <w:sz w:val="24"/>
          <w:szCs w:val="24"/>
        </w:rPr>
        <w:t>Benkenstein</w:t>
      </w:r>
      <w:r w:rsidR="00646017">
        <w:rPr>
          <w:rFonts w:ascii="Arial" w:hAnsi="Arial" w:cs="Arial"/>
          <w:i/>
          <w:sz w:val="24"/>
          <w:szCs w:val="24"/>
        </w:rPr>
        <w:t>,</w:t>
      </w:r>
      <w:r>
        <w:rPr>
          <w:rFonts w:ascii="Arial" w:hAnsi="Arial" w:cs="Arial"/>
          <w:sz w:val="24"/>
          <w:szCs w:val="24"/>
        </w:rPr>
        <w:t xml:space="preserve"> the court held that where a contract is terminated by failure of a suspensive condition</w:t>
      </w:r>
      <w:r w:rsidR="00646017">
        <w:rPr>
          <w:rFonts w:ascii="Arial" w:hAnsi="Arial" w:cs="Arial"/>
          <w:sz w:val="24"/>
          <w:szCs w:val="24"/>
        </w:rPr>
        <w:t>,</w:t>
      </w:r>
      <w:r>
        <w:rPr>
          <w:rFonts w:ascii="Arial" w:hAnsi="Arial" w:cs="Arial"/>
          <w:sz w:val="24"/>
          <w:szCs w:val="24"/>
        </w:rPr>
        <w:t xml:space="preserve"> the subsequent revival of the contract by virtue of a second agreement is possible provided that, among others, the conditional terms in the origi</w:t>
      </w:r>
      <w:r w:rsidR="00646017">
        <w:rPr>
          <w:rFonts w:ascii="Arial" w:hAnsi="Arial" w:cs="Arial"/>
          <w:sz w:val="24"/>
          <w:szCs w:val="24"/>
        </w:rPr>
        <w:t>n</w:t>
      </w:r>
      <w:r>
        <w:rPr>
          <w:rFonts w:ascii="Arial" w:hAnsi="Arial" w:cs="Arial"/>
          <w:sz w:val="24"/>
          <w:szCs w:val="24"/>
        </w:rPr>
        <w:t xml:space="preserve">al agreement </w:t>
      </w:r>
      <w:r w:rsidR="00646017">
        <w:rPr>
          <w:rFonts w:ascii="Arial" w:hAnsi="Arial" w:cs="Arial"/>
          <w:sz w:val="24"/>
          <w:szCs w:val="24"/>
        </w:rPr>
        <w:t>are</w:t>
      </w:r>
      <w:r>
        <w:rPr>
          <w:rFonts w:ascii="Arial" w:hAnsi="Arial" w:cs="Arial"/>
          <w:sz w:val="24"/>
          <w:szCs w:val="24"/>
        </w:rPr>
        <w:t xml:space="preserve"> varied to the agreement from ag</w:t>
      </w:r>
      <w:r w:rsidR="00646017">
        <w:rPr>
          <w:rFonts w:ascii="Arial" w:hAnsi="Arial" w:cs="Arial"/>
          <w:sz w:val="24"/>
          <w:szCs w:val="24"/>
        </w:rPr>
        <w:t>a</w:t>
      </w:r>
      <w:r>
        <w:rPr>
          <w:rFonts w:ascii="Arial" w:hAnsi="Arial" w:cs="Arial"/>
          <w:sz w:val="24"/>
          <w:szCs w:val="24"/>
        </w:rPr>
        <w:t>in self</w:t>
      </w:r>
      <w:r w:rsidR="00646017">
        <w:rPr>
          <w:rFonts w:ascii="Arial" w:hAnsi="Arial" w:cs="Arial"/>
          <w:sz w:val="24"/>
          <w:szCs w:val="24"/>
        </w:rPr>
        <w:t>-destru</w:t>
      </w:r>
      <w:r>
        <w:rPr>
          <w:rFonts w:ascii="Arial" w:hAnsi="Arial" w:cs="Arial"/>
          <w:sz w:val="24"/>
          <w:szCs w:val="24"/>
        </w:rPr>
        <w:t xml:space="preserve">cting on account thereof. </w:t>
      </w:r>
      <w:r>
        <w:rPr>
          <w:rFonts w:ascii="Arial" w:hAnsi="Arial" w:cs="Arial"/>
          <w:i/>
          <w:sz w:val="24"/>
          <w:szCs w:val="24"/>
        </w:rPr>
        <w:t>In casu</w:t>
      </w:r>
      <w:r>
        <w:rPr>
          <w:rFonts w:ascii="Arial" w:hAnsi="Arial" w:cs="Arial"/>
          <w:sz w:val="24"/>
          <w:szCs w:val="24"/>
        </w:rPr>
        <w:t>, the relevant con</w:t>
      </w:r>
      <w:r w:rsidR="00646017">
        <w:rPr>
          <w:rFonts w:ascii="Arial" w:hAnsi="Arial" w:cs="Arial"/>
          <w:sz w:val="24"/>
          <w:szCs w:val="24"/>
        </w:rPr>
        <w:t>di</w:t>
      </w:r>
      <w:r>
        <w:rPr>
          <w:rFonts w:ascii="Arial" w:hAnsi="Arial" w:cs="Arial"/>
          <w:sz w:val="24"/>
          <w:szCs w:val="24"/>
        </w:rPr>
        <w:t>tion precedent was not varied</w:t>
      </w:r>
      <w:r w:rsidR="00646017">
        <w:rPr>
          <w:rFonts w:ascii="Arial" w:hAnsi="Arial" w:cs="Arial"/>
          <w:sz w:val="24"/>
          <w:szCs w:val="24"/>
        </w:rPr>
        <w:t>,</w:t>
      </w:r>
      <w:r>
        <w:rPr>
          <w:rFonts w:ascii="Arial" w:hAnsi="Arial" w:cs="Arial"/>
          <w:sz w:val="24"/>
          <w:szCs w:val="24"/>
        </w:rPr>
        <w:t xml:space="preserve"> and the re</w:t>
      </w:r>
      <w:r w:rsidR="00646017">
        <w:rPr>
          <w:rFonts w:ascii="Arial" w:hAnsi="Arial" w:cs="Arial"/>
          <w:sz w:val="24"/>
          <w:szCs w:val="24"/>
        </w:rPr>
        <w:t>ference to Tender No.</w:t>
      </w:r>
      <w:r>
        <w:rPr>
          <w:rFonts w:ascii="Arial" w:hAnsi="Arial" w:cs="Arial"/>
          <w:sz w:val="24"/>
          <w:szCs w:val="24"/>
        </w:rPr>
        <w:t xml:space="preserve"> 19/014PF was never amended or removed. The court confirmed in </w:t>
      </w:r>
      <w:r>
        <w:rPr>
          <w:rFonts w:ascii="Arial" w:hAnsi="Arial" w:cs="Arial"/>
          <w:i/>
          <w:sz w:val="24"/>
          <w:szCs w:val="24"/>
        </w:rPr>
        <w:t>Benkenstein</w:t>
      </w:r>
      <w:r>
        <w:rPr>
          <w:rFonts w:ascii="Arial" w:hAnsi="Arial" w:cs="Arial"/>
          <w:sz w:val="24"/>
          <w:szCs w:val="24"/>
        </w:rPr>
        <w:t xml:space="preserve"> that the non-fulfi</w:t>
      </w:r>
      <w:r w:rsidR="00646017">
        <w:rPr>
          <w:rFonts w:ascii="Arial" w:hAnsi="Arial" w:cs="Arial"/>
          <w:sz w:val="24"/>
          <w:szCs w:val="24"/>
        </w:rPr>
        <w:t>l</w:t>
      </w:r>
      <w:r>
        <w:rPr>
          <w:rFonts w:ascii="Arial" w:hAnsi="Arial" w:cs="Arial"/>
          <w:sz w:val="24"/>
          <w:szCs w:val="24"/>
        </w:rPr>
        <w:t xml:space="preserve">lment of a suspensive condition on the due date automatically </w:t>
      </w:r>
      <w:r w:rsidR="00646017">
        <w:rPr>
          <w:rFonts w:ascii="Arial" w:hAnsi="Arial" w:cs="Arial"/>
          <w:sz w:val="24"/>
          <w:szCs w:val="24"/>
        </w:rPr>
        <w:t>terminated</w:t>
      </w:r>
      <w:r>
        <w:rPr>
          <w:rFonts w:ascii="Arial" w:hAnsi="Arial" w:cs="Arial"/>
          <w:sz w:val="24"/>
          <w:szCs w:val="24"/>
        </w:rPr>
        <w:t xml:space="preserve"> the contract. </w:t>
      </w:r>
      <w:r w:rsidR="00646017">
        <w:rPr>
          <w:rFonts w:ascii="Arial" w:hAnsi="Arial" w:cs="Arial"/>
          <w:sz w:val="24"/>
          <w:szCs w:val="24"/>
        </w:rPr>
        <w:t>Because</w:t>
      </w:r>
      <w:r>
        <w:rPr>
          <w:rFonts w:ascii="Arial" w:hAnsi="Arial" w:cs="Arial"/>
          <w:sz w:val="24"/>
          <w:szCs w:val="24"/>
        </w:rPr>
        <w:t xml:space="preserve"> Omarostax and the owners of the Oak Avenue property failed to amend the condition precedent save for the performance date, the contract could not be revived. In </w:t>
      </w:r>
      <w:r>
        <w:rPr>
          <w:rFonts w:ascii="Arial" w:hAnsi="Arial" w:cs="Arial"/>
          <w:i/>
          <w:sz w:val="24"/>
          <w:szCs w:val="24"/>
        </w:rPr>
        <w:t>Abrinah 7804</w:t>
      </w:r>
      <w:r w:rsidR="00646017">
        <w:rPr>
          <w:rFonts w:ascii="Arial" w:hAnsi="Arial" w:cs="Arial"/>
          <w:i/>
          <w:sz w:val="24"/>
          <w:szCs w:val="24"/>
        </w:rPr>
        <w:t>,</w:t>
      </w:r>
      <w:r>
        <w:rPr>
          <w:rFonts w:ascii="Arial" w:hAnsi="Arial" w:cs="Arial"/>
          <w:sz w:val="24"/>
          <w:szCs w:val="24"/>
        </w:rPr>
        <w:t xml:space="preserve"> the court held that a contract irrevocably lapsed when a condition was not met before the initial expiry date and that no subsequent </w:t>
      </w:r>
      <w:r w:rsidR="00646017">
        <w:rPr>
          <w:rFonts w:ascii="Arial" w:hAnsi="Arial" w:cs="Arial"/>
          <w:sz w:val="24"/>
          <w:szCs w:val="24"/>
        </w:rPr>
        <w:t>'</w:t>
      </w:r>
      <w:r>
        <w:rPr>
          <w:rFonts w:ascii="Arial" w:hAnsi="Arial" w:cs="Arial"/>
          <w:sz w:val="24"/>
          <w:szCs w:val="24"/>
        </w:rPr>
        <w:t>revival</w:t>
      </w:r>
      <w:r w:rsidR="00646017">
        <w:rPr>
          <w:rFonts w:ascii="Arial" w:hAnsi="Arial" w:cs="Arial"/>
          <w:sz w:val="24"/>
          <w:szCs w:val="24"/>
        </w:rPr>
        <w:t>'</w:t>
      </w:r>
      <w:r>
        <w:rPr>
          <w:rFonts w:ascii="Arial" w:hAnsi="Arial" w:cs="Arial"/>
          <w:sz w:val="24"/>
          <w:szCs w:val="24"/>
        </w:rPr>
        <w:t xml:space="preserve"> is possible. In the current matter, and </w:t>
      </w:r>
      <w:r w:rsidR="00646017">
        <w:rPr>
          <w:rFonts w:ascii="Arial" w:hAnsi="Arial" w:cs="Arial"/>
          <w:sz w:val="24"/>
          <w:szCs w:val="24"/>
        </w:rPr>
        <w:t>because</w:t>
      </w:r>
      <w:r>
        <w:rPr>
          <w:rFonts w:ascii="Arial" w:hAnsi="Arial" w:cs="Arial"/>
          <w:sz w:val="24"/>
          <w:szCs w:val="24"/>
        </w:rPr>
        <w:t xml:space="preserve"> the condition precedent </w:t>
      </w:r>
      <w:r w:rsidR="00646017">
        <w:rPr>
          <w:rFonts w:ascii="Arial" w:hAnsi="Arial" w:cs="Arial"/>
          <w:sz w:val="24"/>
          <w:szCs w:val="24"/>
        </w:rPr>
        <w:t xml:space="preserve">referring </w:t>
      </w:r>
      <w:r>
        <w:rPr>
          <w:rFonts w:ascii="Arial" w:hAnsi="Arial" w:cs="Arial"/>
          <w:sz w:val="24"/>
          <w:szCs w:val="24"/>
        </w:rPr>
        <w:t>to Tender No. H19/014PF was not waived or amended</w:t>
      </w:r>
      <w:r w:rsidR="00A22FA5">
        <w:rPr>
          <w:rFonts w:ascii="Arial" w:hAnsi="Arial" w:cs="Arial"/>
          <w:sz w:val="24"/>
          <w:szCs w:val="24"/>
        </w:rPr>
        <w:t>, the question as to whether a contract can</w:t>
      </w:r>
      <w:r w:rsidR="00646017">
        <w:rPr>
          <w:rFonts w:ascii="Arial" w:hAnsi="Arial" w:cs="Arial"/>
          <w:sz w:val="24"/>
          <w:szCs w:val="24"/>
        </w:rPr>
        <w:t>, or did,</w:t>
      </w:r>
      <w:r w:rsidR="00A22FA5">
        <w:rPr>
          <w:rFonts w:ascii="Arial" w:hAnsi="Arial" w:cs="Arial"/>
          <w:sz w:val="24"/>
          <w:szCs w:val="24"/>
        </w:rPr>
        <w:t xml:space="preserve"> revive is moot.</w:t>
      </w:r>
    </w:p>
    <w:p w14:paraId="6E3BE7C0" w14:textId="77777777" w:rsidR="00B86A48" w:rsidRDefault="00B86A48" w:rsidP="00B86A48">
      <w:pPr>
        <w:pStyle w:val="ListParagraph"/>
        <w:tabs>
          <w:tab w:val="left" w:pos="4917"/>
        </w:tabs>
        <w:spacing w:before="120" w:after="120" w:line="360" w:lineRule="auto"/>
        <w:jc w:val="both"/>
        <w:rPr>
          <w:rFonts w:ascii="Arial" w:hAnsi="Arial" w:cs="Arial"/>
          <w:sz w:val="24"/>
          <w:szCs w:val="24"/>
        </w:rPr>
      </w:pPr>
    </w:p>
    <w:p w14:paraId="442C4532" w14:textId="4D7079A1" w:rsidR="00BB30E1" w:rsidRPr="00B86A48" w:rsidRDefault="00B86A48" w:rsidP="00B86A48">
      <w:pPr>
        <w:pStyle w:val="ListParagraph"/>
        <w:numPr>
          <w:ilvl w:val="0"/>
          <w:numId w:val="39"/>
        </w:numPr>
        <w:tabs>
          <w:tab w:val="left" w:pos="4917"/>
        </w:tabs>
        <w:spacing w:before="120" w:after="120" w:line="360" w:lineRule="auto"/>
        <w:jc w:val="both"/>
        <w:rPr>
          <w:rFonts w:ascii="Arial" w:hAnsi="Arial" w:cs="Arial"/>
          <w:i/>
          <w:sz w:val="24"/>
          <w:szCs w:val="24"/>
        </w:rPr>
      </w:pPr>
      <w:r>
        <w:rPr>
          <w:rFonts w:ascii="Arial" w:hAnsi="Arial" w:cs="Arial"/>
          <w:i/>
          <w:sz w:val="24"/>
          <w:szCs w:val="24"/>
        </w:rPr>
        <w:t>The zoning of the property</w:t>
      </w:r>
    </w:p>
    <w:p w14:paraId="0933BE55" w14:textId="77777777" w:rsidR="00BB30E1" w:rsidRPr="00BB30E1" w:rsidRDefault="00BB30E1" w:rsidP="00BB30E1">
      <w:pPr>
        <w:pStyle w:val="ListParagraph"/>
        <w:rPr>
          <w:rFonts w:ascii="Arial" w:hAnsi="Arial" w:cs="Arial"/>
          <w:sz w:val="24"/>
          <w:szCs w:val="24"/>
        </w:rPr>
      </w:pPr>
    </w:p>
    <w:p w14:paraId="6C5F5D29" w14:textId="5510A87F" w:rsidR="00BB30E1" w:rsidRDefault="001221DE"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Omarostax attached a zoning certificate </w:t>
      </w:r>
      <w:r w:rsidR="00646017">
        <w:rPr>
          <w:rFonts w:ascii="Arial" w:hAnsi="Arial" w:cs="Arial"/>
          <w:sz w:val="24"/>
          <w:szCs w:val="24"/>
        </w:rPr>
        <w:t xml:space="preserve">issued </w:t>
      </w:r>
      <w:r>
        <w:rPr>
          <w:rFonts w:ascii="Arial" w:hAnsi="Arial" w:cs="Arial"/>
          <w:sz w:val="24"/>
          <w:szCs w:val="24"/>
        </w:rPr>
        <w:t>in terms of the Tshwane Town-Planning Scheme, 2008 (revised 2014)</w:t>
      </w:r>
      <w:r w:rsidR="008D10E7">
        <w:rPr>
          <w:rFonts w:ascii="Arial" w:hAnsi="Arial" w:cs="Arial"/>
          <w:sz w:val="24"/>
          <w:szCs w:val="24"/>
        </w:rPr>
        <w:t xml:space="preserve"> (the Scheme)</w:t>
      </w:r>
      <w:r w:rsidR="002D19FA">
        <w:rPr>
          <w:rFonts w:ascii="Arial" w:hAnsi="Arial" w:cs="Arial"/>
          <w:sz w:val="24"/>
          <w:szCs w:val="24"/>
        </w:rPr>
        <w:t>, dated 10 July 2017,</w:t>
      </w:r>
      <w:r>
        <w:rPr>
          <w:rFonts w:ascii="Arial" w:hAnsi="Arial" w:cs="Arial"/>
          <w:sz w:val="24"/>
          <w:szCs w:val="24"/>
        </w:rPr>
        <w:t xml:space="preserve"> to their tender documents. It is indicated in this</w:t>
      </w:r>
      <w:r w:rsidR="00646017">
        <w:rPr>
          <w:rFonts w:ascii="Arial" w:hAnsi="Arial" w:cs="Arial"/>
          <w:sz w:val="24"/>
          <w:szCs w:val="24"/>
        </w:rPr>
        <w:t xml:space="preserve"> zoning certificate that the Oak</w:t>
      </w:r>
      <w:r>
        <w:rPr>
          <w:rFonts w:ascii="Arial" w:hAnsi="Arial" w:cs="Arial"/>
          <w:sz w:val="24"/>
          <w:szCs w:val="24"/>
        </w:rPr>
        <w:t xml:space="preserve"> Avenue property is zoned</w:t>
      </w:r>
      <w:r w:rsidR="00480A58">
        <w:rPr>
          <w:rFonts w:ascii="Arial" w:hAnsi="Arial" w:cs="Arial"/>
          <w:sz w:val="24"/>
          <w:szCs w:val="24"/>
        </w:rPr>
        <w:t xml:space="preserve"> </w:t>
      </w:r>
      <w:r w:rsidR="00646017">
        <w:rPr>
          <w:rFonts w:ascii="Arial" w:hAnsi="Arial" w:cs="Arial"/>
          <w:sz w:val="24"/>
          <w:szCs w:val="24"/>
        </w:rPr>
        <w:t>'</w:t>
      </w:r>
      <w:r w:rsidR="00480A58">
        <w:rPr>
          <w:rFonts w:ascii="Arial" w:hAnsi="Arial" w:cs="Arial"/>
          <w:sz w:val="24"/>
          <w:szCs w:val="24"/>
        </w:rPr>
        <w:t>Use Zone 11: Industrial 2</w:t>
      </w:r>
      <w:r w:rsidR="00646017">
        <w:rPr>
          <w:rFonts w:ascii="Arial" w:hAnsi="Arial" w:cs="Arial"/>
          <w:sz w:val="24"/>
          <w:szCs w:val="24"/>
        </w:rPr>
        <w:t>'</w:t>
      </w:r>
      <w:r w:rsidR="00480A58">
        <w:rPr>
          <w:rFonts w:ascii="Arial" w:hAnsi="Arial" w:cs="Arial"/>
          <w:sz w:val="24"/>
          <w:szCs w:val="24"/>
        </w:rPr>
        <w:t xml:space="preserve">. As </w:t>
      </w:r>
      <w:r w:rsidR="00145F81">
        <w:rPr>
          <w:rFonts w:ascii="Arial" w:hAnsi="Arial" w:cs="Arial"/>
          <w:sz w:val="24"/>
          <w:szCs w:val="24"/>
        </w:rPr>
        <w:t>far</w:t>
      </w:r>
      <w:r w:rsidR="00480A58">
        <w:rPr>
          <w:rFonts w:ascii="Arial" w:hAnsi="Arial" w:cs="Arial"/>
          <w:sz w:val="24"/>
          <w:szCs w:val="24"/>
        </w:rPr>
        <w:t xml:space="preserve"> as con</w:t>
      </w:r>
      <w:r w:rsidR="00646017">
        <w:rPr>
          <w:rFonts w:ascii="Arial" w:hAnsi="Arial" w:cs="Arial"/>
          <w:sz w:val="24"/>
          <w:szCs w:val="24"/>
        </w:rPr>
        <w:t>s</w:t>
      </w:r>
      <w:r w:rsidR="00480A58">
        <w:rPr>
          <w:rFonts w:ascii="Arial" w:hAnsi="Arial" w:cs="Arial"/>
          <w:sz w:val="24"/>
          <w:szCs w:val="24"/>
        </w:rPr>
        <w:t>ent use is concerned,</w:t>
      </w:r>
      <w:r w:rsidR="00646017">
        <w:rPr>
          <w:rFonts w:ascii="Arial" w:hAnsi="Arial" w:cs="Arial"/>
          <w:sz w:val="24"/>
          <w:szCs w:val="24"/>
        </w:rPr>
        <w:t xml:space="preserve"> </w:t>
      </w:r>
      <w:r w:rsidR="00480A58">
        <w:rPr>
          <w:rFonts w:ascii="Arial" w:hAnsi="Arial" w:cs="Arial"/>
          <w:sz w:val="24"/>
          <w:szCs w:val="24"/>
        </w:rPr>
        <w:t xml:space="preserve">reference is made to </w:t>
      </w:r>
      <w:r w:rsidR="00646017">
        <w:rPr>
          <w:rFonts w:ascii="Arial" w:hAnsi="Arial" w:cs="Arial"/>
          <w:sz w:val="24"/>
          <w:szCs w:val="24"/>
        </w:rPr>
        <w:t>'</w:t>
      </w:r>
      <w:r w:rsidR="00480A58">
        <w:rPr>
          <w:rFonts w:ascii="Arial" w:hAnsi="Arial" w:cs="Arial"/>
          <w:sz w:val="24"/>
          <w:szCs w:val="24"/>
        </w:rPr>
        <w:t>consent/T4337.pdf</w:t>
      </w:r>
      <w:r w:rsidR="00646017">
        <w:rPr>
          <w:rFonts w:ascii="Arial" w:hAnsi="Arial" w:cs="Arial"/>
          <w:sz w:val="24"/>
          <w:szCs w:val="24"/>
        </w:rPr>
        <w:t>',</w:t>
      </w:r>
      <w:r w:rsidR="00480A58">
        <w:rPr>
          <w:rFonts w:ascii="Arial" w:hAnsi="Arial" w:cs="Arial"/>
          <w:sz w:val="24"/>
          <w:szCs w:val="24"/>
        </w:rPr>
        <w:t xml:space="preserve"> and it is recorded</w:t>
      </w:r>
      <w:r w:rsidR="00602B16">
        <w:rPr>
          <w:rFonts w:ascii="Arial" w:hAnsi="Arial" w:cs="Arial"/>
          <w:sz w:val="24"/>
          <w:szCs w:val="24"/>
        </w:rPr>
        <w:t xml:space="preserve"> </w:t>
      </w:r>
      <w:r w:rsidR="00480A58">
        <w:rPr>
          <w:rFonts w:ascii="Arial" w:hAnsi="Arial" w:cs="Arial"/>
          <w:sz w:val="24"/>
          <w:szCs w:val="24"/>
        </w:rPr>
        <w:t>on the zoning certificate that the consent use cannot be verified as the rights might have lapsed.</w:t>
      </w:r>
    </w:p>
    <w:p w14:paraId="610CA5C8" w14:textId="77777777" w:rsidR="00BB30E1" w:rsidRPr="00BB30E1" w:rsidRDefault="00BB30E1" w:rsidP="00BB30E1">
      <w:pPr>
        <w:pStyle w:val="ListParagraph"/>
        <w:rPr>
          <w:rFonts w:ascii="Arial" w:hAnsi="Arial" w:cs="Arial"/>
          <w:sz w:val="24"/>
          <w:szCs w:val="24"/>
        </w:rPr>
      </w:pPr>
    </w:p>
    <w:p w14:paraId="5AF92B12" w14:textId="264B254F" w:rsidR="00BB442E" w:rsidRDefault="00BB442E" w:rsidP="00BB442E">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Under </w:t>
      </w:r>
      <w:r w:rsidR="00646017">
        <w:rPr>
          <w:rFonts w:ascii="Arial" w:hAnsi="Arial" w:cs="Arial"/>
          <w:sz w:val="24"/>
          <w:szCs w:val="24"/>
        </w:rPr>
        <w:t>'</w:t>
      </w:r>
      <w:r>
        <w:rPr>
          <w:rFonts w:ascii="Arial" w:hAnsi="Arial" w:cs="Arial"/>
          <w:sz w:val="24"/>
          <w:szCs w:val="24"/>
        </w:rPr>
        <w:t>use zone 11</w:t>
      </w:r>
      <w:r w:rsidR="00646017">
        <w:rPr>
          <w:rFonts w:ascii="Arial" w:hAnsi="Arial" w:cs="Arial"/>
          <w:sz w:val="24"/>
          <w:szCs w:val="24"/>
        </w:rPr>
        <w:t>',</w:t>
      </w:r>
      <w:r>
        <w:rPr>
          <w:rFonts w:ascii="Arial" w:hAnsi="Arial" w:cs="Arial"/>
          <w:sz w:val="24"/>
          <w:szCs w:val="24"/>
        </w:rPr>
        <w:t xml:space="preserve"> the following purposes</w:t>
      </w:r>
      <w:r w:rsidR="00646017">
        <w:rPr>
          <w:rFonts w:ascii="Arial" w:hAnsi="Arial" w:cs="Arial"/>
          <w:sz w:val="24"/>
          <w:szCs w:val="24"/>
        </w:rPr>
        <w:t xml:space="preserve"> for which buildings may be erec</w:t>
      </w:r>
      <w:r w:rsidR="008D10E7">
        <w:rPr>
          <w:rFonts w:ascii="Arial" w:hAnsi="Arial" w:cs="Arial"/>
          <w:sz w:val="24"/>
          <w:szCs w:val="24"/>
        </w:rPr>
        <w:t>ted or used are permitted in terms of the Scheme</w:t>
      </w:r>
      <w:r>
        <w:rPr>
          <w:rFonts w:ascii="Arial" w:hAnsi="Arial" w:cs="Arial"/>
          <w:sz w:val="24"/>
          <w:szCs w:val="24"/>
        </w:rPr>
        <w:t>:</w:t>
      </w:r>
    </w:p>
    <w:p w14:paraId="540021FF" w14:textId="77777777" w:rsidR="00BB442E" w:rsidRPr="00BB442E" w:rsidRDefault="00BB442E" w:rsidP="00BB442E">
      <w:pPr>
        <w:pStyle w:val="ListParagraph"/>
        <w:rPr>
          <w:rFonts w:ascii="Arial" w:hAnsi="Arial" w:cs="Arial"/>
          <w:sz w:val="24"/>
          <w:szCs w:val="24"/>
        </w:rPr>
      </w:pPr>
    </w:p>
    <w:p w14:paraId="1EB6B428" w14:textId="67437DB3" w:rsidR="00BB442E" w:rsidRDefault="00646017"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w:t>
      </w:r>
      <w:r w:rsidR="00BB442E" w:rsidRPr="00BB442E">
        <w:rPr>
          <w:rFonts w:ascii="Arial" w:hAnsi="Arial" w:cs="Arial"/>
          <w:sz w:val="24"/>
          <w:szCs w:val="24"/>
        </w:rPr>
        <w:t xml:space="preserve">Business </w:t>
      </w:r>
      <w:r w:rsidR="00B04A27" w:rsidRPr="00BB442E">
        <w:rPr>
          <w:rFonts w:ascii="Arial" w:hAnsi="Arial" w:cs="Arial"/>
          <w:sz w:val="24"/>
          <w:szCs w:val="24"/>
        </w:rPr>
        <w:t xml:space="preserve">Building </w:t>
      </w:r>
      <w:r w:rsidR="00B04A27">
        <w:rPr>
          <w:rFonts w:ascii="Arial" w:hAnsi="Arial" w:cs="Arial"/>
          <w:sz w:val="24"/>
          <w:szCs w:val="24"/>
        </w:rPr>
        <w:t>subject</w:t>
      </w:r>
      <w:r w:rsidR="00BB442E">
        <w:rPr>
          <w:rFonts w:ascii="Arial" w:hAnsi="Arial" w:cs="Arial"/>
          <w:sz w:val="24"/>
          <w:szCs w:val="24"/>
        </w:rPr>
        <w:t xml:space="preserve"> to Schedule 10</w:t>
      </w:r>
    </w:p>
    <w:p w14:paraId="78B15545" w14:textId="6EEB56E1"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Cafeteria</w:t>
      </w:r>
    </w:p>
    <w:p w14:paraId="5570F1BE" w14:textId="2A000124"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Car wash</w:t>
      </w:r>
    </w:p>
    <w:p w14:paraId="5D389DB7" w14:textId="2000DA20"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Commercial use</w:t>
      </w:r>
    </w:p>
    <w:p w14:paraId="5BBCBE96" w14:textId="7420D5CA"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Industry</w:t>
      </w:r>
    </w:p>
    <w:p w14:paraId="2AB68984" w14:textId="6C78B083"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Light Industry</w:t>
      </w:r>
    </w:p>
    <w:p w14:paraId="6D188F8B" w14:textId="0E713D03"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Parking garage subject to schedule 10</w:t>
      </w:r>
    </w:p>
    <w:p w14:paraId="293E454D" w14:textId="770316F6"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Parking Site subject to Schedule 10</w:t>
      </w:r>
    </w:p>
    <w:p w14:paraId="4C94C697" w14:textId="29466879"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lastRenderedPageBreak/>
        <w:t>Place of Refreshment</w:t>
      </w:r>
    </w:p>
    <w:p w14:paraId="6E9747E5" w14:textId="48864B67" w:rsidR="00947211"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Retail Industry</w:t>
      </w:r>
    </w:p>
    <w:p w14:paraId="19C24238" w14:textId="48647F01" w:rsidR="00BB442E" w:rsidRDefault="00BB442E" w:rsidP="00A22FA5">
      <w:pPr>
        <w:pStyle w:val="ListParagraph"/>
        <w:tabs>
          <w:tab w:val="left" w:pos="4917"/>
        </w:tabs>
        <w:spacing w:after="120" w:line="360" w:lineRule="auto"/>
        <w:ind w:left="1008"/>
        <w:jc w:val="both"/>
        <w:rPr>
          <w:rFonts w:ascii="Arial" w:hAnsi="Arial" w:cs="Arial"/>
          <w:sz w:val="24"/>
          <w:szCs w:val="24"/>
        </w:rPr>
      </w:pPr>
      <w:r>
        <w:rPr>
          <w:rFonts w:ascii="Arial" w:hAnsi="Arial" w:cs="Arial"/>
          <w:sz w:val="24"/>
          <w:szCs w:val="24"/>
        </w:rPr>
        <w:t>Shop subject to Schedule 10</w:t>
      </w:r>
      <w:r w:rsidR="00646017">
        <w:rPr>
          <w:rFonts w:ascii="Arial" w:hAnsi="Arial" w:cs="Arial"/>
          <w:sz w:val="24"/>
          <w:szCs w:val="24"/>
        </w:rPr>
        <w:t>.'</w:t>
      </w:r>
    </w:p>
    <w:p w14:paraId="390351E6" w14:textId="377A0E65" w:rsidR="00947211" w:rsidRPr="00947211" w:rsidRDefault="00646017" w:rsidP="00947211">
      <w:pPr>
        <w:tabs>
          <w:tab w:val="left" w:pos="4917"/>
        </w:tabs>
        <w:spacing w:before="120" w:after="120" w:line="360" w:lineRule="auto"/>
        <w:ind w:left="720"/>
        <w:jc w:val="both"/>
        <w:rPr>
          <w:rFonts w:ascii="Arial" w:hAnsi="Arial" w:cs="Arial"/>
          <w:sz w:val="24"/>
          <w:szCs w:val="24"/>
        </w:rPr>
      </w:pPr>
      <w:r>
        <w:rPr>
          <w:rFonts w:ascii="Arial" w:hAnsi="Arial" w:cs="Arial"/>
          <w:sz w:val="24"/>
          <w:szCs w:val="24"/>
        </w:rPr>
        <w:t>'</w:t>
      </w:r>
      <w:r w:rsidR="00947211">
        <w:rPr>
          <w:rFonts w:ascii="Arial" w:hAnsi="Arial" w:cs="Arial"/>
          <w:sz w:val="24"/>
          <w:szCs w:val="24"/>
        </w:rPr>
        <w:t>Industry</w:t>
      </w:r>
      <w:r>
        <w:rPr>
          <w:rFonts w:ascii="Arial" w:hAnsi="Arial" w:cs="Arial"/>
          <w:sz w:val="24"/>
          <w:szCs w:val="24"/>
        </w:rPr>
        <w:t>'</w:t>
      </w:r>
      <w:r w:rsidR="00947211">
        <w:rPr>
          <w:rFonts w:ascii="Arial" w:hAnsi="Arial" w:cs="Arial"/>
          <w:sz w:val="24"/>
          <w:szCs w:val="24"/>
        </w:rPr>
        <w:t xml:space="preserve"> is defined to mean land and buildings where a product or part of a product is manufactured, mounted</w:t>
      </w:r>
      <w:r>
        <w:rPr>
          <w:rFonts w:ascii="Arial" w:hAnsi="Arial" w:cs="Arial"/>
          <w:sz w:val="24"/>
          <w:szCs w:val="24"/>
        </w:rPr>
        <w:t>,</w:t>
      </w:r>
      <w:r w:rsidR="00947211">
        <w:rPr>
          <w:rFonts w:ascii="Arial" w:hAnsi="Arial" w:cs="Arial"/>
          <w:sz w:val="24"/>
          <w:szCs w:val="24"/>
        </w:rPr>
        <w:t xml:space="preserve"> processed, repaired, rebuilt</w:t>
      </w:r>
      <w:r>
        <w:rPr>
          <w:rFonts w:ascii="Arial" w:hAnsi="Arial" w:cs="Arial"/>
          <w:sz w:val="24"/>
          <w:szCs w:val="24"/>
        </w:rPr>
        <w:t>,</w:t>
      </w:r>
      <w:r w:rsidR="00947211">
        <w:rPr>
          <w:rFonts w:ascii="Arial" w:hAnsi="Arial" w:cs="Arial"/>
          <w:sz w:val="24"/>
          <w:szCs w:val="24"/>
        </w:rPr>
        <w:t xml:space="preserve"> or packed, including a</w:t>
      </w:r>
      <w:r w:rsidR="00A22FA5">
        <w:rPr>
          <w:rFonts w:ascii="Arial" w:hAnsi="Arial" w:cs="Arial"/>
          <w:sz w:val="24"/>
          <w:szCs w:val="24"/>
        </w:rPr>
        <w:t xml:space="preserve"> </w:t>
      </w:r>
      <w:r w:rsidR="00947211">
        <w:rPr>
          <w:rFonts w:ascii="Arial" w:hAnsi="Arial" w:cs="Arial"/>
          <w:sz w:val="24"/>
          <w:szCs w:val="24"/>
        </w:rPr>
        <w:t>power station and incinerator plant and may include a cafeteria and a caretaker</w:t>
      </w:r>
      <w:r>
        <w:rPr>
          <w:rFonts w:ascii="Arial" w:hAnsi="Arial" w:cs="Arial"/>
          <w:sz w:val="24"/>
          <w:szCs w:val="24"/>
        </w:rPr>
        <w:t>'</w:t>
      </w:r>
      <w:r w:rsidR="00947211">
        <w:rPr>
          <w:rFonts w:ascii="Arial" w:hAnsi="Arial" w:cs="Arial"/>
          <w:sz w:val="24"/>
          <w:szCs w:val="24"/>
        </w:rPr>
        <w:t>s flat and any other activities connected to or incidental to the activities mentioned, excluding noxious indu</w:t>
      </w:r>
      <w:r>
        <w:rPr>
          <w:rFonts w:ascii="Arial" w:hAnsi="Arial" w:cs="Arial"/>
          <w:sz w:val="24"/>
          <w:szCs w:val="24"/>
        </w:rPr>
        <w:t>s</w:t>
      </w:r>
      <w:r w:rsidR="00947211">
        <w:rPr>
          <w:rFonts w:ascii="Arial" w:hAnsi="Arial" w:cs="Arial"/>
          <w:sz w:val="24"/>
          <w:szCs w:val="24"/>
        </w:rPr>
        <w:t>tries, light industries</w:t>
      </w:r>
      <w:r>
        <w:rPr>
          <w:rFonts w:ascii="Arial" w:hAnsi="Arial" w:cs="Arial"/>
          <w:sz w:val="24"/>
          <w:szCs w:val="24"/>
        </w:rPr>
        <w:t>,</w:t>
      </w:r>
      <w:r w:rsidR="00947211">
        <w:rPr>
          <w:rFonts w:ascii="Arial" w:hAnsi="Arial" w:cs="Arial"/>
          <w:sz w:val="24"/>
          <w:szCs w:val="24"/>
        </w:rPr>
        <w:t xml:space="preserve"> and retail industries.</w:t>
      </w:r>
    </w:p>
    <w:p w14:paraId="1CC6B2FC" w14:textId="77777777" w:rsidR="00BB442E" w:rsidRPr="00BB442E" w:rsidRDefault="00BB442E" w:rsidP="00BB442E">
      <w:pPr>
        <w:pStyle w:val="ListParagraph"/>
        <w:tabs>
          <w:tab w:val="left" w:pos="4917"/>
        </w:tabs>
        <w:spacing w:before="120" w:after="120" w:line="360" w:lineRule="auto"/>
        <w:ind w:left="1440"/>
        <w:jc w:val="both"/>
        <w:rPr>
          <w:rFonts w:ascii="Arial" w:hAnsi="Arial" w:cs="Arial"/>
          <w:sz w:val="24"/>
          <w:szCs w:val="24"/>
        </w:rPr>
      </w:pPr>
    </w:p>
    <w:p w14:paraId="738820F1" w14:textId="4E03727F" w:rsidR="00BB442E" w:rsidRDefault="00646017"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w:t>
      </w:r>
      <w:r w:rsidR="00BB442E">
        <w:rPr>
          <w:rFonts w:ascii="Arial" w:hAnsi="Arial" w:cs="Arial"/>
          <w:sz w:val="24"/>
          <w:szCs w:val="24"/>
        </w:rPr>
        <w:t>Commercial use</w:t>
      </w:r>
      <w:r>
        <w:rPr>
          <w:rFonts w:ascii="Arial" w:hAnsi="Arial" w:cs="Arial"/>
          <w:sz w:val="24"/>
          <w:szCs w:val="24"/>
        </w:rPr>
        <w:t>'</w:t>
      </w:r>
      <w:r w:rsidR="00BB442E">
        <w:rPr>
          <w:rFonts w:ascii="Arial" w:hAnsi="Arial" w:cs="Arial"/>
          <w:sz w:val="24"/>
          <w:szCs w:val="24"/>
        </w:rPr>
        <w:t xml:space="preserve"> is, in turn</w:t>
      </w:r>
      <w:r>
        <w:rPr>
          <w:rFonts w:ascii="Arial" w:hAnsi="Arial" w:cs="Arial"/>
          <w:sz w:val="24"/>
          <w:szCs w:val="24"/>
        </w:rPr>
        <w:t>'</w:t>
      </w:r>
      <w:r w:rsidR="00BB442E">
        <w:rPr>
          <w:rFonts w:ascii="Arial" w:hAnsi="Arial" w:cs="Arial"/>
          <w:sz w:val="24"/>
          <w:szCs w:val="24"/>
        </w:rPr>
        <w:t xml:space="preserve"> described as:</w:t>
      </w:r>
    </w:p>
    <w:p w14:paraId="3F49A8E7" w14:textId="35801010" w:rsidR="00BB442E" w:rsidRDefault="00646017"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w:t>
      </w:r>
      <w:r w:rsidR="00BB442E">
        <w:rPr>
          <w:rFonts w:ascii="Arial" w:hAnsi="Arial" w:cs="Arial"/>
          <w:sz w:val="24"/>
          <w:szCs w:val="24"/>
        </w:rPr>
        <w:t>Cafeteria</w:t>
      </w:r>
    </w:p>
    <w:p w14:paraId="65E85CEC" w14:textId="1DA89BC1"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Commercial Use</w:t>
      </w:r>
    </w:p>
    <w:p w14:paraId="686C0E5B" w14:textId="27AA3799"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Funeral undertaker</w:t>
      </w:r>
    </w:p>
    <w:p w14:paraId="4823A772" w14:textId="2CCA53F7"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Parking Garage subject to Schedule 10</w:t>
      </w:r>
    </w:p>
    <w:p w14:paraId="6903F1C3" w14:textId="6EB17CCB"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Parking Site subject to Schedule 10</w:t>
      </w:r>
    </w:p>
    <w:p w14:paraId="2A0D65E4" w14:textId="4A6BD69D" w:rsidR="00BB442E" w:rsidRDefault="00BB442E" w:rsidP="00BB442E">
      <w:pPr>
        <w:pStyle w:val="ListParagraph"/>
        <w:tabs>
          <w:tab w:val="left" w:pos="4917"/>
        </w:tabs>
        <w:spacing w:before="120" w:after="120" w:line="240" w:lineRule="auto"/>
        <w:ind w:left="1008"/>
        <w:jc w:val="both"/>
        <w:rPr>
          <w:rFonts w:ascii="Arial" w:hAnsi="Arial" w:cs="Arial"/>
          <w:sz w:val="24"/>
          <w:szCs w:val="24"/>
        </w:rPr>
      </w:pPr>
      <w:r>
        <w:rPr>
          <w:rFonts w:ascii="Arial" w:hAnsi="Arial" w:cs="Arial"/>
          <w:sz w:val="24"/>
          <w:szCs w:val="24"/>
        </w:rPr>
        <w:t>Retail Industry</w:t>
      </w:r>
    </w:p>
    <w:p w14:paraId="26152BEA" w14:textId="283094C2" w:rsidR="00BB442E" w:rsidRDefault="00BB442E" w:rsidP="00A22FA5">
      <w:pPr>
        <w:pStyle w:val="ListParagraph"/>
        <w:tabs>
          <w:tab w:val="left" w:pos="4917"/>
        </w:tabs>
        <w:spacing w:after="120" w:line="360" w:lineRule="auto"/>
        <w:ind w:left="1008"/>
        <w:jc w:val="both"/>
        <w:rPr>
          <w:rFonts w:ascii="Arial" w:hAnsi="Arial" w:cs="Arial"/>
          <w:sz w:val="24"/>
          <w:szCs w:val="24"/>
        </w:rPr>
      </w:pPr>
      <w:r>
        <w:rPr>
          <w:rFonts w:ascii="Arial" w:hAnsi="Arial" w:cs="Arial"/>
          <w:sz w:val="24"/>
          <w:szCs w:val="24"/>
        </w:rPr>
        <w:t>Showroom</w:t>
      </w:r>
      <w:r w:rsidR="00646017">
        <w:rPr>
          <w:rFonts w:ascii="Arial" w:hAnsi="Arial" w:cs="Arial"/>
          <w:sz w:val="24"/>
          <w:szCs w:val="24"/>
        </w:rPr>
        <w:t>'</w:t>
      </w:r>
    </w:p>
    <w:p w14:paraId="7F0108D3" w14:textId="21E16249" w:rsidR="00BB442E" w:rsidRPr="00BB442E" w:rsidRDefault="00646017" w:rsidP="00947211">
      <w:pPr>
        <w:tabs>
          <w:tab w:val="left" w:pos="4917"/>
        </w:tabs>
        <w:spacing w:before="120" w:after="120" w:line="360" w:lineRule="auto"/>
        <w:ind w:left="720"/>
        <w:jc w:val="both"/>
        <w:rPr>
          <w:rFonts w:ascii="Arial" w:hAnsi="Arial" w:cs="Arial"/>
          <w:sz w:val="24"/>
          <w:szCs w:val="24"/>
        </w:rPr>
      </w:pPr>
      <w:r>
        <w:rPr>
          <w:rFonts w:ascii="Arial" w:hAnsi="Arial" w:cs="Arial"/>
          <w:sz w:val="24"/>
          <w:szCs w:val="24"/>
        </w:rPr>
        <w:t>'</w:t>
      </w:r>
      <w:r w:rsidR="00BB442E">
        <w:rPr>
          <w:rFonts w:ascii="Arial" w:hAnsi="Arial" w:cs="Arial"/>
          <w:sz w:val="24"/>
          <w:szCs w:val="24"/>
        </w:rPr>
        <w:t>Commercial use</w:t>
      </w:r>
      <w:r>
        <w:rPr>
          <w:rFonts w:ascii="Arial" w:hAnsi="Arial" w:cs="Arial"/>
          <w:sz w:val="24"/>
          <w:szCs w:val="24"/>
        </w:rPr>
        <w:t>'</w:t>
      </w:r>
      <w:r w:rsidR="00BB442E">
        <w:rPr>
          <w:rFonts w:ascii="Arial" w:hAnsi="Arial" w:cs="Arial"/>
          <w:sz w:val="24"/>
          <w:szCs w:val="24"/>
        </w:rPr>
        <w:t xml:space="preserve"> is defined to mean </w:t>
      </w:r>
      <w:r>
        <w:rPr>
          <w:rFonts w:ascii="Arial" w:hAnsi="Arial" w:cs="Arial"/>
          <w:sz w:val="24"/>
          <w:szCs w:val="24"/>
        </w:rPr>
        <w:t>'</w:t>
      </w:r>
      <w:r w:rsidR="00BB442E">
        <w:rPr>
          <w:rFonts w:ascii="Arial" w:hAnsi="Arial" w:cs="Arial"/>
          <w:sz w:val="24"/>
          <w:szCs w:val="24"/>
        </w:rPr>
        <w:t>land an</w:t>
      </w:r>
      <w:r>
        <w:rPr>
          <w:rFonts w:ascii="Arial" w:hAnsi="Arial" w:cs="Arial"/>
          <w:sz w:val="24"/>
          <w:szCs w:val="24"/>
        </w:rPr>
        <w:t>d</w:t>
      </w:r>
      <w:r w:rsidR="00BB442E">
        <w:rPr>
          <w:rFonts w:ascii="Arial" w:hAnsi="Arial" w:cs="Arial"/>
          <w:sz w:val="24"/>
          <w:szCs w:val="24"/>
        </w:rPr>
        <w:t xml:space="preserve"> buildings used for Distribution Centres, Wholesale Trade, Storage W</w:t>
      </w:r>
      <w:r w:rsidR="008D10E7">
        <w:rPr>
          <w:rFonts w:ascii="Arial" w:hAnsi="Arial" w:cs="Arial"/>
          <w:sz w:val="24"/>
          <w:szCs w:val="24"/>
        </w:rPr>
        <w:t>arehouses, T</w:t>
      </w:r>
      <w:r w:rsidR="00BB442E">
        <w:rPr>
          <w:rFonts w:ascii="Arial" w:hAnsi="Arial" w:cs="Arial"/>
          <w:sz w:val="24"/>
          <w:szCs w:val="24"/>
        </w:rPr>
        <w:t>elecommunication Centre, Transport depot, Laboratories and Computer Centre</w:t>
      </w:r>
      <w:r>
        <w:rPr>
          <w:rFonts w:ascii="Arial" w:hAnsi="Arial" w:cs="Arial"/>
          <w:sz w:val="24"/>
          <w:szCs w:val="24"/>
        </w:rPr>
        <w:t>'</w:t>
      </w:r>
      <w:r w:rsidR="00BB442E">
        <w:rPr>
          <w:rFonts w:ascii="Arial" w:hAnsi="Arial" w:cs="Arial"/>
          <w:sz w:val="24"/>
          <w:szCs w:val="24"/>
        </w:rPr>
        <w:t xml:space="preserve">s and may include Offices, light Industries, a Cafeteria, </w:t>
      </w:r>
      <w:r w:rsidR="00947211">
        <w:rPr>
          <w:rFonts w:ascii="Arial" w:hAnsi="Arial" w:cs="Arial"/>
          <w:sz w:val="24"/>
          <w:szCs w:val="24"/>
        </w:rPr>
        <w:t>and a Caretaker</w:t>
      </w:r>
      <w:r>
        <w:rPr>
          <w:rFonts w:ascii="Arial" w:hAnsi="Arial" w:cs="Arial"/>
          <w:sz w:val="24"/>
          <w:szCs w:val="24"/>
        </w:rPr>
        <w:t>'</w:t>
      </w:r>
      <w:r w:rsidR="00947211">
        <w:rPr>
          <w:rFonts w:ascii="Arial" w:hAnsi="Arial" w:cs="Arial"/>
          <w:sz w:val="24"/>
          <w:szCs w:val="24"/>
        </w:rPr>
        <w:t>s Flat, which are directly related and subservient to the main commercial use which is carried out on the land or in the building.</w:t>
      </w:r>
    </w:p>
    <w:p w14:paraId="69C882B5" w14:textId="77777777" w:rsidR="00BB442E" w:rsidRDefault="00BB442E" w:rsidP="00BB442E">
      <w:pPr>
        <w:pStyle w:val="ListParagraph"/>
        <w:tabs>
          <w:tab w:val="left" w:pos="4917"/>
        </w:tabs>
        <w:spacing w:before="120" w:after="120" w:line="360" w:lineRule="auto"/>
        <w:jc w:val="both"/>
        <w:rPr>
          <w:rFonts w:ascii="Arial" w:hAnsi="Arial" w:cs="Arial"/>
          <w:sz w:val="24"/>
          <w:szCs w:val="24"/>
        </w:rPr>
      </w:pPr>
    </w:p>
    <w:p w14:paraId="72BC9232" w14:textId="50D1CF18" w:rsidR="00646017" w:rsidRDefault="00BB442E" w:rsidP="00A2635B">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A2635B">
        <w:rPr>
          <w:rFonts w:ascii="Arial" w:hAnsi="Arial" w:cs="Arial"/>
          <w:sz w:val="24"/>
          <w:szCs w:val="24"/>
        </w:rPr>
        <w:t xml:space="preserve">Offices are </w:t>
      </w:r>
      <w:r w:rsidR="00646017">
        <w:rPr>
          <w:rFonts w:ascii="Arial" w:hAnsi="Arial" w:cs="Arial"/>
          <w:sz w:val="24"/>
          <w:szCs w:val="24"/>
        </w:rPr>
        <w:t xml:space="preserve">provided explicitly for under </w:t>
      </w:r>
      <w:r w:rsidR="008D10E7">
        <w:rPr>
          <w:rFonts w:ascii="Arial" w:hAnsi="Arial" w:cs="Arial"/>
          <w:sz w:val="24"/>
          <w:szCs w:val="24"/>
        </w:rPr>
        <w:t xml:space="preserve">‘use </w:t>
      </w:r>
      <w:r w:rsidR="00646017">
        <w:rPr>
          <w:rFonts w:ascii="Arial" w:hAnsi="Arial" w:cs="Arial"/>
          <w:sz w:val="24"/>
          <w:szCs w:val="24"/>
        </w:rPr>
        <w:t>zone</w:t>
      </w:r>
      <w:r w:rsidRPr="00A2635B">
        <w:rPr>
          <w:rFonts w:ascii="Arial" w:hAnsi="Arial" w:cs="Arial"/>
          <w:sz w:val="24"/>
          <w:szCs w:val="24"/>
        </w:rPr>
        <w:t xml:space="preserve"> 8. </w:t>
      </w:r>
      <w:r w:rsidR="00772420" w:rsidRPr="00A2635B">
        <w:rPr>
          <w:rFonts w:ascii="Arial" w:hAnsi="Arial" w:cs="Arial"/>
          <w:sz w:val="24"/>
          <w:szCs w:val="24"/>
        </w:rPr>
        <w:t>In terms of</w:t>
      </w:r>
      <w:r w:rsidR="00947211" w:rsidRPr="00A2635B">
        <w:rPr>
          <w:rFonts w:ascii="Arial" w:hAnsi="Arial" w:cs="Arial"/>
          <w:sz w:val="24"/>
          <w:szCs w:val="24"/>
        </w:rPr>
        <w:t xml:space="preserve"> </w:t>
      </w:r>
      <w:r w:rsidR="00646017">
        <w:rPr>
          <w:rFonts w:ascii="Arial" w:hAnsi="Arial" w:cs="Arial"/>
          <w:sz w:val="24"/>
          <w:szCs w:val="24"/>
        </w:rPr>
        <w:t>'</w:t>
      </w:r>
      <w:r w:rsidR="00947211" w:rsidRPr="00A2635B">
        <w:rPr>
          <w:rFonts w:ascii="Arial" w:hAnsi="Arial" w:cs="Arial"/>
          <w:sz w:val="24"/>
          <w:szCs w:val="24"/>
        </w:rPr>
        <w:t>use zone 11</w:t>
      </w:r>
      <w:r w:rsidR="00772420" w:rsidRPr="00A2635B">
        <w:rPr>
          <w:rFonts w:ascii="Arial" w:hAnsi="Arial" w:cs="Arial"/>
          <w:sz w:val="24"/>
          <w:szCs w:val="24"/>
        </w:rPr>
        <w:t xml:space="preserve">: </w:t>
      </w:r>
      <w:r w:rsidR="00947211" w:rsidRPr="00A2635B">
        <w:rPr>
          <w:rFonts w:ascii="Arial" w:hAnsi="Arial" w:cs="Arial"/>
          <w:sz w:val="24"/>
          <w:szCs w:val="24"/>
        </w:rPr>
        <w:t>industrial 2</w:t>
      </w:r>
      <w:r w:rsidR="00646017">
        <w:rPr>
          <w:rFonts w:ascii="Arial" w:hAnsi="Arial" w:cs="Arial"/>
          <w:sz w:val="24"/>
          <w:szCs w:val="24"/>
        </w:rPr>
        <w:t>'</w:t>
      </w:r>
      <w:r w:rsidR="00947211" w:rsidRPr="00A2635B">
        <w:rPr>
          <w:rFonts w:ascii="Arial" w:hAnsi="Arial" w:cs="Arial"/>
          <w:sz w:val="24"/>
          <w:szCs w:val="24"/>
        </w:rPr>
        <w:t xml:space="preserve">, offices are only allowed if </w:t>
      </w:r>
      <w:r w:rsidR="00646017">
        <w:rPr>
          <w:rFonts w:ascii="Arial" w:hAnsi="Arial" w:cs="Arial"/>
          <w:sz w:val="24"/>
          <w:szCs w:val="24"/>
        </w:rPr>
        <w:t>they are directly related and subservient to the main use</w:t>
      </w:r>
      <w:r w:rsidR="00947211" w:rsidRPr="00A2635B">
        <w:rPr>
          <w:rFonts w:ascii="Arial" w:hAnsi="Arial" w:cs="Arial"/>
          <w:sz w:val="24"/>
          <w:szCs w:val="24"/>
        </w:rPr>
        <w:t xml:space="preserve"> carried out on the land or in the building. </w:t>
      </w:r>
      <w:r w:rsidR="00A22FA5">
        <w:rPr>
          <w:rFonts w:ascii="Arial" w:hAnsi="Arial" w:cs="Arial"/>
          <w:sz w:val="24"/>
          <w:szCs w:val="24"/>
        </w:rPr>
        <w:t xml:space="preserve">Although </w:t>
      </w:r>
      <w:r w:rsidR="00646017">
        <w:rPr>
          <w:rFonts w:ascii="Arial" w:hAnsi="Arial" w:cs="Arial"/>
          <w:sz w:val="24"/>
          <w:szCs w:val="24"/>
        </w:rPr>
        <w:t>'</w:t>
      </w:r>
      <w:r w:rsidR="00A22FA5">
        <w:rPr>
          <w:rFonts w:ascii="Arial" w:hAnsi="Arial" w:cs="Arial"/>
          <w:sz w:val="24"/>
          <w:szCs w:val="24"/>
        </w:rPr>
        <w:t>commercial use</w:t>
      </w:r>
      <w:r w:rsidR="00646017">
        <w:rPr>
          <w:rFonts w:ascii="Arial" w:hAnsi="Arial" w:cs="Arial"/>
          <w:sz w:val="24"/>
          <w:szCs w:val="24"/>
        </w:rPr>
        <w:t>'</w:t>
      </w:r>
      <w:r w:rsidR="00A22FA5">
        <w:rPr>
          <w:rFonts w:ascii="Arial" w:hAnsi="Arial" w:cs="Arial"/>
          <w:sz w:val="24"/>
          <w:szCs w:val="24"/>
        </w:rPr>
        <w:t xml:space="preserve"> is included in the list </w:t>
      </w:r>
      <w:r w:rsidR="00646017">
        <w:rPr>
          <w:rFonts w:ascii="Arial" w:hAnsi="Arial" w:cs="Arial"/>
          <w:sz w:val="24"/>
          <w:szCs w:val="24"/>
        </w:rPr>
        <w:t xml:space="preserve">of </w:t>
      </w:r>
      <w:r w:rsidR="00A22FA5">
        <w:rPr>
          <w:rFonts w:ascii="Arial" w:hAnsi="Arial" w:cs="Arial"/>
          <w:sz w:val="24"/>
          <w:szCs w:val="24"/>
        </w:rPr>
        <w:t>permitted uses</w:t>
      </w:r>
      <w:r w:rsidR="00646017">
        <w:rPr>
          <w:rFonts w:ascii="Arial" w:hAnsi="Arial" w:cs="Arial"/>
          <w:sz w:val="24"/>
          <w:szCs w:val="24"/>
        </w:rPr>
        <w:t xml:space="preserve"> under 'use zone 11'</w:t>
      </w:r>
      <w:r w:rsidR="00A22FA5">
        <w:rPr>
          <w:rFonts w:ascii="Arial" w:hAnsi="Arial" w:cs="Arial"/>
          <w:sz w:val="24"/>
          <w:szCs w:val="24"/>
        </w:rPr>
        <w:t xml:space="preserve">, </w:t>
      </w:r>
      <w:r w:rsidR="00772420" w:rsidRPr="00A2635B">
        <w:rPr>
          <w:rFonts w:ascii="Arial" w:hAnsi="Arial" w:cs="Arial"/>
          <w:sz w:val="24"/>
          <w:szCs w:val="24"/>
        </w:rPr>
        <w:t>Omarostax presented the Oak Avenue property for its exclusive use as offices, unrelated, and not subservient to any main use pro</w:t>
      </w:r>
      <w:r w:rsidR="00646017">
        <w:rPr>
          <w:rFonts w:ascii="Arial" w:hAnsi="Arial" w:cs="Arial"/>
          <w:sz w:val="24"/>
          <w:szCs w:val="24"/>
        </w:rPr>
        <w:t>vided for under commercial use.</w:t>
      </w:r>
    </w:p>
    <w:p w14:paraId="20EB3297" w14:textId="77777777" w:rsidR="00646017" w:rsidRDefault="00646017" w:rsidP="00646017">
      <w:pPr>
        <w:pStyle w:val="ListParagraph"/>
        <w:tabs>
          <w:tab w:val="left" w:pos="4917"/>
        </w:tabs>
        <w:spacing w:before="120" w:after="120" w:line="360" w:lineRule="auto"/>
        <w:jc w:val="both"/>
        <w:rPr>
          <w:rFonts w:ascii="Arial" w:hAnsi="Arial" w:cs="Arial"/>
          <w:sz w:val="24"/>
          <w:szCs w:val="24"/>
        </w:rPr>
      </w:pPr>
    </w:p>
    <w:p w14:paraId="04E19E6E" w14:textId="1730240F" w:rsidR="00BB442E" w:rsidRPr="00A2635B" w:rsidRDefault="008D10E7" w:rsidP="00A2635B">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w:t>
      </w:r>
      <w:r w:rsidR="00947211" w:rsidRPr="00A2635B">
        <w:rPr>
          <w:rFonts w:ascii="Arial" w:hAnsi="Arial" w:cs="Arial"/>
          <w:sz w:val="24"/>
          <w:szCs w:val="24"/>
        </w:rPr>
        <w:t>Scheme</w:t>
      </w:r>
      <w:r w:rsidR="00772420" w:rsidRPr="00A2635B">
        <w:rPr>
          <w:rFonts w:ascii="Arial" w:hAnsi="Arial" w:cs="Arial"/>
          <w:sz w:val="24"/>
          <w:szCs w:val="24"/>
        </w:rPr>
        <w:t xml:space="preserve"> also provides for use, other than the use described in Table B: Use of Buildings and Land, with the </w:t>
      </w:r>
      <w:r w:rsidR="00646017">
        <w:rPr>
          <w:rFonts w:ascii="Arial" w:hAnsi="Arial" w:cs="Arial"/>
          <w:sz w:val="24"/>
          <w:szCs w:val="24"/>
        </w:rPr>
        <w:t>municipality's consent</w:t>
      </w:r>
      <w:r w:rsidR="00772420" w:rsidRPr="00A2635B">
        <w:rPr>
          <w:rFonts w:ascii="Arial" w:hAnsi="Arial" w:cs="Arial"/>
          <w:sz w:val="24"/>
          <w:szCs w:val="24"/>
        </w:rPr>
        <w:t xml:space="preserve">. Omarostax did not provide proof that the necessary consent was obtained to use the Oak Avenue property mainly as </w:t>
      </w:r>
      <w:r w:rsidR="00772420" w:rsidRPr="00A2635B">
        <w:rPr>
          <w:rFonts w:ascii="Arial" w:hAnsi="Arial" w:cs="Arial"/>
          <w:sz w:val="24"/>
          <w:szCs w:val="24"/>
        </w:rPr>
        <w:lastRenderedPageBreak/>
        <w:t xml:space="preserve">offices, as provided under </w:t>
      </w:r>
      <w:r w:rsidR="00646017">
        <w:rPr>
          <w:rFonts w:ascii="Arial" w:hAnsi="Arial" w:cs="Arial"/>
          <w:sz w:val="24"/>
          <w:szCs w:val="24"/>
        </w:rPr>
        <w:t>'use zone 8'</w:t>
      </w:r>
      <w:r w:rsidR="00772420" w:rsidRPr="00A2635B">
        <w:rPr>
          <w:rFonts w:ascii="Arial" w:hAnsi="Arial" w:cs="Arial"/>
          <w:sz w:val="24"/>
          <w:szCs w:val="24"/>
        </w:rPr>
        <w:t>. The consent provided relating to the extension for the relaxation of the applicable heigh</w:t>
      </w:r>
      <w:r w:rsidR="00646017">
        <w:rPr>
          <w:rFonts w:ascii="Arial" w:hAnsi="Arial" w:cs="Arial"/>
          <w:sz w:val="24"/>
          <w:szCs w:val="24"/>
        </w:rPr>
        <w:t>t</w:t>
      </w:r>
      <w:r w:rsidR="00772420" w:rsidRPr="00A2635B">
        <w:rPr>
          <w:rFonts w:ascii="Arial" w:hAnsi="Arial" w:cs="Arial"/>
          <w:sz w:val="24"/>
          <w:szCs w:val="24"/>
        </w:rPr>
        <w:t xml:space="preserve"> restriction does not equate to consent for </w:t>
      </w:r>
      <w:r w:rsidR="00646017">
        <w:rPr>
          <w:rFonts w:ascii="Arial" w:hAnsi="Arial" w:cs="Arial"/>
          <w:sz w:val="24"/>
          <w:szCs w:val="24"/>
        </w:rPr>
        <w:t>using</w:t>
      </w:r>
      <w:r w:rsidR="00772420" w:rsidRPr="00A2635B">
        <w:rPr>
          <w:rFonts w:ascii="Arial" w:hAnsi="Arial" w:cs="Arial"/>
          <w:sz w:val="24"/>
          <w:szCs w:val="24"/>
        </w:rPr>
        <w:t xml:space="preserve"> the land exclusively as offices.</w:t>
      </w:r>
      <w:r>
        <w:rPr>
          <w:rFonts w:ascii="Arial" w:hAnsi="Arial" w:cs="Arial"/>
          <w:sz w:val="24"/>
          <w:szCs w:val="24"/>
        </w:rPr>
        <w:t xml:space="preserve"> The </w:t>
      </w:r>
      <w:r w:rsidR="00646017">
        <w:rPr>
          <w:rFonts w:ascii="Arial" w:hAnsi="Arial" w:cs="Arial"/>
          <w:sz w:val="24"/>
          <w:szCs w:val="24"/>
        </w:rPr>
        <w:t>Scheme</w:t>
      </w:r>
      <w:r w:rsidR="008A0EDF" w:rsidRPr="00A2635B">
        <w:rPr>
          <w:rFonts w:ascii="Arial" w:hAnsi="Arial" w:cs="Arial"/>
          <w:sz w:val="24"/>
          <w:szCs w:val="24"/>
        </w:rPr>
        <w:t>, amongst other</w:t>
      </w:r>
      <w:r w:rsidR="00646017">
        <w:rPr>
          <w:rFonts w:ascii="Arial" w:hAnsi="Arial" w:cs="Arial"/>
          <w:sz w:val="24"/>
          <w:szCs w:val="24"/>
        </w:rPr>
        <w:t>s</w:t>
      </w:r>
      <w:r w:rsidR="008A0EDF" w:rsidRPr="00A2635B">
        <w:rPr>
          <w:rFonts w:ascii="Arial" w:hAnsi="Arial" w:cs="Arial"/>
          <w:sz w:val="24"/>
          <w:szCs w:val="24"/>
        </w:rPr>
        <w:t>,</w:t>
      </w:r>
      <w:r w:rsidR="00A2635B" w:rsidRPr="00A2635B">
        <w:rPr>
          <w:rFonts w:ascii="Arial" w:hAnsi="Arial" w:cs="Arial"/>
          <w:sz w:val="24"/>
          <w:szCs w:val="24"/>
        </w:rPr>
        <w:t xml:space="preserve"> stipulates in clause 26 that buildings must not exceed the prescribed maximum height of buildings but provides t</w:t>
      </w:r>
      <w:r w:rsidR="008A0EDF" w:rsidRPr="00A2635B">
        <w:rPr>
          <w:rFonts w:ascii="Arial" w:hAnsi="Arial" w:cs="Arial"/>
          <w:sz w:val="24"/>
          <w:szCs w:val="24"/>
        </w:rPr>
        <w:t xml:space="preserve">hat in an </w:t>
      </w:r>
      <w:r w:rsidR="00646017">
        <w:rPr>
          <w:rFonts w:ascii="Arial" w:hAnsi="Arial" w:cs="Arial"/>
          <w:sz w:val="24"/>
          <w:szCs w:val="24"/>
        </w:rPr>
        <w:t>'</w:t>
      </w:r>
      <w:r w:rsidR="008A0EDF" w:rsidRPr="00A2635B">
        <w:rPr>
          <w:rFonts w:ascii="Arial" w:hAnsi="Arial" w:cs="Arial"/>
          <w:sz w:val="24"/>
          <w:szCs w:val="24"/>
        </w:rPr>
        <w:t>industrial 2</w:t>
      </w:r>
      <w:r w:rsidR="00646017">
        <w:rPr>
          <w:rFonts w:ascii="Arial" w:hAnsi="Arial" w:cs="Arial"/>
          <w:sz w:val="24"/>
          <w:szCs w:val="24"/>
        </w:rPr>
        <w:t>'</w:t>
      </w:r>
      <w:r w:rsidR="008A0EDF" w:rsidRPr="00A2635B">
        <w:rPr>
          <w:rFonts w:ascii="Arial" w:hAnsi="Arial" w:cs="Arial"/>
          <w:sz w:val="24"/>
          <w:szCs w:val="24"/>
        </w:rPr>
        <w:t xml:space="preserve"> zone</w:t>
      </w:r>
      <w:r w:rsidR="00646017">
        <w:rPr>
          <w:rFonts w:ascii="Arial" w:hAnsi="Arial" w:cs="Arial"/>
          <w:sz w:val="24"/>
          <w:szCs w:val="24"/>
        </w:rPr>
        <w:t>,</w:t>
      </w:r>
      <w:r w:rsidR="008A0EDF" w:rsidRPr="00A2635B">
        <w:rPr>
          <w:rFonts w:ascii="Arial" w:hAnsi="Arial" w:cs="Arial"/>
          <w:sz w:val="24"/>
          <w:szCs w:val="24"/>
        </w:rPr>
        <w:t xml:space="preserve"> the municipality may grant permission to an increased height i</w:t>
      </w:r>
      <w:r w:rsidR="00A2635B" w:rsidRPr="00A2635B">
        <w:rPr>
          <w:rFonts w:ascii="Arial" w:hAnsi="Arial" w:cs="Arial"/>
          <w:sz w:val="24"/>
          <w:szCs w:val="24"/>
        </w:rPr>
        <w:t>n respect of buildings. The relaxation of the height restriction is not simult</w:t>
      </w:r>
      <w:r w:rsidR="00646017">
        <w:rPr>
          <w:rFonts w:ascii="Arial" w:hAnsi="Arial" w:cs="Arial"/>
          <w:sz w:val="24"/>
          <w:szCs w:val="24"/>
        </w:rPr>
        <w:t>ane</w:t>
      </w:r>
      <w:r w:rsidR="00A2635B" w:rsidRPr="00A2635B">
        <w:rPr>
          <w:rFonts w:ascii="Arial" w:hAnsi="Arial" w:cs="Arial"/>
          <w:sz w:val="24"/>
          <w:szCs w:val="24"/>
        </w:rPr>
        <w:t>ously a consent to use the land for other than prescribed uses.</w:t>
      </w:r>
    </w:p>
    <w:p w14:paraId="66C99344" w14:textId="77777777" w:rsidR="00BB442E" w:rsidRPr="00BB442E" w:rsidRDefault="00BB442E" w:rsidP="00BB442E">
      <w:pPr>
        <w:pStyle w:val="ListParagraph"/>
        <w:rPr>
          <w:rFonts w:ascii="Arial" w:hAnsi="Arial" w:cs="Arial"/>
          <w:sz w:val="24"/>
          <w:szCs w:val="24"/>
        </w:rPr>
      </w:pPr>
    </w:p>
    <w:p w14:paraId="5F432743" w14:textId="569DDD86" w:rsidR="00BB442E" w:rsidRDefault="008A0ED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is trite that when a landowner wants to use land for a purpose not permitted in the zoning scheme or regulations, he or she must apply to the municipality for rezoning or a use departure.</w:t>
      </w:r>
      <w:r>
        <w:rPr>
          <w:rStyle w:val="FootnoteReference"/>
          <w:rFonts w:ascii="Arial" w:hAnsi="Arial" w:cs="Arial"/>
          <w:sz w:val="24"/>
          <w:szCs w:val="24"/>
        </w:rPr>
        <w:footnoteReference w:id="24"/>
      </w:r>
      <w:r w:rsidR="00A2635B">
        <w:rPr>
          <w:rFonts w:ascii="Arial" w:hAnsi="Arial" w:cs="Arial"/>
          <w:sz w:val="24"/>
          <w:szCs w:val="24"/>
        </w:rPr>
        <w:t xml:space="preserve"> </w:t>
      </w:r>
      <w:r w:rsidR="004954D4">
        <w:rPr>
          <w:rFonts w:ascii="Arial" w:hAnsi="Arial" w:cs="Arial"/>
          <w:sz w:val="24"/>
          <w:szCs w:val="24"/>
        </w:rPr>
        <w:t>The mandatory nature of land uses according to how property is zoned for respective purposes within the area of jurisdiction of the City of Tshwane is evident from</w:t>
      </w:r>
      <w:r w:rsidR="00A2635B">
        <w:rPr>
          <w:rFonts w:ascii="Arial" w:hAnsi="Arial" w:cs="Arial"/>
          <w:sz w:val="24"/>
          <w:szCs w:val="24"/>
        </w:rPr>
        <w:t xml:space="preserve"> clause 14(4) of the </w:t>
      </w:r>
      <w:r w:rsidR="004954D4">
        <w:rPr>
          <w:rFonts w:ascii="Arial" w:hAnsi="Arial" w:cs="Arial"/>
          <w:sz w:val="24"/>
          <w:szCs w:val="24"/>
        </w:rPr>
        <w:t>Scheme</w:t>
      </w:r>
      <w:r w:rsidR="00646017">
        <w:rPr>
          <w:rFonts w:ascii="Arial" w:hAnsi="Arial" w:cs="Arial"/>
          <w:sz w:val="24"/>
          <w:szCs w:val="24"/>
        </w:rPr>
        <w:t>,</w:t>
      </w:r>
      <w:r w:rsidR="004954D4">
        <w:rPr>
          <w:rFonts w:ascii="Arial" w:hAnsi="Arial" w:cs="Arial"/>
          <w:sz w:val="24"/>
          <w:szCs w:val="24"/>
        </w:rPr>
        <w:t xml:space="preserve"> where it is stipulated that</w:t>
      </w:r>
      <w:r w:rsidR="00A2635B">
        <w:rPr>
          <w:rFonts w:ascii="Arial" w:hAnsi="Arial" w:cs="Arial"/>
          <w:sz w:val="24"/>
          <w:szCs w:val="24"/>
        </w:rPr>
        <w:t>:</w:t>
      </w:r>
    </w:p>
    <w:p w14:paraId="50533E28" w14:textId="77777777" w:rsidR="00A2635B" w:rsidRPr="00A2635B" w:rsidRDefault="00A2635B" w:rsidP="00A2635B">
      <w:pPr>
        <w:pStyle w:val="ListParagraph"/>
        <w:rPr>
          <w:rFonts w:ascii="Arial" w:hAnsi="Arial" w:cs="Arial"/>
          <w:sz w:val="24"/>
          <w:szCs w:val="24"/>
        </w:rPr>
      </w:pPr>
    </w:p>
    <w:p w14:paraId="523EAD66" w14:textId="22DDE124" w:rsidR="00A2635B" w:rsidRDefault="00646017" w:rsidP="00A2635B">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2635B">
        <w:rPr>
          <w:rFonts w:ascii="Arial" w:hAnsi="Arial" w:cs="Arial"/>
          <w:sz w:val="24"/>
          <w:szCs w:val="24"/>
        </w:rPr>
        <w:t>No person shall use or cause or allow to be used, any land or building or part thereof for a purpose other than that for which it was approved or has the rights in terms of Clause 14, unless such building has been altered for any new use and any necessary Consent or Permission of the Municipality has been obtained.</w:t>
      </w:r>
      <w:r>
        <w:rPr>
          <w:rFonts w:ascii="Arial" w:hAnsi="Arial" w:cs="Arial"/>
          <w:sz w:val="24"/>
          <w:szCs w:val="24"/>
        </w:rPr>
        <w:t>'</w:t>
      </w:r>
    </w:p>
    <w:p w14:paraId="58463810" w14:textId="77777777" w:rsidR="00BB442E" w:rsidRPr="00BB442E" w:rsidRDefault="00BB442E" w:rsidP="00BB442E">
      <w:pPr>
        <w:pStyle w:val="ListParagraph"/>
        <w:rPr>
          <w:rFonts w:ascii="Arial" w:hAnsi="Arial" w:cs="Arial"/>
          <w:sz w:val="24"/>
          <w:szCs w:val="24"/>
        </w:rPr>
      </w:pPr>
    </w:p>
    <w:p w14:paraId="58FDC5F7" w14:textId="1286458D" w:rsidR="00BB442E" w:rsidRDefault="00A2635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Omarostax</w:t>
      </w:r>
      <w:r w:rsidR="00646017">
        <w:rPr>
          <w:rFonts w:ascii="Arial" w:hAnsi="Arial" w:cs="Arial"/>
          <w:sz w:val="24"/>
          <w:szCs w:val="24"/>
        </w:rPr>
        <w:t>'</w:t>
      </w:r>
      <w:r>
        <w:rPr>
          <w:rFonts w:ascii="Arial" w:hAnsi="Arial" w:cs="Arial"/>
          <w:sz w:val="24"/>
          <w:szCs w:val="24"/>
        </w:rPr>
        <w:t>s tender contained the zoning certificate indicating</w:t>
      </w:r>
      <w:r w:rsidR="00646017">
        <w:rPr>
          <w:rFonts w:ascii="Arial" w:hAnsi="Arial" w:cs="Arial"/>
          <w:sz w:val="24"/>
          <w:szCs w:val="24"/>
        </w:rPr>
        <w:t xml:space="preserve"> the property's zoning as '</w:t>
      </w:r>
      <w:r>
        <w:rPr>
          <w:rFonts w:ascii="Arial" w:hAnsi="Arial" w:cs="Arial"/>
          <w:sz w:val="24"/>
          <w:szCs w:val="24"/>
        </w:rPr>
        <w:t xml:space="preserve">use zone </w:t>
      </w:r>
      <w:r w:rsidR="00B04A27">
        <w:rPr>
          <w:rFonts w:ascii="Arial" w:hAnsi="Arial" w:cs="Arial"/>
          <w:sz w:val="24"/>
          <w:szCs w:val="24"/>
        </w:rPr>
        <w:t>11: industrial</w:t>
      </w:r>
      <w:r w:rsidR="00145F81">
        <w:rPr>
          <w:rFonts w:ascii="Arial" w:hAnsi="Arial" w:cs="Arial"/>
          <w:sz w:val="24"/>
          <w:szCs w:val="24"/>
        </w:rPr>
        <w:t xml:space="preserve"> 2</w:t>
      </w:r>
      <w:r w:rsidR="00646017">
        <w:rPr>
          <w:rFonts w:ascii="Arial" w:hAnsi="Arial" w:cs="Arial"/>
          <w:sz w:val="24"/>
          <w:szCs w:val="24"/>
        </w:rPr>
        <w:t>'</w:t>
      </w:r>
      <w:r w:rsidR="00145F81">
        <w:rPr>
          <w:rFonts w:ascii="Arial" w:hAnsi="Arial" w:cs="Arial"/>
          <w:sz w:val="24"/>
          <w:szCs w:val="24"/>
        </w:rPr>
        <w:t>. It did not provide the BEC with</w:t>
      </w:r>
      <w:r>
        <w:rPr>
          <w:rFonts w:ascii="Arial" w:hAnsi="Arial" w:cs="Arial"/>
          <w:sz w:val="24"/>
          <w:szCs w:val="24"/>
        </w:rPr>
        <w:t xml:space="preserve"> any </w:t>
      </w:r>
      <w:r w:rsidR="00646017">
        <w:rPr>
          <w:rFonts w:ascii="Arial" w:hAnsi="Arial" w:cs="Arial"/>
          <w:sz w:val="24"/>
          <w:szCs w:val="24"/>
        </w:rPr>
        <w:t>consent that would allow the use of</w:t>
      </w:r>
      <w:r>
        <w:rPr>
          <w:rFonts w:ascii="Arial" w:hAnsi="Arial" w:cs="Arial"/>
          <w:sz w:val="24"/>
          <w:szCs w:val="24"/>
        </w:rPr>
        <w:t xml:space="preserve"> the property for other than</w:t>
      </w:r>
      <w:r w:rsidR="00646017">
        <w:rPr>
          <w:rFonts w:ascii="Arial" w:hAnsi="Arial" w:cs="Arial"/>
          <w:sz w:val="24"/>
          <w:szCs w:val="24"/>
        </w:rPr>
        <w:t xml:space="preserve"> the</w:t>
      </w:r>
      <w:r>
        <w:rPr>
          <w:rFonts w:ascii="Arial" w:hAnsi="Arial" w:cs="Arial"/>
          <w:sz w:val="24"/>
          <w:szCs w:val="24"/>
        </w:rPr>
        <w:t xml:space="preserve"> prescribed uses. </w:t>
      </w:r>
      <w:r w:rsidR="00145F81">
        <w:rPr>
          <w:rFonts w:ascii="Arial" w:hAnsi="Arial" w:cs="Arial"/>
          <w:sz w:val="24"/>
          <w:szCs w:val="24"/>
        </w:rPr>
        <w:t xml:space="preserve">Omarostax referred in its answering affidavit to </w:t>
      </w:r>
      <w:r w:rsidR="00646017">
        <w:rPr>
          <w:rFonts w:ascii="Arial" w:hAnsi="Arial" w:cs="Arial"/>
          <w:sz w:val="24"/>
          <w:szCs w:val="24"/>
        </w:rPr>
        <w:t>'</w:t>
      </w:r>
      <w:r w:rsidR="00145F81">
        <w:rPr>
          <w:rFonts w:ascii="Arial" w:hAnsi="Arial" w:cs="Arial"/>
          <w:sz w:val="24"/>
          <w:szCs w:val="24"/>
        </w:rPr>
        <w:t>Amendment Scheme 302</w:t>
      </w:r>
      <w:r w:rsidR="00646017">
        <w:rPr>
          <w:rFonts w:ascii="Arial" w:hAnsi="Arial" w:cs="Arial"/>
          <w:sz w:val="24"/>
          <w:szCs w:val="24"/>
        </w:rPr>
        <w:t>'</w:t>
      </w:r>
      <w:r w:rsidR="00145F81">
        <w:rPr>
          <w:rFonts w:ascii="Arial" w:hAnsi="Arial" w:cs="Arial"/>
          <w:sz w:val="24"/>
          <w:szCs w:val="24"/>
        </w:rPr>
        <w:t xml:space="preserve"> under the erstwhile Verwoerdburg Town Planning Scheme, 1992, and the provision of the Amendment Scheme that was attached to Omarostax</w:t>
      </w:r>
      <w:r w:rsidR="00646017">
        <w:rPr>
          <w:rFonts w:ascii="Arial" w:hAnsi="Arial" w:cs="Arial"/>
          <w:sz w:val="24"/>
          <w:szCs w:val="24"/>
        </w:rPr>
        <w:t>'</w:t>
      </w:r>
      <w:r w:rsidR="00145F81">
        <w:rPr>
          <w:rFonts w:ascii="Arial" w:hAnsi="Arial" w:cs="Arial"/>
          <w:sz w:val="24"/>
          <w:szCs w:val="24"/>
        </w:rPr>
        <w:t xml:space="preserve">s tender application. The zoning certificate, however, was issued in terms of the Tshwane Town-Planning Scheme, 2008 (revised 2014). In any event, the uses permitted under Amendment scheme 302 for land zoned as </w:t>
      </w:r>
      <w:r w:rsidR="00646017">
        <w:rPr>
          <w:rFonts w:ascii="Arial" w:hAnsi="Arial" w:cs="Arial"/>
          <w:sz w:val="24"/>
          <w:szCs w:val="24"/>
        </w:rPr>
        <w:t>'</w:t>
      </w:r>
      <w:r w:rsidR="00562ED9">
        <w:rPr>
          <w:rFonts w:ascii="Arial" w:hAnsi="Arial" w:cs="Arial"/>
          <w:sz w:val="24"/>
          <w:szCs w:val="24"/>
        </w:rPr>
        <w:t>industrial</w:t>
      </w:r>
      <w:r w:rsidR="00145F81">
        <w:rPr>
          <w:rFonts w:ascii="Arial" w:hAnsi="Arial" w:cs="Arial"/>
          <w:sz w:val="24"/>
          <w:szCs w:val="24"/>
        </w:rPr>
        <w:t xml:space="preserve"> 2</w:t>
      </w:r>
      <w:r w:rsidR="00646017">
        <w:rPr>
          <w:rFonts w:ascii="Arial" w:hAnsi="Arial" w:cs="Arial"/>
          <w:sz w:val="24"/>
          <w:szCs w:val="24"/>
        </w:rPr>
        <w:t>'</w:t>
      </w:r>
      <w:r w:rsidR="00145F81">
        <w:rPr>
          <w:rFonts w:ascii="Arial" w:hAnsi="Arial" w:cs="Arial"/>
          <w:sz w:val="24"/>
          <w:szCs w:val="24"/>
        </w:rPr>
        <w:t xml:space="preserve">, do not </w:t>
      </w:r>
      <w:r w:rsidR="00562ED9">
        <w:rPr>
          <w:rFonts w:ascii="Arial" w:hAnsi="Arial" w:cs="Arial"/>
          <w:sz w:val="24"/>
          <w:szCs w:val="24"/>
        </w:rPr>
        <w:t xml:space="preserve">include offices unless related to the main use, or otherwise approved by the chief town planner. Omarostax avers in the answering affidavit that </w:t>
      </w:r>
      <w:r w:rsidR="00646017">
        <w:rPr>
          <w:rFonts w:ascii="Arial" w:hAnsi="Arial" w:cs="Arial"/>
          <w:sz w:val="24"/>
          <w:szCs w:val="24"/>
        </w:rPr>
        <w:t>'</w:t>
      </w:r>
      <w:r w:rsidR="00562ED9">
        <w:rPr>
          <w:rFonts w:ascii="Arial" w:hAnsi="Arial" w:cs="Arial"/>
          <w:sz w:val="24"/>
          <w:szCs w:val="24"/>
        </w:rPr>
        <w:t xml:space="preserve">[s]uch approval must without any doubt have been granted as the </w:t>
      </w:r>
      <w:r w:rsidR="00562ED9">
        <w:rPr>
          <w:rFonts w:ascii="Arial" w:hAnsi="Arial" w:cs="Arial"/>
          <w:sz w:val="24"/>
          <w:szCs w:val="24"/>
        </w:rPr>
        <w:lastRenderedPageBreak/>
        <w:t>approved SDP [Site Development Plan], which was approved in 2001, showing new offices for Siemens SA. … This SDP would never have been approved without the consent/approval of the chief town</w:t>
      </w:r>
      <w:r w:rsidR="00646017">
        <w:rPr>
          <w:rFonts w:ascii="Arial" w:hAnsi="Arial" w:cs="Arial"/>
          <w:sz w:val="24"/>
          <w:szCs w:val="24"/>
        </w:rPr>
        <w:t xml:space="preserve"> </w:t>
      </w:r>
      <w:r w:rsidR="00562ED9">
        <w:rPr>
          <w:rFonts w:ascii="Arial" w:hAnsi="Arial" w:cs="Arial"/>
          <w:sz w:val="24"/>
          <w:szCs w:val="24"/>
        </w:rPr>
        <w:t>planner.</w:t>
      </w:r>
      <w:r w:rsidR="00646017">
        <w:rPr>
          <w:rFonts w:ascii="Arial" w:hAnsi="Arial" w:cs="Arial"/>
          <w:sz w:val="24"/>
          <w:szCs w:val="24"/>
        </w:rPr>
        <w:t>'</w:t>
      </w:r>
      <w:r w:rsidR="00145F81">
        <w:rPr>
          <w:rFonts w:ascii="Arial" w:hAnsi="Arial" w:cs="Arial"/>
          <w:sz w:val="24"/>
          <w:szCs w:val="24"/>
        </w:rPr>
        <w:t xml:space="preserve"> </w:t>
      </w:r>
    </w:p>
    <w:p w14:paraId="60D88EB7" w14:textId="7B279C32" w:rsidR="00562ED9" w:rsidRDefault="00562ED9" w:rsidP="00562ED9">
      <w:pPr>
        <w:pStyle w:val="ListParagraph"/>
        <w:tabs>
          <w:tab w:val="left" w:pos="4917"/>
        </w:tabs>
        <w:spacing w:before="120" w:after="120" w:line="360" w:lineRule="auto"/>
        <w:jc w:val="both"/>
        <w:rPr>
          <w:rFonts w:ascii="Arial" w:hAnsi="Arial" w:cs="Arial"/>
          <w:sz w:val="24"/>
          <w:szCs w:val="24"/>
        </w:rPr>
      </w:pPr>
    </w:p>
    <w:p w14:paraId="5F330E3E" w14:textId="14F587BD" w:rsidR="00480A58" w:rsidRPr="006E3159" w:rsidRDefault="006E3159" w:rsidP="006E3159">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This court cannot merely presume</w:t>
      </w:r>
      <w:r w:rsidR="00562ED9" w:rsidRPr="006E3159">
        <w:rPr>
          <w:rFonts w:ascii="Arial" w:hAnsi="Arial" w:cs="Arial"/>
          <w:sz w:val="24"/>
          <w:szCs w:val="24"/>
        </w:rPr>
        <w:t xml:space="preserve"> that the chief town</w:t>
      </w:r>
      <w:r w:rsidR="00646017">
        <w:rPr>
          <w:rFonts w:ascii="Arial" w:hAnsi="Arial" w:cs="Arial"/>
          <w:sz w:val="24"/>
          <w:szCs w:val="24"/>
        </w:rPr>
        <w:t xml:space="preserve"> </w:t>
      </w:r>
      <w:r w:rsidR="00562ED9" w:rsidRPr="006E3159">
        <w:rPr>
          <w:rFonts w:ascii="Arial" w:hAnsi="Arial" w:cs="Arial"/>
          <w:sz w:val="24"/>
          <w:szCs w:val="24"/>
        </w:rPr>
        <w:t>planne</w:t>
      </w:r>
      <w:r>
        <w:rPr>
          <w:rFonts w:ascii="Arial" w:hAnsi="Arial" w:cs="Arial"/>
          <w:sz w:val="24"/>
          <w:szCs w:val="24"/>
        </w:rPr>
        <w:t>r consented to any non-permitted</w:t>
      </w:r>
      <w:r w:rsidR="00562ED9" w:rsidRPr="006E3159">
        <w:rPr>
          <w:rFonts w:ascii="Arial" w:hAnsi="Arial" w:cs="Arial"/>
          <w:sz w:val="24"/>
          <w:szCs w:val="24"/>
        </w:rPr>
        <w:t xml:space="preserve"> use. The court cannot speculate a</w:t>
      </w:r>
      <w:r w:rsidR="00646017">
        <w:rPr>
          <w:rFonts w:ascii="Arial" w:hAnsi="Arial" w:cs="Arial"/>
          <w:sz w:val="24"/>
          <w:szCs w:val="24"/>
        </w:rPr>
        <w:t>bout the purpose for which Siemens SA used the building or assume that it was unrelated to the main use for which the property is zoned</w:t>
      </w:r>
      <w:r w:rsidR="00562ED9" w:rsidRPr="006E3159">
        <w:rPr>
          <w:rFonts w:ascii="Arial" w:hAnsi="Arial" w:cs="Arial"/>
          <w:sz w:val="24"/>
          <w:szCs w:val="24"/>
        </w:rPr>
        <w:t xml:space="preserve">. Even if it is accepted that any consent was given to use the land for purposes unrelated to the permitted main use, it is recorded on the zoning certificate that the validity of consent use </w:t>
      </w:r>
      <w:r w:rsidR="008D10E7">
        <w:rPr>
          <w:rFonts w:ascii="Arial" w:hAnsi="Arial" w:cs="Arial"/>
          <w:sz w:val="24"/>
          <w:szCs w:val="24"/>
        </w:rPr>
        <w:t>‘</w:t>
      </w:r>
      <w:r w:rsidR="00562ED9" w:rsidRPr="006E3159">
        <w:rPr>
          <w:rFonts w:ascii="Arial" w:hAnsi="Arial" w:cs="Arial"/>
          <w:sz w:val="24"/>
          <w:szCs w:val="24"/>
        </w:rPr>
        <w:t>cannot be verified as the rights may have lapsed</w:t>
      </w:r>
      <w:r w:rsidR="008D10E7">
        <w:rPr>
          <w:rFonts w:ascii="Arial" w:hAnsi="Arial" w:cs="Arial"/>
          <w:sz w:val="24"/>
          <w:szCs w:val="24"/>
        </w:rPr>
        <w:t>’</w:t>
      </w:r>
      <w:r w:rsidR="00562ED9" w:rsidRPr="006E3159">
        <w:rPr>
          <w:rFonts w:ascii="Arial" w:hAnsi="Arial" w:cs="Arial"/>
          <w:sz w:val="24"/>
          <w:szCs w:val="24"/>
        </w:rPr>
        <w:t>. In the absence of any proof to the contrary, the BEC</w:t>
      </w:r>
      <w:r w:rsidRPr="006E3159">
        <w:rPr>
          <w:rFonts w:ascii="Arial" w:hAnsi="Arial" w:cs="Arial"/>
          <w:sz w:val="24"/>
          <w:szCs w:val="24"/>
        </w:rPr>
        <w:t xml:space="preserve"> erred when they disregarded the </w:t>
      </w:r>
      <w:r w:rsidR="00646017">
        <w:rPr>
          <w:rFonts w:ascii="Arial" w:hAnsi="Arial" w:cs="Arial"/>
          <w:sz w:val="24"/>
          <w:szCs w:val="24"/>
        </w:rPr>
        <w:t>property's zoning</w:t>
      </w:r>
      <w:r w:rsidRPr="006E3159">
        <w:rPr>
          <w:rFonts w:ascii="Arial" w:hAnsi="Arial" w:cs="Arial"/>
          <w:sz w:val="24"/>
          <w:szCs w:val="24"/>
        </w:rPr>
        <w:t xml:space="preserve"> as </w:t>
      </w:r>
      <w:r w:rsidR="00646017">
        <w:rPr>
          <w:rFonts w:ascii="Arial" w:hAnsi="Arial" w:cs="Arial"/>
          <w:sz w:val="24"/>
          <w:szCs w:val="24"/>
        </w:rPr>
        <w:t>'</w:t>
      </w:r>
      <w:r w:rsidR="004954D4">
        <w:rPr>
          <w:rFonts w:ascii="Arial" w:hAnsi="Arial" w:cs="Arial"/>
          <w:sz w:val="24"/>
          <w:szCs w:val="24"/>
        </w:rPr>
        <w:t>industrial 2</w:t>
      </w:r>
      <w:r w:rsidR="00646017">
        <w:rPr>
          <w:rFonts w:ascii="Arial" w:hAnsi="Arial" w:cs="Arial"/>
          <w:sz w:val="24"/>
          <w:szCs w:val="24"/>
        </w:rPr>
        <w:t>'</w:t>
      </w:r>
      <w:r w:rsidR="004954D4">
        <w:rPr>
          <w:rFonts w:ascii="Arial" w:hAnsi="Arial" w:cs="Arial"/>
          <w:sz w:val="24"/>
          <w:szCs w:val="24"/>
        </w:rPr>
        <w:t xml:space="preserve">, as </w:t>
      </w:r>
      <w:r w:rsidRPr="006E3159">
        <w:rPr>
          <w:rFonts w:ascii="Arial" w:hAnsi="Arial" w:cs="Arial"/>
          <w:sz w:val="24"/>
          <w:szCs w:val="24"/>
        </w:rPr>
        <w:t>indicated on the zoning certificate.</w:t>
      </w:r>
    </w:p>
    <w:p w14:paraId="5DE13B32" w14:textId="77777777" w:rsidR="00BB30E1" w:rsidRPr="00BB30E1" w:rsidRDefault="00BB30E1" w:rsidP="00BB30E1">
      <w:pPr>
        <w:pStyle w:val="ListParagraph"/>
        <w:rPr>
          <w:rFonts w:ascii="Arial" w:hAnsi="Arial" w:cs="Arial"/>
          <w:sz w:val="24"/>
          <w:szCs w:val="24"/>
        </w:rPr>
      </w:pPr>
    </w:p>
    <w:p w14:paraId="77B677B3" w14:textId="4B8161B3" w:rsidR="00BB30E1" w:rsidRDefault="006E3159"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light of the two aspects dealt wi</w:t>
      </w:r>
      <w:r w:rsidR="00646017">
        <w:rPr>
          <w:rFonts w:ascii="Arial" w:hAnsi="Arial" w:cs="Arial"/>
          <w:sz w:val="24"/>
          <w:szCs w:val="24"/>
        </w:rPr>
        <w:t xml:space="preserve">th above, </w:t>
      </w:r>
      <w:r>
        <w:rPr>
          <w:rFonts w:ascii="Arial" w:hAnsi="Arial" w:cs="Arial"/>
          <w:sz w:val="24"/>
          <w:szCs w:val="24"/>
        </w:rPr>
        <w:t xml:space="preserve">it is not necessary to consider any of the remaining grounds of review. </w:t>
      </w:r>
      <w:r w:rsidR="00B94EBE">
        <w:rPr>
          <w:rFonts w:ascii="Arial" w:hAnsi="Arial" w:cs="Arial"/>
          <w:sz w:val="24"/>
          <w:szCs w:val="24"/>
        </w:rPr>
        <w:t xml:space="preserve">In accepting the </w:t>
      </w:r>
      <w:r w:rsidR="004954D4">
        <w:rPr>
          <w:rFonts w:ascii="Arial" w:hAnsi="Arial" w:cs="Arial"/>
          <w:sz w:val="24"/>
          <w:szCs w:val="24"/>
        </w:rPr>
        <w:t>agreement of sale presente</w:t>
      </w:r>
      <w:r w:rsidR="00B94EBE">
        <w:rPr>
          <w:rFonts w:ascii="Arial" w:hAnsi="Arial" w:cs="Arial"/>
          <w:sz w:val="24"/>
          <w:szCs w:val="24"/>
        </w:rPr>
        <w:t>d by Omarostax as a valid agreement that meets the mand</w:t>
      </w:r>
      <w:r w:rsidR="004954D4">
        <w:rPr>
          <w:rFonts w:ascii="Arial" w:hAnsi="Arial" w:cs="Arial"/>
          <w:sz w:val="24"/>
          <w:szCs w:val="24"/>
        </w:rPr>
        <w:t>at</w:t>
      </w:r>
      <w:r w:rsidR="00B94EBE">
        <w:rPr>
          <w:rFonts w:ascii="Arial" w:hAnsi="Arial" w:cs="Arial"/>
          <w:sz w:val="24"/>
          <w:szCs w:val="24"/>
        </w:rPr>
        <w:t>ory requirement stipulated in PA-04</w:t>
      </w:r>
      <w:r w:rsidR="00646017">
        <w:rPr>
          <w:rFonts w:ascii="Arial" w:hAnsi="Arial" w:cs="Arial"/>
          <w:sz w:val="24"/>
          <w:szCs w:val="24"/>
        </w:rPr>
        <w:t>,</w:t>
      </w:r>
      <w:r w:rsidR="00B94EBE">
        <w:rPr>
          <w:rFonts w:ascii="Arial" w:hAnsi="Arial" w:cs="Arial"/>
          <w:sz w:val="24"/>
          <w:szCs w:val="24"/>
        </w:rPr>
        <w:t xml:space="preserve"> where it is stipulated that </w:t>
      </w:r>
      <w:r w:rsidR="00646017">
        <w:rPr>
          <w:rFonts w:ascii="Arial" w:hAnsi="Arial" w:cs="Arial"/>
          <w:sz w:val="24"/>
          <w:szCs w:val="24"/>
        </w:rPr>
        <w:t>'</w:t>
      </w:r>
      <w:r w:rsidR="00B94EBE">
        <w:rPr>
          <w:rFonts w:ascii="Arial" w:hAnsi="Arial" w:cs="Arial"/>
          <w:sz w:val="24"/>
          <w:szCs w:val="24"/>
        </w:rPr>
        <w:t xml:space="preserve">in the case of a prospective buyer the signed purchase agreement must be submitted, the BEC committed an error of law. </w:t>
      </w:r>
      <w:r w:rsidR="00646017">
        <w:rPr>
          <w:rFonts w:ascii="Arial" w:hAnsi="Arial" w:cs="Arial"/>
          <w:sz w:val="24"/>
          <w:szCs w:val="24"/>
        </w:rPr>
        <w:t xml:space="preserve">This requirement aims to ensure that a bidder can deliver what it offers. This requirement goes to the core of the bid, and non-compliance </w:t>
      </w:r>
      <w:r w:rsidR="00B94EBE">
        <w:rPr>
          <w:rFonts w:ascii="Arial" w:hAnsi="Arial" w:cs="Arial"/>
          <w:sz w:val="24"/>
          <w:szCs w:val="24"/>
        </w:rPr>
        <w:t xml:space="preserve">resulted in a mandatory provision of the tender not being met. It is likewise unlawful to award a tender when </w:t>
      </w:r>
      <w:r w:rsidR="00646017">
        <w:rPr>
          <w:rFonts w:ascii="Arial" w:hAnsi="Arial" w:cs="Arial"/>
          <w:sz w:val="24"/>
          <w:szCs w:val="24"/>
        </w:rPr>
        <w:t>using</w:t>
      </w:r>
      <w:r w:rsidR="00B94EBE">
        <w:rPr>
          <w:rFonts w:ascii="Arial" w:hAnsi="Arial" w:cs="Arial"/>
          <w:sz w:val="24"/>
          <w:szCs w:val="24"/>
        </w:rPr>
        <w:t xml:space="preserve"> the building that is the subject of the tender would constitute a zoning law contravention. </w:t>
      </w:r>
      <w:r w:rsidR="008D10E7">
        <w:rPr>
          <w:rFonts w:ascii="Arial" w:hAnsi="Arial" w:cs="Arial"/>
          <w:sz w:val="24"/>
          <w:szCs w:val="24"/>
        </w:rPr>
        <w:t>T</w:t>
      </w:r>
      <w:r>
        <w:rPr>
          <w:rFonts w:ascii="Arial" w:hAnsi="Arial" w:cs="Arial"/>
          <w:sz w:val="24"/>
          <w:szCs w:val="24"/>
        </w:rPr>
        <w:t>he BEC erred in finding that Oma</w:t>
      </w:r>
      <w:r w:rsidR="004954D4">
        <w:rPr>
          <w:rFonts w:ascii="Arial" w:hAnsi="Arial" w:cs="Arial"/>
          <w:sz w:val="24"/>
          <w:szCs w:val="24"/>
        </w:rPr>
        <w:t>rostax</w:t>
      </w:r>
      <w:r w:rsidR="00646017">
        <w:rPr>
          <w:rFonts w:ascii="Arial" w:hAnsi="Arial" w:cs="Arial"/>
          <w:sz w:val="24"/>
          <w:szCs w:val="24"/>
        </w:rPr>
        <w:t>'</w:t>
      </w:r>
      <w:r w:rsidR="004954D4">
        <w:rPr>
          <w:rFonts w:ascii="Arial" w:hAnsi="Arial" w:cs="Arial"/>
          <w:sz w:val="24"/>
          <w:szCs w:val="24"/>
        </w:rPr>
        <w:t>s tender was responsive, and as a result</w:t>
      </w:r>
      <w:r w:rsidR="00646017">
        <w:rPr>
          <w:rFonts w:ascii="Arial" w:hAnsi="Arial" w:cs="Arial"/>
          <w:sz w:val="24"/>
          <w:szCs w:val="24"/>
        </w:rPr>
        <w:t>,</w:t>
      </w:r>
      <w:r w:rsidR="004954D4">
        <w:rPr>
          <w:rFonts w:ascii="Arial" w:hAnsi="Arial" w:cs="Arial"/>
          <w:sz w:val="24"/>
          <w:szCs w:val="24"/>
        </w:rPr>
        <w:t xml:space="preserve"> the award of the tender to Omarostax stands to be set aside.</w:t>
      </w:r>
    </w:p>
    <w:p w14:paraId="4BC6A48A" w14:textId="77777777" w:rsidR="00BB30E1" w:rsidRPr="00BB30E1" w:rsidRDefault="00BB30E1" w:rsidP="00BB30E1">
      <w:pPr>
        <w:pStyle w:val="ListParagraph"/>
        <w:rPr>
          <w:rFonts w:ascii="Arial" w:hAnsi="Arial" w:cs="Arial"/>
          <w:sz w:val="24"/>
          <w:szCs w:val="24"/>
        </w:rPr>
      </w:pPr>
    </w:p>
    <w:p w14:paraId="03655E2D" w14:textId="2C948810" w:rsidR="00BB30E1" w:rsidRPr="004954D4" w:rsidRDefault="004954D4" w:rsidP="004954D4">
      <w:pPr>
        <w:tabs>
          <w:tab w:val="left" w:pos="4917"/>
        </w:tabs>
        <w:spacing w:before="120" w:after="120" w:line="360" w:lineRule="auto"/>
        <w:jc w:val="both"/>
        <w:rPr>
          <w:rFonts w:ascii="Arial" w:hAnsi="Arial" w:cs="Arial"/>
          <w:i/>
          <w:sz w:val="24"/>
          <w:szCs w:val="24"/>
        </w:rPr>
      </w:pPr>
      <w:r>
        <w:rPr>
          <w:rFonts w:ascii="Arial" w:hAnsi="Arial" w:cs="Arial"/>
          <w:i/>
          <w:sz w:val="24"/>
          <w:szCs w:val="24"/>
        </w:rPr>
        <w:t>Just and equitable remedy</w:t>
      </w:r>
    </w:p>
    <w:p w14:paraId="1D81C79C" w14:textId="77777777" w:rsidR="00BB30E1" w:rsidRPr="00BB30E1" w:rsidRDefault="00BB30E1" w:rsidP="00BB30E1">
      <w:pPr>
        <w:pStyle w:val="ListParagraph"/>
        <w:rPr>
          <w:rFonts w:ascii="Arial" w:hAnsi="Arial" w:cs="Arial"/>
          <w:sz w:val="24"/>
          <w:szCs w:val="24"/>
        </w:rPr>
      </w:pPr>
    </w:p>
    <w:p w14:paraId="7F583869" w14:textId="1BD9CA57" w:rsidR="00BB30E1" w:rsidRDefault="004954D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is trite that the court has a wide discretion in terms of s 8 of PAJA to grant relief </w:t>
      </w:r>
      <w:r w:rsidR="00646017">
        <w:rPr>
          <w:rFonts w:ascii="Arial" w:hAnsi="Arial" w:cs="Arial"/>
          <w:sz w:val="24"/>
          <w:szCs w:val="24"/>
        </w:rPr>
        <w:t>that</w:t>
      </w:r>
      <w:r>
        <w:rPr>
          <w:rFonts w:ascii="Arial" w:hAnsi="Arial" w:cs="Arial"/>
          <w:sz w:val="24"/>
          <w:szCs w:val="24"/>
        </w:rPr>
        <w:t xml:space="preserve"> is just and equitable in the circumstances.</w:t>
      </w:r>
      <w:r>
        <w:rPr>
          <w:rStyle w:val="FootnoteReference"/>
          <w:rFonts w:ascii="Arial" w:hAnsi="Arial" w:cs="Arial"/>
          <w:sz w:val="24"/>
          <w:szCs w:val="24"/>
        </w:rPr>
        <w:footnoteReference w:id="25"/>
      </w:r>
      <w:r>
        <w:rPr>
          <w:rFonts w:ascii="Arial" w:hAnsi="Arial" w:cs="Arial"/>
          <w:sz w:val="24"/>
          <w:szCs w:val="24"/>
        </w:rPr>
        <w:t xml:space="preserve"> XTF</w:t>
      </w:r>
      <w:r w:rsidR="00646017">
        <w:rPr>
          <w:rFonts w:ascii="Arial" w:hAnsi="Arial" w:cs="Arial"/>
          <w:sz w:val="24"/>
          <w:szCs w:val="24"/>
        </w:rPr>
        <w:t>M</w:t>
      </w:r>
      <w:r>
        <w:rPr>
          <w:rFonts w:ascii="Arial" w:hAnsi="Arial" w:cs="Arial"/>
          <w:sz w:val="24"/>
          <w:szCs w:val="24"/>
        </w:rPr>
        <w:t xml:space="preserve"> submitted that it is just and equitable t</w:t>
      </w:r>
      <w:r w:rsidR="00646017">
        <w:rPr>
          <w:rFonts w:ascii="Arial" w:hAnsi="Arial" w:cs="Arial"/>
          <w:sz w:val="24"/>
          <w:szCs w:val="24"/>
        </w:rPr>
        <w:t>o</w:t>
      </w:r>
      <w:r>
        <w:rPr>
          <w:rFonts w:ascii="Arial" w:hAnsi="Arial" w:cs="Arial"/>
          <w:sz w:val="24"/>
          <w:szCs w:val="24"/>
        </w:rPr>
        <w:t xml:space="preserve"> be awarded the tender</w:t>
      </w:r>
      <w:r w:rsidR="004209D9">
        <w:rPr>
          <w:rFonts w:ascii="Arial" w:hAnsi="Arial" w:cs="Arial"/>
          <w:sz w:val="24"/>
          <w:szCs w:val="24"/>
        </w:rPr>
        <w:t xml:space="preserve">. I disagree. The DPW did not regard the property </w:t>
      </w:r>
      <w:r w:rsidR="004209D9">
        <w:rPr>
          <w:rFonts w:ascii="Arial" w:hAnsi="Arial" w:cs="Arial"/>
          <w:sz w:val="24"/>
          <w:szCs w:val="24"/>
        </w:rPr>
        <w:lastRenderedPageBreak/>
        <w:t>submitted by XTFM to be best</w:t>
      </w:r>
      <w:r w:rsidR="008D10E7">
        <w:rPr>
          <w:rFonts w:ascii="Arial" w:hAnsi="Arial" w:cs="Arial"/>
          <w:sz w:val="24"/>
          <w:szCs w:val="24"/>
        </w:rPr>
        <w:t xml:space="preserve"> or ideally</w:t>
      </w:r>
      <w:r w:rsidR="004209D9">
        <w:rPr>
          <w:rFonts w:ascii="Arial" w:hAnsi="Arial" w:cs="Arial"/>
          <w:sz w:val="24"/>
          <w:szCs w:val="24"/>
        </w:rPr>
        <w:t xml:space="preserve"> suited, and it is not for X</w:t>
      </w:r>
      <w:r w:rsidR="008D10E7">
        <w:rPr>
          <w:rFonts w:ascii="Arial" w:hAnsi="Arial" w:cs="Arial"/>
          <w:sz w:val="24"/>
          <w:szCs w:val="24"/>
        </w:rPr>
        <w:t xml:space="preserve">TFM to be awarded the bid </w:t>
      </w:r>
      <w:r w:rsidR="004209D9">
        <w:rPr>
          <w:rFonts w:ascii="Arial" w:hAnsi="Arial" w:cs="Arial"/>
          <w:sz w:val="24"/>
          <w:szCs w:val="24"/>
        </w:rPr>
        <w:t>by default. There is no reason for this court to substitute the DPW</w:t>
      </w:r>
      <w:r w:rsidR="00646017">
        <w:rPr>
          <w:rFonts w:ascii="Arial" w:hAnsi="Arial" w:cs="Arial"/>
          <w:sz w:val="24"/>
          <w:szCs w:val="24"/>
        </w:rPr>
        <w:t>'</w:t>
      </w:r>
      <w:r w:rsidR="004209D9">
        <w:rPr>
          <w:rFonts w:ascii="Arial" w:hAnsi="Arial" w:cs="Arial"/>
          <w:sz w:val="24"/>
          <w:szCs w:val="24"/>
        </w:rPr>
        <w:t>s decision</w:t>
      </w:r>
      <w:r w:rsidR="00646017">
        <w:rPr>
          <w:rFonts w:ascii="Arial" w:hAnsi="Arial" w:cs="Arial"/>
          <w:sz w:val="24"/>
          <w:szCs w:val="24"/>
        </w:rPr>
        <w:t>-</w:t>
      </w:r>
      <w:r w:rsidR="004209D9">
        <w:rPr>
          <w:rFonts w:ascii="Arial" w:hAnsi="Arial" w:cs="Arial"/>
          <w:sz w:val="24"/>
          <w:szCs w:val="24"/>
        </w:rPr>
        <w:t>making powers for its own</w:t>
      </w:r>
      <w:r w:rsidR="00646017">
        <w:rPr>
          <w:rFonts w:ascii="Arial" w:hAnsi="Arial" w:cs="Arial"/>
          <w:sz w:val="24"/>
          <w:szCs w:val="24"/>
        </w:rPr>
        <w:t>, and the court is not in a position to determine the suitability of the accommodation offered by XTFM</w:t>
      </w:r>
      <w:r w:rsidR="008D10E7">
        <w:rPr>
          <w:rFonts w:ascii="Arial" w:hAnsi="Arial" w:cs="Arial"/>
          <w:sz w:val="24"/>
          <w:szCs w:val="24"/>
        </w:rPr>
        <w:t xml:space="preserve"> for the purposes it is required</w:t>
      </w:r>
      <w:r w:rsidR="00646017">
        <w:rPr>
          <w:rFonts w:ascii="Arial" w:hAnsi="Arial" w:cs="Arial"/>
          <w:sz w:val="24"/>
          <w:szCs w:val="24"/>
        </w:rPr>
        <w:t>.</w:t>
      </w:r>
      <w:r w:rsidR="004209D9">
        <w:rPr>
          <w:rFonts w:ascii="Arial" w:hAnsi="Arial" w:cs="Arial"/>
          <w:sz w:val="24"/>
          <w:szCs w:val="24"/>
        </w:rPr>
        <w:t xml:space="preserve"> In the circumstances</w:t>
      </w:r>
      <w:r w:rsidR="00646017">
        <w:rPr>
          <w:rFonts w:ascii="Arial" w:hAnsi="Arial" w:cs="Arial"/>
          <w:sz w:val="24"/>
          <w:szCs w:val="24"/>
        </w:rPr>
        <w:t>,</w:t>
      </w:r>
      <w:r w:rsidR="004209D9">
        <w:rPr>
          <w:rFonts w:ascii="Arial" w:hAnsi="Arial" w:cs="Arial"/>
          <w:sz w:val="24"/>
          <w:szCs w:val="24"/>
        </w:rPr>
        <w:t xml:space="preserve"> </w:t>
      </w:r>
      <w:r w:rsidR="00646017">
        <w:rPr>
          <w:rFonts w:ascii="Arial" w:hAnsi="Arial" w:cs="Arial"/>
          <w:sz w:val="24"/>
          <w:szCs w:val="24"/>
        </w:rPr>
        <w:t>i</w:t>
      </w:r>
      <w:r w:rsidR="004209D9">
        <w:rPr>
          <w:rFonts w:ascii="Arial" w:hAnsi="Arial" w:cs="Arial"/>
          <w:sz w:val="24"/>
          <w:szCs w:val="24"/>
        </w:rPr>
        <w:t>t is just and fair that the tender process commences afresh should the DPW still need to obtain office space for DIRCO.</w:t>
      </w:r>
    </w:p>
    <w:p w14:paraId="355963C9" w14:textId="6ADC57B2" w:rsidR="004209D9" w:rsidRDefault="004209D9" w:rsidP="004209D9">
      <w:pPr>
        <w:tabs>
          <w:tab w:val="left" w:pos="4917"/>
        </w:tabs>
        <w:spacing w:before="120" w:after="120" w:line="360" w:lineRule="auto"/>
        <w:jc w:val="both"/>
        <w:rPr>
          <w:rFonts w:ascii="Arial" w:hAnsi="Arial" w:cs="Arial"/>
          <w:sz w:val="24"/>
          <w:szCs w:val="24"/>
        </w:rPr>
      </w:pPr>
    </w:p>
    <w:p w14:paraId="221D3AAE" w14:textId="3E46B899" w:rsidR="004209D9" w:rsidRPr="004209D9" w:rsidRDefault="004209D9" w:rsidP="004209D9">
      <w:pPr>
        <w:tabs>
          <w:tab w:val="left" w:pos="4917"/>
        </w:tabs>
        <w:spacing w:before="120" w:after="120" w:line="360" w:lineRule="auto"/>
        <w:jc w:val="both"/>
        <w:rPr>
          <w:rFonts w:ascii="Arial" w:hAnsi="Arial" w:cs="Arial"/>
          <w:b/>
          <w:sz w:val="24"/>
          <w:szCs w:val="24"/>
        </w:rPr>
      </w:pPr>
      <w:r>
        <w:rPr>
          <w:rFonts w:ascii="Arial" w:hAnsi="Arial" w:cs="Arial"/>
          <w:b/>
          <w:sz w:val="24"/>
          <w:szCs w:val="24"/>
        </w:rPr>
        <w:t>Costs</w:t>
      </w:r>
    </w:p>
    <w:p w14:paraId="71075977" w14:textId="76C56721" w:rsidR="00BB30E1" w:rsidRPr="004209D9" w:rsidRDefault="004209D9" w:rsidP="00D24C84">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4209D9">
        <w:rPr>
          <w:rFonts w:ascii="Arial" w:hAnsi="Arial" w:cs="Arial"/>
          <w:sz w:val="24"/>
          <w:szCs w:val="24"/>
        </w:rPr>
        <w:t xml:space="preserve">There is no reason to deviate from the principle that costs follow the result. </w:t>
      </w:r>
    </w:p>
    <w:p w14:paraId="11EAA180" w14:textId="439CD331" w:rsidR="00BB30E1" w:rsidRDefault="00BB30E1" w:rsidP="004209D9">
      <w:pPr>
        <w:pStyle w:val="ListParagraph"/>
        <w:tabs>
          <w:tab w:val="left" w:pos="4917"/>
        </w:tabs>
        <w:spacing w:before="120" w:after="120" w:line="360" w:lineRule="auto"/>
        <w:jc w:val="both"/>
        <w:rPr>
          <w:rFonts w:ascii="Arial" w:hAnsi="Arial" w:cs="Arial"/>
          <w:sz w:val="24"/>
          <w:szCs w:val="24"/>
        </w:rPr>
      </w:pP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57280111"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34BDCA5C" w14:textId="0E7284BB" w:rsidR="001619F1" w:rsidRDefault="001619F1" w:rsidP="001619F1">
      <w:pPr>
        <w:pStyle w:val="ListParagraph"/>
        <w:numPr>
          <w:ilvl w:val="0"/>
          <w:numId w:val="40"/>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decision of the first respondent to award the tender under tender number H20/011PF, for </w:t>
      </w:r>
      <w:r w:rsidR="008D10E7">
        <w:rPr>
          <w:rFonts w:ascii="Arial" w:hAnsi="Arial" w:cs="Arial"/>
          <w:sz w:val="24"/>
          <w:szCs w:val="24"/>
        </w:rPr>
        <w:t xml:space="preserve">the </w:t>
      </w:r>
      <w:r>
        <w:rPr>
          <w:rFonts w:ascii="Arial" w:hAnsi="Arial" w:cs="Arial"/>
          <w:sz w:val="24"/>
          <w:szCs w:val="24"/>
        </w:rPr>
        <w:t>procurement of alternative office accommodation of 12 146m</w:t>
      </w:r>
      <w:r>
        <w:rPr>
          <w:rFonts w:ascii="Arial" w:hAnsi="Arial" w:cs="Arial"/>
          <w:sz w:val="24"/>
          <w:szCs w:val="24"/>
          <w:vertAlign w:val="superscript"/>
        </w:rPr>
        <w:t xml:space="preserve">2 </w:t>
      </w:r>
      <w:r w:rsidRPr="008D10E7">
        <w:rPr>
          <w:rFonts w:ascii="Arial" w:hAnsi="Arial" w:cs="Arial"/>
          <w:sz w:val="24"/>
          <w:szCs w:val="24"/>
        </w:rPr>
        <w:t xml:space="preserve">and </w:t>
      </w:r>
      <w:r>
        <w:rPr>
          <w:rFonts w:ascii="Arial" w:hAnsi="Arial" w:cs="Arial"/>
          <w:sz w:val="24"/>
          <w:szCs w:val="24"/>
        </w:rPr>
        <w:t>528 parking bays for a period of 5 years</w:t>
      </w:r>
      <w:r w:rsidR="008D10E7">
        <w:rPr>
          <w:rFonts w:ascii="Arial" w:hAnsi="Arial" w:cs="Arial"/>
          <w:sz w:val="24"/>
          <w:szCs w:val="24"/>
        </w:rPr>
        <w:t xml:space="preserve"> to the third respondent,</w:t>
      </w:r>
      <w:r>
        <w:rPr>
          <w:rFonts w:ascii="Arial" w:hAnsi="Arial" w:cs="Arial"/>
          <w:sz w:val="24"/>
          <w:szCs w:val="24"/>
        </w:rPr>
        <w:t xml:space="preserve"> and all administrative actions pursuant thereto</w:t>
      </w:r>
      <w:r w:rsidR="008D10E7">
        <w:rPr>
          <w:rFonts w:ascii="Arial" w:hAnsi="Arial" w:cs="Arial"/>
          <w:sz w:val="24"/>
          <w:szCs w:val="24"/>
        </w:rPr>
        <w:t>,</w:t>
      </w:r>
      <w:r w:rsidR="00A11AB7">
        <w:rPr>
          <w:rFonts w:ascii="Arial" w:hAnsi="Arial" w:cs="Arial"/>
          <w:sz w:val="24"/>
          <w:szCs w:val="24"/>
        </w:rPr>
        <w:t xml:space="preserve"> is</w:t>
      </w:r>
      <w:r>
        <w:rPr>
          <w:rFonts w:ascii="Arial" w:hAnsi="Arial" w:cs="Arial"/>
          <w:sz w:val="24"/>
          <w:szCs w:val="24"/>
        </w:rPr>
        <w:t xml:space="preserve"> reviewed and set aside.</w:t>
      </w:r>
    </w:p>
    <w:p w14:paraId="64224B8B" w14:textId="6C49FDF5" w:rsidR="001619F1" w:rsidRPr="001619F1" w:rsidRDefault="001619F1" w:rsidP="001619F1">
      <w:pPr>
        <w:pStyle w:val="ListParagraph"/>
        <w:numPr>
          <w:ilvl w:val="0"/>
          <w:numId w:val="40"/>
        </w:numPr>
        <w:tabs>
          <w:tab w:val="left" w:pos="4917"/>
        </w:tabs>
        <w:spacing w:before="120" w:after="120" w:line="360" w:lineRule="auto"/>
        <w:jc w:val="both"/>
        <w:rPr>
          <w:rFonts w:ascii="Arial" w:hAnsi="Arial" w:cs="Arial"/>
          <w:sz w:val="24"/>
          <w:szCs w:val="24"/>
        </w:rPr>
      </w:pPr>
      <w:r>
        <w:rPr>
          <w:rFonts w:ascii="Arial" w:hAnsi="Arial" w:cs="Arial"/>
          <w:sz w:val="24"/>
          <w:szCs w:val="24"/>
        </w:rPr>
        <w:t>The first respondent and third respond</w:t>
      </w:r>
      <w:r w:rsidR="00A11AB7">
        <w:rPr>
          <w:rFonts w:ascii="Arial" w:hAnsi="Arial" w:cs="Arial"/>
          <w:sz w:val="24"/>
          <w:szCs w:val="24"/>
        </w:rPr>
        <w:t>ents, jointly and severally,</w:t>
      </w:r>
      <w:r>
        <w:rPr>
          <w:rFonts w:ascii="Arial" w:hAnsi="Arial" w:cs="Arial"/>
          <w:sz w:val="24"/>
          <w:szCs w:val="24"/>
        </w:rPr>
        <w:t xml:space="preserve"> to pay the costs of the application</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43DA8423"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r w:rsidR="001619F1">
        <w:rPr>
          <w:rFonts w:ascii="Arial" w:hAnsi="Arial" w:cs="Arial"/>
          <w:sz w:val="24"/>
          <w:szCs w:val="24"/>
        </w:rPr>
        <w:t>Adv. J.F. Pretorius</w:t>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289B675F"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1619F1">
        <w:rPr>
          <w:rFonts w:ascii="Arial" w:hAnsi="Arial" w:cs="Arial"/>
          <w:sz w:val="24"/>
          <w:szCs w:val="24"/>
        </w:rPr>
        <w:t>Fourie van Pletzen Inc.</w:t>
      </w:r>
      <w:r w:rsidR="00CF7942">
        <w:rPr>
          <w:rFonts w:ascii="Arial" w:hAnsi="Arial" w:cs="Arial"/>
          <w:sz w:val="24"/>
          <w:szCs w:val="24"/>
        </w:rPr>
        <w:tab/>
      </w:r>
      <w:r w:rsidR="00377FDC">
        <w:rPr>
          <w:rFonts w:ascii="Arial" w:hAnsi="Arial" w:cs="Arial"/>
          <w:sz w:val="24"/>
          <w:szCs w:val="24"/>
        </w:rPr>
        <w:tab/>
      </w:r>
    </w:p>
    <w:p w14:paraId="44D1AFCD" w14:textId="6EFD102C"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w:t>
      </w:r>
      <w:r w:rsidR="001619F1">
        <w:rPr>
          <w:rFonts w:ascii="Arial" w:hAnsi="Arial" w:cs="Arial"/>
          <w:sz w:val="24"/>
          <w:szCs w:val="24"/>
        </w:rPr>
        <w:t xml:space="preserve"> first</w:t>
      </w:r>
      <w:r w:rsidR="00E20004">
        <w:rPr>
          <w:rFonts w:ascii="Arial" w:hAnsi="Arial" w:cs="Arial"/>
          <w:sz w:val="24"/>
          <w:szCs w:val="24"/>
        </w:rPr>
        <w:t xml:space="preserve"> </w:t>
      </w:r>
      <w:r w:rsidR="00377FDC">
        <w:rPr>
          <w:rFonts w:ascii="Arial" w:hAnsi="Arial" w:cs="Arial"/>
          <w:sz w:val="24"/>
          <w:szCs w:val="24"/>
        </w:rPr>
        <w:t>respondent:</w:t>
      </w:r>
      <w:r w:rsidR="001619F1">
        <w:rPr>
          <w:rFonts w:ascii="Arial" w:hAnsi="Arial" w:cs="Arial"/>
          <w:sz w:val="24"/>
          <w:szCs w:val="24"/>
        </w:rPr>
        <w:tab/>
        <w:t>Adv. HC Janse van Rensburg</w:t>
      </w:r>
    </w:p>
    <w:p w14:paraId="4D048291" w14:textId="1211A03C" w:rsidR="001619F1"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1619F1">
        <w:rPr>
          <w:rFonts w:ascii="Arial" w:hAnsi="Arial" w:cs="Arial"/>
          <w:sz w:val="24"/>
          <w:szCs w:val="24"/>
        </w:rPr>
        <w:tab/>
        <w:t>The State-Attorney</w:t>
      </w:r>
    </w:p>
    <w:p w14:paraId="112A7241" w14:textId="7FF08639" w:rsidR="001619F1" w:rsidRDefault="001619F1" w:rsidP="001619F1">
      <w:pPr>
        <w:tabs>
          <w:tab w:val="left" w:pos="4917"/>
        </w:tabs>
        <w:spacing w:after="0" w:line="360" w:lineRule="auto"/>
        <w:ind w:left="4917" w:hanging="4557"/>
        <w:rPr>
          <w:rFonts w:ascii="Arial" w:hAnsi="Arial" w:cs="Arial"/>
          <w:sz w:val="24"/>
          <w:szCs w:val="24"/>
        </w:rPr>
      </w:pPr>
      <w:r>
        <w:rPr>
          <w:rFonts w:ascii="Arial" w:hAnsi="Arial" w:cs="Arial"/>
          <w:sz w:val="24"/>
          <w:szCs w:val="24"/>
        </w:rPr>
        <w:lastRenderedPageBreak/>
        <w:t>For the third respondent:</w:t>
      </w:r>
      <w:r>
        <w:rPr>
          <w:rFonts w:ascii="Arial" w:hAnsi="Arial" w:cs="Arial"/>
          <w:sz w:val="24"/>
          <w:szCs w:val="24"/>
        </w:rPr>
        <w:tab/>
        <w:t>Adv. L.M. du Plessis</w:t>
      </w:r>
    </w:p>
    <w:p w14:paraId="67876EBF" w14:textId="2AF24BC3" w:rsidR="003649CD" w:rsidRDefault="001619F1" w:rsidP="001619F1">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F03EE2">
        <w:rPr>
          <w:rFonts w:ascii="Arial" w:hAnsi="Arial" w:cs="Arial"/>
          <w:sz w:val="24"/>
          <w:szCs w:val="24"/>
        </w:rPr>
        <w:tab/>
      </w:r>
      <w:proofErr w:type="spellStart"/>
      <w:r>
        <w:rPr>
          <w:rFonts w:ascii="Arial" w:hAnsi="Arial" w:cs="Arial"/>
          <w:sz w:val="24"/>
          <w:szCs w:val="24"/>
        </w:rPr>
        <w:t>Moketla</w:t>
      </w:r>
      <w:proofErr w:type="spellEnd"/>
      <w:r>
        <w:rPr>
          <w:rFonts w:ascii="Arial" w:hAnsi="Arial" w:cs="Arial"/>
          <w:sz w:val="24"/>
          <w:szCs w:val="24"/>
        </w:rPr>
        <w:t xml:space="preserve"> </w:t>
      </w:r>
      <w:proofErr w:type="spellStart"/>
      <w:r>
        <w:rPr>
          <w:rFonts w:ascii="Arial" w:hAnsi="Arial" w:cs="Arial"/>
          <w:sz w:val="24"/>
          <w:szCs w:val="24"/>
        </w:rPr>
        <w:t>Mamabolo</w:t>
      </w:r>
      <w:proofErr w:type="spellEnd"/>
      <w:r>
        <w:rPr>
          <w:rFonts w:ascii="Arial" w:hAnsi="Arial" w:cs="Arial"/>
          <w:sz w:val="24"/>
          <w:szCs w:val="24"/>
        </w:rPr>
        <w:t xml:space="preserve"> Inc.</w:t>
      </w:r>
    </w:p>
    <w:p w14:paraId="60737477" w14:textId="62055CA5"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1619F1">
        <w:rPr>
          <w:rFonts w:ascii="Arial" w:hAnsi="Arial" w:cs="Arial"/>
          <w:sz w:val="24"/>
          <w:szCs w:val="24"/>
        </w:rPr>
        <w:t>7 June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4BBC798C"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A11AB7">
        <w:rPr>
          <w:rFonts w:ascii="Arial" w:hAnsi="Arial" w:cs="Arial"/>
          <w:sz w:val="24"/>
          <w:szCs w:val="24"/>
        </w:rPr>
        <w:t>4</w:t>
      </w:r>
      <w:r w:rsidR="001619F1">
        <w:rPr>
          <w:rFonts w:ascii="Arial" w:hAnsi="Arial" w:cs="Arial"/>
          <w:sz w:val="24"/>
          <w:szCs w:val="24"/>
        </w:rPr>
        <w:t xml:space="preserve"> Ju</w:t>
      </w:r>
      <w:r w:rsidR="001600C4">
        <w:rPr>
          <w:rFonts w:ascii="Arial" w:hAnsi="Arial" w:cs="Arial"/>
          <w:sz w:val="24"/>
          <w:szCs w:val="24"/>
        </w:rPr>
        <w:t>ly</w:t>
      </w:r>
      <w:r w:rsidR="001619F1">
        <w:rPr>
          <w:rFonts w:ascii="Arial" w:hAnsi="Arial" w:cs="Arial"/>
          <w:sz w:val="24"/>
          <w:szCs w:val="24"/>
        </w:rPr>
        <w:t xml:space="preserve">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7B11" w14:textId="77777777" w:rsidR="00876966" w:rsidRDefault="00876966">
      <w:pPr>
        <w:spacing w:after="0" w:line="240" w:lineRule="auto"/>
      </w:pPr>
      <w:r>
        <w:separator/>
      </w:r>
    </w:p>
  </w:endnote>
  <w:endnote w:type="continuationSeparator" w:id="0">
    <w:p w14:paraId="74A9C3A5" w14:textId="77777777" w:rsidR="00876966" w:rsidRDefault="0087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788C9F76" w:rsidR="00B94EBE" w:rsidRDefault="00B94EBE">
        <w:pPr>
          <w:pStyle w:val="Footer"/>
          <w:jc w:val="center"/>
        </w:pPr>
        <w:r>
          <w:fldChar w:fldCharType="begin"/>
        </w:r>
        <w:r>
          <w:instrText xml:space="preserve"> PAGE   \* MERGEFORMAT </w:instrText>
        </w:r>
        <w:r>
          <w:fldChar w:fldCharType="separate"/>
        </w:r>
        <w:r w:rsidR="00CA4B9A">
          <w:rPr>
            <w:noProof/>
          </w:rPr>
          <w:t>25</w:t>
        </w:r>
        <w:r>
          <w:rPr>
            <w:noProof/>
          </w:rPr>
          <w:fldChar w:fldCharType="end"/>
        </w:r>
      </w:p>
    </w:sdtContent>
  </w:sdt>
  <w:p w14:paraId="53EAF7CA" w14:textId="77777777" w:rsidR="00B94EBE" w:rsidRDefault="00B94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75F7" w14:textId="77777777" w:rsidR="00876966" w:rsidRDefault="00876966">
      <w:pPr>
        <w:spacing w:after="0" w:line="240" w:lineRule="auto"/>
      </w:pPr>
      <w:r>
        <w:separator/>
      </w:r>
    </w:p>
  </w:footnote>
  <w:footnote w:type="continuationSeparator" w:id="0">
    <w:p w14:paraId="29EE5D50" w14:textId="77777777" w:rsidR="00876966" w:rsidRDefault="00876966">
      <w:pPr>
        <w:spacing w:after="0" w:line="240" w:lineRule="auto"/>
      </w:pPr>
      <w:r>
        <w:continuationSeparator/>
      </w:r>
    </w:p>
  </w:footnote>
  <w:footnote w:id="1">
    <w:p w14:paraId="1E41A8C6" w14:textId="2E5B705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The erratum records that a minimum functionality score of 65% should be met for further evaluation on price and preference. Since the three bidders that moved forward all attained a score </w:t>
      </w:r>
      <w:r w:rsidR="00B04A27" w:rsidRPr="00EA7C56">
        <w:rPr>
          <w:rFonts w:ascii="Arial" w:hAnsi="Arial" w:cs="Arial"/>
          <w:sz w:val="22"/>
          <w:szCs w:val="22"/>
        </w:rPr>
        <w:t>higher</w:t>
      </w:r>
      <w:r w:rsidRPr="00EA7C56">
        <w:rPr>
          <w:rFonts w:ascii="Arial" w:hAnsi="Arial" w:cs="Arial"/>
          <w:sz w:val="22"/>
          <w:szCs w:val="22"/>
        </w:rPr>
        <w:t xml:space="preserve"> than 65% the issue as to whether a 50% or 65% functionality score had to be obtained before a bidder’s tender would be evaluated on price and preference is neither here nor there.</w:t>
      </w:r>
    </w:p>
  </w:footnote>
  <w:footnote w:id="2">
    <w:p w14:paraId="273CBEE7" w14:textId="74535673"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1927 CPD 130.</w:t>
      </w:r>
    </w:p>
  </w:footnote>
  <w:footnote w:id="3">
    <w:p w14:paraId="15972C7A" w14:textId="77777777" w:rsidR="009A6A0A" w:rsidRPr="00EA7C56" w:rsidRDefault="009A6A0A"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2014 (1) SA 604 (CC) at par [32].</w:t>
      </w:r>
    </w:p>
  </w:footnote>
  <w:footnote w:id="4">
    <w:p w14:paraId="740EE469" w14:textId="1DC61E0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(1371/2017) [2019] ZAECGHC 22 (14 March 2019) at paras [8] – [10].</w:t>
      </w:r>
    </w:p>
  </w:footnote>
  <w:footnote w:id="5">
    <w:p w14:paraId="104C75AD" w14:textId="7777777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[2014] 1 ALL Sa 545 (SCA) at par [10].</w:t>
      </w:r>
    </w:p>
  </w:footnote>
  <w:footnote w:id="6">
    <w:p w14:paraId="604B1D0D" w14:textId="7777777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2004 91) SA 308 (SCA) at par [31].</w:t>
      </w:r>
    </w:p>
  </w:footnote>
  <w:footnote w:id="7">
    <w:p w14:paraId="352E87F8" w14:textId="73EDF0F9"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i/>
          <w:sz w:val="22"/>
          <w:szCs w:val="22"/>
          <w:lang w:val="en-GB"/>
        </w:rPr>
        <w:t>Potchefstroom Electronic Law Journal</w:t>
      </w:r>
      <w:r w:rsidRPr="00EA7C56">
        <w:rPr>
          <w:rFonts w:ascii="Arial" w:hAnsi="Arial" w:cs="Arial"/>
          <w:sz w:val="22"/>
          <w:szCs w:val="22"/>
          <w:lang w:val="en-GB"/>
        </w:rPr>
        <w:t xml:space="preserve"> vol 17:6 2014 2314-2354 on 2314.</w:t>
      </w:r>
    </w:p>
  </w:footnote>
  <w:footnote w:id="8">
    <w:p w14:paraId="5788E1C2" w14:textId="6D132B94"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00AF78C2" w:rsidRPr="00EA7C56">
        <w:rPr>
          <w:rFonts w:ascii="Arial" w:hAnsi="Arial" w:cs="Arial"/>
          <w:sz w:val="22"/>
          <w:szCs w:val="22"/>
          <w:lang w:val="en-GB"/>
        </w:rPr>
        <w:t>2008 (2) SA 638 (SCA).</w:t>
      </w:r>
    </w:p>
  </w:footnote>
  <w:footnote w:id="9">
    <w:p w14:paraId="6FCFDEEB" w14:textId="07035B99"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2014 (1) SA 604 (CC).</w:t>
      </w:r>
    </w:p>
  </w:footnote>
  <w:footnote w:id="10">
    <w:p w14:paraId="12C022A4" w14:textId="7777777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2013 (4) SA 557 (SCA) at par [96].</w:t>
      </w:r>
    </w:p>
  </w:footnote>
  <w:footnote w:id="11">
    <w:p w14:paraId="72640195" w14:textId="03F3BE0C"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Supra at par [21].</w:t>
      </w:r>
    </w:p>
  </w:footnote>
  <w:footnote w:id="12">
    <w:p w14:paraId="0A437C05" w14:textId="113039A4"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Ibid.</w:t>
      </w:r>
    </w:p>
  </w:footnote>
  <w:footnote w:id="13">
    <w:p w14:paraId="4959484F" w14:textId="6A540739"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2014 (1) SA 604 (CC) at par [22].</w:t>
      </w:r>
    </w:p>
  </w:footnote>
  <w:footnote w:id="14">
    <w:p w14:paraId="76DB6BCF" w14:textId="214524D9"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Supra at par [23].</w:t>
      </w:r>
    </w:p>
  </w:footnote>
  <w:footnote w:id="15">
    <w:p w14:paraId="07AAA99B" w14:textId="443A7601"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Supra at par [24].</w:t>
      </w:r>
    </w:p>
  </w:footnote>
  <w:footnote w:id="16">
    <w:p w14:paraId="378D87B4" w14:textId="1931AEC6"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Ibid.</w:t>
      </w:r>
    </w:p>
  </w:footnote>
  <w:footnote w:id="17">
    <w:p w14:paraId="28F292C7" w14:textId="794C6722"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Supra at par [25].</w:t>
      </w:r>
    </w:p>
  </w:footnote>
  <w:footnote w:id="18">
    <w:p w14:paraId="23FB5BEC" w14:textId="692E75D4"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Supra at par [28].</w:t>
      </w:r>
    </w:p>
  </w:footnote>
  <w:footnote w:id="19">
    <w:p w14:paraId="0676778B" w14:textId="5E913C1C"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Ibid.</w:t>
      </w:r>
    </w:p>
  </w:footnote>
  <w:footnote w:id="20">
    <w:p w14:paraId="79F10AA2" w14:textId="0BC2127D" w:rsidR="00EA7C56" w:rsidRPr="00EA7C56" w:rsidRDefault="00EA7C56" w:rsidP="00EA7C56">
      <w:pPr>
        <w:pStyle w:val="FootnoteText"/>
        <w:spacing w:before="120"/>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Pr>
          <w:rFonts w:ascii="Arial" w:hAnsi="Arial" w:cs="Arial"/>
          <w:sz w:val="22"/>
          <w:szCs w:val="22"/>
          <w:lang w:val="en-GB"/>
        </w:rPr>
        <w:t>Supra at par [30]</w:t>
      </w:r>
      <w:r w:rsidRPr="00EA7C56">
        <w:rPr>
          <w:rFonts w:ascii="Arial" w:hAnsi="Arial" w:cs="Arial"/>
          <w:sz w:val="22"/>
          <w:szCs w:val="22"/>
          <w:lang w:val="en-GB"/>
        </w:rPr>
        <w:t>.</w:t>
      </w:r>
    </w:p>
  </w:footnote>
  <w:footnote w:id="21">
    <w:p w14:paraId="466B9C5E" w14:textId="113C18E6"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00B04A27" w:rsidRPr="00EA7C56">
        <w:rPr>
          <w:rFonts w:ascii="Arial" w:hAnsi="Arial" w:cs="Arial"/>
          <w:sz w:val="22"/>
          <w:szCs w:val="22"/>
          <w:lang w:val="en-GB"/>
        </w:rPr>
        <w:t>[2010]</w:t>
      </w:r>
      <w:r w:rsidRPr="00EA7C56">
        <w:rPr>
          <w:rFonts w:ascii="Arial" w:hAnsi="Arial" w:cs="Arial"/>
          <w:sz w:val="22"/>
          <w:szCs w:val="22"/>
          <w:lang w:val="en-GB"/>
        </w:rPr>
        <w:t xml:space="preserve"> </w:t>
      </w:r>
      <w:r w:rsidR="00B04A27" w:rsidRPr="00EA7C56">
        <w:rPr>
          <w:rFonts w:ascii="Arial" w:hAnsi="Arial" w:cs="Arial"/>
          <w:sz w:val="22"/>
          <w:szCs w:val="22"/>
          <w:lang w:val="en-GB"/>
        </w:rPr>
        <w:t xml:space="preserve">1 </w:t>
      </w:r>
      <w:r w:rsidRPr="00EA7C56">
        <w:rPr>
          <w:rFonts w:ascii="Arial" w:hAnsi="Arial" w:cs="Arial"/>
          <w:sz w:val="22"/>
          <w:szCs w:val="22"/>
          <w:lang w:val="en-GB"/>
        </w:rPr>
        <w:t>All SA 280 (SCA) (18 September 2009) at par [1].</w:t>
      </w:r>
    </w:p>
  </w:footnote>
  <w:footnote w:id="22">
    <w:p w14:paraId="5913288D" w14:textId="7777777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1997 (4) SA 835 (C).</w:t>
      </w:r>
    </w:p>
  </w:footnote>
  <w:footnote w:id="23">
    <w:p w14:paraId="4F078443" w14:textId="77777777"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sz w:val="22"/>
          <w:szCs w:val="22"/>
          <w:lang w:val="en-GB"/>
        </w:rPr>
        <w:t>2018 (3) SA 108 (Nk)</w:t>
      </w:r>
    </w:p>
  </w:footnote>
  <w:footnote w:id="24">
    <w:p w14:paraId="1788764D" w14:textId="7251B435" w:rsidR="00B94EBE" w:rsidRPr="00EA7C56" w:rsidRDefault="00B94EBE"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i/>
          <w:sz w:val="22"/>
          <w:szCs w:val="22"/>
          <w:lang w:val="en-GB"/>
        </w:rPr>
        <w:t xml:space="preserve">Maccsand (Pty) Ltd v City of Cape Town and </w:t>
      </w:r>
      <w:r w:rsidR="001619F1" w:rsidRPr="00EA7C56">
        <w:rPr>
          <w:rFonts w:ascii="Arial" w:hAnsi="Arial" w:cs="Arial"/>
          <w:i/>
          <w:sz w:val="22"/>
          <w:szCs w:val="22"/>
          <w:lang w:val="en-GB"/>
        </w:rPr>
        <w:t xml:space="preserve">Others </w:t>
      </w:r>
      <w:r w:rsidR="001619F1" w:rsidRPr="00EA7C56">
        <w:rPr>
          <w:rFonts w:ascii="Arial" w:hAnsi="Arial" w:cs="Arial"/>
          <w:sz w:val="22"/>
          <w:szCs w:val="22"/>
          <w:lang w:val="en-GB"/>
        </w:rPr>
        <w:t>2012</w:t>
      </w:r>
      <w:r w:rsidRPr="00EA7C56">
        <w:rPr>
          <w:rFonts w:ascii="Arial" w:hAnsi="Arial" w:cs="Arial"/>
          <w:sz w:val="22"/>
          <w:szCs w:val="22"/>
          <w:lang w:val="en-GB"/>
        </w:rPr>
        <w:t xml:space="preserve"> (4) SA 181 (CC</w:t>
      </w:r>
      <w:r w:rsidR="001619F1" w:rsidRPr="00EA7C56">
        <w:rPr>
          <w:rFonts w:ascii="Arial" w:hAnsi="Arial" w:cs="Arial"/>
          <w:sz w:val="22"/>
          <w:szCs w:val="22"/>
          <w:lang w:val="en-GB"/>
        </w:rPr>
        <w:t>) par</w:t>
      </w:r>
      <w:r w:rsidRPr="00EA7C56">
        <w:rPr>
          <w:rFonts w:ascii="Arial" w:hAnsi="Arial" w:cs="Arial"/>
          <w:sz w:val="22"/>
          <w:szCs w:val="22"/>
          <w:lang w:val="en-GB"/>
        </w:rPr>
        <w:t xml:space="preserve"> [17].</w:t>
      </w:r>
    </w:p>
  </w:footnote>
  <w:footnote w:id="25">
    <w:p w14:paraId="261E72B4" w14:textId="229A924D" w:rsidR="004954D4" w:rsidRPr="00EA7C56" w:rsidRDefault="004954D4" w:rsidP="00EA7C56">
      <w:pPr>
        <w:pStyle w:val="FootnoteText"/>
        <w:spacing w:before="120"/>
        <w:jc w:val="both"/>
        <w:rPr>
          <w:rFonts w:ascii="Arial" w:hAnsi="Arial" w:cs="Arial"/>
          <w:sz w:val="22"/>
          <w:szCs w:val="22"/>
          <w:lang w:val="en-GB"/>
        </w:rPr>
      </w:pPr>
      <w:r w:rsidRPr="00EA7C56">
        <w:rPr>
          <w:rStyle w:val="FootnoteReference"/>
          <w:rFonts w:ascii="Arial" w:hAnsi="Arial" w:cs="Arial"/>
          <w:sz w:val="22"/>
          <w:szCs w:val="22"/>
        </w:rPr>
        <w:footnoteRef/>
      </w:r>
      <w:r w:rsidRPr="00EA7C56">
        <w:rPr>
          <w:rFonts w:ascii="Arial" w:hAnsi="Arial" w:cs="Arial"/>
          <w:sz w:val="22"/>
          <w:szCs w:val="22"/>
        </w:rPr>
        <w:t xml:space="preserve"> </w:t>
      </w:r>
      <w:r w:rsidRPr="00EA7C56">
        <w:rPr>
          <w:rFonts w:ascii="Arial" w:hAnsi="Arial" w:cs="Arial"/>
          <w:i/>
          <w:sz w:val="22"/>
          <w:szCs w:val="22"/>
          <w:lang w:val="en-GB"/>
        </w:rPr>
        <w:t xml:space="preserve">Trencon Construction (Pty) </w:t>
      </w:r>
      <w:r w:rsidR="00646017" w:rsidRPr="00EA7C56">
        <w:rPr>
          <w:rFonts w:ascii="Arial" w:hAnsi="Arial" w:cs="Arial"/>
          <w:i/>
          <w:sz w:val="22"/>
          <w:szCs w:val="22"/>
          <w:lang w:val="en-GB"/>
        </w:rPr>
        <w:t>L</w:t>
      </w:r>
      <w:r w:rsidRPr="00EA7C56">
        <w:rPr>
          <w:rFonts w:ascii="Arial" w:hAnsi="Arial" w:cs="Arial"/>
          <w:i/>
          <w:sz w:val="22"/>
          <w:szCs w:val="22"/>
          <w:lang w:val="en-GB"/>
        </w:rPr>
        <w:t xml:space="preserve">td v Industrial </w:t>
      </w:r>
      <w:r w:rsidR="00646017" w:rsidRPr="00EA7C56">
        <w:rPr>
          <w:rFonts w:ascii="Arial" w:hAnsi="Arial" w:cs="Arial"/>
          <w:i/>
          <w:sz w:val="22"/>
          <w:szCs w:val="22"/>
          <w:lang w:val="en-GB"/>
        </w:rPr>
        <w:t>D</w:t>
      </w:r>
      <w:r w:rsidRPr="00EA7C56">
        <w:rPr>
          <w:rFonts w:ascii="Arial" w:hAnsi="Arial" w:cs="Arial"/>
          <w:i/>
          <w:sz w:val="22"/>
          <w:szCs w:val="22"/>
          <w:lang w:val="en-GB"/>
        </w:rPr>
        <w:t xml:space="preserve">evelopment </w:t>
      </w:r>
      <w:r w:rsidR="00646017" w:rsidRPr="00EA7C56">
        <w:rPr>
          <w:rFonts w:ascii="Arial" w:hAnsi="Arial" w:cs="Arial"/>
          <w:i/>
          <w:sz w:val="22"/>
          <w:szCs w:val="22"/>
          <w:lang w:val="en-GB"/>
        </w:rPr>
        <w:t>C</w:t>
      </w:r>
      <w:r w:rsidRPr="00EA7C56">
        <w:rPr>
          <w:rFonts w:ascii="Arial" w:hAnsi="Arial" w:cs="Arial"/>
          <w:i/>
          <w:sz w:val="22"/>
          <w:szCs w:val="22"/>
          <w:lang w:val="en-GB"/>
        </w:rPr>
        <w:t>orporation of South Africa Ltd and Another</w:t>
      </w:r>
      <w:r w:rsidRPr="00EA7C56">
        <w:rPr>
          <w:rFonts w:ascii="Arial" w:hAnsi="Arial" w:cs="Arial"/>
          <w:sz w:val="22"/>
          <w:szCs w:val="22"/>
          <w:lang w:val="en-GB"/>
        </w:rPr>
        <w:t xml:space="preserve"> 2015 (5) SA 245 (CC) par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7833A0BD" w:rsidR="00B94EBE" w:rsidRDefault="00B94EBE">
        <w:pPr>
          <w:pStyle w:val="Header"/>
          <w:jc w:val="center"/>
        </w:pPr>
        <w:r>
          <w:fldChar w:fldCharType="begin"/>
        </w:r>
        <w:r>
          <w:instrText xml:space="preserve"> PAGE   \* MERGEFORMAT </w:instrText>
        </w:r>
        <w:r>
          <w:fldChar w:fldCharType="separate"/>
        </w:r>
        <w:r w:rsidR="00CA4B9A">
          <w:rPr>
            <w:noProof/>
          </w:rPr>
          <w:t>25</w:t>
        </w:r>
        <w:r>
          <w:rPr>
            <w:noProof/>
          </w:rPr>
          <w:fldChar w:fldCharType="end"/>
        </w:r>
      </w:p>
    </w:sdtContent>
  </w:sdt>
  <w:p w14:paraId="281D55A2" w14:textId="77777777" w:rsidR="00B94EBE" w:rsidRDefault="00B94E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047EC"/>
    <w:multiLevelType w:val="hybridMultilevel"/>
    <w:tmpl w:val="1890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15:restartNumberingAfterBreak="0">
    <w:nsid w:val="78B21DB0"/>
    <w:multiLevelType w:val="hybridMultilevel"/>
    <w:tmpl w:val="287A3E3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0E2902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D702BB"/>
    <w:multiLevelType w:val="hybridMultilevel"/>
    <w:tmpl w:val="422ACE06"/>
    <w:lvl w:ilvl="0" w:tplc="16E6E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32"/>
  </w:num>
  <w:num w:numId="5">
    <w:abstractNumId w:val="1"/>
  </w:num>
  <w:num w:numId="6">
    <w:abstractNumId w:val="17"/>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35"/>
  </w:num>
  <w:num w:numId="12">
    <w:abstractNumId w:val="14"/>
  </w:num>
  <w:num w:numId="13">
    <w:abstractNumId w:val="12"/>
  </w:num>
  <w:num w:numId="14">
    <w:abstractNumId w:val="31"/>
  </w:num>
  <w:num w:numId="15">
    <w:abstractNumId w:val="26"/>
  </w:num>
  <w:num w:numId="16">
    <w:abstractNumId w:val="5"/>
  </w:num>
  <w:num w:numId="17">
    <w:abstractNumId w:val="28"/>
  </w:num>
  <w:num w:numId="18">
    <w:abstractNumId w:val="13"/>
  </w:num>
  <w:num w:numId="19">
    <w:abstractNumId w:val="7"/>
  </w:num>
  <w:num w:numId="20">
    <w:abstractNumId w:val="6"/>
  </w:num>
  <w:num w:numId="21">
    <w:abstractNumId w:val="2"/>
  </w:num>
  <w:num w:numId="22">
    <w:abstractNumId w:val="25"/>
  </w:num>
  <w:num w:numId="23">
    <w:abstractNumId w:val="18"/>
  </w:num>
  <w:num w:numId="24">
    <w:abstractNumId w:val="20"/>
  </w:num>
  <w:num w:numId="25">
    <w:abstractNumId w:val="38"/>
  </w:num>
  <w:num w:numId="26">
    <w:abstractNumId w:val="27"/>
  </w:num>
  <w:num w:numId="27">
    <w:abstractNumId w:val="34"/>
  </w:num>
  <w:num w:numId="28">
    <w:abstractNumId w:val="29"/>
  </w:num>
  <w:num w:numId="29">
    <w:abstractNumId w:val="15"/>
  </w:num>
  <w:num w:numId="30">
    <w:abstractNumId w:val="4"/>
  </w:num>
  <w:num w:numId="31">
    <w:abstractNumId w:val="24"/>
  </w:num>
  <w:num w:numId="32">
    <w:abstractNumId w:val="9"/>
  </w:num>
  <w:num w:numId="33">
    <w:abstractNumId w:val="11"/>
  </w:num>
  <w:num w:numId="34">
    <w:abstractNumId w:val="23"/>
  </w:num>
  <w:num w:numId="35">
    <w:abstractNumId w:val="16"/>
  </w:num>
  <w:num w:numId="36">
    <w:abstractNumId w:val="10"/>
  </w:num>
  <w:num w:numId="37">
    <w:abstractNumId w:val="33"/>
  </w:num>
  <w:num w:numId="38">
    <w:abstractNumId w:val="3"/>
  </w:num>
  <w:num w:numId="39">
    <w:abstractNumId w:val="3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4FACk3Tl0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3FA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0F94"/>
    <w:rsid w:val="00061538"/>
    <w:rsid w:val="00062130"/>
    <w:rsid w:val="00062922"/>
    <w:rsid w:val="00064763"/>
    <w:rsid w:val="000649D6"/>
    <w:rsid w:val="00065E8F"/>
    <w:rsid w:val="00066082"/>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679"/>
    <w:rsid w:val="000769B8"/>
    <w:rsid w:val="00076D45"/>
    <w:rsid w:val="00076E83"/>
    <w:rsid w:val="0008099B"/>
    <w:rsid w:val="000809D6"/>
    <w:rsid w:val="0008149E"/>
    <w:rsid w:val="0008222B"/>
    <w:rsid w:val="00084058"/>
    <w:rsid w:val="00085CA1"/>
    <w:rsid w:val="00087A9C"/>
    <w:rsid w:val="00090049"/>
    <w:rsid w:val="00090328"/>
    <w:rsid w:val="0009046E"/>
    <w:rsid w:val="00091185"/>
    <w:rsid w:val="00091A89"/>
    <w:rsid w:val="00092153"/>
    <w:rsid w:val="0009232A"/>
    <w:rsid w:val="00094B43"/>
    <w:rsid w:val="0009544D"/>
    <w:rsid w:val="00096775"/>
    <w:rsid w:val="00096DAE"/>
    <w:rsid w:val="0009779B"/>
    <w:rsid w:val="000A0887"/>
    <w:rsid w:val="000A0E23"/>
    <w:rsid w:val="000A0FE8"/>
    <w:rsid w:val="000A3C9A"/>
    <w:rsid w:val="000A3E11"/>
    <w:rsid w:val="000A4062"/>
    <w:rsid w:val="000A518B"/>
    <w:rsid w:val="000A5A2F"/>
    <w:rsid w:val="000A6421"/>
    <w:rsid w:val="000A7776"/>
    <w:rsid w:val="000B1AFB"/>
    <w:rsid w:val="000B266F"/>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1DE"/>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5F8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0C4"/>
    <w:rsid w:val="0016057B"/>
    <w:rsid w:val="0016180C"/>
    <w:rsid w:val="001619F1"/>
    <w:rsid w:val="00162779"/>
    <w:rsid w:val="00162C52"/>
    <w:rsid w:val="00162C6B"/>
    <w:rsid w:val="00164075"/>
    <w:rsid w:val="00164B19"/>
    <w:rsid w:val="0016541E"/>
    <w:rsid w:val="00165BDF"/>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0A23"/>
    <w:rsid w:val="0019113E"/>
    <w:rsid w:val="00191FEC"/>
    <w:rsid w:val="001933F8"/>
    <w:rsid w:val="00193443"/>
    <w:rsid w:val="001A090F"/>
    <w:rsid w:val="001A15F9"/>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63C5"/>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1F7A65"/>
    <w:rsid w:val="00200386"/>
    <w:rsid w:val="002010BD"/>
    <w:rsid w:val="00201ABE"/>
    <w:rsid w:val="002026A5"/>
    <w:rsid w:val="002033C4"/>
    <w:rsid w:val="00203E30"/>
    <w:rsid w:val="0020431B"/>
    <w:rsid w:val="002043F5"/>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2720"/>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139D"/>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70F"/>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4BC"/>
    <w:rsid w:val="0028372B"/>
    <w:rsid w:val="00283DA4"/>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CB0"/>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19FA"/>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0E39"/>
    <w:rsid w:val="002F1742"/>
    <w:rsid w:val="002F216F"/>
    <w:rsid w:val="002F3636"/>
    <w:rsid w:val="002F4264"/>
    <w:rsid w:val="002F65EC"/>
    <w:rsid w:val="002F742A"/>
    <w:rsid w:val="002F7CBE"/>
    <w:rsid w:val="003000A5"/>
    <w:rsid w:val="00300C0B"/>
    <w:rsid w:val="00300E24"/>
    <w:rsid w:val="0030111F"/>
    <w:rsid w:val="00301C50"/>
    <w:rsid w:val="0030206C"/>
    <w:rsid w:val="00303499"/>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3837"/>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C27"/>
    <w:rsid w:val="00377FDC"/>
    <w:rsid w:val="00384E67"/>
    <w:rsid w:val="00387956"/>
    <w:rsid w:val="00390A6D"/>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3C0"/>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E7115"/>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09D9"/>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FA9"/>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A58"/>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1AD"/>
    <w:rsid w:val="00494691"/>
    <w:rsid w:val="004952B8"/>
    <w:rsid w:val="004954D4"/>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0355"/>
    <w:rsid w:val="004C1C76"/>
    <w:rsid w:val="004C3347"/>
    <w:rsid w:val="004C44F3"/>
    <w:rsid w:val="004C5540"/>
    <w:rsid w:val="004C58FD"/>
    <w:rsid w:val="004C5BA7"/>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3BAE"/>
    <w:rsid w:val="004F4C56"/>
    <w:rsid w:val="004F64F2"/>
    <w:rsid w:val="004F77AB"/>
    <w:rsid w:val="0050026B"/>
    <w:rsid w:val="005010A0"/>
    <w:rsid w:val="0050127E"/>
    <w:rsid w:val="00501896"/>
    <w:rsid w:val="00502030"/>
    <w:rsid w:val="00502589"/>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ED9"/>
    <w:rsid w:val="00565011"/>
    <w:rsid w:val="0056506E"/>
    <w:rsid w:val="005650BD"/>
    <w:rsid w:val="00565EBC"/>
    <w:rsid w:val="0056662F"/>
    <w:rsid w:val="00566D53"/>
    <w:rsid w:val="0056708A"/>
    <w:rsid w:val="00567242"/>
    <w:rsid w:val="00567755"/>
    <w:rsid w:val="00571BB7"/>
    <w:rsid w:val="0057317C"/>
    <w:rsid w:val="00573656"/>
    <w:rsid w:val="0057496C"/>
    <w:rsid w:val="005749A3"/>
    <w:rsid w:val="00574A7F"/>
    <w:rsid w:val="00576774"/>
    <w:rsid w:val="005768EA"/>
    <w:rsid w:val="00581965"/>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7F9"/>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3458"/>
    <w:rsid w:val="005C4E0D"/>
    <w:rsid w:val="005C58A6"/>
    <w:rsid w:val="005C598D"/>
    <w:rsid w:val="005C6D14"/>
    <w:rsid w:val="005C6E1B"/>
    <w:rsid w:val="005C7540"/>
    <w:rsid w:val="005D128F"/>
    <w:rsid w:val="005D16CB"/>
    <w:rsid w:val="005D2FFF"/>
    <w:rsid w:val="005D4337"/>
    <w:rsid w:val="005D43BE"/>
    <w:rsid w:val="005D4ED7"/>
    <w:rsid w:val="005D5215"/>
    <w:rsid w:val="005D620D"/>
    <w:rsid w:val="005D6A6C"/>
    <w:rsid w:val="005D7C43"/>
    <w:rsid w:val="005D7EB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2B16"/>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017"/>
    <w:rsid w:val="00646D05"/>
    <w:rsid w:val="0065021B"/>
    <w:rsid w:val="006508B5"/>
    <w:rsid w:val="00652ED0"/>
    <w:rsid w:val="0065314C"/>
    <w:rsid w:val="0065373C"/>
    <w:rsid w:val="00653E55"/>
    <w:rsid w:val="00653E9F"/>
    <w:rsid w:val="006540B2"/>
    <w:rsid w:val="0065472B"/>
    <w:rsid w:val="00655C9D"/>
    <w:rsid w:val="0065773B"/>
    <w:rsid w:val="00660DFA"/>
    <w:rsid w:val="00660F44"/>
    <w:rsid w:val="006623C6"/>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99D"/>
    <w:rsid w:val="00685CFD"/>
    <w:rsid w:val="00686EFD"/>
    <w:rsid w:val="00686FD0"/>
    <w:rsid w:val="00687337"/>
    <w:rsid w:val="0068759C"/>
    <w:rsid w:val="00690771"/>
    <w:rsid w:val="00690B3B"/>
    <w:rsid w:val="00690EC2"/>
    <w:rsid w:val="00692613"/>
    <w:rsid w:val="0069335C"/>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3159"/>
    <w:rsid w:val="006E527B"/>
    <w:rsid w:val="006E5309"/>
    <w:rsid w:val="006E6BFD"/>
    <w:rsid w:val="006E749B"/>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04AF"/>
    <w:rsid w:val="00761426"/>
    <w:rsid w:val="0076196C"/>
    <w:rsid w:val="00762137"/>
    <w:rsid w:val="007625C7"/>
    <w:rsid w:val="0076261C"/>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420"/>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0286"/>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1687"/>
    <w:rsid w:val="007C2260"/>
    <w:rsid w:val="007C26FB"/>
    <w:rsid w:val="007C298C"/>
    <w:rsid w:val="007C356E"/>
    <w:rsid w:val="007C4C2B"/>
    <w:rsid w:val="007C5F71"/>
    <w:rsid w:val="007C71AF"/>
    <w:rsid w:val="007D0436"/>
    <w:rsid w:val="007D161F"/>
    <w:rsid w:val="007D26B3"/>
    <w:rsid w:val="007D3525"/>
    <w:rsid w:val="007D3FC3"/>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6A70"/>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3C9B"/>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669BB"/>
    <w:rsid w:val="0087094A"/>
    <w:rsid w:val="00872213"/>
    <w:rsid w:val="00873177"/>
    <w:rsid w:val="0087350A"/>
    <w:rsid w:val="0087369B"/>
    <w:rsid w:val="00873B73"/>
    <w:rsid w:val="0087452D"/>
    <w:rsid w:val="008751FA"/>
    <w:rsid w:val="00875554"/>
    <w:rsid w:val="00875DB7"/>
    <w:rsid w:val="00876966"/>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9C6"/>
    <w:rsid w:val="00893C7D"/>
    <w:rsid w:val="00893CD6"/>
    <w:rsid w:val="00893E0F"/>
    <w:rsid w:val="00894A2A"/>
    <w:rsid w:val="008963EC"/>
    <w:rsid w:val="008964A5"/>
    <w:rsid w:val="00896A99"/>
    <w:rsid w:val="008A01B6"/>
    <w:rsid w:val="008A0293"/>
    <w:rsid w:val="008A0432"/>
    <w:rsid w:val="008A0EDC"/>
    <w:rsid w:val="008A0EDF"/>
    <w:rsid w:val="008A149F"/>
    <w:rsid w:val="008A199C"/>
    <w:rsid w:val="008A233C"/>
    <w:rsid w:val="008A3B9A"/>
    <w:rsid w:val="008A42E9"/>
    <w:rsid w:val="008A5D64"/>
    <w:rsid w:val="008A5F61"/>
    <w:rsid w:val="008A6435"/>
    <w:rsid w:val="008A6BB3"/>
    <w:rsid w:val="008A6FE2"/>
    <w:rsid w:val="008B09B3"/>
    <w:rsid w:val="008B142A"/>
    <w:rsid w:val="008B14AB"/>
    <w:rsid w:val="008B1759"/>
    <w:rsid w:val="008B29CD"/>
    <w:rsid w:val="008B30DB"/>
    <w:rsid w:val="008B405C"/>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0E7"/>
    <w:rsid w:val="008D13E5"/>
    <w:rsid w:val="008D1CD9"/>
    <w:rsid w:val="008D2234"/>
    <w:rsid w:val="008D22FB"/>
    <w:rsid w:val="008D3019"/>
    <w:rsid w:val="008D32BD"/>
    <w:rsid w:val="008D5940"/>
    <w:rsid w:val="008D5FED"/>
    <w:rsid w:val="008D6302"/>
    <w:rsid w:val="008D69E1"/>
    <w:rsid w:val="008D6C1E"/>
    <w:rsid w:val="008D7513"/>
    <w:rsid w:val="008E0FA4"/>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5E0A"/>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47211"/>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774"/>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0A"/>
    <w:rsid w:val="009A6A5C"/>
    <w:rsid w:val="009A6B59"/>
    <w:rsid w:val="009A6F02"/>
    <w:rsid w:val="009A75A3"/>
    <w:rsid w:val="009B11E7"/>
    <w:rsid w:val="009B179F"/>
    <w:rsid w:val="009B195B"/>
    <w:rsid w:val="009B3067"/>
    <w:rsid w:val="009B3399"/>
    <w:rsid w:val="009B5B53"/>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D08"/>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D94"/>
    <w:rsid w:val="009D7F77"/>
    <w:rsid w:val="009E00AC"/>
    <w:rsid w:val="009E08AA"/>
    <w:rsid w:val="009E131B"/>
    <w:rsid w:val="009E148C"/>
    <w:rsid w:val="009E1DF2"/>
    <w:rsid w:val="009E2268"/>
    <w:rsid w:val="009E22D1"/>
    <w:rsid w:val="009E365D"/>
    <w:rsid w:val="009E3881"/>
    <w:rsid w:val="009E410E"/>
    <w:rsid w:val="009E433D"/>
    <w:rsid w:val="009E454F"/>
    <w:rsid w:val="009E4C74"/>
    <w:rsid w:val="009E51C3"/>
    <w:rsid w:val="009E6D0F"/>
    <w:rsid w:val="009E7C18"/>
    <w:rsid w:val="009F116F"/>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1AB7"/>
    <w:rsid w:val="00A12C61"/>
    <w:rsid w:val="00A15373"/>
    <w:rsid w:val="00A156D4"/>
    <w:rsid w:val="00A16AFB"/>
    <w:rsid w:val="00A17BE4"/>
    <w:rsid w:val="00A2083F"/>
    <w:rsid w:val="00A2172C"/>
    <w:rsid w:val="00A2199D"/>
    <w:rsid w:val="00A21AD0"/>
    <w:rsid w:val="00A22FA5"/>
    <w:rsid w:val="00A258C9"/>
    <w:rsid w:val="00A262CA"/>
    <w:rsid w:val="00A2635B"/>
    <w:rsid w:val="00A26ADF"/>
    <w:rsid w:val="00A27206"/>
    <w:rsid w:val="00A315F2"/>
    <w:rsid w:val="00A31D30"/>
    <w:rsid w:val="00A32731"/>
    <w:rsid w:val="00A3289F"/>
    <w:rsid w:val="00A32CD7"/>
    <w:rsid w:val="00A33FA1"/>
    <w:rsid w:val="00A3441D"/>
    <w:rsid w:val="00A34ECA"/>
    <w:rsid w:val="00A35ADC"/>
    <w:rsid w:val="00A35D9C"/>
    <w:rsid w:val="00A37B40"/>
    <w:rsid w:val="00A42495"/>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6A37"/>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2720"/>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AF78C2"/>
    <w:rsid w:val="00B0025E"/>
    <w:rsid w:val="00B01458"/>
    <w:rsid w:val="00B01887"/>
    <w:rsid w:val="00B0288D"/>
    <w:rsid w:val="00B04A27"/>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68AC"/>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695"/>
    <w:rsid w:val="00B54BB7"/>
    <w:rsid w:val="00B55072"/>
    <w:rsid w:val="00B554CE"/>
    <w:rsid w:val="00B55E99"/>
    <w:rsid w:val="00B565EC"/>
    <w:rsid w:val="00B56B26"/>
    <w:rsid w:val="00B56D67"/>
    <w:rsid w:val="00B57969"/>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2E5B"/>
    <w:rsid w:val="00B833FD"/>
    <w:rsid w:val="00B856C8"/>
    <w:rsid w:val="00B8596A"/>
    <w:rsid w:val="00B859FB"/>
    <w:rsid w:val="00B85B7E"/>
    <w:rsid w:val="00B85CBA"/>
    <w:rsid w:val="00B86648"/>
    <w:rsid w:val="00B86863"/>
    <w:rsid w:val="00B86A48"/>
    <w:rsid w:val="00B87CFB"/>
    <w:rsid w:val="00B90516"/>
    <w:rsid w:val="00B90C09"/>
    <w:rsid w:val="00B91885"/>
    <w:rsid w:val="00B91F21"/>
    <w:rsid w:val="00B924DB"/>
    <w:rsid w:val="00B9380F"/>
    <w:rsid w:val="00B9384D"/>
    <w:rsid w:val="00B9432D"/>
    <w:rsid w:val="00B94EBE"/>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30E1"/>
    <w:rsid w:val="00BB442E"/>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D56"/>
    <w:rsid w:val="00BC6EAD"/>
    <w:rsid w:val="00BC6F27"/>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57EF"/>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927"/>
    <w:rsid w:val="00C00FCE"/>
    <w:rsid w:val="00C01A49"/>
    <w:rsid w:val="00C01EEA"/>
    <w:rsid w:val="00C02A39"/>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449F"/>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090E"/>
    <w:rsid w:val="00C813D9"/>
    <w:rsid w:val="00C8287D"/>
    <w:rsid w:val="00C8388E"/>
    <w:rsid w:val="00C839F3"/>
    <w:rsid w:val="00C8420A"/>
    <w:rsid w:val="00C85236"/>
    <w:rsid w:val="00C854B1"/>
    <w:rsid w:val="00C875D1"/>
    <w:rsid w:val="00C87D9D"/>
    <w:rsid w:val="00C90A63"/>
    <w:rsid w:val="00C92732"/>
    <w:rsid w:val="00C937C7"/>
    <w:rsid w:val="00C9608A"/>
    <w:rsid w:val="00C96C9A"/>
    <w:rsid w:val="00C96F9A"/>
    <w:rsid w:val="00C97578"/>
    <w:rsid w:val="00C97EAE"/>
    <w:rsid w:val="00CA1519"/>
    <w:rsid w:val="00CA1B89"/>
    <w:rsid w:val="00CA25AD"/>
    <w:rsid w:val="00CA26A1"/>
    <w:rsid w:val="00CA3367"/>
    <w:rsid w:val="00CA4B9A"/>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CBF"/>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644"/>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9AC"/>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1B80"/>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3F0F"/>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28A7"/>
    <w:rsid w:val="00DD3723"/>
    <w:rsid w:val="00DD37E3"/>
    <w:rsid w:val="00DD43AC"/>
    <w:rsid w:val="00DD451F"/>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357"/>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2C5C"/>
    <w:rsid w:val="00E63807"/>
    <w:rsid w:val="00E63CD6"/>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4DA"/>
    <w:rsid w:val="00E81F96"/>
    <w:rsid w:val="00E82B00"/>
    <w:rsid w:val="00E82FCC"/>
    <w:rsid w:val="00E846EA"/>
    <w:rsid w:val="00E8471C"/>
    <w:rsid w:val="00E84799"/>
    <w:rsid w:val="00E84DEE"/>
    <w:rsid w:val="00E86668"/>
    <w:rsid w:val="00E912BA"/>
    <w:rsid w:val="00E91DED"/>
    <w:rsid w:val="00E923BC"/>
    <w:rsid w:val="00E937ED"/>
    <w:rsid w:val="00E94B16"/>
    <w:rsid w:val="00E95F8E"/>
    <w:rsid w:val="00E96154"/>
    <w:rsid w:val="00E962FF"/>
    <w:rsid w:val="00E96F8E"/>
    <w:rsid w:val="00E9714C"/>
    <w:rsid w:val="00E97339"/>
    <w:rsid w:val="00EA2A8C"/>
    <w:rsid w:val="00EA2B5B"/>
    <w:rsid w:val="00EA318E"/>
    <w:rsid w:val="00EA3C96"/>
    <w:rsid w:val="00EA4276"/>
    <w:rsid w:val="00EA46E0"/>
    <w:rsid w:val="00EA4756"/>
    <w:rsid w:val="00EA4E6F"/>
    <w:rsid w:val="00EA4EE7"/>
    <w:rsid w:val="00EA6120"/>
    <w:rsid w:val="00EA61D2"/>
    <w:rsid w:val="00EA7141"/>
    <w:rsid w:val="00EA7511"/>
    <w:rsid w:val="00EA7C56"/>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6656"/>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4723"/>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1D79"/>
    <w:rsid w:val="00F120FB"/>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2187"/>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4AF"/>
    <w:rsid w:val="00F855D3"/>
    <w:rsid w:val="00F8679A"/>
    <w:rsid w:val="00F87EB8"/>
    <w:rsid w:val="00F9064E"/>
    <w:rsid w:val="00F90D95"/>
    <w:rsid w:val="00F91B0B"/>
    <w:rsid w:val="00F92139"/>
    <w:rsid w:val="00F92208"/>
    <w:rsid w:val="00F9483D"/>
    <w:rsid w:val="00F97AB2"/>
    <w:rsid w:val="00F97EF0"/>
    <w:rsid w:val="00FA0D33"/>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C67DA"/>
    <w:rsid w:val="00FD032C"/>
    <w:rsid w:val="00FD0364"/>
    <w:rsid w:val="00FD0886"/>
    <w:rsid w:val="00FD1320"/>
    <w:rsid w:val="00FD16F7"/>
    <w:rsid w:val="00FD178E"/>
    <w:rsid w:val="00FD3338"/>
    <w:rsid w:val="00FD505E"/>
    <w:rsid w:val="00FD6821"/>
    <w:rsid w:val="00FD703F"/>
    <w:rsid w:val="00FD7BDC"/>
    <w:rsid w:val="00FE0D71"/>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24D"/>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297A-AB23-467B-BC98-60A01562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6589</Words>
  <Characters>37560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11</cp:revision>
  <cp:lastPrinted>2019-12-15T20:37:00Z</cp:lastPrinted>
  <dcterms:created xsi:type="dcterms:W3CDTF">2022-07-04T02:38:00Z</dcterms:created>
  <dcterms:modified xsi:type="dcterms:W3CDTF">2022-07-04T04:13:00Z</dcterms:modified>
</cp:coreProperties>
</file>