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A11D"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7CC4A3D6"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449D749F" wp14:editId="678FCADB">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ECE3278"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6772E475"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3DB3458E" w14:textId="6949E9E5"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sidRPr="00447BD1">
        <w:rPr>
          <w:rFonts w:ascii="Arial" w:eastAsia="Times New Roman" w:hAnsi="Arial" w:cs="Arial"/>
          <w:sz w:val="28"/>
          <w:szCs w:val="28"/>
          <w:lang w:eastAsia="en-GB"/>
        </w:rPr>
        <w:t>CASE NO:</w:t>
      </w:r>
      <w:r w:rsidR="00377FDC" w:rsidRPr="00447BD1">
        <w:rPr>
          <w:rFonts w:ascii="Arial" w:eastAsia="Times New Roman" w:hAnsi="Arial" w:cs="Arial"/>
          <w:sz w:val="28"/>
          <w:szCs w:val="28"/>
          <w:lang w:eastAsia="en-GB"/>
        </w:rPr>
        <w:t xml:space="preserve"> </w:t>
      </w:r>
      <w:r w:rsidR="00CA02F6" w:rsidRPr="00447BD1">
        <w:rPr>
          <w:rFonts w:ascii="Arial" w:eastAsia="Times New Roman" w:hAnsi="Arial" w:cs="Arial"/>
          <w:sz w:val="28"/>
          <w:szCs w:val="28"/>
          <w:lang w:eastAsia="en-GB"/>
        </w:rPr>
        <w:t>A230/2021</w:t>
      </w:r>
    </w:p>
    <w:p w14:paraId="21802564" w14:textId="77777777"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4C2727C6" w14:textId="77777777"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12661E42" wp14:editId="72A396A0">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B1C9721" w14:textId="77777777" w:rsidR="000E009C" w:rsidRDefault="000E009C" w:rsidP="00ED2FC5">
                            <w:pPr>
                              <w:jc w:val="center"/>
                              <w:rPr>
                                <w:rFonts w:ascii="Century Gothic" w:hAnsi="Century Gothic"/>
                                <w:b/>
                                <w:sz w:val="20"/>
                                <w:szCs w:val="20"/>
                              </w:rPr>
                            </w:pPr>
                          </w:p>
                          <w:p w14:paraId="52DEA16F"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41E3EE00"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602E4533"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6A218F24" w14:textId="77777777" w:rsidR="000E009C" w:rsidRDefault="000E009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47D3B36" w14:textId="74554118" w:rsidR="000E009C" w:rsidRDefault="005301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sidR="000E009C">
                              <w:rPr>
                                <w:rFonts w:ascii="Century Gothic" w:hAnsi="Century Gothic"/>
                                <w:sz w:val="20"/>
                                <w:szCs w:val="20"/>
                              </w:rPr>
                              <w:t xml:space="preserve"> </w:t>
                            </w:r>
                            <w:r w:rsidR="00BA1D30">
                              <w:rPr>
                                <w:rFonts w:ascii="Century Gothic" w:hAnsi="Century Gothic"/>
                                <w:sz w:val="20"/>
                                <w:szCs w:val="20"/>
                              </w:rPr>
                              <w:t>08/06/</w:t>
                            </w:r>
                            <w:r w:rsidR="009E131B">
                              <w:rPr>
                                <w:rFonts w:ascii="Century Gothic" w:hAnsi="Century Gothic"/>
                                <w:sz w:val="20"/>
                                <w:szCs w:val="20"/>
                              </w:rPr>
                              <w:t>2022</w:t>
                            </w:r>
                            <w:r w:rsidR="000E009C">
                              <w:rPr>
                                <w:rFonts w:ascii="Century Gothic" w:hAnsi="Century Gothic"/>
                                <w:sz w:val="20"/>
                                <w:szCs w:val="20"/>
                              </w:rPr>
                              <w:tab/>
                            </w:r>
                            <w:r w:rsidR="009F5CF2">
                              <w:rPr>
                                <w:rFonts w:ascii="Century Gothic" w:hAnsi="Century Gothic"/>
                                <w:sz w:val="20"/>
                                <w:szCs w:val="20"/>
                              </w:rPr>
                              <w:t xml:space="preserve">N Davis / </w:t>
                            </w:r>
                            <w:r w:rsidR="00E06494">
                              <w:rPr>
                                <w:rFonts w:ascii="Century Gothic" w:hAnsi="Century Gothic"/>
                                <w:sz w:val="20"/>
                                <w:szCs w:val="20"/>
                              </w:rPr>
                              <w:t>WJ du Plessis</w:t>
                            </w:r>
                          </w:p>
                          <w:p w14:paraId="73554601"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61E42"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B1C9721" w14:textId="77777777" w:rsidR="000E009C" w:rsidRDefault="000E009C" w:rsidP="00ED2FC5">
                      <w:pPr>
                        <w:jc w:val="center"/>
                        <w:rPr>
                          <w:rFonts w:ascii="Century Gothic" w:hAnsi="Century Gothic"/>
                          <w:b/>
                          <w:sz w:val="20"/>
                          <w:szCs w:val="20"/>
                        </w:rPr>
                      </w:pPr>
                    </w:p>
                    <w:p w14:paraId="52DEA16F"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REPORTABLE: NO</w:t>
                      </w:r>
                    </w:p>
                    <w:p w14:paraId="41E3EE00"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OF INTEREST TO OTHER JUDGES: NO</w:t>
                      </w:r>
                    </w:p>
                    <w:p w14:paraId="602E4533" w14:textId="77777777" w:rsidR="000E009C" w:rsidRDefault="000E009C" w:rsidP="00221ACF">
                      <w:pPr>
                        <w:numPr>
                          <w:ilvl w:val="0"/>
                          <w:numId w:val="1"/>
                        </w:numPr>
                        <w:spacing w:after="0" w:line="240" w:lineRule="auto"/>
                        <w:rPr>
                          <w:rFonts w:ascii="Century Gothic" w:hAnsi="Century Gothic"/>
                          <w:sz w:val="20"/>
                          <w:szCs w:val="20"/>
                        </w:rPr>
                      </w:pPr>
                      <w:r>
                        <w:rPr>
                          <w:rFonts w:ascii="Century Gothic" w:hAnsi="Century Gothic"/>
                          <w:sz w:val="20"/>
                          <w:szCs w:val="20"/>
                        </w:rPr>
                        <w:t>REVISED: NO</w:t>
                      </w:r>
                    </w:p>
                    <w:p w14:paraId="6A218F24" w14:textId="77777777" w:rsidR="000E009C" w:rsidRDefault="000E009C"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47D3B36" w14:textId="74554118" w:rsidR="000E009C" w:rsidRDefault="0053017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sidR="000E009C">
                        <w:rPr>
                          <w:rFonts w:ascii="Century Gothic" w:hAnsi="Century Gothic"/>
                          <w:sz w:val="20"/>
                          <w:szCs w:val="20"/>
                        </w:rPr>
                        <w:t xml:space="preserve"> </w:t>
                      </w:r>
                      <w:r w:rsidR="00BA1D30">
                        <w:rPr>
                          <w:rFonts w:ascii="Century Gothic" w:hAnsi="Century Gothic"/>
                          <w:sz w:val="20"/>
                          <w:szCs w:val="20"/>
                        </w:rPr>
                        <w:t>08/06/</w:t>
                      </w:r>
                      <w:r w:rsidR="009E131B">
                        <w:rPr>
                          <w:rFonts w:ascii="Century Gothic" w:hAnsi="Century Gothic"/>
                          <w:sz w:val="20"/>
                          <w:szCs w:val="20"/>
                        </w:rPr>
                        <w:t>2022</w:t>
                      </w:r>
                      <w:r w:rsidR="000E009C">
                        <w:rPr>
                          <w:rFonts w:ascii="Century Gothic" w:hAnsi="Century Gothic"/>
                          <w:sz w:val="20"/>
                          <w:szCs w:val="20"/>
                        </w:rPr>
                        <w:tab/>
                      </w:r>
                      <w:r w:rsidR="009F5CF2">
                        <w:rPr>
                          <w:rFonts w:ascii="Century Gothic" w:hAnsi="Century Gothic"/>
                          <w:sz w:val="20"/>
                          <w:szCs w:val="20"/>
                        </w:rPr>
                        <w:t xml:space="preserve">N Davis / </w:t>
                      </w:r>
                      <w:r w:rsidR="00E06494">
                        <w:rPr>
                          <w:rFonts w:ascii="Century Gothic" w:hAnsi="Century Gothic"/>
                          <w:sz w:val="20"/>
                          <w:szCs w:val="20"/>
                        </w:rPr>
                        <w:t>WJ du Plessis</w:t>
                      </w:r>
                    </w:p>
                    <w:p w14:paraId="73554601" w14:textId="77777777" w:rsidR="000E009C" w:rsidRDefault="000E009C"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152DA47C"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130BDC73"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43A73632" w14:textId="77777777" w:rsidR="00C17911" w:rsidRDefault="00C17911" w:rsidP="009F5CF2">
      <w:pPr>
        <w:tabs>
          <w:tab w:val="left" w:pos="4917"/>
        </w:tabs>
        <w:spacing w:before="120" w:after="120" w:line="360" w:lineRule="auto"/>
        <w:rPr>
          <w:rFonts w:ascii="Arial" w:hAnsi="Arial" w:cs="Arial"/>
          <w:sz w:val="24"/>
          <w:szCs w:val="24"/>
        </w:rPr>
      </w:pPr>
    </w:p>
    <w:p w14:paraId="49780837" w14:textId="77777777" w:rsidR="009F5CF2" w:rsidRDefault="009F5CF2" w:rsidP="009C6780">
      <w:pPr>
        <w:tabs>
          <w:tab w:val="left" w:pos="4917"/>
        </w:tabs>
        <w:spacing w:before="120" w:after="120" w:line="360" w:lineRule="auto"/>
        <w:rPr>
          <w:rFonts w:ascii="Arial" w:hAnsi="Arial" w:cs="Arial"/>
          <w:sz w:val="24"/>
          <w:szCs w:val="24"/>
        </w:rPr>
      </w:pPr>
    </w:p>
    <w:p w14:paraId="00D6EA05" w14:textId="4D657CF8"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4FDC6ABA" w14:textId="54CD8621" w:rsidR="00503938" w:rsidRPr="00CA02F6" w:rsidRDefault="00CA02F6" w:rsidP="009C6780">
      <w:pPr>
        <w:tabs>
          <w:tab w:val="left" w:pos="4917"/>
        </w:tabs>
        <w:spacing w:before="120" w:after="120" w:line="360" w:lineRule="auto"/>
        <w:rPr>
          <w:rFonts w:ascii="Arial" w:hAnsi="Arial" w:cs="Arial"/>
          <w:b/>
          <w:bCs/>
          <w:sz w:val="24"/>
          <w:szCs w:val="24"/>
        </w:rPr>
      </w:pPr>
      <w:r w:rsidRPr="00CA02F6">
        <w:rPr>
          <w:rFonts w:ascii="Arial" w:hAnsi="Arial" w:cs="Arial"/>
          <w:b/>
          <w:bCs/>
          <w:sz w:val="24"/>
          <w:szCs w:val="24"/>
        </w:rPr>
        <w:t>ONICCA MNIWA THWALA</w:t>
      </w:r>
      <w:r w:rsidRPr="00CA02F6">
        <w:rPr>
          <w:rFonts w:ascii="Arial" w:hAnsi="Arial" w:cs="Arial"/>
          <w:b/>
          <w:bCs/>
          <w:sz w:val="24"/>
          <w:szCs w:val="24"/>
        </w:rPr>
        <w:tab/>
      </w:r>
      <w:r w:rsidRPr="00CA02F6">
        <w:rPr>
          <w:rFonts w:ascii="Arial" w:hAnsi="Arial" w:cs="Arial"/>
          <w:b/>
          <w:bCs/>
          <w:sz w:val="24"/>
          <w:szCs w:val="24"/>
        </w:rPr>
        <w:tab/>
      </w:r>
      <w:r w:rsidRPr="00CA02F6">
        <w:rPr>
          <w:rFonts w:ascii="Arial" w:hAnsi="Arial" w:cs="Arial"/>
          <w:b/>
          <w:bCs/>
          <w:sz w:val="24"/>
          <w:szCs w:val="24"/>
        </w:rPr>
        <w:tab/>
      </w:r>
      <w:r w:rsidRPr="00CA02F6">
        <w:rPr>
          <w:rFonts w:ascii="Arial" w:hAnsi="Arial" w:cs="Arial"/>
          <w:b/>
          <w:bCs/>
          <w:sz w:val="24"/>
          <w:szCs w:val="24"/>
        </w:rPr>
        <w:tab/>
      </w:r>
      <w:r w:rsidRPr="00CA02F6">
        <w:rPr>
          <w:rFonts w:ascii="Arial" w:hAnsi="Arial" w:cs="Arial"/>
          <w:b/>
          <w:bCs/>
          <w:sz w:val="24"/>
          <w:szCs w:val="24"/>
        </w:rPr>
        <w:tab/>
        <w:t>APPELLANT</w:t>
      </w:r>
    </w:p>
    <w:p w14:paraId="6B9F793A" w14:textId="13FB5094" w:rsidR="00CA02F6" w:rsidRDefault="00CA02F6"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02F5F76E" w14:textId="0817D721" w:rsidR="00CA02F6" w:rsidRDefault="00CA02F6" w:rsidP="009C6780">
      <w:pPr>
        <w:tabs>
          <w:tab w:val="left" w:pos="4917"/>
        </w:tabs>
        <w:spacing w:before="120" w:after="120" w:line="360" w:lineRule="auto"/>
        <w:rPr>
          <w:rFonts w:ascii="Arial" w:hAnsi="Arial" w:cs="Arial"/>
          <w:b/>
          <w:bCs/>
          <w:sz w:val="24"/>
          <w:szCs w:val="24"/>
        </w:rPr>
      </w:pPr>
      <w:r w:rsidRPr="00CA02F6">
        <w:rPr>
          <w:rFonts w:ascii="Arial" w:hAnsi="Arial" w:cs="Arial"/>
          <w:b/>
          <w:bCs/>
          <w:sz w:val="24"/>
          <w:szCs w:val="24"/>
        </w:rPr>
        <w:t>MIWAY INSURANCE LTD</w:t>
      </w:r>
      <w:r w:rsidRPr="00CA02F6">
        <w:rPr>
          <w:rFonts w:ascii="Arial" w:hAnsi="Arial" w:cs="Arial"/>
          <w:b/>
          <w:bCs/>
          <w:sz w:val="24"/>
          <w:szCs w:val="24"/>
        </w:rPr>
        <w:tab/>
      </w:r>
      <w:r w:rsidRPr="00CA02F6">
        <w:rPr>
          <w:rFonts w:ascii="Arial" w:hAnsi="Arial" w:cs="Arial"/>
          <w:b/>
          <w:bCs/>
          <w:sz w:val="24"/>
          <w:szCs w:val="24"/>
        </w:rPr>
        <w:tab/>
      </w:r>
      <w:r w:rsidRPr="00CA02F6">
        <w:rPr>
          <w:rFonts w:ascii="Arial" w:hAnsi="Arial" w:cs="Arial"/>
          <w:b/>
          <w:bCs/>
          <w:sz w:val="24"/>
          <w:szCs w:val="24"/>
        </w:rPr>
        <w:tab/>
      </w:r>
      <w:r w:rsidRPr="00CA02F6">
        <w:rPr>
          <w:rFonts w:ascii="Arial" w:hAnsi="Arial" w:cs="Arial"/>
          <w:b/>
          <w:bCs/>
          <w:sz w:val="24"/>
          <w:szCs w:val="24"/>
        </w:rPr>
        <w:tab/>
      </w:r>
      <w:r w:rsidRPr="00CA02F6">
        <w:rPr>
          <w:rFonts w:ascii="Arial" w:hAnsi="Arial" w:cs="Arial"/>
          <w:b/>
          <w:bCs/>
          <w:sz w:val="24"/>
          <w:szCs w:val="24"/>
        </w:rPr>
        <w:tab/>
        <w:t>RESPONDENT</w:t>
      </w:r>
    </w:p>
    <w:p w14:paraId="58A08C40" w14:textId="185AF18F" w:rsidR="00447BD1" w:rsidRDefault="00447BD1" w:rsidP="009C6780">
      <w:pPr>
        <w:tabs>
          <w:tab w:val="left" w:pos="4917"/>
        </w:tabs>
        <w:spacing w:before="120" w:after="120" w:line="360" w:lineRule="auto"/>
        <w:rPr>
          <w:rFonts w:ascii="Arial" w:hAnsi="Arial" w:cs="Arial"/>
          <w:sz w:val="24"/>
          <w:szCs w:val="24"/>
        </w:rPr>
      </w:pPr>
      <w:r>
        <w:rPr>
          <w:rFonts w:ascii="Arial" w:hAnsi="Arial" w:cs="Arial"/>
          <w:sz w:val="24"/>
          <w:szCs w:val="24"/>
        </w:rPr>
        <w:t>In re:</w:t>
      </w:r>
    </w:p>
    <w:p w14:paraId="73F1BA56" w14:textId="5C36D973" w:rsidR="00447BD1" w:rsidRDefault="00447BD1" w:rsidP="009C6780">
      <w:pPr>
        <w:tabs>
          <w:tab w:val="left" w:pos="4917"/>
        </w:tabs>
        <w:spacing w:before="120" w:after="120" w:line="360" w:lineRule="auto"/>
        <w:rPr>
          <w:rFonts w:ascii="Arial" w:hAnsi="Arial" w:cs="Arial"/>
          <w:b/>
          <w:bCs/>
          <w:sz w:val="24"/>
          <w:szCs w:val="24"/>
        </w:rPr>
      </w:pPr>
      <w:r>
        <w:rPr>
          <w:rFonts w:ascii="Arial" w:hAnsi="Arial" w:cs="Arial"/>
          <w:b/>
          <w:bCs/>
          <w:sz w:val="24"/>
          <w:szCs w:val="24"/>
        </w:rPr>
        <w:t>MIWAY INSURANCE LTD</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APPLICANT</w:t>
      </w:r>
    </w:p>
    <w:p w14:paraId="3F410A3D" w14:textId="663FF2B2" w:rsidR="00447BD1" w:rsidRDefault="00447BD1"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06B77BCD" w14:textId="05D1BEDE" w:rsidR="00BA1D30" w:rsidRDefault="00447BD1" w:rsidP="009C6780">
      <w:pPr>
        <w:tabs>
          <w:tab w:val="left" w:pos="4917"/>
        </w:tabs>
        <w:spacing w:before="120" w:after="120" w:line="360" w:lineRule="auto"/>
        <w:rPr>
          <w:rFonts w:ascii="Arial" w:hAnsi="Arial" w:cs="Arial"/>
          <w:b/>
          <w:bCs/>
          <w:sz w:val="24"/>
          <w:szCs w:val="24"/>
        </w:rPr>
      </w:pPr>
      <w:r>
        <w:rPr>
          <w:rFonts w:ascii="Arial" w:hAnsi="Arial" w:cs="Arial"/>
          <w:b/>
          <w:bCs/>
          <w:sz w:val="24"/>
          <w:szCs w:val="24"/>
        </w:rPr>
        <w:t>ONICCA MNIWA THWALA</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RESPONDENT</w:t>
      </w:r>
    </w:p>
    <w:p w14:paraId="5A94082A" w14:textId="77777777" w:rsidR="00BA1D30" w:rsidRDefault="00BA1D30">
      <w:pPr>
        <w:rPr>
          <w:rFonts w:ascii="Arial" w:hAnsi="Arial" w:cs="Arial"/>
          <w:b/>
          <w:bCs/>
          <w:sz w:val="24"/>
          <w:szCs w:val="24"/>
        </w:rPr>
      </w:pPr>
      <w:r>
        <w:rPr>
          <w:rFonts w:ascii="Arial" w:hAnsi="Arial" w:cs="Arial"/>
          <w:b/>
          <w:bCs/>
          <w:sz w:val="24"/>
          <w:szCs w:val="24"/>
        </w:rPr>
        <w:br w:type="page"/>
      </w:r>
    </w:p>
    <w:p w14:paraId="029EBDB1" w14:textId="77777777" w:rsidR="004F10C9" w:rsidRPr="009F5CF2"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b/>
          <w:bCs/>
          <w:sz w:val="24"/>
          <w:szCs w:val="24"/>
        </w:rPr>
      </w:pPr>
      <w:r w:rsidRPr="009F5CF2">
        <w:rPr>
          <w:rFonts w:ascii="Arial" w:hAnsi="Arial" w:cs="Arial"/>
          <w:b/>
          <w:bCs/>
          <w:sz w:val="24"/>
          <w:szCs w:val="24"/>
        </w:rPr>
        <w:lastRenderedPageBreak/>
        <w:t>JUDGMENT</w:t>
      </w:r>
    </w:p>
    <w:p w14:paraId="1EDFE82C" w14:textId="68C4C56B" w:rsidR="00377FDC" w:rsidRPr="009F5CF2" w:rsidRDefault="009F5CF2" w:rsidP="003532ED">
      <w:pPr>
        <w:pStyle w:val="ListParagraph"/>
        <w:numPr>
          <w:ilvl w:val="0"/>
          <w:numId w:val="0"/>
        </w:numPr>
        <w:tabs>
          <w:tab w:val="left" w:pos="4917"/>
        </w:tabs>
        <w:spacing w:after="120"/>
        <w:rPr>
          <w:b/>
          <w:bCs/>
        </w:rPr>
      </w:pPr>
      <w:r w:rsidRPr="009F5CF2">
        <w:rPr>
          <w:b/>
          <w:bCs/>
        </w:rPr>
        <w:t>Du Plessis A</w:t>
      </w:r>
      <w:r>
        <w:rPr>
          <w:b/>
          <w:bCs/>
        </w:rPr>
        <w:t>J</w:t>
      </w:r>
      <w:r w:rsidR="00BA1D30">
        <w:rPr>
          <w:b/>
          <w:bCs/>
        </w:rPr>
        <w:t xml:space="preserve"> (with Davis J)</w:t>
      </w:r>
    </w:p>
    <w:p w14:paraId="268A8CBE" w14:textId="070B4D5F" w:rsidR="00CA02F6" w:rsidRDefault="00CA02F6" w:rsidP="003532ED">
      <w:pPr>
        <w:pStyle w:val="Judgmentparagraph"/>
      </w:pPr>
      <w:r>
        <w:t>This is an appeal</w:t>
      </w:r>
      <w:r w:rsidR="00447BD1">
        <w:t xml:space="preserve"> </w:t>
      </w:r>
      <w:r w:rsidR="00FE3456">
        <w:t>against a decision of</w:t>
      </w:r>
      <w:r w:rsidR="00447BD1">
        <w:t xml:space="preserve"> the </w:t>
      </w:r>
      <w:r w:rsidR="00142060">
        <w:t>Magistrate’s</w:t>
      </w:r>
      <w:r w:rsidR="00FE3456">
        <w:t xml:space="preserve"> </w:t>
      </w:r>
      <w:r w:rsidR="00142060">
        <w:t>C</w:t>
      </w:r>
      <w:r w:rsidR="00FE3456">
        <w:t>ourt for the district of Tshwane Central to grant the respondent a recission against a default judgment.</w:t>
      </w:r>
      <w:r w:rsidR="00142060">
        <w:t xml:space="preserve"> </w:t>
      </w:r>
    </w:p>
    <w:p w14:paraId="2F1D43EF" w14:textId="6B5B29E2" w:rsidR="00142060" w:rsidRDefault="00A94CC0" w:rsidP="00142060">
      <w:pPr>
        <w:pStyle w:val="Judgmentparagraph"/>
      </w:pPr>
      <w:r>
        <w:t>Thwala, t</w:t>
      </w:r>
      <w:r w:rsidR="00FE3456">
        <w:t>he appellant (plaintiff in the main action)</w:t>
      </w:r>
      <w:r w:rsidR="00142060">
        <w:t>,</w:t>
      </w:r>
      <w:r w:rsidR="00FE3456">
        <w:t xml:space="preserve"> issued summons against</w:t>
      </w:r>
      <w:r>
        <w:t xml:space="preserve"> MiWay insurance</w:t>
      </w:r>
      <w:r w:rsidR="00142060">
        <w:t xml:space="preserve">, </w:t>
      </w:r>
      <w:r w:rsidR="00FE3456">
        <w:t xml:space="preserve">the </w:t>
      </w:r>
      <w:r w:rsidR="00FE3456" w:rsidRPr="003532ED">
        <w:t>respondent</w:t>
      </w:r>
      <w:r w:rsidR="00FE3456">
        <w:t xml:space="preserve"> (defendant in the main action)</w:t>
      </w:r>
      <w:r w:rsidR="00142060">
        <w:t>,</w:t>
      </w:r>
      <w:r w:rsidR="00FE3456">
        <w:t xml:space="preserve"> for damages arising from a motor vehicle collusion amounting to R198 237.00.</w:t>
      </w:r>
      <w:r w:rsidR="00142060">
        <w:t xml:space="preserve"> I will refer to the appellant as “Thwala” and the respondent as “MiWay” for ease of reading.</w:t>
      </w:r>
    </w:p>
    <w:p w14:paraId="779BA3BB" w14:textId="39FDA78E" w:rsidR="00A94CC0" w:rsidRDefault="00142060" w:rsidP="003532ED">
      <w:pPr>
        <w:pStyle w:val="Judgmentparagraph"/>
      </w:pPr>
      <w:r>
        <w:t>The claim</w:t>
      </w:r>
      <w:r w:rsidR="00A94CC0">
        <w:t xml:space="preserve"> is based on an insurance agreement concluded on 13 April 2018.</w:t>
      </w:r>
      <w:r>
        <w:t xml:space="preserve"> </w:t>
      </w:r>
      <w:r w:rsidR="00A94CC0">
        <w:t xml:space="preserve">An accident occurred on 11 November 2018, and Thwala lodged a claim with MiWay, which was rejected </w:t>
      </w:r>
      <w:r w:rsidR="00283F38">
        <w:t xml:space="preserve">on 30 November 2018 </w:t>
      </w:r>
      <w:r w:rsidR="00A94CC0">
        <w:t>on the basis that the vehicle was not being driven by the regular driver (Thwala’s husband).</w:t>
      </w:r>
    </w:p>
    <w:p w14:paraId="7034B325" w14:textId="0940915D" w:rsidR="00847EBF" w:rsidRDefault="00A94CC0" w:rsidP="003532ED">
      <w:pPr>
        <w:pStyle w:val="Judgmentparagraph"/>
      </w:pPr>
      <w:r>
        <w:t>On 9 September 2019</w:t>
      </w:r>
      <w:r w:rsidR="003532ED">
        <w:t>,</w:t>
      </w:r>
      <w:r>
        <w:t xml:space="preserve"> Thwala issued summons against MiWay, </w:t>
      </w:r>
      <w:r w:rsidR="003532ED">
        <w:t>which</w:t>
      </w:r>
      <w:r>
        <w:t xml:space="preserve"> was served on 12 September 2019</w:t>
      </w:r>
      <w:r w:rsidR="00BA1D30">
        <w:t>.</w:t>
      </w:r>
      <w:r>
        <w:t xml:space="preserve"> </w:t>
      </w:r>
      <w:r w:rsidR="00847EBF">
        <w:t>MiWay</w:t>
      </w:r>
      <w:r>
        <w:t xml:space="preserve"> duly forwarded </w:t>
      </w:r>
      <w:r w:rsidR="003532ED">
        <w:t xml:space="preserve">it </w:t>
      </w:r>
      <w:r>
        <w:t>to the</w:t>
      </w:r>
      <w:r w:rsidR="00847EBF">
        <w:t>ir</w:t>
      </w:r>
      <w:r>
        <w:t xml:space="preserve"> </w:t>
      </w:r>
      <w:r w:rsidR="00847EBF">
        <w:t>attorney of record the next day.</w:t>
      </w:r>
      <w:r w:rsidR="00142060">
        <w:t xml:space="preserve"> </w:t>
      </w:r>
      <w:r w:rsidR="00847EBF">
        <w:t xml:space="preserve">On </w:t>
      </w:r>
      <w:r w:rsidR="00283F38">
        <w:t>14</w:t>
      </w:r>
      <w:r w:rsidR="00B1474C">
        <w:t xml:space="preserve"> July</w:t>
      </w:r>
      <w:r w:rsidR="00847EBF">
        <w:t xml:space="preserve"> 2020</w:t>
      </w:r>
      <w:r w:rsidR="00142060">
        <w:t>,</w:t>
      </w:r>
      <w:r w:rsidR="00847EBF">
        <w:t xml:space="preserve"> Thwala served a notice in terms of </w:t>
      </w:r>
      <w:r w:rsidR="00847EBF" w:rsidRPr="00B1474C">
        <w:t>rule 55A(7)</w:t>
      </w:r>
      <w:r w:rsidR="00142060">
        <w:t>,</w:t>
      </w:r>
      <w:r w:rsidR="00847EBF">
        <w:t xml:space="preserve"> which was forwarded to </w:t>
      </w:r>
      <w:r w:rsidR="003532ED">
        <w:t xml:space="preserve">the </w:t>
      </w:r>
      <w:r w:rsidR="00B1474C">
        <w:t>applicant’s</w:t>
      </w:r>
      <w:r w:rsidR="00847EBF">
        <w:t xml:space="preserve"> attorneys of record on the same day.</w:t>
      </w:r>
      <w:r w:rsidR="00142060">
        <w:t xml:space="preserve"> </w:t>
      </w:r>
      <w:r w:rsidR="00283F38">
        <w:t>Still</w:t>
      </w:r>
      <w:r w:rsidR="003532ED">
        <w:t>,</w:t>
      </w:r>
      <w:r w:rsidR="00283F38">
        <w:t xml:space="preserve"> there was no response from MiWay.</w:t>
      </w:r>
    </w:p>
    <w:p w14:paraId="24E69C98" w14:textId="53920BDC" w:rsidR="00283F38" w:rsidRDefault="00847EBF" w:rsidP="003532ED">
      <w:pPr>
        <w:pStyle w:val="Judgmentparagraph"/>
      </w:pPr>
      <w:r>
        <w:t>On 17 June 202</w:t>
      </w:r>
      <w:r w:rsidR="00B1474C">
        <w:t>0</w:t>
      </w:r>
      <w:r w:rsidR="00142060">
        <w:t>,</w:t>
      </w:r>
      <w:r>
        <w:t xml:space="preserve"> Thwala applied for default judgment, which was granted on 6 August 2020. </w:t>
      </w:r>
    </w:p>
    <w:p w14:paraId="193A739A" w14:textId="05AF225E" w:rsidR="00A94CC0" w:rsidRDefault="00847EBF" w:rsidP="003532ED">
      <w:pPr>
        <w:pStyle w:val="Judgmentparagraph"/>
      </w:pPr>
      <w:r>
        <w:t>On 11 September 2020</w:t>
      </w:r>
      <w:r w:rsidR="00142060">
        <w:t>,</w:t>
      </w:r>
      <w:r>
        <w:t xml:space="preserve"> MiWay became aware of the default judgment and</w:t>
      </w:r>
      <w:r w:rsidR="00142060">
        <w:t>,</w:t>
      </w:r>
      <w:r>
        <w:t xml:space="preserve"> on </w:t>
      </w:r>
      <w:r w:rsidR="00B1474C">
        <w:t>17 September 2020</w:t>
      </w:r>
      <w:r w:rsidR="00142060">
        <w:t>,</w:t>
      </w:r>
      <w:r w:rsidR="00B1474C">
        <w:t xml:space="preserve"> instructed their attorneys to apply for rescission of the default judgment.</w:t>
      </w:r>
      <w:r w:rsidR="00142060">
        <w:t xml:space="preserve"> </w:t>
      </w:r>
      <w:r w:rsidR="00A94CC0">
        <w:t xml:space="preserve">MiWay </w:t>
      </w:r>
      <w:r w:rsidR="00283F38">
        <w:t xml:space="preserve">then </w:t>
      </w:r>
      <w:r w:rsidR="00A94CC0">
        <w:t>applied for recission of the judgment on 7 October 202</w:t>
      </w:r>
      <w:r w:rsidR="00BA1D30">
        <w:t>2</w:t>
      </w:r>
      <w:r w:rsidR="00142060">
        <w:t>,</w:t>
      </w:r>
      <w:r w:rsidR="00A94CC0">
        <w:t xml:space="preserve"> which </w:t>
      </w:r>
      <w:r w:rsidR="00142060">
        <w:t>Thwala opposed</w:t>
      </w:r>
      <w:r w:rsidR="00A94CC0">
        <w:t>.</w:t>
      </w:r>
    </w:p>
    <w:p w14:paraId="7A0EECDA" w14:textId="08E178BF" w:rsidR="003532ED" w:rsidRDefault="005747C7" w:rsidP="003532ED">
      <w:pPr>
        <w:pStyle w:val="Judgmentparagraph"/>
      </w:pPr>
      <w:r>
        <w:t>For MiWay to succeed in the rescission application</w:t>
      </w:r>
      <w:r w:rsidR="00142060">
        <w:t>,</w:t>
      </w:r>
      <w:r>
        <w:t xml:space="preserve"> it had to show good cause for </w:t>
      </w:r>
      <w:r w:rsidR="00142060">
        <w:t>its</w:t>
      </w:r>
      <w:r>
        <w:t xml:space="preserve"> default and that </w:t>
      </w:r>
      <w:r w:rsidR="00142060">
        <w:t>it</w:t>
      </w:r>
      <w:r>
        <w:t xml:space="preserve"> had a </w:t>
      </w:r>
      <w:r w:rsidRPr="005747C7">
        <w:rPr>
          <w:i/>
          <w:iCs/>
        </w:rPr>
        <w:t xml:space="preserve">bona fide </w:t>
      </w:r>
      <w:r>
        <w:t>defence to Thwala’s claim.</w:t>
      </w:r>
      <w:r w:rsidR="00142060">
        <w:t xml:space="preserve"> </w:t>
      </w:r>
      <w:r>
        <w:t xml:space="preserve">MiWay argued that their default was </w:t>
      </w:r>
      <w:r w:rsidR="00BA1D30">
        <w:t xml:space="preserve">due to </w:t>
      </w:r>
      <w:r>
        <w:t xml:space="preserve">a </w:t>
      </w:r>
      <w:r w:rsidR="00142060">
        <w:t>clerical</w:t>
      </w:r>
      <w:r>
        <w:t xml:space="preserve"> or filling error</w:t>
      </w:r>
      <w:r w:rsidR="00BA1D30">
        <w:t xml:space="preserve"> in the attorney’s office</w:t>
      </w:r>
      <w:r w:rsidR="00142060">
        <w:t>. While</w:t>
      </w:r>
      <w:r>
        <w:t xml:space="preserve"> </w:t>
      </w:r>
      <w:r w:rsidR="00142060">
        <w:t>they</w:t>
      </w:r>
      <w:r>
        <w:t xml:space="preserve"> always </w:t>
      </w:r>
      <w:r w:rsidR="00142060">
        <w:t>intended</w:t>
      </w:r>
      <w:r>
        <w:t xml:space="preserve"> to defend the action</w:t>
      </w:r>
      <w:r w:rsidR="00142060">
        <w:t>,</w:t>
      </w:r>
      <w:r>
        <w:t xml:space="preserve"> the file was erroneously </w:t>
      </w:r>
      <w:r w:rsidR="00A70C10">
        <w:t>filed in the wrong filing cabinet instead of being filed at court.</w:t>
      </w:r>
      <w:r w:rsidR="00142060">
        <w:t xml:space="preserve"> </w:t>
      </w:r>
      <w:r w:rsidR="00A70C10">
        <w:t xml:space="preserve">As for the defence, they stated that the rejection of Thwala’s claim was based on the fact that it was </w:t>
      </w:r>
      <w:r w:rsidR="00A70C10">
        <w:lastRenderedPageBreak/>
        <w:t xml:space="preserve">not the regular driver that </w:t>
      </w:r>
      <w:r w:rsidR="00142060">
        <w:t>caused</w:t>
      </w:r>
      <w:r w:rsidR="00A70C10">
        <w:t xml:space="preserve"> the accident, that the amount claimed </w:t>
      </w:r>
      <w:r w:rsidR="00BA1D30">
        <w:t>wa</w:t>
      </w:r>
      <w:r w:rsidR="00A70C10">
        <w:t>s more than the value of the insured car and that the action instituted was outside the 270 days as provided in the insurance agreement.</w:t>
      </w:r>
    </w:p>
    <w:p w14:paraId="6359F82D" w14:textId="12C9495F" w:rsidR="00A17682" w:rsidRDefault="00313AB8" w:rsidP="003532ED">
      <w:pPr>
        <w:pStyle w:val="Judgmentparagraph"/>
      </w:pPr>
      <w:r>
        <w:t>Acting Magistrate Rodrigues granted the</w:t>
      </w:r>
      <w:r w:rsidR="005747C7">
        <w:t xml:space="preserve"> recission on 5 March 2021, and MiWay was given leave to defend the main action.</w:t>
      </w:r>
      <w:r w:rsidR="00142060">
        <w:t xml:space="preserve"> </w:t>
      </w:r>
      <w:r w:rsidR="00A70C10">
        <w:t xml:space="preserve">He based his decision on the discretion that courts have in such matter, after consideration of all relevant circumstances, keeping in mind that there must be </w:t>
      </w:r>
      <w:r>
        <w:t xml:space="preserve">a </w:t>
      </w:r>
      <w:r w:rsidR="00A70C10">
        <w:t>reasonable explanation for the default, that the application is made bona fide, and that there is a bona fide defence to the plaintiff’s claim which prima facie has a prospect of success.</w:t>
      </w:r>
      <w:r w:rsidR="00A70C10">
        <w:rPr>
          <w:rStyle w:val="FootnoteReference"/>
        </w:rPr>
        <w:footnoteReference w:id="1"/>
      </w:r>
      <w:r w:rsidR="00A70C10">
        <w:t xml:space="preserve"> </w:t>
      </w:r>
    </w:p>
    <w:p w14:paraId="5DC55012" w14:textId="0454F3A7" w:rsidR="003532ED" w:rsidRPr="003532ED" w:rsidRDefault="00A70C10" w:rsidP="003532ED">
      <w:pPr>
        <w:pStyle w:val="Judgmentparagraph"/>
      </w:pPr>
      <w:r>
        <w:t>He iterated that in exercising the discretion</w:t>
      </w:r>
      <w:r w:rsidR="00313AB8">
        <w:t>,</w:t>
      </w:r>
      <w:r>
        <w:t xml:space="preserve"> the court must do justice between the parties by balancing the interest of both parties and being mindful of any prejudice </w:t>
      </w:r>
      <w:r w:rsidR="00BA1D30">
        <w:t>that</w:t>
      </w:r>
      <w:r>
        <w:t xml:space="preserve"> may result from the outcome of the application.</w:t>
      </w:r>
      <w:r w:rsidR="00A17682">
        <w:rPr>
          <w:rStyle w:val="FootnoteReference"/>
        </w:rPr>
        <w:footnoteReference w:id="2"/>
      </w:r>
      <w:r w:rsidR="00A17682">
        <w:t xml:space="preserve"> Default judgments </w:t>
      </w:r>
      <w:r w:rsidR="00313AB8">
        <w:t>require</w:t>
      </w:r>
      <w:r w:rsidR="00A17682">
        <w:t xml:space="preserve"> a court </w:t>
      </w:r>
      <w:r w:rsidR="00313AB8">
        <w:t>not to scrutinise the defence</w:t>
      </w:r>
      <w:r w:rsidR="00A17682">
        <w:t xml:space="preserve"> too closely to ascertain whether it is </w:t>
      </w:r>
      <w:r w:rsidR="00313AB8">
        <w:t>well-founded</w:t>
      </w:r>
      <w:r w:rsidR="00A17682">
        <w:t>.</w:t>
      </w:r>
      <w:r w:rsidR="00A17682">
        <w:rPr>
          <w:rStyle w:val="FootnoteReference"/>
        </w:rPr>
        <w:footnoteReference w:id="3"/>
      </w:r>
      <w:r w:rsidR="00A17682">
        <w:t xml:space="preserve"> Concluding</w:t>
      </w:r>
      <w:r w:rsidR="00313AB8">
        <w:t>,</w:t>
      </w:r>
      <w:r w:rsidR="00BA1D30">
        <w:t xml:space="preserve"> </w:t>
      </w:r>
      <w:r w:rsidR="00A17682">
        <w:t xml:space="preserve">the </w:t>
      </w:r>
      <w:r w:rsidR="00142060">
        <w:t>Magistrate</w:t>
      </w:r>
      <w:r w:rsidR="00A17682">
        <w:t xml:space="preserve"> found that </w:t>
      </w:r>
      <w:r w:rsidR="00A64A9D">
        <w:t xml:space="preserve">the applicant cannot be denied </w:t>
      </w:r>
      <w:r w:rsidR="00BA1D30">
        <w:t>its</w:t>
      </w:r>
      <w:r w:rsidR="00A64A9D">
        <w:t xml:space="preserve"> constitutional rights (to defend its case in court) based on what happened in its attorney’s office, of which it had no control or knowledge.</w:t>
      </w:r>
      <w:r w:rsidR="00142060">
        <w:t xml:space="preserve"> </w:t>
      </w:r>
    </w:p>
    <w:p w14:paraId="4719BB3A" w14:textId="65F300DE" w:rsidR="00A64A9D" w:rsidRDefault="00A64A9D" w:rsidP="00CA02F6">
      <w:pPr>
        <w:pStyle w:val="Heading1"/>
      </w:pPr>
      <w:r>
        <w:t>Grounds for appeal</w:t>
      </w:r>
    </w:p>
    <w:p w14:paraId="36752B4D" w14:textId="4F6F79A9" w:rsidR="00A64A9D" w:rsidRDefault="00D56569" w:rsidP="00A64A9D">
      <w:pPr>
        <w:pStyle w:val="Judgmentparagraph"/>
      </w:pPr>
      <w:r>
        <w:t xml:space="preserve">Thwala appeals the rescission application on the ground that the court a quo, in exercising its </w:t>
      </w:r>
      <w:r w:rsidR="00313AB8">
        <w:t>discretion</w:t>
      </w:r>
      <w:r>
        <w:t>:</w:t>
      </w:r>
    </w:p>
    <w:p w14:paraId="6DBC2ECE" w14:textId="4A140C02" w:rsidR="00D56569" w:rsidRDefault="00D56569" w:rsidP="00D56569">
      <w:pPr>
        <w:pStyle w:val="Judgmentparagraph"/>
        <w:numPr>
          <w:ilvl w:val="1"/>
          <w:numId w:val="2"/>
        </w:numPr>
      </w:pPr>
      <w:r>
        <w:t xml:space="preserve">erred in finding that the respondent has provided </w:t>
      </w:r>
      <w:r w:rsidR="00313AB8">
        <w:t xml:space="preserve">an </w:t>
      </w:r>
      <w:r>
        <w:t>acceptable</w:t>
      </w:r>
      <w:r w:rsidR="00BA1D30">
        <w:t>,</w:t>
      </w:r>
      <w:r>
        <w:t xml:space="preserve"> reasonable explanation for defaulting;</w:t>
      </w:r>
    </w:p>
    <w:p w14:paraId="28050A32" w14:textId="5AFCBB90" w:rsidR="00D56569" w:rsidRDefault="00D56569" w:rsidP="00D56569">
      <w:pPr>
        <w:pStyle w:val="Judgmentparagraph"/>
        <w:numPr>
          <w:ilvl w:val="1"/>
          <w:numId w:val="2"/>
        </w:numPr>
      </w:pPr>
      <w:r>
        <w:t xml:space="preserve">erred in finding that the respondent has provided a </w:t>
      </w:r>
      <w:r>
        <w:rPr>
          <w:i/>
          <w:iCs/>
        </w:rPr>
        <w:t xml:space="preserve">bone fide </w:t>
      </w:r>
      <w:r>
        <w:t xml:space="preserve">defence which justifies good cause / good reason for rescission of </w:t>
      </w:r>
      <w:r w:rsidR="00313AB8">
        <w:t xml:space="preserve">the </w:t>
      </w:r>
      <w:r>
        <w:t>default judgment;</w:t>
      </w:r>
    </w:p>
    <w:p w14:paraId="29329A25" w14:textId="1E32B52C" w:rsidR="00D56569" w:rsidRDefault="00D56569" w:rsidP="00D56569">
      <w:pPr>
        <w:pStyle w:val="Judgmentparagraph"/>
        <w:numPr>
          <w:ilvl w:val="1"/>
          <w:numId w:val="2"/>
        </w:numPr>
      </w:pPr>
      <w:r>
        <w:lastRenderedPageBreak/>
        <w:t xml:space="preserve">erred in ordering Thwala to pay </w:t>
      </w:r>
      <w:r w:rsidR="00313AB8">
        <w:t xml:space="preserve">the </w:t>
      </w:r>
      <w:r>
        <w:t>cost</w:t>
      </w:r>
      <w:r w:rsidR="00313AB8">
        <w:t>s</w:t>
      </w:r>
      <w:r>
        <w:t xml:space="preserve"> for the rescission application.</w:t>
      </w:r>
    </w:p>
    <w:p w14:paraId="16A8FA54" w14:textId="7E40E1B5" w:rsidR="00D56569" w:rsidRDefault="00D56569" w:rsidP="00D56569">
      <w:pPr>
        <w:pStyle w:val="Judgmentparagraph"/>
      </w:pPr>
      <w:r>
        <w:t xml:space="preserve">Before this court can go </w:t>
      </w:r>
      <w:r w:rsidR="00313AB8">
        <w:t>into</w:t>
      </w:r>
      <w:r>
        <w:t xml:space="preserve"> the merits of the appeal, the question is whether such an appeal is indeed possible.</w:t>
      </w:r>
      <w:r w:rsidR="00142060">
        <w:t xml:space="preserve"> </w:t>
      </w:r>
      <w:r w:rsidR="00156328">
        <w:t>Thwala argues it is, as the appealability of interim orders depends on whether they are final in effect.</w:t>
      </w:r>
    </w:p>
    <w:p w14:paraId="7A32575A" w14:textId="241F3B23" w:rsidR="00145595" w:rsidRDefault="00145595" w:rsidP="00145595">
      <w:pPr>
        <w:pStyle w:val="Heading1"/>
      </w:pPr>
      <w:r>
        <w:t>The appealability of interim orders</w:t>
      </w:r>
    </w:p>
    <w:p w14:paraId="6F133702" w14:textId="551021DE" w:rsidR="00CA02F6" w:rsidRDefault="00CA02F6" w:rsidP="003F3986">
      <w:pPr>
        <w:pStyle w:val="Judgmentparagraph"/>
      </w:pPr>
      <w:r>
        <w:t>In general, interim orders are not appealable.</w:t>
      </w:r>
      <w:r w:rsidR="00142060">
        <w:t xml:space="preserve"> </w:t>
      </w:r>
      <w:r>
        <w:t xml:space="preserve">There have been instances where the courts have departed from the rule </w:t>
      </w:r>
      <w:r w:rsidR="00313AB8">
        <w:t>and</w:t>
      </w:r>
      <w:r>
        <w:t xml:space="preserve"> where not allowing an appeal will bring irreparable harm to the parties involved. </w:t>
      </w:r>
    </w:p>
    <w:p w14:paraId="10D9626C" w14:textId="4DDEBE12" w:rsidR="009B610E" w:rsidRDefault="003F3986" w:rsidP="003F3986">
      <w:pPr>
        <w:pStyle w:val="Judgmentparagraph"/>
      </w:pPr>
      <w:r>
        <w:t xml:space="preserve">In </w:t>
      </w:r>
      <w:r w:rsidR="009B610E" w:rsidRPr="00914836">
        <w:rPr>
          <w:i/>
          <w:iCs/>
        </w:rPr>
        <w:t>Zweni v Minister of Law and Order</w:t>
      </w:r>
      <w:r w:rsidR="00A958A2">
        <w:rPr>
          <w:rStyle w:val="FootnoteReference"/>
          <w:i/>
          <w:iCs/>
        </w:rPr>
        <w:footnoteReference w:id="4"/>
      </w:r>
      <w:r w:rsidR="009B610E" w:rsidRPr="009B610E">
        <w:t xml:space="preserve">  the court ruled against the appealability of the interim order made by the court of first instance.</w:t>
      </w:r>
      <w:r w:rsidR="00142060">
        <w:t xml:space="preserve"> </w:t>
      </w:r>
      <w:r w:rsidR="009B610E" w:rsidRPr="009B610E">
        <w:t>It tested the interim order against (i) the finality of the order; (ii) the definitive rights of the parties; and (iii) the effect of disposing of a substantial portion of the relief claimed.</w:t>
      </w:r>
      <w:r w:rsidR="00142060">
        <w:t xml:space="preserve"> </w:t>
      </w:r>
      <w:r w:rsidR="00FB7DB1">
        <w:t xml:space="preserve">The court also clarified what is </w:t>
      </w:r>
      <w:r w:rsidR="00DA790E">
        <w:t xml:space="preserve">meant by “final effect”, namely that it is </w:t>
      </w:r>
      <w:r w:rsidR="00DA790E" w:rsidRPr="00DA790E">
        <w:t xml:space="preserve">not susceptible </w:t>
      </w:r>
      <w:r w:rsidR="00E26417">
        <w:t>to</w:t>
      </w:r>
      <w:r w:rsidR="00DA790E" w:rsidRPr="00DA790E">
        <w:t xml:space="preserve"> alteration by the </w:t>
      </w:r>
      <w:r w:rsidR="00BA1D30">
        <w:t>c</w:t>
      </w:r>
      <w:r w:rsidR="00DA790E" w:rsidRPr="00DA790E">
        <w:t>ourt of first instance</w:t>
      </w:r>
      <w:r w:rsidR="00DA790E">
        <w:t>.</w:t>
      </w:r>
      <w:r w:rsidR="00142060">
        <w:t xml:space="preserve"> </w:t>
      </w:r>
      <w:r w:rsidR="009B610E" w:rsidRPr="003F3986">
        <w:rPr>
          <w:i/>
          <w:iCs/>
        </w:rPr>
        <w:t>Moch v Nedtravel (Pty) Ltd t/a American Express Travel Service</w:t>
      </w:r>
      <w:r w:rsidR="00E26417">
        <w:rPr>
          <w:i/>
          <w:iCs/>
        </w:rPr>
        <w:t>,</w:t>
      </w:r>
      <w:r w:rsidR="00A958A2">
        <w:rPr>
          <w:rStyle w:val="FootnoteReference"/>
          <w:i/>
          <w:iCs/>
        </w:rPr>
        <w:footnoteReference w:id="5"/>
      </w:r>
      <w:r w:rsidR="009B610E" w:rsidRPr="009B610E">
        <w:t xml:space="preserve"> </w:t>
      </w:r>
      <w:r w:rsidR="00E26417">
        <w:t xml:space="preserve"> </w:t>
      </w:r>
      <w:r w:rsidR="009B610E" w:rsidRPr="009B610E">
        <w:t>the court held that the test parameters applied in Zwane were not exhaustive.</w:t>
      </w:r>
    </w:p>
    <w:p w14:paraId="00505BA6" w14:textId="083514C5" w:rsidR="00CB33AD" w:rsidRDefault="003F3986" w:rsidP="003532ED">
      <w:pPr>
        <w:pStyle w:val="Judgmentparagraph"/>
      </w:pPr>
      <w:r>
        <w:t xml:space="preserve">In </w:t>
      </w:r>
      <w:r w:rsidR="009B610E" w:rsidRPr="00914836">
        <w:rPr>
          <w:i/>
          <w:iCs/>
        </w:rPr>
        <w:t>Philani-Ma-Afrika v Mailula</w:t>
      </w:r>
      <w:r w:rsidR="009B610E" w:rsidRPr="009B610E">
        <w:t>,</w:t>
      </w:r>
      <w:r w:rsidR="00A958A2">
        <w:rPr>
          <w:rStyle w:val="FootnoteReference"/>
        </w:rPr>
        <w:footnoteReference w:id="6"/>
      </w:r>
      <w:r w:rsidR="009B610E" w:rsidRPr="009B610E">
        <w:t xml:space="preserve"> the court held that the interest of justice </w:t>
      </w:r>
      <w:r w:rsidR="00E26417">
        <w:t>was</w:t>
      </w:r>
      <w:r w:rsidR="009B610E" w:rsidRPr="009B610E">
        <w:t xml:space="preserve"> paramount in deciding whether orders were appealable, with each case being considered in light of its facts</w:t>
      </w:r>
      <w:r w:rsidR="00DA790E">
        <w:t>.</w:t>
      </w:r>
      <w:r w:rsidR="00142060">
        <w:t xml:space="preserve"> </w:t>
      </w:r>
      <w:r w:rsidR="00DA790E">
        <w:t>In this case</w:t>
      </w:r>
      <w:r w:rsidR="00E26417">
        <w:t xml:space="preserve"> and</w:t>
      </w:r>
      <w:r w:rsidR="00DA790E">
        <w:t xml:space="preserve"> </w:t>
      </w:r>
      <w:r w:rsidR="00CB33AD" w:rsidRPr="00DA790E">
        <w:rPr>
          <w:i/>
          <w:iCs/>
        </w:rPr>
        <w:t>Machele v Mailula</w:t>
      </w:r>
      <w:r w:rsidR="00DA790E">
        <w:rPr>
          <w:i/>
          <w:iCs/>
        </w:rPr>
        <w:t>,</w:t>
      </w:r>
      <w:r w:rsidR="00A958A2">
        <w:rPr>
          <w:rStyle w:val="FootnoteReference"/>
          <w:i/>
          <w:iCs/>
        </w:rPr>
        <w:footnoteReference w:id="7"/>
      </w:r>
      <w:r w:rsidR="00A958A2">
        <w:t xml:space="preserve"> </w:t>
      </w:r>
      <w:r w:rsidR="00F92FC8">
        <w:t>the issue was the threat of eviction of people that could render them homeless.</w:t>
      </w:r>
      <w:r w:rsidR="00142060">
        <w:t xml:space="preserve"> </w:t>
      </w:r>
      <w:r w:rsidR="00F92FC8">
        <w:t>In the latter case</w:t>
      </w:r>
      <w:r w:rsidR="00E26417">
        <w:t>,</w:t>
      </w:r>
      <w:r w:rsidR="00F92FC8">
        <w:t xml:space="preserve"> the </w:t>
      </w:r>
      <w:r w:rsidR="00E26417">
        <w:t>Constitutional</w:t>
      </w:r>
      <w:r w:rsidR="00F92FC8">
        <w:t xml:space="preserve"> Court allowed an appeal against an order for eviction that </w:t>
      </w:r>
      <w:r w:rsidR="00E26417">
        <w:t>had</w:t>
      </w:r>
      <w:r w:rsidR="00F92FC8">
        <w:t xml:space="preserve"> been put into effect despite a pending appeal.</w:t>
      </w:r>
      <w:r w:rsidR="00142060">
        <w:t xml:space="preserve"> </w:t>
      </w:r>
      <w:r w:rsidR="00F92FC8">
        <w:t>The Constitutional Court suspended the execution order, as irreparable harm would result if leave to appeal was not granted.</w:t>
      </w:r>
    </w:p>
    <w:p w14:paraId="3AD98C24" w14:textId="752E96DF" w:rsidR="00CB33AD" w:rsidRDefault="00CB33AD" w:rsidP="003532ED">
      <w:pPr>
        <w:pStyle w:val="Judgmentparagraph"/>
      </w:pPr>
      <w:r>
        <w:lastRenderedPageBreak/>
        <w:t xml:space="preserve">In </w:t>
      </w:r>
      <w:r w:rsidRPr="009C3219">
        <w:rPr>
          <w:i/>
          <w:iCs/>
        </w:rPr>
        <w:t>Atkin v Botes</w:t>
      </w:r>
      <w:r>
        <w:rPr>
          <w:rStyle w:val="FootnoteReference"/>
        </w:rPr>
        <w:footnoteReference w:id="8"/>
      </w:r>
      <w:r>
        <w:t xml:space="preserve"> the Supreme Court of Appeal held that an interim order is appealable if it is final in effect and not </w:t>
      </w:r>
      <w:r w:rsidR="00F92FC8">
        <w:t>susceptible</w:t>
      </w:r>
      <w:r>
        <w:t xml:space="preserve"> to alteration by the court of first instance.</w:t>
      </w:r>
      <w:r w:rsidR="00142060">
        <w:t xml:space="preserve"> </w:t>
      </w:r>
      <w:r w:rsidR="00E26417">
        <w:t>Therefore, the question is</w:t>
      </w:r>
      <w:r>
        <w:t xml:space="preserve"> whether the granting of the order was final in effect.</w:t>
      </w:r>
    </w:p>
    <w:p w14:paraId="46E21107" w14:textId="5D7A0A6B" w:rsidR="00CB33AD" w:rsidRDefault="00CB33AD" w:rsidP="003532ED">
      <w:pPr>
        <w:pStyle w:val="Judgmentparagraph"/>
      </w:pPr>
      <w:r w:rsidRPr="009C3219">
        <w:rPr>
          <w:i/>
          <w:iCs/>
        </w:rPr>
        <w:t>International Trade Administration Commission v SCAW South Africa (Pty) Ltd</w:t>
      </w:r>
      <w:r w:rsidR="00772ABA">
        <w:rPr>
          <w:i/>
          <w:iCs/>
        </w:rPr>
        <w:t>,</w:t>
      </w:r>
      <w:r>
        <w:rPr>
          <w:rStyle w:val="FootnoteReference"/>
        </w:rPr>
        <w:footnoteReference w:id="9"/>
      </w:r>
      <w:r w:rsidR="00772ABA">
        <w:t xml:space="preserve"> dealing with an interim interdict,</w:t>
      </w:r>
      <w:r>
        <w:t xml:space="preserve"> the Constitutional Court warned that courts are </w:t>
      </w:r>
      <w:r w:rsidR="00E26417">
        <w:t>reluctant</w:t>
      </w:r>
      <w:r>
        <w:t xml:space="preserve"> to encourage wasteful use of judicial resources and </w:t>
      </w:r>
      <w:r w:rsidRPr="00D35B3C">
        <w:rPr>
          <w:lang w:val="en-GB"/>
        </w:rPr>
        <w:t>legal</w:t>
      </w:r>
      <w:r>
        <w:t xml:space="preserve"> </w:t>
      </w:r>
      <w:r w:rsidRPr="00D35B3C">
        <w:rPr>
          <w:lang w:val="en-GB"/>
        </w:rPr>
        <w:t>costs</w:t>
      </w:r>
      <w:r>
        <w:t xml:space="preserve"> by allowing appeals against interim orders that have no final effect.</w:t>
      </w:r>
      <w:r w:rsidR="00142060">
        <w:t xml:space="preserve"> </w:t>
      </w:r>
      <w:r>
        <w:t>It also has the effect of delaying the final determination of disputes.</w:t>
      </w:r>
    </w:p>
    <w:p w14:paraId="4CC963FD" w14:textId="35D2C458" w:rsidR="00BC204E" w:rsidRDefault="00BC204E" w:rsidP="003532ED">
      <w:pPr>
        <w:pStyle w:val="Judgmentparagraph"/>
      </w:pPr>
      <w:r>
        <w:rPr>
          <w:i/>
          <w:iCs/>
        </w:rPr>
        <w:t xml:space="preserve">National Treasury v Opposition to Urban </w:t>
      </w:r>
      <w:r w:rsidR="00E26417">
        <w:rPr>
          <w:i/>
          <w:iCs/>
        </w:rPr>
        <w:t>Tolling</w:t>
      </w:r>
      <w:r w:rsidR="00A958A2">
        <w:rPr>
          <w:rStyle w:val="FootnoteReference"/>
          <w:i/>
          <w:iCs/>
        </w:rPr>
        <w:footnoteReference w:id="10"/>
      </w:r>
      <w:r w:rsidR="00A958A2">
        <w:t xml:space="preserve"> stated that leave to appeal to interim orders is based on the interests of justice, requiring a weighing of circumstances, including whether the interim order has a final effect.</w:t>
      </w:r>
    </w:p>
    <w:p w14:paraId="28BB7739" w14:textId="175EDD27" w:rsidR="00CB33AD" w:rsidRDefault="00CB33AD" w:rsidP="003532ED">
      <w:pPr>
        <w:pStyle w:val="Judgmentparagraph"/>
      </w:pPr>
      <w:r w:rsidRPr="008A16E9">
        <w:rPr>
          <w:i/>
          <w:iCs/>
        </w:rPr>
        <w:t>Tshwane City v Afriforum</w:t>
      </w:r>
      <w:r>
        <w:rPr>
          <w:rStyle w:val="FootnoteReference"/>
        </w:rPr>
        <w:footnoteReference w:id="11"/>
      </w:r>
      <w:r>
        <w:t xml:space="preserve"> dealt with the appealability of an interim order (interdict)</w:t>
      </w:r>
      <w:r w:rsidR="00E26417">
        <w:t>,</w:t>
      </w:r>
      <w:r>
        <w:t xml:space="preserve"> stating that </w:t>
      </w:r>
      <w:r w:rsidR="008A16E9">
        <w:t>the decisive question is no longer whether it has a final effect or not, but rather whether the overarching role of interests of justice considerations has relativised the final effect of the order or the disposition of the substantial portion of what is pending before the review court.</w:t>
      </w:r>
      <w:r w:rsidR="00142060">
        <w:t xml:space="preserve"> </w:t>
      </w:r>
      <w:r w:rsidR="00432223">
        <w:t>Here the Chief Justice remarked</w:t>
      </w:r>
      <w:r w:rsidR="00BA1D30">
        <w:t>:</w:t>
      </w:r>
    </w:p>
    <w:p w14:paraId="147E4EE0" w14:textId="55B897F5" w:rsidR="00432223" w:rsidRDefault="00432223" w:rsidP="00432223">
      <w:pPr>
        <w:pStyle w:val="Quote"/>
      </w:pPr>
      <w:r>
        <w:t>“</w:t>
      </w:r>
      <w:r w:rsidR="00772ABA" w:rsidRPr="00772ABA">
        <w:t>Unlike before, appealability no longer depends largely on whether the interim order appealed against has final effect or is dispositive of a substantial portion of the relief claimed in the main application.</w:t>
      </w:r>
      <w:r w:rsidR="00142060">
        <w:t xml:space="preserve"> </w:t>
      </w:r>
      <w:r w:rsidR="00772ABA" w:rsidRPr="00772ABA">
        <w:t>All this is now subsumed under the constitutional interests of justice standard.</w:t>
      </w:r>
      <w:r w:rsidR="00142060">
        <w:t xml:space="preserve"> </w:t>
      </w:r>
      <w:r w:rsidR="00772ABA" w:rsidRPr="00772ABA">
        <w:t>The over-arching role of interests of justice considerations has relativised the final effect of the order or the disposition of the substantial portion of what is pending before the review court, in determining appealability</w:t>
      </w:r>
      <w:r w:rsidR="00772ABA">
        <w:t xml:space="preserve"> […] </w:t>
      </w:r>
      <w:r w:rsidR="00772ABA" w:rsidRPr="00772ABA">
        <w:t xml:space="preserve">If appealability or the grant of leave to appeal would best serve the interests </w:t>
      </w:r>
      <w:r w:rsidR="00772ABA" w:rsidRPr="00772ABA">
        <w:lastRenderedPageBreak/>
        <w:t>of justice, then the appeal should be proceeded with no matter what the pre-Constitution common law impediments might suggest. . .</w:t>
      </w:r>
      <w:r w:rsidR="00772ABA">
        <w:t>”</w:t>
      </w:r>
    </w:p>
    <w:p w14:paraId="65DC198C" w14:textId="382F0FE8" w:rsidR="005737B4" w:rsidRDefault="00B4608C" w:rsidP="005737B4">
      <w:pPr>
        <w:pStyle w:val="Judgmentparagraph"/>
      </w:pPr>
      <w:r w:rsidRPr="00432223">
        <w:rPr>
          <w:i/>
          <w:iCs/>
        </w:rPr>
        <w:t>United Democratic Movement v Lebashe Investment Group (Pty) Ltd</w:t>
      </w:r>
      <w:r>
        <w:rPr>
          <w:rStyle w:val="FootnoteReference"/>
        </w:rPr>
        <w:footnoteReference w:id="12"/>
      </w:r>
      <w:r>
        <w:t xml:space="preserve"> </w:t>
      </w:r>
      <w:r w:rsidR="00D72FC4">
        <w:t xml:space="preserve">dealt with an interim </w:t>
      </w:r>
      <w:r w:rsidR="00FB7DB1">
        <w:t xml:space="preserve">interdict </w:t>
      </w:r>
      <w:r w:rsidR="00D72FC4">
        <w:t>being appealed.</w:t>
      </w:r>
      <w:r w:rsidR="00142060">
        <w:t xml:space="preserve"> </w:t>
      </w:r>
      <w:r w:rsidR="005C6381">
        <w:t xml:space="preserve">Distinguishing it from the </w:t>
      </w:r>
      <w:r w:rsidR="005C6381">
        <w:rPr>
          <w:i/>
          <w:iCs/>
        </w:rPr>
        <w:t>Philani-Ma-Afrika</w:t>
      </w:r>
      <w:r w:rsidR="005C6381">
        <w:t xml:space="preserve"> judgment where the appeal against an interim order was </w:t>
      </w:r>
      <w:r w:rsidR="00E26417">
        <w:t>appropriate</w:t>
      </w:r>
      <w:r w:rsidR="005C6381">
        <w:t xml:space="preserve"> in the interest of justice, as the underlying rationale of irreparable harm was clearly demonstrated.</w:t>
      </w:r>
    </w:p>
    <w:p w14:paraId="6FA9C89A" w14:textId="7A4D6B66" w:rsidR="005737B4" w:rsidRDefault="009F5CF2" w:rsidP="005737B4">
      <w:pPr>
        <w:pStyle w:val="Judgmentparagraph"/>
      </w:pPr>
      <w:r>
        <w:t>However, most</w:t>
      </w:r>
      <w:r w:rsidR="007D3BD4">
        <w:t xml:space="preserve"> of the</w:t>
      </w:r>
      <w:r w:rsidR="005C6381">
        <w:t xml:space="preserve"> </w:t>
      </w:r>
      <w:r w:rsidR="00BA1D30">
        <w:t>above cases</w:t>
      </w:r>
      <w:r w:rsidR="007D3BD4">
        <w:t xml:space="preserve"> deal with an interim interdict and not a rescission.</w:t>
      </w:r>
      <w:r w:rsidR="00142060">
        <w:t xml:space="preserve"> </w:t>
      </w:r>
      <w:r>
        <w:t>And in most cases, the absence of the interim order will cause some irreparable harm.</w:t>
      </w:r>
    </w:p>
    <w:p w14:paraId="2CD21DF1" w14:textId="071E24D0" w:rsidR="007D3BD4" w:rsidRDefault="009F5CF2" w:rsidP="005737B4">
      <w:pPr>
        <w:pStyle w:val="Judgmentparagraph"/>
      </w:pPr>
      <w:r>
        <w:t>There are very few cases dealing with the appealability of rescission orders.</w:t>
      </w:r>
      <w:r w:rsidR="00142060">
        <w:t xml:space="preserve"> </w:t>
      </w:r>
      <w:r w:rsidR="007D3BD4" w:rsidRPr="007D3BD4">
        <w:rPr>
          <w:i/>
          <w:iCs/>
        </w:rPr>
        <w:t>Bayport Securitisation v Sakata</w:t>
      </w:r>
      <w:r w:rsidR="007D3BD4">
        <w:rPr>
          <w:rStyle w:val="FootnoteReference"/>
          <w:i/>
          <w:iCs/>
        </w:rPr>
        <w:footnoteReference w:id="13"/>
      </w:r>
      <w:r w:rsidR="007D3BD4" w:rsidRPr="007D3BD4">
        <w:t xml:space="preserve"> </w:t>
      </w:r>
      <w:r w:rsidR="007D3BD4">
        <w:t xml:space="preserve">dealt with an appeal against the dismissal of a rescission judgment and the </w:t>
      </w:r>
      <w:r w:rsidR="00E26417">
        <w:t>decision</w:t>
      </w:r>
      <w:r w:rsidR="007D3BD4">
        <w:t xml:space="preserve"> of the </w:t>
      </w:r>
      <w:r w:rsidR="00E26417">
        <w:t>Eastern</w:t>
      </w:r>
      <w:r w:rsidR="007D3BD4">
        <w:t xml:space="preserve"> Cape Division of the High Court.</w:t>
      </w:r>
      <w:r w:rsidR="00142060">
        <w:t xml:space="preserve"> </w:t>
      </w:r>
      <w:r w:rsidR="007D3BD4">
        <w:t xml:space="preserve">It did not deal with whether </w:t>
      </w:r>
      <w:r w:rsidR="00F912E7">
        <w:t>rescission applications (in this case dismissed) can be appealed or not</w:t>
      </w:r>
      <w:r w:rsidR="00E26417">
        <w:t>. Still, the</w:t>
      </w:r>
      <w:r w:rsidR="00F912E7">
        <w:t xml:space="preserve"> fact that the Supreme Court of Appeal dealt with the reasoning of the High Court to find that the rescission was granted in error indicates that it was competent to do so.</w:t>
      </w:r>
    </w:p>
    <w:p w14:paraId="5FAE23B4" w14:textId="22A1E6B8" w:rsidR="000B47B0" w:rsidRDefault="000B47B0" w:rsidP="00DF1A7F">
      <w:pPr>
        <w:pStyle w:val="Judgmentparagraph"/>
      </w:pPr>
      <w:r>
        <w:t xml:space="preserve">The only authority that I could find specifically on this point is the case of </w:t>
      </w:r>
      <w:r w:rsidR="00DF1A7F" w:rsidRPr="00DF1A7F">
        <w:rPr>
          <w:i/>
          <w:iCs/>
        </w:rPr>
        <w:t>Pitelli v Everton Gardens Projects CC</w:t>
      </w:r>
      <w:r w:rsidR="00DF1A7F">
        <w:rPr>
          <w:rStyle w:val="FootnoteReference"/>
        </w:rPr>
        <w:footnoteReference w:id="14"/>
      </w:r>
      <w:r w:rsidR="00DF1A7F">
        <w:t xml:space="preserve"> where the Supreme Court of Appeal stated that </w:t>
      </w:r>
    </w:p>
    <w:p w14:paraId="381CECBF" w14:textId="33714B98" w:rsidR="00DF1A7F" w:rsidRDefault="00DF1A7F" w:rsidP="00DF1A7F">
      <w:pPr>
        <w:pStyle w:val="Quote"/>
      </w:pPr>
      <w:r>
        <w:t>[h]ad the court rescinded the orders the proceedings would then have proceeded to their ordinary completion by a final judgment.</w:t>
      </w:r>
    </w:p>
    <w:p w14:paraId="1C6DE5E8" w14:textId="03E60848" w:rsidR="00DF1A7F" w:rsidRDefault="00DF1A7F" w:rsidP="00DF1A7F">
      <w:pPr>
        <w:pStyle w:val="Quote"/>
      </w:pPr>
      <w:r>
        <w:t>On the other hand, had the court below refused to rescind its orders, as it did, that would clearly have been appealable, because it would have brought the proceedings to completion in the court of first instance.</w:t>
      </w:r>
      <w:r w:rsidR="00142060">
        <w:t xml:space="preserve"> </w:t>
      </w:r>
      <w:r>
        <w:t>And had this court then upheld the appeal the matter would have been remitted to that court to bring the proceedings to completeness…</w:t>
      </w:r>
    </w:p>
    <w:p w14:paraId="219ADC2F" w14:textId="58BE520C" w:rsidR="00EE02DF" w:rsidRPr="00EE02DF" w:rsidRDefault="00EE02DF" w:rsidP="00EE02DF">
      <w:pPr>
        <w:pStyle w:val="Quote"/>
      </w:pPr>
      <w:r>
        <w:lastRenderedPageBreak/>
        <w:t>An order is not final, for purposes of an appeal, merely because it takes effect unless it is set aside.</w:t>
      </w:r>
      <w:r w:rsidR="00142060">
        <w:t xml:space="preserve"> </w:t>
      </w:r>
      <w:r>
        <w:t>It is final when the proceedings of the court of the first instance are complete and that court is not capable of revisting the order.</w:t>
      </w:r>
      <w:r w:rsidR="00142060">
        <w:t xml:space="preserve"> </w:t>
      </w:r>
      <w:r w:rsidRPr="00EE02DF">
        <w:t>That leads one ineluctably to the conclusion that an order that is taken in the absence of a party is ordinarily not appealable (perhaps there might be cases in which it is appealable but for the moment I cannot think of one).</w:t>
      </w:r>
      <w:r w:rsidR="00142060">
        <w:t xml:space="preserve"> </w:t>
      </w:r>
      <w:r w:rsidRPr="00EE02DF">
        <w:t>It is not appealable because such an order is capable of being rescinded by the court that granted it and it is thus not final in its effect.</w:t>
      </w:r>
    </w:p>
    <w:p w14:paraId="1C0CE116" w14:textId="4D03FE7E" w:rsidR="00B97A92" w:rsidRDefault="009F5CF2" w:rsidP="00EE02DF">
      <w:pPr>
        <w:pStyle w:val="Judgmentparagraph"/>
      </w:pPr>
      <w:r>
        <w:t xml:space="preserve">This is </w:t>
      </w:r>
      <w:r w:rsidR="00EE02DF">
        <w:t>clear authority against the appealability of a rescission order that was granted by the trial court, as the effect of the rescission is to let the trial proceed.</w:t>
      </w:r>
      <w:r w:rsidR="00142060">
        <w:t xml:space="preserve"> </w:t>
      </w:r>
      <w:r>
        <w:t>Likewise</w:t>
      </w:r>
      <w:r w:rsidR="00A27631">
        <w:t>,</w:t>
      </w:r>
      <w:r>
        <w:t xml:space="preserve"> in this case, when</w:t>
      </w:r>
      <w:r w:rsidR="00B97A92">
        <w:t xml:space="preserve"> the rescission application was granted</w:t>
      </w:r>
      <w:r w:rsidR="00A27631">
        <w:t>,</w:t>
      </w:r>
      <w:r w:rsidR="00B97A92">
        <w:t xml:space="preserve"> it </w:t>
      </w:r>
      <w:r w:rsidR="00A27631">
        <w:t>allowed MiWay</w:t>
      </w:r>
      <w:r w:rsidR="00B97A92">
        <w:t xml:space="preserve"> to defend the action in the main application and place its version in front of the trial court.</w:t>
      </w:r>
      <w:r w:rsidR="00142060">
        <w:t xml:space="preserve"> </w:t>
      </w:r>
      <w:r w:rsidR="00B97A92">
        <w:t>No doubt</w:t>
      </w:r>
      <w:r w:rsidR="00A27631">
        <w:t>,</w:t>
      </w:r>
      <w:r w:rsidR="00B97A92">
        <w:t xml:space="preserve"> the uncertainty of the outcome of such a trial, weighed up with the certainty of a default judgment that can be executed, prompted Thwala to try and set the rescission order aside.</w:t>
      </w:r>
      <w:r w:rsidR="00142060">
        <w:t xml:space="preserve"> However, this is misguided.</w:t>
      </w:r>
    </w:p>
    <w:p w14:paraId="3AD7E7BE" w14:textId="77777777" w:rsidR="00BA1D30" w:rsidRDefault="00BA1D30" w:rsidP="00BA1D30">
      <w:pPr>
        <w:pStyle w:val="Heading1"/>
      </w:pPr>
      <w:r>
        <w:t>Conclusion</w:t>
      </w:r>
    </w:p>
    <w:p w14:paraId="6E84DD36" w14:textId="1CFB47CE" w:rsidR="00391092" w:rsidRPr="00145595" w:rsidRDefault="00391092" w:rsidP="00391092">
      <w:pPr>
        <w:pStyle w:val="Judgmentparagraph"/>
      </w:pPr>
      <w:r w:rsidRPr="00145595">
        <w:t>A rescission application is an interlocutory order since it is associated with the main action, regulating the conduct or the course of the proceedings.</w:t>
      </w:r>
      <w:r w:rsidR="00142060">
        <w:t xml:space="preserve"> </w:t>
      </w:r>
      <w:r w:rsidRPr="00145595">
        <w:t>It is a final judgment on a particular point.</w:t>
      </w:r>
      <w:r w:rsidRPr="00145595">
        <w:rPr>
          <w:rStyle w:val="FootnoteReference"/>
        </w:rPr>
        <w:footnoteReference w:id="15"/>
      </w:r>
      <w:r w:rsidRPr="00145595">
        <w:t xml:space="preserve"> But it is only once an application for a rescission order is </w:t>
      </w:r>
      <w:r w:rsidRPr="00145595">
        <w:rPr>
          <w:i/>
          <w:iCs/>
        </w:rPr>
        <w:t>dismissed</w:t>
      </w:r>
      <w:r w:rsidRPr="00145595">
        <w:t xml:space="preserve"> that it will have a final </w:t>
      </w:r>
      <w:r w:rsidRPr="00BA1D30">
        <w:rPr>
          <w:i/>
          <w:iCs/>
        </w:rPr>
        <w:t>effect</w:t>
      </w:r>
      <w:r w:rsidRPr="00145595">
        <w:t>.</w:t>
      </w:r>
      <w:r w:rsidR="00142060">
        <w:t xml:space="preserve"> </w:t>
      </w:r>
      <w:r w:rsidRPr="00145595">
        <w:t xml:space="preserve">The granting of a rescission application for a default judgment means that the defendant can file its notice of intention </w:t>
      </w:r>
      <w:r w:rsidR="00A27631">
        <w:t>to</w:t>
      </w:r>
      <w:r w:rsidRPr="00145595">
        <w:t xml:space="preserve"> defend or its plea or take whatever action is necessary for the trial to proceed.</w:t>
      </w:r>
      <w:r w:rsidR="00142060">
        <w:t xml:space="preserve"> </w:t>
      </w:r>
      <w:r w:rsidR="00BA1D30">
        <w:t>Therefore, once granted is</w:t>
      </w:r>
      <w:r w:rsidR="00145595">
        <w:t xml:space="preserve"> not final</w:t>
      </w:r>
      <w:r w:rsidR="00BA1D30">
        <w:t xml:space="preserve"> in effect</w:t>
      </w:r>
      <w:r w:rsidR="00145595">
        <w:t xml:space="preserve"> since the trial court must now determine the case in the trial</w:t>
      </w:r>
      <w:r w:rsidR="00BA1D30">
        <w:t xml:space="preserve"> where a final order will be made</w:t>
      </w:r>
      <w:r w:rsidR="00145595">
        <w:t xml:space="preserve">.  </w:t>
      </w:r>
    </w:p>
    <w:p w14:paraId="13DB25DF" w14:textId="6B9F0674" w:rsidR="00BA1D30" w:rsidRPr="00E22DB3" w:rsidRDefault="00BA1D30" w:rsidP="00BA1D30">
      <w:pPr>
        <w:pStyle w:val="Judgmentparagraph"/>
      </w:pPr>
      <w:r>
        <w:t>The effect of the rescission order further does not cause irreparable harm. The plaintiff still has the opportunity to argue its case in front of the trial court</w:t>
      </w:r>
      <w:r w:rsidR="005C68D9">
        <w:t>. I</w:t>
      </w:r>
      <w:r>
        <w:t xml:space="preserve">t affords the defendant an opportunity to put its side in front of the court in line with the </w:t>
      </w:r>
      <w:r>
        <w:rPr>
          <w:i/>
          <w:iCs/>
        </w:rPr>
        <w:t>audi alterem partem</w:t>
      </w:r>
      <w:r>
        <w:t xml:space="preserve"> rule.</w:t>
      </w:r>
    </w:p>
    <w:p w14:paraId="7B6D876E" w14:textId="77777777" w:rsidR="00BA1D30" w:rsidRDefault="00BA1D30" w:rsidP="003532ED">
      <w:pPr>
        <w:pStyle w:val="Judgmentparagraph"/>
      </w:pPr>
      <w:r>
        <w:lastRenderedPageBreak/>
        <w:t>Lastly, t</w:t>
      </w:r>
      <w:r w:rsidR="00F92FC8">
        <w:t>he interest of justice does not require that an appeal be entertained, as</w:t>
      </w:r>
      <w:r w:rsidR="00145595">
        <w:t xml:space="preserve"> the </w:t>
      </w:r>
      <w:r w:rsidR="00142060">
        <w:t>Magistrate’s</w:t>
      </w:r>
      <w:r w:rsidR="00E22DB3">
        <w:t xml:space="preserve"> court must now bring the proceedings to a conclusion by granting a final order after hearing both parties.</w:t>
      </w:r>
      <w:r w:rsidR="00145595">
        <w:t xml:space="preserve"> </w:t>
      </w:r>
    </w:p>
    <w:p w14:paraId="0F07FABE" w14:textId="4CF342EF" w:rsidR="00F92FC8" w:rsidRDefault="00BA1D30" w:rsidP="003532ED">
      <w:pPr>
        <w:pStyle w:val="Judgmentparagraph"/>
      </w:pPr>
      <w:r>
        <w:t>Since I find that it is not possible to appeal a rescission order once granted,  there is no need to go into the merits of the findings of the court a quo.</w:t>
      </w:r>
    </w:p>
    <w:p w14:paraId="77D3B0D4" w14:textId="77777777"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0F339FA4" w14:textId="079E2C53" w:rsidR="00CF7942" w:rsidRDefault="00BA1D30" w:rsidP="003532ED">
      <w:pPr>
        <w:pStyle w:val="Judgmentparagraph"/>
      </w:pPr>
      <w:r>
        <w:t>I suggest the following order be granted</w:t>
      </w:r>
      <w:r w:rsidR="00CF7942">
        <w:t>:</w:t>
      </w:r>
    </w:p>
    <w:p w14:paraId="4A801C56" w14:textId="35D71A19" w:rsidR="00F9064E" w:rsidRDefault="00A27631" w:rsidP="00CC0616">
      <w:pPr>
        <w:pStyle w:val="ListParagraph"/>
      </w:pPr>
      <w:r>
        <w:t>The appeal</w:t>
      </w:r>
      <w:r w:rsidR="00B97A92">
        <w:t xml:space="preserve"> is dismissed</w:t>
      </w:r>
      <w:r w:rsidR="00BA1D30">
        <w:t xml:space="preserve"> with cost.</w:t>
      </w:r>
    </w:p>
    <w:p w14:paraId="588E6786" w14:textId="08C846AD" w:rsidR="00CC0616" w:rsidRDefault="00CC0616" w:rsidP="00CC0616">
      <w:pPr>
        <w:spacing w:after="120"/>
      </w:pPr>
    </w:p>
    <w:p w14:paraId="064C08EF" w14:textId="3785A027" w:rsidR="00CC0616" w:rsidRDefault="00CC0616" w:rsidP="00CC0616">
      <w:pPr>
        <w:spacing w:after="120"/>
      </w:pPr>
    </w:p>
    <w:p w14:paraId="5AAE55B5" w14:textId="77777777" w:rsidR="00BA1D30" w:rsidRDefault="00BA1D30" w:rsidP="00BA1D30">
      <w:pPr>
        <w:jc w:val="right"/>
      </w:pPr>
      <w:r>
        <w:t>____________________________</w:t>
      </w:r>
    </w:p>
    <w:p w14:paraId="3D57B530" w14:textId="5087B374" w:rsidR="009C6441" w:rsidRDefault="00CA02F6" w:rsidP="00CA02F6">
      <w:pPr>
        <w:pStyle w:val="ListParagraph"/>
        <w:numPr>
          <w:ilvl w:val="0"/>
          <w:numId w:val="0"/>
        </w:numPr>
        <w:tabs>
          <w:tab w:val="left" w:pos="4917"/>
        </w:tabs>
        <w:spacing w:after="120" w:line="240" w:lineRule="auto"/>
        <w:ind w:left="907"/>
        <w:jc w:val="right"/>
      </w:pPr>
      <w:r>
        <w:tab/>
      </w:r>
      <w:r>
        <w:tab/>
      </w:r>
      <w:r>
        <w:tab/>
      </w:r>
      <w:r>
        <w:tab/>
      </w:r>
      <w:r>
        <w:tab/>
      </w:r>
      <w:r w:rsidR="00E06494">
        <w:t>WJ du Plessis</w:t>
      </w:r>
    </w:p>
    <w:p w14:paraId="68CECF59" w14:textId="32E55C94" w:rsidR="009C6441" w:rsidRDefault="00E06494"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 xml:space="preserve">Acting </w:t>
      </w:r>
      <w:r w:rsidR="009C6441">
        <w:rPr>
          <w:rFonts w:ascii="Arial" w:hAnsi="Arial" w:cs="Arial"/>
          <w:sz w:val="24"/>
          <w:szCs w:val="24"/>
        </w:rPr>
        <w:t>Judge of t</w:t>
      </w:r>
      <w:r w:rsidR="00B7783F">
        <w:rPr>
          <w:rFonts w:ascii="Arial" w:hAnsi="Arial" w:cs="Arial"/>
          <w:sz w:val="24"/>
          <w:szCs w:val="24"/>
        </w:rPr>
        <w:t>he High Court</w:t>
      </w:r>
    </w:p>
    <w:p w14:paraId="241D7674" w14:textId="2D67E8BC" w:rsidR="00CC0616" w:rsidRDefault="00BA1D30" w:rsidP="00BA1D30">
      <w:pPr>
        <w:tabs>
          <w:tab w:val="left" w:pos="4917"/>
        </w:tabs>
        <w:spacing w:before="120" w:after="120" w:line="240" w:lineRule="auto"/>
        <w:ind w:left="357"/>
        <w:rPr>
          <w:rFonts w:ascii="Arial" w:hAnsi="Arial" w:cs="Arial"/>
          <w:sz w:val="24"/>
          <w:szCs w:val="24"/>
        </w:rPr>
      </w:pPr>
      <w:r>
        <w:rPr>
          <w:rFonts w:ascii="Arial" w:hAnsi="Arial" w:cs="Arial"/>
          <w:sz w:val="24"/>
          <w:szCs w:val="24"/>
        </w:rPr>
        <w:t>I agree, and it is so ordered</w:t>
      </w:r>
    </w:p>
    <w:p w14:paraId="1566786C" w14:textId="17267D56" w:rsidR="00CC0616" w:rsidRDefault="00CC0616" w:rsidP="002F1742">
      <w:pPr>
        <w:tabs>
          <w:tab w:val="left" w:pos="4917"/>
        </w:tabs>
        <w:spacing w:before="120" w:after="120" w:line="240" w:lineRule="auto"/>
        <w:ind w:left="357"/>
        <w:jc w:val="right"/>
        <w:rPr>
          <w:rFonts w:ascii="Arial" w:hAnsi="Arial" w:cs="Arial"/>
          <w:sz w:val="24"/>
          <w:szCs w:val="24"/>
        </w:rPr>
      </w:pPr>
    </w:p>
    <w:p w14:paraId="55FEF3E0" w14:textId="77777777" w:rsidR="00CC0616" w:rsidRDefault="00CC0616" w:rsidP="00CC0616">
      <w:pPr>
        <w:tabs>
          <w:tab w:val="left" w:pos="4917"/>
        </w:tabs>
        <w:spacing w:before="120" w:after="120" w:line="240" w:lineRule="auto"/>
        <w:jc w:val="right"/>
        <w:rPr>
          <w:rFonts w:ascii="Arial" w:hAnsi="Arial" w:cs="Arial"/>
          <w:sz w:val="24"/>
          <w:szCs w:val="24"/>
        </w:rPr>
      </w:pPr>
      <w:r w:rsidRPr="00CA02F6">
        <w:rPr>
          <w:rFonts w:ascii="Arial" w:hAnsi="Arial" w:cs="Arial"/>
          <w:sz w:val="24"/>
          <w:szCs w:val="24"/>
        </w:rPr>
        <w:t>____________________________</w:t>
      </w:r>
    </w:p>
    <w:p w14:paraId="793CC840" w14:textId="25D0CAC0" w:rsidR="00CC0616" w:rsidRDefault="00CC0616" w:rsidP="00CC0616">
      <w:pPr>
        <w:tabs>
          <w:tab w:val="left" w:pos="4917"/>
        </w:tabs>
        <w:spacing w:before="120" w:after="120" w:line="240" w:lineRule="auto"/>
        <w:jc w:val="right"/>
        <w:rPr>
          <w:rFonts w:ascii="Arial" w:hAnsi="Arial" w:cs="Arial"/>
          <w:sz w:val="24"/>
          <w:szCs w:val="24"/>
        </w:rPr>
      </w:pPr>
      <w:r>
        <w:rPr>
          <w:rFonts w:ascii="Arial" w:hAnsi="Arial" w:cs="Arial"/>
          <w:sz w:val="24"/>
          <w:szCs w:val="24"/>
        </w:rPr>
        <w:t xml:space="preserve">N Davis </w:t>
      </w:r>
    </w:p>
    <w:p w14:paraId="018EC2B8" w14:textId="0226D2FD" w:rsidR="00CC0616" w:rsidRDefault="00CC0616"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the High Court</w:t>
      </w:r>
    </w:p>
    <w:p w14:paraId="60F56C29" w14:textId="77777777" w:rsidR="00A42BDA" w:rsidRDefault="00A42BDA" w:rsidP="003649CD">
      <w:pPr>
        <w:tabs>
          <w:tab w:val="left" w:pos="4917"/>
        </w:tabs>
        <w:spacing w:after="0" w:line="360" w:lineRule="auto"/>
        <w:ind w:left="357"/>
        <w:rPr>
          <w:rFonts w:ascii="Arial" w:hAnsi="Arial" w:cs="Arial"/>
          <w:sz w:val="24"/>
          <w:szCs w:val="24"/>
        </w:rPr>
      </w:pPr>
    </w:p>
    <w:p w14:paraId="42435123" w14:textId="62AAB98E"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00142060">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2B8C894D" w14:textId="77777777" w:rsidR="00A42BDA" w:rsidRDefault="00A42BDA" w:rsidP="003649CD">
      <w:pPr>
        <w:tabs>
          <w:tab w:val="left" w:pos="4917"/>
        </w:tabs>
        <w:spacing w:after="0" w:line="360" w:lineRule="auto"/>
        <w:ind w:left="357"/>
        <w:rPr>
          <w:rFonts w:ascii="Arial" w:hAnsi="Arial" w:cs="Arial"/>
          <w:sz w:val="24"/>
          <w:szCs w:val="24"/>
        </w:rPr>
      </w:pPr>
    </w:p>
    <w:p w14:paraId="497C23CB" w14:textId="618832C6" w:rsidR="00BE029D" w:rsidRDefault="003649CD" w:rsidP="003649CD">
      <w:pPr>
        <w:tabs>
          <w:tab w:val="left" w:pos="4917"/>
        </w:tabs>
        <w:spacing w:after="0" w:line="360" w:lineRule="auto"/>
        <w:ind w:left="357"/>
        <w:rPr>
          <w:rFonts w:ascii="Arial" w:hAnsi="Arial" w:cs="Arial"/>
          <w:sz w:val="24"/>
          <w:szCs w:val="24"/>
        </w:rPr>
      </w:pPr>
      <w:r>
        <w:rPr>
          <w:rFonts w:ascii="Arial" w:hAnsi="Arial" w:cs="Arial"/>
          <w:sz w:val="24"/>
          <w:szCs w:val="24"/>
        </w:rPr>
        <w:t>C</w:t>
      </w:r>
      <w:r w:rsidR="00E66A18">
        <w:rPr>
          <w:rFonts w:ascii="Arial" w:hAnsi="Arial" w:cs="Arial"/>
          <w:sz w:val="24"/>
          <w:szCs w:val="24"/>
        </w:rPr>
        <w:t>ounsel fo</w:t>
      </w:r>
      <w:r w:rsidR="00377FDC">
        <w:rPr>
          <w:rFonts w:ascii="Arial" w:hAnsi="Arial" w:cs="Arial"/>
          <w:sz w:val="24"/>
          <w:szCs w:val="24"/>
        </w:rPr>
        <w:t>r the applicant</w:t>
      </w:r>
      <w:r w:rsidR="004716A2">
        <w:rPr>
          <w:rFonts w:ascii="Arial" w:hAnsi="Arial" w:cs="Arial"/>
          <w:sz w:val="24"/>
          <w:szCs w:val="24"/>
        </w:rPr>
        <w:t>:</w:t>
      </w:r>
      <w:r w:rsidR="00377FDC">
        <w:rPr>
          <w:rFonts w:ascii="Arial" w:hAnsi="Arial" w:cs="Arial"/>
          <w:sz w:val="24"/>
          <w:szCs w:val="24"/>
        </w:rPr>
        <w:tab/>
      </w:r>
      <w:r w:rsidR="00BA1D30">
        <w:rPr>
          <w:rFonts w:ascii="Arial" w:hAnsi="Arial" w:cs="Arial"/>
          <w:sz w:val="24"/>
          <w:szCs w:val="24"/>
        </w:rPr>
        <w:t xml:space="preserve">No appearance </w:t>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3A75EDE6" w14:textId="5822580D"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E20004">
        <w:rPr>
          <w:rFonts w:ascii="Arial" w:hAnsi="Arial" w:cs="Arial"/>
          <w:sz w:val="24"/>
          <w:szCs w:val="24"/>
        </w:rPr>
        <w:tab/>
      </w:r>
      <w:r w:rsidR="00CC0616">
        <w:rPr>
          <w:rFonts w:ascii="Arial" w:hAnsi="Arial" w:cs="Arial"/>
          <w:sz w:val="24"/>
          <w:szCs w:val="24"/>
        </w:rPr>
        <w:t>Maoba Attorneys</w:t>
      </w:r>
      <w:r w:rsidR="00CF7942">
        <w:rPr>
          <w:rFonts w:ascii="Arial" w:hAnsi="Arial" w:cs="Arial"/>
          <w:sz w:val="24"/>
          <w:szCs w:val="24"/>
        </w:rPr>
        <w:tab/>
      </w:r>
      <w:r w:rsidR="00377FDC">
        <w:rPr>
          <w:rFonts w:ascii="Arial" w:hAnsi="Arial" w:cs="Arial"/>
          <w:sz w:val="24"/>
          <w:szCs w:val="24"/>
        </w:rPr>
        <w:tab/>
      </w:r>
    </w:p>
    <w:p w14:paraId="59347183" w14:textId="06762945" w:rsidR="00377FDC" w:rsidRDefault="001E0FCD"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Counsel for the</w:t>
      </w:r>
      <w:r w:rsidR="00377FDC">
        <w:rPr>
          <w:rFonts w:ascii="Arial" w:hAnsi="Arial" w:cs="Arial"/>
          <w:sz w:val="24"/>
          <w:szCs w:val="24"/>
        </w:rPr>
        <w:t xml:space="preserve"> respondent:</w:t>
      </w:r>
      <w:r w:rsidR="00CC0616">
        <w:rPr>
          <w:rFonts w:ascii="Arial" w:hAnsi="Arial" w:cs="Arial"/>
          <w:sz w:val="24"/>
          <w:szCs w:val="24"/>
        </w:rPr>
        <w:tab/>
      </w:r>
      <w:r w:rsidR="00BA1D30">
        <w:rPr>
          <w:rFonts w:ascii="Arial" w:hAnsi="Arial" w:cs="Arial"/>
          <w:sz w:val="24"/>
          <w:szCs w:val="24"/>
        </w:rPr>
        <w:t>No appearance</w:t>
      </w:r>
    </w:p>
    <w:p w14:paraId="4BF38A14" w14:textId="656B1DA2"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Pr>
          <w:rFonts w:ascii="Arial" w:hAnsi="Arial" w:cs="Arial"/>
          <w:sz w:val="24"/>
          <w:szCs w:val="24"/>
        </w:rPr>
        <w:tab/>
      </w:r>
      <w:r w:rsidR="00CC0616">
        <w:rPr>
          <w:rFonts w:ascii="Arial" w:hAnsi="Arial" w:cs="Arial"/>
          <w:sz w:val="24"/>
          <w:szCs w:val="24"/>
        </w:rPr>
        <w:t>H J Badenhorst &amp; Associates Inc</w:t>
      </w:r>
      <w:r w:rsidR="00377FDC">
        <w:rPr>
          <w:rFonts w:ascii="Arial" w:hAnsi="Arial" w:cs="Arial"/>
          <w:sz w:val="24"/>
          <w:szCs w:val="24"/>
        </w:rPr>
        <w:tab/>
      </w:r>
      <w:r w:rsidR="00CF7942">
        <w:rPr>
          <w:rFonts w:ascii="Arial" w:hAnsi="Arial" w:cs="Arial"/>
          <w:sz w:val="24"/>
          <w:szCs w:val="24"/>
        </w:rPr>
        <w:tab/>
      </w:r>
    </w:p>
    <w:p w14:paraId="5904F2C9" w14:textId="43BF9C67"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CC0616">
        <w:rPr>
          <w:rFonts w:ascii="Arial" w:hAnsi="Arial" w:cs="Arial"/>
          <w:sz w:val="24"/>
          <w:szCs w:val="24"/>
        </w:rPr>
        <w:t>0</w:t>
      </w:r>
      <w:r w:rsidR="00BA1D30">
        <w:rPr>
          <w:rFonts w:ascii="Arial" w:hAnsi="Arial" w:cs="Arial"/>
          <w:sz w:val="24"/>
          <w:szCs w:val="24"/>
        </w:rPr>
        <w:t>5</w:t>
      </w:r>
      <w:r w:rsidR="00CC0616">
        <w:rPr>
          <w:rFonts w:ascii="Arial" w:hAnsi="Arial" w:cs="Arial"/>
          <w:sz w:val="24"/>
          <w:szCs w:val="24"/>
        </w:rPr>
        <w:t xml:space="preserve"> May 2022</w:t>
      </w:r>
      <w:r w:rsidR="00CF7942">
        <w:rPr>
          <w:rFonts w:ascii="Arial" w:hAnsi="Arial" w:cs="Arial"/>
          <w:sz w:val="24"/>
          <w:szCs w:val="24"/>
        </w:rPr>
        <w:tab/>
      </w:r>
      <w:r w:rsidR="00CF7942">
        <w:rPr>
          <w:rFonts w:ascii="Arial" w:hAnsi="Arial" w:cs="Arial"/>
          <w:sz w:val="24"/>
          <w:szCs w:val="24"/>
        </w:rPr>
        <w:tab/>
      </w:r>
      <w:r w:rsidR="002F1742">
        <w:rPr>
          <w:rFonts w:ascii="Arial" w:hAnsi="Arial" w:cs="Arial"/>
          <w:sz w:val="24"/>
          <w:szCs w:val="24"/>
        </w:rPr>
        <w:tab/>
      </w:r>
    </w:p>
    <w:p w14:paraId="77BDBA35" w14:textId="3C8A2F50" w:rsidR="003649CD" w:rsidRDefault="00EA61D2" w:rsidP="00BA1D30">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BA1D30">
        <w:rPr>
          <w:rFonts w:ascii="Arial" w:hAnsi="Arial" w:cs="Arial"/>
          <w:sz w:val="24"/>
          <w:szCs w:val="24"/>
        </w:rPr>
        <w:t>08 June 2022</w:t>
      </w:r>
    </w:p>
    <w:sectPr w:rsidR="003649CD" w:rsidSect="005C68D9">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6FA5" w14:textId="77777777" w:rsidR="00FD1A5C" w:rsidRDefault="00FD1A5C">
      <w:pPr>
        <w:spacing w:after="0" w:line="240" w:lineRule="auto"/>
      </w:pPr>
      <w:r>
        <w:separator/>
      </w:r>
    </w:p>
  </w:endnote>
  <w:endnote w:type="continuationSeparator" w:id="0">
    <w:p w14:paraId="6F367E8D" w14:textId="77777777" w:rsidR="00FD1A5C" w:rsidRDefault="00FD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4943C7EC" w14:textId="77777777" w:rsidR="000E009C" w:rsidRDefault="000E009C">
        <w:pPr>
          <w:pStyle w:val="Footer"/>
          <w:jc w:val="center"/>
        </w:pPr>
        <w:r w:rsidRPr="00A17682">
          <w:rPr>
            <w:rFonts w:ascii="Arial" w:hAnsi="Arial" w:cs="Arial"/>
            <w:sz w:val="24"/>
            <w:szCs w:val="24"/>
          </w:rPr>
          <w:fldChar w:fldCharType="begin"/>
        </w:r>
        <w:r w:rsidRPr="00A17682">
          <w:rPr>
            <w:rFonts w:ascii="Arial" w:hAnsi="Arial" w:cs="Arial"/>
            <w:sz w:val="24"/>
            <w:szCs w:val="24"/>
          </w:rPr>
          <w:instrText xml:space="preserve"> PAGE   \* MERGEFORMAT </w:instrText>
        </w:r>
        <w:r w:rsidRPr="00A17682">
          <w:rPr>
            <w:rFonts w:ascii="Arial" w:hAnsi="Arial" w:cs="Arial"/>
            <w:sz w:val="24"/>
            <w:szCs w:val="24"/>
          </w:rPr>
          <w:fldChar w:fldCharType="separate"/>
        </w:r>
        <w:r w:rsidR="00377FDC" w:rsidRPr="00A17682">
          <w:rPr>
            <w:rFonts w:ascii="Arial" w:hAnsi="Arial" w:cs="Arial"/>
            <w:noProof/>
            <w:sz w:val="24"/>
            <w:szCs w:val="24"/>
          </w:rPr>
          <w:t>2</w:t>
        </w:r>
        <w:r w:rsidRPr="00A17682">
          <w:rPr>
            <w:rFonts w:ascii="Arial" w:hAnsi="Arial" w:cs="Arial"/>
            <w:noProof/>
            <w:sz w:val="24"/>
            <w:szCs w:val="24"/>
          </w:rPr>
          <w:fldChar w:fldCharType="end"/>
        </w:r>
      </w:p>
    </w:sdtContent>
  </w:sdt>
  <w:p w14:paraId="48597755" w14:textId="77777777" w:rsidR="000E009C" w:rsidRDefault="000E0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ACAE" w14:textId="77777777" w:rsidR="00FD1A5C" w:rsidRDefault="00FD1A5C">
      <w:pPr>
        <w:spacing w:after="0" w:line="240" w:lineRule="auto"/>
      </w:pPr>
      <w:r>
        <w:separator/>
      </w:r>
    </w:p>
  </w:footnote>
  <w:footnote w:type="continuationSeparator" w:id="0">
    <w:p w14:paraId="12AD63EA" w14:textId="77777777" w:rsidR="00FD1A5C" w:rsidRDefault="00FD1A5C">
      <w:pPr>
        <w:spacing w:after="0" w:line="240" w:lineRule="auto"/>
      </w:pPr>
      <w:r>
        <w:continuationSeparator/>
      </w:r>
    </w:p>
  </w:footnote>
  <w:footnote w:id="1">
    <w:p w14:paraId="1EF3D62B" w14:textId="292CFCE8" w:rsidR="00A70C10" w:rsidRPr="00A70C10" w:rsidRDefault="00A70C10">
      <w:pPr>
        <w:pStyle w:val="FootnoteText"/>
        <w:rPr>
          <w:lang w:val="en-US"/>
        </w:rPr>
      </w:pPr>
      <w:r>
        <w:rPr>
          <w:rStyle w:val="FootnoteReference"/>
        </w:rPr>
        <w:footnoteRef/>
      </w:r>
      <w:r>
        <w:t xml:space="preserve"> </w:t>
      </w:r>
      <w:r w:rsidRPr="00A70C10">
        <w:rPr>
          <w:i/>
          <w:iCs/>
          <w:lang w:val="en-US"/>
        </w:rPr>
        <w:t>Colyn v Tiger Foods Industries Ltd t/a Meadow Feed Mills</w:t>
      </w:r>
      <w:r>
        <w:rPr>
          <w:lang w:val="en-US"/>
        </w:rPr>
        <w:t xml:space="preserve"> 20033 (6) SA 1 (SCA).</w:t>
      </w:r>
    </w:p>
  </w:footnote>
  <w:footnote w:id="2">
    <w:p w14:paraId="08C7410B" w14:textId="7A11A2D8" w:rsidR="00A17682" w:rsidRPr="00A17682" w:rsidRDefault="00A17682">
      <w:pPr>
        <w:pStyle w:val="FootnoteText"/>
        <w:rPr>
          <w:lang w:val="en-US"/>
        </w:rPr>
      </w:pPr>
      <w:r w:rsidRPr="009F5CF2">
        <w:rPr>
          <w:rStyle w:val="FootnoteReference"/>
        </w:rPr>
        <w:footnoteRef/>
      </w:r>
      <w:r w:rsidRPr="009F5CF2">
        <w:t xml:space="preserve"> </w:t>
      </w:r>
      <w:r w:rsidRPr="009F5CF2">
        <w:rPr>
          <w:i/>
          <w:iCs/>
          <w:lang w:val="en-US"/>
        </w:rPr>
        <w:t xml:space="preserve">Grant </w:t>
      </w:r>
      <w:r w:rsidR="009F5CF2" w:rsidRPr="009F5CF2">
        <w:rPr>
          <w:i/>
          <w:iCs/>
          <w:lang w:val="en-US"/>
        </w:rPr>
        <w:t xml:space="preserve">v </w:t>
      </w:r>
      <w:r w:rsidRPr="009F5CF2">
        <w:rPr>
          <w:i/>
          <w:iCs/>
          <w:lang w:val="en-US"/>
        </w:rPr>
        <w:t>Plumber (Pty) Ltd</w:t>
      </w:r>
      <w:r w:rsidRPr="009F5CF2">
        <w:rPr>
          <w:lang w:val="en-US"/>
        </w:rPr>
        <w:t xml:space="preserve"> 1949 (2) SA 470 (O); </w:t>
      </w:r>
      <w:r w:rsidRPr="009F5CF2">
        <w:rPr>
          <w:i/>
          <w:iCs/>
          <w:lang w:val="en-US"/>
        </w:rPr>
        <w:t>HDS Construction (Pty) Ltd v Wait</w:t>
      </w:r>
      <w:r w:rsidRPr="009F5CF2">
        <w:rPr>
          <w:lang w:val="en-US"/>
        </w:rPr>
        <w:t xml:space="preserve"> 1979 (2) SA 298 (E).</w:t>
      </w:r>
    </w:p>
  </w:footnote>
  <w:footnote w:id="3">
    <w:p w14:paraId="6E59DB85" w14:textId="2C04CB2D" w:rsidR="00A17682" w:rsidRPr="00A17682" w:rsidRDefault="00A17682">
      <w:pPr>
        <w:pStyle w:val="FootnoteText"/>
        <w:rPr>
          <w:lang w:val="en-US"/>
        </w:rPr>
      </w:pPr>
      <w:r>
        <w:rPr>
          <w:rStyle w:val="FootnoteReference"/>
        </w:rPr>
        <w:footnoteRef/>
      </w:r>
      <w:r>
        <w:t xml:space="preserve"> </w:t>
      </w:r>
      <w:r w:rsidRPr="00A17682">
        <w:rPr>
          <w:i/>
          <w:iCs/>
          <w:lang w:val="en-US"/>
        </w:rPr>
        <w:t>RGS Properties (Pty) Ltd v Ethekwini Municipality</w:t>
      </w:r>
      <w:r>
        <w:rPr>
          <w:lang w:val="en-US"/>
        </w:rPr>
        <w:t xml:space="preserve"> 2010 (6) SA 572 (KZD).</w:t>
      </w:r>
    </w:p>
  </w:footnote>
  <w:footnote w:id="4">
    <w:p w14:paraId="00A1BD3E" w14:textId="008A4116" w:rsidR="00A958A2" w:rsidRDefault="00A958A2">
      <w:pPr>
        <w:pStyle w:val="FootnoteText"/>
      </w:pPr>
      <w:r>
        <w:rPr>
          <w:rStyle w:val="FootnoteReference"/>
        </w:rPr>
        <w:footnoteRef/>
      </w:r>
      <w:r>
        <w:t xml:space="preserve"> </w:t>
      </w:r>
      <w:r w:rsidRPr="009B610E">
        <w:t>1993 (1) SA 523 (A)</w:t>
      </w:r>
      <w:r>
        <w:t>.</w:t>
      </w:r>
    </w:p>
  </w:footnote>
  <w:footnote w:id="5">
    <w:p w14:paraId="6F71D62E" w14:textId="58076CF4" w:rsidR="00A958A2" w:rsidRDefault="00A958A2">
      <w:pPr>
        <w:pStyle w:val="FootnoteText"/>
      </w:pPr>
      <w:r>
        <w:rPr>
          <w:rStyle w:val="FootnoteReference"/>
        </w:rPr>
        <w:footnoteRef/>
      </w:r>
      <w:r>
        <w:t xml:space="preserve"> </w:t>
      </w:r>
      <w:r w:rsidRPr="009B610E">
        <w:t>1996 (3) SA 1 (A)</w:t>
      </w:r>
      <w:r>
        <w:t>.</w:t>
      </w:r>
    </w:p>
  </w:footnote>
  <w:footnote w:id="6">
    <w:p w14:paraId="3E9772D7" w14:textId="1EC6698A" w:rsidR="00A958A2" w:rsidRDefault="00A958A2">
      <w:pPr>
        <w:pStyle w:val="FootnoteText"/>
      </w:pPr>
      <w:r>
        <w:rPr>
          <w:rStyle w:val="FootnoteReference"/>
        </w:rPr>
        <w:footnoteRef/>
      </w:r>
      <w:r>
        <w:t xml:space="preserve"> </w:t>
      </w:r>
      <w:r w:rsidRPr="009B610E">
        <w:t>2010 (2) SA 573 (SCA)</w:t>
      </w:r>
      <w:r>
        <w:t>.</w:t>
      </w:r>
    </w:p>
  </w:footnote>
  <w:footnote w:id="7">
    <w:p w14:paraId="78131E05" w14:textId="72D6AB25" w:rsidR="00A958A2" w:rsidRDefault="00A958A2">
      <w:pPr>
        <w:pStyle w:val="FootnoteText"/>
      </w:pPr>
      <w:r>
        <w:rPr>
          <w:rStyle w:val="FootnoteReference"/>
        </w:rPr>
        <w:footnoteRef/>
      </w:r>
      <w:r>
        <w:t xml:space="preserve"> </w:t>
      </w:r>
      <w:r w:rsidRPr="00CA02F6">
        <w:t>2010 (2) SA 257 (CC)</w:t>
      </w:r>
      <w:r>
        <w:t>.</w:t>
      </w:r>
    </w:p>
  </w:footnote>
  <w:footnote w:id="8">
    <w:p w14:paraId="69B40C1D" w14:textId="77777777" w:rsidR="00CB33AD" w:rsidRDefault="00CB33AD" w:rsidP="00CB33AD">
      <w:pPr>
        <w:pStyle w:val="FootnoteText"/>
      </w:pPr>
      <w:r>
        <w:rPr>
          <w:rStyle w:val="FootnoteReference"/>
        </w:rPr>
        <w:footnoteRef/>
      </w:r>
      <w:r>
        <w:t xml:space="preserve"> 2011 (6) SA 231 (SCA)</w:t>
      </w:r>
    </w:p>
  </w:footnote>
  <w:footnote w:id="9">
    <w:p w14:paraId="3B4194D2" w14:textId="77777777" w:rsidR="00CB33AD" w:rsidRDefault="00CB33AD" w:rsidP="00CB33AD">
      <w:pPr>
        <w:pStyle w:val="FootnoteText"/>
      </w:pPr>
      <w:r>
        <w:rPr>
          <w:rStyle w:val="FootnoteReference"/>
        </w:rPr>
        <w:footnoteRef/>
      </w:r>
      <w:r>
        <w:t xml:space="preserve"> 2012 (4) SA 618 (CC).</w:t>
      </w:r>
    </w:p>
  </w:footnote>
  <w:footnote w:id="10">
    <w:p w14:paraId="19EF9F29" w14:textId="4182EBF7" w:rsidR="00A958A2" w:rsidRDefault="00A958A2">
      <w:pPr>
        <w:pStyle w:val="FootnoteText"/>
      </w:pPr>
      <w:r>
        <w:rPr>
          <w:rStyle w:val="FootnoteReference"/>
        </w:rPr>
        <w:footnoteRef/>
      </w:r>
      <w:r>
        <w:t xml:space="preserve"> 2012 (6) SA 223 (CC).</w:t>
      </w:r>
    </w:p>
  </w:footnote>
  <w:footnote w:id="11">
    <w:p w14:paraId="51824F2F" w14:textId="118CD181" w:rsidR="00CB33AD" w:rsidRDefault="00CB33AD">
      <w:pPr>
        <w:pStyle w:val="FootnoteText"/>
      </w:pPr>
      <w:r>
        <w:rPr>
          <w:rStyle w:val="FootnoteReference"/>
        </w:rPr>
        <w:footnoteRef/>
      </w:r>
      <w:r>
        <w:t xml:space="preserve"> 2016 (2) SA 279.</w:t>
      </w:r>
    </w:p>
  </w:footnote>
  <w:footnote w:id="12">
    <w:p w14:paraId="62BB5A1C" w14:textId="262D9574" w:rsidR="00B4608C" w:rsidRDefault="00B4608C">
      <w:pPr>
        <w:pStyle w:val="FootnoteText"/>
      </w:pPr>
      <w:r>
        <w:rPr>
          <w:rStyle w:val="FootnoteReference"/>
        </w:rPr>
        <w:footnoteRef/>
      </w:r>
      <w:r>
        <w:t xml:space="preserve"> [2021] ZASCA 4 (13 January 2021).</w:t>
      </w:r>
    </w:p>
  </w:footnote>
  <w:footnote w:id="13">
    <w:p w14:paraId="476F4C38" w14:textId="3DCB57CF" w:rsidR="007D3BD4" w:rsidRPr="007D3BD4" w:rsidRDefault="007D3BD4">
      <w:pPr>
        <w:pStyle w:val="FootnoteText"/>
        <w:rPr>
          <w:lang w:val="en-US"/>
        </w:rPr>
      </w:pPr>
      <w:r>
        <w:rPr>
          <w:rStyle w:val="FootnoteReference"/>
        </w:rPr>
        <w:footnoteRef/>
      </w:r>
      <w:r>
        <w:t xml:space="preserve"> </w:t>
      </w:r>
      <w:r w:rsidRPr="007D3BD4">
        <w:t>[2019] ZASCA 73 (30 May 2019)</w:t>
      </w:r>
      <w:r>
        <w:t>.</w:t>
      </w:r>
    </w:p>
  </w:footnote>
  <w:footnote w:id="14">
    <w:p w14:paraId="01682392" w14:textId="414A2828" w:rsidR="00DF1A7F" w:rsidRPr="00DF1A7F" w:rsidRDefault="00DF1A7F">
      <w:pPr>
        <w:pStyle w:val="FootnoteText"/>
        <w:rPr>
          <w:lang w:val="en-US"/>
        </w:rPr>
      </w:pPr>
      <w:r>
        <w:rPr>
          <w:rStyle w:val="FootnoteReference"/>
        </w:rPr>
        <w:footnoteRef/>
      </w:r>
      <w:r>
        <w:t xml:space="preserve"> </w:t>
      </w:r>
      <w:r w:rsidR="00BA1D30">
        <w:t>[</w:t>
      </w:r>
      <w:r w:rsidRPr="00DF1A7F">
        <w:t>2010] ZASCA 35 (29 March 2010)</w:t>
      </w:r>
      <w:r>
        <w:t xml:space="preserve"> paras 25 – 2</w:t>
      </w:r>
      <w:r w:rsidR="00EE02DF">
        <w:t>7</w:t>
      </w:r>
      <w:r>
        <w:t>.</w:t>
      </w:r>
    </w:p>
  </w:footnote>
  <w:footnote w:id="15">
    <w:p w14:paraId="7A275A39" w14:textId="77777777" w:rsidR="00391092" w:rsidRPr="00432223" w:rsidRDefault="00391092" w:rsidP="00391092">
      <w:pPr>
        <w:pStyle w:val="FootnoteText"/>
        <w:rPr>
          <w:lang w:val="en-US"/>
        </w:rPr>
      </w:pPr>
      <w:r w:rsidRPr="00391092">
        <w:rPr>
          <w:rStyle w:val="FootnoteReference"/>
        </w:rPr>
        <w:footnoteRef/>
      </w:r>
      <w:r w:rsidRPr="00391092">
        <w:t xml:space="preserve"> Segal V Diners Club South Africa (Pty) Ltd [1974] 1 All SA 359 (T) 362.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0745" w14:textId="02C0D097" w:rsidR="000E009C" w:rsidRDefault="000E009C">
    <w:pPr>
      <w:pStyle w:val="Header"/>
      <w:jc w:val="center"/>
    </w:pPr>
  </w:p>
  <w:p w14:paraId="672BBBFA"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B68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806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6A9C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CC6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09C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B62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E02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CECD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C80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106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A6D37"/>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575D74"/>
    <w:multiLevelType w:val="multilevel"/>
    <w:tmpl w:val="9CE6C212"/>
    <w:styleLink w:val="CurrentList6"/>
    <w:lvl w:ilvl="0">
      <w:start w:val="1"/>
      <w:numFmt w:val="decimal"/>
      <w:lvlText w:val="[%1]"/>
      <w:lvlJc w:val="left"/>
      <w:pPr>
        <w:ind w:left="360" w:hanging="360"/>
      </w:pPr>
      <w:rPr>
        <w:rFonts w:ascii="Arial" w:hAnsi="Arial" w:hint="default"/>
        <w:sz w:val="24"/>
      </w:rPr>
    </w:lvl>
    <w:lvl w:ilvl="1">
      <w:start w:val="1"/>
      <w:numFmt w:val="decimal"/>
      <w:lvlRestart w:val="0"/>
      <w:lvlText w:val="[%2.%1]"/>
      <w:lvlJc w:val="left"/>
      <w:pPr>
        <w:ind w:left="1701" w:hanging="1134"/>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3" w15:restartNumberingAfterBreak="0">
    <w:nsid w:val="0AF17376"/>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07089A"/>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C5E35E7"/>
    <w:multiLevelType w:val="multilevel"/>
    <w:tmpl w:val="5A722266"/>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9"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9BF6E7F"/>
    <w:multiLevelType w:val="multilevel"/>
    <w:tmpl w:val="C5829F6C"/>
    <w:lvl w:ilvl="0">
      <w:start w:val="1"/>
      <w:numFmt w:val="decimal"/>
      <w:pStyle w:val="Judgmentparagraph"/>
      <w:lvlText w:val="[%1]"/>
      <w:lvlJc w:val="left"/>
      <w:pPr>
        <w:ind w:left="360" w:hanging="360"/>
      </w:pPr>
      <w:rPr>
        <w:rFonts w:ascii="Arial" w:hAnsi="Arial" w:hint="default"/>
        <w:sz w:val="24"/>
      </w:rPr>
    </w:lvl>
    <w:lvl w:ilvl="1">
      <w:start w:val="1"/>
      <w:numFmt w:val="decimal"/>
      <w:lvlText w:val="[%1.%2]"/>
      <w:lvlJc w:val="left"/>
      <w:pPr>
        <w:ind w:left="1701" w:hanging="1134"/>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907B78"/>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C204C1E"/>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5A50372"/>
    <w:multiLevelType w:val="multilevel"/>
    <w:tmpl w:val="8E68CA06"/>
    <w:lvl w:ilvl="0">
      <w:start w:val="1"/>
      <w:numFmt w:val="decimal"/>
      <w:lvlText w:val="[%1]"/>
      <w:lvlJc w:val="left"/>
      <w:pPr>
        <w:ind w:left="397" w:hanging="397"/>
      </w:pPr>
      <w:rPr>
        <w:rFonts w:hint="default"/>
      </w:rPr>
    </w:lvl>
    <w:lvl w:ilvl="1">
      <w:start w:val="1"/>
      <w:numFmt w:val="decimal"/>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B21731"/>
    <w:multiLevelType w:val="multilevel"/>
    <w:tmpl w:val="8632BF52"/>
    <w:lvl w:ilvl="0">
      <w:start w:val="1"/>
      <w:numFmt w:val="decimal"/>
      <w:lvlText w:val="[%1]"/>
      <w:lvlJc w:val="left"/>
      <w:pPr>
        <w:ind w:left="397" w:hanging="397"/>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B21DB0"/>
    <w:multiLevelType w:val="hybridMultilevel"/>
    <w:tmpl w:val="38906AE6"/>
    <w:lvl w:ilvl="0" w:tplc="95E2AA78">
      <w:start w:val="1"/>
      <w:numFmt w:val="decimal"/>
      <w:pStyle w:val="ListParagraph"/>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27"/>
  </w:num>
  <w:num w:numId="5">
    <w:abstractNumId w:val="19"/>
  </w:num>
  <w:num w:numId="6">
    <w:abstractNumId w:val="17"/>
  </w:num>
  <w:num w:numId="7">
    <w:abstractNumId w:val="23"/>
  </w:num>
  <w:num w:numId="8">
    <w:abstractNumId w:val="12"/>
  </w:num>
  <w:num w:numId="9">
    <w:abstractNumId w:val="11"/>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15"/>
  </w:num>
  <w:num w:numId="21">
    <w:abstractNumId w:val="10"/>
  </w:num>
  <w:num w:numId="22">
    <w:abstractNumId w:val="22"/>
  </w:num>
  <w:num w:numId="23">
    <w:abstractNumId w:val="25"/>
  </w:num>
  <w:num w:numId="24">
    <w:abstractNumId w:val="14"/>
  </w:num>
  <w:num w:numId="25">
    <w:abstractNumId w:val="13"/>
  </w:num>
  <w:num w:numId="26">
    <w:abstractNumId w:val="18"/>
  </w:num>
  <w:num w:numId="27">
    <w:abstractNumId w:val="24"/>
  </w:num>
  <w:num w:numId="28">
    <w:abstractNumId w:val="26"/>
  </w:num>
  <w:num w:numId="2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0FAJj61gotAAAA"/>
  </w:docVars>
  <w:rsids>
    <w:rsidRoot w:val="00CA02F6"/>
    <w:rsid w:val="0000007B"/>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47B0"/>
    <w:rsid w:val="000B5A68"/>
    <w:rsid w:val="000B6169"/>
    <w:rsid w:val="000B6F80"/>
    <w:rsid w:val="000C02F7"/>
    <w:rsid w:val="000C0C3C"/>
    <w:rsid w:val="000C1968"/>
    <w:rsid w:val="000C2246"/>
    <w:rsid w:val="000C23A9"/>
    <w:rsid w:val="000C310D"/>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E3B"/>
    <w:rsid w:val="00101200"/>
    <w:rsid w:val="00102BAC"/>
    <w:rsid w:val="00103781"/>
    <w:rsid w:val="0010514A"/>
    <w:rsid w:val="001051BF"/>
    <w:rsid w:val="0010564D"/>
    <w:rsid w:val="00105D99"/>
    <w:rsid w:val="001062B3"/>
    <w:rsid w:val="00106334"/>
    <w:rsid w:val="001069B2"/>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ABA"/>
    <w:rsid w:val="00135882"/>
    <w:rsid w:val="00135DE6"/>
    <w:rsid w:val="00136128"/>
    <w:rsid w:val="001363C9"/>
    <w:rsid w:val="00137D9B"/>
    <w:rsid w:val="00140F30"/>
    <w:rsid w:val="00141DD9"/>
    <w:rsid w:val="00142060"/>
    <w:rsid w:val="0014280A"/>
    <w:rsid w:val="001434C3"/>
    <w:rsid w:val="001441F1"/>
    <w:rsid w:val="00145595"/>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57E6"/>
    <w:rsid w:val="00156328"/>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CE"/>
    <w:rsid w:val="001A7400"/>
    <w:rsid w:val="001B0BDA"/>
    <w:rsid w:val="001B0C8D"/>
    <w:rsid w:val="001B15EF"/>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2632"/>
    <w:rsid w:val="001D6772"/>
    <w:rsid w:val="001D7577"/>
    <w:rsid w:val="001D779C"/>
    <w:rsid w:val="001E0FCD"/>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ACF"/>
    <w:rsid w:val="00221F9C"/>
    <w:rsid w:val="00223864"/>
    <w:rsid w:val="00223DCA"/>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3F38"/>
    <w:rsid w:val="002846CE"/>
    <w:rsid w:val="00284A06"/>
    <w:rsid w:val="00284E06"/>
    <w:rsid w:val="0028519B"/>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C08"/>
    <w:rsid w:val="002C2149"/>
    <w:rsid w:val="002C2B9A"/>
    <w:rsid w:val="002C4DB8"/>
    <w:rsid w:val="002C54C6"/>
    <w:rsid w:val="002C5CE4"/>
    <w:rsid w:val="002C6618"/>
    <w:rsid w:val="002C6B8F"/>
    <w:rsid w:val="002C7851"/>
    <w:rsid w:val="002D0838"/>
    <w:rsid w:val="002D1306"/>
    <w:rsid w:val="002D1539"/>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AC3"/>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3AB8"/>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46C8"/>
    <w:rsid w:val="003460F9"/>
    <w:rsid w:val="003478A2"/>
    <w:rsid w:val="00347E91"/>
    <w:rsid w:val="00350127"/>
    <w:rsid w:val="003515C7"/>
    <w:rsid w:val="003517C7"/>
    <w:rsid w:val="00351E4B"/>
    <w:rsid w:val="0035256C"/>
    <w:rsid w:val="003531AA"/>
    <w:rsid w:val="003532ED"/>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9103E"/>
    <w:rsid w:val="00391092"/>
    <w:rsid w:val="003911D9"/>
    <w:rsid w:val="00391E31"/>
    <w:rsid w:val="00392E9C"/>
    <w:rsid w:val="00393566"/>
    <w:rsid w:val="003939A1"/>
    <w:rsid w:val="00394CDC"/>
    <w:rsid w:val="003958F2"/>
    <w:rsid w:val="00395F53"/>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3986"/>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F9F"/>
    <w:rsid w:val="00432223"/>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BD1"/>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26B"/>
    <w:rsid w:val="005010A0"/>
    <w:rsid w:val="0050127E"/>
    <w:rsid w:val="00501896"/>
    <w:rsid w:val="00502030"/>
    <w:rsid w:val="0050273E"/>
    <w:rsid w:val="005029DC"/>
    <w:rsid w:val="00502D8A"/>
    <w:rsid w:val="00503938"/>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5011"/>
    <w:rsid w:val="0056506E"/>
    <w:rsid w:val="00565EBC"/>
    <w:rsid w:val="0056662F"/>
    <w:rsid w:val="00566D53"/>
    <w:rsid w:val="0056708A"/>
    <w:rsid w:val="00567242"/>
    <w:rsid w:val="00567755"/>
    <w:rsid w:val="00571BB7"/>
    <w:rsid w:val="0057317C"/>
    <w:rsid w:val="00573656"/>
    <w:rsid w:val="005737B4"/>
    <w:rsid w:val="005747C7"/>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381"/>
    <w:rsid w:val="005C68D9"/>
    <w:rsid w:val="005C6D14"/>
    <w:rsid w:val="005C7540"/>
    <w:rsid w:val="005D128F"/>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43B4"/>
    <w:rsid w:val="006044F8"/>
    <w:rsid w:val="00605B49"/>
    <w:rsid w:val="006066C1"/>
    <w:rsid w:val="00606F4C"/>
    <w:rsid w:val="006079E3"/>
    <w:rsid w:val="00607C74"/>
    <w:rsid w:val="00610998"/>
    <w:rsid w:val="00611D0E"/>
    <w:rsid w:val="00612912"/>
    <w:rsid w:val="00613A5E"/>
    <w:rsid w:val="00613B36"/>
    <w:rsid w:val="0061492A"/>
    <w:rsid w:val="00614B54"/>
    <w:rsid w:val="0061640A"/>
    <w:rsid w:val="006217FA"/>
    <w:rsid w:val="006225F0"/>
    <w:rsid w:val="00623AD0"/>
    <w:rsid w:val="00624CE5"/>
    <w:rsid w:val="00625C02"/>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D9E"/>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E81"/>
    <w:rsid w:val="00720275"/>
    <w:rsid w:val="00720BDF"/>
    <w:rsid w:val="00721B8C"/>
    <w:rsid w:val="00721C66"/>
    <w:rsid w:val="00721ECE"/>
    <w:rsid w:val="007222BE"/>
    <w:rsid w:val="007231B7"/>
    <w:rsid w:val="00724E33"/>
    <w:rsid w:val="007256DC"/>
    <w:rsid w:val="007269A3"/>
    <w:rsid w:val="007300DF"/>
    <w:rsid w:val="00732375"/>
    <w:rsid w:val="00732976"/>
    <w:rsid w:val="0073323D"/>
    <w:rsid w:val="007334D5"/>
    <w:rsid w:val="00733639"/>
    <w:rsid w:val="00733AB7"/>
    <w:rsid w:val="0073471A"/>
    <w:rsid w:val="007347BF"/>
    <w:rsid w:val="00735117"/>
    <w:rsid w:val="00736CE6"/>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2ABA"/>
    <w:rsid w:val="00773629"/>
    <w:rsid w:val="00773C29"/>
    <w:rsid w:val="007740B9"/>
    <w:rsid w:val="00774352"/>
    <w:rsid w:val="00775E3E"/>
    <w:rsid w:val="00776E0A"/>
    <w:rsid w:val="00777364"/>
    <w:rsid w:val="00777527"/>
    <w:rsid w:val="0077798C"/>
    <w:rsid w:val="00777F71"/>
    <w:rsid w:val="00780513"/>
    <w:rsid w:val="00780A96"/>
    <w:rsid w:val="0078142B"/>
    <w:rsid w:val="007819DA"/>
    <w:rsid w:val="00781A85"/>
    <w:rsid w:val="00782929"/>
    <w:rsid w:val="00784EF5"/>
    <w:rsid w:val="007862EE"/>
    <w:rsid w:val="0078690F"/>
    <w:rsid w:val="007873F8"/>
    <w:rsid w:val="00792B3D"/>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3BD4"/>
    <w:rsid w:val="007D469E"/>
    <w:rsid w:val="007D55EE"/>
    <w:rsid w:val="007D5E6A"/>
    <w:rsid w:val="007D6403"/>
    <w:rsid w:val="007D68F6"/>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E9A"/>
    <w:rsid w:val="0080622C"/>
    <w:rsid w:val="0080760D"/>
    <w:rsid w:val="00811809"/>
    <w:rsid w:val="00811A3B"/>
    <w:rsid w:val="00811BCB"/>
    <w:rsid w:val="00813019"/>
    <w:rsid w:val="00813027"/>
    <w:rsid w:val="008135BC"/>
    <w:rsid w:val="00814E3D"/>
    <w:rsid w:val="00814FF0"/>
    <w:rsid w:val="00815291"/>
    <w:rsid w:val="00816EDC"/>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76F3"/>
    <w:rsid w:val="00837AF0"/>
    <w:rsid w:val="008403A2"/>
    <w:rsid w:val="00840A08"/>
    <w:rsid w:val="00840A65"/>
    <w:rsid w:val="0084112D"/>
    <w:rsid w:val="0084437E"/>
    <w:rsid w:val="008449D9"/>
    <w:rsid w:val="008451AD"/>
    <w:rsid w:val="00845430"/>
    <w:rsid w:val="008457E4"/>
    <w:rsid w:val="00846994"/>
    <w:rsid w:val="008474C5"/>
    <w:rsid w:val="00847EBF"/>
    <w:rsid w:val="00850297"/>
    <w:rsid w:val="00851583"/>
    <w:rsid w:val="0085160D"/>
    <w:rsid w:val="00851CAF"/>
    <w:rsid w:val="00852363"/>
    <w:rsid w:val="008529E2"/>
    <w:rsid w:val="008535C8"/>
    <w:rsid w:val="008535CE"/>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A01B6"/>
    <w:rsid w:val="008A0293"/>
    <w:rsid w:val="008A0432"/>
    <w:rsid w:val="008A0EDC"/>
    <w:rsid w:val="008A16E9"/>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836"/>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689"/>
    <w:rsid w:val="009654D5"/>
    <w:rsid w:val="009662DF"/>
    <w:rsid w:val="009662F7"/>
    <w:rsid w:val="00967C7A"/>
    <w:rsid w:val="0097003C"/>
    <w:rsid w:val="00970583"/>
    <w:rsid w:val="00970F59"/>
    <w:rsid w:val="00971319"/>
    <w:rsid w:val="0097136B"/>
    <w:rsid w:val="00972409"/>
    <w:rsid w:val="009732EB"/>
    <w:rsid w:val="00973FD8"/>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10E"/>
    <w:rsid w:val="009B6340"/>
    <w:rsid w:val="009B64F7"/>
    <w:rsid w:val="009B6C8D"/>
    <w:rsid w:val="009B6C9C"/>
    <w:rsid w:val="009B7414"/>
    <w:rsid w:val="009B775C"/>
    <w:rsid w:val="009B7B16"/>
    <w:rsid w:val="009B7EA2"/>
    <w:rsid w:val="009C0045"/>
    <w:rsid w:val="009C1763"/>
    <w:rsid w:val="009C25AB"/>
    <w:rsid w:val="009C2C05"/>
    <w:rsid w:val="009C3219"/>
    <w:rsid w:val="009C3412"/>
    <w:rsid w:val="009C4894"/>
    <w:rsid w:val="009C4F0E"/>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3D1C"/>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5CF2"/>
    <w:rsid w:val="009F71D8"/>
    <w:rsid w:val="00A0089B"/>
    <w:rsid w:val="00A00BC6"/>
    <w:rsid w:val="00A01A50"/>
    <w:rsid w:val="00A02448"/>
    <w:rsid w:val="00A026EA"/>
    <w:rsid w:val="00A04A14"/>
    <w:rsid w:val="00A04F38"/>
    <w:rsid w:val="00A0535B"/>
    <w:rsid w:val="00A103C9"/>
    <w:rsid w:val="00A12C61"/>
    <w:rsid w:val="00A15373"/>
    <w:rsid w:val="00A156D4"/>
    <w:rsid w:val="00A16AFB"/>
    <w:rsid w:val="00A17682"/>
    <w:rsid w:val="00A17BE4"/>
    <w:rsid w:val="00A2083F"/>
    <w:rsid w:val="00A2172C"/>
    <w:rsid w:val="00A2199D"/>
    <w:rsid w:val="00A21AD0"/>
    <w:rsid w:val="00A258C9"/>
    <w:rsid w:val="00A262CA"/>
    <w:rsid w:val="00A26ADF"/>
    <w:rsid w:val="00A27206"/>
    <w:rsid w:val="00A27631"/>
    <w:rsid w:val="00A315F2"/>
    <w:rsid w:val="00A31D30"/>
    <w:rsid w:val="00A32731"/>
    <w:rsid w:val="00A3289F"/>
    <w:rsid w:val="00A32CD7"/>
    <w:rsid w:val="00A3441D"/>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7377"/>
    <w:rsid w:val="00A60C2B"/>
    <w:rsid w:val="00A617C5"/>
    <w:rsid w:val="00A64A9D"/>
    <w:rsid w:val="00A65B37"/>
    <w:rsid w:val="00A66064"/>
    <w:rsid w:val="00A67D95"/>
    <w:rsid w:val="00A70939"/>
    <w:rsid w:val="00A70C10"/>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4CC0"/>
    <w:rsid w:val="00A958A2"/>
    <w:rsid w:val="00A97627"/>
    <w:rsid w:val="00AA115F"/>
    <w:rsid w:val="00AA158F"/>
    <w:rsid w:val="00AA167B"/>
    <w:rsid w:val="00AA1EC5"/>
    <w:rsid w:val="00AA1F42"/>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474C"/>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08C"/>
    <w:rsid w:val="00B465C8"/>
    <w:rsid w:val="00B4792A"/>
    <w:rsid w:val="00B505F7"/>
    <w:rsid w:val="00B51E24"/>
    <w:rsid w:val="00B52392"/>
    <w:rsid w:val="00B52655"/>
    <w:rsid w:val="00B5309C"/>
    <w:rsid w:val="00B533DE"/>
    <w:rsid w:val="00B53C1C"/>
    <w:rsid w:val="00B54BB7"/>
    <w:rsid w:val="00B55072"/>
    <w:rsid w:val="00B554CE"/>
    <w:rsid w:val="00B55E99"/>
    <w:rsid w:val="00B563A1"/>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188E"/>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7A92"/>
    <w:rsid w:val="00BA11DA"/>
    <w:rsid w:val="00BA1301"/>
    <w:rsid w:val="00BA1D30"/>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ABF"/>
    <w:rsid w:val="00BB6E90"/>
    <w:rsid w:val="00BB6F87"/>
    <w:rsid w:val="00BB7925"/>
    <w:rsid w:val="00BB798B"/>
    <w:rsid w:val="00BB7DE4"/>
    <w:rsid w:val="00BB7E0E"/>
    <w:rsid w:val="00BB7E69"/>
    <w:rsid w:val="00BC1272"/>
    <w:rsid w:val="00BC1F3C"/>
    <w:rsid w:val="00BC204E"/>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B18"/>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81A"/>
    <w:rsid w:val="00C40E50"/>
    <w:rsid w:val="00C42718"/>
    <w:rsid w:val="00C42FB9"/>
    <w:rsid w:val="00C46144"/>
    <w:rsid w:val="00C46D9C"/>
    <w:rsid w:val="00C513DC"/>
    <w:rsid w:val="00C5149B"/>
    <w:rsid w:val="00C51E28"/>
    <w:rsid w:val="00C55220"/>
    <w:rsid w:val="00C55251"/>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C6A"/>
    <w:rsid w:val="00C8048B"/>
    <w:rsid w:val="00C8287D"/>
    <w:rsid w:val="00C8388E"/>
    <w:rsid w:val="00C8420A"/>
    <w:rsid w:val="00C85236"/>
    <w:rsid w:val="00C854B1"/>
    <w:rsid w:val="00C875D1"/>
    <w:rsid w:val="00C90A63"/>
    <w:rsid w:val="00C92732"/>
    <w:rsid w:val="00C937C7"/>
    <w:rsid w:val="00C9608A"/>
    <w:rsid w:val="00C96C9A"/>
    <w:rsid w:val="00C96F9A"/>
    <w:rsid w:val="00C97578"/>
    <w:rsid w:val="00CA02F6"/>
    <w:rsid w:val="00CA1519"/>
    <w:rsid w:val="00CA1B89"/>
    <w:rsid w:val="00CA25AD"/>
    <w:rsid w:val="00CA26A1"/>
    <w:rsid w:val="00CA3367"/>
    <w:rsid w:val="00CA56FF"/>
    <w:rsid w:val="00CA6F65"/>
    <w:rsid w:val="00CA7B55"/>
    <w:rsid w:val="00CB036F"/>
    <w:rsid w:val="00CB192F"/>
    <w:rsid w:val="00CB2AF8"/>
    <w:rsid w:val="00CB3217"/>
    <w:rsid w:val="00CB33AD"/>
    <w:rsid w:val="00CB3A06"/>
    <w:rsid w:val="00CB3AE4"/>
    <w:rsid w:val="00CB4396"/>
    <w:rsid w:val="00CB469E"/>
    <w:rsid w:val="00CB4931"/>
    <w:rsid w:val="00CB5D7E"/>
    <w:rsid w:val="00CB616D"/>
    <w:rsid w:val="00CB676F"/>
    <w:rsid w:val="00CB68BB"/>
    <w:rsid w:val="00CB7653"/>
    <w:rsid w:val="00CC0616"/>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5429"/>
    <w:rsid w:val="00D15FC0"/>
    <w:rsid w:val="00D16E5B"/>
    <w:rsid w:val="00D17A0F"/>
    <w:rsid w:val="00D21A1E"/>
    <w:rsid w:val="00D2210B"/>
    <w:rsid w:val="00D22485"/>
    <w:rsid w:val="00D2426F"/>
    <w:rsid w:val="00D24C91"/>
    <w:rsid w:val="00D24F0A"/>
    <w:rsid w:val="00D25B48"/>
    <w:rsid w:val="00D26DE1"/>
    <w:rsid w:val="00D272AA"/>
    <w:rsid w:val="00D274D6"/>
    <w:rsid w:val="00D30239"/>
    <w:rsid w:val="00D3045E"/>
    <w:rsid w:val="00D30682"/>
    <w:rsid w:val="00D3082D"/>
    <w:rsid w:val="00D31923"/>
    <w:rsid w:val="00D32F28"/>
    <w:rsid w:val="00D332E1"/>
    <w:rsid w:val="00D3366D"/>
    <w:rsid w:val="00D336FD"/>
    <w:rsid w:val="00D34900"/>
    <w:rsid w:val="00D34928"/>
    <w:rsid w:val="00D35B3C"/>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6569"/>
    <w:rsid w:val="00D57DB8"/>
    <w:rsid w:val="00D615C1"/>
    <w:rsid w:val="00D620E7"/>
    <w:rsid w:val="00D62A3A"/>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2FC4"/>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DF9"/>
    <w:rsid w:val="00DA2E41"/>
    <w:rsid w:val="00DA50CA"/>
    <w:rsid w:val="00DA790E"/>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2AAF"/>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42E3"/>
    <w:rsid w:val="00DE47E5"/>
    <w:rsid w:val="00DE489C"/>
    <w:rsid w:val="00DE5018"/>
    <w:rsid w:val="00DE5E5D"/>
    <w:rsid w:val="00DE65EA"/>
    <w:rsid w:val="00DE6A84"/>
    <w:rsid w:val="00DE6E8C"/>
    <w:rsid w:val="00DE70AA"/>
    <w:rsid w:val="00DE791E"/>
    <w:rsid w:val="00DF0578"/>
    <w:rsid w:val="00DF0BF4"/>
    <w:rsid w:val="00DF1085"/>
    <w:rsid w:val="00DF1A7F"/>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06494"/>
    <w:rsid w:val="00E10F1F"/>
    <w:rsid w:val="00E11039"/>
    <w:rsid w:val="00E12670"/>
    <w:rsid w:val="00E13AD9"/>
    <w:rsid w:val="00E1629A"/>
    <w:rsid w:val="00E17312"/>
    <w:rsid w:val="00E175D2"/>
    <w:rsid w:val="00E1782D"/>
    <w:rsid w:val="00E17A0A"/>
    <w:rsid w:val="00E20004"/>
    <w:rsid w:val="00E21091"/>
    <w:rsid w:val="00E2136C"/>
    <w:rsid w:val="00E22DB3"/>
    <w:rsid w:val="00E23FAB"/>
    <w:rsid w:val="00E24379"/>
    <w:rsid w:val="00E25373"/>
    <w:rsid w:val="00E26417"/>
    <w:rsid w:val="00E26B68"/>
    <w:rsid w:val="00E26EC0"/>
    <w:rsid w:val="00E26EDF"/>
    <w:rsid w:val="00E27E12"/>
    <w:rsid w:val="00E3005E"/>
    <w:rsid w:val="00E313F6"/>
    <w:rsid w:val="00E31889"/>
    <w:rsid w:val="00E31B56"/>
    <w:rsid w:val="00E32E7C"/>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7AD7"/>
    <w:rsid w:val="00E502F5"/>
    <w:rsid w:val="00E5284A"/>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981"/>
    <w:rsid w:val="00E63807"/>
    <w:rsid w:val="00E63DC1"/>
    <w:rsid w:val="00E64268"/>
    <w:rsid w:val="00E65208"/>
    <w:rsid w:val="00E66488"/>
    <w:rsid w:val="00E665FF"/>
    <w:rsid w:val="00E66A18"/>
    <w:rsid w:val="00E67634"/>
    <w:rsid w:val="00E6798F"/>
    <w:rsid w:val="00E70255"/>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7ED"/>
    <w:rsid w:val="00E94B16"/>
    <w:rsid w:val="00E95F8E"/>
    <w:rsid w:val="00E96154"/>
    <w:rsid w:val="00E962FF"/>
    <w:rsid w:val="00E96F8E"/>
    <w:rsid w:val="00E9714C"/>
    <w:rsid w:val="00E97339"/>
    <w:rsid w:val="00EA2A8C"/>
    <w:rsid w:val="00EA3C96"/>
    <w:rsid w:val="00EA4276"/>
    <w:rsid w:val="00EA46E0"/>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C04AC"/>
    <w:rsid w:val="00EC0FC6"/>
    <w:rsid w:val="00EC19E2"/>
    <w:rsid w:val="00EC277D"/>
    <w:rsid w:val="00EC3A42"/>
    <w:rsid w:val="00EC4333"/>
    <w:rsid w:val="00EC4716"/>
    <w:rsid w:val="00EC63F4"/>
    <w:rsid w:val="00EC6966"/>
    <w:rsid w:val="00EC6C90"/>
    <w:rsid w:val="00EC6FC7"/>
    <w:rsid w:val="00ED01AF"/>
    <w:rsid w:val="00ED1115"/>
    <w:rsid w:val="00ED2AF3"/>
    <w:rsid w:val="00ED2E3E"/>
    <w:rsid w:val="00ED2F7A"/>
    <w:rsid w:val="00ED2FC5"/>
    <w:rsid w:val="00ED43AA"/>
    <w:rsid w:val="00ED4DB5"/>
    <w:rsid w:val="00ED57BB"/>
    <w:rsid w:val="00ED7742"/>
    <w:rsid w:val="00ED7A40"/>
    <w:rsid w:val="00EE02DF"/>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2DA0"/>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2E7"/>
    <w:rsid w:val="00F91B0B"/>
    <w:rsid w:val="00F92139"/>
    <w:rsid w:val="00F92208"/>
    <w:rsid w:val="00F92FC8"/>
    <w:rsid w:val="00F9483D"/>
    <w:rsid w:val="00F97AB2"/>
    <w:rsid w:val="00F97EF0"/>
    <w:rsid w:val="00FA0C60"/>
    <w:rsid w:val="00FA120D"/>
    <w:rsid w:val="00FA1222"/>
    <w:rsid w:val="00FA1428"/>
    <w:rsid w:val="00FA1689"/>
    <w:rsid w:val="00FA1C20"/>
    <w:rsid w:val="00FA25E7"/>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EA7"/>
    <w:rsid w:val="00FB2F98"/>
    <w:rsid w:val="00FB3EE7"/>
    <w:rsid w:val="00FB3FC7"/>
    <w:rsid w:val="00FB45C1"/>
    <w:rsid w:val="00FB50A5"/>
    <w:rsid w:val="00FB5865"/>
    <w:rsid w:val="00FB5BC5"/>
    <w:rsid w:val="00FB5DAD"/>
    <w:rsid w:val="00FB5E87"/>
    <w:rsid w:val="00FB6B24"/>
    <w:rsid w:val="00FB6E44"/>
    <w:rsid w:val="00FB7DB1"/>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1A5C"/>
    <w:rsid w:val="00FD505E"/>
    <w:rsid w:val="00FD6821"/>
    <w:rsid w:val="00FD703F"/>
    <w:rsid w:val="00FD7BDC"/>
    <w:rsid w:val="00FE0E98"/>
    <w:rsid w:val="00FE101E"/>
    <w:rsid w:val="00FE1172"/>
    <w:rsid w:val="00FE163B"/>
    <w:rsid w:val="00FE2590"/>
    <w:rsid w:val="00FE3378"/>
    <w:rsid w:val="00FE3456"/>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491DB"/>
  <w15:docId w15:val="{7D1990BC-9A25-BD42-97A6-6034556B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8D9"/>
  </w:style>
  <w:style w:type="paragraph" w:styleId="Heading1">
    <w:name w:val="heading 1"/>
    <w:basedOn w:val="ListParagraph"/>
    <w:next w:val="Normal"/>
    <w:link w:val="Heading1Char"/>
    <w:uiPriority w:val="9"/>
    <w:qFormat/>
    <w:rsid w:val="005C68D9"/>
    <w:pPr>
      <w:keepNext/>
      <w:numPr>
        <w:numId w:val="0"/>
      </w:numPr>
      <w:outlineLvl w:val="0"/>
    </w:pPr>
    <w:rPr>
      <w:b/>
    </w:rPr>
  </w:style>
  <w:style w:type="paragraph" w:styleId="Heading2">
    <w:name w:val="heading 2"/>
    <w:basedOn w:val="ListParagraph"/>
    <w:link w:val="Heading2Char"/>
    <w:uiPriority w:val="9"/>
    <w:qFormat/>
    <w:rsid w:val="005C68D9"/>
    <w:pPr>
      <w:numPr>
        <w:numId w:val="29"/>
      </w:numPr>
      <w:outlineLvl w:val="1"/>
    </w:pPr>
  </w:style>
  <w:style w:type="paragraph" w:styleId="Heading3">
    <w:name w:val="heading 3"/>
    <w:basedOn w:val="Normal"/>
    <w:next w:val="Normal"/>
    <w:link w:val="Heading3Char"/>
    <w:uiPriority w:val="9"/>
    <w:unhideWhenUsed/>
    <w:qFormat/>
    <w:rsid w:val="005C68D9"/>
    <w:pPr>
      <w:tabs>
        <w:tab w:val="left" w:pos="4917"/>
      </w:tabs>
      <w:spacing w:before="120" w:after="120" w:line="360" w:lineRule="auto"/>
      <w:jc w:val="both"/>
      <w:outlineLvl w:val="2"/>
    </w:pPr>
    <w:rPr>
      <w:rFonts w:ascii="Arial" w:hAnsi="Arial" w:cs="Arial"/>
      <w:i/>
      <w:sz w:val="24"/>
      <w:szCs w:val="24"/>
    </w:rPr>
  </w:style>
  <w:style w:type="paragraph" w:styleId="Heading4">
    <w:name w:val="heading 4"/>
    <w:basedOn w:val="Normal"/>
    <w:next w:val="Normal"/>
    <w:link w:val="Heading4Char"/>
    <w:uiPriority w:val="9"/>
    <w:unhideWhenUsed/>
    <w:qFormat/>
    <w:rsid w:val="00CA02F6"/>
    <w:pPr>
      <w:keepNext/>
      <w:keepLines/>
      <w:numPr>
        <w:numId w:val="26"/>
      </w:numPr>
      <w:spacing w:before="40" w:after="0"/>
      <w:outlineLvl w:val="3"/>
    </w:pPr>
    <w:rPr>
      <w:rFonts w:ascii="Arial" w:eastAsiaTheme="majorEastAsia" w:hAnsi="Arial" w:cs="Arial"/>
      <w:sz w:val="24"/>
      <w:szCs w:val="24"/>
    </w:rPr>
  </w:style>
  <w:style w:type="character" w:default="1" w:styleId="DefaultParagraphFont">
    <w:name w:val="Default Paragraph Font"/>
    <w:uiPriority w:val="1"/>
    <w:semiHidden/>
    <w:unhideWhenUsed/>
    <w:rsid w:val="005C68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68D9"/>
  </w:style>
  <w:style w:type="paragraph" w:customStyle="1" w:styleId="Default">
    <w:name w:val="Default"/>
    <w:rsid w:val="005C68D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5C68D9"/>
    <w:pPr>
      <w:numPr>
        <w:numId w:val="28"/>
      </w:numPr>
      <w:spacing w:before="120" w:after="240" w:line="360" w:lineRule="auto"/>
      <w:contextualSpacing/>
      <w:jc w:val="both"/>
    </w:pPr>
    <w:rPr>
      <w:rFonts w:ascii="Arial" w:hAnsi="Arial" w:cs="Arial"/>
      <w:sz w:val="24"/>
      <w:szCs w:val="24"/>
    </w:rPr>
  </w:style>
  <w:style w:type="paragraph" w:styleId="NoSpacing">
    <w:name w:val="No Spacing"/>
    <w:uiPriority w:val="1"/>
    <w:qFormat/>
    <w:rsid w:val="005C68D9"/>
    <w:pPr>
      <w:spacing w:after="0" w:line="240" w:lineRule="auto"/>
    </w:pPr>
  </w:style>
  <w:style w:type="paragraph" w:styleId="Header">
    <w:name w:val="header"/>
    <w:basedOn w:val="Normal"/>
    <w:link w:val="HeaderChar"/>
    <w:uiPriority w:val="99"/>
    <w:unhideWhenUsed/>
    <w:rsid w:val="005C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8D9"/>
  </w:style>
  <w:style w:type="paragraph" w:styleId="Footer">
    <w:name w:val="footer"/>
    <w:basedOn w:val="Normal"/>
    <w:link w:val="FooterChar"/>
    <w:uiPriority w:val="99"/>
    <w:unhideWhenUsed/>
    <w:rsid w:val="005C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D9"/>
  </w:style>
  <w:style w:type="paragraph" w:styleId="FootnoteText">
    <w:name w:val="footnote text"/>
    <w:aliases w:val="Footnote Text Char Char,Footnote Text Char Char Char,Char Char Char,Char Char"/>
    <w:basedOn w:val="Normal"/>
    <w:link w:val="FootnoteTextChar"/>
    <w:uiPriority w:val="99"/>
    <w:unhideWhenUsed/>
    <w:rsid w:val="005C68D9"/>
    <w:pPr>
      <w:spacing w:before="120" w:after="0" w:line="240" w:lineRule="auto"/>
      <w:jc w:val="both"/>
    </w:pPr>
    <w:rPr>
      <w:rFonts w:ascii="Arial" w:hAnsi="Arial" w:cs="Arial"/>
      <w:lang w:val="en-GB"/>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5C68D9"/>
    <w:rPr>
      <w:rFonts w:ascii="Arial" w:hAnsi="Arial" w:cs="Arial"/>
      <w:lang w:val="en-GB"/>
    </w:rPr>
  </w:style>
  <w:style w:type="character" w:styleId="FootnoteReference">
    <w:name w:val="footnote reference"/>
    <w:basedOn w:val="DefaultParagraphFont"/>
    <w:uiPriority w:val="99"/>
    <w:unhideWhenUsed/>
    <w:rsid w:val="005C68D9"/>
    <w:rPr>
      <w:vertAlign w:val="superscript"/>
    </w:r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character" w:styleId="Hyperlink">
    <w:name w:val="Hyperlink"/>
    <w:uiPriority w:val="99"/>
    <w:semiHidden/>
    <w:unhideWhenUsed/>
    <w:rsid w:val="005C68D9"/>
    <w:rPr>
      <w:color w:val="0000FF"/>
      <w:u w:val="single"/>
    </w:rPr>
  </w:style>
  <w:style w:type="paragraph" w:styleId="NormalWeb">
    <w:name w:val="Normal (Web)"/>
    <w:basedOn w:val="Normal"/>
    <w:uiPriority w:val="99"/>
    <w:unhideWhenUsed/>
    <w:rsid w:val="005C68D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C68D9"/>
    <w:rPr>
      <w:rFonts w:ascii="Arial" w:hAnsi="Arial" w:cs="Arial"/>
      <w:sz w:val="24"/>
      <w:szCs w:val="24"/>
    </w:rPr>
  </w:style>
  <w:style w:type="paragraph" w:customStyle="1" w:styleId="lg-para3">
    <w:name w:val="lg-para3"/>
    <w:basedOn w:val="Normal"/>
    <w:rsid w:val="005C68D9"/>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C68D9"/>
    <w:rPr>
      <w:sz w:val="16"/>
      <w:szCs w:val="16"/>
    </w:rPr>
  </w:style>
  <w:style w:type="paragraph" w:styleId="CommentText">
    <w:name w:val="annotation text"/>
    <w:basedOn w:val="Normal"/>
    <w:link w:val="CommentTextChar"/>
    <w:uiPriority w:val="99"/>
    <w:semiHidden/>
    <w:unhideWhenUsed/>
    <w:rsid w:val="005C68D9"/>
    <w:pPr>
      <w:spacing w:line="240" w:lineRule="auto"/>
    </w:pPr>
    <w:rPr>
      <w:sz w:val="20"/>
      <w:szCs w:val="20"/>
    </w:rPr>
  </w:style>
  <w:style w:type="character" w:customStyle="1" w:styleId="CommentTextChar">
    <w:name w:val="Comment Text Char"/>
    <w:basedOn w:val="DefaultParagraphFont"/>
    <w:link w:val="CommentText"/>
    <w:uiPriority w:val="99"/>
    <w:semiHidden/>
    <w:rsid w:val="005C68D9"/>
    <w:rPr>
      <w:sz w:val="20"/>
      <w:szCs w:val="20"/>
    </w:rPr>
  </w:style>
  <w:style w:type="paragraph" w:styleId="CommentSubject">
    <w:name w:val="annotation subject"/>
    <w:basedOn w:val="CommentText"/>
    <w:next w:val="CommentText"/>
    <w:link w:val="CommentSubjectChar"/>
    <w:uiPriority w:val="99"/>
    <w:semiHidden/>
    <w:unhideWhenUsed/>
    <w:rsid w:val="005C68D9"/>
    <w:rPr>
      <w:b/>
      <w:bCs/>
    </w:rPr>
  </w:style>
  <w:style w:type="character" w:customStyle="1" w:styleId="CommentSubjectChar">
    <w:name w:val="Comment Subject Char"/>
    <w:basedOn w:val="CommentTextChar"/>
    <w:link w:val="CommentSubject"/>
    <w:uiPriority w:val="99"/>
    <w:semiHidden/>
    <w:rsid w:val="005C68D9"/>
    <w:rPr>
      <w:b/>
      <w:bCs/>
      <w:sz w:val="20"/>
      <w:szCs w:val="20"/>
    </w:rPr>
  </w:style>
  <w:style w:type="numbering" w:customStyle="1" w:styleId="CurrentList1">
    <w:name w:val="Current List1"/>
    <w:uiPriority w:val="99"/>
    <w:rsid w:val="00D35B3C"/>
    <w:pPr>
      <w:numPr>
        <w:numId w:val="3"/>
      </w:numPr>
    </w:pPr>
  </w:style>
  <w:style w:type="numbering" w:customStyle="1" w:styleId="CurrentList2">
    <w:name w:val="Current List2"/>
    <w:uiPriority w:val="99"/>
    <w:rsid w:val="00D35B3C"/>
    <w:pPr>
      <w:numPr>
        <w:numId w:val="4"/>
      </w:numPr>
    </w:pPr>
  </w:style>
  <w:style w:type="numbering" w:customStyle="1" w:styleId="CurrentList3">
    <w:name w:val="Current List3"/>
    <w:uiPriority w:val="99"/>
    <w:rsid w:val="00D35B3C"/>
    <w:pPr>
      <w:numPr>
        <w:numId w:val="5"/>
      </w:numPr>
    </w:pPr>
  </w:style>
  <w:style w:type="numbering" w:customStyle="1" w:styleId="CurrentList4">
    <w:name w:val="Current List4"/>
    <w:uiPriority w:val="99"/>
    <w:rsid w:val="00D35B3C"/>
    <w:pPr>
      <w:numPr>
        <w:numId w:val="6"/>
      </w:numPr>
    </w:pPr>
  </w:style>
  <w:style w:type="character" w:customStyle="1" w:styleId="Heading1Char">
    <w:name w:val="Heading 1 Char"/>
    <w:basedOn w:val="DefaultParagraphFont"/>
    <w:link w:val="Heading1"/>
    <w:uiPriority w:val="9"/>
    <w:rsid w:val="005C68D9"/>
    <w:rPr>
      <w:rFonts w:ascii="Arial" w:hAnsi="Arial" w:cs="Arial"/>
      <w:b/>
      <w:sz w:val="24"/>
      <w:szCs w:val="24"/>
    </w:rPr>
  </w:style>
  <w:style w:type="paragraph" w:customStyle="1" w:styleId="Judgmentparagraph">
    <w:name w:val="Judgment paragraph"/>
    <w:basedOn w:val="ListParagraph"/>
    <w:qFormat/>
    <w:rsid w:val="003532ED"/>
    <w:pPr>
      <w:numPr>
        <w:numId w:val="2"/>
      </w:numPr>
      <w:spacing w:before="240"/>
      <w:ind w:left="567" w:hanging="567"/>
      <w:contextualSpacing w:val="0"/>
    </w:pPr>
  </w:style>
  <w:style w:type="paragraph" w:styleId="Quote">
    <w:name w:val="Quote"/>
    <w:basedOn w:val="Normal"/>
    <w:next w:val="Normal"/>
    <w:link w:val="QuoteChar"/>
    <w:uiPriority w:val="29"/>
    <w:qFormat/>
    <w:rsid w:val="005C68D9"/>
    <w:pPr>
      <w:spacing w:before="120" w:after="120" w:line="360" w:lineRule="auto"/>
      <w:ind w:left="1008" w:right="1008"/>
      <w:jc w:val="both"/>
    </w:pPr>
    <w:rPr>
      <w:rFonts w:ascii="Arial" w:eastAsia="Times New Roman" w:hAnsi="Arial" w:cs="Arial"/>
      <w:color w:val="000000"/>
      <w:szCs w:val="24"/>
    </w:rPr>
  </w:style>
  <w:style w:type="character" w:customStyle="1" w:styleId="QuoteChar">
    <w:name w:val="Quote Char"/>
    <w:basedOn w:val="DefaultParagraphFont"/>
    <w:link w:val="Quote"/>
    <w:uiPriority w:val="29"/>
    <w:rsid w:val="005C68D9"/>
    <w:rPr>
      <w:rFonts w:ascii="Arial" w:eastAsia="Times New Roman" w:hAnsi="Arial" w:cs="Arial"/>
      <w:color w:val="000000"/>
      <w:szCs w:val="24"/>
    </w:rPr>
  </w:style>
  <w:style w:type="numbering" w:customStyle="1" w:styleId="CurrentList5">
    <w:name w:val="Current List5"/>
    <w:uiPriority w:val="99"/>
    <w:rsid w:val="00D35B3C"/>
    <w:pPr>
      <w:numPr>
        <w:numId w:val="7"/>
      </w:numPr>
    </w:pPr>
  </w:style>
  <w:style w:type="numbering" w:customStyle="1" w:styleId="CurrentList6">
    <w:name w:val="Current List6"/>
    <w:uiPriority w:val="99"/>
    <w:rsid w:val="00D35B3C"/>
    <w:pPr>
      <w:numPr>
        <w:numId w:val="9"/>
      </w:numPr>
    </w:pPr>
  </w:style>
  <w:style w:type="character" w:customStyle="1" w:styleId="Heading3Char">
    <w:name w:val="Heading 3 Char"/>
    <w:basedOn w:val="DefaultParagraphFont"/>
    <w:link w:val="Heading3"/>
    <w:uiPriority w:val="9"/>
    <w:rsid w:val="005C68D9"/>
    <w:rPr>
      <w:rFonts w:ascii="Arial" w:hAnsi="Arial" w:cs="Arial"/>
      <w:i/>
      <w:sz w:val="24"/>
      <w:szCs w:val="24"/>
    </w:rPr>
  </w:style>
  <w:style w:type="character" w:customStyle="1" w:styleId="Heading4Char">
    <w:name w:val="Heading 4 Char"/>
    <w:basedOn w:val="DefaultParagraphFont"/>
    <w:link w:val="Heading4"/>
    <w:uiPriority w:val="9"/>
    <w:rsid w:val="00CA02F6"/>
    <w:rPr>
      <w:rFonts w:ascii="Arial" w:eastAsiaTheme="majorEastAsia" w:hAnsi="Arial" w:cs="Arial"/>
      <w:sz w:val="24"/>
      <w:szCs w:val="24"/>
    </w:rPr>
  </w:style>
  <w:style w:type="numbering" w:customStyle="1" w:styleId="CurrentList7">
    <w:name w:val="Current List7"/>
    <w:uiPriority w:val="99"/>
    <w:rsid w:val="00CA02F6"/>
    <w:pPr>
      <w:numPr>
        <w:numId w:val="21"/>
      </w:numPr>
    </w:pPr>
  </w:style>
  <w:style w:type="numbering" w:customStyle="1" w:styleId="CurrentList8">
    <w:name w:val="Current List8"/>
    <w:uiPriority w:val="99"/>
    <w:rsid w:val="00CA02F6"/>
    <w:pPr>
      <w:numPr>
        <w:numId w:val="22"/>
      </w:numPr>
    </w:pPr>
  </w:style>
  <w:style w:type="numbering" w:customStyle="1" w:styleId="CurrentList9">
    <w:name w:val="Current List9"/>
    <w:uiPriority w:val="99"/>
    <w:rsid w:val="00CA02F6"/>
    <w:pPr>
      <w:numPr>
        <w:numId w:val="24"/>
      </w:numPr>
    </w:pPr>
  </w:style>
  <w:style w:type="numbering" w:customStyle="1" w:styleId="CurrentList10">
    <w:name w:val="Current List10"/>
    <w:uiPriority w:val="99"/>
    <w:rsid w:val="00CA02F6"/>
    <w:pPr>
      <w:numPr>
        <w:numId w:val="25"/>
      </w:numPr>
    </w:pPr>
  </w:style>
  <w:style w:type="paragraph" w:styleId="Revision">
    <w:name w:val="Revision"/>
    <w:hidden/>
    <w:uiPriority w:val="99"/>
    <w:semiHidden/>
    <w:rsid w:val="00CA02F6"/>
    <w:pPr>
      <w:spacing w:after="0" w:line="240" w:lineRule="auto"/>
    </w:pPr>
  </w:style>
  <w:style w:type="paragraph" w:customStyle="1" w:styleId="lg-a-1">
    <w:name w:val="lg-a-1"/>
    <w:basedOn w:val="Normal"/>
    <w:rsid w:val="005C68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C68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5C68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5C68D9"/>
  </w:style>
  <w:style w:type="character" w:styleId="PlaceholderText">
    <w:name w:val="Placeholder Text"/>
    <w:basedOn w:val="DefaultParagraphFont"/>
    <w:uiPriority w:val="99"/>
    <w:semiHidden/>
    <w:rsid w:val="005C68D9"/>
    <w:rPr>
      <w:color w:val="808080"/>
    </w:rPr>
  </w:style>
  <w:style w:type="character" w:customStyle="1" w:styleId="Parties">
    <w:name w:val="Parties"/>
    <w:basedOn w:val="DefaultParagraphFont"/>
    <w:uiPriority w:val="1"/>
    <w:rsid w:val="005C68D9"/>
    <w:rPr>
      <w:rFonts w:ascii="Arial" w:hAnsi="Arial"/>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117507404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Documents\Custom%20Office%20Templates\Elmarie%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A7A5EB-329F-7A48-84F8-ACC1F95B4408}">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42F3-83CD-4DE5-9707-0E37E92C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Elmarie judgment template</Template>
  <TotalTime>56</TotalTime>
  <Pages>8</Pages>
  <Words>2101</Words>
  <Characters>10425</Characters>
  <Application>Microsoft Office Word</Application>
  <DocSecurity>0</DocSecurity>
  <Lines>200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ELMIEN DU PLESSIS</cp:lastModifiedBy>
  <cp:revision>5</cp:revision>
  <cp:lastPrinted>2019-12-15T20:37:00Z</cp:lastPrinted>
  <dcterms:created xsi:type="dcterms:W3CDTF">2022-05-18T18:15:00Z</dcterms:created>
  <dcterms:modified xsi:type="dcterms:W3CDTF">2022-06-07T13:05:00Z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documentId_9975</vt:lpwstr>
  </property>
  <property fmtid="{D5CDD505-2E9C-101B-9397-08002B2CF9AE}" pid="3" name="grammarly_documentContext">
    <vt:lpwstr>{"goals":[],"domain":"general","emotions":[],"dialect":"british"}</vt:lpwstr>
  </property>
</Properties>
</file>