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1F1" w:rsidRPr="00E6743E" w:rsidRDefault="001741F1" w:rsidP="001741F1">
      <w:pPr>
        <w:spacing w:after="83"/>
        <w:ind w:left="1088"/>
        <w:jc w:val="center"/>
        <w:rPr>
          <w:rFonts w:ascii="Arial" w:hAnsi="Arial" w:cs="Arial"/>
        </w:rPr>
      </w:pPr>
      <w:r w:rsidRPr="00E6743E">
        <w:rPr>
          <w:rFonts w:ascii="Arial" w:hAnsi="Arial" w:cs="Arial"/>
          <w:noProof/>
          <w:lang w:eastAsia="en-ZA"/>
        </w:rPr>
        <w:drawing>
          <wp:inline distT="0" distB="0" distL="0" distR="0" wp14:anchorId="3948997A" wp14:editId="31349CF0">
            <wp:extent cx="2000250" cy="1428750"/>
            <wp:effectExtent l="0" t="0" r="0" b="0"/>
            <wp:docPr id="1" name="Picture 1" descr="Description: cid:image001.png@01D076AF.8E67B520"/>
            <wp:cNvGraphicFramePr/>
            <a:graphic xmlns:a="http://schemas.openxmlformats.org/drawingml/2006/main">
              <a:graphicData uri="http://schemas.openxmlformats.org/drawingml/2006/picture">
                <pic:pic xmlns:pic="http://schemas.openxmlformats.org/drawingml/2006/picture">
                  <pic:nvPicPr>
                    <pic:cNvPr id="1411" name="Picture 1411"/>
                    <pic:cNvPicPr/>
                  </pic:nvPicPr>
                  <pic:blipFill>
                    <a:blip r:embed="rId8"/>
                    <a:stretch>
                      <a:fillRect/>
                    </a:stretch>
                  </pic:blipFill>
                  <pic:spPr>
                    <a:xfrm>
                      <a:off x="0" y="0"/>
                      <a:ext cx="2027718" cy="1448370"/>
                    </a:xfrm>
                    <a:prstGeom prst="rect">
                      <a:avLst/>
                    </a:prstGeom>
                  </pic:spPr>
                </pic:pic>
              </a:graphicData>
            </a:graphic>
          </wp:inline>
        </w:drawing>
      </w:r>
    </w:p>
    <w:p w:rsidR="001741F1" w:rsidRPr="00A8065D" w:rsidRDefault="001741F1" w:rsidP="001741F1">
      <w:pPr>
        <w:spacing w:after="117"/>
        <w:ind w:left="318"/>
        <w:jc w:val="center"/>
        <w:rPr>
          <w:rFonts w:ascii="Arial" w:hAnsi="Arial" w:cs="Arial"/>
          <w:sz w:val="24"/>
          <w:szCs w:val="24"/>
        </w:rPr>
      </w:pPr>
      <w:r w:rsidRPr="00A8065D">
        <w:rPr>
          <w:rFonts w:ascii="Arial" w:hAnsi="Arial" w:cs="Arial"/>
          <w:b/>
          <w:color w:val="000000"/>
          <w:sz w:val="24"/>
          <w:szCs w:val="24"/>
        </w:rPr>
        <w:t>IN THE HIGH COURT OF SOUTH AFRICA</w:t>
      </w:r>
    </w:p>
    <w:p w:rsidR="001741F1" w:rsidRPr="00A8065D" w:rsidRDefault="001741F1" w:rsidP="001741F1">
      <w:pPr>
        <w:spacing w:after="117"/>
        <w:ind w:left="318" w:right="2"/>
        <w:jc w:val="center"/>
        <w:rPr>
          <w:rFonts w:ascii="Arial" w:hAnsi="Arial" w:cs="Arial"/>
          <w:b/>
          <w:color w:val="000000"/>
          <w:sz w:val="24"/>
          <w:szCs w:val="24"/>
        </w:rPr>
      </w:pPr>
      <w:r w:rsidRPr="00A8065D">
        <w:rPr>
          <w:rFonts w:ascii="Arial" w:hAnsi="Arial" w:cs="Arial"/>
          <w:b/>
          <w:color w:val="000000"/>
          <w:sz w:val="24"/>
          <w:szCs w:val="24"/>
        </w:rPr>
        <w:t>(GAUTENG DIVISION, PRETORIA)</w:t>
      </w:r>
    </w:p>
    <w:p w:rsidR="001741F1" w:rsidRPr="00A8065D" w:rsidRDefault="001741F1" w:rsidP="001741F1">
      <w:pPr>
        <w:spacing w:after="117"/>
        <w:ind w:left="318" w:right="2"/>
        <w:jc w:val="center"/>
        <w:rPr>
          <w:rFonts w:ascii="Arial" w:hAnsi="Arial" w:cs="Arial"/>
          <w:b/>
          <w:color w:val="000000"/>
          <w:sz w:val="24"/>
          <w:szCs w:val="24"/>
        </w:rPr>
      </w:pPr>
    </w:p>
    <w:p w:rsidR="001741F1" w:rsidRPr="00A8065D" w:rsidRDefault="001741F1" w:rsidP="001741F1">
      <w:pPr>
        <w:spacing w:after="117"/>
        <w:ind w:left="318" w:right="2"/>
        <w:jc w:val="right"/>
        <w:rPr>
          <w:rFonts w:ascii="Arial" w:hAnsi="Arial" w:cs="Arial"/>
          <w:b/>
          <w:color w:val="000000"/>
          <w:sz w:val="24"/>
          <w:szCs w:val="24"/>
        </w:rPr>
      </w:pPr>
      <w:r>
        <w:rPr>
          <w:rFonts w:ascii="Arial" w:hAnsi="Arial" w:cs="Arial"/>
          <w:b/>
          <w:color w:val="000000"/>
          <w:sz w:val="24"/>
          <w:szCs w:val="24"/>
        </w:rPr>
        <w:t xml:space="preserve"> CASE NO: 44937/2019</w:t>
      </w:r>
    </w:p>
    <w:p w:rsidR="001741F1" w:rsidRPr="00A8065D" w:rsidRDefault="001741F1" w:rsidP="001741F1">
      <w:pPr>
        <w:spacing w:after="0"/>
        <w:ind w:left="10" w:right="54"/>
        <w:jc w:val="center"/>
        <w:rPr>
          <w:rFonts w:ascii="Arial" w:hAnsi="Arial" w:cs="Arial"/>
          <w:sz w:val="24"/>
          <w:szCs w:val="24"/>
        </w:rPr>
      </w:pPr>
      <w:r w:rsidRPr="00A8065D">
        <w:rPr>
          <w:rFonts w:ascii="Arial" w:eastAsia="Century Gothic" w:hAnsi="Arial" w:cs="Arial"/>
          <w:b/>
          <w:noProof/>
          <w:color w:val="000000"/>
          <w:sz w:val="24"/>
          <w:szCs w:val="24"/>
          <w:lang w:eastAsia="en-ZA"/>
        </w:rPr>
        <mc:AlternateContent>
          <mc:Choice Requires="wps">
            <w:drawing>
              <wp:anchor distT="45720" distB="45720" distL="114300" distR="114300" simplePos="0" relativeHeight="251659264" behindDoc="0" locked="0" layoutInCell="1" allowOverlap="1" wp14:anchorId="4A755ED5" wp14:editId="13C3DB56">
                <wp:simplePos x="0" y="0"/>
                <wp:positionH relativeFrom="margin">
                  <wp:align>left</wp:align>
                </wp:positionH>
                <wp:positionV relativeFrom="paragraph">
                  <wp:posOffset>48895</wp:posOffset>
                </wp:positionV>
                <wp:extent cx="2609850" cy="13525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1352550"/>
                        </a:xfrm>
                        <a:prstGeom prst="rect">
                          <a:avLst/>
                        </a:prstGeom>
                        <a:solidFill>
                          <a:srgbClr val="FFFFFF"/>
                        </a:solidFill>
                        <a:ln w="9525">
                          <a:solidFill>
                            <a:srgbClr val="000000"/>
                          </a:solidFill>
                          <a:miter lim="800000"/>
                          <a:headEnd/>
                          <a:tailEnd/>
                        </a:ln>
                      </wps:spPr>
                      <wps:txbx>
                        <w:txbxContent>
                          <w:p w:rsidR="001741F1" w:rsidRPr="00091EAA" w:rsidRDefault="001741F1" w:rsidP="001741F1">
                            <w:pPr>
                              <w:pStyle w:val="ListParagraph"/>
                              <w:numPr>
                                <w:ilvl w:val="0"/>
                                <w:numId w:val="2"/>
                              </w:numPr>
                              <w:spacing w:after="160" w:line="259" w:lineRule="auto"/>
                              <w:jc w:val="left"/>
                              <w:rPr>
                                <w:sz w:val="20"/>
                                <w:szCs w:val="20"/>
                                <w:lang w:val="en-GB"/>
                              </w:rPr>
                            </w:pPr>
                            <w:r w:rsidRPr="00091EAA">
                              <w:rPr>
                                <w:sz w:val="20"/>
                                <w:szCs w:val="20"/>
                                <w:lang w:val="en-GB"/>
                              </w:rPr>
                              <w:t xml:space="preserve"> REPORTABLE: </w:t>
                            </w:r>
                            <w:r>
                              <w:rPr>
                                <w:sz w:val="20"/>
                                <w:szCs w:val="20"/>
                                <w:lang w:val="en-GB"/>
                              </w:rPr>
                              <w:t xml:space="preserve">YES/ </w:t>
                            </w:r>
                            <w:r w:rsidRPr="00091EAA">
                              <w:rPr>
                                <w:sz w:val="20"/>
                                <w:szCs w:val="20"/>
                                <w:lang w:val="en-GB"/>
                              </w:rPr>
                              <w:t>NO</w:t>
                            </w:r>
                          </w:p>
                          <w:p w:rsidR="001741F1" w:rsidRPr="00091EAA" w:rsidRDefault="001741F1" w:rsidP="001741F1">
                            <w:pPr>
                              <w:pStyle w:val="ListParagraph"/>
                              <w:numPr>
                                <w:ilvl w:val="0"/>
                                <w:numId w:val="2"/>
                              </w:numPr>
                              <w:spacing w:after="160" w:line="259" w:lineRule="auto"/>
                              <w:jc w:val="left"/>
                              <w:rPr>
                                <w:sz w:val="20"/>
                                <w:szCs w:val="20"/>
                                <w:lang w:val="en-GB"/>
                              </w:rPr>
                            </w:pPr>
                            <w:r w:rsidRPr="00091EAA">
                              <w:rPr>
                                <w:sz w:val="20"/>
                                <w:szCs w:val="20"/>
                                <w:lang w:val="en-GB"/>
                              </w:rPr>
                              <w:t xml:space="preserve">OF INTEREST TO OTHER JUDGES: </w:t>
                            </w:r>
                            <w:r>
                              <w:rPr>
                                <w:sz w:val="20"/>
                                <w:szCs w:val="20"/>
                                <w:lang w:val="en-GB"/>
                              </w:rPr>
                              <w:t xml:space="preserve">YES / </w:t>
                            </w:r>
                            <w:r w:rsidRPr="00091EAA">
                              <w:rPr>
                                <w:sz w:val="20"/>
                                <w:szCs w:val="20"/>
                                <w:lang w:val="en-GB"/>
                              </w:rPr>
                              <w:t>NO</w:t>
                            </w:r>
                          </w:p>
                          <w:p w:rsidR="001741F1" w:rsidRPr="00091EAA" w:rsidRDefault="001741F1" w:rsidP="001741F1">
                            <w:pPr>
                              <w:pStyle w:val="ListParagraph"/>
                              <w:numPr>
                                <w:ilvl w:val="0"/>
                                <w:numId w:val="2"/>
                              </w:numPr>
                              <w:spacing w:after="160" w:line="259" w:lineRule="auto"/>
                              <w:jc w:val="left"/>
                              <w:rPr>
                                <w:sz w:val="20"/>
                                <w:szCs w:val="20"/>
                                <w:lang w:val="en-GB"/>
                              </w:rPr>
                            </w:pPr>
                            <w:r w:rsidRPr="00091EAA">
                              <w:rPr>
                                <w:sz w:val="20"/>
                                <w:szCs w:val="20"/>
                                <w:lang w:val="en-GB"/>
                              </w:rPr>
                              <w:t xml:space="preserve">REVISED: </w:t>
                            </w:r>
                            <w:r>
                              <w:rPr>
                                <w:sz w:val="20"/>
                                <w:szCs w:val="20"/>
                                <w:lang w:val="en-GB"/>
                              </w:rPr>
                              <w:t xml:space="preserve">YES / </w:t>
                            </w:r>
                            <w:r w:rsidRPr="00091EAA">
                              <w:rPr>
                                <w:sz w:val="20"/>
                                <w:szCs w:val="20"/>
                                <w:lang w:val="en-GB"/>
                              </w:rPr>
                              <w:t>NO</w:t>
                            </w:r>
                          </w:p>
                          <w:p w:rsidR="001741F1" w:rsidRPr="00091EAA" w:rsidRDefault="001741F1" w:rsidP="001741F1">
                            <w:pPr>
                              <w:rPr>
                                <w:sz w:val="20"/>
                                <w:szCs w:val="20"/>
                                <w:lang w:val="en-GB"/>
                              </w:rPr>
                            </w:pPr>
                          </w:p>
                          <w:p w:rsidR="001741F1" w:rsidRDefault="001741F1" w:rsidP="001741F1">
                            <w:pPr>
                              <w:rPr>
                                <w:b/>
                                <w:sz w:val="20"/>
                                <w:szCs w:val="20"/>
                                <w:lang w:val="en-GB"/>
                              </w:rPr>
                            </w:pPr>
                            <w:r w:rsidRPr="00091EAA">
                              <w:rPr>
                                <w:b/>
                                <w:sz w:val="20"/>
                                <w:szCs w:val="20"/>
                                <w:lang w:val="en-GB"/>
                              </w:rPr>
                              <w:t>…………………</w:t>
                            </w:r>
                            <w:r>
                              <w:rPr>
                                <w:b/>
                                <w:sz w:val="20"/>
                                <w:szCs w:val="20"/>
                                <w:lang w:val="en-GB"/>
                              </w:rPr>
                              <w:t xml:space="preserve">            </w:t>
                            </w:r>
                            <w:r w:rsidRPr="00091EAA">
                              <w:rPr>
                                <w:b/>
                                <w:sz w:val="20"/>
                                <w:szCs w:val="20"/>
                                <w:lang w:val="en-GB"/>
                              </w:rPr>
                              <w:t>……………………</w:t>
                            </w:r>
                          </w:p>
                          <w:p w:rsidR="001741F1" w:rsidRPr="00091EAA" w:rsidRDefault="001741F1" w:rsidP="001741F1">
                            <w:pPr>
                              <w:rPr>
                                <w:b/>
                                <w:sz w:val="20"/>
                                <w:szCs w:val="20"/>
                                <w:lang w:val="en-GB"/>
                              </w:rPr>
                            </w:pPr>
                          </w:p>
                          <w:p w:rsidR="001741F1" w:rsidRPr="00091EAA" w:rsidRDefault="001741F1" w:rsidP="001741F1">
                            <w:pPr>
                              <w:rPr>
                                <w:sz w:val="20"/>
                                <w:szCs w:val="20"/>
                                <w:lang w:val="en-GB"/>
                              </w:rPr>
                            </w:pPr>
                            <w:r w:rsidRPr="00091EAA">
                              <w:rPr>
                                <w:b/>
                                <w:sz w:val="20"/>
                                <w:szCs w:val="20"/>
                                <w:lang w:val="en-GB"/>
                              </w:rPr>
                              <w:t xml:space="preserve">SIGNATURE </w:t>
                            </w:r>
                            <w:r w:rsidRPr="00091EAA">
                              <w:rPr>
                                <w:b/>
                                <w:sz w:val="20"/>
                                <w:szCs w:val="20"/>
                                <w:lang w:val="en-GB"/>
                              </w:rPr>
                              <w:tab/>
                            </w:r>
                            <w:r w:rsidRPr="00091EAA">
                              <w:rPr>
                                <w:b/>
                                <w:sz w:val="20"/>
                                <w:szCs w:val="20"/>
                                <w:lang w:val="en-GB"/>
                              </w:rPr>
                              <w:tab/>
                            </w:r>
                            <w:r w:rsidRPr="00091EAA">
                              <w:rPr>
                                <w:b/>
                                <w:sz w:val="20"/>
                                <w:szCs w:val="20"/>
                                <w:lang w:val="en-GB"/>
                              </w:rPr>
                              <w:tab/>
                              <w:t>DATE:</w:t>
                            </w:r>
                            <w:r w:rsidRPr="00091EAA">
                              <w:rPr>
                                <w:sz w:val="20"/>
                                <w:szCs w:val="20"/>
                                <w:lang w:val="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755ED5" id="_x0000_t202" coordsize="21600,21600" o:spt="202" path="m,l,21600r21600,l21600,xe">
                <v:stroke joinstyle="miter"/>
                <v:path gradientshapeok="t" o:connecttype="rect"/>
              </v:shapetype>
              <v:shape id="Text Box 2" o:spid="_x0000_s1026" type="#_x0000_t202" style="position:absolute;left:0;text-align:left;margin-left:0;margin-top:3.85pt;width:205.5pt;height:106.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">
                <v:textbox>
                  <w:txbxContent>
                    <w:p w:rsidR="001741F1" w:rsidRPr="00091EAA" w:rsidRDefault="001741F1" w:rsidP="001741F1">
                      <w:pPr>
                        <w:pStyle w:val="ListParagraph"/>
                        <w:numPr>
                          <w:ilvl w:val="0"/>
                          <w:numId w:val="2"/>
                        </w:numPr>
                        <w:spacing w:after="160" w:line="259" w:lineRule="auto"/>
                        <w:jc w:val="left"/>
                        <w:rPr>
                          <w:sz w:val="20"/>
                          <w:szCs w:val="20"/>
                          <w:lang w:val="en-GB"/>
                        </w:rPr>
                      </w:pPr>
                      <w:r w:rsidRPr="00091EAA">
                        <w:rPr>
                          <w:sz w:val="20"/>
                          <w:szCs w:val="20"/>
                          <w:lang w:val="en-GB"/>
                        </w:rPr>
                        <w:t xml:space="preserve"> REPORTABLE: </w:t>
                      </w:r>
                      <w:r>
                        <w:rPr>
                          <w:sz w:val="20"/>
                          <w:szCs w:val="20"/>
                          <w:lang w:val="en-GB"/>
                        </w:rPr>
                        <w:t xml:space="preserve">YES/ </w:t>
                      </w:r>
                      <w:r w:rsidRPr="00091EAA">
                        <w:rPr>
                          <w:sz w:val="20"/>
                          <w:szCs w:val="20"/>
                          <w:lang w:val="en-GB"/>
                        </w:rPr>
                        <w:t>NO</w:t>
                      </w:r>
                    </w:p>
                    <w:p w:rsidR="001741F1" w:rsidRPr="00091EAA" w:rsidRDefault="001741F1" w:rsidP="001741F1">
                      <w:pPr>
                        <w:pStyle w:val="ListParagraph"/>
                        <w:numPr>
                          <w:ilvl w:val="0"/>
                          <w:numId w:val="2"/>
                        </w:numPr>
                        <w:spacing w:after="160" w:line="259" w:lineRule="auto"/>
                        <w:jc w:val="left"/>
                        <w:rPr>
                          <w:sz w:val="20"/>
                          <w:szCs w:val="20"/>
                          <w:lang w:val="en-GB"/>
                        </w:rPr>
                      </w:pPr>
                      <w:r w:rsidRPr="00091EAA">
                        <w:rPr>
                          <w:sz w:val="20"/>
                          <w:szCs w:val="20"/>
                          <w:lang w:val="en-GB"/>
                        </w:rPr>
                        <w:t xml:space="preserve">OF INTEREST TO OTHER JUDGES: </w:t>
                      </w:r>
                      <w:r>
                        <w:rPr>
                          <w:sz w:val="20"/>
                          <w:szCs w:val="20"/>
                          <w:lang w:val="en-GB"/>
                        </w:rPr>
                        <w:t xml:space="preserve">YES / </w:t>
                      </w:r>
                      <w:r w:rsidRPr="00091EAA">
                        <w:rPr>
                          <w:sz w:val="20"/>
                          <w:szCs w:val="20"/>
                          <w:lang w:val="en-GB"/>
                        </w:rPr>
                        <w:t>NO</w:t>
                      </w:r>
                    </w:p>
                    <w:p w:rsidR="001741F1" w:rsidRPr="00091EAA" w:rsidRDefault="001741F1" w:rsidP="001741F1">
                      <w:pPr>
                        <w:pStyle w:val="ListParagraph"/>
                        <w:numPr>
                          <w:ilvl w:val="0"/>
                          <w:numId w:val="2"/>
                        </w:numPr>
                        <w:spacing w:after="160" w:line="259" w:lineRule="auto"/>
                        <w:jc w:val="left"/>
                        <w:rPr>
                          <w:sz w:val="20"/>
                          <w:szCs w:val="20"/>
                          <w:lang w:val="en-GB"/>
                        </w:rPr>
                      </w:pPr>
                      <w:r w:rsidRPr="00091EAA">
                        <w:rPr>
                          <w:sz w:val="20"/>
                          <w:szCs w:val="20"/>
                          <w:lang w:val="en-GB"/>
                        </w:rPr>
                        <w:t xml:space="preserve">REVISED: </w:t>
                      </w:r>
                      <w:r>
                        <w:rPr>
                          <w:sz w:val="20"/>
                          <w:szCs w:val="20"/>
                          <w:lang w:val="en-GB"/>
                        </w:rPr>
                        <w:t xml:space="preserve">YES / </w:t>
                      </w:r>
                      <w:r w:rsidRPr="00091EAA">
                        <w:rPr>
                          <w:sz w:val="20"/>
                          <w:szCs w:val="20"/>
                          <w:lang w:val="en-GB"/>
                        </w:rPr>
                        <w:t>NO</w:t>
                      </w:r>
                    </w:p>
                    <w:p w:rsidR="001741F1" w:rsidRPr="00091EAA" w:rsidRDefault="001741F1" w:rsidP="001741F1">
                      <w:pPr>
                        <w:rPr>
                          <w:sz w:val="20"/>
                          <w:szCs w:val="20"/>
                          <w:lang w:val="en-GB"/>
                        </w:rPr>
                      </w:pPr>
                    </w:p>
                    <w:p w:rsidR="001741F1" w:rsidRDefault="001741F1" w:rsidP="001741F1">
                      <w:pPr>
                        <w:rPr>
                          <w:b/>
                          <w:sz w:val="20"/>
                          <w:szCs w:val="20"/>
                          <w:lang w:val="en-GB"/>
                        </w:rPr>
                      </w:pPr>
                      <w:r w:rsidRPr="00091EAA">
                        <w:rPr>
                          <w:b/>
                          <w:sz w:val="20"/>
                          <w:szCs w:val="20"/>
                          <w:lang w:val="en-GB"/>
                        </w:rPr>
                        <w:t>…………………</w:t>
                      </w:r>
                      <w:r>
                        <w:rPr>
                          <w:b/>
                          <w:sz w:val="20"/>
                          <w:szCs w:val="20"/>
                          <w:lang w:val="en-GB"/>
                        </w:rPr>
                        <w:t xml:space="preserve">            </w:t>
                      </w:r>
                      <w:r w:rsidRPr="00091EAA">
                        <w:rPr>
                          <w:b/>
                          <w:sz w:val="20"/>
                          <w:szCs w:val="20"/>
                          <w:lang w:val="en-GB"/>
                        </w:rPr>
                        <w:t>……………………</w:t>
                      </w:r>
                    </w:p>
                    <w:p w:rsidR="001741F1" w:rsidRPr="00091EAA" w:rsidRDefault="001741F1" w:rsidP="001741F1">
                      <w:pPr>
                        <w:rPr>
                          <w:b/>
                          <w:sz w:val="20"/>
                          <w:szCs w:val="20"/>
                          <w:lang w:val="en-GB"/>
                        </w:rPr>
                      </w:pPr>
                    </w:p>
                    <w:p w:rsidR="001741F1" w:rsidRPr="00091EAA" w:rsidRDefault="001741F1" w:rsidP="001741F1">
                      <w:pPr>
                        <w:rPr>
                          <w:sz w:val="20"/>
                          <w:szCs w:val="20"/>
                          <w:lang w:val="en-GB"/>
                        </w:rPr>
                      </w:pPr>
                      <w:r w:rsidRPr="00091EAA">
                        <w:rPr>
                          <w:b/>
                          <w:sz w:val="20"/>
                          <w:szCs w:val="20"/>
                          <w:lang w:val="en-GB"/>
                        </w:rPr>
                        <w:t xml:space="preserve">SIGNATURE </w:t>
                      </w:r>
                      <w:r w:rsidRPr="00091EAA">
                        <w:rPr>
                          <w:b/>
                          <w:sz w:val="20"/>
                          <w:szCs w:val="20"/>
                          <w:lang w:val="en-GB"/>
                        </w:rPr>
                        <w:tab/>
                      </w:r>
                      <w:r w:rsidRPr="00091EAA">
                        <w:rPr>
                          <w:b/>
                          <w:sz w:val="20"/>
                          <w:szCs w:val="20"/>
                          <w:lang w:val="en-GB"/>
                        </w:rPr>
                        <w:tab/>
                      </w:r>
                      <w:r w:rsidRPr="00091EAA">
                        <w:rPr>
                          <w:b/>
                          <w:sz w:val="20"/>
                          <w:szCs w:val="20"/>
                          <w:lang w:val="en-GB"/>
                        </w:rPr>
                        <w:tab/>
                        <w:t>DATE:</w:t>
                      </w:r>
                      <w:r w:rsidRPr="00091EAA">
                        <w:rPr>
                          <w:sz w:val="20"/>
                          <w:szCs w:val="20"/>
                          <w:lang w:val="en-GB"/>
                        </w:rPr>
                        <w:t xml:space="preserve"> </w:t>
                      </w:r>
                    </w:p>
                  </w:txbxContent>
                </v:textbox>
                <w10:wrap type="square" anchorx="margin"/>
              </v:shape>
            </w:pict>
          </mc:Fallback>
        </mc:AlternateContent>
      </w:r>
    </w:p>
    <w:p w:rsidR="001741F1" w:rsidRPr="00A8065D" w:rsidRDefault="001741F1" w:rsidP="001741F1">
      <w:pPr>
        <w:spacing w:after="65"/>
        <w:rPr>
          <w:rFonts w:ascii="Arial" w:hAnsi="Arial" w:cs="Arial"/>
          <w:sz w:val="24"/>
          <w:szCs w:val="24"/>
        </w:rPr>
      </w:pPr>
      <w:r w:rsidRPr="00A8065D">
        <w:rPr>
          <w:rFonts w:ascii="Arial" w:eastAsia="Century Gothic" w:hAnsi="Arial" w:cs="Arial"/>
          <w:b/>
          <w:color w:val="000000"/>
          <w:sz w:val="24"/>
          <w:szCs w:val="24"/>
        </w:rPr>
        <w:t xml:space="preserve"> </w:t>
      </w:r>
      <w:r w:rsidRPr="00A8065D">
        <w:rPr>
          <w:rFonts w:ascii="Arial" w:hAnsi="Arial" w:cs="Arial"/>
          <w:color w:val="000000"/>
          <w:sz w:val="24"/>
          <w:szCs w:val="24"/>
        </w:rPr>
        <w:t xml:space="preserve"> </w:t>
      </w:r>
    </w:p>
    <w:p w:rsidR="001741F1" w:rsidRPr="00A8065D" w:rsidRDefault="001741F1" w:rsidP="001741F1">
      <w:pPr>
        <w:spacing w:after="62"/>
        <w:ind w:left="370"/>
        <w:rPr>
          <w:rFonts w:ascii="Arial" w:hAnsi="Arial" w:cs="Arial"/>
          <w:color w:val="000000"/>
          <w:sz w:val="24"/>
          <w:szCs w:val="24"/>
        </w:rPr>
      </w:pPr>
    </w:p>
    <w:p w:rsidR="001741F1" w:rsidRPr="00A8065D" w:rsidRDefault="001741F1" w:rsidP="001741F1">
      <w:pPr>
        <w:spacing w:after="62"/>
        <w:ind w:left="370"/>
        <w:rPr>
          <w:rFonts w:ascii="Arial" w:hAnsi="Arial" w:cs="Arial"/>
          <w:color w:val="000000"/>
          <w:sz w:val="24"/>
          <w:szCs w:val="24"/>
        </w:rPr>
      </w:pPr>
    </w:p>
    <w:p w:rsidR="001741F1" w:rsidRDefault="001741F1" w:rsidP="001741F1">
      <w:pPr>
        <w:tabs>
          <w:tab w:val="left" w:pos="1843"/>
          <w:tab w:val="right" w:pos="9072"/>
        </w:tabs>
        <w:spacing w:after="0" w:line="276" w:lineRule="auto"/>
        <w:jc w:val="center"/>
        <w:rPr>
          <w:rFonts w:ascii="Arial" w:eastAsia="Calibri" w:hAnsi="Arial" w:cs="Arial"/>
          <w:b/>
          <w:sz w:val="24"/>
          <w:szCs w:val="16"/>
          <w:lang w:eastAsia="en-ZA"/>
        </w:rPr>
      </w:pPr>
    </w:p>
    <w:p w:rsidR="001741F1" w:rsidRDefault="001741F1" w:rsidP="001741F1">
      <w:pPr>
        <w:tabs>
          <w:tab w:val="left" w:pos="1843"/>
          <w:tab w:val="right" w:pos="9072"/>
        </w:tabs>
        <w:spacing w:after="0" w:line="276" w:lineRule="auto"/>
        <w:jc w:val="both"/>
        <w:rPr>
          <w:rFonts w:ascii="Arial" w:eastAsia="Calibri" w:hAnsi="Arial" w:cs="Arial"/>
          <w:b/>
          <w:sz w:val="24"/>
          <w:szCs w:val="16"/>
          <w:lang w:eastAsia="en-ZA"/>
        </w:rPr>
      </w:pPr>
    </w:p>
    <w:p w:rsidR="001741F1" w:rsidRDefault="001741F1" w:rsidP="001741F1">
      <w:pPr>
        <w:tabs>
          <w:tab w:val="left" w:pos="1843"/>
          <w:tab w:val="right" w:pos="9072"/>
        </w:tabs>
        <w:spacing w:after="0" w:line="276" w:lineRule="auto"/>
        <w:jc w:val="both"/>
        <w:rPr>
          <w:rFonts w:ascii="Arial" w:eastAsia="Calibri" w:hAnsi="Arial" w:cs="Arial"/>
          <w:b/>
          <w:sz w:val="24"/>
          <w:szCs w:val="16"/>
          <w:lang w:eastAsia="en-ZA"/>
        </w:rPr>
      </w:pPr>
    </w:p>
    <w:p w:rsidR="001741F1" w:rsidRDefault="001741F1" w:rsidP="001741F1">
      <w:pPr>
        <w:tabs>
          <w:tab w:val="left" w:pos="1843"/>
          <w:tab w:val="right" w:pos="9072"/>
        </w:tabs>
        <w:spacing w:after="0" w:line="276" w:lineRule="auto"/>
        <w:jc w:val="both"/>
        <w:rPr>
          <w:rFonts w:ascii="Arial" w:eastAsia="Calibri" w:hAnsi="Arial" w:cs="Arial"/>
          <w:b/>
          <w:sz w:val="24"/>
          <w:szCs w:val="16"/>
          <w:lang w:eastAsia="en-ZA"/>
        </w:rPr>
      </w:pPr>
    </w:p>
    <w:p w:rsidR="001741F1" w:rsidRPr="00A8065D" w:rsidRDefault="001741F1" w:rsidP="001741F1">
      <w:pPr>
        <w:pStyle w:val="Textbody"/>
        <w:spacing w:line="360" w:lineRule="auto"/>
        <w:jc w:val="both"/>
        <w:rPr>
          <w:rFonts w:ascii="Arial" w:hAnsi="Arial" w:cs="Arial"/>
        </w:rPr>
      </w:pPr>
      <w:r w:rsidRPr="00A8065D">
        <w:rPr>
          <w:rFonts w:ascii="Arial" w:hAnsi="Arial" w:cs="Arial"/>
        </w:rPr>
        <w:t>In the matter between:</w:t>
      </w:r>
    </w:p>
    <w:p w:rsidR="001741F1" w:rsidRPr="001741F1" w:rsidRDefault="001741F1" w:rsidP="001741F1">
      <w:pPr>
        <w:tabs>
          <w:tab w:val="left" w:pos="1843"/>
          <w:tab w:val="right" w:pos="9072"/>
        </w:tabs>
        <w:spacing w:after="0" w:line="276" w:lineRule="auto"/>
        <w:jc w:val="both"/>
        <w:rPr>
          <w:rFonts w:ascii="Arial" w:eastAsia="Calibri" w:hAnsi="Arial" w:cs="Arial"/>
          <w:sz w:val="24"/>
          <w:szCs w:val="16"/>
          <w:lang w:eastAsia="en-ZA"/>
        </w:rPr>
      </w:pPr>
      <w:r w:rsidRPr="001741F1">
        <w:rPr>
          <w:rFonts w:ascii="Arial" w:eastAsia="Calibri" w:hAnsi="Arial" w:cs="Arial"/>
          <w:b/>
          <w:sz w:val="24"/>
          <w:szCs w:val="16"/>
          <w:lang w:eastAsia="en-ZA"/>
        </w:rPr>
        <w:t>LESLEY ANN PRICE</w:t>
      </w:r>
      <w:r w:rsidRPr="001741F1">
        <w:rPr>
          <w:rFonts w:ascii="Arial" w:eastAsia="Calibri" w:hAnsi="Arial" w:cs="Arial"/>
          <w:sz w:val="24"/>
          <w:szCs w:val="16"/>
          <w:lang w:eastAsia="en-ZA"/>
        </w:rPr>
        <w:t xml:space="preserve"> </w:t>
      </w:r>
      <w:r w:rsidRPr="001741F1">
        <w:rPr>
          <w:rFonts w:ascii="Arial" w:eastAsia="Calibri" w:hAnsi="Arial" w:cs="Arial"/>
          <w:sz w:val="24"/>
          <w:szCs w:val="16"/>
          <w:lang w:eastAsia="en-ZA"/>
        </w:rPr>
        <w:tab/>
        <w:t>First Applicant</w:t>
      </w:r>
    </w:p>
    <w:p w:rsidR="001741F1" w:rsidRPr="001741F1" w:rsidRDefault="001741F1" w:rsidP="001741F1">
      <w:pPr>
        <w:tabs>
          <w:tab w:val="left" w:pos="1843"/>
          <w:tab w:val="left" w:pos="6630"/>
        </w:tabs>
        <w:spacing w:after="0" w:line="276" w:lineRule="auto"/>
        <w:jc w:val="both"/>
        <w:rPr>
          <w:rFonts w:ascii="Arial" w:eastAsia="Calibri" w:hAnsi="Arial" w:cs="Arial"/>
          <w:sz w:val="24"/>
          <w:szCs w:val="16"/>
          <w:lang w:eastAsia="en-ZA"/>
        </w:rPr>
      </w:pPr>
    </w:p>
    <w:p w:rsidR="001741F1" w:rsidRPr="001741F1" w:rsidRDefault="001741F1" w:rsidP="001741F1">
      <w:pPr>
        <w:tabs>
          <w:tab w:val="left" w:pos="1843"/>
          <w:tab w:val="right" w:pos="9072"/>
        </w:tabs>
        <w:spacing w:after="0" w:line="276" w:lineRule="auto"/>
        <w:jc w:val="both"/>
        <w:rPr>
          <w:rFonts w:ascii="Arial" w:eastAsia="Calibri" w:hAnsi="Arial" w:cs="Arial"/>
          <w:sz w:val="24"/>
          <w:szCs w:val="16"/>
          <w:lang w:eastAsia="en-ZA"/>
        </w:rPr>
      </w:pPr>
      <w:r w:rsidRPr="001741F1">
        <w:rPr>
          <w:rFonts w:ascii="Arial" w:eastAsia="Calibri" w:hAnsi="Arial" w:cs="Arial"/>
          <w:b/>
          <w:sz w:val="24"/>
          <w:szCs w:val="16"/>
          <w:lang w:eastAsia="en-ZA"/>
        </w:rPr>
        <w:t>JENNIFER RUTH HYTON</w:t>
      </w:r>
      <w:r w:rsidRPr="001741F1">
        <w:rPr>
          <w:rFonts w:ascii="Arial" w:eastAsia="Calibri" w:hAnsi="Arial" w:cs="Arial"/>
          <w:b/>
          <w:sz w:val="24"/>
          <w:szCs w:val="16"/>
          <w:lang w:eastAsia="en-ZA"/>
        </w:rPr>
        <w:tab/>
      </w:r>
      <w:r w:rsidRPr="001741F1">
        <w:rPr>
          <w:rFonts w:ascii="Arial" w:eastAsia="Calibri" w:hAnsi="Arial" w:cs="Arial"/>
          <w:sz w:val="24"/>
          <w:szCs w:val="16"/>
          <w:lang w:eastAsia="en-ZA"/>
        </w:rPr>
        <w:t>Second Applicant</w:t>
      </w:r>
    </w:p>
    <w:p w:rsidR="001741F1" w:rsidRPr="001741F1" w:rsidRDefault="001741F1" w:rsidP="001741F1">
      <w:pPr>
        <w:tabs>
          <w:tab w:val="left" w:pos="1843"/>
          <w:tab w:val="left" w:pos="6630"/>
        </w:tabs>
        <w:spacing w:after="0" w:line="276" w:lineRule="auto"/>
        <w:jc w:val="both"/>
        <w:rPr>
          <w:rFonts w:ascii="Arial" w:eastAsia="Calibri" w:hAnsi="Arial" w:cs="Arial"/>
          <w:sz w:val="24"/>
          <w:szCs w:val="16"/>
          <w:lang w:eastAsia="en-ZA"/>
        </w:rPr>
      </w:pPr>
    </w:p>
    <w:p w:rsidR="001741F1" w:rsidRPr="001741F1" w:rsidRDefault="001741F1" w:rsidP="001741F1">
      <w:pPr>
        <w:tabs>
          <w:tab w:val="left" w:pos="1843"/>
          <w:tab w:val="left" w:pos="6630"/>
        </w:tabs>
        <w:spacing w:after="0" w:line="276" w:lineRule="auto"/>
        <w:jc w:val="both"/>
        <w:rPr>
          <w:rFonts w:ascii="Arial" w:eastAsia="Calibri" w:hAnsi="Arial" w:cs="Arial"/>
          <w:sz w:val="24"/>
          <w:szCs w:val="16"/>
          <w:lang w:eastAsia="en-ZA"/>
        </w:rPr>
      </w:pPr>
      <w:r w:rsidRPr="001741F1">
        <w:rPr>
          <w:rFonts w:ascii="Arial" w:eastAsia="Calibri" w:hAnsi="Arial" w:cs="Arial"/>
          <w:sz w:val="24"/>
          <w:szCs w:val="16"/>
          <w:lang w:eastAsia="en-ZA"/>
        </w:rPr>
        <w:t>and</w:t>
      </w:r>
    </w:p>
    <w:p w:rsidR="001741F1" w:rsidRPr="001741F1" w:rsidRDefault="001741F1" w:rsidP="001741F1">
      <w:pPr>
        <w:tabs>
          <w:tab w:val="left" w:pos="1843"/>
          <w:tab w:val="left" w:pos="6630"/>
        </w:tabs>
        <w:spacing w:after="0" w:line="276" w:lineRule="auto"/>
        <w:jc w:val="both"/>
        <w:rPr>
          <w:rFonts w:ascii="Arial" w:eastAsia="Calibri" w:hAnsi="Arial" w:cs="Arial"/>
          <w:sz w:val="24"/>
          <w:szCs w:val="16"/>
          <w:lang w:eastAsia="en-ZA"/>
        </w:rPr>
      </w:pPr>
    </w:p>
    <w:p w:rsidR="001741F1" w:rsidRPr="001741F1" w:rsidRDefault="001741F1" w:rsidP="001741F1">
      <w:pPr>
        <w:tabs>
          <w:tab w:val="left" w:pos="1843"/>
          <w:tab w:val="right" w:pos="9072"/>
        </w:tabs>
        <w:spacing w:after="0" w:line="276" w:lineRule="auto"/>
        <w:jc w:val="both"/>
        <w:rPr>
          <w:rFonts w:ascii="Arial" w:eastAsia="Calibri" w:hAnsi="Arial" w:cs="Arial"/>
          <w:b/>
          <w:sz w:val="24"/>
          <w:szCs w:val="16"/>
          <w:lang w:eastAsia="en-ZA"/>
        </w:rPr>
      </w:pPr>
      <w:r w:rsidRPr="001741F1">
        <w:rPr>
          <w:rFonts w:ascii="Arial" w:eastAsia="Calibri" w:hAnsi="Arial" w:cs="Arial"/>
          <w:b/>
          <w:sz w:val="24"/>
          <w:szCs w:val="16"/>
          <w:lang w:eastAsia="en-ZA"/>
        </w:rPr>
        <w:t>MORRIS KAPLAN N.O.</w:t>
      </w:r>
      <w:r w:rsidRPr="001741F1">
        <w:rPr>
          <w:rFonts w:ascii="Arial" w:eastAsia="Calibri" w:hAnsi="Arial" w:cs="Arial"/>
          <w:b/>
          <w:sz w:val="24"/>
          <w:szCs w:val="16"/>
          <w:lang w:eastAsia="en-ZA"/>
        </w:rPr>
        <w:tab/>
      </w:r>
      <w:r w:rsidRPr="001741F1">
        <w:rPr>
          <w:rFonts w:ascii="Arial" w:eastAsia="Calibri" w:hAnsi="Arial" w:cs="Arial"/>
          <w:sz w:val="24"/>
          <w:szCs w:val="16"/>
          <w:lang w:eastAsia="en-ZA"/>
        </w:rPr>
        <w:t>First Respondent</w:t>
      </w:r>
    </w:p>
    <w:p w:rsidR="001741F1" w:rsidRPr="001741F1" w:rsidRDefault="001741F1" w:rsidP="001741F1">
      <w:pPr>
        <w:tabs>
          <w:tab w:val="left" w:pos="1843"/>
        </w:tabs>
        <w:spacing w:after="0" w:line="276" w:lineRule="auto"/>
        <w:jc w:val="right"/>
        <w:rPr>
          <w:rFonts w:ascii="Arial" w:eastAsia="Calibri" w:hAnsi="Arial" w:cs="Arial"/>
          <w:b/>
          <w:sz w:val="24"/>
          <w:szCs w:val="16"/>
          <w:lang w:eastAsia="en-ZA"/>
        </w:rPr>
      </w:pPr>
    </w:p>
    <w:p w:rsidR="001741F1" w:rsidRPr="001741F1" w:rsidRDefault="001741F1" w:rsidP="001741F1">
      <w:pPr>
        <w:tabs>
          <w:tab w:val="left" w:pos="1843"/>
          <w:tab w:val="right" w:pos="9072"/>
        </w:tabs>
        <w:spacing w:after="0" w:line="276" w:lineRule="auto"/>
        <w:jc w:val="both"/>
        <w:rPr>
          <w:rFonts w:ascii="Arial" w:eastAsia="Calibri" w:hAnsi="Arial" w:cs="Arial"/>
          <w:sz w:val="24"/>
          <w:szCs w:val="16"/>
          <w:lang w:eastAsia="en-ZA"/>
        </w:rPr>
      </w:pPr>
      <w:r w:rsidRPr="001741F1">
        <w:rPr>
          <w:rFonts w:ascii="Arial" w:eastAsia="Calibri" w:hAnsi="Arial" w:cs="Arial"/>
          <w:b/>
          <w:sz w:val="24"/>
          <w:szCs w:val="16"/>
          <w:lang w:eastAsia="en-ZA"/>
        </w:rPr>
        <w:t>HILTON NORMAN KAPLAN N.O.</w:t>
      </w:r>
      <w:r w:rsidRPr="001741F1">
        <w:rPr>
          <w:rFonts w:ascii="Arial" w:eastAsia="Calibri" w:hAnsi="Arial" w:cs="Arial"/>
          <w:sz w:val="24"/>
          <w:szCs w:val="16"/>
          <w:lang w:eastAsia="en-ZA"/>
        </w:rPr>
        <w:t xml:space="preserve"> </w:t>
      </w:r>
      <w:r w:rsidRPr="001741F1">
        <w:rPr>
          <w:rFonts w:ascii="Arial" w:eastAsia="Calibri" w:hAnsi="Arial" w:cs="Arial"/>
          <w:sz w:val="24"/>
          <w:szCs w:val="16"/>
          <w:lang w:eastAsia="en-ZA"/>
        </w:rPr>
        <w:tab/>
        <w:t>Second Respondent</w:t>
      </w:r>
    </w:p>
    <w:p w:rsidR="001741F1" w:rsidRPr="001741F1" w:rsidRDefault="001741F1" w:rsidP="001741F1">
      <w:pPr>
        <w:tabs>
          <w:tab w:val="left" w:pos="1843"/>
        </w:tabs>
        <w:spacing w:after="0" w:line="276" w:lineRule="auto"/>
        <w:jc w:val="right"/>
        <w:rPr>
          <w:rFonts w:ascii="Arial" w:eastAsia="Calibri" w:hAnsi="Arial" w:cs="Arial"/>
          <w:b/>
          <w:sz w:val="24"/>
          <w:szCs w:val="16"/>
          <w:lang w:eastAsia="en-ZA"/>
        </w:rPr>
      </w:pPr>
    </w:p>
    <w:p w:rsidR="001741F1" w:rsidRPr="001741F1" w:rsidRDefault="001741F1" w:rsidP="001741F1">
      <w:pPr>
        <w:tabs>
          <w:tab w:val="left" w:pos="1843"/>
          <w:tab w:val="right" w:pos="9072"/>
        </w:tabs>
        <w:spacing w:after="0" w:line="276" w:lineRule="auto"/>
        <w:jc w:val="both"/>
        <w:rPr>
          <w:rFonts w:ascii="Arial" w:eastAsia="Calibri" w:hAnsi="Arial" w:cs="Arial"/>
          <w:sz w:val="24"/>
          <w:szCs w:val="16"/>
          <w:lang w:eastAsia="en-ZA"/>
        </w:rPr>
      </w:pPr>
      <w:r w:rsidRPr="001741F1">
        <w:rPr>
          <w:rFonts w:ascii="Arial" w:eastAsia="Calibri" w:hAnsi="Arial" w:cs="Arial"/>
          <w:b/>
          <w:sz w:val="24"/>
          <w:szCs w:val="16"/>
          <w:lang w:eastAsia="en-ZA"/>
        </w:rPr>
        <w:t>SUSAN EVE WOOLF N.O.</w:t>
      </w:r>
      <w:r w:rsidRPr="001741F1">
        <w:rPr>
          <w:rFonts w:ascii="Arial" w:eastAsia="Calibri" w:hAnsi="Arial" w:cs="Arial"/>
          <w:b/>
          <w:sz w:val="24"/>
          <w:szCs w:val="16"/>
          <w:lang w:eastAsia="en-ZA"/>
        </w:rPr>
        <w:tab/>
      </w:r>
      <w:r w:rsidRPr="001741F1">
        <w:rPr>
          <w:rFonts w:ascii="Arial" w:eastAsia="Calibri" w:hAnsi="Arial" w:cs="Arial"/>
          <w:sz w:val="24"/>
          <w:szCs w:val="16"/>
          <w:lang w:eastAsia="en-ZA"/>
        </w:rPr>
        <w:t>Third Respondent</w:t>
      </w:r>
    </w:p>
    <w:p w:rsidR="001741F1" w:rsidRPr="001741F1" w:rsidRDefault="001741F1" w:rsidP="001741F1">
      <w:pPr>
        <w:tabs>
          <w:tab w:val="left" w:pos="1843"/>
        </w:tabs>
        <w:spacing w:after="0" w:line="276" w:lineRule="auto"/>
        <w:jc w:val="right"/>
        <w:rPr>
          <w:rFonts w:ascii="Arial" w:eastAsia="Calibri" w:hAnsi="Arial" w:cs="Arial"/>
          <w:sz w:val="24"/>
          <w:szCs w:val="16"/>
          <w:lang w:eastAsia="en-ZA"/>
        </w:rPr>
      </w:pPr>
      <w:r w:rsidRPr="001741F1">
        <w:rPr>
          <w:rFonts w:ascii="Arial" w:eastAsia="Calibri" w:hAnsi="Arial" w:cs="Arial"/>
          <w:b/>
          <w:sz w:val="24"/>
          <w:szCs w:val="16"/>
          <w:lang w:eastAsia="en-ZA"/>
        </w:rPr>
        <w:tab/>
      </w:r>
    </w:p>
    <w:p w:rsidR="001741F1" w:rsidRPr="001741F1" w:rsidRDefault="001741F1" w:rsidP="001741F1">
      <w:pPr>
        <w:tabs>
          <w:tab w:val="left" w:pos="1843"/>
          <w:tab w:val="right" w:pos="9072"/>
        </w:tabs>
        <w:spacing w:after="0" w:line="276" w:lineRule="auto"/>
        <w:jc w:val="both"/>
        <w:rPr>
          <w:rFonts w:ascii="Arial" w:eastAsia="Calibri" w:hAnsi="Arial" w:cs="Arial"/>
          <w:sz w:val="24"/>
          <w:szCs w:val="16"/>
          <w:lang w:eastAsia="en-ZA"/>
        </w:rPr>
      </w:pPr>
      <w:r w:rsidRPr="001741F1">
        <w:rPr>
          <w:rFonts w:ascii="Arial" w:eastAsia="Calibri" w:hAnsi="Arial" w:cs="Arial"/>
          <w:b/>
          <w:sz w:val="24"/>
          <w:szCs w:val="16"/>
          <w:lang w:eastAsia="en-ZA"/>
        </w:rPr>
        <w:t>MORRIS KAPLAN</w:t>
      </w:r>
      <w:r w:rsidRPr="001741F1">
        <w:rPr>
          <w:rFonts w:ascii="Arial" w:eastAsia="Calibri" w:hAnsi="Arial" w:cs="Arial"/>
          <w:b/>
          <w:sz w:val="24"/>
          <w:szCs w:val="16"/>
          <w:lang w:eastAsia="en-ZA"/>
        </w:rPr>
        <w:tab/>
      </w:r>
      <w:r w:rsidRPr="001741F1">
        <w:rPr>
          <w:rFonts w:ascii="Arial" w:eastAsia="Calibri" w:hAnsi="Arial" w:cs="Arial"/>
          <w:sz w:val="24"/>
          <w:szCs w:val="16"/>
          <w:lang w:eastAsia="en-ZA"/>
        </w:rPr>
        <w:t>Fourth Respondent</w:t>
      </w:r>
    </w:p>
    <w:p w:rsidR="001741F1" w:rsidRPr="001741F1" w:rsidRDefault="001741F1" w:rsidP="001741F1">
      <w:pPr>
        <w:tabs>
          <w:tab w:val="left" w:pos="1843"/>
          <w:tab w:val="left" w:pos="6630"/>
        </w:tabs>
        <w:spacing w:after="0" w:line="276" w:lineRule="auto"/>
        <w:jc w:val="both"/>
        <w:rPr>
          <w:rFonts w:ascii="Arial" w:eastAsia="Calibri" w:hAnsi="Arial" w:cs="Arial"/>
          <w:sz w:val="24"/>
          <w:szCs w:val="16"/>
          <w:lang w:eastAsia="en-ZA"/>
        </w:rPr>
      </w:pPr>
    </w:p>
    <w:p w:rsidR="001741F1" w:rsidRPr="001741F1" w:rsidRDefault="001741F1" w:rsidP="001741F1">
      <w:pPr>
        <w:tabs>
          <w:tab w:val="left" w:pos="1843"/>
          <w:tab w:val="right" w:pos="9072"/>
        </w:tabs>
        <w:spacing w:after="0" w:line="276" w:lineRule="auto"/>
        <w:jc w:val="both"/>
        <w:rPr>
          <w:rFonts w:ascii="Arial" w:eastAsia="Calibri" w:hAnsi="Arial" w:cs="Arial"/>
          <w:b/>
          <w:sz w:val="24"/>
          <w:szCs w:val="16"/>
          <w:lang w:eastAsia="en-ZA"/>
        </w:rPr>
      </w:pPr>
      <w:r w:rsidRPr="001741F1">
        <w:rPr>
          <w:rFonts w:ascii="Arial" w:eastAsia="Calibri" w:hAnsi="Arial" w:cs="Arial"/>
          <w:b/>
          <w:sz w:val="24"/>
          <w:szCs w:val="16"/>
          <w:lang w:eastAsia="en-ZA"/>
        </w:rPr>
        <w:t>HILTON NORMAN KAPLAN</w:t>
      </w:r>
      <w:r w:rsidRPr="001741F1">
        <w:rPr>
          <w:rFonts w:ascii="Arial" w:eastAsia="Calibri" w:hAnsi="Arial" w:cs="Arial"/>
          <w:b/>
          <w:sz w:val="24"/>
          <w:szCs w:val="16"/>
          <w:lang w:eastAsia="en-ZA"/>
        </w:rPr>
        <w:tab/>
      </w:r>
      <w:r w:rsidRPr="001741F1">
        <w:rPr>
          <w:rFonts w:ascii="Arial" w:eastAsia="Calibri" w:hAnsi="Arial" w:cs="Arial"/>
          <w:sz w:val="24"/>
          <w:szCs w:val="16"/>
          <w:lang w:eastAsia="en-ZA"/>
        </w:rPr>
        <w:t>Fifth Respondent</w:t>
      </w:r>
    </w:p>
    <w:p w:rsidR="001741F1" w:rsidRPr="001741F1" w:rsidRDefault="001741F1" w:rsidP="001741F1">
      <w:pPr>
        <w:tabs>
          <w:tab w:val="left" w:pos="1843"/>
          <w:tab w:val="left" w:pos="6630"/>
        </w:tabs>
        <w:spacing w:after="0" w:line="276" w:lineRule="auto"/>
        <w:jc w:val="both"/>
        <w:rPr>
          <w:rFonts w:ascii="Arial" w:eastAsia="Calibri" w:hAnsi="Arial" w:cs="Arial"/>
          <w:sz w:val="24"/>
          <w:szCs w:val="16"/>
          <w:lang w:eastAsia="en-ZA"/>
        </w:rPr>
      </w:pPr>
    </w:p>
    <w:p w:rsidR="001741F1" w:rsidRPr="001741F1" w:rsidRDefault="001741F1" w:rsidP="001741F1">
      <w:pPr>
        <w:tabs>
          <w:tab w:val="left" w:pos="1843"/>
          <w:tab w:val="right" w:pos="9072"/>
        </w:tabs>
        <w:spacing w:after="0" w:line="276" w:lineRule="auto"/>
        <w:jc w:val="both"/>
        <w:rPr>
          <w:rFonts w:ascii="Arial" w:eastAsia="Calibri" w:hAnsi="Arial" w:cs="Arial"/>
          <w:sz w:val="24"/>
          <w:szCs w:val="16"/>
          <w:lang w:eastAsia="en-ZA"/>
        </w:rPr>
      </w:pPr>
      <w:r w:rsidRPr="001741F1">
        <w:rPr>
          <w:rFonts w:ascii="Arial" w:eastAsia="Calibri" w:hAnsi="Arial" w:cs="Arial"/>
          <w:b/>
          <w:sz w:val="24"/>
          <w:szCs w:val="16"/>
          <w:lang w:eastAsia="en-ZA"/>
        </w:rPr>
        <w:t xml:space="preserve">SUSAN EVE WOOLF </w:t>
      </w:r>
      <w:r w:rsidRPr="001741F1">
        <w:rPr>
          <w:rFonts w:ascii="Arial" w:eastAsia="Calibri" w:hAnsi="Arial" w:cs="Arial"/>
          <w:b/>
          <w:sz w:val="24"/>
          <w:szCs w:val="16"/>
          <w:lang w:eastAsia="en-ZA"/>
        </w:rPr>
        <w:tab/>
      </w:r>
      <w:r w:rsidRPr="001741F1">
        <w:rPr>
          <w:rFonts w:ascii="Arial" w:eastAsia="Calibri" w:hAnsi="Arial" w:cs="Arial"/>
          <w:sz w:val="24"/>
          <w:szCs w:val="16"/>
          <w:lang w:eastAsia="en-ZA"/>
        </w:rPr>
        <w:t>Sixth Respondent</w:t>
      </w:r>
    </w:p>
    <w:p w:rsidR="001741F1" w:rsidRPr="001741F1" w:rsidRDefault="001741F1" w:rsidP="001741F1">
      <w:pPr>
        <w:tabs>
          <w:tab w:val="left" w:pos="1843"/>
          <w:tab w:val="left" w:pos="6630"/>
        </w:tabs>
        <w:spacing w:after="0" w:line="276" w:lineRule="auto"/>
        <w:jc w:val="both"/>
        <w:rPr>
          <w:rFonts w:ascii="Arial" w:eastAsia="Calibri" w:hAnsi="Arial" w:cs="Arial"/>
          <w:sz w:val="24"/>
          <w:szCs w:val="16"/>
          <w:lang w:eastAsia="en-ZA"/>
        </w:rPr>
      </w:pPr>
    </w:p>
    <w:p w:rsidR="001741F1" w:rsidRPr="001741F1" w:rsidRDefault="001741F1" w:rsidP="001741F1">
      <w:pPr>
        <w:tabs>
          <w:tab w:val="left" w:pos="1843"/>
          <w:tab w:val="right" w:pos="9072"/>
        </w:tabs>
        <w:spacing w:after="0" w:line="276" w:lineRule="auto"/>
        <w:jc w:val="both"/>
        <w:rPr>
          <w:rFonts w:ascii="Arial" w:eastAsia="Calibri" w:hAnsi="Arial" w:cs="Arial"/>
          <w:sz w:val="24"/>
          <w:szCs w:val="16"/>
          <w:lang w:eastAsia="en-ZA"/>
        </w:rPr>
      </w:pPr>
      <w:r w:rsidRPr="001741F1">
        <w:rPr>
          <w:rFonts w:ascii="Arial" w:eastAsia="Calibri" w:hAnsi="Arial" w:cs="Arial"/>
          <w:b/>
          <w:sz w:val="24"/>
          <w:szCs w:val="16"/>
          <w:lang w:eastAsia="en-ZA"/>
        </w:rPr>
        <w:t>RONALD WOOLF</w:t>
      </w:r>
      <w:r w:rsidRPr="001741F1">
        <w:rPr>
          <w:rFonts w:ascii="Arial" w:eastAsia="Calibri" w:hAnsi="Arial" w:cs="Arial"/>
          <w:b/>
          <w:sz w:val="24"/>
          <w:szCs w:val="16"/>
          <w:lang w:eastAsia="en-ZA"/>
        </w:rPr>
        <w:tab/>
      </w:r>
      <w:r w:rsidRPr="001741F1">
        <w:rPr>
          <w:rFonts w:ascii="Arial" w:eastAsia="Calibri" w:hAnsi="Arial" w:cs="Arial"/>
          <w:sz w:val="24"/>
          <w:szCs w:val="16"/>
          <w:lang w:eastAsia="en-ZA"/>
        </w:rPr>
        <w:t>Seventh Respondent</w:t>
      </w:r>
    </w:p>
    <w:p w:rsidR="001741F1" w:rsidRPr="001741F1" w:rsidRDefault="001741F1" w:rsidP="001741F1">
      <w:pPr>
        <w:tabs>
          <w:tab w:val="left" w:pos="1843"/>
          <w:tab w:val="left" w:pos="6630"/>
        </w:tabs>
        <w:spacing w:after="0" w:line="276" w:lineRule="auto"/>
        <w:jc w:val="both"/>
        <w:rPr>
          <w:rFonts w:ascii="Arial" w:eastAsia="Calibri" w:hAnsi="Arial" w:cs="Arial"/>
          <w:sz w:val="24"/>
          <w:szCs w:val="16"/>
          <w:lang w:eastAsia="en-ZA"/>
        </w:rPr>
      </w:pPr>
    </w:p>
    <w:p w:rsidR="001741F1" w:rsidRPr="001741F1" w:rsidRDefault="001741F1" w:rsidP="001741F1">
      <w:pPr>
        <w:tabs>
          <w:tab w:val="left" w:pos="1843"/>
          <w:tab w:val="right" w:pos="9072"/>
        </w:tabs>
        <w:spacing w:after="0" w:line="276" w:lineRule="auto"/>
        <w:jc w:val="both"/>
        <w:rPr>
          <w:rFonts w:ascii="Arial" w:eastAsia="Calibri" w:hAnsi="Arial" w:cs="Arial"/>
          <w:sz w:val="24"/>
          <w:szCs w:val="16"/>
          <w:lang w:eastAsia="en-ZA"/>
        </w:rPr>
      </w:pPr>
      <w:r w:rsidRPr="001741F1">
        <w:rPr>
          <w:rFonts w:ascii="Arial" w:eastAsia="Calibri" w:hAnsi="Arial" w:cs="Arial"/>
          <w:b/>
          <w:sz w:val="24"/>
          <w:szCs w:val="16"/>
          <w:lang w:eastAsia="en-ZA"/>
        </w:rPr>
        <w:lastRenderedPageBreak/>
        <w:t>NORTH ATHERSTONE (PROPRIETARY) LIMITED</w:t>
      </w:r>
      <w:r w:rsidRPr="001741F1">
        <w:rPr>
          <w:rFonts w:ascii="Arial" w:eastAsia="Calibri" w:hAnsi="Arial" w:cs="Arial"/>
          <w:b/>
          <w:sz w:val="24"/>
          <w:szCs w:val="16"/>
          <w:lang w:eastAsia="en-ZA"/>
        </w:rPr>
        <w:tab/>
      </w:r>
      <w:r w:rsidRPr="001741F1">
        <w:rPr>
          <w:rFonts w:ascii="Arial" w:eastAsia="Calibri" w:hAnsi="Arial" w:cs="Arial"/>
          <w:sz w:val="24"/>
          <w:szCs w:val="16"/>
          <w:lang w:eastAsia="en-ZA"/>
        </w:rPr>
        <w:t>Eighth Respondent</w:t>
      </w:r>
    </w:p>
    <w:p w:rsidR="001741F1" w:rsidRPr="001741F1" w:rsidRDefault="001741F1" w:rsidP="001741F1">
      <w:pPr>
        <w:tabs>
          <w:tab w:val="left" w:pos="1843"/>
          <w:tab w:val="left" w:pos="6630"/>
        </w:tabs>
        <w:spacing w:after="0" w:line="276" w:lineRule="auto"/>
        <w:jc w:val="both"/>
        <w:rPr>
          <w:rFonts w:ascii="Arial" w:eastAsia="Calibri" w:hAnsi="Arial" w:cs="Arial"/>
          <w:sz w:val="24"/>
          <w:szCs w:val="16"/>
          <w:lang w:eastAsia="en-ZA"/>
        </w:rPr>
      </w:pPr>
    </w:p>
    <w:p w:rsidR="001741F1" w:rsidRPr="001741F1" w:rsidRDefault="001741F1" w:rsidP="001741F1">
      <w:pPr>
        <w:tabs>
          <w:tab w:val="left" w:pos="1843"/>
          <w:tab w:val="right" w:pos="9072"/>
        </w:tabs>
        <w:spacing w:after="0" w:line="276" w:lineRule="auto"/>
        <w:jc w:val="both"/>
        <w:rPr>
          <w:rFonts w:ascii="Arial" w:eastAsia="Calibri" w:hAnsi="Arial" w:cs="Arial"/>
          <w:sz w:val="24"/>
          <w:szCs w:val="16"/>
          <w:lang w:eastAsia="en-ZA"/>
        </w:rPr>
      </w:pPr>
      <w:r w:rsidRPr="001741F1">
        <w:rPr>
          <w:rFonts w:ascii="Arial" w:eastAsia="Calibri" w:hAnsi="Arial" w:cs="Arial"/>
          <w:b/>
          <w:sz w:val="24"/>
          <w:szCs w:val="16"/>
          <w:lang w:eastAsia="en-ZA"/>
        </w:rPr>
        <w:t>TWO-K-ADMINISTRATION CC</w:t>
      </w:r>
      <w:r w:rsidRPr="001741F1">
        <w:rPr>
          <w:rFonts w:ascii="Arial" w:eastAsia="Calibri" w:hAnsi="Arial" w:cs="Arial"/>
          <w:b/>
          <w:sz w:val="24"/>
          <w:szCs w:val="16"/>
          <w:lang w:eastAsia="en-ZA"/>
        </w:rPr>
        <w:tab/>
      </w:r>
      <w:r w:rsidRPr="001741F1">
        <w:rPr>
          <w:rFonts w:ascii="Arial" w:eastAsia="Calibri" w:hAnsi="Arial" w:cs="Arial"/>
          <w:sz w:val="24"/>
          <w:szCs w:val="16"/>
          <w:lang w:eastAsia="en-ZA"/>
        </w:rPr>
        <w:t>Ninth Respondent</w:t>
      </w:r>
    </w:p>
    <w:p w:rsidR="001741F1" w:rsidRPr="001741F1" w:rsidRDefault="001741F1" w:rsidP="001741F1">
      <w:pPr>
        <w:tabs>
          <w:tab w:val="left" w:pos="1843"/>
          <w:tab w:val="left" w:pos="6630"/>
        </w:tabs>
        <w:spacing w:after="0" w:line="276" w:lineRule="auto"/>
        <w:jc w:val="both"/>
        <w:rPr>
          <w:rFonts w:ascii="Arial" w:eastAsia="Calibri" w:hAnsi="Arial" w:cs="Arial"/>
          <w:sz w:val="24"/>
          <w:szCs w:val="16"/>
          <w:lang w:eastAsia="en-ZA"/>
        </w:rPr>
      </w:pPr>
    </w:p>
    <w:p w:rsidR="001741F1" w:rsidRPr="001741F1" w:rsidRDefault="001741F1" w:rsidP="001741F1">
      <w:pPr>
        <w:tabs>
          <w:tab w:val="left" w:pos="1843"/>
        </w:tabs>
        <w:spacing w:after="0" w:line="276" w:lineRule="auto"/>
        <w:jc w:val="both"/>
        <w:rPr>
          <w:rFonts w:ascii="Arial" w:eastAsia="Calibri" w:hAnsi="Arial" w:cs="Arial"/>
          <w:b/>
          <w:sz w:val="24"/>
          <w:szCs w:val="16"/>
          <w:lang w:eastAsia="en-ZA"/>
        </w:rPr>
      </w:pPr>
      <w:r w:rsidRPr="001741F1">
        <w:rPr>
          <w:rFonts w:ascii="Arial" w:eastAsia="Calibri" w:hAnsi="Arial" w:cs="Arial"/>
          <w:b/>
          <w:sz w:val="24"/>
          <w:szCs w:val="16"/>
          <w:lang w:eastAsia="en-ZA"/>
        </w:rPr>
        <w:t xml:space="preserve">THE MASTER OF THE HIGH COURT, </w:t>
      </w:r>
    </w:p>
    <w:p w:rsidR="001741F1" w:rsidRPr="001741F1" w:rsidRDefault="001741F1" w:rsidP="001741F1">
      <w:pPr>
        <w:tabs>
          <w:tab w:val="left" w:pos="1843"/>
          <w:tab w:val="right" w:pos="9072"/>
        </w:tabs>
        <w:spacing w:after="0" w:line="276" w:lineRule="auto"/>
        <w:jc w:val="both"/>
        <w:rPr>
          <w:rFonts w:ascii="Arial" w:eastAsia="Calibri" w:hAnsi="Arial" w:cs="Arial"/>
          <w:sz w:val="24"/>
          <w:szCs w:val="16"/>
          <w:lang w:eastAsia="en-ZA"/>
        </w:rPr>
      </w:pPr>
      <w:r w:rsidRPr="001741F1">
        <w:rPr>
          <w:rFonts w:ascii="Arial" w:eastAsia="Calibri" w:hAnsi="Arial" w:cs="Arial"/>
          <w:b/>
          <w:sz w:val="24"/>
          <w:szCs w:val="16"/>
          <w:lang w:eastAsia="en-ZA"/>
        </w:rPr>
        <w:t>GAUTENG DIVISION, PRETORIA</w:t>
      </w:r>
      <w:r w:rsidRPr="001741F1">
        <w:rPr>
          <w:rFonts w:ascii="Arial" w:eastAsia="Calibri" w:hAnsi="Arial" w:cs="Arial"/>
          <w:b/>
          <w:sz w:val="24"/>
          <w:szCs w:val="16"/>
          <w:lang w:eastAsia="en-ZA"/>
        </w:rPr>
        <w:tab/>
      </w:r>
      <w:r w:rsidRPr="001741F1">
        <w:rPr>
          <w:rFonts w:ascii="Arial" w:eastAsia="Calibri" w:hAnsi="Arial" w:cs="Arial"/>
          <w:sz w:val="24"/>
          <w:szCs w:val="16"/>
          <w:lang w:eastAsia="en-ZA"/>
        </w:rPr>
        <w:t>Tenth Respondent</w:t>
      </w:r>
    </w:p>
    <w:p w:rsidR="001741F1" w:rsidRPr="001741F1" w:rsidRDefault="001741F1" w:rsidP="001741F1">
      <w:pPr>
        <w:pBdr>
          <w:bottom w:val="single" w:sz="4" w:space="1" w:color="auto"/>
        </w:pBdr>
        <w:tabs>
          <w:tab w:val="left" w:pos="1843"/>
        </w:tabs>
        <w:spacing w:after="0" w:line="240" w:lineRule="auto"/>
        <w:jc w:val="both"/>
        <w:rPr>
          <w:rFonts w:ascii="Arial" w:eastAsia="Calibri" w:hAnsi="Arial" w:cs="Arial"/>
          <w:sz w:val="26"/>
          <w:szCs w:val="26"/>
          <w:lang w:eastAsia="en-ZA"/>
        </w:rPr>
      </w:pPr>
    </w:p>
    <w:p w:rsidR="001741F1" w:rsidRPr="001741F1" w:rsidRDefault="001741F1" w:rsidP="001741F1">
      <w:pPr>
        <w:tabs>
          <w:tab w:val="left" w:pos="227"/>
          <w:tab w:val="left" w:pos="1843"/>
        </w:tabs>
        <w:spacing w:after="120" w:line="240" w:lineRule="auto"/>
        <w:ind w:left="284" w:hanging="284"/>
        <w:jc w:val="both"/>
        <w:rPr>
          <w:rFonts w:ascii="Arial" w:eastAsia="Calibri" w:hAnsi="Arial" w:cs="Times New Roman"/>
          <w:sz w:val="24"/>
          <w:szCs w:val="24"/>
          <w:lang w:val="en-US"/>
        </w:rPr>
      </w:pPr>
    </w:p>
    <w:p w:rsidR="001741F1" w:rsidRPr="001741F1" w:rsidRDefault="001741F1" w:rsidP="001741F1">
      <w:pPr>
        <w:pBdr>
          <w:bottom w:val="single" w:sz="4" w:space="1" w:color="auto"/>
        </w:pBdr>
        <w:tabs>
          <w:tab w:val="left" w:pos="1843"/>
        </w:tabs>
        <w:spacing w:after="0" w:line="240" w:lineRule="auto"/>
        <w:jc w:val="center"/>
        <w:rPr>
          <w:rFonts w:ascii="Arial" w:eastAsia="Calibri" w:hAnsi="Arial" w:cs="Arial"/>
          <w:b/>
          <w:sz w:val="26"/>
          <w:szCs w:val="26"/>
          <w:lang w:eastAsia="en-ZA"/>
        </w:rPr>
      </w:pPr>
      <w:r>
        <w:rPr>
          <w:rFonts w:ascii="Arial" w:eastAsia="Calibri" w:hAnsi="Arial" w:cs="Arial"/>
          <w:b/>
          <w:sz w:val="26"/>
          <w:szCs w:val="26"/>
          <w:lang w:eastAsia="en-ZA"/>
        </w:rPr>
        <w:t>JUDGMENT</w:t>
      </w:r>
    </w:p>
    <w:p w:rsidR="00884D53" w:rsidRPr="00884D53" w:rsidRDefault="00884D53" w:rsidP="001741F1">
      <w:pPr>
        <w:pStyle w:val="Textbody"/>
        <w:spacing w:line="360" w:lineRule="auto"/>
        <w:ind w:hanging="15"/>
        <w:rPr>
          <w:rFonts w:ascii="Arial" w:hAnsi="Arial" w:cs="Arial"/>
          <w:b/>
        </w:rPr>
      </w:pPr>
      <w:r w:rsidRPr="00884D53">
        <w:rPr>
          <w:rFonts w:ascii="Arial" w:hAnsi="Arial" w:cs="Arial"/>
          <w:b/>
        </w:rPr>
        <w:t>BAQWA J</w:t>
      </w:r>
    </w:p>
    <w:p w:rsidR="001741F1" w:rsidRPr="007849FE" w:rsidRDefault="001741F1" w:rsidP="001741F1">
      <w:pPr>
        <w:pStyle w:val="Textbody"/>
        <w:spacing w:line="360" w:lineRule="auto"/>
        <w:ind w:hanging="15"/>
        <w:rPr>
          <w:rFonts w:ascii="Arial" w:hAnsi="Arial" w:cs="Arial"/>
        </w:rPr>
      </w:pPr>
      <w:r w:rsidRPr="007849FE">
        <w:rPr>
          <w:rFonts w:ascii="Arial" w:hAnsi="Arial" w:cs="Arial"/>
        </w:rPr>
        <w:t xml:space="preserve">This Judgment was handed down electronically by circulation to the parties’ and or parties representatives by email and by being uploaded to </w:t>
      </w:r>
      <w:proofErr w:type="spellStart"/>
      <w:r w:rsidRPr="007849FE">
        <w:rPr>
          <w:rFonts w:ascii="Arial" w:hAnsi="Arial" w:cs="Arial"/>
        </w:rPr>
        <w:t>CaseLines</w:t>
      </w:r>
      <w:proofErr w:type="spellEnd"/>
      <w:r w:rsidRPr="007849FE">
        <w:rPr>
          <w:rFonts w:ascii="Arial" w:hAnsi="Arial" w:cs="Arial"/>
        </w:rPr>
        <w:t>. The date and time for the hand down is deemed on</w:t>
      </w:r>
      <w:r w:rsidR="006011EF">
        <w:rPr>
          <w:rFonts w:ascii="Arial" w:hAnsi="Arial" w:cs="Arial"/>
        </w:rPr>
        <w:t xml:space="preserve"> 14 June</w:t>
      </w:r>
      <w:r>
        <w:rPr>
          <w:rFonts w:ascii="Arial" w:hAnsi="Arial" w:cs="Arial"/>
        </w:rPr>
        <w:t xml:space="preserve"> 2022</w:t>
      </w:r>
      <w:r w:rsidRPr="007849FE">
        <w:rPr>
          <w:rFonts w:ascii="Arial" w:hAnsi="Arial" w:cs="Arial"/>
        </w:rPr>
        <w:t xml:space="preserve">.  </w:t>
      </w:r>
    </w:p>
    <w:p w:rsidR="001741F1" w:rsidRDefault="001741F1" w:rsidP="00BB79E2">
      <w:pPr>
        <w:pStyle w:val="1"/>
        <w:rPr>
          <w:b/>
        </w:rPr>
      </w:pPr>
    </w:p>
    <w:p w:rsidR="001741F1" w:rsidRDefault="001741F1" w:rsidP="00BB79E2">
      <w:pPr>
        <w:pStyle w:val="1"/>
        <w:rPr>
          <w:b/>
        </w:rPr>
      </w:pPr>
    </w:p>
    <w:p w:rsidR="001741F1" w:rsidRDefault="001741F1" w:rsidP="00BB79E2">
      <w:pPr>
        <w:pStyle w:val="1"/>
        <w:rPr>
          <w:b/>
        </w:rPr>
      </w:pPr>
    </w:p>
    <w:p w:rsidR="001741F1" w:rsidRDefault="001741F1" w:rsidP="00BB79E2">
      <w:pPr>
        <w:pStyle w:val="1"/>
        <w:rPr>
          <w:b/>
        </w:rPr>
      </w:pPr>
    </w:p>
    <w:p w:rsidR="00884D53" w:rsidRDefault="00884D53" w:rsidP="00BB79E2">
      <w:pPr>
        <w:pStyle w:val="1"/>
        <w:rPr>
          <w:b/>
        </w:rPr>
      </w:pPr>
    </w:p>
    <w:p w:rsidR="00884D53" w:rsidRDefault="00884D53" w:rsidP="00BB79E2">
      <w:pPr>
        <w:pStyle w:val="1"/>
        <w:rPr>
          <w:b/>
        </w:rPr>
      </w:pPr>
    </w:p>
    <w:p w:rsidR="00884D53" w:rsidRDefault="00884D53" w:rsidP="00BB79E2">
      <w:pPr>
        <w:pStyle w:val="1"/>
        <w:rPr>
          <w:b/>
        </w:rPr>
      </w:pPr>
    </w:p>
    <w:p w:rsidR="00884D53" w:rsidRDefault="00884D53" w:rsidP="00BB79E2">
      <w:pPr>
        <w:pStyle w:val="1"/>
        <w:rPr>
          <w:b/>
        </w:rPr>
      </w:pPr>
    </w:p>
    <w:p w:rsidR="00884D53" w:rsidRDefault="00884D53" w:rsidP="00BB79E2">
      <w:pPr>
        <w:pStyle w:val="1"/>
        <w:rPr>
          <w:b/>
        </w:rPr>
      </w:pPr>
    </w:p>
    <w:p w:rsidR="001741F1" w:rsidRDefault="001741F1" w:rsidP="00BB79E2">
      <w:pPr>
        <w:pStyle w:val="1"/>
        <w:rPr>
          <w:b/>
        </w:rPr>
      </w:pPr>
    </w:p>
    <w:p w:rsidR="00884D53" w:rsidRDefault="00884D53" w:rsidP="00BB79E2">
      <w:pPr>
        <w:pStyle w:val="1"/>
        <w:rPr>
          <w:b/>
        </w:rPr>
      </w:pPr>
    </w:p>
    <w:p w:rsidR="00BB79E2" w:rsidRPr="002153A4" w:rsidRDefault="002153A4" w:rsidP="00BB79E2">
      <w:pPr>
        <w:pStyle w:val="1"/>
        <w:rPr>
          <w:b/>
        </w:rPr>
      </w:pPr>
      <w:r w:rsidRPr="002153A4">
        <w:rPr>
          <w:b/>
        </w:rPr>
        <w:t>INTRODUCTION</w:t>
      </w:r>
      <w:r w:rsidR="00BB79E2" w:rsidRPr="002153A4">
        <w:rPr>
          <w:b/>
        </w:rPr>
        <w:tab/>
      </w:r>
      <w:r w:rsidR="00BB79E2" w:rsidRPr="002153A4">
        <w:rPr>
          <w:b/>
        </w:rPr>
        <w:tab/>
      </w:r>
      <w:r w:rsidR="00BB79E2" w:rsidRPr="002153A4">
        <w:rPr>
          <w:b/>
        </w:rPr>
        <w:tab/>
      </w:r>
      <w:r w:rsidR="00BB79E2" w:rsidRPr="002153A4">
        <w:rPr>
          <w:b/>
        </w:rPr>
        <w:tab/>
      </w:r>
    </w:p>
    <w:p w:rsidR="00BB79E2" w:rsidRPr="000D3673" w:rsidRDefault="00BB79E2" w:rsidP="00BB79E2">
      <w:pPr>
        <w:pStyle w:val="1"/>
        <w:rPr>
          <w:rFonts w:cs="Arial"/>
          <w:szCs w:val="24"/>
        </w:rPr>
      </w:pPr>
      <w:r w:rsidRPr="000D3673">
        <w:rPr>
          <w:rFonts w:cs="Arial"/>
          <w:szCs w:val="24"/>
        </w:rPr>
        <w:t>[1] In this a</w:t>
      </w:r>
      <w:r w:rsidR="00936E5D">
        <w:rPr>
          <w:rFonts w:cs="Arial"/>
          <w:szCs w:val="24"/>
        </w:rPr>
        <w:t>pplication the trustees of</w:t>
      </w:r>
      <w:r w:rsidR="006011EF">
        <w:rPr>
          <w:rFonts w:cs="Arial"/>
          <w:szCs w:val="24"/>
        </w:rPr>
        <w:t xml:space="preserve"> the Lesser Family Trust (‘the T</w:t>
      </w:r>
      <w:r w:rsidRPr="000D3673">
        <w:rPr>
          <w:rFonts w:cs="Arial"/>
          <w:szCs w:val="24"/>
        </w:rPr>
        <w:t>rust</w:t>
      </w:r>
      <w:r w:rsidR="006011EF">
        <w:rPr>
          <w:rFonts w:cs="Arial"/>
          <w:szCs w:val="24"/>
        </w:rPr>
        <w:t>”) seek an order declaring the T</w:t>
      </w:r>
      <w:r w:rsidRPr="000D3673">
        <w:rPr>
          <w:rFonts w:cs="Arial"/>
          <w:szCs w:val="24"/>
        </w:rPr>
        <w:t>rust lacking capacity due to the absence of a minimum of th</w:t>
      </w:r>
      <w:r w:rsidR="00936E5D">
        <w:rPr>
          <w:rFonts w:cs="Arial"/>
          <w:szCs w:val="24"/>
        </w:rPr>
        <w:t>re</w:t>
      </w:r>
      <w:r w:rsidRPr="000D3673">
        <w:rPr>
          <w:rFonts w:cs="Arial"/>
          <w:szCs w:val="24"/>
        </w:rPr>
        <w:t>e trustee</w:t>
      </w:r>
      <w:r w:rsidR="00936E5D">
        <w:rPr>
          <w:rFonts w:cs="Arial"/>
          <w:szCs w:val="24"/>
        </w:rPr>
        <w:t xml:space="preserve">s </w:t>
      </w:r>
      <w:r w:rsidRPr="000D3673">
        <w:rPr>
          <w:rFonts w:cs="Arial"/>
          <w:szCs w:val="24"/>
        </w:rPr>
        <w:t>and also declaring that certain action</w:t>
      </w:r>
      <w:r w:rsidR="00936E5D">
        <w:rPr>
          <w:rFonts w:cs="Arial"/>
          <w:szCs w:val="24"/>
        </w:rPr>
        <w:t xml:space="preserve">s taken by the first </w:t>
      </w:r>
      <w:r w:rsidR="00936E5D" w:rsidRPr="000D3673">
        <w:rPr>
          <w:rFonts w:cs="Arial"/>
          <w:szCs w:val="24"/>
        </w:rPr>
        <w:t>respondent</w:t>
      </w:r>
      <w:r w:rsidRPr="000D3673">
        <w:rPr>
          <w:rFonts w:cs="Arial"/>
          <w:szCs w:val="24"/>
        </w:rPr>
        <w:t>(“Morris”) invalid and of no force and effect due to his lack of</w:t>
      </w:r>
      <w:r w:rsidR="006011EF">
        <w:rPr>
          <w:rFonts w:cs="Arial"/>
          <w:szCs w:val="24"/>
        </w:rPr>
        <w:t xml:space="preserve"> authority as a trustee of the T</w:t>
      </w:r>
      <w:r w:rsidRPr="000D3673">
        <w:rPr>
          <w:rFonts w:cs="Arial"/>
          <w:szCs w:val="24"/>
        </w:rPr>
        <w:t>rust.</w:t>
      </w:r>
      <w:r w:rsidRPr="000D3673">
        <w:rPr>
          <w:rFonts w:cs="Arial"/>
          <w:szCs w:val="24"/>
        </w:rPr>
        <w:tab/>
      </w:r>
    </w:p>
    <w:p w:rsidR="00BB79E2" w:rsidRPr="000D3673" w:rsidRDefault="00BB79E2" w:rsidP="00BB79E2">
      <w:pPr>
        <w:pStyle w:val="1"/>
        <w:rPr>
          <w:rFonts w:cs="Arial"/>
          <w:szCs w:val="24"/>
        </w:rPr>
      </w:pPr>
      <w:r w:rsidRPr="000D3673">
        <w:rPr>
          <w:rFonts w:cs="Arial"/>
          <w:szCs w:val="24"/>
        </w:rPr>
        <w:t>[2]     They also seek the removal of Morris a trustee and the appointment of three new trustees in his stead.</w:t>
      </w:r>
    </w:p>
    <w:p w:rsidR="00BB79E2" w:rsidRPr="000D3673" w:rsidRDefault="00BB79E2" w:rsidP="00BB79E2">
      <w:pPr>
        <w:pStyle w:val="1"/>
        <w:rPr>
          <w:rFonts w:cs="Arial"/>
          <w:szCs w:val="24"/>
        </w:rPr>
      </w:pPr>
      <w:r w:rsidRPr="000D3673">
        <w:rPr>
          <w:rFonts w:cs="Arial"/>
          <w:szCs w:val="24"/>
        </w:rPr>
        <w:t xml:space="preserve">[3]    In the alternative they seek the enforcement of an agreement allegedly concluded between Morris as </w:t>
      </w:r>
      <w:r w:rsidR="00936E5D">
        <w:rPr>
          <w:rFonts w:cs="Arial"/>
          <w:szCs w:val="24"/>
        </w:rPr>
        <w:t>a trustee and the a</w:t>
      </w:r>
      <w:r w:rsidRPr="000D3673">
        <w:rPr>
          <w:rFonts w:cs="Arial"/>
          <w:szCs w:val="24"/>
        </w:rPr>
        <w:t>pplicants.</w:t>
      </w:r>
      <w:r w:rsidRPr="000D3673">
        <w:rPr>
          <w:rFonts w:cs="Arial"/>
          <w:szCs w:val="24"/>
        </w:rPr>
        <w:tab/>
      </w:r>
      <w:r w:rsidRPr="000D3673">
        <w:rPr>
          <w:rFonts w:cs="Arial"/>
          <w:szCs w:val="24"/>
        </w:rPr>
        <w:tab/>
      </w:r>
      <w:r w:rsidRPr="000D3673">
        <w:rPr>
          <w:rFonts w:cs="Arial"/>
          <w:szCs w:val="24"/>
        </w:rPr>
        <w:tab/>
      </w:r>
      <w:r w:rsidRPr="000D3673">
        <w:rPr>
          <w:rFonts w:cs="Arial"/>
          <w:szCs w:val="24"/>
        </w:rPr>
        <w:tab/>
      </w:r>
      <w:r w:rsidRPr="000D3673">
        <w:rPr>
          <w:rFonts w:cs="Arial"/>
          <w:szCs w:val="24"/>
        </w:rPr>
        <w:tab/>
      </w:r>
      <w:r w:rsidRPr="000D3673">
        <w:rPr>
          <w:rFonts w:cs="Arial"/>
          <w:szCs w:val="24"/>
        </w:rPr>
        <w:tab/>
      </w:r>
    </w:p>
    <w:p w:rsidR="00BB79E2" w:rsidRPr="000D3673" w:rsidRDefault="00BB79E2" w:rsidP="00BB79E2">
      <w:pPr>
        <w:pStyle w:val="1"/>
        <w:rPr>
          <w:rFonts w:cs="Arial"/>
          <w:szCs w:val="24"/>
        </w:rPr>
      </w:pPr>
      <w:r w:rsidRPr="000D3673">
        <w:rPr>
          <w:rFonts w:cs="Arial"/>
          <w:szCs w:val="24"/>
        </w:rPr>
        <w:t>[4] They also seek an order that M</w:t>
      </w:r>
      <w:r w:rsidR="00936E5D">
        <w:rPr>
          <w:rFonts w:cs="Arial"/>
          <w:szCs w:val="24"/>
        </w:rPr>
        <w:t>orris render an account to the a</w:t>
      </w:r>
      <w:r w:rsidRPr="000D3673">
        <w:rPr>
          <w:rFonts w:cs="Arial"/>
          <w:szCs w:val="24"/>
        </w:rPr>
        <w:t>pplicants regarding his administration of Trust affairs.</w:t>
      </w:r>
    </w:p>
    <w:p w:rsidR="00BB79E2" w:rsidRPr="000D3673" w:rsidRDefault="00BB79E2" w:rsidP="00BB79E2">
      <w:pPr>
        <w:pStyle w:val="1"/>
        <w:rPr>
          <w:rFonts w:cs="Arial"/>
          <w:szCs w:val="24"/>
        </w:rPr>
      </w:pPr>
      <w:r w:rsidRPr="000D3673">
        <w:rPr>
          <w:rFonts w:cs="Arial"/>
          <w:szCs w:val="24"/>
        </w:rPr>
        <w:tab/>
      </w:r>
      <w:r w:rsidRPr="000D3673">
        <w:rPr>
          <w:rFonts w:cs="Arial"/>
          <w:szCs w:val="24"/>
        </w:rPr>
        <w:tab/>
      </w:r>
      <w:r w:rsidRPr="000D3673">
        <w:rPr>
          <w:rFonts w:cs="Arial"/>
          <w:szCs w:val="24"/>
        </w:rPr>
        <w:tab/>
      </w:r>
      <w:r w:rsidRPr="000D3673">
        <w:rPr>
          <w:rFonts w:cs="Arial"/>
          <w:szCs w:val="24"/>
        </w:rPr>
        <w:tab/>
      </w:r>
      <w:r w:rsidRPr="000D3673">
        <w:rPr>
          <w:rFonts w:cs="Arial"/>
          <w:szCs w:val="24"/>
        </w:rPr>
        <w:tab/>
      </w:r>
    </w:p>
    <w:p w:rsidR="00BB79E2" w:rsidRPr="000D3673" w:rsidRDefault="00BB79E2" w:rsidP="00BB79E2">
      <w:pPr>
        <w:pStyle w:val="1"/>
        <w:rPr>
          <w:rFonts w:cs="Arial"/>
          <w:szCs w:val="24"/>
        </w:rPr>
      </w:pPr>
      <w:r w:rsidRPr="000D3673">
        <w:rPr>
          <w:rFonts w:cs="Arial"/>
          <w:szCs w:val="24"/>
        </w:rPr>
        <w:t>[5]      Finally, the</w:t>
      </w:r>
      <w:r w:rsidR="00936E5D">
        <w:rPr>
          <w:rFonts w:cs="Arial"/>
          <w:szCs w:val="24"/>
        </w:rPr>
        <w:t>y seek the removal of the seventh</w:t>
      </w:r>
      <w:r w:rsidR="00164D35">
        <w:rPr>
          <w:rFonts w:cs="Arial"/>
          <w:szCs w:val="24"/>
        </w:rPr>
        <w:t xml:space="preserve"> r</w:t>
      </w:r>
      <w:r w:rsidRPr="000D3673">
        <w:rPr>
          <w:rFonts w:cs="Arial"/>
          <w:szCs w:val="24"/>
        </w:rPr>
        <w:t>espondent(“Ronald”) as a director of the eight</w:t>
      </w:r>
      <w:r w:rsidR="00164D35">
        <w:rPr>
          <w:rFonts w:cs="Arial"/>
          <w:szCs w:val="24"/>
        </w:rPr>
        <w:t>h respondent and that Ronald be ordered to r</w:t>
      </w:r>
      <w:r w:rsidRPr="000D3673">
        <w:rPr>
          <w:rFonts w:cs="Arial"/>
          <w:szCs w:val="24"/>
        </w:rPr>
        <w:t>ender a</w:t>
      </w:r>
      <w:r w:rsidR="00164D35">
        <w:rPr>
          <w:rFonts w:cs="Arial"/>
          <w:szCs w:val="24"/>
        </w:rPr>
        <w:t xml:space="preserve">n account to the applicants of </w:t>
      </w:r>
      <w:r w:rsidRPr="000D3673">
        <w:rPr>
          <w:rFonts w:cs="Arial"/>
          <w:szCs w:val="24"/>
        </w:rPr>
        <w:t>his administration of the eight</w:t>
      </w:r>
      <w:r w:rsidR="00164D35">
        <w:rPr>
          <w:rFonts w:cs="Arial"/>
          <w:szCs w:val="24"/>
        </w:rPr>
        <w:t>h</w:t>
      </w:r>
      <w:r w:rsidRPr="000D3673">
        <w:rPr>
          <w:rFonts w:cs="Arial"/>
          <w:szCs w:val="24"/>
        </w:rPr>
        <w:t xml:space="preserve"> respondent’s affairs.</w:t>
      </w:r>
    </w:p>
    <w:p w:rsidR="00BB79E2" w:rsidRPr="000D3673" w:rsidRDefault="00BB79E2" w:rsidP="00BB79E2">
      <w:pPr>
        <w:pStyle w:val="1"/>
        <w:rPr>
          <w:rFonts w:cs="Arial"/>
          <w:szCs w:val="24"/>
        </w:rPr>
      </w:pPr>
      <w:r w:rsidRPr="000D3673">
        <w:rPr>
          <w:rFonts w:cs="Arial"/>
          <w:szCs w:val="24"/>
        </w:rPr>
        <w:tab/>
      </w:r>
      <w:r w:rsidRPr="000D3673">
        <w:rPr>
          <w:rFonts w:cs="Arial"/>
          <w:szCs w:val="24"/>
        </w:rPr>
        <w:tab/>
      </w:r>
      <w:r w:rsidRPr="000D3673">
        <w:rPr>
          <w:rFonts w:cs="Arial"/>
          <w:szCs w:val="24"/>
        </w:rPr>
        <w:tab/>
      </w:r>
      <w:r w:rsidRPr="000D3673">
        <w:rPr>
          <w:rFonts w:cs="Arial"/>
          <w:szCs w:val="24"/>
        </w:rPr>
        <w:tab/>
      </w:r>
      <w:r w:rsidRPr="000D3673">
        <w:rPr>
          <w:rFonts w:cs="Arial"/>
          <w:szCs w:val="24"/>
        </w:rPr>
        <w:tab/>
      </w:r>
      <w:r w:rsidRPr="000D3673">
        <w:rPr>
          <w:rFonts w:cs="Arial"/>
          <w:szCs w:val="24"/>
        </w:rPr>
        <w:tab/>
      </w:r>
    </w:p>
    <w:p w:rsidR="00BB79E2" w:rsidRPr="000D3673" w:rsidRDefault="00BB79E2" w:rsidP="00BB79E2">
      <w:pPr>
        <w:pStyle w:val="1"/>
        <w:rPr>
          <w:rFonts w:cs="Arial"/>
          <w:szCs w:val="24"/>
        </w:rPr>
      </w:pPr>
    </w:p>
    <w:p w:rsidR="00BB79E2" w:rsidRPr="000D3673" w:rsidRDefault="00BB79E2" w:rsidP="00BB79E2">
      <w:pPr>
        <w:pStyle w:val="1"/>
        <w:rPr>
          <w:rFonts w:cs="Arial"/>
          <w:szCs w:val="24"/>
        </w:rPr>
      </w:pPr>
      <w:r w:rsidRPr="000D3673">
        <w:rPr>
          <w:rFonts w:cs="Arial"/>
          <w:szCs w:val="24"/>
        </w:rPr>
        <w:t>[6] According to the</w:t>
      </w:r>
      <w:r w:rsidR="00164D35">
        <w:rPr>
          <w:rFonts w:cs="Arial"/>
          <w:szCs w:val="24"/>
        </w:rPr>
        <w:t xml:space="preserve"> applicants, Morris acted in derelic</w:t>
      </w:r>
      <w:r w:rsidR="00164D35" w:rsidRPr="000D3673">
        <w:rPr>
          <w:rFonts w:cs="Arial"/>
          <w:szCs w:val="24"/>
        </w:rPr>
        <w:t>tion</w:t>
      </w:r>
      <w:r w:rsidR="00164D35">
        <w:rPr>
          <w:rFonts w:cs="Arial"/>
          <w:szCs w:val="24"/>
        </w:rPr>
        <w:t xml:space="preserve"> of his duties in that he </w:t>
      </w:r>
      <w:proofErr w:type="spellStart"/>
      <w:r w:rsidR="00164D35">
        <w:rPr>
          <w:rFonts w:cs="Arial"/>
          <w:szCs w:val="24"/>
        </w:rPr>
        <w:t>mal</w:t>
      </w:r>
      <w:r w:rsidR="006011EF">
        <w:rPr>
          <w:rFonts w:cs="Arial"/>
          <w:szCs w:val="24"/>
        </w:rPr>
        <w:t>administered</w:t>
      </w:r>
      <w:proofErr w:type="spellEnd"/>
      <w:r w:rsidR="006011EF">
        <w:rPr>
          <w:rFonts w:cs="Arial"/>
          <w:szCs w:val="24"/>
        </w:rPr>
        <w:t xml:space="preserve"> the assets of the T</w:t>
      </w:r>
      <w:r w:rsidR="005363EE">
        <w:rPr>
          <w:rFonts w:cs="Arial"/>
          <w:szCs w:val="24"/>
        </w:rPr>
        <w:t>rust</w:t>
      </w:r>
      <w:r w:rsidRPr="000D3673">
        <w:rPr>
          <w:rFonts w:cs="Arial"/>
          <w:szCs w:val="24"/>
        </w:rPr>
        <w:t>.</w:t>
      </w:r>
      <w:r w:rsidRPr="000D3673">
        <w:rPr>
          <w:rFonts w:cs="Arial"/>
          <w:szCs w:val="24"/>
        </w:rPr>
        <w:tab/>
      </w:r>
      <w:r w:rsidRPr="000D3673">
        <w:rPr>
          <w:rFonts w:cs="Arial"/>
          <w:szCs w:val="24"/>
        </w:rPr>
        <w:tab/>
      </w:r>
      <w:r w:rsidRPr="000D3673">
        <w:rPr>
          <w:rFonts w:cs="Arial"/>
          <w:szCs w:val="24"/>
        </w:rPr>
        <w:tab/>
      </w:r>
      <w:r w:rsidRPr="000D3673">
        <w:rPr>
          <w:rFonts w:cs="Arial"/>
          <w:szCs w:val="24"/>
        </w:rPr>
        <w:tab/>
      </w:r>
      <w:r w:rsidRPr="000D3673">
        <w:rPr>
          <w:rFonts w:cs="Arial"/>
          <w:szCs w:val="24"/>
        </w:rPr>
        <w:tab/>
      </w:r>
    </w:p>
    <w:p w:rsidR="00BB79E2" w:rsidRPr="000D3673" w:rsidRDefault="00BB79E2" w:rsidP="00BB79E2">
      <w:pPr>
        <w:pStyle w:val="1"/>
        <w:rPr>
          <w:rFonts w:cs="Arial"/>
          <w:szCs w:val="24"/>
        </w:rPr>
      </w:pPr>
      <w:r w:rsidRPr="000D3673">
        <w:rPr>
          <w:rFonts w:cs="Arial"/>
          <w:szCs w:val="24"/>
        </w:rPr>
        <w:t>[7] Morris denies the allegations against him and he has filed an answering affidavit detailing his response.</w:t>
      </w:r>
    </w:p>
    <w:p w:rsidR="00BB79E2" w:rsidRPr="000D3673" w:rsidRDefault="002153A4" w:rsidP="00BB79E2">
      <w:pPr>
        <w:pStyle w:val="1"/>
        <w:rPr>
          <w:rFonts w:cs="Arial"/>
          <w:b/>
          <w:szCs w:val="24"/>
        </w:rPr>
      </w:pPr>
      <w:r w:rsidRPr="000D3673">
        <w:rPr>
          <w:rFonts w:cs="Arial"/>
          <w:b/>
          <w:szCs w:val="24"/>
        </w:rPr>
        <w:t>THE ISSUES</w:t>
      </w:r>
    </w:p>
    <w:p w:rsidR="00BB79E2" w:rsidRPr="000D3673" w:rsidRDefault="00BB79E2" w:rsidP="002153A4">
      <w:pPr>
        <w:pStyle w:val="1"/>
        <w:ind w:left="1854"/>
        <w:rPr>
          <w:rFonts w:cs="Arial"/>
          <w:szCs w:val="24"/>
        </w:rPr>
      </w:pPr>
      <w:r w:rsidRPr="000D3673">
        <w:rPr>
          <w:rFonts w:cs="Arial"/>
          <w:szCs w:val="24"/>
        </w:rPr>
        <w:t>8.1</w:t>
      </w:r>
      <w:r w:rsidRPr="000D3673">
        <w:rPr>
          <w:rFonts w:cs="Arial"/>
          <w:szCs w:val="24"/>
        </w:rPr>
        <w:tab/>
        <w:t xml:space="preserve"> This court has to determine whether Morris was empowered in the absence</w:t>
      </w:r>
      <w:r w:rsidR="005363EE">
        <w:rPr>
          <w:rFonts w:cs="Arial"/>
          <w:szCs w:val="24"/>
        </w:rPr>
        <w:t xml:space="preserve"> of</w:t>
      </w:r>
      <w:r w:rsidRPr="000D3673">
        <w:rPr>
          <w:rFonts w:cs="Arial"/>
          <w:szCs w:val="24"/>
        </w:rPr>
        <w:t xml:space="preserve"> the appointment of two additional trustees to pass the resolution extending the distribu</w:t>
      </w:r>
      <w:r w:rsidR="005363EE">
        <w:rPr>
          <w:rFonts w:cs="Arial"/>
          <w:szCs w:val="24"/>
        </w:rPr>
        <w:t>tion event contemplated in the Trust D</w:t>
      </w:r>
      <w:r w:rsidRPr="000D3673">
        <w:rPr>
          <w:rFonts w:cs="Arial"/>
          <w:szCs w:val="24"/>
        </w:rPr>
        <w:t>eed.</w:t>
      </w:r>
    </w:p>
    <w:p w:rsidR="00BB79E2" w:rsidRPr="000D3673" w:rsidRDefault="00BB79E2" w:rsidP="002153A4">
      <w:pPr>
        <w:pStyle w:val="1"/>
        <w:ind w:left="1854"/>
        <w:rPr>
          <w:rFonts w:cs="Arial"/>
          <w:szCs w:val="24"/>
        </w:rPr>
      </w:pPr>
      <w:r w:rsidRPr="000D3673">
        <w:rPr>
          <w:rFonts w:cs="Arial"/>
          <w:szCs w:val="24"/>
        </w:rPr>
        <w:t>8.2</w:t>
      </w:r>
      <w:r w:rsidRPr="000D3673">
        <w:rPr>
          <w:rFonts w:cs="Arial"/>
          <w:szCs w:val="24"/>
        </w:rPr>
        <w:tab/>
        <w:t xml:space="preserve"> If he was empowered to pass such a resolution, </w:t>
      </w:r>
      <w:r w:rsidR="00164D35">
        <w:rPr>
          <w:rFonts w:cs="Arial"/>
          <w:szCs w:val="24"/>
        </w:rPr>
        <w:t>whether the</w:t>
      </w:r>
      <w:r w:rsidR="005363EE">
        <w:rPr>
          <w:rFonts w:cs="Arial"/>
          <w:szCs w:val="24"/>
        </w:rPr>
        <w:t>re</w:t>
      </w:r>
      <w:r w:rsidR="00164D35">
        <w:rPr>
          <w:rFonts w:cs="Arial"/>
          <w:szCs w:val="24"/>
        </w:rPr>
        <w:t xml:space="preserve"> </w:t>
      </w:r>
      <w:r w:rsidRPr="000D3673">
        <w:rPr>
          <w:rFonts w:cs="Arial"/>
          <w:szCs w:val="24"/>
        </w:rPr>
        <w:t>was “good and sufficient” reason to do so.</w:t>
      </w:r>
    </w:p>
    <w:p w:rsidR="00BB79E2" w:rsidRPr="000D3673" w:rsidRDefault="00BB79E2" w:rsidP="002153A4">
      <w:pPr>
        <w:pStyle w:val="1"/>
        <w:ind w:left="1854"/>
        <w:rPr>
          <w:rFonts w:cs="Arial"/>
          <w:szCs w:val="24"/>
        </w:rPr>
      </w:pPr>
      <w:r w:rsidRPr="000D3673">
        <w:rPr>
          <w:rFonts w:cs="Arial"/>
          <w:szCs w:val="24"/>
        </w:rPr>
        <w:t xml:space="preserve">8.3 </w:t>
      </w:r>
      <w:r w:rsidR="00164D35">
        <w:rPr>
          <w:rFonts w:cs="Arial"/>
          <w:szCs w:val="24"/>
        </w:rPr>
        <w:tab/>
        <w:t>whether upon considering other</w:t>
      </w:r>
      <w:r w:rsidRPr="000D3673">
        <w:rPr>
          <w:rFonts w:cs="Arial"/>
          <w:szCs w:val="24"/>
        </w:rPr>
        <w:t xml:space="preserve"> actions by M</w:t>
      </w:r>
      <w:r w:rsidR="005363EE">
        <w:rPr>
          <w:rFonts w:cs="Arial"/>
          <w:szCs w:val="24"/>
        </w:rPr>
        <w:t>orris during the time when the T</w:t>
      </w:r>
      <w:r w:rsidRPr="000D3673">
        <w:rPr>
          <w:rFonts w:cs="Arial"/>
          <w:szCs w:val="24"/>
        </w:rPr>
        <w:t xml:space="preserve">rust was incapacitated including the passing of the said resolution are invalid and of no </w:t>
      </w:r>
      <w:r w:rsidR="00164D35">
        <w:rPr>
          <w:rFonts w:cs="Arial"/>
          <w:szCs w:val="24"/>
        </w:rPr>
        <w:t>force and affect, and if so, whether</w:t>
      </w:r>
      <w:r w:rsidRPr="000D3673">
        <w:rPr>
          <w:rFonts w:cs="Arial"/>
          <w:szCs w:val="24"/>
        </w:rPr>
        <w:t xml:space="preserve"> the first, second and</w:t>
      </w:r>
      <w:r w:rsidR="00164D35">
        <w:rPr>
          <w:rFonts w:cs="Arial"/>
          <w:szCs w:val="24"/>
        </w:rPr>
        <w:t xml:space="preserve"> third </w:t>
      </w:r>
      <w:r w:rsidR="00037DA6">
        <w:rPr>
          <w:rFonts w:cs="Arial"/>
          <w:szCs w:val="24"/>
        </w:rPr>
        <w:t xml:space="preserve">respondents </w:t>
      </w:r>
      <w:r w:rsidR="00037DA6" w:rsidRPr="000D3673">
        <w:rPr>
          <w:rFonts w:cs="Arial"/>
          <w:szCs w:val="24"/>
        </w:rPr>
        <w:t>be</w:t>
      </w:r>
      <w:r w:rsidR="005363EE">
        <w:rPr>
          <w:rFonts w:cs="Arial"/>
          <w:szCs w:val="24"/>
        </w:rPr>
        <w:t xml:space="preserve"> removed as trustees of the T</w:t>
      </w:r>
      <w:r w:rsidRPr="000D3673">
        <w:rPr>
          <w:rFonts w:cs="Arial"/>
          <w:szCs w:val="24"/>
        </w:rPr>
        <w:t>rust.</w:t>
      </w:r>
    </w:p>
    <w:p w:rsidR="00BB79E2" w:rsidRPr="000D3673" w:rsidRDefault="00BB79E2" w:rsidP="002153A4">
      <w:pPr>
        <w:pStyle w:val="1"/>
        <w:ind w:left="1854"/>
        <w:rPr>
          <w:rFonts w:cs="Arial"/>
          <w:szCs w:val="24"/>
        </w:rPr>
      </w:pPr>
      <w:r w:rsidRPr="000D3673">
        <w:rPr>
          <w:rFonts w:cs="Arial"/>
          <w:szCs w:val="24"/>
        </w:rPr>
        <w:t>8.4</w:t>
      </w:r>
      <w:r w:rsidRPr="000D3673">
        <w:rPr>
          <w:rFonts w:cs="Arial"/>
          <w:szCs w:val="24"/>
        </w:rPr>
        <w:tab/>
        <w:t>whether Morris was empowered to appoint Ronald as a director of the eight</w:t>
      </w:r>
      <w:r w:rsidR="00037DA6">
        <w:rPr>
          <w:rFonts w:cs="Arial"/>
          <w:szCs w:val="24"/>
        </w:rPr>
        <w:t>h respondent</w:t>
      </w:r>
      <w:r w:rsidRPr="000D3673">
        <w:rPr>
          <w:rFonts w:cs="Arial"/>
          <w:szCs w:val="24"/>
        </w:rPr>
        <w:t xml:space="preserve"> (“North </w:t>
      </w:r>
      <w:proofErr w:type="spellStart"/>
      <w:r w:rsidRPr="000D3673">
        <w:rPr>
          <w:rFonts w:cs="Arial"/>
          <w:szCs w:val="24"/>
        </w:rPr>
        <w:t>Atherstone</w:t>
      </w:r>
      <w:proofErr w:type="spellEnd"/>
      <w:r w:rsidRPr="000D3673">
        <w:rPr>
          <w:rFonts w:cs="Arial"/>
          <w:szCs w:val="24"/>
        </w:rPr>
        <w:t>”).</w:t>
      </w:r>
    </w:p>
    <w:p w:rsidR="00BB79E2" w:rsidRPr="000D3673" w:rsidRDefault="00BB79E2" w:rsidP="002153A4">
      <w:pPr>
        <w:pStyle w:val="1"/>
        <w:ind w:left="1854"/>
        <w:rPr>
          <w:rFonts w:cs="Arial"/>
          <w:szCs w:val="24"/>
        </w:rPr>
      </w:pPr>
      <w:r w:rsidRPr="000D3673">
        <w:rPr>
          <w:rFonts w:cs="Arial"/>
          <w:szCs w:val="24"/>
        </w:rPr>
        <w:t>8.5</w:t>
      </w:r>
      <w:r w:rsidRPr="000D3673">
        <w:rPr>
          <w:rFonts w:cs="Arial"/>
          <w:szCs w:val="24"/>
        </w:rPr>
        <w:tab/>
        <w:t xml:space="preserve">to the extent that Morris the second and third respondent are to be </w:t>
      </w:r>
      <w:r w:rsidRPr="000D3673">
        <w:rPr>
          <w:rFonts w:cs="Arial"/>
          <w:szCs w:val="24"/>
        </w:rPr>
        <w:lastRenderedPageBreak/>
        <w:t>removed as trustees, whe</w:t>
      </w:r>
      <w:r w:rsidR="00037DA6">
        <w:rPr>
          <w:rFonts w:cs="Arial"/>
          <w:szCs w:val="24"/>
        </w:rPr>
        <w:t xml:space="preserve">ther Messrs Rose, </w:t>
      </w:r>
      <w:proofErr w:type="spellStart"/>
      <w:r w:rsidR="00037DA6">
        <w:rPr>
          <w:rFonts w:cs="Arial"/>
          <w:szCs w:val="24"/>
        </w:rPr>
        <w:t>Cathrall</w:t>
      </w:r>
      <w:proofErr w:type="spellEnd"/>
      <w:r w:rsidR="00037DA6">
        <w:rPr>
          <w:rFonts w:cs="Arial"/>
          <w:szCs w:val="24"/>
        </w:rPr>
        <w:t xml:space="preserve"> and </w:t>
      </w:r>
      <w:proofErr w:type="spellStart"/>
      <w:r w:rsidR="00037DA6">
        <w:rPr>
          <w:rFonts w:cs="Arial"/>
          <w:szCs w:val="24"/>
        </w:rPr>
        <w:t>K</w:t>
      </w:r>
      <w:r w:rsidRPr="000D3673">
        <w:rPr>
          <w:rFonts w:cs="Arial"/>
          <w:szCs w:val="24"/>
        </w:rPr>
        <w:t>ampel</w:t>
      </w:r>
      <w:proofErr w:type="spellEnd"/>
      <w:r w:rsidRPr="000D3673">
        <w:rPr>
          <w:rFonts w:cs="Arial"/>
          <w:szCs w:val="24"/>
        </w:rPr>
        <w:t xml:space="preserve"> b</w:t>
      </w:r>
      <w:r w:rsidR="005363EE">
        <w:rPr>
          <w:rFonts w:cs="Arial"/>
          <w:szCs w:val="24"/>
        </w:rPr>
        <w:t>e appointed as trustees to the T</w:t>
      </w:r>
      <w:r w:rsidRPr="000D3673">
        <w:rPr>
          <w:rFonts w:cs="Arial"/>
          <w:szCs w:val="24"/>
        </w:rPr>
        <w:t>rust.</w:t>
      </w:r>
    </w:p>
    <w:p w:rsidR="00BB79E2" w:rsidRPr="000D3673" w:rsidRDefault="00BB79E2" w:rsidP="002153A4">
      <w:pPr>
        <w:pStyle w:val="1"/>
        <w:ind w:left="1854"/>
        <w:rPr>
          <w:rFonts w:cs="Arial"/>
          <w:szCs w:val="24"/>
        </w:rPr>
      </w:pPr>
      <w:r w:rsidRPr="000D3673">
        <w:rPr>
          <w:rFonts w:cs="Arial"/>
          <w:szCs w:val="24"/>
        </w:rPr>
        <w:t>8.6</w:t>
      </w:r>
      <w:r w:rsidRPr="000D3673">
        <w:rPr>
          <w:rFonts w:cs="Arial"/>
          <w:szCs w:val="24"/>
        </w:rPr>
        <w:tab/>
        <w:t xml:space="preserve">whether or not to award costs on a de </w:t>
      </w:r>
      <w:proofErr w:type="spellStart"/>
      <w:r w:rsidRPr="005363EE">
        <w:rPr>
          <w:rFonts w:cs="Arial"/>
          <w:i/>
          <w:szCs w:val="24"/>
        </w:rPr>
        <w:t>bonis</w:t>
      </w:r>
      <w:proofErr w:type="spellEnd"/>
      <w:r w:rsidRPr="005363EE">
        <w:rPr>
          <w:rFonts w:cs="Arial"/>
          <w:i/>
          <w:szCs w:val="24"/>
        </w:rPr>
        <w:t xml:space="preserve"> </w:t>
      </w:r>
      <w:proofErr w:type="spellStart"/>
      <w:r w:rsidRPr="005363EE">
        <w:rPr>
          <w:rFonts w:cs="Arial"/>
          <w:i/>
          <w:szCs w:val="24"/>
        </w:rPr>
        <w:t>propri</w:t>
      </w:r>
      <w:r w:rsidR="005363EE">
        <w:rPr>
          <w:rFonts w:cs="Arial"/>
          <w:i/>
          <w:szCs w:val="24"/>
        </w:rPr>
        <w:t>i</w:t>
      </w:r>
      <w:r w:rsidRPr="005363EE">
        <w:rPr>
          <w:rFonts w:cs="Arial"/>
          <w:i/>
          <w:szCs w:val="24"/>
        </w:rPr>
        <w:t>s</w:t>
      </w:r>
      <w:proofErr w:type="spellEnd"/>
      <w:r w:rsidRPr="000D3673">
        <w:rPr>
          <w:rFonts w:cs="Arial"/>
          <w:szCs w:val="24"/>
        </w:rPr>
        <w:t xml:space="preserve"> basis against Morris and order him to render an account to the applicant</w:t>
      </w:r>
      <w:r w:rsidR="00037DA6">
        <w:rPr>
          <w:rFonts w:cs="Arial"/>
          <w:szCs w:val="24"/>
        </w:rPr>
        <w:t>s</w:t>
      </w:r>
      <w:r w:rsidRPr="000D3673">
        <w:rPr>
          <w:rFonts w:cs="Arial"/>
          <w:szCs w:val="24"/>
        </w:rPr>
        <w:t>.</w:t>
      </w:r>
    </w:p>
    <w:p w:rsidR="00BB79E2" w:rsidRPr="000D3673" w:rsidRDefault="00BB79E2" w:rsidP="002153A4">
      <w:pPr>
        <w:pStyle w:val="1"/>
        <w:ind w:left="1854"/>
        <w:rPr>
          <w:rFonts w:cs="Arial"/>
          <w:szCs w:val="24"/>
        </w:rPr>
      </w:pPr>
      <w:r w:rsidRPr="000D3673">
        <w:rPr>
          <w:rFonts w:cs="Arial"/>
          <w:szCs w:val="24"/>
        </w:rPr>
        <w:t>8.7</w:t>
      </w:r>
      <w:r w:rsidRPr="000D3673">
        <w:rPr>
          <w:rFonts w:cs="Arial"/>
          <w:szCs w:val="24"/>
        </w:rPr>
        <w:tab/>
        <w:t>as an alternative relief to the ab</w:t>
      </w:r>
      <w:r w:rsidR="00037DA6">
        <w:rPr>
          <w:rFonts w:cs="Arial"/>
          <w:szCs w:val="24"/>
        </w:rPr>
        <w:t>ove whether to direct the Trust</w:t>
      </w:r>
      <w:r w:rsidRPr="000D3673">
        <w:rPr>
          <w:rFonts w:cs="Arial"/>
          <w:szCs w:val="24"/>
        </w:rPr>
        <w:t xml:space="preserve"> to give effec</w:t>
      </w:r>
      <w:r w:rsidR="00037DA6">
        <w:rPr>
          <w:rFonts w:cs="Arial"/>
          <w:szCs w:val="24"/>
        </w:rPr>
        <w:t>t to what the applicants describe</w:t>
      </w:r>
      <w:r w:rsidRPr="000D3673">
        <w:rPr>
          <w:rFonts w:cs="Arial"/>
          <w:szCs w:val="24"/>
        </w:rPr>
        <w:t xml:space="preserve"> as the “true distribution decision”</w:t>
      </w:r>
    </w:p>
    <w:p w:rsidR="00BB79E2" w:rsidRPr="000D3673" w:rsidRDefault="002153A4" w:rsidP="00BB79E2">
      <w:pPr>
        <w:pStyle w:val="1"/>
        <w:rPr>
          <w:rFonts w:cs="Arial"/>
          <w:b/>
          <w:szCs w:val="24"/>
          <w:u w:val="single"/>
        </w:rPr>
      </w:pPr>
      <w:r w:rsidRPr="000D3673">
        <w:rPr>
          <w:rFonts w:cs="Arial"/>
          <w:b/>
          <w:szCs w:val="24"/>
        </w:rPr>
        <w:t>PRELIMINARY ISSUE</w:t>
      </w:r>
      <w:r w:rsidR="00BB79E2" w:rsidRPr="000D3673">
        <w:rPr>
          <w:rFonts w:cs="Arial"/>
          <w:b/>
          <w:szCs w:val="24"/>
        </w:rPr>
        <w:tab/>
      </w:r>
      <w:r w:rsidR="00BB79E2" w:rsidRPr="000D3673">
        <w:rPr>
          <w:rFonts w:cs="Arial"/>
          <w:szCs w:val="24"/>
        </w:rPr>
        <w:tab/>
      </w:r>
      <w:r w:rsidR="00BB79E2" w:rsidRPr="000D3673">
        <w:rPr>
          <w:rFonts w:cs="Arial"/>
          <w:szCs w:val="24"/>
        </w:rPr>
        <w:tab/>
      </w:r>
      <w:r w:rsidR="00BB79E2" w:rsidRPr="000D3673">
        <w:rPr>
          <w:rFonts w:cs="Arial"/>
          <w:szCs w:val="24"/>
        </w:rPr>
        <w:tab/>
      </w:r>
    </w:p>
    <w:p w:rsidR="00BB79E2" w:rsidRPr="000D3673" w:rsidRDefault="00BB79E2" w:rsidP="00BB79E2">
      <w:pPr>
        <w:pStyle w:val="1"/>
        <w:rPr>
          <w:rFonts w:cs="Arial"/>
          <w:szCs w:val="24"/>
        </w:rPr>
      </w:pPr>
      <w:r w:rsidRPr="000D3673">
        <w:rPr>
          <w:rFonts w:cs="Arial"/>
          <w:szCs w:val="24"/>
        </w:rPr>
        <w:t>[9]     At the commencement of these proceedings I requested counsel to address me regarding three preliminary issues. These were the application for condonation for the late filing of the answering affidavit by Morris and the cou</w:t>
      </w:r>
      <w:r w:rsidR="00037DA6">
        <w:rPr>
          <w:rFonts w:cs="Arial"/>
          <w:szCs w:val="24"/>
        </w:rPr>
        <w:t>nter, application by the applicants</w:t>
      </w:r>
      <w:r w:rsidRPr="000D3673">
        <w:rPr>
          <w:rFonts w:cs="Arial"/>
          <w:szCs w:val="24"/>
        </w:rPr>
        <w:t xml:space="preserve"> to the condonation application and the rule 30 application seeking to set aside, the counter application as an irregular step.</w:t>
      </w:r>
    </w:p>
    <w:p w:rsidR="00BB79E2" w:rsidRPr="000D3673" w:rsidRDefault="00BB79E2" w:rsidP="00BB79E2">
      <w:pPr>
        <w:pStyle w:val="1"/>
        <w:rPr>
          <w:rFonts w:cs="Arial"/>
          <w:szCs w:val="24"/>
        </w:rPr>
      </w:pPr>
      <w:r w:rsidRPr="000D3673">
        <w:rPr>
          <w:rFonts w:cs="Arial"/>
          <w:szCs w:val="24"/>
        </w:rPr>
        <w:t>[</w:t>
      </w:r>
      <w:r w:rsidR="00037DA6">
        <w:rPr>
          <w:rFonts w:cs="Arial"/>
          <w:szCs w:val="24"/>
        </w:rPr>
        <w:t>1</w:t>
      </w:r>
      <w:r w:rsidR="005363EE">
        <w:rPr>
          <w:rFonts w:cs="Arial"/>
          <w:szCs w:val="24"/>
        </w:rPr>
        <w:t>0]    It was agreed between the parties that</w:t>
      </w:r>
      <w:r w:rsidRPr="000D3673">
        <w:rPr>
          <w:rFonts w:cs="Arial"/>
          <w:szCs w:val="24"/>
        </w:rPr>
        <w:t xml:space="preserve"> since the matters arising out of the counter application and the Rule 30 application s</w:t>
      </w:r>
      <w:r w:rsidR="00037DA6">
        <w:rPr>
          <w:rFonts w:cs="Arial"/>
          <w:szCs w:val="24"/>
        </w:rPr>
        <w:t>eemed to be overlapping with tho</w:t>
      </w:r>
      <w:r w:rsidRPr="000D3673">
        <w:rPr>
          <w:rFonts w:cs="Arial"/>
          <w:szCs w:val="24"/>
        </w:rPr>
        <w:t>se raised in the main application, it would be more convenient to address them in the main application.</w:t>
      </w:r>
    </w:p>
    <w:p w:rsidR="00BB79E2" w:rsidRPr="000D3673" w:rsidRDefault="00BB79E2" w:rsidP="00BB79E2">
      <w:pPr>
        <w:pStyle w:val="1"/>
        <w:rPr>
          <w:rFonts w:cs="Arial"/>
          <w:szCs w:val="24"/>
        </w:rPr>
      </w:pPr>
      <w:r w:rsidRPr="000D3673">
        <w:rPr>
          <w:rFonts w:cs="Arial"/>
          <w:szCs w:val="24"/>
        </w:rPr>
        <w:t>[11]   The only matter left for determination was the condonation application which I granted after due consideration wi</w:t>
      </w:r>
      <w:r w:rsidR="006011EF">
        <w:rPr>
          <w:rFonts w:cs="Arial"/>
          <w:szCs w:val="24"/>
        </w:rPr>
        <w:t>th costs in that regard to be determined at the end of the hearing</w:t>
      </w:r>
      <w:r w:rsidRPr="000D3673">
        <w:rPr>
          <w:rFonts w:cs="Arial"/>
          <w:szCs w:val="24"/>
        </w:rPr>
        <w:t>.</w:t>
      </w:r>
    </w:p>
    <w:p w:rsidR="00BB79E2" w:rsidRPr="000D3673" w:rsidRDefault="00BB79E2" w:rsidP="006011EF">
      <w:pPr>
        <w:pStyle w:val="1"/>
        <w:ind w:left="0" w:firstLine="0"/>
        <w:rPr>
          <w:rFonts w:cs="Arial"/>
          <w:b/>
          <w:szCs w:val="24"/>
          <w:u w:val="single"/>
        </w:rPr>
      </w:pPr>
    </w:p>
    <w:p w:rsidR="00BB79E2" w:rsidRPr="000D3673" w:rsidRDefault="002153A4" w:rsidP="00BB79E2">
      <w:pPr>
        <w:pStyle w:val="1"/>
        <w:rPr>
          <w:rFonts w:cs="Arial"/>
          <w:b/>
          <w:szCs w:val="24"/>
          <w:u w:val="single"/>
        </w:rPr>
      </w:pPr>
      <w:r w:rsidRPr="000D3673">
        <w:rPr>
          <w:rFonts w:cs="Arial"/>
          <w:b/>
          <w:szCs w:val="24"/>
        </w:rPr>
        <w:lastRenderedPageBreak/>
        <w:t xml:space="preserve">FACTS </w:t>
      </w:r>
      <w:r w:rsidR="00BB79E2" w:rsidRPr="000D3673">
        <w:rPr>
          <w:rFonts w:cs="Arial"/>
          <w:b/>
          <w:szCs w:val="24"/>
        </w:rPr>
        <w:tab/>
      </w:r>
      <w:r w:rsidR="00BB79E2" w:rsidRPr="000D3673">
        <w:rPr>
          <w:rFonts w:cs="Arial"/>
          <w:szCs w:val="24"/>
        </w:rPr>
        <w:tab/>
      </w:r>
      <w:r w:rsidR="00BB79E2" w:rsidRPr="000D3673">
        <w:rPr>
          <w:rFonts w:cs="Arial"/>
          <w:szCs w:val="24"/>
        </w:rPr>
        <w:tab/>
      </w:r>
    </w:p>
    <w:p w:rsidR="00BB79E2" w:rsidRPr="000D3673" w:rsidRDefault="00BB79E2" w:rsidP="00BB79E2">
      <w:pPr>
        <w:pStyle w:val="1"/>
        <w:rPr>
          <w:rFonts w:cs="Arial"/>
          <w:szCs w:val="24"/>
        </w:rPr>
      </w:pPr>
      <w:r w:rsidRPr="000D3673">
        <w:rPr>
          <w:rFonts w:cs="Arial"/>
          <w:szCs w:val="24"/>
        </w:rPr>
        <w:t xml:space="preserve">[12] The trust </w:t>
      </w:r>
      <w:r w:rsidR="00037DA6">
        <w:rPr>
          <w:rFonts w:cs="Arial"/>
          <w:szCs w:val="24"/>
        </w:rPr>
        <w:t>was established in 1982 by Hans Heinz L</w:t>
      </w:r>
      <w:r w:rsidRPr="000D3673">
        <w:rPr>
          <w:rFonts w:cs="Arial"/>
          <w:szCs w:val="24"/>
        </w:rPr>
        <w:t>esser (“Henry”) who selected his trusted friend and accountant,</w:t>
      </w:r>
      <w:r w:rsidR="00037DA6">
        <w:rPr>
          <w:rFonts w:cs="Arial"/>
          <w:szCs w:val="24"/>
        </w:rPr>
        <w:t xml:space="preserve"> Morris, as one of the trustees. T</w:t>
      </w:r>
      <w:r w:rsidRPr="000D3673">
        <w:rPr>
          <w:rFonts w:cs="Arial"/>
          <w:szCs w:val="24"/>
        </w:rPr>
        <w:t>he other tw</w:t>
      </w:r>
      <w:r w:rsidR="00037DA6">
        <w:rPr>
          <w:rFonts w:cs="Arial"/>
          <w:szCs w:val="24"/>
        </w:rPr>
        <w:t xml:space="preserve">o </w:t>
      </w:r>
      <w:r w:rsidR="006011EF">
        <w:rPr>
          <w:rFonts w:cs="Arial"/>
          <w:szCs w:val="24"/>
        </w:rPr>
        <w:t>trustees</w:t>
      </w:r>
      <w:r w:rsidR="005363EE">
        <w:rPr>
          <w:rFonts w:cs="Arial"/>
          <w:szCs w:val="24"/>
        </w:rPr>
        <w:t xml:space="preserve"> were</w:t>
      </w:r>
      <w:r w:rsidR="00037DA6">
        <w:rPr>
          <w:rFonts w:cs="Arial"/>
          <w:szCs w:val="24"/>
        </w:rPr>
        <w:t xml:space="preserve"> Henry and his wife Leah Lesser </w:t>
      </w:r>
      <w:r w:rsidR="005363EE">
        <w:rPr>
          <w:rFonts w:cs="Arial"/>
          <w:szCs w:val="24"/>
        </w:rPr>
        <w:t>(</w:t>
      </w:r>
      <w:r w:rsidR="00037DA6">
        <w:rPr>
          <w:rFonts w:cs="Arial"/>
          <w:szCs w:val="24"/>
        </w:rPr>
        <w:t>“L</w:t>
      </w:r>
      <w:r w:rsidRPr="000D3673">
        <w:rPr>
          <w:rFonts w:cs="Arial"/>
          <w:szCs w:val="24"/>
        </w:rPr>
        <w:t>illy”</w:t>
      </w:r>
      <w:r w:rsidR="005363EE">
        <w:rPr>
          <w:rFonts w:cs="Arial"/>
          <w:szCs w:val="24"/>
        </w:rPr>
        <w:t>)</w:t>
      </w:r>
      <w:r w:rsidRPr="000D3673">
        <w:rPr>
          <w:rFonts w:cs="Arial"/>
          <w:szCs w:val="24"/>
        </w:rPr>
        <w:t>.</w:t>
      </w:r>
      <w:r w:rsidRPr="000D3673">
        <w:rPr>
          <w:rFonts w:cs="Arial"/>
          <w:szCs w:val="24"/>
        </w:rPr>
        <w:tab/>
      </w:r>
      <w:r w:rsidRPr="000D3673">
        <w:rPr>
          <w:rFonts w:cs="Arial"/>
          <w:szCs w:val="24"/>
        </w:rPr>
        <w:tab/>
      </w:r>
      <w:r w:rsidRPr="000D3673">
        <w:rPr>
          <w:rFonts w:cs="Arial"/>
          <w:szCs w:val="24"/>
        </w:rPr>
        <w:tab/>
      </w:r>
      <w:r w:rsidRPr="000D3673">
        <w:rPr>
          <w:rFonts w:cs="Arial"/>
          <w:szCs w:val="24"/>
        </w:rPr>
        <w:tab/>
      </w:r>
    </w:p>
    <w:p w:rsidR="00BB79E2" w:rsidRPr="000D3673" w:rsidRDefault="00037DA6" w:rsidP="00BB79E2">
      <w:pPr>
        <w:pStyle w:val="1"/>
        <w:rPr>
          <w:rFonts w:cs="Arial"/>
          <w:szCs w:val="24"/>
        </w:rPr>
      </w:pPr>
      <w:r>
        <w:rPr>
          <w:rFonts w:cs="Arial"/>
          <w:szCs w:val="24"/>
        </w:rPr>
        <w:t>[13] At its inception, the T</w:t>
      </w:r>
      <w:r w:rsidR="00BB79E2" w:rsidRPr="000D3673">
        <w:rPr>
          <w:rFonts w:cs="Arial"/>
          <w:szCs w:val="24"/>
        </w:rPr>
        <w:t>rust was gov</w:t>
      </w:r>
      <w:r>
        <w:rPr>
          <w:rFonts w:cs="Arial"/>
          <w:szCs w:val="24"/>
        </w:rPr>
        <w:t>erned by the provisions of the Trust Moneys Protection A</w:t>
      </w:r>
      <w:r w:rsidR="00BB79E2" w:rsidRPr="000D3673">
        <w:rPr>
          <w:rFonts w:cs="Arial"/>
          <w:szCs w:val="24"/>
        </w:rPr>
        <w:t>ct 34 of 1934 (“the 193</w:t>
      </w:r>
      <w:r w:rsidR="006011EF">
        <w:rPr>
          <w:rFonts w:cs="Arial"/>
          <w:szCs w:val="24"/>
        </w:rPr>
        <w:t>4 A</w:t>
      </w:r>
      <w:r>
        <w:rPr>
          <w:rFonts w:cs="Arial"/>
          <w:szCs w:val="24"/>
        </w:rPr>
        <w:t>ct”), that is, prior to the Trust Property Control Act 57 of 1988(“the A</w:t>
      </w:r>
      <w:r w:rsidR="00BB79E2" w:rsidRPr="000D3673">
        <w:rPr>
          <w:rFonts w:cs="Arial"/>
          <w:szCs w:val="24"/>
        </w:rPr>
        <w:t>ct”).</w:t>
      </w:r>
      <w:r w:rsidR="00BB79E2" w:rsidRPr="000D3673">
        <w:rPr>
          <w:rFonts w:cs="Arial"/>
          <w:szCs w:val="24"/>
        </w:rPr>
        <w:tab/>
      </w:r>
      <w:r w:rsidR="00BB79E2" w:rsidRPr="000D3673">
        <w:rPr>
          <w:rFonts w:cs="Arial"/>
          <w:szCs w:val="24"/>
        </w:rPr>
        <w:tab/>
      </w:r>
      <w:r w:rsidR="00BB79E2" w:rsidRPr="000D3673">
        <w:rPr>
          <w:rFonts w:cs="Arial"/>
          <w:szCs w:val="24"/>
        </w:rPr>
        <w:tab/>
      </w:r>
      <w:r w:rsidR="00BB79E2" w:rsidRPr="000D3673">
        <w:rPr>
          <w:rFonts w:cs="Arial"/>
          <w:szCs w:val="24"/>
        </w:rPr>
        <w:tab/>
      </w:r>
    </w:p>
    <w:p w:rsidR="00BB79E2" w:rsidRPr="000D3673" w:rsidRDefault="00BB79E2" w:rsidP="00BB79E2">
      <w:pPr>
        <w:pStyle w:val="1"/>
        <w:rPr>
          <w:rFonts w:cs="Arial"/>
          <w:szCs w:val="24"/>
        </w:rPr>
      </w:pPr>
      <w:r w:rsidRPr="000D3673">
        <w:rPr>
          <w:rFonts w:cs="Arial"/>
          <w:szCs w:val="24"/>
        </w:rPr>
        <w:t>[14</w:t>
      </w:r>
      <w:r w:rsidR="006011EF" w:rsidRPr="000D3673">
        <w:rPr>
          <w:rFonts w:cs="Arial"/>
          <w:szCs w:val="24"/>
        </w:rPr>
        <w:t xml:space="preserve">] </w:t>
      </w:r>
      <w:r w:rsidR="006011EF">
        <w:rPr>
          <w:rFonts w:cs="Arial"/>
          <w:szCs w:val="24"/>
        </w:rPr>
        <w:t>In</w:t>
      </w:r>
      <w:r w:rsidRPr="000D3673">
        <w:rPr>
          <w:rFonts w:cs="Arial"/>
          <w:szCs w:val="24"/>
        </w:rPr>
        <w:t xml:space="preserve"> terms of </w:t>
      </w:r>
      <w:r w:rsidR="00037DA6">
        <w:rPr>
          <w:rFonts w:cs="Arial"/>
          <w:szCs w:val="24"/>
        </w:rPr>
        <w:t>the 1934 Act a trustee was</w:t>
      </w:r>
      <w:r w:rsidRPr="000D3673">
        <w:rPr>
          <w:rFonts w:cs="Arial"/>
          <w:szCs w:val="24"/>
        </w:rPr>
        <w:t xml:space="preserve"> not required to obtain </w:t>
      </w:r>
      <w:r w:rsidR="00037DA6">
        <w:rPr>
          <w:rFonts w:cs="Arial"/>
          <w:szCs w:val="24"/>
        </w:rPr>
        <w:t>the “written authority” of the M</w:t>
      </w:r>
      <w:r w:rsidRPr="000D3673">
        <w:rPr>
          <w:rFonts w:cs="Arial"/>
          <w:szCs w:val="24"/>
        </w:rPr>
        <w:t>aster. It only required the trustee to furnish or</w:t>
      </w:r>
      <w:r w:rsidR="005363EE">
        <w:rPr>
          <w:rFonts w:cs="Arial"/>
          <w:szCs w:val="24"/>
        </w:rPr>
        <w:t xml:space="preserve"> be exempt from the furnishing o</w:t>
      </w:r>
      <w:r w:rsidRPr="000D3673">
        <w:rPr>
          <w:rFonts w:cs="Arial"/>
          <w:szCs w:val="24"/>
        </w:rPr>
        <w:t>f security.</w:t>
      </w:r>
      <w:r w:rsidRPr="000D3673">
        <w:rPr>
          <w:rFonts w:cs="Arial"/>
          <w:szCs w:val="24"/>
        </w:rPr>
        <w:tab/>
      </w:r>
      <w:r w:rsidRPr="000D3673">
        <w:rPr>
          <w:rFonts w:cs="Arial"/>
          <w:szCs w:val="24"/>
        </w:rPr>
        <w:tab/>
      </w:r>
      <w:r w:rsidRPr="000D3673">
        <w:rPr>
          <w:rFonts w:cs="Arial"/>
          <w:szCs w:val="24"/>
        </w:rPr>
        <w:tab/>
      </w:r>
      <w:r w:rsidRPr="000D3673">
        <w:rPr>
          <w:rFonts w:cs="Arial"/>
          <w:szCs w:val="24"/>
        </w:rPr>
        <w:tab/>
      </w:r>
      <w:r w:rsidRPr="000D3673">
        <w:rPr>
          <w:rFonts w:cs="Arial"/>
          <w:szCs w:val="24"/>
        </w:rPr>
        <w:tab/>
      </w:r>
    </w:p>
    <w:p w:rsidR="00BB79E2" w:rsidRPr="000D3673" w:rsidRDefault="00037DA6" w:rsidP="00BB79E2">
      <w:pPr>
        <w:pStyle w:val="1"/>
        <w:rPr>
          <w:rFonts w:cs="Arial"/>
          <w:szCs w:val="24"/>
        </w:rPr>
      </w:pPr>
      <w:r>
        <w:rPr>
          <w:rFonts w:cs="Arial"/>
          <w:szCs w:val="24"/>
        </w:rPr>
        <w:t>[15</w:t>
      </w:r>
      <w:r w:rsidR="006011EF">
        <w:rPr>
          <w:rFonts w:cs="Arial"/>
          <w:szCs w:val="24"/>
        </w:rPr>
        <w:t>] Registration</w:t>
      </w:r>
      <w:r>
        <w:rPr>
          <w:rFonts w:cs="Arial"/>
          <w:szCs w:val="24"/>
        </w:rPr>
        <w:t xml:space="preserve"> of the Trust was confirmed by the M</w:t>
      </w:r>
      <w:r w:rsidR="00BB79E2" w:rsidRPr="000D3673">
        <w:rPr>
          <w:rFonts w:cs="Arial"/>
          <w:szCs w:val="24"/>
        </w:rPr>
        <w:t>aster and security</w:t>
      </w:r>
      <w:r>
        <w:rPr>
          <w:rFonts w:cs="Arial"/>
          <w:szCs w:val="24"/>
        </w:rPr>
        <w:t xml:space="preserve"> dispensed with on 09 June 1982.</w:t>
      </w:r>
      <w:r w:rsidR="00BB79E2" w:rsidRPr="000D3673">
        <w:rPr>
          <w:rFonts w:cs="Arial"/>
          <w:szCs w:val="24"/>
        </w:rPr>
        <w:t xml:space="preserve"> Henry, Lilly and Morris wer</w:t>
      </w:r>
      <w:r>
        <w:rPr>
          <w:rFonts w:cs="Arial"/>
          <w:szCs w:val="24"/>
        </w:rPr>
        <w:t>e appointed effectively from 9</w:t>
      </w:r>
      <w:r w:rsidR="00BB79E2" w:rsidRPr="000D3673">
        <w:rPr>
          <w:rFonts w:cs="Arial"/>
          <w:szCs w:val="24"/>
        </w:rPr>
        <w:t xml:space="preserve"> June 1982.        </w:t>
      </w:r>
      <w:r w:rsidR="00BB79E2" w:rsidRPr="000D3673">
        <w:rPr>
          <w:rFonts w:cs="Arial"/>
          <w:szCs w:val="24"/>
        </w:rPr>
        <w:tab/>
      </w:r>
      <w:r w:rsidR="00BB79E2" w:rsidRPr="000D3673">
        <w:rPr>
          <w:rFonts w:cs="Arial"/>
          <w:szCs w:val="24"/>
        </w:rPr>
        <w:tab/>
      </w:r>
      <w:r w:rsidR="00BB79E2" w:rsidRPr="000D3673">
        <w:rPr>
          <w:rFonts w:cs="Arial"/>
          <w:szCs w:val="24"/>
        </w:rPr>
        <w:tab/>
      </w:r>
      <w:r w:rsidR="00BB79E2" w:rsidRPr="000D3673">
        <w:rPr>
          <w:rFonts w:cs="Arial"/>
          <w:szCs w:val="24"/>
        </w:rPr>
        <w:tab/>
      </w:r>
      <w:r w:rsidR="00BB79E2" w:rsidRPr="000D3673">
        <w:rPr>
          <w:rFonts w:cs="Arial"/>
          <w:szCs w:val="24"/>
        </w:rPr>
        <w:tab/>
      </w:r>
    </w:p>
    <w:p w:rsidR="00BB79E2" w:rsidRPr="000D3673" w:rsidRDefault="00BB79E2" w:rsidP="00BB79E2">
      <w:pPr>
        <w:pStyle w:val="1"/>
        <w:rPr>
          <w:rFonts w:cs="Arial"/>
          <w:szCs w:val="24"/>
        </w:rPr>
      </w:pPr>
      <w:r w:rsidRPr="000D3673">
        <w:rPr>
          <w:rFonts w:cs="Arial"/>
          <w:szCs w:val="24"/>
        </w:rPr>
        <w:t>[16] The trust assets consist of 100% of the issued share capital in a company trading under the name and style of</w:t>
      </w:r>
      <w:r w:rsidR="00037DA6">
        <w:rPr>
          <w:rFonts w:cs="Arial"/>
          <w:szCs w:val="24"/>
        </w:rPr>
        <w:t xml:space="preserve"> North</w:t>
      </w:r>
      <w:r w:rsidRPr="000D3673">
        <w:rPr>
          <w:rFonts w:cs="Arial"/>
          <w:szCs w:val="24"/>
        </w:rPr>
        <w:t xml:space="preserve"> </w:t>
      </w:r>
      <w:proofErr w:type="spellStart"/>
      <w:r w:rsidRPr="000D3673">
        <w:rPr>
          <w:rFonts w:cs="Arial"/>
          <w:szCs w:val="24"/>
        </w:rPr>
        <w:t>Atherstone</w:t>
      </w:r>
      <w:proofErr w:type="spellEnd"/>
      <w:r w:rsidRPr="000D3673">
        <w:rPr>
          <w:rFonts w:cs="Arial"/>
          <w:szCs w:val="24"/>
        </w:rPr>
        <w:t xml:space="preserve"> </w:t>
      </w:r>
      <w:r w:rsidR="00A41DFF">
        <w:rPr>
          <w:rFonts w:cs="Arial"/>
          <w:szCs w:val="24"/>
        </w:rPr>
        <w:t xml:space="preserve">which owns a block of flats in </w:t>
      </w:r>
      <w:r w:rsidRPr="000D3673">
        <w:rPr>
          <w:rFonts w:cs="Arial"/>
          <w:szCs w:val="24"/>
        </w:rPr>
        <w:t xml:space="preserve">Illovo, consisting of 26 units. </w:t>
      </w:r>
      <w:r w:rsidR="006011EF">
        <w:rPr>
          <w:rFonts w:cs="Arial"/>
          <w:szCs w:val="24"/>
        </w:rPr>
        <w:t xml:space="preserve">North </w:t>
      </w:r>
      <w:proofErr w:type="spellStart"/>
      <w:r w:rsidRPr="000D3673">
        <w:rPr>
          <w:rFonts w:cs="Arial"/>
          <w:szCs w:val="24"/>
        </w:rPr>
        <w:t>Ath</w:t>
      </w:r>
      <w:r w:rsidR="005363EE">
        <w:rPr>
          <w:rFonts w:cs="Arial"/>
          <w:szCs w:val="24"/>
        </w:rPr>
        <w:t>erstone</w:t>
      </w:r>
      <w:proofErr w:type="spellEnd"/>
      <w:r w:rsidR="005363EE">
        <w:rPr>
          <w:rFonts w:cs="Arial"/>
          <w:szCs w:val="24"/>
        </w:rPr>
        <w:t xml:space="preserve"> was operated by Henry as</w:t>
      </w:r>
      <w:r w:rsidRPr="000D3673">
        <w:rPr>
          <w:rFonts w:cs="Arial"/>
          <w:szCs w:val="24"/>
        </w:rPr>
        <w:t xml:space="preserve"> its sole director until his death in 2004’</w:t>
      </w:r>
    </w:p>
    <w:p w:rsidR="00BB79E2" w:rsidRPr="000D3673" w:rsidRDefault="00BB79E2" w:rsidP="006C4664">
      <w:pPr>
        <w:pStyle w:val="1"/>
        <w:rPr>
          <w:rFonts w:cs="Arial"/>
          <w:szCs w:val="24"/>
        </w:rPr>
      </w:pPr>
      <w:r w:rsidRPr="000D3673">
        <w:rPr>
          <w:rFonts w:cs="Arial"/>
          <w:szCs w:val="24"/>
        </w:rPr>
        <w:t>[17] The block of flats having been constructed in early 1960’s needed refurbishment and in 2012 the process of refurbishment was beginning, Lilly was still alive and she was the sole director.</w:t>
      </w:r>
      <w:r w:rsidRPr="000D3673">
        <w:rPr>
          <w:rFonts w:cs="Arial"/>
          <w:szCs w:val="24"/>
        </w:rPr>
        <w:tab/>
      </w:r>
      <w:r w:rsidRPr="000D3673">
        <w:rPr>
          <w:rFonts w:cs="Arial"/>
          <w:szCs w:val="24"/>
        </w:rPr>
        <w:tab/>
      </w:r>
      <w:r w:rsidRPr="000D3673">
        <w:rPr>
          <w:rFonts w:cs="Arial"/>
          <w:szCs w:val="24"/>
        </w:rPr>
        <w:tab/>
      </w:r>
      <w:r w:rsidRPr="000D3673">
        <w:rPr>
          <w:rFonts w:cs="Arial"/>
          <w:szCs w:val="24"/>
        </w:rPr>
        <w:tab/>
      </w:r>
      <w:r w:rsidRPr="000D3673">
        <w:rPr>
          <w:rFonts w:cs="Arial"/>
          <w:szCs w:val="24"/>
        </w:rPr>
        <w:tab/>
      </w:r>
    </w:p>
    <w:p w:rsidR="00BB79E2" w:rsidRPr="000D3673" w:rsidRDefault="00BB79E2" w:rsidP="00BB79E2">
      <w:pPr>
        <w:pStyle w:val="1"/>
        <w:rPr>
          <w:rFonts w:cs="Arial"/>
          <w:szCs w:val="24"/>
        </w:rPr>
      </w:pPr>
      <w:r w:rsidRPr="000D3673">
        <w:rPr>
          <w:rFonts w:cs="Arial"/>
          <w:szCs w:val="24"/>
        </w:rPr>
        <w:t>[18] Morris and his brother (</w:t>
      </w:r>
      <w:r w:rsidR="00A41DFF">
        <w:rPr>
          <w:rFonts w:cs="Arial"/>
          <w:szCs w:val="24"/>
        </w:rPr>
        <w:t>“Hilton”) practising as Kaplan and</w:t>
      </w:r>
      <w:r w:rsidRPr="000D3673">
        <w:rPr>
          <w:rFonts w:cs="Arial"/>
          <w:szCs w:val="24"/>
        </w:rPr>
        <w:t xml:space="preserve"> Kaplan were appointed </w:t>
      </w:r>
      <w:r w:rsidRPr="000D3673">
        <w:rPr>
          <w:rFonts w:cs="Arial"/>
          <w:szCs w:val="24"/>
        </w:rPr>
        <w:lastRenderedPageBreak/>
        <w:t>as auditors of both the Trust ant</w:t>
      </w:r>
      <w:r w:rsidR="006C4664">
        <w:rPr>
          <w:rFonts w:cs="Arial"/>
          <w:szCs w:val="24"/>
        </w:rPr>
        <w:t xml:space="preserve"> North</w:t>
      </w:r>
      <w:r w:rsidRPr="000D3673">
        <w:rPr>
          <w:rFonts w:cs="Arial"/>
          <w:szCs w:val="24"/>
        </w:rPr>
        <w:t xml:space="preserve"> </w:t>
      </w:r>
      <w:proofErr w:type="spellStart"/>
      <w:r w:rsidRPr="000D3673">
        <w:rPr>
          <w:rFonts w:cs="Arial"/>
          <w:szCs w:val="24"/>
        </w:rPr>
        <w:t>Atherstone</w:t>
      </w:r>
      <w:proofErr w:type="spellEnd"/>
      <w:r w:rsidRPr="000D3673">
        <w:rPr>
          <w:rFonts w:cs="Arial"/>
          <w:szCs w:val="24"/>
        </w:rPr>
        <w:t xml:space="preserve">. Henry passed away on 26 October 2004 and that </w:t>
      </w:r>
      <w:r w:rsidR="006C4664">
        <w:rPr>
          <w:rFonts w:cs="Arial"/>
          <w:szCs w:val="24"/>
        </w:rPr>
        <w:t>is the date on which Lilly assum</w:t>
      </w:r>
      <w:r w:rsidRPr="000D3673">
        <w:rPr>
          <w:rFonts w:cs="Arial"/>
          <w:szCs w:val="24"/>
        </w:rPr>
        <w:t xml:space="preserve">ed the directorship of </w:t>
      </w:r>
      <w:r w:rsidR="006C4664">
        <w:rPr>
          <w:rFonts w:cs="Arial"/>
          <w:szCs w:val="24"/>
        </w:rPr>
        <w:t xml:space="preserve">North </w:t>
      </w:r>
      <w:proofErr w:type="spellStart"/>
      <w:r w:rsidRPr="000D3673">
        <w:rPr>
          <w:rFonts w:cs="Arial"/>
          <w:szCs w:val="24"/>
        </w:rPr>
        <w:t>Atherstone</w:t>
      </w:r>
      <w:proofErr w:type="spellEnd"/>
      <w:r w:rsidRPr="000D3673">
        <w:rPr>
          <w:rFonts w:cs="Arial"/>
          <w:szCs w:val="24"/>
        </w:rPr>
        <w:t>. Morris and Lilly who remained as trustees did not see the need to appoint another trustee despite t</w:t>
      </w:r>
      <w:r w:rsidR="006C4664">
        <w:rPr>
          <w:rFonts w:cs="Arial"/>
          <w:szCs w:val="24"/>
        </w:rPr>
        <w:t>he requirement in terms of the Trust D</w:t>
      </w:r>
      <w:r w:rsidRPr="000D3673">
        <w:rPr>
          <w:rFonts w:cs="Arial"/>
          <w:szCs w:val="24"/>
        </w:rPr>
        <w:t>eed to do so.</w:t>
      </w:r>
      <w:r w:rsidRPr="000D3673">
        <w:rPr>
          <w:rFonts w:cs="Arial"/>
          <w:szCs w:val="24"/>
        </w:rPr>
        <w:tab/>
      </w:r>
      <w:r w:rsidRPr="000D3673">
        <w:rPr>
          <w:rFonts w:cs="Arial"/>
          <w:szCs w:val="24"/>
        </w:rPr>
        <w:tab/>
      </w:r>
    </w:p>
    <w:p w:rsidR="00BB79E2" w:rsidRPr="000D3673" w:rsidRDefault="00BB79E2" w:rsidP="00BB79E2">
      <w:pPr>
        <w:pStyle w:val="1"/>
        <w:rPr>
          <w:rFonts w:cs="Arial"/>
          <w:szCs w:val="24"/>
        </w:rPr>
      </w:pPr>
      <w:r w:rsidRPr="000D3673">
        <w:rPr>
          <w:rFonts w:cs="Arial"/>
          <w:szCs w:val="24"/>
        </w:rPr>
        <w:t>[19] After Henry’s death Lilly was maintained thr</w:t>
      </w:r>
      <w:r w:rsidR="006C4664">
        <w:rPr>
          <w:rFonts w:cs="Arial"/>
          <w:szCs w:val="24"/>
        </w:rPr>
        <w:t>ough dividends declared to the T</w:t>
      </w:r>
      <w:r w:rsidR="005363EE">
        <w:rPr>
          <w:rFonts w:cs="Arial"/>
          <w:szCs w:val="24"/>
        </w:rPr>
        <w:t>rust from N</w:t>
      </w:r>
      <w:r w:rsidRPr="000D3673">
        <w:rPr>
          <w:rFonts w:cs="Arial"/>
          <w:szCs w:val="24"/>
        </w:rPr>
        <w:t xml:space="preserve">orth </w:t>
      </w:r>
      <w:proofErr w:type="spellStart"/>
      <w:r w:rsidRPr="000D3673">
        <w:rPr>
          <w:rFonts w:cs="Arial"/>
          <w:szCs w:val="24"/>
        </w:rPr>
        <w:t>Atherstone</w:t>
      </w:r>
      <w:proofErr w:type="spellEnd"/>
      <w:r w:rsidR="006C4664">
        <w:rPr>
          <w:rFonts w:cs="Arial"/>
          <w:szCs w:val="24"/>
        </w:rPr>
        <w:t xml:space="preserve"> together with</w:t>
      </w:r>
      <w:r w:rsidRPr="000D3673">
        <w:rPr>
          <w:rFonts w:cs="Arial"/>
          <w:szCs w:val="24"/>
        </w:rPr>
        <w:t xml:space="preserve"> a salary. No dividends were paid to her after 2010 but she continued to receive a salary and occupy on</w:t>
      </w:r>
      <w:r w:rsidR="006C4664">
        <w:rPr>
          <w:rFonts w:cs="Arial"/>
          <w:szCs w:val="24"/>
        </w:rPr>
        <w:t>e</w:t>
      </w:r>
      <w:r w:rsidRPr="000D3673">
        <w:rPr>
          <w:rFonts w:cs="Arial"/>
          <w:szCs w:val="24"/>
        </w:rPr>
        <w:t xml:space="preserve"> of the flats rent free.</w:t>
      </w:r>
      <w:r w:rsidRPr="000D3673">
        <w:rPr>
          <w:rFonts w:cs="Arial"/>
          <w:szCs w:val="24"/>
        </w:rPr>
        <w:tab/>
      </w:r>
      <w:r w:rsidRPr="000D3673">
        <w:rPr>
          <w:rFonts w:cs="Arial"/>
          <w:szCs w:val="24"/>
        </w:rPr>
        <w:tab/>
      </w:r>
      <w:r w:rsidRPr="000D3673">
        <w:rPr>
          <w:rFonts w:cs="Arial"/>
          <w:szCs w:val="24"/>
        </w:rPr>
        <w:tab/>
      </w:r>
      <w:r w:rsidRPr="000D3673">
        <w:rPr>
          <w:rFonts w:cs="Arial"/>
          <w:szCs w:val="24"/>
        </w:rPr>
        <w:tab/>
      </w:r>
      <w:r w:rsidRPr="000D3673">
        <w:rPr>
          <w:rFonts w:cs="Arial"/>
          <w:szCs w:val="24"/>
        </w:rPr>
        <w:tab/>
      </w:r>
    </w:p>
    <w:p w:rsidR="00BB79E2" w:rsidRPr="000D3673" w:rsidRDefault="00BB79E2" w:rsidP="00070F5E">
      <w:pPr>
        <w:pStyle w:val="1"/>
        <w:rPr>
          <w:rFonts w:cs="Arial"/>
          <w:szCs w:val="24"/>
        </w:rPr>
      </w:pPr>
      <w:r w:rsidRPr="000D3673">
        <w:rPr>
          <w:rFonts w:cs="Arial"/>
          <w:szCs w:val="24"/>
        </w:rPr>
        <w:t xml:space="preserve">[20] </w:t>
      </w:r>
      <w:r w:rsidR="00070F5E" w:rsidRPr="000D3673">
        <w:rPr>
          <w:rFonts w:cs="Arial"/>
          <w:szCs w:val="24"/>
        </w:rPr>
        <w:t xml:space="preserve">  </w:t>
      </w:r>
      <w:r w:rsidRPr="000D3673">
        <w:rPr>
          <w:rFonts w:cs="Arial"/>
          <w:szCs w:val="24"/>
        </w:rPr>
        <w:t>Even though Lilly was the sole director of</w:t>
      </w:r>
      <w:r w:rsidR="00691F22">
        <w:rPr>
          <w:rFonts w:cs="Arial"/>
          <w:szCs w:val="24"/>
        </w:rPr>
        <w:t xml:space="preserve"> North</w:t>
      </w:r>
      <w:r w:rsidRPr="000D3673">
        <w:rPr>
          <w:rFonts w:cs="Arial"/>
          <w:szCs w:val="24"/>
        </w:rPr>
        <w:t xml:space="preserve"> </w:t>
      </w:r>
      <w:proofErr w:type="spellStart"/>
      <w:r w:rsidRPr="000D3673">
        <w:rPr>
          <w:rFonts w:cs="Arial"/>
          <w:szCs w:val="24"/>
        </w:rPr>
        <w:t>Atherstone</w:t>
      </w:r>
      <w:proofErr w:type="spellEnd"/>
      <w:r w:rsidRPr="000D3673">
        <w:rPr>
          <w:rFonts w:cs="Arial"/>
          <w:szCs w:val="24"/>
        </w:rPr>
        <w:t>, she delegated her authority and responsibilities regard</w:t>
      </w:r>
      <w:r w:rsidR="00691F22">
        <w:rPr>
          <w:rFonts w:cs="Arial"/>
          <w:szCs w:val="24"/>
        </w:rPr>
        <w:t>ing the management of the company</w:t>
      </w:r>
      <w:r w:rsidR="005363EE">
        <w:rPr>
          <w:rFonts w:cs="Arial"/>
          <w:szCs w:val="24"/>
        </w:rPr>
        <w:t xml:space="preserve"> to Ronald through a General Power of A</w:t>
      </w:r>
      <w:r w:rsidR="00070F5E" w:rsidRPr="000D3673">
        <w:rPr>
          <w:rFonts w:cs="Arial"/>
          <w:szCs w:val="24"/>
        </w:rPr>
        <w:t>ttorney.</w:t>
      </w:r>
      <w:r w:rsidRPr="000D3673">
        <w:rPr>
          <w:rFonts w:cs="Arial"/>
          <w:szCs w:val="24"/>
        </w:rPr>
        <w:tab/>
      </w:r>
      <w:r w:rsidRPr="000D3673">
        <w:rPr>
          <w:rFonts w:cs="Arial"/>
          <w:szCs w:val="24"/>
        </w:rPr>
        <w:tab/>
      </w:r>
      <w:r w:rsidRPr="000D3673">
        <w:rPr>
          <w:rFonts w:cs="Arial"/>
          <w:szCs w:val="24"/>
        </w:rPr>
        <w:tab/>
      </w:r>
      <w:r w:rsidRPr="000D3673">
        <w:rPr>
          <w:rFonts w:cs="Arial"/>
          <w:szCs w:val="24"/>
        </w:rPr>
        <w:tab/>
      </w:r>
    </w:p>
    <w:p w:rsidR="00BB79E2" w:rsidRPr="000D3673" w:rsidRDefault="00070F5E" w:rsidP="00070F5E">
      <w:pPr>
        <w:pStyle w:val="1"/>
        <w:rPr>
          <w:rFonts w:cs="Arial"/>
          <w:szCs w:val="24"/>
        </w:rPr>
      </w:pPr>
      <w:r w:rsidRPr="000D3673">
        <w:rPr>
          <w:rFonts w:cs="Arial"/>
          <w:szCs w:val="24"/>
        </w:rPr>
        <w:t>[21]    Lilly</w:t>
      </w:r>
      <w:r w:rsidR="00BB79E2" w:rsidRPr="000D3673">
        <w:rPr>
          <w:rFonts w:cs="Arial"/>
          <w:szCs w:val="24"/>
        </w:rPr>
        <w:t xml:space="preserve"> passed away on 5 May 2017 and on that same day Morris appointed Ronald as a director of </w:t>
      </w:r>
      <w:r w:rsidR="00691F22">
        <w:rPr>
          <w:rFonts w:cs="Arial"/>
          <w:szCs w:val="24"/>
        </w:rPr>
        <w:t xml:space="preserve">North </w:t>
      </w:r>
      <w:proofErr w:type="spellStart"/>
      <w:r w:rsidR="00BB79E2" w:rsidRPr="000D3673">
        <w:rPr>
          <w:rFonts w:cs="Arial"/>
          <w:szCs w:val="24"/>
        </w:rPr>
        <w:t>Atherstone</w:t>
      </w:r>
      <w:proofErr w:type="spellEnd"/>
      <w:r w:rsidR="00BB79E2" w:rsidRPr="000D3673">
        <w:rPr>
          <w:rFonts w:cs="Arial"/>
          <w:szCs w:val="24"/>
        </w:rPr>
        <w:t xml:space="preserve"> f</w:t>
      </w:r>
      <w:r w:rsidRPr="000D3673">
        <w:rPr>
          <w:rFonts w:cs="Arial"/>
          <w:szCs w:val="24"/>
        </w:rPr>
        <w:t xml:space="preserve">or which he was remunerated.   </w:t>
      </w:r>
      <w:r w:rsidRPr="000D3673">
        <w:rPr>
          <w:rFonts w:cs="Arial"/>
          <w:szCs w:val="24"/>
        </w:rPr>
        <w:tab/>
      </w:r>
      <w:r w:rsidR="00BB79E2" w:rsidRPr="000D3673">
        <w:rPr>
          <w:rFonts w:cs="Arial"/>
          <w:szCs w:val="24"/>
        </w:rPr>
        <w:tab/>
      </w:r>
      <w:r w:rsidR="00BB79E2" w:rsidRPr="000D3673">
        <w:rPr>
          <w:rFonts w:cs="Arial"/>
          <w:szCs w:val="24"/>
        </w:rPr>
        <w:tab/>
      </w:r>
    </w:p>
    <w:p w:rsidR="00BB79E2" w:rsidRPr="000D3673" w:rsidRDefault="00070F5E" w:rsidP="00E059F9">
      <w:pPr>
        <w:pStyle w:val="1"/>
        <w:rPr>
          <w:rFonts w:cs="Arial"/>
          <w:szCs w:val="24"/>
        </w:rPr>
      </w:pPr>
      <w:r w:rsidRPr="000D3673">
        <w:rPr>
          <w:rFonts w:cs="Arial"/>
          <w:szCs w:val="24"/>
        </w:rPr>
        <w:t>[22] On</w:t>
      </w:r>
      <w:r w:rsidR="00BB79E2" w:rsidRPr="000D3673">
        <w:rPr>
          <w:rFonts w:cs="Arial"/>
          <w:szCs w:val="24"/>
        </w:rPr>
        <w:t xml:space="preserve"> 24 October 201</w:t>
      </w:r>
      <w:r w:rsidR="00691F22">
        <w:rPr>
          <w:rFonts w:cs="Arial"/>
          <w:szCs w:val="24"/>
        </w:rPr>
        <w:t>7 a resolution was ado</w:t>
      </w:r>
      <w:r w:rsidR="00BB79E2" w:rsidRPr="000D3673">
        <w:rPr>
          <w:rFonts w:cs="Arial"/>
          <w:szCs w:val="24"/>
        </w:rPr>
        <w:t>pted by Morris approving the appointment of Hilto</w:t>
      </w:r>
      <w:r w:rsidR="005363EE">
        <w:rPr>
          <w:rFonts w:cs="Arial"/>
          <w:szCs w:val="24"/>
        </w:rPr>
        <w:t>n and Suzan as trustees of the T</w:t>
      </w:r>
      <w:r w:rsidR="00BB79E2" w:rsidRPr="000D3673">
        <w:rPr>
          <w:rFonts w:cs="Arial"/>
          <w:szCs w:val="24"/>
        </w:rPr>
        <w:t>rust. Both Hilton and Suzan were signatories thereto, unti</w:t>
      </w:r>
      <w:r w:rsidR="00691F22">
        <w:rPr>
          <w:rFonts w:cs="Arial"/>
          <w:szCs w:val="24"/>
        </w:rPr>
        <w:t>l this application was launched. N</w:t>
      </w:r>
      <w:r w:rsidR="00BB79E2" w:rsidRPr="000D3673">
        <w:rPr>
          <w:rFonts w:cs="Arial"/>
          <w:szCs w:val="24"/>
        </w:rPr>
        <w:t>o new letters of authority had been issued by the Masters office conferring the said appointments.</w:t>
      </w:r>
    </w:p>
    <w:p w:rsidR="00BB79E2" w:rsidRPr="000D3673" w:rsidRDefault="00070F5E" w:rsidP="00BB79E2">
      <w:pPr>
        <w:pStyle w:val="1"/>
        <w:rPr>
          <w:rFonts w:cs="Arial"/>
          <w:szCs w:val="24"/>
        </w:rPr>
      </w:pPr>
      <w:r w:rsidRPr="000D3673">
        <w:rPr>
          <w:rFonts w:cs="Arial"/>
          <w:szCs w:val="24"/>
        </w:rPr>
        <w:t>[23]   It</w:t>
      </w:r>
      <w:r w:rsidR="00BB79E2" w:rsidRPr="000D3673">
        <w:rPr>
          <w:rFonts w:cs="Arial"/>
          <w:szCs w:val="24"/>
        </w:rPr>
        <w:t xml:space="preserve"> is the applicants’ contention that after their mother’s death, they were not kept </w:t>
      </w:r>
      <w:r w:rsidR="00691F22">
        <w:rPr>
          <w:rFonts w:cs="Arial"/>
          <w:szCs w:val="24"/>
        </w:rPr>
        <w:t>informed of the affairs of the T</w:t>
      </w:r>
      <w:r w:rsidR="00BB79E2" w:rsidRPr="000D3673">
        <w:rPr>
          <w:rFonts w:cs="Arial"/>
          <w:szCs w:val="24"/>
        </w:rPr>
        <w:t xml:space="preserve">rust and North </w:t>
      </w:r>
      <w:proofErr w:type="spellStart"/>
      <w:r w:rsidR="00BB79E2" w:rsidRPr="000D3673">
        <w:rPr>
          <w:rFonts w:cs="Arial"/>
          <w:szCs w:val="24"/>
        </w:rPr>
        <w:t>Atherstone</w:t>
      </w:r>
      <w:proofErr w:type="spellEnd"/>
      <w:r w:rsidR="00BB79E2" w:rsidRPr="000D3673">
        <w:rPr>
          <w:rFonts w:cs="Arial"/>
          <w:szCs w:val="24"/>
        </w:rPr>
        <w:t xml:space="preserve"> whilst Morris holds a </w:t>
      </w:r>
      <w:r w:rsidR="00BB79E2" w:rsidRPr="000D3673">
        <w:rPr>
          <w:rFonts w:cs="Arial"/>
          <w:szCs w:val="24"/>
        </w:rPr>
        <w:lastRenderedPageBreak/>
        <w:t>view to the contrary.</w:t>
      </w:r>
    </w:p>
    <w:p w:rsidR="00BB79E2" w:rsidRPr="000D3673" w:rsidRDefault="002153A4" w:rsidP="00070F5E">
      <w:pPr>
        <w:pStyle w:val="1"/>
        <w:rPr>
          <w:rFonts w:cs="Arial"/>
          <w:b/>
          <w:szCs w:val="24"/>
        </w:rPr>
      </w:pPr>
      <w:r w:rsidRPr="000D3673">
        <w:rPr>
          <w:rFonts w:cs="Arial"/>
          <w:b/>
          <w:szCs w:val="24"/>
        </w:rPr>
        <w:t>THE DISTRIBUTION EVENT</w:t>
      </w:r>
    </w:p>
    <w:p w:rsidR="00BB79E2" w:rsidRPr="000D3673" w:rsidRDefault="00070F5E" w:rsidP="00070F5E">
      <w:pPr>
        <w:pStyle w:val="1"/>
        <w:rPr>
          <w:rFonts w:cs="Arial"/>
          <w:szCs w:val="24"/>
        </w:rPr>
      </w:pPr>
      <w:r w:rsidRPr="000D3673">
        <w:rPr>
          <w:rFonts w:cs="Arial"/>
          <w:szCs w:val="24"/>
        </w:rPr>
        <w:t xml:space="preserve">[24] </w:t>
      </w:r>
      <w:r w:rsidR="00BB79E2" w:rsidRPr="000D3673">
        <w:rPr>
          <w:rFonts w:cs="Arial"/>
          <w:szCs w:val="24"/>
        </w:rPr>
        <w:t>The distribution event ought to have occurred six months after Lilly</w:t>
      </w:r>
      <w:r w:rsidR="00691F22">
        <w:rPr>
          <w:rFonts w:cs="Arial"/>
          <w:szCs w:val="24"/>
        </w:rPr>
        <w:t>’s death in terms of the Trust D</w:t>
      </w:r>
      <w:r w:rsidR="00BB79E2" w:rsidRPr="000D3673">
        <w:rPr>
          <w:rFonts w:cs="Arial"/>
          <w:szCs w:val="24"/>
        </w:rPr>
        <w:t xml:space="preserve">eed. According to </w:t>
      </w:r>
      <w:r w:rsidR="00BB79E2" w:rsidRPr="00691F22">
        <w:rPr>
          <w:rFonts w:cs="Arial"/>
          <w:i/>
          <w:szCs w:val="24"/>
        </w:rPr>
        <w:t>Morris,</w:t>
      </w:r>
      <w:r w:rsidR="00BB79E2" w:rsidRPr="000D3673">
        <w:rPr>
          <w:rFonts w:cs="Arial"/>
          <w:szCs w:val="24"/>
        </w:rPr>
        <w:t xml:space="preserve"> this was because there was no agreement between the beneficiaries as to whether the block of flats had to be retained until it had been refurbished or put on the market i</w:t>
      </w:r>
      <w:r w:rsidRPr="000D3673">
        <w:rPr>
          <w:rFonts w:cs="Arial"/>
          <w:szCs w:val="24"/>
        </w:rPr>
        <w:t>n order to</w:t>
      </w:r>
      <w:r w:rsidR="00770B1C">
        <w:rPr>
          <w:rFonts w:cs="Arial"/>
          <w:szCs w:val="24"/>
        </w:rPr>
        <w:t xml:space="preserve"> establish</w:t>
      </w:r>
      <w:r w:rsidRPr="000D3673">
        <w:rPr>
          <w:rFonts w:cs="Arial"/>
          <w:szCs w:val="24"/>
        </w:rPr>
        <w:t xml:space="preserve"> its value.</w:t>
      </w:r>
    </w:p>
    <w:p w:rsidR="00BB79E2" w:rsidRPr="000D3673" w:rsidRDefault="00070F5E" w:rsidP="00070F5E">
      <w:pPr>
        <w:pStyle w:val="1"/>
        <w:rPr>
          <w:rFonts w:cs="Arial"/>
          <w:szCs w:val="24"/>
        </w:rPr>
      </w:pPr>
      <w:r w:rsidRPr="000D3673">
        <w:rPr>
          <w:rFonts w:cs="Arial"/>
          <w:szCs w:val="24"/>
        </w:rPr>
        <w:t>[25]   A</w:t>
      </w:r>
      <w:r w:rsidR="00BB79E2" w:rsidRPr="000D3673">
        <w:rPr>
          <w:rFonts w:cs="Arial"/>
          <w:szCs w:val="24"/>
        </w:rPr>
        <w:t xml:space="preserve"> valua</w:t>
      </w:r>
      <w:r w:rsidR="00691F22">
        <w:rPr>
          <w:rFonts w:cs="Arial"/>
          <w:szCs w:val="24"/>
        </w:rPr>
        <w:t xml:space="preserve">tion was obtained from </w:t>
      </w:r>
      <w:r w:rsidR="00691F22" w:rsidRPr="00691F22">
        <w:rPr>
          <w:rFonts w:cs="Arial"/>
          <w:i/>
          <w:szCs w:val="24"/>
        </w:rPr>
        <w:t>Van Wyk and</w:t>
      </w:r>
      <w:r w:rsidR="00BB79E2" w:rsidRPr="00691F22">
        <w:rPr>
          <w:rFonts w:cs="Arial"/>
          <w:i/>
          <w:szCs w:val="24"/>
        </w:rPr>
        <w:t xml:space="preserve"> </w:t>
      </w:r>
      <w:proofErr w:type="spellStart"/>
      <w:r w:rsidR="00BB79E2" w:rsidRPr="00691F22">
        <w:rPr>
          <w:rFonts w:cs="Arial"/>
          <w:i/>
          <w:szCs w:val="24"/>
        </w:rPr>
        <w:t>Tugman</w:t>
      </w:r>
      <w:proofErr w:type="spellEnd"/>
      <w:r w:rsidR="00BB79E2" w:rsidRPr="00691F22">
        <w:rPr>
          <w:rFonts w:cs="Arial"/>
          <w:i/>
          <w:szCs w:val="24"/>
        </w:rPr>
        <w:t xml:space="preserve"> (Pty) Ltd</w:t>
      </w:r>
      <w:r w:rsidR="00BB79E2" w:rsidRPr="000D3673">
        <w:rPr>
          <w:rFonts w:cs="Arial"/>
          <w:szCs w:val="24"/>
        </w:rPr>
        <w:t xml:space="preserve"> in September 2017 valuing the block of flats at R 19 200 000 together with a recommendation that the refurbishment be completed to incr</w:t>
      </w:r>
      <w:r w:rsidRPr="000D3673">
        <w:rPr>
          <w:rFonts w:cs="Arial"/>
          <w:szCs w:val="24"/>
        </w:rPr>
        <w:t>ease the value of the property.</w:t>
      </w:r>
    </w:p>
    <w:p w:rsidR="00BB79E2" w:rsidRPr="000D3673" w:rsidRDefault="00070F5E" w:rsidP="00BB79E2">
      <w:pPr>
        <w:pStyle w:val="1"/>
        <w:rPr>
          <w:rFonts w:cs="Arial"/>
          <w:szCs w:val="24"/>
        </w:rPr>
      </w:pPr>
      <w:r w:rsidRPr="000D3673">
        <w:rPr>
          <w:rFonts w:cs="Arial"/>
          <w:szCs w:val="24"/>
        </w:rPr>
        <w:t>[26] To</w:t>
      </w:r>
      <w:r w:rsidR="00BB79E2" w:rsidRPr="000D3673">
        <w:rPr>
          <w:rFonts w:cs="Arial"/>
          <w:szCs w:val="24"/>
        </w:rPr>
        <w:t xml:space="preserve"> facilitate handing over the flats to Suzan and Ronald and the Applicants receiving their distribution of the Trust capital M</w:t>
      </w:r>
      <w:r w:rsidR="00026124">
        <w:rPr>
          <w:rFonts w:cs="Arial"/>
          <w:szCs w:val="24"/>
        </w:rPr>
        <w:t>orris and Ronald and the applicants</w:t>
      </w:r>
      <w:r w:rsidR="00BB79E2" w:rsidRPr="000D3673">
        <w:rPr>
          <w:rFonts w:cs="Arial"/>
          <w:szCs w:val="24"/>
        </w:rPr>
        <w:t xml:space="preserve"> accepted that the company would purchase a portion of its own shares from the Trust. The proceeds would then be used to pay the Trust capital in the sum of $366 690 each, </w:t>
      </w:r>
      <w:r w:rsidR="00026124" w:rsidRPr="000D3673">
        <w:rPr>
          <w:rFonts w:cs="Arial"/>
          <w:szCs w:val="24"/>
        </w:rPr>
        <w:t>net</w:t>
      </w:r>
      <w:r w:rsidR="00BB79E2" w:rsidRPr="000D3673">
        <w:rPr>
          <w:rFonts w:cs="Arial"/>
          <w:szCs w:val="24"/>
        </w:rPr>
        <w:t xml:space="preserve"> of tax, upon receipt of which, the applicants would renounce their rights as beneficiaries and only Suzan would remain as a beneficiary.</w:t>
      </w:r>
    </w:p>
    <w:p w:rsidR="00BB79E2" w:rsidRPr="000D3673" w:rsidRDefault="00BB79E2" w:rsidP="00BB79E2">
      <w:pPr>
        <w:pStyle w:val="1"/>
        <w:rPr>
          <w:rFonts w:cs="Arial"/>
          <w:szCs w:val="24"/>
        </w:rPr>
      </w:pPr>
      <w:r w:rsidRPr="000D3673">
        <w:rPr>
          <w:rFonts w:cs="Arial"/>
          <w:szCs w:val="24"/>
        </w:rPr>
        <w:tab/>
      </w:r>
      <w:r w:rsidRPr="000D3673">
        <w:rPr>
          <w:rFonts w:cs="Arial"/>
          <w:szCs w:val="24"/>
        </w:rPr>
        <w:tab/>
      </w:r>
      <w:r w:rsidRPr="000D3673">
        <w:rPr>
          <w:rFonts w:cs="Arial"/>
          <w:szCs w:val="24"/>
        </w:rPr>
        <w:tab/>
      </w:r>
      <w:r w:rsidRPr="000D3673">
        <w:rPr>
          <w:rFonts w:cs="Arial"/>
          <w:szCs w:val="24"/>
        </w:rPr>
        <w:tab/>
      </w:r>
      <w:r w:rsidRPr="000D3673">
        <w:rPr>
          <w:rFonts w:cs="Arial"/>
          <w:szCs w:val="24"/>
        </w:rPr>
        <w:tab/>
      </w:r>
    </w:p>
    <w:p w:rsidR="00070F5E" w:rsidRPr="000D3673" w:rsidRDefault="00070F5E" w:rsidP="00070F5E">
      <w:pPr>
        <w:pStyle w:val="1"/>
        <w:ind w:left="0" w:firstLine="0"/>
        <w:rPr>
          <w:rFonts w:cs="Arial"/>
          <w:szCs w:val="24"/>
        </w:rPr>
      </w:pPr>
    </w:p>
    <w:p w:rsidR="00070F5E" w:rsidRPr="000D3673" w:rsidRDefault="00070F5E" w:rsidP="00BB79E2">
      <w:pPr>
        <w:pStyle w:val="1"/>
        <w:rPr>
          <w:rFonts w:cs="Arial"/>
          <w:szCs w:val="24"/>
        </w:rPr>
      </w:pPr>
    </w:p>
    <w:p w:rsidR="00BB79E2" w:rsidRPr="000D3673" w:rsidRDefault="00070F5E" w:rsidP="00070F5E">
      <w:pPr>
        <w:pStyle w:val="1"/>
        <w:rPr>
          <w:rFonts w:cs="Arial"/>
          <w:szCs w:val="24"/>
        </w:rPr>
      </w:pPr>
      <w:r w:rsidRPr="000D3673">
        <w:rPr>
          <w:rFonts w:cs="Arial"/>
          <w:szCs w:val="24"/>
        </w:rPr>
        <w:lastRenderedPageBreak/>
        <w:t>[27</w:t>
      </w:r>
      <w:r w:rsidR="002153A4" w:rsidRPr="000D3673">
        <w:rPr>
          <w:rFonts w:cs="Arial"/>
          <w:szCs w:val="24"/>
        </w:rPr>
        <w:t>] On</w:t>
      </w:r>
      <w:r w:rsidR="00BB79E2" w:rsidRPr="000D3673">
        <w:rPr>
          <w:rFonts w:cs="Arial"/>
          <w:szCs w:val="24"/>
        </w:rPr>
        <w:t xml:space="preserve"> the 12 F</w:t>
      </w:r>
      <w:r w:rsidR="006011EF">
        <w:rPr>
          <w:rFonts w:cs="Arial"/>
          <w:szCs w:val="24"/>
        </w:rPr>
        <w:t>ebruary 2018, Morris on behalf o</w:t>
      </w:r>
      <w:r w:rsidR="00BB79E2" w:rsidRPr="000D3673">
        <w:rPr>
          <w:rFonts w:cs="Arial"/>
          <w:szCs w:val="24"/>
        </w:rPr>
        <w:t xml:space="preserve">f the Trust concluded a sale of shares agreement with Ronald representing the company </w:t>
      </w:r>
      <w:r w:rsidR="00770B1C">
        <w:rPr>
          <w:rFonts w:cs="Arial"/>
          <w:szCs w:val="24"/>
        </w:rPr>
        <w:t>(</w:t>
      </w:r>
      <w:r w:rsidR="00BB79E2" w:rsidRPr="000D3673">
        <w:rPr>
          <w:rFonts w:cs="Arial"/>
          <w:szCs w:val="24"/>
        </w:rPr>
        <w:t>“the sale agreement”</w:t>
      </w:r>
      <w:r w:rsidR="00770B1C">
        <w:rPr>
          <w:rFonts w:cs="Arial"/>
          <w:szCs w:val="24"/>
        </w:rPr>
        <w:t>)</w:t>
      </w:r>
      <w:r w:rsidR="00BB79E2" w:rsidRPr="000D3673">
        <w:rPr>
          <w:rFonts w:cs="Arial"/>
          <w:szCs w:val="24"/>
        </w:rPr>
        <w:t xml:space="preserve"> which provided for the company to purchase two third</w:t>
      </w:r>
      <w:r w:rsidR="00026124">
        <w:rPr>
          <w:rFonts w:cs="Arial"/>
          <w:szCs w:val="24"/>
        </w:rPr>
        <w:t>s of its own share</w:t>
      </w:r>
      <w:r w:rsidR="00BB79E2" w:rsidRPr="000D3673">
        <w:rPr>
          <w:rFonts w:cs="Arial"/>
          <w:szCs w:val="24"/>
        </w:rPr>
        <w:t xml:space="preserve"> capital from the Trust at a market price to facilitate the payment of the applicants their agreed share upon which they would renounce </w:t>
      </w:r>
      <w:r w:rsidRPr="000D3673">
        <w:rPr>
          <w:rFonts w:cs="Arial"/>
          <w:szCs w:val="24"/>
        </w:rPr>
        <w:t>their benefits under the Trust.</w:t>
      </w:r>
    </w:p>
    <w:p w:rsidR="00BB79E2" w:rsidRPr="000D3673" w:rsidRDefault="00070F5E" w:rsidP="00BB79E2">
      <w:pPr>
        <w:pStyle w:val="1"/>
        <w:rPr>
          <w:rFonts w:cs="Arial"/>
          <w:szCs w:val="24"/>
        </w:rPr>
      </w:pPr>
      <w:r w:rsidRPr="000D3673">
        <w:rPr>
          <w:rFonts w:cs="Arial"/>
          <w:szCs w:val="24"/>
        </w:rPr>
        <w:t xml:space="preserve">[28]   </w:t>
      </w:r>
      <w:r w:rsidR="00BB79E2" w:rsidRPr="000D3673">
        <w:rPr>
          <w:rFonts w:cs="Arial"/>
          <w:szCs w:val="24"/>
        </w:rPr>
        <w:t>The company would raise funds to purchase its own shares by registering a bond over the block of flats</w:t>
      </w:r>
      <w:r w:rsidRPr="000D3673">
        <w:rPr>
          <w:rFonts w:cs="Arial"/>
          <w:szCs w:val="24"/>
        </w:rPr>
        <w:t>.</w:t>
      </w:r>
    </w:p>
    <w:p w:rsidR="00BB79E2" w:rsidRPr="000D3673" w:rsidRDefault="00070F5E" w:rsidP="00070F5E">
      <w:pPr>
        <w:pStyle w:val="1"/>
        <w:rPr>
          <w:rFonts w:cs="Arial"/>
          <w:szCs w:val="24"/>
        </w:rPr>
      </w:pPr>
      <w:r w:rsidRPr="000D3673">
        <w:rPr>
          <w:rFonts w:cs="Arial"/>
          <w:szCs w:val="24"/>
        </w:rPr>
        <w:t>[29] The</w:t>
      </w:r>
      <w:r w:rsidR="00BB79E2" w:rsidRPr="000D3673">
        <w:rPr>
          <w:rFonts w:cs="Arial"/>
          <w:szCs w:val="24"/>
        </w:rPr>
        <w:t xml:space="preserve"> sale agreement was subject to suspensive conditions which had to be fulfilled by the 28 February 2018. The conditions also included obtaining exchange control consent for the payment and s</w:t>
      </w:r>
      <w:r w:rsidR="00026124">
        <w:rPr>
          <w:rFonts w:cs="Arial"/>
          <w:szCs w:val="24"/>
        </w:rPr>
        <w:t>ecurity a mortgage loan from a S</w:t>
      </w:r>
      <w:r w:rsidR="00BB79E2" w:rsidRPr="000D3673">
        <w:rPr>
          <w:rFonts w:cs="Arial"/>
          <w:szCs w:val="24"/>
        </w:rPr>
        <w:t>outh African financial institution. On the 13 February 2018 Ronald sent an email to the applicants stating that t</w:t>
      </w:r>
      <w:r w:rsidR="00026124">
        <w:rPr>
          <w:rFonts w:cs="Arial"/>
          <w:szCs w:val="24"/>
        </w:rPr>
        <w:t>hey had secured the financing of</w:t>
      </w:r>
      <w:r w:rsidR="00770B1C">
        <w:rPr>
          <w:rFonts w:cs="Arial"/>
          <w:szCs w:val="24"/>
        </w:rPr>
        <w:t xml:space="preserve"> the transaction </w:t>
      </w:r>
      <w:r w:rsidR="00BB79E2" w:rsidRPr="000D3673">
        <w:rPr>
          <w:rFonts w:cs="Arial"/>
          <w:szCs w:val="24"/>
        </w:rPr>
        <w:t>and complied with all the legal requirement</w:t>
      </w:r>
      <w:r w:rsidR="00026124">
        <w:rPr>
          <w:rFonts w:cs="Arial"/>
          <w:szCs w:val="24"/>
        </w:rPr>
        <w:t>s</w:t>
      </w:r>
      <w:r w:rsidR="00BB79E2" w:rsidRPr="000D3673">
        <w:rPr>
          <w:rFonts w:cs="Arial"/>
          <w:szCs w:val="24"/>
        </w:rPr>
        <w:t xml:space="preserve"> except for a bond which was to be registered on the block of flats in approximately eight weeks.</w:t>
      </w:r>
    </w:p>
    <w:p w:rsidR="00070F5E" w:rsidRPr="000D3673" w:rsidRDefault="00070F5E" w:rsidP="0081451D">
      <w:pPr>
        <w:pStyle w:val="1"/>
        <w:rPr>
          <w:rFonts w:cs="Arial"/>
          <w:szCs w:val="24"/>
        </w:rPr>
      </w:pPr>
      <w:r w:rsidRPr="000D3673">
        <w:rPr>
          <w:rFonts w:cs="Arial"/>
          <w:szCs w:val="24"/>
        </w:rPr>
        <w:t>[30] On</w:t>
      </w:r>
      <w:r w:rsidR="00BB79E2" w:rsidRPr="000D3673">
        <w:rPr>
          <w:rFonts w:cs="Arial"/>
          <w:szCs w:val="24"/>
        </w:rPr>
        <w:t xml:space="preserve"> the 5 July 2018 he further confirmed by email that the Trust had agreed to cover all taxes relating to the transactions save taxes caused by the applicants being non-resident</w:t>
      </w:r>
      <w:r w:rsidR="00026124">
        <w:rPr>
          <w:rFonts w:cs="Arial"/>
          <w:szCs w:val="24"/>
        </w:rPr>
        <w:t>s and stating that the T</w:t>
      </w:r>
      <w:r w:rsidR="00BB79E2" w:rsidRPr="000D3673">
        <w:rPr>
          <w:rFonts w:cs="Arial"/>
          <w:szCs w:val="24"/>
        </w:rPr>
        <w:t>rust was committed to the US Dollar</w:t>
      </w:r>
      <w:r w:rsidR="00026124">
        <w:rPr>
          <w:rFonts w:cs="Arial"/>
          <w:szCs w:val="24"/>
        </w:rPr>
        <w:t xml:space="preserve"> value of the distribution even</w:t>
      </w:r>
      <w:r w:rsidR="00BB79E2" w:rsidRPr="000D3673">
        <w:rPr>
          <w:rFonts w:cs="Arial"/>
          <w:szCs w:val="24"/>
        </w:rPr>
        <w:t xml:space="preserve"> though the rand value had depreciated.</w:t>
      </w:r>
    </w:p>
    <w:p w:rsidR="00BB79E2" w:rsidRPr="000D3673" w:rsidRDefault="00070F5E" w:rsidP="00070F5E">
      <w:pPr>
        <w:pStyle w:val="1"/>
        <w:rPr>
          <w:rFonts w:cs="Arial"/>
          <w:szCs w:val="24"/>
        </w:rPr>
      </w:pPr>
      <w:r w:rsidRPr="000D3673">
        <w:rPr>
          <w:rFonts w:cs="Arial"/>
          <w:szCs w:val="24"/>
        </w:rPr>
        <w:t>[31]   On</w:t>
      </w:r>
      <w:r w:rsidR="00BB79E2" w:rsidRPr="000D3673">
        <w:rPr>
          <w:rFonts w:cs="Arial"/>
          <w:szCs w:val="24"/>
        </w:rPr>
        <w:t xml:space="preserve"> the 6 July 2018 the renunciation agreement was signed by the applicant</w:t>
      </w:r>
      <w:r w:rsidR="00026124">
        <w:rPr>
          <w:rFonts w:cs="Arial"/>
          <w:szCs w:val="24"/>
        </w:rPr>
        <w:t>s</w:t>
      </w:r>
      <w:r w:rsidR="00BB79E2" w:rsidRPr="000D3673">
        <w:rPr>
          <w:rFonts w:cs="Arial"/>
          <w:szCs w:val="24"/>
        </w:rPr>
        <w:t>. The agreement recorded that the beneficiaries would irrevocably waive their benefits in the Trust in exchange for payment of the distribution amount in the sum of US $733 380 which would</w:t>
      </w:r>
      <w:r w:rsidRPr="000D3673">
        <w:rPr>
          <w:rFonts w:cs="Arial"/>
          <w:szCs w:val="24"/>
        </w:rPr>
        <w:t xml:space="preserve"> be $366 690 to each applicant.</w:t>
      </w:r>
    </w:p>
    <w:p w:rsidR="00BB79E2" w:rsidRPr="000D3673" w:rsidRDefault="00070F5E" w:rsidP="00BB79E2">
      <w:pPr>
        <w:pStyle w:val="1"/>
        <w:rPr>
          <w:rFonts w:cs="Arial"/>
          <w:szCs w:val="24"/>
        </w:rPr>
      </w:pPr>
      <w:r w:rsidRPr="000D3673">
        <w:rPr>
          <w:rFonts w:cs="Arial"/>
          <w:szCs w:val="24"/>
        </w:rPr>
        <w:lastRenderedPageBreak/>
        <w:t>[32]   Morris</w:t>
      </w:r>
      <w:r w:rsidR="00BB79E2" w:rsidRPr="000D3673">
        <w:rPr>
          <w:rFonts w:cs="Arial"/>
          <w:szCs w:val="24"/>
        </w:rPr>
        <w:t xml:space="preserve"> and Ronald were working jointly to get Nedbank to obtain clearance from the South African Reserve Bank (“SARB”) for the payment in dollar</w:t>
      </w:r>
      <w:r w:rsidR="00067688">
        <w:rPr>
          <w:rFonts w:cs="Arial"/>
          <w:szCs w:val="24"/>
        </w:rPr>
        <w:t>s.</w:t>
      </w:r>
    </w:p>
    <w:p w:rsidR="00BB79E2" w:rsidRPr="000D3673" w:rsidRDefault="00070F5E" w:rsidP="00BB79E2">
      <w:pPr>
        <w:pStyle w:val="1"/>
        <w:rPr>
          <w:rFonts w:cs="Arial"/>
          <w:szCs w:val="24"/>
        </w:rPr>
      </w:pPr>
      <w:r w:rsidRPr="000D3673">
        <w:rPr>
          <w:rFonts w:cs="Arial"/>
          <w:szCs w:val="24"/>
        </w:rPr>
        <w:t xml:space="preserve">[33]    </w:t>
      </w:r>
      <w:r w:rsidR="00BB79E2" w:rsidRPr="000D3673">
        <w:rPr>
          <w:rFonts w:cs="Arial"/>
          <w:szCs w:val="24"/>
        </w:rPr>
        <w:t>On 6 September 2018 Ronald responded to a completed application by Nedbank pointing out that the amount written by Nedbank was incorrect as it reflected “ZAR” and not “US $”. Instead of explaining that “ZAR” should be altered to “US $”, he instructed that the amount be changed to ZAR 9 357 928. This was a total about turn given the assurance he had given earlier to the applicants.</w:t>
      </w:r>
    </w:p>
    <w:p w:rsidR="00BB79E2" w:rsidRPr="000D3673" w:rsidRDefault="00070F5E" w:rsidP="00070F5E">
      <w:pPr>
        <w:pStyle w:val="1"/>
        <w:rPr>
          <w:rFonts w:cs="Arial"/>
          <w:szCs w:val="24"/>
        </w:rPr>
      </w:pPr>
      <w:r w:rsidRPr="000D3673">
        <w:rPr>
          <w:rFonts w:cs="Arial"/>
          <w:szCs w:val="24"/>
        </w:rPr>
        <w:t xml:space="preserve">[34]   </w:t>
      </w:r>
      <w:r w:rsidR="00BB79E2" w:rsidRPr="000D3673">
        <w:rPr>
          <w:rFonts w:cs="Arial"/>
          <w:szCs w:val="24"/>
        </w:rPr>
        <w:t>Even though it seemed all was on track for the applicants to receive their distribution, there is conflicting evidence between the applicants and Morris as to whether SARB approved the transactio</w:t>
      </w:r>
      <w:r w:rsidR="0081451D">
        <w:rPr>
          <w:rFonts w:cs="Arial"/>
          <w:szCs w:val="24"/>
        </w:rPr>
        <w:t>n and payment to the applicants. T</w:t>
      </w:r>
      <w:r w:rsidR="00BB79E2" w:rsidRPr="000D3673">
        <w:rPr>
          <w:rFonts w:cs="Arial"/>
          <w:szCs w:val="24"/>
        </w:rPr>
        <w:t xml:space="preserve">he applicants allege that SARB did approve such </w:t>
      </w:r>
      <w:r w:rsidRPr="000D3673">
        <w:rPr>
          <w:rFonts w:cs="Arial"/>
          <w:szCs w:val="24"/>
        </w:rPr>
        <w:t>payment on 7 September 2018</w:t>
      </w:r>
      <w:r w:rsidR="002153A4" w:rsidRPr="000D3673">
        <w:rPr>
          <w:rFonts w:cs="Arial"/>
          <w:szCs w:val="24"/>
        </w:rPr>
        <w:t>.</w:t>
      </w:r>
      <w:r w:rsidR="00BB79E2" w:rsidRPr="000D3673">
        <w:rPr>
          <w:rFonts w:cs="Arial"/>
          <w:szCs w:val="24"/>
        </w:rPr>
        <w:tab/>
      </w:r>
      <w:r w:rsidR="00BB79E2" w:rsidRPr="000D3673">
        <w:rPr>
          <w:rFonts w:cs="Arial"/>
          <w:szCs w:val="24"/>
        </w:rPr>
        <w:tab/>
      </w:r>
    </w:p>
    <w:p w:rsidR="00BB79E2" w:rsidRPr="000D3673" w:rsidRDefault="00070F5E" w:rsidP="00BB79E2">
      <w:pPr>
        <w:pStyle w:val="1"/>
        <w:rPr>
          <w:rFonts w:cs="Arial"/>
          <w:szCs w:val="24"/>
        </w:rPr>
      </w:pPr>
      <w:r w:rsidRPr="000D3673">
        <w:rPr>
          <w:rFonts w:cs="Arial"/>
          <w:szCs w:val="24"/>
        </w:rPr>
        <w:t>[35] Be</w:t>
      </w:r>
      <w:r w:rsidR="00BB79E2" w:rsidRPr="000D3673">
        <w:rPr>
          <w:rFonts w:cs="Arial"/>
          <w:szCs w:val="24"/>
        </w:rPr>
        <w:t xml:space="preserve"> that as it may, there was a sudden change of events, after a consultation between Ronald and Morris’s attorney, Allschwang, the latter sent a</w:t>
      </w:r>
      <w:r w:rsidR="0081451D">
        <w:rPr>
          <w:rFonts w:cs="Arial"/>
          <w:szCs w:val="24"/>
        </w:rPr>
        <w:t xml:space="preserve"> letter to the trustees </w:t>
      </w:r>
      <w:r w:rsidR="00BB79E2" w:rsidRPr="000D3673">
        <w:rPr>
          <w:rFonts w:cs="Arial"/>
          <w:szCs w:val="24"/>
        </w:rPr>
        <w:t xml:space="preserve">advising that the sale agreement was void </w:t>
      </w:r>
      <w:r w:rsidR="00BB79E2" w:rsidRPr="0081451D">
        <w:rPr>
          <w:rFonts w:cs="Arial"/>
          <w:i/>
          <w:szCs w:val="24"/>
        </w:rPr>
        <w:t xml:space="preserve">ab initio </w:t>
      </w:r>
      <w:r w:rsidR="0081451D">
        <w:rPr>
          <w:rFonts w:cs="Arial"/>
          <w:szCs w:val="24"/>
        </w:rPr>
        <w:t>because of</w:t>
      </w:r>
      <w:r w:rsidR="00BB79E2" w:rsidRPr="000D3673">
        <w:rPr>
          <w:rFonts w:cs="Arial"/>
          <w:szCs w:val="24"/>
        </w:rPr>
        <w:t xml:space="preserve"> non-fulfilment of suspensive condition</w:t>
      </w:r>
      <w:r w:rsidR="0081451D">
        <w:rPr>
          <w:rFonts w:cs="Arial"/>
          <w:szCs w:val="24"/>
        </w:rPr>
        <w:t>s</w:t>
      </w:r>
      <w:r w:rsidR="00BB79E2" w:rsidRPr="000D3673">
        <w:rPr>
          <w:rFonts w:cs="Arial"/>
          <w:szCs w:val="24"/>
        </w:rPr>
        <w:t xml:space="preserve"> and advising the trustees to conclude a new agreement, where the amount to be paid would be reflected in ZAR and not in US $.</w:t>
      </w:r>
    </w:p>
    <w:p w:rsidR="00BB79E2" w:rsidRPr="000D3673" w:rsidRDefault="002153A4" w:rsidP="009B0BDA">
      <w:pPr>
        <w:pStyle w:val="1"/>
        <w:rPr>
          <w:rFonts w:cs="Arial"/>
          <w:b/>
          <w:szCs w:val="24"/>
        </w:rPr>
      </w:pPr>
      <w:r w:rsidRPr="000D3673">
        <w:rPr>
          <w:rFonts w:cs="Arial"/>
          <w:b/>
          <w:szCs w:val="24"/>
        </w:rPr>
        <w:t>EXTENSION OF THE DISTRIBUTION EVENT</w:t>
      </w:r>
    </w:p>
    <w:p w:rsidR="00BB79E2" w:rsidRPr="000D3673" w:rsidRDefault="009B0BDA" w:rsidP="00BB79E2">
      <w:pPr>
        <w:pStyle w:val="1"/>
        <w:rPr>
          <w:rFonts w:cs="Arial"/>
          <w:szCs w:val="24"/>
        </w:rPr>
      </w:pPr>
      <w:r w:rsidRPr="000D3673">
        <w:rPr>
          <w:rFonts w:cs="Arial"/>
          <w:szCs w:val="24"/>
        </w:rPr>
        <w:t xml:space="preserve">[36]   </w:t>
      </w:r>
      <w:r w:rsidR="00BB79E2" w:rsidRPr="000D3673">
        <w:rPr>
          <w:rFonts w:cs="Arial"/>
          <w:szCs w:val="24"/>
        </w:rPr>
        <w:t>A further development was that during or about October 2018 Morris and Ronald informed the applicants that Morris had purportedly decided to extend the distribution event for 20 years.</w:t>
      </w:r>
    </w:p>
    <w:p w:rsidR="00BB79E2" w:rsidRPr="000D3673" w:rsidRDefault="009B0BDA" w:rsidP="00BB79E2">
      <w:pPr>
        <w:pStyle w:val="1"/>
        <w:rPr>
          <w:rFonts w:cs="Arial"/>
          <w:szCs w:val="24"/>
        </w:rPr>
      </w:pPr>
      <w:r w:rsidRPr="000D3673">
        <w:rPr>
          <w:rFonts w:cs="Arial"/>
          <w:szCs w:val="24"/>
        </w:rPr>
        <w:lastRenderedPageBreak/>
        <w:t xml:space="preserve"> [37</w:t>
      </w:r>
      <w:r w:rsidR="00FE7A01" w:rsidRPr="000D3673">
        <w:rPr>
          <w:rFonts w:cs="Arial"/>
          <w:szCs w:val="24"/>
        </w:rPr>
        <w:t>] The</w:t>
      </w:r>
      <w:r w:rsidR="00BB79E2" w:rsidRPr="000D3673">
        <w:rPr>
          <w:rFonts w:cs="Arial"/>
          <w:szCs w:val="24"/>
        </w:rPr>
        <w:t xml:space="preserve"> extension decision by Morris was perceived by the applicants as an attempt to deprive them of their inheritance and lock them</w:t>
      </w:r>
      <w:r w:rsidR="00770B1C">
        <w:rPr>
          <w:rFonts w:cs="Arial"/>
          <w:szCs w:val="24"/>
        </w:rPr>
        <w:t xml:space="preserve"> into the extended life of the T</w:t>
      </w:r>
      <w:r w:rsidR="00BB79E2" w:rsidRPr="000D3673">
        <w:rPr>
          <w:rFonts w:cs="Arial"/>
          <w:szCs w:val="24"/>
        </w:rPr>
        <w:t>rust for 20 years contrary to the distribution agreement.</w:t>
      </w:r>
    </w:p>
    <w:p w:rsidR="00BB79E2" w:rsidRPr="000D3673" w:rsidRDefault="00FE7A01" w:rsidP="00BB79E2">
      <w:pPr>
        <w:pStyle w:val="1"/>
        <w:rPr>
          <w:rFonts w:cs="Arial"/>
          <w:szCs w:val="24"/>
        </w:rPr>
      </w:pPr>
      <w:r w:rsidRPr="000D3673">
        <w:rPr>
          <w:rFonts w:cs="Arial"/>
          <w:szCs w:val="24"/>
        </w:rPr>
        <w:t xml:space="preserve"> </w:t>
      </w:r>
      <w:r w:rsidR="009B0BDA" w:rsidRPr="000D3673">
        <w:rPr>
          <w:rFonts w:cs="Arial"/>
          <w:szCs w:val="24"/>
        </w:rPr>
        <w:t>[</w:t>
      </w:r>
      <w:r w:rsidRPr="000D3673">
        <w:rPr>
          <w:rFonts w:cs="Arial"/>
          <w:szCs w:val="24"/>
        </w:rPr>
        <w:t>38]   According</w:t>
      </w:r>
      <w:r w:rsidR="00BB79E2" w:rsidRPr="000D3673">
        <w:rPr>
          <w:rFonts w:cs="Arial"/>
          <w:szCs w:val="24"/>
        </w:rPr>
        <w:t xml:space="preserve"> to the applicants, the extension would only benefit Morris, Suzan and Ronald in that Morris would continue to benefit from audit and secretarial fees with the extended life of the trust whilst Suzan and Ronald would </w:t>
      </w:r>
      <w:proofErr w:type="gramStart"/>
      <w:r w:rsidR="00BB79E2" w:rsidRPr="000D3673">
        <w:rPr>
          <w:rFonts w:cs="Arial"/>
          <w:szCs w:val="24"/>
        </w:rPr>
        <w:t>benefits</w:t>
      </w:r>
      <w:proofErr w:type="gramEnd"/>
      <w:r w:rsidR="00BB79E2" w:rsidRPr="000D3673">
        <w:rPr>
          <w:rFonts w:cs="Arial"/>
          <w:szCs w:val="24"/>
        </w:rPr>
        <w:t xml:space="preserve"> as they were treating the block of flats controlled by Ronald as their personal </w:t>
      </w:r>
      <w:r w:rsidRPr="000D3673">
        <w:rPr>
          <w:rFonts w:cs="Arial"/>
          <w:szCs w:val="24"/>
        </w:rPr>
        <w:t>fiefdoms.</w:t>
      </w:r>
    </w:p>
    <w:p w:rsidR="00BB79E2" w:rsidRPr="000D3673" w:rsidRDefault="002153A4" w:rsidP="00FE7A01">
      <w:pPr>
        <w:pStyle w:val="1"/>
        <w:rPr>
          <w:rFonts w:cs="Arial"/>
          <w:b/>
          <w:szCs w:val="24"/>
          <w:u w:val="single"/>
        </w:rPr>
      </w:pPr>
      <w:r w:rsidRPr="000D3673">
        <w:rPr>
          <w:rFonts w:cs="Arial"/>
          <w:b/>
          <w:szCs w:val="24"/>
          <w:u w:val="single"/>
        </w:rPr>
        <w:t>THE INCAPACITY OF THE TRUST</w:t>
      </w:r>
    </w:p>
    <w:p w:rsidR="00BB79E2" w:rsidRPr="000D3673" w:rsidRDefault="00FE7A01" w:rsidP="00BB79E2">
      <w:pPr>
        <w:pStyle w:val="1"/>
        <w:rPr>
          <w:rFonts w:cs="Arial"/>
          <w:szCs w:val="24"/>
        </w:rPr>
      </w:pPr>
      <w:r w:rsidRPr="000D3673">
        <w:rPr>
          <w:rFonts w:cs="Arial"/>
          <w:szCs w:val="24"/>
        </w:rPr>
        <w:t>[39] Clause</w:t>
      </w:r>
      <w:r w:rsidR="00BB79E2" w:rsidRPr="000D3673">
        <w:rPr>
          <w:rFonts w:cs="Arial"/>
          <w:szCs w:val="24"/>
        </w:rPr>
        <w:t xml:space="preserve"> 5.1 of the Trust provides:</w:t>
      </w:r>
    </w:p>
    <w:p w:rsidR="00BB79E2" w:rsidRPr="000D3673" w:rsidRDefault="00FE7A01" w:rsidP="002153A4">
      <w:pPr>
        <w:pStyle w:val="1"/>
        <w:ind w:left="1287"/>
        <w:rPr>
          <w:rFonts w:cs="Arial"/>
          <w:szCs w:val="24"/>
        </w:rPr>
      </w:pPr>
      <w:r w:rsidRPr="000D3673">
        <w:rPr>
          <w:rFonts w:cs="Arial"/>
          <w:szCs w:val="24"/>
        </w:rPr>
        <w:t>39</w:t>
      </w:r>
      <w:r w:rsidR="00BB79E2" w:rsidRPr="000D3673">
        <w:rPr>
          <w:rFonts w:cs="Arial"/>
          <w:szCs w:val="24"/>
        </w:rPr>
        <w:t>.1</w:t>
      </w:r>
      <w:r w:rsidR="006011EF">
        <w:rPr>
          <w:rFonts w:cs="Arial"/>
          <w:szCs w:val="24"/>
        </w:rPr>
        <w:t xml:space="preserve"> There shall at all times be no</w:t>
      </w:r>
      <w:r w:rsidR="00BB79E2" w:rsidRPr="000D3673">
        <w:rPr>
          <w:rFonts w:cs="Arial"/>
          <w:szCs w:val="24"/>
        </w:rPr>
        <w:t xml:space="preserve"> less</w:t>
      </w:r>
      <w:r w:rsidR="00770B1C">
        <w:rPr>
          <w:rFonts w:cs="Arial"/>
          <w:szCs w:val="24"/>
        </w:rPr>
        <w:t xml:space="preserve"> than</w:t>
      </w:r>
      <w:r w:rsidR="00BB79E2" w:rsidRPr="000D3673">
        <w:rPr>
          <w:rFonts w:cs="Arial"/>
          <w:szCs w:val="24"/>
        </w:rPr>
        <w:t xml:space="preserve"> three and not more than five trustees;</w:t>
      </w:r>
    </w:p>
    <w:p w:rsidR="00BB79E2" w:rsidRPr="000D3673" w:rsidRDefault="00FE7A01" w:rsidP="002153A4">
      <w:pPr>
        <w:pStyle w:val="1"/>
        <w:ind w:left="1287"/>
        <w:rPr>
          <w:rFonts w:cs="Arial"/>
          <w:szCs w:val="24"/>
        </w:rPr>
      </w:pPr>
      <w:r w:rsidRPr="000D3673">
        <w:rPr>
          <w:rFonts w:cs="Arial"/>
          <w:szCs w:val="24"/>
        </w:rPr>
        <w:t>39</w:t>
      </w:r>
      <w:r w:rsidR="00BB79E2" w:rsidRPr="000D3673">
        <w:rPr>
          <w:rFonts w:cs="Arial"/>
          <w:szCs w:val="24"/>
        </w:rPr>
        <w:t>.2 If at any time the number of trustees fall</w:t>
      </w:r>
      <w:r w:rsidR="00770B1C">
        <w:rPr>
          <w:rFonts w:cs="Arial"/>
          <w:szCs w:val="24"/>
        </w:rPr>
        <w:t xml:space="preserve">s below three, the remaining trustee or trustees </w:t>
      </w:r>
      <w:r w:rsidR="00BB79E2" w:rsidRPr="000D3673">
        <w:rPr>
          <w:rFonts w:cs="Arial"/>
          <w:szCs w:val="24"/>
        </w:rPr>
        <w:t>shall, as soon as practicable, assume some other person or persons to act with him or them so as to bring the number up to three.</w:t>
      </w:r>
    </w:p>
    <w:p w:rsidR="00BB79E2" w:rsidRPr="000D3673" w:rsidRDefault="00FE7A01" w:rsidP="002153A4">
      <w:pPr>
        <w:pStyle w:val="1"/>
        <w:ind w:left="1287"/>
        <w:rPr>
          <w:rFonts w:cs="Arial"/>
          <w:szCs w:val="24"/>
        </w:rPr>
      </w:pPr>
      <w:r w:rsidRPr="000D3673">
        <w:rPr>
          <w:rFonts w:cs="Arial"/>
          <w:szCs w:val="24"/>
        </w:rPr>
        <w:t>39</w:t>
      </w:r>
      <w:r w:rsidR="0081451D">
        <w:rPr>
          <w:rFonts w:cs="Arial"/>
          <w:szCs w:val="24"/>
        </w:rPr>
        <w:t>.3 If they fai</w:t>
      </w:r>
      <w:r w:rsidR="00BB79E2" w:rsidRPr="000D3673">
        <w:rPr>
          <w:rFonts w:cs="Arial"/>
          <w:szCs w:val="24"/>
        </w:rPr>
        <w:t>l to do so within 60 days, the auditors of the trust shall make the necessary appointment or appointment</w:t>
      </w:r>
      <w:r w:rsidR="0081451D">
        <w:rPr>
          <w:rFonts w:cs="Arial"/>
          <w:szCs w:val="24"/>
        </w:rPr>
        <w:t>s</w:t>
      </w:r>
      <w:r w:rsidR="00BB79E2" w:rsidRPr="000D3673">
        <w:rPr>
          <w:rFonts w:cs="Arial"/>
          <w:szCs w:val="24"/>
        </w:rPr>
        <w:t>;</w:t>
      </w:r>
    </w:p>
    <w:p w:rsidR="00BB79E2" w:rsidRPr="000D3673" w:rsidRDefault="00FE7A01" w:rsidP="00E059F9">
      <w:pPr>
        <w:pStyle w:val="1"/>
        <w:ind w:left="1287"/>
        <w:rPr>
          <w:rFonts w:cs="Arial"/>
          <w:szCs w:val="24"/>
        </w:rPr>
      </w:pPr>
      <w:r w:rsidRPr="000D3673">
        <w:rPr>
          <w:rFonts w:cs="Arial"/>
          <w:szCs w:val="24"/>
        </w:rPr>
        <w:t>39</w:t>
      </w:r>
      <w:r w:rsidR="00BB79E2" w:rsidRPr="000D3673">
        <w:rPr>
          <w:rFonts w:cs="Arial"/>
          <w:szCs w:val="24"/>
        </w:rPr>
        <w:t>.4 Save as aforesaid, until any such assumption is made, the remaining trustees shall be entitled to continue to act in all matters affecting the Trust.</w:t>
      </w:r>
    </w:p>
    <w:p w:rsidR="00BB79E2" w:rsidRPr="000D3673" w:rsidRDefault="00FE7A01" w:rsidP="00FE7A01">
      <w:pPr>
        <w:pStyle w:val="1"/>
        <w:rPr>
          <w:rFonts w:cs="Arial"/>
          <w:szCs w:val="24"/>
        </w:rPr>
      </w:pPr>
      <w:r w:rsidRPr="000D3673">
        <w:rPr>
          <w:rFonts w:cs="Arial"/>
          <w:szCs w:val="24"/>
        </w:rPr>
        <w:lastRenderedPageBreak/>
        <w:t>[41]   In</w:t>
      </w:r>
      <w:r w:rsidR="00BB79E2" w:rsidRPr="000D3673">
        <w:rPr>
          <w:rFonts w:cs="Arial"/>
          <w:szCs w:val="24"/>
        </w:rPr>
        <w:t xml:space="preserve"> clause 6.2 the Trust Deed provides that a decision of the majority of trustees shall be deemed</w:t>
      </w:r>
      <w:r w:rsidR="0081451D">
        <w:rPr>
          <w:rFonts w:cs="Arial"/>
          <w:szCs w:val="24"/>
        </w:rPr>
        <w:t xml:space="preserve"> to be the decision of them all.</w:t>
      </w:r>
    </w:p>
    <w:p w:rsidR="00BB79E2" w:rsidRPr="000D3673" w:rsidRDefault="00FE7A01" w:rsidP="00BB79E2">
      <w:pPr>
        <w:pStyle w:val="1"/>
        <w:rPr>
          <w:rFonts w:cs="Arial"/>
          <w:szCs w:val="24"/>
        </w:rPr>
      </w:pPr>
      <w:r w:rsidRPr="000D3673">
        <w:rPr>
          <w:rFonts w:cs="Arial"/>
          <w:szCs w:val="24"/>
        </w:rPr>
        <w:t>[42</w:t>
      </w:r>
      <w:r w:rsidR="002153A4" w:rsidRPr="000D3673">
        <w:rPr>
          <w:rFonts w:cs="Arial"/>
          <w:szCs w:val="24"/>
        </w:rPr>
        <w:t>] A</w:t>
      </w:r>
      <w:r w:rsidR="00BB79E2" w:rsidRPr="000D3673">
        <w:rPr>
          <w:rFonts w:cs="Arial"/>
          <w:szCs w:val="24"/>
        </w:rPr>
        <w:t xml:space="preserve"> majority of trustees as provided in clause 5 must be a minimum of two out of three trustees. A quorum would require at least 2 trustees. The Trust Deed therefore envisages decisions being taken by a majority of</w:t>
      </w:r>
      <w:r w:rsidR="00770B1C">
        <w:rPr>
          <w:rFonts w:cs="Arial"/>
          <w:szCs w:val="24"/>
        </w:rPr>
        <w:t xml:space="preserve"> the</w:t>
      </w:r>
      <w:r w:rsidR="00BB79E2" w:rsidRPr="000D3673">
        <w:rPr>
          <w:rFonts w:cs="Arial"/>
          <w:szCs w:val="24"/>
        </w:rPr>
        <w:t xml:space="preserve"> three trustees at all times which implies that a decision which is not taken by a quorum of trustees is not a v</w:t>
      </w:r>
      <w:r w:rsidR="006011EF">
        <w:rPr>
          <w:rFonts w:cs="Arial"/>
          <w:szCs w:val="24"/>
        </w:rPr>
        <w:t>alid decision binding on the T</w:t>
      </w:r>
      <w:r w:rsidR="00BB79E2" w:rsidRPr="000D3673">
        <w:rPr>
          <w:rFonts w:cs="Arial"/>
          <w:szCs w:val="24"/>
        </w:rPr>
        <w:t>rust.</w:t>
      </w:r>
    </w:p>
    <w:p w:rsidR="00BB79E2" w:rsidRPr="000D3673" w:rsidRDefault="002153A4" w:rsidP="002153A4">
      <w:pPr>
        <w:pStyle w:val="1"/>
        <w:ind w:left="0" w:firstLine="0"/>
        <w:rPr>
          <w:rFonts w:cs="Arial"/>
          <w:b/>
          <w:szCs w:val="24"/>
          <w:u w:val="single"/>
        </w:rPr>
      </w:pPr>
      <w:r w:rsidRPr="000D3673">
        <w:rPr>
          <w:rFonts w:cs="Arial"/>
          <w:b/>
          <w:szCs w:val="24"/>
        </w:rPr>
        <w:t>APPLICABLE LAW</w:t>
      </w:r>
    </w:p>
    <w:p w:rsidR="002153A4" w:rsidRPr="000D3673" w:rsidRDefault="00FE7A01" w:rsidP="0081451D">
      <w:pPr>
        <w:pStyle w:val="1"/>
        <w:rPr>
          <w:rFonts w:cs="Arial"/>
          <w:szCs w:val="24"/>
        </w:rPr>
      </w:pPr>
      <w:r w:rsidRPr="000D3673">
        <w:rPr>
          <w:rFonts w:cs="Arial"/>
          <w:szCs w:val="24"/>
        </w:rPr>
        <w:t xml:space="preserve">[43]   </w:t>
      </w:r>
      <w:r w:rsidR="00BB79E2" w:rsidRPr="000D3673">
        <w:rPr>
          <w:rFonts w:cs="Arial"/>
          <w:szCs w:val="24"/>
        </w:rPr>
        <w:t>Section 20(1) of the Trust Property Control Act 57 of 1988 provides that a trustee may, on the application of any person having an interest in the trust property at any time be removed from his office by the court if the court is satisfied that such removal will be in the interest</w:t>
      </w:r>
      <w:r w:rsidR="0081451D">
        <w:rPr>
          <w:rFonts w:cs="Arial"/>
          <w:szCs w:val="24"/>
        </w:rPr>
        <w:t>s</w:t>
      </w:r>
      <w:r w:rsidR="006011EF">
        <w:rPr>
          <w:rFonts w:cs="Arial"/>
          <w:szCs w:val="24"/>
        </w:rPr>
        <w:t xml:space="preserve"> of the T</w:t>
      </w:r>
      <w:r w:rsidR="00BB79E2" w:rsidRPr="000D3673">
        <w:rPr>
          <w:rFonts w:cs="Arial"/>
          <w:szCs w:val="24"/>
        </w:rPr>
        <w:t>rust and its beneficiaries.</w:t>
      </w:r>
    </w:p>
    <w:p w:rsidR="00BB79E2" w:rsidRPr="000D3673" w:rsidRDefault="00FE7A01" w:rsidP="00BB79E2">
      <w:pPr>
        <w:pStyle w:val="1"/>
        <w:rPr>
          <w:rFonts w:cs="Arial"/>
          <w:szCs w:val="24"/>
        </w:rPr>
      </w:pPr>
      <w:r w:rsidRPr="000D3673">
        <w:rPr>
          <w:rFonts w:cs="Arial"/>
          <w:szCs w:val="24"/>
        </w:rPr>
        <w:t>[44</w:t>
      </w:r>
      <w:r w:rsidR="002153A4" w:rsidRPr="000D3673">
        <w:rPr>
          <w:rFonts w:cs="Arial"/>
          <w:szCs w:val="24"/>
        </w:rPr>
        <w:t>] Th</w:t>
      </w:r>
      <w:r w:rsidR="0081451D">
        <w:rPr>
          <w:rFonts w:cs="Arial"/>
          <w:szCs w:val="24"/>
        </w:rPr>
        <w:t>re</w:t>
      </w:r>
      <w:r w:rsidR="002153A4" w:rsidRPr="000D3673">
        <w:rPr>
          <w:rFonts w:cs="Arial"/>
          <w:szCs w:val="24"/>
        </w:rPr>
        <w:t>e</w:t>
      </w:r>
      <w:r w:rsidR="00BB79E2" w:rsidRPr="000D3673">
        <w:rPr>
          <w:rFonts w:cs="Arial"/>
          <w:szCs w:val="24"/>
        </w:rPr>
        <w:t xml:space="preserve"> principle</w:t>
      </w:r>
      <w:r w:rsidR="0081451D">
        <w:rPr>
          <w:rFonts w:cs="Arial"/>
          <w:szCs w:val="24"/>
        </w:rPr>
        <w:t>s</w:t>
      </w:r>
      <w:r w:rsidR="00BB79E2" w:rsidRPr="000D3673">
        <w:rPr>
          <w:rFonts w:cs="Arial"/>
          <w:szCs w:val="24"/>
        </w:rPr>
        <w:t xml:space="preserve"> </w:t>
      </w:r>
      <w:r w:rsidR="0081451D" w:rsidRPr="000D3673">
        <w:rPr>
          <w:rFonts w:cs="Arial"/>
          <w:szCs w:val="24"/>
        </w:rPr>
        <w:t>govern</w:t>
      </w:r>
      <w:r w:rsidR="00BB79E2" w:rsidRPr="000D3673">
        <w:rPr>
          <w:rFonts w:cs="Arial"/>
          <w:szCs w:val="24"/>
        </w:rPr>
        <w:t xml:space="preserve"> a</w:t>
      </w:r>
      <w:r w:rsidR="00770B1C">
        <w:rPr>
          <w:rFonts w:cs="Arial"/>
          <w:szCs w:val="24"/>
        </w:rPr>
        <w:t xml:space="preserve"> trustee’s administration of a T</w:t>
      </w:r>
      <w:r w:rsidR="00BB79E2" w:rsidRPr="000D3673">
        <w:rPr>
          <w:rFonts w:cs="Arial"/>
          <w:szCs w:val="24"/>
        </w:rPr>
        <w:t>rust and these are discussed by Cameron et al in</w:t>
      </w:r>
      <w:r w:rsidR="0081451D">
        <w:rPr>
          <w:rFonts w:cs="Arial"/>
          <w:szCs w:val="24"/>
        </w:rPr>
        <w:t xml:space="preserve"> </w:t>
      </w:r>
      <w:proofErr w:type="spellStart"/>
      <w:r w:rsidR="0081451D">
        <w:rPr>
          <w:rFonts w:cs="Arial"/>
          <w:szCs w:val="24"/>
        </w:rPr>
        <w:t>Honore’s</w:t>
      </w:r>
      <w:proofErr w:type="spellEnd"/>
      <w:r w:rsidR="0081451D">
        <w:rPr>
          <w:rFonts w:cs="Arial"/>
          <w:szCs w:val="24"/>
        </w:rPr>
        <w:t xml:space="preserve"> South African Law of T</w:t>
      </w:r>
      <w:r w:rsidR="00BB79E2" w:rsidRPr="000D3673">
        <w:rPr>
          <w:rFonts w:cs="Arial"/>
          <w:szCs w:val="24"/>
        </w:rPr>
        <w:t>rust</w:t>
      </w:r>
      <w:r w:rsidR="0081451D">
        <w:rPr>
          <w:rStyle w:val="FootnoteReference"/>
          <w:rFonts w:cs="Arial"/>
          <w:szCs w:val="24"/>
        </w:rPr>
        <w:footnoteReference w:id="1"/>
      </w:r>
      <w:r w:rsidR="0081451D">
        <w:rPr>
          <w:rFonts w:cs="Arial"/>
          <w:szCs w:val="24"/>
        </w:rPr>
        <w:t>.</w:t>
      </w:r>
    </w:p>
    <w:p w:rsidR="00BB79E2" w:rsidRPr="000D3673" w:rsidRDefault="00FE7A01" w:rsidP="002153A4">
      <w:pPr>
        <w:pStyle w:val="1"/>
        <w:ind w:left="1287"/>
        <w:rPr>
          <w:rFonts w:cs="Arial"/>
          <w:szCs w:val="24"/>
        </w:rPr>
      </w:pPr>
      <w:r w:rsidRPr="000D3673">
        <w:rPr>
          <w:rFonts w:cs="Arial"/>
          <w:szCs w:val="24"/>
        </w:rPr>
        <w:t>44</w:t>
      </w:r>
      <w:r w:rsidR="00BB79E2" w:rsidRPr="000D3673">
        <w:rPr>
          <w:rFonts w:cs="Arial"/>
          <w:szCs w:val="24"/>
        </w:rPr>
        <w:t>.1 Firstly the trustees must give</w:t>
      </w:r>
      <w:r w:rsidR="00DC7CCE">
        <w:rPr>
          <w:rFonts w:cs="Arial"/>
          <w:szCs w:val="24"/>
        </w:rPr>
        <w:t xml:space="preserve"> effect to the trust instrument</w:t>
      </w:r>
      <w:r w:rsidR="00BB79E2" w:rsidRPr="000D3673">
        <w:rPr>
          <w:rFonts w:cs="Arial"/>
          <w:szCs w:val="24"/>
        </w:rPr>
        <w:t xml:space="preserve"> properly interpreted.</w:t>
      </w:r>
    </w:p>
    <w:p w:rsidR="00BB79E2" w:rsidRPr="000D3673" w:rsidRDefault="00FE7A01" w:rsidP="002153A4">
      <w:pPr>
        <w:pStyle w:val="1"/>
        <w:ind w:left="1287"/>
        <w:rPr>
          <w:rFonts w:cs="Arial"/>
          <w:szCs w:val="24"/>
        </w:rPr>
      </w:pPr>
      <w:r w:rsidRPr="000D3673">
        <w:rPr>
          <w:rFonts w:cs="Arial"/>
          <w:szCs w:val="24"/>
        </w:rPr>
        <w:t>44</w:t>
      </w:r>
      <w:r w:rsidR="00BB79E2" w:rsidRPr="000D3673">
        <w:rPr>
          <w:rFonts w:cs="Arial"/>
          <w:szCs w:val="24"/>
        </w:rPr>
        <w:t>.2 Secondly, a trustee must exercise proper care and skill. Section 9 of the Act provides that a trustee must act with care, skill and diligence which can reasonably be expected of a person who manages the affairs of another. This standard has been described as “scrupulous care” which is-</w:t>
      </w:r>
    </w:p>
    <w:p w:rsidR="00FE7A01" w:rsidRPr="000D3673" w:rsidRDefault="00BB79E2" w:rsidP="002153A4">
      <w:pPr>
        <w:pStyle w:val="1"/>
        <w:ind w:left="1854"/>
        <w:rPr>
          <w:rFonts w:cs="Arial"/>
          <w:i/>
          <w:szCs w:val="24"/>
        </w:rPr>
      </w:pPr>
      <w:r w:rsidRPr="000D3673">
        <w:rPr>
          <w:rFonts w:cs="Arial"/>
          <w:i/>
          <w:szCs w:val="24"/>
        </w:rPr>
        <w:lastRenderedPageBreak/>
        <w:t>“Higher</w:t>
      </w:r>
      <w:r w:rsidR="00770B1C">
        <w:rPr>
          <w:rFonts w:cs="Arial"/>
          <w:i/>
          <w:szCs w:val="24"/>
        </w:rPr>
        <w:t xml:space="preserve"> than</w:t>
      </w:r>
      <w:r w:rsidRPr="000D3673">
        <w:rPr>
          <w:rFonts w:cs="Arial"/>
          <w:i/>
          <w:szCs w:val="24"/>
        </w:rPr>
        <w:t xml:space="preserve"> that which an ordinary person might generally observe in the management of his or her own affairs. Such a person was free to do what he liked with his property and not infrequently selected investment</w:t>
      </w:r>
      <w:r w:rsidR="00DC7CCE">
        <w:rPr>
          <w:rFonts w:cs="Arial"/>
          <w:i/>
          <w:szCs w:val="24"/>
        </w:rPr>
        <w:t>s</w:t>
      </w:r>
      <w:r w:rsidRPr="000D3673">
        <w:rPr>
          <w:rFonts w:cs="Arial"/>
          <w:i/>
          <w:szCs w:val="24"/>
        </w:rPr>
        <w:t xml:space="preserve"> which were of a speculative nature, particularly when the potential profits were high.</w:t>
      </w:r>
    </w:p>
    <w:p w:rsidR="00BB79E2" w:rsidRPr="000D3673" w:rsidRDefault="00BB79E2" w:rsidP="002153A4">
      <w:pPr>
        <w:pStyle w:val="1"/>
        <w:ind w:left="1854"/>
        <w:rPr>
          <w:rFonts w:cs="Arial"/>
          <w:i/>
          <w:szCs w:val="24"/>
        </w:rPr>
      </w:pPr>
      <w:r w:rsidRPr="000D3673">
        <w:rPr>
          <w:rFonts w:cs="Arial"/>
          <w:i/>
          <w:szCs w:val="24"/>
        </w:rPr>
        <w:t xml:space="preserve">A person in a fiduciary position such as a </w:t>
      </w:r>
      <w:r w:rsidR="00DC7CCE">
        <w:rPr>
          <w:rFonts w:cs="Arial"/>
          <w:i/>
          <w:szCs w:val="24"/>
        </w:rPr>
        <w:t xml:space="preserve">trustee, on the other hand, was </w:t>
      </w:r>
      <w:r w:rsidRPr="000D3673">
        <w:rPr>
          <w:rFonts w:cs="Arial"/>
          <w:i/>
          <w:szCs w:val="24"/>
        </w:rPr>
        <w:t xml:space="preserve">obliged to adopt the standard of the prudent and careful person, that is to say the standard of the bonus et </w:t>
      </w:r>
      <w:proofErr w:type="spellStart"/>
      <w:r w:rsidRPr="000D3673">
        <w:rPr>
          <w:rFonts w:cs="Arial"/>
          <w:i/>
          <w:szCs w:val="24"/>
        </w:rPr>
        <w:t>diligent</w:t>
      </w:r>
      <w:r w:rsidR="00DC7CCE">
        <w:rPr>
          <w:rFonts w:cs="Arial"/>
          <w:i/>
          <w:szCs w:val="24"/>
        </w:rPr>
        <w:t>s</w:t>
      </w:r>
      <w:proofErr w:type="spellEnd"/>
      <w:r w:rsidRPr="000D3673">
        <w:rPr>
          <w:rFonts w:cs="Arial"/>
          <w:i/>
          <w:szCs w:val="24"/>
        </w:rPr>
        <w:t xml:space="preserve"> paterfamilias of </w:t>
      </w:r>
      <w:r w:rsidR="00DC7CCE">
        <w:rPr>
          <w:rFonts w:cs="Arial"/>
          <w:i/>
          <w:szCs w:val="24"/>
        </w:rPr>
        <w:t>R</w:t>
      </w:r>
      <w:r w:rsidR="006011EF">
        <w:rPr>
          <w:rFonts w:cs="Arial"/>
          <w:i/>
          <w:szCs w:val="24"/>
        </w:rPr>
        <w:t xml:space="preserve">oman Law, and was accordingly, </w:t>
      </w:r>
      <w:r w:rsidRPr="000D3673">
        <w:rPr>
          <w:rFonts w:cs="Arial"/>
          <w:i/>
          <w:szCs w:val="24"/>
        </w:rPr>
        <w:t>obliged, in dealing with and investing the money of the beneficiary, to observe due care and diligence, and not to expose it i</w:t>
      </w:r>
      <w:r w:rsidR="006011EF">
        <w:rPr>
          <w:rFonts w:cs="Arial"/>
          <w:i/>
          <w:szCs w:val="24"/>
        </w:rPr>
        <w:t>n any way to any business risks</w:t>
      </w:r>
      <w:r w:rsidRPr="000D3673">
        <w:rPr>
          <w:rFonts w:cs="Arial"/>
          <w:i/>
          <w:szCs w:val="24"/>
        </w:rPr>
        <w:t xml:space="preserve">. The need </w:t>
      </w:r>
      <w:r w:rsidR="00DC7CCE">
        <w:rPr>
          <w:rFonts w:cs="Arial"/>
          <w:i/>
          <w:szCs w:val="24"/>
        </w:rPr>
        <w:t>to avoid risks was emphasised.</w:t>
      </w:r>
    </w:p>
    <w:p w:rsidR="002153A4" w:rsidRPr="000D3673" w:rsidRDefault="002153A4" w:rsidP="002153A4">
      <w:pPr>
        <w:pStyle w:val="1"/>
        <w:ind w:left="1854"/>
        <w:rPr>
          <w:rFonts w:cs="Arial"/>
          <w:i/>
          <w:szCs w:val="24"/>
        </w:rPr>
      </w:pPr>
    </w:p>
    <w:p w:rsidR="00FE7A01" w:rsidRPr="000D3673" w:rsidRDefault="00FE7A01" w:rsidP="002153A4">
      <w:pPr>
        <w:pStyle w:val="1"/>
        <w:ind w:left="1134"/>
        <w:rPr>
          <w:rFonts w:cs="Arial"/>
          <w:szCs w:val="24"/>
        </w:rPr>
      </w:pPr>
      <w:r w:rsidRPr="000D3673">
        <w:rPr>
          <w:rFonts w:cs="Arial"/>
          <w:szCs w:val="24"/>
        </w:rPr>
        <w:t>44</w:t>
      </w:r>
      <w:r w:rsidR="00BB79E2" w:rsidRPr="000D3673">
        <w:rPr>
          <w:rFonts w:cs="Arial"/>
          <w:szCs w:val="24"/>
        </w:rPr>
        <w:t>.3 Thirdly, a trustee must always exercise an independent discretion, a sub-minimum of trustees cannot bind the trust.</w:t>
      </w:r>
    </w:p>
    <w:p w:rsidR="00BB79E2" w:rsidRPr="000D3673" w:rsidRDefault="00FE7A01" w:rsidP="00BB79E2">
      <w:pPr>
        <w:pStyle w:val="1"/>
        <w:rPr>
          <w:rFonts w:cs="Arial"/>
          <w:szCs w:val="24"/>
        </w:rPr>
      </w:pPr>
      <w:r w:rsidRPr="000D3673">
        <w:rPr>
          <w:rFonts w:cs="Arial"/>
          <w:szCs w:val="24"/>
        </w:rPr>
        <w:t>[45] The</w:t>
      </w:r>
      <w:r w:rsidR="00BB79E2" w:rsidRPr="000D3673">
        <w:rPr>
          <w:rFonts w:cs="Arial"/>
          <w:szCs w:val="24"/>
        </w:rPr>
        <w:t xml:space="preserve"> principles governing the capacity of a trust where the requested number has fallen below the number prescribed in the Trust Deed are set out in </w:t>
      </w:r>
      <w:r w:rsidR="00BB79E2" w:rsidRPr="000D3673">
        <w:rPr>
          <w:rFonts w:cs="Arial"/>
          <w:i/>
          <w:szCs w:val="24"/>
        </w:rPr>
        <w:t>Land Agricultural Bank of South Africa v JL Parker and two others</w:t>
      </w:r>
      <w:r w:rsidR="00DC7CCE">
        <w:rPr>
          <w:rStyle w:val="FootnoteReference"/>
          <w:rFonts w:cs="Arial"/>
          <w:i/>
          <w:szCs w:val="24"/>
        </w:rPr>
        <w:footnoteReference w:id="2"/>
      </w:r>
      <w:r w:rsidR="00DC7CCE">
        <w:rPr>
          <w:rFonts w:cs="Arial"/>
          <w:i/>
          <w:szCs w:val="24"/>
        </w:rPr>
        <w:t xml:space="preserve"> </w:t>
      </w:r>
      <w:r w:rsidR="00BB79E2" w:rsidRPr="000D3673">
        <w:rPr>
          <w:rFonts w:cs="Arial"/>
          <w:i/>
          <w:szCs w:val="24"/>
        </w:rPr>
        <w:t>as follows:</w:t>
      </w:r>
    </w:p>
    <w:p w:rsidR="00BB79E2" w:rsidRPr="000D3673" w:rsidRDefault="00BB79E2" w:rsidP="00BF031B">
      <w:pPr>
        <w:pStyle w:val="1"/>
        <w:ind w:left="1134"/>
        <w:rPr>
          <w:rFonts w:cs="Arial"/>
          <w:i/>
          <w:szCs w:val="24"/>
        </w:rPr>
      </w:pPr>
      <w:r w:rsidRPr="000D3673">
        <w:rPr>
          <w:rFonts w:cs="Arial"/>
          <w:i/>
          <w:szCs w:val="24"/>
        </w:rPr>
        <w:t>“[10] The first principle accounts for the fact that the trust could not be bound while there</w:t>
      </w:r>
      <w:r w:rsidR="00DC7CCE">
        <w:rPr>
          <w:rFonts w:cs="Arial"/>
          <w:i/>
          <w:szCs w:val="24"/>
        </w:rPr>
        <w:t xml:space="preserve"> were fewer than three trustees.</w:t>
      </w:r>
      <w:r w:rsidRPr="000D3673">
        <w:rPr>
          <w:rFonts w:cs="Arial"/>
          <w:i/>
          <w:szCs w:val="24"/>
        </w:rPr>
        <w:t xml:space="preserve"> </w:t>
      </w:r>
      <w:r w:rsidR="00DC7CCE">
        <w:rPr>
          <w:rFonts w:cs="Arial"/>
          <w:i/>
          <w:szCs w:val="24"/>
        </w:rPr>
        <w:t>E</w:t>
      </w:r>
      <w:r w:rsidRPr="000D3673">
        <w:rPr>
          <w:rFonts w:cs="Arial"/>
          <w:i/>
          <w:szCs w:val="24"/>
        </w:rPr>
        <w:t xml:space="preserve">xcept where statute provides otherwise, a trust is not a legal person. It is an accumulation of assets and </w:t>
      </w:r>
      <w:r w:rsidRPr="000D3673">
        <w:rPr>
          <w:rFonts w:cs="Arial"/>
          <w:i/>
          <w:szCs w:val="24"/>
        </w:rPr>
        <w:lastRenderedPageBreak/>
        <w:t>liabilities. Th</w:t>
      </w:r>
      <w:r w:rsidR="00402BAE">
        <w:rPr>
          <w:rFonts w:cs="Arial"/>
          <w:i/>
          <w:szCs w:val="24"/>
        </w:rPr>
        <w:t>ese constitute the trust estate</w:t>
      </w:r>
      <w:r w:rsidRPr="000D3673">
        <w:rPr>
          <w:rFonts w:cs="Arial"/>
          <w:i/>
          <w:szCs w:val="24"/>
        </w:rPr>
        <w:t>, whi</w:t>
      </w:r>
      <w:r w:rsidR="00402BAE">
        <w:rPr>
          <w:rFonts w:cs="Arial"/>
          <w:i/>
          <w:szCs w:val="24"/>
        </w:rPr>
        <w:t>ch is a separate entity. But th</w:t>
      </w:r>
      <w:r w:rsidRPr="000D3673">
        <w:rPr>
          <w:rFonts w:cs="Arial"/>
          <w:i/>
          <w:szCs w:val="24"/>
        </w:rPr>
        <w:t>ough separate, the accumulation of rights and obligations comprising the trust estate does not have legal personality. It vests in the trustees, and must be administered by them- and it is only through the trustees, speci</w:t>
      </w:r>
      <w:r w:rsidR="00402BAE">
        <w:rPr>
          <w:rFonts w:cs="Arial"/>
          <w:i/>
          <w:szCs w:val="24"/>
        </w:rPr>
        <w:t>fied as in the trust instrument</w:t>
      </w:r>
      <w:r w:rsidR="00770B1C">
        <w:rPr>
          <w:rFonts w:cs="Arial"/>
          <w:i/>
          <w:szCs w:val="24"/>
        </w:rPr>
        <w:t>, that the trust can act. W</w:t>
      </w:r>
      <w:r w:rsidRPr="000D3673">
        <w:rPr>
          <w:rFonts w:cs="Arial"/>
          <w:i/>
          <w:szCs w:val="24"/>
        </w:rPr>
        <w:t>ho the trustees are, their number how they are appointed, and under what circumstanc</w:t>
      </w:r>
      <w:r w:rsidR="006011EF">
        <w:rPr>
          <w:rFonts w:cs="Arial"/>
          <w:i/>
          <w:szCs w:val="24"/>
        </w:rPr>
        <w:t>es they have power to bind the T</w:t>
      </w:r>
      <w:r w:rsidRPr="000D3673">
        <w:rPr>
          <w:rFonts w:cs="Arial"/>
          <w:i/>
          <w:szCs w:val="24"/>
        </w:rPr>
        <w:t>rust estate are matters defined in the trust deed, which is the trust constitutive charter. Outside its provisions the trust estate cannot be bound.</w:t>
      </w:r>
    </w:p>
    <w:p w:rsidR="00BB79E2" w:rsidRPr="000D3673" w:rsidRDefault="00BB79E2" w:rsidP="00BF031B">
      <w:pPr>
        <w:pStyle w:val="1"/>
        <w:ind w:left="1134"/>
        <w:rPr>
          <w:rFonts w:cs="Arial"/>
          <w:i/>
          <w:szCs w:val="24"/>
        </w:rPr>
      </w:pPr>
      <w:r w:rsidRPr="000D3673">
        <w:rPr>
          <w:rFonts w:cs="Arial"/>
          <w:i/>
          <w:szCs w:val="24"/>
        </w:rPr>
        <w:t>[11] It follows</w:t>
      </w:r>
      <w:r w:rsidR="00402BAE">
        <w:rPr>
          <w:rFonts w:cs="Arial"/>
          <w:i/>
          <w:szCs w:val="24"/>
        </w:rPr>
        <w:t xml:space="preserve"> that</w:t>
      </w:r>
      <w:r w:rsidRPr="000D3673">
        <w:rPr>
          <w:rFonts w:cs="Arial"/>
          <w:i/>
          <w:szCs w:val="24"/>
        </w:rPr>
        <w:t xml:space="preserve"> a provision requiring that a specific minimum number</w:t>
      </w:r>
      <w:r w:rsidR="00402BAE">
        <w:rPr>
          <w:rFonts w:cs="Arial"/>
          <w:i/>
          <w:szCs w:val="24"/>
        </w:rPr>
        <w:t xml:space="preserve"> of trustees must hold office is</w:t>
      </w:r>
      <w:r w:rsidRPr="000D3673">
        <w:rPr>
          <w:rFonts w:cs="Arial"/>
          <w:i/>
          <w:szCs w:val="24"/>
        </w:rPr>
        <w:t xml:space="preserve"> a capacity defining condition. It lays down a prerequisite that must be fulfilled before the trust estate can be bound. When fewer trustees than the number specified are in office, the trust suffers from an incapacity that precludes action on its behalf.</w:t>
      </w:r>
    </w:p>
    <w:p w:rsidR="00BB79E2" w:rsidRPr="000D3673" w:rsidRDefault="00BB79E2" w:rsidP="00BF031B">
      <w:pPr>
        <w:pStyle w:val="1"/>
        <w:ind w:left="1134"/>
        <w:rPr>
          <w:rFonts w:cs="Arial"/>
          <w:i/>
          <w:szCs w:val="24"/>
        </w:rPr>
      </w:pPr>
      <w:r w:rsidRPr="000D3673">
        <w:rPr>
          <w:rFonts w:cs="Arial"/>
          <w:i/>
          <w:szCs w:val="24"/>
        </w:rPr>
        <w:t>[12] This is not to say that the trust ce</w:t>
      </w:r>
      <w:r w:rsidR="00402BAE">
        <w:rPr>
          <w:rFonts w:cs="Arial"/>
          <w:i/>
          <w:szCs w:val="24"/>
        </w:rPr>
        <w:t>ased</w:t>
      </w:r>
      <w:r w:rsidRPr="000D3673">
        <w:rPr>
          <w:rFonts w:cs="Arial"/>
          <w:i/>
          <w:szCs w:val="24"/>
        </w:rPr>
        <w:t xml:space="preserve"> to exist, nor is it to say that the trust obligations falls away. Counsel for the bank cited passages from </w:t>
      </w:r>
      <w:proofErr w:type="spellStart"/>
      <w:r w:rsidRPr="000D3673">
        <w:rPr>
          <w:rFonts w:cs="Arial"/>
          <w:i/>
          <w:szCs w:val="24"/>
        </w:rPr>
        <w:t>Honore</w:t>
      </w:r>
      <w:proofErr w:type="spellEnd"/>
      <w:r w:rsidRPr="000D3673">
        <w:rPr>
          <w:rFonts w:cs="Arial"/>
          <w:i/>
          <w:szCs w:val="24"/>
        </w:rPr>
        <w:t xml:space="preserve"> establishing that a trust wi</w:t>
      </w:r>
      <w:r w:rsidR="00402BAE">
        <w:rPr>
          <w:rFonts w:cs="Arial"/>
          <w:i/>
          <w:szCs w:val="24"/>
        </w:rPr>
        <w:t>ll not be allowed to fai</w:t>
      </w:r>
      <w:r w:rsidRPr="000D3673">
        <w:rPr>
          <w:rFonts w:cs="Arial"/>
          <w:i/>
          <w:szCs w:val="24"/>
        </w:rPr>
        <w:t>l for want of a trustee, and that the administration of a trust proceeds even when not all the trustees can be appointed in the precise manner envisaged in the Trust Deed. This is to confuse the existence of the rights and obligations that constitute the trust estate with the question whether and in what manner the trust estate can be bound. It is axiomatic that the trust obligation exists even when there is n</w:t>
      </w:r>
      <w:r w:rsidR="00770B1C">
        <w:rPr>
          <w:rFonts w:cs="Arial"/>
          <w:i/>
          <w:szCs w:val="24"/>
        </w:rPr>
        <w:t>o trustee to carry it out. The Court or the M</w:t>
      </w:r>
      <w:r w:rsidRPr="000D3673">
        <w:rPr>
          <w:rFonts w:cs="Arial"/>
          <w:i/>
          <w:szCs w:val="24"/>
        </w:rPr>
        <w:t>aster will where necessary appoint a trustee to perform the trust, but it does not follow that a sub-</w:t>
      </w:r>
      <w:r w:rsidRPr="000D3673">
        <w:rPr>
          <w:rFonts w:cs="Arial"/>
          <w:i/>
          <w:szCs w:val="24"/>
        </w:rPr>
        <w:lastRenderedPageBreak/>
        <w:t>minimum of trustees can bind a trust.</w:t>
      </w:r>
    </w:p>
    <w:p w:rsidR="00BB79E2" w:rsidRPr="000D3673" w:rsidRDefault="00BB79E2" w:rsidP="00BF031B">
      <w:pPr>
        <w:pStyle w:val="1"/>
        <w:ind w:left="1134"/>
        <w:rPr>
          <w:rFonts w:cs="Arial"/>
          <w:i/>
          <w:szCs w:val="24"/>
        </w:rPr>
      </w:pPr>
      <w:r w:rsidRPr="000D3673">
        <w:rPr>
          <w:rFonts w:cs="Arial"/>
          <w:i/>
          <w:szCs w:val="24"/>
        </w:rPr>
        <w:t>[13] In the present case, the Parkers alone were not “the trustees”</w:t>
      </w:r>
      <w:r w:rsidR="00402BAE">
        <w:rPr>
          <w:rFonts w:cs="Arial"/>
          <w:i/>
          <w:szCs w:val="24"/>
        </w:rPr>
        <w:t xml:space="preserve"> as defined in the trust deed, N</w:t>
      </w:r>
      <w:r w:rsidRPr="000D3673">
        <w:rPr>
          <w:rFonts w:cs="Arial"/>
          <w:i/>
          <w:szCs w:val="24"/>
        </w:rPr>
        <w:t>or</w:t>
      </w:r>
      <w:r w:rsidR="00402BAE">
        <w:rPr>
          <w:rFonts w:cs="Arial"/>
          <w:i/>
          <w:szCs w:val="24"/>
        </w:rPr>
        <w:t>,</w:t>
      </w:r>
      <w:r w:rsidRPr="000D3673">
        <w:rPr>
          <w:rFonts w:cs="Arial"/>
          <w:i/>
          <w:szCs w:val="24"/>
        </w:rPr>
        <w:t xml:space="preserve"> while fewer than three trustees were in office, were there “trustees” on who</w:t>
      </w:r>
      <w:r w:rsidR="00402BAE">
        <w:rPr>
          <w:rFonts w:cs="Arial"/>
          <w:i/>
          <w:szCs w:val="24"/>
        </w:rPr>
        <w:t>se behalf the Parkers could act, o</w:t>
      </w:r>
      <w:r w:rsidRPr="000D3673">
        <w:rPr>
          <w:rFonts w:cs="Arial"/>
          <w:i/>
          <w:szCs w:val="24"/>
        </w:rPr>
        <w:t>r from</w:t>
      </w:r>
      <w:r w:rsidR="00402BAE">
        <w:rPr>
          <w:rFonts w:cs="Arial"/>
          <w:i/>
          <w:szCs w:val="24"/>
        </w:rPr>
        <w:t xml:space="preserve"> whom</w:t>
      </w:r>
      <w:r w:rsidRPr="000D3673">
        <w:rPr>
          <w:rFonts w:cs="Arial"/>
          <w:i/>
          <w:szCs w:val="24"/>
        </w:rPr>
        <w:t xml:space="preserve"> they could receive authority to bind the Trust estate. The fact that they acted jointly in signing the contracts does not</w:t>
      </w:r>
      <w:r w:rsidR="00770B1C">
        <w:rPr>
          <w:rFonts w:cs="Arial"/>
          <w:i/>
          <w:szCs w:val="24"/>
        </w:rPr>
        <w:t xml:space="preserve"> change this, because the trust</w:t>
      </w:r>
      <w:r w:rsidRPr="000D3673">
        <w:rPr>
          <w:rFonts w:cs="Arial"/>
          <w:i/>
          <w:szCs w:val="24"/>
        </w:rPr>
        <w:t>’</w:t>
      </w:r>
      <w:r w:rsidR="00770B1C">
        <w:rPr>
          <w:rFonts w:cs="Arial"/>
          <w:i/>
          <w:szCs w:val="24"/>
        </w:rPr>
        <w:t>s</w:t>
      </w:r>
      <w:r w:rsidRPr="000D3673">
        <w:rPr>
          <w:rFonts w:cs="Arial"/>
          <w:i/>
          <w:szCs w:val="24"/>
        </w:rPr>
        <w:t xml:space="preserve"> incapacity during this period does not arise from the joint action requirement, but from the trust’s incapacity while</w:t>
      </w:r>
      <w:r w:rsidR="00402BAE">
        <w:rPr>
          <w:rFonts w:cs="Arial"/>
          <w:i/>
          <w:szCs w:val="24"/>
        </w:rPr>
        <w:t xml:space="preserve"> a</w:t>
      </w:r>
      <w:r w:rsidRPr="000D3673">
        <w:rPr>
          <w:rFonts w:cs="Arial"/>
          <w:i/>
          <w:szCs w:val="24"/>
        </w:rPr>
        <w:t xml:space="preserve"> sub-minimum of trustees held office.</w:t>
      </w:r>
    </w:p>
    <w:p w:rsidR="00BB79E2" w:rsidRPr="000D3673" w:rsidRDefault="002153A4" w:rsidP="00BF031B">
      <w:pPr>
        <w:pStyle w:val="1"/>
        <w:ind w:left="1134"/>
        <w:rPr>
          <w:rFonts w:cs="Arial"/>
          <w:i/>
          <w:szCs w:val="24"/>
        </w:rPr>
      </w:pPr>
      <w:r w:rsidRPr="000D3673">
        <w:rPr>
          <w:rFonts w:cs="Arial"/>
          <w:i/>
          <w:szCs w:val="24"/>
        </w:rPr>
        <w:t>[14</w:t>
      </w:r>
      <w:r w:rsidR="00402BAE" w:rsidRPr="000D3673">
        <w:rPr>
          <w:rFonts w:cs="Arial"/>
          <w:i/>
          <w:szCs w:val="24"/>
        </w:rPr>
        <w:t>] The</w:t>
      </w:r>
      <w:r w:rsidR="00BB79E2" w:rsidRPr="000D3673">
        <w:rPr>
          <w:rFonts w:cs="Arial"/>
          <w:i/>
          <w:szCs w:val="24"/>
        </w:rPr>
        <w:t xml:space="preserve"> Parkers in other words could not bind the trust because no one could. This does not mean that their duties as trustees ceased. On the contrary their obligation to fulfil the trust objects and to observe the provisions of the trust deed continued. These required that they appoint a third trustee when a vacancy occurred- a duty</w:t>
      </w:r>
      <w:r w:rsidR="00770B1C">
        <w:rPr>
          <w:rFonts w:cs="Arial"/>
          <w:i/>
          <w:szCs w:val="24"/>
        </w:rPr>
        <w:t xml:space="preserve"> they signally failed to fulfil. But until they did so</w:t>
      </w:r>
      <w:r w:rsidR="00BB79E2" w:rsidRPr="000D3673">
        <w:rPr>
          <w:rFonts w:cs="Arial"/>
          <w:i/>
          <w:szCs w:val="24"/>
        </w:rPr>
        <w:t xml:space="preserve"> the trustee body envisaged in the trust deed was not in existence, and the trust estate was not capable of being bound. For the </w:t>
      </w:r>
      <w:r w:rsidR="00770B1C">
        <w:rPr>
          <w:rFonts w:cs="Arial"/>
          <w:i/>
          <w:szCs w:val="24"/>
        </w:rPr>
        <w:t>P</w:t>
      </w:r>
      <w:r w:rsidR="00BB79E2" w:rsidRPr="000D3673">
        <w:rPr>
          <w:rFonts w:cs="Arial"/>
          <w:i/>
          <w:szCs w:val="24"/>
        </w:rPr>
        <w:t>arkers to purport to bind the trust estate during this period was an act of usurpation that simply compounded the breach of trust they committed by failing to appoint a third trustee, such conduct may, as I indicate later (para 37.3), provide the basis for impugning the very existence of the trust, but that was not the bank’s case.</w:t>
      </w:r>
      <w:r w:rsidR="00950AF8">
        <w:rPr>
          <w:rFonts w:cs="Arial"/>
          <w:i/>
          <w:szCs w:val="24"/>
        </w:rPr>
        <w:t>”</w:t>
      </w:r>
    </w:p>
    <w:p w:rsidR="00BB79E2" w:rsidRPr="000D3673" w:rsidRDefault="002153A4" w:rsidP="002153A4">
      <w:pPr>
        <w:pStyle w:val="1"/>
        <w:rPr>
          <w:rFonts w:cs="Arial"/>
          <w:szCs w:val="24"/>
        </w:rPr>
      </w:pPr>
      <w:r w:rsidRPr="000D3673">
        <w:rPr>
          <w:rFonts w:cs="Arial"/>
          <w:b/>
          <w:szCs w:val="24"/>
        </w:rPr>
        <w:t>ANALYSIS</w:t>
      </w:r>
    </w:p>
    <w:p w:rsidR="00BB79E2" w:rsidRPr="000D3673" w:rsidRDefault="001B751F" w:rsidP="002153A4">
      <w:pPr>
        <w:pStyle w:val="1"/>
        <w:rPr>
          <w:rFonts w:cs="Arial"/>
          <w:szCs w:val="24"/>
        </w:rPr>
      </w:pPr>
      <w:r w:rsidRPr="000D3673">
        <w:rPr>
          <w:rFonts w:cs="Arial"/>
          <w:szCs w:val="24"/>
        </w:rPr>
        <w:t>[46] The</w:t>
      </w:r>
      <w:r w:rsidR="00402BAE">
        <w:rPr>
          <w:rFonts w:cs="Arial"/>
          <w:szCs w:val="24"/>
        </w:rPr>
        <w:t xml:space="preserve"> contents of the Trust D</w:t>
      </w:r>
      <w:r w:rsidR="00BB79E2" w:rsidRPr="000D3673">
        <w:rPr>
          <w:rFonts w:cs="Arial"/>
          <w:szCs w:val="24"/>
        </w:rPr>
        <w:t xml:space="preserve">eed and the law set out clearly that the obligations of </w:t>
      </w:r>
      <w:r w:rsidR="00BB79E2" w:rsidRPr="000D3673">
        <w:rPr>
          <w:rFonts w:cs="Arial"/>
          <w:szCs w:val="24"/>
        </w:rPr>
        <w:lastRenderedPageBreak/>
        <w:t>a trustee include</w:t>
      </w:r>
      <w:r w:rsidR="00402BAE">
        <w:rPr>
          <w:rFonts w:cs="Arial"/>
          <w:szCs w:val="24"/>
        </w:rPr>
        <w:t>s</w:t>
      </w:r>
      <w:r w:rsidR="00BB79E2" w:rsidRPr="000D3673">
        <w:rPr>
          <w:rFonts w:cs="Arial"/>
          <w:szCs w:val="24"/>
        </w:rPr>
        <w:t xml:space="preserve"> strict compliance with the</w:t>
      </w:r>
      <w:r w:rsidR="00402BAE">
        <w:rPr>
          <w:rFonts w:cs="Arial"/>
          <w:szCs w:val="24"/>
        </w:rPr>
        <w:t xml:space="preserve"> provision of</w:t>
      </w:r>
      <w:r w:rsidR="00770B1C">
        <w:rPr>
          <w:rFonts w:cs="Arial"/>
          <w:szCs w:val="24"/>
        </w:rPr>
        <w:t xml:space="preserve"> the Trust D</w:t>
      </w:r>
      <w:r w:rsidR="00BB79E2" w:rsidRPr="000D3673">
        <w:rPr>
          <w:rFonts w:cs="Arial"/>
          <w:szCs w:val="24"/>
        </w:rPr>
        <w:t xml:space="preserve">eed. The record shows that Morris failed to do so from the time of Henry’s death in 2004. He and Lilly were the only trustees left to conduct the business of the trust. The trust deed granted them authority to assume a third trustee but they failed to </w:t>
      </w:r>
      <w:r w:rsidR="00BF031B" w:rsidRPr="000D3673">
        <w:rPr>
          <w:rFonts w:cs="Arial"/>
          <w:szCs w:val="24"/>
        </w:rPr>
        <w:t>do so.</w:t>
      </w:r>
      <w:r w:rsidR="00BF031B" w:rsidRPr="000D3673">
        <w:rPr>
          <w:rFonts w:cs="Arial"/>
          <w:szCs w:val="24"/>
        </w:rPr>
        <w:tab/>
      </w:r>
    </w:p>
    <w:p w:rsidR="00BB79E2" w:rsidRPr="000D3673" w:rsidRDefault="001B751F" w:rsidP="002153A4">
      <w:pPr>
        <w:pStyle w:val="1"/>
        <w:rPr>
          <w:rFonts w:cs="Arial"/>
          <w:szCs w:val="24"/>
        </w:rPr>
      </w:pPr>
      <w:r w:rsidRPr="000D3673">
        <w:rPr>
          <w:rFonts w:cs="Arial"/>
          <w:szCs w:val="24"/>
        </w:rPr>
        <w:t>[47</w:t>
      </w:r>
      <w:r w:rsidR="00BF031B" w:rsidRPr="000D3673">
        <w:rPr>
          <w:rFonts w:cs="Arial"/>
          <w:szCs w:val="24"/>
        </w:rPr>
        <w:t xml:space="preserve">]   </w:t>
      </w:r>
      <w:r w:rsidR="00BB79E2" w:rsidRPr="000D3673">
        <w:rPr>
          <w:rFonts w:cs="Arial"/>
          <w:szCs w:val="24"/>
        </w:rPr>
        <w:t>Lilly passed away in 2017 and Morris was left as the only trustee with the authority to assume two more trustees within sixty days from the time of Lilly’s death but again, he failed to do so. Morris acted in breach of his m</w:t>
      </w:r>
      <w:r w:rsidR="00402BAE">
        <w:rPr>
          <w:rFonts w:cs="Arial"/>
          <w:szCs w:val="24"/>
        </w:rPr>
        <w:t>ost basic duty in terms of the Trust D</w:t>
      </w:r>
      <w:r w:rsidR="00BB79E2" w:rsidRPr="000D3673">
        <w:rPr>
          <w:rFonts w:cs="Arial"/>
          <w:szCs w:val="24"/>
        </w:rPr>
        <w:t>eed from the time of Henry’s death and</w:t>
      </w:r>
      <w:r w:rsidR="00942715">
        <w:rPr>
          <w:rFonts w:cs="Arial"/>
          <w:szCs w:val="24"/>
        </w:rPr>
        <w:t xml:space="preserve"> continued to do so even after L</w:t>
      </w:r>
      <w:r w:rsidR="00BB79E2" w:rsidRPr="000D3673">
        <w:rPr>
          <w:rFonts w:cs="Arial"/>
          <w:szCs w:val="24"/>
        </w:rPr>
        <w:t xml:space="preserve">ily’s death for a </w:t>
      </w:r>
      <w:r w:rsidR="00BF031B" w:rsidRPr="000D3673">
        <w:rPr>
          <w:rFonts w:cs="Arial"/>
          <w:szCs w:val="24"/>
        </w:rPr>
        <w:t>period spanning about 14 years.</w:t>
      </w:r>
    </w:p>
    <w:p w:rsidR="00BB79E2" w:rsidRPr="000D3673" w:rsidRDefault="001B751F" w:rsidP="002153A4">
      <w:pPr>
        <w:pStyle w:val="1"/>
        <w:rPr>
          <w:rFonts w:cs="Arial"/>
          <w:szCs w:val="24"/>
        </w:rPr>
      </w:pPr>
      <w:r w:rsidRPr="000D3673">
        <w:rPr>
          <w:rFonts w:cs="Arial"/>
          <w:szCs w:val="24"/>
        </w:rPr>
        <w:t>[48</w:t>
      </w:r>
      <w:r w:rsidR="00BF031B" w:rsidRPr="000D3673">
        <w:rPr>
          <w:rFonts w:cs="Arial"/>
          <w:szCs w:val="24"/>
        </w:rPr>
        <w:t>]   As</w:t>
      </w:r>
      <w:r w:rsidR="00BB79E2" w:rsidRPr="000D3673">
        <w:rPr>
          <w:rFonts w:cs="Arial"/>
          <w:szCs w:val="24"/>
        </w:rPr>
        <w:t xml:space="preserve"> stated in Parker</w:t>
      </w:r>
      <w:r w:rsidR="00942715">
        <w:rPr>
          <w:rFonts w:cs="Arial"/>
          <w:szCs w:val="24"/>
        </w:rPr>
        <w:t xml:space="preserve"> (supra)</w:t>
      </w:r>
      <w:r w:rsidR="00BB79E2" w:rsidRPr="000D3673">
        <w:rPr>
          <w:rFonts w:cs="Arial"/>
          <w:szCs w:val="24"/>
        </w:rPr>
        <w:t>, the provision requiring that a specifi</w:t>
      </w:r>
      <w:r w:rsidR="00770B1C">
        <w:rPr>
          <w:rFonts w:cs="Arial"/>
          <w:szCs w:val="24"/>
        </w:rPr>
        <w:t>ed minimum number of trustees</w:t>
      </w:r>
      <w:r w:rsidR="00BB79E2" w:rsidRPr="000D3673">
        <w:rPr>
          <w:rFonts w:cs="Arial"/>
          <w:szCs w:val="24"/>
        </w:rPr>
        <w:t xml:space="preserve"> hold office is a capacity-defining condition. It sets a prerequisite that must be fulfilled be</w:t>
      </w:r>
      <w:r w:rsidR="00942715">
        <w:rPr>
          <w:rFonts w:cs="Arial"/>
          <w:szCs w:val="24"/>
        </w:rPr>
        <w:t>fore a trust can be bound. The Trust D</w:t>
      </w:r>
      <w:r w:rsidR="00BB79E2" w:rsidRPr="000D3673">
        <w:rPr>
          <w:rFonts w:cs="Arial"/>
          <w:szCs w:val="24"/>
        </w:rPr>
        <w:t>eed required a minimum of three and when fewer trustees than the number specified are in office, the trust suffers from an incapacity that precludes any valid legal or administrative action on its behalf.</w:t>
      </w:r>
    </w:p>
    <w:p w:rsidR="00BB79E2" w:rsidRPr="000D3673" w:rsidRDefault="00BB79E2" w:rsidP="00BB79E2">
      <w:pPr>
        <w:pStyle w:val="1"/>
        <w:rPr>
          <w:rFonts w:cs="Arial"/>
          <w:szCs w:val="24"/>
        </w:rPr>
      </w:pPr>
      <w:r w:rsidRPr="000D3673">
        <w:rPr>
          <w:rFonts w:cs="Arial"/>
          <w:szCs w:val="24"/>
        </w:rPr>
        <w:tab/>
      </w:r>
      <w:r w:rsidRPr="000D3673">
        <w:rPr>
          <w:rFonts w:cs="Arial"/>
          <w:szCs w:val="24"/>
        </w:rPr>
        <w:tab/>
      </w:r>
      <w:r w:rsidRPr="000D3673">
        <w:rPr>
          <w:rFonts w:cs="Arial"/>
          <w:szCs w:val="24"/>
        </w:rPr>
        <w:tab/>
      </w:r>
      <w:r w:rsidRPr="000D3673">
        <w:rPr>
          <w:rFonts w:cs="Arial"/>
          <w:szCs w:val="24"/>
        </w:rPr>
        <w:tab/>
      </w:r>
      <w:r w:rsidRPr="000D3673">
        <w:rPr>
          <w:rFonts w:cs="Arial"/>
          <w:szCs w:val="24"/>
        </w:rPr>
        <w:tab/>
      </w:r>
    </w:p>
    <w:p w:rsidR="00BB79E2" w:rsidRPr="000D3673" w:rsidRDefault="001B751F" w:rsidP="00BB79E2">
      <w:pPr>
        <w:pStyle w:val="1"/>
        <w:rPr>
          <w:rFonts w:cs="Arial"/>
          <w:szCs w:val="24"/>
        </w:rPr>
      </w:pPr>
      <w:r w:rsidRPr="000D3673">
        <w:rPr>
          <w:rFonts w:cs="Arial"/>
          <w:szCs w:val="24"/>
        </w:rPr>
        <w:t>[49</w:t>
      </w:r>
      <w:r w:rsidR="00BF031B" w:rsidRPr="000D3673">
        <w:rPr>
          <w:rFonts w:cs="Arial"/>
          <w:szCs w:val="24"/>
        </w:rPr>
        <w:t>]   Morris</w:t>
      </w:r>
      <w:r w:rsidR="00BB79E2" w:rsidRPr="000D3673">
        <w:rPr>
          <w:rFonts w:cs="Arial"/>
          <w:szCs w:val="24"/>
        </w:rPr>
        <w:t xml:space="preserve"> purported to appoint Ronald as director of</w:t>
      </w:r>
      <w:r w:rsidR="00942715">
        <w:rPr>
          <w:rFonts w:cs="Arial"/>
          <w:szCs w:val="24"/>
        </w:rPr>
        <w:t xml:space="preserve"> North </w:t>
      </w:r>
      <w:proofErr w:type="spellStart"/>
      <w:r w:rsidR="00942715" w:rsidRPr="000D3673">
        <w:rPr>
          <w:rFonts w:cs="Arial"/>
          <w:szCs w:val="24"/>
        </w:rPr>
        <w:t>Atherstone</w:t>
      </w:r>
      <w:proofErr w:type="spellEnd"/>
      <w:r w:rsidR="00BB79E2" w:rsidRPr="000D3673">
        <w:rPr>
          <w:rFonts w:cs="Arial"/>
          <w:szCs w:val="24"/>
        </w:rPr>
        <w:t xml:space="preserve"> on the day of Lilly’s passing. This purported administrative act by Morris acting in his capacity as a trustee could not have any legal validity.</w:t>
      </w:r>
    </w:p>
    <w:p w:rsidR="00BB79E2" w:rsidRPr="000D3673" w:rsidRDefault="001B751F" w:rsidP="00BB79E2">
      <w:pPr>
        <w:pStyle w:val="1"/>
        <w:rPr>
          <w:rFonts w:cs="Arial"/>
          <w:szCs w:val="24"/>
        </w:rPr>
      </w:pPr>
      <w:r w:rsidRPr="000D3673">
        <w:rPr>
          <w:rFonts w:cs="Arial"/>
          <w:szCs w:val="24"/>
        </w:rPr>
        <w:t>[50</w:t>
      </w:r>
      <w:r w:rsidR="00BF031B" w:rsidRPr="000D3673">
        <w:rPr>
          <w:rFonts w:cs="Arial"/>
          <w:szCs w:val="24"/>
        </w:rPr>
        <w:t>] Morris</w:t>
      </w:r>
      <w:r w:rsidR="00BB79E2" w:rsidRPr="000D3673">
        <w:rPr>
          <w:rFonts w:cs="Arial"/>
          <w:szCs w:val="24"/>
        </w:rPr>
        <w:t xml:space="preserve"> belatedly tried to rectify the incapacity of the</w:t>
      </w:r>
      <w:r w:rsidR="00950AF8">
        <w:rPr>
          <w:rFonts w:cs="Arial"/>
          <w:szCs w:val="24"/>
        </w:rPr>
        <w:t xml:space="preserve"> Trust by</w:t>
      </w:r>
      <w:r w:rsidR="00BB79E2" w:rsidRPr="000D3673">
        <w:rPr>
          <w:rFonts w:cs="Arial"/>
          <w:szCs w:val="24"/>
        </w:rPr>
        <w:t xml:space="preserve"> purporting to make Suzan and Hilton trustees. He claims that these appointments were delayed by </w:t>
      </w:r>
      <w:r w:rsidR="00BB79E2" w:rsidRPr="000D3673">
        <w:rPr>
          <w:rFonts w:cs="Arial"/>
          <w:szCs w:val="24"/>
        </w:rPr>
        <w:lastRenderedPageBreak/>
        <w:t>the Master’s office which failed to issue letters of authority. He, however f</w:t>
      </w:r>
      <w:r w:rsidR="00942715">
        <w:rPr>
          <w:rFonts w:cs="Arial"/>
          <w:szCs w:val="24"/>
        </w:rPr>
        <w:t>ails to address a letter attached</w:t>
      </w:r>
      <w:r w:rsidR="00BB79E2" w:rsidRPr="000D3673">
        <w:rPr>
          <w:rFonts w:cs="Arial"/>
          <w:szCs w:val="24"/>
        </w:rPr>
        <w:t xml:space="preserve"> to t</w:t>
      </w:r>
      <w:r w:rsidR="00942715">
        <w:rPr>
          <w:rFonts w:cs="Arial"/>
          <w:szCs w:val="24"/>
        </w:rPr>
        <w:t>he founding affidavit from the M</w:t>
      </w:r>
      <w:r w:rsidR="00BB79E2" w:rsidRPr="000D3673">
        <w:rPr>
          <w:rFonts w:cs="Arial"/>
          <w:szCs w:val="24"/>
        </w:rPr>
        <w:t>aster’s office requesting the necessary documentation in order to issue them with letters of authority. He produces no e</w:t>
      </w:r>
      <w:r w:rsidR="00950AF8">
        <w:rPr>
          <w:rFonts w:cs="Arial"/>
          <w:szCs w:val="24"/>
        </w:rPr>
        <w:t>vidence of compliance with the M</w:t>
      </w:r>
      <w:r w:rsidR="00BB79E2" w:rsidRPr="000D3673">
        <w:rPr>
          <w:rFonts w:cs="Arial"/>
          <w:szCs w:val="24"/>
        </w:rPr>
        <w:t>aster’s request.</w:t>
      </w:r>
    </w:p>
    <w:p w:rsidR="00BB79E2" w:rsidRPr="000D3673" w:rsidRDefault="001B751F" w:rsidP="00942715">
      <w:pPr>
        <w:pStyle w:val="1"/>
        <w:rPr>
          <w:rFonts w:cs="Arial"/>
          <w:szCs w:val="24"/>
        </w:rPr>
      </w:pPr>
      <w:r w:rsidRPr="000D3673">
        <w:rPr>
          <w:rFonts w:cs="Arial"/>
          <w:szCs w:val="24"/>
        </w:rPr>
        <w:t>[51</w:t>
      </w:r>
      <w:r w:rsidR="00BF031B" w:rsidRPr="000D3673">
        <w:rPr>
          <w:rFonts w:cs="Arial"/>
          <w:szCs w:val="24"/>
        </w:rPr>
        <w:t>] It</w:t>
      </w:r>
      <w:r w:rsidR="00BB79E2" w:rsidRPr="000D3673">
        <w:rPr>
          <w:rFonts w:cs="Arial"/>
          <w:szCs w:val="24"/>
        </w:rPr>
        <w:t xml:space="preserve"> has been submitted on behalf of Morris t</w:t>
      </w:r>
      <w:r w:rsidR="00942715">
        <w:rPr>
          <w:rFonts w:cs="Arial"/>
          <w:szCs w:val="24"/>
        </w:rPr>
        <w:t>hat it is not correct that the T</w:t>
      </w:r>
      <w:r w:rsidR="00BB79E2" w:rsidRPr="000D3673">
        <w:rPr>
          <w:rFonts w:cs="Arial"/>
          <w:szCs w:val="24"/>
        </w:rPr>
        <w:t xml:space="preserve">rust automatically and simultaneously suffered from an incapacity when the number of trustees fell below three. Reliance is sought in support of this submission on </w:t>
      </w:r>
      <w:r w:rsidR="00BB79E2" w:rsidRPr="00942715">
        <w:rPr>
          <w:rFonts w:cs="Arial"/>
          <w:i/>
          <w:szCs w:val="24"/>
        </w:rPr>
        <w:t xml:space="preserve">Natal Joint Pension Fund v </w:t>
      </w:r>
      <w:proofErr w:type="spellStart"/>
      <w:r w:rsidR="00BB79E2" w:rsidRPr="00942715">
        <w:rPr>
          <w:rFonts w:cs="Arial"/>
          <w:i/>
          <w:szCs w:val="24"/>
        </w:rPr>
        <w:t>Endumeni</w:t>
      </w:r>
      <w:proofErr w:type="spellEnd"/>
      <w:r w:rsidR="00BB79E2" w:rsidRPr="00942715">
        <w:rPr>
          <w:rFonts w:cs="Arial"/>
          <w:i/>
          <w:szCs w:val="24"/>
        </w:rPr>
        <w:t xml:space="preserve"> Municipality</w:t>
      </w:r>
      <w:r w:rsidR="00942715">
        <w:rPr>
          <w:rStyle w:val="FootnoteReference"/>
          <w:rFonts w:cs="Arial"/>
          <w:szCs w:val="24"/>
        </w:rPr>
        <w:footnoteReference w:id="3"/>
      </w:r>
      <w:r w:rsidR="00BB79E2" w:rsidRPr="000D3673">
        <w:rPr>
          <w:rFonts w:cs="Arial"/>
          <w:szCs w:val="24"/>
        </w:rPr>
        <w:t xml:space="preserve">  where it was stated</w:t>
      </w:r>
      <w:r w:rsidR="00942715">
        <w:rPr>
          <w:rFonts w:cs="Arial"/>
          <w:szCs w:val="24"/>
        </w:rPr>
        <w:t xml:space="preserve"> that, a Trust D</w:t>
      </w:r>
      <w:r w:rsidR="00BB79E2" w:rsidRPr="000D3673">
        <w:rPr>
          <w:rFonts w:cs="Arial"/>
          <w:szCs w:val="24"/>
        </w:rPr>
        <w:t xml:space="preserve">eed, like any other document must be interpreted in a business-like manner, having regard to the text, context and purpose of its provisions. This submission is not sustainable in light of the </w:t>
      </w:r>
      <w:r w:rsidR="00BB79E2" w:rsidRPr="00942715">
        <w:rPr>
          <w:rFonts w:cs="Arial"/>
          <w:i/>
          <w:szCs w:val="24"/>
        </w:rPr>
        <w:t>Parker</w:t>
      </w:r>
      <w:r w:rsidR="00BB79E2" w:rsidRPr="000D3673">
        <w:rPr>
          <w:rFonts w:cs="Arial"/>
          <w:szCs w:val="24"/>
        </w:rPr>
        <w:t xml:space="preserve"> decision in which</w:t>
      </w:r>
      <w:r w:rsidR="00BF13BF">
        <w:rPr>
          <w:rFonts w:cs="Arial"/>
          <w:szCs w:val="24"/>
        </w:rPr>
        <w:t xml:space="preserve"> the</w:t>
      </w:r>
      <w:r w:rsidR="00BB79E2" w:rsidRPr="000D3673">
        <w:rPr>
          <w:rFonts w:cs="Arial"/>
          <w:szCs w:val="24"/>
        </w:rPr>
        <w:t xml:space="preserve"> number of trustees in defined as a capacity-defining condition. The submission arise</w:t>
      </w:r>
      <w:r w:rsidR="00D61F2C">
        <w:rPr>
          <w:rFonts w:cs="Arial"/>
          <w:szCs w:val="24"/>
        </w:rPr>
        <w:t>s from a confusion between the T</w:t>
      </w:r>
      <w:r w:rsidR="00BB79E2" w:rsidRPr="000D3673">
        <w:rPr>
          <w:rFonts w:cs="Arial"/>
          <w:szCs w:val="24"/>
        </w:rPr>
        <w:t>rust estate which remains in existe</w:t>
      </w:r>
      <w:r w:rsidR="006011EF">
        <w:rPr>
          <w:rFonts w:cs="Arial"/>
          <w:szCs w:val="24"/>
        </w:rPr>
        <w:t>nce and the capacity to act by t</w:t>
      </w:r>
      <w:r w:rsidR="00D61F2C">
        <w:rPr>
          <w:rFonts w:cs="Arial"/>
          <w:szCs w:val="24"/>
        </w:rPr>
        <w:t>he T</w:t>
      </w:r>
      <w:r w:rsidR="00BB79E2" w:rsidRPr="000D3673">
        <w:rPr>
          <w:rFonts w:cs="Arial"/>
          <w:szCs w:val="24"/>
        </w:rPr>
        <w:t>rust which, absent the quorum of 3 trustees, does not exist.</w:t>
      </w:r>
    </w:p>
    <w:p w:rsidR="00BB79E2" w:rsidRPr="000D3673" w:rsidRDefault="001B751F" w:rsidP="00BF031B">
      <w:pPr>
        <w:pStyle w:val="1"/>
        <w:rPr>
          <w:rFonts w:cs="Arial"/>
          <w:szCs w:val="24"/>
        </w:rPr>
      </w:pPr>
      <w:r w:rsidRPr="000D3673">
        <w:rPr>
          <w:rFonts w:cs="Arial"/>
          <w:szCs w:val="24"/>
        </w:rPr>
        <w:t>[52</w:t>
      </w:r>
      <w:r w:rsidR="00BF031B" w:rsidRPr="000D3673">
        <w:rPr>
          <w:rFonts w:cs="Arial"/>
          <w:szCs w:val="24"/>
        </w:rPr>
        <w:t>] It</w:t>
      </w:r>
      <w:r w:rsidR="00BB79E2" w:rsidRPr="000D3673">
        <w:rPr>
          <w:rFonts w:cs="Arial"/>
          <w:szCs w:val="24"/>
        </w:rPr>
        <w:t xml:space="preserve"> is contended on behalf of Morris th</w:t>
      </w:r>
      <w:r w:rsidR="00950AF8">
        <w:rPr>
          <w:rFonts w:cs="Arial"/>
          <w:szCs w:val="24"/>
        </w:rPr>
        <w:t>at he continued to operate the T</w:t>
      </w:r>
      <w:r w:rsidR="00BB79E2" w:rsidRPr="000D3673">
        <w:rPr>
          <w:rFonts w:cs="Arial"/>
          <w:szCs w:val="24"/>
        </w:rPr>
        <w:t xml:space="preserve">rust as a sole trustee. It is contended that the applicants did not raise the </w:t>
      </w:r>
      <w:r w:rsidR="00950AF8">
        <w:rPr>
          <w:rFonts w:cs="Arial"/>
          <w:szCs w:val="24"/>
        </w:rPr>
        <w:t>issue of incapacitation of the T</w:t>
      </w:r>
      <w:r w:rsidR="00BB79E2" w:rsidRPr="000D3673">
        <w:rPr>
          <w:rFonts w:cs="Arial"/>
          <w:szCs w:val="24"/>
        </w:rPr>
        <w:t xml:space="preserve">rust when they negotiated with Morris and concluded an agreement </w:t>
      </w:r>
      <w:r w:rsidR="00D61F2C">
        <w:rPr>
          <w:rFonts w:cs="Arial"/>
          <w:szCs w:val="24"/>
        </w:rPr>
        <w:t>between the applicants and the T</w:t>
      </w:r>
      <w:r w:rsidR="00BB79E2" w:rsidRPr="000D3673">
        <w:rPr>
          <w:rFonts w:cs="Arial"/>
          <w:szCs w:val="24"/>
        </w:rPr>
        <w:t xml:space="preserve">rust which anticipated a distribution event in the form of a payment to the applicants in dollars </w:t>
      </w:r>
      <w:r w:rsidR="00BF13BF">
        <w:rPr>
          <w:rFonts w:cs="Arial"/>
          <w:szCs w:val="24"/>
        </w:rPr>
        <w:t>which was preceded by a renuncia</w:t>
      </w:r>
      <w:r w:rsidR="00BB79E2" w:rsidRPr="000D3673">
        <w:rPr>
          <w:rFonts w:cs="Arial"/>
          <w:szCs w:val="24"/>
        </w:rPr>
        <w:t>tion agreement signed by the applicants.</w:t>
      </w:r>
      <w:r w:rsidR="00BB79E2" w:rsidRPr="000D3673">
        <w:rPr>
          <w:rFonts w:cs="Arial"/>
          <w:szCs w:val="24"/>
        </w:rPr>
        <w:tab/>
      </w:r>
      <w:r w:rsidR="00BB79E2" w:rsidRPr="000D3673">
        <w:rPr>
          <w:rFonts w:cs="Arial"/>
          <w:szCs w:val="24"/>
        </w:rPr>
        <w:tab/>
      </w:r>
      <w:r w:rsidR="00BB79E2" w:rsidRPr="000D3673">
        <w:rPr>
          <w:rFonts w:cs="Arial"/>
          <w:szCs w:val="24"/>
        </w:rPr>
        <w:tab/>
      </w:r>
      <w:r w:rsidR="00BB79E2" w:rsidRPr="000D3673">
        <w:rPr>
          <w:rFonts w:cs="Arial"/>
          <w:szCs w:val="24"/>
        </w:rPr>
        <w:tab/>
      </w:r>
    </w:p>
    <w:p w:rsidR="00BB79E2" w:rsidRPr="000D3673" w:rsidRDefault="001B751F" w:rsidP="00BF031B">
      <w:pPr>
        <w:pStyle w:val="1"/>
        <w:rPr>
          <w:rFonts w:cs="Arial"/>
          <w:szCs w:val="24"/>
        </w:rPr>
      </w:pPr>
      <w:r w:rsidRPr="000D3673">
        <w:rPr>
          <w:rFonts w:cs="Arial"/>
          <w:szCs w:val="24"/>
        </w:rPr>
        <w:t>[53</w:t>
      </w:r>
      <w:r w:rsidR="00BF031B" w:rsidRPr="000D3673">
        <w:rPr>
          <w:rFonts w:cs="Arial"/>
          <w:szCs w:val="24"/>
        </w:rPr>
        <w:t>] The</w:t>
      </w:r>
      <w:r w:rsidR="00BB79E2" w:rsidRPr="000D3673">
        <w:rPr>
          <w:rFonts w:cs="Arial"/>
          <w:szCs w:val="24"/>
        </w:rPr>
        <w:t xml:space="preserve"> agreement in terms of which the applicants were to be paid as part of a </w:t>
      </w:r>
      <w:r w:rsidR="00BB79E2" w:rsidRPr="000D3673">
        <w:rPr>
          <w:rFonts w:cs="Arial"/>
          <w:szCs w:val="24"/>
        </w:rPr>
        <w:lastRenderedPageBreak/>
        <w:t>distribution event is common cause. What is also common cause being that the said agreement</w:t>
      </w:r>
      <w:r w:rsidR="00BF13BF">
        <w:rPr>
          <w:rFonts w:cs="Arial"/>
          <w:szCs w:val="24"/>
        </w:rPr>
        <w:t xml:space="preserve"> assuming it was valid,</w:t>
      </w:r>
      <w:r w:rsidR="00BB79E2" w:rsidRPr="000D3673">
        <w:rPr>
          <w:rFonts w:cs="Arial"/>
          <w:szCs w:val="24"/>
        </w:rPr>
        <w:t xml:space="preserve"> lapsed due to a failure to </w:t>
      </w:r>
      <w:r w:rsidR="00BF13BF">
        <w:rPr>
          <w:rFonts w:cs="Arial"/>
          <w:szCs w:val="24"/>
        </w:rPr>
        <w:t>comply with certain pre-conditions. More importantly, whatever</w:t>
      </w:r>
      <w:r w:rsidR="00BB79E2" w:rsidRPr="000D3673">
        <w:rPr>
          <w:rFonts w:cs="Arial"/>
          <w:szCs w:val="24"/>
        </w:rPr>
        <w:t xml:space="preserve"> impression the applicants and Morris may have laboured under</w:t>
      </w:r>
      <w:r w:rsidR="001E5D5D">
        <w:rPr>
          <w:rFonts w:cs="Arial"/>
          <w:szCs w:val="24"/>
        </w:rPr>
        <w:t xml:space="preserve"> regarding the capacity of the T</w:t>
      </w:r>
      <w:r w:rsidR="00BB79E2" w:rsidRPr="000D3673">
        <w:rPr>
          <w:rFonts w:cs="Arial"/>
          <w:szCs w:val="24"/>
        </w:rPr>
        <w:t>r</w:t>
      </w:r>
      <w:r w:rsidR="001E5D5D">
        <w:rPr>
          <w:rFonts w:cs="Arial"/>
          <w:szCs w:val="24"/>
        </w:rPr>
        <w:t>ust would not have endowed the T</w:t>
      </w:r>
      <w:r w:rsidR="00BB79E2" w:rsidRPr="000D3673">
        <w:rPr>
          <w:rFonts w:cs="Arial"/>
          <w:szCs w:val="24"/>
        </w:rPr>
        <w:t>rust with legal capacity to act despite an undisputed non-compliance with the capac</w:t>
      </w:r>
      <w:r w:rsidR="00E235AA">
        <w:rPr>
          <w:rFonts w:cs="Arial"/>
          <w:szCs w:val="24"/>
        </w:rPr>
        <w:t xml:space="preserve">ity </w:t>
      </w:r>
      <w:r w:rsidR="00BF13BF">
        <w:rPr>
          <w:rFonts w:cs="Arial"/>
          <w:szCs w:val="24"/>
        </w:rPr>
        <w:t>defining provisions of the Trust D</w:t>
      </w:r>
      <w:r w:rsidR="00BB79E2" w:rsidRPr="000D3673">
        <w:rPr>
          <w:rFonts w:cs="Arial"/>
          <w:szCs w:val="24"/>
        </w:rPr>
        <w:t>eed. The conduct of t</w:t>
      </w:r>
      <w:r w:rsidR="001E5D5D">
        <w:rPr>
          <w:rFonts w:cs="Arial"/>
          <w:szCs w:val="24"/>
        </w:rPr>
        <w:t>he parties cannot capacitate a T</w:t>
      </w:r>
      <w:r w:rsidR="00BB79E2" w:rsidRPr="000D3673">
        <w:rPr>
          <w:rFonts w:cs="Arial"/>
          <w:szCs w:val="24"/>
        </w:rPr>
        <w:t>rust. The fact of the matter is that neither Morris acting together with Lilly during the latter’s lifetime nor Morris acting alone after</w:t>
      </w:r>
      <w:r w:rsidR="00BF13BF">
        <w:rPr>
          <w:rFonts w:cs="Arial"/>
          <w:szCs w:val="24"/>
        </w:rPr>
        <w:t xml:space="preserve"> Lily’s passing were trustees as defined in the Trust D</w:t>
      </w:r>
      <w:r w:rsidR="00BB79E2" w:rsidRPr="000D3673">
        <w:rPr>
          <w:rFonts w:cs="Arial"/>
          <w:szCs w:val="24"/>
        </w:rPr>
        <w:t>eed. For as long as there were</w:t>
      </w:r>
      <w:r w:rsidR="00BF13BF">
        <w:rPr>
          <w:rFonts w:cs="Arial"/>
          <w:szCs w:val="24"/>
        </w:rPr>
        <w:t xml:space="preserve"> fewer than three trustee</w:t>
      </w:r>
      <w:r w:rsidR="001E5D5D">
        <w:rPr>
          <w:rFonts w:cs="Arial"/>
          <w:szCs w:val="24"/>
        </w:rPr>
        <w:t>s</w:t>
      </w:r>
      <w:r w:rsidR="00BF13BF">
        <w:rPr>
          <w:rFonts w:cs="Arial"/>
          <w:szCs w:val="24"/>
        </w:rPr>
        <w:t>, there were</w:t>
      </w:r>
      <w:r w:rsidR="00BB79E2" w:rsidRPr="000D3673">
        <w:rPr>
          <w:rFonts w:cs="Arial"/>
          <w:szCs w:val="24"/>
        </w:rPr>
        <w:t xml:space="preserve"> no trustees who had auth</w:t>
      </w:r>
      <w:r w:rsidR="00BF031B" w:rsidRPr="000D3673">
        <w:rPr>
          <w:rFonts w:cs="Arial"/>
          <w:szCs w:val="24"/>
        </w:rPr>
        <w:t>ority to bind the trust estate.</w:t>
      </w:r>
    </w:p>
    <w:p w:rsidR="00BF031B" w:rsidRPr="000D3673" w:rsidRDefault="001B751F" w:rsidP="00BF031B">
      <w:pPr>
        <w:pStyle w:val="1"/>
        <w:rPr>
          <w:rFonts w:cs="Arial"/>
          <w:szCs w:val="24"/>
        </w:rPr>
      </w:pPr>
      <w:r w:rsidRPr="000D3673">
        <w:rPr>
          <w:rFonts w:cs="Arial"/>
          <w:szCs w:val="24"/>
        </w:rPr>
        <w:t>[54</w:t>
      </w:r>
      <w:r w:rsidR="00BF031B" w:rsidRPr="000D3673">
        <w:rPr>
          <w:rFonts w:cs="Arial"/>
          <w:szCs w:val="24"/>
        </w:rPr>
        <w:t>] It</w:t>
      </w:r>
      <w:r w:rsidR="00BB79E2" w:rsidRPr="000D3673">
        <w:rPr>
          <w:rFonts w:cs="Arial"/>
          <w:szCs w:val="24"/>
        </w:rPr>
        <w:t xml:space="preserve"> is submitted on behalf of Morris that he still has authority. Reliance is sought in this regard from </w:t>
      </w:r>
      <w:proofErr w:type="spellStart"/>
      <w:r w:rsidR="00BB79E2" w:rsidRPr="00E235AA">
        <w:rPr>
          <w:rFonts w:cs="Arial"/>
          <w:i/>
          <w:szCs w:val="24"/>
        </w:rPr>
        <w:t>Haita</w:t>
      </w:r>
      <w:r w:rsidR="00E235AA" w:rsidRPr="00E235AA">
        <w:rPr>
          <w:rFonts w:cs="Arial"/>
          <w:i/>
          <w:szCs w:val="24"/>
        </w:rPr>
        <w:t>s</w:t>
      </w:r>
      <w:proofErr w:type="spellEnd"/>
      <w:r w:rsidR="00BB79E2" w:rsidRPr="00E235AA">
        <w:rPr>
          <w:rFonts w:cs="Arial"/>
          <w:i/>
          <w:szCs w:val="24"/>
        </w:rPr>
        <w:t xml:space="preserve"> v </w:t>
      </w:r>
      <w:proofErr w:type="spellStart"/>
      <w:r w:rsidR="00BB79E2" w:rsidRPr="00E235AA">
        <w:rPr>
          <w:rFonts w:cs="Arial"/>
          <w:i/>
          <w:szCs w:val="24"/>
        </w:rPr>
        <w:t>Froneman</w:t>
      </w:r>
      <w:proofErr w:type="spellEnd"/>
      <w:r w:rsidR="00E235AA">
        <w:rPr>
          <w:rStyle w:val="FootnoteReference"/>
          <w:rFonts w:cs="Arial"/>
          <w:i/>
          <w:szCs w:val="24"/>
        </w:rPr>
        <w:footnoteReference w:id="4"/>
      </w:r>
      <w:r w:rsidR="00BB79E2" w:rsidRPr="00E235AA">
        <w:rPr>
          <w:rFonts w:cs="Arial"/>
          <w:szCs w:val="24"/>
        </w:rPr>
        <w:t xml:space="preserve"> </w:t>
      </w:r>
      <w:r w:rsidR="001E5D5D">
        <w:rPr>
          <w:rFonts w:cs="Arial"/>
          <w:szCs w:val="24"/>
        </w:rPr>
        <w:t xml:space="preserve"> but </w:t>
      </w:r>
      <w:r w:rsidR="00BB79E2" w:rsidRPr="000D3673">
        <w:rPr>
          <w:rFonts w:cs="Arial"/>
          <w:szCs w:val="24"/>
        </w:rPr>
        <w:t>in that matter there is a pr</w:t>
      </w:r>
      <w:r w:rsidR="001E5D5D">
        <w:rPr>
          <w:rFonts w:cs="Arial"/>
          <w:szCs w:val="24"/>
        </w:rPr>
        <w:t>oviso that reads a</w:t>
      </w:r>
      <w:r w:rsidR="00BF031B" w:rsidRPr="000D3673">
        <w:rPr>
          <w:rFonts w:cs="Arial"/>
          <w:szCs w:val="24"/>
        </w:rPr>
        <w:t xml:space="preserve">s follows; </w:t>
      </w:r>
    </w:p>
    <w:p w:rsidR="00BB79E2" w:rsidRPr="000D3673" w:rsidRDefault="00BB79E2" w:rsidP="00BF031B">
      <w:pPr>
        <w:pStyle w:val="1"/>
        <w:ind w:left="1287"/>
        <w:rPr>
          <w:rFonts w:cs="Arial"/>
          <w:szCs w:val="24"/>
        </w:rPr>
      </w:pPr>
      <w:r w:rsidRPr="000D3673">
        <w:rPr>
          <w:rFonts w:cs="Arial"/>
          <w:i/>
          <w:szCs w:val="24"/>
        </w:rPr>
        <w:t>“provided that if there is only one trustee, the remaining trustee will be authorised to exercise all the powers of trustee</w:t>
      </w:r>
      <w:r w:rsidR="00E235AA">
        <w:rPr>
          <w:rFonts w:cs="Arial"/>
          <w:i/>
          <w:szCs w:val="24"/>
        </w:rPr>
        <w:t>s</w:t>
      </w:r>
      <w:r w:rsidRPr="000D3673">
        <w:rPr>
          <w:rFonts w:cs="Arial"/>
          <w:i/>
          <w:szCs w:val="24"/>
        </w:rPr>
        <w:t xml:space="preserve"> for the maintenance and administration of the trust fund until such time as another trustee has</w:t>
      </w:r>
      <w:r w:rsidR="00E235AA">
        <w:rPr>
          <w:rFonts w:cs="Arial"/>
          <w:i/>
          <w:szCs w:val="24"/>
        </w:rPr>
        <w:t xml:space="preserve"> been appointed, which appointment</w:t>
      </w:r>
      <w:r w:rsidRPr="000D3673">
        <w:rPr>
          <w:rFonts w:cs="Arial"/>
          <w:i/>
          <w:szCs w:val="24"/>
        </w:rPr>
        <w:t xml:space="preserve"> the trustee so in office shall make within ninety (90) days of the registration or death of his co-trustee”. </w:t>
      </w:r>
    </w:p>
    <w:p w:rsidR="00BB79E2" w:rsidRPr="000D3673" w:rsidRDefault="001B751F" w:rsidP="00BB79E2">
      <w:pPr>
        <w:pStyle w:val="1"/>
        <w:rPr>
          <w:rFonts w:cs="Arial"/>
          <w:szCs w:val="24"/>
        </w:rPr>
      </w:pPr>
      <w:r w:rsidRPr="000D3673">
        <w:rPr>
          <w:rFonts w:cs="Arial"/>
          <w:szCs w:val="24"/>
        </w:rPr>
        <w:t>[55</w:t>
      </w:r>
      <w:r w:rsidR="00BF031B" w:rsidRPr="000D3673">
        <w:rPr>
          <w:rFonts w:cs="Arial"/>
          <w:szCs w:val="24"/>
        </w:rPr>
        <w:t>] The</w:t>
      </w:r>
      <w:r w:rsidR="00BB79E2" w:rsidRPr="000D3673">
        <w:rPr>
          <w:rFonts w:cs="Arial"/>
          <w:szCs w:val="24"/>
        </w:rPr>
        <w:t xml:space="preserve"> fallacy of seeking support in</w:t>
      </w:r>
      <w:r w:rsidR="00BB79E2" w:rsidRPr="00E235AA">
        <w:rPr>
          <w:rFonts w:cs="Arial"/>
          <w:i/>
          <w:szCs w:val="24"/>
        </w:rPr>
        <w:t xml:space="preserve"> </w:t>
      </w:r>
      <w:proofErr w:type="spellStart"/>
      <w:r w:rsidR="00BB79E2" w:rsidRPr="00E235AA">
        <w:rPr>
          <w:rFonts w:cs="Arial"/>
          <w:i/>
          <w:szCs w:val="24"/>
        </w:rPr>
        <w:t>Haitas</w:t>
      </w:r>
      <w:proofErr w:type="spellEnd"/>
      <w:r w:rsidR="001E5D5D">
        <w:rPr>
          <w:rFonts w:cs="Arial"/>
          <w:szCs w:val="24"/>
        </w:rPr>
        <w:t xml:space="preserve"> (s</w:t>
      </w:r>
      <w:r w:rsidR="00E235AA">
        <w:rPr>
          <w:rFonts w:cs="Arial"/>
          <w:szCs w:val="24"/>
        </w:rPr>
        <w:t>upra)</w:t>
      </w:r>
      <w:r w:rsidR="00BB79E2" w:rsidRPr="000D3673">
        <w:rPr>
          <w:rFonts w:cs="Arial"/>
          <w:szCs w:val="24"/>
        </w:rPr>
        <w:t xml:space="preserve"> is that </w:t>
      </w:r>
      <w:r w:rsidR="00E235AA">
        <w:rPr>
          <w:rFonts w:cs="Arial"/>
          <w:szCs w:val="24"/>
        </w:rPr>
        <w:t xml:space="preserve">it </w:t>
      </w:r>
      <w:r w:rsidR="00BB79E2" w:rsidRPr="000D3673">
        <w:rPr>
          <w:rFonts w:cs="Arial"/>
          <w:szCs w:val="24"/>
        </w:rPr>
        <w:t>seek</w:t>
      </w:r>
      <w:r w:rsidR="00E235AA">
        <w:rPr>
          <w:rFonts w:cs="Arial"/>
          <w:szCs w:val="24"/>
        </w:rPr>
        <w:t>s to impo</w:t>
      </w:r>
      <w:r w:rsidR="00BB79E2" w:rsidRPr="000D3673">
        <w:rPr>
          <w:rFonts w:cs="Arial"/>
          <w:szCs w:val="24"/>
        </w:rPr>
        <w:t>rt a provi</w:t>
      </w:r>
      <w:r w:rsidR="00E235AA">
        <w:rPr>
          <w:rFonts w:cs="Arial"/>
          <w:szCs w:val="24"/>
        </w:rPr>
        <w:t>so which does not exist in the Trust D</w:t>
      </w:r>
      <w:r w:rsidR="00BB79E2" w:rsidRPr="000D3673">
        <w:rPr>
          <w:rFonts w:cs="Arial"/>
          <w:szCs w:val="24"/>
        </w:rPr>
        <w:t xml:space="preserve">eed in the present case. The decision in </w:t>
      </w:r>
      <w:proofErr w:type="spellStart"/>
      <w:r w:rsidR="00BB79E2" w:rsidRPr="00E235AA">
        <w:rPr>
          <w:rFonts w:cs="Arial"/>
          <w:i/>
          <w:szCs w:val="24"/>
        </w:rPr>
        <w:t>Haitas</w:t>
      </w:r>
      <w:proofErr w:type="spellEnd"/>
      <w:r w:rsidR="001E5D5D">
        <w:rPr>
          <w:rFonts w:cs="Arial"/>
          <w:szCs w:val="24"/>
        </w:rPr>
        <w:t xml:space="preserve"> was</w:t>
      </w:r>
      <w:r w:rsidR="00BB79E2" w:rsidRPr="000D3673">
        <w:rPr>
          <w:rFonts w:cs="Arial"/>
          <w:szCs w:val="24"/>
        </w:rPr>
        <w:t xml:space="preserve"> based on that provision</w:t>
      </w:r>
      <w:r w:rsidR="00E235AA">
        <w:rPr>
          <w:rFonts w:cs="Arial"/>
          <w:szCs w:val="24"/>
        </w:rPr>
        <w:t xml:space="preserve"> in that</w:t>
      </w:r>
      <w:r w:rsidR="001E5D5D">
        <w:rPr>
          <w:rFonts w:cs="Arial"/>
          <w:szCs w:val="24"/>
        </w:rPr>
        <w:t xml:space="preserve"> specific</w:t>
      </w:r>
      <w:r w:rsidR="00E235AA">
        <w:rPr>
          <w:rFonts w:cs="Arial"/>
          <w:szCs w:val="24"/>
        </w:rPr>
        <w:t xml:space="preserve"> case</w:t>
      </w:r>
      <w:r w:rsidR="00BB79E2" w:rsidRPr="000D3673">
        <w:rPr>
          <w:rFonts w:cs="Arial"/>
          <w:szCs w:val="24"/>
        </w:rPr>
        <w:t xml:space="preserve"> and there lies the distinction </w:t>
      </w:r>
      <w:r w:rsidR="00BB79E2" w:rsidRPr="000D3673">
        <w:rPr>
          <w:rFonts w:cs="Arial"/>
          <w:szCs w:val="24"/>
        </w:rPr>
        <w:lastRenderedPageBreak/>
        <w:t xml:space="preserve">between the two cases. It would therefore be irrational to try and interpret the trust deed in the present case on the basis of a provision in another case which may bear a vague resemblance to the present case. Morris is not assisted by the </w:t>
      </w:r>
      <w:proofErr w:type="spellStart"/>
      <w:r w:rsidR="00BB79E2" w:rsidRPr="000D3673">
        <w:rPr>
          <w:rFonts w:cs="Arial"/>
          <w:szCs w:val="24"/>
        </w:rPr>
        <w:t>Haitas</w:t>
      </w:r>
      <w:proofErr w:type="spellEnd"/>
      <w:r w:rsidR="00BB79E2" w:rsidRPr="000D3673">
        <w:rPr>
          <w:rFonts w:cs="Arial"/>
          <w:szCs w:val="24"/>
        </w:rPr>
        <w:t xml:space="preserve"> decision and the fac</w:t>
      </w:r>
      <w:r w:rsidR="00E235AA">
        <w:rPr>
          <w:rFonts w:cs="Arial"/>
          <w:szCs w:val="24"/>
        </w:rPr>
        <w:t>t that the T</w:t>
      </w:r>
      <w:r w:rsidR="00BB79E2" w:rsidRPr="000D3673">
        <w:rPr>
          <w:rFonts w:cs="Arial"/>
          <w:szCs w:val="24"/>
        </w:rPr>
        <w:t>rust has been incapacitated since Henry died in 2004 remains valid.</w:t>
      </w:r>
    </w:p>
    <w:p w:rsidR="00BF031B" w:rsidRPr="000D3673" w:rsidRDefault="001B751F" w:rsidP="006B0A38">
      <w:pPr>
        <w:pStyle w:val="1"/>
        <w:rPr>
          <w:rFonts w:cs="Arial"/>
          <w:szCs w:val="24"/>
        </w:rPr>
      </w:pPr>
      <w:r w:rsidRPr="000D3673">
        <w:rPr>
          <w:rFonts w:cs="Arial"/>
          <w:szCs w:val="24"/>
        </w:rPr>
        <w:t>[56</w:t>
      </w:r>
      <w:r w:rsidR="00BF031B" w:rsidRPr="000D3673">
        <w:rPr>
          <w:rFonts w:cs="Arial"/>
          <w:szCs w:val="24"/>
        </w:rPr>
        <w:t xml:space="preserve">]   </w:t>
      </w:r>
      <w:r w:rsidR="00BB79E2" w:rsidRPr="000D3673">
        <w:rPr>
          <w:rFonts w:cs="Arial"/>
          <w:szCs w:val="24"/>
        </w:rPr>
        <w:t>It also does not assist Morris to seek refuge in clause 5.1 which provides: “until such assumption is made, the remaining trustees shall be entitled to continue to ac</w:t>
      </w:r>
      <w:r w:rsidR="006B0A38">
        <w:rPr>
          <w:rFonts w:cs="Arial"/>
          <w:szCs w:val="24"/>
        </w:rPr>
        <w:t>t in all matters affecting the T</w:t>
      </w:r>
      <w:r w:rsidR="00BB79E2" w:rsidRPr="000D3673">
        <w:rPr>
          <w:rFonts w:cs="Arial"/>
          <w:szCs w:val="24"/>
        </w:rPr>
        <w:t xml:space="preserve">rust”. </w:t>
      </w:r>
      <w:r w:rsidR="00BF031B" w:rsidRPr="000D3673">
        <w:rPr>
          <w:rFonts w:cs="Arial"/>
          <w:szCs w:val="24"/>
        </w:rPr>
        <w:t>Firstly,</w:t>
      </w:r>
      <w:r w:rsidR="006B0A38">
        <w:rPr>
          <w:rFonts w:cs="Arial"/>
          <w:szCs w:val="24"/>
        </w:rPr>
        <w:t xml:space="preserve"> the Trust D</w:t>
      </w:r>
      <w:r w:rsidR="00BB79E2" w:rsidRPr="000D3673">
        <w:rPr>
          <w:rFonts w:cs="Arial"/>
          <w:szCs w:val="24"/>
        </w:rPr>
        <w:t xml:space="preserve">eed provides a </w:t>
      </w:r>
      <w:r w:rsidR="00BF031B" w:rsidRPr="000D3673">
        <w:rPr>
          <w:rFonts w:cs="Arial"/>
          <w:szCs w:val="24"/>
        </w:rPr>
        <w:t>60-day</w:t>
      </w:r>
      <w:r w:rsidR="00BB79E2" w:rsidRPr="000D3673">
        <w:rPr>
          <w:rFonts w:cs="Arial"/>
          <w:szCs w:val="24"/>
        </w:rPr>
        <w:t xml:space="preserve"> window period within which the remaining trustee or trustees have such authority and thereafter the auditors assume the authority to appoint. Secondly, whilst Morris could still wear the hat of a trustee, his actions as a sole truste</w:t>
      </w:r>
      <w:r w:rsidR="00E235AA">
        <w:rPr>
          <w:rFonts w:cs="Arial"/>
          <w:szCs w:val="24"/>
        </w:rPr>
        <w:t>e had no binding authority on a</w:t>
      </w:r>
      <w:r w:rsidR="006B0A38">
        <w:rPr>
          <w:rFonts w:cs="Arial"/>
          <w:szCs w:val="24"/>
        </w:rPr>
        <w:t>n incapacitated T</w:t>
      </w:r>
      <w:r w:rsidR="00BB79E2" w:rsidRPr="000D3673">
        <w:rPr>
          <w:rFonts w:cs="Arial"/>
          <w:szCs w:val="24"/>
        </w:rPr>
        <w:t>rust. If Morri</w:t>
      </w:r>
      <w:r w:rsidR="006B0A38">
        <w:rPr>
          <w:rFonts w:cs="Arial"/>
          <w:szCs w:val="24"/>
        </w:rPr>
        <w:t>s has no authority to bind the T</w:t>
      </w:r>
      <w:r w:rsidR="00BB79E2" w:rsidRPr="000D3673">
        <w:rPr>
          <w:rFonts w:cs="Arial"/>
          <w:szCs w:val="24"/>
        </w:rPr>
        <w:t>rust it follows that his actions, from the time h</w:t>
      </w:r>
      <w:r w:rsidR="00E235AA">
        <w:rPr>
          <w:rFonts w:cs="Arial"/>
          <w:szCs w:val="24"/>
        </w:rPr>
        <w:t>e purported to appoint Ronald a</w:t>
      </w:r>
      <w:r w:rsidR="00BB79E2" w:rsidRPr="000D3673">
        <w:rPr>
          <w:rFonts w:cs="Arial"/>
          <w:szCs w:val="24"/>
        </w:rPr>
        <w:t xml:space="preserve">s a director of North </w:t>
      </w:r>
      <w:proofErr w:type="spellStart"/>
      <w:r w:rsidR="00BB79E2" w:rsidRPr="000D3673">
        <w:rPr>
          <w:rFonts w:cs="Arial"/>
          <w:szCs w:val="24"/>
        </w:rPr>
        <w:t>Atherstone</w:t>
      </w:r>
      <w:proofErr w:type="spellEnd"/>
      <w:r w:rsidR="00BB79E2" w:rsidRPr="000D3673">
        <w:rPr>
          <w:rFonts w:cs="Arial"/>
          <w:szCs w:val="24"/>
        </w:rPr>
        <w:t xml:space="preserve"> to the t</w:t>
      </w:r>
      <w:r w:rsidR="006B0A38">
        <w:rPr>
          <w:rFonts w:cs="Arial"/>
          <w:szCs w:val="24"/>
        </w:rPr>
        <w:t>ime he purported to extend the T</w:t>
      </w:r>
      <w:r w:rsidR="00BB79E2" w:rsidRPr="000D3673">
        <w:rPr>
          <w:rFonts w:cs="Arial"/>
          <w:szCs w:val="24"/>
        </w:rPr>
        <w:t>rust for a period of twenty years</w:t>
      </w:r>
      <w:r w:rsidR="006B0A38">
        <w:rPr>
          <w:rFonts w:cs="Arial"/>
          <w:szCs w:val="24"/>
        </w:rPr>
        <w:t>, he</w:t>
      </w:r>
      <w:r w:rsidR="00BB79E2" w:rsidRPr="000D3673">
        <w:rPr>
          <w:rFonts w:cs="Arial"/>
          <w:szCs w:val="24"/>
        </w:rPr>
        <w:t xml:space="preserve"> had no legal</w:t>
      </w:r>
      <w:r w:rsidR="006B0A38">
        <w:rPr>
          <w:rFonts w:cs="Arial"/>
          <w:szCs w:val="24"/>
        </w:rPr>
        <w:t>ly</w:t>
      </w:r>
      <w:r w:rsidR="00BB79E2" w:rsidRPr="000D3673">
        <w:rPr>
          <w:rFonts w:cs="Arial"/>
          <w:szCs w:val="24"/>
        </w:rPr>
        <w:t xml:space="preserve"> binding authority. Whether the applicants had consented to any or all purported agreement</w:t>
      </w:r>
      <w:r w:rsidR="006B0A38">
        <w:rPr>
          <w:rFonts w:cs="Arial"/>
          <w:szCs w:val="24"/>
        </w:rPr>
        <w:t>s</w:t>
      </w:r>
      <w:r w:rsidR="00BB79E2" w:rsidRPr="000D3673">
        <w:rPr>
          <w:rFonts w:cs="Arial"/>
          <w:szCs w:val="24"/>
        </w:rPr>
        <w:t xml:space="preserve"> does not</w:t>
      </w:r>
      <w:r w:rsidR="00E235AA">
        <w:rPr>
          <w:rFonts w:cs="Arial"/>
          <w:szCs w:val="24"/>
        </w:rPr>
        <w:t xml:space="preserve"> alter the</w:t>
      </w:r>
      <w:r w:rsidR="00BB79E2" w:rsidRPr="000D3673">
        <w:rPr>
          <w:rFonts w:cs="Arial"/>
          <w:szCs w:val="24"/>
        </w:rPr>
        <w:t xml:space="preserve"> legal position.</w:t>
      </w:r>
    </w:p>
    <w:p w:rsidR="00BB79E2" w:rsidRPr="000D3673" w:rsidRDefault="001B751F" w:rsidP="00BF031B">
      <w:pPr>
        <w:pStyle w:val="1"/>
        <w:rPr>
          <w:rFonts w:cs="Arial"/>
          <w:szCs w:val="24"/>
        </w:rPr>
      </w:pPr>
      <w:r w:rsidRPr="000D3673">
        <w:rPr>
          <w:rFonts w:cs="Arial"/>
          <w:szCs w:val="24"/>
        </w:rPr>
        <w:t>[57</w:t>
      </w:r>
      <w:r w:rsidR="00BF031B" w:rsidRPr="000D3673">
        <w:rPr>
          <w:rFonts w:cs="Arial"/>
          <w:szCs w:val="24"/>
        </w:rPr>
        <w:t>] In</w:t>
      </w:r>
      <w:r w:rsidR="00BB79E2" w:rsidRPr="000D3673">
        <w:rPr>
          <w:rFonts w:cs="Arial"/>
          <w:szCs w:val="24"/>
        </w:rPr>
        <w:t xml:space="preserve"> my view Morris had committed a dereliction of duty in fai</w:t>
      </w:r>
      <w:r w:rsidR="00E235AA">
        <w:rPr>
          <w:rFonts w:cs="Arial"/>
          <w:szCs w:val="24"/>
        </w:rPr>
        <w:t>ling to act as directed in the Trust D</w:t>
      </w:r>
      <w:r w:rsidR="00BB79E2" w:rsidRPr="000D3673">
        <w:rPr>
          <w:rFonts w:cs="Arial"/>
          <w:szCs w:val="24"/>
        </w:rPr>
        <w:t xml:space="preserve">eed. One would have expected him to conduct himself </w:t>
      </w:r>
      <w:r w:rsidR="00E235AA">
        <w:rPr>
          <w:rFonts w:cs="Arial"/>
          <w:szCs w:val="24"/>
        </w:rPr>
        <w:t>in a more appropriate manner in relation to the T</w:t>
      </w:r>
      <w:r w:rsidR="00BB79E2" w:rsidRPr="000D3673">
        <w:rPr>
          <w:rFonts w:cs="Arial"/>
          <w:szCs w:val="24"/>
        </w:rPr>
        <w:t>rust given the fact that he and his brot</w:t>
      </w:r>
      <w:r w:rsidR="00BF031B" w:rsidRPr="000D3673">
        <w:rPr>
          <w:rFonts w:cs="Arial"/>
          <w:szCs w:val="24"/>
        </w:rPr>
        <w:t xml:space="preserve">her were auditors of the </w:t>
      </w:r>
      <w:r w:rsidR="00E235AA">
        <w:rPr>
          <w:rFonts w:cs="Arial"/>
          <w:szCs w:val="24"/>
        </w:rPr>
        <w:t>T</w:t>
      </w:r>
      <w:r w:rsidR="00CA4C63" w:rsidRPr="000D3673">
        <w:rPr>
          <w:rFonts w:cs="Arial"/>
          <w:szCs w:val="24"/>
        </w:rPr>
        <w:t>rust. The</w:t>
      </w:r>
      <w:r w:rsidR="00BB79E2" w:rsidRPr="000D3673">
        <w:rPr>
          <w:rFonts w:cs="Arial"/>
          <w:szCs w:val="24"/>
        </w:rPr>
        <w:t xml:space="preserve"> applicants argue for the removal of Morris from office for all or any of the following reasons;</w:t>
      </w:r>
    </w:p>
    <w:p w:rsidR="00BB79E2" w:rsidRPr="000D3673" w:rsidRDefault="001B751F" w:rsidP="001B751F">
      <w:pPr>
        <w:pStyle w:val="1"/>
        <w:ind w:left="1287"/>
        <w:rPr>
          <w:rFonts w:cs="Arial"/>
          <w:szCs w:val="24"/>
        </w:rPr>
      </w:pPr>
      <w:r w:rsidRPr="000D3673">
        <w:rPr>
          <w:rFonts w:cs="Arial"/>
          <w:szCs w:val="24"/>
        </w:rPr>
        <w:t>57</w:t>
      </w:r>
      <w:r w:rsidR="00BB79E2" w:rsidRPr="000D3673">
        <w:rPr>
          <w:rFonts w:cs="Arial"/>
          <w:szCs w:val="24"/>
        </w:rPr>
        <w:t>.1 Morris (in his capacity as trustee) did not assume additional trustees w</w:t>
      </w:r>
      <w:r w:rsidR="00E235AA">
        <w:rPr>
          <w:rFonts w:cs="Arial"/>
          <w:szCs w:val="24"/>
        </w:rPr>
        <w:t xml:space="preserve">ithin </w:t>
      </w:r>
      <w:r w:rsidR="00E235AA">
        <w:rPr>
          <w:rFonts w:cs="Arial"/>
          <w:szCs w:val="24"/>
        </w:rPr>
        <w:lastRenderedPageBreak/>
        <w:t>60 days of the deaths of Henry and L</w:t>
      </w:r>
      <w:r w:rsidR="00BB79E2" w:rsidRPr="000D3673">
        <w:rPr>
          <w:rFonts w:cs="Arial"/>
          <w:szCs w:val="24"/>
        </w:rPr>
        <w:t>ily, and Morris (in his capacity as an auditor) did not appoint any a</w:t>
      </w:r>
      <w:r w:rsidR="006B0A38">
        <w:rPr>
          <w:rFonts w:cs="Arial"/>
          <w:szCs w:val="24"/>
        </w:rPr>
        <w:t>dditional trustees to make t</w:t>
      </w:r>
      <w:r w:rsidR="001A0F99">
        <w:rPr>
          <w:rFonts w:cs="Arial"/>
          <w:szCs w:val="24"/>
        </w:rPr>
        <w:t>he T</w:t>
      </w:r>
      <w:r w:rsidR="00BB79E2" w:rsidRPr="000D3673">
        <w:rPr>
          <w:rFonts w:cs="Arial"/>
          <w:szCs w:val="24"/>
        </w:rPr>
        <w:t>rust quorate;</w:t>
      </w:r>
    </w:p>
    <w:p w:rsidR="00BB79E2" w:rsidRPr="000D3673" w:rsidRDefault="001B751F" w:rsidP="001B751F">
      <w:pPr>
        <w:pStyle w:val="1"/>
        <w:ind w:left="1287"/>
        <w:rPr>
          <w:rFonts w:cs="Arial"/>
          <w:szCs w:val="24"/>
        </w:rPr>
      </w:pPr>
      <w:r w:rsidRPr="000D3673">
        <w:rPr>
          <w:rFonts w:cs="Arial"/>
          <w:szCs w:val="24"/>
        </w:rPr>
        <w:t>57</w:t>
      </w:r>
      <w:r w:rsidR="00BB79E2" w:rsidRPr="000D3673">
        <w:rPr>
          <w:rFonts w:cs="Arial"/>
          <w:szCs w:val="24"/>
        </w:rPr>
        <w:t>.2 Morris did n</w:t>
      </w:r>
      <w:r w:rsidR="006B0A38">
        <w:rPr>
          <w:rFonts w:cs="Arial"/>
          <w:szCs w:val="24"/>
        </w:rPr>
        <w:t>ot open a bank account for the T</w:t>
      </w:r>
      <w:r w:rsidR="00BB79E2" w:rsidRPr="000D3673">
        <w:rPr>
          <w:rFonts w:cs="Arial"/>
          <w:szCs w:val="24"/>
        </w:rPr>
        <w:t>rust;</w:t>
      </w:r>
    </w:p>
    <w:p w:rsidR="00BB79E2" w:rsidRPr="000D3673" w:rsidRDefault="001B751F" w:rsidP="001B751F">
      <w:pPr>
        <w:pStyle w:val="1"/>
        <w:ind w:left="1287"/>
        <w:rPr>
          <w:rFonts w:cs="Arial"/>
          <w:szCs w:val="24"/>
        </w:rPr>
      </w:pPr>
      <w:r w:rsidRPr="000D3673">
        <w:rPr>
          <w:rFonts w:cs="Arial"/>
          <w:szCs w:val="24"/>
        </w:rPr>
        <w:t>57</w:t>
      </w:r>
      <w:r w:rsidR="00BB79E2" w:rsidRPr="000D3673">
        <w:rPr>
          <w:rFonts w:cs="Arial"/>
          <w:szCs w:val="24"/>
        </w:rPr>
        <w:t>.3 Morris reached an agreement with the appl</w:t>
      </w:r>
      <w:r w:rsidR="001A0F99">
        <w:rPr>
          <w:rFonts w:cs="Arial"/>
          <w:szCs w:val="24"/>
        </w:rPr>
        <w:t xml:space="preserve">icants to pay them out for their </w:t>
      </w:r>
      <w:r w:rsidR="00BB79E2" w:rsidRPr="000D3673">
        <w:rPr>
          <w:rFonts w:cs="Arial"/>
          <w:szCs w:val="24"/>
        </w:rPr>
        <w:t>trust interest and then reneged on the agreement;</w:t>
      </w:r>
    </w:p>
    <w:p w:rsidR="00BB79E2" w:rsidRPr="000D3673" w:rsidRDefault="001B751F" w:rsidP="001B751F">
      <w:pPr>
        <w:pStyle w:val="1"/>
        <w:ind w:left="1287"/>
        <w:rPr>
          <w:rFonts w:cs="Arial"/>
          <w:szCs w:val="24"/>
        </w:rPr>
      </w:pPr>
      <w:r w:rsidRPr="000D3673">
        <w:rPr>
          <w:rFonts w:cs="Arial"/>
          <w:szCs w:val="24"/>
        </w:rPr>
        <w:t>57</w:t>
      </w:r>
      <w:r w:rsidR="00BB79E2" w:rsidRPr="000D3673">
        <w:rPr>
          <w:rFonts w:cs="Arial"/>
          <w:szCs w:val="24"/>
        </w:rPr>
        <w:t>.4 Morris extended the distribution event for a period of 20 years;</w:t>
      </w:r>
    </w:p>
    <w:p w:rsidR="00BB79E2" w:rsidRPr="000D3673" w:rsidRDefault="001B751F" w:rsidP="001B751F">
      <w:pPr>
        <w:pStyle w:val="1"/>
        <w:ind w:left="1287"/>
        <w:rPr>
          <w:rFonts w:cs="Arial"/>
          <w:szCs w:val="24"/>
        </w:rPr>
      </w:pPr>
      <w:r w:rsidRPr="000D3673">
        <w:rPr>
          <w:rFonts w:cs="Arial"/>
          <w:szCs w:val="24"/>
        </w:rPr>
        <w:t>57</w:t>
      </w:r>
      <w:r w:rsidR="00BB79E2" w:rsidRPr="000D3673">
        <w:rPr>
          <w:rFonts w:cs="Arial"/>
          <w:szCs w:val="24"/>
        </w:rPr>
        <w:t>.5 Morris failed to respond to the applicant’s request for reasons for the extension of the distribution date;</w:t>
      </w:r>
    </w:p>
    <w:p w:rsidR="00BB79E2" w:rsidRPr="000D3673" w:rsidRDefault="001B751F" w:rsidP="001B751F">
      <w:pPr>
        <w:pStyle w:val="1"/>
        <w:ind w:left="1287"/>
        <w:rPr>
          <w:rFonts w:cs="Arial"/>
          <w:szCs w:val="24"/>
        </w:rPr>
      </w:pPr>
      <w:r w:rsidRPr="000D3673">
        <w:rPr>
          <w:rFonts w:cs="Arial"/>
          <w:szCs w:val="24"/>
        </w:rPr>
        <w:t>57</w:t>
      </w:r>
      <w:r w:rsidR="00BB79E2" w:rsidRPr="000D3673">
        <w:rPr>
          <w:rFonts w:cs="Arial"/>
          <w:szCs w:val="24"/>
        </w:rPr>
        <w:t xml:space="preserve">.6 Morris had </w:t>
      </w:r>
      <w:proofErr w:type="spellStart"/>
      <w:r w:rsidR="00BB79E2" w:rsidRPr="000D3673">
        <w:rPr>
          <w:rFonts w:cs="Arial"/>
          <w:szCs w:val="24"/>
        </w:rPr>
        <w:t>maladministered</w:t>
      </w:r>
      <w:proofErr w:type="spellEnd"/>
      <w:r w:rsidR="00BB79E2" w:rsidRPr="000D3673">
        <w:rPr>
          <w:rFonts w:cs="Arial"/>
          <w:szCs w:val="24"/>
        </w:rPr>
        <w:t xml:space="preserve"> the trust property;</w:t>
      </w:r>
    </w:p>
    <w:p w:rsidR="00BB79E2" w:rsidRPr="000D3673" w:rsidRDefault="001B751F" w:rsidP="006011EF">
      <w:pPr>
        <w:pStyle w:val="1"/>
        <w:ind w:left="1287"/>
        <w:rPr>
          <w:rFonts w:cs="Arial"/>
          <w:szCs w:val="24"/>
        </w:rPr>
      </w:pPr>
      <w:r w:rsidRPr="000D3673">
        <w:rPr>
          <w:rFonts w:cs="Arial"/>
          <w:szCs w:val="24"/>
        </w:rPr>
        <w:t>57</w:t>
      </w:r>
      <w:r w:rsidR="00BB79E2" w:rsidRPr="000D3673">
        <w:rPr>
          <w:rFonts w:cs="Arial"/>
          <w:szCs w:val="24"/>
        </w:rPr>
        <w:t>.7 There is a conflict of interest in his position as both a trustee and an auditor of the trust.</w:t>
      </w:r>
    </w:p>
    <w:p w:rsidR="00BB79E2" w:rsidRPr="000D3673" w:rsidRDefault="001B751F" w:rsidP="00BB79E2">
      <w:pPr>
        <w:pStyle w:val="1"/>
        <w:rPr>
          <w:rFonts w:cs="Arial"/>
          <w:szCs w:val="24"/>
        </w:rPr>
      </w:pPr>
      <w:r w:rsidRPr="000D3673">
        <w:rPr>
          <w:rFonts w:cs="Arial"/>
          <w:szCs w:val="24"/>
        </w:rPr>
        <w:t>[58</w:t>
      </w:r>
      <w:r w:rsidR="00CA4C63" w:rsidRPr="000D3673">
        <w:rPr>
          <w:rFonts w:cs="Arial"/>
          <w:szCs w:val="24"/>
        </w:rPr>
        <w:t>] In</w:t>
      </w:r>
      <w:r w:rsidR="00BB79E2" w:rsidRPr="000D3673">
        <w:rPr>
          <w:rFonts w:cs="Arial"/>
          <w:szCs w:val="24"/>
        </w:rPr>
        <w:t xml:space="preserve"> light of the le</w:t>
      </w:r>
      <w:r w:rsidR="001A0F99">
        <w:rPr>
          <w:rFonts w:cs="Arial"/>
          <w:szCs w:val="24"/>
        </w:rPr>
        <w:t>gal position of Morris and the Trust D</w:t>
      </w:r>
      <w:r w:rsidR="00BB79E2" w:rsidRPr="000D3673">
        <w:rPr>
          <w:rFonts w:cs="Arial"/>
          <w:szCs w:val="24"/>
        </w:rPr>
        <w:t>eed referred to above, it does not serve a purpose to try and delve in</w:t>
      </w:r>
      <w:r w:rsidR="001A0F99">
        <w:rPr>
          <w:rFonts w:cs="Arial"/>
          <w:szCs w:val="24"/>
        </w:rPr>
        <w:t>to</w:t>
      </w:r>
      <w:r w:rsidR="00BB79E2" w:rsidRPr="000D3673">
        <w:rPr>
          <w:rFonts w:cs="Arial"/>
          <w:szCs w:val="24"/>
        </w:rPr>
        <w:t xml:space="preserve"> the various explanation</w:t>
      </w:r>
      <w:r w:rsidR="001A0F99">
        <w:rPr>
          <w:rFonts w:cs="Arial"/>
          <w:szCs w:val="24"/>
        </w:rPr>
        <w:t>s</w:t>
      </w:r>
      <w:r w:rsidR="00BB79E2" w:rsidRPr="000D3673">
        <w:rPr>
          <w:rFonts w:cs="Arial"/>
          <w:szCs w:val="24"/>
        </w:rPr>
        <w:t xml:space="preserve"> which Morris prefers to try and justify his actions because he conced</w:t>
      </w:r>
      <w:r w:rsidR="001A0F99">
        <w:rPr>
          <w:rFonts w:cs="Arial"/>
          <w:szCs w:val="24"/>
        </w:rPr>
        <w:t>ed his non-compliance with the Trust D</w:t>
      </w:r>
      <w:r w:rsidR="00BB79E2" w:rsidRPr="000D3673">
        <w:rPr>
          <w:rFonts w:cs="Arial"/>
          <w:szCs w:val="24"/>
        </w:rPr>
        <w:t>eed. An objective assessment of all</w:t>
      </w:r>
      <w:r w:rsidR="001A0F99">
        <w:rPr>
          <w:rFonts w:cs="Arial"/>
          <w:szCs w:val="24"/>
        </w:rPr>
        <w:t xml:space="preserve"> the facts can only lead to one</w:t>
      </w:r>
      <w:r w:rsidR="00BB79E2" w:rsidRPr="000D3673">
        <w:rPr>
          <w:rFonts w:cs="Arial"/>
          <w:szCs w:val="24"/>
        </w:rPr>
        <w:t xml:space="preserve"> conclusion, namely that </w:t>
      </w:r>
      <w:r w:rsidR="006B0A38">
        <w:rPr>
          <w:rFonts w:cs="Arial"/>
          <w:szCs w:val="24"/>
        </w:rPr>
        <w:t>Morris’s administration of the T</w:t>
      </w:r>
      <w:r w:rsidR="00BB79E2" w:rsidRPr="000D3673">
        <w:rPr>
          <w:rFonts w:cs="Arial"/>
          <w:szCs w:val="24"/>
        </w:rPr>
        <w:t>rust was not only lackadaisical but grossly inefficient. It is not surprising therefore that the trust between Morris as a trustee and the applicants would appear to be in tatters. This would require not only the removal of Morris as a trustee but also the appointment of new trustees. A logical duty that arises from these events is for Morris and Ronald to account to the new trustees.</w:t>
      </w:r>
    </w:p>
    <w:p w:rsidR="00BB79E2" w:rsidRPr="000D3673" w:rsidRDefault="001B751F" w:rsidP="00CA4C63">
      <w:pPr>
        <w:pStyle w:val="1"/>
        <w:rPr>
          <w:rFonts w:cs="Arial"/>
          <w:b/>
          <w:szCs w:val="24"/>
        </w:rPr>
      </w:pPr>
      <w:r w:rsidRPr="000D3673">
        <w:rPr>
          <w:rFonts w:cs="Arial"/>
          <w:b/>
          <w:szCs w:val="24"/>
        </w:rPr>
        <w:lastRenderedPageBreak/>
        <w:t>THE APPOINTMENT OF NEW TRUSTEE</w:t>
      </w:r>
      <w:r w:rsidR="001A0F99">
        <w:rPr>
          <w:rFonts w:cs="Arial"/>
          <w:b/>
          <w:szCs w:val="24"/>
        </w:rPr>
        <w:t>S</w:t>
      </w:r>
    </w:p>
    <w:p w:rsidR="00BB79E2" w:rsidRPr="000D3673" w:rsidRDefault="001B751F" w:rsidP="00CA4C63">
      <w:pPr>
        <w:pStyle w:val="1"/>
        <w:rPr>
          <w:rFonts w:cs="Arial"/>
          <w:szCs w:val="24"/>
        </w:rPr>
      </w:pPr>
      <w:r w:rsidRPr="000D3673">
        <w:rPr>
          <w:rFonts w:cs="Arial"/>
          <w:szCs w:val="24"/>
        </w:rPr>
        <w:t>[59</w:t>
      </w:r>
      <w:r w:rsidR="00CA4C63" w:rsidRPr="000D3673">
        <w:rPr>
          <w:rFonts w:cs="Arial"/>
          <w:szCs w:val="24"/>
        </w:rPr>
        <w:t>] Part</w:t>
      </w:r>
      <w:r w:rsidR="00BB79E2" w:rsidRPr="000D3673">
        <w:rPr>
          <w:rFonts w:cs="Arial"/>
          <w:szCs w:val="24"/>
        </w:rPr>
        <w:t xml:space="preserve"> of the relief sought by the applicants is the appointment of Mes</w:t>
      </w:r>
      <w:r w:rsidR="006B0A38">
        <w:rPr>
          <w:rFonts w:cs="Arial"/>
          <w:szCs w:val="24"/>
        </w:rPr>
        <w:t>srs</w:t>
      </w:r>
      <w:r w:rsidR="00BB79E2" w:rsidRPr="000D3673">
        <w:rPr>
          <w:rFonts w:cs="Arial"/>
          <w:szCs w:val="24"/>
        </w:rPr>
        <w:t xml:space="preserve"> David Rose, Dave </w:t>
      </w:r>
      <w:proofErr w:type="spellStart"/>
      <w:r w:rsidR="00BB79E2" w:rsidRPr="000D3673">
        <w:rPr>
          <w:rFonts w:cs="Arial"/>
          <w:szCs w:val="24"/>
        </w:rPr>
        <w:t>Cathrall</w:t>
      </w:r>
      <w:proofErr w:type="spellEnd"/>
      <w:r w:rsidR="00BB79E2" w:rsidRPr="000D3673">
        <w:rPr>
          <w:rFonts w:cs="Arial"/>
          <w:szCs w:val="24"/>
        </w:rPr>
        <w:t xml:space="preserve"> and Paul </w:t>
      </w:r>
      <w:proofErr w:type="spellStart"/>
      <w:r w:rsidR="00BB79E2" w:rsidRPr="000D3673">
        <w:rPr>
          <w:rFonts w:cs="Arial"/>
          <w:szCs w:val="24"/>
        </w:rPr>
        <w:t>K</w:t>
      </w:r>
      <w:r w:rsidR="006B0A38">
        <w:rPr>
          <w:rFonts w:cs="Arial"/>
          <w:szCs w:val="24"/>
        </w:rPr>
        <w:t>ampel</w:t>
      </w:r>
      <w:proofErr w:type="spellEnd"/>
      <w:r w:rsidR="006B0A38">
        <w:rPr>
          <w:rFonts w:cs="Arial"/>
          <w:szCs w:val="24"/>
        </w:rPr>
        <w:t xml:space="preserve"> as trustees of the T</w:t>
      </w:r>
      <w:r w:rsidR="00CA4C63" w:rsidRPr="000D3673">
        <w:rPr>
          <w:rFonts w:cs="Arial"/>
          <w:szCs w:val="24"/>
        </w:rPr>
        <w:t>rust.</w:t>
      </w:r>
    </w:p>
    <w:p w:rsidR="00BB79E2" w:rsidRPr="000D3673" w:rsidRDefault="001B751F" w:rsidP="00BB79E2">
      <w:pPr>
        <w:pStyle w:val="1"/>
        <w:rPr>
          <w:rFonts w:cs="Arial"/>
          <w:szCs w:val="24"/>
        </w:rPr>
      </w:pPr>
      <w:r w:rsidRPr="000D3673">
        <w:rPr>
          <w:rFonts w:cs="Arial"/>
          <w:szCs w:val="24"/>
        </w:rPr>
        <w:t>[60</w:t>
      </w:r>
      <w:r w:rsidR="00CA4C63" w:rsidRPr="000D3673">
        <w:rPr>
          <w:rFonts w:cs="Arial"/>
          <w:szCs w:val="24"/>
        </w:rPr>
        <w:t>] Section</w:t>
      </w:r>
      <w:r w:rsidR="00BB79E2" w:rsidRPr="000D3673">
        <w:rPr>
          <w:rFonts w:cs="Arial"/>
          <w:szCs w:val="24"/>
        </w:rPr>
        <w:t xml:space="preserve"> 6(1) of the Trust Property Control Ac</w:t>
      </w:r>
      <w:r w:rsidR="006B0A38">
        <w:rPr>
          <w:rFonts w:cs="Arial"/>
          <w:szCs w:val="24"/>
        </w:rPr>
        <w:t>t (s</w:t>
      </w:r>
      <w:r w:rsidR="001A0F99">
        <w:rPr>
          <w:rFonts w:cs="Arial"/>
          <w:szCs w:val="24"/>
        </w:rPr>
        <w:t>upra)</w:t>
      </w:r>
      <w:r w:rsidR="00BB79E2" w:rsidRPr="000D3673">
        <w:rPr>
          <w:rFonts w:cs="Arial"/>
          <w:szCs w:val="24"/>
        </w:rPr>
        <w:t xml:space="preserve"> suggest</w:t>
      </w:r>
      <w:r w:rsidR="006B0A38">
        <w:rPr>
          <w:rFonts w:cs="Arial"/>
          <w:szCs w:val="24"/>
        </w:rPr>
        <w:t>s</w:t>
      </w:r>
      <w:r w:rsidR="00BB79E2" w:rsidRPr="000D3673">
        <w:rPr>
          <w:rFonts w:cs="Arial"/>
          <w:szCs w:val="24"/>
        </w:rPr>
        <w:t xml:space="preserve"> the manner and procedure to be followed when making such appointments as follows;</w:t>
      </w:r>
    </w:p>
    <w:p w:rsidR="00CA4C63" w:rsidRPr="006011EF" w:rsidRDefault="00BB79E2" w:rsidP="006011EF">
      <w:pPr>
        <w:pStyle w:val="1"/>
        <w:ind w:left="1134"/>
        <w:rPr>
          <w:rFonts w:cs="Arial"/>
          <w:i/>
          <w:szCs w:val="24"/>
        </w:rPr>
      </w:pPr>
      <w:r w:rsidRPr="000D3673">
        <w:rPr>
          <w:rFonts w:cs="Arial"/>
          <w:i/>
          <w:szCs w:val="24"/>
        </w:rPr>
        <w:t>“Any person where appoin</w:t>
      </w:r>
      <w:r w:rsidR="006B0A38">
        <w:rPr>
          <w:rFonts w:cs="Arial"/>
          <w:i/>
          <w:szCs w:val="24"/>
        </w:rPr>
        <w:t>ted as a trustee in terms of a T</w:t>
      </w:r>
      <w:r w:rsidRPr="000D3673">
        <w:rPr>
          <w:rFonts w:cs="Arial"/>
          <w:i/>
          <w:szCs w:val="24"/>
        </w:rPr>
        <w:t>r</w:t>
      </w:r>
      <w:r w:rsidR="001A0F99">
        <w:rPr>
          <w:rFonts w:cs="Arial"/>
          <w:i/>
          <w:szCs w:val="24"/>
        </w:rPr>
        <w:t>ust instrument, section 7 (the M</w:t>
      </w:r>
      <w:r w:rsidRPr="000D3673">
        <w:rPr>
          <w:rFonts w:cs="Arial"/>
          <w:i/>
          <w:szCs w:val="24"/>
        </w:rPr>
        <w:t>aster) or a court order, comes into fo</w:t>
      </w:r>
      <w:r w:rsidR="001A0F99">
        <w:rPr>
          <w:rFonts w:cs="Arial"/>
          <w:i/>
          <w:szCs w:val="24"/>
        </w:rPr>
        <w:t>rce after commencement of this Act, shall Act in</w:t>
      </w:r>
      <w:r w:rsidRPr="000D3673">
        <w:rPr>
          <w:rFonts w:cs="Arial"/>
          <w:i/>
          <w:szCs w:val="24"/>
        </w:rPr>
        <w:t xml:space="preserve"> that capacity only if author</w:t>
      </w:r>
      <w:r w:rsidR="001A0F99">
        <w:rPr>
          <w:rFonts w:cs="Arial"/>
          <w:i/>
          <w:szCs w:val="24"/>
        </w:rPr>
        <w:t>ised in writing thereto by the M</w:t>
      </w:r>
      <w:r w:rsidRPr="000D3673">
        <w:rPr>
          <w:rFonts w:cs="Arial"/>
          <w:i/>
          <w:szCs w:val="24"/>
        </w:rPr>
        <w:t>aster”.</w:t>
      </w:r>
    </w:p>
    <w:p w:rsidR="00BB79E2" w:rsidRPr="000D3673" w:rsidRDefault="001B751F" w:rsidP="00BB79E2">
      <w:pPr>
        <w:pStyle w:val="1"/>
        <w:rPr>
          <w:rFonts w:cs="Arial"/>
          <w:szCs w:val="24"/>
        </w:rPr>
      </w:pPr>
      <w:r w:rsidRPr="000D3673">
        <w:rPr>
          <w:rFonts w:cs="Arial"/>
          <w:szCs w:val="24"/>
        </w:rPr>
        <w:t>[61</w:t>
      </w:r>
      <w:r w:rsidR="00CA4C63" w:rsidRPr="000D3673">
        <w:rPr>
          <w:rFonts w:cs="Arial"/>
          <w:szCs w:val="24"/>
        </w:rPr>
        <w:t>] In</w:t>
      </w:r>
      <w:r w:rsidR="00BB79E2" w:rsidRPr="000D3673">
        <w:rPr>
          <w:rFonts w:cs="Arial"/>
          <w:szCs w:val="24"/>
        </w:rPr>
        <w:t xml:space="preserve"> </w:t>
      </w:r>
      <w:proofErr w:type="spellStart"/>
      <w:r w:rsidR="00BB79E2" w:rsidRPr="000D3673">
        <w:rPr>
          <w:rFonts w:cs="Arial"/>
          <w:i/>
          <w:szCs w:val="24"/>
        </w:rPr>
        <w:t>Metequity</w:t>
      </w:r>
      <w:proofErr w:type="spellEnd"/>
      <w:r w:rsidR="00BB79E2" w:rsidRPr="000D3673">
        <w:rPr>
          <w:rFonts w:cs="Arial"/>
          <w:i/>
          <w:szCs w:val="24"/>
        </w:rPr>
        <w:t xml:space="preserve"> v NWM Properties</w:t>
      </w:r>
      <w:r w:rsidR="008172F7">
        <w:rPr>
          <w:rStyle w:val="FootnoteReference"/>
          <w:rFonts w:cs="Arial"/>
          <w:i/>
          <w:szCs w:val="24"/>
        </w:rPr>
        <w:footnoteReference w:id="5"/>
      </w:r>
      <w:r w:rsidR="00BB79E2" w:rsidRPr="000D3673">
        <w:rPr>
          <w:rFonts w:cs="Arial"/>
          <w:szCs w:val="24"/>
        </w:rPr>
        <w:t>, the court held that:</w:t>
      </w:r>
    </w:p>
    <w:p w:rsidR="00BB79E2" w:rsidRPr="000D3673" w:rsidRDefault="00BB79E2" w:rsidP="00CA4C63">
      <w:pPr>
        <w:pStyle w:val="1"/>
        <w:ind w:left="1134"/>
        <w:rPr>
          <w:rFonts w:cs="Arial"/>
          <w:szCs w:val="24"/>
        </w:rPr>
      </w:pPr>
      <w:r w:rsidRPr="000D3673">
        <w:rPr>
          <w:rFonts w:cs="Arial"/>
          <w:szCs w:val="24"/>
        </w:rPr>
        <w:t>“</w:t>
      </w:r>
      <w:r w:rsidRPr="000D3673">
        <w:rPr>
          <w:rFonts w:cs="Arial"/>
          <w:i/>
          <w:szCs w:val="24"/>
        </w:rPr>
        <w:t>From this has to be a distinguished</w:t>
      </w:r>
      <w:r w:rsidR="008172F7">
        <w:rPr>
          <w:rFonts w:cs="Arial"/>
          <w:i/>
          <w:szCs w:val="24"/>
        </w:rPr>
        <w:t xml:space="preserve"> the</w:t>
      </w:r>
      <w:r w:rsidRPr="000D3673">
        <w:rPr>
          <w:rFonts w:cs="Arial"/>
          <w:i/>
          <w:szCs w:val="24"/>
        </w:rPr>
        <w:t xml:space="preserve"> appointment of the nominee in terms of section 6 (4) of the Trust Property Control Act of 1988. A trustee is defined as any person who acts as trustee by virtue of an </w:t>
      </w:r>
      <w:r w:rsidR="008172F7">
        <w:rPr>
          <w:rFonts w:cs="Arial"/>
          <w:i/>
          <w:szCs w:val="24"/>
        </w:rPr>
        <w:t>authorisation under section 6. T</w:t>
      </w:r>
      <w:r w:rsidRPr="000D3673">
        <w:rPr>
          <w:rFonts w:cs="Arial"/>
          <w:i/>
          <w:szCs w:val="24"/>
        </w:rPr>
        <w:t>hat</w:t>
      </w:r>
      <w:r w:rsidR="008172F7">
        <w:rPr>
          <w:rFonts w:cs="Arial"/>
          <w:i/>
          <w:szCs w:val="24"/>
        </w:rPr>
        <w:t xml:space="preserve"> section envisages in section 6 (1) that </w:t>
      </w:r>
      <w:r w:rsidR="008172F7" w:rsidRPr="000D3673">
        <w:rPr>
          <w:rFonts w:cs="Arial"/>
          <w:i/>
          <w:szCs w:val="24"/>
        </w:rPr>
        <w:t>the</w:t>
      </w:r>
      <w:r w:rsidRPr="000D3673">
        <w:rPr>
          <w:rFonts w:cs="Arial"/>
          <w:i/>
          <w:szCs w:val="24"/>
        </w:rPr>
        <w:t xml:space="preserve"> Master’s authorisation to act as trustee is granted to persons appointed as trustees in a trust instr</w:t>
      </w:r>
      <w:r w:rsidR="008172F7">
        <w:rPr>
          <w:rFonts w:cs="Arial"/>
          <w:i/>
          <w:szCs w:val="24"/>
        </w:rPr>
        <w:t>ument, by the master or by the C</w:t>
      </w:r>
      <w:r w:rsidRPr="000D3673">
        <w:rPr>
          <w:rFonts w:cs="Arial"/>
          <w:i/>
          <w:szCs w:val="24"/>
        </w:rPr>
        <w:t>ourt. The office of trustee is therefore created by the trust instrument and filled t</w:t>
      </w:r>
      <w:r w:rsidR="008172F7">
        <w:rPr>
          <w:rFonts w:cs="Arial"/>
          <w:i/>
          <w:szCs w:val="24"/>
        </w:rPr>
        <w:t>hereby or by the Master or the C</w:t>
      </w:r>
      <w:r w:rsidRPr="000D3673">
        <w:rPr>
          <w:rFonts w:cs="Arial"/>
          <w:i/>
          <w:szCs w:val="24"/>
        </w:rPr>
        <w:t>ourt. The Trust Property Control Act, however, as regulatory and control measure, provides in s 6 that such existing trustee shall not ac</w:t>
      </w:r>
      <w:r w:rsidR="008172F7">
        <w:rPr>
          <w:rFonts w:cs="Arial"/>
          <w:i/>
          <w:szCs w:val="24"/>
        </w:rPr>
        <w:t>t without authorisation by the M</w:t>
      </w:r>
      <w:r w:rsidRPr="000D3673">
        <w:rPr>
          <w:rFonts w:cs="Arial"/>
          <w:i/>
          <w:szCs w:val="24"/>
        </w:rPr>
        <w:t>aster”.</w:t>
      </w:r>
    </w:p>
    <w:p w:rsidR="00BB79E2" w:rsidRPr="000D3673" w:rsidRDefault="001B751F" w:rsidP="00BB79E2">
      <w:pPr>
        <w:pStyle w:val="1"/>
        <w:rPr>
          <w:rFonts w:cs="Arial"/>
          <w:szCs w:val="24"/>
        </w:rPr>
      </w:pPr>
      <w:r w:rsidRPr="000D3673">
        <w:rPr>
          <w:rFonts w:cs="Arial"/>
          <w:szCs w:val="24"/>
        </w:rPr>
        <w:lastRenderedPageBreak/>
        <w:t>[62</w:t>
      </w:r>
      <w:r w:rsidR="00CA4C63" w:rsidRPr="000D3673">
        <w:rPr>
          <w:rFonts w:cs="Arial"/>
          <w:szCs w:val="24"/>
        </w:rPr>
        <w:t>] The</w:t>
      </w:r>
      <w:r w:rsidR="00BB79E2" w:rsidRPr="000D3673">
        <w:rPr>
          <w:rFonts w:cs="Arial"/>
          <w:szCs w:val="24"/>
        </w:rPr>
        <w:t xml:space="preserve"> proposed appointees are all in professional practice, two be</w:t>
      </w:r>
      <w:r w:rsidR="008172F7">
        <w:rPr>
          <w:rFonts w:cs="Arial"/>
          <w:szCs w:val="24"/>
        </w:rPr>
        <w:t>ing chartered accountants and a</w:t>
      </w:r>
      <w:r w:rsidR="00BB79E2" w:rsidRPr="000D3673">
        <w:rPr>
          <w:rFonts w:cs="Arial"/>
          <w:szCs w:val="24"/>
        </w:rPr>
        <w:t>n attorney, each with over 30 years’ experience. They have an outstanding record of professional service and are a</w:t>
      </w:r>
      <w:r w:rsidR="008172F7">
        <w:rPr>
          <w:rFonts w:cs="Arial"/>
          <w:szCs w:val="24"/>
        </w:rPr>
        <w:t>ll entirely independent of the T</w:t>
      </w:r>
      <w:r w:rsidR="00BB79E2" w:rsidRPr="000D3673">
        <w:rPr>
          <w:rFonts w:cs="Arial"/>
          <w:szCs w:val="24"/>
        </w:rPr>
        <w:t>rust and the disputes that have arisen during th</w:t>
      </w:r>
      <w:r w:rsidR="008172F7">
        <w:rPr>
          <w:rFonts w:cs="Arial"/>
          <w:szCs w:val="24"/>
        </w:rPr>
        <w:t>e tenure of Morris as trustee. T</w:t>
      </w:r>
      <w:r w:rsidR="00BB79E2" w:rsidRPr="000D3673">
        <w:rPr>
          <w:rFonts w:cs="Arial"/>
          <w:szCs w:val="24"/>
        </w:rPr>
        <w:t>hey have indicated their willingness to be appointed.</w:t>
      </w:r>
    </w:p>
    <w:p w:rsidR="00CA4C63" w:rsidRPr="000D3673" w:rsidRDefault="000F5404" w:rsidP="0001389A">
      <w:pPr>
        <w:pStyle w:val="1"/>
        <w:ind w:left="1134"/>
        <w:rPr>
          <w:rFonts w:cs="Arial"/>
          <w:szCs w:val="24"/>
        </w:rPr>
      </w:pPr>
      <w:r>
        <w:rPr>
          <w:rFonts w:cs="Arial"/>
          <w:szCs w:val="24"/>
        </w:rPr>
        <w:t xml:space="preserve">         </w:t>
      </w:r>
      <w:r w:rsidR="00BB79E2" w:rsidRPr="000D3673">
        <w:rPr>
          <w:rFonts w:cs="Arial"/>
          <w:szCs w:val="24"/>
        </w:rPr>
        <w:t>It is common cause that Suzan and Hilton are curr</w:t>
      </w:r>
      <w:r w:rsidR="008172F7">
        <w:rPr>
          <w:rFonts w:cs="Arial"/>
          <w:szCs w:val="24"/>
        </w:rPr>
        <w:t xml:space="preserve">ently not trustees as they have no </w:t>
      </w:r>
      <w:r w:rsidR="00BB79E2" w:rsidRPr="000D3673">
        <w:rPr>
          <w:rFonts w:cs="Arial"/>
          <w:szCs w:val="24"/>
        </w:rPr>
        <w:t xml:space="preserve">letters of </w:t>
      </w:r>
      <w:r w:rsidR="0001389A" w:rsidRPr="000D3673">
        <w:rPr>
          <w:rFonts w:cs="Arial"/>
          <w:szCs w:val="24"/>
        </w:rPr>
        <w:t>a</w:t>
      </w:r>
      <w:r w:rsidR="0001389A">
        <w:rPr>
          <w:rFonts w:cs="Arial"/>
          <w:szCs w:val="24"/>
        </w:rPr>
        <w:t>uthority as</w:t>
      </w:r>
      <w:r w:rsidR="008172F7">
        <w:rPr>
          <w:rFonts w:cs="Arial"/>
          <w:szCs w:val="24"/>
        </w:rPr>
        <w:t xml:space="preserve"> discussed above. T</w:t>
      </w:r>
      <w:r w:rsidR="00BB79E2" w:rsidRPr="000D3673">
        <w:rPr>
          <w:rFonts w:cs="Arial"/>
          <w:szCs w:val="24"/>
        </w:rPr>
        <w:t>he resolution appointing them had</w:t>
      </w:r>
      <w:r w:rsidR="0001389A">
        <w:rPr>
          <w:rFonts w:cs="Arial"/>
          <w:szCs w:val="24"/>
        </w:rPr>
        <w:t xml:space="preserve"> no</w:t>
      </w:r>
      <w:r w:rsidR="00BB79E2" w:rsidRPr="000D3673">
        <w:rPr>
          <w:rFonts w:cs="Arial"/>
          <w:szCs w:val="24"/>
        </w:rPr>
        <w:t xml:space="preserve"> legal validity. T</w:t>
      </w:r>
      <w:r w:rsidR="008172F7">
        <w:rPr>
          <w:rFonts w:cs="Arial"/>
          <w:szCs w:val="24"/>
        </w:rPr>
        <w:t>heir previous involvement in</w:t>
      </w:r>
      <w:r w:rsidR="00BB79E2" w:rsidRPr="000D3673">
        <w:rPr>
          <w:rFonts w:cs="Arial"/>
          <w:szCs w:val="24"/>
        </w:rPr>
        <w:t xml:space="preserve"> matter</w:t>
      </w:r>
      <w:r w:rsidR="008172F7">
        <w:rPr>
          <w:rFonts w:cs="Arial"/>
          <w:szCs w:val="24"/>
        </w:rPr>
        <w:t>s</w:t>
      </w:r>
      <w:r w:rsidR="00BB79E2" w:rsidRPr="000D3673">
        <w:rPr>
          <w:rFonts w:cs="Arial"/>
          <w:szCs w:val="24"/>
        </w:rPr>
        <w:t xml:space="preserve"> of the trust which was not in accordance with t</w:t>
      </w:r>
      <w:r w:rsidR="008172F7">
        <w:rPr>
          <w:rFonts w:cs="Arial"/>
          <w:szCs w:val="24"/>
        </w:rPr>
        <w:t>he directives contained in the Trust D</w:t>
      </w:r>
      <w:r w:rsidR="00BB79E2" w:rsidRPr="000D3673">
        <w:rPr>
          <w:rFonts w:cs="Arial"/>
          <w:szCs w:val="24"/>
        </w:rPr>
        <w:t xml:space="preserve">eed, would render them as neither independent </w:t>
      </w:r>
      <w:r w:rsidR="008172F7">
        <w:rPr>
          <w:rFonts w:cs="Arial"/>
          <w:szCs w:val="24"/>
        </w:rPr>
        <w:t>n</w:t>
      </w:r>
      <w:r w:rsidR="00BB79E2" w:rsidRPr="000D3673">
        <w:rPr>
          <w:rFonts w:cs="Arial"/>
          <w:szCs w:val="24"/>
        </w:rPr>
        <w:t>or impartial.</w:t>
      </w:r>
    </w:p>
    <w:p w:rsidR="00BB79E2" w:rsidRPr="000D3673" w:rsidRDefault="001B751F" w:rsidP="00BB79E2">
      <w:pPr>
        <w:pStyle w:val="1"/>
        <w:rPr>
          <w:rFonts w:cs="Arial"/>
          <w:szCs w:val="24"/>
        </w:rPr>
      </w:pPr>
      <w:r w:rsidRPr="000D3673">
        <w:rPr>
          <w:rFonts w:cs="Arial"/>
          <w:szCs w:val="24"/>
        </w:rPr>
        <w:t>[63</w:t>
      </w:r>
      <w:r w:rsidR="00CA4C63" w:rsidRPr="000D3673">
        <w:rPr>
          <w:rFonts w:cs="Arial"/>
          <w:szCs w:val="24"/>
        </w:rPr>
        <w:t xml:space="preserve">]   </w:t>
      </w:r>
      <w:r w:rsidR="00BB79E2" w:rsidRPr="000D3673">
        <w:rPr>
          <w:rFonts w:cs="Arial"/>
          <w:szCs w:val="24"/>
        </w:rPr>
        <w:t>In the circumstances I would deem the proposed appointment of new trustees to be necessary and appropriate.</w:t>
      </w:r>
    </w:p>
    <w:p w:rsidR="00BB79E2" w:rsidRPr="000D3673" w:rsidRDefault="001B751F" w:rsidP="00BB79E2">
      <w:pPr>
        <w:pStyle w:val="1"/>
        <w:rPr>
          <w:rFonts w:cs="Arial"/>
          <w:b/>
          <w:szCs w:val="24"/>
          <w:u w:val="single"/>
        </w:rPr>
      </w:pPr>
      <w:r w:rsidRPr="000D3673">
        <w:rPr>
          <w:rFonts w:cs="Arial"/>
          <w:b/>
          <w:szCs w:val="24"/>
          <w:u w:val="single"/>
        </w:rPr>
        <w:t>ENFORCING THE</w:t>
      </w:r>
      <w:r w:rsidR="008172F7">
        <w:rPr>
          <w:rFonts w:cs="Arial"/>
          <w:b/>
          <w:szCs w:val="24"/>
          <w:u w:val="single"/>
        </w:rPr>
        <w:t xml:space="preserve"> </w:t>
      </w:r>
      <w:r w:rsidRPr="000D3673">
        <w:rPr>
          <w:rFonts w:cs="Arial"/>
          <w:b/>
          <w:szCs w:val="24"/>
          <w:u w:val="single"/>
        </w:rPr>
        <w:t>DISTRIBUTION DECISION</w:t>
      </w:r>
    </w:p>
    <w:p w:rsidR="001B751F" w:rsidRPr="000D3673" w:rsidRDefault="001B751F" w:rsidP="001741F1">
      <w:pPr>
        <w:pStyle w:val="1"/>
        <w:rPr>
          <w:rFonts w:cs="Arial"/>
          <w:szCs w:val="24"/>
        </w:rPr>
      </w:pPr>
      <w:r w:rsidRPr="000D3673">
        <w:rPr>
          <w:rFonts w:cs="Arial"/>
          <w:szCs w:val="24"/>
        </w:rPr>
        <w:t>[64]</w:t>
      </w:r>
      <w:r w:rsidR="00BB79E2" w:rsidRPr="000D3673">
        <w:rPr>
          <w:rFonts w:cs="Arial"/>
          <w:szCs w:val="24"/>
        </w:rPr>
        <w:t xml:space="preserve"> I have already alluded to the fact that the Trust was not capacitated due to Morr</w:t>
      </w:r>
      <w:r w:rsidR="008172F7">
        <w:rPr>
          <w:rFonts w:cs="Arial"/>
          <w:szCs w:val="24"/>
        </w:rPr>
        <w:t>is not being authorised by the Trust D</w:t>
      </w:r>
      <w:r w:rsidR="00BB79E2" w:rsidRPr="000D3673">
        <w:rPr>
          <w:rFonts w:cs="Arial"/>
          <w:szCs w:val="24"/>
        </w:rPr>
        <w:t>eed to represent it as a sole trustee. In those circumstances, the distribution decision is legally not enforceable and the prayer for relief in that regard cannot be sustained. This is despite the fact that the parties entered into agreements and appeared at some stage to be intent on implementing the distribution decision.</w:t>
      </w:r>
    </w:p>
    <w:p w:rsidR="001741F1" w:rsidRPr="000D3673" w:rsidRDefault="001741F1" w:rsidP="001B751F">
      <w:pPr>
        <w:rPr>
          <w:rFonts w:ascii="Arial" w:hAnsi="Arial" w:cs="Arial"/>
          <w:sz w:val="24"/>
          <w:szCs w:val="24"/>
        </w:rPr>
      </w:pPr>
    </w:p>
    <w:p w:rsidR="001741F1" w:rsidRPr="000D3673" w:rsidRDefault="001741F1" w:rsidP="001B751F">
      <w:pPr>
        <w:rPr>
          <w:rFonts w:ascii="Arial" w:hAnsi="Arial" w:cs="Arial"/>
          <w:b/>
          <w:sz w:val="24"/>
          <w:szCs w:val="24"/>
        </w:rPr>
      </w:pPr>
      <w:r w:rsidRPr="000D3673">
        <w:rPr>
          <w:rFonts w:ascii="Arial" w:hAnsi="Arial" w:cs="Arial"/>
          <w:b/>
          <w:sz w:val="24"/>
          <w:szCs w:val="24"/>
        </w:rPr>
        <w:t>COSTS</w:t>
      </w:r>
    </w:p>
    <w:p w:rsidR="001B751F" w:rsidRPr="000D3673" w:rsidRDefault="001741F1" w:rsidP="008172F7">
      <w:pPr>
        <w:pStyle w:val="1"/>
        <w:rPr>
          <w:rFonts w:cs="Arial"/>
          <w:szCs w:val="24"/>
        </w:rPr>
      </w:pPr>
      <w:r w:rsidRPr="000D3673">
        <w:rPr>
          <w:rFonts w:cs="Arial"/>
          <w:szCs w:val="24"/>
        </w:rPr>
        <w:t xml:space="preserve"> [65</w:t>
      </w:r>
      <w:r w:rsidR="001B751F" w:rsidRPr="000D3673">
        <w:rPr>
          <w:rFonts w:cs="Arial"/>
          <w:szCs w:val="24"/>
        </w:rPr>
        <w:t xml:space="preserve">] The applicants seek an order compelling </w:t>
      </w:r>
      <w:r w:rsidR="001B751F" w:rsidRPr="008172F7">
        <w:rPr>
          <w:rFonts w:cs="Arial"/>
          <w:szCs w:val="24"/>
        </w:rPr>
        <w:t>Morris</w:t>
      </w:r>
      <w:r w:rsidR="001B751F" w:rsidRPr="000D3673">
        <w:rPr>
          <w:rFonts w:cs="Arial"/>
          <w:szCs w:val="24"/>
        </w:rPr>
        <w:t xml:space="preserve"> to pay the costs of </w:t>
      </w:r>
      <w:r w:rsidR="0001389A">
        <w:rPr>
          <w:rFonts w:cs="Arial"/>
          <w:szCs w:val="24"/>
        </w:rPr>
        <w:t>the application and the costs for</w:t>
      </w:r>
      <w:r w:rsidR="001B751F" w:rsidRPr="000D3673">
        <w:rPr>
          <w:rFonts w:cs="Arial"/>
          <w:szCs w:val="24"/>
        </w:rPr>
        <w:t xml:space="preserve"> his opposition to the application in his personal capacity. </w:t>
      </w:r>
    </w:p>
    <w:p w:rsidR="001B751F" w:rsidRPr="000D3673" w:rsidRDefault="001741F1" w:rsidP="001741F1">
      <w:pPr>
        <w:pStyle w:val="1"/>
        <w:rPr>
          <w:rFonts w:cs="Arial"/>
          <w:i/>
          <w:szCs w:val="24"/>
        </w:rPr>
      </w:pPr>
      <w:r w:rsidRPr="000D3673">
        <w:rPr>
          <w:rFonts w:cs="Arial"/>
          <w:szCs w:val="24"/>
        </w:rPr>
        <w:lastRenderedPageBreak/>
        <w:t>[66</w:t>
      </w:r>
      <w:r w:rsidR="00CB6619">
        <w:rPr>
          <w:rFonts w:cs="Arial"/>
          <w:szCs w:val="24"/>
        </w:rPr>
        <w:t>] T</w:t>
      </w:r>
      <w:r w:rsidR="001B751F" w:rsidRPr="000D3673">
        <w:rPr>
          <w:rFonts w:cs="Arial"/>
          <w:szCs w:val="24"/>
        </w:rPr>
        <w:t>he applicants rely on the well-established principle that in applications where the removal of a trustee is sought on the basis of improper</w:t>
      </w:r>
      <w:r w:rsidR="0001389A">
        <w:rPr>
          <w:rFonts w:cs="Arial"/>
          <w:szCs w:val="24"/>
        </w:rPr>
        <w:t xml:space="preserve"> conduct</w:t>
      </w:r>
      <w:r w:rsidR="001B751F" w:rsidRPr="000D3673">
        <w:rPr>
          <w:rFonts w:cs="Arial"/>
          <w:szCs w:val="24"/>
        </w:rPr>
        <w:t xml:space="preserve">, the trustee must bear the costs of the proceedings in his personal capacity. Reliance for this proposition is based on the case of </w:t>
      </w:r>
      <w:r w:rsidR="001B751F" w:rsidRPr="000D3673">
        <w:rPr>
          <w:rFonts w:cs="Arial"/>
          <w:i/>
          <w:szCs w:val="24"/>
        </w:rPr>
        <w:t xml:space="preserve">Stander and Others v </w:t>
      </w:r>
      <w:proofErr w:type="spellStart"/>
      <w:r w:rsidR="001B751F" w:rsidRPr="008172F7">
        <w:rPr>
          <w:rFonts w:cs="Arial"/>
          <w:i/>
          <w:szCs w:val="24"/>
        </w:rPr>
        <w:t>Schwulst</w:t>
      </w:r>
      <w:proofErr w:type="spellEnd"/>
      <w:r w:rsidR="001B751F" w:rsidRPr="000D3673">
        <w:rPr>
          <w:rFonts w:cs="Arial"/>
          <w:i/>
          <w:szCs w:val="24"/>
        </w:rPr>
        <w:t xml:space="preserve"> and Others.</w:t>
      </w:r>
      <w:r w:rsidR="001B751F" w:rsidRPr="000D3673">
        <w:rPr>
          <w:rStyle w:val="FootnoteReference"/>
          <w:rFonts w:cs="Arial"/>
          <w:i/>
          <w:szCs w:val="24"/>
        </w:rPr>
        <w:footnoteReference w:id="6"/>
      </w:r>
    </w:p>
    <w:p w:rsidR="001B751F" w:rsidRPr="000D3673" w:rsidRDefault="0001389A" w:rsidP="001741F1">
      <w:pPr>
        <w:pStyle w:val="1"/>
        <w:rPr>
          <w:rFonts w:cs="Arial"/>
          <w:szCs w:val="24"/>
        </w:rPr>
      </w:pPr>
      <w:r>
        <w:rPr>
          <w:rFonts w:cs="Arial"/>
          <w:szCs w:val="24"/>
        </w:rPr>
        <w:t xml:space="preserve">        </w:t>
      </w:r>
      <w:r w:rsidR="001B751F" w:rsidRPr="000D3673">
        <w:rPr>
          <w:rFonts w:cs="Arial"/>
          <w:szCs w:val="24"/>
        </w:rPr>
        <w:t>In the Stander matter the beneficiaries of a trust (</w:t>
      </w:r>
      <w:r w:rsidR="008172F7">
        <w:rPr>
          <w:rFonts w:cs="Arial"/>
          <w:szCs w:val="24"/>
        </w:rPr>
        <w:t>t</w:t>
      </w:r>
      <w:r w:rsidR="001B751F" w:rsidRPr="000D3673">
        <w:rPr>
          <w:rFonts w:cs="Arial"/>
          <w:szCs w:val="24"/>
        </w:rPr>
        <w:t>he applicants) sought the removal of the current trustees o</w:t>
      </w:r>
      <w:r w:rsidR="00CB6619">
        <w:rPr>
          <w:rFonts w:cs="Arial"/>
          <w:szCs w:val="24"/>
        </w:rPr>
        <w:t>f the trust on grounds which included</w:t>
      </w:r>
      <w:r w:rsidR="001B751F" w:rsidRPr="000D3673">
        <w:rPr>
          <w:rFonts w:cs="Arial"/>
          <w:szCs w:val="24"/>
        </w:rPr>
        <w:t xml:space="preserve"> dishonesty and lack of good faith. The application was brought against the trustees in their personal capacities. The trustees contended that they should have been cited in their representative capacities and brought an application seeking t</w:t>
      </w:r>
      <w:r>
        <w:rPr>
          <w:rFonts w:cs="Arial"/>
          <w:szCs w:val="24"/>
        </w:rPr>
        <w:t>hat their defence of the removal</w:t>
      </w:r>
      <w:r w:rsidR="001B751F" w:rsidRPr="000D3673">
        <w:rPr>
          <w:rFonts w:cs="Arial"/>
          <w:szCs w:val="24"/>
        </w:rPr>
        <w:t xml:space="preserve"> application be funded by the trust estate.  The court held that where a trustee was sued for breach of trust (for removal or damages), the claim was against the trustee in her personal capacity. It was also held that even where the trustee was properly</w:t>
      </w:r>
      <w:r w:rsidR="00CB6619">
        <w:rPr>
          <w:rFonts w:cs="Arial"/>
          <w:szCs w:val="24"/>
        </w:rPr>
        <w:t xml:space="preserve"> joined as</w:t>
      </w:r>
      <w:r w:rsidR="001B751F" w:rsidRPr="000D3673">
        <w:rPr>
          <w:rFonts w:cs="Arial"/>
          <w:szCs w:val="24"/>
        </w:rPr>
        <w:t xml:space="preserve"> a party to legal proceedings in her representative capacity, she would be held personally liable for the cost</w:t>
      </w:r>
      <w:r>
        <w:rPr>
          <w:rFonts w:cs="Arial"/>
          <w:szCs w:val="24"/>
        </w:rPr>
        <w:t>s</w:t>
      </w:r>
      <w:r w:rsidR="001B751F" w:rsidRPr="000D3673">
        <w:rPr>
          <w:rFonts w:cs="Arial"/>
          <w:szCs w:val="24"/>
        </w:rPr>
        <w:t xml:space="preserve"> if she acted mala fide or unreasonably or improperly in bringing or defending the proceedings. </w:t>
      </w:r>
    </w:p>
    <w:p w:rsidR="001B751F" w:rsidRPr="000D3673" w:rsidRDefault="001741F1" w:rsidP="001741F1">
      <w:pPr>
        <w:pStyle w:val="1"/>
        <w:rPr>
          <w:rFonts w:cs="Arial"/>
          <w:szCs w:val="24"/>
        </w:rPr>
      </w:pPr>
      <w:r w:rsidRPr="000D3673">
        <w:rPr>
          <w:rFonts w:cs="Arial"/>
          <w:szCs w:val="24"/>
        </w:rPr>
        <w:t>[67</w:t>
      </w:r>
      <w:r w:rsidR="0001389A">
        <w:rPr>
          <w:rFonts w:cs="Arial"/>
          <w:szCs w:val="24"/>
        </w:rPr>
        <w:t>] I</w:t>
      </w:r>
      <w:r w:rsidR="001B751F" w:rsidRPr="000D3673">
        <w:rPr>
          <w:rFonts w:cs="Arial"/>
          <w:szCs w:val="24"/>
        </w:rPr>
        <w:t>t was further held in Stander that if a trustee were removed for misconduct or other improper or unreasonable behaviour, her opposition to the application for her removal would inevitably be found to be unreasonable and she could not only be ordered to pay the other side’s cost</w:t>
      </w:r>
      <w:r w:rsidR="000F5404">
        <w:rPr>
          <w:rFonts w:cs="Arial"/>
          <w:szCs w:val="24"/>
        </w:rPr>
        <w:t>s</w:t>
      </w:r>
      <w:r w:rsidR="001B751F" w:rsidRPr="000D3673">
        <w:rPr>
          <w:rFonts w:cs="Arial"/>
          <w:szCs w:val="24"/>
        </w:rPr>
        <w:t xml:space="preserve"> personally but would have no entitl</w:t>
      </w:r>
      <w:r w:rsidR="00CB6619">
        <w:rPr>
          <w:rFonts w:cs="Arial"/>
          <w:szCs w:val="24"/>
        </w:rPr>
        <w:t>ement to an indemnity from the T</w:t>
      </w:r>
      <w:r w:rsidR="001B751F" w:rsidRPr="000D3673">
        <w:rPr>
          <w:rFonts w:cs="Arial"/>
          <w:szCs w:val="24"/>
        </w:rPr>
        <w:t>rust in respect of her own costs. Opposition would be improper where removal was sought, inter alia on grounds of unreasonable co</w:t>
      </w:r>
      <w:r w:rsidR="000F5404">
        <w:rPr>
          <w:rFonts w:cs="Arial"/>
          <w:szCs w:val="24"/>
        </w:rPr>
        <w:t>nduct, negligence or breach of t</w:t>
      </w:r>
      <w:r w:rsidR="001B751F" w:rsidRPr="000D3673">
        <w:rPr>
          <w:rFonts w:cs="Arial"/>
          <w:szCs w:val="24"/>
        </w:rPr>
        <w:t xml:space="preserve">rust. </w:t>
      </w:r>
    </w:p>
    <w:p w:rsidR="001B751F" w:rsidRDefault="001741F1" w:rsidP="001741F1">
      <w:pPr>
        <w:pStyle w:val="1"/>
        <w:rPr>
          <w:rFonts w:cs="Arial"/>
          <w:szCs w:val="24"/>
        </w:rPr>
      </w:pPr>
      <w:r w:rsidRPr="000D3673">
        <w:rPr>
          <w:rFonts w:cs="Arial"/>
          <w:szCs w:val="24"/>
        </w:rPr>
        <w:lastRenderedPageBreak/>
        <w:t>[68</w:t>
      </w:r>
      <w:r w:rsidR="008F1A0D" w:rsidRPr="000D3673">
        <w:rPr>
          <w:rFonts w:cs="Arial"/>
          <w:szCs w:val="24"/>
        </w:rPr>
        <w:t>] J</w:t>
      </w:r>
      <w:r w:rsidR="001B751F" w:rsidRPr="000D3673">
        <w:rPr>
          <w:rFonts w:cs="Arial"/>
          <w:szCs w:val="24"/>
        </w:rPr>
        <w:t>ust to recap</w:t>
      </w:r>
      <w:r w:rsidR="00CB6619">
        <w:rPr>
          <w:rFonts w:cs="Arial"/>
          <w:szCs w:val="24"/>
        </w:rPr>
        <w:t>itulate</w:t>
      </w:r>
      <w:r w:rsidR="001B751F" w:rsidRPr="000D3673">
        <w:rPr>
          <w:rFonts w:cs="Arial"/>
          <w:szCs w:val="24"/>
        </w:rPr>
        <w:t>, in the present case, the record shows that Morris had acted unreasonably, negligently or in a manner manifestly lacking in good faith in a number of respects. For a period of about fourteen years he had acted in utter disregard of the very cle</w:t>
      </w:r>
      <w:r w:rsidR="00CB6619">
        <w:rPr>
          <w:rFonts w:cs="Arial"/>
          <w:szCs w:val="24"/>
        </w:rPr>
        <w:t>ar directives contained in the T</w:t>
      </w:r>
      <w:r w:rsidR="0001389A">
        <w:rPr>
          <w:rFonts w:cs="Arial"/>
          <w:szCs w:val="24"/>
        </w:rPr>
        <w:t>rust D</w:t>
      </w:r>
      <w:r w:rsidR="001B751F" w:rsidRPr="000D3673">
        <w:rPr>
          <w:rFonts w:cs="Arial"/>
          <w:szCs w:val="24"/>
        </w:rPr>
        <w:t>eed with regard to assuming or appointment of additional trust</w:t>
      </w:r>
      <w:r w:rsidR="00CB6619">
        <w:rPr>
          <w:rFonts w:cs="Arial"/>
          <w:szCs w:val="24"/>
        </w:rPr>
        <w:t>ees in order to capacitate the T</w:t>
      </w:r>
      <w:r w:rsidR="001B751F" w:rsidRPr="000D3673">
        <w:rPr>
          <w:rFonts w:cs="Arial"/>
          <w:szCs w:val="24"/>
        </w:rPr>
        <w:t>rust. His very belated effort to make amends by tryi</w:t>
      </w:r>
      <w:r w:rsidR="0001389A">
        <w:rPr>
          <w:rFonts w:cs="Arial"/>
          <w:szCs w:val="24"/>
        </w:rPr>
        <w:t>ng to appoint Hilton and Suz</w:t>
      </w:r>
      <w:r w:rsidR="001B751F" w:rsidRPr="000D3673">
        <w:rPr>
          <w:rFonts w:cs="Arial"/>
          <w:szCs w:val="24"/>
        </w:rPr>
        <w:t xml:space="preserve">an yielded no results. </w:t>
      </w:r>
    </w:p>
    <w:p w:rsidR="0001389A" w:rsidRPr="000D3673" w:rsidRDefault="0001389A" w:rsidP="001741F1">
      <w:pPr>
        <w:pStyle w:val="1"/>
        <w:rPr>
          <w:rFonts w:cs="Arial"/>
          <w:szCs w:val="24"/>
        </w:rPr>
      </w:pPr>
    </w:p>
    <w:p w:rsidR="001B751F" w:rsidRPr="000D3673" w:rsidRDefault="001741F1" w:rsidP="001741F1">
      <w:pPr>
        <w:pStyle w:val="1"/>
        <w:rPr>
          <w:rFonts w:cs="Arial"/>
          <w:szCs w:val="24"/>
        </w:rPr>
      </w:pPr>
      <w:r w:rsidRPr="000D3673">
        <w:rPr>
          <w:rFonts w:cs="Arial"/>
          <w:szCs w:val="24"/>
        </w:rPr>
        <w:t>[69</w:t>
      </w:r>
      <w:r w:rsidR="001B751F" w:rsidRPr="000D3673">
        <w:rPr>
          <w:rFonts w:cs="Arial"/>
          <w:szCs w:val="24"/>
        </w:rPr>
        <w:t xml:space="preserve">] Even when Morris purportedly entered into agreements with a view to fulfilling the </w:t>
      </w:r>
      <w:r w:rsidR="00CB6619">
        <w:rPr>
          <w:rFonts w:cs="Arial"/>
          <w:szCs w:val="24"/>
        </w:rPr>
        <w:t>distr</w:t>
      </w:r>
      <w:r w:rsidR="005E72FA">
        <w:rPr>
          <w:rFonts w:cs="Arial"/>
          <w:szCs w:val="24"/>
        </w:rPr>
        <w:t>ibution</w:t>
      </w:r>
      <w:r w:rsidR="001B751F" w:rsidRPr="000D3673">
        <w:rPr>
          <w:rFonts w:cs="Arial"/>
          <w:szCs w:val="24"/>
        </w:rPr>
        <w:t xml:space="preserve"> event (belatedly), he acted in breach of his undertaking to the applicants by reneging from those agreements. What singularly demonstrated his lack of good faith was his attempt to extend the trust for 20 years in total disregard of the advanced age of the applicants and which held the potential of permanently dispossessing them of whatever benefits they</w:t>
      </w:r>
      <w:r w:rsidR="005E72FA">
        <w:rPr>
          <w:rFonts w:cs="Arial"/>
          <w:szCs w:val="24"/>
        </w:rPr>
        <w:t xml:space="preserve"> were entitled in terms of the Trust D</w:t>
      </w:r>
      <w:r w:rsidR="001B751F" w:rsidRPr="000D3673">
        <w:rPr>
          <w:rFonts w:cs="Arial"/>
          <w:szCs w:val="24"/>
        </w:rPr>
        <w:t>eed. His attempts to explain his patently unreasonable actions by stating that he did not mean to extend the trust for 20 years could only be described as irrational. Evidently, Morris</w:t>
      </w:r>
      <w:r w:rsidR="00647410">
        <w:rPr>
          <w:rFonts w:cs="Arial"/>
          <w:szCs w:val="24"/>
        </w:rPr>
        <w:t>’s</w:t>
      </w:r>
      <w:r w:rsidR="001B751F" w:rsidRPr="000D3673">
        <w:rPr>
          <w:rFonts w:cs="Arial"/>
          <w:szCs w:val="24"/>
        </w:rPr>
        <w:t xml:space="preserve"> actions had resulted in the breaking of trust between himself and the applicants.  </w:t>
      </w:r>
    </w:p>
    <w:p w:rsidR="001B751F" w:rsidRPr="000D3673" w:rsidRDefault="001741F1" w:rsidP="001741F1">
      <w:pPr>
        <w:pStyle w:val="1"/>
        <w:rPr>
          <w:rFonts w:cs="Arial"/>
          <w:szCs w:val="24"/>
        </w:rPr>
      </w:pPr>
      <w:r w:rsidRPr="000D3673">
        <w:rPr>
          <w:rFonts w:cs="Arial"/>
          <w:szCs w:val="24"/>
        </w:rPr>
        <w:t>[70</w:t>
      </w:r>
      <w:r w:rsidR="00647410">
        <w:rPr>
          <w:rFonts w:cs="Arial"/>
          <w:szCs w:val="24"/>
        </w:rPr>
        <w:t>] I</w:t>
      </w:r>
      <w:r w:rsidR="001B751F" w:rsidRPr="000D3673">
        <w:rPr>
          <w:rFonts w:cs="Arial"/>
          <w:szCs w:val="24"/>
        </w:rPr>
        <w:t>n light of the broken trust and the to</w:t>
      </w:r>
      <w:r w:rsidR="005E72FA">
        <w:rPr>
          <w:rFonts w:cs="Arial"/>
          <w:szCs w:val="24"/>
        </w:rPr>
        <w:t>tal failure to comply with the Trust Deed provisions, I find</w:t>
      </w:r>
      <w:r w:rsidR="001B751F" w:rsidRPr="000D3673">
        <w:rPr>
          <w:rFonts w:cs="Arial"/>
          <w:szCs w:val="24"/>
        </w:rPr>
        <w:t xml:space="preserve"> that it was unreasonable for Morris to oppose this application, thereby justifying </w:t>
      </w:r>
      <w:r w:rsidR="001B751F" w:rsidRPr="000D3673">
        <w:rPr>
          <w:rFonts w:cs="Arial"/>
          <w:i/>
          <w:szCs w:val="24"/>
        </w:rPr>
        <w:t xml:space="preserve">a de </w:t>
      </w:r>
      <w:proofErr w:type="spellStart"/>
      <w:r w:rsidR="001B751F" w:rsidRPr="000D3673">
        <w:rPr>
          <w:rFonts w:cs="Arial"/>
          <w:i/>
          <w:szCs w:val="24"/>
        </w:rPr>
        <w:t>bonis</w:t>
      </w:r>
      <w:proofErr w:type="spellEnd"/>
      <w:r w:rsidR="001B751F" w:rsidRPr="000D3673">
        <w:rPr>
          <w:rFonts w:cs="Arial"/>
          <w:i/>
          <w:szCs w:val="24"/>
        </w:rPr>
        <w:t xml:space="preserve"> </w:t>
      </w:r>
      <w:proofErr w:type="spellStart"/>
      <w:r w:rsidR="001B751F" w:rsidRPr="000D3673">
        <w:rPr>
          <w:rFonts w:cs="Arial"/>
          <w:i/>
          <w:szCs w:val="24"/>
        </w:rPr>
        <w:t>propriis</w:t>
      </w:r>
      <w:proofErr w:type="spellEnd"/>
      <w:r w:rsidR="001B751F" w:rsidRPr="000D3673">
        <w:rPr>
          <w:rFonts w:cs="Arial"/>
          <w:szCs w:val="24"/>
        </w:rPr>
        <w:t xml:space="preserve"> cost order. </w:t>
      </w:r>
    </w:p>
    <w:p w:rsidR="001B751F" w:rsidRPr="000D3673" w:rsidRDefault="001741F1" w:rsidP="001741F1">
      <w:pPr>
        <w:pStyle w:val="1"/>
        <w:rPr>
          <w:rFonts w:cs="Arial"/>
          <w:szCs w:val="24"/>
        </w:rPr>
      </w:pPr>
      <w:r w:rsidRPr="000D3673">
        <w:rPr>
          <w:rFonts w:cs="Arial"/>
          <w:szCs w:val="24"/>
        </w:rPr>
        <w:t>[71</w:t>
      </w:r>
      <w:r w:rsidR="001B751F" w:rsidRPr="000D3673">
        <w:rPr>
          <w:rFonts w:cs="Arial"/>
          <w:szCs w:val="24"/>
        </w:rPr>
        <w:t xml:space="preserve">] I do not intend to award costs for the counter application to the application for condonation due to the agreement that the matters addressed therein would be </w:t>
      </w:r>
      <w:r w:rsidR="001B751F" w:rsidRPr="000D3673">
        <w:rPr>
          <w:rFonts w:cs="Arial"/>
          <w:szCs w:val="24"/>
        </w:rPr>
        <w:lastRenderedPageBreak/>
        <w:t>subsumed in the main application. I indicated to the parties at the commencement of the proceedings that the c</w:t>
      </w:r>
      <w:r w:rsidR="00647410">
        <w:rPr>
          <w:rFonts w:cs="Arial"/>
          <w:szCs w:val="24"/>
        </w:rPr>
        <w:t>ounterapplication seemed to be a</w:t>
      </w:r>
      <w:r w:rsidR="001B751F" w:rsidRPr="000D3673">
        <w:rPr>
          <w:rFonts w:cs="Arial"/>
          <w:szCs w:val="24"/>
        </w:rPr>
        <w:t xml:space="preserve">n irregular process but the issue was not argued before me because of the said agreement. </w:t>
      </w:r>
    </w:p>
    <w:p w:rsidR="001B751F" w:rsidRPr="000D3673" w:rsidRDefault="00D86003" w:rsidP="008F1A0D">
      <w:pPr>
        <w:pStyle w:val="1"/>
        <w:ind w:left="1134"/>
        <w:rPr>
          <w:rFonts w:cs="Arial"/>
          <w:szCs w:val="24"/>
        </w:rPr>
      </w:pPr>
      <w:r>
        <w:rPr>
          <w:rFonts w:cs="Arial"/>
          <w:szCs w:val="24"/>
        </w:rPr>
        <w:t xml:space="preserve">         </w:t>
      </w:r>
      <w:r w:rsidR="001B751F" w:rsidRPr="000D3673">
        <w:rPr>
          <w:rFonts w:cs="Arial"/>
          <w:szCs w:val="24"/>
        </w:rPr>
        <w:t>The counterclaim seems to deal with payments made by Morris to a certain attorney Allschwang. I take the view that those are matters to be taken up or addressed by the new trustees and that they ought not to be canvassed in an application for the removal of Morris as a trustee.</w:t>
      </w:r>
    </w:p>
    <w:p w:rsidR="001B751F" w:rsidRPr="000D3673" w:rsidRDefault="001741F1" w:rsidP="001741F1">
      <w:pPr>
        <w:pStyle w:val="1"/>
        <w:rPr>
          <w:rFonts w:cs="Arial"/>
          <w:szCs w:val="24"/>
        </w:rPr>
      </w:pPr>
      <w:r w:rsidRPr="000D3673">
        <w:rPr>
          <w:rFonts w:cs="Arial"/>
          <w:szCs w:val="24"/>
        </w:rPr>
        <w:t>[72</w:t>
      </w:r>
      <w:r w:rsidR="001B751F" w:rsidRPr="000D3673">
        <w:rPr>
          <w:rFonts w:cs="Arial"/>
          <w:szCs w:val="24"/>
        </w:rPr>
        <w:t>] Regarding the application for condonation for the late filing of the answ</w:t>
      </w:r>
      <w:r w:rsidR="00D86003">
        <w:rPr>
          <w:rFonts w:cs="Arial"/>
          <w:szCs w:val="24"/>
        </w:rPr>
        <w:t>ering affidavit, condonation i</w:t>
      </w:r>
      <w:r w:rsidR="001B751F" w:rsidRPr="000D3673">
        <w:rPr>
          <w:rFonts w:cs="Arial"/>
          <w:szCs w:val="24"/>
        </w:rPr>
        <w:t>s granted on the basis that it was filed two days late and that there could</w:t>
      </w:r>
      <w:r w:rsidR="00D86003">
        <w:rPr>
          <w:rFonts w:cs="Arial"/>
          <w:szCs w:val="24"/>
        </w:rPr>
        <w:t xml:space="preserve"> not have been any</w:t>
      </w:r>
      <w:r w:rsidR="001B751F" w:rsidRPr="000D3673">
        <w:rPr>
          <w:rFonts w:cs="Arial"/>
          <w:szCs w:val="24"/>
        </w:rPr>
        <w:t xml:space="preserve"> prejudice to the applicants occasioned by such late filing. Opposition thereto was not justified and each party ought to bear its own cost</w:t>
      </w:r>
      <w:r w:rsidR="005E72FA">
        <w:rPr>
          <w:rFonts w:cs="Arial"/>
          <w:szCs w:val="24"/>
        </w:rPr>
        <w:t>s</w:t>
      </w:r>
      <w:r w:rsidR="001B751F" w:rsidRPr="000D3673">
        <w:rPr>
          <w:rFonts w:cs="Arial"/>
          <w:szCs w:val="24"/>
        </w:rPr>
        <w:t xml:space="preserve"> in that regard. </w:t>
      </w:r>
    </w:p>
    <w:p w:rsidR="001B751F" w:rsidRPr="000D3673" w:rsidRDefault="001741F1" w:rsidP="001741F1">
      <w:pPr>
        <w:pStyle w:val="1"/>
        <w:tabs>
          <w:tab w:val="left" w:pos="2510"/>
        </w:tabs>
        <w:ind w:left="0" w:firstLine="0"/>
        <w:rPr>
          <w:rFonts w:cs="Arial"/>
          <w:b/>
          <w:szCs w:val="24"/>
        </w:rPr>
      </w:pPr>
      <w:r w:rsidRPr="000D3673">
        <w:rPr>
          <w:rFonts w:cs="Arial"/>
          <w:b/>
          <w:szCs w:val="24"/>
        </w:rPr>
        <w:t>CONCLUSION</w:t>
      </w:r>
      <w:r w:rsidRPr="000D3673">
        <w:rPr>
          <w:rFonts w:cs="Arial"/>
          <w:b/>
          <w:szCs w:val="24"/>
        </w:rPr>
        <w:tab/>
      </w:r>
    </w:p>
    <w:p w:rsidR="001B751F" w:rsidRPr="000D3673" w:rsidRDefault="001741F1" w:rsidP="001741F1">
      <w:pPr>
        <w:pStyle w:val="1"/>
        <w:rPr>
          <w:rFonts w:cs="Arial"/>
          <w:szCs w:val="24"/>
        </w:rPr>
      </w:pPr>
      <w:r w:rsidRPr="000D3673">
        <w:rPr>
          <w:rFonts w:cs="Arial"/>
          <w:szCs w:val="24"/>
        </w:rPr>
        <w:t>[73</w:t>
      </w:r>
      <w:r w:rsidR="001B751F" w:rsidRPr="000D3673">
        <w:rPr>
          <w:rFonts w:cs="Arial"/>
          <w:szCs w:val="24"/>
        </w:rPr>
        <w:t>] In light of</w:t>
      </w:r>
      <w:r w:rsidR="00D86003">
        <w:rPr>
          <w:rFonts w:cs="Arial"/>
          <w:szCs w:val="24"/>
        </w:rPr>
        <w:t xml:space="preserve"> the above, I make an</w:t>
      </w:r>
      <w:r w:rsidR="001B751F" w:rsidRPr="000D3673">
        <w:rPr>
          <w:rFonts w:cs="Arial"/>
          <w:szCs w:val="24"/>
        </w:rPr>
        <w:t xml:space="preserve"> order: </w:t>
      </w:r>
    </w:p>
    <w:p w:rsidR="00884D53" w:rsidRPr="000D3673" w:rsidRDefault="00884D53" w:rsidP="001B50D7">
      <w:pPr>
        <w:pStyle w:val="LitStyleMain"/>
        <w:tabs>
          <w:tab w:val="clear" w:pos="720"/>
          <w:tab w:val="num" w:pos="1287"/>
        </w:tabs>
        <w:ind w:left="1287"/>
        <w:rPr>
          <w:rFonts w:cs="Arial"/>
          <w:sz w:val="24"/>
          <w:szCs w:val="24"/>
        </w:rPr>
      </w:pPr>
      <w:r w:rsidRPr="000D3673">
        <w:rPr>
          <w:rFonts w:cs="Arial"/>
          <w:sz w:val="24"/>
          <w:szCs w:val="24"/>
        </w:rPr>
        <w:t>Declaring that the first respondent had no capacity to effect resolutions or to otherwise bind the Lesser Family Trust (''Trust") in the absence of the minimum of three trustees specified in the Trust Deed.</w:t>
      </w:r>
    </w:p>
    <w:p w:rsidR="00884D53" w:rsidRPr="000D3673" w:rsidRDefault="00884D53" w:rsidP="001B50D7">
      <w:pPr>
        <w:pStyle w:val="LitStyleMain"/>
        <w:tabs>
          <w:tab w:val="clear" w:pos="720"/>
          <w:tab w:val="num" w:pos="1287"/>
        </w:tabs>
        <w:ind w:left="1287"/>
        <w:rPr>
          <w:rFonts w:cs="Arial"/>
          <w:sz w:val="24"/>
          <w:szCs w:val="24"/>
        </w:rPr>
      </w:pPr>
      <w:r w:rsidRPr="000D3673">
        <w:rPr>
          <w:rFonts w:cs="Arial"/>
          <w:sz w:val="24"/>
          <w:szCs w:val="24"/>
        </w:rPr>
        <w:t>Declaring that the purported resolution signed b</w:t>
      </w:r>
      <w:r w:rsidR="00D86003">
        <w:rPr>
          <w:rFonts w:cs="Arial"/>
          <w:sz w:val="24"/>
          <w:szCs w:val="24"/>
        </w:rPr>
        <w:t>y the first respondent, “FA2” to</w:t>
      </w:r>
      <w:r w:rsidRPr="000D3673">
        <w:rPr>
          <w:rFonts w:cs="Arial"/>
          <w:sz w:val="24"/>
          <w:szCs w:val="24"/>
        </w:rPr>
        <w:t xml:space="preserve"> the founding affidavit, is invalid and of no force and effect.</w:t>
      </w:r>
    </w:p>
    <w:p w:rsidR="00884D53" w:rsidRPr="000D3673" w:rsidRDefault="00884D53" w:rsidP="001B50D7">
      <w:pPr>
        <w:pStyle w:val="LitStyle1"/>
        <w:numPr>
          <w:ilvl w:val="0"/>
          <w:numId w:val="0"/>
        </w:numPr>
        <w:ind w:left="1287"/>
        <w:rPr>
          <w:rFonts w:cs="Arial"/>
          <w:sz w:val="24"/>
          <w:szCs w:val="24"/>
          <w:lang w:val="en-US"/>
        </w:rPr>
      </w:pPr>
    </w:p>
    <w:p w:rsidR="00884D53" w:rsidRPr="000D3673" w:rsidRDefault="00884D53" w:rsidP="001B50D7">
      <w:pPr>
        <w:pStyle w:val="LitStyleMain"/>
        <w:tabs>
          <w:tab w:val="clear" w:pos="720"/>
          <w:tab w:val="num" w:pos="1287"/>
        </w:tabs>
        <w:ind w:left="1287"/>
        <w:rPr>
          <w:rFonts w:cs="Arial"/>
          <w:sz w:val="24"/>
          <w:szCs w:val="24"/>
        </w:rPr>
      </w:pPr>
      <w:r w:rsidRPr="000D3673">
        <w:rPr>
          <w:rFonts w:cs="Arial"/>
          <w:sz w:val="24"/>
          <w:szCs w:val="24"/>
        </w:rPr>
        <w:t>Declaring that the purported resolution, dated 24 October 2017 (“FA1” to the Founding Affidavit), in which the second respondent and third respondent purportedly participated in their own appointment as trustees is invalid and of no force or effect.</w:t>
      </w:r>
    </w:p>
    <w:p w:rsidR="00884D53" w:rsidRPr="000D3673" w:rsidRDefault="00884D53" w:rsidP="001B50D7">
      <w:pPr>
        <w:pStyle w:val="LitStyle1"/>
        <w:numPr>
          <w:ilvl w:val="0"/>
          <w:numId w:val="0"/>
        </w:numPr>
        <w:ind w:left="1287"/>
        <w:rPr>
          <w:rFonts w:cs="Arial"/>
          <w:sz w:val="24"/>
          <w:szCs w:val="24"/>
          <w:lang w:val="en-US"/>
        </w:rPr>
      </w:pPr>
    </w:p>
    <w:p w:rsidR="00884D53" w:rsidRPr="000D3673" w:rsidRDefault="00884D53" w:rsidP="001B50D7">
      <w:pPr>
        <w:pStyle w:val="LitStyleMain"/>
        <w:tabs>
          <w:tab w:val="clear" w:pos="720"/>
          <w:tab w:val="num" w:pos="1287"/>
        </w:tabs>
        <w:ind w:left="1287"/>
        <w:rPr>
          <w:rFonts w:cs="Arial"/>
          <w:sz w:val="24"/>
          <w:szCs w:val="24"/>
        </w:rPr>
      </w:pPr>
      <w:r w:rsidRPr="000D3673">
        <w:rPr>
          <w:rFonts w:cs="Arial"/>
          <w:sz w:val="24"/>
          <w:szCs w:val="24"/>
        </w:rPr>
        <w:t>Declaring that the first, second and third respondents had no lawful authority to act as trustees in the absence of letters of authority issued by the Master of the High Court.</w:t>
      </w:r>
    </w:p>
    <w:p w:rsidR="00884D53" w:rsidRPr="000D3673" w:rsidRDefault="00884D53" w:rsidP="001B50D7">
      <w:pPr>
        <w:pStyle w:val="LitStyle1"/>
        <w:numPr>
          <w:ilvl w:val="0"/>
          <w:numId w:val="0"/>
        </w:numPr>
        <w:ind w:left="1287"/>
        <w:rPr>
          <w:rFonts w:cs="Arial"/>
          <w:sz w:val="24"/>
          <w:szCs w:val="24"/>
          <w:lang w:val="en-US"/>
        </w:rPr>
      </w:pPr>
    </w:p>
    <w:p w:rsidR="00884D53" w:rsidRPr="000D3673" w:rsidRDefault="00884D53" w:rsidP="001B50D7">
      <w:pPr>
        <w:pStyle w:val="LitStyleMain"/>
        <w:tabs>
          <w:tab w:val="clear" w:pos="720"/>
          <w:tab w:val="num" w:pos="1287"/>
        </w:tabs>
        <w:ind w:left="1287"/>
        <w:rPr>
          <w:rFonts w:cs="Arial"/>
          <w:sz w:val="24"/>
          <w:szCs w:val="24"/>
        </w:rPr>
      </w:pPr>
      <w:r w:rsidRPr="000D3673">
        <w:rPr>
          <w:rFonts w:cs="Arial"/>
          <w:sz w:val="24"/>
          <w:szCs w:val="24"/>
        </w:rPr>
        <w:t>Declaring that the first, second and third respondents are removed as trustees of the Trust.</w:t>
      </w:r>
    </w:p>
    <w:p w:rsidR="00884D53" w:rsidRPr="000D3673" w:rsidRDefault="00884D53" w:rsidP="001B50D7">
      <w:pPr>
        <w:pStyle w:val="LitStyle1"/>
        <w:numPr>
          <w:ilvl w:val="0"/>
          <w:numId w:val="0"/>
        </w:numPr>
        <w:ind w:left="1287"/>
        <w:rPr>
          <w:rFonts w:cs="Arial"/>
          <w:sz w:val="24"/>
          <w:szCs w:val="24"/>
          <w:lang w:val="en-US"/>
        </w:rPr>
      </w:pPr>
    </w:p>
    <w:p w:rsidR="00884D53" w:rsidRPr="000D3673" w:rsidRDefault="00884D53" w:rsidP="001B50D7">
      <w:pPr>
        <w:pStyle w:val="LitStyleMain"/>
        <w:tabs>
          <w:tab w:val="clear" w:pos="720"/>
          <w:tab w:val="num" w:pos="1287"/>
        </w:tabs>
        <w:ind w:left="1287"/>
        <w:rPr>
          <w:rFonts w:cs="Arial"/>
          <w:sz w:val="24"/>
          <w:szCs w:val="24"/>
        </w:rPr>
      </w:pPr>
      <w:r w:rsidRPr="000D3673">
        <w:rPr>
          <w:rFonts w:cs="Arial"/>
          <w:sz w:val="24"/>
          <w:szCs w:val="24"/>
        </w:rPr>
        <w:t xml:space="preserve">Declaring that Messrs David Rose, Dave </w:t>
      </w:r>
      <w:proofErr w:type="spellStart"/>
      <w:r w:rsidRPr="000D3673">
        <w:rPr>
          <w:rFonts w:cs="Arial"/>
          <w:sz w:val="24"/>
          <w:szCs w:val="24"/>
        </w:rPr>
        <w:t>Cathrall</w:t>
      </w:r>
      <w:proofErr w:type="spellEnd"/>
      <w:r w:rsidRPr="000D3673">
        <w:rPr>
          <w:rFonts w:cs="Arial"/>
          <w:sz w:val="24"/>
          <w:szCs w:val="24"/>
        </w:rPr>
        <w:t xml:space="preserve"> and Paul </w:t>
      </w:r>
      <w:proofErr w:type="spellStart"/>
      <w:r w:rsidRPr="000D3673">
        <w:rPr>
          <w:rFonts w:cs="Arial"/>
          <w:sz w:val="24"/>
          <w:szCs w:val="24"/>
        </w:rPr>
        <w:t>Kampel</w:t>
      </w:r>
      <w:proofErr w:type="spellEnd"/>
      <w:r w:rsidRPr="000D3673">
        <w:rPr>
          <w:rFonts w:cs="Arial"/>
          <w:sz w:val="24"/>
          <w:szCs w:val="24"/>
        </w:rPr>
        <w:t xml:space="preserve"> are appointed as trustees of the Trust, </w:t>
      </w:r>
      <w:r w:rsidRPr="000D3673">
        <w:rPr>
          <w:rFonts w:cs="Arial"/>
          <w:sz w:val="24"/>
          <w:szCs w:val="24"/>
          <w:u w:val="thick"/>
        </w:rPr>
        <w:t>alternatively</w:t>
      </w:r>
      <w:r w:rsidRPr="000D3673">
        <w:rPr>
          <w:rFonts w:cs="Arial"/>
          <w:sz w:val="24"/>
          <w:szCs w:val="24"/>
        </w:rPr>
        <w:t xml:space="preserve"> directing the Master to give consideration to their appointment as trustees and to make the necessary appointments.</w:t>
      </w:r>
    </w:p>
    <w:p w:rsidR="00884D53" w:rsidRPr="000D3673" w:rsidRDefault="00884D53" w:rsidP="001B50D7">
      <w:pPr>
        <w:pStyle w:val="LitStyle1"/>
        <w:numPr>
          <w:ilvl w:val="0"/>
          <w:numId w:val="0"/>
        </w:numPr>
        <w:ind w:left="1287"/>
        <w:rPr>
          <w:rFonts w:cs="Arial"/>
          <w:sz w:val="24"/>
          <w:szCs w:val="24"/>
          <w:lang w:val="en-US"/>
        </w:rPr>
      </w:pPr>
    </w:p>
    <w:p w:rsidR="00884D53" w:rsidRPr="000D3673" w:rsidRDefault="00884D53" w:rsidP="001B50D7">
      <w:pPr>
        <w:pStyle w:val="LitStyle1"/>
        <w:numPr>
          <w:ilvl w:val="0"/>
          <w:numId w:val="0"/>
        </w:numPr>
        <w:ind w:left="1287"/>
        <w:rPr>
          <w:rFonts w:cs="Arial"/>
          <w:sz w:val="24"/>
          <w:szCs w:val="24"/>
        </w:rPr>
      </w:pPr>
    </w:p>
    <w:p w:rsidR="00884D53" w:rsidRPr="000D3673" w:rsidRDefault="00884D53" w:rsidP="001B50D7">
      <w:pPr>
        <w:pStyle w:val="LitStyleMain"/>
        <w:tabs>
          <w:tab w:val="clear" w:pos="720"/>
          <w:tab w:val="num" w:pos="1287"/>
        </w:tabs>
        <w:ind w:left="1287"/>
        <w:rPr>
          <w:rFonts w:cs="Arial"/>
          <w:sz w:val="24"/>
          <w:szCs w:val="24"/>
        </w:rPr>
      </w:pPr>
      <w:r w:rsidRPr="000D3673">
        <w:rPr>
          <w:rFonts w:cs="Arial"/>
          <w:sz w:val="24"/>
          <w:szCs w:val="24"/>
        </w:rPr>
        <w:t>Directing the first respondent to render an account to the applicants and/or the trustees to be appointed in terms of paragraph 6 in respect of the administration of the Trust's affairs for each year, from inception to date, within 30 calendar days of this order, including annual statements of the Trust's assets, liabilities, income and expenditure, with all supporting documentation and vouchers, including books and records, bank statements (if any); annual financial statements of the Trust (audited, or prepared by or at the instance of the trustees); minutes of trustees meetings and resolutions passed by trustees.</w:t>
      </w:r>
    </w:p>
    <w:p w:rsidR="00884D53" w:rsidRPr="000D3673" w:rsidRDefault="00884D53" w:rsidP="001B50D7">
      <w:pPr>
        <w:pStyle w:val="LitStyle1"/>
        <w:numPr>
          <w:ilvl w:val="0"/>
          <w:numId w:val="0"/>
        </w:numPr>
        <w:ind w:left="1287"/>
        <w:rPr>
          <w:rFonts w:cs="Arial"/>
          <w:sz w:val="24"/>
          <w:szCs w:val="24"/>
          <w:lang w:val="en-US"/>
        </w:rPr>
      </w:pPr>
    </w:p>
    <w:p w:rsidR="00884D53" w:rsidRPr="000D3673" w:rsidRDefault="00884D53" w:rsidP="001B50D7">
      <w:pPr>
        <w:pStyle w:val="LitStyle1"/>
        <w:numPr>
          <w:ilvl w:val="0"/>
          <w:numId w:val="0"/>
        </w:numPr>
        <w:ind w:left="1287"/>
        <w:rPr>
          <w:rFonts w:cs="Arial"/>
          <w:sz w:val="24"/>
          <w:szCs w:val="24"/>
          <w:lang w:val="en-US"/>
        </w:rPr>
      </w:pPr>
    </w:p>
    <w:p w:rsidR="00884D53" w:rsidRPr="000D3673" w:rsidRDefault="00884D53" w:rsidP="001B50D7">
      <w:pPr>
        <w:pStyle w:val="LitStyleMain"/>
        <w:tabs>
          <w:tab w:val="clear" w:pos="720"/>
          <w:tab w:val="num" w:pos="1287"/>
        </w:tabs>
        <w:ind w:left="1287"/>
        <w:rPr>
          <w:rFonts w:cs="Arial"/>
          <w:sz w:val="24"/>
          <w:szCs w:val="24"/>
          <w:lang w:val="en-US"/>
        </w:rPr>
      </w:pPr>
      <w:r w:rsidRPr="000D3673">
        <w:rPr>
          <w:rFonts w:cs="Arial"/>
          <w:sz w:val="24"/>
          <w:szCs w:val="24"/>
        </w:rPr>
        <w:t>Directing the seventh respondent to render an account to the applicants, alternatively to the trustees appointed or to be appointed pursuant to paragraph 6 above, in respect of the administration of the eighth respondent's affairs for each of its financial years, from 2017 to date, within 30 calendar days of this order, including annual statements of the eighth respondent's assets, liabilities, income and expenditure, with all supporting documentation and vouchers,</w:t>
      </w:r>
      <w:r w:rsidRPr="000D3673">
        <w:rPr>
          <w:rFonts w:cs="Arial"/>
          <w:sz w:val="24"/>
          <w:szCs w:val="24"/>
          <w:lang w:val="en-US"/>
        </w:rPr>
        <w:t xml:space="preserve">including books and records, bank statements; annual financial statements of the eighth respondent </w:t>
      </w:r>
      <w:r w:rsidRPr="000D3673">
        <w:rPr>
          <w:rFonts w:cs="Arial"/>
          <w:sz w:val="24"/>
          <w:szCs w:val="24"/>
          <w:lang w:val="en-US"/>
        </w:rPr>
        <w:lastRenderedPageBreak/>
        <w:t>(audited, or prepared by or at the instance of the seventh and/or eighth respondent); minutes and resolutions.</w:t>
      </w:r>
    </w:p>
    <w:p w:rsidR="00E059F9" w:rsidRPr="000D3673" w:rsidRDefault="008F1A0D" w:rsidP="001B50D7">
      <w:pPr>
        <w:pStyle w:val="LitStyleMain"/>
        <w:tabs>
          <w:tab w:val="clear" w:pos="720"/>
          <w:tab w:val="num" w:pos="1287"/>
        </w:tabs>
        <w:ind w:left="1287"/>
        <w:rPr>
          <w:rFonts w:cs="Arial"/>
          <w:sz w:val="24"/>
          <w:szCs w:val="24"/>
        </w:rPr>
      </w:pPr>
      <w:r w:rsidRPr="000D3673">
        <w:rPr>
          <w:rFonts w:cs="Arial"/>
          <w:sz w:val="24"/>
          <w:szCs w:val="24"/>
        </w:rPr>
        <w:t xml:space="preserve">The first respondent is directed to pay the costs of the main application </w:t>
      </w:r>
      <w:r w:rsidR="00D57BEB" w:rsidRPr="000D3673">
        <w:rPr>
          <w:rFonts w:cs="Arial"/>
          <w:i/>
          <w:sz w:val="24"/>
          <w:szCs w:val="24"/>
        </w:rPr>
        <w:t xml:space="preserve">de </w:t>
      </w:r>
      <w:proofErr w:type="spellStart"/>
      <w:r w:rsidR="00D57BEB" w:rsidRPr="000D3673">
        <w:rPr>
          <w:rFonts w:cs="Arial"/>
          <w:i/>
          <w:sz w:val="24"/>
          <w:szCs w:val="24"/>
        </w:rPr>
        <w:t>bonis</w:t>
      </w:r>
      <w:proofErr w:type="spellEnd"/>
      <w:r w:rsidR="00D57BEB" w:rsidRPr="000D3673">
        <w:rPr>
          <w:rFonts w:cs="Arial"/>
          <w:i/>
          <w:sz w:val="24"/>
          <w:szCs w:val="24"/>
        </w:rPr>
        <w:t xml:space="preserve"> </w:t>
      </w:r>
      <w:proofErr w:type="spellStart"/>
      <w:r w:rsidR="00D57BEB" w:rsidRPr="000D3673">
        <w:rPr>
          <w:rFonts w:cs="Arial"/>
          <w:i/>
          <w:sz w:val="24"/>
          <w:szCs w:val="24"/>
        </w:rPr>
        <w:t>propriis</w:t>
      </w:r>
      <w:proofErr w:type="spellEnd"/>
      <w:r w:rsidR="00D57BEB" w:rsidRPr="000D3673">
        <w:rPr>
          <w:rFonts w:cs="Arial"/>
          <w:i/>
          <w:sz w:val="24"/>
          <w:szCs w:val="24"/>
        </w:rPr>
        <w:t xml:space="preserve"> </w:t>
      </w:r>
      <w:r w:rsidR="00D57BEB" w:rsidRPr="000D3673">
        <w:rPr>
          <w:rFonts w:cs="Arial"/>
          <w:sz w:val="24"/>
          <w:szCs w:val="24"/>
        </w:rPr>
        <w:t>and in his personal capacity</w:t>
      </w:r>
      <w:r w:rsidR="001B50D7" w:rsidRPr="000D3673">
        <w:rPr>
          <w:rFonts w:cs="Arial"/>
          <w:sz w:val="24"/>
          <w:szCs w:val="24"/>
        </w:rPr>
        <w:t xml:space="preserve"> as fourth respondent, including the costs of junior and senior counsel, jointly and severally and on the</w:t>
      </w:r>
      <w:r w:rsidR="0061305E" w:rsidRPr="000D3673">
        <w:rPr>
          <w:rFonts w:cs="Arial"/>
          <w:sz w:val="24"/>
          <w:szCs w:val="24"/>
        </w:rPr>
        <w:t xml:space="preserve"> attorney client scale when employed.</w:t>
      </w:r>
      <w:r w:rsidR="001B50D7" w:rsidRPr="000D3673">
        <w:rPr>
          <w:rFonts w:cs="Arial"/>
          <w:sz w:val="24"/>
          <w:szCs w:val="24"/>
        </w:rPr>
        <w:t xml:space="preserve"> </w:t>
      </w:r>
    </w:p>
    <w:p w:rsidR="00E059F9" w:rsidRPr="000D3673" w:rsidRDefault="0061305E" w:rsidP="001B50D7">
      <w:pPr>
        <w:pStyle w:val="LitStyleMain"/>
        <w:tabs>
          <w:tab w:val="clear" w:pos="720"/>
          <w:tab w:val="num" w:pos="1287"/>
        </w:tabs>
        <w:ind w:left="1287"/>
        <w:rPr>
          <w:rFonts w:cs="Arial"/>
          <w:sz w:val="24"/>
          <w:szCs w:val="24"/>
        </w:rPr>
      </w:pPr>
      <w:r w:rsidRPr="000D3673">
        <w:rPr>
          <w:rFonts w:cs="Arial"/>
          <w:sz w:val="24"/>
          <w:szCs w:val="24"/>
        </w:rPr>
        <w:t xml:space="preserve">Directing that the costs of the condonation application brought by the first respondent for the late filing of the answering affidavit and the counter-application thereto </w:t>
      </w:r>
      <w:r w:rsidR="000D3673" w:rsidRPr="000D3673">
        <w:rPr>
          <w:rFonts w:cs="Arial"/>
          <w:sz w:val="24"/>
          <w:szCs w:val="24"/>
        </w:rPr>
        <w:t>and the Rule 30 application in respect thereof be borne by each party.</w:t>
      </w:r>
    </w:p>
    <w:p w:rsidR="00E059F9" w:rsidRPr="000D3673" w:rsidRDefault="000D3673" w:rsidP="001B50D7">
      <w:pPr>
        <w:pStyle w:val="LitStyleMain"/>
        <w:tabs>
          <w:tab w:val="clear" w:pos="720"/>
          <w:tab w:val="num" w:pos="1287"/>
        </w:tabs>
        <w:ind w:left="1287"/>
        <w:rPr>
          <w:rFonts w:cs="Arial"/>
          <w:sz w:val="24"/>
          <w:szCs w:val="24"/>
        </w:rPr>
      </w:pPr>
      <w:r w:rsidRPr="000D3673">
        <w:rPr>
          <w:rFonts w:cs="Arial"/>
          <w:sz w:val="24"/>
          <w:szCs w:val="24"/>
        </w:rPr>
        <w:t>Directing that the costs of the application for security for costs be reserved and set down for separate hearing on the opposed roll by any party thereto requiring such costs to be determined by the court.</w:t>
      </w:r>
    </w:p>
    <w:p w:rsidR="00E059F9" w:rsidRDefault="00E059F9" w:rsidP="001B50D7">
      <w:pPr>
        <w:ind w:left="567"/>
        <w:rPr>
          <w:lang w:val="en-GB"/>
        </w:rPr>
      </w:pPr>
    </w:p>
    <w:p w:rsidR="00E059F9" w:rsidRDefault="00E059F9" w:rsidP="00E059F9">
      <w:pPr>
        <w:rPr>
          <w:lang w:val="en-GB"/>
        </w:rPr>
      </w:pPr>
    </w:p>
    <w:p w:rsidR="00E059F9" w:rsidRDefault="00E059F9" w:rsidP="00E059F9">
      <w:pPr>
        <w:rPr>
          <w:lang w:val="en-GB"/>
        </w:rPr>
      </w:pPr>
    </w:p>
    <w:p w:rsidR="00E059F9" w:rsidRDefault="00E059F9" w:rsidP="00E059F9">
      <w:pPr>
        <w:rPr>
          <w:lang w:val="en-GB"/>
        </w:rPr>
      </w:pPr>
    </w:p>
    <w:p w:rsidR="00E059F9" w:rsidRPr="00A8065D" w:rsidRDefault="00E059F9" w:rsidP="00E059F9">
      <w:pPr>
        <w:jc w:val="both"/>
        <w:rPr>
          <w:rFonts w:ascii="Arial" w:hAnsi="Arial" w:cs="Arial"/>
          <w:b/>
          <w:sz w:val="24"/>
          <w:szCs w:val="24"/>
        </w:rPr>
      </w:pPr>
    </w:p>
    <w:p w:rsidR="00E059F9" w:rsidRPr="00A8065D" w:rsidRDefault="00E059F9" w:rsidP="00E059F9">
      <w:pPr>
        <w:spacing w:after="200" w:line="360" w:lineRule="auto"/>
        <w:ind w:left="1080"/>
        <w:contextualSpacing/>
        <w:jc w:val="right"/>
        <w:rPr>
          <w:rFonts w:ascii="Arial" w:eastAsia="Calibri" w:hAnsi="Arial" w:cs="Arial"/>
          <w:sz w:val="24"/>
          <w:szCs w:val="24"/>
        </w:rPr>
      </w:pPr>
      <w:r w:rsidRPr="00A8065D">
        <w:rPr>
          <w:rFonts w:ascii="Arial" w:eastAsia="Calibri" w:hAnsi="Arial" w:cs="Arial"/>
          <w:sz w:val="24"/>
          <w:szCs w:val="24"/>
        </w:rPr>
        <w:t>__________________</w:t>
      </w:r>
    </w:p>
    <w:p w:rsidR="00E059F9" w:rsidRPr="00A8065D" w:rsidRDefault="00E059F9" w:rsidP="00E059F9">
      <w:pPr>
        <w:spacing w:after="200" w:line="360" w:lineRule="auto"/>
        <w:ind w:left="1080"/>
        <w:contextualSpacing/>
        <w:jc w:val="right"/>
        <w:rPr>
          <w:rFonts w:ascii="Arial" w:eastAsia="Calibri" w:hAnsi="Arial" w:cs="Arial"/>
          <w:b/>
          <w:iCs/>
          <w:sz w:val="24"/>
          <w:szCs w:val="24"/>
        </w:rPr>
      </w:pPr>
      <w:r w:rsidRPr="00A8065D">
        <w:rPr>
          <w:rFonts w:ascii="Arial" w:eastAsia="Calibri" w:hAnsi="Arial" w:cs="Arial"/>
          <w:b/>
          <w:iCs/>
          <w:sz w:val="24"/>
          <w:szCs w:val="24"/>
        </w:rPr>
        <w:t xml:space="preserve">SELBY BAQWA </w:t>
      </w:r>
    </w:p>
    <w:p w:rsidR="00E059F9" w:rsidRPr="00A8065D" w:rsidRDefault="00E059F9" w:rsidP="00E059F9">
      <w:pPr>
        <w:spacing w:after="236"/>
        <w:ind w:left="10" w:right="56"/>
        <w:jc w:val="right"/>
        <w:rPr>
          <w:rFonts w:ascii="Arial" w:eastAsia="Calibri" w:hAnsi="Arial" w:cs="Arial"/>
          <w:sz w:val="24"/>
          <w:szCs w:val="24"/>
        </w:rPr>
      </w:pPr>
      <w:r w:rsidRPr="00A8065D">
        <w:rPr>
          <w:rFonts w:ascii="Arial" w:eastAsia="Calibri" w:hAnsi="Arial" w:cs="Arial"/>
          <w:color w:val="000000"/>
          <w:sz w:val="24"/>
          <w:szCs w:val="24"/>
        </w:rPr>
        <w:t xml:space="preserve">JUDGE OF THE HIGH COURT  </w:t>
      </w:r>
    </w:p>
    <w:p w:rsidR="00E059F9" w:rsidRPr="00D86003" w:rsidRDefault="00E059F9" w:rsidP="00D86003">
      <w:pPr>
        <w:keepNext/>
        <w:keepLines/>
        <w:spacing w:after="236"/>
        <w:ind w:left="10" w:right="56" w:hanging="10"/>
        <w:jc w:val="right"/>
        <w:outlineLvl w:val="1"/>
        <w:rPr>
          <w:rFonts w:ascii="Arial" w:eastAsia="Arial" w:hAnsi="Arial" w:cs="Arial"/>
          <w:color w:val="000000"/>
          <w:sz w:val="24"/>
          <w:szCs w:val="24"/>
        </w:rPr>
      </w:pPr>
      <w:r w:rsidRPr="00A8065D">
        <w:rPr>
          <w:rFonts w:ascii="Arial" w:eastAsia="Arial" w:hAnsi="Arial" w:cs="Arial"/>
          <w:color w:val="000000"/>
          <w:sz w:val="24"/>
          <w:szCs w:val="24"/>
        </w:rPr>
        <w:t xml:space="preserve">GAUTENG DIVISION, PRETORIA </w:t>
      </w:r>
    </w:p>
    <w:p w:rsidR="00E059F9" w:rsidRPr="00A8065D" w:rsidRDefault="000D3673" w:rsidP="00E059F9">
      <w:pPr>
        <w:spacing w:after="200" w:line="360" w:lineRule="auto"/>
        <w:jc w:val="both"/>
        <w:rPr>
          <w:rFonts w:ascii="Arial" w:eastAsia="Calibri" w:hAnsi="Arial" w:cs="Arial"/>
          <w:iCs/>
          <w:sz w:val="24"/>
          <w:szCs w:val="24"/>
        </w:rPr>
      </w:pPr>
      <w:r>
        <w:rPr>
          <w:rFonts w:ascii="Arial" w:eastAsia="Calibri" w:hAnsi="Arial" w:cs="Arial"/>
          <w:iCs/>
          <w:sz w:val="24"/>
          <w:szCs w:val="24"/>
        </w:rPr>
        <w:t xml:space="preserve">Date of hearing:   24 February </w:t>
      </w:r>
      <w:r w:rsidR="00E059F9" w:rsidRPr="00A8065D">
        <w:rPr>
          <w:rFonts w:ascii="Arial" w:eastAsia="Calibri" w:hAnsi="Arial" w:cs="Arial"/>
          <w:iCs/>
          <w:sz w:val="24"/>
          <w:szCs w:val="24"/>
        </w:rPr>
        <w:t>2022</w:t>
      </w:r>
    </w:p>
    <w:p w:rsidR="00E059F9" w:rsidRPr="00A8065D" w:rsidRDefault="000F5404" w:rsidP="00E059F9">
      <w:pPr>
        <w:spacing w:after="200" w:line="360" w:lineRule="auto"/>
        <w:jc w:val="both"/>
        <w:rPr>
          <w:rFonts w:ascii="Arial" w:eastAsia="Calibri" w:hAnsi="Arial" w:cs="Arial"/>
          <w:iCs/>
          <w:sz w:val="24"/>
          <w:szCs w:val="24"/>
        </w:rPr>
      </w:pPr>
      <w:r>
        <w:rPr>
          <w:rFonts w:ascii="Arial" w:eastAsia="Calibri" w:hAnsi="Arial" w:cs="Arial"/>
          <w:iCs/>
          <w:sz w:val="24"/>
          <w:szCs w:val="24"/>
        </w:rPr>
        <w:t>Date of judgment:  14 June</w:t>
      </w:r>
      <w:bookmarkStart w:id="0" w:name="_GoBack"/>
      <w:bookmarkEnd w:id="0"/>
      <w:r w:rsidR="00E059F9">
        <w:rPr>
          <w:rFonts w:ascii="Arial" w:eastAsia="Calibri" w:hAnsi="Arial" w:cs="Arial"/>
          <w:iCs/>
          <w:sz w:val="24"/>
          <w:szCs w:val="24"/>
        </w:rPr>
        <w:t xml:space="preserve"> </w:t>
      </w:r>
      <w:r w:rsidR="00E059F9" w:rsidRPr="00A8065D">
        <w:rPr>
          <w:rFonts w:ascii="Arial" w:eastAsia="Calibri" w:hAnsi="Arial" w:cs="Arial"/>
          <w:iCs/>
          <w:sz w:val="24"/>
          <w:szCs w:val="24"/>
        </w:rPr>
        <w:t>2022</w:t>
      </w:r>
    </w:p>
    <w:p w:rsidR="00E059F9" w:rsidRPr="00A8065D" w:rsidRDefault="00E059F9" w:rsidP="00E059F9">
      <w:pPr>
        <w:spacing w:after="200" w:line="360" w:lineRule="auto"/>
        <w:jc w:val="both"/>
        <w:rPr>
          <w:rFonts w:ascii="Arial" w:eastAsia="Calibri" w:hAnsi="Arial" w:cs="Arial"/>
          <w:iCs/>
          <w:sz w:val="24"/>
          <w:szCs w:val="24"/>
        </w:rPr>
      </w:pPr>
      <w:r w:rsidRPr="00A8065D">
        <w:rPr>
          <w:rFonts w:ascii="Arial" w:eastAsia="Calibri" w:hAnsi="Arial" w:cs="Arial"/>
          <w:b/>
          <w:iCs/>
          <w:sz w:val="24"/>
          <w:szCs w:val="24"/>
          <w:u w:val="single"/>
        </w:rPr>
        <w:t xml:space="preserve">Appearance </w:t>
      </w:r>
    </w:p>
    <w:p w:rsidR="00E059F9" w:rsidRPr="00A8065D" w:rsidRDefault="00E059F9" w:rsidP="00E059F9">
      <w:pPr>
        <w:spacing w:after="200" w:line="360" w:lineRule="auto"/>
        <w:jc w:val="both"/>
        <w:rPr>
          <w:rFonts w:ascii="Arial" w:eastAsia="Calibri" w:hAnsi="Arial" w:cs="Arial"/>
          <w:iCs/>
          <w:sz w:val="24"/>
          <w:szCs w:val="24"/>
        </w:rPr>
      </w:pPr>
      <w:r w:rsidRPr="00A8065D">
        <w:rPr>
          <w:rFonts w:ascii="Arial" w:eastAsia="Calibri" w:hAnsi="Arial" w:cs="Arial"/>
          <w:iCs/>
          <w:sz w:val="24"/>
          <w:szCs w:val="24"/>
        </w:rPr>
        <w:t xml:space="preserve"> On behalf of the Applicants          </w:t>
      </w:r>
      <w:r w:rsidR="00D86003">
        <w:rPr>
          <w:rFonts w:ascii="Arial" w:eastAsia="Calibri" w:hAnsi="Arial" w:cs="Arial"/>
          <w:iCs/>
          <w:sz w:val="24"/>
          <w:szCs w:val="24"/>
        </w:rPr>
        <w:t xml:space="preserve">                    Adv S Sawma SC</w:t>
      </w:r>
    </w:p>
    <w:p w:rsidR="00E059F9" w:rsidRPr="00A8065D" w:rsidRDefault="00E059F9" w:rsidP="00E059F9">
      <w:pPr>
        <w:spacing w:after="200" w:line="360" w:lineRule="auto"/>
        <w:jc w:val="both"/>
        <w:rPr>
          <w:rFonts w:ascii="Arial" w:eastAsia="Calibri" w:hAnsi="Arial" w:cs="Arial"/>
          <w:iCs/>
          <w:sz w:val="24"/>
          <w:szCs w:val="24"/>
        </w:rPr>
      </w:pPr>
      <w:r w:rsidRPr="00A8065D">
        <w:rPr>
          <w:rFonts w:ascii="Arial" w:eastAsia="Calibri" w:hAnsi="Arial" w:cs="Arial"/>
          <w:iCs/>
          <w:sz w:val="24"/>
          <w:szCs w:val="24"/>
        </w:rPr>
        <w:t xml:space="preserve">Instructed by                                     </w:t>
      </w:r>
      <w:r>
        <w:rPr>
          <w:rFonts w:ascii="Arial" w:eastAsia="Calibri" w:hAnsi="Arial" w:cs="Arial"/>
          <w:iCs/>
          <w:sz w:val="24"/>
          <w:szCs w:val="24"/>
        </w:rPr>
        <w:t xml:space="preserve">                 </w:t>
      </w:r>
      <w:proofErr w:type="spellStart"/>
      <w:r w:rsidR="00D86003">
        <w:rPr>
          <w:rFonts w:ascii="Arial" w:eastAsia="Calibri" w:hAnsi="Arial" w:cs="Arial"/>
          <w:iCs/>
          <w:sz w:val="24"/>
          <w:szCs w:val="24"/>
        </w:rPr>
        <w:t>Fluxmans</w:t>
      </w:r>
      <w:proofErr w:type="spellEnd"/>
      <w:r w:rsidR="00D86003">
        <w:rPr>
          <w:rFonts w:ascii="Arial" w:eastAsia="Calibri" w:hAnsi="Arial" w:cs="Arial"/>
          <w:iCs/>
          <w:sz w:val="24"/>
          <w:szCs w:val="24"/>
        </w:rPr>
        <w:t xml:space="preserve"> Attorneys </w:t>
      </w:r>
    </w:p>
    <w:p w:rsidR="00E059F9" w:rsidRPr="00A8065D" w:rsidRDefault="00E059F9" w:rsidP="00E059F9">
      <w:pPr>
        <w:spacing w:after="200" w:line="360" w:lineRule="auto"/>
        <w:jc w:val="both"/>
        <w:rPr>
          <w:rFonts w:ascii="Arial" w:eastAsia="Calibri" w:hAnsi="Arial" w:cs="Arial"/>
          <w:iCs/>
          <w:sz w:val="24"/>
          <w:szCs w:val="24"/>
        </w:rPr>
      </w:pPr>
      <w:r w:rsidRPr="00A8065D">
        <w:rPr>
          <w:rFonts w:ascii="Arial" w:eastAsia="Calibri" w:hAnsi="Arial" w:cs="Arial"/>
          <w:iCs/>
          <w:sz w:val="24"/>
          <w:szCs w:val="24"/>
        </w:rPr>
        <w:t xml:space="preserve">                                          </w:t>
      </w:r>
      <w:r w:rsidR="00D86003">
        <w:rPr>
          <w:rFonts w:ascii="Arial" w:eastAsia="Calibri" w:hAnsi="Arial" w:cs="Arial"/>
          <w:iCs/>
          <w:sz w:val="24"/>
          <w:szCs w:val="24"/>
        </w:rPr>
        <w:t xml:space="preserve">                                </w:t>
      </w:r>
      <w:r>
        <w:rPr>
          <w:rFonts w:ascii="Arial" w:eastAsia="Calibri" w:hAnsi="Arial" w:cs="Arial"/>
          <w:iCs/>
          <w:sz w:val="24"/>
          <w:szCs w:val="24"/>
        </w:rPr>
        <w:t>Tel: 083 601 1619</w:t>
      </w:r>
    </w:p>
    <w:p w:rsidR="00E059F9" w:rsidRPr="00D86003" w:rsidRDefault="00E059F9" w:rsidP="00E059F9">
      <w:pPr>
        <w:spacing w:after="200" w:line="360" w:lineRule="auto"/>
        <w:jc w:val="both"/>
        <w:rPr>
          <w:rFonts w:ascii="Arial" w:eastAsia="Calibri" w:hAnsi="Arial" w:cs="Arial"/>
          <w:iCs/>
          <w:sz w:val="24"/>
          <w:szCs w:val="24"/>
        </w:rPr>
      </w:pPr>
      <w:r w:rsidRPr="00A8065D">
        <w:rPr>
          <w:rFonts w:ascii="Arial" w:eastAsia="Calibri" w:hAnsi="Arial" w:cs="Arial"/>
          <w:iCs/>
          <w:sz w:val="24"/>
          <w:szCs w:val="24"/>
        </w:rPr>
        <w:t xml:space="preserve">                                                 </w:t>
      </w:r>
      <w:r>
        <w:rPr>
          <w:rFonts w:ascii="Arial" w:eastAsia="Calibri" w:hAnsi="Arial" w:cs="Arial"/>
          <w:iCs/>
          <w:sz w:val="24"/>
          <w:szCs w:val="24"/>
        </w:rPr>
        <w:t xml:space="preserve">                    </w:t>
      </w:r>
      <w:r w:rsidR="00D86003">
        <w:rPr>
          <w:rFonts w:ascii="Arial" w:eastAsia="Calibri" w:hAnsi="Arial" w:cs="Arial"/>
          <w:iCs/>
          <w:sz w:val="24"/>
          <w:szCs w:val="24"/>
        </w:rPr>
        <w:t xml:space="preserve">    </w:t>
      </w:r>
      <w:r w:rsidRPr="00A8065D">
        <w:rPr>
          <w:rFonts w:ascii="Arial" w:eastAsia="Calibri" w:hAnsi="Arial" w:cs="Arial"/>
          <w:iCs/>
          <w:sz w:val="24"/>
          <w:szCs w:val="24"/>
        </w:rPr>
        <w:t xml:space="preserve"> Email: </w:t>
      </w:r>
      <w:r w:rsidR="00D86003" w:rsidRPr="00D86003">
        <w:rPr>
          <w:rFonts w:ascii="Arial" w:eastAsia="Calibri" w:hAnsi="Arial" w:cs="Arial"/>
          <w:iCs/>
          <w:sz w:val="24"/>
          <w:szCs w:val="24"/>
        </w:rPr>
        <w:t>sawma@group16.co.za</w:t>
      </w:r>
    </w:p>
    <w:p w:rsidR="00E059F9" w:rsidRPr="00A8065D" w:rsidRDefault="00E059F9" w:rsidP="00E059F9">
      <w:pPr>
        <w:spacing w:after="200" w:line="360" w:lineRule="auto"/>
        <w:jc w:val="both"/>
        <w:rPr>
          <w:rFonts w:ascii="Arial" w:eastAsia="Calibri" w:hAnsi="Arial" w:cs="Arial"/>
          <w:iCs/>
          <w:sz w:val="24"/>
          <w:szCs w:val="24"/>
        </w:rPr>
      </w:pPr>
      <w:r w:rsidRPr="00A8065D">
        <w:rPr>
          <w:rFonts w:ascii="Arial" w:eastAsia="Calibri" w:hAnsi="Arial" w:cs="Arial"/>
          <w:iCs/>
          <w:sz w:val="24"/>
          <w:szCs w:val="24"/>
        </w:rPr>
        <w:lastRenderedPageBreak/>
        <w:t xml:space="preserve">On behalf of the Respondents            </w:t>
      </w:r>
      <w:r w:rsidR="00D86003">
        <w:rPr>
          <w:rFonts w:ascii="Arial" w:eastAsia="Calibri" w:hAnsi="Arial" w:cs="Arial"/>
          <w:iCs/>
          <w:sz w:val="24"/>
          <w:szCs w:val="24"/>
        </w:rPr>
        <w:t xml:space="preserve">              Adv J M Hoffman</w:t>
      </w:r>
    </w:p>
    <w:p w:rsidR="00E059F9" w:rsidRPr="00A8065D" w:rsidRDefault="00E059F9" w:rsidP="00E059F9">
      <w:pPr>
        <w:spacing w:after="200" w:line="360" w:lineRule="auto"/>
        <w:jc w:val="both"/>
        <w:rPr>
          <w:rFonts w:ascii="Arial" w:eastAsia="Calibri" w:hAnsi="Arial" w:cs="Arial"/>
          <w:iCs/>
          <w:sz w:val="24"/>
          <w:szCs w:val="24"/>
        </w:rPr>
      </w:pPr>
      <w:r w:rsidRPr="00A8065D">
        <w:rPr>
          <w:rFonts w:ascii="Arial" w:eastAsia="Calibri" w:hAnsi="Arial" w:cs="Arial"/>
          <w:iCs/>
          <w:sz w:val="24"/>
          <w:szCs w:val="24"/>
        </w:rPr>
        <w:t xml:space="preserve">Instructed by                                                    </w:t>
      </w:r>
      <w:r>
        <w:rPr>
          <w:rFonts w:ascii="Arial" w:eastAsia="Calibri" w:hAnsi="Arial" w:cs="Arial"/>
          <w:iCs/>
          <w:sz w:val="24"/>
          <w:szCs w:val="24"/>
        </w:rPr>
        <w:t xml:space="preserve"> </w:t>
      </w:r>
      <w:r w:rsidR="00C902E1">
        <w:rPr>
          <w:rFonts w:ascii="Arial" w:eastAsia="Calibri" w:hAnsi="Arial" w:cs="Arial"/>
          <w:iCs/>
          <w:sz w:val="24"/>
          <w:szCs w:val="24"/>
        </w:rPr>
        <w:t>Alan Allschwang Associates Inc</w:t>
      </w:r>
    </w:p>
    <w:p w:rsidR="00E059F9" w:rsidRPr="00A8065D" w:rsidRDefault="00E059F9" w:rsidP="00E059F9">
      <w:pPr>
        <w:spacing w:after="200" w:line="360" w:lineRule="auto"/>
        <w:jc w:val="center"/>
        <w:rPr>
          <w:rFonts w:ascii="Arial" w:eastAsia="Calibri" w:hAnsi="Arial" w:cs="Arial"/>
          <w:iCs/>
          <w:sz w:val="24"/>
          <w:szCs w:val="24"/>
        </w:rPr>
      </w:pPr>
      <w:r w:rsidRPr="00A8065D">
        <w:rPr>
          <w:rFonts w:ascii="Arial" w:eastAsia="Calibri" w:hAnsi="Arial" w:cs="Arial"/>
          <w:iCs/>
          <w:sz w:val="24"/>
          <w:szCs w:val="24"/>
        </w:rPr>
        <w:t xml:space="preserve">                          </w:t>
      </w:r>
      <w:r>
        <w:rPr>
          <w:rFonts w:ascii="Arial" w:eastAsia="Calibri" w:hAnsi="Arial" w:cs="Arial"/>
          <w:iCs/>
          <w:sz w:val="24"/>
          <w:szCs w:val="24"/>
        </w:rPr>
        <w:t xml:space="preserve">               Tel: 082 853 9855</w:t>
      </w:r>
    </w:p>
    <w:p w:rsidR="00E059F9" w:rsidRDefault="00E059F9" w:rsidP="00E059F9">
      <w:pPr>
        <w:spacing w:after="200" w:line="360" w:lineRule="auto"/>
        <w:jc w:val="both"/>
        <w:rPr>
          <w:rFonts w:ascii="Arial" w:eastAsia="Calibri" w:hAnsi="Arial" w:cs="Arial"/>
          <w:iCs/>
          <w:sz w:val="24"/>
          <w:szCs w:val="24"/>
        </w:rPr>
      </w:pPr>
      <w:r w:rsidRPr="00A8065D">
        <w:rPr>
          <w:rFonts w:ascii="Arial" w:eastAsia="Calibri" w:hAnsi="Arial" w:cs="Arial"/>
          <w:iCs/>
          <w:sz w:val="24"/>
          <w:szCs w:val="24"/>
        </w:rPr>
        <w:t xml:space="preserve">                                                                         Email: </w:t>
      </w:r>
      <w:hyperlink r:id="rId9" w:history="1">
        <w:r w:rsidR="00D86003" w:rsidRPr="003E3498">
          <w:rPr>
            <w:rStyle w:val="Hyperlink"/>
            <w:rFonts w:ascii="Arial" w:eastAsia="Calibri" w:hAnsi="Arial" w:cs="Arial"/>
            <w:iCs/>
            <w:sz w:val="24"/>
            <w:szCs w:val="24"/>
          </w:rPr>
          <w:t>jonhoffman@counsel.co.za</w:t>
        </w:r>
      </w:hyperlink>
    </w:p>
    <w:p w:rsidR="00D86003" w:rsidRPr="00A8065D" w:rsidRDefault="00D86003" w:rsidP="00E059F9">
      <w:pPr>
        <w:spacing w:after="200" w:line="360" w:lineRule="auto"/>
        <w:jc w:val="both"/>
        <w:rPr>
          <w:rFonts w:ascii="Arial" w:eastAsia="Calibri" w:hAnsi="Arial" w:cs="Arial"/>
          <w:iCs/>
          <w:sz w:val="24"/>
          <w:szCs w:val="24"/>
        </w:rPr>
      </w:pPr>
    </w:p>
    <w:p w:rsidR="00E059F9" w:rsidRPr="00A8065D" w:rsidRDefault="00E059F9" w:rsidP="00E059F9">
      <w:pPr>
        <w:spacing w:after="200" w:line="360" w:lineRule="auto"/>
        <w:jc w:val="both"/>
        <w:rPr>
          <w:rFonts w:ascii="Arial" w:eastAsia="Calibri" w:hAnsi="Arial" w:cs="Arial"/>
          <w:iCs/>
          <w:sz w:val="24"/>
          <w:szCs w:val="24"/>
        </w:rPr>
      </w:pPr>
    </w:p>
    <w:p w:rsidR="00E059F9" w:rsidRPr="00F439C6" w:rsidRDefault="00E059F9" w:rsidP="00E059F9">
      <w:pPr>
        <w:spacing w:after="200" w:line="360" w:lineRule="auto"/>
        <w:jc w:val="both"/>
        <w:rPr>
          <w:rFonts w:ascii="Arial" w:eastAsia="Calibri" w:hAnsi="Arial" w:cs="Arial"/>
          <w:iCs/>
          <w:sz w:val="24"/>
          <w:szCs w:val="24"/>
        </w:rPr>
      </w:pPr>
      <w:r w:rsidRPr="00A8065D">
        <w:rPr>
          <w:rFonts w:ascii="Arial" w:eastAsia="Calibri" w:hAnsi="Arial" w:cs="Arial"/>
          <w:iCs/>
          <w:sz w:val="24"/>
          <w:szCs w:val="24"/>
        </w:rPr>
        <w:t xml:space="preserve">        </w:t>
      </w:r>
    </w:p>
    <w:p w:rsidR="00E059F9" w:rsidRPr="00E059F9" w:rsidRDefault="00E059F9" w:rsidP="00E059F9">
      <w:pPr>
        <w:ind w:left="720"/>
        <w:jc w:val="right"/>
        <w:rPr>
          <w:lang w:val="en-GB"/>
        </w:rPr>
      </w:pPr>
    </w:p>
    <w:p w:rsidR="00E059F9" w:rsidRPr="00E059F9" w:rsidRDefault="00E059F9" w:rsidP="00E059F9">
      <w:pPr>
        <w:rPr>
          <w:lang w:val="en-US"/>
        </w:rPr>
      </w:pPr>
    </w:p>
    <w:p w:rsidR="00884D53" w:rsidRPr="00884D53" w:rsidRDefault="00884D53" w:rsidP="00884D53">
      <w:pPr>
        <w:pStyle w:val="LitStyleMain"/>
        <w:numPr>
          <w:ilvl w:val="0"/>
          <w:numId w:val="0"/>
        </w:numPr>
        <w:ind w:left="720"/>
      </w:pPr>
    </w:p>
    <w:p w:rsidR="00884D53" w:rsidRPr="00884D53" w:rsidRDefault="00884D53" w:rsidP="00884D53">
      <w:pPr>
        <w:rPr>
          <w:lang w:val="en-US"/>
        </w:rPr>
      </w:pPr>
      <w:r>
        <w:rPr>
          <w:lang w:val="en-US"/>
        </w:rPr>
        <w:t xml:space="preserve">          </w:t>
      </w:r>
    </w:p>
    <w:p w:rsidR="00884D53" w:rsidRPr="00D65B4F" w:rsidRDefault="00884D53" w:rsidP="00884D53">
      <w:pPr>
        <w:pStyle w:val="1"/>
        <w:ind w:left="0" w:firstLine="0"/>
      </w:pPr>
    </w:p>
    <w:p w:rsidR="001B751F" w:rsidRPr="00D65B4F" w:rsidRDefault="001B751F" w:rsidP="001741F1">
      <w:pPr>
        <w:pStyle w:val="1"/>
      </w:pPr>
      <w:r w:rsidRPr="00D65B4F">
        <w:t xml:space="preserve">  </w:t>
      </w:r>
    </w:p>
    <w:p w:rsidR="001B751F" w:rsidRDefault="001B751F" w:rsidP="00BB79E2">
      <w:pPr>
        <w:pStyle w:val="1"/>
      </w:pPr>
    </w:p>
    <w:p w:rsidR="00BB79E2" w:rsidRDefault="00BB79E2" w:rsidP="00BB79E2">
      <w:pPr>
        <w:pStyle w:val="1"/>
      </w:pPr>
    </w:p>
    <w:p w:rsidR="00BB79E2" w:rsidRDefault="00BB79E2" w:rsidP="00BB79E2">
      <w:pPr>
        <w:pStyle w:val="1"/>
      </w:pPr>
    </w:p>
    <w:p w:rsidR="00BB79E2" w:rsidRDefault="00BB79E2" w:rsidP="00BB79E2"/>
    <w:p w:rsidR="00BB79E2" w:rsidRDefault="00BB79E2" w:rsidP="00BB79E2"/>
    <w:p w:rsidR="00E66E33" w:rsidRDefault="00E66E33"/>
    <w:sectPr w:rsidR="00E66E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31B" w:rsidRDefault="0091131B" w:rsidP="001B751F">
      <w:pPr>
        <w:spacing w:after="0" w:line="240" w:lineRule="auto"/>
      </w:pPr>
      <w:r>
        <w:separator/>
      </w:r>
    </w:p>
  </w:endnote>
  <w:endnote w:type="continuationSeparator" w:id="0">
    <w:p w:rsidR="0091131B" w:rsidRDefault="0091131B" w:rsidP="001B75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enQuanYi Micro Hei">
    <w:altName w:val="Times New Roman"/>
    <w:charset w:val="00"/>
    <w:family w:val="auto"/>
    <w:pitch w:val="variable"/>
  </w:font>
  <w:font w:name="Lohit Hindi">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31B" w:rsidRDefault="0091131B" w:rsidP="001B751F">
      <w:pPr>
        <w:spacing w:after="0" w:line="240" w:lineRule="auto"/>
      </w:pPr>
      <w:r>
        <w:separator/>
      </w:r>
    </w:p>
  </w:footnote>
  <w:footnote w:type="continuationSeparator" w:id="0">
    <w:p w:rsidR="0091131B" w:rsidRDefault="0091131B" w:rsidP="001B751F">
      <w:pPr>
        <w:spacing w:after="0" w:line="240" w:lineRule="auto"/>
      </w:pPr>
      <w:r>
        <w:continuationSeparator/>
      </w:r>
    </w:p>
  </w:footnote>
  <w:footnote w:id="1">
    <w:p w:rsidR="0081451D" w:rsidRPr="0081451D" w:rsidRDefault="0081451D">
      <w:pPr>
        <w:pStyle w:val="FootnoteText"/>
        <w:rPr>
          <w:i/>
        </w:rPr>
      </w:pPr>
      <w:r w:rsidRPr="0081451D">
        <w:rPr>
          <w:rStyle w:val="FootnoteReference"/>
          <w:i/>
        </w:rPr>
        <w:footnoteRef/>
      </w:r>
      <w:r w:rsidRPr="0081451D">
        <w:rPr>
          <w:i/>
        </w:rPr>
        <w:t xml:space="preserve"> </w:t>
      </w:r>
      <w:r>
        <w:rPr>
          <w:i/>
        </w:rPr>
        <w:t xml:space="preserve">Cameron </w:t>
      </w:r>
      <w:r w:rsidRPr="0081451D">
        <w:rPr>
          <w:i/>
        </w:rPr>
        <w:t>South African Law of Trust 6</w:t>
      </w:r>
      <w:r w:rsidRPr="0081451D">
        <w:rPr>
          <w:i/>
          <w:vertAlign w:val="superscript"/>
        </w:rPr>
        <w:t>th</w:t>
      </w:r>
      <w:r w:rsidRPr="0081451D">
        <w:rPr>
          <w:i/>
        </w:rPr>
        <w:t xml:space="preserve"> Edition p306.</w:t>
      </w:r>
    </w:p>
  </w:footnote>
  <w:footnote w:id="2">
    <w:p w:rsidR="00DC7CCE" w:rsidRPr="00DC7CCE" w:rsidRDefault="00DC7CCE">
      <w:pPr>
        <w:pStyle w:val="FootnoteText"/>
        <w:rPr>
          <w:i/>
        </w:rPr>
      </w:pPr>
      <w:r w:rsidRPr="00DC7CCE">
        <w:rPr>
          <w:rStyle w:val="FootnoteReference"/>
          <w:i/>
        </w:rPr>
        <w:footnoteRef/>
      </w:r>
      <w:r w:rsidRPr="00DC7CCE">
        <w:rPr>
          <w:i/>
        </w:rPr>
        <w:t xml:space="preserve">  2004 ZASCA 56 at para 10-14.</w:t>
      </w:r>
    </w:p>
  </w:footnote>
  <w:footnote w:id="3">
    <w:p w:rsidR="00942715" w:rsidRPr="00942715" w:rsidRDefault="00942715" w:rsidP="00942715">
      <w:pPr>
        <w:pStyle w:val="FootnoteText"/>
      </w:pPr>
      <w:r>
        <w:rPr>
          <w:rStyle w:val="FootnoteReference"/>
        </w:rPr>
        <w:footnoteRef/>
      </w:r>
      <w:r>
        <w:t xml:space="preserve"> </w:t>
      </w:r>
      <w:r w:rsidRPr="00942715">
        <w:rPr>
          <w:i/>
        </w:rPr>
        <w:t>2012 (4) SA 593 SCA at para 18.</w:t>
      </w:r>
    </w:p>
  </w:footnote>
  <w:footnote w:id="4">
    <w:p w:rsidR="00E235AA" w:rsidRDefault="00E235AA">
      <w:pPr>
        <w:pStyle w:val="FootnoteText"/>
      </w:pPr>
      <w:r>
        <w:rPr>
          <w:rStyle w:val="FootnoteReference"/>
        </w:rPr>
        <w:footnoteRef/>
      </w:r>
      <w:r>
        <w:t xml:space="preserve"> </w:t>
      </w:r>
      <w:r w:rsidRPr="00E235AA">
        <w:rPr>
          <w:i/>
        </w:rPr>
        <w:t>2021 JDR 001 (SCA).</w:t>
      </w:r>
    </w:p>
  </w:footnote>
  <w:footnote w:id="5">
    <w:p w:rsidR="008172F7" w:rsidRDefault="008172F7">
      <w:pPr>
        <w:pStyle w:val="FootnoteText"/>
      </w:pPr>
      <w:r>
        <w:rPr>
          <w:rStyle w:val="FootnoteReference"/>
        </w:rPr>
        <w:footnoteRef/>
      </w:r>
      <w:r>
        <w:t xml:space="preserve"> </w:t>
      </w:r>
      <w:r w:rsidRPr="000D3673">
        <w:rPr>
          <w:rFonts w:cs="Arial"/>
          <w:i/>
          <w:szCs w:val="24"/>
        </w:rPr>
        <w:t>1988 (2) SA (T) at 557 G-11</w:t>
      </w:r>
      <w:r>
        <w:rPr>
          <w:rFonts w:cs="Arial"/>
          <w:i/>
          <w:szCs w:val="24"/>
        </w:rPr>
        <w:t>.</w:t>
      </w:r>
    </w:p>
  </w:footnote>
  <w:footnote w:id="6">
    <w:p w:rsidR="001B751F" w:rsidRDefault="001B751F" w:rsidP="001B751F">
      <w:pPr>
        <w:pStyle w:val="FootnoteText"/>
      </w:pPr>
      <w:r>
        <w:rPr>
          <w:rStyle w:val="FootnoteReference"/>
        </w:rPr>
        <w:footnoteRef/>
      </w:r>
      <w:r>
        <w:t xml:space="preserve"> </w:t>
      </w:r>
      <w:r w:rsidRPr="00CB6619">
        <w:rPr>
          <w:i/>
        </w:rPr>
        <w:t>2008 (1) SA 81.</w:t>
      </w:r>
      <w: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C32EAB"/>
    <w:multiLevelType w:val="multilevel"/>
    <w:tmpl w:val="9A900D3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418"/>
        </w:tabs>
        <w:ind w:left="1418" w:hanging="851"/>
      </w:pPr>
      <w:rPr>
        <w:rFonts w:ascii="Arial" w:eastAsia="WenQuanYi Micro Hei" w:hAnsi="Arial" w:cs="Lohit Hindi" w:hint="default"/>
      </w:rPr>
    </w:lvl>
    <w:lvl w:ilvl="2">
      <w:start w:val="1"/>
      <w:numFmt w:val="decimal"/>
      <w:lvlText w:val="[%1.%2.%3]"/>
      <w:lvlJc w:val="left"/>
      <w:pPr>
        <w:tabs>
          <w:tab w:val="num" w:pos="2552"/>
        </w:tabs>
        <w:ind w:left="2552" w:hanging="1134"/>
      </w:pPr>
      <w:rPr>
        <w:rFonts w:hint="default"/>
      </w:rPr>
    </w:lvl>
    <w:lvl w:ilvl="3">
      <w:start w:val="1"/>
      <w:numFmt w:val="lowerLetter"/>
      <w:lvlText w:val="(%4)"/>
      <w:lvlJc w:val="left"/>
      <w:pPr>
        <w:tabs>
          <w:tab w:val="num" w:pos="2155"/>
        </w:tabs>
        <w:ind w:left="2155" w:hanging="794"/>
      </w:pPr>
      <w:rPr>
        <w:rFonts w:hint="default"/>
      </w:rPr>
    </w:lvl>
    <w:lvl w:ilvl="4">
      <w:start w:val="1"/>
      <w:numFmt w:val="lowerRoman"/>
      <w:lvlText w:val="(%5)"/>
      <w:lvlJc w:val="left"/>
      <w:pPr>
        <w:tabs>
          <w:tab w:val="num" w:pos="3119"/>
        </w:tabs>
        <w:ind w:left="3119" w:hanging="567"/>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4DBA1E68"/>
    <w:multiLevelType w:val="hybridMultilevel"/>
    <w:tmpl w:val="2814E25A"/>
    <w:lvl w:ilvl="0" w:tplc="C7FA43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6BFE4817"/>
    <w:multiLevelType w:val="multilevel"/>
    <w:tmpl w:val="8F0423B8"/>
    <w:lvl w:ilvl="0">
      <w:start w:val="1"/>
      <w:numFmt w:val="decimal"/>
      <w:pStyle w:val="LitStyleMain"/>
      <w:lvlText w:val="%1."/>
      <w:lvlJc w:val="left"/>
      <w:pPr>
        <w:tabs>
          <w:tab w:val="num" w:pos="720"/>
        </w:tabs>
        <w:ind w:left="720" w:hanging="720"/>
      </w:pPr>
      <w:rPr>
        <w:rFonts w:hint="default"/>
        <w:b w:val="0"/>
        <w:i w:val="0"/>
        <w:sz w:val="22"/>
        <w:u w:val="none"/>
      </w:rPr>
    </w:lvl>
    <w:lvl w:ilvl="1">
      <w:start w:val="1"/>
      <w:numFmt w:val="decimal"/>
      <w:pStyle w:val="LitStyle2"/>
      <w:isLgl/>
      <w:lvlText w:val="%1.%2"/>
      <w:lvlJc w:val="left"/>
      <w:pPr>
        <w:tabs>
          <w:tab w:val="num" w:pos="1440"/>
        </w:tabs>
        <w:ind w:left="1440" w:hanging="1440"/>
      </w:pPr>
      <w:rPr>
        <w:rFonts w:ascii="Arial" w:hAnsi="Arial" w:cs="Times New Roman" w:hint="default"/>
        <w:b w:val="0"/>
        <w:i w:val="0"/>
        <w:sz w:val="22"/>
        <w:u w:val="none"/>
      </w:rPr>
    </w:lvl>
    <w:lvl w:ilvl="2">
      <w:start w:val="1"/>
      <w:numFmt w:val="decimal"/>
      <w:pStyle w:val="LitStyle3"/>
      <w:isLgl/>
      <w:lvlText w:val="%1.%2.%3"/>
      <w:lvlJc w:val="left"/>
      <w:pPr>
        <w:tabs>
          <w:tab w:val="num" w:pos="2160"/>
        </w:tabs>
        <w:ind w:left="2160" w:hanging="2160"/>
      </w:pPr>
      <w:rPr>
        <w:rFonts w:ascii="Arial" w:hAnsi="Arial" w:cs="Times New Roman" w:hint="default"/>
        <w:b w:val="0"/>
        <w:i w:val="0"/>
        <w:sz w:val="22"/>
        <w:u w:val="none"/>
      </w:rPr>
    </w:lvl>
    <w:lvl w:ilvl="3">
      <w:start w:val="1"/>
      <w:numFmt w:val="decimal"/>
      <w:pStyle w:val="LitStyle4"/>
      <w:isLgl/>
      <w:lvlText w:val="%1.%2.%3.%4"/>
      <w:lvlJc w:val="left"/>
      <w:pPr>
        <w:tabs>
          <w:tab w:val="num" w:pos="2880"/>
        </w:tabs>
        <w:ind w:left="2880" w:hanging="2880"/>
      </w:pPr>
      <w:rPr>
        <w:rFonts w:ascii="Arial" w:hAnsi="Arial" w:cs="Times New Roman" w:hint="default"/>
        <w:b w:val="0"/>
        <w:i w:val="0"/>
        <w:sz w:val="22"/>
        <w:u w:val="none"/>
      </w:rPr>
    </w:lvl>
    <w:lvl w:ilvl="4">
      <w:start w:val="1"/>
      <w:numFmt w:val="decimal"/>
      <w:pStyle w:val="LitStyle5"/>
      <w:isLgl/>
      <w:lvlText w:val="%1.%2.%3.%4.%5"/>
      <w:lvlJc w:val="left"/>
      <w:pPr>
        <w:tabs>
          <w:tab w:val="num" w:pos="3600"/>
        </w:tabs>
        <w:ind w:left="3600" w:hanging="3600"/>
      </w:pPr>
      <w:rPr>
        <w:rFonts w:ascii="Arial" w:hAnsi="Arial" w:cs="Times New Roman" w:hint="default"/>
        <w:b w:val="0"/>
        <w:i w:val="0"/>
        <w:sz w:val="22"/>
        <w:u w:val="none"/>
      </w:rPr>
    </w:lvl>
    <w:lvl w:ilvl="5">
      <w:start w:val="1"/>
      <w:numFmt w:val="decimal"/>
      <w:pStyle w:val="LitStyle6"/>
      <w:isLgl/>
      <w:lvlText w:val="%1.%2.%3.%4.%5.%6"/>
      <w:lvlJc w:val="left"/>
      <w:pPr>
        <w:tabs>
          <w:tab w:val="num" w:pos="4320"/>
        </w:tabs>
        <w:ind w:left="4320" w:hanging="4320"/>
      </w:pPr>
      <w:rPr>
        <w:rFonts w:ascii="Arial" w:hAnsi="Arial" w:cs="Times New Roman" w:hint="default"/>
        <w:b w:val="0"/>
        <w:i w:val="0"/>
        <w:sz w:val="22"/>
        <w:u w:val="none"/>
      </w:rPr>
    </w:lvl>
    <w:lvl w:ilvl="6">
      <w:start w:val="1"/>
      <w:numFmt w:val="decimal"/>
      <w:pStyle w:val="LitStyle7"/>
      <w:isLgl/>
      <w:lvlText w:val="%1.%2.%3.%4.%5.%6.%7"/>
      <w:lvlJc w:val="left"/>
      <w:pPr>
        <w:tabs>
          <w:tab w:val="num" w:pos="5040"/>
        </w:tabs>
        <w:ind w:left="5040" w:hanging="5040"/>
      </w:pPr>
      <w:rPr>
        <w:rFonts w:ascii="Arial" w:hAnsi="Arial" w:cs="Times New Roman" w:hint="default"/>
        <w:b w:val="0"/>
        <w:i w:val="0"/>
        <w:sz w:val="22"/>
        <w:u w:val="none"/>
      </w:rPr>
    </w:lvl>
    <w:lvl w:ilvl="7">
      <w:start w:val="1"/>
      <w:numFmt w:val="decimal"/>
      <w:pStyle w:val="LitStyle8"/>
      <w:isLgl/>
      <w:lvlText w:val="%1.%2.%3.%4.%5.%6.%7.%8"/>
      <w:lvlJc w:val="left"/>
      <w:pPr>
        <w:tabs>
          <w:tab w:val="num" w:pos="5760"/>
        </w:tabs>
        <w:ind w:left="5760" w:hanging="5760"/>
      </w:pPr>
      <w:rPr>
        <w:rFonts w:ascii="Arial" w:hAnsi="Arial" w:cs="Times New Roman" w:hint="default"/>
        <w:b w:val="0"/>
        <w:i w:val="0"/>
        <w:sz w:val="22"/>
        <w:u w:val="none"/>
      </w:rPr>
    </w:lvl>
    <w:lvl w:ilvl="8">
      <w:start w:val="1"/>
      <w:numFmt w:val="decimal"/>
      <w:pStyle w:val="LitStyle9"/>
      <w:isLgl/>
      <w:lvlText w:val="%1.%2.%3.%4.%5.%6.%7.%8.%9"/>
      <w:lvlJc w:val="left"/>
      <w:pPr>
        <w:tabs>
          <w:tab w:val="num" w:pos="6480"/>
        </w:tabs>
        <w:ind w:left="6480" w:hanging="6480"/>
      </w:pPr>
      <w:rPr>
        <w:rFonts w:ascii="Arial" w:hAnsi="Arial" w:cs="Times New Roman" w:hint="default"/>
        <w:b w:val="0"/>
        <w:i w:val="0"/>
        <w:sz w:val="22"/>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9E2"/>
    <w:rsid w:val="0001389A"/>
    <w:rsid w:val="00026124"/>
    <w:rsid w:val="00037DA6"/>
    <w:rsid w:val="00067688"/>
    <w:rsid w:val="00070F5E"/>
    <w:rsid w:val="000D3673"/>
    <w:rsid w:val="000F5404"/>
    <w:rsid w:val="00164D35"/>
    <w:rsid w:val="001741F1"/>
    <w:rsid w:val="001A0F99"/>
    <w:rsid w:val="001B50D7"/>
    <w:rsid w:val="001B751F"/>
    <w:rsid w:val="001E5D5D"/>
    <w:rsid w:val="002153A4"/>
    <w:rsid w:val="00290240"/>
    <w:rsid w:val="002E4B9F"/>
    <w:rsid w:val="0032574F"/>
    <w:rsid w:val="00402BAE"/>
    <w:rsid w:val="005105B7"/>
    <w:rsid w:val="005363EE"/>
    <w:rsid w:val="005E72FA"/>
    <w:rsid w:val="006011EF"/>
    <w:rsid w:val="0061305E"/>
    <w:rsid w:val="00647410"/>
    <w:rsid w:val="00691F22"/>
    <w:rsid w:val="006B0A38"/>
    <w:rsid w:val="006C4664"/>
    <w:rsid w:val="00770B1C"/>
    <w:rsid w:val="008123B7"/>
    <w:rsid w:val="0081451D"/>
    <w:rsid w:val="008172F7"/>
    <w:rsid w:val="00884D53"/>
    <w:rsid w:val="008F1A0D"/>
    <w:rsid w:val="0091131B"/>
    <w:rsid w:val="00936E5D"/>
    <w:rsid w:val="00942715"/>
    <w:rsid w:val="00950AF8"/>
    <w:rsid w:val="009B0BDA"/>
    <w:rsid w:val="00A41DFF"/>
    <w:rsid w:val="00A56F64"/>
    <w:rsid w:val="00AA528F"/>
    <w:rsid w:val="00AE1209"/>
    <w:rsid w:val="00BB79E2"/>
    <w:rsid w:val="00BF031B"/>
    <w:rsid w:val="00BF13BF"/>
    <w:rsid w:val="00C902E1"/>
    <w:rsid w:val="00CA4C63"/>
    <w:rsid w:val="00CB6619"/>
    <w:rsid w:val="00D30BB5"/>
    <w:rsid w:val="00D57BEB"/>
    <w:rsid w:val="00D61F2C"/>
    <w:rsid w:val="00D86003"/>
    <w:rsid w:val="00DC7CCE"/>
    <w:rsid w:val="00E059F9"/>
    <w:rsid w:val="00E235AA"/>
    <w:rsid w:val="00E66E33"/>
    <w:rsid w:val="00FE7A01"/>
    <w:rsid w:val="00FF01D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08640"/>
  <w15:chartTrackingRefBased/>
  <w15:docId w15:val="{D79D7497-6D17-4F09-A4FE-FDCC6C4B9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qFormat/>
    <w:rsid w:val="008123B7"/>
    <w:pPr>
      <w:widowControl w:val="0"/>
      <w:tabs>
        <w:tab w:val="num" w:pos="567"/>
      </w:tabs>
      <w:suppressAutoHyphens/>
      <w:autoSpaceDN w:val="0"/>
      <w:spacing w:before="360" w:after="0" w:line="480" w:lineRule="auto"/>
      <w:ind w:left="567" w:hanging="567"/>
      <w:jc w:val="both"/>
      <w:textAlignment w:val="baseline"/>
    </w:pPr>
    <w:rPr>
      <w:rFonts w:ascii="Arial" w:eastAsia="WenQuanYi Micro Hei" w:hAnsi="Arial" w:cs="Lohit Hindi"/>
      <w:iCs/>
      <w:sz w:val="24"/>
      <w:lang w:val="en-GB" w:eastAsia="zh-CN" w:bidi="hi-IN"/>
    </w:rPr>
  </w:style>
  <w:style w:type="paragraph" w:styleId="FootnoteText">
    <w:name w:val="footnote text"/>
    <w:basedOn w:val="Normal"/>
    <w:link w:val="FootnoteTextChar"/>
    <w:uiPriority w:val="99"/>
    <w:semiHidden/>
    <w:unhideWhenUsed/>
    <w:rsid w:val="001B75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751F"/>
    <w:rPr>
      <w:sz w:val="20"/>
      <w:szCs w:val="20"/>
    </w:rPr>
  </w:style>
  <w:style w:type="character" w:styleId="FootnoteReference">
    <w:name w:val="footnote reference"/>
    <w:basedOn w:val="DefaultParagraphFont"/>
    <w:uiPriority w:val="99"/>
    <w:semiHidden/>
    <w:unhideWhenUsed/>
    <w:rsid w:val="001B751F"/>
    <w:rPr>
      <w:vertAlign w:val="superscript"/>
    </w:rPr>
  </w:style>
  <w:style w:type="paragraph" w:styleId="ListParagraph">
    <w:name w:val="List Paragraph"/>
    <w:basedOn w:val="Normal"/>
    <w:uiPriority w:val="34"/>
    <w:qFormat/>
    <w:rsid w:val="001741F1"/>
    <w:pPr>
      <w:spacing w:after="200" w:line="360" w:lineRule="auto"/>
      <w:ind w:left="720"/>
      <w:contextualSpacing/>
      <w:jc w:val="both"/>
    </w:pPr>
    <w:rPr>
      <w:rFonts w:ascii="Arial" w:hAnsi="Arial" w:cs="Arial"/>
      <w:sz w:val="24"/>
      <w:szCs w:val="24"/>
    </w:rPr>
  </w:style>
  <w:style w:type="paragraph" w:customStyle="1" w:styleId="Textbody">
    <w:name w:val="Text body"/>
    <w:basedOn w:val="Normal"/>
    <w:uiPriority w:val="99"/>
    <w:rsid w:val="001741F1"/>
    <w:pPr>
      <w:widowControl w:val="0"/>
      <w:autoSpaceDE w:val="0"/>
      <w:autoSpaceDN w:val="0"/>
      <w:adjustRightInd w:val="0"/>
      <w:spacing w:after="283" w:line="240" w:lineRule="auto"/>
    </w:pPr>
    <w:rPr>
      <w:rFonts w:ascii="Times New Roman" w:eastAsiaTheme="minorEastAsia" w:hAnsi="Times New Roman" w:cs="Times New Roman"/>
      <w:sz w:val="24"/>
      <w:szCs w:val="24"/>
      <w:lang w:eastAsia="en-ZA"/>
    </w:rPr>
  </w:style>
  <w:style w:type="paragraph" w:customStyle="1" w:styleId="LitStyleMain">
    <w:name w:val="LitStyleMain"/>
    <w:next w:val="Normal"/>
    <w:rsid w:val="00884D53"/>
    <w:pPr>
      <w:numPr>
        <w:numId w:val="3"/>
      </w:numPr>
      <w:spacing w:after="0" w:line="360" w:lineRule="auto"/>
      <w:jc w:val="both"/>
    </w:pPr>
    <w:rPr>
      <w:rFonts w:ascii="Arial" w:eastAsia="Times New Roman" w:hAnsi="Arial" w:cs="Times New Roman"/>
      <w:szCs w:val="20"/>
      <w:lang w:val="en-GB"/>
    </w:rPr>
  </w:style>
  <w:style w:type="paragraph" w:customStyle="1" w:styleId="LitStyle2">
    <w:name w:val="LitStyle2"/>
    <w:basedOn w:val="LitStyleMain"/>
    <w:next w:val="Normal"/>
    <w:rsid w:val="00884D53"/>
    <w:pPr>
      <w:numPr>
        <w:ilvl w:val="1"/>
      </w:numPr>
      <w:outlineLvl w:val="1"/>
    </w:pPr>
  </w:style>
  <w:style w:type="paragraph" w:customStyle="1" w:styleId="LitStyle3">
    <w:name w:val="LitStyle3"/>
    <w:basedOn w:val="LitStyleMain"/>
    <w:next w:val="Normal"/>
    <w:rsid w:val="00884D53"/>
    <w:pPr>
      <w:numPr>
        <w:ilvl w:val="2"/>
      </w:numPr>
      <w:outlineLvl w:val="2"/>
    </w:pPr>
  </w:style>
  <w:style w:type="paragraph" w:customStyle="1" w:styleId="LitStyle4">
    <w:name w:val="LitStyle4"/>
    <w:basedOn w:val="LitStyleMain"/>
    <w:next w:val="Normal"/>
    <w:rsid w:val="00884D53"/>
    <w:pPr>
      <w:numPr>
        <w:ilvl w:val="3"/>
      </w:numPr>
      <w:outlineLvl w:val="3"/>
    </w:pPr>
  </w:style>
  <w:style w:type="paragraph" w:customStyle="1" w:styleId="LitStyle5">
    <w:name w:val="LitStyle5"/>
    <w:basedOn w:val="LitStyleMain"/>
    <w:next w:val="Normal"/>
    <w:rsid w:val="00884D53"/>
    <w:pPr>
      <w:numPr>
        <w:ilvl w:val="4"/>
      </w:numPr>
      <w:outlineLvl w:val="4"/>
    </w:pPr>
  </w:style>
  <w:style w:type="paragraph" w:customStyle="1" w:styleId="LitStyle6">
    <w:name w:val="LitStyle6"/>
    <w:basedOn w:val="LitStyleMain"/>
    <w:next w:val="Normal"/>
    <w:rsid w:val="00884D53"/>
    <w:pPr>
      <w:numPr>
        <w:ilvl w:val="5"/>
      </w:numPr>
      <w:outlineLvl w:val="5"/>
    </w:pPr>
  </w:style>
  <w:style w:type="paragraph" w:customStyle="1" w:styleId="LitStyle7">
    <w:name w:val="LitStyle7"/>
    <w:basedOn w:val="LitStyleMain"/>
    <w:next w:val="Normal"/>
    <w:rsid w:val="00884D53"/>
    <w:pPr>
      <w:numPr>
        <w:ilvl w:val="6"/>
      </w:numPr>
      <w:outlineLvl w:val="6"/>
    </w:pPr>
  </w:style>
  <w:style w:type="paragraph" w:customStyle="1" w:styleId="LitStyle8">
    <w:name w:val="LitStyle8"/>
    <w:basedOn w:val="LitStyleMain"/>
    <w:next w:val="Normal"/>
    <w:rsid w:val="00884D53"/>
    <w:pPr>
      <w:numPr>
        <w:ilvl w:val="7"/>
      </w:numPr>
      <w:outlineLvl w:val="7"/>
    </w:pPr>
  </w:style>
  <w:style w:type="paragraph" w:customStyle="1" w:styleId="LitStyle9">
    <w:name w:val="LitStyle9"/>
    <w:basedOn w:val="LitStyleMain"/>
    <w:next w:val="Normal"/>
    <w:rsid w:val="00884D53"/>
    <w:pPr>
      <w:numPr>
        <w:ilvl w:val="8"/>
      </w:numPr>
      <w:outlineLvl w:val="8"/>
    </w:pPr>
  </w:style>
  <w:style w:type="paragraph" w:customStyle="1" w:styleId="LitStyle1">
    <w:name w:val="LitStyle1"/>
    <w:basedOn w:val="LitStyleMain"/>
    <w:next w:val="Normal"/>
    <w:rsid w:val="00884D53"/>
    <w:pPr>
      <w:outlineLvl w:val="0"/>
    </w:pPr>
  </w:style>
  <w:style w:type="character" w:styleId="Hyperlink">
    <w:name w:val="Hyperlink"/>
    <w:basedOn w:val="DefaultParagraphFont"/>
    <w:uiPriority w:val="99"/>
    <w:unhideWhenUsed/>
    <w:rsid w:val="00E059F9"/>
    <w:rPr>
      <w:color w:val="0563C1" w:themeColor="hyperlink"/>
      <w:u w:val="single"/>
    </w:rPr>
  </w:style>
  <w:style w:type="paragraph" w:styleId="BalloonText">
    <w:name w:val="Balloon Text"/>
    <w:basedOn w:val="Normal"/>
    <w:link w:val="BalloonTextChar"/>
    <w:uiPriority w:val="99"/>
    <w:semiHidden/>
    <w:unhideWhenUsed/>
    <w:rsid w:val="000D36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6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onhoffman@counsel.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6CA00-5576-4ECC-99B5-56004BF4E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5632</Words>
  <Characters>32109</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Molebogeng Raseroka</dc:creator>
  <cp:keywords/>
  <dc:description/>
  <cp:lastModifiedBy>Molebogeng Raseroka</cp:lastModifiedBy>
  <cp:revision>2</cp:revision>
  <cp:lastPrinted>2022-06-13T13:57:00Z</cp:lastPrinted>
  <dcterms:created xsi:type="dcterms:W3CDTF">2022-06-13T13:59:00Z</dcterms:created>
  <dcterms:modified xsi:type="dcterms:W3CDTF">2022-06-13T13:59:00Z</dcterms:modified>
</cp:coreProperties>
</file>