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02" w:rsidRDefault="00387402" w:rsidP="00387402">
      <w:pPr>
        <w:spacing w:after="83"/>
        <w:ind w:left="1088"/>
        <w:jc w:val="center"/>
        <w:rPr>
          <w:rFonts w:ascii="Arial" w:eastAsia="Arial" w:hAnsi="Arial" w:cs="Arial"/>
        </w:rPr>
      </w:pPr>
      <w:r>
        <w:rPr>
          <w:rFonts w:ascii="Arial" w:eastAsia="Arial" w:hAnsi="Arial" w:cs="Arial"/>
          <w:noProof/>
          <w:lang w:val="en-ZA"/>
        </w:rPr>
        <w:drawing>
          <wp:inline distT="0" distB="0" distL="0" distR="0" wp14:anchorId="3C27615C" wp14:editId="4DCEE069">
            <wp:extent cx="2027718" cy="1448370"/>
            <wp:effectExtent l="0" t="0" r="0" b="0"/>
            <wp:docPr id="2" name="image1.png"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0" name="image1.png" descr="Description: cid:image001.png@01D076AF.8E67B520"/>
                    <pic:cNvPicPr preferRelativeResize="0"/>
                  </pic:nvPicPr>
                  <pic:blipFill>
                    <a:blip r:embed="rId8"/>
                    <a:srcRect/>
                    <a:stretch>
                      <a:fillRect/>
                    </a:stretch>
                  </pic:blipFill>
                  <pic:spPr>
                    <a:xfrm>
                      <a:off x="0" y="0"/>
                      <a:ext cx="2027718" cy="1448370"/>
                    </a:xfrm>
                    <a:prstGeom prst="rect">
                      <a:avLst/>
                    </a:prstGeom>
                    <a:ln/>
                  </pic:spPr>
                </pic:pic>
              </a:graphicData>
            </a:graphic>
          </wp:inline>
        </w:drawing>
      </w:r>
    </w:p>
    <w:p w:rsidR="00387402" w:rsidRDefault="00387402" w:rsidP="00387402">
      <w:pPr>
        <w:spacing w:after="117"/>
        <w:ind w:left="318"/>
        <w:jc w:val="center"/>
        <w:rPr>
          <w:rFonts w:ascii="Arial" w:eastAsia="Arial" w:hAnsi="Arial" w:cs="Arial"/>
          <w:sz w:val="24"/>
          <w:szCs w:val="24"/>
        </w:rPr>
      </w:pPr>
      <w:r>
        <w:rPr>
          <w:rFonts w:ascii="Arial" w:eastAsia="Arial" w:hAnsi="Arial" w:cs="Arial"/>
          <w:b/>
          <w:color w:val="000000"/>
          <w:sz w:val="24"/>
          <w:szCs w:val="24"/>
        </w:rPr>
        <w:t>IN THE HIGH COURT OF SOUTH AFRICA</w:t>
      </w:r>
    </w:p>
    <w:p w:rsidR="00387402" w:rsidRDefault="00387402" w:rsidP="00387402">
      <w:pPr>
        <w:spacing w:after="117"/>
        <w:ind w:left="318" w:right="2"/>
        <w:jc w:val="center"/>
        <w:rPr>
          <w:rFonts w:ascii="Arial" w:eastAsia="Arial" w:hAnsi="Arial" w:cs="Arial"/>
          <w:b/>
          <w:color w:val="000000"/>
          <w:sz w:val="24"/>
          <w:szCs w:val="24"/>
        </w:rPr>
      </w:pPr>
      <w:r>
        <w:rPr>
          <w:rFonts w:ascii="Arial" w:eastAsia="Arial" w:hAnsi="Arial" w:cs="Arial"/>
          <w:b/>
          <w:color w:val="000000"/>
          <w:sz w:val="24"/>
          <w:szCs w:val="24"/>
        </w:rPr>
        <w:t>(GAUTENG DIVISION, PRETORIA)</w:t>
      </w:r>
    </w:p>
    <w:p w:rsidR="00387402" w:rsidRDefault="00387402" w:rsidP="00387402">
      <w:pPr>
        <w:ind w:left="5760"/>
        <w:rPr>
          <w:rFonts w:ascii="Arial" w:eastAsia="Arial" w:hAnsi="Arial" w:cs="Arial"/>
          <w:b/>
          <w:sz w:val="24"/>
          <w:szCs w:val="24"/>
        </w:rPr>
      </w:pPr>
      <w:r>
        <w:rPr>
          <w:rFonts w:ascii="Arial" w:eastAsia="Arial" w:hAnsi="Arial" w:cs="Arial"/>
          <w:b/>
          <w:sz w:val="24"/>
          <w:szCs w:val="24"/>
        </w:rPr>
        <w:t xml:space="preserve">     </w:t>
      </w:r>
    </w:p>
    <w:p w:rsidR="00387402" w:rsidRDefault="00387402" w:rsidP="00387402">
      <w:pPr>
        <w:ind w:left="5760"/>
        <w:rPr>
          <w:rFonts w:ascii="Arial" w:eastAsia="Arial" w:hAnsi="Arial" w:cs="Arial"/>
          <w:b/>
          <w:sz w:val="24"/>
          <w:szCs w:val="24"/>
        </w:rPr>
      </w:pPr>
      <w:r>
        <w:rPr>
          <w:rFonts w:ascii="Arial" w:eastAsia="Arial" w:hAnsi="Arial" w:cs="Arial"/>
          <w:b/>
          <w:sz w:val="24"/>
          <w:szCs w:val="24"/>
        </w:rPr>
        <w:t xml:space="preserve">  </w:t>
      </w:r>
      <w:r w:rsidR="00392EFE">
        <w:rPr>
          <w:rFonts w:ascii="Arial" w:eastAsia="Arial" w:hAnsi="Arial" w:cs="Arial"/>
          <w:b/>
          <w:sz w:val="24"/>
          <w:szCs w:val="24"/>
        </w:rPr>
        <w:t>CASE NO: 18998/2016</w:t>
      </w:r>
    </w:p>
    <w:p w:rsidR="00387402" w:rsidRDefault="00387402" w:rsidP="00387402">
      <w:pPr>
        <w:rPr>
          <w:rFonts w:ascii="Arial" w:eastAsia="Arial" w:hAnsi="Arial" w:cs="Arial"/>
          <w:b/>
          <w:sz w:val="24"/>
          <w:szCs w:val="24"/>
        </w:rPr>
      </w:pPr>
      <w:r>
        <w:rPr>
          <w:rFonts w:ascii="Arial" w:eastAsia="Arial" w:hAnsi="Arial" w:cs="Arial"/>
          <w:b/>
          <w:sz w:val="24"/>
          <w:szCs w:val="24"/>
        </w:rPr>
        <w:t xml:space="preserve">                                                                                                                                                        </w:t>
      </w:r>
    </w:p>
    <w:p w:rsidR="00387402" w:rsidRDefault="00387402" w:rsidP="00387402">
      <w:pPr>
        <w:rPr>
          <w:b/>
          <w:sz w:val="28"/>
          <w:szCs w:val="28"/>
        </w:rPr>
      </w:pPr>
    </w:p>
    <w:p w:rsidR="00387402" w:rsidRDefault="00387402" w:rsidP="00387402">
      <w:pPr>
        <w:spacing w:line="360" w:lineRule="auto"/>
        <w:jc w:val="both"/>
        <w:rPr>
          <w:rFonts w:ascii="Arial" w:eastAsia="Arial" w:hAnsi="Arial" w:cs="Arial"/>
          <w:b/>
          <w:sz w:val="24"/>
          <w:szCs w:val="24"/>
        </w:rPr>
      </w:pPr>
    </w:p>
    <w:p w:rsidR="00387402" w:rsidRDefault="00387402" w:rsidP="00387402">
      <w:pPr>
        <w:spacing w:line="256" w:lineRule="auto"/>
        <w:rPr>
          <w:b/>
          <w:sz w:val="28"/>
          <w:szCs w:val="28"/>
        </w:rPr>
      </w:pPr>
      <w:r>
        <w:rPr>
          <w:noProof/>
          <w:lang w:val="en-ZA"/>
        </w:rPr>
        <mc:AlternateContent>
          <mc:Choice Requires="wps">
            <w:drawing>
              <wp:anchor distT="0" distB="0" distL="114300" distR="114300" simplePos="0" relativeHeight="251659264" behindDoc="0" locked="0" layoutInCell="1" hidden="0" allowOverlap="1" wp14:anchorId="1483FBC2" wp14:editId="265DEC43">
                <wp:simplePos x="0" y="0"/>
                <wp:positionH relativeFrom="column">
                  <wp:posOffset>114300</wp:posOffset>
                </wp:positionH>
                <wp:positionV relativeFrom="paragraph">
                  <wp:posOffset>-317499</wp:posOffset>
                </wp:positionV>
                <wp:extent cx="3458210" cy="1458595"/>
                <wp:effectExtent l="0" t="0" r="0" b="0"/>
                <wp:wrapNone/>
                <wp:docPr id="1" name="Rectangle 1"/>
                <wp:cNvGraphicFramePr/>
                <a:graphic xmlns:a="http://schemas.openxmlformats.org/drawingml/2006/main">
                  <a:graphicData uri="http://schemas.microsoft.com/office/word/2010/wordprocessingShape">
                    <wps:wsp>
                      <wps:cNvSpPr/>
                      <wps:spPr>
                        <a:xfrm>
                          <a:off x="3621658" y="3055465"/>
                          <a:ext cx="3448685" cy="1449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REPORTABLE: </w:t>
                            </w:r>
                          </w:p>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OF INTEREST TO OTHER JUDGES: </w:t>
                            </w:r>
                          </w:p>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REVISED. </w:t>
                            </w:r>
                          </w:p>
                          <w:p w:rsidR="00387402" w:rsidRDefault="00387402" w:rsidP="00387402">
                            <w:pPr>
                              <w:spacing w:line="258" w:lineRule="auto"/>
                              <w:textDirection w:val="btLr"/>
                            </w:pPr>
                          </w:p>
                          <w:p w:rsidR="00387402" w:rsidRDefault="00387402" w:rsidP="00387402">
                            <w:pPr>
                              <w:spacing w:line="258" w:lineRule="auto"/>
                              <w:textDirection w:val="btLr"/>
                            </w:pPr>
                            <w:r>
                              <w:rPr>
                                <w:rFonts w:ascii="Century Gothic" w:eastAsia="Century Gothic" w:hAnsi="Century Gothic" w:cs="Century Gothic"/>
                                <w:b/>
                                <w:color w:val="000000"/>
                                <w:sz w:val="19"/>
                              </w:rPr>
                              <w:t xml:space="preserve">         </w:t>
                            </w:r>
                            <w:r>
                              <w:rPr>
                                <w:rFonts w:ascii="Century Gothic" w:eastAsia="Century Gothic" w:hAnsi="Century Gothic" w:cs="Century Gothic"/>
                                <w:color w:val="000000"/>
                                <w:sz w:val="19"/>
                                <w:u w:val="single"/>
                              </w:rPr>
                              <w:t xml:space="preserve">____________________  </w:t>
                            </w:r>
                            <w:r>
                              <w:rPr>
                                <w:rFonts w:ascii="Century Gothic" w:eastAsia="Century Gothic" w:hAnsi="Century Gothic" w:cs="Century Gothic"/>
                                <w:b/>
                                <w:color w:val="000000"/>
                                <w:sz w:val="19"/>
                              </w:rPr>
                              <w:t xml:space="preserve">         ____________________</w:t>
                            </w:r>
                          </w:p>
                          <w:p w:rsidR="00387402" w:rsidRDefault="00387402" w:rsidP="00387402">
                            <w:pPr>
                              <w:spacing w:line="258" w:lineRule="auto"/>
                              <w:textDirection w:val="btLr"/>
                            </w:pPr>
                            <w:r>
                              <w:rPr>
                                <w:rFonts w:ascii="Century Gothic" w:eastAsia="Century Gothic" w:hAnsi="Century Gothic" w:cs="Century Gothic"/>
                                <w:color w:val="000000"/>
                                <w:sz w:val="19"/>
                              </w:rPr>
                              <w:t xml:space="preserve">                   DATE</w:t>
                            </w:r>
                            <w:r>
                              <w:rPr>
                                <w:rFonts w:ascii="Century Gothic" w:eastAsia="Century Gothic" w:hAnsi="Century Gothic" w:cs="Century Gothic"/>
                                <w:color w:val="000000"/>
                                <w:sz w:val="19"/>
                              </w:rPr>
                              <w:tab/>
                            </w:r>
                            <w:r>
                              <w:rPr>
                                <w:rFonts w:ascii="Century Gothic" w:eastAsia="Century Gothic" w:hAnsi="Century Gothic" w:cs="Century Gothic"/>
                                <w:color w:val="000000"/>
                                <w:sz w:val="19"/>
                              </w:rPr>
                              <w:tab/>
                              <w:t xml:space="preserve">        SIGNATURE</w:t>
                            </w:r>
                          </w:p>
                        </w:txbxContent>
                      </wps:txbx>
                      <wps:bodyPr spcFirstLastPara="1" wrap="square" lIns="91425" tIns="45700" rIns="91425" bIns="45700" anchor="t" anchorCtr="0">
                        <a:noAutofit/>
                      </wps:bodyPr>
                    </wps:wsp>
                  </a:graphicData>
                </a:graphic>
              </wp:anchor>
            </w:drawing>
          </mc:Choice>
          <mc:Fallback>
            <w:pict>
              <v:rect w14:anchorId="1483FBC2" id="Rectangle 1" o:spid="_x0000_s1026" style="position:absolute;margin-left:9pt;margin-top:-25pt;width:272.3pt;height:1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">
                <v:stroke startarrowwidth="narrow" startarrowlength="short" endarrowwidth="narrow" endarrowlength="short"/>
                <v:textbox inset="2.53958mm,1.2694mm,2.53958mm,1.2694mm">
                  <w:txbxContent>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REPORTABLE: </w:t>
                      </w:r>
                    </w:p>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OF INTEREST TO OTHER JUDGES: </w:t>
                      </w:r>
                    </w:p>
                    <w:p w:rsidR="00387402" w:rsidRDefault="00387402" w:rsidP="00FA26D1">
                      <w:pPr>
                        <w:pStyle w:val="ListParagraph"/>
                        <w:numPr>
                          <w:ilvl w:val="0"/>
                          <w:numId w:val="7"/>
                        </w:numPr>
                        <w:spacing w:after="0" w:line="240" w:lineRule="auto"/>
                        <w:textDirection w:val="btLr"/>
                      </w:pPr>
                      <w:r w:rsidRPr="00FA26D1">
                        <w:rPr>
                          <w:rFonts w:ascii="Century Gothic" w:eastAsia="Century Gothic" w:hAnsi="Century Gothic" w:cs="Century Gothic"/>
                          <w:color w:val="000000"/>
                          <w:sz w:val="19"/>
                        </w:rPr>
                        <w:t xml:space="preserve">REVISED. </w:t>
                      </w:r>
                    </w:p>
                    <w:p w:rsidR="00387402" w:rsidRDefault="00387402" w:rsidP="00387402">
                      <w:pPr>
                        <w:spacing w:line="258" w:lineRule="auto"/>
                        <w:textDirection w:val="btLr"/>
                      </w:pPr>
                    </w:p>
                    <w:p w:rsidR="00387402" w:rsidRDefault="00387402" w:rsidP="00387402">
                      <w:pPr>
                        <w:spacing w:line="258" w:lineRule="auto"/>
                        <w:textDirection w:val="btLr"/>
                      </w:pPr>
                      <w:r>
                        <w:rPr>
                          <w:rFonts w:ascii="Century Gothic" w:eastAsia="Century Gothic" w:hAnsi="Century Gothic" w:cs="Century Gothic"/>
                          <w:b/>
                          <w:color w:val="000000"/>
                          <w:sz w:val="19"/>
                        </w:rPr>
                        <w:t xml:space="preserve">         </w:t>
                      </w:r>
                      <w:r>
                        <w:rPr>
                          <w:rFonts w:ascii="Century Gothic" w:eastAsia="Century Gothic" w:hAnsi="Century Gothic" w:cs="Century Gothic"/>
                          <w:color w:val="000000"/>
                          <w:sz w:val="19"/>
                          <w:u w:val="single"/>
                        </w:rPr>
                        <w:t xml:space="preserve">____________________  </w:t>
                      </w:r>
                      <w:r>
                        <w:rPr>
                          <w:rFonts w:ascii="Century Gothic" w:eastAsia="Century Gothic" w:hAnsi="Century Gothic" w:cs="Century Gothic"/>
                          <w:b/>
                          <w:color w:val="000000"/>
                          <w:sz w:val="19"/>
                        </w:rPr>
                        <w:t xml:space="preserve">         ____________________</w:t>
                      </w:r>
                    </w:p>
                    <w:p w:rsidR="00387402" w:rsidRDefault="00387402" w:rsidP="00387402">
                      <w:pPr>
                        <w:spacing w:line="258" w:lineRule="auto"/>
                        <w:textDirection w:val="btLr"/>
                      </w:pPr>
                      <w:r>
                        <w:rPr>
                          <w:rFonts w:ascii="Century Gothic" w:eastAsia="Century Gothic" w:hAnsi="Century Gothic" w:cs="Century Gothic"/>
                          <w:color w:val="000000"/>
                          <w:sz w:val="19"/>
                        </w:rPr>
                        <w:t xml:space="preserve">                   DATE</w:t>
                      </w:r>
                      <w:r>
                        <w:rPr>
                          <w:rFonts w:ascii="Century Gothic" w:eastAsia="Century Gothic" w:hAnsi="Century Gothic" w:cs="Century Gothic"/>
                          <w:color w:val="000000"/>
                          <w:sz w:val="19"/>
                        </w:rPr>
                        <w:tab/>
                      </w:r>
                      <w:r>
                        <w:rPr>
                          <w:rFonts w:ascii="Century Gothic" w:eastAsia="Century Gothic" w:hAnsi="Century Gothic" w:cs="Century Gothic"/>
                          <w:color w:val="000000"/>
                          <w:sz w:val="19"/>
                        </w:rPr>
                        <w:tab/>
                        <w:t xml:space="preserve">        SIGNATURE</w:t>
                      </w:r>
                    </w:p>
                  </w:txbxContent>
                </v:textbox>
              </v:rect>
            </w:pict>
          </mc:Fallback>
        </mc:AlternateContent>
      </w:r>
    </w:p>
    <w:p w:rsidR="00387402" w:rsidRDefault="00387402" w:rsidP="00387402">
      <w:pPr>
        <w:spacing w:line="256" w:lineRule="auto"/>
        <w:rPr>
          <w:b/>
          <w:sz w:val="28"/>
          <w:szCs w:val="28"/>
        </w:rPr>
      </w:pPr>
    </w:p>
    <w:p w:rsidR="00387402" w:rsidRDefault="00387402" w:rsidP="00387402">
      <w:pPr>
        <w:rPr>
          <w:sz w:val="28"/>
          <w:szCs w:val="28"/>
        </w:rPr>
      </w:pPr>
      <w:r>
        <w:rPr>
          <w:sz w:val="28"/>
          <w:szCs w:val="28"/>
        </w:rPr>
        <w:t xml:space="preserve">                               </w:t>
      </w:r>
    </w:p>
    <w:p w:rsidR="00387402" w:rsidRDefault="00387402" w:rsidP="00387402">
      <w:pPr>
        <w:rPr>
          <w:sz w:val="28"/>
          <w:szCs w:val="28"/>
        </w:rPr>
      </w:pPr>
    </w:p>
    <w:p w:rsidR="00387402" w:rsidRDefault="00387402" w:rsidP="00387402">
      <w:pPr>
        <w:jc w:val="both"/>
        <w:rPr>
          <w:rFonts w:ascii="Arial" w:eastAsia="Arial" w:hAnsi="Arial" w:cs="Arial"/>
          <w:sz w:val="24"/>
          <w:szCs w:val="24"/>
        </w:rPr>
      </w:pPr>
    </w:p>
    <w:p w:rsidR="00387402" w:rsidRDefault="00387402" w:rsidP="00387402">
      <w:pPr>
        <w:spacing w:line="360" w:lineRule="auto"/>
        <w:jc w:val="both"/>
        <w:rPr>
          <w:rFonts w:ascii="Arial" w:eastAsia="Arial" w:hAnsi="Arial" w:cs="Arial"/>
          <w:sz w:val="24"/>
          <w:szCs w:val="24"/>
        </w:rPr>
      </w:pPr>
      <w:r>
        <w:rPr>
          <w:rFonts w:ascii="Arial" w:eastAsia="Arial" w:hAnsi="Arial" w:cs="Arial"/>
          <w:sz w:val="24"/>
          <w:szCs w:val="24"/>
        </w:rPr>
        <w:t>In the matter between:</w:t>
      </w:r>
    </w:p>
    <w:p w:rsidR="00236ECD" w:rsidRDefault="00236ECD" w:rsidP="001C1B80">
      <w:pPr>
        <w:spacing w:line="360" w:lineRule="auto"/>
        <w:jc w:val="both"/>
        <w:rPr>
          <w:rFonts w:ascii="Arial" w:eastAsia="Arial" w:hAnsi="Arial" w:cs="Arial"/>
          <w:sz w:val="24"/>
          <w:szCs w:val="24"/>
        </w:rPr>
      </w:pPr>
    </w:p>
    <w:p w:rsidR="001C1B80" w:rsidRPr="001C1B80" w:rsidRDefault="001C1B80" w:rsidP="001C1B80">
      <w:pPr>
        <w:spacing w:line="360" w:lineRule="auto"/>
        <w:jc w:val="both"/>
        <w:rPr>
          <w:rFonts w:ascii="Arial" w:eastAsia="Arial" w:hAnsi="Arial" w:cs="Arial"/>
          <w:sz w:val="24"/>
          <w:szCs w:val="24"/>
        </w:rPr>
      </w:pPr>
      <w:r w:rsidRPr="001C1B80">
        <w:rPr>
          <w:rFonts w:ascii="Arial" w:eastAsia="Arial" w:hAnsi="Arial" w:cs="Arial"/>
          <w:sz w:val="24"/>
          <w:szCs w:val="24"/>
        </w:rPr>
        <w:t>ESTIA PARTNERSHIP</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C1B80">
        <w:rPr>
          <w:rFonts w:ascii="Arial" w:eastAsia="Arial" w:hAnsi="Arial" w:cs="Arial"/>
          <w:sz w:val="24"/>
          <w:szCs w:val="24"/>
        </w:rPr>
        <w:t xml:space="preserve"> Applicant</w:t>
      </w:r>
    </w:p>
    <w:p w:rsidR="001C1B80" w:rsidRDefault="001C1B80" w:rsidP="001C1B80">
      <w:pPr>
        <w:spacing w:line="360" w:lineRule="auto"/>
        <w:jc w:val="both"/>
        <w:rPr>
          <w:rFonts w:ascii="Arial" w:eastAsia="Arial" w:hAnsi="Arial" w:cs="Arial"/>
          <w:sz w:val="24"/>
          <w:szCs w:val="24"/>
        </w:rPr>
      </w:pPr>
    </w:p>
    <w:p w:rsidR="001C1B80" w:rsidRDefault="001C1B80" w:rsidP="001C1B80">
      <w:pPr>
        <w:spacing w:line="360" w:lineRule="auto"/>
        <w:jc w:val="both"/>
        <w:rPr>
          <w:rFonts w:ascii="Arial" w:eastAsia="Arial" w:hAnsi="Arial" w:cs="Arial"/>
          <w:sz w:val="24"/>
          <w:szCs w:val="24"/>
        </w:rPr>
      </w:pPr>
      <w:r w:rsidRPr="001C1B80">
        <w:rPr>
          <w:rFonts w:ascii="Arial" w:eastAsia="Arial" w:hAnsi="Arial" w:cs="Arial"/>
          <w:sz w:val="24"/>
          <w:szCs w:val="24"/>
        </w:rPr>
        <w:t>And</w:t>
      </w:r>
    </w:p>
    <w:p w:rsidR="001C1B80" w:rsidRPr="001C1B80" w:rsidRDefault="001C1B80" w:rsidP="001C1B80">
      <w:pPr>
        <w:spacing w:line="360" w:lineRule="auto"/>
        <w:jc w:val="both"/>
        <w:rPr>
          <w:rFonts w:ascii="Arial" w:eastAsia="Arial" w:hAnsi="Arial" w:cs="Arial"/>
          <w:sz w:val="24"/>
          <w:szCs w:val="24"/>
        </w:rPr>
      </w:pPr>
    </w:p>
    <w:p w:rsidR="00387402" w:rsidRDefault="001C1B80" w:rsidP="001C1B80">
      <w:pPr>
        <w:spacing w:line="360" w:lineRule="auto"/>
        <w:jc w:val="both"/>
        <w:rPr>
          <w:rFonts w:ascii="Arial" w:eastAsia="Arial" w:hAnsi="Arial" w:cs="Arial"/>
          <w:sz w:val="24"/>
          <w:szCs w:val="24"/>
        </w:rPr>
      </w:pPr>
      <w:r w:rsidRPr="001C1B80">
        <w:rPr>
          <w:rFonts w:ascii="Arial" w:eastAsia="Arial" w:hAnsi="Arial" w:cs="Arial"/>
          <w:sz w:val="24"/>
          <w:szCs w:val="24"/>
        </w:rPr>
        <w:t>HERMAN JACOBS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1C1B80">
        <w:rPr>
          <w:rFonts w:ascii="Arial" w:eastAsia="Arial" w:hAnsi="Arial" w:cs="Arial"/>
          <w:sz w:val="24"/>
          <w:szCs w:val="24"/>
        </w:rPr>
        <w:t xml:space="preserve"> </w:t>
      </w:r>
      <w:r>
        <w:rPr>
          <w:rFonts w:ascii="Arial" w:eastAsia="Arial" w:hAnsi="Arial" w:cs="Arial"/>
          <w:sz w:val="24"/>
          <w:szCs w:val="24"/>
        </w:rPr>
        <w:t xml:space="preserve">      </w:t>
      </w:r>
      <w:r w:rsidRPr="001C1B80">
        <w:rPr>
          <w:rFonts w:ascii="Arial" w:eastAsia="Arial" w:hAnsi="Arial" w:cs="Arial"/>
          <w:sz w:val="24"/>
          <w:szCs w:val="24"/>
        </w:rPr>
        <w:t>Respondent</w:t>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r w:rsidR="00387402">
        <w:rPr>
          <w:rFonts w:ascii="Arial" w:eastAsia="Arial" w:hAnsi="Arial" w:cs="Arial"/>
          <w:sz w:val="24"/>
          <w:szCs w:val="24"/>
        </w:rPr>
        <w:tab/>
      </w:r>
    </w:p>
    <w:p w:rsidR="00387402" w:rsidRDefault="00387402" w:rsidP="00387402">
      <w:pPr>
        <w:pBdr>
          <w:bottom w:val="single" w:sz="12" w:space="1" w:color="000000"/>
        </w:pBdr>
        <w:spacing w:after="0" w:line="360" w:lineRule="auto"/>
        <w:jc w:val="both"/>
        <w:rPr>
          <w:rFonts w:ascii="Arial" w:eastAsia="Arial" w:hAnsi="Arial" w:cs="Arial"/>
          <w:sz w:val="24"/>
          <w:szCs w:val="24"/>
        </w:rPr>
      </w:pPr>
    </w:p>
    <w:p w:rsidR="00387402" w:rsidRDefault="00387402" w:rsidP="00387402">
      <w:pPr>
        <w:spacing w:after="0" w:line="360" w:lineRule="auto"/>
        <w:jc w:val="both"/>
        <w:rPr>
          <w:rFonts w:ascii="Arial" w:eastAsia="Arial" w:hAnsi="Arial" w:cs="Arial"/>
          <w:b/>
          <w:sz w:val="24"/>
          <w:szCs w:val="24"/>
        </w:rPr>
      </w:pPr>
    </w:p>
    <w:p w:rsidR="00387402" w:rsidRDefault="00387402" w:rsidP="00387402">
      <w:pPr>
        <w:pBdr>
          <w:bottom w:val="single" w:sz="12" w:space="1" w:color="000000"/>
        </w:pBdr>
        <w:spacing w:after="0" w:line="360" w:lineRule="auto"/>
        <w:jc w:val="center"/>
        <w:rPr>
          <w:rFonts w:ascii="Arial" w:eastAsia="Arial" w:hAnsi="Arial" w:cs="Arial"/>
          <w:b/>
          <w:sz w:val="24"/>
          <w:szCs w:val="24"/>
        </w:rPr>
      </w:pPr>
      <w:r>
        <w:rPr>
          <w:rFonts w:ascii="Arial" w:eastAsia="Arial" w:hAnsi="Arial" w:cs="Arial"/>
          <w:b/>
          <w:sz w:val="24"/>
          <w:szCs w:val="24"/>
        </w:rPr>
        <w:t xml:space="preserve">JUDGMENT </w:t>
      </w:r>
    </w:p>
    <w:p w:rsidR="00387402" w:rsidRDefault="00387402" w:rsidP="00387402">
      <w:pPr>
        <w:spacing w:after="0" w:line="360" w:lineRule="auto"/>
        <w:rPr>
          <w:rFonts w:ascii="Arial" w:eastAsia="Arial" w:hAnsi="Arial" w:cs="Arial"/>
          <w:b/>
          <w:sz w:val="24"/>
          <w:szCs w:val="24"/>
        </w:rPr>
      </w:pPr>
    </w:p>
    <w:p w:rsidR="00387402" w:rsidRDefault="00387402" w:rsidP="00387402">
      <w:pPr>
        <w:spacing w:after="0" w:line="360" w:lineRule="auto"/>
        <w:rPr>
          <w:rFonts w:ascii="Arial" w:eastAsia="Arial" w:hAnsi="Arial" w:cs="Arial"/>
          <w:b/>
          <w:sz w:val="24"/>
          <w:szCs w:val="24"/>
        </w:rPr>
      </w:pPr>
      <w:r>
        <w:rPr>
          <w:rFonts w:ascii="Arial" w:eastAsia="Arial" w:hAnsi="Arial" w:cs="Arial"/>
          <w:b/>
          <w:sz w:val="24"/>
          <w:szCs w:val="24"/>
        </w:rPr>
        <w:t>MBONGWE J:</w:t>
      </w:r>
    </w:p>
    <w:p w:rsidR="00387402" w:rsidRDefault="00387402" w:rsidP="00387402">
      <w:pPr>
        <w:spacing w:after="117"/>
        <w:ind w:left="318" w:right="2"/>
        <w:jc w:val="center"/>
        <w:rPr>
          <w:rFonts w:ascii="Arial" w:eastAsia="Arial" w:hAnsi="Arial" w:cs="Arial"/>
          <w:b/>
          <w:color w:val="000000"/>
          <w:sz w:val="24"/>
          <w:szCs w:val="24"/>
        </w:rPr>
      </w:pPr>
    </w:p>
    <w:p w:rsidR="00387402" w:rsidRPr="008739A4" w:rsidRDefault="00387402" w:rsidP="008739A4">
      <w:pPr>
        <w:pBdr>
          <w:top w:val="nil"/>
          <w:left w:val="nil"/>
          <w:bottom w:val="nil"/>
          <w:right w:val="nil"/>
          <w:between w:val="nil"/>
        </w:pBdr>
        <w:tabs>
          <w:tab w:val="left" w:pos="426"/>
        </w:tabs>
        <w:spacing w:after="0" w:line="360" w:lineRule="auto"/>
        <w:jc w:val="both"/>
        <w:rPr>
          <w:rFonts w:ascii="Arial" w:eastAsia="Arial" w:hAnsi="Arial" w:cs="Arial"/>
          <w:color w:val="000000"/>
          <w:sz w:val="24"/>
          <w:szCs w:val="24"/>
          <w:u w:val="single"/>
        </w:rPr>
      </w:pPr>
      <w:r w:rsidRPr="008739A4">
        <w:rPr>
          <w:rFonts w:ascii="Arial" w:eastAsia="Arial" w:hAnsi="Arial" w:cs="Arial"/>
          <w:b/>
          <w:color w:val="000000"/>
          <w:sz w:val="24"/>
          <w:szCs w:val="24"/>
          <w:u w:val="single"/>
        </w:rPr>
        <w:t xml:space="preserve">INTRODUCTION </w:t>
      </w:r>
    </w:p>
    <w:p w:rsidR="00387402" w:rsidRDefault="00387402" w:rsidP="00387402">
      <w:pPr>
        <w:pBdr>
          <w:top w:val="nil"/>
          <w:left w:val="nil"/>
          <w:bottom w:val="nil"/>
          <w:right w:val="nil"/>
          <w:between w:val="nil"/>
        </w:pBdr>
        <w:spacing w:after="200" w:line="360" w:lineRule="auto"/>
        <w:jc w:val="both"/>
        <w:rPr>
          <w:rFonts w:ascii="Arial" w:eastAsia="Arial" w:hAnsi="Arial" w:cs="Arial"/>
          <w:b/>
          <w:color w:val="000000"/>
          <w:sz w:val="24"/>
          <w:szCs w:val="24"/>
        </w:rPr>
      </w:pPr>
    </w:p>
    <w:p w:rsidR="00387402" w:rsidRPr="001A2C81" w:rsidRDefault="00387402"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 xml:space="preserve">This is </w:t>
      </w:r>
      <w:r w:rsidR="00AF0FC2">
        <w:rPr>
          <w:rFonts w:ascii="Arial" w:eastAsia="Arial" w:hAnsi="Arial" w:cs="Arial"/>
          <w:color w:val="000000"/>
          <w:sz w:val="24"/>
          <w:szCs w:val="24"/>
        </w:rPr>
        <w:t xml:space="preserve">an application for rescission of the judgement dated 21 August 2019 in terms of which the court found in favour of the respondent’s counterclaim and ordered payment </w:t>
      </w:r>
      <w:r w:rsidR="00466A95">
        <w:rPr>
          <w:rFonts w:ascii="Arial" w:eastAsia="Arial" w:hAnsi="Arial" w:cs="Arial"/>
          <w:color w:val="000000"/>
          <w:sz w:val="24"/>
          <w:szCs w:val="24"/>
        </w:rPr>
        <w:t>of the amount of R639 992.93, by</w:t>
      </w:r>
      <w:r w:rsidR="00AF0FC2">
        <w:rPr>
          <w:rFonts w:ascii="Arial" w:eastAsia="Arial" w:hAnsi="Arial" w:cs="Arial"/>
          <w:color w:val="000000"/>
          <w:sz w:val="24"/>
          <w:szCs w:val="24"/>
        </w:rPr>
        <w:t xml:space="preserve"> the applicant to the respondent. At the same hearing, the court dismissed the applicant’s claim against the respondent in the absence of the applicant.</w:t>
      </w:r>
    </w:p>
    <w:p w:rsidR="001A2C81" w:rsidRPr="005342B8" w:rsidRDefault="001A2C81"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 xml:space="preserve">The applicant had initially brought an </w:t>
      </w:r>
      <w:r w:rsidR="00466A95">
        <w:rPr>
          <w:rFonts w:ascii="Arial" w:eastAsia="Arial" w:hAnsi="Arial" w:cs="Arial"/>
          <w:color w:val="000000"/>
          <w:sz w:val="24"/>
          <w:szCs w:val="24"/>
        </w:rPr>
        <w:t xml:space="preserve">urgent </w:t>
      </w:r>
      <w:r>
        <w:rPr>
          <w:rFonts w:ascii="Arial" w:eastAsia="Arial" w:hAnsi="Arial" w:cs="Arial"/>
          <w:color w:val="000000"/>
          <w:sz w:val="24"/>
          <w:szCs w:val="24"/>
        </w:rPr>
        <w:t>a</w:t>
      </w:r>
      <w:r w:rsidR="00CA4AD3">
        <w:rPr>
          <w:rFonts w:ascii="Arial" w:eastAsia="Arial" w:hAnsi="Arial" w:cs="Arial"/>
          <w:color w:val="000000"/>
          <w:sz w:val="24"/>
          <w:szCs w:val="24"/>
        </w:rPr>
        <w:t>pplication seeking an order in P</w:t>
      </w:r>
      <w:r>
        <w:rPr>
          <w:rFonts w:ascii="Arial" w:eastAsia="Arial" w:hAnsi="Arial" w:cs="Arial"/>
          <w:color w:val="000000"/>
          <w:sz w:val="24"/>
          <w:szCs w:val="24"/>
        </w:rPr>
        <w:t>art A, for the stay of the execution of the order of 28 October 2019 in terms of rule 45A, pending the de</w:t>
      </w:r>
      <w:r w:rsidR="00466A95">
        <w:rPr>
          <w:rFonts w:ascii="Arial" w:eastAsia="Arial" w:hAnsi="Arial" w:cs="Arial"/>
          <w:color w:val="000000"/>
          <w:sz w:val="24"/>
          <w:szCs w:val="24"/>
        </w:rPr>
        <w:t xml:space="preserve">termination of the </w:t>
      </w:r>
      <w:r w:rsidR="00655C7D">
        <w:rPr>
          <w:rFonts w:ascii="Arial" w:eastAsia="Arial" w:hAnsi="Arial" w:cs="Arial"/>
          <w:color w:val="000000"/>
          <w:sz w:val="24"/>
          <w:szCs w:val="24"/>
        </w:rPr>
        <w:t>its</w:t>
      </w:r>
      <w:r>
        <w:rPr>
          <w:rFonts w:ascii="Arial" w:eastAsia="Arial" w:hAnsi="Arial" w:cs="Arial"/>
          <w:color w:val="000000"/>
          <w:sz w:val="24"/>
          <w:szCs w:val="24"/>
        </w:rPr>
        <w:t xml:space="preserve"> application for the rescis</w:t>
      </w:r>
      <w:r w:rsidR="00CA4AD3">
        <w:rPr>
          <w:rFonts w:ascii="Arial" w:eastAsia="Arial" w:hAnsi="Arial" w:cs="Arial"/>
          <w:color w:val="000000"/>
          <w:sz w:val="24"/>
          <w:szCs w:val="24"/>
        </w:rPr>
        <w:t>sion of the judgement in P</w:t>
      </w:r>
      <w:r w:rsidR="00655C7D">
        <w:rPr>
          <w:rFonts w:ascii="Arial" w:eastAsia="Arial" w:hAnsi="Arial" w:cs="Arial"/>
          <w:color w:val="000000"/>
          <w:sz w:val="24"/>
          <w:szCs w:val="24"/>
        </w:rPr>
        <w:t xml:space="preserve">art B, </w:t>
      </w:r>
      <w:r>
        <w:rPr>
          <w:rFonts w:ascii="Arial" w:eastAsia="Arial" w:hAnsi="Arial" w:cs="Arial"/>
          <w:color w:val="000000"/>
          <w:sz w:val="24"/>
          <w:szCs w:val="24"/>
        </w:rPr>
        <w:t>the present hearing. The u</w:t>
      </w:r>
      <w:r w:rsidR="00DD5851">
        <w:rPr>
          <w:rFonts w:ascii="Arial" w:eastAsia="Arial" w:hAnsi="Arial" w:cs="Arial"/>
          <w:color w:val="000000"/>
          <w:sz w:val="24"/>
          <w:szCs w:val="24"/>
        </w:rPr>
        <w:t>rgent application was precipitated</w:t>
      </w:r>
      <w:r>
        <w:rPr>
          <w:rFonts w:ascii="Arial" w:eastAsia="Arial" w:hAnsi="Arial" w:cs="Arial"/>
          <w:color w:val="000000"/>
          <w:sz w:val="24"/>
          <w:szCs w:val="24"/>
        </w:rPr>
        <w:t xml:space="preserve"> by the attachment by the sheriff of the movable </w:t>
      </w:r>
      <w:r w:rsidR="005342B8">
        <w:rPr>
          <w:rFonts w:ascii="Arial" w:eastAsia="Arial" w:hAnsi="Arial" w:cs="Arial"/>
          <w:color w:val="000000"/>
          <w:sz w:val="24"/>
          <w:szCs w:val="24"/>
        </w:rPr>
        <w:t xml:space="preserve">property </w:t>
      </w:r>
      <w:r w:rsidR="00DD5851">
        <w:rPr>
          <w:rFonts w:ascii="Arial" w:eastAsia="Arial" w:hAnsi="Arial" w:cs="Arial"/>
          <w:color w:val="000000"/>
          <w:sz w:val="24"/>
          <w:szCs w:val="24"/>
        </w:rPr>
        <w:t>belonging</w:t>
      </w:r>
      <w:r w:rsidR="005342B8">
        <w:rPr>
          <w:rFonts w:ascii="Arial" w:eastAsia="Arial" w:hAnsi="Arial" w:cs="Arial"/>
          <w:color w:val="000000"/>
          <w:sz w:val="24"/>
          <w:szCs w:val="24"/>
        </w:rPr>
        <w:t xml:space="preserve"> to the father of the deponent to the founding affidavit who, together with the deponent</w:t>
      </w:r>
      <w:r w:rsidR="00655C7D">
        <w:rPr>
          <w:rFonts w:ascii="Arial" w:eastAsia="Arial" w:hAnsi="Arial" w:cs="Arial"/>
          <w:color w:val="000000"/>
          <w:sz w:val="24"/>
          <w:szCs w:val="24"/>
        </w:rPr>
        <w:t>,</w:t>
      </w:r>
      <w:r w:rsidR="005342B8">
        <w:rPr>
          <w:rFonts w:ascii="Arial" w:eastAsia="Arial" w:hAnsi="Arial" w:cs="Arial"/>
          <w:color w:val="000000"/>
          <w:sz w:val="24"/>
          <w:szCs w:val="24"/>
        </w:rPr>
        <w:t xml:space="preserve"> were in partnership with others in the applicant. The attachment occurred on 29 March 2021.</w:t>
      </w:r>
    </w:p>
    <w:p w:rsidR="005342B8" w:rsidRPr="00DD5851" w:rsidRDefault="005342B8" w:rsidP="005342B8">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sidRPr="00DD5851">
        <w:rPr>
          <w:rFonts w:ascii="Arial" w:eastAsia="Arial" w:hAnsi="Arial" w:cs="Arial"/>
          <w:b/>
          <w:color w:val="000000"/>
          <w:sz w:val="24"/>
          <w:szCs w:val="24"/>
          <w:u w:val="single"/>
        </w:rPr>
        <w:t>FACTS</w:t>
      </w:r>
    </w:p>
    <w:p w:rsidR="00387402" w:rsidRPr="005342B8" w:rsidRDefault="005342B8" w:rsidP="005342B8">
      <w:pPr>
        <w:widowControl w:val="0"/>
        <w:numPr>
          <w:ilvl w:val="0"/>
          <w:numId w:val="3"/>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The dispute between the parties emanates from the conclusion of a building contract in terms of which the respondent was to be the project manager in </w:t>
      </w:r>
      <w:r w:rsidR="00655C7D">
        <w:rPr>
          <w:rFonts w:ascii="Arial" w:eastAsia="Arial" w:hAnsi="Arial" w:cs="Arial"/>
          <w:color w:val="000000"/>
          <w:sz w:val="24"/>
          <w:szCs w:val="24"/>
        </w:rPr>
        <w:t>the construction of four units o</w:t>
      </w:r>
      <w:r>
        <w:rPr>
          <w:rFonts w:ascii="Arial" w:eastAsia="Arial" w:hAnsi="Arial" w:cs="Arial"/>
          <w:color w:val="000000"/>
          <w:sz w:val="24"/>
          <w:szCs w:val="24"/>
        </w:rPr>
        <w:t xml:space="preserve">n a site ostensibly belonging to the applicant. Amongst his responsibilities, the </w:t>
      </w:r>
      <w:r w:rsidR="00DD5851">
        <w:rPr>
          <w:rFonts w:ascii="Arial" w:eastAsia="Arial" w:hAnsi="Arial" w:cs="Arial"/>
          <w:color w:val="000000"/>
          <w:sz w:val="24"/>
          <w:szCs w:val="24"/>
        </w:rPr>
        <w:t xml:space="preserve">respondent </w:t>
      </w:r>
      <w:r>
        <w:rPr>
          <w:rFonts w:ascii="Arial" w:eastAsia="Arial" w:hAnsi="Arial" w:cs="Arial"/>
          <w:color w:val="000000"/>
          <w:sz w:val="24"/>
          <w:szCs w:val="24"/>
        </w:rPr>
        <w:t xml:space="preserve">was to engage a building </w:t>
      </w:r>
      <w:r w:rsidR="00DD5851">
        <w:rPr>
          <w:rFonts w:ascii="Arial" w:eastAsia="Arial" w:hAnsi="Arial" w:cs="Arial"/>
          <w:color w:val="000000"/>
          <w:sz w:val="24"/>
          <w:szCs w:val="24"/>
        </w:rPr>
        <w:t>contractor</w:t>
      </w:r>
      <w:r>
        <w:rPr>
          <w:rFonts w:ascii="Arial" w:eastAsia="Arial" w:hAnsi="Arial" w:cs="Arial"/>
          <w:color w:val="000000"/>
          <w:sz w:val="24"/>
          <w:szCs w:val="24"/>
        </w:rPr>
        <w:t xml:space="preserve"> and to have the project completed within six months.</w:t>
      </w:r>
    </w:p>
    <w:p w:rsidR="005342B8" w:rsidRPr="00267557" w:rsidRDefault="005342B8" w:rsidP="005342B8">
      <w:pPr>
        <w:widowControl w:val="0"/>
        <w:numPr>
          <w:ilvl w:val="0"/>
          <w:numId w:val="3"/>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lastRenderedPageBreak/>
        <w:t xml:space="preserve">The </w:t>
      </w:r>
      <w:r w:rsidR="00DD5851">
        <w:rPr>
          <w:rFonts w:ascii="Arial" w:eastAsia="Arial" w:hAnsi="Arial" w:cs="Arial"/>
          <w:color w:val="000000"/>
          <w:sz w:val="24"/>
          <w:szCs w:val="24"/>
        </w:rPr>
        <w:t>respondent allegedly failed t</w:t>
      </w:r>
      <w:r>
        <w:rPr>
          <w:rFonts w:ascii="Arial" w:eastAsia="Arial" w:hAnsi="Arial" w:cs="Arial"/>
          <w:color w:val="000000"/>
          <w:sz w:val="24"/>
          <w:szCs w:val="24"/>
        </w:rPr>
        <w:t>o complete the project on time or at all, resulting in the applicant instituting a claim against him. The responden</w:t>
      </w:r>
      <w:r w:rsidR="00655C7D">
        <w:rPr>
          <w:rFonts w:ascii="Arial" w:eastAsia="Arial" w:hAnsi="Arial" w:cs="Arial"/>
          <w:color w:val="000000"/>
          <w:sz w:val="24"/>
          <w:szCs w:val="24"/>
        </w:rPr>
        <w:t>t instituted a counterclaim</w:t>
      </w:r>
      <w:r>
        <w:rPr>
          <w:rFonts w:ascii="Arial" w:eastAsia="Arial" w:hAnsi="Arial" w:cs="Arial"/>
          <w:color w:val="000000"/>
          <w:sz w:val="24"/>
          <w:szCs w:val="24"/>
        </w:rPr>
        <w:t xml:space="preserve"> seeking payments due and payable</w:t>
      </w:r>
      <w:r w:rsidR="00655C7D">
        <w:rPr>
          <w:rFonts w:ascii="Arial" w:eastAsia="Arial" w:hAnsi="Arial" w:cs="Arial"/>
          <w:color w:val="000000"/>
          <w:sz w:val="24"/>
          <w:szCs w:val="24"/>
        </w:rPr>
        <w:t xml:space="preserve"> to him</w:t>
      </w:r>
      <w:r w:rsidR="00267557">
        <w:rPr>
          <w:rFonts w:ascii="Arial" w:eastAsia="Arial" w:hAnsi="Arial" w:cs="Arial"/>
          <w:color w:val="000000"/>
          <w:sz w:val="24"/>
          <w:szCs w:val="24"/>
        </w:rPr>
        <w:t>.</w:t>
      </w:r>
    </w:p>
    <w:p w:rsidR="00267557" w:rsidRPr="00267557" w:rsidRDefault="00267557" w:rsidP="005342B8">
      <w:pPr>
        <w:widowControl w:val="0"/>
        <w:numPr>
          <w:ilvl w:val="0"/>
          <w:numId w:val="3"/>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 xml:space="preserve">Meanwhile the applicant had a second thought about its claim and </w:t>
      </w:r>
      <w:r w:rsidR="009F10D4">
        <w:rPr>
          <w:rFonts w:ascii="Arial" w:eastAsia="Arial" w:hAnsi="Arial" w:cs="Arial"/>
          <w:color w:val="000000"/>
          <w:sz w:val="24"/>
          <w:szCs w:val="24"/>
        </w:rPr>
        <w:t>advised its attorneys that it</w:t>
      </w:r>
      <w:r>
        <w:rPr>
          <w:rFonts w:ascii="Arial" w:eastAsia="Arial" w:hAnsi="Arial" w:cs="Arial"/>
          <w:color w:val="000000"/>
          <w:sz w:val="24"/>
          <w:szCs w:val="24"/>
        </w:rPr>
        <w:t xml:space="preserve"> did not intend to </w:t>
      </w:r>
      <w:r w:rsidR="000B4FA8">
        <w:rPr>
          <w:rFonts w:ascii="Arial" w:eastAsia="Arial" w:hAnsi="Arial" w:cs="Arial"/>
          <w:color w:val="000000"/>
          <w:sz w:val="24"/>
          <w:szCs w:val="24"/>
        </w:rPr>
        <w:t>pursue</w:t>
      </w:r>
      <w:r>
        <w:rPr>
          <w:rFonts w:ascii="Arial" w:eastAsia="Arial" w:hAnsi="Arial" w:cs="Arial"/>
          <w:color w:val="000000"/>
          <w:sz w:val="24"/>
          <w:szCs w:val="24"/>
        </w:rPr>
        <w:t xml:space="preserve"> the claim against the respondent. The attorney closed the file and reminded the </w:t>
      </w:r>
      <w:r w:rsidR="00CC1F9E">
        <w:rPr>
          <w:rFonts w:ascii="Arial" w:eastAsia="Arial" w:hAnsi="Arial" w:cs="Arial"/>
          <w:color w:val="000000"/>
          <w:sz w:val="24"/>
          <w:szCs w:val="24"/>
        </w:rPr>
        <w:t>applicant of</w:t>
      </w:r>
      <w:r>
        <w:rPr>
          <w:rFonts w:ascii="Arial" w:eastAsia="Arial" w:hAnsi="Arial" w:cs="Arial"/>
          <w:color w:val="000000"/>
          <w:sz w:val="24"/>
          <w:szCs w:val="24"/>
        </w:rPr>
        <w:t xml:space="preserve"> the date of hearing of the matter</w:t>
      </w:r>
      <w:r w:rsidR="001E14D4">
        <w:rPr>
          <w:rFonts w:ascii="Arial" w:eastAsia="Arial" w:hAnsi="Arial" w:cs="Arial"/>
          <w:color w:val="000000"/>
          <w:sz w:val="24"/>
          <w:szCs w:val="24"/>
        </w:rPr>
        <w:t>,</w:t>
      </w:r>
      <w:r>
        <w:rPr>
          <w:rFonts w:ascii="Arial" w:eastAsia="Arial" w:hAnsi="Arial" w:cs="Arial"/>
          <w:color w:val="000000"/>
          <w:sz w:val="24"/>
          <w:szCs w:val="24"/>
        </w:rPr>
        <w:t xml:space="preserve"> being 18 October 2019, a date that had been obtained by the applicant’s attorneys.</w:t>
      </w:r>
    </w:p>
    <w:p w:rsidR="00267557" w:rsidRPr="009549B9" w:rsidRDefault="00267557" w:rsidP="005342B8">
      <w:pPr>
        <w:widowControl w:val="0"/>
        <w:numPr>
          <w:ilvl w:val="0"/>
          <w:numId w:val="3"/>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The applicant was not present at court on the date of the hearing</w:t>
      </w:r>
      <w:r w:rsidR="008D65BE">
        <w:rPr>
          <w:rFonts w:ascii="Arial" w:eastAsia="Arial" w:hAnsi="Arial" w:cs="Arial"/>
          <w:color w:val="000000"/>
          <w:sz w:val="24"/>
          <w:szCs w:val="24"/>
        </w:rPr>
        <w:t xml:space="preserve">. The respondent proceeded on its counterclaim, including seeking the dismissal of the </w:t>
      </w:r>
      <w:r w:rsidR="00CC1F9E">
        <w:rPr>
          <w:rFonts w:ascii="Arial" w:eastAsia="Arial" w:hAnsi="Arial" w:cs="Arial"/>
          <w:color w:val="000000"/>
          <w:sz w:val="24"/>
          <w:szCs w:val="24"/>
        </w:rPr>
        <w:t>applicant’s</w:t>
      </w:r>
      <w:r w:rsidR="008D65BE">
        <w:rPr>
          <w:rFonts w:ascii="Arial" w:eastAsia="Arial" w:hAnsi="Arial" w:cs="Arial"/>
          <w:color w:val="000000"/>
          <w:sz w:val="24"/>
          <w:szCs w:val="24"/>
        </w:rPr>
        <w:t xml:space="preserve"> claim. Both orders sought were granted by the court on 18 October2019. The applicant </w:t>
      </w:r>
      <w:r w:rsidR="00CA4AD3">
        <w:rPr>
          <w:rFonts w:ascii="Arial" w:eastAsia="Arial" w:hAnsi="Arial" w:cs="Arial"/>
          <w:color w:val="000000"/>
          <w:sz w:val="24"/>
          <w:szCs w:val="24"/>
        </w:rPr>
        <w:t>became aware of the judgement on 3</w:t>
      </w:r>
      <w:r w:rsidR="008D65BE">
        <w:rPr>
          <w:rFonts w:ascii="Arial" w:eastAsia="Arial" w:hAnsi="Arial" w:cs="Arial"/>
          <w:color w:val="000000"/>
          <w:sz w:val="24"/>
          <w:szCs w:val="24"/>
        </w:rPr>
        <w:t xml:space="preserve"> December 2019. On becoming aware of the judgement, the applicant had contacted the respondent’</w:t>
      </w:r>
      <w:r w:rsidR="001E14D4">
        <w:rPr>
          <w:rFonts w:ascii="Arial" w:eastAsia="Arial" w:hAnsi="Arial" w:cs="Arial"/>
          <w:color w:val="000000"/>
          <w:sz w:val="24"/>
          <w:szCs w:val="24"/>
        </w:rPr>
        <w:t>s attorney</w:t>
      </w:r>
      <w:r w:rsidR="000661A0">
        <w:rPr>
          <w:rFonts w:ascii="Arial" w:eastAsia="Arial" w:hAnsi="Arial" w:cs="Arial"/>
          <w:color w:val="000000"/>
          <w:sz w:val="24"/>
          <w:szCs w:val="24"/>
        </w:rPr>
        <w:t xml:space="preserve"> who </w:t>
      </w:r>
      <w:r w:rsidR="008D65BE">
        <w:rPr>
          <w:rFonts w:ascii="Arial" w:eastAsia="Arial" w:hAnsi="Arial" w:cs="Arial"/>
          <w:color w:val="000000"/>
          <w:sz w:val="24"/>
          <w:szCs w:val="24"/>
        </w:rPr>
        <w:t>w</w:t>
      </w:r>
      <w:r w:rsidR="000661A0">
        <w:rPr>
          <w:rFonts w:ascii="Arial" w:eastAsia="Arial" w:hAnsi="Arial" w:cs="Arial"/>
          <w:color w:val="000000"/>
          <w:sz w:val="24"/>
          <w:szCs w:val="24"/>
        </w:rPr>
        <w:t>a</w:t>
      </w:r>
      <w:r w:rsidR="008D65BE">
        <w:rPr>
          <w:rFonts w:ascii="Arial" w:eastAsia="Arial" w:hAnsi="Arial" w:cs="Arial"/>
          <w:color w:val="000000"/>
          <w:sz w:val="24"/>
          <w:szCs w:val="24"/>
        </w:rPr>
        <w:t>s then on holiday, but undertook to obtain instructions from the respondent later in January 2020</w:t>
      </w:r>
      <w:r w:rsidR="009549B9">
        <w:rPr>
          <w:rFonts w:ascii="Arial" w:eastAsia="Arial" w:hAnsi="Arial" w:cs="Arial"/>
          <w:color w:val="000000"/>
          <w:sz w:val="24"/>
          <w:szCs w:val="24"/>
        </w:rPr>
        <w:t>.</w:t>
      </w:r>
    </w:p>
    <w:p w:rsidR="00AB090C" w:rsidRPr="00AB090C" w:rsidRDefault="009549B9" w:rsidP="00AB090C">
      <w:pPr>
        <w:widowControl w:val="0"/>
        <w:numPr>
          <w:ilvl w:val="0"/>
          <w:numId w:val="3"/>
        </w:numPr>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color w:val="000000"/>
          <w:sz w:val="24"/>
          <w:szCs w:val="24"/>
        </w:rPr>
        <w:t>There appears to be nothing of substance that occurred subsequently until 29 March 2021 when sheriff</w:t>
      </w:r>
      <w:r w:rsidR="007B078E">
        <w:rPr>
          <w:rFonts w:ascii="Arial" w:eastAsia="Arial" w:hAnsi="Arial" w:cs="Arial"/>
          <w:color w:val="000000"/>
          <w:sz w:val="24"/>
          <w:szCs w:val="24"/>
        </w:rPr>
        <w:t>,</w:t>
      </w:r>
      <w:r>
        <w:rPr>
          <w:rFonts w:ascii="Arial" w:eastAsia="Arial" w:hAnsi="Arial" w:cs="Arial"/>
          <w:color w:val="000000"/>
          <w:sz w:val="24"/>
          <w:szCs w:val="24"/>
        </w:rPr>
        <w:t xml:space="preserve"> at the behest of the respondent, at</w:t>
      </w:r>
      <w:r w:rsidR="007B078E">
        <w:rPr>
          <w:rFonts w:ascii="Arial" w:eastAsia="Arial" w:hAnsi="Arial" w:cs="Arial"/>
          <w:color w:val="000000"/>
          <w:sz w:val="24"/>
          <w:szCs w:val="24"/>
        </w:rPr>
        <w:t>tached certain movable property</w:t>
      </w:r>
      <w:r w:rsidR="00F1315D">
        <w:rPr>
          <w:rFonts w:ascii="Arial" w:eastAsia="Arial" w:hAnsi="Arial" w:cs="Arial"/>
          <w:color w:val="000000"/>
          <w:sz w:val="24"/>
          <w:szCs w:val="24"/>
        </w:rPr>
        <w:t>,</w:t>
      </w:r>
      <w:bookmarkStart w:id="0" w:name="_GoBack"/>
      <w:bookmarkEnd w:id="0"/>
      <w:r>
        <w:rPr>
          <w:rFonts w:ascii="Arial" w:eastAsia="Arial" w:hAnsi="Arial" w:cs="Arial"/>
          <w:color w:val="000000"/>
          <w:sz w:val="24"/>
          <w:szCs w:val="24"/>
        </w:rPr>
        <w:t xml:space="preserve"> as earlier stated, on the 29 March 2021. This attachment had </w:t>
      </w:r>
      <w:r w:rsidR="00AB090C">
        <w:rPr>
          <w:rFonts w:ascii="Arial" w:eastAsia="Arial" w:hAnsi="Arial" w:cs="Arial"/>
          <w:color w:val="000000"/>
          <w:sz w:val="24"/>
          <w:szCs w:val="24"/>
        </w:rPr>
        <w:t xml:space="preserve">prompted the applicant to then </w:t>
      </w:r>
      <w:r w:rsidR="00E97BF5">
        <w:rPr>
          <w:rFonts w:ascii="Arial" w:eastAsia="Arial" w:hAnsi="Arial" w:cs="Arial"/>
          <w:color w:val="000000"/>
          <w:sz w:val="24"/>
          <w:szCs w:val="24"/>
        </w:rPr>
        <w:t>lodge</w:t>
      </w:r>
      <w:r w:rsidR="00AB090C">
        <w:rPr>
          <w:rFonts w:ascii="Arial" w:eastAsia="Arial" w:hAnsi="Arial" w:cs="Arial"/>
          <w:color w:val="000000"/>
          <w:sz w:val="24"/>
          <w:szCs w:val="24"/>
        </w:rPr>
        <w:t xml:space="preserve"> the urgent application and bring the application for the rescission of the judgement on 13 May 2021.</w:t>
      </w:r>
    </w:p>
    <w:p w:rsidR="00AB090C" w:rsidRPr="00AB090C" w:rsidRDefault="00AB090C" w:rsidP="00AB090C">
      <w:pPr>
        <w:widowControl w:val="0"/>
        <w:pBdr>
          <w:top w:val="nil"/>
          <w:left w:val="nil"/>
          <w:bottom w:val="nil"/>
          <w:right w:val="nil"/>
          <w:between w:val="nil"/>
        </w:pBdr>
        <w:spacing w:before="360" w:after="0" w:line="48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REQUIREMENTS</w:t>
      </w:r>
    </w:p>
    <w:p w:rsidR="00387402" w:rsidRPr="000E299D" w:rsidRDefault="00AA3FEE"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It is trite that an Applica</w:t>
      </w:r>
      <w:r w:rsidR="000E299D">
        <w:rPr>
          <w:rFonts w:ascii="Arial" w:eastAsia="Arial" w:hAnsi="Arial" w:cs="Arial"/>
          <w:color w:val="000000"/>
          <w:sz w:val="24"/>
          <w:szCs w:val="24"/>
        </w:rPr>
        <w:t>n</w:t>
      </w:r>
      <w:r>
        <w:rPr>
          <w:rFonts w:ascii="Arial" w:eastAsia="Arial" w:hAnsi="Arial" w:cs="Arial"/>
          <w:color w:val="000000"/>
          <w:sz w:val="24"/>
          <w:szCs w:val="24"/>
        </w:rPr>
        <w:t>t</w:t>
      </w:r>
      <w:r w:rsidR="000E299D">
        <w:rPr>
          <w:rFonts w:ascii="Arial" w:eastAsia="Arial" w:hAnsi="Arial" w:cs="Arial"/>
          <w:color w:val="000000"/>
          <w:sz w:val="24"/>
          <w:szCs w:val="24"/>
        </w:rPr>
        <w:t xml:space="preserve"> seeking an order for the rescission of a judgement has </w:t>
      </w:r>
      <w:r w:rsidR="000E299D">
        <w:rPr>
          <w:rFonts w:ascii="Arial" w:eastAsia="Arial" w:hAnsi="Arial" w:cs="Arial"/>
          <w:color w:val="000000"/>
          <w:sz w:val="24"/>
          <w:szCs w:val="24"/>
        </w:rPr>
        <w:lastRenderedPageBreak/>
        <w:t>to satisfy certain laid down requirements in order to succeed. Hereunder I deal with the requirements.</w:t>
      </w:r>
    </w:p>
    <w:p w:rsidR="000E299D" w:rsidRPr="002B535B" w:rsidRDefault="000E299D"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In terms of rule 31(2) (b)</w:t>
      </w:r>
      <w:r w:rsidR="002B535B">
        <w:rPr>
          <w:rFonts w:ascii="Arial" w:eastAsia="Arial" w:hAnsi="Arial" w:cs="Arial"/>
          <w:color w:val="000000"/>
          <w:sz w:val="24"/>
          <w:szCs w:val="24"/>
        </w:rPr>
        <w:t xml:space="preserve"> of the rules of the court, an applica</w:t>
      </w:r>
      <w:r>
        <w:rPr>
          <w:rFonts w:ascii="Arial" w:eastAsia="Arial" w:hAnsi="Arial" w:cs="Arial"/>
          <w:color w:val="000000"/>
          <w:sz w:val="24"/>
          <w:szCs w:val="24"/>
        </w:rPr>
        <w:t>n</w:t>
      </w:r>
      <w:r w:rsidR="002B535B">
        <w:rPr>
          <w:rFonts w:ascii="Arial" w:eastAsia="Arial" w:hAnsi="Arial" w:cs="Arial"/>
          <w:color w:val="000000"/>
          <w:sz w:val="24"/>
          <w:szCs w:val="24"/>
        </w:rPr>
        <w:t>t must bring an application</w:t>
      </w:r>
      <w:r>
        <w:rPr>
          <w:rFonts w:ascii="Arial" w:eastAsia="Arial" w:hAnsi="Arial" w:cs="Arial"/>
          <w:color w:val="000000"/>
          <w:sz w:val="24"/>
          <w:szCs w:val="24"/>
        </w:rPr>
        <w:t xml:space="preserve"> </w:t>
      </w:r>
      <w:r w:rsidR="002B535B">
        <w:rPr>
          <w:rFonts w:ascii="Arial" w:eastAsia="Arial" w:hAnsi="Arial" w:cs="Arial"/>
          <w:color w:val="000000"/>
          <w:sz w:val="24"/>
          <w:szCs w:val="24"/>
        </w:rPr>
        <w:t>for rescission of judgement within twenty days of gaining knowledge of the judgement sought to be rescinded. The applicant in the present matter became aware of the judgement of 18 October 2019 on 3 December 2019.</w:t>
      </w:r>
    </w:p>
    <w:p w:rsidR="002B535B" w:rsidRPr="002B535B" w:rsidRDefault="002B535B"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The only time the applicant, on its own version, took steps regarding the default judgement was in April 2021 when it consulted with counsel and brought the application for rescission of judgement on 13 May 2021-some 17 months from the date gaining knowledge of the default judgement.</w:t>
      </w:r>
    </w:p>
    <w:p w:rsidR="00387402" w:rsidRPr="005351D5" w:rsidRDefault="002B535B" w:rsidP="005C19A7">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Notably, despite bri</w:t>
      </w:r>
      <w:r w:rsidR="0024291A">
        <w:rPr>
          <w:rFonts w:ascii="Arial" w:eastAsia="Arial" w:hAnsi="Arial" w:cs="Arial"/>
          <w:color w:val="000000"/>
          <w:sz w:val="24"/>
          <w:szCs w:val="24"/>
        </w:rPr>
        <w:t>nging this application well out of</w:t>
      </w:r>
      <w:r>
        <w:rPr>
          <w:rFonts w:ascii="Arial" w:eastAsia="Arial" w:hAnsi="Arial" w:cs="Arial"/>
          <w:color w:val="000000"/>
          <w:sz w:val="24"/>
          <w:szCs w:val="24"/>
        </w:rPr>
        <w:t xml:space="preserve"> time in terms of the rules, the applicant has not filed the requisite substantive application for the condonation of the late launching</w:t>
      </w:r>
      <w:r w:rsidR="00843029">
        <w:rPr>
          <w:rFonts w:ascii="Arial" w:eastAsia="Arial" w:hAnsi="Arial" w:cs="Arial"/>
          <w:color w:val="000000"/>
          <w:sz w:val="24"/>
          <w:szCs w:val="24"/>
        </w:rPr>
        <w:t xml:space="preserve"> of the application for rescission of judgement. It is worth </w:t>
      </w:r>
      <w:r w:rsidR="00C27837">
        <w:rPr>
          <w:rFonts w:ascii="Arial" w:eastAsia="Arial" w:hAnsi="Arial" w:cs="Arial"/>
          <w:color w:val="000000"/>
          <w:sz w:val="24"/>
          <w:szCs w:val="24"/>
        </w:rPr>
        <w:t>stating</w:t>
      </w:r>
      <w:r w:rsidR="00843029">
        <w:rPr>
          <w:rFonts w:ascii="Arial" w:eastAsia="Arial" w:hAnsi="Arial" w:cs="Arial"/>
          <w:color w:val="000000"/>
          <w:sz w:val="24"/>
          <w:szCs w:val="24"/>
        </w:rPr>
        <w:t xml:space="preserve"> </w:t>
      </w:r>
      <w:r w:rsidR="00C27837">
        <w:rPr>
          <w:rFonts w:ascii="Arial" w:eastAsia="Arial" w:hAnsi="Arial" w:cs="Arial"/>
          <w:color w:val="000000"/>
          <w:sz w:val="24"/>
          <w:szCs w:val="24"/>
        </w:rPr>
        <w:t>again that</w:t>
      </w:r>
      <w:r w:rsidR="00843029">
        <w:rPr>
          <w:rFonts w:ascii="Arial" w:eastAsia="Arial" w:hAnsi="Arial" w:cs="Arial"/>
          <w:color w:val="000000"/>
          <w:sz w:val="24"/>
          <w:szCs w:val="24"/>
        </w:rPr>
        <w:t xml:space="preserve"> the judgement sought to be rescinded is dated 18 October 2019; the applicant became aware of it on 3 December 2019</w:t>
      </w:r>
      <w:r w:rsidR="00ED6D7A">
        <w:rPr>
          <w:rFonts w:ascii="Arial" w:eastAsia="Arial" w:hAnsi="Arial" w:cs="Arial"/>
          <w:color w:val="000000"/>
          <w:sz w:val="24"/>
          <w:szCs w:val="24"/>
        </w:rPr>
        <w:t xml:space="preserve"> and brought </w:t>
      </w:r>
      <w:r w:rsidR="00C27837">
        <w:rPr>
          <w:rFonts w:ascii="Arial" w:eastAsia="Arial" w:hAnsi="Arial" w:cs="Arial"/>
          <w:color w:val="000000"/>
          <w:sz w:val="24"/>
          <w:szCs w:val="24"/>
        </w:rPr>
        <w:t>a rescission</w:t>
      </w:r>
      <w:r w:rsidR="00ED6D7A">
        <w:rPr>
          <w:rFonts w:ascii="Arial" w:eastAsia="Arial" w:hAnsi="Arial" w:cs="Arial"/>
          <w:color w:val="000000"/>
          <w:sz w:val="24"/>
          <w:szCs w:val="24"/>
        </w:rPr>
        <w:t xml:space="preserve"> application on 13 May 2021. The applicant was required in this regard to give full details (good cause), not only of its failure to be present at the hearing of the matter on 18 O</w:t>
      </w:r>
      <w:r w:rsidR="00C27837">
        <w:rPr>
          <w:rFonts w:ascii="Arial" w:eastAsia="Arial" w:hAnsi="Arial" w:cs="Arial"/>
          <w:color w:val="000000"/>
          <w:sz w:val="24"/>
          <w:szCs w:val="24"/>
        </w:rPr>
        <w:t>ctober 2019, but als</w:t>
      </w:r>
      <w:r w:rsidR="00ED6D7A">
        <w:rPr>
          <w:rFonts w:ascii="Arial" w:eastAsia="Arial" w:hAnsi="Arial" w:cs="Arial"/>
          <w:color w:val="000000"/>
          <w:sz w:val="24"/>
          <w:szCs w:val="24"/>
        </w:rPr>
        <w:t xml:space="preserve">o details of facts relating to the delay from 3 December 2019 to 13 May 2021, to bring the present application. </w:t>
      </w:r>
      <w:r w:rsidR="005351D5" w:rsidRPr="005C19A7">
        <w:rPr>
          <w:rFonts w:ascii="Arial" w:eastAsia="Arial" w:hAnsi="Arial" w:cs="Arial"/>
          <w:color w:val="000000"/>
          <w:sz w:val="24"/>
          <w:szCs w:val="24"/>
        </w:rPr>
        <w:t>More poignant to this matt</w:t>
      </w:r>
      <w:r w:rsidR="00544709">
        <w:rPr>
          <w:rFonts w:ascii="Arial" w:eastAsia="Arial" w:hAnsi="Arial" w:cs="Arial"/>
          <w:color w:val="000000"/>
          <w:sz w:val="24"/>
          <w:szCs w:val="24"/>
        </w:rPr>
        <w:t>er is the explanation of what good cause entails in a</w:t>
      </w:r>
      <w:r w:rsidR="005351D5" w:rsidRPr="005C19A7">
        <w:rPr>
          <w:rFonts w:ascii="Arial" w:eastAsia="Arial" w:hAnsi="Arial" w:cs="Arial"/>
          <w:color w:val="000000"/>
          <w:sz w:val="24"/>
          <w:szCs w:val="24"/>
        </w:rPr>
        <w:t>n applicant’s explanation. In</w:t>
      </w:r>
      <w:r w:rsidR="005351D5" w:rsidRPr="005C19A7">
        <w:rPr>
          <w:rFonts w:ascii="Arial" w:eastAsia="Arial" w:hAnsi="Arial" w:cs="Arial"/>
          <w:i/>
          <w:color w:val="000000"/>
          <w:sz w:val="24"/>
          <w:szCs w:val="24"/>
        </w:rPr>
        <w:t xml:space="preserve"> </w:t>
      </w:r>
      <w:proofErr w:type="spellStart"/>
      <w:r w:rsidR="005351D5" w:rsidRPr="005C19A7">
        <w:rPr>
          <w:rFonts w:ascii="Arial" w:eastAsia="Arial" w:hAnsi="Arial" w:cs="Arial"/>
          <w:i/>
          <w:color w:val="000000"/>
          <w:sz w:val="24"/>
          <w:szCs w:val="24"/>
        </w:rPr>
        <w:t>Mathie</w:t>
      </w:r>
      <w:proofErr w:type="spellEnd"/>
      <w:r w:rsidR="005351D5" w:rsidRPr="005C19A7">
        <w:rPr>
          <w:rFonts w:ascii="Arial" w:eastAsia="Arial" w:hAnsi="Arial" w:cs="Arial"/>
          <w:i/>
          <w:color w:val="000000"/>
          <w:sz w:val="24"/>
          <w:szCs w:val="24"/>
        </w:rPr>
        <w:t xml:space="preserve"> v </w:t>
      </w:r>
      <w:proofErr w:type="spellStart"/>
      <w:r w:rsidR="005351D5" w:rsidRPr="005C19A7">
        <w:rPr>
          <w:rFonts w:ascii="Arial" w:eastAsia="Arial" w:hAnsi="Arial" w:cs="Arial"/>
          <w:i/>
          <w:color w:val="000000"/>
          <w:sz w:val="24"/>
          <w:szCs w:val="24"/>
        </w:rPr>
        <w:t>Ruijter</w:t>
      </w:r>
      <w:proofErr w:type="spellEnd"/>
      <w:r w:rsidR="005351D5" w:rsidRPr="005C19A7">
        <w:rPr>
          <w:rFonts w:ascii="Arial" w:eastAsia="Arial" w:hAnsi="Arial" w:cs="Arial"/>
          <w:i/>
          <w:color w:val="000000"/>
          <w:sz w:val="24"/>
          <w:szCs w:val="24"/>
        </w:rPr>
        <w:t xml:space="preserve"> Stevens Properties (Pty) Ltd </w:t>
      </w:r>
      <w:r w:rsidR="005351D5" w:rsidRPr="005C19A7">
        <w:rPr>
          <w:rFonts w:ascii="Arial" w:eastAsia="Arial" w:hAnsi="Arial" w:cs="Arial"/>
          <w:color w:val="000000"/>
          <w:sz w:val="24"/>
          <w:szCs w:val="24"/>
        </w:rPr>
        <w:t>(AR352/14) [2015] ZAKZPHC 30</w:t>
      </w:r>
      <w:r w:rsidR="005351D5" w:rsidRPr="005C19A7">
        <w:rPr>
          <w:rFonts w:ascii="Arial" w:eastAsia="Arial" w:hAnsi="Arial" w:cs="Arial"/>
          <w:i/>
          <w:color w:val="000000"/>
          <w:sz w:val="24"/>
          <w:szCs w:val="24"/>
        </w:rPr>
        <w:t>,</w:t>
      </w:r>
      <w:r w:rsidR="005351D5" w:rsidRPr="005C19A7">
        <w:rPr>
          <w:rFonts w:ascii="Arial" w:eastAsia="Arial" w:hAnsi="Arial" w:cs="Arial"/>
          <w:color w:val="000000"/>
          <w:sz w:val="24"/>
          <w:szCs w:val="24"/>
        </w:rPr>
        <w:t xml:space="preserve"> the court stated the following:</w:t>
      </w:r>
    </w:p>
    <w:p w:rsidR="00F659A6" w:rsidRPr="003C6306" w:rsidRDefault="005351D5" w:rsidP="00F659A6">
      <w:pPr>
        <w:widowControl w:val="0"/>
        <w:pBdr>
          <w:top w:val="nil"/>
          <w:left w:val="nil"/>
          <w:bottom w:val="nil"/>
          <w:right w:val="nil"/>
          <w:between w:val="nil"/>
        </w:pBdr>
        <w:spacing w:before="360" w:after="0" w:line="480" w:lineRule="auto"/>
        <w:ind w:left="1440"/>
        <w:jc w:val="both"/>
        <w:rPr>
          <w:rFonts w:ascii="Arial" w:eastAsia="Arial" w:hAnsi="Arial" w:cs="Arial"/>
          <w:i/>
          <w:color w:val="000000"/>
          <w:sz w:val="24"/>
          <w:szCs w:val="24"/>
        </w:rPr>
      </w:pPr>
      <w:r w:rsidRPr="003C6306">
        <w:rPr>
          <w:rFonts w:ascii="Arial" w:eastAsia="Arial" w:hAnsi="Arial" w:cs="Arial"/>
          <w:i/>
          <w:color w:val="000000"/>
          <w:sz w:val="24"/>
          <w:szCs w:val="24"/>
        </w:rPr>
        <w:t xml:space="preserve">“wilful default or gross negligence will often preclude a finding of good </w:t>
      </w:r>
      <w:r w:rsidRPr="003C6306">
        <w:rPr>
          <w:rFonts w:ascii="Arial" w:eastAsia="Arial" w:hAnsi="Arial" w:cs="Arial"/>
          <w:i/>
          <w:color w:val="000000"/>
          <w:sz w:val="24"/>
          <w:szCs w:val="24"/>
        </w:rPr>
        <w:lastRenderedPageBreak/>
        <w:t>cause</w:t>
      </w:r>
      <w:r w:rsidR="00394E92">
        <w:rPr>
          <w:rFonts w:ascii="Arial" w:eastAsia="Arial" w:hAnsi="Arial" w:cs="Arial"/>
          <w:i/>
          <w:color w:val="000000"/>
          <w:sz w:val="24"/>
          <w:szCs w:val="24"/>
        </w:rPr>
        <w:t>. Good cause</w:t>
      </w:r>
      <w:r w:rsidRPr="003C6306">
        <w:rPr>
          <w:rFonts w:ascii="Arial" w:eastAsia="Arial" w:hAnsi="Arial" w:cs="Arial"/>
          <w:i/>
          <w:color w:val="000000"/>
          <w:sz w:val="24"/>
          <w:szCs w:val="24"/>
        </w:rPr>
        <w:t xml:space="preserve"> also includes but is not limited to the existence of a substantial defence”</w:t>
      </w:r>
    </w:p>
    <w:p w:rsidR="005351D5" w:rsidRPr="00CA4AD3" w:rsidRDefault="005351D5" w:rsidP="00CA4AD3">
      <w:pPr>
        <w:pStyle w:val="ListParagraph"/>
        <w:widowControl w:val="0"/>
        <w:numPr>
          <w:ilvl w:val="0"/>
          <w:numId w:val="3"/>
        </w:numPr>
        <w:pBdr>
          <w:top w:val="nil"/>
          <w:left w:val="nil"/>
          <w:bottom w:val="nil"/>
          <w:right w:val="nil"/>
          <w:between w:val="nil"/>
        </w:pBdr>
        <w:spacing w:before="360" w:after="0" w:line="480" w:lineRule="auto"/>
        <w:jc w:val="both"/>
        <w:rPr>
          <w:rFonts w:ascii="Arial" w:eastAsia="Arial" w:hAnsi="Arial" w:cs="Arial"/>
          <w:color w:val="000000"/>
          <w:sz w:val="24"/>
          <w:szCs w:val="24"/>
        </w:rPr>
      </w:pPr>
      <w:r w:rsidRPr="00B677C3">
        <w:rPr>
          <w:rFonts w:ascii="Arial" w:eastAsia="Arial" w:hAnsi="Arial" w:cs="Arial"/>
          <w:color w:val="000000"/>
          <w:sz w:val="24"/>
          <w:szCs w:val="24"/>
        </w:rPr>
        <w:t xml:space="preserve">There are two aspects in the applicant’s case that this </w:t>
      </w:r>
      <w:r w:rsidR="00F659A6" w:rsidRPr="00B677C3">
        <w:rPr>
          <w:rFonts w:ascii="Arial" w:eastAsia="Arial" w:hAnsi="Arial" w:cs="Arial"/>
          <w:color w:val="000000"/>
          <w:sz w:val="24"/>
          <w:szCs w:val="24"/>
        </w:rPr>
        <w:t>principle aptly addresses, namely, the applicant had ostensibly relied on its decision not to pursue its claim against the respondent for the excuse or failure to attend court. This suggest a deliberate absence from the proceedings. In the second instance, the applicant raises no substantial defence to the respondent’s counterclaim,</w:t>
      </w:r>
      <w:r w:rsidR="008F472F" w:rsidRPr="00B677C3">
        <w:rPr>
          <w:rFonts w:ascii="Arial" w:eastAsia="Arial" w:hAnsi="Arial" w:cs="Arial"/>
          <w:color w:val="000000"/>
          <w:sz w:val="24"/>
          <w:szCs w:val="24"/>
        </w:rPr>
        <w:t xml:space="preserve"> save to query the</w:t>
      </w:r>
      <w:r w:rsidR="00F659A6" w:rsidRPr="00B677C3">
        <w:rPr>
          <w:rFonts w:ascii="Arial" w:eastAsia="Arial" w:hAnsi="Arial" w:cs="Arial"/>
          <w:color w:val="000000"/>
          <w:sz w:val="24"/>
          <w:szCs w:val="24"/>
        </w:rPr>
        <w:t xml:space="preserve"> basis of the calculations of the amount and an alleged failure by the respondent to deduct money that had already been paid. Essentially, there is no defence raised and the applicant had by its absence from court, deprived itself of an opportunity to counter the explanation by the respondent disproving the applicant’s queries.</w:t>
      </w:r>
      <w:r w:rsidR="00B677C3" w:rsidRPr="00B677C3">
        <w:rPr>
          <w:rFonts w:ascii="Arial" w:eastAsia="Arial" w:hAnsi="Arial" w:cs="Arial"/>
          <w:color w:val="000000"/>
          <w:sz w:val="24"/>
          <w:szCs w:val="24"/>
        </w:rPr>
        <w:t xml:space="preserve"> In any event, the respondent has sufficiently clarified and refuted the applicant’s allegations/query.</w:t>
      </w:r>
    </w:p>
    <w:p w:rsidR="00387402" w:rsidRPr="008C57C0" w:rsidRDefault="00D5284A" w:rsidP="00CA4AD3">
      <w:pPr>
        <w:widowControl w:val="0"/>
        <w:numPr>
          <w:ilvl w:val="0"/>
          <w:numId w:val="3"/>
        </w:numPr>
        <w:pBdr>
          <w:top w:val="nil"/>
          <w:left w:val="nil"/>
          <w:bottom w:val="nil"/>
          <w:right w:val="nil"/>
          <w:between w:val="nil"/>
        </w:pBdr>
        <w:spacing w:before="360" w:after="0" w:line="480" w:lineRule="auto"/>
        <w:jc w:val="both"/>
        <w:rPr>
          <w:i/>
        </w:rPr>
      </w:pPr>
      <w:r>
        <w:rPr>
          <w:rFonts w:ascii="Arial" w:eastAsia="Arial" w:hAnsi="Arial" w:cs="Arial"/>
          <w:color w:val="000000"/>
          <w:sz w:val="24"/>
          <w:szCs w:val="24"/>
        </w:rPr>
        <w:t xml:space="preserve">It is worth </w:t>
      </w:r>
      <w:r w:rsidR="00F335F9">
        <w:rPr>
          <w:rFonts w:ascii="Arial" w:eastAsia="Arial" w:hAnsi="Arial" w:cs="Arial"/>
          <w:color w:val="000000"/>
          <w:sz w:val="24"/>
          <w:szCs w:val="24"/>
        </w:rPr>
        <w:t>quoting the extensive obligations</w:t>
      </w:r>
      <w:r>
        <w:rPr>
          <w:rFonts w:ascii="Arial" w:eastAsia="Arial" w:hAnsi="Arial" w:cs="Arial"/>
          <w:color w:val="000000"/>
          <w:sz w:val="24"/>
          <w:szCs w:val="24"/>
        </w:rPr>
        <w:t xml:space="preserve"> of an applicant in a condonation application as aptly</w:t>
      </w:r>
      <w:r w:rsidR="008C57C0">
        <w:rPr>
          <w:rFonts w:ascii="Arial" w:eastAsia="Arial" w:hAnsi="Arial" w:cs="Arial"/>
          <w:color w:val="000000"/>
          <w:sz w:val="24"/>
          <w:szCs w:val="24"/>
        </w:rPr>
        <w:t xml:space="preserve"> stated</w:t>
      </w:r>
      <w:r>
        <w:rPr>
          <w:rFonts w:ascii="Arial" w:eastAsia="Arial" w:hAnsi="Arial" w:cs="Arial"/>
          <w:color w:val="000000"/>
          <w:sz w:val="24"/>
          <w:szCs w:val="24"/>
        </w:rPr>
        <w:t xml:space="preserve"> by </w:t>
      </w:r>
      <w:proofErr w:type="spellStart"/>
      <w:r w:rsidRPr="008C57C0">
        <w:rPr>
          <w:rFonts w:ascii="Arial" w:eastAsia="Arial" w:hAnsi="Arial" w:cs="Arial"/>
          <w:color w:val="000000"/>
          <w:sz w:val="24"/>
          <w:szCs w:val="24"/>
        </w:rPr>
        <w:t>Plewman</w:t>
      </w:r>
      <w:proofErr w:type="spellEnd"/>
      <w:r w:rsidRPr="008C57C0">
        <w:rPr>
          <w:rFonts w:ascii="Arial" w:eastAsia="Arial" w:hAnsi="Arial" w:cs="Arial"/>
          <w:color w:val="000000"/>
          <w:sz w:val="24"/>
          <w:szCs w:val="24"/>
        </w:rPr>
        <w:t xml:space="preserve"> AJ in </w:t>
      </w:r>
      <w:proofErr w:type="spellStart"/>
      <w:r w:rsidRPr="008C57C0">
        <w:rPr>
          <w:rFonts w:ascii="Arial" w:eastAsia="Arial" w:hAnsi="Arial" w:cs="Arial"/>
          <w:i/>
          <w:color w:val="000000"/>
          <w:sz w:val="24"/>
          <w:szCs w:val="24"/>
        </w:rPr>
        <w:t>Darries</w:t>
      </w:r>
      <w:proofErr w:type="spellEnd"/>
      <w:r w:rsidRPr="008C57C0">
        <w:rPr>
          <w:rFonts w:ascii="Arial" w:eastAsia="Arial" w:hAnsi="Arial" w:cs="Arial"/>
          <w:i/>
          <w:color w:val="000000"/>
          <w:sz w:val="24"/>
          <w:szCs w:val="24"/>
        </w:rPr>
        <w:t xml:space="preserve"> v Sheriff, Magistrate’s court, </w:t>
      </w:r>
      <w:proofErr w:type="spellStart"/>
      <w:r w:rsidRPr="008C57C0">
        <w:rPr>
          <w:rFonts w:ascii="Arial" w:eastAsia="Arial" w:hAnsi="Arial" w:cs="Arial"/>
          <w:i/>
          <w:color w:val="000000"/>
          <w:sz w:val="24"/>
          <w:szCs w:val="24"/>
        </w:rPr>
        <w:t>Wynberg</w:t>
      </w:r>
      <w:proofErr w:type="spellEnd"/>
      <w:r w:rsidRPr="008C57C0">
        <w:rPr>
          <w:rFonts w:ascii="Arial" w:eastAsia="Arial" w:hAnsi="Arial" w:cs="Arial"/>
          <w:i/>
          <w:color w:val="000000"/>
          <w:sz w:val="24"/>
          <w:szCs w:val="24"/>
        </w:rPr>
        <w:t xml:space="preserve"> and Another </w:t>
      </w:r>
      <w:r w:rsidRPr="008C57C0">
        <w:rPr>
          <w:rFonts w:ascii="Arial" w:eastAsia="Arial" w:hAnsi="Arial" w:cs="Arial"/>
          <w:color w:val="000000"/>
          <w:sz w:val="24"/>
          <w:szCs w:val="24"/>
        </w:rPr>
        <w:t>1998 (3) SA 35 SCA:</w:t>
      </w:r>
    </w:p>
    <w:p w:rsidR="00D5284A" w:rsidRPr="00D44E04" w:rsidRDefault="004975A2" w:rsidP="00D44E04">
      <w:pPr>
        <w:widowControl w:val="0"/>
        <w:pBdr>
          <w:top w:val="nil"/>
          <w:left w:val="nil"/>
          <w:bottom w:val="nil"/>
          <w:right w:val="nil"/>
          <w:between w:val="nil"/>
        </w:pBdr>
        <w:spacing w:before="360" w:after="0" w:line="480" w:lineRule="auto"/>
        <w:ind w:left="1440"/>
        <w:jc w:val="both"/>
        <w:rPr>
          <w:rFonts w:ascii="Arial" w:hAnsi="Arial" w:cs="Arial"/>
          <w:i/>
          <w:sz w:val="24"/>
          <w:szCs w:val="24"/>
        </w:rPr>
      </w:pPr>
      <w:r w:rsidRPr="00443D57">
        <w:rPr>
          <w:rFonts w:ascii="Arial" w:eastAsia="Arial" w:hAnsi="Arial" w:cs="Arial"/>
          <w:i/>
          <w:color w:val="000000"/>
          <w:sz w:val="24"/>
          <w:szCs w:val="24"/>
        </w:rPr>
        <w:t>"I will content myself with referring, for present purposes, only to factors</w:t>
      </w:r>
      <w:r w:rsidR="00443D57" w:rsidRPr="00443D57">
        <w:rPr>
          <w:rFonts w:ascii="Arial" w:eastAsia="Arial" w:hAnsi="Arial" w:cs="Arial"/>
          <w:i/>
          <w:color w:val="000000"/>
          <w:sz w:val="24"/>
          <w:szCs w:val="24"/>
        </w:rPr>
        <w:t xml:space="preserve"> </w:t>
      </w:r>
      <w:r w:rsidRPr="00443D57">
        <w:rPr>
          <w:rFonts w:ascii="Arial" w:eastAsia="Arial" w:hAnsi="Arial" w:cs="Arial"/>
          <w:i/>
          <w:color w:val="000000"/>
          <w:sz w:val="24"/>
          <w:szCs w:val="24"/>
        </w:rPr>
        <w:t>which the circumstances of this case suggest should be repeated.</w:t>
      </w:r>
      <w:r w:rsidR="00443D57" w:rsidRPr="00443D57">
        <w:rPr>
          <w:rFonts w:ascii="Arial" w:eastAsia="Arial" w:hAnsi="Arial" w:cs="Arial"/>
          <w:i/>
          <w:color w:val="000000"/>
          <w:sz w:val="24"/>
          <w:szCs w:val="24"/>
        </w:rPr>
        <w:t xml:space="preserve"> </w:t>
      </w:r>
      <w:r w:rsidRPr="00443D57">
        <w:rPr>
          <w:rFonts w:ascii="Arial" w:eastAsia="Arial" w:hAnsi="Arial" w:cs="Arial"/>
          <w:i/>
          <w:color w:val="000000"/>
          <w:sz w:val="24"/>
          <w:szCs w:val="24"/>
        </w:rPr>
        <w:t>Condonation of the non-observance of the Rules of this Court is not a mere</w:t>
      </w:r>
      <w:r w:rsidR="00443D57" w:rsidRPr="00443D57">
        <w:rPr>
          <w:rFonts w:ascii="Arial" w:eastAsia="Arial" w:hAnsi="Arial" w:cs="Arial"/>
          <w:i/>
          <w:color w:val="000000"/>
          <w:sz w:val="24"/>
          <w:szCs w:val="24"/>
        </w:rPr>
        <w:t xml:space="preserve"> </w:t>
      </w:r>
      <w:r w:rsidRPr="00443D57">
        <w:rPr>
          <w:rFonts w:ascii="Arial" w:eastAsia="Arial" w:hAnsi="Arial" w:cs="Arial"/>
          <w:i/>
          <w:color w:val="000000"/>
          <w:sz w:val="24"/>
          <w:szCs w:val="24"/>
        </w:rPr>
        <w:t xml:space="preserve">formality (see </w:t>
      </w:r>
      <w:proofErr w:type="spellStart"/>
      <w:r w:rsidRPr="00443D57">
        <w:rPr>
          <w:rFonts w:ascii="Arial" w:eastAsia="Arial" w:hAnsi="Arial" w:cs="Arial"/>
          <w:i/>
          <w:color w:val="000000"/>
          <w:sz w:val="24"/>
          <w:szCs w:val="24"/>
        </w:rPr>
        <w:t>Meintjies</w:t>
      </w:r>
      <w:proofErr w:type="spellEnd"/>
      <w:r w:rsidR="00443D57" w:rsidRPr="00443D57">
        <w:rPr>
          <w:rFonts w:ascii="Arial" w:eastAsia="Arial" w:hAnsi="Arial" w:cs="Arial"/>
          <w:i/>
          <w:color w:val="000000"/>
          <w:sz w:val="24"/>
          <w:szCs w:val="24"/>
        </w:rPr>
        <w:t xml:space="preserve"> </w:t>
      </w:r>
      <w:r w:rsidRPr="00443D57">
        <w:rPr>
          <w:rFonts w:ascii="Arial" w:eastAsia="Arial" w:hAnsi="Arial" w:cs="Arial"/>
          <w:i/>
          <w:color w:val="000000"/>
          <w:sz w:val="24"/>
          <w:szCs w:val="24"/>
        </w:rPr>
        <w:t xml:space="preserve">v H 0 </w:t>
      </w:r>
      <w:proofErr w:type="spellStart"/>
      <w:r w:rsidRPr="00443D57">
        <w:rPr>
          <w:rFonts w:ascii="Arial" w:eastAsia="Arial" w:hAnsi="Arial" w:cs="Arial"/>
          <w:i/>
          <w:color w:val="000000"/>
          <w:sz w:val="24"/>
          <w:szCs w:val="24"/>
        </w:rPr>
        <w:t>Combr</w:t>
      </w:r>
      <w:r w:rsidR="00443D57" w:rsidRPr="00443D57">
        <w:rPr>
          <w:rFonts w:ascii="Arial" w:eastAsia="Arial" w:hAnsi="Arial" w:cs="Arial"/>
          <w:i/>
          <w:color w:val="000000"/>
          <w:sz w:val="24"/>
          <w:szCs w:val="24"/>
        </w:rPr>
        <w:t>inck</w:t>
      </w:r>
      <w:proofErr w:type="spellEnd"/>
      <w:r w:rsidR="00443D57" w:rsidRPr="00443D57">
        <w:rPr>
          <w:rFonts w:ascii="Arial" w:eastAsia="Arial" w:hAnsi="Arial" w:cs="Arial"/>
          <w:i/>
          <w:color w:val="000000"/>
          <w:sz w:val="24"/>
          <w:szCs w:val="24"/>
        </w:rPr>
        <w:t xml:space="preserve"> (</w:t>
      </w:r>
      <w:proofErr w:type="spellStart"/>
      <w:r w:rsidR="00443D57" w:rsidRPr="00443D57">
        <w:rPr>
          <w:rFonts w:ascii="Arial" w:eastAsia="Arial" w:hAnsi="Arial" w:cs="Arial"/>
          <w:i/>
          <w:color w:val="000000"/>
          <w:sz w:val="24"/>
          <w:szCs w:val="24"/>
        </w:rPr>
        <w:t>Edms</w:t>
      </w:r>
      <w:proofErr w:type="spellEnd"/>
      <w:r w:rsidR="00443D57" w:rsidRPr="00443D57">
        <w:rPr>
          <w:rFonts w:ascii="Arial" w:eastAsia="Arial" w:hAnsi="Arial" w:cs="Arial"/>
          <w:i/>
          <w:color w:val="000000"/>
          <w:sz w:val="24"/>
          <w:szCs w:val="24"/>
        </w:rPr>
        <w:t xml:space="preserve">) </w:t>
      </w:r>
      <w:proofErr w:type="spellStart"/>
      <w:r w:rsidR="00443D57" w:rsidRPr="00443D57">
        <w:rPr>
          <w:rFonts w:ascii="Arial" w:eastAsia="Arial" w:hAnsi="Arial" w:cs="Arial"/>
          <w:i/>
          <w:color w:val="000000"/>
          <w:sz w:val="24"/>
          <w:szCs w:val="24"/>
        </w:rPr>
        <w:t>Bpk</w:t>
      </w:r>
      <w:proofErr w:type="spellEnd"/>
      <w:r w:rsidR="00443D57" w:rsidRPr="00443D57">
        <w:rPr>
          <w:rFonts w:ascii="Arial" w:eastAsia="Arial" w:hAnsi="Arial" w:cs="Arial"/>
          <w:i/>
          <w:color w:val="000000"/>
          <w:sz w:val="24"/>
          <w:szCs w:val="24"/>
        </w:rPr>
        <w:t xml:space="preserve"> 1961 (1) SA 262 </w:t>
      </w:r>
      <w:r w:rsidRPr="00443D57">
        <w:rPr>
          <w:rFonts w:ascii="Arial" w:eastAsia="Arial" w:hAnsi="Arial" w:cs="Arial"/>
          <w:i/>
          <w:color w:val="000000"/>
          <w:sz w:val="24"/>
          <w:szCs w:val="24"/>
        </w:rPr>
        <w:t xml:space="preserve">(A) at 263H--264B; </w:t>
      </w:r>
      <w:proofErr w:type="spellStart"/>
      <w:r w:rsidRPr="00443D57">
        <w:rPr>
          <w:rFonts w:ascii="Arial" w:eastAsia="Arial" w:hAnsi="Arial" w:cs="Arial"/>
          <w:i/>
          <w:color w:val="000000"/>
          <w:sz w:val="24"/>
          <w:szCs w:val="24"/>
        </w:rPr>
        <w:t>Salooje</w:t>
      </w:r>
      <w:r w:rsidR="00443D57" w:rsidRPr="00443D57">
        <w:rPr>
          <w:rFonts w:ascii="Arial" w:eastAsia="Arial" w:hAnsi="Arial" w:cs="Arial"/>
          <w:i/>
          <w:color w:val="000000"/>
          <w:sz w:val="24"/>
          <w:szCs w:val="24"/>
        </w:rPr>
        <w:t>e</w:t>
      </w:r>
      <w:proofErr w:type="spellEnd"/>
      <w:r w:rsidR="00443D57" w:rsidRPr="00443D57">
        <w:rPr>
          <w:rFonts w:ascii="Arial" w:eastAsia="Arial" w:hAnsi="Arial" w:cs="Arial"/>
          <w:i/>
          <w:color w:val="000000"/>
          <w:sz w:val="24"/>
          <w:szCs w:val="24"/>
        </w:rPr>
        <w:t xml:space="preserve"> and Another NNO v Minister of </w:t>
      </w:r>
      <w:r w:rsidRPr="00443D57">
        <w:rPr>
          <w:rFonts w:ascii="Arial" w:eastAsia="Arial" w:hAnsi="Arial" w:cs="Arial"/>
          <w:i/>
          <w:color w:val="000000"/>
          <w:sz w:val="24"/>
          <w:szCs w:val="24"/>
        </w:rPr>
        <w:t>Community Development 1965 (2) SA 135 (A) at 138E--F). In all cases</w:t>
      </w:r>
      <w:r w:rsidR="00443D57" w:rsidRPr="00443D57">
        <w:rPr>
          <w:rFonts w:ascii="Arial" w:eastAsia="Arial" w:hAnsi="Arial" w:cs="Arial"/>
          <w:i/>
          <w:color w:val="000000"/>
          <w:sz w:val="24"/>
          <w:szCs w:val="24"/>
        </w:rPr>
        <w:t xml:space="preserve"> </w:t>
      </w:r>
      <w:r w:rsidRPr="00443D57">
        <w:rPr>
          <w:rFonts w:ascii="Arial" w:hAnsi="Arial" w:cs="Arial"/>
          <w:i/>
          <w:sz w:val="24"/>
          <w:szCs w:val="24"/>
        </w:rPr>
        <w:t xml:space="preserve">some acceptable explanation, not only of, for example, the delay in </w:t>
      </w:r>
      <w:r w:rsidRPr="00443D57">
        <w:rPr>
          <w:rFonts w:ascii="Arial" w:hAnsi="Arial" w:cs="Arial"/>
          <w:i/>
          <w:sz w:val="24"/>
          <w:szCs w:val="24"/>
        </w:rPr>
        <w:lastRenderedPageBreak/>
        <w:t xml:space="preserve">noting an appeal, but also, where this is the case, any delay in seeking condonation, must be given. An appellant should whenever he realises that he has not complied with a Rule of Court apply for condonation as soon as possible. See Commissioner for Inland Revenue v Burger1956 (4) SA 446 (A) at 449F--H; </w:t>
      </w:r>
      <w:proofErr w:type="spellStart"/>
      <w:r w:rsidRPr="00443D57">
        <w:rPr>
          <w:rFonts w:ascii="Arial" w:hAnsi="Arial" w:cs="Arial"/>
          <w:i/>
          <w:sz w:val="24"/>
          <w:szCs w:val="24"/>
        </w:rPr>
        <w:t>Meintjies's</w:t>
      </w:r>
      <w:proofErr w:type="spellEnd"/>
      <w:r w:rsidRPr="00443D57">
        <w:rPr>
          <w:rFonts w:ascii="Arial" w:hAnsi="Arial" w:cs="Arial"/>
          <w:i/>
          <w:sz w:val="24"/>
          <w:szCs w:val="24"/>
        </w:rPr>
        <w:t xml:space="preserve"> case supra at 2648; </w:t>
      </w:r>
      <w:proofErr w:type="spellStart"/>
      <w:r w:rsidRPr="00443D57">
        <w:rPr>
          <w:rFonts w:ascii="Arial" w:hAnsi="Arial" w:cs="Arial"/>
          <w:i/>
          <w:sz w:val="24"/>
          <w:szCs w:val="24"/>
        </w:rPr>
        <w:t>Saloojee's</w:t>
      </w:r>
      <w:proofErr w:type="spellEnd"/>
      <w:r w:rsidRPr="00443D57">
        <w:rPr>
          <w:rFonts w:ascii="Arial" w:hAnsi="Arial" w:cs="Arial"/>
          <w:i/>
          <w:sz w:val="24"/>
          <w:szCs w:val="24"/>
        </w:rPr>
        <w:t xml:space="preserve"> case supra at 138H. Nor should it simply be assumed that, where noncompliance was due entirely to the neglect of the appellant's attorney, condonation will be granted. See </w:t>
      </w:r>
      <w:proofErr w:type="spellStart"/>
      <w:r w:rsidRPr="00443D57">
        <w:rPr>
          <w:rFonts w:ascii="Arial" w:hAnsi="Arial" w:cs="Arial"/>
          <w:i/>
          <w:sz w:val="24"/>
          <w:szCs w:val="24"/>
        </w:rPr>
        <w:t>Saloojee's</w:t>
      </w:r>
      <w:proofErr w:type="spellEnd"/>
      <w:r w:rsidRPr="00443D57">
        <w:rPr>
          <w:rFonts w:ascii="Arial" w:hAnsi="Arial" w:cs="Arial"/>
          <w:i/>
          <w:sz w:val="24"/>
          <w:szCs w:val="24"/>
        </w:rPr>
        <w:t xml:space="preserve"> case supra at 141B--G. In applications of this sort the appellant's prospects of success are in general an important though not decisive consideration. When application is made for condonation it is advisable that the petition should set forth briefly and succinctly such essential information as may enable the Court to assess the appellant's prospects of success. See </w:t>
      </w:r>
      <w:proofErr w:type="spellStart"/>
      <w:r w:rsidRPr="00443D57">
        <w:rPr>
          <w:rFonts w:ascii="Arial" w:hAnsi="Arial" w:cs="Arial"/>
          <w:i/>
          <w:sz w:val="24"/>
          <w:szCs w:val="24"/>
        </w:rPr>
        <w:t>Meintjies's</w:t>
      </w:r>
      <w:proofErr w:type="spellEnd"/>
      <w:r w:rsidRPr="00443D57">
        <w:rPr>
          <w:rFonts w:ascii="Arial" w:hAnsi="Arial" w:cs="Arial"/>
          <w:i/>
          <w:sz w:val="24"/>
          <w:szCs w:val="24"/>
        </w:rPr>
        <w:t xml:space="preserve"> case supra at 26</w:t>
      </w:r>
      <w:r w:rsidR="00A0730C">
        <w:rPr>
          <w:rFonts w:ascii="Arial" w:hAnsi="Arial" w:cs="Arial"/>
          <w:i/>
          <w:sz w:val="24"/>
          <w:szCs w:val="24"/>
        </w:rPr>
        <w:t xml:space="preserve">5C-- E; Rennie v </w:t>
      </w:r>
      <w:proofErr w:type="spellStart"/>
      <w:r w:rsidR="00A0730C">
        <w:rPr>
          <w:rFonts w:ascii="Arial" w:hAnsi="Arial" w:cs="Arial"/>
          <w:i/>
          <w:sz w:val="24"/>
          <w:szCs w:val="24"/>
        </w:rPr>
        <w:t>Kamby</w:t>
      </w:r>
      <w:proofErr w:type="spellEnd"/>
      <w:r w:rsidR="00A0730C">
        <w:rPr>
          <w:rFonts w:ascii="Arial" w:hAnsi="Arial" w:cs="Arial"/>
          <w:i/>
          <w:sz w:val="24"/>
          <w:szCs w:val="24"/>
        </w:rPr>
        <w:t xml:space="preserve"> Farms (Pt</w:t>
      </w:r>
      <w:r w:rsidRPr="00443D57">
        <w:rPr>
          <w:rFonts w:ascii="Arial" w:hAnsi="Arial" w:cs="Arial"/>
          <w:i/>
          <w:sz w:val="24"/>
          <w:szCs w:val="24"/>
        </w:rPr>
        <w:t xml:space="preserve">y) Ltd1989 (2) SA 124 (A) at 131E-F; </w:t>
      </w:r>
      <w:proofErr w:type="spellStart"/>
      <w:r w:rsidRPr="00443D57">
        <w:rPr>
          <w:rFonts w:ascii="Arial" w:hAnsi="Arial" w:cs="Arial"/>
          <w:i/>
          <w:sz w:val="24"/>
          <w:szCs w:val="24"/>
        </w:rPr>
        <w:t>Moraliswani</w:t>
      </w:r>
      <w:proofErr w:type="spellEnd"/>
      <w:r w:rsidRPr="00443D57">
        <w:rPr>
          <w:rFonts w:ascii="Arial" w:hAnsi="Arial" w:cs="Arial"/>
          <w:i/>
          <w:sz w:val="24"/>
          <w:szCs w:val="24"/>
        </w:rPr>
        <w:t xml:space="preserve"> v Mamili1989 (4) SA 1 (A) at 10E. But appellant's prospect of success is but one of the factors relevant to the exercise of the Court's discretion, unless the cumulative effect of the other relevant factors in the case is such as to render the application for condonation obviously unworthy of consideration. Where non- observance of the Rules has been flagrant and gross an application for condonation should not be granted, whatever the prospects of success might be. See Ferreira v Ntshingila1990 (4) SA 271 (A) at 281J--282A; </w:t>
      </w:r>
      <w:proofErr w:type="spellStart"/>
      <w:r w:rsidRPr="00443D57">
        <w:rPr>
          <w:rFonts w:ascii="Arial" w:hAnsi="Arial" w:cs="Arial"/>
          <w:i/>
          <w:sz w:val="24"/>
          <w:szCs w:val="24"/>
        </w:rPr>
        <w:t>Moraliswani</w:t>
      </w:r>
      <w:proofErr w:type="spellEnd"/>
      <w:r w:rsidRPr="00443D57">
        <w:rPr>
          <w:rFonts w:ascii="Arial" w:hAnsi="Arial" w:cs="Arial"/>
          <w:i/>
          <w:sz w:val="24"/>
          <w:szCs w:val="24"/>
        </w:rPr>
        <w:t xml:space="preserve"> v </w:t>
      </w:r>
      <w:proofErr w:type="spellStart"/>
      <w:r w:rsidRPr="00443D57">
        <w:rPr>
          <w:rFonts w:ascii="Arial" w:hAnsi="Arial" w:cs="Arial"/>
          <w:i/>
          <w:sz w:val="24"/>
          <w:szCs w:val="24"/>
        </w:rPr>
        <w:t>Mamili</w:t>
      </w:r>
      <w:proofErr w:type="spellEnd"/>
      <w:r w:rsidRPr="00443D57">
        <w:rPr>
          <w:rFonts w:ascii="Arial" w:hAnsi="Arial" w:cs="Arial"/>
          <w:i/>
          <w:sz w:val="24"/>
          <w:szCs w:val="24"/>
        </w:rPr>
        <w:t xml:space="preserve"> (supra a</w:t>
      </w:r>
      <w:r w:rsidR="00A0730C">
        <w:rPr>
          <w:rFonts w:ascii="Arial" w:hAnsi="Arial" w:cs="Arial"/>
          <w:i/>
          <w:sz w:val="24"/>
          <w:szCs w:val="24"/>
        </w:rPr>
        <w:t xml:space="preserve">t 10F); Rennie v </w:t>
      </w:r>
      <w:proofErr w:type="spellStart"/>
      <w:r w:rsidR="00A0730C">
        <w:rPr>
          <w:rFonts w:ascii="Arial" w:hAnsi="Arial" w:cs="Arial"/>
          <w:i/>
          <w:sz w:val="24"/>
          <w:szCs w:val="24"/>
        </w:rPr>
        <w:t>Kamby</w:t>
      </w:r>
      <w:proofErr w:type="spellEnd"/>
      <w:r w:rsidR="00A0730C">
        <w:rPr>
          <w:rFonts w:ascii="Arial" w:hAnsi="Arial" w:cs="Arial"/>
          <w:i/>
          <w:sz w:val="24"/>
          <w:szCs w:val="24"/>
        </w:rPr>
        <w:t xml:space="preserve"> Farms (Pt</w:t>
      </w:r>
      <w:r w:rsidRPr="00443D57">
        <w:rPr>
          <w:rFonts w:ascii="Arial" w:hAnsi="Arial" w:cs="Arial"/>
          <w:i/>
          <w:sz w:val="24"/>
          <w:szCs w:val="24"/>
        </w:rPr>
        <w:t xml:space="preserve">y) Ltd (supra at 131H); Blumenthal and Another v Thomson NO and Another1994 (2) SA 118 (A) at 1211-- 122B." </w:t>
      </w:r>
    </w:p>
    <w:p w:rsidR="00387402" w:rsidRPr="00B42446" w:rsidRDefault="00D5284A"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lastRenderedPageBreak/>
        <w:t>Stemming from this outlay of the law, it is inescapable to conclude, bearing in</w:t>
      </w:r>
      <w:r w:rsidR="003451CF">
        <w:rPr>
          <w:rFonts w:ascii="Arial" w:eastAsia="Arial" w:hAnsi="Arial" w:cs="Arial"/>
          <w:color w:val="000000"/>
          <w:sz w:val="24"/>
          <w:szCs w:val="24"/>
        </w:rPr>
        <w:t xml:space="preserve"> mind</w:t>
      </w:r>
      <w:r>
        <w:rPr>
          <w:rFonts w:ascii="Arial" w:eastAsia="Arial" w:hAnsi="Arial" w:cs="Arial"/>
          <w:color w:val="000000"/>
          <w:sz w:val="24"/>
          <w:szCs w:val="24"/>
        </w:rPr>
        <w:t xml:space="preserve"> the facts of this case, that the applicant proves wanting in every step of the way to an entitlement to an order</w:t>
      </w:r>
      <w:r w:rsidR="003451CF">
        <w:rPr>
          <w:rFonts w:ascii="Arial" w:eastAsia="Arial" w:hAnsi="Arial" w:cs="Arial"/>
          <w:color w:val="000000"/>
          <w:sz w:val="24"/>
          <w:szCs w:val="24"/>
        </w:rPr>
        <w:t>,</w:t>
      </w:r>
      <w:r>
        <w:rPr>
          <w:rFonts w:ascii="Arial" w:eastAsia="Arial" w:hAnsi="Arial" w:cs="Arial"/>
          <w:color w:val="000000"/>
          <w:sz w:val="24"/>
          <w:szCs w:val="24"/>
        </w:rPr>
        <w:t xml:space="preserve"> not only condoning the late filing of its application for the rescission sought, but that of the rescission itself. Not even the court, using its discretionary powers, could come to the aid of the</w:t>
      </w:r>
      <w:r w:rsidR="003451CF">
        <w:rPr>
          <w:rFonts w:ascii="Arial" w:eastAsia="Arial" w:hAnsi="Arial" w:cs="Arial"/>
          <w:color w:val="000000"/>
          <w:sz w:val="24"/>
          <w:szCs w:val="24"/>
        </w:rPr>
        <w:t xml:space="preserve"> applicant in this state of hopelessness of its</w:t>
      </w:r>
      <w:r>
        <w:rPr>
          <w:rFonts w:ascii="Arial" w:eastAsia="Arial" w:hAnsi="Arial" w:cs="Arial"/>
          <w:color w:val="000000"/>
          <w:sz w:val="24"/>
          <w:szCs w:val="24"/>
        </w:rPr>
        <w:t xml:space="preserve"> case</w:t>
      </w:r>
      <w:r w:rsidR="00CA6A3A">
        <w:rPr>
          <w:rFonts w:ascii="Arial" w:eastAsia="Arial" w:hAnsi="Arial" w:cs="Arial"/>
          <w:color w:val="000000"/>
          <w:sz w:val="24"/>
          <w:szCs w:val="24"/>
        </w:rPr>
        <w:t xml:space="preserve">. The discretion of the court has to be </w:t>
      </w:r>
      <w:r w:rsidR="00B42446">
        <w:rPr>
          <w:rFonts w:ascii="Arial" w:eastAsia="Arial" w:hAnsi="Arial" w:cs="Arial"/>
          <w:color w:val="000000"/>
          <w:sz w:val="24"/>
          <w:szCs w:val="24"/>
        </w:rPr>
        <w:t>exercised</w:t>
      </w:r>
      <w:r w:rsidR="00CA6A3A">
        <w:rPr>
          <w:rFonts w:ascii="Arial" w:eastAsia="Arial" w:hAnsi="Arial" w:cs="Arial"/>
          <w:color w:val="000000"/>
          <w:sz w:val="24"/>
          <w:szCs w:val="24"/>
        </w:rPr>
        <w:t xml:space="preserve"> judicially</w:t>
      </w:r>
      <w:r w:rsidR="00B42446">
        <w:rPr>
          <w:rFonts w:ascii="Arial" w:eastAsia="Arial" w:hAnsi="Arial" w:cs="Arial"/>
          <w:color w:val="000000"/>
          <w:sz w:val="24"/>
          <w:szCs w:val="24"/>
        </w:rPr>
        <w:t xml:space="preserve"> with all the relevant circumstances and facts of the case considered [see </w:t>
      </w:r>
      <w:proofErr w:type="spellStart"/>
      <w:r w:rsidR="00B42446" w:rsidRPr="003451CF">
        <w:rPr>
          <w:rFonts w:ascii="Arial" w:eastAsia="Arial" w:hAnsi="Arial" w:cs="Arial"/>
          <w:i/>
          <w:color w:val="000000"/>
          <w:sz w:val="24"/>
          <w:szCs w:val="24"/>
        </w:rPr>
        <w:t>Federeted</w:t>
      </w:r>
      <w:proofErr w:type="spellEnd"/>
      <w:r w:rsidR="00B42446" w:rsidRPr="003451CF">
        <w:rPr>
          <w:rFonts w:ascii="Arial" w:eastAsia="Arial" w:hAnsi="Arial" w:cs="Arial"/>
          <w:i/>
          <w:color w:val="000000"/>
          <w:sz w:val="24"/>
          <w:szCs w:val="24"/>
        </w:rPr>
        <w:t xml:space="preserve"> Employers Fire and General Insurance Co Ltd v McKenzie </w:t>
      </w:r>
      <w:r w:rsidR="00B42446" w:rsidRPr="003451CF">
        <w:rPr>
          <w:rFonts w:ascii="Arial" w:eastAsia="Arial" w:hAnsi="Arial" w:cs="Arial"/>
          <w:color w:val="000000"/>
          <w:sz w:val="24"/>
          <w:szCs w:val="24"/>
        </w:rPr>
        <w:t>1969 (3) SA 360 (A).</w:t>
      </w:r>
    </w:p>
    <w:p w:rsidR="00B42446" w:rsidRPr="001E0044" w:rsidRDefault="00B42446"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I fail to understand the</w:t>
      </w:r>
      <w:r w:rsidR="00C023E4">
        <w:rPr>
          <w:rFonts w:ascii="Arial" w:eastAsia="Arial" w:hAnsi="Arial" w:cs="Arial"/>
          <w:color w:val="000000"/>
          <w:sz w:val="24"/>
          <w:szCs w:val="24"/>
        </w:rPr>
        <w:t xml:space="preserve"> basis of the</w:t>
      </w:r>
      <w:r>
        <w:rPr>
          <w:rFonts w:ascii="Arial" w:eastAsia="Arial" w:hAnsi="Arial" w:cs="Arial"/>
          <w:color w:val="000000"/>
          <w:sz w:val="24"/>
          <w:szCs w:val="24"/>
        </w:rPr>
        <w:t xml:space="preserve"> applicant’s contention in paragraph 2 of the founding affidavit in part B that the default judgement was sought and granted erroneously-this without any substantiation of the alleged error. The purported basis</w:t>
      </w:r>
      <w:r w:rsidR="001E0044">
        <w:rPr>
          <w:rFonts w:ascii="Arial" w:eastAsia="Arial" w:hAnsi="Arial" w:cs="Arial"/>
          <w:color w:val="000000"/>
          <w:sz w:val="24"/>
          <w:szCs w:val="24"/>
        </w:rPr>
        <w:t xml:space="preserve"> for this contention are the provisions of rule 42(1) in terms of which a court may </w:t>
      </w:r>
      <w:proofErr w:type="spellStart"/>
      <w:r w:rsidR="001E0044">
        <w:rPr>
          <w:rFonts w:ascii="Arial" w:eastAsia="Arial" w:hAnsi="Arial" w:cs="Arial"/>
          <w:color w:val="000000"/>
          <w:sz w:val="24"/>
          <w:szCs w:val="24"/>
        </w:rPr>
        <w:t>mero</w:t>
      </w:r>
      <w:proofErr w:type="spellEnd"/>
      <w:r w:rsidR="001E0044">
        <w:rPr>
          <w:rFonts w:ascii="Arial" w:eastAsia="Arial" w:hAnsi="Arial" w:cs="Arial"/>
          <w:color w:val="000000"/>
          <w:sz w:val="24"/>
          <w:szCs w:val="24"/>
        </w:rPr>
        <w:t xml:space="preserve"> </w:t>
      </w:r>
      <w:proofErr w:type="spellStart"/>
      <w:r w:rsidR="001E0044">
        <w:rPr>
          <w:rFonts w:ascii="Arial" w:eastAsia="Arial" w:hAnsi="Arial" w:cs="Arial"/>
          <w:color w:val="000000"/>
          <w:sz w:val="24"/>
          <w:szCs w:val="24"/>
        </w:rPr>
        <w:t>muto</w:t>
      </w:r>
      <w:proofErr w:type="spellEnd"/>
      <w:r w:rsidR="001E0044">
        <w:rPr>
          <w:rFonts w:ascii="Arial" w:eastAsia="Arial" w:hAnsi="Arial" w:cs="Arial"/>
          <w:color w:val="000000"/>
          <w:sz w:val="24"/>
          <w:szCs w:val="24"/>
        </w:rPr>
        <w:t xml:space="preserve"> or on application, rescind or vary:</w:t>
      </w:r>
    </w:p>
    <w:p w:rsidR="001E0044" w:rsidRPr="001A3EBA" w:rsidRDefault="000100D4" w:rsidP="001E0044">
      <w:pPr>
        <w:pStyle w:val="ListParagraph"/>
        <w:widowControl w:val="0"/>
        <w:numPr>
          <w:ilvl w:val="0"/>
          <w:numId w:val="5"/>
        </w:numPr>
        <w:pBdr>
          <w:top w:val="nil"/>
          <w:left w:val="nil"/>
          <w:bottom w:val="nil"/>
          <w:right w:val="nil"/>
          <w:between w:val="nil"/>
        </w:pBdr>
        <w:spacing w:before="360" w:after="0" w:line="480" w:lineRule="auto"/>
        <w:jc w:val="both"/>
        <w:rPr>
          <w:rFonts w:ascii="Arial" w:hAnsi="Arial" w:cs="Arial"/>
          <w:i/>
          <w:sz w:val="24"/>
          <w:szCs w:val="24"/>
        </w:rPr>
      </w:pPr>
      <w:r w:rsidRPr="001A3EBA">
        <w:rPr>
          <w:rFonts w:ascii="Arial" w:hAnsi="Arial" w:cs="Arial"/>
          <w:i/>
          <w:sz w:val="24"/>
          <w:szCs w:val="24"/>
        </w:rPr>
        <w:t>“</w:t>
      </w:r>
      <w:r w:rsidR="001E0044" w:rsidRPr="001A3EBA">
        <w:rPr>
          <w:rFonts w:ascii="Arial" w:hAnsi="Arial" w:cs="Arial"/>
          <w:i/>
          <w:sz w:val="24"/>
          <w:szCs w:val="24"/>
        </w:rPr>
        <w:t xml:space="preserve">An order or judgement erroneously sought or erroneously granted in the absence of any party affected </w:t>
      </w:r>
      <w:r w:rsidRPr="001A3EBA">
        <w:rPr>
          <w:rFonts w:ascii="Arial" w:hAnsi="Arial" w:cs="Arial"/>
          <w:i/>
          <w:sz w:val="24"/>
          <w:szCs w:val="24"/>
        </w:rPr>
        <w:t>thereby</w:t>
      </w:r>
      <w:r w:rsidR="001E0044" w:rsidRPr="001A3EBA">
        <w:rPr>
          <w:rFonts w:ascii="Arial" w:hAnsi="Arial" w:cs="Arial"/>
          <w:i/>
          <w:sz w:val="24"/>
          <w:szCs w:val="24"/>
        </w:rPr>
        <w:t>;</w:t>
      </w:r>
    </w:p>
    <w:p w:rsidR="001E0044" w:rsidRPr="001A3EBA" w:rsidRDefault="001E0044" w:rsidP="001E0044">
      <w:pPr>
        <w:pStyle w:val="ListParagraph"/>
        <w:widowControl w:val="0"/>
        <w:numPr>
          <w:ilvl w:val="0"/>
          <w:numId w:val="5"/>
        </w:numPr>
        <w:pBdr>
          <w:top w:val="nil"/>
          <w:left w:val="nil"/>
          <w:bottom w:val="nil"/>
          <w:right w:val="nil"/>
          <w:between w:val="nil"/>
        </w:pBdr>
        <w:spacing w:before="360" w:after="0" w:line="480" w:lineRule="auto"/>
        <w:jc w:val="both"/>
        <w:rPr>
          <w:rFonts w:ascii="Arial" w:hAnsi="Arial" w:cs="Arial"/>
          <w:i/>
          <w:sz w:val="24"/>
          <w:szCs w:val="24"/>
        </w:rPr>
      </w:pPr>
      <w:r w:rsidRPr="001A3EBA">
        <w:rPr>
          <w:rFonts w:ascii="Arial" w:hAnsi="Arial" w:cs="Arial"/>
          <w:i/>
          <w:sz w:val="24"/>
          <w:szCs w:val="24"/>
        </w:rPr>
        <w:t>An order or judgement in which there is an ambiguity, error or omission;</w:t>
      </w:r>
    </w:p>
    <w:p w:rsidR="001E0044" w:rsidRPr="001A3EBA" w:rsidRDefault="001E0044" w:rsidP="001E0044">
      <w:pPr>
        <w:pStyle w:val="ListParagraph"/>
        <w:widowControl w:val="0"/>
        <w:numPr>
          <w:ilvl w:val="0"/>
          <w:numId w:val="5"/>
        </w:numPr>
        <w:pBdr>
          <w:top w:val="nil"/>
          <w:left w:val="nil"/>
          <w:bottom w:val="nil"/>
          <w:right w:val="nil"/>
          <w:between w:val="nil"/>
        </w:pBdr>
        <w:spacing w:before="360" w:after="0" w:line="480" w:lineRule="auto"/>
        <w:jc w:val="both"/>
        <w:rPr>
          <w:rFonts w:ascii="Arial" w:hAnsi="Arial" w:cs="Arial"/>
          <w:i/>
          <w:sz w:val="24"/>
          <w:szCs w:val="24"/>
        </w:rPr>
      </w:pPr>
      <w:r w:rsidRPr="001A3EBA">
        <w:rPr>
          <w:rFonts w:ascii="Arial" w:hAnsi="Arial" w:cs="Arial"/>
          <w:i/>
          <w:sz w:val="24"/>
          <w:szCs w:val="24"/>
        </w:rPr>
        <w:t>An order or judgement granted as a result of a mistake to the parties”.</w:t>
      </w:r>
    </w:p>
    <w:p w:rsidR="00387402" w:rsidRPr="00C92B12" w:rsidRDefault="00831BCB"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None of the facts and circ</w:t>
      </w:r>
      <w:r w:rsidR="0081605C">
        <w:rPr>
          <w:rFonts w:ascii="Arial" w:eastAsia="Arial" w:hAnsi="Arial" w:cs="Arial"/>
          <w:color w:val="000000"/>
          <w:sz w:val="24"/>
          <w:szCs w:val="24"/>
        </w:rPr>
        <w:t>umstances in the present matter</w:t>
      </w:r>
      <w:r>
        <w:rPr>
          <w:rFonts w:ascii="Arial" w:eastAsia="Arial" w:hAnsi="Arial" w:cs="Arial"/>
          <w:color w:val="000000"/>
          <w:sz w:val="24"/>
          <w:szCs w:val="24"/>
        </w:rPr>
        <w:t>, fall within any</w:t>
      </w:r>
      <w:r w:rsidR="005E6215">
        <w:rPr>
          <w:rFonts w:ascii="Arial" w:eastAsia="Arial" w:hAnsi="Arial" w:cs="Arial"/>
          <w:color w:val="000000"/>
          <w:sz w:val="24"/>
          <w:szCs w:val="24"/>
        </w:rPr>
        <w:t xml:space="preserve"> of</w:t>
      </w:r>
      <w:r>
        <w:rPr>
          <w:rFonts w:ascii="Arial" w:eastAsia="Arial" w:hAnsi="Arial" w:cs="Arial"/>
          <w:color w:val="000000"/>
          <w:sz w:val="24"/>
          <w:szCs w:val="24"/>
        </w:rPr>
        <w:t xml:space="preserve"> categories (a-c) of rule 42 (1). The provisions of Rule 42 (1) find applications in circumstances where a fact that has not been known/disclosed to the court becomes known subsequent to the granting of an order and such fact, had it been known, would have been preclusive to the granting of the order. The </w:t>
      </w:r>
      <w:r>
        <w:rPr>
          <w:rFonts w:ascii="Arial" w:eastAsia="Arial" w:hAnsi="Arial" w:cs="Arial"/>
          <w:color w:val="000000"/>
          <w:sz w:val="24"/>
          <w:szCs w:val="24"/>
        </w:rPr>
        <w:lastRenderedPageBreak/>
        <w:t xml:space="preserve">relevant factors relating to the </w:t>
      </w:r>
      <w:r w:rsidR="009E493F">
        <w:rPr>
          <w:rFonts w:ascii="Arial" w:eastAsia="Arial" w:hAnsi="Arial" w:cs="Arial"/>
          <w:color w:val="000000"/>
          <w:sz w:val="24"/>
          <w:szCs w:val="24"/>
        </w:rPr>
        <w:t>applicability</w:t>
      </w:r>
      <w:r w:rsidR="00C0370A">
        <w:rPr>
          <w:rFonts w:ascii="Arial" w:eastAsia="Arial" w:hAnsi="Arial" w:cs="Arial"/>
          <w:color w:val="000000"/>
          <w:sz w:val="24"/>
          <w:szCs w:val="24"/>
        </w:rPr>
        <w:t xml:space="preserve"> of the provisions of rule 42(1) were set out in </w:t>
      </w:r>
      <w:proofErr w:type="spellStart"/>
      <w:r w:rsidR="00213C3D">
        <w:rPr>
          <w:rFonts w:ascii="Arial" w:eastAsia="Arial" w:hAnsi="Arial" w:cs="Arial"/>
          <w:i/>
          <w:color w:val="000000"/>
          <w:sz w:val="24"/>
          <w:szCs w:val="24"/>
        </w:rPr>
        <w:t>Bakoven</w:t>
      </w:r>
      <w:proofErr w:type="spellEnd"/>
      <w:r w:rsidR="00213C3D">
        <w:rPr>
          <w:rFonts w:ascii="Arial" w:eastAsia="Arial" w:hAnsi="Arial" w:cs="Arial"/>
          <w:i/>
          <w:color w:val="000000"/>
          <w:sz w:val="24"/>
          <w:szCs w:val="24"/>
        </w:rPr>
        <w:t xml:space="preserve"> Ltd v GJ (Pty) Ltd </w:t>
      </w:r>
      <w:r w:rsidR="00213C3D">
        <w:rPr>
          <w:rFonts w:ascii="Arial" w:eastAsia="Arial" w:hAnsi="Arial" w:cs="Arial"/>
          <w:color w:val="000000"/>
          <w:sz w:val="24"/>
          <w:szCs w:val="24"/>
        </w:rPr>
        <w:t>1990 (2) 446</w:t>
      </w:r>
      <w:r w:rsidR="00C0370A">
        <w:rPr>
          <w:rFonts w:ascii="Arial" w:eastAsia="Arial" w:hAnsi="Arial" w:cs="Arial"/>
          <w:color w:val="000000"/>
          <w:sz w:val="24"/>
          <w:szCs w:val="24"/>
        </w:rPr>
        <w:t xml:space="preserve"> in the following terms:</w:t>
      </w:r>
    </w:p>
    <w:p w:rsidR="00C0370A" w:rsidRPr="00C92B12" w:rsidRDefault="00C92B12" w:rsidP="00C92B12">
      <w:pPr>
        <w:widowControl w:val="0"/>
        <w:pBdr>
          <w:top w:val="nil"/>
          <w:left w:val="nil"/>
          <w:bottom w:val="nil"/>
          <w:right w:val="nil"/>
          <w:between w:val="nil"/>
        </w:pBdr>
        <w:spacing w:before="360" w:after="0" w:line="480" w:lineRule="auto"/>
        <w:ind w:left="1440"/>
        <w:jc w:val="both"/>
        <w:rPr>
          <w:rFonts w:ascii="Arial" w:eastAsia="Arial" w:hAnsi="Arial" w:cs="Arial"/>
          <w:i/>
          <w:color w:val="000000"/>
          <w:sz w:val="24"/>
          <w:szCs w:val="24"/>
        </w:rPr>
      </w:pPr>
      <w:r w:rsidRPr="00C92B12">
        <w:rPr>
          <w:rFonts w:ascii="Arial" w:eastAsia="Arial" w:hAnsi="Arial" w:cs="Arial"/>
          <w:color w:val="000000"/>
          <w:sz w:val="24"/>
          <w:szCs w:val="24"/>
        </w:rPr>
        <w:t>"</w:t>
      </w:r>
      <w:r w:rsidRPr="00C92B12">
        <w:rPr>
          <w:rFonts w:ascii="Arial" w:eastAsia="Arial" w:hAnsi="Arial" w:cs="Arial"/>
          <w:i/>
          <w:color w:val="000000"/>
          <w:sz w:val="24"/>
          <w:szCs w:val="24"/>
        </w:rPr>
        <w:t>Rule 42(1)(a), it seems to me, is a procedural step designed to correct expeditiously an obviously wrong judgment or order. An order or judgment is 'erroneously granted' when the Court commits an 'error' in the sense of a 'mistake in a matter of law (or fact) appearing on the proceedings of a Court of record’. It follows that a Court in deciding whether a judgment was 'erroneously granted' is, like a Court of appeal, confined to the record of proceedings. In contradistinction to relief in terms of Rule 31 (2)(b) or under the common law, the applicant need not show 'good cause' in the sense of an explanation for his default and a bona fide defence (</w:t>
      </w:r>
      <w:proofErr w:type="spellStart"/>
      <w:r w:rsidRPr="00C92B12">
        <w:rPr>
          <w:rFonts w:ascii="Arial" w:eastAsia="Arial" w:hAnsi="Arial" w:cs="Arial"/>
          <w:i/>
          <w:color w:val="000000"/>
          <w:sz w:val="24"/>
          <w:szCs w:val="24"/>
        </w:rPr>
        <w:t>Hardroad</w:t>
      </w:r>
      <w:proofErr w:type="spellEnd"/>
      <w:r w:rsidRPr="00C92B12">
        <w:rPr>
          <w:rFonts w:ascii="Arial" w:eastAsia="Arial" w:hAnsi="Arial" w:cs="Arial"/>
          <w:i/>
          <w:color w:val="000000"/>
          <w:sz w:val="24"/>
          <w:szCs w:val="24"/>
        </w:rPr>
        <w:t xml:space="preserve"> (Pty) Ltd v </w:t>
      </w:r>
      <w:proofErr w:type="spellStart"/>
      <w:r w:rsidRPr="00C92B12">
        <w:rPr>
          <w:rFonts w:ascii="Arial" w:eastAsia="Arial" w:hAnsi="Arial" w:cs="Arial"/>
          <w:i/>
          <w:color w:val="000000"/>
          <w:sz w:val="24"/>
          <w:szCs w:val="24"/>
        </w:rPr>
        <w:t>Oribi</w:t>
      </w:r>
      <w:proofErr w:type="spellEnd"/>
      <w:r w:rsidRPr="00C92B12">
        <w:rPr>
          <w:rFonts w:ascii="Arial" w:eastAsia="Arial" w:hAnsi="Arial" w:cs="Arial"/>
          <w:i/>
          <w:color w:val="000000"/>
          <w:sz w:val="24"/>
          <w:szCs w:val="24"/>
        </w:rPr>
        <w:t xml:space="preserve"> Motors (Pty) Ltd (supra at 578FG); De Wet (2) at 777F-G; </w:t>
      </w:r>
      <w:proofErr w:type="spellStart"/>
      <w:r w:rsidRPr="00C92B12">
        <w:rPr>
          <w:rFonts w:ascii="Arial" w:eastAsia="Arial" w:hAnsi="Arial" w:cs="Arial"/>
          <w:i/>
          <w:color w:val="000000"/>
          <w:sz w:val="24"/>
          <w:szCs w:val="24"/>
        </w:rPr>
        <w:t>Tshabalala</w:t>
      </w:r>
      <w:proofErr w:type="spellEnd"/>
      <w:r w:rsidRPr="00C92B12">
        <w:rPr>
          <w:rFonts w:ascii="Arial" w:eastAsia="Arial" w:hAnsi="Arial" w:cs="Arial"/>
          <w:i/>
          <w:color w:val="000000"/>
          <w:sz w:val="24"/>
          <w:szCs w:val="24"/>
        </w:rPr>
        <w:t xml:space="preserve"> and Another </w:t>
      </w:r>
      <w:proofErr w:type="gramStart"/>
      <w:r w:rsidRPr="00C92B12">
        <w:rPr>
          <w:rFonts w:ascii="Arial" w:eastAsia="Arial" w:hAnsi="Arial" w:cs="Arial"/>
          <w:i/>
          <w:color w:val="000000"/>
          <w:sz w:val="24"/>
          <w:szCs w:val="24"/>
        </w:rPr>
        <w:t>v</w:t>
      </w:r>
      <w:proofErr w:type="gramEnd"/>
      <w:r w:rsidRPr="00C92B12">
        <w:rPr>
          <w:rFonts w:ascii="Arial" w:eastAsia="Arial" w:hAnsi="Arial" w:cs="Arial"/>
          <w:i/>
          <w:color w:val="000000"/>
          <w:sz w:val="24"/>
          <w:szCs w:val="24"/>
        </w:rPr>
        <w:t xml:space="preserve"> Peer 1979 (4) SA 27 (T) at 30C-D). Once the applicant can point to an error in the proceedings, he is without further ado entitled to rescission. It is only when he cannot rely on an 'error' that he has to fall back on Rule 31(2)(b) (where he was in default of delivery of a notice of intention to defend or of a plea) or on the common law (in all other cases</w:t>
      </w:r>
      <w:r w:rsidR="004C1431" w:rsidRPr="00C92B12">
        <w:rPr>
          <w:rFonts w:ascii="Arial" w:eastAsia="Arial" w:hAnsi="Arial" w:cs="Arial"/>
          <w:i/>
          <w:color w:val="000000"/>
          <w:sz w:val="24"/>
          <w:szCs w:val="24"/>
        </w:rPr>
        <w:t>). In</w:t>
      </w:r>
      <w:r w:rsidRPr="00C92B12">
        <w:rPr>
          <w:rFonts w:ascii="Arial" w:eastAsia="Arial" w:hAnsi="Arial" w:cs="Arial"/>
          <w:i/>
          <w:color w:val="000000"/>
          <w:sz w:val="24"/>
          <w:szCs w:val="24"/>
        </w:rPr>
        <w:t xml:space="preserve"> both latter instances he must show 'good cause'. This pattern emerges from the decided cases."</w:t>
      </w:r>
    </w:p>
    <w:p w:rsidR="00C0370A" w:rsidRPr="000661A0" w:rsidRDefault="00C0370A" w:rsidP="00C0370A">
      <w:pPr>
        <w:widowControl w:val="0"/>
        <w:pBdr>
          <w:top w:val="nil"/>
          <w:left w:val="nil"/>
          <w:bottom w:val="nil"/>
          <w:right w:val="nil"/>
          <w:between w:val="nil"/>
        </w:pBdr>
        <w:spacing w:before="360" w:after="0" w:line="480" w:lineRule="auto"/>
        <w:jc w:val="both"/>
        <w:rPr>
          <w:b/>
          <w:u w:val="single"/>
        </w:rPr>
      </w:pPr>
      <w:r w:rsidRPr="000661A0">
        <w:rPr>
          <w:rFonts w:ascii="Arial" w:eastAsia="Arial" w:hAnsi="Arial" w:cs="Arial"/>
          <w:b/>
          <w:color w:val="000000"/>
          <w:sz w:val="24"/>
          <w:szCs w:val="24"/>
          <w:u w:val="single"/>
        </w:rPr>
        <w:t>CONCLUSION</w:t>
      </w:r>
    </w:p>
    <w:p w:rsidR="00387402" w:rsidRPr="00C17208" w:rsidRDefault="00C0370A"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A shown in this judgement, the applicant has not met any of the requirements</w:t>
      </w:r>
      <w:r w:rsidR="004E2649">
        <w:rPr>
          <w:rFonts w:ascii="Arial" w:eastAsia="Arial" w:hAnsi="Arial" w:cs="Arial"/>
          <w:color w:val="000000"/>
          <w:sz w:val="24"/>
          <w:szCs w:val="24"/>
        </w:rPr>
        <w:t xml:space="preserve"> that could entitle it,</w:t>
      </w:r>
      <w:r w:rsidR="00204143">
        <w:rPr>
          <w:rFonts w:ascii="Arial" w:eastAsia="Arial" w:hAnsi="Arial" w:cs="Arial"/>
          <w:color w:val="000000"/>
          <w:sz w:val="24"/>
          <w:szCs w:val="24"/>
        </w:rPr>
        <w:t xml:space="preserve"> to </w:t>
      </w:r>
      <w:r>
        <w:rPr>
          <w:rFonts w:ascii="Arial" w:eastAsia="Arial" w:hAnsi="Arial" w:cs="Arial"/>
          <w:color w:val="000000"/>
          <w:sz w:val="24"/>
          <w:szCs w:val="24"/>
        </w:rPr>
        <w:t xml:space="preserve">an order condoning the late filing of the application </w:t>
      </w:r>
      <w:r>
        <w:rPr>
          <w:rFonts w:ascii="Arial" w:eastAsia="Arial" w:hAnsi="Arial" w:cs="Arial"/>
          <w:color w:val="000000"/>
          <w:sz w:val="24"/>
          <w:szCs w:val="24"/>
        </w:rPr>
        <w:lastRenderedPageBreak/>
        <w:t>rescissio</w:t>
      </w:r>
      <w:r w:rsidR="004F2D0A">
        <w:rPr>
          <w:rFonts w:ascii="Arial" w:eastAsia="Arial" w:hAnsi="Arial" w:cs="Arial"/>
          <w:color w:val="000000"/>
          <w:sz w:val="24"/>
          <w:szCs w:val="24"/>
        </w:rPr>
        <w:t>n and secondly, the applicant has no</w:t>
      </w:r>
      <w:r w:rsidR="00204143">
        <w:rPr>
          <w:rFonts w:ascii="Arial" w:eastAsia="Arial" w:hAnsi="Arial" w:cs="Arial"/>
          <w:color w:val="000000"/>
          <w:sz w:val="24"/>
          <w:szCs w:val="24"/>
        </w:rPr>
        <w:t xml:space="preserve"> bona</w:t>
      </w:r>
      <w:r>
        <w:rPr>
          <w:rFonts w:ascii="Arial" w:eastAsia="Arial" w:hAnsi="Arial" w:cs="Arial"/>
          <w:color w:val="000000"/>
          <w:sz w:val="24"/>
          <w:szCs w:val="24"/>
        </w:rPr>
        <w:t xml:space="preserve"> fide defence to the respondents counter-claim. The application(s) must consequently fail.</w:t>
      </w:r>
    </w:p>
    <w:p w:rsidR="00C17208" w:rsidRPr="00C92B12" w:rsidRDefault="00C17208" w:rsidP="00C17208">
      <w:pPr>
        <w:widowControl w:val="0"/>
        <w:pBdr>
          <w:top w:val="nil"/>
          <w:left w:val="nil"/>
          <w:bottom w:val="nil"/>
          <w:right w:val="nil"/>
          <w:between w:val="nil"/>
        </w:pBdr>
        <w:spacing w:before="360" w:after="0" w:line="480" w:lineRule="auto"/>
        <w:jc w:val="both"/>
        <w:rPr>
          <w:b/>
          <w:u w:val="single"/>
        </w:rPr>
      </w:pPr>
      <w:r w:rsidRPr="00C92B12">
        <w:rPr>
          <w:rFonts w:ascii="Arial" w:eastAsia="Arial" w:hAnsi="Arial" w:cs="Arial"/>
          <w:b/>
          <w:color w:val="000000"/>
          <w:sz w:val="24"/>
          <w:szCs w:val="24"/>
          <w:u w:val="single"/>
        </w:rPr>
        <w:t>COSTS</w:t>
      </w:r>
    </w:p>
    <w:p w:rsidR="00387402" w:rsidRPr="00C17208" w:rsidRDefault="00387402"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 xml:space="preserve">The </w:t>
      </w:r>
      <w:r w:rsidR="00C17208">
        <w:rPr>
          <w:rFonts w:ascii="Arial" w:eastAsia="Arial" w:hAnsi="Arial" w:cs="Arial"/>
          <w:color w:val="000000"/>
          <w:sz w:val="24"/>
          <w:szCs w:val="24"/>
        </w:rPr>
        <w:t>general principle that co</w:t>
      </w:r>
      <w:r w:rsidR="00C44E34">
        <w:rPr>
          <w:rFonts w:ascii="Arial" w:eastAsia="Arial" w:hAnsi="Arial" w:cs="Arial"/>
          <w:color w:val="000000"/>
          <w:sz w:val="24"/>
          <w:szCs w:val="24"/>
        </w:rPr>
        <w:t>s</w:t>
      </w:r>
      <w:r w:rsidR="00C17208">
        <w:rPr>
          <w:rFonts w:ascii="Arial" w:eastAsia="Arial" w:hAnsi="Arial" w:cs="Arial"/>
          <w:color w:val="000000"/>
          <w:sz w:val="24"/>
          <w:szCs w:val="24"/>
        </w:rPr>
        <w:t>ts follow the outcome applies in this matter.</w:t>
      </w:r>
    </w:p>
    <w:p w:rsidR="00C17208" w:rsidRPr="000661A0" w:rsidRDefault="00C17208" w:rsidP="00C17208">
      <w:pPr>
        <w:widowControl w:val="0"/>
        <w:pBdr>
          <w:top w:val="nil"/>
          <w:left w:val="nil"/>
          <w:bottom w:val="nil"/>
          <w:right w:val="nil"/>
          <w:between w:val="nil"/>
        </w:pBdr>
        <w:spacing w:before="360" w:after="0" w:line="480" w:lineRule="auto"/>
        <w:jc w:val="both"/>
        <w:rPr>
          <w:b/>
          <w:u w:val="single"/>
        </w:rPr>
      </w:pPr>
      <w:r w:rsidRPr="000661A0">
        <w:rPr>
          <w:rFonts w:ascii="Arial" w:eastAsia="Arial" w:hAnsi="Arial" w:cs="Arial"/>
          <w:b/>
          <w:color w:val="000000"/>
          <w:sz w:val="24"/>
          <w:szCs w:val="24"/>
          <w:u w:val="single"/>
        </w:rPr>
        <w:t>ORDER</w:t>
      </w:r>
    </w:p>
    <w:p w:rsidR="00387402" w:rsidRPr="00B81F36" w:rsidRDefault="00C17208" w:rsidP="00387402">
      <w:pPr>
        <w:widowControl w:val="0"/>
        <w:numPr>
          <w:ilvl w:val="0"/>
          <w:numId w:val="3"/>
        </w:numPr>
        <w:pBdr>
          <w:top w:val="nil"/>
          <w:left w:val="nil"/>
          <w:bottom w:val="nil"/>
          <w:right w:val="nil"/>
          <w:between w:val="nil"/>
        </w:pBdr>
        <w:spacing w:before="360" w:after="0" w:line="480" w:lineRule="auto"/>
        <w:jc w:val="both"/>
      </w:pPr>
      <w:r>
        <w:rPr>
          <w:rFonts w:ascii="Arial" w:eastAsia="Arial" w:hAnsi="Arial" w:cs="Arial"/>
          <w:color w:val="000000"/>
          <w:sz w:val="24"/>
          <w:szCs w:val="24"/>
        </w:rPr>
        <w:t xml:space="preserve">Consequent to the findings and </w:t>
      </w:r>
      <w:r w:rsidR="00B81F36">
        <w:rPr>
          <w:rFonts w:ascii="Arial" w:eastAsia="Arial" w:hAnsi="Arial" w:cs="Arial"/>
          <w:color w:val="000000"/>
          <w:sz w:val="24"/>
          <w:szCs w:val="24"/>
        </w:rPr>
        <w:t>conclusion</w:t>
      </w:r>
      <w:r>
        <w:rPr>
          <w:rFonts w:ascii="Arial" w:eastAsia="Arial" w:hAnsi="Arial" w:cs="Arial"/>
          <w:color w:val="000000"/>
          <w:sz w:val="24"/>
          <w:szCs w:val="24"/>
        </w:rPr>
        <w:t xml:space="preserve"> in this matter, the following order is made</w:t>
      </w:r>
      <w:r w:rsidR="00B81F36">
        <w:rPr>
          <w:rFonts w:ascii="Arial" w:eastAsia="Arial" w:hAnsi="Arial" w:cs="Arial"/>
          <w:color w:val="000000"/>
          <w:sz w:val="24"/>
          <w:szCs w:val="24"/>
        </w:rPr>
        <w:t>:</w:t>
      </w:r>
    </w:p>
    <w:p w:rsidR="00B81F36" w:rsidRPr="00BC2C02" w:rsidRDefault="00B81F36" w:rsidP="00B81F36">
      <w:pPr>
        <w:pStyle w:val="ListParagraph"/>
        <w:widowControl w:val="0"/>
        <w:numPr>
          <w:ilvl w:val="0"/>
          <w:numId w:val="6"/>
        </w:numPr>
        <w:pBdr>
          <w:top w:val="nil"/>
          <w:left w:val="nil"/>
          <w:bottom w:val="nil"/>
          <w:right w:val="nil"/>
          <w:between w:val="nil"/>
        </w:pBdr>
        <w:spacing w:before="360" w:after="0" w:line="480" w:lineRule="auto"/>
        <w:jc w:val="both"/>
        <w:rPr>
          <w:rFonts w:ascii="Arial" w:hAnsi="Arial" w:cs="Arial"/>
          <w:sz w:val="24"/>
          <w:szCs w:val="24"/>
        </w:rPr>
      </w:pPr>
      <w:r w:rsidRPr="00BC2C02">
        <w:rPr>
          <w:rFonts w:ascii="Arial" w:hAnsi="Arial" w:cs="Arial"/>
          <w:sz w:val="24"/>
          <w:szCs w:val="24"/>
        </w:rPr>
        <w:t>The application for condonation is dismissed.</w:t>
      </w:r>
    </w:p>
    <w:p w:rsidR="00B81F36" w:rsidRPr="00BC2C02" w:rsidRDefault="00B81F36" w:rsidP="00B81F36">
      <w:pPr>
        <w:pStyle w:val="ListParagraph"/>
        <w:widowControl w:val="0"/>
        <w:numPr>
          <w:ilvl w:val="0"/>
          <w:numId w:val="6"/>
        </w:numPr>
        <w:pBdr>
          <w:top w:val="nil"/>
          <w:left w:val="nil"/>
          <w:bottom w:val="nil"/>
          <w:right w:val="nil"/>
          <w:between w:val="nil"/>
        </w:pBdr>
        <w:spacing w:before="360" w:after="0" w:line="480" w:lineRule="auto"/>
        <w:jc w:val="both"/>
        <w:rPr>
          <w:rFonts w:ascii="Arial" w:hAnsi="Arial" w:cs="Arial"/>
          <w:sz w:val="24"/>
          <w:szCs w:val="24"/>
        </w:rPr>
      </w:pPr>
      <w:r w:rsidRPr="00BC2C02">
        <w:rPr>
          <w:rFonts w:ascii="Arial" w:hAnsi="Arial" w:cs="Arial"/>
          <w:sz w:val="24"/>
          <w:szCs w:val="24"/>
        </w:rPr>
        <w:t>The application for rescission of the judgment of 18 October 2019 is dismissed.</w:t>
      </w:r>
    </w:p>
    <w:p w:rsidR="00387402" w:rsidRPr="00990D86" w:rsidRDefault="00B81F36" w:rsidP="00387402">
      <w:pPr>
        <w:pStyle w:val="ListParagraph"/>
        <w:widowControl w:val="0"/>
        <w:numPr>
          <w:ilvl w:val="0"/>
          <w:numId w:val="6"/>
        </w:numPr>
        <w:pBdr>
          <w:top w:val="nil"/>
          <w:left w:val="nil"/>
          <w:bottom w:val="nil"/>
          <w:right w:val="nil"/>
          <w:between w:val="nil"/>
        </w:pBdr>
        <w:spacing w:before="360" w:after="0" w:line="480" w:lineRule="auto"/>
        <w:jc w:val="both"/>
        <w:rPr>
          <w:rFonts w:ascii="Arial" w:hAnsi="Arial" w:cs="Arial"/>
          <w:sz w:val="24"/>
          <w:szCs w:val="24"/>
        </w:rPr>
      </w:pPr>
      <w:r w:rsidRPr="00BC2C02">
        <w:rPr>
          <w:rFonts w:ascii="Arial" w:hAnsi="Arial" w:cs="Arial"/>
          <w:sz w:val="24"/>
          <w:szCs w:val="24"/>
        </w:rPr>
        <w:t>The applicant is ordered to pay the costs.</w:t>
      </w:r>
    </w:p>
    <w:p w:rsidR="00387402" w:rsidRDefault="00387402" w:rsidP="00387402">
      <w:pPr>
        <w:spacing w:after="0" w:line="360" w:lineRule="auto"/>
        <w:jc w:val="both"/>
        <w:rPr>
          <w:rFonts w:ascii="Arial" w:eastAsia="Arial" w:hAnsi="Arial" w:cs="Arial"/>
          <w:sz w:val="24"/>
          <w:szCs w:val="24"/>
        </w:rPr>
      </w:pPr>
    </w:p>
    <w:p w:rsidR="00387402" w:rsidRDefault="00387402" w:rsidP="00387402">
      <w:pPr>
        <w:spacing w:after="0" w:line="360" w:lineRule="auto"/>
        <w:jc w:val="both"/>
        <w:rPr>
          <w:rFonts w:ascii="Arial" w:eastAsia="Arial" w:hAnsi="Arial" w:cs="Arial"/>
          <w:b/>
          <w:sz w:val="24"/>
          <w:szCs w:val="24"/>
        </w:rPr>
      </w:pPr>
      <w:r>
        <w:rPr>
          <w:rFonts w:ascii="Arial" w:eastAsia="Arial" w:hAnsi="Arial" w:cs="Arial"/>
          <w:b/>
          <w:sz w:val="24"/>
          <w:szCs w:val="24"/>
        </w:rPr>
        <w:t>_____________________________</w:t>
      </w:r>
    </w:p>
    <w:p w:rsidR="00387402" w:rsidRDefault="00387402" w:rsidP="00387402">
      <w:pPr>
        <w:spacing w:after="0" w:line="360" w:lineRule="auto"/>
        <w:jc w:val="both"/>
        <w:rPr>
          <w:rFonts w:ascii="Arial" w:eastAsia="Arial" w:hAnsi="Arial" w:cs="Arial"/>
          <w:b/>
          <w:sz w:val="24"/>
          <w:szCs w:val="24"/>
        </w:rPr>
      </w:pPr>
      <w:r>
        <w:rPr>
          <w:rFonts w:ascii="Arial" w:eastAsia="Arial" w:hAnsi="Arial" w:cs="Arial"/>
          <w:b/>
          <w:sz w:val="24"/>
          <w:szCs w:val="24"/>
        </w:rPr>
        <w:t>M. MBONGWE, J</w:t>
      </w:r>
    </w:p>
    <w:p w:rsidR="00387402" w:rsidRDefault="00387402" w:rsidP="00387402">
      <w:pPr>
        <w:spacing w:after="0" w:line="360" w:lineRule="auto"/>
        <w:jc w:val="both"/>
        <w:rPr>
          <w:rFonts w:ascii="Arial" w:eastAsia="Arial" w:hAnsi="Arial" w:cs="Arial"/>
          <w:b/>
          <w:sz w:val="24"/>
          <w:szCs w:val="24"/>
        </w:rPr>
      </w:pPr>
      <w:r>
        <w:rPr>
          <w:rFonts w:ascii="Arial" w:eastAsia="Arial" w:hAnsi="Arial" w:cs="Arial"/>
          <w:b/>
          <w:sz w:val="24"/>
          <w:szCs w:val="24"/>
        </w:rPr>
        <w:t>JUDGE OF THE HIGH COURT</w:t>
      </w:r>
    </w:p>
    <w:p w:rsidR="00387402" w:rsidRDefault="00387402" w:rsidP="00387402">
      <w:pPr>
        <w:spacing w:after="0" w:line="360" w:lineRule="auto"/>
        <w:jc w:val="both"/>
        <w:rPr>
          <w:rFonts w:ascii="Arial" w:eastAsia="Arial" w:hAnsi="Arial" w:cs="Arial"/>
          <w:b/>
          <w:sz w:val="24"/>
          <w:szCs w:val="24"/>
        </w:rPr>
      </w:pPr>
      <w:r>
        <w:rPr>
          <w:rFonts w:ascii="Arial" w:eastAsia="Arial" w:hAnsi="Arial" w:cs="Arial"/>
          <w:b/>
          <w:sz w:val="24"/>
          <w:szCs w:val="24"/>
        </w:rPr>
        <w:t>OF SOUTH AFRICA, GAUTENG</w:t>
      </w:r>
    </w:p>
    <w:p w:rsidR="00387402" w:rsidRDefault="00387402" w:rsidP="00387402">
      <w:pPr>
        <w:spacing w:after="0" w:line="360" w:lineRule="auto"/>
        <w:jc w:val="both"/>
        <w:rPr>
          <w:rFonts w:ascii="Arial" w:eastAsia="Arial" w:hAnsi="Arial" w:cs="Arial"/>
          <w:sz w:val="24"/>
          <w:szCs w:val="24"/>
        </w:rPr>
      </w:pPr>
      <w:r>
        <w:rPr>
          <w:rFonts w:ascii="Arial" w:eastAsia="Arial" w:hAnsi="Arial" w:cs="Arial"/>
          <w:b/>
          <w:sz w:val="24"/>
          <w:szCs w:val="24"/>
        </w:rPr>
        <w:t>DIVISION, PRETORIA</w:t>
      </w:r>
      <w:r>
        <w:rPr>
          <w:rFonts w:ascii="Arial" w:eastAsia="Arial" w:hAnsi="Arial" w:cs="Arial"/>
          <w:sz w:val="24"/>
          <w:szCs w:val="24"/>
        </w:rPr>
        <w:t xml:space="preserve">.  </w:t>
      </w:r>
    </w:p>
    <w:p w:rsidR="00387402" w:rsidRDefault="00387402" w:rsidP="00387402">
      <w:pPr>
        <w:spacing w:after="0" w:line="360" w:lineRule="auto"/>
        <w:jc w:val="both"/>
        <w:rPr>
          <w:rFonts w:ascii="Arial" w:eastAsia="Arial" w:hAnsi="Arial" w:cs="Arial"/>
          <w:sz w:val="24"/>
          <w:szCs w:val="24"/>
        </w:rPr>
      </w:pPr>
    </w:p>
    <w:p w:rsidR="00387402" w:rsidRDefault="00387402" w:rsidP="00387402">
      <w:pPr>
        <w:spacing w:after="0" w:line="360" w:lineRule="auto"/>
        <w:jc w:val="both"/>
        <w:rPr>
          <w:rFonts w:ascii="Arial" w:eastAsia="Arial" w:hAnsi="Arial" w:cs="Arial"/>
          <w:sz w:val="24"/>
          <w:szCs w:val="24"/>
        </w:rPr>
      </w:pPr>
    </w:p>
    <w:p w:rsidR="00387402" w:rsidRDefault="00387402" w:rsidP="00387402">
      <w:pPr>
        <w:spacing w:after="0" w:line="360" w:lineRule="auto"/>
        <w:jc w:val="both"/>
        <w:rPr>
          <w:rFonts w:ascii="Arial" w:eastAsia="Arial" w:hAnsi="Arial" w:cs="Arial"/>
          <w:sz w:val="24"/>
          <w:szCs w:val="24"/>
        </w:rPr>
      </w:pPr>
      <w:r>
        <w:rPr>
          <w:rFonts w:ascii="Arial" w:eastAsia="Arial" w:hAnsi="Arial" w:cs="Arial"/>
          <w:sz w:val="24"/>
          <w:szCs w:val="24"/>
        </w:rPr>
        <w:t>APPEARANCES</w:t>
      </w:r>
    </w:p>
    <w:p w:rsidR="00387402" w:rsidRDefault="00387402" w:rsidP="00387402">
      <w:pPr>
        <w:spacing w:after="0" w:line="360" w:lineRule="auto"/>
        <w:jc w:val="both"/>
        <w:rPr>
          <w:rFonts w:ascii="Arial" w:eastAsia="Arial" w:hAnsi="Arial" w:cs="Arial"/>
          <w:sz w:val="24"/>
          <w:szCs w:val="24"/>
        </w:rPr>
      </w:pPr>
      <w:r>
        <w:rPr>
          <w:rFonts w:ascii="Arial" w:eastAsia="Arial" w:hAnsi="Arial" w:cs="Arial"/>
          <w:sz w:val="24"/>
          <w:szCs w:val="24"/>
        </w:rPr>
        <w:t>For the Applicant</w:t>
      </w:r>
      <w:r w:rsidR="00A0730C">
        <w:rPr>
          <w:rFonts w:ascii="Arial" w:eastAsia="Arial" w:hAnsi="Arial" w:cs="Arial"/>
          <w:sz w:val="24"/>
          <w:szCs w:val="24"/>
        </w:rPr>
        <w:t>:</w:t>
      </w:r>
      <w:r w:rsidR="00A0730C">
        <w:rPr>
          <w:rFonts w:ascii="Arial" w:eastAsia="Arial" w:hAnsi="Arial" w:cs="Arial"/>
          <w:sz w:val="24"/>
          <w:szCs w:val="24"/>
        </w:rPr>
        <w:tab/>
      </w:r>
      <w:r w:rsidR="00A0730C">
        <w:rPr>
          <w:rFonts w:ascii="Arial" w:eastAsia="Arial" w:hAnsi="Arial" w:cs="Arial"/>
          <w:sz w:val="24"/>
          <w:szCs w:val="24"/>
        </w:rPr>
        <w:tab/>
        <w:t xml:space="preserve"> ADV D A THEART</w:t>
      </w:r>
    </w:p>
    <w:p w:rsidR="00387402" w:rsidRDefault="00387402" w:rsidP="00387402">
      <w:pPr>
        <w:spacing w:after="0" w:line="360" w:lineRule="auto"/>
        <w:jc w:val="both"/>
        <w:rPr>
          <w:rFonts w:ascii="Arial" w:eastAsia="Arial" w:hAnsi="Arial" w:cs="Arial"/>
          <w:sz w:val="24"/>
          <w:szCs w:val="24"/>
        </w:rPr>
      </w:pPr>
      <w:r>
        <w:rPr>
          <w:rFonts w:ascii="Arial" w:eastAsia="Arial" w:hAnsi="Arial" w:cs="Arial"/>
          <w:sz w:val="24"/>
          <w:szCs w:val="24"/>
        </w:rPr>
        <w:t>Instructed by</w:t>
      </w:r>
      <w:r w:rsidR="00A0730C">
        <w:rPr>
          <w:rFonts w:ascii="Arial" w:eastAsia="Arial" w:hAnsi="Arial" w:cs="Arial"/>
          <w:sz w:val="24"/>
          <w:szCs w:val="24"/>
        </w:rPr>
        <w:t xml:space="preserve">: </w:t>
      </w:r>
      <w:r w:rsidR="00A0730C">
        <w:rPr>
          <w:rFonts w:ascii="Arial" w:eastAsia="Arial" w:hAnsi="Arial" w:cs="Arial"/>
          <w:sz w:val="24"/>
          <w:szCs w:val="24"/>
        </w:rPr>
        <w:tab/>
      </w:r>
      <w:r w:rsidR="00A0730C">
        <w:rPr>
          <w:rFonts w:ascii="Arial" w:eastAsia="Arial" w:hAnsi="Arial" w:cs="Arial"/>
          <w:sz w:val="24"/>
          <w:szCs w:val="24"/>
        </w:rPr>
        <w:tab/>
        <w:t xml:space="preserve"> </w:t>
      </w:r>
      <w:r w:rsidR="000E0B58">
        <w:rPr>
          <w:rFonts w:ascii="Arial" w:eastAsia="Arial" w:hAnsi="Arial" w:cs="Arial"/>
          <w:sz w:val="24"/>
          <w:szCs w:val="24"/>
        </w:rPr>
        <w:t>RAMSAY WESSELS BALOYI</w:t>
      </w:r>
      <w:r w:rsidR="00A0730C">
        <w:rPr>
          <w:rFonts w:ascii="Arial" w:eastAsia="Arial" w:hAnsi="Arial" w:cs="Arial"/>
          <w:sz w:val="24"/>
          <w:szCs w:val="24"/>
        </w:rPr>
        <w:t xml:space="preserve"> INC</w:t>
      </w:r>
    </w:p>
    <w:p w:rsidR="00387402" w:rsidRDefault="00387402" w:rsidP="00387402">
      <w:pPr>
        <w:spacing w:after="0" w:line="360" w:lineRule="auto"/>
        <w:jc w:val="both"/>
        <w:rPr>
          <w:rFonts w:ascii="Arial" w:eastAsia="Arial" w:hAnsi="Arial" w:cs="Arial"/>
          <w:sz w:val="24"/>
          <w:szCs w:val="24"/>
        </w:rPr>
      </w:pPr>
    </w:p>
    <w:p w:rsidR="00387402" w:rsidRDefault="00387402" w:rsidP="00387402">
      <w:pPr>
        <w:spacing w:after="0" w:line="360" w:lineRule="auto"/>
        <w:jc w:val="both"/>
        <w:rPr>
          <w:rFonts w:ascii="Arial" w:eastAsia="Arial" w:hAnsi="Arial" w:cs="Arial"/>
          <w:sz w:val="24"/>
          <w:szCs w:val="24"/>
        </w:rPr>
      </w:pPr>
      <w:r>
        <w:rPr>
          <w:rFonts w:ascii="Arial" w:eastAsia="Arial" w:hAnsi="Arial" w:cs="Arial"/>
          <w:sz w:val="24"/>
          <w:szCs w:val="24"/>
        </w:rPr>
        <w:t>For the Respondent</w:t>
      </w:r>
      <w:r w:rsidR="00A0730C">
        <w:rPr>
          <w:rFonts w:ascii="Arial" w:eastAsia="Arial" w:hAnsi="Arial" w:cs="Arial"/>
          <w:sz w:val="24"/>
          <w:szCs w:val="24"/>
        </w:rPr>
        <w:t>:</w:t>
      </w:r>
      <w:r w:rsidR="00A0730C">
        <w:rPr>
          <w:rFonts w:ascii="Arial" w:eastAsia="Arial" w:hAnsi="Arial" w:cs="Arial"/>
          <w:sz w:val="24"/>
          <w:szCs w:val="24"/>
        </w:rPr>
        <w:tab/>
        <w:t xml:space="preserve"> ADV </w:t>
      </w:r>
      <w:r w:rsidR="00862774">
        <w:rPr>
          <w:rFonts w:ascii="Arial" w:eastAsia="Arial" w:hAnsi="Arial" w:cs="Arial"/>
          <w:sz w:val="24"/>
          <w:szCs w:val="24"/>
        </w:rPr>
        <w:t xml:space="preserve">A </w:t>
      </w:r>
      <w:r w:rsidR="00862774" w:rsidRPr="00862774">
        <w:rPr>
          <w:rFonts w:ascii="Arial" w:eastAsia="Arial" w:hAnsi="Arial" w:cs="Arial"/>
          <w:sz w:val="24"/>
          <w:szCs w:val="24"/>
        </w:rPr>
        <w:t>COERTZE</w:t>
      </w:r>
    </w:p>
    <w:p w:rsidR="00387402" w:rsidRDefault="00387402" w:rsidP="00387402">
      <w:pPr>
        <w:spacing w:after="0" w:line="360" w:lineRule="auto"/>
        <w:jc w:val="both"/>
        <w:rPr>
          <w:rFonts w:ascii="Arial" w:eastAsia="Arial" w:hAnsi="Arial" w:cs="Arial"/>
          <w:sz w:val="24"/>
          <w:szCs w:val="24"/>
        </w:rPr>
      </w:pPr>
      <w:r>
        <w:rPr>
          <w:rFonts w:ascii="Arial" w:eastAsia="Arial" w:hAnsi="Arial" w:cs="Arial"/>
          <w:sz w:val="24"/>
          <w:szCs w:val="24"/>
        </w:rPr>
        <w:t>Instructed by</w:t>
      </w:r>
      <w:r w:rsidR="00A0730C">
        <w:rPr>
          <w:rFonts w:ascii="Arial" w:eastAsia="Arial" w:hAnsi="Arial" w:cs="Arial"/>
          <w:sz w:val="24"/>
          <w:szCs w:val="24"/>
        </w:rPr>
        <w:t xml:space="preserve">: </w:t>
      </w:r>
      <w:r w:rsidR="00A0730C">
        <w:rPr>
          <w:rFonts w:ascii="Arial" w:eastAsia="Arial" w:hAnsi="Arial" w:cs="Arial"/>
          <w:sz w:val="24"/>
          <w:szCs w:val="24"/>
        </w:rPr>
        <w:tab/>
      </w:r>
      <w:r w:rsidR="00A0730C">
        <w:rPr>
          <w:rFonts w:ascii="Arial" w:eastAsia="Arial" w:hAnsi="Arial" w:cs="Arial"/>
          <w:sz w:val="24"/>
          <w:szCs w:val="24"/>
        </w:rPr>
        <w:tab/>
        <w:t>JPA VENTER ATTORNEYS</w:t>
      </w:r>
    </w:p>
    <w:p w:rsidR="00387402" w:rsidRDefault="00387402" w:rsidP="00387402">
      <w:pPr>
        <w:spacing w:after="0" w:line="360" w:lineRule="auto"/>
        <w:jc w:val="both"/>
        <w:rPr>
          <w:rFonts w:ascii="Arial" w:eastAsia="Arial" w:hAnsi="Arial" w:cs="Arial"/>
          <w:sz w:val="24"/>
          <w:szCs w:val="24"/>
        </w:rPr>
      </w:pPr>
    </w:p>
    <w:p w:rsidR="00A0730C" w:rsidRDefault="00A0730C" w:rsidP="00387402">
      <w:pPr>
        <w:spacing w:after="0" w:line="360" w:lineRule="auto"/>
        <w:jc w:val="both"/>
        <w:rPr>
          <w:rFonts w:ascii="Arial" w:eastAsia="Arial" w:hAnsi="Arial" w:cs="Arial"/>
          <w:sz w:val="24"/>
          <w:szCs w:val="24"/>
        </w:rPr>
      </w:pPr>
    </w:p>
    <w:p w:rsidR="00A0730C" w:rsidRDefault="00A0730C" w:rsidP="00387402">
      <w:pPr>
        <w:spacing w:after="0" w:line="360" w:lineRule="auto"/>
        <w:jc w:val="both"/>
        <w:rPr>
          <w:rFonts w:ascii="Arial" w:eastAsia="Arial" w:hAnsi="Arial" w:cs="Arial"/>
          <w:sz w:val="24"/>
          <w:szCs w:val="24"/>
        </w:rPr>
      </w:pPr>
    </w:p>
    <w:p w:rsidR="00387402" w:rsidRDefault="000E0B58" w:rsidP="00387402">
      <w:pPr>
        <w:spacing w:after="0" w:line="360" w:lineRule="auto"/>
        <w:jc w:val="both"/>
        <w:rPr>
          <w:rFonts w:ascii="Arial" w:eastAsia="Arial" w:hAnsi="Arial" w:cs="Arial"/>
          <w:sz w:val="24"/>
          <w:szCs w:val="24"/>
        </w:rPr>
      </w:pPr>
      <w:r>
        <w:rPr>
          <w:rFonts w:ascii="Arial" w:eastAsia="Arial" w:hAnsi="Arial" w:cs="Arial"/>
          <w:sz w:val="24"/>
          <w:szCs w:val="24"/>
        </w:rPr>
        <w:t xml:space="preserve">JUDGMENT ELECTRONICALLY ON </w:t>
      </w:r>
      <w:r w:rsidR="00213C3D">
        <w:rPr>
          <w:rFonts w:ascii="Arial" w:eastAsia="Arial" w:hAnsi="Arial" w:cs="Arial"/>
          <w:b/>
          <w:sz w:val="24"/>
          <w:szCs w:val="24"/>
        </w:rPr>
        <w:t xml:space="preserve"> </w:t>
      </w:r>
      <w:r w:rsidR="00387402">
        <w:rPr>
          <w:rFonts w:ascii="Arial" w:eastAsia="Arial" w:hAnsi="Arial" w:cs="Arial"/>
          <w:sz w:val="24"/>
          <w:szCs w:val="24"/>
        </w:rPr>
        <w:t xml:space="preserve">      </w:t>
      </w:r>
    </w:p>
    <w:p w:rsidR="00387402" w:rsidRDefault="00387402" w:rsidP="00387402">
      <w:pPr>
        <w:spacing w:after="0" w:line="360" w:lineRule="auto"/>
        <w:jc w:val="both"/>
        <w:rPr>
          <w:rFonts w:ascii="Arial" w:eastAsia="Arial" w:hAnsi="Arial" w:cs="Arial"/>
          <w:sz w:val="24"/>
          <w:szCs w:val="24"/>
        </w:rPr>
      </w:pPr>
    </w:p>
    <w:p w:rsidR="00387402" w:rsidRDefault="00387402" w:rsidP="00387402">
      <w:pPr>
        <w:spacing w:after="0" w:line="360" w:lineRule="auto"/>
        <w:ind w:left="1440" w:hanging="720"/>
        <w:jc w:val="both"/>
        <w:rPr>
          <w:rFonts w:ascii="Arial" w:eastAsia="Arial" w:hAnsi="Arial" w:cs="Arial"/>
          <w:sz w:val="24"/>
          <w:szCs w:val="24"/>
        </w:rPr>
      </w:pPr>
    </w:p>
    <w:p w:rsidR="00387402" w:rsidRDefault="00387402" w:rsidP="00387402"/>
    <w:p w:rsidR="00387402" w:rsidRDefault="00387402" w:rsidP="00387402"/>
    <w:p w:rsidR="00387402" w:rsidRDefault="00387402"/>
    <w:sectPr w:rsidR="00387402">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00" w:rsidRDefault="00F55000">
      <w:pPr>
        <w:spacing w:after="0" w:line="240" w:lineRule="auto"/>
      </w:pPr>
      <w:r>
        <w:separator/>
      </w:r>
    </w:p>
  </w:endnote>
  <w:endnote w:type="continuationSeparator" w:id="0">
    <w:p w:rsidR="00F55000" w:rsidRDefault="00F5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05" w:rsidRDefault="00E97BF5">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315D">
      <w:rPr>
        <w:noProof/>
        <w:color w:val="000000"/>
      </w:rPr>
      <w:t>4</w:t>
    </w:r>
    <w:r>
      <w:rPr>
        <w:color w:val="000000"/>
      </w:rPr>
      <w:fldChar w:fldCharType="end"/>
    </w:r>
    <w:r>
      <w:rPr>
        <w:color w:val="000000"/>
      </w:rPr>
      <w:t xml:space="preserve"> | </w:t>
    </w:r>
    <w:r>
      <w:rPr>
        <w:color w:val="7F7F7F"/>
      </w:rPr>
      <w:t>Page</w:t>
    </w:r>
  </w:p>
  <w:p w:rsidR="006B7005" w:rsidRDefault="00F550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00" w:rsidRDefault="00F55000">
      <w:pPr>
        <w:spacing w:after="0" w:line="240" w:lineRule="auto"/>
      </w:pPr>
      <w:r>
        <w:separator/>
      </w:r>
    </w:p>
  </w:footnote>
  <w:footnote w:type="continuationSeparator" w:id="0">
    <w:p w:rsidR="00F55000" w:rsidRDefault="00F55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EA6"/>
    <w:multiLevelType w:val="hybridMultilevel"/>
    <w:tmpl w:val="817AB706"/>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109F5AA1"/>
    <w:multiLevelType w:val="multilevel"/>
    <w:tmpl w:val="DF7C4E0C"/>
    <w:lvl w:ilvl="0">
      <w:start w:val="1"/>
      <w:numFmt w:val="decimal"/>
      <w:lvlText w:val="[%1]"/>
      <w:lvlJc w:val="left"/>
      <w:pPr>
        <w:ind w:left="567" w:hanging="567"/>
      </w:pPr>
      <w:rPr>
        <w:rFonts w:ascii="Calibri" w:hAnsi="Calibri" w:cs="Calibri" w:hint="default"/>
        <w:b w:val="0"/>
        <w:i w:val="0"/>
      </w:rPr>
    </w:lvl>
    <w:lvl w:ilvl="1">
      <w:start w:val="1"/>
      <w:numFmt w:val="decimal"/>
      <w:lvlText w:val="[%1.%2]"/>
      <w:lvlJc w:val="left"/>
      <w:pPr>
        <w:ind w:left="1418" w:hanging="850"/>
      </w:pPr>
      <w:rPr>
        <w:rFonts w:ascii="Arial" w:eastAsia="Arial" w:hAnsi="Arial" w:cs="Arial"/>
      </w:rPr>
    </w:lvl>
    <w:lvl w:ilvl="2">
      <w:start w:val="1"/>
      <w:numFmt w:val="decimal"/>
      <w:lvlText w:val="[%1.%2.%3]"/>
      <w:lvlJc w:val="left"/>
      <w:pPr>
        <w:ind w:left="1702" w:hanging="1134"/>
      </w:pPr>
    </w:lvl>
    <w:lvl w:ilvl="3">
      <w:start w:val="1"/>
      <w:numFmt w:val="lowerLetter"/>
      <w:lvlText w:val="(%4)"/>
      <w:lvlJc w:val="left"/>
      <w:pPr>
        <w:ind w:left="2155" w:hanging="794"/>
      </w:pPr>
    </w:lvl>
    <w:lvl w:ilvl="4">
      <w:start w:val="1"/>
      <w:numFmt w:val="lowerRoman"/>
      <w:lvlText w:val="(%5)"/>
      <w:lvlJc w:val="left"/>
      <w:pPr>
        <w:ind w:left="3119"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0525693"/>
    <w:multiLevelType w:val="multilevel"/>
    <w:tmpl w:val="3C5E6BBA"/>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3" w15:restartNumberingAfterBreak="0">
    <w:nsid w:val="45D713D0"/>
    <w:multiLevelType w:val="hybridMultilevel"/>
    <w:tmpl w:val="B0E85866"/>
    <w:lvl w:ilvl="0" w:tplc="0A862BDA">
      <w:start w:val="1"/>
      <w:numFmt w:val="decimal"/>
      <w:lvlText w:val="[%12]"/>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FA041B"/>
    <w:multiLevelType w:val="hybridMultilevel"/>
    <w:tmpl w:val="7714BCB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DED46B6"/>
    <w:multiLevelType w:val="hybridMultilevel"/>
    <w:tmpl w:val="10EC70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5F233D5"/>
    <w:multiLevelType w:val="multilevel"/>
    <w:tmpl w:val="6F2427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8C228A3"/>
    <w:multiLevelType w:val="multilevel"/>
    <w:tmpl w:val="840662E6"/>
    <w:lvl w:ilvl="0">
      <w:start w:val="1"/>
      <w:numFmt w:val="upperLetter"/>
      <w:lvlText w:val="%1."/>
      <w:lvlJc w:val="left"/>
      <w:pPr>
        <w:ind w:left="730" w:hanging="37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B36A41"/>
    <w:multiLevelType w:val="hybridMultilevel"/>
    <w:tmpl w:val="4162C45C"/>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6"/>
  </w:num>
  <w:num w:numId="2">
    <w:abstractNumId w:val="2"/>
  </w:num>
  <w:num w:numId="3">
    <w:abstractNumId w:val="1"/>
  </w:num>
  <w:num w:numId="4">
    <w:abstractNumId w:val="7"/>
  </w:num>
  <w:num w:numId="5">
    <w:abstractNumId w:val="0"/>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02"/>
    <w:rsid w:val="00000039"/>
    <w:rsid w:val="000100D4"/>
    <w:rsid w:val="000661A0"/>
    <w:rsid w:val="000B4FA8"/>
    <w:rsid w:val="000E0B58"/>
    <w:rsid w:val="000E299D"/>
    <w:rsid w:val="0017213D"/>
    <w:rsid w:val="00181580"/>
    <w:rsid w:val="001A2C81"/>
    <w:rsid w:val="001A3EBA"/>
    <w:rsid w:val="001C1B80"/>
    <w:rsid w:val="001E0044"/>
    <w:rsid w:val="001E14D4"/>
    <w:rsid w:val="00204143"/>
    <w:rsid w:val="00213C3D"/>
    <w:rsid w:val="00236ECD"/>
    <w:rsid w:val="0024291A"/>
    <w:rsid w:val="00262838"/>
    <w:rsid w:val="00267557"/>
    <w:rsid w:val="00282E20"/>
    <w:rsid w:val="002B535B"/>
    <w:rsid w:val="003451CF"/>
    <w:rsid w:val="003631F1"/>
    <w:rsid w:val="00387402"/>
    <w:rsid w:val="00392EFE"/>
    <w:rsid w:val="00394E92"/>
    <w:rsid w:val="003C6306"/>
    <w:rsid w:val="00443D57"/>
    <w:rsid w:val="00466A95"/>
    <w:rsid w:val="004975A2"/>
    <w:rsid w:val="004C1431"/>
    <w:rsid w:val="004E2649"/>
    <w:rsid w:val="004F2D0A"/>
    <w:rsid w:val="005342B8"/>
    <w:rsid w:val="005351D5"/>
    <w:rsid w:val="00544709"/>
    <w:rsid w:val="005626C8"/>
    <w:rsid w:val="005C19A7"/>
    <w:rsid w:val="005E6215"/>
    <w:rsid w:val="00655C7D"/>
    <w:rsid w:val="006C5632"/>
    <w:rsid w:val="007B078E"/>
    <w:rsid w:val="0081605C"/>
    <w:rsid w:val="00831BCB"/>
    <w:rsid w:val="00836E9B"/>
    <w:rsid w:val="00843029"/>
    <w:rsid w:val="00853C4E"/>
    <w:rsid w:val="00862774"/>
    <w:rsid w:val="008739A4"/>
    <w:rsid w:val="008C57C0"/>
    <w:rsid w:val="008D65BE"/>
    <w:rsid w:val="008F472F"/>
    <w:rsid w:val="00920865"/>
    <w:rsid w:val="00926853"/>
    <w:rsid w:val="00933422"/>
    <w:rsid w:val="009549B9"/>
    <w:rsid w:val="00983842"/>
    <w:rsid w:val="00990D86"/>
    <w:rsid w:val="009C3992"/>
    <w:rsid w:val="009E493F"/>
    <w:rsid w:val="009F10D4"/>
    <w:rsid w:val="00A0730C"/>
    <w:rsid w:val="00A357BE"/>
    <w:rsid w:val="00AA3FEE"/>
    <w:rsid w:val="00AB090C"/>
    <w:rsid w:val="00AB2E33"/>
    <w:rsid w:val="00AF0FC2"/>
    <w:rsid w:val="00B31E17"/>
    <w:rsid w:val="00B42446"/>
    <w:rsid w:val="00B677C3"/>
    <w:rsid w:val="00B81F36"/>
    <w:rsid w:val="00BC2C02"/>
    <w:rsid w:val="00C023E4"/>
    <w:rsid w:val="00C0370A"/>
    <w:rsid w:val="00C17208"/>
    <w:rsid w:val="00C27837"/>
    <w:rsid w:val="00C30CF9"/>
    <w:rsid w:val="00C44E34"/>
    <w:rsid w:val="00C92B12"/>
    <w:rsid w:val="00CA4AD3"/>
    <w:rsid w:val="00CA6A3A"/>
    <w:rsid w:val="00CC1F9E"/>
    <w:rsid w:val="00CE45EB"/>
    <w:rsid w:val="00D1431D"/>
    <w:rsid w:val="00D44E04"/>
    <w:rsid w:val="00D5284A"/>
    <w:rsid w:val="00DB31BF"/>
    <w:rsid w:val="00DD5851"/>
    <w:rsid w:val="00E548BB"/>
    <w:rsid w:val="00E867F6"/>
    <w:rsid w:val="00E97BF5"/>
    <w:rsid w:val="00ED6D7A"/>
    <w:rsid w:val="00F1315D"/>
    <w:rsid w:val="00F335F9"/>
    <w:rsid w:val="00F55000"/>
    <w:rsid w:val="00F659A6"/>
    <w:rsid w:val="00FA26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5EB"/>
  <w15:chartTrackingRefBased/>
  <w15:docId w15:val="{F2084A5E-756F-428F-ADB2-1806964E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402"/>
    <w:rPr>
      <w:rFonts w:ascii="Calibri" w:eastAsia="Calibri" w:hAnsi="Calibri" w:cs="Calibri"/>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044"/>
    <w:pPr>
      <w:ind w:left="720"/>
      <w:contextualSpacing/>
    </w:pPr>
  </w:style>
  <w:style w:type="paragraph" w:styleId="BalloonText">
    <w:name w:val="Balloon Text"/>
    <w:basedOn w:val="Normal"/>
    <w:link w:val="BalloonTextChar"/>
    <w:uiPriority w:val="99"/>
    <w:semiHidden/>
    <w:unhideWhenUsed/>
    <w:rsid w:val="001C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80"/>
    <w:rPr>
      <w:rFonts w:ascii="Segoe UI" w:eastAsia="Calibri" w:hAnsi="Segoe UI" w:cs="Segoe UI"/>
      <w:sz w:val="18"/>
      <w:szCs w:val="18"/>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A336-437B-4C09-975B-0196408B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Mogola</dc:creator>
  <cp:keywords/>
  <dc:description/>
  <cp:lastModifiedBy>Anna Mogola</cp:lastModifiedBy>
  <cp:revision>84</cp:revision>
  <cp:lastPrinted>2022-05-26T12:49:00Z</cp:lastPrinted>
  <dcterms:created xsi:type="dcterms:W3CDTF">2022-05-22T10:12:00Z</dcterms:created>
  <dcterms:modified xsi:type="dcterms:W3CDTF">2022-05-26T12:50:00Z</dcterms:modified>
</cp:coreProperties>
</file>