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08AE9" w14:textId="77777777" w:rsidR="0080354E" w:rsidRDefault="0080354E" w:rsidP="0080354E">
      <w:pPr>
        <w:jc w:val="center"/>
      </w:pPr>
      <w:r>
        <w:t>IN THE HIGH COURT OF SOUTH AFRICA</w:t>
      </w:r>
    </w:p>
    <w:p w14:paraId="242DFA6B" w14:textId="77777777" w:rsidR="0080354E" w:rsidRDefault="0080354E" w:rsidP="0080354E">
      <w:pPr>
        <w:jc w:val="center"/>
      </w:pPr>
      <w:r>
        <w:t>GAUTENG DIVISION, PRETORIA</w:t>
      </w:r>
    </w:p>
    <w:p w14:paraId="12EC9252" w14:textId="77777777" w:rsidR="0080354E" w:rsidRDefault="0080354E" w:rsidP="0080354E">
      <w:pPr>
        <w:jc w:val="center"/>
      </w:pPr>
    </w:p>
    <w:p w14:paraId="18B61727" w14:textId="77777777" w:rsidR="0080354E" w:rsidRDefault="0080354E" w:rsidP="0080354E">
      <w:pPr>
        <w:jc w:val="center"/>
      </w:pPr>
      <w:r>
        <w:rPr>
          <w:noProof/>
          <w:lang w:val="en-ZA" w:eastAsia="en-ZA"/>
        </w:rPr>
        <w:drawing>
          <wp:inline distT="0" distB="0" distL="0" distR="0" wp14:anchorId="4F6F271C" wp14:editId="763C3429">
            <wp:extent cx="1478280" cy="152908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7586" cy="1538706"/>
                    </a:xfrm>
                    <a:prstGeom prst="rect">
                      <a:avLst/>
                    </a:prstGeom>
                    <a:noFill/>
                    <a:ln w="9525">
                      <a:noFill/>
                      <a:miter lim="800000"/>
                      <a:headEnd/>
                      <a:tailEnd/>
                    </a:ln>
                  </pic:spPr>
                </pic:pic>
              </a:graphicData>
            </a:graphic>
          </wp:inline>
        </w:drawing>
      </w:r>
    </w:p>
    <w:p w14:paraId="1CA2F1F6" w14:textId="77777777" w:rsidR="0080354E" w:rsidRDefault="0080354E" w:rsidP="0080354E">
      <w:pPr>
        <w:jc w:val="center"/>
      </w:pPr>
    </w:p>
    <w:p w14:paraId="6FA6EAEA" w14:textId="23A7EF92" w:rsidR="0080354E" w:rsidRDefault="0080354E" w:rsidP="005C7331"/>
    <w:p w14:paraId="70E3C24E" w14:textId="5EE8164F" w:rsidR="00774EB6" w:rsidRDefault="00C90703" w:rsidP="0080354E">
      <w:pPr>
        <w:jc w:val="right"/>
      </w:pPr>
      <w:r>
        <w:t xml:space="preserve">    </w:t>
      </w:r>
      <w:r w:rsidR="0080354E">
        <w:t xml:space="preserve">CASE NO.: </w:t>
      </w:r>
      <w:r w:rsidR="00BC2760">
        <w:t>28008/2021</w:t>
      </w:r>
    </w:p>
    <w:p w14:paraId="718EF370" w14:textId="506BC5B6" w:rsidR="0080354E" w:rsidRDefault="0080354E" w:rsidP="0080354E">
      <w:pPr>
        <w:jc w:val="right"/>
      </w:pPr>
    </w:p>
    <w:p w14:paraId="141E0733" w14:textId="77777777" w:rsidR="0080354E" w:rsidRDefault="0080354E" w:rsidP="0080354E">
      <w:pPr>
        <w:jc w:val="right"/>
      </w:pPr>
    </w:p>
    <w:p w14:paraId="5F06FE93" w14:textId="77777777" w:rsidR="0080354E" w:rsidRDefault="0080354E" w:rsidP="0080354E">
      <w:pPr>
        <w:jc w:val="both"/>
      </w:pPr>
      <w:r w:rsidRPr="00A45D8C">
        <w:rPr>
          <w:noProof/>
          <w:lang w:val="en-ZA" w:eastAsia="en-ZA"/>
        </w:rPr>
        <w:drawing>
          <wp:inline distT="0" distB="0" distL="0" distR="0" wp14:anchorId="7EAA04AC" wp14:editId="5B823D62">
            <wp:extent cx="3342640" cy="14001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2A613F72" w14:textId="77777777" w:rsidR="0080354E" w:rsidRDefault="0080354E" w:rsidP="0080354E">
      <w:pPr>
        <w:jc w:val="both"/>
      </w:pPr>
    </w:p>
    <w:p w14:paraId="6FCBBD6C" w14:textId="77777777" w:rsidR="0080354E" w:rsidRDefault="0080354E" w:rsidP="0080354E">
      <w:pPr>
        <w:jc w:val="both"/>
      </w:pPr>
      <w:r>
        <w:t>In the matter between:</w:t>
      </w:r>
    </w:p>
    <w:p w14:paraId="762EBD3C" w14:textId="77777777" w:rsidR="0080354E" w:rsidRDefault="0080354E" w:rsidP="0080354E">
      <w:pPr>
        <w:jc w:val="both"/>
      </w:pP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7"/>
        <w:gridCol w:w="2823"/>
      </w:tblGrid>
      <w:tr w:rsidR="0080354E" w14:paraId="43DFF8F4" w14:textId="77777777" w:rsidTr="009D25EE">
        <w:trPr>
          <w:trHeight w:val="1093"/>
        </w:trPr>
        <w:tc>
          <w:tcPr>
            <w:tcW w:w="5957" w:type="dxa"/>
          </w:tcPr>
          <w:p w14:paraId="62C95D42" w14:textId="503C9E7B" w:rsidR="00E8574B" w:rsidRDefault="00BC2760" w:rsidP="00564B22">
            <w:pPr>
              <w:jc w:val="both"/>
            </w:pPr>
            <w:r>
              <w:t>CULVERWELL CATTLE COMPANY PROPRIETARY LIMITED</w:t>
            </w:r>
          </w:p>
          <w:p w14:paraId="72730CBD" w14:textId="77777777" w:rsidR="00BC2760" w:rsidRDefault="00BC2760" w:rsidP="00564B22">
            <w:pPr>
              <w:jc w:val="both"/>
            </w:pPr>
          </w:p>
          <w:p w14:paraId="072DAF5F" w14:textId="77777777" w:rsidR="00BC2760" w:rsidRDefault="00BC2760" w:rsidP="00564B22">
            <w:pPr>
              <w:jc w:val="both"/>
            </w:pPr>
            <w:r>
              <w:t>CULVERWELL CONSERVATION COMPANY PROPRIETARY LIMITED</w:t>
            </w:r>
          </w:p>
          <w:p w14:paraId="0A63C69C" w14:textId="77777777" w:rsidR="00BC2760" w:rsidRDefault="00BC2760" w:rsidP="00564B22">
            <w:pPr>
              <w:jc w:val="both"/>
            </w:pPr>
          </w:p>
          <w:p w14:paraId="1400F33D" w14:textId="77777777" w:rsidR="00BC2760" w:rsidRDefault="00BC2760" w:rsidP="00564B22">
            <w:pPr>
              <w:jc w:val="both"/>
            </w:pPr>
            <w:r>
              <w:t>STREET SPIRIT TRADING 175 PROPRIETARY LIMITED</w:t>
            </w:r>
          </w:p>
          <w:p w14:paraId="676D337C" w14:textId="77777777" w:rsidR="00BC2760" w:rsidRDefault="00BC2760" w:rsidP="00564B22">
            <w:pPr>
              <w:jc w:val="both"/>
            </w:pPr>
          </w:p>
          <w:p w14:paraId="7E612B73" w14:textId="77777777" w:rsidR="00BC2760" w:rsidRDefault="00BC2760" w:rsidP="00564B22">
            <w:pPr>
              <w:jc w:val="both"/>
            </w:pPr>
            <w:r>
              <w:t>ZILKAATS ESTATE HOMEOWNERS’ ASSOCIATION</w:t>
            </w:r>
          </w:p>
          <w:p w14:paraId="4DB3FFE9" w14:textId="77777777" w:rsidR="00BC2760" w:rsidRDefault="00BC2760" w:rsidP="00564B22">
            <w:pPr>
              <w:jc w:val="both"/>
            </w:pPr>
          </w:p>
          <w:p w14:paraId="377CB817" w14:textId="77777777" w:rsidR="00BC2760" w:rsidRDefault="00BC2760" w:rsidP="00564B22">
            <w:pPr>
              <w:jc w:val="both"/>
            </w:pPr>
            <w:r>
              <w:t>LEON ERASMUS</w:t>
            </w:r>
          </w:p>
          <w:p w14:paraId="34396480" w14:textId="77777777" w:rsidR="00BC2760" w:rsidRDefault="00BC2760" w:rsidP="00564B22">
            <w:pPr>
              <w:jc w:val="both"/>
            </w:pPr>
          </w:p>
          <w:p w14:paraId="682AD02D" w14:textId="77777777" w:rsidR="00BC2760" w:rsidRDefault="00BC2760" w:rsidP="00564B22">
            <w:pPr>
              <w:jc w:val="both"/>
            </w:pPr>
            <w:r>
              <w:t>MAGDALENA SOPHIA MARIA ERASMUS</w:t>
            </w:r>
          </w:p>
          <w:p w14:paraId="0DE5BCF9" w14:textId="77777777" w:rsidR="00BC2760" w:rsidRDefault="00BC2760" w:rsidP="00564B22">
            <w:pPr>
              <w:jc w:val="both"/>
            </w:pPr>
          </w:p>
          <w:p w14:paraId="09061A9D" w14:textId="77777777" w:rsidR="00BC2760" w:rsidRDefault="00BC2760" w:rsidP="00564B22">
            <w:pPr>
              <w:jc w:val="both"/>
            </w:pPr>
            <w:r>
              <w:t>KENEMANDANIE CLOSED CORPORATION</w:t>
            </w:r>
          </w:p>
          <w:p w14:paraId="54F04E9D" w14:textId="77777777" w:rsidR="00BC2760" w:rsidRDefault="00BC2760" w:rsidP="00564B22">
            <w:pPr>
              <w:jc w:val="both"/>
            </w:pPr>
          </w:p>
          <w:p w14:paraId="6C4CEC75" w14:textId="77777777" w:rsidR="00BC2760" w:rsidRDefault="00BC2760" w:rsidP="00564B22">
            <w:pPr>
              <w:jc w:val="both"/>
            </w:pPr>
            <w:r>
              <w:t>WERNER HENNING</w:t>
            </w:r>
          </w:p>
          <w:p w14:paraId="2D814352" w14:textId="77777777" w:rsidR="00BC2760" w:rsidRDefault="00BC2760" w:rsidP="00564B22">
            <w:pPr>
              <w:jc w:val="both"/>
            </w:pPr>
          </w:p>
          <w:p w14:paraId="0253BAC3" w14:textId="77777777" w:rsidR="00BC2760" w:rsidRDefault="00BC2760" w:rsidP="00564B22">
            <w:pPr>
              <w:jc w:val="both"/>
            </w:pPr>
            <w:r>
              <w:t>OLGA HENNING</w:t>
            </w:r>
          </w:p>
          <w:p w14:paraId="1EB80097" w14:textId="77777777" w:rsidR="00BC2760" w:rsidRDefault="00BC2760" w:rsidP="00564B22">
            <w:pPr>
              <w:jc w:val="both"/>
            </w:pPr>
          </w:p>
          <w:p w14:paraId="48BF0F55" w14:textId="77777777" w:rsidR="00BC2760" w:rsidRDefault="00BC2760" w:rsidP="00564B22">
            <w:pPr>
              <w:jc w:val="both"/>
            </w:pPr>
            <w:r>
              <w:t>GERHARDUS JACOBUS VAN ROOYEN</w:t>
            </w:r>
          </w:p>
          <w:p w14:paraId="398FC209" w14:textId="77777777" w:rsidR="00BC2760" w:rsidRDefault="00BC2760" w:rsidP="00564B22">
            <w:pPr>
              <w:jc w:val="both"/>
            </w:pPr>
            <w:r>
              <w:lastRenderedPageBreak/>
              <w:t>MAKIBIG FARMS PROPRIETARY LIMITED</w:t>
            </w:r>
          </w:p>
          <w:p w14:paraId="12EF488C" w14:textId="77777777" w:rsidR="00BC2760" w:rsidRDefault="00BC2760" w:rsidP="00564B22">
            <w:pPr>
              <w:jc w:val="both"/>
            </w:pPr>
          </w:p>
          <w:p w14:paraId="7A1EA14D" w14:textId="27D08D98" w:rsidR="00BC2760" w:rsidRPr="00774EB6" w:rsidRDefault="00BC2760" w:rsidP="00564B22">
            <w:pPr>
              <w:jc w:val="both"/>
            </w:pPr>
            <w:r>
              <w:t>DEWILDT HELPMEKAAR NPC</w:t>
            </w:r>
          </w:p>
        </w:tc>
        <w:tc>
          <w:tcPr>
            <w:tcW w:w="2823" w:type="dxa"/>
          </w:tcPr>
          <w:p w14:paraId="0E92BB92" w14:textId="5326C1DF" w:rsidR="002909C1" w:rsidRDefault="009224F5" w:rsidP="00A01506">
            <w:pPr>
              <w:jc w:val="right"/>
            </w:pPr>
            <w:r>
              <w:lastRenderedPageBreak/>
              <w:t>First Applicant</w:t>
            </w:r>
          </w:p>
          <w:p w14:paraId="10E87A6E" w14:textId="76480910" w:rsidR="009224F5" w:rsidRDefault="009224F5" w:rsidP="00A01506">
            <w:pPr>
              <w:jc w:val="right"/>
            </w:pPr>
          </w:p>
          <w:p w14:paraId="4490AC37" w14:textId="5A75620C" w:rsidR="009224F5" w:rsidRDefault="009224F5" w:rsidP="00A01506">
            <w:pPr>
              <w:jc w:val="right"/>
            </w:pPr>
          </w:p>
          <w:p w14:paraId="643F4BE3" w14:textId="00B23580" w:rsidR="009224F5" w:rsidRDefault="009224F5" w:rsidP="00A01506">
            <w:pPr>
              <w:jc w:val="right"/>
            </w:pPr>
            <w:r>
              <w:t>Second Applicant</w:t>
            </w:r>
          </w:p>
          <w:p w14:paraId="4FBB2DB1" w14:textId="4C3E105D" w:rsidR="009224F5" w:rsidRDefault="009224F5" w:rsidP="00A01506">
            <w:pPr>
              <w:jc w:val="right"/>
            </w:pPr>
          </w:p>
          <w:p w14:paraId="0406A278" w14:textId="47B57CDD" w:rsidR="009224F5" w:rsidRDefault="009224F5" w:rsidP="00A01506">
            <w:pPr>
              <w:jc w:val="right"/>
            </w:pPr>
          </w:p>
          <w:p w14:paraId="1883FCEF" w14:textId="0B3C5E17" w:rsidR="009224F5" w:rsidRDefault="009224F5" w:rsidP="00A01506">
            <w:pPr>
              <w:jc w:val="right"/>
            </w:pPr>
            <w:r>
              <w:t>Third Applicant</w:t>
            </w:r>
          </w:p>
          <w:p w14:paraId="25F26130" w14:textId="542AA3F6" w:rsidR="009224F5" w:rsidRDefault="009224F5" w:rsidP="00A01506">
            <w:pPr>
              <w:jc w:val="right"/>
            </w:pPr>
          </w:p>
          <w:p w14:paraId="02E101C4" w14:textId="3F32ECF8" w:rsidR="009224F5" w:rsidRDefault="009224F5" w:rsidP="00A01506">
            <w:pPr>
              <w:jc w:val="right"/>
            </w:pPr>
          </w:p>
          <w:p w14:paraId="1FB9B824" w14:textId="3BD5702A" w:rsidR="009224F5" w:rsidRDefault="009224F5" w:rsidP="00A01506">
            <w:pPr>
              <w:jc w:val="right"/>
            </w:pPr>
            <w:r>
              <w:t>Fourth Applicant</w:t>
            </w:r>
          </w:p>
          <w:p w14:paraId="063CDFAA" w14:textId="07D29D9E" w:rsidR="009224F5" w:rsidRDefault="009224F5" w:rsidP="00A01506">
            <w:pPr>
              <w:jc w:val="right"/>
            </w:pPr>
          </w:p>
          <w:p w14:paraId="35F572A4" w14:textId="30054419" w:rsidR="009224F5" w:rsidRDefault="009224F5" w:rsidP="00A01506">
            <w:pPr>
              <w:jc w:val="right"/>
            </w:pPr>
            <w:r>
              <w:t>Fifth Applicant</w:t>
            </w:r>
          </w:p>
          <w:p w14:paraId="00122064" w14:textId="76A4CDBD" w:rsidR="009224F5" w:rsidRDefault="009224F5" w:rsidP="00A01506">
            <w:pPr>
              <w:jc w:val="right"/>
            </w:pPr>
          </w:p>
          <w:p w14:paraId="2B75B3AA" w14:textId="13C61EED" w:rsidR="009224F5" w:rsidRDefault="009224F5" w:rsidP="00A01506">
            <w:pPr>
              <w:jc w:val="right"/>
            </w:pPr>
            <w:r>
              <w:t>Sixth Applicant</w:t>
            </w:r>
          </w:p>
          <w:p w14:paraId="329D14CF" w14:textId="0349EF77" w:rsidR="009224F5" w:rsidRDefault="009224F5" w:rsidP="00A01506">
            <w:pPr>
              <w:jc w:val="right"/>
            </w:pPr>
          </w:p>
          <w:p w14:paraId="46745F87" w14:textId="17F2BDD8" w:rsidR="009224F5" w:rsidRDefault="009224F5" w:rsidP="00A01506">
            <w:pPr>
              <w:jc w:val="right"/>
            </w:pPr>
            <w:r>
              <w:t>Seventh Applicant</w:t>
            </w:r>
          </w:p>
          <w:p w14:paraId="5669B3D3" w14:textId="717C058F" w:rsidR="009224F5" w:rsidRDefault="009224F5" w:rsidP="00A01506">
            <w:pPr>
              <w:jc w:val="right"/>
            </w:pPr>
          </w:p>
          <w:p w14:paraId="3DEE3FD4" w14:textId="4366D149" w:rsidR="009224F5" w:rsidRDefault="009224F5" w:rsidP="00A01506">
            <w:pPr>
              <w:jc w:val="right"/>
            </w:pPr>
            <w:r>
              <w:t>Eighth Applicant</w:t>
            </w:r>
          </w:p>
          <w:p w14:paraId="5A77AFA4" w14:textId="71555913" w:rsidR="009224F5" w:rsidRDefault="009224F5" w:rsidP="00A01506">
            <w:pPr>
              <w:jc w:val="right"/>
            </w:pPr>
          </w:p>
          <w:p w14:paraId="72471779" w14:textId="0D24D934" w:rsidR="009224F5" w:rsidRDefault="009224F5" w:rsidP="00A01506">
            <w:pPr>
              <w:jc w:val="right"/>
            </w:pPr>
            <w:r>
              <w:t>Ninth Applicant</w:t>
            </w:r>
          </w:p>
          <w:p w14:paraId="59AD5816" w14:textId="444A680E" w:rsidR="009224F5" w:rsidRDefault="009224F5" w:rsidP="00A01506">
            <w:pPr>
              <w:jc w:val="right"/>
            </w:pPr>
          </w:p>
          <w:p w14:paraId="7586B035" w14:textId="75E6CF47" w:rsidR="009224F5" w:rsidRDefault="009224F5" w:rsidP="00A01506">
            <w:pPr>
              <w:jc w:val="right"/>
            </w:pPr>
            <w:r>
              <w:t>Tenth Applicant</w:t>
            </w:r>
          </w:p>
          <w:p w14:paraId="32AACFF4" w14:textId="30E8778E" w:rsidR="009224F5" w:rsidRDefault="009224F5" w:rsidP="00A01506">
            <w:pPr>
              <w:jc w:val="right"/>
            </w:pPr>
            <w:r>
              <w:lastRenderedPageBreak/>
              <w:t>Eleventh Applicant</w:t>
            </w:r>
          </w:p>
          <w:p w14:paraId="613F3DDA" w14:textId="6C328C76" w:rsidR="009224F5" w:rsidRDefault="009224F5" w:rsidP="00A01506">
            <w:pPr>
              <w:jc w:val="right"/>
            </w:pPr>
          </w:p>
          <w:p w14:paraId="3E325B5D" w14:textId="5453308F" w:rsidR="009224F5" w:rsidRDefault="009224F5" w:rsidP="009224F5">
            <w:pPr>
              <w:jc w:val="right"/>
            </w:pPr>
            <w:r>
              <w:t>Twelfth Applicant</w:t>
            </w:r>
          </w:p>
          <w:p w14:paraId="090D4C84" w14:textId="77777777" w:rsidR="002909C1" w:rsidRDefault="002909C1" w:rsidP="00A01506">
            <w:pPr>
              <w:jc w:val="right"/>
            </w:pPr>
          </w:p>
          <w:p w14:paraId="354C1C21" w14:textId="77777777" w:rsidR="0080354E" w:rsidRDefault="0080354E" w:rsidP="00564B22">
            <w:pPr>
              <w:jc w:val="right"/>
            </w:pPr>
          </w:p>
        </w:tc>
      </w:tr>
      <w:tr w:rsidR="0080354E" w14:paraId="4ED0A450" w14:textId="77777777" w:rsidTr="009D25EE">
        <w:trPr>
          <w:trHeight w:val="271"/>
        </w:trPr>
        <w:tc>
          <w:tcPr>
            <w:tcW w:w="5957" w:type="dxa"/>
          </w:tcPr>
          <w:p w14:paraId="7BF1DAAF" w14:textId="2F2186EA" w:rsidR="0080354E" w:rsidRDefault="00BC2760" w:rsidP="00564B22">
            <w:pPr>
              <w:jc w:val="both"/>
            </w:pPr>
            <w:r>
              <w:lastRenderedPageBreak/>
              <w:t>A</w:t>
            </w:r>
            <w:r w:rsidR="0080354E">
              <w:t>nd</w:t>
            </w:r>
          </w:p>
        </w:tc>
        <w:tc>
          <w:tcPr>
            <w:tcW w:w="2823" w:type="dxa"/>
          </w:tcPr>
          <w:p w14:paraId="085F65CA" w14:textId="77777777" w:rsidR="0080354E" w:rsidRDefault="0080354E" w:rsidP="00564B22">
            <w:pPr>
              <w:jc w:val="right"/>
            </w:pPr>
          </w:p>
        </w:tc>
      </w:tr>
      <w:tr w:rsidR="0080354E" w14:paraId="3389A4A0" w14:textId="77777777" w:rsidTr="009D25EE">
        <w:trPr>
          <w:trHeight w:val="1025"/>
        </w:trPr>
        <w:tc>
          <w:tcPr>
            <w:tcW w:w="5957" w:type="dxa"/>
          </w:tcPr>
          <w:p w14:paraId="3203EF0A" w14:textId="77777777" w:rsidR="00D36F47" w:rsidRDefault="00D36F47" w:rsidP="00564B22">
            <w:pPr>
              <w:jc w:val="both"/>
            </w:pPr>
          </w:p>
          <w:p w14:paraId="5C475B73" w14:textId="77777777" w:rsidR="009F48E5" w:rsidRDefault="00BC2760" w:rsidP="00394333">
            <w:pPr>
              <w:jc w:val="both"/>
            </w:pPr>
            <w:r>
              <w:t>MINISTER OF MINERAL RESOURCES</w:t>
            </w:r>
          </w:p>
          <w:p w14:paraId="2994E412" w14:textId="77777777" w:rsidR="009224F5" w:rsidRDefault="009224F5" w:rsidP="00394333">
            <w:pPr>
              <w:jc w:val="both"/>
            </w:pPr>
          </w:p>
          <w:p w14:paraId="7915FEDA" w14:textId="77777777" w:rsidR="009224F5" w:rsidRDefault="009224F5" w:rsidP="00394333">
            <w:pPr>
              <w:jc w:val="both"/>
            </w:pPr>
            <w:r>
              <w:t>DIRECTOR-GENERAL OF THE DEPARMENT OF MINERAL RESOURCES</w:t>
            </w:r>
          </w:p>
          <w:p w14:paraId="5CC6EFBE" w14:textId="77777777" w:rsidR="009224F5" w:rsidRDefault="009224F5" w:rsidP="00394333">
            <w:pPr>
              <w:jc w:val="both"/>
            </w:pPr>
          </w:p>
          <w:p w14:paraId="344B9DA2" w14:textId="77777777" w:rsidR="009224F5" w:rsidRDefault="009224F5" w:rsidP="00394333">
            <w:pPr>
              <w:jc w:val="both"/>
            </w:pPr>
            <w:r>
              <w:t>THE REGIONAL MANAGER OF THE DEPARTMENT OF MINERAL RESOURCES, NORTH-WEST REGION</w:t>
            </w:r>
          </w:p>
          <w:p w14:paraId="78D05764" w14:textId="77777777" w:rsidR="009224F5" w:rsidRDefault="009224F5" w:rsidP="00394333">
            <w:pPr>
              <w:jc w:val="both"/>
            </w:pPr>
          </w:p>
          <w:p w14:paraId="4C7E6C06" w14:textId="41A74DA0" w:rsidR="009224F5" w:rsidRDefault="009224F5" w:rsidP="00394333">
            <w:pPr>
              <w:jc w:val="both"/>
            </w:pPr>
            <w:r>
              <w:t>CEDAR POINT MINERALS PROPRIETARY LIMITED</w:t>
            </w:r>
          </w:p>
          <w:p w14:paraId="4EBB73B3" w14:textId="77777777" w:rsidR="009224F5" w:rsidRDefault="009224F5" w:rsidP="00394333">
            <w:pPr>
              <w:jc w:val="both"/>
            </w:pPr>
          </w:p>
          <w:p w14:paraId="5039236E" w14:textId="77777777" w:rsidR="009224F5" w:rsidRDefault="009224F5" w:rsidP="00394333">
            <w:pPr>
              <w:jc w:val="both"/>
            </w:pPr>
            <w:r>
              <w:t>NCHE MINING RESOURCES 247 PROPRIETARY LIMITED</w:t>
            </w:r>
          </w:p>
          <w:p w14:paraId="2374E48F" w14:textId="77777777" w:rsidR="009224F5" w:rsidRDefault="009224F5" w:rsidP="00394333">
            <w:pPr>
              <w:jc w:val="both"/>
            </w:pPr>
          </w:p>
          <w:p w14:paraId="53A491B8" w14:textId="77777777" w:rsidR="009224F5" w:rsidRDefault="009224F5" w:rsidP="00394333">
            <w:pPr>
              <w:jc w:val="both"/>
            </w:pPr>
            <w:r>
              <w:t>MADIBENG LOCAL MUNICIPALITY</w:t>
            </w:r>
          </w:p>
          <w:p w14:paraId="371F36D5" w14:textId="77777777" w:rsidR="009224F5" w:rsidRDefault="009224F5" w:rsidP="00394333">
            <w:pPr>
              <w:jc w:val="both"/>
            </w:pPr>
          </w:p>
          <w:p w14:paraId="0D5773E0" w14:textId="77777777" w:rsidR="009224F5" w:rsidRDefault="009224F5" w:rsidP="00394333">
            <w:pPr>
              <w:jc w:val="both"/>
            </w:pPr>
            <w:r>
              <w:t xml:space="preserve">In Re: </w:t>
            </w:r>
          </w:p>
          <w:p w14:paraId="3A14261E" w14:textId="77777777" w:rsidR="009224F5" w:rsidRDefault="009224F5" w:rsidP="00394333">
            <w:pPr>
              <w:jc w:val="both"/>
            </w:pPr>
          </w:p>
          <w:p w14:paraId="687622DE" w14:textId="77777777" w:rsidR="009224F5" w:rsidRDefault="009224F5" w:rsidP="00394333">
            <w:pPr>
              <w:jc w:val="both"/>
            </w:pPr>
            <w:r>
              <w:t>CEDAR POINT MINERALS PROPRIETARY LIMITED</w:t>
            </w:r>
          </w:p>
          <w:p w14:paraId="76D321A1" w14:textId="77777777" w:rsidR="009224F5" w:rsidRDefault="009224F5" w:rsidP="00394333">
            <w:pPr>
              <w:jc w:val="both"/>
            </w:pPr>
          </w:p>
          <w:p w14:paraId="08A7947A" w14:textId="1E5D94B1" w:rsidR="009224F5" w:rsidRDefault="009224F5" w:rsidP="00394333">
            <w:pPr>
              <w:jc w:val="both"/>
            </w:pPr>
            <w:r>
              <w:t>and</w:t>
            </w:r>
          </w:p>
          <w:p w14:paraId="23A8467F" w14:textId="77777777" w:rsidR="009224F5" w:rsidRDefault="009224F5" w:rsidP="00394333">
            <w:pPr>
              <w:jc w:val="both"/>
            </w:pPr>
          </w:p>
          <w:p w14:paraId="398A0BF6" w14:textId="77777777" w:rsidR="009224F5" w:rsidRDefault="009224F5" w:rsidP="009224F5">
            <w:pPr>
              <w:jc w:val="both"/>
            </w:pPr>
            <w:r>
              <w:t>CULVERWELL CATTLE COMPANY PROPRIETARY LIMITED</w:t>
            </w:r>
          </w:p>
          <w:p w14:paraId="7FF9B95A" w14:textId="77777777" w:rsidR="009224F5" w:rsidRDefault="009224F5" w:rsidP="009224F5">
            <w:pPr>
              <w:jc w:val="both"/>
            </w:pPr>
          </w:p>
          <w:p w14:paraId="21767B9F" w14:textId="77777777" w:rsidR="009224F5" w:rsidRDefault="009224F5" w:rsidP="009224F5">
            <w:pPr>
              <w:jc w:val="both"/>
            </w:pPr>
            <w:r>
              <w:t>CULVERWELL CONSERVATION COMPANY PROPRIETARY LIMITED</w:t>
            </w:r>
          </w:p>
          <w:p w14:paraId="66B8F58C" w14:textId="77777777" w:rsidR="009224F5" w:rsidRDefault="009224F5" w:rsidP="009224F5">
            <w:pPr>
              <w:jc w:val="both"/>
            </w:pPr>
          </w:p>
          <w:p w14:paraId="5F339E18" w14:textId="77777777" w:rsidR="009224F5" w:rsidRDefault="009224F5" w:rsidP="009224F5">
            <w:pPr>
              <w:jc w:val="both"/>
            </w:pPr>
            <w:r>
              <w:t>ZILKAATS ESTATE HOMEOWNERS’ ASSOCIATION</w:t>
            </w:r>
          </w:p>
          <w:p w14:paraId="0E185FA1" w14:textId="77777777" w:rsidR="009224F5" w:rsidRDefault="009224F5" w:rsidP="009224F5">
            <w:pPr>
              <w:jc w:val="both"/>
            </w:pPr>
          </w:p>
          <w:p w14:paraId="14275CDC" w14:textId="77777777" w:rsidR="009224F5" w:rsidRDefault="009224F5" w:rsidP="009224F5">
            <w:pPr>
              <w:jc w:val="both"/>
            </w:pPr>
            <w:r>
              <w:t>MINISTER OF MINERAL RESOURCES</w:t>
            </w:r>
          </w:p>
          <w:p w14:paraId="45222350" w14:textId="77777777" w:rsidR="009224F5" w:rsidRDefault="009224F5" w:rsidP="009224F5">
            <w:pPr>
              <w:jc w:val="both"/>
            </w:pPr>
          </w:p>
          <w:p w14:paraId="49B1812A" w14:textId="77777777" w:rsidR="009224F5" w:rsidRDefault="009224F5" w:rsidP="009224F5">
            <w:pPr>
              <w:jc w:val="both"/>
            </w:pPr>
            <w:r>
              <w:t>DIRECTOR-GENERAL OF THE DEPARMENT OF MINERAL RESOURCES</w:t>
            </w:r>
          </w:p>
          <w:p w14:paraId="39B4FE93" w14:textId="77777777" w:rsidR="009224F5" w:rsidRDefault="009224F5" w:rsidP="009224F5">
            <w:pPr>
              <w:jc w:val="both"/>
            </w:pPr>
          </w:p>
          <w:p w14:paraId="41393DE4" w14:textId="6F9730D4" w:rsidR="009224F5" w:rsidRPr="00774EB6" w:rsidRDefault="009224F5" w:rsidP="009224F5">
            <w:pPr>
              <w:jc w:val="both"/>
            </w:pPr>
            <w:r>
              <w:t>THE REGIONAL MANAGER OF THE DEPARTMENT OF MINERAL RESOURCES, NORTH-WEST REGION</w:t>
            </w:r>
          </w:p>
        </w:tc>
        <w:tc>
          <w:tcPr>
            <w:tcW w:w="2823" w:type="dxa"/>
          </w:tcPr>
          <w:p w14:paraId="115DD753" w14:textId="54ED76C1" w:rsidR="00D36F47" w:rsidRDefault="00D36F47" w:rsidP="00564B22">
            <w:pPr>
              <w:jc w:val="right"/>
            </w:pPr>
          </w:p>
          <w:p w14:paraId="7894B9E5" w14:textId="77777777" w:rsidR="002909C1" w:rsidRDefault="009224F5" w:rsidP="0011627D">
            <w:pPr>
              <w:jc w:val="right"/>
            </w:pPr>
            <w:r>
              <w:t>First Respondent</w:t>
            </w:r>
          </w:p>
          <w:p w14:paraId="1692C66A" w14:textId="77777777" w:rsidR="009224F5" w:rsidRDefault="009224F5" w:rsidP="0011627D">
            <w:pPr>
              <w:jc w:val="right"/>
            </w:pPr>
          </w:p>
          <w:p w14:paraId="0FAAA66A" w14:textId="77777777" w:rsidR="009224F5" w:rsidRDefault="009224F5" w:rsidP="0011627D">
            <w:pPr>
              <w:jc w:val="right"/>
            </w:pPr>
            <w:r>
              <w:t>Second Respondent</w:t>
            </w:r>
          </w:p>
          <w:p w14:paraId="338366CB" w14:textId="77777777" w:rsidR="009224F5" w:rsidRDefault="009224F5" w:rsidP="0011627D">
            <w:pPr>
              <w:jc w:val="right"/>
            </w:pPr>
          </w:p>
          <w:p w14:paraId="7D8ECA5C" w14:textId="77777777" w:rsidR="009224F5" w:rsidRDefault="009224F5" w:rsidP="0011627D">
            <w:pPr>
              <w:jc w:val="right"/>
            </w:pPr>
          </w:p>
          <w:p w14:paraId="2BF9A074" w14:textId="77777777" w:rsidR="009224F5" w:rsidRDefault="009224F5" w:rsidP="0011627D">
            <w:pPr>
              <w:jc w:val="right"/>
            </w:pPr>
            <w:r>
              <w:t>Third Respondent</w:t>
            </w:r>
          </w:p>
          <w:p w14:paraId="1F02BE00" w14:textId="77777777" w:rsidR="009224F5" w:rsidRDefault="009224F5" w:rsidP="0011627D">
            <w:pPr>
              <w:jc w:val="right"/>
            </w:pPr>
          </w:p>
          <w:p w14:paraId="221CD92C" w14:textId="77777777" w:rsidR="009224F5" w:rsidRDefault="009224F5" w:rsidP="0011627D">
            <w:pPr>
              <w:jc w:val="right"/>
            </w:pPr>
          </w:p>
          <w:p w14:paraId="2273CA52" w14:textId="77777777" w:rsidR="009224F5" w:rsidRDefault="009224F5" w:rsidP="0011627D">
            <w:pPr>
              <w:jc w:val="right"/>
            </w:pPr>
          </w:p>
          <w:p w14:paraId="1BE993B7" w14:textId="77777777" w:rsidR="009224F5" w:rsidRDefault="009224F5" w:rsidP="0011627D">
            <w:pPr>
              <w:jc w:val="right"/>
            </w:pPr>
            <w:r>
              <w:t>Fourth Respondent</w:t>
            </w:r>
          </w:p>
          <w:p w14:paraId="145D207A" w14:textId="77777777" w:rsidR="009224F5" w:rsidRDefault="009224F5" w:rsidP="0011627D">
            <w:pPr>
              <w:jc w:val="right"/>
            </w:pPr>
          </w:p>
          <w:p w14:paraId="4B63009D" w14:textId="77777777" w:rsidR="009224F5" w:rsidRDefault="009224F5" w:rsidP="0011627D">
            <w:pPr>
              <w:jc w:val="right"/>
            </w:pPr>
            <w:r>
              <w:t>Fifth Respondent</w:t>
            </w:r>
          </w:p>
          <w:p w14:paraId="20944696" w14:textId="4C1D0260" w:rsidR="009224F5" w:rsidRDefault="009224F5" w:rsidP="0011627D">
            <w:pPr>
              <w:jc w:val="right"/>
            </w:pPr>
          </w:p>
          <w:p w14:paraId="0FF10C99" w14:textId="77777777" w:rsidR="009224F5" w:rsidRDefault="009224F5" w:rsidP="0011627D">
            <w:pPr>
              <w:jc w:val="right"/>
            </w:pPr>
          </w:p>
          <w:p w14:paraId="285FB247" w14:textId="77777777" w:rsidR="009224F5" w:rsidRDefault="009224F5" w:rsidP="0011627D">
            <w:pPr>
              <w:jc w:val="right"/>
            </w:pPr>
            <w:r>
              <w:t>Sixth Respondent</w:t>
            </w:r>
          </w:p>
          <w:p w14:paraId="40E02F6D" w14:textId="77777777" w:rsidR="009D26BE" w:rsidRDefault="009D26BE" w:rsidP="0011627D">
            <w:pPr>
              <w:jc w:val="right"/>
            </w:pPr>
          </w:p>
          <w:p w14:paraId="5C5D0553" w14:textId="77777777" w:rsidR="009D26BE" w:rsidRDefault="009D26BE" w:rsidP="0011627D">
            <w:pPr>
              <w:jc w:val="right"/>
            </w:pPr>
          </w:p>
          <w:p w14:paraId="58C5EF6F" w14:textId="77777777" w:rsidR="009D26BE" w:rsidRDefault="009D26BE" w:rsidP="0011627D">
            <w:pPr>
              <w:jc w:val="right"/>
            </w:pPr>
          </w:p>
          <w:p w14:paraId="618A548D" w14:textId="77777777" w:rsidR="009D26BE" w:rsidRDefault="009D26BE" w:rsidP="0011627D">
            <w:pPr>
              <w:jc w:val="right"/>
            </w:pPr>
            <w:r>
              <w:t>Applicant</w:t>
            </w:r>
          </w:p>
          <w:p w14:paraId="1912E4BC" w14:textId="77777777" w:rsidR="009D26BE" w:rsidRDefault="009D26BE" w:rsidP="0011627D">
            <w:pPr>
              <w:jc w:val="right"/>
            </w:pPr>
          </w:p>
          <w:p w14:paraId="19A4CEC8" w14:textId="77777777" w:rsidR="009D26BE" w:rsidRDefault="009D26BE" w:rsidP="0011627D">
            <w:pPr>
              <w:jc w:val="right"/>
            </w:pPr>
          </w:p>
          <w:p w14:paraId="446D1E94" w14:textId="77777777" w:rsidR="009D26BE" w:rsidRDefault="009D26BE" w:rsidP="0011627D">
            <w:pPr>
              <w:jc w:val="right"/>
            </w:pPr>
          </w:p>
          <w:p w14:paraId="650106F0" w14:textId="77777777" w:rsidR="009D26BE" w:rsidRDefault="009D26BE" w:rsidP="0011627D">
            <w:pPr>
              <w:jc w:val="right"/>
            </w:pPr>
            <w:r>
              <w:t>First Respondent</w:t>
            </w:r>
          </w:p>
          <w:p w14:paraId="62D04BB7" w14:textId="77777777" w:rsidR="009D26BE" w:rsidRDefault="009D26BE" w:rsidP="0011627D">
            <w:pPr>
              <w:jc w:val="right"/>
            </w:pPr>
          </w:p>
          <w:p w14:paraId="34FD02D5" w14:textId="77777777" w:rsidR="009D26BE" w:rsidRDefault="009D26BE" w:rsidP="0011627D">
            <w:pPr>
              <w:jc w:val="right"/>
            </w:pPr>
          </w:p>
          <w:p w14:paraId="49B6E96F" w14:textId="77777777" w:rsidR="009D26BE" w:rsidRDefault="009D26BE" w:rsidP="0011627D">
            <w:pPr>
              <w:jc w:val="right"/>
            </w:pPr>
            <w:r>
              <w:t>Second Respondent</w:t>
            </w:r>
          </w:p>
          <w:p w14:paraId="73C81905" w14:textId="77777777" w:rsidR="009D26BE" w:rsidRDefault="009D26BE" w:rsidP="0011627D">
            <w:pPr>
              <w:jc w:val="right"/>
            </w:pPr>
          </w:p>
          <w:p w14:paraId="149FDF6E" w14:textId="77777777" w:rsidR="009D26BE" w:rsidRDefault="009D26BE" w:rsidP="0011627D">
            <w:pPr>
              <w:jc w:val="right"/>
            </w:pPr>
          </w:p>
          <w:p w14:paraId="266EC6E3" w14:textId="77777777" w:rsidR="009D26BE" w:rsidRDefault="009D26BE" w:rsidP="0011627D">
            <w:pPr>
              <w:jc w:val="right"/>
            </w:pPr>
            <w:r>
              <w:t>Third Respondent</w:t>
            </w:r>
          </w:p>
          <w:p w14:paraId="7F5BA073" w14:textId="77777777" w:rsidR="009D26BE" w:rsidRDefault="009D26BE" w:rsidP="0011627D">
            <w:pPr>
              <w:jc w:val="right"/>
            </w:pPr>
          </w:p>
          <w:p w14:paraId="04044C34" w14:textId="77777777" w:rsidR="009D26BE" w:rsidRDefault="009D26BE" w:rsidP="0011627D">
            <w:pPr>
              <w:jc w:val="right"/>
            </w:pPr>
            <w:r>
              <w:t>Fourth Respondent</w:t>
            </w:r>
          </w:p>
          <w:p w14:paraId="68FA7690" w14:textId="77777777" w:rsidR="009D26BE" w:rsidRDefault="009D26BE" w:rsidP="0011627D">
            <w:pPr>
              <w:jc w:val="right"/>
            </w:pPr>
          </w:p>
          <w:p w14:paraId="09712316" w14:textId="77777777" w:rsidR="009D26BE" w:rsidRDefault="009D26BE" w:rsidP="0011627D">
            <w:pPr>
              <w:jc w:val="right"/>
            </w:pPr>
            <w:r>
              <w:t>Fifth Respondent</w:t>
            </w:r>
          </w:p>
          <w:p w14:paraId="4AC9FB26" w14:textId="77777777" w:rsidR="009D26BE" w:rsidRDefault="009D26BE" w:rsidP="0011627D">
            <w:pPr>
              <w:jc w:val="right"/>
            </w:pPr>
          </w:p>
          <w:p w14:paraId="62E7CB7E" w14:textId="77777777" w:rsidR="009D26BE" w:rsidRDefault="009D26BE" w:rsidP="0011627D">
            <w:pPr>
              <w:jc w:val="right"/>
            </w:pPr>
          </w:p>
          <w:p w14:paraId="400FA715" w14:textId="3E27E055" w:rsidR="009D26BE" w:rsidRDefault="009D26BE" w:rsidP="0011627D">
            <w:pPr>
              <w:jc w:val="right"/>
            </w:pPr>
            <w:r>
              <w:t>Sixth Respondent</w:t>
            </w:r>
          </w:p>
        </w:tc>
      </w:tr>
    </w:tbl>
    <w:p w14:paraId="427D595A" w14:textId="77777777" w:rsidR="0080354E" w:rsidRDefault="0080354E" w:rsidP="0080354E">
      <w:pPr>
        <w:pBdr>
          <w:bottom w:val="single" w:sz="12" w:space="1" w:color="auto"/>
        </w:pBdr>
        <w:jc w:val="both"/>
      </w:pPr>
    </w:p>
    <w:p w14:paraId="5DD9B99F" w14:textId="77777777" w:rsidR="0080354E" w:rsidRDefault="0080354E" w:rsidP="0080354E">
      <w:pPr>
        <w:pBdr>
          <w:bottom w:val="single" w:sz="12" w:space="1" w:color="auto"/>
        </w:pBdr>
        <w:jc w:val="both"/>
      </w:pPr>
    </w:p>
    <w:p w14:paraId="04B2E022" w14:textId="77777777" w:rsidR="0080354E" w:rsidRDefault="0080354E" w:rsidP="0080354E">
      <w:pPr>
        <w:jc w:val="both"/>
      </w:pPr>
    </w:p>
    <w:p w14:paraId="5D4D23E2" w14:textId="65BC6385" w:rsidR="0080354E" w:rsidRDefault="005918EC" w:rsidP="0080354E">
      <w:pPr>
        <w:jc w:val="center"/>
      </w:pPr>
      <w:r>
        <w:t>JUDGMENT</w:t>
      </w:r>
    </w:p>
    <w:p w14:paraId="73668365" w14:textId="77777777" w:rsidR="0080354E" w:rsidRDefault="0080354E" w:rsidP="0080354E">
      <w:pPr>
        <w:pBdr>
          <w:bottom w:val="single" w:sz="12" w:space="1" w:color="auto"/>
        </w:pBdr>
        <w:jc w:val="center"/>
      </w:pPr>
    </w:p>
    <w:p w14:paraId="3ECBA1EB" w14:textId="77777777" w:rsidR="0080354E" w:rsidRDefault="0080354E" w:rsidP="0080354E">
      <w:pPr>
        <w:jc w:val="both"/>
      </w:pPr>
    </w:p>
    <w:p w14:paraId="250F8153" w14:textId="01EC945E" w:rsidR="006C7C31" w:rsidRDefault="006C7C31" w:rsidP="0080354E"/>
    <w:p w14:paraId="07CE541D" w14:textId="626183EA" w:rsidR="009F48E5" w:rsidRDefault="005918EC" w:rsidP="0080354E">
      <w:r>
        <w:t>van der Westhuizen, J</w:t>
      </w:r>
    </w:p>
    <w:p w14:paraId="5EE11588" w14:textId="77777777" w:rsidR="00564B22" w:rsidRDefault="00564B22" w:rsidP="0080354E"/>
    <w:p w14:paraId="7358549F" w14:textId="339737E9" w:rsidR="00962CFE" w:rsidRPr="00B1227E" w:rsidRDefault="00564B22" w:rsidP="00B1227E">
      <w:pPr>
        <w:spacing w:line="360" w:lineRule="auto"/>
        <w:ind w:left="720" w:hanging="720"/>
        <w:jc w:val="both"/>
        <w:rPr>
          <w:rFonts w:cs="Arial"/>
        </w:rPr>
      </w:pPr>
      <w:r w:rsidRPr="00B1227E">
        <w:rPr>
          <w:rFonts w:cs="Arial"/>
        </w:rPr>
        <w:t>[1]</w:t>
      </w:r>
      <w:r w:rsidRPr="00B1227E">
        <w:rPr>
          <w:rFonts w:cs="Arial"/>
        </w:rPr>
        <w:tab/>
      </w:r>
      <w:r w:rsidR="00533B70" w:rsidRPr="00B1227E">
        <w:rPr>
          <w:rFonts w:cs="Arial"/>
        </w:rPr>
        <w:t>T</w:t>
      </w:r>
      <w:r w:rsidR="0072526B" w:rsidRPr="00B1227E">
        <w:rPr>
          <w:rFonts w:cs="Arial"/>
        </w:rPr>
        <w:t>here are two applications</w:t>
      </w:r>
      <w:r w:rsidR="00533B70" w:rsidRPr="00B1227E">
        <w:rPr>
          <w:rFonts w:cs="Arial"/>
        </w:rPr>
        <w:t xml:space="preserve"> before court</w:t>
      </w:r>
      <w:r w:rsidR="0072526B" w:rsidRPr="00B1227E">
        <w:rPr>
          <w:rFonts w:cs="Arial"/>
        </w:rPr>
        <w:t xml:space="preserve">, a main application and a counter-application. </w:t>
      </w:r>
      <w:r w:rsidR="00535224" w:rsidRPr="00B1227E">
        <w:rPr>
          <w:rFonts w:cs="Arial"/>
        </w:rPr>
        <w:t>T</w:t>
      </w:r>
      <w:r w:rsidR="0072526B" w:rsidRPr="00B1227E">
        <w:rPr>
          <w:rFonts w:cs="Arial"/>
        </w:rPr>
        <w:t>hese</w:t>
      </w:r>
      <w:r w:rsidR="00535224" w:rsidRPr="00B1227E">
        <w:rPr>
          <w:rFonts w:cs="Arial"/>
        </w:rPr>
        <w:t xml:space="preserve"> matter</w:t>
      </w:r>
      <w:r w:rsidR="0072526B" w:rsidRPr="00B1227E">
        <w:rPr>
          <w:rFonts w:cs="Arial"/>
        </w:rPr>
        <w:t>s</w:t>
      </w:r>
      <w:r w:rsidR="008613F6" w:rsidRPr="00B1227E">
        <w:rPr>
          <w:rFonts w:cs="Arial"/>
        </w:rPr>
        <w:t xml:space="preserve"> ensued</w:t>
      </w:r>
      <w:r w:rsidR="00535224" w:rsidRPr="00B1227E">
        <w:rPr>
          <w:rFonts w:cs="Arial"/>
        </w:rPr>
        <w:t xml:space="preserve"> upon the granting of a prospecting permit, NW30/5/1/2/2511PR, that wa</w:t>
      </w:r>
      <w:r w:rsidR="006B7F70" w:rsidRPr="00B1227E">
        <w:rPr>
          <w:rFonts w:cs="Arial"/>
        </w:rPr>
        <w:t>s awarded to</w:t>
      </w:r>
      <w:r w:rsidR="00535224" w:rsidRPr="00B1227E">
        <w:rPr>
          <w:rFonts w:cs="Arial"/>
        </w:rPr>
        <w:t xml:space="preserve"> Cedar Point Proprietary Limited</w:t>
      </w:r>
      <w:r w:rsidR="006B7F70" w:rsidRPr="00B1227E">
        <w:rPr>
          <w:rFonts w:cs="Arial"/>
        </w:rPr>
        <w:t xml:space="preserve"> (Cedar Point), the applicant</w:t>
      </w:r>
      <w:r w:rsidR="008613F6" w:rsidRPr="00B1227E">
        <w:rPr>
          <w:rFonts w:cs="Arial"/>
        </w:rPr>
        <w:t xml:space="preserve"> in the main application</w:t>
      </w:r>
      <w:r w:rsidR="00535224" w:rsidRPr="00B1227E">
        <w:rPr>
          <w:rFonts w:cs="Arial"/>
        </w:rPr>
        <w:t>, on behalf of the Minister of Mineral Resources and Energy</w:t>
      </w:r>
      <w:r w:rsidR="006B7F70" w:rsidRPr="00B1227E">
        <w:rPr>
          <w:rFonts w:cs="Arial"/>
        </w:rPr>
        <w:t xml:space="preserve"> (the Minister), the fourth respondent</w:t>
      </w:r>
      <w:r w:rsidR="0072526B" w:rsidRPr="00B1227E">
        <w:rPr>
          <w:rFonts w:cs="Arial"/>
        </w:rPr>
        <w:t xml:space="preserve"> in the main application</w:t>
      </w:r>
      <w:r w:rsidR="00535224" w:rsidRPr="00B1227E">
        <w:rPr>
          <w:rFonts w:cs="Arial"/>
        </w:rPr>
        <w:t>.</w:t>
      </w:r>
      <w:r w:rsidR="0072526B" w:rsidRPr="00B1227E">
        <w:rPr>
          <w:rFonts w:cs="Arial"/>
        </w:rPr>
        <w:t xml:space="preserve"> The pros</w:t>
      </w:r>
      <w:r w:rsidR="00533B70" w:rsidRPr="00B1227E">
        <w:rPr>
          <w:rFonts w:cs="Arial"/>
        </w:rPr>
        <w:t>pecting permit was granted</w:t>
      </w:r>
      <w:r w:rsidR="008613F6" w:rsidRPr="00B1227E">
        <w:rPr>
          <w:rFonts w:cs="Arial"/>
        </w:rPr>
        <w:t xml:space="preserve"> </w:t>
      </w:r>
      <w:r w:rsidR="00A70FA7" w:rsidRPr="00B1227E">
        <w:rPr>
          <w:rFonts w:cs="Arial"/>
        </w:rPr>
        <w:t>in terms of the provisions of the Mineral and Petroleum Resources Development Act, 28 of 2002 (MPRDA).</w:t>
      </w:r>
      <w:r w:rsidR="0072526B" w:rsidRPr="00B1227E">
        <w:rPr>
          <w:rFonts w:cs="Arial"/>
        </w:rPr>
        <w:t xml:space="preserve"> It was to endure for a period of three years, i.e. until August 2022.</w:t>
      </w:r>
      <w:r w:rsidR="008613F6" w:rsidRPr="00B1227E">
        <w:rPr>
          <w:rFonts w:cs="Arial"/>
        </w:rPr>
        <w:t xml:space="preserve"> The prospecting right permitted Cedar Point to prospect for the minerals Chrome Ore, Platinum Group Minerals and Nickle Ore. </w:t>
      </w:r>
    </w:p>
    <w:p w14:paraId="4167E7BB" w14:textId="53E7FBE9" w:rsidR="00535224" w:rsidRPr="00B1227E" w:rsidRDefault="00535224" w:rsidP="00B1227E">
      <w:pPr>
        <w:spacing w:line="360" w:lineRule="auto"/>
        <w:ind w:left="720" w:hanging="720"/>
        <w:jc w:val="both"/>
        <w:rPr>
          <w:rFonts w:cs="Arial"/>
        </w:rPr>
      </w:pPr>
    </w:p>
    <w:p w14:paraId="05B7FA9B" w14:textId="1EFCBB36" w:rsidR="00535224" w:rsidRPr="00B1227E" w:rsidRDefault="00535224" w:rsidP="00B1227E">
      <w:pPr>
        <w:spacing w:line="360" w:lineRule="auto"/>
        <w:ind w:left="720" w:hanging="720"/>
        <w:jc w:val="both"/>
        <w:rPr>
          <w:rFonts w:cs="Arial"/>
        </w:rPr>
      </w:pPr>
      <w:r w:rsidRPr="00B1227E">
        <w:rPr>
          <w:rFonts w:cs="Arial"/>
        </w:rPr>
        <w:t>[2]</w:t>
      </w:r>
      <w:r w:rsidRPr="00B1227E">
        <w:rPr>
          <w:rFonts w:cs="Arial"/>
        </w:rPr>
        <w:tab/>
      </w:r>
      <w:r w:rsidR="0072526B" w:rsidRPr="00B1227E">
        <w:rPr>
          <w:rFonts w:cs="Arial"/>
        </w:rPr>
        <w:t>The</w:t>
      </w:r>
      <w:r w:rsidRPr="00B1227E">
        <w:rPr>
          <w:rFonts w:cs="Arial"/>
        </w:rPr>
        <w:t xml:space="preserve"> counter-application was filed partially in response to the main application by</w:t>
      </w:r>
      <w:r w:rsidR="006B7F70" w:rsidRPr="00B1227E">
        <w:rPr>
          <w:rFonts w:cs="Arial"/>
        </w:rPr>
        <w:t xml:space="preserve"> Culverwell Cattle Company Proprietary Limited (Culverwell),</w:t>
      </w:r>
      <w:r w:rsidRPr="00B1227E">
        <w:rPr>
          <w:rFonts w:cs="Arial"/>
        </w:rPr>
        <w:t xml:space="preserve"> the </w:t>
      </w:r>
      <w:r w:rsidR="006B7F70" w:rsidRPr="00B1227E">
        <w:rPr>
          <w:rFonts w:cs="Arial"/>
        </w:rPr>
        <w:t>first respondent in the main application</w:t>
      </w:r>
      <w:r w:rsidR="0072526B" w:rsidRPr="00B1227E">
        <w:rPr>
          <w:rFonts w:cs="Arial"/>
        </w:rPr>
        <w:t xml:space="preserve">. Other parties </w:t>
      </w:r>
      <w:r w:rsidR="006B7F70" w:rsidRPr="00B1227E">
        <w:rPr>
          <w:rFonts w:cs="Arial"/>
        </w:rPr>
        <w:t>joined</w:t>
      </w:r>
      <w:r w:rsidR="0072526B" w:rsidRPr="00B1227E">
        <w:rPr>
          <w:rFonts w:cs="Arial"/>
        </w:rPr>
        <w:t xml:space="preserve"> as applicants</w:t>
      </w:r>
      <w:r w:rsidR="006B7F70" w:rsidRPr="00B1227E">
        <w:rPr>
          <w:rFonts w:cs="Arial"/>
        </w:rPr>
        <w:t xml:space="preserve"> </w:t>
      </w:r>
      <w:r w:rsidR="0072526B" w:rsidRPr="00B1227E">
        <w:rPr>
          <w:rFonts w:cs="Arial"/>
        </w:rPr>
        <w:t>in support of Culverwell in its counter-application</w:t>
      </w:r>
      <w:r w:rsidR="006B7F70" w:rsidRPr="00B1227E">
        <w:rPr>
          <w:rFonts w:cs="Arial"/>
        </w:rPr>
        <w:t>.</w:t>
      </w:r>
      <w:r w:rsidR="0072526B" w:rsidRPr="00B1227E">
        <w:rPr>
          <w:rFonts w:cs="Arial"/>
        </w:rPr>
        <w:t xml:space="preserve"> I shall refer to all the applicants in the counter-application as Culverwell for ease of reference.</w:t>
      </w:r>
      <w:r w:rsidR="006B7F70" w:rsidRPr="00B1227E">
        <w:rPr>
          <w:rFonts w:cs="Arial"/>
        </w:rPr>
        <w:t xml:space="preserve"> Culverwell further filed an answering affidavit in the main application. It is to be assumed </w:t>
      </w:r>
      <w:r w:rsidR="0072526B" w:rsidRPr="00B1227E">
        <w:rPr>
          <w:rFonts w:cs="Arial"/>
        </w:rPr>
        <w:t>that</w:t>
      </w:r>
      <w:r w:rsidR="008613F6" w:rsidRPr="00B1227E">
        <w:rPr>
          <w:rFonts w:cs="Arial"/>
        </w:rPr>
        <w:t>, to the extent that a</w:t>
      </w:r>
      <w:r w:rsidR="0072526B" w:rsidRPr="00B1227E">
        <w:rPr>
          <w:rFonts w:cs="Arial"/>
        </w:rPr>
        <w:t xml:space="preserve"> </w:t>
      </w:r>
      <w:r w:rsidR="006B7F70" w:rsidRPr="00B1227E">
        <w:rPr>
          <w:rFonts w:cs="Arial"/>
        </w:rPr>
        <w:t xml:space="preserve">defence </w:t>
      </w:r>
      <w:r w:rsidR="008613F6" w:rsidRPr="00B1227E">
        <w:rPr>
          <w:rFonts w:cs="Arial"/>
        </w:rPr>
        <w:t xml:space="preserve">was </w:t>
      </w:r>
      <w:r w:rsidR="006B7F70" w:rsidRPr="00B1227E">
        <w:rPr>
          <w:rFonts w:cs="Arial"/>
        </w:rPr>
        <w:t xml:space="preserve">raised in the answering affidavit </w:t>
      </w:r>
      <w:r w:rsidR="008613F6" w:rsidRPr="00B1227E">
        <w:rPr>
          <w:rFonts w:cs="Arial"/>
        </w:rPr>
        <w:t>of</w:t>
      </w:r>
      <w:r w:rsidR="006B7F70" w:rsidRPr="00B1227E">
        <w:rPr>
          <w:rFonts w:cs="Arial"/>
        </w:rPr>
        <w:t xml:space="preserve"> Culverwell</w:t>
      </w:r>
      <w:r w:rsidR="008613F6" w:rsidRPr="00B1227E">
        <w:rPr>
          <w:rFonts w:cs="Arial"/>
        </w:rPr>
        <w:t>, that defence</w:t>
      </w:r>
      <w:r w:rsidR="006B7F70" w:rsidRPr="00B1227E">
        <w:rPr>
          <w:rFonts w:cs="Arial"/>
        </w:rPr>
        <w:t xml:space="preserve"> is </w:t>
      </w:r>
      <w:r w:rsidR="008613F6" w:rsidRPr="00B1227E">
        <w:rPr>
          <w:rFonts w:cs="Arial"/>
        </w:rPr>
        <w:t xml:space="preserve">merely </w:t>
      </w:r>
      <w:r w:rsidR="006B7F70" w:rsidRPr="00B1227E">
        <w:rPr>
          <w:rFonts w:cs="Arial"/>
        </w:rPr>
        <w:t>premised upon the relief sought in the counter-application.</w:t>
      </w:r>
    </w:p>
    <w:p w14:paraId="75549C47" w14:textId="5EE47614" w:rsidR="006B7F70" w:rsidRPr="00B1227E" w:rsidRDefault="006B7F70" w:rsidP="00B1227E">
      <w:pPr>
        <w:spacing w:line="360" w:lineRule="auto"/>
        <w:ind w:left="720" w:hanging="720"/>
        <w:jc w:val="both"/>
        <w:rPr>
          <w:rFonts w:cs="Arial"/>
        </w:rPr>
      </w:pPr>
    </w:p>
    <w:p w14:paraId="3076232C" w14:textId="447F8656" w:rsidR="007D7D22" w:rsidRPr="00B1227E" w:rsidRDefault="006B7F70" w:rsidP="00B1227E">
      <w:pPr>
        <w:spacing w:line="360" w:lineRule="auto"/>
        <w:ind w:left="720" w:hanging="720"/>
        <w:jc w:val="both"/>
        <w:rPr>
          <w:rFonts w:cs="Arial"/>
        </w:rPr>
      </w:pPr>
      <w:r w:rsidRPr="00B1227E">
        <w:rPr>
          <w:rFonts w:cs="Arial"/>
        </w:rPr>
        <w:t>[3]</w:t>
      </w:r>
      <w:r w:rsidRPr="00B1227E">
        <w:rPr>
          <w:rFonts w:cs="Arial"/>
        </w:rPr>
        <w:tab/>
      </w:r>
      <w:r w:rsidR="007D7D22" w:rsidRPr="00B1227E">
        <w:rPr>
          <w:rFonts w:cs="Arial"/>
        </w:rPr>
        <w:t xml:space="preserve">Cedar Point </w:t>
      </w:r>
      <w:r w:rsidR="00445BD6" w:rsidRPr="00B1227E">
        <w:rPr>
          <w:rFonts w:cs="Arial"/>
        </w:rPr>
        <w:t>primarily sought</w:t>
      </w:r>
      <w:r w:rsidR="007D7D22" w:rsidRPr="00B1227E">
        <w:rPr>
          <w:rFonts w:cs="Arial"/>
        </w:rPr>
        <w:t xml:space="preserve"> an interdict directing the landowners of the properties</w:t>
      </w:r>
      <w:r w:rsidR="00791EF8" w:rsidRPr="00B1227E">
        <w:rPr>
          <w:rFonts w:cs="Arial"/>
        </w:rPr>
        <w:t xml:space="preserve"> that are</w:t>
      </w:r>
      <w:r w:rsidR="007D7D22" w:rsidRPr="00B1227E">
        <w:rPr>
          <w:rFonts w:cs="Arial"/>
        </w:rPr>
        <w:t xml:space="preserve"> subject to the aforesaid prospecting permit</w:t>
      </w:r>
      <w:r w:rsidR="00445BD6" w:rsidRPr="00B1227E">
        <w:rPr>
          <w:rFonts w:cs="Arial"/>
        </w:rPr>
        <w:t>,</w:t>
      </w:r>
      <w:r w:rsidR="007D7D22" w:rsidRPr="00B1227E">
        <w:rPr>
          <w:rFonts w:cs="Arial"/>
        </w:rPr>
        <w:t xml:space="preserve"> to allow Cedar Point to enter upon the affected properties to enable it to give effect to the prospecting permit.</w:t>
      </w:r>
    </w:p>
    <w:p w14:paraId="649323B8" w14:textId="1ADE655C" w:rsidR="00791EF8" w:rsidRPr="00B1227E" w:rsidRDefault="00791EF8" w:rsidP="00B1227E">
      <w:pPr>
        <w:spacing w:line="360" w:lineRule="auto"/>
        <w:ind w:left="720" w:hanging="720"/>
        <w:jc w:val="both"/>
        <w:rPr>
          <w:rFonts w:cs="Arial"/>
        </w:rPr>
      </w:pPr>
    </w:p>
    <w:p w14:paraId="58320D13" w14:textId="34AEF8EA" w:rsidR="00DE3E61" w:rsidRPr="00B1227E" w:rsidRDefault="00791EF8" w:rsidP="00B1227E">
      <w:pPr>
        <w:spacing w:line="360" w:lineRule="auto"/>
        <w:ind w:left="720" w:hanging="720"/>
        <w:jc w:val="both"/>
        <w:rPr>
          <w:rFonts w:cs="Arial"/>
        </w:rPr>
      </w:pPr>
      <w:r w:rsidRPr="00B1227E">
        <w:rPr>
          <w:rFonts w:cs="Arial"/>
        </w:rPr>
        <w:t>[4]</w:t>
      </w:r>
      <w:r w:rsidRPr="00B1227E">
        <w:rPr>
          <w:rFonts w:cs="Arial"/>
        </w:rPr>
        <w:tab/>
        <w:t xml:space="preserve">In </w:t>
      </w:r>
      <w:r w:rsidR="00DE3E61" w:rsidRPr="00B1227E">
        <w:rPr>
          <w:rFonts w:cs="Arial"/>
        </w:rPr>
        <w:t>the answering affidavit,</w:t>
      </w:r>
      <w:r w:rsidRPr="00B1227E">
        <w:rPr>
          <w:rFonts w:cs="Arial"/>
        </w:rPr>
        <w:t xml:space="preserve"> C</w:t>
      </w:r>
      <w:r w:rsidR="00DE3E61" w:rsidRPr="00B1227E">
        <w:rPr>
          <w:rFonts w:cs="Arial"/>
        </w:rPr>
        <w:t>ulverwell</w:t>
      </w:r>
      <w:r w:rsidRPr="00B1227E">
        <w:rPr>
          <w:rFonts w:cs="Arial"/>
        </w:rPr>
        <w:t xml:space="preserve"> raised the issue that the prospecting permit was allegedly</w:t>
      </w:r>
      <w:r w:rsidR="0072526B" w:rsidRPr="00B1227E">
        <w:rPr>
          <w:rFonts w:cs="Arial"/>
        </w:rPr>
        <w:t xml:space="preserve"> granted unlawfully </w:t>
      </w:r>
      <w:r w:rsidRPr="00B1227E">
        <w:rPr>
          <w:rFonts w:cs="Arial"/>
        </w:rPr>
        <w:t xml:space="preserve">and thus subject to be reviewed and set aside. That relief is </w:t>
      </w:r>
      <w:r w:rsidR="00445BD6" w:rsidRPr="00B1227E">
        <w:rPr>
          <w:rFonts w:cs="Arial"/>
        </w:rPr>
        <w:t xml:space="preserve">then </w:t>
      </w:r>
      <w:r w:rsidRPr="00B1227E">
        <w:rPr>
          <w:rFonts w:cs="Arial"/>
        </w:rPr>
        <w:t>only soug</w:t>
      </w:r>
      <w:r w:rsidR="00445BD6" w:rsidRPr="00B1227E">
        <w:rPr>
          <w:rFonts w:cs="Arial"/>
        </w:rPr>
        <w:t xml:space="preserve">ht in the counter-application. However, </w:t>
      </w:r>
      <w:r w:rsidRPr="00B1227E">
        <w:rPr>
          <w:rFonts w:cs="Arial"/>
        </w:rPr>
        <w:t>t</w:t>
      </w:r>
      <w:r w:rsidR="00445BD6" w:rsidRPr="00B1227E">
        <w:rPr>
          <w:rFonts w:cs="Arial"/>
        </w:rPr>
        <w:t xml:space="preserve">he review and setting aside of the prospecting </w:t>
      </w:r>
      <w:r w:rsidR="00445BD6" w:rsidRPr="00B1227E">
        <w:rPr>
          <w:rFonts w:cs="Arial"/>
        </w:rPr>
        <w:lastRenderedPageBreak/>
        <w:t>permit</w:t>
      </w:r>
      <w:r w:rsidRPr="00B1227E">
        <w:rPr>
          <w:rFonts w:cs="Arial"/>
        </w:rPr>
        <w:t xml:space="preserve"> is dep</w:t>
      </w:r>
      <w:r w:rsidR="00445BD6" w:rsidRPr="00B1227E">
        <w:rPr>
          <w:rFonts w:cs="Arial"/>
        </w:rPr>
        <w:t>endent upon the grant of</w:t>
      </w:r>
      <w:r w:rsidRPr="00B1227E">
        <w:rPr>
          <w:rFonts w:cs="Arial"/>
        </w:rPr>
        <w:t xml:space="preserve"> relief that is sought in terms of the provisions of </w:t>
      </w:r>
      <w:r w:rsidR="00445BD6" w:rsidRPr="00B1227E">
        <w:rPr>
          <w:rFonts w:cs="Arial"/>
        </w:rPr>
        <w:t>the Promotion of Administrative Justice Act, 3 of 2000 (PAJA).</w:t>
      </w:r>
    </w:p>
    <w:p w14:paraId="15EF0AEE" w14:textId="77777777" w:rsidR="00DE3E61" w:rsidRPr="00B1227E" w:rsidRDefault="00DE3E61" w:rsidP="00B1227E">
      <w:pPr>
        <w:spacing w:line="360" w:lineRule="auto"/>
        <w:ind w:left="720" w:hanging="720"/>
        <w:jc w:val="both"/>
        <w:rPr>
          <w:rFonts w:cs="Arial"/>
        </w:rPr>
      </w:pPr>
    </w:p>
    <w:p w14:paraId="60E33D68" w14:textId="267EF94E" w:rsidR="00791EF8" w:rsidRPr="00B1227E" w:rsidRDefault="00DE3E61" w:rsidP="00B1227E">
      <w:pPr>
        <w:spacing w:line="360" w:lineRule="auto"/>
        <w:ind w:left="720" w:hanging="720"/>
        <w:jc w:val="both"/>
        <w:rPr>
          <w:rFonts w:cs="Arial"/>
        </w:rPr>
      </w:pPr>
      <w:r w:rsidRPr="00B1227E">
        <w:rPr>
          <w:rFonts w:cs="Arial"/>
        </w:rPr>
        <w:t>[5]</w:t>
      </w:r>
      <w:r w:rsidRPr="00B1227E">
        <w:rPr>
          <w:rFonts w:cs="Arial"/>
        </w:rPr>
        <w:tab/>
      </w:r>
      <w:r w:rsidR="00791EF8" w:rsidRPr="00B1227E">
        <w:rPr>
          <w:rFonts w:cs="Arial"/>
        </w:rPr>
        <w:t>The relief sought in the counter-app</w:t>
      </w:r>
      <w:r w:rsidR="00C52BAC" w:rsidRPr="00B1227E">
        <w:rPr>
          <w:rFonts w:cs="Arial"/>
        </w:rPr>
        <w:t>lication is premised upon a three</w:t>
      </w:r>
      <w:r w:rsidR="00791EF8" w:rsidRPr="00B1227E">
        <w:rPr>
          <w:rFonts w:cs="Arial"/>
        </w:rPr>
        <w:t xml:space="preserve"> part granting of relief</w:t>
      </w:r>
      <w:r w:rsidR="00C52BAC" w:rsidRPr="00B1227E">
        <w:rPr>
          <w:rFonts w:cs="Arial"/>
        </w:rPr>
        <w:t>, the one following upon the other</w:t>
      </w:r>
      <w:r w:rsidR="00791EF8" w:rsidRPr="00B1227E">
        <w:rPr>
          <w:rFonts w:cs="Arial"/>
        </w:rPr>
        <w:t>. The primary relief that is sought in Part A, is</w:t>
      </w:r>
      <w:r w:rsidR="00AA3998" w:rsidRPr="00B1227E">
        <w:rPr>
          <w:rFonts w:cs="Arial"/>
        </w:rPr>
        <w:t>,</w:t>
      </w:r>
      <w:r w:rsidRPr="00B1227E">
        <w:rPr>
          <w:rFonts w:cs="Arial"/>
        </w:rPr>
        <w:t xml:space="preserve"> firstly</w:t>
      </w:r>
      <w:r w:rsidR="00AA3998" w:rsidRPr="00B1227E">
        <w:rPr>
          <w:rFonts w:cs="Arial"/>
        </w:rPr>
        <w:t>,</w:t>
      </w:r>
      <w:r w:rsidRPr="00B1227E">
        <w:rPr>
          <w:rFonts w:cs="Arial"/>
        </w:rPr>
        <w:t xml:space="preserve"> an </w:t>
      </w:r>
      <w:r w:rsidRPr="00B1227E">
        <w:rPr>
          <w:rFonts w:cs="Arial"/>
          <w:i/>
        </w:rPr>
        <w:t>interim</w:t>
      </w:r>
      <w:r w:rsidRPr="00B1227E">
        <w:rPr>
          <w:rFonts w:cs="Arial"/>
        </w:rPr>
        <w:t xml:space="preserve"> interdict preventing Cedar Point from entering upon the properties that are</w:t>
      </w:r>
      <w:r w:rsidR="00C54589" w:rsidRPr="00B1227E">
        <w:rPr>
          <w:rFonts w:cs="Arial"/>
        </w:rPr>
        <w:t xml:space="preserve"> the subject </w:t>
      </w:r>
      <w:r w:rsidRPr="00B1227E">
        <w:rPr>
          <w:rFonts w:cs="Arial"/>
        </w:rPr>
        <w:t>o</w:t>
      </w:r>
      <w:r w:rsidR="00C54589" w:rsidRPr="00B1227E">
        <w:rPr>
          <w:rFonts w:cs="Arial"/>
        </w:rPr>
        <w:t>f</w:t>
      </w:r>
      <w:r w:rsidRPr="00B1227E">
        <w:rPr>
          <w:rFonts w:cs="Arial"/>
        </w:rPr>
        <w:t xml:space="preserve"> the prospecting permit and to refrain from conducting any prospecting t</w:t>
      </w:r>
      <w:r w:rsidR="00C54589" w:rsidRPr="00B1227E">
        <w:rPr>
          <w:rFonts w:cs="Arial"/>
        </w:rPr>
        <w:t>hereon, pending, secondly,</w:t>
      </w:r>
      <w:r w:rsidRPr="00B1227E">
        <w:rPr>
          <w:rFonts w:cs="Arial"/>
        </w:rPr>
        <w:t xml:space="preserve"> compliance with a </w:t>
      </w:r>
      <w:r w:rsidR="00791EF8" w:rsidRPr="00B1227E">
        <w:rPr>
          <w:rFonts w:cs="Arial"/>
          <w:i/>
        </w:rPr>
        <w:t>mandamus</w:t>
      </w:r>
      <w:r w:rsidR="00C54589" w:rsidRPr="00B1227E">
        <w:rPr>
          <w:rFonts w:cs="Arial"/>
        </w:rPr>
        <w:t xml:space="preserve"> which is further sought</w:t>
      </w:r>
      <w:r w:rsidR="00FC16D3" w:rsidRPr="00B1227E">
        <w:rPr>
          <w:rFonts w:cs="Arial"/>
        </w:rPr>
        <w:t xml:space="preserve"> which</w:t>
      </w:r>
      <w:r w:rsidR="00AA3998" w:rsidRPr="00B1227E">
        <w:rPr>
          <w:rFonts w:cs="Arial"/>
        </w:rPr>
        <w:t xml:space="preserve"> related</w:t>
      </w:r>
      <w:r w:rsidR="00791EF8" w:rsidRPr="00B1227E">
        <w:rPr>
          <w:rFonts w:cs="Arial"/>
        </w:rPr>
        <w:t xml:space="preserve"> to the provisions of PAJA. The relief in Part B</w:t>
      </w:r>
      <w:r w:rsidR="00AA3998" w:rsidRPr="00B1227E">
        <w:rPr>
          <w:rFonts w:cs="Arial"/>
        </w:rPr>
        <w:t xml:space="preserve"> related</w:t>
      </w:r>
      <w:r w:rsidR="00791EF8" w:rsidRPr="00B1227E">
        <w:rPr>
          <w:rFonts w:cs="Arial"/>
        </w:rPr>
        <w:t xml:space="preserve"> to</w:t>
      </w:r>
      <w:r w:rsidR="003A6F20" w:rsidRPr="00B1227E">
        <w:rPr>
          <w:rFonts w:cs="Arial"/>
        </w:rPr>
        <w:t xml:space="preserve"> the review and setting aside</w:t>
      </w:r>
      <w:r w:rsidR="00533B70" w:rsidRPr="00B1227E">
        <w:rPr>
          <w:rFonts w:cs="Arial"/>
        </w:rPr>
        <w:t xml:space="preserve"> of</w:t>
      </w:r>
      <w:r w:rsidR="003A6F20" w:rsidRPr="00B1227E">
        <w:rPr>
          <w:rFonts w:cs="Arial"/>
        </w:rPr>
        <w:t xml:space="preserve"> the prospecting permit</w:t>
      </w:r>
      <w:r w:rsidR="00C54589" w:rsidRPr="00B1227E">
        <w:rPr>
          <w:rFonts w:cs="Arial"/>
        </w:rPr>
        <w:t xml:space="preserve"> once Culverwell received</w:t>
      </w:r>
      <w:r w:rsidR="0072526B" w:rsidRPr="00B1227E">
        <w:rPr>
          <w:rFonts w:cs="Arial"/>
        </w:rPr>
        <w:t xml:space="preserve"> the required information</w:t>
      </w:r>
      <w:r w:rsidR="00C54589" w:rsidRPr="00B1227E">
        <w:rPr>
          <w:rFonts w:cs="Arial"/>
        </w:rPr>
        <w:t xml:space="preserve"> (reasons for the granting of the prospecting permit)</w:t>
      </w:r>
      <w:r w:rsidR="0072526B" w:rsidRPr="00B1227E">
        <w:rPr>
          <w:rFonts w:cs="Arial"/>
        </w:rPr>
        <w:t xml:space="preserve"> in terms of the provisions of PAJA</w:t>
      </w:r>
      <w:r w:rsidR="003A6F20" w:rsidRPr="00B1227E">
        <w:rPr>
          <w:rFonts w:cs="Arial"/>
        </w:rPr>
        <w:t>. In Part C C</w:t>
      </w:r>
      <w:r w:rsidR="00AA3998" w:rsidRPr="00B1227E">
        <w:rPr>
          <w:rFonts w:cs="Arial"/>
        </w:rPr>
        <w:t>ulverwell sought</w:t>
      </w:r>
      <w:r w:rsidR="003A6F20" w:rsidRPr="00B1227E">
        <w:rPr>
          <w:rFonts w:cs="Arial"/>
        </w:rPr>
        <w:t xml:space="preserve"> a perpetual interdict in terms whereof the Minister is </w:t>
      </w:r>
      <w:r w:rsidR="00AA3998" w:rsidRPr="00B1227E">
        <w:rPr>
          <w:rFonts w:cs="Arial"/>
        </w:rPr>
        <w:t xml:space="preserve">to be </w:t>
      </w:r>
      <w:r w:rsidR="003A6F20" w:rsidRPr="00B1227E">
        <w:rPr>
          <w:rFonts w:cs="Arial"/>
        </w:rPr>
        <w:t>interdicted from receiving and entertaining any future application for prospecting rights in respect of the affected properties</w:t>
      </w:r>
      <w:r w:rsidR="00AA3998" w:rsidRPr="00B1227E">
        <w:rPr>
          <w:rFonts w:cs="Arial"/>
        </w:rPr>
        <w:t>,</w:t>
      </w:r>
      <w:r w:rsidR="00791EF8" w:rsidRPr="00B1227E">
        <w:rPr>
          <w:rFonts w:cs="Arial"/>
        </w:rPr>
        <w:t xml:space="preserve"> </w:t>
      </w:r>
      <w:r w:rsidR="003A6F20" w:rsidRPr="00B1227E">
        <w:rPr>
          <w:rFonts w:cs="Arial"/>
        </w:rPr>
        <w:t>and</w:t>
      </w:r>
      <w:r w:rsidR="00376808" w:rsidRPr="00B1227E">
        <w:rPr>
          <w:rFonts w:cs="Arial"/>
        </w:rPr>
        <w:t xml:space="preserve"> </w:t>
      </w:r>
      <w:r w:rsidR="00A019FD" w:rsidRPr="00B1227E">
        <w:rPr>
          <w:rFonts w:cs="Arial"/>
        </w:rPr>
        <w:t xml:space="preserve">to be </w:t>
      </w:r>
      <w:r w:rsidR="00376808" w:rsidRPr="00B1227E">
        <w:rPr>
          <w:rFonts w:cs="Arial"/>
        </w:rPr>
        <w:t>interdicted from</w:t>
      </w:r>
      <w:r w:rsidR="003A6F20" w:rsidRPr="00B1227E">
        <w:rPr>
          <w:rFonts w:cs="Arial"/>
        </w:rPr>
        <w:t xml:space="preserve"> granting of any prospecting</w:t>
      </w:r>
      <w:r w:rsidR="00376808" w:rsidRPr="00B1227E">
        <w:rPr>
          <w:rFonts w:cs="Arial"/>
        </w:rPr>
        <w:t xml:space="preserve"> right in respect of</w:t>
      </w:r>
      <w:r w:rsidR="00AA3998" w:rsidRPr="00B1227E">
        <w:rPr>
          <w:rFonts w:cs="Arial"/>
        </w:rPr>
        <w:t xml:space="preserve"> the affected properties.</w:t>
      </w:r>
      <w:r w:rsidR="0014060B" w:rsidRPr="00B1227E">
        <w:rPr>
          <w:rFonts w:cs="Arial"/>
        </w:rPr>
        <w:t xml:space="preserve"> </w:t>
      </w:r>
    </w:p>
    <w:p w14:paraId="68BEEC41" w14:textId="0D3A1EAF" w:rsidR="00724122" w:rsidRPr="00B1227E" w:rsidRDefault="00724122" w:rsidP="00B1227E">
      <w:pPr>
        <w:spacing w:line="360" w:lineRule="auto"/>
        <w:ind w:left="720" w:hanging="720"/>
        <w:jc w:val="both"/>
        <w:rPr>
          <w:rFonts w:cs="Arial"/>
        </w:rPr>
      </w:pPr>
    </w:p>
    <w:p w14:paraId="09B7EACE" w14:textId="0BF98CEE" w:rsidR="00724122" w:rsidRPr="00B1227E" w:rsidRDefault="00724122" w:rsidP="00B1227E">
      <w:pPr>
        <w:spacing w:line="360" w:lineRule="auto"/>
        <w:ind w:left="720" w:hanging="720"/>
        <w:jc w:val="both"/>
        <w:rPr>
          <w:rFonts w:cs="Arial"/>
        </w:rPr>
      </w:pPr>
      <w:r w:rsidRPr="00B1227E">
        <w:rPr>
          <w:rFonts w:cs="Arial"/>
        </w:rPr>
        <w:t>[6]</w:t>
      </w:r>
      <w:r w:rsidRPr="00B1227E">
        <w:rPr>
          <w:rFonts w:cs="Arial"/>
        </w:rPr>
        <w:tab/>
      </w:r>
      <w:r w:rsidR="004171A6" w:rsidRPr="00B1227E">
        <w:rPr>
          <w:rFonts w:cs="Arial"/>
        </w:rPr>
        <w:t xml:space="preserve">It was submitted on behalf of Cedar Point that, bar the relief sought in the counter-application, no defence was raised in the answering affidavit to the main application. That submission was premised upon the trite principle that an administrative decision, whether lawfully or unlawfully </w:t>
      </w:r>
      <w:r w:rsidR="0072526B" w:rsidRPr="00B1227E">
        <w:rPr>
          <w:rFonts w:cs="Arial"/>
        </w:rPr>
        <w:t xml:space="preserve">made, </w:t>
      </w:r>
      <w:r w:rsidR="00FC16D3" w:rsidRPr="00B1227E">
        <w:rPr>
          <w:rFonts w:cs="Arial"/>
        </w:rPr>
        <w:t>was considered to be valid until that administrative decision was</w:t>
      </w:r>
      <w:r w:rsidR="004171A6" w:rsidRPr="00B1227E">
        <w:rPr>
          <w:rFonts w:cs="Arial"/>
        </w:rPr>
        <w:t xml:space="preserve"> reviewed and set aside</w:t>
      </w:r>
      <w:r w:rsidR="0072526B" w:rsidRPr="00B1227E">
        <w:rPr>
          <w:rFonts w:cs="Arial"/>
        </w:rPr>
        <w:t xml:space="preserve"> by a</w:t>
      </w:r>
      <w:r w:rsidR="00FC16D3" w:rsidRPr="00B1227E">
        <w:rPr>
          <w:rFonts w:cs="Arial"/>
        </w:rPr>
        <w:t xml:space="preserve"> competent</w:t>
      </w:r>
      <w:r w:rsidR="0072526B" w:rsidRPr="00B1227E">
        <w:rPr>
          <w:rFonts w:cs="Arial"/>
        </w:rPr>
        <w:t xml:space="preserve"> court</w:t>
      </w:r>
      <w:r w:rsidR="004171A6" w:rsidRPr="00B1227E">
        <w:rPr>
          <w:rFonts w:cs="Arial"/>
        </w:rPr>
        <w:t>.</w:t>
      </w:r>
      <w:r w:rsidR="004171A6" w:rsidRPr="00B1227E">
        <w:rPr>
          <w:rStyle w:val="FootnoteReference"/>
          <w:rFonts w:cs="Arial"/>
        </w:rPr>
        <w:footnoteReference w:id="1"/>
      </w:r>
      <w:r w:rsidR="004171A6" w:rsidRPr="00B1227E">
        <w:rPr>
          <w:rFonts w:cs="Arial"/>
        </w:rPr>
        <w:t xml:space="preserve"> </w:t>
      </w:r>
      <w:r w:rsidR="00FC16D3" w:rsidRPr="00B1227E">
        <w:rPr>
          <w:rFonts w:cs="Arial"/>
        </w:rPr>
        <w:t>It was common cause that the grant of the said prospecting permit was an administrative decision.</w:t>
      </w:r>
    </w:p>
    <w:p w14:paraId="4391A15E" w14:textId="6C9E4E3D" w:rsidR="003136FE" w:rsidRPr="00B1227E" w:rsidRDefault="003136FE" w:rsidP="00B1227E">
      <w:pPr>
        <w:spacing w:line="360" w:lineRule="auto"/>
        <w:ind w:left="720" w:hanging="720"/>
        <w:jc w:val="both"/>
        <w:rPr>
          <w:rFonts w:cs="Arial"/>
        </w:rPr>
      </w:pPr>
    </w:p>
    <w:p w14:paraId="102C5F3E" w14:textId="4998A145" w:rsidR="003136FE" w:rsidRPr="00B1227E" w:rsidRDefault="003136FE" w:rsidP="00B1227E">
      <w:pPr>
        <w:spacing w:line="360" w:lineRule="auto"/>
        <w:ind w:left="720" w:hanging="720"/>
        <w:jc w:val="both"/>
        <w:rPr>
          <w:rFonts w:cs="Arial"/>
        </w:rPr>
      </w:pPr>
      <w:r w:rsidRPr="00B1227E">
        <w:rPr>
          <w:rFonts w:cs="Arial"/>
        </w:rPr>
        <w:t>[7]</w:t>
      </w:r>
      <w:r w:rsidRPr="00B1227E">
        <w:rPr>
          <w:rFonts w:cs="Arial"/>
        </w:rPr>
        <w:tab/>
        <w:t>It is clear from the structure of the relief sought in the counter-application that Culverwell required certain information</w:t>
      </w:r>
      <w:r w:rsidR="00137632" w:rsidRPr="00B1227E">
        <w:rPr>
          <w:rFonts w:cs="Arial"/>
        </w:rPr>
        <w:t xml:space="preserve"> (in particular the reasons for </w:t>
      </w:r>
      <w:r w:rsidR="00137632" w:rsidRPr="00B1227E">
        <w:rPr>
          <w:rFonts w:cs="Arial"/>
        </w:rPr>
        <w:lastRenderedPageBreak/>
        <w:t>the grant of the prospecting permit)</w:t>
      </w:r>
      <w:r w:rsidRPr="00B1227E">
        <w:rPr>
          <w:rFonts w:cs="Arial"/>
        </w:rPr>
        <w:t xml:space="preserve"> in terms of PAJA, and once that wa</w:t>
      </w:r>
      <w:r w:rsidR="00A019FD" w:rsidRPr="00B1227E">
        <w:rPr>
          <w:rFonts w:cs="Arial"/>
        </w:rPr>
        <w:t>s received, it would only there</w:t>
      </w:r>
      <w:r w:rsidRPr="00B1227E">
        <w:rPr>
          <w:rFonts w:cs="Arial"/>
        </w:rPr>
        <w:t>after seek a review and setting aside</w:t>
      </w:r>
      <w:r w:rsidR="00A019FD" w:rsidRPr="00B1227E">
        <w:rPr>
          <w:rFonts w:cs="Arial"/>
        </w:rPr>
        <w:t xml:space="preserve"> of</w:t>
      </w:r>
      <w:r w:rsidRPr="00B1227E">
        <w:rPr>
          <w:rFonts w:cs="Arial"/>
        </w:rPr>
        <w:t xml:space="preserve"> the decision to grant the said prospecting permit.</w:t>
      </w:r>
    </w:p>
    <w:p w14:paraId="7D06C585" w14:textId="04E518BF" w:rsidR="003136FE" w:rsidRPr="00B1227E" w:rsidRDefault="003136FE" w:rsidP="00B1227E">
      <w:pPr>
        <w:spacing w:line="360" w:lineRule="auto"/>
        <w:ind w:left="720" w:hanging="720"/>
        <w:jc w:val="both"/>
        <w:rPr>
          <w:rFonts w:cs="Arial"/>
        </w:rPr>
      </w:pPr>
    </w:p>
    <w:p w14:paraId="67CDAF2C" w14:textId="1A8684C0" w:rsidR="00FD0BBD" w:rsidRPr="00B1227E" w:rsidRDefault="003136FE" w:rsidP="00B1227E">
      <w:pPr>
        <w:spacing w:line="360" w:lineRule="auto"/>
        <w:ind w:left="720" w:hanging="720"/>
        <w:jc w:val="both"/>
        <w:rPr>
          <w:rFonts w:cs="Arial"/>
        </w:rPr>
      </w:pPr>
      <w:r w:rsidRPr="00B1227E">
        <w:rPr>
          <w:rFonts w:cs="Arial"/>
        </w:rPr>
        <w:t>[8]</w:t>
      </w:r>
      <w:r w:rsidRPr="00B1227E">
        <w:rPr>
          <w:rFonts w:cs="Arial"/>
        </w:rPr>
        <w:tab/>
      </w:r>
      <w:r w:rsidR="00EA67A4" w:rsidRPr="00B1227E">
        <w:rPr>
          <w:rFonts w:cs="Arial"/>
        </w:rPr>
        <w:t>In this regard, it is to be noted that on behalf of C</w:t>
      </w:r>
      <w:r w:rsidR="00FD0BBD" w:rsidRPr="00B1227E">
        <w:rPr>
          <w:rFonts w:cs="Arial"/>
        </w:rPr>
        <w:t>ulverwell, submissions were mainly</w:t>
      </w:r>
      <w:r w:rsidR="00EA67A4" w:rsidRPr="00B1227E">
        <w:rPr>
          <w:rFonts w:cs="Arial"/>
        </w:rPr>
        <w:t xml:space="preserve"> made with reference to the relief sought in Part A</w:t>
      </w:r>
      <w:r w:rsidR="00FC16D3" w:rsidRPr="00B1227E">
        <w:rPr>
          <w:rFonts w:cs="Arial"/>
        </w:rPr>
        <w:t xml:space="preserve">, i.e. the grant of an </w:t>
      </w:r>
      <w:r w:rsidR="00FC16D3" w:rsidRPr="00B1227E">
        <w:rPr>
          <w:rFonts w:cs="Arial"/>
          <w:i/>
        </w:rPr>
        <w:t>interim</w:t>
      </w:r>
      <w:r w:rsidR="00FC16D3" w:rsidRPr="00B1227E">
        <w:rPr>
          <w:rFonts w:cs="Arial"/>
        </w:rPr>
        <w:t xml:space="preserve"> interdict and compliance with the provisions of PAJA that related to the providing of reasons for the grant of the prospecting permit</w:t>
      </w:r>
      <w:r w:rsidR="00EA67A4" w:rsidRPr="00B1227E">
        <w:rPr>
          <w:rFonts w:cs="Arial"/>
        </w:rPr>
        <w:t>.</w:t>
      </w:r>
      <w:r w:rsidR="00FD0BBD" w:rsidRPr="00B1227E">
        <w:rPr>
          <w:rFonts w:cs="Arial"/>
        </w:rPr>
        <w:t xml:space="preserve"> Counsel for Culverwell nevertheless sought a dismissal of Ce</w:t>
      </w:r>
      <w:r w:rsidR="00FC16D3" w:rsidRPr="00B1227E">
        <w:rPr>
          <w:rFonts w:cs="Arial"/>
        </w:rPr>
        <w:t xml:space="preserve">dar Point’s main application. </w:t>
      </w:r>
      <w:r w:rsidR="00903B1C" w:rsidRPr="00B1227E">
        <w:rPr>
          <w:rFonts w:cs="Arial"/>
        </w:rPr>
        <w:t>In respect of the counter-application, h</w:t>
      </w:r>
      <w:r w:rsidR="00FC16D3" w:rsidRPr="00B1227E">
        <w:rPr>
          <w:rFonts w:cs="Arial"/>
        </w:rPr>
        <w:t>e only sought the grant of the relief contained in Part A.</w:t>
      </w:r>
      <w:r w:rsidR="00FD0BBD" w:rsidRPr="00B1227E">
        <w:rPr>
          <w:rFonts w:cs="Arial"/>
        </w:rPr>
        <w:t xml:space="preserve"> </w:t>
      </w:r>
      <w:r w:rsidR="00D928AF" w:rsidRPr="00B1227E">
        <w:rPr>
          <w:rFonts w:cs="Arial"/>
        </w:rPr>
        <w:t>However, w</w:t>
      </w:r>
      <w:r w:rsidR="00FD0BBD" w:rsidRPr="00B1227E">
        <w:rPr>
          <w:rFonts w:cs="Arial"/>
        </w:rPr>
        <w:t>hen counsel made his closing submissions in respect of the counter-application</w:t>
      </w:r>
      <w:r w:rsidR="00D928AF" w:rsidRPr="00B1227E">
        <w:rPr>
          <w:rFonts w:cs="Arial"/>
        </w:rPr>
        <w:t>,</w:t>
      </w:r>
      <w:r w:rsidR="00FD0BBD" w:rsidRPr="00B1227E">
        <w:rPr>
          <w:rFonts w:cs="Arial"/>
        </w:rPr>
        <w:t xml:space="preserve"> after hearing the submissions on behalf of Cedar Point and the Minister, he indicated that he held instructions receive</w:t>
      </w:r>
      <w:r w:rsidR="00E62353" w:rsidRPr="00B1227E">
        <w:rPr>
          <w:rFonts w:cs="Arial"/>
        </w:rPr>
        <w:t>d</w:t>
      </w:r>
      <w:r w:rsidR="00FD0BBD" w:rsidRPr="00B1227E">
        <w:rPr>
          <w:rFonts w:cs="Arial"/>
        </w:rPr>
        <w:t xml:space="preserve"> late</w:t>
      </w:r>
      <w:r w:rsidR="00FC16D3" w:rsidRPr="00B1227E">
        <w:rPr>
          <w:rFonts w:cs="Arial"/>
        </w:rPr>
        <w:t>, and after moving the counter-application only in respect of Part A,</w:t>
      </w:r>
      <w:r w:rsidR="00FD0BBD" w:rsidRPr="00B1227E">
        <w:rPr>
          <w:rFonts w:cs="Arial"/>
        </w:rPr>
        <w:t xml:space="preserve"> from his instructing client, Culverwell, that he </w:t>
      </w:r>
      <w:r w:rsidR="00D928AF" w:rsidRPr="00B1227E">
        <w:rPr>
          <w:rFonts w:cs="Arial"/>
        </w:rPr>
        <w:t>fur</w:t>
      </w:r>
      <w:r w:rsidR="0075142F" w:rsidRPr="00B1227E">
        <w:rPr>
          <w:rFonts w:cs="Arial"/>
        </w:rPr>
        <w:t>t</w:t>
      </w:r>
      <w:r w:rsidR="00D928AF" w:rsidRPr="00B1227E">
        <w:rPr>
          <w:rFonts w:cs="Arial"/>
        </w:rPr>
        <w:t xml:space="preserve">her </w:t>
      </w:r>
      <w:r w:rsidR="00FD0BBD" w:rsidRPr="00B1227E">
        <w:rPr>
          <w:rFonts w:cs="Arial"/>
        </w:rPr>
        <w:t>sought the relief in terms of Part A, B and C</w:t>
      </w:r>
      <w:r w:rsidR="00E62353" w:rsidRPr="00B1227E">
        <w:rPr>
          <w:rFonts w:cs="Arial"/>
        </w:rPr>
        <w:t xml:space="preserve"> simultaneously</w:t>
      </w:r>
      <w:r w:rsidR="00FD0BBD" w:rsidRPr="00B1227E">
        <w:rPr>
          <w:rFonts w:cs="Arial"/>
        </w:rPr>
        <w:t>. No submissions were</w:t>
      </w:r>
      <w:r w:rsidR="00FC16D3" w:rsidRPr="00B1227E">
        <w:rPr>
          <w:rFonts w:cs="Arial"/>
        </w:rPr>
        <w:t xml:space="preserve"> however</w:t>
      </w:r>
      <w:r w:rsidR="00FD0BBD" w:rsidRPr="00B1227E">
        <w:rPr>
          <w:rFonts w:cs="Arial"/>
        </w:rPr>
        <w:t xml:space="preserve"> made in respect of the relief in Part B and/or Part C.</w:t>
      </w:r>
    </w:p>
    <w:p w14:paraId="14C709DF" w14:textId="64BB8529" w:rsidR="00FD0BBD" w:rsidRPr="00B1227E" w:rsidRDefault="00FD0BBD" w:rsidP="00B1227E">
      <w:pPr>
        <w:spacing w:line="360" w:lineRule="auto"/>
        <w:ind w:left="720" w:hanging="720"/>
        <w:jc w:val="both"/>
        <w:rPr>
          <w:rFonts w:cs="Arial"/>
        </w:rPr>
      </w:pPr>
    </w:p>
    <w:p w14:paraId="08F05C7A" w14:textId="77360B18" w:rsidR="00FD0BBD" w:rsidRPr="00B1227E" w:rsidRDefault="00FD0BBD" w:rsidP="00B1227E">
      <w:pPr>
        <w:spacing w:line="360" w:lineRule="auto"/>
        <w:ind w:left="720" w:hanging="720"/>
        <w:jc w:val="both"/>
        <w:rPr>
          <w:rFonts w:cs="Arial"/>
        </w:rPr>
      </w:pPr>
      <w:r w:rsidRPr="00B1227E">
        <w:rPr>
          <w:rFonts w:cs="Arial"/>
        </w:rPr>
        <w:t>[9]</w:t>
      </w:r>
      <w:r w:rsidRPr="00B1227E">
        <w:rPr>
          <w:rFonts w:cs="Arial"/>
        </w:rPr>
        <w:tab/>
      </w:r>
      <w:r w:rsidR="0014060B" w:rsidRPr="00B1227E">
        <w:rPr>
          <w:rFonts w:cs="Arial"/>
        </w:rPr>
        <w:t xml:space="preserve">As recorded earlier, the relief sought in Part B is dependent upon the grant of </w:t>
      </w:r>
      <w:r w:rsidR="00007465" w:rsidRPr="00B1227E">
        <w:rPr>
          <w:rFonts w:cs="Arial"/>
        </w:rPr>
        <w:t>the relief sought in Part A which related</w:t>
      </w:r>
      <w:r w:rsidR="0014060B" w:rsidRPr="00B1227E">
        <w:rPr>
          <w:rFonts w:cs="Arial"/>
        </w:rPr>
        <w:t xml:space="preserve"> to the providing of information sought in terms of PAJA. </w:t>
      </w:r>
      <w:r w:rsidR="00175B12" w:rsidRPr="00B1227E">
        <w:rPr>
          <w:rFonts w:cs="Arial"/>
        </w:rPr>
        <w:t>In passing, t</w:t>
      </w:r>
      <w:r w:rsidR="0014060B" w:rsidRPr="00B1227E">
        <w:rPr>
          <w:rFonts w:cs="Arial"/>
        </w:rPr>
        <w:t xml:space="preserve">he relief in Part C </w:t>
      </w:r>
      <w:r w:rsidR="00175B12" w:rsidRPr="00B1227E">
        <w:rPr>
          <w:rFonts w:cs="Arial"/>
        </w:rPr>
        <w:t xml:space="preserve">would be </w:t>
      </w:r>
      <w:r w:rsidR="0014060B" w:rsidRPr="00B1227E">
        <w:rPr>
          <w:rFonts w:cs="Arial"/>
        </w:rPr>
        <w:t xml:space="preserve">contrary to the provisions of </w:t>
      </w:r>
      <w:r w:rsidR="00007465" w:rsidRPr="00B1227E">
        <w:rPr>
          <w:rFonts w:cs="Arial"/>
        </w:rPr>
        <w:t xml:space="preserve">section 2 of </w:t>
      </w:r>
      <w:r w:rsidR="00FF33E1" w:rsidRPr="00B1227E">
        <w:rPr>
          <w:rFonts w:cs="Arial"/>
        </w:rPr>
        <w:t>the MDRPA</w:t>
      </w:r>
      <w:r w:rsidR="0014060B" w:rsidRPr="00B1227E">
        <w:rPr>
          <w:rFonts w:cs="Arial"/>
        </w:rPr>
        <w:t>.</w:t>
      </w:r>
    </w:p>
    <w:p w14:paraId="69CBF757" w14:textId="23B8472B" w:rsidR="0014060B" w:rsidRPr="00B1227E" w:rsidRDefault="0014060B" w:rsidP="00B1227E">
      <w:pPr>
        <w:spacing w:line="360" w:lineRule="auto"/>
        <w:ind w:left="720" w:hanging="720"/>
        <w:jc w:val="both"/>
        <w:rPr>
          <w:rFonts w:cs="Arial"/>
        </w:rPr>
      </w:pPr>
    </w:p>
    <w:p w14:paraId="6F8EF005" w14:textId="131ECB51" w:rsidR="0014060B" w:rsidRPr="00B1227E" w:rsidRDefault="0014060B" w:rsidP="00B1227E">
      <w:pPr>
        <w:spacing w:line="360" w:lineRule="auto"/>
        <w:ind w:left="720" w:hanging="720"/>
        <w:jc w:val="both"/>
        <w:rPr>
          <w:rFonts w:cs="Arial"/>
        </w:rPr>
      </w:pPr>
      <w:r w:rsidRPr="00B1227E">
        <w:rPr>
          <w:rFonts w:cs="Arial"/>
        </w:rPr>
        <w:t>[10]</w:t>
      </w:r>
      <w:r w:rsidRPr="00B1227E">
        <w:rPr>
          <w:rFonts w:cs="Arial"/>
        </w:rPr>
        <w:tab/>
      </w:r>
      <w:r w:rsidR="00AD6FE0" w:rsidRPr="00B1227E">
        <w:rPr>
          <w:rFonts w:cs="Arial"/>
        </w:rPr>
        <w:t>As recorded earlier, and i</w:t>
      </w:r>
      <w:r w:rsidR="001F65EA" w:rsidRPr="00B1227E">
        <w:rPr>
          <w:rFonts w:cs="Arial"/>
        </w:rPr>
        <w:t>nsofar as a defence was raised in the main application, it</w:t>
      </w:r>
      <w:r w:rsidR="00C1275C" w:rsidRPr="00B1227E">
        <w:rPr>
          <w:rFonts w:cs="Arial"/>
        </w:rPr>
        <w:t xml:space="preserve"> related to the counter-application that</w:t>
      </w:r>
      <w:r w:rsidR="00A019FD" w:rsidRPr="00B1227E">
        <w:rPr>
          <w:rFonts w:cs="Arial"/>
        </w:rPr>
        <w:t xml:space="preserve"> was dependent</w:t>
      </w:r>
      <w:r w:rsidR="001F65EA" w:rsidRPr="00B1227E">
        <w:rPr>
          <w:rFonts w:cs="Arial"/>
        </w:rPr>
        <w:t xml:space="preserve"> upon a successful grant of the relief in terms of PAJA and</w:t>
      </w:r>
      <w:r w:rsidR="00C1275C" w:rsidRPr="00B1227E">
        <w:rPr>
          <w:rFonts w:cs="Arial"/>
        </w:rPr>
        <w:t xml:space="preserve"> only there</w:t>
      </w:r>
      <w:r w:rsidR="001F65EA" w:rsidRPr="00B1227E">
        <w:rPr>
          <w:rFonts w:cs="Arial"/>
        </w:rPr>
        <w:t>after</w:t>
      </w:r>
      <w:r w:rsidR="00C1275C" w:rsidRPr="00B1227E">
        <w:rPr>
          <w:rFonts w:cs="Arial"/>
        </w:rPr>
        <w:t>,</w:t>
      </w:r>
      <w:r w:rsidR="001F65EA" w:rsidRPr="00B1227E">
        <w:rPr>
          <w:rFonts w:cs="Arial"/>
        </w:rPr>
        <w:t xml:space="preserve"> a successful review and setting aside of the grant of the said prospecting permit. It is to be noted that Culverwell did not seek that the main application be postponed pending a successful review and setting aside of the granted prospecting permit, but that the main application be summarily dismissed.</w:t>
      </w:r>
      <w:r w:rsidR="00443047" w:rsidRPr="00B1227E">
        <w:rPr>
          <w:rFonts w:cs="Arial"/>
        </w:rPr>
        <w:t xml:space="preserve"> The dismissal was sought in the face of the fact that Culverwell had </w:t>
      </w:r>
      <w:r w:rsidR="006F25DB" w:rsidRPr="00B1227E">
        <w:rPr>
          <w:rFonts w:cs="Arial"/>
        </w:rPr>
        <w:t xml:space="preserve">proven </w:t>
      </w:r>
      <w:r w:rsidR="00443047" w:rsidRPr="00B1227E">
        <w:rPr>
          <w:rFonts w:cs="Arial"/>
        </w:rPr>
        <w:t>no defence to the main application.</w:t>
      </w:r>
    </w:p>
    <w:p w14:paraId="6F306699" w14:textId="44E119F5" w:rsidR="00C1275C" w:rsidRPr="00B1227E" w:rsidRDefault="00C1275C" w:rsidP="00B1227E">
      <w:pPr>
        <w:spacing w:line="360" w:lineRule="auto"/>
        <w:ind w:left="720" w:hanging="720"/>
        <w:jc w:val="both"/>
        <w:rPr>
          <w:rFonts w:cs="Arial"/>
        </w:rPr>
      </w:pPr>
    </w:p>
    <w:p w14:paraId="0AADA852" w14:textId="37D1CF21" w:rsidR="00C1275C" w:rsidRPr="00B1227E" w:rsidRDefault="00C1275C" w:rsidP="00B1227E">
      <w:pPr>
        <w:spacing w:line="360" w:lineRule="auto"/>
        <w:ind w:left="720" w:hanging="720"/>
        <w:jc w:val="both"/>
        <w:rPr>
          <w:rFonts w:cs="Arial"/>
        </w:rPr>
      </w:pPr>
      <w:r w:rsidRPr="00B1227E">
        <w:rPr>
          <w:rFonts w:cs="Arial"/>
        </w:rPr>
        <w:lastRenderedPageBreak/>
        <w:t>[11]</w:t>
      </w:r>
      <w:r w:rsidRPr="00B1227E">
        <w:rPr>
          <w:rFonts w:cs="Arial"/>
        </w:rPr>
        <w:tab/>
      </w:r>
      <w:r w:rsidR="00D96D6D" w:rsidRPr="00B1227E">
        <w:rPr>
          <w:rFonts w:cs="Arial"/>
        </w:rPr>
        <w:t xml:space="preserve">The first part of the relief in Part A, that of an </w:t>
      </w:r>
      <w:r w:rsidR="00D96D6D" w:rsidRPr="00B1227E">
        <w:rPr>
          <w:rFonts w:cs="Arial"/>
          <w:i/>
        </w:rPr>
        <w:t>interim</w:t>
      </w:r>
      <w:r w:rsidR="00D96D6D" w:rsidRPr="00B1227E">
        <w:rPr>
          <w:rFonts w:cs="Arial"/>
        </w:rPr>
        <w:t xml:space="preserve"> interdict pending a successful review and setting aside of the granted prospecting permit, is subservient to the existence of a </w:t>
      </w:r>
      <w:r w:rsidR="00D96D6D" w:rsidRPr="00B1227E">
        <w:rPr>
          <w:rFonts w:cs="Arial"/>
          <w:i/>
        </w:rPr>
        <w:t>prima facie</w:t>
      </w:r>
      <w:r w:rsidR="00D96D6D" w:rsidRPr="00B1227E">
        <w:rPr>
          <w:rFonts w:cs="Arial"/>
        </w:rPr>
        <w:t xml:space="preserve"> right, although open to some doubt. Culverwell has not proven such a </w:t>
      </w:r>
      <w:r w:rsidR="00D96D6D" w:rsidRPr="00B1227E">
        <w:rPr>
          <w:rFonts w:cs="Arial"/>
          <w:i/>
        </w:rPr>
        <w:t>prima facie</w:t>
      </w:r>
      <w:r w:rsidR="00D96D6D" w:rsidRPr="00B1227E">
        <w:rPr>
          <w:rFonts w:cs="Arial"/>
        </w:rPr>
        <w:t xml:space="preserve"> right, either in the main application, or in its counter-application. Cedar Point holds a clear right in the prospecting right that was granted in its favour, whether lawfully or unlawfully</w:t>
      </w:r>
      <w:r w:rsidR="00E011CE" w:rsidRPr="00B1227E">
        <w:rPr>
          <w:rFonts w:cs="Arial"/>
        </w:rPr>
        <w:t xml:space="preserve"> granted</w:t>
      </w:r>
      <w:r w:rsidR="00D96D6D" w:rsidRPr="00B1227E">
        <w:rPr>
          <w:rFonts w:cs="Arial"/>
        </w:rPr>
        <w:t xml:space="preserve">. That </w:t>
      </w:r>
      <w:r w:rsidR="00B6662F" w:rsidRPr="00B1227E">
        <w:rPr>
          <w:rFonts w:cs="Arial"/>
        </w:rPr>
        <w:t xml:space="preserve">prospecting </w:t>
      </w:r>
      <w:r w:rsidR="00D96D6D" w:rsidRPr="00B1227E">
        <w:rPr>
          <w:rFonts w:cs="Arial"/>
        </w:rPr>
        <w:t xml:space="preserve">right </w:t>
      </w:r>
      <w:r w:rsidR="00B6662F" w:rsidRPr="00B1227E">
        <w:rPr>
          <w:rFonts w:cs="Arial"/>
        </w:rPr>
        <w:t>endured</w:t>
      </w:r>
      <w:r w:rsidR="00D96D6D" w:rsidRPr="00B1227E">
        <w:rPr>
          <w:rFonts w:cs="Arial"/>
        </w:rPr>
        <w:t xml:space="preserve"> until </w:t>
      </w:r>
      <w:r w:rsidR="00B6662F" w:rsidRPr="00B1227E">
        <w:rPr>
          <w:rFonts w:cs="Arial"/>
        </w:rPr>
        <w:t xml:space="preserve">it was </w:t>
      </w:r>
      <w:r w:rsidR="00D96D6D" w:rsidRPr="00B1227E">
        <w:rPr>
          <w:rFonts w:cs="Arial"/>
        </w:rPr>
        <w:t>reviewed and set aside</w:t>
      </w:r>
      <w:r w:rsidR="00E011CE" w:rsidRPr="00B1227E">
        <w:rPr>
          <w:rFonts w:cs="Arial"/>
        </w:rPr>
        <w:t xml:space="preserve"> by a</w:t>
      </w:r>
      <w:r w:rsidR="00B6662F" w:rsidRPr="00B1227E">
        <w:rPr>
          <w:rFonts w:cs="Arial"/>
        </w:rPr>
        <w:t xml:space="preserve"> competent</w:t>
      </w:r>
      <w:r w:rsidR="00E011CE" w:rsidRPr="00B1227E">
        <w:rPr>
          <w:rFonts w:cs="Arial"/>
        </w:rPr>
        <w:t xml:space="preserve"> court</w:t>
      </w:r>
      <w:r w:rsidR="00D96D6D" w:rsidRPr="00B1227E">
        <w:rPr>
          <w:rFonts w:cs="Arial"/>
        </w:rPr>
        <w:t>.</w:t>
      </w:r>
      <w:r w:rsidR="00E65F50" w:rsidRPr="00B1227E">
        <w:rPr>
          <w:rFonts w:cs="Arial"/>
        </w:rPr>
        <w:t xml:space="preserve"> It follows that Culverwell is not entitled to an </w:t>
      </w:r>
      <w:r w:rsidR="00E65F50" w:rsidRPr="00B1227E">
        <w:rPr>
          <w:rFonts w:cs="Arial"/>
          <w:i/>
        </w:rPr>
        <w:t>interim</w:t>
      </w:r>
      <w:r w:rsidR="00E65F50" w:rsidRPr="00B1227E">
        <w:rPr>
          <w:rFonts w:cs="Arial"/>
        </w:rPr>
        <w:t xml:space="preserve"> interdict</w:t>
      </w:r>
      <w:r w:rsidR="00B6662F" w:rsidRPr="00B1227E">
        <w:rPr>
          <w:rFonts w:cs="Arial"/>
        </w:rPr>
        <w:t xml:space="preserve"> pending a possible</w:t>
      </w:r>
      <w:r w:rsidR="00E011CE" w:rsidRPr="00B1227E">
        <w:rPr>
          <w:rFonts w:cs="Arial"/>
        </w:rPr>
        <w:t xml:space="preserve"> review and setting aside of the</w:t>
      </w:r>
      <w:r w:rsidR="00B6662F" w:rsidRPr="00B1227E">
        <w:rPr>
          <w:rFonts w:cs="Arial"/>
        </w:rPr>
        <w:t xml:space="preserve"> grant of the</w:t>
      </w:r>
      <w:r w:rsidR="00E011CE" w:rsidRPr="00B1227E">
        <w:rPr>
          <w:rFonts w:cs="Arial"/>
        </w:rPr>
        <w:t xml:space="preserve"> prospecting permit</w:t>
      </w:r>
      <w:r w:rsidR="00B6662F" w:rsidRPr="00B1227E">
        <w:rPr>
          <w:rFonts w:cs="Arial"/>
        </w:rPr>
        <w:t>.</w:t>
      </w:r>
    </w:p>
    <w:p w14:paraId="42BC4ABC" w14:textId="438B63A2" w:rsidR="000E20FC" w:rsidRPr="00B1227E" w:rsidRDefault="000E20FC" w:rsidP="00B1227E">
      <w:pPr>
        <w:spacing w:line="360" w:lineRule="auto"/>
        <w:ind w:left="720" w:hanging="720"/>
        <w:jc w:val="both"/>
        <w:rPr>
          <w:rFonts w:cs="Arial"/>
        </w:rPr>
      </w:pPr>
    </w:p>
    <w:p w14:paraId="557A1A89" w14:textId="4F27F256" w:rsidR="000E20FC" w:rsidRPr="00B1227E" w:rsidRDefault="000E20FC" w:rsidP="00B1227E">
      <w:pPr>
        <w:spacing w:line="360" w:lineRule="auto"/>
        <w:ind w:left="720" w:hanging="720"/>
        <w:jc w:val="both"/>
        <w:rPr>
          <w:rFonts w:cs="Arial"/>
        </w:rPr>
      </w:pPr>
      <w:r w:rsidRPr="00B1227E">
        <w:rPr>
          <w:rFonts w:cs="Arial"/>
        </w:rPr>
        <w:t>[12]</w:t>
      </w:r>
      <w:r w:rsidRPr="00B1227E">
        <w:rPr>
          <w:rFonts w:cs="Arial"/>
        </w:rPr>
        <w:tab/>
        <w:t xml:space="preserve">A further requirement to be proven when seeking an </w:t>
      </w:r>
      <w:r w:rsidRPr="00B1227E">
        <w:rPr>
          <w:rFonts w:cs="Arial"/>
          <w:i/>
        </w:rPr>
        <w:t xml:space="preserve">interim </w:t>
      </w:r>
      <w:r w:rsidRPr="00B1227E">
        <w:rPr>
          <w:rFonts w:cs="Arial"/>
        </w:rPr>
        <w:t>interdict is that of an apprehension of irreparable harm. In the present instance, no such irreparable harm has been shown. Culverwell has</w:t>
      </w:r>
      <w:r w:rsidR="00E0037A" w:rsidRPr="00B1227E">
        <w:rPr>
          <w:rFonts w:cs="Arial"/>
        </w:rPr>
        <w:t>,</w:t>
      </w:r>
      <w:r w:rsidRPr="00B1227E">
        <w:rPr>
          <w:rFonts w:cs="Arial"/>
        </w:rPr>
        <w:t xml:space="preserve"> in</w:t>
      </w:r>
      <w:r w:rsidR="00B6662F" w:rsidRPr="00B1227E">
        <w:rPr>
          <w:rFonts w:cs="Arial"/>
        </w:rPr>
        <w:t xml:space="preserve"> terms of the provisions of the MPRDA</w:t>
      </w:r>
      <w:r w:rsidRPr="00B1227E">
        <w:rPr>
          <w:rFonts w:cs="Arial"/>
        </w:rPr>
        <w:t xml:space="preserve"> an equally adequate remedy, that of an internal appeal.</w:t>
      </w:r>
      <w:r w:rsidR="00F712EA" w:rsidRPr="00B1227E">
        <w:rPr>
          <w:rFonts w:cs="Arial"/>
        </w:rPr>
        <w:t xml:space="preserve"> In contrast, Cedar Point stands to suffer irreparable harm if the interdict is granted. The prospecting permit would have run its course by the time a decision is reached in respect of a </w:t>
      </w:r>
      <w:r w:rsidR="00B6662F" w:rsidRPr="00B1227E">
        <w:rPr>
          <w:rFonts w:cs="Arial"/>
        </w:rPr>
        <w:t xml:space="preserve">successful </w:t>
      </w:r>
      <w:r w:rsidR="00F712EA" w:rsidRPr="00B1227E">
        <w:rPr>
          <w:rFonts w:cs="Arial"/>
        </w:rPr>
        <w:t>review and setting aside of the grant of the prospecting permit.</w:t>
      </w:r>
    </w:p>
    <w:p w14:paraId="69E36D40" w14:textId="1203153B" w:rsidR="00A70FA7" w:rsidRPr="00B1227E" w:rsidRDefault="00A70FA7" w:rsidP="00B1227E">
      <w:pPr>
        <w:spacing w:line="360" w:lineRule="auto"/>
        <w:ind w:left="720" w:hanging="720"/>
        <w:jc w:val="both"/>
        <w:rPr>
          <w:rFonts w:cs="Arial"/>
        </w:rPr>
      </w:pPr>
    </w:p>
    <w:p w14:paraId="1B522E29" w14:textId="4825652A" w:rsidR="00A70FA7" w:rsidRPr="00B1227E" w:rsidRDefault="00EB2A50" w:rsidP="00B1227E">
      <w:pPr>
        <w:spacing w:line="360" w:lineRule="auto"/>
        <w:ind w:left="720" w:hanging="720"/>
        <w:jc w:val="both"/>
        <w:rPr>
          <w:rFonts w:cs="Arial"/>
        </w:rPr>
      </w:pPr>
      <w:r w:rsidRPr="00B1227E">
        <w:rPr>
          <w:rFonts w:cs="Arial"/>
        </w:rPr>
        <w:t>[13</w:t>
      </w:r>
      <w:r w:rsidR="00A70FA7" w:rsidRPr="00B1227E">
        <w:rPr>
          <w:rFonts w:cs="Arial"/>
        </w:rPr>
        <w:t>]</w:t>
      </w:r>
      <w:r w:rsidR="00A70FA7" w:rsidRPr="00B1227E">
        <w:rPr>
          <w:rFonts w:cs="Arial"/>
        </w:rPr>
        <w:tab/>
        <w:t>Furthermore, section 7 of PAJA provides that no application to court for the review and setting aside of an administrative decision lies where the applicant for such rev</w:t>
      </w:r>
      <w:r w:rsidR="003D3332" w:rsidRPr="00B1227E">
        <w:rPr>
          <w:rFonts w:cs="Arial"/>
        </w:rPr>
        <w:t>iew application has not exhausted</w:t>
      </w:r>
      <w:r w:rsidR="00A70FA7" w:rsidRPr="00B1227E">
        <w:rPr>
          <w:rFonts w:cs="Arial"/>
        </w:rPr>
        <w:t xml:space="preserve"> all the </w:t>
      </w:r>
      <w:r w:rsidR="00706327" w:rsidRPr="00B1227E">
        <w:rPr>
          <w:rFonts w:cs="Arial"/>
        </w:rPr>
        <w:t>in</w:t>
      </w:r>
      <w:r w:rsidR="00492C18" w:rsidRPr="00B1227E">
        <w:rPr>
          <w:rFonts w:cs="Arial"/>
        </w:rPr>
        <w:t>ternal remedies provided in the MPRDA</w:t>
      </w:r>
      <w:r w:rsidR="00706327" w:rsidRPr="00B1227E">
        <w:rPr>
          <w:rFonts w:cs="Arial"/>
        </w:rPr>
        <w:t>.</w:t>
      </w:r>
      <w:r w:rsidR="00706327" w:rsidRPr="00B1227E">
        <w:rPr>
          <w:rStyle w:val="FootnoteReference"/>
          <w:rFonts w:cs="Arial"/>
        </w:rPr>
        <w:footnoteReference w:id="2"/>
      </w:r>
      <w:r w:rsidR="00893D7B" w:rsidRPr="00B1227E">
        <w:rPr>
          <w:rFonts w:cs="Arial"/>
        </w:rPr>
        <w:t xml:space="preserve"> In</w:t>
      </w:r>
      <w:r w:rsidR="00A357A9" w:rsidRPr="00B1227E">
        <w:rPr>
          <w:rFonts w:cs="Arial"/>
        </w:rPr>
        <w:t xml:space="preserve"> this regard, section 96 of the MPRDA</w:t>
      </w:r>
      <w:r w:rsidR="00893D7B" w:rsidRPr="00B1227E">
        <w:rPr>
          <w:rFonts w:cs="Arial"/>
        </w:rPr>
        <w:t xml:space="preserve"> provides </w:t>
      </w:r>
      <w:r w:rsidR="00893D7B" w:rsidRPr="00B1227E">
        <w:rPr>
          <w:rFonts w:cs="Arial"/>
          <w:i/>
        </w:rPr>
        <w:t>inter alia</w:t>
      </w:r>
      <w:r w:rsidR="00893D7B" w:rsidRPr="00B1227E">
        <w:rPr>
          <w:rFonts w:cs="Arial"/>
        </w:rPr>
        <w:t xml:space="preserve"> an appeal to the Minister. It is common cause that Culverwell did not follow such a procedure. </w:t>
      </w:r>
      <w:r w:rsidR="00C31228" w:rsidRPr="00B1227E">
        <w:rPr>
          <w:rFonts w:cs="Arial"/>
        </w:rPr>
        <w:t>In fact</w:t>
      </w:r>
      <w:r w:rsidR="003D3332" w:rsidRPr="00B1227E">
        <w:rPr>
          <w:rFonts w:cs="Arial"/>
        </w:rPr>
        <w:t>,</w:t>
      </w:r>
      <w:r w:rsidR="00C31228" w:rsidRPr="00B1227E">
        <w:rPr>
          <w:rFonts w:cs="Arial"/>
        </w:rPr>
        <w:t xml:space="preserve"> it </w:t>
      </w:r>
      <w:r w:rsidR="003D3332" w:rsidRPr="00B1227E">
        <w:rPr>
          <w:rFonts w:cs="Arial"/>
        </w:rPr>
        <w:t xml:space="preserve">intentionally </w:t>
      </w:r>
      <w:r w:rsidR="00C31228" w:rsidRPr="00B1227E">
        <w:rPr>
          <w:rFonts w:cs="Arial"/>
        </w:rPr>
        <w:t xml:space="preserve">disavowed utilising such procedure. </w:t>
      </w:r>
      <w:r w:rsidR="00893D7B" w:rsidRPr="00B1227E">
        <w:rPr>
          <w:rFonts w:cs="Arial"/>
        </w:rPr>
        <w:t xml:space="preserve">On behalf of Culverwell it was submitted that such party may </w:t>
      </w:r>
      <w:r w:rsidR="003D3332" w:rsidRPr="00B1227E">
        <w:rPr>
          <w:rFonts w:cs="Arial"/>
        </w:rPr>
        <w:t xml:space="preserve">nevertheless </w:t>
      </w:r>
      <w:r w:rsidR="00893D7B" w:rsidRPr="00B1227E">
        <w:rPr>
          <w:rFonts w:cs="Arial"/>
        </w:rPr>
        <w:t xml:space="preserve">seek an order from the court dispensing with strict compliance with the </w:t>
      </w:r>
      <w:r w:rsidR="00A357A9" w:rsidRPr="00B1227E">
        <w:rPr>
          <w:rFonts w:cs="Arial"/>
        </w:rPr>
        <w:t>provisions of section 96 of the MPRDA</w:t>
      </w:r>
      <w:r w:rsidR="00893D7B" w:rsidRPr="00B1227E">
        <w:rPr>
          <w:rFonts w:cs="Arial"/>
        </w:rPr>
        <w:t>.</w:t>
      </w:r>
      <w:r w:rsidR="00D07B78" w:rsidRPr="00B1227E">
        <w:rPr>
          <w:rStyle w:val="FootnoteReference"/>
          <w:rFonts w:cs="Arial"/>
        </w:rPr>
        <w:footnoteReference w:id="3"/>
      </w:r>
      <w:r w:rsidR="00893D7B" w:rsidRPr="00B1227E">
        <w:rPr>
          <w:rFonts w:cs="Arial"/>
        </w:rPr>
        <w:t xml:space="preserve"> It is trite that only in exceptional circumstances the court would </w:t>
      </w:r>
      <w:r w:rsidR="00893D7B" w:rsidRPr="00B1227E">
        <w:rPr>
          <w:rFonts w:cs="Arial"/>
        </w:rPr>
        <w:lastRenderedPageBreak/>
        <w:t>so order.</w:t>
      </w:r>
      <w:r w:rsidR="00C31228" w:rsidRPr="00B1227E">
        <w:rPr>
          <w:rStyle w:val="FootnoteReference"/>
          <w:rFonts w:cs="Arial"/>
        </w:rPr>
        <w:footnoteReference w:id="4"/>
      </w:r>
      <w:r w:rsidR="00893D7B" w:rsidRPr="00B1227E">
        <w:rPr>
          <w:rFonts w:cs="Arial"/>
        </w:rPr>
        <w:t xml:space="preserve"> A party is to clearly and fully detail the exceptional circumstances it relies upon in an application to court.</w:t>
      </w:r>
    </w:p>
    <w:p w14:paraId="329CEF05" w14:textId="4D8606E7" w:rsidR="00893D7B" w:rsidRPr="00B1227E" w:rsidRDefault="00893D7B" w:rsidP="00B1227E">
      <w:pPr>
        <w:spacing w:line="360" w:lineRule="auto"/>
        <w:ind w:left="720" w:hanging="720"/>
        <w:jc w:val="both"/>
        <w:rPr>
          <w:rFonts w:cs="Arial"/>
        </w:rPr>
      </w:pPr>
    </w:p>
    <w:p w14:paraId="5A38147F" w14:textId="665D8FE5" w:rsidR="008831A4" w:rsidRPr="00B1227E" w:rsidRDefault="00EB2A50" w:rsidP="00B1227E">
      <w:pPr>
        <w:spacing w:line="360" w:lineRule="auto"/>
        <w:ind w:left="720" w:hanging="720"/>
        <w:jc w:val="both"/>
        <w:rPr>
          <w:rFonts w:cs="Arial"/>
        </w:rPr>
      </w:pPr>
      <w:r w:rsidRPr="00B1227E">
        <w:rPr>
          <w:rFonts w:cs="Arial"/>
        </w:rPr>
        <w:t>[14</w:t>
      </w:r>
      <w:r w:rsidR="00893D7B" w:rsidRPr="00B1227E">
        <w:rPr>
          <w:rFonts w:cs="Arial"/>
        </w:rPr>
        <w:t>]</w:t>
      </w:r>
      <w:r w:rsidR="00893D7B" w:rsidRPr="00B1227E">
        <w:rPr>
          <w:rFonts w:cs="Arial"/>
        </w:rPr>
        <w:tab/>
        <w:t>In the present instance, Culv</w:t>
      </w:r>
      <w:r w:rsidR="003D3332" w:rsidRPr="00B1227E">
        <w:rPr>
          <w:rFonts w:cs="Arial"/>
        </w:rPr>
        <w:t>erwell failed to provide clear</w:t>
      </w:r>
      <w:r w:rsidR="00893D7B" w:rsidRPr="00B1227E">
        <w:rPr>
          <w:rFonts w:cs="Arial"/>
        </w:rPr>
        <w:t xml:space="preserve"> details of such circumstances that could be considered exceptional </w:t>
      </w:r>
      <w:r w:rsidR="00893D7B" w:rsidRPr="00B1227E">
        <w:rPr>
          <w:rFonts w:cs="Arial"/>
          <w:i/>
        </w:rPr>
        <w:t>in casu</w:t>
      </w:r>
      <w:r w:rsidR="00893D7B" w:rsidRPr="00B1227E">
        <w:rPr>
          <w:rFonts w:cs="Arial"/>
        </w:rPr>
        <w:t xml:space="preserve">. The </w:t>
      </w:r>
      <w:r w:rsidR="00D07B78" w:rsidRPr="00B1227E">
        <w:rPr>
          <w:rFonts w:cs="Arial"/>
        </w:rPr>
        <w:t>only allegation</w:t>
      </w:r>
      <w:r w:rsidR="003D3332" w:rsidRPr="00B1227E">
        <w:rPr>
          <w:rFonts w:cs="Arial"/>
        </w:rPr>
        <w:t xml:space="preserve"> made</w:t>
      </w:r>
      <w:r w:rsidR="00893D7B" w:rsidRPr="00B1227E">
        <w:rPr>
          <w:rFonts w:cs="Arial"/>
        </w:rPr>
        <w:t xml:space="preserve"> in that regard</w:t>
      </w:r>
      <w:r w:rsidR="00D07B78" w:rsidRPr="00B1227E">
        <w:rPr>
          <w:rFonts w:cs="Arial"/>
        </w:rPr>
        <w:t>, was that the main depo</w:t>
      </w:r>
      <w:r w:rsidR="0075142F" w:rsidRPr="00B1227E">
        <w:rPr>
          <w:rFonts w:cs="Arial"/>
        </w:rPr>
        <w:t xml:space="preserve">nent on behalf of Culverwell alleged that he </w:t>
      </w:r>
      <w:r w:rsidR="0075142F" w:rsidRPr="00B1227E">
        <w:rPr>
          <w:rFonts w:cs="Arial"/>
          <w:i/>
        </w:rPr>
        <w:t>was left disillusi</w:t>
      </w:r>
      <w:r w:rsidR="00BB04A3" w:rsidRPr="00B1227E">
        <w:rPr>
          <w:rFonts w:cs="Arial"/>
          <w:i/>
        </w:rPr>
        <w:t>oned and failing in trust in the internal remedies of the Mineral and Petroleum Resources Development Act.</w:t>
      </w:r>
      <w:r w:rsidR="00D07B78" w:rsidRPr="00B1227E">
        <w:rPr>
          <w:rFonts w:cs="Arial"/>
        </w:rPr>
        <w:t xml:space="preserve"> Furthermore, no formal application was made in that regard. It </w:t>
      </w:r>
      <w:r w:rsidR="005971A9" w:rsidRPr="00B1227E">
        <w:rPr>
          <w:rFonts w:cs="Arial"/>
        </w:rPr>
        <w:t>was merely referred to</w:t>
      </w:r>
      <w:r w:rsidR="00D07B78" w:rsidRPr="00B1227E">
        <w:rPr>
          <w:rFonts w:cs="Arial"/>
        </w:rPr>
        <w:t xml:space="preserve"> in passing</w:t>
      </w:r>
      <w:r w:rsidR="005971A9" w:rsidRPr="00B1227E">
        <w:rPr>
          <w:rFonts w:cs="Arial"/>
        </w:rPr>
        <w:t xml:space="preserve"> that there were exceptional circumstances </w:t>
      </w:r>
      <w:r w:rsidR="005971A9" w:rsidRPr="00B1227E">
        <w:rPr>
          <w:rFonts w:cs="Arial"/>
          <w:i/>
        </w:rPr>
        <w:t>in casu</w:t>
      </w:r>
      <w:r w:rsidR="00D07B78" w:rsidRPr="00B1227E">
        <w:rPr>
          <w:rFonts w:cs="Arial"/>
        </w:rPr>
        <w:t>.</w:t>
      </w:r>
      <w:r w:rsidR="003D3332" w:rsidRPr="00B1227E">
        <w:rPr>
          <w:rFonts w:cs="Arial"/>
        </w:rPr>
        <w:t xml:space="preserve"> Other than the oblique reference mentioned above, no circumstances were stated or alleged.</w:t>
      </w:r>
    </w:p>
    <w:p w14:paraId="55E899D4" w14:textId="27BE39F4" w:rsidR="00D96D6D" w:rsidRPr="00B1227E" w:rsidRDefault="00D96D6D" w:rsidP="00B1227E">
      <w:pPr>
        <w:spacing w:line="360" w:lineRule="auto"/>
        <w:ind w:left="720" w:hanging="720"/>
        <w:jc w:val="both"/>
        <w:rPr>
          <w:rFonts w:cs="Arial"/>
        </w:rPr>
      </w:pPr>
    </w:p>
    <w:p w14:paraId="428084A7" w14:textId="282BB2BA" w:rsidR="00C31228" w:rsidRPr="00B1227E" w:rsidRDefault="00EB2A50" w:rsidP="00B1227E">
      <w:pPr>
        <w:spacing w:line="360" w:lineRule="auto"/>
        <w:ind w:left="720" w:hanging="720"/>
        <w:jc w:val="both"/>
        <w:rPr>
          <w:rFonts w:cs="Arial"/>
        </w:rPr>
      </w:pPr>
      <w:r w:rsidRPr="00B1227E">
        <w:rPr>
          <w:rFonts w:cs="Arial"/>
        </w:rPr>
        <w:t>[15</w:t>
      </w:r>
      <w:r w:rsidR="00D96D6D" w:rsidRPr="00B1227E">
        <w:rPr>
          <w:rFonts w:cs="Arial"/>
        </w:rPr>
        <w:t>]</w:t>
      </w:r>
      <w:r w:rsidR="00D96D6D" w:rsidRPr="00B1227E">
        <w:rPr>
          <w:rFonts w:cs="Arial"/>
        </w:rPr>
        <w:tab/>
      </w:r>
      <w:r w:rsidR="00024A87" w:rsidRPr="00B1227E">
        <w:rPr>
          <w:rFonts w:cs="Arial"/>
        </w:rPr>
        <w:t>It was submitted on behalf of the Minister that the procedure relating to internal appeals would allow Culverwell access to the information it sought in terms of PAJA.</w:t>
      </w:r>
      <w:r w:rsidR="00024A87" w:rsidRPr="00B1227E">
        <w:rPr>
          <w:rStyle w:val="FootnoteReference"/>
          <w:rFonts w:cs="Arial"/>
        </w:rPr>
        <w:footnoteReference w:id="5"/>
      </w:r>
      <w:r w:rsidR="00024A87" w:rsidRPr="00B1227E">
        <w:rPr>
          <w:rFonts w:cs="Arial"/>
        </w:rPr>
        <w:t xml:space="preserve"> </w:t>
      </w:r>
      <w:r w:rsidR="00C31228" w:rsidRPr="00B1227E">
        <w:rPr>
          <w:rFonts w:cs="Arial"/>
        </w:rPr>
        <w:t xml:space="preserve">In my view, </w:t>
      </w:r>
      <w:r w:rsidR="00024A87" w:rsidRPr="00B1227E">
        <w:rPr>
          <w:rFonts w:cs="Arial"/>
        </w:rPr>
        <w:t>it</w:t>
      </w:r>
      <w:r w:rsidR="00DA4E62" w:rsidRPr="00B1227E">
        <w:rPr>
          <w:rFonts w:cs="Arial"/>
        </w:rPr>
        <w:t xml:space="preserve"> follows that </w:t>
      </w:r>
      <w:r w:rsidR="00C31228" w:rsidRPr="00B1227E">
        <w:rPr>
          <w:rFonts w:cs="Arial"/>
        </w:rPr>
        <w:t>Culver</w:t>
      </w:r>
      <w:r w:rsidR="00DA4E62" w:rsidRPr="00B1227E">
        <w:rPr>
          <w:rFonts w:cs="Arial"/>
        </w:rPr>
        <w:t>well is not entitled to the relief it seeks relating to the informa</w:t>
      </w:r>
      <w:r w:rsidR="00024A87" w:rsidRPr="00B1227E">
        <w:rPr>
          <w:rFonts w:cs="Arial"/>
        </w:rPr>
        <w:t>tion required in terms of PAJA.</w:t>
      </w:r>
    </w:p>
    <w:p w14:paraId="45E24CF8" w14:textId="282B3AB9" w:rsidR="008831A4" w:rsidRPr="00B1227E" w:rsidRDefault="008831A4" w:rsidP="00B1227E">
      <w:pPr>
        <w:spacing w:line="360" w:lineRule="auto"/>
        <w:ind w:left="720" w:hanging="720"/>
        <w:jc w:val="both"/>
        <w:rPr>
          <w:rFonts w:cs="Arial"/>
        </w:rPr>
      </w:pPr>
    </w:p>
    <w:p w14:paraId="1D78A473" w14:textId="2D44273F" w:rsidR="008831A4" w:rsidRPr="00B1227E" w:rsidRDefault="008831A4" w:rsidP="00B1227E">
      <w:pPr>
        <w:spacing w:line="360" w:lineRule="auto"/>
        <w:ind w:left="720" w:hanging="720"/>
        <w:jc w:val="both"/>
        <w:rPr>
          <w:rFonts w:cs="Arial"/>
        </w:rPr>
      </w:pPr>
      <w:r w:rsidRPr="00B1227E">
        <w:rPr>
          <w:rFonts w:cs="Arial"/>
        </w:rPr>
        <w:t>[16]</w:t>
      </w:r>
      <w:r w:rsidRPr="00B1227E">
        <w:rPr>
          <w:rFonts w:cs="Arial"/>
        </w:rPr>
        <w:tab/>
        <w:t>In view of all the foregoing, the balance of convenience clearly favours Cedar Point.</w:t>
      </w:r>
      <w:r w:rsidR="00024A87" w:rsidRPr="00B1227E">
        <w:rPr>
          <w:rStyle w:val="FootnoteReference"/>
          <w:rFonts w:cs="Arial"/>
        </w:rPr>
        <w:footnoteReference w:id="6"/>
      </w:r>
    </w:p>
    <w:p w14:paraId="2AA2604C" w14:textId="5110280B" w:rsidR="00DB791A" w:rsidRPr="00B1227E" w:rsidRDefault="00DB791A" w:rsidP="00B1227E">
      <w:pPr>
        <w:spacing w:line="360" w:lineRule="auto"/>
        <w:ind w:left="720" w:hanging="720"/>
        <w:jc w:val="both"/>
        <w:rPr>
          <w:rFonts w:cs="Arial"/>
        </w:rPr>
      </w:pPr>
    </w:p>
    <w:p w14:paraId="73DD1325" w14:textId="7BAC3817" w:rsidR="00DB791A" w:rsidRPr="00B1227E" w:rsidRDefault="00DB791A" w:rsidP="00B1227E">
      <w:pPr>
        <w:spacing w:line="360" w:lineRule="auto"/>
        <w:ind w:left="720" w:hanging="720"/>
        <w:jc w:val="both"/>
        <w:rPr>
          <w:rFonts w:cs="Arial"/>
        </w:rPr>
      </w:pPr>
      <w:r w:rsidRPr="00B1227E">
        <w:rPr>
          <w:rFonts w:cs="Arial"/>
        </w:rPr>
        <w:t>[17]</w:t>
      </w:r>
      <w:r w:rsidRPr="00B1227E">
        <w:rPr>
          <w:rFonts w:cs="Arial"/>
        </w:rPr>
        <w:tab/>
        <w:t xml:space="preserve">It follows in my view, that Culverwell is not entitled to the </w:t>
      </w:r>
      <w:r w:rsidR="00E0037A" w:rsidRPr="00B1227E">
        <w:rPr>
          <w:rFonts w:cs="Arial"/>
        </w:rPr>
        <w:t>relief sought in Part A and</w:t>
      </w:r>
      <w:r w:rsidRPr="00B1227E">
        <w:rPr>
          <w:rFonts w:cs="Arial"/>
        </w:rPr>
        <w:t xml:space="preserve"> consequently</w:t>
      </w:r>
      <w:r w:rsidR="00E0037A" w:rsidRPr="00B1227E">
        <w:rPr>
          <w:rFonts w:cs="Arial"/>
        </w:rPr>
        <w:t>,</w:t>
      </w:r>
      <w:r w:rsidRPr="00B1227E">
        <w:rPr>
          <w:rFonts w:cs="Arial"/>
        </w:rPr>
        <w:t xml:space="preserve"> the counter-application stands to be dismissed. No grounds for the review and the setting aside of the grant of the prospecting permit were raised or proven</w:t>
      </w:r>
      <w:r w:rsidR="00E21F5F" w:rsidRPr="00B1227E">
        <w:rPr>
          <w:rFonts w:cs="Arial"/>
        </w:rPr>
        <w:t xml:space="preserve"> and furthermor</w:t>
      </w:r>
      <w:r w:rsidR="00E0037A" w:rsidRPr="00B1227E">
        <w:rPr>
          <w:rFonts w:cs="Arial"/>
        </w:rPr>
        <w:t>e, no application for review lay</w:t>
      </w:r>
      <w:r w:rsidR="00E21F5F" w:rsidRPr="00B1227E">
        <w:rPr>
          <w:rFonts w:cs="Arial"/>
        </w:rPr>
        <w:t xml:space="preserve"> in terms of PAJA</w:t>
      </w:r>
      <w:r w:rsidRPr="00B1227E">
        <w:rPr>
          <w:rFonts w:cs="Arial"/>
        </w:rPr>
        <w:t xml:space="preserve">. </w:t>
      </w:r>
      <w:r w:rsidR="0086355F" w:rsidRPr="00B1227E">
        <w:rPr>
          <w:rFonts w:cs="Arial"/>
        </w:rPr>
        <w:t>Grounds for the grant of a perpetual interdict were neither raised</w:t>
      </w:r>
      <w:r w:rsidR="00E21F5F" w:rsidRPr="00B1227E">
        <w:rPr>
          <w:rFonts w:cs="Arial"/>
        </w:rPr>
        <w:t>, nor proven</w:t>
      </w:r>
      <w:r w:rsidR="0086355F" w:rsidRPr="00B1227E">
        <w:rPr>
          <w:rFonts w:cs="Arial"/>
        </w:rPr>
        <w:t>.</w:t>
      </w:r>
    </w:p>
    <w:p w14:paraId="2D999B86" w14:textId="77777777" w:rsidR="00C31228" w:rsidRPr="00B1227E" w:rsidRDefault="00C31228" w:rsidP="00B1227E">
      <w:pPr>
        <w:spacing w:line="360" w:lineRule="auto"/>
        <w:ind w:left="720" w:hanging="720"/>
        <w:jc w:val="both"/>
        <w:rPr>
          <w:rFonts w:cs="Arial"/>
        </w:rPr>
      </w:pPr>
    </w:p>
    <w:p w14:paraId="4E35C419" w14:textId="23C9E2A9" w:rsidR="00E65F50" w:rsidRPr="00B1227E" w:rsidRDefault="00446475" w:rsidP="00B1227E">
      <w:pPr>
        <w:spacing w:line="360" w:lineRule="auto"/>
        <w:ind w:left="720" w:hanging="720"/>
        <w:jc w:val="both"/>
        <w:rPr>
          <w:rFonts w:cs="Arial"/>
        </w:rPr>
      </w:pPr>
      <w:r w:rsidRPr="00B1227E">
        <w:rPr>
          <w:rFonts w:cs="Arial"/>
        </w:rPr>
        <w:lastRenderedPageBreak/>
        <w:t>[18</w:t>
      </w:r>
      <w:r w:rsidR="00C31228" w:rsidRPr="00B1227E">
        <w:rPr>
          <w:rFonts w:cs="Arial"/>
        </w:rPr>
        <w:t>]</w:t>
      </w:r>
      <w:r w:rsidR="00C31228" w:rsidRPr="00B1227E">
        <w:rPr>
          <w:rFonts w:cs="Arial"/>
        </w:rPr>
        <w:tab/>
      </w:r>
      <w:r w:rsidR="00E65F50" w:rsidRPr="00B1227E">
        <w:rPr>
          <w:rFonts w:cs="Arial"/>
        </w:rPr>
        <w:t>In the absence of an order in terms of which the main application is to be postponed pending a review and setting aside of the grant of the prospecting right, Cedar Point is entitled to enforce its rights in terms of the granted prospecting right. It follows that Cedar Point is</w:t>
      </w:r>
      <w:r w:rsidR="00F340FF" w:rsidRPr="00B1227E">
        <w:rPr>
          <w:rFonts w:cs="Arial"/>
        </w:rPr>
        <w:t xml:space="preserve"> entitled to the relief it sought</w:t>
      </w:r>
      <w:r w:rsidR="00E65F50" w:rsidRPr="00B1227E">
        <w:rPr>
          <w:rFonts w:cs="Arial"/>
        </w:rPr>
        <w:t xml:space="preserve"> in the main application.</w:t>
      </w:r>
    </w:p>
    <w:p w14:paraId="6711C237" w14:textId="77777777" w:rsidR="00E65F50" w:rsidRPr="00B1227E" w:rsidRDefault="00E65F50" w:rsidP="00B1227E">
      <w:pPr>
        <w:spacing w:line="360" w:lineRule="auto"/>
        <w:ind w:left="720" w:hanging="720"/>
        <w:jc w:val="both"/>
        <w:rPr>
          <w:rFonts w:cs="Arial"/>
        </w:rPr>
      </w:pPr>
    </w:p>
    <w:p w14:paraId="035B2DFF" w14:textId="1A3D5358" w:rsidR="00F51926" w:rsidRPr="00B1227E" w:rsidRDefault="00446475" w:rsidP="00B1227E">
      <w:pPr>
        <w:spacing w:line="360" w:lineRule="auto"/>
        <w:ind w:left="720" w:hanging="720"/>
        <w:jc w:val="both"/>
        <w:rPr>
          <w:rFonts w:cs="Arial"/>
        </w:rPr>
      </w:pPr>
      <w:r w:rsidRPr="00B1227E">
        <w:rPr>
          <w:rFonts w:cs="Arial"/>
        </w:rPr>
        <w:t>[19</w:t>
      </w:r>
      <w:r w:rsidR="00E65F50" w:rsidRPr="00B1227E">
        <w:rPr>
          <w:rFonts w:cs="Arial"/>
        </w:rPr>
        <w:t>]</w:t>
      </w:r>
      <w:r w:rsidR="00E65F50" w:rsidRPr="00B1227E">
        <w:rPr>
          <w:rFonts w:cs="Arial"/>
        </w:rPr>
        <w:tab/>
      </w:r>
      <w:r w:rsidR="00F51926" w:rsidRPr="00B1227E">
        <w:rPr>
          <w:rFonts w:cs="Arial"/>
        </w:rPr>
        <w:t>There remains the issue of costs. In this regard the following is to be noted:</w:t>
      </w:r>
    </w:p>
    <w:p w14:paraId="257A15A2" w14:textId="059277D9" w:rsidR="00F51926" w:rsidRPr="00B1227E" w:rsidRDefault="00F51926" w:rsidP="00B1227E">
      <w:pPr>
        <w:spacing w:line="360" w:lineRule="auto"/>
        <w:ind w:left="720" w:hanging="720"/>
        <w:jc w:val="both"/>
        <w:rPr>
          <w:rFonts w:cs="Arial"/>
        </w:rPr>
      </w:pPr>
    </w:p>
    <w:p w14:paraId="5F0C7BFF" w14:textId="40545EC3" w:rsidR="00F51926" w:rsidRPr="00B1227E" w:rsidRDefault="00E0037A" w:rsidP="00B1227E">
      <w:pPr>
        <w:pStyle w:val="ListParagraph"/>
        <w:numPr>
          <w:ilvl w:val="0"/>
          <w:numId w:val="1"/>
        </w:numPr>
        <w:spacing w:line="360" w:lineRule="auto"/>
        <w:jc w:val="both"/>
        <w:rPr>
          <w:rFonts w:ascii="Arial" w:hAnsi="Arial" w:cs="Arial"/>
        </w:rPr>
      </w:pPr>
      <w:r w:rsidRPr="00B1227E">
        <w:rPr>
          <w:rFonts w:ascii="Arial" w:hAnsi="Arial" w:cs="Arial"/>
        </w:rPr>
        <w:t>Cul</w:t>
      </w:r>
      <w:r w:rsidR="00F51926" w:rsidRPr="00B1227E">
        <w:rPr>
          <w:rFonts w:ascii="Arial" w:hAnsi="Arial" w:cs="Arial"/>
        </w:rPr>
        <w:t>verwell filed voluminous papers</w:t>
      </w:r>
      <w:r w:rsidR="003E72AB" w:rsidRPr="00B1227E">
        <w:rPr>
          <w:rFonts w:ascii="Arial" w:hAnsi="Arial" w:cs="Arial"/>
        </w:rPr>
        <w:t xml:space="preserve"> (in excess of 2 000 pages)</w:t>
      </w:r>
      <w:r w:rsidR="00F51926" w:rsidRPr="00B1227E">
        <w:rPr>
          <w:rFonts w:ascii="Arial" w:hAnsi="Arial" w:cs="Arial"/>
        </w:rPr>
        <w:t xml:space="preserve"> in support of its counter- application. The majority of which was irrelevant to the true issues it raised. It consisted of a history spanning many years prior to the granting of the prospecting permit under consideration</w:t>
      </w:r>
      <w:r w:rsidR="0054302B" w:rsidRPr="00B1227E">
        <w:rPr>
          <w:rFonts w:ascii="Arial" w:hAnsi="Arial" w:cs="Arial"/>
        </w:rPr>
        <w:t>,</w:t>
      </w:r>
      <w:r w:rsidR="00F51926" w:rsidRPr="00B1227E">
        <w:rPr>
          <w:rFonts w:ascii="Arial" w:hAnsi="Arial" w:cs="Arial"/>
        </w:rPr>
        <w:t xml:space="preserve"> all of which was irrelevant to the issues to be determined;</w:t>
      </w:r>
    </w:p>
    <w:p w14:paraId="004DE591" w14:textId="77777777" w:rsidR="002827BE" w:rsidRPr="00B1227E" w:rsidRDefault="002827BE" w:rsidP="00B1227E">
      <w:pPr>
        <w:pStyle w:val="ListParagraph"/>
        <w:spacing w:line="360" w:lineRule="auto"/>
        <w:ind w:left="1800"/>
        <w:jc w:val="both"/>
        <w:rPr>
          <w:rFonts w:ascii="Arial" w:hAnsi="Arial" w:cs="Arial"/>
        </w:rPr>
      </w:pPr>
    </w:p>
    <w:p w14:paraId="32F57CFF" w14:textId="407938C0" w:rsidR="002827BE" w:rsidRPr="00B1227E" w:rsidRDefault="002827BE" w:rsidP="00B1227E">
      <w:pPr>
        <w:pStyle w:val="ListParagraph"/>
        <w:numPr>
          <w:ilvl w:val="0"/>
          <w:numId w:val="1"/>
        </w:numPr>
        <w:spacing w:line="360" w:lineRule="auto"/>
        <w:jc w:val="both"/>
        <w:rPr>
          <w:rFonts w:ascii="Arial" w:hAnsi="Arial" w:cs="Arial"/>
        </w:rPr>
      </w:pPr>
      <w:r w:rsidRPr="00B1227E">
        <w:rPr>
          <w:rFonts w:ascii="Arial" w:hAnsi="Arial" w:cs="Arial"/>
        </w:rPr>
        <w:t>Culverwell was advised on 3 September 2020 of Cedar Point’s intention to access the relevant properties to execute upon the prospecting permit. On the same day Culverwell unequivocally indicated that it refused access to the properties and that it would never grant access to the properties for the purpose of executing upon the prospecting right;</w:t>
      </w:r>
    </w:p>
    <w:p w14:paraId="24DBCF51" w14:textId="77777777" w:rsidR="002827BE" w:rsidRPr="00B1227E" w:rsidRDefault="002827BE" w:rsidP="00B1227E">
      <w:pPr>
        <w:pStyle w:val="ListParagraph"/>
        <w:spacing w:line="360" w:lineRule="auto"/>
        <w:rPr>
          <w:rFonts w:ascii="Arial" w:hAnsi="Arial" w:cs="Arial"/>
        </w:rPr>
      </w:pPr>
    </w:p>
    <w:p w14:paraId="058306CE" w14:textId="7222F80C" w:rsidR="002827BE" w:rsidRPr="00B1227E" w:rsidRDefault="002827BE" w:rsidP="00B1227E">
      <w:pPr>
        <w:pStyle w:val="ListParagraph"/>
        <w:numPr>
          <w:ilvl w:val="0"/>
          <w:numId w:val="1"/>
        </w:numPr>
        <w:spacing w:line="360" w:lineRule="auto"/>
        <w:jc w:val="both"/>
        <w:rPr>
          <w:rFonts w:ascii="Arial" w:hAnsi="Arial" w:cs="Arial"/>
        </w:rPr>
      </w:pPr>
      <w:r w:rsidRPr="00B1227E">
        <w:rPr>
          <w:rFonts w:ascii="Arial" w:hAnsi="Arial" w:cs="Arial"/>
        </w:rPr>
        <w:t>Cedar Point was advised by Culverwell on 3 September 2020 that it intended to launch an application for review and setting aside of the granted prospecting right, which it intended to do within four weeks. No such application was launched;</w:t>
      </w:r>
    </w:p>
    <w:p w14:paraId="4896F478" w14:textId="77777777" w:rsidR="002827BE" w:rsidRPr="00B1227E" w:rsidRDefault="002827BE" w:rsidP="00B1227E">
      <w:pPr>
        <w:pStyle w:val="ListParagraph"/>
        <w:spacing w:line="360" w:lineRule="auto"/>
        <w:rPr>
          <w:rFonts w:ascii="Arial" w:hAnsi="Arial" w:cs="Arial"/>
        </w:rPr>
      </w:pPr>
    </w:p>
    <w:p w14:paraId="4292DA39" w14:textId="20342B72" w:rsidR="002827BE" w:rsidRPr="00B1227E" w:rsidRDefault="002827BE" w:rsidP="00B1227E">
      <w:pPr>
        <w:pStyle w:val="ListParagraph"/>
        <w:numPr>
          <w:ilvl w:val="0"/>
          <w:numId w:val="1"/>
        </w:numPr>
        <w:spacing w:line="360" w:lineRule="auto"/>
        <w:jc w:val="both"/>
        <w:rPr>
          <w:rFonts w:ascii="Arial" w:hAnsi="Arial" w:cs="Arial"/>
        </w:rPr>
      </w:pPr>
      <w:r w:rsidRPr="00B1227E">
        <w:rPr>
          <w:rFonts w:ascii="Arial" w:hAnsi="Arial" w:cs="Arial"/>
        </w:rPr>
        <w:t xml:space="preserve">Attempts on the part of Cedar Point to negotiate a resolution to the </w:t>
      </w:r>
      <w:r w:rsidRPr="00B1227E">
        <w:rPr>
          <w:rFonts w:ascii="Arial" w:hAnsi="Arial" w:cs="Arial"/>
          <w:i/>
        </w:rPr>
        <w:t>impasse</w:t>
      </w:r>
      <w:r w:rsidRPr="00B1227E">
        <w:rPr>
          <w:rFonts w:ascii="Arial" w:hAnsi="Arial" w:cs="Arial"/>
        </w:rPr>
        <w:t xml:space="preserve"> was met stoically by Culverwell</w:t>
      </w:r>
      <w:r w:rsidR="0054302B" w:rsidRPr="00B1227E">
        <w:rPr>
          <w:rFonts w:ascii="Arial" w:hAnsi="Arial" w:cs="Arial"/>
        </w:rPr>
        <w:t>, the latter stubbornly and obtusely frustrated any attempt to mediate</w:t>
      </w:r>
      <w:r w:rsidRPr="00B1227E">
        <w:rPr>
          <w:rFonts w:ascii="Arial" w:hAnsi="Arial" w:cs="Arial"/>
        </w:rPr>
        <w:t>;</w:t>
      </w:r>
    </w:p>
    <w:p w14:paraId="6C5F6EAD" w14:textId="77777777" w:rsidR="002827BE" w:rsidRPr="00B1227E" w:rsidRDefault="002827BE" w:rsidP="00B1227E">
      <w:pPr>
        <w:pStyle w:val="ListParagraph"/>
        <w:spacing w:line="360" w:lineRule="auto"/>
        <w:rPr>
          <w:rFonts w:ascii="Arial" w:hAnsi="Arial" w:cs="Arial"/>
        </w:rPr>
      </w:pPr>
    </w:p>
    <w:p w14:paraId="49AF0D30" w14:textId="0413641E" w:rsidR="002827BE" w:rsidRPr="00B1227E" w:rsidRDefault="00E0037A" w:rsidP="00B1227E">
      <w:pPr>
        <w:pStyle w:val="ListParagraph"/>
        <w:numPr>
          <w:ilvl w:val="0"/>
          <w:numId w:val="1"/>
        </w:numPr>
        <w:spacing w:line="360" w:lineRule="auto"/>
        <w:jc w:val="both"/>
        <w:rPr>
          <w:rFonts w:ascii="Arial" w:hAnsi="Arial" w:cs="Arial"/>
        </w:rPr>
      </w:pPr>
      <w:r w:rsidRPr="00B1227E">
        <w:rPr>
          <w:rFonts w:ascii="Arial" w:hAnsi="Arial" w:cs="Arial"/>
        </w:rPr>
        <w:t>On 26 February 2021, a</w:t>
      </w:r>
      <w:r w:rsidR="002827BE" w:rsidRPr="00B1227E">
        <w:rPr>
          <w:rFonts w:ascii="Arial" w:hAnsi="Arial" w:cs="Arial"/>
        </w:rPr>
        <w:t xml:space="preserve"> meeting in terms of secti</w:t>
      </w:r>
      <w:r w:rsidR="000913B4" w:rsidRPr="00B1227E">
        <w:rPr>
          <w:rFonts w:ascii="Arial" w:hAnsi="Arial" w:cs="Arial"/>
        </w:rPr>
        <w:t>on 54 of the MPRDA</w:t>
      </w:r>
      <w:r w:rsidR="007E5775" w:rsidRPr="00B1227E">
        <w:rPr>
          <w:rFonts w:ascii="Arial" w:hAnsi="Arial" w:cs="Arial"/>
        </w:rPr>
        <w:t xml:space="preserve"> was</w:t>
      </w:r>
      <w:r w:rsidR="000913B4" w:rsidRPr="00B1227E">
        <w:rPr>
          <w:rFonts w:ascii="Arial" w:hAnsi="Arial" w:cs="Arial"/>
        </w:rPr>
        <w:t xml:space="preserve"> held between the parties. Other than a spurious </w:t>
      </w:r>
      <w:r w:rsidR="000913B4" w:rsidRPr="00B1227E">
        <w:rPr>
          <w:rFonts w:ascii="Arial" w:hAnsi="Arial" w:cs="Arial"/>
        </w:rPr>
        <w:lastRenderedPageBreak/>
        <w:t>demand for pay</w:t>
      </w:r>
      <w:r w:rsidRPr="00B1227E">
        <w:rPr>
          <w:rFonts w:ascii="Arial" w:hAnsi="Arial" w:cs="Arial"/>
        </w:rPr>
        <w:t>ment of an excessive amount, Cul</w:t>
      </w:r>
      <w:r w:rsidR="000913B4" w:rsidRPr="00B1227E">
        <w:rPr>
          <w:rFonts w:ascii="Arial" w:hAnsi="Arial" w:cs="Arial"/>
        </w:rPr>
        <w:t>ver</w:t>
      </w:r>
      <w:r w:rsidR="007E5775" w:rsidRPr="00B1227E">
        <w:rPr>
          <w:rFonts w:ascii="Arial" w:hAnsi="Arial" w:cs="Arial"/>
        </w:rPr>
        <w:t>well was unaccommodating and a</w:t>
      </w:r>
      <w:r w:rsidR="000913B4" w:rsidRPr="00B1227E">
        <w:rPr>
          <w:rFonts w:ascii="Arial" w:hAnsi="Arial" w:cs="Arial"/>
        </w:rPr>
        <w:t xml:space="preserve"> referral to arbitration was directed by the Regional Manager. </w:t>
      </w:r>
      <w:r w:rsidR="00990F07" w:rsidRPr="00B1227E">
        <w:rPr>
          <w:rFonts w:ascii="Arial" w:hAnsi="Arial" w:cs="Arial"/>
        </w:rPr>
        <w:t xml:space="preserve">The purpose of the arbitration was to arbitrate upon the amount for compensation in view of the prospecting on the affected properties, Culverwell having indicated that it would accept compensation for the prospecting to be undertaken. </w:t>
      </w:r>
      <w:r w:rsidR="000913B4" w:rsidRPr="00B1227E">
        <w:rPr>
          <w:rFonts w:ascii="Arial" w:hAnsi="Arial" w:cs="Arial"/>
        </w:rPr>
        <w:t xml:space="preserve">On 26 May 2021 Cedar Point invited Culverwell to arbitrate, however the latter, on 31 May 2021, refused to arbitrate and repeated its stance not </w:t>
      </w:r>
      <w:r w:rsidR="007E5775" w:rsidRPr="00B1227E">
        <w:rPr>
          <w:rFonts w:ascii="Arial" w:hAnsi="Arial" w:cs="Arial"/>
        </w:rPr>
        <w:t xml:space="preserve">to </w:t>
      </w:r>
      <w:r w:rsidR="000913B4" w:rsidRPr="00B1227E">
        <w:rPr>
          <w:rFonts w:ascii="Arial" w:hAnsi="Arial" w:cs="Arial"/>
        </w:rPr>
        <w:t>permit entry to the</w:t>
      </w:r>
      <w:r w:rsidR="007E5775" w:rsidRPr="00B1227E">
        <w:rPr>
          <w:rFonts w:ascii="Arial" w:hAnsi="Arial" w:cs="Arial"/>
        </w:rPr>
        <w:t xml:space="preserve"> affected</w:t>
      </w:r>
      <w:r w:rsidR="000913B4" w:rsidRPr="00B1227E">
        <w:rPr>
          <w:rFonts w:ascii="Arial" w:hAnsi="Arial" w:cs="Arial"/>
        </w:rPr>
        <w:t xml:space="preserve"> properties and again threatened to launch an application for review and setting aside</w:t>
      </w:r>
      <w:r w:rsidRPr="00B1227E">
        <w:rPr>
          <w:rFonts w:ascii="Arial" w:hAnsi="Arial" w:cs="Arial"/>
        </w:rPr>
        <w:t xml:space="preserve"> of</w:t>
      </w:r>
      <w:r w:rsidR="000913B4" w:rsidRPr="00B1227E">
        <w:rPr>
          <w:rFonts w:ascii="Arial" w:hAnsi="Arial" w:cs="Arial"/>
        </w:rPr>
        <w:t xml:space="preserve"> the prospecting permit within 14 days. </w:t>
      </w:r>
      <w:r w:rsidR="000C5BFA" w:rsidRPr="00B1227E">
        <w:rPr>
          <w:rFonts w:ascii="Arial" w:hAnsi="Arial" w:cs="Arial"/>
        </w:rPr>
        <w:t>However, n</w:t>
      </w:r>
      <w:r w:rsidR="000913B4" w:rsidRPr="00B1227E">
        <w:rPr>
          <w:rFonts w:ascii="Arial" w:hAnsi="Arial" w:cs="Arial"/>
        </w:rPr>
        <w:t>o such application for review and setting aside was launched;</w:t>
      </w:r>
    </w:p>
    <w:p w14:paraId="46BBC48D" w14:textId="77777777" w:rsidR="000913B4" w:rsidRPr="00B1227E" w:rsidRDefault="000913B4" w:rsidP="00B1227E">
      <w:pPr>
        <w:pStyle w:val="ListParagraph"/>
        <w:spacing w:line="360" w:lineRule="auto"/>
        <w:rPr>
          <w:rFonts w:ascii="Arial" w:hAnsi="Arial" w:cs="Arial"/>
        </w:rPr>
      </w:pPr>
    </w:p>
    <w:p w14:paraId="5EA92A1B" w14:textId="618538F1" w:rsidR="000913B4" w:rsidRPr="00B1227E" w:rsidRDefault="00CE11D1" w:rsidP="00B1227E">
      <w:pPr>
        <w:pStyle w:val="ListParagraph"/>
        <w:numPr>
          <w:ilvl w:val="0"/>
          <w:numId w:val="1"/>
        </w:numPr>
        <w:spacing w:line="360" w:lineRule="auto"/>
        <w:jc w:val="both"/>
        <w:rPr>
          <w:rFonts w:ascii="Arial" w:hAnsi="Arial" w:cs="Arial"/>
        </w:rPr>
      </w:pPr>
      <w:r w:rsidRPr="00B1227E">
        <w:rPr>
          <w:rFonts w:ascii="Arial" w:hAnsi="Arial" w:cs="Arial"/>
        </w:rPr>
        <w:t>On 15 June 2021 Cedar Point launched the main application.</w:t>
      </w:r>
      <w:r w:rsidR="003E72AB" w:rsidRPr="00B1227E">
        <w:rPr>
          <w:rFonts w:ascii="Arial" w:hAnsi="Arial" w:cs="Arial"/>
        </w:rPr>
        <w:t xml:space="preserve"> Culverwell filed a belated notice of opposition to the main application. However, no answering affidavit was served. Consequently, Cedar Point set the matter down on the unopposed </w:t>
      </w:r>
      <w:r w:rsidR="003A60D4" w:rsidRPr="00B1227E">
        <w:rPr>
          <w:rFonts w:ascii="Arial" w:hAnsi="Arial" w:cs="Arial"/>
        </w:rPr>
        <w:t>motion court roll. Subsequent to the enrolment on the unopposed motion court roll,</w:t>
      </w:r>
      <w:r w:rsidR="003E72AB" w:rsidRPr="00B1227E">
        <w:rPr>
          <w:rFonts w:ascii="Arial" w:hAnsi="Arial" w:cs="Arial"/>
        </w:rPr>
        <w:t xml:space="preserve"> an answering affidavit was filed on behalf of Culverwell</w:t>
      </w:r>
      <w:r w:rsidR="003A60D4" w:rsidRPr="00B1227E">
        <w:rPr>
          <w:rFonts w:ascii="Arial" w:hAnsi="Arial" w:cs="Arial"/>
        </w:rPr>
        <w:t>,</w:t>
      </w:r>
      <w:r w:rsidR="003E72AB" w:rsidRPr="00B1227E">
        <w:rPr>
          <w:rFonts w:ascii="Arial" w:hAnsi="Arial" w:cs="Arial"/>
        </w:rPr>
        <w:t xml:space="preserve"> as well as the counter-application;</w:t>
      </w:r>
    </w:p>
    <w:p w14:paraId="21833130" w14:textId="77777777" w:rsidR="003E72AB" w:rsidRPr="00B1227E" w:rsidRDefault="003E72AB" w:rsidP="00B1227E">
      <w:pPr>
        <w:pStyle w:val="ListParagraph"/>
        <w:spacing w:line="360" w:lineRule="auto"/>
        <w:rPr>
          <w:rFonts w:ascii="Arial" w:hAnsi="Arial" w:cs="Arial"/>
        </w:rPr>
      </w:pPr>
    </w:p>
    <w:p w14:paraId="7B1D78D4" w14:textId="4276DED3" w:rsidR="003E72AB" w:rsidRPr="00B1227E" w:rsidRDefault="003E72AB" w:rsidP="00B1227E">
      <w:pPr>
        <w:pStyle w:val="ListParagraph"/>
        <w:numPr>
          <w:ilvl w:val="0"/>
          <w:numId w:val="1"/>
        </w:numPr>
        <w:spacing w:line="360" w:lineRule="auto"/>
        <w:jc w:val="both"/>
        <w:rPr>
          <w:rFonts w:ascii="Arial" w:hAnsi="Arial" w:cs="Arial"/>
        </w:rPr>
      </w:pPr>
      <w:r w:rsidRPr="00B1227E">
        <w:rPr>
          <w:rFonts w:ascii="Arial" w:hAnsi="Arial" w:cs="Arial"/>
        </w:rPr>
        <w:t>As recorded earlier, the issue of a review and setting aside of the prospecting permit was pushed into the future</w:t>
      </w:r>
      <w:r w:rsidR="00446475" w:rsidRPr="00B1227E">
        <w:rPr>
          <w:rFonts w:ascii="Arial" w:hAnsi="Arial" w:cs="Arial"/>
        </w:rPr>
        <w:t>.</w:t>
      </w:r>
      <w:r w:rsidRPr="00B1227E">
        <w:rPr>
          <w:rFonts w:ascii="Arial" w:hAnsi="Arial" w:cs="Arial"/>
        </w:rPr>
        <w:t xml:space="preserve"> </w:t>
      </w:r>
      <w:r w:rsidR="00446475" w:rsidRPr="00B1227E">
        <w:rPr>
          <w:rFonts w:ascii="Arial" w:hAnsi="Arial" w:cs="Arial"/>
        </w:rPr>
        <w:t xml:space="preserve">It was not moved at the hearing. </w:t>
      </w:r>
      <w:r w:rsidRPr="00B1227E">
        <w:rPr>
          <w:rFonts w:ascii="Arial" w:hAnsi="Arial" w:cs="Arial"/>
        </w:rPr>
        <w:t>After three threats of a review and setting aside of the prospecting permit, it is only envisaged by Culverwell to be done in the distant future;</w:t>
      </w:r>
    </w:p>
    <w:p w14:paraId="575F8B61" w14:textId="77777777" w:rsidR="00106DB1" w:rsidRPr="00B1227E" w:rsidRDefault="00106DB1" w:rsidP="00B1227E">
      <w:pPr>
        <w:pStyle w:val="ListParagraph"/>
        <w:spacing w:line="360" w:lineRule="auto"/>
        <w:rPr>
          <w:rFonts w:ascii="Arial" w:hAnsi="Arial" w:cs="Arial"/>
        </w:rPr>
      </w:pPr>
    </w:p>
    <w:p w14:paraId="610FBA8B" w14:textId="63CED62F" w:rsidR="00106DB1" w:rsidRPr="00B1227E" w:rsidRDefault="00106DB1" w:rsidP="00B1227E">
      <w:pPr>
        <w:pStyle w:val="ListParagraph"/>
        <w:numPr>
          <w:ilvl w:val="0"/>
          <w:numId w:val="1"/>
        </w:numPr>
        <w:spacing w:line="360" w:lineRule="auto"/>
        <w:jc w:val="both"/>
        <w:rPr>
          <w:rFonts w:ascii="Arial" w:hAnsi="Arial" w:cs="Arial"/>
        </w:rPr>
      </w:pPr>
      <w:r w:rsidRPr="00B1227E">
        <w:rPr>
          <w:rFonts w:ascii="Arial" w:hAnsi="Arial" w:cs="Arial"/>
        </w:rPr>
        <w:t>I</w:t>
      </w:r>
      <w:r w:rsidR="00A2462D" w:rsidRPr="00B1227E">
        <w:rPr>
          <w:rFonts w:ascii="Arial" w:hAnsi="Arial" w:cs="Arial"/>
        </w:rPr>
        <w:t>t follows that Culverwell had dragged its feet in pursuing a review and setting aside application and in so doing frustrated Cedar Point in executing upon its granted prospecting rights. The delay was intentional and purposefully executed</w:t>
      </w:r>
      <w:r w:rsidR="00B1227E" w:rsidRPr="00B1227E">
        <w:rPr>
          <w:rFonts w:ascii="Arial" w:hAnsi="Arial" w:cs="Arial"/>
        </w:rPr>
        <w:t xml:space="preserve"> and with </w:t>
      </w:r>
      <w:r w:rsidR="00767797" w:rsidRPr="00B1227E">
        <w:rPr>
          <w:rFonts w:ascii="Arial" w:hAnsi="Arial" w:cs="Arial"/>
        </w:rPr>
        <w:lastRenderedPageBreak/>
        <w:t xml:space="preserve">an obvious purpose of denying Cedar Point its right to prospect </w:t>
      </w:r>
      <w:r w:rsidR="00783323" w:rsidRPr="00B1227E">
        <w:rPr>
          <w:rFonts w:ascii="Arial" w:hAnsi="Arial" w:cs="Arial"/>
        </w:rPr>
        <w:t>on the affected properties</w:t>
      </w:r>
      <w:r w:rsidR="00A2462D" w:rsidRPr="00B1227E">
        <w:rPr>
          <w:rFonts w:ascii="Arial" w:hAnsi="Arial" w:cs="Arial"/>
        </w:rPr>
        <w:t>;</w:t>
      </w:r>
    </w:p>
    <w:p w14:paraId="2C1B69FD" w14:textId="77777777" w:rsidR="00F51926" w:rsidRPr="00B1227E" w:rsidRDefault="00F51926" w:rsidP="00B1227E">
      <w:pPr>
        <w:pStyle w:val="ListParagraph"/>
        <w:spacing w:line="360" w:lineRule="auto"/>
        <w:ind w:left="1800"/>
        <w:jc w:val="both"/>
        <w:rPr>
          <w:rFonts w:ascii="Arial" w:hAnsi="Arial" w:cs="Arial"/>
        </w:rPr>
      </w:pPr>
    </w:p>
    <w:p w14:paraId="648501A4" w14:textId="2C9C5E8B" w:rsidR="00A318C3" w:rsidRPr="00B1227E" w:rsidRDefault="00A2462D" w:rsidP="00B1227E">
      <w:pPr>
        <w:pStyle w:val="ListParagraph"/>
        <w:numPr>
          <w:ilvl w:val="0"/>
          <w:numId w:val="1"/>
        </w:numPr>
        <w:spacing w:line="360" w:lineRule="auto"/>
        <w:jc w:val="both"/>
        <w:rPr>
          <w:rFonts w:ascii="Arial" w:hAnsi="Arial" w:cs="Arial"/>
        </w:rPr>
      </w:pPr>
      <w:r w:rsidRPr="00B1227E">
        <w:rPr>
          <w:rFonts w:ascii="Arial" w:hAnsi="Arial" w:cs="Arial"/>
        </w:rPr>
        <w:t>Furthermore, i</w:t>
      </w:r>
      <w:r w:rsidR="00A318C3" w:rsidRPr="00B1227E">
        <w:rPr>
          <w:rFonts w:ascii="Arial" w:hAnsi="Arial" w:cs="Arial"/>
        </w:rPr>
        <w:t>n my view, Culverwell raised spurious gro</w:t>
      </w:r>
      <w:r w:rsidR="00783323" w:rsidRPr="00B1227E">
        <w:rPr>
          <w:rFonts w:ascii="Arial" w:hAnsi="Arial" w:cs="Arial"/>
        </w:rPr>
        <w:t>unds why it should</w:t>
      </w:r>
      <w:r w:rsidR="00A318C3" w:rsidRPr="00B1227E">
        <w:rPr>
          <w:rFonts w:ascii="Arial" w:hAnsi="Arial" w:cs="Arial"/>
        </w:rPr>
        <w:t xml:space="preserve"> be excused for not complying with the provisions of internal remedies available to it in terms of the MPRDA</w:t>
      </w:r>
      <w:r w:rsidRPr="00B1227E">
        <w:rPr>
          <w:rFonts w:ascii="Arial" w:hAnsi="Arial" w:cs="Arial"/>
        </w:rPr>
        <w:t>. It had intentionally and purposefully decided not pursue that route</w:t>
      </w:r>
      <w:r w:rsidR="00BB04A3" w:rsidRPr="00B1227E">
        <w:rPr>
          <w:rFonts w:ascii="Arial" w:hAnsi="Arial" w:cs="Arial"/>
        </w:rPr>
        <w:t>.</w:t>
      </w:r>
    </w:p>
    <w:p w14:paraId="21F955EB" w14:textId="77777777" w:rsidR="00F51926" w:rsidRPr="00B1227E" w:rsidRDefault="00F51926" w:rsidP="00B1227E">
      <w:pPr>
        <w:spacing w:line="360" w:lineRule="auto"/>
        <w:ind w:left="720" w:hanging="720"/>
        <w:jc w:val="both"/>
        <w:rPr>
          <w:rFonts w:cs="Arial"/>
        </w:rPr>
      </w:pPr>
    </w:p>
    <w:p w14:paraId="47C21524" w14:textId="378DA787" w:rsidR="00D96D6D" w:rsidRPr="00B1227E" w:rsidRDefault="00F51926" w:rsidP="00B1227E">
      <w:pPr>
        <w:spacing w:line="360" w:lineRule="auto"/>
        <w:ind w:left="720" w:hanging="720"/>
        <w:jc w:val="both"/>
        <w:rPr>
          <w:rFonts w:cs="Arial"/>
        </w:rPr>
      </w:pPr>
      <w:r w:rsidRPr="00B1227E">
        <w:rPr>
          <w:rFonts w:cs="Arial"/>
        </w:rPr>
        <w:t>[</w:t>
      </w:r>
      <w:r w:rsidR="00B1227E" w:rsidRPr="00B1227E">
        <w:rPr>
          <w:rFonts w:cs="Arial"/>
        </w:rPr>
        <w:t>20</w:t>
      </w:r>
      <w:r w:rsidRPr="00B1227E">
        <w:rPr>
          <w:rFonts w:cs="Arial"/>
        </w:rPr>
        <w:t>]</w:t>
      </w:r>
      <w:r w:rsidRPr="00B1227E">
        <w:rPr>
          <w:rFonts w:cs="Arial"/>
        </w:rPr>
        <w:tab/>
      </w:r>
      <w:r w:rsidR="00BB04A3" w:rsidRPr="00B1227E">
        <w:rPr>
          <w:rFonts w:cs="Arial"/>
        </w:rPr>
        <w:t xml:space="preserve">Further </w:t>
      </w:r>
      <w:r w:rsidR="00783323" w:rsidRPr="00B1227E">
        <w:rPr>
          <w:rFonts w:cs="Arial"/>
        </w:rPr>
        <w:t>in this regard, Cedar Point sought</w:t>
      </w:r>
      <w:r w:rsidR="00BB04A3" w:rsidRPr="00B1227E">
        <w:rPr>
          <w:rFonts w:cs="Arial"/>
        </w:rPr>
        <w:t xml:space="preserve"> a punitive costs order. It i</w:t>
      </w:r>
      <w:r w:rsidR="00E0037A" w:rsidRPr="00B1227E">
        <w:rPr>
          <w:rFonts w:cs="Arial"/>
        </w:rPr>
        <w:t>s to be noted that Cul</w:t>
      </w:r>
      <w:r w:rsidR="00BB04A3" w:rsidRPr="00B1227E">
        <w:rPr>
          <w:rFonts w:cs="Arial"/>
        </w:rPr>
        <w:t>verwell also sought a punitive costs order, although on other grounds.</w:t>
      </w:r>
    </w:p>
    <w:p w14:paraId="44FB145D" w14:textId="2925DDC7" w:rsidR="00BB04A3" w:rsidRPr="00B1227E" w:rsidRDefault="00BB04A3" w:rsidP="00B1227E">
      <w:pPr>
        <w:spacing w:line="360" w:lineRule="auto"/>
        <w:ind w:left="720" w:hanging="720"/>
        <w:jc w:val="both"/>
        <w:rPr>
          <w:rFonts w:cs="Arial"/>
        </w:rPr>
      </w:pPr>
    </w:p>
    <w:p w14:paraId="2CB9DCA2" w14:textId="0C538906" w:rsidR="00BB04A3" w:rsidRPr="00B1227E" w:rsidRDefault="00BB04A3" w:rsidP="00B1227E">
      <w:pPr>
        <w:spacing w:line="360" w:lineRule="auto"/>
        <w:ind w:left="720" w:hanging="720"/>
        <w:jc w:val="both"/>
        <w:rPr>
          <w:rFonts w:cs="Arial"/>
        </w:rPr>
      </w:pPr>
      <w:r w:rsidRPr="00B1227E">
        <w:rPr>
          <w:rFonts w:cs="Arial"/>
        </w:rPr>
        <w:t>[2</w:t>
      </w:r>
      <w:r w:rsidR="00B1227E" w:rsidRPr="00B1227E">
        <w:rPr>
          <w:rFonts w:cs="Arial"/>
        </w:rPr>
        <w:t>1</w:t>
      </w:r>
      <w:r w:rsidRPr="00B1227E">
        <w:rPr>
          <w:rFonts w:cs="Arial"/>
        </w:rPr>
        <w:t>]</w:t>
      </w:r>
      <w:r w:rsidRPr="00B1227E">
        <w:rPr>
          <w:rFonts w:cs="Arial"/>
        </w:rPr>
        <w:tab/>
        <w:t>In view of the foregoing, Cedar Point is entitled to a punitive costs order.</w:t>
      </w:r>
    </w:p>
    <w:p w14:paraId="3E2ED218" w14:textId="156080BA" w:rsidR="00BB04A3" w:rsidRPr="00B1227E" w:rsidRDefault="00BB04A3" w:rsidP="00B1227E">
      <w:pPr>
        <w:spacing w:line="360" w:lineRule="auto"/>
        <w:ind w:left="720" w:hanging="720"/>
        <w:jc w:val="both"/>
        <w:rPr>
          <w:rFonts w:cs="Arial"/>
        </w:rPr>
      </w:pPr>
    </w:p>
    <w:p w14:paraId="32371B11" w14:textId="68F34100" w:rsidR="00BB04A3" w:rsidRPr="00B1227E" w:rsidRDefault="00BB04A3" w:rsidP="00B1227E">
      <w:pPr>
        <w:spacing w:line="360" w:lineRule="auto"/>
        <w:ind w:left="720" w:hanging="720"/>
        <w:jc w:val="both"/>
        <w:rPr>
          <w:rFonts w:cs="Arial"/>
        </w:rPr>
      </w:pPr>
      <w:r w:rsidRPr="00B1227E">
        <w:rPr>
          <w:rFonts w:cs="Arial"/>
        </w:rPr>
        <w:t>I grant the following order:</w:t>
      </w:r>
    </w:p>
    <w:p w14:paraId="571183E0" w14:textId="0B8A72F6" w:rsidR="00BB04A3" w:rsidRPr="00B1227E" w:rsidRDefault="00BB04A3" w:rsidP="00B1227E">
      <w:pPr>
        <w:spacing w:line="360" w:lineRule="auto"/>
        <w:ind w:left="720" w:hanging="720"/>
        <w:jc w:val="both"/>
        <w:rPr>
          <w:rFonts w:cs="Arial"/>
        </w:rPr>
      </w:pPr>
    </w:p>
    <w:p w14:paraId="5968FCDD" w14:textId="57364F30" w:rsidR="00BB04A3" w:rsidRPr="00B1227E" w:rsidRDefault="00783323" w:rsidP="00B1227E">
      <w:pPr>
        <w:pStyle w:val="ListParagraph"/>
        <w:numPr>
          <w:ilvl w:val="0"/>
          <w:numId w:val="2"/>
        </w:numPr>
        <w:spacing w:line="360" w:lineRule="auto"/>
        <w:jc w:val="both"/>
        <w:rPr>
          <w:rFonts w:ascii="Arial" w:hAnsi="Arial" w:cs="Arial"/>
        </w:rPr>
      </w:pPr>
      <w:r w:rsidRPr="00B1227E">
        <w:rPr>
          <w:rFonts w:ascii="Arial" w:hAnsi="Arial" w:cs="Arial"/>
        </w:rPr>
        <w:t>The first and second respondents are directed to allow the applicant, its employees, experts, contractors and other representatives to enter the areas defined as the Properties in a map annexed hereto marked “X</w:t>
      </w:r>
      <w:r w:rsidR="00CA072B" w:rsidRPr="00B1227E">
        <w:rPr>
          <w:rFonts w:ascii="Arial" w:hAnsi="Arial" w:cs="Arial"/>
        </w:rPr>
        <w:t>YZ</w:t>
      </w:r>
      <w:r w:rsidRPr="00B1227E">
        <w:rPr>
          <w:rFonts w:ascii="Arial" w:hAnsi="Arial" w:cs="Arial"/>
        </w:rPr>
        <w:t>” (the Properties) and the first and second respondents are interdicted and restrained f</w:t>
      </w:r>
      <w:r w:rsidR="005F5CB3">
        <w:rPr>
          <w:rFonts w:ascii="Arial" w:hAnsi="Arial" w:cs="Arial"/>
        </w:rPr>
        <w:t>r</w:t>
      </w:r>
      <w:r w:rsidRPr="00B1227E">
        <w:rPr>
          <w:rFonts w:ascii="Arial" w:hAnsi="Arial" w:cs="Arial"/>
        </w:rPr>
        <w:t>o</w:t>
      </w:r>
      <w:bookmarkStart w:id="0" w:name="_GoBack"/>
      <w:bookmarkEnd w:id="0"/>
      <w:r w:rsidRPr="00B1227E">
        <w:rPr>
          <w:rFonts w:ascii="Arial" w:hAnsi="Arial" w:cs="Arial"/>
        </w:rPr>
        <w:t>m refusing the applicant access to the Properties;</w:t>
      </w:r>
    </w:p>
    <w:p w14:paraId="14AA48D7" w14:textId="77777777" w:rsidR="00783323" w:rsidRPr="00B1227E" w:rsidRDefault="00783323" w:rsidP="00B1227E">
      <w:pPr>
        <w:pStyle w:val="ListParagraph"/>
        <w:spacing w:line="360" w:lineRule="auto"/>
        <w:ind w:left="1080"/>
        <w:jc w:val="both"/>
        <w:rPr>
          <w:rFonts w:ascii="Arial" w:hAnsi="Arial" w:cs="Arial"/>
        </w:rPr>
      </w:pPr>
    </w:p>
    <w:p w14:paraId="0BA2E159" w14:textId="17796629" w:rsidR="00783323" w:rsidRPr="00B1227E" w:rsidRDefault="00783323" w:rsidP="00B1227E">
      <w:pPr>
        <w:pStyle w:val="ListParagraph"/>
        <w:numPr>
          <w:ilvl w:val="0"/>
          <w:numId w:val="2"/>
        </w:numPr>
        <w:spacing w:line="360" w:lineRule="auto"/>
        <w:jc w:val="both"/>
        <w:rPr>
          <w:rFonts w:ascii="Arial" w:hAnsi="Arial" w:cs="Arial"/>
        </w:rPr>
      </w:pPr>
      <w:r w:rsidRPr="00B1227E">
        <w:rPr>
          <w:rFonts w:ascii="Arial" w:hAnsi="Arial" w:cs="Arial"/>
        </w:rPr>
        <w:t>The applicant is hereby authorised to enter onto the Properties together with its employees, experts, contractors and other representatives and to bring onto the land any plant, machinery or equipment which may be required</w:t>
      </w:r>
      <w:r w:rsidR="002D6ED0" w:rsidRPr="00B1227E">
        <w:rPr>
          <w:rFonts w:ascii="Arial" w:hAnsi="Arial" w:cs="Arial"/>
        </w:rPr>
        <w:t xml:space="preserve"> for purposes of carrying out the prospecting activities as envisaged by Prospecting Right, bearing Department of Minerals and Energy reference number: NW30/5/1/2/2511PR;</w:t>
      </w:r>
    </w:p>
    <w:p w14:paraId="678947A4" w14:textId="77777777" w:rsidR="002D6ED0" w:rsidRPr="00B1227E" w:rsidRDefault="002D6ED0" w:rsidP="00B1227E">
      <w:pPr>
        <w:pStyle w:val="ListParagraph"/>
        <w:spacing w:line="360" w:lineRule="auto"/>
        <w:rPr>
          <w:rFonts w:ascii="Arial" w:hAnsi="Arial" w:cs="Arial"/>
        </w:rPr>
      </w:pPr>
    </w:p>
    <w:p w14:paraId="6A925980" w14:textId="1937C47D" w:rsidR="002D6ED0" w:rsidRPr="00B1227E" w:rsidRDefault="002D6ED0" w:rsidP="00B1227E">
      <w:pPr>
        <w:pStyle w:val="ListParagraph"/>
        <w:numPr>
          <w:ilvl w:val="0"/>
          <w:numId w:val="2"/>
        </w:numPr>
        <w:spacing w:line="360" w:lineRule="auto"/>
        <w:jc w:val="both"/>
        <w:rPr>
          <w:rFonts w:ascii="Arial" w:hAnsi="Arial" w:cs="Arial"/>
        </w:rPr>
      </w:pPr>
      <w:r w:rsidRPr="00B1227E">
        <w:rPr>
          <w:rFonts w:ascii="Arial" w:hAnsi="Arial" w:cs="Arial"/>
        </w:rPr>
        <w:t xml:space="preserve">The first and second respondents are directed to allow the applicant, its employees, experts, contractors and other representatives to </w:t>
      </w:r>
      <w:r w:rsidRPr="00B1227E">
        <w:rPr>
          <w:rFonts w:ascii="Arial" w:hAnsi="Arial" w:cs="Arial"/>
        </w:rPr>
        <w:lastRenderedPageBreak/>
        <w:t>bring any plant, machinery or equipment required, by the applicant, in order to carry out prospecting as envisaged by Prospecting Right, bearing Department of Minerals and Energy reference number: MW30/5/1/2/2511PR;</w:t>
      </w:r>
    </w:p>
    <w:p w14:paraId="0EAB980A" w14:textId="77777777" w:rsidR="002D6ED0" w:rsidRPr="00B1227E" w:rsidRDefault="002D6ED0" w:rsidP="00B1227E">
      <w:pPr>
        <w:pStyle w:val="ListParagraph"/>
        <w:spacing w:line="360" w:lineRule="auto"/>
        <w:rPr>
          <w:rFonts w:ascii="Arial" w:hAnsi="Arial" w:cs="Arial"/>
        </w:rPr>
      </w:pPr>
    </w:p>
    <w:p w14:paraId="0B79A3CA" w14:textId="4375FABC" w:rsidR="002D6ED0" w:rsidRPr="00B1227E" w:rsidRDefault="002D6ED0" w:rsidP="00B1227E">
      <w:pPr>
        <w:pStyle w:val="ListParagraph"/>
        <w:numPr>
          <w:ilvl w:val="0"/>
          <w:numId w:val="2"/>
        </w:numPr>
        <w:spacing w:line="360" w:lineRule="auto"/>
        <w:jc w:val="both"/>
        <w:rPr>
          <w:rFonts w:ascii="Arial" w:hAnsi="Arial" w:cs="Arial"/>
        </w:rPr>
      </w:pPr>
      <w:r w:rsidRPr="00B1227E">
        <w:rPr>
          <w:rFonts w:ascii="Arial" w:hAnsi="Arial" w:cs="Arial"/>
        </w:rPr>
        <w:t>The first and second respondents are interdicted from interfering with the prospecting activities of the applicant or obstructing the applicant’s access to the Properties in any way;</w:t>
      </w:r>
    </w:p>
    <w:p w14:paraId="46D5B59F" w14:textId="77777777" w:rsidR="002D6ED0" w:rsidRPr="00B1227E" w:rsidRDefault="002D6ED0" w:rsidP="00B1227E">
      <w:pPr>
        <w:pStyle w:val="ListParagraph"/>
        <w:spacing w:line="360" w:lineRule="auto"/>
        <w:rPr>
          <w:rFonts w:ascii="Arial" w:hAnsi="Arial" w:cs="Arial"/>
        </w:rPr>
      </w:pPr>
    </w:p>
    <w:p w14:paraId="2020DE6F" w14:textId="21984F43" w:rsidR="002D6ED0" w:rsidRPr="00B1227E" w:rsidRDefault="002D6ED0" w:rsidP="00B1227E">
      <w:pPr>
        <w:pStyle w:val="ListParagraph"/>
        <w:numPr>
          <w:ilvl w:val="0"/>
          <w:numId w:val="2"/>
        </w:numPr>
        <w:spacing w:line="360" w:lineRule="auto"/>
        <w:jc w:val="both"/>
        <w:rPr>
          <w:rFonts w:ascii="Arial" w:hAnsi="Arial" w:cs="Arial"/>
        </w:rPr>
      </w:pPr>
      <w:r w:rsidRPr="00B1227E">
        <w:rPr>
          <w:rFonts w:ascii="Arial" w:hAnsi="Arial" w:cs="Arial"/>
        </w:rPr>
        <w:t>Directing that the first and second respondents pay the costs of this application, jointl</w:t>
      </w:r>
      <w:r w:rsidR="00E0037A" w:rsidRPr="00B1227E">
        <w:rPr>
          <w:rFonts w:ascii="Arial" w:hAnsi="Arial" w:cs="Arial"/>
        </w:rPr>
        <w:t>y and severally, on the scale as between</w:t>
      </w:r>
      <w:r w:rsidRPr="00B1227E">
        <w:rPr>
          <w:rFonts w:ascii="Arial" w:hAnsi="Arial" w:cs="Arial"/>
        </w:rPr>
        <w:t xml:space="preserve"> attorney and client;</w:t>
      </w:r>
    </w:p>
    <w:p w14:paraId="17AA7185" w14:textId="77777777" w:rsidR="002D6ED0" w:rsidRPr="00B1227E" w:rsidRDefault="002D6ED0" w:rsidP="00B1227E">
      <w:pPr>
        <w:pStyle w:val="ListParagraph"/>
        <w:spacing w:line="360" w:lineRule="auto"/>
        <w:rPr>
          <w:rFonts w:ascii="Arial" w:hAnsi="Arial" w:cs="Arial"/>
        </w:rPr>
      </w:pPr>
    </w:p>
    <w:p w14:paraId="6265A46F" w14:textId="02CF1C4C" w:rsidR="002D6ED0" w:rsidRPr="00B1227E" w:rsidRDefault="002D6ED0" w:rsidP="00B1227E">
      <w:pPr>
        <w:pStyle w:val="ListParagraph"/>
        <w:numPr>
          <w:ilvl w:val="0"/>
          <w:numId w:val="2"/>
        </w:numPr>
        <w:spacing w:line="360" w:lineRule="auto"/>
        <w:jc w:val="both"/>
        <w:rPr>
          <w:rFonts w:ascii="Arial" w:hAnsi="Arial" w:cs="Arial"/>
        </w:rPr>
      </w:pPr>
      <w:r w:rsidRPr="00B1227E">
        <w:rPr>
          <w:rFonts w:ascii="Arial" w:hAnsi="Arial" w:cs="Arial"/>
        </w:rPr>
        <w:t xml:space="preserve">The counter-application is dismissed with costs, </w:t>
      </w:r>
      <w:r w:rsidR="00E0037A" w:rsidRPr="00B1227E">
        <w:rPr>
          <w:rFonts w:ascii="Arial" w:hAnsi="Arial" w:cs="Arial"/>
        </w:rPr>
        <w:t>such costs to be on the scale as between</w:t>
      </w:r>
      <w:r w:rsidRPr="00B1227E">
        <w:rPr>
          <w:rFonts w:ascii="Arial" w:hAnsi="Arial" w:cs="Arial"/>
        </w:rPr>
        <w:t xml:space="preserve"> attorney and client.</w:t>
      </w:r>
    </w:p>
    <w:p w14:paraId="3DD14FC8" w14:textId="3D9D5657" w:rsidR="006C7C31" w:rsidRPr="00B1227E" w:rsidRDefault="006C7C31" w:rsidP="00B1227E">
      <w:pPr>
        <w:spacing w:line="360" w:lineRule="auto"/>
        <w:ind w:left="720" w:hanging="720"/>
        <w:jc w:val="both"/>
        <w:rPr>
          <w:rFonts w:cs="Arial"/>
        </w:rPr>
      </w:pPr>
    </w:p>
    <w:p w14:paraId="421EC2EE" w14:textId="79BD0678" w:rsidR="00394333" w:rsidRPr="00B1227E" w:rsidRDefault="00394333" w:rsidP="00B1227E">
      <w:pPr>
        <w:spacing w:line="360" w:lineRule="auto"/>
        <w:ind w:left="720" w:hanging="720"/>
        <w:jc w:val="both"/>
        <w:rPr>
          <w:rFonts w:cs="Arial"/>
        </w:rPr>
      </w:pPr>
    </w:p>
    <w:p w14:paraId="56F95DD3" w14:textId="224F2EE9" w:rsidR="00C90703" w:rsidRPr="00B1227E" w:rsidRDefault="00C90703" w:rsidP="00B1227E">
      <w:pPr>
        <w:spacing w:line="360" w:lineRule="auto"/>
        <w:jc w:val="both"/>
        <w:rPr>
          <w:rFonts w:cs="Arial"/>
        </w:rPr>
      </w:pPr>
    </w:p>
    <w:p w14:paraId="53315117" w14:textId="6B843B39" w:rsidR="006C7C31" w:rsidRPr="00B1227E" w:rsidRDefault="006C7C31" w:rsidP="00B1227E">
      <w:pPr>
        <w:spacing w:line="360" w:lineRule="auto"/>
        <w:jc w:val="right"/>
        <w:rPr>
          <w:rFonts w:cs="Arial"/>
        </w:rPr>
      </w:pPr>
      <w:r w:rsidRPr="00B1227E">
        <w:rPr>
          <w:rFonts w:cs="Arial"/>
        </w:rPr>
        <w:t>__________________________</w:t>
      </w:r>
    </w:p>
    <w:p w14:paraId="2600B0F4" w14:textId="77777777" w:rsidR="006C7C31" w:rsidRPr="00B1227E" w:rsidRDefault="006C7C31" w:rsidP="00B1227E">
      <w:pPr>
        <w:spacing w:line="360" w:lineRule="auto"/>
        <w:jc w:val="right"/>
        <w:rPr>
          <w:rFonts w:cs="Arial"/>
        </w:rPr>
      </w:pPr>
      <w:r w:rsidRPr="00B1227E">
        <w:rPr>
          <w:rFonts w:cs="Arial"/>
        </w:rPr>
        <w:t>C J VAN DER WESTHUIZEN</w:t>
      </w:r>
    </w:p>
    <w:p w14:paraId="03915311" w14:textId="502109D5" w:rsidR="006C7C31" w:rsidRDefault="006C7C31" w:rsidP="00B1227E">
      <w:pPr>
        <w:spacing w:line="360" w:lineRule="auto"/>
        <w:jc w:val="right"/>
        <w:rPr>
          <w:rFonts w:cs="Arial"/>
        </w:rPr>
      </w:pPr>
      <w:r w:rsidRPr="00B1227E">
        <w:rPr>
          <w:rFonts w:cs="Arial"/>
        </w:rPr>
        <w:t>JUDGE OF THE HIGH COURT</w:t>
      </w:r>
    </w:p>
    <w:p w14:paraId="1E83049A" w14:textId="77777777" w:rsidR="00C90703" w:rsidRPr="00B1227E" w:rsidRDefault="00C90703" w:rsidP="00B1227E">
      <w:pPr>
        <w:spacing w:line="360" w:lineRule="auto"/>
        <w:jc w:val="right"/>
        <w:rPr>
          <w:rFonts w:cs="Arial"/>
        </w:rPr>
      </w:pPr>
    </w:p>
    <w:p w14:paraId="792C5F28" w14:textId="477CE8BF" w:rsidR="006C7C31" w:rsidRPr="00B1227E" w:rsidRDefault="00BE23CA" w:rsidP="00B1227E">
      <w:pPr>
        <w:spacing w:line="360" w:lineRule="auto"/>
        <w:jc w:val="both"/>
        <w:rPr>
          <w:rFonts w:cs="Arial"/>
        </w:rPr>
      </w:pPr>
      <w:r w:rsidRPr="00B1227E">
        <w:rPr>
          <w:rFonts w:eastAsia="Arial Unicode MS" w:cs="Arial"/>
          <w:bCs/>
        </w:rPr>
        <w:t xml:space="preserve"> </w:t>
      </w:r>
    </w:p>
    <w:p w14:paraId="364B7346" w14:textId="5EDEECA0" w:rsidR="006C7C31" w:rsidRPr="00B1227E" w:rsidRDefault="009D5DBE" w:rsidP="00B1227E">
      <w:pPr>
        <w:spacing w:line="360" w:lineRule="auto"/>
        <w:jc w:val="both"/>
        <w:rPr>
          <w:rFonts w:cs="Arial"/>
        </w:rPr>
      </w:pPr>
      <w:r>
        <w:rPr>
          <w:rFonts w:cs="Arial"/>
        </w:rPr>
        <w:t>Judgment Reserved:</w:t>
      </w:r>
      <w:r>
        <w:rPr>
          <w:rFonts w:cs="Arial"/>
        </w:rPr>
        <w:tab/>
      </w:r>
      <w:r>
        <w:rPr>
          <w:rFonts w:cs="Arial"/>
        </w:rPr>
        <w:tab/>
      </w:r>
      <w:r>
        <w:rPr>
          <w:rFonts w:cs="Arial"/>
        </w:rPr>
        <w:tab/>
      </w:r>
      <w:r>
        <w:rPr>
          <w:rFonts w:cs="Arial"/>
        </w:rPr>
        <w:tab/>
        <w:t>4 May 2022</w:t>
      </w:r>
    </w:p>
    <w:p w14:paraId="07921415" w14:textId="72F465C9" w:rsidR="006C7C31" w:rsidRPr="00B1227E" w:rsidRDefault="006C7C31" w:rsidP="00B1227E">
      <w:pPr>
        <w:spacing w:line="360" w:lineRule="auto"/>
        <w:jc w:val="both"/>
        <w:rPr>
          <w:rFonts w:cs="Arial"/>
        </w:rPr>
      </w:pPr>
      <w:r w:rsidRPr="00B1227E">
        <w:rPr>
          <w:rFonts w:cs="Arial"/>
        </w:rPr>
        <w:t>On behalf of Applicant:</w:t>
      </w:r>
      <w:r w:rsidRPr="00B1227E">
        <w:rPr>
          <w:rFonts w:cs="Arial"/>
        </w:rPr>
        <w:tab/>
      </w:r>
      <w:r w:rsidR="00B1227E" w:rsidRPr="00B1227E">
        <w:rPr>
          <w:rFonts w:cs="Arial"/>
        </w:rPr>
        <w:tab/>
      </w:r>
      <w:r w:rsidR="00B1227E" w:rsidRPr="00B1227E">
        <w:rPr>
          <w:rFonts w:cs="Arial"/>
        </w:rPr>
        <w:tab/>
      </w:r>
      <w:r w:rsidR="00B1227E" w:rsidRPr="00B1227E">
        <w:rPr>
          <w:rFonts w:cs="Arial"/>
        </w:rPr>
        <w:tab/>
      </w:r>
      <w:r w:rsidR="00B23124" w:rsidRPr="00B1227E">
        <w:rPr>
          <w:rFonts w:cs="Arial"/>
        </w:rPr>
        <w:t>L U C Spiller</w:t>
      </w:r>
      <w:r w:rsidRPr="00B1227E">
        <w:rPr>
          <w:rFonts w:cs="Arial"/>
        </w:rPr>
        <w:tab/>
      </w:r>
    </w:p>
    <w:p w14:paraId="0A192055" w14:textId="34944C7F" w:rsidR="006C7C31" w:rsidRPr="00B1227E" w:rsidRDefault="006C7C31" w:rsidP="00B1227E">
      <w:pPr>
        <w:spacing w:line="360" w:lineRule="auto"/>
        <w:jc w:val="both"/>
        <w:rPr>
          <w:rFonts w:cs="Arial"/>
        </w:rPr>
      </w:pPr>
      <w:r w:rsidRPr="00B1227E">
        <w:rPr>
          <w:rFonts w:cs="Arial"/>
        </w:rPr>
        <w:t>Instructed by:</w:t>
      </w:r>
      <w:r w:rsidRPr="00B1227E">
        <w:rPr>
          <w:rFonts w:cs="Arial"/>
        </w:rPr>
        <w:tab/>
      </w:r>
      <w:r w:rsidRPr="00B1227E">
        <w:rPr>
          <w:rFonts w:cs="Arial"/>
        </w:rPr>
        <w:tab/>
      </w:r>
      <w:r w:rsidR="00B1227E" w:rsidRPr="00B1227E">
        <w:rPr>
          <w:rFonts w:cs="Arial"/>
        </w:rPr>
        <w:tab/>
      </w:r>
      <w:r w:rsidR="00B1227E" w:rsidRPr="00B1227E">
        <w:rPr>
          <w:rFonts w:cs="Arial"/>
        </w:rPr>
        <w:tab/>
      </w:r>
      <w:r w:rsidR="00B1227E" w:rsidRPr="00B1227E">
        <w:rPr>
          <w:rFonts w:cs="Arial"/>
        </w:rPr>
        <w:tab/>
      </w:r>
      <w:r w:rsidR="00B23124" w:rsidRPr="00B1227E">
        <w:rPr>
          <w:rFonts w:cs="Arial"/>
        </w:rPr>
        <w:t>Bishop Fraser Attorneys</w:t>
      </w:r>
      <w:r w:rsidRPr="00B1227E">
        <w:rPr>
          <w:rFonts w:cs="Arial"/>
        </w:rPr>
        <w:tab/>
      </w:r>
    </w:p>
    <w:p w14:paraId="00FA00EC" w14:textId="77777777" w:rsidR="006C7C31" w:rsidRPr="00B1227E" w:rsidRDefault="006C7C31" w:rsidP="00B1227E">
      <w:pPr>
        <w:spacing w:line="360" w:lineRule="auto"/>
        <w:jc w:val="both"/>
        <w:rPr>
          <w:rFonts w:cs="Arial"/>
        </w:rPr>
      </w:pPr>
    </w:p>
    <w:p w14:paraId="12021F60" w14:textId="0D1A76B3" w:rsidR="006C7C31" w:rsidRPr="00B1227E" w:rsidRDefault="006C7C31" w:rsidP="00B1227E">
      <w:pPr>
        <w:spacing w:line="360" w:lineRule="auto"/>
        <w:jc w:val="both"/>
        <w:rPr>
          <w:rFonts w:cs="Arial"/>
        </w:rPr>
      </w:pPr>
      <w:r w:rsidRPr="00B1227E">
        <w:rPr>
          <w:rFonts w:cs="Arial"/>
        </w:rPr>
        <w:t xml:space="preserve">On behalf of </w:t>
      </w:r>
      <w:r w:rsidR="00B23124" w:rsidRPr="00B1227E">
        <w:rPr>
          <w:rFonts w:cs="Arial"/>
        </w:rPr>
        <w:t xml:space="preserve">First to Third </w:t>
      </w:r>
      <w:r w:rsidRPr="00B1227E">
        <w:rPr>
          <w:rFonts w:cs="Arial"/>
        </w:rPr>
        <w:t>Respondent</w:t>
      </w:r>
      <w:r w:rsidR="00B23124" w:rsidRPr="00B1227E">
        <w:rPr>
          <w:rFonts w:cs="Arial"/>
        </w:rPr>
        <w:t>s</w:t>
      </w:r>
      <w:r w:rsidRPr="00B1227E">
        <w:rPr>
          <w:rFonts w:cs="Arial"/>
        </w:rPr>
        <w:t>:</w:t>
      </w:r>
      <w:r w:rsidRPr="00B1227E">
        <w:rPr>
          <w:rFonts w:cs="Arial"/>
        </w:rPr>
        <w:tab/>
      </w:r>
      <w:r w:rsidR="00B1227E" w:rsidRPr="00B1227E">
        <w:rPr>
          <w:rFonts w:cs="Arial"/>
        </w:rPr>
        <w:tab/>
      </w:r>
      <w:r w:rsidR="00B23124" w:rsidRPr="00B1227E">
        <w:rPr>
          <w:rFonts w:cs="Arial"/>
        </w:rPr>
        <w:t>J Wentzel</w:t>
      </w:r>
      <w:r w:rsidRPr="00B1227E">
        <w:rPr>
          <w:rFonts w:cs="Arial"/>
        </w:rPr>
        <w:tab/>
      </w:r>
    </w:p>
    <w:p w14:paraId="0B71D01E" w14:textId="3F03110D" w:rsidR="00B23124" w:rsidRPr="00B1227E" w:rsidRDefault="006C7C31" w:rsidP="00B1227E">
      <w:pPr>
        <w:spacing w:line="360" w:lineRule="auto"/>
        <w:rPr>
          <w:rFonts w:cs="Arial"/>
        </w:rPr>
      </w:pPr>
      <w:r w:rsidRPr="00B1227E">
        <w:rPr>
          <w:rFonts w:cs="Arial"/>
        </w:rPr>
        <w:t>Instructed by:</w:t>
      </w:r>
      <w:r w:rsidRPr="00B1227E">
        <w:rPr>
          <w:rFonts w:cs="Arial"/>
        </w:rPr>
        <w:tab/>
      </w:r>
      <w:r w:rsidRPr="00B1227E">
        <w:rPr>
          <w:rFonts w:cs="Arial"/>
        </w:rPr>
        <w:tab/>
      </w:r>
      <w:r w:rsidR="00B1227E" w:rsidRPr="00B1227E">
        <w:rPr>
          <w:rFonts w:cs="Arial"/>
        </w:rPr>
        <w:tab/>
      </w:r>
      <w:r w:rsidR="00B1227E" w:rsidRPr="00B1227E">
        <w:rPr>
          <w:rFonts w:cs="Arial"/>
        </w:rPr>
        <w:tab/>
      </w:r>
      <w:r w:rsidR="00B1227E" w:rsidRPr="00B1227E">
        <w:rPr>
          <w:rFonts w:cs="Arial"/>
        </w:rPr>
        <w:tab/>
      </w:r>
      <w:r w:rsidR="00B23124" w:rsidRPr="00B1227E">
        <w:rPr>
          <w:rFonts w:cs="Arial"/>
        </w:rPr>
        <w:t>Matthew Klein Attorneys</w:t>
      </w:r>
    </w:p>
    <w:p w14:paraId="045F2B5E" w14:textId="77777777" w:rsidR="00B23124" w:rsidRPr="00B1227E" w:rsidRDefault="00B23124" w:rsidP="00B1227E">
      <w:pPr>
        <w:spacing w:line="360" w:lineRule="auto"/>
        <w:rPr>
          <w:rFonts w:cs="Arial"/>
        </w:rPr>
      </w:pPr>
    </w:p>
    <w:p w14:paraId="27F36CF8" w14:textId="77777777" w:rsidR="00B23124" w:rsidRPr="00B1227E" w:rsidRDefault="00B23124" w:rsidP="00B1227E">
      <w:pPr>
        <w:spacing w:line="360" w:lineRule="auto"/>
        <w:rPr>
          <w:rFonts w:cs="Arial"/>
        </w:rPr>
      </w:pPr>
      <w:r w:rsidRPr="00B1227E">
        <w:rPr>
          <w:rFonts w:cs="Arial"/>
        </w:rPr>
        <w:t>On behalf of the Fourth to Sixth Respondents:</w:t>
      </w:r>
      <w:r w:rsidRPr="00B1227E">
        <w:rPr>
          <w:rFonts w:cs="Arial"/>
        </w:rPr>
        <w:tab/>
        <w:t>R Ramuhala</w:t>
      </w:r>
    </w:p>
    <w:p w14:paraId="767A5DD8" w14:textId="64D811C5" w:rsidR="00564B22" w:rsidRPr="009D5DBE" w:rsidRDefault="00B23124" w:rsidP="00B1227E">
      <w:pPr>
        <w:spacing w:line="360" w:lineRule="auto"/>
        <w:rPr>
          <w:rFonts w:cs="Arial"/>
        </w:rPr>
      </w:pPr>
      <w:r w:rsidRPr="009D5DBE">
        <w:rPr>
          <w:rFonts w:cs="Arial"/>
        </w:rPr>
        <w:t>Instructed by:</w:t>
      </w:r>
      <w:r w:rsidRPr="009D5DBE">
        <w:rPr>
          <w:rFonts w:cs="Arial"/>
        </w:rPr>
        <w:tab/>
      </w:r>
      <w:r w:rsidRPr="009D5DBE">
        <w:rPr>
          <w:rFonts w:cs="Arial"/>
        </w:rPr>
        <w:tab/>
      </w:r>
      <w:r w:rsidR="00B1227E" w:rsidRPr="009D5DBE">
        <w:rPr>
          <w:rFonts w:cs="Arial"/>
        </w:rPr>
        <w:tab/>
      </w:r>
      <w:r w:rsidR="00B1227E" w:rsidRPr="009D5DBE">
        <w:rPr>
          <w:rFonts w:cs="Arial"/>
        </w:rPr>
        <w:tab/>
      </w:r>
      <w:r w:rsidR="00B1227E" w:rsidRPr="009D5DBE">
        <w:rPr>
          <w:rFonts w:cs="Arial"/>
        </w:rPr>
        <w:tab/>
      </w:r>
      <w:r w:rsidRPr="009D5DBE">
        <w:rPr>
          <w:rFonts w:cs="Arial"/>
        </w:rPr>
        <w:t>The State Attorney</w:t>
      </w:r>
      <w:r w:rsidR="006C7C31" w:rsidRPr="009D5DBE">
        <w:rPr>
          <w:rFonts w:cs="Arial"/>
        </w:rPr>
        <w:tab/>
      </w:r>
    </w:p>
    <w:p w14:paraId="502E9326" w14:textId="3AA4EC41" w:rsidR="009D5DBE" w:rsidRPr="009D5DBE" w:rsidRDefault="009D5DBE" w:rsidP="00B1227E">
      <w:pPr>
        <w:spacing w:line="360" w:lineRule="auto"/>
        <w:rPr>
          <w:rFonts w:cs="Arial"/>
        </w:rPr>
      </w:pPr>
      <w:r w:rsidRPr="009D5DBE">
        <w:rPr>
          <w:rFonts w:cs="Arial"/>
        </w:rPr>
        <w:t>Judgment Delivered:</w:t>
      </w:r>
      <w:r w:rsidRPr="009D5DBE">
        <w:rPr>
          <w:rFonts w:cs="Arial"/>
        </w:rPr>
        <w:tab/>
      </w:r>
      <w:r w:rsidRPr="009D5DBE">
        <w:rPr>
          <w:rFonts w:cs="Arial"/>
        </w:rPr>
        <w:tab/>
      </w:r>
      <w:r w:rsidRPr="009D5DBE">
        <w:rPr>
          <w:rFonts w:cs="Arial"/>
        </w:rPr>
        <w:tab/>
      </w:r>
      <w:r w:rsidRPr="009D5DBE">
        <w:rPr>
          <w:rFonts w:cs="Arial"/>
        </w:rPr>
        <w:tab/>
        <w:t>2 June 2022</w:t>
      </w:r>
    </w:p>
    <w:sectPr w:rsidR="009D5DBE" w:rsidRPr="009D5DBE" w:rsidSect="00FF660B">
      <w:headerReference w:type="even" r:id="rId10"/>
      <w:headerReference w:type="default" r:id="rId11"/>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4680B" w14:textId="77777777" w:rsidR="00C71034" w:rsidRDefault="00C71034">
      <w:r>
        <w:separator/>
      </w:r>
    </w:p>
  </w:endnote>
  <w:endnote w:type="continuationSeparator" w:id="0">
    <w:p w14:paraId="4510977C" w14:textId="77777777" w:rsidR="00C71034" w:rsidRDefault="00C7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31AB3" w14:textId="77777777" w:rsidR="00C71034" w:rsidRDefault="00C71034">
      <w:r>
        <w:separator/>
      </w:r>
    </w:p>
  </w:footnote>
  <w:footnote w:type="continuationSeparator" w:id="0">
    <w:p w14:paraId="6E4DBB06" w14:textId="77777777" w:rsidR="00C71034" w:rsidRDefault="00C71034">
      <w:r>
        <w:continuationSeparator/>
      </w:r>
    </w:p>
  </w:footnote>
  <w:footnote w:id="1">
    <w:p w14:paraId="0E52733C" w14:textId="07B03AF2" w:rsidR="002827BE" w:rsidRPr="00443047" w:rsidRDefault="002827BE">
      <w:pPr>
        <w:pStyle w:val="FootnoteText"/>
        <w:rPr>
          <w:i/>
          <w:lang w:val="en-ZA"/>
        </w:rPr>
      </w:pPr>
      <w:r>
        <w:rPr>
          <w:rStyle w:val="FootnoteReference"/>
        </w:rPr>
        <w:footnoteRef/>
      </w:r>
      <w:r>
        <w:t xml:space="preserve"> </w:t>
      </w:r>
      <w:r w:rsidRPr="00443047">
        <w:rPr>
          <w:i/>
          <w:lang w:val="en-ZA"/>
        </w:rPr>
        <w:t>Oudekraal</w:t>
      </w:r>
      <w:r w:rsidR="00A019FD">
        <w:rPr>
          <w:i/>
          <w:lang w:val="en-ZA"/>
        </w:rPr>
        <w:t xml:space="preserve"> Estates (Pty) Ltd v</w:t>
      </w:r>
      <w:r w:rsidR="00443047">
        <w:rPr>
          <w:i/>
          <w:lang w:val="en-ZA"/>
        </w:rPr>
        <w:t xml:space="preserve"> City of Cape Town et al</w:t>
      </w:r>
      <w:r w:rsidR="00443047">
        <w:rPr>
          <w:lang w:val="en-ZA"/>
        </w:rPr>
        <w:t xml:space="preserve"> 2004(6) SA 222 (SCA); </w:t>
      </w:r>
      <w:r w:rsidR="00443047">
        <w:rPr>
          <w:i/>
          <w:lang w:val="en-ZA"/>
        </w:rPr>
        <w:t>Camps Bay Ratepayers’ and Residents’ Association et al v Harrison et al</w:t>
      </w:r>
      <w:r w:rsidR="00443047">
        <w:rPr>
          <w:lang w:val="en-ZA"/>
        </w:rPr>
        <w:t xml:space="preserve"> 2011(4) SA 42 (CC) [62]</w:t>
      </w:r>
      <w:r w:rsidR="00443047">
        <w:rPr>
          <w:i/>
          <w:lang w:val="en-ZA"/>
        </w:rPr>
        <w:t xml:space="preserve"> </w:t>
      </w:r>
    </w:p>
  </w:footnote>
  <w:footnote w:id="2">
    <w:p w14:paraId="1474BD9C" w14:textId="21F89C68" w:rsidR="002827BE" w:rsidRPr="00A357A9" w:rsidRDefault="002827BE">
      <w:pPr>
        <w:pStyle w:val="FootnoteText"/>
        <w:rPr>
          <w:lang w:val="en-ZA"/>
        </w:rPr>
      </w:pPr>
      <w:r>
        <w:rPr>
          <w:rStyle w:val="FootnoteReference"/>
        </w:rPr>
        <w:footnoteRef/>
      </w:r>
      <w:r>
        <w:t xml:space="preserve"> </w:t>
      </w:r>
      <w:r w:rsidR="00A357A9">
        <w:rPr>
          <w:i/>
          <w:lang w:val="en-ZA"/>
        </w:rPr>
        <w:t>Bengwenyama Minerals (Pty) Ltd et al v Genorah Resources (Pty) Ltd et al</w:t>
      </w:r>
      <w:r w:rsidR="00A357A9">
        <w:rPr>
          <w:lang w:val="en-ZA"/>
        </w:rPr>
        <w:t xml:space="preserve"> 2011(</w:t>
      </w:r>
      <w:r w:rsidR="00492C18">
        <w:rPr>
          <w:lang w:val="en-ZA"/>
        </w:rPr>
        <w:t>4) SA 113 (CC)</w:t>
      </w:r>
    </w:p>
  </w:footnote>
  <w:footnote w:id="3">
    <w:p w14:paraId="2F50A050" w14:textId="0280EF05" w:rsidR="002827BE" w:rsidRPr="00D07B78" w:rsidRDefault="002827BE">
      <w:pPr>
        <w:pStyle w:val="FootnoteText"/>
        <w:rPr>
          <w:lang w:val="en-ZA"/>
        </w:rPr>
      </w:pPr>
      <w:r>
        <w:rPr>
          <w:rStyle w:val="FootnoteReference"/>
        </w:rPr>
        <w:footnoteRef/>
      </w:r>
      <w:r>
        <w:t xml:space="preserve"> </w:t>
      </w:r>
      <w:r w:rsidR="00492C18">
        <w:rPr>
          <w:i/>
          <w:lang w:val="en-ZA"/>
        </w:rPr>
        <w:t>Dengetenge Holdings (Pty) Ltd v</w:t>
      </w:r>
      <w:r w:rsidR="00BB04A3">
        <w:rPr>
          <w:i/>
          <w:lang w:val="en-ZA"/>
        </w:rPr>
        <w:t xml:space="preserve"> </w:t>
      </w:r>
      <w:r w:rsidR="00492C18">
        <w:rPr>
          <w:i/>
          <w:lang w:val="en-ZA"/>
        </w:rPr>
        <w:t>Southern Sphere Mining and Development Company Ltd et al</w:t>
      </w:r>
      <w:r w:rsidR="00492C18">
        <w:rPr>
          <w:lang w:val="en-ZA"/>
        </w:rPr>
        <w:t xml:space="preserve"> 2014(5) SA 138 (CC); </w:t>
      </w:r>
      <w:r w:rsidR="00492C18">
        <w:rPr>
          <w:i/>
          <w:lang w:val="en-ZA"/>
        </w:rPr>
        <w:t>Koyabe et al v Minister for Home Affairs et al</w:t>
      </w:r>
      <w:r w:rsidR="00492C18">
        <w:rPr>
          <w:lang w:val="en-ZA"/>
        </w:rPr>
        <w:t xml:space="preserve"> 2010(4) SA 327 (CC);</w:t>
      </w:r>
    </w:p>
  </w:footnote>
  <w:footnote w:id="4">
    <w:p w14:paraId="2D1AA8DF" w14:textId="6184916D" w:rsidR="002827BE" w:rsidRPr="00914C21" w:rsidRDefault="002827BE">
      <w:pPr>
        <w:pStyle w:val="FootnoteText"/>
        <w:rPr>
          <w:i/>
          <w:lang w:val="en-ZA"/>
        </w:rPr>
      </w:pPr>
      <w:r>
        <w:rPr>
          <w:rStyle w:val="FootnoteReference"/>
        </w:rPr>
        <w:footnoteRef/>
      </w:r>
      <w:r>
        <w:t xml:space="preserve"> </w:t>
      </w:r>
      <w:r w:rsidR="00914C21">
        <w:rPr>
          <w:i/>
          <w:lang w:val="en-ZA"/>
        </w:rPr>
        <w:t>Nichol v Registrar of Pension Funds</w:t>
      </w:r>
      <w:r w:rsidR="00914C21">
        <w:rPr>
          <w:lang w:val="en-ZA"/>
        </w:rPr>
        <w:t xml:space="preserve"> 2008(1) SA 383 (SCA); </w:t>
      </w:r>
      <w:r w:rsidR="00914C21">
        <w:rPr>
          <w:i/>
          <w:lang w:val="en-ZA"/>
        </w:rPr>
        <w:t>Dengetenge, supra</w:t>
      </w:r>
    </w:p>
  </w:footnote>
  <w:footnote w:id="5">
    <w:p w14:paraId="441F3E0C" w14:textId="77777777" w:rsidR="00024A87" w:rsidRPr="00944888" w:rsidRDefault="00024A87" w:rsidP="0054302B">
      <w:pPr>
        <w:pStyle w:val="FootnoteText"/>
        <w:rPr>
          <w:lang w:val="en-ZA"/>
        </w:rPr>
      </w:pPr>
      <w:r>
        <w:rPr>
          <w:rStyle w:val="FootnoteReference"/>
        </w:rPr>
        <w:footnoteRef/>
      </w:r>
      <w:r>
        <w:t xml:space="preserve"> </w:t>
      </w:r>
      <w:r>
        <w:rPr>
          <w:lang w:val="en-ZA"/>
        </w:rPr>
        <w:t>Regulation 74 of the Regulations Promulgated in terms of the MPRDA</w:t>
      </w:r>
    </w:p>
  </w:footnote>
  <w:footnote w:id="6">
    <w:p w14:paraId="273C6DA1" w14:textId="2B72019F" w:rsidR="00024A87" w:rsidRPr="00024A87" w:rsidRDefault="00024A87" w:rsidP="0054302B">
      <w:pPr>
        <w:pStyle w:val="FootnoteText"/>
        <w:spacing w:before="240"/>
        <w:rPr>
          <w:lang w:val="en-ZA"/>
        </w:rPr>
      </w:pPr>
      <w:r>
        <w:rPr>
          <w:rStyle w:val="FootnoteReference"/>
        </w:rPr>
        <w:footnoteRef/>
      </w:r>
      <w:r>
        <w:t xml:space="preserve"> </w:t>
      </w:r>
      <w:r>
        <w:rPr>
          <w:i/>
          <w:lang w:val="en-ZA"/>
        </w:rPr>
        <w:t>Joubert v MMaranda Mining Co (Pty) Ltd (1)</w:t>
      </w:r>
      <w:r>
        <w:rPr>
          <w:lang w:val="en-ZA"/>
        </w:rPr>
        <w:t xml:space="preserve"> 2010(1) SA 199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EFBE" w14:textId="77777777" w:rsidR="002827BE" w:rsidRDefault="002827BE" w:rsidP="002827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06FE" w14:textId="77777777" w:rsidR="002827BE" w:rsidRDefault="002827BE" w:rsidP="00FF660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0571" w14:textId="5D542E3D" w:rsidR="002827BE" w:rsidRDefault="002827BE" w:rsidP="002827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CB3">
      <w:rPr>
        <w:rStyle w:val="PageNumber"/>
        <w:noProof/>
      </w:rPr>
      <w:t>10</w:t>
    </w:r>
    <w:r>
      <w:rPr>
        <w:rStyle w:val="PageNumber"/>
      </w:rPr>
      <w:fldChar w:fldCharType="end"/>
    </w:r>
  </w:p>
  <w:p w14:paraId="3A348D61" w14:textId="77777777" w:rsidR="002827BE" w:rsidRDefault="002827BE" w:rsidP="00FF660B">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4DE7"/>
    <w:multiLevelType w:val="hybridMultilevel"/>
    <w:tmpl w:val="DF94B2EC"/>
    <w:lvl w:ilvl="0" w:tplc="AD7E2D3E">
      <w:start w:val="1"/>
      <w:numFmt w:val="decimal"/>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5A4A1762"/>
    <w:multiLevelType w:val="hybridMultilevel"/>
    <w:tmpl w:val="1DD26F0E"/>
    <w:lvl w:ilvl="0" w:tplc="FCD6624C">
      <w:start w:val="1"/>
      <w:numFmt w:val="lowerLetter"/>
      <w:lvlText w:val="(%1)"/>
      <w:lvlJc w:val="left"/>
      <w:pPr>
        <w:ind w:left="1800" w:hanging="36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4E"/>
    <w:rsid w:val="00001FDA"/>
    <w:rsid w:val="00007465"/>
    <w:rsid w:val="00024A87"/>
    <w:rsid w:val="000326B3"/>
    <w:rsid w:val="00056358"/>
    <w:rsid w:val="00063285"/>
    <w:rsid w:val="000913B4"/>
    <w:rsid w:val="000C5BFA"/>
    <w:rsid w:val="000C72A8"/>
    <w:rsid w:val="000E20FC"/>
    <w:rsid w:val="00106DB1"/>
    <w:rsid w:val="0011627D"/>
    <w:rsid w:val="00137632"/>
    <w:rsid w:val="0014060B"/>
    <w:rsid w:val="00175B12"/>
    <w:rsid w:val="001F65EA"/>
    <w:rsid w:val="00216014"/>
    <w:rsid w:val="00233EB5"/>
    <w:rsid w:val="00280036"/>
    <w:rsid w:val="002827BE"/>
    <w:rsid w:val="002909C1"/>
    <w:rsid w:val="002A4C19"/>
    <w:rsid w:val="002D6ED0"/>
    <w:rsid w:val="003136FE"/>
    <w:rsid w:val="00375843"/>
    <w:rsid w:val="00376808"/>
    <w:rsid w:val="00394333"/>
    <w:rsid w:val="003A60D4"/>
    <w:rsid w:val="003A6F20"/>
    <w:rsid w:val="003D3332"/>
    <w:rsid w:val="003E2E7A"/>
    <w:rsid w:val="003E72AB"/>
    <w:rsid w:val="00412FFF"/>
    <w:rsid w:val="004171A6"/>
    <w:rsid w:val="00436FD5"/>
    <w:rsid w:val="00443047"/>
    <w:rsid w:val="00445BD6"/>
    <w:rsid w:val="00446475"/>
    <w:rsid w:val="00456DF1"/>
    <w:rsid w:val="00492C18"/>
    <w:rsid w:val="00533B70"/>
    <w:rsid w:val="00535224"/>
    <w:rsid w:val="0054302B"/>
    <w:rsid w:val="00557C6D"/>
    <w:rsid w:val="00564B22"/>
    <w:rsid w:val="005918EC"/>
    <w:rsid w:val="005971A9"/>
    <w:rsid w:val="005C7331"/>
    <w:rsid w:val="005F5CB3"/>
    <w:rsid w:val="0064533D"/>
    <w:rsid w:val="00674B46"/>
    <w:rsid w:val="006B7F70"/>
    <w:rsid w:val="006C7C31"/>
    <w:rsid w:val="006E1C8C"/>
    <w:rsid w:val="006F25DB"/>
    <w:rsid w:val="00705C3E"/>
    <w:rsid w:val="00706327"/>
    <w:rsid w:val="007107E8"/>
    <w:rsid w:val="00724122"/>
    <w:rsid w:val="0072526B"/>
    <w:rsid w:val="007331E2"/>
    <w:rsid w:val="0075142F"/>
    <w:rsid w:val="00767797"/>
    <w:rsid w:val="00774EB6"/>
    <w:rsid w:val="00783323"/>
    <w:rsid w:val="00791EF8"/>
    <w:rsid w:val="007A6BB7"/>
    <w:rsid w:val="007D7D22"/>
    <w:rsid w:val="007E5775"/>
    <w:rsid w:val="0080354E"/>
    <w:rsid w:val="008613F6"/>
    <w:rsid w:val="0086355F"/>
    <w:rsid w:val="008831A4"/>
    <w:rsid w:val="00893D7B"/>
    <w:rsid w:val="00903B1C"/>
    <w:rsid w:val="00914C21"/>
    <w:rsid w:val="009224F5"/>
    <w:rsid w:val="00944888"/>
    <w:rsid w:val="00962CFE"/>
    <w:rsid w:val="00970DBF"/>
    <w:rsid w:val="00990F07"/>
    <w:rsid w:val="009D25EE"/>
    <w:rsid w:val="009D26BE"/>
    <w:rsid w:val="009D5DBE"/>
    <w:rsid w:val="009F0802"/>
    <w:rsid w:val="009F48E5"/>
    <w:rsid w:val="00A01506"/>
    <w:rsid w:val="00A019FD"/>
    <w:rsid w:val="00A2462D"/>
    <w:rsid w:val="00A318C3"/>
    <w:rsid w:val="00A357A9"/>
    <w:rsid w:val="00A70FA7"/>
    <w:rsid w:val="00AA3998"/>
    <w:rsid w:val="00AD6FE0"/>
    <w:rsid w:val="00B1227E"/>
    <w:rsid w:val="00B23124"/>
    <w:rsid w:val="00B402B9"/>
    <w:rsid w:val="00B50968"/>
    <w:rsid w:val="00B6662F"/>
    <w:rsid w:val="00B71CF4"/>
    <w:rsid w:val="00B74680"/>
    <w:rsid w:val="00BB04A3"/>
    <w:rsid w:val="00BC2760"/>
    <w:rsid w:val="00BE23CA"/>
    <w:rsid w:val="00C1275C"/>
    <w:rsid w:val="00C31228"/>
    <w:rsid w:val="00C33C5B"/>
    <w:rsid w:val="00C52BAC"/>
    <w:rsid w:val="00C54589"/>
    <w:rsid w:val="00C71034"/>
    <w:rsid w:val="00C90703"/>
    <w:rsid w:val="00CA072B"/>
    <w:rsid w:val="00CA571F"/>
    <w:rsid w:val="00CD794A"/>
    <w:rsid w:val="00CE11D1"/>
    <w:rsid w:val="00D07B78"/>
    <w:rsid w:val="00D36692"/>
    <w:rsid w:val="00D36F47"/>
    <w:rsid w:val="00D443BC"/>
    <w:rsid w:val="00D928AF"/>
    <w:rsid w:val="00D96D6D"/>
    <w:rsid w:val="00DA4E62"/>
    <w:rsid w:val="00DB791A"/>
    <w:rsid w:val="00DE29C5"/>
    <w:rsid w:val="00DE3E61"/>
    <w:rsid w:val="00E0037A"/>
    <w:rsid w:val="00E011CE"/>
    <w:rsid w:val="00E21F5F"/>
    <w:rsid w:val="00E45B36"/>
    <w:rsid w:val="00E62353"/>
    <w:rsid w:val="00E65F50"/>
    <w:rsid w:val="00E8574B"/>
    <w:rsid w:val="00EA67A4"/>
    <w:rsid w:val="00EB2A50"/>
    <w:rsid w:val="00F325A3"/>
    <w:rsid w:val="00F340FF"/>
    <w:rsid w:val="00F51926"/>
    <w:rsid w:val="00F712EA"/>
    <w:rsid w:val="00FC14C7"/>
    <w:rsid w:val="00FC16D3"/>
    <w:rsid w:val="00FD0BBD"/>
    <w:rsid w:val="00FE75BD"/>
    <w:rsid w:val="00FF33E1"/>
    <w:rsid w:val="00FF660B"/>
    <w:rsid w:val="00FF7C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2F38"/>
  <w15:docId w15:val="{EC4034A9-0F8F-364B-AEC8-AF48BE64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4E"/>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F660B"/>
    <w:pPr>
      <w:tabs>
        <w:tab w:val="center" w:pos="4320"/>
        <w:tab w:val="right" w:pos="8640"/>
      </w:tabs>
    </w:pPr>
  </w:style>
  <w:style w:type="character" w:customStyle="1" w:styleId="HeaderChar">
    <w:name w:val="Header Char"/>
    <w:basedOn w:val="DefaultParagraphFont"/>
    <w:link w:val="Header"/>
    <w:uiPriority w:val="99"/>
    <w:semiHidden/>
    <w:rsid w:val="00FF660B"/>
    <w:rPr>
      <w:rFonts w:ascii="Arial" w:hAnsi="Arial"/>
      <w:lang w:val="en-GB"/>
    </w:rPr>
  </w:style>
  <w:style w:type="character" w:styleId="PageNumber">
    <w:name w:val="page number"/>
    <w:basedOn w:val="DefaultParagraphFont"/>
    <w:uiPriority w:val="99"/>
    <w:semiHidden/>
    <w:unhideWhenUsed/>
    <w:rsid w:val="00FF660B"/>
  </w:style>
  <w:style w:type="paragraph" w:styleId="ListParagraph">
    <w:name w:val="List Paragraph"/>
    <w:basedOn w:val="Normal"/>
    <w:uiPriority w:val="34"/>
    <w:qFormat/>
    <w:rsid w:val="00BE23CA"/>
    <w:pPr>
      <w:ind w:left="720"/>
    </w:pPr>
    <w:rPr>
      <w:rFonts w:ascii="Times New Roman" w:eastAsia="SimSun" w:hAnsi="Times New Roman" w:cs="Times New Roman"/>
      <w:lang w:eastAsia="zh-CN"/>
    </w:rPr>
  </w:style>
  <w:style w:type="paragraph" w:styleId="FootnoteText">
    <w:name w:val="footnote text"/>
    <w:basedOn w:val="Normal"/>
    <w:link w:val="FootnoteTextChar"/>
    <w:uiPriority w:val="99"/>
    <w:semiHidden/>
    <w:unhideWhenUsed/>
    <w:rsid w:val="004171A6"/>
    <w:rPr>
      <w:sz w:val="20"/>
      <w:szCs w:val="20"/>
    </w:rPr>
  </w:style>
  <w:style w:type="character" w:customStyle="1" w:styleId="FootnoteTextChar">
    <w:name w:val="Footnote Text Char"/>
    <w:basedOn w:val="DefaultParagraphFont"/>
    <w:link w:val="FootnoteText"/>
    <w:uiPriority w:val="99"/>
    <w:semiHidden/>
    <w:rsid w:val="004171A6"/>
    <w:rPr>
      <w:rFonts w:ascii="Arial" w:hAnsi="Arial"/>
      <w:sz w:val="20"/>
      <w:szCs w:val="20"/>
      <w:lang w:val="en-GB"/>
    </w:rPr>
  </w:style>
  <w:style w:type="character" w:styleId="FootnoteReference">
    <w:name w:val="footnote reference"/>
    <w:basedOn w:val="DefaultParagraphFont"/>
    <w:uiPriority w:val="99"/>
    <w:semiHidden/>
    <w:unhideWhenUsed/>
    <w:rsid w:val="004171A6"/>
    <w:rPr>
      <w:vertAlign w:val="superscript"/>
    </w:rPr>
  </w:style>
  <w:style w:type="paragraph" w:styleId="BalloonText">
    <w:name w:val="Balloon Text"/>
    <w:basedOn w:val="Normal"/>
    <w:link w:val="BalloonTextChar"/>
    <w:uiPriority w:val="99"/>
    <w:semiHidden/>
    <w:unhideWhenUsed/>
    <w:rsid w:val="00BB0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A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AFA3E-D9AC-442B-A75A-FA7FD6B9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van der Westhuizen</dc:creator>
  <cp:keywords/>
  <cp:lastModifiedBy>Bokka VZyl</cp:lastModifiedBy>
  <cp:revision>7</cp:revision>
  <cp:lastPrinted>2022-06-02T07:07:00Z</cp:lastPrinted>
  <dcterms:created xsi:type="dcterms:W3CDTF">2022-06-02T06:54:00Z</dcterms:created>
  <dcterms:modified xsi:type="dcterms:W3CDTF">2022-06-02T09:12:00Z</dcterms:modified>
</cp:coreProperties>
</file>