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38" w:rsidRPr="00C352C2" w:rsidRDefault="00815038" w:rsidP="00815038">
      <w:pPr>
        <w:spacing w:after="0" w:line="240" w:lineRule="auto"/>
        <w:jc w:val="center"/>
        <w:rPr>
          <w:rFonts w:ascii="Arial" w:hAnsi="Arial" w:cs="Arial"/>
          <w:b/>
          <w:sz w:val="20"/>
          <w:szCs w:val="20"/>
        </w:rPr>
      </w:pPr>
      <w:r w:rsidRPr="00C352C2">
        <w:rPr>
          <w:rFonts w:ascii="Arial" w:hAnsi="Arial" w:cs="Arial"/>
          <w:noProof/>
          <w:sz w:val="20"/>
          <w:szCs w:val="20"/>
          <w:lang w:eastAsia="en-ZA"/>
        </w:rPr>
        <w:drawing>
          <wp:anchor distT="0" distB="0" distL="114300" distR="114300" simplePos="0" relativeHeight="251660288" behindDoc="0" locked="0" layoutInCell="1" allowOverlap="1" wp14:anchorId="31F8420C" wp14:editId="1C0AA42C">
            <wp:simplePos x="0" y="0"/>
            <wp:positionH relativeFrom="margin">
              <wp:align>center</wp:align>
            </wp:positionH>
            <wp:positionV relativeFrom="paragraph">
              <wp:posOffset>-352425</wp:posOffset>
            </wp:positionV>
            <wp:extent cx="1162050" cy="1190019"/>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019"/>
                    </a:xfrm>
                    <a:prstGeom prst="rect">
                      <a:avLst/>
                    </a:prstGeom>
                    <a:noFill/>
                    <a:ln>
                      <a:noFill/>
                    </a:ln>
                  </pic:spPr>
                </pic:pic>
              </a:graphicData>
            </a:graphic>
          </wp:anchor>
        </w:drawing>
      </w:r>
    </w:p>
    <w:p w:rsidR="00815038" w:rsidRPr="00C352C2" w:rsidRDefault="00815038" w:rsidP="00815038">
      <w:pPr>
        <w:spacing w:after="0" w:line="240" w:lineRule="auto"/>
        <w:jc w:val="center"/>
        <w:rPr>
          <w:rFonts w:ascii="Arial" w:hAnsi="Arial" w:cs="Arial"/>
          <w:b/>
          <w:sz w:val="20"/>
          <w:szCs w:val="20"/>
        </w:rPr>
      </w:pPr>
    </w:p>
    <w:p w:rsidR="00815038" w:rsidRPr="00C352C2" w:rsidRDefault="00815038" w:rsidP="00815038">
      <w:pPr>
        <w:spacing w:after="0" w:line="240" w:lineRule="auto"/>
        <w:jc w:val="center"/>
        <w:rPr>
          <w:rFonts w:ascii="Segoe UI" w:hAnsi="Segoe UI" w:cs="Segoe UI"/>
          <w:b/>
          <w:sz w:val="20"/>
          <w:szCs w:val="20"/>
        </w:rPr>
      </w:pPr>
    </w:p>
    <w:p w:rsidR="00815038" w:rsidRPr="00C352C2" w:rsidRDefault="00815038" w:rsidP="00815038">
      <w:pPr>
        <w:spacing w:after="0" w:line="240" w:lineRule="auto"/>
        <w:jc w:val="center"/>
        <w:rPr>
          <w:rFonts w:ascii="Segoe UI" w:hAnsi="Segoe UI" w:cs="Segoe UI"/>
          <w:b/>
          <w:sz w:val="20"/>
          <w:szCs w:val="20"/>
        </w:rPr>
      </w:pPr>
    </w:p>
    <w:p w:rsidR="00815038" w:rsidRPr="00C352C2" w:rsidRDefault="00815038" w:rsidP="00815038">
      <w:pPr>
        <w:spacing w:after="0" w:line="240" w:lineRule="auto"/>
        <w:jc w:val="center"/>
        <w:rPr>
          <w:rFonts w:ascii="Segoe UI" w:hAnsi="Segoe UI" w:cs="Segoe UI"/>
          <w:b/>
          <w:sz w:val="20"/>
          <w:szCs w:val="20"/>
        </w:rPr>
      </w:pPr>
    </w:p>
    <w:p w:rsidR="00815038" w:rsidRPr="00C352C2" w:rsidRDefault="00815038" w:rsidP="00815038">
      <w:pPr>
        <w:spacing w:after="0" w:line="240" w:lineRule="auto"/>
        <w:rPr>
          <w:rFonts w:ascii="Segoe UI" w:eastAsia="Times New Roman" w:hAnsi="Segoe UI" w:cs="Segoe UI"/>
          <w:b/>
          <w:sz w:val="20"/>
          <w:szCs w:val="20"/>
          <w:lang w:eastAsia="en-GB"/>
        </w:rPr>
      </w:pPr>
    </w:p>
    <w:p w:rsidR="00815038" w:rsidRPr="00C352C2" w:rsidRDefault="00815038" w:rsidP="00815038">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IN THE HIGH COURT OF SOUTH AFRICA</w:t>
      </w:r>
    </w:p>
    <w:p w:rsidR="00815038" w:rsidRPr="00C352C2" w:rsidRDefault="00815038" w:rsidP="00815038">
      <w:pPr>
        <w:spacing w:after="0" w:line="240" w:lineRule="auto"/>
        <w:jc w:val="center"/>
        <w:rPr>
          <w:rFonts w:ascii="Segoe UI" w:eastAsia="Times New Roman" w:hAnsi="Segoe UI" w:cs="Segoe UI"/>
          <w:b/>
          <w:sz w:val="24"/>
          <w:szCs w:val="24"/>
          <w:lang w:eastAsia="en-GB"/>
        </w:rPr>
      </w:pPr>
    </w:p>
    <w:p w:rsidR="00815038" w:rsidRPr="00C352C2" w:rsidRDefault="00815038" w:rsidP="00815038">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(GAUTENG DIVISION, PRETORIA)</w:t>
      </w:r>
    </w:p>
    <w:p w:rsidR="00815038" w:rsidRPr="00C352C2" w:rsidRDefault="00815038" w:rsidP="00815038">
      <w:pPr>
        <w:spacing w:after="0" w:line="240" w:lineRule="auto"/>
        <w:rPr>
          <w:rFonts w:ascii="Segoe UI" w:eastAsia="Times New Roman" w:hAnsi="Segoe UI" w:cs="Segoe UI"/>
          <w:b/>
          <w:sz w:val="24"/>
          <w:szCs w:val="24"/>
          <w:lang w:eastAsia="en-GB"/>
        </w:rPr>
      </w:pPr>
    </w:p>
    <w:p w:rsidR="00815038" w:rsidRPr="00C352C2" w:rsidRDefault="00815038" w:rsidP="00815038">
      <w:pPr>
        <w:spacing w:before="100" w:beforeAutospacing="1" w:after="100" w:afterAutospacing="1" w:line="360" w:lineRule="auto"/>
        <w:jc w:val="right"/>
        <w:rPr>
          <w:rFonts w:ascii="Segoe UI" w:eastAsia="Calibri" w:hAnsi="Segoe UI" w:cs="Segoe UI"/>
          <w:sz w:val="24"/>
          <w:szCs w:val="24"/>
          <w:lang w:eastAsia="en-ZA"/>
        </w:rPr>
      </w:pPr>
      <w:r w:rsidRPr="00C352C2">
        <w:rPr>
          <w:rFonts w:ascii="Segoe UI" w:eastAsia="Calibri" w:hAnsi="Segoe UI" w:cs="Segoe UI"/>
          <w:b/>
          <w:sz w:val="24"/>
          <w:szCs w:val="24"/>
          <w:lang w:eastAsia="en-ZA"/>
        </w:rPr>
        <w:t>Case Number</w:t>
      </w:r>
      <w:r w:rsidRPr="00C352C2">
        <w:rPr>
          <w:rFonts w:ascii="Segoe UI" w:eastAsia="Calibri" w:hAnsi="Segoe UI" w:cs="Segoe UI"/>
          <w:sz w:val="24"/>
          <w:szCs w:val="24"/>
          <w:lang w:eastAsia="en-ZA"/>
        </w:rPr>
        <w:t xml:space="preserve">: </w:t>
      </w:r>
      <w:r w:rsidRPr="00C352C2">
        <w:rPr>
          <w:rFonts w:ascii="Segoe UI" w:eastAsia="Calibri" w:hAnsi="Segoe UI" w:cs="Segoe UI"/>
          <w:noProof/>
          <w:sz w:val="24"/>
          <w:szCs w:val="24"/>
          <w:lang w:eastAsia="en-ZA"/>
        </w:rPr>
        <mc:AlternateContent>
          <mc:Choice Requires="wps">
            <w:drawing>
              <wp:anchor distT="0" distB="0" distL="114300" distR="114300" simplePos="0" relativeHeight="251659264" behindDoc="0" locked="0" layoutInCell="1" allowOverlap="1" wp14:anchorId="5F48EF58" wp14:editId="0C12E820">
                <wp:simplePos x="0" y="0"/>
                <wp:positionH relativeFrom="column">
                  <wp:posOffset>0</wp:posOffset>
                </wp:positionH>
                <wp:positionV relativeFrom="paragraph">
                  <wp:posOffset>343115</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815038" w:rsidRPr="004120A8" w:rsidRDefault="00815038" w:rsidP="00815038">
                            <w:pPr>
                              <w:jc w:val="center"/>
                              <w:rPr>
                                <w:rFonts w:ascii="Century Gothic" w:hAnsi="Century Gothic"/>
                                <w:b/>
                                <w:sz w:val="2"/>
                                <w:szCs w:val="18"/>
                              </w:rPr>
                            </w:pPr>
                          </w:p>
                          <w:p w:rsidR="00815038" w:rsidRPr="004120A8" w:rsidRDefault="00815038" w:rsidP="00815038">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815038" w:rsidRPr="00373B5A" w:rsidRDefault="00815038" w:rsidP="00815038">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815038" w:rsidRPr="004120A8" w:rsidRDefault="00815038" w:rsidP="00815038">
                            <w:pPr>
                              <w:rPr>
                                <w:rFonts w:ascii="Century Gothic" w:hAnsi="Century Gothic"/>
                                <w:b/>
                                <w:sz w:val="18"/>
                                <w:szCs w:val="18"/>
                              </w:rPr>
                            </w:pPr>
                          </w:p>
                          <w:p w:rsidR="00815038" w:rsidRPr="004120A8" w:rsidRDefault="00815038" w:rsidP="00815038">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815038" w:rsidRPr="004120A8" w:rsidRDefault="00815038" w:rsidP="00815038">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22 JUNE 2022 </w:t>
                            </w:r>
                          </w:p>
                          <w:p w:rsidR="00815038" w:rsidRPr="004120A8" w:rsidRDefault="00815038" w:rsidP="0081503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8EF58" id="_x0000_t202" coordsize="21600,21600" o:spt="202" path="m,l,21600r21600,l21600,xe">
                <v:stroke joinstyle="miter"/>
                <v:path gradientshapeok="t" o:connecttype="rect"/>
              </v:shapetype>
              <v:shape id="Text Box 1" o:spid="_x0000_s1026" type="#_x0000_t202" style="position:absolute;left:0;text-align:left;margin-left:0;margin-top:27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Lj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">
                <v:textbox>
                  <w:txbxContent>
                    <w:p w:rsidR="00815038" w:rsidRPr="004120A8" w:rsidRDefault="00815038" w:rsidP="00815038">
                      <w:pPr>
                        <w:jc w:val="center"/>
                        <w:rPr>
                          <w:rFonts w:ascii="Century Gothic" w:hAnsi="Century Gothic"/>
                          <w:b/>
                          <w:sz w:val="2"/>
                          <w:szCs w:val="18"/>
                        </w:rPr>
                      </w:pPr>
                    </w:p>
                    <w:p w:rsidR="00815038" w:rsidRPr="004120A8" w:rsidRDefault="00815038" w:rsidP="00815038">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815038" w:rsidRPr="00373B5A" w:rsidRDefault="00815038" w:rsidP="00815038">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815038" w:rsidRPr="004120A8" w:rsidRDefault="00815038" w:rsidP="00815038">
                      <w:pPr>
                        <w:rPr>
                          <w:rFonts w:ascii="Century Gothic" w:hAnsi="Century Gothic"/>
                          <w:b/>
                          <w:sz w:val="18"/>
                          <w:szCs w:val="18"/>
                        </w:rPr>
                      </w:pPr>
                    </w:p>
                    <w:p w:rsidR="00815038" w:rsidRPr="004120A8" w:rsidRDefault="00815038" w:rsidP="00815038">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815038" w:rsidRPr="004120A8" w:rsidRDefault="00815038" w:rsidP="00815038">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Pr>
                          <w:rFonts w:ascii="Century Gothic" w:hAnsi="Century Gothic"/>
                          <w:b/>
                          <w:sz w:val="18"/>
                          <w:szCs w:val="18"/>
                        </w:rPr>
                        <w:t xml:space="preserve">:   22 JUNE 2022 </w:t>
                      </w:r>
                    </w:p>
                    <w:p w:rsidR="00815038" w:rsidRPr="004120A8" w:rsidRDefault="00815038" w:rsidP="00815038">
                      <w:pPr>
                        <w:rPr>
                          <w:rFonts w:ascii="Century Gothic" w:hAnsi="Century Gothic"/>
                          <w:b/>
                          <w:sz w:val="2"/>
                          <w:szCs w:val="18"/>
                        </w:rPr>
                      </w:pPr>
                    </w:p>
                  </w:txbxContent>
                </v:textbox>
              </v:shape>
            </w:pict>
          </mc:Fallback>
        </mc:AlternateContent>
      </w:r>
      <w:r>
        <w:rPr>
          <w:rFonts w:ascii="Segoe UI" w:eastAsia="Calibri" w:hAnsi="Segoe UI" w:cs="Segoe UI"/>
          <w:sz w:val="24"/>
          <w:szCs w:val="24"/>
          <w:lang w:eastAsia="en-ZA"/>
        </w:rPr>
        <w:t>23867/2022</w:t>
      </w:r>
    </w:p>
    <w:p w:rsidR="00815038" w:rsidRPr="00C352C2" w:rsidRDefault="00815038" w:rsidP="00815038">
      <w:pPr>
        <w:spacing w:before="100" w:beforeAutospacing="1" w:after="100" w:afterAutospacing="1" w:line="360" w:lineRule="auto"/>
        <w:jc w:val="center"/>
        <w:rPr>
          <w:rFonts w:ascii="Segoe UI" w:eastAsia="Times New Roman" w:hAnsi="Segoe UI" w:cs="Segoe UI"/>
          <w:color w:val="000000"/>
          <w:sz w:val="20"/>
          <w:szCs w:val="20"/>
          <w:lang w:eastAsia="en-ZA"/>
        </w:rPr>
      </w:pPr>
    </w:p>
    <w:p w:rsidR="00815038" w:rsidRPr="00C352C2" w:rsidRDefault="00815038" w:rsidP="00815038">
      <w:pPr>
        <w:spacing w:after="200" w:line="480" w:lineRule="auto"/>
        <w:ind w:left="5760"/>
        <w:jc w:val="both"/>
        <w:rPr>
          <w:rFonts w:ascii="Segoe UI" w:eastAsia="Calibri" w:hAnsi="Segoe UI" w:cs="Segoe UI"/>
          <w:b/>
          <w:sz w:val="20"/>
          <w:szCs w:val="20"/>
        </w:rPr>
      </w:pPr>
    </w:p>
    <w:p w:rsidR="00815038" w:rsidRPr="00C352C2" w:rsidRDefault="00815038" w:rsidP="00815038">
      <w:pPr>
        <w:widowControl w:val="0"/>
        <w:autoSpaceDE w:val="0"/>
        <w:autoSpaceDN w:val="0"/>
        <w:adjustRightInd w:val="0"/>
        <w:spacing w:after="0" w:line="276" w:lineRule="auto"/>
        <w:jc w:val="both"/>
        <w:rPr>
          <w:rFonts w:ascii="Segoe UI" w:eastAsia="Times New Roman" w:hAnsi="Segoe UI" w:cs="Segoe UI"/>
          <w:sz w:val="20"/>
          <w:szCs w:val="20"/>
          <w:u w:val="single"/>
          <w:lang w:eastAsia="en-GB"/>
        </w:rPr>
      </w:pPr>
    </w:p>
    <w:p w:rsidR="00815038" w:rsidRDefault="00815038" w:rsidP="00815038">
      <w:pPr>
        <w:widowControl w:val="0"/>
        <w:autoSpaceDE w:val="0"/>
        <w:autoSpaceDN w:val="0"/>
        <w:adjustRightInd w:val="0"/>
        <w:spacing w:after="0" w:line="276" w:lineRule="auto"/>
        <w:jc w:val="both"/>
        <w:rPr>
          <w:rFonts w:ascii="Arial" w:eastAsia="Calibri" w:hAnsi="Arial" w:cs="Arial"/>
          <w:color w:val="1B1919"/>
          <w:sz w:val="24"/>
          <w:szCs w:val="24"/>
        </w:rPr>
      </w:pPr>
      <w:r w:rsidRPr="00C352C2">
        <w:rPr>
          <w:rFonts w:ascii="Arial" w:eastAsia="Calibri" w:hAnsi="Arial" w:cs="Arial"/>
          <w:color w:val="1B1919"/>
          <w:sz w:val="24"/>
          <w:szCs w:val="24"/>
        </w:rPr>
        <w:t>In the matter between:</w:t>
      </w:r>
    </w:p>
    <w:p w:rsidR="00815038" w:rsidRDefault="00815038" w:rsidP="00815038">
      <w:pPr>
        <w:widowControl w:val="0"/>
        <w:autoSpaceDE w:val="0"/>
        <w:autoSpaceDN w:val="0"/>
        <w:adjustRightInd w:val="0"/>
        <w:spacing w:after="0" w:line="276" w:lineRule="auto"/>
        <w:jc w:val="both"/>
        <w:rPr>
          <w:rFonts w:ascii="Arial" w:hAnsi="Arial" w:cs="Arial"/>
          <w:sz w:val="24"/>
          <w:szCs w:val="24"/>
        </w:rPr>
      </w:pPr>
    </w:p>
    <w:p w:rsidR="00815038" w:rsidRDefault="00815038" w:rsidP="00815038">
      <w:pPr>
        <w:spacing w:line="360" w:lineRule="auto"/>
        <w:rPr>
          <w:rFonts w:ascii="Arial" w:hAnsi="Arial" w:cs="Arial"/>
          <w:sz w:val="24"/>
          <w:szCs w:val="24"/>
        </w:rPr>
      </w:pPr>
      <w:r>
        <w:rPr>
          <w:rFonts w:ascii="Arial" w:hAnsi="Arial" w:cs="Arial"/>
          <w:sz w:val="24"/>
          <w:szCs w:val="24"/>
        </w:rPr>
        <w:t>ETIENNE JACQUES NAUDE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FIRST APPLICANT</w:t>
      </w:r>
    </w:p>
    <w:p w:rsidR="00815038" w:rsidRDefault="00815038" w:rsidP="00815038">
      <w:pPr>
        <w:spacing w:line="360" w:lineRule="auto"/>
        <w:rPr>
          <w:rFonts w:ascii="Arial" w:hAnsi="Arial" w:cs="Arial"/>
          <w:sz w:val="24"/>
          <w:szCs w:val="24"/>
        </w:rPr>
      </w:pPr>
      <w:r>
        <w:rPr>
          <w:rFonts w:ascii="Arial" w:hAnsi="Arial" w:cs="Arial"/>
          <w:sz w:val="24"/>
          <w:szCs w:val="24"/>
        </w:rPr>
        <w:t>GD IRONS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APPLICANT</w:t>
      </w:r>
    </w:p>
    <w:p w:rsidR="00815038" w:rsidRDefault="00815038" w:rsidP="00815038">
      <w:pPr>
        <w:spacing w:line="360" w:lineRule="auto"/>
        <w:rPr>
          <w:rFonts w:ascii="Arial" w:hAnsi="Arial" w:cs="Arial"/>
          <w:sz w:val="24"/>
          <w:szCs w:val="24"/>
        </w:rPr>
      </w:pPr>
      <w:r>
        <w:rPr>
          <w:rFonts w:ascii="Arial" w:hAnsi="Arial" w:cs="Arial"/>
          <w:sz w:val="24"/>
          <w:szCs w:val="24"/>
        </w:rPr>
        <w:t>(In Business Rescue)</w:t>
      </w:r>
      <w:r>
        <w:rPr>
          <w:rFonts w:ascii="Arial" w:hAnsi="Arial" w:cs="Arial"/>
          <w:sz w:val="24"/>
          <w:szCs w:val="24"/>
        </w:rPr>
        <w:tab/>
      </w:r>
      <w:r>
        <w:rPr>
          <w:rFonts w:ascii="Arial" w:hAnsi="Arial" w:cs="Arial"/>
          <w:sz w:val="24"/>
          <w:szCs w:val="24"/>
        </w:rPr>
        <w:tab/>
      </w:r>
      <w:r>
        <w:rPr>
          <w:rFonts w:ascii="Arial" w:hAnsi="Arial" w:cs="Arial"/>
          <w:sz w:val="24"/>
          <w:szCs w:val="24"/>
        </w:rPr>
        <w:tab/>
      </w:r>
    </w:p>
    <w:p w:rsidR="00815038" w:rsidRDefault="00815038" w:rsidP="00815038">
      <w:pPr>
        <w:spacing w:line="360" w:lineRule="auto"/>
        <w:rPr>
          <w:rFonts w:ascii="Arial" w:hAnsi="Arial" w:cs="Arial"/>
          <w:sz w:val="24"/>
          <w:szCs w:val="24"/>
        </w:rPr>
      </w:pPr>
      <w:r>
        <w:rPr>
          <w:rFonts w:ascii="Arial" w:hAnsi="Arial" w:cs="Arial"/>
          <w:sz w:val="24"/>
          <w:szCs w:val="24"/>
        </w:rPr>
        <w:t xml:space="preserve">And </w:t>
      </w:r>
    </w:p>
    <w:p w:rsidR="00815038" w:rsidRDefault="00815038" w:rsidP="00815038">
      <w:pPr>
        <w:spacing w:line="360" w:lineRule="auto"/>
        <w:rPr>
          <w:rFonts w:ascii="Arial" w:hAnsi="Arial" w:cs="Arial"/>
          <w:sz w:val="24"/>
          <w:szCs w:val="24"/>
        </w:rPr>
      </w:pPr>
      <w:r>
        <w:rPr>
          <w:rFonts w:ascii="Arial" w:hAnsi="Arial" w:cs="Arial"/>
          <w:sz w:val="24"/>
          <w:szCs w:val="24"/>
        </w:rPr>
        <w:t>STEYN CITY PROPERTIES (PTY) LTD</w:t>
      </w:r>
      <w:r>
        <w:rPr>
          <w:rFonts w:ascii="Arial" w:hAnsi="Arial" w:cs="Arial"/>
          <w:sz w:val="24"/>
          <w:szCs w:val="24"/>
        </w:rPr>
        <w:tab/>
      </w:r>
      <w:r>
        <w:rPr>
          <w:rFonts w:ascii="Arial" w:hAnsi="Arial" w:cs="Arial"/>
          <w:sz w:val="24"/>
          <w:szCs w:val="24"/>
        </w:rPr>
        <w:tab/>
        <w:t xml:space="preserve">            FIRST RESPONDENT</w:t>
      </w:r>
    </w:p>
    <w:p w:rsidR="00815038" w:rsidRDefault="00815038" w:rsidP="00815038">
      <w:pPr>
        <w:spacing w:line="360" w:lineRule="auto"/>
        <w:rPr>
          <w:rFonts w:ascii="Arial" w:hAnsi="Arial" w:cs="Arial"/>
          <w:sz w:val="24"/>
          <w:szCs w:val="24"/>
        </w:rPr>
      </w:pPr>
      <w:r>
        <w:rPr>
          <w:rFonts w:ascii="Arial" w:hAnsi="Arial" w:cs="Arial"/>
          <w:sz w:val="24"/>
          <w:szCs w:val="24"/>
        </w:rPr>
        <w:t>GAURDRISK INSURANCE COMPANY LTD</w:t>
      </w:r>
      <w:r>
        <w:rPr>
          <w:rFonts w:ascii="Arial" w:hAnsi="Arial" w:cs="Arial"/>
          <w:sz w:val="24"/>
          <w:szCs w:val="24"/>
        </w:rPr>
        <w:tab/>
        <w:t xml:space="preserve">       SECOND RESPONDENT</w:t>
      </w:r>
    </w:p>
    <w:p w:rsidR="00815038" w:rsidRDefault="00815038" w:rsidP="00815038">
      <w:pPr>
        <w:spacing w:line="360" w:lineRule="auto"/>
        <w:rPr>
          <w:rFonts w:ascii="Arial" w:hAnsi="Arial" w:cs="Arial"/>
          <w:sz w:val="24"/>
          <w:szCs w:val="24"/>
        </w:rPr>
      </w:pPr>
    </w:p>
    <w:p w:rsidR="00815038" w:rsidRDefault="00815038" w:rsidP="00815038">
      <w:pPr>
        <w:spacing w:line="360" w:lineRule="auto"/>
        <w:rPr>
          <w:rFonts w:ascii="Arial" w:hAnsi="Arial" w:cs="Arial"/>
          <w:b/>
          <w:sz w:val="24"/>
          <w:szCs w:val="24"/>
          <w:u w:val="single"/>
        </w:rPr>
      </w:pPr>
      <w:r w:rsidRPr="00AF538A">
        <w:rPr>
          <w:rFonts w:ascii="Arial" w:hAnsi="Arial" w:cs="Arial"/>
          <w:b/>
          <w:sz w:val="24"/>
          <w:szCs w:val="24"/>
          <w:u w:val="single"/>
        </w:rPr>
        <w:t>In re: The reconsideration application</w:t>
      </w:r>
    </w:p>
    <w:p w:rsidR="00815038" w:rsidRDefault="00815038" w:rsidP="00815038">
      <w:pPr>
        <w:spacing w:line="360" w:lineRule="auto"/>
        <w:rPr>
          <w:rFonts w:ascii="Arial" w:hAnsi="Arial" w:cs="Arial"/>
          <w:b/>
          <w:sz w:val="24"/>
          <w:szCs w:val="24"/>
          <w:u w:val="single"/>
        </w:rPr>
      </w:pPr>
    </w:p>
    <w:p w:rsidR="00815038" w:rsidRDefault="00815038" w:rsidP="00815038">
      <w:pPr>
        <w:spacing w:line="360" w:lineRule="auto"/>
        <w:rPr>
          <w:rFonts w:ascii="Arial" w:hAnsi="Arial" w:cs="Arial"/>
          <w:sz w:val="24"/>
          <w:szCs w:val="24"/>
        </w:rPr>
      </w:pPr>
      <w:r>
        <w:rPr>
          <w:rFonts w:ascii="Arial" w:hAnsi="Arial" w:cs="Arial"/>
          <w:sz w:val="24"/>
          <w:szCs w:val="24"/>
        </w:rPr>
        <w:t>STEYN CITY PROPERTIES (PTY) LTD</w:t>
      </w:r>
      <w:r>
        <w:rPr>
          <w:rFonts w:ascii="Arial" w:hAnsi="Arial" w:cs="Arial"/>
          <w:sz w:val="24"/>
          <w:szCs w:val="24"/>
        </w:rPr>
        <w:tab/>
      </w:r>
      <w:r>
        <w:rPr>
          <w:rFonts w:ascii="Arial" w:hAnsi="Arial" w:cs="Arial"/>
          <w:sz w:val="24"/>
          <w:szCs w:val="24"/>
        </w:rPr>
        <w:tab/>
        <w:t xml:space="preserve">                            APPLICANT</w:t>
      </w:r>
    </w:p>
    <w:p w:rsidR="00815038" w:rsidRDefault="00815038" w:rsidP="00815038">
      <w:pPr>
        <w:spacing w:line="360" w:lineRule="auto"/>
        <w:rPr>
          <w:rFonts w:ascii="Arial" w:hAnsi="Arial" w:cs="Arial"/>
          <w:sz w:val="24"/>
          <w:szCs w:val="24"/>
        </w:rPr>
      </w:pPr>
      <w:r>
        <w:rPr>
          <w:rFonts w:ascii="Arial" w:hAnsi="Arial" w:cs="Arial"/>
          <w:sz w:val="24"/>
          <w:szCs w:val="24"/>
        </w:rPr>
        <w:t xml:space="preserve">And </w:t>
      </w:r>
    </w:p>
    <w:p w:rsidR="00815038" w:rsidRDefault="00815038" w:rsidP="00815038">
      <w:pPr>
        <w:spacing w:line="360" w:lineRule="auto"/>
        <w:rPr>
          <w:rFonts w:ascii="Arial" w:hAnsi="Arial" w:cs="Arial"/>
          <w:sz w:val="24"/>
          <w:szCs w:val="24"/>
        </w:rPr>
      </w:pPr>
      <w:r>
        <w:rPr>
          <w:rFonts w:ascii="Arial" w:hAnsi="Arial" w:cs="Arial"/>
          <w:sz w:val="24"/>
          <w:szCs w:val="24"/>
        </w:rPr>
        <w:t>ETIENNE JACQUES NAUDE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FIRST RESPONDENT</w:t>
      </w:r>
    </w:p>
    <w:p w:rsidR="00815038" w:rsidRDefault="00815038" w:rsidP="00815038">
      <w:pPr>
        <w:spacing w:line="360" w:lineRule="auto"/>
        <w:rPr>
          <w:rFonts w:ascii="Arial" w:hAnsi="Arial" w:cs="Arial"/>
          <w:sz w:val="24"/>
          <w:szCs w:val="24"/>
        </w:rPr>
      </w:pPr>
      <w:r>
        <w:rPr>
          <w:rFonts w:ascii="Arial" w:hAnsi="Arial" w:cs="Arial"/>
          <w:sz w:val="24"/>
          <w:szCs w:val="24"/>
        </w:rPr>
        <w:lastRenderedPageBreak/>
        <w:t>GD IRONS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RESPONDENT</w:t>
      </w:r>
    </w:p>
    <w:p w:rsidR="00815038" w:rsidRDefault="00815038" w:rsidP="00815038">
      <w:pPr>
        <w:spacing w:line="360" w:lineRule="auto"/>
        <w:rPr>
          <w:rFonts w:ascii="Arial" w:hAnsi="Arial" w:cs="Arial"/>
          <w:sz w:val="24"/>
          <w:szCs w:val="24"/>
        </w:rPr>
      </w:pPr>
      <w:r>
        <w:rPr>
          <w:rFonts w:ascii="Arial" w:hAnsi="Arial" w:cs="Arial"/>
          <w:sz w:val="24"/>
          <w:szCs w:val="24"/>
        </w:rPr>
        <w:t>(In Business Rescue)</w:t>
      </w:r>
    </w:p>
    <w:p w:rsidR="00815038" w:rsidRDefault="00815038" w:rsidP="00815038">
      <w:pPr>
        <w:spacing w:line="360" w:lineRule="auto"/>
        <w:rPr>
          <w:rFonts w:ascii="Arial" w:hAnsi="Arial" w:cs="Arial"/>
          <w:sz w:val="24"/>
          <w:szCs w:val="24"/>
        </w:rPr>
      </w:pPr>
      <w:r>
        <w:rPr>
          <w:rFonts w:ascii="Arial" w:hAnsi="Arial" w:cs="Arial"/>
          <w:sz w:val="24"/>
          <w:szCs w:val="24"/>
        </w:rPr>
        <w:t>GUARDRISK INSURANCE COMPANY LTD</w:t>
      </w:r>
      <w:r>
        <w:rPr>
          <w:rFonts w:ascii="Arial" w:hAnsi="Arial" w:cs="Arial"/>
          <w:sz w:val="24"/>
          <w:szCs w:val="24"/>
        </w:rPr>
        <w:tab/>
        <w:t xml:space="preserve">           THIRD RESPONDENT</w:t>
      </w:r>
    </w:p>
    <w:p w:rsidR="00815038" w:rsidRDefault="00815038" w:rsidP="00815038">
      <w:pPr>
        <w:spacing w:line="360" w:lineRule="auto"/>
        <w:rPr>
          <w:rFonts w:ascii="Arial" w:hAnsi="Arial" w:cs="Arial"/>
          <w:sz w:val="24"/>
          <w:szCs w:val="24"/>
        </w:rPr>
      </w:pPr>
    </w:p>
    <w:p w:rsidR="00815038" w:rsidRDefault="00815038" w:rsidP="00815038">
      <w:pPr>
        <w:spacing w:line="360" w:lineRule="auto"/>
        <w:rPr>
          <w:rFonts w:ascii="Arial" w:hAnsi="Arial" w:cs="Arial"/>
          <w:b/>
          <w:sz w:val="24"/>
          <w:szCs w:val="24"/>
          <w:u w:val="single"/>
        </w:rPr>
      </w:pPr>
      <w:r w:rsidRPr="00001395">
        <w:rPr>
          <w:rFonts w:ascii="Arial" w:hAnsi="Arial" w:cs="Arial"/>
          <w:b/>
          <w:sz w:val="24"/>
          <w:szCs w:val="24"/>
          <w:u w:val="single"/>
        </w:rPr>
        <w:t>In re: The main application between:</w:t>
      </w:r>
    </w:p>
    <w:p w:rsidR="00815038" w:rsidRDefault="00815038" w:rsidP="00815038">
      <w:pPr>
        <w:spacing w:line="360" w:lineRule="auto"/>
        <w:rPr>
          <w:rFonts w:ascii="Arial" w:hAnsi="Arial" w:cs="Arial"/>
          <w:sz w:val="24"/>
          <w:szCs w:val="24"/>
        </w:rPr>
      </w:pPr>
      <w:r>
        <w:rPr>
          <w:rFonts w:ascii="Arial" w:hAnsi="Arial" w:cs="Arial"/>
          <w:sz w:val="24"/>
          <w:szCs w:val="24"/>
        </w:rPr>
        <w:t>ETIENNE JACQUES NAUDE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APPLICANT</w:t>
      </w:r>
    </w:p>
    <w:p w:rsidR="00815038" w:rsidRDefault="00815038" w:rsidP="00815038">
      <w:pPr>
        <w:spacing w:line="360" w:lineRule="auto"/>
        <w:rPr>
          <w:rFonts w:ascii="Arial" w:hAnsi="Arial" w:cs="Arial"/>
          <w:sz w:val="24"/>
          <w:szCs w:val="24"/>
        </w:rPr>
      </w:pPr>
      <w:r>
        <w:rPr>
          <w:rFonts w:ascii="Arial" w:hAnsi="Arial" w:cs="Arial"/>
          <w:sz w:val="24"/>
          <w:szCs w:val="24"/>
        </w:rPr>
        <w:t xml:space="preserve">And </w:t>
      </w:r>
    </w:p>
    <w:p w:rsidR="00815038" w:rsidRDefault="00815038" w:rsidP="00815038">
      <w:pPr>
        <w:spacing w:line="360" w:lineRule="auto"/>
        <w:rPr>
          <w:rFonts w:ascii="Arial" w:hAnsi="Arial" w:cs="Arial"/>
          <w:sz w:val="24"/>
          <w:szCs w:val="24"/>
        </w:rPr>
      </w:pPr>
      <w:r>
        <w:rPr>
          <w:rFonts w:ascii="Arial" w:hAnsi="Arial" w:cs="Arial"/>
          <w:sz w:val="24"/>
          <w:szCs w:val="24"/>
        </w:rPr>
        <w:t>GD IRONS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FIRST RESPONDENT</w:t>
      </w:r>
    </w:p>
    <w:p w:rsidR="00815038" w:rsidRDefault="00815038" w:rsidP="00815038">
      <w:pPr>
        <w:spacing w:line="360" w:lineRule="auto"/>
        <w:rPr>
          <w:rFonts w:ascii="Arial" w:hAnsi="Arial" w:cs="Arial"/>
          <w:sz w:val="24"/>
          <w:szCs w:val="24"/>
        </w:rPr>
      </w:pPr>
      <w:r>
        <w:rPr>
          <w:rFonts w:ascii="Arial" w:hAnsi="Arial" w:cs="Arial"/>
          <w:sz w:val="24"/>
          <w:szCs w:val="24"/>
        </w:rPr>
        <w:t>(In business Rescue)</w:t>
      </w:r>
    </w:p>
    <w:p w:rsidR="00815038" w:rsidRDefault="00815038" w:rsidP="00815038">
      <w:pPr>
        <w:spacing w:line="360" w:lineRule="auto"/>
        <w:rPr>
          <w:rFonts w:ascii="Arial" w:hAnsi="Arial" w:cs="Arial"/>
          <w:sz w:val="24"/>
          <w:szCs w:val="24"/>
        </w:rPr>
      </w:pPr>
      <w:r>
        <w:rPr>
          <w:rFonts w:ascii="Arial" w:hAnsi="Arial" w:cs="Arial"/>
          <w:sz w:val="24"/>
          <w:szCs w:val="24"/>
        </w:rPr>
        <w:t>GUARDRISK INSURANCE COMPANY LTD</w:t>
      </w:r>
      <w:r>
        <w:rPr>
          <w:rFonts w:ascii="Arial" w:hAnsi="Arial" w:cs="Arial"/>
          <w:sz w:val="24"/>
          <w:szCs w:val="24"/>
        </w:rPr>
        <w:tab/>
        <w:t xml:space="preserve">       SECOND RESPONDENT</w:t>
      </w:r>
    </w:p>
    <w:p w:rsidR="00815038" w:rsidRPr="00001395" w:rsidRDefault="00815038" w:rsidP="00815038">
      <w:pPr>
        <w:spacing w:line="360" w:lineRule="auto"/>
        <w:rPr>
          <w:rFonts w:ascii="Arial" w:hAnsi="Arial" w:cs="Arial"/>
          <w:sz w:val="24"/>
          <w:szCs w:val="24"/>
        </w:rPr>
      </w:pPr>
      <w:r>
        <w:rPr>
          <w:rFonts w:ascii="Arial" w:hAnsi="Arial" w:cs="Arial"/>
          <w:sz w:val="24"/>
          <w:szCs w:val="24"/>
        </w:rPr>
        <w:t>STEYN CITY PROPERTIES (PTY) LTD</w:t>
      </w:r>
      <w:r>
        <w:rPr>
          <w:rFonts w:ascii="Arial" w:hAnsi="Arial" w:cs="Arial"/>
          <w:sz w:val="24"/>
          <w:szCs w:val="24"/>
        </w:rPr>
        <w:tab/>
      </w:r>
      <w:r>
        <w:rPr>
          <w:rFonts w:ascii="Arial" w:hAnsi="Arial" w:cs="Arial"/>
          <w:sz w:val="24"/>
          <w:szCs w:val="24"/>
        </w:rPr>
        <w:tab/>
        <w:t xml:space="preserve">           THIRD RESPONDENT</w:t>
      </w:r>
    </w:p>
    <w:p w:rsidR="00815038" w:rsidRDefault="00815038" w:rsidP="00815038">
      <w:pPr>
        <w:spacing w:line="360" w:lineRule="auto"/>
        <w:rPr>
          <w:rFonts w:ascii="Arial" w:hAnsi="Arial" w:cs="Arial"/>
          <w:sz w:val="24"/>
          <w:szCs w:val="24"/>
        </w:rPr>
      </w:pPr>
    </w:p>
    <w:p w:rsidR="00815038" w:rsidRPr="00E22204" w:rsidRDefault="00815038" w:rsidP="00815038">
      <w:pPr>
        <w:pBdr>
          <w:top w:val="single" w:sz="12" w:space="1" w:color="auto"/>
          <w:bottom w:val="single" w:sz="12" w:space="1" w:color="auto"/>
        </w:pBdr>
        <w:spacing w:line="360" w:lineRule="auto"/>
        <w:jc w:val="center"/>
        <w:rPr>
          <w:rFonts w:ascii="Arial" w:hAnsi="Arial" w:cs="Arial"/>
          <w:b/>
          <w:sz w:val="24"/>
          <w:szCs w:val="24"/>
        </w:rPr>
      </w:pPr>
    </w:p>
    <w:p w:rsidR="00815038" w:rsidRPr="00E22204" w:rsidRDefault="00815038" w:rsidP="00815038">
      <w:pPr>
        <w:pBdr>
          <w:top w:val="single" w:sz="12" w:space="1" w:color="auto"/>
          <w:bottom w:val="single" w:sz="12" w:space="1" w:color="auto"/>
        </w:pBdr>
        <w:spacing w:line="360" w:lineRule="auto"/>
        <w:jc w:val="center"/>
        <w:rPr>
          <w:rFonts w:ascii="Arial" w:hAnsi="Arial" w:cs="Arial"/>
          <w:b/>
          <w:sz w:val="24"/>
          <w:szCs w:val="24"/>
        </w:rPr>
      </w:pPr>
      <w:r w:rsidRPr="00E22204">
        <w:rPr>
          <w:rFonts w:ascii="Arial" w:hAnsi="Arial" w:cs="Arial"/>
          <w:b/>
          <w:sz w:val="24"/>
          <w:szCs w:val="24"/>
        </w:rPr>
        <w:t>APPLICATION FOR LEAVE TO APPEAL JUDGMENT.</w:t>
      </w:r>
    </w:p>
    <w:p w:rsidR="00815038" w:rsidRDefault="00815038" w:rsidP="00815038">
      <w:pPr>
        <w:pBdr>
          <w:top w:val="single" w:sz="12" w:space="1" w:color="auto"/>
          <w:bottom w:val="single" w:sz="12" w:space="1" w:color="auto"/>
        </w:pBdr>
        <w:spacing w:line="360" w:lineRule="auto"/>
        <w:rPr>
          <w:rFonts w:ascii="Arial" w:hAnsi="Arial" w:cs="Arial"/>
          <w:sz w:val="24"/>
          <w:szCs w:val="24"/>
        </w:rPr>
      </w:pPr>
    </w:p>
    <w:p w:rsidR="00815038" w:rsidRDefault="00815038" w:rsidP="00815038">
      <w:pPr>
        <w:spacing w:after="0" w:line="360" w:lineRule="auto"/>
        <w:jc w:val="both"/>
        <w:rPr>
          <w:rFonts w:ascii="Arial" w:hAnsi="Arial" w:cs="Arial"/>
          <w:b/>
          <w:color w:val="000000"/>
          <w:sz w:val="24"/>
          <w:szCs w:val="24"/>
        </w:rPr>
      </w:pPr>
      <w:r>
        <w:rPr>
          <w:rFonts w:ascii="Arial" w:hAnsi="Arial" w:cs="Arial"/>
          <w:b/>
          <w:color w:val="000000"/>
          <w:sz w:val="24"/>
          <w:szCs w:val="24"/>
        </w:rPr>
        <w:t>KUBUSHI J</w:t>
      </w:r>
    </w:p>
    <w:p w:rsidR="00815038" w:rsidRDefault="00815038" w:rsidP="00815038">
      <w:pPr>
        <w:spacing w:after="0" w:line="360" w:lineRule="auto"/>
        <w:jc w:val="both"/>
        <w:rPr>
          <w:rFonts w:ascii="Arial" w:hAnsi="Arial" w:cs="Arial"/>
          <w:b/>
          <w:color w:val="000000"/>
          <w:sz w:val="24"/>
          <w:szCs w:val="24"/>
        </w:rPr>
      </w:pPr>
      <w:r>
        <w:rPr>
          <w:rFonts w:ascii="Arial" w:hAnsi="Arial" w:cs="Arial"/>
          <w:b/>
          <w:color w:val="000000"/>
          <w:sz w:val="24"/>
          <w:szCs w:val="24"/>
        </w:rPr>
        <w:t xml:space="preserve">Delivered:  </w:t>
      </w:r>
      <w:r>
        <w:rPr>
          <w:rFonts w:ascii="Arial" w:hAnsi="Arial" w:cs="Arial"/>
          <w:b/>
          <w:color w:val="000000"/>
          <w:sz w:val="24"/>
          <w:szCs w:val="24"/>
        </w:rPr>
        <w:tab/>
      </w:r>
      <w:r>
        <w:rPr>
          <w:rFonts w:ascii="Arial" w:hAnsi="Arial" w:cs="Arial"/>
          <w:color w:val="000000"/>
        </w:rPr>
        <w:t>This judgment was handed down electronically by circulation to the parties’ legal representatives by e-mail. The date and time for hand-down is deemed to be 10h00 on 22 June 2022.</w:t>
      </w:r>
    </w:p>
    <w:p w:rsidR="00815038" w:rsidRDefault="00815038" w:rsidP="00F6516A">
      <w:pPr>
        <w:spacing w:line="360" w:lineRule="auto"/>
        <w:jc w:val="both"/>
        <w:rPr>
          <w:rFonts w:ascii="Arial" w:hAnsi="Arial" w:cs="Arial"/>
          <w:sz w:val="24"/>
          <w:szCs w:val="24"/>
        </w:rPr>
      </w:pPr>
    </w:p>
    <w:p w:rsidR="00F6516A" w:rsidRPr="00815038" w:rsidRDefault="00815038" w:rsidP="00F6516A">
      <w:pPr>
        <w:spacing w:line="360" w:lineRule="auto"/>
        <w:jc w:val="both"/>
        <w:rPr>
          <w:rFonts w:ascii="Arial" w:hAnsi="Arial" w:cs="Arial"/>
          <w:sz w:val="24"/>
          <w:szCs w:val="24"/>
        </w:rPr>
      </w:pPr>
      <w:r w:rsidRPr="00815038">
        <w:rPr>
          <w:rFonts w:ascii="Arial" w:hAnsi="Arial" w:cs="Arial"/>
          <w:sz w:val="24"/>
          <w:szCs w:val="24"/>
        </w:rPr>
        <w:t>[1]</w:t>
      </w:r>
      <w:r w:rsidRPr="00815038">
        <w:rPr>
          <w:rFonts w:ascii="Arial" w:hAnsi="Arial" w:cs="Arial"/>
          <w:sz w:val="24"/>
          <w:szCs w:val="24"/>
        </w:rPr>
        <w:tab/>
      </w:r>
      <w:r w:rsidR="00F6516A" w:rsidRPr="00815038">
        <w:rPr>
          <w:rFonts w:ascii="Arial" w:hAnsi="Arial" w:cs="Arial"/>
          <w:sz w:val="24"/>
          <w:szCs w:val="24"/>
        </w:rPr>
        <w:t>The First and Second Applicants apply herein for leave to appeal to the Full Court of this Division alternatively the Supreme Court of Appeal, against the whole of the judgment and order, including the cost order granted by this court on 10 May 2022, under the abovementioned case number.</w:t>
      </w:r>
    </w:p>
    <w:p w:rsidR="00A373F2" w:rsidRPr="00815038" w:rsidRDefault="00815038" w:rsidP="00A373F2">
      <w:pPr>
        <w:spacing w:after="0" w:line="360" w:lineRule="auto"/>
        <w:jc w:val="both"/>
        <w:rPr>
          <w:rFonts w:ascii="Arial" w:hAnsi="Arial" w:cs="Arial"/>
          <w:sz w:val="24"/>
          <w:szCs w:val="24"/>
        </w:rPr>
      </w:pPr>
      <w:r w:rsidRPr="00815038">
        <w:rPr>
          <w:rFonts w:ascii="Arial" w:hAnsi="Arial" w:cs="Arial"/>
          <w:sz w:val="24"/>
          <w:szCs w:val="24"/>
        </w:rPr>
        <w:lastRenderedPageBreak/>
        <w:t>[2]</w:t>
      </w:r>
      <w:r w:rsidRPr="00815038">
        <w:rPr>
          <w:rFonts w:ascii="Arial" w:hAnsi="Arial" w:cs="Arial"/>
          <w:sz w:val="24"/>
          <w:szCs w:val="24"/>
        </w:rPr>
        <w:tab/>
      </w:r>
      <w:r w:rsidR="00A373F2" w:rsidRPr="00815038">
        <w:rPr>
          <w:rFonts w:ascii="Arial" w:hAnsi="Arial" w:cs="Arial"/>
          <w:sz w:val="24"/>
          <w:szCs w:val="24"/>
        </w:rPr>
        <w:t xml:space="preserve">This court directed that the application be determined on the papers filed on Caselines without oral hearing as provided for in the Division’s Consolidated Directives re Court Operations during the National State of Disaster as issued by the Judge President. </w:t>
      </w:r>
    </w:p>
    <w:p w:rsidR="00815038" w:rsidRDefault="00815038" w:rsidP="00DF02CE">
      <w:pPr>
        <w:spacing w:line="360" w:lineRule="auto"/>
        <w:jc w:val="both"/>
        <w:rPr>
          <w:rFonts w:ascii="Arial" w:hAnsi="Arial" w:cs="Arial"/>
          <w:sz w:val="24"/>
          <w:szCs w:val="24"/>
        </w:rPr>
      </w:pPr>
    </w:p>
    <w:p w:rsidR="00DF02CE" w:rsidRPr="00815038" w:rsidRDefault="00815038" w:rsidP="00DF02CE">
      <w:pPr>
        <w:spacing w:line="360" w:lineRule="auto"/>
        <w:jc w:val="both"/>
        <w:rPr>
          <w:rFonts w:ascii="Arial" w:hAnsi="Arial" w:cs="Arial"/>
          <w:sz w:val="24"/>
          <w:szCs w:val="24"/>
        </w:rPr>
      </w:pPr>
      <w:r w:rsidRPr="00815038">
        <w:rPr>
          <w:rFonts w:ascii="Arial" w:hAnsi="Arial" w:cs="Arial"/>
          <w:sz w:val="24"/>
          <w:szCs w:val="24"/>
        </w:rPr>
        <w:t>[3]</w:t>
      </w:r>
      <w:r w:rsidRPr="00815038">
        <w:rPr>
          <w:rFonts w:ascii="Arial" w:hAnsi="Arial" w:cs="Arial"/>
          <w:sz w:val="24"/>
          <w:szCs w:val="24"/>
        </w:rPr>
        <w:tab/>
      </w:r>
      <w:r w:rsidR="00023C4A" w:rsidRPr="00815038">
        <w:rPr>
          <w:rFonts w:ascii="Arial" w:hAnsi="Arial" w:cs="Arial"/>
          <w:sz w:val="24"/>
          <w:szCs w:val="24"/>
        </w:rPr>
        <w:t xml:space="preserve">Pursuant to a court order granted by Millar J in the urgent court on </w:t>
      </w:r>
      <w:r w:rsidR="00AB50F4">
        <w:rPr>
          <w:rFonts w:ascii="Arial" w:hAnsi="Arial" w:cs="Arial"/>
          <w:sz w:val="24"/>
          <w:szCs w:val="24"/>
        </w:rPr>
        <w:t xml:space="preserve">         </w:t>
      </w:r>
      <w:r w:rsidR="00023C4A" w:rsidRPr="00815038">
        <w:rPr>
          <w:rFonts w:ascii="Arial" w:hAnsi="Arial" w:cs="Arial"/>
          <w:sz w:val="24"/>
          <w:szCs w:val="24"/>
        </w:rPr>
        <w:t>28 April 2022</w:t>
      </w:r>
      <w:r w:rsidR="00DF02CE" w:rsidRPr="00815038">
        <w:rPr>
          <w:rFonts w:ascii="Arial" w:hAnsi="Arial" w:cs="Arial"/>
          <w:sz w:val="24"/>
          <w:szCs w:val="24"/>
        </w:rPr>
        <w:t xml:space="preserve"> (“the court order”)</w:t>
      </w:r>
      <w:r w:rsidR="00A76754" w:rsidRPr="00815038">
        <w:rPr>
          <w:rFonts w:ascii="Arial" w:hAnsi="Arial" w:cs="Arial"/>
          <w:sz w:val="24"/>
          <w:szCs w:val="24"/>
        </w:rPr>
        <w:t>,</w:t>
      </w:r>
      <w:r w:rsidR="00023C4A" w:rsidRPr="00815038">
        <w:rPr>
          <w:rFonts w:ascii="Arial" w:hAnsi="Arial" w:cs="Arial"/>
          <w:sz w:val="24"/>
          <w:szCs w:val="24"/>
        </w:rPr>
        <w:t xml:space="preserve"> the </w:t>
      </w:r>
      <w:r w:rsidR="00DF02CE" w:rsidRPr="00815038">
        <w:rPr>
          <w:rFonts w:ascii="Arial" w:hAnsi="Arial" w:cs="Arial"/>
          <w:sz w:val="24"/>
          <w:szCs w:val="24"/>
        </w:rPr>
        <w:t xml:space="preserve">first respondent </w:t>
      </w:r>
      <w:r w:rsidR="00023C4A" w:rsidRPr="00815038">
        <w:rPr>
          <w:rFonts w:ascii="Arial" w:hAnsi="Arial" w:cs="Arial"/>
          <w:sz w:val="24"/>
          <w:szCs w:val="24"/>
        </w:rPr>
        <w:t xml:space="preserve">Steyn City Properties (Pty) Limited, (“Steyn City”), approached this court on 5 May 2022, </w:t>
      </w:r>
      <w:r w:rsidR="00DF02CE" w:rsidRPr="00815038">
        <w:rPr>
          <w:rFonts w:ascii="Arial" w:hAnsi="Arial" w:cs="Arial"/>
          <w:sz w:val="24"/>
          <w:szCs w:val="24"/>
        </w:rPr>
        <w:t xml:space="preserve">in terms of Uniform Rule 6(12) (c) </w:t>
      </w:r>
      <w:r w:rsidR="00A76754" w:rsidRPr="00815038">
        <w:rPr>
          <w:rFonts w:ascii="Arial" w:hAnsi="Arial" w:cs="Arial"/>
          <w:sz w:val="24"/>
          <w:szCs w:val="24"/>
        </w:rPr>
        <w:t>for the reconsideration of the</w:t>
      </w:r>
      <w:r w:rsidR="00023C4A" w:rsidRPr="00815038">
        <w:rPr>
          <w:rFonts w:ascii="Arial" w:hAnsi="Arial" w:cs="Arial"/>
          <w:sz w:val="24"/>
          <w:szCs w:val="24"/>
        </w:rPr>
        <w:t xml:space="preserve"> court order</w:t>
      </w:r>
      <w:r w:rsidR="00DF02CE" w:rsidRPr="00815038">
        <w:rPr>
          <w:rFonts w:ascii="Arial" w:hAnsi="Arial" w:cs="Arial"/>
          <w:sz w:val="24"/>
          <w:szCs w:val="24"/>
        </w:rPr>
        <w:t xml:space="preserve"> together with the discharge and setting aside of the court order, the dismissal of the main application and an order of costs on a punitive scale</w:t>
      </w:r>
      <w:r w:rsidR="00023C4A" w:rsidRPr="00815038">
        <w:rPr>
          <w:rFonts w:ascii="Arial" w:hAnsi="Arial" w:cs="Arial"/>
          <w:sz w:val="24"/>
          <w:szCs w:val="24"/>
        </w:rPr>
        <w:t>.</w:t>
      </w:r>
      <w:r w:rsidR="00A76754" w:rsidRPr="00815038">
        <w:rPr>
          <w:rFonts w:ascii="Arial" w:hAnsi="Arial" w:cs="Arial"/>
          <w:sz w:val="24"/>
          <w:szCs w:val="24"/>
        </w:rPr>
        <w:t xml:space="preserve"> </w:t>
      </w:r>
      <w:r w:rsidR="00DF02CE" w:rsidRPr="00815038">
        <w:rPr>
          <w:rFonts w:ascii="Arial" w:hAnsi="Arial" w:cs="Arial"/>
          <w:sz w:val="24"/>
          <w:szCs w:val="24"/>
        </w:rPr>
        <w:t xml:space="preserve">The </w:t>
      </w:r>
      <w:r w:rsidR="00A76754" w:rsidRPr="00815038">
        <w:rPr>
          <w:rFonts w:ascii="Arial" w:hAnsi="Arial" w:cs="Arial"/>
          <w:sz w:val="24"/>
          <w:szCs w:val="24"/>
        </w:rPr>
        <w:t>court order</w:t>
      </w:r>
      <w:r w:rsidR="00DF02CE" w:rsidRPr="00815038">
        <w:rPr>
          <w:rFonts w:ascii="Arial" w:hAnsi="Arial" w:cs="Arial"/>
          <w:sz w:val="24"/>
          <w:szCs w:val="24"/>
        </w:rPr>
        <w:t xml:space="preserve">, </w:t>
      </w:r>
      <w:r w:rsidR="00DF02CE" w:rsidRPr="00815038">
        <w:rPr>
          <w:rFonts w:ascii="Arial" w:hAnsi="Arial" w:cs="Arial"/>
          <w:i/>
          <w:sz w:val="24"/>
          <w:szCs w:val="24"/>
        </w:rPr>
        <w:t>inter</w:t>
      </w:r>
      <w:r w:rsidR="00DF02CE" w:rsidRPr="00815038">
        <w:rPr>
          <w:rFonts w:ascii="Arial" w:hAnsi="Arial" w:cs="Arial"/>
          <w:sz w:val="24"/>
          <w:szCs w:val="24"/>
        </w:rPr>
        <w:t xml:space="preserve"> </w:t>
      </w:r>
      <w:r w:rsidR="00DF02CE" w:rsidRPr="00815038">
        <w:rPr>
          <w:rFonts w:ascii="Arial" w:hAnsi="Arial" w:cs="Arial"/>
          <w:i/>
          <w:sz w:val="24"/>
          <w:szCs w:val="24"/>
        </w:rPr>
        <w:t>alia,</w:t>
      </w:r>
      <w:r w:rsidR="00DF02CE" w:rsidRPr="00815038">
        <w:rPr>
          <w:rFonts w:ascii="Arial" w:hAnsi="Arial" w:cs="Arial"/>
          <w:sz w:val="24"/>
          <w:szCs w:val="24"/>
        </w:rPr>
        <w:t xml:space="preserve"> prohibited the second respondent, Guardrisk Insurance Company Limited (“Guardrisk”), from paying an amount of R60 million to Steyn City. </w:t>
      </w:r>
    </w:p>
    <w:p w:rsidR="00815038" w:rsidRDefault="00815038" w:rsidP="00F6516A">
      <w:pPr>
        <w:spacing w:line="360" w:lineRule="auto"/>
        <w:jc w:val="both"/>
        <w:rPr>
          <w:rFonts w:ascii="Arial" w:hAnsi="Arial" w:cs="Arial"/>
          <w:sz w:val="24"/>
          <w:szCs w:val="24"/>
        </w:rPr>
      </w:pPr>
    </w:p>
    <w:p w:rsidR="00023C4A" w:rsidRPr="00815038" w:rsidRDefault="00815038" w:rsidP="00F6516A">
      <w:pPr>
        <w:spacing w:line="360" w:lineRule="auto"/>
        <w:jc w:val="both"/>
        <w:rPr>
          <w:rFonts w:ascii="Arial" w:hAnsi="Arial" w:cs="Arial"/>
          <w:sz w:val="24"/>
          <w:szCs w:val="24"/>
        </w:rPr>
      </w:pPr>
      <w:r w:rsidRPr="00815038">
        <w:rPr>
          <w:rFonts w:ascii="Arial" w:hAnsi="Arial" w:cs="Arial"/>
          <w:sz w:val="24"/>
          <w:szCs w:val="24"/>
        </w:rPr>
        <w:t>[4]</w:t>
      </w:r>
      <w:r w:rsidRPr="00815038">
        <w:rPr>
          <w:rFonts w:ascii="Arial" w:hAnsi="Arial" w:cs="Arial"/>
          <w:sz w:val="24"/>
          <w:szCs w:val="24"/>
        </w:rPr>
        <w:tab/>
      </w:r>
      <w:r w:rsidR="00A76754" w:rsidRPr="00815038">
        <w:rPr>
          <w:rFonts w:ascii="Arial" w:hAnsi="Arial" w:cs="Arial"/>
          <w:sz w:val="24"/>
          <w:szCs w:val="24"/>
        </w:rPr>
        <w:t>The application emanated from a contract awarded by Steyn City, to the second applicant, GD Irons (Pty) Limited [now in business rescue] (“GD Irons”) for the construction of upmarket high-rise apartments.  As liability for any debt that may ensue from the contract against GD Irons in favour of Steyn City, Guardrisk issued a Constructio</w:t>
      </w:r>
      <w:r w:rsidR="00FF6412" w:rsidRPr="00815038">
        <w:rPr>
          <w:rFonts w:ascii="Arial" w:hAnsi="Arial" w:cs="Arial"/>
          <w:sz w:val="24"/>
          <w:szCs w:val="24"/>
        </w:rPr>
        <w:t xml:space="preserve">n Guarantee (“the Guarantee”). </w:t>
      </w:r>
    </w:p>
    <w:p w:rsidR="00815038" w:rsidRDefault="00815038" w:rsidP="00342423">
      <w:pPr>
        <w:spacing w:line="360" w:lineRule="auto"/>
        <w:jc w:val="both"/>
        <w:rPr>
          <w:rFonts w:ascii="Arial" w:hAnsi="Arial" w:cs="Arial"/>
          <w:sz w:val="24"/>
          <w:szCs w:val="24"/>
        </w:rPr>
      </w:pPr>
    </w:p>
    <w:p w:rsidR="003A1339" w:rsidRPr="00815038" w:rsidRDefault="00815038" w:rsidP="00342423">
      <w:pPr>
        <w:spacing w:line="360" w:lineRule="auto"/>
        <w:jc w:val="both"/>
        <w:rPr>
          <w:rFonts w:ascii="Arial" w:hAnsi="Arial" w:cs="Arial"/>
          <w:sz w:val="24"/>
          <w:szCs w:val="24"/>
        </w:rPr>
      </w:pPr>
      <w:r w:rsidRPr="00815038">
        <w:rPr>
          <w:rFonts w:ascii="Arial" w:hAnsi="Arial" w:cs="Arial"/>
          <w:sz w:val="24"/>
          <w:szCs w:val="24"/>
        </w:rPr>
        <w:t>[5]</w:t>
      </w:r>
      <w:r w:rsidRPr="00815038">
        <w:rPr>
          <w:rFonts w:ascii="Arial" w:hAnsi="Arial" w:cs="Arial"/>
          <w:sz w:val="24"/>
          <w:szCs w:val="24"/>
        </w:rPr>
        <w:tab/>
      </w:r>
      <w:r w:rsidR="00023C4A" w:rsidRPr="00815038">
        <w:rPr>
          <w:rFonts w:ascii="Arial" w:hAnsi="Arial" w:cs="Arial"/>
          <w:sz w:val="24"/>
          <w:szCs w:val="24"/>
        </w:rPr>
        <w:t>The grounds of</w:t>
      </w:r>
      <w:r w:rsidR="00342423" w:rsidRPr="00815038">
        <w:rPr>
          <w:rFonts w:ascii="Arial" w:hAnsi="Arial" w:cs="Arial"/>
          <w:sz w:val="24"/>
          <w:szCs w:val="24"/>
        </w:rPr>
        <w:t xml:space="preserve"> appeal </w:t>
      </w:r>
      <w:r w:rsidR="00023C4A" w:rsidRPr="00815038">
        <w:rPr>
          <w:rFonts w:ascii="Arial" w:hAnsi="Arial" w:cs="Arial"/>
          <w:sz w:val="24"/>
          <w:szCs w:val="24"/>
        </w:rPr>
        <w:t>stated in the application for leave to appeal are divid</w:t>
      </w:r>
      <w:r w:rsidR="00342423" w:rsidRPr="00815038">
        <w:rPr>
          <w:rFonts w:ascii="Arial" w:hAnsi="Arial" w:cs="Arial"/>
          <w:sz w:val="24"/>
          <w:szCs w:val="24"/>
        </w:rPr>
        <w:t xml:space="preserve">able into two </w:t>
      </w:r>
      <w:r w:rsidR="00023C4A" w:rsidRPr="00815038">
        <w:rPr>
          <w:rFonts w:ascii="Arial" w:hAnsi="Arial" w:cs="Arial"/>
          <w:sz w:val="24"/>
          <w:szCs w:val="24"/>
        </w:rPr>
        <w:t xml:space="preserve">main </w:t>
      </w:r>
      <w:r w:rsidR="00342423" w:rsidRPr="00815038">
        <w:rPr>
          <w:rFonts w:ascii="Arial" w:hAnsi="Arial" w:cs="Arial"/>
          <w:sz w:val="24"/>
          <w:szCs w:val="24"/>
        </w:rPr>
        <w:t>sections, na</w:t>
      </w:r>
      <w:r w:rsidR="00023C4A" w:rsidRPr="00815038">
        <w:rPr>
          <w:rFonts w:ascii="Arial" w:hAnsi="Arial" w:cs="Arial"/>
          <w:sz w:val="24"/>
          <w:szCs w:val="24"/>
        </w:rPr>
        <w:t>mely, those that relate to the G</w:t>
      </w:r>
      <w:r w:rsidR="00342423" w:rsidRPr="00815038">
        <w:rPr>
          <w:rFonts w:ascii="Arial" w:hAnsi="Arial" w:cs="Arial"/>
          <w:sz w:val="24"/>
          <w:szCs w:val="24"/>
        </w:rPr>
        <w:t>uarant</w:t>
      </w:r>
      <w:r w:rsidR="00023C4A" w:rsidRPr="00815038">
        <w:rPr>
          <w:rFonts w:ascii="Arial" w:hAnsi="Arial" w:cs="Arial"/>
          <w:sz w:val="24"/>
          <w:szCs w:val="24"/>
        </w:rPr>
        <w:t xml:space="preserve">ee and those that are premised on </w:t>
      </w:r>
      <w:r w:rsidR="00342423" w:rsidRPr="00815038">
        <w:rPr>
          <w:rFonts w:ascii="Arial" w:hAnsi="Arial" w:cs="Arial"/>
          <w:sz w:val="24"/>
          <w:szCs w:val="24"/>
        </w:rPr>
        <w:t xml:space="preserve">section 133 of the </w:t>
      </w:r>
      <w:r w:rsidR="00B0793E" w:rsidRPr="00815038">
        <w:rPr>
          <w:rFonts w:ascii="Arial" w:hAnsi="Arial" w:cs="Arial"/>
          <w:sz w:val="24"/>
          <w:szCs w:val="24"/>
        </w:rPr>
        <w:t xml:space="preserve">Companies </w:t>
      </w:r>
      <w:r w:rsidR="00342423" w:rsidRPr="00815038">
        <w:rPr>
          <w:rFonts w:ascii="Arial" w:hAnsi="Arial" w:cs="Arial"/>
          <w:sz w:val="24"/>
          <w:szCs w:val="24"/>
        </w:rPr>
        <w:t>Act</w:t>
      </w:r>
      <w:r w:rsidR="00B0793E" w:rsidRPr="00815038">
        <w:rPr>
          <w:rFonts w:ascii="Arial" w:hAnsi="Arial" w:cs="Arial"/>
          <w:sz w:val="24"/>
          <w:szCs w:val="24"/>
        </w:rPr>
        <w:t xml:space="preserve"> 71 of 2008 (“the Companies Act”)</w:t>
      </w:r>
      <w:r w:rsidR="00342423" w:rsidRPr="00815038">
        <w:rPr>
          <w:rFonts w:ascii="Arial" w:hAnsi="Arial" w:cs="Arial"/>
          <w:sz w:val="24"/>
          <w:szCs w:val="24"/>
        </w:rPr>
        <w:t>.</w:t>
      </w:r>
    </w:p>
    <w:p w:rsidR="00815038" w:rsidRDefault="00815038" w:rsidP="00342423">
      <w:pPr>
        <w:spacing w:line="360" w:lineRule="auto"/>
        <w:jc w:val="both"/>
        <w:rPr>
          <w:rFonts w:ascii="Arial" w:hAnsi="Arial" w:cs="Arial"/>
          <w:sz w:val="24"/>
          <w:szCs w:val="24"/>
        </w:rPr>
      </w:pPr>
    </w:p>
    <w:p w:rsidR="00342423" w:rsidRPr="00815038" w:rsidRDefault="00815038" w:rsidP="00342423">
      <w:pPr>
        <w:spacing w:line="360" w:lineRule="auto"/>
        <w:jc w:val="both"/>
        <w:rPr>
          <w:rFonts w:ascii="Arial" w:hAnsi="Arial" w:cs="Arial"/>
          <w:sz w:val="24"/>
          <w:szCs w:val="24"/>
        </w:rPr>
      </w:pPr>
      <w:r w:rsidRPr="00815038">
        <w:rPr>
          <w:rFonts w:ascii="Arial" w:hAnsi="Arial" w:cs="Arial"/>
          <w:sz w:val="24"/>
          <w:szCs w:val="24"/>
        </w:rPr>
        <w:t>[6]</w:t>
      </w:r>
      <w:r w:rsidRPr="00815038">
        <w:rPr>
          <w:rFonts w:ascii="Arial" w:hAnsi="Arial" w:cs="Arial"/>
          <w:sz w:val="24"/>
          <w:szCs w:val="24"/>
        </w:rPr>
        <w:tab/>
      </w:r>
      <w:r w:rsidR="00342423" w:rsidRPr="00815038">
        <w:rPr>
          <w:rFonts w:ascii="Arial" w:hAnsi="Arial" w:cs="Arial"/>
          <w:sz w:val="24"/>
          <w:szCs w:val="24"/>
        </w:rPr>
        <w:t>The grounds</w:t>
      </w:r>
      <w:r w:rsidR="00B0793E" w:rsidRPr="00815038">
        <w:rPr>
          <w:rFonts w:ascii="Arial" w:hAnsi="Arial" w:cs="Arial"/>
          <w:sz w:val="24"/>
          <w:szCs w:val="24"/>
        </w:rPr>
        <w:t xml:space="preserve"> of appeal that relates to the G</w:t>
      </w:r>
      <w:r w:rsidR="00342423" w:rsidRPr="00815038">
        <w:rPr>
          <w:rFonts w:ascii="Arial" w:hAnsi="Arial" w:cs="Arial"/>
          <w:sz w:val="24"/>
          <w:szCs w:val="24"/>
        </w:rPr>
        <w:t>uarantee are stated as follows:</w:t>
      </w:r>
    </w:p>
    <w:p w:rsidR="00815038" w:rsidRPr="00815038" w:rsidRDefault="00815038" w:rsidP="00815038">
      <w:pPr>
        <w:pStyle w:val="ListParagraph"/>
        <w:numPr>
          <w:ilvl w:val="1"/>
          <w:numId w:val="2"/>
        </w:numPr>
        <w:spacing w:line="360" w:lineRule="auto"/>
        <w:ind w:left="1418" w:hanging="698"/>
        <w:jc w:val="both"/>
        <w:rPr>
          <w:rFonts w:ascii="Arial" w:hAnsi="Arial" w:cs="Arial"/>
          <w:sz w:val="24"/>
          <w:szCs w:val="24"/>
        </w:rPr>
      </w:pPr>
      <w:r w:rsidRPr="00815038">
        <w:rPr>
          <w:rFonts w:ascii="Arial" w:hAnsi="Arial" w:cs="Arial"/>
          <w:sz w:val="24"/>
          <w:szCs w:val="24"/>
        </w:rPr>
        <w:lastRenderedPageBreak/>
        <w:tab/>
      </w:r>
      <w:r w:rsidR="00342423" w:rsidRPr="00815038">
        <w:rPr>
          <w:rFonts w:ascii="Arial" w:hAnsi="Arial" w:cs="Arial"/>
          <w:sz w:val="24"/>
          <w:szCs w:val="24"/>
        </w:rPr>
        <w:t>The Honourable Court erred in not giving any consideration to the contents of the payment certificate, and the fact that the payment certificate, on the face of it and in accordance with the interpretation thereof, authorised payment to the contractor and not the employer, and that the payment certificate could therefore not be relied upon for purposes of payment of the guarantee.</w:t>
      </w:r>
    </w:p>
    <w:p w:rsidR="00815038" w:rsidRPr="00815038" w:rsidRDefault="00342423" w:rsidP="00815038">
      <w:pPr>
        <w:pStyle w:val="ListParagraph"/>
        <w:numPr>
          <w:ilvl w:val="1"/>
          <w:numId w:val="2"/>
        </w:numPr>
        <w:spacing w:line="360" w:lineRule="auto"/>
        <w:ind w:left="1418" w:hanging="698"/>
        <w:jc w:val="both"/>
        <w:rPr>
          <w:rFonts w:ascii="Arial" w:hAnsi="Arial" w:cs="Arial"/>
          <w:sz w:val="24"/>
          <w:szCs w:val="24"/>
        </w:rPr>
      </w:pPr>
      <w:r w:rsidRPr="00815038">
        <w:rPr>
          <w:rFonts w:ascii="Arial" w:hAnsi="Arial" w:cs="Arial"/>
          <w:sz w:val="24"/>
          <w:szCs w:val="24"/>
        </w:rPr>
        <w:t>The Honourable Court erred in not giving proper consideration to the fact that the requirements of the guarantee for payment were not strictly complied with, as is required by law to justify payment on the guarantee.</w:t>
      </w:r>
    </w:p>
    <w:p w:rsidR="00342423" w:rsidRPr="00815038" w:rsidRDefault="00342423" w:rsidP="00815038">
      <w:pPr>
        <w:pStyle w:val="ListParagraph"/>
        <w:numPr>
          <w:ilvl w:val="1"/>
          <w:numId w:val="2"/>
        </w:numPr>
        <w:spacing w:line="360" w:lineRule="auto"/>
        <w:ind w:left="1418" w:hanging="698"/>
        <w:jc w:val="both"/>
        <w:rPr>
          <w:rFonts w:ascii="Arial" w:hAnsi="Arial" w:cs="Arial"/>
          <w:sz w:val="24"/>
          <w:szCs w:val="24"/>
        </w:rPr>
      </w:pPr>
      <w:r w:rsidRPr="00815038">
        <w:rPr>
          <w:rFonts w:ascii="Arial" w:hAnsi="Arial" w:cs="Arial"/>
          <w:sz w:val="24"/>
          <w:szCs w:val="24"/>
        </w:rPr>
        <w:t>The Honourable Court erred in not having found that the guarantee was accessory in nature</w:t>
      </w:r>
      <w:r w:rsidR="00B0793E" w:rsidRPr="00815038">
        <w:rPr>
          <w:rFonts w:ascii="Arial" w:hAnsi="Arial" w:cs="Arial"/>
          <w:sz w:val="24"/>
          <w:szCs w:val="24"/>
        </w:rPr>
        <w:t>,</w:t>
      </w:r>
      <w:r w:rsidRPr="00815038">
        <w:rPr>
          <w:rFonts w:ascii="Arial" w:hAnsi="Arial" w:cs="Arial"/>
          <w:sz w:val="24"/>
          <w:szCs w:val="24"/>
        </w:rPr>
        <w:t xml:space="preserve"> and not of such a nature that it created principal obligations, and therefore erred in its conclusion in paragraph [31] of the reasons for the judgment.</w:t>
      </w:r>
    </w:p>
    <w:p w:rsidR="00815038" w:rsidRDefault="00815038" w:rsidP="00342423">
      <w:pPr>
        <w:spacing w:line="360" w:lineRule="auto"/>
        <w:jc w:val="both"/>
        <w:rPr>
          <w:rFonts w:ascii="Arial" w:hAnsi="Arial" w:cs="Arial"/>
          <w:sz w:val="24"/>
          <w:szCs w:val="24"/>
        </w:rPr>
      </w:pPr>
    </w:p>
    <w:p w:rsidR="00342423" w:rsidRPr="00815038" w:rsidRDefault="00815038" w:rsidP="00342423">
      <w:pPr>
        <w:spacing w:line="360" w:lineRule="auto"/>
        <w:jc w:val="both"/>
        <w:rPr>
          <w:rFonts w:ascii="Arial" w:hAnsi="Arial" w:cs="Arial"/>
          <w:sz w:val="24"/>
          <w:szCs w:val="24"/>
        </w:rPr>
      </w:pPr>
      <w:r w:rsidRPr="00815038">
        <w:rPr>
          <w:rFonts w:ascii="Arial" w:hAnsi="Arial" w:cs="Arial"/>
          <w:sz w:val="24"/>
          <w:szCs w:val="24"/>
        </w:rPr>
        <w:t>[7]</w:t>
      </w:r>
      <w:r w:rsidRPr="00815038">
        <w:rPr>
          <w:rFonts w:ascii="Arial" w:hAnsi="Arial" w:cs="Arial"/>
          <w:sz w:val="24"/>
          <w:szCs w:val="24"/>
        </w:rPr>
        <w:tab/>
      </w:r>
      <w:r w:rsidR="00342423" w:rsidRPr="00815038">
        <w:rPr>
          <w:rFonts w:ascii="Arial" w:hAnsi="Arial" w:cs="Arial"/>
          <w:sz w:val="24"/>
          <w:szCs w:val="24"/>
        </w:rPr>
        <w:t>This court has in the reasons provided on 23 May 2022 as to why it granted the order it did on 10 May 2022 dealt in depth with the issue of the Guarantee</w:t>
      </w:r>
      <w:r w:rsidR="00B0793E" w:rsidRPr="00815038">
        <w:rPr>
          <w:rFonts w:ascii="Arial" w:hAnsi="Arial" w:cs="Arial"/>
          <w:sz w:val="24"/>
          <w:szCs w:val="24"/>
        </w:rPr>
        <w:t>,</w:t>
      </w:r>
      <w:r w:rsidR="00342423" w:rsidRPr="00815038">
        <w:rPr>
          <w:rFonts w:ascii="Arial" w:hAnsi="Arial" w:cs="Arial"/>
          <w:sz w:val="24"/>
          <w:szCs w:val="24"/>
        </w:rPr>
        <w:t xml:space="preserve"> as it was raised in the applicants’ papers that served before this court. The essence of the court’s reasoning why it did not consider this argument by the applicants</w:t>
      </w:r>
      <w:r w:rsidR="00AB50F4">
        <w:rPr>
          <w:rFonts w:ascii="Arial" w:hAnsi="Arial" w:cs="Arial"/>
          <w:sz w:val="24"/>
          <w:szCs w:val="24"/>
        </w:rPr>
        <w:t xml:space="preserve"> in their favour,</w:t>
      </w:r>
      <w:r w:rsidR="00342423" w:rsidRPr="00815038">
        <w:rPr>
          <w:rFonts w:ascii="Arial" w:hAnsi="Arial" w:cs="Arial"/>
          <w:sz w:val="24"/>
          <w:szCs w:val="24"/>
        </w:rPr>
        <w:t xml:space="preserve"> is clearly stated in paragraphs [31] and [32] of the reasons as follows:</w:t>
      </w:r>
    </w:p>
    <w:p w:rsidR="00342423" w:rsidRPr="00815038" w:rsidRDefault="00342423" w:rsidP="00342423">
      <w:pPr>
        <w:spacing w:line="360" w:lineRule="auto"/>
        <w:ind w:left="1440" w:hanging="720"/>
        <w:jc w:val="both"/>
        <w:rPr>
          <w:rFonts w:ascii="Arial" w:hAnsi="Arial" w:cs="Arial"/>
          <w:sz w:val="20"/>
          <w:szCs w:val="20"/>
        </w:rPr>
      </w:pPr>
      <w:r w:rsidRPr="00815038">
        <w:rPr>
          <w:rFonts w:ascii="Arial" w:hAnsi="Arial" w:cs="Arial"/>
          <w:sz w:val="20"/>
          <w:szCs w:val="20"/>
        </w:rPr>
        <w:t>“[31]</w:t>
      </w:r>
      <w:r w:rsidRPr="00815038">
        <w:rPr>
          <w:rFonts w:ascii="Arial" w:hAnsi="Arial" w:cs="Arial"/>
          <w:sz w:val="20"/>
          <w:szCs w:val="20"/>
        </w:rPr>
        <w:tab/>
        <w:t>In addition, from the simple interpretation of the Guarantee it is understandable that Guardrisk’s liability under the Guarantee was principal and not accessory in nature, and therefore, payment thereunder could, as stipulated in clause 6 of the Guarantee, not be refused or delayed by the existence of any dispute between Steyn City and GD Irons.</w:t>
      </w:r>
    </w:p>
    <w:p w:rsidR="00342423" w:rsidRPr="00815038" w:rsidRDefault="00342423" w:rsidP="00342423">
      <w:pPr>
        <w:spacing w:line="360" w:lineRule="auto"/>
        <w:ind w:left="1440" w:hanging="720"/>
        <w:jc w:val="both"/>
        <w:rPr>
          <w:rFonts w:ascii="Arial" w:hAnsi="Arial" w:cs="Arial"/>
          <w:sz w:val="20"/>
          <w:szCs w:val="20"/>
        </w:rPr>
      </w:pPr>
      <w:r w:rsidRPr="00815038">
        <w:rPr>
          <w:rFonts w:ascii="Arial" w:hAnsi="Arial" w:cs="Arial"/>
          <w:sz w:val="20"/>
          <w:szCs w:val="20"/>
        </w:rPr>
        <w:t>[32]</w:t>
      </w:r>
      <w:r w:rsidRPr="00815038">
        <w:rPr>
          <w:rFonts w:ascii="Arial" w:hAnsi="Arial" w:cs="Arial"/>
          <w:sz w:val="20"/>
          <w:szCs w:val="20"/>
        </w:rPr>
        <w:tab/>
        <w:t xml:space="preserve">Consequently, even Mr Naude’s argument that they be granted an indulgence to supplement their papers by filing the experts reports in order to clarify the Payment Certificate attached to the written demand send by Steyn City to Guardrisk, was found to have no substance by the court. The responsibility is </w:t>
      </w:r>
      <w:r w:rsidRPr="00815038">
        <w:rPr>
          <w:rFonts w:ascii="Arial" w:hAnsi="Arial" w:cs="Arial"/>
          <w:sz w:val="20"/>
          <w:szCs w:val="20"/>
        </w:rPr>
        <w:lastRenderedPageBreak/>
        <w:t>not that of Mr Naude and/or GD Irons to query the Payment Certificate, only Guardrisk as the guarantor, can do so.”</w:t>
      </w:r>
    </w:p>
    <w:p w:rsidR="00815038" w:rsidRDefault="00815038" w:rsidP="00C31978">
      <w:pPr>
        <w:spacing w:line="360" w:lineRule="auto"/>
        <w:jc w:val="both"/>
        <w:rPr>
          <w:rFonts w:ascii="Arial" w:hAnsi="Arial" w:cs="Arial"/>
          <w:sz w:val="24"/>
          <w:szCs w:val="24"/>
        </w:rPr>
      </w:pPr>
    </w:p>
    <w:p w:rsidR="005D1213"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t>[8]</w:t>
      </w:r>
      <w:r w:rsidRPr="00815038">
        <w:rPr>
          <w:rFonts w:ascii="Arial" w:hAnsi="Arial" w:cs="Arial"/>
          <w:sz w:val="24"/>
          <w:szCs w:val="24"/>
        </w:rPr>
        <w:tab/>
      </w:r>
      <w:r w:rsidR="005D1213" w:rsidRPr="00815038">
        <w:rPr>
          <w:rFonts w:ascii="Arial" w:hAnsi="Arial" w:cs="Arial"/>
          <w:sz w:val="24"/>
          <w:szCs w:val="24"/>
        </w:rPr>
        <w:t xml:space="preserve">In the heads of argument, the applicants argue their case for leave to appeal the judgment and order granted on the contention that: </w:t>
      </w:r>
    </w:p>
    <w:p w:rsidR="005D1213" w:rsidRPr="00815038" w:rsidRDefault="005D1213" w:rsidP="005D1213">
      <w:pPr>
        <w:spacing w:line="360" w:lineRule="auto"/>
        <w:ind w:left="720"/>
        <w:jc w:val="both"/>
        <w:rPr>
          <w:rFonts w:ascii="Arial" w:hAnsi="Arial" w:cs="Arial"/>
          <w:sz w:val="20"/>
          <w:szCs w:val="20"/>
        </w:rPr>
      </w:pPr>
      <w:r w:rsidRPr="00815038">
        <w:rPr>
          <w:rFonts w:ascii="Arial" w:hAnsi="Arial" w:cs="Arial"/>
          <w:sz w:val="20"/>
          <w:szCs w:val="20"/>
        </w:rPr>
        <w:t>“The application must be considered against the background of GD Irons being the construction contractor in terms of a construction contract, where Steyn City is the employer as the other contracting party. Guardrisk guaranteed payments to Steyn City, when these become payable, on the basis of valid payment certificates issued under the terms of the construction contract. Guardrisk issued a guarantee in the form of a payment guarantee which is directly linked to the construction contract, in line with the wording of the guarantee.”</w:t>
      </w:r>
    </w:p>
    <w:p w:rsidR="00815038" w:rsidRDefault="00815038" w:rsidP="005D1213">
      <w:pPr>
        <w:spacing w:line="360" w:lineRule="auto"/>
        <w:jc w:val="both"/>
        <w:rPr>
          <w:rFonts w:ascii="Arial" w:hAnsi="Arial" w:cs="Arial"/>
          <w:sz w:val="24"/>
          <w:szCs w:val="24"/>
        </w:rPr>
      </w:pPr>
    </w:p>
    <w:p w:rsidR="005D1213" w:rsidRPr="00815038" w:rsidRDefault="00815038" w:rsidP="005D1213">
      <w:pPr>
        <w:spacing w:line="360" w:lineRule="auto"/>
        <w:jc w:val="both"/>
        <w:rPr>
          <w:rFonts w:ascii="Arial" w:hAnsi="Arial" w:cs="Arial"/>
          <w:sz w:val="24"/>
          <w:szCs w:val="24"/>
        </w:rPr>
      </w:pPr>
      <w:r w:rsidRPr="00815038">
        <w:rPr>
          <w:rFonts w:ascii="Arial" w:hAnsi="Arial" w:cs="Arial"/>
          <w:sz w:val="24"/>
          <w:szCs w:val="24"/>
        </w:rPr>
        <w:t>[9]</w:t>
      </w:r>
      <w:r w:rsidRPr="00815038">
        <w:rPr>
          <w:rFonts w:ascii="Arial" w:hAnsi="Arial" w:cs="Arial"/>
          <w:sz w:val="24"/>
          <w:szCs w:val="24"/>
        </w:rPr>
        <w:tab/>
      </w:r>
      <w:r w:rsidR="005D1213" w:rsidRPr="00815038">
        <w:rPr>
          <w:rFonts w:ascii="Arial" w:hAnsi="Arial" w:cs="Arial"/>
          <w:sz w:val="24"/>
          <w:szCs w:val="24"/>
        </w:rPr>
        <w:t>This contention by the applicants is founded on the averments that there were various discrepancies wit</w:t>
      </w:r>
      <w:r w:rsidR="00C50AD1" w:rsidRPr="00815038">
        <w:rPr>
          <w:rFonts w:ascii="Arial" w:hAnsi="Arial" w:cs="Arial"/>
          <w:sz w:val="24"/>
          <w:szCs w:val="24"/>
        </w:rPr>
        <w:t xml:space="preserve">h the Guarantee, for instance, </w:t>
      </w:r>
      <w:r w:rsidR="00B0793E" w:rsidRPr="00815038">
        <w:rPr>
          <w:rFonts w:ascii="Arial" w:hAnsi="Arial" w:cs="Arial"/>
          <w:sz w:val="24"/>
          <w:szCs w:val="24"/>
        </w:rPr>
        <w:t xml:space="preserve">it is alleged that </w:t>
      </w:r>
      <w:r w:rsidR="005D1213" w:rsidRPr="00815038">
        <w:rPr>
          <w:rFonts w:ascii="Arial" w:hAnsi="Arial" w:cs="Arial"/>
          <w:sz w:val="24"/>
          <w:szCs w:val="24"/>
        </w:rPr>
        <w:t xml:space="preserve">there was no compliance </w:t>
      </w:r>
      <w:r w:rsidR="00FF6412" w:rsidRPr="00815038">
        <w:rPr>
          <w:rFonts w:ascii="Arial" w:hAnsi="Arial" w:cs="Arial"/>
          <w:sz w:val="24"/>
          <w:szCs w:val="24"/>
        </w:rPr>
        <w:t>with the strict wording of the G</w:t>
      </w:r>
      <w:r w:rsidR="005D1213" w:rsidRPr="00815038">
        <w:rPr>
          <w:rFonts w:ascii="Arial" w:hAnsi="Arial" w:cs="Arial"/>
          <w:sz w:val="24"/>
          <w:szCs w:val="24"/>
        </w:rPr>
        <w:t>uarantee and the requirements therein were not met in o</w:t>
      </w:r>
      <w:r w:rsidR="006C29E7" w:rsidRPr="00815038">
        <w:rPr>
          <w:rFonts w:ascii="Arial" w:hAnsi="Arial" w:cs="Arial"/>
          <w:sz w:val="24"/>
          <w:szCs w:val="24"/>
        </w:rPr>
        <w:t>rder for payment to be effected</w:t>
      </w:r>
      <w:r w:rsidR="00AB50F4">
        <w:rPr>
          <w:rFonts w:ascii="Arial" w:hAnsi="Arial" w:cs="Arial"/>
          <w:sz w:val="24"/>
          <w:szCs w:val="24"/>
        </w:rPr>
        <w:t>,</w:t>
      </w:r>
      <w:r w:rsidR="006C29E7" w:rsidRPr="00815038">
        <w:rPr>
          <w:rFonts w:ascii="Arial" w:hAnsi="Arial" w:cs="Arial"/>
          <w:sz w:val="24"/>
          <w:szCs w:val="24"/>
        </w:rPr>
        <w:t xml:space="preserve"> and that t</w:t>
      </w:r>
      <w:r w:rsidR="00BD684B" w:rsidRPr="00815038">
        <w:rPr>
          <w:rFonts w:ascii="Arial" w:hAnsi="Arial" w:cs="Arial"/>
          <w:sz w:val="24"/>
          <w:szCs w:val="24"/>
        </w:rPr>
        <w:t>he payment certificate and the recovery statement were</w:t>
      </w:r>
      <w:r w:rsidR="005D1213" w:rsidRPr="00815038">
        <w:rPr>
          <w:rFonts w:ascii="Arial" w:hAnsi="Arial" w:cs="Arial"/>
          <w:sz w:val="24"/>
          <w:szCs w:val="24"/>
        </w:rPr>
        <w:t xml:space="preserve"> no</w:t>
      </w:r>
      <w:r w:rsidR="006C29E7" w:rsidRPr="00815038">
        <w:rPr>
          <w:rFonts w:ascii="Arial" w:hAnsi="Arial" w:cs="Arial"/>
          <w:sz w:val="24"/>
          <w:szCs w:val="24"/>
        </w:rPr>
        <w:t>t sufficient to comply with the</w:t>
      </w:r>
      <w:r w:rsidR="005D1213" w:rsidRPr="00815038">
        <w:rPr>
          <w:rFonts w:ascii="Arial" w:hAnsi="Arial" w:cs="Arial"/>
          <w:sz w:val="24"/>
          <w:szCs w:val="24"/>
        </w:rPr>
        <w:t xml:space="preserve"> requirement</w:t>
      </w:r>
      <w:r w:rsidR="006C29E7" w:rsidRPr="00815038">
        <w:rPr>
          <w:rFonts w:ascii="Arial" w:hAnsi="Arial" w:cs="Arial"/>
          <w:sz w:val="24"/>
          <w:szCs w:val="24"/>
        </w:rPr>
        <w:t>s of the Guarantee.</w:t>
      </w:r>
    </w:p>
    <w:p w:rsidR="00815038" w:rsidRDefault="00815038" w:rsidP="00C31978">
      <w:pPr>
        <w:spacing w:line="360" w:lineRule="auto"/>
        <w:jc w:val="both"/>
        <w:rPr>
          <w:rFonts w:ascii="Arial" w:hAnsi="Arial" w:cs="Arial"/>
          <w:sz w:val="24"/>
          <w:szCs w:val="24"/>
        </w:rPr>
      </w:pPr>
    </w:p>
    <w:p w:rsidR="00FF6412"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t>[10]</w:t>
      </w:r>
      <w:r w:rsidRPr="00815038">
        <w:rPr>
          <w:rFonts w:ascii="Arial" w:hAnsi="Arial" w:cs="Arial"/>
          <w:sz w:val="24"/>
          <w:szCs w:val="24"/>
        </w:rPr>
        <w:tab/>
      </w:r>
      <w:r w:rsidR="006C29E7" w:rsidRPr="00815038">
        <w:rPr>
          <w:rFonts w:ascii="Arial" w:hAnsi="Arial" w:cs="Arial"/>
          <w:sz w:val="24"/>
          <w:szCs w:val="24"/>
        </w:rPr>
        <w:t xml:space="preserve">The further contention by the applicants that </w:t>
      </w:r>
      <w:r w:rsidR="00C50AD1" w:rsidRPr="00815038">
        <w:rPr>
          <w:rFonts w:ascii="Arial" w:hAnsi="Arial" w:cs="Arial"/>
          <w:sz w:val="24"/>
          <w:szCs w:val="24"/>
        </w:rPr>
        <w:t>the provisions of a guarantee should be foll</w:t>
      </w:r>
      <w:r w:rsidR="006C29E7" w:rsidRPr="00815038">
        <w:rPr>
          <w:rFonts w:ascii="Arial" w:hAnsi="Arial" w:cs="Arial"/>
          <w:sz w:val="24"/>
          <w:szCs w:val="24"/>
        </w:rPr>
        <w:t xml:space="preserve">owed </w:t>
      </w:r>
      <w:r w:rsidR="00C50AD1" w:rsidRPr="00815038">
        <w:rPr>
          <w:rFonts w:ascii="Arial" w:hAnsi="Arial" w:cs="Arial"/>
          <w:sz w:val="24"/>
          <w:szCs w:val="24"/>
        </w:rPr>
        <w:t>strictly before payment m</w:t>
      </w:r>
      <w:r w:rsidR="006C29E7" w:rsidRPr="00815038">
        <w:rPr>
          <w:rFonts w:ascii="Arial" w:hAnsi="Arial" w:cs="Arial"/>
          <w:sz w:val="24"/>
          <w:szCs w:val="24"/>
        </w:rPr>
        <w:t>ay be made and becomes due</w:t>
      </w:r>
      <w:r w:rsidR="00B0793E" w:rsidRPr="00815038">
        <w:rPr>
          <w:rFonts w:ascii="Arial" w:hAnsi="Arial" w:cs="Arial"/>
          <w:sz w:val="24"/>
          <w:szCs w:val="24"/>
        </w:rPr>
        <w:t>,</w:t>
      </w:r>
      <w:r w:rsidR="006C29E7" w:rsidRPr="00815038">
        <w:rPr>
          <w:rFonts w:ascii="Arial" w:hAnsi="Arial" w:cs="Arial"/>
          <w:sz w:val="24"/>
          <w:szCs w:val="24"/>
        </w:rPr>
        <w:t xml:space="preserve"> and that t</w:t>
      </w:r>
      <w:r w:rsidR="00C50AD1" w:rsidRPr="00815038">
        <w:rPr>
          <w:rFonts w:ascii="Arial" w:hAnsi="Arial" w:cs="Arial"/>
          <w:sz w:val="24"/>
          <w:szCs w:val="24"/>
        </w:rPr>
        <w:t>he requirements for payment have</w:t>
      </w:r>
      <w:r w:rsidR="00FF6412" w:rsidRPr="00815038">
        <w:rPr>
          <w:rFonts w:ascii="Arial" w:hAnsi="Arial" w:cs="Arial"/>
          <w:sz w:val="24"/>
          <w:szCs w:val="24"/>
        </w:rPr>
        <w:t>,</w:t>
      </w:r>
      <w:r w:rsidR="00C50AD1" w:rsidRPr="00815038">
        <w:rPr>
          <w:rFonts w:ascii="Arial" w:hAnsi="Arial" w:cs="Arial"/>
          <w:sz w:val="24"/>
          <w:szCs w:val="24"/>
        </w:rPr>
        <w:t xml:space="preserve"> therefore</w:t>
      </w:r>
      <w:r w:rsidR="00FF6412" w:rsidRPr="00815038">
        <w:rPr>
          <w:rFonts w:ascii="Arial" w:hAnsi="Arial" w:cs="Arial"/>
          <w:sz w:val="24"/>
          <w:szCs w:val="24"/>
        </w:rPr>
        <w:t>,</w:t>
      </w:r>
      <w:r w:rsidR="00C50AD1" w:rsidRPr="00815038">
        <w:rPr>
          <w:rFonts w:ascii="Arial" w:hAnsi="Arial" w:cs="Arial"/>
          <w:sz w:val="24"/>
          <w:szCs w:val="24"/>
        </w:rPr>
        <w:t xml:space="preserve"> to be </w:t>
      </w:r>
      <w:r w:rsidR="00D832EB" w:rsidRPr="00815038">
        <w:rPr>
          <w:rFonts w:ascii="Arial" w:hAnsi="Arial" w:cs="Arial"/>
          <w:sz w:val="24"/>
          <w:szCs w:val="24"/>
        </w:rPr>
        <w:t>strictly</w:t>
      </w:r>
      <w:r w:rsidR="00C50AD1" w:rsidRPr="00815038">
        <w:rPr>
          <w:rFonts w:ascii="Arial" w:hAnsi="Arial" w:cs="Arial"/>
          <w:sz w:val="24"/>
          <w:szCs w:val="24"/>
        </w:rPr>
        <w:t xml:space="preserve"> complied with</w:t>
      </w:r>
      <w:r w:rsidR="006C29E7" w:rsidRPr="00815038">
        <w:rPr>
          <w:rFonts w:ascii="Arial" w:hAnsi="Arial" w:cs="Arial"/>
          <w:sz w:val="24"/>
          <w:szCs w:val="24"/>
        </w:rPr>
        <w:t xml:space="preserve">, is </w:t>
      </w:r>
      <w:r w:rsidR="00B0793E" w:rsidRPr="00815038">
        <w:rPr>
          <w:rFonts w:ascii="Arial" w:hAnsi="Arial" w:cs="Arial"/>
          <w:sz w:val="24"/>
          <w:szCs w:val="24"/>
        </w:rPr>
        <w:t xml:space="preserve">in this court’s view, </w:t>
      </w:r>
      <w:r w:rsidR="006C29E7" w:rsidRPr="00815038">
        <w:rPr>
          <w:rFonts w:ascii="Arial" w:hAnsi="Arial" w:cs="Arial"/>
          <w:sz w:val="24"/>
          <w:szCs w:val="24"/>
        </w:rPr>
        <w:t>valid. However, a</w:t>
      </w:r>
      <w:r w:rsidR="00FF6412" w:rsidRPr="00815038">
        <w:rPr>
          <w:rFonts w:ascii="Arial" w:hAnsi="Arial" w:cs="Arial"/>
          <w:sz w:val="24"/>
          <w:szCs w:val="24"/>
        </w:rPr>
        <w:t xml:space="preserve">s </w:t>
      </w:r>
      <w:r w:rsidR="00B0793E" w:rsidRPr="00815038">
        <w:rPr>
          <w:rFonts w:ascii="Arial" w:hAnsi="Arial" w:cs="Arial"/>
          <w:sz w:val="24"/>
          <w:szCs w:val="24"/>
        </w:rPr>
        <w:t>this cour</w:t>
      </w:r>
      <w:r w:rsidRPr="00815038">
        <w:rPr>
          <w:rFonts w:ascii="Arial" w:hAnsi="Arial" w:cs="Arial"/>
          <w:sz w:val="24"/>
          <w:szCs w:val="24"/>
        </w:rPr>
        <w:t xml:space="preserve">t has </w:t>
      </w:r>
      <w:r w:rsidR="00C31978" w:rsidRPr="00815038">
        <w:rPr>
          <w:rFonts w:ascii="Arial" w:hAnsi="Arial" w:cs="Arial"/>
          <w:sz w:val="24"/>
          <w:szCs w:val="24"/>
        </w:rPr>
        <w:t>found, it was for Guardrisk to raise the disputes relating to the Guarantee</w:t>
      </w:r>
      <w:r w:rsidR="00B0793E" w:rsidRPr="00815038">
        <w:rPr>
          <w:rFonts w:ascii="Arial" w:hAnsi="Arial" w:cs="Arial"/>
          <w:sz w:val="24"/>
          <w:szCs w:val="24"/>
        </w:rPr>
        <w:t>,</w:t>
      </w:r>
      <w:r w:rsidR="00C31978" w:rsidRPr="00815038">
        <w:rPr>
          <w:rFonts w:ascii="Arial" w:hAnsi="Arial" w:cs="Arial"/>
          <w:sz w:val="24"/>
          <w:szCs w:val="24"/>
        </w:rPr>
        <w:t xml:space="preserve"> if there were any and if it so wished</w:t>
      </w:r>
      <w:r w:rsidR="00B0793E" w:rsidRPr="00815038">
        <w:rPr>
          <w:rFonts w:ascii="Arial" w:hAnsi="Arial" w:cs="Arial"/>
          <w:sz w:val="24"/>
          <w:szCs w:val="24"/>
        </w:rPr>
        <w:t>,</w:t>
      </w:r>
      <w:r w:rsidR="00C31978" w:rsidRPr="00815038">
        <w:rPr>
          <w:rFonts w:ascii="Arial" w:hAnsi="Arial" w:cs="Arial"/>
          <w:sz w:val="24"/>
          <w:szCs w:val="24"/>
        </w:rPr>
        <w:t xml:space="preserve"> – not the applicants.  </w:t>
      </w:r>
      <w:r w:rsidR="00DB7F0B" w:rsidRPr="00815038">
        <w:rPr>
          <w:rFonts w:ascii="Arial" w:hAnsi="Arial" w:cs="Arial"/>
          <w:sz w:val="24"/>
          <w:szCs w:val="24"/>
        </w:rPr>
        <w:t xml:space="preserve">Conversely, there is no evidence on record that </w:t>
      </w:r>
      <w:r w:rsidR="00C31978" w:rsidRPr="00815038">
        <w:rPr>
          <w:rFonts w:ascii="Arial" w:hAnsi="Arial" w:cs="Arial"/>
          <w:sz w:val="24"/>
          <w:szCs w:val="24"/>
        </w:rPr>
        <w:t>Guardrisk raise</w:t>
      </w:r>
      <w:r w:rsidR="00DB7F0B" w:rsidRPr="00815038">
        <w:rPr>
          <w:rFonts w:ascii="Arial" w:hAnsi="Arial" w:cs="Arial"/>
          <w:sz w:val="24"/>
          <w:szCs w:val="24"/>
        </w:rPr>
        <w:t>d</w:t>
      </w:r>
      <w:r w:rsidR="00C31978" w:rsidRPr="00815038">
        <w:rPr>
          <w:rFonts w:ascii="Arial" w:hAnsi="Arial" w:cs="Arial"/>
          <w:sz w:val="24"/>
          <w:szCs w:val="24"/>
        </w:rPr>
        <w:t xml:space="preserve"> these issu</w:t>
      </w:r>
      <w:r w:rsidR="00C50AD1" w:rsidRPr="00815038">
        <w:rPr>
          <w:rFonts w:ascii="Arial" w:hAnsi="Arial" w:cs="Arial"/>
          <w:sz w:val="24"/>
          <w:szCs w:val="24"/>
        </w:rPr>
        <w:t>es, it did not</w:t>
      </w:r>
      <w:r w:rsidR="00DB7F0B" w:rsidRPr="00815038">
        <w:rPr>
          <w:rFonts w:ascii="Arial" w:hAnsi="Arial" w:cs="Arial"/>
          <w:sz w:val="24"/>
          <w:szCs w:val="24"/>
        </w:rPr>
        <w:t xml:space="preserve"> even</w:t>
      </w:r>
      <w:r w:rsidR="00C50AD1" w:rsidRPr="00815038">
        <w:rPr>
          <w:rFonts w:ascii="Arial" w:hAnsi="Arial" w:cs="Arial"/>
          <w:sz w:val="24"/>
          <w:szCs w:val="24"/>
        </w:rPr>
        <w:t xml:space="preserve"> oppose the r</w:t>
      </w:r>
      <w:r w:rsidR="00C31978" w:rsidRPr="00815038">
        <w:rPr>
          <w:rFonts w:ascii="Arial" w:hAnsi="Arial" w:cs="Arial"/>
          <w:sz w:val="24"/>
          <w:szCs w:val="24"/>
        </w:rPr>
        <w:t>econsideration</w:t>
      </w:r>
      <w:r w:rsidR="00C50AD1" w:rsidRPr="00815038">
        <w:rPr>
          <w:rFonts w:ascii="Arial" w:hAnsi="Arial" w:cs="Arial"/>
          <w:sz w:val="24"/>
          <w:szCs w:val="24"/>
        </w:rPr>
        <w:t xml:space="preserve"> application</w:t>
      </w:r>
      <w:r w:rsidR="00C31978" w:rsidRPr="00815038">
        <w:rPr>
          <w:rFonts w:ascii="Arial" w:hAnsi="Arial" w:cs="Arial"/>
          <w:sz w:val="24"/>
          <w:szCs w:val="24"/>
        </w:rPr>
        <w:t xml:space="preserve">. </w:t>
      </w:r>
    </w:p>
    <w:p w:rsidR="0095040C"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lastRenderedPageBreak/>
        <w:t>[11]</w:t>
      </w:r>
      <w:r w:rsidRPr="00815038">
        <w:rPr>
          <w:rFonts w:ascii="Arial" w:hAnsi="Arial" w:cs="Arial"/>
          <w:sz w:val="24"/>
          <w:szCs w:val="24"/>
        </w:rPr>
        <w:tab/>
      </w:r>
      <w:r w:rsidR="0095040C" w:rsidRPr="00815038">
        <w:rPr>
          <w:rFonts w:ascii="Arial" w:hAnsi="Arial" w:cs="Arial"/>
          <w:sz w:val="24"/>
          <w:szCs w:val="24"/>
        </w:rPr>
        <w:t>As further</w:t>
      </w:r>
      <w:r w:rsidR="00DB7F0B" w:rsidRPr="00815038">
        <w:rPr>
          <w:rFonts w:ascii="Arial" w:hAnsi="Arial" w:cs="Arial"/>
          <w:sz w:val="24"/>
          <w:szCs w:val="24"/>
        </w:rPr>
        <w:t xml:space="preserve">, correctly, </w:t>
      </w:r>
      <w:r w:rsidR="0095040C" w:rsidRPr="00815038">
        <w:rPr>
          <w:rFonts w:ascii="Arial" w:hAnsi="Arial" w:cs="Arial"/>
          <w:sz w:val="24"/>
          <w:szCs w:val="24"/>
        </w:rPr>
        <w:t>argued by the respondents in the heads of argument, the Guarantee and the demand that Steyn City delivered to Guardrisk in terms thereof</w:t>
      </w:r>
      <w:r w:rsidR="00B0793E" w:rsidRPr="00815038">
        <w:rPr>
          <w:rFonts w:ascii="Arial" w:hAnsi="Arial" w:cs="Arial"/>
          <w:sz w:val="24"/>
          <w:szCs w:val="24"/>
        </w:rPr>
        <w:t>,</w:t>
      </w:r>
      <w:r w:rsidR="0095040C" w:rsidRPr="00815038">
        <w:rPr>
          <w:rFonts w:ascii="Arial" w:hAnsi="Arial" w:cs="Arial"/>
          <w:sz w:val="24"/>
          <w:szCs w:val="24"/>
        </w:rPr>
        <w:t xml:space="preserve"> are all matters as between and confined to Steyn City and Guardrisk. They have nothing to do with </w:t>
      </w:r>
      <w:r w:rsidR="00151D20" w:rsidRPr="00815038">
        <w:rPr>
          <w:rFonts w:ascii="Arial" w:hAnsi="Arial" w:cs="Arial"/>
          <w:sz w:val="24"/>
          <w:szCs w:val="24"/>
        </w:rPr>
        <w:t>either GD Irons or Mr Naude (</w:t>
      </w:r>
      <w:r w:rsidR="0095040C" w:rsidRPr="00815038">
        <w:rPr>
          <w:rFonts w:ascii="Arial" w:hAnsi="Arial" w:cs="Arial"/>
          <w:sz w:val="24"/>
          <w:szCs w:val="24"/>
        </w:rPr>
        <w:t>the applicants</w:t>
      </w:r>
      <w:r w:rsidR="00151D20" w:rsidRPr="00815038">
        <w:rPr>
          <w:rFonts w:ascii="Arial" w:hAnsi="Arial" w:cs="Arial"/>
          <w:sz w:val="24"/>
          <w:szCs w:val="24"/>
        </w:rPr>
        <w:t>)</w:t>
      </w:r>
      <w:r w:rsidR="0095040C" w:rsidRPr="00815038">
        <w:rPr>
          <w:rFonts w:ascii="Arial" w:hAnsi="Arial" w:cs="Arial"/>
          <w:sz w:val="24"/>
          <w:szCs w:val="24"/>
        </w:rPr>
        <w:t>.</w:t>
      </w:r>
    </w:p>
    <w:p w:rsidR="00815038" w:rsidRDefault="00815038" w:rsidP="00C31978">
      <w:pPr>
        <w:spacing w:line="360" w:lineRule="auto"/>
        <w:jc w:val="both"/>
        <w:rPr>
          <w:rFonts w:ascii="Arial" w:hAnsi="Arial" w:cs="Arial"/>
          <w:sz w:val="24"/>
          <w:szCs w:val="24"/>
        </w:rPr>
      </w:pPr>
    </w:p>
    <w:p w:rsidR="00FF6412"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t>[12]</w:t>
      </w:r>
      <w:r w:rsidRPr="00815038">
        <w:rPr>
          <w:rFonts w:ascii="Arial" w:hAnsi="Arial" w:cs="Arial"/>
          <w:sz w:val="24"/>
          <w:szCs w:val="24"/>
        </w:rPr>
        <w:tab/>
      </w:r>
      <w:r w:rsidR="00FF6412" w:rsidRPr="00815038">
        <w:rPr>
          <w:rFonts w:ascii="Arial" w:hAnsi="Arial" w:cs="Arial"/>
          <w:sz w:val="24"/>
          <w:szCs w:val="24"/>
        </w:rPr>
        <w:t>In regard to the proposition of whether the Guarantee was principal and not accessory in nature, the provisions of the Guarantee in clause 6 thereof</w:t>
      </w:r>
      <w:r w:rsidR="00B0793E" w:rsidRPr="00815038">
        <w:rPr>
          <w:rFonts w:ascii="Arial" w:hAnsi="Arial" w:cs="Arial"/>
          <w:sz w:val="24"/>
          <w:szCs w:val="24"/>
        </w:rPr>
        <w:t>,</w:t>
      </w:r>
      <w:r w:rsidR="00FF6412" w:rsidRPr="00815038">
        <w:rPr>
          <w:rFonts w:ascii="Arial" w:hAnsi="Arial" w:cs="Arial"/>
          <w:sz w:val="24"/>
          <w:szCs w:val="24"/>
        </w:rPr>
        <w:t xml:space="preserve"> expressly provide that Guardrisk’s liability under the Guarantee is principle and not accessory in nature. This clause of the Guarantee required no interpretation but a simple reading thereof, and </w:t>
      </w:r>
      <w:r w:rsidR="00B0793E" w:rsidRPr="00815038">
        <w:rPr>
          <w:rFonts w:ascii="Arial" w:hAnsi="Arial" w:cs="Arial"/>
          <w:sz w:val="24"/>
          <w:szCs w:val="24"/>
        </w:rPr>
        <w:t xml:space="preserve">for this court </w:t>
      </w:r>
      <w:r w:rsidR="00FF6412" w:rsidRPr="00815038">
        <w:rPr>
          <w:rFonts w:ascii="Arial" w:hAnsi="Arial" w:cs="Arial"/>
          <w:sz w:val="24"/>
          <w:szCs w:val="24"/>
        </w:rPr>
        <w:t>to have found otherwise</w:t>
      </w:r>
      <w:r w:rsidR="00B0793E" w:rsidRPr="00815038">
        <w:rPr>
          <w:rFonts w:ascii="Arial" w:hAnsi="Arial" w:cs="Arial"/>
          <w:sz w:val="24"/>
          <w:szCs w:val="24"/>
        </w:rPr>
        <w:t>,</w:t>
      </w:r>
      <w:r w:rsidR="00FF6412" w:rsidRPr="00815038">
        <w:rPr>
          <w:rFonts w:ascii="Arial" w:hAnsi="Arial" w:cs="Arial"/>
          <w:sz w:val="24"/>
          <w:szCs w:val="24"/>
        </w:rPr>
        <w:t xml:space="preserve"> would have been in </w:t>
      </w:r>
      <w:r w:rsidR="00AB50F4">
        <w:rPr>
          <w:rFonts w:ascii="Arial" w:hAnsi="Arial" w:cs="Arial"/>
          <w:sz w:val="24"/>
          <w:szCs w:val="24"/>
        </w:rPr>
        <w:t xml:space="preserve">direct </w:t>
      </w:r>
      <w:r w:rsidR="00FF6412" w:rsidRPr="00815038">
        <w:rPr>
          <w:rFonts w:ascii="Arial" w:hAnsi="Arial" w:cs="Arial"/>
          <w:sz w:val="24"/>
          <w:szCs w:val="24"/>
        </w:rPr>
        <w:t>conflict with th</w:t>
      </w:r>
      <w:r w:rsidR="00AB50F4">
        <w:rPr>
          <w:rFonts w:ascii="Arial" w:hAnsi="Arial" w:cs="Arial"/>
          <w:sz w:val="24"/>
          <w:szCs w:val="24"/>
        </w:rPr>
        <w:t>at</w:t>
      </w:r>
      <w:r w:rsidR="00FF6412" w:rsidRPr="00815038">
        <w:rPr>
          <w:rFonts w:ascii="Arial" w:hAnsi="Arial" w:cs="Arial"/>
          <w:sz w:val="24"/>
          <w:szCs w:val="24"/>
        </w:rPr>
        <w:t xml:space="preserve"> undisputed express clause</w:t>
      </w:r>
      <w:r w:rsidR="00AB50F4">
        <w:rPr>
          <w:rFonts w:ascii="Arial" w:hAnsi="Arial" w:cs="Arial"/>
          <w:sz w:val="24"/>
          <w:szCs w:val="24"/>
        </w:rPr>
        <w:t xml:space="preserve"> of the Guarantee</w:t>
      </w:r>
      <w:r w:rsidR="00FF6412" w:rsidRPr="00815038">
        <w:rPr>
          <w:rFonts w:ascii="Arial" w:hAnsi="Arial" w:cs="Arial"/>
          <w:sz w:val="24"/>
          <w:szCs w:val="24"/>
        </w:rPr>
        <w:t>.</w:t>
      </w:r>
    </w:p>
    <w:p w:rsidR="00815038" w:rsidRDefault="00815038" w:rsidP="0095040C">
      <w:pPr>
        <w:spacing w:line="360" w:lineRule="auto"/>
        <w:jc w:val="both"/>
        <w:rPr>
          <w:rFonts w:ascii="Arial" w:hAnsi="Arial" w:cs="Arial"/>
          <w:sz w:val="24"/>
          <w:szCs w:val="24"/>
        </w:rPr>
      </w:pPr>
    </w:p>
    <w:p w:rsidR="0095040C" w:rsidRPr="00815038" w:rsidRDefault="00815038" w:rsidP="0095040C">
      <w:pPr>
        <w:spacing w:line="360" w:lineRule="auto"/>
        <w:jc w:val="both"/>
        <w:rPr>
          <w:rFonts w:ascii="Arial" w:hAnsi="Arial" w:cs="Arial"/>
          <w:sz w:val="24"/>
          <w:szCs w:val="24"/>
        </w:rPr>
      </w:pPr>
      <w:r w:rsidRPr="00815038">
        <w:rPr>
          <w:rFonts w:ascii="Arial" w:hAnsi="Arial" w:cs="Arial"/>
          <w:sz w:val="24"/>
          <w:szCs w:val="24"/>
        </w:rPr>
        <w:t>[13]</w:t>
      </w:r>
      <w:r w:rsidRPr="00815038">
        <w:rPr>
          <w:rFonts w:ascii="Arial" w:hAnsi="Arial" w:cs="Arial"/>
          <w:sz w:val="24"/>
          <w:szCs w:val="24"/>
        </w:rPr>
        <w:tab/>
      </w:r>
      <w:r w:rsidR="0095040C" w:rsidRPr="00815038">
        <w:rPr>
          <w:rFonts w:ascii="Arial" w:hAnsi="Arial" w:cs="Arial"/>
          <w:sz w:val="24"/>
          <w:szCs w:val="24"/>
        </w:rPr>
        <w:t xml:space="preserve">The grounds of appeal that are in respect of the provisions of section 133 of the </w:t>
      </w:r>
      <w:r w:rsidR="00B0793E" w:rsidRPr="00815038">
        <w:rPr>
          <w:rFonts w:ascii="Arial" w:hAnsi="Arial" w:cs="Arial"/>
          <w:sz w:val="24"/>
          <w:szCs w:val="24"/>
        </w:rPr>
        <w:t xml:space="preserve">Companies </w:t>
      </w:r>
      <w:r w:rsidR="0095040C" w:rsidRPr="00815038">
        <w:rPr>
          <w:rFonts w:ascii="Arial" w:hAnsi="Arial" w:cs="Arial"/>
          <w:sz w:val="24"/>
          <w:szCs w:val="24"/>
        </w:rPr>
        <w:t>Act, are stated as follows by the applicants:</w:t>
      </w:r>
    </w:p>
    <w:p w:rsidR="0095040C" w:rsidRPr="00815038" w:rsidRDefault="00815038" w:rsidP="00815038">
      <w:pPr>
        <w:spacing w:line="360" w:lineRule="auto"/>
        <w:ind w:left="1440" w:hanging="720"/>
        <w:jc w:val="both"/>
        <w:rPr>
          <w:rFonts w:ascii="Arial" w:hAnsi="Arial" w:cs="Arial"/>
          <w:sz w:val="24"/>
          <w:szCs w:val="24"/>
        </w:rPr>
      </w:pPr>
      <w:r w:rsidRPr="00815038">
        <w:rPr>
          <w:rFonts w:ascii="Arial" w:hAnsi="Arial" w:cs="Arial"/>
          <w:sz w:val="24"/>
          <w:szCs w:val="24"/>
        </w:rPr>
        <w:t>13.1</w:t>
      </w:r>
      <w:r w:rsidRPr="00815038">
        <w:rPr>
          <w:rFonts w:ascii="Arial" w:hAnsi="Arial" w:cs="Arial"/>
          <w:sz w:val="24"/>
          <w:szCs w:val="24"/>
        </w:rPr>
        <w:tab/>
      </w:r>
      <w:r w:rsidR="0095040C" w:rsidRPr="00815038">
        <w:rPr>
          <w:rFonts w:ascii="Arial" w:hAnsi="Arial" w:cs="Arial"/>
          <w:sz w:val="24"/>
          <w:szCs w:val="24"/>
        </w:rPr>
        <w:t>The Honourable Court erred in having found that section</w:t>
      </w:r>
      <w:r w:rsidR="00DB7F0B" w:rsidRPr="00815038">
        <w:rPr>
          <w:rFonts w:ascii="Arial" w:hAnsi="Arial" w:cs="Arial"/>
          <w:sz w:val="24"/>
          <w:szCs w:val="24"/>
        </w:rPr>
        <w:t xml:space="preserve"> 133(1) of the Companies Act, No.</w:t>
      </w:r>
      <w:r w:rsidR="0095040C" w:rsidRPr="00815038">
        <w:rPr>
          <w:rFonts w:ascii="Arial" w:hAnsi="Arial" w:cs="Arial"/>
          <w:sz w:val="24"/>
          <w:szCs w:val="24"/>
        </w:rPr>
        <w:t xml:space="preserve"> 71 of 2008, did not find application in respect of the payment that was sought based on the payment certificate, in that payment was claimed directly for purposes of satisfying an alleged debt by GD Irons to Steyn City, a creditor of GD Irons. </w:t>
      </w:r>
    </w:p>
    <w:p w:rsidR="0095040C" w:rsidRPr="00815038" w:rsidRDefault="00815038" w:rsidP="0095040C">
      <w:pPr>
        <w:spacing w:line="360" w:lineRule="auto"/>
        <w:ind w:left="1440" w:hanging="720"/>
        <w:jc w:val="both"/>
        <w:rPr>
          <w:rFonts w:ascii="Arial" w:hAnsi="Arial" w:cs="Arial"/>
          <w:sz w:val="24"/>
          <w:szCs w:val="24"/>
        </w:rPr>
      </w:pPr>
      <w:r w:rsidRPr="00815038">
        <w:rPr>
          <w:rFonts w:ascii="Arial" w:hAnsi="Arial" w:cs="Arial"/>
          <w:sz w:val="24"/>
          <w:szCs w:val="24"/>
        </w:rPr>
        <w:t>13.2</w:t>
      </w:r>
      <w:r w:rsidRPr="00815038">
        <w:rPr>
          <w:rFonts w:ascii="Arial" w:hAnsi="Arial" w:cs="Arial"/>
          <w:sz w:val="24"/>
          <w:szCs w:val="24"/>
        </w:rPr>
        <w:tab/>
      </w:r>
      <w:r w:rsidR="0095040C" w:rsidRPr="00815038">
        <w:rPr>
          <w:rFonts w:ascii="Arial" w:hAnsi="Arial" w:cs="Arial"/>
          <w:sz w:val="24"/>
          <w:szCs w:val="24"/>
        </w:rPr>
        <w:t>The Honourable Court erre</w:t>
      </w:r>
      <w:r w:rsidR="00DB7F0B" w:rsidRPr="00815038">
        <w:rPr>
          <w:rFonts w:ascii="Arial" w:hAnsi="Arial" w:cs="Arial"/>
          <w:sz w:val="24"/>
          <w:szCs w:val="24"/>
        </w:rPr>
        <w:t>d in not having found that the G</w:t>
      </w:r>
      <w:r w:rsidR="0095040C" w:rsidRPr="00815038">
        <w:rPr>
          <w:rFonts w:ascii="Arial" w:hAnsi="Arial" w:cs="Arial"/>
          <w:sz w:val="24"/>
          <w:szCs w:val="24"/>
        </w:rPr>
        <w:t>uarantee, on a wide and purposive interpretation of section 133(2) of the Companies Act, was not a guarantee as meant in [section 133(2) of the Act].</w:t>
      </w:r>
    </w:p>
    <w:p w:rsidR="0095040C" w:rsidRPr="00815038" w:rsidRDefault="00815038" w:rsidP="0095040C">
      <w:pPr>
        <w:spacing w:line="360" w:lineRule="auto"/>
        <w:ind w:left="1440" w:hanging="720"/>
        <w:jc w:val="both"/>
        <w:rPr>
          <w:rFonts w:ascii="Arial" w:hAnsi="Arial" w:cs="Arial"/>
          <w:sz w:val="24"/>
          <w:szCs w:val="24"/>
        </w:rPr>
      </w:pPr>
      <w:r w:rsidRPr="00815038">
        <w:rPr>
          <w:rFonts w:ascii="Arial" w:hAnsi="Arial" w:cs="Arial"/>
          <w:sz w:val="24"/>
          <w:szCs w:val="24"/>
        </w:rPr>
        <w:t>13.3</w:t>
      </w:r>
      <w:r w:rsidRPr="00815038">
        <w:rPr>
          <w:rFonts w:ascii="Arial" w:hAnsi="Arial" w:cs="Arial"/>
          <w:sz w:val="24"/>
          <w:szCs w:val="24"/>
        </w:rPr>
        <w:tab/>
      </w:r>
      <w:r w:rsidR="0095040C" w:rsidRPr="00815038">
        <w:rPr>
          <w:rFonts w:ascii="Arial" w:hAnsi="Arial" w:cs="Arial"/>
          <w:sz w:val="24"/>
          <w:szCs w:val="24"/>
        </w:rPr>
        <w:t xml:space="preserve">The Honourable Court erred in not having properly considered the question whether enforcement of the payment in terms of the </w:t>
      </w:r>
      <w:r w:rsidR="00DB7F0B" w:rsidRPr="00815038">
        <w:rPr>
          <w:rFonts w:ascii="Arial" w:hAnsi="Arial" w:cs="Arial"/>
          <w:sz w:val="24"/>
          <w:szCs w:val="24"/>
        </w:rPr>
        <w:lastRenderedPageBreak/>
        <w:t>G</w:t>
      </w:r>
      <w:r w:rsidR="0095040C" w:rsidRPr="00815038">
        <w:rPr>
          <w:rFonts w:ascii="Arial" w:hAnsi="Arial" w:cs="Arial"/>
          <w:sz w:val="24"/>
          <w:szCs w:val="24"/>
        </w:rPr>
        <w:t>uarantee was “enforcement action” as is meant in section 133(1) of the Companies Act.</w:t>
      </w:r>
    </w:p>
    <w:p w:rsidR="00815038" w:rsidRDefault="00815038" w:rsidP="00C31978">
      <w:pPr>
        <w:spacing w:line="360" w:lineRule="auto"/>
        <w:jc w:val="both"/>
        <w:rPr>
          <w:rFonts w:ascii="Arial" w:hAnsi="Arial" w:cs="Arial"/>
          <w:sz w:val="24"/>
          <w:szCs w:val="24"/>
        </w:rPr>
      </w:pPr>
    </w:p>
    <w:p w:rsidR="0095040C"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t>[14]</w:t>
      </w:r>
      <w:r w:rsidRPr="00815038">
        <w:rPr>
          <w:rFonts w:ascii="Arial" w:hAnsi="Arial" w:cs="Arial"/>
          <w:sz w:val="24"/>
          <w:szCs w:val="24"/>
        </w:rPr>
        <w:tab/>
      </w:r>
      <w:r w:rsidR="0095040C" w:rsidRPr="00815038">
        <w:rPr>
          <w:rFonts w:ascii="Arial" w:hAnsi="Arial" w:cs="Arial"/>
          <w:sz w:val="24"/>
          <w:szCs w:val="24"/>
        </w:rPr>
        <w:t xml:space="preserve">This court also dealt at length with this issue in its reasons. </w:t>
      </w:r>
      <w:r w:rsidR="00151D20" w:rsidRPr="00815038">
        <w:rPr>
          <w:rFonts w:ascii="Arial" w:hAnsi="Arial" w:cs="Arial"/>
          <w:sz w:val="24"/>
          <w:szCs w:val="24"/>
        </w:rPr>
        <w:t xml:space="preserve">It was the court’s finding that section 133 of the </w:t>
      </w:r>
      <w:r w:rsidR="00DB7F0B" w:rsidRPr="00815038">
        <w:rPr>
          <w:rFonts w:ascii="Arial" w:hAnsi="Arial" w:cs="Arial"/>
          <w:sz w:val="24"/>
          <w:szCs w:val="24"/>
        </w:rPr>
        <w:t xml:space="preserve">Companies </w:t>
      </w:r>
      <w:r w:rsidR="00151D20" w:rsidRPr="00815038">
        <w:rPr>
          <w:rFonts w:ascii="Arial" w:hAnsi="Arial" w:cs="Arial"/>
          <w:sz w:val="24"/>
          <w:szCs w:val="24"/>
        </w:rPr>
        <w:t xml:space="preserve">Act does not, in any way, enter the debate and could never have sustained a basis for any entitlement to the relief </w:t>
      </w:r>
      <w:r w:rsidR="00DB7F0B" w:rsidRPr="00815038">
        <w:rPr>
          <w:rFonts w:ascii="Arial" w:hAnsi="Arial" w:cs="Arial"/>
          <w:sz w:val="24"/>
          <w:szCs w:val="24"/>
        </w:rPr>
        <w:t>sought by Mr Naude in the main a</w:t>
      </w:r>
      <w:r w:rsidR="00151D20" w:rsidRPr="00815038">
        <w:rPr>
          <w:rFonts w:ascii="Arial" w:hAnsi="Arial" w:cs="Arial"/>
          <w:sz w:val="24"/>
          <w:szCs w:val="24"/>
        </w:rPr>
        <w:t>pplication.</w:t>
      </w:r>
    </w:p>
    <w:p w:rsidR="00815038" w:rsidRDefault="00815038" w:rsidP="00C31978">
      <w:pPr>
        <w:spacing w:line="360" w:lineRule="auto"/>
        <w:jc w:val="both"/>
        <w:rPr>
          <w:rFonts w:ascii="Arial" w:hAnsi="Arial" w:cs="Arial"/>
          <w:sz w:val="24"/>
          <w:szCs w:val="24"/>
        </w:rPr>
      </w:pPr>
    </w:p>
    <w:p w:rsidR="00FF6412" w:rsidRPr="00815038" w:rsidRDefault="00815038" w:rsidP="00C31978">
      <w:pPr>
        <w:spacing w:line="360" w:lineRule="auto"/>
        <w:jc w:val="both"/>
        <w:rPr>
          <w:rFonts w:ascii="Arial" w:hAnsi="Arial" w:cs="Arial"/>
          <w:sz w:val="24"/>
          <w:szCs w:val="24"/>
        </w:rPr>
      </w:pPr>
      <w:r w:rsidRPr="00815038">
        <w:rPr>
          <w:rFonts w:ascii="Arial" w:hAnsi="Arial" w:cs="Arial"/>
          <w:sz w:val="24"/>
          <w:szCs w:val="24"/>
        </w:rPr>
        <w:t>[15]</w:t>
      </w:r>
      <w:r w:rsidRPr="00815038">
        <w:rPr>
          <w:rFonts w:ascii="Arial" w:hAnsi="Arial" w:cs="Arial"/>
          <w:sz w:val="24"/>
          <w:szCs w:val="24"/>
        </w:rPr>
        <w:tab/>
      </w:r>
      <w:r w:rsidR="00FF6412" w:rsidRPr="00815038">
        <w:rPr>
          <w:rFonts w:ascii="Arial" w:hAnsi="Arial" w:cs="Arial"/>
          <w:sz w:val="24"/>
          <w:szCs w:val="24"/>
        </w:rPr>
        <w:t xml:space="preserve">In the heads of argument, the applicants argue that </w:t>
      </w:r>
      <w:r w:rsidR="00DB7F0B" w:rsidRPr="00815038">
        <w:rPr>
          <w:rFonts w:ascii="Arial" w:hAnsi="Arial" w:cs="Arial"/>
          <w:sz w:val="24"/>
          <w:szCs w:val="24"/>
        </w:rPr>
        <w:t>f</w:t>
      </w:r>
      <w:r w:rsidR="00FF6412" w:rsidRPr="00815038">
        <w:rPr>
          <w:rFonts w:ascii="Arial" w:hAnsi="Arial" w:cs="Arial"/>
          <w:sz w:val="24"/>
          <w:szCs w:val="24"/>
        </w:rPr>
        <w:t xml:space="preserve">or purposes of section 133(1) </w:t>
      </w:r>
      <w:r w:rsidR="00DB7F0B" w:rsidRPr="00815038">
        <w:rPr>
          <w:rFonts w:ascii="Arial" w:hAnsi="Arial" w:cs="Arial"/>
          <w:sz w:val="24"/>
          <w:szCs w:val="24"/>
        </w:rPr>
        <w:t xml:space="preserve">of the Companies Act </w:t>
      </w:r>
      <w:r w:rsidR="00FF6412" w:rsidRPr="00815038">
        <w:rPr>
          <w:rFonts w:ascii="Arial" w:hAnsi="Arial" w:cs="Arial"/>
          <w:sz w:val="24"/>
          <w:szCs w:val="24"/>
        </w:rPr>
        <w:t>it must be pointed out that it appears from the recovery statement that R60 million is apparently payable, as a result of the alleged default of the contractor (clause 1.1.5). This means that the contractor, (in business rescue), incurred a debt of R60 million toward</w:t>
      </w:r>
      <w:r w:rsidR="00521E5B" w:rsidRPr="00815038">
        <w:rPr>
          <w:rFonts w:ascii="Arial" w:hAnsi="Arial" w:cs="Arial"/>
          <w:sz w:val="24"/>
          <w:szCs w:val="24"/>
        </w:rPr>
        <w:t>s</w:t>
      </w:r>
      <w:r w:rsidR="00FF6412" w:rsidRPr="00815038">
        <w:rPr>
          <w:rFonts w:ascii="Arial" w:hAnsi="Arial" w:cs="Arial"/>
          <w:sz w:val="24"/>
          <w:szCs w:val="24"/>
        </w:rPr>
        <w:t xml:space="preserve"> the employer, Steyn City. </w:t>
      </w:r>
      <w:r w:rsidR="00521E5B" w:rsidRPr="00815038">
        <w:rPr>
          <w:rFonts w:ascii="Arial" w:hAnsi="Arial" w:cs="Arial"/>
          <w:sz w:val="24"/>
          <w:szCs w:val="24"/>
        </w:rPr>
        <w:t>The contention is that i</w:t>
      </w:r>
      <w:r w:rsidR="00FF6412" w:rsidRPr="00815038">
        <w:rPr>
          <w:rFonts w:ascii="Arial" w:hAnsi="Arial" w:cs="Arial"/>
          <w:sz w:val="24"/>
          <w:szCs w:val="24"/>
        </w:rPr>
        <w:t xml:space="preserve">t is this debt that has to be paid. </w:t>
      </w:r>
      <w:r w:rsidR="00AB50F4">
        <w:rPr>
          <w:rFonts w:ascii="Arial" w:hAnsi="Arial" w:cs="Arial"/>
          <w:sz w:val="24"/>
          <w:szCs w:val="24"/>
        </w:rPr>
        <w:t>Accordingly, so it was argued, t</w:t>
      </w:r>
      <w:r w:rsidR="00FF6412" w:rsidRPr="00815038">
        <w:rPr>
          <w:rFonts w:ascii="Arial" w:hAnsi="Arial" w:cs="Arial"/>
          <w:sz w:val="24"/>
          <w:szCs w:val="24"/>
        </w:rPr>
        <w:t>here could be no doubt that this is a process by way of which the contractual debt due by GD Irons to Steyn City is enforced. This most certainly constitutes a “legal proceeding” and/or “enforcement action”, as referred to section 133(1) of the Companies Act</w:t>
      </w:r>
      <w:r w:rsidR="00521E5B" w:rsidRPr="00815038">
        <w:rPr>
          <w:rFonts w:ascii="Arial" w:hAnsi="Arial" w:cs="Arial"/>
          <w:sz w:val="24"/>
          <w:szCs w:val="24"/>
        </w:rPr>
        <w:t xml:space="preserve">, </w:t>
      </w:r>
      <w:r w:rsidRPr="00815038">
        <w:rPr>
          <w:rFonts w:ascii="Arial" w:hAnsi="Arial" w:cs="Arial"/>
          <w:sz w:val="24"/>
          <w:szCs w:val="24"/>
        </w:rPr>
        <w:t>so,</w:t>
      </w:r>
      <w:r w:rsidR="00521E5B" w:rsidRPr="00815038">
        <w:rPr>
          <w:rFonts w:ascii="Arial" w:hAnsi="Arial" w:cs="Arial"/>
          <w:sz w:val="24"/>
          <w:szCs w:val="24"/>
        </w:rPr>
        <w:t xml:space="preserve"> it was</w:t>
      </w:r>
      <w:r w:rsidR="00AB50F4">
        <w:rPr>
          <w:rFonts w:ascii="Arial" w:hAnsi="Arial" w:cs="Arial"/>
          <w:sz w:val="24"/>
          <w:szCs w:val="24"/>
        </w:rPr>
        <w:t>, further,</w:t>
      </w:r>
      <w:r w:rsidR="00521E5B" w:rsidRPr="00815038">
        <w:rPr>
          <w:rFonts w:ascii="Arial" w:hAnsi="Arial" w:cs="Arial"/>
          <w:sz w:val="24"/>
          <w:szCs w:val="24"/>
        </w:rPr>
        <w:t xml:space="preserve"> submitted</w:t>
      </w:r>
      <w:r w:rsidR="00FF6412" w:rsidRPr="00815038">
        <w:rPr>
          <w:rFonts w:ascii="Arial" w:hAnsi="Arial" w:cs="Arial"/>
          <w:sz w:val="24"/>
          <w:szCs w:val="24"/>
        </w:rPr>
        <w:t>.</w:t>
      </w:r>
    </w:p>
    <w:p w:rsidR="00815038" w:rsidRDefault="00815038" w:rsidP="0035415D">
      <w:pPr>
        <w:spacing w:line="360" w:lineRule="auto"/>
        <w:jc w:val="both"/>
        <w:rPr>
          <w:rFonts w:ascii="Arial" w:hAnsi="Arial" w:cs="Arial"/>
          <w:sz w:val="24"/>
          <w:szCs w:val="24"/>
        </w:rPr>
      </w:pPr>
    </w:p>
    <w:p w:rsidR="0035415D" w:rsidRPr="00815038" w:rsidRDefault="00815038" w:rsidP="0035415D">
      <w:pPr>
        <w:spacing w:line="360" w:lineRule="auto"/>
        <w:jc w:val="both"/>
        <w:rPr>
          <w:rFonts w:ascii="Arial" w:hAnsi="Arial" w:cs="Arial"/>
          <w:sz w:val="24"/>
          <w:szCs w:val="24"/>
        </w:rPr>
      </w:pPr>
      <w:r w:rsidRPr="00815038">
        <w:rPr>
          <w:rFonts w:ascii="Arial" w:hAnsi="Arial" w:cs="Arial"/>
          <w:sz w:val="24"/>
          <w:szCs w:val="24"/>
        </w:rPr>
        <w:t>[16]</w:t>
      </w:r>
      <w:r w:rsidRPr="00815038">
        <w:rPr>
          <w:rFonts w:ascii="Arial" w:hAnsi="Arial" w:cs="Arial"/>
          <w:sz w:val="24"/>
          <w:szCs w:val="24"/>
        </w:rPr>
        <w:tab/>
      </w:r>
      <w:r w:rsidR="00AB50F4">
        <w:rPr>
          <w:rFonts w:ascii="Arial" w:hAnsi="Arial" w:cs="Arial"/>
          <w:sz w:val="24"/>
          <w:szCs w:val="24"/>
        </w:rPr>
        <w:t>These</w:t>
      </w:r>
      <w:r w:rsidR="00FF6412" w:rsidRPr="00815038">
        <w:rPr>
          <w:rFonts w:ascii="Arial" w:hAnsi="Arial" w:cs="Arial"/>
          <w:sz w:val="24"/>
          <w:szCs w:val="24"/>
        </w:rPr>
        <w:t xml:space="preserve"> submission</w:t>
      </w:r>
      <w:r w:rsidR="00AB50F4">
        <w:rPr>
          <w:rFonts w:ascii="Arial" w:hAnsi="Arial" w:cs="Arial"/>
          <w:sz w:val="24"/>
          <w:szCs w:val="24"/>
        </w:rPr>
        <w:t>s</w:t>
      </w:r>
      <w:r w:rsidR="00FF6412" w:rsidRPr="00815038">
        <w:rPr>
          <w:rFonts w:ascii="Arial" w:hAnsi="Arial" w:cs="Arial"/>
          <w:sz w:val="24"/>
          <w:szCs w:val="24"/>
        </w:rPr>
        <w:t xml:space="preserve"> by the applicant</w:t>
      </w:r>
      <w:r w:rsidR="00AB50F4">
        <w:rPr>
          <w:rFonts w:ascii="Arial" w:hAnsi="Arial" w:cs="Arial"/>
          <w:sz w:val="24"/>
          <w:szCs w:val="24"/>
        </w:rPr>
        <w:t>s</w:t>
      </w:r>
      <w:r w:rsidR="00FF6412" w:rsidRPr="00815038">
        <w:rPr>
          <w:rFonts w:ascii="Arial" w:hAnsi="Arial" w:cs="Arial"/>
          <w:sz w:val="24"/>
          <w:szCs w:val="24"/>
        </w:rPr>
        <w:t xml:space="preserve"> </w:t>
      </w:r>
      <w:r w:rsidR="00AB50F4">
        <w:rPr>
          <w:rFonts w:ascii="Arial" w:hAnsi="Arial" w:cs="Arial"/>
          <w:sz w:val="24"/>
          <w:szCs w:val="24"/>
        </w:rPr>
        <w:t>are</w:t>
      </w:r>
      <w:r w:rsidR="00FF6412" w:rsidRPr="00815038">
        <w:rPr>
          <w:rFonts w:ascii="Arial" w:hAnsi="Arial" w:cs="Arial"/>
          <w:sz w:val="24"/>
          <w:szCs w:val="24"/>
        </w:rPr>
        <w:t xml:space="preserve"> responded to correctly, in my view, by the respondents </w:t>
      </w:r>
      <w:r w:rsidR="00151D20" w:rsidRPr="00815038">
        <w:rPr>
          <w:rFonts w:ascii="Arial" w:hAnsi="Arial" w:cs="Arial"/>
          <w:sz w:val="24"/>
          <w:szCs w:val="24"/>
        </w:rPr>
        <w:t xml:space="preserve">in the heads of argument </w:t>
      </w:r>
      <w:r w:rsidR="00FF6412" w:rsidRPr="00815038">
        <w:rPr>
          <w:rFonts w:ascii="Arial" w:hAnsi="Arial" w:cs="Arial"/>
          <w:sz w:val="24"/>
          <w:szCs w:val="24"/>
        </w:rPr>
        <w:t xml:space="preserve">when they contend </w:t>
      </w:r>
      <w:r w:rsidR="00151D20" w:rsidRPr="00815038">
        <w:rPr>
          <w:rFonts w:ascii="Arial" w:hAnsi="Arial" w:cs="Arial"/>
          <w:sz w:val="24"/>
          <w:szCs w:val="24"/>
        </w:rPr>
        <w:t>that the court acted correctly in not considering the provisions of section 133 of</w:t>
      </w:r>
      <w:r w:rsidR="00FF6412" w:rsidRPr="00815038">
        <w:rPr>
          <w:rFonts w:ascii="Arial" w:hAnsi="Arial" w:cs="Arial"/>
          <w:sz w:val="24"/>
          <w:szCs w:val="24"/>
        </w:rPr>
        <w:t xml:space="preserve"> the </w:t>
      </w:r>
      <w:r w:rsidR="00521E5B" w:rsidRPr="00815038">
        <w:rPr>
          <w:rFonts w:ascii="Arial" w:hAnsi="Arial" w:cs="Arial"/>
          <w:sz w:val="24"/>
          <w:szCs w:val="24"/>
        </w:rPr>
        <w:t xml:space="preserve">Companies </w:t>
      </w:r>
      <w:r w:rsidR="00FF6412" w:rsidRPr="00815038">
        <w:rPr>
          <w:rFonts w:ascii="Arial" w:hAnsi="Arial" w:cs="Arial"/>
          <w:sz w:val="24"/>
          <w:szCs w:val="24"/>
        </w:rPr>
        <w:t>Act because by doing so, the court</w:t>
      </w:r>
      <w:r w:rsidR="00151D20" w:rsidRPr="00815038">
        <w:rPr>
          <w:rFonts w:ascii="Arial" w:hAnsi="Arial" w:cs="Arial"/>
          <w:sz w:val="24"/>
          <w:szCs w:val="24"/>
        </w:rPr>
        <w:t xml:space="preserve"> would have ignored the undisputed fact that there were two contractual worlds at play.  The first being the contractual relationship between Steyn City and GD Irons in terms of the Main Construction Agreement, and the second being the contractual relationship between Steyn City and Guardrisk in terms of the Guarantee.</w:t>
      </w:r>
      <w:r w:rsidR="0035415D" w:rsidRPr="00815038">
        <w:rPr>
          <w:rFonts w:ascii="Arial" w:hAnsi="Arial" w:cs="Arial"/>
          <w:sz w:val="24"/>
          <w:szCs w:val="24"/>
        </w:rPr>
        <w:t xml:space="preserve"> </w:t>
      </w:r>
      <w:r w:rsidR="00FF6412" w:rsidRPr="00815038">
        <w:rPr>
          <w:rFonts w:ascii="Arial" w:hAnsi="Arial" w:cs="Arial"/>
          <w:sz w:val="24"/>
          <w:szCs w:val="24"/>
        </w:rPr>
        <w:t xml:space="preserve"> </w:t>
      </w:r>
      <w:r w:rsidR="0035415D" w:rsidRPr="00815038">
        <w:rPr>
          <w:rFonts w:ascii="Arial" w:hAnsi="Arial" w:cs="Arial"/>
          <w:sz w:val="24"/>
          <w:szCs w:val="24"/>
        </w:rPr>
        <w:t xml:space="preserve">It further means that this court would have found that section 133(1) of the </w:t>
      </w:r>
      <w:r w:rsidR="00521E5B" w:rsidRPr="00815038">
        <w:rPr>
          <w:rFonts w:ascii="Arial" w:hAnsi="Arial" w:cs="Arial"/>
          <w:sz w:val="24"/>
          <w:szCs w:val="24"/>
        </w:rPr>
        <w:t xml:space="preserve">Companies </w:t>
      </w:r>
      <w:r w:rsidR="0035415D" w:rsidRPr="00815038">
        <w:rPr>
          <w:rFonts w:ascii="Arial" w:hAnsi="Arial" w:cs="Arial"/>
          <w:sz w:val="24"/>
          <w:szCs w:val="24"/>
        </w:rPr>
        <w:t xml:space="preserve">Act applies as between Steyn City and Guardrisk, in circumstances </w:t>
      </w:r>
      <w:r w:rsidR="0035415D" w:rsidRPr="00815038">
        <w:rPr>
          <w:rFonts w:ascii="Arial" w:hAnsi="Arial" w:cs="Arial"/>
          <w:sz w:val="24"/>
          <w:szCs w:val="24"/>
        </w:rPr>
        <w:lastRenderedPageBreak/>
        <w:t>where neither of them are in business rescue</w:t>
      </w:r>
      <w:r w:rsidR="00521E5B" w:rsidRPr="00815038">
        <w:rPr>
          <w:rFonts w:ascii="Arial" w:hAnsi="Arial" w:cs="Arial"/>
          <w:sz w:val="24"/>
          <w:szCs w:val="24"/>
        </w:rPr>
        <w:t>,</w:t>
      </w:r>
      <w:r w:rsidR="0035415D" w:rsidRPr="00815038">
        <w:rPr>
          <w:rFonts w:ascii="Arial" w:hAnsi="Arial" w:cs="Arial"/>
          <w:sz w:val="24"/>
          <w:szCs w:val="24"/>
        </w:rPr>
        <w:t xml:space="preserve"> and despite the fact that Steyn City was claiming payment in respect of the Certified Indebtedness from Guardrisk in terms of the Guarantee.</w:t>
      </w:r>
    </w:p>
    <w:p w:rsidR="00815038" w:rsidRDefault="00815038" w:rsidP="00F6516A">
      <w:pPr>
        <w:spacing w:line="360" w:lineRule="auto"/>
        <w:jc w:val="both"/>
        <w:rPr>
          <w:rFonts w:ascii="Arial" w:hAnsi="Arial" w:cs="Arial"/>
          <w:sz w:val="24"/>
          <w:szCs w:val="24"/>
        </w:rPr>
      </w:pPr>
    </w:p>
    <w:p w:rsidR="00C31978" w:rsidRPr="00815038" w:rsidRDefault="00815038" w:rsidP="00F6516A">
      <w:pPr>
        <w:spacing w:line="360" w:lineRule="auto"/>
        <w:jc w:val="both"/>
        <w:rPr>
          <w:rFonts w:ascii="Arial" w:hAnsi="Arial" w:cs="Arial"/>
          <w:sz w:val="24"/>
          <w:szCs w:val="24"/>
        </w:rPr>
      </w:pPr>
      <w:r w:rsidRPr="00815038">
        <w:rPr>
          <w:rFonts w:ascii="Arial" w:hAnsi="Arial" w:cs="Arial"/>
          <w:sz w:val="24"/>
          <w:szCs w:val="24"/>
        </w:rPr>
        <w:t>[17]</w:t>
      </w:r>
      <w:r w:rsidRPr="00815038">
        <w:rPr>
          <w:rFonts w:ascii="Arial" w:hAnsi="Arial" w:cs="Arial"/>
          <w:sz w:val="24"/>
          <w:szCs w:val="24"/>
        </w:rPr>
        <w:tab/>
      </w:r>
      <w:r w:rsidR="00FF6412" w:rsidRPr="00815038">
        <w:rPr>
          <w:rFonts w:ascii="Arial" w:hAnsi="Arial" w:cs="Arial"/>
          <w:sz w:val="24"/>
          <w:szCs w:val="24"/>
        </w:rPr>
        <w:t xml:space="preserve">The application for leave to appeal is regulated in terms of </w:t>
      </w:r>
      <w:r w:rsidR="00F6516A" w:rsidRPr="00815038">
        <w:rPr>
          <w:rFonts w:ascii="Arial" w:hAnsi="Arial" w:cs="Arial"/>
          <w:sz w:val="24"/>
          <w:szCs w:val="24"/>
        </w:rPr>
        <w:t xml:space="preserve">on section </w:t>
      </w:r>
      <w:r w:rsidR="00FF6412" w:rsidRPr="00815038">
        <w:rPr>
          <w:rFonts w:ascii="Arial" w:hAnsi="Arial" w:cs="Arial"/>
          <w:sz w:val="24"/>
          <w:szCs w:val="24"/>
        </w:rPr>
        <w:t>17 of the Superior Court Act 10 of 2013 (“the Superior Court Act”)</w:t>
      </w:r>
      <w:r w:rsidR="00521E5B" w:rsidRPr="00815038">
        <w:rPr>
          <w:rFonts w:ascii="Arial" w:hAnsi="Arial" w:cs="Arial"/>
          <w:sz w:val="24"/>
          <w:szCs w:val="24"/>
        </w:rPr>
        <w:t>. The application for leave to appeal, in this instance, is premised on the primary contention that the foreshadowed appeal presents with reasonable prospects of success on appeal in that, so it is contended, another court (an appeal court) will come to a different conclusion on the matter. The applicants, as such, relies on the provisions of section 17(1)(a)(i) of the Superior Court Act</w:t>
      </w:r>
      <w:r w:rsidRPr="00815038">
        <w:rPr>
          <w:rFonts w:ascii="Arial" w:hAnsi="Arial" w:cs="Arial"/>
          <w:sz w:val="24"/>
          <w:szCs w:val="24"/>
        </w:rPr>
        <w:t xml:space="preserve">, </w:t>
      </w:r>
      <w:r w:rsidR="00FF6412" w:rsidRPr="00815038">
        <w:rPr>
          <w:rFonts w:ascii="Arial" w:hAnsi="Arial" w:cs="Arial"/>
          <w:sz w:val="24"/>
          <w:szCs w:val="24"/>
        </w:rPr>
        <w:t>which provides that leave to appeal may only be given where the judge or judges concerned are of the opinion that the appeal would have a reasonable prospect of success.</w:t>
      </w:r>
    </w:p>
    <w:p w:rsidR="00815038" w:rsidRDefault="00815038" w:rsidP="00342423">
      <w:pPr>
        <w:spacing w:line="360" w:lineRule="auto"/>
        <w:jc w:val="both"/>
        <w:rPr>
          <w:rFonts w:ascii="Arial" w:hAnsi="Arial" w:cs="Arial"/>
          <w:sz w:val="24"/>
          <w:szCs w:val="24"/>
        </w:rPr>
      </w:pPr>
    </w:p>
    <w:p w:rsidR="00342423" w:rsidRPr="00815038" w:rsidRDefault="00815038" w:rsidP="00342423">
      <w:pPr>
        <w:spacing w:line="360" w:lineRule="auto"/>
        <w:jc w:val="both"/>
        <w:rPr>
          <w:rFonts w:ascii="Arial" w:hAnsi="Arial" w:cs="Arial"/>
          <w:sz w:val="24"/>
          <w:szCs w:val="24"/>
        </w:rPr>
      </w:pPr>
      <w:r w:rsidRPr="00815038">
        <w:rPr>
          <w:rFonts w:ascii="Arial" w:hAnsi="Arial" w:cs="Arial"/>
          <w:sz w:val="24"/>
          <w:szCs w:val="24"/>
        </w:rPr>
        <w:t>[18]</w:t>
      </w:r>
      <w:r w:rsidRPr="00815038">
        <w:rPr>
          <w:rFonts w:ascii="Arial" w:hAnsi="Arial" w:cs="Arial"/>
          <w:sz w:val="24"/>
          <w:szCs w:val="24"/>
        </w:rPr>
        <w:tab/>
      </w:r>
      <w:r w:rsidR="00FF6412" w:rsidRPr="00815038">
        <w:rPr>
          <w:rFonts w:ascii="Arial" w:hAnsi="Arial" w:cs="Arial"/>
          <w:sz w:val="24"/>
          <w:szCs w:val="24"/>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00FF6412" w:rsidRPr="00815038">
        <w:rPr>
          <w:rStyle w:val="FootnoteReference"/>
          <w:rFonts w:ascii="Arial" w:hAnsi="Arial" w:cs="Arial"/>
          <w:sz w:val="24"/>
          <w:szCs w:val="24"/>
        </w:rPr>
        <w:footnoteReference w:id="1"/>
      </w:r>
    </w:p>
    <w:p w:rsidR="00815038" w:rsidRDefault="00815038" w:rsidP="00342423">
      <w:pPr>
        <w:spacing w:line="360" w:lineRule="auto"/>
        <w:jc w:val="both"/>
        <w:rPr>
          <w:rFonts w:ascii="Arial" w:hAnsi="Arial" w:cs="Arial"/>
          <w:sz w:val="24"/>
          <w:szCs w:val="24"/>
        </w:rPr>
      </w:pPr>
    </w:p>
    <w:p w:rsidR="00FF6412" w:rsidRPr="00815038" w:rsidRDefault="00815038" w:rsidP="00AB50F4">
      <w:pPr>
        <w:spacing w:line="360" w:lineRule="auto"/>
        <w:jc w:val="both"/>
        <w:rPr>
          <w:rFonts w:ascii="Arial" w:hAnsi="Arial" w:cs="Arial"/>
          <w:sz w:val="24"/>
          <w:szCs w:val="24"/>
        </w:rPr>
      </w:pPr>
      <w:r w:rsidRPr="00815038">
        <w:rPr>
          <w:rFonts w:ascii="Arial" w:hAnsi="Arial" w:cs="Arial"/>
          <w:sz w:val="24"/>
          <w:szCs w:val="24"/>
        </w:rPr>
        <w:t>[19]</w:t>
      </w:r>
      <w:r w:rsidRPr="00815038">
        <w:rPr>
          <w:rFonts w:ascii="Arial" w:hAnsi="Arial" w:cs="Arial"/>
          <w:sz w:val="24"/>
          <w:szCs w:val="24"/>
        </w:rPr>
        <w:tab/>
      </w:r>
      <w:r w:rsidR="00FF6412" w:rsidRPr="00815038">
        <w:rPr>
          <w:rFonts w:ascii="Arial" w:hAnsi="Arial" w:cs="Arial"/>
          <w:sz w:val="24"/>
          <w:szCs w:val="24"/>
        </w:rPr>
        <w:t>Section 17(1)(a)(i) of the Superior Courts Act,</w:t>
      </w:r>
      <w:r w:rsidR="00F45BAD" w:rsidRPr="00815038">
        <w:rPr>
          <w:rFonts w:ascii="Arial" w:hAnsi="Arial" w:cs="Arial"/>
          <w:sz w:val="24"/>
          <w:szCs w:val="24"/>
        </w:rPr>
        <w:t xml:space="preserve"> further</w:t>
      </w:r>
      <w:r w:rsidR="00FF6412" w:rsidRPr="00815038">
        <w:rPr>
          <w:rFonts w:ascii="Arial" w:hAnsi="Arial" w:cs="Arial"/>
          <w:sz w:val="24"/>
          <w:szCs w:val="24"/>
        </w:rPr>
        <w:t xml:space="preserve">, makes it clear that leave to appeal may only be given where the judge concerned is of the opinion </w:t>
      </w:r>
      <w:r w:rsidR="00FF6412" w:rsidRPr="00815038">
        <w:rPr>
          <w:rFonts w:ascii="Arial" w:hAnsi="Arial" w:cs="Arial"/>
          <w:sz w:val="24"/>
          <w:szCs w:val="24"/>
        </w:rPr>
        <w:lastRenderedPageBreak/>
        <w:t xml:space="preserve">that the appeal would have a reasonable prospect of success. </w:t>
      </w:r>
      <w:r w:rsidR="00F45BAD" w:rsidRPr="00815038">
        <w:rPr>
          <w:rFonts w:ascii="Arial" w:hAnsi="Arial" w:cs="Arial"/>
          <w:sz w:val="24"/>
          <w:szCs w:val="24"/>
        </w:rPr>
        <w:t>On the basis of the reasons advanced here above, t</w:t>
      </w:r>
      <w:r w:rsidR="00FF6412" w:rsidRPr="00815038">
        <w:rPr>
          <w:rFonts w:ascii="Arial" w:hAnsi="Arial" w:cs="Arial"/>
          <w:sz w:val="24"/>
          <w:szCs w:val="24"/>
        </w:rPr>
        <w:t>his court’s view is that there are no reasonable prospects of success on appeal in this matter.</w:t>
      </w:r>
      <w:r w:rsidR="00AB50F4" w:rsidRPr="00AB50F4">
        <w:rPr>
          <w:rFonts w:ascii="Arial" w:hAnsi="Arial" w:cs="Arial"/>
          <w:sz w:val="24"/>
          <w:szCs w:val="24"/>
        </w:rPr>
        <w:t xml:space="preserve"> </w:t>
      </w:r>
      <w:r w:rsidR="00AB50F4">
        <w:rPr>
          <w:rFonts w:ascii="Arial" w:hAnsi="Arial" w:cs="Arial"/>
          <w:sz w:val="24"/>
          <w:szCs w:val="24"/>
        </w:rPr>
        <w:t>T</w:t>
      </w:r>
      <w:r w:rsidR="00AB50F4" w:rsidRPr="00815038">
        <w:rPr>
          <w:rFonts w:ascii="Arial" w:hAnsi="Arial" w:cs="Arial"/>
          <w:sz w:val="24"/>
          <w:szCs w:val="24"/>
        </w:rPr>
        <w:t>he appl</w:t>
      </w:r>
      <w:r w:rsidR="00AB50F4">
        <w:rPr>
          <w:rFonts w:ascii="Arial" w:hAnsi="Arial" w:cs="Arial"/>
          <w:sz w:val="24"/>
          <w:szCs w:val="24"/>
        </w:rPr>
        <w:t>ic</w:t>
      </w:r>
      <w:r w:rsidR="00AB50F4" w:rsidRPr="00815038">
        <w:rPr>
          <w:rFonts w:ascii="Arial" w:hAnsi="Arial" w:cs="Arial"/>
          <w:sz w:val="24"/>
          <w:szCs w:val="24"/>
        </w:rPr>
        <w:t>ant</w:t>
      </w:r>
      <w:r w:rsidR="00AB50F4">
        <w:rPr>
          <w:rFonts w:ascii="Arial" w:hAnsi="Arial" w:cs="Arial"/>
          <w:sz w:val="24"/>
          <w:szCs w:val="24"/>
        </w:rPr>
        <w:t xml:space="preserve">s have not </w:t>
      </w:r>
      <w:r w:rsidR="00AB50F4" w:rsidRPr="00815038">
        <w:rPr>
          <w:rFonts w:ascii="Arial" w:hAnsi="Arial" w:cs="Arial"/>
          <w:sz w:val="24"/>
          <w:szCs w:val="24"/>
        </w:rPr>
        <w:t>convince</w:t>
      </w:r>
      <w:r w:rsidR="00AB50F4">
        <w:rPr>
          <w:rFonts w:ascii="Arial" w:hAnsi="Arial" w:cs="Arial"/>
          <w:sz w:val="24"/>
          <w:szCs w:val="24"/>
        </w:rPr>
        <w:t>d</w:t>
      </w:r>
      <w:r w:rsidR="00AB50F4" w:rsidRPr="00815038">
        <w:rPr>
          <w:rFonts w:ascii="Arial" w:hAnsi="Arial" w:cs="Arial"/>
          <w:sz w:val="24"/>
          <w:szCs w:val="24"/>
        </w:rPr>
        <w:t xml:space="preserve"> this court on proper grounds that </w:t>
      </w:r>
      <w:r w:rsidR="00AB50F4">
        <w:rPr>
          <w:rFonts w:ascii="Arial" w:hAnsi="Arial" w:cs="Arial"/>
          <w:sz w:val="24"/>
          <w:szCs w:val="24"/>
        </w:rPr>
        <w:t>t</w:t>
      </w:r>
      <w:r w:rsidR="00AB50F4" w:rsidRPr="00815038">
        <w:rPr>
          <w:rFonts w:ascii="Arial" w:hAnsi="Arial" w:cs="Arial"/>
          <w:sz w:val="24"/>
          <w:szCs w:val="24"/>
        </w:rPr>
        <w:t>he</w:t>
      </w:r>
      <w:r w:rsidR="00AB50F4">
        <w:rPr>
          <w:rFonts w:ascii="Arial" w:hAnsi="Arial" w:cs="Arial"/>
          <w:sz w:val="24"/>
          <w:szCs w:val="24"/>
        </w:rPr>
        <w:t>y</w:t>
      </w:r>
      <w:r w:rsidR="00AB50F4" w:rsidRPr="00815038">
        <w:rPr>
          <w:rFonts w:ascii="Arial" w:hAnsi="Arial" w:cs="Arial"/>
          <w:sz w:val="24"/>
          <w:szCs w:val="24"/>
        </w:rPr>
        <w:t xml:space="preserve"> ha</w:t>
      </w:r>
      <w:r w:rsidR="00AB50F4">
        <w:rPr>
          <w:rFonts w:ascii="Arial" w:hAnsi="Arial" w:cs="Arial"/>
          <w:sz w:val="24"/>
          <w:szCs w:val="24"/>
        </w:rPr>
        <w:t>ve</w:t>
      </w:r>
      <w:r w:rsidR="00AB50F4" w:rsidRPr="00815038">
        <w:rPr>
          <w:rFonts w:ascii="Arial" w:hAnsi="Arial" w:cs="Arial"/>
          <w:sz w:val="24"/>
          <w:szCs w:val="24"/>
        </w:rPr>
        <w:t xml:space="preserve"> prospects of success on appeal and that those prospects are not remote but have a realistic chance of succeeding.</w:t>
      </w:r>
    </w:p>
    <w:p w:rsidR="00815038" w:rsidRDefault="00815038" w:rsidP="00342423">
      <w:pPr>
        <w:spacing w:line="360" w:lineRule="auto"/>
        <w:jc w:val="both"/>
        <w:rPr>
          <w:rFonts w:ascii="Arial" w:hAnsi="Arial" w:cs="Arial"/>
          <w:sz w:val="24"/>
          <w:szCs w:val="24"/>
        </w:rPr>
      </w:pPr>
    </w:p>
    <w:p w:rsidR="00FF6412" w:rsidRDefault="00815038" w:rsidP="00342423">
      <w:pPr>
        <w:spacing w:line="360" w:lineRule="auto"/>
        <w:jc w:val="both"/>
        <w:rPr>
          <w:rFonts w:ascii="Arial" w:hAnsi="Arial" w:cs="Arial"/>
          <w:sz w:val="24"/>
          <w:szCs w:val="24"/>
        </w:rPr>
      </w:pPr>
      <w:r w:rsidRPr="00815038">
        <w:rPr>
          <w:rFonts w:ascii="Arial" w:hAnsi="Arial" w:cs="Arial"/>
          <w:sz w:val="24"/>
          <w:szCs w:val="24"/>
        </w:rPr>
        <w:t>[20]</w:t>
      </w:r>
      <w:r w:rsidRPr="00815038">
        <w:rPr>
          <w:rFonts w:ascii="Arial" w:hAnsi="Arial" w:cs="Arial"/>
          <w:sz w:val="24"/>
          <w:szCs w:val="24"/>
        </w:rPr>
        <w:tab/>
      </w:r>
      <w:r w:rsidR="00FF6412" w:rsidRPr="00815038">
        <w:rPr>
          <w:rFonts w:ascii="Arial" w:hAnsi="Arial" w:cs="Arial"/>
          <w:sz w:val="24"/>
          <w:szCs w:val="24"/>
        </w:rPr>
        <w:t>Consequently, the application for leave to appeal is dismissed with costs.</w:t>
      </w:r>
    </w:p>
    <w:p w:rsidR="00815038" w:rsidRDefault="00815038" w:rsidP="00342423">
      <w:pPr>
        <w:spacing w:line="360" w:lineRule="auto"/>
        <w:jc w:val="both"/>
        <w:rPr>
          <w:rFonts w:ascii="Arial" w:hAnsi="Arial" w:cs="Arial"/>
          <w:sz w:val="24"/>
          <w:szCs w:val="24"/>
        </w:rPr>
      </w:pPr>
    </w:p>
    <w:p w:rsidR="00815038" w:rsidRDefault="00815038" w:rsidP="00342423">
      <w:pPr>
        <w:spacing w:line="360" w:lineRule="auto"/>
        <w:jc w:val="both"/>
        <w:rPr>
          <w:rFonts w:ascii="Arial" w:hAnsi="Arial" w:cs="Arial"/>
          <w:sz w:val="24"/>
          <w:szCs w:val="24"/>
        </w:rPr>
      </w:pPr>
    </w:p>
    <w:p w:rsidR="00815038" w:rsidRPr="0042321E" w:rsidRDefault="00815038" w:rsidP="00815038">
      <w:pPr>
        <w:jc w:val="right"/>
        <w:rPr>
          <w:rFonts w:ascii="Segoe UI" w:hAnsi="Segoe UI" w:cs="Segoe UI"/>
          <w:sz w:val="24"/>
          <w:szCs w:val="24"/>
        </w:rPr>
      </w:pP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815038" w:rsidRPr="0042321E" w:rsidRDefault="00815038" w:rsidP="00815038">
      <w:pPr>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815038" w:rsidRPr="0042321E" w:rsidRDefault="00815038" w:rsidP="00815038">
      <w:pPr>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815038" w:rsidRPr="0042321E" w:rsidRDefault="00815038" w:rsidP="00815038">
      <w:pPr>
        <w:jc w:val="right"/>
        <w:rPr>
          <w:rFonts w:ascii="Segoe UI" w:hAnsi="Segoe UI" w:cs="Segoe UI"/>
          <w:b/>
          <w:sz w:val="24"/>
          <w:szCs w:val="24"/>
        </w:rPr>
      </w:pPr>
      <w:r w:rsidRPr="0042321E">
        <w:rPr>
          <w:rFonts w:ascii="Segoe UI" w:hAnsi="Segoe UI" w:cs="Segoe UI"/>
          <w:b/>
          <w:sz w:val="24"/>
          <w:szCs w:val="24"/>
        </w:rPr>
        <w:t>GAUTENG DIVISION, PRETORIA</w:t>
      </w:r>
    </w:p>
    <w:p w:rsidR="00815038" w:rsidRDefault="00815038" w:rsidP="00815038">
      <w:pPr>
        <w:spacing w:line="360" w:lineRule="auto"/>
        <w:jc w:val="both"/>
        <w:rPr>
          <w:rFonts w:ascii="Arial" w:hAnsi="Arial" w:cs="Arial"/>
          <w:sz w:val="24"/>
          <w:szCs w:val="24"/>
        </w:rPr>
      </w:pPr>
    </w:p>
    <w:p w:rsidR="00815038" w:rsidRDefault="00815038" w:rsidP="00815038">
      <w:pPr>
        <w:spacing w:line="360" w:lineRule="auto"/>
        <w:jc w:val="both"/>
        <w:rPr>
          <w:rFonts w:ascii="Arial" w:hAnsi="Arial" w:cs="Arial"/>
          <w:sz w:val="24"/>
          <w:szCs w:val="24"/>
        </w:rPr>
      </w:pPr>
      <w:r>
        <w:rPr>
          <w:rFonts w:ascii="Arial" w:hAnsi="Arial" w:cs="Arial"/>
          <w:sz w:val="24"/>
          <w:szCs w:val="24"/>
        </w:rPr>
        <w:t>APPEARANCES:</w:t>
      </w:r>
    </w:p>
    <w:p w:rsidR="00815038" w:rsidRDefault="00815038" w:rsidP="00815038">
      <w:pPr>
        <w:spacing w:line="360" w:lineRule="auto"/>
        <w:jc w:val="both"/>
        <w:rPr>
          <w:rFonts w:ascii="Arial" w:hAnsi="Arial" w:cs="Arial"/>
          <w:sz w:val="24"/>
          <w:szCs w:val="24"/>
        </w:rPr>
      </w:pPr>
      <w:r>
        <w:rPr>
          <w:rFonts w:ascii="Arial" w:hAnsi="Arial" w:cs="Arial"/>
          <w:sz w:val="24"/>
          <w:szCs w:val="24"/>
        </w:rPr>
        <w:t>FIRST &amp; SECOND APPLICANTS’ COUNSEL:</w:t>
      </w:r>
      <w:r>
        <w:rPr>
          <w:rFonts w:ascii="Arial" w:hAnsi="Arial" w:cs="Arial"/>
          <w:sz w:val="24"/>
          <w:szCs w:val="24"/>
        </w:rPr>
        <w:tab/>
        <w:t xml:space="preserve">          ADV R DU PLESSIS SC</w:t>
      </w:r>
    </w:p>
    <w:p w:rsidR="00815038" w:rsidRDefault="00815038" w:rsidP="0081503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M BOONZAAIER</w:t>
      </w:r>
    </w:p>
    <w:p w:rsidR="00815038" w:rsidRDefault="00815038" w:rsidP="00815038">
      <w:pPr>
        <w:spacing w:line="360" w:lineRule="auto"/>
        <w:jc w:val="both"/>
        <w:rPr>
          <w:rFonts w:ascii="Arial" w:hAnsi="Arial" w:cs="Arial"/>
          <w:sz w:val="24"/>
          <w:szCs w:val="24"/>
        </w:rPr>
      </w:pPr>
      <w:r>
        <w:rPr>
          <w:rFonts w:ascii="Arial" w:hAnsi="Arial" w:cs="Arial"/>
          <w:sz w:val="24"/>
          <w:szCs w:val="24"/>
        </w:rPr>
        <w:t>FIRST &amp; SECOND APPLICANT’S ATTORNEYS:</w:t>
      </w:r>
      <w:r>
        <w:rPr>
          <w:rFonts w:ascii="Arial" w:hAnsi="Arial" w:cs="Arial"/>
          <w:sz w:val="24"/>
          <w:szCs w:val="24"/>
        </w:rPr>
        <w:tab/>
        <w:t xml:space="preserve">  WN ATTORNEYS INC</w:t>
      </w:r>
    </w:p>
    <w:p w:rsidR="00815038" w:rsidRDefault="00815038" w:rsidP="00815038">
      <w:pPr>
        <w:spacing w:line="360" w:lineRule="auto"/>
        <w:jc w:val="both"/>
        <w:rPr>
          <w:rFonts w:ascii="Arial" w:hAnsi="Arial" w:cs="Arial"/>
          <w:sz w:val="24"/>
          <w:szCs w:val="24"/>
        </w:rPr>
      </w:pPr>
      <w:r>
        <w:rPr>
          <w:rFonts w:ascii="Arial" w:hAnsi="Arial" w:cs="Arial"/>
          <w:sz w:val="24"/>
          <w:szCs w:val="24"/>
        </w:rPr>
        <w:t>FIRST RESPONDENT COUNSEL:</w:t>
      </w:r>
      <w:r>
        <w:rPr>
          <w:rFonts w:ascii="Arial" w:hAnsi="Arial" w:cs="Arial"/>
          <w:sz w:val="24"/>
          <w:szCs w:val="24"/>
        </w:rPr>
        <w:tab/>
      </w:r>
      <w:r>
        <w:rPr>
          <w:rFonts w:ascii="Arial" w:hAnsi="Arial" w:cs="Arial"/>
          <w:sz w:val="24"/>
          <w:szCs w:val="24"/>
        </w:rPr>
        <w:tab/>
        <w:t xml:space="preserve">                          ADV JE SMIT</w:t>
      </w:r>
    </w:p>
    <w:p w:rsidR="00815038" w:rsidRDefault="00815038" w:rsidP="0081503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P LOURENS</w:t>
      </w:r>
    </w:p>
    <w:p w:rsidR="00815038" w:rsidRPr="00FF6412" w:rsidRDefault="00815038" w:rsidP="00815038">
      <w:pPr>
        <w:spacing w:line="360" w:lineRule="auto"/>
        <w:jc w:val="both"/>
        <w:rPr>
          <w:rFonts w:ascii="Arial" w:hAnsi="Arial" w:cs="Arial"/>
          <w:sz w:val="24"/>
          <w:szCs w:val="24"/>
        </w:rPr>
      </w:pPr>
      <w:r>
        <w:rPr>
          <w:rFonts w:ascii="Arial" w:hAnsi="Arial" w:cs="Arial"/>
          <w:sz w:val="24"/>
          <w:szCs w:val="24"/>
        </w:rPr>
        <w:t>FIRST RESPONDENT ATTORNEYS:</w:t>
      </w:r>
      <w:r>
        <w:rPr>
          <w:rFonts w:ascii="Arial" w:hAnsi="Arial" w:cs="Arial"/>
          <w:sz w:val="24"/>
          <w:szCs w:val="24"/>
        </w:rPr>
        <w:tab/>
      </w:r>
      <w:r>
        <w:rPr>
          <w:rFonts w:ascii="Arial" w:hAnsi="Arial" w:cs="Arial"/>
          <w:sz w:val="24"/>
          <w:szCs w:val="24"/>
        </w:rPr>
        <w:tab/>
        <w:t xml:space="preserve">  WERKSMANS ATTORNEYS</w:t>
      </w:r>
    </w:p>
    <w:p w:rsidR="00815038" w:rsidRPr="00815038" w:rsidRDefault="00815038" w:rsidP="00342423">
      <w:pPr>
        <w:spacing w:line="360" w:lineRule="auto"/>
        <w:jc w:val="both"/>
        <w:rPr>
          <w:rFonts w:ascii="Arial" w:hAnsi="Arial" w:cs="Arial"/>
          <w:sz w:val="24"/>
          <w:szCs w:val="24"/>
        </w:rPr>
      </w:pPr>
    </w:p>
    <w:sectPr w:rsidR="00815038" w:rsidRPr="00815038" w:rsidSect="0016555B">
      <w:footerReference w:type="default" r:id="rId10"/>
      <w:footerReference w:type="first" r:id="rId11"/>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CA" w:rsidRDefault="004233CA" w:rsidP="00FF6412">
      <w:pPr>
        <w:spacing w:after="0" w:line="240" w:lineRule="auto"/>
      </w:pPr>
      <w:r>
        <w:separator/>
      </w:r>
    </w:p>
  </w:endnote>
  <w:endnote w:type="continuationSeparator" w:id="0">
    <w:p w:rsidR="004233CA" w:rsidRDefault="004233CA" w:rsidP="00FF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6602"/>
      <w:docPartObj>
        <w:docPartGallery w:val="Page Numbers (Bottom of Page)"/>
        <w:docPartUnique/>
      </w:docPartObj>
    </w:sdtPr>
    <w:sdtEndPr>
      <w:rPr>
        <w:noProof/>
      </w:rPr>
    </w:sdtEndPr>
    <w:sdtContent>
      <w:p w:rsidR="00815038" w:rsidRDefault="00815038">
        <w:pPr>
          <w:pStyle w:val="Footer"/>
          <w:jc w:val="right"/>
        </w:pPr>
        <w:r>
          <w:fldChar w:fldCharType="begin"/>
        </w:r>
        <w:r>
          <w:instrText xml:space="preserve"> PAGE   \* MERGEFORMAT </w:instrText>
        </w:r>
        <w:r>
          <w:fldChar w:fldCharType="separate"/>
        </w:r>
        <w:r w:rsidR="00AB50F4">
          <w:rPr>
            <w:noProof/>
          </w:rPr>
          <w:t>9</w:t>
        </w:r>
        <w:r>
          <w:rPr>
            <w:noProof/>
          </w:rPr>
          <w:fldChar w:fldCharType="end"/>
        </w:r>
      </w:p>
    </w:sdtContent>
  </w:sdt>
  <w:p w:rsidR="00815038" w:rsidRDefault="008150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39040"/>
      <w:docPartObj>
        <w:docPartGallery w:val="Page Numbers (Bottom of Page)"/>
        <w:docPartUnique/>
      </w:docPartObj>
    </w:sdtPr>
    <w:sdtEndPr>
      <w:rPr>
        <w:color w:val="7F7F7F" w:themeColor="background1" w:themeShade="7F"/>
        <w:spacing w:val="60"/>
      </w:rPr>
    </w:sdtEndPr>
    <w:sdtContent>
      <w:p w:rsidR="00815038" w:rsidRDefault="008150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50F4" w:rsidRPr="00AB50F4">
          <w:rPr>
            <w:b/>
            <w:bCs/>
            <w:noProof/>
          </w:rPr>
          <w:t>1</w:t>
        </w:r>
        <w:r>
          <w:rPr>
            <w:b/>
            <w:bCs/>
            <w:noProof/>
          </w:rPr>
          <w:fldChar w:fldCharType="end"/>
        </w:r>
        <w:r>
          <w:rPr>
            <w:b/>
            <w:bCs/>
          </w:rPr>
          <w:t xml:space="preserve"> | </w:t>
        </w:r>
        <w:r>
          <w:rPr>
            <w:color w:val="7F7F7F" w:themeColor="background1" w:themeShade="7F"/>
            <w:spacing w:val="60"/>
          </w:rPr>
          <w:t>Page</w:t>
        </w:r>
      </w:p>
    </w:sdtContent>
  </w:sdt>
  <w:p w:rsidR="00815038" w:rsidRDefault="008150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CA" w:rsidRDefault="004233CA" w:rsidP="00FF6412">
      <w:pPr>
        <w:spacing w:after="0" w:line="240" w:lineRule="auto"/>
      </w:pPr>
      <w:r>
        <w:separator/>
      </w:r>
    </w:p>
  </w:footnote>
  <w:footnote w:type="continuationSeparator" w:id="0">
    <w:p w:rsidR="004233CA" w:rsidRDefault="004233CA" w:rsidP="00FF6412">
      <w:pPr>
        <w:spacing w:after="0" w:line="240" w:lineRule="auto"/>
      </w:pPr>
      <w:r>
        <w:continuationSeparator/>
      </w:r>
    </w:p>
  </w:footnote>
  <w:footnote w:id="1">
    <w:p w:rsidR="00FF6412" w:rsidRDefault="00FF6412" w:rsidP="00FF6412">
      <w:pPr>
        <w:pStyle w:val="FootnoteText"/>
      </w:pPr>
      <w:r>
        <w:rPr>
          <w:rStyle w:val="FootnoteReference"/>
        </w:rPr>
        <w:footnoteRef/>
      </w:r>
      <w:r>
        <w:t xml:space="preserve">  Smith v S (475/10) [2011] ZASCA 15 (15 March 2011) para 7.</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574F4317"/>
    <w:multiLevelType w:val="hybridMultilevel"/>
    <w:tmpl w:val="AC362C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E280B67"/>
    <w:multiLevelType w:val="multilevel"/>
    <w:tmpl w:val="3B103A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23"/>
    <w:rsid w:val="00023C4A"/>
    <w:rsid w:val="0011207B"/>
    <w:rsid w:val="00123056"/>
    <w:rsid w:val="00151D20"/>
    <w:rsid w:val="0016555B"/>
    <w:rsid w:val="00342423"/>
    <w:rsid w:val="0035415D"/>
    <w:rsid w:val="003629F1"/>
    <w:rsid w:val="003A1339"/>
    <w:rsid w:val="004233CA"/>
    <w:rsid w:val="00521E5B"/>
    <w:rsid w:val="005D1213"/>
    <w:rsid w:val="006C29E7"/>
    <w:rsid w:val="007F18CA"/>
    <w:rsid w:val="00815038"/>
    <w:rsid w:val="0095040C"/>
    <w:rsid w:val="00A22A8B"/>
    <w:rsid w:val="00A373F2"/>
    <w:rsid w:val="00A76754"/>
    <w:rsid w:val="00AB50F4"/>
    <w:rsid w:val="00B0793E"/>
    <w:rsid w:val="00BD684B"/>
    <w:rsid w:val="00C31978"/>
    <w:rsid w:val="00C50AD1"/>
    <w:rsid w:val="00D7676D"/>
    <w:rsid w:val="00D832EB"/>
    <w:rsid w:val="00DB7F0B"/>
    <w:rsid w:val="00DF02CE"/>
    <w:rsid w:val="00F45BAD"/>
    <w:rsid w:val="00F6516A"/>
    <w:rsid w:val="00FF64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ED01"/>
  <w15:chartTrackingRefBased/>
  <w15:docId w15:val="{8608B7D4-82F4-4DEB-B096-735EC19C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23"/>
    <w:pPr>
      <w:ind w:left="720"/>
      <w:contextualSpacing/>
    </w:pPr>
  </w:style>
  <w:style w:type="paragraph" w:styleId="FootnoteText">
    <w:name w:val="footnote text"/>
    <w:basedOn w:val="Normal"/>
    <w:link w:val="FootnoteTextChar"/>
    <w:uiPriority w:val="99"/>
    <w:semiHidden/>
    <w:unhideWhenUsed/>
    <w:rsid w:val="00FF6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412"/>
    <w:rPr>
      <w:sz w:val="20"/>
      <w:szCs w:val="20"/>
    </w:rPr>
  </w:style>
  <w:style w:type="character" w:styleId="FootnoteReference">
    <w:name w:val="footnote reference"/>
    <w:basedOn w:val="DefaultParagraphFont"/>
    <w:uiPriority w:val="99"/>
    <w:semiHidden/>
    <w:unhideWhenUsed/>
    <w:rsid w:val="00FF6412"/>
    <w:rPr>
      <w:vertAlign w:val="superscript"/>
    </w:rPr>
  </w:style>
  <w:style w:type="paragraph" w:styleId="Header">
    <w:name w:val="header"/>
    <w:basedOn w:val="Normal"/>
    <w:link w:val="HeaderChar"/>
    <w:uiPriority w:val="99"/>
    <w:unhideWhenUsed/>
    <w:rsid w:val="0081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38"/>
  </w:style>
  <w:style w:type="paragraph" w:styleId="Footer">
    <w:name w:val="footer"/>
    <w:basedOn w:val="Normal"/>
    <w:link w:val="FooterChar"/>
    <w:uiPriority w:val="99"/>
    <w:unhideWhenUsed/>
    <w:rsid w:val="0081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E15D-B7D4-44AB-9C99-DF5F3064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Judge-Mamoloko Kubushi</cp:lastModifiedBy>
  <cp:revision>2</cp:revision>
  <cp:lastPrinted>2022-06-16T10:54:00Z</cp:lastPrinted>
  <dcterms:created xsi:type="dcterms:W3CDTF">2022-06-21T12:34:00Z</dcterms:created>
  <dcterms:modified xsi:type="dcterms:W3CDTF">2022-06-21T12:34:00Z</dcterms:modified>
</cp:coreProperties>
</file>