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10" w:rsidRDefault="00FD2810" w:rsidP="00FD2810">
      <w:pPr>
        <w:spacing w:line="360" w:lineRule="auto"/>
        <w:jc w:val="center"/>
        <w:rPr>
          <w:rFonts w:ascii="Arial" w:hAnsi="Arial" w:cs="Arial"/>
          <w:b/>
        </w:rPr>
      </w:pPr>
      <w:r>
        <w:rPr>
          <w:rFonts w:ascii="Arial" w:hAnsi="Arial" w:cs="Arial"/>
          <w:b/>
        </w:rPr>
        <w:t>REPUBLIC OF SOUTH AFRICA</w:t>
      </w:r>
    </w:p>
    <w:p w:rsidR="00FD2810" w:rsidRDefault="00FD2810" w:rsidP="00FD2810">
      <w:pPr>
        <w:spacing w:line="360" w:lineRule="auto"/>
        <w:jc w:val="center"/>
        <w:rPr>
          <w:rFonts w:ascii="Arial" w:hAnsi="Arial" w:cs="Arial"/>
          <w:b/>
        </w:rPr>
      </w:pPr>
      <w:r>
        <w:rPr>
          <w:noProof/>
          <w:color w:val="1F497D"/>
          <w:lang w:val="en-ZA"/>
        </w:rPr>
        <w:drawing>
          <wp:inline distT="0" distB="0" distL="0" distR="0" wp14:anchorId="37399A40" wp14:editId="37DF54EE">
            <wp:extent cx="1165860" cy="1160145"/>
            <wp:effectExtent l="0" t="0" r="0" b="190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047" cy="1165307"/>
                    </a:xfrm>
                    <a:prstGeom prst="rect">
                      <a:avLst/>
                    </a:prstGeom>
                    <a:noFill/>
                    <a:ln>
                      <a:noFill/>
                    </a:ln>
                  </pic:spPr>
                </pic:pic>
              </a:graphicData>
            </a:graphic>
          </wp:inline>
        </w:drawing>
      </w:r>
    </w:p>
    <w:p w:rsidR="00FD2810" w:rsidRDefault="00FD2810" w:rsidP="00FD2810">
      <w:pPr>
        <w:spacing w:line="360" w:lineRule="auto"/>
        <w:jc w:val="center"/>
        <w:rPr>
          <w:rFonts w:ascii="Arial" w:hAnsi="Arial" w:cs="Arial"/>
          <w:b/>
        </w:rPr>
      </w:pPr>
      <w:r>
        <w:rPr>
          <w:rFonts w:ascii="Arial" w:hAnsi="Arial" w:cs="Arial"/>
          <w:b/>
        </w:rPr>
        <w:t>IN THE HIGH COURT OF SOUTH AFRICA</w:t>
      </w:r>
    </w:p>
    <w:p w:rsidR="00FD2810" w:rsidRDefault="00FD2810" w:rsidP="00FD2810">
      <w:pPr>
        <w:spacing w:line="360" w:lineRule="auto"/>
        <w:jc w:val="center"/>
        <w:rPr>
          <w:rFonts w:ascii="Arial" w:hAnsi="Arial" w:cs="Arial"/>
          <w:b/>
        </w:rPr>
      </w:pPr>
      <w:r>
        <w:rPr>
          <w:rFonts w:ascii="Arial" w:hAnsi="Arial" w:cs="Arial"/>
          <w:b/>
        </w:rPr>
        <w:t xml:space="preserve"> GAUTENG DIVISION, PRETORIA</w:t>
      </w:r>
    </w:p>
    <w:p w:rsidR="00FD2810" w:rsidRDefault="00FD2810" w:rsidP="00FD2810">
      <w:pPr>
        <w:jc w:val="center"/>
        <w:rPr>
          <w:rFonts w:ascii="Arial" w:hAnsi="Arial" w:cs="Arial"/>
          <w:b/>
          <w:sz w:val="28"/>
          <w:szCs w:val="28"/>
        </w:rPr>
      </w:pPr>
    </w:p>
    <w:p w:rsidR="00FD2810" w:rsidRDefault="00FD2810" w:rsidP="00FD2810">
      <w:pPr>
        <w:jc w:val="right"/>
        <w:rPr>
          <w:rFonts w:ascii="Arial" w:hAnsi="Arial" w:cs="Arial"/>
        </w:rPr>
      </w:pPr>
      <w:r>
        <w:rPr>
          <w:noProof/>
          <w:lang w:val="en-ZA"/>
        </w:rPr>
        <mc:AlternateContent>
          <mc:Choice Requires="wps">
            <w:drawing>
              <wp:anchor distT="0" distB="0" distL="114300" distR="114300" simplePos="0" relativeHeight="251659264" behindDoc="0" locked="0" layoutInCell="1" allowOverlap="1" wp14:anchorId="0DC9F379" wp14:editId="178E279A">
                <wp:simplePos x="0" y="0"/>
                <wp:positionH relativeFrom="margin">
                  <wp:posOffset>-7620</wp:posOffset>
                </wp:positionH>
                <wp:positionV relativeFrom="paragraph">
                  <wp:posOffset>157480</wp:posOffset>
                </wp:positionV>
                <wp:extent cx="3759835" cy="16002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600200"/>
                        </a:xfrm>
                        <a:prstGeom prst="rect">
                          <a:avLst/>
                        </a:prstGeom>
                        <a:solidFill>
                          <a:srgbClr val="FFFFFF"/>
                        </a:solidFill>
                        <a:ln w="9525">
                          <a:solidFill>
                            <a:srgbClr val="000000"/>
                          </a:solidFill>
                          <a:miter lim="800000"/>
                          <a:headEnd/>
                          <a:tailEnd/>
                        </a:ln>
                      </wps:spPr>
                      <wps:txbx>
                        <w:txbxContent>
                          <w:p w:rsidR="00FD2810" w:rsidRDefault="00FD2810" w:rsidP="00FD2810">
                            <w:pPr>
                              <w:jc w:val="center"/>
                              <w:rPr>
                                <w:rFonts w:ascii="Century Gothic" w:hAnsi="Century Gothic"/>
                                <w:b/>
                                <w:sz w:val="20"/>
                                <w:szCs w:val="20"/>
                              </w:rPr>
                            </w:pPr>
                          </w:p>
                          <w:p w:rsidR="00FD2810" w:rsidRPr="00EE4A12" w:rsidRDefault="00FD2810" w:rsidP="00FD2810">
                            <w:pPr>
                              <w:widowControl/>
                              <w:numPr>
                                <w:ilvl w:val="0"/>
                                <w:numId w:val="1"/>
                              </w:numPr>
                              <w:autoSpaceDE/>
                              <w:autoSpaceDN/>
                              <w:adjustRightInd/>
                              <w:rPr>
                                <w:rFonts w:ascii="Century Gothic" w:hAnsi="Century Gothic"/>
                                <w:sz w:val="20"/>
                                <w:szCs w:val="20"/>
                              </w:rPr>
                            </w:pPr>
                            <w:r w:rsidRPr="00EE4A12">
                              <w:rPr>
                                <w:rFonts w:ascii="Century Gothic" w:hAnsi="Century Gothic"/>
                                <w:sz w:val="20"/>
                                <w:szCs w:val="20"/>
                              </w:rPr>
                              <w:t xml:space="preserve">REPORTABLE:  </w:t>
                            </w:r>
                            <w:r w:rsidRPr="00EE4A12">
                              <w:rPr>
                                <w:rFonts w:ascii="Century Gothic" w:hAnsi="Century Gothic"/>
                                <w:b/>
                                <w:bCs/>
                                <w:sz w:val="20"/>
                                <w:szCs w:val="20"/>
                              </w:rPr>
                              <w:t>NO</w:t>
                            </w:r>
                          </w:p>
                          <w:p w:rsidR="00FD2810" w:rsidRPr="00EE4A12" w:rsidRDefault="00FD2810" w:rsidP="00FD2810">
                            <w:pPr>
                              <w:widowControl/>
                              <w:numPr>
                                <w:ilvl w:val="0"/>
                                <w:numId w:val="1"/>
                              </w:numPr>
                              <w:autoSpaceDE/>
                              <w:autoSpaceDN/>
                              <w:adjustRightInd/>
                              <w:rPr>
                                <w:rFonts w:ascii="Century Gothic" w:hAnsi="Century Gothic"/>
                                <w:b/>
                                <w:bCs/>
                                <w:sz w:val="20"/>
                                <w:szCs w:val="20"/>
                              </w:rPr>
                            </w:pPr>
                            <w:r w:rsidRPr="00EE4A12">
                              <w:rPr>
                                <w:rFonts w:ascii="Century Gothic" w:hAnsi="Century Gothic"/>
                                <w:sz w:val="20"/>
                                <w:szCs w:val="20"/>
                              </w:rPr>
                              <w:t xml:space="preserve">OF INTEREST TO OTHER JUDGES:  </w:t>
                            </w:r>
                            <w:r w:rsidRPr="00EE4A12">
                              <w:rPr>
                                <w:rFonts w:ascii="Century Gothic" w:hAnsi="Century Gothic"/>
                                <w:b/>
                                <w:bCs/>
                                <w:sz w:val="20"/>
                                <w:szCs w:val="20"/>
                              </w:rPr>
                              <w:t>NO</w:t>
                            </w:r>
                          </w:p>
                          <w:p w:rsidR="00FD2810" w:rsidRDefault="00FD2810" w:rsidP="00FD2810">
                            <w:pPr>
                              <w:widowControl/>
                              <w:numPr>
                                <w:ilvl w:val="0"/>
                                <w:numId w:val="1"/>
                              </w:numPr>
                              <w:autoSpaceDE/>
                              <w:autoSpaceDN/>
                              <w:adjustRightInd/>
                              <w:rPr>
                                <w:rFonts w:ascii="Century Gothic" w:hAnsi="Century Gothic"/>
                                <w:sz w:val="20"/>
                                <w:szCs w:val="20"/>
                              </w:rPr>
                            </w:pPr>
                            <w:r w:rsidRPr="00EE4A12">
                              <w:rPr>
                                <w:rFonts w:ascii="Century Gothic" w:hAnsi="Century Gothic"/>
                                <w:sz w:val="20"/>
                                <w:szCs w:val="20"/>
                              </w:rPr>
                              <w:t xml:space="preserve">REVISED. </w:t>
                            </w:r>
                            <w:r w:rsidRPr="00EE4A12">
                              <w:rPr>
                                <w:rFonts w:ascii="Century Gothic" w:hAnsi="Century Gothic"/>
                                <w:sz w:val="20"/>
                                <w:szCs w:val="20"/>
                              </w:rPr>
                              <w:tab/>
                            </w:r>
                            <w:r w:rsidRPr="00EE4A12">
                              <w:rPr>
                                <w:rFonts w:ascii="Century Gothic" w:hAnsi="Century Gothic"/>
                                <w:sz w:val="20"/>
                                <w:szCs w:val="20"/>
                              </w:rPr>
                              <w:tab/>
                            </w:r>
                            <w:r w:rsidRPr="00EE4A12">
                              <w:rPr>
                                <w:rFonts w:ascii="Century Gothic" w:hAnsi="Century Gothic"/>
                                <w:sz w:val="20"/>
                                <w:szCs w:val="20"/>
                              </w:rPr>
                              <w:tab/>
                            </w:r>
                          </w:p>
                          <w:p w:rsidR="00FD2810" w:rsidRPr="00EE4A12" w:rsidRDefault="00FD2810" w:rsidP="00FD2810">
                            <w:pPr>
                              <w:widowControl/>
                              <w:autoSpaceDE/>
                              <w:autoSpaceDN/>
                              <w:adjustRightInd/>
                              <w:ind w:left="900"/>
                              <w:rPr>
                                <w:rFonts w:ascii="Century Gothic" w:hAnsi="Century Gothic"/>
                                <w:sz w:val="20"/>
                                <w:szCs w:val="20"/>
                              </w:rPr>
                            </w:pPr>
                          </w:p>
                          <w:p w:rsidR="00FD2810" w:rsidRDefault="00FD2810" w:rsidP="00FD2810">
                            <w:pPr>
                              <w:rPr>
                                <w:noProof/>
                              </w:rPr>
                            </w:pPr>
                            <w:r>
                              <w:rPr>
                                <w:rFonts w:ascii="Century Gothic" w:hAnsi="Century Gothic"/>
                                <w:b/>
                                <w:bCs/>
                                <w:sz w:val="18"/>
                                <w:szCs w:val="18"/>
                              </w:rPr>
                              <w:t xml:space="preserve">          </w:t>
                            </w:r>
                            <w:r w:rsidR="00D96024">
                              <w:rPr>
                                <w:rFonts w:ascii="Century Gothic" w:hAnsi="Century Gothic"/>
                                <w:b/>
                                <w:bCs/>
                                <w:sz w:val="18"/>
                                <w:szCs w:val="18"/>
                              </w:rPr>
                              <w:t>14 JUNE 2022</w:t>
                            </w:r>
                            <w:r>
                              <w:rPr>
                                <w:rFonts w:ascii="Century Gothic" w:hAnsi="Century Gothic"/>
                                <w:b/>
                                <w:bCs/>
                                <w:sz w:val="18"/>
                                <w:szCs w:val="18"/>
                              </w:rPr>
                              <w:t xml:space="preserve">       </w:t>
                            </w:r>
                            <w:r w:rsidR="0015023F">
                              <w:rPr>
                                <w:rFonts w:ascii="Century Gothic" w:hAnsi="Century Gothic"/>
                                <w:b/>
                                <w:bCs/>
                                <w:sz w:val="18"/>
                                <w:szCs w:val="18"/>
                              </w:rPr>
                              <w:t xml:space="preserve">                   </w:t>
                            </w:r>
                            <w:r>
                              <w:rPr>
                                <w:rFonts w:ascii="Century Gothic" w:hAnsi="Century Gothic"/>
                                <w:b/>
                                <w:bCs/>
                                <w:sz w:val="18"/>
                                <w:szCs w:val="18"/>
                              </w:rPr>
                              <w:t xml:space="preserve">   </w:t>
                            </w:r>
                          </w:p>
                          <w:p w:rsidR="00FD2810" w:rsidRDefault="00FD2810" w:rsidP="00FD2810">
                            <w:pPr>
                              <w:jc w:val="cente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rsidR="00FD2810" w:rsidRDefault="00FD2810" w:rsidP="00FD2810">
                            <w:pPr>
                              <w:ind w:firstLine="720"/>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F379" id="_x0000_t202" coordsize="21600,21600" o:spt="202" path="m,l,21600r21600,l21600,xe">
                <v:stroke joinstyle="miter"/>
                <v:path gradientshapeok="t" o:connecttype="rect"/>
              </v:shapetype>
              <v:shape id="Text Box 2" o:spid="_x0000_s1026" type="#_x0000_t202" style="position:absolute;left:0;text-align:left;margin-left:-.6pt;margin-top:12.4pt;width:296.0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">
                <v:textbox>
                  <w:txbxContent>
                    <w:p w:rsidR="00FD2810" w:rsidRDefault="00FD2810" w:rsidP="00FD2810">
                      <w:pPr>
                        <w:jc w:val="center"/>
                        <w:rPr>
                          <w:rFonts w:ascii="Century Gothic" w:hAnsi="Century Gothic"/>
                          <w:b/>
                          <w:sz w:val="20"/>
                          <w:szCs w:val="20"/>
                        </w:rPr>
                      </w:pPr>
                    </w:p>
                    <w:p w:rsidR="00FD2810" w:rsidRPr="00EE4A12" w:rsidRDefault="00FD2810" w:rsidP="00FD2810">
                      <w:pPr>
                        <w:widowControl/>
                        <w:numPr>
                          <w:ilvl w:val="0"/>
                          <w:numId w:val="1"/>
                        </w:numPr>
                        <w:autoSpaceDE/>
                        <w:autoSpaceDN/>
                        <w:adjustRightInd/>
                        <w:rPr>
                          <w:rFonts w:ascii="Century Gothic" w:hAnsi="Century Gothic"/>
                          <w:sz w:val="20"/>
                          <w:szCs w:val="20"/>
                        </w:rPr>
                      </w:pPr>
                      <w:r w:rsidRPr="00EE4A12">
                        <w:rPr>
                          <w:rFonts w:ascii="Century Gothic" w:hAnsi="Century Gothic"/>
                          <w:sz w:val="20"/>
                          <w:szCs w:val="20"/>
                        </w:rPr>
                        <w:t xml:space="preserve">REPORTABLE:  </w:t>
                      </w:r>
                      <w:r w:rsidRPr="00EE4A12">
                        <w:rPr>
                          <w:rFonts w:ascii="Century Gothic" w:hAnsi="Century Gothic"/>
                          <w:b/>
                          <w:bCs/>
                          <w:sz w:val="20"/>
                          <w:szCs w:val="20"/>
                        </w:rPr>
                        <w:t>NO</w:t>
                      </w:r>
                    </w:p>
                    <w:p w:rsidR="00FD2810" w:rsidRPr="00EE4A12" w:rsidRDefault="00FD2810" w:rsidP="00FD2810">
                      <w:pPr>
                        <w:widowControl/>
                        <w:numPr>
                          <w:ilvl w:val="0"/>
                          <w:numId w:val="1"/>
                        </w:numPr>
                        <w:autoSpaceDE/>
                        <w:autoSpaceDN/>
                        <w:adjustRightInd/>
                        <w:rPr>
                          <w:rFonts w:ascii="Century Gothic" w:hAnsi="Century Gothic"/>
                          <w:b/>
                          <w:bCs/>
                          <w:sz w:val="20"/>
                          <w:szCs w:val="20"/>
                        </w:rPr>
                      </w:pPr>
                      <w:r w:rsidRPr="00EE4A12">
                        <w:rPr>
                          <w:rFonts w:ascii="Century Gothic" w:hAnsi="Century Gothic"/>
                          <w:sz w:val="20"/>
                          <w:szCs w:val="20"/>
                        </w:rPr>
                        <w:t xml:space="preserve">OF INTEREST TO OTHER JUDGES:  </w:t>
                      </w:r>
                      <w:r w:rsidRPr="00EE4A12">
                        <w:rPr>
                          <w:rFonts w:ascii="Century Gothic" w:hAnsi="Century Gothic"/>
                          <w:b/>
                          <w:bCs/>
                          <w:sz w:val="20"/>
                          <w:szCs w:val="20"/>
                        </w:rPr>
                        <w:t>NO</w:t>
                      </w:r>
                    </w:p>
                    <w:p w:rsidR="00FD2810" w:rsidRDefault="00FD2810" w:rsidP="00FD2810">
                      <w:pPr>
                        <w:widowControl/>
                        <w:numPr>
                          <w:ilvl w:val="0"/>
                          <w:numId w:val="1"/>
                        </w:numPr>
                        <w:autoSpaceDE/>
                        <w:autoSpaceDN/>
                        <w:adjustRightInd/>
                        <w:rPr>
                          <w:rFonts w:ascii="Century Gothic" w:hAnsi="Century Gothic"/>
                          <w:sz w:val="20"/>
                          <w:szCs w:val="20"/>
                        </w:rPr>
                      </w:pPr>
                      <w:r w:rsidRPr="00EE4A12">
                        <w:rPr>
                          <w:rFonts w:ascii="Century Gothic" w:hAnsi="Century Gothic"/>
                          <w:sz w:val="20"/>
                          <w:szCs w:val="20"/>
                        </w:rPr>
                        <w:t xml:space="preserve">REVISED. </w:t>
                      </w:r>
                      <w:r w:rsidRPr="00EE4A12">
                        <w:rPr>
                          <w:rFonts w:ascii="Century Gothic" w:hAnsi="Century Gothic"/>
                          <w:sz w:val="20"/>
                          <w:szCs w:val="20"/>
                        </w:rPr>
                        <w:tab/>
                      </w:r>
                      <w:r w:rsidRPr="00EE4A12">
                        <w:rPr>
                          <w:rFonts w:ascii="Century Gothic" w:hAnsi="Century Gothic"/>
                          <w:sz w:val="20"/>
                          <w:szCs w:val="20"/>
                        </w:rPr>
                        <w:tab/>
                      </w:r>
                      <w:r w:rsidRPr="00EE4A12">
                        <w:rPr>
                          <w:rFonts w:ascii="Century Gothic" w:hAnsi="Century Gothic"/>
                          <w:sz w:val="20"/>
                          <w:szCs w:val="20"/>
                        </w:rPr>
                        <w:tab/>
                      </w:r>
                    </w:p>
                    <w:p w:rsidR="00FD2810" w:rsidRPr="00EE4A12" w:rsidRDefault="00FD2810" w:rsidP="00FD2810">
                      <w:pPr>
                        <w:widowControl/>
                        <w:autoSpaceDE/>
                        <w:autoSpaceDN/>
                        <w:adjustRightInd/>
                        <w:ind w:left="900"/>
                        <w:rPr>
                          <w:rFonts w:ascii="Century Gothic" w:hAnsi="Century Gothic"/>
                          <w:sz w:val="20"/>
                          <w:szCs w:val="20"/>
                        </w:rPr>
                      </w:pPr>
                    </w:p>
                    <w:p w:rsidR="00FD2810" w:rsidRDefault="00FD2810" w:rsidP="00FD2810">
                      <w:pPr>
                        <w:rPr>
                          <w:noProof/>
                        </w:rPr>
                      </w:pPr>
                      <w:r>
                        <w:rPr>
                          <w:rFonts w:ascii="Century Gothic" w:hAnsi="Century Gothic"/>
                          <w:b/>
                          <w:bCs/>
                          <w:sz w:val="18"/>
                          <w:szCs w:val="18"/>
                        </w:rPr>
                        <w:t xml:space="preserve">          </w:t>
                      </w:r>
                      <w:r w:rsidR="00D96024">
                        <w:rPr>
                          <w:rFonts w:ascii="Century Gothic" w:hAnsi="Century Gothic"/>
                          <w:b/>
                          <w:bCs/>
                          <w:sz w:val="18"/>
                          <w:szCs w:val="18"/>
                        </w:rPr>
                        <w:t>14 JUNE 2022</w:t>
                      </w:r>
                      <w:r>
                        <w:rPr>
                          <w:rFonts w:ascii="Century Gothic" w:hAnsi="Century Gothic"/>
                          <w:b/>
                          <w:bCs/>
                          <w:sz w:val="18"/>
                          <w:szCs w:val="18"/>
                        </w:rPr>
                        <w:t xml:space="preserve">       </w:t>
                      </w:r>
                      <w:r w:rsidR="0015023F">
                        <w:rPr>
                          <w:rFonts w:ascii="Century Gothic" w:hAnsi="Century Gothic"/>
                          <w:b/>
                          <w:bCs/>
                          <w:sz w:val="18"/>
                          <w:szCs w:val="18"/>
                        </w:rPr>
                        <w:t xml:space="preserve">                   </w:t>
                      </w:r>
                      <w:r>
                        <w:rPr>
                          <w:rFonts w:ascii="Century Gothic" w:hAnsi="Century Gothic"/>
                          <w:b/>
                          <w:bCs/>
                          <w:sz w:val="18"/>
                          <w:szCs w:val="18"/>
                        </w:rPr>
                        <w:t xml:space="preserve">   </w:t>
                      </w:r>
                    </w:p>
                    <w:p w:rsidR="00FD2810" w:rsidRDefault="00FD2810" w:rsidP="00FD2810">
                      <w:pPr>
                        <w:jc w:val="cente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rsidR="00FD2810" w:rsidRDefault="00FD2810" w:rsidP="00FD2810">
                      <w:pPr>
                        <w:ind w:firstLine="720"/>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r w:rsidRPr="0055574C">
        <w:rPr>
          <w:rFonts w:ascii="Arial" w:hAnsi="Arial" w:cs="Arial"/>
        </w:rPr>
        <w:t xml:space="preserve">Case Number:  </w:t>
      </w:r>
      <w:r>
        <w:rPr>
          <w:rFonts w:ascii="Arial" w:hAnsi="Arial" w:cs="Arial"/>
        </w:rPr>
        <w:t>71753/2018</w:t>
      </w:r>
    </w:p>
    <w:p w:rsidR="00FD2810" w:rsidRPr="0055574C" w:rsidRDefault="00FD2810" w:rsidP="00FD2810">
      <w:pPr>
        <w:jc w:val="right"/>
        <w:rPr>
          <w:rFonts w:ascii="Arial" w:hAnsi="Arial" w:cs="Arial"/>
        </w:rPr>
      </w:pPr>
    </w:p>
    <w:p w:rsidR="00FD2810" w:rsidRDefault="00FD2810" w:rsidP="00FD2810">
      <w:pPr>
        <w:rPr>
          <w:rFonts w:ascii="Arial" w:hAnsi="Arial" w:cs="Arial"/>
          <w:b/>
          <w:sz w:val="28"/>
          <w:szCs w:val="28"/>
        </w:rPr>
      </w:pPr>
    </w:p>
    <w:p w:rsidR="00FD2810" w:rsidRPr="00D31AA2" w:rsidRDefault="00FD2810" w:rsidP="00FD2810">
      <w:pPr>
        <w:tabs>
          <w:tab w:val="left" w:pos="720"/>
          <w:tab w:val="left" w:pos="1440"/>
          <w:tab w:val="left" w:pos="2160"/>
          <w:tab w:val="left" w:pos="2880"/>
          <w:tab w:val="left" w:pos="3600"/>
          <w:tab w:val="left" w:pos="4320"/>
          <w:tab w:val="right" w:pos="8280"/>
        </w:tabs>
        <w:spacing w:before="240" w:after="120"/>
        <w:jc w:val="right"/>
        <w:rPr>
          <w:rFonts w:ascii="Arial Unicode MS" w:eastAsia="Arial Unicode MS" w:hAnsi="Arial Unicode MS" w:cs="Arial Unicode MS"/>
          <w:b/>
        </w:rPr>
      </w:pPr>
    </w:p>
    <w:p w:rsidR="00FD2810" w:rsidRPr="00D31AA2" w:rsidRDefault="00FD2810" w:rsidP="00FD2810">
      <w:pPr>
        <w:jc w:val="both"/>
        <w:rPr>
          <w:rFonts w:ascii="Arial Unicode MS" w:eastAsia="Arial Unicode MS" w:hAnsi="Arial Unicode MS" w:cs="Arial Unicode MS"/>
          <w:u w:val="single"/>
        </w:rPr>
      </w:pPr>
    </w:p>
    <w:p w:rsidR="00FD2810" w:rsidRPr="00D31AA2" w:rsidRDefault="00FD2810" w:rsidP="00FD2810">
      <w:pPr>
        <w:rPr>
          <w:rFonts w:ascii="Arial Unicode MS" w:eastAsia="Arial Unicode MS" w:hAnsi="Arial Unicode MS" w:cs="Arial Unicode MS"/>
        </w:rPr>
      </w:pPr>
    </w:p>
    <w:p w:rsidR="00FD2810" w:rsidRDefault="00FD2810" w:rsidP="00FD2810">
      <w:pPr>
        <w:rPr>
          <w:rFonts w:ascii="Arial" w:hAnsi="Arial" w:cs="Arial"/>
        </w:rPr>
      </w:pPr>
    </w:p>
    <w:p w:rsidR="00FD2810" w:rsidRDefault="00FD2810" w:rsidP="00FD2810">
      <w:pPr>
        <w:rPr>
          <w:rFonts w:ascii="Arial" w:hAnsi="Arial" w:cs="Arial"/>
        </w:rPr>
      </w:pPr>
    </w:p>
    <w:p w:rsidR="00FD2810" w:rsidRDefault="00FD2810" w:rsidP="00FD2810">
      <w:pPr>
        <w:rPr>
          <w:rFonts w:ascii="Arial" w:hAnsi="Arial" w:cs="Arial"/>
        </w:rPr>
      </w:pPr>
    </w:p>
    <w:p w:rsidR="00FD2810" w:rsidRPr="00930037" w:rsidRDefault="00FD2810" w:rsidP="00FD2810">
      <w:pPr>
        <w:rPr>
          <w:rFonts w:ascii="Arial" w:hAnsi="Arial" w:cs="Arial"/>
        </w:rPr>
      </w:pPr>
      <w:r w:rsidRPr="00930037">
        <w:rPr>
          <w:rFonts w:ascii="Arial" w:hAnsi="Arial" w:cs="Arial"/>
        </w:rPr>
        <w:t>In the matter between:</w:t>
      </w:r>
    </w:p>
    <w:p w:rsidR="00FD2810" w:rsidRDefault="00FD2810" w:rsidP="00FD2810">
      <w:pPr>
        <w:spacing w:line="360" w:lineRule="auto"/>
        <w:rPr>
          <w:rFonts w:ascii="Arial" w:hAnsi="Arial" w:cs="Arial"/>
          <w:b/>
          <w:sz w:val="28"/>
          <w:szCs w:val="28"/>
        </w:rPr>
      </w:pPr>
    </w:p>
    <w:p w:rsidR="00FD2810" w:rsidRDefault="00AC47D2" w:rsidP="00FD2810">
      <w:pPr>
        <w:rPr>
          <w:rFonts w:ascii="Arial" w:hAnsi="Arial" w:cs="Arial"/>
          <w:bCs/>
        </w:rPr>
      </w:pPr>
      <w:r>
        <w:rPr>
          <w:rFonts w:ascii="Arial" w:hAnsi="Arial" w:cs="Arial"/>
          <w:b/>
        </w:rPr>
        <w:t>BRENDA MINNÉ</w:t>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r>
      <w:r w:rsidR="00FD2810">
        <w:rPr>
          <w:rFonts w:ascii="Arial" w:hAnsi="Arial" w:cs="Arial"/>
          <w:b/>
        </w:rPr>
        <w:tab/>
        <w:t xml:space="preserve">    </w:t>
      </w:r>
      <w:r w:rsidR="00FD2810">
        <w:rPr>
          <w:rFonts w:ascii="Arial" w:hAnsi="Arial" w:cs="Arial"/>
          <w:bCs/>
        </w:rPr>
        <w:t>Plaintiff</w:t>
      </w:r>
    </w:p>
    <w:p w:rsidR="00FD2810" w:rsidRDefault="00FD2810" w:rsidP="00FD2810">
      <w:pPr>
        <w:rPr>
          <w:rFonts w:ascii="Arial" w:hAnsi="Arial" w:cs="Arial"/>
          <w:b/>
        </w:rPr>
      </w:pPr>
    </w:p>
    <w:p w:rsidR="00FD2810" w:rsidRDefault="00FD2810" w:rsidP="00FD2810">
      <w:pPr>
        <w:rPr>
          <w:rFonts w:ascii="Arial" w:hAnsi="Arial" w:cs="Arial"/>
          <w:b/>
        </w:rPr>
      </w:pPr>
    </w:p>
    <w:p w:rsidR="00FD2810" w:rsidRDefault="00FD2810" w:rsidP="00FD2810">
      <w:pPr>
        <w:rPr>
          <w:rFonts w:ascii="Arial" w:hAnsi="Arial" w:cs="Arial"/>
          <w:bCs/>
        </w:rPr>
      </w:pPr>
      <w:r>
        <w:rPr>
          <w:rFonts w:ascii="Arial" w:hAnsi="Arial" w:cs="Arial"/>
          <w:bCs/>
        </w:rPr>
        <w:t>a</w:t>
      </w:r>
      <w:r w:rsidRPr="00BF3650">
        <w:rPr>
          <w:rFonts w:ascii="Arial" w:hAnsi="Arial" w:cs="Arial"/>
          <w:bCs/>
        </w:rPr>
        <w:t>nd</w:t>
      </w:r>
    </w:p>
    <w:p w:rsidR="00FD2810" w:rsidRDefault="00FD2810" w:rsidP="00FD2810">
      <w:pPr>
        <w:rPr>
          <w:rFonts w:ascii="Arial" w:hAnsi="Arial" w:cs="Arial"/>
          <w:bCs/>
        </w:rPr>
      </w:pPr>
    </w:p>
    <w:p w:rsidR="00FD2810" w:rsidRDefault="00FD2810" w:rsidP="00FD2810">
      <w:pPr>
        <w:rPr>
          <w:rFonts w:ascii="Arial" w:hAnsi="Arial" w:cs="Arial"/>
          <w:b/>
        </w:rPr>
      </w:pPr>
    </w:p>
    <w:p w:rsidR="00FD2810" w:rsidRDefault="00FD2810" w:rsidP="00FD2810">
      <w:pPr>
        <w:rPr>
          <w:rFonts w:ascii="Arial" w:hAnsi="Arial" w:cs="Arial"/>
          <w:bCs/>
        </w:rPr>
      </w:pPr>
      <w:r>
        <w:rPr>
          <w:rFonts w:ascii="Arial" w:hAnsi="Arial" w:cs="Arial"/>
          <w:b/>
        </w:rPr>
        <w:t>M</w:t>
      </w:r>
      <w:r w:rsidR="00AC47D2">
        <w:rPr>
          <w:rFonts w:ascii="Arial" w:hAnsi="Arial" w:cs="Arial"/>
          <w:b/>
        </w:rPr>
        <w:t>ARTHINUS CHRISTOFFEL MINNÉ</w:t>
      </w:r>
      <w:r w:rsidR="00353AA7">
        <w:rPr>
          <w:rFonts w:ascii="Arial" w:hAnsi="Arial" w:cs="Arial"/>
          <w:b/>
        </w:rPr>
        <w:tab/>
      </w:r>
      <w:r w:rsidR="00353AA7">
        <w:rPr>
          <w:rFonts w:ascii="Arial" w:hAnsi="Arial" w:cs="Arial"/>
          <w:b/>
        </w:rPr>
        <w:tab/>
      </w:r>
      <w:r w:rsidR="00353AA7">
        <w:rPr>
          <w:rFonts w:ascii="Arial" w:hAnsi="Arial" w:cs="Arial"/>
          <w:b/>
        </w:rPr>
        <w:tab/>
      </w:r>
      <w:r w:rsidR="00353AA7">
        <w:rPr>
          <w:rFonts w:ascii="Arial" w:hAnsi="Arial" w:cs="Arial"/>
          <w:b/>
        </w:rPr>
        <w:tab/>
      </w:r>
      <w:proofErr w:type="gramStart"/>
      <w:r w:rsidR="00353AA7">
        <w:rPr>
          <w:rFonts w:ascii="Arial" w:hAnsi="Arial" w:cs="Arial"/>
          <w:b/>
        </w:rPr>
        <w:tab/>
        <w:t xml:space="preserve">  </w:t>
      </w:r>
      <w:r w:rsidR="00353AA7">
        <w:rPr>
          <w:rFonts w:ascii="Arial" w:hAnsi="Arial" w:cs="Arial"/>
        </w:rPr>
        <w:t>First</w:t>
      </w:r>
      <w:proofErr w:type="gramEnd"/>
      <w:r w:rsidR="00353AA7">
        <w:rPr>
          <w:rFonts w:ascii="Arial" w:hAnsi="Arial" w:cs="Arial"/>
        </w:rPr>
        <w:t xml:space="preserve"> </w:t>
      </w:r>
      <w:r w:rsidRPr="00801F13">
        <w:rPr>
          <w:rFonts w:ascii="Arial" w:hAnsi="Arial" w:cs="Arial"/>
        </w:rPr>
        <w:t>Defendant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2810" w:rsidRDefault="00AC47D2" w:rsidP="00FD2810">
      <w:pPr>
        <w:rPr>
          <w:rFonts w:ascii="Arial" w:hAnsi="Arial" w:cs="Arial"/>
          <w:bCs/>
        </w:rPr>
      </w:pPr>
      <w:r>
        <w:rPr>
          <w:rFonts w:ascii="Arial" w:hAnsi="Arial" w:cs="Arial"/>
          <w:b/>
        </w:rPr>
        <w:t>DENNA MINNÉ</w:t>
      </w:r>
      <w:r w:rsidR="00FD2810">
        <w:rPr>
          <w:rFonts w:ascii="Arial" w:hAnsi="Arial" w:cs="Arial"/>
          <w:bCs/>
        </w:rPr>
        <w:tab/>
      </w:r>
      <w:r w:rsidR="00FD2810">
        <w:rPr>
          <w:rFonts w:ascii="Arial" w:hAnsi="Arial" w:cs="Arial"/>
          <w:bCs/>
        </w:rPr>
        <w:tab/>
      </w:r>
      <w:r w:rsidR="00FD2810">
        <w:rPr>
          <w:rFonts w:ascii="Arial" w:hAnsi="Arial" w:cs="Arial"/>
          <w:bCs/>
        </w:rPr>
        <w:tab/>
      </w:r>
      <w:r w:rsidR="00FD2810">
        <w:rPr>
          <w:rFonts w:ascii="Arial" w:hAnsi="Arial" w:cs="Arial"/>
          <w:bCs/>
        </w:rPr>
        <w:tab/>
      </w:r>
      <w:r w:rsidR="00FD2810">
        <w:rPr>
          <w:rFonts w:ascii="Arial" w:hAnsi="Arial" w:cs="Arial"/>
          <w:bCs/>
        </w:rPr>
        <w:tab/>
      </w:r>
      <w:r w:rsidR="00FD2810">
        <w:rPr>
          <w:rFonts w:ascii="Arial" w:hAnsi="Arial" w:cs="Arial"/>
          <w:bCs/>
        </w:rPr>
        <w:tab/>
        <w:t xml:space="preserve">                   Second Defendant</w:t>
      </w:r>
    </w:p>
    <w:p w:rsidR="00FD2810" w:rsidRDefault="00FD2810" w:rsidP="00FD2810">
      <w:pPr>
        <w:rPr>
          <w:rFonts w:ascii="Arial" w:hAnsi="Arial" w:cs="Arial"/>
          <w:bCs/>
        </w:rPr>
      </w:pPr>
    </w:p>
    <w:p w:rsidR="00FD2810" w:rsidRDefault="00FD2810" w:rsidP="00FD2810">
      <w:pPr>
        <w:rPr>
          <w:rFonts w:ascii="Arial" w:hAnsi="Arial" w:cs="Arial"/>
          <w:bCs/>
        </w:rPr>
      </w:pPr>
      <w:r w:rsidRPr="00801F13">
        <w:rPr>
          <w:rFonts w:ascii="Arial" w:hAnsi="Arial" w:cs="Arial"/>
          <w:b/>
          <w:bCs/>
        </w:rPr>
        <w:t>FIRST RAND BANK LIMITED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Third Defendant</w:t>
      </w:r>
    </w:p>
    <w:p w:rsidR="00FD2810" w:rsidRDefault="00FD2810" w:rsidP="00FD2810">
      <w:pPr>
        <w:rPr>
          <w:rFonts w:ascii="Arial" w:hAnsi="Arial" w:cs="Arial"/>
          <w:bCs/>
        </w:rPr>
      </w:pPr>
    </w:p>
    <w:p w:rsidR="00FD2810" w:rsidRPr="00295DFA" w:rsidRDefault="00FD2810" w:rsidP="00FD2810">
      <w:pPr>
        <w:rPr>
          <w:rFonts w:ascii="Arial" w:hAnsi="Arial" w:cs="Arial"/>
          <w:bCs/>
        </w:rPr>
      </w:pPr>
      <w:r w:rsidRPr="00801F13">
        <w:rPr>
          <w:rFonts w:ascii="Arial" w:hAnsi="Arial" w:cs="Arial"/>
          <w:b/>
          <w:bCs/>
        </w:rPr>
        <w:t>THE CHIEF REGISTRAR OF DEEDS</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Fourth Defendant</w:t>
      </w:r>
    </w:p>
    <w:p w:rsidR="00FD2810" w:rsidRDefault="00FD2810" w:rsidP="00FD2810">
      <w:pPr>
        <w:spacing w:line="480" w:lineRule="auto"/>
        <w:jc w:val="center"/>
        <w:rPr>
          <w:rFonts w:ascii="Arial" w:hAnsi="Arial" w:cs="Arial"/>
          <w:b/>
          <w:bCs/>
        </w:rPr>
      </w:pPr>
      <w:r>
        <w:rPr>
          <w:rFonts w:ascii="Arial" w:hAnsi="Arial" w:cs="Arial"/>
          <w:b/>
          <w:bCs/>
        </w:rPr>
        <w:t>___________________________________________________________________</w:t>
      </w:r>
    </w:p>
    <w:p w:rsidR="00FD2810" w:rsidRPr="007D27FA" w:rsidRDefault="00FD2810" w:rsidP="00FD2810">
      <w:pPr>
        <w:spacing w:line="480" w:lineRule="auto"/>
        <w:jc w:val="center"/>
        <w:rPr>
          <w:rFonts w:ascii="Arial" w:hAnsi="Arial" w:cs="Arial"/>
          <w:b/>
          <w:bCs/>
        </w:rPr>
      </w:pPr>
      <w:r>
        <w:rPr>
          <w:rFonts w:ascii="Arial" w:hAnsi="Arial" w:cs="Arial"/>
          <w:b/>
          <w:bCs/>
        </w:rPr>
        <w:t>JUDGMENT</w:t>
      </w:r>
    </w:p>
    <w:p w:rsidR="00FD2810" w:rsidRDefault="00FD2810" w:rsidP="00FD2810">
      <w:pPr>
        <w:spacing w:line="480" w:lineRule="auto"/>
        <w:jc w:val="center"/>
        <w:rPr>
          <w:rFonts w:ascii="Arial" w:hAnsi="Arial" w:cs="Arial"/>
          <w:b/>
          <w:bCs/>
        </w:rPr>
      </w:pPr>
      <w:r>
        <w:rPr>
          <w:rFonts w:ascii="Arial" w:hAnsi="Arial" w:cs="Arial"/>
          <w:b/>
          <w:bCs/>
        </w:rPr>
        <w:t>___________________________________________________________________</w:t>
      </w:r>
    </w:p>
    <w:p w:rsidR="00FD2810" w:rsidRPr="00296081" w:rsidRDefault="00FD2810" w:rsidP="00FD2810">
      <w:pPr>
        <w:widowControl/>
        <w:spacing w:before="320" w:line="480" w:lineRule="auto"/>
        <w:ind w:left="720" w:hanging="720"/>
        <w:jc w:val="both"/>
        <w:rPr>
          <w:rFonts w:ascii="Arial" w:hAnsi="Arial" w:cs="Arial"/>
          <w:b/>
          <w:u w:val="single"/>
        </w:rPr>
      </w:pPr>
      <w:r w:rsidRPr="00296081">
        <w:rPr>
          <w:rFonts w:ascii="Arial" w:hAnsi="Arial" w:cs="Arial"/>
          <w:b/>
          <w:u w:val="single"/>
        </w:rPr>
        <w:t>NEUKIRCHER J:</w:t>
      </w:r>
    </w:p>
    <w:p w:rsidR="00FD2810" w:rsidRDefault="00FD2810" w:rsidP="00FD2810">
      <w:pPr>
        <w:widowControl/>
        <w:autoSpaceDE/>
        <w:autoSpaceDN/>
        <w:adjustRightInd/>
        <w:spacing w:before="320" w:line="480" w:lineRule="auto"/>
        <w:ind w:left="851" w:hanging="851"/>
        <w:jc w:val="both"/>
        <w:rPr>
          <w:rFonts w:ascii="Arial" w:hAnsi="Arial" w:cs="Arial"/>
        </w:rPr>
      </w:pPr>
      <w:r>
        <w:rPr>
          <w:rFonts w:ascii="Arial" w:hAnsi="Arial" w:cs="Arial"/>
        </w:rPr>
        <w:lastRenderedPageBreak/>
        <w:t>[1]</w:t>
      </w:r>
      <w:r>
        <w:rPr>
          <w:rFonts w:ascii="Arial" w:hAnsi="Arial" w:cs="Arial"/>
        </w:rPr>
        <w:tab/>
        <w:t xml:space="preserve">This is an action based on the </w:t>
      </w:r>
      <w:proofErr w:type="spellStart"/>
      <w:r w:rsidRPr="002972FF">
        <w:rPr>
          <w:rFonts w:ascii="Arial" w:hAnsi="Arial" w:cs="Arial"/>
          <w:i/>
        </w:rPr>
        <w:t>actio</w:t>
      </w:r>
      <w:proofErr w:type="spellEnd"/>
      <w:r w:rsidRPr="002972FF">
        <w:rPr>
          <w:rFonts w:ascii="Arial" w:hAnsi="Arial" w:cs="Arial"/>
          <w:i/>
        </w:rPr>
        <w:t xml:space="preserve"> </w:t>
      </w:r>
      <w:proofErr w:type="spellStart"/>
      <w:r w:rsidRPr="002972FF">
        <w:rPr>
          <w:rFonts w:ascii="Arial" w:hAnsi="Arial" w:cs="Arial"/>
          <w:i/>
        </w:rPr>
        <w:t>communi</w:t>
      </w:r>
      <w:proofErr w:type="spellEnd"/>
      <w:r w:rsidRPr="002972FF">
        <w:rPr>
          <w:rFonts w:ascii="Arial" w:hAnsi="Arial" w:cs="Arial"/>
          <w:i/>
        </w:rPr>
        <w:t xml:space="preserve"> </w:t>
      </w:r>
      <w:proofErr w:type="spellStart"/>
      <w:r w:rsidRPr="002972FF">
        <w:rPr>
          <w:rFonts w:ascii="Arial" w:hAnsi="Arial" w:cs="Arial"/>
          <w:i/>
        </w:rPr>
        <w:t>dividundo</w:t>
      </w:r>
      <w:proofErr w:type="spellEnd"/>
      <w:r w:rsidR="00370932">
        <w:rPr>
          <w:rFonts w:ascii="Arial" w:hAnsi="Arial" w:cs="Arial"/>
        </w:rPr>
        <w:t xml:space="preserve"> for the </w:t>
      </w:r>
      <w:r>
        <w:rPr>
          <w:rFonts w:ascii="Arial" w:hAnsi="Arial" w:cs="Arial"/>
        </w:rPr>
        <w:t xml:space="preserve">termination of joint ownership of an immovable property situated at Farm </w:t>
      </w:r>
      <w:proofErr w:type="spellStart"/>
      <w:r>
        <w:rPr>
          <w:rFonts w:ascii="Arial" w:hAnsi="Arial" w:cs="Arial"/>
        </w:rPr>
        <w:t>Ruimsig</w:t>
      </w:r>
      <w:proofErr w:type="spellEnd"/>
      <w:r>
        <w:rPr>
          <w:rFonts w:ascii="Arial" w:hAnsi="Arial" w:cs="Arial"/>
        </w:rPr>
        <w:t xml:space="preserve"> 265, Portion 21, IQ District, Gauteng Province (the Property). It is common cause that the property is </w:t>
      </w:r>
      <w:r w:rsidR="009139BD">
        <w:rPr>
          <w:rFonts w:ascii="Arial" w:hAnsi="Arial" w:cs="Arial"/>
        </w:rPr>
        <w:t xml:space="preserve">registered at the Deeds Office in the names of </w:t>
      </w:r>
      <w:r>
        <w:rPr>
          <w:rFonts w:ascii="Arial" w:hAnsi="Arial" w:cs="Arial"/>
        </w:rPr>
        <w:t>the plaintiff and 1</w:t>
      </w:r>
      <w:r w:rsidRPr="004242DC">
        <w:rPr>
          <w:rFonts w:ascii="Arial" w:hAnsi="Arial" w:cs="Arial"/>
          <w:vertAlign w:val="superscript"/>
        </w:rPr>
        <w:t>st</w:t>
      </w:r>
      <w:r>
        <w:rPr>
          <w:rFonts w:ascii="Arial" w:hAnsi="Arial" w:cs="Arial"/>
        </w:rPr>
        <w:t xml:space="preserve"> defendant</w:t>
      </w:r>
      <w:r>
        <w:rPr>
          <w:rStyle w:val="FootnoteReference"/>
          <w:rFonts w:ascii="Arial" w:hAnsi="Arial" w:cs="Arial"/>
        </w:rPr>
        <w:footnoteReference w:id="1"/>
      </w:r>
      <w:r>
        <w:rPr>
          <w:rFonts w:ascii="Arial" w:hAnsi="Arial" w:cs="Arial"/>
        </w:rPr>
        <w:t xml:space="preserve"> jointly in terms of Deed of Transfer T118736/2003.</w:t>
      </w:r>
    </w:p>
    <w:p w:rsidR="00FD2810" w:rsidRDefault="00FD2810" w:rsidP="00FD2810">
      <w:pPr>
        <w:widowControl/>
        <w:spacing w:before="320" w:line="480" w:lineRule="auto"/>
        <w:ind w:left="851" w:hanging="851"/>
        <w:jc w:val="both"/>
        <w:rPr>
          <w:rFonts w:ascii="Arial" w:hAnsi="Arial" w:cs="Arial"/>
        </w:rPr>
      </w:pPr>
      <w:r w:rsidRPr="00E61747">
        <w:rPr>
          <w:rFonts w:ascii="Arial" w:hAnsi="Arial" w:cs="Arial"/>
        </w:rPr>
        <w:t>[2]</w:t>
      </w:r>
      <w:r w:rsidRPr="00E61747">
        <w:rPr>
          <w:rFonts w:ascii="Arial" w:hAnsi="Arial" w:cs="Arial"/>
        </w:rPr>
        <w:tab/>
      </w:r>
      <w:r>
        <w:rPr>
          <w:rFonts w:ascii="Arial" w:hAnsi="Arial" w:cs="Arial"/>
        </w:rPr>
        <w:t>The 3</w:t>
      </w:r>
      <w:r w:rsidRPr="003C346B">
        <w:rPr>
          <w:rFonts w:ascii="Arial" w:hAnsi="Arial" w:cs="Arial"/>
          <w:vertAlign w:val="superscript"/>
        </w:rPr>
        <w:t>rd</w:t>
      </w:r>
      <w:r>
        <w:rPr>
          <w:rFonts w:ascii="Arial" w:hAnsi="Arial" w:cs="Arial"/>
        </w:rPr>
        <w:t xml:space="preserve"> defendant</w:t>
      </w:r>
      <w:r>
        <w:rPr>
          <w:rStyle w:val="FootnoteReference"/>
          <w:rFonts w:ascii="Arial" w:hAnsi="Arial" w:cs="Arial"/>
        </w:rPr>
        <w:footnoteReference w:id="2"/>
      </w:r>
      <w:r>
        <w:rPr>
          <w:rFonts w:ascii="Arial" w:hAnsi="Arial" w:cs="Arial"/>
        </w:rPr>
        <w:t xml:space="preserve"> and the 4</w:t>
      </w:r>
      <w:r w:rsidRPr="003C346B">
        <w:rPr>
          <w:rFonts w:ascii="Arial" w:hAnsi="Arial" w:cs="Arial"/>
          <w:vertAlign w:val="superscript"/>
        </w:rPr>
        <w:t>th</w:t>
      </w:r>
      <w:r>
        <w:rPr>
          <w:rFonts w:ascii="Arial" w:hAnsi="Arial" w:cs="Arial"/>
        </w:rPr>
        <w:t xml:space="preserve"> defendant</w:t>
      </w:r>
      <w:r>
        <w:rPr>
          <w:rStyle w:val="FootnoteReference"/>
          <w:rFonts w:ascii="Arial" w:hAnsi="Arial" w:cs="Arial"/>
        </w:rPr>
        <w:footnoteReference w:id="3"/>
      </w:r>
      <w:r>
        <w:rPr>
          <w:rFonts w:ascii="Arial" w:hAnsi="Arial" w:cs="Arial"/>
        </w:rPr>
        <w:t xml:space="preserve"> are cited insofar as they have an interest in the outcome of this case but no direct relief is sought against them.</w:t>
      </w:r>
    </w:p>
    <w:p w:rsidR="00FD2810" w:rsidRDefault="00FD2810" w:rsidP="00FD2810">
      <w:pPr>
        <w:widowControl/>
        <w:spacing w:before="320" w:line="480" w:lineRule="auto"/>
        <w:ind w:left="851" w:hanging="851"/>
        <w:jc w:val="both"/>
        <w:rPr>
          <w:rFonts w:ascii="Arial" w:hAnsi="Arial" w:cs="Arial"/>
        </w:rPr>
      </w:pPr>
      <w:r>
        <w:rPr>
          <w:rFonts w:ascii="Arial" w:hAnsi="Arial" w:cs="Arial"/>
        </w:rPr>
        <w:t>[3]</w:t>
      </w:r>
      <w:r>
        <w:rPr>
          <w:rFonts w:ascii="Arial" w:hAnsi="Arial" w:cs="Arial"/>
        </w:rPr>
        <w:tab/>
        <w:t>The 2</w:t>
      </w:r>
      <w:r w:rsidRPr="007961E8">
        <w:rPr>
          <w:rFonts w:ascii="Arial" w:hAnsi="Arial" w:cs="Arial"/>
          <w:vertAlign w:val="superscript"/>
        </w:rPr>
        <w:t>nd</w:t>
      </w:r>
      <w:r>
        <w:rPr>
          <w:rFonts w:ascii="Arial" w:hAnsi="Arial" w:cs="Arial"/>
        </w:rPr>
        <w:t xml:space="preserve"> defendant is married to the 1</w:t>
      </w:r>
      <w:r w:rsidRPr="007961E8">
        <w:rPr>
          <w:rFonts w:ascii="Arial" w:hAnsi="Arial" w:cs="Arial"/>
          <w:vertAlign w:val="superscript"/>
        </w:rPr>
        <w:t>st</w:t>
      </w:r>
      <w:r>
        <w:rPr>
          <w:rFonts w:ascii="Arial" w:hAnsi="Arial" w:cs="Arial"/>
        </w:rPr>
        <w:t xml:space="preserve"> defendant in community of property and she is the plaintiff’s mother. In this </w:t>
      </w:r>
      <w:r w:rsidR="009B391B">
        <w:rPr>
          <w:rFonts w:ascii="Arial" w:hAnsi="Arial" w:cs="Arial"/>
        </w:rPr>
        <w:t>judgment,</w:t>
      </w:r>
      <w:r>
        <w:rPr>
          <w:rFonts w:ascii="Arial" w:hAnsi="Arial" w:cs="Arial"/>
        </w:rPr>
        <w:t xml:space="preserve"> all reference</w:t>
      </w:r>
      <w:r w:rsidR="009139BD">
        <w:rPr>
          <w:rFonts w:ascii="Arial" w:hAnsi="Arial" w:cs="Arial"/>
        </w:rPr>
        <w:t>s</w:t>
      </w:r>
      <w:r>
        <w:rPr>
          <w:rFonts w:ascii="Arial" w:hAnsi="Arial" w:cs="Arial"/>
        </w:rPr>
        <w:t xml:space="preserve"> to “the defendants” </w:t>
      </w:r>
      <w:r w:rsidR="009B391B">
        <w:rPr>
          <w:rFonts w:ascii="Arial" w:hAnsi="Arial" w:cs="Arial"/>
        </w:rPr>
        <w:t>is a reference to the 1</w:t>
      </w:r>
      <w:r w:rsidR="009B391B" w:rsidRPr="009B391B">
        <w:rPr>
          <w:rFonts w:ascii="Arial" w:hAnsi="Arial" w:cs="Arial"/>
          <w:vertAlign w:val="superscript"/>
        </w:rPr>
        <w:t>st</w:t>
      </w:r>
      <w:r w:rsidR="009139BD">
        <w:rPr>
          <w:rFonts w:ascii="Arial" w:hAnsi="Arial" w:cs="Arial"/>
        </w:rPr>
        <w:t xml:space="preserve"> and</w:t>
      </w:r>
      <w:r w:rsidR="009B391B">
        <w:rPr>
          <w:rFonts w:ascii="Arial" w:hAnsi="Arial" w:cs="Arial"/>
        </w:rPr>
        <w:t xml:space="preserve"> 2</w:t>
      </w:r>
      <w:r w:rsidR="009B391B" w:rsidRPr="009B391B">
        <w:rPr>
          <w:rFonts w:ascii="Arial" w:hAnsi="Arial" w:cs="Arial"/>
          <w:vertAlign w:val="superscript"/>
        </w:rPr>
        <w:t>nd</w:t>
      </w:r>
      <w:r w:rsidR="009B391B">
        <w:rPr>
          <w:rFonts w:ascii="Arial" w:hAnsi="Arial" w:cs="Arial"/>
        </w:rPr>
        <w:t xml:space="preserve"> defendant only.</w:t>
      </w:r>
    </w:p>
    <w:p w:rsidR="009B391B" w:rsidRPr="009B391B" w:rsidRDefault="009B391B" w:rsidP="00FD2810">
      <w:pPr>
        <w:widowControl/>
        <w:spacing w:before="320" w:line="480" w:lineRule="auto"/>
        <w:ind w:left="851" w:hanging="851"/>
        <w:jc w:val="both"/>
        <w:rPr>
          <w:rFonts w:ascii="Arial" w:hAnsi="Arial" w:cs="Arial"/>
          <w:b/>
          <w:u w:val="single"/>
        </w:rPr>
      </w:pPr>
      <w:r w:rsidRPr="009B391B">
        <w:rPr>
          <w:rFonts w:ascii="Arial" w:hAnsi="Arial" w:cs="Arial"/>
          <w:b/>
          <w:u w:val="single"/>
        </w:rPr>
        <w:t>COMMON CAUSE</w:t>
      </w:r>
    </w:p>
    <w:p w:rsidR="009B391B" w:rsidRDefault="009B391B" w:rsidP="00FD2810">
      <w:pPr>
        <w:widowControl/>
        <w:spacing w:before="320" w:line="480" w:lineRule="auto"/>
        <w:ind w:left="851" w:hanging="851"/>
        <w:jc w:val="both"/>
        <w:rPr>
          <w:rFonts w:ascii="Arial" w:hAnsi="Arial" w:cs="Arial"/>
        </w:rPr>
      </w:pPr>
      <w:r>
        <w:rPr>
          <w:rFonts w:ascii="Arial" w:hAnsi="Arial" w:cs="Arial"/>
        </w:rPr>
        <w:t>[4]</w:t>
      </w:r>
      <w:r>
        <w:rPr>
          <w:rFonts w:ascii="Arial" w:hAnsi="Arial" w:cs="Arial"/>
        </w:rPr>
        <w:tab/>
        <w:t>At the commencement of this trial, the following was common cause:</w:t>
      </w:r>
    </w:p>
    <w:p w:rsidR="009B391B" w:rsidRDefault="009B391B" w:rsidP="00FD2810">
      <w:pPr>
        <w:widowControl/>
        <w:spacing w:before="320" w:line="480" w:lineRule="auto"/>
        <w:ind w:left="851" w:hanging="851"/>
        <w:jc w:val="both"/>
        <w:rPr>
          <w:rFonts w:ascii="Arial" w:hAnsi="Arial" w:cs="Arial"/>
        </w:rPr>
      </w:pPr>
      <w:r>
        <w:rPr>
          <w:rFonts w:ascii="Arial" w:hAnsi="Arial" w:cs="Arial"/>
        </w:rPr>
        <w:tab/>
        <w:t>4.1</w:t>
      </w:r>
      <w:r>
        <w:rPr>
          <w:rFonts w:ascii="Arial" w:hAnsi="Arial" w:cs="Arial"/>
        </w:rPr>
        <w:tab/>
        <w:t xml:space="preserve">that </w:t>
      </w:r>
      <w:r w:rsidR="006E0967">
        <w:rPr>
          <w:rFonts w:ascii="Arial" w:hAnsi="Arial" w:cs="Arial"/>
        </w:rPr>
        <w:t xml:space="preserve">there is a </w:t>
      </w:r>
      <w:r w:rsidR="006E0967">
        <w:rPr>
          <w:rFonts w:ascii="Arial" w:hAnsi="Arial" w:cs="Arial"/>
          <w:i/>
        </w:rPr>
        <w:t>“joint ownership of the property”</w:t>
      </w:r>
      <w:r w:rsidR="006E0967">
        <w:rPr>
          <w:rStyle w:val="FootnoteReference"/>
          <w:rFonts w:ascii="Arial" w:hAnsi="Arial" w:cs="Arial"/>
          <w:i/>
        </w:rPr>
        <w:footnoteReference w:id="4"/>
      </w:r>
      <w:r w:rsidR="00370932">
        <w:rPr>
          <w:rFonts w:ascii="Arial" w:hAnsi="Arial" w:cs="Arial"/>
        </w:rPr>
        <w:t>;</w:t>
      </w:r>
    </w:p>
    <w:p w:rsidR="009B391B" w:rsidRDefault="009B391B" w:rsidP="00FD2810">
      <w:pPr>
        <w:widowControl/>
        <w:spacing w:before="320" w:line="480" w:lineRule="auto"/>
        <w:ind w:left="851" w:hanging="851"/>
        <w:jc w:val="both"/>
        <w:rPr>
          <w:rFonts w:ascii="Arial" w:hAnsi="Arial" w:cs="Arial"/>
        </w:rPr>
      </w:pPr>
      <w:r>
        <w:rPr>
          <w:rFonts w:ascii="Arial" w:hAnsi="Arial" w:cs="Arial"/>
        </w:rPr>
        <w:tab/>
        <w:t>4.2</w:t>
      </w:r>
      <w:r>
        <w:rPr>
          <w:rFonts w:ascii="Arial" w:hAnsi="Arial" w:cs="Arial"/>
        </w:rPr>
        <w:tab/>
        <w:t>that t</w:t>
      </w:r>
      <w:r w:rsidR="00370932">
        <w:rPr>
          <w:rFonts w:ascii="Arial" w:hAnsi="Arial" w:cs="Arial"/>
        </w:rPr>
        <w:t xml:space="preserve">he plaintiff is entitled to a </w:t>
      </w:r>
      <w:r>
        <w:rPr>
          <w:rFonts w:ascii="Arial" w:hAnsi="Arial" w:cs="Arial"/>
        </w:rPr>
        <w:t>termination of the joint ownership</w:t>
      </w:r>
      <w:r w:rsidR="00370932">
        <w:rPr>
          <w:rFonts w:ascii="Arial" w:hAnsi="Arial" w:cs="Arial"/>
        </w:rPr>
        <w:t>;</w:t>
      </w:r>
      <w:r>
        <w:rPr>
          <w:rFonts w:ascii="Arial" w:hAnsi="Arial" w:cs="Arial"/>
        </w:rPr>
        <w:tab/>
      </w:r>
    </w:p>
    <w:p w:rsidR="009B391B" w:rsidRDefault="009B391B" w:rsidP="009B391B">
      <w:pPr>
        <w:widowControl/>
        <w:spacing w:before="320" w:line="480" w:lineRule="auto"/>
        <w:ind w:left="1440" w:hanging="589"/>
        <w:jc w:val="both"/>
        <w:rPr>
          <w:rFonts w:ascii="Arial" w:hAnsi="Arial" w:cs="Arial"/>
        </w:rPr>
      </w:pPr>
      <w:r>
        <w:rPr>
          <w:rFonts w:ascii="Arial" w:hAnsi="Arial" w:cs="Arial"/>
        </w:rPr>
        <w:t>4.3</w:t>
      </w:r>
      <w:r>
        <w:rPr>
          <w:rFonts w:ascii="Arial" w:hAnsi="Arial" w:cs="Arial"/>
        </w:rPr>
        <w:tab/>
        <w:t xml:space="preserve">that the defendants counterclaim has been withdrawn and the defendants have tendered the </w:t>
      </w:r>
      <w:r w:rsidR="00370932">
        <w:rPr>
          <w:rFonts w:ascii="Arial" w:hAnsi="Arial" w:cs="Arial"/>
        </w:rPr>
        <w:t xml:space="preserve">party and party </w:t>
      </w:r>
      <w:r>
        <w:rPr>
          <w:rFonts w:ascii="Arial" w:hAnsi="Arial" w:cs="Arial"/>
        </w:rPr>
        <w:t>costs consequent upon that withdrawal.</w:t>
      </w:r>
    </w:p>
    <w:p w:rsidR="00370932" w:rsidRDefault="00370932" w:rsidP="009B391B">
      <w:pPr>
        <w:widowControl/>
        <w:spacing w:before="320" w:line="480" w:lineRule="auto"/>
        <w:ind w:left="1440" w:hanging="589"/>
        <w:jc w:val="both"/>
        <w:rPr>
          <w:rFonts w:ascii="Arial" w:hAnsi="Arial" w:cs="Arial"/>
        </w:rPr>
      </w:pPr>
    </w:p>
    <w:p w:rsidR="00690D00" w:rsidRPr="002972FF" w:rsidRDefault="00690D00" w:rsidP="00690D00">
      <w:pPr>
        <w:widowControl/>
        <w:spacing w:before="320" w:line="480" w:lineRule="auto"/>
        <w:jc w:val="both"/>
        <w:rPr>
          <w:rFonts w:ascii="Arial" w:hAnsi="Arial" w:cs="Arial"/>
          <w:b/>
          <w:u w:val="single"/>
        </w:rPr>
      </w:pPr>
      <w:r w:rsidRPr="002972FF">
        <w:rPr>
          <w:rFonts w:ascii="Arial" w:hAnsi="Arial" w:cs="Arial"/>
          <w:b/>
          <w:u w:val="single"/>
        </w:rPr>
        <w:lastRenderedPageBreak/>
        <w:t>IN DISPUTE</w:t>
      </w:r>
    </w:p>
    <w:p w:rsidR="00690D00" w:rsidRDefault="00131C3E" w:rsidP="00690D00">
      <w:pPr>
        <w:widowControl/>
        <w:spacing w:before="320" w:line="480" w:lineRule="auto"/>
        <w:jc w:val="both"/>
        <w:rPr>
          <w:rFonts w:ascii="Arial" w:hAnsi="Arial" w:cs="Arial"/>
        </w:rPr>
      </w:pPr>
      <w:r>
        <w:rPr>
          <w:rFonts w:ascii="Arial" w:hAnsi="Arial" w:cs="Arial"/>
        </w:rPr>
        <w:t>[5]</w:t>
      </w:r>
      <w:r>
        <w:rPr>
          <w:rFonts w:ascii="Arial" w:hAnsi="Arial" w:cs="Arial"/>
        </w:rPr>
        <w:tab/>
        <w:t>T</w:t>
      </w:r>
      <w:r w:rsidR="00690D00">
        <w:rPr>
          <w:rFonts w:ascii="Arial" w:hAnsi="Arial" w:cs="Arial"/>
        </w:rPr>
        <w:t>he following issues are in dispute and to be adjudicated upon:</w:t>
      </w:r>
    </w:p>
    <w:p w:rsidR="00690D00" w:rsidRDefault="00131C3E" w:rsidP="00690D00">
      <w:pPr>
        <w:widowControl/>
        <w:spacing w:before="320" w:line="480" w:lineRule="auto"/>
        <w:jc w:val="both"/>
        <w:rPr>
          <w:rFonts w:ascii="Arial" w:hAnsi="Arial" w:cs="Arial"/>
        </w:rPr>
      </w:pPr>
      <w:r>
        <w:rPr>
          <w:rFonts w:ascii="Arial" w:hAnsi="Arial" w:cs="Arial"/>
        </w:rPr>
        <w:tab/>
        <w:t>5.1</w:t>
      </w:r>
      <w:r>
        <w:rPr>
          <w:rFonts w:ascii="Arial" w:hAnsi="Arial" w:cs="Arial"/>
        </w:rPr>
        <w:tab/>
        <w:t>the extent of and share in the joint ownership</w:t>
      </w:r>
      <w:r w:rsidR="00370932">
        <w:rPr>
          <w:rFonts w:ascii="Arial" w:hAnsi="Arial" w:cs="Arial"/>
        </w:rPr>
        <w:t>;</w:t>
      </w:r>
    </w:p>
    <w:p w:rsidR="00131C3E" w:rsidRDefault="00131C3E" w:rsidP="00690D00">
      <w:pPr>
        <w:widowControl/>
        <w:spacing w:before="320" w:line="480" w:lineRule="auto"/>
        <w:jc w:val="both"/>
        <w:rPr>
          <w:rFonts w:ascii="Arial" w:hAnsi="Arial" w:cs="Arial"/>
        </w:rPr>
      </w:pPr>
      <w:r>
        <w:rPr>
          <w:rFonts w:ascii="Arial" w:hAnsi="Arial" w:cs="Arial"/>
        </w:rPr>
        <w:tab/>
        <w:t>5.2</w:t>
      </w:r>
      <w:r>
        <w:rPr>
          <w:rFonts w:ascii="Arial" w:hAnsi="Arial" w:cs="Arial"/>
        </w:rPr>
        <w:tab/>
        <w:t>the manner in which the joint ownership should be terminated</w:t>
      </w:r>
      <w:r w:rsidR="00370932">
        <w:rPr>
          <w:rFonts w:ascii="Arial" w:hAnsi="Arial" w:cs="Arial"/>
        </w:rPr>
        <w:t>;</w:t>
      </w:r>
    </w:p>
    <w:p w:rsidR="00131C3E" w:rsidRDefault="00131C3E" w:rsidP="00690D00">
      <w:pPr>
        <w:widowControl/>
        <w:spacing w:before="320" w:line="480" w:lineRule="auto"/>
        <w:jc w:val="both"/>
        <w:rPr>
          <w:rFonts w:ascii="Arial" w:hAnsi="Arial" w:cs="Arial"/>
        </w:rPr>
      </w:pPr>
      <w:r>
        <w:rPr>
          <w:rFonts w:ascii="Arial" w:hAnsi="Arial" w:cs="Arial"/>
        </w:rPr>
        <w:tab/>
        <w:t>5.3</w:t>
      </w:r>
      <w:r>
        <w:rPr>
          <w:rFonts w:ascii="Arial" w:hAnsi="Arial" w:cs="Arial"/>
        </w:rPr>
        <w:tab/>
        <w:t>the scale of costs pursuant to the withdrawal of the counterclaim</w:t>
      </w:r>
      <w:r>
        <w:rPr>
          <w:rStyle w:val="FootnoteReference"/>
          <w:rFonts w:ascii="Arial" w:hAnsi="Arial" w:cs="Arial"/>
        </w:rPr>
        <w:footnoteReference w:id="5"/>
      </w:r>
      <w:r w:rsidR="00370932">
        <w:rPr>
          <w:rFonts w:ascii="Arial" w:hAnsi="Arial" w:cs="Arial"/>
        </w:rPr>
        <w:t>;</w:t>
      </w:r>
      <w:r>
        <w:rPr>
          <w:rFonts w:ascii="Arial" w:hAnsi="Arial" w:cs="Arial"/>
        </w:rPr>
        <w:t xml:space="preserve"> and</w:t>
      </w:r>
    </w:p>
    <w:p w:rsidR="00131C3E" w:rsidRDefault="00131C3E" w:rsidP="00690D00">
      <w:pPr>
        <w:widowControl/>
        <w:spacing w:before="320" w:line="480" w:lineRule="auto"/>
        <w:jc w:val="both"/>
        <w:rPr>
          <w:rFonts w:ascii="Arial" w:hAnsi="Arial" w:cs="Arial"/>
        </w:rPr>
      </w:pPr>
      <w:r>
        <w:rPr>
          <w:rFonts w:ascii="Arial" w:hAnsi="Arial" w:cs="Arial"/>
        </w:rPr>
        <w:tab/>
        <w:t>5.4</w:t>
      </w:r>
      <w:r>
        <w:rPr>
          <w:rFonts w:ascii="Arial" w:hAnsi="Arial" w:cs="Arial"/>
        </w:rPr>
        <w:tab/>
        <w:t>the overall costs of suit</w:t>
      </w:r>
      <w:r w:rsidR="00370932">
        <w:rPr>
          <w:rFonts w:ascii="Arial" w:hAnsi="Arial" w:cs="Arial"/>
        </w:rPr>
        <w:t>.</w:t>
      </w:r>
    </w:p>
    <w:p w:rsidR="00131C3E" w:rsidRPr="002972FF" w:rsidRDefault="00131C3E" w:rsidP="00690D00">
      <w:pPr>
        <w:widowControl/>
        <w:spacing w:before="320" w:line="480" w:lineRule="auto"/>
        <w:jc w:val="both"/>
        <w:rPr>
          <w:rFonts w:ascii="Arial" w:hAnsi="Arial" w:cs="Arial"/>
          <w:b/>
          <w:u w:val="single"/>
        </w:rPr>
      </w:pPr>
      <w:r w:rsidRPr="002972FF">
        <w:rPr>
          <w:rFonts w:ascii="Arial" w:hAnsi="Arial" w:cs="Arial"/>
          <w:b/>
          <w:u w:val="single"/>
        </w:rPr>
        <w:t>THE PLEADINGS</w:t>
      </w:r>
    </w:p>
    <w:p w:rsidR="00131C3E" w:rsidRDefault="00131C3E" w:rsidP="00131C3E">
      <w:pPr>
        <w:widowControl/>
        <w:spacing w:before="320" w:line="480" w:lineRule="auto"/>
        <w:ind w:left="709" w:hanging="709"/>
        <w:jc w:val="both"/>
        <w:rPr>
          <w:rFonts w:ascii="Arial" w:hAnsi="Arial" w:cs="Arial"/>
        </w:rPr>
      </w:pPr>
      <w:r>
        <w:rPr>
          <w:rFonts w:ascii="Arial" w:hAnsi="Arial" w:cs="Arial"/>
        </w:rPr>
        <w:t>[6]</w:t>
      </w:r>
      <w:r>
        <w:rPr>
          <w:rFonts w:ascii="Arial" w:hAnsi="Arial" w:cs="Arial"/>
        </w:rPr>
        <w:tab/>
        <w:t xml:space="preserve">The pleadings in this matter have been amended on several occasions. Although it is </w:t>
      </w:r>
      <w:r w:rsidR="008837B3">
        <w:rPr>
          <w:rFonts w:ascii="Arial" w:hAnsi="Arial" w:cs="Arial"/>
        </w:rPr>
        <w:t xml:space="preserve">the </w:t>
      </w:r>
      <w:r w:rsidR="00370932">
        <w:rPr>
          <w:rFonts w:ascii="Arial" w:hAnsi="Arial" w:cs="Arial"/>
        </w:rPr>
        <w:t xml:space="preserve">latest </w:t>
      </w:r>
      <w:r w:rsidR="008837B3">
        <w:rPr>
          <w:rFonts w:ascii="Arial" w:hAnsi="Arial" w:cs="Arial"/>
        </w:rPr>
        <w:t>amended particulars of claim and plea that are to be adjudicated upon, the pre-amendment pleadings provide context for t</w:t>
      </w:r>
      <w:r w:rsidR="006E0967">
        <w:rPr>
          <w:rFonts w:ascii="Arial" w:hAnsi="Arial" w:cs="Arial"/>
        </w:rPr>
        <w:t>he argument regarding the division of the proceeds of the Property,</w:t>
      </w:r>
      <w:r w:rsidR="008837B3">
        <w:rPr>
          <w:rFonts w:ascii="Arial" w:hAnsi="Arial" w:cs="Arial"/>
        </w:rPr>
        <w:t xml:space="preserve"> and</w:t>
      </w:r>
      <w:r w:rsidR="006E0967">
        <w:rPr>
          <w:rFonts w:ascii="Arial" w:hAnsi="Arial" w:cs="Arial"/>
        </w:rPr>
        <w:t xml:space="preserve"> the</w:t>
      </w:r>
      <w:r w:rsidR="008837B3">
        <w:rPr>
          <w:rFonts w:ascii="Arial" w:hAnsi="Arial" w:cs="Arial"/>
        </w:rPr>
        <w:t xml:space="preserve"> method of division.</w:t>
      </w:r>
    </w:p>
    <w:p w:rsidR="008837B3" w:rsidRDefault="008837B3" w:rsidP="00131C3E">
      <w:pPr>
        <w:widowControl/>
        <w:spacing w:before="320" w:line="480" w:lineRule="auto"/>
        <w:ind w:left="709" w:hanging="709"/>
        <w:jc w:val="both"/>
        <w:rPr>
          <w:rFonts w:ascii="Arial" w:hAnsi="Arial" w:cs="Arial"/>
        </w:rPr>
      </w:pPr>
      <w:r>
        <w:rPr>
          <w:rFonts w:ascii="Arial" w:hAnsi="Arial" w:cs="Arial"/>
        </w:rPr>
        <w:t>[7]</w:t>
      </w:r>
      <w:r>
        <w:rPr>
          <w:rFonts w:ascii="Arial" w:hAnsi="Arial" w:cs="Arial"/>
        </w:rPr>
        <w:tab/>
        <w:t>In her original suit, the plaintiff alleged the following:</w:t>
      </w:r>
    </w:p>
    <w:p w:rsidR="008837B3" w:rsidRDefault="008837B3" w:rsidP="000816DB">
      <w:pPr>
        <w:widowControl/>
        <w:spacing w:before="320" w:line="480" w:lineRule="auto"/>
        <w:ind w:left="1440" w:hanging="732"/>
        <w:jc w:val="both"/>
        <w:rPr>
          <w:rFonts w:ascii="Arial" w:hAnsi="Arial" w:cs="Arial"/>
        </w:rPr>
      </w:pPr>
      <w:r>
        <w:rPr>
          <w:rFonts w:ascii="Arial" w:hAnsi="Arial" w:cs="Arial"/>
        </w:rPr>
        <w:t>7.1</w:t>
      </w:r>
      <w:r>
        <w:rPr>
          <w:rFonts w:ascii="Arial" w:hAnsi="Arial" w:cs="Arial"/>
        </w:rPr>
        <w:tab/>
        <w:t>that she and the defendants are</w:t>
      </w:r>
      <w:r w:rsidR="00370932">
        <w:rPr>
          <w:rFonts w:ascii="Arial" w:hAnsi="Arial" w:cs="Arial"/>
        </w:rPr>
        <w:t xml:space="preserve"> the</w:t>
      </w:r>
      <w:r>
        <w:rPr>
          <w:rFonts w:ascii="Arial" w:hAnsi="Arial" w:cs="Arial"/>
        </w:rPr>
        <w:t xml:space="preserve"> reg</w:t>
      </w:r>
      <w:r w:rsidR="00370932">
        <w:rPr>
          <w:rFonts w:ascii="Arial" w:hAnsi="Arial" w:cs="Arial"/>
        </w:rPr>
        <w:t>istered</w:t>
      </w:r>
      <w:r>
        <w:rPr>
          <w:rFonts w:ascii="Arial" w:hAnsi="Arial" w:cs="Arial"/>
        </w:rPr>
        <w:t xml:space="preserve"> joint owners in equal and undivided shares in 2 </w:t>
      </w:r>
      <w:r w:rsidR="000816DB">
        <w:rPr>
          <w:rFonts w:ascii="Arial" w:hAnsi="Arial" w:cs="Arial"/>
        </w:rPr>
        <w:t>immovable</w:t>
      </w:r>
      <w:r>
        <w:rPr>
          <w:rFonts w:ascii="Arial" w:hAnsi="Arial" w:cs="Arial"/>
        </w:rPr>
        <w:t xml:space="preserve"> properties, of which the </w:t>
      </w:r>
      <w:r w:rsidR="000816DB">
        <w:rPr>
          <w:rFonts w:ascii="Arial" w:hAnsi="Arial" w:cs="Arial"/>
        </w:rPr>
        <w:t>Property</w:t>
      </w:r>
      <w:r>
        <w:rPr>
          <w:rFonts w:ascii="Arial" w:hAnsi="Arial" w:cs="Arial"/>
        </w:rPr>
        <w:t xml:space="preserve"> is one</w:t>
      </w:r>
      <w:r>
        <w:rPr>
          <w:rStyle w:val="FootnoteReference"/>
          <w:rFonts w:ascii="Arial" w:hAnsi="Arial" w:cs="Arial"/>
        </w:rPr>
        <w:footnoteReference w:id="6"/>
      </w:r>
      <w:r w:rsidR="001C468C">
        <w:rPr>
          <w:rFonts w:ascii="Arial" w:hAnsi="Arial" w:cs="Arial"/>
        </w:rPr>
        <w:t>;</w:t>
      </w:r>
    </w:p>
    <w:p w:rsidR="001C468C" w:rsidRDefault="001C468C" w:rsidP="000816DB">
      <w:pPr>
        <w:widowControl/>
        <w:spacing w:before="320" w:line="480" w:lineRule="auto"/>
        <w:ind w:left="1440" w:hanging="732"/>
        <w:jc w:val="both"/>
        <w:rPr>
          <w:rFonts w:ascii="Arial" w:hAnsi="Arial" w:cs="Arial"/>
        </w:rPr>
      </w:pPr>
      <w:r>
        <w:rPr>
          <w:rFonts w:ascii="Arial" w:hAnsi="Arial" w:cs="Arial"/>
        </w:rPr>
        <w:lastRenderedPageBreak/>
        <w:t>7.2</w:t>
      </w:r>
      <w:r>
        <w:rPr>
          <w:rFonts w:ascii="Arial" w:hAnsi="Arial" w:cs="Arial"/>
        </w:rPr>
        <w:tab/>
        <w:t>that the Property is held by the Plaintiff and the defendants jointly in terms of the Deed of Tr</w:t>
      </w:r>
      <w:r w:rsidR="00595E35">
        <w:rPr>
          <w:rFonts w:ascii="Arial" w:hAnsi="Arial" w:cs="Arial"/>
        </w:rPr>
        <w:t>ansfer No. T118736/2003;</w:t>
      </w:r>
    </w:p>
    <w:p w:rsidR="001C468C" w:rsidRDefault="001C468C" w:rsidP="000816DB">
      <w:pPr>
        <w:widowControl/>
        <w:spacing w:before="320" w:line="480" w:lineRule="auto"/>
        <w:ind w:left="1440" w:hanging="732"/>
        <w:jc w:val="both"/>
        <w:rPr>
          <w:rFonts w:ascii="Arial" w:hAnsi="Arial" w:cs="Arial"/>
        </w:rPr>
      </w:pPr>
      <w:r>
        <w:rPr>
          <w:rFonts w:ascii="Arial" w:hAnsi="Arial" w:cs="Arial"/>
        </w:rPr>
        <w:t>7.3</w:t>
      </w:r>
      <w:r>
        <w:rPr>
          <w:rFonts w:ascii="Arial" w:hAnsi="Arial" w:cs="Arial"/>
        </w:rPr>
        <w:tab/>
        <w:t>that the Property was purchased by the plaintiff and the defendants on 6 July 2003 for R2 150 000-00;</w:t>
      </w:r>
    </w:p>
    <w:p w:rsidR="001C468C" w:rsidRDefault="001C468C" w:rsidP="000816DB">
      <w:pPr>
        <w:widowControl/>
        <w:spacing w:before="320" w:line="480" w:lineRule="auto"/>
        <w:ind w:left="1440" w:hanging="732"/>
        <w:jc w:val="both"/>
        <w:rPr>
          <w:rFonts w:ascii="Arial" w:hAnsi="Arial" w:cs="Arial"/>
        </w:rPr>
      </w:pPr>
      <w:r>
        <w:rPr>
          <w:rFonts w:ascii="Arial" w:hAnsi="Arial" w:cs="Arial"/>
        </w:rPr>
        <w:t>7.4</w:t>
      </w:r>
      <w:r>
        <w:rPr>
          <w:rFonts w:ascii="Arial" w:hAnsi="Arial" w:cs="Arial"/>
        </w:rPr>
        <w:tab/>
        <w:t xml:space="preserve">that the property is presently used by the defendants as their primary residence; </w:t>
      </w:r>
    </w:p>
    <w:p w:rsidR="001C468C" w:rsidRDefault="001C468C" w:rsidP="000816DB">
      <w:pPr>
        <w:widowControl/>
        <w:spacing w:before="320" w:line="480" w:lineRule="auto"/>
        <w:ind w:left="1440" w:hanging="732"/>
        <w:jc w:val="both"/>
        <w:rPr>
          <w:rFonts w:ascii="Arial" w:hAnsi="Arial" w:cs="Arial"/>
        </w:rPr>
      </w:pPr>
      <w:r>
        <w:rPr>
          <w:rFonts w:ascii="Arial" w:hAnsi="Arial" w:cs="Arial"/>
        </w:rPr>
        <w:t>7.5</w:t>
      </w:r>
      <w:r>
        <w:rPr>
          <w:rFonts w:ascii="Arial" w:hAnsi="Arial" w:cs="Arial"/>
        </w:rPr>
        <w:tab/>
        <w:t>that the plaintiff wishes to terminate the joint ownership.</w:t>
      </w:r>
    </w:p>
    <w:p w:rsidR="00D34856" w:rsidRDefault="001C468C" w:rsidP="00976ED9">
      <w:pPr>
        <w:widowControl/>
        <w:spacing w:before="320" w:line="480" w:lineRule="auto"/>
        <w:ind w:left="708" w:hanging="708"/>
        <w:jc w:val="both"/>
        <w:rPr>
          <w:rFonts w:ascii="Arial" w:hAnsi="Arial" w:cs="Arial"/>
        </w:rPr>
      </w:pPr>
      <w:r>
        <w:rPr>
          <w:rFonts w:ascii="Arial" w:hAnsi="Arial" w:cs="Arial"/>
        </w:rPr>
        <w:t>[8]</w:t>
      </w:r>
      <w:r>
        <w:rPr>
          <w:rFonts w:ascii="Arial" w:hAnsi="Arial" w:cs="Arial"/>
        </w:rPr>
        <w:tab/>
        <w:t>The Plaintiff has proposed a method</w:t>
      </w:r>
      <w:r w:rsidR="00976ED9">
        <w:rPr>
          <w:rFonts w:ascii="Arial" w:hAnsi="Arial" w:cs="Arial"/>
        </w:rPr>
        <w:t xml:space="preserve"> </w:t>
      </w:r>
      <w:r>
        <w:rPr>
          <w:rFonts w:ascii="Arial" w:hAnsi="Arial" w:cs="Arial"/>
        </w:rPr>
        <w:t xml:space="preserve">of termination </w:t>
      </w:r>
      <w:r w:rsidR="00D34856">
        <w:rPr>
          <w:rFonts w:ascii="Arial" w:hAnsi="Arial" w:cs="Arial"/>
        </w:rPr>
        <w:t>which she has detailed in her suit a</w:t>
      </w:r>
      <w:r w:rsidR="00C43DB8">
        <w:rPr>
          <w:rFonts w:ascii="Arial" w:hAnsi="Arial" w:cs="Arial"/>
        </w:rPr>
        <w:t>nd which ultimately will mean</w:t>
      </w:r>
      <w:r w:rsidR="00D34856">
        <w:rPr>
          <w:rFonts w:ascii="Arial" w:hAnsi="Arial" w:cs="Arial"/>
        </w:rPr>
        <w:t xml:space="preserve"> </w:t>
      </w:r>
      <w:r w:rsidR="00C43DB8">
        <w:rPr>
          <w:rFonts w:ascii="Arial" w:hAnsi="Arial" w:cs="Arial"/>
        </w:rPr>
        <w:t>that she will see 50% of the proceeds in the Property and the defendants the other 50%</w:t>
      </w:r>
      <w:r w:rsidR="00D22ECA">
        <w:rPr>
          <w:rFonts w:ascii="Arial" w:hAnsi="Arial" w:cs="Arial"/>
        </w:rPr>
        <w:t>.</w:t>
      </w:r>
      <w:r w:rsidR="00D22ECA">
        <w:rPr>
          <w:rStyle w:val="FootnoteReference"/>
          <w:rFonts w:ascii="Arial" w:hAnsi="Arial" w:cs="Arial"/>
        </w:rPr>
        <w:footnoteReference w:id="7"/>
      </w:r>
    </w:p>
    <w:p w:rsidR="00976ED9" w:rsidRDefault="00D34856" w:rsidP="00976ED9">
      <w:pPr>
        <w:widowControl/>
        <w:spacing w:before="320" w:line="480" w:lineRule="auto"/>
        <w:ind w:left="708" w:hanging="708"/>
        <w:jc w:val="both"/>
        <w:rPr>
          <w:rFonts w:ascii="Arial" w:hAnsi="Arial" w:cs="Arial"/>
        </w:rPr>
      </w:pPr>
      <w:r>
        <w:rPr>
          <w:rFonts w:ascii="Arial" w:hAnsi="Arial" w:cs="Arial"/>
        </w:rPr>
        <w:t>[9]</w:t>
      </w:r>
      <w:r>
        <w:rPr>
          <w:rFonts w:ascii="Arial" w:hAnsi="Arial" w:cs="Arial"/>
        </w:rPr>
        <w:tab/>
        <w:t>I</w:t>
      </w:r>
      <w:r w:rsidR="00976ED9">
        <w:rPr>
          <w:rFonts w:ascii="Arial" w:hAnsi="Arial" w:cs="Arial"/>
        </w:rPr>
        <w:t xml:space="preserve">n a </w:t>
      </w:r>
      <w:r>
        <w:rPr>
          <w:rFonts w:ascii="Arial" w:hAnsi="Arial" w:cs="Arial"/>
        </w:rPr>
        <w:t xml:space="preserve">first </w:t>
      </w:r>
      <w:r w:rsidR="00976ED9">
        <w:rPr>
          <w:rFonts w:ascii="Arial" w:hAnsi="Arial" w:cs="Arial"/>
        </w:rPr>
        <w:t>amendment</w:t>
      </w:r>
      <w:r w:rsidR="00296081">
        <w:rPr>
          <w:rFonts w:ascii="Arial" w:hAnsi="Arial" w:cs="Arial"/>
        </w:rPr>
        <w:t xml:space="preserve"> of the particulars of claim</w:t>
      </w:r>
      <w:r>
        <w:rPr>
          <w:rFonts w:ascii="Arial" w:hAnsi="Arial" w:cs="Arial"/>
        </w:rPr>
        <w:t>,</w:t>
      </w:r>
      <w:r w:rsidR="00976ED9">
        <w:rPr>
          <w:rFonts w:ascii="Arial" w:hAnsi="Arial" w:cs="Arial"/>
        </w:rPr>
        <w:t xml:space="preserve"> the plaintiff re-iterated her stance regarding the equal joint ownership between herself and the defendants by suggesting relief that would see a division of any proceeds of the sale of the property being divided into 1/3 equal parts between them.</w:t>
      </w:r>
    </w:p>
    <w:p w:rsidR="00976ED9" w:rsidRDefault="007421D2" w:rsidP="00976ED9">
      <w:pPr>
        <w:widowControl/>
        <w:spacing w:before="320" w:line="480" w:lineRule="auto"/>
        <w:ind w:left="708" w:hanging="708"/>
        <w:jc w:val="both"/>
        <w:rPr>
          <w:rFonts w:ascii="Arial" w:hAnsi="Arial" w:cs="Arial"/>
        </w:rPr>
      </w:pPr>
      <w:r>
        <w:rPr>
          <w:rFonts w:ascii="Arial" w:hAnsi="Arial" w:cs="Arial"/>
        </w:rPr>
        <w:t>[10]</w:t>
      </w:r>
      <w:r>
        <w:rPr>
          <w:rFonts w:ascii="Arial" w:hAnsi="Arial" w:cs="Arial"/>
        </w:rPr>
        <w:tab/>
        <w:t>I</w:t>
      </w:r>
      <w:r w:rsidR="00976ED9">
        <w:rPr>
          <w:rFonts w:ascii="Arial" w:hAnsi="Arial" w:cs="Arial"/>
        </w:rPr>
        <w:t>n their</w:t>
      </w:r>
      <w:r w:rsidR="00296081">
        <w:rPr>
          <w:rFonts w:ascii="Arial" w:hAnsi="Arial" w:cs="Arial"/>
        </w:rPr>
        <w:t xml:space="preserve"> p</w:t>
      </w:r>
      <w:r w:rsidR="00976ED9">
        <w:rPr>
          <w:rFonts w:ascii="Arial" w:hAnsi="Arial" w:cs="Arial"/>
        </w:rPr>
        <w:t>lea,</w:t>
      </w:r>
      <w:r w:rsidR="00D34856">
        <w:rPr>
          <w:rFonts w:ascii="Arial" w:hAnsi="Arial" w:cs="Arial"/>
        </w:rPr>
        <w:t xml:space="preserve"> filed after the above first amendment, </w:t>
      </w:r>
      <w:r w:rsidR="00976ED9">
        <w:rPr>
          <w:rFonts w:ascii="Arial" w:hAnsi="Arial" w:cs="Arial"/>
        </w:rPr>
        <w:t>the defendants allege that:</w:t>
      </w:r>
    </w:p>
    <w:p w:rsidR="00980AE6" w:rsidRDefault="00980AE6" w:rsidP="00980AE6">
      <w:pPr>
        <w:widowControl/>
        <w:spacing w:before="320" w:line="480" w:lineRule="auto"/>
        <w:ind w:left="1440" w:hanging="732"/>
        <w:jc w:val="both"/>
        <w:rPr>
          <w:rFonts w:ascii="Arial" w:hAnsi="Arial" w:cs="Arial"/>
        </w:rPr>
      </w:pPr>
      <w:r>
        <w:rPr>
          <w:rFonts w:ascii="Arial" w:hAnsi="Arial" w:cs="Arial"/>
        </w:rPr>
        <w:t>10.1</w:t>
      </w:r>
      <w:r>
        <w:rPr>
          <w:rFonts w:ascii="Arial" w:hAnsi="Arial" w:cs="Arial"/>
        </w:rPr>
        <w:tab/>
        <w:t>the 1</w:t>
      </w:r>
      <w:r w:rsidRPr="00980AE6">
        <w:rPr>
          <w:rFonts w:ascii="Arial" w:hAnsi="Arial" w:cs="Arial"/>
          <w:vertAlign w:val="superscript"/>
        </w:rPr>
        <w:t>st</w:t>
      </w:r>
      <w:r>
        <w:rPr>
          <w:rFonts w:ascii="Arial" w:hAnsi="Arial" w:cs="Arial"/>
        </w:rPr>
        <w:t xml:space="preserve"> defendant paid an amount of R1 100 000-00 towards the acquisition of the Property with the balance being paid by an entity ca</w:t>
      </w:r>
      <w:r w:rsidR="00197790">
        <w:rPr>
          <w:rFonts w:ascii="Arial" w:hAnsi="Arial" w:cs="Arial"/>
        </w:rPr>
        <w:t>lled BCM (Supplies CC).</w:t>
      </w:r>
    </w:p>
    <w:p w:rsidR="00980AE6" w:rsidRDefault="00980AE6" w:rsidP="00980AE6">
      <w:pPr>
        <w:widowControl/>
        <w:spacing w:before="320" w:line="480" w:lineRule="auto"/>
        <w:ind w:left="1440" w:hanging="732"/>
        <w:jc w:val="both"/>
        <w:rPr>
          <w:rFonts w:ascii="Arial" w:hAnsi="Arial" w:cs="Arial"/>
        </w:rPr>
      </w:pPr>
      <w:r>
        <w:rPr>
          <w:rFonts w:ascii="Arial" w:hAnsi="Arial" w:cs="Arial"/>
        </w:rPr>
        <w:t>10.2</w:t>
      </w:r>
      <w:r>
        <w:rPr>
          <w:rFonts w:ascii="Arial" w:hAnsi="Arial" w:cs="Arial"/>
        </w:rPr>
        <w:tab/>
        <w:t>the plaintiff made no contributions towards the purchase of the Property</w:t>
      </w:r>
      <w:r w:rsidR="00D34856">
        <w:rPr>
          <w:rFonts w:ascii="Arial" w:hAnsi="Arial" w:cs="Arial"/>
        </w:rPr>
        <w:t>.</w:t>
      </w:r>
    </w:p>
    <w:p w:rsidR="00980AE6" w:rsidRDefault="00980AE6" w:rsidP="00980AE6">
      <w:pPr>
        <w:widowControl/>
        <w:spacing w:before="320" w:line="480" w:lineRule="auto"/>
        <w:jc w:val="both"/>
        <w:rPr>
          <w:rFonts w:ascii="Arial" w:hAnsi="Arial" w:cs="Arial"/>
        </w:rPr>
      </w:pPr>
      <w:r>
        <w:rPr>
          <w:rFonts w:ascii="Arial" w:hAnsi="Arial" w:cs="Arial"/>
        </w:rPr>
        <w:lastRenderedPageBreak/>
        <w:t>[11]</w:t>
      </w:r>
      <w:r>
        <w:rPr>
          <w:rFonts w:ascii="Arial" w:hAnsi="Arial" w:cs="Arial"/>
        </w:rPr>
        <w:tab/>
        <w:t>The defendants ask that the claim be dismissed with costs.</w:t>
      </w:r>
    </w:p>
    <w:p w:rsidR="00980AE6" w:rsidRDefault="00980AE6" w:rsidP="00980AE6">
      <w:pPr>
        <w:widowControl/>
        <w:spacing w:before="320" w:line="480" w:lineRule="auto"/>
        <w:ind w:left="720" w:hanging="720"/>
        <w:jc w:val="both"/>
        <w:rPr>
          <w:rFonts w:ascii="Arial" w:hAnsi="Arial" w:cs="Arial"/>
        </w:rPr>
      </w:pPr>
      <w:r>
        <w:rPr>
          <w:rFonts w:ascii="Arial" w:hAnsi="Arial" w:cs="Arial"/>
        </w:rPr>
        <w:t>[12]</w:t>
      </w:r>
      <w:r>
        <w:rPr>
          <w:rFonts w:ascii="Arial" w:hAnsi="Arial" w:cs="Arial"/>
        </w:rPr>
        <w:tab/>
        <w:t>In October the plaintiff then amended her particulars of claim again. In this she alleges, simply that the plaintiff and the 1</w:t>
      </w:r>
      <w:r w:rsidRPr="00980AE6">
        <w:rPr>
          <w:rFonts w:ascii="Arial" w:hAnsi="Arial" w:cs="Arial"/>
          <w:vertAlign w:val="superscript"/>
        </w:rPr>
        <w:t>st</w:t>
      </w:r>
      <w:r>
        <w:rPr>
          <w:rFonts w:ascii="Arial" w:hAnsi="Arial" w:cs="Arial"/>
        </w:rPr>
        <w:t xml:space="preserve"> defendant are the reg</w:t>
      </w:r>
      <w:r w:rsidR="00D34856">
        <w:rPr>
          <w:rFonts w:ascii="Arial" w:hAnsi="Arial" w:cs="Arial"/>
        </w:rPr>
        <w:t>istered</w:t>
      </w:r>
      <w:r>
        <w:rPr>
          <w:rFonts w:ascii="Arial" w:hAnsi="Arial" w:cs="Arial"/>
        </w:rPr>
        <w:t xml:space="preserve"> owners in equal and undivided shares and that the property was purchased by plaintiff, 1</w:t>
      </w:r>
      <w:r w:rsidRPr="00980AE6">
        <w:rPr>
          <w:rFonts w:ascii="Arial" w:hAnsi="Arial" w:cs="Arial"/>
          <w:vertAlign w:val="superscript"/>
        </w:rPr>
        <w:t>st</w:t>
      </w:r>
      <w:r>
        <w:rPr>
          <w:rFonts w:ascii="Arial" w:hAnsi="Arial" w:cs="Arial"/>
        </w:rPr>
        <w:t xml:space="preserve"> defendant and 2</w:t>
      </w:r>
      <w:r w:rsidRPr="00980AE6">
        <w:rPr>
          <w:rFonts w:ascii="Arial" w:hAnsi="Arial" w:cs="Arial"/>
          <w:vertAlign w:val="superscript"/>
        </w:rPr>
        <w:t>nd</w:t>
      </w:r>
      <w:r>
        <w:rPr>
          <w:rFonts w:ascii="Arial" w:hAnsi="Arial" w:cs="Arial"/>
        </w:rPr>
        <w:t xml:space="preserve"> defendant on 6 July 2003 for R2 150 000-00</w:t>
      </w:r>
    </w:p>
    <w:p w:rsidR="00980AE6" w:rsidRDefault="00DA28E1" w:rsidP="00980AE6">
      <w:pPr>
        <w:widowControl/>
        <w:spacing w:before="320" w:line="480" w:lineRule="auto"/>
        <w:ind w:left="720" w:hanging="720"/>
        <w:jc w:val="both"/>
        <w:rPr>
          <w:rFonts w:ascii="Arial" w:hAnsi="Arial" w:cs="Arial"/>
        </w:rPr>
      </w:pPr>
      <w:r>
        <w:rPr>
          <w:rFonts w:ascii="Arial" w:hAnsi="Arial" w:cs="Arial"/>
        </w:rPr>
        <w:t>[13]</w:t>
      </w:r>
      <w:r>
        <w:rPr>
          <w:rFonts w:ascii="Arial" w:hAnsi="Arial" w:cs="Arial"/>
        </w:rPr>
        <w:tab/>
        <w:t>I</w:t>
      </w:r>
      <w:r w:rsidR="00980AE6">
        <w:rPr>
          <w:rFonts w:ascii="Arial" w:hAnsi="Arial" w:cs="Arial"/>
        </w:rPr>
        <w:t>n their amended Plea the defendants now plead that:</w:t>
      </w:r>
    </w:p>
    <w:p w:rsidR="00980AE6" w:rsidRDefault="00D34856" w:rsidP="00D34856">
      <w:pPr>
        <w:widowControl/>
        <w:spacing w:before="320" w:line="480" w:lineRule="auto"/>
        <w:ind w:left="1440" w:hanging="720"/>
        <w:jc w:val="both"/>
        <w:rPr>
          <w:rFonts w:ascii="Arial" w:hAnsi="Arial" w:cs="Arial"/>
          <w:i/>
        </w:rPr>
      </w:pPr>
      <w:r>
        <w:rPr>
          <w:rFonts w:ascii="Arial" w:hAnsi="Arial" w:cs="Arial"/>
          <w:i/>
        </w:rPr>
        <w:t>“2.</w:t>
      </w:r>
      <w:r>
        <w:rPr>
          <w:rFonts w:ascii="Arial" w:hAnsi="Arial" w:cs="Arial"/>
          <w:i/>
        </w:rPr>
        <w:tab/>
        <w:t>It is admitted that the parties are the registered joint owners of the property but the First and Second Defendants plead that such joint ownership is held on the basis that the property [is] co-owned in equal share[s] of 33,33% each. In addition, the co-ownership of the parties in such immovable property, stems from and was paid with:</w:t>
      </w:r>
    </w:p>
    <w:p w:rsidR="00D34856" w:rsidRDefault="00D34856" w:rsidP="00980AE6">
      <w:pPr>
        <w:widowControl/>
        <w:spacing w:before="320" w:line="480" w:lineRule="auto"/>
        <w:ind w:left="720" w:hanging="720"/>
        <w:jc w:val="both"/>
        <w:rPr>
          <w:rFonts w:ascii="Arial" w:hAnsi="Arial" w:cs="Arial"/>
          <w:i/>
        </w:rPr>
      </w:pPr>
      <w:r>
        <w:rPr>
          <w:rFonts w:ascii="Arial" w:hAnsi="Arial" w:cs="Arial"/>
          <w:i/>
        </w:rPr>
        <w:tab/>
      </w:r>
      <w:r>
        <w:rPr>
          <w:rFonts w:ascii="Arial" w:hAnsi="Arial" w:cs="Arial"/>
          <w:i/>
        </w:rPr>
        <w:tab/>
        <w:t>2.1</w:t>
      </w:r>
      <w:r>
        <w:rPr>
          <w:rFonts w:ascii="Arial" w:hAnsi="Arial" w:cs="Arial"/>
          <w:i/>
        </w:rPr>
        <w:tab/>
        <w:t>an amount of R1 100 000 … from the 1</w:t>
      </w:r>
      <w:r w:rsidRPr="00D34856">
        <w:rPr>
          <w:rFonts w:ascii="Arial" w:hAnsi="Arial" w:cs="Arial"/>
          <w:i/>
          <w:vertAlign w:val="superscript"/>
        </w:rPr>
        <w:t>st</w:t>
      </w:r>
      <w:r>
        <w:rPr>
          <w:rFonts w:ascii="Arial" w:hAnsi="Arial" w:cs="Arial"/>
          <w:i/>
        </w:rPr>
        <w:t xml:space="preserve"> Defendant; and</w:t>
      </w:r>
    </w:p>
    <w:p w:rsidR="00D34856" w:rsidRDefault="00D34856" w:rsidP="00D34856">
      <w:pPr>
        <w:widowControl/>
        <w:spacing w:before="320" w:line="480" w:lineRule="auto"/>
        <w:ind w:left="2160" w:hanging="720"/>
        <w:jc w:val="both"/>
        <w:rPr>
          <w:rFonts w:ascii="Arial" w:hAnsi="Arial" w:cs="Arial"/>
          <w:i/>
        </w:rPr>
      </w:pPr>
      <w:r>
        <w:rPr>
          <w:rFonts w:ascii="Arial" w:hAnsi="Arial" w:cs="Arial"/>
          <w:i/>
        </w:rPr>
        <w:t>2.2</w:t>
      </w:r>
      <w:r>
        <w:rPr>
          <w:rFonts w:ascii="Arial" w:hAnsi="Arial" w:cs="Arial"/>
          <w:i/>
        </w:rPr>
        <w:tab/>
        <w:t>the balance was paid by BCM Supplies CC, …, which forms the subject matter of the counterclaim hereinafter.</w:t>
      </w:r>
    </w:p>
    <w:p w:rsidR="00D34856" w:rsidRDefault="00D34856" w:rsidP="00D34856">
      <w:pPr>
        <w:widowControl/>
        <w:spacing w:before="320" w:line="480" w:lineRule="auto"/>
        <w:ind w:left="1440"/>
        <w:jc w:val="both"/>
        <w:rPr>
          <w:rFonts w:ascii="Arial" w:hAnsi="Arial" w:cs="Arial"/>
          <w:i/>
        </w:rPr>
      </w:pPr>
      <w:r>
        <w:rPr>
          <w:rFonts w:ascii="Arial" w:hAnsi="Arial" w:cs="Arial"/>
          <w:i/>
        </w:rPr>
        <w:t>The First and Second Defendants plead that the Plaintiff made no contributions toward the purchase of the property as described in paragraph</w:t>
      </w:r>
      <w:r w:rsidR="00164DDA">
        <w:rPr>
          <w:rFonts w:ascii="Arial" w:hAnsi="Arial" w:cs="Arial"/>
          <w:i/>
        </w:rPr>
        <w:t xml:space="preserve"> 9 of the Particulars of Claim. </w:t>
      </w:r>
      <w:r>
        <w:rPr>
          <w:rFonts w:ascii="Arial" w:hAnsi="Arial" w:cs="Arial"/>
          <w:i/>
        </w:rPr>
        <w:t>The contributions as set out above need to be taken into account when termination of joint-ownership is made. Anything to the contrary is denied.”</w:t>
      </w:r>
    </w:p>
    <w:p w:rsidR="00980AE6" w:rsidRDefault="00980AE6" w:rsidP="00980AE6">
      <w:pPr>
        <w:widowControl/>
        <w:spacing w:before="320" w:line="480" w:lineRule="auto"/>
        <w:ind w:left="720" w:hanging="720"/>
        <w:jc w:val="both"/>
        <w:rPr>
          <w:rFonts w:ascii="Arial" w:hAnsi="Arial" w:cs="Arial"/>
        </w:rPr>
      </w:pPr>
      <w:r>
        <w:rPr>
          <w:rFonts w:ascii="Arial" w:hAnsi="Arial" w:cs="Arial"/>
        </w:rPr>
        <w:lastRenderedPageBreak/>
        <w:t>[14]</w:t>
      </w:r>
      <w:r>
        <w:rPr>
          <w:rFonts w:ascii="Arial" w:hAnsi="Arial" w:cs="Arial"/>
        </w:rPr>
        <w:tab/>
      </w:r>
      <w:r w:rsidR="00091BA5">
        <w:rPr>
          <w:rFonts w:ascii="Arial" w:hAnsi="Arial" w:cs="Arial"/>
        </w:rPr>
        <w:t>The plea simply seeks an order that the claim be dismissed with costs. There is no counterclaim by the defendants</w:t>
      </w:r>
      <w:r w:rsidR="00091BA5">
        <w:rPr>
          <w:rStyle w:val="FootnoteReference"/>
          <w:rFonts w:ascii="Arial" w:hAnsi="Arial" w:cs="Arial"/>
        </w:rPr>
        <w:footnoteReference w:id="8"/>
      </w:r>
      <w:r w:rsidR="00091BA5">
        <w:rPr>
          <w:rFonts w:ascii="Arial" w:hAnsi="Arial" w:cs="Arial"/>
        </w:rPr>
        <w:t xml:space="preserve">. </w:t>
      </w:r>
      <w:r>
        <w:rPr>
          <w:rFonts w:ascii="Arial" w:hAnsi="Arial" w:cs="Arial"/>
        </w:rPr>
        <w:t>On this basis, the trial proceeded and the plaintiff and the 1</w:t>
      </w:r>
      <w:r w:rsidRPr="00980AE6">
        <w:rPr>
          <w:rFonts w:ascii="Arial" w:hAnsi="Arial" w:cs="Arial"/>
          <w:vertAlign w:val="superscript"/>
        </w:rPr>
        <w:t>st</w:t>
      </w:r>
      <w:r>
        <w:rPr>
          <w:rFonts w:ascii="Arial" w:hAnsi="Arial" w:cs="Arial"/>
        </w:rPr>
        <w:t xml:space="preserve"> defendant each testified.</w:t>
      </w:r>
    </w:p>
    <w:p w:rsidR="00980AE6" w:rsidRPr="002972FF" w:rsidRDefault="00980AE6" w:rsidP="00980AE6">
      <w:pPr>
        <w:widowControl/>
        <w:spacing w:before="320" w:line="480" w:lineRule="auto"/>
        <w:ind w:left="720" w:hanging="720"/>
        <w:jc w:val="both"/>
        <w:rPr>
          <w:rFonts w:ascii="Arial" w:hAnsi="Arial" w:cs="Arial"/>
          <w:b/>
          <w:u w:val="single"/>
        </w:rPr>
      </w:pPr>
      <w:r w:rsidRPr="002972FF">
        <w:rPr>
          <w:rFonts w:ascii="Arial" w:hAnsi="Arial" w:cs="Arial"/>
          <w:b/>
          <w:u w:val="single"/>
        </w:rPr>
        <w:t>THE EVIDENCE</w:t>
      </w:r>
    </w:p>
    <w:p w:rsidR="00980AE6" w:rsidRDefault="00980AE6" w:rsidP="00980AE6">
      <w:pPr>
        <w:widowControl/>
        <w:spacing w:before="320" w:line="480" w:lineRule="auto"/>
        <w:ind w:left="720" w:hanging="720"/>
        <w:jc w:val="both"/>
        <w:rPr>
          <w:rFonts w:ascii="Arial" w:hAnsi="Arial" w:cs="Arial"/>
        </w:rPr>
      </w:pPr>
      <w:r>
        <w:rPr>
          <w:rFonts w:ascii="Arial" w:hAnsi="Arial" w:cs="Arial"/>
        </w:rPr>
        <w:t>[15]</w:t>
      </w:r>
      <w:r>
        <w:rPr>
          <w:rFonts w:ascii="Arial" w:hAnsi="Arial" w:cs="Arial"/>
        </w:rPr>
        <w:tab/>
        <w:t>The plaintiff presently resides in a property owned by her, 1</w:t>
      </w:r>
      <w:r w:rsidRPr="00980AE6">
        <w:rPr>
          <w:rFonts w:ascii="Arial" w:hAnsi="Arial" w:cs="Arial"/>
          <w:vertAlign w:val="superscript"/>
        </w:rPr>
        <w:t>st</w:t>
      </w:r>
      <w:r>
        <w:rPr>
          <w:rFonts w:ascii="Arial" w:hAnsi="Arial" w:cs="Arial"/>
        </w:rPr>
        <w:t xml:space="preserve"> defendant and 2</w:t>
      </w:r>
      <w:r w:rsidRPr="00980AE6">
        <w:rPr>
          <w:rFonts w:ascii="Arial" w:hAnsi="Arial" w:cs="Arial"/>
          <w:vertAlign w:val="superscript"/>
        </w:rPr>
        <w:t>nd</w:t>
      </w:r>
      <w:r>
        <w:rPr>
          <w:rFonts w:ascii="Arial" w:hAnsi="Arial" w:cs="Arial"/>
        </w:rPr>
        <w:t xml:space="preserve"> defendant, in the Western Cape.</w:t>
      </w:r>
      <w:r w:rsidR="00091BA5">
        <w:rPr>
          <w:rFonts w:ascii="Arial" w:hAnsi="Arial" w:cs="Arial"/>
        </w:rPr>
        <w:t xml:space="preserve"> The Western Cape property does not form any part of the present dispute between the parties.</w:t>
      </w:r>
    </w:p>
    <w:p w:rsidR="00980AE6" w:rsidRDefault="00980AE6" w:rsidP="00980AE6">
      <w:pPr>
        <w:widowControl/>
        <w:spacing w:before="320" w:line="480" w:lineRule="auto"/>
        <w:ind w:left="720" w:hanging="720"/>
        <w:jc w:val="both"/>
        <w:rPr>
          <w:rFonts w:ascii="Arial" w:hAnsi="Arial" w:cs="Arial"/>
        </w:rPr>
      </w:pPr>
      <w:r>
        <w:rPr>
          <w:rFonts w:ascii="Arial" w:hAnsi="Arial" w:cs="Arial"/>
        </w:rPr>
        <w:t>[16]</w:t>
      </w:r>
      <w:r>
        <w:rPr>
          <w:rFonts w:ascii="Arial" w:hAnsi="Arial" w:cs="Arial"/>
        </w:rPr>
        <w:tab/>
        <w:t>The Property was purchased as an investment property, in which the plaintiff, her son, 1</w:t>
      </w:r>
      <w:r w:rsidRPr="00980AE6">
        <w:rPr>
          <w:rFonts w:ascii="Arial" w:hAnsi="Arial" w:cs="Arial"/>
          <w:vertAlign w:val="superscript"/>
        </w:rPr>
        <w:t>st</w:t>
      </w:r>
      <w:r>
        <w:rPr>
          <w:rFonts w:ascii="Arial" w:hAnsi="Arial" w:cs="Arial"/>
        </w:rPr>
        <w:t xml:space="preserve"> defendant and 2</w:t>
      </w:r>
      <w:r w:rsidRPr="00980AE6">
        <w:rPr>
          <w:rFonts w:ascii="Arial" w:hAnsi="Arial" w:cs="Arial"/>
          <w:vertAlign w:val="superscript"/>
        </w:rPr>
        <w:t>nd</w:t>
      </w:r>
      <w:r>
        <w:rPr>
          <w:rFonts w:ascii="Arial" w:hAnsi="Arial" w:cs="Arial"/>
        </w:rPr>
        <w:t xml:space="preserve"> defendant would reside. According to the Tax Invoice </w:t>
      </w:r>
      <w:r w:rsidR="001B6E28">
        <w:rPr>
          <w:rFonts w:ascii="Arial" w:hAnsi="Arial" w:cs="Arial"/>
        </w:rPr>
        <w:t xml:space="preserve">dated 18 March 2003 </w:t>
      </w:r>
      <w:r>
        <w:rPr>
          <w:rFonts w:ascii="Arial" w:hAnsi="Arial" w:cs="Arial"/>
        </w:rPr>
        <w:t>from Ben</w:t>
      </w:r>
      <w:r w:rsidR="001B6E28">
        <w:rPr>
          <w:rFonts w:ascii="Arial" w:hAnsi="Arial" w:cs="Arial"/>
        </w:rPr>
        <w:t>to</w:t>
      </w:r>
      <w:r w:rsidR="001D2E9A">
        <w:rPr>
          <w:rFonts w:ascii="Arial" w:hAnsi="Arial" w:cs="Arial"/>
        </w:rPr>
        <w:t xml:space="preserve"> Inc, the conveyancers</w:t>
      </w:r>
      <w:r w:rsidR="001B6E28">
        <w:rPr>
          <w:rFonts w:ascii="Arial" w:hAnsi="Arial" w:cs="Arial"/>
        </w:rPr>
        <w:t>,</w:t>
      </w:r>
      <w:r w:rsidR="001D2E9A">
        <w:rPr>
          <w:rFonts w:ascii="Arial" w:hAnsi="Arial" w:cs="Arial"/>
        </w:rPr>
        <w:t xml:space="preserve"> the purchase price of R2 150 000-00 was financed as follows:</w:t>
      </w:r>
    </w:p>
    <w:p w:rsidR="001D2E9A" w:rsidRDefault="001D2E9A" w:rsidP="00980AE6">
      <w:pPr>
        <w:widowControl/>
        <w:spacing w:before="320" w:line="480" w:lineRule="auto"/>
        <w:ind w:left="720" w:hanging="720"/>
        <w:jc w:val="both"/>
        <w:rPr>
          <w:rFonts w:ascii="Arial" w:hAnsi="Arial" w:cs="Arial"/>
        </w:rPr>
      </w:pPr>
      <w:r>
        <w:rPr>
          <w:rFonts w:ascii="Arial" w:hAnsi="Arial" w:cs="Arial"/>
        </w:rPr>
        <w:tab/>
        <w:t>a)</w:t>
      </w:r>
      <w:r>
        <w:rPr>
          <w:rFonts w:ascii="Arial" w:hAnsi="Arial" w:cs="Arial"/>
        </w:rPr>
        <w:tab/>
        <w:t>R1 150 000-00 via FNB bond</w:t>
      </w:r>
      <w:r w:rsidR="001B6E28">
        <w:rPr>
          <w:rFonts w:ascii="Arial" w:hAnsi="Arial" w:cs="Arial"/>
        </w:rPr>
        <w:t>;</w:t>
      </w:r>
      <w:r>
        <w:rPr>
          <w:rFonts w:ascii="Arial" w:hAnsi="Arial" w:cs="Arial"/>
        </w:rPr>
        <w:t xml:space="preserve"> and </w:t>
      </w:r>
    </w:p>
    <w:p w:rsidR="001D2E9A" w:rsidRDefault="001D2E9A" w:rsidP="00980AE6">
      <w:pPr>
        <w:widowControl/>
        <w:spacing w:before="320" w:line="480" w:lineRule="auto"/>
        <w:ind w:left="720" w:hanging="720"/>
        <w:jc w:val="both"/>
        <w:rPr>
          <w:rFonts w:ascii="Arial" w:hAnsi="Arial" w:cs="Arial"/>
        </w:rPr>
      </w:pPr>
      <w:r>
        <w:rPr>
          <w:rFonts w:ascii="Arial" w:hAnsi="Arial" w:cs="Arial"/>
        </w:rPr>
        <w:tab/>
        <w:t>b)</w:t>
      </w:r>
      <w:r>
        <w:rPr>
          <w:rFonts w:ascii="Arial" w:hAnsi="Arial" w:cs="Arial"/>
        </w:rPr>
        <w:tab/>
        <w:t>a deposit of R 1 230 293-63</w:t>
      </w:r>
      <w:r w:rsidR="001B6E28">
        <w:rPr>
          <w:rFonts w:ascii="Arial" w:hAnsi="Arial" w:cs="Arial"/>
        </w:rPr>
        <w:t>.</w:t>
      </w:r>
    </w:p>
    <w:p w:rsidR="001B6E28" w:rsidRDefault="001B6E28" w:rsidP="00980AE6">
      <w:pPr>
        <w:widowControl/>
        <w:spacing w:before="320" w:line="480" w:lineRule="auto"/>
        <w:ind w:left="720" w:hanging="720"/>
        <w:jc w:val="both"/>
        <w:rPr>
          <w:rFonts w:ascii="Arial" w:hAnsi="Arial" w:cs="Arial"/>
        </w:rPr>
      </w:pPr>
      <w:r>
        <w:rPr>
          <w:rFonts w:ascii="Arial" w:hAnsi="Arial" w:cs="Arial"/>
        </w:rPr>
        <w:tab/>
        <w:t>There is no indication on any paperwork or document placed before me who paid the deposit, but the 1</w:t>
      </w:r>
      <w:r w:rsidRPr="001B6E28">
        <w:rPr>
          <w:rFonts w:ascii="Arial" w:hAnsi="Arial" w:cs="Arial"/>
          <w:vertAlign w:val="superscript"/>
        </w:rPr>
        <w:t>st</w:t>
      </w:r>
      <w:r>
        <w:rPr>
          <w:rFonts w:ascii="Arial" w:hAnsi="Arial" w:cs="Arial"/>
        </w:rPr>
        <w:t xml:space="preserve"> defendant testified that he financed this through the sale of a property he and 2</w:t>
      </w:r>
      <w:r w:rsidRPr="001B6E28">
        <w:rPr>
          <w:rFonts w:ascii="Arial" w:hAnsi="Arial" w:cs="Arial"/>
          <w:vertAlign w:val="superscript"/>
        </w:rPr>
        <w:t>nd</w:t>
      </w:r>
      <w:r>
        <w:rPr>
          <w:rFonts w:ascii="Arial" w:hAnsi="Arial" w:cs="Arial"/>
        </w:rPr>
        <w:t xml:space="preserve"> defendant owned in Erf 517 Fairland CC.</w:t>
      </w:r>
      <w:r>
        <w:rPr>
          <w:rStyle w:val="FootnoteReference"/>
          <w:rFonts w:ascii="Arial" w:hAnsi="Arial" w:cs="Arial"/>
        </w:rPr>
        <w:footnoteReference w:id="9"/>
      </w:r>
    </w:p>
    <w:p w:rsidR="0069620B" w:rsidRDefault="001D2E9A" w:rsidP="00980AE6">
      <w:pPr>
        <w:widowControl/>
        <w:spacing w:before="320" w:line="480" w:lineRule="auto"/>
        <w:ind w:left="720" w:hanging="720"/>
        <w:jc w:val="both"/>
        <w:rPr>
          <w:rFonts w:ascii="Arial" w:hAnsi="Arial" w:cs="Arial"/>
        </w:rPr>
      </w:pPr>
      <w:r>
        <w:rPr>
          <w:rFonts w:ascii="Arial" w:hAnsi="Arial" w:cs="Arial"/>
        </w:rPr>
        <w:t>[17]</w:t>
      </w:r>
      <w:r>
        <w:rPr>
          <w:rFonts w:ascii="Arial" w:hAnsi="Arial" w:cs="Arial"/>
        </w:rPr>
        <w:tab/>
        <w:t xml:space="preserve">According to the Offer to Purchase </w:t>
      </w:r>
      <w:r w:rsidR="00453E0C">
        <w:rPr>
          <w:rFonts w:ascii="Arial" w:hAnsi="Arial" w:cs="Arial"/>
        </w:rPr>
        <w:t>(OTP)</w:t>
      </w:r>
      <w:r w:rsidR="00E36D84">
        <w:rPr>
          <w:rFonts w:ascii="Arial" w:hAnsi="Arial" w:cs="Arial"/>
        </w:rPr>
        <w:t>,</w:t>
      </w:r>
      <w:r w:rsidR="00453E0C">
        <w:rPr>
          <w:rFonts w:ascii="Arial" w:hAnsi="Arial" w:cs="Arial"/>
        </w:rPr>
        <w:t xml:space="preserve"> dated July 2003, the Property was purchased from Equestrian Property Investments</w:t>
      </w:r>
      <w:r w:rsidR="00E36D84">
        <w:rPr>
          <w:rFonts w:ascii="Arial" w:hAnsi="Arial" w:cs="Arial"/>
        </w:rPr>
        <w:t xml:space="preserve"> (Pty) Ltd</w:t>
      </w:r>
      <w:r w:rsidR="00453E0C">
        <w:rPr>
          <w:rFonts w:ascii="Arial" w:hAnsi="Arial" w:cs="Arial"/>
        </w:rPr>
        <w:t xml:space="preserve"> </w:t>
      </w:r>
      <w:r w:rsidR="00E36D84">
        <w:rPr>
          <w:rFonts w:ascii="Arial" w:hAnsi="Arial" w:cs="Arial"/>
        </w:rPr>
        <w:t xml:space="preserve">and reflects the </w:t>
      </w:r>
      <w:r w:rsidR="00E36D84">
        <w:rPr>
          <w:rFonts w:ascii="Arial" w:hAnsi="Arial" w:cs="Arial"/>
        </w:rPr>
        <w:lastRenderedPageBreak/>
        <w:t xml:space="preserve">purchasers as </w:t>
      </w:r>
      <w:r w:rsidR="00453E0C">
        <w:rPr>
          <w:rFonts w:ascii="Arial" w:hAnsi="Arial" w:cs="Arial"/>
        </w:rPr>
        <w:t>the plaintiff, the 1</w:t>
      </w:r>
      <w:r w:rsidR="00453E0C" w:rsidRPr="00453E0C">
        <w:rPr>
          <w:rFonts w:ascii="Arial" w:hAnsi="Arial" w:cs="Arial"/>
          <w:vertAlign w:val="superscript"/>
        </w:rPr>
        <w:t>st</w:t>
      </w:r>
      <w:r w:rsidR="00453E0C">
        <w:rPr>
          <w:rFonts w:ascii="Arial" w:hAnsi="Arial" w:cs="Arial"/>
        </w:rPr>
        <w:t xml:space="preserve"> defendant and the 2</w:t>
      </w:r>
      <w:r w:rsidR="00453E0C" w:rsidRPr="00453E0C">
        <w:rPr>
          <w:rFonts w:ascii="Arial" w:hAnsi="Arial" w:cs="Arial"/>
          <w:vertAlign w:val="superscript"/>
        </w:rPr>
        <w:t>nd</w:t>
      </w:r>
      <w:r w:rsidR="00453E0C">
        <w:rPr>
          <w:rFonts w:ascii="Arial" w:hAnsi="Arial" w:cs="Arial"/>
        </w:rPr>
        <w:t xml:space="preserve"> defendant.</w:t>
      </w:r>
      <w:r w:rsidR="0069620B">
        <w:rPr>
          <w:rFonts w:ascii="Arial" w:hAnsi="Arial" w:cs="Arial"/>
        </w:rPr>
        <w:t xml:space="preserve"> </w:t>
      </w:r>
      <w:r w:rsidR="007421D2">
        <w:rPr>
          <w:rFonts w:ascii="Arial" w:hAnsi="Arial" w:cs="Arial"/>
        </w:rPr>
        <w:t>It does not reflect the actual percentage in which they hold their ownership.</w:t>
      </w:r>
    </w:p>
    <w:p w:rsidR="00453E0C" w:rsidRDefault="00453E0C" w:rsidP="00980AE6">
      <w:pPr>
        <w:widowControl/>
        <w:spacing w:before="320" w:line="480" w:lineRule="auto"/>
        <w:ind w:left="720" w:hanging="720"/>
        <w:jc w:val="both"/>
        <w:rPr>
          <w:rFonts w:ascii="Arial" w:hAnsi="Arial" w:cs="Arial"/>
        </w:rPr>
      </w:pPr>
      <w:r>
        <w:rPr>
          <w:rFonts w:ascii="Arial" w:hAnsi="Arial" w:cs="Arial"/>
        </w:rPr>
        <w:t>[18]</w:t>
      </w:r>
      <w:r>
        <w:rPr>
          <w:rFonts w:ascii="Arial" w:hAnsi="Arial" w:cs="Arial"/>
        </w:rPr>
        <w:tab/>
      </w:r>
      <w:r w:rsidR="009F5C1F">
        <w:rPr>
          <w:rFonts w:ascii="Arial" w:hAnsi="Arial" w:cs="Arial"/>
        </w:rPr>
        <w:t>The</w:t>
      </w:r>
      <w:r>
        <w:rPr>
          <w:rFonts w:ascii="Arial" w:hAnsi="Arial" w:cs="Arial"/>
        </w:rPr>
        <w:t xml:space="preserve"> Title Deed</w:t>
      </w:r>
      <w:r w:rsidR="009F5C1F">
        <w:rPr>
          <w:rFonts w:ascii="Arial" w:hAnsi="Arial" w:cs="Arial"/>
        </w:rPr>
        <w:t xml:space="preserve"> </w:t>
      </w:r>
      <w:r>
        <w:rPr>
          <w:rFonts w:ascii="Arial" w:hAnsi="Arial" w:cs="Arial"/>
        </w:rPr>
        <w:t>reflects only plaintiff and 1</w:t>
      </w:r>
      <w:r w:rsidRPr="00453E0C">
        <w:rPr>
          <w:rFonts w:ascii="Arial" w:hAnsi="Arial" w:cs="Arial"/>
          <w:vertAlign w:val="superscript"/>
        </w:rPr>
        <w:t>st</w:t>
      </w:r>
      <w:r>
        <w:rPr>
          <w:rFonts w:ascii="Arial" w:hAnsi="Arial" w:cs="Arial"/>
        </w:rPr>
        <w:t xml:space="preserve"> defendant as the reg</w:t>
      </w:r>
      <w:r w:rsidR="009F5C1F">
        <w:rPr>
          <w:rFonts w:ascii="Arial" w:hAnsi="Arial" w:cs="Arial"/>
        </w:rPr>
        <w:t>istered</w:t>
      </w:r>
      <w:r>
        <w:rPr>
          <w:rFonts w:ascii="Arial" w:hAnsi="Arial" w:cs="Arial"/>
        </w:rPr>
        <w:t xml:space="preserve"> owners</w:t>
      </w:r>
      <w:r w:rsidR="009F5C1F">
        <w:rPr>
          <w:rFonts w:ascii="Arial" w:hAnsi="Arial" w:cs="Arial"/>
        </w:rPr>
        <w:t xml:space="preserve"> of the Property</w:t>
      </w:r>
      <w:r>
        <w:rPr>
          <w:rFonts w:ascii="Arial" w:hAnsi="Arial" w:cs="Arial"/>
        </w:rPr>
        <w:t>.</w:t>
      </w:r>
      <w:r w:rsidR="009F5C1F">
        <w:rPr>
          <w:rFonts w:ascii="Arial" w:hAnsi="Arial" w:cs="Arial"/>
        </w:rPr>
        <w:t xml:space="preserve"> </w:t>
      </w:r>
      <w:r w:rsidR="00DA28E1">
        <w:rPr>
          <w:rFonts w:ascii="Arial" w:hAnsi="Arial" w:cs="Arial"/>
        </w:rPr>
        <w:t>The</w:t>
      </w:r>
      <w:r w:rsidR="007421D2">
        <w:rPr>
          <w:rFonts w:ascii="Arial" w:hAnsi="Arial" w:cs="Arial"/>
        </w:rPr>
        <w:t xml:space="preserve"> evidence</w:t>
      </w:r>
      <w:r w:rsidR="009F5C1F">
        <w:rPr>
          <w:rFonts w:ascii="Arial" w:hAnsi="Arial" w:cs="Arial"/>
        </w:rPr>
        <w:t xml:space="preserve"> </w:t>
      </w:r>
      <w:r w:rsidR="00DA28E1">
        <w:rPr>
          <w:rFonts w:ascii="Arial" w:hAnsi="Arial" w:cs="Arial"/>
        </w:rPr>
        <w:t xml:space="preserve">that this was incorrect </w:t>
      </w:r>
      <w:r w:rsidR="009F5C1F">
        <w:rPr>
          <w:rFonts w:ascii="Arial" w:hAnsi="Arial" w:cs="Arial"/>
        </w:rPr>
        <w:t>was an email from the 1</w:t>
      </w:r>
      <w:r w:rsidR="009F5C1F" w:rsidRPr="009F5C1F">
        <w:rPr>
          <w:rFonts w:ascii="Arial" w:hAnsi="Arial" w:cs="Arial"/>
          <w:vertAlign w:val="superscript"/>
        </w:rPr>
        <w:t>st</w:t>
      </w:r>
      <w:r w:rsidR="009F5C1F">
        <w:rPr>
          <w:rFonts w:ascii="Arial" w:hAnsi="Arial" w:cs="Arial"/>
        </w:rPr>
        <w:t xml:space="preserve"> defendant</w:t>
      </w:r>
      <w:r w:rsidR="007421D2">
        <w:rPr>
          <w:rFonts w:ascii="Arial" w:hAnsi="Arial" w:cs="Arial"/>
        </w:rPr>
        <w:t>,</w:t>
      </w:r>
      <w:r w:rsidR="009F5C1F">
        <w:rPr>
          <w:rFonts w:ascii="Arial" w:hAnsi="Arial" w:cs="Arial"/>
        </w:rPr>
        <w:t xml:space="preserve"> dated 31</w:t>
      </w:r>
      <w:r w:rsidR="00C024D1">
        <w:rPr>
          <w:rFonts w:ascii="Arial" w:hAnsi="Arial" w:cs="Arial"/>
        </w:rPr>
        <w:t xml:space="preserve"> January 2019</w:t>
      </w:r>
      <w:r w:rsidR="007421D2">
        <w:rPr>
          <w:rFonts w:ascii="Arial" w:hAnsi="Arial" w:cs="Arial"/>
        </w:rPr>
        <w:t>,</w:t>
      </w:r>
      <w:r w:rsidR="00C024D1">
        <w:rPr>
          <w:rFonts w:ascii="Arial" w:hAnsi="Arial" w:cs="Arial"/>
        </w:rPr>
        <w:t xml:space="preserve"> to Monica from Dykes Van Heerden</w:t>
      </w:r>
      <w:r w:rsidR="009F5C1F">
        <w:rPr>
          <w:rFonts w:ascii="Arial" w:hAnsi="Arial" w:cs="Arial"/>
        </w:rPr>
        <w:t xml:space="preserve"> Attorneys stating:</w:t>
      </w:r>
    </w:p>
    <w:p w:rsidR="009F5C1F" w:rsidRDefault="009F5C1F" w:rsidP="00980AE6">
      <w:pPr>
        <w:widowControl/>
        <w:spacing w:before="320" w:line="480" w:lineRule="auto"/>
        <w:ind w:left="720" w:hanging="720"/>
        <w:jc w:val="both"/>
        <w:rPr>
          <w:rFonts w:ascii="Arial" w:hAnsi="Arial" w:cs="Arial"/>
        </w:rPr>
      </w:pPr>
      <w:r>
        <w:rPr>
          <w:rFonts w:ascii="Arial" w:hAnsi="Arial" w:cs="Arial"/>
        </w:rPr>
        <w:tab/>
      </w:r>
      <w:r>
        <w:rPr>
          <w:rFonts w:ascii="Arial" w:hAnsi="Arial" w:cs="Arial"/>
          <w:i/>
        </w:rPr>
        <w:t>“</w:t>
      </w:r>
      <w:proofErr w:type="spellStart"/>
      <w:r>
        <w:rPr>
          <w:rFonts w:ascii="Arial" w:hAnsi="Arial" w:cs="Arial"/>
          <w:i/>
        </w:rPr>
        <w:t>Ek</w:t>
      </w:r>
      <w:proofErr w:type="spellEnd"/>
      <w:r>
        <w:rPr>
          <w:rFonts w:ascii="Arial" w:hAnsi="Arial" w:cs="Arial"/>
          <w:i/>
        </w:rPr>
        <w:t xml:space="preserve"> </w:t>
      </w:r>
      <w:proofErr w:type="spellStart"/>
      <w:r>
        <w:rPr>
          <w:rFonts w:ascii="Arial" w:hAnsi="Arial" w:cs="Arial"/>
          <w:i/>
        </w:rPr>
        <w:t>sal</w:t>
      </w:r>
      <w:proofErr w:type="spellEnd"/>
      <w:r>
        <w:rPr>
          <w:rFonts w:ascii="Arial" w:hAnsi="Arial" w:cs="Arial"/>
          <w:i/>
        </w:rPr>
        <w:t xml:space="preserve"> u </w:t>
      </w:r>
      <w:proofErr w:type="spellStart"/>
      <w:r>
        <w:rPr>
          <w:rFonts w:ascii="Arial" w:hAnsi="Arial" w:cs="Arial"/>
          <w:i/>
        </w:rPr>
        <w:t>hulp</w:t>
      </w:r>
      <w:proofErr w:type="spellEnd"/>
      <w:r>
        <w:rPr>
          <w:rFonts w:ascii="Arial" w:hAnsi="Arial" w:cs="Arial"/>
          <w:i/>
        </w:rPr>
        <w:t xml:space="preserve"> in die </w:t>
      </w:r>
      <w:proofErr w:type="spellStart"/>
      <w:r>
        <w:rPr>
          <w:rFonts w:ascii="Arial" w:hAnsi="Arial" w:cs="Arial"/>
          <w:i/>
        </w:rPr>
        <w:t>opsig</w:t>
      </w:r>
      <w:proofErr w:type="spellEnd"/>
      <w:r>
        <w:rPr>
          <w:rFonts w:ascii="Arial" w:hAnsi="Arial" w:cs="Arial"/>
          <w:i/>
        </w:rPr>
        <w:t xml:space="preserve"> </w:t>
      </w:r>
      <w:proofErr w:type="spellStart"/>
      <w:r>
        <w:rPr>
          <w:rFonts w:ascii="Arial" w:hAnsi="Arial" w:cs="Arial"/>
          <w:i/>
        </w:rPr>
        <w:t>baie</w:t>
      </w:r>
      <w:proofErr w:type="spellEnd"/>
      <w:r>
        <w:rPr>
          <w:rFonts w:ascii="Arial" w:hAnsi="Arial" w:cs="Arial"/>
          <w:i/>
        </w:rPr>
        <w:t xml:space="preserve"> </w:t>
      </w:r>
      <w:proofErr w:type="spellStart"/>
      <w:r>
        <w:rPr>
          <w:rFonts w:ascii="Arial" w:hAnsi="Arial" w:cs="Arial"/>
          <w:i/>
        </w:rPr>
        <w:t>waardeer</w:t>
      </w:r>
      <w:proofErr w:type="spellEnd"/>
      <w:r>
        <w:rPr>
          <w:rFonts w:ascii="Arial" w:hAnsi="Arial" w:cs="Arial"/>
          <w:i/>
        </w:rPr>
        <w:t xml:space="preserve"> </w:t>
      </w:r>
      <w:proofErr w:type="spellStart"/>
      <w:r>
        <w:rPr>
          <w:rFonts w:ascii="Arial" w:hAnsi="Arial" w:cs="Arial"/>
          <w:i/>
        </w:rPr>
        <w:t>aangesien</w:t>
      </w:r>
      <w:proofErr w:type="spellEnd"/>
      <w:r>
        <w:rPr>
          <w:rFonts w:ascii="Arial" w:hAnsi="Arial" w:cs="Arial"/>
          <w:i/>
        </w:rPr>
        <w:t xml:space="preserve"> </w:t>
      </w:r>
      <w:proofErr w:type="spellStart"/>
      <w:r>
        <w:rPr>
          <w:rFonts w:ascii="Arial" w:hAnsi="Arial" w:cs="Arial"/>
          <w:i/>
        </w:rPr>
        <w:t>daar</w:t>
      </w:r>
      <w:proofErr w:type="spellEnd"/>
      <w:r>
        <w:rPr>
          <w:rFonts w:ascii="Arial" w:hAnsi="Arial" w:cs="Arial"/>
          <w:i/>
        </w:rPr>
        <w:t xml:space="preserve"> n </w:t>
      </w:r>
      <w:proofErr w:type="spellStart"/>
      <w:r>
        <w:rPr>
          <w:rFonts w:ascii="Arial" w:hAnsi="Arial" w:cs="Arial"/>
          <w:i/>
        </w:rPr>
        <w:t>belange</w:t>
      </w:r>
      <w:proofErr w:type="spellEnd"/>
      <w:r>
        <w:rPr>
          <w:rFonts w:ascii="Arial" w:hAnsi="Arial" w:cs="Arial"/>
          <w:i/>
        </w:rPr>
        <w:t xml:space="preserve"> </w:t>
      </w:r>
      <w:proofErr w:type="spellStart"/>
      <w:r>
        <w:rPr>
          <w:rFonts w:ascii="Arial" w:hAnsi="Arial" w:cs="Arial"/>
          <w:i/>
        </w:rPr>
        <w:t>persentasie</w:t>
      </w:r>
      <w:proofErr w:type="spellEnd"/>
      <w:r>
        <w:rPr>
          <w:rFonts w:ascii="Arial" w:hAnsi="Arial" w:cs="Arial"/>
          <w:i/>
        </w:rPr>
        <w:t xml:space="preserve"> </w:t>
      </w:r>
      <w:proofErr w:type="spellStart"/>
      <w:r>
        <w:rPr>
          <w:rFonts w:ascii="Arial" w:hAnsi="Arial" w:cs="Arial"/>
          <w:i/>
        </w:rPr>
        <w:t>foutiewelik</w:t>
      </w:r>
      <w:proofErr w:type="spellEnd"/>
      <w:r>
        <w:rPr>
          <w:rFonts w:ascii="Arial" w:hAnsi="Arial" w:cs="Arial"/>
          <w:i/>
        </w:rPr>
        <w:t xml:space="preserve"> </w:t>
      </w:r>
      <w:proofErr w:type="spellStart"/>
      <w:r>
        <w:rPr>
          <w:rFonts w:ascii="Arial" w:hAnsi="Arial" w:cs="Arial"/>
          <w:i/>
        </w:rPr>
        <w:t>aangedui</w:t>
      </w:r>
      <w:proofErr w:type="spellEnd"/>
      <w:r>
        <w:rPr>
          <w:rFonts w:ascii="Arial" w:hAnsi="Arial" w:cs="Arial"/>
          <w:i/>
        </w:rPr>
        <w:t xml:space="preserve"> word wat </w:t>
      </w:r>
      <w:proofErr w:type="spellStart"/>
      <w:r>
        <w:rPr>
          <w:rFonts w:ascii="Arial" w:hAnsi="Arial" w:cs="Arial"/>
          <w:i/>
        </w:rPr>
        <w:t>baie</w:t>
      </w:r>
      <w:proofErr w:type="spellEnd"/>
      <w:r>
        <w:rPr>
          <w:rFonts w:ascii="Arial" w:hAnsi="Arial" w:cs="Arial"/>
          <w:i/>
        </w:rPr>
        <w:t xml:space="preserve"> </w:t>
      </w:r>
      <w:proofErr w:type="spellStart"/>
      <w:r>
        <w:rPr>
          <w:rFonts w:ascii="Arial" w:hAnsi="Arial" w:cs="Arial"/>
          <w:i/>
        </w:rPr>
        <w:t>dringend</w:t>
      </w:r>
      <w:proofErr w:type="spellEnd"/>
      <w:r>
        <w:rPr>
          <w:rFonts w:ascii="Arial" w:hAnsi="Arial" w:cs="Arial"/>
          <w:i/>
        </w:rPr>
        <w:t xml:space="preserve"> </w:t>
      </w:r>
      <w:proofErr w:type="spellStart"/>
      <w:r>
        <w:rPr>
          <w:rFonts w:ascii="Arial" w:hAnsi="Arial" w:cs="Arial"/>
          <w:i/>
        </w:rPr>
        <w:t>reggestel</w:t>
      </w:r>
      <w:proofErr w:type="spellEnd"/>
      <w:r>
        <w:rPr>
          <w:rFonts w:ascii="Arial" w:hAnsi="Arial" w:cs="Arial"/>
          <w:i/>
        </w:rPr>
        <w:t xml:space="preserve"> </w:t>
      </w:r>
      <w:proofErr w:type="spellStart"/>
      <w:r>
        <w:rPr>
          <w:rFonts w:ascii="Arial" w:hAnsi="Arial" w:cs="Arial"/>
          <w:i/>
        </w:rPr>
        <w:t>moet</w:t>
      </w:r>
      <w:proofErr w:type="spellEnd"/>
      <w:r>
        <w:rPr>
          <w:rFonts w:ascii="Arial" w:hAnsi="Arial" w:cs="Arial"/>
          <w:i/>
        </w:rPr>
        <w:t xml:space="preserve"> word…”</w:t>
      </w:r>
    </w:p>
    <w:p w:rsidR="0069620B" w:rsidRDefault="00DA28E1" w:rsidP="0069620B">
      <w:pPr>
        <w:widowControl/>
        <w:spacing w:before="320" w:line="480" w:lineRule="auto"/>
        <w:ind w:left="720"/>
        <w:jc w:val="both"/>
        <w:rPr>
          <w:rFonts w:ascii="Arial" w:hAnsi="Arial" w:cs="Arial"/>
        </w:rPr>
      </w:pPr>
      <w:r>
        <w:rPr>
          <w:rFonts w:ascii="Arial" w:hAnsi="Arial" w:cs="Arial"/>
        </w:rPr>
        <w:t>It</w:t>
      </w:r>
      <w:r w:rsidR="0069620B">
        <w:rPr>
          <w:rFonts w:ascii="Arial" w:hAnsi="Arial" w:cs="Arial"/>
        </w:rPr>
        <w:t xml:space="preserve"> appears that all the paperwork pertaining to the transfer of the Property was directed to the 1</w:t>
      </w:r>
      <w:r w:rsidR="0069620B" w:rsidRPr="0069620B">
        <w:rPr>
          <w:rFonts w:ascii="Arial" w:hAnsi="Arial" w:cs="Arial"/>
          <w:vertAlign w:val="superscript"/>
        </w:rPr>
        <w:t>st</w:t>
      </w:r>
      <w:r w:rsidR="0069620B">
        <w:rPr>
          <w:rFonts w:ascii="Arial" w:hAnsi="Arial" w:cs="Arial"/>
        </w:rPr>
        <w:t xml:space="preserve"> defendant only and thus it appears that he was the one in charge of the transaction</w:t>
      </w:r>
      <w:r w:rsidR="0069620B" w:rsidRPr="007421D2">
        <w:rPr>
          <w:rFonts w:ascii="Arial" w:hAnsi="Arial" w:cs="Arial"/>
        </w:rPr>
        <w:t>. He also testified that he drafted the letters and emails directed to the seller and conveyancer.</w:t>
      </w:r>
      <w:r w:rsidR="007421D2">
        <w:rPr>
          <w:rFonts w:ascii="Arial" w:hAnsi="Arial" w:cs="Arial"/>
        </w:rPr>
        <w:t xml:space="preserve"> He however proffered no explanation for the discrepancy between the 50/50 ownership reflected in the Title Deed and the 1/3 each share that forms the basis of the defendants</w:t>
      </w:r>
      <w:r>
        <w:rPr>
          <w:rFonts w:ascii="Arial" w:hAnsi="Arial" w:cs="Arial"/>
        </w:rPr>
        <w:t>’</w:t>
      </w:r>
      <w:r w:rsidR="007421D2">
        <w:rPr>
          <w:rFonts w:ascii="Arial" w:hAnsi="Arial" w:cs="Arial"/>
        </w:rPr>
        <w:t xml:space="preserve"> </w:t>
      </w:r>
      <w:proofErr w:type="spellStart"/>
      <w:r w:rsidR="007421D2">
        <w:rPr>
          <w:rFonts w:ascii="Arial" w:hAnsi="Arial" w:cs="Arial"/>
        </w:rPr>
        <w:t>defence</w:t>
      </w:r>
      <w:proofErr w:type="spellEnd"/>
      <w:r w:rsidR="007421D2">
        <w:rPr>
          <w:rFonts w:ascii="Arial" w:hAnsi="Arial" w:cs="Arial"/>
        </w:rPr>
        <w:t>.</w:t>
      </w:r>
    </w:p>
    <w:p w:rsidR="00AF72B0" w:rsidRDefault="00227404" w:rsidP="00980AE6">
      <w:pPr>
        <w:widowControl/>
        <w:spacing w:before="320" w:line="480" w:lineRule="auto"/>
        <w:ind w:left="720" w:hanging="720"/>
        <w:jc w:val="both"/>
        <w:rPr>
          <w:rFonts w:ascii="Arial" w:hAnsi="Arial" w:cs="Arial"/>
        </w:rPr>
      </w:pPr>
      <w:r>
        <w:rPr>
          <w:rFonts w:ascii="Arial" w:hAnsi="Arial" w:cs="Arial"/>
        </w:rPr>
        <w:t>[19]</w:t>
      </w:r>
      <w:r>
        <w:rPr>
          <w:rFonts w:ascii="Arial" w:hAnsi="Arial" w:cs="Arial"/>
        </w:rPr>
        <w:tab/>
        <w:t xml:space="preserve">The fact is, and it is borne out by the evidence and the documents placed before me, that subsequent to the plaintiff requesting a termination of the joint </w:t>
      </w:r>
      <w:r w:rsidR="00AF72B0">
        <w:rPr>
          <w:rFonts w:ascii="Arial" w:hAnsi="Arial" w:cs="Arial"/>
        </w:rPr>
        <w:t xml:space="preserve">ownership in 2016, </w:t>
      </w:r>
      <w:r w:rsidR="0056247A">
        <w:rPr>
          <w:rFonts w:ascii="Arial" w:hAnsi="Arial" w:cs="Arial"/>
        </w:rPr>
        <w:t>the 1</w:t>
      </w:r>
      <w:r w:rsidR="0056247A" w:rsidRPr="0056247A">
        <w:rPr>
          <w:rFonts w:ascii="Arial" w:hAnsi="Arial" w:cs="Arial"/>
          <w:vertAlign w:val="superscript"/>
        </w:rPr>
        <w:t>st</w:t>
      </w:r>
      <w:r w:rsidR="0056247A">
        <w:rPr>
          <w:rFonts w:ascii="Arial" w:hAnsi="Arial" w:cs="Arial"/>
        </w:rPr>
        <w:t xml:space="preserve"> defendant had</w:t>
      </w:r>
      <w:r w:rsidR="00AF72B0">
        <w:rPr>
          <w:rFonts w:ascii="Arial" w:hAnsi="Arial" w:cs="Arial"/>
        </w:rPr>
        <w:t xml:space="preserve"> informed the plaintiff of the 1/3 each ownership </w:t>
      </w:r>
      <w:r w:rsidR="0056247A">
        <w:rPr>
          <w:rFonts w:ascii="Arial" w:hAnsi="Arial" w:cs="Arial"/>
        </w:rPr>
        <w:t xml:space="preserve">in the correspondence he directed to her, </w:t>
      </w:r>
      <w:r w:rsidR="00AF72B0">
        <w:rPr>
          <w:rFonts w:ascii="Arial" w:hAnsi="Arial" w:cs="Arial"/>
        </w:rPr>
        <w:t xml:space="preserve">and all discussions regarding a division of equity had been dealt with on this basis. This is confirmed by the </w:t>
      </w:r>
      <w:r w:rsidR="007421D2">
        <w:rPr>
          <w:rFonts w:ascii="Arial" w:hAnsi="Arial" w:cs="Arial"/>
        </w:rPr>
        <w:t>pre-amended</w:t>
      </w:r>
      <w:r w:rsidR="00AF72B0">
        <w:rPr>
          <w:rFonts w:ascii="Arial" w:hAnsi="Arial" w:cs="Arial"/>
        </w:rPr>
        <w:t xml:space="preserve"> Particulars of Claim. The latest </w:t>
      </w:r>
      <w:r w:rsidR="0056247A">
        <w:rPr>
          <w:rFonts w:ascii="Arial" w:hAnsi="Arial" w:cs="Arial"/>
        </w:rPr>
        <w:t>amendment asks for a 50/50 division</w:t>
      </w:r>
      <w:r w:rsidR="00AF72B0">
        <w:rPr>
          <w:rFonts w:ascii="Arial" w:hAnsi="Arial" w:cs="Arial"/>
        </w:rPr>
        <w:t xml:space="preserve"> because the plaintiff states that she was informed by her attorneys th</w:t>
      </w:r>
      <w:r w:rsidR="007421D2">
        <w:rPr>
          <w:rFonts w:ascii="Arial" w:hAnsi="Arial" w:cs="Arial"/>
        </w:rPr>
        <w:t>at the Title Deed reflects that she has a 50%</w:t>
      </w:r>
      <w:r w:rsidR="00AF72B0">
        <w:rPr>
          <w:rFonts w:ascii="Arial" w:hAnsi="Arial" w:cs="Arial"/>
        </w:rPr>
        <w:t xml:space="preserve"> ownership</w:t>
      </w:r>
      <w:r w:rsidR="007421D2">
        <w:rPr>
          <w:rFonts w:ascii="Arial" w:hAnsi="Arial" w:cs="Arial"/>
        </w:rPr>
        <w:t>,</w:t>
      </w:r>
      <w:r w:rsidR="00AF72B0">
        <w:rPr>
          <w:rFonts w:ascii="Arial" w:hAnsi="Arial" w:cs="Arial"/>
        </w:rPr>
        <w:t xml:space="preserve"> and therefore </w:t>
      </w:r>
      <w:r w:rsidR="0056247A">
        <w:rPr>
          <w:rFonts w:ascii="Arial" w:hAnsi="Arial" w:cs="Arial"/>
        </w:rPr>
        <w:t>she is entitled to 50% of the proceeds of any sale</w:t>
      </w:r>
      <w:r w:rsidR="00AF72B0">
        <w:rPr>
          <w:rFonts w:ascii="Arial" w:hAnsi="Arial" w:cs="Arial"/>
        </w:rPr>
        <w:t>.</w:t>
      </w:r>
    </w:p>
    <w:p w:rsidR="00453E0C" w:rsidRDefault="00453E0C" w:rsidP="00980AE6">
      <w:pPr>
        <w:widowControl/>
        <w:spacing w:before="320" w:line="480" w:lineRule="auto"/>
        <w:ind w:left="720" w:hanging="720"/>
        <w:jc w:val="both"/>
        <w:rPr>
          <w:rFonts w:ascii="Arial" w:hAnsi="Arial" w:cs="Arial"/>
        </w:rPr>
      </w:pPr>
      <w:r>
        <w:rPr>
          <w:rFonts w:ascii="Arial" w:hAnsi="Arial" w:cs="Arial"/>
        </w:rPr>
        <w:lastRenderedPageBreak/>
        <w:t>[</w:t>
      </w:r>
      <w:r w:rsidR="00AF72B0">
        <w:rPr>
          <w:rFonts w:ascii="Arial" w:hAnsi="Arial" w:cs="Arial"/>
        </w:rPr>
        <w:t>20</w:t>
      </w:r>
      <w:r>
        <w:rPr>
          <w:rFonts w:ascii="Arial" w:hAnsi="Arial" w:cs="Arial"/>
        </w:rPr>
        <w:t>]</w:t>
      </w:r>
      <w:r>
        <w:rPr>
          <w:rFonts w:ascii="Arial" w:hAnsi="Arial" w:cs="Arial"/>
        </w:rPr>
        <w:tab/>
      </w:r>
      <w:r w:rsidR="001823A1">
        <w:rPr>
          <w:rFonts w:ascii="Arial" w:hAnsi="Arial" w:cs="Arial"/>
        </w:rPr>
        <w:t xml:space="preserve">The plaintiff </w:t>
      </w:r>
      <w:r w:rsidR="00AF72B0">
        <w:rPr>
          <w:rFonts w:ascii="Arial" w:hAnsi="Arial" w:cs="Arial"/>
        </w:rPr>
        <w:t xml:space="preserve">lived </w:t>
      </w:r>
      <w:r w:rsidR="001823A1">
        <w:rPr>
          <w:rFonts w:ascii="Arial" w:hAnsi="Arial" w:cs="Arial"/>
        </w:rPr>
        <w:t>in the property with her son and the defendants</w:t>
      </w:r>
      <w:r w:rsidR="00AF72B0">
        <w:rPr>
          <w:rFonts w:ascii="Arial" w:hAnsi="Arial" w:cs="Arial"/>
        </w:rPr>
        <w:t xml:space="preserve"> from its purchase in 2003</w:t>
      </w:r>
      <w:r w:rsidR="001823A1">
        <w:rPr>
          <w:rFonts w:ascii="Arial" w:hAnsi="Arial" w:cs="Arial"/>
        </w:rPr>
        <w:t xml:space="preserve"> until ± 2011 when she moved out. According to her, the bond payment</w:t>
      </w:r>
      <w:r w:rsidR="008777AA">
        <w:rPr>
          <w:rFonts w:ascii="Arial" w:hAnsi="Arial" w:cs="Arial"/>
        </w:rPr>
        <w:t>s</w:t>
      </w:r>
      <w:r w:rsidR="001823A1">
        <w:rPr>
          <w:rFonts w:ascii="Arial" w:hAnsi="Arial" w:cs="Arial"/>
        </w:rPr>
        <w:t xml:space="preserve"> were paid via debit order each month from a bank account in the name of BCM Suppli</w:t>
      </w:r>
      <w:r w:rsidR="008777AA">
        <w:rPr>
          <w:rFonts w:ascii="Arial" w:hAnsi="Arial" w:cs="Arial"/>
        </w:rPr>
        <w:t>es (Pty) Ltd (BCM)</w:t>
      </w:r>
      <w:r w:rsidR="008777AA">
        <w:rPr>
          <w:rStyle w:val="FootnoteReference"/>
          <w:rFonts w:ascii="Arial" w:hAnsi="Arial" w:cs="Arial"/>
        </w:rPr>
        <w:footnoteReference w:id="10"/>
      </w:r>
      <w:r w:rsidR="00BF714D">
        <w:rPr>
          <w:rFonts w:ascii="Arial" w:hAnsi="Arial" w:cs="Arial"/>
        </w:rPr>
        <w:t>. According to the evidence, the 1</w:t>
      </w:r>
      <w:r w:rsidR="00BF714D" w:rsidRPr="00BF714D">
        <w:rPr>
          <w:rFonts w:ascii="Arial" w:hAnsi="Arial" w:cs="Arial"/>
          <w:vertAlign w:val="superscript"/>
        </w:rPr>
        <w:t>st</w:t>
      </w:r>
      <w:r w:rsidR="00BF714D">
        <w:rPr>
          <w:rFonts w:ascii="Arial" w:hAnsi="Arial" w:cs="Arial"/>
        </w:rPr>
        <w:t xml:space="preserve"> defendant </w:t>
      </w:r>
      <w:r w:rsidR="00864A0A">
        <w:rPr>
          <w:rFonts w:ascii="Arial" w:hAnsi="Arial" w:cs="Arial"/>
        </w:rPr>
        <w:t xml:space="preserve">was then placed on </w:t>
      </w:r>
      <w:r w:rsidR="00BF714D">
        <w:rPr>
          <w:rFonts w:ascii="Arial" w:hAnsi="Arial" w:cs="Arial"/>
        </w:rPr>
        <w:t>semi-retire</w:t>
      </w:r>
      <w:r w:rsidR="00864A0A">
        <w:rPr>
          <w:rFonts w:ascii="Arial" w:hAnsi="Arial" w:cs="Arial"/>
        </w:rPr>
        <w:t>ment</w:t>
      </w:r>
      <w:r w:rsidR="00BF714D">
        <w:rPr>
          <w:rStyle w:val="FootnoteReference"/>
          <w:rFonts w:ascii="Arial" w:hAnsi="Arial" w:cs="Arial"/>
        </w:rPr>
        <w:footnoteReference w:id="11"/>
      </w:r>
      <w:r w:rsidR="00D75BDA">
        <w:rPr>
          <w:rFonts w:ascii="Arial" w:hAnsi="Arial" w:cs="Arial"/>
        </w:rPr>
        <w:t xml:space="preserve"> and there was a subsequent dispute as regards the shareholding</w:t>
      </w:r>
      <w:r w:rsidR="00864A0A">
        <w:rPr>
          <w:rFonts w:ascii="Arial" w:hAnsi="Arial" w:cs="Arial"/>
        </w:rPr>
        <w:t xml:space="preserve"> in BCM</w:t>
      </w:r>
      <w:r w:rsidR="00D75BDA">
        <w:rPr>
          <w:rFonts w:ascii="Arial" w:hAnsi="Arial" w:cs="Arial"/>
        </w:rPr>
        <w:t xml:space="preserve"> – full details of which were not placed before me – </w:t>
      </w:r>
      <w:r w:rsidR="008777AA">
        <w:rPr>
          <w:rFonts w:ascii="Arial" w:hAnsi="Arial" w:cs="Arial"/>
        </w:rPr>
        <w:t xml:space="preserve"> but which saw an order granted under case number 26448/2019 on 25 February 2022 that the plaintiff was to pay the 1</w:t>
      </w:r>
      <w:r w:rsidR="008777AA" w:rsidRPr="008777AA">
        <w:rPr>
          <w:rFonts w:ascii="Arial" w:hAnsi="Arial" w:cs="Arial"/>
          <w:vertAlign w:val="superscript"/>
        </w:rPr>
        <w:t>st</w:t>
      </w:r>
      <w:r w:rsidR="008777AA">
        <w:rPr>
          <w:rFonts w:ascii="Arial" w:hAnsi="Arial" w:cs="Arial"/>
        </w:rPr>
        <w:t xml:space="preserve"> defendant R185 795-00 for his 5% shareholding in BCM.</w:t>
      </w:r>
    </w:p>
    <w:p w:rsidR="008777AA" w:rsidRDefault="00AF72B0" w:rsidP="00980AE6">
      <w:pPr>
        <w:widowControl/>
        <w:spacing w:before="320" w:line="480" w:lineRule="auto"/>
        <w:ind w:left="720" w:hanging="720"/>
        <w:jc w:val="both"/>
        <w:rPr>
          <w:rFonts w:ascii="Arial" w:hAnsi="Arial" w:cs="Arial"/>
        </w:rPr>
      </w:pPr>
      <w:r>
        <w:rPr>
          <w:rFonts w:ascii="Arial" w:hAnsi="Arial" w:cs="Arial"/>
        </w:rPr>
        <w:t>[21</w:t>
      </w:r>
      <w:r w:rsidR="008777AA">
        <w:rPr>
          <w:rFonts w:ascii="Arial" w:hAnsi="Arial" w:cs="Arial"/>
        </w:rPr>
        <w:t>]</w:t>
      </w:r>
      <w:r w:rsidR="008777AA">
        <w:rPr>
          <w:rFonts w:ascii="Arial" w:hAnsi="Arial" w:cs="Arial"/>
        </w:rPr>
        <w:tab/>
      </w:r>
      <w:r w:rsidR="00AB0DAC">
        <w:rPr>
          <w:rFonts w:ascii="Arial" w:hAnsi="Arial" w:cs="Arial"/>
        </w:rPr>
        <w:t>It is apparent from the documentation</w:t>
      </w:r>
      <w:r w:rsidR="00863752">
        <w:rPr>
          <w:rFonts w:ascii="Arial" w:hAnsi="Arial" w:cs="Arial"/>
        </w:rPr>
        <w:t xml:space="preserve"> that:</w:t>
      </w:r>
    </w:p>
    <w:p w:rsidR="00863752" w:rsidRDefault="00863752" w:rsidP="00863752">
      <w:pPr>
        <w:widowControl/>
        <w:spacing w:before="320" w:line="480" w:lineRule="auto"/>
        <w:ind w:left="1440" w:hanging="720"/>
        <w:jc w:val="both"/>
        <w:rPr>
          <w:rFonts w:ascii="Arial" w:hAnsi="Arial" w:cs="Arial"/>
        </w:rPr>
      </w:pPr>
      <w:r>
        <w:rPr>
          <w:rFonts w:ascii="Arial" w:hAnsi="Arial" w:cs="Arial"/>
        </w:rPr>
        <w:t>21.1</w:t>
      </w:r>
      <w:r>
        <w:rPr>
          <w:rFonts w:ascii="Arial" w:hAnsi="Arial" w:cs="Arial"/>
        </w:rPr>
        <w:tab/>
        <w:t xml:space="preserve">according to BCM’s previous accountants, M G </w:t>
      </w:r>
      <w:proofErr w:type="spellStart"/>
      <w:r>
        <w:rPr>
          <w:rFonts w:ascii="Arial" w:hAnsi="Arial" w:cs="Arial"/>
        </w:rPr>
        <w:t>Taute</w:t>
      </w:r>
      <w:proofErr w:type="spellEnd"/>
      <w:r>
        <w:rPr>
          <w:rFonts w:ascii="Arial" w:hAnsi="Arial" w:cs="Arial"/>
        </w:rPr>
        <w:t>, BCM’s general ledgers and financial records indicate that BCM paid for the Property’s expenses on behalf of its members</w:t>
      </w:r>
      <w:r w:rsidR="00237088">
        <w:rPr>
          <w:rFonts w:ascii="Arial" w:hAnsi="Arial" w:cs="Arial"/>
        </w:rPr>
        <w:t>/shareholders</w:t>
      </w:r>
      <w:r>
        <w:rPr>
          <w:rFonts w:ascii="Arial" w:hAnsi="Arial" w:cs="Arial"/>
        </w:rPr>
        <w:t xml:space="preserve"> i.e. the plaintiff and the 1</w:t>
      </w:r>
      <w:r w:rsidRPr="00863752">
        <w:rPr>
          <w:rFonts w:ascii="Arial" w:hAnsi="Arial" w:cs="Arial"/>
          <w:vertAlign w:val="superscript"/>
        </w:rPr>
        <w:t>st</w:t>
      </w:r>
      <w:r>
        <w:rPr>
          <w:rFonts w:ascii="Arial" w:hAnsi="Arial" w:cs="Arial"/>
        </w:rPr>
        <w:t xml:space="preserve"> defendant;</w:t>
      </w:r>
    </w:p>
    <w:p w:rsidR="00863752" w:rsidRDefault="00863752" w:rsidP="00863752">
      <w:pPr>
        <w:widowControl/>
        <w:spacing w:before="320" w:line="480" w:lineRule="auto"/>
        <w:ind w:left="1440" w:hanging="720"/>
        <w:jc w:val="both"/>
        <w:rPr>
          <w:rFonts w:ascii="Arial" w:hAnsi="Arial" w:cs="Arial"/>
        </w:rPr>
      </w:pPr>
      <w:r>
        <w:rPr>
          <w:rFonts w:ascii="Arial" w:hAnsi="Arial" w:cs="Arial"/>
        </w:rPr>
        <w:t>21.2</w:t>
      </w:r>
      <w:r>
        <w:rPr>
          <w:rFonts w:ascii="Arial" w:hAnsi="Arial" w:cs="Arial"/>
        </w:rPr>
        <w:tab/>
        <w:t xml:space="preserve">since the year ended 28 February 2013 up to the year ended 28 February 2017, BCM held these expenses in its books and the expenses were not allocated to the loan accounts of the two </w:t>
      </w:r>
      <w:r w:rsidR="00237088">
        <w:rPr>
          <w:rFonts w:ascii="Arial" w:hAnsi="Arial" w:cs="Arial"/>
        </w:rPr>
        <w:t>shareholders</w:t>
      </w:r>
      <w:r>
        <w:rPr>
          <w:rFonts w:ascii="Arial" w:hAnsi="Arial" w:cs="Arial"/>
        </w:rPr>
        <w:t>;</w:t>
      </w:r>
    </w:p>
    <w:p w:rsidR="00863752" w:rsidRDefault="00863752" w:rsidP="00863752">
      <w:pPr>
        <w:widowControl/>
        <w:spacing w:before="320" w:line="480" w:lineRule="auto"/>
        <w:ind w:left="1440" w:hanging="720"/>
        <w:jc w:val="both"/>
        <w:rPr>
          <w:rFonts w:ascii="Arial" w:hAnsi="Arial" w:cs="Arial"/>
        </w:rPr>
      </w:pPr>
      <w:r>
        <w:rPr>
          <w:rFonts w:ascii="Arial" w:hAnsi="Arial" w:cs="Arial"/>
        </w:rPr>
        <w:t>21.3</w:t>
      </w:r>
      <w:r>
        <w:rPr>
          <w:rFonts w:ascii="Arial" w:hAnsi="Arial" w:cs="Arial"/>
        </w:rPr>
        <w:tab/>
        <w:t>that from year end 28 February 2018 onward, the bond expense</w:t>
      </w:r>
      <w:r w:rsidR="00BC4037">
        <w:rPr>
          <w:rStyle w:val="FootnoteReference"/>
          <w:rFonts w:ascii="Arial" w:hAnsi="Arial" w:cs="Arial"/>
        </w:rPr>
        <w:footnoteReference w:id="12"/>
      </w:r>
      <w:r>
        <w:rPr>
          <w:rFonts w:ascii="Arial" w:hAnsi="Arial" w:cs="Arial"/>
        </w:rPr>
        <w:t xml:space="preserve"> was allocated according to a 1:2 ratio – 1/3 to the loan account of the plaintiff and 2/3 to the loan account of the 1</w:t>
      </w:r>
      <w:r w:rsidRPr="00863752">
        <w:rPr>
          <w:rFonts w:ascii="Arial" w:hAnsi="Arial" w:cs="Arial"/>
          <w:vertAlign w:val="superscript"/>
        </w:rPr>
        <w:t>st</w:t>
      </w:r>
      <w:r>
        <w:rPr>
          <w:rFonts w:ascii="Arial" w:hAnsi="Arial" w:cs="Arial"/>
        </w:rPr>
        <w:t xml:space="preserve"> defendant.</w:t>
      </w:r>
    </w:p>
    <w:p w:rsidR="00863752" w:rsidRDefault="00863752" w:rsidP="00863752">
      <w:pPr>
        <w:widowControl/>
        <w:spacing w:before="320" w:line="480" w:lineRule="auto"/>
        <w:ind w:left="720" w:hanging="720"/>
        <w:jc w:val="both"/>
        <w:rPr>
          <w:rFonts w:ascii="Arial" w:hAnsi="Arial" w:cs="Arial"/>
        </w:rPr>
      </w:pPr>
      <w:r>
        <w:rPr>
          <w:rFonts w:ascii="Arial" w:hAnsi="Arial" w:cs="Arial"/>
        </w:rPr>
        <w:lastRenderedPageBreak/>
        <w:t>[22]</w:t>
      </w:r>
      <w:r>
        <w:rPr>
          <w:rFonts w:ascii="Arial" w:hAnsi="Arial" w:cs="Arial"/>
        </w:rPr>
        <w:tab/>
        <w:t>According to the plaintiff, the 2018 financial statements of BCM have not been signed and she has instructed her new accountants</w:t>
      </w:r>
      <w:r w:rsidR="0012260B">
        <w:rPr>
          <w:rStyle w:val="FootnoteReference"/>
          <w:rFonts w:ascii="Arial" w:hAnsi="Arial" w:cs="Arial"/>
        </w:rPr>
        <w:footnoteReference w:id="13"/>
      </w:r>
      <w:r>
        <w:rPr>
          <w:rFonts w:ascii="Arial" w:hAnsi="Arial" w:cs="Arial"/>
        </w:rPr>
        <w:t xml:space="preserve"> to revise those to reflect the </w:t>
      </w:r>
      <w:r w:rsidR="00F162A9">
        <w:rPr>
          <w:rFonts w:ascii="Arial" w:hAnsi="Arial" w:cs="Arial"/>
        </w:rPr>
        <w:t>correct</w:t>
      </w:r>
      <w:r>
        <w:rPr>
          <w:rFonts w:ascii="Arial" w:hAnsi="Arial" w:cs="Arial"/>
        </w:rPr>
        <w:t xml:space="preserve"> state of affairs </w:t>
      </w:r>
      <w:proofErr w:type="spellStart"/>
      <w:r w:rsidR="00FD0A31">
        <w:rPr>
          <w:rFonts w:ascii="Arial" w:hAnsi="Arial" w:cs="Arial"/>
        </w:rPr>
        <w:t>i.e</w:t>
      </w:r>
      <w:proofErr w:type="spellEnd"/>
      <w:r>
        <w:rPr>
          <w:rFonts w:ascii="Arial" w:hAnsi="Arial" w:cs="Arial"/>
        </w:rPr>
        <w:t xml:space="preserve"> that a 1:1 ratio is to be used when allocating the Property’s expenses </w:t>
      </w:r>
      <w:r w:rsidR="00634F5A">
        <w:rPr>
          <w:rFonts w:ascii="Arial" w:hAnsi="Arial" w:cs="Arial"/>
        </w:rPr>
        <w:t xml:space="preserve">in accordance with the </w:t>
      </w:r>
      <w:r>
        <w:rPr>
          <w:rFonts w:ascii="Arial" w:hAnsi="Arial" w:cs="Arial"/>
        </w:rPr>
        <w:t>Title Deed. It bears mentioning that, while the plaintiff has indicated that BCM’s financial statements for the years ending 2018 to 2021 have been submitted to SARS already, those were not placed before this court.</w:t>
      </w:r>
      <w:r w:rsidR="0012260B">
        <w:rPr>
          <w:rFonts w:ascii="Arial" w:hAnsi="Arial" w:cs="Arial"/>
        </w:rPr>
        <w:t xml:space="preserve"> A letter from Omnium states:</w:t>
      </w:r>
    </w:p>
    <w:p w:rsidR="0012260B" w:rsidRDefault="0012260B" w:rsidP="00863752">
      <w:pPr>
        <w:widowControl/>
        <w:spacing w:before="320" w:line="480" w:lineRule="auto"/>
        <w:ind w:left="720" w:hanging="720"/>
        <w:jc w:val="both"/>
        <w:rPr>
          <w:rFonts w:ascii="Arial" w:hAnsi="Arial" w:cs="Arial"/>
          <w:i/>
        </w:rPr>
      </w:pPr>
      <w:r>
        <w:rPr>
          <w:rFonts w:ascii="Arial" w:hAnsi="Arial" w:cs="Arial"/>
        </w:rPr>
        <w:tab/>
      </w:r>
      <w:r>
        <w:rPr>
          <w:rFonts w:ascii="Arial" w:hAnsi="Arial" w:cs="Arial"/>
          <w:i/>
        </w:rPr>
        <w:t xml:space="preserve">“According to our knowledge and records, bond payments for the above mentioned property was allocated in a ratio of 1:1 to the loan accounts of B. </w:t>
      </w:r>
      <w:proofErr w:type="spellStart"/>
      <w:r>
        <w:rPr>
          <w:rFonts w:ascii="Arial" w:hAnsi="Arial" w:cs="Arial"/>
          <w:i/>
        </w:rPr>
        <w:t>Minné</w:t>
      </w:r>
      <w:proofErr w:type="spellEnd"/>
      <w:r>
        <w:rPr>
          <w:rFonts w:ascii="Arial" w:hAnsi="Arial" w:cs="Arial"/>
          <w:i/>
        </w:rPr>
        <w:t xml:space="preserve"> and M.C. </w:t>
      </w:r>
      <w:proofErr w:type="spellStart"/>
      <w:r>
        <w:rPr>
          <w:rFonts w:ascii="Arial" w:hAnsi="Arial" w:cs="Arial"/>
          <w:i/>
        </w:rPr>
        <w:t>Minné</w:t>
      </w:r>
      <w:proofErr w:type="spellEnd"/>
      <w:r>
        <w:rPr>
          <w:rFonts w:ascii="Arial" w:hAnsi="Arial" w:cs="Arial"/>
          <w:i/>
        </w:rPr>
        <w:t xml:space="preserve"> for the financial years ending February 2018 to February 2020.</w:t>
      </w:r>
    </w:p>
    <w:p w:rsidR="0012260B" w:rsidRDefault="0012260B" w:rsidP="00863752">
      <w:pPr>
        <w:widowControl/>
        <w:spacing w:before="320" w:line="480" w:lineRule="auto"/>
        <w:ind w:left="720" w:hanging="720"/>
        <w:jc w:val="both"/>
        <w:rPr>
          <w:rFonts w:ascii="Arial" w:hAnsi="Arial" w:cs="Arial"/>
        </w:rPr>
      </w:pPr>
      <w:r>
        <w:rPr>
          <w:rFonts w:ascii="Arial" w:hAnsi="Arial" w:cs="Arial"/>
          <w:i/>
        </w:rPr>
        <w:tab/>
      </w:r>
      <w:r w:rsidR="00594AA3">
        <w:rPr>
          <w:rFonts w:ascii="Arial" w:hAnsi="Arial" w:cs="Arial"/>
          <w:i/>
        </w:rPr>
        <w:t>Furthermore</w:t>
      </w:r>
      <w:r>
        <w:rPr>
          <w:rFonts w:ascii="Arial" w:hAnsi="Arial" w:cs="Arial"/>
          <w:i/>
        </w:rPr>
        <w:t xml:space="preserve"> we confirm the resignation of </w:t>
      </w:r>
      <w:proofErr w:type="spellStart"/>
      <w:r>
        <w:rPr>
          <w:rFonts w:ascii="Arial" w:hAnsi="Arial" w:cs="Arial"/>
          <w:i/>
        </w:rPr>
        <w:t>M.</w:t>
      </w:r>
      <w:proofErr w:type="gramStart"/>
      <w:r>
        <w:rPr>
          <w:rFonts w:ascii="Arial" w:hAnsi="Arial" w:cs="Arial"/>
          <w:i/>
        </w:rPr>
        <w:t>C.Minné</w:t>
      </w:r>
      <w:proofErr w:type="spellEnd"/>
      <w:proofErr w:type="gramEnd"/>
      <w:r>
        <w:rPr>
          <w:rFonts w:ascii="Arial" w:hAnsi="Arial" w:cs="Arial"/>
          <w:i/>
        </w:rPr>
        <w:t xml:space="preserve"> dated 1 September 2019, As from this date payments made on behalf of the above mentioned property are allocated in full to the loan account for </w:t>
      </w:r>
      <w:proofErr w:type="spellStart"/>
      <w:r>
        <w:rPr>
          <w:rFonts w:ascii="Arial" w:hAnsi="Arial" w:cs="Arial"/>
          <w:i/>
        </w:rPr>
        <w:t>M.C.Minné</w:t>
      </w:r>
      <w:proofErr w:type="spellEnd"/>
      <w:r>
        <w:rPr>
          <w:rFonts w:ascii="Arial" w:hAnsi="Arial" w:cs="Arial"/>
          <w:i/>
        </w:rPr>
        <w:t>.”</w:t>
      </w:r>
    </w:p>
    <w:p w:rsidR="00F014D3" w:rsidRDefault="00F014D3" w:rsidP="00863752">
      <w:pPr>
        <w:widowControl/>
        <w:spacing w:before="320" w:line="480" w:lineRule="auto"/>
        <w:ind w:left="720" w:hanging="720"/>
        <w:jc w:val="both"/>
        <w:rPr>
          <w:rFonts w:ascii="Arial" w:hAnsi="Arial" w:cs="Arial"/>
        </w:rPr>
      </w:pPr>
      <w:r>
        <w:rPr>
          <w:rFonts w:ascii="Arial" w:hAnsi="Arial" w:cs="Arial"/>
        </w:rPr>
        <w:t>[23]</w:t>
      </w:r>
      <w:r>
        <w:rPr>
          <w:rFonts w:ascii="Arial" w:hAnsi="Arial" w:cs="Arial"/>
        </w:rPr>
        <w:tab/>
      </w:r>
      <w:r w:rsidR="00D53CEC">
        <w:rPr>
          <w:rFonts w:ascii="Arial" w:hAnsi="Arial" w:cs="Arial"/>
        </w:rPr>
        <w:t>It is thus the position of:</w:t>
      </w:r>
    </w:p>
    <w:p w:rsidR="00D53CEC" w:rsidRDefault="00D53CEC" w:rsidP="00D53CEC">
      <w:pPr>
        <w:widowControl/>
        <w:spacing w:before="320" w:line="480" w:lineRule="auto"/>
        <w:ind w:left="1440" w:hanging="720"/>
        <w:jc w:val="both"/>
        <w:rPr>
          <w:rFonts w:ascii="Arial" w:hAnsi="Arial" w:cs="Arial"/>
        </w:rPr>
      </w:pPr>
      <w:r>
        <w:rPr>
          <w:rFonts w:ascii="Arial" w:hAnsi="Arial" w:cs="Arial"/>
        </w:rPr>
        <w:t>23.1</w:t>
      </w:r>
      <w:r>
        <w:rPr>
          <w:rFonts w:ascii="Arial" w:hAnsi="Arial" w:cs="Arial"/>
        </w:rPr>
        <w:tab/>
        <w:t>the plaintiff</w:t>
      </w:r>
      <w:r w:rsidR="006F36D5">
        <w:rPr>
          <w:rFonts w:ascii="Arial" w:hAnsi="Arial" w:cs="Arial"/>
        </w:rPr>
        <w:t>,</w:t>
      </w:r>
      <w:r>
        <w:rPr>
          <w:rFonts w:ascii="Arial" w:hAnsi="Arial" w:cs="Arial"/>
        </w:rPr>
        <w:t xml:space="preserve"> that the equity division in the Property should reflect the position stipulated in the Title Deed </w:t>
      </w:r>
      <w:proofErr w:type="spellStart"/>
      <w:r>
        <w:rPr>
          <w:rFonts w:ascii="Arial" w:hAnsi="Arial" w:cs="Arial"/>
        </w:rPr>
        <w:t>i.e</w:t>
      </w:r>
      <w:proofErr w:type="spellEnd"/>
      <w:r>
        <w:rPr>
          <w:rFonts w:ascii="Arial" w:hAnsi="Arial" w:cs="Arial"/>
        </w:rPr>
        <w:t xml:space="preserve"> 50/50; and</w:t>
      </w:r>
    </w:p>
    <w:p w:rsidR="00D53CEC" w:rsidRDefault="00D53CEC" w:rsidP="00D53CEC">
      <w:pPr>
        <w:widowControl/>
        <w:spacing w:before="320" w:line="480" w:lineRule="auto"/>
        <w:ind w:left="1440" w:hanging="720"/>
        <w:jc w:val="both"/>
        <w:rPr>
          <w:rFonts w:ascii="Arial" w:hAnsi="Arial" w:cs="Arial"/>
        </w:rPr>
      </w:pPr>
      <w:r>
        <w:rPr>
          <w:rFonts w:ascii="Arial" w:hAnsi="Arial" w:cs="Arial"/>
        </w:rPr>
        <w:t>23.2</w:t>
      </w:r>
      <w:r>
        <w:rPr>
          <w:rFonts w:ascii="Arial" w:hAnsi="Arial" w:cs="Arial"/>
        </w:rPr>
        <w:tab/>
        <w:t>the defendants</w:t>
      </w:r>
      <w:r w:rsidR="006F36D5">
        <w:rPr>
          <w:rFonts w:ascii="Arial" w:hAnsi="Arial" w:cs="Arial"/>
        </w:rPr>
        <w:t>,</w:t>
      </w:r>
      <w:r>
        <w:rPr>
          <w:rFonts w:ascii="Arial" w:hAnsi="Arial" w:cs="Arial"/>
        </w:rPr>
        <w:t xml:space="preserve"> that the actual agreement between the parties is reflected in the OTP and all the correspondence </w:t>
      </w:r>
      <w:proofErr w:type="spellStart"/>
      <w:r>
        <w:rPr>
          <w:rFonts w:ascii="Arial" w:hAnsi="Arial" w:cs="Arial"/>
        </w:rPr>
        <w:t>i.e</w:t>
      </w:r>
      <w:proofErr w:type="spellEnd"/>
      <w:r>
        <w:rPr>
          <w:rFonts w:ascii="Arial" w:hAnsi="Arial" w:cs="Arial"/>
        </w:rPr>
        <w:t xml:space="preserve"> that the equity division should be 1/3 each. The defendants also maintain that the deposit of R1,1 million should first be deducted from any net equity from </w:t>
      </w:r>
      <w:r>
        <w:rPr>
          <w:rFonts w:ascii="Arial" w:hAnsi="Arial" w:cs="Arial"/>
        </w:rPr>
        <w:lastRenderedPageBreak/>
        <w:t>the sale of the Property and whatever the remaining balance is should only then be divided 1/3 each between the parties.</w:t>
      </w:r>
      <w:r w:rsidR="00844D41">
        <w:rPr>
          <w:rStyle w:val="FootnoteReference"/>
          <w:rFonts w:ascii="Arial" w:hAnsi="Arial" w:cs="Arial"/>
        </w:rPr>
        <w:footnoteReference w:id="14"/>
      </w:r>
    </w:p>
    <w:p w:rsidR="00E03B01" w:rsidRPr="00E03B01" w:rsidRDefault="00E03B01" w:rsidP="00863752">
      <w:pPr>
        <w:widowControl/>
        <w:spacing w:before="320" w:line="480" w:lineRule="auto"/>
        <w:ind w:left="720" w:hanging="720"/>
        <w:jc w:val="both"/>
        <w:rPr>
          <w:rFonts w:ascii="Arial" w:hAnsi="Arial" w:cs="Arial"/>
          <w:b/>
          <w:u w:val="single"/>
        </w:rPr>
      </w:pPr>
      <w:r w:rsidRPr="00E03B01">
        <w:rPr>
          <w:rFonts w:ascii="Arial" w:hAnsi="Arial" w:cs="Arial"/>
          <w:b/>
          <w:u w:val="single"/>
        </w:rPr>
        <w:t>The Legal Position</w:t>
      </w:r>
    </w:p>
    <w:p w:rsidR="00D53CEC" w:rsidRDefault="00844D41" w:rsidP="00863752">
      <w:pPr>
        <w:widowControl/>
        <w:spacing w:before="320" w:line="480" w:lineRule="auto"/>
        <w:ind w:left="720" w:hanging="720"/>
        <w:jc w:val="both"/>
        <w:rPr>
          <w:rFonts w:ascii="Arial" w:hAnsi="Arial" w:cs="Arial"/>
        </w:rPr>
      </w:pPr>
      <w:r>
        <w:rPr>
          <w:rFonts w:ascii="Arial" w:hAnsi="Arial" w:cs="Arial"/>
        </w:rPr>
        <w:t>[24]</w:t>
      </w:r>
      <w:r>
        <w:rPr>
          <w:rFonts w:ascii="Arial" w:hAnsi="Arial" w:cs="Arial"/>
        </w:rPr>
        <w:tab/>
        <w:t xml:space="preserve"> </w:t>
      </w:r>
      <w:r w:rsidR="0069620B">
        <w:rPr>
          <w:rFonts w:ascii="Arial" w:hAnsi="Arial" w:cs="Arial"/>
        </w:rPr>
        <w:t xml:space="preserve">The general principles pertaining to an </w:t>
      </w:r>
      <w:proofErr w:type="spellStart"/>
      <w:r w:rsidR="0069620B">
        <w:rPr>
          <w:rFonts w:ascii="Arial" w:hAnsi="Arial" w:cs="Arial"/>
          <w:i/>
        </w:rPr>
        <w:t>actio</w:t>
      </w:r>
      <w:proofErr w:type="spellEnd"/>
      <w:r w:rsidR="0069620B">
        <w:rPr>
          <w:rFonts w:ascii="Arial" w:hAnsi="Arial" w:cs="Arial"/>
          <w:i/>
        </w:rPr>
        <w:t xml:space="preserve"> </w:t>
      </w:r>
      <w:proofErr w:type="spellStart"/>
      <w:r w:rsidR="0069620B">
        <w:rPr>
          <w:rFonts w:ascii="Arial" w:hAnsi="Arial" w:cs="Arial"/>
          <w:i/>
        </w:rPr>
        <w:t>communi</w:t>
      </w:r>
      <w:proofErr w:type="spellEnd"/>
      <w:r w:rsidR="0069620B">
        <w:rPr>
          <w:rFonts w:ascii="Arial" w:hAnsi="Arial" w:cs="Arial"/>
          <w:i/>
        </w:rPr>
        <w:t xml:space="preserve"> </w:t>
      </w:r>
      <w:proofErr w:type="spellStart"/>
      <w:r w:rsidR="0069620B">
        <w:rPr>
          <w:rFonts w:ascii="Arial" w:hAnsi="Arial" w:cs="Arial"/>
          <w:i/>
        </w:rPr>
        <w:t>dividundo</w:t>
      </w:r>
      <w:proofErr w:type="spellEnd"/>
      <w:r w:rsidR="0069620B">
        <w:rPr>
          <w:rFonts w:ascii="Arial" w:hAnsi="Arial" w:cs="Arial"/>
        </w:rPr>
        <w:t xml:space="preserve"> are set out in </w:t>
      </w:r>
      <w:r w:rsidR="0069620B" w:rsidRPr="005422AF">
        <w:rPr>
          <w:rFonts w:ascii="Arial" w:hAnsi="Arial" w:cs="Arial"/>
          <w:b/>
          <w:u w:val="single"/>
        </w:rPr>
        <w:t>Robson v Theron</w:t>
      </w:r>
      <w:r w:rsidR="0069620B">
        <w:rPr>
          <w:rStyle w:val="FootnoteReference"/>
          <w:rFonts w:ascii="Arial" w:hAnsi="Arial" w:cs="Arial"/>
        </w:rPr>
        <w:footnoteReference w:id="15"/>
      </w:r>
      <w:r w:rsidR="0069620B">
        <w:rPr>
          <w:rFonts w:ascii="Arial" w:hAnsi="Arial" w:cs="Arial"/>
        </w:rPr>
        <w:t xml:space="preserve"> as the following:</w:t>
      </w:r>
    </w:p>
    <w:p w:rsidR="00965023" w:rsidRDefault="00965023" w:rsidP="00863752">
      <w:pPr>
        <w:widowControl/>
        <w:spacing w:before="320" w:line="480" w:lineRule="auto"/>
        <w:ind w:left="720" w:hanging="720"/>
        <w:jc w:val="both"/>
        <w:rPr>
          <w:rFonts w:ascii="Arial" w:hAnsi="Arial" w:cs="Arial"/>
        </w:rPr>
      </w:pPr>
      <w:r>
        <w:rPr>
          <w:rFonts w:ascii="Arial" w:hAnsi="Arial" w:cs="Arial"/>
        </w:rPr>
        <w:tab/>
        <w:t>24.1</w:t>
      </w:r>
      <w:r>
        <w:rPr>
          <w:rFonts w:ascii="Arial" w:hAnsi="Arial" w:cs="Arial"/>
        </w:rPr>
        <w:tab/>
        <w:t>no co-owner is normally obliged to remain a co-owner against his will;</w:t>
      </w:r>
    </w:p>
    <w:p w:rsidR="00965023" w:rsidRDefault="00965023" w:rsidP="00965023">
      <w:pPr>
        <w:widowControl/>
        <w:spacing w:before="320" w:line="480" w:lineRule="auto"/>
        <w:ind w:left="1440" w:hanging="720"/>
        <w:jc w:val="both"/>
        <w:rPr>
          <w:rFonts w:ascii="Arial" w:hAnsi="Arial" w:cs="Arial"/>
        </w:rPr>
      </w:pPr>
      <w:r>
        <w:rPr>
          <w:rFonts w:ascii="Arial" w:hAnsi="Arial" w:cs="Arial"/>
        </w:rPr>
        <w:t>24.2</w:t>
      </w:r>
      <w:r>
        <w:rPr>
          <w:rFonts w:ascii="Arial" w:hAnsi="Arial" w:cs="Arial"/>
        </w:rPr>
        <w:tab/>
        <w:t>the action is available to those who own specific tangible things (</w:t>
      </w:r>
      <w:r>
        <w:rPr>
          <w:rFonts w:ascii="Arial" w:hAnsi="Arial" w:cs="Arial"/>
          <w:i/>
        </w:rPr>
        <w:t xml:space="preserve">res </w:t>
      </w:r>
      <w:proofErr w:type="spellStart"/>
      <w:r>
        <w:rPr>
          <w:rFonts w:ascii="Arial" w:hAnsi="Arial" w:cs="Arial"/>
          <w:i/>
        </w:rPr>
        <w:t>corporales</w:t>
      </w:r>
      <w:proofErr w:type="spellEnd"/>
      <w:r>
        <w:rPr>
          <w:rFonts w:ascii="Arial" w:hAnsi="Arial" w:cs="Arial"/>
          <w:i/>
        </w:rPr>
        <w:t xml:space="preserve">) </w:t>
      </w:r>
      <w:r>
        <w:rPr>
          <w:rFonts w:ascii="Arial" w:hAnsi="Arial" w:cs="Arial"/>
        </w:rPr>
        <w:t>in co-ownership, irrespective of whether the co-owners are partners or not, to claim division of the joint property;</w:t>
      </w:r>
    </w:p>
    <w:p w:rsidR="00965023" w:rsidRDefault="00965023" w:rsidP="00965023">
      <w:pPr>
        <w:widowControl/>
        <w:spacing w:before="320" w:line="480" w:lineRule="auto"/>
        <w:ind w:left="1440" w:hanging="720"/>
        <w:jc w:val="both"/>
        <w:rPr>
          <w:rFonts w:ascii="Arial" w:hAnsi="Arial" w:cs="Arial"/>
        </w:rPr>
      </w:pPr>
      <w:r>
        <w:rPr>
          <w:rFonts w:ascii="Arial" w:hAnsi="Arial" w:cs="Arial"/>
        </w:rPr>
        <w:t>24.3</w:t>
      </w:r>
      <w:r>
        <w:rPr>
          <w:rFonts w:ascii="Arial" w:hAnsi="Arial" w:cs="Arial"/>
        </w:rPr>
        <w:tab/>
        <w:t>the action</w:t>
      </w:r>
      <w:r>
        <w:rPr>
          <w:rStyle w:val="FootnoteReference"/>
          <w:rFonts w:ascii="Arial" w:hAnsi="Arial" w:cs="Arial"/>
        </w:rPr>
        <w:footnoteReference w:id="16"/>
      </w:r>
      <w:r>
        <w:rPr>
          <w:rFonts w:ascii="Arial" w:hAnsi="Arial" w:cs="Arial"/>
        </w:rPr>
        <w:t xml:space="preserve"> may be brought</w:t>
      </w:r>
      <w:r w:rsidR="0050657C">
        <w:rPr>
          <w:rFonts w:ascii="Arial" w:hAnsi="Arial" w:cs="Arial"/>
        </w:rPr>
        <w:t xml:space="preserve"> by a co-owner for the division of joint property where the co-owners cannot agree to the method of division.;</w:t>
      </w:r>
    </w:p>
    <w:p w:rsidR="0050657C" w:rsidRDefault="0050657C" w:rsidP="00965023">
      <w:pPr>
        <w:widowControl/>
        <w:spacing w:before="320" w:line="480" w:lineRule="auto"/>
        <w:ind w:left="1440" w:hanging="720"/>
        <w:jc w:val="both"/>
        <w:rPr>
          <w:rFonts w:ascii="Arial" w:hAnsi="Arial" w:cs="Arial"/>
        </w:rPr>
      </w:pPr>
      <w:r>
        <w:rPr>
          <w:rFonts w:ascii="Arial" w:hAnsi="Arial" w:cs="Arial"/>
        </w:rPr>
        <w:t>24.4</w:t>
      </w:r>
      <w:r>
        <w:rPr>
          <w:rFonts w:ascii="Arial" w:hAnsi="Arial" w:cs="Arial"/>
        </w:rPr>
        <w:tab/>
        <w:t>it is for purposes of the action immaterial whether the co-owners possess the joint property jointly or neither of them possesses it or any one of them is in possession thereof;</w:t>
      </w:r>
    </w:p>
    <w:p w:rsidR="0050657C" w:rsidRDefault="0050657C" w:rsidP="00965023">
      <w:pPr>
        <w:widowControl/>
        <w:spacing w:before="320" w:line="480" w:lineRule="auto"/>
        <w:ind w:left="1440" w:hanging="720"/>
        <w:jc w:val="both"/>
        <w:rPr>
          <w:rFonts w:ascii="Arial" w:hAnsi="Arial" w:cs="Arial"/>
        </w:rPr>
      </w:pPr>
      <w:r>
        <w:rPr>
          <w:rFonts w:ascii="Arial" w:hAnsi="Arial" w:cs="Arial"/>
        </w:rPr>
        <w:t>24.5</w:t>
      </w:r>
      <w:r>
        <w:rPr>
          <w:rFonts w:ascii="Arial" w:hAnsi="Arial" w:cs="Arial"/>
        </w:rPr>
        <w:tab/>
        <w:t xml:space="preserve">the action may be used to claim as ancillary relief payment of </w:t>
      </w:r>
      <w:proofErr w:type="spellStart"/>
      <w:r>
        <w:rPr>
          <w:rFonts w:ascii="Arial" w:hAnsi="Arial" w:cs="Arial"/>
          <w:i/>
        </w:rPr>
        <w:t>praestationes</w:t>
      </w:r>
      <w:proofErr w:type="spellEnd"/>
      <w:r>
        <w:rPr>
          <w:rFonts w:ascii="Arial" w:hAnsi="Arial" w:cs="Arial"/>
          <w:i/>
        </w:rPr>
        <w:t xml:space="preserve"> </w:t>
      </w:r>
      <w:proofErr w:type="spellStart"/>
      <w:r>
        <w:rPr>
          <w:rFonts w:ascii="Arial" w:hAnsi="Arial" w:cs="Arial"/>
          <w:i/>
        </w:rPr>
        <w:t>personales</w:t>
      </w:r>
      <w:proofErr w:type="spellEnd"/>
      <w:r>
        <w:rPr>
          <w:rFonts w:ascii="Arial" w:hAnsi="Arial" w:cs="Arial"/>
          <w:i/>
        </w:rPr>
        <w:t xml:space="preserve"> </w:t>
      </w:r>
      <w:r w:rsidRPr="0050657C">
        <w:rPr>
          <w:rFonts w:ascii="Arial" w:hAnsi="Arial" w:cs="Arial"/>
        </w:rPr>
        <w:t>relating to profits enjoyed or expenses</w:t>
      </w:r>
      <w:r>
        <w:rPr>
          <w:rFonts w:ascii="Arial" w:hAnsi="Arial" w:cs="Arial"/>
        </w:rPr>
        <w:t xml:space="preserve"> incurred in connection with the joint property;</w:t>
      </w:r>
    </w:p>
    <w:p w:rsidR="0050657C" w:rsidRPr="0015780A" w:rsidRDefault="0050657C" w:rsidP="00965023">
      <w:pPr>
        <w:widowControl/>
        <w:spacing w:before="320" w:line="480" w:lineRule="auto"/>
        <w:ind w:left="1440" w:hanging="720"/>
        <w:jc w:val="both"/>
        <w:rPr>
          <w:rFonts w:ascii="Arial" w:hAnsi="Arial" w:cs="Arial"/>
        </w:rPr>
      </w:pPr>
      <w:r w:rsidRPr="0015780A">
        <w:rPr>
          <w:rFonts w:ascii="Arial" w:hAnsi="Arial" w:cs="Arial"/>
        </w:rPr>
        <w:lastRenderedPageBreak/>
        <w:t>24.6</w:t>
      </w:r>
      <w:r w:rsidRPr="0015780A">
        <w:rPr>
          <w:rFonts w:ascii="Arial" w:hAnsi="Arial" w:cs="Arial"/>
        </w:rPr>
        <w:tab/>
        <w:t xml:space="preserve">a court has a wide discretion in making a division of joint property. The wide equitable discretion is substantially identical to the similar discretion which a court has in respect of the mode of distribution of partnership assets among partners as described by </w:t>
      </w:r>
      <w:proofErr w:type="spellStart"/>
      <w:r w:rsidRPr="0015780A">
        <w:rPr>
          <w:rFonts w:ascii="Arial" w:hAnsi="Arial" w:cs="Arial"/>
          <w:i/>
        </w:rPr>
        <w:t>Pothier</w:t>
      </w:r>
      <w:proofErr w:type="spellEnd"/>
      <w:r w:rsidRPr="0015780A">
        <w:rPr>
          <w:rFonts w:ascii="Arial" w:hAnsi="Arial" w:cs="Arial"/>
        </w:rPr>
        <w:t>.</w:t>
      </w:r>
    </w:p>
    <w:p w:rsidR="0050657C" w:rsidRDefault="00D254FC" w:rsidP="0015780A">
      <w:pPr>
        <w:widowControl/>
        <w:spacing w:before="320" w:line="480" w:lineRule="auto"/>
        <w:ind w:left="720" w:hanging="720"/>
        <w:jc w:val="both"/>
        <w:rPr>
          <w:rFonts w:ascii="Arial" w:hAnsi="Arial" w:cs="Arial"/>
        </w:rPr>
      </w:pPr>
      <w:r>
        <w:rPr>
          <w:rFonts w:ascii="Arial" w:hAnsi="Arial" w:cs="Arial"/>
        </w:rPr>
        <w:t>[</w:t>
      </w:r>
      <w:r w:rsidR="00C024D1" w:rsidRPr="0015780A">
        <w:rPr>
          <w:rFonts w:ascii="Arial" w:hAnsi="Arial" w:cs="Arial"/>
        </w:rPr>
        <w:t>25]</w:t>
      </w:r>
      <w:r w:rsidR="00C024D1" w:rsidRPr="0015780A">
        <w:rPr>
          <w:rFonts w:ascii="Arial" w:hAnsi="Arial" w:cs="Arial"/>
        </w:rPr>
        <w:tab/>
      </w:r>
      <w:r w:rsidR="0015780A" w:rsidRPr="0015780A">
        <w:rPr>
          <w:rFonts w:ascii="Arial" w:hAnsi="Arial" w:cs="Arial"/>
        </w:rPr>
        <w:t xml:space="preserve">In </w:t>
      </w:r>
      <w:r w:rsidR="005422AF" w:rsidRPr="0015780A">
        <w:rPr>
          <w:rFonts w:ascii="Arial" w:hAnsi="Arial" w:cs="Arial"/>
          <w:b/>
          <w:u w:val="single"/>
        </w:rPr>
        <w:t>Robson</w:t>
      </w:r>
      <w:r w:rsidR="0015780A" w:rsidRPr="0015780A">
        <w:rPr>
          <w:rStyle w:val="t"/>
          <w:rFonts w:ascii="Arial" w:hAnsi="Arial" w:cs="Arial"/>
          <w:color w:val="000000"/>
          <w:spacing w:val="3"/>
          <w:bdr w:val="none" w:sz="0" w:space="0" w:color="auto" w:frame="1"/>
          <w:shd w:val="clear" w:color="auto" w:fill="FFFFFF"/>
        </w:rPr>
        <w:t xml:space="preserve"> </w:t>
      </w:r>
      <w:r w:rsidR="0015780A">
        <w:rPr>
          <w:rStyle w:val="t"/>
          <w:rFonts w:ascii="Arial" w:hAnsi="Arial" w:cs="Arial"/>
          <w:color w:val="000000"/>
          <w:spacing w:val="3"/>
          <w:bdr w:val="none" w:sz="0" w:space="0" w:color="auto" w:frame="1"/>
          <w:shd w:val="clear" w:color="auto" w:fill="FFFFFF"/>
        </w:rPr>
        <w:t xml:space="preserve">the court decided that where </w:t>
      </w:r>
      <w:r w:rsidR="0015780A" w:rsidRPr="0015780A">
        <w:rPr>
          <w:rStyle w:val="t"/>
          <w:rFonts w:ascii="Arial" w:hAnsi="Arial" w:cs="Arial"/>
          <w:color w:val="000000"/>
          <w:spacing w:val="3"/>
          <w:bdr w:val="none" w:sz="0" w:space="0" w:color="auto" w:frame="1"/>
          <w:shd w:val="clear" w:color="auto" w:fill="FFFFFF"/>
        </w:rPr>
        <w:t>two partners dissolve a partnership by agreement and one partner</w:t>
      </w:r>
      <w:r w:rsidR="0015780A">
        <w:rPr>
          <w:rStyle w:val="t"/>
          <w:rFonts w:ascii="Arial" w:hAnsi="Arial" w:cs="Arial"/>
          <w:color w:val="000000"/>
          <w:spacing w:val="3"/>
          <w:bdr w:val="none" w:sz="0" w:space="0" w:color="auto" w:frame="1"/>
          <w:shd w:val="clear" w:color="auto" w:fill="FFFFFF"/>
        </w:rPr>
        <w:t xml:space="preserve"> </w:t>
      </w:r>
      <w:r w:rsidR="0015780A" w:rsidRPr="0015780A">
        <w:rPr>
          <w:rStyle w:val="t"/>
          <w:rFonts w:ascii="Arial" w:hAnsi="Arial" w:cs="Arial"/>
          <w:i/>
          <w:color w:val="000000"/>
          <w:spacing w:val="14"/>
          <w:bdr w:val="none" w:sz="0" w:space="0" w:color="auto" w:frame="1"/>
          <w:shd w:val="clear" w:color="auto" w:fill="FFFFFF"/>
        </w:rPr>
        <w:t>de facto</w:t>
      </w:r>
      <w:r w:rsidR="0015780A">
        <w:rPr>
          <w:rStyle w:val="t"/>
          <w:rFonts w:ascii="Arial" w:hAnsi="Arial" w:cs="Arial"/>
          <w:color w:val="000000"/>
          <w:spacing w:val="14"/>
          <w:bdr w:val="none" w:sz="0" w:space="0" w:color="auto" w:frame="1"/>
          <w:shd w:val="clear" w:color="auto" w:fill="FFFFFF"/>
        </w:rPr>
        <w:t xml:space="preserve"> </w:t>
      </w:r>
      <w:r w:rsidR="0015780A" w:rsidRPr="0015780A">
        <w:rPr>
          <w:rStyle w:val="t"/>
          <w:rFonts w:ascii="Arial" w:hAnsi="Arial" w:cs="Arial"/>
          <w:color w:val="000000"/>
          <w:spacing w:val="3"/>
          <w:bdr w:val="none" w:sz="0" w:space="0" w:color="auto" w:frame="1"/>
          <w:shd w:val="clear" w:color="auto" w:fill="FFFFFF"/>
        </w:rPr>
        <w:t>retains the goodwill of the partnership for his own use and</w:t>
      </w:r>
      <w:r w:rsidR="0015780A">
        <w:rPr>
          <w:rStyle w:val="t"/>
          <w:rFonts w:ascii="Arial" w:hAnsi="Arial" w:cs="Arial"/>
          <w:color w:val="000000"/>
          <w:spacing w:val="3"/>
          <w:bdr w:val="none" w:sz="0" w:space="0" w:color="auto" w:frame="1"/>
          <w:shd w:val="clear" w:color="auto" w:fill="FFFFFF"/>
        </w:rPr>
        <w:t xml:space="preserve"> </w:t>
      </w:r>
      <w:r w:rsidR="0015780A" w:rsidRPr="0015780A">
        <w:rPr>
          <w:rStyle w:val="t"/>
          <w:rFonts w:ascii="Arial" w:hAnsi="Arial" w:cs="Arial"/>
          <w:color w:val="000000"/>
          <w:spacing w:val="3"/>
          <w:bdr w:val="none" w:sz="0" w:space="0" w:color="auto" w:frame="1"/>
          <w:shd w:val="clear" w:color="auto" w:fill="FFFFFF"/>
        </w:rPr>
        <w:t>benefit, the retiring partner is entitled under the common law, by virtue of either the</w:t>
      </w:r>
      <w:r w:rsidR="0015780A">
        <w:rPr>
          <w:rStyle w:val="t"/>
          <w:rFonts w:ascii="Arial" w:hAnsi="Arial" w:cs="Arial"/>
          <w:color w:val="000000"/>
          <w:spacing w:val="3"/>
          <w:bdr w:val="none" w:sz="0" w:space="0" w:color="auto" w:frame="1"/>
          <w:shd w:val="clear" w:color="auto" w:fill="FFFFFF"/>
        </w:rPr>
        <w:t xml:space="preserve"> </w:t>
      </w:r>
      <w:proofErr w:type="spellStart"/>
      <w:r w:rsidR="0015780A" w:rsidRPr="0015780A">
        <w:rPr>
          <w:rStyle w:val="t"/>
          <w:rFonts w:ascii="Arial" w:hAnsi="Arial" w:cs="Arial"/>
          <w:i/>
          <w:color w:val="000000"/>
          <w:spacing w:val="9"/>
          <w:bdr w:val="none" w:sz="0" w:space="0" w:color="auto" w:frame="1"/>
          <w:shd w:val="clear" w:color="auto" w:fill="FFFFFF"/>
        </w:rPr>
        <w:t>actio</w:t>
      </w:r>
      <w:proofErr w:type="spellEnd"/>
      <w:r w:rsidR="0015780A" w:rsidRPr="0015780A">
        <w:rPr>
          <w:rStyle w:val="t"/>
          <w:rFonts w:ascii="Arial" w:hAnsi="Arial" w:cs="Arial"/>
          <w:i/>
          <w:color w:val="000000"/>
          <w:spacing w:val="9"/>
          <w:bdr w:val="none" w:sz="0" w:space="0" w:color="auto" w:frame="1"/>
          <w:shd w:val="clear" w:color="auto" w:fill="FFFFFF"/>
        </w:rPr>
        <w:t xml:space="preserve"> pro socio</w:t>
      </w:r>
      <w:r w:rsidR="0015780A">
        <w:rPr>
          <w:rStyle w:val="t"/>
          <w:rFonts w:ascii="Arial" w:hAnsi="Arial" w:cs="Arial"/>
          <w:color w:val="000000"/>
          <w:spacing w:val="9"/>
          <w:bdr w:val="none" w:sz="0" w:space="0" w:color="auto" w:frame="1"/>
          <w:shd w:val="clear" w:color="auto" w:fill="FFFFFF"/>
        </w:rPr>
        <w:t xml:space="preserve"> </w:t>
      </w:r>
      <w:r w:rsidR="0015780A" w:rsidRPr="0015780A">
        <w:rPr>
          <w:rStyle w:val="t"/>
          <w:rFonts w:ascii="Arial" w:hAnsi="Arial" w:cs="Arial"/>
          <w:color w:val="000000"/>
          <w:spacing w:val="6"/>
          <w:bdr w:val="none" w:sz="0" w:space="0" w:color="auto" w:frame="1"/>
          <w:shd w:val="clear" w:color="auto" w:fill="FFFFFF"/>
        </w:rPr>
        <w:t>or the</w:t>
      </w:r>
      <w:r w:rsidR="0015780A">
        <w:rPr>
          <w:rStyle w:val="t"/>
          <w:rFonts w:ascii="Arial" w:hAnsi="Arial" w:cs="Arial"/>
          <w:color w:val="000000"/>
          <w:spacing w:val="6"/>
          <w:bdr w:val="none" w:sz="0" w:space="0" w:color="auto" w:frame="1"/>
          <w:shd w:val="clear" w:color="auto" w:fill="FFFFFF"/>
        </w:rPr>
        <w:t xml:space="preserve"> </w:t>
      </w:r>
      <w:proofErr w:type="spellStart"/>
      <w:r w:rsidR="0015780A" w:rsidRPr="006F36D5">
        <w:rPr>
          <w:rStyle w:val="t"/>
          <w:rFonts w:ascii="Arial" w:hAnsi="Arial" w:cs="Arial"/>
          <w:i/>
          <w:color w:val="000000"/>
          <w:spacing w:val="3"/>
          <w:bdr w:val="none" w:sz="0" w:space="0" w:color="auto" w:frame="1"/>
          <w:shd w:val="clear" w:color="auto" w:fill="FFFFFF"/>
        </w:rPr>
        <w:t>utilis</w:t>
      </w:r>
      <w:proofErr w:type="spellEnd"/>
      <w:r w:rsidR="0015780A" w:rsidRPr="006F36D5">
        <w:rPr>
          <w:rStyle w:val="t"/>
          <w:rFonts w:ascii="Arial" w:hAnsi="Arial" w:cs="Arial"/>
          <w:i/>
          <w:color w:val="000000"/>
          <w:spacing w:val="3"/>
          <w:bdr w:val="none" w:sz="0" w:space="0" w:color="auto" w:frame="1"/>
          <w:shd w:val="clear" w:color="auto" w:fill="FFFFFF"/>
        </w:rPr>
        <w:t xml:space="preserve"> </w:t>
      </w:r>
      <w:proofErr w:type="spellStart"/>
      <w:r w:rsidR="0015780A" w:rsidRPr="006F36D5">
        <w:rPr>
          <w:rStyle w:val="t"/>
          <w:rFonts w:ascii="Arial" w:hAnsi="Arial" w:cs="Arial"/>
          <w:i/>
          <w:color w:val="000000"/>
          <w:spacing w:val="3"/>
          <w:bdr w:val="none" w:sz="0" w:space="0" w:color="auto" w:frame="1"/>
          <w:shd w:val="clear" w:color="auto" w:fill="FFFFFF"/>
        </w:rPr>
        <w:t>actio</w:t>
      </w:r>
      <w:proofErr w:type="spellEnd"/>
      <w:r w:rsidR="0015780A" w:rsidRPr="006F36D5">
        <w:rPr>
          <w:rStyle w:val="t"/>
          <w:rFonts w:ascii="Arial" w:hAnsi="Arial" w:cs="Arial"/>
          <w:i/>
          <w:color w:val="000000"/>
          <w:spacing w:val="3"/>
          <w:bdr w:val="none" w:sz="0" w:space="0" w:color="auto" w:frame="1"/>
          <w:shd w:val="clear" w:color="auto" w:fill="FFFFFF"/>
        </w:rPr>
        <w:t xml:space="preserve"> </w:t>
      </w:r>
      <w:proofErr w:type="spellStart"/>
      <w:r w:rsidR="0015780A" w:rsidRPr="006F36D5">
        <w:rPr>
          <w:rStyle w:val="t"/>
          <w:rFonts w:ascii="Arial" w:hAnsi="Arial" w:cs="Arial"/>
          <w:i/>
          <w:color w:val="000000"/>
          <w:spacing w:val="3"/>
          <w:bdr w:val="none" w:sz="0" w:space="0" w:color="auto" w:frame="1"/>
          <w:shd w:val="clear" w:color="auto" w:fill="FFFFFF"/>
        </w:rPr>
        <w:t>communi</w:t>
      </w:r>
      <w:proofErr w:type="spellEnd"/>
      <w:r w:rsidR="0015780A" w:rsidRPr="006F36D5">
        <w:rPr>
          <w:rStyle w:val="t"/>
          <w:rFonts w:ascii="Arial" w:hAnsi="Arial" w:cs="Arial"/>
          <w:i/>
          <w:color w:val="000000"/>
          <w:spacing w:val="3"/>
          <w:bdr w:val="none" w:sz="0" w:space="0" w:color="auto" w:frame="1"/>
          <w:shd w:val="clear" w:color="auto" w:fill="FFFFFF"/>
        </w:rPr>
        <w:t xml:space="preserve"> </w:t>
      </w:r>
      <w:proofErr w:type="spellStart"/>
      <w:r w:rsidR="0015780A" w:rsidRPr="006F36D5">
        <w:rPr>
          <w:rStyle w:val="t"/>
          <w:rFonts w:ascii="Arial" w:hAnsi="Arial" w:cs="Arial"/>
          <w:i/>
          <w:color w:val="000000"/>
          <w:spacing w:val="3"/>
          <w:bdr w:val="none" w:sz="0" w:space="0" w:color="auto" w:frame="1"/>
          <w:shd w:val="clear" w:color="auto" w:fill="FFFFFF"/>
        </w:rPr>
        <w:t>dividundo</w:t>
      </w:r>
      <w:proofErr w:type="spellEnd"/>
      <w:r w:rsidR="0015780A" w:rsidRPr="0015780A">
        <w:rPr>
          <w:rStyle w:val="t"/>
          <w:rFonts w:ascii="Arial" w:hAnsi="Arial" w:cs="Arial"/>
          <w:color w:val="000000"/>
          <w:spacing w:val="8"/>
          <w:bdr w:val="none" w:sz="0" w:space="0" w:color="auto" w:frame="1"/>
          <w:shd w:val="clear" w:color="auto" w:fill="FFFFFF"/>
        </w:rPr>
        <w:t>, to</w:t>
      </w:r>
      <w:r w:rsidR="00465CA2">
        <w:rPr>
          <w:rStyle w:val="t"/>
          <w:rFonts w:ascii="Arial" w:hAnsi="Arial" w:cs="Arial"/>
          <w:color w:val="000000"/>
          <w:spacing w:val="8"/>
          <w:bdr w:val="none" w:sz="0" w:space="0" w:color="auto" w:frame="1"/>
          <w:shd w:val="clear" w:color="auto" w:fill="FFFFFF"/>
        </w:rPr>
        <w:t xml:space="preserve"> </w:t>
      </w:r>
      <w:r w:rsidR="0015780A" w:rsidRPr="0015780A">
        <w:rPr>
          <w:rStyle w:val="t"/>
          <w:rFonts w:ascii="Arial" w:hAnsi="Arial" w:cs="Arial"/>
          <w:color w:val="000000"/>
          <w:spacing w:val="2"/>
          <w:bdr w:val="none" w:sz="0" w:space="0" w:color="auto" w:frame="1"/>
          <w:shd w:val="clear" w:color="auto" w:fill="FFFFFF"/>
        </w:rPr>
        <w:t xml:space="preserve">payment of his half share of the goodwill from the continuing partner. </w:t>
      </w:r>
      <w:r w:rsidR="00465CA2">
        <w:rPr>
          <w:rStyle w:val="t"/>
          <w:rFonts w:ascii="Arial" w:hAnsi="Arial" w:cs="Arial"/>
          <w:color w:val="000000"/>
          <w:spacing w:val="2"/>
          <w:bdr w:val="none" w:sz="0" w:space="0" w:color="auto" w:frame="1"/>
          <w:shd w:val="clear" w:color="auto" w:fill="FFFFFF"/>
        </w:rPr>
        <w:t>T</w:t>
      </w:r>
      <w:r w:rsidR="005422AF">
        <w:rPr>
          <w:rFonts w:ascii="Arial" w:hAnsi="Arial" w:cs="Arial"/>
        </w:rPr>
        <w:t xml:space="preserve">he court then </w:t>
      </w:r>
      <w:proofErr w:type="spellStart"/>
      <w:r w:rsidR="005422AF">
        <w:rPr>
          <w:rFonts w:ascii="Arial" w:hAnsi="Arial" w:cs="Arial"/>
        </w:rPr>
        <w:t>analysed</w:t>
      </w:r>
      <w:proofErr w:type="spellEnd"/>
      <w:r w:rsidR="005422AF">
        <w:rPr>
          <w:rFonts w:ascii="Arial" w:hAnsi="Arial" w:cs="Arial"/>
        </w:rPr>
        <w:t xml:space="preserve"> the requirements of an </w:t>
      </w:r>
      <w:proofErr w:type="spellStart"/>
      <w:r w:rsidR="006F36D5">
        <w:rPr>
          <w:rFonts w:ascii="Arial" w:hAnsi="Arial" w:cs="Arial"/>
          <w:i/>
        </w:rPr>
        <w:t>actio</w:t>
      </w:r>
      <w:proofErr w:type="spellEnd"/>
      <w:r w:rsidR="005422AF">
        <w:rPr>
          <w:rFonts w:ascii="Arial" w:hAnsi="Arial" w:cs="Arial"/>
          <w:i/>
        </w:rPr>
        <w:t xml:space="preserve"> pro socio</w:t>
      </w:r>
      <w:r w:rsidR="005422AF">
        <w:rPr>
          <w:rFonts w:ascii="Arial" w:hAnsi="Arial" w:cs="Arial"/>
          <w:b/>
          <w:i/>
        </w:rPr>
        <w:t xml:space="preserve"> </w:t>
      </w:r>
      <w:r w:rsidR="005422AF">
        <w:rPr>
          <w:rFonts w:ascii="Arial" w:hAnsi="Arial" w:cs="Arial"/>
        </w:rPr>
        <w:t xml:space="preserve">and those of the </w:t>
      </w:r>
      <w:proofErr w:type="spellStart"/>
      <w:r w:rsidR="005422AF">
        <w:rPr>
          <w:rFonts w:ascii="Arial" w:hAnsi="Arial" w:cs="Arial"/>
          <w:i/>
        </w:rPr>
        <w:t>actio</w:t>
      </w:r>
      <w:proofErr w:type="spellEnd"/>
      <w:r w:rsidR="005422AF">
        <w:rPr>
          <w:rFonts w:ascii="Arial" w:hAnsi="Arial" w:cs="Arial"/>
          <w:i/>
        </w:rPr>
        <w:t xml:space="preserve"> </w:t>
      </w:r>
      <w:proofErr w:type="spellStart"/>
      <w:r w:rsidR="005422AF">
        <w:rPr>
          <w:rFonts w:ascii="Arial" w:hAnsi="Arial" w:cs="Arial"/>
          <w:i/>
        </w:rPr>
        <w:t>communi</w:t>
      </w:r>
      <w:proofErr w:type="spellEnd"/>
      <w:r w:rsidR="005422AF">
        <w:rPr>
          <w:rFonts w:ascii="Arial" w:hAnsi="Arial" w:cs="Arial"/>
          <w:i/>
        </w:rPr>
        <w:t xml:space="preserve"> </w:t>
      </w:r>
      <w:proofErr w:type="spellStart"/>
      <w:r w:rsidR="005422AF">
        <w:rPr>
          <w:rFonts w:ascii="Arial" w:hAnsi="Arial" w:cs="Arial"/>
          <w:i/>
        </w:rPr>
        <w:t>dividundo</w:t>
      </w:r>
      <w:proofErr w:type="spellEnd"/>
      <w:r w:rsidR="005422AF">
        <w:rPr>
          <w:rStyle w:val="FootnoteReference"/>
          <w:rFonts w:ascii="Arial" w:hAnsi="Arial" w:cs="Arial"/>
          <w:i/>
        </w:rPr>
        <w:footnoteReference w:id="17"/>
      </w:r>
      <w:r w:rsidR="0015780A">
        <w:rPr>
          <w:rFonts w:ascii="Arial" w:hAnsi="Arial" w:cs="Arial"/>
        </w:rPr>
        <w:t xml:space="preserve"> and, </w:t>
      </w:r>
      <w:r w:rsidR="00465CA2">
        <w:rPr>
          <w:rStyle w:val="t"/>
          <w:rFonts w:ascii="Arial" w:hAnsi="Arial" w:cs="Arial"/>
          <w:color w:val="000000"/>
          <w:spacing w:val="2"/>
          <w:bdr w:val="none" w:sz="0" w:space="0" w:color="auto" w:frame="1"/>
          <w:shd w:val="clear" w:color="auto" w:fill="FFFFFF"/>
        </w:rPr>
        <w:t>decided that the</w:t>
      </w:r>
      <w:r w:rsidR="00465CA2" w:rsidRPr="0015780A">
        <w:rPr>
          <w:rStyle w:val="t"/>
          <w:rFonts w:ascii="Arial" w:hAnsi="Arial" w:cs="Arial"/>
          <w:color w:val="000000"/>
          <w:spacing w:val="5"/>
          <w:bdr w:val="none" w:sz="0" w:space="0" w:color="auto" w:frame="1"/>
          <w:shd w:val="clear" w:color="auto" w:fill="FFFFFF"/>
        </w:rPr>
        <w:t xml:space="preserve"> goodwill of a professional practice cannot subsist by itself but must be attached to the practice. Where it is impossible to divide the</w:t>
      </w:r>
      <w:r w:rsidR="00465CA2">
        <w:rPr>
          <w:rStyle w:val="t"/>
          <w:rFonts w:ascii="Arial" w:hAnsi="Arial" w:cs="Arial"/>
          <w:color w:val="000000"/>
          <w:spacing w:val="5"/>
          <w:bdr w:val="none" w:sz="0" w:space="0" w:color="auto" w:frame="1"/>
          <w:shd w:val="clear" w:color="auto" w:fill="FFFFFF"/>
        </w:rPr>
        <w:t xml:space="preserve"> </w:t>
      </w:r>
      <w:r w:rsidR="00465CA2" w:rsidRPr="0015780A">
        <w:rPr>
          <w:rStyle w:val="t"/>
          <w:rFonts w:ascii="Arial" w:hAnsi="Arial" w:cs="Arial"/>
          <w:color w:val="000000"/>
          <w:spacing w:val="6"/>
          <w:bdr w:val="none" w:sz="0" w:space="0" w:color="auto" w:frame="1"/>
          <w:shd w:val="clear" w:color="auto" w:fill="FFFFFF"/>
        </w:rPr>
        <w:t>goodwill between the parties or to cause it to be auctioned and to have the</w:t>
      </w:r>
      <w:r w:rsidR="00465CA2">
        <w:rPr>
          <w:rStyle w:val="t"/>
          <w:rFonts w:ascii="Arial" w:hAnsi="Arial" w:cs="Arial"/>
          <w:color w:val="000000"/>
          <w:bdr w:val="none" w:sz="0" w:space="0" w:color="auto" w:frame="1"/>
          <w:shd w:val="clear" w:color="auto" w:fill="FFFFFF"/>
        </w:rPr>
        <w:t xml:space="preserve"> </w:t>
      </w:r>
      <w:r w:rsidR="00465CA2" w:rsidRPr="0015780A">
        <w:rPr>
          <w:rStyle w:val="t"/>
          <w:rFonts w:ascii="Arial" w:hAnsi="Arial" w:cs="Arial"/>
          <w:color w:val="000000"/>
          <w:spacing w:val="5"/>
          <w:bdr w:val="none" w:sz="0" w:space="0" w:color="auto" w:frame="1"/>
          <w:shd w:val="clear" w:color="auto" w:fill="FFFFFF"/>
        </w:rPr>
        <w:t>proceeds divided between the parties, the Court will place a</w:t>
      </w:r>
      <w:r w:rsidR="00465CA2">
        <w:rPr>
          <w:rStyle w:val="t"/>
          <w:rFonts w:ascii="Arial" w:hAnsi="Arial" w:cs="Arial"/>
          <w:color w:val="000000"/>
          <w:spacing w:val="5"/>
          <w:bdr w:val="none" w:sz="0" w:space="0" w:color="auto" w:frame="1"/>
          <w:shd w:val="clear" w:color="auto" w:fill="FFFFFF"/>
        </w:rPr>
        <w:t xml:space="preserve"> </w:t>
      </w:r>
      <w:r w:rsidR="00465CA2" w:rsidRPr="0015780A">
        <w:rPr>
          <w:rStyle w:val="t"/>
          <w:rFonts w:ascii="Arial" w:hAnsi="Arial" w:cs="Arial"/>
          <w:color w:val="000000"/>
          <w:spacing w:val="3"/>
          <w:bdr w:val="none" w:sz="0" w:space="0" w:color="auto" w:frame="1"/>
          <w:shd w:val="clear" w:color="auto" w:fill="FFFFFF"/>
        </w:rPr>
        <w:t>valuation on the goodwill, with due regard to the particular circumstances concerning its value at the date of dissolution, and order payment of</w:t>
      </w:r>
      <w:r w:rsidR="00465CA2">
        <w:rPr>
          <w:rStyle w:val="t"/>
          <w:rFonts w:ascii="Arial" w:hAnsi="Arial" w:cs="Arial"/>
          <w:color w:val="000000"/>
          <w:spacing w:val="3"/>
          <w:bdr w:val="none" w:sz="0" w:space="0" w:color="auto" w:frame="1"/>
          <w:shd w:val="clear" w:color="auto" w:fill="FFFFFF"/>
        </w:rPr>
        <w:t xml:space="preserve"> </w:t>
      </w:r>
      <w:r w:rsidR="00465CA2" w:rsidRPr="0015780A">
        <w:rPr>
          <w:rStyle w:val="t"/>
          <w:rFonts w:ascii="Arial" w:hAnsi="Arial" w:cs="Arial"/>
          <w:color w:val="000000"/>
          <w:spacing w:val="2"/>
          <w:bdr w:val="none" w:sz="0" w:space="0" w:color="auto" w:frame="1"/>
          <w:shd w:val="clear" w:color="auto" w:fill="FFFFFF"/>
        </w:rPr>
        <w:t>half that amount to the retiring partner.</w:t>
      </w:r>
      <w:r w:rsidR="00465CA2">
        <w:rPr>
          <w:rStyle w:val="t"/>
          <w:rFonts w:ascii="Arial" w:hAnsi="Arial" w:cs="Arial"/>
          <w:color w:val="000000"/>
          <w:spacing w:val="2"/>
          <w:bdr w:val="none" w:sz="0" w:space="0" w:color="auto" w:frame="1"/>
          <w:shd w:val="clear" w:color="auto" w:fill="FFFFFF"/>
        </w:rPr>
        <w:t xml:space="preserve"> </w:t>
      </w:r>
      <w:r w:rsidR="006F36D5">
        <w:rPr>
          <w:rFonts w:ascii="Arial" w:hAnsi="Arial" w:cs="Arial"/>
        </w:rPr>
        <w:t>O</w:t>
      </w:r>
      <w:r w:rsidR="0015780A">
        <w:rPr>
          <w:rFonts w:ascii="Arial" w:hAnsi="Arial" w:cs="Arial"/>
        </w:rPr>
        <w:t>n the facts of that matter,</w:t>
      </w:r>
      <w:r w:rsidR="006F36D5">
        <w:rPr>
          <w:rFonts w:ascii="Arial" w:hAnsi="Arial" w:cs="Arial"/>
        </w:rPr>
        <w:t xml:space="preserve"> the court then</w:t>
      </w:r>
      <w:r w:rsidR="0015780A">
        <w:rPr>
          <w:rFonts w:ascii="Arial" w:hAnsi="Arial" w:cs="Arial"/>
        </w:rPr>
        <w:t xml:space="preserve"> placed a value on the goodwill</w:t>
      </w:r>
      <w:r w:rsidR="0015780A">
        <w:rPr>
          <w:rStyle w:val="FootnoteReference"/>
          <w:rFonts w:ascii="Arial" w:hAnsi="Arial" w:cs="Arial"/>
        </w:rPr>
        <w:footnoteReference w:id="18"/>
      </w:r>
      <w:r w:rsidR="0015780A">
        <w:rPr>
          <w:rFonts w:ascii="Arial" w:hAnsi="Arial" w:cs="Arial"/>
        </w:rPr>
        <w:t xml:space="preserve"> and deducted an amount for the opening goodwill of the partnership.</w:t>
      </w:r>
    </w:p>
    <w:p w:rsidR="008F395F" w:rsidRDefault="00D254FC" w:rsidP="0015780A">
      <w:pPr>
        <w:widowControl/>
        <w:spacing w:before="320" w:line="480" w:lineRule="auto"/>
        <w:ind w:left="720" w:hanging="720"/>
        <w:jc w:val="both"/>
        <w:rPr>
          <w:rFonts w:ascii="Arial" w:hAnsi="Arial" w:cs="Arial"/>
        </w:rPr>
      </w:pPr>
      <w:r>
        <w:rPr>
          <w:rFonts w:ascii="Arial" w:hAnsi="Arial" w:cs="Arial"/>
        </w:rPr>
        <w:t>[</w:t>
      </w:r>
      <w:r w:rsidR="0073720F">
        <w:rPr>
          <w:rFonts w:ascii="Arial" w:hAnsi="Arial" w:cs="Arial"/>
        </w:rPr>
        <w:t>26</w:t>
      </w:r>
      <w:r w:rsidR="0015780A">
        <w:rPr>
          <w:rFonts w:ascii="Arial" w:hAnsi="Arial" w:cs="Arial"/>
        </w:rPr>
        <w:t>]</w:t>
      </w:r>
      <w:r w:rsidR="008F395F">
        <w:rPr>
          <w:rFonts w:ascii="Arial" w:hAnsi="Arial" w:cs="Arial"/>
        </w:rPr>
        <w:tab/>
        <w:t xml:space="preserve">The defendants argue that a similar adjustment should be made in this matter – this is that the </w:t>
      </w:r>
      <w:r w:rsidR="00984FE5">
        <w:rPr>
          <w:rFonts w:ascii="Arial" w:hAnsi="Arial" w:cs="Arial"/>
        </w:rPr>
        <w:t xml:space="preserve">deposit of R1,1 million should be deducted as an opening contribution by the defendants towards the purchase of this property. However, </w:t>
      </w:r>
      <w:r w:rsidR="00984FE5">
        <w:rPr>
          <w:rFonts w:ascii="Arial" w:hAnsi="Arial" w:cs="Arial"/>
        </w:rPr>
        <w:lastRenderedPageBreak/>
        <w:t xml:space="preserve">what this particular argument loses sight of is firstly that the </w:t>
      </w:r>
      <w:proofErr w:type="spellStart"/>
      <w:r w:rsidR="00963B42">
        <w:rPr>
          <w:rFonts w:ascii="Arial" w:hAnsi="Arial" w:cs="Arial"/>
          <w:i/>
        </w:rPr>
        <w:t>actio</w:t>
      </w:r>
      <w:proofErr w:type="spellEnd"/>
      <w:r w:rsidR="00984FE5">
        <w:rPr>
          <w:rFonts w:ascii="Arial" w:hAnsi="Arial" w:cs="Arial"/>
          <w:i/>
        </w:rPr>
        <w:t xml:space="preserve"> pro socio</w:t>
      </w:r>
      <w:r w:rsidR="00984FE5">
        <w:rPr>
          <w:rFonts w:ascii="Arial" w:hAnsi="Arial" w:cs="Arial"/>
        </w:rPr>
        <w:t xml:space="preserve"> cannot be used as a comparable remedy as its requirements differ, secondly that goodwill is an asset in a partnership and its value is relevant to the value of the partnership (which is not the case here).</w:t>
      </w:r>
    </w:p>
    <w:p w:rsidR="003A0B14" w:rsidRDefault="003A0B14" w:rsidP="0015780A">
      <w:pPr>
        <w:widowControl/>
        <w:spacing w:before="320" w:line="480" w:lineRule="auto"/>
        <w:ind w:left="720" w:hanging="720"/>
        <w:jc w:val="both"/>
        <w:rPr>
          <w:rFonts w:ascii="Arial" w:hAnsi="Arial" w:cs="Arial"/>
        </w:rPr>
      </w:pPr>
    </w:p>
    <w:p w:rsidR="003A0B14" w:rsidRDefault="00D254FC" w:rsidP="0015780A">
      <w:pPr>
        <w:widowControl/>
        <w:spacing w:before="320" w:line="480" w:lineRule="auto"/>
        <w:ind w:left="720" w:hanging="720"/>
        <w:jc w:val="both"/>
        <w:rPr>
          <w:rFonts w:ascii="Arial" w:hAnsi="Arial" w:cs="Arial"/>
        </w:rPr>
      </w:pPr>
      <w:r>
        <w:rPr>
          <w:rFonts w:ascii="Arial" w:hAnsi="Arial" w:cs="Arial"/>
        </w:rPr>
        <w:t>[</w:t>
      </w:r>
      <w:r w:rsidR="003A0B14">
        <w:rPr>
          <w:rFonts w:ascii="Arial" w:hAnsi="Arial" w:cs="Arial"/>
        </w:rPr>
        <w:t>27]</w:t>
      </w:r>
      <w:r w:rsidR="003A0B14">
        <w:rPr>
          <w:rFonts w:ascii="Arial" w:hAnsi="Arial" w:cs="Arial"/>
        </w:rPr>
        <w:tab/>
        <w:t xml:space="preserve">In </w:t>
      </w:r>
      <w:proofErr w:type="spellStart"/>
      <w:r w:rsidR="003A0B14">
        <w:rPr>
          <w:rFonts w:ascii="Arial" w:hAnsi="Arial" w:cs="Arial"/>
          <w:b/>
          <w:u w:val="single"/>
        </w:rPr>
        <w:t>Matadin</w:t>
      </w:r>
      <w:proofErr w:type="spellEnd"/>
      <w:r w:rsidR="003A0B14">
        <w:rPr>
          <w:rFonts w:ascii="Arial" w:hAnsi="Arial" w:cs="Arial"/>
          <w:b/>
          <w:u w:val="single"/>
        </w:rPr>
        <w:t xml:space="preserve"> v Parma and others</w:t>
      </w:r>
      <w:r w:rsidR="003A0B14" w:rsidRPr="003A0B14">
        <w:rPr>
          <w:rStyle w:val="FootnoteReference"/>
          <w:rFonts w:ascii="Arial" w:hAnsi="Arial" w:cs="Arial"/>
        </w:rPr>
        <w:footnoteReference w:id="19"/>
      </w:r>
      <w:r w:rsidR="003A0B14">
        <w:rPr>
          <w:rFonts w:ascii="Arial" w:hAnsi="Arial" w:cs="Arial"/>
          <w:b/>
        </w:rPr>
        <w:t xml:space="preserve"> </w:t>
      </w:r>
      <w:r w:rsidR="003A0B14">
        <w:rPr>
          <w:rFonts w:ascii="Arial" w:hAnsi="Arial" w:cs="Arial"/>
        </w:rPr>
        <w:t xml:space="preserve">the court restated the principles applicable to the </w:t>
      </w:r>
      <w:proofErr w:type="spellStart"/>
      <w:r w:rsidR="003A0B14">
        <w:rPr>
          <w:rFonts w:ascii="Arial" w:hAnsi="Arial" w:cs="Arial"/>
          <w:i/>
        </w:rPr>
        <w:t>actio</w:t>
      </w:r>
      <w:proofErr w:type="spellEnd"/>
      <w:r w:rsidR="003A0B14">
        <w:rPr>
          <w:rFonts w:ascii="Arial" w:hAnsi="Arial" w:cs="Arial"/>
          <w:i/>
        </w:rPr>
        <w:t xml:space="preserve"> </w:t>
      </w:r>
      <w:proofErr w:type="spellStart"/>
      <w:r w:rsidR="00A71E5C">
        <w:rPr>
          <w:rFonts w:ascii="Arial" w:hAnsi="Arial" w:cs="Arial"/>
          <w:i/>
        </w:rPr>
        <w:t>communi</w:t>
      </w:r>
      <w:proofErr w:type="spellEnd"/>
      <w:r w:rsidR="00A71E5C">
        <w:rPr>
          <w:rFonts w:ascii="Arial" w:hAnsi="Arial" w:cs="Arial"/>
          <w:i/>
        </w:rPr>
        <w:t xml:space="preserve"> </w:t>
      </w:r>
      <w:proofErr w:type="spellStart"/>
      <w:r w:rsidR="00A71E5C">
        <w:rPr>
          <w:rFonts w:ascii="Arial" w:hAnsi="Arial" w:cs="Arial"/>
          <w:i/>
        </w:rPr>
        <w:t>dividundo</w:t>
      </w:r>
      <w:proofErr w:type="spellEnd"/>
      <w:r w:rsidR="00A71E5C">
        <w:rPr>
          <w:rFonts w:ascii="Arial" w:hAnsi="Arial" w:cs="Arial"/>
          <w:i/>
        </w:rPr>
        <w:t xml:space="preserve"> </w:t>
      </w:r>
      <w:r w:rsidR="003A0B14">
        <w:rPr>
          <w:rFonts w:ascii="Arial" w:hAnsi="Arial" w:cs="Arial"/>
        </w:rPr>
        <w:t>and stated the following as regards the equitable division of the property:</w:t>
      </w:r>
    </w:p>
    <w:p w:rsidR="003A0B14" w:rsidRPr="003A0B14" w:rsidRDefault="003A0B14" w:rsidP="0015780A">
      <w:pPr>
        <w:widowControl/>
        <w:spacing w:before="320" w:line="480" w:lineRule="auto"/>
        <w:ind w:left="720" w:hanging="720"/>
        <w:jc w:val="both"/>
        <w:rPr>
          <w:rFonts w:ascii="Arial" w:hAnsi="Arial" w:cs="Arial"/>
          <w:i/>
        </w:rPr>
      </w:pPr>
      <w:r>
        <w:rPr>
          <w:rFonts w:ascii="Arial" w:hAnsi="Arial" w:cs="Arial"/>
        </w:rPr>
        <w:tab/>
      </w:r>
      <w:r>
        <w:rPr>
          <w:rFonts w:ascii="Arial" w:hAnsi="Arial" w:cs="Arial"/>
          <w:i/>
        </w:rPr>
        <w:t>“[9]</w:t>
      </w:r>
      <w:r>
        <w:rPr>
          <w:rFonts w:ascii="Arial" w:hAnsi="Arial" w:cs="Arial"/>
          <w:i/>
        </w:rPr>
        <w:tab/>
        <w:t xml:space="preserve">The question is whether any equitable adjustment needs to be made for the benefit to the first respondent and one of the daughters of the deceased having occupied the property, the receipt of rentals by the applicant and the claim by the applicant to have paid certain of the rates and that of the first respondent that the husband of the occupying daughter and she have paid </w:t>
      </w:r>
      <w:r w:rsidR="00922747">
        <w:rPr>
          <w:rFonts w:ascii="Arial" w:hAnsi="Arial" w:cs="Arial"/>
          <w:i/>
        </w:rPr>
        <w:t xml:space="preserve">municipal charges. The applicant, as co-owner, was clearly entitled to occupy a portion of the property. This she has done by way of the tenant occupying the outhouse and paying rentals to her. As regards the payment of expenses, there is not sufficient clarity on exactly how much has been paid by each party or in respect of what obligations the payments have been made on the papers. This is not a matter which requires oral evidence since the property is a modest one and the expense of such a course would in all probability take up all or most of the proceeds of the sale. In any event, neither party has requested such a measure. The courts, after all, have a wide discretion and I do not believe it </w:t>
      </w:r>
      <w:r w:rsidR="00922747">
        <w:rPr>
          <w:rFonts w:ascii="Arial" w:hAnsi="Arial" w:cs="Arial"/>
          <w:i/>
        </w:rPr>
        <w:lastRenderedPageBreak/>
        <w:t>necessary to make any adjustments in respect of expenses incurred or benefits of occupation enjoyed.”</w:t>
      </w:r>
    </w:p>
    <w:p w:rsidR="00A80E02" w:rsidRDefault="00D254FC" w:rsidP="00A80E02">
      <w:pPr>
        <w:widowControl/>
        <w:spacing w:before="320" w:line="480" w:lineRule="auto"/>
        <w:ind w:left="720" w:hanging="720"/>
        <w:jc w:val="both"/>
        <w:rPr>
          <w:rFonts w:ascii="Arial" w:hAnsi="Arial" w:cs="Arial"/>
        </w:rPr>
      </w:pPr>
      <w:r>
        <w:rPr>
          <w:rFonts w:ascii="Arial" w:hAnsi="Arial" w:cs="Arial"/>
        </w:rPr>
        <w:t>[</w:t>
      </w:r>
      <w:r w:rsidR="00A80E02">
        <w:rPr>
          <w:rFonts w:ascii="Arial" w:hAnsi="Arial" w:cs="Arial"/>
        </w:rPr>
        <w:t>28]</w:t>
      </w:r>
      <w:r w:rsidR="00A80E02">
        <w:rPr>
          <w:rFonts w:ascii="Arial" w:hAnsi="Arial" w:cs="Arial"/>
        </w:rPr>
        <w:tab/>
        <w:t>What is important here is the restatement of the principle that a court enjoys a wide discretion to order the distribution that it deems just and equitable.</w:t>
      </w:r>
    </w:p>
    <w:p w:rsidR="00A80E02" w:rsidRDefault="00D254FC" w:rsidP="00A80E02">
      <w:pPr>
        <w:widowControl/>
        <w:spacing w:before="320" w:line="480" w:lineRule="auto"/>
        <w:ind w:left="720" w:hanging="720"/>
        <w:jc w:val="both"/>
        <w:rPr>
          <w:rFonts w:ascii="Arial" w:hAnsi="Arial" w:cs="Arial"/>
        </w:rPr>
      </w:pPr>
      <w:r>
        <w:rPr>
          <w:rFonts w:ascii="Arial" w:hAnsi="Arial" w:cs="Arial"/>
        </w:rPr>
        <w:t>[</w:t>
      </w:r>
      <w:r w:rsidR="00A80E02">
        <w:rPr>
          <w:rFonts w:ascii="Arial" w:hAnsi="Arial" w:cs="Arial"/>
        </w:rPr>
        <w:t>29]</w:t>
      </w:r>
      <w:r w:rsidR="00A80E02">
        <w:rPr>
          <w:rFonts w:ascii="Arial" w:hAnsi="Arial" w:cs="Arial"/>
        </w:rPr>
        <w:tab/>
      </w:r>
      <w:r w:rsidR="0079795A">
        <w:rPr>
          <w:rFonts w:ascii="Arial" w:hAnsi="Arial" w:cs="Arial"/>
        </w:rPr>
        <w:t xml:space="preserve">The starting point of the present matter is whether the court should apply a 1/3; 1/3; 1/3 distribution ratio or a 50:50 </w:t>
      </w:r>
      <w:proofErr w:type="gramStart"/>
      <w:r w:rsidR="0079795A">
        <w:rPr>
          <w:rFonts w:ascii="Arial" w:hAnsi="Arial" w:cs="Arial"/>
        </w:rPr>
        <w:t>ratio</w:t>
      </w:r>
      <w:proofErr w:type="gramEnd"/>
      <w:r w:rsidR="0079795A">
        <w:rPr>
          <w:rFonts w:ascii="Arial" w:hAnsi="Arial" w:cs="Arial"/>
        </w:rPr>
        <w:t>.</w:t>
      </w:r>
    </w:p>
    <w:p w:rsidR="0079795A" w:rsidRDefault="0016056C" w:rsidP="00C3197C">
      <w:pPr>
        <w:pStyle w:val="ListParagraph"/>
        <w:widowControl/>
        <w:numPr>
          <w:ilvl w:val="0"/>
          <w:numId w:val="2"/>
        </w:numPr>
        <w:spacing w:before="320" w:line="480" w:lineRule="auto"/>
        <w:ind w:left="709" w:hanging="709"/>
        <w:jc w:val="both"/>
        <w:rPr>
          <w:rFonts w:ascii="Arial" w:hAnsi="Arial" w:cs="Arial"/>
        </w:rPr>
      </w:pPr>
      <w:r>
        <w:rPr>
          <w:rFonts w:ascii="Arial" w:hAnsi="Arial" w:cs="Arial"/>
        </w:rPr>
        <w:t xml:space="preserve">According to the defendants the 1/3 each ratio is </w:t>
      </w:r>
      <w:r w:rsidR="0079795A">
        <w:rPr>
          <w:rFonts w:ascii="Arial" w:hAnsi="Arial" w:cs="Arial"/>
        </w:rPr>
        <w:t xml:space="preserve">clear from the OTP and several </w:t>
      </w:r>
      <w:r w:rsidR="00B07920">
        <w:rPr>
          <w:rFonts w:ascii="Arial" w:hAnsi="Arial" w:cs="Arial"/>
        </w:rPr>
        <w:t>email</w:t>
      </w:r>
      <w:r w:rsidR="008B3744">
        <w:rPr>
          <w:rFonts w:ascii="Arial" w:hAnsi="Arial" w:cs="Arial"/>
        </w:rPr>
        <w:t>s</w:t>
      </w:r>
      <w:r w:rsidR="00B07920">
        <w:rPr>
          <w:rFonts w:ascii="Arial" w:hAnsi="Arial" w:cs="Arial"/>
        </w:rPr>
        <w:t xml:space="preserve"> between the plaintiff and 1</w:t>
      </w:r>
      <w:r w:rsidR="00B07920" w:rsidRPr="00B07920">
        <w:rPr>
          <w:rFonts w:ascii="Arial" w:hAnsi="Arial" w:cs="Arial"/>
          <w:vertAlign w:val="superscript"/>
        </w:rPr>
        <w:t>st</w:t>
      </w:r>
      <w:r w:rsidR="00B07920">
        <w:rPr>
          <w:rFonts w:ascii="Arial" w:hAnsi="Arial" w:cs="Arial"/>
        </w:rPr>
        <w:t xml:space="preserve"> defendant starting with</w:t>
      </w:r>
      <w:r w:rsidR="008B3744">
        <w:rPr>
          <w:rFonts w:ascii="Arial" w:hAnsi="Arial" w:cs="Arial"/>
        </w:rPr>
        <w:t xml:space="preserve"> the plaintiff’s </w:t>
      </w:r>
      <w:r w:rsidR="00B07920">
        <w:rPr>
          <w:rFonts w:ascii="Arial" w:hAnsi="Arial" w:cs="Arial"/>
        </w:rPr>
        <w:t>request on 19 April 2016 to sell the Property</w:t>
      </w:r>
      <w:r>
        <w:rPr>
          <w:rFonts w:ascii="Arial" w:hAnsi="Arial" w:cs="Arial"/>
        </w:rPr>
        <w:t xml:space="preserve"> (as she was struggling </w:t>
      </w:r>
      <w:r w:rsidR="00B07920">
        <w:rPr>
          <w:rFonts w:ascii="Arial" w:hAnsi="Arial" w:cs="Arial"/>
        </w:rPr>
        <w:t>to obtain financing to purchase a property in the Western Cape because of her existing obligation</w:t>
      </w:r>
      <w:r>
        <w:rPr>
          <w:rFonts w:ascii="Arial" w:hAnsi="Arial" w:cs="Arial"/>
        </w:rPr>
        <w:t>s</w:t>
      </w:r>
      <w:r w:rsidR="00B07920">
        <w:rPr>
          <w:rStyle w:val="FootnoteReference"/>
          <w:rFonts w:ascii="Arial" w:hAnsi="Arial" w:cs="Arial"/>
        </w:rPr>
        <w:footnoteReference w:id="20"/>
      </w:r>
      <w:r>
        <w:rPr>
          <w:rFonts w:ascii="Arial" w:hAnsi="Arial" w:cs="Arial"/>
        </w:rPr>
        <w:t>)</w:t>
      </w:r>
      <w:r w:rsidR="00E646D7">
        <w:rPr>
          <w:rFonts w:ascii="Arial" w:hAnsi="Arial" w:cs="Arial"/>
        </w:rPr>
        <w:t>. Her reques</w:t>
      </w:r>
      <w:r w:rsidR="002F3CE3">
        <w:rPr>
          <w:rFonts w:ascii="Arial" w:hAnsi="Arial" w:cs="Arial"/>
        </w:rPr>
        <w:t xml:space="preserve">t to sell was met by </w:t>
      </w:r>
      <w:r w:rsidR="00E646D7">
        <w:rPr>
          <w:rFonts w:ascii="Arial" w:hAnsi="Arial" w:cs="Arial"/>
        </w:rPr>
        <w:t>the following email from the 1</w:t>
      </w:r>
      <w:r w:rsidR="00E646D7" w:rsidRPr="00E646D7">
        <w:rPr>
          <w:rFonts w:ascii="Arial" w:hAnsi="Arial" w:cs="Arial"/>
          <w:vertAlign w:val="superscript"/>
        </w:rPr>
        <w:t>st</w:t>
      </w:r>
      <w:r w:rsidR="00E646D7">
        <w:rPr>
          <w:rFonts w:ascii="Arial" w:hAnsi="Arial" w:cs="Arial"/>
        </w:rPr>
        <w:t xml:space="preserve"> defendant dated 14 May 2016:</w:t>
      </w:r>
    </w:p>
    <w:p w:rsidR="0031271C" w:rsidRDefault="0031271C" w:rsidP="00E646D7">
      <w:pPr>
        <w:pStyle w:val="ListParagraph"/>
        <w:widowControl/>
        <w:spacing w:before="320" w:line="480" w:lineRule="auto"/>
        <w:ind w:left="709"/>
        <w:jc w:val="both"/>
        <w:rPr>
          <w:rFonts w:ascii="Arial" w:hAnsi="Arial" w:cs="Arial"/>
          <w:i/>
        </w:rPr>
      </w:pPr>
    </w:p>
    <w:p w:rsidR="00E646D7" w:rsidRPr="002F5D28" w:rsidRDefault="00E646D7" w:rsidP="00E646D7">
      <w:pPr>
        <w:pStyle w:val="ListParagraph"/>
        <w:widowControl/>
        <w:spacing w:before="320" w:line="480" w:lineRule="auto"/>
        <w:ind w:left="709"/>
        <w:jc w:val="both"/>
        <w:rPr>
          <w:rFonts w:ascii="Arial" w:hAnsi="Arial" w:cs="Arial"/>
          <w:u w:val="single"/>
        </w:rPr>
      </w:pPr>
      <w:r w:rsidRPr="0016056C">
        <w:rPr>
          <w:rFonts w:ascii="Arial" w:hAnsi="Arial" w:cs="Arial"/>
          <w:i/>
        </w:rPr>
        <w:t xml:space="preserve">“…… </w:t>
      </w:r>
      <w:proofErr w:type="spellStart"/>
      <w:r w:rsidRPr="0016056C">
        <w:rPr>
          <w:rFonts w:ascii="Arial" w:hAnsi="Arial" w:cs="Arial"/>
          <w:i/>
        </w:rPr>
        <w:t>Tog</w:t>
      </w:r>
      <w:proofErr w:type="spellEnd"/>
      <w:r w:rsidRPr="0016056C">
        <w:rPr>
          <w:rFonts w:ascii="Arial" w:hAnsi="Arial" w:cs="Arial"/>
          <w:i/>
        </w:rPr>
        <w:t xml:space="preserve"> stem </w:t>
      </w:r>
      <w:proofErr w:type="spellStart"/>
      <w:r w:rsidRPr="0016056C">
        <w:rPr>
          <w:rFonts w:ascii="Arial" w:hAnsi="Arial" w:cs="Arial"/>
          <w:i/>
        </w:rPr>
        <w:t>ek</w:t>
      </w:r>
      <w:proofErr w:type="spellEnd"/>
      <w:r w:rsidRPr="0016056C">
        <w:rPr>
          <w:rFonts w:ascii="Arial" w:hAnsi="Arial" w:cs="Arial"/>
          <w:i/>
        </w:rPr>
        <w:t xml:space="preserve"> </w:t>
      </w:r>
      <w:proofErr w:type="spellStart"/>
      <w:r w:rsidRPr="0016056C">
        <w:rPr>
          <w:rFonts w:ascii="Arial" w:hAnsi="Arial" w:cs="Arial"/>
          <w:i/>
        </w:rPr>
        <w:t>saam</w:t>
      </w:r>
      <w:proofErr w:type="spellEnd"/>
      <w:r w:rsidRPr="0016056C">
        <w:rPr>
          <w:rFonts w:ascii="Arial" w:hAnsi="Arial" w:cs="Arial"/>
          <w:i/>
        </w:rPr>
        <w:t xml:space="preserve"> </w:t>
      </w:r>
      <w:proofErr w:type="spellStart"/>
      <w:r w:rsidRPr="0016056C">
        <w:rPr>
          <w:rFonts w:ascii="Arial" w:hAnsi="Arial" w:cs="Arial"/>
          <w:i/>
        </w:rPr>
        <w:t>dat</w:t>
      </w:r>
      <w:proofErr w:type="spellEnd"/>
      <w:r w:rsidRPr="0016056C">
        <w:rPr>
          <w:rFonts w:ascii="Arial" w:hAnsi="Arial" w:cs="Arial"/>
          <w:i/>
        </w:rPr>
        <w:t xml:space="preserve"> die </w:t>
      </w:r>
      <w:proofErr w:type="spellStart"/>
      <w:r w:rsidRPr="0016056C">
        <w:rPr>
          <w:rFonts w:ascii="Arial" w:hAnsi="Arial" w:cs="Arial"/>
          <w:i/>
        </w:rPr>
        <w:t>besluit</w:t>
      </w:r>
      <w:proofErr w:type="spellEnd"/>
      <w:r w:rsidRPr="0016056C">
        <w:rPr>
          <w:rFonts w:ascii="Arial" w:hAnsi="Arial" w:cs="Arial"/>
          <w:i/>
        </w:rPr>
        <w:t xml:space="preserve"> </w:t>
      </w:r>
      <w:r w:rsidR="00F23A23" w:rsidRPr="0016056C">
        <w:rPr>
          <w:rFonts w:ascii="Arial" w:hAnsi="Arial" w:cs="Arial"/>
          <w:i/>
        </w:rPr>
        <w:t>om</w:t>
      </w:r>
      <w:r w:rsidR="00021643" w:rsidRPr="0016056C">
        <w:rPr>
          <w:rFonts w:ascii="Arial" w:hAnsi="Arial" w:cs="Arial"/>
          <w:i/>
        </w:rPr>
        <w:t xml:space="preserve"> n</w:t>
      </w:r>
      <w:r w:rsidRPr="0016056C">
        <w:rPr>
          <w:rFonts w:ascii="Arial" w:hAnsi="Arial" w:cs="Arial"/>
          <w:i/>
        </w:rPr>
        <w:t xml:space="preserve"> </w:t>
      </w:r>
      <w:proofErr w:type="spellStart"/>
      <w:r w:rsidRPr="0016056C">
        <w:rPr>
          <w:rFonts w:ascii="Arial" w:hAnsi="Arial" w:cs="Arial"/>
          <w:i/>
        </w:rPr>
        <w:t>derde</w:t>
      </w:r>
      <w:proofErr w:type="spellEnd"/>
      <w:r w:rsidRPr="0016056C">
        <w:rPr>
          <w:rFonts w:ascii="Arial" w:hAnsi="Arial" w:cs="Arial"/>
          <w:i/>
        </w:rPr>
        <w:t xml:space="preserve"> </w:t>
      </w:r>
      <w:proofErr w:type="spellStart"/>
      <w:r w:rsidRPr="0016056C">
        <w:rPr>
          <w:rFonts w:ascii="Arial" w:hAnsi="Arial" w:cs="Arial"/>
          <w:i/>
        </w:rPr>
        <w:t>aandeel</w:t>
      </w:r>
      <w:proofErr w:type="spellEnd"/>
      <w:r w:rsidR="00021643" w:rsidRPr="0016056C">
        <w:rPr>
          <w:rFonts w:ascii="Arial" w:hAnsi="Arial" w:cs="Arial"/>
          <w:i/>
        </w:rPr>
        <w:t xml:space="preserve"> </w:t>
      </w:r>
      <w:proofErr w:type="spellStart"/>
      <w:r w:rsidR="00021643" w:rsidRPr="0016056C">
        <w:rPr>
          <w:rFonts w:ascii="Arial" w:hAnsi="Arial" w:cs="Arial"/>
          <w:i/>
        </w:rPr>
        <w:t>aan</w:t>
      </w:r>
      <w:proofErr w:type="spellEnd"/>
      <w:r w:rsidR="00021643" w:rsidRPr="0016056C">
        <w:rPr>
          <w:rFonts w:ascii="Arial" w:hAnsi="Arial" w:cs="Arial"/>
          <w:i/>
        </w:rPr>
        <w:t xml:space="preserve"> </w:t>
      </w:r>
      <w:proofErr w:type="spellStart"/>
      <w:r w:rsidR="00021643" w:rsidRPr="0016056C">
        <w:rPr>
          <w:rFonts w:ascii="Arial" w:hAnsi="Arial" w:cs="Arial"/>
          <w:i/>
        </w:rPr>
        <w:t>jou</w:t>
      </w:r>
      <w:proofErr w:type="spellEnd"/>
      <w:r w:rsidR="00021643" w:rsidRPr="0016056C">
        <w:rPr>
          <w:rFonts w:ascii="Arial" w:hAnsi="Arial" w:cs="Arial"/>
          <w:i/>
        </w:rPr>
        <w:t xml:space="preserve"> </w:t>
      </w:r>
      <w:proofErr w:type="spellStart"/>
      <w:r w:rsidR="00021643" w:rsidRPr="0016056C">
        <w:rPr>
          <w:rFonts w:ascii="Arial" w:hAnsi="Arial" w:cs="Arial"/>
          <w:i/>
        </w:rPr>
        <w:t>te</w:t>
      </w:r>
      <w:proofErr w:type="spellEnd"/>
      <w:r w:rsidR="00021643" w:rsidRPr="0016056C">
        <w:rPr>
          <w:rFonts w:ascii="Arial" w:hAnsi="Arial" w:cs="Arial"/>
          <w:i/>
        </w:rPr>
        <w:t xml:space="preserve"> </w:t>
      </w:r>
      <w:proofErr w:type="spellStart"/>
      <w:r w:rsidR="00021643" w:rsidRPr="0016056C">
        <w:rPr>
          <w:rFonts w:ascii="Arial" w:hAnsi="Arial" w:cs="Arial"/>
          <w:i/>
        </w:rPr>
        <w:t>registreer</w:t>
      </w:r>
      <w:proofErr w:type="spellEnd"/>
      <w:r w:rsidR="00021643" w:rsidRPr="0016056C">
        <w:rPr>
          <w:rFonts w:ascii="Arial" w:hAnsi="Arial" w:cs="Arial"/>
          <w:i/>
        </w:rPr>
        <w:t xml:space="preserve"> tans die </w:t>
      </w:r>
      <w:proofErr w:type="spellStart"/>
      <w:r w:rsidR="00021643" w:rsidRPr="0016056C">
        <w:rPr>
          <w:rFonts w:ascii="Arial" w:hAnsi="Arial" w:cs="Arial"/>
          <w:i/>
        </w:rPr>
        <w:t>verkeerde</w:t>
      </w:r>
      <w:proofErr w:type="spellEnd"/>
      <w:r w:rsidR="00021643" w:rsidRPr="0016056C">
        <w:rPr>
          <w:rFonts w:ascii="Arial" w:hAnsi="Arial" w:cs="Arial"/>
          <w:i/>
        </w:rPr>
        <w:t xml:space="preserve"> </w:t>
      </w:r>
      <w:proofErr w:type="spellStart"/>
      <w:r w:rsidR="00021643" w:rsidRPr="0016056C">
        <w:rPr>
          <w:rFonts w:ascii="Arial" w:hAnsi="Arial" w:cs="Arial"/>
          <w:i/>
        </w:rPr>
        <w:t>besluit</w:t>
      </w:r>
      <w:proofErr w:type="spellEnd"/>
      <w:r w:rsidR="00021643" w:rsidRPr="0016056C">
        <w:rPr>
          <w:rFonts w:ascii="Arial" w:hAnsi="Arial" w:cs="Arial"/>
          <w:i/>
        </w:rPr>
        <w:t xml:space="preserve"> was </w:t>
      </w:r>
      <w:proofErr w:type="spellStart"/>
      <w:r w:rsidR="00021643" w:rsidRPr="002F5D28">
        <w:rPr>
          <w:rFonts w:ascii="Arial" w:hAnsi="Arial" w:cs="Arial"/>
          <w:i/>
          <w:u w:val="single"/>
        </w:rPr>
        <w:t>aangesien</w:t>
      </w:r>
      <w:proofErr w:type="spellEnd"/>
      <w:r w:rsidR="00021643" w:rsidRPr="002F5D28">
        <w:rPr>
          <w:rFonts w:ascii="Arial" w:hAnsi="Arial" w:cs="Arial"/>
          <w:i/>
          <w:u w:val="single"/>
        </w:rPr>
        <w:t xml:space="preserve"> die </w:t>
      </w:r>
      <w:proofErr w:type="spellStart"/>
      <w:r w:rsidR="00021643" w:rsidRPr="002F5D28">
        <w:rPr>
          <w:rFonts w:ascii="Arial" w:hAnsi="Arial" w:cs="Arial"/>
          <w:i/>
          <w:u w:val="single"/>
        </w:rPr>
        <w:t>beginsel</w:t>
      </w:r>
      <w:proofErr w:type="spellEnd"/>
      <w:r w:rsidR="00021643" w:rsidRPr="002F5D28">
        <w:rPr>
          <w:rFonts w:ascii="Arial" w:hAnsi="Arial" w:cs="Arial"/>
          <w:i/>
          <w:u w:val="single"/>
        </w:rPr>
        <w:t xml:space="preserve"> </w:t>
      </w:r>
      <w:proofErr w:type="spellStart"/>
      <w:r w:rsidR="00021643" w:rsidRPr="002F5D28">
        <w:rPr>
          <w:rFonts w:ascii="Arial" w:hAnsi="Arial" w:cs="Arial"/>
          <w:i/>
          <w:u w:val="single"/>
        </w:rPr>
        <w:t>uiters</w:t>
      </w:r>
      <w:proofErr w:type="spellEnd"/>
      <w:r w:rsidR="00021643" w:rsidRPr="002F5D28">
        <w:rPr>
          <w:rFonts w:ascii="Arial" w:hAnsi="Arial" w:cs="Arial"/>
          <w:i/>
          <w:u w:val="single"/>
        </w:rPr>
        <w:t xml:space="preserve"> </w:t>
      </w:r>
      <w:proofErr w:type="spellStart"/>
      <w:r w:rsidR="00021643" w:rsidRPr="002F5D28">
        <w:rPr>
          <w:rFonts w:ascii="Arial" w:hAnsi="Arial" w:cs="Arial"/>
          <w:i/>
          <w:u w:val="single"/>
        </w:rPr>
        <w:t>eensydig</w:t>
      </w:r>
      <w:proofErr w:type="spellEnd"/>
      <w:r w:rsidR="00021643" w:rsidRPr="002F5D28">
        <w:rPr>
          <w:rFonts w:ascii="Arial" w:hAnsi="Arial" w:cs="Arial"/>
          <w:i/>
          <w:u w:val="single"/>
        </w:rPr>
        <w:t xml:space="preserve"> van </w:t>
      </w:r>
      <w:proofErr w:type="spellStart"/>
      <w:r w:rsidR="00021643" w:rsidRPr="002F5D28">
        <w:rPr>
          <w:rFonts w:ascii="Arial" w:hAnsi="Arial" w:cs="Arial"/>
          <w:i/>
          <w:u w:val="single"/>
        </w:rPr>
        <w:t>aard</w:t>
      </w:r>
      <w:proofErr w:type="spellEnd"/>
      <w:r w:rsidR="00021643" w:rsidRPr="002F5D28">
        <w:rPr>
          <w:rFonts w:ascii="Arial" w:hAnsi="Arial" w:cs="Arial"/>
          <w:i/>
          <w:u w:val="single"/>
        </w:rPr>
        <w:t xml:space="preserve"> is</w:t>
      </w:r>
      <w:proofErr w:type="gramStart"/>
      <w:r w:rsidR="00021643" w:rsidRPr="002F5D28">
        <w:rPr>
          <w:rFonts w:ascii="Arial" w:hAnsi="Arial" w:cs="Arial"/>
          <w:i/>
          <w:u w:val="single"/>
        </w:rPr>
        <w:t>…..</w:t>
      </w:r>
      <w:proofErr w:type="gramEnd"/>
      <w:r w:rsidR="00021643" w:rsidRPr="002F5D28">
        <w:rPr>
          <w:rFonts w:ascii="Arial" w:hAnsi="Arial" w:cs="Arial"/>
          <w:i/>
          <w:u w:val="single"/>
        </w:rPr>
        <w:t>”</w:t>
      </w:r>
      <w:r w:rsidR="002F5D28">
        <w:rPr>
          <w:rFonts w:ascii="Arial" w:hAnsi="Arial" w:cs="Arial"/>
          <w:u w:val="single"/>
        </w:rPr>
        <w:t xml:space="preserve"> </w:t>
      </w:r>
      <w:r w:rsidR="002F5D28" w:rsidRPr="002F5D28">
        <w:rPr>
          <w:rFonts w:ascii="Arial" w:hAnsi="Arial" w:cs="Arial"/>
        </w:rPr>
        <w:t>(my underlining)</w:t>
      </w:r>
    </w:p>
    <w:p w:rsidR="0031271C" w:rsidRDefault="00021643" w:rsidP="0031271C">
      <w:pPr>
        <w:widowControl/>
        <w:spacing w:before="320" w:after="240" w:line="480" w:lineRule="auto"/>
        <w:ind w:left="709"/>
        <w:jc w:val="both"/>
        <w:rPr>
          <w:rFonts w:ascii="Arial" w:hAnsi="Arial" w:cs="Arial"/>
        </w:rPr>
      </w:pPr>
      <w:r w:rsidRPr="0031271C">
        <w:rPr>
          <w:rFonts w:ascii="Arial" w:hAnsi="Arial" w:cs="Arial"/>
        </w:rPr>
        <w:t>Other than the evidence that plaintiff simply accepted the 1</w:t>
      </w:r>
      <w:r w:rsidRPr="0031271C">
        <w:rPr>
          <w:rFonts w:ascii="Arial" w:hAnsi="Arial" w:cs="Arial"/>
          <w:vertAlign w:val="superscript"/>
        </w:rPr>
        <w:t>st</w:t>
      </w:r>
      <w:r w:rsidRPr="0031271C">
        <w:rPr>
          <w:rFonts w:ascii="Arial" w:hAnsi="Arial" w:cs="Arial"/>
        </w:rPr>
        <w:t xml:space="preserve"> defendant’s word </w:t>
      </w:r>
      <w:r w:rsidR="0031271C">
        <w:rPr>
          <w:rFonts w:ascii="Arial" w:hAnsi="Arial" w:cs="Arial"/>
        </w:rPr>
        <w:t>that she held</w:t>
      </w:r>
      <w:r w:rsidRPr="0031271C">
        <w:rPr>
          <w:rFonts w:ascii="Arial" w:hAnsi="Arial" w:cs="Arial"/>
        </w:rPr>
        <w:t xml:space="preserve"> a 1/3 share</w:t>
      </w:r>
      <w:r w:rsidR="0031271C">
        <w:rPr>
          <w:rFonts w:ascii="Arial" w:hAnsi="Arial" w:cs="Arial"/>
        </w:rPr>
        <w:t xml:space="preserve"> in the Property</w:t>
      </w:r>
      <w:r w:rsidRPr="0031271C">
        <w:rPr>
          <w:rFonts w:ascii="Arial" w:hAnsi="Arial" w:cs="Arial"/>
        </w:rPr>
        <w:t>, the remainder of that sent</w:t>
      </w:r>
      <w:r w:rsidR="00F23A23" w:rsidRPr="0031271C">
        <w:rPr>
          <w:rFonts w:ascii="Arial" w:hAnsi="Arial" w:cs="Arial"/>
        </w:rPr>
        <w:t>ence</w:t>
      </w:r>
      <w:r w:rsidR="002F5D28">
        <w:rPr>
          <w:rFonts w:ascii="Arial" w:hAnsi="Arial" w:cs="Arial"/>
        </w:rPr>
        <w:t xml:space="preserve"> (as underlined by me)</w:t>
      </w:r>
      <w:r w:rsidRPr="0031271C">
        <w:rPr>
          <w:rFonts w:ascii="Arial" w:hAnsi="Arial" w:cs="Arial"/>
        </w:rPr>
        <w:t xml:space="preserve"> was not explained.</w:t>
      </w:r>
      <w:r w:rsidR="002F3CE3" w:rsidRPr="0031271C">
        <w:rPr>
          <w:rFonts w:ascii="Arial" w:hAnsi="Arial" w:cs="Arial"/>
        </w:rPr>
        <w:t xml:space="preserve"> </w:t>
      </w:r>
    </w:p>
    <w:p w:rsidR="0031271C" w:rsidRDefault="0031271C" w:rsidP="0031271C">
      <w:pPr>
        <w:widowControl/>
        <w:spacing w:before="320" w:after="240" w:line="480" w:lineRule="auto"/>
        <w:jc w:val="both"/>
        <w:rPr>
          <w:rFonts w:ascii="Arial" w:hAnsi="Arial" w:cs="Arial"/>
        </w:rPr>
      </w:pPr>
    </w:p>
    <w:p w:rsidR="00556307" w:rsidRPr="0031271C" w:rsidRDefault="00A8329B" w:rsidP="0031271C">
      <w:pPr>
        <w:widowControl/>
        <w:spacing w:before="320" w:after="240" w:line="480" w:lineRule="auto"/>
        <w:ind w:left="709" w:hanging="709"/>
        <w:jc w:val="both"/>
        <w:rPr>
          <w:rFonts w:ascii="Arial" w:hAnsi="Arial" w:cs="Arial"/>
        </w:rPr>
      </w:pPr>
      <w:r>
        <w:rPr>
          <w:rFonts w:ascii="Arial" w:hAnsi="Arial" w:cs="Arial"/>
        </w:rPr>
        <w:lastRenderedPageBreak/>
        <w:t>[</w:t>
      </w:r>
      <w:r w:rsidR="0031271C">
        <w:rPr>
          <w:rFonts w:ascii="Arial" w:hAnsi="Arial" w:cs="Arial"/>
        </w:rPr>
        <w:t>31]</w:t>
      </w:r>
      <w:r w:rsidR="0031271C">
        <w:rPr>
          <w:rFonts w:ascii="Arial" w:hAnsi="Arial" w:cs="Arial"/>
        </w:rPr>
        <w:tab/>
      </w:r>
      <w:r w:rsidR="002F3CE3" w:rsidRPr="0031271C">
        <w:rPr>
          <w:rFonts w:ascii="Arial" w:hAnsi="Arial" w:cs="Arial"/>
        </w:rPr>
        <w:t xml:space="preserve">The plaintiffs evidence was that all subsequent correspondence and her additional letters and the </w:t>
      </w:r>
      <w:r w:rsidR="0031271C">
        <w:rPr>
          <w:rFonts w:ascii="Arial" w:hAnsi="Arial" w:cs="Arial"/>
        </w:rPr>
        <w:t xml:space="preserve">pre-amended </w:t>
      </w:r>
      <w:r w:rsidR="002F3CE3" w:rsidRPr="0031271C">
        <w:rPr>
          <w:rFonts w:ascii="Arial" w:hAnsi="Arial" w:cs="Arial"/>
        </w:rPr>
        <w:t>Particulars of Claim were based on the understanding (as informed by 1</w:t>
      </w:r>
      <w:r w:rsidR="00556307" w:rsidRPr="0031271C">
        <w:rPr>
          <w:rFonts w:ascii="Arial" w:hAnsi="Arial" w:cs="Arial"/>
          <w:vertAlign w:val="superscript"/>
        </w:rPr>
        <w:t>st</w:t>
      </w:r>
      <w:r w:rsidR="00556307" w:rsidRPr="0031271C">
        <w:rPr>
          <w:rFonts w:ascii="Arial" w:hAnsi="Arial" w:cs="Arial"/>
        </w:rPr>
        <w:t xml:space="preserve"> defendant) that she held a 1/3 share in the Property. It was only when she was shown the Title Deed, and received legal advice, that she </w:t>
      </w:r>
      <w:proofErr w:type="spellStart"/>
      <w:r w:rsidR="00F553B3" w:rsidRPr="0031271C">
        <w:rPr>
          <w:rFonts w:ascii="Arial" w:hAnsi="Arial" w:cs="Arial"/>
        </w:rPr>
        <w:t>realis</w:t>
      </w:r>
      <w:r w:rsidR="00556307" w:rsidRPr="0031271C">
        <w:rPr>
          <w:rFonts w:ascii="Arial" w:hAnsi="Arial" w:cs="Arial"/>
        </w:rPr>
        <w:t>ed</w:t>
      </w:r>
      <w:proofErr w:type="spellEnd"/>
      <w:r w:rsidR="00556307" w:rsidRPr="0031271C">
        <w:rPr>
          <w:rFonts w:ascii="Arial" w:hAnsi="Arial" w:cs="Arial"/>
        </w:rPr>
        <w:t xml:space="preserve"> her share was in fact, 50%. </w:t>
      </w:r>
    </w:p>
    <w:p w:rsidR="00827B71" w:rsidRDefault="00A8329B" w:rsidP="00827B71">
      <w:pPr>
        <w:widowControl/>
        <w:spacing w:before="320" w:after="240" w:line="480" w:lineRule="auto"/>
        <w:ind w:left="709" w:hanging="709"/>
        <w:jc w:val="both"/>
        <w:rPr>
          <w:rFonts w:ascii="Arial" w:hAnsi="Arial" w:cs="Arial"/>
        </w:rPr>
      </w:pPr>
      <w:r>
        <w:rPr>
          <w:rFonts w:ascii="Arial" w:hAnsi="Arial" w:cs="Arial"/>
        </w:rPr>
        <w:t>[</w:t>
      </w:r>
      <w:r w:rsidR="00827B71">
        <w:rPr>
          <w:rFonts w:ascii="Arial" w:hAnsi="Arial" w:cs="Arial"/>
        </w:rPr>
        <w:t>32]</w:t>
      </w:r>
      <w:r w:rsidR="00827B71">
        <w:rPr>
          <w:rFonts w:ascii="Arial" w:hAnsi="Arial" w:cs="Arial"/>
        </w:rPr>
        <w:tab/>
      </w:r>
      <w:r w:rsidR="00556307" w:rsidRPr="00827B71">
        <w:rPr>
          <w:rFonts w:ascii="Arial" w:hAnsi="Arial" w:cs="Arial"/>
        </w:rPr>
        <w:t xml:space="preserve">There is no evidence before me as to how the </w:t>
      </w:r>
      <w:r w:rsidR="00D45EAF">
        <w:rPr>
          <w:rFonts w:ascii="Arial" w:hAnsi="Arial" w:cs="Arial"/>
        </w:rPr>
        <w:t xml:space="preserve">alleged </w:t>
      </w:r>
      <w:r w:rsidR="00556307" w:rsidRPr="00827B71">
        <w:rPr>
          <w:rFonts w:ascii="Arial" w:hAnsi="Arial" w:cs="Arial"/>
        </w:rPr>
        <w:t>arrangement and</w:t>
      </w:r>
      <w:r w:rsidR="00D45EAF">
        <w:rPr>
          <w:rFonts w:ascii="Arial" w:hAnsi="Arial" w:cs="Arial"/>
        </w:rPr>
        <w:t xml:space="preserve"> alleged</w:t>
      </w:r>
      <w:r w:rsidR="00556307" w:rsidRPr="00827B71">
        <w:rPr>
          <w:rFonts w:ascii="Arial" w:hAnsi="Arial" w:cs="Arial"/>
        </w:rPr>
        <w:t xml:space="preserve"> agreement regarding the 1/3 </w:t>
      </w:r>
      <w:r w:rsidR="00D45EAF">
        <w:rPr>
          <w:rFonts w:ascii="Arial" w:hAnsi="Arial" w:cs="Arial"/>
        </w:rPr>
        <w:t xml:space="preserve">ownership/division </w:t>
      </w:r>
      <w:r w:rsidR="00556307" w:rsidRPr="00827B71">
        <w:rPr>
          <w:rFonts w:ascii="Arial" w:hAnsi="Arial" w:cs="Arial"/>
        </w:rPr>
        <w:t xml:space="preserve">came about. There is also no evidence before me as to why this was not </w:t>
      </w:r>
      <w:r w:rsidR="0031271C" w:rsidRPr="00827B71">
        <w:rPr>
          <w:rFonts w:ascii="Arial" w:hAnsi="Arial" w:cs="Arial"/>
        </w:rPr>
        <w:t>specified in either the OTP or</w:t>
      </w:r>
      <w:r w:rsidR="00556307" w:rsidRPr="00827B71">
        <w:rPr>
          <w:rFonts w:ascii="Arial" w:hAnsi="Arial" w:cs="Arial"/>
        </w:rPr>
        <w:t xml:space="preserve"> in the Title Deed</w:t>
      </w:r>
      <w:r w:rsidR="00F553B3" w:rsidRPr="00827B71">
        <w:rPr>
          <w:rFonts w:ascii="Arial" w:hAnsi="Arial" w:cs="Arial"/>
        </w:rPr>
        <w:t>.</w:t>
      </w:r>
    </w:p>
    <w:p w:rsidR="00E646D7" w:rsidRPr="00827B71" w:rsidRDefault="00A8329B" w:rsidP="00827B71">
      <w:pPr>
        <w:widowControl/>
        <w:spacing w:before="320" w:after="240" w:line="480" w:lineRule="auto"/>
        <w:ind w:left="709" w:hanging="709"/>
        <w:jc w:val="both"/>
        <w:rPr>
          <w:rFonts w:ascii="Arial" w:hAnsi="Arial" w:cs="Arial"/>
        </w:rPr>
      </w:pPr>
      <w:r>
        <w:rPr>
          <w:rFonts w:ascii="Arial" w:hAnsi="Arial" w:cs="Arial"/>
        </w:rPr>
        <w:t>[</w:t>
      </w:r>
      <w:r w:rsidR="00827B71">
        <w:rPr>
          <w:rFonts w:ascii="Arial" w:hAnsi="Arial" w:cs="Arial"/>
        </w:rPr>
        <w:t>33]</w:t>
      </w:r>
      <w:r w:rsidR="00827B71">
        <w:rPr>
          <w:rFonts w:ascii="Arial" w:hAnsi="Arial" w:cs="Arial"/>
        </w:rPr>
        <w:tab/>
        <w:t>I</w:t>
      </w:r>
      <w:r w:rsidR="00556307" w:rsidRPr="00827B71">
        <w:rPr>
          <w:rFonts w:ascii="Arial" w:hAnsi="Arial" w:cs="Arial"/>
        </w:rPr>
        <w:t xml:space="preserve">t is common cause that the defendants do not seek </w:t>
      </w:r>
      <w:r w:rsidR="00FE3E54" w:rsidRPr="00827B71">
        <w:rPr>
          <w:rFonts w:ascii="Arial" w:hAnsi="Arial" w:cs="Arial"/>
        </w:rPr>
        <w:t>recti</w:t>
      </w:r>
      <w:r w:rsidR="006F1F59">
        <w:rPr>
          <w:rFonts w:ascii="Arial" w:hAnsi="Arial" w:cs="Arial"/>
        </w:rPr>
        <w:t>fication of the Title Deed.</w:t>
      </w:r>
      <w:r w:rsidR="00FE3E54" w:rsidRPr="00827B71">
        <w:rPr>
          <w:rFonts w:ascii="Arial" w:hAnsi="Arial" w:cs="Arial"/>
        </w:rPr>
        <w:t xml:space="preserve"> Mr Paige-Green has submitted</w:t>
      </w:r>
      <w:r w:rsidR="00827B71">
        <w:rPr>
          <w:rFonts w:ascii="Arial" w:hAnsi="Arial" w:cs="Arial"/>
        </w:rPr>
        <w:t>,</w:t>
      </w:r>
      <w:r w:rsidR="00FE3E54" w:rsidRPr="00827B71">
        <w:rPr>
          <w:rFonts w:ascii="Arial" w:hAnsi="Arial" w:cs="Arial"/>
        </w:rPr>
        <w:t xml:space="preserve"> the </w:t>
      </w:r>
      <w:r w:rsidR="00827B71">
        <w:rPr>
          <w:rFonts w:ascii="Arial" w:hAnsi="Arial" w:cs="Arial"/>
        </w:rPr>
        <w:t>T</w:t>
      </w:r>
      <w:r w:rsidR="00FE3E54" w:rsidRPr="00827B71">
        <w:rPr>
          <w:rFonts w:ascii="Arial" w:hAnsi="Arial" w:cs="Arial"/>
        </w:rPr>
        <w:t xml:space="preserve">itle </w:t>
      </w:r>
      <w:r w:rsidR="00827B71">
        <w:rPr>
          <w:rFonts w:ascii="Arial" w:hAnsi="Arial" w:cs="Arial"/>
        </w:rPr>
        <w:t>D</w:t>
      </w:r>
      <w:r w:rsidR="00FE3E54" w:rsidRPr="00827B71">
        <w:rPr>
          <w:rFonts w:ascii="Arial" w:hAnsi="Arial" w:cs="Arial"/>
        </w:rPr>
        <w:t xml:space="preserve">eed is a </w:t>
      </w:r>
      <w:proofErr w:type="spellStart"/>
      <w:r w:rsidR="00FE3E54" w:rsidRPr="00827B71">
        <w:rPr>
          <w:rFonts w:ascii="Arial" w:hAnsi="Arial" w:cs="Arial"/>
        </w:rPr>
        <w:t>jural</w:t>
      </w:r>
      <w:proofErr w:type="spellEnd"/>
      <w:r w:rsidR="00FE3E54" w:rsidRPr="00827B71">
        <w:rPr>
          <w:rFonts w:ascii="Arial" w:hAnsi="Arial" w:cs="Arial"/>
        </w:rPr>
        <w:t xml:space="preserve"> act that has been incorporated into a written document and this reflects the true position of the parties and no evidence may be led to contradict this.</w:t>
      </w:r>
    </w:p>
    <w:p w:rsidR="00E646D7" w:rsidRPr="00827B71" w:rsidRDefault="00A8329B" w:rsidP="00827B71">
      <w:pPr>
        <w:widowControl/>
        <w:spacing w:before="320" w:line="600" w:lineRule="auto"/>
        <w:ind w:left="709" w:hanging="709"/>
        <w:jc w:val="both"/>
        <w:rPr>
          <w:rFonts w:ascii="Arial" w:hAnsi="Arial" w:cs="Arial"/>
        </w:rPr>
      </w:pPr>
      <w:r>
        <w:rPr>
          <w:rFonts w:ascii="Arial" w:hAnsi="Arial" w:cs="Arial"/>
        </w:rPr>
        <w:t>[</w:t>
      </w:r>
      <w:r w:rsidR="00827B71">
        <w:rPr>
          <w:rFonts w:ascii="Arial" w:hAnsi="Arial" w:cs="Arial"/>
        </w:rPr>
        <w:t>34]</w:t>
      </w:r>
      <w:r w:rsidR="00827B71">
        <w:rPr>
          <w:rFonts w:ascii="Arial" w:hAnsi="Arial" w:cs="Arial"/>
        </w:rPr>
        <w:tab/>
      </w:r>
      <w:r w:rsidR="00FE3E54" w:rsidRPr="00827B71">
        <w:rPr>
          <w:rFonts w:ascii="Arial" w:hAnsi="Arial" w:cs="Arial"/>
        </w:rPr>
        <w:t xml:space="preserve">But this submission, whilst certainly attractive, is not </w:t>
      </w:r>
      <w:r w:rsidR="005C387E">
        <w:rPr>
          <w:rFonts w:ascii="Arial" w:hAnsi="Arial" w:cs="Arial"/>
        </w:rPr>
        <w:t>strictly speaking</w:t>
      </w:r>
      <w:r w:rsidR="00FE3E54" w:rsidRPr="00827B71">
        <w:rPr>
          <w:rFonts w:ascii="Arial" w:hAnsi="Arial" w:cs="Arial"/>
        </w:rPr>
        <w:t xml:space="preserve"> correct: Section 102 of the Deeds Registration Act 47 of 1937 defines “</w:t>
      </w:r>
      <w:r w:rsidR="00FE3E54" w:rsidRPr="00C24A3D">
        <w:rPr>
          <w:rFonts w:ascii="Arial" w:hAnsi="Arial" w:cs="Arial"/>
          <w:i/>
        </w:rPr>
        <w:t>owner</w:t>
      </w:r>
      <w:r w:rsidR="00FE3E54" w:rsidRPr="00827B71">
        <w:rPr>
          <w:rFonts w:ascii="Arial" w:hAnsi="Arial" w:cs="Arial"/>
        </w:rPr>
        <w:t>” inter alia as “</w:t>
      </w:r>
      <w:r w:rsidR="00FE3E54" w:rsidRPr="00C24A3D">
        <w:rPr>
          <w:rFonts w:ascii="Arial" w:hAnsi="Arial" w:cs="Arial"/>
          <w:i/>
        </w:rPr>
        <w:t>the p</w:t>
      </w:r>
      <w:r w:rsidR="006F1F59" w:rsidRPr="00C24A3D">
        <w:rPr>
          <w:rFonts w:ascii="Arial" w:hAnsi="Arial" w:cs="Arial"/>
          <w:i/>
        </w:rPr>
        <w:t>erson registered as the owner</w:t>
      </w:r>
      <w:r w:rsidR="006F1F59">
        <w:rPr>
          <w:rFonts w:ascii="Arial" w:hAnsi="Arial" w:cs="Arial"/>
        </w:rPr>
        <w:t>”, but it</w:t>
      </w:r>
    </w:p>
    <w:p w:rsidR="00FE3E54" w:rsidRPr="00FE3E54" w:rsidRDefault="00FE3E54" w:rsidP="00FE3E54">
      <w:pPr>
        <w:pStyle w:val="ListParagraph"/>
        <w:rPr>
          <w:rFonts w:ascii="Arial" w:hAnsi="Arial" w:cs="Arial"/>
        </w:rPr>
      </w:pPr>
    </w:p>
    <w:p w:rsidR="00FE3E54" w:rsidRDefault="00FE3E54" w:rsidP="00FE3E54">
      <w:pPr>
        <w:pStyle w:val="ListParagraph"/>
        <w:widowControl/>
        <w:spacing w:before="320" w:line="600" w:lineRule="auto"/>
        <w:ind w:left="709"/>
        <w:jc w:val="both"/>
        <w:rPr>
          <w:rFonts w:ascii="Arial" w:hAnsi="Arial" w:cs="Arial"/>
        </w:rPr>
      </w:pPr>
      <w:r w:rsidRPr="005C387E">
        <w:rPr>
          <w:rFonts w:ascii="Arial" w:hAnsi="Arial" w:cs="Arial"/>
          <w:i/>
        </w:rPr>
        <w:t>“…</w:t>
      </w:r>
      <w:r w:rsidR="008C5096" w:rsidRPr="005C387E">
        <w:rPr>
          <w:rFonts w:ascii="Arial" w:hAnsi="Arial" w:cs="Arial"/>
          <w:i/>
        </w:rPr>
        <w:t xml:space="preserve"> does no more then give</w:t>
      </w:r>
      <w:r w:rsidRPr="005C387E">
        <w:rPr>
          <w:rFonts w:ascii="Arial" w:hAnsi="Arial" w:cs="Arial"/>
          <w:i/>
        </w:rPr>
        <w:t xml:space="preserve"> a special meaning to the word “owner” whenever that word is used</w:t>
      </w:r>
      <w:r w:rsidR="008C5096" w:rsidRPr="005C387E">
        <w:rPr>
          <w:rFonts w:ascii="Arial" w:hAnsi="Arial" w:cs="Arial"/>
          <w:i/>
        </w:rPr>
        <w:t xml:space="preserve"> in the Act. It does not in any way alter the general legal meaning of owner, nor subvert the general principles governing the reg</w:t>
      </w:r>
      <w:r w:rsidR="001C1EA8" w:rsidRPr="005C387E">
        <w:rPr>
          <w:rFonts w:ascii="Arial" w:hAnsi="Arial" w:cs="Arial"/>
          <w:i/>
        </w:rPr>
        <w:t xml:space="preserve">istration of ownership which underline the deeds registries system. </w:t>
      </w:r>
      <w:r w:rsidR="001C1EA8" w:rsidRPr="005C387E">
        <w:rPr>
          <w:rFonts w:ascii="Arial" w:hAnsi="Arial" w:cs="Arial"/>
          <w:i/>
          <w:u w:val="single"/>
        </w:rPr>
        <w:t xml:space="preserve">It should not, in my view, be read to mean that whoever is registered in the Deeds Office as the </w:t>
      </w:r>
      <w:r w:rsidR="001C1EA8" w:rsidRPr="005C387E">
        <w:rPr>
          <w:rFonts w:ascii="Arial" w:hAnsi="Arial" w:cs="Arial"/>
          <w:i/>
          <w:u w:val="single"/>
        </w:rPr>
        <w:lastRenderedPageBreak/>
        <w:t>legal owner of the property</w:t>
      </w:r>
      <w:r w:rsidR="0081583B" w:rsidRPr="005C387E">
        <w:rPr>
          <w:rFonts w:ascii="Arial" w:hAnsi="Arial" w:cs="Arial"/>
          <w:i/>
          <w:u w:val="single"/>
        </w:rPr>
        <w:t xml:space="preserve"> is </w:t>
      </w:r>
      <w:r w:rsidR="001C1EA8" w:rsidRPr="005C387E">
        <w:rPr>
          <w:rFonts w:ascii="Arial" w:hAnsi="Arial" w:cs="Arial"/>
          <w:i/>
          <w:u w:val="single"/>
        </w:rPr>
        <w:t>in fact the legal owner</w:t>
      </w:r>
      <w:r w:rsidR="001C1EA8" w:rsidRPr="005C387E">
        <w:rPr>
          <w:rFonts w:ascii="Arial" w:hAnsi="Arial" w:cs="Arial"/>
          <w:i/>
        </w:rPr>
        <w:t>. Had it been the intention of the Legislature to change the common law to that effect, it would have said so clearly…..”</w:t>
      </w:r>
      <w:r w:rsidR="001C1EA8">
        <w:rPr>
          <w:rStyle w:val="FootnoteReference"/>
          <w:rFonts w:ascii="Arial" w:hAnsi="Arial" w:cs="Arial"/>
        </w:rPr>
        <w:footnoteReference w:id="21"/>
      </w:r>
      <w:r w:rsidR="001C1EA8">
        <w:rPr>
          <w:rFonts w:ascii="Arial" w:hAnsi="Arial" w:cs="Arial"/>
        </w:rPr>
        <w:t xml:space="preserve"> (my emphasis)</w:t>
      </w:r>
    </w:p>
    <w:p w:rsidR="00E646D7"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35]</w:t>
      </w:r>
      <w:r w:rsidR="005C387E">
        <w:rPr>
          <w:rFonts w:ascii="Arial" w:hAnsi="Arial" w:cs="Arial"/>
        </w:rPr>
        <w:tab/>
      </w:r>
      <w:r w:rsidR="007A734A" w:rsidRPr="005C387E">
        <w:rPr>
          <w:rFonts w:ascii="Arial" w:hAnsi="Arial" w:cs="Arial"/>
        </w:rPr>
        <w:t xml:space="preserve">This is not, however, surprising as there are several examples of a person acquiring ownership in an immovable property without their title being registered, of which one is parties married in community of property. In that </w:t>
      </w:r>
      <w:r w:rsidR="00F553B3" w:rsidRPr="005C387E">
        <w:rPr>
          <w:rFonts w:ascii="Arial" w:hAnsi="Arial" w:cs="Arial"/>
        </w:rPr>
        <w:t>instance,</w:t>
      </w:r>
      <w:r w:rsidR="007A734A" w:rsidRPr="005C387E">
        <w:rPr>
          <w:rFonts w:ascii="Arial" w:hAnsi="Arial" w:cs="Arial"/>
        </w:rPr>
        <w:t xml:space="preserve"> and by operation of law, if one spouse is the registered owner of </w:t>
      </w:r>
      <w:r w:rsidR="00F553B3" w:rsidRPr="005C387E">
        <w:rPr>
          <w:rFonts w:ascii="Arial" w:hAnsi="Arial" w:cs="Arial"/>
        </w:rPr>
        <w:t>a</w:t>
      </w:r>
      <w:r w:rsidR="007A734A" w:rsidRPr="005C387E">
        <w:rPr>
          <w:rFonts w:ascii="Arial" w:hAnsi="Arial" w:cs="Arial"/>
        </w:rPr>
        <w:t xml:space="preserve">n immovable property at commencement of the marriage the other upon conclusion of the marriage, automatically acquires a share in that ownership even without due registration thereof. As is stated </w:t>
      </w:r>
      <w:r w:rsidR="005C387E">
        <w:rPr>
          <w:rFonts w:ascii="Arial" w:hAnsi="Arial" w:cs="Arial"/>
          <w:b/>
        </w:rPr>
        <w:t>in Ex Parte Menzies et Uxo</w:t>
      </w:r>
      <w:r w:rsidR="007A734A" w:rsidRPr="005C387E">
        <w:rPr>
          <w:rFonts w:ascii="Arial" w:hAnsi="Arial" w:cs="Arial"/>
          <w:b/>
        </w:rPr>
        <w:t>r</w:t>
      </w:r>
      <w:r w:rsidR="007A734A" w:rsidRPr="005C387E">
        <w:rPr>
          <w:rFonts w:ascii="Arial" w:hAnsi="Arial" w:cs="Arial"/>
        </w:rPr>
        <w:t xml:space="preserve"> </w:t>
      </w:r>
      <w:r w:rsidR="007A734A" w:rsidRPr="005C387E">
        <w:rPr>
          <w:rFonts w:ascii="Arial" w:hAnsi="Arial" w:cs="Arial"/>
          <w:i/>
        </w:rPr>
        <w:t>supra</w:t>
      </w:r>
      <w:r w:rsidR="007A734A" w:rsidRPr="005C387E">
        <w:rPr>
          <w:rFonts w:ascii="Arial" w:hAnsi="Arial" w:cs="Arial"/>
        </w:rPr>
        <w:t xml:space="preserve">, </w:t>
      </w:r>
      <w:r w:rsidR="007A734A" w:rsidRPr="005C387E">
        <w:rPr>
          <w:rFonts w:ascii="Arial" w:hAnsi="Arial" w:cs="Arial"/>
          <w:i/>
        </w:rPr>
        <w:t xml:space="preserve">“[t]he immediate consequence is obviously that the </w:t>
      </w:r>
      <w:r w:rsidR="008B3744" w:rsidRPr="005C387E">
        <w:rPr>
          <w:rFonts w:ascii="Arial" w:hAnsi="Arial" w:cs="Arial"/>
          <w:i/>
        </w:rPr>
        <w:t>nominal</w:t>
      </w:r>
      <w:r w:rsidR="007A734A" w:rsidRPr="005C387E">
        <w:rPr>
          <w:rFonts w:ascii="Arial" w:hAnsi="Arial" w:cs="Arial"/>
          <w:i/>
        </w:rPr>
        <w:t xml:space="preserve"> title to immovable property previously registered in either spouse’s name in the Deeds Registry no longer accords with the true ownership position</w:t>
      </w:r>
      <w:r w:rsidR="007A734A" w:rsidRPr="005C387E">
        <w:rPr>
          <w:rFonts w:ascii="Arial" w:hAnsi="Arial" w:cs="Arial"/>
        </w:rPr>
        <w:t>.”</w:t>
      </w:r>
      <w:r w:rsidR="007A734A">
        <w:rPr>
          <w:rStyle w:val="FootnoteReference"/>
          <w:rFonts w:ascii="Arial" w:hAnsi="Arial" w:cs="Arial"/>
        </w:rPr>
        <w:footnoteReference w:id="22"/>
      </w:r>
    </w:p>
    <w:p w:rsidR="00804669"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36]</w:t>
      </w:r>
      <w:r w:rsidR="005C387E">
        <w:rPr>
          <w:rFonts w:ascii="Arial" w:hAnsi="Arial" w:cs="Arial"/>
        </w:rPr>
        <w:tab/>
      </w:r>
      <w:r w:rsidR="00804669" w:rsidRPr="005C387E">
        <w:rPr>
          <w:rFonts w:ascii="Arial" w:hAnsi="Arial" w:cs="Arial"/>
        </w:rPr>
        <w:t>But the point is the following: even though the Title Deed to the Property only reflects the plaintiff and the 1</w:t>
      </w:r>
      <w:r w:rsidR="00804669" w:rsidRPr="005C387E">
        <w:rPr>
          <w:rFonts w:ascii="Arial" w:hAnsi="Arial" w:cs="Arial"/>
          <w:vertAlign w:val="superscript"/>
        </w:rPr>
        <w:t>st</w:t>
      </w:r>
      <w:r w:rsidR="00804669" w:rsidRPr="005C387E">
        <w:rPr>
          <w:rFonts w:ascii="Arial" w:hAnsi="Arial" w:cs="Arial"/>
        </w:rPr>
        <w:t xml:space="preserve"> defendant as the owners, in actual fact, the 2</w:t>
      </w:r>
      <w:r w:rsidR="00804669" w:rsidRPr="005C387E">
        <w:rPr>
          <w:rFonts w:ascii="Arial" w:hAnsi="Arial" w:cs="Arial"/>
          <w:vertAlign w:val="superscript"/>
        </w:rPr>
        <w:t>nd</w:t>
      </w:r>
      <w:r w:rsidR="00804669" w:rsidRPr="005C387E">
        <w:rPr>
          <w:rFonts w:ascii="Arial" w:hAnsi="Arial" w:cs="Arial"/>
        </w:rPr>
        <w:t xml:space="preserve"> defendant is also the owner of the Property by virtue of her marriage in community of property to the 1</w:t>
      </w:r>
      <w:r w:rsidR="00804669" w:rsidRPr="005C387E">
        <w:rPr>
          <w:rFonts w:ascii="Arial" w:hAnsi="Arial" w:cs="Arial"/>
          <w:vertAlign w:val="superscript"/>
        </w:rPr>
        <w:t>st</w:t>
      </w:r>
      <w:r w:rsidR="00804669" w:rsidRPr="005C387E">
        <w:rPr>
          <w:rFonts w:ascii="Arial" w:hAnsi="Arial" w:cs="Arial"/>
        </w:rPr>
        <w:t xml:space="preserve"> defendant. Thus, the effect of that is that the defendants hold a combined equal share in the Property. More succinctly put, </w:t>
      </w:r>
      <w:r w:rsidR="00804669" w:rsidRPr="005C387E">
        <w:rPr>
          <w:rFonts w:ascii="Arial" w:hAnsi="Arial" w:cs="Arial"/>
        </w:rPr>
        <w:lastRenderedPageBreak/>
        <w:t xml:space="preserve">and if one were compelled to reduce this to ratios, it would mean that the plaintiff holds 50% share in the property, </w:t>
      </w:r>
      <w:r w:rsidR="005C387E">
        <w:rPr>
          <w:rFonts w:ascii="Arial" w:hAnsi="Arial" w:cs="Arial"/>
        </w:rPr>
        <w:t>and the defendants the other 50%</w:t>
      </w:r>
      <w:r w:rsidR="00804669" w:rsidRPr="005C387E">
        <w:rPr>
          <w:rFonts w:ascii="Arial" w:hAnsi="Arial" w:cs="Arial"/>
        </w:rPr>
        <w:t>.</w:t>
      </w:r>
      <w:r w:rsidR="00804669">
        <w:rPr>
          <w:rStyle w:val="FootnoteReference"/>
          <w:rFonts w:ascii="Arial" w:hAnsi="Arial" w:cs="Arial"/>
        </w:rPr>
        <w:footnoteReference w:id="23"/>
      </w:r>
    </w:p>
    <w:p w:rsidR="00804669"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37]</w:t>
      </w:r>
      <w:r w:rsidR="005C387E">
        <w:rPr>
          <w:rFonts w:ascii="Arial" w:hAnsi="Arial" w:cs="Arial"/>
        </w:rPr>
        <w:tab/>
      </w:r>
      <w:r w:rsidR="00804669" w:rsidRPr="005C387E">
        <w:rPr>
          <w:rFonts w:ascii="Arial" w:hAnsi="Arial" w:cs="Arial"/>
        </w:rPr>
        <w:t xml:space="preserve">Whilst the OTP certainly mentions the names of the parties as the purchasers of the Property, it gives no enlightenment as to the portions in which the acquisition and their ownership was to be registered. </w:t>
      </w:r>
    </w:p>
    <w:p w:rsidR="00804669"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38]</w:t>
      </w:r>
      <w:r w:rsidR="005C387E">
        <w:rPr>
          <w:rFonts w:ascii="Arial" w:hAnsi="Arial" w:cs="Arial"/>
        </w:rPr>
        <w:tab/>
      </w:r>
      <w:r w:rsidR="00804669" w:rsidRPr="005C387E">
        <w:rPr>
          <w:rFonts w:ascii="Arial" w:hAnsi="Arial" w:cs="Arial"/>
        </w:rPr>
        <w:t>There is also a dearth of information as to the instructions given to the conveyancer when the Property was to be transferred in 2003. Given that it was common cause in this trial, and admitted by the 1</w:t>
      </w:r>
      <w:r w:rsidR="00804669" w:rsidRPr="005C387E">
        <w:rPr>
          <w:rFonts w:ascii="Arial" w:hAnsi="Arial" w:cs="Arial"/>
          <w:vertAlign w:val="superscript"/>
        </w:rPr>
        <w:t>st</w:t>
      </w:r>
      <w:r w:rsidR="00804669" w:rsidRPr="005C387E">
        <w:rPr>
          <w:rFonts w:ascii="Arial" w:hAnsi="Arial" w:cs="Arial"/>
        </w:rPr>
        <w:t xml:space="preserve"> defendant in his evidence, that the correspondence pertaining to the acquisition and registration of the Property were directed to him and responded to by him solely, I would have expected some enlightenment. But the only information before me come</w:t>
      </w:r>
      <w:r w:rsidR="00C24A3D">
        <w:rPr>
          <w:rFonts w:ascii="Arial" w:hAnsi="Arial" w:cs="Arial"/>
        </w:rPr>
        <w:t>s</w:t>
      </w:r>
      <w:r w:rsidR="00804669" w:rsidRPr="005C387E">
        <w:rPr>
          <w:rFonts w:ascii="Arial" w:hAnsi="Arial" w:cs="Arial"/>
        </w:rPr>
        <w:t xml:space="preserve"> some 13 years ex post facto in an email.</w:t>
      </w:r>
    </w:p>
    <w:p w:rsidR="00804669"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39]</w:t>
      </w:r>
      <w:r w:rsidR="005C387E">
        <w:rPr>
          <w:rFonts w:ascii="Arial" w:hAnsi="Arial" w:cs="Arial"/>
        </w:rPr>
        <w:tab/>
      </w:r>
      <w:r w:rsidR="00804669" w:rsidRPr="005C387E">
        <w:rPr>
          <w:rFonts w:ascii="Arial" w:hAnsi="Arial" w:cs="Arial"/>
        </w:rPr>
        <w:t>Given that the defendants do not seek rectification of either the OTP or the Title Deed and that these are the written recordings of the intention of the parties at the time of the registration, I am of the view that they reflect the true position.</w:t>
      </w:r>
    </w:p>
    <w:p w:rsidR="00804669" w:rsidRPr="005C387E" w:rsidRDefault="00A8329B" w:rsidP="005C387E">
      <w:pPr>
        <w:widowControl/>
        <w:spacing w:before="320" w:line="600" w:lineRule="auto"/>
        <w:ind w:left="709" w:hanging="709"/>
        <w:jc w:val="both"/>
        <w:rPr>
          <w:rFonts w:ascii="Arial" w:hAnsi="Arial" w:cs="Arial"/>
        </w:rPr>
      </w:pPr>
      <w:r>
        <w:rPr>
          <w:rFonts w:ascii="Arial" w:hAnsi="Arial" w:cs="Arial"/>
        </w:rPr>
        <w:t>[</w:t>
      </w:r>
      <w:r w:rsidR="005C387E">
        <w:rPr>
          <w:rFonts w:ascii="Arial" w:hAnsi="Arial" w:cs="Arial"/>
        </w:rPr>
        <w:t>40]</w:t>
      </w:r>
      <w:r w:rsidR="005C387E">
        <w:rPr>
          <w:rFonts w:ascii="Arial" w:hAnsi="Arial" w:cs="Arial"/>
        </w:rPr>
        <w:tab/>
      </w:r>
      <w:r w:rsidR="00804669" w:rsidRPr="005C387E">
        <w:rPr>
          <w:rFonts w:ascii="Arial" w:hAnsi="Arial" w:cs="Arial"/>
        </w:rPr>
        <w:t>Even if I am incorrect on this, I am still of the view that the parties should share in the net proceeds of the Property on an equal basis as:</w:t>
      </w:r>
    </w:p>
    <w:p w:rsidR="00804669" w:rsidRDefault="00804669" w:rsidP="008B1214">
      <w:pPr>
        <w:pStyle w:val="ListParagraph"/>
        <w:widowControl/>
        <w:spacing w:before="320" w:line="600" w:lineRule="auto"/>
        <w:ind w:left="1440" w:hanging="731"/>
        <w:jc w:val="both"/>
        <w:rPr>
          <w:rFonts w:ascii="Arial" w:hAnsi="Arial" w:cs="Arial"/>
        </w:rPr>
      </w:pPr>
      <w:r>
        <w:rPr>
          <w:rFonts w:ascii="Arial" w:hAnsi="Arial" w:cs="Arial"/>
        </w:rPr>
        <w:lastRenderedPageBreak/>
        <w:t>40.1</w:t>
      </w:r>
      <w:r>
        <w:rPr>
          <w:rFonts w:ascii="Arial" w:hAnsi="Arial" w:cs="Arial"/>
        </w:rPr>
        <w:tab/>
        <w:t xml:space="preserve">even accepting that the defendants paid the deposit on the Property, it is </w:t>
      </w:r>
      <w:r w:rsidR="008B1214">
        <w:rPr>
          <w:rFonts w:ascii="Arial" w:hAnsi="Arial" w:cs="Arial"/>
        </w:rPr>
        <w:t>not disputed that BCM paid the monthly bond instalments. It is common cause that plaintiff was, for a period of 3 years</w:t>
      </w:r>
      <w:r w:rsidR="00E528DB">
        <w:rPr>
          <w:rStyle w:val="FootnoteReference"/>
          <w:rFonts w:ascii="Arial" w:hAnsi="Arial" w:cs="Arial"/>
        </w:rPr>
        <w:footnoteReference w:id="24"/>
      </w:r>
      <w:r w:rsidR="008B1214">
        <w:rPr>
          <w:rFonts w:ascii="Arial" w:hAnsi="Arial" w:cs="Arial"/>
        </w:rPr>
        <w:t>, the sole owner of BCM and then relinquished 5% of the shareholding to the 1</w:t>
      </w:r>
      <w:r w:rsidR="008B1214" w:rsidRPr="008B1214">
        <w:rPr>
          <w:rFonts w:ascii="Arial" w:hAnsi="Arial" w:cs="Arial"/>
          <w:vertAlign w:val="superscript"/>
        </w:rPr>
        <w:t>st</w:t>
      </w:r>
      <w:r w:rsidR="008B1214">
        <w:rPr>
          <w:rFonts w:ascii="Arial" w:hAnsi="Arial" w:cs="Arial"/>
        </w:rPr>
        <w:t xml:space="preserve"> defendant. The fact that the books of accounting of BCM do not correctly reflect the true position as to the allocation of monies to the loan accounts simply means that the accounting records are </w:t>
      </w:r>
      <w:r w:rsidR="00C24A3D">
        <w:rPr>
          <w:rFonts w:ascii="Arial" w:hAnsi="Arial" w:cs="Arial"/>
        </w:rPr>
        <w:t>not instructive</w:t>
      </w:r>
      <w:r w:rsidR="00E528DB">
        <w:rPr>
          <w:rFonts w:ascii="Arial" w:hAnsi="Arial" w:cs="Arial"/>
        </w:rPr>
        <w:t xml:space="preserve"> regarding</w:t>
      </w:r>
      <w:r w:rsidR="006928B0">
        <w:rPr>
          <w:rFonts w:ascii="Arial" w:hAnsi="Arial" w:cs="Arial"/>
        </w:rPr>
        <w:t xml:space="preserve"> the true extent</w:t>
      </w:r>
      <w:r w:rsidR="008B1214">
        <w:rPr>
          <w:rFonts w:ascii="Arial" w:hAnsi="Arial" w:cs="Arial"/>
        </w:rPr>
        <w:t xml:space="preserve"> of the parties</w:t>
      </w:r>
      <w:r w:rsidR="006928B0">
        <w:rPr>
          <w:rFonts w:ascii="Arial" w:hAnsi="Arial" w:cs="Arial"/>
        </w:rPr>
        <w:t>’</w:t>
      </w:r>
      <w:r w:rsidR="008B1214">
        <w:rPr>
          <w:rFonts w:ascii="Arial" w:hAnsi="Arial" w:cs="Arial"/>
        </w:rPr>
        <w:t xml:space="preserve"> loan accounts in </w:t>
      </w:r>
      <w:r w:rsidR="00E528DB">
        <w:rPr>
          <w:rFonts w:ascii="Arial" w:hAnsi="Arial" w:cs="Arial"/>
        </w:rPr>
        <w:t>BCM</w:t>
      </w:r>
      <w:r w:rsidR="008B1214">
        <w:rPr>
          <w:rFonts w:ascii="Arial" w:hAnsi="Arial" w:cs="Arial"/>
        </w:rPr>
        <w:t xml:space="preserve"> and cannot be used to accurately reflect their respective contributions;</w:t>
      </w:r>
    </w:p>
    <w:p w:rsidR="008B1214" w:rsidRDefault="006928B0" w:rsidP="008B1214">
      <w:pPr>
        <w:pStyle w:val="ListParagraph"/>
        <w:widowControl/>
        <w:spacing w:before="320" w:line="600" w:lineRule="auto"/>
        <w:ind w:left="1440" w:hanging="731"/>
        <w:jc w:val="both"/>
        <w:rPr>
          <w:rFonts w:ascii="Arial" w:hAnsi="Arial" w:cs="Arial"/>
        </w:rPr>
      </w:pPr>
      <w:r>
        <w:rPr>
          <w:rFonts w:ascii="Arial" w:hAnsi="Arial" w:cs="Arial"/>
        </w:rPr>
        <w:t>40.2</w:t>
      </w:r>
      <w:r>
        <w:rPr>
          <w:rFonts w:ascii="Arial" w:hAnsi="Arial" w:cs="Arial"/>
        </w:rPr>
        <w:tab/>
        <w:t>the defendants have been living in the property since 2011. In this time, it is common cause that the bond account with FNB has been reduced to just under R100 000 from an initial bond of R1,1 million;</w:t>
      </w:r>
    </w:p>
    <w:p w:rsidR="006928B0" w:rsidRDefault="006928B0" w:rsidP="008B1214">
      <w:pPr>
        <w:pStyle w:val="ListParagraph"/>
        <w:widowControl/>
        <w:spacing w:before="320" w:line="600" w:lineRule="auto"/>
        <w:ind w:left="1440" w:hanging="731"/>
        <w:jc w:val="both"/>
        <w:rPr>
          <w:rFonts w:ascii="Arial" w:hAnsi="Arial" w:cs="Arial"/>
        </w:rPr>
      </w:pPr>
      <w:r>
        <w:rPr>
          <w:rFonts w:ascii="Arial" w:hAnsi="Arial" w:cs="Arial"/>
        </w:rPr>
        <w:t>40.3</w:t>
      </w:r>
      <w:r>
        <w:rPr>
          <w:rFonts w:ascii="Arial" w:hAnsi="Arial" w:cs="Arial"/>
        </w:rPr>
        <w:tab/>
        <w:t>the defendants have placed no information before me as to any monies expended by them on the maintenance and upkeep of the Property.</w:t>
      </w:r>
    </w:p>
    <w:p w:rsidR="006928B0" w:rsidRDefault="006928B0" w:rsidP="006928B0">
      <w:pPr>
        <w:widowControl/>
        <w:spacing w:before="320" w:line="600" w:lineRule="auto"/>
        <w:ind w:left="709" w:hanging="709"/>
        <w:jc w:val="both"/>
        <w:rPr>
          <w:rFonts w:ascii="Arial" w:hAnsi="Arial" w:cs="Arial"/>
        </w:rPr>
      </w:pPr>
      <w:r>
        <w:rPr>
          <w:rFonts w:ascii="Arial" w:hAnsi="Arial" w:cs="Arial"/>
        </w:rPr>
        <w:t>[41]</w:t>
      </w:r>
      <w:r>
        <w:rPr>
          <w:rFonts w:ascii="Arial" w:hAnsi="Arial" w:cs="Arial"/>
        </w:rPr>
        <w:tab/>
        <w:t xml:space="preserve">Thus, in my view, and in line with the approach taken in </w:t>
      </w:r>
      <w:proofErr w:type="spellStart"/>
      <w:r>
        <w:rPr>
          <w:rFonts w:ascii="Arial" w:hAnsi="Arial" w:cs="Arial"/>
          <w:b/>
          <w:u w:val="single"/>
        </w:rPr>
        <w:t>Matadin</w:t>
      </w:r>
      <w:proofErr w:type="spellEnd"/>
      <w:r>
        <w:rPr>
          <w:rFonts w:ascii="Arial" w:hAnsi="Arial" w:cs="Arial"/>
          <w:b/>
          <w:u w:val="single"/>
        </w:rPr>
        <w:t xml:space="preserve"> v Parma</w:t>
      </w:r>
      <w:r w:rsidR="005F10B0">
        <w:rPr>
          <w:rFonts w:ascii="Arial" w:hAnsi="Arial" w:cs="Arial"/>
        </w:rPr>
        <w:t xml:space="preserve"> </w:t>
      </w:r>
      <w:r w:rsidRPr="005F10B0">
        <w:rPr>
          <w:rFonts w:ascii="Arial" w:hAnsi="Arial" w:cs="Arial"/>
          <w:i/>
        </w:rPr>
        <w:t>supra</w:t>
      </w:r>
      <w:r>
        <w:rPr>
          <w:rFonts w:ascii="Arial" w:hAnsi="Arial" w:cs="Arial"/>
        </w:rPr>
        <w:t>, it would be just and equitable were</w:t>
      </w:r>
      <w:r w:rsidR="005F10B0">
        <w:rPr>
          <w:rFonts w:ascii="Arial" w:hAnsi="Arial" w:cs="Arial"/>
        </w:rPr>
        <w:t xml:space="preserve"> any equity in</w:t>
      </w:r>
      <w:r>
        <w:rPr>
          <w:rFonts w:ascii="Arial" w:hAnsi="Arial" w:cs="Arial"/>
        </w:rPr>
        <w:t xml:space="preserve"> the Property to be divided as follows:</w:t>
      </w:r>
    </w:p>
    <w:p w:rsidR="006928B0" w:rsidRDefault="006928B0" w:rsidP="006928B0">
      <w:pPr>
        <w:widowControl/>
        <w:spacing w:before="320" w:line="600" w:lineRule="auto"/>
        <w:jc w:val="both"/>
        <w:rPr>
          <w:rFonts w:ascii="Arial" w:hAnsi="Arial" w:cs="Arial"/>
        </w:rPr>
      </w:pPr>
      <w:r>
        <w:rPr>
          <w:rFonts w:ascii="Arial" w:hAnsi="Arial" w:cs="Arial"/>
        </w:rPr>
        <w:tab/>
        <w:t>41.1</w:t>
      </w:r>
      <w:r>
        <w:rPr>
          <w:rFonts w:ascii="Arial" w:hAnsi="Arial" w:cs="Arial"/>
        </w:rPr>
        <w:tab/>
        <w:t>to the plaintiff: 50%</w:t>
      </w:r>
    </w:p>
    <w:p w:rsidR="006928B0" w:rsidRDefault="006928B0" w:rsidP="006928B0">
      <w:pPr>
        <w:widowControl/>
        <w:spacing w:before="320" w:line="600" w:lineRule="auto"/>
        <w:jc w:val="both"/>
        <w:rPr>
          <w:rFonts w:ascii="Arial" w:hAnsi="Arial" w:cs="Arial"/>
        </w:rPr>
      </w:pPr>
      <w:r>
        <w:rPr>
          <w:rFonts w:ascii="Arial" w:hAnsi="Arial" w:cs="Arial"/>
        </w:rPr>
        <w:lastRenderedPageBreak/>
        <w:tab/>
        <w:t>41.2</w:t>
      </w:r>
      <w:r>
        <w:rPr>
          <w:rFonts w:ascii="Arial" w:hAnsi="Arial" w:cs="Arial"/>
        </w:rPr>
        <w:tab/>
        <w:t>to the defendants: 50%</w:t>
      </w:r>
    </w:p>
    <w:p w:rsidR="008B1214" w:rsidRDefault="006928B0" w:rsidP="006928B0">
      <w:pPr>
        <w:widowControl/>
        <w:spacing w:before="320" w:line="600" w:lineRule="auto"/>
        <w:ind w:left="720" w:hanging="720"/>
        <w:jc w:val="both"/>
        <w:rPr>
          <w:rFonts w:ascii="Arial" w:hAnsi="Arial" w:cs="Arial"/>
        </w:rPr>
      </w:pPr>
      <w:r>
        <w:rPr>
          <w:rFonts w:ascii="Arial" w:hAnsi="Arial" w:cs="Arial"/>
        </w:rPr>
        <w:t>[42]</w:t>
      </w:r>
      <w:r>
        <w:rPr>
          <w:rFonts w:ascii="Arial" w:hAnsi="Arial" w:cs="Arial"/>
        </w:rPr>
        <w:tab/>
        <w:t xml:space="preserve">It is also common cause that the court has the discretion to follow a method of distribution that is fair and equitable to all parties. This </w:t>
      </w:r>
      <w:r w:rsidR="004B1FDA">
        <w:rPr>
          <w:rFonts w:ascii="Arial" w:hAnsi="Arial" w:cs="Arial"/>
        </w:rPr>
        <w:t xml:space="preserve">could, </w:t>
      </w:r>
      <w:r w:rsidR="004B1FDA">
        <w:rPr>
          <w:rFonts w:ascii="Arial" w:hAnsi="Arial" w:cs="Arial"/>
          <w:i/>
        </w:rPr>
        <w:t>inter alia</w:t>
      </w:r>
      <w:r w:rsidR="004B1FDA">
        <w:rPr>
          <w:rFonts w:ascii="Arial" w:hAnsi="Arial" w:cs="Arial"/>
        </w:rPr>
        <w:t>,</w:t>
      </w:r>
      <w:r>
        <w:rPr>
          <w:rFonts w:ascii="Arial" w:hAnsi="Arial" w:cs="Arial"/>
        </w:rPr>
        <w:t xml:space="preserve"> include a sale by public auction and division of the net amount</w:t>
      </w:r>
      <w:r>
        <w:rPr>
          <w:rStyle w:val="FootnoteReference"/>
          <w:rFonts w:ascii="Arial" w:hAnsi="Arial" w:cs="Arial"/>
        </w:rPr>
        <w:footnoteReference w:id="25"/>
      </w:r>
      <w:r>
        <w:rPr>
          <w:rFonts w:ascii="Arial" w:hAnsi="Arial" w:cs="Arial"/>
        </w:rPr>
        <w:t>, allocation of the property to one co-owner subject to payment by the other of compensation</w:t>
      </w:r>
      <w:r>
        <w:rPr>
          <w:rStyle w:val="FootnoteReference"/>
          <w:rFonts w:ascii="Arial" w:hAnsi="Arial" w:cs="Arial"/>
        </w:rPr>
        <w:footnoteReference w:id="26"/>
      </w:r>
      <w:r>
        <w:rPr>
          <w:rFonts w:ascii="Arial" w:hAnsi="Arial" w:cs="Arial"/>
        </w:rPr>
        <w:t>, or a private auction restricted to the co-owners, and division of the net amount</w:t>
      </w:r>
      <w:r>
        <w:rPr>
          <w:rStyle w:val="FootnoteReference"/>
          <w:rFonts w:ascii="Arial" w:hAnsi="Arial" w:cs="Arial"/>
        </w:rPr>
        <w:footnoteReference w:id="27"/>
      </w:r>
      <w:r>
        <w:rPr>
          <w:rFonts w:ascii="Arial" w:hAnsi="Arial" w:cs="Arial"/>
        </w:rPr>
        <w:t>.</w:t>
      </w:r>
    </w:p>
    <w:p w:rsidR="00F23A23" w:rsidRDefault="00F23A23" w:rsidP="006928B0">
      <w:pPr>
        <w:widowControl/>
        <w:spacing w:before="320" w:line="600" w:lineRule="auto"/>
        <w:ind w:left="720" w:hanging="720"/>
        <w:jc w:val="both"/>
        <w:rPr>
          <w:rFonts w:ascii="Arial" w:hAnsi="Arial" w:cs="Arial"/>
        </w:rPr>
      </w:pPr>
      <w:r>
        <w:rPr>
          <w:rFonts w:ascii="Arial" w:hAnsi="Arial" w:cs="Arial"/>
        </w:rPr>
        <w:t>[43]</w:t>
      </w:r>
      <w:r>
        <w:rPr>
          <w:rFonts w:ascii="Arial" w:hAnsi="Arial" w:cs="Arial"/>
        </w:rPr>
        <w:tab/>
        <w:t>The plaintiff has, in her final amended Particulars of Claim, set out the method upon which she submits</w:t>
      </w:r>
      <w:r w:rsidR="004E1E68">
        <w:rPr>
          <w:rFonts w:ascii="Arial" w:hAnsi="Arial" w:cs="Arial"/>
        </w:rPr>
        <w:t xml:space="preserve"> the Property should be divided. This includes its valuation by 3 independent estate agents, providing the defendants with first option to purchase the property for the average valuation of the 3 estate agents, or putting the property on the open market or the appointment of a liquidator to dispose of the Property.</w:t>
      </w:r>
    </w:p>
    <w:p w:rsidR="004E1E68" w:rsidRDefault="004E1E68" w:rsidP="006928B0">
      <w:pPr>
        <w:widowControl/>
        <w:spacing w:before="320" w:line="600" w:lineRule="auto"/>
        <w:ind w:left="720" w:hanging="720"/>
        <w:jc w:val="both"/>
        <w:rPr>
          <w:rFonts w:ascii="Arial" w:hAnsi="Arial" w:cs="Arial"/>
        </w:rPr>
      </w:pPr>
      <w:r>
        <w:rPr>
          <w:rFonts w:ascii="Arial" w:hAnsi="Arial" w:cs="Arial"/>
        </w:rPr>
        <w:t>[44]</w:t>
      </w:r>
      <w:r>
        <w:rPr>
          <w:rFonts w:ascii="Arial" w:hAnsi="Arial" w:cs="Arial"/>
        </w:rPr>
        <w:tab/>
        <w:t xml:space="preserve">The defendants have no put anything before this court as an alternative, nor have they made any submissions to the effect that the plaintiff’s </w:t>
      </w:r>
      <w:r w:rsidR="00161E71">
        <w:rPr>
          <w:rFonts w:ascii="Arial" w:hAnsi="Arial" w:cs="Arial"/>
        </w:rPr>
        <w:t xml:space="preserve">proposals </w:t>
      </w:r>
      <w:r>
        <w:rPr>
          <w:rFonts w:ascii="Arial" w:hAnsi="Arial" w:cs="Arial"/>
        </w:rPr>
        <w:t>are unreasonable.</w:t>
      </w:r>
    </w:p>
    <w:p w:rsidR="004E1E68" w:rsidRDefault="004E1E68" w:rsidP="006928B0">
      <w:pPr>
        <w:widowControl/>
        <w:spacing w:before="320" w:line="600" w:lineRule="auto"/>
        <w:ind w:left="720" w:hanging="720"/>
        <w:jc w:val="both"/>
        <w:rPr>
          <w:rFonts w:ascii="Arial" w:hAnsi="Arial" w:cs="Arial"/>
        </w:rPr>
      </w:pPr>
      <w:r>
        <w:rPr>
          <w:rFonts w:ascii="Arial" w:hAnsi="Arial" w:cs="Arial"/>
        </w:rPr>
        <w:lastRenderedPageBreak/>
        <w:t>[45]</w:t>
      </w:r>
      <w:r>
        <w:rPr>
          <w:rFonts w:ascii="Arial" w:hAnsi="Arial" w:cs="Arial"/>
        </w:rPr>
        <w:tab/>
        <w:t>Given all the above factors, I am of the view that the plaintiff has been wholly successful in her suit and there is thus no reason to deprive her of her costs. However, there was argument that the costs of the withdrawal of the counterclaim should be given on a punitive scale as the withdrawal came mere days before this hearing and the counterclaim is in fact simply vexatious given that a separate application for substantially the same relief was heard and finalized on 25 February 2022</w:t>
      </w:r>
      <w:r w:rsidR="005F10B0">
        <w:rPr>
          <w:rFonts w:ascii="Arial" w:hAnsi="Arial" w:cs="Arial"/>
        </w:rPr>
        <w:t xml:space="preserve"> in the plaintiff’s </w:t>
      </w:r>
      <w:proofErr w:type="spellStart"/>
      <w:r w:rsidR="005F10B0">
        <w:rPr>
          <w:rFonts w:ascii="Arial" w:hAnsi="Arial" w:cs="Arial"/>
        </w:rPr>
        <w:t>favour</w:t>
      </w:r>
      <w:proofErr w:type="spellEnd"/>
      <w:r>
        <w:rPr>
          <w:rFonts w:ascii="Arial" w:hAnsi="Arial" w:cs="Arial"/>
        </w:rPr>
        <w:t xml:space="preserve">. I am not of the view that the counterclaim was vexatious. Its earlier disposal </w:t>
      </w:r>
      <w:r w:rsidR="0098714B">
        <w:rPr>
          <w:rFonts w:ascii="Arial" w:hAnsi="Arial" w:cs="Arial"/>
        </w:rPr>
        <w:t xml:space="preserve">simply meant that it could not continue. The fact is that the Notice indicating the Counterclaim was withdrawn was communicated to the plaintiff in March 2022 already which long before preparation for this trial commenced – its formal service was simply in compliance with the Rules of this Court. I </w:t>
      </w:r>
      <w:r w:rsidR="005F10B0">
        <w:rPr>
          <w:rFonts w:ascii="Arial" w:hAnsi="Arial" w:cs="Arial"/>
        </w:rPr>
        <w:t xml:space="preserve">therefore </w:t>
      </w:r>
      <w:r w:rsidR="0098714B">
        <w:rPr>
          <w:rFonts w:ascii="Arial" w:hAnsi="Arial" w:cs="Arial"/>
        </w:rPr>
        <w:t xml:space="preserve">find that punitive costs are </w:t>
      </w:r>
      <w:r w:rsidR="005F10B0">
        <w:rPr>
          <w:rFonts w:ascii="Arial" w:hAnsi="Arial" w:cs="Arial"/>
        </w:rPr>
        <w:t xml:space="preserve">not </w:t>
      </w:r>
      <w:r w:rsidR="0098714B">
        <w:rPr>
          <w:rFonts w:ascii="Arial" w:hAnsi="Arial" w:cs="Arial"/>
        </w:rPr>
        <w:t>justified in these circumstances.</w:t>
      </w:r>
    </w:p>
    <w:p w:rsidR="004E1E68" w:rsidRDefault="004E1E68" w:rsidP="006928B0">
      <w:pPr>
        <w:widowControl/>
        <w:spacing w:before="320" w:line="600" w:lineRule="auto"/>
        <w:ind w:left="720" w:hanging="720"/>
        <w:jc w:val="both"/>
        <w:rPr>
          <w:rFonts w:ascii="Arial" w:hAnsi="Arial" w:cs="Arial"/>
        </w:rPr>
      </w:pPr>
      <w:r>
        <w:rPr>
          <w:rFonts w:ascii="Arial" w:hAnsi="Arial" w:cs="Arial"/>
        </w:rPr>
        <w:t>[46]</w:t>
      </w:r>
      <w:r>
        <w:rPr>
          <w:rFonts w:ascii="Arial" w:hAnsi="Arial" w:cs="Arial"/>
        </w:rPr>
        <w:tab/>
        <w:t>Accordingly the order I grant is the following:</w:t>
      </w:r>
    </w:p>
    <w:p w:rsidR="006053E9" w:rsidRPr="00FC5CC9" w:rsidRDefault="00FC5CC9" w:rsidP="00FC5CC9">
      <w:pPr>
        <w:widowControl/>
        <w:spacing w:before="320" w:line="600" w:lineRule="auto"/>
        <w:ind w:left="928" w:hanging="360"/>
        <w:jc w:val="both"/>
        <w:rPr>
          <w:rFonts w:ascii="Arial" w:hAnsi="Arial" w:cs="Arial"/>
        </w:rPr>
      </w:pPr>
      <w:r>
        <w:rPr>
          <w:rFonts w:ascii="Arial" w:hAnsi="Arial" w:cs="Arial"/>
        </w:rPr>
        <w:t>1]</w:t>
      </w:r>
      <w:r>
        <w:rPr>
          <w:rFonts w:ascii="Arial" w:hAnsi="Arial" w:cs="Arial"/>
        </w:rPr>
        <w:tab/>
      </w:r>
      <w:r w:rsidR="005F10B0" w:rsidRPr="00FC5CC9">
        <w:rPr>
          <w:rFonts w:ascii="Arial" w:hAnsi="Arial" w:cs="Arial"/>
        </w:rPr>
        <w:t>The co-ownership of</w:t>
      </w:r>
      <w:r w:rsidR="006053E9" w:rsidRPr="00FC5CC9">
        <w:rPr>
          <w:rFonts w:ascii="Arial" w:hAnsi="Arial" w:cs="Arial"/>
        </w:rPr>
        <w:t xml:space="preserve"> the Plaintiff and the 1</w:t>
      </w:r>
      <w:r w:rsidR="006053E9" w:rsidRPr="00FC5CC9">
        <w:rPr>
          <w:rFonts w:ascii="Arial" w:hAnsi="Arial" w:cs="Arial"/>
          <w:vertAlign w:val="superscript"/>
        </w:rPr>
        <w:t>st</w:t>
      </w:r>
      <w:r w:rsidR="006053E9" w:rsidRPr="00FC5CC9">
        <w:rPr>
          <w:rFonts w:ascii="Arial" w:hAnsi="Arial" w:cs="Arial"/>
        </w:rPr>
        <w:t xml:space="preserve"> and 2</w:t>
      </w:r>
      <w:r w:rsidR="006053E9" w:rsidRPr="00FC5CC9">
        <w:rPr>
          <w:rFonts w:ascii="Arial" w:hAnsi="Arial" w:cs="Arial"/>
          <w:vertAlign w:val="superscript"/>
        </w:rPr>
        <w:t>nd</w:t>
      </w:r>
      <w:r w:rsidR="006053E9" w:rsidRPr="00FC5CC9">
        <w:rPr>
          <w:rFonts w:ascii="Arial" w:hAnsi="Arial" w:cs="Arial"/>
        </w:rPr>
        <w:t xml:space="preserve"> Defendants’ </w:t>
      </w:r>
      <w:r w:rsidR="005F10B0" w:rsidRPr="00FC5CC9">
        <w:rPr>
          <w:rFonts w:ascii="Arial" w:hAnsi="Arial" w:cs="Arial"/>
        </w:rPr>
        <w:t>in the</w:t>
      </w:r>
      <w:r w:rsidR="006053E9" w:rsidRPr="00FC5CC9">
        <w:rPr>
          <w:rFonts w:ascii="Arial" w:hAnsi="Arial" w:cs="Arial"/>
        </w:rPr>
        <w:t xml:space="preserve"> immovable property situated at Farm </w:t>
      </w:r>
      <w:proofErr w:type="spellStart"/>
      <w:r w:rsidR="006053E9" w:rsidRPr="00FC5CC9">
        <w:rPr>
          <w:rFonts w:ascii="Arial" w:hAnsi="Arial" w:cs="Arial"/>
        </w:rPr>
        <w:t>Ruimsig</w:t>
      </w:r>
      <w:proofErr w:type="spellEnd"/>
      <w:r w:rsidR="006053E9" w:rsidRPr="00FC5CC9">
        <w:rPr>
          <w:rFonts w:ascii="Arial" w:hAnsi="Arial" w:cs="Arial"/>
        </w:rPr>
        <w:t>, 265, Portion 21, IQ District,</w:t>
      </w:r>
      <w:r w:rsidR="005F10B0" w:rsidRPr="00FC5CC9">
        <w:rPr>
          <w:rFonts w:ascii="Arial" w:hAnsi="Arial" w:cs="Arial"/>
        </w:rPr>
        <w:t xml:space="preserve"> Gauteng Province</w:t>
      </w:r>
      <w:r w:rsidR="006550D1" w:rsidRPr="00FC5CC9">
        <w:rPr>
          <w:rFonts w:ascii="Arial" w:hAnsi="Arial" w:cs="Arial"/>
        </w:rPr>
        <w:t xml:space="preserve"> (the Property)</w:t>
      </w:r>
      <w:r w:rsidR="005F10B0" w:rsidRPr="00FC5CC9">
        <w:rPr>
          <w:rFonts w:ascii="Arial" w:hAnsi="Arial" w:cs="Arial"/>
        </w:rPr>
        <w:t xml:space="preserve"> is hereby terminated.</w:t>
      </w:r>
    </w:p>
    <w:p w:rsidR="005F10B0" w:rsidRPr="00FC5CC9" w:rsidRDefault="00FC5CC9" w:rsidP="00FC5CC9">
      <w:pPr>
        <w:widowControl/>
        <w:spacing w:before="320" w:line="600" w:lineRule="auto"/>
        <w:ind w:left="928" w:hanging="360"/>
        <w:jc w:val="both"/>
        <w:rPr>
          <w:rFonts w:ascii="Arial" w:hAnsi="Arial" w:cs="Arial"/>
        </w:rPr>
      </w:pPr>
      <w:r>
        <w:rPr>
          <w:rFonts w:ascii="Arial" w:hAnsi="Arial" w:cs="Arial"/>
        </w:rPr>
        <w:t>2]</w:t>
      </w:r>
      <w:r>
        <w:rPr>
          <w:rFonts w:ascii="Arial" w:hAnsi="Arial" w:cs="Arial"/>
        </w:rPr>
        <w:tab/>
      </w:r>
      <w:r w:rsidR="005F10B0" w:rsidRPr="00FC5CC9">
        <w:rPr>
          <w:rFonts w:ascii="Arial" w:hAnsi="Arial" w:cs="Arial"/>
        </w:rPr>
        <w:t>The value of the property will be determined on the average of three independent estate agents’ valuation thereof.</w:t>
      </w:r>
    </w:p>
    <w:p w:rsidR="005F10B0" w:rsidRPr="00FC5CC9" w:rsidRDefault="00FC5CC9" w:rsidP="00FC5CC9">
      <w:pPr>
        <w:widowControl/>
        <w:spacing w:before="320" w:line="600" w:lineRule="auto"/>
        <w:ind w:left="928" w:hanging="360"/>
        <w:jc w:val="both"/>
        <w:rPr>
          <w:rFonts w:ascii="Arial" w:hAnsi="Arial" w:cs="Arial"/>
        </w:rPr>
      </w:pPr>
      <w:r>
        <w:rPr>
          <w:rFonts w:ascii="Arial" w:hAnsi="Arial" w:cs="Arial"/>
        </w:rPr>
        <w:lastRenderedPageBreak/>
        <w:t>3]</w:t>
      </w:r>
      <w:r>
        <w:rPr>
          <w:rFonts w:ascii="Arial" w:hAnsi="Arial" w:cs="Arial"/>
        </w:rPr>
        <w:tab/>
      </w:r>
      <w:r w:rsidR="005F10B0" w:rsidRPr="00FC5CC9">
        <w:rPr>
          <w:rFonts w:ascii="Arial" w:hAnsi="Arial" w:cs="Arial"/>
        </w:rPr>
        <w:t xml:space="preserve">The value to be paid over to the parties shall be </w:t>
      </w:r>
      <w:r w:rsidR="007D29DC" w:rsidRPr="00FC5CC9">
        <w:rPr>
          <w:rFonts w:ascii="Arial" w:hAnsi="Arial" w:cs="Arial"/>
        </w:rPr>
        <w:t>the following: 50% to each of the plaintiff on the one hand and the 1</w:t>
      </w:r>
      <w:r w:rsidR="007D29DC" w:rsidRPr="00FC5CC9">
        <w:rPr>
          <w:rFonts w:ascii="Arial" w:hAnsi="Arial" w:cs="Arial"/>
          <w:vertAlign w:val="superscript"/>
        </w:rPr>
        <w:t>st</w:t>
      </w:r>
      <w:r w:rsidR="007D29DC" w:rsidRPr="00FC5CC9">
        <w:rPr>
          <w:rFonts w:ascii="Arial" w:hAnsi="Arial" w:cs="Arial"/>
        </w:rPr>
        <w:t xml:space="preserve"> and 2</w:t>
      </w:r>
      <w:r w:rsidR="007D29DC" w:rsidRPr="00FC5CC9">
        <w:rPr>
          <w:rFonts w:ascii="Arial" w:hAnsi="Arial" w:cs="Arial"/>
          <w:vertAlign w:val="superscript"/>
        </w:rPr>
        <w:t>nd</w:t>
      </w:r>
      <w:r w:rsidR="007D29DC" w:rsidRPr="00FC5CC9">
        <w:rPr>
          <w:rFonts w:ascii="Arial" w:hAnsi="Arial" w:cs="Arial"/>
        </w:rPr>
        <w:t xml:space="preserve"> defendants on the other hand, of the </w:t>
      </w:r>
      <w:r w:rsidR="005F10B0" w:rsidRPr="00FC5CC9">
        <w:rPr>
          <w:rFonts w:ascii="Arial" w:hAnsi="Arial" w:cs="Arial"/>
        </w:rPr>
        <w:t>net equity in the property after deduction of the following amounts: any amount owing in respect of the bond on the Property; any amount owing to the Local Municipality</w:t>
      </w:r>
      <w:r w:rsidR="00A3796D">
        <w:rPr>
          <w:rFonts w:ascii="Arial" w:hAnsi="Arial" w:cs="Arial"/>
        </w:rPr>
        <w:t xml:space="preserve"> for purposes of obtaining any clearance certificate(s)</w:t>
      </w:r>
      <w:r w:rsidR="005F10B0" w:rsidRPr="00FC5CC9">
        <w:rPr>
          <w:rFonts w:ascii="Arial" w:hAnsi="Arial" w:cs="Arial"/>
        </w:rPr>
        <w:t xml:space="preserve">; any costs relating to the marketing, sale and transfer of the Property including estate agents’ commission and/or auction costs and/or liquidator’s fees and </w:t>
      </w:r>
      <w:r w:rsidR="006550D1" w:rsidRPr="00FC5CC9">
        <w:rPr>
          <w:rFonts w:ascii="Arial" w:hAnsi="Arial" w:cs="Arial"/>
        </w:rPr>
        <w:t>conveyancer’s</w:t>
      </w:r>
      <w:r w:rsidR="005F10B0" w:rsidRPr="00FC5CC9">
        <w:rPr>
          <w:rFonts w:ascii="Arial" w:hAnsi="Arial" w:cs="Arial"/>
        </w:rPr>
        <w:t xml:space="preserve"> fees.</w:t>
      </w:r>
    </w:p>
    <w:p w:rsidR="005F10B0" w:rsidRPr="00FC5CC9" w:rsidRDefault="00FC5CC9" w:rsidP="00FC5CC9">
      <w:pPr>
        <w:widowControl/>
        <w:spacing w:before="320" w:line="600" w:lineRule="auto"/>
        <w:ind w:left="928" w:hanging="360"/>
        <w:jc w:val="both"/>
        <w:rPr>
          <w:rFonts w:ascii="Arial" w:hAnsi="Arial" w:cs="Arial"/>
        </w:rPr>
      </w:pPr>
      <w:r>
        <w:rPr>
          <w:rFonts w:ascii="Arial" w:hAnsi="Arial" w:cs="Arial"/>
        </w:rPr>
        <w:t>4]</w:t>
      </w:r>
      <w:r>
        <w:rPr>
          <w:rFonts w:ascii="Arial" w:hAnsi="Arial" w:cs="Arial"/>
        </w:rPr>
        <w:tab/>
      </w:r>
      <w:r w:rsidR="005F10B0" w:rsidRPr="00FC5CC9">
        <w:rPr>
          <w:rFonts w:ascii="Arial" w:hAnsi="Arial" w:cs="Arial"/>
        </w:rPr>
        <w:t>The division of the equity in the Property shall be effected in the following manner:</w:t>
      </w:r>
    </w:p>
    <w:p w:rsidR="005F10B0" w:rsidRDefault="005F10B0" w:rsidP="007D29DC">
      <w:pPr>
        <w:widowControl/>
        <w:spacing w:before="320" w:line="600" w:lineRule="auto"/>
        <w:ind w:left="1440" w:hanging="512"/>
        <w:jc w:val="both"/>
        <w:rPr>
          <w:rFonts w:ascii="Arial" w:hAnsi="Arial" w:cs="Arial"/>
        </w:rPr>
      </w:pPr>
      <w:r>
        <w:rPr>
          <w:rFonts w:ascii="Arial" w:hAnsi="Arial" w:cs="Arial"/>
        </w:rPr>
        <w:t>4.1</w:t>
      </w:r>
      <w:r>
        <w:rPr>
          <w:rFonts w:ascii="Arial" w:hAnsi="Arial" w:cs="Arial"/>
        </w:rPr>
        <w:tab/>
      </w:r>
      <w:r w:rsidR="006550D1">
        <w:rPr>
          <w:rFonts w:ascii="Arial" w:hAnsi="Arial" w:cs="Arial"/>
        </w:rPr>
        <w:t xml:space="preserve">the </w:t>
      </w:r>
      <w:r w:rsidR="007D29DC">
        <w:rPr>
          <w:rFonts w:ascii="Arial" w:hAnsi="Arial" w:cs="Arial"/>
        </w:rPr>
        <w:t>1</w:t>
      </w:r>
      <w:r w:rsidR="007D29DC" w:rsidRPr="007D29DC">
        <w:rPr>
          <w:rFonts w:ascii="Arial" w:hAnsi="Arial" w:cs="Arial"/>
          <w:vertAlign w:val="superscript"/>
        </w:rPr>
        <w:t>st</w:t>
      </w:r>
      <w:r w:rsidR="007D29DC">
        <w:rPr>
          <w:rFonts w:ascii="Arial" w:hAnsi="Arial" w:cs="Arial"/>
        </w:rPr>
        <w:t xml:space="preserve"> and 2</w:t>
      </w:r>
      <w:r w:rsidR="007D29DC" w:rsidRPr="007D29DC">
        <w:rPr>
          <w:rFonts w:ascii="Arial" w:hAnsi="Arial" w:cs="Arial"/>
          <w:vertAlign w:val="superscript"/>
        </w:rPr>
        <w:t>nd</w:t>
      </w:r>
      <w:r w:rsidR="007D29DC">
        <w:rPr>
          <w:rFonts w:ascii="Arial" w:hAnsi="Arial" w:cs="Arial"/>
        </w:rPr>
        <w:t xml:space="preserve"> </w:t>
      </w:r>
      <w:r w:rsidR="006550D1">
        <w:rPr>
          <w:rFonts w:ascii="Arial" w:hAnsi="Arial" w:cs="Arial"/>
        </w:rPr>
        <w:t>defendant</w:t>
      </w:r>
      <w:r w:rsidR="007D29DC">
        <w:rPr>
          <w:rFonts w:ascii="Arial" w:hAnsi="Arial" w:cs="Arial"/>
        </w:rPr>
        <w:t>s</w:t>
      </w:r>
      <w:r w:rsidR="006550D1">
        <w:rPr>
          <w:rFonts w:ascii="Arial" w:hAnsi="Arial" w:cs="Arial"/>
        </w:rPr>
        <w:t xml:space="preserve"> have until 29 July 2022 at 16h00, to communicate their decision to the plaintiff or her appointed legal representative, whether they intend to purchase the plaintiff’s 50% in the Property</w:t>
      </w:r>
      <w:r w:rsidR="007D29DC">
        <w:rPr>
          <w:rFonts w:ascii="Arial" w:hAnsi="Arial" w:cs="Arial"/>
        </w:rPr>
        <w:t xml:space="preserve"> or not;</w:t>
      </w:r>
    </w:p>
    <w:p w:rsidR="007D29DC" w:rsidRPr="005F10B0" w:rsidRDefault="007D29DC" w:rsidP="007D29DC">
      <w:pPr>
        <w:widowControl/>
        <w:spacing w:before="320" w:line="600" w:lineRule="auto"/>
        <w:ind w:left="1440" w:hanging="512"/>
        <w:jc w:val="both"/>
        <w:rPr>
          <w:rFonts w:ascii="Arial" w:hAnsi="Arial" w:cs="Arial"/>
        </w:rPr>
      </w:pPr>
      <w:r>
        <w:rPr>
          <w:rFonts w:ascii="Arial" w:hAnsi="Arial" w:cs="Arial"/>
        </w:rPr>
        <w:t>4.2</w:t>
      </w:r>
      <w:r>
        <w:rPr>
          <w:rFonts w:ascii="Arial" w:hAnsi="Arial" w:cs="Arial"/>
        </w:rPr>
        <w:tab/>
        <w:t>in the event that the 1</w:t>
      </w:r>
      <w:r w:rsidRPr="007D29DC">
        <w:rPr>
          <w:rFonts w:ascii="Arial" w:hAnsi="Arial" w:cs="Arial"/>
          <w:vertAlign w:val="superscript"/>
        </w:rPr>
        <w:t>st</w:t>
      </w:r>
      <w:r>
        <w:rPr>
          <w:rFonts w:ascii="Arial" w:hAnsi="Arial" w:cs="Arial"/>
        </w:rPr>
        <w:t xml:space="preserve"> and 2</w:t>
      </w:r>
      <w:r w:rsidRPr="007D29DC">
        <w:rPr>
          <w:rFonts w:ascii="Arial" w:hAnsi="Arial" w:cs="Arial"/>
          <w:vertAlign w:val="superscript"/>
        </w:rPr>
        <w:t>nd</w:t>
      </w:r>
      <w:r>
        <w:rPr>
          <w:rFonts w:ascii="Arial" w:hAnsi="Arial" w:cs="Arial"/>
        </w:rPr>
        <w:t xml:space="preserve"> defendants elect to purchase the plaintiff’s 50% share in the Property, the plaintiff’s 50% share shall be transferred and registered in the 1</w:t>
      </w:r>
      <w:r w:rsidRPr="007D29DC">
        <w:rPr>
          <w:rFonts w:ascii="Arial" w:hAnsi="Arial" w:cs="Arial"/>
          <w:vertAlign w:val="superscript"/>
        </w:rPr>
        <w:t>st</w:t>
      </w:r>
      <w:r>
        <w:rPr>
          <w:rFonts w:ascii="Arial" w:hAnsi="Arial" w:cs="Arial"/>
        </w:rPr>
        <w:t xml:space="preserve"> and 2</w:t>
      </w:r>
      <w:r w:rsidRPr="007D29DC">
        <w:rPr>
          <w:rFonts w:ascii="Arial" w:hAnsi="Arial" w:cs="Arial"/>
          <w:vertAlign w:val="superscript"/>
        </w:rPr>
        <w:t>nd</w:t>
      </w:r>
      <w:r>
        <w:rPr>
          <w:rFonts w:ascii="Arial" w:hAnsi="Arial" w:cs="Arial"/>
        </w:rPr>
        <w:t xml:space="preserve"> defendants name (and in accordance with the provisions of the Deeds Registries Act 47 of 1937) </w:t>
      </w:r>
      <w:r>
        <w:rPr>
          <w:rFonts w:ascii="Arial" w:hAnsi="Arial" w:cs="Arial"/>
        </w:rPr>
        <w:lastRenderedPageBreak/>
        <w:t>against payment of the net amount calculated as set out in paragraph 3 supra;</w:t>
      </w:r>
    </w:p>
    <w:p w:rsidR="009D6525" w:rsidRDefault="007D29DC" w:rsidP="009D6525">
      <w:pPr>
        <w:pStyle w:val="ListParagraph"/>
        <w:widowControl/>
        <w:spacing w:before="320" w:line="600" w:lineRule="auto"/>
        <w:ind w:left="1440" w:hanging="512"/>
        <w:jc w:val="both"/>
        <w:rPr>
          <w:rFonts w:ascii="Arial" w:hAnsi="Arial" w:cs="Arial"/>
        </w:rPr>
      </w:pPr>
      <w:r>
        <w:rPr>
          <w:rFonts w:ascii="Arial" w:hAnsi="Arial" w:cs="Arial"/>
        </w:rPr>
        <w:t>4.3</w:t>
      </w:r>
      <w:r>
        <w:rPr>
          <w:rFonts w:ascii="Arial" w:hAnsi="Arial" w:cs="Arial"/>
        </w:rPr>
        <w:tab/>
        <w:t>alternatively, and in the event that the 1</w:t>
      </w:r>
      <w:r w:rsidRPr="007D29DC">
        <w:rPr>
          <w:rFonts w:ascii="Arial" w:hAnsi="Arial" w:cs="Arial"/>
          <w:vertAlign w:val="superscript"/>
        </w:rPr>
        <w:t>st</w:t>
      </w:r>
      <w:r>
        <w:rPr>
          <w:rFonts w:ascii="Arial" w:hAnsi="Arial" w:cs="Arial"/>
        </w:rPr>
        <w:t xml:space="preserve"> and 2</w:t>
      </w:r>
      <w:r w:rsidRPr="007D29DC">
        <w:rPr>
          <w:rFonts w:ascii="Arial" w:hAnsi="Arial" w:cs="Arial"/>
          <w:vertAlign w:val="superscript"/>
        </w:rPr>
        <w:t>nd</w:t>
      </w:r>
      <w:r>
        <w:rPr>
          <w:rFonts w:ascii="Arial" w:hAnsi="Arial" w:cs="Arial"/>
        </w:rPr>
        <w:t xml:space="preserve"> defendants elect not to, or are unable to, purchase the plaintiff’s 50% share in the property</w:t>
      </w:r>
      <w:r w:rsidR="00C54CF5" w:rsidRPr="007D29DC">
        <w:rPr>
          <w:rFonts w:ascii="Arial" w:hAnsi="Arial" w:cs="Arial"/>
        </w:rPr>
        <w:t xml:space="preserve"> </w:t>
      </w:r>
      <w:r>
        <w:rPr>
          <w:rFonts w:ascii="Arial" w:hAnsi="Arial" w:cs="Arial"/>
        </w:rPr>
        <w:t>parties will ensure that the</w:t>
      </w:r>
      <w:r w:rsidR="009D6525">
        <w:rPr>
          <w:rFonts w:ascii="Arial" w:hAnsi="Arial" w:cs="Arial"/>
        </w:rPr>
        <w:t xml:space="preserve"> property is</w:t>
      </w:r>
      <w:r w:rsidR="00C54CF5" w:rsidRPr="007D29DC">
        <w:rPr>
          <w:rFonts w:ascii="Arial" w:hAnsi="Arial" w:cs="Arial"/>
        </w:rPr>
        <w:t xml:space="preserve"> placed on the open market </w:t>
      </w:r>
      <w:r w:rsidR="009D6525">
        <w:rPr>
          <w:rFonts w:ascii="Arial" w:hAnsi="Arial" w:cs="Arial"/>
        </w:rPr>
        <w:t xml:space="preserve">for sale </w:t>
      </w:r>
      <w:r w:rsidR="00C54CF5" w:rsidRPr="007D29DC">
        <w:rPr>
          <w:rFonts w:ascii="Arial" w:hAnsi="Arial" w:cs="Arial"/>
        </w:rPr>
        <w:t xml:space="preserve">and sold </w:t>
      </w:r>
      <w:r w:rsidR="009D6525">
        <w:rPr>
          <w:rFonts w:ascii="Arial" w:hAnsi="Arial" w:cs="Arial"/>
        </w:rPr>
        <w:t>within 90 days thereof;</w:t>
      </w:r>
    </w:p>
    <w:p w:rsidR="009D6525" w:rsidRDefault="009D6525" w:rsidP="00FC5CC9">
      <w:pPr>
        <w:widowControl/>
        <w:spacing w:before="320" w:line="600" w:lineRule="auto"/>
        <w:ind w:left="1440" w:hanging="447"/>
        <w:jc w:val="both"/>
        <w:rPr>
          <w:rFonts w:ascii="Arial" w:hAnsi="Arial" w:cs="Arial"/>
        </w:rPr>
      </w:pPr>
      <w:r w:rsidRPr="009D6525">
        <w:rPr>
          <w:rFonts w:ascii="Arial" w:hAnsi="Arial" w:cs="Arial"/>
        </w:rPr>
        <w:t>4.4</w:t>
      </w:r>
      <w:r w:rsidRPr="009D6525">
        <w:rPr>
          <w:rFonts w:ascii="Arial" w:hAnsi="Arial" w:cs="Arial"/>
        </w:rPr>
        <w:tab/>
        <w:t xml:space="preserve">further alternatively to 4.1, 4.2 and 4.3: in the event that the property is not sold within the 90-day period set out in 4.3 supra, the Plaintiff may cause the property to be sold on auction </w:t>
      </w:r>
      <w:r>
        <w:rPr>
          <w:rFonts w:ascii="Arial" w:hAnsi="Arial" w:cs="Arial"/>
        </w:rPr>
        <w:t>for a</w:t>
      </w:r>
      <w:r w:rsidRPr="009D6525">
        <w:rPr>
          <w:rFonts w:ascii="Arial" w:hAnsi="Arial" w:cs="Arial"/>
        </w:rPr>
        <w:t xml:space="preserve"> reserve price of not less than the amount set out in paragraph 2 </w:t>
      </w:r>
      <w:r>
        <w:rPr>
          <w:rFonts w:ascii="Arial" w:hAnsi="Arial" w:cs="Arial"/>
        </w:rPr>
        <w:t>supra, or an amount as agreed by the plaintiff, the 1</w:t>
      </w:r>
      <w:r w:rsidRPr="009D6525">
        <w:rPr>
          <w:rFonts w:ascii="Arial" w:hAnsi="Arial" w:cs="Arial"/>
          <w:vertAlign w:val="superscript"/>
        </w:rPr>
        <w:t>st</w:t>
      </w:r>
      <w:r>
        <w:rPr>
          <w:rFonts w:ascii="Arial" w:hAnsi="Arial" w:cs="Arial"/>
        </w:rPr>
        <w:t xml:space="preserve"> defendant and the 2</w:t>
      </w:r>
      <w:r w:rsidRPr="009D6525">
        <w:rPr>
          <w:rFonts w:ascii="Arial" w:hAnsi="Arial" w:cs="Arial"/>
          <w:vertAlign w:val="superscript"/>
        </w:rPr>
        <w:t>nd</w:t>
      </w:r>
      <w:r>
        <w:rPr>
          <w:rFonts w:ascii="Arial" w:hAnsi="Arial" w:cs="Arial"/>
        </w:rPr>
        <w:t xml:space="preserve"> </w:t>
      </w:r>
      <w:r w:rsidR="00340CBC">
        <w:rPr>
          <w:rFonts w:ascii="Arial" w:hAnsi="Arial" w:cs="Arial"/>
        </w:rPr>
        <w:t xml:space="preserve">defendant. The </w:t>
      </w:r>
      <w:r w:rsidRPr="009D6525">
        <w:rPr>
          <w:rFonts w:ascii="Arial" w:hAnsi="Arial" w:cs="Arial"/>
        </w:rPr>
        <w:t xml:space="preserve">Plaintiff shall </w:t>
      </w:r>
      <w:r w:rsidR="00340CBC">
        <w:rPr>
          <w:rFonts w:ascii="Arial" w:hAnsi="Arial" w:cs="Arial"/>
        </w:rPr>
        <w:t xml:space="preserve">have </w:t>
      </w:r>
      <w:r w:rsidRPr="009D6525">
        <w:rPr>
          <w:rFonts w:ascii="Arial" w:hAnsi="Arial" w:cs="Arial"/>
        </w:rPr>
        <w:t>90</w:t>
      </w:r>
      <w:r w:rsidR="00340CBC">
        <w:rPr>
          <w:rFonts w:ascii="Arial" w:hAnsi="Arial" w:cs="Arial"/>
        </w:rPr>
        <w:t xml:space="preserve"> days</w:t>
      </w:r>
      <w:r w:rsidRPr="009D6525">
        <w:rPr>
          <w:rFonts w:ascii="Arial" w:hAnsi="Arial" w:cs="Arial"/>
        </w:rPr>
        <w:t xml:space="preserve"> within which to </w:t>
      </w:r>
      <w:r w:rsidR="00340CBC">
        <w:rPr>
          <w:rFonts w:ascii="Arial" w:hAnsi="Arial" w:cs="Arial"/>
        </w:rPr>
        <w:t>place the property on auction.</w:t>
      </w:r>
    </w:p>
    <w:p w:rsidR="009D6525" w:rsidRPr="009D6525" w:rsidRDefault="009D6525" w:rsidP="00FC5CC9">
      <w:pPr>
        <w:widowControl/>
        <w:spacing w:before="320" w:line="600" w:lineRule="auto"/>
        <w:ind w:left="1440" w:hanging="447"/>
        <w:jc w:val="both"/>
        <w:rPr>
          <w:rFonts w:ascii="Arial" w:hAnsi="Arial" w:cs="Arial"/>
        </w:rPr>
      </w:pPr>
      <w:r>
        <w:rPr>
          <w:rFonts w:ascii="Arial" w:hAnsi="Arial" w:cs="Arial"/>
        </w:rPr>
        <w:t>4.5</w:t>
      </w:r>
      <w:r>
        <w:rPr>
          <w:rFonts w:ascii="Arial" w:hAnsi="Arial" w:cs="Arial"/>
        </w:rPr>
        <w:tab/>
        <w:t>further alternatively to 4.1, 4.2, 4.3 and/or 4.4 supra: in the event that the property is not sold on public auction for the reserve price, or a price as agreed by both parties</w:t>
      </w:r>
      <w:r w:rsidR="00872619">
        <w:rPr>
          <w:rFonts w:ascii="Arial" w:hAnsi="Arial" w:cs="Arial"/>
        </w:rPr>
        <w:t xml:space="preserve"> then </w:t>
      </w:r>
      <w:r>
        <w:rPr>
          <w:rFonts w:ascii="Arial" w:hAnsi="Arial" w:cs="Arial"/>
        </w:rPr>
        <w:t>a liquidator, as agreed to between the parties</w:t>
      </w:r>
      <w:r w:rsidR="00872619">
        <w:rPr>
          <w:rFonts w:ascii="Arial" w:hAnsi="Arial" w:cs="Arial"/>
        </w:rPr>
        <w:t xml:space="preserve"> or as appointed by the Legal Practice Council in the event that they cannot agree</w:t>
      </w:r>
      <w:r>
        <w:rPr>
          <w:rFonts w:ascii="Arial" w:hAnsi="Arial" w:cs="Arial"/>
        </w:rPr>
        <w:t xml:space="preserve">, </w:t>
      </w:r>
      <w:r w:rsidR="00872619">
        <w:rPr>
          <w:rFonts w:ascii="Arial" w:hAnsi="Arial" w:cs="Arial"/>
        </w:rPr>
        <w:t xml:space="preserve">shall </w:t>
      </w:r>
      <w:r>
        <w:rPr>
          <w:rFonts w:ascii="Arial" w:hAnsi="Arial" w:cs="Arial"/>
        </w:rPr>
        <w:t xml:space="preserve">be appointed to attend to </w:t>
      </w:r>
      <w:r w:rsidR="00872619">
        <w:rPr>
          <w:rFonts w:ascii="Arial" w:hAnsi="Arial" w:cs="Arial"/>
        </w:rPr>
        <w:t>the disposition</w:t>
      </w:r>
      <w:r>
        <w:rPr>
          <w:rFonts w:ascii="Arial" w:hAnsi="Arial" w:cs="Arial"/>
        </w:rPr>
        <w:t xml:space="preserve"> of the property</w:t>
      </w:r>
      <w:r w:rsidR="00872619">
        <w:rPr>
          <w:rFonts w:ascii="Arial" w:hAnsi="Arial" w:cs="Arial"/>
        </w:rPr>
        <w:t>.</w:t>
      </w:r>
    </w:p>
    <w:p w:rsidR="009D6525" w:rsidRDefault="009D6525" w:rsidP="009D6525">
      <w:pPr>
        <w:pStyle w:val="ListParagraph"/>
        <w:widowControl/>
        <w:spacing w:before="320" w:line="600" w:lineRule="auto"/>
        <w:ind w:left="1440" w:hanging="512"/>
        <w:jc w:val="both"/>
        <w:rPr>
          <w:rFonts w:ascii="Arial" w:hAnsi="Arial" w:cs="Arial"/>
        </w:rPr>
      </w:pPr>
    </w:p>
    <w:p w:rsidR="00A3796D" w:rsidRDefault="00A3796D" w:rsidP="00A3796D">
      <w:pPr>
        <w:widowControl/>
        <w:spacing w:before="320" w:line="600" w:lineRule="auto"/>
        <w:ind w:left="993" w:hanging="273"/>
        <w:jc w:val="both"/>
        <w:rPr>
          <w:rFonts w:ascii="Arial" w:hAnsi="Arial" w:cs="Arial"/>
        </w:rPr>
      </w:pPr>
      <w:r>
        <w:rPr>
          <w:rFonts w:ascii="Arial" w:hAnsi="Arial" w:cs="Arial"/>
        </w:rPr>
        <w:t>5</w:t>
      </w:r>
      <w:r w:rsidR="00FC5CC9">
        <w:rPr>
          <w:rFonts w:ascii="Arial" w:hAnsi="Arial" w:cs="Arial"/>
        </w:rPr>
        <w:t>]</w:t>
      </w:r>
      <w:r w:rsidR="00FC5CC9">
        <w:rPr>
          <w:rFonts w:ascii="Arial" w:hAnsi="Arial" w:cs="Arial"/>
        </w:rPr>
        <w:tab/>
        <w:t xml:space="preserve">The plaintiff, the </w:t>
      </w:r>
      <w:r w:rsidR="00C54CF5" w:rsidRPr="00FC5CC9">
        <w:rPr>
          <w:rFonts w:ascii="Arial" w:hAnsi="Arial" w:cs="Arial"/>
        </w:rPr>
        <w:t>1</w:t>
      </w:r>
      <w:r w:rsidR="00C54CF5" w:rsidRPr="00FC5CC9">
        <w:rPr>
          <w:rFonts w:ascii="Arial" w:hAnsi="Arial" w:cs="Arial"/>
          <w:vertAlign w:val="superscript"/>
        </w:rPr>
        <w:t>st</w:t>
      </w:r>
      <w:r w:rsidR="00C54CF5" w:rsidRPr="00FC5CC9">
        <w:rPr>
          <w:rFonts w:ascii="Arial" w:hAnsi="Arial" w:cs="Arial"/>
        </w:rPr>
        <w:t xml:space="preserve"> </w:t>
      </w:r>
      <w:r w:rsidR="00FC5CC9">
        <w:rPr>
          <w:rFonts w:ascii="Arial" w:hAnsi="Arial" w:cs="Arial"/>
        </w:rPr>
        <w:t xml:space="preserve">defendant and the </w:t>
      </w:r>
      <w:r w:rsidR="00C54CF5" w:rsidRPr="00FC5CC9">
        <w:rPr>
          <w:rFonts w:ascii="Arial" w:hAnsi="Arial" w:cs="Arial"/>
        </w:rPr>
        <w:t>and 2</w:t>
      </w:r>
      <w:r w:rsidR="00C54CF5" w:rsidRPr="00FC5CC9">
        <w:rPr>
          <w:rFonts w:ascii="Arial" w:hAnsi="Arial" w:cs="Arial"/>
          <w:vertAlign w:val="superscript"/>
        </w:rPr>
        <w:t>nd</w:t>
      </w:r>
      <w:r w:rsidR="00C54CF5" w:rsidRPr="00FC5CC9">
        <w:rPr>
          <w:rFonts w:ascii="Arial" w:hAnsi="Arial" w:cs="Arial"/>
        </w:rPr>
        <w:t xml:space="preserve"> defendant</w:t>
      </w:r>
      <w:r w:rsidR="00FC5CC9">
        <w:rPr>
          <w:rFonts w:ascii="Arial" w:hAnsi="Arial" w:cs="Arial"/>
        </w:rPr>
        <w:t xml:space="preserve"> are ordered to</w:t>
      </w:r>
      <w:r w:rsidR="00C54CF5" w:rsidRPr="00FC5CC9">
        <w:rPr>
          <w:rFonts w:ascii="Arial" w:hAnsi="Arial" w:cs="Arial"/>
        </w:rPr>
        <w:t xml:space="preserve"> cooperate fully with respect to the marketing</w:t>
      </w:r>
      <w:r>
        <w:rPr>
          <w:rFonts w:ascii="Arial" w:hAnsi="Arial" w:cs="Arial"/>
        </w:rPr>
        <w:t>,</w:t>
      </w:r>
      <w:r w:rsidR="00C54CF5" w:rsidRPr="00FC5CC9">
        <w:rPr>
          <w:rFonts w:ascii="Arial" w:hAnsi="Arial" w:cs="Arial"/>
        </w:rPr>
        <w:t xml:space="preserve"> sale</w:t>
      </w:r>
      <w:r>
        <w:rPr>
          <w:rFonts w:ascii="Arial" w:hAnsi="Arial" w:cs="Arial"/>
        </w:rPr>
        <w:t>,</w:t>
      </w:r>
      <w:r w:rsidR="00C54CF5" w:rsidRPr="00FC5CC9">
        <w:rPr>
          <w:rFonts w:ascii="Arial" w:hAnsi="Arial" w:cs="Arial"/>
        </w:rPr>
        <w:t xml:space="preserve"> disposal </w:t>
      </w:r>
      <w:r>
        <w:rPr>
          <w:rFonts w:ascii="Arial" w:hAnsi="Arial" w:cs="Arial"/>
        </w:rPr>
        <w:t xml:space="preserve">and transfer of the Property by timeously and upon demand </w:t>
      </w:r>
      <w:r w:rsidR="00C54CF5" w:rsidRPr="00FC5CC9">
        <w:rPr>
          <w:rFonts w:ascii="Arial" w:hAnsi="Arial" w:cs="Arial"/>
        </w:rPr>
        <w:t>doing all things and signing al</w:t>
      </w:r>
      <w:r>
        <w:rPr>
          <w:rFonts w:ascii="Arial" w:hAnsi="Arial" w:cs="Arial"/>
        </w:rPr>
        <w:t>l</w:t>
      </w:r>
      <w:r w:rsidR="00C54CF5" w:rsidRPr="00FC5CC9">
        <w:rPr>
          <w:rFonts w:ascii="Arial" w:hAnsi="Arial" w:cs="Arial"/>
        </w:rPr>
        <w:t xml:space="preserve"> documents necessary to give effect to </w:t>
      </w:r>
      <w:r>
        <w:rPr>
          <w:rFonts w:ascii="Arial" w:hAnsi="Arial" w:cs="Arial"/>
        </w:rPr>
        <w:t>paragraph 4 supra.</w:t>
      </w:r>
    </w:p>
    <w:p w:rsidR="00CF7149" w:rsidRDefault="00A3796D" w:rsidP="00A3796D">
      <w:pPr>
        <w:widowControl/>
        <w:spacing w:before="320" w:line="600" w:lineRule="auto"/>
        <w:ind w:left="993" w:hanging="273"/>
        <w:jc w:val="both"/>
        <w:rPr>
          <w:rFonts w:ascii="Arial" w:hAnsi="Arial" w:cs="Arial"/>
        </w:rPr>
      </w:pPr>
      <w:r>
        <w:rPr>
          <w:rFonts w:ascii="Arial" w:hAnsi="Arial" w:cs="Arial"/>
        </w:rPr>
        <w:t>6] T</w:t>
      </w:r>
      <w:r w:rsidR="00CF7149">
        <w:rPr>
          <w:rFonts w:ascii="Arial" w:hAnsi="Arial" w:cs="Arial"/>
        </w:rPr>
        <w:t xml:space="preserve">he Plaintiff </w:t>
      </w:r>
      <w:r>
        <w:rPr>
          <w:rFonts w:ascii="Arial" w:hAnsi="Arial" w:cs="Arial"/>
        </w:rPr>
        <w:t xml:space="preserve">is entitled to </w:t>
      </w:r>
      <w:r w:rsidR="00CF7149">
        <w:rPr>
          <w:rFonts w:ascii="Arial" w:hAnsi="Arial" w:cs="Arial"/>
        </w:rPr>
        <w:t>appoint the transferring attorneys to give eff</w:t>
      </w:r>
      <w:r>
        <w:rPr>
          <w:rFonts w:ascii="Arial" w:hAnsi="Arial" w:cs="Arial"/>
        </w:rPr>
        <w:t>ect to the sale and/or transfer of the property.</w:t>
      </w:r>
    </w:p>
    <w:p w:rsidR="00CF7149" w:rsidRPr="00A3796D" w:rsidRDefault="00A3796D" w:rsidP="00B30305">
      <w:pPr>
        <w:widowControl/>
        <w:spacing w:before="320" w:line="600" w:lineRule="auto"/>
        <w:ind w:left="993" w:hanging="273"/>
        <w:jc w:val="both"/>
        <w:rPr>
          <w:rFonts w:ascii="Arial" w:hAnsi="Arial" w:cs="Arial"/>
        </w:rPr>
      </w:pPr>
      <w:r>
        <w:rPr>
          <w:rFonts w:ascii="Arial" w:hAnsi="Arial" w:cs="Arial"/>
        </w:rPr>
        <w:t>7]</w:t>
      </w:r>
      <w:r>
        <w:rPr>
          <w:rFonts w:ascii="Arial" w:hAnsi="Arial" w:cs="Arial"/>
        </w:rPr>
        <w:tab/>
        <w:t>T</w:t>
      </w:r>
      <w:r w:rsidR="00815B59" w:rsidRPr="00A3796D">
        <w:rPr>
          <w:rFonts w:ascii="Arial" w:hAnsi="Arial" w:cs="Arial"/>
        </w:rPr>
        <w:t>he sheriff</w:t>
      </w:r>
      <w:r>
        <w:rPr>
          <w:rFonts w:ascii="Arial" w:hAnsi="Arial" w:cs="Arial"/>
        </w:rPr>
        <w:t xml:space="preserve"> of the area where the property is situated,</w:t>
      </w:r>
      <w:r w:rsidR="00181BAD">
        <w:rPr>
          <w:rFonts w:ascii="Arial" w:hAnsi="Arial" w:cs="Arial"/>
        </w:rPr>
        <w:t xml:space="preserve"> is </w:t>
      </w:r>
      <w:proofErr w:type="spellStart"/>
      <w:r w:rsidR="00181BAD">
        <w:rPr>
          <w:rFonts w:ascii="Arial" w:hAnsi="Arial" w:cs="Arial"/>
        </w:rPr>
        <w:t>authoris</w:t>
      </w:r>
      <w:r w:rsidR="00815B59" w:rsidRPr="00A3796D">
        <w:rPr>
          <w:rFonts w:ascii="Arial" w:hAnsi="Arial" w:cs="Arial"/>
        </w:rPr>
        <w:t>ed</w:t>
      </w:r>
      <w:proofErr w:type="spellEnd"/>
      <w:r w:rsidR="00815B59" w:rsidRPr="00A3796D">
        <w:rPr>
          <w:rFonts w:ascii="Arial" w:hAnsi="Arial" w:cs="Arial"/>
        </w:rPr>
        <w:t xml:space="preserve"> and directed to take any steps and do all such things </w:t>
      </w:r>
      <w:r>
        <w:rPr>
          <w:rFonts w:ascii="Arial" w:hAnsi="Arial" w:cs="Arial"/>
        </w:rPr>
        <w:t>in</w:t>
      </w:r>
      <w:r w:rsidR="00815B59" w:rsidRPr="00A3796D">
        <w:rPr>
          <w:rFonts w:ascii="Arial" w:hAnsi="Arial" w:cs="Arial"/>
        </w:rPr>
        <w:t xml:space="preserve"> the Plaintiff and the 1</w:t>
      </w:r>
      <w:r w:rsidR="00815B59" w:rsidRPr="00A3796D">
        <w:rPr>
          <w:rFonts w:ascii="Arial" w:hAnsi="Arial" w:cs="Arial"/>
          <w:vertAlign w:val="superscript"/>
        </w:rPr>
        <w:t>st</w:t>
      </w:r>
      <w:r w:rsidR="00815B59" w:rsidRPr="00A3796D">
        <w:rPr>
          <w:rFonts w:ascii="Arial" w:hAnsi="Arial" w:cs="Arial"/>
        </w:rPr>
        <w:t xml:space="preserve"> and 2</w:t>
      </w:r>
      <w:r w:rsidR="00815B59" w:rsidRPr="00A3796D">
        <w:rPr>
          <w:rFonts w:ascii="Arial" w:hAnsi="Arial" w:cs="Arial"/>
          <w:vertAlign w:val="superscript"/>
        </w:rPr>
        <w:t>nd</w:t>
      </w:r>
      <w:r w:rsidR="00815B59" w:rsidRPr="00A3796D">
        <w:rPr>
          <w:rFonts w:ascii="Arial" w:hAnsi="Arial" w:cs="Arial"/>
        </w:rPr>
        <w:t xml:space="preserve"> defendants stead in the event that either the Plaintiff and</w:t>
      </w:r>
      <w:r>
        <w:rPr>
          <w:rFonts w:ascii="Arial" w:hAnsi="Arial" w:cs="Arial"/>
        </w:rPr>
        <w:t>/or</w:t>
      </w:r>
      <w:r w:rsidR="00815B59" w:rsidRPr="00A3796D">
        <w:rPr>
          <w:rFonts w:ascii="Arial" w:hAnsi="Arial" w:cs="Arial"/>
        </w:rPr>
        <w:t xml:space="preserve"> 1</w:t>
      </w:r>
      <w:r w:rsidR="00815B59" w:rsidRPr="00A3796D">
        <w:rPr>
          <w:rFonts w:ascii="Arial" w:hAnsi="Arial" w:cs="Arial"/>
          <w:vertAlign w:val="superscript"/>
        </w:rPr>
        <w:t>st</w:t>
      </w:r>
      <w:r w:rsidR="00815B59" w:rsidRPr="00A3796D">
        <w:rPr>
          <w:rFonts w:ascii="Arial" w:hAnsi="Arial" w:cs="Arial"/>
        </w:rPr>
        <w:t xml:space="preserve"> and 2</w:t>
      </w:r>
      <w:r w:rsidR="00815B59" w:rsidRPr="00A3796D">
        <w:rPr>
          <w:rFonts w:ascii="Arial" w:hAnsi="Arial" w:cs="Arial"/>
          <w:vertAlign w:val="superscript"/>
        </w:rPr>
        <w:t>nd</w:t>
      </w:r>
      <w:r>
        <w:rPr>
          <w:rFonts w:ascii="Arial" w:hAnsi="Arial" w:cs="Arial"/>
        </w:rPr>
        <w:t xml:space="preserve"> defendant</w:t>
      </w:r>
      <w:r w:rsidR="00815B59" w:rsidRPr="00A3796D">
        <w:rPr>
          <w:rFonts w:ascii="Arial" w:hAnsi="Arial" w:cs="Arial"/>
        </w:rPr>
        <w:t>s fail and/or refuse and</w:t>
      </w:r>
      <w:r>
        <w:rPr>
          <w:rFonts w:ascii="Arial" w:hAnsi="Arial" w:cs="Arial"/>
        </w:rPr>
        <w:t>/or neglect do so themselves.</w:t>
      </w:r>
    </w:p>
    <w:p w:rsidR="00815B59" w:rsidRDefault="00A3796D" w:rsidP="00B30305">
      <w:pPr>
        <w:widowControl/>
        <w:spacing w:before="320" w:line="600" w:lineRule="auto"/>
        <w:ind w:firstLine="720"/>
        <w:jc w:val="both"/>
        <w:rPr>
          <w:rFonts w:ascii="Arial" w:hAnsi="Arial" w:cs="Arial"/>
        </w:rPr>
      </w:pPr>
      <w:r>
        <w:rPr>
          <w:rFonts w:ascii="Arial" w:hAnsi="Arial" w:cs="Arial"/>
        </w:rPr>
        <w:t>8]   The 1</w:t>
      </w:r>
      <w:r w:rsidRPr="00A3796D">
        <w:rPr>
          <w:rFonts w:ascii="Arial" w:hAnsi="Arial" w:cs="Arial"/>
          <w:vertAlign w:val="superscript"/>
        </w:rPr>
        <w:t>st</w:t>
      </w:r>
      <w:r>
        <w:rPr>
          <w:rFonts w:ascii="Arial" w:hAnsi="Arial" w:cs="Arial"/>
        </w:rPr>
        <w:t xml:space="preserve"> and 2</w:t>
      </w:r>
      <w:r w:rsidRPr="00A3796D">
        <w:rPr>
          <w:rFonts w:ascii="Arial" w:hAnsi="Arial" w:cs="Arial"/>
          <w:vertAlign w:val="superscript"/>
        </w:rPr>
        <w:t>nd</w:t>
      </w:r>
      <w:r>
        <w:rPr>
          <w:rFonts w:ascii="Arial" w:hAnsi="Arial" w:cs="Arial"/>
        </w:rPr>
        <w:t xml:space="preserve"> defendants are ordered to pay the </w:t>
      </w:r>
      <w:r w:rsidR="00B30305">
        <w:rPr>
          <w:rFonts w:ascii="Arial" w:hAnsi="Arial" w:cs="Arial"/>
        </w:rPr>
        <w:t xml:space="preserve">plaintiff’s </w:t>
      </w:r>
      <w:r>
        <w:rPr>
          <w:rFonts w:ascii="Arial" w:hAnsi="Arial" w:cs="Arial"/>
        </w:rPr>
        <w:t>costs of suit.</w:t>
      </w:r>
    </w:p>
    <w:p w:rsidR="00187410" w:rsidRPr="00A3796D" w:rsidRDefault="00187410" w:rsidP="00A3796D">
      <w:pPr>
        <w:widowControl/>
        <w:spacing w:before="320" w:line="600" w:lineRule="auto"/>
        <w:jc w:val="both"/>
        <w:rPr>
          <w:rFonts w:ascii="Arial" w:hAnsi="Arial" w:cs="Arial"/>
        </w:rPr>
      </w:pPr>
    </w:p>
    <w:p w:rsidR="00187410" w:rsidRPr="00187410" w:rsidRDefault="00187410" w:rsidP="00866CF8">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Bookman Old Style" w:hAnsi="Bookman Old Style" w:cs="Arial"/>
          <w:b/>
          <w:u w:val="single"/>
          <w:lang w:val="en-GB"/>
        </w:rPr>
      </w:pPr>
      <w:bookmarkStart w:id="0" w:name="_GoBack"/>
      <w:bookmarkEnd w:id="0"/>
    </w:p>
    <w:p w:rsidR="00866CF8" w:rsidRPr="00B263DC" w:rsidRDefault="00866CF8" w:rsidP="00866CF8">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Bookman Old Style" w:hAnsi="Bookman Old Style" w:cs="Arial"/>
          <w:b/>
          <w:lang w:val="en-GB"/>
        </w:rPr>
      </w:pPr>
      <w:r w:rsidRPr="00B263DC">
        <w:rPr>
          <w:rFonts w:ascii="Bookman Old Style" w:hAnsi="Bookman Old Style" w:cs="Arial"/>
          <w:b/>
          <w:lang w:val="en-GB"/>
        </w:rPr>
        <w:t>B NEUKIRCHER</w:t>
      </w:r>
    </w:p>
    <w:p w:rsidR="00866CF8" w:rsidRDefault="00866CF8" w:rsidP="00866CF8">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Bookman Old Style" w:hAnsi="Bookman Old Style" w:cs="Arial"/>
          <w:b/>
          <w:lang w:val="en-GB"/>
        </w:rPr>
      </w:pPr>
      <w:r w:rsidRPr="00B263DC">
        <w:rPr>
          <w:rFonts w:ascii="Bookman Old Style" w:hAnsi="Bookman Old Style" w:cs="Arial"/>
          <w:b/>
          <w:lang w:val="en-GB"/>
        </w:rPr>
        <w:t>JUDGE OF THE HIGH COURT</w:t>
      </w:r>
    </w:p>
    <w:p w:rsidR="00866CF8" w:rsidRDefault="00866CF8" w:rsidP="00866CF8">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Bookman Old Style" w:hAnsi="Bookman Old Style" w:cs="Arial"/>
          <w:b/>
          <w:lang w:val="en-GB"/>
        </w:rPr>
      </w:pPr>
      <w:r>
        <w:rPr>
          <w:rFonts w:ascii="Bookman Old Style" w:hAnsi="Bookman Old Style" w:cs="Arial"/>
          <w:b/>
          <w:lang w:val="en-GB"/>
        </w:rPr>
        <w:t>GAUTENG DIVISION, PRETORIA</w:t>
      </w:r>
    </w:p>
    <w:p w:rsidR="00866CF8" w:rsidRPr="002D218B" w:rsidRDefault="00866CF8" w:rsidP="00866CF8">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man Old Style" w:hAnsi="Bookman Old Style" w:cs="Arial"/>
          <w:sz w:val="20"/>
          <w:szCs w:val="20"/>
          <w:lang w:val="en-GB"/>
        </w:rPr>
      </w:pPr>
      <w:r w:rsidRPr="002D218B">
        <w:rPr>
          <w:rFonts w:ascii="Bookman Old Style" w:hAnsi="Bookman Old Style" w:cs="Arial"/>
          <w:sz w:val="20"/>
          <w:szCs w:val="20"/>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2D218B">
        <w:rPr>
          <w:rFonts w:ascii="Bookman Old Style" w:hAnsi="Bookman Old Style" w:cs="Arial"/>
          <w:sz w:val="20"/>
          <w:szCs w:val="20"/>
          <w:lang w:val="en-GB"/>
        </w:rPr>
        <w:t>CaseLines</w:t>
      </w:r>
      <w:proofErr w:type="spellEnd"/>
      <w:r w:rsidRPr="002D218B">
        <w:rPr>
          <w:rFonts w:ascii="Bookman Old Style" w:hAnsi="Bookman Old Style" w:cs="Arial"/>
          <w:sz w:val="20"/>
          <w:szCs w:val="20"/>
          <w:lang w:val="en-GB"/>
        </w:rPr>
        <w:t xml:space="preserve">.  The date for hand-down is deemed to be </w:t>
      </w:r>
      <w:r w:rsidR="00187410">
        <w:rPr>
          <w:rFonts w:ascii="Bookman Old Style" w:hAnsi="Bookman Old Style" w:cs="Arial"/>
          <w:sz w:val="20"/>
          <w:szCs w:val="20"/>
          <w:lang w:val="en-GB"/>
        </w:rPr>
        <w:t>14 JUNE</w:t>
      </w:r>
      <w:r w:rsidR="0008427F">
        <w:rPr>
          <w:rFonts w:ascii="Bookman Old Style" w:hAnsi="Bookman Old Style" w:cs="Arial"/>
          <w:sz w:val="20"/>
          <w:szCs w:val="20"/>
          <w:lang w:val="en-GB"/>
        </w:rPr>
        <w:t xml:space="preserve"> 2022</w:t>
      </w:r>
    </w:p>
    <w:p w:rsidR="00866CF8" w:rsidRDefault="00866CF8" w:rsidP="00866CF8">
      <w:pPr>
        <w:spacing w:line="360" w:lineRule="auto"/>
        <w:jc w:val="both"/>
        <w:rPr>
          <w:rFonts w:ascii="Bookman Old Style" w:hAnsi="Bookman Old Style" w:cs="Arial"/>
          <w:sz w:val="20"/>
          <w:szCs w:val="20"/>
        </w:rPr>
      </w:pPr>
    </w:p>
    <w:p w:rsidR="00866CF8" w:rsidRPr="00866CF8" w:rsidRDefault="00480EC4" w:rsidP="00866CF8">
      <w:pPr>
        <w:spacing w:line="360" w:lineRule="auto"/>
        <w:jc w:val="both"/>
        <w:rPr>
          <w:rFonts w:ascii="Bookman Old Style" w:hAnsi="Bookman Old Style" w:cs="Arial"/>
          <w:b/>
          <w:sz w:val="20"/>
          <w:szCs w:val="20"/>
          <w:u w:val="single"/>
        </w:rPr>
      </w:pPr>
      <w:r w:rsidRPr="00866CF8">
        <w:rPr>
          <w:rFonts w:ascii="Bookman Old Style" w:hAnsi="Bookman Old Style" w:cs="Arial"/>
          <w:b/>
          <w:sz w:val="20"/>
          <w:szCs w:val="20"/>
          <w:u w:val="single"/>
        </w:rPr>
        <w:lastRenderedPageBreak/>
        <w:t>Appearances</w:t>
      </w:r>
      <w:r w:rsidR="00866CF8" w:rsidRPr="00866CF8">
        <w:rPr>
          <w:rFonts w:ascii="Bookman Old Style" w:hAnsi="Bookman Old Style" w:cs="Arial"/>
          <w:b/>
          <w:sz w:val="20"/>
          <w:szCs w:val="20"/>
          <w:u w:val="single"/>
        </w:rPr>
        <w:t>:</w:t>
      </w:r>
    </w:p>
    <w:p w:rsidR="00866CF8" w:rsidRPr="002D218B" w:rsidRDefault="00866CF8" w:rsidP="00866CF8">
      <w:pPr>
        <w:spacing w:line="360" w:lineRule="auto"/>
        <w:jc w:val="both"/>
        <w:rPr>
          <w:rFonts w:ascii="Bookman Old Style" w:hAnsi="Bookman Old Style" w:cs="Arial"/>
          <w:sz w:val="20"/>
          <w:szCs w:val="20"/>
        </w:rPr>
      </w:pPr>
      <w:r w:rsidRPr="002D218B">
        <w:rPr>
          <w:rFonts w:ascii="Bookman Old Style" w:hAnsi="Bookman Old Style" w:cs="Arial"/>
          <w:sz w:val="20"/>
          <w:szCs w:val="20"/>
        </w:rPr>
        <w:t>For the Plaintiff</w:t>
      </w:r>
      <w:r w:rsidRPr="002D218B">
        <w:rPr>
          <w:rFonts w:ascii="Bookman Old Style" w:hAnsi="Bookman Old Style" w:cs="Arial"/>
          <w:sz w:val="20"/>
          <w:szCs w:val="20"/>
        </w:rPr>
        <w:tab/>
      </w:r>
      <w:r w:rsidRPr="002D218B">
        <w:rPr>
          <w:rFonts w:ascii="Bookman Old Style" w:hAnsi="Bookman Old Style" w:cs="Arial"/>
          <w:sz w:val="20"/>
          <w:szCs w:val="20"/>
        </w:rPr>
        <w:tab/>
      </w:r>
      <w:r w:rsidRPr="002D218B">
        <w:rPr>
          <w:rFonts w:ascii="Bookman Old Style" w:hAnsi="Bookman Old Style" w:cs="Arial"/>
          <w:sz w:val="20"/>
          <w:szCs w:val="20"/>
        </w:rPr>
        <w:tab/>
        <w:t xml:space="preserve">: </w:t>
      </w:r>
      <w:r w:rsidR="005153D1">
        <w:rPr>
          <w:rFonts w:ascii="Bookman Old Style" w:hAnsi="Bookman Old Style" w:cs="Arial"/>
          <w:sz w:val="20"/>
          <w:szCs w:val="20"/>
        </w:rPr>
        <w:t xml:space="preserve"> </w:t>
      </w:r>
      <w:r w:rsidRPr="002D218B">
        <w:rPr>
          <w:rFonts w:ascii="Bookman Old Style" w:hAnsi="Bookman Old Style" w:cs="Arial"/>
          <w:sz w:val="20"/>
          <w:szCs w:val="20"/>
        </w:rPr>
        <w:t>Adv</w:t>
      </w:r>
      <w:r>
        <w:rPr>
          <w:rFonts w:ascii="Bookman Old Style" w:hAnsi="Bookman Old Style" w:cs="Arial"/>
          <w:sz w:val="20"/>
          <w:szCs w:val="20"/>
        </w:rPr>
        <w:t xml:space="preserve"> Paige-Green</w:t>
      </w:r>
      <w:r w:rsidRPr="002D218B">
        <w:rPr>
          <w:rFonts w:ascii="Bookman Old Style" w:hAnsi="Bookman Old Style" w:cs="Arial"/>
          <w:sz w:val="20"/>
          <w:szCs w:val="20"/>
        </w:rPr>
        <w:tab/>
      </w:r>
    </w:p>
    <w:p w:rsidR="00866CF8" w:rsidRPr="002D218B" w:rsidRDefault="00866CF8" w:rsidP="00866CF8">
      <w:pPr>
        <w:spacing w:line="360" w:lineRule="auto"/>
        <w:jc w:val="both"/>
        <w:rPr>
          <w:rFonts w:ascii="Bookman Old Style" w:hAnsi="Bookman Old Style" w:cs="Arial"/>
          <w:sz w:val="20"/>
          <w:szCs w:val="20"/>
        </w:rPr>
      </w:pPr>
      <w:r w:rsidRPr="002D218B">
        <w:rPr>
          <w:rFonts w:ascii="Bookman Old Style" w:hAnsi="Bookman Old Style" w:cs="Arial"/>
          <w:sz w:val="20"/>
          <w:szCs w:val="20"/>
        </w:rPr>
        <w:t>Instructed by</w:t>
      </w:r>
      <w:r w:rsidRPr="002D218B">
        <w:rPr>
          <w:rFonts w:ascii="Bookman Old Style" w:hAnsi="Bookman Old Style" w:cs="Arial"/>
          <w:sz w:val="20"/>
          <w:szCs w:val="20"/>
        </w:rPr>
        <w:tab/>
      </w:r>
      <w:r w:rsidRPr="002D218B">
        <w:rPr>
          <w:rFonts w:ascii="Bookman Old Style" w:hAnsi="Bookman Old Style" w:cs="Arial"/>
          <w:sz w:val="20"/>
          <w:szCs w:val="20"/>
        </w:rPr>
        <w:tab/>
      </w:r>
      <w:r w:rsidRPr="002D218B">
        <w:rPr>
          <w:rFonts w:ascii="Bookman Old Style" w:hAnsi="Bookman Old Style" w:cs="Arial"/>
          <w:sz w:val="20"/>
          <w:szCs w:val="20"/>
        </w:rPr>
        <w:tab/>
      </w:r>
      <w:r w:rsidRPr="002D218B">
        <w:rPr>
          <w:rFonts w:ascii="Bookman Old Style" w:hAnsi="Bookman Old Style" w:cs="Arial"/>
          <w:sz w:val="20"/>
          <w:szCs w:val="20"/>
        </w:rPr>
        <w:tab/>
        <w:t xml:space="preserve">: </w:t>
      </w:r>
      <w:r w:rsidR="005153D1">
        <w:rPr>
          <w:rFonts w:ascii="Bookman Old Style" w:hAnsi="Bookman Old Style" w:cs="Arial"/>
          <w:sz w:val="20"/>
          <w:szCs w:val="20"/>
        </w:rPr>
        <w:t xml:space="preserve"> </w:t>
      </w:r>
      <w:proofErr w:type="spellStart"/>
      <w:r>
        <w:rPr>
          <w:rFonts w:ascii="Bookman Old Style" w:hAnsi="Bookman Old Style" w:cs="Arial"/>
          <w:sz w:val="20"/>
          <w:szCs w:val="20"/>
        </w:rPr>
        <w:t>McTaggart</w:t>
      </w:r>
      <w:proofErr w:type="spellEnd"/>
      <w:r>
        <w:rPr>
          <w:rFonts w:ascii="Bookman Old Style" w:hAnsi="Bookman Old Style" w:cs="Arial"/>
          <w:sz w:val="20"/>
          <w:szCs w:val="20"/>
        </w:rPr>
        <w:t xml:space="preserve"> Labuschagne Incorporated</w:t>
      </w:r>
    </w:p>
    <w:p w:rsidR="00866CF8" w:rsidRPr="002D218B" w:rsidRDefault="00866CF8" w:rsidP="00866CF8">
      <w:pPr>
        <w:spacing w:line="360" w:lineRule="auto"/>
        <w:jc w:val="both"/>
        <w:rPr>
          <w:rFonts w:ascii="Bookman Old Style" w:hAnsi="Bookman Old Style" w:cs="Arial"/>
          <w:sz w:val="20"/>
          <w:szCs w:val="20"/>
        </w:rPr>
      </w:pPr>
      <w:r w:rsidRPr="002D218B">
        <w:rPr>
          <w:rFonts w:ascii="Bookman Old Style" w:hAnsi="Bookman Old Style" w:cs="Arial"/>
          <w:sz w:val="20"/>
          <w:szCs w:val="20"/>
        </w:rPr>
        <w:t>For t</w:t>
      </w:r>
      <w:r>
        <w:rPr>
          <w:rFonts w:ascii="Bookman Old Style" w:hAnsi="Bookman Old Style" w:cs="Arial"/>
          <w:sz w:val="20"/>
          <w:szCs w:val="20"/>
        </w:rPr>
        <w:t>he Defendants</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  Mr Niedinger</w:t>
      </w:r>
    </w:p>
    <w:p w:rsidR="00866CF8" w:rsidRDefault="00866CF8" w:rsidP="005153D1">
      <w:pPr>
        <w:spacing w:line="360" w:lineRule="auto"/>
        <w:jc w:val="both"/>
        <w:rPr>
          <w:rFonts w:ascii="Bookman Old Style" w:hAnsi="Bookman Old Style" w:cs="Arial"/>
          <w:sz w:val="20"/>
          <w:szCs w:val="20"/>
        </w:rPr>
      </w:pPr>
      <w:r w:rsidRPr="002D218B">
        <w:rPr>
          <w:rFonts w:ascii="Bookman Old Style" w:hAnsi="Bookman Old Style" w:cs="Arial"/>
          <w:sz w:val="20"/>
          <w:szCs w:val="20"/>
        </w:rPr>
        <w:t>Instructed by</w:t>
      </w:r>
      <w:r w:rsidRPr="002D218B">
        <w:rPr>
          <w:rFonts w:ascii="Bookman Old Style" w:hAnsi="Bookman Old Style" w:cs="Arial"/>
          <w:sz w:val="20"/>
          <w:szCs w:val="20"/>
        </w:rPr>
        <w:tab/>
      </w:r>
      <w:r w:rsidRPr="002D218B">
        <w:rPr>
          <w:rFonts w:ascii="Bookman Old Style" w:hAnsi="Bookman Old Style" w:cs="Arial"/>
          <w:sz w:val="20"/>
          <w:szCs w:val="20"/>
        </w:rPr>
        <w:tab/>
      </w:r>
      <w:r w:rsidRPr="002D218B">
        <w:rPr>
          <w:rFonts w:ascii="Bookman Old Style" w:hAnsi="Bookman Old Style" w:cs="Arial"/>
          <w:sz w:val="20"/>
          <w:szCs w:val="20"/>
        </w:rPr>
        <w:tab/>
      </w:r>
      <w:r w:rsidRPr="002D218B">
        <w:rPr>
          <w:rFonts w:ascii="Bookman Old Style" w:hAnsi="Bookman Old Style" w:cs="Arial"/>
          <w:sz w:val="20"/>
          <w:szCs w:val="20"/>
        </w:rPr>
        <w:tab/>
        <w:t xml:space="preserve">:  </w:t>
      </w:r>
      <w:r>
        <w:rPr>
          <w:rFonts w:ascii="Bookman Old Style" w:hAnsi="Bookman Old Style" w:cs="Arial"/>
          <w:sz w:val="20"/>
          <w:szCs w:val="20"/>
        </w:rPr>
        <w:t>WNA Attorneys Incorporated</w:t>
      </w:r>
    </w:p>
    <w:p w:rsidR="00866CF8" w:rsidRPr="00DB25E3" w:rsidRDefault="00866CF8" w:rsidP="005153D1">
      <w:pPr>
        <w:widowControl/>
        <w:spacing w:line="360" w:lineRule="auto"/>
        <w:ind w:left="720" w:hanging="720"/>
        <w:jc w:val="both"/>
        <w:rPr>
          <w:rFonts w:ascii="Bookman Old Style" w:hAnsi="Bookman Old Style" w:cs="Arial"/>
          <w:sz w:val="20"/>
          <w:szCs w:val="20"/>
        </w:rPr>
      </w:pPr>
      <w:r w:rsidRPr="00DB25E3">
        <w:rPr>
          <w:rFonts w:ascii="Bookman Old Style" w:hAnsi="Bookman Old Style" w:cs="Arial"/>
          <w:sz w:val="20"/>
          <w:szCs w:val="20"/>
        </w:rPr>
        <w:t>Date heard</w:t>
      </w:r>
      <w:r w:rsidRPr="00DB25E3">
        <w:rPr>
          <w:rFonts w:ascii="Bookman Old Style" w:hAnsi="Bookman Old Style" w:cs="Arial"/>
          <w:sz w:val="20"/>
          <w:szCs w:val="20"/>
        </w:rPr>
        <w:tab/>
      </w:r>
      <w:r w:rsidRPr="00DB25E3">
        <w:rPr>
          <w:rFonts w:ascii="Bookman Old Style" w:hAnsi="Bookman Old Style" w:cs="Arial"/>
          <w:sz w:val="20"/>
          <w:szCs w:val="20"/>
        </w:rPr>
        <w:tab/>
      </w:r>
      <w:r w:rsidRPr="00DB25E3">
        <w:rPr>
          <w:rFonts w:ascii="Bookman Old Style" w:hAnsi="Bookman Old Style" w:cs="Arial"/>
          <w:sz w:val="20"/>
          <w:szCs w:val="20"/>
        </w:rPr>
        <w:tab/>
      </w:r>
      <w:r w:rsidRPr="00DB25E3">
        <w:rPr>
          <w:rFonts w:ascii="Bookman Old Style" w:hAnsi="Bookman Old Style" w:cs="Arial"/>
          <w:sz w:val="20"/>
          <w:szCs w:val="20"/>
        </w:rPr>
        <w:tab/>
        <w:t xml:space="preserve">: </w:t>
      </w:r>
      <w:r w:rsidR="005153D1" w:rsidRPr="00DB25E3">
        <w:rPr>
          <w:rFonts w:ascii="Bookman Old Style" w:hAnsi="Bookman Old Style" w:cs="Arial"/>
          <w:sz w:val="20"/>
          <w:szCs w:val="20"/>
        </w:rPr>
        <w:t xml:space="preserve"> </w:t>
      </w:r>
      <w:r w:rsidRPr="00DB25E3">
        <w:rPr>
          <w:rFonts w:ascii="Bookman Old Style" w:hAnsi="Bookman Old Style" w:cs="Arial"/>
          <w:sz w:val="20"/>
          <w:szCs w:val="20"/>
        </w:rPr>
        <w:t>7 and 8 June 2022</w:t>
      </w:r>
    </w:p>
    <w:p w:rsidR="00866CF8" w:rsidRPr="00DB25E3" w:rsidRDefault="005153D1" w:rsidP="005153D1">
      <w:pPr>
        <w:widowControl/>
        <w:spacing w:line="360" w:lineRule="auto"/>
        <w:ind w:left="720" w:hanging="720"/>
        <w:jc w:val="both"/>
        <w:rPr>
          <w:rFonts w:ascii="Bookman Old Style" w:hAnsi="Bookman Old Style" w:cs="Arial"/>
          <w:sz w:val="20"/>
          <w:szCs w:val="20"/>
        </w:rPr>
      </w:pPr>
      <w:r w:rsidRPr="00DB25E3">
        <w:rPr>
          <w:rFonts w:ascii="Bookman Old Style" w:hAnsi="Bookman Old Style" w:cs="Arial"/>
          <w:sz w:val="20"/>
          <w:szCs w:val="20"/>
        </w:rPr>
        <w:t>Date handed down</w:t>
      </w:r>
      <w:r w:rsidRPr="00DB25E3">
        <w:rPr>
          <w:rFonts w:ascii="Bookman Old Style" w:hAnsi="Bookman Old Style" w:cs="Arial"/>
          <w:sz w:val="20"/>
          <w:szCs w:val="20"/>
        </w:rPr>
        <w:tab/>
      </w:r>
      <w:r w:rsidRPr="00DB25E3">
        <w:rPr>
          <w:rFonts w:ascii="Bookman Old Style" w:hAnsi="Bookman Old Style" w:cs="Arial"/>
          <w:sz w:val="20"/>
          <w:szCs w:val="20"/>
        </w:rPr>
        <w:tab/>
      </w:r>
      <w:r w:rsidR="00DB25E3">
        <w:rPr>
          <w:rFonts w:ascii="Bookman Old Style" w:hAnsi="Bookman Old Style" w:cs="Arial"/>
          <w:sz w:val="20"/>
          <w:szCs w:val="20"/>
        </w:rPr>
        <w:tab/>
      </w:r>
      <w:r w:rsidR="00866CF8" w:rsidRPr="00DB25E3">
        <w:rPr>
          <w:rFonts w:ascii="Bookman Old Style" w:hAnsi="Bookman Old Style" w:cs="Arial"/>
          <w:sz w:val="20"/>
          <w:szCs w:val="20"/>
        </w:rPr>
        <w:t>:</w:t>
      </w:r>
      <w:r w:rsidRPr="00DB25E3">
        <w:rPr>
          <w:rFonts w:ascii="Bookman Old Style" w:hAnsi="Bookman Old Style" w:cs="Arial"/>
          <w:sz w:val="20"/>
          <w:szCs w:val="20"/>
        </w:rPr>
        <w:t xml:space="preserve"> </w:t>
      </w:r>
      <w:r w:rsidR="00187410" w:rsidRPr="00DB25E3">
        <w:rPr>
          <w:rFonts w:ascii="Bookman Old Style" w:hAnsi="Bookman Old Style" w:cs="Arial"/>
          <w:sz w:val="20"/>
          <w:szCs w:val="20"/>
        </w:rPr>
        <w:t xml:space="preserve">  14 JUNE 2022</w:t>
      </w:r>
    </w:p>
    <w:p w:rsidR="00FD2810" w:rsidRPr="00866CF8" w:rsidRDefault="00FD2810" w:rsidP="00866CF8">
      <w:pPr>
        <w:widowControl/>
        <w:spacing w:before="320" w:line="480" w:lineRule="auto"/>
        <w:jc w:val="both"/>
        <w:rPr>
          <w:rFonts w:ascii="Arial" w:hAnsi="Arial" w:cs="Arial"/>
        </w:rPr>
      </w:pPr>
    </w:p>
    <w:sectPr w:rsidR="00FD2810" w:rsidRPr="00866C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2F" w:rsidRDefault="00787E2F" w:rsidP="00FD2810">
      <w:r>
        <w:separator/>
      </w:r>
    </w:p>
  </w:endnote>
  <w:endnote w:type="continuationSeparator" w:id="0">
    <w:p w:rsidR="00787E2F" w:rsidRDefault="00787E2F" w:rsidP="00FD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2F" w:rsidRDefault="00787E2F" w:rsidP="00FD2810">
      <w:r>
        <w:separator/>
      </w:r>
    </w:p>
  </w:footnote>
  <w:footnote w:type="continuationSeparator" w:id="0">
    <w:p w:rsidR="00787E2F" w:rsidRDefault="00787E2F" w:rsidP="00FD2810">
      <w:r>
        <w:continuationSeparator/>
      </w:r>
    </w:p>
  </w:footnote>
  <w:footnote w:id="1">
    <w:p w:rsidR="00FD2810" w:rsidRDefault="00FD2810" w:rsidP="00FD2810">
      <w:pPr>
        <w:pStyle w:val="FootnoteText"/>
      </w:pPr>
      <w:r>
        <w:rPr>
          <w:rStyle w:val="FootnoteReference"/>
        </w:rPr>
        <w:footnoteRef/>
      </w:r>
      <w:r>
        <w:t xml:space="preserve"> </w:t>
      </w:r>
      <w:r w:rsidR="0012260B">
        <w:tab/>
      </w:r>
      <w:r>
        <w:t>Her father</w:t>
      </w:r>
    </w:p>
  </w:footnote>
  <w:footnote w:id="2">
    <w:p w:rsidR="00FD2810" w:rsidRDefault="00FD2810" w:rsidP="00FD2810">
      <w:pPr>
        <w:pStyle w:val="FootnoteText"/>
      </w:pPr>
      <w:r>
        <w:rPr>
          <w:rStyle w:val="FootnoteReference"/>
        </w:rPr>
        <w:footnoteRef/>
      </w:r>
      <w:r>
        <w:t xml:space="preserve"> </w:t>
      </w:r>
      <w:r w:rsidR="0012260B">
        <w:tab/>
      </w:r>
      <w:r>
        <w:t>First Rand Bank Ltd (FNB) who is the bond holder</w:t>
      </w:r>
    </w:p>
  </w:footnote>
  <w:footnote w:id="3">
    <w:p w:rsidR="00FD2810" w:rsidRDefault="00FD2810" w:rsidP="00FD2810">
      <w:pPr>
        <w:pStyle w:val="FootnoteText"/>
      </w:pPr>
      <w:r>
        <w:rPr>
          <w:rStyle w:val="FootnoteReference"/>
        </w:rPr>
        <w:footnoteRef/>
      </w:r>
      <w:r>
        <w:t xml:space="preserve"> </w:t>
      </w:r>
      <w:r w:rsidR="0012260B">
        <w:tab/>
      </w:r>
      <w:r>
        <w:t>The Registrar of Deeds (the Registrar)</w:t>
      </w:r>
    </w:p>
  </w:footnote>
  <w:footnote w:id="4">
    <w:p w:rsidR="006E0967" w:rsidRPr="006E0967" w:rsidRDefault="006E0967">
      <w:pPr>
        <w:pStyle w:val="FootnoteText"/>
        <w:rPr>
          <w:lang w:val="en-GB"/>
        </w:rPr>
      </w:pPr>
      <w:r>
        <w:rPr>
          <w:rStyle w:val="FootnoteReference"/>
        </w:rPr>
        <w:footnoteRef/>
      </w:r>
      <w:r>
        <w:t xml:space="preserve"> </w:t>
      </w:r>
      <w:r>
        <w:rPr>
          <w:lang w:val="en-GB"/>
        </w:rPr>
        <w:tab/>
        <w:t>Per the Joint Practice Note filed by the parties on 31 May 2022</w:t>
      </w:r>
    </w:p>
  </w:footnote>
  <w:footnote w:id="5">
    <w:p w:rsidR="00131C3E" w:rsidRDefault="00131C3E">
      <w:pPr>
        <w:pStyle w:val="FootnoteText"/>
      </w:pPr>
      <w:r>
        <w:rPr>
          <w:rStyle w:val="FootnoteReference"/>
        </w:rPr>
        <w:footnoteRef/>
      </w:r>
      <w:r>
        <w:t xml:space="preserve"> </w:t>
      </w:r>
      <w:r w:rsidR="0012260B">
        <w:tab/>
      </w:r>
      <w:r>
        <w:t>The plaintiff asks for punitive costs</w:t>
      </w:r>
    </w:p>
  </w:footnote>
  <w:footnote w:id="6">
    <w:p w:rsidR="0012260B" w:rsidRDefault="008837B3" w:rsidP="008837B3">
      <w:pPr>
        <w:pStyle w:val="FootnoteText"/>
        <w:ind w:left="142" w:hanging="142"/>
      </w:pPr>
      <w:r>
        <w:rPr>
          <w:rStyle w:val="FootnoteReference"/>
        </w:rPr>
        <w:footnoteRef/>
      </w:r>
      <w:r>
        <w:t xml:space="preserve"> </w:t>
      </w:r>
      <w:r w:rsidR="0012260B">
        <w:tab/>
      </w:r>
      <w:r w:rsidR="0012260B">
        <w:tab/>
      </w:r>
      <w:r>
        <w:t xml:space="preserve">The second property is situated at Erf 1444, Riverside Road, </w:t>
      </w:r>
      <w:proofErr w:type="spellStart"/>
      <w:r>
        <w:t>Stilbaai</w:t>
      </w:r>
      <w:proofErr w:type="spellEnd"/>
      <w:r>
        <w:t xml:space="preserve"> Wes, Western Cape. Although </w:t>
      </w:r>
    </w:p>
    <w:p w:rsidR="008837B3" w:rsidRDefault="008837B3" w:rsidP="0012260B">
      <w:pPr>
        <w:pStyle w:val="FootnoteText"/>
        <w:ind w:left="720"/>
      </w:pPr>
      <w:r>
        <w:t>this suit includes a prayer for the term of the joint ownership of this property as well</w:t>
      </w:r>
      <w:r w:rsidR="001C468C">
        <w:t>,</w:t>
      </w:r>
      <w:r>
        <w:t xml:space="preserve"> a subs</w:t>
      </w:r>
      <w:r w:rsidR="001C468C">
        <w:t>equent</w:t>
      </w:r>
      <w:r w:rsidR="00370932">
        <w:t xml:space="preserve"> amendment deleted that prayer.</w:t>
      </w:r>
    </w:p>
  </w:footnote>
  <w:footnote w:id="7">
    <w:p w:rsidR="00D22ECA" w:rsidRPr="00D22ECA" w:rsidRDefault="00D22ECA">
      <w:pPr>
        <w:pStyle w:val="FootnoteText"/>
        <w:rPr>
          <w:lang w:val="en-GB"/>
        </w:rPr>
      </w:pPr>
      <w:r>
        <w:rPr>
          <w:rStyle w:val="FootnoteReference"/>
        </w:rPr>
        <w:footnoteRef/>
      </w:r>
      <w:r>
        <w:t xml:space="preserve"> </w:t>
      </w:r>
      <w:r>
        <w:rPr>
          <w:lang w:val="en-GB"/>
        </w:rPr>
        <w:tab/>
        <w:t>From now on referred to as a 50/50 division</w:t>
      </w:r>
    </w:p>
  </w:footnote>
  <w:footnote w:id="8">
    <w:p w:rsidR="00091BA5" w:rsidRDefault="00091BA5">
      <w:pPr>
        <w:pStyle w:val="FootnoteText"/>
        <w:rPr>
          <w:lang w:val="en-GB"/>
        </w:rPr>
      </w:pPr>
      <w:r>
        <w:rPr>
          <w:rStyle w:val="FootnoteReference"/>
        </w:rPr>
        <w:footnoteRef/>
      </w:r>
      <w:r>
        <w:t xml:space="preserve"> </w:t>
      </w:r>
      <w:r>
        <w:rPr>
          <w:lang w:val="en-GB"/>
        </w:rPr>
        <w:tab/>
        <w:t xml:space="preserve">That having been withdrawn by notice dated 3 March 2022 which was only served on 1 June 2022 </w:t>
      </w:r>
    </w:p>
    <w:p w:rsidR="00091BA5" w:rsidRPr="00091BA5" w:rsidRDefault="00091BA5" w:rsidP="00091BA5">
      <w:pPr>
        <w:pStyle w:val="FootnoteText"/>
        <w:ind w:firstLine="720"/>
        <w:rPr>
          <w:lang w:val="en-GB"/>
        </w:rPr>
      </w:pPr>
      <w:r>
        <w:rPr>
          <w:lang w:val="en-GB"/>
        </w:rPr>
        <w:t>being 4 court days before trial</w:t>
      </w:r>
    </w:p>
  </w:footnote>
  <w:footnote w:id="9">
    <w:p w:rsidR="001B6E28" w:rsidRDefault="001B6E28" w:rsidP="0012260B">
      <w:pPr>
        <w:pStyle w:val="FootnoteText"/>
        <w:rPr>
          <w:lang w:val="en-GB"/>
        </w:rPr>
      </w:pPr>
      <w:r>
        <w:rPr>
          <w:rStyle w:val="FootnoteReference"/>
        </w:rPr>
        <w:footnoteRef/>
      </w:r>
      <w:r>
        <w:t xml:space="preserve"> </w:t>
      </w:r>
      <w:r w:rsidR="0012260B">
        <w:tab/>
      </w:r>
      <w:r>
        <w:rPr>
          <w:lang w:val="en-GB"/>
        </w:rPr>
        <w:t xml:space="preserve">This is borne out by the OTP which provides in effect that the sale of this property is a condition of the </w:t>
      </w:r>
    </w:p>
    <w:p w:rsidR="001B6E28" w:rsidRPr="001B6E28" w:rsidRDefault="001B6E28" w:rsidP="0012260B">
      <w:pPr>
        <w:pStyle w:val="FootnoteText"/>
        <w:ind w:firstLine="720"/>
        <w:rPr>
          <w:lang w:val="en-GB"/>
        </w:rPr>
      </w:pPr>
      <w:r>
        <w:rPr>
          <w:lang w:val="en-GB"/>
        </w:rPr>
        <w:t>purchase of the Property.</w:t>
      </w:r>
    </w:p>
  </w:footnote>
  <w:footnote w:id="10">
    <w:p w:rsidR="00384100" w:rsidRDefault="008777AA">
      <w:pPr>
        <w:pStyle w:val="FootnoteText"/>
        <w:rPr>
          <w:lang w:val="en-GB"/>
        </w:rPr>
      </w:pPr>
      <w:r>
        <w:rPr>
          <w:rStyle w:val="FootnoteReference"/>
        </w:rPr>
        <w:footnoteRef/>
      </w:r>
      <w:r>
        <w:t xml:space="preserve"> </w:t>
      </w:r>
      <w:r w:rsidR="0012260B">
        <w:tab/>
      </w:r>
      <w:r>
        <w:rPr>
          <w:lang w:val="en-GB"/>
        </w:rPr>
        <w:t>Previously BCM Supplies CC in which the plaintiff held 100% membership</w:t>
      </w:r>
      <w:r w:rsidR="00384100">
        <w:rPr>
          <w:lang w:val="en-GB"/>
        </w:rPr>
        <w:t xml:space="preserve">. This was later amended </w:t>
      </w:r>
    </w:p>
    <w:p w:rsidR="008777AA" w:rsidRPr="008777AA" w:rsidRDefault="00384100" w:rsidP="00384100">
      <w:pPr>
        <w:pStyle w:val="FootnoteText"/>
        <w:ind w:firstLine="720"/>
        <w:rPr>
          <w:lang w:val="en-GB"/>
        </w:rPr>
      </w:pPr>
      <w:r>
        <w:rPr>
          <w:lang w:val="en-GB"/>
        </w:rPr>
        <w:t>so that the plaintiff held a 95% shareholding and the 1</w:t>
      </w:r>
      <w:r w:rsidRPr="00384100">
        <w:rPr>
          <w:vertAlign w:val="superscript"/>
          <w:lang w:val="en-GB"/>
        </w:rPr>
        <w:t>st</w:t>
      </w:r>
      <w:r>
        <w:rPr>
          <w:lang w:val="en-GB"/>
        </w:rPr>
        <w:t xml:space="preserve"> defendant a 5% shareholding</w:t>
      </w:r>
    </w:p>
  </w:footnote>
  <w:footnote w:id="11">
    <w:p w:rsidR="0012260B" w:rsidRDefault="00BF714D">
      <w:pPr>
        <w:pStyle w:val="FootnoteText"/>
      </w:pPr>
      <w:r>
        <w:rPr>
          <w:rStyle w:val="FootnoteReference"/>
        </w:rPr>
        <w:footnoteRef/>
      </w:r>
      <w:r>
        <w:t xml:space="preserve"> </w:t>
      </w:r>
      <w:r w:rsidR="0012260B">
        <w:tab/>
      </w:r>
      <w:r>
        <w:t xml:space="preserve">The exact </w:t>
      </w:r>
      <w:r w:rsidR="00864A0A">
        <w:t xml:space="preserve">manner in which the </w:t>
      </w:r>
      <w:r>
        <w:t>retirement</w:t>
      </w:r>
      <w:r w:rsidR="00864A0A">
        <w:t xml:space="preserve"> came about and was effected</w:t>
      </w:r>
      <w:r>
        <w:t xml:space="preserve"> is in dispute and is not relevant </w:t>
      </w:r>
    </w:p>
    <w:p w:rsidR="00BF714D" w:rsidRDefault="00BF714D" w:rsidP="0012260B">
      <w:pPr>
        <w:pStyle w:val="FootnoteText"/>
        <w:ind w:firstLine="720"/>
      </w:pPr>
      <w:r>
        <w:t>to the present issues</w:t>
      </w:r>
    </w:p>
  </w:footnote>
  <w:footnote w:id="12">
    <w:p w:rsidR="00BC4037" w:rsidRPr="00BC4037" w:rsidRDefault="00BC4037">
      <w:pPr>
        <w:pStyle w:val="FootnoteText"/>
        <w:rPr>
          <w:lang w:val="en-GB"/>
        </w:rPr>
      </w:pPr>
      <w:r>
        <w:rPr>
          <w:rStyle w:val="FootnoteReference"/>
        </w:rPr>
        <w:footnoteRef/>
      </w:r>
      <w:r>
        <w:t xml:space="preserve"> </w:t>
      </w:r>
      <w:r>
        <w:rPr>
          <w:lang w:val="en-GB"/>
        </w:rPr>
        <w:t xml:space="preserve"> </w:t>
      </w:r>
      <w:r w:rsidR="0012260B">
        <w:rPr>
          <w:lang w:val="en-GB"/>
        </w:rPr>
        <w:tab/>
      </w:r>
      <w:r>
        <w:rPr>
          <w:lang w:val="en-GB"/>
        </w:rPr>
        <w:t>An amount of R9 362-96 per month</w:t>
      </w:r>
    </w:p>
  </w:footnote>
  <w:footnote w:id="13">
    <w:p w:rsidR="0012260B" w:rsidRPr="0012260B" w:rsidRDefault="0012260B">
      <w:pPr>
        <w:pStyle w:val="FootnoteText"/>
        <w:rPr>
          <w:lang w:val="en-GB"/>
        </w:rPr>
      </w:pPr>
      <w:r>
        <w:rPr>
          <w:rStyle w:val="FootnoteReference"/>
        </w:rPr>
        <w:footnoteRef/>
      </w:r>
      <w:r>
        <w:t xml:space="preserve"> </w:t>
      </w:r>
      <w:r>
        <w:rPr>
          <w:lang w:val="en-GB"/>
        </w:rPr>
        <w:tab/>
        <w:t>Omnium Tac &amp; Accounting CC (Omnium)</w:t>
      </w:r>
    </w:p>
  </w:footnote>
  <w:footnote w:id="14">
    <w:p w:rsidR="00844D41" w:rsidRDefault="00844D41">
      <w:pPr>
        <w:pStyle w:val="FootnoteText"/>
        <w:rPr>
          <w:lang w:val="en-GB"/>
        </w:rPr>
      </w:pPr>
      <w:r>
        <w:rPr>
          <w:rStyle w:val="FootnoteReference"/>
        </w:rPr>
        <w:footnoteRef/>
      </w:r>
      <w:r>
        <w:t xml:space="preserve"> </w:t>
      </w:r>
      <w:r>
        <w:rPr>
          <w:lang w:val="en-GB"/>
        </w:rPr>
        <w:tab/>
        <w:t xml:space="preserve">The evidence is that there is only an amount of approximately R100 000-00 still owing on the FNB </w:t>
      </w:r>
    </w:p>
    <w:p w:rsidR="00844D41" w:rsidRPr="00844D41" w:rsidRDefault="00844D41" w:rsidP="00702932">
      <w:pPr>
        <w:pStyle w:val="FootnoteText"/>
        <w:ind w:firstLine="720"/>
        <w:rPr>
          <w:lang w:val="en-GB"/>
        </w:rPr>
      </w:pPr>
      <w:r>
        <w:rPr>
          <w:lang w:val="en-GB"/>
        </w:rPr>
        <w:t>Bond</w:t>
      </w:r>
      <w:r w:rsidR="00702932">
        <w:rPr>
          <w:lang w:val="en-GB"/>
        </w:rPr>
        <w:t>. Given that the first demand to divide the co-ownership was made in 2016, this is not surprising</w:t>
      </w:r>
    </w:p>
  </w:footnote>
  <w:footnote w:id="15">
    <w:p w:rsidR="0069620B" w:rsidRPr="0069620B" w:rsidRDefault="0069620B">
      <w:pPr>
        <w:pStyle w:val="FootnoteText"/>
        <w:rPr>
          <w:lang w:val="en-GB"/>
        </w:rPr>
      </w:pPr>
      <w:r>
        <w:rPr>
          <w:rStyle w:val="FootnoteReference"/>
        </w:rPr>
        <w:footnoteRef/>
      </w:r>
      <w:r>
        <w:t xml:space="preserve"> </w:t>
      </w:r>
      <w:r>
        <w:rPr>
          <w:lang w:val="en-GB"/>
        </w:rPr>
        <w:tab/>
        <w:t>[1978] 2 All SA 264 (A); 1978 (1) SA 841 (A) at 857</w:t>
      </w:r>
    </w:p>
  </w:footnote>
  <w:footnote w:id="16">
    <w:p w:rsidR="00965023" w:rsidRDefault="00965023">
      <w:pPr>
        <w:pStyle w:val="FootnoteText"/>
        <w:rPr>
          <w:lang w:val="en-GB"/>
        </w:rPr>
      </w:pPr>
      <w:r>
        <w:rPr>
          <w:rStyle w:val="FootnoteReference"/>
        </w:rPr>
        <w:footnoteRef/>
      </w:r>
      <w:r>
        <w:t xml:space="preserve"> </w:t>
      </w:r>
      <w:r>
        <w:rPr>
          <w:lang w:val="en-GB"/>
        </w:rPr>
        <w:tab/>
        <w:t xml:space="preserve">Although in </w:t>
      </w:r>
      <w:proofErr w:type="spellStart"/>
      <w:r>
        <w:rPr>
          <w:lang w:val="en-GB"/>
        </w:rPr>
        <w:t>Matadin</w:t>
      </w:r>
      <w:proofErr w:type="spellEnd"/>
      <w:r>
        <w:rPr>
          <w:lang w:val="en-GB"/>
        </w:rPr>
        <w:t xml:space="preserve"> v Parma and others [2010] JOL 25834 (KZP), the action was heard and decided </w:t>
      </w:r>
    </w:p>
    <w:p w:rsidR="00965023" w:rsidRPr="00965023" w:rsidRDefault="0050657C" w:rsidP="00965023">
      <w:pPr>
        <w:pStyle w:val="FootnoteText"/>
        <w:ind w:firstLine="720"/>
        <w:rPr>
          <w:lang w:val="en-GB"/>
        </w:rPr>
      </w:pPr>
      <w:r>
        <w:rPr>
          <w:lang w:val="en-GB"/>
        </w:rPr>
        <w:t>in motion proceedings</w:t>
      </w:r>
    </w:p>
  </w:footnote>
  <w:footnote w:id="17">
    <w:p w:rsidR="005422AF" w:rsidRPr="005422AF" w:rsidRDefault="005422AF">
      <w:pPr>
        <w:pStyle w:val="FootnoteText"/>
        <w:rPr>
          <w:lang w:val="en-GB"/>
        </w:rPr>
      </w:pPr>
      <w:r>
        <w:rPr>
          <w:rStyle w:val="FootnoteReference"/>
        </w:rPr>
        <w:footnoteRef/>
      </w:r>
      <w:r>
        <w:t xml:space="preserve"> </w:t>
      </w:r>
      <w:r>
        <w:rPr>
          <w:lang w:val="en-GB"/>
        </w:rPr>
        <w:tab/>
        <w:t xml:space="preserve">Both being available to </w:t>
      </w:r>
      <w:r w:rsidR="0015780A">
        <w:rPr>
          <w:lang w:val="en-GB"/>
        </w:rPr>
        <w:t>these parties</w:t>
      </w:r>
    </w:p>
  </w:footnote>
  <w:footnote w:id="18">
    <w:p w:rsidR="0015780A" w:rsidRPr="0015780A" w:rsidRDefault="0015780A">
      <w:pPr>
        <w:pStyle w:val="FootnoteText"/>
        <w:rPr>
          <w:lang w:val="en-GB"/>
        </w:rPr>
      </w:pPr>
      <w:r>
        <w:rPr>
          <w:rStyle w:val="FootnoteReference"/>
        </w:rPr>
        <w:footnoteRef/>
      </w:r>
      <w:r>
        <w:t xml:space="preserve"> </w:t>
      </w:r>
      <w:r>
        <w:rPr>
          <w:lang w:val="en-GB"/>
        </w:rPr>
        <w:tab/>
        <w:t>Which is an asset in the partnership</w:t>
      </w:r>
    </w:p>
  </w:footnote>
  <w:footnote w:id="19">
    <w:p w:rsidR="003A0B14" w:rsidRPr="003A0B14" w:rsidRDefault="003A0B14">
      <w:pPr>
        <w:pStyle w:val="FootnoteText"/>
        <w:rPr>
          <w:lang w:val="en-GB"/>
        </w:rPr>
      </w:pPr>
      <w:r>
        <w:rPr>
          <w:rStyle w:val="FootnoteReference"/>
        </w:rPr>
        <w:footnoteRef/>
      </w:r>
      <w:r>
        <w:t xml:space="preserve"> </w:t>
      </w:r>
      <w:r>
        <w:rPr>
          <w:lang w:val="en-GB"/>
        </w:rPr>
        <w:tab/>
        <w:t>[2010] JOL 25834 (KZP)</w:t>
      </w:r>
    </w:p>
  </w:footnote>
  <w:footnote w:id="20">
    <w:p w:rsidR="00B07920" w:rsidRDefault="00B07920">
      <w:pPr>
        <w:pStyle w:val="FootnoteText"/>
      </w:pPr>
      <w:r>
        <w:rPr>
          <w:rStyle w:val="FootnoteReference"/>
        </w:rPr>
        <w:footnoteRef/>
      </w:r>
      <w:r>
        <w:t xml:space="preserve"> </w:t>
      </w:r>
      <w:r w:rsidR="00443CA9">
        <w:tab/>
        <w:t xml:space="preserve">With regard to </w:t>
      </w:r>
      <w:r>
        <w:t xml:space="preserve">the Property and the </w:t>
      </w:r>
      <w:proofErr w:type="spellStart"/>
      <w:r>
        <w:t>Stilbaai</w:t>
      </w:r>
      <w:proofErr w:type="spellEnd"/>
      <w:r>
        <w:t xml:space="preserve"> Property</w:t>
      </w:r>
    </w:p>
  </w:footnote>
  <w:footnote w:id="21">
    <w:p w:rsidR="001C1EA8" w:rsidRDefault="001C1EA8" w:rsidP="005C387E">
      <w:pPr>
        <w:pStyle w:val="FootnoteText"/>
      </w:pPr>
      <w:r>
        <w:rPr>
          <w:rStyle w:val="FootnoteReference"/>
        </w:rPr>
        <w:footnoteRef/>
      </w:r>
      <w:r w:rsidR="005C387E">
        <w:t xml:space="preserve"> </w:t>
      </w:r>
      <w:r w:rsidR="005C387E">
        <w:tab/>
        <w:t>Ex parte Menzies et Uxo</w:t>
      </w:r>
      <w:r>
        <w:t>r [1993] 4 All SA 455 9c) a 460 -461</w:t>
      </w:r>
    </w:p>
  </w:footnote>
  <w:footnote w:id="22">
    <w:p w:rsidR="007A734A" w:rsidRDefault="007A734A">
      <w:pPr>
        <w:pStyle w:val="FootnoteText"/>
      </w:pPr>
      <w:r>
        <w:rPr>
          <w:rStyle w:val="FootnoteReference"/>
        </w:rPr>
        <w:footnoteRef/>
      </w:r>
      <w:r w:rsidR="00804669">
        <w:t xml:space="preserve"> </w:t>
      </w:r>
      <w:r w:rsidR="00804669">
        <w:tab/>
        <w:t xml:space="preserve">At </w:t>
      </w:r>
      <w:proofErr w:type="spellStart"/>
      <w:r w:rsidR="00804669">
        <w:t>p</w:t>
      </w:r>
      <w:r>
        <w:t>g</w:t>
      </w:r>
      <w:proofErr w:type="spellEnd"/>
      <w:r>
        <w:t xml:space="preserve"> 461</w:t>
      </w:r>
    </w:p>
  </w:footnote>
  <w:footnote w:id="23">
    <w:p w:rsidR="00804669" w:rsidRDefault="00804669">
      <w:pPr>
        <w:pStyle w:val="FootnoteText"/>
      </w:pPr>
      <w:r>
        <w:rPr>
          <w:rStyle w:val="FootnoteReference"/>
        </w:rPr>
        <w:footnoteRef/>
      </w:r>
      <w:r>
        <w:t xml:space="preserve"> </w:t>
      </w:r>
      <w:r>
        <w:tab/>
        <w:t xml:space="preserve">See Ex Parte Menzies et Uxor and the explanation of the consequences of a marriage in community of </w:t>
      </w:r>
    </w:p>
    <w:p w:rsidR="00804669" w:rsidRPr="00804669" w:rsidRDefault="00C24A3D" w:rsidP="00804669">
      <w:pPr>
        <w:pStyle w:val="FootnoteText"/>
        <w:ind w:firstLine="720"/>
        <w:rPr>
          <w:lang w:val="en-GB"/>
        </w:rPr>
      </w:pPr>
      <w:r>
        <w:t xml:space="preserve">property via-à-vis </w:t>
      </w:r>
      <w:r w:rsidR="00804669">
        <w:t xml:space="preserve">the ownership of an immovable property at </w:t>
      </w:r>
      <w:proofErr w:type="spellStart"/>
      <w:r w:rsidR="00804669">
        <w:t>pg</w:t>
      </w:r>
      <w:proofErr w:type="spellEnd"/>
      <w:r w:rsidR="00804669">
        <w:t xml:space="preserve"> 461 to 466</w:t>
      </w:r>
    </w:p>
  </w:footnote>
  <w:footnote w:id="24">
    <w:p w:rsidR="00E528DB" w:rsidRPr="00E528DB" w:rsidRDefault="00E528DB">
      <w:pPr>
        <w:pStyle w:val="FootnoteText"/>
        <w:rPr>
          <w:lang w:val="en-GB"/>
        </w:rPr>
      </w:pPr>
      <w:r>
        <w:rPr>
          <w:rStyle w:val="FootnoteReference"/>
        </w:rPr>
        <w:footnoteRef/>
      </w:r>
      <w:r>
        <w:t xml:space="preserve"> </w:t>
      </w:r>
      <w:r>
        <w:rPr>
          <w:lang w:val="en-GB"/>
        </w:rPr>
        <w:tab/>
      </w:r>
      <w:proofErr w:type="spellStart"/>
      <w:r>
        <w:rPr>
          <w:lang w:val="en-GB"/>
        </w:rPr>
        <w:t>Ie</w:t>
      </w:r>
      <w:proofErr w:type="spellEnd"/>
      <w:r>
        <w:rPr>
          <w:lang w:val="en-GB"/>
        </w:rPr>
        <w:t xml:space="preserve"> the first 3 years after acquisition of the Property</w:t>
      </w:r>
    </w:p>
  </w:footnote>
  <w:footnote w:id="25">
    <w:p w:rsidR="006928B0" w:rsidRPr="006928B0" w:rsidRDefault="006928B0">
      <w:pPr>
        <w:pStyle w:val="FootnoteText"/>
        <w:rPr>
          <w:lang w:val="en-GB"/>
        </w:rPr>
      </w:pPr>
      <w:r>
        <w:rPr>
          <w:rStyle w:val="FootnoteReference"/>
        </w:rPr>
        <w:footnoteRef/>
      </w:r>
      <w:r>
        <w:t xml:space="preserve"> </w:t>
      </w:r>
      <w:r>
        <w:rPr>
          <w:lang w:val="en-GB"/>
        </w:rPr>
        <w:tab/>
        <w:t xml:space="preserve">Estate Rather v Estate </w:t>
      </w:r>
      <w:proofErr w:type="spellStart"/>
      <w:r>
        <w:rPr>
          <w:lang w:val="en-GB"/>
        </w:rPr>
        <w:t>Sandig</w:t>
      </w:r>
      <w:proofErr w:type="spellEnd"/>
      <w:r>
        <w:rPr>
          <w:lang w:val="en-GB"/>
        </w:rPr>
        <w:t xml:space="preserve"> 1943 AD 47</w:t>
      </w:r>
    </w:p>
  </w:footnote>
  <w:footnote w:id="26">
    <w:p w:rsidR="006928B0" w:rsidRPr="006928B0" w:rsidRDefault="006928B0">
      <w:pPr>
        <w:pStyle w:val="FootnoteText"/>
        <w:rPr>
          <w:lang w:val="en-GB"/>
        </w:rPr>
      </w:pPr>
      <w:r>
        <w:rPr>
          <w:rStyle w:val="FootnoteReference"/>
        </w:rPr>
        <w:footnoteRef/>
      </w:r>
      <w:r>
        <w:t xml:space="preserve"> </w:t>
      </w:r>
      <w:r>
        <w:rPr>
          <w:lang w:val="en-GB"/>
        </w:rPr>
        <w:tab/>
        <w:t>Robson v Theron (supra)</w:t>
      </w:r>
    </w:p>
  </w:footnote>
  <w:footnote w:id="27">
    <w:p w:rsidR="006928B0" w:rsidRPr="006928B0" w:rsidRDefault="006928B0">
      <w:pPr>
        <w:pStyle w:val="FootnoteText"/>
        <w:rPr>
          <w:lang w:val="en-GB"/>
        </w:rPr>
      </w:pPr>
      <w:r>
        <w:rPr>
          <w:rStyle w:val="FootnoteReference"/>
        </w:rPr>
        <w:footnoteRef/>
      </w:r>
      <w:r>
        <w:t xml:space="preserve"> </w:t>
      </w:r>
      <w:r>
        <w:rPr>
          <w:lang w:val="en-GB"/>
        </w:rPr>
        <w:tab/>
        <w:t>Kruger v Terblanche 1979 (4) SA 38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99683"/>
      <w:docPartObj>
        <w:docPartGallery w:val="Page Numbers (Top of Page)"/>
        <w:docPartUnique/>
      </w:docPartObj>
    </w:sdtPr>
    <w:sdtEndPr>
      <w:rPr>
        <w:noProof/>
      </w:rPr>
    </w:sdtEndPr>
    <w:sdtContent>
      <w:p w:rsidR="006E0967" w:rsidRDefault="006E0967">
        <w:pPr>
          <w:pStyle w:val="Header"/>
          <w:jc w:val="right"/>
        </w:pPr>
        <w:r>
          <w:fldChar w:fldCharType="begin"/>
        </w:r>
        <w:r>
          <w:instrText xml:space="preserve"> PAGE   \* MERGEFORMAT </w:instrText>
        </w:r>
        <w:r>
          <w:fldChar w:fldCharType="separate"/>
        </w:r>
        <w:r w:rsidR="00DE63B0">
          <w:rPr>
            <w:noProof/>
          </w:rPr>
          <w:t>23</w:t>
        </w:r>
        <w:r>
          <w:rPr>
            <w:noProof/>
          </w:rPr>
          <w:fldChar w:fldCharType="end"/>
        </w:r>
      </w:p>
    </w:sdtContent>
  </w:sdt>
  <w:p w:rsidR="006E0967" w:rsidRDefault="006E09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B7B89DFE"/>
    <w:lvl w:ilvl="0" w:tplc="A036D514">
      <w:start w:val="1"/>
      <w:numFmt w:val="decimal"/>
      <w:lvlText w:val="(%1)"/>
      <w:lvlJc w:val="left"/>
      <w:pPr>
        <w:tabs>
          <w:tab w:val="num" w:pos="900"/>
        </w:tabs>
        <w:ind w:left="900" w:hanging="720"/>
      </w:pPr>
      <w:rPr>
        <w:rFonts w:hint="default"/>
        <w:b w:val="0"/>
        <w:bCs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D452BF"/>
    <w:multiLevelType w:val="hybridMultilevel"/>
    <w:tmpl w:val="3ECA1B28"/>
    <w:lvl w:ilvl="0" w:tplc="65DC3F98">
      <w:start w:val="30"/>
      <w:numFmt w:val="decimal"/>
      <w:lvlText w:val="[%1]"/>
      <w:lvlJc w:val="left"/>
      <w:pPr>
        <w:ind w:left="1069"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 w15:restartNumberingAfterBreak="0">
    <w:nsid w:val="25AF64FB"/>
    <w:multiLevelType w:val="multilevel"/>
    <w:tmpl w:val="687E1946"/>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EE71F0B"/>
    <w:multiLevelType w:val="multilevel"/>
    <w:tmpl w:val="3272B5A0"/>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C107409"/>
    <w:multiLevelType w:val="hybridMultilevel"/>
    <w:tmpl w:val="A852F5B2"/>
    <w:lvl w:ilvl="0" w:tplc="1C090011">
      <w:start w:val="1"/>
      <w:numFmt w:val="decimal"/>
      <w:lvlText w:val="%1)"/>
      <w:lvlJc w:val="left"/>
      <w:pPr>
        <w:ind w:left="928"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0"/>
    <w:rsid w:val="00000B64"/>
    <w:rsid w:val="00017FD7"/>
    <w:rsid w:val="00021643"/>
    <w:rsid w:val="0002341C"/>
    <w:rsid w:val="00057B2A"/>
    <w:rsid w:val="000816DB"/>
    <w:rsid w:val="0008427F"/>
    <w:rsid w:val="00091BA5"/>
    <w:rsid w:val="0012260B"/>
    <w:rsid w:val="00131C3E"/>
    <w:rsid w:val="0015023F"/>
    <w:rsid w:val="0015780A"/>
    <w:rsid w:val="0016056C"/>
    <w:rsid w:val="00161E71"/>
    <w:rsid w:val="00164DDA"/>
    <w:rsid w:val="00181BAD"/>
    <w:rsid w:val="001823A1"/>
    <w:rsid w:val="00187410"/>
    <w:rsid w:val="00197790"/>
    <w:rsid w:val="001B6E28"/>
    <w:rsid w:val="001C1EA8"/>
    <w:rsid w:val="001C468C"/>
    <w:rsid w:val="001D2E9A"/>
    <w:rsid w:val="001E7F18"/>
    <w:rsid w:val="00210FB7"/>
    <w:rsid w:val="00227404"/>
    <w:rsid w:val="00237088"/>
    <w:rsid w:val="00296081"/>
    <w:rsid w:val="002972FF"/>
    <w:rsid w:val="00297435"/>
    <w:rsid w:val="002F3CE3"/>
    <w:rsid w:val="002F5D28"/>
    <w:rsid w:val="00302CDC"/>
    <w:rsid w:val="0031271C"/>
    <w:rsid w:val="00340CBC"/>
    <w:rsid w:val="003461BE"/>
    <w:rsid w:val="003536A7"/>
    <w:rsid w:val="00353AA7"/>
    <w:rsid w:val="003616BA"/>
    <w:rsid w:val="00370932"/>
    <w:rsid w:val="00384100"/>
    <w:rsid w:val="003A0B14"/>
    <w:rsid w:val="003F1C8C"/>
    <w:rsid w:val="00443CA9"/>
    <w:rsid w:val="00453E0C"/>
    <w:rsid w:val="00465CA2"/>
    <w:rsid w:val="00480EC4"/>
    <w:rsid w:val="004B1FDA"/>
    <w:rsid w:val="004E1E68"/>
    <w:rsid w:val="0050657C"/>
    <w:rsid w:val="005153D1"/>
    <w:rsid w:val="005422AF"/>
    <w:rsid w:val="00556307"/>
    <w:rsid w:val="0056247A"/>
    <w:rsid w:val="0056433A"/>
    <w:rsid w:val="00594AA3"/>
    <w:rsid w:val="00595E35"/>
    <w:rsid w:val="005B6367"/>
    <w:rsid w:val="005C387E"/>
    <w:rsid w:val="005F10B0"/>
    <w:rsid w:val="00602DE0"/>
    <w:rsid w:val="006053E9"/>
    <w:rsid w:val="00634F5A"/>
    <w:rsid w:val="006550D1"/>
    <w:rsid w:val="00690D00"/>
    <w:rsid w:val="006928B0"/>
    <w:rsid w:val="0069620B"/>
    <w:rsid w:val="006E0967"/>
    <w:rsid w:val="006F1F59"/>
    <w:rsid w:val="006F36D5"/>
    <w:rsid w:val="006F3E12"/>
    <w:rsid w:val="00702932"/>
    <w:rsid w:val="00717D96"/>
    <w:rsid w:val="00722A64"/>
    <w:rsid w:val="0073720F"/>
    <w:rsid w:val="007421D2"/>
    <w:rsid w:val="007466FF"/>
    <w:rsid w:val="00787E2F"/>
    <w:rsid w:val="0079795A"/>
    <w:rsid w:val="007A734A"/>
    <w:rsid w:val="007B2A25"/>
    <w:rsid w:val="007D29DC"/>
    <w:rsid w:val="00804669"/>
    <w:rsid w:val="0081583B"/>
    <w:rsid w:val="00815B59"/>
    <w:rsid w:val="00827B71"/>
    <w:rsid w:val="00844D41"/>
    <w:rsid w:val="00863752"/>
    <w:rsid w:val="00864A0A"/>
    <w:rsid w:val="00866CF8"/>
    <w:rsid w:val="00872619"/>
    <w:rsid w:val="008777AA"/>
    <w:rsid w:val="008837B3"/>
    <w:rsid w:val="008B1214"/>
    <w:rsid w:val="008B3744"/>
    <w:rsid w:val="008C5096"/>
    <w:rsid w:val="008E0673"/>
    <w:rsid w:val="008F395F"/>
    <w:rsid w:val="009139BD"/>
    <w:rsid w:val="00922747"/>
    <w:rsid w:val="00963B42"/>
    <w:rsid w:val="00964C04"/>
    <w:rsid w:val="00965023"/>
    <w:rsid w:val="00976ED9"/>
    <w:rsid w:val="00980621"/>
    <w:rsid w:val="00980AE6"/>
    <w:rsid w:val="009823EA"/>
    <w:rsid w:val="00984FE5"/>
    <w:rsid w:val="0098714B"/>
    <w:rsid w:val="00995F40"/>
    <w:rsid w:val="009B391B"/>
    <w:rsid w:val="009D0A80"/>
    <w:rsid w:val="009D6525"/>
    <w:rsid w:val="009F1023"/>
    <w:rsid w:val="009F19D4"/>
    <w:rsid w:val="009F5C1F"/>
    <w:rsid w:val="00A3796D"/>
    <w:rsid w:val="00A4262D"/>
    <w:rsid w:val="00A71E5C"/>
    <w:rsid w:val="00A80E02"/>
    <w:rsid w:val="00A8329B"/>
    <w:rsid w:val="00A8374E"/>
    <w:rsid w:val="00AB0DAC"/>
    <w:rsid w:val="00AC47D2"/>
    <w:rsid w:val="00AF4CE6"/>
    <w:rsid w:val="00AF72B0"/>
    <w:rsid w:val="00B07920"/>
    <w:rsid w:val="00B30305"/>
    <w:rsid w:val="00BC4037"/>
    <w:rsid w:val="00BF714D"/>
    <w:rsid w:val="00C024D1"/>
    <w:rsid w:val="00C24A3D"/>
    <w:rsid w:val="00C3197C"/>
    <w:rsid w:val="00C43DB8"/>
    <w:rsid w:val="00C51519"/>
    <w:rsid w:val="00C54CF5"/>
    <w:rsid w:val="00CC0DA0"/>
    <w:rsid w:val="00CF7149"/>
    <w:rsid w:val="00D1132B"/>
    <w:rsid w:val="00D22ECA"/>
    <w:rsid w:val="00D254FC"/>
    <w:rsid w:val="00D34856"/>
    <w:rsid w:val="00D45EAF"/>
    <w:rsid w:val="00D53CEC"/>
    <w:rsid w:val="00D713AE"/>
    <w:rsid w:val="00D75BDA"/>
    <w:rsid w:val="00D96024"/>
    <w:rsid w:val="00DA28E1"/>
    <w:rsid w:val="00DA6863"/>
    <w:rsid w:val="00DB25E3"/>
    <w:rsid w:val="00DE63B0"/>
    <w:rsid w:val="00E03B01"/>
    <w:rsid w:val="00E143FF"/>
    <w:rsid w:val="00E36D84"/>
    <w:rsid w:val="00E528DB"/>
    <w:rsid w:val="00E646D7"/>
    <w:rsid w:val="00E97561"/>
    <w:rsid w:val="00EB6BD2"/>
    <w:rsid w:val="00F014D3"/>
    <w:rsid w:val="00F162A9"/>
    <w:rsid w:val="00F23A23"/>
    <w:rsid w:val="00F553B3"/>
    <w:rsid w:val="00F926C1"/>
    <w:rsid w:val="00FC5CC9"/>
    <w:rsid w:val="00FD0A31"/>
    <w:rsid w:val="00FD2810"/>
    <w:rsid w:val="00FE3E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5A62"/>
  <w15:chartTrackingRefBased/>
  <w15:docId w15:val="{90E6A4A1-4229-44C0-9BAC-AC1A8F80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1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810"/>
    <w:pPr>
      <w:ind w:left="720"/>
      <w:contextualSpacing/>
    </w:pPr>
  </w:style>
  <w:style w:type="paragraph" w:styleId="FootnoteText">
    <w:name w:val="footnote text"/>
    <w:basedOn w:val="Normal"/>
    <w:link w:val="FootnoteTextChar"/>
    <w:uiPriority w:val="99"/>
    <w:semiHidden/>
    <w:unhideWhenUsed/>
    <w:rsid w:val="00FD2810"/>
    <w:rPr>
      <w:sz w:val="20"/>
      <w:szCs w:val="20"/>
    </w:rPr>
  </w:style>
  <w:style w:type="character" w:customStyle="1" w:styleId="FootnoteTextChar">
    <w:name w:val="Footnote Text Char"/>
    <w:basedOn w:val="DefaultParagraphFont"/>
    <w:link w:val="FootnoteText"/>
    <w:uiPriority w:val="99"/>
    <w:semiHidden/>
    <w:rsid w:val="00FD2810"/>
    <w:rPr>
      <w:rFonts w:ascii="Times New Roman" w:eastAsia="Times New Roman" w:hAnsi="Times New Roman" w:cs="Times New Roman"/>
      <w:sz w:val="20"/>
      <w:szCs w:val="20"/>
      <w:lang w:val="en-US" w:eastAsia="en-ZA"/>
    </w:rPr>
  </w:style>
  <w:style w:type="character" w:styleId="FootnoteReference">
    <w:name w:val="footnote reference"/>
    <w:basedOn w:val="DefaultParagraphFont"/>
    <w:uiPriority w:val="99"/>
    <w:semiHidden/>
    <w:unhideWhenUsed/>
    <w:rsid w:val="00FD2810"/>
    <w:rPr>
      <w:vertAlign w:val="superscript"/>
    </w:rPr>
  </w:style>
  <w:style w:type="character" w:styleId="PlaceholderText">
    <w:name w:val="Placeholder Text"/>
    <w:basedOn w:val="DefaultParagraphFont"/>
    <w:uiPriority w:val="99"/>
    <w:semiHidden/>
    <w:rsid w:val="001823A1"/>
    <w:rPr>
      <w:color w:val="808080"/>
    </w:rPr>
  </w:style>
  <w:style w:type="character" w:customStyle="1" w:styleId="t">
    <w:name w:val="t"/>
    <w:basedOn w:val="DefaultParagraphFont"/>
    <w:rsid w:val="0015780A"/>
  </w:style>
  <w:style w:type="paragraph" w:styleId="BalloonText">
    <w:name w:val="Balloon Text"/>
    <w:basedOn w:val="Normal"/>
    <w:link w:val="BalloonTextChar"/>
    <w:uiPriority w:val="99"/>
    <w:semiHidden/>
    <w:unhideWhenUsed/>
    <w:rsid w:val="00913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9BD"/>
    <w:rPr>
      <w:rFonts w:ascii="Segoe UI" w:eastAsia="Times New Roman" w:hAnsi="Segoe UI" w:cs="Segoe UI"/>
      <w:sz w:val="18"/>
      <w:szCs w:val="18"/>
      <w:lang w:val="en-US" w:eastAsia="en-ZA"/>
    </w:rPr>
  </w:style>
  <w:style w:type="paragraph" w:styleId="Header">
    <w:name w:val="header"/>
    <w:basedOn w:val="Normal"/>
    <w:link w:val="HeaderChar"/>
    <w:uiPriority w:val="99"/>
    <w:unhideWhenUsed/>
    <w:rsid w:val="006E0967"/>
    <w:pPr>
      <w:tabs>
        <w:tab w:val="center" w:pos="4513"/>
        <w:tab w:val="right" w:pos="9026"/>
      </w:tabs>
    </w:pPr>
  </w:style>
  <w:style w:type="character" w:customStyle="1" w:styleId="HeaderChar">
    <w:name w:val="Header Char"/>
    <w:basedOn w:val="DefaultParagraphFont"/>
    <w:link w:val="Header"/>
    <w:uiPriority w:val="99"/>
    <w:rsid w:val="006E0967"/>
    <w:rPr>
      <w:rFonts w:ascii="Times New Roman" w:eastAsia="Times New Roman" w:hAnsi="Times New Roman" w:cs="Times New Roman"/>
      <w:sz w:val="24"/>
      <w:szCs w:val="24"/>
      <w:lang w:val="en-US" w:eastAsia="en-ZA"/>
    </w:rPr>
  </w:style>
  <w:style w:type="paragraph" w:styleId="Footer">
    <w:name w:val="footer"/>
    <w:basedOn w:val="Normal"/>
    <w:link w:val="FooterChar"/>
    <w:uiPriority w:val="99"/>
    <w:unhideWhenUsed/>
    <w:rsid w:val="006E0967"/>
    <w:pPr>
      <w:tabs>
        <w:tab w:val="center" w:pos="4513"/>
        <w:tab w:val="right" w:pos="9026"/>
      </w:tabs>
    </w:pPr>
  </w:style>
  <w:style w:type="character" w:customStyle="1" w:styleId="FooterChar">
    <w:name w:val="Footer Char"/>
    <w:basedOn w:val="DefaultParagraphFont"/>
    <w:link w:val="Footer"/>
    <w:uiPriority w:val="99"/>
    <w:rsid w:val="006E0967"/>
    <w:rPr>
      <w:rFonts w:ascii="Times New Roman" w:eastAsia="Times New Roman" w:hAnsi="Times New Roman" w:cs="Times New Roman"/>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5354-0D95-4C49-AB59-C289B0F7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Nair</dc:creator>
  <cp:keywords/>
  <dc:description/>
  <cp:lastModifiedBy>Nicole Nair</cp:lastModifiedBy>
  <cp:revision>13</cp:revision>
  <cp:lastPrinted>2022-06-14T12:20:00Z</cp:lastPrinted>
  <dcterms:created xsi:type="dcterms:W3CDTF">2022-06-14T09:30:00Z</dcterms:created>
  <dcterms:modified xsi:type="dcterms:W3CDTF">2022-06-14T12:28:00Z</dcterms:modified>
</cp:coreProperties>
</file>