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A1" w:rsidRPr="0084067A" w:rsidRDefault="001C2DA1" w:rsidP="0084067A">
      <w:pPr>
        <w:jc w:val="center"/>
        <w:rPr>
          <w:b/>
          <w:u w:val="none"/>
        </w:rPr>
      </w:pPr>
    </w:p>
    <w:p w:rsidR="001C2DA1" w:rsidRDefault="001C2DA1" w:rsidP="0084067A">
      <w:pPr>
        <w:jc w:val="center"/>
        <w:rPr>
          <w:b/>
          <w:u w:val="none"/>
        </w:rPr>
      </w:pPr>
      <w:r w:rsidRPr="0084067A">
        <w:rPr>
          <w:b/>
          <w:u w:val="none"/>
        </w:rPr>
        <w:t xml:space="preserve">IN THE HIGH COURT OF </w:t>
      </w:r>
      <w:r w:rsidR="00371B79" w:rsidRPr="0084067A">
        <w:rPr>
          <w:b/>
          <w:u w:val="none"/>
        </w:rPr>
        <w:t>SOUTH AFRICA</w:t>
      </w:r>
    </w:p>
    <w:p w:rsidR="008037EC" w:rsidRPr="0084067A" w:rsidRDefault="008037EC" w:rsidP="0084067A">
      <w:pPr>
        <w:jc w:val="center"/>
        <w:rPr>
          <w:b/>
          <w:u w:val="none"/>
        </w:rPr>
      </w:pPr>
    </w:p>
    <w:p w:rsidR="001C2DA1" w:rsidRPr="0084067A" w:rsidRDefault="001C2DA1" w:rsidP="0084067A">
      <w:pPr>
        <w:jc w:val="center"/>
        <w:rPr>
          <w:b/>
          <w:u w:val="none"/>
        </w:rPr>
      </w:pPr>
      <w:r w:rsidRPr="0084067A">
        <w:rPr>
          <w:b/>
          <w:u w:val="none"/>
        </w:rPr>
        <w:t>(</w:t>
      </w:r>
      <w:r w:rsidR="00371B79" w:rsidRPr="0084067A">
        <w:rPr>
          <w:b/>
          <w:u w:val="none"/>
        </w:rPr>
        <w:t>GAUTENG DIVISION, PRETORIA</w:t>
      </w:r>
      <w:r w:rsidRPr="0084067A">
        <w:rPr>
          <w:b/>
          <w:u w:val="none"/>
        </w:rPr>
        <w:t>)</w:t>
      </w:r>
    </w:p>
    <w:p w:rsidR="002F4398" w:rsidRPr="0084067A" w:rsidRDefault="002F4398" w:rsidP="00D3790A">
      <w:pPr>
        <w:rPr>
          <w:b/>
          <w:u w:val="none"/>
        </w:rPr>
      </w:pPr>
    </w:p>
    <w:p w:rsidR="002F4398" w:rsidRDefault="00694469" w:rsidP="0084067A">
      <w:pPr>
        <w:jc w:val="center"/>
        <w:rPr>
          <w:b/>
          <w:u w:val="none"/>
        </w:rPr>
      </w:pPr>
      <w:r w:rsidRPr="0084067A">
        <w:rPr>
          <w:b/>
          <w:noProof/>
          <w:u w:val="none"/>
          <w:lang w:eastAsia="en-ZA"/>
        </w:rPr>
        <mc:AlternateContent>
          <mc:Choice Requires="wpc">
            <w:drawing>
              <wp:inline distT="0" distB="0" distL="0" distR="0" wp14:anchorId="12D072DE" wp14:editId="61D35B61">
                <wp:extent cx="1162050" cy="1247774"/>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624"/>
                          </a:xfrm>
                          <a:prstGeom prst="rect">
                            <a:avLst/>
                          </a:prstGeom>
                          <a:noFill/>
                          <a:ln>
                            <a:noFill/>
                          </a:ln>
                        </pic:spPr>
                      </pic:pic>
                    </wpc:wpc>
                  </a:graphicData>
                </a:graphic>
              </wp:inline>
            </w:drawing>
          </mc:Choice>
          <mc:Fallback xmlns:cx1="http://schemas.microsoft.com/office/drawing/2015/9/8/chartex">
            <w:pict>
              <v:group w14:anchorId="00D2EE01"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7C20F4" w:rsidRDefault="007C20F4" w:rsidP="0084067A">
      <w:pPr>
        <w:jc w:val="center"/>
        <w:rPr>
          <w:b/>
          <w:u w:val="none"/>
        </w:rPr>
      </w:pPr>
    </w:p>
    <w:p w:rsidR="007C20F4" w:rsidRDefault="007C20F4" w:rsidP="0084067A">
      <w:pPr>
        <w:jc w:val="center"/>
        <w:rPr>
          <w:b/>
          <w:u w:val="none"/>
        </w:rPr>
      </w:pPr>
    </w:p>
    <w:p w:rsidR="00542156" w:rsidRPr="007C20F4" w:rsidRDefault="007C20F4" w:rsidP="00C0031D">
      <w:pPr>
        <w:tabs>
          <w:tab w:val="right" w:pos="8199"/>
        </w:tabs>
        <w:spacing w:line="360" w:lineRule="auto"/>
        <w:jc w:val="right"/>
        <w:rPr>
          <w:u w:val="none"/>
        </w:rPr>
      </w:pPr>
      <w:r>
        <w:rPr>
          <w:u w:val="none"/>
        </w:rPr>
        <w:tab/>
      </w:r>
      <w:r w:rsidRPr="007C20F4">
        <w:rPr>
          <w:u w:val="none"/>
        </w:rPr>
        <w:t xml:space="preserve">Case number: </w:t>
      </w:r>
      <w:r w:rsidR="00F62AF0">
        <w:rPr>
          <w:u w:val="none"/>
        </w:rPr>
        <w:t xml:space="preserve"> </w:t>
      </w:r>
      <w:r w:rsidR="005A02FF">
        <w:rPr>
          <w:u w:val="none"/>
        </w:rPr>
        <w:t>A219</w:t>
      </w:r>
      <w:r w:rsidR="00F62AF0">
        <w:rPr>
          <w:u w:val="none"/>
        </w:rPr>
        <w:t>/201</w:t>
      </w:r>
      <w:r w:rsidR="005A02FF">
        <w:rPr>
          <w:u w:val="none"/>
        </w:rPr>
        <w:t>8</w:t>
      </w:r>
    </w:p>
    <w:p w:rsidR="007C20F4" w:rsidRPr="007C20F4" w:rsidRDefault="007C20F4"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r w:rsidRPr="007C20F4">
        <w:rPr>
          <w:u w:val="none"/>
        </w:rPr>
        <w:tab/>
      </w:r>
      <w:r w:rsidRPr="007C20F4">
        <w:rPr>
          <w:u w:val="none"/>
        </w:rPr>
        <w:tab/>
      </w:r>
      <w:r w:rsidRPr="007C20F4">
        <w:rPr>
          <w:u w:val="none"/>
        </w:rPr>
        <w:tab/>
      </w:r>
      <w:r w:rsidRPr="007C20F4">
        <w:rPr>
          <w:u w:val="none"/>
        </w:rPr>
        <w:tab/>
      </w:r>
      <w:r w:rsidRPr="007C20F4">
        <w:rPr>
          <w:u w:val="none"/>
        </w:rPr>
        <w:tab/>
      </w:r>
      <w:r w:rsidRPr="007C20F4">
        <w:rPr>
          <w:u w:val="none"/>
        </w:rPr>
        <w:tab/>
        <w:t xml:space="preserve">      </w:t>
      </w:r>
      <w:r w:rsidR="00C14708">
        <w:rPr>
          <w:u w:val="none"/>
        </w:rPr>
        <w:t xml:space="preserve">    </w:t>
      </w:r>
      <w:r w:rsidRPr="007C20F4">
        <w:rPr>
          <w:u w:val="none"/>
        </w:rPr>
        <w:t>Date:</w:t>
      </w:r>
      <w:r w:rsidR="00542156">
        <w:rPr>
          <w:u w:val="none"/>
        </w:rPr>
        <w:t xml:space="preserve"> </w:t>
      </w:r>
    </w:p>
    <w:p w:rsidR="00052F10" w:rsidRPr="0084067A" w:rsidRDefault="007C20F4" w:rsidP="008037EC">
      <w:pPr>
        <w:rPr>
          <w:b/>
          <w:u w:val="none"/>
        </w:rPr>
      </w:pPr>
      <w:r w:rsidRPr="0084067A">
        <w:rPr>
          <w:b/>
          <w:noProof/>
          <w:lang w:eastAsia="en-ZA"/>
        </w:rPr>
        <mc:AlternateContent>
          <mc:Choice Requires="wps">
            <w:drawing>
              <wp:anchor distT="0" distB="0" distL="114300" distR="114300" simplePos="0" relativeHeight="251659264" behindDoc="0" locked="0" layoutInCell="1" allowOverlap="1" wp14:anchorId="63A4E733" wp14:editId="48466D0A">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rsidR="00081BB2" w:rsidRPr="00913F95" w:rsidRDefault="00081BB2" w:rsidP="00D3790A">
                            <w:pPr>
                              <w:jc w:val="center"/>
                              <w:rPr>
                                <w:rFonts w:ascii="Century Gothic" w:hAnsi="Century Gothic"/>
                                <w:b/>
                                <w:sz w:val="20"/>
                                <w:szCs w:val="20"/>
                              </w:rPr>
                            </w:pPr>
                          </w:p>
                          <w:p w:rsidR="00081BB2" w:rsidRPr="007C20F4" w:rsidRDefault="00081BB2"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rsidR="00081BB2" w:rsidRPr="007C20F4" w:rsidRDefault="00A8481F"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Pr>
                                <w:rFonts w:ascii="Calibri" w:eastAsia="Calibri" w:hAnsi="Calibri" w:cs="Times New Roman"/>
                                <w:sz w:val="20"/>
                                <w:szCs w:val="20"/>
                                <w:u w:val="none"/>
                                <w:lang w:val="af-ZA" w:eastAsia="en-US"/>
                              </w:rPr>
                              <w:t xml:space="preserve">REPORTABLE: </w:t>
                            </w:r>
                            <w:r w:rsidR="00081BB2" w:rsidRPr="007C20F4">
                              <w:rPr>
                                <w:rFonts w:ascii="Calibri" w:eastAsia="Calibri" w:hAnsi="Calibri" w:cs="Times New Roman"/>
                                <w:sz w:val="20"/>
                                <w:szCs w:val="20"/>
                                <w:u w:val="none"/>
                                <w:lang w:val="af-ZA" w:eastAsia="en-US"/>
                              </w:rPr>
                              <w:t>NO</w:t>
                            </w:r>
                          </w:p>
                          <w:p w:rsidR="00081BB2" w:rsidRPr="007C20F4" w:rsidRDefault="00081BB2"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w:t>
                            </w:r>
                            <w:r w:rsidR="00A8481F">
                              <w:rPr>
                                <w:rFonts w:ascii="Calibri" w:eastAsia="Calibri" w:hAnsi="Calibri" w:cs="Times New Roman"/>
                                <w:sz w:val="20"/>
                                <w:szCs w:val="20"/>
                                <w:u w:val="none"/>
                                <w:lang w:val="af-ZA" w:eastAsia="en-US"/>
                              </w:rPr>
                              <w:t xml:space="preserve"> INTEREST TO OTHERS JUDGES: </w:t>
                            </w:r>
                            <w:bookmarkStart w:id="0" w:name="_GoBack"/>
                            <w:bookmarkEnd w:id="0"/>
                            <w:r w:rsidRPr="007C20F4">
                              <w:rPr>
                                <w:rFonts w:ascii="Calibri" w:eastAsia="Calibri" w:hAnsi="Calibri" w:cs="Times New Roman"/>
                                <w:sz w:val="20"/>
                                <w:szCs w:val="20"/>
                                <w:u w:val="none"/>
                                <w:lang w:val="af-ZA" w:eastAsia="en-US"/>
                              </w:rPr>
                              <w:t>NO</w:t>
                            </w:r>
                          </w:p>
                          <w:p w:rsidR="00081BB2" w:rsidRPr="007C20F4" w:rsidRDefault="00081BB2"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rsidR="00081BB2" w:rsidRPr="007C20F4" w:rsidRDefault="00081BB2"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rsidR="00081BB2" w:rsidRPr="007C20F4" w:rsidRDefault="00081BB2"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rsidR="00081BB2" w:rsidRPr="00D3790A" w:rsidRDefault="00081BB2"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4E733"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">
                <v:textbox>
                  <w:txbxContent>
                    <w:p w:rsidR="00081BB2" w:rsidRPr="00913F95" w:rsidRDefault="00081BB2" w:rsidP="00D3790A">
                      <w:pPr>
                        <w:jc w:val="center"/>
                        <w:rPr>
                          <w:rFonts w:ascii="Century Gothic" w:hAnsi="Century Gothic"/>
                          <w:b/>
                          <w:sz w:val="20"/>
                          <w:szCs w:val="20"/>
                        </w:rPr>
                      </w:pPr>
                    </w:p>
                    <w:p w:rsidR="00081BB2" w:rsidRPr="007C20F4" w:rsidRDefault="00081BB2"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rsidR="00081BB2" w:rsidRPr="007C20F4" w:rsidRDefault="00A8481F"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Pr>
                          <w:rFonts w:ascii="Calibri" w:eastAsia="Calibri" w:hAnsi="Calibri" w:cs="Times New Roman"/>
                          <w:sz w:val="20"/>
                          <w:szCs w:val="20"/>
                          <w:u w:val="none"/>
                          <w:lang w:val="af-ZA" w:eastAsia="en-US"/>
                        </w:rPr>
                        <w:t xml:space="preserve">REPORTABLE: </w:t>
                      </w:r>
                      <w:r w:rsidR="00081BB2" w:rsidRPr="007C20F4">
                        <w:rPr>
                          <w:rFonts w:ascii="Calibri" w:eastAsia="Calibri" w:hAnsi="Calibri" w:cs="Times New Roman"/>
                          <w:sz w:val="20"/>
                          <w:szCs w:val="20"/>
                          <w:u w:val="none"/>
                          <w:lang w:val="af-ZA" w:eastAsia="en-US"/>
                        </w:rPr>
                        <w:t>NO</w:t>
                      </w:r>
                    </w:p>
                    <w:p w:rsidR="00081BB2" w:rsidRPr="007C20F4" w:rsidRDefault="00081BB2"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w:t>
                      </w:r>
                      <w:r w:rsidR="00A8481F">
                        <w:rPr>
                          <w:rFonts w:ascii="Calibri" w:eastAsia="Calibri" w:hAnsi="Calibri" w:cs="Times New Roman"/>
                          <w:sz w:val="20"/>
                          <w:szCs w:val="20"/>
                          <w:u w:val="none"/>
                          <w:lang w:val="af-ZA" w:eastAsia="en-US"/>
                        </w:rPr>
                        <w:t xml:space="preserve"> INTEREST TO OTHERS JUDGES: </w:t>
                      </w:r>
                      <w:bookmarkStart w:id="1" w:name="_GoBack"/>
                      <w:bookmarkEnd w:id="1"/>
                      <w:r w:rsidRPr="007C20F4">
                        <w:rPr>
                          <w:rFonts w:ascii="Calibri" w:eastAsia="Calibri" w:hAnsi="Calibri" w:cs="Times New Roman"/>
                          <w:sz w:val="20"/>
                          <w:szCs w:val="20"/>
                          <w:u w:val="none"/>
                          <w:lang w:val="af-ZA" w:eastAsia="en-US"/>
                        </w:rPr>
                        <w:t>NO</w:t>
                      </w:r>
                    </w:p>
                    <w:p w:rsidR="00081BB2" w:rsidRPr="007C20F4" w:rsidRDefault="00081BB2"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rsidR="00081BB2" w:rsidRPr="007C20F4" w:rsidRDefault="00081BB2"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rsidR="00081BB2" w:rsidRPr="007C20F4" w:rsidRDefault="00081BB2"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rsidR="00081BB2" w:rsidRPr="00D3790A" w:rsidRDefault="00081BB2"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v:textbox>
              </v:shape>
            </w:pict>
          </mc:Fallback>
        </mc:AlternateContent>
      </w:r>
    </w:p>
    <w:p w:rsidR="00052F10" w:rsidRPr="0084067A" w:rsidRDefault="00052F10" w:rsidP="0084067A">
      <w:pPr>
        <w:jc w:val="center"/>
        <w:rPr>
          <w:b/>
          <w:u w:val="none"/>
        </w:rPr>
      </w:pPr>
    </w:p>
    <w:p w:rsidR="007C20F4" w:rsidRPr="007C20F4" w:rsidRDefault="00AE0757" w:rsidP="007C20F4">
      <w:pPr>
        <w:tabs>
          <w:tab w:val="right" w:pos="8199"/>
        </w:tabs>
        <w:spacing w:line="360" w:lineRule="auto"/>
        <w:rPr>
          <w:u w:val="none"/>
        </w:rPr>
      </w:pP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p>
    <w:p w:rsidR="007C20F4" w:rsidRDefault="007C20F4"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7C20F4">
        <w:rPr>
          <w:u w:val="none"/>
        </w:rPr>
        <w:t>In the matter between:</w:t>
      </w:r>
    </w:p>
    <w:p w:rsidR="005A02FF" w:rsidRDefault="005A02F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5A02FF" w:rsidRPr="003D06C3" w:rsidRDefault="005A02F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3D06C3">
        <w:rPr>
          <w:b/>
          <w:u w:val="none"/>
        </w:rPr>
        <w:t>DALMAR PLANT HIRE (PTY) LTD                                               APPELLANT</w:t>
      </w:r>
    </w:p>
    <w:p w:rsidR="005A02FF" w:rsidRPr="003D06C3" w:rsidRDefault="005A02F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5A02FF" w:rsidRPr="003D06C3" w:rsidRDefault="005A02F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3D06C3">
        <w:rPr>
          <w:b/>
          <w:u w:val="none"/>
        </w:rPr>
        <w:t>AND</w:t>
      </w:r>
    </w:p>
    <w:p w:rsidR="005A02FF" w:rsidRPr="003D06C3" w:rsidRDefault="005A02F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5A02FF" w:rsidRPr="003D06C3" w:rsidRDefault="005A02F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3D06C3">
        <w:rPr>
          <w:b/>
          <w:u w:val="none"/>
        </w:rPr>
        <w:t>RMB STRUCTURED INSURANCE LTD                       FIRST RESPONDENT</w:t>
      </w:r>
    </w:p>
    <w:p w:rsidR="003D06C3" w:rsidRDefault="003D06C3"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5A02FF" w:rsidRPr="003D06C3" w:rsidRDefault="00175417"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OPT</w:t>
      </w:r>
      <w:r w:rsidR="005A02FF" w:rsidRPr="003D06C3">
        <w:rPr>
          <w:b/>
          <w:u w:val="none"/>
        </w:rPr>
        <w:t>IMUM GROUP 4 (PTY) LTD t/a</w:t>
      </w:r>
    </w:p>
    <w:p w:rsidR="005A02FF" w:rsidRPr="003D06C3" w:rsidRDefault="005A02F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3D06C3">
        <w:rPr>
          <w:b/>
          <w:u w:val="none"/>
        </w:rPr>
        <w:t>OPTIMUM FINANCIAL SERVICES                          SECOND RESPONDENT</w:t>
      </w:r>
    </w:p>
    <w:p w:rsidR="00F62AF0" w:rsidRPr="003D06C3"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F62AF0" w:rsidRPr="003D06C3" w:rsidRDefault="00F62AF0" w:rsidP="007C20F4">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F62AF0" w:rsidRPr="003D06C3"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F62AF0" w:rsidRPr="003D06C3" w:rsidRDefault="00F62AF0" w:rsidP="00F62AF0">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r w:rsidRPr="003D06C3">
        <w:rPr>
          <w:b/>
          <w:u w:val="none"/>
        </w:rPr>
        <w:t>JUDGMENT</w:t>
      </w:r>
    </w:p>
    <w:p w:rsid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sidRPr="00F62AF0">
        <w:rPr>
          <w:b/>
        </w:rPr>
        <w:lastRenderedPageBreak/>
        <w:t>TOLMAY, J</w:t>
      </w:r>
      <w:r w:rsidR="00843163">
        <w:rPr>
          <w:b/>
        </w:rPr>
        <w:t>: (BAQWA J et SARDIWALLE J CONCURRING)</w:t>
      </w:r>
    </w:p>
    <w:p w:rsidR="00F62AF0" w:rsidRP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rsidR="00F62AF0" w:rsidRPr="00F62AF0" w:rsidRDefault="00F62AF0" w:rsidP="00F62AF0">
      <w:pPr>
        <w:spacing w:line="480" w:lineRule="auto"/>
        <w:jc w:val="both"/>
        <w:rPr>
          <w:b/>
          <w:lang w:val="en-US"/>
        </w:rPr>
      </w:pPr>
      <w:r w:rsidRPr="00F62AF0">
        <w:rPr>
          <w:b/>
          <w:lang w:val="en-US"/>
        </w:rPr>
        <w:t>INTRODUCTION</w:t>
      </w:r>
    </w:p>
    <w:p w:rsidR="00F62AF0" w:rsidRDefault="00F62AF0" w:rsidP="005A02FF">
      <w:pPr>
        <w:spacing w:line="480" w:lineRule="auto"/>
        <w:jc w:val="both"/>
        <w:rPr>
          <w:u w:val="none"/>
          <w:lang w:val="en-US"/>
        </w:rPr>
      </w:pPr>
      <w:r>
        <w:rPr>
          <w:u w:val="none"/>
          <w:lang w:val="en-US"/>
        </w:rPr>
        <w:t>[1]</w:t>
      </w:r>
      <w:r>
        <w:rPr>
          <w:u w:val="none"/>
          <w:lang w:val="en-US"/>
        </w:rPr>
        <w:tab/>
      </w:r>
      <w:r w:rsidR="005A02FF">
        <w:rPr>
          <w:u w:val="none"/>
          <w:lang w:val="en-US"/>
        </w:rPr>
        <w:t xml:space="preserve">This is an appeal against the judgment </w:t>
      </w:r>
      <w:r w:rsidR="003F2DF8">
        <w:rPr>
          <w:u w:val="none"/>
          <w:lang w:val="en-US"/>
        </w:rPr>
        <w:t>of the C</w:t>
      </w:r>
      <w:r w:rsidR="005A02FF">
        <w:rPr>
          <w:u w:val="none"/>
          <w:lang w:val="en-US"/>
        </w:rPr>
        <w:t xml:space="preserve">ourt </w:t>
      </w:r>
      <w:r w:rsidR="005A02FF" w:rsidRPr="005A02FF">
        <w:rPr>
          <w:i/>
          <w:u w:val="none"/>
          <w:lang w:val="en-US"/>
        </w:rPr>
        <w:t>a quo</w:t>
      </w:r>
      <w:r w:rsidR="005A02FF">
        <w:rPr>
          <w:u w:val="none"/>
          <w:lang w:val="en-US"/>
        </w:rPr>
        <w:t xml:space="preserve"> in which absolution of the instance was granted against the </w:t>
      </w:r>
      <w:r w:rsidR="005F19E1">
        <w:rPr>
          <w:u w:val="none"/>
          <w:lang w:val="en-US"/>
        </w:rPr>
        <w:t>appellant (Dalma</w:t>
      </w:r>
      <w:r w:rsidR="00D30582">
        <w:rPr>
          <w:u w:val="none"/>
          <w:lang w:val="en-US"/>
        </w:rPr>
        <w:t>r</w:t>
      </w:r>
      <w:r w:rsidR="005F19E1">
        <w:rPr>
          <w:u w:val="none"/>
          <w:lang w:val="en-US"/>
        </w:rPr>
        <w:t>).</w:t>
      </w:r>
      <w:r w:rsidR="00D30582">
        <w:rPr>
          <w:u w:val="none"/>
          <w:lang w:val="en-US"/>
        </w:rPr>
        <w:t xml:space="preserve"> The C</w:t>
      </w:r>
      <w:r w:rsidR="005A02FF">
        <w:rPr>
          <w:u w:val="none"/>
          <w:lang w:val="en-US"/>
        </w:rPr>
        <w:t xml:space="preserve">ourt </w:t>
      </w:r>
      <w:r w:rsidR="005A02FF" w:rsidRPr="005A02FF">
        <w:rPr>
          <w:i/>
          <w:u w:val="none"/>
          <w:lang w:val="en-US"/>
        </w:rPr>
        <w:t>a quo</w:t>
      </w:r>
      <w:r w:rsidR="005A02FF">
        <w:rPr>
          <w:u w:val="none"/>
          <w:lang w:val="en-US"/>
        </w:rPr>
        <w:t xml:space="preserve"> granted leave to appeal.</w:t>
      </w:r>
    </w:p>
    <w:p w:rsidR="005A02FF" w:rsidRDefault="005A02FF" w:rsidP="005A02FF">
      <w:pPr>
        <w:spacing w:line="480" w:lineRule="auto"/>
        <w:jc w:val="both"/>
        <w:rPr>
          <w:u w:val="none"/>
          <w:lang w:val="en-US"/>
        </w:rPr>
      </w:pPr>
    </w:p>
    <w:p w:rsidR="005A02FF" w:rsidRDefault="005A02FF" w:rsidP="005A02FF">
      <w:pPr>
        <w:spacing w:line="480" w:lineRule="auto"/>
        <w:jc w:val="both"/>
        <w:rPr>
          <w:u w:val="none"/>
          <w:lang w:val="en-US"/>
        </w:rPr>
      </w:pPr>
      <w:r>
        <w:rPr>
          <w:u w:val="none"/>
          <w:lang w:val="en-US"/>
        </w:rPr>
        <w:t>[2]</w:t>
      </w:r>
      <w:r>
        <w:rPr>
          <w:u w:val="none"/>
          <w:lang w:val="en-US"/>
        </w:rPr>
        <w:tab/>
        <w:t xml:space="preserve">Dalmar </w:t>
      </w:r>
      <w:r w:rsidR="00642BDC">
        <w:rPr>
          <w:u w:val="none"/>
          <w:lang w:val="en-US"/>
        </w:rPr>
        <w:t xml:space="preserve">initially </w:t>
      </w:r>
      <w:r>
        <w:rPr>
          <w:u w:val="none"/>
          <w:lang w:val="en-US"/>
        </w:rPr>
        <w:t xml:space="preserve">issued summons against the first respondent (“RMB”) and </w:t>
      </w:r>
      <w:r w:rsidR="005F19E1">
        <w:rPr>
          <w:u w:val="none"/>
          <w:lang w:val="en-US"/>
        </w:rPr>
        <w:t>second respondent (“Optimum”)</w:t>
      </w:r>
      <w:r>
        <w:rPr>
          <w:u w:val="none"/>
          <w:lang w:val="en-US"/>
        </w:rPr>
        <w:t>. Dalmar</w:t>
      </w:r>
      <w:r w:rsidR="002C1A44">
        <w:rPr>
          <w:u w:val="none"/>
          <w:lang w:val="en-US"/>
        </w:rPr>
        <w:t>’s claim</w:t>
      </w:r>
      <w:r>
        <w:rPr>
          <w:u w:val="none"/>
          <w:lang w:val="en-US"/>
        </w:rPr>
        <w:t xml:space="preserve"> was based on an insurance agreement and the claim against Optimum, an insurance broker, was based on an alleged failure of Optimum to properly advise Dalmar of the requirement</w:t>
      </w:r>
      <w:r w:rsidR="00642BDC">
        <w:rPr>
          <w:u w:val="none"/>
          <w:lang w:val="en-US"/>
        </w:rPr>
        <w:t>s</w:t>
      </w:r>
      <w:r>
        <w:rPr>
          <w:u w:val="none"/>
          <w:lang w:val="en-US"/>
        </w:rPr>
        <w:t xml:space="preserve"> for adequate insurance cover. Dalmar</w:t>
      </w:r>
      <w:r w:rsidR="002C1A44">
        <w:rPr>
          <w:u w:val="none"/>
          <w:lang w:val="en-US"/>
        </w:rPr>
        <w:t>,</w:t>
      </w:r>
      <w:r w:rsidR="005F19E1">
        <w:rPr>
          <w:u w:val="none"/>
          <w:lang w:val="en-US"/>
        </w:rPr>
        <w:t xml:space="preserve"> in due course, </w:t>
      </w:r>
      <w:r>
        <w:rPr>
          <w:u w:val="none"/>
          <w:lang w:val="en-US"/>
        </w:rPr>
        <w:t>amended its particulars of claim and formulated its claim exclusively against Optimum. In the amended particulars of claim Dalmar accepted that it did not have a claim against the insurer, RMB.</w:t>
      </w:r>
      <w:r w:rsidR="005F19E1">
        <w:rPr>
          <w:u w:val="none"/>
          <w:lang w:val="en-US"/>
        </w:rPr>
        <w:t xml:space="preserve"> </w:t>
      </w:r>
      <w:r>
        <w:rPr>
          <w:u w:val="none"/>
          <w:lang w:val="en-US"/>
        </w:rPr>
        <w:t>Before the commencement of the action Dalmar settled its claim against RMB on the basis that RMB was entitled to repudiate its claim. The trial proceeded against Optimum only.</w:t>
      </w:r>
    </w:p>
    <w:p w:rsidR="005A02FF" w:rsidRDefault="005A02FF" w:rsidP="005A02FF">
      <w:pPr>
        <w:spacing w:line="480" w:lineRule="auto"/>
        <w:jc w:val="both"/>
        <w:rPr>
          <w:u w:val="none"/>
          <w:lang w:val="en-US"/>
        </w:rPr>
      </w:pPr>
    </w:p>
    <w:p w:rsidR="005A02FF" w:rsidRDefault="005F19E1" w:rsidP="005A02FF">
      <w:pPr>
        <w:spacing w:line="480" w:lineRule="auto"/>
        <w:jc w:val="both"/>
        <w:rPr>
          <w:u w:val="none"/>
          <w:lang w:val="en-US"/>
        </w:rPr>
      </w:pPr>
      <w:r>
        <w:rPr>
          <w:u w:val="none"/>
          <w:lang w:val="en-US"/>
        </w:rPr>
        <w:t>[3</w:t>
      </w:r>
      <w:r w:rsidR="005A02FF">
        <w:rPr>
          <w:u w:val="none"/>
          <w:lang w:val="en-US"/>
        </w:rPr>
        <w:t>]</w:t>
      </w:r>
      <w:r w:rsidR="005A02FF">
        <w:rPr>
          <w:u w:val="none"/>
          <w:lang w:val="en-US"/>
        </w:rPr>
        <w:tab/>
      </w:r>
      <w:r w:rsidR="00642BDC">
        <w:rPr>
          <w:u w:val="none"/>
          <w:lang w:val="en-US"/>
        </w:rPr>
        <w:t xml:space="preserve">Dalmar’s case </w:t>
      </w:r>
      <w:r w:rsidR="005A02FF">
        <w:rPr>
          <w:u w:val="none"/>
          <w:lang w:val="en-US"/>
        </w:rPr>
        <w:t>was that Optimum</w:t>
      </w:r>
      <w:r w:rsidR="00642BDC">
        <w:rPr>
          <w:u w:val="none"/>
          <w:lang w:val="en-US"/>
        </w:rPr>
        <w:t xml:space="preserve">, </w:t>
      </w:r>
      <w:r w:rsidR="00900806">
        <w:rPr>
          <w:u w:val="none"/>
          <w:lang w:val="en-US"/>
        </w:rPr>
        <w:t>which was</w:t>
      </w:r>
      <w:r w:rsidR="00AF7D98">
        <w:rPr>
          <w:u w:val="none"/>
          <w:lang w:val="en-US"/>
        </w:rPr>
        <w:t xml:space="preserve"> its insurance </w:t>
      </w:r>
      <w:r w:rsidR="003D06C3">
        <w:rPr>
          <w:u w:val="none"/>
          <w:lang w:val="en-US"/>
        </w:rPr>
        <w:t>broker</w:t>
      </w:r>
      <w:r w:rsidR="00AF7D98">
        <w:rPr>
          <w:u w:val="none"/>
          <w:lang w:val="en-US"/>
        </w:rPr>
        <w:t xml:space="preserve"> </w:t>
      </w:r>
      <w:r>
        <w:rPr>
          <w:u w:val="none"/>
          <w:lang w:val="en-US"/>
        </w:rPr>
        <w:t>d</w:t>
      </w:r>
      <w:r w:rsidR="00421590">
        <w:rPr>
          <w:u w:val="none"/>
          <w:lang w:val="en-US"/>
        </w:rPr>
        <w:t>uring the period</w:t>
      </w:r>
      <w:r w:rsidR="00925F6B">
        <w:rPr>
          <w:u w:val="none"/>
          <w:lang w:val="en-US"/>
        </w:rPr>
        <w:t>,</w:t>
      </w:r>
      <w:r w:rsidR="00421590">
        <w:rPr>
          <w:u w:val="none"/>
          <w:lang w:val="en-US"/>
        </w:rPr>
        <w:t xml:space="preserve"> advised a change of insurers, from Centriq Insurance Company Limited (“Centriq”) to RMB. There was one very significant difference between the </w:t>
      </w:r>
      <w:r w:rsidR="00DF6317">
        <w:rPr>
          <w:u w:val="none"/>
          <w:lang w:val="en-US"/>
        </w:rPr>
        <w:t>requirements of</w:t>
      </w:r>
      <w:r w:rsidR="00642BDC">
        <w:rPr>
          <w:u w:val="none"/>
          <w:lang w:val="en-US"/>
        </w:rPr>
        <w:t xml:space="preserve"> the </w:t>
      </w:r>
      <w:r w:rsidR="00DF6317">
        <w:rPr>
          <w:u w:val="none"/>
          <w:lang w:val="en-US"/>
        </w:rPr>
        <w:t>Centriq and RMB</w:t>
      </w:r>
      <w:r w:rsidR="00421590">
        <w:rPr>
          <w:u w:val="none"/>
          <w:lang w:val="en-US"/>
        </w:rPr>
        <w:t xml:space="preserve"> </w:t>
      </w:r>
      <w:r w:rsidR="00642BDC">
        <w:rPr>
          <w:u w:val="none"/>
          <w:lang w:val="en-US"/>
        </w:rPr>
        <w:t xml:space="preserve">policies </w:t>
      </w:r>
      <w:r w:rsidR="00421590">
        <w:rPr>
          <w:u w:val="none"/>
          <w:lang w:val="en-US"/>
        </w:rPr>
        <w:t>which ultimately led to the dispute between the parties, thi</w:t>
      </w:r>
      <w:r w:rsidR="002C1A44">
        <w:rPr>
          <w:u w:val="none"/>
          <w:lang w:val="en-US"/>
        </w:rPr>
        <w:t>s was that Centriq only required</w:t>
      </w:r>
      <w:r w:rsidR="00421590">
        <w:rPr>
          <w:u w:val="none"/>
          <w:lang w:val="en-US"/>
        </w:rPr>
        <w:t xml:space="preserve"> one tracking device to be installed </w:t>
      </w:r>
      <w:r>
        <w:rPr>
          <w:u w:val="none"/>
          <w:lang w:val="en-US"/>
        </w:rPr>
        <w:t xml:space="preserve">to </w:t>
      </w:r>
      <w:r w:rsidR="00421590">
        <w:rPr>
          <w:u w:val="none"/>
          <w:lang w:val="en-US"/>
        </w:rPr>
        <w:t xml:space="preserve">the </w:t>
      </w:r>
      <w:r w:rsidR="00752794">
        <w:rPr>
          <w:u w:val="none"/>
          <w:lang w:val="en-US"/>
        </w:rPr>
        <w:t xml:space="preserve">insured vehicle, whereas RMB required that </w:t>
      </w:r>
      <w:r>
        <w:rPr>
          <w:u w:val="none"/>
          <w:lang w:val="en-US"/>
        </w:rPr>
        <w:t>t</w:t>
      </w:r>
      <w:r w:rsidR="00752794">
        <w:rPr>
          <w:u w:val="none"/>
          <w:lang w:val="en-US"/>
        </w:rPr>
        <w:t>wo such devices should be installed.</w:t>
      </w:r>
    </w:p>
    <w:p w:rsidR="00752794" w:rsidRDefault="005F19E1" w:rsidP="005A02FF">
      <w:pPr>
        <w:spacing w:line="480" w:lineRule="auto"/>
        <w:jc w:val="both"/>
        <w:rPr>
          <w:u w:val="none"/>
          <w:lang w:val="en-US"/>
        </w:rPr>
      </w:pPr>
      <w:r>
        <w:rPr>
          <w:u w:val="none"/>
          <w:lang w:val="en-US"/>
        </w:rPr>
        <w:lastRenderedPageBreak/>
        <w:t>[4</w:t>
      </w:r>
      <w:r w:rsidR="00752794">
        <w:rPr>
          <w:u w:val="none"/>
          <w:lang w:val="en-US"/>
        </w:rPr>
        <w:t>]</w:t>
      </w:r>
      <w:r w:rsidR="00752794">
        <w:rPr>
          <w:u w:val="none"/>
          <w:lang w:val="en-US"/>
        </w:rPr>
        <w:tab/>
        <w:t xml:space="preserve">It was common </w:t>
      </w:r>
      <w:r w:rsidR="003F2DF8">
        <w:rPr>
          <w:u w:val="none"/>
          <w:lang w:val="en-US"/>
        </w:rPr>
        <w:t>cause</w:t>
      </w:r>
      <w:r w:rsidR="00CC7CE9">
        <w:rPr>
          <w:u w:val="none"/>
          <w:lang w:val="en-US"/>
        </w:rPr>
        <w:t>,</w:t>
      </w:r>
      <w:r w:rsidR="002C1A44">
        <w:rPr>
          <w:u w:val="none"/>
          <w:lang w:val="en-US"/>
        </w:rPr>
        <w:t xml:space="preserve"> on the pleadings,</w:t>
      </w:r>
      <w:r w:rsidR="00752794">
        <w:rPr>
          <w:u w:val="none"/>
          <w:lang w:val="en-US"/>
        </w:rPr>
        <w:t xml:space="preserve"> that Dalmar and Optimum during May 2010 concluded an oral agreement in terms of which Optimum was appointed to act as its insurance broker. It was also common cause that in terms of the agreement Optimum was obliged to exercise its duties with reasonable skill and care and without negligence</w:t>
      </w:r>
      <w:r>
        <w:rPr>
          <w:u w:val="none"/>
          <w:lang w:val="en-US"/>
        </w:rPr>
        <w:t xml:space="preserve"> and </w:t>
      </w:r>
      <w:r w:rsidR="00752794">
        <w:rPr>
          <w:u w:val="none"/>
          <w:lang w:val="en-US"/>
        </w:rPr>
        <w:t>that</w:t>
      </w:r>
      <w:r w:rsidR="00DF6317">
        <w:rPr>
          <w:u w:val="none"/>
          <w:lang w:val="en-US"/>
        </w:rPr>
        <w:t>,</w:t>
      </w:r>
      <w:r w:rsidR="00752794">
        <w:rPr>
          <w:u w:val="none"/>
          <w:lang w:val="en-US"/>
        </w:rPr>
        <w:t xml:space="preserve"> in terms of the agreement</w:t>
      </w:r>
      <w:r>
        <w:rPr>
          <w:u w:val="none"/>
          <w:lang w:val="en-US"/>
        </w:rPr>
        <w:t>,</w:t>
      </w:r>
      <w:r w:rsidR="00752794">
        <w:rPr>
          <w:u w:val="none"/>
          <w:lang w:val="en-US"/>
        </w:rPr>
        <w:t xml:space="preserve"> Optimum would take all reasonable steps to convey material changes to the insurance agreement to Dalmar.</w:t>
      </w:r>
    </w:p>
    <w:p w:rsidR="00752794" w:rsidRDefault="00752794" w:rsidP="005A02FF">
      <w:pPr>
        <w:spacing w:line="480" w:lineRule="auto"/>
        <w:jc w:val="both"/>
        <w:rPr>
          <w:u w:val="none"/>
          <w:lang w:val="en-US"/>
        </w:rPr>
      </w:pPr>
    </w:p>
    <w:p w:rsidR="00752794" w:rsidRDefault="005F19E1" w:rsidP="005A02FF">
      <w:pPr>
        <w:spacing w:line="480" w:lineRule="auto"/>
        <w:jc w:val="both"/>
        <w:rPr>
          <w:u w:val="none"/>
          <w:lang w:val="en-US"/>
        </w:rPr>
      </w:pPr>
      <w:r>
        <w:rPr>
          <w:u w:val="none"/>
          <w:lang w:val="en-US"/>
        </w:rPr>
        <w:t>[5</w:t>
      </w:r>
      <w:r w:rsidR="00DF6317">
        <w:rPr>
          <w:u w:val="none"/>
          <w:lang w:val="en-US"/>
        </w:rPr>
        <w:t>]</w:t>
      </w:r>
      <w:r w:rsidR="00DF6317">
        <w:rPr>
          <w:u w:val="none"/>
          <w:lang w:val="en-US"/>
        </w:rPr>
        <w:tab/>
        <w:t>The facts pertaining to the insurance claim reflects that, d</w:t>
      </w:r>
      <w:r w:rsidR="00752794">
        <w:rPr>
          <w:u w:val="none"/>
          <w:lang w:val="en-US"/>
        </w:rPr>
        <w:t>uring Jul</w:t>
      </w:r>
      <w:r w:rsidR="00CC7CE9">
        <w:rPr>
          <w:u w:val="none"/>
          <w:lang w:val="en-US"/>
        </w:rPr>
        <w:t>y 2012</w:t>
      </w:r>
      <w:r w:rsidR="00DF6317">
        <w:rPr>
          <w:u w:val="none"/>
          <w:lang w:val="en-US"/>
        </w:rPr>
        <w:t xml:space="preserve"> Dalmar</w:t>
      </w:r>
      <w:r w:rsidR="00642BDC">
        <w:rPr>
          <w:u w:val="none"/>
          <w:lang w:val="en-US"/>
        </w:rPr>
        <w:t>,</w:t>
      </w:r>
      <w:r>
        <w:rPr>
          <w:u w:val="none"/>
          <w:lang w:val="en-US"/>
        </w:rPr>
        <w:t xml:space="preserve"> represented by O</w:t>
      </w:r>
      <w:r w:rsidR="00642BDC">
        <w:rPr>
          <w:u w:val="none"/>
          <w:lang w:val="en-US"/>
        </w:rPr>
        <w:t>ptimum,</w:t>
      </w:r>
      <w:r w:rsidR="00752794">
        <w:rPr>
          <w:u w:val="none"/>
          <w:lang w:val="en-US"/>
        </w:rPr>
        <w:t xml:space="preserve"> concluded</w:t>
      </w:r>
      <w:r w:rsidR="00CC7CE9">
        <w:rPr>
          <w:u w:val="none"/>
          <w:lang w:val="en-US"/>
        </w:rPr>
        <w:t xml:space="preserve"> an insurance agreement with Ce</w:t>
      </w:r>
      <w:r w:rsidR="00752794">
        <w:rPr>
          <w:u w:val="none"/>
          <w:lang w:val="en-US"/>
        </w:rPr>
        <w:t>n</w:t>
      </w:r>
      <w:r w:rsidR="00CC7CE9">
        <w:rPr>
          <w:u w:val="none"/>
          <w:lang w:val="en-US"/>
        </w:rPr>
        <w:t>t</w:t>
      </w:r>
      <w:r w:rsidR="00752794">
        <w:rPr>
          <w:u w:val="none"/>
          <w:lang w:val="en-US"/>
        </w:rPr>
        <w:t>riq. On 10 December 2012 a Hino 500 1726 TIP C/</w:t>
      </w:r>
      <w:r w:rsidR="00055B73">
        <w:rPr>
          <w:u w:val="none"/>
          <w:lang w:val="en-US"/>
        </w:rPr>
        <w:t>C tipper</w:t>
      </w:r>
      <w:r w:rsidR="00752794">
        <w:rPr>
          <w:u w:val="none"/>
          <w:lang w:val="en-US"/>
        </w:rPr>
        <w:t xml:space="preserve"> truck (</w:t>
      </w:r>
      <w:r w:rsidR="00D30582">
        <w:rPr>
          <w:u w:val="none"/>
          <w:lang w:val="en-US"/>
        </w:rPr>
        <w:t>“</w:t>
      </w:r>
      <w:r w:rsidR="00752794">
        <w:rPr>
          <w:u w:val="none"/>
          <w:lang w:val="en-US"/>
        </w:rPr>
        <w:t xml:space="preserve">the insured vehicle”) was added to the policy schedule. In the particulars of claim Dalmar alleged that on 1 July 2013 the rights and obligations of Centriq were ceded to RMB, alternatively a new insurance agreement with RMB was entered into and the one with Centriq </w:t>
      </w:r>
      <w:r>
        <w:rPr>
          <w:u w:val="none"/>
          <w:lang w:val="en-US"/>
        </w:rPr>
        <w:t xml:space="preserve">was </w:t>
      </w:r>
      <w:r w:rsidR="00752794">
        <w:rPr>
          <w:u w:val="none"/>
          <w:lang w:val="en-US"/>
        </w:rPr>
        <w:t>cancelled. Op</w:t>
      </w:r>
      <w:r>
        <w:rPr>
          <w:u w:val="none"/>
          <w:lang w:val="en-US"/>
        </w:rPr>
        <w:t>timum admitted this in its plea. Despite this</w:t>
      </w:r>
      <w:r w:rsidR="00D30582">
        <w:rPr>
          <w:u w:val="none"/>
          <w:lang w:val="en-US"/>
        </w:rPr>
        <w:t xml:space="preserve"> the C</w:t>
      </w:r>
      <w:r w:rsidR="00752794">
        <w:rPr>
          <w:u w:val="none"/>
          <w:lang w:val="en-US"/>
        </w:rPr>
        <w:t xml:space="preserve">ourt </w:t>
      </w:r>
      <w:r w:rsidR="00752794" w:rsidRPr="00752794">
        <w:rPr>
          <w:i/>
          <w:u w:val="none"/>
          <w:lang w:val="en-US"/>
        </w:rPr>
        <w:t>a quo</w:t>
      </w:r>
      <w:r w:rsidR="00752794">
        <w:rPr>
          <w:u w:val="none"/>
          <w:lang w:val="en-US"/>
        </w:rPr>
        <w:t xml:space="preserve"> s</w:t>
      </w:r>
      <w:r>
        <w:rPr>
          <w:u w:val="none"/>
          <w:lang w:val="en-US"/>
        </w:rPr>
        <w:t>tated</w:t>
      </w:r>
      <w:r w:rsidR="00752794">
        <w:rPr>
          <w:u w:val="none"/>
          <w:lang w:val="en-US"/>
        </w:rPr>
        <w:t xml:space="preserve"> in its judgment that no evidence in this regard was led. However, in the light of the admission no evidence in this regard was required.</w:t>
      </w:r>
    </w:p>
    <w:p w:rsidR="00752794" w:rsidRDefault="00752794" w:rsidP="005A02FF">
      <w:pPr>
        <w:spacing w:line="480" w:lineRule="auto"/>
        <w:jc w:val="both"/>
        <w:rPr>
          <w:u w:val="none"/>
          <w:lang w:val="en-US"/>
        </w:rPr>
      </w:pPr>
    </w:p>
    <w:p w:rsidR="00752794" w:rsidRDefault="005F19E1" w:rsidP="005A02FF">
      <w:pPr>
        <w:spacing w:line="480" w:lineRule="auto"/>
        <w:jc w:val="both"/>
        <w:rPr>
          <w:u w:val="none"/>
          <w:lang w:val="en-US"/>
        </w:rPr>
      </w:pPr>
      <w:r>
        <w:rPr>
          <w:u w:val="none"/>
          <w:lang w:val="en-US"/>
        </w:rPr>
        <w:t>[6</w:t>
      </w:r>
      <w:r w:rsidR="00752794">
        <w:rPr>
          <w:u w:val="none"/>
          <w:lang w:val="en-US"/>
        </w:rPr>
        <w:t>]</w:t>
      </w:r>
      <w:r w:rsidR="00752794">
        <w:rPr>
          <w:u w:val="none"/>
          <w:lang w:val="en-US"/>
        </w:rPr>
        <w:tab/>
      </w:r>
      <w:r w:rsidR="00642BDC">
        <w:rPr>
          <w:u w:val="none"/>
          <w:lang w:val="en-US"/>
        </w:rPr>
        <w:t>Dalmar’s case was</w:t>
      </w:r>
      <w:r w:rsidR="00175417">
        <w:rPr>
          <w:u w:val="none"/>
          <w:lang w:val="en-US"/>
        </w:rPr>
        <w:t xml:space="preserve"> </w:t>
      </w:r>
      <w:r w:rsidR="005746A9">
        <w:rPr>
          <w:u w:val="none"/>
          <w:lang w:val="en-US"/>
        </w:rPr>
        <w:t>that both</w:t>
      </w:r>
      <w:r w:rsidR="00752794">
        <w:rPr>
          <w:u w:val="none"/>
          <w:lang w:val="en-US"/>
        </w:rPr>
        <w:t xml:space="preserve"> the insurance agreements concluded with Ce</w:t>
      </w:r>
      <w:r w:rsidR="00CC7CE9">
        <w:rPr>
          <w:u w:val="none"/>
          <w:lang w:val="en-US"/>
        </w:rPr>
        <w:t>n</w:t>
      </w:r>
      <w:r w:rsidR="00752794">
        <w:rPr>
          <w:u w:val="none"/>
          <w:lang w:val="en-US"/>
        </w:rPr>
        <w:t>triq and RMB contained specific, but different endorsements</w:t>
      </w:r>
      <w:r w:rsidR="00DF6317">
        <w:rPr>
          <w:u w:val="none"/>
          <w:lang w:val="en-US"/>
        </w:rPr>
        <w:t>,</w:t>
      </w:r>
      <w:r w:rsidR="00752794">
        <w:rPr>
          <w:u w:val="none"/>
          <w:lang w:val="en-US"/>
        </w:rPr>
        <w:t xml:space="preserve"> regarding the requirement relating to the installation of a tracking device or devices</w:t>
      </w:r>
      <w:r w:rsidR="00CC7CE9">
        <w:rPr>
          <w:u w:val="none"/>
          <w:lang w:val="en-US"/>
        </w:rPr>
        <w:t>,</w:t>
      </w:r>
      <w:r w:rsidR="00752794">
        <w:rPr>
          <w:u w:val="none"/>
          <w:lang w:val="en-US"/>
        </w:rPr>
        <w:t xml:space="preserve"> which had to be fitted t</w:t>
      </w:r>
      <w:r>
        <w:rPr>
          <w:u w:val="none"/>
          <w:lang w:val="en-US"/>
        </w:rPr>
        <w:t>o</w:t>
      </w:r>
      <w:r w:rsidR="00752794">
        <w:rPr>
          <w:u w:val="none"/>
          <w:lang w:val="en-US"/>
        </w:rPr>
        <w:t xml:space="preserve"> the insured vehicle.</w:t>
      </w:r>
      <w:r w:rsidR="00175417">
        <w:rPr>
          <w:u w:val="none"/>
          <w:lang w:val="en-US"/>
        </w:rPr>
        <w:t xml:space="preserve"> Delmar’s case was </w:t>
      </w:r>
      <w:r w:rsidR="00752794">
        <w:rPr>
          <w:u w:val="none"/>
          <w:lang w:val="en-US"/>
        </w:rPr>
        <w:t xml:space="preserve">that there was a material change to what was required by the two insurers and Optimum, as the </w:t>
      </w:r>
      <w:r w:rsidR="00752794">
        <w:rPr>
          <w:u w:val="none"/>
          <w:lang w:val="en-US"/>
        </w:rPr>
        <w:lastRenderedPageBreak/>
        <w:t>insurance broker, had a duty to communicate this specific change to Dalmar.</w:t>
      </w:r>
      <w:r w:rsidR="00642BDC">
        <w:rPr>
          <w:u w:val="none"/>
          <w:lang w:val="en-US"/>
        </w:rPr>
        <w:t xml:space="preserve"> Optimum’s case was that the change was not material.</w:t>
      </w:r>
    </w:p>
    <w:p w:rsidR="00DF6317" w:rsidRDefault="00DF6317" w:rsidP="005A02FF">
      <w:pPr>
        <w:spacing w:line="480" w:lineRule="auto"/>
        <w:jc w:val="both"/>
        <w:rPr>
          <w:u w:val="none"/>
          <w:lang w:val="en-US"/>
        </w:rPr>
      </w:pPr>
    </w:p>
    <w:p w:rsidR="005F19E1" w:rsidRPr="00753A44" w:rsidRDefault="005F19E1" w:rsidP="005F19E1">
      <w:pPr>
        <w:spacing w:line="480" w:lineRule="auto"/>
        <w:jc w:val="both"/>
        <w:rPr>
          <w:b/>
          <w:lang w:val="en-US"/>
        </w:rPr>
      </w:pPr>
      <w:r w:rsidRPr="00753A44">
        <w:rPr>
          <w:b/>
          <w:lang w:val="en-US"/>
        </w:rPr>
        <w:t xml:space="preserve">ABSOLUTION </w:t>
      </w:r>
      <w:r w:rsidR="00B512A4">
        <w:rPr>
          <w:b/>
          <w:lang w:val="en-US"/>
        </w:rPr>
        <w:t>FROM</w:t>
      </w:r>
      <w:r w:rsidRPr="00753A44">
        <w:rPr>
          <w:b/>
          <w:lang w:val="en-US"/>
        </w:rPr>
        <w:t xml:space="preserve"> THE INSTANCE</w:t>
      </w:r>
    </w:p>
    <w:p w:rsidR="005F19E1" w:rsidRDefault="008D669D" w:rsidP="005F19E1">
      <w:pPr>
        <w:spacing w:line="480" w:lineRule="auto"/>
        <w:jc w:val="both"/>
        <w:rPr>
          <w:u w:val="none"/>
          <w:lang w:val="en-US"/>
        </w:rPr>
      </w:pPr>
      <w:r>
        <w:rPr>
          <w:u w:val="none"/>
          <w:lang w:val="en-US"/>
        </w:rPr>
        <w:t>[7</w:t>
      </w:r>
      <w:r w:rsidR="005F19E1">
        <w:rPr>
          <w:u w:val="none"/>
          <w:lang w:val="en-US"/>
        </w:rPr>
        <w:t>]</w:t>
      </w:r>
      <w:r w:rsidR="005F19E1">
        <w:rPr>
          <w:u w:val="none"/>
          <w:lang w:val="en-US"/>
        </w:rPr>
        <w:tab/>
        <w:t xml:space="preserve">As the Court </w:t>
      </w:r>
      <w:r w:rsidR="005F19E1" w:rsidRPr="00753A44">
        <w:rPr>
          <w:i/>
          <w:u w:val="none"/>
          <w:lang w:val="en-US"/>
        </w:rPr>
        <w:t>a quo</w:t>
      </w:r>
      <w:r w:rsidR="005F19E1">
        <w:rPr>
          <w:u w:val="none"/>
          <w:lang w:val="en-US"/>
        </w:rPr>
        <w:t xml:space="preserve"> </w:t>
      </w:r>
      <w:r w:rsidR="00CC7CE9">
        <w:rPr>
          <w:u w:val="none"/>
          <w:lang w:val="en-US"/>
        </w:rPr>
        <w:t xml:space="preserve">granted absolution </w:t>
      </w:r>
      <w:r w:rsidR="00B512A4">
        <w:rPr>
          <w:u w:val="none"/>
          <w:lang w:val="en-US"/>
        </w:rPr>
        <w:t>from</w:t>
      </w:r>
      <w:r w:rsidR="00CC7CE9">
        <w:rPr>
          <w:u w:val="none"/>
          <w:lang w:val="en-US"/>
        </w:rPr>
        <w:t xml:space="preserve"> the instance, after Dalmar closed its case</w:t>
      </w:r>
      <w:r w:rsidR="005F19E1">
        <w:rPr>
          <w:u w:val="none"/>
          <w:lang w:val="en-US"/>
        </w:rPr>
        <w:t>, this Court is not required to make a fi</w:t>
      </w:r>
      <w:r w:rsidR="00642BDC">
        <w:rPr>
          <w:u w:val="none"/>
          <w:lang w:val="en-US"/>
        </w:rPr>
        <w:t xml:space="preserve">nal finding regarding liability, but merely has to decide whether absolution </w:t>
      </w:r>
      <w:r w:rsidR="00B512A4">
        <w:rPr>
          <w:u w:val="none"/>
          <w:lang w:val="en-US"/>
        </w:rPr>
        <w:t>from</w:t>
      </w:r>
      <w:r w:rsidR="00642BDC">
        <w:rPr>
          <w:u w:val="none"/>
          <w:lang w:val="en-US"/>
        </w:rPr>
        <w:t xml:space="preserve"> the instance should have been granted at the end of Dalmar’s case.</w:t>
      </w:r>
    </w:p>
    <w:p w:rsidR="00642BDC" w:rsidRDefault="00642BDC" w:rsidP="005F19E1">
      <w:pPr>
        <w:spacing w:line="480" w:lineRule="auto"/>
        <w:jc w:val="both"/>
        <w:rPr>
          <w:u w:val="none"/>
          <w:lang w:val="en-US"/>
        </w:rPr>
      </w:pPr>
    </w:p>
    <w:p w:rsidR="005F19E1" w:rsidRDefault="008D669D" w:rsidP="005F19E1">
      <w:pPr>
        <w:spacing w:line="480" w:lineRule="auto"/>
        <w:jc w:val="both"/>
        <w:rPr>
          <w:u w:val="none"/>
          <w:lang w:val="en-US"/>
        </w:rPr>
      </w:pPr>
      <w:r>
        <w:rPr>
          <w:u w:val="none"/>
          <w:lang w:val="en-US"/>
        </w:rPr>
        <w:t>[8</w:t>
      </w:r>
      <w:r w:rsidR="005F19E1">
        <w:rPr>
          <w:u w:val="none"/>
          <w:lang w:val="en-US"/>
        </w:rPr>
        <w:t>]</w:t>
      </w:r>
      <w:r w:rsidR="005F19E1">
        <w:rPr>
          <w:u w:val="none"/>
          <w:lang w:val="en-US"/>
        </w:rPr>
        <w:tab/>
        <w:t>It is trite that the test to be applied, when absolution is sought at the end of the plaintiff’s case</w:t>
      </w:r>
      <w:r w:rsidR="00CC7CE9">
        <w:rPr>
          <w:u w:val="none"/>
          <w:lang w:val="en-US"/>
        </w:rPr>
        <w:t xml:space="preserve">, </w:t>
      </w:r>
      <w:r w:rsidR="005F19E1">
        <w:rPr>
          <w:u w:val="none"/>
          <w:lang w:val="en-US"/>
        </w:rPr>
        <w:t xml:space="preserve">is not whether the evidence led by the plaintiff established what would finally have to be established, but whether there </w:t>
      </w:r>
      <w:r w:rsidR="002C1A44">
        <w:rPr>
          <w:u w:val="none"/>
          <w:lang w:val="en-US"/>
        </w:rPr>
        <w:t>is evidence upon which a court,</w:t>
      </w:r>
      <w:r w:rsidR="005F19E1">
        <w:rPr>
          <w:u w:val="none"/>
          <w:lang w:val="en-US"/>
        </w:rPr>
        <w:t xml:space="preserve"> when applying its mind reasonably</w:t>
      </w:r>
      <w:r w:rsidR="00DF6317">
        <w:rPr>
          <w:u w:val="none"/>
          <w:lang w:val="en-US"/>
        </w:rPr>
        <w:t>,</w:t>
      </w:r>
      <w:r w:rsidR="005F19E1">
        <w:rPr>
          <w:u w:val="none"/>
          <w:lang w:val="en-US"/>
        </w:rPr>
        <w:t xml:space="preserve"> could or might find for the plaintiff. This implies that a plaintiff has to make out a </w:t>
      </w:r>
      <w:r w:rsidR="005F19E1" w:rsidRPr="00D30582">
        <w:rPr>
          <w:i/>
          <w:u w:val="none"/>
          <w:lang w:val="en-US"/>
        </w:rPr>
        <w:t>prime facie</w:t>
      </w:r>
      <w:r w:rsidR="005F19E1">
        <w:rPr>
          <w:u w:val="none"/>
          <w:lang w:val="en-US"/>
        </w:rPr>
        <w:t xml:space="preserve"> case</w:t>
      </w:r>
      <w:r w:rsidR="00175417">
        <w:rPr>
          <w:u w:val="none"/>
          <w:lang w:val="en-US"/>
        </w:rPr>
        <w:t xml:space="preserve">, </w:t>
      </w:r>
      <w:r w:rsidR="00DF6317">
        <w:rPr>
          <w:u w:val="none"/>
          <w:lang w:val="en-US"/>
        </w:rPr>
        <w:t xml:space="preserve">it has been pointed out that </w:t>
      </w:r>
      <w:r w:rsidR="002C1A44">
        <w:rPr>
          <w:u w:val="none"/>
          <w:lang w:val="en-US"/>
        </w:rPr>
        <w:t xml:space="preserve">absolution </w:t>
      </w:r>
      <w:r w:rsidR="005F19E1">
        <w:rPr>
          <w:u w:val="none"/>
          <w:lang w:val="en-US"/>
        </w:rPr>
        <w:t>should be granted sparingly.</w:t>
      </w:r>
      <w:r w:rsidR="005F19E1">
        <w:rPr>
          <w:rStyle w:val="FootnoteReference"/>
          <w:u w:val="none"/>
          <w:lang w:val="en-US"/>
        </w:rPr>
        <w:footnoteReference w:id="1"/>
      </w:r>
      <w:r w:rsidR="002C1A44">
        <w:rPr>
          <w:u w:val="none"/>
          <w:lang w:val="en-US"/>
        </w:rPr>
        <w:t xml:space="preserve"> At </w:t>
      </w:r>
      <w:r w:rsidR="00DF6317">
        <w:rPr>
          <w:u w:val="none"/>
          <w:lang w:val="en-US"/>
        </w:rPr>
        <w:t>absolution</w:t>
      </w:r>
      <w:r w:rsidR="002C1A44">
        <w:rPr>
          <w:u w:val="none"/>
          <w:lang w:val="en-US"/>
        </w:rPr>
        <w:t xml:space="preserve"> stage there should be no</w:t>
      </w:r>
      <w:r w:rsidR="005F19E1">
        <w:rPr>
          <w:u w:val="none"/>
          <w:lang w:val="en-US"/>
        </w:rPr>
        <w:t xml:space="preserve"> weighing up of inference</w:t>
      </w:r>
      <w:r w:rsidR="002C1A44">
        <w:rPr>
          <w:u w:val="none"/>
          <w:lang w:val="en-US"/>
        </w:rPr>
        <w:t>s</w:t>
      </w:r>
      <w:r w:rsidR="005F19E1">
        <w:rPr>
          <w:u w:val="none"/>
          <w:lang w:val="en-US"/>
        </w:rPr>
        <w:t xml:space="preserve">, but </w:t>
      </w:r>
      <w:r w:rsidR="00CC7CE9">
        <w:rPr>
          <w:u w:val="none"/>
          <w:lang w:val="en-US"/>
        </w:rPr>
        <w:t>what should be established is</w:t>
      </w:r>
      <w:r w:rsidR="00DF6317">
        <w:rPr>
          <w:u w:val="none"/>
          <w:lang w:val="en-US"/>
        </w:rPr>
        <w:t>,</w:t>
      </w:r>
      <w:r w:rsidR="00CC7CE9">
        <w:rPr>
          <w:u w:val="none"/>
          <w:lang w:val="en-US"/>
        </w:rPr>
        <w:t xml:space="preserve"> </w:t>
      </w:r>
      <w:r w:rsidR="005F19E1">
        <w:rPr>
          <w:u w:val="none"/>
          <w:lang w:val="en-US"/>
        </w:rPr>
        <w:t>whether one of the reasonable inferences is in favour of the plaintiff.</w:t>
      </w:r>
      <w:r w:rsidR="005F19E1">
        <w:rPr>
          <w:rStyle w:val="FootnoteReference"/>
          <w:u w:val="none"/>
          <w:lang w:val="en-US"/>
        </w:rPr>
        <w:footnoteReference w:id="2"/>
      </w:r>
      <w:r w:rsidR="00642BDC">
        <w:rPr>
          <w:u w:val="none"/>
          <w:lang w:val="en-US"/>
        </w:rPr>
        <w:t xml:space="preserve"> </w:t>
      </w:r>
      <w:r w:rsidR="005F19E1">
        <w:rPr>
          <w:u w:val="none"/>
          <w:lang w:val="en-US"/>
        </w:rPr>
        <w:t xml:space="preserve">In view of the aforesaid a trial court </w:t>
      </w:r>
      <w:r w:rsidR="003D06C3">
        <w:rPr>
          <w:u w:val="none"/>
          <w:lang w:val="en-US"/>
        </w:rPr>
        <w:t>should be</w:t>
      </w:r>
      <w:r w:rsidR="005F19E1">
        <w:rPr>
          <w:u w:val="none"/>
          <w:lang w:val="en-US"/>
        </w:rPr>
        <w:t xml:space="preserve"> circumspect when it considers granting absolution at the end of</w:t>
      </w:r>
      <w:r w:rsidR="00175417">
        <w:rPr>
          <w:u w:val="none"/>
          <w:lang w:val="en-US"/>
        </w:rPr>
        <w:t xml:space="preserve"> a</w:t>
      </w:r>
      <w:r w:rsidR="005F19E1">
        <w:rPr>
          <w:u w:val="none"/>
          <w:lang w:val="en-US"/>
        </w:rPr>
        <w:t xml:space="preserve"> plaintiff’s case.</w:t>
      </w:r>
    </w:p>
    <w:p w:rsidR="005F19E1" w:rsidRDefault="005F19E1" w:rsidP="005F19E1">
      <w:pPr>
        <w:spacing w:line="480" w:lineRule="auto"/>
        <w:jc w:val="both"/>
        <w:rPr>
          <w:u w:val="none"/>
          <w:lang w:val="en-US"/>
        </w:rPr>
      </w:pPr>
    </w:p>
    <w:p w:rsidR="005F19E1" w:rsidRPr="008A2CCD" w:rsidRDefault="008D669D" w:rsidP="005F19E1">
      <w:pPr>
        <w:widowControl w:val="0"/>
        <w:spacing w:line="480" w:lineRule="auto"/>
        <w:jc w:val="both"/>
        <w:rPr>
          <w:bCs/>
          <w:u w:val="none"/>
          <w:lang w:val="en-GB"/>
        </w:rPr>
      </w:pPr>
      <w:r>
        <w:rPr>
          <w:u w:val="none"/>
          <w:lang w:val="en-US"/>
        </w:rPr>
        <w:t>[9</w:t>
      </w:r>
      <w:r w:rsidR="005F19E1">
        <w:rPr>
          <w:u w:val="none"/>
          <w:lang w:val="en-US"/>
        </w:rPr>
        <w:t>]</w:t>
      </w:r>
      <w:r w:rsidR="005F19E1">
        <w:rPr>
          <w:u w:val="none"/>
          <w:lang w:val="en-US"/>
        </w:rPr>
        <w:tab/>
      </w:r>
      <w:r w:rsidR="005F19E1" w:rsidRPr="008A2CCD">
        <w:rPr>
          <w:bCs/>
          <w:u w:val="none"/>
          <w:lang w:val="en-GB"/>
        </w:rPr>
        <w:t xml:space="preserve">In the matter of </w:t>
      </w:r>
      <w:r w:rsidR="005F19E1" w:rsidRPr="008A2CCD">
        <w:rPr>
          <w:i/>
          <w:u w:val="none"/>
          <w:lang w:val="en-GB"/>
        </w:rPr>
        <w:t>De Klerk v Absa Bank Ltd and others</w:t>
      </w:r>
      <w:r w:rsidR="002C1A44">
        <w:rPr>
          <w:rStyle w:val="FootnoteReference"/>
          <w:i/>
          <w:u w:val="none"/>
          <w:lang w:val="en-GB"/>
        </w:rPr>
        <w:footnoteReference w:id="3"/>
      </w:r>
      <w:r w:rsidR="005F19E1" w:rsidRPr="008A2CCD">
        <w:rPr>
          <w:bCs/>
          <w:u w:val="none"/>
          <w:lang w:val="en-GB"/>
        </w:rPr>
        <w:t xml:space="preserve"> </w:t>
      </w:r>
      <w:r w:rsidR="00D30582">
        <w:rPr>
          <w:bCs/>
          <w:u w:val="none"/>
          <w:lang w:val="en-GB"/>
        </w:rPr>
        <w:t xml:space="preserve"> the C</w:t>
      </w:r>
      <w:r w:rsidR="005F19E1" w:rsidRPr="008A2CCD">
        <w:rPr>
          <w:bCs/>
          <w:u w:val="none"/>
          <w:lang w:val="en-GB"/>
        </w:rPr>
        <w:t>ourt stated the following:</w:t>
      </w:r>
    </w:p>
    <w:p w:rsidR="005F19E1" w:rsidRPr="008A2CCD" w:rsidRDefault="005F19E1" w:rsidP="005F19E1">
      <w:pPr>
        <w:widowControl w:val="0"/>
        <w:rPr>
          <w:sz w:val="16"/>
          <w:szCs w:val="16"/>
          <w:u w:val="none"/>
          <w:lang w:val="en-GB"/>
        </w:rPr>
      </w:pPr>
    </w:p>
    <w:p w:rsidR="005F19E1" w:rsidRDefault="005F19E1" w:rsidP="00A8481F">
      <w:pPr>
        <w:tabs>
          <w:tab w:val="left" w:pos="1701"/>
        </w:tabs>
        <w:spacing w:line="480" w:lineRule="auto"/>
        <w:ind w:left="1134" w:right="282"/>
        <w:jc w:val="both"/>
        <w:rPr>
          <w:iCs/>
          <w:u w:val="none"/>
          <w:lang w:val="en-GB"/>
        </w:rPr>
      </w:pPr>
      <w:r w:rsidRPr="008A2CCD">
        <w:rPr>
          <w:u w:val="none"/>
          <w:lang w:val="en-GB"/>
        </w:rPr>
        <w:lastRenderedPageBreak/>
        <w:t>“</w:t>
      </w:r>
      <w:r w:rsidRPr="008A2CCD">
        <w:rPr>
          <w:i/>
          <w:u w:val="none"/>
          <w:lang w:val="en-GB"/>
        </w:rPr>
        <w:t xml:space="preserve">Counsel who applies for absolution from the instance at the end of a plaintiff’s case takes a risk, even though the plaintiff’s case be weak. If the application succeeds the plaintiff’s action is ended, he must pay the costs and the defendant is relieved of the decision whether to lead evidence and of having his body of evidence scrutinised should he choose to provide it. But time and time again plaintiffs against whom absolution has been ordered have appealed successfully and left the defendant to pay the costs </w:t>
      </w:r>
      <w:r w:rsidR="00642BDC">
        <w:rPr>
          <w:i/>
          <w:u w:val="none"/>
          <w:lang w:val="en-GB"/>
        </w:rPr>
        <w:t xml:space="preserve">of </w:t>
      </w:r>
      <w:r w:rsidR="00F83C0C">
        <w:rPr>
          <w:i/>
          <w:u w:val="none"/>
          <w:lang w:val="en-GB"/>
        </w:rPr>
        <w:t xml:space="preserve">both </w:t>
      </w:r>
      <w:r w:rsidRPr="008A2CCD">
        <w:rPr>
          <w:i/>
          <w:u w:val="none"/>
          <w:lang w:val="en-GB"/>
        </w:rPr>
        <w:t>the application and the appeal and with the need to decide what is to be done next. The question in this case is whether the plaintiff has crossed the low threshold of proof that the law sets when a plaintiff’s case is closed but the defendant</w:t>
      </w:r>
      <w:r w:rsidR="00175417">
        <w:rPr>
          <w:i/>
          <w:u w:val="none"/>
          <w:lang w:val="en-GB"/>
        </w:rPr>
        <w:t>’</w:t>
      </w:r>
      <w:r w:rsidRPr="008A2CCD">
        <w:rPr>
          <w:i/>
          <w:u w:val="none"/>
          <w:lang w:val="en-GB"/>
        </w:rPr>
        <w:t>s is not</w:t>
      </w:r>
      <w:r w:rsidRPr="008A2CCD">
        <w:rPr>
          <w:iCs/>
          <w:u w:val="none"/>
          <w:lang w:val="en-GB"/>
        </w:rPr>
        <w:t>.”</w:t>
      </w:r>
      <w:r w:rsidR="002C1A44">
        <w:rPr>
          <w:rStyle w:val="FootnoteReference"/>
          <w:iCs/>
          <w:u w:val="none"/>
          <w:lang w:val="en-GB"/>
        </w:rPr>
        <w:footnoteReference w:id="4"/>
      </w:r>
    </w:p>
    <w:p w:rsidR="00DF6317" w:rsidRDefault="00DF6317" w:rsidP="00DF6317">
      <w:pPr>
        <w:tabs>
          <w:tab w:val="left" w:pos="1701"/>
        </w:tabs>
        <w:spacing w:line="480" w:lineRule="auto"/>
        <w:ind w:right="282"/>
        <w:rPr>
          <w:iCs/>
          <w:u w:val="none"/>
          <w:lang w:val="en-GB"/>
        </w:rPr>
      </w:pPr>
    </w:p>
    <w:p w:rsidR="00175417" w:rsidRDefault="008D669D" w:rsidP="00925F6B">
      <w:pPr>
        <w:spacing w:line="480" w:lineRule="auto"/>
        <w:ind w:right="-240"/>
        <w:jc w:val="both"/>
        <w:rPr>
          <w:iCs/>
          <w:u w:val="none"/>
          <w:lang w:val="en-GB"/>
        </w:rPr>
      </w:pPr>
      <w:r>
        <w:rPr>
          <w:iCs/>
          <w:u w:val="none"/>
          <w:lang w:val="en-GB"/>
        </w:rPr>
        <w:t>[</w:t>
      </w:r>
      <w:r w:rsidR="00642BDC">
        <w:rPr>
          <w:iCs/>
          <w:u w:val="none"/>
          <w:lang w:val="en-GB"/>
        </w:rPr>
        <w:t>1</w:t>
      </w:r>
      <w:r>
        <w:rPr>
          <w:iCs/>
          <w:u w:val="none"/>
          <w:lang w:val="en-GB"/>
        </w:rPr>
        <w:t>0</w:t>
      </w:r>
      <w:r w:rsidR="00DF6317">
        <w:rPr>
          <w:iCs/>
          <w:u w:val="none"/>
          <w:lang w:val="en-GB"/>
        </w:rPr>
        <w:t>]</w:t>
      </w:r>
      <w:r w:rsidR="00DF6317">
        <w:rPr>
          <w:iCs/>
          <w:u w:val="none"/>
          <w:lang w:val="en-GB"/>
        </w:rPr>
        <w:tab/>
      </w:r>
      <w:r w:rsidR="00175417">
        <w:rPr>
          <w:iCs/>
          <w:u w:val="none"/>
          <w:lang w:val="en-GB"/>
        </w:rPr>
        <w:t>This appeal should accordingly be considered whilst taking consideration</w:t>
      </w:r>
      <w:r w:rsidR="00925F6B">
        <w:rPr>
          <w:iCs/>
          <w:u w:val="none"/>
          <w:lang w:val="en-GB"/>
        </w:rPr>
        <w:t xml:space="preserve"> of </w:t>
      </w:r>
      <w:r w:rsidR="00175417">
        <w:rPr>
          <w:iCs/>
          <w:u w:val="none"/>
          <w:lang w:val="en-GB"/>
        </w:rPr>
        <w:t>the “low threshold of proof that the law sets” when a decision is made on whether</w:t>
      </w:r>
      <w:r w:rsidR="00925F6B">
        <w:rPr>
          <w:iCs/>
          <w:u w:val="none"/>
          <w:lang w:val="en-GB"/>
        </w:rPr>
        <w:t xml:space="preserve"> </w:t>
      </w:r>
      <w:r w:rsidR="00175417">
        <w:rPr>
          <w:iCs/>
          <w:u w:val="none"/>
          <w:lang w:val="en-GB"/>
        </w:rPr>
        <w:t>absolution should be granted or not.</w:t>
      </w:r>
    </w:p>
    <w:p w:rsidR="005F19E1" w:rsidRDefault="005F19E1" w:rsidP="005F19E1">
      <w:pPr>
        <w:widowControl w:val="0"/>
        <w:spacing w:line="480" w:lineRule="auto"/>
        <w:ind w:right="284"/>
        <w:rPr>
          <w:color w:val="000000"/>
          <w:w w:val="105"/>
          <w:u w:val="none"/>
          <w:lang w:val="en-GB"/>
        </w:rPr>
      </w:pPr>
    </w:p>
    <w:p w:rsidR="005F19E1" w:rsidRDefault="005F19E1" w:rsidP="005F19E1">
      <w:pPr>
        <w:spacing w:line="480" w:lineRule="auto"/>
        <w:jc w:val="both"/>
        <w:rPr>
          <w:b/>
          <w:lang w:val="en-US"/>
        </w:rPr>
      </w:pPr>
      <w:r w:rsidRPr="00C56DB2">
        <w:rPr>
          <w:b/>
          <w:lang w:val="en-US"/>
        </w:rPr>
        <w:t>THE DUTIES OF AN INSURANCE BROKER</w:t>
      </w:r>
    </w:p>
    <w:p w:rsidR="005F19E1" w:rsidRPr="005F19E1" w:rsidRDefault="008D669D" w:rsidP="005F19E1">
      <w:pPr>
        <w:spacing w:line="480" w:lineRule="auto"/>
        <w:jc w:val="both"/>
        <w:rPr>
          <w:u w:val="none"/>
          <w:lang w:val="en-US"/>
        </w:rPr>
      </w:pPr>
      <w:r>
        <w:rPr>
          <w:u w:val="none"/>
          <w:lang w:val="en-US"/>
        </w:rPr>
        <w:t>[11</w:t>
      </w:r>
      <w:r w:rsidR="005F19E1">
        <w:rPr>
          <w:u w:val="none"/>
          <w:lang w:val="en-US"/>
        </w:rPr>
        <w:t>]</w:t>
      </w:r>
      <w:r w:rsidR="005F19E1">
        <w:rPr>
          <w:u w:val="none"/>
          <w:lang w:val="en-US"/>
        </w:rPr>
        <w:tab/>
      </w:r>
      <w:r w:rsidR="00DF6317">
        <w:rPr>
          <w:u w:val="none"/>
          <w:lang w:val="en-US"/>
        </w:rPr>
        <w:t>T</w:t>
      </w:r>
      <w:r w:rsidR="005F19E1">
        <w:rPr>
          <w:u w:val="none"/>
          <w:lang w:val="en-US"/>
        </w:rPr>
        <w:t xml:space="preserve">here is no doubt that an insurance broker owes a duty to an insured, </w:t>
      </w:r>
      <w:r w:rsidR="005F19E1">
        <w:rPr>
          <w:color w:val="000000"/>
          <w:w w:val="105"/>
          <w:u w:val="none"/>
          <w:lang w:val="en-GB"/>
        </w:rPr>
        <w:t>i</w:t>
      </w:r>
      <w:r w:rsidR="005F19E1" w:rsidRPr="002853C0">
        <w:rPr>
          <w:color w:val="000000"/>
          <w:w w:val="105"/>
          <w:u w:val="none"/>
          <w:lang w:val="en-GB"/>
        </w:rPr>
        <w:t xml:space="preserve">n </w:t>
      </w:r>
      <w:r w:rsidR="005F19E1" w:rsidRPr="002853C0">
        <w:rPr>
          <w:i/>
          <w:color w:val="000000"/>
          <w:w w:val="105"/>
          <w:u w:val="none"/>
          <w:lang w:val="en-GB"/>
        </w:rPr>
        <w:t>Stander v Raubenheime</w:t>
      </w:r>
      <w:r w:rsidR="005F19E1">
        <w:rPr>
          <w:i/>
          <w:color w:val="000000"/>
          <w:w w:val="105"/>
          <w:u w:val="none"/>
          <w:lang w:val="en-GB"/>
        </w:rPr>
        <w:t>r</w:t>
      </w:r>
      <w:r w:rsidR="005F19E1">
        <w:rPr>
          <w:rStyle w:val="FootnoteReference"/>
          <w:i/>
          <w:color w:val="000000"/>
          <w:w w:val="105"/>
          <w:u w:val="none"/>
          <w:lang w:val="en-GB"/>
        </w:rPr>
        <w:footnoteReference w:id="5"/>
      </w:r>
      <w:r w:rsidR="00D30582">
        <w:rPr>
          <w:color w:val="000000"/>
          <w:w w:val="105"/>
          <w:u w:val="none"/>
          <w:lang w:val="en-GB"/>
        </w:rPr>
        <w:t xml:space="preserve">  the C</w:t>
      </w:r>
      <w:r w:rsidR="005F19E1" w:rsidRPr="002853C0">
        <w:rPr>
          <w:color w:val="000000"/>
          <w:w w:val="105"/>
          <w:u w:val="none"/>
          <w:lang w:val="en-GB"/>
        </w:rPr>
        <w:t xml:space="preserve">ourt referred with approval to the following statement in Ivamy’s </w:t>
      </w:r>
      <w:r w:rsidR="005F19E1" w:rsidRPr="002853C0">
        <w:rPr>
          <w:i/>
          <w:color w:val="000000"/>
          <w:w w:val="105"/>
          <w:u w:val="none"/>
          <w:lang w:val="en-GB"/>
        </w:rPr>
        <w:t>General Principles of Insurance Law</w:t>
      </w:r>
      <w:r w:rsidR="005F19E1" w:rsidRPr="002853C0">
        <w:rPr>
          <w:color w:val="000000"/>
          <w:w w:val="105"/>
          <w:u w:val="none"/>
          <w:lang w:val="en-GB"/>
        </w:rPr>
        <w:t xml:space="preserve"> 5</w:t>
      </w:r>
      <w:r w:rsidR="005F19E1" w:rsidRPr="002853C0">
        <w:rPr>
          <w:color w:val="000000"/>
          <w:w w:val="105"/>
          <w:u w:val="none"/>
          <w:vertAlign w:val="superscript"/>
          <w:lang w:val="en-GB"/>
        </w:rPr>
        <w:t>th</w:t>
      </w:r>
      <w:r w:rsidR="005F19E1" w:rsidRPr="002853C0">
        <w:rPr>
          <w:color w:val="000000"/>
          <w:w w:val="105"/>
          <w:u w:val="none"/>
          <w:lang w:val="en-GB"/>
        </w:rPr>
        <w:t xml:space="preserve"> edition at 516 where the following is stated:</w:t>
      </w:r>
    </w:p>
    <w:p w:rsidR="005F19E1" w:rsidRPr="002853C0" w:rsidRDefault="005F19E1" w:rsidP="005F19E1">
      <w:pPr>
        <w:widowControl w:val="0"/>
        <w:rPr>
          <w:color w:val="000000"/>
          <w:w w:val="105"/>
          <w:u w:val="none"/>
          <w:lang w:val="en-GB"/>
        </w:rPr>
      </w:pPr>
    </w:p>
    <w:p w:rsidR="005F19E1" w:rsidRPr="002853C0" w:rsidRDefault="005F19E1" w:rsidP="00A8481F">
      <w:pPr>
        <w:widowControl w:val="0"/>
        <w:spacing w:line="480" w:lineRule="auto"/>
        <w:ind w:left="1134" w:right="284"/>
        <w:jc w:val="both"/>
        <w:rPr>
          <w:i/>
          <w:color w:val="000000"/>
          <w:w w:val="105"/>
          <w:u w:val="none"/>
          <w:lang w:val="en-GB"/>
        </w:rPr>
      </w:pPr>
      <w:r w:rsidRPr="002853C0">
        <w:rPr>
          <w:color w:val="000000"/>
          <w:w w:val="105"/>
          <w:u w:val="none"/>
          <w:lang w:val="en-GB"/>
        </w:rPr>
        <w:lastRenderedPageBreak/>
        <w:t>“</w:t>
      </w:r>
      <w:r w:rsidRPr="002853C0">
        <w:rPr>
          <w:i/>
          <w:color w:val="000000"/>
          <w:w w:val="105"/>
          <w:u w:val="none"/>
          <w:lang w:val="en-GB"/>
        </w:rPr>
        <w:t>It is the duty of the agent, in the exercise of the authority entrusted to him, to act with reasonable and proper care, skill and diligence.</w:t>
      </w:r>
    </w:p>
    <w:p w:rsidR="005F19E1" w:rsidRPr="002853C0" w:rsidRDefault="005F19E1" w:rsidP="00A8481F">
      <w:pPr>
        <w:widowControl w:val="0"/>
        <w:spacing w:line="480" w:lineRule="auto"/>
        <w:ind w:left="1134" w:right="284"/>
        <w:jc w:val="both"/>
        <w:rPr>
          <w:i/>
          <w:color w:val="000000"/>
          <w:w w:val="105"/>
          <w:u w:val="none"/>
          <w:lang w:val="en-GB"/>
        </w:rPr>
      </w:pPr>
    </w:p>
    <w:p w:rsidR="005F19E1" w:rsidRPr="002853C0" w:rsidRDefault="005F19E1" w:rsidP="00A8481F">
      <w:pPr>
        <w:widowControl w:val="0"/>
        <w:spacing w:line="480" w:lineRule="auto"/>
        <w:ind w:left="1134" w:right="284"/>
        <w:jc w:val="both"/>
        <w:rPr>
          <w:i/>
          <w:color w:val="000000"/>
          <w:w w:val="105"/>
          <w:u w:val="none"/>
          <w:lang w:val="en-GB"/>
        </w:rPr>
      </w:pPr>
      <w:r w:rsidRPr="002853C0">
        <w:rPr>
          <w:i/>
          <w:color w:val="000000"/>
          <w:w w:val="105"/>
          <w:u w:val="none"/>
          <w:lang w:val="en-GB"/>
        </w:rPr>
        <w:t>If he is a professional agent, such as a broker, the standard by which the duty is to be measured is that of persons of experience and skill in his profession and in the place where he was employed to perform it. …</w:t>
      </w:r>
    </w:p>
    <w:p w:rsidR="005F19E1" w:rsidRPr="002853C0" w:rsidRDefault="005F19E1" w:rsidP="00A8481F">
      <w:pPr>
        <w:widowControl w:val="0"/>
        <w:spacing w:line="480" w:lineRule="auto"/>
        <w:ind w:left="1134" w:right="284"/>
        <w:jc w:val="both"/>
        <w:rPr>
          <w:i/>
          <w:color w:val="000000"/>
          <w:w w:val="105"/>
          <w:u w:val="none"/>
          <w:lang w:val="en-GB"/>
        </w:rPr>
      </w:pPr>
    </w:p>
    <w:p w:rsidR="005F19E1" w:rsidRDefault="005F19E1" w:rsidP="00A8481F">
      <w:pPr>
        <w:widowControl w:val="0"/>
        <w:spacing w:line="480" w:lineRule="auto"/>
        <w:ind w:left="1134" w:right="284"/>
        <w:jc w:val="both"/>
        <w:rPr>
          <w:color w:val="000000"/>
          <w:w w:val="105"/>
          <w:u w:val="none"/>
          <w:lang w:val="en-GB"/>
        </w:rPr>
      </w:pPr>
      <w:r w:rsidRPr="002853C0">
        <w:rPr>
          <w:i/>
          <w:color w:val="000000"/>
          <w:w w:val="105"/>
          <w:u w:val="none"/>
          <w:lang w:val="en-GB"/>
        </w:rPr>
        <w:t>Whether he has actually acted with the required degree of skill depends in each case on the circumstances</w:t>
      </w:r>
      <w:r w:rsidRPr="002853C0">
        <w:rPr>
          <w:color w:val="000000"/>
          <w:w w:val="105"/>
          <w:u w:val="none"/>
          <w:lang w:val="en-GB"/>
        </w:rPr>
        <w:t>.”</w:t>
      </w:r>
      <w:r w:rsidR="00D01094">
        <w:rPr>
          <w:rStyle w:val="FootnoteReference"/>
          <w:color w:val="000000"/>
          <w:w w:val="105"/>
          <w:u w:val="none"/>
          <w:lang w:val="en-GB"/>
        </w:rPr>
        <w:footnoteReference w:id="6"/>
      </w:r>
    </w:p>
    <w:p w:rsidR="00DF6317" w:rsidRPr="002853C0" w:rsidRDefault="00DF6317" w:rsidP="005F19E1">
      <w:pPr>
        <w:widowControl w:val="0"/>
        <w:spacing w:line="480" w:lineRule="auto"/>
        <w:ind w:left="1134" w:right="284"/>
        <w:rPr>
          <w:color w:val="000000"/>
          <w:w w:val="105"/>
          <w:u w:val="none"/>
          <w:lang w:val="en-GB"/>
        </w:rPr>
      </w:pPr>
    </w:p>
    <w:p w:rsidR="005F19E1" w:rsidRPr="002853C0" w:rsidRDefault="008D669D" w:rsidP="005F19E1">
      <w:pPr>
        <w:widowControl w:val="0"/>
        <w:spacing w:line="480" w:lineRule="auto"/>
        <w:jc w:val="both"/>
        <w:rPr>
          <w:color w:val="000000"/>
          <w:w w:val="105"/>
          <w:u w:val="none"/>
          <w:lang w:val="en-GB"/>
        </w:rPr>
      </w:pPr>
      <w:r>
        <w:rPr>
          <w:color w:val="000000"/>
          <w:w w:val="105"/>
          <w:u w:val="none"/>
          <w:lang w:val="en-GB"/>
        </w:rPr>
        <w:t>[12</w:t>
      </w:r>
      <w:r w:rsidR="005F19E1">
        <w:rPr>
          <w:color w:val="000000"/>
          <w:w w:val="105"/>
          <w:u w:val="none"/>
          <w:lang w:val="en-GB"/>
        </w:rPr>
        <w:t>]</w:t>
      </w:r>
      <w:r w:rsidR="005F19E1">
        <w:rPr>
          <w:color w:val="000000"/>
          <w:w w:val="105"/>
          <w:u w:val="none"/>
          <w:lang w:val="en-GB"/>
        </w:rPr>
        <w:tab/>
      </w:r>
      <w:r w:rsidR="005F19E1" w:rsidRPr="002853C0">
        <w:rPr>
          <w:color w:val="000000"/>
          <w:w w:val="105"/>
          <w:u w:val="none"/>
          <w:lang w:val="en-GB"/>
        </w:rPr>
        <w:t>The Court in</w:t>
      </w:r>
      <w:r w:rsidR="005F19E1" w:rsidRPr="002853C0">
        <w:rPr>
          <w:i/>
          <w:color w:val="000000"/>
          <w:w w:val="105"/>
          <w:u w:val="none"/>
          <w:lang w:val="en-GB"/>
        </w:rPr>
        <w:t xml:space="preserve"> Stander v Raubenheimer</w:t>
      </w:r>
      <w:r w:rsidR="005F19E1" w:rsidRPr="002853C0">
        <w:rPr>
          <w:color w:val="000000"/>
          <w:w w:val="105"/>
          <w:u w:val="none"/>
          <w:lang w:val="en-GB"/>
        </w:rPr>
        <w:t xml:space="preserve"> found that the broker was liable for the loss suffered by the insured where the insured claimed against its insurer due to the fact that there was an exclusion in the policy based on the fact that the insured house had a thatched roof.</w:t>
      </w:r>
      <w:r w:rsidR="005F19E1">
        <w:rPr>
          <w:color w:val="000000"/>
          <w:w w:val="105"/>
          <w:u w:val="none"/>
          <w:lang w:val="en-GB"/>
        </w:rPr>
        <w:t xml:space="preserve"> The duty owed by an insurance broker was </w:t>
      </w:r>
      <w:r w:rsidR="00DF6317">
        <w:rPr>
          <w:color w:val="000000"/>
          <w:w w:val="105"/>
          <w:u w:val="none"/>
          <w:lang w:val="en-GB"/>
        </w:rPr>
        <w:t xml:space="preserve">also </w:t>
      </w:r>
      <w:r w:rsidR="005F19E1">
        <w:rPr>
          <w:color w:val="000000"/>
          <w:w w:val="105"/>
          <w:u w:val="none"/>
          <w:lang w:val="en-GB"/>
        </w:rPr>
        <w:t xml:space="preserve">confirmed in various </w:t>
      </w:r>
      <w:r w:rsidR="00C65E74">
        <w:rPr>
          <w:color w:val="000000"/>
          <w:w w:val="105"/>
          <w:u w:val="none"/>
          <w:lang w:val="en-GB"/>
        </w:rPr>
        <w:t xml:space="preserve">other </w:t>
      </w:r>
      <w:r w:rsidR="005F19E1">
        <w:rPr>
          <w:color w:val="000000"/>
          <w:w w:val="105"/>
          <w:u w:val="none"/>
          <w:lang w:val="en-GB"/>
        </w:rPr>
        <w:t>matters.</w:t>
      </w:r>
      <w:r w:rsidR="005F19E1">
        <w:rPr>
          <w:rStyle w:val="FootnoteReference"/>
          <w:color w:val="000000"/>
          <w:w w:val="105"/>
          <w:u w:val="none"/>
          <w:lang w:val="en-GB"/>
        </w:rPr>
        <w:footnoteReference w:id="7"/>
      </w:r>
      <w:r w:rsidR="00C65E74">
        <w:rPr>
          <w:color w:val="000000"/>
          <w:w w:val="105"/>
          <w:u w:val="none"/>
          <w:lang w:val="en-GB"/>
        </w:rPr>
        <w:t xml:space="preserve"> It follows that Optimum had a duty to infor</w:t>
      </w:r>
      <w:r w:rsidR="00175417">
        <w:rPr>
          <w:color w:val="000000"/>
          <w:w w:val="105"/>
          <w:u w:val="none"/>
          <w:lang w:val="en-GB"/>
        </w:rPr>
        <w:t>m Dalmar of any material change</w:t>
      </w:r>
      <w:r w:rsidR="00C65E74">
        <w:rPr>
          <w:color w:val="000000"/>
          <w:w w:val="105"/>
          <w:u w:val="none"/>
          <w:lang w:val="en-GB"/>
        </w:rPr>
        <w:t xml:space="preserve"> to the policy.</w:t>
      </w:r>
    </w:p>
    <w:p w:rsidR="00C65E74" w:rsidRDefault="00C65E74" w:rsidP="00D01094">
      <w:pPr>
        <w:spacing w:line="480" w:lineRule="auto"/>
        <w:jc w:val="both"/>
        <w:rPr>
          <w:b/>
          <w:lang w:val="en-US"/>
        </w:rPr>
      </w:pPr>
    </w:p>
    <w:p w:rsidR="00D01094" w:rsidRDefault="00D01094" w:rsidP="00D01094">
      <w:pPr>
        <w:spacing w:line="480" w:lineRule="auto"/>
        <w:jc w:val="both"/>
        <w:rPr>
          <w:b/>
          <w:lang w:val="en-US"/>
        </w:rPr>
      </w:pPr>
      <w:r w:rsidRPr="006237CE">
        <w:rPr>
          <w:b/>
          <w:lang w:val="en-US"/>
        </w:rPr>
        <w:t>THE PLEADINGS</w:t>
      </w:r>
      <w:r w:rsidR="00DF6317">
        <w:rPr>
          <w:b/>
          <w:lang w:val="en-US"/>
        </w:rPr>
        <w:t xml:space="preserve"> AND EVIDENCE</w:t>
      </w:r>
    </w:p>
    <w:p w:rsidR="00D01094" w:rsidRDefault="008D669D" w:rsidP="00D01094">
      <w:pPr>
        <w:spacing w:line="480" w:lineRule="auto"/>
        <w:jc w:val="both"/>
        <w:rPr>
          <w:u w:val="none"/>
          <w:lang w:val="en-US"/>
        </w:rPr>
      </w:pPr>
      <w:r>
        <w:rPr>
          <w:u w:val="none"/>
          <w:lang w:val="en-US"/>
        </w:rPr>
        <w:lastRenderedPageBreak/>
        <w:t>[13</w:t>
      </w:r>
      <w:r w:rsidR="00D01094">
        <w:rPr>
          <w:u w:val="none"/>
          <w:lang w:val="en-US"/>
        </w:rPr>
        <w:t>]</w:t>
      </w:r>
      <w:r w:rsidR="00D01094">
        <w:rPr>
          <w:u w:val="none"/>
          <w:lang w:val="en-US"/>
        </w:rPr>
        <w:tab/>
        <w:t xml:space="preserve">Optimum in its plea admitted that it did not </w:t>
      </w:r>
      <w:r w:rsidR="00C65E74">
        <w:rPr>
          <w:u w:val="none"/>
          <w:lang w:val="en-US"/>
        </w:rPr>
        <w:t xml:space="preserve">convey the change in wording to </w:t>
      </w:r>
      <w:r w:rsidR="00D01094">
        <w:rPr>
          <w:u w:val="none"/>
          <w:lang w:val="en-US"/>
        </w:rPr>
        <w:t>Dalmar it is stated as follows in the plea:</w:t>
      </w:r>
    </w:p>
    <w:p w:rsidR="00D01094" w:rsidRPr="008A2CCD" w:rsidRDefault="00D01094" w:rsidP="00A8481F">
      <w:pPr>
        <w:widowControl w:val="0"/>
        <w:spacing w:line="480" w:lineRule="auto"/>
        <w:ind w:left="1134" w:right="284"/>
        <w:jc w:val="both"/>
        <w:rPr>
          <w:u w:val="none"/>
          <w:lang w:val="en-GB"/>
        </w:rPr>
      </w:pPr>
      <w:r w:rsidRPr="008A2CCD">
        <w:rPr>
          <w:u w:val="none"/>
          <w:lang w:val="en-US"/>
        </w:rPr>
        <w:t xml:space="preserve"> </w:t>
      </w:r>
      <w:r w:rsidRPr="008A2CCD">
        <w:rPr>
          <w:u w:val="none"/>
          <w:lang w:val="en-GB"/>
        </w:rPr>
        <w:t>“</w:t>
      </w:r>
      <w:r w:rsidRPr="008A2CCD">
        <w:rPr>
          <w:i/>
          <w:u w:val="none"/>
          <w:lang w:val="en-GB"/>
        </w:rPr>
        <w:t>Save to admit that the Second Defendant did not convey the immaterial change in wording between the endorsement in “POC2” and “POC1”, the remaining allegations contained in this paragraph are denied</w:t>
      </w:r>
      <w:r w:rsidRPr="008A2CCD">
        <w:rPr>
          <w:iCs/>
          <w:u w:val="none"/>
          <w:lang w:val="en-GB"/>
        </w:rPr>
        <w:t>.</w:t>
      </w:r>
      <w:r w:rsidRPr="008A2CCD">
        <w:rPr>
          <w:u w:val="none"/>
          <w:lang w:val="en-GB"/>
        </w:rPr>
        <w:t>”</w:t>
      </w:r>
    </w:p>
    <w:p w:rsidR="00D01094" w:rsidRDefault="00D01094" w:rsidP="00D01094">
      <w:pPr>
        <w:spacing w:line="480" w:lineRule="auto"/>
        <w:jc w:val="both"/>
        <w:rPr>
          <w:u w:val="none"/>
          <w:lang w:val="en-US"/>
        </w:rPr>
      </w:pPr>
    </w:p>
    <w:p w:rsidR="00D01094" w:rsidRPr="008A2CCD" w:rsidRDefault="008D669D" w:rsidP="00D01094">
      <w:pPr>
        <w:widowControl w:val="0"/>
        <w:spacing w:line="480" w:lineRule="auto"/>
        <w:jc w:val="both"/>
        <w:rPr>
          <w:u w:val="none"/>
          <w:lang w:val="en-GB"/>
        </w:rPr>
      </w:pPr>
      <w:r>
        <w:rPr>
          <w:u w:val="none"/>
          <w:lang w:val="en-US"/>
        </w:rPr>
        <w:t>[14</w:t>
      </w:r>
      <w:r w:rsidR="00D01094">
        <w:rPr>
          <w:u w:val="none"/>
          <w:lang w:val="en-US"/>
        </w:rPr>
        <w:t>]</w:t>
      </w:r>
      <w:r w:rsidR="00D01094">
        <w:rPr>
          <w:u w:val="none"/>
          <w:lang w:val="en-US"/>
        </w:rPr>
        <w:tab/>
        <w:t>Optimum</w:t>
      </w:r>
      <w:r w:rsidR="00C65E74">
        <w:rPr>
          <w:u w:val="none"/>
          <w:lang w:val="en-US"/>
        </w:rPr>
        <w:t xml:space="preserve"> pleaded</w:t>
      </w:r>
      <w:r w:rsidR="00D01094" w:rsidRPr="008A2CCD">
        <w:rPr>
          <w:u w:val="none"/>
          <w:lang w:val="en-GB"/>
        </w:rPr>
        <w:t xml:space="preserve"> that it was necessary for </w:t>
      </w:r>
      <w:r w:rsidR="00D01094">
        <w:rPr>
          <w:u w:val="none"/>
          <w:lang w:val="en-GB"/>
        </w:rPr>
        <w:t>Dalmar to</w:t>
      </w:r>
      <w:r w:rsidR="00D01094" w:rsidRPr="008A2CCD">
        <w:rPr>
          <w:u w:val="none"/>
          <w:lang w:val="en-GB"/>
        </w:rPr>
        <w:t xml:space="preserve"> install two self arming tracking devices in terms of both the Ce</w:t>
      </w:r>
      <w:r w:rsidR="00D01094">
        <w:rPr>
          <w:u w:val="none"/>
          <w:lang w:val="en-GB"/>
        </w:rPr>
        <w:t>ntriq policy and the RMB policy.</w:t>
      </w:r>
    </w:p>
    <w:p w:rsidR="00D01094" w:rsidRDefault="00D01094" w:rsidP="00D01094">
      <w:pPr>
        <w:widowControl w:val="0"/>
        <w:spacing w:line="480" w:lineRule="auto"/>
        <w:jc w:val="both"/>
        <w:rPr>
          <w:u w:val="none"/>
          <w:lang w:val="en-GB"/>
        </w:rPr>
      </w:pPr>
      <w:r>
        <w:rPr>
          <w:u w:val="none"/>
          <w:lang w:val="en-GB"/>
        </w:rPr>
        <w:t xml:space="preserve">Optimum </w:t>
      </w:r>
      <w:r w:rsidRPr="008A2CCD">
        <w:rPr>
          <w:u w:val="none"/>
          <w:lang w:val="en-GB"/>
        </w:rPr>
        <w:t>contended that the requirement to install two self arming tracking d</w:t>
      </w:r>
      <w:r>
        <w:rPr>
          <w:u w:val="none"/>
          <w:lang w:val="en-GB"/>
        </w:rPr>
        <w:t>evices was communicated to Dalmar</w:t>
      </w:r>
      <w:r w:rsidRPr="008A2CCD">
        <w:rPr>
          <w:u w:val="none"/>
          <w:lang w:val="en-GB"/>
        </w:rPr>
        <w:t xml:space="preserve"> by </w:t>
      </w:r>
      <w:r>
        <w:rPr>
          <w:u w:val="none"/>
          <w:lang w:val="en-GB"/>
        </w:rPr>
        <w:t>both Centriq and by Optimum</w:t>
      </w:r>
      <w:r w:rsidRPr="008A2CCD">
        <w:rPr>
          <w:u w:val="none"/>
          <w:lang w:val="en-GB"/>
        </w:rPr>
        <w:t xml:space="preserve"> on 11 December 2012.</w:t>
      </w:r>
      <w:r>
        <w:rPr>
          <w:u w:val="none"/>
          <w:lang w:val="en-GB"/>
        </w:rPr>
        <w:t>However, t</w:t>
      </w:r>
      <w:r w:rsidRPr="008A2CCD">
        <w:rPr>
          <w:u w:val="none"/>
          <w:lang w:val="en-GB"/>
        </w:rPr>
        <w:t xml:space="preserve">he communications </w:t>
      </w:r>
      <w:r w:rsidR="00C65E74">
        <w:rPr>
          <w:u w:val="none"/>
          <w:lang w:val="en-GB"/>
        </w:rPr>
        <w:t xml:space="preserve">predates the RMB policy and </w:t>
      </w:r>
      <w:r w:rsidR="00C65E74" w:rsidRPr="00C65E74">
        <w:rPr>
          <w:i/>
          <w:u w:val="none"/>
          <w:lang w:val="en-GB"/>
        </w:rPr>
        <w:t>prima facie</w:t>
      </w:r>
      <w:r w:rsidR="00C65E74">
        <w:rPr>
          <w:u w:val="none"/>
          <w:lang w:val="en-GB"/>
        </w:rPr>
        <w:t xml:space="preserve"> could not </w:t>
      </w:r>
      <w:r w:rsidR="00175417">
        <w:rPr>
          <w:u w:val="none"/>
          <w:lang w:val="en-GB"/>
        </w:rPr>
        <w:t xml:space="preserve">have applied </w:t>
      </w:r>
      <w:r w:rsidR="00C65E74">
        <w:rPr>
          <w:u w:val="none"/>
          <w:lang w:val="en-GB"/>
        </w:rPr>
        <w:t xml:space="preserve">to it, but </w:t>
      </w:r>
      <w:r w:rsidR="00175417">
        <w:rPr>
          <w:u w:val="none"/>
          <w:lang w:val="en-GB"/>
        </w:rPr>
        <w:t xml:space="preserve">seems to </w:t>
      </w:r>
      <w:r w:rsidR="00C65E74">
        <w:rPr>
          <w:u w:val="none"/>
          <w:lang w:val="en-GB"/>
        </w:rPr>
        <w:t>deal with only the Centriq policy.</w:t>
      </w:r>
    </w:p>
    <w:p w:rsidR="00C65E74" w:rsidRPr="008A2CCD" w:rsidRDefault="00C65E74" w:rsidP="00D01094">
      <w:pPr>
        <w:widowControl w:val="0"/>
        <w:spacing w:line="480" w:lineRule="auto"/>
        <w:jc w:val="both"/>
        <w:rPr>
          <w:u w:val="none"/>
          <w:lang w:val="en-GB"/>
        </w:rPr>
      </w:pPr>
    </w:p>
    <w:p w:rsidR="00D01094" w:rsidRPr="008A2CCD" w:rsidRDefault="008D669D" w:rsidP="00D01094">
      <w:pPr>
        <w:spacing w:line="480" w:lineRule="auto"/>
        <w:jc w:val="both"/>
        <w:rPr>
          <w:u w:val="none"/>
          <w:lang w:val="en-GB"/>
        </w:rPr>
      </w:pPr>
      <w:r>
        <w:rPr>
          <w:u w:val="none"/>
          <w:lang w:val="en-US"/>
        </w:rPr>
        <w:t>[15</w:t>
      </w:r>
      <w:r w:rsidR="00D01094">
        <w:rPr>
          <w:u w:val="none"/>
          <w:lang w:val="en-US"/>
        </w:rPr>
        <w:t>]</w:t>
      </w:r>
      <w:r w:rsidR="00D01094">
        <w:rPr>
          <w:u w:val="none"/>
          <w:lang w:val="en-US"/>
        </w:rPr>
        <w:tab/>
        <w:t>Optimum admitted that it was obliged to take all reasonable steps to convey material changes to the insurance agreement to Dalmar. Optimum</w:t>
      </w:r>
      <w:r w:rsidR="00D01094" w:rsidRPr="008A2CCD">
        <w:rPr>
          <w:u w:val="none"/>
          <w:lang w:val="en-GB"/>
        </w:rPr>
        <w:t xml:space="preserve"> </w:t>
      </w:r>
      <w:r w:rsidR="00175417">
        <w:rPr>
          <w:u w:val="none"/>
          <w:lang w:val="en-GB"/>
        </w:rPr>
        <w:t xml:space="preserve">pleaded </w:t>
      </w:r>
      <w:r w:rsidR="00925F6B">
        <w:rPr>
          <w:u w:val="none"/>
          <w:lang w:val="en-GB"/>
        </w:rPr>
        <w:t xml:space="preserve">however </w:t>
      </w:r>
      <w:r w:rsidR="00C65E74">
        <w:rPr>
          <w:u w:val="none"/>
          <w:lang w:val="en-GB"/>
        </w:rPr>
        <w:t xml:space="preserve">that the changes </w:t>
      </w:r>
      <w:r w:rsidR="00AB38E1">
        <w:rPr>
          <w:u w:val="none"/>
          <w:lang w:val="en-GB"/>
        </w:rPr>
        <w:t>were not material</w:t>
      </w:r>
      <w:r w:rsidR="00D01094">
        <w:rPr>
          <w:u w:val="none"/>
          <w:lang w:val="en-GB"/>
        </w:rPr>
        <w:t xml:space="preserve">. </w:t>
      </w:r>
    </w:p>
    <w:p w:rsidR="00D01094" w:rsidRPr="008A2CCD" w:rsidRDefault="00D01094" w:rsidP="00D01094">
      <w:pPr>
        <w:widowControl w:val="0"/>
        <w:spacing w:line="360" w:lineRule="auto"/>
        <w:rPr>
          <w:u w:val="none"/>
          <w:lang w:val="en-GB"/>
        </w:rPr>
      </w:pPr>
    </w:p>
    <w:p w:rsidR="00D01094" w:rsidRDefault="008D669D" w:rsidP="00D01094">
      <w:pPr>
        <w:widowControl w:val="0"/>
        <w:spacing w:line="480" w:lineRule="auto"/>
        <w:jc w:val="both"/>
        <w:rPr>
          <w:u w:val="none"/>
          <w:lang w:val="en-GB"/>
        </w:rPr>
      </w:pPr>
      <w:r>
        <w:rPr>
          <w:u w:val="none"/>
          <w:lang w:val="en-GB"/>
        </w:rPr>
        <w:t>[16</w:t>
      </w:r>
      <w:r w:rsidR="00D01094">
        <w:rPr>
          <w:u w:val="none"/>
          <w:lang w:val="en-GB"/>
        </w:rPr>
        <w:t>]</w:t>
      </w:r>
      <w:r w:rsidR="00D01094">
        <w:rPr>
          <w:u w:val="none"/>
          <w:lang w:val="en-GB"/>
        </w:rPr>
        <w:tab/>
      </w:r>
      <w:r w:rsidR="00D01094" w:rsidRPr="008A2CCD">
        <w:rPr>
          <w:u w:val="none"/>
          <w:lang w:val="en-GB"/>
        </w:rPr>
        <w:t xml:space="preserve">It is apparent that in order to determine whether there was a material change in the requirement relating to the installation of the tracking devices, the provision in the Centriq policy must be interpreted. In this </w:t>
      </w:r>
      <w:r w:rsidR="00D01094">
        <w:rPr>
          <w:u w:val="none"/>
          <w:lang w:val="en-GB"/>
        </w:rPr>
        <w:t>regard t</w:t>
      </w:r>
      <w:r w:rsidR="00D01094" w:rsidRPr="008A2CCD">
        <w:rPr>
          <w:u w:val="none"/>
          <w:lang w:val="en-GB"/>
        </w:rPr>
        <w:t>he first sentence of the endorsement in the Centriq policy refers in the singular to “</w:t>
      </w:r>
      <w:r w:rsidR="00D01094" w:rsidRPr="008A2CCD">
        <w:rPr>
          <w:i/>
          <w:iCs/>
          <w:u w:val="none"/>
          <w:lang w:val="en-GB"/>
        </w:rPr>
        <w:t>a self arming tracking device</w:t>
      </w:r>
      <w:r w:rsidR="00D01094" w:rsidRPr="008A2CCD">
        <w:rPr>
          <w:u w:val="none"/>
          <w:lang w:val="en-GB"/>
        </w:rPr>
        <w:t>” which must be fitted to “</w:t>
      </w:r>
      <w:r w:rsidR="00D01094" w:rsidRPr="008A2CCD">
        <w:rPr>
          <w:i/>
          <w:iCs/>
          <w:u w:val="none"/>
          <w:lang w:val="en-GB"/>
        </w:rPr>
        <w:t>the vehicle</w:t>
      </w:r>
      <w:r w:rsidR="00D01094" w:rsidRPr="008A2CCD">
        <w:rPr>
          <w:u w:val="none"/>
          <w:lang w:val="en-GB"/>
        </w:rPr>
        <w:t xml:space="preserve">”. That sentence </w:t>
      </w:r>
      <w:r w:rsidR="00AF7160">
        <w:rPr>
          <w:u w:val="none"/>
          <w:lang w:val="en-GB"/>
        </w:rPr>
        <w:t xml:space="preserve">seems to indicate </w:t>
      </w:r>
      <w:r w:rsidR="00D01094" w:rsidRPr="008A2CCD">
        <w:rPr>
          <w:u w:val="none"/>
          <w:lang w:val="en-GB"/>
        </w:rPr>
        <w:t xml:space="preserve">that a single self arming tracking device must be fitted to the </w:t>
      </w:r>
      <w:r w:rsidR="00AF7160">
        <w:rPr>
          <w:u w:val="none"/>
          <w:lang w:val="en-GB"/>
        </w:rPr>
        <w:t xml:space="preserve">insured </w:t>
      </w:r>
      <w:r w:rsidR="00D01094" w:rsidRPr="008A2CCD">
        <w:rPr>
          <w:u w:val="none"/>
          <w:lang w:val="en-GB"/>
        </w:rPr>
        <w:t>vehicle</w:t>
      </w:r>
      <w:r w:rsidR="00AF7160">
        <w:rPr>
          <w:u w:val="none"/>
          <w:lang w:val="en-GB"/>
        </w:rPr>
        <w:t>.</w:t>
      </w:r>
      <w:r w:rsidR="00D01094">
        <w:rPr>
          <w:u w:val="none"/>
          <w:lang w:val="en-GB"/>
        </w:rPr>
        <w:t xml:space="preserve"> </w:t>
      </w:r>
      <w:r w:rsidR="00D01094" w:rsidRPr="008A2CCD">
        <w:rPr>
          <w:u w:val="none"/>
          <w:lang w:val="en-GB"/>
        </w:rPr>
        <w:t>The second sentence in the endorsement states that “</w:t>
      </w:r>
      <w:r w:rsidR="00D01094" w:rsidRPr="008A2CCD">
        <w:rPr>
          <w:i/>
          <w:iCs/>
          <w:u w:val="none"/>
          <w:lang w:val="en-GB"/>
        </w:rPr>
        <w:t xml:space="preserve">the self </w:t>
      </w:r>
      <w:r w:rsidR="00D01094" w:rsidRPr="008A2CCD">
        <w:rPr>
          <w:i/>
          <w:iCs/>
          <w:u w:val="none"/>
          <w:lang w:val="en-GB"/>
        </w:rPr>
        <w:lastRenderedPageBreak/>
        <w:t>arming tracking device</w:t>
      </w:r>
      <w:r w:rsidR="00D01094" w:rsidRPr="008A2CCD">
        <w:rPr>
          <w:u w:val="none"/>
          <w:lang w:val="en-GB"/>
        </w:rPr>
        <w:t xml:space="preserve"> </w:t>
      </w:r>
      <w:r w:rsidR="00D01094" w:rsidRPr="008A2CCD">
        <w:rPr>
          <w:i/>
          <w:iCs/>
          <w:u w:val="none"/>
          <w:lang w:val="en-GB"/>
        </w:rPr>
        <w:t xml:space="preserve"> must be fitted to both units</w:t>
      </w:r>
      <w:r w:rsidR="00C65E74">
        <w:rPr>
          <w:u w:val="none"/>
          <w:lang w:val="en-GB"/>
        </w:rPr>
        <w:t>”. That raised</w:t>
      </w:r>
      <w:r w:rsidR="00D01094" w:rsidRPr="008A2CCD">
        <w:rPr>
          <w:u w:val="none"/>
          <w:lang w:val="en-GB"/>
        </w:rPr>
        <w:t xml:space="preserve"> the question what is meant by “</w:t>
      </w:r>
      <w:r w:rsidR="00D01094" w:rsidRPr="008A2CCD">
        <w:rPr>
          <w:i/>
          <w:iCs/>
          <w:u w:val="none"/>
          <w:lang w:val="en-GB"/>
        </w:rPr>
        <w:t>both units</w:t>
      </w:r>
      <w:r w:rsidR="00925F6B">
        <w:rPr>
          <w:u w:val="none"/>
          <w:lang w:val="en-GB"/>
        </w:rPr>
        <w:t>”. It wa</w:t>
      </w:r>
      <w:r w:rsidR="00D01094" w:rsidRPr="008A2CCD">
        <w:rPr>
          <w:u w:val="none"/>
          <w:lang w:val="en-GB"/>
        </w:rPr>
        <w:t>s common cause that the vehicle in question consisted of a single unit and not of two units</w:t>
      </w:r>
      <w:r w:rsidR="00D01094">
        <w:rPr>
          <w:u w:val="none"/>
          <w:lang w:val="en-GB"/>
        </w:rPr>
        <w:t>.</w:t>
      </w:r>
    </w:p>
    <w:p w:rsidR="00D01094" w:rsidRDefault="00D01094" w:rsidP="00D01094">
      <w:pPr>
        <w:widowControl w:val="0"/>
        <w:spacing w:line="480" w:lineRule="auto"/>
        <w:jc w:val="both"/>
        <w:rPr>
          <w:u w:val="none"/>
          <w:lang w:val="en-GB"/>
        </w:rPr>
      </w:pPr>
    </w:p>
    <w:p w:rsidR="00D01094" w:rsidRPr="008A2CCD" w:rsidRDefault="008D669D" w:rsidP="00D01094">
      <w:pPr>
        <w:widowControl w:val="0"/>
        <w:spacing w:line="480" w:lineRule="auto"/>
        <w:jc w:val="both"/>
        <w:rPr>
          <w:u w:val="none"/>
          <w:lang w:val="en-GB"/>
        </w:rPr>
      </w:pPr>
      <w:r>
        <w:rPr>
          <w:u w:val="none"/>
          <w:lang w:val="en-GB"/>
        </w:rPr>
        <w:t>[17</w:t>
      </w:r>
      <w:r w:rsidR="00D01094">
        <w:rPr>
          <w:u w:val="none"/>
          <w:lang w:val="en-GB"/>
        </w:rPr>
        <w:t>]</w:t>
      </w:r>
      <w:r w:rsidR="00D01094">
        <w:rPr>
          <w:u w:val="none"/>
          <w:lang w:val="en-GB"/>
        </w:rPr>
        <w:tab/>
      </w:r>
      <w:r w:rsidR="00D01094" w:rsidRPr="008A2CCD">
        <w:rPr>
          <w:u w:val="none"/>
          <w:lang w:val="en-GB"/>
        </w:rPr>
        <w:t xml:space="preserve">The uncontested evidence </w:t>
      </w:r>
      <w:r w:rsidR="00C65E74">
        <w:rPr>
          <w:u w:val="none"/>
          <w:lang w:val="en-GB"/>
        </w:rPr>
        <w:t xml:space="preserve">of Ms. Smuts </w:t>
      </w:r>
      <w:r w:rsidR="00D01094" w:rsidRPr="008A2CCD">
        <w:rPr>
          <w:u w:val="none"/>
          <w:lang w:val="en-GB"/>
        </w:rPr>
        <w:t xml:space="preserve">was that </w:t>
      </w:r>
      <w:r w:rsidR="00D01094">
        <w:rPr>
          <w:u w:val="none"/>
          <w:lang w:val="en-GB"/>
        </w:rPr>
        <w:t>Dalmar</w:t>
      </w:r>
      <w:r w:rsidR="00D01094" w:rsidRPr="008A2CCD">
        <w:rPr>
          <w:u w:val="none"/>
          <w:lang w:val="en-GB"/>
        </w:rPr>
        <w:t xml:space="preserve"> queried the meaning of the sentence </w:t>
      </w:r>
      <w:r w:rsidR="00C65E74">
        <w:rPr>
          <w:u w:val="none"/>
          <w:lang w:val="en-GB"/>
        </w:rPr>
        <w:t>in the Centriq policy with Optimum, which</w:t>
      </w:r>
      <w:r w:rsidR="00D01094" w:rsidRPr="008A2CCD">
        <w:rPr>
          <w:u w:val="none"/>
          <w:lang w:val="en-GB"/>
        </w:rPr>
        <w:t xml:space="preserve"> took the matter up with Centriq, and then confirmed to </w:t>
      </w:r>
      <w:r w:rsidR="00D01094">
        <w:rPr>
          <w:u w:val="none"/>
          <w:lang w:val="en-GB"/>
        </w:rPr>
        <w:t>Dalmar</w:t>
      </w:r>
      <w:r w:rsidR="00D01094" w:rsidRPr="008A2CCD">
        <w:rPr>
          <w:u w:val="none"/>
          <w:lang w:val="en-GB"/>
        </w:rPr>
        <w:t xml:space="preserve"> that if the vehicle consists of two units</w:t>
      </w:r>
      <w:r w:rsidR="00D01094">
        <w:rPr>
          <w:u w:val="none"/>
          <w:lang w:val="en-GB"/>
        </w:rPr>
        <w:t>,</w:t>
      </w:r>
      <w:r w:rsidR="00D01094" w:rsidRPr="008A2CCD">
        <w:rPr>
          <w:u w:val="none"/>
          <w:lang w:val="en-GB"/>
        </w:rPr>
        <w:t xml:space="preserve"> such as a truck and trailer, a self arming tracking device must be i</w:t>
      </w:r>
      <w:r w:rsidR="00D01094">
        <w:rPr>
          <w:u w:val="none"/>
          <w:lang w:val="en-GB"/>
        </w:rPr>
        <w:t xml:space="preserve">nstalled </w:t>
      </w:r>
      <w:r w:rsidR="00D01094" w:rsidRPr="008A2CCD">
        <w:rPr>
          <w:u w:val="none"/>
          <w:lang w:val="en-GB"/>
        </w:rPr>
        <w:t>to both units of the vehicle, being the truck as well as the trailer. What was conveyed and unde</w:t>
      </w:r>
      <w:r w:rsidR="00D01094">
        <w:rPr>
          <w:u w:val="none"/>
          <w:lang w:val="en-GB"/>
        </w:rPr>
        <w:t xml:space="preserve">rstood by both Dalmar </w:t>
      </w:r>
      <w:r w:rsidR="00D01094" w:rsidRPr="008A2CCD">
        <w:rPr>
          <w:u w:val="none"/>
          <w:lang w:val="en-GB"/>
        </w:rPr>
        <w:t>and by Optimum</w:t>
      </w:r>
      <w:r w:rsidR="00175417">
        <w:rPr>
          <w:u w:val="none"/>
          <w:lang w:val="en-GB"/>
        </w:rPr>
        <w:t>,</w:t>
      </w:r>
      <w:r w:rsidR="00D01094" w:rsidRPr="008A2CCD">
        <w:rPr>
          <w:u w:val="none"/>
          <w:lang w:val="en-GB"/>
        </w:rPr>
        <w:t xml:space="preserve"> </w:t>
      </w:r>
      <w:r w:rsidR="00175417">
        <w:rPr>
          <w:u w:val="none"/>
          <w:lang w:val="en-GB"/>
        </w:rPr>
        <w:t xml:space="preserve">under the Centriq policy, </w:t>
      </w:r>
      <w:r w:rsidR="00D01094" w:rsidRPr="008A2CCD">
        <w:rPr>
          <w:u w:val="none"/>
          <w:lang w:val="en-GB"/>
        </w:rPr>
        <w:t xml:space="preserve">was that </w:t>
      </w:r>
      <w:r w:rsidR="00D01094">
        <w:rPr>
          <w:u w:val="none"/>
          <w:lang w:val="en-GB"/>
        </w:rPr>
        <w:t xml:space="preserve">two units need only be installed if </w:t>
      </w:r>
      <w:r w:rsidR="00D01094" w:rsidRPr="008A2CCD">
        <w:rPr>
          <w:u w:val="none"/>
          <w:lang w:val="en-GB"/>
        </w:rPr>
        <w:t>the vehicle consists of two units</w:t>
      </w:r>
      <w:r w:rsidR="00D01094">
        <w:rPr>
          <w:u w:val="none"/>
          <w:lang w:val="en-GB"/>
        </w:rPr>
        <w:t>.</w:t>
      </w:r>
      <w:r w:rsidR="00C65E74">
        <w:rPr>
          <w:u w:val="none"/>
          <w:lang w:val="en-GB"/>
        </w:rPr>
        <w:t xml:space="preserve"> This</w:t>
      </w:r>
      <w:r w:rsidR="00175417">
        <w:rPr>
          <w:u w:val="none"/>
          <w:lang w:val="en-GB"/>
        </w:rPr>
        <w:t xml:space="preserve"> evidence is supported by a trai</w:t>
      </w:r>
      <w:r w:rsidR="00C65E74">
        <w:rPr>
          <w:u w:val="none"/>
          <w:lang w:val="en-GB"/>
        </w:rPr>
        <w:t>l of emails that confirm</w:t>
      </w:r>
      <w:r w:rsidR="00925F6B">
        <w:rPr>
          <w:u w:val="none"/>
          <w:lang w:val="en-GB"/>
        </w:rPr>
        <w:t>ed that two devices we</w:t>
      </w:r>
      <w:r w:rsidR="00C65E74">
        <w:rPr>
          <w:u w:val="none"/>
          <w:lang w:val="en-GB"/>
        </w:rPr>
        <w:t>re only required if the vehicle consisted of two units.</w:t>
      </w:r>
    </w:p>
    <w:p w:rsidR="00D01094" w:rsidRPr="008A2CCD" w:rsidRDefault="00D01094" w:rsidP="00D01094">
      <w:pPr>
        <w:widowControl w:val="0"/>
        <w:spacing w:line="360" w:lineRule="auto"/>
        <w:rPr>
          <w:u w:val="none"/>
          <w:lang w:val="en-GB"/>
        </w:rPr>
      </w:pPr>
    </w:p>
    <w:p w:rsidR="00D01094" w:rsidRDefault="008D669D" w:rsidP="00D01094">
      <w:pPr>
        <w:widowControl w:val="0"/>
        <w:spacing w:line="480" w:lineRule="auto"/>
        <w:jc w:val="both"/>
        <w:rPr>
          <w:u w:val="none"/>
          <w:lang w:val="en-GB"/>
        </w:rPr>
      </w:pPr>
      <w:r>
        <w:rPr>
          <w:u w:val="none"/>
          <w:lang w:val="en-GB"/>
        </w:rPr>
        <w:t>[18</w:t>
      </w:r>
      <w:r w:rsidR="00D01094">
        <w:rPr>
          <w:u w:val="none"/>
          <w:lang w:val="en-GB"/>
        </w:rPr>
        <w:t>]</w:t>
      </w:r>
      <w:r w:rsidR="00D01094">
        <w:rPr>
          <w:u w:val="none"/>
          <w:lang w:val="en-GB"/>
        </w:rPr>
        <w:tab/>
      </w:r>
      <w:r w:rsidR="00175417">
        <w:rPr>
          <w:u w:val="none"/>
          <w:lang w:val="en-GB"/>
        </w:rPr>
        <w:t>T</w:t>
      </w:r>
      <w:r w:rsidR="00D01094" w:rsidRPr="008A2CCD">
        <w:rPr>
          <w:u w:val="none"/>
          <w:lang w:val="en-GB"/>
        </w:rPr>
        <w:t xml:space="preserve">he evidence </w:t>
      </w:r>
      <w:r w:rsidR="00175417">
        <w:rPr>
          <w:u w:val="none"/>
          <w:lang w:val="en-GB"/>
        </w:rPr>
        <w:t xml:space="preserve">of Ms. Smuts was </w:t>
      </w:r>
      <w:r w:rsidR="00D01094" w:rsidRPr="008A2CCD">
        <w:rPr>
          <w:u w:val="none"/>
          <w:lang w:val="en-GB"/>
        </w:rPr>
        <w:t>that Optimum at all relevant times from December 2012 understood the endorsement in the Centriq policy to mean that only on</w:t>
      </w:r>
      <w:r w:rsidR="00D01094">
        <w:rPr>
          <w:u w:val="none"/>
          <w:lang w:val="en-GB"/>
        </w:rPr>
        <w:t>e tracking and recovery device was required for</w:t>
      </w:r>
      <w:r w:rsidR="00D01094" w:rsidRPr="008A2CCD">
        <w:rPr>
          <w:u w:val="none"/>
          <w:lang w:val="en-GB"/>
        </w:rPr>
        <w:t xml:space="preserve"> the </w:t>
      </w:r>
      <w:r w:rsidR="00AF7160">
        <w:rPr>
          <w:u w:val="none"/>
          <w:lang w:val="en-GB"/>
        </w:rPr>
        <w:t xml:space="preserve">insured vehicle. </w:t>
      </w:r>
    </w:p>
    <w:p w:rsidR="00C65E74" w:rsidRDefault="00C65E74" w:rsidP="00D01094">
      <w:pPr>
        <w:widowControl w:val="0"/>
        <w:spacing w:line="480" w:lineRule="auto"/>
        <w:jc w:val="both"/>
        <w:rPr>
          <w:u w:val="none"/>
          <w:lang w:val="en-GB"/>
        </w:rPr>
      </w:pPr>
    </w:p>
    <w:p w:rsidR="00C65E74" w:rsidRDefault="008D669D" w:rsidP="00C65E74">
      <w:pPr>
        <w:widowControl w:val="0"/>
        <w:spacing w:line="480" w:lineRule="auto"/>
        <w:jc w:val="both"/>
        <w:rPr>
          <w:i/>
          <w:color w:val="000000"/>
          <w:w w:val="105"/>
          <w:u w:val="none"/>
          <w:lang w:val="en-GB"/>
        </w:rPr>
      </w:pPr>
      <w:r>
        <w:rPr>
          <w:color w:val="000000"/>
          <w:w w:val="105"/>
          <w:u w:val="none"/>
          <w:lang w:val="en-GB"/>
        </w:rPr>
        <w:t>[19</w:t>
      </w:r>
      <w:r w:rsidR="00C65E74">
        <w:rPr>
          <w:color w:val="000000"/>
          <w:w w:val="105"/>
          <w:u w:val="none"/>
          <w:lang w:val="en-GB"/>
        </w:rPr>
        <w:t>]</w:t>
      </w:r>
      <w:r w:rsidR="00C65E74">
        <w:rPr>
          <w:color w:val="000000"/>
          <w:w w:val="105"/>
          <w:u w:val="none"/>
          <w:lang w:val="en-GB"/>
        </w:rPr>
        <w:tab/>
        <w:t>Dalmar’s case was that in terms of the Centriq p</w:t>
      </w:r>
      <w:r w:rsidR="00175417">
        <w:rPr>
          <w:color w:val="000000"/>
          <w:w w:val="105"/>
          <w:u w:val="none"/>
          <w:lang w:val="en-GB"/>
        </w:rPr>
        <w:t xml:space="preserve">olicy two self arming tracking </w:t>
      </w:r>
      <w:r w:rsidR="00C65E74">
        <w:rPr>
          <w:color w:val="000000"/>
          <w:w w:val="105"/>
          <w:u w:val="none"/>
          <w:lang w:val="en-GB"/>
        </w:rPr>
        <w:t>d</w:t>
      </w:r>
      <w:r w:rsidR="00175417">
        <w:rPr>
          <w:color w:val="000000"/>
          <w:w w:val="105"/>
          <w:u w:val="none"/>
          <w:lang w:val="en-GB"/>
        </w:rPr>
        <w:t>e</w:t>
      </w:r>
      <w:r w:rsidR="00C65E74">
        <w:rPr>
          <w:color w:val="000000"/>
          <w:w w:val="105"/>
          <w:u w:val="none"/>
          <w:lang w:val="en-GB"/>
        </w:rPr>
        <w:t xml:space="preserve">vices were only required if a vehicle consisted of two separate units. </w:t>
      </w:r>
      <w:r w:rsidR="00C65E74" w:rsidRPr="0098279D">
        <w:rPr>
          <w:color w:val="000000"/>
          <w:w w:val="105"/>
          <w:u w:val="none"/>
          <w:lang w:val="en-GB"/>
        </w:rPr>
        <w:t xml:space="preserve">The endorsement that was made on the RMB insurance policy schedule makes it clear that the insured was required to have two </w:t>
      </w:r>
      <w:r w:rsidR="00C65E74">
        <w:rPr>
          <w:color w:val="000000"/>
          <w:w w:val="105"/>
          <w:u w:val="none"/>
          <w:lang w:val="en-GB"/>
        </w:rPr>
        <w:t>self armi</w:t>
      </w:r>
      <w:r w:rsidR="00925F6B">
        <w:rPr>
          <w:color w:val="000000"/>
          <w:w w:val="105"/>
          <w:u w:val="none"/>
          <w:lang w:val="en-GB"/>
        </w:rPr>
        <w:t>n</w:t>
      </w:r>
      <w:r w:rsidR="00C65E74">
        <w:rPr>
          <w:color w:val="000000"/>
          <w:w w:val="105"/>
          <w:u w:val="none"/>
          <w:lang w:val="en-GB"/>
        </w:rPr>
        <w:t xml:space="preserve">g tracking devices </w:t>
      </w:r>
      <w:r w:rsidR="00C65E74" w:rsidRPr="0098279D">
        <w:rPr>
          <w:color w:val="000000"/>
          <w:w w:val="105"/>
          <w:u w:val="none"/>
          <w:lang w:val="en-GB"/>
        </w:rPr>
        <w:t xml:space="preserve">installed </w:t>
      </w:r>
      <w:r w:rsidR="00C65E74">
        <w:rPr>
          <w:color w:val="000000"/>
          <w:w w:val="105"/>
          <w:u w:val="none"/>
          <w:lang w:val="en-GB"/>
        </w:rPr>
        <w:t xml:space="preserve">to </w:t>
      </w:r>
      <w:r w:rsidR="00C65E74" w:rsidRPr="0098279D">
        <w:rPr>
          <w:color w:val="000000"/>
          <w:w w:val="105"/>
          <w:u w:val="none"/>
          <w:lang w:val="en-GB"/>
        </w:rPr>
        <w:t xml:space="preserve">the vehicle. Based on the wording </w:t>
      </w:r>
      <w:r w:rsidR="00C65E74">
        <w:rPr>
          <w:color w:val="000000"/>
          <w:w w:val="105"/>
          <w:u w:val="none"/>
          <w:lang w:val="en-GB"/>
        </w:rPr>
        <w:t xml:space="preserve">of the agreement </w:t>
      </w:r>
      <w:r w:rsidR="00C65E74" w:rsidRPr="0098279D">
        <w:rPr>
          <w:color w:val="000000"/>
          <w:w w:val="105"/>
          <w:u w:val="none"/>
          <w:lang w:val="en-GB"/>
        </w:rPr>
        <w:t>it was necessary to do so</w:t>
      </w:r>
      <w:r w:rsidR="00C65E74">
        <w:rPr>
          <w:color w:val="000000"/>
          <w:w w:val="105"/>
          <w:u w:val="none"/>
          <w:lang w:val="en-GB"/>
        </w:rPr>
        <w:t>,</w:t>
      </w:r>
      <w:r w:rsidR="00C65E74" w:rsidRPr="0098279D">
        <w:rPr>
          <w:color w:val="000000"/>
          <w:w w:val="105"/>
          <w:u w:val="none"/>
          <w:lang w:val="en-GB"/>
        </w:rPr>
        <w:t xml:space="preserve"> regardless of the fact that the insured vehicle did not consist of two separate units i.e. a horse and a trailer. </w:t>
      </w:r>
    </w:p>
    <w:p w:rsidR="008D669D" w:rsidRDefault="008D669D" w:rsidP="008D669D">
      <w:pPr>
        <w:widowControl w:val="0"/>
        <w:spacing w:line="480" w:lineRule="auto"/>
        <w:jc w:val="both"/>
        <w:rPr>
          <w:u w:val="none"/>
          <w:lang w:val="en-GB"/>
        </w:rPr>
      </w:pPr>
      <w:r>
        <w:rPr>
          <w:u w:val="none"/>
          <w:lang w:val="en-GB"/>
        </w:rPr>
        <w:lastRenderedPageBreak/>
        <w:t>[20</w:t>
      </w:r>
      <w:r w:rsidR="00D01094">
        <w:rPr>
          <w:u w:val="none"/>
          <w:lang w:val="en-GB"/>
        </w:rPr>
        <w:t>]</w:t>
      </w:r>
      <w:r w:rsidR="00D01094">
        <w:rPr>
          <w:u w:val="none"/>
          <w:lang w:val="en-GB"/>
        </w:rPr>
        <w:tab/>
        <w:t>Ms</w:t>
      </w:r>
      <w:r>
        <w:rPr>
          <w:u w:val="none"/>
          <w:lang w:val="en-GB"/>
        </w:rPr>
        <w:t>.</w:t>
      </w:r>
      <w:r w:rsidR="00D01094">
        <w:rPr>
          <w:u w:val="none"/>
          <w:lang w:val="en-GB"/>
        </w:rPr>
        <w:t xml:space="preserve"> </w:t>
      </w:r>
      <w:r w:rsidR="00D01094" w:rsidRPr="00026FA9">
        <w:rPr>
          <w:u w:val="none"/>
          <w:lang w:val="en-GB"/>
        </w:rPr>
        <w:t>Esterhuizen</w:t>
      </w:r>
      <w:r w:rsidR="00D01094">
        <w:rPr>
          <w:u w:val="none"/>
          <w:lang w:val="en-GB"/>
        </w:rPr>
        <w:t xml:space="preserve"> conceded</w:t>
      </w:r>
      <w:r w:rsidR="00D01094" w:rsidRPr="00026FA9">
        <w:rPr>
          <w:u w:val="none"/>
          <w:lang w:val="en-GB"/>
        </w:rPr>
        <w:t xml:space="preserve"> </w:t>
      </w:r>
      <w:r>
        <w:rPr>
          <w:u w:val="none"/>
          <w:lang w:val="en-GB"/>
        </w:rPr>
        <w:t xml:space="preserve">in her evidence </w:t>
      </w:r>
      <w:r w:rsidR="00D01094" w:rsidRPr="00026FA9">
        <w:rPr>
          <w:u w:val="none"/>
          <w:lang w:val="en-GB"/>
        </w:rPr>
        <w:t xml:space="preserve">that the quotation which was presented to and initialled by </w:t>
      </w:r>
      <w:r w:rsidR="00D01094">
        <w:rPr>
          <w:u w:val="none"/>
          <w:lang w:val="en-GB"/>
        </w:rPr>
        <w:t>Mr</w:t>
      </w:r>
      <w:r w:rsidR="00AB38E1">
        <w:rPr>
          <w:u w:val="none"/>
          <w:lang w:val="en-GB"/>
        </w:rPr>
        <w:t>.</w:t>
      </w:r>
      <w:r w:rsidR="00D01094">
        <w:rPr>
          <w:u w:val="none"/>
          <w:lang w:val="en-GB"/>
        </w:rPr>
        <w:t xml:space="preserve"> </w:t>
      </w:r>
      <w:r w:rsidR="00D01094" w:rsidRPr="00026FA9">
        <w:rPr>
          <w:u w:val="none"/>
          <w:lang w:val="en-GB"/>
        </w:rPr>
        <w:t>Swart</w:t>
      </w:r>
      <w:r w:rsidR="00AF7160">
        <w:rPr>
          <w:u w:val="none"/>
          <w:lang w:val="en-GB"/>
        </w:rPr>
        <w:t>,</w:t>
      </w:r>
      <w:r w:rsidR="00D01094" w:rsidRPr="00026FA9">
        <w:rPr>
          <w:u w:val="none"/>
          <w:lang w:val="en-GB"/>
        </w:rPr>
        <w:t xml:space="preserve"> constituted a communication to </w:t>
      </w:r>
      <w:r w:rsidR="00D01094">
        <w:rPr>
          <w:u w:val="none"/>
          <w:lang w:val="en-GB"/>
        </w:rPr>
        <w:t>Dalmar</w:t>
      </w:r>
      <w:r w:rsidR="00D01094" w:rsidRPr="00026FA9">
        <w:rPr>
          <w:u w:val="none"/>
          <w:lang w:val="en-GB"/>
        </w:rPr>
        <w:t xml:space="preserve"> that two self activating tracking and recovery units must be fitted to the vehicle in terms of the new RMB policy</w:t>
      </w:r>
      <w:r w:rsidR="00D01094">
        <w:rPr>
          <w:u w:val="none"/>
          <w:lang w:val="en-GB"/>
        </w:rPr>
        <w:t xml:space="preserve">. </w:t>
      </w:r>
      <w:r w:rsidR="00D01094" w:rsidRPr="00026FA9">
        <w:rPr>
          <w:u w:val="none"/>
          <w:lang w:val="en-GB"/>
        </w:rPr>
        <w:t xml:space="preserve">It </w:t>
      </w:r>
      <w:r w:rsidR="00D01094">
        <w:rPr>
          <w:u w:val="none"/>
          <w:lang w:val="en-GB"/>
        </w:rPr>
        <w:t>is common cause that it contained</w:t>
      </w:r>
      <w:r w:rsidR="00D01094" w:rsidRPr="00026FA9">
        <w:rPr>
          <w:u w:val="none"/>
          <w:lang w:val="en-GB"/>
        </w:rPr>
        <w:t xml:space="preserve"> the endorsement requiring the fitt</w:t>
      </w:r>
      <w:r w:rsidR="00D01094">
        <w:rPr>
          <w:u w:val="none"/>
          <w:lang w:val="en-GB"/>
        </w:rPr>
        <w:t xml:space="preserve">ing of two tracking units. </w:t>
      </w:r>
      <w:r w:rsidR="00D01094" w:rsidRPr="00026FA9">
        <w:rPr>
          <w:u w:val="none"/>
          <w:lang w:val="en-GB"/>
        </w:rPr>
        <w:t xml:space="preserve">The </w:t>
      </w:r>
      <w:r w:rsidR="00D01094">
        <w:rPr>
          <w:u w:val="none"/>
          <w:lang w:val="en-GB"/>
        </w:rPr>
        <w:t xml:space="preserve">relevant question however was </w:t>
      </w:r>
      <w:r w:rsidR="00D01094" w:rsidRPr="00026FA9">
        <w:rPr>
          <w:u w:val="none"/>
          <w:lang w:val="en-GB"/>
        </w:rPr>
        <w:t xml:space="preserve">whether </w:t>
      </w:r>
      <w:r w:rsidR="00D01094">
        <w:rPr>
          <w:u w:val="none"/>
          <w:lang w:val="en-GB"/>
        </w:rPr>
        <w:t>Dalmar</w:t>
      </w:r>
      <w:r w:rsidR="00D01094" w:rsidRPr="00026FA9">
        <w:rPr>
          <w:u w:val="none"/>
          <w:lang w:val="en-GB"/>
        </w:rPr>
        <w:t xml:space="preserve">’s attention was </w:t>
      </w:r>
      <w:r w:rsidR="00D01094" w:rsidRPr="00026FA9">
        <w:rPr>
          <w:bCs/>
          <w:u w:val="none"/>
          <w:lang w:val="en-GB"/>
        </w:rPr>
        <w:t>pertinently and sufficiently</w:t>
      </w:r>
      <w:r w:rsidR="00D01094" w:rsidRPr="00026FA9">
        <w:rPr>
          <w:u w:val="none"/>
          <w:lang w:val="en-GB"/>
        </w:rPr>
        <w:t xml:space="preserve"> directed to the fact that two tracking units were now required</w:t>
      </w:r>
      <w:r>
        <w:rPr>
          <w:u w:val="none"/>
          <w:lang w:val="en-GB"/>
        </w:rPr>
        <w:t xml:space="preserve"> under the RMB policy. This evidence must be considered in the light of the Centriq policy, which only required two devices, if the vehicle consisted of two units. She pointed out that in email correspondence clarification was obtained from Optimum that two devices were only required if the vehicle consisted of two units. </w:t>
      </w:r>
      <w:r w:rsidR="00D01094">
        <w:rPr>
          <w:u w:val="none"/>
          <w:lang w:val="en-GB"/>
        </w:rPr>
        <w:t xml:space="preserve">Dalmar </w:t>
      </w:r>
      <w:r>
        <w:rPr>
          <w:u w:val="none"/>
          <w:lang w:val="en-GB"/>
        </w:rPr>
        <w:t>acted on the basis that in terms of the first Centriq policy, only one tracking unit was requir</w:t>
      </w:r>
      <w:r w:rsidR="00175417">
        <w:rPr>
          <w:u w:val="none"/>
          <w:lang w:val="en-GB"/>
        </w:rPr>
        <w:t>ed if the vehicle consisted of</w:t>
      </w:r>
      <w:r>
        <w:rPr>
          <w:u w:val="none"/>
          <w:lang w:val="en-GB"/>
        </w:rPr>
        <w:t xml:space="preserve"> one unit.</w:t>
      </w:r>
    </w:p>
    <w:p w:rsidR="00D01094" w:rsidRPr="00026FA9" w:rsidRDefault="008D669D" w:rsidP="008D669D">
      <w:pPr>
        <w:widowControl w:val="0"/>
        <w:spacing w:line="480" w:lineRule="auto"/>
        <w:jc w:val="both"/>
        <w:rPr>
          <w:u w:val="none"/>
          <w:lang w:val="en-GB"/>
        </w:rPr>
      </w:pPr>
      <w:r w:rsidRPr="00026FA9">
        <w:rPr>
          <w:u w:val="none"/>
          <w:lang w:val="en-GB"/>
        </w:rPr>
        <w:t xml:space="preserve"> </w:t>
      </w:r>
    </w:p>
    <w:p w:rsidR="00D01094" w:rsidRPr="00026FA9" w:rsidRDefault="00AF7160" w:rsidP="00D01094">
      <w:pPr>
        <w:widowControl w:val="0"/>
        <w:spacing w:line="480" w:lineRule="auto"/>
        <w:jc w:val="both"/>
        <w:rPr>
          <w:u w:val="none"/>
          <w:lang w:val="en-GB"/>
        </w:rPr>
      </w:pPr>
      <w:r>
        <w:rPr>
          <w:u w:val="none"/>
          <w:lang w:val="en-GB"/>
        </w:rPr>
        <w:t>[</w:t>
      </w:r>
      <w:r w:rsidR="008D669D">
        <w:rPr>
          <w:u w:val="none"/>
          <w:lang w:val="en-GB"/>
        </w:rPr>
        <w:t>21</w:t>
      </w:r>
      <w:r w:rsidR="00D01094">
        <w:rPr>
          <w:u w:val="none"/>
          <w:lang w:val="en-GB"/>
        </w:rPr>
        <w:t>]</w:t>
      </w:r>
      <w:r w:rsidR="00D01094">
        <w:rPr>
          <w:u w:val="none"/>
          <w:lang w:val="en-GB"/>
        </w:rPr>
        <w:tab/>
        <w:t xml:space="preserve">Dalmar </w:t>
      </w:r>
      <w:r w:rsidR="00D01094" w:rsidRPr="00026FA9">
        <w:rPr>
          <w:u w:val="none"/>
          <w:lang w:val="en-GB"/>
        </w:rPr>
        <w:t xml:space="preserve">pleaded that it was a term of the broker agreement that </w:t>
      </w:r>
      <w:r w:rsidR="00D01094">
        <w:rPr>
          <w:u w:val="none"/>
          <w:lang w:val="en-GB"/>
        </w:rPr>
        <w:t>Optimum</w:t>
      </w:r>
      <w:r w:rsidR="00D01094" w:rsidRPr="00026FA9">
        <w:rPr>
          <w:u w:val="none"/>
          <w:lang w:val="en-GB"/>
        </w:rPr>
        <w:t xml:space="preserve"> would take all reasonable steps to convey material information from an insurer to </w:t>
      </w:r>
      <w:r w:rsidR="00D01094">
        <w:rPr>
          <w:u w:val="none"/>
          <w:lang w:val="en-GB"/>
        </w:rPr>
        <w:t>Dalmar</w:t>
      </w:r>
      <w:r w:rsidR="00D01094" w:rsidRPr="00026FA9">
        <w:rPr>
          <w:u w:val="none"/>
          <w:lang w:val="en-GB"/>
        </w:rPr>
        <w:t xml:space="preserve">, and this term was admitted in </w:t>
      </w:r>
      <w:r w:rsidR="00D01094">
        <w:rPr>
          <w:u w:val="none"/>
          <w:lang w:val="en-GB"/>
        </w:rPr>
        <w:t xml:space="preserve">Optimum’s </w:t>
      </w:r>
      <w:r w:rsidR="00D01094" w:rsidRPr="00026FA9">
        <w:rPr>
          <w:u w:val="none"/>
          <w:lang w:val="en-GB"/>
        </w:rPr>
        <w:t xml:space="preserve">plea. </w:t>
      </w:r>
      <w:r w:rsidR="00D01094">
        <w:rPr>
          <w:u w:val="none"/>
          <w:lang w:val="en-GB"/>
        </w:rPr>
        <w:t>It wa</w:t>
      </w:r>
      <w:r w:rsidR="00D01094" w:rsidRPr="00026FA9">
        <w:rPr>
          <w:u w:val="none"/>
          <w:lang w:val="en-GB"/>
        </w:rPr>
        <w:t xml:space="preserve">s </w:t>
      </w:r>
      <w:r w:rsidR="00D01094">
        <w:rPr>
          <w:u w:val="none"/>
          <w:lang w:val="en-GB"/>
        </w:rPr>
        <w:t xml:space="preserve">argued that the </w:t>
      </w:r>
      <w:r w:rsidR="00D01094" w:rsidRPr="00026FA9">
        <w:rPr>
          <w:u w:val="none"/>
          <w:lang w:val="en-GB"/>
        </w:rPr>
        <w:t>taking of reasonable steps to convey the information to</w:t>
      </w:r>
      <w:r w:rsidR="00D01094">
        <w:rPr>
          <w:u w:val="none"/>
          <w:lang w:val="en-GB"/>
        </w:rPr>
        <w:t xml:space="preserve"> Dalmar </w:t>
      </w:r>
      <w:r w:rsidR="00D01094" w:rsidRPr="00026FA9">
        <w:rPr>
          <w:u w:val="none"/>
          <w:lang w:val="en-GB"/>
        </w:rPr>
        <w:t xml:space="preserve">implied that Optimum </w:t>
      </w:r>
      <w:r w:rsidR="00175417">
        <w:rPr>
          <w:u w:val="none"/>
          <w:lang w:val="en-GB"/>
        </w:rPr>
        <w:t xml:space="preserve">should </w:t>
      </w:r>
      <w:r w:rsidR="00D01094" w:rsidRPr="00026FA9">
        <w:rPr>
          <w:u w:val="none"/>
          <w:lang w:val="en-GB"/>
        </w:rPr>
        <w:t>not merely</w:t>
      </w:r>
      <w:r w:rsidR="00925F6B">
        <w:rPr>
          <w:u w:val="none"/>
          <w:lang w:val="en-GB"/>
        </w:rPr>
        <w:t xml:space="preserve"> have</w:t>
      </w:r>
      <w:r w:rsidR="00D01094" w:rsidRPr="00026FA9">
        <w:rPr>
          <w:u w:val="none"/>
          <w:lang w:val="en-GB"/>
        </w:rPr>
        <w:t xml:space="preserve"> give</w:t>
      </w:r>
      <w:r w:rsidR="00175417">
        <w:rPr>
          <w:u w:val="none"/>
          <w:lang w:val="en-GB"/>
        </w:rPr>
        <w:t>n</w:t>
      </w:r>
      <w:r w:rsidR="00D01094" w:rsidRPr="00026FA9">
        <w:rPr>
          <w:u w:val="none"/>
          <w:lang w:val="en-GB"/>
        </w:rPr>
        <w:t xml:space="preserve"> a copy of the document in which the material change o</w:t>
      </w:r>
      <w:r w:rsidR="00D01094">
        <w:rPr>
          <w:u w:val="none"/>
          <w:lang w:val="en-GB"/>
        </w:rPr>
        <w:t>r information was contained to it</w:t>
      </w:r>
      <w:r w:rsidR="00D01094" w:rsidRPr="00026FA9">
        <w:rPr>
          <w:u w:val="none"/>
          <w:lang w:val="en-GB"/>
        </w:rPr>
        <w:t xml:space="preserve">, but should </w:t>
      </w:r>
      <w:r w:rsidR="00D01094">
        <w:rPr>
          <w:u w:val="none"/>
          <w:lang w:val="en-GB"/>
        </w:rPr>
        <w:t xml:space="preserve">have </w:t>
      </w:r>
      <w:r w:rsidR="00925F6B">
        <w:rPr>
          <w:u w:val="none"/>
          <w:lang w:val="en-GB"/>
        </w:rPr>
        <w:t>s</w:t>
      </w:r>
      <w:r w:rsidR="00175417">
        <w:rPr>
          <w:u w:val="none"/>
          <w:lang w:val="en-GB"/>
        </w:rPr>
        <w:t xml:space="preserve">een </w:t>
      </w:r>
      <w:r w:rsidR="00925F6B">
        <w:rPr>
          <w:u w:val="none"/>
          <w:lang w:val="en-GB"/>
        </w:rPr>
        <w:t xml:space="preserve">to it </w:t>
      </w:r>
      <w:r w:rsidR="00175417">
        <w:rPr>
          <w:u w:val="none"/>
          <w:lang w:val="en-GB"/>
        </w:rPr>
        <w:t xml:space="preserve">that Optimum’s attention </w:t>
      </w:r>
      <w:r w:rsidR="00925F6B">
        <w:rPr>
          <w:u w:val="none"/>
          <w:lang w:val="en-GB"/>
        </w:rPr>
        <w:t xml:space="preserve">was drawn </w:t>
      </w:r>
      <w:r w:rsidR="00D01094" w:rsidRPr="00026FA9">
        <w:rPr>
          <w:u w:val="none"/>
          <w:lang w:val="en-GB"/>
        </w:rPr>
        <w:t>to the material change</w:t>
      </w:r>
      <w:r w:rsidR="00925F6B">
        <w:rPr>
          <w:u w:val="none"/>
          <w:lang w:val="en-GB"/>
        </w:rPr>
        <w:t>.</w:t>
      </w:r>
      <w:r w:rsidR="00D01094" w:rsidRPr="00026FA9">
        <w:rPr>
          <w:u w:val="none"/>
          <w:lang w:val="en-GB"/>
        </w:rPr>
        <w:t xml:space="preserve"> </w:t>
      </w:r>
      <w:r w:rsidR="00175417">
        <w:rPr>
          <w:u w:val="none"/>
          <w:lang w:val="en-GB"/>
        </w:rPr>
        <w:t xml:space="preserve">Optimum should have </w:t>
      </w:r>
      <w:r w:rsidR="00D01094" w:rsidRPr="00026FA9">
        <w:rPr>
          <w:u w:val="none"/>
          <w:lang w:val="en-GB"/>
        </w:rPr>
        <w:t>ensure</w:t>
      </w:r>
      <w:r w:rsidR="008D669D">
        <w:rPr>
          <w:u w:val="none"/>
          <w:lang w:val="en-GB"/>
        </w:rPr>
        <w:t>d</w:t>
      </w:r>
      <w:r w:rsidR="00D01094" w:rsidRPr="00026FA9">
        <w:rPr>
          <w:u w:val="none"/>
          <w:lang w:val="en-GB"/>
        </w:rPr>
        <w:t xml:space="preserve"> that the </w:t>
      </w:r>
      <w:r w:rsidR="00D01094">
        <w:rPr>
          <w:u w:val="none"/>
          <w:lang w:val="en-GB"/>
        </w:rPr>
        <w:t>insured</w:t>
      </w:r>
      <w:r w:rsidR="00D01094" w:rsidRPr="00026FA9">
        <w:rPr>
          <w:u w:val="none"/>
          <w:lang w:val="en-GB"/>
        </w:rPr>
        <w:t xml:space="preserve"> was aware of the requirement and complied therewith</w:t>
      </w:r>
      <w:r w:rsidR="00175417">
        <w:rPr>
          <w:u w:val="none"/>
          <w:lang w:val="en-GB"/>
        </w:rPr>
        <w:t>.</w:t>
      </w:r>
    </w:p>
    <w:p w:rsidR="00D01094" w:rsidRPr="00026FA9" w:rsidRDefault="00D01094" w:rsidP="00D01094">
      <w:pPr>
        <w:widowControl w:val="0"/>
        <w:spacing w:line="360" w:lineRule="auto"/>
        <w:rPr>
          <w:u w:val="none"/>
          <w:lang w:val="en-GB"/>
        </w:rPr>
      </w:pPr>
    </w:p>
    <w:p w:rsidR="00D01094" w:rsidRPr="00026FA9" w:rsidRDefault="008D669D" w:rsidP="00D01094">
      <w:pPr>
        <w:widowControl w:val="0"/>
        <w:spacing w:line="480" w:lineRule="auto"/>
        <w:jc w:val="both"/>
        <w:rPr>
          <w:u w:val="none"/>
          <w:lang w:val="en-GB"/>
        </w:rPr>
      </w:pPr>
      <w:r>
        <w:rPr>
          <w:u w:val="none"/>
          <w:lang w:val="en-GB"/>
        </w:rPr>
        <w:t>[22</w:t>
      </w:r>
      <w:r w:rsidR="00D01094">
        <w:rPr>
          <w:u w:val="none"/>
          <w:lang w:val="en-GB"/>
        </w:rPr>
        <w:t>]</w:t>
      </w:r>
      <w:r w:rsidR="00D01094">
        <w:rPr>
          <w:u w:val="none"/>
          <w:lang w:val="en-GB"/>
        </w:rPr>
        <w:tab/>
      </w:r>
      <w:r w:rsidR="00D01094" w:rsidRPr="00026FA9">
        <w:rPr>
          <w:u w:val="none"/>
          <w:lang w:val="en-GB"/>
        </w:rPr>
        <w:t xml:space="preserve">It was </w:t>
      </w:r>
      <w:r w:rsidR="00925F6B">
        <w:rPr>
          <w:u w:val="none"/>
          <w:lang w:val="en-GB"/>
        </w:rPr>
        <w:t>furthermore</w:t>
      </w:r>
      <w:r>
        <w:rPr>
          <w:u w:val="none"/>
          <w:lang w:val="en-GB"/>
        </w:rPr>
        <w:t xml:space="preserve"> </w:t>
      </w:r>
      <w:r w:rsidR="00D01094" w:rsidRPr="00026FA9">
        <w:rPr>
          <w:u w:val="none"/>
          <w:lang w:val="en-GB"/>
        </w:rPr>
        <w:t xml:space="preserve">argued on behalf of </w:t>
      </w:r>
      <w:r w:rsidR="00D01094">
        <w:rPr>
          <w:u w:val="none"/>
          <w:lang w:val="en-GB"/>
        </w:rPr>
        <w:t xml:space="preserve">Optimum </w:t>
      </w:r>
      <w:r w:rsidR="00D01094" w:rsidRPr="00026FA9">
        <w:rPr>
          <w:u w:val="none"/>
          <w:lang w:val="en-GB"/>
        </w:rPr>
        <w:t xml:space="preserve">that it was necessary for </w:t>
      </w:r>
      <w:r w:rsidR="00D01094">
        <w:rPr>
          <w:u w:val="none"/>
          <w:lang w:val="en-GB"/>
        </w:rPr>
        <w:t xml:space="preserve">Dalmar </w:t>
      </w:r>
      <w:r w:rsidR="00D01094" w:rsidRPr="00026FA9">
        <w:rPr>
          <w:u w:val="none"/>
          <w:lang w:val="en-GB"/>
        </w:rPr>
        <w:t>to present expert evidence at the trial.</w:t>
      </w:r>
      <w:r w:rsidR="00D01094">
        <w:rPr>
          <w:u w:val="none"/>
          <w:lang w:val="en-GB"/>
        </w:rPr>
        <w:t xml:space="preserve"> Based on the admissions, </w:t>
      </w:r>
      <w:r w:rsidR="00D01094">
        <w:rPr>
          <w:u w:val="none"/>
          <w:lang w:val="en-GB"/>
        </w:rPr>
        <w:lastRenderedPageBreak/>
        <w:t xml:space="preserve">referred to above, </w:t>
      </w:r>
      <w:r w:rsidR="00AF7160">
        <w:rPr>
          <w:u w:val="none"/>
          <w:lang w:val="en-GB"/>
        </w:rPr>
        <w:t>however</w:t>
      </w:r>
      <w:r w:rsidR="00D01094">
        <w:rPr>
          <w:u w:val="none"/>
          <w:lang w:val="en-GB"/>
        </w:rPr>
        <w:t xml:space="preserve"> the contractual terms were admitted by Optimum </w:t>
      </w:r>
      <w:r w:rsidR="00AF7160">
        <w:rPr>
          <w:u w:val="none"/>
          <w:lang w:val="en-GB"/>
        </w:rPr>
        <w:t xml:space="preserve">and accordingly </w:t>
      </w:r>
      <w:r w:rsidR="00D01094">
        <w:rPr>
          <w:u w:val="none"/>
          <w:lang w:val="en-GB"/>
        </w:rPr>
        <w:t>such evidence was not required</w:t>
      </w:r>
      <w:r w:rsidR="00925F6B">
        <w:rPr>
          <w:u w:val="none"/>
          <w:lang w:val="en-GB"/>
        </w:rPr>
        <w:t>, at least not at absolution stage.</w:t>
      </w:r>
    </w:p>
    <w:p w:rsidR="00D01094" w:rsidRPr="00026FA9" w:rsidRDefault="00D01094" w:rsidP="00D01094">
      <w:pPr>
        <w:widowControl w:val="0"/>
        <w:spacing w:line="360" w:lineRule="auto"/>
        <w:rPr>
          <w:u w:val="none"/>
          <w:lang w:val="en-GB"/>
        </w:rPr>
      </w:pPr>
    </w:p>
    <w:p w:rsidR="00D01094" w:rsidRPr="00026FA9" w:rsidRDefault="008D669D" w:rsidP="00D01094">
      <w:pPr>
        <w:widowControl w:val="0"/>
        <w:spacing w:line="480" w:lineRule="auto"/>
        <w:jc w:val="both"/>
        <w:rPr>
          <w:u w:val="none"/>
          <w:lang w:val="en-GB"/>
        </w:rPr>
      </w:pPr>
      <w:r>
        <w:rPr>
          <w:u w:val="none"/>
          <w:lang w:val="en-GB"/>
        </w:rPr>
        <w:t>[23</w:t>
      </w:r>
      <w:r w:rsidR="00D01094">
        <w:rPr>
          <w:u w:val="none"/>
          <w:lang w:val="en-GB"/>
        </w:rPr>
        <w:t>]</w:t>
      </w:r>
      <w:r w:rsidR="00D01094">
        <w:rPr>
          <w:u w:val="none"/>
          <w:lang w:val="en-GB"/>
        </w:rPr>
        <w:tab/>
      </w:r>
      <w:r w:rsidR="00D01094" w:rsidRPr="00026FA9">
        <w:rPr>
          <w:u w:val="none"/>
          <w:lang w:val="en-GB"/>
        </w:rPr>
        <w:t>In paragraph 5.2.3 of the defendant’s plea</w:t>
      </w:r>
      <w:r w:rsidR="00D01094">
        <w:rPr>
          <w:u w:val="none"/>
          <w:lang w:val="en-GB"/>
        </w:rPr>
        <w:t xml:space="preserve"> </w:t>
      </w:r>
      <w:r w:rsidR="00D01094" w:rsidRPr="00026FA9">
        <w:rPr>
          <w:u w:val="none"/>
          <w:lang w:val="en-GB"/>
        </w:rPr>
        <w:t>it was pleaded that:</w:t>
      </w:r>
    </w:p>
    <w:p w:rsidR="00D01094" w:rsidRPr="00026FA9" w:rsidRDefault="00D01094" w:rsidP="00D01094">
      <w:pPr>
        <w:widowControl w:val="0"/>
        <w:rPr>
          <w:sz w:val="16"/>
          <w:szCs w:val="16"/>
          <w:u w:val="none"/>
          <w:lang w:val="en-GB"/>
        </w:rPr>
      </w:pPr>
    </w:p>
    <w:p w:rsidR="00D01094" w:rsidRPr="00026FA9" w:rsidRDefault="00D01094" w:rsidP="00A8481F">
      <w:pPr>
        <w:widowControl w:val="0"/>
        <w:spacing w:line="480" w:lineRule="auto"/>
        <w:ind w:left="1134" w:right="284"/>
        <w:jc w:val="both"/>
        <w:rPr>
          <w:u w:val="none"/>
          <w:lang w:val="en-GB"/>
        </w:rPr>
      </w:pPr>
      <w:r w:rsidRPr="00026FA9">
        <w:rPr>
          <w:u w:val="none"/>
          <w:lang w:val="en-GB"/>
        </w:rPr>
        <w:t>“</w:t>
      </w:r>
      <w:r w:rsidRPr="00026FA9">
        <w:rPr>
          <w:i/>
          <w:iCs/>
          <w:u w:val="none"/>
          <w:lang w:val="en-GB"/>
        </w:rPr>
        <w:t>The requirement to install two self arming tracking devices was communicated to the plaintiff both by the first defendant and the second defendant on 11 December 2012. These communications are annexed hereto and marked “P1” and “P2” respectively</w:t>
      </w:r>
      <w:r w:rsidRPr="00026FA9">
        <w:rPr>
          <w:u w:val="none"/>
          <w:lang w:val="en-GB"/>
        </w:rPr>
        <w:t xml:space="preserve">.” </w:t>
      </w:r>
    </w:p>
    <w:p w:rsidR="00D01094" w:rsidRPr="00026FA9" w:rsidRDefault="00D01094" w:rsidP="00D01094">
      <w:pPr>
        <w:widowControl w:val="0"/>
        <w:spacing w:line="360" w:lineRule="auto"/>
        <w:rPr>
          <w:u w:val="none"/>
          <w:lang w:val="en-GB"/>
        </w:rPr>
      </w:pPr>
    </w:p>
    <w:p w:rsidR="00D01094" w:rsidRPr="00026FA9" w:rsidRDefault="008D669D" w:rsidP="00D01094">
      <w:pPr>
        <w:widowControl w:val="0"/>
        <w:spacing w:line="480" w:lineRule="auto"/>
        <w:jc w:val="both"/>
        <w:rPr>
          <w:u w:val="none"/>
          <w:lang w:val="en-GB"/>
        </w:rPr>
      </w:pPr>
      <w:r>
        <w:rPr>
          <w:u w:val="none"/>
          <w:lang w:val="en-GB"/>
        </w:rPr>
        <w:t>[24</w:t>
      </w:r>
      <w:r w:rsidR="00D01094">
        <w:rPr>
          <w:u w:val="none"/>
          <w:lang w:val="en-GB"/>
        </w:rPr>
        <w:t>]</w:t>
      </w:r>
      <w:r w:rsidR="00D01094">
        <w:rPr>
          <w:u w:val="none"/>
          <w:lang w:val="en-GB"/>
        </w:rPr>
        <w:tab/>
      </w:r>
      <w:r w:rsidR="00D01094" w:rsidRPr="00026FA9">
        <w:rPr>
          <w:u w:val="none"/>
          <w:lang w:val="en-GB"/>
        </w:rPr>
        <w:t>Th</w:t>
      </w:r>
      <w:r w:rsidR="00251B04">
        <w:rPr>
          <w:u w:val="none"/>
          <w:lang w:val="en-GB"/>
        </w:rPr>
        <w:t>ese</w:t>
      </w:r>
      <w:r w:rsidR="00EE6B2A">
        <w:rPr>
          <w:u w:val="none"/>
          <w:lang w:val="en-GB"/>
        </w:rPr>
        <w:t xml:space="preserve"> communications </w:t>
      </w:r>
      <w:r w:rsidR="00AF7160">
        <w:rPr>
          <w:u w:val="none"/>
          <w:lang w:val="en-GB"/>
        </w:rPr>
        <w:t>howeve</w:t>
      </w:r>
      <w:r>
        <w:rPr>
          <w:u w:val="none"/>
          <w:lang w:val="en-GB"/>
        </w:rPr>
        <w:t>r clearly relate</w:t>
      </w:r>
      <w:r w:rsidR="00D01094" w:rsidRPr="00026FA9">
        <w:rPr>
          <w:u w:val="none"/>
          <w:lang w:val="en-GB"/>
        </w:rPr>
        <w:t xml:space="preserve"> to the Centriq policy to which the Hino vehicle was added on 10 December 2012</w:t>
      </w:r>
      <w:r w:rsidR="00AF7160">
        <w:rPr>
          <w:u w:val="none"/>
          <w:lang w:val="en-GB"/>
        </w:rPr>
        <w:t>. The RMB policy only came in force long after the aforesaid date.</w:t>
      </w:r>
    </w:p>
    <w:p w:rsidR="00D01094" w:rsidRPr="00026FA9" w:rsidRDefault="00D01094" w:rsidP="00D01094">
      <w:pPr>
        <w:widowControl w:val="0"/>
        <w:spacing w:line="360" w:lineRule="auto"/>
        <w:rPr>
          <w:u w:val="none"/>
          <w:lang w:val="en-GB"/>
        </w:rPr>
      </w:pPr>
    </w:p>
    <w:p w:rsidR="00D01094" w:rsidRPr="00026FA9" w:rsidRDefault="008D669D" w:rsidP="00D01094">
      <w:pPr>
        <w:widowControl w:val="0"/>
        <w:spacing w:line="480" w:lineRule="auto"/>
        <w:jc w:val="both"/>
        <w:rPr>
          <w:u w:val="none"/>
          <w:lang w:val="en-GB"/>
        </w:rPr>
      </w:pPr>
      <w:r>
        <w:rPr>
          <w:u w:val="none"/>
          <w:lang w:val="en-GB"/>
        </w:rPr>
        <w:t>[25</w:t>
      </w:r>
      <w:r w:rsidR="00EE6B2A">
        <w:rPr>
          <w:u w:val="none"/>
          <w:lang w:val="en-GB"/>
        </w:rPr>
        <w:t>]</w:t>
      </w:r>
      <w:r w:rsidR="00D01094">
        <w:rPr>
          <w:u w:val="none"/>
          <w:lang w:val="en-GB"/>
        </w:rPr>
        <w:tab/>
      </w:r>
      <w:r w:rsidR="00D01094" w:rsidRPr="00026FA9">
        <w:rPr>
          <w:u w:val="none"/>
          <w:lang w:val="en-GB"/>
        </w:rPr>
        <w:t>In paragraph 11.2 of the defendant’s plea it was pleaded that:</w:t>
      </w:r>
    </w:p>
    <w:p w:rsidR="00D01094" w:rsidRPr="00026FA9" w:rsidRDefault="00D01094" w:rsidP="00D01094">
      <w:pPr>
        <w:rPr>
          <w:sz w:val="16"/>
          <w:szCs w:val="16"/>
          <w:u w:val="none"/>
          <w:lang w:val="en-GB"/>
        </w:rPr>
      </w:pPr>
    </w:p>
    <w:p w:rsidR="00AF7160" w:rsidRDefault="00D01094" w:rsidP="00A8481F">
      <w:pPr>
        <w:widowControl w:val="0"/>
        <w:spacing w:line="480" w:lineRule="auto"/>
        <w:ind w:left="1134" w:right="284"/>
        <w:jc w:val="both"/>
        <w:rPr>
          <w:u w:val="none"/>
          <w:lang w:val="en-GB"/>
        </w:rPr>
      </w:pPr>
      <w:r w:rsidRPr="00026FA9">
        <w:rPr>
          <w:u w:val="none"/>
          <w:lang w:val="en-GB"/>
        </w:rPr>
        <w:t>“</w:t>
      </w:r>
      <w:r w:rsidRPr="00026FA9">
        <w:rPr>
          <w:i/>
          <w:iCs/>
          <w:u w:val="none"/>
          <w:lang w:val="en-GB"/>
        </w:rPr>
        <w:t>The second defendant was not required to communicate the change between the endorsement found at “POC1” and “POC2” as the second defendant had, at all material times, advised the plaintiff that it was required to attach two self arming and tracking devices to the vehicle, at all times</w:t>
      </w:r>
      <w:r w:rsidRPr="00026FA9">
        <w:rPr>
          <w:u w:val="none"/>
          <w:lang w:val="en-GB"/>
        </w:rPr>
        <w:t>.”</w:t>
      </w:r>
    </w:p>
    <w:p w:rsidR="00AF7160" w:rsidRDefault="00AF7160" w:rsidP="00AF7160">
      <w:pPr>
        <w:widowControl w:val="0"/>
        <w:spacing w:line="480" w:lineRule="auto"/>
        <w:ind w:right="284"/>
        <w:rPr>
          <w:u w:val="none"/>
          <w:lang w:val="en-GB"/>
        </w:rPr>
      </w:pPr>
    </w:p>
    <w:p w:rsidR="00D01094" w:rsidRDefault="008D669D" w:rsidP="00AF7160">
      <w:pPr>
        <w:widowControl w:val="0"/>
        <w:spacing w:line="480" w:lineRule="auto"/>
        <w:ind w:right="284"/>
        <w:jc w:val="both"/>
        <w:rPr>
          <w:u w:val="none"/>
          <w:lang w:val="en-GB"/>
        </w:rPr>
      </w:pPr>
      <w:r>
        <w:rPr>
          <w:u w:val="none"/>
          <w:lang w:val="en-GB"/>
        </w:rPr>
        <w:t>[26</w:t>
      </w:r>
      <w:r w:rsidR="00D01094">
        <w:rPr>
          <w:u w:val="none"/>
          <w:lang w:val="en-GB"/>
        </w:rPr>
        <w:t>]</w:t>
      </w:r>
      <w:r w:rsidR="00D01094">
        <w:rPr>
          <w:u w:val="none"/>
          <w:lang w:val="en-GB"/>
        </w:rPr>
        <w:tab/>
      </w:r>
      <w:r w:rsidR="0047250C">
        <w:rPr>
          <w:u w:val="none"/>
          <w:lang w:val="en-GB"/>
        </w:rPr>
        <w:t>However</w:t>
      </w:r>
      <w:r w:rsidR="00AF7160">
        <w:rPr>
          <w:u w:val="none"/>
          <w:lang w:val="en-GB"/>
        </w:rPr>
        <w:t>,</w:t>
      </w:r>
      <w:r w:rsidR="0047250C">
        <w:rPr>
          <w:u w:val="none"/>
          <w:lang w:val="en-GB"/>
        </w:rPr>
        <w:t xml:space="preserve"> t</w:t>
      </w:r>
      <w:r w:rsidR="00D01094" w:rsidRPr="00026FA9">
        <w:rPr>
          <w:u w:val="none"/>
          <w:lang w:val="en-GB"/>
        </w:rPr>
        <w:t xml:space="preserve">he only version in </w:t>
      </w:r>
      <w:r w:rsidR="0047250C">
        <w:rPr>
          <w:u w:val="none"/>
          <w:lang w:val="en-GB"/>
        </w:rPr>
        <w:t>this regard which was put to M</w:t>
      </w:r>
      <w:r w:rsidR="00AF7160">
        <w:rPr>
          <w:u w:val="none"/>
          <w:lang w:val="en-GB"/>
        </w:rPr>
        <w:t>s</w:t>
      </w:r>
      <w:r w:rsidR="00AB38E1">
        <w:rPr>
          <w:u w:val="none"/>
          <w:lang w:val="en-GB"/>
        </w:rPr>
        <w:t>.</w:t>
      </w:r>
      <w:r w:rsidR="00AF7160">
        <w:rPr>
          <w:u w:val="none"/>
          <w:lang w:val="en-GB"/>
        </w:rPr>
        <w:t xml:space="preserve"> Esterhuizen and M</w:t>
      </w:r>
      <w:r w:rsidR="00D01094" w:rsidRPr="00026FA9">
        <w:rPr>
          <w:u w:val="none"/>
          <w:lang w:val="en-GB"/>
        </w:rPr>
        <w:t>s</w:t>
      </w:r>
      <w:r w:rsidR="00AB38E1">
        <w:rPr>
          <w:u w:val="none"/>
          <w:lang w:val="en-GB"/>
        </w:rPr>
        <w:t>.</w:t>
      </w:r>
      <w:r w:rsidR="00D01094" w:rsidRPr="00026FA9">
        <w:rPr>
          <w:u w:val="none"/>
          <w:lang w:val="en-GB"/>
        </w:rPr>
        <w:t xml:space="preserve"> Smuts was that the communication was contained in the quotation which </w:t>
      </w:r>
      <w:r w:rsidR="00AB38E1">
        <w:rPr>
          <w:u w:val="none"/>
          <w:lang w:val="en-GB"/>
        </w:rPr>
        <w:t xml:space="preserve">Mr. </w:t>
      </w:r>
      <w:r w:rsidR="00D01094" w:rsidRPr="00026FA9">
        <w:rPr>
          <w:u w:val="none"/>
          <w:lang w:val="en-GB"/>
        </w:rPr>
        <w:t xml:space="preserve">Swart initialled and signed on 5 July 2013. The December 2012 communications obviously did not address the provision in </w:t>
      </w:r>
      <w:r w:rsidR="00D01094" w:rsidRPr="00026FA9">
        <w:rPr>
          <w:u w:val="none"/>
          <w:lang w:val="en-GB"/>
        </w:rPr>
        <w:lastRenderedPageBreak/>
        <w:t>the RMB policy, as that policy was only issued some seven months later.</w:t>
      </w:r>
    </w:p>
    <w:p w:rsidR="008D669D" w:rsidRDefault="008D669D" w:rsidP="00AF7160">
      <w:pPr>
        <w:widowControl w:val="0"/>
        <w:spacing w:line="480" w:lineRule="auto"/>
        <w:ind w:right="284"/>
        <w:jc w:val="both"/>
        <w:rPr>
          <w:u w:val="none"/>
          <w:lang w:val="en-GB"/>
        </w:rPr>
      </w:pPr>
    </w:p>
    <w:p w:rsidR="008D669D" w:rsidRPr="00026FA9" w:rsidRDefault="008D669D" w:rsidP="00AF7160">
      <w:pPr>
        <w:widowControl w:val="0"/>
        <w:spacing w:line="480" w:lineRule="auto"/>
        <w:ind w:right="284"/>
        <w:jc w:val="both"/>
        <w:rPr>
          <w:u w:val="none"/>
          <w:lang w:val="en-GB"/>
        </w:rPr>
      </w:pPr>
      <w:r>
        <w:rPr>
          <w:u w:val="none"/>
          <w:lang w:val="en-GB"/>
        </w:rPr>
        <w:t>[27]</w:t>
      </w:r>
      <w:r>
        <w:rPr>
          <w:u w:val="none"/>
          <w:lang w:val="en-GB"/>
        </w:rPr>
        <w:tab/>
        <w:t>In considering the evidence and pleadings one must at all times be cognisant of the fact that the test to be applied is the one that finds application at absolution</w:t>
      </w:r>
      <w:r w:rsidR="00A4004F">
        <w:rPr>
          <w:u w:val="none"/>
          <w:lang w:val="en-GB"/>
        </w:rPr>
        <w:t xml:space="preserve"> stage</w:t>
      </w:r>
      <w:r>
        <w:rPr>
          <w:u w:val="none"/>
          <w:lang w:val="en-GB"/>
        </w:rPr>
        <w:t>.</w:t>
      </w:r>
    </w:p>
    <w:p w:rsidR="00D01094" w:rsidRPr="00026FA9" w:rsidRDefault="00D01094" w:rsidP="00D01094">
      <w:pPr>
        <w:spacing w:line="360" w:lineRule="auto"/>
        <w:rPr>
          <w:u w:val="none"/>
          <w:lang w:val="en-GB"/>
        </w:rPr>
      </w:pPr>
    </w:p>
    <w:p w:rsidR="00DE67BE" w:rsidRPr="00DE67BE" w:rsidRDefault="00DE67BE" w:rsidP="005A02FF">
      <w:pPr>
        <w:spacing w:line="480" w:lineRule="auto"/>
        <w:jc w:val="both"/>
        <w:rPr>
          <w:b/>
          <w:lang w:val="en-US"/>
        </w:rPr>
      </w:pPr>
      <w:r w:rsidRPr="00DE67BE">
        <w:rPr>
          <w:b/>
          <w:lang w:val="en-US"/>
        </w:rPr>
        <w:t xml:space="preserve">JUDGMENT OF THE COURT </w:t>
      </w:r>
      <w:r w:rsidRPr="00D37124">
        <w:rPr>
          <w:b/>
          <w:i/>
          <w:lang w:val="en-US"/>
        </w:rPr>
        <w:t>A</w:t>
      </w:r>
      <w:r w:rsidR="00D37124" w:rsidRPr="00D37124">
        <w:rPr>
          <w:b/>
          <w:i/>
          <w:lang w:val="en-US"/>
        </w:rPr>
        <w:t xml:space="preserve"> QUO</w:t>
      </w:r>
    </w:p>
    <w:p w:rsidR="00272577" w:rsidRDefault="008D669D" w:rsidP="005A02FF">
      <w:pPr>
        <w:spacing w:line="480" w:lineRule="auto"/>
        <w:jc w:val="both"/>
        <w:rPr>
          <w:u w:val="none"/>
          <w:lang w:val="en-US"/>
        </w:rPr>
      </w:pPr>
      <w:r>
        <w:rPr>
          <w:u w:val="none"/>
          <w:lang w:val="en-US"/>
        </w:rPr>
        <w:t>[28</w:t>
      </w:r>
      <w:r w:rsidR="00DE67BE">
        <w:rPr>
          <w:u w:val="none"/>
          <w:lang w:val="en-US"/>
        </w:rPr>
        <w:t>]</w:t>
      </w:r>
      <w:r w:rsidR="00DE67BE">
        <w:rPr>
          <w:u w:val="none"/>
          <w:lang w:val="en-US"/>
        </w:rPr>
        <w:tab/>
      </w:r>
      <w:r w:rsidR="00272577">
        <w:rPr>
          <w:u w:val="none"/>
          <w:lang w:val="en-US"/>
        </w:rPr>
        <w:t>T</w:t>
      </w:r>
      <w:r w:rsidR="003F2DF8">
        <w:rPr>
          <w:u w:val="none"/>
          <w:lang w:val="en-US"/>
        </w:rPr>
        <w:t>he C</w:t>
      </w:r>
      <w:r w:rsidR="00272577">
        <w:rPr>
          <w:u w:val="none"/>
          <w:lang w:val="en-US"/>
        </w:rPr>
        <w:t xml:space="preserve">ourt </w:t>
      </w:r>
      <w:r w:rsidR="00272577" w:rsidRPr="00272577">
        <w:rPr>
          <w:i/>
          <w:u w:val="none"/>
          <w:lang w:val="en-US"/>
        </w:rPr>
        <w:t>a quo</w:t>
      </w:r>
      <w:r w:rsidR="00272577">
        <w:rPr>
          <w:u w:val="none"/>
          <w:lang w:val="en-US"/>
        </w:rPr>
        <w:t xml:space="preserve"> identified the first issue to be decided as being whether the provision in the two agreement</w:t>
      </w:r>
      <w:r w:rsidR="00FD78EA">
        <w:rPr>
          <w:u w:val="none"/>
          <w:lang w:val="en-US"/>
        </w:rPr>
        <w:t>s</w:t>
      </w:r>
      <w:r w:rsidR="00272577">
        <w:rPr>
          <w:u w:val="none"/>
          <w:lang w:val="en-US"/>
        </w:rPr>
        <w:t xml:space="preserve"> constitute</w:t>
      </w:r>
      <w:r w:rsidR="00A4004F">
        <w:rPr>
          <w:u w:val="none"/>
          <w:lang w:val="en-US"/>
        </w:rPr>
        <w:t>d a material change that wa</w:t>
      </w:r>
      <w:r w:rsidR="00272577">
        <w:rPr>
          <w:u w:val="none"/>
          <w:lang w:val="en-US"/>
        </w:rPr>
        <w:t>s abnormal and required Optimum to convey the information to Dalmar. It then found that the Centriq agreement had no relevance to the RMB agreement.</w:t>
      </w:r>
      <w:r w:rsidR="00D37124">
        <w:rPr>
          <w:u w:val="none"/>
          <w:lang w:val="en-US"/>
        </w:rPr>
        <w:t xml:space="preserve"> </w:t>
      </w:r>
      <w:r w:rsidR="00AF7160">
        <w:rPr>
          <w:u w:val="none"/>
          <w:lang w:val="en-US"/>
        </w:rPr>
        <w:t>This finding seems</w:t>
      </w:r>
      <w:r w:rsidR="00272577">
        <w:rPr>
          <w:u w:val="none"/>
          <w:lang w:val="en-US"/>
        </w:rPr>
        <w:t xml:space="preserve"> to be based on a misdirection</w:t>
      </w:r>
      <w:r w:rsidR="00AF7160">
        <w:rPr>
          <w:u w:val="none"/>
          <w:lang w:val="en-US"/>
        </w:rPr>
        <w:t>,</w:t>
      </w:r>
      <w:r w:rsidR="00272577">
        <w:rPr>
          <w:u w:val="none"/>
          <w:lang w:val="en-US"/>
        </w:rPr>
        <w:t xml:space="preserve"> as it must be kept in mind that the Centriq agreement did not require the installation of two tracking devices to the insured vehicle</w:t>
      </w:r>
      <w:r>
        <w:rPr>
          <w:u w:val="none"/>
          <w:lang w:val="en-US"/>
        </w:rPr>
        <w:t>, unless it consisted of two units</w:t>
      </w:r>
      <w:r w:rsidR="00272577">
        <w:rPr>
          <w:u w:val="none"/>
          <w:lang w:val="en-US"/>
        </w:rPr>
        <w:t>. The RMB agreement however, specifically required this.</w:t>
      </w:r>
      <w:r w:rsidR="00D37124">
        <w:rPr>
          <w:u w:val="none"/>
          <w:lang w:val="en-US"/>
        </w:rPr>
        <w:t xml:space="preserve"> The crux of the dispute between the parties and before the </w:t>
      </w:r>
      <w:r w:rsidR="003D06C3">
        <w:rPr>
          <w:u w:val="none"/>
          <w:lang w:val="en-US"/>
        </w:rPr>
        <w:t>court was</w:t>
      </w:r>
      <w:r w:rsidR="00D37124">
        <w:rPr>
          <w:u w:val="none"/>
          <w:lang w:val="en-US"/>
        </w:rPr>
        <w:t xml:space="preserve"> the difference between the conditions relating to the installation of tracking devices and whether this constituted a material deviation.</w:t>
      </w:r>
    </w:p>
    <w:p w:rsidR="00272577" w:rsidRDefault="00272577" w:rsidP="005A02FF">
      <w:pPr>
        <w:spacing w:line="480" w:lineRule="auto"/>
        <w:jc w:val="both"/>
        <w:rPr>
          <w:u w:val="none"/>
          <w:lang w:val="en-US"/>
        </w:rPr>
      </w:pPr>
    </w:p>
    <w:p w:rsidR="00272577" w:rsidRDefault="008D669D" w:rsidP="005A02FF">
      <w:pPr>
        <w:spacing w:line="480" w:lineRule="auto"/>
        <w:jc w:val="both"/>
        <w:rPr>
          <w:u w:val="none"/>
          <w:lang w:val="en-US"/>
        </w:rPr>
      </w:pPr>
      <w:r>
        <w:rPr>
          <w:u w:val="none"/>
          <w:lang w:val="en-US"/>
        </w:rPr>
        <w:t>[29</w:t>
      </w:r>
      <w:r w:rsidR="00272577">
        <w:rPr>
          <w:u w:val="none"/>
          <w:lang w:val="en-US"/>
        </w:rPr>
        <w:t>]</w:t>
      </w:r>
      <w:r w:rsidR="00272577">
        <w:rPr>
          <w:u w:val="none"/>
          <w:lang w:val="en-US"/>
        </w:rPr>
        <w:tab/>
        <w:t>T</w:t>
      </w:r>
      <w:r w:rsidR="003F2DF8">
        <w:rPr>
          <w:u w:val="none"/>
          <w:lang w:val="en-US"/>
        </w:rPr>
        <w:t>he C</w:t>
      </w:r>
      <w:r w:rsidR="00272577">
        <w:rPr>
          <w:u w:val="none"/>
          <w:lang w:val="en-US"/>
        </w:rPr>
        <w:t xml:space="preserve">ourt </w:t>
      </w:r>
      <w:r w:rsidR="00272577" w:rsidRPr="00272577">
        <w:rPr>
          <w:i/>
          <w:u w:val="none"/>
          <w:lang w:val="en-US"/>
        </w:rPr>
        <w:t>a quo</w:t>
      </w:r>
      <w:r w:rsidR="00272577">
        <w:rPr>
          <w:u w:val="none"/>
          <w:lang w:val="en-US"/>
        </w:rPr>
        <w:t xml:space="preserve"> furthermore concluded that, apart from the above, that the two agreements are totally separate and independent of each other and should be interpreted separately. However, the interpretation of the RMB agreement and the Centriq agreement was not contentious, what was of importance was the difference in requirements, which </w:t>
      </w:r>
      <w:r w:rsidRPr="008D669D">
        <w:rPr>
          <w:i/>
          <w:u w:val="none"/>
          <w:lang w:val="en-US"/>
        </w:rPr>
        <w:t xml:space="preserve">prima facie </w:t>
      </w:r>
      <w:r w:rsidR="00272577">
        <w:rPr>
          <w:u w:val="none"/>
          <w:lang w:val="en-US"/>
        </w:rPr>
        <w:t>placed a duty on the in</w:t>
      </w:r>
      <w:r w:rsidR="005C7CDE">
        <w:rPr>
          <w:u w:val="none"/>
          <w:lang w:val="en-US"/>
        </w:rPr>
        <w:t>surance broker to inform Dalmar</w:t>
      </w:r>
      <w:r w:rsidR="002C1A44">
        <w:rPr>
          <w:u w:val="none"/>
          <w:lang w:val="en-US"/>
        </w:rPr>
        <w:t xml:space="preserve"> </w:t>
      </w:r>
      <w:r w:rsidR="005C7CDE">
        <w:rPr>
          <w:u w:val="none"/>
          <w:lang w:val="en-US"/>
        </w:rPr>
        <w:t>o</w:t>
      </w:r>
      <w:r w:rsidR="002C1A44">
        <w:rPr>
          <w:u w:val="none"/>
          <w:lang w:val="en-US"/>
        </w:rPr>
        <w:t>f the variation contained in the RMB agreement.</w:t>
      </w:r>
    </w:p>
    <w:p w:rsidR="00272577" w:rsidRDefault="00272577" w:rsidP="005A02FF">
      <w:pPr>
        <w:spacing w:line="480" w:lineRule="auto"/>
        <w:jc w:val="both"/>
        <w:rPr>
          <w:u w:val="none"/>
          <w:lang w:val="en-US"/>
        </w:rPr>
      </w:pPr>
    </w:p>
    <w:p w:rsidR="00272577" w:rsidRDefault="008D669D" w:rsidP="005A02FF">
      <w:pPr>
        <w:spacing w:line="480" w:lineRule="auto"/>
        <w:jc w:val="both"/>
        <w:rPr>
          <w:u w:val="none"/>
          <w:lang w:val="en-US"/>
        </w:rPr>
      </w:pPr>
      <w:r>
        <w:rPr>
          <w:u w:val="none"/>
          <w:lang w:val="en-US"/>
        </w:rPr>
        <w:t>[30</w:t>
      </w:r>
      <w:r w:rsidR="00D37124">
        <w:rPr>
          <w:u w:val="none"/>
          <w:lang w:val="en-US"/>
        </w:rPr>
        <w:t>]</w:t>
      </w:r>
      <w:r w:rsidR="00272577">
        <w:rPr>
          <w:u w:val="none"/>
          <w:lang w:val="en-US"/>
        </w:rPr>
        <w:tab/>
        <w:t>T</w:t>
      </w:r>
      <w:r w:rsidR="003F2DF8">
        <w:rPr>
          <w:u w:val="none"/>
          <w:lang w:val="en-US"/>
        </w:rPr>
        <w:t>he C</w:t>
      </w:r>
      <w:r w:rsidR="00272577">
        <w:rPr>
          <w:u w:val="none"/>
          <w:lang w:val="en-US"/>
        </w:rPr>
        <w:t xml:space="preserve">ourt </w:t>
      </w:r>
      <w:r w:rsidR="00272577" w:rsidRPr="00272577">
        <w:rPr>
          <w:i/>
          <w:u w:val="none"/>
          <w:lang w:val="en-US"/>
        </w:rPr>
        <w:t>a quo</w:t>
      </w:r>
      <w:r w:rsidR="00272577">
        <w:rPr>
          <w:u w:val="none"/>
          <w:lang w:val="en-US"/>
        </w:rPr>
        <w:t xml:space="preserve"> seemed to</w:t>
      </w:r>
      <w:r>
        <w:rPr>
          <w:u w:val="none"/>
          <w:lang w:val="en-US"/>
        </w:rPr>
        <w:t xml:space="preserve"> </w:t>
      </w:r>
      <w:r w:rsidR="00AB38E1">
        <w:rPr>
          <w:u w:val="none"/>
          <w:lang w:val="en-US"/>
        </w:rPr>
        <w:t>have concluded</w:t>
      </w:r>
      <w:r w:rsidR="00272577">
        <w:rPr>
          <w:u w:val="none"/>
          <w:lang w:val="en-US"/>
        </w:rPr>
        <w:t xml:space="preserve"> that there was no material change in the RMB policy compared to the Centriq policy, but this conclusion is</w:t>
      </w:r>
      <w:r w:rsidR="00AF7160">
        <w:rPr>
          <w:u w:val="none"/>
          <w:lang w:val="en-US"/>
        </w:rPr>
        <w:t xml:space="preserve"> incorrect</w:t>
      </w:r>
      <w:r w:rsidR="00272577">
        <w:rPr>
          <w:u w:val="none"/>
          <w:lang w:val="en-US"/>
        </w:rPr>
        <w:t xml:space="preserve"> as the Centriq policy</w:t>
      </w:r>
      <w:r>
        <w:rPr>
          <w:u w:val="none"/>
          <w:lang w:val="en-US"/>
        </w:rPr>
        <w:t>, in terms of the evidence led</w:t>
      </w:r>
      <w:r w:rsidR="00AB38E1">
        <w:rPr>
          <w:u w:val="none"/>
          <w:lang w:val="en-US"/>
        </w:rPr>
        <w:t>, only</w:t>
      </w:r>
      <w:r w:rsidR="00272577">
        <w:rPr>
          <w:u w:val="none"/>
          <w:lang w:val="en-US"/>
        </w:rPr>
        <w:t xml:space="preserve"> required one anti-theft device to be installed, wherea</w:t>
      </w:r>
      <w:r w:rsidR="00603526">
        <w:rPr>
          <w:u w:val="none"/>
          <w:lang w:val="en-US"/>
        </w:rPr>
        <w:t xml:space="preserve">s the RMB policy required two. </w:t>
      </w:r>
    </w:p>
    <w:p w:rsidR="008D669D" w:rsidRDefault="008D669D" w:rsidP="005A02FF">
      <w:pPr>
        <w:spacing w:line="480" w:lineRule="auto"/>
        <w:jc w:val="both"/>
        <w:rPr>
          <w:u w:val="none"/>
          <w:lang w:val="en-US"/>
        </w:rPr>
      </w:pPr>
    </w:p>
    <w:p w:rsidR="008D669D" w:rsidRPr="0098279D" w:rsidRDefault="008D669D" w:rsidP="008D669D">
      <w:pPr>
        <w:widowControl w:val="0"/>
        <w:spacing w:line="480" w:lineRule="auto"/>
        <w:jc w:val="both"/>
        <w:rPr>
          <w:color w:val="000000"/>
          <w:w w:val="105"/>
          <w:u w:val="none"/>
          <w:lang w:val="en-GB"/>
        </w:rPr>
      </w:pPr>
      <w:r>
        <w:rPr>
          <w:u w:val="none"/>
          <w:lang w:val="en-US"/>
        </w:rPr>
        <w:t>[31]</w:t>
      </w:r>
      <w:r>
        <w:rPr>
          <w:u w:val="none"/>
          <w:lang w:val="en-US"/>
        </w:rPr>
        <w:tab/>
      </w:r>
      <w:r w:rsidRPr="0098279D">
        <w:rPr>
          <w:color w:val="000000"/>
          <w:w w:val="105"/>
          <w:u w:val="none"/>
          <w:lang w:val="en-GB"/>
        </w:rPr>
        <w:t xml:space="preserve">The Court </w:t>
      </w:r>
      <w:r w:rsidRPr="0098279D">
        <w:rPr>
          <w:i/>
          <w:color w:val="000000"/>
          <w:w w:val="105"/>
          <w:u w:val="none"/>
          <w:lang w:val="en-GB"/>
        </w:rPr>
        <w:t>a quo</w:t>
      </w:r>
      <w:r w:rsidRPr="0098279D">
        <w:rPr>
          <w:color w:val="000000"/>
          <w:w w:val="105"/>
          <w:u w:val="none"/>
          <w:lang w:val="en-GB"/>
        </w:rPr>
        <w:t xml:space="preserve"> </w:t>
      </w:r>
      <w:r>
        <w:rPr>
          <w:color w:val="000000"/>
          <w:w w:val="105"/>
          <w:u w:val="none"/>
          <w:lang w:val="en-GB"/>
        </w:rPr>
        <w:t xml:space="preserve">made </w:t>
      </w:r>
      <w:r w:rsidRPr="0098279D">
        <w:rPr>
          <w:color w:val="000000"/>
          <w:w w:val="105"/>
          <w:u w:val="none"/>
          <w:lang w:val="en-GB"/>
        </w:rPr>
        <w:t>the following findings:</w:t>
      </w:r>
    </w:p>
    <w:p w:rsidR="008D669D" w:rsidRPr="0098279D" w:rsidRDefault="008D669D" w:rsidP="008D669D">
      <w:pPr>
        <w:widowControl w:val="0"/>
        <w:rPr>
          <w:color w:val="000000"/>
          <w:w w:val="105"/>
          <w:u w:val="none"/>
          <w:lang w:val="en-GB"/>
        </w:rPr>
      </w:pPr>
    </w:p>
    <w:p w:rsidR="008D669D" w:rsidRPr="0098279D" w:rsidRDefault="008D669D" w:rsidP="00A8481F">
      <w:pPr>
        <w:widowControl w:val="0"/>
        <w:spacing w:line="480" w:lineRule="auto"/>
        <w:ind w:left="1134" w:right="284"/>
        <w:jc w:val="both"/>
        <w:rPr>
          <w:i/>
          <w:color w:val="000000"/>
          <w:w w:val="105"/>
          <w:u w:val="none"/>
          <w:lang w:val="en-GB"/>
        </w:rPr>
      </w:pPr>
      <w:r w:rsidRPr="0098279D">
        <w:rPr>
          <w:color w:val="000000"/>
          <w:w w:val="105"/>
          <w:u w:val="none"/>
          <w:lang w:val="en-GB"/>
        </w:rPr>
        <w:t>“</w:t>
      </w:r>
      <w:r w:rsidRPr="0098279D">
        <w:rPr>
          <w:i/>
          <w:color w:val="000000"/>
          <w:w w:val="105"/>
          <w:u w:val="none"/>
          <w:lang w:val="en-GB"/>
        </w:rPr>
        <w:t>In my view there cannot be any dispute that the information contained under the heading referred to above was brought to the plaintiff’s attention, as can be inferred from the plaintiff’s director’s initial on this page and his subsequent signature at the end of this document.</w:t>
      </w:r>
      <w:r w:rsidR="00A8481F">
        <w:rPr>
          <w:i/>
          <w:color w:val="000000"/>
          <w:w w:val="105"/>
          <w:u w:val="none"/>
          <w:lang w:val="en-GB"/>
        </w:rPr>
        <w:t>”</w:t>
      </w:r>
    </w:p>
    <w:p w:rsidR="008D669D" w:rsidRPr="0098279D" w:rsidRDefault="008D669D" w:rsidP="008D669D">
      <w:pPr>
        <w:widowControl w:val="0"/>
        <w:spacing w:line="480" w:lineRule="auto"/>
        <w:ind w:left="1134" w:right="284"/>
        <w:rPr>
          <w:i/>
          <w:color w:val="000000"/>
          <w:w w:val="105"/>
          <w:u w:val="none"/>
          <w:lang w:val="en-GB"/>
        </w:rPr>
      </w:pPr>
    </w:p>
    <w:p w:rsidR="008D669D" w:rsidRPr="0098279D" w:rsidRDefault="008D669D" w:rsidP="008D669D">
      <w:pPr>
        <w:widowControl w:val="0"/>
        <w:spacing w:line="480" w:lineRule="auto"/>
        <w:ind w:left="1134" w:right="284"/>
        <w:rPr>
          <w:color w:val="000000"/>
          <w:w w:val="105"/>
          <w:u w:val="none"/>
          <w:lang w:val="en-GB"/>
        </w:rPr>
      </w:pPr>
      <w:r w:rsidRPr="0098279D">
        <w:rPr>
          <w:i/>
          <w:color w:val="000000"/>
          <w:w w:val="105"/>
          <w:u w:val="none"/>
          <w:lang w:val="en-GB"/>
        </w:rPr>
        <w:t>The plaintiff’s director, who signed this document, failed to testify. It must therefore be inferred that he was fully aware of the requirement and condition that two safety devices be installed, and he accepted those conditions on behalf of the plaintiff</w:t>
      </w:r>
      <w:r w:rsidRPr="0098279D">
        <w:rPr>
          <w:color w:val="000000"/>
          <w:w w:val="105"/>
          <w:u w:val="none"/>
          <w:lang w:val="en-GB"/>
        </w:rPr>
        <w:t>.”</w:t>
      </w:r>
    </w:p>
    <w:p w:rsidR="008D669D" w:rsidRDefault="008D669D" w:rsidP="005A02FF">
      <w:pPr>
        <w:spacing w:line="480" w:lineRule="auto"/>
        <w:jc w:val="both"/>
        <w:rPr>
          <w:u w:val="none"/>
          <w:lang w:val="en-US"/>
        </w:rPr>
      </w:pPr>
    </w:p>
    <w:p w:rsidR="00AF7160" w:rsidRDefault="00AF7160" w:rsidP="005A02FF">
      <w:pPr>
        <w:spacing w:line="480" w:lineRule="auto"/>
        <w:jc w:val="both"/>
        <w:rPr>
          <w:u w:val="none"/>
          <w:lang w:val="en-US"/>
        </w:rPr>
      </w:pPr>
    </w:p>
    <w:p w:rsidR="003F2DF8" w:rsidRDefault="00187D7E" w:rsidP="00187D7E">
      <w:pPr>
        <w:spacing w:line="480" w:lineRule="auto"/>
        <w:jc w:val="both"/>
        <w:rPr>
          <w:u w:val="none"/>
          <w:lang w:val="en-US"/>
        </w:rPr>
      </w:pPr>
      <w:r>
        <w:rPr>
          <w:u w:val="none"/>
          <w:lang w:val="en-US"/>
        </w:rPr>
        <w:t>[32</w:t>
      </w:r>
      <w:r w:rsidR="00272577">
        <w:rPr>
          <w:u w:val="none"/>
          <w:lang w:val="en-US"/>
        </w:rPr>
        <w:t>]</w:t>
      </w:r>
      <w:r w:rsidR="00272577">
        <w:rPr>
          <w:u w:val="none"/>
          <w:lang w:val="en-US"/>
        </w:rPr>
        <w:tab/>
        <w:t>T</w:t>
      </w:r>
      <w:r w:rsidR="003F2DF8">
        <w:rPr>
          <w:u w:val="none"/>
          <w:lang w:val="en-US"/>
        </w:rPr>
        <w:t>he C</w:t>
      </w:r>
      <w:r w:rsidR="00272577">
        <w:rPr>
          <w:u w:val="none"/>
          <w:lang w:val="en-US"/>
        </w:rPr>
        <w:t xml:space="preserve">ourt </w:t>
      </w:r>
      <w:r w:rsidR="00272577" w:rsidRPr="00272577">
        <w:rPr>
          <w:i/>
          <w:u w:val="none"/>
          <w:lang w:val="en-US"/>
        </w:rPr>
        <w:t>a quo</w:t>
      </w:r>
      <w:r w:rsidR="00FD78EA">
        <w:rPr>
          <w:u w:val="none"/>
          <w:lang w:val="en-US"/>
        </w:rPr>
        <w:t xml:space="preserve"> placed great emphasis o</w:t>
      </w:r>
      <w:r w:rsidR="00272577">
        <w:rPr>
          <w:u w:val="none"/>
          <w:lang w:val="en-US"/>
        </w:rPr>
        <w:t xml:space="preserve">n the fact that the </w:t>
      </w:r>
      <w:r w:rsidR="003F2DF8">
        <w:rPr>
          <w:u w:val="none"/>
          <w:lang w:val="en-US"/>
        </w:rPr>
        <w:t>representative</w:t>
      </w:r>
      <w:r w:rsidR="00272577">
        <w:rPr>
          <w:u w:val="none"/>
          <w:lang w:val="en-US"/>
        </w:rPr>
        <w:t xml:space="preserve"> of Dalmar signed the terms and condition</w:t>
      </w:r>
      <w:r w:rsidR="002C1A44">
        <w:rPr>
          <w:u w:val="none"/>
          <w:lang w:val="en-US"/>
        </w:rPr>
        <w:t>s</w:t>
      </w:r>
      <w:r w:rsidR="00272577">
        <w:rPr>
          <w:u w:val="none"/>
          <w:lang w:val="en-US"/>
        </w:rPr>
        <w:t xml:space="preserve"> of the RMB agreement. </w:t>
      </w:r>
    </w:p>
    <w:p w:rsidR="00990C71" w:rsidRDefault="00187D7E" w:rsidP="00990C71">
      <w:pPr>
        <w:widowControl w:val="0"/>
        <w:spacing w:line="480" w:lineRule="auto"/>
        <w:jc w:val="both"/>
        <w:rPr>
          <w:u w:val="none"/>
          <w:lang w:val="en-GB"/>
        </w:rPr>
      </w:pPr>
      <w:r>
        <w:rPr>
          <w:u w:val="none"/>
          <w:lang w:val="en-US"/>
        </w:rPr>
        <w:t>[33</w:t>
      </w:r>
      <w:r w:rsidR="00990C71">
        <w:rPr>
          <w:u w:val="none"/>
          <w:lang w:val="en-US"/>
        </w:rPr>
        <w:t>]</w:t>
      </w:r>
      <w:r w:rsidR="00990C71">
        <w:rPr>
          <w:u w:val="none"/>
          <w:lang w:val="en-US"/>
        </w:rPr>
        <w:tab/>
      </w:r>
      <w:r w:rsidR="00990C71" w:rsidRPr="00026FA9">
        <w:rPr>
          <w:u w:val="none"/>
          <w:lang w:val="en-GB"/>
        </w:rPr>
        <w:t xml:space="preserve">With reference to </w:t>
      </w:r>
      <w:r w:rsidR="00990C71">
        <w:rPr>
          <w:u w:val="none"/>
          <w:lang w:val="en-GB"/>
        </w:rPr>
        <w:t>Mr</w:t>
      </w:r>
      <w:r w:rsidR="00AB38E1">
        <w:rPr>
          <w:u w:val="none"/>
          <w:lang w:val="en-GB"/>
        </w:rPr>
        <w:t>.</w:t>
      </w:r>
      <w:r w:rsidR="00990C71">
        <w:rPr>
          <w:u w:val="none"/>
          <w:lang w:val="en-GB"/>
        </w:rPr>
        <w:t xml:space="preserve"> </w:t>
      </w:r>
      <w:r w:rsidR="00990C71" w:rsidRPr="00026FA9">
        <w:rPr>
          <w:u w:val="none"/>
          <w:lang w:val="en-GB"/>
        </w:rPr>
        <w:t>Swart’s signature of the quotation</w:t>
      </w:r>
      <w:r w:rsidR="00AF7160">
        <w:rPr>
          <w:u w:val="none"/>
          <w:lang w:val="en-GB"/>
        </w:rPr>
        <w:t>,</w:t>
      </w:r>
      <w:r w:rsidR="00990C71" w:rsidRPr="00026FA9">
        <w:rPr>
          <w:u w:val="none"/>
          <w:lang w:val="en-GB"/>
        </w:rPr>
        <w:t xml:space="preserve"> it was submitted on behalf of </w:t>
      </w:r>
      <w:r w:rsidR="00990C71">
        <w:rPr>
          <w:u w:val="none"/>
          <w:lang w:val="en-GB"/>
        </w:rPr>
        <w:t>Optimum</w:t>
      </w:r>
      <w:r w:rsidR="00990C71" w:rsidRPr="00026FA9">
        <w:rPr>
          <w:u w:val="none"/>
          <w:lang w:val="en-GB"/>
        </w:rPr>
        <w:t xml:space="preserve"> that it was not merely a financial quote, </w:t>
      </w:r>
      <w:r w:rsidR="00925F6B">
        <w:rPr>
          <w:u w:val="none"/>
          <w:lang w:val="en-GB"/>
        </w:rPr>
        <w:t>it was argued</w:t>
      </w:r>
      <w:r w:rsidR="00990C71">
        <w:rPr>
          <w:u w:val="none"/>
          <w:lang w:val="en-GB"/>
        </w:rPr>
        <w:t xml:space="preserve"> </w:t>
      </w:r>
      <w:r w:rsidR="00990C71" w:rsidRPr="00026FA9">
        <w:rPr>
          <w:u w:val="none"/>
          <w:lang w:val="en-GB"/>
        </w:rPr>
        <w:lastRenderedPageBreak/>
        <w:t>that it contained a warranty that “</w:t>
      </w:r>
      <w:r w:rsidR="00990C71" w:rsidRPr="00026FA9">
        <w:rPr>
          <w:i/>
          <w:iCs/>
          <w:u w:val="none"/>
          <w:lang w:val="en-GB"/>
        </w:rPr>
        <w:t>the insured warrants that the above vehicle is fitted with two CIB approved self arming tracking and recovery devices</w:t>
      </w:r>
      <w:r w:rsidR="00990C71" w:rsidRPr="00026FA9">
        <w:rPr>
          <w:u w:val="none"/>
          <w:lang w:val="en-GB"/>
        </w:rPr>
        <w:t xml:space="preserve">”. </w:t>
      </w:r>
      <w:r>
        <w:rPr>
          <w:u w:val="none"/>
          <w:lang w:val="en-GB"/>
        </w:rPr>
        <w:t xml:space="preserve">Dalmar argued that there </w:t>
      </w:r>
      <w:r w:rsidR="00990C71" w:rsidRPr="00026FA9">
        <w:rPr>
          <w:u w:val="none"/>
          <w:lang w:val="en-GB"/>
        </w:rPr>
        <w:t>is</w:t>
      </w:r>
      <w:r w:rsidR="00990C71">
        <w:rPr>
          <w:u w:val="none"/>
          <w:lang w:val="en-GB"/>
        </w:rPr>
        <w:t xml:space="preserve"> however </w:t>
      </w:r>
      <w:r w:rsidR="00990C71" w:rsidRPr="00026FA9">
        <w:rPr>
          <w:u w:val="none"/>
          <w:lang w:val="en-GB"/>
        </w:rPr>
        <w:t xml:space="preserve">no such warranty in the document which </w:t>
      </w:r>
      <w:r w:rsidR="00990C71">
        <w:rPr>
          <w:u w:val="none"/>
          <w:lang w:val="en-GB"/>
        </w:rPr>
        <w:t>Mr</w:t>
      </w:r>
      <w:r w:rsidR="00AB38E1">
        <w:rPr>
          <w:u w:val="none"/>
          <w:lang w:val="en-GB"/>
        </w:rPr>
        <w:t>.</w:t>
      </w:r>
      <w:r w:rsidR="00990C71">
        <w:rPr>
          <w:u w:val="none"/>
          <w:lang w:val="en-GB"/>
        </w:rPr>
        <w:t xml:space="preserve"> </w:t>
      </w:r>
      <w:r w:rsidR="00990C71" w:rsidRPr="00026FA9">
        <w:rPr>
          <w:u w:val="none"/>
          <w:lang w:val="en-GB"/>
        </w:rPr>
        <w:t>Swart si</w:t>
      </w:r>
      <w:r w:rsidR="00990C71">
        <w:rPr>
          <w:u w:val="none"/>
          <w:lang w:val="en-GB"/>
        </w:rPr>
        <w:t>g</w:t>
      </w:r>
      <w:r w:rsidR="00A4004F">
        <w:rPr>
          <w:u w:val="none"/>
          <w:lang w:val="en-GB"/>
        </w:rPr>
        <w:t>ned. The warranty referred to is</w:t>
      </w:r>
      <w:r w:rsidR="00990C71" w:rsidRPr="00026FA9">
        <w:rPr>
          <w:u w:val="none"/>
          <w:lang w:val="en-GB"/>
        </w:rPr>
        <w:t xml:space="preserve"> in the RMB policy document</w:t>
      </w:r>
      <w:r w:rsidR="00990C71">
        <w:rPr>
          <w:u w:val="none"/>
          <w:lang w:val="en-GB"/>
        </w:rPr>
        <w:t>,</w:t>
      </w:r>
      <w:r w:rsidR="00990C71" w:rsidRPr="00026FA9">
        <w:rPr>
          <w:u w:val="none"/>
          <w:lang w:val="en-GB"/>
        </w:rPr>
        <w:t xml:space="preserve"> which was not in existence on 5 July 2013, </w:t>
      </w:r>
      <w:r w:rsidR="00A4004F">
        <w:rPr>
          <w:u w:val="none"/>
          <w:lang w:val="en-GB"/>
        </w:rPr>
        <w:t xml:space="preserve">which </w:t>
      </w:r>
      <w:r w:rsidR="00990C71" w:rsidRPr="00026FA9">
        <w:rPr>
          <w:u w:val="none"/>
          <w:lang w:val="en-GB"/>
        </w:rPr>
        <w:t xml:space="preserve">was not attached to the quotation, and was only issued after the quotation had been accepted by </w:t>
      </w:r>
      <w:r w:rsidR="00990C71">
        <w:rPr>
          <w:u w:val="none"/>
          <w:lang w:val="en-GB"/>
        </w:rPr>
        <w:t>Mr</w:t>
      </w:r>
      <w:r>
        <w:rPr>
          <w:u w:val="none"/>
          <w:lang w:val="en-GB"/>
        </w:rPr>
        <w:t xml:space="preserve">. </w:t>
      </w:r>
      <w:r w:rsidR="00990C71" w:rsidRPr="00026FA9">
        <w:rPr>
          <w:u w:val="none"/>
          <w:lang w:val="en-GB"/>
        </w:rPr>
        <w:t xml:space="preserve">Swart. </w:t>
      </w:r>
      <w:r>
        <w:rPr>
          <w:u w:val="none"/>
          <w:lang w:val="en-GB"/>
        </w:rPr>
        <w:t>Despite the contradictory arguments one needs again to apply the principles applicable to the granting of absolution of instance.</w:t>
      </w:r>
    </w:p>
    <w:p w:rsidR="00187D7E" w:rsidRDefault="00187D7E" w:rsidP="00990C71">
      <w:pPr>
        <w:widowControl w:val="0"/>
        <w:spacing w:line="480" w:lineRule="auto"/>
        <w:jc w:val="both"/>
        <w:rPr>
          <w:u w:val="none"/>
          <w:lang w:val="en-GB"/>
        </w:rPr>
      </w:pPr>
    </w:p>
    <w:p w:rsidR="00187D7E" w:rsidRDefault="00187D7E" w:rsidP="00187D7E">
      <w:pPr>
        <w:spacing w:line="480" w:lineRule="auto"/>
        <w:jc w:val="both"/>
        <w:rPr>
          <w:u w:val="none"/>
          <w:lang w:val="en-US"/>
        </w:rPr>
      </w:pPr>
      <w:r>
        <w:rPr>
          <w:u w:val="none"/>
          <w:lang w:val="en-US"/>
        </w:rPr>
        <w:t>[34]</w:t>
      </w:r>
      <w:r>
        <w:rPr>
          <w:u w:val="none"/>
          <w:lang w:val="en-US"/>
        </w:rPr>
        <w:tab/>
        <w:t xml:space="preserve">Importantly, the wording </w:t>
      </w:r>
      <w:r w:rsidR="00A4004F">
        <w:rPr>
          <w:u w:val="none"/>
          <w:lang w:val="en-US"/>
        </w:rPr>
        <w:t xml:space="preserve">of the quotation </w:t>
      </w:r>
      <w:r>
        <w:rPr>
          <w:u w:val="none"/>
          <w:lang w:val="en-US"/>
        </w:rPr>
        <w:t xml:space="preserve">does not state that all new requirements have been explained, it merely states that all covers were accepted, discussed and explained. Taking into consideration the requirements at absolution stage, the Court </w:t>
      </w:r>
      <w:r w:rsidRPr="00D37124">
        <w:rPr>
          <w:i/>
          <w:u w:val="none"/>
          <w:lang w:val="en-US"/>
        </w:rPr>
        <w:t>a quo</w:t>
      </w:r>
      <w:r>
        <w:rPr>
          <w:u w:val="none"/>
          <w:lang w:val="en-US"/>
        </w:rPr>
        <w:t xml:space="preserve"> was not in a position to find that these words exclude the possibility that the relevant requirement was not explained.</w:t>
      </w:r>
    </w:p>
    <w:p w:rsidR="00A4004F" w:rsidRDefault="00A4004F" w:rsidP="00187D7E">
      <w:pPr>
        <w:spacing w:line="480" w:lineRule="auto"/>
        <w:jc w:val="both"/>
        <w:rPr>
          <w:u w:val="none"/>
          <w:lang w:val="en-US"/>
        </w:rPr>
      </w:pPr>
    </w:p>
    <w:p w:rsidR="00A4004F" w:rsidRDefault="00A4004F" w:rsidP="00A4004F">
      <w:pPr>
        <w:spacing w:line="480" w:lineRule="auto"/>
        <w:jc w:val="both"/>
        <w:rPr>
          <w:u w:val="none"/>
          <w:lang w:val="en-US"/>
        </w:rPr>
      </w:pPr>
      <w:r>
        <w:rPr>
          <w:u w:val="none"/>
          <w:lang w:val="en-US"/>
        </w:rPr>
        <w:t>[35]</w:t>
      </w:r>
      <w:r>
        <w:rPr>
          <w:u w:val="none"/>
          <w:lang w:val="en-US"/>
        </w:rPr>
        <w:tab/>
        <w:t xml:space="preserve">The Court </w:t>
      </w:r>
      <w:r w:rsidRPr="00AF7160">
        <w:rPr>
          <w:i/>
          <w:u w:val="none"/>
          <w:lang w:val="en-US"/>
        </w:rPr>
        <w:t>a quo’s</w:t>
      </w:r>
      <w:r>
        <w:rPr>
          <w:i/>
          <w:u w:val="none"/>
          <w:lang w:val="en-US"/>
        </w:rPr>
        <w:t xml:space="preserve"> </w:t>
      </w:r>
      <w:r>
        <w:rPr>
          <w:u w:val="none"/>
          <w:lang w:val="en-US"/>
        </w:rPr>
        <w:t>finding implies that the insured, who signed the insurance agreement, fully appreciated the totality of the contents of the insurance agreement. However, one must consider that despite the fact that the insured is legally bound by the terms of the insurance agreement, this case is not about that agreement, but deals with the duty of the insurance broker towards his client, namely to communicate material changes to his client, if that duty is not recognizes there would be no point in appointing an insurance broker.</w:t>
      </w:r>
    </w:p>
    <w:p w:rsidR="00A4004F" w:rsidRDefault="00A4004F" w:rsidP="00187D7E">
      <w:pPr>
        <w:spacing w:line="480" w:lineRule="auto"/>
        <w:jc w:val="both"/>
        <w:rPr>
          <w:u w:val="none"/>
          <w:lang w:val="en-US"/>
        </w:rPr>
      </w:pPr>
    </w:p>
    <w:p w:rsidR="00AF7160" w:rsidRPr="0098279D" w:rsidRDefault="00A4004F" w:rsidP="00AF7160">
      <w:pPr>
        <w:widowControl w:val="0"/>
        <w:spacing w:line="480" w:lineRule="auto"/>
        <w:jc w:val="both"/>
        <w:rPr>
          <w:color w:val="000000"/>
          <w:w w:val="105"/>
          <w:u w:val="none"/>
          <w:lang w:val="en-GB"/>
        </w:rPr>
      </w:pPr>
      <w:r>
        <w:rPr>
          <w:u w:val="none"/>
          <w:lang w:val="en-US"/>
        </w:rPr>
        <w:lastRenderedPageBreak/>
        <w:t>[36</w:t>
      </w:r>
      <w:r w:rsidR="00AF7160">
        <w:rPr>
          <w:u w:val="none"/>
          <w:lang w:val="en-US"/>
        </w:rPr>
        <w:t>]</w:t>
      </w:r>
      <w:r w:rsidR="00AF7160">
        <w:rPr>
          <w:u w:val="none"/>
          <w:lang w:val="en-US"/>
        </w:rPr>
        <w:tab/>
      </w:r>
      <w:r w:rsidR="00AF7160" w:rsidRPr="0098279D">
        <w:rPr>
          <w:color w:val="000000"/>
          <w:w w:val="105"/>
          <w:u w:val="none"/>
          <w:lang w:val="en-GB"/>
        </w:rPr>
        <w:t xml:space="preserve">The Court </w:t>
      </w:r>
      <w:r w:rsidR="00AF7160" w:rsidRPr="0098279D">
        <w:rPr>
          <w:i/>
          <w:color w:val="000000"/>
          <w:w w:val="105"/>
          <w:u w:val="none"/>
          <w:lang w:val="en-GB"/>
        </w:rPr>
        <w:t>a quo</w:t>
      </w:r>
      <w:r w:rsidR="00AF7160" w:rsidRPr="0098279D">
        <w:rPr>
          <w:color w:val="000000"/>
          <w:w w:val="105"/>
          <w:u w:val="none"/>
          <w:lang w:val="en-GB"/>
        </w:rPr>
        <w:t xml:space="preserve"> </w:t>
      </w:r>
      <w:r w:rsidR="00AF7160">
        <w:rPr>
          <w:color w:val="000000"/>
          <w:w w:val="105"/>
          <w:u w:val="none"/>
          <w:lang w:val="en-GB"/>
        </w:rPr>
        <w:t>furthermore made the following finding</w:t>
      </w:r>
      <w:r w:rsidR="00AF7160" w:rsidRPr="0098279D">
        <w:rPr>
          <w:color w:val="000000"/>
          <w:w w:val="105"/>
          <w:u w:val="none"/>
          <w:lang w:val="en-GB"/>
        </w:rPr>
        <w:t>:</w:t>
      </w:r>
    </w:p>
    <w:p w:rsidR="00AF7160" w:rsidRPr="0098279D" w:rsidRDefault="00AF7160" w:rsidP="00AF7160">
      <w:pPr>
        <w:widowControl w:val="0"/>
        <w:rPr>
          <w:color w:val="000000"/>
          <w:w w:val="105"/>
          <w:u w:val="none"/>
          <w:lang w:val="en-GB"/>
        </w:rPr>
      </w:pPr>
    </w:p>
    <w:p w:rsidR="00AF7160" w:rsidRPr="0098279D" w:rsidRDefault="00AF7160" w:rsidP="00A8481F">
      <w:pPr>
        <w:widowControl w:val="0"/>
        <w:spacing w:line="480" w:lineRule="auto"/>
        <w:ind w:left="1134" w:right="284"/>
        <w:jc w:val="both"/>
        <w:rPr>
          <w:i/>
          <w:color w:val="000000"/>
          <w:w w:val="105"/>
          <w:u w:val="none"/>
          <w:lang w:val="en-GB"/>
        </w:rPr>
      </w:pPr>
      <w:r w:rsidRPr="0098279D">
        <w:rPr>
          <w:color w:val="000000"/>
          <w:w w:val="105"/>
          <w:u w:val="none"/>
          <w:lang w:val="en-GB"/>
        </w:rPr>
        <w:t>“</w:t>
      </w:r>
      <w:r w:rsidRPr="0098279D">
        <w:rPr>
          <w:i/>
          <w:color w:val="000000"/>
          <w:w w:val="105"/>
          <w:u w:val="none"/>
          <w:lang w:val="en-GB"/>
        </w:rPr>
        <w:t>On a proper interpretation of the relevant policy agreement it is quite clear that two tracking devices were required and that the plaintiff was fully aware of that condition when the quotation was accepted. There was no misunderstanding, and the only conclusion that can be drawn is that a binding agreement was concluded. In the absence of the evidence of Mr Swart there is nothing to be said against the conclusion that there was a proper meeting of minds.</w:t>
      </w:r>
    </w:p>
    <w:p w:rsidR="00AF7160" w:rsidRPr="0098279D" w:rsidRDefault="00AF7160" w:rsidP="00A8481F">
      <w:pPr>
        <w:widowControl w:val="0"/>
        <w:spacing w:line="480" w:lineRule="auto"/>
        <w:ind w:left="1134" w:right="284"/>
        <w:jc w:val="both"/>
        <w:rPr>
          <w:i/>
          <w:color w:val="000000"/>
          <w:w w:val="105"/>
          <w:u w:val="none"/>
          <w:lang w:val="en-GB"/>
        </w:rPr>
      </w:pPr>
    </w:p>
    <w:p w:rsidR="00AF7160" w:rsidRDefault="00AF7160" w:rsidP="00A8481F">
      <w:pPr>
        <w:widowControl w:val="0"/>
        <w:spacing w:line="480" w:lineRule="auto"/>
        <w:ind w:left="1134" w:right="284"/>
        <w:jc w:val="both"/>
        <w:rPr>
          <w:i/>
          <w:color w:val="000000"/>
          <w:w w:val="105"/>
          <w:u w:val="none"/>
          <w:lang w:val="en-GB"/>
        </w:rPr>
      </w:pPr>
      <w:r w:rsidRPr="0098279D">
        <w:rPr>
          <w:i/>
          <w:color w:val="000000"/>
          <w:w w:val="105"/>
          <w:u w:val="none"/>
          <w:lang w:val="en-GB"/>
        </w:rPr>
        <w:t>The first agreement with Centriq and the inquiry about the meaning of the two devices being required can in my view not be used to interpret the terms and conditions of the RMB agreement. It does not form part of the plaintiff’s claim at all and must be regarded as res inter alius acta (sic). Plaintiff therefore failed to prove a misrepresentation or a failure to properly investigate on the part of the second defendant as the cause of action.</w:t>
      </w:r>
      <w:r w:rsidR="00A8481F">
        <w:rPr>
          <w:i/>
          <w:color w:val="000000"/>
          <w:w w:val="105"/>
          <w:u w:val="none"/>
          <w:lang w:val="en-GB"/>
        </w:rPr>
        <w:t>”</w:t>
      </w:r>
    </w:p>
    <w:p w:rsidR="00D37124" w:rsidRDefault="00D37124" w:rsidP="00D37124">
      <w:pPr>
        <w:spacing w:line="480" w:lineRule="auto"/>
        <w:jc w:val="both"/>
        <w:rPr>
          <w:u w:val="none"/>
          <w:lang w:val="en-US"/>
        </w:rPr>
      </w:pPr>
    </w:p>
    <w:p w:rsidR="002C1A44" w:rsidRDefault="00A4004F" w:rsidP="002C1A44">
      <w:pPr>
        <w:spacing w:line="480" w:lineRule="auto"/>
        <w:jc w:val="both"/>
        <w:rPr>
          <w:u w:val="none"/>
          <w:lang w:val="en-GB"/>
        </w:rPr>
      </w:pPr>
      <w:r>
        <w:rPr>
          <w:color w:val="000000"/>
          <w:w w:val="105"/>
          <w:u w:val="none"/>
          <w:lang w:val="en-GB"/>
        </w:rPr>
        <w:t>[37</w:t>
      </w:r>
      <w:r w:rsidR="002C1A44">
        <w:rPr>
          <w:color w:val="000000"/>
          <w:w w:val="105"/>
          <w:u w:val="none"/>
          <w:lang w:val="en-GB"/>
        </w:rPr>
        <w:t>]</w:t>
      </w:r>
      <w:r w:rsidR="002C1A44">
        <w:rPr>
          <w:color w:val="000000"/>
          <w:w w:val="105"/>
          <w:u w:val="none"/>
          <w:lang w:val="en-GB"/>
        </w:rPr>
        <w:tab/>
        <w:t>As far as the failure to call Mr</w:t>
      </w:r>
      <w:r w:rsidR="00187D7E">
        <w:rPr>
          <w:color w:val="000000"/>
          <w:w w:val="105"/>
          <w:u w:val="none"/>
          <w:lang w:val="en-GB"/>
        </w:rPr>
        <w:t>.</w:t>
      </w:r>
      <w:r w:rsidR="002C1A44">
        <w:rPr>
          <w:color w:val="000000"/>
          <w:w w:val="105"/>
          <w:u w:val="none"/>
          <w:lang w:val="en-GB"/>
        </w:rPr>
        <w:t xml:space="preserve"> Swart to testify is concerned, t</w:t>
      </w:r>
      <w:r w:rsidR="002C1A44" w:rsidRPr="00026FA9">
        <w:rPr>
          <w:u w:val="none"/>
          <w:lang w:val="en-GB"/>
        </w:rPr>
        <w:t>he</w:t>
      </w:r>
      <w:r w:rsidR="00990C71">
        <w:rPr>
          <w:u w:val="none"/>
          <w:lang w:val="en-GB"/>
        </w:rPr>
        <w:t xml:space="preserve"> record indicates that Optimum</w:t>
      </w:r>
      <w:r w:rsidR="002C1A44" w:rsidRPr="00026FA9">
        <w:rPr>
          <w:u w:val="none"/>
          <w:lang w:val="en-GB"/>
        </w:rPr>
        <w:t xml:space="preserve"> was aware that </w:t>
      </w:r>
      <w:r w:rsidR="00990C71">
        <w:rPr>
          <w:u w:val="none"/>
          <w:lang w:val="en-GB"/>
        </w:rPr>
        <w:t>Mr</w:t>
      </w:r>
      <w:r w:rsidR="00AB38E1">
        <w:rPr>
          <w:u w:val="none"/>
          <w:lang w:val="en-GB"/>
        </w:rPr>
        <w:t>.</w:t>
      </w:r>
      <w:r w:rsidR="00990C71">
        <w:rPr>
          <w:u w:val="none"/>
          <w:lang w:val="en-GB"/>
        </w:rPr>
        <w:t xml:space="preserve"> </w:t>
      </w:r>
      <w:r w:rsidR="002C1A44" w:rsidRPr="00026FA9">
        <w:rPr>
          <w:u w:val="none"/>
          <w:lang w:val="en-GB"/>
        </w:rPr>
        <w:t xml:space="preserve">Swart was not available and would not be called as a witness at the time when </w:t>
      </w:r>
      <w:r w:rsidR="00990C71">
        <w:rPr>
          <w:u w:val="none"/>
          <w:lang w:val="en-GB"/>
        </w:rPr>
        <w:t>Ms</w:t>
      </w:r>
      <w:r w:rsidR="00187D7E">
        <w:rPr>
          <w:u w:val="none"/>
          <w:lang w:val="en-GB"/>
        </w:rPr>
        <w:t>.</w:t>
      </w:r>
      <w:r w:rsidR="00990C71">
        <w:rPr>
          <w:u w:val="none"/>
          <w:lang w:val="en-GB"/>
        </w:rPr>
        <w:t xml:space="preserve"> </w:t>
      </w:r>
      <w:r w:rsidR="002C1A44" w:rsidRPr="00026FA9">
        <w:rPr>
          <w:u w:val="none"/>
          <w:lang w:val="en-GB"/>
        </w:rPr>
        <w:t xml:space="preserve">Esterhuizen and </w:t>
      </w:r>
      <w:r w:rsidR="00990C71">
        <w:rPr>
          <w:u w:val="none"/>
          <w:lang w:val="en-GB"/>
        </w:rPr>
        <w:t>Ms</w:t>
      </w:r>
      <w:r w:rsidR="00AB38E1">
        <w:rPr>
          <w:u w:val="none"/>
          <w:lang w:val="en-GB"/>
        </w:rPr>
        <w:t>.</w:t>
      </w:r>
      <w:r w:rsidR="00990C71">
        <w:rPr>
          <w:u w:val="none"/>
          <w:lang w:val="en-GB"/>
        </w:rPr>
        <w:t xml:space="preserve"> </w:t>
      </w:r>
      <w:r w:rsidR="002C1A44" w:rsidRPr="00026FA9">
        <w:rPr>
          <w:u w:val="none"/>
          <w:lang w:val="en-GB"/>
        </w:rPr>
        <w:t>Smuts were called to testify.</w:t>
      </w:r>
      <w:r w:rsidR="0043480A">
        <w:rPr>
          <w:u w:val="none"/>
          <w:lang w:val="en-GB"/>
        </w:rPr>
        <w:t xml:space="preserve"> </w:t>
      </w:r>
      <w:r w:rsidR="00990C71">
        <w:rPr>
          <w:u w:val="none"/>
          <w:lang w:val="en-GB"/>
        </w:rPr>
        <w:t>Optimum’s</w:t>
      </w:r>
      <w:r w:rsidR="002C1A44" w:rsidRPr="00026FA9">
        <w:rPr>
          <w:u w:val="none"/>
          <w:lang w:val="en-GB"/>
        </w:rPr>
        <w:t xml:space="preserve"> counsel </w:t>
      </w:r>
      <w:r w:rsidR="002C1A44">
        <w:rPr>
          <w:u w:val="none"/>
          <w:lang w:val="en-GB"/>
        </w:rPr>
        <w:t xml:space="preserve">did not, </w:t>
      </w:r>
      <w:r w:rsidR="00990C71">
        <w:rPr>
          <w:u w:val="none"/>
          <w:lang w:val="en-GB"/>
        </w:rPr>
        <w:t>in cross-examination of Ms</w:t>
      </w:r>
      <w:r w:rsidR="00187D7E">
        <w:rPr>
          <w:u w:val="none"/>
          <w:lang w:val="en-GB"/>
        </w:rPr>
        <w:t>.</w:t>
      </w:r>
      <w:r w:rsidR="00990C71">
        <w:rPr>
          <w:u w:val="none"/>
          <w:lang w:val="en-GB"/>
        </w:rPr>
        <w:t xml:space="preserve"> Esterhuizen or M</w:t>
      </w:r>
      <w:r w:rsidR="002C1A44" w:rsidRPr="00026FA9">
        <w:rPr>
          <w:u w:val="none"/>
          <w:lang w:val="en-GB"/>
        </w:rPr>
        <w:t>s</w:t>
      </w:r>
      <w:r w:rsidR="00187D7E">
        <w:rPr>
          <w:u w:val="none"/>
          <w:lang w:val="en-GB"/>
        </w:rPr>
        <w:t>.</w:t>
      </w:r>
      <w:r w:rsidR="002C1A44" w:rsidRPr="00026FA9">
        <w:rPr>
          <w:u w:val="none"/>
          <w:lang w:val="en-GB"/>
        </w:rPr>
        <w:t xml:space="preserve"> Smuts</w:t>
      </w:r>
      <w:r>
        <w:rPr>
          <w:u w:val="none"/>
          <w:lang w:val="en-GB"/>
        </w:rPr>
        <w:t>,</w:t>
      </w:r>
      <w:r w:rsidR="002C1A44" w:rsidRPr="00026FA9">
        <w:rPr>
          <w:u w:val="none"/>
          <w:lang w:val="en-GB"/>
        </w:rPr>
        <w:t xml:space="preserve"> </w:t>
      </w:r>
      <w:r w:rsidR="00925F6B">
        <w:rPr>
          <w:u w:val="none"/>
          <w:lang w:val="en-GB"/>
        </w:rPr>
        <w:t xml:space="preserve">put on record </w:t>
      </w:r>
      <w:r w:rsidR="002C1A44" w:rsidRPr="00026FA9">
        <w:rPr>
          <w:u w:val="none"/>
          <w:lang w:val="en-GB"/>
        </w:rPr>
        <w:t xml:space="preserve">that an adverse inference would be </w:t>
      </w:r>
      <w:r w:rsidR="002C1A44" w:rsidRPr="00026FA9">
        <w:rPr>
          <w:u w:val="none"/>
          <w:lang w:val="en-GB"/>
        </w:rPr>
        <w:lastRenderedPageBreak/>
        <w:t>drawn</w:t>
      </w:r>
      <w:r w:rsidR="002C1A44">
        <w:rPr>
          <w:u w:val="none"/>
          <w:lang w:val="en-GB"/>
        </w:rPr>
        <w:t>,</w:t>
      </w:r>
      <w:r w:rsidR="002C1A44" w:rsidRPr="00026FA9">
        <w:rPr>
          <w:u w:val="none"/>
          <w:lang w:val="en-GB"/>
        </w:rPr>
        <w:t xml:space="preserve"> if </w:t>
      </w:r>
      <w:r w:rsidR="00990C71">
        <w:rPr>
          <w:u w:val="none"/>
          <w:lang w:val="en-GB"/>
        </w:rPr>
        <w:t>Mr</w:t>
      </w:r>
      <w:r w:rsidR="00187D7E">
        <w:rPr>
          <w:u w:val="none"/>
          <w:lang w:val="en-GB"/>
        </w:rPr>
        <w:t>.</w:t>
      </w:r>
      <w:r w:rsidR="00990C71">
        <w:rPr>
          <w:u w:val="none"/>
          <w:lang w:val="en-GB"/>
        </w:rPr>
        <w:t xml:space="preserve"> </w:t>
      </w:r>
      <w:r w:rsidR="002C1A44" w:rsidRPr="00026FA9">
        <w:rPr>
          <w:u w:val="none"/>
          <w:lang w:val="en-GB"/>
        </w:rPr>
        <w:t>Swart did not testify, or suggest</w:t>
      </w:r>
      <w:r w:rsidR="002C1A44">
        <w:rPr>
          <w:u w:val="none"/>
          <w:lang w:val="en-GB"/>
        </w:rPr>
        <w:t>ed</w:t>
      </w:r>
      <w:r w:rsidR="002C1A44" w:rsidRPr="00026FA9">
        <w:rPr>
          <w:u w:val="none"/>
          <w:lang w:val="en-GB"/>
        </w:rPr>
        <w:t xml:space="preserve"> that</w:t>
      </w:r>
      <w:r w:rsidR="00990C71">
        <w:rPr>
          <w:u w:val="none"/>
          <w:lang w:val="en-GB"/>
        </w:rPr>
        <w:t xml:space="preserve"> Mr</w:t>
      </w:r>
      <w:r w:rsidR="00187D7E">
        <w:rPr>
          <w:u w:val="none"/>
          <w:lang w:val="en-GB"/>
        </w:rPr>
        <w:t>.</w:t>
      </w:r>
      <w:r w:rsidR="002C1A44" w:rsidRPr="00026FA9">
        <w:rPr>
          <w:u w:val="none"/>
          <w:lang w:val="en-GB"/>
        </w:rPr>
        <w:t xml:space="preserve"> Swart could give evidence</w:t>
      </w:r>
      <w:r w:rsidR="002C1A44">
        <w:rPr>
          <w:u w:val="none"/>
          <w:lang w:val="en-GB"/>
        </w:rPr>
        <w:t>,</w:t>
      </w:r>
      <w:r w:rsidR="002C1A44" w:rsidRPr="00026FA9">
        <w:rPr>
          <w:u w:val="none"/>
          <w:lang w:val="en-GB"/>
        </w:rPr>
        <w:t xml:space="preserve"> or would give evidence contrary to that which they gave.</w:t>
      </w:r>
    </w:p>
    <w:p w:rsidR="00A4004F" w:rsidRDefault="00A4004F" w:rsidP="002C1A44">
      <w:pPr>
        <w:spacing w:line="480" w:lineRule="auto"/>
        <w:jc w:val="both"/>
        <w:rPr>
          <w:u w:val="none"/>
          <w:lang w:val="en-GB"/>
        </w:rPr>
      </w:pPr>
    </w:p>
    <w:p w:rsidR="00A4004F" w:rsidRDefault="00A4004F" w:rsidP="00A4004F">
      <w:pPr>
        <w:widowControl w:val="0"/>
        <w:spacing w:line="480" w:lineRule="auto"/>
        <w:jc w:val="both"/>
        <w:rPr>
          <w:u w:val="none"/>
          <w:lang w:val="en-GB"/>
        </w:rPr>
      </w:pPr>
      <w:r>
        <w:rPr>
          <w:u w:val="none"/>
          <w:lang w:val="en-GB"/>
        </w:rPr>
        <w:t>[38]</w:t>
      </w:r>
      <w:r>
        <w:rPr>
          <w:u w:val="none"/>
          <w:lang w:val="en-GB"/>
        </w:rPr>
        <w:tab/>
        <w:t xml:space="preserve">The evidence of Ms. </w:t>
      </w:r>
      <w:r w:rsidR="005746A9">
        <w:rPr>
          <w:u w:val="none"/>
          <w:lang w:val="en-GB"/>
        </w:rPr>
        <w:t xml:space="preserve">Smuts, that </w:t>
      </w:r>
      <w:r>
        <w:rPr>
          <w:u w:val="none"/>
          <w:lang w:val="en-GB"/>
        </w:rPr>
        <w:t xml:space="preserve">Mr. Swart did not read the quotation document, but merely signed it was not challenged during cross-examination. In </w:t>
      </w:r>
      <w:r w:rsidRPr="00026FA9">
        <w:rPr>
          <w:bCs/>
          <w:i/>
          <w:u w:val="none"/>
          <w:lang w:val="en-GB"/>
        </w:rPr>
        <w:t>President of the RSA v SARFU</w:t>
      </w:r>
      <w:r>
        <w:rPr>
          <w:rStyle w:val="FootnoteReference"/>
          <w:bCs/>
          <w:i/>
          <w:u w:val="none"/>
          <w:lang w:val="en-GB"/>
        </w:rPr>
        <w:footnoteReference w:id="8"/>
      </w:r>
      <w:r w:rsidRPr="00026FA9">
        <w:rPr>
          <w:u w:val="none"/>
          <w:lang w:val="en-GB"/>
        </w:rPr>
        <w:t>,</w:t>
      </w:r>
      <w:r>
        <w:rPr>
          <w:u w:val="none"/>
          <w:lang w:val="en-GB"/>
        </w:rPr>
        <w:t xml:space="preserve"> The following of relevance was said:</w:t>
      </w:r>
    </w:p>
    <w:p w:rsidR="00A4004F" w:rsidRPr="003D06C3" w:rsidRDefault="00A4004F" w:rsidP="00A4004F">
      <w:pPr>
        <w:widowControl w:val="0"/>
        <w:spacing w:line="480" w:lineRule="auto"/>
        <w:ind w:left="720"/>
        <w:jc w:val="both"/>
        <w:rPr>
          <w:u w:val="none"/>
          <w:lang w:val="en-GB"/>
        </w:rPr>
      </w:pPr>
      <w:r w:rsidRPr="003D06C3">
        <w:rPr>
          <w:i/>
          <w:color w:val="242121"/>
          <w:u w:val="none"/>
          <w:shd w:val="clear" w:color="auto" w:fill="FFFFFF"/>
        </w:rPr>
        <w:t>“The precise nature of the imputation should be made clear to the witness so that it can be met and destroyed, particularly where the imputation relies upon inferences to be drawn from other evidence in the proceedings. It should be made clear not only that the evidence </w:t>
      </w:r>
      <w:r w:rsidRPr="003D06C3">
        <w:rPr>
          <w:i/>
          <w:iCs/>
          <w:color w:val="242121"/>
          <w:u w:val="none"/>
          <w:shd w:val="clear" w:color="auto" w:fill="FFFFFF"/>
        </w:rPr>
        <w:t>is</w:t>
      </w:r>
      <w:r w:rsidRPr="003D06C3">
        <w:rPr>
          <w:i/>
          <w:color w:val="242121"/>
          <w:u w:val="none"/>
          <w:shd w:val="clear" w:color="auto" w:fill="FFFFFF"/>
        </w:rPr>
        <w:t> to be challenged but also </w:t>
      </w:r>
      <w:r w:rsidRPr="003D06C3">
        <w:rPr>
          <w:i/>
          <w:iCs/>
          <w:color w:val="242121"/>
          <w:u w:val="none"/>
          <w:shd w:val="clear" w:color="auto" w:fill="FFFFFF"/>
        </w:rPr>
        <w:t>how</w:t>
      </w:r>
      <w:r w:rsidRPr="003D06C3">
        <w:rPr>
          <w:i/>
          <w:color w:val="242121"/>
          <w:u w:val="none"/>
          <w:shd w:val="clear" w:color="auto" w:fill="FFFFFF"/>
        </w:rPr>
        <w:t> it is to be challenged. This is so because the witness must be given an opportunity to deny the challenge, to call corroborative evidence, to qualify the evidence given by the witness or others and to explain contradictions on which reliance is to be placed.”</w:t>
      </w:r>
      <w:r w:rsidRPr="003D06C3">
        <w:rPr>
          <w:rStyle w:val="FootnoteReference"/>
          <w:i/>
          <w:color w:val="242121"/>
          <w:u w:val="none"/>
          <w:shd w:val="clear" w:color="auto" w:fill="FFFFFF"/>
        </w:rPr>
        <w:footnoteReference w:id="9"/>
      </w:r>
    </w:p>
    <w:p w:rsidR="00A4004F" w:rsidRPr="00026FA9" w:rsidRDefault="00A4004F" w:rsidP="002C1A44">
      <w:pPr>
        <w:spacing w:line="480" w:lineRule="auto"/>
        <w:jc w:val="both"/>
        <w:rPr>
          <w:u w:val="none"/>
          <w:lang w:val="en-GB"/>
        </w:rPr>
      </w:pPr>
    </w:p>
    <w:p w:rsidR="00925F6B" w:rsidRDefault="00187D7E" w:rsidP="002C1A44">
      <w:pPr>
        <w:widowControl w:val="0"/>
        <w:spacing w:line="480" w:lineRule="auto"/>
        <w:jc w:val="both"/>
        <w:rPr>
          <w:u w:val="none"/>
          <w:lang w:val="en-GB"/>
        </w:rPr>
      </w:pPr>
      <w:r>
        <w:rPr>
          <w:u w:val="none"/>
          <w:lang w:val="en-GB"/>
        </w:rPr>
        <w:t>[39</w:t>
      </w:r>
      <w:r w:rsidR="00AF7160">
        <w:rPr>
          <w:u w:val="none"/>
          <w:lang w:val="en-GB"/>
        </w:rPr>
        <w:t>]</w:t>
      </w:r>
      <w:r w:rsidR="00AF7160">
        <w:rPr>
          <w:u w:val="none"/>
          <w:lang w:val="en-GB"/>
        </w:rPr>
        <w:tab/>
        <w:t xml:space="preserve">The failure to challenge the evidence </w:t>
      </w:r>
      <w:r w:rsidR="00AF7160" w:rsidRPr="00026FA9">
        <w:rPr>
          <w:u w:val="none"/>
          <w:lang w:val="en-GB"/>
        </w:rPr>
        <w:t xml:space="preserve">entitled </w:t>
      </w:r>
      <w:r w:rsidR="00AF7160">
        <w:rPr>
          <w:u w:val="none"/>
          <w:lang w:val="en-GB"/>
        </w:rPr>
        <w:t>Dalmar</w:t>
      </w:r>
      <w:r w:rsidR="00AF7160" w:rsidRPr="00026FA9">
        <w:rPr>
          <w:u w:val="none"/>
          <w:lang w:val="en-GB"/>
        </w:rPr>
        <w:t xml:space="preserve"> to accept that </w:t>
      </w:r>
      <w:r w:rsidR="00AF7160">
        <w:rPr>
          <w:u w:val="none"/>
          <w:lang w:val="en-GB"/>
        </w:rPr>
        <w:t xml:space="preserve">the </w:t>
      </w:r>
      <w:r w:rsidR="00AF7160" w:rsidRPr="00026FA9">
        <w:rPr>
          <w:u w:val="none"/>
          <w:lang w:val="en-GB"/>
        </w:rPr>
        <w:t xml:space="preserve">evidence was accepted and therefore need not </w:t>
      </w:r>
      <w:r w:rsidR="00AF7160">
        <w:rPr>
          <w:u w:val="none"/>
          <w:lang w:val="en-GB"/>
        </w:rPr>
        <w:t xml:space="preserve">have </w:t>
      </w:r>
      <w:r w:rsidR="00AF7160" w:rsidRPr="00026FA9">
        <w:rPr>
          <w:u w:val="none"/>
          <w:lang w:val="en-GB"/>
        </w:rPr>
        <w:t>be</w:t>
      </w:r>
      <w:r w:rsidR="00AF7160">
        <w:rPr>
          <w:u w:val="none"/>
          <w:lang w:val="en-GB"/>
        </w:rPr>
        <w:t>en</w:t>
      </w:r>
      <w:r w:rsidR="00AF7160" w:rsidRPr="00026FA9">
        <w:rPr>
          <w:u w:val="none"/>
          <w:lang w:val="en-GB"/>
        </w:rPr>
        <w:t xml:space="preserve"> corroborated. At the very least counsel for </w:t>
      </w:r>
      <w:r w:rsidR="00AF7160">
        <w:rPr>
          <w:u w:val="none"/>
          <w:lang w:val="en-GB"/>
        </w:rPr>
        <w:t>Optimum should have challenged M</w:t>
      </w:r>
      <w:r w:rsidR="00AF7160" w:rsidRPr="00026FA9">
        <w:rPr>
          <w:u w:val="none"/>
          <w:lang w:val="en-GB"/>
        </w:rPr>
        <w:t>s</w:t>
      </w:r>
      <w:r>
        <w:rPr>
          <w:u w:val="none"/>
          <w:lang w:val="en-GB"/>
        </w:rPr>
        <w:t>.</w:t>
      </w:r>
      <w:r w:rsidR="00AF7160" w:rsidRPr="00026FA9">
        <w:rPr>
          <w:u w:val="none"/>
          <w:lang w:val="en-GB"/>
        </w:rPr>
        <w:t xml:space="preserve"> Smuts on the basis that, having regard to the printed words above the signature of </w:t>
      </w:r>
      <w:r w:rsidR="00AF7160">
        <w:rPr>
          <w:u w:val="none"/>
          <w:lang w:val="en-GB"/>
        </w:rPr>
        <w:t>Mr</w:t>
      </w:r>
      <w:r>
        <w:rPr>
          <w:u w:val="none"/>
          <w:lang w:val="en-GB"/>
        </w:rPr>
        <w:t>.</w:t>
      </w:r>
      <w:r w:rsidR="00AF7160">
        <w:rPr>
          <w:u w:val="none"/>
          <w:lang w:val="en-GB"/>
        </w:rPr>
        <w:t xml:space="preserve"> </w:t>
      </w:r>
      <w:r w:rsidR="00AF7160" w:rsidRPr="00026FA9">
        <w:rPr>
          <w:u w:val="none"/>
          <w:lang w:val="en-GB"/>
        </w:rPr>
        <w:t>Swart</w:t>
      </w:r>
      <w:r w:rsidR="00925F6B">
        <w:rPr>
          <w:u w:val="none"/>
          <w:lang w:val="en-GB"/>
        </w:rPr>
        <w:t>’s signature it would be argued</w:t>
      </w:r>
      <w:r w:rsidR="00AF7160">
        <w:rPr>
          <w:u w:val="none"/>
          <w:lang w:val="en-GB"/>
        </w:rPr>
        <w:t xml:space="preserve"> by </w:t>
      </w:r>
      <w:r w:rsidR="005746A9">
        <w:rPr>
          <w:u w:val="none"/>
          <w:lang w:val="en-GB"/>
        </w:rPr>
        <w:t xml:space="preserve">Optimum </w:t>
      </w:r>
      <w:r w:rsidR="005746A9" w:rsidRPr="00026FA9">
        <w:rPr>
          <w:u w:val="none"/>
          <w:lang w:val="en-GB"/>
        </w:rPr>
        <w:t>that</w:t>
      </w:r>
      <w:r w:rsidR="00AF7160" w:rsidRPr="00026FA9">
        <w:rPr>
          <w:u w:val="none"/>
          <w:lang w:val="en-GB"/>
        </w:rPr>
        <w:t xml:space="preserve"> on the probabilities </w:t>
      </w:r>
      <w:r>
        <w:rPr>
          <w:u w:val="none"/>
          <w:lang w:val="en-GB"/>
        </w:rPr>
        <w:t xml:space="preserve">Mr. </w:t>
      </w:r>
      <w:r w:rsidR="00AF7160" w:rsidRPr="00026FA9">
        <w:rPr>
          <w:u w:val="none"/>
          <w:lang w:val="en-GB"/>
        </w:rPr>
        <w:t>Swart did read and consider the entire document and that her evidence to the contrary should be rejected on the probabilities.</w:t>
      </w:r>
      <w:r w:rsidR="00FA0481">
        <w:rPr>
          <w:u w:val="none"/>
          <w:lang w:val="en-GB"/>
        </w:rPr>
        <w:t xml:space="preserve"> </w:t>
      </w:r>
    </w:p>
    <w:p w:rsidR="00925F6B" w:rsidRDefault="00925F6B" w:rsidP="002C1A44">
      <w:pPr>
        <w:widowControl w:val="0"/>
        <w:spacing w:line="480" w:lineRule="auto"/>
        <w:jc w:val="both"/>
        <w:rPr>
          <w:u w:val="none"/>
          <w:lang w:val="en-GB"/>
        </w:rPr>
      </w:pPr>
    </w:p>
    <w:p w:rsidR="00FA0481" w:rsidRPr="00026FA9" w:rsidRDefault="00A4004F" w:rsidP="00FA0481">
      <w:pPr>
        <w:widowControl w:val="0"/>
        <w:spacing w:line="480" w:lineRule="auto"/>
        <w:jc w:val="both"/>
        <w:rPr>
          <w:u w:val="none"/>
          <w:lang w:val="en-GB"/>
        </w:rPr>
      </w:pPr>
      <w:r>
        <w:rPr>
          <w:u w:val="none"/>
          <w:lang w:val="en-GB"/>
        </w:rPr>
        <w:lastRenderedPageBreak/>
        <w:t>[40</w:t>
      </w:r>
      <w:r w:rsidR="00FA0481">
        <w:rPr>
          <w:u w:val="none"/>
          <w:lang w:val="en-GB"/>
        </w:rPr>
        <w:t>]</w:t>
      </w:r>
      <w:r w:rsidR="00FA0481">
        <w:rPr>
          <w:u w:val="none"/>
          <w:lang w:val="en-GB"/>
        </w:rPr>
        <w:tab/>
        <w:t>I</w:t>
      </w:r>
      <w:r w:rsidR="00FA0481" w:rsidRPr="00026FA9">
        <w:rPr>
          <w:u w:val="none"/>
          <w:lang w:val="en-GB"/>
        </w:rPr>
        <w:t xml:space="preserve">n </w:t>
      </w:r>
      <w:r w:rsidR="00FA0481" w:rsidRPr="00026FA9">
        <w:rPr>
          <w:bCs/>
          <w:i/>
          <w:u w:val="none"/>
          <w:lang w:val="en-GB"/>
        </w:rPr>
        <w:t>Pexmart v H Mocke</w:t>
      </w:r>
      <w:r w:rsidR="00FA0481">
        <w:rPr>
          <w:rStyle w:val="FootnoteReference"/>
          <w:bCs/>
          <w:i/>
          <w:u w:val="none"/>
          <w:lang w:val="en-GB"/>
        </w:rPr>
        <w:footnoteReference w:id="10"/>
      </w:r>
      <w:r w:rsidR="00FA0481" w:rsidRPr="00026FA9">
        <w:rPr>
          <w:u w:val="none"/>
          <w:lang w:val="en-GB"/>
        </w:rPr>
        <w:t xml:space="preserve"> </w:t>
      </w:r>
      <w:r w:rsidR="00FA0481">
        <w:rPr>
          <w:u w:val="none"/>
          <w:lang w:val="en-GB"/>
        </w:rPr>
        <w:t xml:space="preserve">it was found that whether an adverse inference should be drawn if a witness is not called will depend on the facts of the case. We were not referred to any decision in </w:t>
      </w:r>
      <w:r w:rsidR="00FA0481" w:rsidRPr="00026FA9">
        <w:rPr>
          <w:bCs/>
          <w:u w:val="none"/>
          <w:lang w:val="en-GB"/>
        </w:rPr>
        <w:t>any Court</w:t>
      </w:r>
      <w:r w:rsidR="00FA0481">
        <w:rPr>
          <w:bCs/>
          <w:u w:val="none"/>
          <w:lang w:val="en-GB"/>
        </w:rPr>
        <w:t>,</w:t>
      </w:r>
      <w:r w:rsidR="00FA0481" w:rsidRPr="00026FA9">
        <w:rPr>
          <w:bCs/>
          <w:u w:val="none"/>
          <w:lang w:val="en-GB"/>
        </w:rPr>
        <w:t xml:space="preserve"> in which an adverse inference was drawn from a failure to call a witness in respect of a matter which was not in dispute</w:t>
      </w:r>
      <w:r w:rsidR="00FA0481">
        <w:rPr>
          <w:bCs/>
          <w:u w:val="none"/>
          <w:lang w:val="en-GB"/>
        </w:rPr>
        <w:t>,</w:t>
      </w:r>
      <w:r w:rsidR="00FA0481" w:rsidRPr="00026FA9">
        <w:rPr>
          <w:bCs/>
          <w:u w:val="none"/>
          <w:lang w:val="en-GB"/>
        </w:rPr>
        <w:t xml:space="preserve"> or in respect of which the evidence before</w:t>
      </w:r>
      <w:r w:rsidR="00FA0481">
        <w:rPr>
          <w:bCs/>
          <w:u w:val="none"/>
          <w:lang w:val="en-GB"/>
        </w:rPr>
        <w:t xml:space="preserve"> the Court was not contradicted</w:t>
      </w:r>
      <w:r w:rsidR="00FA0481" w:rsidRPr="00026FA9">
        <w:rPr>
          <w:u w:val="none"/>
          <w:lang w:val="en-GB"/>
        </w:rPr>
        <w:t xml:space="preserve">. The Court </w:t>
      </w:r>
      <w:r w:rsidR="00FA0481">
        <w:rPr>
          <w:u w:val="none"/>
          <w:lang w:val="en-GB"/>
        </w:rPr>
        <w:t xml:space="preserve">in </w:t>
      </w:r>
      <w:r w:rsidR="00FA0481" w:rsidRPr="00CA374B">
        <w:rPr>
          <w:i/>
          <w:u w:val="none"/>
          <w:lang w:val="en-GB"/>
        </w:rPr>
        <w:t>Pexmart</w:t>
      </w:r>
      <w:r w:rsidR="00FA0481">
        <w:rPr>
          <w:rStyle w:val="FootnoteReference"/>
          <w:i/>
          <w:u w:val="none"/>
          <w:lang w:val="en-GB"/>
        </w:rPr>
        <w:footnoteReference w:id="11"/>
      </w:r>
      <w:r w:rsidR="00FA0481">
        <w:rPr>
          <w:u w:val="none"/>
          <w:lang w:val="en-GB"/>
        </w:rPr>
        <w:t xml:space="preserve"> </w:t>
      </w:r>
      <w:r w:rsidR="00FA0481" w:rsidRPr="00026FA9">
        <w:rPr>
          <w:u w:val="none"/>
          <w:lang w:val="en-GB"/>
        </w:rPr>
        <w:t xml:space="preserve">referred to its previous decision in </w:t>
      </w:r>
      <w:r w:rsidR="00FA0481" w:rsidRPr="00026FA9">
        <w:rPr>
          <w:bCs/>
          <w:i/>
          <w:u w:val="none"/>
          <w:lang w:val="en-GB"/>
        </w:rPr>
        <w:t>Munster Estates (Pty) Ltd v Killarney Hills (Pty) Ltd</w:t>
      </w:r>
      <w:r w:rsidR="00FA0481" w:rsidRPr="00026FA9">
        <w:rPr>
          <w:u w:val="none"/>
          <w:lang w:val="en-GB"/>
        </w:rPr>
        <w:t xml:space="preserve"> </w:t>
      </w:r>
      <w:r w:rsidR="00FA0481">
        <w:rPr>
          <w:rStyle w:val="FootnoteReference"/>
          <w:u w:val="none"/>
          <w:lang w:val="en-GB"/>
        </w:rPr>
        <w:footnoteReference w:id="12"/>
      </w:r>
      <w:r w:rsidR="00FA0481" w:rsidRPr="00026FA9">
        <w:rPr>
          <w:u w:val="none"/>
          <w:lang w:val="en-GB"/>
        </w:rPr>
        <w:t xml:space="preserve"> in which it was stated that there was not a general and inflexible rule to be applied without more in every case that an adverse inference is to be drawn</w:t>
      </w:r>
      <w:r w:rsidR="00FA0481">
        <w:rPr>
          <w:u w:val="none"/>
          <w:lang w:val="en-GB"/>
        </w:rPr>
        <w:t>,</w:t>
      </w:r>
      <w:r w:rsidR="00FA0481" w:rsidRPr="00026FA9">
        <w:rPr>
          <w:u w:val="none"/>
          <w:lang w:val="en-GB"/>
        </w:rPr>
        <w:t xml:space="preserve"> where a party fails to call a witness who is available and able to elucidate the facts;</w:t>
      </w:r>
    </w:p>
    <w:p w:rsidR="00FA0481" w:rsidRPr="00026FA9" w:rsidRDefault="00FA0481" w:rsidP="00FA0481">
      <w:pPr>
        <w:widowControl w:val="0"/>
        <w:spacing w:line="360" w:lineRule="auto"/>
        <w:rPr>
          <w:u w:val="none"/>
          <w:lang w:val="en-GB"/>
        </w:rPr>
      </w:pPr>
    </w:p>
    <w:p w:rsidR="00FA0481" w:rsidRPr="00026FA9" w:rsidRDefault="00A4004F" w:rsidP="00FA0481">
      <w:pPr>
        <w:widowControl w:val="0"/>
        <w:spacing w:line="480" w:lineRule="auto"/>
        <w:jc w:val="both"/>
        <w:rPr>
          <w:u w:val="none"/>
          <w:lang w:val="en-GB"/>
        </w:rPr>
      </w:pPr>
      <w:r>
        <w:rPr>
          <w:u w:val="none"/>
          <w:lang w:val="en-GB"/>
        </w:rPr>
        <w:t>[41</w:t>
      </w:r>
      <w:r w:rsidR="00FA0481">
        <w:rPr>
          <w:u w:val="none"/>
          <w:lang w:val="en-GB"/>
        </w:rPr>
        <w:t>]</w:t>
      </w:r>
      <w:r w:rsidR="00FA0481">
        <w:rPr>
          <w:u w:val="none"/>
          <w:lang w:val="en-GB"/>
        </w:rPr>
        <w:tab/>
        <w:t>It was argued, correctly</w:t>
      </w:r>
      <w:r w:rsidR="00187D7E">
        <w:rPr>
          <w:u w:val="none"/>
          <w:lang w:val="en-GB"/>
        </w:rPr>
        <w:t>,</w:t>
      </w:r>
      <w:r w:rsidR="00FA0481">
        <w:rPr>
          <w:u w:val="none"/>
          <w:lang w:val="en-GB"/>
        </w:rPr>
        <w:t xml:space="preserve"> that i</w:t>
      </w:r>
      <w:r w:rsidR="00FA0481" w:rsidRPr="00026FA9">
        <w:rPr>
          <w:u w:val="none"/>
          <w:lang w:val="en-GB"/>
        </w:rPr>
        <w:t xml:space="preserve">n </w:t>
      </w:r>
      <w:r w:rsidR="00FA0481" w:rsidRPr="00026FA9">
        <w:rPr>
          <w:bCs/>
          <w:i/>
          <w:u w:val="none"/>
          <w:lang w:val="en-GB"/>
        </w:rPr>
        <w:t>Pexmart</w:t>
      </w:r>
      <w:r w:rsidR="00FA0481" w:rsidRPr="00026FA9">
        <w:rPr>
          <w:u w:val="none"/>
          <w:lang w:val="en-GB"/>
        </w:rPr>
        <w:t xml:space="preserve"> it was indicated during the course of the plaintiff’s case that the witness</w:t>
      </w:r>
      <w:r w:rsidR="00FA0481">
        <w:rPr>
          <w:u w:val="none"/>
          <w:lang w:val="en-GB"/>
        </w:rPr>
        <w:t>,</w:t>
      </w:r>
      <w:r w:rsidR="00FA0481" w:rsidRPr="00026FA9">
        <w:rPr>
          <w:u w:val="none"/>
          <w:lang w:val="en-GB"/>
        </w:rPr>
        <w:t xml:space="preserve"> Mr</w:t>
      </w:r>
      <w:r w:rsidR="00AB38E1">
        <w:rPr>
          <w:u w:val="none"/>
          <w:lang w:val="en-GB"/>
        </w:rPr>
        <w:t>.</w:t>
      </w:r>
      <w:r w:rsidR="00FA0481" w:rsidRPr="00026FA9">
        <w:rPr>
          <w:u w:val="none"/>
          <w:lang w:val="en-GB"/>
        </w:rPr>
        <w:t xml:space="preserve"> Henn</w:t>
      </w:r>
      <w:r w:rsidR="00FA0481">
        <w:rPr>
          <w:u w:val="none"/>
          <w:lang w:val="en-GB"/>
        </w:rPr>
        <w:t>,</w:t>
      </w:r>
      <w:r w:rsidR="00FA0481" w:rsidRPr="00026FA9">
        <w:rPr>
          <w:u w:val="none"/>
          <w:lang w:val="en-GB"/>
        </w:rPr>
        <w:t xml:space="preserve"> would be called. In the present case it was made clear that </w:t>
      </w:r>
      <w:r w:rsidR="00FA0481">
        <w:rPr>
          <w:u w:val="none"/>
          <w:lang w:val="en-GB"/>
        </w:rPr>
        <w:t>Mr</w:t>
      </w:r>
      <w:r w:rsidR="00AB38E1">
        <w:rPr>
          <w:u w:val="none"/>
          <w:lang w:val="en-GB"/>
        </w:rPr>
        <w:t>.</w:t>
      </w:r>
      <w:r w:rsidR="00FA0481">
        <w:rPr>
          <w:u w:val="none"/>
          <w:lang w:val="en-GB"/>
        </w:rPr>
        <w:t xml:space="preserve"> </w:t>
      </w:r>
      <w:r w:rsidR="00FA0481" w:rsidRPr="00026FA9">
        <w:rPr>
          <w:u w:val="none"/>
          <w:lang w:val="en-GB"/>
        </w:rPr>
        <w:t xml:space="preserve">Swart was not available and would not be called. </w:t>
      </w:r>
      <w:r w:rsidR="00FA0481">
        <w:rPr>
          <w:u w:val="none"/>
          <w:lang w:val="en-GB"/>
        </w:rPr>
        <w:t>It was furthermore pointed out that i</w:t>
      </w:r>
      <w:r w:rsidR="00FA0481" w:rsidRPr="00026FA9">
        <w:rPr>
          <w:u w:val="none"/>
          <w:lang w:val="en-GB"/>
        </w:rPr>
        <w:t xml:space="preserve">n </w:t>
      </w:r>
      <w:r w:rsidR="00FA0481" w:rsidRPr="00026FA9">
        <w:rPr>
          <w:bCs/>
          <w:i/>
          <w:u w:val="none"/>
          <w:lang w:val="en-GB"/>
        </w:rPr>
        <w:t>Pexmart</w:t>
      </w:r>
      <w:r w:rsidR="00FA0481" w:rsidRPr="00026FA9">
        <w:rPr>
          <w:u w:val="none"/>
          <w:lang w:val="en-GB"/>
        </w:rPr>
        <w:t xml:space="preserve"> the Court took account of the fact that during the course of the plaintiff’s case contradictory evidence had been led</w:t>
      </w:r>
      <w:r w:rsidR="00FA0481">
        <w:rPr>
          <w:u w:val="none"/>
          <w:lang w:val="en-GB"/>
        </w:rPr>
        <w:t>,</w:t>
      </w:r>
      <w:r w:rsidR="00FA0481" w:rsidRPr="00026FA9">
        <w:rPr>
          <w:u w:val="none"/>
          <w:lang w:val="en-GB"/>
        </w:rPr>
        <w:t xml:space="preserve"> which could have been clarified had the witness been called. </w:t>
      </w:r>
      <w:r w:rsidR="00FA0481">
        <w:rPr>
          <w:u w:val="none"/>
          <w:lang w:val="en-GB"/>
        </w:rPr>
        <w:t xml:space="preserve">In the matter before us there was no contradictory evidence </w:t>
      </w:r>
      <w:r>
        <w:rPr>
          <w:u w:val="none"/>
          <w:lang w:val="en-GB"/>
        </w:rPr>
        <w:t xml:space="preserve">put </w:t>
      </w:r>
      <w:r w:rsidR="00FA0481">
        <w:rPr>
          <w:u w:val="none"/>
          <w:lang w:val="en-GB"/>
        </w:rPr>
        <w:t xml:space="preserve">which could have been clarified by </w:t>
      </w:r>
      <w:r w:rsidR="00187D7E">
        <w:rPr>
          <w:u w:val="none"/>
          <w:lang w:val="en-GB"/>
        </w:rPr>
        <w:t xml:space="preserve">Mr. </w:t>
      </w:r>
      <w:r w:rsidR="00FA0481">
        <w:rPr>
          <w:u w:val="none"/>
          <w:lang w:val="en-GB"/>
        </w:rPr>
        <w:t>Swart.</w:t>
      </w:r>
    </w:p>
    <w:p w:rsidR="00FA0481" w:rsidRPr="00026FA9" w:rsidRDefault="00FA0481" w:rsidP="00FA0481">
      <w:pPr>
        <w:widowControl w:val="0"/>
        <w:spacing w:line="360" w:lineRule="auto"/>
        <w:rPr>
          <w:u w:val="none"/>
          <w:lang w:val="en-GB"/>
        </w:rPr>
      </w:pPr>
    </w:p>
    <w:p w:rsidR="00FA0481" w:rsidRPr="00026FA9" w:rsidRDefault="00A4004F" w:rsidP="00FA0481">
      <w:pPr>
        <w:widowControl w:val="0"/>
        <w:spacing w:line="480" w:lineRule="auto"/>
        <w:jc w:val="both"/>
        <w:rPr>
          <w:u w:val="none"/>
          <w:lang w:val="en-GB"/>
        </w:rPr>
      </w:pPr>
      <w:r>
        <w:rPr>
          <w:u w:val="none"/>
          <w:lang w:val="en-GB"/>
        </w:rPr>
        <w:t>[42</w:t>
      </w:r>
      <w:r w:rsidR="00FA0481">
        <w:rPr>
          <w:u w:val="none"/>
          <w:lang w:val="en-GB"/>
        </w:rPr>
        <w:t>]</w:t>
      </w:r>
      <w:r w:rsidR="00FA0481">
        <w:rPr>
          <w:u w:val="none"/>
          <w:lang w:val="en-GB"/>
        </w:rPr>
        <w:tab/>
      </w:r>
      <w:r w:rsidR="00FA0481" w:rsidRPr="00026FA9">
        <w:rPr>
          <w:u w:val="none"/>
          <w:lang w:val="en-GB"/>
        </w:rPr>
        <w:t xml:space="preserve">In </w:t>
      </w:r>
      <w:r w:rsidR="005746A9">
        <w:rPr>
          <w:bCs/>
          <w:i/>
          <w:u w:val="none"/>
          <w:lang w:val="en-GB"/>
        </w:rPr>
        <w:t>Pexmart</w:t>
      </w:r>
      <w:r w:rsidR="005746A9" w:rsidRPr="00026FA9">
        <w:rPr>
          <w:u w:val="none"/>
          <w:lang w:val="en-GB"/>
        </w:rPr>
        <w:t xml:space="preserve"> </w:t>
      </w:r>
      <w:r w:rsidR="005746A9">
        <w:rPr>
          <w:u w:val="none"/>
          <w:lang w:val="en-GB"/>
        </w:rPr>
        <w:t>the</w:t>
      </w:r>
      <w:r w:rsidR="00FA0481" w:rsidRPr="00026FA9">
        <w:rPr>
          <w:u w:val="none"/>
          <w:lang w:val="en-GB"/>
        </w:rPr>
        <w:t xml:space="preserve"> Court held that the probable reason for not calling Mr</w:t>
      </w:r>
      <w:r w:rsidR="00AB38E1">
        <w:rPr>
          <w:u w:val="none"/>
          <w:lang w:val="en-GB"/>
        </w:rPr>
        <w:t>.</w:t>
      </w:r>
      <w:r w:rsidR="00FA0481" w:rsidRPr="00026FA9">
        <w:rPr>
          <w:u w:val="none"/>
          <w:lang w:val="en-GB"/>
        </w:rPr>
        <w:t xml:space="preserve"> Henn as a witness was that it was feared that his evidence would expose facts unfavourable to the plaintiff’s case. There is no basis for such an inference </w:t>
      </w:r>
      <w:r w:rsidR="00FA0481" w:rsidRPr="00026FA9">
        <w:rPr>
          <w:u w:val="none"/>
          <w:lang w:val="en-GB"/>
        </w:rPr>
        <w:lastRenderedPageBreak/>
        <w:t>in this</w:t>
      </w:r>
      <w:r w:rsidR="00FA0481">
        <w:rPr>
          <w:u w:val="none"/>
          <w:lang w:val="en-GB"/>
        </w:rPr>
        <w:t xml:space="preserve"> case</w:t>
      </w:r>
      <w:r w:rsidR="00187D7E">
        <w:rPr>
          <w:u w:val="none"/>
          <w:lang w:val="en-GB"/>
        </w:rPr>
        <w:t>, a</w:t>
      </w:r>
      <w:r w:rsidR="00FA0481">
        <w:rPr>
          <w:u w:val="none"/>
          <w:lang w:val="en-GB"/>
        </w:rPr>
        <w:t>s the evidence of M</w:t>
      </w:r>
      <w:r w:rsidR="00FA0481" w:rsidRPr="00026FA9">
        <w:rPr>
          <w:u w:val="none"/>
          <w:lang w:val="en-GB"/>
        </w:rPr>
        <w:t>s</w:t>
      </w:r>
      <w:r w:rsidR="00AB38E1">
        <w:rPr>
          <w:u w:val="none"/>
          <w:lang w:val="en-GB"/>
        </w:rPr>
        <w:t>.</w:t>
      </w:r>
      <w:r w:rsidR="00FA0481" w:rsidRPr="00026FA9">
        <w:rPr>
          <w:u w:val="none"/>
          <w:lang w:val="en-GB"/>
        </w:rPr>
        <w:t xml:space="preserve"> Smuts</w:t>
      </w:r>
      <w:r>
        <w:rPr>
          <w:u w:val="none"/>
          <w:lang w:val="en-GB"/>
        </w:rPr>
        <w:t>,</w:t>
      </w:r>
      <w:r w:rsidR="00FA0481" w:rsidRPr="00026FA9">
        <w:rPr>
          <w:u w:val="none"/>
          <w:lang w:val="en-GB"/>
        </w:rPr>
        <w:t xml:space="preserve"> that </w:t>
      </w:r>
      <w:r w:rsidR="00FA0481">
        <w:rPr>
          <w:u w:val="none"/>
          <w:lang w:val="en-GB"/>
        </w:rPr>
        <w:t>Mr</w:t>
      </w:r>
      <w:r w:rsidR="00AB38E1">
        <w:rPr>
          <w:u w:val="none"/>
          <w:lang w:val="en-GB"/>
        </w:rPr>
        <w:t>.</w:t>
      </w:r>
      <w:r w:rsidR="00FA0481">
        <w:rPr>
          <w:u w:val="none"/>
          <w:lang w:val="en-GB"/>
        </w:rPr>
        <w:t xml:space="preserve"> </w:t>
      </w:r>
      <w:r w:rsidR="00FA0481" w:rsidRPr="00026FA9">
        <w:rPr>
          <w:u w:val="none"/>
          <w:lang w:val="en-GB"/>
        </w:rPr>
        <w:t>Swart had not read the document</w:t>
      </w:r>
      <w:r>
        <w:rPr>
          <w:u w:val="none"/>
          <w:lang w:val="en-GB"/>
        </w:rPr>
        <w:t>,</w:t>
      </w:r>
      <w:r w:rsidR="00FA0481" w:rsidRPr="00026FA9">
        <w:rPr>
          <w:u w:val="none"/>
          <w:lang w:val="en-GB"/>
        </w:rPr>
        <w:t xml:space="preserve"> was not challenged</w:t>
      </w:r>
      <w:r w:rsidR="00FA0481">
        <w:rPr>
          <w:u w:val="none"/>
          <w:lang w:val="en-GB"/>
        </w:rPr>
        <w:t>.</w:t>
      </w:r>
    </w:p>
    <w:p w:rsidR="00FA0481" w:rsidRPr="00026FA9" w:rsidRDefault="00FA0481" w:rsidP="00FA0481">
      <w:pPr>
        <w:spacing w:line="360" w:lineRule="auto"/>
        <w:rPr>
          <w:u w:val="none"/>
          <w:lang w:val="en-GB"/>
        </w:rPr>
      </w:pPr>
    </w:p>
    <w:p w:rsidR="00FA0481" w:rsidRPr="00026FA9" w:rsidRDefault="00A4004F" w:rsidP="00FA0481">
      <w:pPr>
        <w:widowControl w:val="0"/>
        <w:spacing w:line="480" w:lineRule="auto"/>
        <w:jc w:val="both"/>
        <w:rPr>
          <w:u w:val="none"/>
          <w:lang w:val="en-GB"/>
        </w:rPr>
      </w:pPr>
      <w:r>
        <w:rPr>
          <w:u w:val="none"/>
          <w:lang w:val="en-GB"/>
        </w:rPr>
        <w:t>[43</w:t>
      </w:r>
      <w:r w:rsidR="00FA0481">
        <w:rPr>
          <w:u w:val="none"/>
          <w:lang w:val="en-GB"/>
        </w:rPr>
        <w:t>]</w:t>
      </w:r>
      <w:r w:rsidR="00FA0481">
        <w:rPr>
          <w:u w:val="none"/>
          <w:lang w:val="en-GB"/>
        </w:rPr>
        <w:tab/>
      </w:r>
      <w:r w:rsidR="00FA0481" w:rsidRPr="00026FA9">
        <w:rPr>
          <w:u w:val="none"/>
          <w:lang w:val="en-GB"/>
        </w:rPr>
        <w:t xml:space="preserve">In the circumstances of this matter, there is no basis upon which an adverse inference can properly be drawn that </w:t>
      </w:r>
      <w:r w:rsidR="00FA0481">
        <w:rPr>
          <w:u w:val="none"/>
          <w:lang w:val="en-GB"/>
        </w:rPr>
        <w:t>Ms</w:t>
      </w:r>
      <w:r w:rsidR="00187D7E">
        <w:rPr>
          <w:u w:val="none"/>
          <w:lang w:val="en-GB"/>
        </w:rPr>
        <w:t>.</w:t>
      </w:r>
      <w:r w:rsidR="00FA0481">
        <w:rPr>
          <w:u w:val="none"/>
          <w:lang w:val="en-GB"/>
        </w:rPr>
        <w:t xml:space="preserve"> </w:t>
      </w:r>
      <w:r w:rsidR="00FA0481" w:rsidRPr="00026FA9">
        <w:rPr>
          <w:u w:val="none"/>
          <w:lang w:val="en-GB"/>
        </w:rPr>
        <w:t xml:space="preserve">Smuts was wrong in her evidence that </w:t>
      </w:r>
      <w:r w:rsidR="00FA0481">
        <w:rPr>
          <w:u w:val="none"/>
          <w:lang w:val="en-GB"/>
        </w:rPr>
        <w:t>Mr</w:t>
      </w:r>
      <w:r w:rsidR="00187D7E">
        <w:rPr>
          <w:u w:val="none"/>
          <w:lang w:val="en-GB"/>
        </w:rPr>
        <w:t>.</w:t>
      </w:r>
      <w:r w:rsidR="00FA0481">
        <w:rPr>
          <w:u w:val="none"/>
          <w:lang w:val="en-GB"/>
        </w:rPr>
        <w:t xml:space="preserve"> </w:t>
      </w:r>
      <w:r w:rsidR="00FA0481" w:rsidRPr="00026FA9">
        <w:rPr>
          <w:u w:val="none"/>
          <w:lang w:val="en-GB"/>
        </w:rPr>
        <w:t xml:space="preserve">Swart had not read the document, and that had </w:t>
      </w:r>
      <w:r w:rsidR="00FA0481">
        <w:rPr>
          <w:u w:val="none"/>
          <w:lang w:val="en-GB"/>
        </w:rPr>
        <w:t>Mr</w:t>
      </w:r>
      <w:r w:rsidR="00187D7E">
        <w:rPr>
          <w:u w:val="none"/>
          <w:lang w:val="en-GB"/>
        </w:rPr>
        <w:t>.</w:t>
      </w:r>
      <w:r w:rsidR="00FA0481">
        <w:rPr>
          <w:u w:val="none"/>
          <w:lang w:val="en-GB"/>
        </w:rPr>
        <w:t xml:space="preserve"> </w:t>
      </w:r>
      <w:r w:rsidR="00FA0481" w:rsidRPr="00026FA9">
        <w:rPr>
          <w:u w:val="none"/>
          <w:lang w:val="en-GB"/>
        </w:rPr>
        <w:t>Swart been called</w:t>
      </w:r>
      <w:r w:rsidR="00FA0481">
        <w:rPr>
          <w:u w:val="none"/>
          <w:lang w:val="en-GB"/>
        </w:rPr>
        <w:t>,</w:t>
      </w:r>
      <w:r w:rsidR="00FA0481" w:rsidRPr="00026FA9">
        <w:rPr>
          <w:u w:val="none"/>
          <w:lang w:val="en-GB"/>
        </w:rPr>
        <w:t xml:space="preserve"> he would have confirmed that he read the document and was aware of the stipulation that two tracking units must be installed </w:t>
      </w:r>
      <w:r w:rsidR="00FA0481">
        <w:rPr>
          <w:u w:val="none"/>
          <w:lang w:val="en-GB"/>
        </w:rPr>
        <w:t xml:space="preserve">to </w:t>
      </w:r>
      <w:r w:rsidR="00FA0481" w:rsidRPr="00026FA9">
        <w:rPr>
          <w:u w:val="none"/>
          <w:lang w:val="en-GB"/>
        </w:rPr>
        <w:t xml:space="preserve">the vehicle. </w:t>
      </w:r>
    </w:p>
    <w:p w:rsidR="00FA0481" w:rsidRDefault="00FA0481" w:rsidP="003F2DF8">
      <w:pPr>
        <w:spacing w:line="480" w:lineRule="auto"/>
        <w:jc w:val="both"/>
        <w:rPr>
          <w:u w:val="none"/>
          <w:lang w:val="en-US"/>
        </w:rPr>
      </w:pPr>
    </w:p>
    <w:p w:rsidR="003F2DF8" w:rsidRDefault="00A4004F" w:rsidP="003F2DF8">
      <w:pPr>
        <w:spacing w:line="480" w:lineRule="auto"/>
        <w:jc w:val="both"/>
        <w:rPr>
          <w:u w:val="none"/>
          <w:lang w:val="en-US"/>
        </w:rPr>
      </w:pPr>
      <w:r>
        <w:rPr>
          <w:u w:val="none"/>
          <w:lang w:val="en-US"/>
        </w:rPr>
        <w:t>[44</w:t>
      </w:r>
      <w:r w:rsidR="003F2DF8">
        <w:rPr>
          <w:u w:val="none"/>
          <w:lang w:val="en-US"/>
        </w:rPr>
        <w:t>]</w:t>
      </w:r>
      <w:r w:rsidR="003F2DF8">
        <w:rPr>
          <w:u w:val="none"/>
          <w:lang w:val="en-US"/>
        </w:rPr>
        <w:tab/>
        <w:t xml:space="preserve">The Court </w:t>
      </w:r>
      <w:r w:rsidR="003F2DF8" w:rsidRPr="003F2DF8">
        <w:rPr>
          <w:i/>
          <w:u w:val="none"/>
          <w:lang w:val="en-US"/>
        </w:rPr>
        <w:t>a quo</w:t>
      </w:r>
      <w:r w:rsidR="003F2DF8">
        <w:rPr>
          <w:u w:val="none"/>
          <w:lang w:val="en-US"/>
        </w:rPr>
        <w:t xml:space="preserve"> </w:t>
      </w:r>
      <w:r w:rsidR="00FA0481">
        <w:rPr>
          <w:u w:val="none"/>
          <w:lang w:val="en-US"/>
        </w:rPr>
        <w:t xml:space="preserve">continued to find </w:t>
      </w:r>
      <w:r w:rsidR="003F2DF8">
        <w:rPr>
          <w:u w:val="none"/>
          <w:lang w:val="en-US"/>
        </w:rPr>
        <w:t>that the agreemen</w:t>
      </w:r>
      <w:r w:rsidR="007050C8">
        <w:rPr>
          <w:u w:val="none"/>
          <w:lang w:val="en-US"/>
        </w:rPr>
        <w:t>t with Centriq and the meaning o</w:t>
      </w:r>
      <w:r w:rsidR="003F2DF8">
        <w:rPr>
          <w:u w:val="none"/>
          <w:lang w:val="en-US"/>
        </w:rPr>
        <w:t>f the two devices being required, could not be used to interpret the terms and conditions of the RMB agreement, and was</w:t>
      </w:r>
      <w:r w:rsidR="003F2DF8">
        <w:rPr>
          <w:i/>
          <w:u w:val="none"/>
          <w:lang w:val="en-US"/>
        </w:rPr>
        <w:t xml:space="preserve"> res inter </w:t>
      </w:r>
      <w:r w:rsidR="00055B73">
        <w:rPr>
          <w:i/>
          <w:u w:val="none"/>
          <w:lang w:val="en-US"/>
        </w:rPr>
        <w:t xml:space="preserve">alias </w:t>
      </w:r>
      <w:r w:rsidR="00055B73" w:rsidRPr="003F2DF8">
        <w:rPr>
          <w:i/>
          <w:u w:val="none"/>
          <w:lang w:val="en-US"/>
        </w:rPr>
        <w:t>acta</w:t>
      </w:r>
      <w:r w:rsidR="003F2DF8">
        <w:rPr>
          <w:u w:val="none"/>
          <w:lang w:val="en-US"/>
        </w:rPr>
        <w:t>. The Court concluded that Dalmar failed to prove a misrepresentation</w:t>
      </w:r>
      <w:r w:rsidR="00990C71">
        <w:rPr>
          <w:u w:val="none"/>
          <w:lang w:val="en-US"/>
        </w:rPr>
        <w:t>,</w:t>
      </w:r>
      <w:r w:rsidR="003F2DF8">
        <w:rPr>
          <w:u w:val="none"/>
          <w:lang w:val="en-US"/>
        </w:rPr>
        <w:t xml:space="preserve"> or a f</w:t>
      </w:r>
      <w:r w:rsidR="007050C8">
        <w:rPr>
          <w:u w:val="none"/>
          <w:lang w:val="en-US"/>
        </w:rPr>
        <w:t>ailure to properly investigate o</w:t>
      </w:r>
      <w:r w:rsidR="003F2DF8">
        <w:rPr>
          <w:u w:val="none"/>
          <w:lang w:val="en-US"/>
        </w:rPr>
        <w:t>n t</w:t>
      </w:r>
      <w:r w:rsidR="00FD78EA">
        <w:rPr>
          <w:u w:val="none"/>
          <w:lang w:val="en-US"/>
        </w:rPr>
        <w:t>he part of Optimum, as a cause o</w:t>
      </w:r>
      <w:r w:rsidR="003F2DF8">
        <w:rPr>
          <w:u w:val="none"/>
          <w:lang w:val="en-US"/>
        </w:rPr>
        <w:t xml:space="preserve">f action. However, Dalmar’s claim was not based on a misrepresentation. </w:t>
      </w:r>
      <w:r w:rsidR="00990C71">
        <w:rPr>
          <w:u w:val="none"/>
          <w:lang w:val="en-US"/>
        </w:rPr>
        <w:t xml:space="preserve">The record shows that </w:t>
      </w:r>
      <w:r w:rsidR="003F2DF8">
        <w:rPr>
          <w:u w:val="none"/>
          <w:lang w:val="en-US"/>
        </w:rPr>
        <w:t>Dalmar accepted that it was bound by the terms of the insurance agree</w:t>
      </w:r>
      <w:r w:rsidR="007050C8">
        <w:rPr>
          <w:u w:val="none"/>
          <w:lang w:val="en-US"/>
        </w:rPr>
        <w:t>ment and that is why the claim wa</w:t>
      </w:r>
      <w:r w:rsidR="003F2DF8">
        <w:rPr>
          <w:u w:val="none"/>
          <w:lang w:val="en-US"/>
        </w:rPr>
        <w:t xml:space="preserve">s against Optimum and not RMB. In this regard the Court </w:t>
      </w:r>
      <w:r w:rsidR="003F2DF8" w:rsidRPr="003F2DF8">
        <w:rPr>
          <w:i/>
          <w:u w:val="none"/>
          <w:lang w:val="en-US"/>
        </w:rPr>
        <w:t>a quo</w:t>
      </w:r>
      <w:r w:rsidR="003F2DF8">
        <w:rPr>
          <w:u w:val="none"/>
          <w:lang w:val="en-US"/>
        </w:rPr>
        <w:t xml:space="preserve"> failed to appreciate the nature of Dalmar’s claim.</w:t>
      </w:r>
    </w:p>
    <w:p w:rsidR="003F2DF8" w:rsidRDefault="003F2DF8" w:rsidP="003F2DF8">
      <w:pPr>
        <w:spacing w:line="480" w:lineRule="auto"/>
        <w:jc w:val="both"/>
        <w:rPr>
          <w:u w:val="none"/>
          <w:lang w:val="en-US"/>
        </w:rPr>
      </w:pPr>
    </w:p>
    <w:p w:rsidR="00CA374B" w:rsidRDefault="00A4004F" w:rsidP="003F2DF8">
      <w:pPr>
        <w:spacing w:line="480" w:lineRule="auto"/>
        <w:jc w:val="both"/>
        <w:rPr>
          <w:u w:val="none"/>
          <w:lang w:val="en-US"/>
        </w:rPr>
      </w:pPr>
      <w:r>
        <w:rPr>
          <w:u w:val="none"/>
          <w:lang w:val="en-US"/>
        </w:rPr>
        <w:t>[45</w:t>
      </w:r>
      <w:r w:rsidR="003F2DF8">
        <w:rPr>
          <w:u w:val="none"/>
          <w:lang w:val="en-US"/>
        </w:rPr>
        <w:t>]</w:t>
      </w:r>
      <w:r w:rsidR="003F2DF8">
        <w:rPr>
          <w:u w:val="none"/>
          <w:lang w:val="en-US"/>
        </w:rPr>
        <w:tab/>
        <w:t xml:space="preserve">The Court </w:t>
      </w:r>
      <w:r w:rsidR="003F2DF8" w:rsidRPr="003F2DF8">
        <w:rPr>
          <w:i/>
          <w:u w:val="none"/>
          <w:lang w:val="en-US"/>
        </w:rPr>
        <w:t>a quo</w:t>
      </w:r>
      <w:r w:rsidR="003F2DF8">
        <w:rPr>
          <w:u w:val="none"/>
          <w:lang w:val="en-US"/>
        </w:rPr>
        <w:t xml:space="preserve"> did not consider the fact that Dalmar signed and was bound by the terms of the RMB agreement</w:t>
      </w:r>
      <w:r w:rsidR="006237CE">
        <w:rPr>
          <w:u w:val="none"/>
          <w:lang w:val="en-US"/>
        </w:rPr>
        <w:t>. I</w:t>
      </w:r>
      <w:r w:rsidR="003F2DF8">
        <w:rPr>
          <w:u w:val="none"/>
          <w:lang w:val="en-US"/>
        </w:rPr>
        <w:t>t</w:t>
      </w:r>
      <w:r w:rsidR="006237CE">
        <w:rPr>
          <w:u w:val="none"/>
          <w:lang w:val="en-US"/>
        </w:rPr>
        <w:t xml:space="preserve"> however</w:t>
      </w:r>
      <w:r w:rsidR="003F2DF8">
        <w:rPr>
          <w:u w:val="none"/>
          <w:lang w:val="en-US"/>
        </w:rPr>
        <w:t xml:space="preserve"> does not follow by necessary implication that Dalmar understood the specific requirement that an additional tracking device had to be installed to the vehicle</w:t>
      </w:r>
      <w:r w:rsidR="006237CE">
        <w:rPr>
          <w:u w:val="none"/>
          <w:lang w:val="en-US"/>
        </w:rPr>
        <w:t>. I</w:t>
      </w:r>
      <w:r w:rsidR="003F2DF8">
        <w:rPr>
          <w:u w:val="none"/>
          <w:lang w:val="en-US"/>
        </w:rPr>
        <w:t xml:space="preserve">t would seem that the Court </w:t>
      </w:r>
      <w:r w:rsidR="003F2DF8" w:rsidRPr="003F2DF8">
        <w:rPr>
          <w:i/>
          <w:u w:val="none"/>
          <w:lang w:val="en-US"/>
        </w:rPr>
        <w:t>a quo</w:t>
      </w:r>
      <w:r w:rsidR="003F2DF8">
        <w:rPr>
          <w:u w:val="none"/>
          <w:lang w:val="en-US"/>
        </w:rPr>
        <w:t xml:space="preserve"> </w:t>
      </w:r>
      <w:r w:rsidR="00C56DB2">
        <w:rPr>
          <w:u w:val="none"/>
          <w:lang w:val="en-US"/>
        </w:rPr>
        <w:t xml:space="preserve">confused the principles of </w:t>
      </w:r>
      <w:r w:rsidR="006237CE">
        <w:rPr>
          <w:i/>
          <w:u w:val="none"/>
          <w:lang w:val="en-US"/>
        </w:rPr>
        <w:t>caveat subscripto</w:t>
      </w:r>
      <w:r w:rsidR="00C56DB2" w:rsidRPr="00C56DB2">
        <w:rPr>
          <w:i/>
          <w:u w:val="none"/>
          <w:lang w:val="en-US"/>
        </w:rPr>
        <w:t>r</w:t>
      </w:r>
      <w:r w:rsidR="00C56DB2">
        <w:rPr>
          <w:u w:val="none"/>
          <w:lang w:val="en-US"/>
        </w:rPr>
        <w:t xml:space="preserve"> and the duty of an insurance broker towards his client</w:t>
      </w:r>
      <w:r>
        <w:rPr>
          <w:u w:val="none"/>
          <w:lang w:val="en-US"/>
        </w:rPr>
        <w:t>.</w:t>
      </w:r>
    </w:p>
    <w:p w:rsidR="00CA374B" w:rsidRDefault="00CA374B" w:rsidP="003F2DF8">
      <w:pPr>
        <w:spacing w:line="480" w:lineRule="auto"/>
        <w:jc w:val="both"/>
        <w:rPr>
          <w:u w:val="none"/>
          <w:lang w:val="en-US"/>
        </w:rPr>
      </w:pPr>
    </w:p>
    <w:p w:rsidR="006237CE" w:rsidRDefault="00A4004F" w:rsidP="006237CE">
      <w:pPr>
        <w:widowControl w:val="0"/>
        <w:spacing w:line="480" w:lineRule="auto"/>
        <w:jc w:val="both"/>
        <w:rPr>
          <w:u w:val="none"/>
          <w:lang w:val="en-GB"/>
        </w:rPr>
      </w:pPr>
      <w:r>
        <w:rPr>
          <w:u w:val="none"/>
          <w:lang w:val="en-GB"/>
        </w:rPr>
        <w:lastRenderedPageBreak/>
        <w:t>[46</w:t>
      </w:r>
      <w:r w:rsidR="006237CE">
        <w:rPr>
          <w:u w:val="none"/>
          <w:lang w:val="en-GB"/>
        </w:rPr>
        <w:t>]</w:t>
      </w:r>
      <w:r w:rsidR="006237CE">
        <w:rPr>
          <w:u w:val="none"/>
          <w:lang w:val="en-GB"/>
        </w:rPr>
        <w:tab/>
      </w:r>
      <w:r w:rsidR="001E3E40">
        <w:rPr>
          <w:u w:val="none"/>
          <w:lang w:val="en-GB"/>
        </w:rPr>
        <w:t xml:space="preserve">As far as the interpretation of </w:t>
      </w:r>
      <w:r w:rsidR="00055B73">
        <w:rPr>
          <w:u w:val="none"/>
          <w:lang w:val="en-GB"/>
        </w:rPr>
        <w:t>contracts</w:t>
      </w:r>
      <w:r w:rsidR="001E3E40">
        <w:rPr>
          <w:u w:val="none"/>
          <w:lang w:val="en-GB"/>
        </w:rPr>
        <w:t xml:space="preserve"> are concerned</w:t>
      </w:r>
      <w:r>
        <w:rPr>
          <w:u w:val="none"/>
          <w:lang w:val="en-GB"/>
        </w:rPr>
        <w:t xml:space="preserve">, as the case is here, </w:t>
      </w:r>
      <w:r w:rsidR="001E3E40">
        <w:rPr>
          <w:u w:val="none"/>
          <w:lang w:val="en-GB"/>
        </w:rPr>
        <w:t xml:space="preserve"> it must be</w:t>
      </w:r>
      <w:r w:rsidR="00925F6B">
        <w:rPr>
          <w:u w:val="none"/>
          <w:lang w:val="en-GB"/>
        </w:rPr>
        <w:t xml:space="preserve"> </w:t>
      </w:r>
      <w:r>
        <w:rPr>
          <w:u w:val="none"/>
          <w:lang w:val="en-GB"/>
        </w:rPr>
        <w:t xml:space="preserve">noted </w:t>
      </w:r>
      <w:r w:rsidR="001E3E40">
        <w:rPr>
          <w:u w:val="none"/>
          <w:lang w:val="en-GB"/>
        </w:rPr>
        <w:t>that i</w:t>
      </w:r>
      <w:r w:rsidR="006237CE" w:rsidRPr="008A2CCD">
        <w:rPr>
          <w:u w:val="none"/>
          <w:lang w:val="en-GB"/>
        </w:rPr>
        <w:t xml:space="preserve">n the matter of </w:t>
      </w:r>
      <w:r w:rsidR="006237CE" w:rsidRPr="008A2CCD">
        <w:rPr>
          <w:bCs/>
          <w:i/>
          <w:u w:val="none"/>
          <w:lang w:val="en-GB"/>
        </w:rPr>
        <w:t xml:space="preserve">Gaffor v </w:t>
      </w:r>
      <w:r w:rsidR="006237CE" w:rsidRPr="008A2CCD">
        <w:rPr>
          <w:bCs/>
          <w:i/>
          <w:u w:val="none"/>
          <w:lang w:val="en-US"/>
        </w:rPr>
        <w:t>Uni Versekerings Adviseurs (Edms) Bpk</w:t>
      </w:r>
      <w:r w:rsidR="006237CE">
        <w:rPr>
          <w:rStyle w:val="FootnoteReference"/>
          <w:bCs/>
          <w:i/>
          <w:u w:val="none"/>
          <w:lang w:val="en-US"/>
        </w:rPr>
        <w:footnoteReference w:id="13"/>
      </w:r>
      <w:r w:rsidR="006237CE" w:rsidRPr="008A2CCD">
        <w:rPr>
          <w:i/>
          <w:u w:val="none"/>
          <w:lang w:val="en-GB"/>
        </w:rPr>
        <w:t xml:space="preserve"> </w:t>
      </w:r>
      <w:r w:rsidR="006237CE">
        <w:rPr>
          <w:i/>
          <w:u w:val="none"/>
          <w:lang w:val="en-GB"/>
        </w:rPr>
        <w:t xml:space="preserve"> </w:t>
      </w:r>
      <w:r w:rsidR="006237CE">
        <w:rPr>
          <w:u w:val="none"/>
          <w:lang w:val="en-GB"/>
        </w:rPr>
        <w:t xml:space="preserve">the Court pointed out that when the interpretation of contracts are in issue the trial court should “… </w:t>
      </w:r>
      <w:r w:rsidR="006237CE" w:rsidRPr="007C1B1E">
        <w:rPr>
          <w:i/>
          <w:u w:val="none"/>
          <w:lang w:val="en-GB"/>
        </w:rPr>
        <w:t>refuse absolution unless, the proper interpretation appears to be beyond question</w:t>
      </w:r>
      <w:r w:rsidR="006237CE">
        <w:rPr>
          <w:u w:val="none"/>
          <w:lang w:val="en-GB"/>
        </w:rPr>
        <w:t>”.</w:t>
      </w:r>
    </w:p>
    <w:p w:rsidR="006237CE" w:rsidRPr="00261D4C" w:rsidRDefault="006237CE" w:rsidP="006237CE">
      <w:pPr>
        <w:widowControl w:val="0"/>
        <w:spacing w:line="480" w:lineRule="auto"/>
        <w:jc w:val="both"/>
        <w:rPr>
          <w:u w:val="none"/>
          <w:lang w:val="en-GB"/>
        </w:rPr>
      </w:pPr>
    </w:p>
    <w:p w:rsidR="006237CE" w:rsidRPr="008A2CCD" w:rsidRDefault="006237CE" w:rsidP="006237CE">
      <w:pPr>
        <w:widowControl w:val="0"/>
        <w:rPr>
          <w:sz w:val="16"/>
          <w:szCs w:val="16"/>
          <w:u w:val="none"/>
          <w:lang w:val="en-GB"/>
        </w:rPr>
      </w:pPr>
    </w:p>
    <w:p w:rsidR="006237CE" w:rsidRPr="008A2CCD" w:rsidRDefault="00A4004F" w:rsidP="006237CE">
      <w:pPr>
        <w:widowControl w:val="0"/>
        <w:spacing w:line="480" w:lineRule="auto"/>
        <w:jc w:val="both"/>
        <w:rPr>
          <w:u w:val="none"/>
          <w:lang w:val="en-GB"/>
        </w:rPr>
      </w:pPr>
      <w:r>
        <w:rPr>
          <w:u w:val="none"/>
          <w:lang w:val="en-GB"/>
        </w:rPr>
        <w:t>[47</w:t>
      </w:r>
      <w:r w:rsidR="006237CE">
        <w:rPr>
          <w:u w:val="none"/>
          <w:lang w:val="en-GB"/>
        </w:rPr>
        <w:t>]</w:t>
      </w:r>
      <w:r w:rsidR="006237CE">
        <w:rPr>
          <w:u w:val="none"/>
          <w:lang w:val="en-GB"/>
        </w:rPr>
        <w:tab/>
      </w:r>
      <w:r w:rsidR="006237CE" w:rsidRPr="008A2CCD">
        <w:rPr>
          <w:u w:val="none"/>
          <w:lang w:val="en-GB"/>
        </w:rPr>
        <w:t>It is obvious that if there was no material change in the requirement relating to the installation of the tracking and recovery device</w:t>
      </w:r>
      <w:r w:rsidR="00925F6B">
        <w:rPr>
          <w:u w:val="none"/>
          <w:lang w:val="en-GB"/>
        </w:rPr>
        <w:t>,</w:t>
      </w:r>
      <w:r w:rsidR="006237CE" w:rsidRPr="008A2CCD">
        <w:rPr>
          <w:u w:val="none"/>
          <w:lang w:val="en-GB"/>
        </w:rPr>
        <w:t xml:space="preserve"> when the RMB policy </w:t>
      </w:r>
      <w:r w:rsidR="00925F6B">
        <w:rPr>
          <w:u w:val="none"/>
          <w:lang w:val="en-GB"/>
        </w:rPr>
        <w:t xml:space="preserve">is </w:t>
      </w:r>
      <w:r w:rsidR="006237CE" w:rsidRPr="008A2CCD">
        <w:rPr>
          <w:u w:val="none"/>
          <w:lang w:val="en-GB"/>
        </w:rPr>
        <w:t>compared to the Centriq policy, then there was no duty on Optimum to point out the wording of the endorsement. But, on the other hand, if there was a material chan</w:t>
      </w:r>
      <w:r w:rsidR="001E3E40">
        <w:rPr>
          <w:u w:val="none"/>
          <w:lang w:val="en-GB"/>
        </w:rPr>
        <w:t xml:space="preserve">ge, then there </w:t>
      </w:r>
      <w:r w:rsidR="006237CE">
        <w:rPr>
          <w:u w:val="none"/>
          <w:lang w:val="en-GB"/>
        </w:rPr>
        <w:t>wa</w:t>
      </w:r>
      <w:r w:rsidR="001E3E40">
        <w:rPr>
          <w:u w:val="none"/>
          <w:lang w:val="en-GB"/>
        </w:rPr>
        <w:t>s</w:t>
      </w:r>
      <w:r w:rsidR="006237CE" w:rsidRPr="008A2CCD">
        <w:rPr>
          <w:u w:val="none"/>
          <w:lang w:val="en-GB"/>
        </w:rPr>
        <w:t xml:space="preserve"> undoubtedly</w:t>
      </w:r>
      <w:r w:rsidR="001E3E40">
        <w:rPr>
          <w:u w:val="none"/>
          <w:lang w:val="en-GB"/>
        </w:rPr>
        <w:t xml:space="preserve"> such a duty</w:t>
      </w:r>
      <w:r w:rsidR="006237CE" w:rsidRPr="008A2CCD">
        <w:rPr>
          <w:u w:val="none"/>
          <w:lang w:val="en-GB"/>
        </w:rPr>
        <w:t>.</w:t>
      </w:r>
    </w:p>
    <w:p w:rsidR="006237CE" w:rsidRDefault="006237CE" w:rsidP="006237CE">
      <w:pPr>
        <w:widowControl w:val="0"/>
        <w:spacing w:line="480" w:lineRule="auto"/>
        <w:jc w:val="both"/>
        <w:rPr>
          <w:u w:val="none"/>
          <w:lang w:val="en-GB"/>
        </w:rPr>
      </w:pPr>
    </w:p>
    <w:p w:rsidR="006237CE" w:rsidRPr="008A2CCD" w:rsidRDefault="00A4004F" w:rsidP="006237CE">
      <w:pPr>
        <w:widowControl w:val="0"/>
        <w:spacing w:line="480" w:lineRule="auto"/>
        <w:jc w:val="both"/>
        <w:rPr>
          <w:u w:val="none"/>
          <w:lang w:val="en-GB"/>
        </w:rPr>
      </w:pPr>
      <w:r>
        <w:rPr>
          <w:u w:val="none"/>
          <w:lang w:val="en-GB"/>
        </w:rPr>
        <w:t>[48</w:t>
      </w:r>
      <w:r w:rsidR="006237CE">
        <w:rPr>
          <w:u w:val="none"/>
          <w:lang w:val="en-GB"/>
        </w:rPr>
        <w:t>]</w:t>
      </w:r>
      <w:r w:rsidR="006237CE">
        <w:rPr>
          <w:u w:val="none"/>
          <w:lang w:val="en-GB"/>
        </w:rPr>
        <w:tab/>
        <w:t>T</w:t>
      </w:r>
      <w:r w:rsidR="006237CE" w:rsidRPr="008A2CCD">
        <w:rPr>
          <w:u w:val="none"/>
          <w:lang w:val="en-GB"/>
        </w:rPr>
        <w:t xml:space="preserve">he Court </w:t>
      </w:r>
      <w:r w:rsidR="006237CE" w:rsidRPr="00081BB2">
        <w:rPr>
          <w:i/>
          <w:u w:val="none"/>
          <w:lang w:val="en-GB"/>
        </w:rPr>
        <w:t xml:space="preserve">a quo </w:t>
      </w:r>
      <w:r w:rsidR="006237CE" w:rsidRPr="008A2CCD">
        <w:rPr>
          <w:u w:val="none"/>
          <w:lang w:val="en-GB"/>
        </w:rPr>
        <w:t xml:space="preserve">stated that the Centriq policy required that two self tracking devices must be fitted </w:t>
      </w:r>
      <w:r w:rsidR="00FA0481">
        <w:rPr>
          <w:u w:val="none"/>
          <w:lang w:val="en-GB"/>
        </w:rPr>
        <w:t>to the vehicle and then proceeded</w:t>
      </w:r>
      <w:r w:rsidR="006237CE" w:rsidRPr="008A2CCD">
        <w:rPr>
          <w:u w:val="none"/>
          <w:lang w:val="en-GB"/>
        </w:rPr>
        <w:t xml:space="preserve"> to quote words on the basis that these appeared in the Centriq policy being “</w:t>
      </w:r>
      <w:r w:rsidR="006237CE" w:rsidRPr="008A2CCD">
        <w:rPr>
          <w:i/>
          <w:iCs/>
          <w:u w:val="none"/>
          <w:lang w:val="en-GB"/>
        </w:rPr>
        <w:t>self arming tracking and recovery device warranty (two units to be installed)</w:t>
      </w:r>
      <w:r w:rsidR="006237CE" w:rsidRPr="008A2CCD">
        <w:rPr>
          <w:u w:val="none"/>
          <w:lang w:val="en-GB"/>
        </w:rPr>
        <w:t>”.</w:t>
      </w:r>
      <w:r w:rsidR="006237CE" w:rsidRPr="00752DDA">
        <w:rPr>
          <w:u w:val="none"/>
          <w:lang w:val="en-GB"/>
        </w:rPr>
        <w:t xml:space="preserve"> </w:t>
      </w:r>
      <w:r w:rsidR="006237CE">
        <w:rPr>
          <w:u w:val="none"/>
          <w:lang w:val="en-GB"/>
        </w:rPr>
        <w:t>T</w:t>
      </w:r>
      <w:r w:rsidR="006237CE" w:rsidRPr="00752DDA">
        <w:rPr>
          <w:bCs/>
          <w:u w:val="none"/>
          <w:lang w:val="en-GB"/>
        </w:rPr>
        <w:t xml:space="preserve">his is </w:t>
      </w:r>
      <w:r w:rsidR="006237CE">
        <w:rPr>
          <w:bCs/>
          <w:u w:val="none"/>
          <w:lang w:val="en-GB"/>
        </w:rPr>
        <w:t xml:space="preserve">however </w:t>
      </w:r>
      <w:r w:rsidR="006237CE" w:rsidRPr="00752DDA">
        <w:rPr>
          <w:bCs/>
          <w:u w:val="none"/>
          <w:lang w:val="en-GB"/>
        </w:rPr>
        <w:t xml:space="preserve">not the wording of the endorsement in the Centriq policy, but is the wording of the endorsement in the subsequent RMB policy. The Court referred to annexure “POC1” </w:t>
      </w:r>
      <w:r w:rsidR="006237CE">
        <w:rPr>
          <w:bCs/>
          <w:u w:val="none"/>
          <w:lang w:val="en-GB"/>
        </w:rPr>
        <w:t xml:space="preserve">but </w:t>
      </w:r>
      <w:r w:rsidR="001E3E40">
        <w:rPr>
          <w:bCs/>
          <w:u w:val="none"/>
          <w:lang w:val="en-GB"/>
        </w:rPr>
        <w:t xml:space="preserve">the </w:t>
      </w:r>
      <w:r w:rsidR="006237CE" w:rsidRPr="00752DDA">
        <w:rPr>
          <w:bCs/>
          <w:u w:val="none"/>
          <w:lang w:val="en-GB"/>
        </w:rPr>
        <w:t>wording appears</w:t>
      </w:r>
      <w:r w:rsidR="001E3E40">
        <w:rPr>
          <w:bCs/>
          <w:u w:val="none"/>
          <w:lang w:val="en-GB"/>
        </w:rPr>
        <w:t xml:space="preserve"> in the </w:t>
      </w:r>
      <w:r w:rsidR="006237CE" w:rsidRPr="00752DDA">
        <w:rPr>
          <w:bCs/>
          <w:u w:val="none"/>
          <w:lang w:val="en-GB"/>
        </w:rPr>
        <w:t xml:space="preserve">endorsement in annexure “POC2”, </w:t>
      </w:r>
      <w:r w:rsidR="006237CE">
        <w:rPr>
          <w:bCs/>
          <w:u w:val="none"/>
          <w:lang w:val="en-GB"/>
        </w:rPr>
        <w:t xml:space="preserve">which is </w:t>
      </w:r>
      <w:r w:rsidR="006237CE" w:rsidRPr="00752DDA">
        <w:rPr>
          <w:bCs/>
          <w:u w:val="none"/>
          <w:lang w:val="en-GB"/>
        </w:rPr>
        <w:t>the RMB policy</w:t>
      </w:r>
      <w:r w:rsidR="006237CE">
        <w:rPr>
          <w:u w:val="none"/>
          <w:lang w:val="en-GB"/>
        </w:rPr>
        <w:t xml:space="preserve">. </w:t>
      </w:r>
      <w:r w:rsidR="001E3E40">
        <w:rPr>
          <w:u w:val="none"/>
          <w:lang w:val="en-GB"/>
        </w:rPr>
        <w:t>As a result, t</w:t>
      </w:r>
      <w:r w:rsidR="006237CE" w:rsidRPr="008A2CCD">
        <w:rPr>
          <w:u w:val="none"/>
          <w:lang w:val="en-GB"/>
        </w:rPr>
        <w:t xml:space="preserve">he wording which the Court </w:t>
      </w:r>
      <w:r w:rsidR="006237CE" w:rsidRPr="00081BB2">
        <w:rPr>
          <w:i/>
          <w:u w:val="none"/>
          <w:lang w:val="en-GB"/>
        </w:rPr>
        <w:t xml:space="preserve">a quo </w:t>
      </w:r>
      <w:r w:rsidR="006237CE" w:rsidRPr="008A2CCD">
        <w:rPr>
          <w:u w:val="none"/>
          <w:lang w:val="en-GB"/>
        </w:rPr>
        <w:t>relied upon for finding that the Centriq policy required that two self tracking devices must be fitted</w:t>
      </w:r>
      <w:r w:rsidR="001E3E40">
        <w:rPr>
          <w:u w:val="none"/>
          <w:lang w:val="en-GB"/>
        </w:rPr>
        <w:t>,</w:t>
      </w:r>
      <w:r w:rsidR="006237CE" w:rsidRPr="008A2CCD">
        <w:rPr>
          <w:u w:val="none"/>
          <w:lang w:val="en-GB"/>
        </w:rPr>
        <w:t xml:space="preserve"> does not appear in the Centriq policy</w:t>
      </w:r>
      <w:r w:rsidR="001E3E40">
        <w:rPr>
          <w:u w:val="none"/>
          <w:lang w:val="en-GB"/>
        </w:rPr>
        <w:t>,</w:t>
      </w:r>
      <w:r w:rsidR="006237CE" w:rsidRPr="008A2CCD">
        <w:rPr>
          <w:u w:val="none"/>
          <w:lang w:val="en-GB"/>
        </w:rPr>
        <w:t xml:space="preserve"> but appears in the subsequent RMB policy. </w:t>
      </w:r>
    </w:p>
    <w:p w:rsidR="006237CE" w:rsidRPr="008A2CCD" w:rsidRDefault="006237CE" w:rsidP="006237CE">
      <w:pPr>
        <w:spacing w:line="360" w:lineRule="auto"/>
        <w:rPr>
          <w:u w:val="none"/>
          <w:lang w:val="en-GB"/>
        </w:rPr>
      </w:pPr>
    </w:p>
    <w:p w:rsidR="006237CE" w:rsidRDefault="00A4004F" w:rsidP="006237CE">
      <w:pPr>
        <w:widowControl w:val="0"/>
        <w:spacing w:line="480" w:lineRule="auto"/>
        <w:jc w:val="both"/>
        <w:rPr>
          <w:u w:val="none"/>
          <w:lang w:val="en-GB"/>
        </w:rPr>
      </w:pPr>
      <w:r>
        <w:rPr>
          <w:u w:val="none"/>
          <w:lang w:val="en-GB"/>
        </w:rPr>
        <w:lastRenderedPageBreak/>
        <w:t>[49</w:t>
      </w:r>
      <w:r w:rsidR="006237CE">
        <w:rPr>
          <w:u w:val="none"/>
          <w:lang w:val="en-GB"/>
        </w:rPr>
        <w:t>]</w:t>
      </w:r>
      <w:r w:rsidR="006237CE">
        <w:rPr>
          <w:u w:val="none"/>
          <w:lang w:val="en-GB"/>
        </w:rPr>
        <w:tab/>
        <w:t>T</w:t>
      </w:r>
      <w:r w:rsidR="006237CE" w:rsidRPr="008A2CCD">
        <w:rPr>
          <w:u w:val="none"/>
          <w:lang w:val="en-GB"/>
        </w:rPr>
        <w:t xml:space="preserve">he Court </w:t>
      </w:r>
      <w:r w:rsidR="006237CE" w:rsidRPr="00081BB2">
        <w:rPr>
          <w:i/>
          <w:u w:val="none"/>
          <w:lang w:val="en-GB"/>
        </w:rPr>
        <w:t xml:space="preserve">a quo </w:t>
      </w:r>
      <w:r w:rsidR="006237CE" w:rsidRPr="008A2CCD">
        <w:rPr>
          <w:u w:val="none"/>
          <w:lang w:val="en-GB"/>
        </w:rPr>
        <w:t>he</w:t>
      </w:r>
      <w:r w:rsidR="006237CE">
        <w:rPr>
          <w:u w:val="none"/>
          <w:lang w:val="en-GB"/>
        </w:rPr>
        <w:t xml:space="preserve">ld that queries were raised by Dalmar </w:t>
      </w:r>
      <w:r w:rsidR="006237CE" w:rsidRPr="008A2CCD">
        <w:rPr>
          <w:u w:val="none"/>
          <w:lang w:val="en-GB"/>
        </w:rPr>
        <w:t>to</w:t>
      </w:r>
      <w:r w:rsidR="006237CE">
        <w:rPr>
          <w:u w:val="none"/>
          <w:lang w:val="en-GB"/>
        </w:rPr>
        <w:t xml:space="preserve"> Optimum</w:t>
      </w:r>
      <w:r w:rsidR="006237CE" w:rsidRPr="008A2CCD">
        <w:rPr>
          <w:u w:val="none"/>
          <w:lang w:val="en-GB"/>
        </w:rPr>
        <w:t xml:space="preserve"> as to the meaning of the quoted term. </w:t>
      </w:r>
      <w:r w:rsidR="001E3E40">
        <w:rPr>
          <w:u w:val="none"/>
          <w:lang w:val="en-GB"/>
        </w:rPr>
        <w:t xml:space="preserve">A </w:t>
      </w:r>
      <w:r w:rsidR="006237CE" w:rsidRPr="008A2CCD">
        <w:rPr>
          <w:u w:val="none"/>
          <w:lang w:val="en-GB"/>
        </w:rPr>
        <w:t>query was raised,</w:t>
      </w:r>
      <w:r w:rsidR="001E3E40">
        <w:rPr>
          <w:u w:val="none"/>
          <w:lang w:val="en-GB"/>
        </w:rPr>
        <w:t xml:space="preserve"> but the record indicates that</w:t>
      </w:r>
      <w:r w:rsidR="006237CE" w:rsidRPr="008A2CCD">
        <w:rPr>
          <w:u w:val="none"/>
          <w:lang w:val="en-GB"/>
        </w:rPr>
        <w:t xml:space="preserve"> the query was not raised in respect of the wording quoted by the Court </w:t>
      </w:r>
      <w:r w:rsidR="006237CE" w:rsidRPr="006237CE">
        <w:rPr>
          <w:i/>
          <w:u w:val="none"/>
          <w:lang w:val="en-GB"/>
        </w:rPr>
        <w:t>a quo</w:t>
      </w:r>
      <w:r w:rsidR="00187D7E">
        <w:rPr>
          <w:i/>
          <w:u w:val="none"/>
          <w:lang w:val="en-GB"/>
        </w:rPr>
        <w:t xml:space="preserve"> </w:t>
      </w:r>
      <w:r w:rsidR="001E3E40">
        <w:rPr>
          <w:i/>
          <w:u w:val="none"/>
          <w:lang w:val="en-GB"/>
        </w:rPr>
        <w:t>(</w:t>
      </w:r>
      <w:r w:rsidR="006237CE">
        <w:rPr>
          <w:i/>
          <w:u w:val="none"/>
          <w:lang w:val="en-GB"/>
        </w:rPr>
        <w:t xml:space="preserve"> </w:t>
      </w:r>
      <w:r w:rsidR="006237CE" w:rsidRPr="008A2CCD">
        <w:rPr>
          <w:u w:val="none"/>
          <w:lang w:val="en-GB"/>
        </w:rPr>
        <w:t>which only appea</w:t>
      </w:r>
      <w:r w:rsidR="006237CE">
        <w:rPr>
          <w:u w:val="none"/>
          <w:lang w:val="en-GB"/>
        </w:rPr>
        <w:t>rs in the subsequent RMB policy</w:t>
      </w:r>
      <w:r w:rsidR="001E3E40">
        <w:rPr>
          <w:u w:val="none"/>
          <w:lang w:val="en-GB"/>
        </w:rPr>
        <w:t>)</w:t>
      </w:r>
      <w:r>
        <w:rPr>
          <w:u w:val="none"/>
          <w:lang w:val="en-GB"/>
        </w:rPr>
        <w:t>,</w:t>
      </w:r>
      <w:r w:rsidR="006237CE" w:rsidRPr="008A2CCD">
        <w:rPr>
          <w:u w:val="none"/>
          <w:lang w:val="en-GB"/>
        </w:rPr>
        <w:t xml:space="preserve"> but was raised in regard to the phrase “</w:t>
      </w:r>
      <w:r w:rsidR="006237CE" w:rsidRPr="008A2CCD">
        <w:rPr>
          <w:i/>
          <w:iCs/>
          <w:u w:val="none"/>
          <w:lang w:val="en-GB"/>
        </w:rPr>
        <w:t>the self arming tracking device must be fitted to both units</w:t>
      </w:r>
      <w:r w:rsidR="006237CE">
        <w:rPr>
          <w:i/>
          <w:iCs/>
          <w:u w:val="none"/>
          <w:lang w:val="en-GB"/>
        </w:rPr>
        <w:t xml:space="preserve">”  </w:t>
      </w:r>
      <w:r w:rsidR="00FA0481">
        <w:rPr>
          <w:iCs/>
          <w:u w:val="none"/>
          <w:lang w:val="en-GB"/>
        </w:rPr>
        <w:t>which appeared in the Centriq</w:t>
      </w:r>
      <w:r w:rsidR="006237CE" w:rsidRPr="006237CE">
        <w:rPr>
          <w:iCs/>
          <w:u w:val="none"/>
          <w:lang w:val="en-GB"/>
        </w:rPr>
        <w:t xml:space="preserve"> poli</w:t>
      </w:r>
      <w:r w:rsidR="006237CE">
        <w:rPr>
          <w:u w:val="none"/>
          <w:lang w:val="en-GB"/>
        </w:rPr>
        <w:t>cy.</w:t>
      </w:r>
    </w:p>
    <w:p w:rsidR="006237CE" w:rsidRPr="008A2CCD" w:rsidRDefault="006237CE" w:rsidP="006237CE">
      <w:pPr>
        <w:widowControl w:val="0"/>
        <w:spacing w:line="480" w:lineRule="auto"/>
        <w:jc w:val="both"/>
        <w:rPr>
          <w:u w:val="none"/>
          <w:lang w:val="en-GB"/>
        </w:rPr>
      </w:pPr>
    </w:p>
    <w:p w:rsidR="006237CE" w:rsidRDefault="00A4004F" w:rsidP="006237CE">
      <w:pPr>
        <w:widowControl w:val="0"/>
        <w:spacing w:line="480" w:lineRule="auto"/>
        <w:jc w:val="both"/>
        <w:rPr>
          <w:u w:val="none"/>
          <w:lang w:val="en-GB"/>
        </w:rPr>
      </w:pPr>
      <w:r>
        <w:rPr>
          <w:u w:val="none"/>
          <w:lang w:val="en-GB"/>
        </w:rPr>
        <w:t>[50</w:t>
      </w:r>
      <w:r w:rsidR="006237CE">
        <w:rPr>
          <w:u w:val="none"/>
          <w:lang w:val="en-GB"/>
        </w:rPr>
        <w:t>]</w:t>
      </w:r>
      <w:r w:rsidR="006237CE">
        <w:rPr>
          <w:u w:val="none"/>
          <w:lang w:val="en-GB"/>
        </w:rPr>
        <w:tab/>
        <w:t xml:space="preserve">The Court </w:t>
      </w:r>
      <w:r w:rsidR="006237CE" w:rsidRPr="00081BB2">
        <w:rPr>
          <w:i/>
          <w:u w:val="none"/>
          <w:lang w:val="en-GB"/>
        </w:rPr>
        <w:t xml:space="preserve">a quo </w:t>
      </w:r>
      <w:r w:rsidR="006237CE">
        <w:rPr>
          <w:u w:val="none"/>
          <w:lang w:val="en-GB"/>
        </w:rPr>
        <w:t>stated that Dalmar</w:t>
      </w:r>
      <w:r w:rsidR="001E3E40">
        <w:rPr>
          <w:u w:val="none"/>
          <w:lang w:val="en-GB"/>
        </w:rPr>
        <w:t>,</w:t>
      </w:r>
      <w:r w:rsidR="006237CE">
        <w:rPr>
          <w:u w:val="none"/>
          <w:lang w:val="en-GB"/>
        </w:rPr>
        <w:t xml:space="preserve"> acting on the broker’s ad</w:t>
      </w:r>
      <w:r w:rsidR="006237CE" w:rsidRPr="008A2CCD">
        <w:rPr>
          <w:u w:val="none"/>
          <w:lang w:val="en-GB"/>
        </w:rPr>
        <w:t xml:space="preserve">vice only installed one tracking device to the Hino truck. That finding is correct. However, the Court found that </w:t>
      </w:r>
      <w:r w:rsidR="006237CE">
        <w:rPr>
          <w:u w:val="none"/>
          <w:lang w:val="en-GB"/>
        </w:rPr>
        <w:t xml:space="preserve">Dalmar </w:t>
      </w:r>
      <w:r w:rsidR="006237CE" w:rsidRPr="008A2CCD">
        <w:rPr>
          <w:u w:val="none"/>
          <w:lang w:val="en-GB"/>
        </w:rPr>
        <w:t>did so notwithstanding an endorsement to the insurance policy</w:t>
      </w:r>
      <w:r w:rsidR="006237CE">
        <w:rPr>
          <w:u w:val="none"/>
          <w:lang w:val="en-GB"/>
        </w:rPr>
        <w:t>.</w:t>
      </w:r>
      <w:r w:rsidR="00FA0481">
        <w:rPr>
          <w:u w:val="none"/>
          <w:lang w:val="en-GB"/>
        </w:rPr>
        <w:t xml:space="preserve"> This</w:t>
      </w:r>
      <w:r w:rsidR="006237CE" w:rsidRPr="008A2CCD">
        <w:rPr>
          <w:u w:val="none"/>
          <w:lang w:val="en-GB"/>
        </w:rPr>
        <w:t xml:space="preserve"> endorsement</w:t>
      </w:r>
      <w:r w:rsidR="00FA0481">
        <w:rPr>
          <w:u w:val="none"/>
          <w:lang w:val="en-GB"/>
        </w:rPr>
        <w:t xml:space="preserve">, </w:t>
      </w:r>
      <w:r w:rsidR="00187D7E">
        <w:rPr>
          <w:u w:val="none"/>
          <w:lang w:val="en-GB"/>
        </w:rPr>
        <w:t>a</w:t>
      </w:r>
      <w:r w:rsidR="00FA0481">
        <w:rPr>
          <w:u w:val="none"/>
          <w:lang w:val="en-GB"/>
        </w:rPr>
        <w:t xml:space="preserve">s already pointed out </w:t>
      </w:r>
      <w:r w:rsidR="006237CE" w:rsidRPr="008A2CCD">
        <w:rPr>
          <w:u w:val="none"/>
          <w:lang w:val="en-GB"/>
        </w:rPr>
        <w:t>appears in the RMB policy and not, as found by the Court</w:t>
      </w:r>
      <w:r w:rsidR="006237CE">
        <w:rPr>
          <w:u w:val="none"/>
          <w:lang w:val="en-GB"/>
        </w:rPr>
        <w:t xml:space="preserve"> </w:t>
      </w:r>
      <w:r w:rsidR="006237CE" w:rsidRPr="00081BB2">
        <w:rPr>
          <w:i/>
          <w:u w:val="none"/>
          <w:lang w:val="en-GB"/>
        </w:rPr>
        <w:t>a quo</w:t>
      </w:r>
      <w:r w:rsidR="006237CE">
        <w:rPr>
          <w:u w:val="none"/>
          <w:lang w:val="en-GB"/>
        </w:rPr>
        <w:t>, in the Centriq policy.</w:t>
      </w:r>
    </w:p>
    <w:p w:rsidR="001E3E40" w:rsidRDefault="001E3E40" w:rsidP="006237CE">
      <w:pPr>
        <w:widowControl w:val="0"/>
        <w:spacing w:line="480" w:lineRule="auto"/>
        <w:jc w:val="both"/>
        <w:rPr>
          <w:u w:val="none"/>
          <w:lang w:val="en-GB"/>
        </w:rPr>
      </w:pPr>
    </w:p>
    <w:p w:rsidR="006237CE" w:rsidRPr="008A2CCD" w:rsidRDefault="00A4004F" w:rsidP="006237CE">
      <w:pPr>
        <w:widowControl w:val="0"/>
        <w:spacing w:line="480" w:lineRule="auto"/>
        <w:jc w:val="both"/>
        <w:rPr>
          <w:u w:val="none"/>
          <w:lang w:val="en-GB"/>
        </w:rPr>
      </w:pPr>
      <w:r>
        <w:rPr>
          <w:u w:val="none"/>
          <w:lang w:val="en-GB"/>
        </w:rPr>
        <w:t>[51</w:t>
      </w:r>
      <w:r w:rsidR="006237CE">
        <w:rPr>
          <w:u w:val="none"/>
          <w:lang w:val="en-GB"/>
        </w:rPr>
        <w:t>]</w:t>
      </w:r>
      <w:r w:rsidR="006237CE">
        <w:rPr>
          <w:u w:val="none"/>
          <w:lang w:val="en-GB"/>
        </w:rPr>
        <w:tab/>
      </w:r>
      <w:r w:rsidR="006237CE" w:rsidRPr="008A2CCD">
        <w:rPr>
          <w:u w:val="none"/>
          <w:lang w:val="en-GB"/>
        </w:rPr>
        <w:t>The Court</w:t>
      </w:r>
      <w:r w:rsidR="006237CE">
        <w:rPr>
          <w:u w:val="none"/>
          <w:lang w:val="en-GB"/>
        </w:rPr>
        <w:t xml:space="preserve"> </w:t>
      </w:r>
      <w:r w:rsidR="006237CE" w:rsidRPr="00081BB2">
        <w:rPr>
          <w:i/>
          <w:u w:val="none"/>
          <w:lang w:val="en-GB"/>
        </w:rPr>
        <w:t xml:space="preserve">a </w:t>
      </w:r>
      <w:r w:rsidR="00055B73" w:rsidRPr="00081BB2">
        <w:rPr>
          <w:i/>
          <w:u w:val="none"/>
          <w:lang w:val="en-GB"/>
        </w:rPr>
        <w:t xml:space="preserve">quo </w:t>
      </w:r>
      <w:r w:rsidR="00055B73" w:rsidRPr="008A2CCD">
        <w:rPr>
          <w:u w:val="none"/>
          <w:lang w:val="en-GB"/>
        </w:rPr>
        <w:t>having</w:t>
      </w:r>
      <w:r w:rsidR="006237CE" w:rsidRPr="008A2CCD">
        <w:rPr>
          <w:u w:val="none"/>
          <w:lang w:val="en-GB"/>
        </w:rPr>
        <w:t xml:space="preserve"> erroneously found that the provisions relied upon and quoted appeared in the Centriq policy</w:t>
      </w:r>
      <w:r w:rsidR="00055B73">
        <w:rPr>
          <w:u w:val="none"/>
          <w:lang w:val="en-GB"/>
        </w:rPr>
        <w:t xml:space="preserve">, </w:t>
      </w:r>
      <w:r w:rsidR="00055B73" w:rsidRPr="008A2CCD">
        <w:rPr>
          <w:u w:val="none"/>
          <w:lang w:val="en-GB"/>
        </w:rPr>
        <w:t>erroneously</w:t>
      </w:r>
      <w:r w:rsidR="006237CE" w:rsidRPr="008A2CCD">
        <w:rPr>
          <w:u w:val="none"/>
          <w:lang w:val="en-GB"/>
        </w:rPr>
        <w:t xml:space="preserve"> concluded that the Centriq policy required two tra</w:t>
      </w:r>
      <w:r w:rsidR="006237CE">
        <w:rPr>
          <w:u w:val="none"/>
          <w:lang w:val="en-GB"/>
        </w:rPr>
        <w:t>cking devices to be installed to</w:t>
      </w:r>
      <w:r w:rsidR="006237CE" w:rsidRPr="008A2CCD">
        <w:rPr>
          <w:u w:val="none"/>
          <w:lang w:val="en-GB"/>
        </w:rPr>
        <w:t xml:space="preserve"> the vehicle. Had the Court</w:t>
      </w:r>
      <w:r w:rsidR="006237CE">
        <w:rPr>
          <w:u w:val="none"/>
          <w:lang w:val="en-GB"/>
        </w:rPr>
        <w:t xml:space="preserve"> </w:t>
      </w:r>
      <w:r w:rsidR="006237CE" w:rsidRPr="00081BB2">
        <w:rPr>
          <w:i/>
          <w:u w:val="none"/>
          <w:lang w:val="en-GB"/>
        </w:rPr>
        <w:t xml:space="preserve">a quo </w:t>
      </w:r>
      <w:r w:rsidR="006237CE" w:rsidRPr="008A2CCD">
        <w:rPr>
          <w:u w:val="none"/>
          <w:lang w:val="en-GB"/>
        </w:rPr>
        <w:t xml:space="preserve"> referred to the correct wording of the endorsement in the Centriq policy and had regard to the evidence, the Court </w:t>
      </w:r>
      <w:r w:rsidR="006237CE" w:rsidRPr="00081BB2">
        <w:rPr>
          <w:i/>
          <w:u w:val="none"/>
          <w:lang w:val="en-GB"/>
        </w:rPr>
        <w:t xml:space="preserve">a quo </w:t>
      </w:r>
      <w:r w:rsidR="006237CE">
        <w:rPr>
          <w:u w:val="none"/>
          <w:lang w:val="en-GB"/>
        </w:rPr>
        <w:t>w</w:t>
      </w:r>
      <w:r w:rsidR="006237CE" w:rsidRPr="008A2CCD">
        <w:rPr>
          <w:u w:val="none"/>
          <w:lang w:val="en-GB"/>
        </w:rPr>
        <w:t xml:space="preserve">ould </w:t>
      </w:r>
      <w:r w:rsidR="006237CE">
        <w:rPr>
          <w:u w:val="none"/>
          <w:lang w:val="en-GB"/>
        </w:rPr>
        <w:t xml:space="preserve">have </w:t>
      </w:r>
      <w:r w:rsidR="006237CE" w:rsidRPr="008A2CCD">
        <w:rPr>
          <w:u w:val="none"/>
          <w:lang w:val="en-GB"/>
        </w:rPr>
        <w:t xml:space="preserve">concluded that the Centriq policy, </w:t>
      </w:r>
      <w:r w:rsidR="006237CE" w:rsidRPr="00752DDA">
        <w:rPr>
          <w:bCs/>
          <w:u w:val="none"/>
          <w:lang w:val="en-GB"/>
        </w:rPr>
        <w:t xml:space="preserve">as understood by both </w:t>
      </w:r>
      <w:r w:rsidR="006237CE">
        <w:rPr>
          <w:bCs/>
          <w:u w:val="none"/>
          <w:lang w:val="en-GB"/>
        </w:rPr>
        <w:t xml:space="preserve">Dalmar </w:t>
      </w:r>
      <w:r w:rsidR="006237CE" w:rsidRPr="00752DDA">
        <w:rPr>
          <w:bCs/>
          <w:u w:val="none"/>
          <w:lang w:val="en-GB"/>
        </w:rPr>
        <w:t xml:space="preserve">and </w:t>
      </w:r>
      <w:r w:rsidR="006237CE">
        <w:rPr>
          <w:bCs/>
          <w:u w:val="none"/>
          <w:lang w:val="en-GB"/>
        </w:rPr>
        <w:t>Optimum</w:t>
      </w:r>
      <w:r w:rsidR="006237CE" w:rsidRPr="00752DDA">
        <w:rPr>
          <w:u w:val="none"/>
          <w:lang w:val="en-GB"/>
        </w:rPr>
        <w:t>,</w:t>
      </w:r>
      <w:r w:rsidR="006237CE" w:rsidRPr="008A2CCD">
        <w:rPr>
          <w:u w:val="none"/>
          <w:lang w:val="en-GB"/>
        </w:rPr>
        <w:t xml:space="preserve"> required only one tracking and recovery device t</w:t>
      </w:r>
      <w:r w:rsidR="006237CE">
        <w:rPr>
          <w:u w:val="none"/>
          <w:lang w:val="en-GB"/>
        </w:rPr>
        <w:t>o be fitted to the Hino vehicle.</w:t>
      </w:r>
    </w:p>
    <w:p w:rsidR="006237CE" w:rsidRDefault="006237CE" w:rsidP="006237CE">
      <w:pPr>
        <w:widowControl w:val="0"/>
        <w:spacing w:line="480" w:lineRule="auto"/>
        <w:jc w:val="both"/>
        <w:rPr>
          <w:u w:val="none"/>
          <w:lang w:val="en-GB"/>
        </w:rPr>
      </w:pPr>
    </w:p>
    <w:p w:rsidR="006237CE" w:rsidRPr="008A2CCD" w:rsidRDefault="002C1DA0" w:rsidP="006237CE">
      <w:pPr>
        <w:widowControl w:val="0"/>
        <w:spacing w:line="480" w:lineRule="auto"/>
        <w:jc w:val="both"/>
        <w:rPr>
          <w:u w:val="none"/>
          <w:lang w:val="en-GB"/>
        </w:rPr>
      </w:pPr>
      <w:r>
        <w:rPr>
          <w:u w:val="none"/>
          <w:lang w:val="en-GB"/>
        </w:rPr>
        <w:t>[</w:t>
      </w:r>
      <w:r w:rsidR="00FA0481">
        <w:rPr>
          <w:u w:val="none"/>
          <w:lang w:val="en-GB"/>
        </w:rPr>
        <w:t>5</w:t>
      </w:r>
      <w:r w:rsidR="00A4004F">
        <w:rPr>
          <w:u w:val="none"/>
          <w:lang w:val="en-GB"/>
        </w:rPr>
        <w:t>2</w:t>
      </w:r>
      <w:r>
        <w:rPr>
          <w:u w:val="none"/>
          <w:lang w:val="en-GB"/>
        </w:rPr>
        <w:t>]</w:t>
      </w:r>
      <w:r w:rsidR="006237CE">
        <w:rPr>
          <w:u w:val="none"/>
          <w:lang w:val="en-GB"/>
        </w:rPr>
        <w:tab/>
        <w:t>T</w:t>
      </w:r>
      <w:r w:rsidR="006237CE" w:rsidRPr="008A2CCD">
        <w:rPr>
          <w:u w:val="none"/>
          <w:lang w:val="en-GB"/>
        </w:rPr>
        <w:t>he Court</w:t>
      </w:r>
      <w:r w:rsidR="006237CE">
        <w:rPr>
          <w:u w:val="none"/>
          <w:lang w:val="en-GB"/>
        </w:rPr>
        <w:t xml:space="preserve"> </w:t>
      </w:r>
      <w:r w:rsidR="006237CE" w:rsidRPr="007941B0">
        <w:rPr>
          <w:i/>
          <w:u w:val="none"/>
          <w:lang w:val="en-GB"/>
        </w:rPr>
        <w:t>a quo</w:t>
      </w:r>
      <w:r w:rsidR="006237CE" w:rsidRPr="008A2CCD">
        <w:rPr>
          <w:u w:val="none"/>
          <w:lang w:val="en-GB"/>
        </w:rPr>
        <w:t xml:space="preserve"> </w:t>
      </w:r>
      <w:r w:rsidR="00FA0481">
        <w:rPr>
          <w:u w:val="none"/>
          <w:lang w:val="en-GB"/>
        </w:rPr>
        <w:t xml:space="preserve">continued furthermore to hold </w:t>
      </w:r>
      <w:r w:rsidR="006237CE">
        <w:rPr>
          <w:u w:val="none"/>
          <w:lang w:val="en-GB"/>
        </w:rPr>
        <w:t>that the Centriq policy had</w:t>
      </w:r>
      <w:r w:rsidR="006237CE" w:rsidRPr="008A2CCD">
        <w:rPr>
          <w:u w:val="none"/>
          <w:lang w:val="en-GB"/>
        </w:rPr>
        <w:t xml:space="preserve"> no rel</w:t>
      </w:r>
      <w:r w:rsidR="006237CE">
        <w:rPr>
          <w:u w:val="none"/>
          <w:lang w:val="en-GB"/>
        </w:rPr>
        <w:t>evance to the RMB policy and could</w:t>
      </w:r>
      <w:r w:rsidR="006237CE" w:rsidRPr="008A2CCD">
        <w:rPr>
          <w:u w:val="none"/>
          <w:lang w:val="en-GB"/>
        </w:rPr>
        <w:t xml:space="preserve"> only play a limited role as to what </w:t>
      </w:r>
      <w:r w:rsidR="006237CE">
        <w:rPr>
          <w:u w:val="none"/>
          <w:lang w:val="en-GB"/>
        </w:rPr>
        <w:t xml:space="preserve">Dalmar’s </w:t>
      </w:r>
      <w:r w:rsidR="006237CE" w:rsidRPr="008A2CCD">
        <w:rPr>
          <w:u w:val="none"/>
          <w:lang w:val="en-GB"/>
        </w:rPr>
        <w:t xml:space="preserve">understanding was when the RMB contract was concluded. The proper interpretation of, as well as the understanding of </w:t>
      </w:r>
      <w:r w:rsidR="006237CE">
        <w:rPr>
          <w:u w:val="none"/>
          <w:lang w:val="en-GB"/>
        </w:rPr>
        <w:t xml:space="preserve">Dalmar </w:t>
      </w:r>
      <w:r w:rsidR="006237CE" w:rsidRPr="008A2CCD">
        <w:rPr>
          <w:u w:val="none"/>
          <w:lang w:val="en-GB"/>
        </w:rPr>
        <w:t>and Optimum</w:t>
      </w:r>
      <w:r w:rsidR="00FA0481">
        <w:rPr>
          <w:u w:val="none"/>
          <w:lang w:val="en-GB"/>
        </w:rPr>
        <w:t>,</w:t>
      </w:r>
      <w:r w:rsidR="006237CE" w:rsidRPr="008A2CCD">
        <w:rPr>
          <w:u w:val="none"/>
          <w:lang w:val="en-GB"/>
        </w:rPr>
        <w:t xml:space="preserve"> </w:t>
      </w:r>
      <w:r w:rsidR="006237CE" w:rsidRPr="008A2CCD">
        <w:rPr>
          <w:u w:val="none"/>
          <w:lang w:val="en-GB"/>
        </w:rPr>
        <w:lastRenderedPageBreak/>
        <w:t>as to what was required</w:t>
      </w:r>
      <w:r w:rsidR="00187D7E">
        <w:rPr>
          <w:u w:val="none"/>
          <w:lang w:val="en-GB"/>
        </w:rPr>
        <w:t xml:space="preserve"> in terms of the Centriq policy</w:t>
      </w:r>
      <w:r w:rsidR="006237CE" w:rsidRPr="008A2CCD">
        <w:rPr>
          <w:u w:val="none"/>
          <w:lang w:val="en-GB"/>
        </w:rPr>
        <w:t xml:space="preserve"> </w:t>
      </w:r>
      <w:r w:rsidR="00925F6B">
        <w:rPr>
          <w:u w:val="none"/>
          <w:lang w:val="en-GB"/>
        </w:rPr>
        <w:t xml:space="preserve">was </w:t>
      </w:r>
      <w:r w:rsidR="00187D7E">
        <w:rPr>
          <w:u w:val="none"/>
          <w:lang w:val="en-GB"/>
        </w:rPr>
        <w:t xml:space="preserve">relevant </w:t>
      </w:r>
      <w:r w:rsidR="006237CE" w:rsidRPr="008A2CCD">
        <w:rPr>
          <w:u w:val="none"/>
          <w:lang w:val="en-GB"/>
        </w:rPr>
        <w:t xml:space="preserve">to the question whether there was a material change to this requirement in the RMB policy. Having regard to what both </w:t>
      </w:r>
      <w:r w:rsidR="006237CE">
        <w:rPr>
          <w:u w:val="none"/>
          <w:lang w:val="en-GB"/>
        </w:rPr>
        <w:t xml:space="preserve">Dalmar </w:t>
      </w:r>
      <w:r w:rsidR="006237CE" w:rsidRPr="008A2CCD">
        <w:rPr>
          <w:u w:val="none"/>
          <w:lang w:val="en-GB"/>
        </w:rPr>
        <w:t>and Optimum understood</w:t>
      </w:r>
      <w:r>
        <w:rPr>
          <w:u w:val="none"/>
          <w:lang w:val="en-GB"/>
        </w:rPr>
        <w:t>,</w:t>
      </w:r>
      <w:r w:rsidR="00A4004F">
        <w:rPr>
          <w:u w:val="none"/>
          <w:lang w:val="en-GB"/>
        </w:rPr>
        <w:t xml:space="preserve"> in the light of the evidence led,</w:t>
      </w:r>
      <w:r>
        <w:rPr>
          <w:u w:val="none"/>
          <w:lang w:val="en-GB"/>
        </w:rPr>
        <w:t xml:space="preserve"> namely</w:t>
      </w:r>
      <w:r w:rsidR="006237CE" w:rsidRPr="008A2CCD">
        <w:rPr>
          <w:u w:val="none"/>
          <w:lang w:val="en-GB"/>
        </w:rPr>
        <w:t xml:space="preserve"> that only one tracking device was required </w:t>
      </w:r>
      <w:r w:rsidR="00FA0481">
        <w:rPr>
          <w:u w:val="none"/>
          <w:lang w:val="en-GB"/>
        </w:rPr>
        <w:t xml:space="preserve">to be installed to the insured vehicle, </w:t>
      </w:r>
      <w:r w:rsidR="006237CE" w:rsidRPr="008A2CCD">
        <w:rPr>
          <w:u w:val="none"/>
          <w:lang w:val="en-GB"/>
        </w:rPr>
        <w:t>in term</w:t>
      </w:r>
      <w:r w:rsidR="006237CE">
        <w:rPr>
          <w:u w:val="none"/>
          <w:lang w:val="en-GB"/>
        </w:rPr>
        <w:t>s of the Centriq policy, there wa</w:t>
      </w:r>
      <w:r w:rsidR="006237CE" w:rsidRPr="008A2CCD">
        <w:rPr>
          <w:u w:val="none"/>
          <w:lang w:val="en-GB"/>
        </w:rPr>
        <w:t>s</w:t>
      </w:r>
      <w:r w:rsidR="00A4004F">
        <w:rPr>
          <w:u w:val="none"/>
          <w:lang w:val="en-GB"/>
        </w:rPr>
        <w:t xml:space="preserve"> </w:t>
      </w:r>
      <w:r w:rsidR="00A4004F" w:rsidRPr="00A4004F">
        <w:rPr>
          <w:i/>
          <w:u w:val="none"/>
          <w:lang w:val="en-GB"/>
        </w:rPr>
        <w:t xml:space="preserve">prima </w:t>
      </w:r>
      <w:r w:rsidR="005746A9" w:rsidRPr="00A4004F">
        <w:rPr>
          <w:i/>
          <w:u w:val="none"/>
          <w:lang w:val="en-GB"/>
        </w:rPr>
        <w:t xml:space="preserve">facie </w:t>
      </w:r>
      <w:r w:rsidR="005746A9" w:rsidRPr="008A2CCD">
        <w:rPr>
          <w:u w:val="none"/>
          <w:lang w:val="en-GB"/>
        </w:rPr>
        <w:t>a</w:t>
      </w:r>
      <w:r w:rsidR="006237CE" w:rsidRPr="008A2CCD">
        <w:rPr>
          <w:u w:val="none"/>
          <w:lang w:val="en-GB"/>
        </w:rPr>
        <w:t xml:space="preserve"> material change between that requirement</w:t>
      </w:r>
      <w:r w:rsidR="00925F6B">
        <w:rPr>
          <w:u w:val="none"/>
          <w:lang w:val="en-GB"/>
        </w:rPr>
        <w:t>,</w:t>
      </w:r>
      <w:r w:rsidR="006237CE" w:rsidRPr="008A2CCD">
        <w:rPr>
          <w:u w:val="none"/>
          <w:lang w:val="en-GB"/>
        </w:rPr>
        <w:t xml:space="preserve"> and the requirement in the subsequent RMB policy</w:t>
      </w:r>
      <w:r w:rsidR="00925F6B">
        <w:rPr>
          <w:u w:val="none"/>
          <w:lang w:val="en-GB"/>
        </w:rPr>
        <w:t>,</w:t>
      </w:r>
      <w:r w:rsidR="006237CE" w:rsidRPr="008A2CCD">
        <w:rPr>
          <w:u w:val="none"/>
          <w:lang w:val="en-GB"/>
        </w:rPr>
        <w:t xml:space="preserve"> where two tracking and recovery devices were required to be fitted to the vehicle.</w:t>
      </w:r>
    </w:p>
    <w:p w:rsidR="006237CE" w:rsidRDefault="006237CE" w:rsidP="003F2DF8">
      <w:pPr>
        <w:spacing w:line="480" w:lineRule="auto"/>
        <w:jc w:val="both"/>
        <w:rPr>
          <w:u w:val="none"/>
          <w:lang w:val="en-US"/>
        </w:rPr>
      </w:pPr>
    </w:p>
    <w:p w:rsidR="00753A44" w:rsidRDefault="00753A44" w:rsidP="003F2DF8">
      <w:pPr>
        <w:spacing w:line="480" w:lineRule="auto"/>
        <w:jc w:val="both"/>
        <w:rPr>
          <w:b/>
          <w:lang w:val="en-US"/>
        </w:rPr>
      </w:pPr>
      <w:r w:rsidRPr="00753A44">
        <w:rPr>
          <w:b/>
          <w:lang w:val="en-US"/>
        </w:rPr>
        <w:t>CONCLUSION</w:t>
      </w:r>
    </w:p>
    <w:p w:rsidR="00753A44" w:rsidRDefault="00753A44" w:rsidP="003F2DF8">
      <w:pPr>
        <w:spacing w:line="480" w:lineRule="auto"/>
        <w:jc w:val="both"/>
        <w:rPr>
          <w:u w:val="none"/>
          <w:lang w:val="en-US"/>
        </w:rPr>
      </w:pPr>
      <w:r>
        <w:rPr>
          <w:u w:val="none"/>
          <w:lang w:val="en-US"/>
        </w:rPr>
        <w:t>[</w:t>
      </w:r>
      <w:r w:rsidR="00A4004F">
        <w:rPr>
          <w:u w:val="none"/>
          <w:lang w:val="en-US"/>
        </w:rPr>
        <w:t>53</w:t>
      </w:r>
      <w:r>
        <w:rPr>
          <w:u w:val="none"/>
          <w:lang w:val="en-US"/>
        </w:rPr>
        <w:t>]</w:t>
      </w:r>
      <w:r>
        <w:rPr>
          <w:u w:val="none"/>
          <w:lang w:val="en-US"/>
        </w:rPr>
        <w:tab/>
        <w:t xml:space="preserve">Taking into consideration the requirements for the </w:t>
      </w:r>
      <w:r w:rsidR="007C1B1E">
        <w:rPr>
          <w:u w:val="none"/>
          <w:lang w:val="en-US"/>
        </w:rPr>
        <w:t>granting</w:t>
      </w:r>
      <w:r>
        <w:rPr>
          <w:u w:val="none"/>
          <w:lang w:val="en-US"/>
        </w:rPr>
        <w:t xml:space="preserve"> of absolution of the instance the Court </w:t>
      </w:r>
      <w:r w:rsidRPr="00753A44">
        <w:rPr>
          <w:i/>
          <w:u w:val="none"/>
          <w:lang w:val="en-US"/>
        </w:rPr>
        <w:t>a quo</w:t>
      </w:r>
      <w:r>
        <w:rPr>
          <w:u w:val="none"/>
          <w:lang w:val="en-US"/>
        </w:rPr>
        <w:t xml:space="preserve"> misdirected itself when it granted absolution of the instance</w:t>
      </w:r>
      <w:r w:rsidR="00187D7E">
        <w:rPr>
          <w:u w:val="none"/>
          <w:lang w:val="en-US"/>
        </w:rPr>
        <w:t xml:space="preserve"> and consequently the appeal should be upheld</w:t>
      </w:r>
      <w:r>
        <w:rPr>
          <w:u w:val="none"/>
          <w:lang w:val="en-US"/>
        </w:rPr>
        <w:t>.</w:t>
      </w:r>
    </w:p>
    <w:p w:rsidR="00753A44" w:rsidRDefault="00753A44" w:rsidP="003F2DF8">
      <w:pPr>
        <w:spacing w:line="480" w:lineRule="auto"/>
        <w:jc w:val="both"/>
        <w:rPr>
          <w:u w:val="none"/>
          <w:lang w:val="en-US"/>
        </w:rPr>
      </w:pPr>
    </w:p>
    <w:p w:rsidR="00753A44" w:rsidRDefault="00753A44" w:rsidP="003F2DF8">
      <w:pPr>
        <w:spacing w:line="480" w:lineRule="auto"/>
        <w:jc w:val="both"/>
        <w:rPr>
          <w:u w:val="none"/>
          <w:lang w:val="en-US"/>
        </w:rPr>
      </w:pPr>
      <w:r>
        <w:rPr>
          <w:u w:val="none"/>
          <w:lang w:val="en-US"/>
        </w:rPr>
        <w:t>[</w:t>
      </w:r>
      <w:r w:rsidR="00A4004F">
        <w:rPr>
          <w:u w:val="none"/>
          <w:lang w:val="en-US"/>
        </w:rPr>
        <w:t>54</w:t>
      </w:r>
      <w:r>
        <w:rPr>
          <w:u w:val="none"/>
          <w:lang w:val="en-US"/>
        </w:rPr>
        <w:t>]</w:t>
      </w:r>
      <w:r>
        <w:rPr>
          <w:u w:val="none"/>
          <w:lang w:val="en-US"/>
        </w:rPr>
        <w:tab/>
        <w:t>The following order is made:</w:t>
      </w:r>
    </w:p>
    <w:p w:rsidR="00753A44" w:rsidRPr="00026FA9" w:rsidRDefault="00753A44" w:rsidP="003F2DF8">
      <w:pPr>
        <w:spacing w:line="480" w:lineRule="auto"/>
        <w:jc w:val="both"/>
        <w:rPr>
          <w:b/>
          <w:u w:val="none"/>
          <w:lang w:val="en-US"/>
        </w:rPr>
      </w:pPr>
    </w:p>
    <w:p w:rsidR="00753A44" w:rsidRDefault="00753A44" w:rsidP="00753A44">
      <w:pPr>
        <w:pStyle w:val="ListParagraph"/>
        <w:numPr>
          <w:ilvl w:val="0"/>
          <w:numId w:val="17"/>
        </w:numPr>
        <w:spacing w:line="480" w:lineRule="auto"/>
        <w:jc w:val="both"/>
        <w:rPr>
          <w:b/>
          <w:u w:val="none"/>
          <w:lang w:val="en-US"/>
        </w:rPr>
      </w:pPr>
      <w:r w:rsidRPr="00026FA9">
        <w:rPr>
          <w:b/>
          <w:u w:val="none"/>
          <w:lang w:val="en-US"/>
        </w:rPr>
        <w:t>The appeal is upheld.</w:t>
      </w:r>
    </w:p>
    <w:p w:rsidR="00AB38E1" w:rsidRPr="00026FA9" w:rsidRDefault="00AB38E1" w:rsidP="00AB38E1">
      <w:pPr>
        <w:pStyle w:val="ListParagraph"/>
        <w:spacing w:line="480" w:lineRule="auto"/>
        <w:ind w:left="1080"/>
        <w:jc w:val="both"/>
        <w:rPr>
          <w:b/>
          <w:u w:val="none"/>
          <w:lang w:val="en-US"/>
        </w:rPr>
      </w:pPr>
    </w:p>
    <w:p w:rsidR="00753A44" w:rsidRDefault="00753A44" w:rsidP="00753A44">
      <w:pPr>
        <w:pStyle w:val="ListParagraph"/>
        <w:numPr>
          <w:ilvl w:val="0"/>
          <w:numId w:val="17"/>
        </w:numPr>
        <w:spacing w:line="480" w:lineRule="auto"/>
        <w:jc w:val="both"/>
        <w:rPr>
          <w:b/>
          <w:u w:val="none"/>
          <w:lang w:val="en-US"/>
        </w:rPr>
      </w:pPr>
      <w:r w:rsidRPr="00026FA9">
        <w:rPr>
          <w:b/>
          <w:u w:val="none"/>
          <w:lang w:val="en-US"/>
        </w:rPr>
        <w:t xml:space="preserve">The order of the Court </w:t>
      </w:r>
      <w:r w:rsidRPr="00026FA9">
        <w:rPr>
          <w:b/>
          <w:i/>
          <w:u w:val="none"/>
          <w:lang w:val="en-US"/>
        </w:rPr>
        <w:t>a quo</w:t>
      </w:r>
      <w:r w:rsidRPr="00026FA9">
        <w:rPr>
          <w:b/>
          <w:u w:val="none"/>
          <w:lang w:val="en-US"/>
        </w:rPr>
        <w:t xml:space="preserve"> is set aside and the following order is made:</w:t>
      </w:r>
    </w:p>
    <w:p w:rsidR="00AB38E1" w:rsidRPr="00AB38E1" w:rsidRDefault="00AB38E1" w:rsidP="00AB38E1">
      <w:pPr>
        <w:pStyle w:val="ListParagraph"/>
        <w:rPr>
          <w:b/>
          <w:u w:val="none"/>
          <w:lang w:val="en-US"/>
        </w:rPr>
      </w:pPr>
    </w:p>
    <w:p w:rsidR="00AB38E1" w:rsidRPr="00026FA9" w:rsidRDefault="00AB38E1" w:rsidP="00AB38E1">
      <w:pPr>
        <w:pStyle w:val="ListParagraph"/>
        <w:spacing w:line="480" w:lineRule="auto"/>
        <w:ind w:left="1080"/>
        <w:jc w:val="both"/>
        <w:rPr>
          <w:b/>
          <w:u w:val="none"/>
          <w:lang w:val="en-US"/>
        </w:rPr>
      </w:pPr>
    </w:p>
    <w:p w:rsidR="00753A44" w:rsidRDefault="00753A44" w:rsidP="00AB38E1">
      <w:pPr>
        <w:pStyle w:val="ListParagraph"/>
        <w:numPr>
          <w:ilvl w:val="1"/>
          <w:numId w:val="17"/>
        </w:numPr>
        <w:spacing w:line="480" w:lineRule="auto"/>
        <w:ind w:left="1560" w:hanging="480"/>
        <w:jc w:val="both"/>
        <w:rPr>
          <w:b/>
          <w:u w:val="none"/>
          <w:lang w:val="en-US"/>
        </w:rPr>
      </w:pPr>
      <w:r w:rsidRPr="00026FA9">
        <w:rPr>
          <w:b/>
          <w:u w:val="none"/>
          <w:lang w:val="en-US"/>
        </w:rPr>
        <w:t xml:space="preserve">“The application for absolution of the instance is dismissed </w:t>
      </w:r>
      <w:r w:rsidR="00AB38E1">
        <w:rPr>
          <w:b/>
          <w:u w:val="none"/>
          <w:lang w:val="en-US"/>
        </w:rPr>
        <w:t xml:space="preserve">   </w:t>
      </w:r>
      <w:r w:rsidRPr="00026FA9">
        <w:rPr>
          <w:b/>
          <w:u w:val="none"/>
          <w:lang w:val="en-US"/>
        </w:rPr>
        <w:t>and the defendant is ordered to pay the costs occasioned by the application</w:t>
      </w:r>
      <w:r w:rsidR="00AB38E1">
        <w:rPr>
          <w:b/>
          <w:u w:val="none"/>
          <w:lang w:val="en-US"/>
        </w:rPr>
        <w:t>.</w:t>
      </w:r>
      <w:r w:rsidRPr="00026FA9">
        <w:rPr>
          <w:b/>
          <w:u w:val="none"/>
          <w:lang w:val="en-US"/>
        </w:rPr>
        <w:t>”</w:t>
      </w:r>
    </w:p>
    <w:p w:rsidR="00AB38E1" w:rsidRPr="00026FA9" w:rsidRDefault="00AB38E1" w:rsidP="00AB38E1">
      <w:pPr>
        <w:pStyle w:val="ListParagraph"/>
        <w:spacing w:line="480" w:lineRule="auto"/>
        <w:ind w:left="1440"/>
        <w:jc w:val="both"/>
        <w:rPr>
          <w:b/>
          <w:u w:val="none"/>
          <w:lang w:val="en-US"/>
        </w:rPr>
      </w:pPr>
    </w:p>
    <w:p w:rsidR="00753A44" w:rsidRDefault="00753A44" w:rsidP="00753A44">
      <w:pPr>
        <w:pStyle w:val="ListParagraph"/>
        <w:numPr>
          <w:ilvl w:val="0"/>
          <w:numId w:val="17"/>
        </w:numPr>
        <w:spacing w:line="480" w:lineRule="auto"/>
        <w:jc w:val="both"/>
        <w:rPr>
          <w:b/>
          <w:u w:val="none"/>
          <w:lang w:val="en-US"/>
        </w:rPr>
      </w:pPr>
      <w:r w:rsidRPr="00026FA9">
        <w:rPr>
          <w:b/>
          <w:u w:val="none"/>
          <w:lang w:val="en-US"/>
        </w:rPr>
        <w:lastRenderedPageBreak/>
        <w:t>The matter is remitted to the Trial Court for a hearing and decision.</w:t>
      </w:r>
    </w:p>
    <w:p w:rsidR="00AB38E1" w:rsidRPr="00026FA9" w:rsidRDefault="00AB38E1" w:rsidP="00AB38E1">
      <w:pPr>
        <w:pStyle w:val="ListParagraph"/>
        <w:spacing w:line="480" w:lineRule="auto"/>
        <w:ind w:left="1080"/>
        <w:jc w:val="both"/>
        <w:rPr>
          <w:b/>
          <w:u w:val="none"/>
          <w:lang w:val="en-US"/>
        </w:rPr>
      </w:pPr>
    </w:p>
    <w:p w:rsidR="00870827" w:rsidRDefault="00753A44" w:rsidP="00870827">
      <w:pPr>
        <w:pStyle w:val="ListParagraph"/>
        <w:numPr>
          <w:ilvl w:val="0"/>
          <w:numId w:val="17"/>
        </w:numPr>
        <w:spacing w:line="480" w:lineRule="auto"/>
        <w:jc w:val="both"/>
        <w:rPr>
          <w:b/>
          <w:u w:val="none"/>
          <w:lang w:val="en-US"/>
        </w:rPr>
      </w:pPr>
      <w:r w:rsidRPr="00026FA9">
        <w:rPr>
          <w:b/>
          <w:u w:val="none"/>
          <w:lang w:val="en-US"/>
        </w:rPr>
        <w:t>The respondent to pay the costs of the appeal.</w:t>
      </w:r>
    </w:p>
    <w:p w:rsidR="00123425" w:rsidRDefault="00123425" w:rsidP="00870827">
      <w:pPr>
        <w:spacing w:line="480" w:lineRule="auto"/>
        <w:jc w:val="both"/>
        <w:rPr>
          <w:b/>
          <w:u w:val="none"/>
          <w:lang w:val="en-US"/>
        </w:rPr>
      </w:pPr>
    </w:p>
    <w:p w:rsidR="00123425" w:rsidRDefault="00123425" w:rsidP="00870827">
      <w:pPr>
        <w:spacing w:line="480" w:lineRule="auto"/>
        <w:jc w:val="both"/>
        <w:rPr>
          <w:b/>
          <w:u w:val="none"/>
          <w:lang w:val="en-US"/>
        </w:rPr>
      </w:pPr>
    </w:p>
    <w:p w:rsidR="00123425" w:rsidRDefault="00123425" w:rsidP="00123425">
      <w:pPr>
        <w:spacing w:line="480" w:lineRule="auto"/>
        <w:jc w:val="right"/>
        <w:rPr>
          <w:b/>
          <w:u w:val="none"/>
          <w:lang w:val="en-US"/>
        </w:rPr>
      </w:pPr>
      <w:r>
        <w:rPr>
          <w:b/>
          <w:u w:val="none"/>
          <w:lang w:val="en-US"/>
        </w:rPr>
        <w:t>_____________________</w:t>
      </w:r>
    </w:p>
    <w:p w:rsidR="00123425" w:rsidRDefault="00123425" w:rsidP="00123425">
      <w:pPr>
        <w:spacing w:line="480" w:lineRule="auto"/>
        <w:jc w:val="right"/>
        <w:rPr>
          <w:b/>
          <w:u w:val="none"/>
          <w:lang w:val="en-US"/>
        </w:rPr>
      </w:pPr>
      <w:r>
        <w:rPr>
          <w:b/>
          <w:u w:val="none"/>
          <w:lang w:val="en-US"/>
        </w:rPr>
        <w:t>R G TOLMAY</w:t>
      </w:r>
    </w:p>
    <w:p w:rsidR="00123425" w:rsidRDefault="00123425" w:rsidP="00123425">
      <w:pPr>
        <w:spacing w:line="480" w:lineRule="auto"/>
        <w:jc w:val="right"/>
        <w:rPr>
          <w:b/>
          <w:u w:val="none"/>
          <w:lang w:val="en-US"/>
        </w:rPr>
      </w:pPr>
      <w:r>
        <w:rPr>
          <w:b/>
          <w:u w:val="none"/>
          <w:lang w:val="en-US"/>
        </w:rPr>
        <w:t>JUDGE OF THE HIGH COURT</w:t>
      </w:r>
    </w:p>
    <w:p w:rsidR="00A8481F" w:rsidRDefault="00A8481F" w:rsidP="00A8481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Pr>
          <w:u w:val="none"/>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2</w:t>
      </w:r>
      <w:r>
        <w:rPr>
          <w:u w:val="none"/>
        </w:rPr>
        <w:t>4</w:t>
      </w:r>
      <w:r>
        <w:rPr>
          <w:u w:val="none"/>
        </w:rPr>
        <w:t xml:space="preserve"> June</w:t>
      </w:r>
      <w:r w:rsidRPr="00E014A0">
        <w:rPr>
          <w:u w:val="none"/>
        </w:rPr>
        <w:t xml:space="preserve"> 2022.</w:t>
      </w:r>
    </w:p>
    <w:p w:rsidR="00A8481F" w:rsidRDefault="00A8481F" w:rsidP="00A8481F">
      <w:pPr>
        <w:spacing w:line="480" w:lineRule="auto"/>
        <w:rPr>
          <w:b/>
          <w:u w:val="none"/>
          <w:lang w:val="en-US"/>
        </w:rPr>
      </w:pPr>
    </w:p>
    <w:p w:rsidR="00123425" w:rsidRDefault="00123425" w:rsidP="00123425">
      <w:pPr>
        <w:spacing w:line="480" w:lineRule="auto"/>
        <w:jc w:val="right"/>
        <w:rPr>
          <w:b/>
          <w:u w:val="none"/>
          <w:lang w:val="en-US"/>
        </w:rPr>
      </w:pPr>
    </w:p>
    <w:p w:rsidR="00870827" w:rsidRDefault="00870827" w:rsidP="00870827">
      <w:pPr>
        <w:spacing w:line="480" w:lineRule="auto"/>
        <w:jc w:val="both"/>
        <w:rPr>
          <w:b/>
          <w:u w:val="none"/>
          <w:lang w:val="en-US"/>
        </w:rPr>
      </w:pPr>
      <w:r>
        <w:rPr>
          <w:b/>
          <w:u w:val="none"/>
          <w:lang w:val="en-US"/>
        </w:rPr>
        <w:t>DATE OF HEARING:</w:t>
      </w:r>
      <w:r w:rsidR="00B270E7">
        <w:rPr>
          <w:b/>
          <w:u w:val="none"/>
          <w:lang w:val="en-US"/>
        </w:rPr>
        <w:tab/>
      </w:r>
      <w:r w:rsidR="00B270E7">
        <w:rPr>
          <w:b/>
          <w:u w:val="none"/>
          <w:lang w:val="en-US"/>
        </w:rPr>
        <w:tab/>
      </w:r>
      <w:r w:rsidR="00B270E7">
        <w:rPr>
          <w:b/>
          <w:u w:val="none"/>
          <w:lang w:val="en-US"/>
        </w:rPr>
        <w:tab/>
      </w:r>
      <w:r w:rsidR="00B270E7">
        <w:rPr>
          <w:b/>
          <w:u w:val="none"/>
          <w:lang w:val="en-US"/>
        </w:rPr>
        <w:tab/>
        <w:t>13 APRIL 2022</w:t>
      </w:r>
    </w:p>
    <w:p w:rsidR="00870827" w:rsidRDefault="00870827" w:rsidP="00870827">
      <w:pPr>
        <w:spacing w:line="480" w:lineRule="auto"/>
        <w:jc w:val="both"/>
        <w:rPr>
          <w:b/>
          <w:u w:val="none"/>
          <w:lang w:val="en-US"/>
        </w:rPr>
      </w:pPr>
      <w:r>
        <w:rPr>
          <w:b/>
          <w:u w:val="none"/>
          <w:lang w:val="en-US"/>
        </w:rPr>
        <w:t>DATE O F JUDGMENT:</w:t>
      </w:r>
      <w:r w:rsidR="00B270E7">
        <w:rPr>
          <w:b/>
          <w:u w:val="none"/>
          <w:lang w:val="en-US"/>
        </w:rPr>
        <w:tab/>
      </w:r>
      <w:r w:rsidR="00B270E7">
        <w:rPr>
          <w:b/>
          <w:u w:val="none"/>
          <w:lang w:val="en-US"/>
        </w:rPr>
        <w:tab/>
        <w:t xml:space="preserve">                  </w:t>
      </w:r>
      <w:r w:rsidR="00B270E7">
        <w:rPr>
          <w:b/>
          <w:u w:val="none"/>
          <w:lang w:val="en-US"/>
        </w:rPr>
        <w:tab/>
      </w:r>
      <w:r w:rsidR="00B270E7">
        <w:rPr>
          <w:b/>
          <w:u w:val="none"/>
          <w:lang w:val="en-US"/>
        </w:rPr>
        <w:tab/>
        <w:t xml:space="preserve">     </w:t>
      </w:r>
    </w:p>
    <w:p w:rsidR="00870827" w:rsidRDefault="00870827" w:rsidP="00870827">
      <w:pPr>
        <w:spacing w:line="480" w:lineRule="auto"/>
        <w:jc w:val="both"/>
        <w:rPr>
          <w:b/>
          <w:u w:val="none"/>
          <w:lang w:val="en-US"/>
        </w:rPr>
      </w:pPr>
    </w:p>
    <w:p w:rsidR="00870827" w:rsidRDefault="00870827" w:rsidP="00870827">
      <w:pPr>
        <w:spacing w:line="480" w:lineRule="auto"/>
        <w:jc w:val="both"/>
        <w:rPr>
          <w:b/>
          <w:u w:val="none"/>
          <w:lang w:val="en-US"/>
        </w:rPr>
      </w:pPr>
      <w:r>
        <w:rPr>
          <w:b/>
          <w:u w:val="none"/>
          <w:lang w:val="en-US"/>
        </w:rPr>
        <w:t>ATTORNEY FOR APPEALLANT:</w:t>
      </w:r>
      <w:r w:rsidR="00B270E7">
        <w:rPr>
          <w:b/>
          <w:u w:val="none"/>
          <w:lang w:val="en-US"/>
        </w:rPr>
        <w:tab/>
      </w:r>
      <w:r w:rsidR="00B270E7">
        <w:rPr>
          <w:b/>
          <w:u w:val="none"/>
          <w:lang w:val="en-US"/>
        </w:rPr>
        <w:tab/>
        <w:t>DELPORT VAN DEN BERG</w:t>
      </w:r>
    </w:p>
    <w:p w:rsidR="00870827" w:rsidRDefault="00870827" w:rsidP="00870827">
      <w:pPr>
        <w:spacing w:line="480" w:lineRule="auto"/>
        <w:jc w:val="both"/>
        <w:rPr>
          <w:b/>
          <w:u w:val="none"/>
          <w:lang w:val="en-US"/>
        </w:rPr>
      </w:pPr>
      <w:r>
        <w:rPr>
          <w:b/>
          <w:u w:val="none"/>
          <w:lang w:val="en-US"/>
        </w:rPr>
        <w:t>ADVOCATE FOR APPELLANT:</w:t>
      </w:r>
      <w:r w:rsidR="00B270E7">
        <w:rPr>
          <w:b/>
          <w:u w:val="none"/>
          <w:lang w:val="en-US"/>
        </w:rPr>
        <w:tab/>
      </w:r>
      <w:r w:rsidR="00B270E7">
        <w:rPr>
          <w:b/>
          <w:u w:val="none"/>
          <w:lang w:val="en-US"/>
        </w:rPr>
        <w:tab/>
      </w:r>
      <w:r w:rsidR="00B270E7">
        <w:rPr>
          <w:b/>
          <w:u w:val="none"/>
          <w:lang w:val="en-US"/>
        </w:rPr>
        <w:tab/>
        <w:t>ADV N MARITZ (SC)</w:t>
      </w:r>
    </w:p>
    <w:p w:rsidR="00B270E7" w:rsidRDefault="00B270E7" w:rsidP="00870827">
      <w:pPr>
        <w:spacing w:line="480" w:lineRule="auto"/>
        <w:jc w:val="both"/>
        <w:rPr>
          <w:b/>
          <w:u w:val="none"/>
          <w:lang w:val="en-US"/>
        </w:rPr>
      </w:pPr>
      <w:r>
        <w:rPr>
          <w:b/>
          <w:u w:val="none"/>
          <w:lang w:val="en-US"/>
        </w:rPr>
        <w:tab/>
      </w:r>
      <w:r>
        <w:rPr>
          <w:b/>
          <w:u w:val="none"/>
          <w:lang w:val="en-US"/>
        </w:rPr>
        <w:tab/>
      </w:r>
      <w:r>
        <w:rPr>
          <w:b/>
          <w:u w:val="none"/>
          <w:lang w:val="en-US"/>
        </w:rPr>
        <w:tab/>
      </w:r>
      <w:r>
        <w:rPr>
          <w:b/>
          <w:u w:val="none"/>
          <w:lang w:val="en-US"/>
        </w:rPr>
        <w:tab/>
      </w:r>
      <w:r>
        <w:rPr>
          <w:b/>
          <w:u w:val="none"/>
          <w:lang w:val="en-US"/>
        </w:rPr>
        <w:tab/>
      </w:r>
      <w:r>
        <w:rPr>
          <w:b/>
          <w:u w:val="none"/>
          <w:lang w:val="en-US"/>
        </w:rPr>
        <w:tab/>
      </w:r>
      <w:r>
        <w:rPr>
          <w:b/>
          <w:u w:val="none"/>
          <w:lang w:val="en-US"/>
        </w:rPr>
        <w:tab/>
        <w:t>ADV E ELS</w:t>
      </w:r>
    </w:p>
    <w:p w:rsidR="00870827" w:rsidRDefault="00870827" w:rsidP="00870827">
      <w:pPr>
        <w:spacing w:line="480" w:lineRule="auto"/>
        <w:jc w:val="both"/>
        <w:rPr>
          <w:b/>
          <w:u w:val="none"/>
          <w:lang w:val="en-US"/>
        </w:rPr>
      </w:pPr>
    </w:p>
    <w:p w:rsidR="00B270E7" w:rsidRDefault="00870827" w:rsidP="00870827">
      <w:pPr>
        <w:spacing w:line="480" w:lineRule="auto"/>
        <w:jc w:val="both"/>
        <w:rPr>
          <w:b/>
          <w:u w:val="none"/>
          <w:lang w:val="en-US"/>
        </w:rPr>
      </w:pPr>
      <w:r>
        <w:rPr>
          <w:b/>
          <w:u w:val="none"/>
          <w:lang w:val="en-US"/>
        </w:rPr>
        <w:t>ATTORNEY FOR</w:t>
      </w:r>
      <w:r w:rsidR="00B270E7">
        <w:rPr>
          <w:b/>
          <w:u w:val="none"/>
          <w:lang w:val="en-US"/>
        </w:rPr>
        <w:t xml:space="preserve"> RESPONDENTS:</w:t>
      </w:r>
      <w:r w:rsidR="00B270E7">
        <w:rPr>
          <w:b/>
          <w:u w:val="none"/>
          <w:lang w:val="en-US"/>
        </w:rPr>
        <w:tab/>
      </w:r>
      <w:r w:rsidR="00B270E7">
        <w:rPr>
          <w:b/>
          <w:u w:val="none"/>
          <w:lang w:val="en-US"/>
        </w:rPr>
        <w:tab/>
        <w:t>ANDREW MILLA &amp; ASS</w:t>
      </w:r>
    </w:p>
    <w:p w:rsidR="005A02FF" w:rsidRPr="00F62AF0" w:rsidRDefault="00B270E7" w:rsidP="005A02FF">
      <w:pPr>
        <w:spacing w:line="480" w:lineRule="auto"/>
        <w:jc w:val="both"/>
        <w:rPr>
          <w:u w:val="none"/>
          <w:lang w:val="en-US"/>
        </w:rPr>
      </w:pPr>
      <w:r>
        <w:rPr>
          <w:b/>
          <w:u w:val="none"/>
          <w:lang w:val="en-US"/>
        </w:rPr>
        <w:t>ADVOCATE FOR RESPONDENTS:</w:t>
      </w:r>
      <w:r>
        <w:rPr>
          <w:b/>
          <w:u w:val="none"/>
          <w:lang w:val="en-US"/>
        </w:rPr>
        <w:tab/>
      </w:r>
      <w:r>
        <w:rPr>
          <w:b/>
          <w:u w:val="none"/>
          <w:lang w:val="en-US"/>
        </w:rPr>
        <w:tab/>
        <w:t>ADV L CHOATE</w:t>
      </w:r>
    </w:p>
    <w:p w:rsidR="004E7116" w:rsidRPr="00F62AF0" w:rsidRDefault="004E7116" w:rsidP="004E7116">
      <w:pPr>
        <w:rPr>
          <w:b/>
          <w:u w:val="none"/>
        </w:rPr>
      </w:pPr>
    </w:p>
    <w:sectPr w:rsidR="004E7116" w:rsidRPr="00F62AF0" w:rsidSect="00F43516">
      <w:headerReference w:type="default" r:id="rId12"/>
      <w:pgSz w:w="11906" w:h="16838"/>
      <w:pgMar w:top="1440" w:right="1841"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50" w:rsidRDefault="00197850" w:rsidP="00BA7B3F">
      <w:r>
        <w:separator/>
      </w:r>
    </w:p>
  </w:endnote>
  <w:endnote w:type="continuationSeparator" w:id="0">
    <w:p w:rsidR="00197850" w:rsidRDefault="00197850" w:rsidP="00B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50" w:rsidRDefault="00197850" w:rsidP="00BA7B3F">
      <w:r>
        <w:separator/>
      </w:r>
    </w:p>
  </w:footnote>
  <w:footnote w:type="continuationSeparator" w:id="0">
    <w:p w:rsidR="00197850" w:rsidRDefault="00197850" w:rsidP="00BA7B3F">
      <w:r>
        <w:continuationSeparator/>
      </w:r>
    </w:p>
  </w:footnote>
  <w:footnote w:id="1">
    <w:p w:rsidR="00081BB2" w:rsidRPr="00753A44" w:rsidRDefault="00081BB2" w:rsidP="005F19E1">
      <w:pPr>
        <w:pStyle w:val="FootnoteText"/>
        <w:rPr>
          <w:u w:val="none"/>
          <w:lang w:val="en-US"/>
        </w:rPr>
      </w:pPr>
      <w:r w:rsidRPr="00753A44">
        <w:rPr>
          <w:rStyle w:val="FootnoteReference"/>
          <w:u w:val="none"/>
        </w:rPr>
        <w:footnoteRef/>
      </w:r>
      <w:r w:rsidRPr="00753A44">
        <w:rPr>
          <w:u w:val="none"/>
        </w:rPr>
        <w:t xml:space="preserve"> </w:t>
      </w:r>
      <w:r w:rsidRPr="00753A44">
        <w:rPr>
          <w:u w:val="none"/>
          <w:lang w:val="en-US"/>
        </w:rPr>
        <w:t>Gordon Lloyd Page &amp; Associates v Riviera 2001(1) SA 88 (SCA) p 92 – 93, see also De Klerk v Absa Bank 2003(4) SA 315 (SCA) p 323</w:t>
      </w:r>
      <w:r w:rsidR="003D06C3">
        <w:rPr>
          <w:u w:val="none"/>
          <w:lang w:val="en-US"/>
        </w:rPr>
        <w:t>.</w:t>
      </w:r>
    </w:p>
  </w:footnote>
  <w:footnote w:id="2">
    <w:p w:rsidR="00081BB2" w:rsidRPr="00753A44" w:rsidRDefault="00081BB2" w:rsidP="005F19E1">
      <w:pPr>
        <w:pStyle w:val="FootnoteText"/>
        <w:rPr>
          <w:lang w:val="en-US"/>
        </w:rPr>
      </w:pPr>
      <w:r w:rsidRPr="00753A44">
        <w:rPr>
          <w:rStyle w:val="FootnoteReference"/>
          <w:u w:val="none"/>
        </w:rPr>
        <w:footnoteRef/>
      </w:r>
      <w:r w:rsidR="00CC7CE9">
        <w:rPr>
          <w:u w:val="none"/>
        </w:rPr>
        <w:t xml:space="preserve"> Cilliers, Loots &amp; Nel, </w:t>
      </w:r>
      <w:r w:rsidRPr="00753A44">
        <w:rPr>
          <w:u w:val="none"/>
        </w:rPr>
        <w:t xml:space="preserve"> </w:t>
      </w:r>
      <w:r w:rsidRPr="00753A44">
        <w:rPr>
          <w:u w:val="none"/>
          <w:lang w:val="en-US"/>
        </w:rPr>
        <w:t>Herbstein &amp; Va</w:t>
      </w:r>
      <w:r w:rsidR="00CC7CE9">
        <w:rPr>
          <w:u w:val="none"/>
          <w:lang w:val="en-US"/>
        </w:rPr>
        <w:t>n</w:t>
      </w:r>
      <w:r w:rsidRPr="00753A44">
        <w:rPr>
          <w:u w:val="none"/>
          <w:lang w:val="en-US"/>
        </w:rPr>
        <w:t xml:space="preserve"> Winsen, The Court Practice of the High Courts of South Africa, (5</w:t>
      </w:r>
      <w:r w:rsidRPr="00753A44">
        <w:rPr>
          <w:u w:val="none"/>
          <w:vertAlign w:val="superscript"/>
          <w:lang w:val="en-US"/>
        </w:rPr>
        <w:t>th</w:t>
      </w:r>
      <w:r w:rsidRPr="00753A44">
        <w:rPr>
          <w:u w:val="none"/>
          <w:lang w:val="en-US"/>
        </w:rPr>
        <w:t xml:space="preserve"> ed), vol 1, Cilliers, Loots &amp; Nel p 923</w:t>
      </w:r>
      <w:r w:rsidR="003D06C3" w:rsidRPr="003D06C3">
        <w:rPr>
          <w:u w:val="none"/>
          <w:lang w:val="en-US"/>
        </w:rPr>
        <w:t>.</w:t>
      </w:r>
    </w:p>
  </w:footnote>
  <w:footnote w:id="3">
    <w:p w:rsidR="002C1A44" w:rsidRDefault="002C1A44">
      <w:pPr>
        <w:pStyle w:val="FootnoteText"/>
      </w:pPr>
      <w:r w:rsidRPr="002C1A44">
        <w:rPr>
          <w:rStyle w:val="FootnoteReference"/>
          <w:u w:val="none"/>
        </w:rPr>
        <w:footnoteRef/>
      </w:r>
      <w:r w:rsidRPr="002C1A44">
        <w:rPr>
          <w:u w:val="none"/>
        </w:rPr>
        <w:t xml:space="preserve"> </w:t>
      </w:r>
      <w:r w:rsidRPr="00925F6B">
        <w:rPr>
          <w:bCs/>
          <w:u w:val="none"/>
          <w:lang w:val="en-GB"/>
        </w:rPr>
        <w:t>2003 (4) SA 315 (SCA)</w:t>
      </w:r>
    </w:p>
  </w:footnote>
  <w:footnote w:id="4">
    <w:p w:rsidR="002C1A44" w:rsidRPr="002C1A44" w:rsidRDefault="002C1A44">
      <w:pPr>
        <w:pStyle w:val="FootnoteText"/>
        <w:rPr>
          <w:u w:val="none"/>
        </w:rPr>
      </w:pPr>
      <w:r w:rsidRPr="002C1A44">
        <w:rPr>
          <w:rStyle w:val="FootnoteReference"/>
          <w:u w:val="none"/>
        </w:rPr>
        <w:footnoteRef/>
      </w:r>
      <w:r w:rsidRPr="002C1A44">
        <w:rPr>
          <w:u w:val="none"/>
        </w:rPr>
        <w:t xml:space="preserve"> </w:t>
      </w:r>
      <w:r w:rsidRPr="002C1A44">
        <w:rPr>
          <w:i/>
          <w:u w:val="none"/>
        </w:rPr>
        <w:t>Ibid</w:t>
      </w:r>
      <w:r w:rsidRPr="002C1A44">
        <w:rPr>
          <w:u w:val="none"/>
        </w:rPr>
        <w:t xml:space="preserve"> para 1</w:t>
      </w:r>
      <w:r w:rsidR="0043480A">
        <w:rPr>
          <w:u w:val="none"/>
        </w:rPr>
        <w:t>.</w:t>
      </w:r>
    </w:p>
  </w:footnote>
  <w:footnote w:id="5">
    <w:p w:rsidR="00081BB2" w:rsidRDefault="00081BB2">
      <w:pPr>
        <w:pStyle w:val="FootnoteText"/>
      </w:pPr>
      <w:r w:rsidRPr="003D06C3">
        <w:rPr>
          <w:rStyle w:val="FootnoteReference"/>
          <w:u w:val="none"/>
        </w:rPr>
        <w:footnoteRef/>
      </w:r>
      <w:r w:rsidRPr="003D06C3">
        <w:rPr>
          <w:u w:val="none"/>
        </w:rPr>
        <w:t xml:space="preserve"> </w:t>
      </w:r>
      <w:r w:rsidRPr="002853C0">
        <w:rPr>
          <w:color w:val="000000"/>
          <w:w w:val="105"/>
          <w:u w:val="none"/>
          <w:lang w:val="en-GB"/>
        </w:rPr>
        <w:t>1996 (2) SA 670 (O)</w:t>
      </w:r>
      <w:r w:rsidR="003D06C3">
        <w:rPr>
          <w:color w:val="000000"/>
          <w:w w:val="105"/>
          <w:u w:val="none"/>
          <w:lang w:val="en-GB"/>
        </w:rPr>
        <w:t>.</w:t>
      </w:r>
    </w:p>
  </w:footnote>
  <w:footnote w:id="6">
    <w:p w:rsidR="00D01094" w:rsidRPr="00D01094" w:rsidRDefault="00D01094">
      <w:pPr>
        <w:pStyle w:val="FootnoteText"/>
        <w:rPr>
          <w:u w:val="none"/>
        </w:rPr>
      </w:pPr>
      <w:r w:rsidRPr="00D01094">
        <w:rPr>
          <w:rStyle w:val="FootnoteReference"/>
          <w:u w:val="none"/>
        </w:rPr>
        <w:footnoteRef/>
      </w:r>
      <w:r w:rsidRPr="00D01094">
        <w:rPr>
          <w:u w:val="none"/>
        </w:rPr>
        <w:t xml:space="preserve"> </w:t>
      </w:r>
      <w:r w:rsidRPr="00D01094">
        <w:rPr>
          <w:i/>
          <w:u w:val="none"/>
        </w:rPr>
        <w:t>Ibid</w:t>
      </w:r>
      <w:r w:rsidRPr="00D01094">
        <w:rPr>
          <w:u w:val="none"/>
        </w:rPr>
        <w:t xml:space="preserve"> p 675</w:t>
      </w:r>
      <w:r w:rsidR="0043480A">
        <w:rPr>
          <w:u w:val="none"/>
        </w:rPr>
        <w:t>.</w:t>
      </w:r>
    </w:p>
  </w:footnote>
  <w:footnote w:id="7">
    <w:p w:rsidR="00081BB2" w:rsidRDefault="00081BB2">
      <w:pPr>
        <w:pStyle w:val="FootnoteText"/>
      </w:pPr>
      <w:r w:rsidRPr="00D37124">
        <w:rPr>
          <w:rStyle w:val="FootnoteReference"/>
          <w:u w:val="none"/>
        </w:rPr>
        <w:footnoteRef/>
      </w:r>
      <w:r w:rsidRPr="00D37124">
        <w:rPr>
          <w:u w:val="none"/>
        </w:rPr>
        <w:t xml:space="preserve"> Durr v Absa Bank Ltd and Antoher 1997(3) SA 448 (SCA) at 460 F – 461 D, Lenaerts v JSN Motors (Pty) ltd and Another 2001(4) SA 1100 (W),</w:t>
      </w:r>
      <w:r w:rsidRPr="00D37124">
        <w:rPr>
          <w:color w:val="000000"/>
          <w:w w:val="105"/>
          <w:u w:val="none"/>
          <w:lang w:val="en-GB"/>
        </w:rPr>
        <w:t xml:space="preserve"> </w:t>
      </w:r>
      <w:r w:rsidRPr="002853C0">
        <w:rPr>
          <w:color w:val="000000"/>
          <w:w w:val="105"/>
          <w:u w:val="none"/>
          <w:lang w:val="en-GB"/>
        </w:rPr>
        <w:t xml:space="preserve">Similar findings were made in </w:t>
      </w:r>
      <w:r w:rsidRPr="002853C0">
        <w:rPr>
          <w:i/>
          <w:color w:val="000000"/>
          <w:w w:val="105"/>
          <w:u w:val="none"/>
          <w:lang w:val="en-GB"/>
        </w:rPr>
        <w:t xml:space="preserve">Lappeman Diamond Cutting Works (Pty) Ltd v MIB Group (Pty) Ltd and Another </w:t>
      </w:r>
      <w:r w:rsidRPr="002853C0">
        <w:rPr>
          <w:color w:val="000000"/>
          <w:w w:val="105"/>
          <w:u w:val="none"/>
          <w:lang w:val="en-GB"/>
        </w:rPr>
        <w:t xml:space="preserve">2004 (2) SA 1 (SCA) and in </w:t>
      </w:r>
      <w:r w:rsidRPr="002853C0">
        <w:rPr>
          <w:i/>
          <w:color w:val="000000"/>
          <w:w w:val="105"/>
          <w:u w:val="none"/>
          <w:lang w:val="en-GB"/>
        </w:rPr>
        <w:t>Mutual &amp; Federal Insurance Co. Ltd v Ingram NO and Others</w:t>
      </w:r>
      <w:r w:rsidRPr="002853C0">
        <w:rPr>
          <w:color w:val="000000"/>
          <w:w w:val="105"/>
          <w:u w:val="none"/>
          <w:lang w:val="en-GB"/>
        </w:rPr>
        <w:t xml:space="preserve"> 2009 (6) SA 53 (E).</w:t>
      </w:r>
    </w:p>
  </w:footnote>
  <w:footnote w:id="8">
    <w:p w:rsidR="00A4004F" w:rsidRDefault="00A4004F" w:rsidP="00A4004F">
      <w:pPr>
        <w:pStyle w:val="FootnoteText"/>
      </w:pPr>
      <w:r w:rsidRPr="003D06C3">
        <w:rPr>
          <w:rStyle w:val="FootnoteReference"/>
          <w:u w:val="none"/>
        </w:rPr>
        <w:footnoteRef/>
      </w:r>
      <w:r w:rsidRPr="003D06C3">
        <w:rPr>
          <w:u w:val="none"/>
        </w:rPr>
        <w:t xml:space="preserve"> </w:t>
      </w:r>
      <w:r w:rsidRPr="00026FA9">
        <w:rPr>
          <w:u w:val="none"/>
          <w:lang w:val="en-GB"/>
        </w:rPr>
        <w:t>2000 (1) SA 1 (CC) at para 62–65</w:t>
      </w:r>
      <w:r>
        <w:rPr>
          <w:u w:val="none"/>
          <w:lang w:val="en-GB"/>
        </w:rPr>
        <w:t>, See also Rautini v Passenger Rail Agency of South Africa [2021] JOL 51546 (SCA) para 14 – 15, S v Boesak 2001(1) SA 912 (CC) para 26.</w:t>
      </w:r>
    </w:p>
  </w:footnote>
  <w:footnote w:id="9">
    <w:p w:rsidR="00A4004F" w:rsidRPr="00C05D98" w:rsidRDefault="00A4004F" w:rsidP="00A4004F">
      <w:pPr>
        <w:pStyle w:val="FootnoteText"/>
        <w:rPr>
          <w:u w:val="none"/>
        </w:rPr>
      </w:pPr>
      <w:r w:rsidRPr="00C05D98">
        <w:rPr>
          <w:rStyle w:val="FootnoteReference"/>
          <w:u w:val="none"/>
        </w:rPr>
        <w:footnoteRef/>
      </w:r>
      <w:r w:rsidRPr="00C05D98">
        <w:rPr>
          <w:u w:val="none"/>
        </w:rPr>
        <w:t xml:space="preserve"> </w:t>
      </w:r>
      <w:r w:rsidRPr="003D06C3">
        <w:rPr>
          <w:i/>
          <w:u w:val="none"/>
        </w:rPr>
        <w:t>Ibid</w:t>
      </w:r>
      <w:r w:rsidRPr="00C05D98">
        <w:rPr>
          <w:u w:val="none"/>
        </w:rPr>
        <w:t xml:space="preserve"> para 63</w:t>
      </w:r>
      <w:r>
        <w:rPr>
          <w:u w:val="none"/>
        </w:rPr>
        <w:t>.</w:t>
      </w:r>
    </w:p>
  </w:footnote>
  <w:footnote w:id="10">
    <w:p w:rsidR="00FA0481" w:rsidRDefault="00FA0481" w:rsidP="00FA0481">
      <w:pPr>
        <w:pStyle w:val="FootnoteText"/>
      </w:pPr>
      <w:r w:rsidRPr="00CA374B">
        <w:rPr>
          <w:rStyle w:val="FootnoteReference"/>
          <w:u w:val="none"/>
        </w:rPr>
        <w:footnoteRef/>
      </w:r>
      <w:r w:rsidRPr="00CA374B">
        <w:rPr>
          <w:u w:val="none"/>
        </w:rPr>
        <w:t xml:space="preserve"> </w:t>
      </w:r>
      <w:r w:rsidRPr="00026FA9">
        <w:rPr>
          <w:u w:val="none"/>
          <w:lang w:val="en-GB"/>
        </w:rPr>
        <w:t>2019 (3) SA 117 (SCA)</w:t>
      </w:r>
      <w:r>
        <w:rPr>
          <w:u w:val="none"/>
          <w:lang w:val="en-GB"/>
        </w:rPr>
        <w:t xml:space="preserve"> para 69 (Pexmart), see also Zeffert and others: The South African Law of Evidence (2003) p 136.</w:t>
      </w:r>
    </w:p>
  </w:footnote>
  <w:footnote w:id="11">
    <w:p w:rsidR="00FA0481" w:rsidRPr="00CA374B" w:rsidRDefault="00FA0481" w:rsidP="00FA0481">
      <w:pPr>
        <w:pStyle w:val="FootnoteText"/>
        <w:rPr>
          <w:u w:val="none"/>
        </w:rPr>
      </w:pPr>
      <w:r w:rsidRPr="00CA374B">
        <w:rPr>
          <w:rStyle w:val="FootnoteReference"/>
          <w:u w:val="none"/>
        </w:rPr>
        <w:footnoteRef/>
      </w:r>
      <w:r w:rsidRPr="00CA374B">
        <w:rPr>
          <w:u w:val="none"/>
        </w:rPr>
        <w:t xml:space="preserve"> </w:t>
      </w:r>
      <w:r w:rsidRPr="00CA374B">
        <w:rPr>
          <w:i/>
          <w:u w:val="none"/>
        </w:rPr>
        <w:t>Ibid</w:t>
      </w:r>
      <w:r w:rsidRPr="00CA374B">
        <w:rPr>
          <w:u w:val="none"/>
        </w:rPr>
        <w:t xml:space="preserve"> para 69</w:t>
      </w:r>
      <w:r>
        <w:rPr>
          <w:u w:val="none"/>
        </w:rPr>
        <w:t>.</w:t>
      </w:r>
    </w:p>
  </w:footnote>
  <w:footnote w:id="12">
    <w:p w:rsidR="00FA0481" w:rsidRDefault="00FA0481" w:rsidP="00FA0481">
      <w:pPr>
        <w:pStyle w:val="FootnoteText"/>
      </w:pPr>
      <w:r w:rsidRPr="00FD78EA">
        <w:rPr>
          <w:rStyle w:val="FootnoteReference"/>
          <w:u w:val="none"/>
        </w:rPr>
        <w:footnoteRef/>
      </w:r>
      <w:r w:rsidRPr="00FD78EA">
        <w:rPr>
          <w:u w:val="none"/>
        </w:rPr>
        <w:t xml:space="preserve"> </w:t>
      </w:r>
      <w:r w:rsidR="00187D7E">
        <w:rPr>
          <w:u w:val="none"/>
        </w:rPr>
        <w:t>1</w:t>
      </w:r>
      <w:r w:rsidRPr="00026FA9">
        <w:rPr>
          <w:u w:val="none"/>
          <w:lang w:val="en-GB"/>
        </w:rPr>
        <w:t>979 (1) SA 621 (A) at 624B–F</w:t>
      </w:r>
      <w:r>
        <w:rPr>
          <w:u w:val="none"/>
          <w:lang w:val="en-GB"/>
        </w:rPr>
        <w:t>.</w:t>
      </w:r>
    </w:p>
  </w:footnote>
  <w:footnote w:id="13">
    <w:p w:rsidR="006237CE" w:rsidRDefault="006237CE" w:rsidP="006237CE">
      <w:pPr>
        <w:pStyle w:val="FootnoteText"/>
      </w:pPr>
      <w:r w:rsidRPr="00261D4C">
        <w:rPr>
          <w:rStyle w:val="FootnoteReference"/>
          <w:u w:val="none"/>
        </w:rPr>
        <w:footnoteRef/>
      </w:r>
      <w:r w:rsidRPr="00261D4C">
        <w:rPr>
          <w:u w:val="none"/>
        </w:rPr>
        <w:t xml:space="preserve"> </w:t>
      </w:r>
      <w:r w:rsidRPr="008A2CCD">
        <w:rPr>
          <w:u w:val="none"/>
          <w:lang w:val="en-GB"/>
        </w:rPr>
        <w:t>1961 (1) SA 335 (AD) at page 340B–C</w:t>
      </w:r>
      <w:r>
        <w:rPr>
          <w:u w:val="none"/>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973"/>
      <w:docPartObj>
        <w:docPartGallery w:val="Page Numbers (Top of Page)"/>
        <w:docPartUnique/>
      </w:docPartObj>
    </w:sdtPr>
    <w:sdtEndPr>
      <w:rPr>
        <w:noProof/>
      </w:rPr>
    </w:sdtEndPr>
    <w:sdtContent>
      <w:p w:rsidR="00081BB2" w:rsidRDefault="00081BB2">
        <w:pPr>
          <w:pStyle w:val="Header"/>
          <w:jc w:val="center"/>
        </w:pPr>
        <w:r>
          <w:fldChar w:fldCharType="begin"/>
        </w:r>
        <w:r>
          <w:instrText xml:space="preserve"> PAGE   \* MERGEFORMAT </w:instrText>
        </w:r>
        <w:r>
          <w:fldChar w:fldCharType="separate"/>
        </w:r>
        <w:r w:rsidR="00A8481F">
          <w:rPr>
            <w:noProof/>
          </w:rPr>
          <w:t>20</w:t>
        </w:r>
        <w:r>
          <w:rPr>
            <w:noProof/>
          </w:rPr>
          <w:fldChar w:fldCharType="end"/>
        </w:r>
      </w:p>
    </w:sdtContent>
  </w:sdt>
  <w:p w:rsidR="00081BB2" w:rsidRDefault="00081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622"/>
    <w:multiLevelType w:val="hybridMultilevel"/>
    <w:tmpl w:val="A7060C9C"/>
    <w:lvl w:ilvl="0" w:tplc="1C090001">
      <w:start w:val="1"/>
      <w:numFmt w:val="bullet"/>
      <w:lvlText w:val=""/>
      <w:lvlJc w:val="left"/>
      <w:pPr>
        <w:ind w:left="3195" w:hanging="360"/>
      </w:pPr>
      <w:rPr>
        <w:rFonts w:ascii="Symbol" w:hAnsi="Symbol" w:hint="default"/>
      </w:rPr>
    </w:lvl>
    <w:lvl w:ilvl="1" w:tplc="1C090003" w:tentative="1">
      <w:start w:val="1"/>
      <w:numFmt w:val="bullet"/>
      <w:lvlText w:val="o"/>
      <w:lvlJc w:val="left"/>
      <w:pPr>
        <w:ind w:left="3915" w:hanging="360"/>
      </w:pPr>
      <w:rPr>
        <w:rFonts w:ascii="Courier New" w:hAnsi="Courier New" w:cs="Courier New" w:hint="default"/>
      </w:rPr>
    </w:lvl>
    <w:lvl w:ilvl="2" w:tplc="1C090005">
      <w:start w:val="1"/>
      <w:numFmt w:val="bullet"/>
      <w:lvlText w:val=""/>
      <w:lvlJc w:val="left"/>
      <w:pPr>
        <w:ind w:left="4635" w:hanging="360"/>
      </w:pPr>
      <w:rPr>
        <w:rFonts w:ascii="Wingdings" w:hAnsi="Wingdings" w:hint="default"/>
      </w:rPr>
    </w:lvl>
    <w:lvl w:ilvl="3" w:tplc="1C090001" w:tentative="1">
      <w:start w:val="1"/>
      <w:numFmt w:val="bullet"/>
      <w:lvlText w:val=""/>
      <w:lvlJc w:val="left"/>
      <w:pPr>
        <w:ind w:left="5355" w:hanging="360"/>
      </w:pPr>
      <w:rPr>
        <w:rFonts w:ascii="Symbol" w:hAnsi="Symbol" w:hint="default"/>
      </w:rPr>
    </w:lvl>
    <w:lvl w:ilvl="4" w:tplc="1C090003" w:tentative="1">
      <w:start w:val="1"/>
      <w:numFmt w:val="bullet"/>
      <w:lvlText w:val="o"/>
      <w:lvlJc w:val="left"/>
      <w:pPr>
        <w:ind w:left="6075" w:hanging="360"/>
      </w:pPr>
      <w:rPr>
        <w:rFonts w:ascii="Courier New" w:hAnsi="Courier New" w:cs="Courier New" w:hint="default"/>
      </w:rPr>
    </w:lvl>
    <w:lvl w:ilvl="5" w:tplc="1C090005" w:tentative="1">
      <w:start w:val="1"/>
      <w:numFmt w:val="bullet"/>
      <w:lvlText w:val=""/>
      <w:lvlJc w:val="left"/>
      <w:pPr>
        <w:ind w:left="6795" w:hanging="360"/>
      </w:pPr>
      <w:rPr>
        <w:rFonts w:ascii="Wingdings" w:hAnsi="Wingdings" w:hint="default"/>
      </w:rPr>
    </w:lvl>
    <w:lvl w:ilvl="6" w:tplc="1C090001" w:tentative="1">
      <w:start w:val="1"/>
      <w:numFmt w:val="bullet"/>
      <w:lvlText w:val=""/>
      <w:lvlJc w:val="left"/>
      <w:pPr>
        <w:ind w:left="7515" w:hanging="360"/>
      </w:pPr>
      <w:rPr>
        <w:rFonts w:ascii="Symbol" w:hAnsi="Symbol" w:hint="default"/>
      </w:rPr>
    </w:lvl>
    <w:lvl w:ilvl="7" w:tplc="1C090003" w:tentative="1">
      <w:start w:val="1"/>
      <w:numFmt w:val="bullet"/>
      <w:lvlText w:val="o"/>
      <w:lvlJc w:val="left"/>
      <w:pPr>
        <w:ind w:left="8235" w:hanging="360"/>
      </w:pPr>
      <w:rPr>
        <w:rFonts w:ascii="Courier New" w:hAnsi="Courier New" w:cs="Courier New" w:hint="default"/>
      </w:rPr>
    </w:lvl>
    <w:lvl w:ilvl="8" w:tplc="1C090005" w:tentative="1">
      <w:start w:val="1"/>
      <w:numFmt w:val="bullet"/>
      <w:lvlText w:val=""/>
      <w:lvlJc w:val="left"/>
      <w:pPr>
        <w:ind w:left="8955" w:hanging="360"/>
      </w:pPr>
      <w:rPr>
        <w:rFonts w:ascii="Wingdings" w:hAnsi="Wingdings" w:hint="default"/>
      </w:rPr>
    </w:lvl>
  </w:abstractNum>
  <w:abstractNum w:abstractNumId="1" w15:restartNumberingAfterBreak="0">
    <w:nsid w:val="03700744"/>
    <w:multiLevelType w:val="hybridMultilevel"/>
    <w:tmpl w:val="CCF2F6F2"/>
    <w:lvl w:ilvl="0" w:tplc="888CFF98">
      <w:start w:val="1"/>
      <w:numFmt w:val="decimal"/>
      <w:lvlText w:val="[%1]"/>
      <w:lvlJc w:val="left"/>
      <w:pPr>
        <w:ind w:left="1287" w:hanging="360"/>
      </w:pPr>
      <w:rPr>
        <w:rFonts w:cs="Times New Roman" w:hint="default"/>
        <w:b w:val="0"/>
        <w:i w:val="0"/>
        <w:color w:val="auto"/>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15:restartNumberingAfterBreak="0">
    <w:nsid w:val="051A69F5"/>
    <w:multiLevelType w:val="hybridMultilevel"/>
    <w:tmpl w:val="76F05FD6"/>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3" w15:restartNumberingAfterBreak="0">
    <w:nsid w:val="09732BA1"/>
    <w:multiLevelType w:val="multilevel"/>
    <w:tmpl w:val="306628B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FC3549A"/>
    <w:multiLevelType w:val="hybridMultilevel"/>
    <w:tmpl w:val="4CA6EA92"/>
    <w:lvl w:ilvl="0" w:tplc="21E26300">
      <w:start w:val="1"/>
      <w:numFmt w:val="decimal"/>
      <w:lvlText w:val="%1."/>
      <w:lvlJc w:val="left"/>
      <w:pPr>
        <w:ind w:left="1815"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5" w15:restartNumberingAfterBreak="0">
    <w:nsid w:val="27757E76"/>
    <w:multiLevelType w:val="multilevel"/>
    <w:tmpl w:val="5C0A800E"/>
    <w:lvl w:ilvl="0">
      <w:start w:val="1"/>
      <w:numFmt w:val="decimal"/>
      <w:lvlText w:val="%1."/>
      <w:lvlJc w:val="left"/>
      <w:pPr>
        <w:tabs>
          <w:tab w:val="num" w:pos="851"/>
        </w:tabs>
        <w:ind w:left="851" w:hanging="851"/>
      </w:pPr>
      <w:rPr>
        <w:rFonts w:cs="Times New Roman" w:hint="default"/>
        <w:b w:val="0"/>
        <w:i w:val="0"/>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1134"/>
        </w:tabs>
        <w:ind w:left="1134" w:hanging="1134"/>
      </w:pPr>
      <w:rPr>
        <w:rFonts w:ascii="Arial" w:hAnsi="Arial" w:cs="Arial" w:hint="default"/>
        <w:b w:val="0"/>
        <w:i w:val="0"/>
        <w:sz w:val="22"/>
        <w:szCs w:val="22"/>
      </w:rPr>
    </w:lvl>
    <w:lvl w:ilvl="3">
      <w:start w:val="1"/>
      <w:numFmt w:val="decimal"/>
      <w:lvlText w:val="%1.%2.%3.%4"/>
      <w:lvlJc w:val="left"/>
      <w:pPr>
        <w:tabs>
          <w:tab w:val="num" w:pos="1701"/>
        </w:tabs>
        <w:ind w:left="1701" w:hanging="1701"/>
      </w:pPr>
      <w:rPr>
        <w:rFonts w:cs="Times New Roman" w:hint="default"/>
        <w:b w:val="0"/>
        <w:i w:val="0"/>
      </w:rPr>
    </w:lvl>
    <w:lvl w:ilvl="4">
      <w:start w:val="1"/>
      <w:numFmt w:val="decimal"/>
      <w:lvlText w:val="%1.%2.%3.%4.%5"/>
      <w:lvlJc w:val="left"/>
      <w:pPr>
        <w:tabs>
          <w:tab w:val="num" w:pos="2268"/>
        </w:tabs>
        <w:ind w:left="2268" w:hanging="2268"/>
      </w:pPr>
      <w:rPr>
        <w:rFonts w:cs="Times New Roman" w:hint="default"/>
      </w:rPr>
    </w:lvl>
    <w:lvl w:ilvl="5">
      <w:start w:val="1"/>
      <w:numFmt w:val="decimal"/>
      <w:lvlText w:val="%1.%2.%3.%4.%5.%6"/>
      <w:lvlJc w:val="left"/>
      <w:pPr>
        <w:tabs>
          <w:tab w:val="num" w:pos="3686"/>
        </w:tabs>
        <w:ind w:left="3686" w:hanging="3686"/>
      </w:pPr>
      <w:rPr>
        <w:rFonts w:cs="Times New Roman" w:hint="default"/>
      </w:rPr>
    </w:lvl>
    <w:lvl w:ilvl="6">
      <w:start w:val="1"/>
      <w:numFmt w:val="decimal"/>
      <w:lvlText w:val="%1.%2.%3.%4.%5.%6.%7"/>
      <w:lvlJc w:val="left"/>
      <w:pPr>
        <w:tabs>
          <w:tab w:val="num" w:pos="4253"/>
        </w:tabs>
        <w:ind w:left="4253" w:hanging="4253"/>
      </w:pPr>
      <w:rPr>
        <w:rFonts w:cs="Times New Roman" w:hint="default"/>
      </w:rPr>
    </w:lvl>
    <w:lvl w:ilvl="7">
      <w:start w:val="1"/>
      <w:numFmt w:val="decimal"/>
      <w:lvlText w:val="%1.%2.%3.%4.%5.%6.%7.%8"/>
      <w:lvlJc w:val="left"/>
      <w:pPr>
        <w:tabs>
          <w:tab w:val="num" w:pos="4820"/>
        </w:tabs>
        <w:ind w:left="4820" w:hanging="482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6D1B82"/>
    <w:multiLevelType w:val="multilevel"/>
    <w:tmpl w:val="E3781324"/>
    <w:lvl w:ilvl="0">
      <w:start w:val="3"/>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8" w15:restartNumberingAfterBreak="0">
    <w:nsid w:val="2FDE204B"/>
    <w:multiLevelType w:val="multilevel"/>
    <w:tmpl w:val="EC5292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8A5EA3"/>
    <w:multiLevelType w:val="hybridMultilevel"/>
    <w:tmpl w:val="6A98DB6A"/>
    <w:lvl w:ilvl="0" w:tplc="BF6AD650">
      <w:start w:val="1"/>
      <w:numFmt w:val="decimal"/>
      <w:lvlText w:val="%1."/>
      <w:lvlJc w:val="left"/>
      <w:pPr>
        <w:ind w:left="1233"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10" w15:restartNumberingAfterBreak="0">
    <w:nsid w:val="3B92192A"/>
    <w:multiLevelType w:val="hybridMultilevel"/>
    <w:tmpl w:val="A2BE0226"/>
    <w:lvl w:ilvl="0" w:tplc="AC4C7F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42FB476E"/>
    <w:multiLevelType w:val="hybridMultilevel"/>
    <w:tmpl w:val="80C2370E"/>
    <w:lvl w:ilvl="0" w:tplc="1C09000F">
      <w:start w:val="1"/>
      <w:numFmt w:val="decimal"/>
      <w:lvlText w:val="%1."/>
      <w:lvlJc w:val="left"/>
      <w:pPr>
        <w:ind w:left="2988" w:hanging="360"/>
      </w:pPr>
    </w:lvl>
    <w:lvl w:ilvl="1" w:tplc="1C09000F">
      <w:start w:val="1"/>
      <w:numFmt w:val="decimal"/>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12" w15:restartNumberingAfterBreak="0">
    <w:nsid w:val="43491C14"/>
    <w:multiLevelType w:val="hybridMultilevel"/>
    <w:tmpl w:val="720814E8"/>
    <w:lvl w:ilvl="0" w:tplc="90464DB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48EE0ED2"/>
    <w:multiLevelType w:val="hybridMultilevel"/>
    <w:tmpl w:val="5C2EED60"/>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316BAE"/>
    <w:multiLevelType w:val="hybridMultilevel"/>
    <w:tmpl w:val="A8AC6250"/>
    <w:lvl w:ilvl="0" w:tplc="739CB57A">
      <w:start w:val="1"/>
      <w:numFmt w:val="lowerLetter"/>
      <w:lvlText w:val="(%1)"/>
      <w:lvlJc w:val="left"/>
      <w:pPr>
        <w:ind w:left="2010" w:hanging="39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15:restartNumberingAfterBreak="0">
    <w:nsid w:val="6DF52499"/>
    <w:multiLevelType w:val="hybridMultilevel"/>
    <w:tmpl w:val="98ACADC8"/>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3B0C74"/>
    <w:multiLevelType w:val="hybridMultilevel"/>
    <w:tmpl w:val="15E2F1B0"/>
    <w:lvl w:ilvl="0" w:tplc="FEB27F76">
      <w:start w:val="1"/>
      <w:numFmt w:val="decimal"/>
      <w:lvlText w:val="[%1]"/>
      <w:lvlJc w:val="left"/>
      <w:pPr>
        <w:ind w:left="360" w:hanging="360"/>
      </w:pPr>
      <w:rPr>
        <w:rFonts w:cs="Times New Roman" w:hint="default"/>
        <w:i w:val="0"/>
        <w:color w:val="auto"/>
      </w:rPr>
    </w:lvl>
    <w:lvl w:ilvl="1" w:tplc="E21CDDA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15AFE"/>
    <w:multiLevelType w:val="multilevel"/>
    <w:tmpl w:val="EC5292E4"/>
    <w:lvl w:ilvl="0">
      <w:start w:val="1"/>
      <w:numFmt w:val="decimal"/>
      <w:lvlText w:val="%1."/>
      <w:lvlJc w:val="left"/>
      <w:pPr>
        <w:ind w:left="360" w:hanging="360"/>
      </w:pPr>
    </w:lvl>
    <w:lvl w:ilvl="1">
      <w:start w:val="1"/>
      <w:numFmt w:val="decimal"/>
      <w:lvlText w:val="%1.%2."/>
      <w:lvlJc w:val="left"/>
      <w:pPr>
        <w:ind w:left="241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8"/>
  </w:num>
  <w:num w:numId="4">
    <w:abstractNumId w:val="17"/>
  </w:num>
  <w:num w:numId="5">
    <w:abstractNumId w:val="0"/>
  </w:num>
  <w:num w:numId="6">
    <w:abstractNumId w:val="11"/>
  </w:num>
  <w:num w:numId="7">
    <w:abstractNumId w:val="2"/>
  </w:num>
  <w:num w:numId="8">
    <w:abstractNumId w:val="7"/>
  </w:num>
  <w:num w:numId="9">
    <w:abstractNumId w:val="15"/>
  </w:num>
  <w:num w:numId="10">
    <w:abstractNumId w:val="4"/>
  </w:num>
  <w:num w:numId="11">
    <w:abstractNumId w:val="13"/>
  </w:num>
  <w:num w:numId="12">
    <w:abstractNumId w:val="9"/>
  </w:num>
  <w:num w:numId="13">
    <w:abstractNumId w:val="1"/>
  </w:num>
  <w:num w:numId="14">
    <w:abstractNumId w:val="10"/>
  </w:num>
  <w:num w:numId="15">
    <w:abstractNumId w:val="12"/>
  </w:num>
  <w:num w:numId="16">
    <w:abstractNumId w:val="14"/>
  </w:num>
  <w:num w:numId="17">
    <w:abstractNumId w:val="3"/>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98"/>
    <w:rsid w:val="00000302"/>
    <w:rsid w:val="00000FE5"/>
    <w:rsid w:val="0000344F"/>
    <w:rsid w:val="00004F65"/>
    <w:rsid w:val="00010C00"/>
    <w:rsid w:val="00012406"/>
    <w:rsid w:val="00013E20"/>
    <w:rsid w:val="00014B11"/>
    <w:rsid w:val="00014EC7"/>
    <w:rsid w:val="00021812"/>
    <w:rsid w:val="000255CC"/>
    <w:rsid w:val="00026FA9"/>
    <w:rsid w:val="00032FE7"/>
    <w:rsid w:val="00037E83"/>
    <w:rsid w:val="00041FC7"/>
    <w:rsid w:val="0004375D"/>
    <w:rsid w:val="00047B67"/>
    <w:rsid w:val="00052296"/>
    <w:rsid w:val="0005291E"/>
    <w:rsid w:val="00052973"/>
    <w:rsid w:val="00052D61"/>
    <w:rsid w:val="00052F10"/>
    <w:rsid w:val="00053534"/>
    <w:rsid w:val="000537F3"/>
    <w:rsid w:val="00055B73"/>
    <w:rsid w:val="00055CD8"/>
    <w:rsid w:val="00057BC2"/>
    <w:rsid w:val="00061166"/>
    <w:rsid w:val="000612F5"/>
    <w:rsid w:val="00062888"/>
    <w:rsid w:val="000643BA"/>
    <w:rsid w:val="0007237C"/>
    <w:rsid w:val="00072D01"/>
    <w:rsid w:val="00077462"/>
    <w:rsid w:val="00080621"/>
    <w:rsid w:val="00081BB2"/>
    <w:rsid w:val="00082DAB"/>
    <w:rsid w:val="00084232"/>
    <w:rsid w:val="000854E8"/>
    <w:rsid w:val="000909DF"/>
    <w:rsid w:val="00095039"/>
    <w:rsid w:val="00095934"/>
    <w:rsid w:val="00095D38"/>
    <w:rsid w:val="000A124A"/>
    <w:rsid w:val="000A1427"/>
    <w:rsid w:val="000A1855"/>
    <w:rsid w:val="000A3641"/>
    <w:rsid w:val="000A4A12"/>
    <w:rsid w:val="000A5059"/>
    <w:rsid w:val="000A613E"/>
    <w:rsid w:val="000B0A73"/>
    <w:rsid w:val="000B0CA5"/>
    <w:rsid w:val="000B291A"/>
    <w:rsid w:val="000B370E"/>
    <w:rsid w:val="000B3AC7"/>
    <w:rsid w:val="000C0ADC"/>
    <w:rsid w:val="000C5CA7"/>
    <w:rsid w:val="000C6905"/>
    <w:rsid w:val="000C690A"/>
    <w:rsid w:val="000C6B8C"/>
    <w:rsid w:val="000D367A"/>
    <w:rsid w:val="000D5866"/>
    <w:rsid w:val="000D64B0"/>
    <w:rsid w:val="000D6A47"/>
    <w:rsid w:val="000E13B0"/>
    <w:rsid w:val="000E681E"/>
    <w:rsid w:val="000F1480"/>
    <w:rsid w:val="000F2671"/>
    <w:rsid w:val="00100A30"/>
    <w:rsid w:val="001061DD"/>
    <w:rsid w:val="00106C0E"/>
    <w:rsid w:val="001074D6"/>
    <w:rsid w:val="0011019A"/>
    <w:rsid w:val="0011098B"/>
    <w:rsid w:val="0011117C"/>
    <w:rsid w:val="001127A7"/>
    <w:rsid w:val="001132B9"/>
    <w:rsid w:val="00116AA7"/>
    <w:rsid w:val="00116CCE"/>
    <w:rsid w:val="00122426"/>
    <w:rsid w:val="00123425"/>
    <w:rsid w:val="00124024"/>
    <w:rsid w:val="0012424E"/>
    <w:rsid w:val="00125367"/>
    <w:rsid w:val="00125451"/>
    <w:rsid w:val="00126D6C"/>
    <w:rsid w:val="00131EB4"/>
    <w:rsid w:val="00132F91"/>
    <w:rsid w:val="00133ACD"/>
    <w:rsid w:val="001345E7"/>
    <w:rsid w:val="00135550"/>
    <w:rsid w:val="00136B15"/>
    <w:rsid w:val="00136B2F"/>
    <w:rsid w:val="00140E14"/>
    <w:rsid w:val="00147AA3"/>
    <w:rsid w:val="00147D65"/>
    <w:rsid w:val="0015259D"/>
    <w:rsid w:val="00153DE4"/>
    <w:rsid w:val="00160FCC"/>
    <w:rsid w:val="0016537F"/>
    <w:rsid w:val="00175417"/>
    <w:rsid w:val="00177D10"/>
    <w:rsid w:val="00181391"/>
    <w:rsid w:val="001816D2"/>
    <w:rsid w:val="00181EAA"/>
    <w:rsid w:val="001824F7"/>
    <w:rsid w:val="00182D80"/>
    <w:rsid w:val="00187667"/>
    <w:rsid w:val="00187D7E"/>
    <w:rsid w:val="0019283F"/>
    <w:rsid w:val="00193571"/>
    <w:rsid w:val="00194B51"/>
    <w:rsid w:val="00197850"/>
    <w:rsid w:val="001A1BA4"/>
    <w:rsid w:val="001A492C"/>
    <w:rsid w:val="001A521F"/>
    <w:rsid w:val="001A5986"/>
    <w:rsid w:val="001B1BC7"/>
    <w:rsid w:val="001B2C0F"/>
    <w:rsid w:val="001C13DA"/>
    <w:rsid w:val="001C2DA1"/>
    <w:rsid w:val="001C405F"/>
    <w:rsid w:val="001C45D9"/>
    <w:rsid w:val="001C5B52"/>
    <w:rsid w:val="001C633E"/>
    <w:rsid w:val="001C69F0"/>
    <w:rsid w:val="001D0235"/>
    <w:rsid w:val="001D2EC5"/>
    <w:rsid w:val="001D3713"/>
    <w:rsid w:val="001D42B2"/>
    <w:rsid w:val="001D4636"/>
    <w:rsid w:val="001D4C92"/>
    <w:rsid w:val="001D5BE0"/>
    <w:rsid w:val="001E06DC"/>
    <w:rsid w:val="001E0DE4"/>
    <w:rsid w:val="001E22FD"/>
    <w:rsid w:val="001E2ED7"/>
    <w:rsid w:val="001E3A61"/>
    <w:rsid w:val="001E3C8B"/>
    <w:rsid w:val="001E3E40"/>
    <w:rsid w:val="001E4751"/>
    <w:rsid w:val="001E4A7B"/>
    <w:rsid w:val="001E5C67"/>
    <w:rsid w:val="001E6EE5"/>
    <w:rsid w:val="001E738F"/>
    <w:rsid w:val="001F5A2B"/>
    <w:rsid w:val="001F639B"/>
    <w:rsid w:val="001F662A"/>
    <w:rsid w:val="001F6A27"/>
    <w:rsid w:val="001F7056"/>
    <w:rsid w:val="001F731A"/>
    <w:rsid w:val="00212C2E"/>
    <w:rsid w:val="00213F6B"/>
    <w:rsid w:val="002151AC"/>
    <w:rsid w:val="002154CE"/>
    <w:rsid w:val="002173B2"/>
    <w:rsid w:val="00220735"/>
    <w:rsid w:val="00221D68"/>
    <w:rsid w:val="0022500D"/>
    <w:rsid w:val="00226E10"/>
    <w:rsid w:val="002301B2"/>
    <w:rsid w:val="00230B2D"/>
    <w:rsid w:val="00232F4A"/>
    <w:rsid w:val="0023306D"/>
    <w:rsid w:val="00234677"/>
    <w:rsid w:val="00236EDA"/>
    <w:rsid w:val="0024591F"/>
    <w:rsid w:val="00251B04"/>
    <w:rsid w:val="00251DCE"/>
    <w:rsid w:val="00261D4C"/>
    <w:rsid w:val="00261E27"/>
    <w:rsid w:val="00264A57"/>
    <w:rsid w:val="00266249"/>
    <w:rsid w:val="002675D3"/>
    <w:rsid w:val="00267E59"/>
    <w:rsid w:val="002701E0"/>
    <w:rsid w:val="00272577"/>
    <w:rsid w:val="00272A12"/>
    <w:rsid w:val="00273E8F"/>
    <w:rsid w:val="00273EEB"/>
    <w:rsid w:val="002772C5"/>
    <w:rsid w:val="0027762C"/>
    <w:rsid w:val="00277A0E"/>
    <w:rsid w:val="00277B86"/>
    <w:rsid w:val="002807FF"/>
    <w:rsid w:val="00284BB7"/>
    <w:rsid w:val="002853C0"/>
    <w:rsid w:val="002867A9"/>
    <w:rsid w:val="00292E1D"/>
    <w:rsid w:val="002953D1"/>
    <w:rsid w:val="00295A13"/>
    <w:rsid w:val="00295F34"/>
    <w:rsid w:val="00296734"/>
    <w:rsid w:val="00296D2E"/>
    <w:rsid w:val="002976F0"/>
    <w:rsid w:val="002A06EE"/>
    <w:rsid w:val="002A20BA"/>
    <w:rsid w:val="002B0B99"/>
    <w:rsid w:val="002B4A13"/>
    <w:rsid w:val="002B799F"/>
    <w:rsid w:val="002B7BA9"/>
    <w:rsid w:val="002C1A44"/>
    <w:rsid w:val="002C1DA0"/>
    <w:rsid w:val="002C33BF"/>
    <w:rsid w:val="002C61DF"/>
    <w:rsid w:val="002D25AA"/>
    <w:rsid w:val="002D342D"/>
    <w:rsid w:val="002D4045"/>
    <w:rsid w:val="002D6E87"/>
    <w:rsid w:val="002E3412"/>
    <w:rsid w:val="002E3A7E"/>
    <w:rsid w:val="002E72DB"/>
    <w:rsid w:val="002F4398"/>
    <w:rsid w:val="002F447F"/>
    <w:rsid w:val="002F5147"/>
    <w:rsid w:val="00304B62"/>
    <w:rsid w:val="00304B7A"/>
    <w:rsid w:val="00304D35"/>
    <w:rsid w:val="00305105"/>
    <w:rsid w:val="00307629"/>
    <w:rsid w:val="00307716"/>
    <w:rsid w:val="0031134D"/>
    <w:rsid w:val="00313AB8"/>
    <w:rsid w:val="00321543"/>
    <w:rsid w:val="0033068F"/>
    <w:rsid w:val="00330B77"/>
    <w:rsid w:val="00330F64"/>
    <w:rsid w:val="003310E5"/>
    <w:rsid w:val="00331A41"/>
    <w:rsid w:val="00331F67"/>
    <w:rsid w:val="00332D59"/>
    <w:rsid w:val="0033337E"/>
    <w:rsid w:val="00334912"/>
    <w:rsid w:val="003372F8"/>
    <w:rsid w:val="00341FA5"/>
    <w:rsid w:val="003453FD"/>
    <w:rsid w:val="00346410"/>
    <w:rsid w:val="00346C5F"/>
    <w:rsid w:val="00353093"/>
    <w:rsid w:val="00353FB9"/>
    <w:rsid w:val="003574AF"/>
    <w:rsid w:val="0036016A"/>
    <w:rsid w:val="00361E4B"/>
    <w:rsid w:val="003627FC"/>
    <w:rsid w:val="00362E4A"/>
    <w:rsid w:val="003662D5"/>
    <w:rsid w:val="003667CA"/>
    <w:rsid w:val="00367B5B"/>
    <w:rsid w:val="003715EA"/>
    <w:rsid w:val="00371B79"/>
    <w:rsid w:val="00372047"/>
    <w:rsid w:val="00374EAD"/>
    <w:rsid w:val="003837F4"/>
    <w:rsid w:val="00383941"/>
    <w:rsid w:val="003861CF"/>
    <w:rsid w:val="00387183"/>
    <w:rsid w:val="00387591"/>
    <w:rsid w:val="00392DD2"/>
    <w:rsid w:val="00395101"/>
    <w:rsid w:val="003A3B9C"/>
    <w:rsid w:val="003B1A79"/>
    <w:rsid w:val="003B1B97"/>
    <w:rsid w:val="003B20DB"/>
    <w:rsid w:val="003B6017"/>
    <w:rsid w:val="003C275F"/>
    <w:rsid w:val="003C31D4"/>
    <w:rsid w:val="003C6CA8"/>
    <w:rsid w:val="003C7BBF"/>
    <w:rsid w:val="003D06C3"/>
    <w:rsid w:val="003D50B1"/>
    <w:rsid w:val="003D54FD"/>
    <w:rsid w:val="003D5899"/>
    <w:rsid w:val="003E2094"/>
    <w:rsid w:val="003E5AA6"/>
    <w:rsid w:val="003E6A5B"/>
    <w:rsid w:val="003F20D1"/>
    <w:rsid w:val="003F2DF8"/>
    <w:rsid w:val="003F35C1"/>
    <w:rsid w:val="003F7F12"/>
    <w:rsid w:val="00401168"/>
    <w:rsid w:val="00401C8C"/>
    <w:rsid w:val="004021A9"/>
    <w:rsid w:val="00402609"/>
    <w:rsid w:val="004148C8"/>
    <w:rsid w:val="00417F03"/>
    <w:rsid w:val="00421057"/>
    <w:rsid w:val="00421590"/>
    <w:rsid w:val="00422953"/>
    <w:rsid w:val="00423710"/>
    <w:rsid w:val="0043066C"/>
    <w:rsid w:val="0043225F"/>
    <w:rsid w:val="004328D2"/>
    <w:rsid w:val="004339CB"/>
    <w:rsid w:val="0043480A"/>
    <w:rsid w:val="00434E61"/>
    <w:rsid w:val="0043724E"/>
    <w:rsid w:val="0043725C"/>
    <w:rsid w:val="0044733A"/>
    <w:rsid w:val="00450952"/>
    <w:rsid w:val="00453E78"/>
    <w:rsid w:val="0045617C"/>
    <w:rsid w:val="00460F6B"/>
    <w:rsid w:val="0046139D"/>
    <w:rsid w:val="004643C2"/>
    <w:rsid w:val="00464BCD"/>
    <w:rsid w:val="004651AF"/>
    <w:rsid w:val="00467977"/>
    <w:rsid w:val="00470FB3"/>
    <w:rsid w:val="0047100D"/>
    <w:rsid w:val="0047167F"/>
    <w:rsid w:val="00471E6C"/>
    <w:rsid w:val="0047250C"/>
    <w:rsid w:val="0048075A"/>
    <w:rsid w:val="00481188"/>
    <w:rsid w:val="00481206"/>
    <w:rsid w:val="00483891"/>
    <w:rsid w:val="0048512E"/>
    <w:rsid w:val="00493727"/>
    <w:rsid w:val="0049440D"/>
    <w:rsid w:val="004A02DC"/>
    <w:rsid w:val="004A3D79"/>
    <w:rsid w:val="004A53A5"/>
    <w:rsid w:val="004A5917"/>
    <w:rsid w:val="004B7248"/>
    <w:rsid w:val="004C1469"/>
    <w:rsid w:val="004C19DF"/>
    <w:rsid w:val="004C5AD1"/>
    <w:rsid w:val="004C6093"/>
    <w:rsid w:val="004D002B"/>
    <w:rsid w:val="004D0C44"/>
    <w:rsid w:val="004D1395"/>
    <w:rsid w:val="004D5E37"/>
    <w:rsid w:val="004E24B9"/>
    <w:rsid w:val="004E26BD"/>
    <w:rsid w:val="004E36B9"/>
    <w:rsid w:val="004E5573"/>
    <w:rsid w:val="004E5A13"/>
    <w:rsid w:val="004E5EE4"/>
    <w:rsid w:val="004E7116"/>
    <w:rsid w:val="004E74CB"/>
    <w:rsid w:val="004F3F18"/>
    <w:rsid w:val="004F4009"/>
    <w:rsid w:val="004F42EB"/>
    <w:rsid w:val="004F46CA"/>
    <w:rsid w:val="004F4A4D"/>
    <w:rsid w:val="0050361A"/>
    <w:rsid w:val="005068A7"/>
    <w:rsid w:val="0051048D"/>
    <w:rsid w:val="00510EDF"/>
    <w:rsid w:val="00513ADC"/>
    <w:rsid w:val="005150F5"/>
    <w:rsid w:val="0051516A"/>
    <w:rsid w:val="005155BC"/>
    <w:rsid w:val="00515C37"/>
    <w:rsid w:val="005175F2"/>
    <w:rsid w:val="005224BA"/>
    <w:rsid w:val="00522B82"/>
    <w:rsid w:val="005230AF"/>
    <w:rsid w:val="005235BF"/>
    <w:rsid w:val="00526254"/>
    <w:rsid w:val="005276B2"/>
    <w:rsid w:val="005309A7"/>
    <w:rsid w:val="005309FB"/>
    <w:rsid w:val="00531731"/>
    <w:rsid w:val="0053181A"/>
    <w:rsid w:val="005329A9"/>
    <w:rsid w:val="00535FBE"/>
    <w:rsid w:val="005360B4"/>
    <w:rsid w:val="005408ED"/>
    <w:rsid w:val="0054105C"/>
    <w:rsid w:val="00541244"/>
    <w:rsid w:val="00541291"/>
    <w:rsid w:val="00542156"/>
    <w:rsid w:val="00546A64"/>
    <w:rsid w:val="005529D3"/>
    <w:rsid w:val="00555F17"/>
    <w:rsid w:val="00557576"/>
    <w:rsid w:val="00557B2D"/>
    <w:rsid w:val="005601DE"/>
    <w:rsid w:val="005615D7"/>
    <w:rsid w:val="005630D4"/>
    <w:rsid w:val="00565A56"/>
    <w:rsid w:val="00565BF6"/>
    <w:rsid w:val="005746A9"/>
    <w:rsid w:val="00574B67"/>
    <w:rsid w:val="00577207"/>
    <w:rsid w:val="00580DD1"/>
    <w:rsid w:val="0058346E"/>
    <w:rsid w:val="0059045C"/>
    <w:rsid w:val="005934E3"/>
    <w:rsid w:val="005A02FF"/>
    <w:rsid w:val="005A0EAD"/>
    <w:rsid w:val="005A62B4"/>
    <w:rsid w:val="005A64BD"/>
    <w:rsid w:val="005B2241"/>
    <w:rsid w:val="005B6963"/>
    <w:rsid w:val="005B7423"/>
    <w:rsid w:val="005B7EF7"/>
    <w:rsid w:val="005C318F"/>
    <w:rsid w:val="005C34AF"/>
    <w:rsid w:val="005C445A"/>
    <w:rsid w:val="005C4CB8"/>
    <w:rsid w:val="005C7CDE"/>
    <w:rsid w:val="005D4718"/>
    <w:rsid w:val="005E3D31"/>
    <w:rsid w:val="005F0792"/>
    <w:rsid w:val="005F117A"/>
    <w:rsid w:val="005F19E1"/>
    <w:rsid w:val="005F1D17"/>
    <w:rsid w:val="005F66C9"/>
    <w:rsid w:val="00603526"/>
    <w:rsid w:val="00604E69"/>
    <w:rsid w:val="00605652"/>
    <w:rsid w:val="00606B47"/>
    <w:rsid w:val="00613D18"/>
    <w:rsid w:val="00614803"/>
    <w:rsid w:val="0061571A"/>
    <w:rsid w:val="006165BB"/>
    <w:rsid w:val="00617300"/>
    <w:rsid w:val="00622B15"/>
    <w:rsid w:val="006237CE"/>
    <w:rsid w:val="006264E3"/>
    <w:rsid w:val="00630149"/>
    <w:rsid w:val="00631FED"/>
    <w:rsid w:val="006336DC"/>
    <w:rsid w:val="006343FD"/>
    <w:rsid w:val="00634F22"/>
    <w:rsid w:val="00637AF2"/>
    <w:rsid w:val="006429BC"/>
    <w:rsid w:val="00642BDC"/>
    <w:rsid w:val="00643654"/>
    <w:rsid w:val="006530EB"/>
    <w:rsid w:val="0065563E"/>
    <w:rsid w:val="006563BF"/>
    <w:rsid w:val="006639C2"/>
    <w:rsid w:val="00663E7F"/>
    <w:rsid w:val="006655EF"/>
    <w:rsid w:val="00666255"/>
    <w:rsid w:val="006667B8"/>
    <w:rsid w:val="0067096B"/>
    <w:rsid w:val="006709B2"/>
    <w:rsid w:val="00673631"/>
    <w:rsid w:val="00674A38"/>
    <w:rsid w:val="00680548"/>
    <w:rsid w:val="00680E62"/>
    <w:rsid w:val="00680FF0"/>
    <w:rsid w:val="00685324"/>
    <w:rsid w:val="00694469"/>
    <w:rsid w:val="006A674D"/>
    <w:rsid w:val="006A7D0D"/>
    <w:rsid w:val="006B0E4E"/>
    <w:rsid w:val="006B1EB7"/>
    <w:rsid w:val="006B6C3C"/>
    <w:rsid w:val="006C0CA6"/>
    <w:rsid w:val="006C38B1"/>
    <w:rsid w:val="006C45D9"/>
    <w:rsid w:val="006D22B0"/>
    <w:rsid w:val="006D2DF7"/>
    <w:rsid w:val="006D4CB9"/>
    <w:rsid w:val="006E3F24"/>
    <w:rsid w:val="006E48D0"/>
    <w:rsid w:val="006E74A4"/>
    <w:rsid w:val="00701836"/>
    <w:rsid w:val="00702348"/>
    <w:rsid w:val="007050C8"/>
    <w:rsid w:val="007143C5"/>
    <w:rsid w:val="00715DC4"/>
    <w:rsid w:val="00717026"/>
    <w:rsid w:val="00717919"/>
    <w:rsid w:val="007213CE"/>
    <w:rsid w:val="007232D8"/>
    <w:rsid w:val="00727682"/>
    <w:rsid w:val="00727779"/>
    <w:rsid w:val="00735E39"/>
    <w:rsid w:val="0073729B"/>
    <w:rsid w:val="00737654"/>
    <w:rsid w:val="0074081F"/>
    <w:rsid w:val="00750EA0"/>
    <w:rsid w:val="00752794"/>
    <w:rsid w:val="00752DDA"/>
    <w:rsid w:val="00753A44"/>
    <w:rsid w:val="00754688"/>
    <w:rsid w:val="007547DA"/>
    <w:rsid w:val="007610F3"/>
    <w:rsid w:val="00762AC7"/>
    <w:rsid w:val="00762B65"/>
    <w:rsid w:val="007652F3"/>
    <w:rsid w:val="00767716"/>
    <w:rsid w:val="00767807"/>
    <w:rsid w:val="00771896"/>
    <w:rsid w:val="00774892"/>
    <w:rsid w:val="00775D68"/>
    <w:rsid w:val="007769EF"/>
    <w:rsid w:val="00776EA8"/>
    <w:rsid w:val="007770D6"/>
    <w:rsid w:val="0078073D"/>
    <w:rsid w:val="00781D38"/>
    <w:rsid w:val="00782310"/>
    <w:rsid w:val="00784264"/>
    <w:rsid w:val="00787CB6"/>
    <w:rsid w:val="00793590"/>
    <w:rsid w:val="007941B0"/>
    <w:rsid w:val="00795F67"/>
    <w:rsid w:val="007960E4"/>
    <w:rsid w:val="00796593"/>
    <w:rsid w:val="007A04CE"/>
    <w:rsid w:val="007A13E7"/>
    <w:rsid w:val="007A1687"/>
    <w:rsid w:val="007A2542"/>
    <w:rsid w:val="007A3CA9"/>
    <w:rsid w:val="007A70F2"/>
    <w:rsid w:val="007B07F5"/>
    <w:rsid w:val="007B1902"/>
    <w:rsid w:val="007B222E"/>
    <w:rsid w:val="007B5E81"/>
    <w:rsid w:val="007B601B"/>
    <w:rsid w:val="007B671F"/>
    <w:rsid w:val="007C1B1E"/>
    <w:rsid w:val="007C20F4"/>
    <w:rsid w:val="007C3117"/>
    <w:rsid w:val="007C4DF3"/>
    <w:rsid w:val="007D3D14"/>
    <w:rsid w:val="007D6358"/>
    <w:rsid w:val="007D657D"/>
    <w:rsid w:val="007D75FE"/>
    <w:rsid w:val="007E1A41"/>
    <w:rsid w:val="007E2762"/>
    <w:rsid w:val="007E4339"/>
    <w:rsid w:val="007E5558"/>
    <w:rsid w:val="007F0074"/>
    <w:rsid w:val="007F0CED"/>
    <w:rsid w:val="007F10D6"/>
    <w:rsid w:val="007F32EE"/>
    <w:rsid w:val="007F47F2"/>
    <w:rsid w:val="00802072"/>
    <w:rsid w:val="00803181"/>
    <w:rsid w:val="008037EC"/>
    <w:rsid w:val="00805234"/>
    <w:rsid w:val="00805971"/>
    <w:rsid w:val="008060DD"/>
    <w:rsid w:val="00806491"/>
    <w:rsid w:val="00811263"/>
    <w:rsid w:val="00813612"/>
    <w:rsid w:val="008142D8"/>
    <w:rsid w:val="008155B2"/>
    <w:rsid w:val="00816EFF"/>
    <w:rsid w:val="00817C0F"/>
    <w:rsid w:val="00822B86"/>
    <w:rsid w:val="0082339A"/>
    <w:rsid w:val="00826091"/>
    <w:rsid w:val="008268C9"/>
    <w:rsid w:val="00827B78"/>
    <w:rsid w:val="00831339"/>
    <w:rsid w:val="008360C6"/>
    <w:rsid w:val="0084067A"/>
    <w:rsid w:val="00842714"/>
    <w:rsid w:val="00842F8F"/>
    <w:rsid w:val="00843163"/>
    <w:rsid w:val="008467D9"/>
    <w:rsid w:val="008501FB"/>
    <w:rsid w:val="008512F2"/>
    <w:rsid w:val="008604C7"/>
    <w:rsid w:val="00863C58"/>
    <w:rsid w:val="008645DE"/>
    <w:rsid w:val="00864AE0"/>
    <w:rsid w:val="0087031E"/>
    <w:rsid w:val="00870827"/>
    <w:rsid w:val="008716C1"/>
    <w:rsid w:val="00871B23"/>
    <w:rsid w:val="00871E62"/>
    <w:rsid w:val="008728B6"/>
    <w:rsid w:val="008729D8"/>
    <w:rsid w:val="008731F6"/>
    <w:rsid w:val="00876495"/>
    <w:rsid w:val="0087717F"/>
    <w:rsid w:val="00880C9F"/>
    <w:rsid w:val="0088127A"/>
    <w:rsid w:val="008875A4"/>
    <w:rsid w:val="00892D0A"/>
    <w:rsid w:val="00897BA8"/>
    <w:rsid w:val="008A1085"/>
    <w:rsid w:val="008A13BD"/>
    <w:rsid w:val="008A2CCD"/>
    <w:rsid w:val="008A309D"/>
    <w:rsid w:val="008A342F"/>
    <w:rsid w:val="008A39F2"/>
    <w:rsid w:val="008A3FD6"/>
    <w:rsid w:val="008A435B"/>
    <w:rsid w:val="008A5459"/>
    <w:rsid w:val="008A73B2"/>
    <w:rsid w:val="008B0B42"/>
    <w:rsid w:val="008B1854"/>
    <w:rsid w:val="008B3C9D"/>
    <w:rsid w:val="008B45B1"/>
    <w:rsid w:val="008B56BA"/>
    <w:rsid w:val="008B6A4B"/>
    <w:rsid w:val="008C0A76"/>
    <w:rsid w:val="008C5EAF"/>
    <w:rsid w:val="008D17AE"/>
    <w:rsid w:val="008D2311"/>
    <w:rsid w:val="008D332C"/>
    <w:rsid w:val="008D5DD8"/>
    <w:rsid w:val="008D658C"/>
    <w:rsid w:val="008D669D"/>
    <w:rsid w:val="008E2028"/>
    <w:rsid w:val="008E3F62"/>
    <w:rsid w:val="008F7797"/>
    <w:rsid w:val="00900806"/>
    <w:rsid w:val="00900EA9"/>
    <w:rsid w:val="00903272"/>
    <w:rsid w:val="0090515A"/>
    <w:rsid w:val="00910DE6"/>
    <w:rsid w:val="00911423"/>
    <w:rsid w:val="00913DDB"/>
    <w:rsid w:val="009175F8"/>
    <w:rsid w:val="009204B1"/>
    <w:rsid w:val="009209E1"/>
    <w:rsid w:val="009253DD"/>
    <w:rsid w:val="00925F6B"/>
    <w:rsid w:val="00933157"/>
    <w:rsid w:val="0093663C"/>
    <w:rsid w:val="00940F74"/>
    <w:rsid w:val="00942C6D"/>
    <w:rsid w:val="009502A6"/>
    <w:rsid w:val="009559DA"/>
    <w:rsid w:val="00955D8E"/>
    <w:rsid w:val="00955EA5"/>
    <w:rsid w:val="00957B9B"/>
    <w:rsid w:val="00957F65"/>
    <w:rsid w:val="00961C94"/>
    <w:rsid w:val="009627D3"/>
    <w:rsid w:val="0096554D"/>
    <w:rsid w:val="00966D5B"/>
    <w:rsid w:val="00972793"/>
    <w:rsid w:val="0097797E"/>
    <w:rsid w:val="00981B5C"/>
    <w:rsid w:val="00985363"/>
    <w:rsid w:val="0099035A"/>
    <w:rsid w:val="009904CD"/>
    <w:rsid w:val="0099075E"/>
    <w:rsid w:val="00990C71"/>
    <w:rsid w:val="00991DEE"/>
    <w:rsid w:val="0099454D"/>
    <w:rsid w:val="00994559"/>
    <w:rsid w:val="009955FB"/>
    <w:rsid w:val="00995DB7"/>
    <w:rsid w:val="00996C9B"/>
    <w:rsid w:val="00997C55"/>
    <w:rsid w:val="009A177E"/>
    <w:rsid w:val="009A2D3E"/>
    <w:rsid w:val="009A54B0"/>
    <w:rsid w:val="009B7C4D"/>
    <w:rsid w:val="009C243F"/>
    <w:rsid w:val="009C59AB"/>
    <w:rsid w:val="009C68FF"/>
    <w:rsid w:val="009D1955"/>
    <w:rsid w:val="009D4A08"/>
    <w:rsid w:val="009D714E"/>
    <w:rsid w:val="009E02FA"/>
    <w:rsid w:val="009E17C4"/>
    <w:rsid w:val="009E43AE"/>
    <w:rsid w:val="009E7726"/>
    <w:rsid w:val="009F07B8"/>
    <w:rsid w:val="009F1F3D"/>
    <w:rsid w:val="009F25C1"/>
    <w:rsid w:val="009F3EFC"/>
    <w:rsid w:val="009F4489"/>
    <w:rsid w:val="009F46B1"/>
    <w:rsid w:val="00A02A8F"/>
    <w:rsid w:val="00A03511"/>
    <w:rsid w:val="00A04332"/>
    <w:rsid w:val="00A123E9"/>
    <w:rsid w:val="00A15381"/>
    <w:rsid w:val="00A20C31"/>
    <w:rsid w:val="00A23A3A"/>
    <w:rsid w:val="00A2741C"/>
    <w:rsid w:val="00A308CD"/>
    <w:rsid w:val="00A33F0A"/>
    <w:rsid w:val="00A3697E"/>
    <w:rsid w:val="00A37E49"/>
    <w:rsid w:val="00A4004F"/>
    <w:rsid w:val="00A4393E"/>
    <w:rsid w:val="00A466BC"/>
    <w:rsid w:val="00A47C3E"/>
    <w:rsid w:val="00A50786"/>
    <w:rsid w:val="00A5094F"/>
    <w:rsid w:val="00A53264"/>
    <w:rsid w:val="00A617B8"/>
    <w:rsid w:val="00A625DE"/>
    <w:rsid w:val="00A6483E"/>
    <w:rsid w:val="00A65269"/>
    <w:rsid w:val="00A65B96"/>
    <w:rsid w:val="00A67088"/>
    <w:rsid w:val="00A67A9E"/>
    <w:rsid w:val="00A73C01"/>
    <w:rsid w:val="00A74BB7"/>
    <w:rsid w:val="00A7552D"/>
    <w:rsid w:val="00A75E18"/>
    <w:rsid w:val="00A83B54"/>
    <w:rsid w:val="00A83FF6"/>
    <w:rsid w:val="00A8481F"/>
    <w:rsid w:val="00A850BB"/>
    <w:rsid w:val="00A941DD"/>
    <w:rsid w:val="00A97409"/>
    <w:rsid w:val="00A97C4A"/>
    <w:rsid w:val="00AA1A12"/>
    <w:rsid w:val="00AA1B9D"/>
    <w:rsid w:val="00AA41B0"/>
    <w:rsid w:val="00AA4292"/>
    <w:rsid w:val="00AA4E63"/>
    <w:rsid w:val="00AA624A"/>
    <w:rsid w:val="00AA7542"/>
    <w:rsid w:val="00AB38E1"/>
    <w:rsid w:val="00AB64CE"/>
    <w:rsid w:val="00AC0890"/>
    <w:rsid w:val="00AC567B"/>
    <w:rsid w:val="00AC5A6C"/>
    <w:rsid w:val="00AD117D"/>
    <w:rsid w:val="00AD22EC"/>
    <w:rsid w:val="00AD34D4"/>
    <w:rsid w:val="00AD4120"/>
    <w:rsid w:val="00AD798C"/>
    <w:rsid w:val="00AD7CA5"/>
    <w:rsid w:val="00AE0757"/>
    <w:rsid w:val="00AE0A01"/>
    <w:rsid w:val="00AE134E"/>
    <w:rsid w:val="00AE1B96"/>
    <w:rsid w:val="00AE4357"/>
    <w:rsid w:val="00AE760B"/>
    <w:rsid w:val="00AE7F9A"/>
    <w:rsid w:val="00AF18A0"/>
    <w:rsid w:val="00AF1B8A"/>
    <w:rsid w:val="00AF2FE9"/>
    <w:rsid w:val="00AF38DB"/>
    <w:rsid w:val="00AF6BC9"/>
    <w:rsid w:val="00AF7160"/>
    <w:rsid w:val="00AF7D98"/>
    <w:rsid w:val="00B01163"/>
    <w:rsid w:val="00B03AEF"/>
    <w:rsid w:val="00B04800"/>
    <w:rsid w:val="00B12D14"/>
    <w:rsid w:val="00B13281"/>
    <w:rsid w:val="00B140FC"/>
    <w:rsid w:val="00B206DA"/>
    <w:rsid w:val="00B24A98"/>
    <w:rsid w:val="00B262C5"/>
    <w:rsid w:val="00B270E7"/>
    <w:rsid w:val="00B3323E"/>
    <w:rsid w:val="00B34400"/>
    <w:rsid w:val="00B34D9D"/>
    <w:rsid w:val="00B40648"/>
    <w:rsid w:val="00B422FE"/>
    <w:rsid w:val="00B42833"/>
    <w:rsid w:val="00B50B8F"/>
    <w:rsid w:val="00B50E77"/>
    <w:rsid w:val="00B512A4"/>
    <w:rsid w:val="00B520D5"/>
    <w:rsid w:val="00B53A9E"/>
    <w:rsid w:val="00B53C93"/>
    <w:rsid w:val="00B60EAA"/>
    <w:rsid w:val="00B615D6"/>
    <w:rsid w:val="00B636C2"/>
    <w:rsid w:val="00B638C8"/>
    <w:rsid w:val="00B64313"/>
    <w:rsid w:val="00B644D4"/>
    <w:rsid w:val="00B64A71"/>
    <w:rsid w:val="00B655A8"/>
    <w:rsid w:val="00B726DB"/>
    <w:rsid w:val="00B76CA9"/>
    <w:rsid w:val="00B822C6"/>
    <w:rsid w:val="00B828E8"/>
    <w:rsid w:val="00B82CF9"/>
    <w:rsid w:val="00B844A8"/>
    <w:rsid w:val="00B84613"/>
    <w:rsid w:val="00B919F3"/>
    <w:rsid w:val="00B96098"/>
    <w:rsid w:val="00B9688C"/>
    <w:rsid w:val="00B96E75"/>
    <w:rsid w:val="00BA1ADB"/>
    <w:rsid w:val="00BA38BC"/>
    <w:rsid w:val="00BA5B93"/>
    <w:rsid w:val="00BA72F4"/>
    <w:rsid w:val="00BA7B3F"/>
    <w:rsid w:val="00BB0E6C"/>
    <w:rsid w:val="00BB316D"/>
    <w:rsid w:val="00BB7F07"/>
    <w:rsid w:val="00BD00E8"/>
    <w:rsid w:val="00BD0720"/>
    <w:rsid w:val="00BE2EC2"/>
    <w:rsid w:val="00BE3922"/>
    <w:rsid w:val="00BE6A48"/>
    <w:rsid w:val="00BE72ED"/>
    <w:rsid w:val="00BF3495"/>
    <w:rsid w:val="00BF3A7C"/>
    <w:rsid w:val="00BF511A"/>
    <w:rsid w:val="00BF65C4"/>
    <w:rsid w:val="00C0031D"/>
    <w:rsid w:val="00C02622"/>
    <w:rsid w:val="00C044B0"/>
    <w:rsid w:val="00C057E4"/>
    <w:rsid w:val="00C05D98"/>
    <w:rsid w:val="00C05E9F"/>
    <w:rsid w:val="00C0619C"/>
    <w:rsid w:val="00C064AB"/>
    <w:rsid w:val="00C07765"/>
    <w:rsid w:val="00C1077F"/>
    <w:rsid w:val="00C12449"/>
    <w:rsid w:val="00C12477"/>
    <w:rsid w:val="00C13F51"/>
    <w:rsid w:val="00C14708"/>
    <w:rsid w:val="00C151FD"/>
    <w:rsid w:val="00C342A7"/>
    <w:rsid w:val="00C42307"/>
    <w:rsid w:val="00C43149"/>
    <w:rsid w:val="00C44631"/>
    <w:rsid w:val="00C45058"/>
    <w:rsid w:val="00C4537C"/>
    <w:rsid w:val="00C461F0"/>
    <w:rsid w:val="00C503F8"/>
    <w:rsid w:val="00C51829"/>
    <w:rsid w:val="00C56554"/>
    <w:rsid w:val="00C56741"/>
    <w:rsid w:val="00C56DB2"/>
    <w:rsid w:val="00C5768D"/>
    <w:rsid w:val="00C57996"/>
    <w:rsid w:val="00C60843"/>
    <w:rsid w:val="00C62859"/>
    <w:rsid w:val="00C656E7"/>
    <w:rsid w:val="00C65E74"/>
    <w:rsid w:val="00C71132"/>
    <w:rsid w:val="00C71E29"/>
    <w:rsid w:val="00C74443"/>
    <w:rsid w:val="00C77A34"/>
    <w:rsid w:val="00C80B8C"/>
    <w:rsid w:val="00C81400"/>
    <w:rsid w:val="00C84BA1"/>
    <w:rsid w:val="00C97235"/>
    <w:rsid w:val="00CA374B"/>
    <w:rsid w:val="00CA5BAD"/>
    <w:rsid w:val="00CA66E3"/>
    <w:rsid w:val="00CA75CF"/>
    <w:rsid w:val="00CB04D7"/>
    <w:rsid w:val="00CB178D"/>
    <w:rsid w:val="00CB59EB"/>
    <w:rsid w:val="00CB5CF9"/>
    <w:rsid w:val="00CC0732"/>
    <w:rsid w:val="00CC2815"/>
    <w:rsid w:val="00CC51ED"/>
    <w:rsid w:val="00CC77EE"/>
    <w:rsid w:val="00CC7CE9"/>
    <w:rsid w:val="00CD1593"/>
    <w:rsid w:val="00CD22E3"/>
    <w:rsid w:val="00CD440D"/>
    <w:rsid w:val="00CD634C"/>
    <w:rsid w:val="00CD6C53"/>
    <w:rsid w:val="00CD6EF8"/>
    <w:rsid w:val="00CD76AC"/>
    <w:rsid w:val="00CE0FCA"/>
    <w:rsid w:val="00CF02F2"/>
    <w:rsid w:val="00CF6174"/>
    <w:rsid w:val="00D0004A"/>
    <w:rsid w:val="00D00912"/>
    <w:rsid w:val="00D01094"/>
    <w:rsid w:val="00D01C34"/>
    <w:rsid w:val="00D05E9F"/>
    <w:rsid w:val="00D064BF"/>
    <w:rsid w:val="00D06697"/>
    <w:rsid w:val="00D07904"/>
    <w:rsid w:val="00D100C8"/>
    <w:rsid w:val="00D12B50"/>
    <w:rsid w:val="00D13241"/>
    <w:rsid w:val="00D15854"/>
    <w:rsid w:val="00D1666C"/>
    <w:rsid w:val="00D21C49"/>
    <w:rsid w:val="00D22A77"/>
    <w:rsid w:val="00D30582"/>
    <w:rsid w:val="00D33684"/>
    <w:rsid w:val="00D37124"/>
    <w:rsid w:val="00D3790A"/>
    <w:rsid w:val="00D4184D"/>
    <w:rsid w:val="00D440A3"/>
    <w:rsid w:val="00D46B52"/>
    <w:rsid w:val="00D51322"/>
    <w:rsid w:val="00D5661B"/>
    <w:rsid w:val="00D617CC"/>
    <w:rsid w:val="00D647D6"/>
    <w:rsid w:val="00D6596A"/>
    <w:rsid w:val="00D65C10"/>
    <w:rsid w:val="00D71D91"/>
    <w:rsid w:val="00D72425"/>
    <w:rsid w:val="00D743CE"/>
    <w:rsid w:val="00D7583B"/>
    <w:rsid w:val="00D75D18"/>
    <w:rsid w:val="00D776A1"/>
    <w:rsid w:val="00D80BDF"/>
    <w:rsid w:val="00D819D7"/>
    <w:rsid w:val="00D84C93"/>
    <w:rsid w:val="00D86480"/>
    <w:rsid w:val="00D9004B"/>
    <w:rsid w:val="00D9248E"/>
    <w:rsid w:val="00D92A99"/>
    <w:rsid w:val="00D93B34"/>
    <w:rsid w:val="00D94DA3"/>
    <w:rsid w:val="00D94DA9"/>
    <w:rsid w:val="00DA2470"/>
    <w:rsid w:val="00DA4E65"/>
    <w:rsid w:val="00DA564D"/>
    <w:rsid w:val="00DA63AC"/>
    <w:rsid w:val="00DB3C37"/>
    <w:rsid w:val="00DB3E9A"/>
    <w:rsid w:val="00DB5150"/>
    <w:rsid w:val="00DB5C46"/>
    <w:rsid w:val="00DB6302"/>
    <w:rsid w:val="00DC1C19"/>
    <w:rsid w:val="00DC2BC3"/>
    <w:rsid w:val="00DC3982"/>
    <w:rsid w:val="00DC5780"/>
    <w:rsid w:val="00DC66DD"/>
    <w:rsid w:val="00DC704C"/>
    <w:rsid w:val="00DD0659"/>
    <w:rsid w:val="00DD1C3B"/>
    <w:rsid w:val="00DD287D"/>
    <w:rsid w:val="00DD333A"/>
    <w:rsid w:val="00DD3FED"/>
    <w:rsid w:val="00DD4061"/>
    <w:rsid w:val="00DD4DFB"/>
    <w:rsid w:val="00DE3015"/>
    <w:rsid w:val="00DE4CCC"/>
    <w:rsid w:val="00DE60AE"/>
    <w:rsid w:val="00DE67BE"/>
    <w:rsid w:val="00DE6B09"/>
    <w:rsid w:val="00DF1D24"/>
    <w:rsid w:val="00DF6317"/>
    <w:rsid w:val="00E020A6"/>
    <w:rsid w:val="00E04110"/>
    <w:rsid w:val="00E056E8"/>
    <w:rsid w:val="00E07309"/>
    <w:rsid w:val="00E1114F"/>
    <w:rsid w:val="00E111FE"/>
    <w:rsid w:val="00E16418"/>
    <w:rsid w:val="00E164D1"/>
    <w:rsid w:val="00E24EE0"/>
    <w:rsid w:val="00E27E27"/>
    <w:rsid w:val="00E3095B"/>
    <w:rsid w:val="00E31DF4"/>
    <w:rsid w:val="00E32B78"/>
    <w:rsid w:val="00E34C43"/>
    <w:rsid w:val="00E42172"/>
    <w:rsid w:val="00E426E1"/>
    <w:rsid w:val="00E46C50"/>
    <w:rsid w:val="00E50390"/>
    <w:rsid w:val="00E51087"/>
    <w:rsid w:val="00E520D0"/>
    <w:rsid w:val="00E53722"/>
    <w:rsid w:val="00E54D1A"/>
    <w:rsid w:val="00E54EC2"/>
    <w:rsid w:val="00E5743C"/>
    <w:rsid w:val="00E57E04"/>
    <w:rsid w:val="00E57F3C"/>
    <w:rsid w:val="00E73D09"/>
    <w:rsid w:val="00E777B7"/>
    <w:rsid w:val="00E82950"/>
    <w:rsid w:val="00E84628"/>
    <w:rsid w:val="00E862F3"/>
    <w:rsid w:val="00E90002"/>
    <w:rsid w:val="00E926A9"/>
    <w:rsid w:val="00E93A42"/>
    <w:rsid w:val="00EA0D1D"/>
    <w:rsid w:val="00EA104B"/>
    <w:rsid w:val="00EA3922"/>
    <w:rsid w:val="00EA3C9E"/>
    <w:rsid w:val="00EA46B8"/>
    <w:rsid w:val="00EA7836"/>
    <w:rsid w:val="00EB013F"/>
    <w:rsid w:val="00EB1483"/>
    <w:rsid w:val="00EB1D70"/>
    <w:rsid w:val="00EB1EF7"/>
    <w:rsid w:val="00EB2DC7"/>
    <w:rsid w:val="00EB658D"/>
    <w:rsid w:val="00EC033F"/>
    <w:rsid w:val="00EC11D5"/>
    <w:rsid w:val="00EC3445"/>
    <w:rsid w:val="00EC35AB"/>
    <w:rsid w:val="00EC423D"/>
    <w:rsid w:val="00EC5C00"/>
    <w:rsid w:val="00EC6D21"/>
    <w:rsid w:val="00ED3D78"/>
    <w:rsid w:val="00ED6920"/>
    <w:rsid w:val="00ED69A7"/>
    <w:rsid w:val="00ED7D0F"/>
    <w:rsid w:val="00EE2143"/>
    <w:rsid w:val="00EE6B2A"/>
    <w:rsid w:val="00EE6BFA"/>
    <w:rsid w:val="00EF1892"/>
    <w:rsid w:val="00F01ED9"/>
    <w:rsid w:val="00F022DF"/>
    <w:rsid w:val="00F0778D"/>
    <w:rsid w:val="00F13C8D"/>
    <w:rsid w:val="00F17154"/>
    <w:rsid w:val="00F17911"/>
    <w:rsid w:val="00F27699"/>
    <w:rsid w:val="00F27FCD"/>
    <w:rsid w:val="00F3186E"/>
    <w:rsid w:val="00F3419B"/>
    <w:rsid w:val="00F348E3"/>
    <w:rsid w:val="00F37ECB"/>
    <w:rsid w:val="00F40B63"/>
    <w:rsid w:val="00F43516"/>
    <w:rsid w:val="00F45DA6"/>
    <w:rsid w:val="00F46515"/>
    <w:rsid w:val="00F51443"/>
    <w:rsid w:val="00F514B5"/>
    <w:rsid w:val="00F548E5"/>
    <w:rsid w:val="00F54D1D"/>
    <w:rsid w:val="00F55A67"/>
    <w:rsid w:val="00F57B63"/>
    <w:rsid w:val="00F57B9A"/>
    <w:rsid w:val="00F57FC0"/>
    <w:rsid w:val="00F60F01"/>
    <w:rsid w:val="00F62AF0"/>
    <w:rsid w:val="00F64BB2"/>
    <w:rsid w:val="00F72CB8"/>
    <w:rsid w:val="00F72DEE"/>
    <w:rsid w:val="00F75929"/>
    <w:rsid w:val="00F76CBB"/>
    <w:rsid w:val="00F806F2"/>
    <w:rsid w:val="00F82740"/>
    <w:rsid w:val="00F83C0C"/>
    <w:rsid w:val="00F92645"/>
    <w:rsid w:val="00F9743C"/>
    <w:rsid w:val="00F97664"/>
    <w:rsid w:val="00FA0022"/>
    <w:rsid w:val="00FA0481"/>
    <w:rsid w:val="00FA77FD"/>
    <w:rsid w:val="00FA7D81"/>
    <w:rsid w:val="00FB06A7"/>
    <w:rsid w:val="00FB0D08"/>
    <w:rsid w:val="00FB5994"/>
    <w:rsid w:val="00FB7788"/>
    <w:rsid w:val="00FC02D1"/>
    <w:rsid w:val="00FC04EF"/>
    <w:rsid w:val="00FC1495"/>
    <w:rsid w:val="00FC1EFD"/>
    <w:rsid w:val="00FC2233"/>
    <w:rsid w:val="00FC2642"/>
    <w:rsid w:val="00FD07A3"/>
    <w:rsid w:val="00FD2B91"/>
    <w:rsid w:val="00FD38F1"/>
    <w:rsid w:val="00FD3C75"/>
    <w:rsid w:val="00FD3E39"/>
    <w:rsid w:val="00FD78EA"/>
    <w:rsid w:val="00FD7B2D"/>
    <w:rsid w:val="00FE3554"/>
    <w:rsid w:val="00FE59DE"/>
    <w:rsid w:val="00FF25F4"/>
    <w:rsid w:val="00FF5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9A1AC"/>
  <w15:docId w15:val="{29A010FE-089D-4B25-B832-3447F64F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98"/>
    <w:rPr>
      <w:rFonts w:ascii="Arial" w:hAnsi="Arial" w:cs="Arial"/>
      <w:sz w:val="24"/>
      <w:szCs w:val="24"/>
      <w:u w:val="single"/>
      <w:lang w:val="en-ZA" w:eastAsia="en-GB"/>
    </w:rPr>
  </w:style>
  <w:style w:type="paragraph" w:styleId="Heading9">
    <w:name w:val="heading 9"/>
    <w:basedOn w:val="Normal"/>
    <w:next w:val="Normal"/>
    <w:link w:val="Heading9Char"/>
    <w:qFormat/>
    <w:rsid w:val="002853C0"/>
    <w:pPr>
      <w:numPr>
        <w:ilvl w:val="8"/>
        <w:numId w:val="18"/>
      </w:numPr>
      <w:spacing w:before="240" w:after="60"/>
      <w:outlineLvl w:val="8"/>
    </w:pPr>
    <w:rPr>
      <w:rFonts w:cs="Times New Roman"/>
      <w:sz w:val="22"/>
      <w:szCs w:val="22"/>
      <w:u w:val="non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A3"/>
    <w:pPr>
      <w:ind w:left="720"/>
      <w:contextualSpacing/>
    </w:pPr>
  </w:style>
  <w:style w:type="paragraph" w:styleId="BalloonText">
    <w:name w:val="Balloon Text"/>
    <w:basedOn w:val="Normal"/>
    <w:link w:val="BalloonTextChar"/>
    <w:rsid w:val="005B7423"/>
    <w:rPr>
      <w:rFonts w:ascii="Tahoma" w:hAnsi="Tahoma" w:cs="Tahoma"/>
      <w:sz w:val="16"/>
      <w:szCs w:val="16"/>
    </w:rPr>
  </w:style>
  <w:style w:type="character" w:customStyle="1" w:styleId="BalloonTextChar">
    <w:name w:val="Balloon Text Char"/>
    <w:basedOn w:val="DefaultParagraphFont"/>
    <w:link w:val="BalloonText"/>
    <w:rsid w:val="005B7423"/>
    <w:rPr>
      <w:rFonts w:ascii="Tahoma" w:hAnsi="Tahoma" w:cs="Tahoma"/>
      <w:sz w:val="16"/>
      <w:szCs w:val="16"/>
      <w:u w:val="single"/>
      <w:lang w:val="en-GB" w:eastAsia="en-GB"/>
    </w:rPr>
  </w:style>
  <w:style w:type="paragraph" w:styleId="Header">
    <w:name w:val="header"/>
    <w:basedOn w:val="Normal"/>
    <w:link w:val="HeaderChar"/>
    <w:uiPriority w:val="99"/>
    <w:rsid w:val="00BA7B3F"/>
    <w:pPr>
      <w:tabs>
        <w:tab w:val="center" w:pos="4513"/>
        <w:tab w:val="right" w:pos="9026"/>
      </w:tabs>
    </w:pPr>
  </w:style>
  <w:style w:type="character" w:customStyle="1" w:styleId="HeaderChar">
    <w:name w:val="Header Char"/>
    <w:basedOn w:val="DefaultParagraphFont"/>
    <w:link w:val="Header"/>
    <w:uiPriority w:val="99"/>
    <w:rsid w:val="00BA7B3F"/>
    <w:rPr>
      <w:rFonts w:ascii="Arial" w:hAnsi="Arial" w:cs="Arial"/>
      <w:sz w:val="24"/>
      <w:szCs w:val="24"/>
      <w:u w:val="single"/>
      <w:lang w:val="en-GB" w:eastAsia="en-GB"/>
    </w:rPr>
  </w:style>
  <w:style w:type="paragraph" w:styleId="Footer">
    <w:name w:val="footer"/>
    <w:basedOn w:val="Normal"/>
    <w:link w:val="FooterChar"/>
    <w:rsid w:val="00BA7B3F"/>
    <w:pPr>
      <w:tabs>
        <w:tab w:val="center" w:pos="4513"/>
        <w:tab w:val="right" w:pos="9026"/>
      </w:tabs>
    </w:pPr>
  </w:style>
  <w:style w:type="character" w:customStyle="1" w:styleId="FooterChar">
    <w:name w:val="Footer Char"/>
    <w:basedOn w:val="DefaultParagraphFont"/>
    <w:link w:val="Footer"/>
    <w:rsid w:val="00BA7B3F"/>
    <w:rPr>
      <w:rFonts w:ascii="Arial" w:hAnsi="Arial" w:cs="Arial"/>
      <w:sz w:val="24"/>
      <w:szCs w:val="24"/>
      <w:u w:val="single"/>
      <w:lang w:val="en-GB" w:eastAsia="en-GB"/>
    </w:rPr>
  </w:style>
  <w:style w:type="paragraph" w:customStyle="1" w:styleId="lg-annotation">
    <w:name w:val="lg-annotation"/>
    <w:basedOn w:val="Normal"/>
    <w:rsid w:val="00DB6302"/>
    <w:pPr>
      <w:spacing w:before="40"/>
      <w:ind w:left="567" w:right="567"/>
      <w:jc w:val="center"/>
    </w:pPr>
    <w:rPr>
      <w:rFonts w:ascii="Verdana" w:hAnsi="Verdana" w:cs="Times New Roman"/>
      <w:color w:val="000000"/>
      <w:sz w:val="16"/>
      <w:szCs w:val="16"/>
      <w:u w:val="none"/>
      <w:lang w:val="en-US" w:eastAsia="en-US"/>
    </w:rPr>
  </w:style>
  <w:style w:type="paragraph" w:customStyle="1" w:styleId="lg-section">
    <w:name w:val="lg-section"/>
    <w:basedOn w:val="Normal"/>
    <w:rsid w:val="00DB6302"/>
    <w:pPr>
      <w:spacing w:before="300"/>
      <w:ind w:firstLine="403"/>
      <w:jc w:val="both"/>
    </w:pPr>
    <w:rPr>
      <w:rFonts w:ascii="Verdana" w:hAnsi="Verdana" w:cs="Times New Roman"/>
      <w:color w:val="000000"/>
      <w:sz w:val="18"/>
      <w:szCs w:val="18"/>
      <w:u w:val="none"/>
      <w:lang w:val="en-US" w:eastAsia="en-US"/>
    </w:rPr>
  </w:style>
  <w:style w:type="paragraph" w:customStyle="1" w:styleId="ws-link">
    <w:name w:val="ws-link"/>
    <w:basedOn w:val="Normal"/>
    <w:rsid w:val="00DB6302"/>
    <w:pPr>
      <w:jc w:val="center"/>
    </w:pPr>
    <w:rPr>
      <w:rFonts w:ascii="Verdana" w:hAnsi="Verdana" w:cs="Times New Roman"/>
      <w:color w:val="000000"/>
      <w:sz w:val="18"/>
      <w:szCs w:val="18"/>
      <w:u w:val="none"/>
      <w:lang w:val="en-US" w:eastAsia="en-US"/>
    </w:rPr>
  </w:style>
  <w:style w:type="paragraph" w:customStyle="1" w:styleId="lg-para3">
    <w:name w:val="lg-para3"/>
    <w:basedOn w:val="Normal"/>
    <w:rsid w:val="00DB6302"/>
    <w:pPr>
      <w:spacing w:before="120"/>
      <w:ind w:firstLine="601"/>
      <w:jc w:val="both"/>
    </w:pPr>
    <w:rPr>
      <w:rFonts w:ascii="Verdana" w:hAnsi="Verdana" w:cs="Times New Roman"/>
      <w:color w:val="000000"/>
      <w:sz w:val="18"/>
      <w:szCs w:val="18"/>
      <w:u w:val="none"/>
      <w:lang w:val="en-US" w:eastAsia="en-US"/>
    </w:rPr>
  </w:style>
  <w:style w:type="paragraph" w:styleId="FootnoteText">
    <w:name w:val="footnote text"/>
    <w:basedOn w:val="Normal"/>
    <w:link w:val="FootnoteTextChar"/>
    <w:uiPriority w:val="99"/>
    <w:semiHidden/>
    <w:unhideWhenUsed/>
    <w:rsid w:val="00510EDF"/>
    <w:rPr>
      <w:sz w:val="20"/>
      <w:szCs w:val="20"/>
    </w:rPr>
  </w:style>
  <w:style w:type="character" w:customStyle="1" w:styleId="FootnoteTextChar">
    <w:name w:val="Footnote Text Char"/>
    <w:basedOn w:val="DefaultParagraphFont"/>
    <w:link w:val="FootnoteText"/>
    <w:uiPriority w:val="99"/>
    <w:semiHidden/>
    <w:rsid w:val="00510EDF"/>
    <w:rPr>
      <w:rFonts w:ascii="Arial" w:hAnsi="Arial" w:cs="Arial"/>
      <w:u w:val="single"/>
      <w:lang w:val="en-GB" w:eastAsia="en-GB"/>
    </w:rPr>
  </w:style>
  <w:style w:type="character" w:styleId="FootnoteReference">
    <w:name w:val="footnote reference"/>
    <w:basedOn w:val="DefaultParagraphFont"/>
    <w:uiPriority w:val="99"/>
    <w:semiHidden/>
    <w:unhideWhenUsed/>
    <w:rsid w:val="00510EDF"/>
    <w:rPr>
      <w:vertAlign w:val="superscript"/>
    </w:rPr>
  </w:style>
  <w:style w:type="character" w:styleId="Hyperlink">
    <w:name w:val="Hyperlink"/>
    <w:basedOn w:val="DefaultParagraphFont"/>
    <w:unhideWhenUsed/>
    <w:rsid w:val="00CE0FCA"/>
    <w:rPr>
      <w:color w:val="0000FF" w:themeColor="hyperlink"/>
      <w:u w:val="single"/>
    </w:rPr>
  </w:style>
  <w:style w:type="character" w:styleId="CommentReference">
    <w:name w:val="annotation reference"/>
    <w:basedOn w:val="DefaultParagraphFont"/>
    <w:semiHidden/>
    <w:unhideWhenUsed/>
    <w:rsid w:val="00C461F0"/>
    <w:rPr>
      <w:sz w:val="16"/>
      <w:szCs w:val="16"/>
    </w:rPr>
  </w:style>
  <w:style w:type="paragraph" w:styleId="CommentText">
    <w:name w:val="annotation text"/>
    <w:basedOn w:val="Normal"/>
    <w:link w:val="CommentTextChar"/>
    <w:semiHidden/>
    <w:unhideWhenUsed/>
    <w:rsid w:val="00C461F0"/>
    <w:rPr>
      <w:sz w:val="20"/>
      <w:szCs w:val="20"/>
    </w:rPr>
  </w:style>
  <w:style w:type="character" w:customStyle="1" w:styleId="CommentTextChar">
    <w:name w:val="Comment Text Char"/>
    <w:basedOn w:val="DefaultParagraphFont"/>
    <w:link w:val="CommentText"/>
    <w:semiHidden/>
    <w:rsid w:val="00C461F0"/>
    <w:rPr>
      <w:rFonts w:ascii="Arial" w:hAnsi="Arial" w:cs="Arial"/>
      <w:u w:val="single"/>
      <w:lang w:val="en-GB" w:eastAsia="en-GB"/>
    </w:rPr>
  </w:style>
  <w:style w:type="paragraph" w:styleId="CommentSubject">
    <w:name w:val="annotation subject"/>
    <w:basedOn w:val="CommentText"/>
    <w:next w:val="CommentText"/>
    <w:link w:val="CommentSubjectChar"/>
    <w:semiHidden/>
    <w:unhideWhenUsed/>
    <w:rsid w:val="00C461F0"/>
    <w:rPr>
      <w:b/>
      <w:bCs/>
    </w:rPr>
  </w:style>
  <w:style w:type="character" w:customStyle="1" w:styleId="CommentSubjectChar">
    <w:name w:val="Comment Subject Char"/>
    <w:basedOn w:val="CommentTextChar"/>
    <w:link w:val="CommentSubject"/>
    <w:semiHidden/>
    <w:rsid w:val="00C461F0"/>
    <w:rPr>
      <w:rFonts w:ascii="Arial" w:hAnsi="Arial" w:cs="Arial"/>
      <w:b/>
      <w:bCs/>
      <w:u w:val="single"/>
      <w:lang w:val="en-GB" w:eastAsia="en-GB"/>
    </w:rPr>
  </w:style>
  <w:style w:type="character" w:customStyle="1" w:styleId="Heading9Char">
    <w:name w:val="Heading 9 Char"/>
    <w:basedOn w:val="DefaultParagraphFont"/>
    <w:link w:val="Heading9"/>
    <w:rsid w:val="002853C0"/>
    <w:rPr>
      <w:rFonts w:ascii="Arial" w:hAnsi="Arial"/>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8834">
      <w:bodyDiv w:val="1"/>
      <w:marLeft w:val="0"/>
      <w:marRight w:val="0"/>
      <w:marTop w:val="0"/>
      <w:marBottom w:val="0"/>
      <w:divBdr>
        <w:top w:val="none" w:sz="0" w:space="0" w:color="auto"/>
        <w:left w:val="none" w:sz="0" w:space="0" w:color="auto"/>
        <w:bottom w:val="none" w:sz="0" w:space="0" w:color="auto"/>
        <w:right w:val="none" w:sz="0" w:space="0" w:color="auto"/>
      </w:divBdr>
    </w:div>
    <w:div w:id="2004628463">
      <w:bodyDiv w:val="1"/>
      <w:marLeft w:val="0"/>
      <w:marRight w:val="0"/>
      <w:marTop w:val="0"/>
      <w:marBottom w:val="0"/>
      <w:divBdr>
        <w:top w:val="none" w:sz="0" w:space="0" w:color="auto"/>
        <w:left w:val="none" w:sz="0" w:space="0" w:color="auto"/>
        <w:bottom w:val="none" w:sz="0" w:space="0" w:color="auto"/>
        <w:right w:val="none" w:sz="0" w:space="0" w:color="auto"/>
      </w:divBdr>
    </w:div>
    <w:div w:id="2024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9390D-79DE-489F-9AE6-44063820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Adelle Harris</cp:lastModifiedBy>
  <cp:revision>2</cp:revision>
  <cp:lastPrinted>2015-09-18T10:46:00Z</cp:lastPrinted>
  <dcterms:created xsi:type="dcterms:W3CDTF">2022-06-24T07:38:00Z</dcterms:created>
  <dcterms:modified xsi:type="dcterms:W3CDTF">2022-06-24T07:38:00Z</dcterms:modified>
</cp:coreProperties>
</file>