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5E8" w:rsidRPr="008875E8" w:rsidRDefault="008875E8" w:rsidP="008875E8">
      <w:pPr>
        <w:rPr>
          <w:color w:val="FF0000"/>
          <w:u w:val="single"/>
        </w:rPr>
      </w:pPr>
      <w:r>
        <w:rPr>
          <w:rFonts w:ascii="Arial" w:hAnsi="Arial" w:cs="Arial"/>
          <w:color w:val="FF0000"/>
        </w:rPr>
        <w:t>Editorial note: Certain information has been redacted from this judgment in compliance with the law.</w:t>
      </w:r>
      <w:bookmarkStart w:id="0" w:name="_GoBack"/>
      <w:bookmarkEnd w:id="0"/>
    </w:p>
    <w:p w:rsidR="007B0F57" w:rsidRDefault="007B0F57" w:rsidP="007B0F57">
      <w:pPr>
        <w:spacing w:line="360" w:lineRule="auto"/>
        <w:jc w:val="center"/>
        <w:rPr>
          <w:rFonts w:ascii="Raavi" w:eastAsia="Calibri" w:hAnsi="Raavi" w:cs="Raavi"/>
          <w:b/>
          <w:sz w:val="28"/>
          <w:szCs w:val="28"/>
          <w:u w:val="single"/>
        </w:rPr>
      </w:pPr>
      <w:r>
        <w:rPr>
          <w:noProof/>
          <w:lang w:eastAsia="en-ZA"/>
        </w:rPr>
        <w:drawing>
          <wp:inline distT="0" distB="0" distL="0" distR="0" wp14:anchorId="5BE1B289" wp14:editId="7C8B1DAA">
            <wp:extent cx="1476375" cy="1285875"/>
            <wp:effectExtent l="0" t="0" r="9525" b="9525"/>
            <wp:docPr id="1" name="Picture 1" descr="http://ocj000-intranet/assets/judiciary-logo---seal-2.jpg"/>
            <wp:cNvGraphicFramePr/>
            <a:graphic xmlns:a="http://schemas.openxmlformats.org/drawingml/2006/main">
              <a:graphicData uri="http://schemas.openxmlformats.org/drawingml/2006/picture">
                <pic:pic xmlns:pic="http://schemas.openxmlformats.org/drawingml/2006/picture">
                  <pic:nvPicPr>
                    <pic:cNvPr id="2" name="Picture 2" descr="http://ocj000-intranet/assets/judiciary-logo---seal-2.jpg"/>
                    <pic:cNvPicPr/>
                  </pic:nvPicPr>
                  <pic:blipFill>
                    <a:blip r:embed="rId8" cstate="print">
                      <a:extLst>
                        <a:ext uri="{BEBA8EAE-BF5A-486C-A8C5-ECC9F3942E4B}">
                          <a14:imgProps xmlns:a14="http://schemas.microsoft.com/office/drawing/2010/main">
                            <a14:imgLayer r:embed="rId9">
                              <a14:imgEffect>
                                <a14:artisticPhotocopy/>
                              </a14:imgEffect>
                              <a14:imgEffect>
                                <a14:sharpenSoften amount="100000"/>
                              </a14:imgEffect>
                              <a14:imgEffect>
                                <a14:colorTemperature colorTemp="58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76375" cy="1285875"/>
                    </a:xfrm>
                    <a:prstGeom prst="rect">
                      <a:avLst/>
                    </a:prstGeom>
                    <a:noFill/>
                    <a:ln>
                      <a:noFill/>
                    </a:ln>
                  </pic:spPr>
                </pic:pic>
              </a:graphicData>
            </a:graphic>
          </wp:inline>
        </w:drawing>
      </w:r>
    </w:p>
    <w:p w:rsidR="007B0F57" w:rsidRPr="00D14312" w:rsidRDefault="007B0F57" w:rsidP="007B0F57">
      <w:pPr>
        <w:spacing w:line="360" w:lineRule="auto"/>
        <w:jc w:val="center"/>
        <w:rPr>
          <w:rFonts w:ascii="Arial" w:eastAsia="Calibri" w:hAnsi="Arial" w:cs="Arial"/>
          <w:b/>
          <w:sz w:val="28"/>
          <w:szCs w:val="28"/>
          <w:u w:val="single"/>
        </w:rPr>
      </w:pPr>
      <w:r w:rsidRPr="00D14312">
        <w:rPr>
          <w:rFonts w:ascii="Arial" w:eastAsia="Calibri" w:hAnsi="Arial" w:cs="Arial"/>
          <w:b/>
          <w:sz w:val="28"/>
          <w:szCs w:val="28"/>
          <w:u w:val="single"/>
        </w:rPr>
        <w:t>IN THE HIGH COURT OF SOUTH AFRICA</w:t>
      </w:r>
    </w:p>
    <w:p w:rsidR="007B0F57" w:rsidRPr="00D14312" w:rsidRDefault="007B0F57" w:rsidP="007B0F57">
      <w:pPr>
        <w:spacing w:line="360" w:lineRule="auto"/>
        <w:jc w:val="center"/>
        <w:rPr>
          <w:rFonts w:ascii="Arial" w:eastAsia="Calibri" w:hAnsi="Arial" w:cs="Arial"/>
          <w:b/>
          <w:sz w:val="28"/>
          <w:szCs w:val="28"/>
        </w:rPr>
      </w:pPr>
      <w:r w:rsidRPr="00D14312">
        <w:rPr>
          <w:rFonts w:ascii="Arial" w:eastAsia="Calibri" w:hAnsi="Arial" w:cs="Arial"/>
          <w:b/>
          <w:sz w:val="28"/>
          <w:szCs w:val="28"/>
        </w:rPr>
        <w:t>(GAUTENG DIVISION, PRETORIA)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7B0F57" w:rsidRPr="00D14312" w:rsidTr="007B7C85">
        <w:tc>
          <w:tcPr>
            <w:tcW w:w="4428" w:type="dxa"/>
          </w:tcPr>
          <w:p w:rsidR="007B0F57" w:rsidRPr="00D14312" w:rsidRDefault="007B0F57" w:rsidP="007B7C85">
            <w:pPr>
              <w:spacing w:line="240" w:lineRule="auto"/>
              <w:rPr>
                <w:rFonts w:ascii="Arial" w:eastAsia="Calibri" w:hAnsi="Arial" w:cs="Arial"/>
                <w:b/>
                <w:sz w:val="18"/>
                <w:szCs w:val="18"/>
              </w:rPr>
            </w:pPr>
            <w:r w:rsidRPr="00D14312">
              <w:rPr>
                <w:rFonts w:ascii="Arial" w:eastAsia="Calibri" w:hAnsi="Arial" w:cs="Arial"/>
                <w:b/>
                <w:sz w:val="18"/>
                <w:szCs w:val="18"/>
              </w:rPr>
              <w:t>DELETE WHICHEVER IS NOT APPLICABLE</w:t>
            </w:r>
          </w:p>
          <w:p w:rsidR="007B0F57" w:rsidRPr="00D14312" w:rsidRDefault="00D4346E" w:rsidP="007B7C85">
            <w:pPr>
              <w:spacing w:line="240" w:lineRule="auto"/>
              <w:rPr>
                <w:rFonts w:ascii="Arial" w:eastAsia="Calibri" w:hAnsi="Arial" w:cs="Arial"/>
                <w:b/>
                <w:sz w:val="18"/>
                <w:szCs w:val="18"/>
              </w:rPr>
            </w:pPr>
            <w:r>
              <w:rPr>
                <w:rFonts w:ascii="Arial" w:eastAsia="Calibri" w:hAnsi="Arial" w:cs="Arial"/>
                <w:b/>
                <w:sz w:val="18"/>
                <w:szCs w:val="18"/>
              </w:rPr>
              <w:t xml:space="preserve">(1) REPORTABLE:  </w:t>
            </w:r>
            <w:r w:rsidR="007B0F57" w:rsidRPr="00D14312">
              <w:rPr>
                <w:rFonts w:ascii="Arial" w:eastAsia="Calibri" w:hAnsi="Arial" w:cs="Arial"/>
                <w:b/>
                <w:sz w:val="18"/>
                <w:szCs w:val="18"/>
              </w:rPr>
              <w:t>NO.</w:t>
            </w:r>
          </w:p>
          <w:p w:rsidR="007B0F57" w:rsidRPr="00D14312" w:rsidRDefault="007B0F57" w:rsidP="007B7C85">
            <w:pPr>
              <w:spacing w:line="240" w:lineRule="auto"/>
              <w:rPr>
                <w:rFonts w:ascii="Arial" w:eastAsia="Calibri" w:hAnsi="Arial" w:cs="Arial"/>
                <w:b/>
                <w:sz w:val="18"/>
                <w:szCs w:val="18"/>
              </w:rPr>
            </w:pPr>
            <w:r w:rsidRPr="00D14312">
              <w:rPr>
                <w:rFonts w:ascii="Arial" w:eastAsia="Calibri" w:hAnsi="Arial" w:cs="Arial"/>
                <w:b/>
                <w:sz w:val="18"/>
                <w:szCs w:val="18"/>
              </w:rPr>
              <w:t>(2) OF I</w:t>
            </w:r>
            <w:r w:rsidR="00D4346E">
              <w:rPr>
                <w:rFonts w:ascii="Arial" w:eastAsia="Calibri" w:hAnsi="Arial" w:cs="Arial"/>
                <w:b/>
                <w:sz w:val="18"/>
                <w:szCs w:val="18"/>
              </w:rPr>
              <w:t xml:space="preserve">NTEREST TO OTHER JUDGES:  </w:t>
            </w:r>
            <w:r w:rsidRPr="00D14312">
              <w:rPr>
                <w:rFonts w:ascii="Arial" w:eastAsia="Calibri" w:hAnsi="Arial" w:cs="Arial"/>
                <w:b/>
                <w:sz w:val="18"/>
                <w:szCs w:val="18"/>
              </w:rPr>
              <w:t>NO.</w:t>
            </w:r>
          </w:p>
          <w:p w:rsidR="007B0F57" w:rsidRPr="00D14312" w:rsidRDefault="007B0F57" w:rsidP="007B7C85">
            <w:pPr>
              <w:spacing w:line="240" w:lineRule="auto"/>
              <w:rPr>
                <w:rFonts w:ascii="Arial" w:eastAsia="Calibri" w:hAnsi="Arial" w:cs="Arial"/>
                <w:b/>
                <w:sz w:val="18"/>
                <w:szCs w:val="18"/>
              </w:rPr>
            </w:pPr>
            <w:r w:rsidRPr="00D14312">
              <w:rPr>
                <w:rFonts w:ascii="Arial" w:eastAsia="Calibri" w:hAnsi="Arial" w:cs="Arial"/>
                <w:b/>
                <w:sz w:val="18"/>
                <w:szCs w:val="18"/>
              </w:rPr>
              <w:t>(3) REVISED.</w:t>
            </w:r>
          </w:p>
          <w:p w:rsidR="007B0F57" w:rsidRPr="00D14312" w:rsidRDefault="00D4346E" w:rsidP="007B7C85">
            <w:pPr>
              <w:spacing w:line="240" w:lineRule="auto"/>
              <w:rPr>
                <w:rFonts w:ascii="Arial" w:eastAsia="Calibri" w:hAnsi="Arial" w:cs="Arial"/>
                <w:b/>
                <w:sz w:val="18"/>
                <w:szCs w:val="18"/>
              </w:rPr>
            </w:pPr>
            <w:r>
              <w:rPr>
                <w:rFonts w:ascii="Arial" w:eastAsia="Calibri" w:hAnsi="Arial" w:cs="Arial"/>
                <w:b/>
                <w:sz w:val="18"/>
                <w:szCs w:val="18"/>
              </w:rPr>
              <w:t>2022-06-13</w:t>
            </w:r>
          </w:p>
          <w:p w:rsidR="007B0F57" w:rsidRPr="00D14312" w:rsidRDefault="007B0F57" w:rsidP="007B7C85">
            <w:pPr>
              <w:spacing w:line="240" w:lineRule="auto"/>
              <w:rPr>
                <w:rFonts w:ascii="Arial" w:eastAsia="Calibri" w:hAnsi="Arial" w:cs="Arial"/>
                <w:b/>
                <w:sz w:val="18"/>
                <w:szCs w:val="18"/>
                <w:u w:val="single"/>
              </w:rPr>
            </w:pPr>
            <w:r w:rsidRPr="00D14312">
              <w:rPr>
                <w:rFonts w:ascii="Arial" w:eastAsia="Calibri" w:hAnsi="Arial" w:cs="Arial"/>
                <w:b/>
                <w:sz w:val="18"/>
                <w:szCs w:val="18"/>
                <w:u w:val="single"/>
              </w:rPr>
              <w:t>DATE</w:t>
            </w:r>
            <w:r w:rsidRPr="00D14312">
              <w:rPr>
                <w:rFonts w:ascii="Arial" w:eastAsia="Calibri" w:hAnsi="Arial" w:cs="Arial"/>
                <w:b/>
                <w:sz w:val="18"/>
                <w:szCs w:val="18"/>
              </w:rPr>
              <w:t xml:space="preserve">                                            </w:t>
            </w:r>
            <w:r w:rsidRPr="00D14312">
              <w:rPr>
                <w:rFonts w:ascii="Arial" w:eastAsia="Calibri" w:hAnsi="Arial" w:cs="Arial"/>
                <w:b/>
                <w:sz w:val="18"/>
                <w:szCs w:val="18"/>
                <w:u w:val="single"/>
              </w:rPr>
              <w:t>SIGNATURE</w:t>
            </w:r>
          </w:p>
        </w:tc>
      </w:tr>
    </w:tbl>
    <w:p w:rsidR="007B0F57" w:rsidRPr="00D14312" w:rsidRDefault="007B0F57" w:rsidP="007B0F57">
      <w:pPr>
        <w:spacing w:line="360" w:lineRule="auto"/>
        <w:jc w:val="right"/>
        <w:rPr>
          <w:rFonts w:ascii="Arial" w:eastAsia="Calibri" w:hAnsi="Arial" w:cs="Arial"/>
          <w:sz w:val="28"/>
          <w:szCs w:val="28"/>
        </w:rPr>
      </w:pPr>
      <w:r>
        <w:rPr>
          <w:rFonts w:ascii="Arial" w:eastAsia="Calibri" w:hAnsi="Arial" w:cs="Arial"/>
          <w:sz w:val="28"/>
          <w:szCs w:val="28"/>
        </w:rPr>
        <w:t xml:space="preserve">Case Number:  </w:t>
      </w:r>
      <w:r w:rsidR="00D57327">
        <w:rPr>
          <w:rFonts w:ascii="Arial" w:eastAsia="Calibri" w:hAnsi="Arial" w:cs="Arial"/>
          <w:sz w:val="28"/>
          <w:szCs w:val="28"/>
        </w:rPr>
        <w:t>A</w:t>
      </w:r>
      <w:r>
        <w:rPr>
          <w:rFonts w:ascii="Arial" w:eastAsia="Calibri" w:hAnsi="Arial" w:cs="Arial"/>
          <w:sz w:val="28"/>
          <w:szCs w:val="28"/>
        </w:rPr>
        <w:t>316/2018</w:t>
      </w:r>
    </w:p>
    <w:p w:rsidR="007B0F57" w:rsidRPr="00D14312" w:rsidRDefault="007B0F57" w:rsidP="007B0F57">
      <w:pPr>
        <w:spacing w:line="360" w:lineRule="auto"/>
        <w:jc w:val="both"/>
        <w:rPr>
          <w:rFonts w:ascii="Arial" w:eastAsia="Calibri" w:hAnsi="Arial" w:cs="Arial"/>
          <w:sz w:val="28"/>
          <w:szCs w:val="28"/>
        </w:rPr>
      </w:pPr>
      <w:r w:rsidRPr="00D14312">
        <w:rPr>
          <w:rFonts w:ascii="Arial" w:eastAsia="Calibri" w:hAnsi="Arial" w:cs="Arial"/>
          <w:sz w:val="28"/>
          <w:szCs w:val="28"/>
        </w:rPr>
        <w:t>In the matter between:</w:t>
      </w:r>
    </w:p>
    <w:p w:rsidR="007B0F57" w:rsidRDefault="007B0F57" w:rsidP="007B0F57">
      <w:pPr>
        <w:spacing w:line="360" w:lineRule="auto"/>
        <w:rPr>
          <w:rFonts w:ascii="Arial" w:hAnsi="Arial" w:cs="Arial"/>
          <w:b/>
          <w:sz w:val="28"/>
          <w:szCs w:val="28"/>
        </w:rPr>
      </w:pPr>
    </w:p>
    <w:p w:rsidR="007B0F57" w:rsidRDefault="007B0F57" w:rsidP="007B0F57">
      <w:pPr>
        <w:spacing w:line="360" w:lineRule="auto"/>
        <w:rPr>
          <w:rFonts w:ascii="Arial" w:hAnsi="Arial" w:cs="Arial"/>
          <w:b/>
          <w:sz w:val="28"/>
          <w:szCs w:val="28"/>
        </w:rPr>
      </w:pPr>
      <w:r>
        <w:rPr>
          <w:rFonts w:ascii="Arial" w:hAnsi="Arial" w:cs="Arial"/>
          <w:b/>
          <w:sz w:val="28"/>
          <w:szCs w:val="28"/>
        </w:rPr>
        <w:t xml:space="preserve">NKWATISENG MELITA BUTHELEZI                                        </w:t>
      </w:r>
      <w:r>
        <w:rPr>
          <w:rFonts w:ascii="Arial" w:hAnsi="Arial" w:cs="Arial"/>
          <w:sz w:val="28"/>
          <w:szCs w:val="28"/>
        </w:rPr>
        <w:t>Appellant</w:t>
      </w:r>
      <w:r w:rsidRPr="00D14312">
        <w:rPr>
          <w:rFonts w:ascii="Arial" w:hAnsi="Arial" w:cs="Arial"/>
          <w:b/>
          <w:sz w:val="28"/>
          <w:szCs w:val="28"/>
        </w:rPr>
        <w:t xml:space="preserve">                                          </w:t>
      </w:r>
      <w:proofErr w:type="gramStart"/>
      <w:r w:rsidRPr="00D14312">
        <w:rPr>
          <w:rFonts w:ascii="Arial" w:hAnsi="Arial" w:cs="Arial"/>
          <w:b/>
          <w:sz w:val="28"/>
          <w:szCs w:val="28"/>
        </w:rPr>
        <w:t xml:space="preserve">   </w:t>
      </w:r>
      <w:r>
        <w:rPr>
          <w:rFonts w:ascii="Arial" w:hAnsi="Arial" w:cs="Arial"/>
          <w:b/>
          <w:sz w:val="28"/>
          <w:szCs w:val="28"/>
        </w:rPr>
        <w:t>(</w:t>
      </w:r>
      <w:proofErr w:type="gramEnd"/>
      <w:r>
        <w:rPr>
          <w:rFonts w:ascii="Arial" w:hAnsi="Arial" w:cs="Arial"/>
          <w:b/>
          <w:sz w:val="28"/>
          <w:szCs w:val="28"/>
        </w:rPr>
        <w:t xml:space="preserve">IDENTITY NUMBER:  </w:t>
      </w:r>
      <w:r w:rsidR="008875E8">
        <w:rPr>
          <w:rFonts w:ascii="Arial" w:hAnsi="Arial" w:cs="Arial"/>
          <w:b/>
          <w:sz w:val="28"/>
          <w:szCs w:val="28"/>
        </w:rPr>
        <w:t>[…]</w:t>
      </w:r>
      <w:r>
        <w:rPr>
          <w:rFonts w:ascii="Arial" w:hAnsi="Arial" w:cs="Arial"/>
          <w:b/>
          <w:sz w:val="28"/>
          <w:szCs w:val="28"/>
        </w:rPr>
        <w:t>)</w:t>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sidRPr="00D14312">
        <w:rPr>
          <w:rFonts w:ascii="Arial" w:hAnsi="Arial" w:cs="Arial"/>
          <w:b/>
          <w:sz w:val="28"/>
          <w:szCs w:val="28"/>
        </w:rPr>
        <w:tab/>
      </w:r>
      <w:r>
        <w:rPr>
          <w:rFonts w:ascii="Arial" w:hAnsi="Arial" w:cs="Arial"/>
          <w:b/>
          <w:sz w:val="28"/>
          <w:szCs w:val="28"/>
        </w:rPr>
        <w:tab/>
      </w:r>
    </w:p>
    <w:p w:rsidR="007B0F57" w:rsidRDefault="007B0F57" w:rsidP="007B0F57">
      <w:pPr>
        <w:spacing w:line="360" w:lineRule="auto"/>
        <w:rPr>
          <w:rFonts w:ascii="Arial" w:hAnsi="Arial" w:cs="Arial"/>
          <w:sz w:val="28"/>
          <w:szCs w:val="28"/>
        </w:rPr>
      </w:pPr>
      <w:r>
        <w:rPr>
          <w:rFonts w:ascii="Arial" w:hAnsi="Arial" w:cs="Arial"/>
          <w:sz w:val="28"/>
          <w:szCs w:val="28"/>
        </w:rPr>
        <w:t>a</w:t>
      </w:r>
      <w:r w:rsidRPr="00D14312">
        <w:rPr>
          <w:rFonts w:ascii="Arial" w:hAnsi="Arial" w:cs="Arial"/>
          <w:sz w:val="28"/>
          <w:szCs w:val="28"/>
        </w:rPr>
        <w:t>nd</w:t>
      </w:r>
    </w:p>
    <w:p w:rsidR="007B0F57" w:rsidRDefault="007B0F57" w:rsidP="007B0F57">
      <w:pPr>
        <w:spacing w:line="360" w:lineRule="auto"/>
        <w:rPr>
          <w:rFonts w:ascii="Arial" w:hAnsi="Arial" w:cs="Arial"/>
          <w:sz w:val="28"/>
          <w:szCs w:val="28"/>
        </w:rPr>
      </w:pPr>
    </w:p>
    <w:p w:rsidR="007B0F57" w:rsidRPr="00D14312" w:rsidRDefault="007B0F57" w:rsidP="007B0F57">
      <w:pPr>
        <w:spacing w:line="360" w:lineRule="auto"/>
        <w:rPr>
          <w:rFonts w:ascii="Arial" w:hAnsi="Arial" w:cs="Arial"/>
          <w:sz w:val="28"/>
          <w:szCs w:val="28"/>
        </w:rPr>
      </w:pPr>
      <w:r>
        <w:rPr>
          <w:rFonts w:ascii="Arial" w:hAnsi="Arial" w:cs="Arial"/>
          <w:b/>
          <w:sz w:val="28"/>
          <w:szCs w:val="28"/>
        </w:rPr>
        <w:t xml:space="preserve">ROAD ACCIDENT FUND                                                       </w:t>
      </w:r>
      <w:r>
        <w:rPr>
          <w:rFonts w:ascii="Arial" w:hAnsi="Arial" w:cs="Arial"/>
          <w:sz w:val="28"/>
          <w:szCs w:val="28"/>
        </w:rPr>
        <w:t>Respondent</w:t>
      </w:r>
      <w:r w:rsidRPr="00D14312">
        <w:rPr>
          <w:rFonts w:ascii="Arial" w:hAnsi="Arial" w:cs="Arial"/>
          <w:b/>
          <w:sz w:val="28"/>
          <w:szCs w:val="28"/>
        </w:rPr>
        <w:t xml:space="preserve">                                  </w:t>
      </w:r>
      <w:r>
        <w:rPr>
          <w:rFonts w:ascii="Arial" w:hAnsi="Arial" w:cs="Arial"/>
          <w:b/>
          <w:sz w:val="28"/>
          <w:szCs w:val="28"/>
        </w:rPr>
        <w:t xml:space="preserve">                          </w:t>
      </w:r>
    </w:p>
    <w:p w:rsidR="007B0F57" w:rsidRDefault="007B0F57" w:rsidP="007B0F57">
      <w:pPr>
        <w:pBdr>
          <w:bottom w:val="single" w:sz="12" w:space="1" w:color="auto"/>
        </w:pBdr>
        <w:spacing w:line="360" w:lineRule="auto"/>
        <w:jc w:val="both"/>
        <w:rPr>
          <w:rFonts w:ascii="Arial" w:hAnsi="Arial" w:cs="Arial"/>
          <w:b/>
          <w:sz w:val="28"/>
          <w:szCs w:val="28"/>
        </w:rPr>
      </w:pPr>
    </w:p>
    <w:p w:rsidR="007B0F57" w:rsidRDefault="007B0F57" w:rsidP="007B0F57">
      <w:pPr>
        <w:spacing w:line="360" w:lineRule="auto"/>
        <w:jc w:val="center"/>
        <w:rPr>
          <w:rFonts w:ascii="Arial" w:hAnsi="Arial" w:cs="Arial"/>
          <w:b/>
          <w:sz w:val="28"/>
          <w:szCs w:val="28"/>
        </w:rPr>
      </w:pPr>
      <w:r>
        <w:rPr>
          <w:rFonts w:ascii="Arial" w:hAnsi="Arial" w:cs="Arial"/>
          <w:b/>
          <w:sz w:val="28"/>
          <w:szCs w:val="28"/>
        </w:rPr>
        <w:t>JUDGMENT</w:t>
      </w:r>
    </w:p>
    <w:p w:rsidR="007B0F57" w:rsidRPr="00D14312" w:rsidRDefault="007B0F57" w:rsidP="007B0F57">
      <w:pPr>
        <w:spacing w:line="360" w:lineRule="auto"/>
        <w:jc w:val="both"/>
        <w:rPr>
          <w:rFonts w:ascii="Arial" w:hAnsi="Arial" w:cs="Arial"/>
          <w:b/>
          <w:sz w:val="28"/>
          <w:szCs w:val="28"/>
        </w:rPr>
      </w:pPr>
      <w:r>
        <w:rPr>
          <w:rFonts w:ascii="Arial" w:hAnsi="Arial" w:cs="Arial"/>
          <w:b/>
          <w:sz w:val="28"/>
          <w:szCs w:val="28"/>
        </w:rPr>
        <w:lastRenderedPageBreak/>
        <w:t>_________________________________________________________</w:t>
      </w:r>
    </w:p>
    <w:p w:rsidR="007B0F57" w:rsidRDefault="007B0F57" w:rsidP="007B0F57">
      <w:pPr>
        <w:jc w:val="both"/>
        <w:rPr>
          <w:rFonts w:ascii="Arial" w:hAnsi="Arial" w:cs="Arial"/>
          <w:b/>
          <w:sz w:val="24"/>
          <w:szCs w:val="24"/>
        </w:rPr>
      </w:pPr>
      <w:r w:rsidRPr="002E4B40">
        <w:rPr>
          <w:rFonts w:ascii="Arial" w:hAnsi="Arial" w:cs="Arial"/>
          <w:b/>
          <w:sz w:val="24"/>
          <w:szCs w:val="24"/>
        </w:rPr>
        <w:t>POTTERILL J</w:t>
      </w:r>
    </w:p>
    <w:p w:rsidR="00580077" w:rsidRDefault="00580077" w:rsidP="007B0F57">
      <w:pPr>
        <w:jc w:val="both"/>
        <w:rPr>
          <w:rFonts w:ascii="Arial" w:hAnsi="Arial" w:cs="Arial"/>
          <w:b/>
          <w:sz w:val="24"/>
          <w:szCs w:val="24"/>
        </w:rPr>
      </w:pPr>
    </w:p>
    <w:p w:rsidR="00580077" w:rsidRPr="00580077" w:rsidRDefault="00580077" w:rsidP="007B0F57">
      <w:pPr>
        <w:jc w:val="both"/>
        <w:rPr>
          <w:rFonts w:ascii="Arial" w:hAnsi="Arial" w:cs="Arial"/>
          <w:sz w:val="24"/>
          <w:szCs w:val="24"/>
          <w:u w:val="single"/>
        </w:rPr>
      </w:pPr>
      <w:r>
        <w:rPr>
          <w:rFonts w:ascii="Arial" w:hAnsi="Arial" w:cs="Arial"/>
          <w:b/>
          <w:sz w:val="24"/>
          <w:szCs w:val="24"/>
        </w:rPr>
        <w:tab/>
      </w:r>
      <w:r>
        <w:rPr>
          <w:rFonts w:ascii="Arial" w:hAnsi="Arial" w:cs="Arial"/>
          <w:sz w:val="24"/>
          <w:szCs w:val="24"/>
          <w:u w:val="single"/>
        </w:rPr>
        <w:t>Background</w:t>
      </w:r>
    </w:p>
    <w:p w:rsidR="00580077" w:rsidRDefault="00580077" w:rsidP="00580077">
      <w:pPr>
        <w:spacing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BB5EA2">
        <w:rPr>
          <w:rFonts w:ascii="Arial" w:hAnsi="Arial" w:cs="Arial"/>
          <w:sz w:val="24"/>
          <w:szCs w:val="24"/>
        </w:rPr>
        <w:t xml:space="preserve">The appellant, </w:t>
      </w:r>
      <w:proofErr w:type="spellStart"/>
      <w:r w:rsidRPr="00BB5EA2">
        <w:rPr>
          <w:rFonts w:ascii="Arial" w:hAnsi="Arial" w:cs="Arial"/>
          <w:sz w:val="24"/>
          <w:szCs w:val="24"/>
        </w:rPr>
        <w:t>Nkwatiseng</w:t>
      </w:r>
      <w:proofErr w:type="spellEnd"/>
      <w:r w:rsidRPr="00BB5EA2">
        <w:rPr>
          <w:rFonts w:ascii="Arial" w:hAnsi="Arial" w:cs="Arial"/>
          <w:sz w:val="24"/>
          <w:szCs w:val="24"/>
        </w:rPr>
        <w:t xml:space="preserve"> </w:t>
      </w:r>
      <w:proofErr w:type="spellStart"/>
      <w:r w:rsidRPr="00BB5EA2">
        <w:rPr>
          <w:rFonts w:ascii="Arial" w:hAnsi="Arial" w:cs="Arial"/>
          <w:sz w:val="24"/>
          <w:szCs w:val="24"/>
        </w:rPr>
        <w:t>Melita</w:t>
      </w:r>
      <w:proofErr w:type="spellEnd"/>
      <w:r w:rsidRPr="00BB5EA2">
        <w:rPr>
          <w:rFonts w:ascii="Arial" w:hAnsi="Arial" w:cs="Arial"/>
          <w:sz w:val="24"/>
          <w:szCs w:val="24"/>
        </w:rPr>
        <w:t xml:space="preserve"> Buthelezi (Ms Buthelezi) instituted a claim for damages on 29 October 2007 against the respondent, the Road Accident Fund (RAF) pursuant to a motor vehicle accident wherein Ms Buthelezi sustained</w:t>
      </w:r>
      <w:r>
        <w:rPr>
          <w:rFonts w:ascii="Arial" w:hAnsi="Arial" w:cs="Arial"/>
          <w:sz w:val="24"/>
          <w:szCs w:val="24"/>
        </w:rPr>
        <w:t xml:space="preserve"> injuries.</w:t>
      </w:r>
    </w:p>
    <w:p w:rsidR="00580077" w:rsidRDefault="00580077" w:rsidP="00580077">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RAF raised a special plea with the following content:</w:t>
      </w:r>
    </w:p>
    <w:p w:rsidR="00580077" w:rsidRPr="00580077" w:rsidRDefault="00580077" w:rsidP="00580077">
      <w:pPr>
        <w:spacing w:line="360" w:lineRule="auto"/>
        <w:jc w:val="both"/>
        <w:rPr>
          <w:rFonts w:ascii="Arial" w:hAnsi="Arial" w:cs="Arial"/>
          <w:i/>
          <w:sz w:val="24"/>
          <w:szCs w:val="24"/>
        </w:rPr>
      </w:pPr>
      <w:r>
        <w:rPr>
          <w:rFonts w:ascii="Arial" w:hAnsi="Arial" w:cs="Arial"/>
          <w:sz w:val="24"/>
          <w:szCs w:val="24"/>
        </w:rPr>
        <w:tab/>
      </w:r>
      <w:r>
        <w:rPr>
          <w:rFonts w:ascii="Arial" w:hAnsi="Arial" w:cs="Arial"/>
          <w:sz w:val="24"/>
          <w:szCs w:val="24"/>
        </w:rPr>
        <w:tab/>
      </w:r>
      <w:r w:rsidRPr="00580077">
        <w:rPr>
          <w:rFonts w:ascii="Arial" w:hAnsi="Arial" w:cs="Arial"/>
          <w:i/>
          <w:sz w:val="24"/>
          <w:szCs w:val="24"/>
        </w:rPr>
        <w:t xml:space="preserve">“2.1 </w:t>
      </w:r>
      <w:r w:rsidRPr="00580077">
        <w:rPr>
          <w:rFonts w:ascii="Arial" w:hAnsi="Arial" w:cs="Arial"/>
          <w:i/>
          <w:sz w:val="24"/>
          <w:szCs w:val="24"/>
        </w:rPr>
        <w:tab/>
        <w:t xml:space="preserve">Summons was served on the </w:t>
      </w:r>
      <w:r w:rsidR="00BB5EA2" w:rsidRPr="00BB5EA2">
        <w:rPr>
          <w:rFonts w:ascii="Arial" w:hAnsi="Arial" w:cs="Arial"/>
          <w:i/>
          <w:sz w:val="24"/>
          <w:szCs w:val="24"/>
        </w:rPr>
        <w:t>Defendant</w:t>
      </w:r>
      <w:r w:rsidRPr="00580077">
        <w:rPr>
          <w:rFonts w:ascii="Arial" w:hAnsi="Arial" w:cs="Arial"/>
          <w:i/>
          <w:sz w:val="24"/>
          <w:szCs w:val="24"/>
        </w:rPr>
        <w:t xml:space="preserve"> on 08</w:t>
      </w:r>
      <w:r w:rsidRPr="00580077">
        <w:rPr>
          <w:rFonts w:ascii="Arial" w:hAnsi="Arial" w:cs="Arial"/>
          <w:i/>
          <w:sz w:val="24"/>
          <w:szCs w:val="24"/>
          <w:vertAlign w:val="superscript"/>
        </w:rPr>
        <w:t>th</w:t>
      </w:r>
      <w:r w:rsidRPr="00580077">
        <w:rPr>
          <w:rFonts w:ascii="Arial" w:hAnsi="Arial" w:cs="Arial"/>
          <w:i/>
          <w:sz w:val="24"/>
          <w:szCs w:val="24"/>
        </w:rPr>
        <w:t xml:space="preserve"> April 2015.</w:t>
      </w:r>
    </w:p>
    <w:p w:rsidR="00580077" w:rsidRPr="00580077" w:rsidRDefault="00580077" w:rsidP="00580077">
      <w:pPr>
        <w:spacing w:line="360" w:lineRule="auto"/>
        <w:ind w:left="2160" w:hanging="720"/>
        <w:jc w:val="both"/>
        <w:rPr>
          <w:rFonts w:ascii="Arial" w:hAnsi="Arial" w:cs="Arial"/>
          <w:i/>
          <w:sz w:val="24"/>
          <w:szCs w:val="24"/>
        </w:rPr>
      </w:pPr>
      <w:r w:rsidRPr="00580077">
        <w:rPr>
          <w:rFonts w:ascii="Arial" w:hAnsi="Arial" w:cs="Arial"/>
          <w:i/>
          <w:sz w:val="24"/>
          <w:szCs w:val="24"/>
        </w:rPr>
        <w:t>2.2</w:t>
      </w:r>
      <w:r w:rsidRPr="00580077">
        <w:rPr>
          <w:rFonts w:ascii="Arial" w:hAnsi="Arial" w:cs="Arial"/>
          <w:i/>
          <w:sz w:val="24"/>
          <w:szCs w:val="24"/>
        </w:rPr>
        <w:tab/>
        <w:t>As such, the Defendant pleads that a period of more than 5 (five) years has elapsed from the date on which the claim arose before the summons was served on the Defendant.”</w:t>
      </w:r>
    </w:p>
    <w:p w:rsidR="00580077" w:rsidRDefault="00580077" w:rsidP="00197D2D">
      <w:pPr>
        <w:spacing w:line="360" w:lineRule="auto"/>
        <w:ind w:firstLine="720"/>
        <w:jc w:val="both"/>
        <w:rPr>
          <w:rFonts w:ascii="Arial" w:hAnsi="Arial" w:cs="Arial"/>
          <w:sz w:val="24"/>
          <w:szCs w:val="24"/>
        </w:rPr>
      </w:pPr>
      <w:r>
        <w:rPr>
          <w:rFonts w:ascii="Arial" w:hAnsi="Arial" w:cs="Arial"/>
          <w:sz w:val="24"/>
          <w:szCs w:val="24"/>
        </w:rPr>
        <w:t>In answer thereto the plaintiff replicated as follows:</w:t>
      </w:r>
    </w:p>
    <w:p w:rsidR="00580077" w:rsidRPr="00CE33AA" w:rsidRDefault="00580077" w:rsidP="00CE33AA">
      <w:pPr>
        <w:spacing w:line="360" w:lineRule="auto"/>
        <w:ind w:left="1440"/>
        <w:jc w:val="both"/>
        <w:rPr>
          <w:rFonts w:ascii="Arial" w:hAnsi="Arial" w:cs="Arial"/>
          <w:i/>
          <w:sz w:val="24"/>
          <w:szCs w:val="24"/>
        </w:rPr>
      </w:pPr>
      <w:r w:rsidRPr="00136156">
        <w:rPr>
          <w:rFonts w:ascii="Arial" w:hAnsi="Arial" w:cs="Arial"/>
          <w:i/>
          <w:sz w:val="24"/>
          <w:szCs w:val="24"/>
        </w:rPr>
        <w:t>“The Plaintiff instituted action in the Magistrate’s Court for the District of Pretoria, under Case Number 72/2009</w:t>
      </w:r>
      <w:r w:rsidRPr="00CE33AA">
        <w:rPr>
          <w:rFonts w:ascii="Arial" w:hAnsi="Arial" w:cs="Arial"/>
          <w:i/>
          <w:sz w:val="24"/>
          <w:szCs w:val="24"/>
        </w:rPr>
        <w:t xml:space="preserve">, in terms of the Road Accident Fund (Transitional Provisions) Act 15 of 2012, the Plaintiff re-issued Summons in the High Court of South Africa, Gauteng Division, Pretoria under Case Number </w:t>
      </w:r>
      <w:r w:rsidR="00CE33AA" w:rsidRPr="00CE33AA">
        <w:rPr>
          <w:rFonts w:ascii="Arial" w:hAnsi="Arial" w:cs="Arial"/>
          <w:i/>
          <w:sz w:val="24"/>
          <w:szCs w:val="24"/>
        </w:rPr>
        <w:t>87223/2014.  Such averment was contained in sub-paragraph 12 of the Plaintiff’s Particulars of Claim under the said Case Number 87223/2014.”</w:t>
      </w:r>
    </w:p>
    <w:p w:rsidR="00580077" w:rsidRDefault="00197D2D" w:rsidP="00012F52">
      <w:pPr>
        <w:spacing w:line="360" w:lineRule="auto"/>
        <w:ind w:left="720" w:hanging="720"/>
        <w:jc w:val="both"/>
        <w:rPr>
          <w:rFonts w:ascii="Arial" w:hAnsi="Arial" w:cs="Arial"/>
          <w:sz w:val="24"/>
          <w:szCs w:val="24"/>
        </w:rPr>
      </w:pPr>
      <w:r>
        <w:rPr>
          <w:rFonts w:ascii="Arial" w:hAnsi="Arial" w:cs="Arial"/>
          <w:sz w:val="24"/>
          <w:szCs w:val="24"/>
        </w:rPr>
        <w:t>[3</w:t>
      </w:r>
      <w:r w:rsidR="00580077">
        <w:rPr>
          <w:rFonts w:ascii="Arial" w:hAnsi="Arial" w:cs="Arial"/>
          <w:sz w:val="24"/>
          <w:szCs w:val="24"/>
        </w:rPr>
        <w:t>]</w:t>
      </w:r>
      <w:r w:rsidR="00CE33AA">
        <w:rPr>
          <w:rFonts w:ascii="Arial" w:hAnsi="Arial" w:cs="Arial"/>
          <w:sz w:val="24"/>
          <w:szCs w:val="24"/>
        </w:rPr>
        <w:tab/>
        <w:t xml:space="preserve">The court </w:t>
      </w:r>
      <w:r w:rsidR="00CE33AA">
        <w:rPr>
          <w:rFonts w:ascii="Arial" w:hAnsi="Arial" w:cs="Arial"/>
          <w:i/>
          <w:sz w:val="24"/>
          <w:szCs w:val="24"/>
        </w:rPr>
        <w:t xml:space="preserve">a quo </w:t>
      </w:r>
      <w:r w:rsidR="00012F52">
        <w:rPr>
          <w:rFonts w:ascii="Arial" w:hAnsi="Arial" w:cs="Arial"/>
          <w:sz w:val="24"/>
          <w:szCs w:val="24"/>
        </w:rPr>
        <w:t xml:space="preserve">was called upon to decide this special plea, </w:t>
      </w:r>
      <w:r w:rsidR="00CE33AA">
        <w:rPr>
          <w:rFonts w:ascii="Arial" w:hAnsi="Arial" w:cs="Arial"/>
          <w:sz w:val="24"/>
          <w:szCs w:val="24"/>
        </w:rPr>
        <w:t xml:space="preserve">without </w:t>
      </w:r>
      <w:r w:rsidR="00012F52">
        <w:rPr>
          <w:rFonts w:ascii="Arial" w:hAnsi="Arial" w:cs="Arial"/>
          <w:sz w:val="24"/>
          <w:szCs w:val="24"/>
        </w:rPr>
        <w:t xml:space="preserve">resort to </w:t>
      </w:r>
      <w:r w:rsidR="00CE33AA">
        <w:rPr>
          <w:rFonts w:ascii="Arial" w:hAnsi="Arial" w:cs="Arial"/>
          <w:sz w:val="24"/>
          <w:szCs w:val="24"/>
        </w:rPr>
        <w:t xml:space="preserve">oral evidence.  It upheld with costs the RAF’s special plea and dismissed Ms Buthelezi’s claim with costs.  The appeal is before us pursuant to leave </w:t>
      </w:r>
      <w:r w:rsidR="00012F52">
        <w:rPr>
          <w:rFonts w:ascii="Arial" w:hAnsi="Arial" w:cs="Arial"/>
          <w:sz w:val="24"/>
          <w:szCs w:val="24"/>
        </w:rPr>
        <w:t xml:space="preserve">being </w:t>
      </w:r>
      <w:r w:rsidR="00CE33AA">
        <w:rPr>
          <w:rFonts w:ascii="Arial" w:hAnsi="Arial" w:cs="Arial"/>
          <w:sz w:val="24"/>
          <w:szCs w:val="24"/>
        </w:rPr>
        <w:t>granted to appeal by the Supreme Court of Appeal.</w:t>
      </w:r>
    </w:p>
    <w:p w:rsidR="00CE33AA" w:rsidRPr="00CE33AA" w:rsidRDefault="00CE33AA" w:rsidP="00012F52">
      <w:pPr>
        <w:spacing w:line="360" w:lineRule="auto"/>
        <w:ind w:firstLine="720"/>
        <w:jc w:val="both"/>
        <w:rPr>
          <w:rFonts w:ascii="Arial" w:hAnsi="Arial" w:cs="Arial"/>
          <w:sz w:val="24"/>
          <w:szCs w:val="24"/>
          <w:u w:val="single"/>
        </w:rPr>
      </w:pPr>
      <w:r>
        <w:rPr>
          <w:rFonts w:ascii="Arial" w:hAnsi="Arial" w:cs="Arial"/>
          <w:sz w:val="24"/>
          <w:szCs w:val="24"/>
          <w:u w:val="single"/>
        </w:rPr>
        <w:t>Common cause facts</w:t>
      </w:r>
    </w:p>
    <w:p w:rsidR="00580077" w:rsidRDefault="00197D2D" w:rsidP="00CE33AA">
      <w:pPr>
        <w:spacing w:line="360" w:lineRule="auto"/>
        <w:ind w:left="720" w:hanging="720"/>
        <w:jc w:val="both"/>
        <w:rPr>
          <w:rFonts w:ascii="Arial" w:hAnsi="Arial" w:cs="Arial"/>
          <w:sz w:val="24"/>
          <w:szCs w:val="24"/>
        </w:rPr>
      </w:pPr>
      <w:r>
        <w:rPr>
          <w:rFonts w:ascii="Arial" w:hAnsi="Arial" w:cs="Arial"/>
          <w:sz w:val="24"/>
          <w:szCs w:val="24"/>
        </w:rPr>
        <w:lastRenderedPageBreak/>
        <w:t>[4</w:t>
      </w:r>
      <w:r w:rsidR="00580077">
        <w:rPr>
          <w:rFonts w:ascii="Arial" w:hAnsi="Arial" w:cs="Arial"/>
          <w:sz w:val="24"/>
          <w:szCs w:val="24"/>
        </w:rPr>
        <w:t>]</w:t>
      </w:r>
      <w:r w:rsidR="00CE33AA">
        <w:rPr>
          <w:rFonts w:ascii="Arial" w:hAnsi="Arial" w:cs="Arial"/>
          <w:sz w:val="24"/>
          <w:szCs w:val="24"/>
        </w:rPr>
        <w:tab/>
      </w:r>
      <w:r w:rsidR="00CE33AA" w:rsidRPr="00BB5EA2">
        <w:rPr>
          <w:rFonts w:ascii="Arial" w:hAnsi="Arial" w:cs="Arial"/>
          <w:sz w:val="24"/>
          <w:szCs w:val="24"/>
        </w:rPr>
        <w:t xml:space="preserve">When </w:t>
      </w:r>
      <w:r w:rsidR="00012F52" w:rsidRPr="00BB5EA2">
        <w:rPr>
          <w:rFonts w:ascii="Arial" w:hAnsi="Arial" w:cs="Arial"/>
          <w:sz w:val="24"/>
          <w:szCs w:val="24"/>
        </w:rPr>
        <w:t xml:space="preserve">Ms </w:t>
      </w:r>
      <w:r w:rsidR="00CE33AA" w:rsidRPr="00BB5EA2">
        <w:rPr>
          <w:rFonts w:ascii="Arial" w:hAnsi="Arial" w:cs="Arial"/>
          <w:sz w:val="24"/>
          <w:szCs w:val="24"/>
        </w:rPr>
        <w:t xml:space="preserve">Buthelezi </w:t>
      </w:r>
      <w:r w:rsidR="001D1202" w:rsidRPr="00BB5EA2">
        <w:rPr>
          <w:rFonts w:ascii="Arial" w:hAnsi="Arial" w:cs="Arial"/>
          <w:sz w:val="24"/>
          <w:szCs w:val="24"/>
        </w:rPr>
        <w:t>i</w:t>
      </w:r>
      <w:r w:rsidR="00C326F0" w:rsidRPr="00BB5EA2">
        <w:rPr>
          <w:rFonts w:ascii="Arial" w:hAnsi="Arial" w:cs="Arial"/>
          <w:sz w:val="24"/>
          <w:szCs w:val="24"/>
        </w:rPr>
        <w:t>ssued the summons</w:t>
      </w:r>
      <w:r w:rsidR="00CE33AA" w:rsidRPr="00BB5EA2">
        <w:rPr>
          <w:rFonts w:ascii="Arial" w:hAnsi="Arial" w:cs="Arial"/>
          <w:sz w:val="24"/>
          <w:szCs w:val="24"/>
        </w:rPr>
        <w:t xml:space="preserve"> on 31 January 2005 her</w:t>
      </w:r>
      <w:r w:rsidR="00CE33AA">
        <w:rPr>
          <w:rFonts w:ascii="Arial" w:hAnsi="Arial" w:cs="Arial"/>
          <w:sz w:val="24"/>
          <w:szCs w:val="24"/>
        </w:rPr>
        <w:t xml:space="preserve"> claim was limited to R25 000 (</w:t>
      </w:r>
      <w:proofErr w:type="gramStart"/>
      <w:r w:rsidR="00CE33AA">
        <w:rPr>
          <w:rFonts w:ascii="Arial" w:hAnsi="Arial" w:cs="Arial"/>
          <w:sz w:val="24"/>
          <w:szCs w:val="24"/>
        </w:rPr>
        <w:t>Twenty Five</w:t>
      </w:r>
      <w:proofErr w:type="gramEnd"/>
      <w:r w:rsidR="00CE33AA">
        <w:rPr>
          <w:rFonts w:ascii="Arial" w:hAnsi="Arial" w:cs="Arial"/>
          <w:sz w:val="24"/>
          <w:szCs w:val="24"/>
        </w:rPr>
        <w:t xml:space="preserve"> Thousand Rand) in terms of s18(1) and s2 of the Road Acc</w:t>
      </w:r>
      <w:r w:rsidR="00012F52">
        <w:rPr>
          <w:rFonts w:ascii="Arial" w:hAnsi="Arial" w:cs="Arial"/>
          <w:sz w:val="24"/>
          <w:szCs w:val="24"/>
        </w:rPr>
        <w:t xml:space="preserve">ident Fund Act 56 of 1996 (the Old </w:t>
      </w:r>
      <w:r w:rsidR="00CE33AA">
        <w:rPr>
          <w:rFonts w:ascii="Arial" w:hAnsi="Arial" w:cs="Arial"/>
          <w:sz w:val="24"/>
          <w:szCs w:val="24"/>
        </w:rPr>
        <w:t>Act).</w:t>
      </w:r>
    </w:p>
    <w:p w:rsidR="00CE33AA" w:rsidRDefault="00197D2D" w:rsidP="00012F52">
      <w:pPr>
        <w:spacing w:line="360" w:lineRule="auto"/>
        <w:ind w:left="720" w:hanging="720"/>
        <w:jc w:val="both"/>
        <w:rPr>
          <w:rFonts w:ascii="Arial" w:hAnsi="Arial" w:cs="Arial"/>
          <w:sz w:val="24"/>
          <w:szCs w:val="24"/>
        </w:rPr>
      </w:pPr>
      <w:r>
        <w:rPr>
          <w:rFonts w:ascii="Arial" w:hAnsi="Arial" w:cs="Arial"/>
          <w:sz w:val="24"/>
          <w:szCs w:val="24"/>
        </w:rPr>
        <w:t>[5]</w:t>
      </w:r>
      <w:r w:rsidR="00CE33AA">
        <w:rPr>
          <w:rFonts w:ascii="Arial" w:hAnsi="Arial" w:cs="Arial"/>
          <w:sz w:val="24"/>
          <w:szCs w:val="24"/>
        </w:rPr>
        <w:tab/>
        <w:t>To avoid</w:t>
      </w:r>
      <w:r w:rsidR="00012F52">
        <w:rPr>
          <w:rFonts w:ascii="Arial" w:hAnsi="Arial" w:cs="Arial"/>
          <w:sz w:val="24"/>
          <w:szCs w:val="24"/>
        </w:rPr>
        <w:t xml:space="preserve"> prescription under the Old </w:t>
      </w:r>
      <w:r w:rsidR="00CE33AA">
        <w:rPr>
          <w:rFonts w:ascii="Arial" w:hAnsi="Arial" w:cs="Arial"/>
          <w:sz w:val="24"/>
          <w:szCs w:val="24"/>
        </w:rPr>
        <w:t xml:space="preserve">Act Ms Buthelezi had to lodge her claim on or before 30 January 2008.  </w:t>
      </w:r>
      <w:r w:rsidR="00CE33AA" w:rsidRPr="00BB5EA2">
        <w:rPr>
          <w:rFonts w:ascii="Arial" w:hAnsi="Arial" w:cs="Arial"/>
          <w:sz w:val="24"/>
          <w:szCs w:val="24"/>
        </w:rPr>
        <w:t>The claim was lodged on 29 October 2007.</w:t>
      </w:r>
      <w:r w:rsidR="00CE33AA">
        <w:rPr>
          <w:rFonts w:ascii="Arial" w:hAnsi="Arial" w:cs="Arial"/>
          <w:sz w:val="24"/>
          <w:szCs w:val="24"/>
        </w:rPr>
        <w:t xml:space="preserve">  The summons had to be issued and served on or before 30 January 2010.  Ms </w:t>
      </w:r>
      <w:r w:rsidR="00CE33AA" w:rsidRPr="00BB5EA2">
        <w:rPr>
          <w:rFonts w:ascii="Arial" w:hAnsi="Arial" w:cs="Arial"/>
          <w:sz w:val="24"/>
          <w:szCs w:val="24"/>
        </w:rPr>
        <w:t>Buthelezi issued and served the summons from the Magistrate’s Court</w:t>
      </w:r>
      <w:r w:rsidR="001259A5" w:rsidRPr="00BB5EA2">
        <w:rPr>
          <w:rFonts w:ascii="Arial" w:hAnsi="Arial" w:cs="Arial"/>
          <w:sz w:val="24"/>
          <w:szCs w:val="24"/>
        </w:rPr>
        <w:t xml:space="preserve"> under case number 72/2009 on 5</w:t>
      </w:r>
      <w:r w:rsidR="00BB5EA2">
        <w:rPr>
          <w:rFonts w:ascii="Arial" w:hAnsi="Arial" w:cs="Arial"/>
          <w:sz w:val="24"/>
          <w:szCs w:val="24"/>
        </w:rPr>
        <w:t xml:space="preserve"> </w:t>
      </w:r>
      <w:r w:rsidR="00CE33AA" w:rsidRPr="00BB5EA2">
        <w:rPr>
          <w:rFonts w:ascii="Arial" w:hAnsi="Arial" w:cs="Arial"/>
          <w:sz w:val="24"/>
          <w:szCs w:val="24"/>
        </w:rPr>
        <w:t>January 2009</w:t>
      </w:r>
      <w:r w:rsidR="001259A5" w:rsidRPr="00BB5EA2">
        <w:rPr>
          <w:rFonts w:ascii="Arial" w:hAnsi="Arial" w:cs="Arial"/>
          <w:sz w:val="24"/>
          <w:szCs w:val="24"/>
        </w:rPr>
        <w:t xml:space="preserve"> and served the summons</w:t>
      </w:r>
      <w:r w:rsidR="00BB5EA2">
        <w:rPr>
          <w:rFonts w:ascii="Arial" w:hAnsi="Arial" w:cs="Arial"/>
          <w:sz w:val="24"/>
          <w:szCs w:val="24"/>
        </w:rPr>
        <w:t xml:space="preserve"> on 6 Januar</w:t>
      </w:r>
      <w:r w:rsidR="001259A5">
        <w:rPr>
          <w:rFonts w:ascii="Arial" w:hAnsi="Arial" w:cs="Arial"/>
          <w:sz w:val="24"/>
          <w:szCs w:val="24"/>
        </w:rPr>
        <w:t>y 2009.</w:t>
      </w:r>
    </w:p>
    <w:p w:rsidR="00CE33AA" w:rsidRPr="00657D3E" w:rsidRDefault="00197D2D" w:rsidP="00012F52">
      <w:pPr>
        <w:spacing w:line="360" w:lineRule="auto"/>
        <w:ind w:left="720" w:hanging="720"/>
        <w:jc w:val="both"/>
        <w:rPr>
          <w:rFonts w:ascii="Arial" w:hAnsi="Arial" w:cs="Arial"/>
          <w:sz w:val="24"/>
          <w:szCs w:val="24"/>
        </w:rPr>
      </w:pPr>
      <w:r>
        <w:rPr>
          <w:rFonts w:ascii="Arial" w:hAnsi="Arial" w:cs="Arial"/>
          <w:sz w:val="24"/>
          <w:szCs w:val="24"/>
        </w:rPr>
        <w:t>[6</w:t>
      </w:r>
      <w:r w:rsidR="00CE33AA">
        <w:rPr>
          <w:rFonts w:ascii="Arial" w:hAnsi="Arial" w:cs="Arial"/>
          <w:sz w:val="24"/>
          <w:szCs w:val="24"/>
        </w:rPr>
        <w:t>]</w:t>
      </w:r>
      <w:r w:rsidR="00CE33AA">
        <w:rPr>
          <w:rFonts w:ascii="Arial" w:hAnsi="Arial" w:cs="Arial"/>
          <w:sz w:val="24"/>
          <w:szCs w:val="24"/>
        </w:rPr>
        <w:tab/>
        <w:t>The Constitutional Court on 17 February 2011 declared sections 18(7)(a)1, 18</w:t>
      </w:r>
      <w:r w:rsidR="00012F52">
        <w:rPr>
          <w:rFonts w:ascii="Arial" w:hAnsi="Arial" w:cs="Arial"/>
          <w:sz w:val="24"/>
          <w:szCs w:val="24"/>
        </w:rPr>
        <w:t xml:space="preserve">(1)(b) and 18(2) of the Old </w:t>
      </w:r>
      <w:r w:rsidR="00CE33AA">
        <w:rPr>
          <w:rFonts w:ascii="Arial" w:hAnsi="Arial" w:cs="Arial"/>
          <w:sz w:val="24"/>
          <w:szCs w:val="24"/>
        </w:rPr>
        <w:t xml:space="preserve">Act unconstitutional and invalid in </w:t>
      </w:r>
      <w:proofErr w:type="spellStart"/>
      <w:r w:rsidR="00CE33AA" w:rsidRPr="007846C6">
        <w:rPr>
          <w:rFonts w:ascii="Arial" w:hAnsi="Arial" w:cs="Arial"/>
          <w:i/>
          <w:sz w:val="24"/>
          <w:szCs w:val="24"/>
        </w:rPr>
        <w:t>Mvumvu</w:t>
      </w:r>
      <w:proofErr w:type="spellEnd"/>
      <w:r w:rsidR="00CE33AA" w:rsidRPr="007846C6">
        <w:rPr>
          <w:rFonts w:ascii="Arial" w:hAnsi="Arial" w:cs="Arial"/>
          <w:i/>
          <w:sz w:val="24"/>
          <w:szCs w:val="24"/>
        </w:rPr>
        <w:t xml:space="preserve"> and Others </w:t>
      </w:r>
      <w:proofErr w:type="gramStart"/>
      <w:r w:rsidR="00CE33AA" w:rsidRPr="007846C6">
        <w:rPr>
          <w:rFonts w:ascii="Arial" w:hAnsi="Arial" w:cs="Arial"/>
          <w:i/>
          <w:sz w:val="24"/>
          <w:szCs w:val="24"/>
        </w:rPr>
        <w:t>v</w:t>
      </w:r>
      <w:proofErr w:type="gramEnd"/>
      <w:r w:rsidR="00CE33AA" w:rsidRPr="007846C6">
        <w:rPr>
          <w:rFonts w:ascii="Arial" w:hAnsi="Arial" w:cs="Arial"/>
          <w:i/>
          <w:sz w:val="24"/>
          <w:szCs w:val="24"/>
        </w:rPr>
        <w:t xml:space="preserve"> Mi</w:t>
      </w:r>
      <w:r w:rsidR="00387BA9" w:rsidRPr="007846C6">
        <w:rPr>
          <w:rFonts w:ascii="Arial" w:hAnsi="Arial" w:cs="Arial"/>
          <w:i/>
          <w:sz w:val="24"/>
          <w:szCs w:val="24"/>
        </w:rPr>
        <w:t>nister for</w:t>
      </w:r>
      <w:r w:rsidR="00CE33AA" w:rsidRPr="007846C6">
        <w:rPr>
          <w:rFonts w:ascii="Arial" w:hAnsi="Arial" w:cs="Arial"/>
          <w:i/>
          <w:sz w:val="24"/>
          <w:szCs w:val="24"/>
        </w:rPr>
        <w:t xml:space="preserve"> Transport and Another </w:t>
      </w:r>
      <w:r w:rsidR="00CE33AA" w:rsidRPr="007846C6">
        <w:rPr>
          <w:rFonts w:ascii="Arial" w:hAnsi="Arial" w:cs="Arial"/>
          <w:sz w:val="24"/>
          <w:szCs w:val="24"/>
        </w:rPr>
        <w:t xml:space="preserve">2011 (2) SA 473 </w:t>
      </w:r>
      <w:r w:rsidR="00387BA9" w:rsidRPr="007846C6">
        <w:rPr>
          <w:rFonts w:ascii="Arial" w:hAnsi="Arial" w:cs="Arial"/>
          <w:sz w:val="24"/>
          <w:szCs w:val="24"/>
        </w:rPr>
        <w:t>(CC)</w:t>
      </w:r>
      <w:r w:rsidR="00387BA9">
        <w:rPr>
          <w:rFonts w:ascii="Arial" w:hAnsi="Arial" w:cs="Arial"/>
          <w:b/>
          <w:sz w:val="24"/>
          <w:szCs w:val="24"/>
        </w:rPr>
        <w:t xml:space="preserve"> </w:t>
      </w:r>
      <w:r w:rsidR="00CE33AA">
        <w:rPr>
          <w:rFonts w:ascii="Arial" w:hAnsi="Arial" w:cs="Arial"/>
          <w:sz w:val="24"/>
          <w:szCs w:val="24"/>
        </w:rPr>
        <w:t>(</w:t>
      </w:r>
      <w:proofErr w:type="spellStart"/>
      <w:r w:rsidR="00CE33AA" w:rsidRPr="007846C6">
        <w:rPr>
          <w:rFonts w:ascii="Arial" w:hAnsi="Arial" w:cs="Arial"/>
          <w:i/>
          <w:sz w:val="24"/>
          <w:szCs w:val="24"/>
        </w:rPr>
        <w:t>Mvumvu</w:t>
      </w:r>
      <w:proofErr w:type="spellEnd"/>
      <w:r w:rsidR="00CE33AA" w:rsidRPr="007846C6">
        <w:rPr>
          <w:rFonts w:ascii="Arial" w:hAnsi="Arial" w:cs="Arial"/>
          <w:sz w:val="24"/>
          <w:szCs w:val="24"/>
        </w:rPr>
        <w:t xml:space="preserve"> </w:t>
      </w:r>
      <w:r w:rsidR="00CE33AA">
        <w:rPr>
          <w:rFonts w:ascii="Arial" w:hAnsi="Arial" w:cs="Arial"/>
          <w:sz w:val="24"/>
          <w:szCs w:val="24"/>
        </w:rPr>
        <w:t xml:space="preserve">judgment).  The declaration of invalidity was suspended for a period of 18 months for </w:t>
      </w:r>
      <w:r w:rsidR="00BB5EA2" w:rsidRPr="00BB5EA2">
        <w:rPr>
          <w:rFonts w:ascii="Arial" w:hAnsi="Arial" w:cs="Arial"/>
          <w:sz w:val="24"/>
          <w:szCs w:val="24"/>
        </w:rPr>
        <w:t>Parlia</w:t>
      </w:r>
      <w:r w:rsidR="00CE33AA" w:rsidRPr="00BB5EA2">
        <w:rPr>
          <w:rFonts w:ascii="Arial" w:hAnsi="Arial" w:cs="Arial"/>
          <w:sz w:val="24"/>
          <w:szCs w:val="24"/>
        </w:rPr>
        <w:t>ment</w:t>
      </w:r>
      <w:r w:rsidR="00CE33AA">
        <w:rPr>
          <w:rFonts w:ascii="Arial" w:hAnsi="Arial" w:cs="Arial"/>
          <w:sz w:val="24"/>
          <w:szCs w:val="24"/>
        </w:rPr>
        <w:t xml:space="preserve"> to remedy the impugned provisions.</w:t>
      </w:r>
      <w:r w:rsidR="00657D3E">
        <w:rPr>
          <w:rFonts w:ascii="Arial" w:hAnsi="Arial" w:cs="Arial"/>
          <w:sz w:val="24"/>
          <w:szCs w:val="24"/>
        </w:rPr>
        <w:t xml:space="preserve">  The declaration of invalidity only affected claims against RAF which had not been finalised on the date the Constitutional Court handed down the </w:t>
      </w:r>
      <w:proofErr w:type="spellStart"/>
      <w:r w:rsidR="00657D3E" w:rsidRPr="007846C6">
        <w:rPr>
          <w:rFonts w:ascii="Arial" w:hAnsi="Arial" w:cs="Arial"/>
          <w:i/>
          <w:sz w:val="24"/>
          <w:szCs w:val="24"/>
        </w:rPr>
        <w:t>Mvumvu</w:t>
      </w:r>
      <w:proofErr w:type="spellEnd"/>
      <w:r w:rsidR="00657D3E" w:rsidRPr="007846C6">
        <w:rPr>
          <w:rFonts w:ascii="Arial" w:hAnsi="Arial" w:cs="Arial"/>
          <w:i/>
          <w:sz w:val="24"/>
          <w:szCs w:val="24"/>
        </w:rPr>
        <w:t xml:space="preserve"> </w:t>
      </w:r>
      <w:r w:rsidR="00657D3E">
        <w:rPr>
          <w:rFonts w:ascii="Arial" w:hAnsi="Arial" w:cs="Arial"/>
          <w:sz w:val="24"/>
          <w:szCs w:val="24"/>
        </w:rPr>
        <w:t>judgment.  Ms. Buthelezi’s claim was not finalised.</w:t>
      </w:r>
    </w:p>
    <w:p w:rsidR="00CE33AA" w:rsidRDefault="00197D2D" w:rsidP="00012F52">
      <w:pPr>
        <w:spacing w:line="360" w:lineRule="auto"/>
        <w:ind w:left="720" w:hanging="720"/>
        <w:jc w:val="both"/>
        <w:rPr>
          <w:rFonts w:ascii="Arial" w:hAnsi="Arial" w:cs="Arial"/>
          <w:sz w:val="24"/>
          <w:szCs w:val="24"/>
        </w:rPr>
      </w:pPr>
      <w:r>
        <w:rPr>
          <w:rFonts w:ascii="Arial" w:hAnsi="Arial" w:cs="Arial"/>
          <w:sz w:val="24"/>
          <w:szCs w:val="24"/>
        </w:rPr>
        <w:t>[7</w:t>
      </w:r>
      <w:r w:rsidR="00CE33AA">
        <w:rPr>
          <w:rFonts w:ascii="Arial" w:hAnsi="Arial" w:cs="Arial"/>
          <w:sz w:val="24"/>
          <w:szCs w:val="24"/>
        </w:rPr>
        <w:t>]</w:t>
      </w:r>
      <w:r w:rsidR="00657D3E">
        <w:rPr>
          <w:rFonts w:ascii="Arial" w:hAnsi="Arial" w:cs="Arial"/>
          <w:sz w:val="24"/>
          <w:szCs w:val="24"/>
        </w:rPr>
        <w:tab/>
        <w:t>The imp</w:t>
      </w:r>
      <w:r w:rsidR="00012F52">
        <w:rPr>
          <w:rFonts w:ascii="Arial" w:hAnsi="Arial" w:cs="Arial"/>
          <w:sz w:val="24"/>
          <w:szCs w:val="24"/>
        </w:rPr>
        <w:t xml:space="preserve">ugned provisions of the Old </w:t>
      </w:r>
      <w:r w:rsidR="00657D3E">
        <w:rPr>
          <w:rFonts w:ascii="Arial" w:hAnsi="Arial" w:cs="Arial"/>
          <w:sz w:val="24"/>
          <w:szCs w:val="24"/>
        </w:rPr>
        <w:t>Act where remedied with the enactment of the Transitional Provisions Act 15 of 2012 (the Transitional Act) which came into operation on 13 February 2013.  S</w:t>
      </w:r>
      <w:r w:rsidR="007846C6">
        <w:rPr>
          <w:rFonts w:ascii="Arial" w:hAnsi="Arial" w:cs="Arial"/>
          <w:sz w:val="24"/>
          <w:szCs w:val="24"/>
        </w:rPr>
        <w:t xml:space="preserve">ection </w:t>
      </w:r>
      <w:r w:rsidR="00657D3E">
        <w:rPr>
          <w:rFonts w:ascii="Arial" w:hAnsi="Arial" w:cs="Arial"/>
          <w:sz w:val="24"/>
          <w:szCs w:val="24"/>
        </w:rPr>
        <w:t>2(1) of the Transitional Provisional Act reads as follows:</w:t>
      </w:r>
    </w:p>
    <w:p w:rsidR="00657D3E" w:rsidRPr="00B65869" w:rsidRDefault="00657D3E" w:rsidP="00B65869">
      <w:pPr>
        <w:spacing w:line="360" w:lineRule="auto"/>
        <w:ind w:left="1418" w:firstLine="22"/>
        <w:jc w:val="both"/>
        <w:rPr>
          <w:rFonts w:ascii="Arial" w:hAnsi="Arial" w:cs="Arial"/>
          <w:i/>
          <w:sz w:val="24"/>
          <w:szCs w:val="24"/>
        </w:rPr>
      </w:pPr>
      <w:r w:rsidRPr="00B65869">
        <w:rPr>
          <w:rFonts w:ascii="Arial" w:hAnsi="Arial" w:cs="Arial"/>
          <w:i/>
          <w:sz w:val="24"/>
          <w:szCs w:val="24"/>
        </w:rPr>
        <w:t xml:space="preserve">“Unless the third party expressly and unconditionally indicates to the Funds on the prescribed form, within one year of the Act taking effect, to have his or her claim remain subject to the Old Act, the claim of such third party is subject to the new Act under the following </w:t>
      </w:r>
      <w:r w:rsidR="00B65869" w:rsidRPr="00B65869">
        <w:rPr>
          <w:rFonts w:ascii="Arial" w:hAnsi="Arial" w:cs="Arial"/>
          <w:i/>
          <w:sz w:val="24"/>
          <w:szCs w:val="24"/>
        </w:rPr>
        <w:t>transitional regime:</w:t>
      </w:r>
    </w:p>
    <w:p w:rsidR="00657D3E" w:rsidRPr="00136633" w:rsidRDefault="00136633" w:rsidP="00136633">
      <w:pPr>
        <w:spacing w:line="360" w:lineRule="auto"/>
        <w:ind w:left="2160" w:hanging="742"/>
        <w:jc w:val="both"/>
        <w:rPr>
          <w:rFonts w:ascii="Arial" w:hAnsi="Arial" w:cs="Arial"/>
          <w:i/>
          <w:sz w:val="24"/>
          <w:szCs w:val="24"/>
        </w:rPr>
      </w:pPr>
      <w:r w:rsidRPr="00B65869">
        <w:rPr>
          <w:rFonts w:ascii="Arial" w:hAnsi="Arial" w:cs="Arial"/>
          <w:i/>
          <w:sz w:val="24"/>
          <w:szCs w:val="24"/>
        </w:rPr>
        <w:t>(a)</w:t>
      </w:r>
      <w:r w:rsidRPr="00B65869">
        <w:rPr>
          <w:rFonts w:ascii="Arial" w:hAnsi="Arial" w:cs="Arial"/>
          <w:i/>
          <w:sz w:val="24"/>
          <w:szCs w:val="24"/>
        </w:rPr>
        <w:tab/>
      </w:r>
      <w:r w:rsidR="00657D3E" w:rsidRPr="00136633">
        <w:rPr>
          <w:rFonts w:ascii="Arial" w:hAnsi="Arial" w:cs="Arial"/>
          <w:i/>
          <w:sz w:val="24"/>
          <w:szCs w:val="24"/>
        </w:rPr>
        <w:t>…</w:t>
      </w:r>
    </w:p>
    <w:p w:rsidR="00657D3E" w:rsidRPr="00136633" w:rsidRDefault="00136633" w:rsidP="00136633">
      <w:pPr>
        <w:spacing w:line="360" w:lineRule="auto"/>
        <w:ind w:left="2160" w:hanging="742"/>
        <w:jc w:val="both"/>
        <w:rPr>
          <w:rFonts w:ascii="Arial" w:hAnsi="Arial" w:cs="Arial"/>
          <w:i/>
          <w:sz w:val="24"/>
          <w:szCs w:val="24"/>
        </w:rPr>
      </w:pPr>
      <w:r w:rsidRPr="00B65869">
        <w:rPr>
          <w:rFonts w:ascii="Arial" w:hAnsi="Arial" w:cs="Arial"/>
          <w:i/>
          <w:sz w:val="24"/>
          <w:szCs w:val="24"/>
        </w:rPr>
        <w:t>(b)</w:t>
      </w:r>
      <w:r w:rsidRPr="00B65869">
        <w:rPr>
          <w:rFonts w:ascii="Arial" w:hAnsi="Arial" w:cs="Arial"/>
          <w:i/>
          <w:sz w:val="24"/>
          <w:szCs w:val="24"/>
        </w:rPr>
        <w:tab/>
      </w:r>
      <w:r w:rsidR="00657D3E" w:rsidRPr="00136633">
        <w:rPr>
          <w:rFonts w:ascii="Arial" w:hAnsi="Arial" w:cs="Arial"/>
          <w:i/>
          <w:sz w:val="24"/>
          <w:szCs w:val="24"/>
        </w:rPr>
        <w:t>The right of the third party to claim compensation for non-pecuniary loss is limited to a maximum of R25,000 unless –</w:t>
      </w:r>
    </w:p>
    <w:p w:rsidR="00657D3E" w:rsidRPr="00136633" w:rsidRDefault="00136633" w:rsidP="00136633">
      <w:pPr>
        <w:spacing w:line="360" w:lineRule="auto"/>
        <w:ind w:left="2835" w:hanging="708"/>
        <w:jc w:val="both"/>
        <w:rPr>
          <w:rFonts w:ascii="Arial" w:hAnsi="Arial" w:cs="Arial"/>
          <w:i/>
          <w:sz w:val="24"/>
          <w:szCs w:val="24"/>
        </w:rPr>
      </w:pPr>
      <w:r w:rsidRPr="00B65869">
        <w:rPr>
          <w:rFonts w:ascii="Arial" w:hAnsi="Arial" w:cs="Arial"/>
          <w:i/>
          <w:sz w:val="24"/>
          <w:szCs w:val="24"/>
        </w:rPr>
        <w:lastRenderedPageBreak/>
        <w:t>(</w:t>
      </w:r>
      <w:proofErr w:type="spellStart"/>
      <w:r w:rsidRPr="00B65869">
        <w:rPr>
          <w:rFonts w:ascii="Arial" w:hAnsi="Arial" w:cs="Arial"/>
          <w:i/>
          <w:sz w:val="24"/>
          <w:szCs w:val="24"/>
        </w:rPr>
        <w:t>i</w:t>
      </w:r>
      <w:proofErr w:type="spellEnd"/>
      <w:r w:rsidRPr="00B65869">
        <w:rPr>
          <w:rFonts w:ascii="Arial" w:hAnsi="Arial" w:cs="Arial"/>
          <w:i/>
          <w:sz w:val="24"/>
          <w:szCs w:val="24"/>
        </w:rPr>
        <w:t>)</w:t>
      </w:r>
      <w:r w:rsidRPr="00B65869">
        <w:rPr>
          <w:rFonts w:ascii="Arial" w:hAnsi="Arial" w:cs="Arial"/>
          <w:i/>
          <w:sz w:val="24"/>
          <w:szCs w:val="24"/>
        </w:rPr>
        <w:tab/>
      </w:r>
      <w:r w:rsidR="00657D3E" w:rsidRPr="00136633">
        <w:rPr>
          <w:rFonts w:ascii="Arial" w:hAnsi="Arial" w:cs="Arial"/>
          <w:i/>
          <w:sz w:val="24"/>
          <w:szCs w:val="24"/>
        </w:rPr>
        <w:t xml:space="preserve">the third party submits a serious injury assessment report as contemplated in Regulation 3 of the Road Accident Fun Regulation 2008, indicating a serious injury, within two years of this Act taking </w:t>
      </w:r>
      <w:proofErr w:type="gramStart"/>
      <w:r w:rsidR="00657D3E" w:rsidRPr="00136633">
        <w:rPr>
          <w:rFonts w:ascii="Arial" w:hAnsi="Arial" w:cs="Arial"/>
          <w:i/>
          <w:sz w:val="24"/>
          <w:szCs w:val="24"/>
        </w:rPr>
        <w:t>effect;  and</w:t>
      </w:r>
      <w:proofErr w:type="gramEnd"/>
    </w:p>
    <w:p w:rsidR="00657D3E" w:rsidRPr="00136633" w:rsidRDefault="00136633" w:rsidP="00136633">
      <w:pPr>
        <w:spacing w:line="360" w:lineRule="auto"/>
        <w:ind w:left="2835" w:hanging="720"/>
        <w:jc w:val="both"/>
        <w:rPr>
          <w:rFonts w:ascii="Arial" w:hAnsi="Arial" w:cs="Arial"/>
          <w:i/>
          <w:sz w:val="24"/>
          <w:szCs w:val="24"/>
        </w:rPr>
      </w:pPr>
      <w:r w:rsidRPr="00B65869">
        <w:rPr>
          <w:rFonts w:ascii="Arial" w:hAnsi="Arial" w:cs="Arial"/>
          <w:i/>
          <w:sz w:val="24"/>
          <w:szCs w:val="24"/>
        </w:rPr>
        <w:t>(ii)</w:t>
      </w:r>
      <w:r w:rsidRPr="00B65869">
        <w:rPr>
          <w:rFonts w:ascii="Arial" w:hAnsi="Arial" w:cs="Arial"/>
          <w:i/>
          <w:sz w:val="24"/>
          <w:szCs w:val="24"/>
        </w:rPr>
        <w:tab/>
      </w:r>
      <w:r w:rsidR="00657D3E" w:rsidRPr="00136633">
        <w:rPr>
          <w:rFonts w:ascii="Arial" w:hAnsi="Arial" w:cs="Arial"/>
          <w:i/>
          <w:sz w:val="24"/>
          <w:szCs w:val="24"/>
        </w:rPr>
        <w:t>it is determined in accordance with Regulation 3 of the Road Accident Fund Regulations, 2008, that the third party suffered a serious injury.</w:t>
      </w:r>
    </w:p>
    <w:p w:rsidR="00657D3E" w:rsidRPr="00B65869" w:rsidRDefault="00657D3E" w:rsidP="00657D3E">
      <w:pPr>
        <w:tabs>
          <w:tab w:val="left" w:pos="1843"/>
          <w:tab w:val="left" w:pos="1985"/>
          <w:tab w:val="left" w:pos="2127"/>
        </w:tabs>
        <w:spacing w:line="360" w:lineRule="auto"/>
        <w:ind w:left="1440"/>
        <w:jc w:val="both"/>
        <w:rPr>
          <w:rFonts w:ascii="Arial" w:hAnsi="Arial" w:cs="Arial"/>
          <w:i/>
          <w:sz w:val="24"/>
          <w:szCs w:val="24"/>
        </w:rPr>
      </w:pPr>
      <w:r w:rsidRPr="00B65869">
        <w:rPr>
          <w:rFonts w:ascii="Arial" w:hAnsi="Arial" w:cs="Arial"/>
          <w:i/>
          <w:sz w:val="24"/>
          <w:szCs w:val="24"/>
        </w:rPr>
        <w:t>(c)</w:t>
      </w:r>
      <w:r w:rsidRPr="00B65869">
        <w:rPr>
          <w:rFonts w:ascii="Arial" w:hAnsi="Arial" w:cs="Arial"/>
          <w:i/>
          <w:sz w:val="24"/>
          <w:szCs w:val="24"/>
        </w:rPr>
        <w:tab/>
      </w:r>
      <w:r w:rsidRPr="00B65869">
        <w:rPr>
          <w:rFonts w:ascii="Arial" w:hAnsi="Arial" w:cs="Arial"/>
          <w:i/>
          <w:sz w:val="24"/>
          <w:szCs w:val="24"/>
        </w:rPr>
        <w:tab/>
      </w:r>
      <w:r w:rsidRPr="00B65869">
        <w:rPr>
          <w:rFonts w:ascii="Arial" w:hAnsi="Arial" w:cs="Arial"/>
          <w:i/>
          <w:sz w:val="24"/>
          <w:szCs w:val="24"/>
        </w:rPr>
        <w:tab/>
        <w:t>…</w:t>
      </w:r>
    </w:p>
    <w:p w:rsidR="00657D3E" w:rsidRPr="00B65869" w:rsidRDefault="00657D3E" w:rsidP="00657D3E">
      <w:pPr>
        <w:spacing w:line="360" w:lineRule="auto"/>
        <w:ind w:left="1440"/>
        <w:jc w:val="both"/>
        <w:rPr>
          <w:rFonts w:ascii="Arial" w:hAnsi="Arial" w:cs="Arial"/>
          <w:i/>
          <w:sz w:val="24"/>
          <w:szCs w:val="24"/>
        </w:rPr>
      </w:pPr>
      <w:r w:rsidRPr="00B65869">
        <w:rPr>
          <w:rFonts w:ascii="Arial" w:hAnsi="Arial" w:cs="Arial"/>
          <w:i/>
          <w:sz w:val="24"/>
          <w:szCs w:val="24"/>
        </w:rPr>
        <w:t>(d)</w:t>
      </w:r>
      <w:r w:rsidRPr="00B65869">
        <w:rPr>
          <w:rFonts w:ascii="Arial" w:hAnsi="Arial" w:cs="Arial"/>
          <w:i/>
          <w:sz w:val="24"/>
          <w:szCs w:val="24"/>
        </w:rPr>
        <w:tab/>
        <w:t>…</w:t>
      </w:r>
    </w:p>
    <w:p w:rsidR="00657D3E" w:rsidRPr="00B65869" w:rsidRDefault="00657D3E" w:rsidP="00657D3E">
      <w:pPr>
        <w:spacing w:line="360" w:lineRule="auto"/>
        <w:ind w:left="1440"/>
        <w:jc w:val="both"/>
        <w:rPr>
          <w:rFonts w:ascii="Arial" w:hAnsi="Arial" w:cs="Arial"/>
          <w:i/>
          <w:sz w:val="24"/>
          <w:szCs w:val="24"/>
        </w:rPr>
      </w:pPr>
      <w:r w:rsidRPr="00B65869">
        <w:rPr>
          <w:rFonts w:ascii="Arial" w:hAnsi="Arial" w:cs="Arial"/>
          <w:i/>
          <w:sz w:val="24"/>
          <w:szCs w:val="24"/>
        </w:rPr>
        <w:t>(e)</w:t>
      </w:r>
      <w:r w:rsidRPr="00B65869">
        <w:rPr>
          <w:rFonts w:ascii="Arial" w:hAnsi="Arial" w:cs="Arial"/>
          <w:i/>
          <w:sz w:val="24"/>
          <w:szCs w:val="24"/>
        </w:rPr>
        <w:tab/>
        <w:t>A third party who has, prior to this Act coming into operation –</w:t>
      </w:r>
    </w:p>
    <w:p w:rsidR="00657D3E" w:rsidRPr="00B65869" w:rsidRDefault="00657D3E" w:rsidP="00657D3E">
      <w:pPr>
        <w:spacing w:line="360" w:lineRule="auto"/>
        <w:ind w:left="1440"/>
        <w:jc w:val="both"/>
        <w:rPr>
          <w:rFonts w:ascii="Arial" w:hAnsi="Arial" w:cs="Arial"/>
          <w:i/>
          <w:sz w:val="24"/>
          <w:szCs w:val="24"/>
        </w:rPr>
      </w:pPr>
      <w:r w:rsidRPr="00B65869">
        <w:rPr>
          <w:rFonts w:ascii="Arial" w:hAnsi="Arial" w:cs="Arial"/>
          <w:i/>
          <w:sz w:val="24"/>
          <w:szCs w:val="24"/>
        </w:rPr>
        <w:tab/>
        <w:t>(</w:t>
      </w:r>
      <w:proofErr w:type="spellStart"/>
      <w:r w:rsidRPr="00B65869">
        <w:rPr>
          <w:rFonts w:ascii="Arial" w:hAnsi="Arial" w:cs="Arial"/>
          <w:i/>
          <w:sz w:val="24"/>
          <w:szCs w:val="24"/>
        </w:rPr>
        <w:t>i</w:t>
      </w:r>
      <w:proofErr w:type="spellEnd"/>
      <w:r w:rsidRPr="00B65869">
        <w:rPr>
          <w:rFonts w:ascii="Arial" w:hAnsi="Arial" w:cs="Arial"/>
          <w:i/>
          <w:sz w:val="24"/>
          <w:szCs w:val="24"/>
        </w:rPr>
        <w:t>)</w:t>
      </w:r>
      <w:r w:rsidRPr="00B65869">
        <w:rPr>
          <w:rFonts w:ascii="Arial" w:hAnsi="Arial" w:cs="Arial"/>
          <w:i/>
          <w:sz w:val="24"/>
          <w:szCs w:val="24"/>
        </w:rPr>
        <w:tab/>
        <w:t>…</w:t>
      </w:r>
    </w:p>
    <w:p w:rsidR="00B65869" w:rsidRDefault="00657D3E" w:rsidP="00B65869">
      <w:pPr>
        <w:spacing w:line="360" w:lineRule="auto"/>
        <w:ind w:left="2880" w:hanging="720"/>
        <w:jc w:val="both"/>
        <w:rPr>
          <w:rFonts w:ascii="Arial" w:hAnsi="Arial" w:cs="Arial"/>
          <w:i/>
          <w:sz w:val="24"/>
          <w:szCs w:val="24"/>
        </w:rPr>
      </w:pPr>
      <w:r w:rsidRPr="00B65869">
        <w:rPr>
          <w:rFonts w:ascii="Arial" w:hAnsi="Arial" w:cs="Arial"/>
          <w:i/>
          <w:sz w:val="24"/>
          <w:szCs w:val="24"/>
        </w:rPr>
        <w:t>(ii)</w:t>
      </w:r>
      <w:r w:rsidRPr="00B65869">
        <w:rPr>
          <w:rFonts w:ascii="Arial" w:hAnsi="Arial" w:cs="Arial"/>
          <w:i/>
          <w:sz w:val="24"/>
          <w:szCs w:val="24"/>
        </w:rPr>
        <w:tab/>
        <w:t>instituted on action against the Fund in a Magistrate’s court may withdraw the action and, within 60 days of such withdrawal, institute an action in a High Court with appropriate jurisdiction over the matter:  Provided that no special plea in respect of prescription may be raised during that period.”</w:t>
      </w:r>
    </w:p>
    <w:p w:rsidR="00B65869" w:rsidRDefault="00197D2D" w:rsidP="007846C6">
      <w:pPr>
        <w:spacing w:line="360" w:lineRule="auto"/>
        <w:ind w:left="720" w:hanging="720"/>
        <w:jc w:val="both"/>
        <w:rPr>
          <w:rFonts w:ascii="Arial" w:hAnsi="Arial" w:cs="Arial"/>
          <w:sz w:val="24"/>
          <w:szCs w:val="24"/>
        </w:rPr>
      </w:pPr>
      <w:r>
        <w:rPr>
          <w:rFonts w:ascii="Arial" w:hAnsi="Arial" w:cs="Arial"/>
          <w:sz w:val="24"/>
          <w:szCs w:val="24"/>
        </w:rPr>
        <w:t>[8</w:t>
      </w:r>
      <w:r w:rsidR="00012F52">
        <w:rPr>
          <w:rFonts w:ascii="Arial" w:hAnsi="Arial" w:cs="Arial"/>
          <w:sz w:val="24"/>
          <w:szCs w:val="24"/>
        </w:rPr>
        <w:t>]</w:t>
      </w:r>
      <w:r w:rsidR="00012F52">
        <w:rPr>
          <w:rFonts w:ascii="Arial" w:hAnsi="Arial" w:cs="Arial"/>
          <w:sz w:val="24"/>
          <w:szCs w:val="24"/>
        </w:rPr>
        <w:tab/>
      </w:r>
      <w:r w:rsidR="00B65869">
        <w:rPr>
          <w:rFonts w:ascii="Arial" w:hAnsi="Arial" w:cs="Arial"/>
          <w:sz w:val="24"/>
          <w:szCs w:val="24"/>
        </w:rPr>
        <w:t>The “third party” in the Transitional Act is defined as a person who has a right to claim compensation fro</w:t>
      </w:r>
      <w:r w:rsidR="007846C6">
        <w:rPr>
          <w:rFonts w:ascii="Arial" w:hAnsi="Arial" w:cs="Arial"/>
          <w:sz w:val="24"/>
          <w:szCs w:val="24"/>
        </w:rPr>
        <w:t xml:space="preserve">m the RAF </w:t>
      </w:r>
      <w:r w:rsidR="00B65869">
        <w:rPr>
          <w:rFonts w:ascii="Arial" w:hAnsi="Arial" w:cs="Arial"/>
          <w:sz w:val="24"/>
          <w:szCs w:val="24"/>
        </w:rPr>
        <w:t xml:space="preserve">in terms of section 17 of the Old Act whose claim is subject to the limitations imposed by section 18(1) or (2) </w:t>
      </w:r>
      <w:r w:rsidR="007846C6">
        <w:rPr>
          <w:rFonts w:ascii="Arial" w:hAnsi="Arial" w:cs="Arial"/>
          <w:sz w:val="24"/>
          <w:szCs w:val="24"/>
        </w:rPr>
        <w:t>of that Act, and whose claim had</w:t>
      </w:r>
      <w:r w:rsidR="00B65869">
        <w:rPr>
          <w:rFonts w:ascii="Arial" w:hAnsi="Arial" w:cs="Arial"/>
          <w:sz w:val="24"/>
          <w:szCs w:val="24"/>
        </w:rPr>
        <w:t xml:space="preserve"> upon this Act taking effect, not prescribed or been finally determined by settlement or judgment.</w:t>
      </w:r>
      <w:r w:rsidR="007846C6">
        <w:rPr>
          <w:rFonts w:ascii="Arial" w:hAnsi="Arial" w:cs="Arial"/>
          <w:sz w:val="24"/>
          <w:szCs w:val="24"/>
        </w:rPr>
        <w:t xml:space="preserve">  </w:t>
      </w:r>
      <w:r w:rsidR="00012F52">
        <w:rPr>
          <w:rFonts w:ascii="Arial" w:hAnsi="Arial" w:cs="Arial"/>
          <w:sz w:val="24"/>
          <w:szCs w:val="24"/>
        </w:rPr>
        <w:t>It can be safely accept</w:t>
      </w:r>
      <w:r w:rsidR="00B65869">
        <w:rPr>
          <w:rFonts w:ascii="Arial" w:hAnsi="Arial" w:cs="Arial"/>
          <w:sz w:val="24"/>
          <w:szCs w:val="24"/>
        </w:rPr>
        <w:t xml:space="preserve">ed that any reference to the “third party” in the Transitional Act refers </w:t>
      </w:r>
      <w:r w:rsidR="00012F52">
        <w:rPr>
          <w:rFonts w:ascii="Arial" w:hAnsi="Arial" w:cs="Arial"/>
          <w:sz w:val="24"/>
          <w:szCs w:val="24"/>
        </w:rPr>
        <w:t xml:space="preserve">to Ms Buthelezi </w:t>
      </w:r>
      <w:r w:rsidR="00B65869">
        <w:rPr>
          <w:rFonts w:ascii="Arial" w:hAnsi="Arial" w:cs="Arial"/>
          <w:sz w:val="24"/>
          <w:szCs w:val="24"/>
        </w:rPr>
        <w:t>in this matter.</w:t>
      </w:r>
    </w:p>
    <w:p w:rsidR="00657D3E" w:rsidRDefault="00197D2D" w:rsidP="007846C6">
      <w:pPr>
        <w:spacing w:line="360" w:lineRule="auto"/>
        <w:ind w:left="720" w:hanging="720"/>
        <w:jc w:val="both"/>
        <w:rPr>
          <w:rFonts w:ascii="Arial" w:hAnsi="Arial" w:cs="Arial"/>
          <w:sz w:val="24"/>
          <w:szCs w:val="24"/>
        </w:rPr>
      </w:pPr>
      <w:r>
        <w:rPr>
          <w:rFonts w:ascii="Arial" w:hAnsi="Arial" w:cs="Arial"/>
          <w:sz w:val="24"/>
          <w:szCs w:val="24"/>
        </w:rPr>
        <w:t>[9</w:t>
      </w:r>
      <w:r w:rsidR="00657D3E">
        <w:rPr>
          <w:rFonts w:ascii="Arial" w:hAnsi="Arial" w:cs="Arial"/>
          <w:sz w:val="24"/>
          <w:szCs w:val="24"/>
        </w:rPr>
        <w:t>]</w:t>
      </w:r>
      <w:r w:rsidR="00B65869">
        <w:rPr>
          <w:rFonts w:ascii="Arial" w:hAnsi="Arial" w:cs="Arial"/>
          <w:sz w:val="24"/>
          <w:szCs w:val="24"/>
        </w:rPr>
        <w:tab/>
        <w:t xml:space="preserve">Ms Buthelezi </w:t>
      </w:r>
      <w:r w:rsidR="007846C6">
        <w:rPr>
          <w:rFonts w:ascii="Arial" w:hAnsi="Arial" w:cs="Arial"/>
          <w:sz w:val="24"/>
          <w:szCs w:val="24"/>
        </w:rPr>
        <w:t xml:space="preserve">issued summons in the High Court, Gauteng Division, Pretoria on 8 December 2014 and she </w:t>
      </w:r>
      <w:r w:rsidR="00B65869">
        <w:rPr>
          <w:rFonts w:ascii="Arial" w:hAnsi="Arial" w:cs="Arial"/>
          <w:sz w:val="24"/>
          <w:szCs w:val="24"/>
        </w:rPr>
        <w:t>withdrew the claim in the Magistrate’s Court o</w:t>
      </w:r>
      <w:r w:rsidR="00012F52">
        <w:rPr>
          <w:rFonts w:ascii="Arial" w:hAnsi="Arial" w:cs="Arial"/>
          <w:sz w:val="24"/>
          <w:szCs w:val="24"/>
        </w:rPr>
        <w:t xml:space="preserve">n 5 January 2016.  </w:t>
      </w:r>
    </w:p>
    <w:p w:rsidR="00CE33AA" w:rsidRPr="00012F52" w:rsidRDefault="00012F52" w:rsidP="00CE33AA">
      <w:pPr>
        <w:spacing w:line="360" w:lineRule="auto"/>
        <w:ind w:left="720" w:hanging="720"/>
        <w:jc w:val="both"/>
        <w:rPr>
          <w:rFonts w:ascii="Arial" w:hAnsi="Arial" w:cs="Arial"/>
          <w:i/>
          <w:sz w:val="24"/>
          <w:szCs w:val="24"/>
          <w:u w:val="single"/>
        </w:rPr>
      </w:pPr>
      <w:r>
        <w:rPr>
          <w:rFonts w:ascii="Arial" w:hAnsi="Arial" w:cs="Arial"/>
          <w:sz w:val="24"/>
          <w:szCs w:val="24"/>
        </w:rPr>
        <w:tab/>
      </w:r>
      <w:r>
        <w:rPr>
          <w:rFonts w:ascii="Arial" w:hAnsi="Arial" w:cs="Arial"/>
          <w:sz w:val="24"/>
          <w:szCs w:val="24"/>
          <w:u w:val="single"/>
        </w:rPr>
        <w:t xml:space="preserve">The judgment of the court </w:t>
      </w:r>
      <w:r>
        <w:rPr>
          <w:rFonts w:ascii="Arial" w:hAnsi="Arial" w:cs="Arial"/>
          <w:i/>
          <w:sz w:val="24"/>
          <w:szCs w:val="24"/>
          <w:u w:val="single"/>
        </w:rPr>
        <w:t>a quo</w:t>
      </w:r>
    </w:p>
    <w:p w:rsidR="00CE33AA" w:rsidRPr="007B7C85" w:rsidRDefault="00197D2D" w:rsidP="00CE33AA">
      <w:pPr>
        <w:spacing w:line="360" w:lineRule="auto"/>
        <w:ind w:left="720" w:hanging="720"/>
        <w:jc w:val="both"/>
        <w:rPr>
          <w:rFonts w:ascii="Arial" w:hAnsi="Arial" w:cs="Arial"/>
          <w:i/>
          <w:sz w:val="24"/>
          <w:szCs w:val="24"/>
        </w:rPr>
      </w:pPr>
      <w:r>
        <w:rPr>
          <w:rFonts w:ascii="Arial" w:hAnsi="Arial" w:cs="Arial"/>
          <w:sz w:val="24"/>
          <w:szCs w:val="24"/>
        </w:rPr>
        <w:lastRenderedPageBreak/>
        <w:t>[10</w:t>
      </w:r>
      <w:r w:rsidR="00CE33AA">
        <w:rPr>
          <w:rFonts w:ascii="Arial" w:hAnsi="Arial" w:cs="Arial"/>
          <w:sz w:val="24"/>
          <w:szCs w:val="24"/>
        </w:rPr>
        <w:t>]</w:t>
      </w:r>
      <w:r w:rsidR="00B65869">
        <w:rPr>
          <w:rFonts w:ascii="Arial" w:hAnsi="Arial" w:cs="Arial"/>
          <w:sz w:val="24"/>
          <w:szCs w:val="24"/>
        </w:rPr>
        <w:tab/>
        <w:t xml:space="preserve">The court </w:t>
      </w:r>
      <w:r w:rsidR="00B65869">
        <w:rPr>
          <w:rFonts w:ascii="Arial" w:hAnsi="Arial" w:cs="Arial"/>
          <w:i/>
          <w:sz w:val="24"/>
          <w:szCs w:val="24"/>
        </w:rPr>
        <w:t xml:space="preserve">a quo </w:t>
      </w:r>
      <w:r w:rsidR="00B65869">
        <w:rPr>
          <w:rFonts w:ascii="Arial" w:hAnsi="Arial" w:cs="Arial"/>
          <w:sz w:val="24"/>
          <w:szCs w:val="24"/>
        </w:rPr>
        <w:t xml:space="preserve">defined the issue as to whether Ms Buthelezi’s claim against the RAF has prescribed for non-compliance with the Transitional Act.  The court </w:t>
      </w:r>
      <w:r w:rsidR="00B65869">
        <w:rPr>
          <w:rFonts w:ascii="Arial" w:hAnsi="Arial" w:cs="Arial"/>
          <w:i/>
          <w:sz w:val="24"/>
          <w:szCs w:val="24"/>
        </w:rPr>
        <w:t xml:space="preserve">a quo </w:t>
      </w:r>
      <w:r w:rsidR="00B65869">
        <w:rPr>
          <w:rFonts w:ascii="Arial" w:hAnsi="Arial" w:cs="Arial"/>
          <w:sz w:val="24"/>
          <w:szCs w:val="24"/>
        </w:rPr>
        <w:t xml:space="preserve">found that </w:t>
      </w:r>
      <w:r w:rsidR="00B65869" w:rsidRPr="007B7C85">
        <w:rPr>
          <w:rFonts w:ascii="Arial" w:hAnsi="Arial" w:cs="Arial"/>
          <w:i/>
          <w:sz w:val="24"/>
          <w:szCs w:val="24"/>
        </w:rPr>
        <w:t>“section 2(1) of the Transitional Act re</w:t>
      </w:r>
      <w:r w:rsidR="003767C1">
        <w:rPr>
          <w:rFonts w:ascii="Arial" w:hAnsi="Arial" w:cs="Arial"/>
          <w:i/>
          <w:sz w:val="24"/>
          <w:szCs w:val="24"/>
        </w:rPr>
        <w:t>q</w:t>
      </w:r>
      <w:r w:rsidR="007846C6">
        <w:rPr>
          <w:rFonts w:ascii="Arial" w:hAnsi="Arial" w:cs="Arial"/>
          <w:i/>
          <w:sz w:val="24"/>
          <w:szCs w:val="24"/>
        </w:rPr>
        <w:t xml:space="preserve">uires a third party to express </w:t>
      </w:r>
      <w:r w:rsidR="003767C1">
        <w:rPr>
          <w:rFonts w:ascii="Arial" w:hAnsi="Arial" w:cs="Arial"/>
          <w:i/>
          <w:sz w:val="24"/>
          <w:szCs w:val="24"/>
        </w:rPr>
        <w:t xml:space="preserve">(sic) </w:t>
      </w:r>
      <w:r w:rsidR="00B65869" w:rsidRPr="007B7C85">
        <w:rPr>
          <w:rFonts w:ascii="Arial" w:hAnsi="Arial" w:cs="Arial"/>
          <w:i/>
          <w:sz w:val="24"/>
          <w:szCs w:val="24"/>
        </w:rPr>
        <w:t xml:space="preserve">and unconditionally indicate to the Fund within one year of the Act taking effect whether he/she wants his/her claim to remain with the Old Act or not, failing which his/her claim will automatically be subject to the Transitional Act.  In the current matter the Plaintiff failed to express and unconditionally indicate to the Fund </w:t>
      </w:r>
      <w:r w:rsidR="007B7C85" w:rsidRPr="007B7C85">
        <w:rPr>
          <w:rFonts w:ascii="Arial" w:hAnsi="Arial" w:cs="Arial"/>
          <w:i/>
          <w:sz w:val="24"/>
          <w:szCs w:val="24"/>
        </w:rPr>
        <w:t xml:space="preserve">what are her wishes meaning that her claim automatically became the subject of the Transitional Act.  As a </w:t>
      </w:r>
      <w:proofErr w:type="gramStart"/>
      <w:r w:rsidR="007B7C85" w:rsidRPr="007B7C85">
        <w:rPr>
          <w:rFonts w:ascii="Arial" w:hAnsi="Arial" w:cs="Arial"/>
          <w:i/>
          <w:sz w:val="24"/>
          <w:szCs w:val="24"/>
        </w:rPr>
        <w:t>consequence</w:t>
      </w:r>
      <w:proofErr w:type="gramEnd"/>
      <w:r w:rsidR="007B7C85" w:rsidRPr="007B7C85">
        <w:rPr>
          <w:rFonts w:ascii="Arial" w:hAnsi="Arial" w:cs="Arial"/>
          <w:i/>
          <w:sz w:val="24"/>
          <w:szCs w:val="24"/>
        </w:rPr>
        <w:t xml:space="preserve"> section 2(1) gives the Third parties option to choose whether their claim should be dealt with in terms of the Road Accident Fund Act or in terms of the Transitional Act, subject to the Amendment Act.</w:t>
      </w:r>
    </w:p>
    <w:p w:rsidR="00CE33AA" w:rsidRDefault="007B7C85" w:rsidP="00CE33AA">
      <w:pPr>
        <w:spacing w:line="360" w:lineRule="auto"/>
        <w:ind w:left="720" w:hanging="720"/>
        <w:jc w:val="both"/>
        <w:rPr>
          <w:rFonts w:ascii="Arial" w:hAnsi="Arial" w:cs="Arial"/>
          <w:sz w:val="24"/>
          <w:szCs w:val="24"/>
        </w:rPr>
      </w:pPr>
      <w:r w:rsidRPr="007B7C85">
        <w:rPr>
          <w:rFonts w:ascii="Arial" w:hAnsi="Arial" w:cs="Arial"/>
          <w:i/>
          <w:sz w:val="24"/>
          <w:szCs w:val="24"/>
        </w:rPr>
        <w:tab/>
        <w:t>Section 2(1) spells out the duration of operation of the Transitional Act which provides for a period of one year.  The Act came into effect on the 13</w:t>
      </w:r>
      <w:r w:rsidRPr="007B7C85">
        <w:rPr>
          <w:rFonts w:ascii="Arial" w:hAnsi="Arial" w:cs="Arial"/>
          <w:i/>
          <w:sz w:val="24"/>
          <w:szCs w:val="24"/>
          <w:vertAlign w:val="superscript"/>
        </w:rPr>
        <w:t>th</w:t>
      </w:r>
      <w:r w:rsidRPr="007B7C85">
        <w:rPr>
          <w:rFonts w:ascii="Arial" w:hAnsi="Arial" w:cs="Arial"/>
          <w:i/>
          <w:sz w:val="24"/>
          <w:szCs w:val="24"/>
        </w:rPr>
        <w:t xml:space="preserve"> February 2013 and ceased to operate by midnight on the 12</w:t>
      </w:r>
      <w:r w:rsidRPr="007B7C85">
        <w:rPr>
          <w:rFonts w:ascii="Arial" w:hAnsi="Arial" w:cs="Arial"/>
          <w:i/>
          <w:sz w:val="24"/>
          <w:szCs w:val="24"/>
          <w:vertAlign w:val="superscript"/>
        </w:rPr>
        <w:t>th</w:t>
      </w:r>
      <w:r w:rsidRPr="007B7C85">
        <w:rPr>
          <w:rFonts w:ascii="Arial" w:hAnsi="Arial" w:cs="Arial"/>
          <w:i/>
          <w:sz w:val="24"/>
          <w:szCs w:val="24"/>
        </w:rPr>
        <w:t xml:space="preserve"> February 2014.  Meaning that the plaintiff should have issued her summons against the Defendant on or before the 12</w:t>
      </w:r>
      <w:r w:rsidRPr="007B7C85">
        <w:rPr>
          <w:rFonts w:ascii="Arial" w:hAnsi="Arial" w:cs="Arial"/>
          <w:i/>
          <w:sz w:val="24"/>
          <w:szCs w:val="24"/>
          <w:vertAlign w:val="superscript"/>
        </w:rPr>
        <w:t>th</w:t>
      </w:r>
      <w:r w:rsidRPr="007B7C85">
        <w:rPr>
          <w:rFonts w:ascii="Arial" w:hAnsi="Arial" w:cs="Arial"/>
          <w:i/>
          <w:sz w:val="24"/>
          <w:szCs w:val="24"/>
        </w:rPr>
        <w:t xml:space="preserve"> February 2014.  The Plaintiff failed to comply with the provisions of section 2(1) of the Transitional Act.</w:t>
      </w:r>
      <w:r w:rsidR="00012F52">
        <w:rPr>
          <w:rFonts w:ascii="Arial" w:hAnsi="Arial" w:cs="Arial"/>
          <w:i/>
          <w:sz w:val="24"/>
          <w:szCs w:val="24"/>
        </w:rPr>
        <w:t>”</w:t>
      </w:r>
      <w:r w:rsidR="00012F52">
        <w:rPr>
          <w:rFonts w:ascii="Arial" w:hAnsi="Arial" w:cs="Arial"/>
          <w:sz w:val="24"/>
          <w:szCs w:val="24"/>
        </w:rPr>
        <w:t xml:space="preserve"> </w:t>
      </w:r>
    </w:p>
    <w:p w:rsidR="00CE33AA" w:rsidRDefault="00197D2D" w:rsidP="00CE33AA">
      <w:pPr>
        <w:spacing w:line="360" w:lineRule="auto"/>
        <w:ind w:left="720" w:hanging="720"/>
        <w:jc w:val="both"/>
        <w:rPr>
          <w:rFonts w:ascii="Arial" w:hAnsi="Arial" w:cs="Arial"/>
          <w:sz w:val="24"/>
          <w:szCs w:val="24"/>
        </w:rPr>
      </w:pPr>
      <w:r>
        <w:rPr>
          <w:rFonts w:ascii="Arial" w:hAnsi="Arial" w:cs="Arial"/>
          <w:sz w:val="24"/>
          <w:szCs w:val="24"/>
        </w:rPr>
        <w:t>[11</w:t>
      </w:r>
      <w:r w:rsidR="00CE33AA">
        <w:rPr>
          <w:rFonts w:ascii="Arial" w:hAnsi="Arial" w:cs="Arial"/>
          <w:sz w:val="24"/>
          <w:szCs w:val="24"/>
        </w:rPr>
        <w:t>]</w:t>
      </w:r>
      <w:r w:rsidR="007B7C85">
        <w:rPr>
          <w:rFonts w:ascii="Arial" w:hAnsi="Arial" w:cs="Arial"/>
          <w:sz w:val="24"/>
          <w:szCs w:val="24"/>
        </w:rPr>
        <w:tab/>
        <w:t xml:space="preserve">The court </w:t>
      </w:r>
      <w:r w:rsidR="007B7C85">
        <w:rPr>
          <w:rFonts w:ascii="Arial" w:hAnsi="Arial" w:cs="Arial"/>
          <w:i/>
          <w:sz w:val="24"/>
          <w:szCs w:val="24"/>
        </w:rPr>
        <w:t xml:space="preserve">a quo </w:t>
      </w:r>
      <w:r w:rsidR="007B7C85">
        <w:rPr>
          <w:rFonts w:ascii="Arial" w:hAnsi="Arial" w:cs="Arial"/>
          <w:sz w:val="24"/>
          <w:szCs w:val="24"/>
        </w:rPr>
        <w:t xml:space="preserve">also distinguished this matter from the </w:t>
      </w:r>
      <w:proofErr w:type="spellStart"/>
      <w:r w:rsidR="007B7C85" w:rsidRPr="00F93732">
        <w:rPr>
          <w:rFonts w:ascii="Arial" w:hAnsi="Arial" w:cs="Arial"/>
          <w:i/>
          <w:sz w:val="24"/>
          <w:szCs w:val="24"/>
        </w:rPr>
        <w:t>Klaas</w:t>
      </w:r>
      <w:proofErr w:type="spellEnd"/>
      <w:r w:rsidR="007B7C85" w:rsidRPr="00F93732">
        <w:rPr>
          <w:rFonts w:ascii="Arial" w:hAnsi="Arial" w:cs="Arial"/>
          <w:i/>
          <w:sz w:val="24"/>
          <w:szCs w:val="24"/>
        </w:rPr>
        <w:t xml:space="preserve"> v Road Accident Fund </w:t>
      </w:r>
      <w:r w:rsidR="007B7C85" w:rsidRPr="00F93732">
        <w:rPr>
          <w:rFonts w:ascii="Arial" w:hAnsi="Arial" w:cs="Arial"/>
          <w:sz w:val="24"/>
          <w:szCs w:val="24"/>
        </w:rPr>
        <w:t xml:space="preserve">case number 25693/2013 </w:t>
      </w:r>
      <w:r w:rsidR="007846C6" w:rsidRPr="00F93732">
        <w:rPr>
          <w:rFonts w:ascii="Arial" w:hAnsi="Arial" w:cs="Arial"/>
          <w:sz w:val="24"/>
          <w:szCs w:val="24"/>
        </w:rPr>
        <w:t xml:space="preserve">matter </w:t>
      </w:r>
      <w:r w:rsidR="007B7C85" w:rsidRPr="00F93732">
        <w:rPr>
          <w:rFonts w:ascii="Arial" w:hAnsi="Arial" w:cs="Arial"/>
          <w:sz w:val="24"/>
          <w:szCs w:val="24"/>
        </w:rPr>
        <w:t>decided in the Gauteng Hig</w:t>
      </w:r>
      <w:r w:rsidR="007B7C85">
        <w:rPr>
          <w:rFonts w:ascii="Arial" w:hAnsi="Arial" w:cs="Arial"/>
          <w:sz w:val="24"/>
          <w:szCs w:val="24"/>
        </w:rPr>
        <w:t xml:space="preserve">h Court Pretoria by </w:t>
      </w:r>
      <w:proofErr w:type="spellStart"/>
      <w:r w:rsidR="007B7C85">
        <w:rPr>
          <w:rFonts w:ascii="Arial" w:hAnsi="Arial" w:cs="Arial"/>
          <w:sz w:val="24"/>
          <w:szCs w:val="24"/>
        </w:rPr>
        <w:t>Manamela</w:t>
      </w:r>
      <w:proofErr w:type="spellEnd"/>
      <w:r w:rsidR="007B7C85">
        <w:rPr>
          <w:rFonts w:ascii="Arial" w:hAnsi="Arial" w:cs="Arial"/>
          <w:sz w:val="24"/>
          <w:szCs w:val="24"/>
        </w:rPr>
        <w:t xml:space="preserve"> AJ.  The court made the distinction on the following basis:  </w:t>
      </w:r>
    </w:p>
    <w:p w:rsidR="007B7C85" w:rsidRDefault="007B7C85" w:rsidP="007B7C85">
      <w:pPr>
        <w:spacing w:line="360" w:lineRule="auto"/>
        <w:ind w:left="1440"/>
        <w:jc w:val="both"/>
        <w:rPr>
          <w:rFonts w:ascii="Arial" w:hAnsi="Arial" w:cs="Arial"/>
          <w:i/>
          <w:sz w:val="24"/>
          <w:szCs w:val="24"/>
        </w:rPr>
      </w:pPr>
      <w:r w:rsidRPr="007B7C85">
        <w:rPr>
          <w:rFonts w:ascii="Arial" w:hAnsi="Arial" w:cs="Arial"/>
          <w:i/>
          <w:sz w:val="24"/>
          <w:szCs w:val="24"/>
        </w:rPr>
        <w:t xml:space="preserve">“A distinction ought to be made between the current matter and the </w:t>
      </w:r>
      <w:proofErr w:type="spellStart"/>
      <w:r w:rsidRPr="007B7C85">
        <w:rPr>
          <w:rFonts w:ascii="Arial" w:hAnsi="Arial" w:cs="Arial"/>
          <w:i/>
          <w:sz w:val="24"/>
          <w:szCs w:val="24"/>
        </w:rPr>
        <w:t>Klaas</w:t>
      </w:r>
      <w:proofErr w:type="spellEnd"/>
      <w:r w:rsidRPr="007B7C85">
        <w:rPr>
          <w:rFonts w:ascii="Arial" w:hAnsi="Arial" w:cs="Arial"/>
          <w:i/>
          <w:sz w:val="24"/>
          <w:szCs w:val="24"/>
        </w:rPr>
        <w:t xml:space="preserve"> matter.  Summons in the </w:t>
      </w:r>
      <w:proofErr w:type="spellStart"/>
      <w:r w:rsidRPr="007B7C85">
        <w:rPr>
          <w:rFonts w:ascii="Arial" w:hAnsi="Arial" w:cs="Arial"/>
          <w:i/>
          <w:sz w:val="24"/>
          <w:szCs w:val="24"/>
        </w:rPr>
        <w:t>Klaas</w:t>
      </w:r>
      <w:proofErr w:type="spellEnd"/>
      <w:r w:rsidRPr="007B7C85">
        <w:rPr>
          <w:rFonts w:ascii="Arial" w:hAnsi="Arial" w:cs="Arial"/>
          <w:i/>
          <w:sz w:val="24"/>
          <w:szCs w:val="24"/>
        </w:rPr>
        <w:t xml:space="preserve"> matter was issued i.e. in the High Court on the 30</w:t>
      </w:r>
      <w:r w:rsidRPr="007B7C85">
        <w:rPr>
          <w:rFonts w:ascii="Arial" w:hAnsi="Arial" w:cs="Arial"/>
          <w:i/>
          <w:sz w:val="24"/>
          <w:szCs w:val="24"/>
          <w:vertAlign w:val="superscript"/>
        </w:rPr>
        <w:t>th</w:t>
      </w:r>
      <w:r w:rsidRPr="007B7C85">
        <w:rPr>
          <w:rFonts w:ascii="Arial" w:hAnsi="Arial" w:cs="Arial"/>
          <w:i/>
          <w:sz w:val="24"/>
          <w:szCs w:val="24"/>
        </w:rPr>
        <w:t xml:space="preserve"> April 2013 and that is within the period of a year from the time the Transitional Act took effect.  In the current matter summons was issued on the 8</w:t>
      </w:r>
      <w:r w:rsidRPr="007B7C85">
        <w:rPr>
          <w:rFonts w:ascii="Arial" w:hAnsi="Arial" w:cs="Arial"/>
          <w:i/>
          <w:sz w:val="24"/>
          <w:szCs w:val="24"/>
          <w:vertAlign w:val="superscript"/>
        </w:rPr>
        <w:t>th</w:t>
      </w:r>
      <w:r w:rsidRPr="007B7C85">
        <w:rPr>
          <w:rFonts w:ascii="Arial" w:hAnsi="Arial" w:cs="Arial"/>
          <w:i/>
          <w:sz w:val="24"/>
          <w:szCs w:val="24"/>
        </w:rPr>
        <w:t xml:space="preserve"> December 2014 which is outside the period of one year of the Transitional Act taking effect.”</w:t>
      </w:r>
    </w:p>
    <w:p w:rsidR="007B7C85" w:rsidRDefault="00197D2D" w:rsidP="003767C1">
      <w:pPr>
        <w:spacing w:line="360" w:lineRule="auto"/>
        <w:ind w:left="720" w:hanging="720"/>
        <w:jc w:val="both"/>
        <w:rPr>
          <w:rFonts w:ascii="Arial" w:hAnsi="Arial" w:cs="Arial"/>
          <w:sz w:val="24"/>
          <w:szCs w:val="24"/>
        </w:rPr>
      </w:pPr>
      <w:r>
        <w:rPr>
          <w:rFonts w:ascii="Arial" w:hAnsi="Arial" w:cs="Arial"/>
          <w:sz w:val="24"/>
          <w:szCs w:val="24"/>
        </w:rPr>
        <w:t>[12</w:t>
      </w:r>
      <w:r w:rsidR="007B7C85">
        <w:rPr>
          <w:rFonts w:ascii="Arial" w:hAnsi="Arial" w:cs="Arial"/>
          <w:sz w:val="24"/>
          <w:szCs w:val="24"/>
        </w:rPr>
        <w:t>]</w:t>
      </w:r>
      <w:r w:rsidR="00D70C4E">
        <w:rPr>
          <w:rFonts w:ascii="Arial" w:hAnsi="Arial" w:cs="Arial"/>
          <w:sz w:val="24"/>
          <w:szCs w:val="24"/>
        </w:rPr>
        <w:tab/>
        <w:t>The court thus found that the claim fell under the Transitional Act and s2(1) of the Act spelt out that the duration of the Act was for a p</w:t>
      </w:r>
      <w:r w:rsidR="003767C1">
        <w:rPr>
          <w:rFonts w:ascii="Arial" w:hAnsi="Arial" w:cs="Arial"/>
          <w:sz w:val="24"/>
          <w:szCs w:val="24"/>
        </w:rPr>
        <w:t xml:space="preserve">eriod of one year only resulting in </w:t>
      </w:r>
      <w:r w:rsidR="00D70C4E">
        <w:rPr>
          <w:rFonts w:ascii="Arial" w:hAnsi="Arial" w:cs="Arial"/>
          <w:sz w:val="24"/>
          <w:szCs w:val="24"/>
        </w:rPr>
        <w:t>Ms Buthelezi</w:t>
      </w:r>
      <w:r w:rsidR="003767C1">
        <w:rPr>
          <w:rFonts w:ascii="Arial" w:hAnsi="Arial" w:cs="Arial"/>
          <w:sz w:val="24"/>
          <w:szCs w:val="24"/>
        </w:rPr>
        <w:t>’s claim to have prescribed as she did not issue the summons against RAF before 12 February 2014.</w:t>
      </w:r>
    </w:p>
    <w:p w:rsidR="00D70C4E" w:rsidRPr="00D70C4E" w:rsidRDefault="00D70C4E" w:rsidP="003767C1">
      <w:pPr>
        <w:spacing w:line="360" w:lineRule="auto"/>
        <w:ind w:firstLine="720"/>
        <w:jc w:val="both"/>
        <w:rPr>
          <w:rFonts w:ascii="Arial" w:hAnsi="Arial" w:cs="Arial"/>
          <w:sz w:val="24"/>
          <w:szCs w:val="24"/>
          <w:u w:val="single"/>
        </w:rPr>
      </w:pPr>
      <w:r>
        <w:rPr>
          <w:rFonts w:ascii="Arial" w:hAnsi="Arial" w:cs="Arial"/>
          <w:sz w:val="24"/>
          <w:szCs w:val="24"/>
          <w:u w:val="single"/>
        </w:rPr>
        <w:lastRenderedPageBreak/>
        <w:t>The argument on behalf of the RAF</w:t>
      </w:r>
    </w:p>
    <w:p w:rsidR="007B7C85" w:rsidRDefault="00197D2D" w:rsidP="00D70C4E">
      <w:pPr>
        <w:spacing w:line="360" w:lineRule="auto"/>
        <w:ind w:left="720" w:hanging="720"/>
        <w:jc w:val="both"/>
        <w:rPr>
          <w:rFonts w:ascii="Arial" w:hAnsi="Arial" w:cs="Arial"/>
          <w:sz w:val="24"/>
          <w:szCs w:val="24"/>
        </w:rPr>
      </w:pPr>
      <w:r>
        <w:rPr>
          <w:rFonts w:ascii="Arial" w:hAnsi="Arial" w:cs="Arial"/>
          <w:sz w:val="24"/>
          <w:szCs w:val="24"/>
        </w:rPr>
        <w:t>[13</w:t>
      </w:r>
      <w:r w:rsidR="007B7C85">
        <w:rPr>
          <w:rFonts w:ascii="Arial" w:hAnsi="Arial" w:cs="Arial"/>
          <w:sz w:val="24"/>
          <w:szCs w:val="24"/>
        </w:rPr>
        <w:t>]</w:t>
      </w:r>
      <w:r w:rsidR="00D70C4E">
        <w:rPr>
          <w:rFonts w:ascii="Arial" w:hAnsi="Arial" w:cs="Arial"/>
          <w:sz w:val="24"/>
          <w:szCs w:val="24"/>
        </w:rPr>
        <w:tab/>
        <w:t xml:space="preserve">Mr Naidoo appeared on behalf of the RAF.  He had filed heads at 18:00 the day before the hearing of the appeal.  There was no application for condonation for the late filing of the heads of argument.  The reason for the late filing of the heads coupled with the fact that no condonation was sought </w:t>
      </w:r>
      <w:r w:rsidR="003767C1">
        <w:rPr>
          <w:rFonts w:ascii="Arial" w:hAnsi="Arial" w:cs="Arial"/>
          <w:sz w:val="24"/>
          <w:szCs w:val="24"/>
        </w:rPr>
        <w:t>is frowned upon by this C</w:t>
      </w:r>
      <w:r w:rsidR="00D70C4E">
        <w:rPr>
          <w:rFonts w:ascii="Arial" w:hAnsi="Arial" w:cs="Arial"/>
          <w:sz w:val="24"/>
          <w:szCs w:val="24"/>
        </w:rPr>
        <w:t>ourt.  Oral argument was permitted, but only to expedite the appeal that had been postponed twice before.  However, this Court warns that heads of argument filed late can be disregarded t</w:t>
      </w:r>
      <w:r w:rsidR="007846C6">
        <w:rPr>
          <w:rFonts w:ascii="Arial" w:hAnsi="Arial" w:cs="Arial"/>
          <w:sz w:val="24"/>
          <w:szCs w:val="24"/>
        </w:rPr>
        <w:t xml:space="preserve">o prevent such further conduct </w:t>
      </w:r>
      <w:r w:rsidR="003767C1">
        <w:rPr>
          <w:rFonts w:ascii="Arial" w:hAnsi="Arial" w:cs="Arial"/>
          <w:sz w:val="24"/>
          <w:szCs w:val="24"/>
        </w:rPr>
        <w:t xml:space="preserve">and show the court’s displeasure, </w:t>
      </w:r>
      <w:r w:rsidR="00D70C4E">
        <w:rPr>
          <w:rFonts w:ascii="Arial" w:hAnsi="Arial" w:cs="Arial"/>
          <w:sz w:val="24"/>
          <w:szCs w:val="24"/>
        </w:rPr>
        <w:t>alternative</w:t>
      </w:r>
      <w:r w:rsidR="003767C1">
        <w:rPr>
          <w:rFonts w:ascii="Arial" w:hAnsi="Arial" w:cs="Arial"/>
          <w:sz w:val="24"/>
          <w:szCs w:val="24"/>
        </w:rPr>
        <w:t>ly</w:t>
      </w:r>
      <w:r w:rsidR="00D70C4E">
        <w:rPr>
          <w:rFonts w:ascii="Arial" w:hAnsi="Arial" w:cs="Arial"/>
          <w:sz w:val="24"/>
          <w:szCs w:val="24"/>
        </w:rPr>
        <w:t xml:space="preserve"> the matter can be postponed with costs on a punitive scale for payment by the party who filed the heads late.</w:t>
      </w:r>
    </w:p>
    <w:p w:rsidR="00D70C4E" w:rsidRPr="00D70C4E" w:rsidRDefault="00197D2D" w:rsidP="003767C1">
      <w:pPr>
        <w:spacing w:line="360" w:lineRule="auto"/>
        <w:ind w:left="720" w:hanging="720"/>
        <w:jc w:val="both"/>
        <w:rPr>
          <w:rFonts w:ascii="Arial" w:hAnsi="Arial" w:cs="Arial"/>
          <w:sz w:val="24"/>
          <w:szCs w:val="24"/>
        </w:rPr>
      </w:pPr>
      <w:r>
        <w:rPr>
          <w:rFonts w:ascii="Arial" w:hAnsi="Arial" w:cs="Arial"/>
          <w:sz w:val="24"/>
          <w:szCs w:val="24"/>
        </w:rPr>
        <w:t>[14</w:t>
      </w:r>
      <w:r w:rsidR="007B7C85">
        <w:rPr>
          <w:rFonts w:ascii="Arial" w:hAnsi="Arial" w:cs="Arial"/>
          <w:sz w:val="24"/>
          <w:szCs w:val="24"/>
        </w:rPr>
        <w:t>]</w:t>
      </w:r>
      <w:r w:rsidR="003767C1">
        <w:rPr>
          <w:rFonts w:ascii="Arial" w:hAnsi="Arial" w:cs="Arial"/>
          <w:sz w:val="24"/>
          <w:szCs w:val="24"/>
        </w:rPr>
        <w:tab/>
        <w:t>The attorney</w:t>
      </w:r>
      <w:r w:rsidR="00D70C4E">
        <w:rPr>
          <w:rFonts w:ascii="Arial" w:hAnsi="Arial" w:cs="Arial"/>
          <w:sz w:val="24"/>
          <w:szCs w:val="24"/>
        </w:rPr>
        <w:t xml:space="preserve"> for the RAF supported the order and reasons therefore of the court </w:t>
      </w:r>
      <w:r w:rsidR="00D70C4E">
        <w:rPr>
          <w:rFonts w:ascii="Arial" w:hAnsi="Arial" w:cs="Arial"/>
          <w:i/>
          <w:sz w:val="24"/>
          <w:szCs w:val="24"/>
        </w:rPr>
        <w:t>a quo</w:t>
      </w:r>
      <w:r w:rsidR="00D70C4E">
        <w:rPr>
          <w:rFonts w:ascii="Arial" w:hAnsi="Arial" w:cs="Arial"/>
          <w:sz w:val="24"/>
          <w:szCs w:val="24"/>
        </w:rPr>
        <w:t>.  This court was implored to exercise its inherent jurisdiction to ove</w:t>
      </w:r>
      <w:r w:rsidR="003767C1">
        <w:rPr>
          <w:rFonts w:ascii="Arial" w:hAnsi="Arial" w:cs="Arial"/>
          <w:sz w:val="24"/>
          <w:szCs w:val="24"/>
        </w:rPr>
        <w:t>rcome any legislative short-coming or lack of clarity.  It was argued that i</w:t>
      </w:r>
      <w:r w:rsidR="00D70C4E">
        <w:rPr>
          <w:rFonts w:ascii="Arial" w:hAnsi="Arial" w:cs="Arial"/>
          <w:sz w:val="24"/>
          <w:szCs w:val="24"/>
        </w:rPr>
        <w:t xml:space="preserve">f the court did not dismiss the appeal there was a danger of </w:t>
      </w:r>
      <w:r w:rsidR="00D70C4E" w:rsidRPr="00D70C4E">
        <w:rPr>
          <w:rFonts w:ascii="Arial" w:hAnsi="Arial" w:cs="Arial"/>
          <w:i/>
          <w:sz w:val="24"/>
          <w:szCs w:val="24"/>
        </w:rPr>
        <w:t>“invisible claimants manifesting themselves and opening up the floodgates of liability …”</w:t>
      </w:r>
      <w:r w:rsidR="00D70C4E">
        <w:rPr>
          <w:rFonts w:ascii="Arial" w:hAnsi="Arial" w:cs="Arial"/>
          <w:i/>
          <w:sz w:val="24"/>
          <w:szCs w:val="24"/>
        </w:rPr>
        <w:t xml:space="preserve">  </w:t>
      </w:r>
      <w:r w:rsidR="00D70C4E">
        <w:rPr>
          <w:rFonts w:ascii="Arial" w:hAnsi="Arial" w:cs="Arial"/>
          <w:sz w:val="24"/>
          <w:szCs w:val="24"/>
        </w:rPr>
        <w:t xml:space="preserve">In oral argument it was also argued that </w:t>
      </w:r>
      <w:proofErr w:type="spellStart"/>
      <w:r w:rsidR="00D70C4E">
        <w:rPr>
          <w:rFonts w:ascii="Arial" w:hAnsi="Arial" w:cs="Arial"/>
          <w:i/>
          <w:sz w:val="24"/>
          <w:szCs w:val="24"/>
        </w:rPr>
        <w:t>lis</w:t>
      </w:r>
      <w:proofErr w:type="spellEnd"/>
      <w:r w:rsidR="00D70C4E">
        <w:rPr>
          <w:rFonts w:ascii="Arial" w:hAnsi="Arial" w:cs="Arial"/>
          <w:i/>
          <w:sz w:val="24"/>
          <w:szCs w:val="24"/>
        </w:rPr>
        <w:t xml:space="preserve"> </w:t>
      </w:r>
      <w:proofErr w:type="spellStart"/>
      <w:r w:rsidR="00D70C4E">
        <w:rPr>
          <w:rFonts w:ascii="Arial" w:hAnsi="Arial" w:cs="Arial"/>
          <w:i/>
          <w:sz w:val="24"/>
          <w:szCs w:val="24"/>
        </w:rPr>
        <w:t>pendens</w:t>
      </w:r>
      <w:proofErr w:type="spellEnd"/>
      <w:r w:rsidR="00D70C4E">
        <w:rPr>
          <w:rFonts w:ascii="Arial" w:hAnsi="Arial" w:cs="Arial"/>
          <w:i/>
          <w:sz w:val="24"/>
          <w:szCs w:val="24"/>
        </w:rPr>
        <w:t xml:space="preserve"> </w:t>
      </w:r>
      <w:r w:rsidR="00D70C4E">
        <w:rPr>
          <w:rFonts w:ascii="Arial" w:hAnsi="Arial" w:cs="Arial"/>
          <w:sz w:val="24"/>
          <w:szCs w:val="24"/>
        </w:rPr>
        <w:t>was applicable and this court should also on that basis dismiss the appeal.</w:t>
      </w:r>
    </w:p>
    <w:p w:rsidR="00D70C4E" w:rsidRPr="003767C1" w:rsidRDefault="003767C1" w:rsidP="007B7C85">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The issue to decide</w:t>
      </w:r>
    </w:p>
    <w:p w:rsidR="00D70C4E" w:rsidRDefault="00197D2D" w:rsidP="00321366">
      <w:pPr>
        <w:spacing w:line="360" w:lineRule="auto"/>
        <w:ind w:left="720" w:hanging="720"/>
        <w:jc w:val="both"/>
        <w:rPr>
          <w:rFonts w:ascii="Arial" w:hAnsi="Arial" w:cs="Arial"/>
          <w:sz w:val="24"/>
          <w:szCs w:val="24"/>
        </w:rPr>
      </w:pPr>
      <w:r>
        <w:rPr>
          <w:rFonts w:ascii="Arial" w:hAnsi="Arial" w:cs="Arial"/>
          <w:sz w:val="24"/>
          <w:szCs w:val="24"/>
        </w:rPr>
        <w:t>[15</w:t>
      </w:r>
      <w:r w:rsidR="00D70C4E">
        <w:rPr>
          <w:rFonts w:ascii="Arial" w:hAnsi="Arial" w:cs="Arial"/>
          <w:sz w:val="24"/>
          <w:szCs w:val="24"/>
        </w:rPr>
        <w:t>]</w:t>
      </w:r>
      <w:r w:rsidR="00D70C4E">
        <w:rPr>
          <w:rFonts w:ascii="Arial" w:hAnsi="Arial" w:cs="Arial"/>
          <w:sz w:val="24"/>
          <w:szCs w:val="24"/>
        </w:rPr>
        <w:tab/>
        <w:t>Did Ms Buthelezi have to issue and serve the summons in the High Court on the RAF within a period of one year from the date when the Transitional Provisions Act came into operation on 13 February 2013.</w:t>
      </w:r>
    </w:p>
    <w:p w:rsidR="00D70C4E" w:rsidRPr="00D70C4E" w:rsidRDefault="00D70C4E" w:rsidP="007B7C85">
      <w:pPr>
        <w:spacing w:line="360" w:lineRule="auto"/>
        <w:jc w:val="both"/>
        <w:rPr>
          <w:rFonts w:ascii="Arial" w:hAnsi="Arial" w:cs="Arial"/>
          <w:sz w:val="24"/>
          <w:szCs w:val="24"/>
          <w:u w:val="single"/>
        </w:rPr>
      </w:pPr>
      <w:r>
        <w:rPr>
          <w:rFonts w:ascii="Arial" w:hAnsi="Arial" w:cs="Arial"/>
          <w:sz w:val="24"/>
          <w:szCs w:val="24"/>
        </w:rPr>
        <w:tab/>
      </w:r>
      <w:r>
        <w:rPr>
          <w:rFonts w:ascii="Arial" w:hAnsi="Arial" w:cs="Arial"/>
          <w:sz w:val="24"/>
          <w:szCs w:val="24"/>
          <w:u w:val="single"/>
        </w:rPr>
        <w:t>Analysis</w:t>
      </w:r>
    </w:p>
    <w:p w:rsidR="00D70C4E" w:rsidRDefault="00197D2D" w:rsidP="00321366">
      <w:pPr>
        <w:spacing w:line="360" w:lineRule="auto"/>
        <w:ind w:left="720" w:hanging="720"/>
        <w:jc w:val="both"/>
        <w:rPr>
          <w:rFonts w:ascii="Arial" w:hAnsi="Arial" w:cs="Arial"/>
          <w:sz w:val="24"/>
          <w:szCs w:val="24"/>
        </w:rPr>
      </w:pPr>
      <w:r>
        <w:rPr>
          <w:rFonts w:ascii="Arial" w:hAnsi="Arial" w:cs="Arial"/>
          <w:sz w:val="24"/>
          <w:szCs w:val="24"/>
        </w:rPr>
        <w:t>[16</w:t>
      </w:r>
      <w:r w:rsidR="00D70C4E">
        <w:rPr>
          <w:rFonts w:ascii="Arial" w:hAnsi="Arial" w:cs="Arial"/>
          <w:sz w:val="24"/>
          <w:szCs w:val="24"/>
        </w:rPr>
        <w:t>]</w:t>
      </w:r>
      <w:r w:rsidR="00D70C4E">
        <w:rPr>
          <w:rFonts w:ascii="Arial" w:hAnsi="Arial" w:cs="Arial"/>
          <w:sz w:val="24"/>
          <w:szCs w:val="24"/>
        </w:rPr>
        <w:tab/>
        <w:t>The Transitional Act came into operation on 13 F</w:t>
      </w:r>
      <w:r w:rsidR="00DA110B">
        <w:rPr>
          <w:rFonts w:ascii="Arial" w:hAnsi="Arial" w:cs="Arial"/>
          <w:sz w:val="24"/>
          <w:szCs w:val="24"/>
        </w:rPr>
        <w:t>ebruary 2014 and had as its purpose to facilitate claims that were previously limited within the Magistrate’s Court’s monetary jurisdiction, to transition to the High Co</w:t>
      </w:r>
      <w:r w:rsidR="00321366">
        <w:rPr>
          <w:rFonts w:ascii="Arial" w:hAnsi="Arial" w:cs="Arial"/>
          <w:sz w:val="24"/>
          <w:szCs w:val="24"/>
        </w:rPr>
        <w:t xml:space="preserve">urt as unlimited claims giving </w:t>
      </w:r>
      <w:r w:rsidR="00DA110B">
        <w:rPr>
          <w:rFonts w:ascii="Arial" w:hAnsi="Arial" w:cs="Arial"/>
          <w:sz w:val="24"/>
          <w:szCs w:val="24"/>
        </w:rPr>
        <w:t xml:space="preserve">effect to the </w:t>
      </w:r>
      <w:proofErr w:type="spellStart"/>
      <w:r w:rsidR="00DA110B" w:rsidRPr="007846C6">
        <w:rPr>
          <w:rFonts w:ascii="Arial" w:hAnsi="Arial" w:cs="Arial"/>
          <w:i/>
          <w:sz w:val="24"/>
          <w:szCs w:val="24"/>
        </w:rPr>
        <w:t>Mvumvu</w:t>
      </w:r>
      <w:proofErr w:type="spellEnd"/>
      <w:r w:rsidR="00DA110B">
        <w:rPr>
          <w:rFonts w:ascii="Arial" w:hAnsi="Arial" w:cs="Arial"/>
          <w:b/>
          <w:i/>
          <w:sz w:val="24"/>
          <w:szCs w:val="24"/>
        </w:rPr>
        <w:t xml:space="preserve"> </w:t>
      </w:r>
      <w:r w:rsidR="00DA110B">
        <w:rPr>
          <w:rFonts w:ascii="Arial" w:hAnsi="Arial" w:cs="Arial"/>
          <w:sz w:val="24"/>
          <w:szCs w:val="24"/>
        </w:rPr>
        <w:t>judgment.  It is common cause that Ms Buthelezi did not expressly and unconditionally on a RAF TP1 form indicate that her claim was subject to the New Act.  Ms Buthelezi could elect to remain in the Magistrate’s court or issue a new summons in the High Court.</w:t>
      </w:r>
    </w:p>
    <w:p w:rsidR="00D70C4E" w:rsidRPr="00321366" w:rsidRDefault="00197D2D" w:rsidP="00321366">
      <w:pPr>
        <w:spacing w:line="360" w:lineRule="auto"/>
        <w:ind w:left="720" w:hanging="720"/>
        <w:jc w:val="both"/>
      </w:pPr>
      <w:r>
        <w:rPr>
          <w:rFonts w:ascii="Arial" w:hAnsi="Arial" w:cs="Arial"/>
          <w:sz w:val="24"/>
          <w:szCs w:val="24"/>
        </w:rPr>
        <w:lastRenderedPageBreak/>
        <w:t>[17</w:t>
      </w:r>
      <w:r w:rsidR="00D70C4E">
        <w:rPr>
          <w:rFonts w:ascii="Arial" w:hAnsi="Arial" w:cs="Arial"/>
          <w:sz w:val="24"/>
          <w:szCs w:val="24"/>
        </w:rPr>
        <w:t>]</w:t>
      </w:r>
      <w:r w:rsidR="00DA110B">
        <w:rPr>
          <w:rFonts w:ascii="Arial" w:hAnsi="Arial" w:cs="Arial"/>
          <w:sz w:val="24"/>
          <w:szCs w:val="24"/>
        </w:rPr>
        <w:tab/>
        <w:t xml:space="preserve">The only reference to a </w:t>
      </w:r>
      <w:proofErr w:type="gramStart"/>
      <w:r w:rsidR="00DA110B">
        <w:rPr>
          <w:rFonts w:ascii="Arial" w:hAnsi="Arial" w:cs="Arial"/>
          <w:sz w:val="24"/>
          <w:szCs w:val="24"/>
        </w:rPr>
        <w:t>one year</w:t>
      </w:r>
      <w:proofErr w:type="gramEnd"/>
      <w:r w:rsidR="00DA110B">
        <w:rPr>
          <w:rFonts w:ascii="Arial" w:hAnsi="Arial" w:cs="Arial"/>
          <w:sz w:val="24"/>
          <w:szCs w:val="24"/>
        </w:rPr>
        <w:t xml:space="preserve"> period in the Transitional Act refers specifically to the period that Ms Buthelezi had to elect to claim under the Old Act or the New Act.  Interpreting s2 of the Transitional Act in the light of the purpose of the Transitional Act and the circumstances surrounding its enactment, the ordinary grammatical reading and understanding thereof is clear and unambiguous.</w:t>
      </w:r>
      <w:r w:rsidR="00DA110B">
        <w:rPr>
          <w:rStyle w:val="FootnoteReference"/>
          <w:rFonts w:ascii="Arial" w:hAnsi="Arial" w:cs="Arial"/>
          <w:sz w:val="24"/>
          <w:szCs w:val="24"/>
        </w:rPr>
        <w:footnoteReference w:id="1"/>
      </w:r>
      <w:r w:rsidR="00DA110B">
        <w:rPr>
          <w:rFonts w:ascii="Arial" w:hAnsi="Arial" w:cs="Arial"/>
          <w:sz w:val="24"/>
          <w:szCs w:val="24"/>
        </w:rPr>
        <w:t xml:space="preserve">  The argument on behalf of RAF that there is lack of clarity in the Act is unfounded and rejected.  The court </w:t>
      </w:r>
      <w:r w:rsidR="00DA110B">
        <w:rPr>
          <w:rFonts w:ascii="Arial" w:hAnsi="Arial" w:cs="Arial"/>
          <w:i/>
          <w:sz w:val="24"/>
          <w:szCs w:val="24"/>
        </w:rPr>
        <w:t xml:space="preserve">a quo </w:t>
      </w:r>
      <w:r w:rsidR="00DA110B">
        <w:rPr>
          <w:rFonts w:ascii="Arial" w:hAnsi="Arial" w:cs="Arial"/>
          <w:sz w:val="24"/>
          <w:szCs w:val="24"/>
        </w:rPr>
        <w:t xml:space="preserve">was thus incorrect in finding that Ms Buthelezi should have issued summons in the High Court on or before 12 </w:t>
      </w:r>
      <w:r w:rsidR="00321366">
        <w:rPr>
          <w:rFonts w:ascii="Arial" w:hAnsi="Arial" w:cs="Arial"/>
          <w:sz w:val="24"/>
          <w:szCs w:val="24"/>
        </w:rPr>
        <w:t>February 2014.  I</w:t>
      </w:r>
      <w:r w:rsidR="007846C6">
        <w:rPr>
          <w:rFonts w:ascii="Arial" w:hAnsi="Arial" w:cs="Arial"/>
          <w:sz w:val="24"/>
          <w:szCs w:val="24"/>
        </w:rPr>
        <w:t xml:space="preserve">n terms of the Transitional Act, the date of </w:t>
      </w:r>
      <w:r w:rsidR="00DA110B">
        <w:rPr>
          <w:rFonts w:ascii="Arial" w:hAnsi="Arial" w:cs="Arial"/>
          <w:sz w:val="24"/>
          <w:szCs w:val="24"/>
        </w:rPr>
        <w:t xml:space="preserve">12 February 2014 </w:t>
      </w:r>
      <w:r w:rsidR="00321366">
        <w:rPr>
          <w:rFonts w:ascii="Arial" w:hAnsi="Arial" w:cs="Arial"/>
          <w:sz w:val="24"/>
          <w:szCs w:val="24"/>
        </w:rPr>
        <w:t xml:space="preserve">only related to the period </w:t>
      </w:r>
      <w:r w:rsidR="00DA110B">
        <w:rPr>
          <w:rFonts w:ascii="Arial" w:hAnsi="Arial" w:cs="Arial"/>
          <w:sz w:val="24"/>
          <w:szCs w:val="24"/>
        </w:rPr>
        <w:t xml:space="preserve">to exercise the choice to claim under the New or Old Act.   Only after 12 February 2014 did Ms Buthelezi have to elect to issue summons in the High Court or the Magistrate’s Court.  The reasoning of the Court </w:t>
      </w:r>
      <w:r w:rsidR="00DA110B">
        <w:rPr>
          <w:rFonts w:ascii="Arial" w:hAnsi="Arial" w:cs="Arial"/>
          <w:i/>
          <w:sz w:val="24"/>
          <w:szCs w:val="24"/>
        </w:rPr>
        <w:t xml:space="preserve">a quo </w:t>
      </w:r>
      <w:r w:rsidR="00DA110B">
        <w:rPr>
          <w:rFonts w:ascii="Arial" w:hAnsi="Arial" w:cs="Arial"/>
          <w:sz w:val="24"/>
          <w:szCs w:val="24"/>
        </w:rPr>
        <w:t>is ta</w:t>
      </w:r>
      <w:r w:rsidR="00321366">
        <w:rPr>
          <w:rFonts w:ascii="Arial" w:hAnsi="Arial" w:cs="Arial"/>
          <w:sz w:val="24"/>
          <w:szCs w:val="24"/>
        </w:rPr>
        <w:t>ntamount to requiring</w:t>
      </w:r>
      <w:r w:rsidR="00DA110B">
        <w:rPr>
          <w:rFonts w:ascii="Arial" w:hAnsi="Arial" w:cs="Arial"/>
          <w:sz w:val="24"/>
          <w:szCs w:val="24"/>
        </w:rPr>
        <w:t xml:space="preserve"> a third party to exercise the rights given to the third party under the Transitional Act before it came into operation.</w:t>
      </w:r>
    </w:p>
    <w:p w:rsidR="00321366" w:rsidRDefault="00197D2D" w:rsidP="004B2CFA">
      <w:pPr>
        <w:spacing w:line="360" w:lineRule="auto"/>
        <w:ind w:left="720" w:hanging="720"/>
        <w:jc w:val="both"/>
        <w:rPr>
          <w:rFonts w:ascii="Arial" w:hAnsi="Arial" w:cs="Arial"/>
          <w:sz w:val="24"/>
          <w:szCs w:val="24"/>
        </w:rPr>
      </w:pPr>
      <w:r>
        <w:rPr>
          <w:rFonts w:ascii="Arial" w:hAnsi="Arial" w:cs="Arial"/>
          <w:sz w:val="24"/>
          <w:szCs w:val="24"/>
        </w:rPr>
        <w:t>[18</w:t>
      </w:r>
      <w:r w:rsidR="00D70C4E">
        <w:rPr>
          <w:rFonts w:ascii="Arial" w:hAnsi="Arial" w:cs="Arial"/>
          <w:sz w:val="24"/>
          <w:szCs w:val="24"/>
        </w:rPr>
        <w:t>]</w:t>
      </w:r>
      <w:r w:rsidR="00DA110B">
        <w:rPr>
          <w:rFonts w:ascii="Arial" w:hAnsi="Arial" w:cs="Arial"/>
          <w:sz w:val="24"/>
          <w:szCs w:val="24"/>
        </w:rPr>
        <w:tab/>
        <w:t xml:space="preserve">The Transitional Act did not create a basis for new claims not previously instituted in terms of the Old </w:t>
      </w:r>
      <w:proofErr w:type="gramStart"/>
      <w:r w:rsidR="00DA110B">
        <w:rPr>
          <w:rFonts w:ascii="Arial" w:hAnsi="Arial" w:cs="Arial"/>
          <w:sz w:val="24"/>
          <w:szCs w:val="24"/>
        </w:rPr>
        <w:t>Act;  the</w:t>
      </w:r>
      <w:proofErr w:type="gramEnd"/>
      <w:r w:rsidR="00DA110B">
        <w:rPr>
          <w:rFonts w:ascii="Arial" w:hAnsi="Arial" w:cs="Arial"/>
          <w:sz w:val="24"/>
          <w:szCs w:val="24"/>
        </w:rPr>
        <w:t xml:space="preserve"> claims had to have been instituted.  The only purpose was to give those claimants a right to choose to claim an unlimited amount by exercising a choice.  If the claimant neglected to exercise the choice </w:t>
      </w:r>
      <w:proofErr w:type="gramStart"/>
      <w:r w:rsidR="00DA110B">
        <w:rPr>
          <w:rFonts w:ascii="Arial" w:hAnsi="Arial" w:cs="Arial"/>
          <w:sz w:val="24"/>
          <w:szCs w:val="24"/>
        </w:rPr>
        <w:t>provided</w:t>
      </w:r>
      <w:proofErr w:type="gramEnd"/>
      <w:r w:rsidR="00DA110B">
        <w:rPr>
          <w:rFonts w:ascii="Arial" w:hAnsi="Arial" w:cs="Arial"/>
          <w:sz w:val="24"/>
          <w:szCs w:val="24"/>
        </w:rPr>
        <w:t xml:space="preserve"> then the claim automatically fell under the New Act</w:t>
      </w:r>
      <w:r w:rsidR="004B2CFA">
        <w:rPr>
          <w:rFonts w:ascii="Arial" w:hAnsi="Arial" w:cs="Arial"/>
          <w:sz w:val="24"/>
          <w:szCs w:val="24"/>
        </w:rPr>
        <w:t xml:space="preserve">.  If the claimant claimed an unlimited amount the claimant was afforded an opportunity to withdraw the summons in the Magistrate’s Court and proceed in the High Court, within 60 days of such withdrawal.  Ms Buthelezi served the summons in the </w:t>
      </w:r>
      <w:r w:rsidR="00321366">
        <w:rPr>
          <w:rFonts w:ascii="Arial" w:hAnsi="Arial" w:cs="Arial"/>
          <w:sz w:val="24"/>
          <w:szCs w:val="24"/>
        </w:rPr>
        <w:t>High Court on 8 April 2015, thus timeously after 12 February 2014, the last date on which she had an election to choose between the Old and New Act.  The claim had thus not prescribed.</w:t>
      </w:r>
    </w:p>
    <w:p w:rsidR="004B2CFA" w:rsidRDefault="00197D2D" w:rsidP="00321366">
      <w:pPr>
        <w:spacing w:line="360" w:lineRule="auto"/>
        <w:ind w:left="720" w:hanging="720"/>
        <w:jc w:val="both"/>
        <w:rPr>
          <w:rFonts w:ascii="Arial" w:hAnsi="Arial" w:cs="Arial"/>
          <w:sz w:val="24"/>
          <w:szCs w:val="24"/>
        </w:rPr>
      </w:pPr>
      <w:r>
        <w:rPr>
          <w:rFonts w:ascii="Arial" w:hAnsi="Arial" w:cs="Arial"/>
          <w:sz w:val="24"/>
          <w:szCs w:val="24"/>
        </w:rPr>
        <w:t>[19</w:t>
      </w:r>
      <w:r w:rsidR="00D70C4E">
        <w:rPr>
          <w:rFonts w:ascii="Arial" w:hAnsi="Arial" w:cs="Arial"/>
          <w:sz w:val="24"/>
          <w:szCs w:val="24"/>
        </w:rPr>
        <w:t>]</w:t>
      </w:r>
      <w:r w:rsidR="004B2CFA">
        <w:rPr>
          <w:rFonts w:ascii="Arial" w:hAnsi="Arial" w:cs="Arial"/>
          <w:sz w:val="24"/>
          <w:szCs w:val="24"/>
        </w:rPr>
        <w:tab/>
        <w:t xml:space="preserve">At the time of the hearing </w:t>
      </w:r>
      <w:proofErr w:type="spellStart"/>
      <w:r w:rsidR="004B2CFA">
        <w:rPr>
          <w:rFonts w:ascii="Arial" w:hAnsi="Arial" w:cs="Arial"/>
          <w:i/>
          <w:sz w:val="24"/>
          <w:szCs w:val="24"/>
        </w:rPr>
        <w:t>lis</w:t>
      </w:r>
      <w:proofErr w:type="spellEnd"/>
      <w:r w:rsidR="004B2CFA">
        <w:rPr>
          <w:rFonts w:ascii="Arial" w:hAnsi="Arial" w:cs="Arial"/>
          <w:i/>
          <w:sz w:val="24"/>
          <w:szCs w:val="24"/>
        </w:rPr>
        <w:t xml:space="preserve"> </w:t>
      </w:r>
      <w:proofErr w:type="spellStart"/>
      <w:r w:rsidR="004B2CFA">
        <w:rPr>
          <w:rFonts w:ascii="Arial" w:hAnsi="Arial" w:cs="Arial"/>
          <w:i/>
          <w:sz w:val="24"/>
          <w:szCs w:val="24"/>
        </w:rPr>
        <w:t>pendens</w:t>
      </w:r>
      <w:proofErr w:type="spellEnd"/>
      <w:r w:rsidR="004B2CFA">
        <w:rPr>
          <w:rFonts w:ascii="Arial" w:hAnsi="Arial" w:cs="Arial"/>
          <w:i/>
          <w:sz w:val="24"/>
          <w:szCs w:val="24"/>
        </w:rPr>
        <w:t xml:space="preserve"> </w:t>
      </w:r>
      <w:r w:rsidR="004B2CFA">
        <w:rPr>
          <w:rFonts w:ascii="Arial" w:hAnsi="Arial" w:cs="Arial"/>
          <w:sz w:val="24"/>
          <w:szCs w:val="24"/>
        </w:rPr>
        <w:t xml:space="preserve">could not be raised as the summons in the Magistrate’s Court had been withdrawn.  The argument on </w:t>
      </w:r>
      <w:proofErr w:type="spellStart"/>
      <w:r w:rsidR="004B2CFA">
        <w:rPr>
          <w:rFonts w:ascii="Arial" w:hAnsi="Arial" w:cs="Arial"/>
          <w:i/>
          <w:sz w:val="24"/>
          <w:szCs w:val="24"/>
        </w:rPr>
        <w:t>lis</w:t>
      </w:r>
      <w:proofErr w:type="spellEnd"/>
      <w:r w:rsidR="004B2CFA">
        <w:rPr>
          <w:rFonts w:ascii="Arial" w:hAnsi="Arial" w:cs="Arial"/>
          <w:i/>
          <w:sz w:val="24"/>
          <w:szCs w:val="24"/>
        </w:rPr>
        <w:t xml:space="preserve"> </w:t>
      </w:r>
      <w:proofErr w:type="spellStart"/>
      <w:r w:rsidR="004B2CFA">
        <w:rPr>
          <w:rFonts w:ascii="Arial" w:hAnsi="Arial" w:cs="Arial"/>
          <w:i/>
          <w:sz w:val="24"/>
          <w:szCs w:val="24"/>
        </w:rPr>
        <w:t>pendens</w:t>
      </w:r>
      <w:proofErr w:type="spellEnd"/>
      <w:r w:rsidR="004B2CFA">
        <w:rPr>
          <w:rFonts w:ascii="Arial" w:hAnsi="Arial" w:cs="Arial"/>
          <w:i/>
          <w:sz w:val="24"/>
          <w:szCs w:val="24"/>
        </w:rPr>
        <w:t xml:space="preserve"> </w:t>
      </w:r>
      <w:r w:rsidR="004B2CFA">
        <w:rPr>
          <w:rFonts w:ascii="Arial" w:hAnsi="Arial" w:cs="Arial"/>
          <w:sz w:val="24"/>
          <w:szCs w:val="24"/>
        </w:rPr>
        <w:t>thus require</w:t>
      </w:r>
      <w:r w:rsidR="00321366">
        <w:rPr>
          <w:rFonts w:ascii="Arial" w:hAnsi="Arial" w:cs="Arial"/>
          <w:sz w:val="24"/>
          <w:szCs w:val="24"/>
        </w:rPr>
        <w:t>s</w:t>
      </w:r>
      <w:r w:rsidR="004B2CFA">
        <w:rPr>
          <w:rFonts w:ascii="Arial" w:hAnsi="Arial" w:cs="Arial"/>
          <w:sz w:val="24"/>
          <w:szCs w:val="24"/>
        </w:rPr>
        <w:t xml:space="preserve"> no further comment.</w:t>
      </w:r>
    </w:p>
    <w:p w:rsidR="004B2CFA" w:rsidRDefault="00197D2D" w:rsidP="00321366">
      <w:pPr>
        <w:spacing w:line="360" w:lineRule="auto"/>
        <w:ind w:left="720" w:hanging="720"/>
        <w:jc w:val="both"/>
        <w:rPr>
          <w:rFonts w:ascii="Arial" w:hAnsi="Arial" w:cs="Arial"/>
          <w:sz w:val="24"/>
          <w:szCs w:val="24"/>
        </w:rPr>
      </w:pPr>
      <w:r>
        <w:rPr>
          <w:rFonts w:ascii="Arial" w:hAnsi="Arial" w:cs="Arial"/>
          <w:sz w:val="24"/>
          <w:szCs w:val="24"/>
        </w:rPr>
        <w:t>[20</w:t>
      </w:r>
      <w:r w:rsidR="00321366">
        <w:rPr>
          <w:rFonts w:ascii="Arial" w:hAnsi="Arial" w:cs="Arial"/>
          <w:sz w:val="24"/>
          <w:szCs w:val="24"/>
        </w:rPr>
        <w:t>]</w:t>
      </w:r>
      <w:r w:rsidR="00321366">
        <w:rPr>
          <w:rFonts w:ascii="Arial" w:hAnsi="Arial" w:cs="Arial"/>
          <w:sz w:val="24"/>
          <w:szCs w:val="24"/>
        </w:rPr>
        <w:tab/>
      </w:r>
      <w:r w:rsidR="00B8390D">
        <w:rPr>
          <w:rFonts w:ascii="Arial" w:hAnsi="Arial" w:cs="Arial"/>
          <w:sz w:val="24"/>
          <w:szCs w:val="24"/>
        </w:rPr>
        <w:t xml:space="preserve">“Opening the floodgate” </w:t>
      </w:r>
      <w:r w:rsidR="004B2CFA">
        <w:rPr>
          <w:rFonts w:ascii="Arial" w:hAnsi="Arial" w:cs="Arial"/>
          <w:sz w:val="24"/>
          <w:szCs w:val="24"/>
        </w:rPr>
        <w:t>if the Transitional Act is interpreted as not being in operation from 13 February 2</w:t>
      </w:r>
      <w:r w:rsidR="00321366">
        <w:rPr>
          <w:rFonts w:ascii="Arial" w:hAnsi="Arial" w:cs="Arial"/>
          <w:sz w:val="24"/>
          <w:szCs w:val="24"/>
        </w:rPr>
        <w:t xml:space="preserve">013 to 12 February 2014 is </w:t>
      </w:r>
      <w:r w:rsidR="004B2CFA">
        <w:rPr>
          <w:rFonts w:ascii="Arial" w:hAnsi="Arial" w:cs="Arial"/>
          <w:sz w:val="24"/>
          <w:szCs w:val="24"/>
        </w:rPr>
        <w:t>inconceivable.  Only claims that had been in</w:t>
      </w:r>
      <w:r w:rsidR="00321366">
        <w:rPr>
          <w:rFonts w:ascii="Arial" w:hAnsi="Arial" w:cs="Arial"/>
          <w:sz w:val="24"/>
          <w:szCs w:val="24"/>
        </w:rPr>
        <w:t xml:space="preserve">stituted could conceivably </w:t>
      </w:r>
      <w:r w:rsidR="004B2CFA">
        <w:rPr>
          <w:rFonts w:ascii="Arial" w:hAnsi="Arial" w:cs="Arial"/>
          <w:sz w:val="24"/>
          <w:szCs w:val="24"/>
        </w:rPr>
        <w:t xml:space="preserve">automatically fall under the </w:t>
      </w:r>
      <w:r w:rsidR="004B2CFA">
        <w:rPr>
          <w:rFonts w:ascii="Arial" w:hAnsi="Arial" w:cs="Arial"/>
          <w:sz w:val="24"/>
          <w:szCs w:val="24"/>
        </w:rPr>
        <w:lastRenderedPageBreak/>
        <w:t xml:space="preserve">New Act.  The summons had to be issued in the High Court.  If a claimant had not issued a summons in the High Court pursuant to the transitional regime the transitional regime </w:t>
      </w:r>
      <w:r>
        <w:rPr>
          <w:rFonts w:ascii="Arial" w:hAnsi="Arial" w:cs="Arial"/>
          <w:sz w:val="24"/>
          <w:szCs w:val="24"/>
        </w:rPr>
        <w:t xml:space="preserve">did not apply.  Put differently, </w:t>
      </w:r>
      <w:r w:rsidR="004B2CFA">
        <w:rPr>
          <w:rFonts w:ascii="Arial" w:hAnsi="Arial" w:cs="Arial"/>
          <w:sz w:val="24"/>
          <w:szCs w:val="24"/>
        </w:rPr>
        <w:t>the Transitional Act and its provisions only commenced when the summo</w:t>
      </w:r>
      <w:r w:rsidR="00321366">
        <w:rPr>
          <w:rFonts w:ascii="Arial" w:hAnsi="Arial" w:cs="Arial"/>
          <w:sz w:val="24"/>
          <w:szCs w:val="24"/>
        </w:rPr>
        <w:t>ns was issued in the High Court, after 12 February 2014.  This does not imply that prescription could not run, but only from 12 February 2014.</w:t>
      </w:r>
    </w:p>
    <w:p w:rsidR="004B2CFA" w:rsidRDefault="00197D2D" w:rsidP="00321366">
      <w:pPr>
        <w:spacing w:line="360" w:lineRule="auto"/>
        <w:ind w:left="720" w:hanging="720"/>
        <w:jc w:val="both"/>
        <w:rPr>
          <w:rFonts w:ascii="Arial" w:hAnsi="Arial" w:cs="Arial"/>
          <w:sz w:val="24"/>
          <w:szCs w:val="24"/>
        </w:rPr>
      </w:pPr>
      <w:r>
        <w:rPr>
          <w:rFonts w:ascii="Arial" w:hAnsi="Arial" w:cs="Arial"/>
          <w:sz w:val="24"/>
          <w:szCs w:val="24"/>
        </w:rPr>
        <w:t>[21</w:t>
      </w:r>
      <w:r w:rsidR="004B2CFA">
        <w:rPr>
          <w:rFonts w:ascii="Arial" w:hAnsi="Arial" w:cs="Arial"/>
          <w:sz w:val="24"/>
          <w:szCs w:val="24"/>
        </w:rPr>
        <w:t>]</w:t>
      </w:r>
      <w:r w:rsidR="004B2CFA">
        <w:rPr>
          <w:rFonts w:ascii="Arial" w:hAnsi="Arial" w:cs="Arial"/>
          <w:sz w:val="24"/>
          <w:szCs w:val="24"/>
        </w:rPr>
        <w:tab/>
        <w:t>I accordingly propose the following order:</w:t>
      </w:r>
    </w:p>
    <w:p w:rsidR="004B2CFA" w:rsidRDefault="004B2CFA" w:rsidP="004B2CFA">
      <w:pPr>
        <w:spacing w:line="360" w:lineRule="auto"/>
        <w:ind w:left="720" w:hanging="720"/>
        <w:jc w:val="both"/>
        <w:rPr>
          <w:rFonts w:ascii="Arial" w:hAnsi="Arial" w:cs="Arial"/>
          <w:sz w:val="24"/>
          <w:szCs w:val="24"/>
        </w:rPr>
      </w:pPr>
      <w:r>
        <w:rPr>
          <w:rFonts w:ascii="Arial" w:hAnsi="Arial" w:cs="Arial"/>
          <w:sz w:val="24"/>
          <w:szCs w:val="24"/>
        </w:rPr>
        <w:tab/>
        <w:t>21.1</w:t>
      </w:r>
      <w:r>
        <w:rPr>
          <w:rFonts w:ascii="Arial" w:hAnsi="Arial" w:cs="Arial"/>
          <w:sz w:val="24"/>
          <w:szCs w:val="24"/>
        </w:rPr>
        <w:tab/>
        <w:t>The appeal is upheld with costs.</w:t>
      </w:r>
    </w:p>
    <w:p w:rsidR="004B2CFA" w:rsidRPr="004B2CFA" w:rsidRDefault="004B2CFA" w:rsidP="004B2CFA">
      <w:pPr>
        <w:spacing w:line="360" w:lineRule="auto"/>
        <w:ind w:left="720" w:hanging="720"/>
        <w:jc w:val="both"/>
        <w:rPr>
          <w:rFonts w:ascii="Arial" w:hAnsi="Arial" w:cs="Arial"/>
          <w:sz w:val="24"/>
          <w:szCs w:val="24"/>
        </w:rPr>
      </w:pPr>
      <w:r>
        <w:rPr>
          <w:rFonts w:ascii="Arial" w:hAnsi="Arial" w:cs="Arial"/>
          <w:sz w:val="24"/>
          <w:szCs w:val="24"/>
        </w:rPr>
        <w:tab/>
        <w:t>21.2</w:t>
      </w:r>
      <w:r>
        <w:rPr>
          <w:rFonts w:ascii="Arial" w:hAnsi="Arial" w:cs="Arial"/>
          <w:sz w:val="24"/>
          <w:szCs w:val="24"/>
        </w:rPr>
        <w:tab/>
        <w:t>The special plea is dismissed with costs.</w:t>
      </w:r>
    </w:p>
    <w:p w:rsidR="007B0F57" w:rsidRDefault="007B0F57" w:rsidP="00580077">
      <w:pPr>
        <w:spacing w:line="360" w:lineRule="auto"/>
        <w:rPr>
          <w:rFonts w:ascii="Arial" w:hAnsi="Arial" w:cs="Arial"/>
          <w:b/>
          <w:sz w:val="28"/>
          <w:szCs w:val="28"/>
        </w:rPr>
      </w:pPr>
    </w:p>
    <w:p w:rsidR="007B0F57" w:rsidRDefault="007B0F57" w:rsidP="00321366">
      <w:pPr>
        <w:spacing w:line="360" w:lineRule="auto"/>
        <w:jc w:val="both"/>
        <w:rPr>
          <w:rFonts w:ascii="Arial" w:eastAsia="Calibri" w:hAnsi="Arial" w:cs="Arial"/>
          <w:b/>
          <w:sz w:val="24"/>
          <w:szCs w:val="24"/>
        </w:rPr>
      </w:pPr>
      <w:r>
        <w:rPr>
          <w:rFonts w:ascii="Arial" w:hAnsi="Arial" w:cs="Arial"/>
          <w:b/>
          <w:sz w:val="28"/>
          <w:szCs w:val="28"/>
        </w:rPr>
        <w:tab/>
      </w:r>
    </w:p>
    <w:p w:rsidR="007B0F57" w:rsidRDefault="007B0F57" w:rsidP="007B0F57">
      <w:pPr>
        <w:spacing w:line="240" w:lineRule="auto"/>
        <w:jc w:val="right"/>
        <w:rPr>
          <w:rFonts w:ascii="Arial" w:eastAsia="Calibri" w:hAnsi="Arial" w:cs="Arial"/>
          <w:b/>
          <w:sz w:val="24"/>
          <w:szCs w:val="24"/>
        </w:rPr>
      </w:pPr>
    </w:p>
    <w:p w:rsidR="007B0F57" w:rsidRPr="00D14312" w:rsidRDefault="007B0F57" w:rsidP="007B0F57">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7B0F57" w:rsidRPr="00D14312" w:rsidRDefault="007B0F57" w:rsidP="007B0F57">
      <w:pPr>
        <w:spacing w:line="240" w:lineRule="auto"/>
        <w:jc w:val="right"/>
        <w:rPr>
          <w:rFonts w:ascii="Arial" w:eastAsia="Calibri" w:hAnsi="Arial" w:cs="Arial"/>
          <w:b/>
          <w:sz w:val="24"/>
          <w:szCs w:val="24"/>
        </w:rPr>
      </w:pPr>
      <w:r w:rsidRPr="00D14312">
        <w:rPr>
          <w:rFonts w:ascii="Arial" w:eastAsia="Calibri" w:hAnsi="Arial" w:cs="Arial"/>
          <w:b/>
          <w:sz w:val="24"/>
          <w:szCs w:val="24"/>
        </w:rPr>
        <w:t>S. POTTERILL</w:t>
      </w:r>
    </w:p>
    <w:p w:rsidR="007B0F57" w:rsidRDefault="007B0F57" w:rsidP="007B0F57">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7B0F57" w:rsidRDefault="007B0F57" w:rsidP="007B0F57">
      <w:pPr>
        <w:spacing w:line="240" w:lineRule="auto"/>
        <w:jc w:val="both"/>
        <w:rPr>
          <w:rFonts w:ascii="Arial" w:eastAsia="Calibri" w:hAnsi="Arial" w:cs="Arial"/>
          <w:sz w:val="24"/>
          <w:szCs w:val="24"/>
        </w:rPr>
      </w:pPr>
      <w:r>
        <w:rPr>
          <w:rFonts w:ascii="Arial" w:eastAsia="Calibri" w:hAnsi="Arial" w:cs="Arial"/>
          <w:sz w:val="24"/>
          <w:szCs w:val="24"/>
        </w:rPr>
        <w:t>I agree</w:t>
      </w:r>
    </w:p>
    <w:p w:rsidR="007B0F57" w:rsidRDefault="007B0F57" w:rsidP="007B0F57">
      <w:pPr>
        <w:spacing w:line="240" w:lineRule="auto"/>
        <w:jc w:val="right"/>
        <w:rPr>
          <w:rFonts w:ascii="Arial" w:eastAsia="Calibri" w:hAnsi="Arial" w:cs="Arial"/>
          <w:b/>
          <w:sz w:val="24"/>
          <w:szCs w:val="24"/>
        </w:rPr>
      </w:pPr>
    </w:p>
    <w:p w:rsidR="004B2CFA" w:rsidRPr="00D14312" w:rsidRDefault="004B2CFA" w:rsidP="00D57327">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4B2CFA" w:rsidRPr="00D14312" w:rsidRDefault="00D57327" w:rsidP="004B2CFA">
      <w:pPr>
        <w:spacing w:line="240" w:lineRule="auto"/>
        <w:jc w:val="right"/>
        <w:rPr>
          <w:rFonts w:ascii="Arial" w:eastAsia="Calibri" w:hAnsi="Arial" w:cs="Arial"/>
          <w:b/>
          <w:sz w:val="24"/>
          <w:szCs w:val="24"/>
        </w:rPr>
      </w:pPr>
      <w:r>
        <w:rPr>
          <w:rFonts w:ascii="Arial" w:eastAsia="Calibri" w:hAnsi="Arial" w:cs="Arial"/>
          <w:b/>
          <w:sz w:val="24"/>
          <w:szCs w:val="24"/>
        </w:rPr>
        <w:t>N.V. KHUMALO</w:t>
      </w:r>
    </w:p>
    <w:p w:rsidR="004B2CFA" w:rsidRDefault="004B2CFA" w:rsidP="004B2CFA">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7B0F57" w:rsidRDefault="007B0F57" w:rsidP="007B0F57">
      <w:pPr>
        <w:spacing w:after="160" w:line="259" w:lineRule="auto"/>
        <w:rPr>
          <w:rFonts w:ascii="Arial" w:eastAsia="Calibri" w:hAnsi="Arial" w:cs="Arial"/>
          <w:b/>
          <w:sz w:val="24"/>
          <w:szCs w:val="24"/>
        </w:rPr>
      </w:pPr>
    </w:p>
    <w:p w:rsidR="004B2CFA" w:rsidRDefault="004B2CFA" w:rsidP="007B0F57">
      <w:pPr>
        <w:spacing w:after="160" w:line="259" w:lineRule="auto"/>
        <w:rPr>
          <w:rFonts w:ascii="Arial" w:eastAsia="Calibri" w:hAnsi="Arial" w:cs="Arial"/>
          <w:b/>
          <w:sz w:val="24"/>
          <w:szCs w:val="24"/>
        </w:rPr>
      </w:pPr>
    </w:p>
    <w:p w:rsidR="004B2CFA" w:rsidRDefault="004B2CFA" w:rsidP="007B0F57">
      <w:pPr>
        <w:spacing w:after="160" w:line="259" w:lineRule="auto"/>
        <w:rPr>
          <w:rFonts w:ascii="Arial" w:eastAsia="Calibri" w:hAnsi="Arial" w:cs="Arial"/>
          <w:sz w:val="24"/>
          <w:szCs w:val="24"/>
        </w:rPr>
      </w:pPr>
      <w:r>
        <w:rPr>
          <w:rFonts w:ascii="Arial" w:eastAsia="Calibri" w:hAnsi="Arial" w:cs="Arial"/>
          <w:sz w:val="24"/>
          <w:szCs w:val="24"/>
        </w:rPr>
        <w:t>I agree</w:t>
      </w:r>
    </w:p>
    <w:p w:rsidR="004B2CFA" w:rsidRPr="00D14312" w:rsidRDefault="004B2CFA" w:rsidP="004B2CFA">
      <w:pPr>
        <w:spacing w:line="240" w:lineRule="auto"/>
        <w:jc w:val="right"/>
        <w:rPr>
          <w:rFonts w:ascii="Arial" w:eastAsia="Calibri" w:hAnsi="Arial" w:cs="Arial"/>
        </w:rPr>
      </w:pPr>
      <w:r w:rsidRPr="00D14312">
        <w:rPr>
          <w:rFonts w:ascii="Arial" w:eastAsia="Calibri" w:hAnsi="Arial" w:cs="Arial"/>
          <w:b/>
          <w:sz w:val="24"/>
          <w:szCs w:val="24"/>
        </w:rPr>
        <w:t>__________________</w:t>
      </w:r>
    </w:p>
    <w:p w:rsidR="004B2CFA" w:rsidRPr="00D14312" w:rsidRDefault="00D57327" w:rsidP="004B2CFA">
      <w:pPr>
        <w:spacing w:line="240" w:lineRule="auto"/>
        <w:jc w:val="right"/>
        <w:rPr>
          <w:rFonts w:ascii="Arial" w:eastAsia="Calibri" w:hAnsi="Arial" w:cs="Arial"/>
          <w:b/>
          <w:sz w:val="24"/>
          <w:szCs w:val="24"/>
        </w:rPr>
      </w:pPr>
      <w:r>
        <w:rPr>
          <w:rFonts w:ascii="Arial" w:eastAsia="Calibri" w:hAnsi="Arial" w:cs="Arial"/>
          <w:b/>
          <w:sz w:val="24"/>
          <w:szCs w:val="24"/>
        </w:rPr>
        <w:t>D.S. MOLEFE</w:t>
      </w:r>
    </w:p>
    <w:p w:rsidR="004B2CFA" w:rsidRDefault="004B2CFA" w:rsidP="004B2CFA">
      <w:pPr>
        <w:spacing w:line="240" w:lineRule="auto"/>
        <w:jc w:val="right"/>
        <w:rPr>
          <w:rFonts w:ascii="Arial" w:eastAsia="Calibri" w:hAnsi="Arial" w:cs="Arial"/>
          <w:b/>
          <w:sz w:val="24"/>
          <w:szCs w:val="24"/>
        </w:rPr>
      </w:pPr>
      <w:r w:rsidRPr="00D14312">
        <w:rPr>
          <w:rFonts w:ascii="Arial" w:eastAsia="Calibri" w:hAnsi="Arial" w:cs="Arial"/>
          <w:b/>
          <w:sz w:val="24"/>
          <w:szCs w:val="24"/>
        </w:rPr>
        <w:t>JUDGE OF THE HIGH COURT</w:t>
      </w:r>
    </w:p>
    <w:p w:rsidR="004B2CFA" w:rsidRDefault="004B2CFA" w:rsidP="007B0F57">
      <w:pPr>
        <w:spacing w:after="160" w:line="259" w:lineRule="auto"/>
        <w:rPr>
          <w:rFonts w:ascii="Arial" w:eastAsia="Calibri" w:hAnsi="Arial" w:cs="Arial"/>
          <w:sz w:val="24"/>
          <w:szCs w:val="24"/>
        </w:rPr>
      </w:pPr>
    </w:p>
    <w:p w:rsidR="004B2CFA" w:rsidRPr="004B2CFA" w:rsidRDefault="004B2CFA" w:rsidP="007B0F57">
      <w:pPr>
        <w:spacing w:after="160" w:line="259" w:lineRule="auto"/>
        <w:rPr>
          <w:rFonts w:ascii="Arial" w:eastAsia="Calibri" w:hAnsi="Arial" w:cs="Arial"/>
          <w:sz w:val="24"/>
          <w:szCs w:val="24"/>
        </w:rPr>
      </w:pPr>
    </w:p>
    <w:p w:rsidR="00D57327" w:rsidRDefault="00D57327">
      <w:pPr>
        <w:spacing w:after="160" w:line="259" w:lineRule="auto"/>
        <w:rPr>
          <w:rFonts w:ascii="Arial" w:eastAsia="Calibri" w:hAnsi="Arial" w:cs="Arial"/>
          <w:sz w:val="24"/>
          <w:szCs w:val="24"/>
        </w:rPr>
      </w:pPr>
      <w:r>
        <w:rPr>
          <w:rFonts w:ascii="Arial" w:eastAsia="Calibri" w:hAnsi="Arial" w:cs="Arial"/>
          <w:sz w:val="24"/>
          <w:szCs w:val="24"/>
        </w:rPr>
        <w:lastRenderedPageBreak/>
        <w:br w:type="page"/>
      </w:r>
    </w:p>
    <w:p w:rsidR="007B0F57" w:rsidRDefault="00D57327" w:rsidP="007B0F57">
      <w:pPr>
        <w:spacing w:line="360" w:lineRule="auto"/>
        <w:jc w:val="both"/>
        <w:rPr>
          <w:rFonts w:ascii="Arial" w:eastAsia="Calibri" w:hAnsi="Arial" w:cs="Arial"/>
          <w:sz w:val="24"/>
          <w:szCs w:val="24"/>
        </w:rPr>
      </w:pPr>
      <w:r>
        <w:rPr>
          <w:rFonts w:ascii="Arial" w:eastAsia="Calibri" w:hAnsi="Arial" w:cs="Arial"/>
          <w:sz w:val="24"/>
          <w:szCs w:val="24"/>
        </w:rPr>
        <w:lastRenderedPageBreak/>
        <w:t>CASE NUMBER:  A316/2018</w:t>
      </w:r>
    </w:p>
    <w:p w:rsidR="007B0F57" w:rsidRDefault="007B0F57" w:rsidP="007B0F57">
      <w:pPr>
        <w:spacing w:line="360" w:lineRule="auto"/>
        <w:jc w:val="both"/>
        <w:rPr>
          <w:rFonts w:ascii="Arial" w:eastAsia="Calibri" w:hAnsi="Arial" w:cs="Arial"/>
          <w:sz w:val="24"/>
          <w:szCs w:val="24"/>
        </w:rPr>
      </w:pPr>
    </w:p>
    <w:p w:rsidR="007B0F57" w:rsidRPr="0089080B" w:rsidRDefault="007B0F57" w:rsidP="007B0F57">
      <w:pPr>
        <w:spacing w:line="360" w:lineRule="auto"/>
        <w:jc w:val="both"/>
        <w:rPr>
          <w:rFonts w:ascii="Arial" w:eastAsia="Calibri" w:hAnsi="Arial" w:cs="Arial"/>
          <w:sz w:val="24"/>
          <w:szCs w:val="24"/>
        </w:rPr>
      </w:pPr>
      <w:r w:rsidRPr="0089080B">
        <w:rPr>
          <w:rFonts w:ascii="Arial" w:eastAsia="Calibri" w:hAnsi="Arial" w:cs="Arial"/>
          <w:sz w:val="24"/>
          <w:szCs w:val="24"/>
        </w:rPr>
        <w:t xml:space="preserve">HEARD ON:   </w:t>
      </w:r>
      <w:r w:rsidR="00D57327">
        <w:rPr>
          <w:rFonts w:ascii="Arial" w:eastAsia="Calibri" w:hAnsi="Arial" w:cs="Arial"/>
          <w:sz w:val="24"/>
          <w:szCs w:val="24"/>
        </w:rPr>
        <w:t>20 April 2022</w:t>
      </w:r>
    </w:p>
    <w:p w:rsidR="007B0F57" w:rsidRDefault="007B0F57" w:rsidP="007B0F57">
      <w:pPr>
        <w:spacing w:line="360" w:lineRule="auto"/>
        <w:jc w:val="both"/>
        <w:rPr>
          <w:rFonts w:ascii="Arial" w:eastAsia="Calibri" w:hAnsi="Arial" w:cs="Arial"/>
          <w:sz w:val="24"/>
          <w:szCs w:val="24"/>
        </w:rPr>
      </w:pPr>
    </w:p>
    <w:p w:rsidR="00D57327" w:rsidRDefault="007B0F57" w:rsidP="007B0F57">
      <w:pPr>
        <w:spacing w:line="360" w:lineRule="auto"/>
        <w:jc w:val="both"/>
        <w:rPr>
          <w:rFonts w:ascii="Arial" w:eastAsia="Calibri" w:hAnsi="Arial" w:cs="Arial"/>
          <w:sz w:val="24"/>
          <w:szCs w:val="24"/>
        </w:rPr>
      </w:pPr>
      <w:r>
        <w:rPr>
          <w:rFonts w:ascii="Arial" w:eastAsia="Calibri" w:hAnsi="Arial" w:cs="Arial"/>
          <w:sz w:val="24"/>
          <w:szCs w:val="24"/>
        </w:rPr>
        <w:t>FOR THE APPELLANT</w:t>
      </w:r>
      <w:r w:rsidR="00D57327">
        <w:rPr>
          <w:rFonts w:ascii="Arial" w:eastAsia="Calibri" w:hAnsi="Arial" w:cs="Arial"/>
          <w:sz w:val="24"/>
          <w:szCs w:val="24"/>
        </w:rPr>
        <w:t>:  ADV. M.C.C. DE KLERK</w:t>
      </w:r>
    </w:p>
    <w:p w:rsidR="007B0F57" w:rsidRDefault="007B0F57" w:rsidP="007B0F57">
      <w:pPr>
        <w:spacing w:line="360" w:lineRule="auto"/>
        <w:jc w:val="both"/>
        <w:rPr>
          <w:rFonts w:ascii="Arial" w:eastAsia="Calibri" w:hAnsi="Arial" w:cs="Arial"/>
          <w:sz w:val="24"/>
          <w:szCs w:val="24"/>
        </w:rPr>
      </w:pPr>
      <w:r w:rsidRPr="0089080B">
        <w:rPr>
          <w:rFonts w:ascii="Arial" w:eastAsia="Calibri" w:hAnsi="Arial" w:cs="Arial"/>
          <w:sz w:val="24"/>
          <w:szCs w:val="24"/>
        </w:rPr>
        <w:t>INSTRUCTED BY:</w:t>
      </w:r>
      <w:r w:rsidR="00D57327">
        <w:rPr>
          <w:rFonts w:ascii="Arial" w:eastAsia="Calibri" w:hAnsi="Arial" w:cs="Arial"/>
          <w:sz w:val="24"/>
          <w:szCs w:val="24"/>
        </w:rPr>
        <w:t xml:space="preserve">  </w:t>
      </w:r>
      <w:proofErr w:type="spellStart"/>
      <w:r w:rsidR="00D57327">
        <w:rPr>
          <w:rFonts w:ascii="Arial" w:eastAsia="Calibri" w:hAnsi="Arial" w:cs="Arial"/>
          <w:sz w:val="24"/>
          <w:szCs w:val="24"/>
        </w:rPr>
        <w:t>Röntgen</w:t>
      </w:r>
      <w:proofErr w:type="spellEnd"/>
      <w:r w:rsidR="00D57327">
        <w:rPr>
          <w:rFonts w:ascii="Arial" w:eastAsia="Calibri" w:hAnsi="Arial" w:cs="Arial"/>
          <w:sz w:val="24"/>
          <w:szCs w:val="24"/>
        </w:rPr>
        <w:t xml:space="preserve"> &amp; </w:t>
      </w:r>
      <w:proofErr w:type="spellStart"/>
      <w:r w:rsidR="00D57327">
        <w:rPr>
          <w:rFonts w:ascii="Arial" w:eastAsia="Calibri" w:hAnsi="Arial" w:cs="Arial"/>
          <w:sz w:val="24"/>
          <w:szCs w:val="24"/>
        </w:rPr>
        <w:t>Röntgen</w:t>
      </w:r>
      <w:proofErr w:type="spellEnd"/>
      <w:r w:rsidR="00D57327">
        <w:rPr>
          <w:rFonts w:ascii="Arial" w:eastAsia="Calibri" w:hAnsi="Arial" w:cs="Arial"/>
          <w:sz w:val="24"/>
          <w:szCs w:val="24"/>
        </w:rPr>
        <w:t xml:space="preserve"> Inc.</w:t>
      </w:r>
    </w:p>
    <w:p w:rsidR="007B0F57" w:rsidRDefault="007B0F57" w:rsidP="007B0F57">
      <w:pPr>
        <w:spacing w:line="360" w:lineRule="auto"/>
        <w:jc w:val="both"/>
        <w:rPr>
          <w:rFonts w:ascii="Arial" w:eastAsia="Calibri" w:hAnsi="Arial" w:cs="Arial"/>
          <w:sz w:val="24"/>
          <w:szCs w:val="24"/>
        </w:rPr>
      </w:pPr>
    </w:p>
    <w:p w:rsidR="007B0F57" w:rsidRDefault="007B0F57" w:rsidP="007B0F57">
      <w:pPr>
        <w:spacing w:line="360" w:lineRule="auto"/>
        <w:jc w:val="both"/>
        <w:rPr>
          <w:rFonts w:ascii="Arial" w:eastAsia="Calibri" w:hAnsi="Arial" w:cs="Arial"/>
          <w:sz w:val="24"/>
          <w:szCs w:val="24"/>
        </w:rPr>
      </w:pPr>
      <w:r>
        <w:rPr>
          <w:rFonts w:ascii="Arial" w:eastAsia="Calibri" w:hAnsi="Arial" w:cs="Arial"/>
          <w:sz w:val="24"/>
          <w:szCs w:val="24"/>
        </w:rPr>
        <w:t xml:space="preserve">FOR THE RESPONDENT:  </w:t>
      </w:r>
      <w:r w:rsidR="00D57327">
        <w:rPr>
          <w:rFonts w:ascii="Arial" w:eastAsia="Calibri" w:hAnsi="Arial" w:cs="Arial"/>
          <w:sz w:val="24"/>
          <w:szCs w:val="24"/>
        </w:rPr>
        <w:t>MR. T. NAIDOO</w:t>
      </w:r>
    </w:p>
    <w:p w:rsidR="007B0F57" w:rsidRDefault="007B0F57" w:rsidP="007B0F57">
      <w:pPr>
        <w:spacing w:line="360" w:lineRule="auto"/>
        <w:jc w:val="both"/>
        <w:rPr>
          <w:rFonts w:ascii="Arial" w:eastAsia="Calibri" w:hAnsi="Arial" w:cs="Arial"/>
          <w:sz w:val="24"/>
          <w:szCs w:val="24"/>
        </w:rPr>
      </w:pPr>
      <w:r>
        <w:rPr>
          <w:rFonts w:ascii="Arial" w:eastAsia="Calibri" w:hAnsi="Arial" w:cs="Arial"/>
          <w:sz w:val="24"/>
          <w:szCs w:val="24"/>
        </w:rPr>
        <w:t xml:space="preserve">INSTRUCTED BY:  </w:t>
      </w:r>
      <w:r w:rsidR="00D57327">
        <w:rPr>
          <w:rFonts w:ascii="Arial" w:eastAsia="Calibri" w:hAnsi="Arial" w:cs="Arial"/>
          <w:sz w:val="24"/>
          <w:szCs w:val="24"/>
        </w:rPr>
        <w:t>State Attorney, Johannesburg</w:t>
      </w:r>
    </w:p>
    <w:p w:rsidR="007B0F57" w:rsidRDefault="007B0F57" w:rsidP="007B0F57">
      <w:pPr>
        <w:spacing w:line="360" w:lineRule="auto"/>
        <w:jc w:val="both"/>
        <w:rPr>
          <w:rFonts w:ascii="Arial" w:eastAsia="Calibri" w:hAnsi="Arial" w:cs="Arial"/>
          <w:sz w:val="24"/>
          <w:szCs w:val="24"/>
        </w:rPr>
      </w:pPr>
    </w:p>
    <w:p w:rsidR="007B0F57" w:rsidRPr="0089080B" w:rsidRDefault="007B0F57" w:rsidP="007B0F57">
      <w:pPr>
        <w:spacing w:line="360" w:lineRule="auto"/>
        <w:jc w:val="both"/>
        <w:rPr>
          <w:rFonts w:ascii="Arial" w:hAnsi="Arial" w:cs="Arial"/>
          <w:sz w:val="24"/>
          <w:szCs w:val="24"/>
        </w:rPr>
      </w:pPr>
      <w:r>
        <w:rPr>
          <w:rFonts w:ascii="Arial" w:eastAsia="Calibri" w:hAnsi="Arial" w:cs="Arial"/>
          <w:sz w:val="24"/>
          <w:szCs w:val="24"/>
        </w:rPr>
        <w:t xml:space="preserve">DATE OF JUDGMENT:   </w:t>
      </w:r>
      <w:r w:rsidR="00D4346E">
        <w:rPr>
          <w:rFonts w:ascii="Arial" w:eastAsia="Calibri" w:hAnsi="Arial" w:cs="Arial"/>
          <w:sz w:val="24"/>
          <w:szCs w:val="24"/>
        </w:rPr>
        <w:t>13 June 2022</w:t>
      </w:r>
    </w:p>
    <w:p w:rsidR="007B0F57" w:rsidRDefault="007B0F57" w:rsidP="007B0F57"/>
    <w:p w:rsidR="007B0F57" w:rsidRDefault="007B0F57" w:rsidP="007B0F57">
      <w:pPr>
        <w:spacing w:line="240" w:lineRule="auto"/>
        <w:jc w:val="right"/>
        <w:rPr>
          <w:rFonts w:ascii="Arial" w:eastAsia="Calibri" w:hAnsi="Arial" w:cs="Arial"/>
          <w:b/>
          <w:sz w:val="24"/>
          <w:szCs w:val="24"/>
        </w:rPr>
      </w:pPr>
    </w:p>
    <w:p w:rsidR="007B0F57" w:rsidRDefault="007B0F57" w:rsidP="007B0F57">
      <w:pPr>
        <w:spacing w:line="240" w:lineRule="auto"/>
        <w:jc w:val="both"/>
        <w:rPr>
          <w:rFonts w:ascii="Arial" w:eastAsia="Calibri" w:hAnsi="Arial" w:cs="Arial"/>
          <w:sz w:val="24"/>
          <w:szCs w:val="24"/>
        </w:rPr>
      </w:pPr>
    </w:p>
    <w:p w:rsidR="007B0F57" w:rsidRPr="00E075AE" w:rsidRDefault="007B0F57" w:rsidP="007B0F57">
      <w:pPr>
        <w:spacing w:line="240" w:lineRule="auto"/>
        <w:jc w:val="both"/>
        <w:rPr>
          <w:rFonts w:ascii="Arial" w:eastAsia="Calibri" w:hAnsi="Arial" w:cs="Arial"/>
          <w:sz w:val="24"/>
          <w:szCs w:val="24"/>
        </w:rPr>
      </w:pPr>
    </w:p>
    <w:p w:rsidR="007B0F57" w:rsidRPr="00D14312" w:rsidRDefault="007B0F57" w:rsidP="007B0F57">
      <w:pPr>
        <w:spacing w:line="240" w:lineRule="auto"/>
        <w:rPr>
          <w:rFonts w:ascii="Arial" w:eastAsia="Calibri" w:hAnsi="Arial" w:cs="Arial"/>
          <w:sz w:val="24"/>
          <w:szCs w:val="24"/>
        </w:rPr>
      </w:pPr>
    </w:p>
    <w:p w:rsidR="007B0F57" w:rsidRPr="00D14312" w:rsidRDefault="007B0F57" w:rsidP="007B0F57">
      <w:pPr>
        <w:rPr>
          <w:rFonts w:ascii="Arial" w:hAnsi="Arial" w:cs="Arial"/>
          <w:b/>
          <w:sz w:val="28"/>
          <w:szCs w:val="28"/>
        </w:rPr>
      </w:pPr>
    </w:p>
    <w:p w:rsidR="007B0F57" w:rsidRDefault="007B0F57" w:rsidP="007B0F57"/>
    <w:p w:rsidR="007B0F57" w:rsidRDefault="007B0F57" w:rsidP="007B0F57"/>
    <w:p w:rsidR="007B0F57" w:rsidRDefault="007B0F57" w:rsidP="007B0F57"/>
    <w:p w:rsidR="00570B4B" w:rsidRDefault="00570B4B"/>
    <w:sectPr w:rsidR="00570B4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DC" w:rsidRDefault="00274FDC" w:rsidP="007B0F57">
      <w:pPr>
        <w:spacing w:after="0" w:line="240" w:lineRule="auto"/>
      </w:pPr>
      <w:r>
        <w:separator/>
      </w:r>
    </w:p>
  </w:endnote>
  <w:endnote w:type="continuationSeparator" w:id="0">
    <w:p w:rsidR="00274FDC" w:rsidRDefault="00274FDC" w:rsidP="007B0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DC" w:rsidRDefault="00274FDC" w:rsidP="007B0F57">
      <w:pPr>
        <w:spacing w:after="0" w:line="240" w:lineRule="auto"/>
      </w:pPr>
      <w:r>
        <w:separator/>
      </w:r>
    </w:p>
  </w:footnote>
  <w:footnote w:type="continuationSeparator" w:id="0">
    <w:p w:rsidR="00274FDC" w:rsidRDefault="00274FDC" w:rsidP="007B0F57">
      <w:pPr>
        <w:spacing w:after="0" w:line="240" w:lineRule="auto"/>
      </w:pPr>
      <w:r>
        <w:continuationSeparator/>
      </w:r>
    </w:p>
  </w:footnote>
  <w:footnote w:id="1">
    <w:p w:rsidR="006373DB" w:rsidRPr="00DA110B" w:rsidRDefault="006373DB">
      <w:pPr>
        <w:pStyle w:val="FootnoteText"/>
        <w:rPr>
          <w:lang w:val="en-GB"/>
        </w:rPr>
      </w:pPr>
      <w:r>
        <w:rPr>
          <w:rStyle w:val="FootnoteReference"/>
        </w:rPr>
        <w:footnoteRef/>
      </w:r>
      <w:r>
        <w:t xml:space="preserve"> </w:t>
      </w:r>
      <w:r>
        <w:rPr>
          <w:i/>
          <w:lang w:val="en-GB"/>
        </w:rPr>
        <w:t xml:space="preserve">Natal Joint Municipal Pension Fund v </w:t>
      </w:r>
      <w:proofErr w:type="spellStart"/>
      <w:r>
        <w:rPr>
          <w:i/>
          <w:lang w:val="en-GB"/>
        </w:rPr>
        <w:t>Endumeni</w:t>
      </w:r>
      <w:proofErr w:type="spellEnd"/>
      <w:r>
        <w:rPr>
          <w:i/>
          <w:lang w:val="en-GB"/>
        </w:rPr>
        <w:t xml:space="preserve"> Municipality </w:t>
      </w:r>
      <w:r>
        <w:rPr>
          <w:lang w:val="en-GB"/>
        </w:rPr>
        <w:t>2012 (4) SA 593 (SCA)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2024094"/>
      <w:docPartObj>
        <w:docPartGallery w:val="Page Numbers (Top of Page)"/>
        <w:docPartUnique/>
      </w:docPartObj>
    </w:sdtPr>
    <w:sdtEndPr>
      <w:rPr>
        <w:noProof/>
      </w:rPr>
    </w:sdtEndPr>
    <w:sdtContent>
      <w:p w:rsidR="006373DB" w:rsidRDefault="006373DB">
        <w:pPr>
          <w:pStyle w:val="Header"/>
          <w:jc w:val="center"/>
        </w:pPr>
        <w:r>
          <w:fldChar w:fldCharType="begin"/>
        </w:r>
        <w:r>
          <w:instrText xml:space="preserve"> PAGE   \* MERGEFORMAT </w:instrText>
        </w:r>
        <w:r>
          <w:fldChar w:fldCharType="separate"/>
        </w:r>
        <w:r w:rsidR="008875E8">
          <w:rPr>
            <w:noProof/>
          </w:rPr>
          <w:t>9</w:t>
        </w:r>
        <w:r>
          <w:rPr>
            <w:noProof/>
          </w:rPr>
          <w:fldChar w:fldCharType="end"/>
        </w:r>
      </w:p>
    </w:sdtContent>
  </w:sdt>
  <w:p w:rsidR="006373DB" w:rsidRDefault="006373D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02D17"/>
    <w:multiLevelType w:val="hybridMultilevel"/>
    <w:tmpl w:val="1592DDA8"/>
    <w:lvl w:ilvl="0" w:tplc="E88CE51C">
      <w:start w:val="1"/>
      <w:numFmt w:val="lowerRoman"/>
      <w:lvlText w:val="(%1)"/>
      <w:lvlJc w:val="left"/>
      <w:pPr>
        <w:ind w:left="2553" w:hanging="720"/>
      </w:pPr>
      <w:rPr>
        <w:rFonts w:hint="default"/>
      </w:rPr>
    </w:lvl>
    <w:lvl w:ilvl="1" w:tplc="1C090019">
      <w:start w:val="1"/>
      <w:numFmt w:val="lowerLetter"/>
      <w:lvlText w:val="%2."/>
      <w:lvlJc w:val="left"/>
      <w:pPr>
        <w:ind w:left="2913" w:hanging="360"/>
      </w:pPr>
    </w:lvl>
    <w:lvl w:ilvl="2" w:tplc="1C09001B" w:tentative="1">
      <w:start w:val="1"/>
      <w:numFmt w:val="lowerRoman"/>
      <w:lvlText w:val="%3."/>
      <w:lvlJc w:val="right"/>
      <w:pPr>
        <w:ind w:left="3633" w:hanging="180"/>
      </w:pPr>
    </w:lvl>
    <w:lvl w:ilvl="3" w:tplc="1C09000F" w:tentative="1">
      <w:start w:val="1"/>
      <w:numFmt w:val="decimal"/>
      <w:lvlText w:val="%4."/>
      <w:lvlJc w:val="left"/>
      <w:pPr>
        <w:ind w:left="4353" w:hanging="360"/>
      </w:pPr>
    </w:lvl>
    <w:lvl w:ilvl="4" w:tplc="1C090019" w:tentative="1">
      <w:start w:val="1"/>
      <w:numFmt w:val="lowerLetter"/>
      <w:lvlText w:val="%5."/>
      <w:lvlJc w:val="left"/>
      <w:pPr>
        <w:ind w:left="5073" w:hanging="360"/>
      </w:pPr>
    </w:lvl>
    <w:lvl w:ilvl="5" w:tplc="1C09001B" w:tentative="1">
      <w:start w:val="1"/>
      <w:numFmt w:val="lowerRoman"/>
      <w:lvlText w:val="%6."/>
      <w:lvlJc w:val="right"/>
      <w:pPr>
        <w:ind w:left="5793" w:hanging="180"/>
      </w:pPr>
    </w:lvl>
    <w:lvl w:ilvl="6" w:tplc="1C09000F" w:tentative="1">
      <w:start w:val="1"/>
      <w:numFmt w:val="decimal"/>
      <w:lvlText w:val="%7."/>
      <w:lvlJc w:val="left"/>
      <w:pPr>
        <w:ind w:left="6513" w:hanging="360"/>
      </w:pPr>
    </w:lvl>
    <w:lvl w:ilvl="7" w:tplc="1C090019" w:tentative="1">
      <w:start w:val="1"/>
      <w:numFmt w:val="lowerLetter"/>
      <w:lvlText w:val="%8."/>
      <w:lvlJc w:val="left"/>
      <w:pPr>
        <w:ind w:left="7233" w:hanging="360"/>
      </w:pPr>
    </w:lvl>
    <w:lvl w:ilvl="8" w:tplc="1C09001B" w:tentative="1">
      <w:start w:val="1"/>
      <w:numFmt w:val="lowerRoman"/>
      <w:lvlText w:val="%9."/>
      <w:lvlJc w:val="right"/>
      <w:pPr>
        <w:ind w:left="7953" w:hanging="180"/>
      </w:pPr>
    </w:lvl>
  </w:abstractNum>
  <w:abstractNum w:abstractNumId="1" w15:restartNumberingAfterBreak="0">
    <w:nsid w:val="7C103273"/>
    <w:multiLevelType w:val="hybridMultilevel"/>
    <w:tmpl w:val="F496C122"/>
    <w:lvl w:ilvl="0" w:tplc="D818B346">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57"/>
    <w:rsid w:val="00012F52"/>
    <w:rsid w:val="001118FD"/>
    <w:rsid w:val="001259A5"/>
    <w:rsid w:val="00136156"/>
    <w:rsid w:val="00136633"/>
    <w:rsid w:val="00197D2D"/>
    <w:rsid w:val="001C235A"/>
    <w:rsid w:val="001D1202"/>
    <w:rsid w:val="00274FDC"/>
    <w:rsid w:val="002C5EC2"/>
    <w:rsid w:val="002E74FA"/>
    <w:rsid w:val="00321366"/>
    <w:rsid w:val="003767C1"/>
    <w:rsid w:val="003832D9"/>
    <w:rsid w:val="00387BA9"/>
    <w:rsid w:val="004B2CFA"/>
    <w:rsid w:val="00504199"/>
    <w:rsid w:val="00570B4B"/>
    <w:rsid w:val="00580077"/>
    <w:rsid w:val="00610A16"/>
    <w:rsid w:val="006373DB"/>
    <w:rsid w:val="00657D3E"/>
    <w:rsid w:val="007846C6"/>
    <w:rsid w:val="007B0F57"/>
    <w:rsid w:val="007B7C85"/>
    <w:rsid w:val="0083186D"/>
    <w:rsid w:val="0088326C"/>
    <w:rsid w:val="008875E8"/>
    <w:rsid w:val="00AC4C36"/>
    <w:rsid w:val="00B65869"/>
    <w:rsid w:val="00B8390D"/>
    <w:rsid w:val="00BB5EA2"/>
    <w:rsid w:val="00BF24D1"/>
    <w:rsid w:val="00C048E9"/>
    <w:rsid w:val="00C326F0"/>
    <w:rsid w:val="00CE33AA"/>
    <w:rsid w:val="00D4346E"/>
    <w:rsid w:val="00D57327"/>
    <w:rsid w:val="00D70C4E"/>
    <w:rsid w:val="00D7401B"/>
    <w:rsid w:val="00DA110B"/>
    <w:rsid w:val="00DC02B3"/>
    <w:rsid w:val="00F82C32"/>
    <w:rsid w:val="00F937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6D16"/>
  <w15:chartTrackingRefBased/>
  <w15:docId w15:val="{FDB9D2F1-82CA-4DC0-98D5-BA7072FB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F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F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F57"/>
  </w:style>
  <w:style w:type="paragraph" w:styleId="FootnoteText">
    <w:name w:val="footnote text"/>
    <w:basedOn w:val="Normal"/>
    <w:link w:val="FootnoteTextChar"/>
    <w:uiPriority w:val="99"/>
    <w:semiHidden/>
    <w:unhideWhenUsed/>
    <w:rsid w:val="007B0F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0F57"/>
    <w:rPr>
      <w:sz w:val="20"/>
      <w:szCs w:val="20"/>
    </w:rPr>
  </w:style>
  <w:style w:type="character" w:styleId="FootnoteReference">
    <w:name w:val="footnote reference"/>
    <w:basedOn w:val="DefaultParagraphFont"/>
    <w:uiPriority w:val="99"/>
    <w:semiHidden/>
    <w:unhideWhenUsed/>
    <w:rsid w:val="007B0F57"/>
    <w:rPr>
      <w:vertAlign w:val="superscript"/>
    </w:rPr>
  </w:style>
  <w:style w:type="paragraph" w:styleId="ListParagraph">
    <w:name w:val="List Paragraph"/>
    <w:basedOn w:val="Normal"/>
    <w:uiPriority w:val="34"/>
    <w:qFormat/>
    <w:rsid w:val="00657D3E"/>
    <w:pPr>
      <w:ind w:left="720"/>
      <w:contextualSpacing/>
    </w:pPr>
  </w:style>
  <w:style w:type="paragraph" w:styleId="BalloonText">
    <w:name w:val="Balloon Text"/>
    <w:basedOn w:val="Normal"/>
    <w:link w:val="BalloonTextChar"/>
    <w:uiPriority w:val="99"/>
    <w:semiHidden/>
    <w:unhideWhenUsed/>
    <w:rsid w:val="00197D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7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8ABB-ADD6-40BB-96A9-07A52E32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Hefer</dc:creator>
  <cp:keywords/>
  <dc:description/>
  <cp:lastModifiedBy>Mary Bruce</cp:lastModifiedBy>
  <cp:revision>3</cp:revision>
  <cp:lastPrinted>2022-05-11T13:04:00Z</cp:lastPrinted>
  <dcterms:created xsi:type="dcterms:W3CDTF">2022-06-13T06:36:00Z</dcterms:created>
  <dcterms:modified xsi:type="dcterms:W3CDTF">2022-06-30T09:45:00Z</dcterms:modified>
</cp:coreProperties>
</file>