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1283" w14:textId="6B904DC8" w:rsidR="00AE39D3" w:rsidRPr="00C71BA3" w:rsidRDefault="00842028" w:rsidP="00BC3FB8">
      <w:pPr>
        <w:spacing w:line="360" w:lineRule="auto"/>
        <w:jc w:val="center"/>
        <w:rPr>
          <w:rFonts w:ascii="Arial" w:hAnsi="Arial" w:cs="Arial"/>
          <w:b/>
        </w:rPr>
      </w:pPr>
      <w:r w:rsidRPr="00C71BA3">
        <w:rPr>
          <w:rFonts w:ascii="Arial" w:hAnsi="Arial" w:cs="Arial"/>
          <w:b/>
          <w:noProof/>
          <w:lang w:val="en-US" w:eastAsia="en-US"/>
        </w:rPr>
        <w:drawing>
          <wp:inline distT="0" distB="0" distL="0" distR="0" wp14:anchorId="003A3757" wp14:editId="3B3496F7">
            <wp:extent cx="1362075" cy="1362075"/>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72450833" w14:textId="77777777" w:rsidR="00BC3FB8" w:rsidRPr="00C71BA3" w:rsidRDefault="00BC3FB8" w:rsidP="00BC3FB8">
      <w:pPr>
        <w:spacing w:line="360" w:lineRule="auto"/>
        <w:jc w:val="center"/>
        <w:rPr>
          <w:rFonts w:ascii="Arial" w:hAnsi="Arial" w:cs="Arial"/>
          <w:b/>
        </w:rPr>
      </w:pPr>
    </w:p>
    <w:p w14:paraId="5D5879D9"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26475446" w14:textId="0C741644"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D16023">
        <w:rPr>
          <w:rFonts w:ascii="Arial" w:hAnsi="Arial" w:cs="Arial"/>
          <w:b/>
        </w:rPr>
        <w:t>PRETORIA</w:t>
      </w:r>
    </w:p>
    <w:p w14:paraId="1978BE20" w14:textId="77777777"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5871"/>
        <w:gridCol w:w="3168"/>
      </w:tblGrid>
      <w:tr w:rsidR="00BC3FB8" w:rsidRPr="00C71BA3" w14:paraId="60105E9D" w14:textId="77777777" w:rsidTr="00460767">
        <w:tc>
          <w:tcPr>
            <w:tcW w:w="5871" w:type="dxa"/>
            <w:shd w:val="clear" w:color="auto" w:fill="auto"/>
          </w:tcPr>
          <w:p w14:paraId="48228A0C" w14:textId="41947CCA" w:rsidR="00BC3FB8" w:rsidRPr="00C71BA3" w:rsidRDefault="00842028" w:rsidP="000F670B">
            <w:pPr>
              <w:spacing w:line="360" w:lineRule="auto"/>
              <w:jc w:val="both"/>
              <w:rPr>
                <w:rFonts w:ascii="Arial" w:hAnsi="Arial" w:cs="Arial"/>
                <w:b/>
              </w:rPr>
            </w:pPr>
            <w:r>
              <w:rPr>
                <w:noProof/>
                <w:lang w:val="en-US" w:eastAsia="en-US"/>
              </w:rPr>
              <mc:AlternateContent>
                <mc:Choice Requires="wps">
                  <w:drawing>
                    <wp:anchor distT="45720" distB="45720" distL="114300" distR="114300" simplePos="0" relativeHeight="251657728" behindDoc="0" locked="0" layoutInCell="1" allowOverlap="1" wp14:anchorId="2ADB77D2" wp14:editId="1C180131">
                      <wp:simplePos x="0" y="0"/>
                      <wp:positionH relativeFrom="column">
                        <wp:posOffset>75565</wp:posOffset>
                      </wp:positionH>
                      <wp:positionV relativeFrom="paragraph">
                        <wp:posOffset>422910</wp:posOffset>
                      </wp:positionV>
                      <wp:extent cx="3228975" cy="12001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00150"/>
                              </a:xfrm>
                              <a:prstGeom prst="rect">
                                <a:avLst/>
                              </a:prstGeom>
                              <a:solidFill>
                                <a:srgbClr val="FFFFFF"/>
                              </a:solidFill>
                              <a:ln w="9525">
                                <a:solidFill>
                                  <a:srgbClr val="000000"/>
                                </a:solidFill>
                                <a:miter lim="800000"/>
                                <a:headEnd/>
                                <a:tailEnd/>
                              </a:ln>
                            </wps:spPr>
                            <wps:txb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7F130E65"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r w:rsidR="002F2BCB">
                                    <w:rPr>
                                      <w:rFonts w:ascii="Arial" w:hAnsi="Arial" w:cs="Arial"/>
                                      <w:sz w:val="20"/>
                                      <w:szCs w:val="20"/>
                                    </w:rPr>
                                    <w:t xml:space="preserve">07 NOVEMBER </w:t>
                                  </w:r>
                                  <w:r>
                                    <w:rPr>
                                      <w:rFonts w:ascii="Arial" w:hAnsi="Arial" w:cs="Arial"/>
                                      <w:sz w:val="20"/>
                                      <w:szCs w:val="20"/>
                                    </w:rPr>
                                    <w:t xml:space="preserve"> 2022</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ADB77D2" id="_x0000_t202" coordsize="21600,21600" o:spt="202" path="m,l,21600r21600,l21600,xe">
                      <v:stroke joinstyle="miter"/>
                      <v:path gradientshapeok="t" o:connecttype="rect"/>
                    </v:shapetype>
                    <v:shape id="Text Box 7" o:spid="_x0000_s1026" type="#_x0000_t202" style="position:absolute;left:0;text-align:left;margin-left:5.95pt;margin-top:33.3pt;width:254.25pt;height: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">
                      <v:textbo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7F130E65"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r w:rsidR="002F2BCB">
                              <w:rPr>
                                <w:rFonts w:ascii="Arial" w:hAnsi="Arial" w:cs="Arial"/>
                                <w:sz w:val="20"/>
                                <w:szCs w:val="20"/>
                              </w:rPr>
                              <w:t xml:space="preserve">07 NOVEMBER </w:t>
                            </w:r>
                            <w:r>
                              <w:rPr>
                                <w:rFonts w:ascii="Arial" w:hAnsi="Arial" w:cs="Arial"/>
                                <w:sz w:val="20"/>
                                <w:szCs w:val="20"/>
                              </w:rPr>
                              <w:t xml:space="preserve"> 2022</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v:textbox>
                      <w10:wrap type="square"/>
                    </v:shape>
                  </w:pict>
                </mc:Fallback>
              </mc:AlternateContent>
            </w:r>
          </w:p>
          <w:p w14:paraId="7016BF94" w14:textId="77777777" w:rsidR="00BB2C54" w:rsidRPr="00C71BA3" w:rsidRDefault="00BB2C54" w:rsidP="00BB2C54">
            <w:pPr>
              <w:spacing w:line="360" w:lineRule="auto"/>
              <w:jc w:val="both"/>
              <w:rPr>
                <w:rFonts w:ascii="Arial" w:hAnsi="Arial" w:cs="Arial"/>
                <w:b/>
              </w:rPr>
            </w:pPr>
          </w:p>
        </w:tc>
        <w:tc>
          <w:tcPr>
            <w:tcW w:w="3168" w:type="dxa"/>
            <w:shd w:val="clear" w:color="auto" w:fill="auto"/>
          </w:tcPr>
          <w:p w14:paraId="33C08D13" w14:textId="5E3E63AD" w:rsidR="00FF0EE0" w:rsidRPr="00C71BA3" w:rsidRDefault="00812EBA" w:rsidP="00FF0EE0">
            <w:pPr>
              <w:pStyle w:val="Title"/>
              <w:spacing w:after="240" w:line="360" w:lineRule="auto"/>
              <w:jc w:val="right"/>
              <w:rPr>
                <w:rFonts w:cs="Arial"/>
                <w:b/>
                <w:sz w:val="24"/>
                <w:szCs w:val="24"/>
              </w:rPr>
            </w:pPr>
            <w:r w:rsidRPr="00C71BA3">
              <w:rPr>
                <w:rFonts w:cs="Arial"/>
                <w:sz w:val="24"/>
                <w:szCs w:val="24"/>
              </w:rPr>
              <w:t xml:space="preserve">    </w:t>
            </w:r>
            <w:r w:rsidR="00FF0EE0" w:rsidRPr="00C71BA3">
              <w:rPr>
                <w:rFonts w:cs="Arial"/>
                <w:b/>
                <w:sz w:val="24"/>
                <w:szCs w:val="24"/>
              </w:rPr>
              <w:t xml:space="preserve">CASE NO: </w:t>
            </w:r>
            <w:r w:rsidR="00D16023">
              <w:rPr>
                <w:rFonts w:cs="Arial"/>
                <w:b/>
                <w:sz w:val="24"/>
                <w:szCs w:val="24"/>
              </w:rPr>
              <w:t>A208</w:t>
            </w:r>
            <w:r w:rsidR="00E238A5">
              <w:rPr>
                <w:rFonts w:cs="Arial"/>
                <w:b/>
                <w:sz w:val="24"/>
                <w:szCs w:val="24"/>
              </w:rPr>
              <w:t>/20</w:t>
            </w:r>
            <w:r w:rsidR="00D16023">
              <w:rPr>
                <w:rFonts w:cs="Arial"/>
                <w:b/>
                <w:sz w:val="24"/>
                <w:szCs w:val="24"/>
              </w:rPr>
              <w:t>21</w:t>
            </w:r>
            <w:r w:rsidR="00FF0EE0" w:rsidRPr="00C71BA3">
              <w:rPr>
                <w:rFonts w:cs="Arial"/>
                <w:b/>
                <w:sz w:val="24"/>
                <w:szCs w:val="24"/>
              </w:rPr>
              <w:fldChar w:fldCharType="begin"/>
            </w:r>
            <w:r w:rsidR="00FF0EE0" w:rsidRPr="00C71BA3">
              <w:rPr>
                <w:rFonts w:cs="Arial"/>
                <w:b/>
                <w:sz w:val="24"/>
                <w:szCs w:val="24"/>
              </w:rPr>
              <w:instrText xml:space="preserve">  </w:instrText>
            </w:r>
            <w:r w:rsidR="00FF0EE0" w:rsidRPr="00C71BA3">
              <w:rPr>
                <w:rFonts w:cs="Arial"/>
                <w:b/>
                <w:sz w:val="24"/>
                <w:szCs w:val="24"/>
              </w:rPr>
              <w:fldChar w:fldCharType="end"/>
            </w:r>
          </w:p>
          <w:p w14:paraId="7CF0D290" w14:textId="77777777" w:rsidR="00BC3FB8" w:rsidRPr="00C71BA3" w:rsidRDefault="00BC3FB8" w:rsidP="00812EBA">
            <w:pPr>
              <w:spacing w:line="360" w:lineRule="auto"/>
              <w:rPr>
                <w:rFonts w:ascii="Arial" w:hAnsi="Arial" w:cs="Arial"/>
              </w:rPr>
            </w:pPr>
          </w:p>
          <w:p w14:paraId="3DCAD526" w14:textId="77777777" w:rsidR="00BB2C54" w:rsidRPr="00C71BA3" w:rsidRDefault="00BB2C54" w:rsidP="00812EBA">
            <w:pPr>
              <w:spacing w:line="360" w:lineRule="auto"/>
              <w:rPr>
                <w:rFonts w:ascii="Arial" w:hAnsi="Arial" w:cs="Arial"/>
              </w:rPr>
            </w:pPr>
          </w:p>
          <w:p w14:paraId="295FEFF1" w14:textId="77777777" w:rsidR="00BB2C54" w:rsidRPr="00C71BA3" w:rsidRDefault="00BB2C54" w:rsidP="00812EBA">
            <w:pPr>
              <w:spacing w:line="360" w:lineRule="auto"/>
              <w:rPr>
                <w:rFonts w:ascii="Arial" w:hAnsi="Arial" w:cs="Arial"/>
              </w:rPr>
            </w:pPr>
          </w:p>
          <w:p w14:paraId="6084C1EC" w14:textId="77777777" w:rsidR="00812EBA" w:rsidRPr="00C71BA3" w:rsidRDefault="00812EBA" w:rsidP="00812EBA">
            <w:pPr>
              <w:spacing w:line="360" w:lineRule="auto"/>
              <w:rPr>
                <w:rFonts w:ascii="Arial" w:hAnsi="Arial" w:cs="Arial"/>
              </w:rPr>
            </w:pPr>
          </w:p>
        </w:tc>
      </w:tr>
    </w:tbl>
    <w:p w14:paraId="6F0A8BBE" w14:textId="77777777" w:rsidR="00574219" w:rsidRPr="00A9533D" w:rsidRDefault="00574219" w:rsidP="00574219">
      <w:pPr>
        <w:tabs>
          <w:tab w:val="left" w:pos="5868"/>
        </w:tabs>
        <w:spacing w:line="360" w:lineRule="auto"/>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p w14:paraId="029FE8A5" w14:textId="4F29D0FE" w:rsidR="00574219" w:rsidRDefault="00D16023"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NEL: JJG</w:t>
      </w:r>
      <w:r w:rsidR="00574219">
        <w:rPr>
          <w:rFonts w:ascii="Arial" w:eastAsia="Times New Roman" w:hAnsi="Arial" w:cs="Arial"/>
          <w:b/>
          <w:lang w:val="en-ZA" w:eastAsia="en-GB"/>
        </w:rPr>
        <w:tab/>
      </w:r>
      <w:r w:rsidR="00E16594">
        <w:rPr>
          <w:rFonts w:ascii="Arial" w:eastAsia="Times New Roman" w:hAnsi="Arial" w:cs="Arial"/>
          <w:b/>
          <w:lang w:val="en-ZA" w:eastAsia="en-GB"/>
        </w:rPr>
        <w:t xml:space="preserve">FIRST </w:t>
      </w:r>
      <w:r w:rsidR="00041F40">
        <w:rPr>
          <w:rFonts w:ascii="Arial" w:eastAsia="Times New Roman" w:hAnsi="Arial" w:cs="Arial"/>
          <w:b/>
          <w:lang w:val="en-ZA" w:eastAsia="en-GB"/>
        </w:rPr>
        <w:t>APP</w:t>
      </w:r>
      <w:r>
        <w:rPr>
          <w:rFonts w:ascii="Arial" w:eastAsia="Times New Roman" w:hAnsi="Arial" w:cs="Arial"/>
          <w:b/>
          <w:lang w:val="en-ZA" w:eastAsia="en-GB"/>
        </w:rPr>
        <w:t>ELLANT</w:t>
      </w:r>
    </w:p>
    <w:p w14:paraId="34E4E89B" w14:textId="31F9391B" w:rsidR="00E16594" w:rsidRDefault="00D16023"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IVY JEWEL 3 (PTY) LTD</w:t>
      </w:r>
      <w:r w:rsidR="00E16594">
        <w:rPr>
          <w:rFonts w:ascii="Arial" w:eastAsia="Times New Roman" w:hAnsi="Arial" w:cs="Arial"/>
          <w:b/>
          <w:lang w:val="en-ZA" w:eastAsia="en-GB"/>
        </w:rPr>
        <w:tab/>
        <w:t>SECOND APP</w:t>
      </w:r>
      <w:r>
        <w:rPr>
          <w:rFonts w:ascii="Arial" w:eastAsia="Times New Roman" w:hAnsi="Arial" w:cs="Arial"/>
          <w:b/>
          <w:lang w:val="en-ZA" w:eastAsia="en-GB"/>
        </w:rPr>
        <w:t>ELLANT</w:t>
      </w:r>
    </w:p>
    <w:p w14:paraId="5B167486" w14:textId="3FDDBA03" w:rsidR="00E16594" w:rsidRDefault="00D16023"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IVY JEWEL 4 (PTY) LTD</w:t>
      </w:r>
      <w:r w:rsidR="006E65D3">
        <w:rPr>
          <w:rFonts w:ascii="Arial" w:eastAsia="Times New Roman" w:hAnsi="Arial" w:cs="Arial"/>
          <w:b/>
          <w:lang w:val="en-ZA" w:eastAsia="en-GB"/>
        </w:rPr>
        <w:tab/>
        <w:t>THIRD APP</w:t>
      </w:r>
      <w:r>
        <w:rPr>
          <w:rFonts w:ascii="Arial" w:eastAsia="Times New Roman" w:hAnsi="Arial" w:cs="Arial"/>
          <w:b/>
          <w:lang w:val="en-ZA" w:eastAsia="en-GB"/>
        </w:rPr>
        <w:t>ELLANT</w:t>
      </w:r>
    </w:p>
    <w:p w14:paraId="3835D6B0" w14:textId="60ED2038" w:rsidR="00D16023" w:rsidRDefault="00D16023"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LABONTE 1 (PTY) LTD</w:t>
      </w:r>
      <w:r>
        <w:rPr>
          <w:rFonts w:ascii="Arial" w:eastAsia="Times New Roman" w:hAnsi="Arial" w:cs="Arial"/>
          <w:b/>
          <w:lang w:val="en-ZA" w:eastAsia="en-GB"/>
        </w:rPr>
        <w:tab/>
        <w:t>FOURTH APPELLANT</w:t>
      </w:r>
    </w:p>
    <w:p w14:paraId="03F9FA49" w14:textId="5E223CD2" w:rsidR="00D16023" w:rsidRDefault="00D16023"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LABONTE 2 (PTY) LTD</w:t>
      </w:r>
      <w:r>
        <w:rPr>
          <w:rFonts w:ascii="Arial" w:eastAsia="Times New Roman" w:hAnsi="Arial" w:cs="Arial"/>
          <w:b/>
          <w:lang w:val="en-ZA" w:eastAsia="en-GB"/>
        </w:rPr>
        <w:tab/>
        <w:t>FIFTH APPELLANT</w:t>
      </w:r>
    </w:p>
    <w:p w14:paraId="628432BB" w14:textId="534A4CC6" w:rsidR="00D16023" w:rsidRDefault="00D16023"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SILKBLAZE 3 (PTY) LTD</w:t>
      </w:r>
      <w:r>
        <w:rPr>
          <w:rFonts w:ascii="Arial" w:eastAsia="Times New Roman" w:hAnsi="Arial" w:cs="Arial"/>
          <w:b/>
          <w:lang w:val="en-ZA" w:eastAsia="en-GB"/>
        </w:rPr>
        <w:tab/>
        <w:t>SIXTH APPELLANT</w:t>
      </w:r>
    </w:p>
    <w:p w14:paraId="64703C24" w14:textId="687848B4" w:rsidR="00D16023" w:rsidRDefault="00D16023"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SILKBLAZE 4 (PTY) LTD</w:t>
      </w:r>
      <w:r>
        <w:rPr>
          <w:rFonts w:ascii="Arial" w:eastAsia="Times New Roman" w:hAnsi="Arial" w:cs="Arial"/>
          <w:b/>
          <w:lang w:val="en-ZA" w:eastAsia="en-GB"/>
        </w:rPr>
        <w:tab/>
        <w:t>SEVENTH APPELLANT</w:t>
      </w:r>
    </w:p>
    <w:p w14:paraId="698A16BA" w14:textId="3B728132" w:rsidR="00D16023" w:rsidRDefault="00D16023"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RUSTY ROSE 52 (PTY) LTD</w:t>
      </w:r>
      <w:r>
        <w:rPr>
          <w:rFonts w:ascii="Arial" w:eastAsia="Times New Roman" w:hAnsi="Arial" w:cs="Arial"/>
          <w:b/>
          <w:lang w:val="en-ZA" w:eastAsia="en-GB"/>
        </w:rPr>
        <w:tab/>
        <w:t>EIGHTH</w:t>
      </w:r>
      <w:r w:rsidR="00BA0DF5">
        <w:rPr>
          <w:rFonts w:ascii="Arial" w:eastAsia="Times New Roman" w:hAnsi="Arial" w:cs="Arial"/>
          <w:b/>
          <w:lang w:val="en-ZA" w:eastAsia="en-GB"/>
        </w:rPr>
        <w:t xml:space="preserve"> APPELLANT</w:t>
      </w:r>
    </w:p>
    <w:p w14:paraId="4BACB5B7" w14:textId="77777777" w:rsidR="00574219" w:rsidRPr="00710D62" w:rsidRDefault="00574219" w:rsidP="00574219">
      <w:pPr>
        <w:tabs>
          <w:tab w:val="left" w:pos="5868"/>
        </w:tabs>
        <w:spacing w:line="360" w:lineRule="auto"/>
        <w:ind w:left="936" w:hanging="936"/>
        <w:jc w:val="both"/>
        <w:rPr>
          <w:rFonts w:ascii="Arial" w:eastAsia="Times New Roman" w:hAnsi="Arial" w:cs="Arial"/>
          <w:lang w:val="en-ZA" w:eastAsia="en-GB"/>
        </w:rPr>
      </w:pPr>
      <w:r>
        <w:rPr>
          <w:rFonts w:ascii="Arial" w:eastAsia="Times New Roman" w:hAnsi="Arial" w:cs="Arial"/>
          <w:lang w:val="en-ZA" w:eastAsia="en-GB"/>
        </w:rPr>
        <w:t>and</w:t>
      </w:r>
    </w:p>
    <w:p w14:paraId="2926D20A" w14:textId="227795D1" w:rsidR="00041F40" w:rsidRPr="00AD3B10" w:rsidRDefault="00BA0DF5" w:rsidP="00292280">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CILLIERS: PJJ</w:t>
      </w:r>
      <w:r w:rsidR="00574219">
        <w:rPr>
          <w:rFonts w:ascii="Arial" w:eastAsia="Times New Roman" w:hAnsi="Arial" w:cs="Arial"/>
          <w:b/>
          <w:lang w:val="en-ZA" w:eastAsia="en-GB"/>
        </w:rPr>
        <w:tab/>
      </w:r>
      <w:r w:rsidR="00041F40">
        <w:rPr>
          <w:rFonts w:ascii="Arial" w:eastAsia="Times New Roman" w:hAnsi="Arial" w:cs="Arial"/>
          <w:b/>
          <w:lang w:val="en-ZA" w:eastAsia="en-GB"/>
        </w:rPr>
        <w:t>RESPONDENT</w:t>
      </w:r>
    </w:p>
    <w:p w14:paraId="515496CF" w14:textId="77777777"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352A607C" w14:textId="77777777" w:rsidR="00574219"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JUDGMENT</w:t>
      </w:r>
    </w:p>
    <w:p w14:paraId="35C4545B" w14:textId="77777777" w:rsidR="00041F40" w:rsidRPr="00A9533D"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47E502B2" w14:textId="77777777" w:rsidR="00574219" w:rsidRDefault="00574219" w:rsidP="00574219">
      <w:pPr>
        <w:tabs>
          <w:tab w:val="left" w:pos="5868"/>
        </w:tabs>
        <w:spacing w:line="360" w:lineRule="auto"/>
        <w:jc w:val="both"/>
        <w:rPr>
          <w:rFonts w:ascii="Arial" w:eastAsia="Times New Roman" w:hAnsi="Arial" w:cs="Arial"/>
          <w:b/>
          <w:u w:val="single"/>
          <w:lang w:val="en-ZA" w:eastAsia="en-GB"/>
        </w:rPr>
      </w:pPr>
    </w:p>
    <w:p w14:paraId="50C8FC7B" w14:textId="20E30923" w:rsidR="00AA7BEE" w:rsidRPr="00AD2BA3" w:rsidRDefault="00574219" w:rsidP="00E56817">
      <w:pPr>
        <w:tabs>
          <w:tab w:val="left" w:pos="5868"/>
        </w:tabs>
        <w:spacing w:line="360" w:lineRule="auto"/>
        <w:jc w:val="both"/>
        <w:rPr>
          <w:rFonts w:ascii="Arial" w:eastAsia="Times New Roman" w:hAnsi="Arial" w:cs="Arial"/>
          <w:b/>
          <w:u w:val="single"/>
          <w:lang w:val="en-ZA" w:eastAsia="en-GB"/>
        </w:rPr>
      </w:pPr>
      <w:r w:rsidRPr="00A9533D">
        <w:rPr>
          <w:rFonts w:ascii="Arial" w:eastAsia="Times New Roman" w:hAnsi="Arial" w:cs="Arial"/>
          <w:b/>
          <w:u w:val="single"/>
          <w:lang w:val="en-ZA" w:eastAsia="en-GB"/>
        </w:rPr>
        <w:t>ALLY AJ</w:t>
      </w:r>
    </w:p>
    <w:p w14:paraId="71331A87" w14:textId="7BEFBE88" w:rsidR="00AD2BA3" w:rsidRPr="00196600" w:rsidRDefault="00196600" w:rsidP="00AD2BA3">
      <w:pPr>
        <w:spacing w:after="200"/>
        <w:rPr>
          <w:rFonts w:ascii="Arial" w:eastAsia="Calibri" w:hAnsi="Arial" w:cs="Arial"/>
          <w:b/>
          <w:bCs/>
          <w:lang w:val="en-ZA"/>
        </w:rPr>
      </w:pPr>
      <w:r>
        <w:rPr>
          <w:rFonts w:ascii="Arial" w:eastAsia="Calibri" w:hAnsi="Arial" w:cs="Arial"/>
          <w:b/>
          <w:bCs/>
          <w:lang w:val="en-ZA"/>
        </w:rPr>
        <w:lastRenderedPageBreak/>
        <w:t>INTRODUCTION</w:t>
      </w:r>
    </w:p>
    <w:p w14:paraId="6132BA51" w14:textId="69A752D5" w:rsidR="008111FA" w:rsidRDefault="00574219" w:rsidP="008111FA">
      <w:pPr>
        <w:rPr>
          <w:rFonts w:ascii="Arial" w:hAnsi="Arial" w:cs="Arial"/>
        </w:rPr>
      </w:pPr>
      <w:r>
        <w:rPr>
          <w:rFonts w:ascii="Arial" w:eastAsia="Calibri" w:hAnsi="Arial" w:cs="Arial"/>
          <w:lang w:val="en-ZA"/>
        </w:rPr>
        <w:t>[1]</w:t>
      </w:r>
      <w:r w:rsidR="00AD2BA3">
        <w:rPr>
          <w:rFonts w:ascii="Arial" w:eastAsia="Calibri" w:hAnsi="Arial" w:cs="Arial"/>
          <w:lang w:val="en-ZA"/>
        </w:rPr>
        <w:tab/>
      </w:r>
      <w:r w:rsidR="008111FA">
        <w:rPr>
          <w:rFonts w:ascii="Arial" w:hAnsi="Arial" w:cs="Arial"/>
        </w:rPr>
        <w:t xml:space="preserve">The dispute between the parties in the Court </w:t>
      </w:r>
      <w:r w:rsidR="008111FA">
        <w:rPr>
          <w:rFonts w:ascii="Arial" w:hAnsi="Arial" w:cs="Arial"/>
          <w:i/>
          <w:iCs/>
        </w:rPr>
        <w:t xml:space="preserve">a quo </w:t>
      </w:r>
      <w:r w:rsidR="008111FA">
        <w:rPr>
          <w:rFonts w:ascii="Arial" w:hAnsi="Arial" w:cs="Arial"/>
        </w:rPr>
        <w:t xml:space="preserve">centred around two agreements entered into between the parties and referred to during the trial as “D1” and “D2”. The appellant’s claim was for payment of the cash amount of R 6 million in paragraph 2 of “D2”, </w:t>
      </w:r>
      <w:r w:rsidR="008111FA">
        <w:rPr>
          <w:rFonts w:ascii="Arial" w:hAnsi="Arial" w:cs="Arial"/>
          <w:i/>
          <w:iCs/>
        </w:rPr>
        <w:t>alternatively</w:t>
      </w:r>
      <w:r w:rsidR="008111FA">
        <w:rPr>
          <w:rFonts w:ascii="Arial" w:hAnsi="Arial" w:cs="Arial"/>
        </w:rPr>
        <w:t>, in the event that “D2” was found to be unenforceable, the balance of an amount of R 23 million arising from paragraph 2 in “D1”.</w:t>
      </w:r>
    </w:p>
    <w:p w14:paraId="5321AB04" w14:textId="77777777" w:rsidR="008B342A" w:rsidRDefault="008B342A" w:rsidP="008111FA">
      <w:pPr>
        <w:rPr>
          <w:rFonts w:ascii="Arial" w:hAnsi="Arial" w:cs="Arial"/>
        </w:rPr>
      </w:pPr>
    </w:p>
    <w:p w14:paraId="1E0D2FCC" w14:textId="3739B002" w:rsidR="008111FA" w:rsidRDefault="00AD2BA3" w:rsidP="008111FA">
      <w:pPr>
        <w:rPr>
          <w:rFonts w:ascii="Arial" w:hAnsi="Arial" w:cs="Arial"/>
        </w:rPr>
      </w:pPr>
      <w:r>
        <w:rPr>
          <w:rFonts w:ascii="Arial" w:eastAsia="Calibri" w:hAnsi="Arial" w:cs="Arial"/>
          <w:lang w:val="en-ZA"/>
        </w:rPr>
        <w:t>[2]</w:t>
      </w:r>
      <w:r>
        <w:rPr>
          <w:rFonts w:ascii="Arial" w:eastAsia="Calibri" w:hAnsi="Arial" w:cs="Arial"/>
          <w:lang w:val="en-ZA"/>
        </w:rPr>
        <w:tab/>
      </w:r>
      <w:r w:rsidR="008111FA">
        <w:rPr>
          <w:rFonts w:ascii="Arial" w:hAnsi="Arial" w:cs="Arial"/>
        </w:rPr>
        <w:t xml:space="preserve">The court dismissed the appellant’s claims, which in turn led to the appeal under consideration, leave having been granted by the Court </w:t>
      </w:r>
      <w:r w:rsidR="008111FA">
        <w:rPr>
          <w:rFonts w:ascii="Arial" w:hAnsi="Arial" w:cs="Arial"/>
          <w:i/>
          <w:iCs/>
        </w:rPr>
        <w:t>a quo</w:t>
      </w:r>
      <w:r w:rsidR="008111FA">
        <w:rPr>
          <w:rFonts w:ascii="Arial" w:hAnsi="Arial" w:cs="Arial"/>
        </w:rPr>
        <w:t xml:space="preserve">. </w:t>
      </w:r>
    </w:p>
    <w:p w14:paraId="24D0E538" w14:textId="4DAA9909" w:rsidR="00AD2BA3" w:rsidRDefault="00AD2BA3" w:rsidP="00AD2BA3">
      <w:pPr>
        <w:spacing w:after="200"/>
        <w:rPr>
          <w:rFonts w:ascii="Arial" w:eastAsia="Calibri" w:hAnsi="Arial" w:cs="Arial"/>
          <w:lang w:val="en-ZA"/>
        </w:rPr>
      </w:pPr>
      <w:r>
        <w:rPr>
          <w:rFonts w:ascii="Arial" w:eastAsia="Calibri" w:hAnsi="Arial" w:cs="Arial"/>
          <w:lang w:val="en-ZA"/>
        </w:rPr>
        <w:t>The grounds of appeal as raised by the Appellant are contained in Caselines and need not be repeated here save to make a specific point insofar as is necessary.</w:t>
      </w:r>
    </w:p>
    <w:p w14:paraId="24BDCD48" w14:textId="77777777" w:rsidR="008B342A" w:rsidRDefault="008B342A" w:rsidP="00AD2BA3">
      <w:pPr>
        <w:spacing w:after="200"/>
        <w:rPr>
          <w:rFonts w:ascii="Arial" w:eastAsia="Calibri" w:hAnsi="Arial" w:cs="Arial"/>
          <w:lang w:val="en-ZA"/>
        </w:rPr>
      </w:pPr>
    </w:p>
    <w:p w14:paraId="5D71E150" w14:textId="12807C47" w:rsidR="008B342A" w:rsidRDefault="00AD2BA3" w:rsidP="00AD2BA3">
      <w:pPr>
        <w:spacing w:after="200"/>
        <w:rPr>
          <w:rFonts w:ascii="Arial" w:eastAsia="Calibri" w:hAnsi="Arial" w:cs="Arial"/>
          <w:lang w:val="en-ZA"/>
        </w:rPr>
      </w:pPr>
      <w:r>
        <w:rPr>
          <w:rFonts w:ascii="Arial" w:eastAsia="Calibri" w:hAnsi="Arial" w:cs="Arial"/>
          <w:lang w:val="en-ZA"/>
        </w:rPr>
        <w:t>[3]</w:t>
      </w:r>
      <w:r>
        <w:rPr>
          <w:rFonts w:ascii="Arial" w:eastAsia="Calibri" w:hAnsi="Arial" w:cs="Arial"/>
          <w:lang w:val="en-ZA"/>
        </w:rPr>
        <w:tab/>
        <w:t xml:space="preserve">Counsel on appeal were the same Counsel </w:t>
      </w:r>
      <w:r w:rsidR="005837FF">
        <w:rPr>
          <w:rFonts w:ascii="Arial" w:eastAsia="Calibri" w:hAnsi="Arial" w:cs="Arial"/>
          <w:lang w:val="en-ZA"/>
        </w:rPr>
        <w:t xml:space="preserve">representing the respective parties </w:t>
      </w:r>
      <w:r>
        <w:rPr>
          <w:rFonts w:ascii="Arial" w:eastAsia="Calibri" w:hAnsi="Arial" w:cs="Arial"/>
          <w:lang w:val="en-ZA"/>
        </w:rPr>
        <w:t xml:space="preserve">in the Court </w:t>
      </w:r>
      <w:r w:rsidR="005837FF">
        <w:rPr>
          <w:rFonts w:ascii="Arial" w:eastAsia="Calibri" w:hAnsi="Arial" w:cs="Arial"/>
          <w:i/>
          <w:iCs/>
          <w:lang w:val="en-ZA"/>
        </w:rPr>
        <w:t>a quo</w:t>
      </w:r>
      <w:r>
        <w:rPr>
          <w:rFonts w:ascii="Arial" w:eastAsia="Calibri" w:hAnsi="Arial" w:cs="Arial"/>
          <w:lang w:val="en-ZA"/>
        </w:rPr>
        <w:t>.</w:t>
      </w:r>
    </w:p>
    <w:p w14:paraId="662C7B65" w14:textId="77777777" w:rsidR="005837FF" w:rsidRDefault="005837FF" w:rsidP="00AD2BA3">
      <w:pPr>
        <w:spacing w:after="200"/>
        <w:rPr>
          <w:rFonts w:ascii="Arial" w:eastAsia="Calibri" w:hAnsi="Arial" w:cs="Arial"/>
          <w:lang w:val="en-ZA"/>
        </w:rPr>
      </w:pPr>
    </w:p>
    <w:p w14:paraId="5F1C0646" w14:textId="74DDA223" w:rsidR="00CF5051" w:rsidRDefault="00CF5051" w:rsidP="00AD2BA3">
      <w:pPr>
        <w:spacing w:after="200"/>
        <w:rPr>
          <w:rFonts w:ascii="Arial" w:eastAsia="Calibri" w:hAnsi="Arial" w:cs="Arial"/>
          <w:b/>
          <w:bCs/>
          <w:lang w:val="en-ZA"/>
        </w:rPr>
      </w:pPr>
      <w:r>
        <w:rPr>
          <w:rFonts w:ascii="Arial" w:eastAsia="Calibri" w:hAnsi="Arial" w:cs="Arial"/>
          <w:b/>
          <w:bCs/>
          <w:lang w:val="en-ZA"/>
        </w:rPr>
        <w:t>FACTUAL BACKGROUND</w:t>
      </w:r>
    </w:p>
    <w:p w14:paraId="75A1FE04" w14:textId="77777777" w:rsidR="008B342A" w:rsidRPr="00CF5051" w:rsidRDefault="008B342A" w:rsidP="00AD2BA3">
      <w:pPr>
        <w:spacing w:after="200"/>
        <w:rPr>
          <w:rFonts w:ascii="Arial" w:eastAsia="Calibri" w:hAnsi="Arial" w:cs="Arial"/>
          <w:b/>
          <w:bCs/>
          <w:lang w:val="en-ZA"/>
        </w:rPr>
      </w:pPr>
    </w:p>
    <w:p w14:paraId="69DF48F1" w14:textId="629ACF78" w:rsidR="00CF5051" w:rsidRDefault="00CF5051" w:rsidP="00AD2BA3">
      <w:pPr>
        <w:spacing w:after="200"/>
        <w:rPr>
          <w:rFonts w:ascii="Arial" w:eastAsia="Calibri" w:hAnsi="Arial" w:cs="Arial"/>
          <w:lang w:val="en-ZA"/>
        </w:rPr>
      </w:pPr>
      <w:r>
        <w:rPr>
          <w:rFonts w:ascii="Arial" w:eastAsia="Calibri" w:hAnsi="Arial" w:cs="Arial"/>
          <w:lang w:val="en-ZA"/>
        </w:rPr>
        <w:t>[4]</w:t>
      </w:r>
      <w:r>
        <w:rPr>
          <w:rFonts w:ascii="Arial" w:eastAsia="Calibri" w:hAnsi="Arial" w:cs="Arial"/>
          <w:lang w:val="en-ZA"/>
        </w:rPr>
        <w:tab/>
        <w:t xml:space="preserve">It is common cause that First Appellant and the Respondent entered into two agreements described in the Court </w:t>
      </w:r>
      <w:r>
        <w:rPr>
          <w:rFonts w:ascii="Arial" w:eastAsia="Calibri" w:hAnsi="Arial" w:cs="Arial"/>
          <w:i/>
          <w:iCs/>
          <w:lang w:val="en-ZA"/>
        </w:rPr>
        <w:t xml:space="preserve">a quo </w:t>
      </w:r>
      <w:r>
        <w:rPr>
          <w:rFonts w:ascii="Arial" w:eastAsia="Calibri" w:hAnsi="Arial" w:cs="Arial"/>
          <w:lang w:val="en-ZA"/>
        </w:rPr>
        <w:t xml:space="preserve">as ‘D1’ and ‘D2’. </w:t>
      </w:r>
    </w:p>
    <w:p w14:paraId="68161DB6" w14:textId="77777777" w:rsidR="008B342A" w:rsidRDefault="008B342A" w:rsidP="00AD2BA3">
      <w:pPr>
        <w:spacing w:after="200"/>
        <w:rPr>
          <w:rFonts w:ascii="Arial" w:eastAsia="Calibri" w:hAnsi="Arial" w:cs="Arial"/>
          <w:lang w:val="en-ZA"/>
        </w:rPr>
      </w:pPr>
    </w:p>
    <w:p w14:paraId="2A9110C1" w14:textId="72FD9D9F" w:rsidR="00C43FD1" w:rsidRDefault="00CF5051" w:rsidP="00AD2BA3">
      <w:pPr>
        <w:spacing w:after="200"/>
        <w:rPr>
          <w:rFonts w:ascii="Arial" w:eastAsia="Calibri" w:hAnsi="Arial" w:cs="Arial"/>
          <w:lang w:val="en-ZA"/>
        </w:rPr>
      </w:pPr>
      <w:r>
        <w:rPr>
          <w:rFonts w:ascii="Arial" w:eastAsia="Calibri" w:hAnsi="Arial" w:cs="Arial"/>
          <w:lang w:val="en-ZA"/>
        </w:rPr>
        <w:lastRenderedPageBreak/>
        <w:t>[5]</w:t>
      </w:r>
      <w:r>
        <w:rPr>
          <w:rFonts w:ascii="Arial" w:eastAsia="Calibri" w:hAnsi="Arial" w:cs="Arial"/>
          <w:lang w:val="en-ZA"/>
        </w:rPr>
        <w:tab/>
        <w:t xml:space="preserve">It is appropriate to deal with the agreement described as ‘D2’ </w:t>
      </w:r>
      <w:r w:rsidR="005837FF">
        <w:rPr>
          <w:rFonts w:ascii="Arial" w:eastAsia="Calibri" w:hAnsi="Arial" w:cs="Arial"/>
          <w:lang w:val="en-ZA"/>
        </w:rPr>
        <w:t xml:space="preserve">first </w:t>
      </w:r>
      <w:r>
        <w:rPr>
          <w:rFonts w:ascii="Arial" w:eastAsia="Calibri" w:hAnsi="Arial" w:cs="Arial"/>
          <w:lang w:val="en-ZA"/>
        </w:rPr>
        <w:t>for the reason that that is how the Appellants founded their claim and alternatively relied on the agreement described as ‘D1’ should ‘D2’ be found to be invalid and unenforceable.</w:t>
      </w:r>
    </w:p>
    <w:p w14:paraId="1CAE58BA" w14:textId="77777777" w:rsidR="00C43FD1" w:rsidRDefault="00C43FD1" w:rsidP="00AD2BA3">
      <w:pPr>
        <w:spacing w:after="200"/>
        <w:rPr>
          <w:rFonts w:ascii="Arial" w:eastAsia="Calibri" w:hAnsi="Arial" w:cs="Arial"/>
          <w:lang w:val="en-ZA"/>
        </w:rPr>
      </w:pPr>
    </w:p>
    <w:p w14:paraId="42578C29" w14:textId="1AA63580" w:rsidR="00CF5051" w:rsidRDefault="00CF5051" w:rsidP="00AD2BA3">
      <w:pPr>
        <w:spacing w:after="200"/>
        <w:rPr>
          <w:rFonts w:ascii="Arial" w:eastAsia="Calibri" w:hAnsi="Arial" w:cs="Arial"/>
          <w:lang w:val="en-ZA"/>
        </w:rPr>
      </w:pPr>
      <w:r>
        <w:rPr>
          <w:rFonts w:ascii="Arial" w:eastAsia="Calibri" w:hAnsi="Arial" w:cs="Arial"/>
          <w:lang w:val="en-ZA"/>
        </w:rPr>
        <w:t>[6]</w:t>
      </w:r>
      <w:r>
        <w:rPr>
          <w:rFonts w:ascii="Arial" w:eastAsia="Calibri" w:hAnsi="Arial" w:cs="Arial"/>
          <w:lang w:val="en-ZA"/>
        </w:rPr>
        <w:tab/>
        <w:t>The agreement described as ‘D2’ contained the following clauses:</w:t>
      </w:r>
    </w:p>
    <w:p w14:paraId="755F2273" w14:textId="03167F8A" w:rsidR="00CF5051" w:rsidRDefault="00CF5051" w:rsidP="00AD2BA3">
      <w:pPr>
        <w:spacing w:after="200"/>
        <w:rPr>
          <w:rFonts w:ascii="Arial" w:eastAsia="Calibri" w:hAnsi="Arial" w:cs="Arial"/>
          <w:i/>
          <w:iCs/>
          <w:sz w:val="22"/>
          <w:szCs w:val="22"/>
          <w:lang w:val="en-ZA"/>
        </w:rPr>
      </w:pPr>
      <w:r>
        <w:rPr>
          <w:rFonts w:ascii="Arial" w:eastAsia="Calibri" w:hAnsi="Arial" w:cs="Arial"/>
          <w:lang w:val="en-ZA"/>
        </w:rPr>
        <w:tab/>
      </w:r>
      <w:r>
        <w:rPr>
          <w:rFonts w:ascii="Arial" w:eastAsia="Calibri" w:hAnsi="Arial" w:cs="Arial"/>
          <w:i/>
          <w:iCs/>
          <w:sz w:val="22"/>
          <w:szCs w:val="22"/>
          <w:lang w:val="en-ZA"/>
        </w:rPr>
        <w:t>“OOREENKOMS AANGEGAAN DEUR EN TUSSEN:-</w:t>
      </w:r>
    </w:p>
    <w:p w14:paraId="11277FBE" w14:textId="1CE52B52" w:rsidR="00CF5051" w:rsidRDefault="00CF5051" w:rsidP="00AD2BA3">
      <w:pPr>
        <w:spacing w:after="200"/>
        <w:rPr>
          <w:rFonts w:ascii="Arial" w:eastAsia="Calibri" w:hAnsi="Arial" w:cs="Arial"/>
          <w:i/>
          <w:iCs/>
          <w:sz w:val="22"/>
          <w:szCs w:val="22"/>
          <w:lang w:val="en-ZA"/>
        </w:rPr>
      </w:pPr>
      <w:r>
        <w:rPr>
          <w:rFonts w:ascii="Arial" w:eastAsia="Calibri" w:hAnsi="Arial" w:cs="Arial"/>
          <w:i/>
          <w:iCs/>
          <w:sz w:val="22"/>
          <w:szCs w:val="22"/>
          <w:lang w:val="en-ZA"/>
        </w:rPr>
        <w:tab/>
      </w:r>
      <w:r w:rsidR="00C43FD1">
        <w:rPr>
          <w:rFonts w:ascii="Arial" w:eastAsia="Calibri" w:hAnsi="Arial" w:cs="Arial"/>
          <w:i/>
          <w:iCs/>
          <w:sz w:val="22"/>
          <w:szCs w:val="22"/>
          <w:lang w:val="en-ZA"/>
        </w:rPr>
        <w:t>PEET CILLIERS</w:t>
      </w:r>
    </w:p>
    <w:p w14:paraId="1EBBAED9" w14:textId="678E989B" w:rsidR="00C43FD1" w:rsidRDefault="00C43FD1" w:rsidP="00AD2BA3">
      <w:pPr>
        <w:spacing w:after="200"/>
        <w:rPr>
          <w:rFonts w:ascii="Arial" w:eastAsia="Calibri" w:hAnsi="Arial" w:cs="Arial"/>
          <w:i/>
          <w:iCs/>
          <w:sz w:val="22"/>
          <w:szCs w:val="22"/>
          <w:lang w:val="en-ZA"/>
        </w:rPr>
      </w:pPr>
      <w:r>
        <w:rPr>
          <w:rFonts w:ascii="Arial" w:eastAsia="Calibri" w:hAnsi="Arial" w:cs="Arial"/>
          <w:i/>
          <w:iCs/>
          <w:sz w:val="22"/>
          <w:szCs w:val="22"/>
          <w:lang w:val="en-ZA"/>
        </w:rPr>
        <w:tab/>
        <w:t>En</w:t>
      </w:r>
    </w:p>
    <w:p w14:paraId="6481659F" w14:textId="45021EB7" w:rsidR="00C43FD1" w:rsidRDefault="00C43FD1" w:rsidP="00AD2BA3">
      <w:pPr>
        <w:spacing w:after="200"/>
        <w:rPr>
          <w:rFonts w:ascii="Arial" w:eastAsia="Calibri" w:hAnsi="Arial" w:cs="Arial"/>
          <w:i/>
          <w:iCs/>
          <w:sz w:val="22"/>
          <w:szCs w:val="22"/>
          <w:lang w:val="en-ZA"/>
        </w:rPr>
      </w:pPr>
      <w:r>
        <w:rPr>
          <w:rFonts w:ascii="Arial" w:eastAsia="Calibri" w:hAnsi="Arial" w:cs="Arial"/>
          <w:i/>
          <w:iCs/>
          <w:sz w:val="22"/>
          <w:szCs w:val="22"/>
          <w:lang w:val="en-ZA"/>
        </w:rPr>
        <w:tab/>
        <w:t>KOOS NEL</w:t>
      </w:r>
    </w:p>
    <w:p w14:paraId="7D611E3B" w14:textId="58F80B42" w:rsidR="00C43FD1" w:rsidRDefault="00C43FD1" w:rsidP="00C43FD1">
      <w:pPr>
        <w:spacing w:after="200"/>
        <w:ind w:left="720" w:hanging="720"/>
        <w:rPr>
          <w:rFonts w:ascii="Arial" w:eastAsia="Calibri" w:hAnsi="Arial" w:cs="Arial"/>
          <w:i/>
          <w:iCs/>
          <w:sz w:val="22"/>
          <w:szCs w:val="22"/>
          <w:lang w:val="en-ZA"/>
        </w:rPr>
      </w:pPr>
      <w:r>
        <w:rPr>
          <w:rFonts w:ascii="Arial" w:eastAsia="Calibri" w:hAnsi="Arial" w:cs="Arial"/>
          <w:i/>
          <w:iCs/>
          <w:sz w:val="22"/>
          <w:szCs w:val="22"/>
          <w:lang w:val="en-ZA"/>
        </w:rPr>
        <w:tab/>
        <w:t>NADEMAAL die partye ŉ ooreenkoms aangegaan het op 18 Februarie 2008 in terme waarvan die bedrag van R30 miljoen (DERTIG MILJOEN RAND) terugbetaalbaar sou wees binne ŉ drie jaar tydperk en</w:t>
      </w:r>
    </w:p>
    <w:p w14:paraId="3ED4BC24" w14:textId="1FE2BB0C" w:rsidR="00C43FD1" w:rsidRDefault="00C43FD1" w:rsidP="00C43FD1">
      <w:pPr>
        <w:spacing w:after="200"/>
        <w:ind w:left="720" w:hanging="720"/>
        <w:rPr>
          <w:rFonts w:ascii="Arial" w:eastAsia="Calibri" w:hAnsi="Arial" w:cs="Arial"/>
          <w:i/>
          <w:iCs/>
          <w:sz w:val="22"/>
          <w:szCs w:val="22"/>
          <w:lang w:val="en-ZA"/>
        </w:rPr>
      </w:pPr>
      <w:r>
        <w:rPr>
          <w:rFonts w:ascii="Arial" w:eastAsia="Calibri" w:hAnsi="Arial" w:cs="Arial"/>
          <w:i/>
          <w:iCs/>
          <w:sz w:val="22"/>
          <w:szCs w:val="22"/>
          <w:lang w:val="en-ZA"/>
        </w:rPr>
        <w:tab/>
        <w:t>NADEMAAL die partye die ooreenkoms her onderhandel het, nou kom die partye soos volg ooreen:-</w:t>
      </w:r>
    </w:p>
    <w:p w14:paraId="582E7427" w14:textId="032EFF38" w:rsidR="00C43FD1" w:rsidRPr="00070A42" w:rsidRDefault="00070A42" w:rsidP="00070A42">
      <w:pPr>
        <w:spacing w:after="200"/>
        <w:ind w:left="1800" w:hanging="360"/>
        <w:rPr>
          <w:rFonts w:ascii="Arial" w:eastAsia="Calibri" w:hAnsi="Arial" w:cs="Arial"/>
          <w:i/>
          <w:iCs/>
          <w:sz w:val="22"/>
          <w:szCs w:val="22"/>
          <w:lang w:val="en-ZA"/>
        </w:rPr>
      </w:pPr>
      <w:r>
        <w:rPr>
          <w:rFonts w:ascii="Arial" w:eastAsia="Calibri" w:hAnsi="Arial" w:cs="Arial"/>
          <w:i/>
          <w:iCs/>
          <w:sz w:val="22"/>
          <w:szCs w:val="22"/>
          <w:lang w:val="en-ZA"/>
        </w:rPr>
        <w:t>1.</w:t>
      </w:r>
      <w:r>
        <w:rPr>
          <w:rFonts w:ascii="Arial" w:eastAsia="Calibri" w:hAnsi="Arial" w:cs="Arial"/>
          <w:i/>
          <w:iCs/>
          <w:sz w:val="22"/>
          <w:szCs w:val="22"/>
          <w:lang w:val="en-ZA"/>
        </w:rPr>
        <w:tab/>
      </w:r>
      <w:r w:rsidR="00C43FD1" w:rsidRPr="00070A42">
        <w:rPr>
          <w:rFonts w:ascii="Arial" w:eastAsia="Calibri" w:hAnsi="Arial" w:cs="Arial"/>
          <w:i/>
          <w:iCs/>
          <w:sz w:val="22"/>
          <w:szCs w:val="22"/>
          <w:lang w:val="en-ZA"/>
        </w:rPr>
        <w:t>Die bedrag van R6 miljoen (SES MILJOEN RAND</w:t>
      </w:r>
      <w:r w:rsidR="003432AC" w:rsidRPr="00070A42">
        <w:rPr>
          <w:rFonts w:ascii="Arial" w:eastAsia="Calibri" w:hAnsi="Arial" w:cs="Arial"/>
          <w:i/>
          <w:iCs/>
          <w:sz w:val="22"/>
          <w:szCs w:val="22"/>
          <w:lang w:val="en-ZA"/>
        </w:rPr>
        <w:t>) is onmiddelik betaalbaar welke bedrag reeds betaal is.</w:t>
      </w:r>
    </w:p>
    <w:p w14:paraId="2FEB79DD" w14:textId="6E4D8668" w:rsidR="003432AC" w:rsidRPr="00070A42" w:rsidRDefault="00070A42" w:rsidP="00070A42">
      <w:pPr>
        <w:spacing w:after="200"/>
        <w:ind w:left="1800" w:hanging="360"/>
        <w:rPr>
          <w:rFonts w:ascii="Arial" w:eastAsia="Calibri" w:hAnsi="Arial" w:cs="Arial"/>
          <w:i/>
          <w:iCs/>
          <w:sz w:val="22"/>
          <w:szCs w:val="22"/>
          <w:lang w:val="en-ZA"/>
        </w:rPr>
      </w:pPr>
      <w:r>
        <w:rPr>
          <w:rFonts w:ascii="Arial" w:eastAsia="Calibri" w:hAnsi="Arial" w:cs="Arial"/>
          <w:i/>
          <w:iCs/>
          <w:sz w:val="22"/>
          <w:szCs w:val="22"/>
          <w:lang w:val="en-ZA"/>
        </w:rPr>
        <w:t>2.</w:t>
      </w:r>
      <w:r>
        <w:rPr>
          <w:rFonts w:ascii="Arial" w:eastAsia="Calibri" w:hAnsi="Arial" w:cs="Arial"/>
          <w:i/>
          <w:iCs/>
          <w:sz w:val="22"/>
          <w:szCs w:val="22"/>
          <w:lang w:val="en-ZA"/>
        </w:rPr>
        <w:tab/>
      </w:r>
      <w:r w:rsidR="003432AC" w:rsidRPr="00070A42">
        <w:rPr>
          <w:rFonts w:ascii="Arial" w:eastAsia="Calibri" w:hAnsi="Arial" w:cs="Arial"/>
          <w:i/>
          <w:iCs/>
          <w:sz w:val="22"/>
          <w:szCs w:val="22"/>
          <w:lang w:val="en-ZA"/>
        </w:rPr>
        <w:t>Cilliers onderneem om ŉ verdere R6 miljoen (SES MILJOEN RAND) in kontant in drie gelyke jaarlikse paaiemente te betaal. Die eerste betaling sal op die eerste besigheidsdag van Maart 2012 geskied en dieselfde vir die twee daaropvolgende jare. Voormelde jaarlikse paaiemente sal ook saamgestelde rente insluit wat maandeliks bereken sal word teen die heersende Absa prima koers plus 3,5% vanaf Maart 2011.</w:t>
      </w:r>
    </w:p>
    <w:p w14:paraId="772B107C" w14:textId="1B3FCCAC" w:rsidR="00826770" w:rsidRPr="00070A42" w:rsidRDefault="00070A42" w:rsidP="00070A42">
      <w:pPr>
        <w:spacing w:after="200"/>
        <w:ind w:left="1800" w:hanging="360"/>
        <w:rPr>
          <w:rFonts w:ascii="Arial" w:eastAsia="Calibri" w:hAnsi="Arial" w:cs="Arial"/>
          <w:i/>
          <w:iCs/>
          <w:sz w:val="22"/>
          <w:szCs w:val="22"/>
          <w:lang w:val="en-ZA"/>
        </w:rPr>
      </w:pPr>
      <w:r>
        <w:rPr>
          <w:rFonts w:ascii="Arial" w:eastAsia="Calibri" w:hAnsi="Arial" w:cs="Arial"/>
          <w:i/>
          <w:iCs/>
          <w:sz w:val="22"/>
          <w:szCs w:val="22"/>
          <w:lang w:val="en-ZA"/>
        </w:rPr>
        <w:lastRenderedPageBreak/>
        <w:t>3.</w:t>
      </w:r>
      <w:r>
        <w:rPr>
          <w:rFonts w:ascii="Arial" w:eastAsia="Calibri" w:hAnsi="Arial" w:cs="Arial"/>
          <w:i/>
          <w:iCs/>
          <w:sz w:val="22"/>
          <w:szCs w:val="22"/>
          <w:lang w:val="en-ZA"/>
        </w:rPr>
        <w:tab/>
      </w:r>
      <w:r w:rsidR="003432AC" w:rsidRPr="00070A42">
        <w:rPr>
          <w:rFonts w:ascii="Arial" w:eastAsia="Calibri" w:hAnsi="Arial" w:cs="Arial"/>
          <w:i/>
          <w:iCs/>
          <w:sz w:val="22"/>
          <w:szCs w:val="22"/>
          <w:lang w:val="en-ZA"/>
        </w:rPr>
        <w:t>Cilliers sal verantwoordelikheid aanvaar vir volle uitstaande balans van ongeveer R5 miljoen op die sewe erwe wat in die Legend &amp; Safari</w:t>
      </w:r>
      <w:r w:rsidR="00607BA3" w:rsidRPr="00070A42">
        <w:rPr>
          <w:rFonts w:ascii="Arial" w:eastAsia="Calibri" w:hAnsi="Arial" w:cs="Arial"/>
          <w:i/>
          <w:iCs/>
          <w:sz w:val="22"/>
          <w:szCs w:val="22"/>
          <w:lang w:val="en-ZA"/>
        </w:rPr>
        <w:t xml:space="preserve"> oord geleë is. Cilliers sal ook die maandelikse paaiemente asook die munisipale fooie van ongeveer R70 000 per maand (in totaal) vanaf 1 Junie 2011 betaal, betaalbaar voor of op 30 Junie 2011.</w:t>
      </w:r>
    </w:p>
    <w:p w14:paraId="0EEC8174" w14:textId="68F4D1AE" w:rsidR="00826770" w:rsidRPr="00070A42" w:rsidRDefault="00070A42" w:rsidP="00070A42">
      <w:pPr>
        <w:spacing w:after="200"/>
        <w:ind w:left="1800" w:hanging="360"/>
        <w:rPr>
          <w:rFonts w:ascii="Arial" w:eastAsia="Calibri" w:hAnsi="Arial" w:cs="Arial"/>
          <w:i/>
          <w:iCs/>
          <w:sz w:val="22"/>
          <w:szCs w:val="22"/>
          <w:lang w:val="en-ZA"/>
        </w:rPr>
      </w:pPr>
      <w:r>
        <w:rPr>
          <w:rFonts w:ascii="Arial" w:eastAsia="Calibri" w:hAnsi="Arial" w:cs="Arial"/>
          <w:i/>
          <w:iCs/>
          <w:sz w:val="22"/>
          <w:szCs w:val="22"/>
          <w:lang w:val="en-ZA"/>
        </w:rPr>
        <w:t>4.</w:t>
      </w:r>
      <w:r>
        <w:rPr>
          <w:rFonts w:ascii="Arial" w:eastAsia="Calibri" w:hAnsi="Arial" w:cs="Arial"/>
          <w:i/>
          <w:iCs/>
          <w:sz w:val="22"/>
          <w:szCs w:val="22"/>
          <w:lang w:val="en-ZA"/>
        </w:rPr>
        <w:tab/>
      </w:r>
      <w:r w:rsidR="00826770" w:rsidRPr="00070A42">
        <w:rPr>
          <w:rFonts w:ascii="Arial" w:eastAsia="Calibri" w:hAnsi="Arial" w:cs="Arial"/>
          <w:i/>
          <w:iCs/>
          <w:sz w:val="22"/>
          <w:szCs w:val="22"/>
          <w:lang w:val="en-ZA"/>
        </w:rPr>
        <w:t>Die uitstaande BTW wat tergubetaalbaar sal wees aan die Ontvanger sal ookby die kapitale bedrag gevoeg word en sal die BTW bedrag rente dra tot teen die heersende prima koers waarvoor Cilliers aanspreeklikheid aanvaar.</w:t>
      </w:r>
    </w:p>
    <w:p w14:paraId="0B529135" w14:textId="5C5F5AEE" w:rsidR="00266FFC" w:rsidRPr="00070A42" w:rsidRDefault="00070A42" w:rsidP="00070A42">
      <w:pPr>
        <w:spacing w:after="200"/>
        <w:ind w:left="1800" w:hanging="360"/>
        <w:rPr>
          <w:rFonts w:ascii="Arial" w:eastAsia="Calibri" w:hAnsi="Arial" w:cs="Arial"/>
          <w:i/>
          <w:iCs/>
          <w:sz w:val="22"/>
          <w:szCs w:val="22"/>
          <w:lang w:val="en-ZA"/>
        </w:rPr>
      </w:pPr>
      <w:r>
        <w:rPr>
          <w:rFonts w:ascii="Arial" w:eastAsia="Calibri" w:hAnsi="Arial" w:cs="Arial"/>
          <w:i/>
          <w:iCs/>
          <w:sz w:val="22"/>
          <w:szCs w:val="22"/>
          <w:lang w:val="en-ZA"/>
        </w:rPr>
        <w:t>5.</w:t>
      </w:r>
      <w:r>
        <w:rPr>
          <w:rFonts w:ascii="Arial" w:eastAsia="Calibri" w:hAnsi="Arial" w:cs="Arial"/>
          <w:i/>
          <w:iCs/>
          <w:sz w:val="22"/>
          <w:szCs w:val="22"/>
          <w:lang w:val="en-ZA"/>
        </w:rPr>
        <w:tab/>
      </w:r>
      <w:r w:rsidR="00826770" w:rsidRPr="00070A42">
        <w:rPr>
          <w:rFonts w:ascii="Arial" w:eastAsia="Calibri" w:hAnsi="Arial" w:cs="Arial"/>
          <w:i/>
          <w:iCs/>
          <w:sz w:val="22"/>
          <w:szCs w:val="22"/>
          <w:lang w:val="en-ZA"/>
        </w:rPr>
        <w:t>Cilliers aanvaar verantwoordelikheid om 4 hotel kamers</w:t>
      </w:r>
      <w:r w:rsidR="00F03BA4" w:rsidRPr="00070A42">
        <w:rPr>
          <w:rFonts w:ascii="Arial" w:eastAsia="Calibri" w:hAnsi="Arial" w:cs="Arial"/>
          <w:i/>
          <w:iCs/>
          <w:sz w:val="22"/>
          <w:szCs w:val="22"/>
          <w:lang w:val="en-ZA"/>
        </w:rPr>
        <w:t xml:space="preserve"> op elk van die sewe erwe te bou en volledig toe te rus met meubels</w:t>
      </w:r>
      <w:r w:rsidR="007F4061" w:rsidRPr="00070A42">
        <w:rPr>
          <w:rFonts w:ascii="Arial" w:eastAsia="Calibri" w:hAnsi="Arial" w:cs="Arial"/>
          <w:i/>
          <w:iCs/>
          <w:sz w:val="22"/>
          <w:szCs w:val="22"/>
          <w:lang w:val="en-ZA"/>
        </w:rPr>
        <w:t xml:space="preserve"> oor ŉ drie jaar tydperk wwarvan die bouery op die eerste twee erwe afgehandel moet wees aan die einde van April 2012. Die volgende 4 hotel kamers moet voltooi wees aan die einde van April 2013 op nog twee erwe en die laaste drie erwe</w:t>
      </w:r>
      <w:r w:rsidR="00266FFC" w:rsidRPr="00070A42">
        <w:rPr>
          <w:rFonts w:ascii="Arial" w:eastAsia="Calibri" w:hAnsi="Arial" w:cs="Arial"/>
          <w:i/>
          <w:iCs/>
          <w:sz w:val="22"/>
          <w:szCs w:val="22"/>
          <w:lang w:val="en-ZA"/>
        </w:rPr>
        <w:t xml:space="preserve"> voor of op einde April 2014.</w:t>
      </w:r>
    </w:p>
    <w:p w14:paraId="04FDBD5C" w14:textId="17677F53" w:rsidR="00420464" w:rsidRPr="00070A42" w:rsidRDefault="00070A42" w:rsidP="00070A42">
      <w:pPr>
        <w:spacing w:after="200"/>
        <w:ind w:left="1800" w:hanging="360"/>
        <w:rPr>
          <w:rFonts w:ascii="Arial" w:eastAsia="Calibri" w:hAnsi="Arial" w:cs="Arial"/>
          <w:i/>
          <w:iCs/>
          <w:sz w:val="22"/>
          <w:szCs w:val="22"/>
          <w:lang w:val="en-ZA"/>
        </w:rPr>
      </w:pPr>
      <w:r>
        <w:rPr>
          <w:rFonts w:ascii="Arial" w:eastAsia="Calibri" w:hAnsi="Arial" w:cs="Arial"/>
          <w:i/>
          <w:iCs/>
          <w:sz w:val="22"/>
          <w:szCs w:val="22"/>
          <w:lang w:val="en-ZA"/>
        </w:rPr>
        <w:t>6.</w:t>
      </w:r>
      <w:r>
        <w:rPr>
          <w:rFonts w:ascii="Arial" w:eastAsia="Calibri" w:hAnsi="Arial" w:cs="Arial"/>
          <w:i/>
          <w:iCs/>
          <w:sz w:val="22"/>
          <w:szCs w:val="22"/>
          <w:lang w:val="en-ZA"/>
        </w:rPr>
        <w:tab/>
      </w:r>
      <w:r w:rsidR="00266FFC" w:rsidRPr="00070A42">
        <w:rPr>
          <w:rFonts w:ascii="Arial" w:eastAsia="Calibri" w:hAnsi="Arial" w:cs="Arial"/>
          <w:i/>
          <w:iCs/>
          <w:sz w:val="22"/>
          <w:szCs w:val="22"/>
          <w:lang w:val="en-ZA"/>
        </w:rPr>
        <w:t>Die aandeelhouding in die voormelde sewe erwe sal dan verdeel word op ŉ basis van 82% ten gunste van Nel en 18% ten gunste van Cilliers.Dit word vermeld dat Koos die gemagtigde verteenw</w:t>
      </w:r>
      <w:r w:rsidR="00420464" w:rsidRPr="00070A42">
        <w:rPr>
          <w:rFonts w:ascii="Arial" w:eastAsia="Calibri" w:hAnsi="Arial" w:cs="Arial"/>
          <w:i/>
          <w:iCs/>
          <w:sz w:val="22"/>
          <w:szCs w:val="22"/>
          <w:lang w:val="en-ZA"/>
        </w:rPr>
        <w:t>o</w:t>
      </w:r>
      <w:r w:rsidR="00266FFC" w:rsidRPr="00070A42">
        <w:rPr>
          <w:rFonts w:ascii="Arial" w:eastAsia="Calibri" w:hAnsi="Arial" w:cs="Arial"/>
          <w:i/>
          <w:iCs/>
          <w:sz w:val="22"/>
          <w:szCs w:val="22"/>
          <w:lang w:val="en-ZA"/>
        </w:rPr>
        <w:t>ordiger</w:t>
      </w:r>
      <w:r w:rsidR="00420464" w:rsidRPr="00070A42">
        <w:rPr>
          <w:rFonts w:ascii="Arial" w:eastAsia="Calibri" w:hAnsi="Arial" w:cs="Arial"/>
          <w:i/>
          <w:iCs/>
          <w:sz w:val="22"/>
          <w:szCs w:val="22"/>
          <w:lang w:val="en-ZA"/>
        </w:rPr>
        <w:t xml:space="preserve"> van al die verskye maatskaapye is.</w:t>
      </w:r>
    </w:p>
    <w:p w14:paraId="6464336B" w14:textId="64BE6549" w:rsidR="003432AC" w:rsidRPr="00070A42" w:rsidRDefault="00070A42" w:rsidP="00070A42">
      <w:pPr>
        <w:spacing w:after="200"/>
        <w:ind w:left="1800" w:hanging="360"/>
        <w:rPr>
          <w:rFonts w:ascii="Arial" w:eastAsia="Calibri" w:hAnsi="Arial" w:cs="Arial"/>
          <w:i/>
          <w:iCs/>
          <w:sz w:val="22"/>
          <w:szCs w:val="22"/>
          <w:lang w:val="en-ZA"/>
        </w:rPr>
      </w:pPr>
      <w:r w:rsidRPr="00C43FD1">
        <w:rPr>
          <w:rFonts w:ascii="Arial" w:eastAsia="Calibri" w:hAnsi="Arial" w:cs="Arial"/>
          <w:i/>
          <w:iCs/>
          <w:sz w:val="22"/>
          <w:szCs w:val="22"/>
          <w:lang w:val="en-ZA"/>
        </w:rPr>
        <w:t>7.</w:t>
      </w:r>
      <w:r w:rsidRPr="00C43FD1">
        <w:rPr>
          <w:rFonts w:ascii="Arial" w:eastAsia="Calibri" w:hAnsi="Arial" w:cs="Arial"/>
          <w:i/>
          <w:iCs/>
          <w:sz w:val="22"/>
          <w:szCs w:val="22"/>
          <w:lang w:val="en-ZA"/>
        </w:rPr>
        <w:tab/>
      </w:r>
      <w:r w:rsidR="00420464" w:rsidRPr="00070A42">
        <w:rPr>
          <w:rFonts w:ascii="Arial" w:eastAsia="Calibri" w:hAnsi="Arial" w:cs="Arial"/>
          <w:i/>
          <w:iCs/>
          <w:sz w:val="22"/>
          <w:szCs w:val="22"/>
          <w:lang w:val="en-ZA"/>
        </w:rPr>
        <w:t>Cilliers onderneem om die onbeswaarde 50% aandelhouding wat deur die Peet Cilliers Familie Trust gehou word in die eiendom wat in die Baviaanskloof W</w:t>
      </w:r>
      <w:r w:rsidR="001977DA" w:rsidRPr="00070A42">
        <w:rPr>
          <w:rFonts w:ascii="Arial" w:eastAsia="Calibri" w:hAnsi="Arial" w:cs="Arial"/>
          <w:i/>
          <w:iCs/>
          <w:sz w:val="22"/>
          <w:szCs w:val="22"/>
          <w:lang w:val="en-ZA"/>
        </w:rPr>
        <w:t>êreld Erfenis gebied geleë is aan Nel te sedeer as sekuriteit vir die utistaande verpligting.”</w:t>
      </w:r>
      <w:r w:rsidR="003432AC" w:rsidRPr="00070A42">
        <w:rPr>
          <w:rFonts w:ascii="Arial" w:eastAsia="Calibri" w:hAnsi="Arial" w:cs="Arial"/>
          <w:i/>
          <w:iCs/>
          <w:sz w:val="22"/>
          <w:szCs w:val="22"/>
          <w:lang w:val="en-ZA"/>
        </w:rPr>
        <w:t xml:space="preserve">  </w:t>
      </w:r>
    </w:p>
    <w:p w14:paraId="351660C2" w14:textId="368AB131" w:rsidR="00C43FD1" w:rsidRPr="00CF5051" w:rsidRDefault="00C43FD1" w:rsidP="00AD2BA3">
      <w:pPr>
        <w:spacing w:after="200"/>
        <w:rPr>
          <w:rFonts w:ascii="Arial" w:eastAsia="Calibri" w:hAnsi="Arial" w:cs="Arial"/>
          <w:i/>
          <w:iCs/>
          <w:sz w:val="22"/>
          <w:szCs w:val="22"/>
          <w:lang w:val="en-ZA"/>
        </w:rPr>
      </w:pPr>
      <w:r>
        <w:rPr>
          <w:rFonts w:ascii="Arial" w:eastAsia="Calibri" w:hAnsi="Arial" w:cs="Arial"/>
          <w:i/>
          <w:iCs/>
          <w:sz w:val="22"/>
          <w:szCs w:val="22"/>
          <w:lang w:val="en-ZA"/>
        </w:rPr>
        <w:tab/>
      </w:r>
    </w:p>
    <w:p w14:paraId="3FC0BA9E" w14:textId="022B5DC6" w:rsidR="00CF5051" w:rsidRDefault="00CF5051" w:rsidP="00AD2BA3">
      <w:pPr>
        <w:spacing w:after="200"/>
        <w:rPr>
          <w:rFonts w:ascii="Arial" w:eastAsia="Calibri" w:hAnsi="Arial" w:cs="Arial"/>
          <w:lang w:val="en-ZA"/>
        </w:rPr>
      </w:pPr>
    </w:p>
    <w:p w14:paraId="313109AC" w14:textId="531A0509" w:rsidR="00AD0BD7" w:rsidRDefault="00AD2BA3" w:rsidP="00AD2BA3">
      <w:pPr>
        <w:spacing w:after="200"/>
        <w:rPr>
          <w:rFonts w:ascii="Arial" w:eastAsia="Calibri" w:hAnsi="Arial" w:cs="Arial"/>
          <w:lang w:val="en-ZA"/>
        </w:rPr>
      </w:pPr>
      <w:r>
        <w:rPr>
          <w:rFonts w:ascii="Arial" w:eastAsia="Calibri" w:hAnsi="Arial" w:cs="Arial"/>
          <w:lang w:val="en-ZA"/>
        </w:rPr>
        <w:lastRenderedPageBreak/>
        <w:t>[</w:t>
      </w:r>
      <w:r w:rsidR="00596283">
        <w:rPr>
          <w:rFonts w:ascii="Arial" w:eastAsia="Calibri" w:hAnsi="Arial" w:cs="Arial"/>
          <w:lang w:val="en-ZA"/>
        </w:rPr>
        <w:t>7</w:t>
      </w:r>
      <w:r>
        <w:rPr>
          <w:rFonts w:ascii="Arial" w:eastAsia="Calibri" w:hAnsi="Arial" w:cs="Arial"/>
          <w:lang w:val="en-ZA"/>
        </w:rPr>
        <w:t>]</w:t>
      </w:r>
      <w:r>
        <w:rPr>
          <w:rFonts w:ascii="Arial" w:eastAsia="Calibri" w:hAnsi="Arial" w:cs="Arial"/>
          <w:lang w:val="en-ZA"/>
        </w:rPr>
        <w:tab/>
        <w:t xml:space="preserve">The </w:t>
      </w:r>
      <w:r w:rsidR="00596283">
        <w:rPr>
          <w:rFonts w:ascii="Arial" w:eastAsia="Calibri" w:hAnsi="Arial" w:cs="Arial"/>
          <w:lang w:val="en-ZA"/>
        </w:rPr>
        <w:t>‘</w:t>
      </w:r>
      <w:r>
        <w:rPr>
          <w:rFonts w:ascii="Arial" w:eastAsia="Calibri" w:hAnsi="Arial" w:cs="Arial"/>
          <w:lang w:val="en-ZA"/>
        </w:rPr>
        <w:t>D1</w:t>
      </w:r>
      <w:r w:rsidR="00596283">
        <w:rPr>
          <w:rFonts w:ascii="Arial" w:eastAsia="Calibri" w:hAnsi="Arial" w:cs="Arial"/>
          <w:lang w:val="en-ZA"/>
        </w:rPr>
        <w:t>’</w:t>
      </w:r>
      <w:r>
        <w:rPr>
          <w:rFonts w:ascii="Arial" w:eastAsia="Calibri" w:hAnsi="Arial" w:cs="Arial"/>
          <w:lang w:val="en-ZA"/>
        </w:rPr>
        <w:t xml:space="preserve"> agreement </w:t>
      </w:r>
      <w:r w:rsidR="00AD0BD7">
        <w:rPr>
          <w:rFonts w:ascii="Arial" w:eastAsia="Calibri" w:hAnsi="Arial" w:cs="Arial"/>
          <w:lang w:val="en-ZA"/>
        </w:rPr>
        <w:t xml:space="preserve">contained </w:t>
      </w:r>
      <w:r>
        <w:rPr>
          <w:rFonts w:ascii="Arial" w:eastAsia="Calibri" w:hAnsi="Arial" w:cs="Arial"/>
          <w:lang w:val="en-ZA"/>
        </w:rPr>
        <w:t>the following clau</w:t>
      </w:r>
      <w:r w:rsidR="00AD0BD7">
        <w:rPr>
          <w:rFonts w:ascii="Arial" w:eastAsia="Calibri" w:hAnsi="Arial" w:cs="Arial"/>
          <w:lang w:val="en-ZA"/>
        </w:rPr>
        <w:t>ses</w:t>
      </w:r>
      <w:r w:rsidR="005837FF">
        <w:rPr>
          <w:rFonts w:ascii="Arial" w:eastAsia="Calibri" w:hAnsi="Arial" w:cs="Arial"/>
          <w:lang w:val="en-ZA"/>
        </w:rPr>
        <w:t>:</w:t>
      </w:r>
    </w:p>
    <w:p w14:paraId="24EE6A9C" w14:textId="77777777" w:rsidR="00AD0BD7" w:rsidRPr="00E618AB" w:rsidRDefault="00AD0BD7" w:rsidP="00AD2BA3">
      <w:pPr>
        <w:spacing w:after="200"/>
        <w:rPr>
          <w:rFonts w:ascii="Arial" w:eastAsia="Calibri" w:hAnsi="Arial" w:cs="Arial"/>
          <w:i/>
          <w:iCs/>
          <w:sz w:val="22"/>
          <w:szCs w:val="22"/>
          <w:lang w:val="en-ZA"/>
        </w:rPr>
      </w:pPr>
      <w:r w:rsidRPr="00E618AB">
        <w:rPr>
          <w:rFonts w:ascii="Arial" w:eastAsia="Calibri" w:hAnsi="Arial" w:cs="Arial"/>
          <w:sz w:val="22"/>
          <w:szCs w:val="22"/>
          <w:lang w:val="en-ZA"/>
        </w:rPr>
        <w:tab/>
      </w:r>
      <w:r w:rsidRPr="00E618AB">
        <w:rPr>
          <w:rFonts w:ascii="Arial" w:eastAsia="Calibri" w:hAnsi="Arial" w:cs="Arial"/>
          <w:i/>
          <w:iCs/>
          <w:sz w:val="22"/>
          <w:szCs w:val="22"/>
          <w:lang w:val="en-ZA"/>
        </w:rPr>
        <w:t>“1.</w:t>
      </w:r>
      <w:r w:rsidRPr="00E618AB">
        <w:rPr>
          <w:rFonts w:ascii="Arial" w:eastAsia="Calibri" w:hAnsi="Arial" w:cs="Arial"/>
          <w:i/>
          <w:iCs/>
          <w:sz w:val="22"/>
          <w:szCs w:val="22"/>
          <w:lang w:val="en-ZA"/>
        </w:rPr>
        <w:tab/>
        <w:t>VERY LAST MINUTE. COM</w:t>
      </w:r>
    </w:p>
    <w:p w14:paraId="25191CEC" w14:textId="77777777" w:rsidR="00AD0BD7" w:rsidRPr="00E618AB" w:rsidRDefault="00AD0BD7" w:rsidP="00AD0BD7">
      <w:pPr>
        <w:spacing w:after="200"/>
        <w:ind w:left="1440"/>
        <w:rPr>
          <w:rFonts w:ascii="Arial" w:eastAsia="Calibri" w:hAnsi="Arial" w:cs="Arial"/>
          <w:i/>
          <w:iCs/>
          <w:sz w:val="22"/>
          <w:szCs w:val="22"/>
          <w:lang w:val="en-ZA"/>
        </w:rPr>
      </w:pPr>
      <w:r w:rsidRPr="00E618AB">
        <w:rPr>
          <w:rFonts w:ascii="Arial" w:eastAsia="Calibri" w:hAnsi="Arial" w:cs="Arial"/>
          <w:i/>
          <w:iCs/>
          <w:sz w:val="22"/>
          <w:szCs w:val="22"/>
          <w:lang w:val="en-ZA"/>
        </w:rPr>
        <w:t>Peet Cilliers koop Koos Nel se 2% (twee present) aandeel in VERY LAST MINUTE.COM vir die bedrag van R3 000 000 – 00 (Drie miljoen rand). Vermelde bedrag is betaalbaar voor of op einde Maart 2008, is nie rentedraend nie, en die transaksie sal “Belasting vriendelik” wees.</w:t>
      </w:r>
    </w:p>
    <w:p w14:paraId="34743005" w14:textId="77777777" w:rsidR="00AD0BD7" w:rsidRPr="00E618AB" w:rsidRDefault="00AD0BD7" w:rsidP="00AD0BD7">
      <w:pPr>
        <w:spacing w:after="200"/>
        <w:rPr>
          <w:rFonts w:ascii="Arial" w:eastAsia="Calibri" w:hAnsi="Arial" w:cs="Arial"/>
          <w:i/>
          <w:iCs/>
          <w:sz w:val="22"/>
          <w:szCs w:val="22"/>
          <w:lang w:val="en-ZA"/>
        </w:rPr>
      </w:pPr>
    </w:p>
    <w:p w14:paraId="5DBDC674" w14:textId="6074BB7C" w:rsidR="00AD0BD7" w:rsidRPr="00E618AB" w:rsidRDefault="00AD0BD7" w:rsidP="00AD0BD7">
      <w:pPr>
        <w:spacing w:after="200"/>
        <w:rPr>
          <w:rFonts w:ascii="Arial" w:eastAsia="Calibri" w:hAnsi="Arial" w:cs="Arial"/>
          <w:i/>
          <w:iCs/>
          <w:sz w:val="22"/>
          <w:szCs w:val="22"/>
          <w:lang w:val="en-ZA"/>
        </w:rPr>
      </w:pPr>
      <w:r w:rsidRPr="00E618AB">
        <w:rPr>
          <w:rFonts w:ascii="Arial" w:eastAsia="Calibri" w:hAnsi="Arial" w:cs="Arial"/>
          <w:i/>
          <w:iCs/>
          <w:sz w:val="22"/>
          <w:szCs w:val="22"/>
          <w:lang w:val="en-ZA"/>
        </w:rPr>
        <w:tab/>
        <w:t>2.</w:t>
      </w:r>
      <w:r w:rsidRPr="00E618AB">
        <w:rPr>
          <w:rFonts w:ascii="Arial" w:eastAsia="Calibri" w:hAnsi="Arial" w:cs="Arial"/>
          <w:i/>
          <w:iCs/>
          <w:sz w:val="22"/>
          <w:szCs w:val="22"/>
          <w:lang w:val="en-ZA"/>
        </w:rPr>
        <w:tab/>
        <w:t>LEGEND GOLF EN SAFARI RESORT (PTY) LTD – LANDGOED</w:t>
      </w:r>
    </w:p>
    <w:p w14:paraId="21BA4C1E" w14:textId="5E885104" w:rsidR="00315DE2" w:rsidRPr="00E618AB" w:rsidRDefault="00AD0BD7" w:rsidP="00AD0BD7">
      <w:pPr>
        <w:spacing w:after="200"/>
        <w:ind w:left="1440"/>
        <w:rPr>
          <w:rFonts w:ascii="Arial" w:eastAsia="Calibri" w:hAnsi="Arial" w:cs="Arial"/>
          <w:i/>
          <w:iCs/>
          <w:sz w:val="22"/>
          <w:szCs w:val="22"/>
          <w:lang w:val="en-ZA"/>
        </w:rPr>
      </w:pPr>
      <w:r w:rsidRPr="00E618AB">
        <w:rPr>
          <w:rFonts w:ascii="Arial" w:eastAsia="Calibri" w:hAnsi="Arial" w:cs="Arial"/>
          <w:i/>
          <w:iCs/>
          <w:sz w:val="22"/>
          <w:szCs w:val="22"/>
          <w:lang w:val="en-ZA"/>
        </w:rPr>
        <w:t>Peet Cilliers koop Koos Nel se 5% (Vyf present) aandeel in Legend Golf en Safari Resort (Pty) Ltd vir die bedrag van R30 000 000 – 00 (Dertig Miljoen Rand). Vermelde bedrag is betaalbaar voor of op einde F</w:t>
      </w:r>
      <w:r w:rsidR="00315DE2" w:rsidRPr="00E618AB">
        <w:rPr>
          <w:rFonts w:ascii="Arial" w:eastAsia="Calibri" w:hAnsi="Arial" w:cs="Arial"/>
          <w:i/>
          <w:iCs/>
          <w:sz w:val="22"/>
          <w:szCs w:val="22"/>
          <w:lang w:val="en-ZA"/>
        </w:rPr>
        <w:t>eb</w:t>
      </w:r>
      <w:r w:rsidRPr="00E618AB">
        <w:rPr>
          <w:rFonts w:ascii="Arial" w:eastAsia="Calibri" w:hAnsi="Arial" w:cs="Arial"/>
          <w:i/>
          <w:iCs/>
          <w:sz w:val="22"/>
          <w:szCs w:val="22"/>
          <w:lang w:val="en-ZA"/>
        </w:rPr>
        <w:t>ruarie 2011, is nie rentedraend nie, en die transaksie sal</w:t>
      </w:r>
      <w:r w:rsidR="00315DE2" w:rsidRPr="00E618AB">
        <w:rPr>
          <w:rFonts w:ascii="Arial" w:eastAsia="Calibri" w:hAnsi="Arial" w:cs="Arial"/>
          <w:i/>
          <w:iCs/>
          <w:sz w:val="22"/>
          <w:szCs w:val="22"/>
          <w:lang w:val="en-ZA"/>
        </w:rPr>
        <w:t xml:space="preserve"> “Belasting vriendelik” wees.</w:t>
      </w:r>
    </w:p>
    <w:p w14:paraId="4DCBBFA8" w14:textId="2954D8AF" w:rsidR="00315DE2" w:rsidRPr="00E618AB" w:rsidRDefault="00315DE2" w:rsidP="00315DE2">
      <w:pPr>
        <w:spacing w:after="200"/>
        <w:rPr>
          <w:rFonts w:ascii="Arial" w:eastAsia="Calibri" w:hAnsi="Arial" w:cs="Arial"/>
          <w:i/>
          <w:iCs/>
          <w:sz w:val="22"/>
          <w:szCs w:val="22"/>
          <w:lang w:val="en-ZA"/>
        </w:rPr>
      </w:pPr>
      <w:r w:rsidRPr="00E618AB">
        <w:rPr>
          <w:rFonts w:ascii="Arial" w:eastAsia="Calibri" w:hAnsi="Arial" w:cs="Arial"/>
          <w:i/>
          <w:iCs/>
          <w:sz w:val="22"/>
          <w:szCs w:val="22"/>
          <w:lang w:val="en-ZA"/>
        </w:rPr>
        <w:tab/>
      </w:r>
    </w:p>
    <w:p w14:paraId="3709760F" w14:textId="209817F4" w:rsidR="00315DE2" w:rsidRPr="00E618AB" w:rsidRDefault="00315DE2" w:rsidP="00315DE2">
      <w:pPr>
        <w:spacing w:after="200"/>
        <w:rPr>
          <w:rFonts w:ascii="Arial" w:eastAsia="Calibri" w:hAnsi="Arial" w:cs="Arial"/>
          <w:i/>
          <w:iCs/>
          <w:sz w:val="22"/>
          <w:szCs w:val="22"/>
          <w:lang w:val="en-ZA"/>
        </w:rPr>
      </w:pPr>
      <w:r w:rsidRPr="00E618AB">
        <w:rPr>
          <w:rFonts w:ascii="Arial" w:eastAsia="Calibri" w:hAnsi="Arial" w:cs="Arial"/>
          <w:i/>
          <w:iCs/>
          <w:sz w:val="22"/>
          <w:szCs w:val="22"/>
          <w:lang w:val="en-ZA"/>
        </w:rPr>
        <w:tab/>
        <w:t>3.</w:t>
      </w:r>
      <w:r w:rsidRPr="00E618AB">
        <w:rPr>
          <w:rFonts w:ascii="Arial" w:eastAsia="Calibri" w:hAnsi="Arial" w:cs="Arial"/>
          <w:i/>
          <w:iCs/>
          <w:sz w:val="22"/>
          <w:szCs w:val="22"/>
          <w:lang w:val="en-ZA"/>
        </w:rPr>
        <w:tab/>
        <w:t>LEGEND GOLF EN SAFARI RESORT (Pty) LTD – 7 ERWE</w:t>
      </w:r>
    </w:p>
    <w:p w14:paraId="0697DFFD" w14:textId="77777777" w:rsidR="00315DE2" w:rsidRPr="00E618AB" w:rsidRDefault="00315DE2" w:rsidP="00315DE2">
      <w:pPr>
        <w:spacing w:after="200"/>
        <w:ind w:left="1440"/>
        <w:rPr>
          <w:rFonts w:ascii="Arial" w:eastAsia="Calibri" w:hAnsi="Arial" w:cs="Arial"/>
          <w:i/>
          <w:iCs/>
          <w:sz w:val="22"/>
          <w:szCs w:val="22"/>
          <w:lang w:val="en-ZA"/>
        </w:rPr>
      </w:pPr>
      <w:r w:rsidRPr="00E618AB">
        <w:rPr>
          <w:rFonts w:ascii="Arial" w:eastAsia="Calibri" w:hAnsi="Arial" w:cs="Arial"/>
          <w:i/>
          <w:iCs/>
          <w:sz w:val="22"/>
          <w:szCs w:val="22"/>
          <w:lang w:val="en-ZA"/>
        </w:rPr>
        <w:t>Al 7 (Sewe) erwe word in Koos Nel se naam gekoop en deur hom self finansier by Absa Bank teen prima -2%. Die eerste twee erwe sal deur Peet Cilliers so gou as moontlik verkoop word teen minstens R2 500 000 – 00 per erf, om sodoende die ander vyf erwe te financier. Wins en verlies sal gelykop tussen Cilliers en Nel verdeel word na behoorlike voorsiening vir rente en moontlike belasting implikasies.</w:t>
      </w:r>
    </w:p>
    <w:p w14:paraId="2C661662" w14:textId="77777777" w:rsidR="00315DE2" w:rsidRPr="00E618AB" w:rsidRDefault="00315DE2" w:rsidP="00315DE2">
      <w:pPr>
        <w:spacing w:after="200"/>
        <w:rPr>
          <w:rFonts w:ascii="Arial" w:eastAsia="Calibri" w:hAnsi="Arial" w:cs="Arial"/>
          <w:i/>
          <w:iCs/>
          <w:sz w:val="22"/>
          <w:szCs w:val="22"/>
          <w:lang w:val="en-ZA"/>
        </w:rPr>
      </w:pPr>
    </w:p>
    <w:p w14:paraId="2C766273" w14:textId="77777777" w:rsidR="00E618AB" w:rsidRPr="00E618AB" w:rsidRDefault="00315DE2" w:rsidP="00315DE2">
      <w:pPr>
        <w:spacing w:after="200"/>
        <w:rPr>
          <w:rFonts w:ascii="Arial" w:eastAsia="Calibri" w:hAnsi="Arial" w:cs="Arial"/>
          <w:i/>
          <w:iCs/>
          <w:sz w:val="22"/>
          <w:szCs w:val="22"/>
          <w:lang w:val="en-ZA"/>
        </w:rPr>
      </w:pPr>
      <w:r w:rsidRPr="00E618AB">
        <w:rPr>
          <w:rFonts w:ascii="Arial" w:eastAsia="Calibri" w:hAnsi="Arial" w:cs="Arial"/>
          <w:i/>
          <w:iCs/>
          <w:sz w:val="22"/>
          <w:szCs w:val="22"/>
          <w:lang w:val="en-ZA"/>
        </w:rPr>
        <w:tab/>
        <w:t>4.</w:t>
      </w:r>
      <w:r w:rsidRPr="00E618AB">
        <w:rPr>
          <w:rFonts w:ascii="Arial" w:eastAsia="Calibri" w:hAnsi="Arial" w:cs="Arial"/>
          <w:i/>
          <w:iCs/>
          <w:sz w:val="22"/>
          <w:szCs w:val="22"/>
          <w:lang w:val="en-ZA"/>
        </w:rPr>
        <w:tab/>
        <w:t>LENING VAN R2 000 000 – 00 (T</w:t>
      </w:r>
      <w:r w:rsidR="00E618AB" w:rsidRPr="00E618AB">
        <w:rPr>
          <w:rFonts w:ascii="Arial" w:eastAsia="Calibri" w:hAnsi="Arial" w:cs="Arial"/>
          <w:i/>
          <w:iCs/>
          <w:sz w:val="22"/>
          <w:szCs w:val="22"/>
          <w:lang w:val="en-ZA"/>
        </w:rPr>
        <w:t>WEE MILJOEN RAND)</w:t>
      </w:r>
    </w:p>
    <w:p w14:paraId="3FE77D11" w14:textId="77777777" w:rsidR="00E618AB" w:rsidRPr="00E618AB" w:rsidRDefault="00E618AB" w:rsidP="00E618AB">
      <w:pPr>
        <w:spacing w:after="200"/>
        <w:ind w:left="1440"/>
        <w:rPr>
          <w:rFonts w:ascii="Arial" w:eastAsia="Calibri" w:hAnsi="Arial" w:cs="Arial"/>
          <w:i/>
          <w:iCs/>
          <w:sz w:val="22"/>
          <w:szCs w:val="22"/>
          <w:lang w:val="en-ZA"/>
        </w:rPr>
      </w:pPr>
      <w:r w:rsidRPr="00E618AB">
        <w:rPr>
          <w:rFonts w:ascii="Arial" w:eastAsia="Calibri" w:hAnsi="Arial" w:cs="Arial"/>
          <w:i/>
          <w:iCs/>
          <w:sz w:val="22"/>
          <w:szCs w:val="22"/>
          <w:lang w:val="en-ZA"/>
        </w:rPr>
        <w:lastRenderedPageBreak/>
        <w:t>Vermelde lening sal voor of op einde Maart 2008 aan Koos Nel terug betaal word, insluitende renete bereken teen prima -2%, vanaf 22/3/2007 tot en met datum van betaling, en sal uiteraard ook “Belasting vriendelik” wees.”</w:t>
      </w:r>
    </w:p>
    <w:p w14:paraId="1E1FA6A2" w14:textId="3F4868C6" w:rsidR="00E61079" w:rsidRDefault="00E61079" w:rsidP="00E618AB">
      <w:pPr>
        <w:spacing w:after="200"/>
        <w:rPr>
          <w:rFonts w:ascii="Arial" w:eastAsia="Calibri" w:hAnsi="Arial" w:cs="Arial"/>
          <w:lang w:val="en-ZA"/>
        </w:rPr>
      </w:pPr>
    </w:p>
    <w:p w14:paraId="57E83830" w14:textId="11E70A9A" w:rsidR="00E61079" w:rsidRDefault="00E61079" w:rsidP="00E618AB">
      <w:pPr>
        <w:spacing w:after="200"/>
        <w:rPr>
          <w:rFonts w:ascii="Arial" w:eastAsia="Calibri" w:hAnsi="Arial" w:cs="Arial"/>
          <w:lang w:val="en-ZA"/>
        </w:rPr>
      </w:pPr>
      <w:r>
        <w:rPr>
          <w:rFonts w:ascii="Arial" w:eastAsia="Calibri" w:hAnsi="Arial" w:cs="Arial"/>
          <w:lang w:val="en-ZA"/>
        </w:rPr>
        <w:t>[</w:t>
      </w:r>
      <w:r w:rsidR="00596283">
        <w:rPr>
          <w:rFonts w:ascii="Arial" w:eastAsia="Calibri" w:hAnsi="Arial" w:cs="Arial"/>
          <w:lang w:val="en-ZA"/>
        </w:rPr>
        <w:t>8</w:t>
      </w:r>
      <w:r>
        <w:rPr>
          <w:rFonts w:ascii="Arial" w:eastAsia="Calibri" w:hAnsi="Arial" w:cs="Arial"/>
          <w:lang w:val="en-ZA"/>
        </w:rPr>
        <w:t>]</w:t>
      </w:r>
      <w:r>
        <w:rPr>
          <w:rFonts w:ascii="Arial" w:eastAsia="Calibri" w:hAnsi="Arial" w:cs="Arial"/>
          <w:lang w:val="en-ZA"/>
        </w:rPr>
        <w:tab/>
        <w:t xml:space="preserve">It is clear from the record on appeal that the First Appellant was </w:t>
      </w:r>
      <w:r w:rsidR="00CC768D">
        <w:rPr>
          <w:rFonts w:ascii="Arial" w:eastAsia="Calibri" w:hAnsi="Arial" w:cs="Arial"/>
          <w:lang w:val="en-ZA"/>
        </w:rPr>
        <w:t xml:space="preserve">the </w:t>
      </w:r>
      <w:r>
        <w:rPr>
          <w:rFonts w:ascii="Arial" w:eastAsia="Calibri" w:hAnsi="Arial" w:cs="Arial"/>
          <w:lang w:val="en-ZA"/>
        </w:rPr>
        <w:t>only person to testify in the Court a quo.</w:t>
      </w:r>
    </w:p>
    <w:p w14:paraId="5E4BF697" w14:textId="233FD912" w:rsidR="00E61079" w:rsidRDefault="00E61079" w:rsidP="00E618AB">
      <w:pPr>
        <w:spacing w:after="200"/>
        <w:rPr>
          <w:rFonts w:ascii="Arial" w:eastAsia="Calibri" w:hAnsi="Arial" w:cs="Arial"/>
          <w:lang w:val="en-ZA"/>
        </w:rPr>
      </w:pPr>
    </w:p>
    <w:p w14:paraId="5CE322C5" w14:textId="39D0C485" w:rsidR="00A8173F" w:rsidRDefault="00E61079" w:rsidP="00E618AB">
      <w:pPr>
        <w:spacing w:after="200"/>
        <w:rPr>
          <w:rFonts w:ascii="Arial" w:eastAsia="Calibri" w:hAnsi="Arial" w:cs="Arial"/>
          <w:lang w:val="en-ZA"/>
        </w:rPr>
      </w:pPr>
      <w:r>
        <w:rPr>
          <w:rFonts w:ascii="Arial" w:eastAsia="Calibri" w:hAnsi="Arial" w:cs="Arial"/>
          <w:lang w:val="en-ZA"/>
        </w:rPr>
        <w:t>[</w:t>
      </w:r>
      <w:r w:rsidR="00596283">
        <w:rPr>
          <w:rFonts w:ascii="Arial" w:eastAsia="Calibri" w:hAnsi="Arial" w:cs="Arial"/>
          <w:lang w:val="en-ZA"/>
        </w:rPr>
        <w:t>9</w:t>
      </w:r>
      <w:r>
        <w:rPr>
          <w:rFonts w:ascii="Arial" w:eastAsia="Calibri" w:hAnsi="Arial" w:cs="Arial"/>
          <w:lang w:val="en-ZA"/>
        </w:rPr>
        <w:t>]</w:t>
      </w:r>
      <w:r>
        <w:rPr>
          <w:rFonts w:ascii="Arial" w:eastAsia="Calibri" w:hAnsi="Arial" w:cs="Arial"/>
          <w:lang w:val="en-ZA"/>
        </w:rPr>
        <w:tab/>
        <w:t xml:space="preserve">The First Appellant confirmed agreements ‘D1’ and D’2’. </w:t>
      </w:r>
    </w:p>
    <w:p w14:paraId="190FE993" w14:textId="77777777" w:rsidR="005837FF" w:rsidRPr="005837FF" w:rsidRDefault="005837FF" w:rsidP="00E618AB">
      <w:pPr>
        <w:spacing w:after="200"/>
        <w:rPr>
          <w:rFonts w:ascii="Arial" w:eastAsia="Calibri" w:hAnsi="Arial" w:cs="Arial"/>
          <w:lang w:val="en-ZA"/>
        </w:rPr>
      </w:pPr>
    </w:p>
    <w:p w14:paraId="43D5A173" w14:textId="585C02C5" w:rsidR="00A8173F" w:rsidRPr="00A8173F" w:rsidRDefault="00A8173F" w:rsidP="00E618AB">
      <w:pPr>
        <w:spacing w:after="200"/>
        <w:rPr>
          <w:rFonts w:ascii="Arial" w:eastAsia="Calibri" w:hAnsi="Arial" w:cs="Arial"/>
          <w:b/>
          <w:bCs/>
          <w:lang w:val="en-ZA"/>
        </w:rPr>
      </w:pPr>
      <w:r>
        <w:rPr>
          <w:rFonts w:ascii="Arial" w:eastAsia="Calibri" w:hAnsi="Arial" w:cs="Arial"/>
          <w:b/>
          <w:bCs/>
          <w:lang w:val="en-ZA"/>
        </w:rPr>
        <w:t>ANALYSIS AND EVALUATION</w:t>
      </w:r>
    </w:p>
    <w:p w14:paraId="42DEFBDD" w14:textId="77777777" w:rsidR="00A8173F" w:rsidRDefault="00A8173F" w:rsidP="00E618AB">
      <w:pPr>
        <w:spacing w:after="200"/>
        <w:rPr>
          <w:rFonts w:ascii="Arial" w:eastAsia="Calibri" w:hAnsi="Arial" w:cs="Arial"/>
          <w:lang w:val="en-ZA"/>
        </w:rPr>
      </w:pPr>
    </w:p>
    <w:p w14:paraId="52CEC368" w14:textId="10B9CC4A" w:rsidR="00CC768D" w:rsidRDefault="00CC768D" w:rsidP="005837FF">
      <w:pPr>
        <w:spacing w:after="200"/>
        <w:rPr>
          <w:rFonts w:ascii="Arial" w:eastAsia="Calibri" w:hAnsi="Arial" w:cs="Arial"/>
          <w:lang w:val="en-ZA"/>
        </w:rPr>
      </w:pPr>
      <w:r>
        <w:rPr>
          <w:rFonts w:ascii="Arial" w:eastAsia="Calibri" w:hAnsi="Arial" w:cs="Arial"/>
          <w:lang w:val="en-ZA"/>
        </w:rPr>
        <w:t>[</w:t>
      </w:r>
      <w:r w:rsidR="007F31CF">
        <w:rPr>
          <w:rFonts w:ascii="Arial" w:eastAsia="Calibri" w:hAnsi="Arial" w:cs="Arial"/>
          <w:lang w:val="en-ZA"/>
        </w:rPr>
        <w:t>10</w:t>
      </w:r>
      <w:r>
        <w:rPr>
          <w:rFonts w:ascii="Arial" w:eastAsia="Calibri" w:hAnsi="Arial" w:cs="Arial"/>
          <w:lang w:val="en-ZA"/>
        </w:rPr>
        <w:t>]</w:t>
      </w:r>
      <w:r>
        <w:rPr>
          <w:rFonts w:ascii="Arial" w:eastAsia="Calibri" w:hAnsi="Arial" w:cs="Arial"/>
          <w:lang w:val="en-ZA"/>
        </w:rPr>
        <w:tab/>
        <w:t>In my view, the following issues warrant determination on appeal:</w:t>
      </w:r>
    </w:p>
    <w:p w14:paraId="222730C1" w14:textId="28E18598" w:rsidR="00596283" w:rsidRDefault="00A8173F" w:rsidP="005837FF">
      <w:pPr>
        <w:spacing w:after="200"/>
        <w:ind w:left="720"/>
        <w:rPr>
          <w:rFonts w:ascii="Arial" w:eastAsia="Calibri" w:hAnsi="Arial" w:cs="Arial"/>
          <w:lang w:val="en-ZA"/>
        </w:rPr>
      </w:pPr>
      <w:r>
        <w:rPr>
          <w:rFonts w:ascii="Arial" w:eastAsia="Calibri" w:hAnsi="Arial" w:cs="Arial"/>
          <w:lang w:val="en-ZA"/>
        </w:rPr>
        <w:t>10</w:t>
      </w:r>
      <w:r w:rsidR="00CC768D">
        <w:rPr>
          <w:rFonts w:ascii="Arial" w:eastAsia="Calibri" w:hAnsi="Arial" w:cs="Arial"/>
          <w:lang w:val="en-ZA"/>
        </w:rPr>
        <w:t>.1.</w:t>
      </w:r>
      <w:r w:rsidR="00CC768D">
        <w:rPr>
          <w:rFonts w:ascii="Arial" w:eastAsia="Calibri" w:hAnsi="Arial" w:cs="Arial"/>
          <w:lang w:val="en-ZA"/>
        </w:rPr>
        <w:tab/>
      </w:r>
      <w:r w:rsidR="00596283">
        <w:rPr>
          <w:rFonts w:ascii="Arial" w:eastAsia="Calibri" w:hAnsi="Arial" w:cs="Arial"/>
          <w:lang w:val="en-ZA"/>
        </w:rPr>
        <w:t>Whether ‘D2’ is a Credit Agreement in terms of the National Credit Act 34 of 2005, as amended?</w:t>
      </w:r>
    </w:p>
    <w:p w14:paraId="54862132" w14:textId="48D1B3A2" w:rsidR="00596283" w:rsidRDefault="00A8173F" w:rsidP="005837FF">
      <w:pPr>
        <w:spacing w:after="200"/>
        <w:ind w:left="720"/>
        <w:rPr>
          <w:rFonts w:ascii="Arial" w:eastAsia="Calibri" w:hAnsi="Arial" w:cs="Arial"/>
          <w:lang w:val="en-ZA"/>
        </w:rPr>
      </w:pPr>
      <w:r>
        <w:rPr>
          <w:rFonts w:ascii="Arial" w:eastAsia="Calibri" w:hAnsi="Arial" w:cs="Arial"/>
          <w:lang w:val="en-ZA"/>
        </w:rPr>
        <w:t>10</w:t>
      </w:r>
      <w:r w:rsidR="00596283">
        <w:rPr>
          <w:rFonts w:ascii="Arial" w:eastAsia="Calibri" w:hAnsi="Arial" w:cs="Arial"/>
          <w:lang w:val="en-ZA"/>
        </w:rPr>
        <w:t>.2.</w:t>
      </w:r>
      <w:r w:rsidR="00596283">
        <w:rPr>
          <w:rFonts w:ascii="Arial" w:eastAsia="Calibri" w:hAnsi="Arial" w:cs="Arial"/>
          <w:lang w:val="en-ZA"/>
        </w:rPr>
        <w:tab/>
        <w:t>Whether ‘D1’ can be revived if ‘D2’ is declared to be unlawful and invalid?</w:t>
      </w:r>
    </w:p>
    <w:p w14:paraId="49DCDEEC" w14:textId="0B65FC3F" w:rsidR="00CC768D" w:rsidRDefault="00A8173F" w:rsidP="005837FF">
      <w:pPr>
        <w:spacing w:after="200"/>
        <w:ind w:left="720"/>
        <w:rPr>
          <w:rFonts w:ascii="Arial" w:eastAsia="Calibri" w:hAnsi="Arial" w:cs="Arial"/>
          <w:lang w:val="en-ZA"/>
        </w:rPr>
      </w:pPr>
      <w:r>
        <w:rPr>
          <w:rFonts w:ascii="Arial" w:eastAsia="Calibri" w:hAnsi="Arial" w:cs="Arial"/>
          <w:lang w:val="en-ZA"/>
        </w:rPr>
        <w:t>10</w:t>
      </w:r>
      <w:r w:rsidR="00596283">
        <w:rPr>
          <w:rFonts w:ascii="Arial" w:eastAsia="Calibri" w:hAnsi="Arial" w:cs="Arial"/>
          <w:lang w:val="en-ZA"/>
        </w:rPr>
        <w:t>.3.</w:t>
      </w:r>
      <w:r w:rsidR="00596283">
        <w:rPr>
          <w:rFonts w:ascii="Arial" w:eastAsia="Calibri" w:hAnsi="Arial" w:cs="Arial"/>
          <w:lang w:val="en-ZA"/>
        </w:rPr>
        <w:tab/>
      </w:r>
      <w:r w:rsidR="00CC768D">
        <w:rPr>
          <w:rFonts w:ascii="Arial" w:eastAsia="Calibri" w:hAnsi="Arial" w:cs="Arial"/>
          <w:lang w:val="en-ZA"/>
        </w:rPr>
        <w:t>Whether ‘D1’ was inchoate or not and whether reliance on the inchoateness by the Respondent was appropriate in law;</w:t>
      </w:r>
    </w:p>
    <w:p w14:paraId="0129CB8F" w14:textId="52120705" w:rsidR="00CC768D" w:rsidRDefault="00A8173F" w:rsidP="005837FF">
      <w:pPr>
        <w:spacing w:after="200"/>
        <w:ind w:left="720"/>
        <w:rPr>
          <w:rFonts w:ascii="Arial" w:eastAsia="Calibri" w:hAnsi="Arial" w:cs="Arial"/>
          <w:lang w:val="en-ZA"/>
        </w:rPr>
      </w:pPr>
      <w:r>
        <w:rPr>
          <w:rFonts w:ascii="Arial" w:eastAsia="Calibri" w:hAnsi="Arial" w:cs="Arial"/>
          <w:lang w:val="en-ZA"/>
        </w:rPr>
        <w:t>10</w:t>
      </w:r>
      <w:r w:rsidR="00CC768D">
        <w:rPr>
          <w:rFonts w:ascii="Arial" w:eastAsia="Calibri" w:hAnsi="Arial" w:cs="Arial"/>
          <w:lang w:val="en-ZA"/>
        </w:rPr>
        <w:t>.</w:t>
      </w:r>
      <w:r w:rsidR="00596283">
        <w:rPr>
          <w:rFonts w:ascii="Arial" w:eastAsia="Calibri" w:hAnsi="Arial" w:cs="Arial"/>
          <w:lang w:val="en-ZA"/>
        </w:rPr>
        <w:t>4</w:t>
      </w:r>
      <w:r w:rsidR="00CC768D">
        <w:rPr>
          <w:rFonts w:ascii="Arial" w:eastAsia="Calibri" w:hAnsi="Arial" w:cs="Arial"/>
          <w:lang w:val="en-ZA"/>
        </w:rPr>
        <w:t>.</w:t>
      </w:r>
      <w:r w:rsidR="00CC768D">
        <w:rPr>
          <w:rFonts w:ascii="Arial" w:eastAsia="Calibri" w:hAnsi="Arial" w:cs="Arial"/>
          <w:lang w:val="en-ZA"/>
        </w:rPr>
        <w:tab/>
        <w:t>Whether ‘D1’ was a Credit Agreement in terms of the National Credit Act 34 of 2005</w:t>
      </w:r>
      <w:r w:rsidR="0077147D">
        <w:rPr>
          <w:rFonts w:ascii="Arial" w:eastAsia="Calibri" w:hAnsi="Arial" w:cs="Arial"/>
          <w:lang w:val="en-ZA"/>
        </w:rPr>
        <w:t xml:space="preserve"> (“the Act”)</w:t>
      </w:r>
      <w:r w:rsidR="00CC768D">
        <w:rPr>
          <w:rFonts w:ascii="Arial" w:eastAsia="Calibri" w:hAnsi="Arial" w:cs="Arial"/>
          <w:lang w:val="en-ZA"/>
        </w:rPr>
        <w:t>, as amended</w:t>
      </w:r>
      <w:r w:rsidR="00A867DC">
        <w:rPr>
          <w:rFonts w:ascii="Arial" w:eastAsia="Calibri" w:hAnsi="Arial" w:cs="Arial"/>
          <w:lang w:val="en-ZA"/>
        </w:rPr>
        <w:t>?</w:t>
      </w:r>
    </w:p>
    <w:p w14:paraId="27E83119" w14:textId="77777777" w:rsidR="007F31CF" w:rsidRDefault="007F31CF" w:rsidP="005837FF">
      <w:pPr>
        <w:spacing w:after="200"/>
        <w:ind w:left="720"/>
        <w:rPr>
          <w:rFonts w:ascii="Arial" w:eastAsia="Calibri" w:hAnsi="Arial" w:cs="Arial"/>
          <w:lang w:val="en-ZA"/>
        </w:rPr>
      </w:pPr>
    </w:p>
    <w:p w14:paraId="0E2FC1DB" w14:textId="5DCEF625" w:rsidR="007F31CF" w:rsidRDefault="00A867DC" w:rsidP="005837FF">
      <w:pPr>
        <w:spacing w:after="200"/>
        <w:rPr>
          <w:rFonts w:ascii="Arial" w:hAnsi="Arial" w:cs="Arial"/>
          <w:lang w:val="en-ZA" w:eastAsia="en-ZA"/>
        </w:rPr>
      </w:pPr>
      <w:r>
        <w:rPr>
          <w:rFonts w:ascii="Arial" w:eastAsia="Calibri" w:hAnsi="Arial" w:cs="Arial"/>
          <w:lang w:val="en-ZA"/>
        </w:rPr>
        <w:lastRenderedPageBreak/>
        <w:t>[</w:t>
      </w:r>
      <w:r w:rsidR="007F31CF">
        <w:rPr>
          <w:rFonts w:ascii="Arial" w:eastAsia="Calibri" w:hAnsi="Arial" w:cs="Arial"/>
          <w:lang w:val="en-ZA"/>
        </w:rPr>
        <w:t>11</w:t>
      </w:r>
      <w:r>
        <w:rPr>
          <w:rFonts w:ascii="Arial" w:eastAsia="Calibri" w:hAnsi="Arial" w:cs="Arial"/>
          <w:lang w:val="en-ZA"/>
        </w:rPr>
        <w:t>]</w:t>
      </w:r>
      <w:r>
        <w:rPr>
          <w:rFonts w:ascii="Arial" w:eastAsia="Calibri" w:hAnsi="Arial" w:cs="Arial"/>
          <w:lang w:val="en-ZA"/>
        </w:rPr>
        <w:tab/>
      </w:r>
      <w:r w:rsidR="007F31CF">
        <w:rPr>
          <w:rFonts w:ascii="Arial" w:hAnsi="Arial" w:cs="Arial"/>
          <w:lang w:val="en-ZA" w:eastAsia="en-ZA"/>
        </w:rPr>
        <w:t>Accordingly the first issue for determination as set out above is whether ‘D2’ falls within Section 8 of the Act, meaning, can it be described as a credit agreement?</w:t>
      </w:r>
    </w:p>
    <w:p w14:paraId="3C1C38B4" w14:textId="77777777" w:rsidR="007F31CF" w:rsidRDefault="007F31CF" w:rsidP="005837FF">
      <w:pPr>
        <w:spacing w:after="200"/>
        <w:rPr>
          <w:rFonts w:ascii="Arial" w:hAnsi="Arial" w:cs="Arial"/>
          <w:lang w:val="en-ZA" w:eastAsia="en-ZA"/>
        </w:rPr>
      </w:pPr>
    </w:p>
    <w:p w14:paraId="592CB07F" w14:textId="29BAB1B2" w:rsidR="007F31CF" w:rsidRDefault="007F31CF" w:rsidP="005837FF">
      <w:pPr>
        <w:spacing w:after="200"/>
        <w:rPr>
          <w:rFonts w:ascii="Arial" w:hAnsi="Arial" w:cs="Arial"/>
          <w:lang w:val="en-ZA" w:eastAsia="en-ZA"/>
        </w:rPr>
      </w:pPr>
      <w:r>
        <w:rPr>
          <w:rFonts w:ascii="Arial" w:hAnsi="Arial" w:cs="Arial"/>
          <w:lang w:val="en-ZA" w:eastAsia="en-ZA"/>
        </w:rPr>
        <w:t>[12]</w:t>
      </w:r>
      <w:r>
        <w:rPr>
          <w:rFonts w:ascii="Arial" w:hAnsi="Arial" w:cs="Arial"/>
          <w:lang w:val="en-ZA" w:eastAsia="en-ZA"/>
        </w:rPr>
        <w:tab/>
        <w:t>Firstly, the Appellants conceded in a pre-trial minute that clauses 2, 3 and 4 of ‘D2’ f</w:t>
      </w:r>
      <w:r w:rsidR="0077147D">
        <w:rPr>
          <w:rFonts w:ascii="Arial" w:hAnsi="Arial" w:cs="Arial"/>
          <w:lang w:val="en-ZA" w:eastAsia="en-ZA"/>
        </w:rPr>
        <w:t>a</w:t>
      </w:r>
      <w:r>
        <w:rPr>
          <w:rFonts w:ascii="Arial" w:hAnsi="Arial" w:cs="Arial"/>
          <w:lang w:val="en-ZA" w:eastAsia="en-ZA"/>
        </w:rPr>
        <w:t xml:space="preserve">ll within the ambit of Section 8 of the Act. Secondly, what logically must follow such a concession is surely that the agreement between the First Appellant and the Respondent is unlawful in terms of Section 89 (2) of </w:t>
      </w:r>
      <w:r w:rsidR="0077147D">
        <w:rPr>
          <w:rFonts w:ascii="Arial" w:hAnsi="Arial" w:cs="Arial"/>
          <w:lang w:val="en-ZA" w:eastAsia="en-ZA"/>
        </w:rPr>
        <w:t>t</w:t>
      </w:r>
      <w:r>
        <w:rPr>
          <w:rFonts w:ascii="Arial" w:hAnsi="Arial" w:cs="Arial"/>
          <w:lang w:val="en-ZA" w:eastAsia="en-ZA"/>
        </w:rPr>
        <w:t xml:space="preserve">he Act for the reason that the neither of the First Appellant and the Respondent were registered as credit providers in terms of the Act. </w:t>
      </w:r>
    </w:p>
    <w:p w14:paraId="71DCF153" w14:textId="77777777" w:rsidR="007F31CF" w:rsidRDefault="007F31CF" w:rsidP="005837FF">
      <w:pPr>
        <w:spacing w:after="200"/>
        <w:rPr>
          <w:rFonts w:ascii="Arial" w:hAnsi="Arial" w:cs="Arial"/>
          <w:lang w:val="en-ZA" w:eastAsia="en-ZA"/>
        </w:rPr>
      </w:pPr>
    </w:p>
    <w:p w14:paraId="227BCBFC" w14:textId="7DF249E9" w:rsidR="007F31CF" w:rsidRDefault="007F31CF" w:rsidP="005837FF">
      <w:pPr>
        <w:spacing w:after="200"/>
        <w:rPr>
          <w:rFonts w:ascii="Arial" w:hAnsi="Arial" w:cs="Arial"/>
          <w:lang w:val="en-ZA" w:eastAsia="en-ZA"/>
        </w:rPr>
      </w:pPr>
      <w:r>
        <w:rPr>
          <w:rFonts w:ascii="Arial" w:hAnsi="Arial" w:cs="Arial"/>
          <w:lang w:val="en-ZA" w:eastAsia="en-ZA"/>
        </w:rPr>
        <w:t>[13]</w:t>
      </w:r>
      <w:r>
        <w:rPr>
          <w:rFonts w:ascii="Arial" w:hAnsi="Arial" w:cs="Arial"/>
          <w:lang w:val="en-ZA" w:eastAsia="en-ZA"/>
        </w:rPr>
        <w:tab/>
        <w:t xml:space="preserve">However, Counsel for the Appellants, submitted in the Court </w:t>
      </w:r>
      <w:r>
        <w:rPr>
          <w:rFonts w:ascii="Arial" w:hAnsi="Arial" w:cs="Arial"/>
          <w:i/>
          <w:iCs/>
          <w:lang w:val="en-ZA" w:eastAsia="en-ZA"/>
        </w:rPr>
        <w:t>a quo</w:t>
      </w:r>
      <w:r>
        <w:rPr>
          <w:rFonts w:ascii="Arial" w:hAnsi="Arial" w:cs="Arial"/>
          <w:lang w:val="en-ZA" w:eastAsia="en-ZA"/>
        </w:rPr>
        <w:t xml:space="preserve"> and in this Court that ‘D2’ is not a credit agreement but rather a negotiation or ‘settlement’ of a dispute regarding the payment of the R30 000 000-00 [thirty million rand]. As I understand this argument, if the agreement can be described as a ‘settlement’ then in terms of </w:t>
      </w:r>
      <w:r>
        <w:rPr>
          <w:rFonts w:ascii="Arial" w:hAnsi="Arial" w:cs="Arial"/>
          <w:b/>
          <w:bCs/>
          <w:lang w:val="en-ZA" w:eastAsia="en-ZA"/>
        </w:rPr>
        <w:t>Ratlou v MAM Financial Services SA (Pty) Ltd</w:t>
      </w:r>
      <w:r>
        <w:rPr>
          <w:rStyle w:val="FootnoteReference"/>
          <w:rFonts w:ascii="Arial" w:hAnsi="Arial" w:cs="Arial"/>
          <w:b/>
          <w:bCs/>
          <w:lang w:val="en-ZA" w:eastAsia="en-ZA"/>
        </w:rPr>
        <w:footnoteReference w:id="1"/>
      </w:r>
      <w:r>
        <w:rPr>
          <w:rFonts w:ascii="Arial" w:hAnsi="Arial" w:cs="Arial"/>
          <w:b/>
          <w:bCs/>
          <w:lang w:val="en-ZA" w:eastAsia="en-ZA"/>
        </w:rPr>
        <w:t xml:space="preserve">, </w:t>
      </w:r>
      <w:r>
        <w:rPr>
          <w:rFonts w:ascii="Arial" w:hAnsi="Arial" w:cs="Arial"/>
          <w:lang w:val="en-ZA" w:eastAsia="en-ZA"/>
        </w:rPr>
        <w:t>‘D2’ is not a credit agreement in terms of the Act and is therefore neither unlawful nor invalid.</w:t>
      </w:r>
    </w:p>
    <w:p w14:paraId="17D26A6C" w14:textId="77777777" w:rsidR="007F31CF" w:rsidRDefault="007F31CF" w:rsidP="005837FF">
      <w:pPr>
        <w:spacing w:after="200"/>
        <w:rPr>
          <w:rFonts w:ascii="Arial" w:hAnsi="Arial" w:cs="Arial"/>
          <w:lang w:val="en-ZA" w:eastAsia="en-ZA"/>
        </w:rPr>
      </w:pPr>
    </w:p>
    <w:p w14:paraId="024D3FD8" w14:textId="078F252F" w:rsidR="007F31CF" w:rsidRDefault="007F31CF" w:rsidP="005837FF">
      <w:pPr>
        <w:spacing w:after="200"/>
        <w:rPr>
          <w:rFonts w:ascii="Arial" w:hAnsi="Arial" w:cs="Arial"/>
          <w:lang w:val="en-ZA" w:eastAsia="en-ZA"/>
        </w:rPr>
      </w:pPr>
      <w:r>
        <w:rPr>
          <w:rFonts w:ascii="Arial" w:hAnsi="Arial" w:cs="Arial"/>
          <w:lang w:val="en-ZA" w:eastAsia="en-ZA"/>
        </w:rPr>
        <w:t>[14]</w:t>
      </w:r>
      <w:r>
        <w:rPr>
          <w:rFonts w:ascii="Arial" w:hAnsi="Arial" w:cs="Arial"/>
          <w:lang w:val="en-ZA" w:eastAsia="en-ZA"/>
        </w:rPr>
        <w:tab/>
        <w:t>This submission, firstly, flies in the face of the concession made by the Appellants which concession was never withdrawn.</w:t>
      </w:r>
    </w:p>
    <w:p w14:paraId="5EC2F230" w14:textId="77777777" w:rsidR="00A8173F" w:rsidRDefault="007F31CF" w:rsidP="005837FF">
      <w:pPr>
        <w:pStyle w:val="ColorfulList-Accent11"/>
        <w:spacing w:line="480" w:lineRule="auto"/>
        <w:ind w:left="0"/>
        <w:jc w:val="both"/>
        <w:rPr>
          <w:rFonts w:cs="Arial"/>
          <w:lang w:val="en-ZA" w:eastAsia="en-ZA"/>
        </w:rPr>
      </w:pPr>
      <w:r>
        <w:rPr>
          <w:rFonts w:cs="Arial"/>
          <w:lang w:val="en-ZA" w:eastAsia="en-ZA"/>
        </w:rPr>
        <w:lastRenderedPageBreak/>
        <w:t>[15]</w:t>
      </w:r>
      <w:r>
        <w:rPr>
          <w:rFonts w:cs="Arial"/>
          <w:lang w:val="en-ZA" w:eastAsia="en-ZA"/>
        </w:rPr>
        <w:tab/>
        <w:t xml:space="preserve">Furthermore as found in the Court </w:t>
      </w:r>
      <w:r>
        <w:rPr>
          <w:rFonts w:cs="Arial"/>
          <w:i/>
          <w:iCs/>
          <w:lang w:val="en-ZA" w:eastAsia="en-ZA"/>
        </w:rPr>
        <w:t>a quo</w:t>
      </w:r>
      <w:r>
        <w:rPr>
          <w:rFonts w:cs="Arial"/>
          <w:lang w:val="en-ZA" w:eastAsia="en-ZA"/>
        </w:rPr>
        <w:t>, which finding I agree with, the settlement of a dispute never formed part of the pleadings and cannot be relied on by the Appellants.</w:t>
      </w:r>
      <w:r w:rsidR="00A8173F">
        <w:rPr>
          <w:rFonts w:cs="Arial"/>
          <w:lang w:val="en-ZA" w:eastAsia="en-ZA"/>
        </w:rPr>
        <w:t xml:space="preserve"> </w:t>
      </w:r>
    </w:p>
    <w:p w14:paraId="4C905867" w14:textId="77777777" w:rsidR="00A8173F" w:rsidRDefault="00A8173F" w:rsidP="005837FF">
      <w:pPr>
        <w:pStyle w:val="ColorfulList-Accent11"/>
        <w:spacing w:line="480" w:lineRule="auto"/>
        <w:ind w:left="0"/>
        <w:jc w:val="both"/>
        <w:rPr>
          <w:rFonts w:cs="Arial"/>
          <w:lang w:val="en-ZA" w:eastAsia="en-ZA"/>
        </w:rPr>
      </w:pPr>
    </w:p>
    <w:p w14:paraId="1C75917A" w14:textId="145D281E" w:rsidR="00A8173F" w:rsidRDefault="00A8173F" w:rsidP="005837FF">
      <w:pPr>
        <w:pStyle w:val="ColorfulList-Accent11"/>
        <w:spacing w:line="480" w:lineRule="auto"/>
        <w:ind w:left="0"/>
        <w:jc w:val="both"/>
      </w:pPr>
      <w:r>
        <w:rPr>
          <w:rFonts w:cs="Arial"/>
          <w:lang w:val="en-ZA" w:eastAsia="en-ZA"/>
        </w:rPr>
        <w:t>[16]</w:t>
      </w:r>
      <w:r>
        <w:rPr>
          <w:rFonts w:cs="Arial"/>
          <w:lang w:val="en-ZA" w:eastAsia="en-ZA"/>
        </w:rPr>
        <w:tab/>
        <w:t>Accordingly in my view, t</w:t>
      </w:r>
      <w:r>
        <w:t xml:space="preserve">he </w:t>
      </w:r>
      <w:r>
        <w:rPr>
          <w:b/>
          <w:bCs/>
        </w:rPr>
        <w:t>Ratlou</w:t>
      </w:r>
      <w:r>
        <w:rPr>
          <w:rStyle w:val="FootnoteReference"/>
          <w:b/>
          <w:bCs/>
        </w:rPr>
        <w:footnoteReference w:id="2"/>
      </w:r>
      <w:r>
        <w:rPr>
          <w:b/>
          <w:bCs/>
        </w:rPr>
        <w:t xml:space="preserve"> </w:t>
      </w:r>
      <w:r w:rsidR="0077147D">
        <w:t>decision is</w:t>
      </w:r>
      <w:r>
        <w:t xml:space="preserve"> not applicable to this case because, as stated above, the pleadings do not lend themselves to such a conclusion nor did the testimony of the First Appellant in the Court </w:t>
      </w:r>
      <w:r>
        <w:rPr>
          <w:i/>
          <w:iCs/>
        </w:rPr>
        <w:t>a quo</w:t>
      </w:r>
      <w:r>
        <w:t>.</w:t>
      </w:r>
    </w:p>
    <w:p w14:paraId="3B90ED52" w14:textId="77777777" w:rsidR="007F31CF" w:rsidRDefault="007F31CF" w:rsidP="005837FF">
      <w:pPr>
        <w:spacing w:after="200"/>
        <w:rPr>
          <w:rFonts w:ascii="Arial" w:hAnsi="Arial" w:cs="Arial"/>
          <w:lang w:val="en-ZA" w:eastAsia="en-ZA"/>
        </w:rPr>
      </w:pPr>
    </w:p>
    <w:p w14:paraId="7FD89543" w14:textId="3ADFBCBE" w:rsidR="007F31CF" w:rsidRDefault="007F31CF" w:rsidP="005837FF">
      <w:pPr>
        <w:spacing w:after="200"/>
        <w:rPr>
          <w:rFonts w:ascii="Arial" w:hAnsi="Arial" w:cs="Arial"/>
          <w:lang w:val="en-ZA" w:eastAsia="en-ZA"/>
        </w:rPr>
      </w:pPr>
      <w:r>
        <w:rPr>
          <w:rFonts w:ascii="Arial" w:hAnsi="Arial" w:cs="Arial"/>
          <w:lang w:val="en-ZA" w:eastAsia="en-ZA"/>
        </w:rPr>
        <w:t>[1</w:t>
      </w:r>
      <w:r w:rsidR="00A8173F">
        <w:rPr>
          <w:rFonts w:ascii="Arial" w:hAnsi="Arial" w:cs="Arial"/>
          <w:lang w:val="en-ZA" w:eastAsia="en-ZA"/>
        </w:rPr>
        <w:t>7</w:t>
      </w:r>
      <w:r>
        <w:rPr>
          <w:rFonts w:ascii="Arial" w:hAnsi="Arial" w:cs="Arial"/>
          <w:lang w:val="en-ZA" w:eastAsia="en-ZA"/>
        </w:rPr>
        <w:t>]</w:t>
      </w:r>
      <w:r>
        <w:rPr>
          <w:rFonts w:ascii="Arial" w:hAnsi="Arial" w:cs="Arial"/>
          <w:lang w:val="en-ZA" w:eastAsia="en-ZA"/>
        </w:rPr>
        <w:tab/>
        <w:t xml:space="preserve">The applicability of the Act generally and Section 40 in particular, to agreements ‘D1’ and ‘D2’ was an issue throughout the proceedings in the Court </w:t>
      </w:r>
      <w:r>
        <w:rPr>
          <w:rFonts w:ascii="Arial" w:hAnsi="Arial" w:cs="Arial"/>
          <w:i/>
          <w:iCs/>
          <w:lang w:val="en-ZA" w:eastAsia="en-ZA"/>
        </w:rPr>
        <w:t>a quo</w:t>
      </w:r>
      <w:r>
        <w:rPr>
          <w:rFonts w:ascii="Arial" w:hAnsi="Arial" w:cs="Arial"/>
          <w:lang w:val="en-ZA" w:eastAsia="en-ZA"/>
        </w:rPr>
        <w:t xml:space="preserve"> and also formed part of the submissions </w:t>
      </w:r>
      <w:r w:rsidR="0077147D">
        <w:rPr>
          <w:rFonts w:ascii="Arial" w:hAnsi="Arial" w:cs="Arial"/>
          <w:lang w:val="en-ZA" w:eastAsia="en-ZA"/>
        </w:rPr>
        <w:t>in</w:t>
      </w:r>
      <w:r>
        <w:rPr>
          <w:rFonts w:ascii="Arial" w:hAnsi="Arial" w:cs="Arial"/>
          <w:lang w:val="en-ZA" w:eastAsia="en-ZA"/>
        </w:rPr>
        <w:t xml:space="preserve"> this Court. In this regard the insightful </w:t>
      </w:r>
      <w:r w:rsidR="008E5237">
        <w:rPr>
          <w:rFonts w:ascii="Arial" w:hAnsi="Arial" w:cs="Arial"/>
          <w:lang w:val="en-ZA" w:eastAsia="en-ZA"/>
        </w:rPr>
        <w:t xml:space="preserve">and in my view, authoritative </w:t>
      </w:r>
      <w:r>
        <w:rPr>
          <w:rFonts w:ascii="Arial" w:hAnsi="Arial" w:cs="Arial"/>
          <w:lang w:val="en-ZA" w:eastAsia="en-ZA"/>
        </w:rPr>
        <w:t xml:space="preserve">judgement of </w:t>
      </w:r>
      <w:r>
        <w:rPr>
          <w:rFonts w:ascii="Arial" w:hAnsi="Arial" w:cs="Arial"/>
          <w:b/>
          <w:bCs/>
          <w:lang w:val="en-ZA" w:eastAsia="en-ZA"/>
        </w:rPr>
        <w:t>Du Bruyn N.O and Others v Karsten</w:t>
      </w:r>
      <w:r>
        <w:rPr>
          <w:rStyle w:val="FootnoteReference"/>
          <w:rFonts w:ascii="Arial" w:hAnsi="Arial" w:cs="Arial"/>
          <w:b/>
          <w:bCs/>
          <w:lang w:val="en-ZA" w:eastAsia="en-ZA"/>
        </w:rPr>
        <w:footnoteReference w:id="3"/>
      </w:r>
      <w:r>
        <w:rPr>
          <w:rFonts w:ascii="Arial" w:hAnsi="Arial" w:cs="Arial"/>
          <w:lang w:val="en-ZA" w:eastAsia="en-ZA"/>
        </w:rPr>
        <w:t xml:space="preserve"> needs mentioning:</w:t>
      </w:r>
    </w:p>
    <w:p w14:paraId="7978E99A" w14:textId="77777777" w:rsidR="008E5237" w:rsidRDefault="008E5237" w:rsidP="005837FF">
      <w:pPr>
        <w:spacing w:after="200"/>
        <w:rPr>
          <w:rFonts w:ascii="Arial" w:hAnsi="Arial" w:cs="Arial"/>
          <w:lang w:val="en-ZA" w:eastAsia="en-ZA"/>
        </w:rPr>
      </w:pPr>
    </w:p>
    <w:p w14:paraId="32E31B49" w14:textId="77777777" w:rsidR="007F31CF" w:rsidRPr="00714CE9" w:rsidRDefault="007F31CF" w:rsidP="005837FF">
      <w:pPr>
        <w:pStyle w:val="ColorfulList-Accent11"/>
        <w:spacing w:line="480" w:lineRule="auto"/>
        <w:jc w:val="both"/>
        <w:rPr>
          <w:i/>
          <w:iCs/>
          <w:sz w:val="22"/>
          <w:szCs w:val="22"/>
        </w:rPr>
      </w:pPr>
      <w:r w:rsidRPr="00714CE9">
        <w:rPr>
          <w:rFonts w:cs="Arial"/>
          <w:i/>
          <w:iCs/>
          <w:sz w:val="22"/>
          <w:szCs w:val="22"/>
          <w:lang w:val="en-ZA" w:eastAsia="en-ZA"/>
        </w:rPr>
        <w:t>“</w:t>
      </w:r>
      <w:r w:rsidRPr="00714CE9">
        <w:rPr>
          <w:i/>
          <w:iCs/>
          <w:sz w:val="22"/>
          <w:szCs w:val="22"/>
        </w:rPr>
        <w:t>[18]</w:t>
      </w:r>
      <w:r w:rsidRPr="00714CE9">
        <w:rPr>
          <w:i/>
          <w:iCs/>
          <w:sz w:val="22"/>
          <w:szCs w:val="22"/>
        </w:rPr>
        <w:tab/>
        <w:t xml:space="preserve">The real issue in this appeal is whether the full court in Friend was correct in finding that that the NCA was directed only at those in the credit industry and did not apply to single transactions where credit was provided, irrespective of the amount involved. The court in Friend para 28 held that notwithstanding the fact an agreement may be a credit agreement in terms of the NCA, this did not necessarily mean that the credit provider was obliged to register in terms of s 40(1)(b). For this interpretation the full court relied on the purpose of the NCA, set out in s 3 which is, ‘to promote and advance the social and economic welfare of South Africans’ in order to achieve ‘a </w:t>
      </w:r>
      <w:r w:rsidRPr="00714CE9">
        <w:rPr>
          <w:i/>
          <w:iCs/>
          <w:sz w:val="22"/>
          <w:szCs w:val="22"/>
        </w:rPr>
        <w:lastRenderedPageBreak/>
        <w:t xml:space="preserve">fair, transparent, competitive, sustainable, responsible, efficient, effective and accessible credit market and industry, and to protect consumers’. Bearing this in mind the court found that the provisions of the NCA were meant to regulate those participating in the credit industry and persons who frequently provide credit, and was not applicable to once-off transactions. </w:t>
      </w:r>
    </w:p>
    <w:p w14:paraId="4D9A8162" w14:textId="77777777" w:rsidR="007F31CF" w:rsidRPr="00714CE9" w:rsidRDefault="007F31CF" w:rsidP="005837FF">
      <w:pPr>
        <w:rPr>
          <w:i/>
          <w:iCs/>
          <w:sz w:val="22"/>
          <w:szCs w:val="22"/>
        </w:rPr>
      </w:pPr>
    </w:p>
    <w:p w14:paraId="3B62597B" w14:textId="77777777" w:rsidR="007F31CF" w:rsidRPr="00714CE9" w:rsidRDefault="007F31CF" w:rsidP="005837FF">
      <w:pPr>
        <w:pStyle w:val="ColorfulList-Accent11"/>
        <w:spacing w:line="480" w:lineRule="auto"/>
        <w:jc w:val="both"/>
        <w:rPr>
          <w:i/>
          <w:iCs/>
          <w:sz w:val="22"/>
          <w:szCs w:val="22"/>
        </w:rPr>
      </w:pPr>
      <w:r w:rsidRPr="00714CE9">
        <w:rPr>
          <w:i/>
          <w:iCs/>
          <w:sz w:val="22"/>
          <w:szCs w:val="22"/>
        </w:rPr>
        <w:t>[19]</w:t>
      </w:r>
      <w:r w:rsidRPr="00714CE9">
        <w:rPr>
          <w:i/>
          <w:iCs/>
          <w:sz w:val="22"/>
          <w:szCs w:val="22"/>
        </w:rPr>
        <w:tab/>
        <w:t>The court a quo’s stance was further complicated by a number of decisions in the same division which held that Friend had been wrongly decided. In Van Heerden v Nolte</w:t>
      </w:r>
      <w:r w:rsidRPr="00714CE9">
        <w:rPr>
          <w:rStyle w:val="FootnoteReference"/>
          <w:i/>
          <w:iCs/>
          <w:sz w:val="22"/>
          <w:szCs w:val="22"/>
        </w:rPr>
        <w:footnoteReference w:id="4"/>
      </w:r>
      <w:r w:rsidRPr="00714CE9">
        <w:rPr>
          <w:i/>
          <w:iCs/>
          <w:sz w:val="22"/>
          <w:szCs w:val="22"/>
        </w:rPr>
        <w:t xml:space="preserve"> the court found that the ratio decidendi in Friend was inconsistent with the approach taken by the Constitutional Court in National Credit Regulator v Opperman &amp; others</w:t>
      </w:r>
      <w:r w:rsidRPr="00714CE9">
        <w:rPr>
          <w:i/>
          <w:iCs/>
          <w:sz w:val="22"/>
          <w:szCs w:val="22"/>
          <w:lang w:val="en-US"/>
        </w:rPr>
        <w:t>.</w:t>
      </w:r>
      <w:r w:rsidRPr="00714CE9">
        <w:rPr>
          <w:rStyle w:val="FootnoteReference"/>
          <w:i/>
          <w:iCs/>
          <w:sz w:val="22"/>
          <w:szCs w:val="22"/>
        </w:rPr>
        <w:footnoteReference w:id="5"/>
      </w:r>
      <w:r w:rsidRPr="00714CE9">
        <w:rPr>
          <w:i/>
          <w:iCs/>
          <w:sz w:val="22"/>
          <w:szCs w:val="22"/>
        </w:rPr>
        <w:t xml:space="preserve"> Similarly, Potgieter v Olivier &amp; another,</w:t>
      </w:r>
      <w:r w:rsidRPr="00714CE9">
        <w:rPr>
          <w:rStyle w:val="FootnoteReference"/>
          <w:i/>
          <w:iCs/>
          <w:sz w:val="22"/>
          <w:szCs w:val="22"/>
        </w:rPr>
        <w:footnoteReference w:id="6"/>
      </w:r>
      <w:r w:rsidRPr="00714CE9">
        <w:rPr>
          <w:i/>
          <w:iCs/>
          <w:sz w:val="22"/>
          <w:szCs w:val="22"/>
        </w:rPr>
        <w:t xml:space="preserve"> although the court held that it was bound by Friend, it differed with the finding therein on the grounds that the tenets of interpretation of statutes do not permit such a meaning.</w:t>
      </w:r>
      <w:r w:rsidRPr="00714CE9">
        <w:rPr>
          <w:rStyle w:val="FootnoteReference"/>
          <w:i/>
          <w:iCs/>
          <w:sz w:val="22"/>
          <w:szCs w:val="22"/>
        </w:rPr>
        <w:footnoteReference w:id="7"/>
      </w:r>
    </w:p>
    <w:p w14:paraId="470F8519" w14:textId="77777777" w:rsidR="007F31CF" w:rsidRPr="00714CE9" w:rsidRDefault="007F31CF" w:rsidP="005837FF">
      <w:pPr>
        <w:rPr>
          <w:i/>
          <w:iCs/>
          <w:sz w:val="22"/>
          <w:szCs w:val="22"/>
        </w:rPr>
      </w:pPr>
    </w:p>
    <w:p w14:paraId="3971D983" w14:textId="77777777" w:rsidR="007F31CF" w:rsidRPr="00714CE9" w:rsidRDefault="007F31CF" w:rsidP="005837FF">
      <w:pPr>
        <w:pStyle w:val="ColorfulList-Accent11"/>
        <w:spacing w:line="480" w:lineRule="auto"/>
        <w:ind w:left="709"/>
        <w:jc w:val="both"/>
        <w:rPr>
          <w:i/>
          <w:iCs/>
          <w:sz w:val="22"/>
          <w:szCs w:val="22"/>
        </w:rPr>
      </w:pPr>
      <w:r w:rsidRPr="00714CE9">
        <w:rPr>
          <w:i/>
          <w:iCs/>
          <w:sz w:val="22"/>
          <w:szCs w:val="22"/>
        </w:rPr>
        <w:t>[20]</w:t>
      </w:r>
      <w:r w:rsidRPr="00714CE9">
        <w:rPr>
          <w:i/>
          <w:iCs/>
          <w:sz w:val="22"/>
          <w:szCs w:val="22"/>
        </w:rPr>
        <w:tab/>
        <w:t>There can be no doubt that the approach adopted in Friend is pragmatic and makes good sense. However, it is difficult to marry this interpretation with the unambiguous text of the NCA. Section 40 of the NCA sets out the circumstances under which registration as a credit provider is applicable. The section, in relevant part, provides that:</w:t>
      </w:r>
    </w:p>
    <w:p w14:paraId="5FB250BA" w14:textId="46B68F4C" w:rsidR="007F31CF" w:rsidRPr="00714CE9" w:rsidRDefault="00070A42" w:rsidP="00070A42">
      <w:pPr>
        <w:pStyle w:val="ColorfulList-Accent11"/>
        <w:spacing w:line="480" w:lineRule="auto"/>
        <w:ind w:left="1418"/>
        <w:jc w:val="both"/>
        <w:rPr>
          <w:i/>
          <w:iCs/>
          <w:sz w:val="22"/>
          <w:szCs w:val="22"/>
        </w:rPr>
      </w:pPr>
      <w:r w:rsidRPr="00714CE9">
        <w:rPr>
          <w:iCs/>
          <w:sz w:val="22"/>
          <w:szCs w:val="22"/>
        </w:rPr>
        <w:t>(1)</w:t>
      </w:r>
      <w:r w:rsidRPr="00714CE9">
        <w:rPr>
          <w:iCs/>
          <w:sz w:val="22"/>
          <w:szCs w:val="22"/>
        </w:rPr>
        <w:tab/>
      </w:r>
      <w:r w:rsidR="007F31CF" w:rsidRPr="00714CE9">
        <w:rPr>
          <w:i/>
          <w:iCs/>
          <w:sz w:val="22"/>
          <w:szCs w:val="22"/>
        </w:rPr>
        <w:t>A person must apply as a credit provider if–</w:t>
      </w:r>
    </w:p>
    <w:p w14:paraId="7F6290CD" w14:textId="0D210481" w:rsidR="007F31CF" w:rsidRPr="00AD3EA5" w:rsidRDefault="00070A42" w:rsidP="00070A42">
      <w:pPr>
        <w:pStyle w:val="ColorfulList-Accent11"/>
        <w:tabs>
          <w:tab w:val="left" w:pos="633"/>
        </w:tabs>
        <w:spacing w:line="480" w:lineRule="auto"/>
        <w:ind w:left="1778"/>
        <w:jc w:val="both"/>
        <w:rPr>
          <w:i/>
          <w:iCs/>
          <w:sz w:val="22"/>
          <w:szCs w:val="22"/>
        </w:rPr>
      </w:pPr>
      <w:r w:rsidRPr="00AD3EA5">
        <w:rPr>
          <w:i/>
          <w:iCs/>
          <w:sz w:val="22"/>
          <w:szCs w:val="22"/>
        </w:rPr>
        <w:lastRenderedPageBreak/>
        <w:t>(a)</w:t>
      </w:r>
      <w:r w:rsidRPr="00AD3EA5">
        <w:rPr>
          <w:i/>
          <w:iCs/>
          <w:sz w:val="22"/>
          <w:szCs w:val="22"/>
        </w:rPr>
        <w:tab/>
      </w:r>
      <w:r w:rsidR="007F31CF" w:rsidRPr="00AD3EA5">
        <w:rPr>
          <w:i/>
          <w:iCs/>
          <w:sz w:val="22"/>
          <w:szCs w:val="22"/>
        </w:rPr>
        <w:t>that person, alone or in conjunction with any associated persons, is the credit</w:t>
      </w:r>
      <w:r w:rsidR="00AD3EA5">
        <w:rPr>
          <w:i/>
          <w:iCs/>
          <w:sz w:val="22"/>
          <w:szCs w:val="22"/>
        </w:rPr>
        <w:t xml:space="preserve"> </w:t>
      </w:r>
      <w:r w:rsidR="007F31CF" w:rsidRPr="00AD3EA5">
        <w:rPr>
          <w:i/>
          <w:iCs/>
          <w:sz w:val="22"/>
          <w:szCs w:val="22"/>
        </w:rPr>
        <w:t xml:space="preserve">provider of at least 100 credit agreements, other than incidental credit agreements; </w:t>
      </w:r>
    </w:p>
    <w:p w14:paraId="0359FE90" w14:textId="18F86AAC" w:rsidR="007F31CF" w:rsidRPr="00714CE9" w:rsidRDefault="00070A42" w:rsidP="00070A42">
      <w:pPr>
        <w:pStyle w:val="ColorfulList-Accent11"/>
        <w:spacing w:line="480" w:lineRule="auto"/>
        <w:ind w:left="1778"/>
        <w:jc w:val="both"/>
        <w:rPr>
          <w:i/>
          <w:iCs/>
          <w:sz w:val="22"/>
          <w:szCs w:val="22"/>
        </w:rPr>
      </w:pPr>
      <w:r w:rsidRPr="00714CE9">
        <w:rPr>
          <w:i/>
          <w:iCs/>
          <w:sz w:val="22"/>
          <w:szCs w:val="22"/>
        </w:rPr>
        <w:t>(b)</w:t>
      </w:r>
      <w:r w:rsidRPr="00714CE9">
        <w:rPr>
          <w:i/>
          <w:iCs/>
          <w:sz w:val="22"/>
          <w:szCs w:val="22"/>
        </w:rPr>
        <w:tab/>
      </w:r>
      <w:r w:rsidR="007F31CF" w:rsidRPr="00714CE9">
        <w:rPr>
          <w:i/>
          <w:iCs/>
          <w:sz w:val="22"/>
          <w:szCs w:val="22"/>
        </w:rPr>
        <w:t xml:space="preserve"> the total princip</w:t>
      </w:r>
      <w:r w:rsidR="00AD3EA5">
        <w:rPr>
          <w:i/>
          <w:iCs/>
          <w:sz w:val="22"/>
          <w:szCs w:val="22"/>
        </w:rPr>
        <w:t>al</w:t>
      </w:r>
      <w:r w:rsidR="007F31CF" w:rsidRPr="00714CE9">
        <w:rPr>
          <w:i/>
          <w:iCs/>
          <w:sz w:val="22"/>
          <w:szCs w:val="22"/>
        </w:rPr>
        <w:t xml:space="preserve"> debt owed to that credit provider under all the outstanding</w:t>
      </w:r>
    </w:p>
    <w:p w14:paraId="2E8797FB" w14:textId="77777777" w:rsidR="007F31CF" w:rsidRPr="00714CE9" w:rsidRDefault="007F31CF" w:rsidP="005837FF">
      <w:pPr>
        <w:pStyle w:val="ColorfulList-Accent11"/>
        <w:spacing w:line="480" w:lineRule="auto"/>
        <w:ind w:left="1778"/>
        <w:jc w:val="both"/>
        <w:rPr>
          <w:i/>
          <w:iCs/>
          <w:sz w:val="22"/>
          <w:szCs w:val="22"/>
        </w:rPr>
      </w:pPr>
      <w:r w:rsidRPr="00714CE9">
        <w:rPr>
          <w:i/>
          <w:iCs/>
          <w:sz w:val="22"/>
          <w:szCs w:val="22"/>
        </w:rPr>
        <w:t>agreements, other than incidental credit agreements, exceeds the threshold prescribed in terms of section 42(1).</w:t>
      </w:r>
    </w:p>
    <w:p w14:paraId="22DE3E78" w14:textId="06557F11" w:rsidR="007F31CF" w:rsidRPr="00714CE9" w:rsidRDefault="00070A42" w:rsidP="00070A42">
      <w:pPr>
        <w:pStyle w:val="ColorfulList-Accent11"/>
        <w:spacing w:line="480" w:lineRule="auto"/>
        <w:ind w:left="709"/>
        <w:jc w:val="both"/>
        <w:rPr>
          <w:i/>
          <w:iCs/>
          <w:sz w:val="22"/>
          <w:szCs w:val="22"/>
        </w:rPr>
      </w:pPr>
      <w:r w:rsidRPr="00714CE9">
        <w:rPr>
          <w:iCs/>
          <w:sz w:val="22"/>
          <w:szCs w:val="22"/>
        </w:rPr>
        <w:t>(2</w:t>
      </w:r>
      <w:bookmarkStart w:id="0" w:name="_GoBack"/>
      <w:bookmarkEnd w:id="0"/>
      <w:r w:rsidRPr="00714CE9">
        <w:rPr>
          <w:iCs/>
          <w:sz w:val="22"/>
          <w:szCs w:val="22"/>
        </w:rPr>
        <w:t>)</w:t>
      </w:r>
      <w:r w:rsidRPr="00714CE9">
        <w:rPr>
          <w:iCs/>
          <w:sz w:val="22"/>
          <w:szCs w:val="22"/>
        </w:rPr>
        <w:tab/>
      </w:r>
      <w:r w:rsidR="007F31CF" w:rsidRPr="00714CE9">
        <w:rPr>
          <w:i/>
          <w:iCs/>
          <w:sz w:val="22"/>
          <w:szCs w:val="22"/>
        </w:rPr>
        <w:t>In determining whether a person is required to register as a credit provider –</w:t>
      </w:r>
    </w:p>
    <w:p w14:paraId="430F439B" w14:textId="77777777" w:rsidR="007F31CF" w:rsidRPr="00714CE9" w:rsidRDefault="007F31CF" w:rsidP="005837FF">
      <w:pPr>
        <w:pStyle w:val="ColorfulList-Accent11"/>
        <w:spacing w:line="480" w:lineRule="auto"/>
        <w:ind w:left="1407" w:firstLine="11"/>
        <w:jc w:val="both"/>
        <w:rPr>
          <w:i/>
          <w:iCs/>
          <w:sz w:val="22"/>
          <w:szCs w:val="22"/>
        </w:rPr>
      </w:pPr>
      <w:r w:rsidRPr="00714CE9">
        <w:rPr>
          <w:i/>
          <w:iCs/>
          <w:sz w:val="22"/>
          <w:szCs w:val="22"/>
        </w:rPr>
        <w:t>. . . .</w:t>
      </w:r>
    </w:p>
    <w:p w14:paraId="3BA16C1F" w14:textId="40A49E30" w:rsidR="007F31CF" w:rsidRPr="00714CE9" w:rsidRDefault="00070A42" w:rsidP="00070A42">
      <w:pPr>
        <w:pStyle w:val="ColorfulList-Accent11"/>
        <w:spacing w:line="480" w:lineRule="auto"/>
        <w:ind w:left="1418"/>
        <w:jc w:val="both"/>
        <w:rPr>
          <w:i/>
          <w:iCs/>
          <w:sz w:val="22"/>
          <w:szCs w:val="22"/>
        </w:rPr>
      </w:pPr>
      <w:r w:rsidRPr="00714CE9">
        <w:rPr>
          <w:iCs/>
          <w:sz w:val="22"/>
          <w:szCs w:val="22"/>
        </w:rPr>
        <w:t>(3)</w:t>
      </w:r>
      <w:r w:rsidRPr="00714CE9">
        <w:rPr>
          <w:iCs/>
          <w:sz w:val="22"/>
          <w:szCs w:val="22"/>
        </w:rPr>
        <w:tab/>
      </w:r>
      <w:r w:rsidR="007F31CF" w:rsidRPr="00714CE9">
        <w:rPr>
          <w:i/>
          <w:iCs/>
          <w:sz w:val="22"/>
          <w:szCs w:val="22"/>
        </w:rPr>
        <w:t>A person who is required in terms of subsection (1) to be registered as a credit provider, but who is not so registered, must not offer, make available or extend credit, enter into a credit agreement or agree to do any of those things.</w:t>
      </w:r>
    </w:p>
    <w:p w14:paraId="3ABDC0CC" w14:textId="2AF97FB2" w:rsidR="007F31CF" w:rsidRPr="00714CE9" w:rsidRDefault="00070A42" w:rsidP="00070A42">
      <w:pPr>
        <w:pStyle w:val="ColorfulList-Accent11"/>
        <w:spacing w:line="480" w:lineRule="auto"/>
        <w:ind w:left="1418"/>
        <w:jc w:val="both"/>
        <w:rPr>
          <w:i/>
          <w:iCs/>
          <w:sz w:val="22"/>
          <w:szCs w:val="22"/>
        </w:rPr>
      </w:pPr>
      <w:r w:rsidRPr="00714CE9">
        <w:rPr>
          <w:iCs/>
          <w:sz w:val="22"/>
          <w:szCs w:val="22"/>
        </w:rPr>
        <w:t>(4)</w:t>
      </w:r>
      <w:r w:rsidRPr="00714CE9">
        <w:rPr>
          <w:iCs/>
          <w:sz w:val="22"/>
          <w:szCs w:val="22"/>
        </w:rPr>
        <w:tab/>
      </w:r>
      <w:r w:rsidR="007F31CF" w:rsidRPr="00714CE9">
        <w:rPr>
          <w:i/>
          <w:iCs/>
          <w:sz w:val="22"/>
          <w:szCs w:val="22"/>
        </w:rPr>
        <w:t>A credit agreement entered into by a credit provider who is required to be registered in terms of subsection (1) but who is not so registered is an unlawful agreement and void to the extent provided for in section 89.’</w:t>
      </w:r>
    </w:p>
    <w:p w14:paraId="1C9A1C4A" w14:textId="77777777" w:rsidR="007F31CF" w:rsidRPr="00714CE9" w:rsidRDefault="007F31CF" w:rsidP="005837FF">
      <w:pPr>
        <w:pStyle w:val="ColorfulList-Accent11"/>
        <w:spacing w:line="480" w:lineRule="auto"/>
        <w:jc w:val="both"/>
        <w:rPr>
          <w:i/>
          <w:iCs/>
          <w:sz w:val="22"/>
          <w:szCs w:val="22"/>
        </w:rPr>
      </w:pPr>
    </w:p>
    <w:p w14:paraId="5F3C15FA" w14:textId="77777777" w:rsidR="007F31CF" w:rsidRPr="00714CE9" w:rsidRDefault="007F31CF" w:rsidP="005837FF">
      <w:pPr>
        <w:pStyle w:val="ColorfulList-Accent11"/>
        <w:spacing w:line="480" w:lineRule="auto"/>
        <w:ind w:left="709"/>
        <w:jc w:val="both"/>
        <w:rPr>
          <w:i/>
          <w:iCs/>
          <w:sz w:val="22"/>
          <w:szCs w:val="22"/>
        </w:rPr>
      </w:pPr>
      <w:r w:rsidRPr="00714CE9">
        <w:rPr>
          <w:i/>
          <w:iCs/>
          <w:sz w:val="22"/>
          <w:szCs w:val="22"/>
        </w:rPr>
        <w:t xml:space="preserve">[21] </w:t>
      </w:r>
      <w:r w:rsidRPr="00714CE9">
        <w:rPr>
          <w:i/>
          <w:iCs/>
          <w:sz w:val="22"/>
          <w:szCs w:val="22"/>
        </w:rPr>
        <w:tab/>
        <w:t>Section 40(1) was amended by Act 19 of 2014 to delete any reference to 100 credit agreements. It now reads as follows:</w:t>
      </w:r>
    </w:p>
    <w:p w14:paraId="1F240285" w14:textId="77777777" w:rsidR="007F31CF" w:rsidRPr="00714CE9" w:rsidRDefault="007F31CF" w:rsidP="005837FF">
      <w:pPr>
        <w:pStyle w:val="CommentText"/>
        <w:spacing w:line="480" w:lineRule="auto"/>
        <w:ind w:left="709"/>
        <w:rPr>
          <w:i/>
          <w:iCs/>
          <w:sz w:val="22"/>
          <w:szCs w:val="22"/>
        </w:rPr>
      </w:pPr>
      <w:r w:rsidRPr="00714CE9">
        <w:rPr>
          <w:i/>
          <w:iCs/>
          <w:sz w:val="22"/>
          <w:szCs w:val="22"/>
        </w:rPr>
        <w:t>‘A person must apply to be registered as a credit provider if the total principal debt owed to that credit provider under all outstanding credit agreements, other than incidental credit agreements, exceeds the threshold prescribed in terms of s 42 (1).’</w:t>
      </w:r>
    </w:p>
    <w:p w14:paraId="62B265DE" w14:textId="77777777" w:rsidR="00AD3EA5" w:rsidRDefault="00AD3EA5" w:rsidP="005837FF">
      <w:pPr>
        <w:pStyle w:val="ColorfulList-Accent11"/>
        <w:spacing w:line="480" w:lineRule="auto"/>
        <w:ind w:left="709"/>
        <w:jc w:val="both"/>
        <w:rPr>
          <w:i/>
          <w:iCs/>
          <w:sz w:val="22"/>
          <w:szCs w:val="22"/>
        </w:rPr>
      </w:pPr>
    </w:p>
    <w:p w14:paraId="438174F8" w14:textId="70FAE058" w:rsidR="007F31CF" w:rsidRDefault="007F31CF" w:rsidP="005837FF">
      <w:pPr>
        <w:pStyle w:val="ColorfulList-Accent11"/>
        <w:spacing w:line="480" w:lineRule="auto"/>
        <w:ind w:left="709"/>
        <w:jc w:val="both"/>
      </w:pPr>
      <w:r w:rsidRPr="00714CE9">
        <w:rPr>
          <w:i/>
          <w:iCs/>
          <w:sz w:val="22"/>
          <w:szCs w:val="22"/>
        </w:rPr>
        <w:t>Therefore the amount of credit provided that is now the sole determining factor to ascertain whether a credit provider is obliged to register.</w:t>
      </w:r>
      <w:r w:rsidR="00AD3EA5">
        <w:t>"</w:t>
      </w:r>
    </w:p>
    <w:p w14:paraId="637D82FB" w14:textId="654B8CD6" w:rsidR="00AD3EA5" w:rsidRDefault="00AD3EA5" w:rsidP="005837FF">
      <w:pPr>
        <w:pStyle w:val="ColorfulList-Accent11"/>
        <w:spacing w:line="480" w:lineRule="auto"/>
        <w:ind w:left="0"/>
        <w:jc w:val="both"/>
        <w:rPr>
          <w:sz w:val="22"/>
          <w:szCs w:val="22"/>
        </w:rPr>
      </w:pPr>
    </w:p>
    <w:p w14:paraId="1E66E28F" w14:textId="246CD2EA" w:rsidR="00AD3EA5" w:rsidRDefault="00AD3EA5" w:rsidP="005837FF">
      <w:pPr>
        <w:pStyle w:val="ColorfulList-Accent11"/>
        <w:spacing w:line="480" w:lineRule="auto"/>
        <w:ind w:left="0"/>
        <w:jc w:val="both"/>
      </w:pPr>
      <w:r>
        <w:lastRenderedPageBreak/>
        <w:t>[1</w:t>
      </w:r>
      <w:r w:rsidR="00A8173F">
        <w:t>8</w:t>
      </w:r>
      <w:r>
        <w:t>]</w:t>
      </w:r>
      <w:r>
        <w:tab/>
        <w:t xml:space="preserve">It is clear, in my view, that </w:t>
      </w:r>
      <w:r>
        <w:rPr>
          <w:b/>
          <w:bCs/>
        </w:rPr>
        <w:t>Du Bruyn</w:t>
      </w:r>
      <w:r>
        <w:rPr>
          <w:rStyle w:val="FootnoteReference"/>
          <w:b/>
          <w:bCs/>
        </w:rPr>
        <w:footnoteReference w:id="8"/>
      </w:r>
      <w:r w:rsidR="00CD3B2D">
        <w:rPr>
          <w:b/>
          <w:bCs/>
        </w:rPr>
        <w:t xml:space="preserve"> </w:t>
      </w:r>
      <w:r w:rsidR="00CD3B2D">
        <w:t>applies to ‘D2’ for the reason that ‘D2’ is a credit agreement within the meaning of Section 8 as read with Section 40 (1) of the Act. For the reason that neither the Appellant nor the Respondent were credit providers within the meaning of the Act, ‘D2’ must be found as I do find, to be unlawful and unenforceable.</w:t>
      </w:r>
    </w:p>
    <w:p w14:paraId="707AC280" w14:textId="308498E5" w:rsidR="00CD3B2D" w:rsidRDefault="00CD3B2D" w:rsidP="005837FF">
      <w:pPr>
        <w:pStyle w:val="ColorfulList-Accent11"/>
        <w:spacing w:line="480" w:lineRule="auto"/>
        <w:ind w:left="0"/>
        <w:jc w:val="both"/>
      </w:pPr>
    </w:p>
    <w:p w14:paraId="69EA4E59" w14:textId="330945D4" w:rsidR="00CD3B2D" w:rsidRDefault="00CD3B2D" w:rsidP="005837FF">
      <w:pPr>
        <w:pStyle w:val="ColorfulList-Accent11"/>
        <w:spacing w:line="480" w:lineRule="auto"/>
        <w:ind w:left="0"/>
        <w:jc w:val="both"/>
      </w:pPr>
      <w:r>
        <w:t>[1</w:t>
      </w:r>
      <w:r w:rsidR="00A8173F">
        <w:t>9</w:t>
      </w:r>
      <w:r>
        <w:t>]</w:t>
      </w:r>
      <w:r>
        <w:tab/>
        <w:t>The next issue for determination as stated above, is whether ‘D1’ can be revived after a finding that ‘D2’ is a credit agreement that is unlawful within the meaning of the Act?</w:t>
      </w:r>
    </w:p>
    <w:p w14:paraId="0F785BC2" w14:textId="1764DCE6" w:rsidR="007A44C1" w:rsidRDefault="007A44C1" w:rsidP="005837FF">
      <w:pPr>
        <w:pStyle w:val="ColorfulList-Accent11"/>
        <w:spacing w:line="480" w:lineRule="auto"/>
        <w:ind w:left="0"/>
        <w:jc w:val="both"/>
      </w:pPr>
    </w:p>
    <w:p w14:paraId="137B189B" w14:textId="14021F3C" w:rsidR="007A44C1" w:rsidRDefault="007A44C1" w:rsidP="005837FF">
      <w:pPr>
        <w:pStyle w:val="ColorfulList-Accent11"/>
        <w:spacing w:line="480" w:lineRule="auto"/>
        <w:ind w:left="0"/>
        <w:jc w:val="both"/>
      </w:pPr>
      <w:r>
        <w:t>[</w:t>
      </w:r>
      <w:r w:rsidR="00A8173F">
        <w:t>20</w:t>
      </w:r>
      <w:r>
        <w:t>]</w:t>
      </w:r>
      <w:r>
        <w:tab/>
        <w:t>Counsel for the Appellants submitted that the Appellants pleaded conditionally that should ‘D2’ be found to be unlawful and unenforceable then Appellants’ claims are based on ‘D1’.</w:t>
      </w:r>
    </w:p>
    <w:p w14:paraId="40D0C94F" w14:textId="24C7B504" w:rsidR="007A44C1" w:rsidRDefault="007A44C1" w:rsidP="005837FF">
      <w:pPr>
        <w:pStyle w:val="ColorfulList-Accent11"/>
        <w:spacing w:line="480" w:lineRule="auto"/>
        <w:ind w:left="0"/>
        <w:jc w:val="both"/>
      </w:pPr>
    </w:p>
    <w:p w14:paraId="2CA4E500" w14:textId="128F6A4F" w:rsidR="007A44C1" w:rsidRDefault="007A44C1" w:rsidP="005837FF">
      <w:pPr>
        <w:spacing w:after="200"/>
        <w:rPr>
          <w:rFonts w:ascii="Arial" w:hAnsi="Arial" w:cs="Arial"/>
          <w:lang w:val="en-ZA" w:eastAsia="en-ZA"/>
        </w:rPr>
      </w:pPr>
      <w:r>
        <w:rPr>
          <w:rFonts w:ascii="Arial" w:hAnsi="Arial" w:cs="Arial"/>
          <w:lang w:val="en-ZA" w:eastAsia="en-ZA"/>
        </w:rPr>
        <w:t>[2</w:t>
      </w:r>
      <w:r w:rsidR="00A8173F">
        <w:rPr>
          <w:rFonts w:ascii="Arial" w:hAnsi="Arial" w:cs="Arial"/>
          <w:lang w:val="en-ZA" w:eastAsia="en-ZA"/>
        </w:rPr>
        <w:t>1</w:t>
      </w:r>
      <w:r>
        <w:rPr>
          <w:rFonts w:ascii="Arial" w:hAnsi="Arial" w:cs="Arial"/>
          <w:lang w:val="en-ZA" w:eastAsia="en-ZA"/>
        </w:rPr>
        <w:t>]</w:t>
      </w:r>
      <w:r>
        <w:rPr>
          <w:rFonts w:ascii="Arial" w:hAnsi="Arial" w:cs="Arial"/>
          <w:lang w:val="en-ZA" w:eastAsia="en-ZA"/>
        </w:rPr>
        <w:tab/>
        <w:t xml:space="preserve">In this regard Counsel for the Appellants stated that where a novation or substitution is incomplete for the reason that the novated contract is unlawful and unenforceable, the previous contract revives. Counsel </w:t>
      </w:r>
      <w:r w:rsidR="00A8173F">
        <w:rPr>
          <w:rFonts w:ascii="Arial" w:hAnsi="Arial" w:cs="Arial"/>
          <w:lang w:val="en-ZA" w:eastAsia="en-ZA"/>
        </w:rPr>
        <w:t>placed reliance on</w:t>
      </w:r>
      <w:r>
        <w:rPr>
          <w:rFonts w:ascii="Arial" w:hAnsi="Arial" w:cs="Arial"/>
          <w:lang w:val="en-ZA" w:eastAsia="en-ZA"/>
        </w:rPr>
        <w:t xml:space="preserve"> the case of </w:t>
      </w:r>
      <w:r>
        <w:rPr>
          <w:rFonts w:ascii="Arial" w:hAnsi="Arial" w:cs="Arial"/>
          <w:b/>
          <w:bCs/>
          <w:lang w:val="en-ZA" w:eastAsia="en-ZA"/>
        </w:rPr>
        <w:t>Acacia Mines Ltd v Boshoff</w:t>
      </w:r>
      <w:r>
        <w:rPr>
          <w:rStyle w:val="FootnoteReference"/>
          <w:rFonts w:ascii="Arial" w:hAnsi="Arial" w:cs="Arial"/>
          <w:b/>
          <w:bCs/>
          <w:lang w:val="en-ZA" w:eastAsia="en-ZA"/>
        </w:rPr>
        <w:footnoteReference w:id="9"/>
      </w:r>
      <w:r w:rsidR="00A8173F">
        <w:rPr>
          <w:rFonts w:ascii="Arial" w:hAnsi="Arial" w:cs="Arial"/>
          <w:lang w:val="en-ZA" w:eastAsia="en-ZA"/>
        </w:rPr>
        <w:t xml:space="preserve"> for this submission.</w:t>
      </w:r>
      <w:r>
        <w:rPr>
          <w:rFonts w:ascii="Arial" w:hAnsi="Arial" w:cs="Arial"/>
          <w:lang w:val="en-ZA" w:eastAsia="en-ZA"/>
        </w:rPr>
        <w:t xml:space="preserve"> </w:t>
      </w:r>
    </w:p>
    <w:p w14:paraId="797D4F78" w14:textId="77777777" w:rsidR="007A44C1" w:rsidRDefault="007A44C1" w:rsidP="005837FF">
      <w:pPr>
        <w:spacing w:after="200"/>
        <w:rPr>
          <w:rFonts w:ascii="Arial" w:hAnsi="Arial" w:cs="Arial"/>
          <w:lang w:val="en-ZA" w:eastAsia="en-ZA"/>
        </w:rPr>
      </w:pPr>
    </w:p>
    <w:p w14:paraId="50E9ED44" w14:textId="2543FEC2" w:rsidR="007A44C1" w:rsidRDefault="007A44C1" w:rsidP="005837FF">
      <w:pPr>
        <w:spacing w:after="200"/>
        <w:rPr>
          <w:rFonts w:ascii="Arial" w:hAnsi="Arial" w:cs="Arial"/>
          <w:lang w:val="en-ZA" w:eastAsia="en-ZA"/>
        </w:rPr>
      </w:pPr>
      <w:r>
        <w:rPr>
          <w:rFonts w:ascii="Arial" w:hAnsi="Arial" w:cs="Arial"/>
          <w:lang w:val="en-ZA" w:eastAsia="en-ZA"/>
        </w:rPr>
        <w:t>[2</w:t>
      </w:r>
      <w:r w:rsidR="00A8173F">
        <w:rPr>
          <w:rFonts w:ascii="Arial" w:hAnsi="Arial" w:cs="Arial"/>
          <w:lang w:val="en-ZA" w:eastAsia="en-ZA"/>
        </w:rPr>
        <w:t>2</w:t>
      </w:r>
      <w:r>
        <w:rPr>
          <w:rFonts w:ascii="Arial" w:hAnsi="Arial" w:cs="Arial"/>
          <w:lang w:val="en-ZA" w:eastAsia="en-ZA"/>
        </w:rPr>
        <w:t>]</w:t>
      </w:r>
      <w:r>
        <w:rPr>
          <w:rFonts w:ascii="Arial" w:hAnsi="Arial" w:cs="Arial"/>
          <w:lang w:val="en-ZA" w:eastAsia="en-ZA"/>
        </w:rPr>
        <w:tab/>
        <w:t>Now this case also mentions the fact that novation has to do with the intention of the parties as to the abandonment of the previous contract.</w:t>
      </w:r>
    </w:p>
    <w:p w14:paraId="5811C1D7" w14:textId="77777777" w:rsidR="007A44C1" w:rsidRDefault="007A44C1" w:rsidP="005837FF">
      <w:pPr>
        <w:spacing w:after="200"/>
        <w:rPr>
          <w:rFonts w:ascii="Arial" w:hAnsi="Arial" w:cs="Arial"/>
          <w:lang w:val="en-ZA" w:eastAsia="en-ZA"/>
        </w:rPr>
      </w:pPr>
    </w:p>
    <w:p w14:paraId="394017B4" w14:textId="25C34773" w:rsidR="007A44C1" w:rsidRDefault="007A44C1" w:rsidP="005837FF">
      <w:pPr>
        <w:spacing w:after="200"/>
        <w:rPr>
          <w:rFonts w:ascii="Arial" w:hAnsi="Arial" w:cs="Arial"/>
          <w:lang w:val="en-ZA" w:eastAsia="en-ZA"/>
        </w:rPr>
      </w:pPr>
      <w:r>
        <w:rPr>
          <w:rFonts w:ascii="Arial" w:hAnsi="Arial" w:cs="Arial"/>
          <w:lang w:val="en-ZA" w:eastAsia="en-ZA"/>
        </w:rPr>
        <w:t>[2</w:t>
      </w:r>
      <w:r w:rsidR="00A8173F">
        <w:rPr>
          <w:rFonts w:ascii="Arial" w:hAnsi="Arial" w:cs="Arial"/>
          <w:lang w:val="en-ZA" w:eastAsia="en-ZA"/>
        </w:rPr>
        <w:t>3</w:t>
      </w:r>
      <w:r>
        <w:rPr>
          <w:rFonts w:ascii="Arial" w:hAnsi="Arial" w:cs="Arial"/>
          <w:lang w:val="en-ZA" w:eastAsia="en-ZA"/>
        </w:rPr>
        <w:t>]</w:t>
      </w:r>
      <w:r>
        <w:rPr>
          <w:rFonts w:ascii="Arial" w:hAnsi="Arial" w:cs="Arial"/>
          <w:lang w:val="en-ZA" w:eastAsia="en-ZA"/>
        </w:rPr>
        <w:tab/>
        <w:t xml:space="preserve">It is therefore only proper to investigate whether the parties to ‘D2’ had such intention to abandon ‘D1’, if so, then no further reliance can then be placed on ‘D1’ for any claim. </w:t>
      </w:r>
    </w:p>
    <w:p w14:paraId="6DE5302B" w14:textId="77777777" w:rsidR="007A44C1" w:rsidRDefault="007A44C1" w:rsidP="005837FF">
      <w:pPr>
        <w:spacing w:after="200"/>
        <w:rPr>
          <w:rFonts w:ascii="Arial" w:hAnsi="Arial" w:cs="Arial"/>
          <w:lang w:val="en-ZA" w:eastAsia="en-ZA"/>
        </w:rPr>
      </w:pPr>
    </w:p>
    <w:p w14:paraId="1C7821B6" w14:textId="3413BFEC" w:rsidR="007A44C1" w:rsidRDefault="007A44C1" w:rsidP="005837FF">
      <w:pPr>
        <w:pStyle w:val="ColorfulList-Accent11"/>
        <w:spacing w:line="480" w:lineRule="auto"/>
        <w:ind w:left="0"/>
        <w:jc w:val="both"/>
        <w:rPr>
          <w:rFonts w:cs="Arial"/>
          <w:lang w:val="en-ZA" w:eastAsia="en-ZA"/>
        </w:rPr>
      </w:pPr>
      <w:r>
        <w:rPr>
          <w:rFonts w:cs="Arial"/>
          <w:lang w:val="en-ZA" w:eastAsia="en-ZA"/>
        </w:rPr>
        <w:t>[2</w:t>
      </w:r>
      <w:r w:rsidR="00A8173F">
        <w:rPr>
          <w:rFonts w:cs="Arial"/>
          <w:lang w:val="en-ZA" w:eastAsia="en-ZA"/>
        </w:rPr>
        <w:t>4</w:t>
      </w:r>
      <w:r>
        <w:rPr>
          <w:rFonts w:cs="Arial"/>
          <w:lang w:val="en-ZA" w:eastAsia="en-ZA"/>
        </w:rPr>
        <w:t>]</w:t>
      </w:r>
      <w:r>
        <w:rPr>
          <w:rFonts w:cs="Arial"/>
          <w:lang w:val="en-ZA" w:eastAsia="en-ZA"/>
        </w:rPr>
        <w:tab/>
        <w:t xml:space="preserve">It should be noted that the First Appellant testified that ‘D2’ had replaced ‘D1’. In my view that is an abandonment of ‘D1’ and same cannot be resuscitated. Once that occurs, one is only left with ‘D2’ and since ‘D2’ has been found to be unlawful and unenforceable, ‘D1’ cannot be relied upon as a claim against the Respondent. </w:t>
      </w:r>
    </w:p>
    <w:p w14:paraId="61D3DFCE" w14:textId="183DBD7A" w:rsidR="007A44C1" w:rsidRDefault="007A44C1" w:rsidP="005837FF">
      <w:pPr>
        <w:pStyle w:val="ColorfulList-Accent11"/>
        <w:spacing w:line="480" w:lineRule="auto"/>
        <w:ind w:left="0"/>
        <w:jc w:val="both"/>
        <w:rPr>
          <w:rFonts w:cs="Arial"/>
          <w:lang w:val="en-ZA" w:eastAsia="en-ZA"/>
        </w:rPr>
      </w:pPr>
    </w:p>
    <w:p w14:paraId="60F642CA" w14:textId="77777777" w:rsidR="00610DF5" w:rsidRDefault="007A44C1" w:rsidP="005837FF">
      <w:pPr>
        <w:pStyle w:val="ColorfulList-Accent11"/>
        <w:spacing w:line="480" w:lineRule="auto"/>
        <w:ind w:left="0"/>
        <w:jc w:val="both"/>
        <w:rPr>
          <w:rFonts w:cs="Arial"/>
          <w:lang w:val="en-ZA" w:eastAsia="en-ZA"/>
        </w:rPr>
      </w:pPr>
      <w:r>
        <w:rPr>
          <w:rFonts w:cs="Arial"/>
          <w:lang w:val="en-ZA" w:eastAsia="en-ZA"/>
        </w:rPr>
        <w:t>[24]</w:t>
      </w:r>
      <w:r>
        <w:rPr>
          <w:rFonts w:cs="Arial"/>
          <w:lang w:val="en-ZA" w:eastAsia="en-ZA"/>
        </w:rPr>
        <w:tab/>
        <w:t>I now deal with</w:t>
      </w:r>
      <w:r w:rsidR="00610DF5">
        <w:rPr>
          <w:rFonts w:cs="Arial"/>
          <w:lang w:val="en-ZA" w:eastAsia="en-ZA"/>
        </w:rPr>
        <w:t xml:space="preserve"> whether ‘D1’ was inchoate or not and whether reliance on such ‘inchoateness’ by the Respondent is appropriate in law. </w:t>
      </w:r>
      <w:r>
        <w:rPr>
          <w:rFonts w:cs="Arial"/>
          <w:lang w:val="en-ZA" w:eastAsia="en-ZA"/>
        </w:rPr>
        <w:t xml:space="preserve"> </w:t>
      </w:r>
    </w:p>
    <w:p w14:paraId="4C0F3976" w14:textId="77777777" w:rsidR="00610DF5" w:rsidRDefault="00610DF5" w:rsidP="005837FF">
      <w:pPr>
        <w:pStyle w:val="ColorfulList-Accent11"/>
        <w:spacing w:line="480" w:lineRule="auto"/>
        <w:ind w:left="0"/>
        <w:jc w:val="both"/>
        <w:rPr>
          <w:rFonts w:eastAsia="Calibri" w:cs="Arial"/>
          <w:lang w:val="en-ZA"/>
        </w:rPr>
      </w:pPr>
    </w:p>
    <w:p w14:paraId="144629A9" w14:textId="6BEFCF41" w:rsidR="00A867DC" w:rsidRDefault="00610DF5" w:rsidP="005837FF">
      <w:pPr>
        <w:pStyle w:val="ColorfulList-Accent11"/>
        <w:spacing w:line="480" w:lineRule="auto"/>
        <w:ind w:left="0"/>
        <w:jc w:val="both"/>
        <w:rPr>
          <w:rFonts w:eastAsia="Calibri" w:cs="Arial"/>
          <w:lang w:val="en-ZA"/>
        </w:rPr>
      </w:pPr>
      <w:r>
        <w:rPr>
          <w:rFonts w:eastAsia="Calibri" w:cs="Arial"/>
          <w:lang w:val="en-ZA"/>
        </w:rPr>
        <w:t>[2</w:t>
      </w:r>
      <w:r w:rsidR="00A8173F">
        <w:rPr>
          <w:rFonts w:eastAsia="Calibri" w:cs="Arial"/>
          <w:lang w:val="en-ZA"/>
        </w:rPr>
        <w:t>5</w:t>
      </w:r>
      <w:r>
        <w:rPr>
          <w:rFonts w:eastAsia="Calibri" w:cs="Arial"/>
          <w:lang w:val="en-ZA"/>
        </w:rPr>
        <w:t>]</w:t>
      </w:r>
      <w:r>
        <w:rPr>
          <w:rFonts w:eastAsia="Calibri" w:cs="Arial"/>
          <w:lang w:val="en-ZA"/>
        </w:rPr>
        <w:tab/>
      </w:r>
      <w:r w:rsidR="00A867DC">
        <w:rPr>
          <w:rFonts w:eastAsia="Calibri" w:cs="Arial"/>
          <w:lang w:val="en-ZA"/>
        </w:rPr>
        <w:t xml:space="preserve">Counsel for the Appellants submitted that the issue of an ‘inchoate agreement’ cannot be relied on by the Respondent for the reason that this issue was never pleaded and in is trite in civil proceedings that parties are bound by the pleadings. Furthermore, so it is submitted, the Court </w:t>
      </w:r>
      <w:r>
        <w:rPr>
          <w:rFonts w:eastAsia="Calibri" w:cs="Arial"/>
          <w:i/>
          <w:iCs/>
          <w:lang w:val="en-ZA"/>
        </w:rPr>
        <w:t>a q</w:t>
      </w:r>
      <w:r w:rsidR="00A8173F">
        <w:rPr>
          <w:rFonts w:eastAsia="Calibri" w:cs="Arial"/>
          <w:i/>
          <w:iCs/>
          <w:lang w:val="en-ZA"/>
        </w:rPr>
        <w:t>u</w:t>
      </w:r>
      <w:r>
        <w:rPr>
          <w:rFonts w:eastAsia="Calibri" w:cs="Arial"/>
          <w:i/>
          <w:iCs/>
          <w:lang w:val="en-ZA"/>
        </w:rPr>
        <w:t>o</w:t>
      </w:r>
      <w:r w:rsidR="00A867DC">
        <w:rPr>
          <w:rFonts w:eastAsia="Calibri" w:cs="Arial"/>
          <w:lang w:val="en-ZA"/>
        </w:rPr>
        <w:t xml:space="preserve"> did not have to decide the issue for the same reason</w:t>
      </w:r>
      <w:r>
        <w:rPr>
          <w:rFonts w:eastAsia="Calibri" w:cs="Arial"/>
          <w:lang w:val="en-ZA"/>
        </w:rPr>
        <w:t>, namely, th</w:t>
      </w:r>
      <w:r w:rsidR="00A8173F">
        <w:rPr>
          <w:rFonts w:eastAsia="Calibri" w:cs="Arial"/>
          <w:lang w:val="en-ZA"/>
        </w:rPr>
        <w:t>e ‘inchoateness</w:t>
      </w:r>
      <w:r w:rsidR="009516EE">
        <w:rPr>
          <w:rFonts w:eastAsia="Calibri" w:cs="Arial"/>
          <w:lang w:val="en-ZA"/>
        </w:rPr>
        <w:t>’ of the agreement</w:t>
      </w:r>
      <w:r>
        <w:rPr>
          <w:rFonts w:eastAsia="Calibri" w:cs="Arial"/>
          <w:lang w:val="en-ZA"/>
        </w:rPr>
        <w:t>.</w:t>
      </w:r>
    </w:p>
    <w:p w14:paraId="7BDC5EE0" w14:textId="77777777" w:rsidR="00610DF5" w:rsidRPr="00610DF5" w:rsidRDefault="00610DF5" w:rsidP="005837FF">
      <w:pPr>
        <w:pStyle w:val="ColorfulList-Accent11"/>
        <w:spacing w:line="480" w:lineRule="auto"/>
        <w:ind w:left="0"/>
        <w:jc w:val="both"/>
        <w:rPr>
          <w:rFonts w:cs="Arial"/>
          <w:lang w:val="en-ZA" w:eastAsia="en-ZA"/>
        </w:rPr>
      </w:pPr>
    </w:p>
    <w:p w14:paraId="0D3263C7" w14:textId="0D0405FC" w:rsidR="001C46B1" w:rsidRDefault="00A867DC" w:rsidP="005837FF">
      <w:pPr>
        <w:spacing w:after="200"/>
        <w:rPr>
          <w:rFonts w:ascii="Arial" w:eastAsia="Calibri" w:hAnsi="Arial" w:cs="Arial"/>
          <w:lang w:val="en-ZA"/>
        </w:rPr>
      </w:pPr>
      <w:r>
        <w:rPr>
          <w:rFonts w:ascii="Arial" w:eastAsia="Calibri" w:hAnsi="Arial" w:cs="Arial"/>
          <w:lang w:val="en-ZA"/>
        </w:rPr>
        <w:t>[</w:t>
      </w:r>
      <w:r w:rsidR="00610DF5">
        <w:rPr>
          <w:rFonts w:ascii="Arial" w:eastAsia="Calibri" w:hAnsi="Arial" w:cs="Arial"/>
          <w:lang w:val="en-ZA"/>
        </w:rPr>
        <w:t>2</w:t>
      </w:r>
      <w:r w:rsidR="009516EE">
        <w:rPr>
          <w:rFonts w:ascii="Arial" w:eastAsia="Calibri" w:hAnsi="Arial" w:cs="Arial"/>
          <w:lang w:val="en-ZA"/>
        </w:rPr>
        <w:t>6</w:t>
      </w:r>
      <w:r>
        <w:rPr>
          <w:rFonts w:ascii="Arial" w:eastAsia="Calibri" w:hAnsi="Arial" w:cs="Arial"/>
          <w:lang w:val="en-ZA"/>
        </w:rPr>
        <w:t>]</w:t>
      </w:r>
      <w:r>
        <w:rPr>
          <w:rFonts w:ascii="Arial" w:eastAsia="Calibri" w:hAnsi="Arial" w:cs="Arial"/>
          <w:lang w:val="en-ZA"/>
        </w:rPr>
        <w:tab/>
      </w:r>
      <w:r w:rsidR="00E62505">
        <w:rPr>
          <w:rFonts w:ascii="Arial" w:eastAsia="Calibri" w:hAnsi="Arial" w:cs="Arial"/>
          <w:lang w:val="en-ZA"/>
        </w:rPr>
        <w:t>Now the real issue regarding the agreement ‘D1’ is that the Plaintiff himself testified that there were certain issues that needed to be clarified and this related to the issue of ‘belasting vriendelik’</w:t>
      </w:r>
      <w:r w:rsidR="001C46B1">
        <w:rPr>
          <w:rFonts w:ascii="Arial" w:eastAsia="Calibri" w:hAnsi="Arial" w:cs="Arial"/>
          <w:lang w:val="en-ZA"/>
        </w:rPr>
        <w:t xml:space="preserve"> as well as when payment was to start.</w:t>
      </w:r>
    </w:p>
    <w:p w14:paraId="65B38DF8" w14:textId="77777777" w:rsidR="00610DF5" w:rsidRDefault="00610DF5" w:rsidP="005837FF">
      <w:pPr>
        <w:spacing w:after="200"/>
        <w:rPr>
          <w:rFonts w:ascii="Arial" w:eastAsia="Calibri" w:hAnsi="Arial" w:cs="Arial"/>
          <w:lang w:val="en-ZA"/>
        </w:rPr>
      </w:pPr>
    </w:p>
    <w:p w14:paraId="655115D7" w14:textId="3830C3F3" w:rsidR="00610DF5" w:rsidRDefault="001C46B1" w:rsidP="005837FF">
      <w:pPr>
        <w:spacing w:after="200"/>
        <w:rPr>
          <w:rFonts w:ascii="Arial" w:eastAsia="Calibri" w:hAnsi="Arial" w:cs="Arial"/>
          <w:lang w:val="en-ZA"/>
        </w:rPr>
      </w:pPr>
      <w:r>
        <w:rPr>
          <w:rFonts w:ascii="Arial" w:eastAsia="Calibri" w:hAnsi="Arial" w:cs="Arial"/>
          <w:lang w:val="en-ZA"/>
        </w:rPr>
        <w:lastRenderedPageBreak/>
        <w:t>[</w:t>
      </w:r>
      <w:r w:rsidR="00610DF5">
        <w:rPr>
          <w:rFonts w:ascii="Arial" w:eastAsia="Calibri" w:hAnsi="Arial" w:cs="Arial"/>
          <w:lang w:val="en-ZA"/>
        </w:rPr>
        <w:t>2</w:t>
      </w:r>
      <w:r w:rsidR="009516EE">
        <w:rPr>
          <w:rFonts w:ascii="Arial" w:eastAsia="Calibri" w:hAnsi="Arial" w:cs="Arial"/>
          <w:lang w:val="en-ZA"/>
        </w:rPr>
        <w:t>7</w:t>
      </w:r>
      <w:r>
        <w:rPr>
          <w:rFonts w:ascii="Arial" w:eastAsia="Calibri" w:hAnsi="Arial" w:cs="Arial"/>
          <w:lang w:val="en-ZA"/>
        </w:rPr>
        <w:t>]</w:t>
      </w:r>
      <w:r>
        <w:rPr>
          <w:rFonts w:ascii="Arial" w:eastAsia="Calibri" w:hAnsi="Arial" w:cs="Arial"/>
          <w:lang w:val="en-ZA"/>
        </w:rPr>
        <w:tab/>
        <w:t xml:space="preserve">Whilst it is correct that a party may not raise a defence that has not been pleaded, the same cannot be said of a party whose obligation it is to prove an agreement, indicating that such agreement is not complete. It is my view that in such circumstances a party can </w:t>
      </w:r>
      <w:r w:rsidR="001B30E5">
        <w:rPr>
          <w:rFonts w:ascii="Arial" w:eastAsia="Calibri" w:hAnsi="Arial" w:cs="Arial"/>
          <w:lang w:val="en-ZA"/>
        </w:rPr>
        <w:t xml:space="preserve">be </w:t>
      </w:r>
      <w:r>
        <w:rPr>
          <w:rFonts w:ascii="Arial" w:eastAsia="Calibri" w:hAnsi="Arial" w:cs="Arial"/>
          <w:lang w:val="en-ZA"/>
        </w:rPr>
        <w:t>held to his/her statement that the agreement is not complete.</w:t>
      </w:r>
      <w:r w:rsidR="00610DF5">
        <w:rPr>
          <w:rFonts w:ascii="Arial" w:eastAsia="Calibri" w:hAnsi="Arial" w:cs="Arial"/>
          <w:lang w:val="en-ZA"/>
        </w:rPr>
        <w:t xml:space="preserve"> </w:t>
      </w:r>
      <w:r w:rsidR="00A34C85">
        <w:rPr>
          <w:rFonts w:ascii="Arial" w:eastAsia="Calibri" w:hAnsi="Arial" w:cs="Arial"/>
          <w:lang w:val="en-ZA"/>
        </w:rPr>
        <w:t xml:space="preserve">The First Appellant pertinently mentioned that </w:t>
      </w:r>
      <w:r w:rsidR="00706B96">
        <w:rPr>
          <w:rFonts w:ascii="Arial" w:eastAsia="Calibri" w:hAnsi="Arial" w:cs="Arial"/>
          <w:lang w:val="en-ZA"/>
        </w:rPr>
        <w:t>h</w:t>
      </w:r>
      <w:r w:rsidR="005837FF">
        <w:rPr>
          <w:rFonts w:ascii="Arial" w:eastAsia="Calibri" w:hAnsi="Arial" w:cs="Arial"/>
          <w:lang w:val="en-ZA"/>
        </w:rPr>
        <w:t>e</w:t>
      </w:r>
      <w:r w:rsidR="00706B96">
        <w:rPr>
          <w:rFonts w:ascii="Arial" w:eastAsia="Calibri" w:hAnsi="Arial" w:cs="Arial"/>
          <w:lang w:val="en-ZA"/>
        </w:rPr>
        <w:t xml:space="preserve"> and the Respondent were still to discuss how exactly certain clauses will be performed</w:t>
      </w:r>
      <w:r w:rsidR="00706B96">
        <w:rPr>
          <w:rStyle w:val="FootnoteReference"/>
          <w:rFonts w:ascii="Arial" w:eastAsia="Calibri" w:hAnsi="Arial" w:cs="Arial"/>
          <w:lang w:val="en-ZA"/>
        </w:rPr>
        <w:footnoteReference w:id="10"/>
      </w:r>
      <w:r w:rsidR="00706B96">
        <w:rPr>
          <w:rFonts w:ascii="Arial" w:eastAsia="Calibri" w:hAnsi="Arial" w:cs="Arial"/>
          <w:lang w:val="en-ZA"/>
        </w:rPr>
        <w:t>.</w:t>
      </w:r>
      <w:r w:rsidR="005837FF">
        <w:rPr>
          <w:rFonts w:ascii="Arial" w:eastAsia="Calibri" w:hAnsi="Arial" w:cs="Arial"/>
          <w:lang w:val="en-ZA"/>
        </w:rPr>
        <w:t xml:space="preserve"> This clearly evidences incompleteness.</w:t>
      </w:r>
    </w:p>
    <w:p w14:paraId="2AF2D9C9" w14:textId="77777777" w:rsidR="00706B96" w:rsidRDefault="00706B96" w:rsidP="005837FF">
      <w:pPr>
        <w:spacing w:after="200"/>
        <w:rPr>
          <w:rFonts w:ascii="Arial" w:eastAsia="Calibri" w:hAnsi="Arial" w:cs="Arial"/>
          <w:lang w:val="en-ZA"/>
        </w:rPr>
      </w:pPr>
    </w:p>
    <w:p w14:paraId="26B68915" w14:textId="546A174B" w:rsidR="001C46B1" w:rsidRDefault="001C46B1" w:rsidP="005837FF">
      <w:pPr>
        <w:spacing w:after="200"/>
        <w:rPr>
          <w:rFonts w:ascii="Arial" w:eastAsia="Calibri" w:hAnsi="Arial" w:cs="Arial"/>
          <w:lang w:val="en-ZA"/>
        </w:rPr>
      </w:pPr>
      <w:r>
        <w:rPr>
          <w:rFonts w:ascii="Arial" w:eastAsia="Calibri" w:hAnsi="Arial" w:cs="Arial"/>
          <w:lang w:val="en-ZA"/>
        </w:rPr>
        <w:t>[</w:t>
      </w:r>
      <w:r w:rsidR="00706B96">
        <w:rPr>
          <w:rFonts w:ascii="Arial" w:eastAsia="Calibri" w:hAnsi="Arial" w:cs="Arial"/>
          <w:lang w:val="en-ZA"/>
        </w:rPr>
        <w:t>2</w:t>
      </w:r>
      <w:r w:rsidR="009516EE">
        <w:rPr>
          <w:rFonts w:ascii="Arial" w:eastAsia="Calibri" w:hAnsi="Arial" w:cs="Arial"/>
          <w:lang w:val="en-ZA"/>
        </w:rPr>
        <w:t>8</w:t>
      </w:r>
      <w:r>
        <w:rPr>
          <w:rFonts w:ascii="Arial" w:eastAsia="Calibri" w:hAnsi="Arial" w:cs="Arial"/>
          <w:lang w:val="en-ZA"/>
        </w:rPr>
        <w:t>]</w:t>
      </w:r>
      <w:r>
        <w:rPr>
          <w:rFonts w:ascii="Arial" w:eastAsia="Calibri" w:hAnsi="Arial" w:cs="Arial"/>
          <w:lang w:val="en-ZA"/>
        </w:rPr>
        <w:tab/>
        <w:t>The result of this circumstance is therefore that ‘D1’ is inchoate and thus cannot be used to advance the claims of the Plaintiff.</w:t>
      </w:r>
    </w:p>
    <w:p w14:paraId="2C7EE3A0" w14:textId="77777777" w:rsidR="00706B96" w:rsidRDefault="00706B96" w:rsidP="005837FF">
      <w:pPr>
        <w:spacing w:after="200"/>
        <w:rPr>
          <w:rFonts w:ascii="Arial" w:eastAsia="Calibri" w:hAnsi="Arial" w:cs="Arial"/>
          <w:lang w:val="en-ZA"/>
        </w:rPr>
      </w:pPr>
    </w:p>
    <w:p w14:paraId="6A18269B" w14:textId="4A2DFFE7" w:rsidR="001C46B1" w:rsidRDefault="001C46B1" w:rsidP="005837FF">
      <w:pPr>
        <w:spacing w:after="200"/>
        <w:rPr>
          <w:rFonts w:ascii="Arial" w:eastAsia="Calibri" w:hAnsi="Arial" w:cs="Arial"/>
          <w:lang w:val="en-ZA"/>
        </w:rPr>
      </w:pPr>
      <w:r>
        <w:rPr>
          <w:rFonts w:ascii="Arial" w:eastAsia="Calibri" w:hAnsi="Arial" w:cs="Arial"/>
          <w:lang w:val="en-ZA"/>
        </w:rPr>
        <w:t>[</w:t>
      </w:r>
      <w:r w:rsidR="00706B96">
        <w:rPr>
          <w:rFonts w:ascii="Arial" w:eastAsia="Calibri" w:hAnsi="Arial" w:cs="Arial"/>
          <w:lang w:val="en-ZA"/>
        </w:rPr>
        <w:t>2</w:t>
      </w:r>
      <w:r w:rsidR="009516EE">
        <w:rPr>
          <w:rFonts w:ascii="Arial" w:eastAsia="Calibri" w:hAnsi="Arial" w:cs="Arial"/>
          <w:lang w:val="en-ZA"/>
        </w:rPr>
        <w:t>9</w:t>
      </w:r>
      <w:r>
        <w:rPr>
          <w:rFonts w:ascii="Arial" w:eastAsia="Calibri" w:hAnsi="Arial" w:cs="Arial"/>
          <w:lang w:val="en-ZA"/>
        </w:rPr>
        <w:t>]</w:t>
      </w:r>
      <w:r>
        <w:rPr>
          <w:rFonts w:ascii="Arial" w:eastAsia="Calibri" w:hAnsi="Arial" w:cs="Arial"/>
          <w:lang w:val="en-ZA"/>
        </w:rPr>
        <w:tab/>
        <w:t>Should I be wrong in the above reasoning regarding the incompleteness of</w:t>
      </w:r>
      <w:r w:rsidR="00706B96">
        <w:rPr>
          <w:rFonts w:ascii="Arial" w:eastAsia="Calibri" w:hAnsi="Arial" w:cs="Arial"/>
          <w:lang w:val="en-ZA"/>
        </w:rPr>
        <w:t xml:space="preserve"> </w:t>
      </w:r>
      <w:r>
        <w:rPr>
          <w:rFonts w:ascii="Arial" w:eastAsia="Calibri" w:hAnsi="Arial" w:cs="Arial"/>
          <w:lang w:val="en-ZA"/>
        </w:rPr>
        <w:t>‘D1’, the question still remains whether ‘D1’ in and of itself is a credit agreement and if so whether such agreement is lawful.</w:t>
      </w:r>
    </w:p>
    <w:p w14:paraId="508F039B" w14:textId="77777777" w:rsidR="00706B96" w:rsidRDefault="00706B96" w:rsidP="005837FF">
      <w:pPr>
        <w:spacing w:after="200"/>
        <w:rPr>
          <w:rFonts w:ascii="Arial" w:eastAsia="Calibri" w:hAnsi="Arial" w:cs="Arial"/>
          <w:lang w:val="en-ZA"/>
        </w:rPr>
      </w:pPr>
    </w:p>
    <w:p w14:paraId="76922BD1" w14:textId="469569D5" w:rsidR="00E46CE7" w:rsidRDefault="001C46B1" w:rsidP="005837FF">
      <w:pPr>
        <w:spacing w:after="200"/>
        <w:rPr>
          <w:rFonts w:ascii="Arial" w:eastAsia="Calibri" w:hAnsi="Arial" w:cs="Arial"/>
          <w:lang w:val="en-ZA"/>
        </w:rPr>
      </w:pPr>
      <w:r>
        <w:rPr>
          <w:rFonts w:ascii="Arial" w:eastAsia="Calibri" w:hAnsi="Arial" w:cs="Arial"/>
          <w:lang w:val="en-ZA"/>
        </w:rPr>
        <w:t>[</w:t>
      </w:r>
      <w:r w:rsidR="009516EE">
        <w:rPr>
          <w:rFonts w:ascii="Arial" w:eastAsia="Calibri" w:hAnsi="Arial" w:cs="Arial"/>
          <w:lang w:val="en-ZA"/>
        </w:rPr>
        <w:t>30</w:t>
      </w:r>
      <w:r>
        <w:rPr>
          <w:rFonts w:ascii="Arial" w:eastAsia="Calibri" w:hAnsi="Arial" w:cs="Arial"/>
          <w:lang w:val="en-ZA"/>
        </w:rPr>
        <w:t>]</w:t>
      </w:r>
      <w:r>
        <w:rPr>
          <w:rFonts w:ascii="Arial" w:eastAsia="Calibri" w:hAnsi="Arial" w:cs="Arial"/>
          <w:lang w:val="en-ZA"/>
        </w:rPr>
        <w:tab/>
      </w:r>
      <w:r w:rsidR="00272831">
        <w:rPr>
          <w:rFonts w:ascii="Arial" w:eastAsia="Calibri" w:hAnsi="Arial" w:cs="Arial"/>
          <w:lang w:val="en-ZA"/>
        </w:rPr>
        <w:t>Section 8 (4) of the</w:t>
      </w:r>
      <w:r>
        <w:rPr>
          <w:rFonts w:ascii="Arial" w:eastAsia="Calibri" w:hAnsi="Arial" w:cs="Arial"/>
          <w:lang w:val="en-ZA"/>
        </w:rPr>
        <w:t xml:space="preserve"> National Credit Act</w:t>
      </w:r>
      <w:r w:rsidR="00E46CE7">
        <w:rPr>
          <w:rStyle w:val="FootnoteReference"/>
          <w:rFonts w:ascii="Arial" w:eastAsia="Calibri" w:hAnsi="Arial" w:cs="Arial"/>
          <w:lang w:val="en-ZA"/>
        </w:rPr>
        <w:footnoteReference w:id="11"/>
      </w:r>
      <w:r>
        <w:rPr>
          <w:rFonts w:ascii="Arial" w:eastAsia="Calibri" w:hAnsi="Arial" w:cs="Arial"/>
          <w:lang w:val="en-ZA"/>
        </w:rPr>
        <w:t xml:space="preserve"> </w:t>
      </w:r>
      <w:r w:rsidR="00E46CE7">
        <w:rPr>
          <w:rFonts w:ascii="Arial" w:eastAsia="Calibri" w:hAnsi="Arial" w:cs="Arial"/>
          <w:lang w:val="en-ZA"/>
        </w:rPr>
        <w:t>provides as follows:</w:t>
      </w:r>
    </w:p>
    <w:p w14:paraId="5037FEEE" w14:textId="77777777" w:rsidR="00E46CE7" w:rsidRPr="00E46CE7" w:rsidRDefault="00E46CE7" w:rsidP="005837FF">
      <w:pPr>
        <w:autoSpaceDE w:val="0"/>
        <w:autoSpaceDN w:val="0"/>
        <w:adjustRightInd w:val="0"/>
        <w:rPr>
          <w:rFonts w:ascii="Arial" w:hAnsi="Arial" w:cs="Arial"/>
          <w:i/>
          <w:iCs/>
          <w:sz w:val="22"/>
          <w:szCs w:val="22"/>
          <w:lang w:val="en-ZA" w:eastAsia="en-ZA"/>
        </w:rPr>
      </w:pPr>
      <w:r>
        <w:rPr>
          <w:rFonts w:ascii="Arial" w:eastAsia="Calibri" w:hAnsi="Arial" w:cs="Arial"/>
          <w:lang w:val="en-ZA"/>
        </w:rPr>
        <w:tab/>
      </w:r>
      <w:r w:rsidRPr="00E46CE7">
        <w:rPr>
          <w:rFonts w:ascii="Arial" w:eastAsia="Calibri" w:hAnsi="Arial" w:cs="Arial"/>
          <w:i/>
          <w:iCs/>
          <w:sz w:val="22"/>
          <w:szCs w:val="22"/>
          <w:lang w:val="en-ZA"/>
        </w:rPr>
        <w:t>“</w:t>
      </w:r>
      <w:r w:rsidRPr="00E46CE7">
        <w:rPr>
          <w:rFonts w:ascii="Arial" w:hAnsi="Arial" w:cs="Arial"/>
          <w:i/>
          <w:iCs/>
          <w:sz w:val="22"/>
          <w:szCs w:val="22"/>
          <w:lang w:val="en-ZA" w:eastAsia="en-ZA"/>
        </w:rPr>
        <w:t>An agreement, irrespective of its form but not including an agreement</w:t>
      </w:r>
    </w:p>
    <w:p w14:paraId="0F3BC535" w14:textId="77777777" w:rsidR="00E46CE7" w:rsidRPr="00E46CE7" w:rsidRDefault="00E46CE7" w:rsidP="005837FF">
      <w:pPr>
        <w:autoSpaceDE w:val="0"/>
        <w:autoSpaceDN w:val="0"/>
        <w:adjustRightInd w:val="0"/>
        <w:ind w:firstLine="720"/>
        <w:rPr>
          <w:rFonts w:ascii="Arial" w:hAnsi="Arial" w:cs="Arial"/>
          <w:i/>
          <w:iCs/>
          <w:sz w:val="22"/>
          <w:szCs w:val="22"/>
          <w:lang w:val="en-ZA" w:eastAsia="en-ZA"/>
        </w:rPr>
      </w:pPr>
      <w:r w:rsidRPr="00E46CE7">
        <w:rPr>
          <w:rFonts w:ascii="Arial" w:hAnsi="Arial" w:cs="Arial"/>
          <w:i/>
          <w:iCs/>
          <w:sz w:val="22"/>
          <w:szCs w:val="22"/>
          <w:lang w:val="en-ZA" w:eastAsia="en-ZA"/>
        </w:rPr>
        <w:t>contemplated in subsection (2)</w:t>
      </w:r>
      <w:r w:rsidRPr="00E46CE7">
        <w:rPr>
          <w:rFonts w:ascii="Arial" w:hAnsi="Arial" w:cs="Arial"/>
          <w:b/>
          <w:bCs/>
          <w:i/>
          <w:iCs/>
          <w:sz w:val="22"/>
          <w:szCs w:val="22"/>
          <w:lang w:val="en-ZA" w:eastAsia="en-ZA"/>
        </w:rPr>
        <w:t xml:space="preserve">, </w:t>
      </w:r>
      <w:r w:rsidRPr="00E46CE7">
        <w:rPr>
          <w:rFonts w:ascii="Arial" w:hAnsi="Arial" w:cs="Arial"/>
          <w:i/>
          <w:iCs/>
          <w:sz w:val="22"/>
          <w:szCs w:val="22"/>
          <w:lang w:val="en-ZA" w:eastAsia="en-ZA"/>
        </w:rPr>
        <w:t>constitutes a credit transaction if it is-</w:t>
      </w:r>
    </w:p>
    <w:p w14:paraId="15E01BC5" w14:textId="77777777" w:rsidR="00E46CE7" w:rsidRPr="00E46CE7" w:rsidRDefault="00E46CE7" w:rsidP="005837FF">
      <w:pPr>
        <w:autoSpaceDE w:val="0"/>
        <w:autoSpaceDN w:val="0"/>
        <w:adjustRightInd w:val="0"/>
        <w:ind w:left="720" w:firstLine="720"/>
        <w:rPr>
          <w:rFonts w:ascii="Arial" w:hAnsi="Arial" w:cs="Arial"/>
          <w:i/>
          <w:iCs/>
          <w:sz w:val="22"/>
          <w:szCs w:val="22"/>
          <w:lang w:val="en-ZA" w:eastAsia="en-ZA"/>
        </w:rPr>
      </w:pPr>
      <w:r w:rsidRPr="00E46CE7">
        <w:rPr>
          <w:rFonts w:ascii="Arial" w:hAnsi="Arial" w:cs="Arial"/>
          <w:i/>
          <w:iCs/>
          <w:sz w:val="22"/>
          <w:szCs w:val="22"/>
          <w:lang w:val="en-ZA" w:eastAsia="en-ZA"/>
        </w:rPr>
        <w:t>(a) a pawn transaction or discount transaction;</w:t>
      </w:r>
    </w:p>
    <w:p w14:paraId="51960951" w14:textId="77777777" w:rsidR="00E46CE7" w:rsidRPr="00E46CE7" w:rsidRDefault="00E46CE7" w:rsidP="005837FF">
      <w:pPr>
        <w:autoSpaceDE w:val="0"/>
        <w:autoSpaceDN w:val="0"/>
        <w:adjustRightInd w:val="0"/>
        <w:ind w:left="720" w:firstLine="720"/>
        <w:rPr>
          <w:rFonts w:ascii="Arial" w:hAnsi="Arial" w:cs="Arial"/>
          <w:i/>
          <w:iCs/>
          <w:sz w:val="22"/>
          <w:szCs w:val="22"/>
          <w:lang w:val="en-ZA" w:eastAsia="en-ZA"/>
        </w:rPr>
      </w:pPr>
      <w:r w:rsidRPr="00E46CE7">
        <w:rPr>
          <w:rFonts w:ascii="Arial" w:hAnsi="Arial" w:cs="Arial"/>
          <w:i/>
          <w:iCs/>
          <w:sz w:val="22"/>
          <w:szCs w:val="22"/>
          <w:lang w:val="en-ZA" w:eastAsia="en-ZA"/>
        </w:rPr>
        <w:t>(b) an incidental credit agreement, subject to section 5(2);</w:t>
      </w:r>
    </w:p>
    <w:p w14:paraId="03F0547A" w14:textId="77777777" w:rsidR="00E46CE7" w:rsidRPr="00E46CE7" w:rsidRDefault="00E46CE7" w:rsidP="005837FF">
      <w:pPr>
        <w:autoSpaceDE w:val="0"/>
        <w:autoSpaceDN w:val="0"/>
        <w:adjustRightInd w:val="0"/>
        <w:ind w:left="720" w:firstLine="720"/>
        <w:rPr>
          <w:rFonts w:ascii="Arial" w:hAnsi="Arial" w:cs="Arial"/>
          <w:i/>
          <w:iCs/>
          <w:sz w:val="22"/>
          <w:szCs w:val="22"/>
          <w:lang w:val="en-ZA" w:eastAsia="en-ZA"/>
        </w:rPr>
      </w:pPr>
      <w:r w:rsidRPr="00E46CE7">
        <w:rPr>
          <w:rFonts w:ascii="Arial" w:hAnsi="Arial" w:cs="Arial"/>
          <w:i/>
          <w:iCs/>
          <w:sz w:val="22"/>
          <w:szCs w:val="22"/>
          <w:lang w:val="en-ZA" w:eastAsia="en-ZA"/>
        </w:rPr>
        <w:lastRenderedPageBreak/>
        <w:t>(c) an instalment agreement;</w:t>
      </w:r>
    </w:p>
    <w:p w14:paraId="3FF74BB2" w14:textId="33CDEB0F" w:rsidR="00E46CE7" w:rsidRPr="00E46CE7" w:rsidRDefault="00E46CE7" w:rsidP="005837FF">
      <w:pPr>
        <w:autoSpaceDE w:val="0"/>
        <w:autoSpaceDN w:val="0"/>
        <w:adjustRightInd w:val="0"/>
        <w:ind w:left="720" w:firstLine="720"/>
        <w:rPr>
          <w:rFonts w:ascii="Arial" w:hAnsi="Arial" w:cs="Arial"/>
          <w:i/>
          <w:iCs/>
          <w:sz w:val="22"/>
          <w:szCs w:val="22"/>
          <w:lang w:val="en-ZA" w:eastAsia="en-ZA"/>
        </w:rPr>
      </w:pPr>
      <w:r w:rsidRPr="00E46CE7">
        <w:rPr>
          <w:rFonts w:ascii="Arial" w:hAnsi="Arial" w:cs="Arial"/>
          <w:i/>
          <w:iCs/>
          <w:sz w:val="22"/>
          <w:szCs w:val="22"/>
          <w:lang w:val="en-ZA" w:eastAsia="en-ZA"/>
        </w:rPr>
        <w:t>(e) a lease; or</w:t>
      </w:r>
    </w:p>
    <w:p w14:paraId="0D1FC834" w14:textId="3628B88A" w:rsidR="00E46CE7" w:rsidRPr="00E46CE7" w:rsidRDefault="00E46CE7" w:rsidP="005837FF">
      <w:pPr>
        <w:autoSpaceDE w:val="0"/>
        <w:autoSpaceDN w:val="0"/>
        <w:adjustRightInd w:val="0"/>
        <w:ind w:left="720" w:firstLine="720"/>
        <w:rPr>
          <w:rFonts w:ascii="Arial" w:hAnsi="Arial" w:cs="Arial"/>
          <w:i/>
          <w:iCs/>
          <w:sz w:val="22"/>
          <w:szCs w:val="22"/>
          <w:lang w:val="en-ZA" w:eastAsia="en-ZA"/>
        </w:rPr>
      </w:pPr>
      <w:r w:rsidRPr="00E46CE7">
        <w:rPr>
          <w:rFonts w:ascii="Arial" w:hAnsi="Arial" w:cs="Arial"/>
          <w:i/>
          <w:iCs/>
          <w:sz w:val="22"/>
          <w:szCs w:val="22"/>
          <w:lang w:val="en-ZA" w:eastAsia="en-ZA"/>
        </w:rPr>
        <w:t xml:space="preserve">(d) a mortgage agreement or secured loan; </w:t>
      </w:r>
    </w:p>
    <w:p w14:paraId="175032E2" w14:textId="77777777" w:rsidR="00E46CE7" w:rsidRPr="00E46CE7" w:rsidRDefault="00E46CE7" w:rsidP="005837FF">
      <w:pPr>
        <w:autoSpaceDE w:val="0"/>
        <w:autoSpaceDN w:val="0"/>
        <w:adjustRightInd w:val="0"/>
        <w:ind w:left="720" w:firstLine="720"/>
        <w:rPr>
          <w:rFonts w:ascii="Arial" w:hAnsi="Arial" w:cs="Arial"/>
          <w:i/>
          <w:iCs/>
          <w:sz w:val="22"/>
          <w:szCs w:val="22"/>
          <w:lang w:val="en-ZA" w:eastAsia="en-ZA"/>
        </w:rPr>
      </w:pPr>
      <w:r w:rsidRPr="00E46CE7">
        <w:rPr>
          <w:rFonts w:ascii="Arial" w:hAnsi="Arial" w:cs="Arial"/>
          <w:i/>
          <w:iCs/>
          <w:sz w:val="22"/>
          <w:szCs w:val="22"/>
          <w:lang w:val="en-ZA" w:eastAsia="en-ZA"/>
        </w:rPr>
        <w:t>any other agreement, other than a credit facility or credit guarantee, in terms</w:t>
      </w:r>
    </w:p>
    <w:p w14:paraId="7ABCC038" w14:textId="77777777" w:rsidR="00E46CE7" w:rsidRPr="00E46CE7" w:rsidRDefault="00E46CE7" w:rsidP="005837FF">
      <w:pPr>
        <w:autoSpaceDE w:val="0"/>
        <w:autoSpaceDN w:val="0"/>
        <w:adjustRightInd w:val="0"/>
        <w:ind w:left="720" w:firstLine="720"/>
        <w:rPr>
          <w:rFonts w:ascii="Arial" w:hAnsi="Arial" w:cs="Arial"/>
          <w:i/>
          <w:iCs/>
          <w:sz w:val="22"/>
          <w:szCs w:val="22"/>
          <w:lang w:val="en-ZA" w:eastAsia="en-ZA"/>
        </w:rPr>
      </w:pPr>
      <w:r w:rsidRPr="00E46CE7">
        <w:rPr>
          <w:rFonts w:ascii="Arial" w:hAnsi="Arial" w:cs="Arial"/>
          <w:i/>
          <w:iCs/>
          <w:sz w:val="22"/>
          <w:szCs w:val="22"/>
          <w:lang w:val="en-ZA" w:eastAsia="en-ZA"/>
        </w:rPr>
        <w:t>of which payment of an amount owed by one person to another is deferred,</w:t>
      </w:r>
    </w:p>
    <w:p w14:paraId="3627266C" w14:textId="77777777" w:rsidR="00E46CE7" w:rsidRPr="00E46CE7" w:rsidRDefault="00E46CE7" w:rsidP="005837FF">
      <w:pPr>
        <w:autoSpaceDE w:val="0"/>
        <w:autoSpaceDN w:val="0"/>
        <w:adjustRightInd w:val="0"/>
        <w:ind w:left="720" w:firstLine="720"/>
        <w:rPr>
          <w:rFonts w:ascii="Arial" w:hAnsi="Arial" w:cs="Arial"/>
          <w:i/>
          <w:iCs/>
          <w:sz w:val="22"/>
          <w:szCs w:val="22"/>
          <w:lang w:val="en-ZA" w:eastAsia="en-ZA"/>
        </w:rPr>
      </w:pPr>
      <w:r w:rsidRPr="00E46CE7">
        <w:rPr>
          <w:rFonts w:ascii="Arial" w:hAnsi="Arial" w:cs="Arial"/>
          <w:i/>
          <w:iCs/>
          <w:sz w:val="22"/>
          <w:szCs w:val="22"/>
          <w:lang w:val="en-ZA" w:eastAsia="en-ZA"/>
        </w:rPr>
        <w:t>and any charge, fee or interest is payable to the credit provider in respect of-</w:t>
      </w:r>
    </w:p>
    <w:p w14:paraId="16F9BD4D" w14:textId="2DFF801C" w:rsidR="00E46CE7" w:rsidRPr="00E46CE7" w:rsidRDefault="00E46CE7" w:rsidP="005837FF">
      <w:pPr>
        <w:autoSpaceDE w:val="0"/>
        <w:autoSpaceDN w:val="0"/>
        <w:adjustRightInd w:val="0"/>
        <w:ind w:left="1440" w:firstLine="720"/>
        <w:rPr>
          <w:rFonts w:ascii="Arial" w:hAnsi="Arial" w:cs="Arial"/>
          <w:i/>
          <w:iCs/>
          <w:sz w:val="22"/>
          <w:szCs w:val="22"/>
          <w:lang w:val="en-ZA" w:eastAsia="en-ZA"/>
        </w:rPr>
      </w:pPr>
      <w:r w:rsidRPr="00E46CE7">
        <w:rPr>
          <w:rFonts w:ascii="Arial" w:hAnsi="Arial" w:cs="Arial"/>
          <w:i/>
          <w:iCs/>
          <w:sz w:val="22"/>
          <w:szCs w:val="22"/>
          <w:lang w:val="en-ZA" w:eastAsia="en-ZA"/>
        </w:rPr>
        <w:t xml:space="preserve">(i) the agreement; or </w:t>
      </w:r>
    </w:p>
    <w:p w14:paraId="002DF177" w14:textId="198A4454" w:rsidR="00A867DC" w:rsidRDefault="00E46CE7" w:rsidP="005837FF">
      <w:pPr>
        <w:spacing w:after="200"/>
        <w:ind w:left="1440" w:firstLine="720"/>
        <w:rPr>
          <w:rFonts w:ascii="Arial" w:eastAsia="Calibri" w:hAnsi="Arial" w:cs="Arial"/>
          <w:lang w:val="en-ZA"/>
        </w:rPr>
      </w:pPr>
      <w:r w:rsidRPr="00E46CE7">
        <w:rPr>
          <w:rFonts w:ascii="Arial" w:hAnsi="Arial" w:cs="Arial"/>
          <w:i/>
          <w:iCs/>
          <w:sz w:val="22"/>
          <w:szCs w:val="22"/>
          <w:lang w:val="en-ZA" w:eastAsia="en-ZA"/>
        </w:rPr>
        <w:t>(ii) the amount that has been deferred.</w:t>
      </w:r>
      <w:r>
        <w:rPr>
          <w:rFonts w:ascii="Arial" w:eastAsia="Calibri" w:hAnsi="Arial" w:cs="Arial"/>
          <w:lang w:val="en-ZA"/>
        </w:rPr>
        <w:t>”</w:t>
      </w:r>
    </w:p>
    <w:p w14:paraId="686BF705" w14:textId="77777777" w:rsidR="00706B96" w:rsidRDefault="00706B96" w:rsidP="005837FF">
      <w:pPr>
        <w:spacing w:after="200"/>
        <w:ind w:left="1440" w:firstLine="720"/>
        <w:rPr>
          <w:rFonts w:ascii="Arial" w:eastAsia="Calibri" w:hAnsi="Arial" w:cs="Arial"/>
          <w:lang w:val="en-ZA"/>
        </w:rPr>
      </w:pPr>
    </w:p>
    <w:p w14:paraId="33FE8421" w14:textId="256E0502" w:rsidR="00F5255D" w:rsidRDefault="00E46CE7" w:rsidP="005837FF">
      <w:pPr>
        <w:spacing w:after="200"/>
        <w:rPr>
          <w:rFonts w:ascii="Arial" w:hAnsi="Arial" w:cs="Arial"/>
          <w:lang w:val="en-ZA" w:eastAsia="en-ZA"/>
        </w:rPr>
      </w:pPr>
      <w:r>
        <w:rPr>
          <w:rFonts w:ascii="Arial" w:hAnsi="Arial" w:cs="Arial"/>
          <w:lang w:val="en-ZA" w:eastAsia="en-ZA"/>
        </w:rPr>
        <w:t>[</w:t>
      </w:r>
      <w:r w:rsidR="00706B96">
        <w:rPr>
          <w:rFonts w:ascii="Arial" w:hAnsi="Arial" w:cs="Arial"/>
          <w:lang w:val="en-ZA" w:eastAsia="en-ZA"/>
        </w:rPr>
        <w:t>3</w:t>
      </w:r>
      <w:r w:rsidR="009516EE">
        <w:rPr>
          <w:rFonts w:ascii="Arial" w:hAnsi="Arial" w:cs="Arial"/>
          <w:lang w:val="en-ZA" w:eastAsia="en-ZA"/>
        </w:rPr>
        <w:t>1</w:t>
      </w:r>
      <w:r>
        <w:rPr>
          <w:rFonts w:ascii="Arial" w:hAnsi="Arial" w:cs="Arial"/>
          <w:lang w:val="en-ZA" w:eastAsia="en-ZA"/>
        </w:rPr>
        <w:t>]</w:t>
      </w:r>
      <w:r>
        <w:rPr>
          <w:rFonts w:ascii="Arial" w:hAnsi="Arial" w:cs="Arial"/>
          <w:lang w:val="en-ZA" w:eastAsia="en-ZA"/>
        </w:rPr>
        <w:tab/>
        <w:t>Having regard to the abovementioned Section, it is my view that the deferment of payment of the amount of R30 000 000-00 [thirty million rand] as contained in ‘D1’ falls foul of the abovementioned Act and thus unlawful</w:t>
      </w:r>
      <w:r w:rsidR="002A01FC">
        <w:rPr>
          <w:rFonts w:ascii="Arial" w:hAnsi="Arial" w:cs="Arial"/>
          <w:lang w:val="en-ZA" w:eastAsia="en-ZA"/>
        </w:rPr>
        <w:t xml:space="preserve"> and unenforceable</w:t>
      </w:r>
      <w:r>
        <w:rPr>
          <w:rFonts w:ascii="Arial" w:hAnsi="Arial" w:cs="Arial"/>
          <w:lang w:val="en-ZA" w:eastAsia="en-ZA"/>
        </w:rPr>
        <w:t xml:space="preserve">. On this ground </w:t>
      </w:r>
      <w:r w:rsidR="00706B96">
        <w:rPr>
          <w:rFonts w:ascii="Arial" w:hAnsi="Arial" w:cs="Arial"/>
          <w:lang w:val="en-ZA" w:eastAsia="en-ZA"/>
        </w:rPr>
        <w:t>also</w:t>
      </w:r>
      <w:r>
        <w:rPr>
          <w:rFonts w:ascii="Arial" w:hAnsi="Arial" w:cs="Arial"/>
          <w:lang w:val="en-ZA" w:eastAsia="en-ZA"/>
        </w:rPr>
        <w:t xml:space="preserve">, the </w:t>
      </w:r>
      <w:r w:rsidR="00D1672F">
        <w:rPr>
          <w:rFonts w:ascii="Arial" w:hAnsi="Arial" w:cs="Arial"/>
          <w:lang w:val="en-ZA" w:eastAsia="en-ZA"/>
        </w:rPr>
        <w:t>Appellant</w:t>
      </w:r>
      <w:r>
        <w:rPr>
          <w:rFonts w:ascii="Arial" w:hAnsi="Arial" w:cs="Arial"/>
          <w:lang w:val="en-ZA" w:eastAsia="en-ZA"/>
        </w:rPr>
        <w:t>s</w:t>
      </w:r>
      <w:r w:rsidR="00D1672F">
        <w:rPr>
          <w:rFonts w:ascii="Arial" w:hAnsi="Arial" w:cs="Arial"/>
          <w:lang w:val="en-ZA" w:eastAsia="en-ZA"/>
        </w:rPr>
        <w:t>’</w:t>
      </w:r>
      <w:r>
        <w:rPr>
          <w:rFonts w:ascii="Arial" w:hAnsi="Arial" w:cs="Arial"/>
          <w:lang w:val="en-ZA" w:eastAsia="en-ZA"/>
        </w:rPr>
        <w:t xml:space="preserve"> claim must fai</w:t>
      </w:r>
      <w:r w:rsidR="00D1672F">
        <w:rPr>
          <w:rFonts w:ascii="Arial" w:hAnsi="Arial" w:cs="Arial"/>
          <w:lang w:val="en-ZA" w:eastAsia="en-ZA"/>
        </w:rPr>
        <w:t>l.</w:t>
      </w:r>
    </w:p>
    <w:p w14:paraId="66B6C66C" w14:textId="0CE7113A" w:rsidR="005837FF" w:rsidRDefault="005837FF" w:rsidP="005837FF">
      <w:pPr>
        <w:spacing w:after="200"/>
        <w:rPr>
          <w:rFonts w:ascii="Arial" w:hAnsi="Arial" w:cs="Arial"/>
          <w:lang w:val="en-ZA" w:eastAsia="en-ZA"/>
        </w:rPr>
      </w:pPr>
    </w:p>
    <w:p w14:paraId="178C9871" w14:textId="0906DDD4" w:rsidR="005837FF" w:rsidRPr="005837FF" w:rsidRDefault="005837FF" w:rsidP="005837FF">
      <w:pPr>
        <w:spacing w:after="200"/>
        <w:rPr>
          <w:rFonts w:ascii="Arial" w:hAnsi="Arial" w:cs="Arial"/>
          <w:b/>
          <w:bCs/>
          <w:lang w:val="en-ZA" w:eastAsia="en-ZA"/>
        </w:rPr>
      </w:pPr>
      <w:r>
        <w:rPr>
          <w:rFonts w:ascii="Arial" w:hAnsi="Arial" w:cs="Arial"/>
          <w:b/>
          <w:bCs/>
          <w:lang w:val="en-ZA" w:eastAsia="en-ZA"/>
        </w:rPr>
        <w:t>CONCLUSION</w:t>
      </w:r>
    </w:p>
    <w:p w14:paraId="79BBAEB8" w14:textId="302AC29B" w:rsidR="00F5255D" w:rsidRDefault="00F5255D" w:rsidP="005837FF">
      <w:pPr>
        <w:pStyle w:val="ColorfulList-Accent11"/>
        <w:spacing w:line="480" w:lineRule="auto"/>
        <w:ind w:left="0"/>
        <w:jc w:val="both"/>
      </w:pPr>
    </w:p>
    <w:p w14:paraId="73786E3A" w14:textId="3938B1ED" w:rsidR="00F5255D" w:rsidRDefault="00F5255D" w:rsidP="005837FF">
      <w:pPr>
        <w:pStyle w:val="ColorfulList-Accent11"/>
        <w:spacing w:line="480" w:lineRule="auto"/>
        <w:ind w:left="0"/>
        <w:jc w:val="both"/>
      </w:pPr>
      <w:r>
        <w:t>[</w:t>
      </w:r>
      <w:r w:rsidR="009516EE">
        <w:t>32</w:t>
      </w:r>
      <w:r>
        <w:t>]</w:t>
      </w:r>
      <w:r>
        <w:tab/>
        <w:t>In conclusion therefore, I am of the view, for the reasons stated above, that the appeal must fail and there is no reason to alter the norm that the party succeeding is entitled to their costs.</w:t>
      </w:r>
    </w:p>
    <w:p w14:paraId="7EEFF2DE" w14:textId="56451CCB" w:rsidR="00F5255D" w:rsidRDefault="00F5255D" w:rsidP="005837FF">
      <w:pPr>
        <w:pStyle w:val="ColorfulList-Accent11"/>
        <w:spacing w:line="480" w:lineRule="auto"/>
        <w:ind w:left="0"/>
        <w:jc w:val="both"/>
      </w:pPr>
    </w:p>
    <w:p w14:paraId="346E7230" w14:textId="6FCE0543" w:rsidR="00F5255D" w:rsidRDefault="00CC62D5" w:rsidP="005837FF">
      <w:pPr>
        <w:pStyle w:val="ColorfulList-Accent11"/>
        <w:spacing w:line="480" w:lineRule="auto"/>
        <w:ind w:left="0"/>
        <w:jc w:val="both"/>
      </w:pPr>
      <w:r>
        <w:rPr>
          <w:b/>
          <w:bCs/>
        </w:rPr>
        <w:t xml:space="preserve">In the result </w:t>
      </w:r>
      <w:r w:rsidR="0077147D">
        <w:t xml:space="preserve">I propose </w:t>
      </w:r>
      <w:r>
        <w:t xml:space="preserve">the following </w:t>
      </w:r>
      <w:r w:rsidR="0077147D">
        <w:t>order.</w:t>
      </w:r>
    </w:p>
    <w:p w14:paraId="71F10773" w14:textId="46B7B4B2" w:rsidR="00CC62D5" w:rsidRDefault="00CC62D5" w:rsidP="005837FF">
      <w:pPr>
        <w:pStyle w:val="ColorfulList-Accent11"/>
        <w:spacing w:line="480" w:lineRule="auto"/>
        <w:ind w:left="0"/>
        <w:jc w:val="both"/>
      </w:pPr>
    </w:p>
    <w:p w14:paraId="109BFC7D" w14:textId="52A8F5B4" w:rsidR="00CC62D5" w:rsidRDefault="00CC62D5" w:rsidP="005837FF">
      <w:pPr>
        <w:pStyle w:val="ColorfulList-Accent11"/>
        <w:spacing w:line="480" w:lineRule="auto"/>
        <w:ind w:left="0"/>
        <w:jc w:val="both"/>
      </w:pPr>
      <w:r>
        <w:tab/>
        <w:t>a).</w:t>
      </w:r>
      <w:r>
        <w:tab/>
        <w:t>The Appeal is dismissed</w:t>
      </w:r>
      <w:r w:rsidR="0077147D">
        <w:t>.</w:t>
      </w:r>
    </w:p>
    <w:p w14:paraId="6A87D3B2" w14:textId="132BDED1" w:rsidR="00CC62D5" w:rsidRPr="00CC62D5" w:rsidRDefault="00CC62D5" w:rsidP="005837FF">
      <w:pPr>
        <w:pStyle w:val="ColorfulList-Accent11"/>
        <w:spacing w:line="480" w:lineRule="auto"/>
        <w:ind w:hanging="720"/>
        <w:jc w:val="both"/>
      </w:pPr>
      <w:r>
        <w:lastRenderedPageBreak/>
        <w:tab/>
        <w:t>b).</w:t>
      </w:r>
      <w:r>
        <w:tab/>
        <w:t>The Appellants to pay the costs of the Appeal which costs shall include the costs of two Counsel where employed, the one paying the other to be absolved.</w:t>
      </w:r>
    </w:p>
    <w:p w14:paraId="780AB619" w14:textId="77777777" w:rsidR="00F5255D" w:rsidRDefault="00F5255D" w:rsidP="00F5255D">
      <w:pPr>
        <w:pStyle w:val="ColorfulList-Accent11"/>
        <w:spacing w:line="360" w:lineRule="auto"/>
        <w:ind w:left="0"/>
        <w:jc w:val="both"/>
      </w:pPr>
    </w:p>
    <w:p w14:paraId="787F9801" w14:textId="717D9747" w:rsidR="00665788" w:rsidRPr="00B02228" w:rsidRDefault="00665788" w:rsidP="00B02228">
      <w:pPr>
        <w:spacing w:after="200"/>
        <w:rPr>
          <w:rFonts w:ascii="Arial" w:eastAsia="Calibri" w:hAnsi="Arial" w:cs="Arial"/>
          <w:b/>
          <w:bCs/>
          <w:lang w:val="en-ZA"/>
        </w:rPr>
      </w:pPr>
    </w:p>
    <w:p w14:paraId="241C4197" w14:textId="7EFF13E7" w:rsidR="004417F7" w:rsidRPr="00FC2384" w:rsidRDefault="00665788" w:rsidP="00665788">
      <w:pPr>
        <w:pStyle w:val="ListParagraph"/>
        <w:spacing w:after="200"/>
        <w:ind w:left="0"/>
        <w:contextualSpacing/>
        <w:jc w:val="right"/>
        <w:rPr>
          <w:rFonts w:ascii="Vivaldi" w:hAnsi="Vivaldi" w:cs="Arial"/>
          <w:b/>
        </w:rPr>
      </w:pPr>
      <w:r>
        <w:rPr>
          <w:rFonts w:ascii="Vivaldi" w:hAnsi="Vivaldi" w:cs="Arial"/>
          <w:b/>
        </w:rPr>
        <w:t>G ALLY</w:t>
      </w:r>
      <w:r w:rsidRPr="00FC2384">
        <w:rPr>
          <w:rFonts w:ascii="Vivaldi" w:hAnsi="Vivaldi" w:cs="Arial"/>
          <w:b/>
        </w:rPr>
        <w:t xml:space="preserve"> </w:t>
      </w:r>
      <w:r w:rsidR="004417F7" w:rsidRPr="00FC2384">
        <w:rPr>
          <w:rFonts w:ascii="Vivaldi" w:hAnsi="Vivaldi" w:cs="Arial"/>
          <w:b/>
        </w:rPr>
        <w:t xml:space="preserve"> </w:t>
      </w:r>
    </w:p>
    <w:p w14:paraId="6B0D05EF" w14:textId="77777777" w:rsidR="00AB16B4" w:rsidRPr="00C71BA3" w:rsidRDefault="00DC1551" w:rsidP="00AB16B4">
      <w:pPr>
        <w:pStyle w:val="ListParagraph"/>
        <w:spacing w:after="200"/>
        <w:ind w:left="0"/>
        <w:contextualSpacing/>
        <w:jc w:val="right"/>
        <w:rPr>
          <w:rFonts w:ascii="Arial" w:hAnsi="Arial" w:cs="Arial"/>
          <w:b/>
        </w:rPr>
      </w:pPr>
      <w:r>
        <w:rPr>
          <w:rFonts w:ascii="Arial" w:hAnsi="Arial" w:cs="Arial"/>
          <w:b/>
        </w:rPr>
        <w:t xml:space="preserve">ACTING </w:t>
      </w:r>
      <w:r w:rsidR="00AB16B4" w:rsidRPr="00C71BA3">
        <w:rPr>
          <w:rFonts w:ascii="Arial" w:hAnsi="Arial" w:cs="Arial"/>
          <w:b/>
        </w:rPr>
        <w:t>JUDGE OF THE HIGH COURT</w:t>
      </w:r>
    </w:p>
    <w:p w14:paraId="6DA997FC" w14:textId="09C470E8" w:rsidR="00AB16B4" w:rsidRDefault="00AB16B4" w:rsidP="00AB16B4">
      <w:pPr>
        <w:pStyle w:val="ListParagraph"/>
        <w:spacing w:after="200"/>
        <w:ind w:left="0"/>
        <w:contextualSpacing/>
        <w:jc w:val="right"/>
        <w:rPr>
          <w:rFonts w:ascii="Arial" w:hAnsi="Arial" w:cs="Arial"/>
          <w:b/>
        </w:rPr>
      </w:pPr>
      <w:r w:rsidRPr="00C71BA3">
        <w:rPr>
          <w:rFonts w:ascii="Arial" w:hAnsi="Arial" w:cs="Arial"/>
          <w:b/>
        </w:rPr>
        <w:t xml:space="preserve">GAUTENG DIVISION OF THE HIGH COURT, </w:t>
      </w:r>
      <w:r w:rsidR="00F5255D">
        <w:rPr>
          <w:rFonts w:ascii="Arial" w:hAnsi="Arial" w:cs="Arial"/>
          <w:b/>
        </w:rPr>
        <w:t>PRETORIA</w:t>
      </w:r>
    </w:p>
    <w:p w14:paraId="502C194C" w14:textId="46D3481C" w:rsidR="00CC62D5" w:rsidRDefault="00CC62D5" w:rsidP="00AB16B4">
      <w:pPr>
        <w:pStyle w:val="ListParagraph"/>
        <w:spacing w:after="200"/>
        <w:ind w:left="0"/>
        <w:contextualSpacing/>
        <w:jc w:val="right"/>
        <w:rPr>
          <w:rFonts w:ascii="Arial" w:hAnsi="Arial" w:cs="Arial"/>
          <w:b/>
        </w:rPr>
      </w:pPr>
    </w:p>
    <w:p w14:paraId="12234464" w14:textId="77777777" w:rsidR="00CC62D5" w:rsidRDefault="00CC62D5" w:rsidP="00AB16B4">
      <w:pPr>
        <w:pStyle w:val="ListParagraph"/>
        <w:spacing w:after="200"/>
        <w:ind w:left="0"/>
        <w:contextualSpacing/>
        <w:jc w:val="right"/>
        <w:rPr>
          <w:rFonts w:ascii="Vivaldi" w:hAnsi="Vivaldi" w:cs="Arial"/>
          <w:b/>
        </w:rPr>
      </w:pPr>
    </w:p>
    <w:p w14:paraId="13B100A8" w14:textId="77777777" w:rsidR="00CC62D5" w:rsidRDefault="00CC62D5" w:rsidP="00AB16B4">
      <w:pPr>
        <w:pStyle w:val="ListParagraph"/>
        <w:spacing w:after="200"/>
        <w:ind w:left="0"/>
        <w:contextualSpacing/>
        <w:jc w:val="right"/>
        <w:rPr>
          <w:rFonts w:ascii="Vivaldi" w:hAnsi="Vivaldi" w:cs="Arial"/>
          <w:b/>
        </w:rPr>
      </w:pPr>
    </w:p>
    <w:p w14:paraId="3BD0993E" w14:textId="6CA5CD28" w:rsidR="00CC62D5" w:rsidRPr="00B96374" w:rsidRDefault="00B96374" w:rsidP="0077147D">
      <w:pPr>
        <w:pStyle w:val="ListParagraph"/>
        <w:spacing w:after="200"/>
        <w:ind w:left="0"/>
        <w:contextualSpacing/>
        <w:rPr>
          <w:rFonts w:ascii="Arial" w:hAnsi="Arial" w:cs="Arial"/>
          <w:b/>
        </w:rPr>
      </w:pPr>
      <w:r w:rsidRPr="00B96374">
        <w:rPr>
          <w:rFonts w:ascii="Arial" w:hAnsi="Arial" w:cs="Arial"/>
          <w:b/>
        </w:rPr>
        <w:t>I agree.</w:t>
      </w:r>
    </w:p>
    <w:p w14:paraId="23A8FF23" w14:textId="2550AC6C" w:rsidR="00CC62D5" w:rsidRDefault="00CC62D5" w:rsidP="00AB16B4">
      <w:pPr>
        <w:pStyle w:val="ListParagraph"/>
        <w:spacing w:after="200"/>
        <w:ind w:left="0"/>
        <w:contextualSpacing/>
        <w:jc w:val="right"/>
        <w:rPr>
          <w:rFonts w:ascii="Arial" w:hAnsi="Arial" w:cs="Arial"/>
          <w:b/>
        </w:rPr>
      </w:pPr>
    </w:p>
    <w:p w14:paraId="22F36262" w14:textId="5FEE96EC" w:rsidR="00CC62D5" w:rsidRDefault="00A74710" w:rsidP="00AB16B4">
      <w:pPr>
        <w:pStyle w:val="ListParagraph"/>
        <w:spacing w:after="200"/>
        <w:ind w:left="0"/>
        <w:contextualSpacing/>
        <w:jc w:val="right"/>
        <w:rPr>
          <w:rFonts w:ascii="Vivaldi" w:hAnsi="Vivaldi" w:cs="Arial"/>
          <w:b/>
        </w:rPr>
      </w:pPr>
      <w:r>
        <w:rPr>
          <w:rFonts w:ascii="Vivaldi" w:hAnsi="Vivaldi" w:cs="Arial"/>
          <w:b/>
        </w:rPr>
        <w:t>T BOKAKO</w:t>
      </w:r>
    </w:p>
    <w:p w14:paraId="0E63471B" w14:textId="3F081346" w:rsidR="00A74710" w:rsidRDefault="00A74710" w:rsidP="00811F28">
      <w:pPr>
        <w:pStyle w:val="ListParagraph"/>
        <w:spacing w:after="200"/>
        <w:ind w:left="0"/>
        <w:contextualSpacing/>
        <w:jc w:val="right"/>
        <w:rPr>
          <w:rFonts w:ascii="Arial" w:hAnsi="Arial" w:cs="Arial"/>
          <w:b/>
        </w:rPr>
      </w:pPr>
      <w:r>
        <w:rPr>
          <w:rFonts w:ascii="Arial" w:hAnsi="Arial" w:cs="Arial"/>
          <w:b/>
        </w:rPr>
        <w:t>ACTING JUDGE OF THE HIGH COURT</w:t>
      </w:r>
    </w:p>
    <w:p w14:paraId="0CA0704B" w14:textId="2FBC738A" w:rsidR="00A74710" w:rsidRDefault="00A74710" w:rsidP="00AB16B4">
      <w:pPr>
        <w:pStyle w:val="ListParagraph"/>
        <w:spacing w:after="200"/>
        <w:ind w:left="0"/>
        <w:contextualSpacing/>
        <w:jc w:val="right"/>
        <w:rPr>
          <w:rFonts w:ascii="Arial" w:hAnsi="Arial" w:cs="Arial"/>
          <w:b/>
        </w:rPr>
      </w:pPr>
      <w:r>
        <w:rPr>
          <w:rFonts w:ascii="Arial" w:hAnsi="Arial" w:cs="Arial"/>
          <w:b/>
        </w:rPr>
        <w:t>GAUTENG DIVISION OF THE HIGH COURT, PRETORIA</w:t>
      </w:r>
    </w:p>
    <w:p w14:paraId="6BA94049" w14:textId="5714117A" w:rsidR="00B96374" w:rsidRDefault="00B96374" w:rsidP="00AB16B4">
      <w:pPr>
        <w:pStyle w:val="ListParagraph"/>
        <w:spacing w:after="200"/>
        <w:ind w:left="0"/>
        <w:contextualSpacing/>
        <w:jc w:val="right"/>
        <w:rPr>
          <w:rFonts w:ascii="Arial" w:hAnsi="Arial" w:cs="Arial"/>
          <w:b/>
        </w:rPr>
      </w:pPr>
    </w:p>
    <w:p w14:paraId="37EF50F5" w14:textId="7301A676" w:rsidR="00B96374" w:rsidRDefault="00B96374" w:rsidP="00AB16B4">
      <w:pPr>
        <w:pStyle w:val="ListParagraph"/>
        <w:spacing w:after="200"/>
        <w:ind w:left="0"/>
        <w:contextualSpacing/>
        <w:jc w:val="right"/>
        <w:rPr>
          <w:rFonts w:ascii="Arial" w:hAnsi="Arial" w:cs="Arial"/>
          <w:b/>
        </w:rPr>
      </w:pPr>
    </w:p>
    <w:p w14:paraId="215BE671" w14:textId="5DA45457" w:rsidR="00B96374" w:rsidRDefault="00B96374" w:rsidP="00AB16B4">
      <w:pPr>
        <w:pStyle w:val="ListParagraph"/>
        <w:spacing w:after="200"/>
        <w:ind w:left="0"/>
        <w:contextualSpacing/>
        <w:jc w:val="right"/>
        <w:rPr>
          <w:rFonts w:ascii="Arial" w:hAnsi="Arial" w:cs="Arial"/>
          <w:b/>
        </w:rPr>
      </w:pPr>
    </w:p>
    <w:p w14:paraId="04447EE7" w14:textId="60280CB9" w:rsidR="00B96374" w:rsidRPr="00A74710" w:rsidRDefault="00B96374" w:rsidP="00B96374">
      <w:pPr>
        <w:pStyle w:val="ListParagraph"/>
        <w:spacing w:after="200"/>
        <w:ind w:left="0"/>
        <w:contextualSpacing/>
        <w:rPr>
          <w:rFonts w:ascii="Arial" w:hAnsi="Arial" w:cs="Arial"/>
          <w:b/>
        </w:rPr>
      </w:pPr>
      <w:r>
        <w:rPr>
          <w:rFonts w:ascii="Arial" w:hAnsi="Arial" w:cs="Arial"/>
          <w:b/>
        </w:rPr>
        <w:t>I agree and it is so ordered.</w:t>
      </w:r>
    </w:p>
    <w:p w14:paraId="58D71082" w14:textId="77777777" w:rsidR="00FF2527" w:rsidRDefault="00FF2527" w:rsidP="004B0905">
      <w:pPr>
        <w:pStyle w:val="Default"/>
      </w:pPr>
    </w:p>
    <w:p w14:paraId="16E14F1B" w14:textId="77777777" w:rsidR="00B96374" w:rsidRDefault="00B96374" w:rsidP="00B96374">
      <w:pPr>
        <w:pStyle w:val="ListParagraph"/>
        <w:spacing w:after="200"/>
        <w:ind w:left="0"/>
        <w:contextualSpacing/>
        <w:jc w:val="right"/>
        <w:rPr>
          <w:rFonts w:ascii="Vivaldi" w:hAnsi="Vivaldi" w:cs="Arial"/>
          <w:b/>
        </w:rPr>
      </w:pPr>
      <w:r>
        <w:rPr>
          <w:rFonts w:ascii="Vivaldi" w:hAnsi="Vivaldi" w:cs="Arial"/>
          <w:b/>
        </w:rPr>
        <w:t>N  JANSE VAN NIEUWENHUISEN</w:t>
      </w:r>
    </w:p>
    <w:p w14:paraId="5CA47594" w14:textId="77777777" w:rsidR="00B96374" w:rsidRDefault="00B96374" w:rsidP="00B96374">
      <w:pPr>
        <w:pStyle w:val="ListParagraph"/>
        <w:spacing w:after="200"/>
        <w:ind w:left="0"/>
        <w:contextualSpacing/>
        <w:jc w:val="right"/>
        <w:rPr>
          <w:rFonts w:ascii="Arial" w:hAnsi="Arial" w:cs="Arial"/>
          <w:b/>
        </w:rPr>
      </w:pPr>
      <w:r>
        <w:rPr>
          <w:rFonts w:ascii="Arial" w:hAnsi="Arial" w:cs="Arial"/>
          <w:b/>
        </w:rPr>
        <w:t>JUDGE OF THE HIGH COURT</w:t>
      </w:r>
    </w:p>
    <w:p w14:paraId="7E395E1F" w14:textId="2ED53D6F" w:rsidR="00B96374" w:rsidRPr="00811F28" w:rsidRDefault="00B96374" w:rsidP="00811F28">
      <w:pPr>
        <w:pStyle w:val="ListParagraph"/>
        <w:spacing w:after="200"/>
        <w:ind w:left="0"/>
        <w:contextualSpacing/>
        <w:jc w:val="right"/>
        <w:rPr>
          <w:rFonts w:ascii="Arial" w:hAnsi="Arial" w:cs="Arial"/>
          <w:b/>
        </w:rPr>
      </w:pPr>
      <w:r>
        <w:rPr>
          <w:rFonts w:ascii="Arial" w:hAnsi="Arial" w:cs="Arial"/>
          <w:b/>
        </w:rPr>
        <w:t>GAUTENG DIVISION OF THE HIGH COURT, PRETORIA</w:t>
      </w:r>
    </w:p>
    <w:p w14:paraId="282E321E" w14:textId="77777777" w:rsidR="00B96374" w:rsidRDefault="00B96374" w:rsidP="004B0905">
      <w:pPr>
        <w:pStyle w:val="Default"/>
      </w:pPr>
    </w:p>
    <w:p w14:paraId="4DA12059" w14:textId="79DCD6ED" w:rsidR="0014506E" w:rsidRPr="00C71BA3" w:rsidRDefault="0014506E" w:rsidP="004B0905">
      <w:pPr>
        <w:pStyle w:val="Default"/>
      </w:pPr>
      <w:r w:rsidRPr="00C71BA3">
        <w:t xml:space="preserve">Date of </w:t>
      </w:r>
      <w:r w:rsidR="00287A07">
        <w:t xml:space="preserve">virtual </w:t>
      </w:r>
      <w:r w:rsidRPr="00C71BA3">
        <w:t xml:space="preserve">hearing: </w:t>
      </w:r>
      <w:r w:rsidR="00A74710">
        <w:t>7</w:t>
      </w:r>
      <w:r w:rsidR="00460767">
        <w:t xml:space="preserve"> </w:t>
      </w:r>
      <w:r w:rsidR="00A74710">
        <w:t>September</w:t>
      </w:r>
      <w:r w:rsidR="00287A07">
        <w:t xml:space="preserve"> 2022</w:t>
      </w:r>
    </w:p>
    <w:p w14:paraId="3962CE00" w14:textId="6EA114F4" w:rsidR="0014506E" w:rsidRPr="00C71BA3" w:rsidRDefault="0014506E" w:rsidP="004B0905">
      <w:pPr>
        <w:pStyle w:val="ListParagraph"/>
        <w:spacing w:after="200"/>
        <w:ind w:left="0"/>
        <w:contextualSpacing/>
        <w:rPr>
          <w:rFonts w:ascii="Arial" w:hAnsi="Arial" w:cs="Arial"/>
        </w:rPr>
      </w:pPr>
      <w:r w:rsidRPr="00C71BA3">
        <w:rPr>
          <w:rFonts w:ascii="Arial" w:hAnsi="Arial" w:cs="Arial"/>
        </w:rPr>
        <w:t>Date of judgment:</w:t>
      </w:r>
      <w:r w:rsidR="002A01FC">
        <w:rPr>
          <w:rFonts w:ascii="Arial" w:hAnsi="Arial" w:cs="Arial"/>
        </w:rPr>
        <w:t xml:space="preserve"> </w:t>
      </w:r>
      <w:r w:rsidR="002F2BCB">
        <w:rPr>
          <w:rFonts w:ascii="Arial" w:hAnsi="Arial" w:cs="Arial"/>
        </w:rPr>
        <w:t>07 November</w:t>
      </w:r>
      <w:r w:rsidR="002A01FC">
        <w:rPr>
          <w:rFonts w:ascii="Arial" w:hAnsi="Arial" w:cs="Arial"/>
        </w:rPr>
        <w:t xml:space="preserve"> 2022</w:t>
      </w:r>
      <w:r w:rsidRPr="00C71BA3">
        <w:rPr>
          <w:rFonts w:ascii="Arial" w:hAnsi="Arial" w:cs="Arial"/>
        </w:rPr>
        <w:t xml:space="preserve"> </w:t>
      </w:r>
    </w:p>
    <w:p w14:paraId="1E859D69" w14:textId="77777777" w:rsidR="00C71BA3" w:rsidRDefault="00C71BA3" w:rsidP="004B0905">
      <w:pPr>
        <w:pStyle w:val="Default"/>
        <w:rPr>
          <w:b/>
          <w:bCs/>
        </w:rPr>
      </w:pPr>
    </w:p>
    <w:p w14:paraId="06F47C98" w14:textId="77777777" w:rsidR="0080370D" w:rsidRPr="00C71BA3" w:rsidRDefault="0080370D" w:rsidP="004B0905">
      <w:pPr>
        <w:pStyle w:val="Default"/>
      </w:pPr>
      <w:r w:rsidRPr="00C71BA3">
        <w:rPr>
          <w:b/>
          <w:bCs/>
        </w:rPr>
        <w:t xml:space="preserve">Appearances: </w:t>
      </w:r>
    </w:p>
    <w:p w14:paraId="6C5C9694" w14:textId="77777777" w:rsidR="00551231" w:rsidRPr="00C71BA3" w:rsidRDefault="00551231" w:rsidP="004B0905">
      <w:pPr>
        <w:pStyle w:val="Default"/>
      </w:pPr>
    </w:p>
    <w:p w14:paraId="370990EB" w14:textId="3A2B446F" w:rsidR="008C369D" w:rsidRPr="007863A9" w:rsidRDefault="00C71BA3" w:rsidP="004B0905">
      <w:pPr>
        <w:pStyle w:val="Default"/>
        <w:rPr>
          <w:b/>
        </w:rPr>
      </w:pPr>
      <w:r>
        <w:t>Attorneys for the App</w:t>
      </w:r>
      <w:r w:rsidR="00A74710">
        <w:t>ellants</w:t>
      </w:r>
      <w:r w:rsidR="007863A9">
        <w:t>:</w:t>
      </w:r>
      <w:r w:rsidR="007863A9">
        <w:tab/>
      </w:r>
      <w:r w:rsidR="00A74710">
        <w:rPr>
          <w:b/>
        </w:rPr>
        <w:t>JACO ROOS ATTORNEYS INCORPORATED</w:t>
      </w:r>
    </w:p>
    <w:p w14:paraId="0509699B" w14:textId="2C85BC6C" w:rsidR="007863A9" w:rsidRDefault="007863A9" w:rsidP="004B0905">
      <w:pPr>
        <w:pStyle w:val="Default"/>
      </w:pPr>
      <w:r>
        <w:tab/>
      </w:r>
      <w:r>
        <w:tab/>
      </w:r>
      <w:r>
        <w:tab/>
      </w:r>
      <w:r>
        <w:tab/>
      </w:r>
      <w:r>
        <w:tab/>
      </w:r>
      <w:hyperlink r:id="rId9" w:history="1">
        <w:r w:rsidR="00A74710" w:rsidRPr="004A0549">
          <w:rPr>
            <w:rStyle w:val="Hyperlink"/>
          </w:rPr>
          <w:t>jana@jacoroos.co.za</w:t>
        </w:r>
      </w:hyperlink>
    </w:p>
    <w:p w14:paraId="2F06F295" w14:textId="77777777" w:rsidR="00A74710" w:rsidRDefault="00A74710" w:rsidP="004B0905">
      <w:pPr>
        <w:pStyle w:val="Default"/>
      </w:pPr>
    </w:p>
    <w:p w14:paraId="7F319E0F" w14:textId="07FC626A" w:rsidR="002A01FC" w:rsidRDefault="00C71BA3" w:rsidP="004B0905">
      <w:pPr>
        <w:pStyle w:val="Default"/>
        <w:rPr>
          <w:b/>
        </w:rPr>
      </w:pPr>
      <w:r>
        <w:t>Counsel for the App</w:t>
      </w:r>
      <w:r w:rsidR="00A74710">
        <w:t>ellants</w:t>
      </w:r>
      <w:r>
        <w:t xml:space="preserve">:  </w:t>
      </w:r>
      <w:r w:rsidR="007863A9">
        <w:tab/>
      </w:r>
      <w:r w:rsidR="00AB1F4A">
        <w:rPr>
          <w:b/>
        </w:rPr>
        <w:t xml:space="preserve">Adv. </w:t>
      </w:r>
      <w:r w:rsidR="002A01FC">
        <w:rPr>
          <w:b/>
        </w:rPr>
        <w:t xml:space="preserve">A.B. </w:t>
      </w:r>
      <w:r w:rsidR="00A74710">
        <w:rPr>
          <w:b/>
        </w:rPr>
        <w:t>Rossouw SC</w:t>
      </w:r>
      <w:r w:rsidR="002A01FC">
        <w:rPr>
          <w:b/>
        </w:rPr>
        <w:t xml:space="preserve"> </w:t>
      </w:r>
    </w:p>
    <w:p w14:paraId="552517CE" w14:textId="31C7A171" w:rsidR="00C71BA3" w:rsidRPr="007863A9" w:rsidRDefault="002A01FC" w:rsidP="004B0905">
      <w:pPr>
        <w:pStyle w:val="Default"/>
        <w:rPr>
          <w:b/>
        </w:rPr>
      </w:pPr>
      <w:r>
        <w:rPr>
          <w:b/>
        </w:rPr>
        <w:tab/>
      </w:r>
      <w:r>
        <w:rPr>
          <w:b/>
        </w:rPr>
        <w:tab/>
      </w:r>
      <w:r>
        <w:rPr>
          <w:b/>
        </w:rPr>
        <w:tab/>
      </w:r>
      <w:r>
        <w:rPr>
          <w:b/>
        </w:rPr>
        <w:tab/>
      </w:r>
      <w:r>
        <w:rPr>
          <w:b/>
        </w:rPr>
        <w:tab/>
        <w:t>[with him Adv. J.H.A. Saunders]</w:t>
      </w:r>
      <w:r w:rsidR="00A74710">
        <w:rPr>
          <w:b/>
        </w:rPr>
        <w:t xml:space="preserve"> </w:t>
      </w:r>
    </w:p>
    <w:p w14:paraId="0B0F1208" w14:textId="77777777" w:rsidR="008C369D" w:rsidRPr="00C71BA3" w:rsidRDefault="008C369D" w:rsidP="004B0905">
      <w:pPr>
        <w:pStyle w:val="Default"/>
      </w:pPr>
    </w:p>
    <w:p w14:paraId="5C33685D" w14:textId="56F24D03" w:rsidR="00671F90" w:rsidRDefault="00AB1F4A" w:rsidP="007863A9">
      <w:pPr>
        <w:pStyle w:val="Default"/>
        <w:rPr>
          <w:b/>
        </w:rPr>
      </w:pPr>
      <w:r>
        <w:t>Attorneys for the</w:t>
      </w:r>
      <w:r w:rsidR="0083204B">
        <w:t xml:space="preserve"> Respondent:</w:t>
      </w:r>
      <w:r w:rsidR="0083204B">
        <w:tab/>
      </w:r>
      <w:r w:rsidR="00A74710">
        <w:rPr>
          <w:b/>
        </w:rPr>
        <w:t>SAVAGE JOOSTE &amp; ADAMS INCORPORATED</w:t>
      </w:r>
    </w:p>
    <w:p w14:paraId="3B379F1D" w14:textId="22A27688" w:rsidR="0083204B" w:rsidRDefault="0083204B" w:rsidP="007863A9">
      <w:pPr>
        <w:pStyle w:val="Default"/>
      </w:pPr>
      <w:r>
        <w:rPr>
          <w:b/>
        </w:rPr>
        <w:tab/>
      </w:r>
      <w:r>
        <w:rPr>
          <w:b/>
        </w:rPr>
        <w:tab/>
      </w:r>
      <w:r>
        <w:rPr>
          <w:b/>
        </w:rPr>
        <w:tab/>
      </w:r>
      <w:r>
        <w:rPr>
          <w:b/>
        </w:rPr>
        <w:tab/>
      </w:r>
      <w:r>
        <w:rPr>
          <w:b/>
        </w:rPr>
        <w:tab/>
      </w:r>
      <w:hyperlink r:id="rId10" w:history="1">
        <w:r w:rsidR="00A74710" w:rsidRPr="004A0549">
          <w:rPr>
            <w:rStyle w:val="Hyperlink"/>
          </w:rPr>
          <w:t>jonathanh@savage.co.za</w:t>
        </w:r>
      </w:hyperlink>
      <w:r w:rsidR="006E2DF1">
        <w:t xml:space="preserve"> </w:t>
      </w:r>
    </w:p>
    <w:p w14:paraId="5FDFE184" w14:textId="170048CA" w:rsidR="0083204B" w:rsidRPr="0083204B" w:rsidRDefault="006E2DF1" w:rsidP="007863A9">
      <w:pPr>
        <w:pStyle w:val="Default"/>
        <w:rPr>
          <w:b/>
        </w:rPr>
      </w:pPr>
      <w:r>
        <w:t>Counsel for the</w:t>
      </w:r>
      <w:r w:rsidR="0083204B">
        <w:t xml:space="preserve"> Respondent:</w:t>
      </w:r>
      <w:r w:rsidR="0083204B">
        <w:tab/>
      </w:r>
      <w:r w:rsidR="0083204B">
        <w:rPr>
          <w:b/>
        </w:rPr>
        <w:t xml:space="preserve">Adv. </w:t>
      </w:r>
      <w:r w:rsidR="00890265">
        <w:rPr>
          <w:b/>
        </w:rPr>
        <w:t>J.D. Maritz SC</w:t>
      </w:r>
    </w:p>
    <w:sectPr w:rsidR="0083204B" w:rsidRPr="0083204B" w:rsidSect="002F56D1">
      <w:headerReference w:type="even" r:id="rId11"/>
      <w:headerReference w:type="default" r:id="rId12"/>
      <w:footerReference w:type="even" r:id="rId13"/>
      <w:footerReference w:type="default" r:id="rId14"/>
      <w:headerReference w:type="first" r:id="rId15"/>
      <w:footerReference w:type="first" r:id="rId16"/>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62151" w14:textId="77777777" w:rsidR="007F6758" w:rsidRDefault="007F6758">
      <w:r>
        <w:separator/>
      </w:r>
    </w:p>
  </w:endnote>
  <w:endnote w:type="continuationSeparator" w:id="0">
    <w:p w14:paraId="1486761E" w14:textId="77777777" w:rsidR="007F6758" w:rsidRDefault="007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DB36" w14:textId="77777777" w:rsidR="00890265" w:rsidRDefault="00890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BA849" w14:textId="77777777" w:rsidR="00890265" w:rsidRDefault="008902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5BB9" w14:textId="77777777" w:rsidR="00890265" w:rsidRDefault="00890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B852F" w14:textId="77777777" w:rsidR="007F6758" w:rsidRDefault="007F6758">
      <w:r>
        <w:separator/>
      </w:r>
    </w:p>
  </w:footnote>
  <w:footnote w:type="continuationSeparator" w:id="0">
    <w:p w14:paraId="2F074A13" w14:textId="77777777" w:rsidR="007F6758" w:rsidRDefault="007F6758">
      <w:r>
        <w:continuationSeparator/>
      </w:r>
    </w:p>
  </w:footnote>
  <w:footnote w:id="1">
    <w:p w14:paraId="070A7987" w14:textId="77777777" w:rsidR="007F31CF" w:rsidRPr="0071267D" w:rsidRDefault="007F31CF" w:rsidP="007F31CF">
      <w:pPr>
        <w:pStyle w:val="FootnoteText"/>
        <w:rPr>
          <w:rFonts w:ascii="Arial" w:hAnsi="Arial" w:cs="Arial"/>
        </w:rPr>
      </w:pPr>
      <w:r w:rsidRPr="0071267D">
        <w:rPr>
          <w:rStyle w:val="FootnoteReference"/>
          <w:rFonts w:ascii="Arial" w:hAnsi="Arial" w:cs="Arial"/>
        </w:rPr>
        <w:footnoteRef/>
      </w:r>
      <w:r w:rsidRPr="0071267D">
        <w:rPr>
          <w:rFonts w:ascii="Arial" w:hAnsi="Arial" w:cs="Arial"/>
        </w:rPr>
        <w:t xml:space="preserve"> </w:t>
      </w:r>
      <w:r>
        <w:rPr>
          <w:rFonts w:ascii="Arial" w:hAnsi="Arial" w:cs="Arial"/>
        </w:rPr>
        <w:t>2019 (5) SA 117 (SCA)</w:t>
      </w:r>
    </w:p>
  </w:footnote>
  <w:footnote w:id="2">
    <w:p w14:paraId="4F777346" w14:textId="72BFA738" w:rsidR="00A8173F" w:rsidRPr="00A8173F" w:rsidRDefault="00A8173F">
      <w:pPr>
        <w:pStyle w:val="FootnoteText"/>
        <w:rPr>
          <w:rFonts w:ascii="Arial" w:hAnsi="Arial" w:cs="Arial"/>
        </w:rPr>
      </w:pPr>
      <w:r w:rsidRPr="00A8173F">
        <w:rPr>
          <w:rStyle w:val="FootnoteReference"/>
          <w:rFonts w:ascii="Arial" w:hAnsi="Arial" w:cs="Arial"/>
        </w:rPr>
        <w:footnoteRef/>
      </w:r>
      <w:r w:rsidRPr="00A8173F">
        <w:rPr>
          <w:rFonts w:ascii="Arial" w:hAnsi="Arial" w:cs="Arial"/>
        </w:rPr>
        <w:t xml:space="preserve"> </w:t>
      </w:r>
      <w:r>
        <w:rPr>
          <w:rFonts w:ascii="Arial" w:hAnsi="Arial" w:cs="Arial"/>
        </w:rPr>
        <w:t>supra</w:t>
      </w:r>
    </w:p>
  </w:footnote>
  <w:footnote w:id="3">
    <w:p w14:paraId="37E4E2B2" w14:textId="77777777" w:rsidR="007F31CF" w:rsidRPr="00437B38" w:rsidRDefault="007F31CF" w:rsidP="007F31CF">
      <w:pPr>
        <w:pStyle w:val="FootnoteText"/>
        <w:rPr>
          <w:rFonts w:ascii="Arial" w:hAnsi="Arial" w:cs="Arial"/>
        </w:rPr>
      </w:pPr>
      <w:r w:rsidRPr="00437B38">
        <w:rPr>
          <w:rStyle w:val="FootnoteReference"/>
          <w:rFonts w:ascii="Arial" w:hAnsi="Arial" w:cs="Arial"/>
        </w:rPr>
        <w:footnoteRef/>
      </w:r>
      <w:r>
        <w:rPr>
          <w:rFonts w:ascii="Arial" w:hAnsi="Arial" w:cs="Arial"/>
        </w:rPr>
        <w:t xml:space="preserve"> 2019 (1) SA 403 (SCA)</w:t>
      </w:r>
    </w:p>
  </w:footnote>
  <w:footnote w:id="4">
    <w:p w14:paraId="62D99869" w14:textId="77777777" w:rsidR="007F31CF" w:rsidRPr="00F5255D" w:rsidRDefault="007F31CF" w:rsidP="007F31CF">
      <w:pPr>
        <w:pStyle w:val="FootnoteText"/>
        <w:rPr>
          <w:rFonts w:ascii="Arial" w:hAnsi="Arial" w:cs="Arial"/>
        </w:rPr>
      </w:pPr>
      <w:r w:rsidRPr="00F5255D">
        <w:rPr>
          <w:rStyle w:val="FootnoteReference"/>
          <w:rFonts w:ascii="Arial" w:hAnsi="Arial" w:cs="Arial"/>
        </w:rPr>
        <w:footnoteRef/>
      </w:r>
      <w:r w:rsidRPr="00F5255D">
        <w:rPr>
          <w:rFonts w:ascii="Arial" w:hAnsi="Arial" w:cs="Arial"/>
        </w:rPr>
        <w:t xml:space="preserve"> </w:t>
      </w:r>
      <w:r w:rsidRPr="00F5255D">
        <w:rPr>
          <w:rFonts w:ascii="Arial" w:hAnsi="Arial" w:cs="Arial"/>
          <w:i/>
        </w:rPr>
        <w:t>Van Heerden v Nolte</w:t>
      </w:r>
      <w:r w:rsidRPr="00F5255D">
        <w:rPr>
          <w:rFonts w:ascii="Arial" w:hAnsi="Arial" w:cs="Arial"/>
        </w:rPr>
        <w:t xml:space="preserve"> </w:t>
      </w:r>
      <w:r w:rsidRPr="00F5255D">
        <w:rPr>
          <w:rFonts w:ascii="Arial" w:hAnsi="Arial" w:cs="Arial"/>
          <w:lang w:val="en-US"/>
        </w:rPr>
        <w:t>2014 (4) SA 584 (GP) para 14.</w:t>
      </w:r>
    </w:p>
  </w:footnote>
  <w:footnote w:id="5">
    <w:p w14:paraId="50B8D480" w14:textId="77777777" w:rsidR="007F31CF" w:rsidRPr="00F5255D" w:rsidRDefault="007F31CF" w:rsidP="007F31CF">
      <w:pPr>
        <w:pStyle w:val="FootnoteText"/>
        <w:rPr>
          <w:rFonts w:ascii="Arial" w:hAnsi="Arial" w:cs="Arial"/>
        </w:rPr>
      </w:pPr>
      <w:r w:rsidRPr="00F5255D">
        <w:rPr>
          <w:rStyle w:val="FootnoteReference"/>
          <w:rFonts w:ascii="Arial" w:hAnsi="Arial" w:cs="Arial"/>
        </w:rPr>
        <w:footnoteRef/>
      </w:r>
      <w:r w:rsidRPr="00F5255D">
        <w:rPr>
          <w:rFonts w:ascii="Arial" w:hAnsi="Arial" w:cs="Arial"/>
          <w:i/>
        </w:rPr>
        <w:t xml:space="preserve"> National Credit Regulator v Opperman &amp; others </w:t>
      </w:r>
      <w:r w:rsidRPr="00F5255D">
        <w:rPr>
          <w:rFonts w:ascii="Arial" w:hAnsi="Arial" w:cs="Arial"/>
        </w:rPr>
        <w:t>[2012]</w:t>
      </w:r>
      <w:r w:rsidRPr="00F5255D">
        <w:rPr>
          <w:rFonts w:ascii="Arial" w:hAnsi="Arial" w:cs="Arial"/>
          <w:i/>
        </w:rPr>
        <w:t xml:space="preserve"> </w:t>
      </w:r>
      <w:r w:rsidRPr="00F5255D">
        <w:rPr>
          <w:rFonts w:ascii="Arial" w:hAnsi="Arial" w:cs="Arial"/>
        </w:rPr>
        <w:t xml:space="preserve">ZACC 29; </w:t>
      </w:r>
      <w:r w:rsidRPr="00F5255D">
        <w:rPr>
          <w:rFonts w:ascii="Arial" w:hAnsi="Arial" w:cs="Arial"/>
          <w:lang w:val="en-US"/>
        </w:rPr>
        <w:t>2013 (2) SA 1 (CC) (</w:t>
      </w:r>
      <w:r w:rsidRPr="00F5255D">
        <w:rPr>
          <w:rFonts w:ascii="Arial" w:hAnsi="Arial" w:cs="Arial"/>
          <w:i/>
        </w:rPr>
        <w:t>Opperman</w:t>
      </w:r>
      <w:r w:rsidRPr="00F5255D">
        <w:rPr>
          <w:rFonts w:ascii="Arial" w:hAnsi="Arial" w:cs="Arial"/>
        </w:rPr>
        <w:t>)</w:t>
      </w:r>
      <w:r w:rsidRPr="00F5255D">
        <w:rPr>
          <w:rFonts w:ascii="Arial" w:hAnsi="Arial" w:cs="Arial"/>
          <w:lang w:val="en-US"/>
        </w:rPr>
        <w:t>.</w:t>
      </w:r>
    </w:p>
  </w:footnote>
  <w:footnote w:id="6">
    <w:p w14:paraId="5DBD22F7" w14:textId="77777777" w:rsidR="007F31CF" w:rsidRPr="00F5255D" w:rsidRDefault="007F31CF" w:rsidP="007F31CF">
      <w:pPr>
        <w:pStyle w:val="FootnoteText"/>
        <w:rPr>
          <w:rFonts w:ascii="Arial" w:hAnsi="Arial" w:cs="Arial"/>
        </w:rPr>
      </w:pPr>
      <w:r w:rsidRPr="00F5255D">
        <w:rPr>
          <w:rStyle w:val="FootnoteReference"/>
          <w:rFonts w:ascii="Arial" w:hAnsi="Arial" w:cs="Arial"/>
        </w:rPr>
        <w:footnoteRef/>
      </w:r>
      <w:r w:rsidRPr="00F5255D">
        <w:rPr>
          <w:rFonts w:ascii="Arial" w:hAnsi="Arial" w:cs="Arial"/>
        </w:rPr>
        <w:t xml:space="preserve"> </w:t>
      </w:r>
      <w:r w:rsidRPr="00F5255D">
        <w:rPr>
          <w:rFonts w:ascii="Arial" w:hAnsi="Arial" w:cs="Arial"/>
          <w:i/>
        </w:rPr>
        <w:t>Potgieter v Olivier &amp; another</w:t>
      </w:r>
      <w:r w:rsidRPr="00F5255D">
        <w:rPr>
          <w:rFonts w:ascii="Arial" w:hAnsi="Arial" w:cs="Arial"/>
        </w:rPr>
        <w:t xml:space="preserve"> </w:t>
      </w:r>
      <w:r w:rsidRPr="00F5255D">
        <w:rPr>
          <w:rFonts w:ascii="Arial" w:hAnsi="Arial" w:cs="Arial"/>
          <w:lang w:val="en-US"/>
        </w:rPr>
        <w:t>2016 (1) SA 272 (GP) (</w:t>
      </w:r>
      <w:r w:rsidRPr="00F5255D">
        <w:rPr>
          <w:rFonts w:ascii="Arial" w:hAnsi="Arial" w:cs="Arial"/>
          <w:i/>
        </w:rPr>
        <w:t>Potgieter)</w:t>
      </w:r>
      <w:r w:rsidRPr="00F5255D">
        <w:rPr>
          <w:rFonts w:ascii="Arial" w:hAnsi="Arial" w:cs="Arial"/>
          <w:lang w:val="en-US"/>
        </w:rPr>
        <w:t xml:space="preserve"> para 28 and 30-33.</w:t>
      </w:r>
    </w:p>
  </w:footnote>
  <w:footnote w:id="7">
    <w:p w14:paraId="3BF35039" w14:textId="77777777" w:rsidR="007F31CF" w:rsidRDefault="007F31CF" w:rsidP="007F31CF">
      <w:pPr>
        <w:pStyle w:val="FootnoteText"/>
      </w:pPr>
      <w:r w:rsidRPr="00F5255D">
        <w:rPr>
          <w:rStyle w:val="FootnoteReference"/>
          <w:rFonts w:ascii="Arial" w:hAnsi="Arial" w:cs="Arial"/>
        </w:rPr>
        <w:footnoteRef/>
      </w:r>
      <w:r w:rsidRPr="00F5255D">
        <w:rPr>
          <w:rFonts w:ascii="Arial" w:hAnsi="Arial" w:cs="Arial"/>
        </w:rPr>
        <w:t xml:space="preserve"> </w:t>
      </w:r>
      <w:r w:rsidRPr="00F5255D">
        <w:rPr>
          <w:rFonts w:ascii="Arial" w:hAnsi="Arial" w:cs="Arial"/>
          <w:lang w:val="en-US"/>
        </w:rPr>
        <w:t xml:space="preserve">See also </w:t>
      </w:r>
      <w:r w:rsidRPr="00F5255D">
        <w:rPr>
          <w:rFonts w:ascii="Arial" w:hAnsi="Arial" w:cs="Arial"/>
          <w:i/>
          <w:lang w:val="en-US"/>
        </w:rPr>
        <w:t>Naude &amp; another v Wright</w:t>
      </w:r>
      <w:r w:rsidRPr="00F5255D">
        <w:rPr>
          <w:rFonts w:ascii="Arial" w:hAnsi="Arial" w:cs="Arial"/>
          <w:lang w:val="en-US"/>
        </w:rPr>
        <w:t xml:space="preserve"> [2017] ZAGPPHC 646 para 26 where the court held it was bound by </w:t>
      </w:r>
      <w:r w:rsidRPr="00F5255D">
        <w:rPr>
          <w:rFonts w:ascii="Arial" w:hAnsi="Arial" w:cs="Arial"/>
          <w:i/>
          <w:lang w:val="en-US"/>
        </w:rPr>
        <w:t>Friend</w:t>
      </w:r>
      <w:r w:rsidRPr="00F5255D">
        <w:rPr>
          <w:rFonts w:ascii="Arial" w:hAnsi="Arial" w:cs="Arial"/>
          <w:lang w:val="en-US"/>
        </w:rPr>
        <w:t>.</w:t>
      </w:r>
    </w:p>
  </w:footnote>
  <w:footnote w:id="8">
    <w:p w14:paraId="6C8867D6" w14:textId="28E3F4CF" w:rsidR="00AD3EA5" w:rsidRPr="00CD3B2D" w:rsidRDefault="00AD3EA5">
      <w:pPr>
        <w:pStyle w:val="FootnoteText"/>
        <w:rPr>
          <w:rFonts w:ascii="Arial" w:hAnsi="Arial" w:cs="Arial"/>
        </w:rPr>
      </w:pPr>
      <w:r w:rsidRPr="00CD3B2D">
        <w:rPr>
          <w:rStyle w:val="FootnoteReference"/>
          <w:rFonts w:ascii="Arial" w:hAnsi="Arial" w:cs="Arial"/>
        </w:rPr>
        <w:footnoteRef/>
      </w:r>
      <w:r w:rsidRPr="00CD3B2D">
        <w:rPr>
          <w:rFonts w:ascii="Arial" w:hAnsi="Arial" w:cs="Arial"/>
        </w:rPr>
        <w:t xml:space="preserve"> </w:t>
      </w:r>
      <w:r w:rsidR="00CD3B2D">
        <w:rPr>
          <w:rFonts w:ascii="Arial" w:hAnsi="Arial" w:cs="Arial"/>
        </w:rPr>
        <w:t>supra</w:t>
      </w:r>
    </w:p>
  </w:footnote>
  <w:footnote w:id="9">
    <w:p w14:paraId="4FADB949" w14:textId="77777777" w:rsidR="007A44C1" w:rsidRPr="009A418E" w:rsidRDefault="007A44C1" w:rsidP="007A44C1">
      <w:pPr>
        <w:pStyle w:val="FootnoteText"/>
        <w:rPr>
          <w:rFonts w:ascii="Arial" w:hAnsi="Arial" w:cs="Arial"/>
        </w:rPr>
      </w:pPr>
      <w:r w:rsidRPr="009A418E">
        <w:rPr>
          <w:rStyle w:val="FootnoteReference"/>
          <w:rFonts w:ascii="Arial" w:hAnsi="Arial" w:cs="Arial"/>
        </w:rPr>
        <w:footnoteRef/>
      </w:r>
      <w:r w:rsidRPr="009A418E">
        <w:rPr>
          <w:rFonts w:ascii="Arial" w:hAnsi="Arial" w:cs="Arial"/>
        </w:rPr>
        <w:t xml:space="preserve"> </w:t>
      </w:r>
      <w:r>
        <w:rPr>
          <w:rFonts w:ascii="Arial" w:hAnsi="Arial" w:cs="Arial"/>
        </w:rPr>
        <w:t>1958 (4) SA 330 AD @ D</w:t>
      </w:r>
    </w:p>
  </w:footnote>
  <w:footnote w:id="10">
    <w:p w14:paraId="01421F1B" w14:textId="061031DB" w:rsidR="00706B96" w:rsidRPr="00706B96" w:rsidRDefault="00706B96">
      <w:pPr>
        <w:pStyle w:val="FootnoteText"/>
        <w:rPr>
          <w:rFonts w:ascii="Arial" w:hAnsi="Arial" w:cs="Arial"/>
        </w:rPr>
      </w:pPr>
      <w:r w:rsidRPr="00706B96">
        <w:rPr>
          <w:rStyle w:val="FootnoteReference"/>
          <w:rFonts w:ascii="Arial" w:hAnsi="Arial" w:cs="Arial"/>
        </w:rPr>
        <w:footnoteRef/>
      </w:r>
      <w:r w:rsidRPr="00706B96">
        <w:rPr>
          <w:rFonts w:ascii="Arial" w:hAnsi="Arial" w:cs="Arial"/>
        </w:rPr>
        <w:t xml:space="preserve"> </w:t>
      </w:r>
      <w:r>
        <w:rPr>
          <w:rFonts w:ascii="Arial" w:hAnsi="Arial" w:cs="Arial"/>
        </w:rPr>
        <w:t xml:space="preserve">Record: Volume 2 paginated page 200 et seq </w:t>
      </w:r>
    </w:p>
  </w:footnote>
  <w:footnote w:id="11">
    <w:p w14:paraId="09C8DCD5" w14:textId="035994C2" w:rsidR="00E46CE7" w:rsidRPr="00D1672F" w:rsidRDefault="00E46CE7">
      <w:pPr>
        <w:pStyle w:val="FootnoteText"/>
        <w:rPr>
          <w:rFonts w:ascii="Arial" w:hAnsi="Arial" w:cs="Arial"/>
        </w:rPr>
      </w:pPr>
      <w:r w:rsidRPr="00D1672F">
        <w:rPr>
          <w:rStyle w:val="FootnoteReference"/>
          <w:rFonts w:ascii="Arial" w:hAnsi="Arial" w:cs="Arial"/>
        </w:rPr>
        <w:footnoteRef/>
      </w:r>
      <w:r w:rsidRPr="00D1672F">
        <w:rPr>
          <w:rFonts w:ascii="Arial" w:hAnsi="Arial" w:cs="Arial"/>
        </w:rPr>
        <w:t xml:space="preserve"> </w:t>
      </w:r>
      <w:r w:rsidR="00D1672F">
        <w:rPr>
          <w:rFonts w:ascii="Arial" w:hAnsi="Arial" w:cs="Arial"/>
        </w:rPr>
        <w:t>34 of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0994" w14:textId="3940681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D57B2" w14:textId="77777777" w:rsidR="0009436A" w:rsidRDefault="0009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5964" w14:textId="7BBD4491"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A42">
      <w:rPr>
        <w:rStyle w:val="PageNumber"/>
        <w:noProof/>
      </w:rPr>
      <w:t>10</w:t>
    </w:r>
    <w:r>
      <w:rPr>
        <w:rStyle w:val="PageNumber"/>
      </w:rPr>
      <w:fldChar w:fldCharType="end"/>
    </w:r>
  </w:p>
  <w:p w14:paraId="793830A2" w14:textId="77777777" w:rsidR="0009436A" w:rsidRDefault="00094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EB7C" w14:textId="7C7F4329" w:rsidR="00890265" w:rsidRDefault="00890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04076"/>
    <w:multiLevelType w:val="hybridMultilevel"/>
    <w:tmpl w:val="FFFFFFFF"/>
    <w:lvl w:ilvl="0" w:tplc="238E730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1F0E205A"/>
    <w:multiLevelType w:val="hybridMultilevel"/>
    <w:tmpl w:val="D9645CB0"/>
    <w:lvl w:ilvl="0" w:tplc="6298BE8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29044282"/>
    <w:multiLevelType w:val="hybridMultilevel"/>
    <w:tmpl w:val="E4D42DE0"/>
    <w:lvl w:ilvl="0" w:tplc="6D3E8006">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F683E23"/>
    <w:multiLevelType w:val="hybridMultilevel"/>
    <w:tmpl w:val="FFFFFFFF"/>
    <w:lvl w:ilvl="0" w:tplc="A94AF5BC">
      <w:start w:val="1"/>
      <w:numFmt w:val="lowerLetter"/>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4322344F"/>
    <w:multiLevelType w:val="multilevel"/>
    <w:tmpl w:val="FFFFFFFF"/>
    <w:lvl w:ilvl="0">
      <w:start w:val="1"/>
      <w:numFmt w:val="decimal"/>
      <w:pStyle w:val="BowLevel1ListAlt"/>
      <w:lvlText w:val="[%1]"/>
      <w:lvlJc w:val="left"/>
      <w:pPr>
        <w:tabs>
          <w:tab w:val="num" w:pos="567"/>
        </w:tabs>
        <w:ind w:left="567" w:hanging="567"/>
      </w:pPr>
      <w:rPr>
        <w:rFonts w:cs="Times New Roman" w:hint="default"/>
        <w:b w:val="0"/>
        <w:i w:val="0"/>
        <w:sz w:val="24"/>
        <w:szCs w:val="24"/>
      </w:rPr>
    </w:lvl>
    <w:lvl w:ilvl="1">
      <w:start w:val="1"/>
      <w:numFmt w:val="decimal"/>
      <w:pStyle w:val="BowLevel2ListAlt"/>
      <w:lvlText w:val="%1.%2"/>
      <w:lvlJc w:val="left"/>
      <w:pPr>
        <w:tabs>
          <w:tab w:val="num" w:pos="851"/>
        </w:tabs>
        <w:ind w:left="851" w:hanging="851"/>
      </w:pPr>
      <w:rPr>
        <w:rFonts w:cs="Times New Roman" w:hint="default"/>
        <w:b w:val="0"/>
      </w:rPr>
    </w:lvl>
    <w:lvl w:ilvl="2">
      <w:start w:val="1"/>
      <w:numFmt w:val="decimal"/>
      <w:pStyle w:val="BowLevel3ListAlt"/>
      <w:lvlText w:val="%1.%2.%3"/>
      <w:lvlJc w:val="left"/>
      <w:pPr>
        <w:tabs>
          <w:tab w:val="num" w:pos="1134"/>
        </w:tabs>
        <w:ind w:left="1134" w:hanging="1134"/>
      </w:pPr>
      <w:rPr>
        <w:rFonts w:ascii="Arial" w:hAnsi="Arial" w:cs="Arial" w:hint="default"/>
        <w:b w:val="0"/>
        <w:sz w:val="24"/>
        <w:szCs w:val="24"/>
      </w:rPr>
    </w:lvl>
    <w:lvl w:ilvl="3">
      <w:start w:val="1"/>
      <w:numFmt w:val="decimal"/>
      <w:pStyle w:val="BowLevel4ListAlt"/>
      <w:lvlText w:val="%1.%2.%3.%4"/>
      <w:lvlJc w:val="left"/>
      <w:pPr>
        <w:tabs>
          <w:tab w:val="num" w:pos="1418"/>
        </w:tabs>
        <w:ind w:left="1418" w:hanging="1418"/>
      </w:pPr>
      <w:rPr>
        <w:rFonts w:cs="Times New Roman" w:hint="default"/>
        <w:i w:val="0"/>
      </w:rPr>
    </w:lvl>
    <w:lvl w:ilvl="4">
      <w:start w:val="1"/>
      <w:numFmt w:val="decimal"/>
      <w:pStyle w:val="BowLevel5ListAlt"/>
      <w:lvlText w:val="%1.%2.%3.%4.%5"/>
      <w:lvlJc w:val="left"/>
      <w:pPr>
        <w:tabs>
          <w:tab w:val="num" w:pos="1701"/>
        </w:tabs>
        <w:ind w:left="1701" w:hanging="1701"/>
      </w:pPr>
      <w:rPr>
        <w:rFonts w:cs="Times New Roman" w:hint="default"/>
      </w:rPr>
    </w:lvl>
    <w:lvl w:ilvl="5">
      <w:start w:val="1"/>
      <w:numFmt w:val="decimal"/>
      <w:pStyle w:val="BowLevel6ListAlt"/>
      <w:lvlText w:val="%1.%2.%3.%4.%5.%6"/>
      <w:lvlJc w:val="left"/>
      <w:pPr>
        <w:tabs>
          <w:tab w:val="num" w:pos="1985"/>
        </w:tabs>
        <w:ind w:left="1985" w:hanging="1985"/>
      </w:pPr>
      <w:rPr>
        <w:rFonts w:cs="Times New Roman" w:hint="default"/>
      </w:rPr>
    </w:lvl>
    <w:lvl w:ilvl="6">
      <w:start w:val="1"/>
      <w:numFmt w:val="decimal"/>
      <w:pStyle w:val="BowLevel7ListAltM"/>
      <w:lvlText w:val="%1.%2.%3.%4.%5.%6.%7"/>
      <w:lvlJc w:val="left"/>
      <w:pPr>
        <w:tabs>
          <w:tab w:val="num" w:pos="2268"/>
        </w:tabs>
        <w:ind w:left="2268" w:hanging="2268"/>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5BB91898"/>
    <w:multiLevelType w:val="hybridMultilevel"/>
    <w:tmpl w:val="FFFFFFFF"/>
    <w:lvl w:ilvl="0" w:tplc="4F087838">
      <w:start w:val="1"/>
      <w:numFmt w:val="decimal"/>
      <w:lvlText w:val="(%1)"/>
      <w:lvlJc w:val="left"/>
      <w:pPr>
        <w:ind w:left="7472" w:hanging="360"/>
      </w:pPr>
      <w:rPr>
        <w:rFonts w:cs="Times New Roman" w:hint="default"/>
        <w:i w:val="0"/>
      </w:rPr>
    </w:lvl>
    <w:lvl w:ilvl="1" w:tplc="04090019">
      <w:start w:val="1"/>
      <w:numFmt w:val="lowerLetter"/>
      <w:lvlText w:val="%2."/>
      <w:lvlJc w:val="left"/>
      <w:pPr>
        <w:ind w:left="8192" w:hanging="360"/>
      </w:pPr>
      <w:rPr>
        <w:rFonts w:cs="Times New Roman"/>
      </w:rPr>
    </w:lvl>
    <w:lvl w:ilvl="2" w:tplc="0409001B" w:tentative="1">
      <w:start w:val="1"/>
      <w:numFmt w:val="lowerRoman"/>
      <w:lvlText w:val="%3."/>
      <w:lvlJc w:val="right"/>
      <w:pPr>
        <w:ind w:left="8912" w:hanging="180"/>
      </w:pPr>
      <w:rPr>
        <w:rFonts w:cs="Times New Roman"/>
      </w:rPr>
    </w:lvl>
    <w:lvl w:ilvl="3" w:tplc="0409000F" w:tentative="1">
      <w:start w:val="1"/>
      <w:numFmt w:val="decimal"/>
      <w:lvlText w:val="%4."/>
      <w:lvlJc w:val="left"/>
      <w:pPr>
        <w:ind w:left="9632" w:hanging="360"/>
      </w:pPr>
      <w:rPr>
        <w:rFonts w:cs="Times New Roman"/>
      </w:rPr>
    </w:lvl>
    <w:lvl w:ilvl="4" w:tplc="04090019" w:tentative="1">
      <w:start w:val="1"/>
      <w:numFmt w:val="lowerLetter"/>
      <w:lvlText w:val="%5."/>
      <w:lvlJc w:val="left"/>
      <w:pPr>
        <w:ind w:left="10352" w:hanging="360"/>
      </w:pPr>
      <w:rPr>
        <w:rFonts w:cs="Times New Roman"/>
      </w:rPr>
    </w:lvl>
    <w:lvl w:ilvl="5" w:tplc="0409001B" w:tentative="1">
      <w:start w:val="1"/>
      <w:numFmt w:val="lowerRoman"/>
      <w:lvlText w:val="%6."/>
      <w:lvlJc w:val="right"/>
      <w:pPr>
        <w:ind w:left="11072" w:hanging="180"/>
      </w:pPr>
      <w:rPr>
        <w:rFonts w:cs="Times New Roman"/>
      </w:rPr>
    </w:lvl>
    <w:lvl w:ilvl="6" w:tplc="0409000F" w:tentative="1">
      <w:start w:val="1"/>
      <w:numFmt w:val="decimal"/>
      <w:lvlText w:val="%7."/>
      <w:lvlJc w:val="left"/>
      <w:pPr>
        <w:ind w:left="11792" w:hanging="360"/>
      </w:pPr>
      <w:rPr>
        <w:rFonts w:cs="Times New Roman"/>
      </w:rPr>
    </w:lvl>
    <w:lvl w:ilvl="7" w:tplc="04090019" w:tentative="1">
      <w:start w:val="1"/>
      <w:numFmt w:val="lowerLetter"/>
      <w:lvlText w:val="%8."/>
      <w:lvlJc w:val="left"/>
      <w:pPr>
        <w:ind w:left="12512" w:hanging="360"/>
      </w:pPr>
      <w:rPr>
        <w:rFonts w:cs="Times New Roman"/>
      </w:rPr>
    </w:lvl>
    <w:lvl w:ilvl="8" w:tplc="0409001B" w:tentative="1">
      <w:start w:val="1"/>
      <w:numFmt w:val="lowerRoman"/>
      <w:lvlText w:val="%9."/>
      <w:lvlJc w:val="right"/>
      <w:pPr>
        <w:ind w:left="13232" w:hanging="180"/>
      </w:pPr>
      <w:rPr>
        <w:rFonts w:cs="Times New Roman"/>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C92"/>
    <w:rsid w:val="000030E1"/>
    <w:rsid w:val="000077EC"/>
    <w:rsid w:val="00011772"/>
    <w:rsid w:val="00014037"/>
    <w:rsid w:val="00014183"/>
    <w:rsid w:val="00022700"/>
    <w:rsid w:val="00022A39"/>
    <w:rsid w:val="0002395B"/>
    <w:rsid w:val="000275BC"/>
    <w:rsid w:val="00032AFB"/>
    <w:rsid w:val="00032CEC"/>
    <w:rsid w:val="000339BD"/>
    <w:rsid w:val="00034224"/>
    <w:rsid w:val="000355D7"/>
    <w:rsid w:val="00036640"/>
    <w:rsid w:val="00037B19"/>
    <w:rsid w:val="00040B72"/>
    <w:rsid w:val="00041B0C"/>
    <w:rsid w:val="00041F40"/>
    <w:rsid w:val="0004230A"/>
    <w:rsid w:val="00043BC7"/>
    <w:rsid w:val="00044412"/>
    <w:rsid w:val="00045415"/>
    <w:rsid w:val="00047C36"/>
    <w:rsid w:val="00051DC7"/>
    <w:rsid w:val="00052108"/>
    <w:rsid w:val="00052D92"/>
    <w:rsid w:val="00053BE4"/>
    <w:rsid w:val="00055EF2"/>
    <w:rsid w:val="00056A40"/>
    <w:rsid w:val="00063E38"/>
    <w:rsid w:val="00064276"/>
    <w:rsid w:val="000644AD"/>
    <w:rsid w:val="00065794"/>
    <w:rsid w:val="00067774"/>
    <w:rsid w:val="00070A42"/>
    <w:rsid w:val="00073D5C"/>
    <w:rsid w:val="000746E0"/>
    <w:rsid w:val="0007485B"/>
    <w:rsid w:val="00074F96"/>
    <w:rsid w:val="00075A8C"/>
    <w:rsid w:val="000773E4"/>
    <w:rsid w:val="00077F28"/>
    <w:rsid w:val="00080380"/>
    <w:rsid w:val="0008125B"/>
    <w:rsid w:val="00081530"/>
    <w:rsid w:val="000836C1"/>
    <w:rsid w:val="00084292"/>
    <w:rsid w:val="00087CB6"/>
    <w:rsid w:val="000900D4"/>
    <w:rsid w:val="00093E3F"/>
    <w:rsid w:val="0009436A"/>
    <w:rsid w:val="00094983"/>
    <w:rsid w:val="00094E87"/>
    <w:rsid w:val="00095C40"/>
    <w:rsid w:val="00096EC1"/>
    <w:rsid w:val="00097351"/>
    <w:rsid w:val="000A1215"/>
    <w:rsid w:val="000A195E"/>
    <w:rsid w:val="000A373D"/>
    <w:rsid w:val="000A3A5A"/>
    <w:rsid w:val="000A3E1E"/>
    <w:rsid w:val="000A5842"/>
    <w:rsid w:val="000A6630"/>
    <w:rsid w:val="000A7326"/>
    <w:rsid w:val="000A755F"/>
    <w:rsid w:val="000B054E"/>
    <w:rsid w:val="000B0616"/>
    <w:rsid w:val="000B0B65"/>
    <w:rsid w:val="000B0F4B"/>
    <w:rsid w:val="000B4B8C"/>
    <w:rsid w:val="000B576D"/>
    <w:rsid w:val="000B5E24"/>
    <w:rsid w:val="000B6D32"/>
    <w:rsid w:val="000C011F"/>
    <w:rsid w:val="000C1490"/>
    <w:rsid w:val="000C1ACC"/>
    <w:rsid w:val="000C2E43"/>
    <w:rsid w:val="000C6E60"/>
    <w:rsid w:val="000D01B0"/>
    <w:rsid w:val="000D3F7A"/>
    <w:rsid w:val="000D4FC8"/>
    <w:rsid w:val="000D62A7"/>
    <w:rsid w:val="000E2402"/>
    <w:rsid w:val="000E311B"/>
    <w:rsid w:val="000E32A6"/>
    <w:rsid w:val="000E4F7D"/>
    <w:rsid w:val="000E518C"/>
    <w:rsid w:val="000E5B34"/>
    <w:rsid w:val="000E6102"/>
    <w:rsid w:val="000E71BF"/>
    <w:rsid w:val="000E7926"/>
    <w:rsid w:val="000F0FE9"/>
    <w:rsid w:val="000F5071"/>
    <w:rsid w:val="000F670B"/>
    <w:rsid w:val="000F77D5"/>
    <w:rsid w:val="000F7935"/>
    <w:rsid w:val="000F7A3F"/>
    <w:rsid w:val="00100BA1"/>
    <w:rsid w:val="00102FC8"/>
    <w:rsid w:val="00103176"/>
    <w:rsid w:val="00103465"/>
    <w:rsid w:val="00104F78"/>
    <w:rsid w:val="00105D09"/>
    <w:rsid w:val="00106F33"/>
    <w:rsid w:val="00111A0B"/>
    <w:rsid w:val="00111FFA"/>
    <w:rsid w:val="001137B1"/>
    <w:rsid w:val="00114E95"/>
    <w:rsid w:val="00116005"/>
    <w:rsid w:val="00117959"/>
    <w:rsid w:val="00120C65"/>
    <w:rsid w:val="00123195"/>
    <w:rsid w:val="001242A4"/>
    <w:rsid w:val="001245A8"/>
    <w:rsid w:val="00124E64"/>
    <w:rsid w:val="00124ECB"/>
    <w:rsid w:val="00125ABA"/>
    <w:rsid w:val="00127459"/>
    <w:rsid w:val="0013349B"/>
    <w:rsid w:val="00134545"/>
    <w:rsid w:val="001347BA"/>
    <w:rsid w:val="00137924"/>
    <w:rsid w:val="00142481"/>
    <w:rsid w:val="00143719"/>
    <w:rsid w:val="001439DB"/>
    <w:rsid w:val="0014425D"/>
    <w:rsid w:val="00144B80"/>
    <w:rsid w:val="0014506E"/>
    <w:rsid w:val="00146F88"/>
    <w:rsid w:val="001472EA"/>
    <w:rsid w:val="0014793F"/>
    <w:rsid w:val="00150C1D"/>
    <w:rsid w:val="00152029"/>
    <w:rsid w:val="001539FA"/>
    <w:rsid w:val="00153D97"/>
    <w:rsid w:val="001541B6"/>
    <w:rsid w:val="00154297"/>
    <w:rsid w:val="00156BA5"/>
    <w:rsid w:val="00156BCC"/>
    <w:rsid w:val="001619D3"/>
    <w:rsid w:val="00163F09"/>
    <w:rsid w:val="001663DF"/>
    <w:rsid w:val="001701DC"/>
    <w:rsid w:val="001716EC"/>
    <w:rsid w:val="00171B36"/>
    <w:rsid w:val="00174F8B"/>
    <w:rsid w:val="00181375"/>
    <w:rsid w:val="00182133"/>
    <w:rsid w:val="00183D18"/>
    <w:rsid w:val="00186AA0"/>
    <w:rsid w:val="00193457"/>
    <w:rsid w:val="001934B8"/>
    <w:rsid w:val="001943AC"/>
    <w:rsid w:val="00195AE8"/>
    <w:rsid w:val="001965FB"/>
    <w:rsid w:val="00196600"/>
    <w:rsid w:val="001977DA"/>
    <w:rsid w:val="001977E7"/>
    <w:rsid w:val="001A0461"/>
    <w:rsid w:val="001A18BF"/>
    <w:rsid w:val="001A393D"/>
    <w:rsid w:val="001A399B"/>
    <w:rsid w:val="001A3D9A"/>
    <w:rsid w:val="001A3F8A"/>
    <w:rsid w:val="001A42CF"/>
    <w:rsid w:val="001A4DA8"/>
    <w:rsid w:val="001A50ED"/>
    <w:rsid w:val="001A54A1"/>
    <w:rsid w:val="001A5C7B"/>
    <w:rsid w:val="001B14DE"/>
    <w:rsid w:val="001B170B"/>
    <w:rsid w:val="001B30E5"/>
    <w:rsid w:val="001B3808"/>
    <w:rsid w:val="001B646A"/>
    <w:rsid w:val="001C0076"/>
    <w:rsid w:val="001C05CC"/>
    <w:rsid w:val="001C40D7"/>
    <w:rsid w:val="001C46B1"/>
    <w:rsid w:val="001D0CA7"/>
    <w:rsid w:val="001D2C57"/>
    <w:rsid w:val="001D51F0"/>
    <w:rsid w:val="001D6261"/>
    <w:rsid w:val="001E0958"/>
    <w:rsid w:val="001E0ECB"/>
    <w:rsid w:val="001E1388"/>
    <w:rsid w:val="001E13C0"/>
    <w:rsid w:val="001E17DB"/>
    <w:rsid w:val="001E2687"/>
    <w:rsid w:val="001E34F6"/>
    <w:rsid w:val="001E3EA2"/>
    <w:rsid w:val="001E4A04"/>
    <w:rsid w:val="001E5219"/>
    <w:rsid w:val="001E7803"/>
    <w:rsid w:val="001F020F"/>
    <w:rsid w:val="001F0343"/>
    <w:rsid w:val="001F1439"/>
    <w:rsid w:val="001F3038"/>
    <w:rsid w:val="001F4B4F"/>
    <w:rsid w:val="001F5A53"/>
    <w:rsid w:val="001F7547"/>
    <w:rsid w:val="00202467"/>
    <w:rsid w:val="002042F2"/>
    <w:rsid w:val="00205490"/>
    <w:rsid w:val="00210212"/>
    <w:rsid w:val="00210C7B"/>
    <w:rsid w:val="00211EBF"/>
    <w:rsid w:val="00212427"/>
    <w:rsid w:val="00213188"/>
    <w:rsid w:val="00215A91"/>
    <w:rsid w:val="00217358"/>
    <w:rsid w:val="00217816"/>
    <w:rsid w:val="00217A60"/>
    <w:rsid w:val="0022028F"/>
    <w:rsid w:val="002218BC"/>
    <w:rsid w:val="00221FFC"/>
    <w:rsid w:val="00222D58"/>
    <w:rsid w:val="00222E19"/>
    <w:rsid w:val="002231EF"/>
    <w:rsid w:val="00225E81"/>
    <w:rsid w:val="00227756"/>
    <w:rsid w:val="00230493"/>
    <w:rsid w:val="002338BB"/>
    <w:rsid w:val="00234758"/>
    <w:rsid w:val="00234879"/>
    <w:rsid w:val="00235FE2"/>
    <w:rsid w:val="00236B83"/>
    <w:rsid w:val="00237744"/>
    <w:rsid w:val="002421FE"/>
    <w:rsid w:val="002430E1"/>
    <w:rsid w:val="00245804"/>
    <w:rsid w:val="00245AF2"/>
    <w:rsid w:val="002509C8"/>
    <w:rsid w:val="0025197C"/>
    <w:rsid w:val="002532BC"/>
    <w:rsid w:val="002545C2"/>
    <w:rsid w:val="00256F8B"/>
    <w:rsid w:val="00260BBD"/>
    <w:rsid w:val="00263180"/>
    <w:rsid w:val="00263BF2"/>
    <w:rsid w:val="0026606C"/>
    <w:rsid w:val="00266A0D"/>
    <w:rsid w:val="00266FFC"/>
    <w:rsid w:val="002672C1"/>
    <w:rsid w:val="00271BFE"/>
    <w:rsid w:val="00272831"/>
    <w:rsid w:val="00272A1C"/>
    <w:rsid w:val="002734D3"/>
    <w:rsid w:val="002744BB"/>
    <w:rsid w:val="00274E28"/>
    <w:rsid w:val="002766FF"/>
    <w:rsid w:val="00277DE7"/>
    <w:rsid w:val="0028009C"/>
    <w:rsid w:val="0028108B"/>
    <w:rsid w:val="00281DC4"/>
    <w:rsid w:val="002825AB"/>
    <w:rsid w:val="00284999"/>
    <w:rsid w:val="00284CDA"/>
    <w:rsid w:val="002868FA"/>
    <w:rsid w:val="00287A07"/>
    <w:rsid w:val="0029204E"/>
    <w:rsid w:val="00292280"/>
    <w:rsid w:val="002931B5"/>
    <w:rsid w:val="0029391D"/>
    <w:rsid w:val="00294E0D"/>
    <w:rsid w:val="00295DEF"/>
    <w:rsid w:val="002960E0"/>
    <w:rsid w:val="002968A1"/>
    <w:rsid w:val="002A0162"/>
    <w:rsid w:val="002A01FC"/>
    <w:rsid w:val="002A12EE"/>
    <w:rsid w:val="002A2596"/>
    <w:rsid w:val="002A3B1A"/>
    <w:rsid w:val="002A4803"/>
    <w:rsid w:val="002A5BEB"/>
    <w:rsid w:val="002B24DD"/>
    <w:rsid w:val="002B25C2"/>
    <w:rsid w:val="002B3059"/>
    <w:rsid w:val="002B407C"/>
    <w:rsid w:val="002B4B64"/>
    <w:rsid w:val="002B667D"/>
    <w:rsid w:val="002C4DDC"/>
    <w:rsid w:val="002C528E"/>
    <w:rsid w:val="002C597D"/>
    <w:rsid w:val="002C5A94"/>
    <w:rsid w:val="002C5E3C"/>
    <w:rsid w:val="002C69DD"/>
    <w:rsid w:val="002C7887"/>
    <w:rsid w:val="002C7F31"/>
    <w:rsid w:val="002D0800"/>
    <w:rsid w:val="002D1B75"/>
    <w:rsid w:val="002D1BDF"/>
    <w:rsid w:val="002D233C"/>
    <w:rsid w:val="002D480B"/>
    <w:rsid w:val="002D52EE"/>
    <w:rsid w:val="002E1369"/>
    <w:rsid w:val="002E224B"/>
    <w:rsid w:val="002E2ED7"/>
    <w:rsid w:val="002E332B"/>
    <w:rsid w:val="002E42A1"/>
    <w:rsid w:val="002E6059"/>
    <w:rsid w:val="002E6341"/>
    <w:rsid w:val="002E716E"/>
    <w:rsid w:val="002E719A"/>
    <w:rsid w:val="002E7894"/>
    <w:rsid w:val="002E7D55"/>
    <w:rsid w:val="002E7DC0"/>
    <w:rsid w:val="002F17BB"/>
    <w:rsid w:val="002F1EB6"/>
    <w:rsid w:val="002F2487"/>
    <w:rsid w:val="002F2BCB"/>
    <w:rsid w:val="002F3D0D"/>
    <w:rsid w:val="002F4537"/>
    <w:rsid w:val="002F4BF4"/>
    <w:rsid w:val="002F5191"/>
    <w:rsid w:val="002F56D1"/>
    <w:rsid w:val="002F6C0C"/>
    <w:rsid w:val="00300E0A"/>
    <w:rsid w:val="00301354"/>
    <w:rsid w:val="00301C77"/>
    <w:rsid w:val="00302413"/>
    <w:rsid w:val="00302BC4"/>
    <w:rsid w:val="003033FD"/>
    <w:rsid w:val="00310885"/>
    <w:rsid w:val="00311C7B"/>
    <w:rsid w:val="0031201C"/>
    <w:rsid w:val="00315C3F"/>
    <w:rsid w:val="00315DE2"/>
    <w:rsid w:val="0032073D"/>
    <w:rsid w:val="00323EFB"/>
    <w:rsid w:val="00323FA7"/>
    <w:rsid w:val="00324C28"/>
    <w:rsid w:val="00326524"/>
    <w:rsid w:val="003266CE"/>
    <w:rsid w:val="00326D5B"/>
    <w:rsid w:val="0032704A"/>
    <w:rsid w:val="003303CB"/>
    <w:rsid w:val="00330FE8"/>
    <w:rsid w:val="00331B63"/>
    <w:rsid w:val="00332B8C"/>
    <w:rsid w:val="00334152"/>
    <w:rsid w:val="003406CD"/>
    <w:rsid w:val="003418B5"/>
    <w:rsid w:val="003432AC"/>
    <w:rsid w:val="00344470"/>
    <w:rsid w:val="0034483D"/>
    <w:rsid w:val="003476B3"/>
    <w:rsid w:val="00347F37"/>
    <w:rsid w:val="00350F08"/>
    <w:rsid w:val="00354511"/>
    <w:rsid w:val="00354540"/>
    <w:rsid w:val="0035716C"/>
    <w:rsid w:val="00360E31"/>
    <w:rsid w:val="00361A3D"/>
    <w:rsid w:val="00361D69"/>
    <w:rsid w:val="00363826"/>
    <w:rsid w:val="00363F18"/>
    <w:rsid w:val="00365760"/>
    <w:rsid w:val="00366132"/>
    <w:rsid w:val="00366343"/>
    <w:rsid w:val="00370429"/>
    <w:rsid w:val="0037088F"/>
    <w:rsid w:val="003709D5"/>
    <w:rsid w:val="003713D4"/>
    <w:rsid w:val="00371530"/>
    <w:rsid w:val="003725C4"/>
    <w:rsid w:val="00373DCA"/>
    <w:rsid w:val="00373FC3"/>
    <w:rsid w:val="0037402E"/>
    <w:rsid w:val="00374B54"/>
    <w:rsid w:val="00375727"/>
    <w:rsid w:val="00375C02"/>
    <w:rsid w:val="00375CA3"/>
    <w:rsid w:val="00377FB6"/>
    <w:rsid w:val="003805CB"/>
    <w:rsid w:val="00382393"/>
    <w:rsid w:val="003824BC"/>
    <w:rsid w:val="00382B1C"/>
    <w:rsid w:val="00384306"/>
    <w:rsid w:val="00386A27"/>
    <w:rsid w:val="003910D1"/>
    <w:rsid w:val="0039304A"/>
    <w:rsid w:val="003949CC"/>
    <w:rsid w:val="00394E96"/>
    <w:rsid w:val="00395602"/>
    <w:rsid w:val="00396BCF"/>
    <w:rsid w:val="00396DDA"/>
    <w:rsid w:val="003A09D9"/>
    <w:rsid w:val="003A22F1"/>
    <w:rsid w:val="003A3305"/>
    <w:rsid w:val="003A6677"/>
    <w:rsid w:val="003A6799"/>
    <w:rsid w:val="003A6BF8"/>
    <w:rsid w:val="003A6C33"/>
    <w:rsid w:val="003A7B36"/>
    <w:rsid w:val="003B02BC"/>
    <w:rsid w:val="003B0FB6"/>
    <w:rsid w:val="003B3D03"/>
    <w:rsid w:val="003B40F8"/>
    <w:rsid w:val="003B4E98"/>
    <w:rsid w:val="003B67C6"/>
    <w:rsid w:val="003B6D76"/>
    <w:rsid w:val="003C0F75"/>
    <w:rsid w:val="003C12C6"/>
    <w:rsid w:val="003C1DBC"/>
    <w:rsid w:val="003C248A"/>
    <w:rsid w:val="003C403B"/>
    <w:rsid w:val="003C6032"/>
    <w:rsid w:val="003C6D3D"/>
    <w:rsid w:val="003C7267"/>
    <w:rsid w:val="003C7B1A"/>
    <w:rsid w:val="003D39F8"/>
    <w:rsid w:val="003D3C6B"/>
    <w:rsid w:val="003D5FB9"/>
    <w:rsid w:val="003E3709"/>
    <w:rsid w:val="003E4B26"/>
    <w:rsid w:val="003E56B3"/>
    <w:rsid w:val="003E571E"/>
    <w:rsid w:val="003E6612"/>
    <w:rsid w:val="003E77AB"/>
    <w:rsid w:val="003F2243"/>
    <w:rsid w:val="003F2C42"/>
    <w:rsid w:val="003F3334"/>
    <w:rsid w:val="003F3B65"/>
    <w:rsid w:val="003F4741"/>
    <w:rsid w:val="003F54AC"/>
    <w:rsid w:val="003F5581"/>
    <w:rsid w:val="00400EE7"/>
    <w:rsid w:val="0040264C"/>
    <w:rsid w:val="00403F54"/>
    <w:rsid w:val="004044CD"/>
    <w:rsid w:val="00405195"/>
    <w:rsid w:val="00405823"/>
    <w:rsid w:val="00405B84"/>
    <w:rsid w:val="00411998"/>
    <w:rsid w:val="00411ED8"/>
    <w:rsid w:val="004124AB"/>
    <w:rsid w:val="00412C47"/>
    <w:rsid w:val="0041410D"/>
    <w:rsid w:val="0041493F"/>
    <w:rsid w:val="0041732B"/>
    <w:rsid w:val="00420464"/>
    <w:rsid w:val="0042283D"/>
    <w:rsid w:val="00422ACD"/>
    <w:rsid w:val="00422C10"/>
    <w:rsid w:val="00423F70"/>
    <w:rsid w:val="00424AD4"/>
    <w:rsid w:val="004254F6"/>
    <w:rsid w:val="00425CDD"/>
    <w:rsid w:val="00427186"/>
    <w:rsid w:val="0043002F"/>
    <w:rsid w:val="00430F3D"/>
    <w:rsid w:val="00433038"/>
    <w:rsid w:val="004341F3"/>
    <w:rsid w:val="00434963"/>
    <w:rsid w:val="00437B38"/>
    <w:rsid w:val="00441476"/>
    <w:rsid w:val="004417F7"/>
    <w:rsid w:val="00442465"/>
    <w:rsid w:val="00442B8B"/>
    <w:rsid w:val="00443CF1"/>
    <w:rsid w:val="0044495E"/>
    <w:rsid w:val="00445A56"/>
    <w:rsid w:val="00447EF8"/>
    <w:rsid w:val="004511BA"/>
    <w:rsid w:val="00453FF8"/>
    <w:rsid w:val="004541FE"/>
    <w:rsid w:val="004542F1"/>
    <w:rsid w:val="004548FD"/>
    <w:rsid w:val="00460767"/>
    <w:rsid w:val="00461C80"/>
    <w:rsid w:val="00462F44"/>
    <w:rsid w:val="00465A9F"/>
    <w:rsid w:val="00466AE9"/>
    <w:rsid w:val="00466DCA"/>
    <w:rsid w:val="004711BE"/>
    <w:rsid w:val="00471DD5"/>
    <w:rsid w:val="004726AF"/>
    <w:rsid w:val="0047495D"/>
    <w:rsid w:val="0048142B"/>
    <w:rsid w:val="00482A48"/>
    <w:rsid w:val="00483582"/>
    <w:rsid w:val="00483A30"/>
    <w:rsid w:val="00484792"/>
    <w:rsid w:val="0049069C"/>
    <w:rsid w:val="0049145A"/>
    <w:rsid w:val="00493F00"/>
    <w:rsid w:val="0049451C"/>
    <w:rsid w:val="00497BAA"/>
    <w:rsid w:val="004A08BF"/>
    <w:rsid w:val="004A0BE2"/>
    <w:rsid w:val="004A3025"/>
    <w:rsid w:val="004A3BFD"/>
    <w:rsid w:val="004A49C6"/>
    <w:rsid w:val="004A5FC2"/>
    <w:rsid w:val="004A7249"/>
    <w:rsid w:val="004A7BF5"/>
    <w:rsid w:val="004A7FF4"/>
    <w:rsid w:val="004B00EB"/>
    <w:rsid w:val="004B0905"/>
    <w:rsid w:val="004B145F"/>
    <w:rsid w:val="004B1C8A"/>
    <w:rsid w:val="004B30D6"/>
    <w:rsid w:val="004B3433"/>
    <w:rsid w:val="004B4C4C"/>
    <w:rsid w:val="004B53D5"/>
    <w:rsid w:val="004B63E8"/>
    <w:rsid w:val="004B64EF"/>
    <w:rsid w:val="004B7562"/>
    <w:rsid w:val="004B7BD8"/>
    <w:rsid w:val="004C016A"/>
    <w:rsid w:val="004C0F84"/>
    <w:rsid w:val="004C106F"/>
    <w:rsid w:val="004C14EB"/>
    <w:rsid w:val="004C1E79"/>
    <w:rsid w:val="004C21B8"/>
    <w:rsid w:val="004C2AB2"/>
    <w:rsid w:val="004C2E09"/>
    <w:rsid w:val="004C3D5C"/>
    <w:rsid w:val="004C4DF2"/>
    <w:rsid w:val="004C5532"/>
    <w:rsid w:val="004C6761"/>
    <w:rsid w:val="004C7488"/>
    <w:rsid w:val="004D48FB"/>
    <w:rsid w:val="004D72FD"/>
    <w:rsid w:val="004E0186"/>
    <w:rsid w:val="004E0AC9"/>
    <w:rsid w:val="004E35F0"/>
    <w:rsid w:val="004E50DF"/>
    <w:rsid w:val="004E5E1A"/>
    <w:rsid w:val="004E5FCE"/>
    <w:rsid w:val="004E671A"/>
    <w:rsid w:val="004E7EF7"/>
    <w:rsid w:val="004F110F"/>
    <w:rsid w:val="004F13CA"/>
    <w:rsid w:val="004F13DB"/>
    <w:rsid w:val="004F1CDD"/>
    <w:rsid w:val="004F2592"/>
    <w:rsid w:val="004F7807"/>
    <w:rsid w:val="005002D7"/>
    <w:rsid w:val="00500AAF"/>
    <w:rsid w:val="00500CE8"/>
    <w:rsid w:val="00501540"/>
    <w:rsid w:val="0050215E"/>
    <w:rsid w:val="0050307A"/>
    <w:rsid w:val="00503ED9"/>
    <w:rsid w:val="005040E6"/>
    <w:rsid w:val="005049C3"/>
    <w:rsid w:val="00514FE0"/>
    <w:rsid w:val="0051751B"/>
    <w:rsid w:val="00521273"/>
    <w:rsid w:val="0052286F"/>
    <w:rsid w:val="00523245"/>
    <w:rsid w:val="005252E1"/>
    <w:rsid w:val="005253F5"/>
    <w:rsid w:val="005273ED"/>
    <w:rsid w:val="00527C3D"/>
    <w:rsid w:val="00527EA0"/>
    <w:rsid w:val="005313FB"/>
    <w:rsid w:val="00536891"/>
    <w:rsid w:val="00545EE6"/>
    <w:rsid w:val="00546085"/>
    <w:rsid w:val="00551231"/>
    <w:rsid w:val="00551DB2"/>
    <w:rsid w:val="005525B3"/>
    <w:rsid w:val="00555602"/>
    <w:rsid w:val="005575C8"/>
    <w:rsid w:val="0056185D"/>
    <w:rsid w:val="00561ED7"/>
    <w:rsid w:val="00561FE4"/>
    <w:rsid w:val="00563790"/>
    <w:rsid w:val="00563D95"/>
    <w:rsid w:val="005640D9"/>
    <w:rsid w:val="00565114"/>
    <w:rsid w:val="00566788"/>
    <w:rsid w:val="00570338"/>
    <w:rsid w:val="00574219"/>
    <w:rsid w:val="005751B9"/>
    <w:rsid w:val="005756A7"/>
    <w:rsid w:val="005779A8"/>
    <w:rsid w:val="00581B35"/>
    <w:rsid w:val="00582BB0"/>
    <w:rsid w:val="00582BB6"/>
    <w:rsid w:val="005837FF"/>
    <w:rsid w:val="00584F6F"/>
    <w:rsid w:val="0059031F"/>
    <w:rsid w:val="00590AFF"/>
    <w:rsid w:val="00591785"/>
    <w:rsid w:val="00596283"/>
    <w:rsid w:val="0059690E"/>
    <w:rsid w:val="00597016"/>
    <w:rsid w:val="005974A2"/>
    <w:rsid w:val="0059767B"/>
    <w:rsid w:val="005A0758"/>
    <w:rsid w:val="005A30EE"/>
    <w:rsid w:val="005A5805"/>
    <w:rsid w:val="005A6506"/>
    <w:rsid w:val="005B06C7"/>
    <w:rsid w:val="005B09D0"/>
    <w:rsid w:val="005B1354"/>
    <w:rsid w:val="005B18FC"/>
    <w:rsid w:val="005B395E"/>
    <w:rsid w:val="005B6CFB"/>
    <w:rsid w:val="005B775D"/>
    <w:rsid w:val="005C19F1"/>
    <w:rsid w:val="005C2242"/>
    <w:rsid w:val="005C266F"/>
    <w:rsid w:val="005C2B2E"/>
    <w:rsid w:val="005C59A5"/>
    <w:rsid w:val="005C5CF1"/>
    <w:rsid w:val="005C6642"/>
    <w:rsid w:val="005C6721"/>
    <w:rsid w:val="005D2920"/>
    <w:rsid w:val="005D324F"/>
    <w:rsid w:val="005D36BE"/>
    <w:rsid w:val="005D370B"/>
    <w:rsid w:val="005D5DE6"/>
    <w:rsid w:val="005D5FA9"/>
    <w:rsid w:val="005D6CC7"/>
    <w:rsid w:val="005E0005"/>
    <w:rsid w:val="005E31F5"/>
    <w:rsid w:val="005E6443"/>
    <w:rsid w:val="005E64F0"/>
    <w:rsid w:val="005E6EE5"/>
    <w:rsid w:val="005E7777"/>
    <w:rsid w:val="005E7C39"/>
    <w:rsid w:val="005F1379"/>
    <w:rsid w:val="005F1CF1"/>
    <w:rsid w:val="005F2D57"/>
    <w:rsid w:val="005F3FB1"/>
    <w:rsid w:val="005F43BA"/>
    <w:rsid w:val="005F465D"/>
    <w:rsid w:val="005F4CD7"/>
    <w:rsid w:val="005F668C"/>
    <w:rsid w:val="005F70F3"/>
    <w:rsid w:val="005F7365"/>
    <w:rsid w:val="0060010A"/>
    <w:rsid w:val="006024C5"/>
    <w:rsid w:val="00602C82"/>
    <w:rsid w:val="006042FB"/>
    <w:rsid w:val="006046E1"/>
    <w:rsid w:val="00604BE9"/>
    <w:rsid w:val="00605432"/>
    <w:rsid w:val="006058E0"/>
    <w:rsid w:val="00606A2E"/>
    <w:rsid w:val="00607BA3"/>
    <w:rsid w:val="00610237"/>
    <w:rsid w:val="00610DF5"/>
    <w:rsid w:val="006110C1"/>
    <w:rsid w:val="00611860"/>
    <w:rsid w:val="00611DA3"/>
    <w:rsid w:val="0061203E"/>
    <w:rsid w:val="00614940"/>
    <w:rsid w:val="006153EE"/>
    <w:rsid w:val="00616842"/>
    <w:rsid w:val="00616D82"/>
    <w:rsid w:val="0061791A"/>
    <w:rsid w:val="00617BA4"/>
    <w:rsid w:val="00621964"/>
    <w:rsid w:val="00627832"/>
    <w:rsid w:val="00630413"/>
    <w:rsid w:val="00630EE1"/>
    <w:rsid w:val="006328ED"/>
    <w:rsid w:val="006350CD"/>
    <w:rsid w:val="00636CC4"/>
    <w:rsid w:val="00636F6D"/>
    <w:rsid w:val="006415B6"/>
    <w:rsid w:val="006418F6"/>
    <w:rsid w:val="00643667"/>
    <w:rsid w:val="00646DA7"/>
    <w:rsid w:val="0065008E"/>
    <w:rsid w:val="00652566"/>
    <w:rsid w:val="006546FF"/>
    <w:rsid w:val="0065526A"/>
    <w:rsid w:val="00655FFB"/>
    <w:rsid w:val="006575F1"/>
    <w:rsid w:val="006605D6"/>
    <w:rsid w:val="006615C6"/>
    <w:rsid w:val="00664E99"/>
    <w:rsid w:val="00665788"/>
    <w:rsid w:val="00671F90"/>
    <w:rsid w:val="00675EA3"/>
    <w:rsid w:val="0067711E"/>
    <w:rsid w:val="006779A6"/>
    <w:rsid w:val="0068081A"/>
    <w:rsid w:val="00680F77"/>
    <w:rsid w:val="00682E55"/>
    <w:rsid w:val="0068490D"/>
    <w:rsid w:val="00685ABD"/>
    <w:rsid w:val="00690910"/>
    <w:rsid w:val="00690D25"/>
    <w:rsid w:val="00692F30"/>
    <w:rsid w:val="00693147"/>
    <w:rsid w:val="0069671E"/>
    <w:rsid w:val="006A0C61"/>
    <w:rsid w:val="006A27B0"/>
    <w:rsid w:val="006A44E4"/>
    <w:rsid w:val="006A52B7"/>
    <w:rsid w:val="006A6D70"/>
    <w:rsid w:val="006B146B"/>
    <w:rsid w:val="006B217C"/>
    <w:rsid w:val="006B4910"/>
    <w:rsid w:val="006B52A4"/>
    <w:rsid w:val="006B67A1"/>
    <w:rsid w:val="006B6CBE"/>
    <w:rsid w:val="006B7BB6"/>
    <w:rsid w:val="006C0580"/>
    <w:rsid w:val="006C2987"/>
    <w:rsid w:val="006C51D5"/>
    <w:rsid w:val="006C5E11"/>
    <w:rsid w:val="006C6391"/>
    <w:rsid w:val="006C6A54"/>
    <w:rsid w:val="006D00D5"/>
    <w:rsid w:val="006D0E14"/>
    <w:rsid w:val="006D10C9"/>
    <w:rsid w:val="006D2C3E"/>
    <w:rsid w:val="006D2F61"/>
    <w:rsid w:val="006D423E"/>
    <w:rsid w:val="006D5794"/>
    <w:rsid w:val="006D700F"/>
    <w:rsid w:val="006D73BC"/>
    <w:rsid w:val="006E059F"/>
    <w:rsid w:val="006E10F2"/>
    <w:rsid w:val="006E1A60"/>
    <w:rsid w:val="006E1CB0"/>
    <w:rsid w:val="006E1EE7"/>
    <w:rsid w:val="006E2062"/>
    <w:rsid w:val="006E24AE"/>
    <w:rsid w:val="006E2DF1"/>
    <w:rsid w:val="006E4EDF"/>
    <w:rsid w:val="006E5D35"/>
    <w:rsid w:val="006E612C"/>
    <w:rsid w:val="006E65D3"/>
    <w:rsid w:val="006E755D"/>
    <w:rsid w:val="006E7F7F"/>
    <w:rsid w:val="006F00E2"/>
    <w:rsid w:val="006F06B9"/>
    <w:rsid w:val="006F0D63"/>
    <w:rsid w:val="006F1173"/>
    <w:rsid w:val="006F1E24"/>
    <w:rsid w:val="006F3677"/>
    <w:rsid w:val="006F3E13"/>
    <w:rsid w:val="006F6FEF"/>
    <w:rsid w:val="006F7FDC"/>
    <w:rsid w:val="0070148C"/>
    <w:rsid w:val="00702100"/>
    <w:rsid w:val="00702A32"/>
    <w:rsid w:val="0070423B"/>
    <w:rsid w:val="0070424F"/>
    <w:rsid w:val="00705678"/>
    <w:rsid w:val="00705B85"/>
    <w:rsid w:val="00706B96"/>
    <w:rsid w:val="00707330"/>
    <w:rsid w:val="00707E2C"/>
    <w:rsid w:val="007103E8"/>
    <w:rsid w:val="007111BD"/>
    <w:rsid w:val="0071267D"/>
    <w:rsid w:val="00712A4F"/>
    <w:rsid w:val="00712C12"/>
    <w:rsid w:val="00713E98"/>
    <w:rsid w:val="00714CE9"/>
    <w:rsid w:val="007177D4"/>
    <w:rsid w:val="00717E8E"/>
    <w:rsid w:val="00720094"/>
    <w:rsid w:val="007205E2"/>
    <w:rsid w:val="007210CB"/>
    <w:rsid w:val="00721543"/>
    <w:rsid w:val="007249B2"/>
    <w:rsid w:val="00725BAC"/>
    <w:rsid w:val="0072707B"/>
    <w:rsid w:val="00727902"/>
    <w:rsid w:val="00731438"/>
    <w:rsid w:val="00731AB1"/>
    <w:rsid w:val="00733195"/>
    <w:rsid w:val="007331EC"/>
    <w:rsid w:val="007335E7"/>
    <w:rsid w:val="00733AE3"/>
    <w:rsid w:val="00734406"/>
    <w:rsid w:val="00737076"/>
    <w:rsid w:val="007374A3"/>
    <w:rsid w:val="007412A4"/>
    <w:rsid w:val="00744C86"/>
    <w:rsid w:val="007451F6"/>
    <w:rsid w:val="00747306"/>
    <w:rsid w:val="007501ED"/>
    <w:rsid w:val="00750459"/>
    <w:rsid w:val="00750BF7"/>
    <w:rsid w:val="0075234C"/>
    <w:rsid w:val="00753D92"/>
    <w:rsid w:val="007549B6"/>
    <w:rsid w:val="00755AD5"/>
    <w:rsid w:val="007569AE"/>
    <w:rsid w:val="00757ABB"/>
    <w:rsid w:val="00760624"/>
    <w:rsid w:val="00760C66"/>
    <w:rsid w:val="00761DE1"/>
    <w:rsid w:val="00761EB6"/>
    <w:rsid w:val="007636DC"/>
    <w:rsid w:val="00763CA1"/>
    <w:rsid w:val="0076477B"/>
    <w:rsid w:val="00770A5D"/>
    <w:rsid w:val="00770D8A"/>
    <w:rsid w:val="0077147D"/>
    <w:rsid w:val="00772462"/>
    <w:rsid w:val="00772BEF"/>
    <w:rsid w:val="007749E5"/>
    <w:rsid w:val="00774FC8"/>
    <w:rsid w:val="0077641F"/>
    <w:rsid w:val="00777C07"/>
    <w:rsid w:val="007803FC"/>
    <w:rsid w:val="007817F3"/>
    <w:rsid w:val="00781D20"/>
    <w:rsid w:val="00782856"/>
    <w:rsid w:val="0078286D"/>
    <w:rsid w:val="00785D7F"/>
    <w:rsid w:val="007863A9"/>
    <w:rsid w:val="00786D5C"/>
    <w:rsid w:val="00787AFC"/>
    <w:rsid w:val="007929B5"/>
    <w:rsid w:val="00792DB9"/>
    <w:rsid w:val="00792FE9"/>
    <w:rsid w:val="00793920"/>
    <w:rsid w:val="00794158"/>
    <w:rsid w:val="00794A36"/>
    <w:rsid w:val="007955DB"/>
    <w:rsid w:val="0079588A"/>
    <w:rsid w:val="00795D82"/>
    <w:rsid w:val="007A1491"/>
    <w:rsid w:val="007A1511"/>
    <w:rsid w:val="007A2900"/>
    <w:rsid w:val="007A37F7"/>
    <w:rsid w:val="007A44C1"/>
    <w:rsid w:val="007A4BCB"/>
    <w:rsid w:val="007A5149"/>
    <w:rsid w:val="007B2BEB"/>
    <w:rsid w:val="007B3440"/>
    <w:rsid w:val="007B36C0"/>
    <w:rsid w:val="007B4A53"/>
    <w:rsid w:val="007B6586"/>
    <w:rsid w:val="007B6E7E"/>
    <w:rsid w:val="007B75A1"/>
    <w:rsid w:val="007B79E4"/>
    <w:rsid w:val="007C1B98"/>
    <w:rsid w:val="007C42D5"/>
    <w:rsid w:val="007D0011"/>
    <w:rsid w:val="007D1C75"/>
    <w:rsid w:val="007D25A5"/>
    <w:rsid w:val="007D37B5"/>
    <w:rsid w:val="007D4AD9"/>
    <w:rsid w:val="007D66CB"/>
    <w:rsid w:val="007E0A7F"/>
    <w:rsid w:val="007E1468"/>
    <w:rsid w:val="007E2C2D"/>
    <w:rsid w:val="007E2ECA"/>
    <w:rsid w:val="007E5536"/>
    <w:rsid w:val="007E5F08"/>
    <w:rsid w:val="007E6480"/>
    <w:rsid w:val="007E6C4A"/>
    <w:rsid w:val="007F31CF"/>
    <w:rsid w:val="007F4061"/>
    <w:rsid w:val="007F472C"/>
    <w:rsid w:val="007F6758"/>
    <w:rsid w:val="007F7921"/>
    <w:rsid w:val="0080041C"/>
    <w:rsid w:val="008006BD"/>
    <w:rsid w:val="00801536"/>
    <w:rsid w:val="00802A16"/>
    <w:rsid w:val="0080370D"/>
    <w:rsid w:val="008048C0"/>
    <w:rsid w:val="00805987"/>
    <w:rsid w:val="00805A9C"/>
    <w:rsid w:val="00805FAF"/>
    <w:rsid w:val="008061C0"/>
    <w:rsid w:val="0080733E"/>
    <w:rsid w:val="00807FFD"/>
    <w:rsid w:val="008111FA"/>
    <w:rsid w:val="008117F5"/>
    <w:rsid w:val="00811F28"/>
    <w:rsid w:val="00812EBA"/>
    <w:rsid w:val="00814492"/>
    <w:rsid w:val="0081468E"/>
    <w:rsid w:val="00814959"/>
    <w:rsid w:val="00814F3C"/>
    <w:rsid w:val="00815022"/>
    <w:rsid w:val="00816040"/>
    <w:rsid w:val="0082108A"/>
    <w:rsid w:val="0082172A"/>
    <w:rsid w:val="008249C0"/>
    <w:rsid w:val="008255A9"/>
    <w:rsid w:val="0082569E"/>
    <w:rsid w:val="00826770"/>
    <w:rsid w:val="00826853"/>
    <w:rsid w:val="0082788D"/>
    <w:rsid w:val="0083204B"/>
    <w:rsid w:val="00832288"/>
    <w:rsid w:val="00833BBC"/>
    <w:rsid w:val="008357C6"/>
    <w:rsid w:val="00835C20"/>
    <w:rsid w:val="00835D8D"/>
    <w:rsid w:val="008365F4"/>
    <w:rsid w:val="0083673D"/>
    <w:rsid w:val="00837649"/>
    <w:rsid w:val="0083775D"/>
    <w:rsid w:val="0084198E"/>
    <w:rsid w:val="00842028"/>
    <w:rsid w:val="00843C57"/>
    <w:rsid w:val="008440D6"/>
    <w:rsid w:val="00844147"/>
    <w:rsid w:val="00845B19"/>
    <w:rsid w:val="00850E40"/>
    <w:rsid w:val="00851D6B"/>
    <w:rsid w:val="00853E1B"/>
    <w:rsid w:val="0085466C"/>
    <w:rsid w:val="008568C2"/>
    <w:rsid w:val="00856BB2"/>
    <w:rsid w:val="00861183"/>
    <w:rsid w:val="008623B6"/>
    <w:rsid w:val="00863E7B"/>
    <w:rsid w:val="008644E0"/>
    <w:rsid w:val="00866933"/>
    <w:rsid w:val="008673EE"/>
    <w:rsid w:val="0086783F"/>
    <w:rsid w:val="0086794A"/>
    <w:rsid w:val="00870318"/>
    <w:rsid w:val="00871418"/>
    <w:rsid w:val="00871C22"/>
    <w:rsid w:val="00873AA9"/>
    <w:rsid w:val="00875960"/>
    <w:rsid w:val="00877C3F"/>
    <w:rsid w:val="00880922"/>
    <w:rsid w:val="00881161"/>
    <w:rsid w:val="008818C5"/>
    <w:rsid w:val="008823BD"/>
    <w:rsid w:val="00885534"/>
    <w:rsid w:val="0088584E"/>
    <w:rsid w:val="00886007"/>
    <w:rsid w:val="008875E5"/>
    <w:rsid w:val="008877A6"/>
    <w:rsid w:val="00890265"/>
    <w:rsid w:val="00891BCF"/>
    <w:rsid w:val="008937F1"/>
    <w:rsid w:val="0089442D"/>
    <w:rsid w:val="00895246"/>
    <w:rsid w:val="0089552B"/>
    <w:rsid w:val="0089637C"/>
    <w:rsid w:val="00897D09"/>
    <w:rsid w:val="008A0904"/>
    <w:rsid w:val="008A1248"/>
    <w:rsid w:val="008A1A10"/>
    <w:rsid w:val="008A23AD"/>
    <w:rsid w:val="008A25C7"/>
    <w:rsid w:val="008A2A92"/>
    <w:rsid w:val="008A2B05"/>
    <w:rsid w:val="008A6953"/>
    <w:rsid w:val="008B0DAA"/>
    <w:rsid w:val="008B0EAE"/>
    <w:rsid w:val="008B19B7"/>
    <w:rsid w:val="008B342A"/>
    <w:rsid w:val="008B7159"/>
    <w:rsid w:val="008C369D"/>
    <w:rsid w:val="008C3C1E"/>
    <w:rsid w:val="008C3E4C"/>
    <w:rsid w:val="008C5361"/>
    <w:rsid w:val="008D00D4"/>
    <w:rsid w:val="008D1AE7"/>
    <w:rsid w:val="008D215D"/>
    <w:rsid w:val="008D624D"/>
    <w:rsid w:val="008E0199"/>
    <w:rsid w:val="008E0B21"/>
    <w:rsid w:val="008E0C5A"/>
    <w:rsid w:val="008E24DF"/>
    <w:rsid w:val="008E3531"/>
    <w:rsid w:val="008E5237"/>
    <w:rsid w:val="008E6718"/>
    <w:rsid w:val="008F2C95"/>
    <w:rsid w:val="008F30C3"/>
    <w:rsid w:val="008F450B"/>
    <w:rsid w:val="008F55A3"/>
    <w:rsid w:val="00900301"/>
    <w:rsid w:val="0090080B"/>
    <w:rsid w:val="00900839"/>
    <w:rsid w:val="0090125E"/>
    <w:rsid w:val="009036C3"/>
    <w:rsid w:val="009046D3"/>
    <w:rsid w:val="00904806"/>
    <w:rsid w:val="00904DBF"/>
    <w:rsid w:val="00907202"/>
    <w:rsid w:val="00910A34"/>
    <w:rsid w:val="0091107D"/>
    <w:rsid w:val="009138BE"/>
    <w:rsid w:val="00914012"/>
    <w:rsid w:val="0091449E"/>
    <w:rsid w:val="00916AB4"/>
    <w:rsid w:val="00917366"/>
    <w:rsid w:val="00917C22"/>
    <w:rsid w:val="00920B7E"/>
    <w:rsid w:val="009220FE"/>
    <w:rsid w:val="00922B25"/>
    <w:rsid w:val="009232FB"/>
    <w:rsid w:val="00924358"/>
    <w:rsid w:val="009254CB"/>
    <w:rsid w:val="00925FE4"/>
    <w:rsid w:val="00927267"/>
    <w:rsid w:val="00934A6B"/>
    <w:rsid w:val="00934C9C"/>
    <w:rsid w:val="00935A2C"/>
    <w:rsid w:val="00936FF0"/>
    <w:rsid w:val="00937A9A"/>
    <w:rsid w:val="00937E2D"/>
    <w:rsid w:val="00940F95"/>
    <w:rsid w:val="00942989"/>
    <w:rsid w:val="009433EA"/>
    <w:rsid w:val="0094389C"/>
    <w:rsid w:val="00944044"/>
    <w:rsid w:val="00945FA9"/>
    <w:rsid w:val="0094779F"/>
    <w:rsid w:val="009500DA"/>
    <w:rsid w:val="009501C1"/>
    <w:rsid w:val="009516EE"/>
    <w:rsid w:val="009532A1"/>
    <w:rsid w:val="009533D5"/>
    <w:rsid w:val="009544A6"/>
    <w:rsid w:val="009547DF"/>
    <w:rsid w:val="00956D56"/>
    <w:rsid w:val="00957F8A"/>
    <w:rsid w:val="0096046F"/>
    <w:rsid w:val="00963E70"/>
    <w:rsid w:val="0097035A"/>
    <w:rsid w:val="00972138"/>
    <w:rsid w:val="0097571E"/>
    <w:rsid w:val="00975BE4"/>
    <w:rsid w:val="00976632"/>
    <w:rsid w:val="00977303"/>
    <w:rsid w:val="009808FF"/>
    <w:rsid w:val="009813FA"/>
    <w:rsid w:val="00990A02"/>
    <w:rsid w:val="00990CF8"/>
    <w:rsid w:val="00991E11"/>
    <w:rsid w:val="00993489"/>
    <w:rsid w:val="00995AC4"/>
    <w:rsid w:val="0099643E"/>
    <w:rsid w:val="009A08C1"/>
    <w:rsid w:val="009A133E"/>
    <w:rsid w:val="009A1723"/>
    <w:rsid w:val="009A247F"/>
    <w:rsid w:val="009A24B7"/>
    <w:rsid w:val="009A2540"/>
    <w:rsid w:val="009A418E"/>
    <w:rsid w:val="009A5239"/>
    <w:rsid w:val="009A5947"/>
    <w:rsid w:val="009A68D5"/>
    <w:rsid w:val="009A6D72"/>
    <w:rsid w:val="009A76AC"/>
    <w:rsid w:val="009A7B9E"/>
    <w:rsid w:val="009B17D6"/>
    <w:rsid w:val="009B26D3"/>
    <w:rsid w:val="009B2AC4"/>
    <w:rsid w:val="009B33A1"/>
    <w:rsid w:val="009B5258"/>
    <w:rsid w:val="009C2426"/>
    <w:rsid w:val="009C3C3C"/>
    <w:rsid w:val="009C50E6"/>
    <w:rsid w:val="009C6954"/>
    <w:rsid w:val="009C6A91"/>
    <w:rsid w:val="009D18BB"/>
    <w:rsid w:val="009D1A4D"/>
    <w:rsid w:val="009D2527"/>
    <w:rsid w:val="009D3207"/>
    <w:rsid w:val="009D3BB6"/>
    <w:rsid w:val="009D493B"/>
    <w:rsid w:val="009D5040"/>
    <w:rsid w:val="009D55F8"/>
    <w:rsid w:val="009D584B"/>
    <w:rsid w:val="009D69EE"/>
    <w:rsid w:val="009D6BA0"/>
    <w:rsid w:val="009D735A"/>
    <w:rsid w:val="009D73CF"/>
    <w:rsid w:val="009E0A3F"/>
    <w:rsid w:val="009E25C7"/>
    <w:rsid w:val="009E7896"/>
    <w:rsid w:val="009F44C0"/>
    <w:rsid w:val="009F67B3"/>
    <w:rsid w:val="009F680A"/>
    <w:rsid w:val="009F693B"/>
    <w:rsid w:val="009F69CA"/>
    <w:rsid w:val="009F7169"/>
    <w:rsid w:val="009F75B9"/>
    <w:rsid w:val="00A00576"/>
    <w:rsid w:val="00A006CC"/>
    <w:rsid w:val="00A006FD"/>
    <w:rsid w:val="00A00C23"/>
    <w:rsid w:val="00A02DEE"/>
    <w:rsid w:val="00A04039"/>
    <w:rsid w:val="00A0610B"/>
    <w:rsid w:val="00A10E8A"/>
    <w:rsid w:val="00A1148A"/>
    <w:rsid w:val="00A12036"/>
    <w:rsid w:val="00A12AA3"/>
    <w:rsid w:val="00A1346D"/>
    <w:rsid w:val="00A14976"/>
    <w:rsid w:val="00A14A32"/>
    <w:rsid w:val="00A169A8"/>
    <w:rsid w:val="00A20E63"/>
    <w:rsid w:val="00A2123D"/>
    <w:rsid w:val="00A230F2"/>
    <w:rsid w:val="00A239CD"/>
    <w:rsid w:val="00A24C5C"/>
    <w:rsid w:val="00A26E9B"/>
    <w:rsid w:val="00A30D0B"/>
    <w:rsid w:val="00A32282"/>
    <w:rsid w:val="00A34C85"/>
    <w:rsid w:val="00A36D70"/>
    <w:rsid w:val="00A37048"/>
    <w:rsid w:val="00A42DE6"/>
    <w:rsid w:val="00A44236"/>
    <w:rsid w:val="00A45935"/>
    <w:rsid w:val="00A47057"/>
    <w:rsid w:val="00A47737"/>
    <w:rsid w:val="00A47B15"/>
    <w:rsid w:val="00A51884"/>
    <w:rsid w:val="00A51A28"/>
    <w:rsid w:val="00A52A74"/>
    <w:rsid w:val="00A543D9"/>
    <w:rsid w:val="00A543F5"/>
    <w:rsid w:val="00A56E82"/>
    <w:rsid w:val="00A646D7"/>
    <w:rsid w:val="00A66658"/>
    <w:rsid w:val="00A73041"/>
    <w:rsid w:val="00A74710"/>
    <w:rsid w:val="00A77BCC"/>
    <w:rsid w:val="00A80BC0"/>
    <w:rsid w:val="00A810AE"/>
    <w:rsid w:val="00A816C5"/>
    <w:rsid w:val="00A8173F"/>
    <w:rsid w:val="00A81F4F"/>
    <w:rsid w:val="00A8254D"/>
    <w:rsid w:val="00A867DC"/>
    <w:rsid w:val="00A87845"/>
    <w:rsid w:val="00A9209D"/>
    <w:rsid w:val="00A92521"/>
    <w:rsid w:val="00A93060"/>
    <w:rsid w:val="00A93D35"/>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5594"/>
    <w:rsid w:val="00AA6CDE"/>
    <w:rsid w:val="00AA7BEE"/>
    <w:rsid w:val="00AB0D35"/>
    <w:rsid w:val="00AB16B4"/>
    <w:rsid w:val="00AB1762"/>
    <w:rsid w:val="00AB1F4A"/>
    <w:rsid w:val="00AB27F2"/>
    <w:rsid w:val="00AB2A87"/>
    <w:rsid w:val="00AB2BA4"/>
    <w:rsid w:val="00AB2D9E"/>
    <w:rsid w:val="00AB30F2"/>
    <w:rsid w:val="00AB44AE"/>
    <w:rsid w:val="00AB4BC9"/>
    <w:rsid w:val="00AB57EC"/>
    <w:rsid w:val="00AB7EB2"/>
    <w:rsid w:val="00AC0B40"/>
    <w:rsid w:val="00AC1440"/>
    <w:rsid w:val="00AC1C3F"/>
    <w:rsid w:val="00AC39AA"/>
    <w:rsid w:val="00AC5DBB"/>
    <w:rsid w:val="00AC61BC"/>
    <w:rsid w:val="00AC6B41"/>
    <w:rsid w:val="00AC6BC5"/>
    <w:rsid w:val="00AC7DFB"/>
    <w:rsid w:val="00AD0BD7"/>
    <w:rsid w:val="00AD183B"/>
    <w:rsid w:val="00AD2BA3"/>
    <w:rsid w:val="00AD38A2"/>
    <w:rsid w:val="00AD3EA5"/>
    <w:rsid w:val="00AD5B2B"/>
    <w:rsid w:val="00AD78CE"/>
    <w:rsid w:val="00AE0263"/>
    <w:rsid w:val="00AE0C36"/>
    <w:rsid w:val="00AE1E00"/>
    <w:rsid w:val="00AE358E"/>
    <w:rsid w:val="00AE36C6"/>
    <w:rsid w:val="00AE39D3"/>
    <w:rsid w:val="00AE4F0B"/>
    <w:rsid w:val="00AE4FCC"/>
    <w:rsid w:val="00AE5B73"/>
    <w:rsid w:val="00AE5E1E"/>
    <w:rsid w:val="00AE60DF"/>
    <w:rsid w:val="00AE701B"/>
    <w:rsid w:val="00AE7219"/>
    <w:rsid w:val="00AF01C7"/>
    <w:rsid w:val="00AF110B"/>
    <w:rsid w:val="00AF22E8"/>
    <w:rsid w:val="00AF3214"/>
    <w:rsid w:val="00AF3E75"/>
    <w:rsid w:val="00AF73AE"/>
    <w:rsid w:val="00B00FE0"/>
    <w:rsid w:val="00B02228"/>
    <w:rsid w:val="00B0247E"/>
    <w:rsid w:val="00B02847"/>
    <w:rsid w:val="00B041BE"/>
    <w:rsid w:val="00B054F1"/>
    <w:rsid w:val="00B06C6A"/>
    <w:rsid w:val="00B1181D"/>
    <w:rsid w:val="00B14735"/>
    <w:rsid w:val="00B160E9"/>
    <w:rsid w:val="00B1698D"/>
    <w:rsid w:val="00B17D44"/>
    <w:rsid w:val="00B252BA"/>
    <w:rsid w:val="00B25CA2"/>
    <w:rsid w:val="00B26470"/>
    <w:rsid w:val="00B2659C"/>
    <w:rsid w:val="00B27181"/>
    <w:rsid w:val="00B30C31"/>
    <w:rsid w:val="00B30FF5"/>
    <w:rsid w:val="00B32154"/>
    <w:rsid w:val="00B321FB"/>
    <w:rsid w:val="00B33DED"/>
    <w:rsid w:val="00B33E6E"/>
    <w:rsid w:val="00B37E85"/>
    <w:rsid w:val="00B4137C"/>
    <w:rsid w:val="00B41710"/>
    <w:rsid w:val="00B42C5E"/>
    <w:rsid w:val="00B43B6B"/>
    <w:rsid w:val="00B4537B"/>
    <w:rsid w:val="00B4587B"/>
    <w:rsid w:val="00B47C94"/>
    <w:rsid w:val="00B50DDF"/>
    <w:rsid w:val="00B55ACC"/>
    <w:rsid w:val="00B57FB4"/>
    <w:rsid w:val="00B6056B"/>
    <w:rsid w:val="00B60B49"/>
    <w:rsid w:val="00B61201"/>
    <w:rsid w:val="00B6145F"/>
    <w:rsid w:val="00B63554"/>
    <w:rsid w:val="00B63896"/>
    <w:rsid w:val="00B64F9C"/>
    <w:rsid w:val="00B706C9"/>
    <w:rsid w:val="00B70721"/>
    <w:rsid w:val="00B70AEE"/>
    <w:rsid w:val="00B71797"/>
    <w:rsid w:val="00B72ABC"/>
    <w:rsid w:val="00B732EF"/>
    <w:rsid w:val="00B744A2"/>
    <w:rsid w:val="00B7491C"/>
    <w:rsid w:val="00B758DB"/>
    <w:rsid w:val="00B80510"/>
    <w:rsid w:val="00B827B6"/>
    <w:rsid w:val="00B82F3F"/>
    <w:rsid w:val="00B862AB"/>
    <w:rsid w:val="00B932DE"/>
    <w:rsid w:val="00B934F2"/>
    <w:rsid w:val="00B94130"/>
    <w:rsid w:val="00B94552"/>
    <w:rsid w:val="00B945EE"/>
    <w:rsid w:val="00B94C44"/>
    <w:rsid w:val="00B95100"/>
    <w:rsid w:val="00B96374"/>
    <w:rsid w:val="00B971EA"/>
    <w:rsid w:val="00BA0DF5"/>
    <w:rsid w:val="00BA322F"/>
    <w:rsid w:val="00BA4448"/>
    <w:rsid w:val="00BA6F87"/>
    <w:rsid w:val="00BB2C54"/>
    <w:rsid w:val="00BB2E1D"/>
    <w:rsid w:val="00BB3844"/>
    <w:rsid w:val="00BB69A1"/>
    <w:rsid w:val="00BC00A0"/>
    <w:rsid w:val="00BC0B14"/>
    <w:rsid w:val="00BC1ADF"/>
    <w:rsid w:val="00BC1BBA"/>
    <w:rsid w:val="00BC2E77"/>
    <w:rsid w:val="00BC3ADC"/>
    <w:rsid w:val="00BC3FB8"/>
    <w:rsid w:val="00BC5248"/>
    <w:rsid w:val="00BC5A7A"/>
    <w:rsid w:val="00BD0921"/>
    <w:rsid w:val="00BD0978"/>
    <w:rsid w:val="00BD1EAB"/>
    <w:rsid w:val="00BD3E35"/>
    <w:rsid w:val="00BD63A1"/>
    <w:rsid w:val="00BD73DB"/>
    <w:rsid w:val="00BE00F7"/>
    <w:rsid w:val="00BE09D6"/>
    <w:rsid w:val="00BE2968"/>
    <w:rsid w:val="00BE3802"/>
    <w:rsid w:val="00BE4793"/>
    <w:rsid w:val="00BE5DF3"/>
    <w:rsid w:val="00BF192E"/>
    <w:rsid w:val="00BF21FD"/>
    <w:rsid w:val="00BF293F"/>
    <w:rsid w:val="00BF3DEA"/>
    <w:rsid w:val="00BF46DD"/>
    <w:rsid w:val="00BF4B7B"/>
    <w:rsid w:val="00BF5EE1"/>
    <w:rsid w:val="00C0091C"/>
    <w:rsid w:val="00C00E78"/>
    <w:rsid w:val="00C036DE"/>
    <w:rsid w:val="00C03744"/>
    <w:rsid w:val="00C03E64"/>
    <w:rsid w:val="00C04060"/>
    <w:rsid w:val="00C04A15"/>
    <w:rsid w:val="00C0679E"/>
    <w:rsid w:val="00C11670"/>
    <w:rsid w:val="00C125D4"/>
    <w:rsid w:val="00C13454"/>
    <w:rsid w:val="00C13846"/>
    <w:rsid w:val="00C16BDF"/>
    <w:rsid w:val="00C209AD"/>
    <w:rsid w:val="00C2283F"/>
    <w:rsid w:val="00C22868"/>
    <w:rsid w:val="00C2386F"/>
    <w:rsid w:val="00C245D5"/>
    <w:rsid w:val="00C271EA"/>
    <w:rsid w:val="00C30FB4"/>
    <w:rsid w:val="00C32279"/>
    <w:rsid w:val="00C32FCA"/>
    <w:rsid w:val="00C40E61"/>
    <w:rsid w:val="00C40F4A"/>
    <w:rsid w:val="00C40F80"/>
    <w:rsid w:val="00C41BED"/>
    <w:rsid w:val="00C41ECD"/>
    <w:rsid w:val="00C42551"/>
    <w:rsid w:val="00C42ECE"/>
    <w:rsid w:val="00C43FD1"/>
    <w:rsid w:val="00C457EA"/>
    <w:rsid w:val="00C45E0E"/>
    <w:rsid w:val="00C5132F"/>
    <w:rsid w:val="00C5172B"/>
    <w:rsid w:val="00C52F66"/>
    <w:rsid w:val="00C53D07"/>
    <w:rsid w:val="00C54601"/>
    <w:rsid w:val="00C54A3B"/>
    <w:rsid w:val="00C558F3"/>
    <w:rsid w:val="00C56634"/>
    <w:rsid w:val="00C56909"/>
    <w:rsid w:val="00C56EA6"/>
    <w:rsid w:val="00C578E0"/>
    <w:rsid w:val="00C57CE8"/>
    <w:rsid w:val="00C60DDD"/>
    <w:rsid w:val="00C65206"/>
    <w:rsid w:val="00C65DA8"/>
    <w:rsid w:val="00C66F74"/>
    <w:rsid w:val="00C66FC7"/>
    <w:rsid w:val="00C71298"/>
    <w:rsid w:val="00C71BA3"/>
    <w:rsid w:val="00C72278"/>
    <w:rsid w:val="00C72A6D"/>
    <w:rsid w:val="00C737B2"/>
    <w:rsid w:val="00C7518F"/>
    <w:rsid w:val="00C809EF"/>
    <w:rsid w:val="00C80DDB"/>
    <w:rsid w:val="00C8153C"/>
    <w:rsid w:val="00C81A62"/>
    <w:rsid w:val="00C82225"/>
    <w:rsid w:val="00C84B58"/>
    <w:rsid w:val="00C86560"/>
    <w:rsid w:val="00C9194F"/>
    <w:rsid w:val="00C92A5A"/>
    <w:rsid w:val="00C92F6F"/>
    <w:rsid w:val="00C9338F"/>
    <w:rsid w:val="00C93E1A"/>
    <w:rsid w:val="00C946EC"/>
    <w:rsid w:val="00C950A7"/>
    <w:rsid w:val="00C96828"/>
    <w:rsid w:val="00C968F5"/>
    <w:rsid w:val="00C96D42"/>
    <w:rsid w:val="00C96E9C"/>
    <w:rsid w:val="00CA3385"/>
    <w:rsid w:val="00CA409F"/>
    <w:rsid w:val="00CA55B1"/>
    <w:rsid w:val="00CA6653"/>
    <w:rsid w:val="00CA735E"/>
    <w:rsid w:val="00CA789A"/>
    <w:rsid w:val="00CA7F9C"/>
    <w:rsid w:val="00CB183B"/>
    <w:rsid w:val="00CB4408"/>
    <w:rsid w:val="00CB5673"/>
    <w:rsid w:val="00CB5DBF"/>
    <w:rsid w:val="00CB620F"/>
    <w:rsid w:val="00CB671B"/>
    <w:rsid w:val="00CB6EA0"/>
    <w:rsid w:val="00CB7366"/>
    <w:rsid w:val="00CC0E73"/>
    <w:rsid w:val="00CC23B8"/>
    <w:rsid w:val="00CC544F"/>
    <w:rsid w:val="00CC564A"/>
    <w:rsid w:val="00CC62D5"/>
    <w:rsid w:val="00CC67C5"/>
    <w:rsid w:val="00CC768D"/>
    <w:rsid w:val="00CD3B2D"/>
    <w:rsid w:val="00CD4F79"/>
    <w:rsid w:val="00CD5C06"/>
    <w:rsid w:val="00CD6419"/>
    <w:rsid w:val="00CD6E62"/>
    <w:rsid w:val="00CD71B7"/>
    <w:rsid w:val="00CD7620"/>
    <w:rsid w:val="00CE1270"/>
    <w:rsid w:val="00CE2935"/>
    <w:rsid w:val="00CE2F26"/>
    <w:rsid w:val="00CE3BFC"/>
    <w:rsid w:val="00CE3CCD"/>
    <w:rsid w:val="00CE65A7"/>
    <w:rsid w:val="00CE6FA5"/>
    <w:rsid w:val="00CE7FC9"/>
    <w:rsid w:val="00CF1ACB"/>
    <w:rsid w:val="00CF5051"/>
    <w:rsid w:val="00CF7A21"/>
    <w:rsid w:val="00D019BD"/>
    <w:rsid w:val="00D0249E"/>
    <w:rsid w:val="00D03E2F"/>
    <w:rsid w:val="00D0664B"/>
    <w:rsid w:val="00D07BCE"/>
    <w:rsid w:val="00D10D5D"/>
    <w:rsid w:val="00D1186C"/>
    <w:rsid w:val="00D139B0"/>
    <w:rsid w:val="00D14C42"/>
    <w:rsid w:val="00D16023"/>
    <w:rsid w:val="00D1672F"/>
    <w:rsid w:val="00D17480"/>
    <w:rsid w:val="00D25479"/>
    <w:rsid w:val="00D3078E"/>
    <w:rsid w:val="00D32E06"/>
    <w:rsid w:val="00D350CB"/>
    <w:rsid w:val="00D36152"/>
    <w:rsid w:val="00D40456"/>
    <w:rsid w:val="00D40E25"/>
    <w:rsid w:val="00D429ED"/>
    <w:rsid w:val="00D431C5"/>
    <w:rsid w:val="00D445C9"/>
    <w:rsid w:val="00D45BF4"/>
    <w:rsid w:val="00D45F1D"/>
    <w:rsid w:val="00D46054"/>
    <w:rsid w:val="00D519DF"/>
    <w:rsid w:val="00D51CFE"/>
    <w:rsid w:val="00D51F29"/>
    <w:rsid w:val="00D53B49"/>
    <w:rsid w:val="00D54B98"/>
    <w:rsid w:val="00D550FB"/>
    <w:rsid w:val="00D60837"/>
    <w:rsid w:val="00D62209"/>
    <w:rsid w:val="00D628A0"/>
    <w:rsid w:val="00D63378"/>
    <w:rsid w:val="00D64421"/>
    <w:rsid w:val="00D65F65"/>
    <w:rsid w:val="00D66567"/>
    <w:rsid w:val="00D6667C"/>
    <w:rsid w:val="00D6678B"/>
    <w:rsid w:val="00D67C29"/>
    <w:rsid w:val="00D70527"/>
    <w:rsid w:val="00D72D53"/>
    <w:rsid w:val="00D7502D"/>
    <w:rsid w:val="00D77022"/>
    <w:rsid w:val="00D77220"/>
    <w:rsid w:val="00D8056C"/>
    <w:rsid w:val="00D80DCF"/>
    <w:rsid w:val="00D81167"/>
    <w:rsid w:val="00D815EF"/>
    <w:rsid w:val="00D82EBA"/>
    <w:rsid w:val="00D8346E"/>
    <w:rsid w:val="00D85570"/>
    <w:rsid w:val="00D8574D"/>
    <w:rsid w:val="00D85C2F"/>
    <w:rsid w:val="00D864DA"/>
    <w:rsid w:val="00D8666E"/>
    <w:rsid w:val="00D86779"/>
    <w:rsid w:val="00D86B5B"/>
    <w:rsid w:val="00D87E7D"/>
    <w:rsid w:val="00D92B8C"/>
    <w:rsid w:val="00D9318B"/>
    <w:rsid w:val="00D938CD"/>
    <w:rsid w:val="00D9578C"/>
    <w:rsid w:val="00D97BD0"/>
    <w:rsid w:val="00DA2E89"/>
    <w:rsid w:val="00DA37E3"/>
    <w:rsid w:val="00DA3DA5"/>
    <w:rsid w:val="00DA5BF1"/>
    <w:rsid w:val="00DA6871"/>
    <w:rsid w:val="00DA6A03"/>
    <w:rsid w:val="00DB0DD9"/>
    <w:rsid w:val="00DB3E36"/>
    <w:rsid w:val="00DB7FCC"/>
    <w:rsid w:val="00DC1551"/>
    <w:rsid w:val="00DC30EC"/>
    <w:rsid w:val="00DC4593"/>
    <w:rsid w:val="00DC4CAF"/>
    <w:rsid w:val="00DD1351"/>
    <w:rsid w:val="00DD196B"/>
    <w:rsid w:val="00DD2FB8"/>
    <w:rsid w:val="00DD31CA"/>
    <w:rsid w:val="00DD69EA"/>
    <w:rsid w:val="00DD6BEE"/>
    <w:rsid w:val="00DE0402"/>
    <w:rsid w:val="00DE1DC2"/>
    <w:rsid w:val="00DE502A"/>
    <w:rsid w:val="00DE7D4F"/>
    <w:rsid w:val="00DF0726"/>
    <w:rsid w:val="00DF1EEB"/>
    <w:rsid w:val="00DF2223"/>
    <w:rsid w:val="00DF3F16"/>
    <w:rsid w:val="00DF41C8"/>
    <w:rsid w:val="00DF4FE9"/>
    <w:rsid w:val="00E000E1"/>
    <w:rsid w:val="00E0103B"/>
    <w:rsid w:val="00E017F1"/>
    <w:rsid w:val="00E02EA9"/>
    <w:rsid w:val="00E03341"/>
    <w:rsid w:val="00E04274"/>
    <w:rsid w:val="00E044C5"/>
    <w:rsid w:val="00E046AB"/>
    <w:rsid w:val="00E05A7A"/>
    <w:rsid w:val="00E07490"/>
    <w:rsid w:val="00E10579"/>
    <w:rsid w:val="00E107DE"/>
    <w:rsid w:val="00E1267E"/>
    <w:rsid w:val="00E12D61"/>
    <w:rsid w:val="00E12D63"/>
    <w:rsid w:val="00E12DF8"/>
    <w:rsid w:val="00E14F2C"/>
    <w:rsid w:val="00E16594"/>
    <w:rsid w:val="00E16CE2"/>
    <w:rsid w:val="00E17822"/>
    <w:rsid w:val="00E20571"/>
    <w:rsid w:val="00E21206"/>
    <w:rsid w:val="00E21C3D"/>
    <w:rsid w:val="00E22D9E"/>
    <w:rsid w:val="00E238A5"/>
    <w:rsid w:val="00E25FC7"/>
    <w:rsid w:val="00E26AB2"/>
    <w:rsid w:val="00E271DD"/>
    <w:rsid w:val="00E3060D"/>
    <w:rsid w:val="00E31572"/>
    <w:rsid w:val="00E344C7"/>
    <w:rsid w:val="00E34D84"/>
    <w:rsid w:val="00E377EE"/>
    <w:rsid w:val="00E37D90"/>
    <w:rsid w:val="00E37E9F"/>
    <w:rsid w:val="00E40DC9"/>
    <w:rsid w:val="00E41077"/>
    <w:rsid w:val="00E414FF"/>
    <w:rsid w:val="00E41CE2"/>
    <w:rsid w:val="00E428D6"/>
    <w:rsid w:val="00E438E8"/>
    <w:rsid w:val="00E46CE7"/>
    <w:rsid w:val="00E545BA"/>
    <w:rsid w:val="00E5493D"/>
    <w:rsid w:val="00E55D0A"/>
    <w:rsid w:val="00E564F2"/>
    <w:rsid w:val="00E56817"/>
    <w:rsid w:val="00E57130"/>
    <w:rsid w:val="00E572A9"/>
    <w:rsid w:val="00E578BC"/>
    <w:rsid w:val="00E57B02"/>
    <w:rsid w:val="00E60D8B"/>
    <w:rsid w:val="00E61079"/>
    <w:rsid w:val="00E61728"/>
    <w:rsid w:val="00E618AB"/>
    <w:rsid w:val="00E61B46"/>
    <w:rsid w:val="00E62505"/>
    <w:rsid w:val="00E64F0C"/>
    <w:rsid w:val="00E659F3"/>
    <w:rsid w:val="00E674CA"/>
    <w:rsid w:val="00E7573E"/>
    <w:rsid w:val="00E766CA"/>
    <w:rsid w:val="00E80341"/>
    <w:rsid w:val="00E82610"/>
    <w:rsid w:val="00E84AC3"/>
    <w:rsid w:val="00E84DDD"/>
    <w:rsid w:val="00E90216"/>
    <w:rsid w:val="00E930E1"/>
    <w:rsid w:val="00E9404A"/>
    <w:rsid w:val="00E946E4"/>
    <w:rsid w:val="00E95ECE"/>
    <w:rsid w:val="00EA0264"/>
    <w:rsid w:val="00EA0D60"/>
    <w:rsid w:val="00EA1832"/>
    <w:rsid w:val="00EA1F60"/>
    <w:rsid w:val="00EA2125"/>
    <w:rsid w:val="00EA2263"/>
    <w:rsid w:val="00EA280F"/>
    <w:rsid w:val="00EA5952"/>
    <w:rsid w:val="00EA637C"/>
    <w:rsid w:val="00EA7529"/>
    <w:rsid w:val="00EB2ACE"/>
    <w:rsid w:val="00EB3D0B"/>
    <w:rsid w:val="00EB4D58"/>
    <w:rsid w:val="00EB4EB2"/>
    <w:rsid w:val="00EB6438"/>
    <w:rsid w:val="00EB73C7"/>
    <w:rsid w:val="00EC00AE"/>
    <w:rsid w:val="00EC101C"/>
    <w:rsid w:val="00EC1384"/>
    <w:rsid w:val="00EC2363"/>
    <w:rsid w:val="00EC2BD7"/>
    <w:rsid w:val="00EC683A"/>
    <w:rsid w:val="00EC6A71"/>
    <w:rsid w:val="00EC77F8"/>
    <w:rsid w:val="00EC7AC3"/>
    <w:rsid w:val="00ED1B29"/>
    <w:rsid w:val="00ED1BC7"/>
    <w:rsid w:val="00ED3298"/>
    <w:rsid w:val="00ED4618"/>
    <w:rsid w:val="00ED7042"/>
    <w:rsid w:val="00EE05BF"/>
    <w:rsid w:val="00EE0955"/>
    <w:rsid w:val="00EE140D"/>
    <w:rsid w:val="00EE36BD"/>
    <w:rsid w:val="00EE468A"/>
    <w:rsid w:val="00EE4A8C"/>
    <w:rsid w:val="00EE4E23"/>
    <w:rsid w:val="00EE76F6"/>
    <w:rsid w:val="00EF0B4B"/>
    <w:rsid w:val="00EF0F01"/>
    <w:rsid w:val="00EF13C3"/>
    <w:rsid w:val="00EF5FBF"/>
    <w:rsid w:val="00EF7214"/>
    <w:rsid w:val="00F01208"/>
    <w:rsid w:val="00F02123"/>
    <w:rsid w:val="00F0266E"/>
    <w:rsid w:val="00F03BA4"/>
    <w:rsid w:val="00F03E2E"/>
    <w:rsid w:val="00F07D34"/>
    <w:rsid w:val="00F1020A"/>
    <w:rsid w:val="00F1331D"/>
    <w:rsid w:val="00F15CF1"/>
    <w:rsid w:val="00F21884"/>
    <w:rsid w:val="00F2620A"/>
    <w:rsid w:val="00F26CC1"/>
    <w:rsid w:val="00F326BB"/>
    <w:rsid w:val="00F34686"/>
    <w:rsid w:val="00F350DB"/>
    <w:rsid w:val="00F372FA"/>
    <w:rsid w:val="00F37755"/>
    <w:rsid w:val="00F402B2"/>
    <w:rsid w:val="00F420F4"/>
    <w:rsid w:val="00F448AC"/>
    <w:rsid w:val="00F450F5"/>
    <w:rsid w:val="00F45406"/>
    <w:rsid w:val="00F45DA4"/>
    <w:rsid w:val="00F50453"/>
    <w:rsid w:val="00F51A7E"/>
    <w:rsid w:val="00F5255D"/>
    <w:rsid w:val="00F53647"/>
    <w:rsid w:val="00F53CD2"/>
    <w:rsid w:val="00F54D14"/>
    <w:rsid w:val="00F55C32"/>
    <w:rsid w:val="00F55E06"/>
    <w:rsid w:val="00F567ED"/>
    <w:rsid w:val="00F56EBA"/>
    <w:rsid w:val="00F61EE0"/>
    <w:rsid w:val="00F66069"/>
    <w:rsid w:val="00F66D6A"/>
    <w:rsid w:val="00F67223"/>
    <w:rsid w:val="00F678D9"/>
    <w:rsid w:val="00F732C5"/>
    <w:rsid w:val="00F74C2A"/>
    <w:rsid w:val="00F767F8"/>
    <w:rsid w:val="00F803FE"/>
    <w:rsid w:val="00F86C4B"/>
    <w:rsid w:val="00F86E29"/>
    <w:rsid w:val="00F90212"/>
    <w:rsid w:val="00F918BE"/>
    <w:rsid w:val="00F9236D"/>
    <w:rsid w:val="00F92829"/>
    <w:rsid w:val="00F949F9"/>
    <w:rsid w:val="00F95618"/>
    <w:rsid w:val="00F96F7F"/>
    <w:rsid w:val="00F97221"/>
    <w:rsid w:val="00FA0164"/>
    <w:rsid w:val="00FA02A9"/>
    <w:rsid w:val="00FA0766"/>
    <w:rsid w:val="00FA1B58"/>
    <w:rsid w:val="00FA220A"/>
    <w:rsid w:val="00FA2292"/>
    <w:rsid w:val="00FA2DFB"/>
    <w:rsid w:val="00FA4BCF"/>
    <w:rsid w:val="00FA5C5E"/>
    <w:rsid w:val="00FB1396"/>
    <w:rsid w:val="00FB1F72"/>
    <w:rsid w:val="00FB3574"/>
    <w:rsid w:val="00FB4578"/>
    <w:rsid w:val="00FB6BB2"/>
    <w:rsid w:val="00FB755D"/>
    <w:rsid w:val="00FC1548"/>
    <w:rsid w:val="00FC2384"/>
    <w:rsid w:val="00FC369C"/>
    <w:rsid w:val="00FC3BEF"/>
    <w:rsid w:val="00FC5707"/>
    <w:rsid w:val="00FD285A"/>
    <w:rsid w:val="00FD367A"/>
    <w:rsid w:val="00FD4E8D"/>
    <w:rsid w:val="00FD7688"/>
    <w:rsid w:val="00FE08B7"/>
    <w:rsid w:val="00FE221B"/>
    <w:rsid w:val="00FE2A5F"/>
    <w:rsid w:val="00FE3479"/>
    <w:rsid w:val="00FF06E6"/>
    <w:rsid w:val="00FF0EE0"/>
    <w:rsid w:val="00FF1818"/>
    <w:rsid w:val="00FF1848"/>
    <w:rsid w:val="00FF2527"/>
    <w:rsid w:val="00FF2994"/>
    <w:rsid w:val="00FF2A61"/>
    <w:rsid w:val="00FF48A0"/>
    <w:rsid w:val="00FF5843"/>
    <w:rsid w:val="00FF734E"/>
    <w:rsid w:val="00FF7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4F079"/>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pPr>
        <w:spacing w:line="48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aliases w:val="Char Char,Char Char Char Char Char Char Char,Char Char Char Char Char Char Char Char,Char Char Char Char Char Char,Char Char Char Char Cha,Char Char Char Char Char Char Char Char Char Char Char,Char Char Char Char Char"/>
    <w:basedOn w:val="Normal"/>
    <w:link w:val="FootnoteTextChar"/>
    <w:uiPriority w:val="99"/>
    <w:qFormat/>
    <w:rsid w:val="00C245D5"/>
    <w:rPr>
      <w:sz w:val="20"/>
      <w:szCs w:val="20"/>
    </w:rPr>
  </w:style>
  <w:style w:type="character" w:customStyle="1" w:styleId="FootnoteTextChar">
    <w:name w:val="Footnote Text Char"/>
    <w:aliases w:val="Char Char Char,Char Char Char Char Char Char Char Char1,Char Char Char Char Char Char Char Char Char,Char Char Char Char Char Char Char1,Char Char Char Char Cha Char,Char Char Char Char Char Char Char Char Char Char Char Char"/>
    <w:link w:val="FootnoteText"/>
    <w:uiPriority w:val="99"/>
    <w:rsid w:val="00C245D5"/>
    <w:rPr>
      <w:lang w:val="en-GB" w:eastAsia="zh-CN"/>
    </w:rPr>
  </w:style>
  <w:style w:type="character" w:styleId="FootnoteReference">
    <w:name w:val="footnote reference"/>
    <w:aliases w:val="Bow_Footnote Reference,BL_Footnote Reference,Footnotes refss,Footnote Reference + Superscript,(NECG) Footnote Reference,Appel note de bas de page,Ref,de nota al pie,註腳內容"/>
    <w:uiPriority w:val="99"/>
    <w:rsid w:val="00C245D5"/>
    <w:rPr>
      <w:vertAlign w:val="superscript"/>
    </w:rPr>
  </w:style>
  <w:style w:type="paragraph" w:customStyle="1" w:styleId="Default">
    <w:name w:val="Default"/>
    <w:rsid w:val="0080370D"/>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paragraph" w:customStyle="1" w:styleId="BowLevel1ListAlt">
    <w:name w:val="Bow_Level 1 List Alt+["/>
    <w:basedOn w:val="Normal"/>
    <w:rsid w:val="00D40E25"/>
    <w:pPr>
      <w:numPr>
        <w:numId w:val="2"/>
      </w:numPr>
      <w:spacing w:after="200" w:line="360" w:lineRule="auto"/>
      <w:jc w:val="both"/>
    </w:pPr>
    <w:rPr>
      <w:rFonts w:ascii="Century Gothic" w:eastAsia="Times New Roman" w:hAnsi="Century Gothic"/>
      <w:sz w:val="18"/>
      <w:szCs w:val="18"/>
      <w:lang w:val="en-US" w:eastAsia="en-US"/>
    </w:rPr>
  </w:style>
  <w:style w:type="paragraph" w:customStyle="1" w:styleId="BowLevel2ListAlt">
    <w:name w:val="Bow_Level 2 List Alt ]"/>
    <w:basedOn w:val="Normal"/>
    <w:rsid w:val="00D40E25"/>
    <w:pPr>
      <w:numPr>
        <w:ilvl w:val="1"/>
        <w:numId w:val="2"/>
      </w:numPr>
      <w:spacing w:after="200" w:line="360" w:lineRule="auto"/>
      <w:jc w:val="both"/>
    </w:pPr>
    <w:rPr>
      <w:rFonts w:ascii="Century Gothic" w:eastAsia="Times New Roman" w:hAnsi="Century Gothic"/>
      <w:sz w:val="18"/>
      <w:szCs w:val="18"/>
      <w:lang w:val="en-ZA" w:eastAsia="en-US"/>
    </w:rPr>
  </w:style>
  <w:style w:type="paragraph" w:customStyle="1" w:styleId="BowLevel3ListAlt">
    <w:name w:val="Bow_Level 3 List Alt+'"/>
    <w:basedOn w:val="Normal"/>
    <w:rsid w:val="00D40E25"/>
    <w:pPr>
      <w:numPr>
        <w:ilvl w:val="2"/>
        <w:numId w:val="2"/>
      </w:numPr>
      <w:spacing w:after="200" w:line="360" w:lineRule="auto"/>
      <w:jc w:val="both"/>
    </w:pPr>
    <w:rPr>
      <w:rFonts w:ascii="Century Gothic" w:eastAsia="Times New Roman" w:hAnsi="Century Gothic"/>
      <w:sz w:val="18"/>
      <w:szCs w:val="18"/>
      <w:lang w:val="en-US" w:eastAsia="en-US"/>
    </w:rPr>
  </w:style>
  <w:style w:type="paragraph" w:customStyle="1" w:styleId="BowLevel4ListAlt">
    <w:name w:val="Bow_Level 4 List Alt+/"/>
    <w:basedOn w:val="Normal"/>
    <w:rsid w:val="00D40E25"/>
    <w:pPr>
      <w:numPr>
        <w:ilvl w:val="3"/>
        <w:numId w:val="2"/>
      </w:numPr>
      <w:spacing w:after="200" w:line="360" w:lineRule="auto"/>
      <w:jc w:val="both"/>
    </w:pPr>
    <w:rPr>
      <w:rFonts w:ascii="Century Gothic" w:eastAsia="Times New Roman" w:hAnsi="Century Gothic"/>
      <w:sz w:val="18"/>
      <w:szCs w:val="18"/>
      <w:lang w:val="en-ZA" w:eastAsia="en-US"/>
    </w:rPr>
  </w:style>
  <w:style w:type="paragraph" w:customStyle="1" w:styleId="BowLevel5ListAlt">
    <w:name w:val="Bow_Level 5 List Alt+."/>
    <w:basedOn w:val="Normal"/>
    <w:rsid w:val="00D40E25"/>
    <w:pPr>
      <w:numPr>
        <w:ilvl w:val="4"/>
        <w:numId w:val="2"/>
      </w:numPr>
      <w:spacing w:after="200" w:line="360" w:lineRule="auto"/>
      <w:jc w:val="both"/>
    </w:pPr>
    <w:rPr>
      <w:rFonts w:ascii="Century Gothic" w:eastAsia="Times New Roman" w:hAnsi="Century Gothic"/>
      <w:sz w:val="18"/>
      <w:szCs w:val="18"/>
      <w:lang w:val="en-US" w:eastAsia="en-US"/>
    </w:rPr>
  </w:style>
  <w:style w:type="paragraph" w:customStyle="1" w:styleId="BowLevel6ListAlt">
    <w:name w:val="Bow_Level 6 List Alt+"/>
    <w:basedOn w:val="Normal"/>
    <w:rsid w:val="00D40E25"/>
    <w:pPr>
      <w:numPr>
        <w:ilvl w:val="5"/>
        <w:numId w:val="2"/>
      </w:numPr>
      <w:spacing w:after="200" w:line="360" w:lineRule="auto"/>
      <w:jc w:val="both"/>
    </w:pPr>
    <w:rPr>
      <w:rFonts w:ascii="Century Gothic" w:eastAsia="Times New Roman" w:hAnsi="Century Gothic"/>
      <w:sz w:val="18"/>
      <w:szCs w:val="18"/>
      <w:lang w:val="en-US" w:eastAsia="en-US"/>
    </w:rPr>
  </w:style>
  <w:style w:type="paragraph" w:customStyle="1" w:styleId="BowLevel7ListAltM">
    <w:name w:val="Bow_Level 7 List Alt+M"/>
    <w:basedOn w:val="Normal"/>
    <w:rsid w:val="00D40E25"/>
    <w:pPr>
      <w:numPr>
        <w:ilvl w:val="6"/>
        <w:numId w:val="2"/>
      </w:numPr>
      <w:spacing w:after="200" w:line="360" w:lineRule="auto"/>
      <w:jc w:val="both"/>
    </w:pPr>
    <w:rPr>
      <w:rFonts w:ascii="Century Gothic" w:eastAsia="Times New Roman" w:hAnsi="Century Gothic"/>
      <w:sz w:val="18"/>
      <w:szCs w:val="18"/>
      <w:lang w:val="en-US" w:eastAsia="en-US"/>
    </w:rPr>
  </w:style>
  <w:style w:type="character" w:customStyle="1" w:styleId="UnresolvedMention">
    <w:name w:val="Unresolved Mention"/>
    <w:basedOn w:val="DefaultParagraphFont"/>
    <w:uiPriority w:val="99"/>
    <w:semiHidden/>
    <w:unhideWhenUsed/>
    <w:rsid w:val="005A6506"/>
    <w:rPr>
      <w:color w:val="605E5C"/>
      <w:shd w:val="clear" w:color="auto" w:fill="E1DFDD"/>
    </w:rPr>
  </w:style>
  <w:style w:type="paragraph" w:styleId="CommentText">
    <w:name w:val="annotation text"/>
    <w:basedOn w:val="Normal"/>
    <w:link w:val="CommentTextChar"/>
    <w:uiPriority w:val="99"/>
    <w:unhideWhenUsed/>
    <w:rsid w:val="00714CE9"/>
    <w:pPr>
      <w:spacing w:line="240" w:lineRule="auto"/>
      <w:jc w:val="both"/>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rsid w:val="00714CE9"/>
    <w:rPr>
      <w:rFonts w:ascii="Arial" w:eastAsia="Times New Roman" w:hAnsi="Arial" w:cs="Arial"/>
      <w:lang w:val="en-GB" w:eastAsia="en-GB"/>
    </w:rPr>
  </w:style>
  <w:style w:type="paragraph" w:customStyle="1" w:styleId="ColorfulList-Accent11">
    <w:name w:val="Colorful List - Accent 11"/>
    <w:basedOn w:val="Normal"/>
    <w:uiPriority w:val="34"/>
    <w:qFormat/>
    <w:rsid w:val="00714CE9"/>
    <w:pPr>
      <w:spacing w:line="240" w:lineRule="auto"/>
      <w:ind w:left="720"/>
      <w:contextualSpacing/>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nathanh@savage.co.za" TargetMode="External"/><Relationship Id="rId4" Type="http://schemas.openxmlformats.org/officeDocument/2006/relationships/settings" Target="settings.xml"/><Relationship Id="rId9" Type="http://schemas.openxmlformats.org/officeDocument/2006/relationships/hyperlink" Target="mailto:jana@jacoroos.co.z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27B4-AE2E-45FC-A502-C0D5B344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17337</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Mokone</cp:lastModifiedBy>
  <cp:revision>3</cp:revision>
  <cp:lastPrinted>2022-10-28T06:08:00Z</cp:lastPrinted>
  <dcterms:created xsi:type="dcterms:W3CDTF">2022-11-14T13:03:00Z</dcterms:created>
  <dcterms:modified xsi:type="dcterms:W3CDTF">2022-11-14T13:04:00Z</dcterms:modified>
</cp:coreProperties>
</file>