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82" w:rsidRPr="00D13550" w:rsidRDefault="00475182" w:rsidP="00475182">
      <w:pPr>
        <w:jc w:val="center"/>
        <w:rPr>
          <w:rFonts w:ascii="Century Gothic" w:hAnsi="Century Gothic"/>
          <w:b/>
          <w:u w:val="none"/>
        </w:rPr>
      </w:pPr>
      <w:r w:rsidRPr="00D13550">
        <w:rPr>
          <w:rFonts w:ascii="Century Gothic" w:hAnsi="Century Gothic"/>
          <w:b/>
          <w:u w:val="none"/>
        </w:rPr>
        <w:t>IN THE HIGH COURT OF SOUTH AFRICA</w:t>
      </w:r>
    </w:p>
    <w:p w:rsidR="00475182" w:rsidRPr="00D13550" w:rsidRDefault="00475182" w:rsidP="00475182">
      <w:pPr>
        <w:jc w:val="center"/>
        <w:rPr>
          <w:rFonts w:ascii="Century Gothic" w:hAnsi="Century Gothic"/>
          <w:b/>
          <w:u w:val="none"/>
        </w:rPr>
      </w:pPr>
    </w:p>
    <w:p w:rsidR="00475182" w:rsidRPr="00D13550" w:rsidRDefault="00475182" w:rsidP="00475182">
      <w:pPr>
        <w:jc w:val="center"/>
        <w:rPr>
          <w:rFonts w:ascii="Century Gothic" w:hAnsi="Century Gothic"/>
          <w:b/>
          <w:u w:val="none"/>
        </w:rPr>
      </w:pPr>
      <w:r w:rsidRPr="00D13550">
        <w:rPr>
          <w:rFonts w:ascii="Century Gothic" w:hAnsi="Century Gothic"/>
          <w:b/>
          <w:u w:val="none"/>
        </w:rPr>
        <w:t>(GAUTENG DIVISION, PRETORIA)</w:t>
      </w:r>
    </w:p>
    <w:p w:rsidR="00475182" w:rsidRPr="00D13550" w:rsidRDefault="00475182" w:rsidP="00475182">
      <w:pPr>
        <w:rPr>
          <w:rFonts w:ascii="Century Gothic" w:hAnsi="Century Gothic"/>
          <w:b/>
          <w:u w:val="none"/>
        </w:rPr>
      </w:pPr>
    </w:p>
    <w:p w:rsidR="00475182" w:rsidRPr="00D13550" w:rsidRDefault="00475182" w:rsidP="00475182">
      <w:pPr>
        <w:jc w:val="center"/>
        <w:rPr>
          <w:rFonts w:ascii="Century Gothic" w:hAnsi="Century Gothic"/>
          <w:b/>
          <w:u w:val="none"/>
        </w:rPr>
      </w:pPr>
      <w:r w:rsidRPr="00D13550">
        <w:rPr>
          <w:rFonts w:ascii="Century Gothic" w:hAnsi="Century Gothic"/>
          <w:b/>
          <w:noProof/>
          <w:u w:val="none"/>
          <w:lang w:val="en-US" w:eastAsia="en-US"/>
        </w:rPr>
        <mc:AlternateContent>
          <mc:Choice Requires="wpc">
            <w:drawing>
              <wp:inline distT="0" distB="0" distL="0" distR="0" wp14:anchorId="3317FEDA" wp14:editId="3A98C2A5">
                <wp:extent cx="2095500" cy="161925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83820" y="0"/>
                            <a:ext cx="1723390" cy="1619250"/>
                          </a:xfrm>
                          <a:prstGeom prst="rect">
                            <a:avLst/>
                          </a:prstGeom>
                          <a:noFill/>
                          <a:ln>
                            <a:noFill/>
                          </a:ln>
                        </pic:spPr>
                      </pic:pic>
                    </wpc:wpc>
                  </a:graphicData>
                </a:graphic>
              </wp:inline>
            </w:drawing>
          </mc:Choice>
          <mc:Fallback xmlns:cx1="http://schemas.microsoft.com/office/drawing/2015/9/8/chartex" xmlns:w16se="http://schemas.microsoft.com/office/word/2015/wordml/symex" xmlns:cx="http://schemas.microsoft.com/office/drawing/2014/chartex">
            <w:pict>
              <v:group w14:anchorId="0C568E99" id="Canvas 2" o:spid="_x0000_s1026" editas="canvas" style="width:165pt;height:127.5pt;mso-position-horizontal-relative:char;mso-position-vertical-relative:line" coordsize="20955,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16192;visibility:visible;mso-wrap-style:square">
                  <v:fill o:detectmouseclick="t"/>
                  <v:path o:connecttype="none"/>
                </v:shape>
                <v:shape id="Picture 6" o:spid="_x0000_s1028" type="#_x0000_t75" alt="Description: Description: cid:image002.jpg@01D019DE.127D2590" style="position:absolute;left:838;width:17234;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475182" w:rsidRPr="00D13550" w:rsidRDefault="00475182" w:rsidP="00475182">
      <w:pPr>
        <w:tabs>
          <w:tab w:val="right" w:pos="8199"/>
        </w:tabs>
        <w:spacing w:line="360" w:lineRule="auto"/>
        <w:jc w:val="right"/>
        <w:rPr>
          <w:rFonts w:ascii="Century Gothic" w:hAnsi="Century Gothic"/>
          <w:b/>
          <w:u w:val="none"/>
        </w:rPr>
      </w:pPr>
      <w:r w:rsidRPr="00D13550">
        <w:rPr>
          <w:rFonts w:ascii="Century Gothic" w:hAnsi="Century Gothic"/>
          <w:b/>
          <w:u w:val="none"/>
        </w:rPr>
        <w:tab/>
        <w:t xml:space="preserve">     Case number: </w:t>
      </w:r>
      <w:r w:rsidR="00DB01A4" w:rsidRPr="00D13550">
        <w:rPr>
          <w:rFonts w:ascii="Century Gothic" w:hAnsi="Century Gothic"/>
          <w:b/>
          <w:u w:val="none"/>
        </w:rPr>
        <w:t>23149/2020</w:t>
      </w:r>
    </w:p>
    <w:p w:rsidR="00475182" w:rsidRPr="00D13550" w:rsidRDefault="00475182" w:rsidP="00475182">
      <w:pPr>
        <w:rPr>
          <w:rFonts w:ascii="Century Gothic" w:hAnsi="Century Gothic"/>
          <w:b/>
          <w:u w:val="none"/>
        </w:rPr>
      </w:pPr>
    </w:p>
    <w:p w:rsidR="00475182" w:rsidRPr="00D13550" w:rsidRDefault="00475182" w:rsidP="00475182">
      <w:pPr>
        <w:jc w:val="center"/>
        <w:rPr>
          <w:rFonts w:ascii="Century Gothic" w:hAnsi="Century Gothic"/>
          <w:b/>
          <w:u w:val="none"/>
        </w:rPr>
      </w:pPr>
      <w:r w:rsidRPr="00D13550">
        <w:rPr>
          <w:rFonts w:ascii="Century Gothic" w:hAnsi="Century Gothic"/>
          <w:b/>
          <w:noProof/>
          <w:lang w:val="en-US" w:eastAsia="en-US"/>
        </w:rPr>
        <mc:AlternateContent>
          <mc:Choice Requires="wps">
            <w:drawing>
              <wp:anchor distT="0" distB="0" distL="114300" distR="114300" simplePos="0" relativeHeight="251659264" behindDoc="0" locked="0" layoutInCell="1" allowOverlap="1" wp14:anchorId="116FF86E" wp14:editId="0F9A4830">
                <wp:simplePos x="0" y="0"/>
                <wp:positionH relativeFrom="column">
                  <wp:posOffset>-30480</wp:posOffset>
                </wp:positionH>
                <wp:positionV relativeFrom="paragraph">
                  <wp:posOffset>76835</wp:posOffset>
                </wp:positionV>
                <wp:extent cx="3371850" cy="1272540"/>
                <wp:effectExtent l="0" t="0" r="1905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72540"/>
                        </a:xfrm>
                        <a:prstGeom prst="rect">
                          <a:avLst/>
                        </a:prstGeom>
                        <a:solidFill>
                          <a:srgbClr val="FFFFFF"/>
                        </a:solidFill>
                        <a:ln w="9525">
                          <a:solidFill>
                            <a:srgbClr val="000000"/>
                          </a:solidFill>
                          <a:miter lim="800000"/>
                          <a:headEnd/>
                          <a:tailEnd/>
                        </a:ln>
                      </wps:spPr>
                      <wps:txbx>
                        <w:txbxContent>
                          <w:p w:rsidR="00475182" w:rsidRPr="00913F95" w:rsidRDefault="00475182" w:rsidP="00475182">
                            <w:pPr>
                              <w:jc w:val="center"/>
                              <w:rPr>
                                <w:rFonts w:ascii="Century Gothic" w:hAnsi="Century Gothic"/>
                                <w:b/>
                                <w:sz w:val="20"/>
                                <w:szCs w:val="20"/>
                              </w:rPr>
                            </w:pPr>
                          </w:p>
                          <w:p w:rsidR="00475182" w:rsidRPr="00DD47F2" w:rsidRDefault="00242BD1" w:rsidP="00242BD1">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(1)</w:t>
                            </w:r>
                            <w:r w:rsidRPr="00DD47F2">
                              <w:rPr>
                                <w:rFonts w:ascii="Century Gothic" w:hAnsi="Century Gothic"/>
                                <w:sz w:val="19"/>
                                <w:szCs w:val="19"/>
                                <w:u w:val="none"/>
                              </w:rPr>
                              <w:tab/>
                            </w:r>
                            <w:r w:rsidR="00475182" w:rsidRPr="00DD47F2">
                              <w:rPr>
                                <w:rFonts w:ascii="Century Gothic" w:hAnsi="Century Gothic"/>
                                <w:sz w:val="19"/>
                                <w:szCs w:val="19"/>
                                <w:u w:val="none"/>
                              </w:rPr>
                              <w:t xml:space="preserve">REPORTABLE: </w:t>
                            </w:r>
                            <w:r w:rsidR="00475182">
                              <w:rPr>
                                <w:rFonts w:ascii="Century Gothic" w:hAnsi="Century Gothic"/>
                                <w:b/>
                                <w:sz w:val="19"/>
                                <w:szCs w:val="19"/>
                                <w:u w:val="none"/>
                              </w:rPr>
                              <w:t>NO</w:t>
                            </w:r>
                          </w:p>
                          <w:p w:rsidR="00475182" w:rsidRPr="00DD47F2" w:rsidRDefault="00242BD1" w:rsidP="00242BD1">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(2)</w:t>
                            </w:r>
                            <w:r w:rsidRPr="00DD47F2">
                              <w:rPr>
                                <w:rFonts w:ascii="Century Gothic" w:hAnsi="Century Gothic"/>
                                <w:sz w:val="19"/>
                                <w:szCs w:val="19"/>
                                <w:u w:val="none"/>
                              </w:rPr>
                              <w:tab/>
                            </w:r>
                            <w:r w:rsidR="00475182" w:rsidRPr="00DD47F2">
                              <w:rPr>
                                <w:rFonts w:ascii="Century Gothic" w:hAnsi="Century Gothic"/>
                                <w:sz w:val="19"/>
                                <w:szCs w:val="19"/>
                                <w:u w:val="none"/>
                              </w:rPr>
                              <w:t xml:space="preserve">OF INTEREST TO OTHER JUDGES: </w:t>
                            </w:r>
                            <w:r w:rsidR="00475182">
                              <w:rPr>
                                <w:rFonts w:ascii="Century Gothic" w:hAnsi="Century Gothic"/>
                                <w:b/>
                                <w:sz w:val="19"/>
                                <w:szCs w:val="19"/>
                                <w:u w:val="none"/>
                              </w:rPr>
                              <w:t>NO</w:t>
                            </w:r>
                          </w:p>
                          <w:p w:rsidR="00475182" w:rsidRPr="00475182" w:rsidRDefault="00242BD1" w:rsidP="00242BD1">
                            <w:pPr>
                              <w:tabs>
                                <w:tab w:val="left" w:pos="900"/>
                              </w:tabs>
                              <w:ind w:left="900" w:hanging="720"/>
                              <w:rPr>
                                <w:rFonts w:ascii="Century Gothic" w:hAnsi="Century Gothic"/>
                                <w:sz w:val="19"/>
                                <w:szCs w:val="19"/>
                                <w:u w:val="none"/>
                              </w:rPr>
                            </w:pPr>
                            <w:r w:rsidRPr="00475182">
                              <w:rPr>
                                <w:rFonts w:ascii="Century Gothic" w:hAnsi="Century Gothic"/>
                                <w:sz w:val="19"/>
                                <w:szCs w:val="19"/>
                                <w:u w:val="none"/>
                              </w:rPr>
                              <w:t>(3)</w:t>
                            </w:r>
                            <w:r w:rsidRPr="00475182">
                              <w:rPr>
                                <w:rFonts w:ascii="Century Gothic" w:hAnsi="Century Gothic"/>
                                <w:sz w:val="19"/>
                                <w:szCs w:val="19"/>
                                <w:u w:val="none"/>
                              </w:rPr>
                              <w:tab/>
                            </w:r>
                            <w:r w:rsidR="00475182" w:rsidRPr="00DD47F2">
                              <w:rPr>
                                <w:rFonts w:ascii="Century Gothic" w:hAnsi="Century Gothic"/>
                                <w:sz w:val="19"/>
                                <w:szCs w:val="19"/>
                                <w:u w:val="none"/>
                              </w:rPr>
                              <w:t xml:space="preserve">REVISED. </w:t>
                            </w:r>
                            <w:r w:rsidR="00475182" w:rsidRPr="00DD47F2">
                              <w:rPr>
                                <w:rFonts w:ascii="Century Gothic" w:hAnsi="Century Gothic"/>
                                <w:b/>
                                <w:sz w:val="19"/>
                                <w:szCs w:val="19"/>
                                <w:u w:val="none"/>
                              </w:rPr>
                              <w:t>YES</w:t>
                            </w:r>
                          </w:p>
                          <w:p w:rsidR="00AC15A0" w:rsidRDefault="00475182" w:rsidP="00475182">
                            <w:pPr>
                              <w:rPr>
                                <w:rFonts w:ascii="Century Gothic" w:hAnsi="Century Gothic"/>
                                <w:b/>
                                <w:sz w:val="19"/>
                                <w:szCs w:val="19"/>
                                <w:u w:val="none"/>
                              </w:rPr>
                            </w:pPr>
                            <w:r w:rsidRPr="00DD47F2">
                              <w:rPr>
                                <w:rFonts w:ascii="Century Gothic" w:hAnsi="Century Gothic"/>
                                <w:b/>
                                <w:sz w:val="19"/>
                                <w:szCs w:val="19"/>
                                <w:u w:val="none"/>
                              </w:rPr>
                              <w:t xml:space="preserve"> </w:t>
                            </w:r>
                          </w:p>
                          <w:p w:rsidR="00AC15A0" w:rsidRPr="00AC15A0" w:rsidRDefault="00475182" w:rsidP="00AC15A0">
                            <w:pPr>
                              <w:rPr>
                                <w:rFonts w:ascii="Century Gothic" w:hAnsi="Century Gothic"/>
                                <w:b/>
                                <w:sz w:val="19"/>
                                <w:szCs w:val="19"/>
                              </w:rPr>
                            </w:pPr>
                            <w:r w:rsidRPr="00DD47F2">
                              <w:rPr>
                                <w:rFonts w:ascii="Century Gothic" w:hAnsi="Century Gothic"/>
                                <w:b/>
                                <w:sz w:val="19"/>
                                <w:szCs w:val="19"/>
                                <w:u w:val="none"/>
                              </w:rPr>
                              <w:t xml:space="preserve"> </w:t>
                            </w:r>
                            <w:r w:rsidR="00806B1A">
                              <w:rPr>
                                <w:rFonts w:ascii="Century Gothic" w:hAnsi="Century Gothic"/>
                                <w:b/>
                                <w:sz w:val="19"/>
                                <w:szCs w:val="19"/>
                              </w:rPr>
                              <w:t>11</w:t>
                            </w:r>
                            <w:r w:rsidR="00AC15A0" w:rsidRPr="00AC15A0">
                              <w:rPr>
                                <w:rFonts w:ascii="Century Gothic" w:hAnsi="Century Gothic"/>
                                <w:b/>
                                <w:sz w:val="19"/>
                                <w:szCs w:val="19"/>
                              </w:rPr>
                              <w:t xml:space="preserve"> November 2022</w:t>
                            </w:r>
                            <w:r w:rsidR="007D1482">
                              <w:rPr>
                                <w:rFonts w:ascii="Century Gothic" w:hAnsi="Century Gothic"/>
                                <w:b/>
                                <w:sz w:val="19"/>
                                <w:szCs w:val="19"/>
                              </w:rPr>
                              <w:t xml:space="preserve">          </w:t>
                            </w:r>
                          </w:p>
                          <w:p w:rsidR="00475182" w:rsidRPr="00A368AD" w:rsidRDefault="00475182" w:rsidP="00475182">
                            <w:pPr>
                              <w:rPr>
                                <w:rFonts w:ascii="Century Gothic" w:hAnsi="Century Gothic"/>
                                <w:sz w:val="19"/>
                                <w:szCs w:val="19"/>
                                <w:u w:val="none"/>
                              </w:rPr>
                            </w:pPr>
                            <w:r w:rsidRPr="00DD47F2">
                              <w:rPr>
                                <w:rFonts w:ascii="Century Gothic" w:hAnsi="Century Gothic"/>
                                <w:sz w:val="19"/>
                                <w:szCs w:val="19"/>
                                <w:u w:val="none"/>
                              </w:rPr>
                              <w:t xml:space="preserve">  DATE</w:t>
                            </w:r>
                            <w:r w:rsidRPr="00DD47F2">
                              <w:rPr>
                                <w:rFonts w:ascii="Century Gothic" w:hAnsi="Century Gothic"/>
                                <w:sz w:val="19"/>
                                <w:szCs w:val="19"/>
                                <w:u w:val="none"/>
                              </w:rPr>
                              <w:tab/>
                            </w:r>
                            <w:r w:rsidRPr="00DD47F2">
                              <w:rPr>
                                <w:rFonts w:ascii="Century Gothic" w:hAnsi="Century Gothic"/>
                                <w:sz w:val="19"/>
                                <w:szCs w:val="19"/>
                                <w:u w:val="none"/>
                              </w:rPr>
                              <w:tab/>
                              <w:t xml:space="preserve">        </w:t>
                            </w:r>
                            <w:r>
                              <w:rPr>
                                <w:rFonts w:ascii="Century Gothic" w:hAnsi="Century Gothic"/>
                                <w:sz w:val="19"/>
                                <w:szCs w:val="19"/>
                                <w:u w:val="none"/>
                              </w:rPr>
                              <w:t xml:space="preserve">       </w:t>
                            </w:r>
                            <w:r w:rsidR="007D1482">
                              <w:rPr>
                                <w:rFonts w:ascii="Century Gothic" w:hAnsi="Century Gothic"/>
                                <w:sz w:val="19"/>
                                <w:szCs w:val="19"/>
                                <w:u w:val="none"/>
                              </w:rPr>
                              <w:t xml:space="preserve">      </w:t>
                            </w:r>
                            <w:r>
                              <w:rPr>
                                <w:rFonts w:ascii="Century Gothic" w:hAnsi="Century Gothic"/>
                                <w:sz w:val="19"/>
                                <w:szCs w:val="19"/>
                                <w:u w:val="none"/>
                              </w:rPr>
                              <w:t xml:space="preserve">   </w:t>
                            </w:r>
                            <w:r w:rsidRPr="00DD47F2">
                              <w:rPr>
                                <w:rFonts w:ascii="Century Gothic" w:hAnsi="Century Gothic"/>
                                <w:sz w:val="19"/>
                                <w:szCs w:val="19"/>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FF86E" id="_x0000_t202" coordsize="21600,21600" o:spt="202" path="m,l,21600r21600,l21600,xe">
                <v:stroke joinstyle="miter"/>
                <v:path gradientshapeok="t" o:connecttype="rect"/>
              </v:shapetype>
              <v:shape id="Text Box 5" o:spid="_x0000_s1026" type="#_x0000_t202" style="position:absolute;left:0;text-align:left;margin-left:-2.4pt;margin-top:6.05pt;width:265.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">
                <v:textbox>
                  <w:txbxContent>
                    <w:p w:rsidR="00475182" w:rsidRPr="00913F95" w:rsidRDefault="00475182" w:rsidP="00475182">
                      <w:pPr>
                        <w:jc w:val="center"/>
                        <w:rPr>
                          <w:rFonts w:ascii="Century Gothic" w:hAnsi="Century Gothic"/>
                          <w:b/>
                          <w:sz w:val="20"/>
                          <w:szCs w:val="20"/>
                        </w:rPr>
                      </w:pPr>
                    </w:p>
                    <w:p w:rsidR="00475182" w:rsidRPr="00DD47F2" w:rsidRDefault="00242BD1" w:rsidP="00242BD1">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(1)</w:t>
                      </w:r>
                      <w:r w:rsidRPr="00DD47F2">
                        <w:rPr>
                          <w:rFonts w:ascii="Century Gothic" w:hAnsi="Century Gothic"/>
                          <w:sz w:val="19"/>
                          <w:szCs w:val="19"/>
                          <w:u w:val="none"/>
                        </w:rPr>
                        <w:tab/>
                      </w:r>
                      <w:r w:rsidR="00475182" w:rsidRPr="00DD47F2">
                        <w:rPr>
                          <w:rFonts w:ascii="Century Gothic" w:hAnsi="Century Gothic"/>
                          <w:sz w:val="19"/>
                          <w:szCs w:val="19"/>
                          <w:u w:val="none"/>
                        </w:rPr>
                        <w:t xml:space="preserve">REPORTABLE: </w:t>
                      </w:r>
                      <w:r w:rsidR="00475182">
                        <w:rPr>
                          <w:rFonts w:ascii="Century Gothic" w:hAnsi="Century Gothic"/>
                          <w:b/>
                          <w:sz w:val="19"/>
                          <w:szCs w:val="19"/>
                          <w:u w:val="none"/>
                        </w:rPr>
                        <w:t>NO</w:t>
                      </w:r>
                    </w:p>
                    <w:p w:rsidR="00475182" w:rsidRPr="00DD47F2" w:rsidRDefault="00242BD1" w:rsidP="00242BD1">
                      <w:pPr>
                        <w:tabs>
                          <w:tab w:val="left" w:pos="900"/>
                        </w:tabs>
                        <w:ind w:left="900" w:hanging="720"/>
                        <w:rPr>
                          <w:rFonts w:ascii="Century Gothic" w:hAnsi="Century Gothic"/>
                          <w:sz w:val="19"/>
                          <w:szCs w:val="19"/>
                          <w:u w:val="none"/>
                        </w:rPr>
                      </w:pPr>
                      <w:r w:rsidRPr="00DD47F2">
                        <w:rPr>
                          <w:rFonts w:ascii="Century Gothic" w:hAnsi="Century Gothic"/>
                          <w:sz w:val="19"/>
                          <w:szCs w:val="19"/>
                          <w:u w:val="none"/>
                        </w:rPr>
                        <w:t>(2)</w:t>
                      </w:r>
                      <w:r w:rsidRPr="00DD47F2">
                        <w:rPr>
                          <w:rFonts w:ascii="Century Gothic" w:hAnsi="Century Gothic"/>
                          <w:sz w:val="19"/>
                          <w:szCs w:val="19"/>
                          <w:u w:val="none"/>
                        </w:rPr>
                        <w:tab/>
                      </w:r>
                      <w:r w:rsidR="00475182" w:rsidRPr="00DD47F2">
                        <w:rPr>
                          <w:rFonts w:ascii="Century Gothic" w:hAnsi="Century Gothic"/>
                          <w:sz w:val="19"/>
                          <w:szCs w:val="19"/>
                          <w:u w:val="none"/>
                        </w:rPr>
                        <w:t xml:space="preserve">OF INTEREST TO OTHER JUDGES: </w:t>
                      </w:r>
                      <w:r w:rsidR="00475182">
                        <w:rPr>
                          <w:rFonts w:ascii="Century Gothic" w:hAnsi="Century Gothic"/>
                          <w:b/>
                          <w:sz w:val="19"/>
                          <w:szCs w:val="19"/>
                          <w:u w:val="none"/>
                        </w:rPr>
                        <w:t>NO</w:t>
                      </w:r>
                    </w:p>
                    <w:p w:rsidR="00475182" w:rsidRPr="00475182" w:rsidRDefault="00242BD1" w:rsidP="00242BD1">
                      <w:pPr>
                        <w:tabs>
                          <w:tab w:val="left" w:pos="900"/>
                        </w:tabs>
                        <w:ind w:left="900" w:hanging="720"/>
                        <w:rPr>
                          <w:rFonts w:ascii="Century Gothic" w:hAnsi="Century Gothic"/>
                          <w:sz w:val="19"/>
                          <w:szCs w:val="19"/>
                          <w:u w:val="none"/>
                        </w:rPr>
                      </w:pPr>
                      <w:r w:rsidRPr="00475182">
                        <w:rPr>
                          <w:rFonts w:ascii="Century Gothic" w:hAnsi="Century Gothic"/>
                          <w:sz w:val="19"/>
                          <w:szCs w:val="19"/>
                          <w:u w:val="none"/>
                        </w:rPr>
                        <w:t>(3)</w:t>
                      </w:r>
                      <w:r w:rsidRPr="00475182">
                        <w:rPr>
                          <w:rFonts w:ascii="Century Gothic" w:hAnsi="Century Gothic"/>
                          <w:sz w:val="19"/>
                          <w:szCs w:val="19"/>
                          <w:u w:val="none"/>
                        </w:rPr>
                        <w:tab/>
                      </w:r>
                      <w:r w:rsidR="00475182" w:rsidRPr="00DD47F2">
                        <w:rPr>
                          <w:rFonts w:ascii="Century Gothic" w:hAnsi="Century Gothic"/>
                          <w:sz w:val="19"/>
                          <w:szCs w:val="19"/>
                          <w:u w:val="none"/>
                        </w:rPr>
                        <w:t xml:space="preserve">REVISED. </w:t>
                      </w:r>
                      <w:r w:rsidR="00475182" w:rsidRPr="00DD47F2">
                        <w:rPr>
                          <w:rFonts w:ascii="Century Gothic" w:hAnsi="Century Gothic"/>
                          <w:b/>
                          <w:sz w:val="19"/>
                          <w:szCs w:val="19"/>
                          <w:u w:val="none"/>
                        </w:rPr>
                        <w:t>YES</w:t>
                      </w:r>
                    </w:p>
                    <w:p w:rsidR="00AC15A0" w:rsidRDefault="00475182" w:rsidP="00475182">
                      <w:pPr>
                        <w:rPr>
                          <w:rFonts w:ascii="Century Gothic" w:hAnsi="Century Gothic"/>
                          <w:b/>
                          <w:sz w:val="19"/>
                          <w:szCs w:val="19"/>
                          <w:u w:val="none"/>
                        </w:rPr>
                      </w:pPr>
                      <w:r w:rsidRPr="00DD47F2">
                        <w:rPr>
                          <w:rFonts w:ascii="Century Gothic" w:hAnsi="Century Gothic"/>
                          <w:b/>
                          <w:sz w:val="19"/>
                          <w:szCs w:val="19"/>
                          <w:u w:val="none"/>
                        </w:rPr>
                        <w:t xml:space="preserve"> </w:t>
                      </w:r>
                    </w:p>
                    <w:p w:rsidR="00AC15A0" w:rsidRPr="00AC15A0" w:rsidRDefault="00475182" w:rsidP="00AC15A0">
                      <w:pPr>
                        <w:rPr>
                          <w:rFonts w:ascii="Century Gothic" w:hAnsi="Century Gothic"/>
                          <w:b/>
                          <w:sz w:val="19"/>
                          <w:szCs w:val="19"/>
                        </w:rPr>
                      </w:pPr>
                      <w:r w:rsidRPr="00DD47F2">
                        <w:rPr>
                          <w:rFonts w:ascii="Century Gothic" w:hAnsi="Century Gothic"/>
                          <w:b/>
                          <w:sz w:val="19"/>
                          <w:szCs w:val="19"/>
                          <w:u w:val="none"/>
                        </w:rPr>
                        <w:t xml:space="preserve"> </w:t>
                      </w:r>
                      <w:r w:rsidR="00806B1A">
                        <w:rPr>
                          <w:rFonts w:ascii="Century Gothic" w:hAnsi="Century Gothic"/>
                          <w:b/>
                          <w:sz w:val="19"/>
                          <w:szCs w:val="19"/>
                        </w:rPr>
                        <w:t>11</w:t>
                      </w:r>
                      <w:r w:rsidR="00AC15A0" w:rsidRPr="00AC15A0">
                        <w:rPr>
                          <w:rFonts w:ascii="Century Gothic" w:hAnsi="Century Gothic"/>
                          <w:b/>
                          <w:sz w:val="19"/>
                          <w:szCs w:val="19"/>
                        </w:rPr>
                        <w:t xml:space="preserve"> November 2022</w:t>
                      </w:r>
                      <w:r w:rsidR="007D1482">
                        <w:rPr>
                          <w:rFonts w:ascii="Century Gothic" w:hAnsi="Century Gothic"/>
                          <w:b/>
                          <w:sz w:val="19"/>
                          <w:szCs w:val="19"/>
                        </w:rPr>
                        <w:t xml:space="preserve">          </w:t>
                      </w:r>
                    </w:p>
                    <w:p w:rsidR="00475182" w:rsidRPr="00A368AD" w:rsidRDefault="00475182" w:rsidP="00475182">
                      <w:pPr>
                        <w:rPr>
                          <w:rFonts w:ascii="Century Gothic" w:hAnsi="Century Gothic"/>
                          <w:sz w:val="19"/>
                          <w:szCs w:val="19"/>
                          <w:u w:val="none"/>
                        </w:rPr>
                      </w:pPr>
                      <w:r w:rsidRPr="00DD47F2">
                        <w:rPr>
                          <w:rFonts w:ascii="Century Gothic" w:hAnsi="Century Gothic"/>
                          <w:sz w:val="19"/>
                          <w:szCs w:val="19"/>
                          <w:u w:val="none"/>
                        </w:rPr>
                        <w:t xml:space="preserve">  DATE</w:t>
                      </w:r>
                      <w:r w:rsidRPr="00DD47F2">
                        <w:rPr>
                          <w:rFonts w:ascii="Century Gothic" w:hAnsi="Century Gothic"/>
                          <w:sz w:val="19"/>
                          <w:szCs w:val="19"/>
                          <w:u w:val="none"/>
                        </w:rPr>
                        <w:tab/>
                      </w:r>
                      <w:r w:rsidRPr="00DD47F2">
                        <w:rPr>
                          <w:rFonts w:ascii="Century Gothic" w:hAnsi="Century Gothic"/>
                          <w:sz w:val="19"/>
                          <w:szCs w:val="19"/>
                          <w:u w:val="none"/>
                        </w:rPr>
                        <w:tab/>
                        <w:t xml:space="preserve">        </w:t>
                      </w:r>
                      <w:r>
                        <w:rPr>
                          <w:rFonts w:ascii="Century Gothic" w:hAnsi="Century Gothic"/>
                          <w:sz w:val="19"/>
                          <w:szCs w:val="19"/>
                          <w:u w:val="none"/>
                        </w:rPr>
                        <w:t xml:space="preserve">       </w:t>
                      </w:r>
                      <w:r w:rsidR="007D1482">
                        <w:rPr>
                          <w:rFonts w:ascii="Century Gothic" w:hAnsi="Century Gothic"/>
                          <w:sz w:val="19"/>
                          <w:szCs w:val="19"/>
                          <w:u w:val="none"/>
                        </w:rPr>
                        <w:t xml:space="preserve">      </w:t>
                      </w:r>
                      <w:r>
                        <w:rPr>
                          <w:rFonts w:ascii="Century Gothic" w:hAnsi="Century Gothic"/>
                          <w:sz w:val="19"/>
                          <w:szCs w:val="19"/>
                          <w:u w:val="none"/>
                        </w:rPr>
                        <w:t xml:space="preserve">   </w:t>
                      </w:r>
                      <w:r w:rsidRPr="00DD47F2">
                        <w:rPr>
                          <w:rFonts w:ascii="Century Gothic" w:hAnsi="Century Gothic"/>
                          <w:sz w:val="19"/>
                          <w:szCs w:val="19"/>
                          <w:u w:val="none"/>
                        </w:rPr>
                        <w:t>SIGNATURE</w:t>
                      </w:r>
                    </w:p>
                  </w:txbxContent>
                </v:textbox>
              </v:shape>
            </w:pict>
          </mc:Fallback>
        </mc:AlternateContent>
      </w:r>
    </w:p>
    <w:p w:rsidR="00475182" w:rsidRPr="00D13550" w:rsidRDefault="00475182" w:rsidP="00475182">
      <w:pPr>
        <w:tabs>
          <w:tab w:val="right" w:pos="8199"/>
        </w:tabs>
        <w:spacing w:line="360" w:lineRule="auto"/>
        <w:rPr>
          <w:rFonts w:ascii="Century Gothic" w:hAnsi="Century Gothic"/>
          <w:u w:val="none"/>
        </w:rPr>
      </w:pPr>
      <w:r w:rsidRPr="00D13550">
        <w:rPr>
          <w:rFonts w:ascii="Century Gothic" w:hAnsi="Century Gothic"/>
          <w:b/>
          <w:u w:val="none"/>
        </w:rPr>
        <w:tab/>
      </w:r>
      <w:r w:rsidRPr="00D13550">
        <w:rPr>
          <w:rFonts w:ascii="Century Gothic" w:hAnsi="Century Gothic"/>
          <w:b/>
          <w:u w:val="none"/>
        </w:rPr>
        <w:tab/>
      </w:r>
      <w:r w:rsidRPr="00D13550">
        <w:rPr>
          <w:rFonts w:ascii="Century Gothic" w:hAnsi="Century Gothic"/>
          <w:b/>
          <w:u w:val="none"/>
        </w:rPr>
        <w:tab/>
      </w:r>
      <w:r w:rsidRPr="00D13550">
        <w:rPr>
          <w:rFonts w:ascii="Century Gothic" w:hAnsi="Century Gothic"/>
          <w:b/>
          <w:u w:val="none"/>
        </w:rPr>
        <w:tab/>
      </w:r>
      <w:r w:rsidRPr="00D13550">
        <w:rPr>
          <w:rFonts w:ascii="Century Gothic" w:hAnsi="Century Gothic"/>
          <w:b/>
          <w:u w:val="none"/>
        </w:rPr>
        <w:tab/>
      </w:r>
    </w:p>
    <w:p w:rsidR="00475182" w:rsidRPr="00D13550" w:rsidRDefault="00475182" w:rsidP="0047518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Century Gothic" w:hAnsi="Century Gothic"/>
          <w:u w:val="none"/>
        </w:rPr>
      </w:pPr>
    </w:p>
    <w:p w:rsidR="006015F9" w:rsidRDefault="006015F9" w:rsidP="00475182">
      <w:pPr>
        <w:spacing w:line="360" w:lineRule="auto"/>
        <w:rPr>
          <w:rFonts w:ascii="Century Gothic" w:eastAsia="Calibri" w:hAnsi="Century Gothic"/>
          <w:u w:val="none"/>
          <w:lang w:val="en-GB"/>
        </w:rPr>
      </w:pPr>
    </w:p>
    <w:p w:rsidR="00475182" w:rsidRPr="00D13550" w:rsidRDefault="00475182" w:rsidP="00475182">
      <w:pPr>
        <w:spacing w:line="360" w:lineRule="auto"/>
        <w:rPr>
          <w:rFonts w:ascii="Century Gothic" w:eastAsia="Calibri" w:hAnsi="Century Gothic"/>
          <w:u w:val="none"/>
          <w:lang w:val="en-GB" w:eastAsia="en-US"/>
        </w:rPr>
      </w:pPr>
      <w:r w:rsidRPr="00D13550">
        <w:rPr>
          <w:rFonts w:ascii="Century Gothic" w:eastAsia="Calibri" w:hAnsi="Century Gothic"/>
          <w:u w:val="none"/>
          <w:lang w:val="en-GB"/>
        </w:rPr>
        <w:t>In the matter between:</w:t>
      </w:r>
    </w:p>
    <w:p w:rsidR="00475182" w:rsidRPr="00D13550" w:rsidRDefault="00475182" w:rsidP="00475182">
      <w:pPr>
        <w:spacing w:line="360" w:lineRule="auto"/>
        <w:rPr>
          <w:rFonts w:ascii="Century Gothic" w:eastAsia="Calibri" w:hAnsi="Century Gothic"/>
          <w:b/>
          <w:u w:val="none"/>
          <w:lang w:val="en-GB"/>
        </w:rPr>
      </w:pPr>
    </w:p>
    <w:p w:rsidR="00475182" w:rsidRPr="00D13550" w:rsidRDefault="00DB01A4" w:rsidP="00475182">
      <w:pPr>
        <w:spacing w:line="480" w:lineRule="auto"/>
        <w:rPr>
          <w:rFonts w:ascii="Century Gothic" w:eastAsia="Calibri" w:hAnsi="Century Gothic"/>
          <w:b/>
          <w:u w:val="none"/>
          <w:lang w:val="en-GB"/>
        </w:rPr>
      </w:pPr>
      <w:r w:rsidRPr="00D13550">
        <w:rPr>
          <w:rFonts w:ascii="Century Gothic" w:eastAsia="Calibri" w:hAnsi="Century Gothic"/>
          <w:b/>
          <w:u w:val="none"/>
          <w:lang w:val="en-GB"/>
        </w:rPr>
        <w:t>THE SPAR GROUP LIMITED</w:t>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Pr="00D13550">
        <w:rPr>
          <w:rFonts w:ascii="Century Gothic" w:eastAsia="Calibri" w:hAnsi="Century Gothic"/>
          <w:b/>
          <w:u w:val="none"/>
          <w:lang w:val="en-GB"/>
        </w:rPr>
        <w:tab/>
        <w:t xml:space="preserve">      </w:t>
      </w:r>
      <w:r w:rsidRPr="00D13550">
        <w:rPr>
          <w:rFonts w:ascii="Century Gothic" w:eastAsia="Calibri" w:hAnsi="Century Gothic"/>
          <w:b/>
          <w:u w:val="none"/>
          <w:lang w:val="en-GB"/>
        </w:rPr>
        <w:tab/>
      </w:r>
      <w:r w:rsidRPr="00D13550">
        <w:rPr>
          <w:rFonts w:ascii="Century Gothic" w:eastAsia="Calibri" w:hAnsi="Century Gothic"/>
          <w:b/>
          <w:u w:val="none"/>
          <w:lang w:val="en-GB"/>
        </w:rPr>
        <w:tab/>
        <w:t xml:space="preserve">      </w:t>
      </w:r>
      <w:r w:rsidR="00475182" w:rsidRPr="00D13550">
        <w:rPr>
          <w:rFonts w:ascii="Century Gothic" w:eastAsia="Calibri" w:hAnsi="Century Gothic"/>
          <w:b/>
          <w:u w:val="none"/>
          <w:lang w:val="en-GB"/>
        </w:rPr>
        <w:t xml:space="preserve">APPLICANT </w:t>
      </w:r>
    </w:p>
    <w:p w:rsidR="00475182" w:rsidRPr="00D13550" w:rsidRDefault="00DB01A4" w:rsidP="00475182">
      <w:pPr>
        <w:spacing w:line="480" w:lineRule="auto"/>
        <w:rPr>
          <w:rFonts w:ascii="Century Gothic" w:eastAsia="Calibri" w:hAnsi="Century Gothic"/>
          <w:bCs/>
          <w:u w:val="none"/>
          <w:lang w:val="en-GB"/>
        </w:rPr>
      </w:pPr>
      <w:r w:rsidRPr="00D13550">
        <w:rPr>
          <w:rFonts w:ascii="Century Gothic" w:eastAsia="Calibri" w:hAnsi="Century Gothic"/>
          <w:bCs/>
          <w:u w:val="none"/>
          <w:lang w:val="en-GB"/>
        </w:rPr>
        <w:t>a</w:t>
      </w:r>
      <w:r w:rsidR="00475182" w:rsidRPr="00D13550">
        <w:rPr>
          <w:rFonts w:ascii="Century Gothic" w:eastAsia="Calibri" w:hAnsi="Century Gothic"/>
          <w:bCs/>
          <w:u w:val="none"/>
          <w:lang w:val="en-GB"/>
        </w:rPr>
        <w:t>nd</w:t>
      </w:r>
    </w:p>
    <w:p w:rsidR="00475182" w:rsidRPr="00D13550" w:rsidRDefault="00DB01A4" w:rsidP="00475182">
      <w:pPr>
        <w:pBdr>
          <w:bottom w:val="single" w:sz="12" w:space="1" w:color="auto"/>
        </w:pBdr>
        <w:spacing w:line="480" w:lineRule="auto"/>
        <w:rPr>
          <w:rFonts w:ascii="Century Gothic" w:eastAsia="Calibri" w:hAnsi="Century Gothic"/>
          <w:b/>
          <w:u w:val="none"/>
          <w:lang w:val="en-GB"/>
        </w:rPr>
      </w:pPr>
      <w:r w:rsidRPr="00D13550">
        <w:rPr>
          <w:rFonts w:ascii="Century Gothic" w:eastAsia="Calibri" w:hAnsi="Century Gothic"/>
          <w:b/>
          <w:u w:val="none"/>
          <w:lang w:val="en-GB"/>
        </w:rPr>
        <w:t>VRESTHENA (PTY) LIMITED</w:t>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Pr="00D13550">
        <w:rPr>
          <w:rFonts w:ascii="Century Gothic" w:eastAsia="Calibri" w:hAnsi="Century Gothic"/>
          <w:b/>
          <w:u w:val="none"/>
          <w:lang w:val="en-GB"/>
        </w:rPr>
        <w:tab/>
      </w:r>
      <w:r w:rsidR="00475182" w:rsidRPr="00D13550">
        <w:rPr>
          <w:rFonts w:ascii="Century Gothic" w:eastAsia="Calibri" w:hAnsi="Century Gothic"/>
          <w:b/>
          <w:u w:val="none"/>
          <w:lang w:val="en-GB"/>
        </w:rPr>
        <w:t xml:space="preserve"> RESPONDENT</w:t>
      </w:r>
    </w:p>
    <w:p w:rsidR="006015F9" w:rsidRPr="00D13550" w:rsidRDefault="006015F9" w:rsidP="0047518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rFonts w:ascii="Century Gothic" w:hAnsi="Century Gothic"/>
          <w:b/>
          <w:u w:val="none"/>
        </w:rPr>
      </w:pPr>
    </w:p>
    <w:p w:rsidR="00475182" w:rsidRPr="00D13550" w:rsidRDefault="00475182" w:rsidP="0047518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rFonts w:ascii="Century Gothic" w:hAnsi="Century Gothic"/>
          <w:b/>
          <w:u w:val="none"/>
        </w:rPr>
      </w:pPr>
      <w:r w:rsidRPr="00D13550">
        <w:rPr>
          <w:rFonts w:ascii="Century Gothic" w:hAnsi="Century Gothic"/>
          <w:b/>
          <w:u w:val="none"/>
        </w:rPr>
        <w:t xml:space="preserve">JUDGMENT </w:t>
      </w:r>
    </w:p>
    <w:p w:rsidR="00475182" w:rsidRPr="00D13550" w:rsidRDefault="00475182" w:rsidP="00955392">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rPr>
          <w:rFonts w:ascii="Century Gothic" w:hAnsi="Century Gothic"/>
          <w:b/>
          <w:u w:val="none"/>
        </w:rPr>
      </w:pPr>
    </w:p>
    <w:p w:rsidR="00475182" w:rsidRPr="00D13550" w:rsidRDefault="00475182" w:rsidP="0047518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rFonts w:ascii="Century Gothic" w:hAnsi="Century Gothic"/>
          <w:b/>
          <w:u w:val="none"/>
        </w:rPr>
      </w:pPr>
    </w:p>
    <w:p w:rsidR="00475182" w:rsidRPr="00D13550" w:rsidRDefault="00475182" w:rsidP="004247F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Century Gothic" w:hAnsi="Century Gothic"/>
          <w:b/>
        </w:rPr>
      </w:pPr>
      <w:r w:rsidRPr="00D13550">
        <w:rPr>
          <w:rFonts w:ascii="Century Gothic" w:hAnsi="Century Gothic"/>
          <w:b/>
        </w:rPr>
        <w:t>NEUKIRCHER J</w:t>
      </w:r>
    </w:p>
    <w:p w:rsidR="00475182" w:rsidRPr="00D13550" w:rsidRDefault="00475182" w:rsidP="004247F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Century Gothic" w:hAnsi="Century Gothic"/>
          <w:b/>
          <w:u w:val="none"/>
        </w:rPr>
      </w:pPr>
    </w:p>
    <w:p w:rsidR="004674AF" w:rsidRPr="00242BD1" w:rsidRDefault="00242BD1" w:rsidP="00242BD1">
      <w:pPr>
        <w:spacing w:line="480" w:lineRule="auto"/>
        <w:ind w:left="567" w:hanging="567"/>
        <w:jc w:val="both"/>
        <w:rPr>
          <w:rFonts w:ascii="Century Gothic" w:hAnsi="Century Gothic"/>
          <w:u w:val="none"/>
          <w:lang w:val="en-GB" w:eastAsia="en-US"/>
        </w:rPr>
      </w:pPr>
      <w:r w:rsidRPr="00D13550">
        <w:rPr>
          <w:rFonts w:ascii="Century Gothic" w:hAnsi="Arial Unicode MS"/>
          <w:u w:val="none"/>
          <w:lang w:val="en-GB" w:eastAsia="en-US"/>
        </w:rPr>
        <w:t>[1]</w:t>
      </w:r>
      <w:r w:rsidRPr="00D13550">
        <w:rPr>
          <w:rFonts w:ascii="Century Gothic" w:hAnsi="Arial Unicode MS"/>
          <w:u w:val="none"/>
          <w:lang w:val="en-GB" w:eastAsia="en-US"/>
        </w:rPr>
        <w:tab/>
      </w:r>
      <w:r w:rsidR="004674AF" w:rsidRPr="00242BD1">
        <w:rPr>
          <w:rFonts w:ascii="Century Gothic" w:hAnsi="Century Gothic"/>
          <w:u w:val="none"/>
          <w:lang w:val="en-GB"/>
        </w:rPr>
        <w:t xml:space="preserve">This is </w:t>
      </w:r>
      <w:r w:rsidR="00995554" w:rsidRPr="00242BD1">
        <w:rPr>
          <w:rFonts w:ascii="Century Gothic" w:hAnsi="Century Gothic"/>
          <w:u w:val="none"/>
          <w:lang w:val="en-GB"/>
        </w:rPr>
        <w:t xml:space="preserve">an application that is ancillary to the main proceedings between the parties instituted under the same case number in this division and which is presently still pending. The present application is one in which a </w:t>
      </w:r>
      <w:r w:rsidR="00995554" w:rsidRPr="00242BD1">
        <w:rPr>
          <w:rFonts w:ascii="Century Gothic" w:hAnsi="Century Gothic"/>
          <w:u w:val="none"/>
          <w:lang w:val="en-GB"/>
        </w:rPr>
        <w:lastRenderedPageBreak/>
        <w:t>stay of the main proceedings is sought by that respondent (Vresthena) against that applicant (the Spar Group).</w:t>
      </w:r>
    </w:p>
    <w:p w:rsidR="00CF0511" w:rsidRPr="00D13550" w:rsidRDefault="00CF0511" w:rsidP="004247F9">
      <w:pPr>
        <w:pStyle w:val="ListParagraph"/>
        <w:spacing w:line="480" w:lineRule="auto"/>
        <w:ind w:left="567"/>
        <w:contextualSpacing w:val="0"/>
        <w:jc w:val="both"/>
        <w:rPr>
          <w:rFonts w:ascii="Century Gothic" w:hAnsi="Century Gothic"/>
          <w:u w:val="none"/>
          <w:lang w:val="en-GB" w:eastAsia="en-US"/>
        </w:rPr>
      </w:pPr>
    </w:p>
    <w:p w:rsidR="004674AF"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w:t>
      </w:r>
      <w:bookmarkStart w:id="0" w:name="_GoBack"/>
      <w:bookmarkEnd w:id="0"/>
      <w:r w:rsidRPr="00D13550">
        <w:rPr>
          <w:rFonts w:ascii="Century Gothic" w:hAnsi="Arial Unicode MS"/>
          <w:u w:val="none"/>
          <w:lang w:val="en-GB"/>
        </w:rPr>
        <w:t>]</w:t>
      </w:r>
      <w:r w:rsidRPr="00D13550">
        <w:rPr>
          <w:rFonts w:ascii="Century Gothic" w:hAnsi="Arial Unicode MS"/>
          <w:u w:val="none"/>
          <w:lang w:val="en-GB"/>
        </w:rPr>
        <w:tab/>
      </w:r>
      <w:r w:rsidR="004674AF" w:rsidRPr="00242BD1">
        <w:rPr>
          <w:rFonts w:ascii="Century Gothic" w:hAnsi="Century Gothic"/>
          <w:u w:val="none"/>
          <w:lang w:val="en-GB"/>
        </w:rPr>
        <w:t xml:space="preserve">The </w:t>
      </w:r>
      <w:r w:rsidR="00995554" w:rsidRPr="00242BD1">
        <w:rPr>
          <w:rFonts w:ascii="Century Gothic" w:hAnsi="Century Gothic"/>
          <w:u w:val="none"/>
          <w:lang w:val="en-GB"/>
        </w:rPr>
        <w:t>stay is sought pending 2 eventualities:</w:t>
      </w:r>
    </w:p>
    <w:p w:rsidR="00995554" w:rsidRPr="00D13550" w:rsidRDefault="00995554" w:rsidP="00995554">
      <w:pPr>
        <w:spacing w:line="480" w:lineRule="auto"/>
        <w:ind w:left="1440" w:hanging="873"/>
        <w:jc w:val="both"/>
        <w:rPr>
          <w:rFonts w:ascii="Century Gothic" w:hAnsi="Century Gothic"/>
          <w:u w:val="none"/>
          <w:lang w:val="en-GB"/>
        </w:rPr>
      </w:pPr>
      <w:r w:rsidRPr="00D13550">
        <w:rPr>
          <w:rFonts w:ascii="Century Gothic" w:hAnsi="Century Gothic"/>
          <w:u w:val="none"/>
          <w:lang w:val="en-GB"/>
        </w:rPr>
        <w:t>2.1</w:t>
      </w:r>
      <w:r w:rsidRPr="00D13550">
        <w:rPr>
          <w:rFonts w:ascii="Century Gothic" w:hAnsi="Century Gothic"/>
          <w:u w:val="none"/>
          <w:lang w:val="en-GB"/>
        </w:rPr>
        <w:tab/>
        <w:t>the first is the referral of certain competition law issues to the Competition Tribunal (the Tribunal) in terms of section 65(2)(b) of the Competition Act 89 of 1998 (the Act); and</w:t>
      </w:r>
    </w:p>
    <w:p w:rsidR="00995554" w:rsidRPr="00D13550" w:rsidRDefault="00995554" w:rsidP="00995554">
      <w:pPr>
        <w:spacing w:line="480" w:lineRule="auto"/>
        <w:ind w:left="1440" w:hanging="873"/>
        <w:jc w:val="both"/>
        <w:rPr>
          <w:rFonts w:ascii="Century Gothic" w:hAnsi="Century Gothic"/>
          <w:u w:val="none"/>
          <w:lang w:val="en-GB"/>
        </w:rPr>
      </w:pPr>
      <w:r w:rsidRPr="00D13550">
        <w:rPr>
          <w:rFonts w:ascii="Century Gothic" w:hAnsi="Century Gothic"/>
          <w:u w:val="none"/>
          <w:lang w:val="en-GB"/>
        </w:rPr>
        <w:t>2.2</w:t>
      </w:r>
      <w:r w:rsidRPr="00D13550">
        <w:rPr>
          <w:rFonts w:ascii="Century Gothic" w:hAnsi="Century Gothic"/>
          <w:u w:val="none"/>
          <w:lang w:val="en-GB"/>
        </w:rPr>
        <w:tab/>
        <w:t>the second is pending the outcome of the review proceedings the Spar Group has instituted in the Gauteng Local</w:t>
      </w:r>
      <w:r w:rsidR="00864690">
        <w:rPr>
          <w:rFonts w:ascii="Century Gothic" w:hAnsi="Century Gothic"/>
          <w:u w:val="none"/>
          <w:lang w:val="en-GB"/>
        </w:rPr>
        <w:t xml:space="preserve"> </w:t>
      </w:r>
      <w:r w:rsidR="00EC513C">
        <w:rPr>
          <w:rFonts w:ascii="Century Gothic" w:hAnsi="Century Gothic"/>
          <w:u w:val="none"/>
          <w:lang w:val="en-GB"/>
        </w:rPr>
        <w:t>Division (GLD).</w:t>
      </w:r>
    </w:p>
    <w:p w:rsidR="00CF0511" w:rsidRPr="00D13550" w:rsidRDefault="00CF0511" w:rsidP="004247F9">
      <w:pPr>
        <w:spacing w:line="480" w:lineRule="auto"/>
        <w:jc w:val="both"/>
        <w:rPr>
          <w:rFonts w:ascii="Century Gothic" w:hAnsi="Century Gothic"/>
          <w:u w:val="none"/>
          <w:lang w:val="en-GB"/>
        </w:rPr>
      </w:pPr>
    </w:p>
    <w:p w:rsidR="00D331E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w:t>
      </w:r>
      <w:r w:rsidRPr="00D13550">
        <w:rPr>
          <w:rFonts w:ascii="Century Gothic" w:hAnsi="Arial Unicode MS"/>
          <w:u w:val="none"/>
          <w:lang w:val="en-GB"/>
        </w:rPr>
        <w:tab/>
      </w:r>
      <w:r w:rsidR="00D331EB" w:rsidRPr="00242BD1">
        <w:rPr>
          <w:rFonts w:ascii="Century Gothic" w:hAnsi="Century Gothic"/>
          <w:u w:val="none"/>
          <w:lang w:val="en-GB"/>
        </w:rPr>
        <w:t>The suite of agreements</w:t>
      </w:r>
      <w:r w:rsidR="00EC513C" w:rsidRPr="00242BD1">
        <w:rPr>
          <w:rFonts w:ascii="Century Gothic" w:hAnsi="Century Gothic"/>
          <w:u w:val="none"/>
          <w:lang w:val="en-GB"/>
        </w:rPr>
        <w:t xml:space="preserve"> that form the subject matter of the main dispute</w:t>
      </w:r>
      <w:r w:rsidR="00D331EB" w:rsidRPr="00242BD1">
        <w:rPr>
          <w:rFonts w:ascii="Century Gothic" w:hAnsi="Century Gothic"/>
          <w:u w:val="none"/>
          <w:lang w:val="en-GB"/>
        </w:rPr>
        <w:t xml:space="preserve"> include Head Leases, Sub-Leases and options to lease</w:t>
      </w:r>
      <w:r w:rsidR="00D85ECC" w:rsidRPr="00242BD1">
        <w:rPr>
          <w:rFonts w:ascii="Century Gothic" w:hAnsi="Century Gothic"/>
          <w:u w:val="none"/>
          <w:lang w:val="en-GB"/>
        </w:rPr>
        <w:t>,</w:t>
      </w:r>
      <w:r w:rsidR="00D331EB" w:rsidRPr="00242BD1">
        <w:rPr>
          <w:rFonts w:ascii="Century Gothic" w:hAnsi="Century Gothic"/>
          <w:u w:val="none"/>
          <w:lang w:val="en-GB"/>
        </w:rPr>
        <w:t xml:space="preserve"> a Spar Guild Membership Agreement, applications for credit facilities and so forth</w:t>
      </w:r>
      <w:r w:rsidR="00D85ECC" w:rsidRPr="00242BD1">
        <w:rPr>
          <w:rFonts w:ascii="Century Gothic" w:hAnsi="Century Gothic"/>
          <w:u w:val="none"/>
          <w:lang w:val="en-GB"/>
        </w:rPr>
        <w:t>. H</w:t>
      </w:r>
      <w:r w:rsidR="00EC513C" w:rsidRPr="00242BD1">
        <w:rPr>
          <w:rFonts w:ascii="Century Gothic" w:hAnsi="Century Gothic"/>
          <w:u w:val="none"/>
          <w:lang w:val="en-GB"/>
        </w:rPr>
        <w:t xml:space="preserve">owever, it is </w:t>
      </w:r>
      <w:r w:rsidR="00D331EB" w:rsidRPr="00242BD1">
        <w:rPr>
          <w:rFonts w:ascii="Century Gothic" w:hAnsi="Century Gothic"/>
          <w:u w:val="none"/>
          <w:lang w:val="en-GB"/>
        </w:rPr>
        <w:t>the Head</w:t>
      </w:r>
      <w:r w:rsidR="00EC513C" w:rsidRPr="00242BD1">
        <w:rPr>
          <w:rFonts w:ascii="Century Gothic" w:hAnsi="Century Gothic"/>
          <w:u w:val="none"/>
          <w:lang w:val="en-GB"/>
        </w:rPr>
        <w:t xml:space="preserve"> Lease and Sub-Lease agreements that are at the heart of the dispute.</w:t>
      </w:r>
    </w:p>
    <w:p w:rsidR="00D331EB" w:rsidRPr="00D13550" w:rsidRDefault="00D331EB" w:rsidP="00D331EB">
      <w:pPr>
        <w:pStyle w:val="ListParagraph"/>
        <w:spacing w:line="480" w:lineRule="auto"/>
        <w:ind w:left="567"/>
        <w:contextualSpacing w:val="0"/>
        <w:jc w:val="both"/>
        <w:rPr>
          <w:rFonts w:ascii="Century Gothic" w:hAnsi="Century Gothic"/>
          <w:u w:val="none"/>
          <w:lang w:val="en-GB"/>
        </w:rPr>
      </w:pPr>
    </w:p>
    <w:p w:rsidR="00EC513C" w:rsidRPr="00242BD1" w:rsidRDefault="00242BD1" w:rsidP="00242BD1">
      <w:pPr>
        <w:spacing w:line="480" w:lineRule="auto"/>
        <w:ind w:left="567" w:hanging="567"/>
        <w:jc w:val="both"/>
        <w:rPr>
          <w:rFonts w:ascii="Century Gothic" w:hAnsi="Century Gothic"/>
          <w:u w:val="none"/>
          <w:lang w:val="en-GB"/>
        </w:rPr>
      </w:pPr>
      <w:r>
        <w:rPr>
          <w:rFonts w:ascii="Century Gothic" w:hAnsi="Arial Unicode MS"/>
          <w:u w:val="none"/>
          <w:lang w:val="en-GB"/>
        </w:rPr>
        <w:t>[4]</w:t>
      </w:r>
      <w:r>
        <w:rPr>
          <w:rFonts w:ascii="Century Gothic" w:hAnsi="Arial Unicode MS"/>
          <w:u w:val="none"/>
          <w:lang w:val="en-GB"/>
        </w:rPr>
        <w:tab/>
      </w:r>
      <w:r w:rsidR="00EC513C" w:rsidRPr="00242BD1">
        <w:rPr>
          <w:rFonts w:ascii="Century Gothic" w:hAnsi="Century Gothic"/>
          <w:u w:val="none"/>
          <w:lang w:val="en-GB"/>
        </w:rPr>
        <w:t>The Spar Group operates as a voluntary trading group consisting of independent retailers</w:t>
      </w:r>
      <w:r w:rsidR="00F33595">
        <w:rPr>
          <w:rStyle w:val="FootnoteReference"/>
          <w:rFonts w:ascii="Century Gothic" w:hAnsi="Century Gothic"/>
          <w:u w:val="none"/>
          <w:lang w:val="en-GB"/>
        </w:rPr>
        <w:footnoteReference w:id="1"/>
      </w:r>
      <w:r w:rsidR="00EC513C" w:rsidRPr="00242BD1">
        <w:rPr>
          <w:rFonts w:ascii="Century Gothic" w:hAnsi="Century Gothic"/>
          <w:u w:val="none"/>
          <w:lang w:val="en-GB"/>
        </w:rPr>
        <w:t xml:space="preserve"> who trade u</w:t>
      </w:r>
      <w:r w:rsidR="00D85ECC" w:rsidRPr="00242BD1">
        <w:rPr>
          <w:rFonts w:ascii="Century Gothic" w:hAnsi="Century Gothic"/>
          <w:u w:val="none"/>
          <w:lang w:val="en-GB"/>
        </w:rPr>
        <w:t xml:space="preserve">nder the Spar name pursuant to the above </w:t>
      </w:r>
      <w:r w:rsidR="00EC513C" w:rsidRPr="00242BD1">
        <w:rPr>
          <w:rFonts w:ascii="Century Gothic" w:hAnsi="Century Gothic"/>
          <w:u w:val="none"/>
          <w:lang w:val="en-GB"/>
        </w:rPr>
        <w:t>agreements</w:t>
      </w:r>
      <w:r w:rsidR="00F33595" w:rsidRPr="00242BD1">
        <w:rPr>
          <w:rFonts w:ascii="Century Gothic" w:hAnsi="Century Gothic"/>
          <w:u w:val="none"/>
          <w:lang w:val="en-GB"/>
        </w:rPr>
        <w:t xml:space="preserve"> which regulate the commercial relationship between them as well as the terms of membership to the Spar Guild of Southern Africa NPC (the Guild)</w:t>
      </w:r>
      <w:r w:rsidR="00081092">
        <w:rPr>
          <w:rStyle w:val="FootnoteReference"/>
          <w:rFonts w:ascii="Century Gothic" w:hAnsi="Century Gothic"/>
          <w:u w:val="none"/>
          <w:lang w:val="en-GB"/>
        </w:rPr>
        <w:footnoteReference w:id="2"/>
      </w:r>
      <w:r w:rsidR="00F33595" w:rsidRPr="00242BD1">
        <w:rPr>
          <w:rFonts w:ascii="Century Gothic" w:hAnsi="Century Gothic"/>
          <w:u w:val="none"/>
          <w:lang w:val="en-GB"/>
        </w:rPr>
        <w:t xml:space="preserve">. Within this voluntary trading model, the Spar Group acts as a wholesaler and distributor of groceries. There are six </w:t>
      </w:r>
      <w:r w:rsidR="00F33595" w:rsidRPr="00242BD1">
        <w:rPr>
          <w:rFonts w:ascii="Century Gothic" w:hAnsi="Century Gothic"/>
          <w:u w:val="none"/>
          <w:lang w:val="en-GB"/>
        </w:rPr>
        <w:lastRenderedPageBreak/>
        <w:t>distribution centres throughout the country and each operates independently from the Spar Group by purchasing their own products which they then on-sell to the independent retailer</w:t>
      </w:r>
      <w:r w:rsidR="00D85ECC" w:rsidRPr="00242BD1">
        <w:rPr>
          <w:rFonts w:ascii="Century Gothic" w:hAnsi="Century Gothic"/>
          <w:u w:val="none"/>
          <w:lang w:val="en-GB"/>
        </w:rPr>
        <w:t>s at recommended on-sell prices. Of</w:t>
      </w:r>
      <w:r w:rsidR="005E575F" w:rsidRPr="00242BD1">
        <w:rPr>
          <w:rFonts w:ascii="Century Gothic" w:hAnsi="Century Gothic"/>
          <w:u w:val="none"/>
          <w:lang w:val="en-GB"/>
        </w:rPr>
        <w:t xml:space="preserve"> the approximately 1031 Spar stores nationally, approximately 983 are owned by the independent retailers and 48 are owned by the Spar Group.</w:t>
      </w:r>
    </w:p>
    <w:p w:rsidR="005E575F" w:rsidRPr="005E575F" w:rsidRDefault="005E575F" w:rsidP="005E575F">
      <w:pPr>
        <w:pStyle w:val="ListParagraph"/>
        <w:rPr>
          <w:rFonts w:ascii="Century Gothic" w:hAnsi="Century Gothic"/>
          <w:u w:val="none"/>
          <w:lang w:val="en-GB"/>
        </w:rPr>
      </w:pPr>
    </w:p>
    <w:p w:rsidR="005E575F" w:rsidRPr="00242BD1" w:rsidRDefault="00242BD1" w:rsidP="00242BD1">
      <w:pPr>
        <w:spacing w:line="480" w:lineRule="auto"/>
        <w:ind w:left="567" w:hanging="567"/>
        <w:jc w:val="both"/>
        <w:rPr>
          <w:rFonts w:ascii="Century Gothic" w:hAnsi="Century Gothic"/>
          <w:u w:val="none"/>
          <w:lang w:val="en-GB"/>
        </w:rPr>
      </w:pPr>
      <w:r>
        <w:rPr>
          <w:rFonts w:ascii="Century Gothic" w:hAnsi="Arial Unicode MS"/>
          <w:u w:val="none"/>
          <w:lang w:val="en-GB"/>
        </w:rPr>
        <w:t>[5]</w:t>
      </w:r>
      <w:r>
        <w:rPr>
          <w:rFonts w:ascii="Century Gothic" w:hAnsi="Arial Unicode MS"/>
          <w:u w:val="none"/>
          <w:lang w:val="en-GB"/>
        </w:rPr>
        <w:tab/>
      </w:r>
      <w:r w:rsidR="005E575F" w:rsidRPr="00242BD1">
        <w:rPr>
          <w:rFonts w:ascii="Century Gothic" w:hAnsi="Century Gothic"/>
          <w:u w:val="none"/>
          <w:lang w:val="en-GB"/>
        </w:rPr>
        <w:t>A</w:t>
      </w:r>
      <w:r w:rsidR="008908DB" w:rsidRPr="00242BD1">
        <w:rPr>
          <w:rFonts w:ascii="Century Gothic" w:hAnsi="Century Gothic"/>
          <w:u w:val="none"/>
          <w:lang w:val="en-GB"/>
        </w:rPr>
        <w:t xml:space="preserve">ll the independent retailers are </w:t>
      </w:r>
      <w:r w:rsidR="005E575F" w:rsidRPr="00242BD1">
        <w:rPr>
          <w:rFonts w:ascii="Century Gothic" w:hAnsi="Century Gothic"/>
          <w:u w:val="none"/>
          <w:lang w:val="en-GB"/>
        </w:rPr>
        <w:t xml:space="preserve">members of the Spar Group which entitles them to certain benefits eg access to certain support services such as </w:t>
      </w:r>
      <w:r w:rsidR="00EA6091" w:rsidRPr="00242BD1">
        <w:rPr>
          <w:rFonts w:ascii="Century Gothic" w:hAnsi="Century Gothic"/>
          <w:u w:val="none"/>
          <w:lang w:val="en-GB"/>
        </w:rPr>
        <w:t xml:space="preserve">wholesale and delivery services, </w:t>
      </w:r>
      <w:r w:rsidR="005E575F" w:rsidRPr="00242BD1">
        <w:rPr>
          <w:rFonts w:ascii="Century Gothic" w:hAnsi="Century Gothic"/>
          <w:u w:val="none"/>
          <w:lang w:val="en-GB"/>
        </w:rPr>
        <w:t>marketing</w:t>
      </w:r>
      <w:r w:rsidR="00EA6091" w:rsidRPr="00242BD1">
        <w:rPr>
          <w:rFonts w:ascii="Century Gothic" w:hAnsi="Century Gothic"/>
          <w:u w:val="none"/>
          <w:lang w:val="en-GB"/>
        </w:rPr>
        <w:t xml:space="preserve"> services, information technology services, retailing services and assistance with the setting up and management of stores. It also comes with certain obligations and control exercised by the Spar Group via the suite of agreements.</w:t>
      </w:r>
    </w:p>
    <w:p w:rsidR="00EA6091" w:rsidRPr="00EA6091" w:rsidRDefault="00EA6091" w:rsidP="00EA6091">
      <w:pPr>
        <w:pStyle w:val="ListParagraph"/>
        <w:rPr>
          <w:rFonts w:ascii="Century Gothic" w:hAnsi="Century Gothic"/>
          <w:u w:val="none"/>
          <w:lang w:val="en-GB"/>
        </w:rPr>
      </w:pPr>
    </w:p>
    <w:p w:rsidR="00EC513C" w:rsidRPr="00EC513C" w:rsidRDefault="00EC513C" w:rsidP="00EC513C">
      <w:pPr>
        <w:pStyle w:val="ListParagraph"/>
        <w:rPr>
          <w:rFonts w:ascii="Century Gothic" w:hAnsi="Century Gothic"/>
          <w:u w:val="none"/>
          <w:lang w:val="en-GB"/>
        </w:rPr>
      </w:pPr>
    </w:p>
    <w:p w:rsidR="00CF0511"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[6]</w:t>
      </w:r>
      <w:r w:rsidRPr="00D13550">
        <w:rPr>
          <w:rFonts w:ascii="Century Gothic" w:hAnsi="Arial Unicode MS"/>
          <w:u w:val="none"/>
          <w:lang w:val="en-GB"/>
        </w:rPr>
        <w:tab/>
      </w:r>
      <w:r w:rsidR="00D331EB" w:rsidRPr="00242BD1">
        <w:rPr>
          <w:rFonts w:ascii="Century Gothic" w:hAnsi="Century Gothic"/>
          <w:u w:val="none"/>
          <w:lang w:val="en-GB"/>
        </w:rPr>
        <w:t>Vresthena is an entity that resides within the Giannacopoulous Group (the Group). The Group consists of 13 companies</w:t>
      </w:r>
      <w:r w:rsidR="00D331EB" w:rsidRPr="00D13550">
        <w:rPr>
          <w:rStyle w:val="FootnoteReference"/>
          <w:rFonts w:ascii="Century Gothic" w:hAnsi="Century Gothic"/>
          <w:u w:val="none"/>
          <w:lang w:val="en-GB"/>
        </w:rPr>
        <w:footnoteReference w:id="3"/>
      </w:r>
      <w:r w:rsidR="00D331EB" w:rsidRPr="00242BD1">
        <w:rPr>
          <w:rFonts w:ascii="Century Gothic" w:hAnsi="Century Gothic"/>
          <w:u w:val="none"/>
          <w:lang w:val="en-GB"/>
        </w:rPr>
        <w:t xml:space="preserve"> and through those, ow</w:t>
      </w:r>
      <w:r w:rsidR="00EC513C" w:rsidRPr="00242BD1">
        <w:rPr>
          <w:rFonts w:ascii="Century Gothic" w:hAnsi="Century Gothic"/>
          <w:u w:val="none"/>
          <w:lang w:val="en-GB"/>
        </w:rPr>
        <w:t>ns and operates a total of 45 Sp</w:t>
      </w:r>
      <w:r w:rsidR="00D331EB" w:rsidRPr="00242BD1">
        <w:rPr>
          <w:rFonts w:ascii="Century Gothic" w:hAnsi="Century Gothic"/>
          <w:u w:val="none"/>
          <w:lang w:val="en-GB"/>
        </w:rPr>
        <w:t>ar retail supermarkets and Tops Liquor Stores throughout South Africa.</w:t>
      </w:r>
    </w:p>
    <w:p w:rsidR="00D331EB" w:rsidRPr="00D13550" w:rsidRDefault="00D331EB" w:rsidP="00D331EB">
      <w:pPr>
        <w:spacing w:line="480" w:lineRule="auto"/>
        <w:jc w:val="both"/>
        <w:rPr>
          <w:rFonts w:ascii="Century Gothic" w:hAnsi="Century Gothic"/>
          <w:u w:val="none"/>
          <w:lang w:val="en-GB"/>
        </w:rPr>
      </w:pPr>
    </w:p>
    <w:p w:rsidR="004674AF"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[7]</w:t>
      </w:r>
      <w:r w:rsidRPr="00D13550">
        <w:rPr>
          <w:rFonts w:ascii="Century Gothic" w:hAnsi="Arial Unicode MS"/>
          <w:u w:val="none"/>
          <w:lang w:val="en-GB"/>
        </w:rPr>
        <w:tab/>
      </w:r>
      <w:r w:rsidR="00D331EB" w:rsidRPr="00242BD1">
        <w:rPr>
          <w:rFonts w:ascii="Century Gothic" w:hAnsi="Century Gothic"/>
          <w:u w:val="none"/>
          <w:lang w:val="en-GB"/>
        </w:rPr>
        <w:t>Vresthena is primarily a holdin</w:t>
      </w:r>
      <w:r w:rsidR="00EA6091" w:rsidRPr="00242BD1">
        <w:rPr>
          <w:rFonts w:ascii="Century Gothic" w:hAnsi="Century Gothic"/>
          <w:u w:val="none"/>
          <w:lang w:val="en-GB"/>
        </w:rPr>
        <w:t>g company although it does own one</w:t>
      </w:r>
      <w:r w:rsidR="00D331EB" w:rsidRPr="00242BD1">
        <w:rPr>
          <w:rFonts w:ascii="Century Gothic" w:hAnsi="Century Gothic"/>
          <w:u w:val="none"/>
          <w:lang w:val="en-GB"/>
        </w:rPr>
        <w:t xml:space="preserve"> Spar Store – Rietfontein Spar. It also own</w:t>
      </w:r>
      <w:r w:rsidR="00B714EE" w:rsidRPr="00242BD1">
        <w:rPr>
          <w:rFonts w:ascii="Century Gothic" w:hAnsi="Century Gothic"/>
          <w:u w:val="none"/>
          <w:lang w:val="en-GB"/>
        </w:rPr>
        <w:t>s several shopping centres</w:t>
      </w:r>
      <w:r w:rsidR="00B714EE" w:rsidRPr="00D13550">
        <w:rPr>
          <w:rStyle w:val="FootnoteReference"/>
          <w:rFonts w:ascii="Century Gothic" w:hAnsi="Century Gothic"/>
          <w:u w:val="none"/>
          <w:lang w:val="en-GB"/>
        </w:rPr>
        <w:footnoteReference w:id="4"/>
      </w:r>
      <w:r w:rsidR="00D05D48" w:rsidRPr="00242BD1">
        <w:rPr>
          <w:rFonts w:ascii="Century Gothic" w:hAnsi="Century Gothic"/>
          <w:u w:val="none"/>
          <w:lang w:val="en-GB"/>
        </w:rPr>
        <w:t xml:space="preserve">, including </w:t>
      </w:r>
      <w:r w:rsidR="00D05D48" w:rsidRPr="00242BD1">
        <w:rPr>
          <w:rFonts w:ascii="Century Gothic" w:hAnsi="Century Gothic"/>
          <w:u w:val="none"/>
          <w:lang w:val="en-GB"/>
        </w:rPr>
        <w:lastRenderedPageBreak/>
        <w:t>the Wierda Shopping Centre in Centurion, which it purchased on 17 March 2010.</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[8]</w:t>
      </w:r>
      <w:r w:rsidRPr="00D13550">
        <w:rPr>
          <w:rFonts w:ascii="Century Gothic" w:hAnsi="Arial Unicode MS"/>
          <w:u w:val="none"/>
          <w:lang w:val="en-GB"/>
        </w:rPr>
        <w:tab/>
      </w:r>
      <w:r w:rsidR="007026A4" w:rsidRPr="00242BD1">
        <w:rPr>
          <w:rFonts w:ascii="Century Gothic" w:hAnsi="Century Gothic"/>
          <w:u w:val="none"/>
          <w:lang w:val="en-GB"/>
        </w:rPr>
        <w:t xml:space="preserve">Mystra (Pty) Ltd is also an entity within the Group. It purchased the Spar Supermarket and Tops Stores at the Wierda </w:t>
      </w:r>
      <w:r w:rsidR="00825D14" w:rsidRPr="00242BD1">
        <w:rPr>
          <w:rFonts w:ascii="Century Gothic" w:hAnsi="Century Gothic"/>
          <w:u w:val="none"/>
          <w:lang w:val="en-GB"/>
        </w:rPr>
        <w:t>Shopping Centre from an entity known as Jabundani Wierda CC. Jabundani, at the time of purchase, was a sub-tenant under a sub-lease concluded between it and the Spar Group.</w:t>
      </w:r>
    </w:p>
    <w:p w:rsidR="008A734B" w:rsidRPr="00D13550" w:rsidRDefault="008A734B" w:rsidP="008A734B">
      <w:pPr>
        <w:pStyle w:val="ListParagraph"/>
        <w:rPr>
          <w:rFonts w:ascii="Century Gothic" w:hAnsi="Century Gothic"/>
          <w:u w:val="none"/>
          <w:lang w:val="en-GB"/>
        </w:rPr>
      </w:pPr>
    </w:p>
    <w:p w:rsidR="0067059D" w:rsidRPr="00D13550" w:rsidRDefault="0067059D"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[9]</w:t>
      </w:r>
      <w:r w:rsidRPr="00D13550">
        <w:rPr>
          <w:rFonts w:ascii="Century Gothic" w:hAnsi="Arial Unicode MS"/>
          <w:u w:val="none"/>
          <w:lang w:val="en-GB"/>
        </w:rPr>
        <w:tab/>
      </w:r>
      <w:r w:rsidR="00825D14" w:rsidRPr="00242BD1">
        <w:rPr>
          <w:rFonts w:ascii="Century Gothic" w:hAnsi="Century Gothic"/>
          <w:u w:val="none"/>
          <w:lang w:val="en-GB"/>
        </w:rPr>
        <w:t>On 18 September 2009 the Spar Group had concluded a Head Lease Agreement with the then landlord – an entity called Highveld Syndication (Pty) Ltd. On 14 June 2010 a Deed of Assignment and sub-lease was concluded between Jabundani, Mystra and the Spar Group as a result of which the Giannacopiulous Group became the owner of both the W</w:t>
      </w:r>
      <w:r w:rsidR="008908DB" w:rsidRPr="00242BD1">
        <w:rPr>
          <w:rFonts w:ascii="Century Gothic" w:hAnsi="Century Gothic"/>
          <w:u w:val="none"/>
          <w:lang w:val="en-GB"/>
        </w:rPr>
        <w:t>ierda Shopping Centre and the Sp</w:t>
      </w:r>
      <w:r w:rsidR="00825D14" w:rsidRPr="00242BD1">
        <w:rPr>
          <w:rFonts w:ascii="Century Gothic" w:hAnsi="Century Gothic"/>
          <w:u w:val="none"/>
          <w:lang w:val="en-GB"/>
        </w:rPr>
        <w:t>ar Supermarket and Tops store</w:t>
      </w:r>
      <w:r w:rsidR="008908DB" w:rsidRPr="00242BD1">
        <w:rPr>
          <w:rFonts w:ascii="Century Gothic" w:hAnsi="Century Gothic"/>
          <w:u w:val="none"/>
          <w:lang w:val="en-GB"/>
        </w:rPr>
        <w:t>s</w:t>
      </w:r>
      <w:r w:rsidR="00825D14" w:rsidRPr="00242BD1">
        <w:rPr>
          <w:rFonts w:ascii="Century Gothic" w:hAnsi="Century Gothic"/>
          <w:u w:val="none"/>
          <w:lang w:val="en-GB"/>
        </w:rPr>
        <w:t xml:space="preserve"> located in the Centre.</w:t>
      </w:r>
    </w:p>
    <w:p w:rsidR="008A734B" w:rsidRPr="00D13550" w:rsidRDefault="008A734B" w:rsidP="00507E43">
      <w:pPr>
        <w:rPr>
          <w:rFonts w:ascii="Century Gothic" w:hAnsi="Century Gothic"/>
          <w:u w:val="none"/>
          <w:lang w:val="en-GB"/>
        </w:rPr>
      </w:pPr>
    </w:p>
    <w:p w:rsidR="00D13550" w:rsidRPr="00D13550" w:rsidRDefault="00D13550" w:rsidP="00507E43">
      <w:pPr>
        <w:rPr>
          <w:rFonts w:ascii="Century Gothic" w:hAnsi="Century Gothic"/>
          <w:u w:val="none"/>
          <w:lang w:val="en-GB"/>
        </w:rPr>
      </w:pPr>
    </w:p>
    <w:p w:rsidR="00507E43" w:rsidRPr="00D13550" w:rsidRDefault="00507E43" w:rsidP="00507E43">
      <w:pPr>
        <w:rPr>
          <w:rFonts w:ascii="Century Gothic" w:hAnsi="Century Gothic"/>
          <w:b/>
          <w:lang w:val="en-GB"/>
        </w:rPr>
      </w:pPr>
      <w:r w:rsidRPr="00D13550">
        <w:rPr>
          <w:rFonts w:ascii="Century Gothic" w:hAnsi="Century Gothic"/>
          <w:b/>
          <w:lang w:val="en-GB"/>
        </w:rPr>
        <w:t>THE HEAD LEASE AGREEMENT</w:t>
      </w:r>
    </w:p>
    <w:p w:rsidR="0067059D" w:rsidRPr="00D13550" w:rsidRDefault="0067059D"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[10]</w:t>
      </w:r>
      <w:r w:rsidRPr="00D13550">
        <w:rPr>
          <w:rFonts w:ascii="Century Gothic" w:hAnsi="Arial Unicode MS"/>
          <w:u w:val="none"/>
          <w:lang w:val="en-GB"/>
        </w:rPr>
        <w:tab/>
      </w:r>
      <w:r w:rsidR="00507E43" w:rsidRPr="00242BD1">
        <w:rPr>
          <w:rFonts w:ascii="Century Gothic" w:hAnsi="Century Gothic"/>
          <w:u w:val="none"/>
          <w:lang w:val="en-GB"/>
        </w:rPr>
        <w:t>It is not contentious that the Head Lease Agreement contains the following relevant clauses:</w:t>
      </w:r>
    </w:p>
    <w:p w:rsidR="00507E43" w:rsidRPr="00D13550" w:rsidRDefault="00507E43" w:rsidP="00507E43">
      <w:pPr>
        <w:pStyle w:val="ListParagraph"/>
        <w:spacing w:line="480" w:lineRule="auto"/>
        <w:ind w:left="1440" w:hanging="873"/>
        <w:contextualSpacing w:val="0"/>
        <w:jc w:val="both"/>
        <w:rPr>
          <w:rFonts w:ascii="Century Gothic" w:hAnsi="Century Gothic"/>
          <w:u w:val="none"/>
          <w:lang w:val="en-GB"/>
        </w:rPr>
      </w:pPr>
      <w:r w:rsidRPr="00D13550">
        <w:rPr>
          <w:rFonts w:ascii="Century Gothic" w:hAnsi="Century Gothic"/>
          <w:u w:val="none"/>
          <w:lang w:val="en-GB"/>
        </w:rPr>
        <w:t>1</w:t>
      </w:r>
      <w:r w:rsidR="00E357BD">
        <w:rPr>
          <w:rFonts w:ascii="Century Gothic" w:hAnsi="Century Gothic"/>
          <w:u w:val="none"/>
          <w:lang w:val="en-GB"/>
        </w:rPr>
        <w:t>0</w:t>
      </w:r>
      <w:r w:rsidRPr="00D13550">
        <w:rPr>
          <w:rFonts w:ascii="Century Gothic" w:hAnsi="Century Gothic"/>
          <w:u w:val="none"/>
          <w:lang w:val="en-GB"/>
        </w:rPr>
        <w:t>.1</w:t>
      </w:r>
      <w:r w:rsidRPr="00D13550">
        <w:rPr>
          <w:rFonts w:ascii="Century Gothic" w:hAnsi="Century Gothic"/>
          <w:u w:val="none"/>
          <w:lang w:val="en-GB"/>
        </w:rPr>
        <w:tab/>
        <w:t>Clause 6.1 provides that the initial duration period of the Agreement is ten years;</w:t>
      </w:r>
    </w:p>
    <w:p w:rsidR="00507E43" w:rsidRPr="00D13550" w:rsidRDefault="00E357BD" w:rsidP="00507E43">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10.2</w:t>
      </w:r>
      <w:r>
        <w:rPr>
          <w:rFonts w:ascii="Century Gothic" w:hAnsi="Century Gothic"/>
          <w:u w:val="none"/>
          <w:lang w:val="en-GB"/>
        </w:rPr>
        <w:tab/>
        <w:t>Clauses 6.2 to</w:t>
      </w:r>
      <w:r w:rsidR="00507E43" w:rsidRPr="00D13550">
        <w:rPr>
          <w:rFonts w:ascii="Century Gothic" w:hAnsi="Century Gothic"/>
          <w:u w:val="none"/>
          <w:lang w:val="en-GB"/>
        </w:rPr>
        <w:t xml:space="preserve"> 6.4 confer a right of renewal on the Spar Group as the tenant. In terms of clause 6.2, Spar has the right to renew the </w:t>
      </w:r>
      <w:r w:rsidR="00507E43" w:rsidRPr="00D13550">
        <w:rPr>
          <w:rFonts w:ascii="Century Gothic" w:hAnsi="Century Gothic"/>
          <w:u w:val="none"/>
          <w:lang w:val="en-GB"/>
        </w:rPr>
        <w:lastRenderedPageBreak/>
        <w:t>Head Lease Agreement for four successive periods of five years each in circumstances where each five-year renewal constitutes a separate option;</w:t>
      </w:r>
    </w:p>
    <w:p w:rsidR="00507E43" w:rsidRPr="00D13550" w:rsidRDefault="00E357BD" w:rsidP="00507E43">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10</w:t>
      </w:r>
      <w:r w:rsidR="00507E43" w:rsidRPr="00D13550">
        <w:rPr>
          <w:rFonts w:ascii="Century Gothic" w:hAnsi="Century Gothic"/>
          <w:u w:val="none"/>
          <w:lang w:val="en-GB"/>
        </w:rPr>
        <w:t>.3</w:t>
      </w:r>
      <w:r w:rsidR="00507E43" w:rsidRPr="00D13550">
        <w:rPr>
          <w:rFonts w:ascii="Century Gothic" w:hAnsi="Century Gothic"/>
          <w:u w:val="none"/>
          <w:lang w:val="en-GB"/>
        </w:rPr>
        <w:tab/>
        <w:t>Clause 6.4 provides that the terms and conditions of the Head Lease Agreement shall apply to the renewable periods with the exception of the rental amount which shall be governed by clause 7 (Rental) of the Agreement;</w:t>
      </w:r>
    </w:p>
    <w:p w:rsidR="00507E43" w:rsidRPr="00D13550" w:rsidRDefault="00E357BD" w:rsidP="00507E43">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10</w:t>
      </w:r>
      <w:r w:rsidR="00507E43" w:rsidRPr="00D13550">
        <w:rPr>
          <w:rFonts w:ascii="Century Gothic" w:hAnsi="Century Gothic"/>
          <w:u w:val="none"/>
          <w:lang w:val="en-GB"/>
        </w:rPr>
        <w:t>.4</w:t>
      </w:r>
      <w:r w:rsidR="00507E43" w:rsidRPr="00D13550">
        <w:rPr>
          <w:rFonts w:ascii="Century Gothic" w:hAnsi="Century Gothic"/>
          <w:u w:val="none"/>
          <w:lang w:val="en-GB"/>
        </w:rPr>
        <w:tab/>
        <w:t>Clause 8 (Renewal Period) governs the process that applies should the Spar Group exercise its option to renew the Head Lease;</w:t>
      </w:r>
    </w:p>
    <w:p w:rsidR="00507E43" w:rsidRPr="00D13550" w:rsidRDefault="00507E43" w:rsidP="00507E43">
      <w:pPr>
        <w:pStyle w:val="ListParagraph"/>
        <w:spacing w:line="480" w:lineRule="auto"/>
        <w:ind w:left="1440" w:hanging="873"/>
        <w:contextualSpacing w:val="0"/>
        <w:jc w:val="both"/>
        <w:rPr>
          <w:rFonts w:ascii="Century Gothic" w:hAnsi="Century Gothic"/>
          <w:u w:val="none"/>
          <w:lang w:val="en-GB"/>
        </w:rPr>
      </w:pPr>
      <w:r w:rsidRPr="00D13550">
        <w:rPr>
          <w:rFonts w:ascii="Century Gothic" w:hAnsi="Century Gothic"/>
          <w:u w:val="none"/>
          <w:lang w:val="en-GB"/>
        </w:rPr>
        <w:t>1</w:t>
      </w:r>
      <w:r w:rsidR="00E357BD">
        <w:rPr>
          <w:rFonts w:ascii="Century Gothic" w:hAnsi="Century Gothic"/>
          <w:u w:val="none"/>
          <w:lang w:val="en-GB"/>
        </w:rPr>
        <w:t>0</w:t>
      </w:r>
      <w:r w:rsidRPr="00D13550">
        <w:rPr>
          <w:rFonts w:ascii="Century Gothic" w:hAnsi="Century Gothic"/>
          <w:u w:val="none"/>
          <w:lang w:val="en-GB"/>
        </w:rPr>
        <w:t>.5</w:t>
      </w:r>
      <w:r w:rsidRPr="00D13550">
        <w:rPr>
          <w:rFonts w:ascii="Century Gothic" w:hAnsi="Century Gothic"/>
          <w:u w:val="none"/>
          <w:lang w:val="en-GB"/>
        </w:rPr>
        <w:tab/>
        <w:t>Clause 12 (Limitation of Landlord’s Letting Rights) is an exclusivity clause. It states the following:</w:t>
      </w:r>
    </w:p>
    <w:p w:rsidR="00507E43" w:rsidRPr="00D13550" w:rsidRDefault="00507E43" w:rsidP="007E53EB">
      <w:pPr>
        <w:pStyle w:val="ListParagraph"/>
        <w:spacing w:line="480" w:lineRule="auto"/>
        <w:ind w:left="2160" w:hanging="717"/>
        <w:contextualSpacing w:val="0"/>
        <w:jc w:val="both"/>
        <w:rPr>
          <w:rFonts w:ascii="Century Gothic" w:hAnsi="Century Gothic"/>
          <w:i/>
          <w:u w:val="none"/>
          <w:lang w:val="en-GB"/>
        </w:rPr>
      </w:pPr>
      <w:r w:rsidRPr="00D13550">
        <w:rPr>
          <w:rFonts w:ascii="Century Gothic" w:hAnsi="Century Gothic"/>
          <w:i/>
          <w:u w:val="none"/>
          <w:lang w:val="en-GB"/>
        </w:rPr>
        <w:t>“12.1</w:t>
      </w:r>
      <w:r w:rsidRPr="00D13550">
        <w:rPr>
          <w:rFonts w:ascii="Century Gothic" w:hAnsi="Century Gothic"/>
          <w:i/>
          <w:u w:val="none"/>
          <w:lang w:val="en-GB"/>
        </w:rPr>
        <w:tab/>
      </w:r>
      <w:r w:rsidR="001516E2" w:rsidRPr="00D13550">
        <w:rPr>
          <w:rFonts w:ascii="Century Gothic" w:hAnsi="Century Gothic"/>
          <w:i/>
          <w:u w:val="none"/>
          <w:lang w:val="en-GB"/>
        </w:rPr>
        <w:t>The LANDLORD [i.e. Vresthena] shall not during the period of this lease, or any renewal hereof, lease any other portion of the Shopping Centre or any extension or addition thereto, to a TENANT whose business in whole or in part comprises:</w:t>
      </w:r>
    </w:p>
    <w:p w:rsidR="007E53EB" w:rsidRPr="00D13550" w:rsidRDefault="007E53EB" w:rsidP="007E53EB">
      <w:pPr>
        <w:pStyle w:val="ListParagraph"/>
        <w:spacing w:line="480" w:lineRule="auto"/>
        <w:ind w:left="2160" w:hanging="717"/>
        <w:contextualSpacing w:val="0"/>
        <w:jc w:val="both"/>
        <w:rPr>
          <w:rFonts w:ascii="Century Gothic" w:hAnsi="Century Gothic"/>
          <w:i/>
          <w:u w:val="none"/>
          <w:lang w:val="en-GB"/>
        </w:rPr>
      </w:pPr>
      <w:r w:rsidRPr="00D13550">
        <w:rPr>
          <w:rFonts w:ascii="Century Gothic" w:hAnsi="Century Gothic"/>
          <w:i/>
          <w:u w:val="none"/>
          <w:lang w:val="en-GB"/>
        </w:rPr>
        <w:tab/>
        <w:t>12.2</w:t>
      </w:r>
      <w:r w:rsidRPr="00D13550">
        <w:rPr>
          <w:rFonts w:ascii="Century Gothic" w:hAnsi="Century Gothic"/>
          <w:i/>
          <w:u w:val="none"/>
          <w:lang w:val="en-GB"/>
        </w:rPr>
        <w:tab/>
        <w:t>a bakery;</w:t>
      </w:r>
    </w:p>
    <w:p w:rsidR="007E53EB" w:rsidRPr="00D13550" w:rsidRDefault="007E53EB" w:rsidP="007E53EB">
      <w:pPr>
        <w:pStyle w:val="ListParagraph"/>
        <w:spacing w:line="480" w:lineRule="auto"/>
        <w:ind w:left="2160" w:hanging="717"/>
        <w:contextualSpacing w:val="0"/>
        <w:jc w:val="both"/>
        <w:rPr>
          <w:rFonts w:ascii="Century Gothic" w:hAnsi="Century Gothic"/>
          <w:i/>
          <w:u w:val="none"/>
          <w:lang w:val="en-GB"/>
        </w:rPr>
      </w:pPr>
      <w:r w:rsidRPr="00D13550">
        <w:rPr>
          <w:rFonts w:ascii="Century Gothic" w:hAnsi="Century Gothic"/>
          <w:i/>
          <w:u w:val="none"/>
          <w:lang w:val="en-GB"/>
        </w:rPr>
        <w:tab/>
        <w:t>12.3</w:t>
      </w:r>
      <w:r w:rsidRPr="00D13550">
        <w:rPr>
          <w:rFonts w:ascii="Century Gothic" w:hAnsi="Century Gothic"/>
          <w:i/>
          <w:u w:val="none"/>
          <w:lang w:val="en-GB"/>
        </w:rPr>
        <w:tab/>
        <w:t>a butchery;</w:t>
      </w:r>
    </w:p>
    <w:p w:rsidR="007E53EB" w:rsidRPr="00D13550" w:rsidRDefault="007E53EB" w:rsidP="007E53EB">
      <w:pPr>
        <w:pStyle w:val="ListParagraph"/>
        <w:spacing w:line="480" w:lineRule="auto"/>
        <w:ind w:left="2880" w:hanging="720"/>
        <w:contextualSpacing w:val="0"/>
        <w:jc w:val="both"/>
        <w:rPr>
          <w:rFonts w:ascii="Century Gothic" w:hAnsi="Century Gothic"/>
          <w:i/>
          <w:u w:val="none"/>
          <w:lang w:val="en-GB"/>
        </w:rPr>
      </w:pPr>
      <w:r w:rsidRPr="00D13550">
        <w:rPr>
          <w:rFonts w:ascii="Century Gothic" w:hAnsi="Century Gothic"/>
          <w:i/>
          <w:u w:val="none"/>
          <w:lang w:val="en-GB"/>
        </w:rPr>
        <w:t>12.4</w:t>
      </w:r>
      <w:r w:rsidRPr="00D13550">
        <w:rPr>
          <w:rFonts w:ascii="Century Gothic" w:hAnsi="Century Gothic"/>
          <w:i/>
          <w:u w:val="none"/>
          <w:lang w:val="en-GB"/>
        </w:rPr>
        <w:tab/>
        <w:t>a superette, supermarket, greengrocer, trading store, hypermarket, wholesaler, cash and carry or any other like business:</w:t>
      </w:r>
    </w:p>
    <w:p w:rsidR="007E53EB" w:rsidRPr="00D13550" w:rsidRDefault="007E53EB" w:rsidP="007E53EB">
      <w:pPr>
        <w:pStyle w:val="ListParagraph"/>
        <w:spacing w:line="480" w:lineRule="auto"/>
        <w:ind w:left="2160" w:hanging="717"/>
        <w:contextualSpacing w:val="0"/>
        <w:jc w:val="both"/>
        <w:rPr>
          <w:rFonts w:ascii="Century Gothic" w:hAnsi="Century Gothic"/>
          <w:i/>
          <w:u w:val="none"/>
          <w:lang w:val="en-GB"/>
        </w:rPr>
      </w:pPr>
      <w:r w:rsidRPr="00D13550">
        <w:rPr>
          <w:rFonts w:ascii="Century Gothic" w:hAnsi="Century Gothic"/>
          <w:i/>
          <w:u w:val="none"/>
          <w:lang w:val="en-GB"/>
        </w:rPr>
        <w:tab/>
        <w:t>12.5</w:t>
      </w:r>
      <w:r w:rsidRPr="00D13550">
        <w:rPr>
          <w:rFonts w:ascii="Century Gothic" w:hAnsi="Century Gothic"/>
          <w:i/>
          <w:u w:val="none"/>
          <w:lang w:val="en-GB"/>
        </w:rPr>
        <w:tab/>
        <w:t>a department store with a food department;</w:t>
      </w:r>
    </w:p>
    <w:p w:rsidR="007E53EB" w:rsidRPr="00D13550" w:rsidRDefault="007E53EB" w:rsidP="007E53EB">
      <w:pPr>
        <w:pStyle w:val="ListParagraph"/>
        <w:spacing w:line="480" w:lineRule="auto"/>
        <w:ind w:left="2160" w:hanging="717"/>
        <w:contextualSpacing w:val="0"/>
        <w:jc w:val="both"/>
        <w:rPr>
          <w:rFonts w:ascii="Century Gothic" w:hAnsi="Century Gothic"/>
          <w:i/>
          <w:u w:val="none"/>
          <w:lang w:val="en-GB"/>
        </w:rPr>
      </w:pPr>
      <w:r w:rsidRPr="00D13550">
        <w:rPr>
          <w:rFonts w:ascii="Century Gothic" w:hAnsi="Century Gothic"/>
          <w:i/>
          <w:u w:val="none"/>
          <w:lang w:val="en-GB"/>
        </w:rPr>
        <w:tab/>
        <w:t>12.6</w:t>
      </w:r>
      <w:r w:rsidRPr="00D13550">
        <w:rPr>
          <w:rFonts w:ascii="Century Gothic" w:hAnsi="Century Gothic"/>
          <w:i/>
          <w:u w:val="none"/>
          <w:lang w:val="en-GB"/>
        </w:rPr>
        <w:tab/>
        <w:t xml:space="preserve">a liquor store, other than a TOPS liquor outlet; </w:t>
      </w:r>
    </w:p>
    <w:p w:rsidR="007E53EB" w:rsidRPr="00D13550" w:rsidRDefault="007E53EB" w:rsidP="007E53EB">
      <w:pPr>
        <w:pStyle w:val="ListParagraph"/>
        <w:spacing w:line="480" w:lineRule="auto"/>
        <w:ind w:left="2160" w:hanging="717"/>
        <w:contextualSpacing w:val="0"/>
        <w:jc w:val="both"/>
        <w:rPr>
          <w:rFonts w:ascii="Century Gothic" w:hAnsi="Century Gothic"/>
          <w:i/>
          <w:u w:val="none"/>
          <w:lang w:val="en-GB"/>
        </w:rPr>
      </w:pPr>
      <w:r w:rsidRPr="00D13550">
        <w:rPr>
          <w:rFonts w:ascii="Century Gothic" w:hAnsi="Century Gothic"/>
          <w:i/>
          <w:u w:val="none"/>
          <w:lang w:val="en-GB"/>
        </w:rPr>
        <w:lastRenderedPageBreak/>
        <w:tab/>
        <w:t>12.7</w:t>
      </w:r>
      <w:r w:rsidRPr="00D13550">
        <w:rPr>
          <w:rFonts w:ascii="Century Gothic" w:hAnsi="Century Gothic"/>
          <w:i/>
          <w:u w:val="none"/>
          <w:lang w:val="en-GB"/>
        </w:rPr>
        <w:tab/>
        <w:t>a delicatessen.”</w:t>
      </w:r>
      <w:r w:rsidR="00DD10F7" w:rsidRPr="00D13550">
        <w:rPr>
          <w:rStyle w:val="FootnoteReference"/>
          <w:rFonts w:ascii="Century Gothic" w:hAnsi="Century Gothic"/>
          <w:i/>
          <w:u w:val="none"/>
          <w:lang w:val="en-GB"/>
        </w:rPr>
        <w:footnoteReference w:id="5"/>
      </w:r>
    </w:p>
    <w:p w:rsidR="001516E2" w:rsidRPr="00D13550" w:rsidRDefault="001516E2" w:rsidP="00507E43">
      <w:pPr>
        <w:pStyle w:val="ListParagraph"/>
        <w:spacing w:line="480" w:lineRule="auto"/>
        <w:ind w:left="1440" w:hanging="873"/>
        <w:contextualSpacing w:val="0"/>
        <w:jc w:val="both"/>
        <w:rPr>
          <w:rFonts w:ascii="Century Gothic" w:hAnsi="Century Gothic"/>
          <w:u w:val="none"/>
          <w:lang w:val="en-GB"/>
        </w:rPr>
      </w:pPr>
      <w:r w:rsidRPr="00D13550">
        <w:rPr>
          <w:rFonts w:ascii="Century Gothic" w:hAnsi="Century Gothic"/>
          <w:u w:val="none"/>
          <w:lang w:val="en-GB"/>
        </w:rPr>
        <w:tab/>
      </w:r>
      <w:r w:rsidRPr="00D13550">
        <w:rPr>
          <w:rFonts w:ascii="Century Gothic" w:hAnsi="Century Gothic"/>
          <w:u w:val="none"/>
          <w:lang w:val="en-GB"/>
        </w:rPr>
        <w:tab/>
      </w:r>
    </w:p>
    <w:p w:rsidR="0067059D" w:rsidRPr="00D13550" w:rsidRDefault="0067059D" w:rsidP="005602C7">
      <w:pPr>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[11]</w:t>
      </w:r>
      <w:r w:rsidRPr="00D13550">
        <w:rPr>
          <w:rFonts w:ascii="Century Gothic" w:hAnsi="Arial Unicode MS"/>
          <w:u w:val="none"/>
          <w:lang w:val="en-GB"/>
        </w:rPr>
        <w:tab/>
      </w:r>
      <w:r w:rsidR="005602C7" w:rsidRPr="00242BD1">
        <w:rPr>
          <w:rFonts w:ascii="Century Gothic" w:hAnsi="Century Gothic"/>
          <w:u w:val="none"/>
          <w:lang w:val="en-GB"/>
        </w:rPr>
        <w:t>The Head Lease Agreement was due to expire on 30 June 2019 and the Spar Group notified Vresthena of its intention to exercise its option to renew in terms of clause 8. The Addendum seeks to give effect to this renewal and when Vresthena refused to sign it, the Spar Group launched the main application on 27 May 2020 in which</w:t>
      </w:r>
      <w:r w:rsidR="00F115FE" w:rsidRPr="00242BD1">
        <w:rPr>
          <w:rFonts w:ascii="Century Gothic" w:hAnsi="Century Gothic"/>
          <w:u w:val="none"/>
          <w:lang w:val="en-GB"/>
        </w:rPr>
        <w:t xml:space="preserve"> </w:t>
      </w:r>
      <w:r w:rsidR="00F115FE" w:rsidRPr="00242BD1">
        <w:rPr>
          <w:rFonts w:ascii="Century Gothic" w:hAnsi="Century Gothic"/>
          <w:i/>
          <w:u w:val="none"/>
          <w:lang w:val="en-GB"/>
        </w:rPr>
        <w:t>inter alia</w:t>
      </w:r>
      <w:r w:rsidR="005602C7" w:rsidRPr="00242BD1">
        <w:rPr>
          <w:rFonts w:ascii="Century Gothic" w:hAnsi="Century Gothic"/>
          <w:u w:val="none"/>
          <w:lang w:val="en-GB"/>
        </w:rPr>
        <w:t xml:space="preserve"> the following relief is sought:</w:t>
      </w:r>
    </w:p>
    <w:p w:rsidR="005602C7" w:rsidRPr="00D13550" w:rsidRDefault="00371FF3" w:rsidP="00371FF3">
      <w:pPr>
        <w:spacing w:line="480" w:lineRule="auto"/>
        <w:ind w:left="1418" w:hanging="851"/>
        <w:jc w:val="both"/>
        <w:rPr>
          <w:rFonts w:ascii="Century Gothic" w:hAnsi="Century Gothic"/>
          <w:i/>
          <w:u w:val="none"/>
          <w:lang w:val="en-GB"/>
        </w:rPr>
      </w:pPr>
      <w:r w:rsidRPr="00D13550">
        <w:rPr>
          <w:rFonts w:ascii="Century Gothic" w:hAnsi="Century Gothic"/>
          <w:i/>
          <w:u w:val="none"/>
          <w:lang w:val="en-GB"/>
        </w:rPr>
        <w:t>“1.</w:t>
      </w:r>
      <w:r w:rsidRPr="00D13550">
        <w:rPr>
          <w:rFonts w:ascii="Century Gothic" w:hAnsi="Century Gothic"/>
          <w:i/>
          <w:u w:val="none"/>
          <w:lang w:val="en-GB"/>
        </w:rPr>
        <w:tab/>
      </w:r>
      <w:r w:rsidR="005602C7" w:rsidRPr="00D13550">
        <w:rPr>
          <w:rFonts w:ascii="Century Gothic" w:hAnsi="Century Gothic"/>
          <w:i/>
          <w:u w:val="none"/>
          <w:lang w:val="en-GB"/>
        </w:rPr>
        <w:t xml:space="preserve">THAT it be and is hereby declared that the agreement of lease concluded between the applicant and the respondent </w:t>
      </w:r>
      <w:r w:rsidRPr="00D13550">
        <w:rPr>
          <w:rFonts w:ascii="Century Gothic" w:hAnsi="Century Gothic"/>
          <w:i/>
          <w:u w:val="none"/>
          <w:lang w:val="en-GB"/>
        </w:rPr>
        <w:t>on 18 September 2009 has been renewed for a period of 5 years commencing on 1 June 2019;</w:t>
      </w:r>
    </w:p>
    <w:p w:rsidR="00371FF3" w:rsidRPr="00242BD1" w:rsidRDefault="00242BD1" w:rsidP="00242BD1">
      <w:pPr>
        <w:spacing w:line="480" w:lineRule="auto"/>
        <w:ind w:left="1276" w:hanging="709"/>
        <w:jc w:val="both"/>
        <w:rPr>
          <w:rFonts w:ascii="Century Gothic" w:hAnsi="Century Gothic"/>
          <w:i/>
          <w:u w:val="none"/>
          <w:lang w:val="en-GB"/>
        </w:rPr>
      </w:pPr>
      <w:r w:rsidRPr="00D13550">
        <w:rPr>
          <w:rFonts w:ascii="Century Gothic" w:hAnsi="Century Gothic"/>
          <w:i/>
          <w:u w:val="none"/>
          <w:lang w:val="en-GB"/>
        </w:rPr>
        <w:t>2.</w:t>
      </w:r>
      <w:r w:rsidRPr="00D13550">
        <w:rPr>
          <w:rFonts w:ascii="Century Gothic" w:hAnsi="Century Gothic"/>
          <w:i/>
          <w:u w:val="none"/>
          <w:lang w:val="en-GB"/>
        </w:rPr>
        <w:tab/>
      </w:r>
      <w:r w:rsidR="00371FF3" w:rsidRPr="00242BD1">
        <w:rPr>
          <w:rFonts w:ascii="Century Gothic" w:hAnsi="Century Gothic"/>
          <w:i/>
          <w:u w:val="none"/>
          <w:lang w:val="en-GB"/>
        </w:rPr>
        <w:t>THAT it be and is hereby declared that during the renewal period:</w:t>
      </w:r>
    </w:p>
    <w:p w:rsidR="00371FF3" w:rsidRPr="00D13550" w:rsidRDefault="00371FF3" w:rsidP="00371FF3">
      <w:pPr>
        <w:pStyle w:val="ListParagraph"/>
        <w:spacing w:line="480" w:lineRule="auto"/>
        <w:ind w:left="2160" w:hanging="742"/>
        <w:contextualSpacing w:val="0"/>
        <w:jc w:val="both"/>
        <w:rPr>
          <w:rFonts w:ascii="Century Gothic" w:hAnsi="Century Gothic"/>
          <w:i/>
          <w:u w:val="none"/>
          <w:lang w:val="en-GB"/>
        </w:rPr>
      </w:pPr>
      <w:r w:rsidRPr="00D13550">
        <w:rPr>
          <w:rFonts w:ascii="Century Gothic" w:hAnsi="Century Gothic"/>
          <w:i/>
          <w:u w:val="none"/>
          <w:lang w:val="en-GB"/>
        </w:rPr>
        <w:t>2.1</w:t>
      </w:r>
      <w:r w:rsidRPr="00D13550">
        <w:rPr>
          <w:rFonts w:ascii="Century Gothic" w:hAnsi="Century Gothic"/>
          <w:i/>
          <w:u w:val="none"/>
          <w:lang w:val="en-GB"/>
        </w:rPr>
        <w:tab/>
        <w:t>the rental payable by the applicant to the respondent shall be R263 280.00 per month; and</w:t>
      </w:r>
    </w:p>
    <w:p w:rsidR="00371FF3" w:rsidRPr="00D13550" w:rsidRDefault="00371FF3" w:rsidP="00371FF3">
      <w:pPr>
        <w:pStyle w:val="ListParagraph"/>
        <w:spacing w:line="480" w:lineRule="auto"/>
        <w:ind w:left="1418"/>
        <w:contextualSpacing w:val="0"/>
        <w:jc w:val="both"/>
        <w:rPr>
          <w:rFonts w:ascii="Century Gothic" w:hAnsi="Century Gothic"/>
          <w:i/>
          <w:u w:val="none"/>
          <w:lang w:val="en-GB"/>
        </w:rPr>
      </w:pPr>
      <w:r w:rsidRPr="00D13550">
        <w:rPr>
          <w:rFonts w:ascii="Century Gothic" w:hAnsi="Century Gothic"/>
          <w:i/>
          <w:u w:val="none"/>
          <w:lang w:val="en-GB"/>
        </w:rPr>
        <w:t>2.2</w:t>
      </w:r>
      <w:r w:rsidRPr="00D13550">
        <w:rPr>
          <w:rFonts w:ascii="Century Gothic" w:hAnsi="Century Gothic"/>
          <w:i/>
          <w:u w:val="none"/>
          <w:lang w:val="en-GB"/>
        </w:rPr>
        <w:tab/>
        <w:t>the annual escalation on such rental shall be 6% per annum;</w:t>
      </w:r>
    </w:p>
    <w:p w:rsidR="00371FF3" w:rsidRPr="00242BD1" w:rsidRDefault="00242BD1" w:rsidP="00242BD1">
      <w:pPr>
        <w:spacing w:line="480" w:lineRule="auto"/>
        <w:ind w:left="1418" w:hanging="851"/>
        <w:jc w:val="both"/>
        <w:rPr>
          <w:rFonts w:ascii="Century Gothic" w:hAnsi="Century Gothic"/>
          <w:i/>
          <w:u w:val="none"/>
          <w:lang w:val="en-GB"/>
        </w:rPr>
      </w:pPr>
      <w:r w:rsidRPr="00D13550">
        <w:rPr>
          <w:rFonts w:ascii="Century Gothic" w:hAnsi="Century Gothic"/>
          <w:i/>
          <w:u w:val="none"/>
          <w:lang w:val="en-GB"/>
        </w:rPr>
        <w:t>3.</w:t>
      </w:r>
      <w:r w:rsidRPr="00D13550">
        <w:rPr>
          <w:rFonts w:ascii="Century Gothic" w:hAnsi="Century Gothic"/>
          <w:i/>
          <w:u w:val="none"/>
          <w:lang w:val="en-GB"/>
        </w:rPr>
        <w:tab/>
      </w:r>
      <w:r w:rsidR="00371FF3" w:rsidRPr="00242BD1">
        <w:rPr>
          <w:rFonts w:ascii="Century Gothic" w:hAnsi="Century Gothic"/>
          <w:i/>
          <w:u w:val="none"/>
          <w:lang w:val="en-GB"/>
        </w:rPr>
        <w:t>THAT the respondent be and is hereby directed to cause the signature of the written addendum, annexed hereto marked “X”, on its behalf, within seven (7) days of the grant of this order;</w:t>
      </w:r>
    </w:p>
    <w:p w:rsidR="00371FF3" w:rsidRPr="00242BD1" w:rsidRDefault="00242BD1" w:rsidP="00242BD1">
      <w:pPr>
        <w:spacing w:line="480" w:lineRule="auto"/>
        <w:ind w:left="1418" w:hanging="851"/>
        <w:jc w:val="both"/>
        <w:rPr>
          <w:rFonts w:ascii="Century Gothic" w:hAnsi="Century Gothic"/>
          <w:i/>
          <w:u w:val="none"/>
          <w:lang w:val="en-GB"/>
        </w:rPr>
      </w:pPr>
      <w:r w:rsidRPr="00F115FE">
        <w:rPr>
          <w:rFonts w:ascii="Century Gothic" w:hAnsi="Century Gothic"/>
          <w:i/>
          <w:u w:val="none"/>
          <w:lang w:val="en-GB"/>
        </w:rPr>
        <w:lastRenderedPageBreak/>
        <w:t>4.</w:t>
      </w:r>
      <w:r w:rsidRPr="00F115FE">
        <w:rPr>
          <w:rFonts w:ascii="Century Gothic" w:hAnsi="Century Gothic"/>
          <w:i/>
          <w:u w:val="none"/>
          <w:lang w:val="en-GB"/>
        </w:rPr>
        <w:tab/>
      </w:r>
      <w:r w:rsidR="00371FF3" w:rsidRPr="00242BD1">
        <w:rPr>
          <w:rFonts w:ascii="Century Gothic" w:hAnsi="Century Gothic"/>
          <w:i/>
          <w:u w:val="none"/>
          <w:lang w:val="en-GB"/>
        </w:rPr>
        <w:t xml:space="preserve">THAT, in the event of the respondent failing to comply with the order in paragraph 3 above, the Sheriff of the High Court be and is hereby authorised to sign the addendum for </w:t>
      </w:r>
      <w:r w:rsidR="00F115FE" w:rsidRPr="00242BD1">
        <w:rPr>
          <w:rFonts w:ascii="Century Gothic" w:hAnsi="Century Gothic"/>
          <w:i/>
          <w:u w:val="none"/>
          <w:lang w:val="en-GB"/>
        </w:rPr>
        <w:t>and on behalf of the respondent.”</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[12]</w:t>
      </w:r>
      <w:r w:rsidRPr="00D13550">
        <w:rPr>
          <w:rFonts w:ascii="Century Gothic" w:hAnsi="Arial Unicode MS"/>
          <w:u w:val="none"/>
          <w:lang w:val="en-GB"/>
        </w:rPr>
        <w:tab/>
      </w:r>
      <w:r w:rsidR="00EE3FF6" w:rsidRPr="00242BD1">
        <w:rPr>
          <w:rFonts w:ascii="Century Gothic" w:hAnsi="Century Gothic"/>
          <w:u w:val="none"/>
          <w:lang w:val="en-GB"/>
        </w:rPr>
        <w:t>In the answering affidavit, Vresthena bases its opposition on 8 main ground</w:t>
      </w:r>
      <w:r w:rsidR="00195A89" w:rsidRPr="00242BD1">
        <w:rPr>
          <w:rFonts w:ascii="Century Gothic" w:hAnsi="Century Gothic"/>
          <w:u w:val="none"/>
          <w:lang w:val="en-GB"/>
        </w:rPr>
        <w:t>s the most notable of which</w:t>
      </w:r>
      <w:r w:rsidR="00EE3FF6" w:rsidRPr="00242BD1">
        <w:rPr>
          <w:rFonts w:ascii="Century Gothic" w:hAnsi="Century Gothic"/>
          <w:u w:val="none"/>
          <w:lang w:val="en-GB"/>
        </w:rPr>
        <w:t xml:space="preserve"> are the following:</w:t>
      </w:r>
    </w:p>
    <w:p w:rsidR="00165ED5" w:rsidRPr="00D13550" w:rsidRDefault="00E357BD" w:rsidP="00431926">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12</w:t>
      </w:r>
      <w:r w:rsidR="00165ED5" w:rsidRPr="00D13550">
        <w:rPr>
          <w:rFonts w:ascii="Century Gothic" w:hAnsi="Century Gothic"/>
          <w:u w:val="none"/>
          <w:lang w:val="en-GB"/>
        </w:rPr>
        <w:t>.</w:t>
      </w:r>
      <w:r w:rsidR="00195A89">
        <w:rPr>
          <w:rFonts w:ascii="Century Gothic" w:hAnsi="Century Gothic"/>
          <w:u w:val="none"/>
          <w:lang w:val="en-GB"/>
        </w:rPr>
        <w:t>1</w:t>
      </w:r>
      <w:r w:rsidR="00165ED5" w:rsidRPr="00D13550">
        <w:rPr>
          <w:rFonts w:ascii="Century Gothic" w:hAnsi="Century Gothic"/>
          <w:u w:val="none"/>
          <w:lang w:val="en-GB"/>
        </w:rPr>
        <w:tab/>
      </w:r>
      <w:r w:rsidR="00195A89">
        <w:rPr>
          <w:rFonts w:ascii="Century Gothic" w:hAnsi="Century Gothic"/>
          <w:u w:val="none"/>
          <w:lang w:val="en-GB"/>
        </w:rPr>
        <w:t>to the extent that the Spar</w:t>
      </w:r>
      <w:r w:rsidR="00165ED5" w:rsidRPr="00D13550">
        <w:rPr>
          <w:rFonts w:ascii="Century Gothic" w:hAnsi="Century Gothic"/>
          <w:u w:val="none"/>
          <w:lang w:val="en-GB"/>
        </w:rPr>
        <w:t>/Highveld head lease is bindi</w:t>
      </w:r>
      <w:r w:rsidR="00195A89">
        <w:rPr>
          <w:rFonts w:ascii="Century Gothic" w:hAnsi="Century Gothic"/>
          <w:u w:val="none"/>
          <w:lang w:val="en-GB"/>
        </w:rPr>
        <w:t xml:space="preserve">ng, Spar </w:t>
      </w:r>
      <w:r w:rsidR="00165ED5" w:rsidRPr="00D13550">
        <w:rPr>
          <w:rFonts w:ascii="Century Gothic" w:hAnsi="Century Gothic"/>
          <w:u w:val="none"/>
          <w:lang w:val="en-GB"/>
        </w:rPr>
        <w:t>has waived and/or abandoned its rights in terms of such lease, alternatively, is estopped from enforcing the lea</w:t>
      </w:r>
      <w:r w:rsidR="00195A89">
        <w:rPr>
          <w:rFonts w:ascii="Century Gothic" w:hAnsi="Century Gothic"/>
          <w:u w:val="none"/>
          <w:lang w:val="en-GB"/>
        </w:rPr>
        <w:t xml:space="preserve">se, further alternatively, Spar </w:t>
      </w:r>
      <w:r w:rsidR="00165ED5" w:rsidRPr="00D13550">
        <w:rPr>
          <w:rFonts w:ascii="Century Gothic" w:hAnsi="Century Gothic"/>
          <w:u w:val="none"/>
          <w:lang w:val="en-GB"/>
        </w:rPr>
        <w:t>had repudiated the lease and Vresthena</w:t>
      </w:r>
      <w:r w:rsidR="00FE6D7F" w:rsidRPr="00D13550">
        <w:rPr>
          <w:rFonts w:ascii="Century Gothic" w:hAnsi="Century Gothic"/>
          <w:u w:val="none"/>
          <w:lang w:val="en-GB"/>
        </w:rPr>
        <w:t xml:space="preserve"> </w:t>
      </w:r>
      <w:r w:rsidR="00195A89">
        <w:rPr>
          <w:rFonts w:ascii="Century Gothic" w:hAnsi="Century Gothic"/>
          <w:u w:val="none"/>
          <w:lang w:val="en-GB"/>
        </w:rPr>
        <w:t>had cancelled it;</w:t>
      </w:r>
    </w:p>
    <w:p w:rsidR="00165ED5" w:rsidRPr="00D13550" w:rsidRDefault="00E357BD" w:rsidP="00431926">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12</w:t>
      </w:r>
      <w:r w:rsidR="00195A89">
        <w:rPr>
          <w:rFonts w:ascii="Century Gothic" w:hAnsi="Century Gothic"/>
          <w:u w:val="none"/>
          <w:lang w:val="en-GB"/>
        </w:rPr>
        <w:t>.2</w:t>
      </w:r>
      <w:r w:rsidR="00165ED5" w:rsidRPr="00D13550">
        <w:rPr>
          <w:rFonts w:ascii="Century Gothic" w:hAnsi="Century Gothic"/>
          <w:u w:val="none"/>
          <w:lang w:val="en-GB"/>
        </w:rPr>
        <w:tab/>
      </w:r>
      <w:r w:rsidR="00195A89">
        <w:rPr>
          <w:rFonts w:ascii="Century Gothic" w:hAnsi="Century Gothic"/>
          <w:u w:val="none"/>
          <w:lang w:val="en-GB"/>
        </w:rPr>
        <w:t>even if binding, the Spar</w:t>
      </w:r>
      <w:r w:rsidR="00165ED5" w:rsidRPr="00D13550">
        <w:rPr>
          <w:rFonts w:ascii="Century Gothic" w:hAnsi="Century Gothic"/>
          <w:u w:val="none"/>
          <w:lang w:val="en-GB"/>
        </w:rPr>
        <w:t xml:space="preserve">/Highveld head lease was only binding on Vresthena for ten years and </w:t>
      </w:r>
      <w:r w:rsidR="00195A89">
        <w:rPr>
          <w:rFonts w:ascii="Century Gothic" w:hAnsi="Century Gothic"/>
          <w:u w:val="none"/>
          <w:lang w:val="en-GB"/>
        </w:rPr>
        <w:t>the ten-year period has expired;</w:t>
      </w:r>
    </w:p>
    <w:p w:rsidR="00165ED5" w:rsidRPr="00D13550" w:rsidRDefault="00E357BD" w:rsidP="00431926">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12</w:t>
      </w:r>
      <w:r w:rsidR="00195A89">
        <w:rPr>
          <w:rFonts w:ascii="Century Gothic" w:hAnsi="Century Gothic"/>
          <w:u w:val="none"/>
          <w:lang w:val="en-GB"/>
        </w:rPr>
        <w:t>.3</w:t>
      </w:r>
      <w:r w:rsidR="00195A89">
        <w:rPr>
          <w:rFonts w:ascii="Century Gothic" w:hAnsi="Century Gothic"/>
          <w:u w:val="none"/>
          <w:lang w:val="en-GB"/>
        </w:rPr>
        <w:tab/>
        <w:t>the Spar</w:t>
      </w:r>
      <w:r w:rsidR="00165ED5" w:rsidRPr="00D13550">
        <w:rPr>
          <w:rFonts w:ascii="Century Gothic" w:hAnsi="Century Gothic"/>
          <w:u w:val="none"/>
          <w:lang w:val="en-GB"/>
        </w:rPr>
        <w:t>/Highveld head lease is unenforceable because it is a simu</w:t>
      </w:r>
      <w:r w:rsidR="00195A89">
        <w:rPr>
          <w:rFonts w:ascii="Century Gothic" w:hAnsi="Century Gothic"/>
          <w:u w:val="none"/>
          <w:lang w:val="en-GB"/>
        </w:rPr>
        <w:t>lated or fictitious transaction;</w:t>
      </w:r>
    </w:p>
    <w:p w:rsidR="00165ED5" w:rsidRPr="00D13550" w:rsidRDefault="00E357BD" w:rsidP="00165ED5">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12</w:t>
      </w:r>
      <w:r w:rsidR="00195A89">
        <w:rPr>
          <w:rFonts w:ascii="Century Gothic" w:hAnsi="Century Gothic"/>
          <w:u w:val="none"/>
          <w:lang w:val="en-GB"/>
        </w:rPr>
        <w:t>.4</w:t>
      </w:r>
      <w:r w:rsidR="00165ED5" w:rsidRPr="00D13550">
        <w:rPr>
          <w:rFonts w:ascii="Century Gothic" w:hAnsi="Century Gothic"/>
          <w:u w:val="none"/>
          <w:lang w:val="en-GB"/>
        </w:rPr>
        <w:tab/>
        <w:t>S</w:t>
      </w:r>
      <w:r w:rsidR="00195A89">
        <w:rPr>
          <w:rFonts w:ascii="Century Gothic" w:hAnsi="Century Gothic"/>
          <w:u w:val="none"/>
          <w:lang w:val="en-GB"/>
        </w:rPr>
        <w:t>par</w:t>
      </w:r>
      <w:r w:rsidR="00165ED5" w:rsidRPr="00D13550">
        <w:rPr>
          <w:rFonts w:ascii="Century Gothic" w:hAnsi="Century Gothic"/>
          <w:u w:val="none"/>
          <w:lang w:val="en-GB"/>
        </w:rPr>
        <w:t>’s main application should be dismissed on grounds of public policy as it is part of a greater scheme by Spar to oppress the Giannacopoulos group of companies.</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[13]</w:t>
      </w:r>
      <w:r w:rsidRPr="00D13550">
        <w:rPr>
          <w:rFonts w:ascii="Century Gothic" w:hAnsi="Arial Unicode MS"/>
          <w:u w:val="none"/>
          <w:lang w:val="en-GB"/>
        </w:rPr>
        <w:tab/>
      </w:r>
      <w:r w:rsidR="00165ED5" w:rsidRPr="00242BD1">
        <w:rPr>
          <w:rFonts w:ascii="Century Gothic" w:hAnsi="Century Gothic"/>
          <w:u w:val="none"/>
          <w:lang w:val="en-GB"/>
        </w:rPr>
        <w:t>In the Stay Application</w:t>
      </w:r>
      <w:r w:rsidR="00165ED5" w:rsidRPr="00D13550">
        <w:rPr>
          <w:rStyle w:val="FootnoteReference"/>
          <w:rFonts w:ascii="Century Gothic" w:hAnsi="Century Gothic"/>
          <w:u w:val="none"/>
          <w:lang w:val="en-GB"/>
        </w:rPr>
        <w:footnoteReference w:id="6"/>
      </w:r>
      <w:r w:rsidR="00A62B38" w:rsidRPr="00242BD1">
        <w:rPr>
          <w:rFonts w:ascii="Century Gothic" w:hAnsi="Century Gothic"/>
          <w:u w:val="none"/>
          <w:lang w:val="en-GB"/>
        </w:rPr>
        <w:t xml:space="preserve"> however, Vresthena bases its argument on the fact that on 28 November 2019 the Competition Commission (the Commission)</w:t>
      </w:r>
      <w:r w:rsidR="00FE6D7F" w:rsidRPr="00242BD1">
        <w:rPr>
          <w:rFonts w:ascii="Century Gothic" w:hAnsi="Century Gothic"/>
          <w:u w:val="none"/>
          <w:lang w:val="en-GB"/>
        </w:rPr>
        <w:t xml:space="preserve"> published its final Report (the Report) to the “Grocery Retail </w:t>
      </w:r>
      <w:r w:rsidR="00FE6D7F" w:rsidRPr="00242BD1">
        <w:rPr>
          <w:rFonts w:ascii="Century Gothic" w:hAnsi="Century Gothic"/>
          <w:u w:val="none"/>
          <w:lang w:val="en-GB"/>
        </w:rPr>
        <w:lastRenderedPageBreak/>
        <w:t>Market</w:t>
      </w:r>
      <w:r w:rsidR="00A451AC" w:rsidRPr="00242BD1">
        <w:rPr>
          <w:rFonts w:ascii="Century Gothic" w:hAnsi="Century Gothic"/>
          <w:u w:val="none"/>
          <w:lang w:val="en-GB"/>
        </w:rPr>
        <w:t xml:space="preserve"> </w:t>
      </w:r>
      <w:r w:rsidR="00FE6D7F" w:rsidRPr="00242BD1">
        <w:rPr>
          <w:rFonts w:ascii="Century Gothic" w:hAnsi="Century Gothic"/>
          <w:u w:val="none"/>
          <w:lang w:val="en-GB"/>
        </w:rPr>
        <w:t xml:space="preserve">Inquiry”. This inquiry was aimed at the widespread use of long-term exclusive use lease </w:t>
      </w:r>
      <w:r w:rsidR="005C6425" w:rsidRPr="00242BD1">
        <w:rPr>
          <w:rFonts w:ascii="Century Gothic" w:hAnsi="Century Gothic"/>
          <w:u w:val="none"/>
          <w:lang w:val="en-GB"/>
        </w:rPr>
        <w:t>agreements</w:t>
      </w:r>
      <w:r w:rsidR="00A451AC" w:rsidRPr="00242BD1">
        <w:rPr>
          <w:rFonts w:ascii="Century Gothic" w:hAnsi="Century Gothic"/>
          <w:u w:val="none"/>
          <w:lang w:val="en-GB"/>
        </w:rPr>
        <w:t xml:space="preserve"> </w:t>
      </w:r>
      <w:r w:rsidR="007A0CC9" w:rsidRPr="00242BD1">
        <w:rPr>
          <w:rFonts w:ascii="Century Gothic" w:hAnsi="Century Gothic"/>
          <w:u w:val="none"/>
          <w:lang w:val="en-GB"/>
        </w:rPr>
        <w:t>by national supermarket chains which appeared to restrict the participation of small, medium and micro enterprises within the South African grocery retail sector. One of the objectives of the inquiry was to study (and make recommendations) on</w:t>
      </w:r>
    </w:p>
    <w:p w:rsidR="007A0CC9" w:rsidRPr="00D13550" w:rsidRDefault="007A0CC9" w:rsidP="00A451AC">
      <w:pPr>
        <w:pStyle w:val="ListParagraph"/>
        <w:spacing w:line="480" w:lineRule="auto"/>
        <w:ind w:left="1440" w:hanging="873"/>
        <w:contextualSpacing w:val="0"/>
        <w:jc w:val="both"/>
        <w:rPr>
          <w:rFonts w:ascii="Century Gothic" w:hAnsi="Century Gothic"/>
          <w:i/>
          <w:u w:val="none"/>
          <w:lang w:val="en-GB"/>
        </w:rPr>
      </w:pPr>
      <w:r w:rsidRPr="00D13550">
        <w:rPr>
          <w:rFonts w:ascii="Century Gothic" w:hAnsi="Century Gothic"/>
          <w:i/>
          <w:u w:val="none"/>
          <w:lang w:val="en-GB"/>
        </w:rPr>
        <w:t>“4.2</w:t>
      </w:r>
      <w:r w:rsidRPr="00D13550">
        <w:rPr>
          <w:rFonts w:ascii="Century Gothic" w:hAnsi="Century Gothic"/>
          <w:i/>
          <w:u w:val="none"/>
          <w:lang w:val="en-GB"/>
        </w:rPr>
        <w:tab/>
        <w:t>The impact of long-term exclusive lease agreements entered into between property developers and national supermarket chains and the role of financiers in these agreements on local competition in the grocery retail sector.”</w:t>
      </w:r>
    </w:p>
    <w:p w:rsidR="008A734B" w:rsidRPr="00D13550" w:rsidRDefault="008A734B" w:rsidP="008A734B">
      <w:pPr>
        <w:pStyle w:val="ListParagraph"/>
        <w:rPr>
          <w:rFonts w:ascii="Century Gothic" w:hAnsi="Century Gothic"/>
          <w:u w:val="none"/>
          <w:lang w:val="en-GB"/>
        </w:rPr>
      </w:pPr>
    </w:p>
    <w:p w:rsidR="007A0CC9" w:rsidRPr="00D13550" w:rsidRDefault="007A0CC9"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[14]</w:t>
      </w:r>
      <w:r w:rsidRPr="00D13550">
        <w:rPr>
          <w:rFonts w:ascii="Century Gothic" w:hAnsi="Arial Unicode MS"/>
          <w:u w:val="none"/>
          <w:lang w:val="en-GB"/>
        </w:rPr>
        <w:tab/>
      </w:r>
      <w:r w:rsidR="00BF287A" w:rsidRPr="00242BD1">
        <w:rPr>
          <w:rFonts w:ascii="Century Gothic" w:hAnsi="Century Gothic"/>
          <w:u w:val="none"/>
          <w:lang w:val="en-GB"/>
        </w:rPr>
        <w:t>The recommendations made by the Commission are the following:</w:t>
      </w:r>
    </w:p>
    <w:p w:rsidR="00BF287A" w:rsidRPr="00D13550" w:rsidRDefault="00E357BD" w:rsidP="00BF287A">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14</w:t>
      </w:r>
      <w:r w:rsidR="00BF287A" w:rsidRPr="00D13550">
        <w:rPr>
          <w:rFonts w:ascii="Century Gothic" w:hAnsi="Century Gothic"/>
          <w:u w:val="none"/>
          <w:lang w:val="en-GB"/>
        </w:rPr>
        <w:t>.1</w:t>
      </w:r>
      <w:r w:rsidR="00BF287A" w:rsidRPr="00D13550">
        <w:rPr>
          <w:rFonts w:ascii="Century Gothic" w:hAnsi="Century Gothic"/>
          <w:u w:val="none"/>
          <w:lang w:val="en-GB"/>
        </w:rPr>
        <w:tab/>
        <w:t>national supermarket chains must immediately cease enforcing exclusivity provisions or provisions that have a substantially similar effect in their lease agreements;</w:t>
      </w:r>
    </w:p>
    <w:p w:rsidR="00BF287A" w:rsidRPr="00D13550" w:rsidRDefault="00E357BD" w:rsidP="00BF287A">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14</w:t>
      </w:r>
      <w:r w:rsidR="00BF287A" w:rsidRPr="00D13550">
        <w:rPr>
          <w:rFonts w:ascii="Century Gothic" w:hAnsi="Century Gothic"/>
          <w:u w:val="none"/>
          <w:lang w:val="en-GB"/>
        </w:rPr>
        <w:t>.2</w:t>
      </w:r>
      <w:r w:rsidR="00BF287A" w:rsidRPr="00D13550">
        <w:rPr>
          <w:rFonts w:ascii="Century Gothic" w:hAnsi="Century Gothic"/>
          <w:u w:val="none"/>
          <w:lang w:val="en-GB"/>
        </w:rPr>
        <w:tab/>
        <w:t xml:space="preserve">no new leases or </w:t>
      </w:r>
      <w:r w:rsidR="00BF287A" w:rsidRPr="00D13550">
        <w:rPr>
          <w:rFonts w:ascii="Century Gothic" w:hAnsi="Century Gothic"/>
          <w:lang w:val="en-GB"/>
        </w:rPr>
        <w:t>extensions</w:t>
      </w:r>
      <w:r w:rsidR="00195A89">
        <w:rPr>
          <w:rStyle w:val="FootnoteReference"/>
          <w:rFonts w:ascii="Century Gothic" w:hAnsi="Century Gothic"/>
          <w:lang w:val="en-GB"/>
        </w:rPr>
        <w:footnoteReference w:id="7"/>
      </w:r>
      <w:r w:rsidR="00BF287A" w:rsidRPr="00D13550">
        <w:rPr>
          <w:rFonts w:ascii="Century Gothic" w:hAnsi="Century Gothic"/>
          <w:u w:val="none"/>
          <w:lang w:val="en-GB"/>
        </w:rPr>
        <w:t xml:space="preserve"> to leases by grocery retailers may incorporate exclusivity clauses (or clauses that have substantially the same effect); and </w:t>
      </w:r>
    </w:p>
    <w:p w:rsidR="00BF287A" w:rsidRPr="00D13550" w:rsidRDefault="00E357BD" w:rsidP="00BF287A">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14</w:t>
      </w:r>
      <w:r w:rsidR="00BF287A" w:rsidRPr="00D13550">
        <w:rPr>
          <w:rFonts w:ascii="Century Gothic" w:hAnsi="Century Gothic"/>
          <w:u w:val="none"/>
          <w:lang w:val="en-GB"/>
        </w:rPr>
        <w:t>.3</w:t>
      </w:r>
      <w:r w:rsidR="00BF287A" w:rsidRPr="00D13550">
        <w:rPr>
          <w:rFonts w:ascii="Century Gothic" w:hAnsi="Century Gothic"/>
          <w:u w:val="none"/>
          <w:lang w:val="en-GB"/>
        </w:rPr>
        <w:tab/>
        <w:t>the enforcement of exclusivity by the national supermarket chains as against other grocery retailers must be phased out by the next extension of the lease or within five years from the date of the publication of the Final Report, whichever is earlier.</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lastRenderedPageBreak/>
        <w:t>[15]</w:t>
      </w:r>
      <w:r w:rsidRPr="00D13550">
        <w:rPr>
          <w:rFonts w:ascii="Century Gothic" w:hAnsi="Arial Unicode MS"/>
          <w:u w:val="none"/>
          <w:lang w:val="en-GB"/>
        </w:rPr>
        <w:tab/>
      </w:r>
      <w:r w:rsidR="00C00F77" w:rsidRPr="00242BD1">
        <w:rPr>
          <w:rFonts w:ascii="Century Gothic" w:hAnsi="Century Gothic"/>
          <w:u w:val="none"/>
          <w:lang w:val="en-GB"/>
        </w:rPr>
        <w:t xml:space="preserve">The Spar Group launched a review application on 25 August 2020 in which it </w:t>
      </w:r>
      <w:r w:rsidR="00C00F77" w:rsidRPr="00242BD1">
        <w:rPr>
          <w:rFonts w:ascii="Century Gothic" w:hAnsi="Century Gothic"/>
          <w:i/>
          <w:u w:val="none"/>
          <w:lang w:val="en-GB"/>
        </w:rPr>
        <w:t>inter alia</w:t>
      </w:r>
      <w:r w:rsidR="00C00F77" w:rsidRPr="00242BD1">
        <w:rPr>
          <w:rFonts w:ascii="Century Gothic" w:hAnsi="Century Gothic"/>
          <w:u w:val="none"/>
          <w:lang w:val="en-GB"/>
        </w:rPr>
        <w:t xml:space="preserve"> seeks to review and set aside the Report. Alternative relief is also sought which is aimed at challenging the validity of the Commission’s findings and remedial action regarding the use of exclusivity provisions in lease agreements between landlords of shopping centres and their tenants</w:t>
      </w:r>
      <w:r w:rsidR="00C00F77" w:rsidRPr="00D13550">
        <w:rPr>
          <w:rStyle w:val="FootnoteReference"/>
          <w:rFonts w:ascii="Century Gothic" w:hAnsi="Century Gothic"/>
          <w:u w:val="none"/>
          <w:lang w:val="en-GB"/>
        </w:rPr>
        <w:footnoteReference w:id="8"/>
      </w:r>
      <w:r w:rsidR="004D6259" w:rsidRPr="00242BD1">
        <w:rPr>
          <w:rFonts w:ascii="Century Gothic" w:hAnsi="Century Gothic"/>
          <w:u w:val="none"/>
          <w:lang w:val="en-GB"/>
        </w:rPr>
        <w:t>. As stated, thi</w:t>
      </w:r>
      <w:r w:rsidR="00C00F77" w:rsidRPr="00242BD1">
        <w:rPr>
          <w:rFonts w:ascii="Century Gothic" w:hAnsi="Century Gothic"/>
          <w:u w:val="none"/>
          <w:lang w:val="en-GB"/>
        </w:rPr>
        <w:t>s Review is still pending.</w:t>
      </w:r>
    </w:p>
    <w:p w:rsidR="004D6259" w:rsidRDefault="004D6259" w:rsidP="000811AF">
      <w:pPr>
        <w:spacing w:line="480" w:lineRule="auto"/>
        <w:jc w:val="both"/>
        <w:rPr>
          <w:rFonts w:ascii="Century Gothic" w:hAnsi="Century Gothic"/>
          <w:b/>
          <w:lang w:val="en-GB"/>
        </w:rPr>
      </w:pPr>
    </w:p>
    <w:p w:rsidR="000811AF" w:rsidRPr="00D13550" w:rsidRDefault="000811AF" w:rsidP="000811AF">
      <w:pPr>
        <w:spacing w:line="480" w:lineRule="auto"/>
        <w:jc w:val="both"/>
        <w:rPr>
          <w:rFonts w:ascii="Century Gothic" w:hAnsi="Century Gothic"/>
          <w:b/>
          <w:lang w:val="en-GB"/>
        </w:rPr>
      </w:pPr>
      <w:r w:rsidRPr="00D13550">
        <w:rPr>
          <w:rFonts w:ascii="Century Gothic" w:hAnsi="Century Gothic"/>
          <w:b/>
          <w:lang w:val="en-GB"/>
        </w:rPr>
        <w:t>THE EXCLUSIVITY PROVISION</w:t>
      </w: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[16]</w:t>
      </w:r>
      <w:r w:rsidRPr="00D13550">
        <w:rPr>
          <w:rFonts w:ascii="Century Gothic" w:hAnsi="Arial Unicode MS"/>
          <w:u w:val="none"/>
          <w:lang w:val="en-GB"/>
        </w:rPr>
        <w:tab/>
      </w:r>
      <w:r w:rsidR="000811AF" w:rsidRPr="00242BD1">
        <w:rPr>
          <w:rFonts w:ascii="Century Gothic" w:hAnsi="Century Gothic"/>
          <w:u w:val="none"/>
          <w:lang w:val="en-GB"/>
        </w:rPr>
        <w:t>This is set out in paragraph 1</w:t>
      </w:r>
      <w:r w:rsidR="00E357BD" w:rsidRPr="00242BD1">
        <w:rPr>
          <w:rFonts w:ascii="Century Gothic" w:hAnsi="Century Gothic"/>
          <w:u w:val="none"/>
          <w:lang w:val="en-GB"/>
        </w:rPr>
        <w:t>0</w:t>
      </w:r>
      <w:r w:rsidR="000811AF" w:rsidRPr="00242BD1">
        <w:rPr>
          <w:rFonts w:ascii="Century Gothic" w:hAnsi="Century Gothic"/>
          <w:u w:val="none"/>
          <w:lang w:val="en-GB"/>
        </w:rPr>
        <w:t xml:space="preserve">.5 supra and Vresthena contends that the main proceedings must be stayed as: </w:t>
      </w:r>
    </w:p>
    <w:p w:rsidR="003B669E" w:rsidRPr="000A1E81" w:rsidRDefault="000811AF" w:rsidP="000A1E81">
      <w:pPr>
        <w:pStyle w:val="ListParagraph"/>
        <w:spacing w:line="480" w:lineRule="auto"/>
        <w:ind w:left="567"/>
        <w:contextualSpacing w:val="0"/>
        <w:jc w:val="both"/>
        <w:rPr>
          <w:rFonts w:ascii="Century Gothic" w:hAnsi="Century Gothic"/>
          <w:u w:val="none"/>
          <w:lang w:val="en-GB"/>
        </w:rPr>
      </w:pPr>
      <w:r w:rsidRPr="00D13550">
        <w:rPr>
          <w:rFonts w:ascii="Century Gothic" w:hAnsi="Century Gothic"/>
          <w:u w:val="none"/>
          <w:lang w:val="en-GB"/>
        </w:rPr>
        <w:t>1</w:t>
      </w:r>
      <w:r w:rsidR="00E357BD">
        <w:rPr>
          <w:rFonts w:ascii="Century Gothic" w:hAnsi="Century Gothic"/>
          <w:u w:val="none"/>
          <w:lang w:val="en-GB"/>
        </w:rPr>
        <w:t>6</w:t>
      </w:r>
      <w:r w:rsidRPr="00D13550">
        <w:rPr>
          <w:rFonts w:ascii="Century Gothic" w:hAnsi="Century Gothic"/>
          <w:u w:val="none"/>
          <w:lang w:val="en-GB"/>
        </w:rPr>
        <w:t>.1</w:t>
      </w:r>
      <w:r w:rsidRPr="00D13550">
        <w:rPr>
          <w:rFonts w:ascii="Century Gothic" w:hAnsi="Century Gothic"/>
          <w:u w:val="none"/>
          <w:lang w:val="en-GB"/>
        </w:rPr>
        <w:tab/>
        <w:t>Section 65(2) of the Competition Act provides as follows:</w:t>
      </w:r>
    </w:p>
    <w:p w:rsidR="000811AF" w:rsidRPr="00D13550" w:rsidRDefault="000811AF" w:rsidP="000811AF">
      <w:pPr>
        <w:pStyle w:val="ListParagraph"/>
        <w:spacing w:line="480" w:lineRule="auto"/>
        <w:ind w:left="1440" w:firstLine="3"/>
        <w:contextualSpacing w:val="0"/>
        <w:jc w:val="both"/>
        <w:rPr>
          <w:rFonts w:ascii="Century Gothic" w:hAnsi="Century Gothic"/>
          <w:i/>
          <w:u w:val="none"/>
          <w:lang w:val="en-GB"/>
        </w:rPr>
      </w:pPr>
      <w:r w:rsidRPr="00D13550">
        <w:rPr>
          <w:rFonts w:ascii="Century Gothic" w:hAnsi="Century Gothic"/>
          <w:i/>
          <w:u w:val="none"/>
          <w:lang w:val="en-GB"/>
        </w:rPr>
        <w:t>“65(2)</w:t>
      </w:r>
      <w:r w:rsidRPr="00D13550">
        <w:rPr>
          <w:rFonts w:ascii="Century Gothic" w:hAnsi="Century Gothic"/>
          <w:i/>
          <w:u w:val="none"/>
          <w:lang w:val="en-GB"/>
        </w:rPr>
        <w:tab/>
        <w:t>If in any action in a civil court a party raises any issue concerning conduct that is prohibited in terms of this Act, that court must consider the matter on its merits and –</w:t>
      </w:r>
    </w:p>
    <w:p w:rsidR="000811AF" w:rsidRPr="00242BD1" w:rsidRDefault="00242BD1" w:rsidP="00242BD1">
      <w:pPr>
        <w:spacing w:line="480" w:lineRule="auto"/>
        <w:ind w:left="2316" w:hanging="876"/>
        <w:jc w:val="both"/>
        <w:rPr>
          <w:rFonts w:ascii="Century Gothic" w:hAnsi="Century Gothic"/>
          <w:i/>
          <w:u w:val="none"/>
          <w:lang w:val="en-GB"/>
        </w:rPr>
      </w:pPr>
      <w:r w:rsidRPr="00D13550">
        <w:rPr>
          <w:rFonts w:ascii="Century Gothic" w:hAnsi="Century Gothic"/>
          <w:i/>
          <w:u w:val="none"/>
          <w:lang w:val="en-GB"/>
        </w:rPr>
        <w:t>(a)</w:t>
      </w:r>
      <w:r w:rsidRPr="00D13550">
        <w:rPr>
          <w:rFonts w:ascii="Century Gothic" w:hAnsi="Century Gothic"/>
          <w:i/>
          <w:u w:val="none"/>
          <w:lang w:val="en-GB"/>
        </w:rPr>
        <w:tab/>
      </w:r>
      <w:r w:rsidR="000811AF" w:rsidRPr="00242BD1">
        <w:rPr>
          <w:rFonts w:ascii="Century Gothic" w:hAnsi="Century Gothic"/>
          <w:i/>
          <w:u w:val="none"/>
          <w:lang w:val="en-GB"/>
        </w:rPr>
        <w:t>If the issue raised is one in respect of which the Competition Tribunal or Competition Appeal Court has made an order, the court must apply the determination of the Tribunal or Competition Appeal Court to the issue; or</w:t>
      </w:r>
    </w:p>
    <w:p w:rsidR="000811AF" w:rsidRPr="00242BD1" w:rsidRDefault="00242BD1" w:rsidP="00242BD1">
      <w:pPr>
        <w:spacing w:line="480" w:lineRule="auto"/>
        <w:ind w:left="2316" w:hanging="876"/>
        <w:jc w:val="both"/>
        <w:rPr>
          <w:rFonts w:ascii="Century Gothic" w:hAnsi="Century Gothic"/>
          <w:i/>
          <w:u w:val="none"/>
          <w:lang w:val="en-GB"/>
        </w:rPr>
      </w:pPr>
      <w:r w:rsidRPr="00D13550">
        <w:rPr>
          <w:rFonts w:ascii="Century Gothic" w:hAnsi="Century Gothic"/>
          <w:i/>
          <w:u w:val="none"/>
          <w:lang w:val="en-GB"/>
        </w:rPr>
        <w:t>(b)</w:t>
      </w:r>
      <w:r w:rsidRPr="00D13550">
        <w:rPr>
          <w:rFonts w:ascii="Century Gothic" w:hAnsi="Century Gothic"/>
          <w:i/>
          <w:u w:val="none"/>
          <w:lang w:val="en-GB"/>
        </w:rPr>
        <w:tab/>
      </w:r>
      <w:r w:rsidR="000811AF" w:rsidRPr="00242BD1">
        <w:rPr>
          <w:rFonts w:ascii="Century Gothic" w:hAnsi="Century Gothic"/>
          <w:i/>
          <w:u w:val="none"/>
          <w:lang w:val="en-GB"/>
        </w:rPr>
        <w:t>otherwise, the court must refer that issue to the Tribunal to be considered on its merits, if the Court is satisfied that –</w:t>
      </w:r>
    </w:p>
    <w:p w:rsidR="000811AF" w:rsidRPr="00242BD1" w:rsidRDefault="00242BD1" w:rsidP="00242BD1">
      <w:pPr>
        <w:spacing w:line="480" w:lineRule="auto"/>
        <w:ind w:left="2880" w:hanging="612"/>
        <w:jc w:val="both"/>
        <w:rPr>
          <w:rFonts w:ascii="Century Gothic" w:hAnsi="Century Gothic"/>
          <w:i/>
          <w:u w:val="none"/>
          <w:lang w:val="en-GB"/>
        </w:rPr>
      </w:pPr>
      <w:r w:rsidRPr="00D13550">
        <w:rPr>
          <w:rFonts w:ascii="Century Gothic" w:hAnsi="Century Gothic"/>
          <w:i/>
          <w:u w:val="none"/>
          <w:lang w:val="en-GB"/>
        </w:rPr>
        <w:t>(i)</w:t>
      </w:r>
      <w:r w:rsidRPr="00D13550">
        <w:rPr>
          <w:rFonts w:ascii="Century Gothic" w:hAnsi="Century Gothic"/>
          <w:i/>
          <w:u w:val="none"/>
          <w:lang w:val="en-GB"/>
        </w:rPr>
        <w:tab/>
      </w:r>
      <w:r w:rsidR="000811AF" w:rsidRPr="00242BD1">
        <w:rPr>
          <w:rFonts w:ascii="Century Gothic" w:hAnsi="Century Gothic"/>
          <w:i/>
          <w:u w:val="none"/>
          <w:lang w:val="en-GB"/>
        </w:rPr>
        <w:t>the issue has not been raised in a frivolous or vexatious manner; and</w:t>
      </w:r>
    </w:p>
    <w:p w:rsidR="000811AF" w:rsidRPr="00242BD1" w:rsidRDefault="00242BD1" w:rsidP="00242BD1">
      <w:pPr>
        <w:spacing w:line="480" w:lineRule="auto"/>
        <w:ind w:left="2880" w:hanging="612"/>
        <w:jc w:val="both"/>
        <w:rPr>
          <w:rFonts w:ascii="Century Gothic" w:hAnsi="Century Gothic"/>
          <w:i/>
          <w:u w:val="none"/>
          <w:lang w:val="en-GB"/>
        </w:rPr>
      </w:pPr>
      <w:r w:rsidRPr="00D13550">
        <w:rPr>
          <w:rFonts w:ascii="Century Gothic" w:hAnsi="Century Gothic"/>
          <w:i/>
          <w:u w:val="none"/>
          <w:lang w:val="en-GB"/>
        </w:rPr>
        <w:lastRenderedPageBreak/>
        <w:t>(ii)</w:t>
      </w:r>
      <w:r w:rsidRPr="00D13550">
        <w:rPr>
          <w:rFonts w:ascii="Century Gothic" w:hAnsi="Century Gothic"/>
          <w:i/>
          <w:u w:val="none"/>
          <w:lang w:val="en-GB"/>
        </w:rPr>
        <w:tab/>
      </w:r>
      <w:r w:rsidR="000811AF" w:rsidRPr="00242BD1">
        <w:rPr>
          <w:rFonts w:ascii="Century Gothic" w:hAnsi="Century Gothic"/>
          <w:i/>
          <w:u w:val="none"/>
          <w:lang w:val="en-GB"/>
        </w:rPr>
        <w:t>the resolution of that issue is required to determine the final outcome of the action.”</w:t>
      </w:r>
    </w:p>
    <w:p w:rsidR="003B669E" w:rsidRPr="00D13550" w:rsidRDefault="003B669E" w:rsidP="003B669E">
      <w:pPr>
        <w:pStyle w:val="ListParagraph"/>
        <w:spacing w:line="480" w:lineRule="auto"/>
        <w:ind w:left="2880"/>
        <w:contextualSpacing w:val="0"/>
        <w:jc w:val="both"/>
        <w:rPr>
          <w:rFonts w:ascii="Century Gothic" w:hAnsi="Century Gothic"/>
          <w:i/>
          <w:u w:val="none"/>
          <w:lang w:val="en-GB"/>
        </w:rPr>
      </w:pPr>
    </w:p>
    <w:p w:rsidR="000811AF" w:rsidRPr="00D13550" w:rsidRDefault="00E357BD" w:rsidP="00335DEC">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16</w:t>
      </w:r>
      <w:r w:rsidR="000811AF" w:rsidRPr="00D13550">
        <w:rPr>
          <w:rFonts w:ascii="Century Gothic" w:hAnsi="Century Gothic"/>
          <w:u w:val="none"/>
          <w:lang w:val="en-GB"/>
        </w:rPr>
        <w:t>.2</w:t>
      </w:r>
      <w:r w:rsidR="000811AF" w:rsidRPr="00D13550">
        <w:rPr>
          <w:rFonts w:ascii="Century Gothic" w:hAnsi="Century Gothic"/>
          <w:u w:val="none"/>
          <w:lang w:val="en-GB"/>
        </w:rPr>
        <w:tab/>
      </w:r>
      <w:r w:rsidR="00335DEC" w:rsidRPr="00D13550">
        <w:rPr>
          <w:rFonts w:ascii="Century Gothic" w:hAnsi="Century Gothic"/>
          <w:u w:val="none"/>
          <w:lang w:val="en-GB"/>
        </w:rPr>
        <w:t>it is in the interests of justice that the main proceedings be stayed pending the outcome of the review.</w:t>
      </w:r>
    </w:p>
    <w:p w:rsidR="008A734B" w:rsidRDefault="008A734B" w:rsidP="008A734B">
      <w:pPr>
        <w:pStyle w:val="ListParagraph"/>
        <w:rPr>
          <w:rFonts w:ascii="Century Gothic" w:hAnsi="Century Gothic"/>
          <w:u w:val="none"/>
          <w:lang w:val="en-GB"/>
        </w:rPr>
      </w:pPr>
    </w:p>
    <w:p w:rsidR="000A1E81" w:rsidRPr="00D13550" w:rsidRDefault="000A1E81"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[17]</w:t>
      </w:r>
      <w:r w:rsidRPr="00D13550">
        <w:rPr>
          <w:rFonts w:ascii="Century Gothic" w:hAnsi="Arial Unicode MS"/>
          <w:u w:val="none"/>
          <w:lang w:val="en-GB"/>
        </w:rPr>
        <w:tab/>
      </w:r>
      <w:r w:rsidR="000A1E81" w:rsidRPr="00242BD1">
        <w:rPr>
          <w:rFonts w:ascii="Century Gothic" w:hAnsi="Century Gothic"/>
          <w:u w:val="none"/>
          <w:lang w:val="en-GB"/>
        </w:rPr>
        <w:t>It is</w:t>
      </w:r>
      <w:r w:rsidR="00F70D81" w:rsidRPr="00242BD1">
        <w:rPr>
          <w:rFonts w:ascii="Century Gothic" w:hAnsi="Century Gothic"/>
          <w:u w:val="none"/>
          <w:lang w:val="en-GB"/>
        </w:rPr>
        <w:t xml:space="preserve"> Vresthena’s argument that the outcome of the review proceedings will materially impact the main proceedings as, if the review is unsuccessful, and Vresthena has (in the meantime) been forced to continue with the main proceedings, one of the potential outcomes is </w:t>
      </w:r>
      <w:r w:rsidR="000A1E81" w:rsidRPr="00242BD1">
        <w:rPr>
          <w:rFonts w:ascii="Century Gothic" w:hAnsi="Century Gothic"/>
          <w:u w:val="none"/>
          <w:lang w:val="en-GB"/>
        </w:rPr>
        <w:t>that</w:t>
      </w:r>
      <w:r w:rsidR="00F70D81" w:rsidRPr="00242BD1">
        <w:rPr>
          <w:rFonts w:ascii="Century Gothic" w:hAnsi="Century Gothic"/>
          <w:u w:val="none"/>
          <w:lang w:val="en-GB"/>
        </w:rPr>
        <w:t xml:space="preserve"> it may be compelled to renew the Hea</w:t>
      </w:r>
      <w:r w:rsidR="003D2540" w:rsidRPr="00242BD1">
        <w:rPr>
          <w:rFonts w:ascii="Century Gothic" w:hAnsi="Century Gothic"/>
          <w:u w:val="none"/>
          <w:lang w:val="en-GB"/>
        </w:rPr>
        <w:t>d</w:t>
      </w:r>
      <w:r w:rsidR="00F70D81" w:rsidRPr="00242BD1">
        <w:rPr>
          <w:rFonts w:ascii="Century Gothic" w:hAnsi="Century Gothic"/>
          <w:u w:val="none"/>
          <w:lang w:val="en-GB"/>
        </w:rPr>
        <w:t xml:space="preserve"> Lease on terms which are (</w:t>
      </w:r>
      <w:r w:rsidR="003D2540" w:rsidRPr="00242BD1">
        <w:rPr>
          <w:rFonts w:ascii="Century Gothic" w:hAnsi="Century Gothic"/>
          <w:u w:val="none"/>
          <w:lang w:val="en-GB"/>
        </w:rPr>
        <w:t>potentially</w:t>
      </w:r>
      <w:r w:rsidR="00F70D81" w:rsidRPr="00242BD1">
        <w:rPr>
          <w:rFonts w:ascii="Century Gothic" w:hAnsi="Century Gothic"/>
          <w:u w:val="none"/>
          <w:lang w:val="en-GB"/>
        </w:rPr>
        <w:t>) unlawful.</w:t>
      </w:r>
    </w:p>
    <w:p w:rsidR="008A734B" w:rsidRPr="00D13550" w:rsidRDefault="008A734B" w:rsidP="008A734B">
      <w:pPr>
        <w:pStyle w:val="ListParagraph"/>
        <w:rPr>
          <w:rFonts w:ascii="Century Gothic" w:hAnsi="Century Gothic"/>
          <w:u w:val="none"/>
          <w:lang w:val="en-GB"/>
        </w:rPr>
      </w:pPr>
    </w:p>
    <w:p w:rsidR="0070565F" w:rsidRPr="00D13550" w:rsidRDefault="0070565F"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[18]</w:t>
      </w:r>
      <w:r w:rsidRPr="00D13550">
        <w:rPr>
          <w:rFonts w:ascii="Century Gothic" w:hAnsi="Arial Unicode MS"/>
          <w:u w:val="none"/>
          <w:lang w:val="en-GB"/>
        </w:rPr>
        <w:tab/>
      </w:r>
      <w:r w:rsidR="0070565F" w:rsidRPr="00242BD1">
        <w:rPr>
          <w:rFonts w:ascii="Century Gothic" w:hAnsi="Century Gothic"/>
          <w:u w:val="none"/>
          <w:lang w:val="en-GB"/>
        </w:rPr>
        <w:t xml:space="preserve">The Spar Group has taken issue with Vresthena’s interpretation of the proceedings and has based much of its argument on Vresthena’s incorrect interpretation of Section 65(2) of the Competition Act and the fact that, according to it, no Competition law issues were raised by Vresthena in its opposition to the main application. </w:t>
      </w:r>
      <w:r w:rsidR="00A13753" w:rsidRPr="00242BD1">
        <w:rPr>
          <w:rFonts w:ascii="Century Gothic" w:hAnsi="Century Gothic"/>
          <w:u w:val="none"/>
          <w:lang w:val="en-GB"/>
        </w:rPr>
        <w:t>Thu</w:t>
      </w:r>
      <w:r w:rsidR="0070565F" w:rsidRPr="00242BD1">
        <w:rPr>
          <w:rFonts w:ascii="Century Gothic" w:hAnsi="Century Gothic"/>
          <w:u w:val="none"/>
          <w:lang w:val="en-GB"/>
        </w:rPr>
        <w:t>s says Spar Group where</w:t>
      </w:r>
      <w:r w:rsidR="00E357BD" w:rsidRPr="00242BD1">
        <w:rPr>
          <w:rFonts w:ascii="Century Gothic" w:hAnsi="Century Gothic"/>
          <w:u w:val="none"/>
          <w:lang w:val="en-GB"/>
        </w:rPr>
        <w:t xml:space="preserve"> Section</w:t>
      </w:r>
      <w:r w:rsidR="0070565F" w:rsidRPr="00242BD1">
        <w:rPr>
          <w:rFonts w:ascii="Century Gothic" w:hAnsi="Century Gothic"/>
          <w:u w:val="none"/>
          <w:lang w:val="en-GB"/>
        </w:rPr>
        <w:t xml:space="preserve"> 65(2) is not a central, or even a peripheral, issue in the main application, Vresthena cannot raise it now.</w:t>
      </w:r>
    </w:p>
    <w:p w:rsidR="004B573E" w:rsidRPr="00D13550" w:rsidRDefault="004B573E" w:rsidP="004B573E">
      <w:pPr>
        <w:rPr>
          <w:rFonts w:ascii="Century Gothic" w:hAnsi="Century Gothic"/>
          <w:u w:val="none"/>
          <w:lang w:val="en-GB"/>
        </w:rPr>
      </w:pPr>
    </w:p>
    <w:p w:rsidR="004B573E" w:rsidRDefault="004B573E" w:rsidP="004B573E">
      <w:pPr>
        <w:rPr>
          <w:rFonts w:ascii="Century Gothic" w:hAnsi="Century Gothic"/>
          <w:u w:val="none"/>
          <w:lang w:val="en-GB"/>
        </w:rPr>
      </w:pPr>
    </w:p>
    <w:p w:rsidR="00C970BB" w:rsidRDefault="00C970BB" w:rsidP="004B573E">
      <w:pPr>
        <w:rPr>
          <w:rFonts w:ascii="Century Gothic" w:hAnsi="Century Gothic"/>
          <w:u w:val="none"/>
          <w:lang w:val="en-GB"/>
        </w:rPr>
      </w:pPr>
    </w:p>
    <w:p w:rsidR="00C970BB" w:rsidRDefault="00C970BB" w:rsidP="004B573E">
      <w:pPr>
        <w:rPr>
          <w:rFonts w:ascii="Century Gothic" w:hAnsi="Century Gothic"/>
          <w:u w:val="none"/>
          <w:lang w:val="en-GB"/>
        </w:rPr>
      </w:pPr>
    </w:p>
    <w:p w:rsidR="00C970BB" w:rsidRDefault="00C970BB" w:rsidP="004B573E">
      <w:pPr>
        <w:rPr>
          <w:rFonts w:ascii="Century Gothic" w:hAnsi="Century Gothic"/>
          <w:u w:val="none"/>
          <w:lang w:val="en-GB"/>
        </w:rPr>
      </w:pPr>
    </w:p>
    <w:p w:rsidR="00C970BB" w:rsidRDefault="00C970BB" w:rsidP="004B573E">
      <w:pPr>
        <w:rPr>
          <w:rFonts w:ascii="Century Gothic" w:hAnsi="Century Gothic"/>
          <w:u w:val="none"/>
          <w:lang w:val="en-GB"/>
        </w:rPr>
      </w:pPr>
    </w:p>
    <w:p w:rsidR="00C970BB" w:rsidRDefault="00C970BB" w:rsidP="004B573E">
      <w:pPr>
        <w:rPr>
          <w:rFonts w:ascii="Century Gothic" w:hAnsi="Century Gothic"/>
          <w:u w:val="none"/>
          <w:lang w:val="en-GB"/>
        </w:rPr>
      </w:pPr>
    </w:p>
    <w:p w:rsidR="00C970BB" w:rsidRPr="00D13550" w:rsidRDefault="00C970BB" w:rsidP="004B573E">
      <w:pPr>
        <w:rPr>
          <w:rFonts w:ascii="Century Gothic" w:hAnsi="Century Gothic"/>
          <w:u w:val="none"/>
          <w:lang w:val="en-GB"/>
        </w:rPr>
      </w:pPr>
    </w:p>
    <w:p w:rsidR="004B573E" w:rsidRPr="00D13550" w:rsidRDefault="004B573E" w:rsidP="004B573E">
      <w:pPr>
        <w:rPr>
          <w:rFonts w:ascii="Century Gothic" w:hAnsi="Century Gothic"/>
          <w:b/>
          <w:lang w:val="en-GB"/>
        </w:rPr>
      </w:pPr>
      <w:r w:rsidRPr="00D13550">
        <w:rPr>
          <w:rFonts w:ascii="Century Gothic" w:hAnsi="Century Gothic"/>
          <w:b/>
          <w:lang w:val="en-GB"/>
        </w:rPr>
        <w:t>WAS THE ISSUE RAISED IN THE MAIN PROCEEDINGS?</w:t>
      </w:r>
    </w:p>
    <w:p w:rsidR="004B573E" w:rsidRPr="00D13550" w:rsidRDefault="004B573E" w:rsidP="004B573E">
      <w:pPr>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[19]</w:t>
      </w:r>
      <w:r w:rsidRPr="00D13550">
        <w:rPr>
          <w:rFonts w:ascii="Century Gothic" w:hAnsi="Arial Unicode MS"/>
          <w:u w:val="none"/>
          <w:lang w:val="en-GB"/>
        </w:rPr>
        <w:tab/>
      </w:r>
      <w:r w:rsidR="004B573E" w:rsidRPr="00242BD1">
        <w:rPr>
          <w:rFonts w:ascii="Century Gothic" w:hAnsi="Century Gothic"/>
          <w:u w:val="none"/>
          <w:lang w:val="en-GB"/>
        </w:rPr>
        <w:t>It appears to me that this issue must be decided first as, if it is not an issue that is already before court, Vresthena cannot rely on it to found or bolster its stay application</w:t>
      </w:r>
      <w:r w:rsidR="00F83836" w:rsidRPr="00242BD1">
        <w:rPr>
          <w:rFonts w:ascii="Century Gothic" w:hAnsi="Century Gothic"/>
          <w:u w:val="none"/>
          <w:lang w:val="en-GB"/>
        </w:rPr>
        <w:t>.</w:t>
      </w:r>
    </w:p>
    <w:p w:rsidR="008A734B" w:rsidRPr="00D13550" w:rsidRDefault="008A734B" w:rsidP="008A734B">
      <w:pPr>
        <w:pStyle w:val="ListParagraph"/>
        <w:rPr>
          <w:rFonts w:ascii="Century Gothic" w:hAnsi="Century Gothic"/>
          <w:u w:val="none"/>
          <w:lang w:val="en-GB"/>
        </w:rPr>
      </w:pPr>
    </w:p>
    <w:p w:rsidR="00F83836" w:rsidRPr="00D13550" w:rsidRDefault="00F83836"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[20]</w:t>
      </w:r>
      <w:r w:rsidRPr="00D13550">
        <w:rPr>
          <w:rFonts w:ascii="Century Gothic" w:hAnsi="Arial Unicode MS"/>
          <w:u w:val="none"/>
          <w:lang w:val="en-GB"/>
        </w:rPr>
        <w:tab/>
      </w:r>
      <w:r w:rsidR="00F83836" w:rsidRPr="00242BD1">
        <w:rPr>
          <w:rFonts w:ascii="Century Gothic" w:hAnsi="Century Gothic"/>
          <w:u w:val="none"/>
          <w:lang w:val="en-GB"/>
        </w:rPr>
        <w:t>As stated</w:t>
      </w:r>
      <w:r w:rsidR="00C970BB" w:rsidRPr="00242BD1">
        <w:rPr>
          <w:rFonts w:ascii="Century Gothic" w:hAnsi="Century Gothic"/>
          <w:u w:val="none"/>
          <w:lang w:val="en-GB"/>
        </w:rPr>
        <w:t>,</w:t>
      </w:r>
      <w:r w:rsidR="00F83836" w:rsidRPr="00242BD1">
        <w:rPr>
          <w:rFonts w:ascii="Century Gothic" w:hAnsi="Century Gothic"/>
          <w:u w:val="none"/>
          <w:lang w:val="en-GB"/>
        </w:rPr>
        <w:t xml:space="preserve"> the Spar Group argues that it has not: Section 65(2) of the Act is nowhere raised in the main application, nor are anti-competitiveness or the recommendations of the Commission raised. It argues that the high-water mark of Vresthena’s defence is that the Head Lease is unlawful because it is a fictitious or simulated transaction.</w:t>
      </w:r>
    </w:p>
    <w:p w:rsidR="008A734B" w:rsidRPr="00D13550" w:rsidRDefault="008A734B" w:rsidP="008A734B">
      <w:pPr>
        <w:pStyle w:val="ListParagraph"/>
        <w:rPr>
          <w:rFonts w:ascii="Century Gothic" w:hAnsi="Century Gothic"/>
          <w:u w:val="none"/>
          <w:lang w:val="en-GB"/>
        </w:rPr>
      </w:pPr>
    </w:p>
    <w:p w:rsidR="002D008D" w:rsidRPr="00D13550" w:rsidRDefault="002D008D"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[21]</w:t>
      </w:r>
      <w:r w:rsidRPr="00D13550">
        <w:rPr>
          <w:rFonts w:ascii="Century Gothic" w:hAnsi="Arial Unicode MS"/>
          <w:u w:val="none"/>
          <w:lang w:val="en-GB"/>
        </w:rPr>
        <w:tab/>
      </w:r>
      <w:r w:rsidR="002D008D" w:rsidRPr="00242BD1">
        <w:rPr>
          <w:rFonts w:ascii="Century Gothic" w:hAnsi="Century Gothic"/>
          <w:u w:val="none"/>
          <w:lang w:val="en-GB"/>
        </w:rPr>
        <w:t xml:space="preserve">In its main application answering affidavit, Vresthena states, </w:t>
      </w:r>
      <w:r w:rsidR="002D008D" w:rsidRPr="00242BD1">
        <w:rPr>
          <w:rFonts w:ascii="Century Gothic" w:hAnsi="Century Gothic"/>
          <w:i/>
          <w:u w:val="none"/>
          <w:lang w:val="en-GB"/>
        </w:rPr>
        <w:t>inter alia</w:t>
      </w:r>
      <w:r w:rsidR="002D008D" w:rsidRPr="00242BD1">
        <w:rPr>
          <w:rFonts w:ascii="Century Gothic" w:hAnsi="Century Gothic"/>
          <w:u w:val="none"/>
          <w:lang w:val="en-GB"/>
        </w:rPr>
        <w:t>, the following:</w:t>
      </w:r>
    </w:p>
    <w:p w:rsidR="002D008D" w:rsidRPr="00E357BD" w:rsidRDefault="002D008D" w:rsidP="002D008D">
      <w:pPr>
        <w:pStyle w:val="ListParagraph"/>
        <w:spacing w:line="480" w:lineRule="auto"/>
        <w:ind w:left="567"/>
        <w:contextualSpacing w:val="0"/>
        <w:jc w:val="both"/>
        <w:rPr>
          <w:rFonts w:ascii="Century Gothic" w:hAnsi="Century Gothic"/>
          <w:i/>
          <w:u w:val="none"/>
          <w:lang w:val="en-GB"/>
        </w:rPr>
      </w:pPr>
      <w:r w:rsidRPr="00E357BD">
        <w:rPr>
          <w:rFonts w:ascii="Century Gothic" w:hAnsi="Century Gothic"/>
          <w:i/>
          <w:u w:val="none"/>
          <w:lang w:val="en-GB"/>
        </w:rPr>
        <w:t>“SPAR HEAD LEASE IS A SIMULATED OR FICTITIOUS TRANSACTION</w:t>
      </w:r>
    </w:p>
    <w:p w:rsidR="00BA5D0A" w:rsidRPr="00E357BD" w:rsidRDefault="00BA5D0A" w:rsidP="00BA5D0A">
      <w:pPr>
        <w:pStyle w:val="ListParagraph"/>
        <w:spacing w:line="480" w:lineRule="auto"/>
        <w:ind w:left="1440" w:hanging="873"/>
        <w:contextualSpacing w:val="0"/>
        <w:jc w:val="both"/>
        <w:rPr>
          <w:rFonts w:ascii="Century Gothic" w:hAnsi="Century Gothic"/>
          <w:i/>
          <w:u w:val="none"/>
          <w:lang w:val="en-GB"/>
        </w:rPr>
      </w:pPr>
      <w:r w:rsidRPr="00E357BD">
        <w:rPr>
          <w:rFonts w:ascii="Century Gothic" w:hAnsi="Century Gothic"/>
          <w:i/>
          <w:u w:val="none"/>
          <w:lang w:val="en-GB"/>
        </w:rPr>
        <w:t>77.</w:t>
      </w:r>
      <w:r w:rsidRPr="00E357BD">
        <w:rPr>
          <w:rFonts w:ascii="Century Gothic" w:hAnsi="Century Gothic"/>
          <w:i/>
          <w:u w:val="none"/>
          <w:lang w:val="en-GB"/>
        </w:rPr>
        <w:tab/>
        <w:t>In general, the Spar Guild requires its retail members, as a pre-condition of membership, to enter into head lease and subtenant arrangements with Spar Group in respect of the retail premises. The purpose of this structure is to “reserve” the premises for Spar retailer and to ensure that the Spar Group’s competitors cannot make use of the premises.</w:t>
      </w:r>
    </w:p>
    <w:p w:rsidR="00BA5D0A" w:rsidRPr="00E357BD" w:rsidRDefault="00BA5D0A" w:rsidP="00BA5D0A">
      <w:pPr>
        <w:pStyle w:val="ListParagraph"/>
        <w:spacing w:line="480" w:lineRule="auto"/>
        <w:ind w:left="1440" w:hanging="873"/>
        <w:contextualSpacing w:val="0"/>
        <w:jc w:val="both"/>
        <w:rPr>
          <w:rFonts w:ascii="Century Gothic" w:hAnsi="Century Gothic"/>
          <w:i/>
          <w:u w:val="none"/>
          <w:lang w:val="en-GB"/>
        </w:rPr>
      </w:pPr>
      <w:r w:rsidRPr="00E357BD">
        <w:rPr>
          <w:rFonts w:ascii="Century Gothic" w:hAnsi="Century Gothic"/>
          <w:i/>
          <w:u w:val="none"/>
          <w:lang w:val="en-GB"/>
        </w:rPr>
        <w:t>78.</w:t>
      </w:r>
      <w:r w:rsidRPr="00E357BD">
        <w:rPr>
          <w:rFonts w:ascii="Century Gothic" w:hAnsi="Century Gothic"/>
          <w:i/>
          <w:u w:val="none"/>
          <w:lang w:val="en-GB"/>
        </w:rPr>
        <w:tab/>
        <w:t xml:space="preserve">The “reservation” function of the head lease structure is achieved by including in the sub-lease a condition that the sub-lease will only be valid doe so long as the sub-tenant leaves the Spar Guild </w:t>
      </w:r>
      <w:r w:rsidRPr="00E357BD">
        <w:rPr>
          <w:rFonts w:ascii="Century Gothic" w:hAnsi="Century Gothic"/>
          <w:i/>
          <w:u w:val="none"/>
          <w:lang w:val="en-GB"/>
        </w:rPr>
        <w:lastRenderedPageBreak/>
        <w:t>and wishes to trade as a “Pick ‘n Pay”, its sub-lease will terminate and it will not be able to trade from the sub-let premises as a “Pick ‘n Pay. In that event, Spar Group would be entitled to evict that sub-tenant and replace it with a sub-tenant which is a Spar retail member and will trade under the Spar banner.</w:t>
      </w:r>
    </w:p>
    <w:p w:rsidR="007B5E2F" w:rsidRPr="00E357BD" w:rsidRDefault="007B5E2F" w:rsidP="00BA5D0A">
      <w:pPr>
        <w:pStyle w:val="ListParagraph"/>
        <w:spacing w:line="480" w:lineRule="auto"/>
        <w:ind w:left="1440" w:hanging="873"/>
        <w:contextualSpacing w:val="0"/>
        <w:jc w:val="both"/>
        <w:rPr>
          <w:rFonts w:ascii="Century Gothic" w:hAnsi="Century Gothic"/>
          <w:i/>
          <w:u w:val="none"/>
          <w:lang w:val="en-GB"/>
        </w:rPr>
      </w:pPr>
      <w:r w:rsidRPr="00E357BD">
        <w:rPr>
          <w:rFonts w:ascii="Century Gothic" w:hAnsi="Century Gothic"/>
          <w:i/>
          <w:u w:val="none"/>
          <w:lang w:val="en-GB"/>
        </w:rPr>
        <w:t>79.</w:t>
      </w:r>
      <w:r w:rsidRPr="00E357BD">
        <w:rPr>
          <w:rFonts w:ascii="Century Gothic" w:hAnsi="Century Gothic"/>
          <w:i/>
          <w:u w:val="none"/>
          <w:lang w:val="en-GB"/>
        </w:rPr>
        <w:tab/>
        <w:t>Some other benefits to Spar Group of the head lease structure include the following:</w:t>
      </w:r>
    </w:p>
    <w:p w:rsidR="007B5E2F" w:rsidRPr="00E357BD" w:rsidRDefault="007B5E2F" w:rsidP="007B5E2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79.1</w:t>
      </w:r>
      <w:r w:rsidRPr="00E357BD">
        <w:rPr>
          <w:rFonts w:ascii="Century Gothic" w:hAnsi="Century Gothic"/>
          <w:i/>
          <w:u w:val="none"/>
          <w:lang w:val="en-GB"/>
        </w:rPr>
        <w:tab/>
        <w:t>Spar is able to exert control over the retail member s. if the retail member does not comply with Spar Group’s requirements, it faces the risk of having its Spar Guild membership terminated and consequently, the danger of having its sub-lease terminated and being evicted from its retail store premises. I refer to this aspect in further detail below.</w:t>
      </w:r>
    </w:p>
    <w:p w:rsidR="007B5E2F" w:rsidRPr="00E357BD" w:rsidRDefault="007B5E2F" w:rsidP="007B5E2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79.2</w:t>
      </w:r>
      <w:r w:rsidRPr="00E357BD">
        <w:rPr>
          <w:rFonts w:ascii="Century Gothic" w:hAnsi="Century Gothic"/>
          <w:i/>
          <w:u w:val="none"/>
          <w:lang w:val="en-GB"/>
        </w:rPr>
        <w:tab/>
        <w:t>Spar Group is able to exert some control over the state or condition of the premises, because it purports to have, at least on the face of it, the status of a tenant in the premises.</w:t>
      </w:r>
    </w:p>
    <w:p w:rsidR="009D3BDF" w:rsidRPr="00E357BD" w:rsidRDefault="007B5E2F"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79.3</w:t>
      </w:r>
      <w:r w:rsidRPr="00E357BD">
        <w:rPr>
          <w:rFonts w:ascii="Century Gothic" w:hAnsi="Century Gothic"/>
          <w:i/>
          <w:u w:val="none"/>
          <w:lang w:val="en-GB"/>
        </w:rPr>
        <w:tab/>
      </w:r>
      <w:r w:rsidR="009D3BDF" w:rsidRPr="00E357BD">
        <w:rPr>
          <w:rFonts w:ascii="Century Gothic" w:hAnsi="Century Gothic"/>
          <w:i/>
          <w:u w:val="none"/>
          <w:lang w:val="en-GB"/>
        </w:rPr>
        <w:t>Spar Group is able to reflect the sub-leases as purported assets in its books because the sub-lease, on the face of it, represents a fixed income stream over a lengthy period of time.</w:t>
      </w:r>
    </w:p>
    <w:p w:rsidR="007B5E2F" w:rsidRPr="00E357BD" w:rsidRDefault="009D3BDF"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79.4</w:t>
      </w:r>
      <w:r w:rsidRPr="00E357BD">
        <w:rPr>
          <w:rFonts w:ascii="Century Gothic" w:hAnsi="Century Gothic"/>
          <w:i/>
          <w:u w:val="none"/>
          <w:lang w:val="en-GB"/>
        </w:rPr>
        <w:tab/>
      </w:r>
      <w:r w:rsidR="007B5E2F" w:rsidRPr="00E357BD">
        <w:rPr>
          <w:rFonts w:ascii="Century Gothic" w:hAnsi="Century Gothic"/>
          <w:i/>
          <w:u w:val="none"/>
          <w:lang w:val="en-GB"/>
        </w:rPr>
        <w:t xml:space="preserve">The head lease enables Spar Group to assert that it holds a certain “market share” because it exerts control over a certain geographical location, and excludes its competitors </w:t>
      </w:r>
      <w:r w:rsidR="007B5E2F" w:rsidRPr="00E357BD">
        <w:rPr>
          <w:rFonts w:ascii="Century Gothic" w:hAnsi="Century Gothic"/>
          <w:i/>
          <w:u w:val="none"/>
          <w:lang w:val="en-GB"/>
        </w:rPr>
        <w:lastRenderedPageBreak/>
        <w:t>from occupying that location and servicing shoppers within the geographical proximity of that store. For example, if Spar had a head lease in respect o</w:t>
      </w:r>
      <w:r w:rsidR="0031409B" w:rsidRPr="00E357BD">
        <w:rPr>
          <w:rFonts w:ascii="Century Gothic" w:hAnsi="Century Gothic"/>
          <w:i/>
          <w:u w:val="none"/>
          <w:lang w:val="en-GB"/>
        </w:rPr>
        <w:t>f</w:t>
      </w:r>
      <w:r w:rsidR="007B5E2F" w:rsidRPr="00E357BD">
        <w:rPr>
          <w:rFonts w:ascii="Century Gothic" w:hAnsi="Century Gothic"/>
          <w:i/>
          <w:u w:val="none"/>
          <w:lang w:val="en-GB"/>
        </w:rPr>
        <w:t xml:space="preserve"> the Retail Spar/</w:t>
      </w:r>
      <w:r w:rsidR="0031409B" w:rsidRPr="00E357BD">
        <w:rPr>
          <w:rFonts w:ascii="Century Gothic" w:hAnsi="Century Gothic"/>
          <w:i/>
          <w:u w:val="none"/>
          <w:lang w:val="en-GB"/>
        </w:rPr>
        <w:t>Tops Premises at Wierda Shopping Centre, it would be entitled to assume and to represent to its stakeholders that a majority of shoppers within a certain proximity of the Wierda Shopping Centre Spar</w:t>
      </w:r>
      <w:r w:rsidR="00583542" w:rsidRPr="00E357BD">
        <w:rPr>
          <w:rFonts w:ascii="Century Gothic" w:hAnsi="Century Gothic"/>
          <w:i/>
          <w:u w:val="none"/>
          <w:lang w:val="en-GB"/>
        </w:rPr>
        <w:t xml:space="preserve"> and Tops fall within Spar Grou</w:t>
      </w:r>
      <w:r w:rsidR="0031409B" w:rsidRPr="00E357BD">
        <w:rPr>
          <w:rFonts w:ascii="Century Gothic" w:hAnsi="Century Gothic"/>
          <w:i/>
          <w:u w:val="none"/>
          <w:lang w:val="en-GB"/>
        </w:rPr>
        <w:t>p’s “market share”.</w:t>
      </w:r>
    </w:p>
    <w:p w:rsidR="00583542" w:rsidRPr="00E357BD" w:rsidRDefault="00583542"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80.</w:t>
      </w:r>
      <w:r w:rsidRPr="00E357BD">
        <w:rPr>
          <w:rFonts w:ascii="Century Gothic" w:hAnsi="Century Gothic"/>
          <w:i/>
          <w:u w:val="none"/>
          <w:lang w:val="en-GB"/>
        </w:rPr>
        <w:tab/>
        <w:t xml:space="preserve">To the extent that the Spar/Highveld Head Lease was validly concluded – between Spar Group and Highveld (which is disputed), it is evident from what is set out above that it was not Spar Group’s or Highveld’s intention to enter into a head lease and to exercise the rights and obligations of a genuine landlord or head tenant of the Retail Spar/Tops Premises. </w:t>
      </w:r>
    </w:p>
    <w:p w:rsidR="00583542" w:rsidRPr="00E357BD" w:rsidRDefault="00583542"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81.</w:t>
      </w:r>
      <w:r w:rsidRPr="00E357BD">
        <w:rPr>
          <w:rFonts w:ascii="Century Gothic" w:hAnsi="Century Gothic"/>
          <w:i/>
          <w:u w:val="none"/>
          <w:lang w:val="en-GB"/>
        </w:rPr>
        <w:tab/>
        <w:t>…</w:t>
      </w:r>
    </w:p>
    <w:p w:rsidR="00583542" w:rsidRPr="00E357BD" w:rsidRDefault="00583542"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82.</w:t>
      </w:r>
      <w:r w:rsidRPr="00E357BD">
        <w:rPr>
          <w:rFonts w:ascii="Century Gothic" w:hAnsi="Century Gothic"/>
          <w:i/>
          <w:u w:val="none"/>
          <w:lang w:val="en-GB"/>
        </w:rPr>
        <w:tab/>
        <w:t>…</w:t>
      </w:r>
    </w:p>
    <w:p w:rsidR="00583542" w:rsidRPr="00E357BD" w:rsidRDefault="00583542"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83.</w:t>
      </w:r>
      <w:r w:rsidRPr="00E357BD">
        <w:rPr>
          <w:rFonts w:ascii="Century Gothic" w:hAnsi="Century Gothic"/>
          <w:i/>
          <w:u w:val="none"/>
          <w:lang w:val="en-GB"/>
        </w:rPr>
        <w:tab/>
        <w:t xml:space="preserve">Under these circumstances, the real and only purpose of the conclusion of the Spar/Highveld Head Lease, at the time of its purported conclusion with Highveld, was to “reserve” the Retail Spar/Tops Premises for use exclusively by a Spar retailer, so as to ensure that Highveld did not lease those premises to a competing supermarket franchise. This also served the ancillary purposes of enabling Spar Group </w:t>
      </w:r>
      <w:r w:rsidRPr="00E357BD">
        <w:rPr>
          <w:rFonts w:ascii="Century Gothic" w:hAnsi="Century Gothic"/>
          <w:i/>
          <w:u w:val="none"/>
          <w:lang w:val="en-GB"/>
        </w:rPr>
        <w:lastRenderedPageBreak/>
        <w:t xml:space="preserve">to reflect the Spar/Highveld Head Lease as an “asset” in its books and to enable Spar Group to assert that shoppers within the proximity of Wierda Shopping Centre fell within Spar’s “market share”. </w:t>
      </w:r>
    </w:p>
    <w:p w:rsidR="00583542" w:rsidRPr="00E357BD" w:rsidRDefault="00583542" w:rsidP="009D3BDF">
      <w:pPr>
        <w:pStyle w:val="ListParagraph"/>
        <w:spacing w:line="480" w:lineRule="auto"/>
        <w:ind w:left="2160" w:hanging="717"/>
        <w:contextualSpacing w:val="0"/>
        <w:jc w:val="both"/>
        <w:rPr>
          <w:rFonts w:ascii="Century Gothic" w:hAnsi="Century Gothic"/>
          <w:i/>
          <w:u w:val="none"/>
          <w:lang w:val="en-GB"/>
        </w:rPr>
      </w:pPr>
      <w:r w:rsidRPr="00E357BD">
        <w:rPr>
          <w:rFonts w:ascii="Century Gothic" w:hAnsi="Century Gothic"/>
          <w:i/>
          <w:u w:val="none"/>
          <w:lang w:val="en-GB"/>
        </w:rPr>
        <w:t>84.</w:t>
      </w:r>
      <w:r w:rsidRPr="00E357BD">
        <w:rPr>
          <w:rFonts w:ascii="Century Gothic" w:hAnsi="Century Gothic"/>
          <w:i/>
          <w:u w:val="none"/>
          <w:lang w:val="en-GB"/>
        </w:rPr>
        <w:tab/>
        <w:t>The Spar/Highveld Head Lease (if validly concluded – which remains denied) is therefore a simulated or fictitious transaction which was not intended to be given effect in accordance with its terms. Accordingly, I submit that, to the extent that the Spar/Highveld Head Lease is binding on Vresthena (which is denied), the Spar/Hig</w:t>
      </w:r>
      <w:r w:rsidR="00626DB8" w:rsidRPr="00E357BD">
        <w:rPr>
          <w:rFonts w:ascii="Century Gothic" w:hAnsi="Century Gothic"/>
          <w:i/>
          <w:u w:val="none"/>
          <w:lang w:val="en-GB"/>
        </w:rPr>
        <w:t>hveld Head Lease is unenforceable in accordance with its terms.</w:t>
      </w:r>
      <w:r w:rsidR="00E357BD">
        <w:rPr>
          <w:rFonts w:ascii="Century Gothic" w:hAnsi="Century Gothic"/>
          <w:i/>
          <w:u w:val="none"/>
          <w:lang w:val="en-GB"/>
        </w:rPr>
        <w:t>”</w:t>
      </w:r>
    </w:p>
    <w:p w:rsidR="007B5E2F" w:rsidRPr="00D13550" w:rsidRDefault="007B5E2F" w:rsidP="00BA5D0A">
      <w:pPr>
        <w:pStyle w:val="ListParagraph"/>
        <w:spacing w:line="480" w:lineRule="auto"/>
        <w:ind w:left="1440" w:hanging="873"/>
        <w:contextualSpacing w:val="0"/>
        <w:jc w:val="both"/>
        <w:rPr>
          <w:rFonts w:ascii="Century Gothic" w:hAnsi="Century Gothic"/>
          <w:u w:val="none"/>
          <w:lang w:val="en-GB"/>
        </w:rPr>
      </w:pP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[22]</w:t>
      </w:r>
      <w:r w:rsidRPr="00D13550">
        <w:rPr>
          <w:rFonts w:ascii="Century Gothic" w:hAnsi="Arial Unicode MS"/>
          <w:u w:val="none"/>
          <w:lang w:val="en-GB"/>
        </w:rPr>
        <w:tab/>
      </w:r>
      <w:r w:rsidR="0094268A" w:rsidRPr="00242BD1">
        <w:rPr>
          <w:rFonts w:ascii="Century Gothic" w:hAnsi="Century Gothic"/>
          <w:u w:val="none"/>
          <w:lang w:val="en-GB"/>
        </w:rPr>
        <w:t xml:space="preserve">The Spar Group argues that it is </w:t>
      </w:r>
      <w:r w:rsidR="00941A37" w:rsidRPr="00242BD1">
        <w:rPr>
          <w:rFonts w:ascii="Century Gothic" w:hAnsi="Century Gothic"/>
          <w:u w:val="none"/>
          <w:lang w:val="en-GB"/>
        </w:rPr>
        <w:t>c</w:t>
      </w:r>
      <w:r w:rsidR="0094268A" w:rsidRPr="00242BD1">
        <w:rPr>
          <w:rFonts w:ascii="Century Gothic" w:hAnsi="Century Gothic"/>
          <w:u w:val="none"/>
          <w:lang w:val="en-GB"/>
        </w:rPr>
        <w:t>lea</w:t>
      </w:r>
      <w:r w:rsidR="00941A37" w:rsidRPr="00242BD1">
        <w:rPr>
          <w:rFonts w:ascii="Century Gothic" w:hAnsi="Century Gothic"/>
          <w:u w:val="none"/>
          <w:lang w:val="en-GB"/>
        </w:rPr>
        <w:t>r</w:t>
      </w:r>
      <w:r w:rsidR="0094268A" w:rsidRPr="00242BD1">
        <w:rPr>
          <w:rFonts w:ascii="Century Gothic" w:hAnsi="Century Gothic"/>
          <w:u w:val="none"/>
          <w:lang w:val="en-GB"/>
        </w:rPr>
        <w:t xml:space="preserve"> from both the heading and the conclusion of the above, that section 65(2) has not been raised.</w:t>
      </w:r>
    </w:p>
    <w:p w:rsidR="008A734B" w:rsidRPr="00D13550" w:rsidRDefault="008A734B" w:rsidP="008A734B">
      <w:pPr>
        <w:pStyle w:val="ListParagraph"/>
        <w:rPr>
          <w:rFonts w:ascii="Century Gothic" w:hAnsi="Century Gothic"/>
          <w:u w:val="none"/>
          <w:lang w:val="en-GB"/>
        </w:rPr>
      </w:pPr>
    </w:p>
    <w:p w:rsidR="0094268A" w:rsidRPr="00D13550" w:rsidRDefault="0094268A"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[23]</w:t>
      </w:r>
      <w:r w:rsidRPr="00D13550">
        <w:rPr>
          <w:rFonts w:ascii="Century Gothic" w:hAnsi="Arial Unicode MS"/>
          <w:u w:val="none"/>
          <w:lang w:val="en-GB"/>
        </w:rPr>
        <w:tab/>
      </w:r>
      <w:r w:rsidR="0094268A" w:rsidRPr="00242BD1">
        <w:rPr>
          <w:rFonts w:ascii="Century Gothic" w:hAnsi="Century Gothic"/>
          <w:u w:val="none"/>
          <w:lang w:val="en-GB"/>
        </w:rPr>
        <w:t xml:space="preserve">Vresthena’s argument is that the answering affidavit clearly references the Head Lease and its anti- competitive structure. It also argues that a </w:t>
      </w:r>
      <w:r w:rsidR="0094268A" w:rsidRPr="00242BD1">
        <w:rPr>
          <w:rFonts w:ascii="Century Gothic" w:hAnsi="Century Gothic"/>
          <w:i/>
          <w:u w:val="none"/>
          <w:lang w:val="en-GB"/>
        </w:rPr>
        <w:t>“simulated transaction is one that is unlawful because it seeks to cloak its true unlawful purpose and the Head Lease is cloaked with some semblance of lawfulness but because of the exclusivity component it is unlawful</w:t>
      </w:r>
      <w:r w:rsidR="0094268A" w:rsidRPr="00242BD1">
        <w:rPr>
          <w:rFonts w:ascii="Century Gothic" w:hAnsi="Century Gothic"/>
          <w:u w:val="none"/>
          <w:lang w:val="en-GB"/>
        </w:rPr>
        <w:t>.</w:t>
      </w:r>
      <w:r w:rsidR="007F56F6" w:rsidRPr="00242BD1">
        <w:rPr>
          <w:rFonts w:ascii="Century Gothic" w:hAnsi="Century Gothic"/>
          <w:u w:val="none"/>
          <w:lang w:val="en-GB"/>
        </w:rPr>
        <w:t>”</w:t>
      </w:r>
    </w:p>
    <w:p w:rsidR="008A734B" w:rsidRPr="00D13550" w:rsidRDefault="008A734B" w:rsidP="008A734B">
      <w:pPr>
        <w:pStyle w:val="ListParagraph"/>
        <w:rPr>
          <w:rFonts w:ascii="Century Gothic" w:hAnsi="Century Gothic"/>
          <w:u w:val="none"/>
          <w:lang w:val="en-GB"/>
        </w:rPr>
      </w:pPr>
    </w:p>
    <w:p w:rsidR="0094268A" w:rsidRPr="00D13550" w:rsidRDefault="0094268A"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lastRenderedPageBreak/>
        <w:t>[24]</w:t>
      </w:r>
      <w:r w:rsidRPr="00D13550">
        <w:rPr>
          <w:rFonts w:ascii="Century Gothic" w:hAnsi="Arial Unicode MS"/>
          <w:u w:val="none"/>
          <w:lang w:val="en-GB"/>
        </w:rPr>
        <w:tab/>
      </w:r>
      <w:r w:rsidR="0094268A" w:rsidRPr="00242BD1">
        <w:rPr>
          <w:rFonts w:ascii="Century Gothic" w:hAnsi="Century Gothic"/>
          <w:u w:val="none"/>
          <w:lang w:val="en-GB"/>
        </w:rPr>
        <w:t>Vresthena conceded in argument before me that, whilst section 65(2) has not been over</w:t>
      </w:r>
      <w:r w:rsidR="00884D72" w:rsidRPr="00242BD1">
        <w:rPr>
          <w:rFonts w:ascii="Century Gothic" w:hAnsi="Century Gothic"/>
          <w:u w:val="none"/>
          <w:lang w:val="en-GB"/>
        </w:rPr>
        <w:t>t</w:t>
      </w:r>
      <w:r w:rsidR="0094268A" w:rsidRPr="00242BD1">
        <w:rPr>
          <w:rFonts w:ascii="Century Gothic" w:hAnsi="Century Gothic"/>
          <w:u w:val="none"/>
          <w:lang w:val="en-GB"/>
        </w:rPr>
        <w:t xml:space="preserve">ly referenced in the answering papers, it has been </w:t>
      </w:r>
      <w:r w:rsidR="00BF45CB" w:rsidRPr="00242BD1">
        <w:rPr>
          <w:rFonts w:ascii="Century Gothic" w:hAnsi="Century Gothic"/>
          <w:u w:val="none"/>
          <w:lang w:val="en-GB"/>
        </w:rPr>
        <w:t>raised as a matter of fact and this by referencing the fact that the Head Lease itself excludes competition.</w:t>
      </w:r>
      <w:r w:rsidR="00C970BB" w:rsidRPr="00242BD1">
        <w:rPr>
          <w:rFonts w:ascii="Century Gothic" w:hAnsi="Century Gothic"/>
          <w:u w:val="none"/>
          <w:lang w:val="en-GB"/>
        </w:rPr>
        <w:t xml:space="preserve"> As stated in paragraph 12.4 </w:t>
      </w:r>
      <w:r w:rsidR="00C970BB" w:rsidRPr="00242BD1">
        <w:rPr>
          <w:rFonts w:ascii="Century Gothic" w:hAnsi="Century Gothic"/>
          <w:i/>
          <w:u w:val="none"/>
          <w:lang w:val="en-GB"/>
        </w:rPr>
        <w:t>supra</w:t>
      </w:r>
      <w:r w:rsidR="00C970BB" w:rsidRPr="00242BD1">
        <w:rPr>
          <w:rFonts w:ascii="Century Gothic" w:hAnsi="Century Gothic"/>
          <w:u w:val="none"/>
          <w:lang w:val="en-GB"/>
        </w:rPr>
        <w:t>, the defence is further raised regarding the Spar Group’s oppressive conduct towards Vresthena.</w:t>
      </w:r>
    </w:p>
    <w:p w:rsidR="008A734B" w:rsidRPr="00D13550" w:rsidRDefault="008A734B" w:rsidP="008A734B">
      <w:pPr>
        <w:pStyle w:val="ListParagraph"/>
        <w:rPr>
          <w:rFonts w:ascii="Century Gothic" w:hAnsi="Century Gothic"/>
          <w:u w:val="none"/>
          <w:lang w:val="en-GB"/>
        </w:rPr>
      </w:pPr>
    </w:p>
    <w:p w:rsidR="00BF45CB" w:rsidRPr="00D13550" w:rsidRDefault="00BF45C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[25]</w:t>
      </w:r>
      <w:r w:rsidRPr="00D13550">
        <w:rPr>
          <w:rFonts w:ascii="Century Gothic" w:hAnsi="Arial Unicode MS"/>
          <w:u w:val="none"/>
          <w:lang w:val="en-GB"/>
        </w:rPr>
        <w:tab/>
      </w:r>
      <w:r w:rsidR="004B0765" w:rsidRPr="00242BD1">
        <w:rPr>
          <w:rFonts w:ascii="Century Gothic" w:hAnsi="Century Gothic"/>
          <w:u w:val="none"/>
          <w:lang w:val="en-GB"/>
        </w:rPr>
        <w:t>The fact that S</w:t>
      </w:r>
      <w:r w:rsidR="00BF45CB" w:rsidRPr="00242BD1">
        <w:rPr>
          <w:rFonts w:ascii="Century Gothic" w:hAnsi="Century Gothic"/>
          <w:u w:val="none"/>
          <w:lang w:val="en-GB"/>
        </w:rPr>
        <w:t xml:space="preserve">ection 65(2) is not specifically raised in the main application is, in my view, not of itself sufficient to conclude that the </w:t>
      </w:r>
      <w:r w:rsidR="00E0287A" w:rsidRPr="00242BD1">
        <w:rPr>
          <w:rFonts w:ascii="Century Gothic" w:hAnsi="Century Gothic"/>
          <w:u w:val="none"/>
          <w:lang w:val="en-GB"/>
        </w:rPr>
        <w:t>juris</w:t>
      </w:r>
      <w:r w:rsidR="004B0765" w:rsidRPr="00242BD1">
        <w:rPr>
          <w:rFonts w:ascii="Century Gothic" w:hAnsi="Century Gothic"/>
          <w:u w:val="none"/>
          <w:lang w:val="en-GB"/>
        </w:rPr>
        <w:t>diction of this court is ou</w:t>
      </w:r>
      <w:r w:rsidR="00E0287A" w:rsidRPr="00242BD1">
        <w:rPr>
          <w:rFonts w:ascii="Century Gothic" w:hAnsi="Century Gothic"/>
          <w:u w:val="none"/>
          <w:lang w:val="en-GB"/>
        </w:rPr>
        <w:t>s</w:t>
      </w:r>
      <w:r w:rsidR="004B0765" w:rsidRPr="00242BD1">
        <w:rPr>
          <w:rFonts w:ascii="Century Gothic" w:hAnsi="Century Gothic"/>
          <w:u w:val="none"/>
          <w:lang w:val="en-GB"/>
        </w:rPr>
        <w:t>t</w:t>
      </w:r>
      <w:r w:rsidR="00E0287A" w:rsidRPr="00242BD1">
        <w:rPr>
          <w:rFonts w:ascii="Century Gothic" w:hAnsi="Century Gothic"/>
          <w:u w:val="none"/>
          <w:lang w:val="en-GB"/>
        </w:rPr>
        <w:t>e</w:t>
      </w:r>
      <w:r w:rsidR="004B0765" w:rsidRPr="00242BD1">
        <w:rPr>
          <w:rFonts w:ascii="Century Gothic" w:hAnsi="Century Gothic"/>
          <w:u w:val="none"/>
          <w:lang w:val="en-GB"/>
        </w:rPr>
        <w:t>d. In any event, the argument with</w:t>
      </w:r>
      <w:r w:rsidR="00E0287A" w:rsidRPr="00242BD1">
        <w:rPr>
          <w:rFonts w:ascii="Century Gothic" w:hAnsi="Century Gothic"/>
          <w:u w:val="none"/>
          <w:lang w:val="en-GB"/>
        </w:rPr>
        <w:t xml:space="preserve"> regard</w:t>
      </w:r>
      <w:r w:rsidR="004B0765" w:rsidRPr="00242BD1">
        <w:rPr>
          <w:rFonts w:ascii="Century Gothic" w:hAnsi="Century Gothic"/>
          <w:u w:val="none"/>
          <w:lang w:val="en-GB"/>
        </w:rPr>
        <w:t xml:space="preserve"> to</w:t>
      </w:r>
      <w:r w:rsidR="00E0287A" w:rsidRPr="00242BD1">
        <w:rPr>
          <w:rFonts w:ascii="Century Gothic" w:hAnsi="Century Gothic"/>
          <w:u w:val="none"/>
          <w:lang w:val="en-GB"/>
        </w:rPr>
        <w:t xml:space="preserve"> the </w:t>
      </w:r>
      <w:r w:rsidR="004B0765" w:rsidRPr="00242BD1">
        <w:rPr>
          <w:rFonts w:ascii="Century Gothic" w:hAnsi="Century Gothic"/>
          <w:u w:val="none"/>
          <w:lang w:val="en-GB"/>
        </w:rPr>
        <w:t xml:space="preserve">unlawfulness of the </w:t>
      </w:r>
      <w:r w:rsidR="00E0287A" w:rsidRPr="00242BD1">
        <w:rPr>
          <w:rFonts w:ascii="Century Gothic" w:hAnsi="Century Gothic"/>
          <w:u w:val="none"/>
          <w:lang w:val="en-GB"/>
        </w:rPr>
        <w:t>exclusivity provisions</w:t>
      </w:r>
      <w:r w:rsidR="00C970BB" w:rsidRPr="00242BD1">
        <w:rPr>
          <w:rFonts w:ascii="Century Gothic" w:hAnsi="Century Gothic"/>
          <w:u w:val="none"/>
          <w:lang w:val="en-GB"/>
        </w:rPr>
        <w:t xml:space="preserve"> and</w:t>
      </w:r>
      <w:r w:rsidR="00E0287A" w:rsidRPr="00242BD1">
        <w:rPr>
          <w:rFonts w:ascii="Century Gothic" w:hAnsi="Century Gothic"/>
          <w:u w:val="none"/>
          <w:lang w:val="en-GB"/>
        </w:rPr>
        <w:t xml:space="preserve"> has been </w:t>
      </w:r>
      <w:r w:rsidR="00C970BB" w:rsidRPr="00242BD1">
        <w:rPr>
          <w:rFonts w:ascii="Century Gothic" w:hAnsi="Century Gothic"/>
          <w:u w:val="none"/>
          <w:lang w:val="en-GB"/>
        </w:rPr>
        <w:t xml:space="preserve">raised in the main proceedings, albeit in the manner mentioned supra, and has </w:t>
      </w:r>
      <w:r w:rsidR="00E0287A" w:rsidRPr="00242BD1">
        <w:rPr>
          <w:rFonts w:ascii="Century Gothic" w:hAnsi="Century Gothic"/>
          <w:u w:val="none"/>
          <w:lang w:val="en-GB"/>
        </w:rPr>
        <w:t>fully fl</w:t>
      </w:r>
      <w:r w:rsidR="004B0765" w:rsidRPr="00242BD1">
        <w:rPr>
          <w:rFonts w:ascii="Century Gothic" w:hAnsi="Century Gothic"/>
          <w:u w:val="none"/>
          <w:lang w:val="en-GB"/>
        </w:rPr>
        <w:t>eshed out in this application. I</w:t>
      </w:r>
      <w:r w:rsidR="00E0287A" w:rsidRPr="00242BD1">
        <w:rPr>
          <w:rFonts w:ascii="Century Gothic" w:hAnsi="Century Gothic"/>
          <w:u w:val="none"/>
          <w:lang w:val="en-GB"/>
        </w:rPr>
        <w:t>n application proceedings the affidavits constitute not only the evidence, but also the pleadings and must contain all the evidence that would be necessary at trial for application to succeed.</w:t>
      </w:r>
      <w:r w:rsidR="00E0287A" w:rsidRPr="00D13550">
        <w:rPr>
          <w:rStyle w:val="FootnoteReference"/>
          <w:rFonts w:ascii="Century Gothic" w:hAnsi="Century Gothic"/>
          <w:u w:val="none"/>
          <w:lang w:val="en-GB"/>
        </w:rPr>
        <w:footnoteReference w:id="9"/>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[26]</w:t>
      </w:r>
      <w:r w:rsidRPr="00D13550">
        <w:rPr>
          <w:rFonts w:ascii="Century Gothic" w:hAnsi="Arial Unicode MS"/>
          <w:u w:val="none"/>
          <w:lang w:val="en-GB"/>
        </w:rPr>
        <w:tab/>
      </w:r>
      <w:r w:rsidR="009C0846" w:rsidRPr="00242BD1">
        <w:rPr>
          <w:rFonts w:ascii="Century Gothic" w:hAnsi="Century Gothic"/>
          <w:u w:val="none"/>
          <w:lang w:val="en-GB"/>
        </w:rPr>
        <w:t>In my view</w:t>
      </w:r>
      <w:r w:rsidR="005E62E8" w:rsidRPr="00242BD1">
        <w:rPr>
          <w:rFonts w:ascii="Century Gothic" w:hAnsi="Century Gothic"/>
          <w:u w:val="none"/>
          <w:lang w:val="en-GB"/>
        </w:rPr>
        <w:t xml:space="preserve"> the challenge to the exclusivity provisions have been </w:t>
      </w:r>
      <w:r w:rsidR="00C970BB" w:rsidRPr="00242BD1">
        <w:rPr>
          <w:rFonts w:ascii="Century Gothic" w:hAnsi="Century Gothic"/>
          <w:u w:val="none"/>
          <w:lang w:val="en-GB"/>
        </w:rPr>
        <w:t xml:space="preserve">sufficiently </w:t>
      </w:r>
      <w:r w:rsidR="005E62E8" w:rsidRPr="00242BD1">
        <w:rPr>
          <w:rFonts w:ascii="Century Gothic" w:hAnsi="Century Gothic"/>
          <w:u w:val="none"/>
          <w:lang w:val="en-GB"/>
        </w:rPr>
        <w:t>raised</w:t>
      </w:r>
      <w:r w:rsidR="00C970BB" w:rsidRPr="00242BD1">
        <w:rPr>
          <w:rFonts w:ascii="Century Gothic" w:hAnsi="Century Gothic"/>
          <w:u w:val="none"/>
          <w:lang w:val="en-GB"/>
        </w:rPr>
        <w:t xml:space="preserve"> and fleshed out and this being so, this court </w:t>
      </w:r>
      <w:r w:rsidR="005E62E8" w:rsidRPr="00242BD1">
        <w:rPr>
          <w:rFonts w:ascii="Century Gothic" w:hAnsi="Century Gothic"/>
          <w:u w:val="none"/>
          <w:lang w:val="en-GB"/>
        </w:rPr>
        <w:t>must refer that issue to the Tribunal if I am satisfied that a) the issue, has not been raised in a frivolous or vexatious manner, and b) the resolution of that issue is required to determine the final outcome of the action.</w:t>
      </w:r>
    </w:p>
    <w:p w:rsidR="005E62E8" w:rsidRPr="00D13550" w:rsidRDefault="005E62E8" w:rsidP="005E62E8">
      <w:pPr>
        <w:rPr>
          <w:rFonts w:ascii="Century Gothic" w:hAnsi="Century Gothic"/>
          <w:u w:val="none"/>
          <w:lang w:val="en-GB"/>
        </w:rPr>
      </w:pPr>
    </w:p>
    <w:p w:rsidR="00C970BB" w:rsidRDefault="00C970BB" w:rsidP="005E62E8">
      <w:pPr>
        <w:rPr>
          <w:rFonts w:ascii="Century Gothic" w:hAnsi="Century Gothic"/>
          <w:b/>
          <w:lang w:val="en-GB"/>
        </w:rPr>
      </w:pPr>
    </w:p>
    <w:p w:rsidR="005E62E8" w:rsidRPr="00D13550" w:rsidRDefault="005E62E8" w:rsidP="005E62E8">
      <w:pPr>
        <w:rPr>
          <w:rFonts w:ascii="Century Gothic" w:hAnsi="Century Gothic"/>
          <w:b/>
          <w:lang w:val="en-GB"/>
        </w:rPr>
      </w:pPr>
      <w:r w:rsidRPr="00D13550">
        <w:rPr>
          <w:rFonts w:ascii="Century Gothic" w:hAnsi="Century Gothic"/>
          <w:b/>
          <w:lang w:val="en-GB"/>
        </w:rPr>
        <w:lastRenderedPageBreak/>
        <w:t>FRIVOLOUS OR VEXATIOUS</w:t>
      </w:r>
    </w:p>
    <w:p w:rsidR="005E62E8" w:rsidRPr="00D13550" w:rsidRDefault="005E62E8" w:rsidP="005E62E8">
      <w:pPr>
        <w:rPr>
          <w:rFonts w:ascii="Century Gothic" w:hAnsi="Century Gothic"/>
          <w:b/>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[27]</w:t>
      </w:r>
      <w:r w:rsidRPr="00D13550">
        <w:rPr>
          <w:rFonts w:ascii="Century Gothic" w:hAnsi="Arial Unicode MS"/>
          <w:u w:val="none"/>
          <w:lang w:val="en-GB"/>
        </w:rPr>
        <w:tab/>
      </w:r>
      <w:r w:rsidR="005E62E8" w:rsidRPr="00242BD1">
        <w:rPr>
          <w:rFonts w:ascii="Century Gothic" w:hAnsi="Century Gothic"/>
          <w:u w:val="none"/>
          <w:lang w:val="en-GB"/>
        </w:rPr>
        <w:t>The question is whether Vresthena’s case is “hopeless” – if it is then it is frivolous and vexatious</w:t>
      </w:r>
      <w:r w:rsidR="005E62E8" w:rsidRPr="00D13550">
        <w:rPr>
          <w:rStyle w:val="FootnoteReference"/>
          <w:rFonts w:ascii="Century Gothic" w:hAnsi="Century Gothic"/>
          <w:u w:val="none"/>
          <w:lang w:val="en-GB"/>
        </w:rPr>
        <w:footnoteReference w:id="10"/>
      </w:r>
      <w:r w:rsidR="00397068" w:rsidRPr="00242BD1">
        <w:rPr>
          <w:rFonts w:ascii="Century Gothic" w:hAnsi="Century Gothic"/>
          <w:u w:val="none"/>
          <w:lang w:val="en-GB"/>
        </w:rPr>
        <w:t>:</w:t>
      </w:r>
    </w:p>
    <w:p w:rsidR="00397068" w:rsidRPr="00D13550" w:rsidRDefault="00397068" w:rsidP="00397068">
      <w:pPr>
        <w:pStyle w:val="ListParagraph"/>
        <w:spacing w:line="480" w:lineRule="auto"/>
        <w:ind w:left="567"/>
        <w:contextualSpacing w:val="0"/>
        <w:jc w:val="both"/>
        <w:rPr>
          <w:rFonts w:ascii="Century Gothic" w:hAnsi="Century Gothic"/>
          <w:i/>
          <w:u w:val="none"/>
          <w:lang w:val="en-GB"/>
        </w:rPr>
      </w:pPr>
      <w:r w:rsidRPr="001137C0">
        <w:rPr>
          <w:rFonts w:ascii="Century Gothic" w:hAnsi="Century Gothic"/>
          <w:i/>
          <w:u w:val="none"/>
          <w:lang w:val="en-GB"/>
        </w:rPr>
        <w:t>“</w:t>
      </w:r>
      <w:r w:rsidR="00C970BB" w:rsidRPr="001137C0">
        <w:rPr>
          <w:rFonts w:ascii="Century Gothic" w:hAnsi="Century Gothic"/>
          <w:i/>
          <w:u w:val="none"/>
          <w:lang w:val="en-GB"/>
        </w:rPr>
        <w:t>[26]</w:t>
      </w:r>
      <w:r w:rsidR="00C970BB" w:rsidRPr="001137C0">
        <w:rPr>
          <w:rFonts w:ascii="Century Gothic" w:hAnsi="Century Gothic"/>
          <w:i/>
          <w:u w:val="none"/>
          <w:lang w:val="en-GB"/>
        </w:rPr>
        <w:tab/>
      </w:r>
      <w:r w:rsidRPr="001137C0">
        <w:rPr>
          <w:rFonts w:ascii="Century Gothic" w:hAnsi="Century Gothic"/>
          <w:i/>
          <w:u w:val="none"/>
          <w:lang w:val="en-GB"/>
        </w:rPr>
        <w:t>As would have appeared from the discussion above, the appellants</w:t>
      </w:r>
      <w:r w:rsidR="00C970BB" w:rsidRPr="001137C0">
        <w:rPr>
          <w:rFonts w:ascii="Century Gothic" w:hAnsi="Century Gothic"/>
          <w:i/>
          <w:u w:val="none"/>
          <w:lang w:val="en-GB"/>
        </w:rPr>
        <w:t>’</w:t>
      </w:r>
      <w:r w:rsidRPr="001137C0">
        <w:rPr>
          <w:rFonts w:ascii="Century Gothic" w:hAnsi="Century Gothic"/>
          <w:i/>
          <w:u w:val="none"/>
          <w:lang w:val="en-GB"/>
        </w:rPr>
        <w:t xml:space="preserve"> case on the competition issues is hopeless. There is authority for the</w:t>
      </w:r>
      <w:r w:rsidR="0085602F" w:rsidRPr="001137C0">
        <w:rPr>
          <w:rFonts w:ascii="Century Gothic" w:hAnsi="Century Gothic"/>
          <w:i/>
          <w:u w:val="none"/>
          <w:lang w:val="en-GB"/>
        </w:rPr>
        <w:t xml:space="preserve"> </w:t>
      </w:r>
      <w:r w:rsidR="00C970BB" w:rsidRPr="001137C0">
        <w:rPr>
          <w:rFonts w:ascii="Century Gothic" w:hAnsi="Century Gothic"/>
          <w:i/>
          <w:u w:val="none"/>
          <w:lang w:val="en-GB"/>
        </w:rPr>
        <w:t xml:space="preserve">proposition which I </w:t>
      </w:r>
      <w:r w:rsidR="0085602F" w:rsidRPr="001137C0">
        <w:rPr>
          <w:rFonts w:ascii="Century Gothic" w:hAnsi="Century Gothic"/>
          <w:i/>
          <w:u w:val="none"/>
          <w:lang w:val="en-GB"/>
        </w:rPr>
        <w:t>endorse, that one who conducts a hopeless case acts frivolously. In S v Cooper 1977 (3) SA 475 (T) at 476D-G Boshoff J remarked in the context of an application for a special entry on the record that –</w:t>
      </w:r>
    </w:p>
    <w:p w:rsidR="0085602F" w:rsidRPr="00D13550" w:rsidRDefault="0085602F" w:rsidP="00397068">
      <w:pPr>
        <w:pStyle w:val="ListParagraph"/>
        <w:spacing w:line="480" w:lineRule="auto"/>
        <w:ind w:left="567"/>
        <w:contextualSpacing w:val="0"/>
        <w:jc w:val="both"/>
        <w:rPr>
          <w:rFonts w:ascii="Century Gothic" w:hAnsi="Century Gothic"/>
          <w:i/>
          <w:u w:val="none"/>
          <w:lang w:val="en-GB"/>
        </w:rPr>
      </w:pPr>
      <w:r w:rsidRPr="00B20183">
        <w:rPr>
          <w:rFonts w:ascii="Century Gothic" w:hAnsi="Century Gothic"/>
          <w:i/>
          <w:sz w:val="22"/>
          <w:szCs w:val="22"/>
          <w:u w:val="none"/>
          <w:lang w:val="en-GB"/>
        </w:rPr>
        <w:t>‘…the word “frivolous” in its ordinary and natural meaning connotes an application</w:t>
      </w:r>
      <w:r w:rsidR="002B4243" w:rsidRPr="00B20183">
        <w:rPr>
          <w:rFonts w:ascii="Century Gothic" w:hAnsi="Century Gothic"/>
          <w:i/>
          <w:sz w:val="22"/>
          <w:szCs w:val="22"/>
          <w:u w:val="none"/>
          <w:lang w:val="en-GB"/>
        </w:rPr>
        <w:t xml:space="preserve"> characterized by lack of seriousness, as in the case of one which is manifestly insufficient,</w:t>
      </w:r>
      <w:r w:rsidRPr="00B20183">
        <w:rPr>
          <w:rFonts w:ascii="Century Gothic" w:hAnsi="Century Gothic"/>
          <w:i/>
          <w:sz w:val="22"/>
          <w:szCs w:val="22"/>
          <w:u w:val="none"/>
          <w:lang w:val="en-GB"/>
        </w:rPr>
        <w:t xml:space="preserve"> </w:t>
      </w:r>
      <w:r w:rsidR="002B4243" w:rsidRPr="00B20183">
        <w:rPr>
          <w:rFonts w:ascii="Century Gothic" w:hAnsi="Century Gothic"/>
          <w:i/>
          <w:sz w:val="22"/>
          <w:szCs w:val="22"/>
          <w:u w:val="none"/>
          <w:lang w:val="en-GB"/>
        </w:rPr>
        <w:t>and the word “</w:t>
      </w:r>
      <w:r w:rsidR="00941A37" w:rsidRPr="00B20183">
        <w:rPr>
          <w:rFonts w:ascii="Century Gothic" w:hAnsi="Century Gothic"/>
          <w:i/>
          <w:sz w:val="22"/>
          <w:szCs w:val="22"/>
          <w:u w:val="none"/>
          <w:lang w:val="en-GB"/>
        </w:rPr>
        <w:t xml:space="preserve">absurd” connotes an application </w:t>
      </w:r>
      <w:r w:rsidR="00976361" w:rsidRPr="00B20183">
        <w:rPr>
          <w:rFonts w:ascii="Century Gothic" w:hAnsi="Century Gothic"/>
          <w:i/>
          <w:sz w:val="22"/>
          <w:szCs w:val="22"/>
          <w:u w:val="none"/>
          <w:lang w:val="en-GB"/>
        </w:rPr>
        <w:t>which is inconsistent with reason or common sense and unworthy of serious consideration. These words have been used according to the decided cases in respect of pleadings and actions which were obviously unsustainable or manifestly groundless, or</w:t>
      </w:r>
      <w:r w:rsidR="002B4243" w:rsidRPr="00B20183">
        <w:rPr>
          <w:rFonts w:ascii="Century Gothic" w:hAnsi="Century Gothic"/>
          <w:i/>
          <w:sz w:val="22"/>
          <w:szCs w:val="22"/>
          <w:u w:val="none"/>
          <w:lang w:val="en-GB"/>
        </w:rPr>
        <w:t xml:space="preserve"> utterly hopeless and without </w:t>
      </w:r>
      <w:r w:rsidR="00976361" w:rsidRPr="00B20183">
        <w:rPr>
          <w:rFonts w:ascii="Century Gothic" w:hAnsi="Century Gothic"/>
          <w:i/>
          <w:sz w:val="22"/>
          <w:szCs w:val="22"/>
          <w:u w:val="none"/>
          <w:lang w:val="en-GB"/>
        </w:rPr>
        <w:t>foundation. …</w:t>
      </w:r>
      <w:r w:rsidR="002B4243" w:rsidRPr="00B20183">
        <w:rPr>
          <w:rFonts w:ascii="Century Gothic" w:hAnsi="Century Gothic"/>
          <w:i/>
          <w:sz w:val="22"/>
          <w:szCs w:val="22"/>
          <w:u w:val="none"/>
          <w:lang w:val="en-GB"/>
        </w:rPr>
        <w:t xml:space="preserve"> In order t</w:t>
      </w:r>
      <w:r w:rsidR="00976361" w:rsidRPr="00B20183">
        <w:rPr>
          <w:rFonts w:ascii="Century Gothic" w:hAnsi="Century Gothic"/>
          <w:i/>
          <w:sz w:val="22"/>
          <w:szCs w:val="22"/>
          <w:u w:val="none"/>
          <w:lang w:val="en-GB"/>
        </w:rPr>
        <w:t>o bri</w:t>
      </w:r>
      <w:r w:rsidR="002B4243" w:rsidRPr="00B20183">
        <w:rPr>
          <w:rFonts w:ascii="Century Gothic" w:hAnsi="Century Gothic"/>
          <w:i/>
          <w:sz w:val="22"/>
          <w:szCs w:val="22"/>
          <w:u w:val="none"/>
          <w:lang w:val="en-GB"/>
        </w:rPr>
        <w:t xml:space="preserve">ng an application within this </w:t>
      </w:r>
      <w:r w:rsidR="00976361" w:rsidRPr="00B20183">
        <w:rPr>
          <w:rFonts w:ascii="Century Gothic" w:hAnsi="Century Gothic"/>
          <w:i/>
          <w:sz w:val="22"/>
          <w:szCs w:val="22"/>
          <w:u w:val="none"/>
          <w:lang w:val="en-GB"/>
        </w:rPr>
        <w:t>description, there should be pres</w:t>
      </w:r>
      <w:r w:rsidR="002B4243" w:rsidRPr="00B20183">
        <w:rPr>
          <w:rFonts w:ascii="Century Gothic" w:hAnsi="Century Gothic"/>
          <w:i/>
          <w:sz w:val="22"/>
          <w:szCs w:val="22"/>
          <w:u w:val="none"/>
          <w:lang w:val="en-GB"/>
        </w:rPr>
        <w:t xml:space="preserve">ent </w:t>
      </w:r>
      <w:r w:rsidR="00976361" w:rsidRPr="00B20183">
        <w:rPr>
          <w:rFonts w:ascii="Century Gothic" w:hAnsi="Century Gothic"/>
          <w:i/>
          <w:sz w:val="22"/>
          <w:szCs w:val="22"/>
          <w:u w:val="none"/>
          <w:lang w:val="en-GB"/>
        </w:rPr>
        <w:t>grounds upon which the Court could found an opinion that the application is clearly so groundless that no reasonable</w:t>
      </w:r>
      <w:r w:rsidR="002B4243" w:rsidRPr="00B20183">
        <w:rPr>
          <w:rFonts w:ascii="Century Gothic" w:hAnsi="Century Gothic"/>
          <w:i/>
          <w:sz w:val="22"/>
          <w:szCs w:val="22"/>
          <w:u w:val="none"/>
          <w:lang w:val="en-GB"/>
        </w:rPr>
        <w:t xml:space="preserve"> person can possibly expect to obtain relief from it. The Court should be slow in coming to such a conclusion, and this quality must therefore appear as a certainty and not merely on a preponderance of probability.</w:t>
      </w:r>
      <w:r w:rsidR="002B4243" w:rsidRPr="00D13550">
        <w:rPr>
          <w:rFonts w:ascii="Century Gothic" w:hAnsi="Century Gothic"/>
          <w:i/>
          <w:u w:val="none"/>
          <w:lang w:val="en-GB"/>
        </w:rPr>
        <w:t>’</w:t>
      </w:r>
      <w:r w:rsidR="00781431" w:rsidRPr="00D13550">
        <w:rPr>
          <w:rFonts w:ascii="Century Gothic" w:hAnsi="Century Gothic"/>
          <w:i/>
          <w:u w:val="none"/>
          <w:lang w:val="en-GB"/>
        </w:rPr>
        <w:t>”</w:t>
      </w:r>
    </w:p>
    <w:p w:rsidR="008A734B" w:rsidRPr="00D13550" w:rsidRDefault="008A734B" w:rsidP="008A734B">
      <w:pPr>
        <w:pStyle w:val="ListParagraph"/>
        <w:rPr>
          <w:rFonts w:ascii="Century Gothic" w:hAnsi="Century Gothic"/>
          <w:u w:val="none"/>
          <w:lang w:val="en-GB"/>
        </w:rPr>
      </w:pPr>
    </w:p>
    <w:p w:rsidR="00BD6AAC" w:rsidRPr="00D13550" w:rsidRDefault="00BD6AAC"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lastRenderedPageBreak/>
        <w:t>[28]</w:t>
      </w:r>
      <w:r w:rsidRPr="00D13550">
        <w:rPr>
          <w:rFonts w:ascii="Century Gothic" w:hAnsi="Arial Unicode MS"/>
          <w:u w:val="none"/>
          <w:lang w:val="en-GB"/>
        </w:rPr>
        <w:tab/>
      </w:r>
      <w:r w:rsidR="00BD6AAC" w:rsidRPr="00242BD1">
        <w:rPr>
          <w:rFonts w:ascii="Century Gothic" w:hAnsi="Century Gothic"/>
          <w:u w:val="none"/>
          <w:lang w:val="en-GB"/>
        </w:rPr>
        <w:t>In finding that the test is an objective one, the court then stated:</w:t>
      </w:r>
    </w:p>
    <w:p w:rsidR="00BD6AAC" w:rsidRPr="00D13550" w:rsidRDefault="00BD6AAC" w:rsidP="00BD6AAC">
      <w:pPr>
        <w:pStyle w:val="ListParagraph"/>
        <w:spacing w:line="480" w:lineRule="auto"/>
        <w:ind w:left="567"/>
        <w:contextualSpacing w:val="0"/>
        <w:jc w:val="both"/>
        <w:rPr>
          <w:rFonts w:ascii="Century Gothic" w:hAnsi="Century Gothic"/>
          <w:u w:val="none"/>
          <w:lang w:val="en-GB"/>
        </w:rPr>
      </w:pPr>
      <w:r w:rsidRPr="00D13550">
        <w:rPr>
          <w:rFonts w:ascii="Century Gothic" w:hAnsi="Century Gothic"/>
          <w:i/>
          <w:u w:val="none"/>
          <w:lang w:val="en-GB"/>
        </w:rPr>
        <w:t xml:space="preserve">“… an issue can be said to have been raised in a frivolous and vexatious </w:t>
      </w:r>
      <w:r w:rsidR="00693EA2" w:rsidRPr="00D13550">
        <w:rPr>
          <w:rFonts w:ascii="Century Gothic" w:hAnsi="Century Gothic"/>
          <w:i/>
          <w:u w:val="none"/>
          <w:lang w:val="en-GB"/>
        </w:rPr>
        <w:t>m</w:t>
      </w:r>
      <w:r w:rsidRPr="00D13550">
        <w:rPr>
          <w:rFonts w:ascii="Century Gothic" w:hAnsi="Century Gothic"/>
          <w:i/>
          <w:u w:val="none"/>
          <w:lang w:val="en-GB"/>
        </w:rPr>
        <w:t>anner if it is clearly groundless or insufficient. No facts have been alleged by the applic</w:t>
      </w:r>
      <w:r w:rsidR="00693EA2" w:rsidRPr="00D13550">
        <w:rPr>
          <w:rFonts w:ascii="Century Gothic" w:hAnsi="Century Gothic"/>
          <w:i/>
          <w:u w:val="none"/>
          <w:lang w:val="en-GB"/>
        </w:rPr>
        <w:t xml:space="preserve">ants that might have supported </w:t>
      </w:r>
      <w:r w:rsidRPr="00D13550">
        <w:rPr>
          <w:rFonts w:ascii="Century Gothic" w:hAnsi="Century Gothic"/>
          <w:i/>
          <w:u w:val="none"/>
          <w:lang w:val="en-GB"/>
        </w:rPr>
        <w:t xml:space="preserve">a referral to the </w:t>
      </w:r>
      <w:r w:rsidR="00693EA2" w:rsidRPr="00D13550">
        <w:rPr>
          <w:rFonts w:ascii="Century Gothic" w:hAnsi="Century Gothic"/>
          <w:i/>
          <w:u w:val="none"/>
          <w:lang w:val="en-GB"/>
        </w:rPr>
        <w:t>Competition Tribunal: In the circumstances no reasonable person could possibly have expected to obtain any relief from that tribunal.”</w:t>
      </w:r>
      <w:r w:rsidR="00693EA2" w:rsidRPr="00D13550">
        <w:rPr>
          <w:rStyle w:val="FootnoteReference"/>
          <w:rFonts w:ascii="Century Gothic" w:hAnsi="Century Gothic"/>
          <w:u w:val="none"/>
          <w:lang w:val="en-GB"/>
        </w:rPr>
        <w:footnoteReference w:id="11"/>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[29]</w:t>
      </w:r>
      <w:r w:rsidRPr="00D13550">
        <w:rPr>
          <w:rFonts w:ascii="Century Gothic" w:hAnsi="Arial Unicode MS"/>
          <w:u w:val="none"/>
          <w:lang w:val="en-GB"/>
        </w:rPr>
        <w:tab/>
      </w:r>
      <w:r w:rsidR="00693EA2" w:rsidRPr="00242BD1">
        <w:rPr>
          <w:rFonts w:ascii="Century Gothic" w:hAnsi="Century Gothic"/>
          <w:u w:val="none"/>
          <w:lang w:val="en-GB"/>
        </w:rPr>
        <w:t>In the Notice of Motion, Vresthena asks that the following issue(s) be referred to the Tribunal: the lawfulness of the following conduct:</w:t>
      </w:r>
    </w:p>
    <w:p w:rsidR="00693EA2" w:rsidRPr="00D13550" w:rsidRDefault="00E76ACC" w:rsidP="00693EA2">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29</w:t>
      </w:r>
      <w:r w:rsidR="00693EA2" w:rsidRPr="00D13550">
        <w:rPr>
          <w:rFonts w:ascii="Century Gothic" w:hAnsi="Century Gothic"/>
          <w:u w:val="none"/>
          <w:lang w:val="en-GB"/>
        </w:rPr>
        <w:t>.1</w:t>
      </w:r>
      <w:r w:rsidR="00693EA2" w:rsidRPr="00D13550">
        <w:rPr>
          <w:rFonts w:ascii="Century Gothic" w:hAnsi="Century Gothic"/>
          <w:u w:val="none"/>
          <w:lang w:val="en-GB"/>
        </w:rPr>
        <w:tab/>
        <w:t>the Spar Group’s use of, and insistence upon, the exclusivity provisions in head lease agreements between the Spar Group and Landlords, alternatively in the Head Lease Agreement between the Spar Group and Vresthena which is the subject of the application proceedings; and</w:t>
      </w:r>
    </w:p>
    <w:p w:rsidR="00693EA2" w:rsidRPr="00D13550" w:rsidRDefault="00693EA2" w:rsidP="00693EA2">
      <w:pPr>
        <w:pStyle w:val="ListParagraph"/>
        <w:spacing w:line="480" w:lineRule="auto"/>
        <w:ind w:left="1440" w:hanging="873"/>
        <w:contextualSpacing w:val="0"/>
        <w:jc w:val="both"/>
        <w:rPr>
          <w:rFonts w:ascii="Century Gothic" w:hAnsi="Century Gothic"/>
          <w:u w:val="none"/>
          <w:lang w:val="en-GB"/>
        </w:rPr>
      </w:pPr>
    </w:p>
    <w:p w:rsidR="00693EA2" w:rsidRPr="00D13550" w:rsidRDefault="00E76ACC" w:rsidP="00693EA2">
      <w:pPr>
        <w:pStyle w:val="ListParagraph"/>
        <w:spacing w:line="480" w:lineRule="auto"/>
        <w:ind w:left="1440" w:hanging="873"/>
        <w:contextualSpacing w:val="0"/>
        <w:jc w:val="both"/>
        <w:rPr>
          <w:rFonts w:ascii="Century Gothic" w:hAnsi="Century Gothic"/>
          <w:u w:val="none"/>
          <w:lang w:val="en-GB"/>
        </w:rPr>
      </w:pPr>
      <w:r>
        <w:rPr>
          <w:rFonts w:ascii="Century Gothic" w:hAnsi="Century Gothic"/>
          <w:u w:val="none"/>
          <w:lang w:val="en-GB"/>
        </w:rPr>
        <w:t>29</w:t>
      </w:r>
      <w:r w:rsidR="00693EA2" w:rsidRPr="00D13550">
        <w:rPr>
          <w:rFonts w:ascii="Century Gothic" w:hAnsi="Century Gothic"/>
          <w:u w:val="none"/>
          <w:lang w:val="en-GB"/>
        </w:rPr>
        <w:t>.2</w:t>
      </w:r>
      <w:r w:rsidR="00693EA2" w:rsidRPr="00D13550">
        <w:rPr>
          <w:rFonts w:ascii="Century Gothic" w:hAnsi="Century Gothic"/>
          <w:u w:val="none"/>
          <w:lang w:val="en-GB"/>
        </w:rPr>
        <w:tab/>
        <w:t>the head lease and sub-lease agreement structure, of the sort which is the subject of the application proceedings and which is imposed by the Spar Group on its independent retailers and on Landlords, alternatively on Vresthena.</w:t>
      </w:r>
    </w:p>
    <w:p w:rsidR="00693EA2" w:rsidRPr="00D13550" w:rsidRDefault="00693EA2" w:rsidP="00693EA2">
      <w:pPr>
        <w:pStyle w:val="ListParagraph"/>
        <w:spacing w:line="480" w:lineRule="auto"/>
        <w:ind w:left="1440" w:hanging="873"/>
        <w:contextualSpacing w:val="0"/>
        <w:jc w:val="bot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[30]</w:t>
      </w:r>
      <w:r w:rsidRPr="00D13550">
        <w:rPr>
          <w:rFonts w:ascii="Century Gothic" w:hAnsi="Arial Unicode MS"/>
          <w:u w:val="none"/>
          <w:lang w:val="en-GB"/>
        </w:rPr>
        <w:tab/>
      </w:r>
      <w:r w:rsidR="00693EA2" w:rsidRPr="00242BD1">
        <w:rPr>
          <w:rFonts w:ascii="Century Gothic" w:hAnsi="Century Gothic"/>
          <w:u w:val="none"/>
          <w:lang w:val="en-GB"/>
        </w:rPr>
        <w:t xml:space="preserve">It is so that in the event that I find that Vresthena has raised an issue concerning conduct that is prohibited in terms of the Competition Act, I must refer that issue to the Tribunal to be considered on its merits provided </w:t>
      </w:r>
      <w:r w:rsidR="00693EA2" w:rsidRPr="00242BD1">
        <w:rPr>
          <w:rFonts w:ascii="Century Gothic" w:hAnsi="Century Gothic"/>
          <w:u w:val="none"/>
          <w:lang w:val="en-GB"/>
        </w:rPr>
        <w:lastRenderedPageBreak/>
        <w:t>that the conditions set out in Section 65(2)(b) are met.</w:t>
      </w:r>
      <w:r w:rsidR="00693EA2" w:rsidRPr="00D13550">
        <w:rPr>
          <w:rStyle w:val="FootnoteReference"/>
          <w:rFonts w:ascii="Century Gothic" w:hAnsi="Century Gothic"/>
          <w:u w:val="none"/>
          <w:lang w:val="en-GB"/>
        </w:rPr>
        <w:footnoteReference w:id="12"/>
      </w:r>
      <w:r w:rsidR="0001248B" w:rsidRPr="00242BD1">
        <w:rPr>
          <w:rFonts w:ascii="Century Gothic" w:hAnsi="Century Gothic"/>
          <w:u w:val="none"/>
          <w:lang w:val="en-GB"/>
        </w:rPr>
        <w:t xml:space="preserve"> Thus where the conduct may be such that it contravenes the A</w:t>
      </w:r>
      <w:r w:rsidR="00277D42" w:rsidRPr="00242BD1">
        <w:rPr>
          <w:rFonts w:ascii="Century Gothic" w:hAnsi="Century Gothic"/>
          <w:u w:val="none"/>
          <w:lang w:val="en-GB"/>
        </w:rPr>
        <w:t>c</w:t>
      </w:r>
      <w:r w:rsidR="00E76ACC" w:rsidRPr="00242BD1">
        <w:rPr>
          <w:rFonts w:ascii="Century Gothic" w:hAnsi="Century Gothic"/>
          <w:u w:val="none"/>
          <w:lang w:val="en-GB"/>
        </w:rPr>
        <w:t>t, there must be a referral and I have no discretion to refuse to do so.</w:t>
      </w:r>
    </w:p>
    <w:p w:rsidR="008A734B" w:rsidRPr="00D13550" w:rsidRDefault="008A734B" w:rsidP="008A734B">
      <w:pPr>
        <w:pStyle w:val="ListParagraph"/>
        <w:rPr>
          <w:rFonts w:ascii="Century Gothic" w:hAnsi="Century Gothic"/>
          <w:u w:val="none"/>
          <w:lang w:val="en-GB"/>
        </w:rPr>
      </w:pPr>
    </w:p>
    <w:p w:rsidR="00277D42" w:rsidRPr="00D13550" w:rsidRDefault="00277D42"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[31]</w:t>
      </w:r>
      <w:r w:rsidRPr="00D13550">
        <w:rPr>
          <w:rFonts w:ascii="Century Gothic" w:hAnsi="Arial Unicode MS"/>
          <w:u w:val="none"/>
          <w:lang w:val="en-GB"/>
        </w:rPr>
        <w:tab/>
      </w:r>
      <w:r w:rsidR="00277D42" w:rsidRPr="00242BD1">
        <w:rPr>
          <w:rFonts w:ascii="Century Gothic" w:hAnsi="Century Gothic"/>
          <w:u w:val="none"/>
          <w:lang w:val="en-GB"/>
        </w:rPr>
        <w:t xml:space="preserve">Whilst the Spar Group complains that the relief </w:t>
      </w:r>
      <w:r w:rsidR="00E76ACC" w:rsidRPr="00242BD1">
        <w:rPr>
          <w:rFonts w:ascii="Century Gothic" w:hAnsi="Century Gothic"/>
          <w:u w:val="none"/>
          <w:lang w:val="en-GB"/>
        </w:rPr>
        <w:t xml:space="preserve">sought is too broad, the </w:t>
      </w:r>
      <w:r w:rsidR="00277D42" w:rsidRPr="00242BD1">
        <w:rPr>
          <w:rFonts w:ascii="Century Gothic" w:hAnsi="Century Gothic"/>
          <w:u w:val="none"/>
          <w:lang w:val="en-GB"/>
        </w:rPr>
        <w:t>relief set out in the Notice of Motion confines the remedy to the parties themselves and in this way is curtailed. Thus, the formulation is competent and is clearly definable.</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[32]</w:t>
      </w:r>
      <w:r w:rsidRPr="00D13550">
        <w:rPr>
          <w:rFonts w:ascii="Century Gothic" w:hAnsi="Arial Unicode MS"/>
          <w:u w:val="none"/>
          <w:lang w:val="en-GB"/>
        </w:rPr>
        <w:tab/>
      </w:r>
      <w:r w:rsidR="00B01C2B" w:rsidRPr="00242BD1">
        <w:rPr>
          <w:rFonts w:ascii="Century Gothic" w:hAnsi="Century Gothic"/>
          <w:u w:val="none"/>
          <w:lang w:val="en-GB"/>
        </w:rPr>
        <w:t xml:space="preserve">In </w:t>
      </w:r>
      <w:r w:rsidR="00B20183" w:rsidRPr="00242BD1">
        <w:rPr>
          <w:rFonts w:ascii="Century Gothic" w:hAnsi="Century Gothic"/>
          <w:b/>
          <w:u w:val="none"/>
          <w:lang w:val="en-GB"/>
        </w:rPr>
        <w:t>Seagram Africa (Pty</w:t>
      </w:r>
      <w:r w:rsidR="00B01C2B" w:rsidRPr="00242BD1">
        <w:rPr>
          <w:rFonts w:ascii="Century Gothic" w:hAnsi="Century Gothic"/>
          <w:b/>
          <w:u w:val="none"/>
          <w:lang w:val="en-GB"/>
        </w:rPr>
        <w:t>) Ltd v Stellenbosch Farmers’ Winery Group Ltd and Others</w:t>
      </w:r>
      <w:r w:rsidR="00B01C2B" w:rsidRPr="00D13550">
        <w:rPr>
          <w:rStyle w:val="FootnoteReference"/>
          <w:rFonts w:ascii="Century Gothic" w:hAnsi="Century Gothic"/>
          <w:u w:val="none"/>
          <w:lang w:val="en-GB"/>
        </w:rPr>
        <w:footnoteReference w:id="13"/>
      </w:r>
      <w:r w:rsidR="00B01C2B" w:rsidRPr="00242BD1">
        <w:rPr>
          <w:rFonts w:ascii="Century Gothic" w:hAnsi="Century Gothic"/>
          <w:u w:val="none"/>
          <w:lang w:val="en-GB"/>
        </w:rPr>
        <w:t xml:space="preserve"> the court stated:</w:t>
      </w:r>
    </w:p>
    <w:p w:rsidR="00B01C2B" w:rsidRPr="00D13550" w:rsidRDefault="00B01C2B" w:rsidP="00B01C2B">
      <w:pPr>
        <w:spacing w:line="480" w:lineRule="auto"/>
        <w:ind w:left="567"/>
        <w:jc w:val="both"/>
        <w:rPr>
          <w:rFonts w:ascii="Century Gothic" w:hAnsi="Century Gothic"/>
          <w:i/>
          <w:u w:val="none"/>
          <w:lang w:val="en-GB"/>
        </w:rPr>
      </w:pPr>
      <w:r w:rsidRPr="00D13550">
        <w:rPr>
          <w:rFonts w:ascii="Century Gothic" w:hAnsi="Century Gothic"/>
          <w:i/>
          <w:u w:val="none"/>
          <w:lang w:val="en-GB"/>
        </w:rPr>
        <w:t xml:space="preserve">“it is clear that the </w:t>
      </w:r>
      <w:r w:rsidRPr="00E76ACC">
        <w:rPr>
          <w:rFonts w:ascii="Century Gothic" w:hAnsi="Century Gothic"/>
          <w:i/>
          <w:u w:val="none"/>
          <w:lang w:val="en-GB"/>
        </w:rPr>
        <w:t>commission</w:t>
      </w:r>
      <w:r w:rsidRPr="00D13550">
        <w:rPr>
          <w:rFonts w:ascii="Century Gothic" w:hAnsi="Century Gothic"/>
          <w:i/>
          <w:u w:val="none"/>
          <w:lang w:val="en-GB"/>
        </w:rPr>
        <w:t xml:space="preserve"> has already formed a view about the nature of this transaction entered into between the</w:t>
      </w:r>
      <w:r w:rsidR="00494D87">
        <w:rPr>
          <w:rFonts w:ascii="Century Gothic" w:hAnsi="Century Gothic"/>
          <w:i/>
          <w:u w:val="none"/>
          <w:lang w:val="en-GB"/>
        </w:rPr>
        <w:t xml:space="preserve"> respondents. In their view it is</w:t>
      </w:r>
      <w:r w:rsidRPr="00D13550">
        <w:rPr>
          <w:rFonts w:ascii="Century Gothic" w:hAnsi="Century Gothic"/>
          <w:i/>
          <w:u w:val="none"/>
          <w:lang w:val="en-GB"/>
        </w:rPr>
        <w:t xml:space="preserve"> not a merger as contemplated in Section 512. In the circumstances, I fail to understand the benefit which would be derived by the </w:t>
      </w:r>
      <w:r w:rsidR="00185F41" w:rsidRPr="00D13550">
        <w:rPr>
          <w:rFonts w:ascii="Century Gothic" w:hAnsi="Century Gothic"/>
          <w:i/>
          <w:u w:val="none"/>
          <w:lang w:val="en-GB"/>
        </w:rPr>
        <w:t>parties referring the matter back to the tribunal when the commission has already formed an opinion in this regard.”</w:t>
      </w:r>
    </w:p>
    <w:p w:rsidR="008A734B" w:rsidRPr="00D13550" w:rsidRDefault="008A734B" w:rsidP="008A734B">
      <w:pPr>
        <w:pStyle w:val="ListParagraph"/>
        <w:rPr>
          <w:rFonts w:ascii="Century Gothic" w:hAnsi="Century Gothic"/>
          <w:u w:val="none"/>
          <w:lang w:val="en-GB"/>
        </w:rPr>
      </w:pPr>
    </w:p>
    <w:p w:rsidR="00185F41" w:rsidRPr="00D13550" w:rsidRDefault="00185F41"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[33]</w:t>
      </w:r>
      <w:r w:rsidRPr="00D13550">
        <w:rPr>
          <w:rFonts w:ascii="Century Gothic" w:hAnsi="Arial Unicode MS"/>
          <w:u w:val="none"/>
          <w:lang w:val="en-GB"/>
        </w:rPr>
        <w:tab/>
      </w:r>
      <w:r w:rsidR="00185F41" w:rsidRPr="00242BD1">
        <w:rPr>
          <w:rFonts w:ascii="Century Gothic" w:hAnsi="Century Gothic"/>
          <w:u w:val="none"/>
          <w:lang w:val="en-GB"/>
        </w:rPr>
        <w:t>But the difference between Seagram and this matter is that here the Commission has already made the following recommendations regarding long-term lease exclusivity:</w:t>
      </w:r>
    </w:p>
    <w:p w:rsidR="00185F41" w:rsidRPr="0037156C" w:rsidRDefault="00185F41" w:rsidP="00F5750E">
      <w:pPr>
        <w:pStyle w:val="ListParagraph"/>
        <w:spacing w:line="480" w:lineRule="auto"/>
        <w:ind w:left="2160" w:hanging="1593"/>
        <w:contextualSpacing w:val="0"/>
        <w:jc w:val="both"/>
        <w:rPr>
          <w:rFonts w:ascii="Century Gothic" w:hAnsi="Century Gothic"/>
          <w:i/>
          <w:u w:val="none"/>
          <w:lang w:val="en-GB"/>
        </w:rPr>
      </w:pPr>
      <w:r w:rsidRPr="0037156C">
        <w:rPr>
          <w:rFonts w:ascii="Century Gothic" w:hAnsi="Century Gothic"/>
          <w:i/>
          <w:u w:val="none"/>
          <w:lang w:val="en-GB"/>
        </w:rPr>
        <w:lastRenderedPageBreak/>
        <w:t>“1102.1</w:t>
      </w:r>
      <w:r w:rsidRPr="0037156C">
        <w:rPr>
          <w:rFonts w:ascii="Century Gothic" w:hAnsi="Century Gothic"/>
          <w:i/>
          <w:u w:val="none"/>
          <w:lang w:val="en-GB"/>
        </w:rPr>
        <w:tab/>
      </w:r>
      <w:r w:rsidR="00F5750E" w:rsidRPr="0037156C">
        <w:rPr>
          <w:rFonts w:ascii="Century Gothic" w:hAnsi="Century Gothic"/>
          <w:i/>
          <w:u w:val="none"/>
          <w:lang w:val="en-GB"/>
        </w:rPr>
        <w:t>national supermarket chains must immediately cease from enforcing exclusivity provisions or provisions that have a substantially similar effect in their lease agreements;</w:t>
      </w:r>
    </w:p>
    <w:p w:rsidR="00F5750E" w:rsidRPr="0037156C" w:rsidRDefault="00F5750E" w:rsidP="00F5750E">
      <w:pPr>
        <w:pStyle w:val="ListParagraph"/>
        <w:spacing w:line="480" w:lineRule="auto"/>
        <w:ind w:left="2160" w:hanging="1593"/>
        <w:contextualSpacing w:val="0"/>
        <w:jc w:val="both"/>
        <w:rPr>
          <w:rFonts w:ascii="Century Gothic" w:hAnsi="Century Gothic"/>
          <w:i/>
          <w:u w:val="none"/>
          <w:lang w:val="en-GB"/>
        </w:rPr>
      </w:pPr>
      <w:r w:rsidRPr="0037156C">
        <w:rPr>
          <w:rFonts w:ascii="Century Gothic" w:hAnsi="Century Gothic"/>
          <w:i/>
          <w:u w:val="none"/>
          <w:lang w:val="en-GB"/>
        </w:rPr>
        <w:t>1102.2</w:t>
      </w:r>
      <w:r w:rsidRPr="0037156C">
        <w:rPr>
          <w:rFonts w:ascii="Century Gothic" w:hAnsi="Century Gothic"/>
          <w:i/>
          <w:u w:val="none"/>
          <w:lang w:val="en-GB"/>
        </w:rPr>
        <w:tab/>
        <w:t>no new leases or extensions to leases by grocery retailers may incorporate exclusivity clauses (or clauses that have substantially the same effect); and</w:t>
      </w:r>
    </w:p>
    <w:p w:rsidR="00F5750E" w:rsidRPr="0037156C" w:rsidRDefault="00F5750E" w:rsidP="00F5750E">
      <w:pPr>
        <w:pStyle w:val="ListParagraph"/>
        <w:spacing w:line="480" w:lineRule="auto"/>
        <w:ind w:left="2160" w:hanging="1593"/>
        <w:contextualSpacing w:val="0"/>
        <w:jc w:val="both"/>
        <w:rPr>
          <w:rFonts w:ascii="Century Gothic" w:hAnsi="Century Gothic"/>
          <w:i/>
          <w:u w:val="none"/>
          <w:lang w:val="en-GB"/>
        </w:rPr>
      </w:pPr>
      <w:r w:rsidRPr="0037156C">
        <w:rPr>
          <w:rFonts w:ascii="Century Gothic" w:hAnsi="Century Gothic"/>
          <w:i/>
          <w:u w:val="none"/>
          <w:lang w:val="en-GB"/>
        </w:rPr>
        <w:t>1102.3</w:t>
      </w:r>
      <w:r w:rsidRPr="0037156C">
        <w:rPr>
          <w:rFonts w:ascii="Century Gothic" w:hAnsi="Century Gothic"/>
          <w:i/>
          <w:u w:val="none"/>
          <w:lang w:val="en-GB"/>
        </w:rPr>
        <w:tab/>
        <w:t>the enforcement by the national supermarket chains as against other grocery retailers must be phased out by the next extension of the lease or within five years of the publication of the Final Report, whichever is earlier.”</w:t>
      </w:r>
    </w:p>
    <w:p w:rsidR="00F5750E" w:rsidRPr="00D13550" w:rsidRDefault="00F5750E" w:rsidP="00F5750E">
      <w:pPr>
        <w:spacing w:line="480" w:lineRule="auto"/>
        <w:jc w:val="both"/>
        <w:rPr>
          <w:rFonts w:ascii="Century Gothic" w:hAnsi="Century Gothic"/>
          <w:u w:val="none"/>
          <w:lang w:val="en-GB"/>
        </w:rPr>
      </w:pP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Pr>
          <w:rFonts w:ascii="Century Gothic" w:hAnsi="Arial Unicode MS"/>
          <w:u w:val="none"/>
          <w:lang w:val="en-GB"/>
        </w:rPr>
        <w:t>[34]</w:t>
      </w:r>
      <w:r>
        <w:rPr>
          <w:rFonts w:ascii="Century Gothic" w:hAnsi="Arial Unicode MS"/>
          <w:u w:val="none"/>
          <w:lang w:val="en-GB"/>
        </w:rPr>
        <w:tab/>
      </w:r>
      <w:r w:rsidR="00F5750E" w:rsidRPr="00242BD1">
        <w:rPr>
          <w:rFonts w:ascii="Century Gothic" w:hAnsi="Century Gothic"/>
          <w:u w:val="none"/>
          <w:lang w:val="en-GB"/>
        </w:rPr>
        <w:t xml:space="preserve">It thus appears that there is indeed conduct which may contravene the Act. This being so, I cannot find that the issue has been raised in a frivolous or vexatious manner and the </w:t>
      </w:r>
      <w:r w:rsidR="0037156C" w:rsidRPr="00242BD1">
        <w:rPr>
          <w:rFonts w:ascii="Century Gothic" w:hAnsi="Century Gothic"/>
          <w:u w:val="none"/>
          <w:lang w:val="en-GB"/>
        </w:rPr>
        <w:t>requirements set out in</w:t>
      </w:r>
      <w:r w:rsidR="00F5750E" w:rsidRPr="00242BD1">
        <w:rPr>
          <w:rFonts w:ascii="Century Gothic" w:hAnsi="Century Gothic"/>
          <w:u w:val="none"/>
          <w:lang w:val="en-GB"/>
        </w:rPr>
        <w:t xml:space="preserve"> Section 65(2)(b)(i) have been met. </w:t>
      </w:r>
    </w:p>
    <w:p w:rsidR="0037156C" w:rsidRPr="00D13550" w:rsidRDefault="0037156C" w:rsidP="0037156C">
      <w:pPr>
        <w:pStyle w:val="ListParagraph"/>
        <w:spacing w:line="480" w:lineRule="auto"/>
        <w:ind w:left="567"/>
        <w:contextualSpacing w:val="0"/>
        <w:jc w:val="both"/>
        <w:rPr>
          <w:rFonts w:ascii="Century Gothic" w:hAnsi="Century Gothic"/>
          <w:u w:val="none"/>
          <w:lang w:val="en-GB"/>
        </w:rPr>
      </w:pPr>
    </w:p>
    <w:p w:rsidR="00F5750E" w:rsidRPr="00D13550" w:rsidRDefault="00F5750E" w:rsidP="00F5750E">
      <w:pPr>
        <w:rPr>
          <w:rFonts w:ascii="Century Gothic" w:hAnsi="Century Gothic"/>
          <w:u w:val="none"/>
          <w:lang w:val="en-GB"/>
        </w:rPr>
      </w:pPr>
    </w:p>
    <w:p w:rsidR="00F5750E" w:rsidRPr="00D13550" w:rsidRDefault="00F5750E" w:rsidP="00F5750E">
      <w:pPr>
        <w:spacing w:line="360" w:lineRule="auto"/>
        <w:rPr>
          <w:rFonts w:ascii="Century Gothic" w:hAnsi="Century Gothic"/>
          <w:b/>
          <w:lang w:val="en-GB"/>
        </w:rPr>
      </w:pPr>
      <w:r w:rsidRPr="00D13550">
        <w:rPr>
          <w:rFonts w:ascii="Century Gothic" w:hAnsi="Century Gothic"/>
          <w:b/>
          <w:lang w:val="en-GB"/>
        </w:rPr>
        <w:t>THE RESOLUTION OF THE ISSUE IS REQUIRED TO DETERMINE THE FINAL OUTCOME OF THE ACTION</w:t>
      </w:r>
    </w:p>
    <w:p w:rsidR="00F5750E" w:rsidRPr="00D13550" w:rsidRDefault="00F5750E" w:rsidP="00F5750E">
      <w:pPr>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[35]</w:t>
      </w:r>
      <w:r w:rsidRPr="00D13550">
        <w:rPr>
          <w:rFonts w:ascii="Century Gothic" w:hAnsi="Arial Unicode MS"/>
          <w:u w:val="none"/>
          <w:lang w:val="en-GB"/>
        </w:rPr>
        <w:tab/>
      </w:r>
      <w:r w:rsidR="00F5750E" w:rsidRPr="00242BD1">
        <w:rPr>
          <w:rFonts w:ascii="Century Gothic" w:hAnsi="Century Gothic"/>
          <w:u w:val="none"/>
          <w:lang w:val="en-GB"/>
        </w:rPr>
        <w:t>The Spar Group argues that even if I find in favour of Vresthena under Section 65(2)(b)(i), the prerequisites of Section 65(2)(b)(ii) have not been satisfied as the Head Lease must be treated as being valid and enforceable and its terms enforced i.e the main application is directed at obtaining specific performance.</w:t>
      </w:r>
    </w:p>
    <w:p w:rsidR="006C59FB" w:rsidRPr="00D13550" w:rsidRDefault="006C59FB" w:rsidP="006C59FB">
      <w:pPr>
        <w:pStyle w:val="ListParagraph"/>
        <w:spacing w:line="480" w:lineRule="auto"/>
        <w:ind w:left="567"/>
        <w:contextualSpacing w:val="0"/>
        <w:jc w:val="both"/>
        <w:rPr>
          <w:rFonts w:ascii="Century Gothic" w:hAnsi="Century Gothic"/>
          <w:u w:val="none"/>
          <w:lang w:val="en-GB"/>
        </w:rPr>
      </w:pPr>
    </w:p>
    <w:p w:rsidR="006C59F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[36]</w:t>
      </w:r>
      <w:r w:rsidRPr="00D13550">
        <w:rPr>
          <w:rFonts w:ascii="Century Gothic" w:hAnsi="Arial Unicode MS"/>
          <w:u w:val="none"/>
          <w:lang w:val="en-GB"/>
        </w:rPr>
        <w:tab/>
      </w:r>
      <w:r w:rsidR="006C59FB" w:rsidRPr="00242BD1">
        <w:rPr>
          <w:rFonts w:ascii="Century Gothic" w:hAnsi="Century Gothic"/>
          <w:u w:val="none"/>
          <w:lang w:val="en-GB"/>
        </w:rPr>
        <w:t xml:space="preserve">It argues that even were the Tribunal to eventually determine that the exclusivity provision in the Head Lease </w:t>
      </w:r>
      <w:r w:rsidR="00F23095" w:rsidRPr="00242BD1">
        <w:rPr>
          <w:rFonts w:ascii="Century Gothic" w:hAnsi="Century Gothic"/>
          <w:u w:val="none"/>
          <w:lang w:val="en-GB"/>
        </w:rPr>
        <w:t>i</w:t>
      </w:r>
      <w:r w:rsidR="006C59FB" w:rsidRPr="00242BD1">
        <w:rPr>
          <w:rFonts w:ascii="Century Gothic" w:hAnsi="Century Gothic"/>
          <w:u w:val="none"/>
          <w:lang w:val="en-GB"/>
        </w:rPr>
        <w:t xml:space="preserve">s anti-competitive, the Tribunal has no authority to interfere with the actual agreement and cannot declare it (or any part of it) to be void unless the agreement or relevant provisions are an integral part of the prohibited practice, as is clearly articulated in </w:t>
      </w:r>
      <w:r w:rsidR="006C59FB" w:rsidRPr="00242BD1">
        <w:rPr>
          <w:rFonts w:ascii="Century Gothic" w:hAnsi="Century Gothic"/>
          <w:b/>
          <w:u w:val="none"/>
          <w:lang w:val="en-GB"/>
        </w:rPr>
        <w:t>Astral Operations Ltd v Nambitha Distributors (Pty) Ltd</w:t>
      </w:r>
      <w:r w:rsidR="006C59FB" w:rsidRPr="00D13550">
        <w:rPr>
          <w:rStyle w:val="FootnoteReference"/>
          <w:rFonts w:ascii="Century Gothic" w:hAnsi="Century Gothic"/>
          <w:u w:val="none"/>
          <w:lang w:val="en-GB"/>
        </w:rPr>
        <w:footnoteReference w:id="14"/>
      </w:r>
      <w:r w:rsidR="006C59FB" w:rsidRPr="00242BD1">
        <w:rPr>
          <w:rFonts w:ascii="Century Gothic" w:hAnsi="Century Gothic"/>
          <w:u w:val="none"/>
          <w:lang w:val="en-GB"/>
        </w:rPr>
        <w:t xml:space="preserve"> </w:t>
      </w:r>
      <w:r w:rsidR="0037156C" w:rsidRPr="00242BD1">
        <w:rPr>
          <w:rFonts w:ascii="Century Gothic" w:hAnsi="Century Gothic"/>
          <w:u w:val="none"/>
          <w:lang w:val="en-GB"/>
        </w:rPr>
        <w:t xml:space="preserve">where </w:t>
      </w:r>
      <w:r w:rsidR="006C59FB" w:rsidRPr="00242BD1">
        <w:rPr>
          <w:rFonts w:ascii="Century Gothic" w:hAnsi="Century Gothic"/>
          <w:u w:val="none"/>
          <w:lang w:val="en-GB"/>
        </w:rPr>
        <w:t>the plaintiff sued for goods sold and delivered pursuant to a written contract. In a counterclaim defendant alleged that plaintiff had engaged in practices prohibited under the Competition Act. In deci</w:t>
      </w:r>
      <w:r w:rsidR="00F23095" w:rsidRPr="00242BD1">
        <w:rPr>
          <w:rFonts w:ascii="Century Gothic" w:hAnsi="Century Gothic"/>
          <w:u w:val="none"/>
          <w:lang w:val="en-GB"/>
        </w:rPr>
        <w:t>din</w:t>
      </w:r>
      <w:r w:rsidR="00155B08" w:rsidRPr="00242BD1">
        <w:rPr>
          <w:rFonts w:ascii="Century Gothic" w:hAnsi="Century Gothic"/>
          <w:u w:val="none"/>
          <w:lang w:val="en-GB"/>
        </w:rPr>
        <w:t>g an exception on this issue, Go</w:t>
      </w:r>
      <w:r w:rsidR="00F23095" w:rsidRPr="00242BD1">
        <w:rPr>
          <w:rFonts w:ascii="Century Gothic" w:hAnsi="Century Gothic"/>
          <w:u w:val="none"/>
          <w:lang w:val="en-GB"/>
        </w:rPr>
        <w:t>rven J (as he then was) stated:</w:t>
      </w:r>
    </w:p>
    <w:p w:rsidR="006C59FB" w:rsidRPr="00AD0D54" w:rsidRDefault="00F23095" w:rsidP="00AD0D54">
      <w:pPr>
        <w:pStyle w:val="ListParagraph"/>
        <w:spacing w:line="360" w:lineRule="auto"/>
        <w:jc w:val="both"/>
        <w:rPr>
          <w:rFonts w:ascii="Century Gothic" w:hAnsi="Century Gothic"/>
          <w:i/>
          <w:u w:val="none"/>
          <w:lang w:val="en-GB"/>
        </w:rPr>
      </w:pPr>
      <w:r w:rsidRPr="00AD0D54">
        <w:rPr>
          <w:rFonts w:ascii="Century Gothic" w:hAnsi="Century Gothic"/>
          <w:i/>
          <w:u w:val="none"/>
          <w:lang w:val="en-GB"/>
        </w:rPr>
        <w:t>“</w:t>
      </w:r>
      <w:r w:rsidR="002C7846" w:rsidRPr="00AD0D54">
        <w:rPr>
          <w:rFonts w:ascii="Century Gothic" w:hAnsi="Century Gothic"/>
          <w:i/>
          <w:u w:val="none"/>
          <w:lang w:val="en-GB"/>
        </w:rPr>
        <w:t xml:space="preserve">‘Is the Tribunal empowered to declare the agreement void by virtue of the provisions of section 58(1)(a)(vi)? In Mike’s Chicken (Pty) Ltd and Others v Astral Foods Limited </w:t>
      </w:r>
      <w:r w:rsidR="00B535F6" w:rsidRPr="00AD0D54">
        <w:rPr>
          <w:rFonts w:ascii="Century Gothic" w:hAnsi="Century Gothic"/>
          <w:i/>
          <w:u w:val="none"/>
          <w:lang w:val="en-GB"/>
        </w:rPr>
        <w:t>and another, the CAC he</w:t>
      </w:r>
      <w:r w:rsidR="002C7846" w:rsidRPr="00AD0D54">
        <w:rPr>
          <w:rFonts w:ascii="Century Gothic" w:hAnsi="Century Gothic"/>
          <w:i/>
          <w:u w:val="none"/>
          <w:lang w:val="en-GB"/>
        </w:rPr>
        <w:t>ld as follows:</w:t>
      </w:r>
    </w:p>
    <w:p w:rsidR="002C7846" w:rsidRPr="00AD0D54" w:rsidRDefault="002C7846" w:rsidP="00AD0D54">
      <w:pPr>
        <w:pStyle w:val="ListParagraph"/>
        <w:spacing w:line="360" w:lineRule="auto"/>
        <w:jc w:val="both"/>
        <w:rPr>
          <w:rFonts w:ascii="Century Gothic" w:hAnsi="Century Gothic"/>
          <w:i/>
          <w:u w:val="none"/>
          <w:lang w:val="en-GB"/>
        </w:rPr>
      </w:pPr>
      <w:r w:rsidRPr="00AD0D54">
        <w:rPr>
          <w:rFonts w:ascii="Century Gothic" w:hAnsi="Century Gothic"/>
          <w:i/>
          <w:u w:val="none"/>
          <w:lang w:val="en-GB"/>
        </w:rPr>
        <w:t xml:space="preserve">“The only power that the Tribunal has to ‘void’ </w:t>
      </w:r>
      <w:r w:rsidR="00B03170" w:rsidRPr="00AD0D54">
        <w:rPr>
          <w:rFonts w:ascii="Century Gothic" w:hAnsi="Century Gothic"/>
          <w:i/>
          <w:u w:val="none"/>
          <w:lang w:val="en-GB"/>
        </w:rPr>
        <w:t xml:space="preserve">contracts is derived from section 58(1)(a)(vi) of the Ac, which permits the Tribunal to </w:t>
      </w:r>
      <w:r w:rsidR="00F23095" w:rsidRPr="00AD0D54">
        <w:rPr>
          <w:rFonts w:ascii="Century Gothic" w:hAnsi="Century Gothic"/>
          <w:i/>
          <w:u w:val="none"/>
          <w:lang w:val="en-GB"/>
        </w:rPr>
        <w:t>make</w:t>
      </w:r>
      <w:r w:rsidR="00B03170" w:rsidRPr="00AD0D54">
        <w:rPr>
          <w:rFonts w:ascii="Century Gothic" w:hAnsi="Century Gothic"/>
          <w:i/>
          <w:u w:val="none"/>
          <w:lang w:val="en-GB"/>
        </w:rPr>
        <w:t xml:space="preserve"> an appropriate order in relation to a prohibited practice, including ‘declaring the whole or any part of an agreement to </w:t>
      </w:r>
      <w:r w:rsidR="00F23095" w:rsidRPr="00AD0D54">
        <w:rPr>
          <w:rFonts w:ascii="Century Gothic" w:hAnsi="Century Gothic"/>
          <w:i/>
          <w:u w:val="none"/>
          <w:lang w:val="en-GB"/>
        </w:rPr>
        <w:t xml:space="preserve">be </w:t>
      </w:r>
      <w:r w:rsidR="00B03170" w:rsidRPr="00AD0D54">
        <w:rPr>
          <w:rFonts w:ascii="Century Gothic" w:hAnsi="Century Gothic"/>
          <w:i/>
          <w:u w:val="none"/>
          <w:lang w:val="en-GB"/>
        </w:rPr>
        <w:t>void.’ The Tribunal can thus only ‘void’ a contract if it relates to a practice prohibited in terms of Chapter 2 of the Act (which concerns restrictive practices and the abuse of a dominant position.) A contract that does not offend the Act (and more particularly Chapter 2 thereof) is beyond the scope of the Tribunal to terminate.”</w:t>
      </w:r>
    </w:p>
    <w:p w:rsidR="00B03170" w:rsidRPr="00AD0D54" w:rsidRDefault="00B03170" w:rsidP="00AD0D54">
      <w:pPr>
        <w:pStyle w:val="ListParagraph"/>
        <w:spacing w:line="360" w:lineRule="auto"/>
        <w:jc w:val="both"/>
        <w:rPr>
          <w:rFonts w:ascii="Century Gothic" w:hAnsi="Century Gothic"/>
          <w:i/>
          <w:u w:val="none"/>
          <w:lang w:val="en-GB"/>
        </w:rPr>
      </w:pPr>
    </w:p>
    <w:p w:rsidR="00B03170" w:rsidRPr="00AD0D54" w:rsidRDefault="00B03170" w:rsidP="00AD0D54">
      <w:pPr>
        <w:pStyle w:val="ListParagraph"/>
        <w:spacing w:line="360" w:lineRule="auto"/>
        <w:jc w:val="both"/>
        <w:rPr>
          <w:rFonts w:ascii="Century Gothic" w:hAnsi="Century Gothic"/>
          <w:i/>
          <w:u w:val="none"/>
          <w:lang w:val="en-GB"/>
        </w:rPr>
      </w:pPr>
      <w:r w:rsidRPr="00AD0D54">
        <w:rPr>
          <w:rFonts w:ascii="Century Gothic" w:hAnsi="Century Gothic"/>
          <w:i/>
          <w:u w:val="none"/>
          <w:lang w:val="en-GB"/>
        </w:rPr>
        <w:t>The last sentence may perhaps</w:t>
      </w:r>
      <w:r w:rsidR="00F23095" w:rsidRPr="00AD0D54">
        <w:rPr>
          <w:rFonts w:ascii="Century Gothic" w:hAnsi="Century Gothic"/>
          <w:i/>
          <w:u w:val="none"/>
          <w:lang w:val="en-GB"/>
        </w:rPr>
        <w:t xml:space="preserve"> be too broadly stated if it is </w:t>
      </w:r>
      <w:r w:rsidRPr="00AD0D54">
        <w:rPr>
          <w:rFonts w:ascii="Century Gothic" w:hAnsi="Century Gothic"/>
          <w:i/>
          <w:u w:val="none"/>
          <w:lang w:val="en-GB"/>
        </w:rPr>
        <w:t>understood to mean th</w:t>
      </w:r>
      <w:r w:rsidR="003459C4" w:rsidRPr="00AD0D54">
        <w:rPr>
          <w:rFonts w:ascii="Century Gothic" w:hAnsi="Century Gothic"/>
          <w:i/>
          <w:u w:val="none"/>
          <w:lang w:val="en-GB"/>
        </w:rPr>
        <w:t>at a c</w:t>
      </w:r>
      <w:r w:rsidRPr="00AD0D54">
        <w:rPr>
          <w:rFonts w:ascii="Century Gothic" w:hAnsi="Century Gothic"/>
          <w:i/>
          <w:u w:val="none"/>
          <w:lang w:val="en-GB"/>
        </w:rPr>
        <w:t xml:space="preserve">ontract must itself amount to a prohibited practice or </w:t>
      </w:r>
      <w:r w:rsidRPr="00AD0D54">
        <w:rPr>
          <w:rFonts w:ascii="Century Gothic" w:hAnsi="Century Gothic"/>
          <w:i/>
          <w:u w:val="none"/>
          <w:lang w:val="en-GB"/>
        </w:rPr>
        <w:lastRenderedPageBreak/>
        <w:t>have terms which do so. If, on the other hand, all that it means is that the contract or its terms must not have any relationship to a prohibited practice, it does not really assist in dealing with the nature and extent of that relationship. A helpful approach to this issue is articulated in the following dictum of the Tribunal with whose reasoning I respectfully agree:</w:t>
      </w:r>
    </w:p>
    <w:p w:rsidR="00B03170" w:rsidRPr="00AD0D54" w:rsidRDefault="00B03170" w:rsidP="00AD0D54">
      <w:pPr>
        <w:pStyle w:val="ListParagraph"/>
        <w:spacing w:line="360" w:lineRule="auto"/>
        <w:jc w:val="both"/>
        <w:rPr>
          <w:rFonts w:ascii="Century Gothic" w:hAnsi="Century Gothic"/>
          <w:i/>
          <w:u w:val="none"/>
          <w:lang w:val="en-GB"/>
        </w:rPr>
      </w:pPr>
      <w:r w:rsidRPr="00155B08">
        <w:rPr>
          <w:rFonts w:ascii="Century Gothic" w:hAnsi="Century Gothic"/>
          <w:i/>
          <w:sz w:val="22"/>
          <w:szCs w:val="22"/>
          <w:u w:val="none"/>
          <w:lang w:val="en-GB"/>
        </w:rPr>
        <w:t>“It is significant that the power mentioned in section58(1)(a)(vi) to declare an agreement or part thereof void is not a power in the abstract but is constrained b</w:t>
      </w:r>
      <w:r w:rsidR="00F23095" w:rsidRPr="00155B08">
        <w:rPr>
          <w:rFonts w:ascii="Century Gothic" w:hAnsi="Century Gothic"/>
          <w:i/>
          <w:sz w:val="22"/>
          <w:szCs w:val="22"/>
          <w:u w:val="none"/>
          <w:lang w:val="en-GB"/>
        </w:rPr>
        <w:t>y</w:t>
      </w:r>
      <w:r w:rsidRPr="00155B08">
        <w:rPr>
          <w:rFonts w:ascii="Century Gothic" w:hAnsi="Century Gothic"/>
          <w:i/>
          <w:sz w:val="22"/>
          <w:szCs w:val="22"/>
          <w:u w:val="none"/>
          <w:lang w:val="en-GB"/>
        </w:rPr>
        <w:t xml:space="preserve"> being a power ‘in relation to a prohibited practice’. This means that it is not open to the Tribunal to declare an agreement or part thereof to be void unless the agreement or relevant provision(s) thereof is an integral element of the prohibited practice. Often there will be little more than the conclusion of an agreement and its implementation to constitute the prohibited practice, and it then in most cases will be struck down by an order under one of the sections mentioned above</w:t>
      </w:r>
      <w:r w:rsidR="003459C4" w:rsidRPr="00155B08">
        <w:rPr>
          <w:rFonts w:ascii="Century Gothic" w:hAnsi="Century Gothic"/>
          <w:i/>
          <w:sz w:val="22"/>
          <w:szCs w:val="22"/>
          <w:u w:val="none"/>
          <w:lang w:val="en-GB"/>
        </w:rPr>
        <w:t xml:space="preserve"> </w:t>
      </w:r>
      <w:r w:rsidRPr="00155B08">
        <w:rPr>
          <w:rFonts w:ascii="Century Gothic" w:hAnsi="Century Gothic"/>
          <w:i/>
          <w:sz w:val="22"/>
          <w:szCs w:val="22"/>
          <w:u w:val="none"/>
          <w:lang w:val="en-GB"/>
        </w:rPr>
        <w:t>(ie sections 4, 5, 8 and 9). But it is conceivable that an agreement</w:t>
      </w:r>
      <w:r w:rsidR="003459C4" w:rsidRPr="00155B08">
        <w:rPr>
          <w:rFonts w:ascii="Century Gothic" w:hAnsi="Century Gothic"/>
          <w:i/>
          <w:sz w:val="22"/>
          <w:szCs w:val="22"/>
          <w:u w:val="none"/>
          <w:lang w:val="en-GB"/>
        </w:rPr>
        <w:t xml:space="preserve"> or part thereof may have a secondary or ancillary role in the broader scheme of a prohibited practice. An example of the latter would be an agreement between parties who engage in a prohibited practice to conceal or destroy evidence of the practice, or an agreement which seeks to extinguish a fir</w:t>
      </w:r>
      <w:r w:rsidR="00FE2EED" w:rsidRPr="00155B08">
        <w:rPr>
          <w:rFonts w:ascii="Century Gothic" w:hAnsi="Century Gothic"/>
          <w:i/>
          <w:sz w:val="22"/>
          <w:szCs w:val="22"/>
          <w:u w:val="none"/>
          <w:lang w:val="en-GB"/>
        </w:rPr>
        <w:t>m’s rights of access to the for</w:t>
      </w:r>
      <w:r w:rsidR="003459C4" w:rsidRPr="00155B08">
        <w:rPr>
          <w:rFonts w:ascii="Century Gothic" w:hAnsi="Century Gothic"/>
          <w:i/>
          <w:sz w:val="22"/>
          <w:szCs w:val="22"/>
          <w:u w:val="none"/>
          <w:lang w:val="en-GB"/>
        </w:rPr>
        <w:t>a in which competition disputes are resolved</w:t>
      </w:r>
      <w:r w:rsidR="003459C4" w:rsidRPr="00AD0D54">
        <w:rPr>
          <w:rFonts w:ascii="Century Gothic" w:hAnsi="Century Gothic"/>
          <w:i/>
          <w:u w:val="none"/>
          <w:lang w:val="en-GB"/>
        </w:rPr>
        <w:t>.”</w:t>
      </w:r>
    </w:p>
    <w:p w:rsidR="00B726DB" w:rsidRPr="00D13550" w:rsidRDefault="00B726DB" w:rsidP="006C59FB">
      <w:pPr>
        <w:pStyle w:val="ListParagraph"/>
        <w:rPr>
          <w:rFonts w:ascii="Century Gothic" w:hAnsi="Century Gothic"/>
          <w:lang w:val="en-GB"/>
        </w:rPr>
      </w:pPr>
    </w:p>
    <w:p w:rsidR="002B4950" w:rsidRPr="00D13550" w:rsidRDefault="002B4950" w:rsidP="006C59FB">
      <w:pPr>
        <w:pStyle w:val="ListParagraph"/>
        <w:rPr>
          <w:rFonts w:ascii="Century Gothic" w:hAnsi="Century Gothic"/>
          <w:lang w:val="en-GB"/>
        </w:rPr>
      </w:pPr>
    </w:p>
    <w:p w:rsidR="002B4950" w:rsidRPr="00D13550" w:rsidRDefault="002B4950" w:rsidP="006C59FB">
      <w:pPr>
        <w:pStyle w:val="ListParagraph"/>
        <w:rPr>
          <w:rFonts w:ascii="Century Gothic" w:hAnsi="Century Gothic"/>
          <w:lang w:val="en-GB"/>
        </w:rPr>
      </w:pPr>
    </w:p>
    <w:p w:rsidR="006C59F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[37]</w:t>
      </w:r>
      <w:r w:rsidRPr="00D13550">
        <w:rPr>
          <w:rFonts w:ascii="Century Gothic" w:hAnsi="Arial Unicode MS"/>
          <w:u w:val="none"/>
          <w:lang w:val="en-GB"/>
        </w:rPr>
        <w:tab/>
      </w:r>
      <w:r w:rsidR="002B4950" w:rsidRPr="00242BD1">
        <w:rPr>
          <w:rFonts w:ascii="Century Gothic" w:hAnsi="Century Gothic"/>
          <w:u w:val="none"/>
          <w:lang w:val="en-GB"/>
        </w:rPr>
        <w:t>It is the Spar Group’s argument that the exclusivity clause is not an integral part of the Head Lease or</w:t>
      </w:r>
      <w:r w:rsidR="004E6A51" w:rsidRPr="00242BD1">
        <w:rPr>
          <w:rFonts w:ascii="Century Gothic" w:hAnsi="Century Gothic"/>
          <w:u w:val="none"/>
          <w:lang w:val="en-GB"/>
        </w:rPr>
        <w:t>,</w:t>
      </w:r>
      <w:r w:rsidR="002B4950" w:rsidRPr="00242BD1">
        <w:rPr>
          <w:rFonts w:ascii="Century Gothic" w:hAnsi="Century Gothic"/>
          <w:u w:val="none"/>
          <w:lang w:val="en-GB"/>
        </w:rPr>
        <w:t xml:space="preserve"> for that matter, even the sub-lease and it argues that, at best for Vresthena, the Tribunal would only declare the exclusivity provision void which would have the effect of severing that provision from the remainder if t</w:t>
      </w:r>
      <w:r w:rsidR="00155B08" w:rsidRPr="00242BD1">
        <w:rPr>
          <w:rFonts w:ascii="Century Gothic" w:hAnsi="Century Gothic"/>
          <w:u w:val="none"/>
          <w:lang w:val="en-GB"/>
        </w:rPr>
        <w:t>he Lease which would remain in</w:t>
      </w:r>
      <w:r w:rsidR="00570612" w:rsidRPr="00242BD1">
        <w:rPr>
          <w:rFonts w:ascii="Century Gothic" w:hAnsi="Century Gothic"/>
          <w:u w:val="none"/>
          <w:lang w:val="en-GB"/>
        </w:rPr>
        <w:t>t</w:t>
      </w:r>
      <w:r w:rsidR="002B4950" w:rsidRPr="00242BD1">
        <w:rPr>
          <w:rFonts w:ascii="Century Gothic" w:hAnsi="Century Gothic"/>
          <w:u w:val="none"/>
          <w:lang w:val="en-GB"/>
        </w:rPr>
        <w:t xml:space="preserve">act. </w:t>
      </w:r>
    </w:p>
    <w:p w:rsidR="008A734B" w:rsidRPr="00D13550" w:rsidRDefault="008A734B" w:rsidP="008A734B">
      <w:pPr>
        <w:pStyle w:val="ListParagraph"/>
        <w:rPr>
          <w:rFonts w:ascii="Century Gothic" w:hAnsi="Century Gothic"/>
          <w:u w:val="none"/>
          <w:lang w:val="en-GB"/>
        </w:rPr>
      </w:pPr>
    </w:p>
    <w:p w:rsidR="002B4950" w:rsidRPr="00D13550" w:rsidRDefault="002B4950"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lastRenderedPageBreak/>
        <w:t>[38]</w:t>
      </w:r>
      <w:r w:rsidRPr="00D13550">
        <w:rPr>
          <w:rFonts w:ascii="Century Gothic" w:hAnsi="Arial Unicode MS"/>
          <w:u w:val="none"/>
          <w:lang w:val="en-GB"/>
        </w:rPr>
        <w:tab/>
      </w:r>
      <w:r w:rsidR="002B4950" w:rsidRPr="00242BD1">
        <w:rPr>
          <w:rFonts w:ascii="Century Gothic" w:hAnsi="Century Gothic"/>
          <w:u w:val="none"/>
          <w:lang w:val="en-GB"/>
        </w:rPr>
        <w:t xml:space="preserve">But the point here is </w:t>
      </w:r>
      <w:r w:rsidR="001B6EE9" w:rsidRPr="00242BD1">
        <w:rPr>
          <w:rFonts w:ascii="Century Gothic" w:hAnsi="Century Gothic"/>
          <w:u w:val="none"/>
          <w:lang w:val="en-GB"/>
        </w:rPr>
        <w:t xml:space="preserve">that the Spar Group does not ask for severance of any exclusivity clause – it seeks relief which would see the entirety of the agreement on its prevailing terms and conditions renewed until 31 May 2024. Thus, any order which a high court may grant in the main application may well fall foul to the Tribunal’s decision and the putting the proverbial cart before the horse in the matter (in my view) makes no sense. We are not dealing with a situation akin to the one in </w:t>
      </w:r>
      <w:r w:rsidR="001B6EE9" w:rsidRPr="00242BD1">
        <w:rPr>
          <w:rFonts w:ascii="Century Gothic" w:hAnsi="Century Gothic"/>
          <w:b/>
          <w:u w:val="none"/>
          <w:lang w:val="en-GB"/>
        </w:rPr>
        <w:t>Platinum Holdings</w:t>
      </w:r>
      <w:r w:rsidR="001B6EE9" w:rsidRPr="00242BD1">
        <w:rPr>
          <w:rFonts w:ascii="Century Gothic" w:hAnsi="Century Gothic"/>
          <w:u w:val="none"/>
          <w:lang w:val="en-GB"/>
        </w:rPr>
        <w:t xml:space="preserve"> where it was found that the final outcome of the action, and the relief, could only be determined by the high court</w:t>
      </w:r>
      <w:r w:rsidR="005A1B9F" w:rsidRPr="00242BD1">
        <w:rPr>
          <w:rFonts w:ascii="Century Gothic" w:hAnsi="Century Gothic"/>
          <w:u w:val="none"/>
          <w:lang w:val="en-GB"/>
        </w:rPr>
        <w:t xml:space="preserve">. In my view, in </w:t>
      </w:r>
      <w:r w:rsidR="005A1B9F" w:rsidRPr="00242BD1">
        <w:rPr>
          <w:rFonts w:ascii="Century Gothic" w:hAnsi="Century Gothic"/>
          <w:i/>
          <w:u w:val="none"/>
          <w:lang w:val="en-GB"/>
        </w:rPr>
        <w:t>casu</w:t>
      </w:r>
      <w:r w:rsidR="005A1B9F" w:rsidRPr="00242BD1">
        <w:rPr>
          <w:rFonts w:ascii="Century Gothic" w:hAnsi="Century Gothic"/>
          <w:u w:val="none"/>
          <w:lang w:val="en-GB"/>
        </w:rPr>
        <w:t xml:space="preserve">, if the Tribunal determines the clause to be anti-competitive, this is something that </w:t>
      </w:r>
      <w:r w:rsidR="008F2DCB" w:rsidRPr="00242BD1">
        <w:rPr>
          <w:rFonts w:ascii="Century Gothic" w:hAnsi="Century Gothic"/>
          <w:u w:val="none"/>
          <w:lang w:val="en-GB"/>
        </w:rPr>
        <w:t>t</w:t>
      </w:r>
      <w:r w:rsidR="005A1B9F" w:rsidRPr="00242BD1">
        <w:rPr>
          <w:rFonts w:ascii="Century Gothic" w:hAnsi="Century Gothic"/>
          <w:u w:val="none"/>
          <w:lang w:val="en-GB"/>
        </w:rPr>
        <w:t>he court will have to consider in deciding whether or not to grant the relief in the main application.</w:t>
      </w:r>
    </w:p>
    <w:p w:rsidR="008A734B" w:rsidRPr="00D13550" w:rsidRDefault="008A734B" w:rsidP="008A734B">
      <w:pPr>
        <w:pStyle w:val="ListParagraph"/>
        <w:rPr>
          <w:rFonts w:ascii="Century Gothic" w:hAnsi="Century Gothic"/>
          <w:u w:val="none"/>
          <w:lang w:val="en-GB"/>
        </w:rPr>
      </w:pPr>
    </w:p>
    <w:p w:rsidR="005A1B9F" w:rsidRPr="00D13550" w:rsidRDefault="005A1B9F"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Pr>
          <w:rFonts w:ascii="Century Gothic" w:hAnsi="Arial Unicode MS"/>
          <w:u w:val="none"/>
          <w:lang w:val="en-GB"/>
        </w:rPr>
        <w:t>[39]</w:t>
      </w:r>
      <w:r>
        <w:rPr>
          <w:rFonts w:ascii="Century Gothic" w:hAnsi="Arial Unicode MS"/>
          <w:u w:val="none"/>
          <w:lang w:val="en-GB"/>
        </w:rPr>
        <w:tab/>
      </w:r>
      <w:r w:rsidR="005A1B9F" w:rsidRPr="00242BD1">
        <w:rPr>
          <w:rFonts w:ascii="Century Gothic" w:hAnsi="Century Gothic"/>
          <w:u w:val="none"/>
          <w:lang w:val="en-GB"/>
        </w:rPr>
        <w:t>Thus I am of the view that the requirements set in section 65(2)(b)</w:t>
      </w:r>
      <w:r w:rsidR="009C0AE8" w:rsidRPr="00242BD1">
        <w:rPr>
          <w:rFonts w:ascii="Century Gothic" w:hAnsi="Century Gothic"/>
          <w:u w:val="none"/>
          <w:lang w:val="en-GB"/>
        </w:rPr>
        <w:t>(ii)</w:t>
      </w:r>
      <w:r w:rsidR="005A1B9F" w:rsidRPr="00242BD1">
        <w:rPr>
          <w:rFonts w:ascii="Century Gothic" w:hAnsi="Century Gothic"/>
          <w:u w:val="none"/>
          <w:lang w:val="en-GB"/>
        </w:rPr>
        <w:t xml:space="preserve"> have been met.</w:t>
      </w:r>
    </w:p>
    <w:p w:rsidR="00583DC5" w:rsidRPr="00D13550" w:rsidRDefault="00583DC5" w:rsidP="00583DC5">
      <w:pPr>
        <w:pStyle w:val="ListParagraph"/>
        <w:spacing w:line="480" w:lineRule="auto"/>
        <w:ind w:left="567"/>
        <w:contextualSpacing w:val="0"/>
        <w:jc w:val="both"/>
        <w:rPr>
          <w:rFonts w:ascii="Century Gothic" w:hAnsi="Century Gothic"/>
          <w:u w:val="none"/>
          <w:lang w:val="en-GB"/>
        </w:rPr>
      </w:pPr>
    </w:p>
    <w:p w:rsidR="005A1B9F" w:rsidRPr="00D13550" w:rsidRDefault="005A1B9F" w:rsidP="005A1B9F">
      <w:pPr>
        <w:rPr>
          <w:rFonts w:ascii="Century Gothic" w:hAnsi="Century Gothic"/>
          <w:u w:val="none"/>
          <w:lang w:val="en-GB"/>
        </w:rPr>
      </w:pPr>
    </w:p>
    <w:p w:rsidR="005A1B9F" w:rsidRDefault="005A1B9F" w:rsidP="005A1B9F">
      <w:pPr>
        <w:rPr>
          <w:rFonts w:ascii="Century Gothic" w:hAnsi="Century Gothic"/>
          <w:b/>
          <w:lang w:val="en-GB"/>
        </w:rPr>
      </w:pPr>
      <w:r w:rsidRPr="00D13550">
        <w:rPr>
          <w:rFonts w:ascii="Century Gothic" w:hAnsi="Century Gothic"/>
          <w:b/>
          <w:lang w:val="en-GB"/>
        </w:rPr>
        <w:t>THE REVIEW APPLICATION</w:t>
      </w:r>
    </w:p>
    <w:p w:rsidR="0008130F" w:rsidRPr="00D13550" w:rsidRDefault="0008130F" w:rsidP="005A1B9F">
      <w:pPr>
        <w:rPr>
          <w:rFonts w:ascii="Century Gothic" w:hAnsi="Century Gothic"/>
          <w:b/>
          <w:lang w:val="en-GB"/>
        </w:rPr>
      </w:pPr>
    </w:p>
    <w:p w:rsidR="005A1B9F" w:rsidRPr="00D13550" w:rsidRDefault="005A1B9F" w:rsidP="005A1B9F">
      <w:pPr>
        <w:rPr>
          <w:rFonts w:ascii="Century Gothic" w:hAnsi="Century Gothic"/>
          <w:b/>
          <w:lang w:val="en-GB"/>
        </w:rPr>
      </w:pPr>
    </w:p>
    <w:p w:rsidR="00AA0CB8"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[40]</w:t>
      </w:r>
      <w:r w:rsidRPr="00D13550">
        <w:rPr>
          <w:rFonts w:ascii="Century Gothic" w:hAnsi="Arial Unicode MS"/>
          <w:u w:val="none"/>
          <w:lang w:val="en-GB"/>
        </w:rPr>
        <w:tab/>
      </w:r>
      <w:r w:rsidR="00AA0CB8" w:rsidRPr="00242BD1">
        <w:rPr>
          <w:rFonts w:ascii="Century Gothic" w:hAnsi="Century Gothic"/>
          <w:u w:val="none"/>
          <w:lang w:val="en-GB"/>
        </w:rPr>
        <w:t>In the review, the Spar Group accepts that the Commission’s recommendations constitute remedial action and are binding on all parties until set aside it is for this reason that the review i</w:t>
      </w:r>
      <w:r w:rsidR="00583DC5" w:rsidRPr="00242BD1">
        <w:rPr>
          <w:rFonts w:ascii="Century Gothic" w:hAnsi="Century Gothic"/>
          <w:u w:val="none"/>
          <w:lang w:val="en-GB"/>
        </w:rPr>
        <w:t>s</w:t>
      </w:r>
      <w:r w:rsidR="00AA0CB8" w:rsidRPr="00242BD1">
        <w:rPr>
          <w:rFonts w:ascii="Century Gothic" w:hAnsi="Century Gothic"/>
          <w:u w:val="none"/>
          <w:lang w:val="en-GB"/>
        </w:rPr>
        <w:t xml:space="preserve"> brought.</w:t>
      </w:r>
      <w:r w:rsidR="00AA0CB8" w:rsidRPr="00D13550">
        <w:rPr>
          <w:rStyle w:val="FootnoteReference"/>
          <w:rFonts w:ascii="Century Gothic" w:hAnsi="Century Gothic"/>
          <w:u w:val="none"/>
          <w:lang w:val="en-GB"/>
        </w:rPr>
        <w:footnoteReference w:id="15"/>
      </w:r>
    </w:p>
    <w:p w:rsidR="003B7285" w:rsidRPr="00D13550" w:rsidRDefault="003B7285" w:rsidP="003B7285">
      <w:pPr>
        <w:pStyle w:val="ListParagraph"/>
        <w:spacing w:line="480" w:lineRule="auto"/>
        <w:ind w:left="567"/>
        <w:contextualSpacing w:val="0"/>
        <w:jc w:val="bot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lastRenderedPageBreak/>
        <w:t>[41]</w:t>
      </w:r>
      <w:r w:rsidRPr="00D13550">
        <w:rPr>
          <w:rFonts w:ascii="Century Gothic" w:hAnsi="Arial Unicode MS"/>
          <w:u w:val="none"/>
          <w:lang w:val="en-GB"/>
        </w:rPr>
        <w:tab/>
      </w:r>
      <w:r w:rsidR="00AA0CB8" w:rsidRPr="00242BD1">
        <w:rPr>
          <w:rFonts w:ascii="Century Gothic" w:hAnsi="Century Gothic"/>
          <w:u w:val="none"/>
          <w:lang w:val="en-GB"/>
        </w:rPr>
        <w:t>I</w:t>
      </w:r>
      <w:r w:rsidR="005A1B9F" w:rsidRPr="00242BD1">
        <w:rPr>
          <w:rFonts w:ascii="Century Gothic" w:hAnsi="Century Gothic"/>
          <w:u w:val="none"/>
          <w:lang w:val="en-GB"/>
        </w:rPr>
        <w:t xml:space="preserve"> am not called upon, nor do</w:t>
      </w:r>
      <w:r w:rsidR="00AA0CB8" w:rsidRPr="00242BD1">
        <w:rPr>
          <w:rFonts w:ascii="Century Gothic" w:hAnsi="Century Gothic"/>
          <w:u w:val="none"/>
          <w:lang w:val="en-GB"/>
        </w:rPr>
        <w:t xml:space="preserve"> I consider it appropriate</w:t>
      </w:r>
      <w:r w:rsidR="00583DC5" w:rsidRPr="00242BD1">
        <w:rPr>
          <w:rFonts w:ascii="Century Gothic" w:hAnsi="Century Gothic"/>
          <w:u w:val="none"/>
          <w:lang w:val="en-GB"/>
        </w:rPr>
        <w:t>,</w:t>
      </w:r>
      <w:r w:rsidR="00AA0CB8" w:rsidRPr="00242BD1">
        <w:rPr>
          <w:rFonts w:ascii="Century Gothic" w:hAnsi="Century Gothic"/>
          <w:u w:val="none"/>
          <w:lang w:val="en-GB"/>
        </w:rPr>
        <w:t xml:space="preserve"> t</w:t>
      </w:r>
      <w:r w:rsidR="00D37F11" w:rsidRPr="00242BD1">
        <w:rPr>
          <w:rFonts w:ascii="Century Gothic" w:hAnsi="Century Gothic"/>
          <w:u w:val="none"/>
          <w:lang w:val="en-GB"/>
        </w:rPr>
        <w:t xml:space="preserve">o make any comment or finding as regards </w:t>
      </w:r>
      <w:r w:rsidR="00583DC5" w:rsidRPr="00242BD1">
        <w:rPr>
          <w:rFonts w:ascii="Century Gothic" w:hAnsi="Century Gothic"/>
          <w:u w:val="none"/>
          <w:lang w:val="en-GB"/>
        </w:rPr>
        <w:t xml:space="preserve">that application. Suffice it to say that </w:t>
      </w:r>
      <w:r w:rsidR="00D37F11" w:rsidRPr="00242BD1">
        <w:rPr>
          <w:rFonts w:ascii="Century Gothic" w:hAnsi="Century Gothic"/>
          <w:u w:val="none"/>
          <w:lang w:val="en-GB"/>
        </w:rPr>
        <w:t>t</w:t>
      </w:r>
      <w:r w:rsidR="003B7285" w:rsidRPr="00242BD1">
        <w:rPr>
          <w:rFonts w:ascii="Century Gothic" w:hAnsi="Century Gothic"/>
          <w:u w:val="none"/>
          <w:lang w:val="en-GB"/>
        </w:rPr>
        <w:t>he premise</w:t>
      </w:r>
      <w:r w:rsidR="00583DC5" w:rsidRPr="00242BD1">
        <w:rPr>
          <w:rFonts w:ascii="Century Gothic" w:hAnsi="Century Gothic"/>
          <w:u w:val="none"/>
          <w:lang w:val="en-GB"/>
        </w:rPr>
        <w:t xml:space="preserve"> that</w:t>
      </w:r>
      <w:r w:rsidR="003B7285" w:rsidRPr="00242BD1">
        <w:rPr>
          <w:rFonts w:ascii="Century Gothic" w:hAnsi="Century Gothic"/>
          <w:u w:val="none"/>
          <w:lang w:val="en-GB"/>
        </w:rPr>
        <w:t xml:space="preserve"> the recommendation that leases may not be renewed with an exclusivity clause will certainly impact in the relief sought in the main application </w:t>
      </w:r>
      <w:r w:rsidR="00583DC5" w:rsidRPr="00242BD1">
        <w:rPr>
          <w:rFonts w:ascii="Century Gothic" w:hAnsi="Century Gothic"/>
          <w:u w:val="none"/>
          <w:lang w:val="en-GB"/>
        </w:rPr>
        <w:t>irrespective of whether the</w:t>
      </w:r>
      <w:r w:rsidR="003B7285" w:rsidRPr="00242BD1">
        <w:rPr>
          <w:rFonts w:ascii="Century Gothic" w:hAnsi="Century Gothic"/>
          <w:u w:val="none"/>
          <w:lang w:val="en-GB"/>
        </w:rPr>
        <w:t xml:space="preserve"> Spar Group’s review succeeds.</w:t>
      </w:r>
    </w:p>
    <w:p w:rsidR="008A734B" w:rsidRPr="00D13550" w:rsidRDefault="008A734B" w:rsidP="008A734B">
      <w:pPr>
        <w:pStyle w:val="ListParagraph"/>
        <w:rPr>
          <w:rFonts w:ascii="Century Gothic" w:hAnsi="Century Gothic"/>
          <w:u w:val="none"/>
          <w:lang w:val="en-GB"/>
        </w:rPr>
      </w:pPr>
    </w:p>
    <w:p w:rsidR="003B7285" w:rsidRPr="00D13550" w:rsidRDefault="003B7285"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[42]</w:t>
      </w:r>
      <w:r w:rsidRPr="00D13550">
        <w:rPr>
          <w:rFonts w:ascii="Century Gothic" w:hAnsi="Arial Unicode MS"/>
          <w:u w:val="none"/>
          <w:lang w:val="en-GB"/>
        </w:rPr>
        <w:tab/>
      </w:r>
      <w:r w:rsidR="003B7285" w:rsidRPr="00242BD1">
        <w:rPr>
          <w:rFonts w:ascii="Century Gothic" w:hAnsi="Century Gothic"/>
          <w:u w:val="none"/>
          <w:lang w:val="en-GB"/>
        </w:rPr>
        <w:t>I am therefore of the view that the stay is in the interests of justice.</w:t>
      </w:r>
    </w:p>
    <w:p w:rsidR="008A734B" w:rsidRPr="00D13550" w:rsidRDefault="008A734B" w:rsidP="008A734B">
      <w:pPr>
        <w:pStyle w:val="ListParagraph"/>
        <w:rPr>
          <w:rFonts w:ascii="Century Gothic" w:hAnsi="Century Gothic"/>
          <w:u w:val="none"/>
          <w:lang w:val="en-GB"/>
        </w:rPr>
      </w:pPr>
    </w:p>
    <w:p w:rsidR="003B7285" w:rsidRPr="00D13550" w:rsidRDefault="003B7285" w:rsidP="003B7285">
      <w:pPr>
        <w:spacing w:line="480" w:lineRule="auto"/>
        <w:jc w:val="both"/>
        <w:rPr>
          <w:rFonts w:ascii="Century Gothic" w:hAnsi="Century Gothic"/>
          <w:b/>
          <w:lang w:val="en-GB"/>
        </w:rPr>
      </w:pPr>
      <w:r w:rsidRPr="00D13550">
        <w:rPr>
          <w:rFonts w:ascii="Century Gothic" w:hAnsi="Century Gothic"/>
          <w:b/>
          <w:lang w:val="en-GB"/>
        </w:rPr>
        <w:t>COSTS</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[43]</w:t>
      </w:r>
      <w:r w:rsidRPr="00D13550">
        <w:rPr>
          <w:rFonts w:ascii="Century Gothic" w:hAnsi="Arial Unicode MS"/>
          <w:u w:val="none"/>
          <w:lang w:val="en-GB"/>
        </w:rPr>
        <w:tab/>
      </w:r>
      <w:r w:rsidR="003B7285" w:rsidRPr="00242BD1">
        <w:rPr>
          <w:rFonts w:ascii="Century Gothic" w:hAnsi="Century Gothic"/>
          <w:u w:val="none"/>
          <w:lang w:val="en-GB"/>
        </w:rPr>
        <w:t>I am not of a mind to grant costs at this stage. In my view Spar’s opposition to these proceed</w:t>
      </w:r>
      <w:r w:rsidR="0008130F" w:rsidRPr="00242BD1">
        <w:rPr>
          <w:rFonts w:ascii="Century Gothic" w:hAnsi="Century Gothic"/>
          <w:u w:val="none"/>
          <w:lang w:val="en-GB"/>
        </w:rPr>
        <w:t>ings</w:t>
      </w:r>
      <w:r w:rsidR="00D37F11" w:rsidRPr="00242BD1">
        <w:rPr>
          <w:rFonts w:ascii="Century Gothic" w:hAnsi="Century Gothic"/>
          <w:u w:val="none"/>
          <w:lang w:val="en-GB"/>
        </w:rPr>
        <w:t xml:space="preserve"> was not frivolous and contributed towards the court being placed in a position to meaningfully consider all the issues</w:t>
      </w:r>
      <w:r w:rsidR="0008130F" w:rsidRPr="00242BD1">
        <w:rPr>
          <w:rFonts w:ascii="Century Gothic" w:hAnsi="Century Gothic"/>
          <w:u w:val="none"/>
          <w:lang w:val="en-GB"/>
        </w:rPr>
        <w:t xml:space="preserve">. I therefore </w:t>
      </w:r>
      <w:r w:rsidR="003B7285" w:rsidRPr="00242BD1">
        <w:rPr>
          <w:rFonts w:ascii="Century Gothic" w:hAnsi="Century Gothic"/>
          <w:u w:val="none"/>
          <w:lang w:val="en-GB"/>
        </w:rPr>
        <w:t>intend to reserve these costs for ultimate dete</w:t>
      </w:r>
      <w:r w:rsidR="0008130F" w:rsidRPr="00242BD1">
        <w:rPr>
          <w:rFonts w:ascii="Century Gothic" w:hAnsi="Century Gothic"/>
          <w:u w:val="none"/>
          <w:lang w:val="en-GB"/>
        </w:rPr>
        <w:t xml:space="preserve">rmination by the court hearing </w:t>
      </w:r>
      <w:r w:rsidR="003B7285" w:rsidRPr="00242BD1">
        <w:rPr>
          <w:rFonts w:ascii="Century Gothic" w:hAnsi="Century Gothic"/>
          <w:u w:val="none"/>
          <w:lang w:val="en-GB"/>
        </w:rPr>
        <w:t>the main application.</w:t>
      </w:r>
    </w:p>
    <w:p w:rsidR="003B7285" w:rsidRPr="00D13550" w:rsidRDefault="003B7285" w:rsidP="003B7285">
      <w:pPr>
        <w:spacing w:line="480" w:lineRule="auto"/>
        <w:jc w:val="both"/>
        <w:rPr>
          <w:rFonts w:ascii="Century Gothic" w:hAnsi="Century Gothic"/>
          <w:b/>
          <w:lang w:val="en-GB"/>
        </w:rPr>
      </w:pPr>
    </w:p>
    <w:p w:rsidR="003B7285" w:rsidRPr="00D13550" w:rsidRDefault="003B7285" w:rsidP="003B7285">
      <w:pPr>
        <w:spacing w:line="480" w:lineRule="auto"/>
        <w:jc w:val="both"/>
        <w:rPr>
          <w:rFonts w:ascii="Century Gothic" w:hAnsi="Century Gothic"/>
          <w:b/>
          <w:lang w:val="en-GB"/>
        </w:rPr>
      </w:pPr>
      <w:r w:rsidRPr="00D13550">
        <w:rPr>
          <w:rFonts w:ascii="Century Gothic" w:hAnsi="Century Gothic"/>
          <w:b/>
          <w:lang w:val="en-GB"/>
        </w:rPr>
        <w:t>ORDER:</w:t>
      </w:r>
    </w:p>
    <w:p w:rsidR="008A734B" w:rsidRPr="00D13550" w:rsidRDefault="008A734B" w:rsidP="008A734B">
      <w:pPr>
        <w:pStyle w:val="ListParagraph"/>
        <w:rPr>
          <w:rFonts w:ascii="Century Gothic" w:hAnsi="Century Gothic"/>
          <w:u w:val="none"/>
          <w:lang w:val="en-GB"/>
        </w:rPr>
      </w:pPr>
    </w:p>
    <w:p w:rsidR="008A734B" w:rsidRPr="00242BD1" w:rsidRDefault="00242BD1" w:rsidP="00242BD1">
      <w:pPr>
        <w:spacing w:line="480" w:lineRule="auto"/>
        <w:ind w:left="567" w:hanging="567"/>
        <w:jc w:val="both"/>
        <w:rPr>
          <w:rFonts w:ascii="Century Gothic" w:hAnsi="Century Gothic"/>
          <w:u w:val="none"/>
          <w:lang w:val="en-GB"/>
        </w:rPr>
      </w:pPr>
      <w:r w:rsidRPr="00D13550">
        <w:rPr>
          <w:rFonts w:ascii="Century Gothic" w:hAnsi="Arial Unicode MS"/>
          <w:u w:val="none"/>
          <w:lang w:val="en-GB"/>
        </w:rPr>
        <w:t>[44]</w:t>
      </w:r>
      <w:r w:rsidRPr="00D13550">
        <w:rPr>
          <w:rFonts w:ascii="Century Gothic" w:hAnsi="Arial Unicode MS"/>
          <w:u w:val="none"/>
          <w:lang w:val="en-GB"/>
        </w:rPr>
        <w:tab/>
      </w:r>
      <w:r w:rsidR="003B7285" w:rsidRPr="00242BD1">
        <w:rPr>
          <w:rFonts w:ascii="Century Gothic" w:hAnsi="Century Gothic"/>
          <w:u w:val="none"/>
          <w:lang w:val="en-GB"/>
        </w:rPr>
        <w:t xml:space="preserve">The order I therefore </w:t>
      </w:r>
      <w:r w:rsidR="00583DC5" w:rsidRPr="00242BD1">
        <w:rPr>
          <w:rFonts w:ascii="Century Gothic" w:hAnsi="Century Gothic"/>
          <w:u w:val="none"/>
          <w:lang w:val="en-GB"/>
        </w:rPr>
        <w:t xml:space="preserve">make </w:t>
      </w:r>
      <w:r w:rsidR="003B7285" w:rsidRPr="00242BD1">
        <w:rPr>
          <w:rFonts w:ascii="Century Gothic" w:hAnsi="Century Gothic"/>
          <w:u w:val="none"/>
          <w:lang w:val="en-GB"/>
        </w:rPr>
        <w:t xml:space="preserve">is the </w:t>
      </w:r>
      <w:r w:rsidR="003D5AA4" w:rsidRPr="00242BD1">
        <w:rPr>
          <w:rFonts w:ascii="Century Gothic" w:hAnsi="Century Gothic"/>
          <w:u w:val="none"/>
          <w:lang w:val="en-GB"/>
        </w:rPr>
        <w:t>following:</w:t>
      </w:r>
    </w:p>
    <w:p w:rsidR="003D5AA4" w:rsidRPr="00D13550" w:rsidRDefault="003D5AA4" w:rsidP="003D5AA4">
      <w:pPr>
        <w:pStyle w:val="ListParagraph"/>
        <w:spacing w:line="480" w:lineRule="auto"/>
        <w:ind w:left="567"/>
        <w:contextualSpacing w:val="0"/>
        <w:jc w:val="both"/>
        <w:rPr>
          <w:rFonts w:ascii="Century Gothic" w:hAnsi="Century Gothic"/>
          <w:u w:val="none"/>
          <w:lang w:val="en-GB"/>
        </w:rPr>
      </w:pPr>
    </w:p>
    <w:p w:rsidR="003D5AA4" w:rsidRPr="00242BD1" w:rsidRDefault="00242BD1" w:rsidP="00242BD1">
      <w:pPr>
        <w:spacing w:line="480" w:lineRule="auto"/>
        <w:ind w:left="1418" w:hanging="851"/>
        <w:jc w:val="both"/>
        <w:rPr>
          <w:rFonts w:ascii="Century Gothic" w:hAnsi="Century Gothic"/>
          <w:u w:val="none"/>
          <w:lang w:val="en-GB"/>
        </w:rPr>
      </w:pPr>
      <w:r w:rsidRPr="00D13550">
        <w:rPr>
          <w:rFonts w:ascii="Century Gothic" w:hAnsi="Century Gothic"/>
          <w:u w:val="none"/>
          <w:lang w:val="en-GB"/>
        </w:rPr>
        <w:t>1.</w:t>
      </w:r>
      <w:r w:rsidRPr="00D13550">
        <w:rPr>
          <w:rFonts w:ascii="Century Gothic" w:hAnsi="Century Gothic"/>
          <w:u w:val="none"/>
          <w:lang w:val="en-GB"/>
        </w:rPr>
        <w:tab/>
      </w:r>
      <w:r w:rsidR="003D5AA4" w:rsidRPr="00242BD1">
        <w:rPr>
          <w:rFonts w:ascii="Century Gothic" w:hAnsi="Century Gothic"/>
          <w:u w:val="none"/>
          <w:lang w:val="en-GB"/>
        </w:rPr>
        <w:t>The application proceedings instituted by the Applicant, The Spar Group Limited (“the Spar Group”), under case no: 23149/2020, are stayed pending:</w:t>
      </w:r>
    </w:p>
    <w:p w:rsidR="003D5AA4" w:rsidRPr="00242BD1" w:rsidRDefault="00242BD1" w:rsidP="00242BD1">
      <w:pPr>
        <w:spacing w:line="480" w:lineRule="auto"/>
        <w:ind w:left="2162" w:hanging="744"/>
        <w:jc w:val="both"/>
        <w:rPr>
          <w:rFonts w:ascii="Century Gothic" w:hAnsi="Century Gothic"/>
          <w:u w:val="none"/>
          <w:lang w:val="en-GB"/>
        </w:rPr>
      </w:pPr>
      <w:r w:rsidRPr="00D13550">
        <w:rPr>
          <w:rFonts w:ascii="Century Gothic" w:hAnsi="Century Gothic"/>
          <w:u w:val="none"/>
          <w:lang w:val="en-GB"/>
        </w:rPr>
        <w:t>1.1</w:t>
      </w:r>
      <w:r w:rsidRPr="00D13550">
        <w:rPr>
          <w:rFonts w:ascii="Century Gothic" w:hAnsi="Century Gothic"/>
          <w:u w:val="none"/>
          <w:lang w:val="en-GB"/>
        </w:rPr>
        <w:tab/>
      </w:r>
      <w:r w:rsidR="003D5AA4" w:rsidRPr="00242BD1">
        <w:rPr>
          <w:rFonts w:ascii="Century Gothic" w:hAnsi="Century Gothic"/>
          <w:u w:val="none"/>
          <w:lang w:val="en-GB"/>
        </w:rPr>
        <w:t xml:space="preserve">the referral to and determination by the Competition Tribunal of South Africa, in accordance with section 65(2)(b) </w:t>
      </w:r>
      <w:r w:rsidR="003D5AA4" w:rsidRPr="00242BD1">
        <w:rPr>
          <w:rFonts w:ascii="Century Gothic" w:hAnsi="Century Gothic"/>
          <w:u w:val="none"/>
          <w:lang w:val="en-GB"/>
        </w:rPr>
        <w:lastRenderedPageBreak/>
        <w:t>of the Competition Act 89 of 1998, and in terms of that Act, of the lawfulness of the following conduct:</w:t>
      </w:r>
    </w:p>
    <w:p w:rsidR="003D5AA4" w:rsidRPr="00242BD1" w:rsidRDefault="00242BD1" w:rsidP="00242BD1">
      <w:pPr>
        <w:spacing w:line="480" w:lineRule="auto"/>
        <w:ind w:left="3580" w:hanging="744"/>
        <w:jc w:val="both"/>
        <w:rPr>
          <w:rFonts w:ascii="Century Gothic" w:hAnsi="Century Gothic"/>
          <w:u w:val="none"/>
          <w:lang w:val="en-GB"/>
        </w:rPr>
      </w:pPr>
      <w:r w:rsidRPr="00D13550">
        <w:rPr>
          <w:rFonts w:ascii="Century Gothic" w:hAnsi="Century Gothic"/>
          <w:u w:val="none"/>
          <w:lang w:val="en-GB"/>
        </w:rPr>
        <w:t>1.1.1</w:t>
      </w:r>
      <w:r w:rsidRPr="00D13550">
        <w:rPr>
          <w:rFonts w:ascii="Century Gothic" w:hAnsi="Century Gothic"/>
          <w:u w:val="none"/>
          <w:lang w:val="en-GB"/>
        </w:rPr>
        <w:tab/>
      </w:r>
      <w:r w:rsidR="003D5AA4" w:rsidRPr="00242BD1">
        <w:rPr>
          <w:rFonts w:ascii="Century Gothic" w:hAnsi="Century Gothic"/>
          <w:u w:val="none"/>
          <w:lang w:val="en-GB"/>
        </w:rPr>
        <w:t xml:space="preserve">the Spar Group’s use of, and insistence upon, the exclusivity provisions in head lease agreements between the Spar Group and Vreshena which is the subject of the </w:t>
      </w:r>
      <w:r w:rsidR="00F9078B" w:rsidRPr="00242BD1">
        <w:rPr>
          <w:rFonts w:ascii="Century Gothic" w:hAnsi="Century Gothic"/>
          <w:u w:val="none"/>
          <w:lang w:val="en-GB"/>
        </w:rPr>
        <w:t xml:space="preserve">main </w:t>
      </w:r>
      <w:r w:rsidR="003D5AA4" w:rsidRPr="00242BD1">
        <w:rPr>
          <w:rFonts w:ascii="Century Gothic" w:hAnsi="Century Gothic"/>
          <w:u w:val="none"/>
          <w:lang w:val="en-GB"/>
        </w:rPr>
        <w:t>application proceedings</w:t>
      </w:r>
      <w:r w:rsidR="00F9078B" w:rsidRPr="00242BD1">
        <w:rPr>
          <w:rFonts w:ascii="Century Gothic" w:hAnsi="Century Gothic"/>
          <w:u w:val="none"/>
          <w:lang w:val="en-GB"/>
        </w:rPr>
        <w:t xml:space="preserve"> under case number 23149/2020</w:t>
      </w:r>
      <w:r w:rsidR="003D5AA4" w:rsidRPr="00242BD1">
        <w:rPr>
          <w:rFonts w:ascii="Century Gothic" w:hAnsi="Century Gothic"/>
          <w:u w:val="none"/>
          <w:lang w:val="en-GB"/>
        </w:rPr>
        <w:t xml:space="preserve">; and </w:t>
      </w:r>
    </w:p>
    <w:p w:rsidR="003D5AA4" w:rsidRPr="00242BD1" w:rsidRDefault="00242BD1" w:rsidP="00242BD1">
      <w:pPr>
        <w:spacing w:line="480" w:lineRule="auto"/>
        <w:ind w:left="3580" w:hanging="744"/>
        <w:jc w:val="both"/>
        <w:rPr>
          <w:rFonts w:ascii="Century Gothic" w:hAnsi="Century Gothic"/>
          <w:u w:val="none"/>
          <w:lang w:val="en-GB"/>
        </w:rPr>
      </w:pPr>
      <w:r w:rsidRPr="00D13550">
        <w:rPr>
          <w:rFonts w:ascii="Century Gothic" w:hAnsi="Century Gothic"/>
          <w:u w:val="none"/>
          <w:lang w:val="en-GB"/>
        </w:rPr>
        <w:t>1.1.2</w:t>
      </w:r>
      <w:r w:rsidRPr="00D13550">
        <w:rPr>
          <w:rFonts w:ascii="Century Gothic" w:hAnsi="Century Gothic"/>
          <w:u w:val="none"/>
          <w:lang w:val="en-GB"/>
        </w:rPr>
        <w:tab/>
      </w:r>
      <w:r w:rsidR="003D5AA4" w:rsidRPr="00242BD1">
        <w:rPr>
          <w:rFonts w:ascii="Century Gothic" w:hAnsi="Century Gothic"/>
          <w:u w:val="none"/>
          <w:lang w:val="en-GB"/>
        </w:rPr>
        <w:t>the head lease and sub-lease agreement structure, of the sort which is the subject of the application proceedings and which is imposed by the Spar Group on Vresthena;</w:t>
      </w:r>
    </w:p>
    <w:p w:rsidR="003D5AA4" w:rsidRPr="00242BD1" w:rsidRDefault="00242BD1" w:rsidP="00242BD1">
      <w:pPr>
        <w:spacing w:line="480" w:lineRule="auto"/>
        <w:ind w:left="2162" w:hanging="744"/>
        <w:jc w:val="both"/>
        <w:rPr>
          <w:rFonts w:ascii="Century Gothic" w:hAnsi="Century Gothic"/>
          <w:u w:val="none"/>
          <w:lang w:val="en-GB"/>
        </w:rPr>
      </w:pPr>
      <w:r w:rsidRPr="00D13550">
        <w:rPr>
          <w:rFonts w:ascii="Century Gothic" w:hAnsi="Century Gothic"/>
          <w:u w:val="none"/>
          <w:lang w:val="en-GB"/>
        </w:rPr>
        <w:t>1.2</w:t>
      </w:r>
      <w:r w:rsidRPr="00D13550">
        <w:rPr>
          <w:rFonts w:ascii="Century Gothic" w:hAnsi="Century Gothic"/>
          <w:u w:val="none"/>
          <w:lang w:val="en-GB"/>
        </w:rPr>
        <w:tab/>
      </w:r>
      <w:r w:rsidR="003D5AA4" w:rsidRPr="00242BD1">
        <w:rPr>
          <w:rFonts w:ascii="Century Gothic" w:hAnsi="Century Gothic"/>
          <w:u w:val="none"/>
          <w:lang w:val="en-GB"/>
        </w:rPr>
        <w:t>the outcome of the review application instituted by the Spar Group in the Gauteng Local Division, High Court of South Africa, Johannesburg under case number 20/25368;</w:t>
      </w:r>
    </w:p>
    <w:p w:rsidR="00DE3F1D" w:rsidRPr="00D13550" w:rsidRDefault="00DE3F1D" w:rsidP="00DE3F1D">
      <w:pPr>
        <w:pStyle w:val="ListParagraph"/>
        <w:spacing w:line="480" w:lineRule="auto"/>
        <w:ind w:left="2162"/>
        <w:contextualSpacing w:val="0"/>
        <w:jc w:val="both"/>
        <w:rPr>
          <w:rFonts w:ascii="Century Gothic" w:hAnsi="Century Gothic"/>
          <w:u w:val="none"/>
          <w:lang w:val="en-GB"/>
        </w:rPr>
      </w:pPr>
    </w:p>
    <w:p w:rsidR="003D5AA4" w:rsidRPr="00242BD1" w:rsidRDefault="00242BD1" w:rsidP="00242BD1">
      <w:pPr>
        <w:spacing w:line="480" w:lineRule="auto"/>
        <w:ind w:left="1418" w:hanging="851"/>
        <w:jc w:val="both"/>
        <w:rPr>
          <w:rFonts w:ascii="Century Gothic" w:hAnsi="Century Gothic"/>
          <w:u w:val="none"/>
          <w:lang w:val="en-GB"/>
        </w:rPr>
      </w:pPr>
      <w:r w:rsidRPr="00D13550">
        <w:rPr>
          <w:rFonts w:ascii="Century Gothic" w:hAnsi="Century Gothic"/>
          <w:u w:val="none"/>
          <w:lang w:val="en-GB"/>
        </w:rPr>
        <w:t>2.</w:t>
      </w:r>
      <w:r w:rsidRPr="00D13550">
        <w:rPr>
          <w:rFonts w:ascii="Century Gothic" w:hAnsi="Century Gothic"/>
          <w:u w:val="none"/>
          <w:lang w:val="en-GB"/>
        </w:rPr>
        <w:tab/>
      </w:r>
      <w:r w:rsidR="003D5AA4" w:rsidRPr="00242BD1">
        <w:rPr>
          <w:rFonts w:ascii="Century Gothic" w:hAnsi="Century Gothic"/>
          <w:u w:val="none"/>
          <w:lang w:val="en-GB"/>
        </w:rPr>
        <w:t>The lawfulness of the conduct referred to in 1 above is referred to the Competition Tribunal of South Africa in accordance with section 65(2)(b) of the Competition Act 89 of 1998.</w:t>
      </w:r>
    </w:p>
    <w:p w:rsidR="00DE3F1D" w:rsidRPr="00D13550" w:rsidRDefault="00DE3F1D" w:rsidP="00DE3F1D">
      <w:pPr>
        <w:pStyle w:val="ListParagraph"/>
        <w:spacing w:line="480" w:lineRule="auto"/>
        <w:ind w:left="1418"/>
        <w:contextualSpacing w:val="0"/>
        <w:jc w:val="both"/>
        <w:rPr>
          <w:rFonts w:ascii="Century Gothic" w:hAnsi="Century Gothic"/>
          <w:u w:val="none"/>
          <w:lang w:val="en-GB"/>
        </w:rPr>
      </w:pPr>
    </w:p>
    <w:p w:rsidR="00EC667B" w:rsidRPr="00242BD1" w:rsidRDefault="00242BD1" w:rsidP="00242BD1">
      <w:pPr>
        <w:spacing w:line="480" w:lineRule="auto"/>
        <w:ind w:left="1418" w:hanging="851"/>
        <w:jc w:val="both"/>
        <w:rPr>
          <w:rFonts w:ascii="Century Gothic" w:hAnsi="Century Gothic"/>
          <w:u w:val="none"/>
          <w:lang w:val="en-GB"/>
        </w:rPr>
      </w:pPr>
      <w:r w:rsidRPr="00D13550">
        <w:rPr>
          <w:rFonts w:ascii="Century Gothic" w:hAnsi="Century Gothic"/>
          <w:u w:val="none"/>
          <w:lang w:val="en-GB"/>
        </w:rPr>
        <w:t>3.</w:t>
      </w:r>
      <w:r w:rsidRPr="00D13550">
        <w:rPr>
          <w:rFonts w:ascii="Century Gothic" w:hAnsi="Century Gothic"/>
          <w:u w:val="none"/>
          <w:lang w:val="en-GB"/>
        </w:rPr>
        <w:tab/>
      </w:r>
      <w:r w:rsidR="003D5AA4" w:rsidRPr="00242BD1">
        <w:rPr>
          <w:rFonts w:ascii="Century Gothic" w:hAnsi="Century Gothic"/>
          <w:u w:val="none"/>
          <w:lang w:val="en-GB"/>
        </w:rPr>
        <w:t xml:space="preserve">The costs </w:t>
      </w:r>
      <w:r w:rsidR="00F9078B" w:rsidRPr="00242BD1">
        <w:rPr>
          <w:rFonts w:ascii="Century Gothic" w:hAnsi="Century Gothic"/>
          <w:u w:val="none"/>
          <w:lang w:val="en-GB"/>
        </w:rPr>
        <w:t xml:space="preserve">of this application </w:t>
      </w:r>
      <w:r w:rsidR="003D5AA4" w:rsidRPr="00242BD1">
        <w:rPr>
          <w:rFonts w:ascii="Century Gothic" w:hAnsi="Century Gothic"/>
          <w:u w:val="none"/>
          <w:lang w:val="en-GB"/>
        </w:rPr>
        <w:t>are reserved for determination by the court hearing the main application.</w:t>
      </w:r>
    </w:p>
    <w:p w:rsidR="00475182" w:rsidRDefault="00475182"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right"/>
        <w:rPr>
          <w:rFonts w:ascii="Century Gothic" w:hAnsi="Century Gothic"/>
          <w:u w:val="none"/>
        </w:rPr>
      </w:pPr>
    </w:p>
    <w:p w:rsidR="00F9078B" w:rsidRDefault="00F9078B"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right"/>
        <w:rPr>
          <w:rFonts w:ascii="Century Gothic" w:hAnsi="Century Gothic"/>
          <w:u w:val="none"/>
        </w:rPr>
      </w:pPr>
    </w:p>
    <w:p w:rsidR="00F9078B" w:rsidRDefault="00F9078B"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right"/>
        <w:rPr>
          <w:rFonts w:ascii="Century Gothic" w:hAnsi="Century Gothic"/>
          <w:u w:val="none"/>
        </w:rPr>
      </w:pPr>
    </w:p>
    <w:p w:rsidR="00F9078B" w:rsidRPr="00D13550" w:rsidRDefault="00F9078B"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right"/>
        <w:rPr>
          <w:rFonts w:ascii="Century Gothic" w:hAnsi="Century Gothic"/>
          <w:u w:val="none"/>
        </w:rPr>
      </w:pPr>
    </w:p>
    <w:p w:rsidR="00475182" w:rsidRPr="00D13550" w:rsidRDefault="00475182"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Century Gothic" w:hAnsi="Century Gothic"/>
          <w:u w:val="none"/>
        </w:rPr>
      </w:pPr>
      <w:r w:rsidRPr="00D13550">
        <w:rPr>
          <w:rFonts w:ascii="Century Gothic" w:hAnsi="Century Gothic"/>
          <w:u w:val="none"/>
        </w:rPr>
        <w:t>________________________</w:t>
      </w:r>
    </w:p>
    <w:p w:rsidR="00475182" w:rsidRPr="00D13550" w:rsidRDefault="00475182"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Century Gothic" w:hAnsi="Century Gothic"/>
          <w:b/>
          <w:u w:val="none"/>
          <w:lang w:val="en-GB"/>
        </w:rPr>
      </w:pPr>
      <w:r w:rsidRPr="00D13550">
        <w:rPr>
          <w:rFonts w:ascii="Century Gothic" w:hAnsi="Century Gothic"/>
          <w:b/>
          <w:u w:val="none"/>
          <w:lang w:val="en-GB"/>
        </w:rPr>
        <w:t>B NEUKIRCHER</w:t>
      </w:r>
    </w:p>
    <w:p w:rsidR="00475182" w:rsidRPr="00D13550" w:rsidRDefault="00475182"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Century Gothic" w:hAnsi="Century Gothic"/>
          <w:b/>
          <w:u w:val="none"/>
          <w:lang w:val="en-GB"/>
        </w:rPr>
      </w:pPr>
      <w:r w:rsidRPr="00D13550">
        <w:rPr>
          <w:rFonts w:ascii="Century Gothic" w:hAnsi="Century Gothic"/>
          <w:b/>
          <w:u w:val="none"/>
          <w:lang w:val="en-GB"/>
        </w:rPr>
        <w:t>JUDGE OF THE HIGH COURT</w:t>
      </w:r>
    </w:p>
    <w:p w:rsidR="00955392" w:rsidRPr="00D13550" w:rsidRDefault="00955392"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Century Gothic" w:hAnsi="Century Gothic"/>
          <w:b/>
          <w:u w:val="none"/>
          <w:lang w:val="en-GB"/>
        </w:rPr>
      </w:pPr>
    </w:p>
    <w:p w:rsidR="00475182" w:rsidRPr="00D13550" w:rsidRDefault="00475182" w:rsidP="004674A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Century Gothic" w:hAnsi="Century Gothic"/>
          <w:u w:val="none"/>
          <w:lang w:val="en-GB"/>
        </w:rPr>
      </w:pPr>
      <w:r w:rsidRPr="00D13550">
        <w:rPr>
          <w:rFonts w:ascii="Century Gothic" w:hAnsi="Century Gothic"/>
          <w:u w:val="none"/>
          <w:lang w:val="en-GB"/>
        </w:rPr>
        <w:t xml:space="preserve">Delivered:  This judgment was prepared and authored by the Judges whose names are reflected and is handed down electronically by circulation to the Parties/their legal representatives by email and by uploading it to the electronic file of this matter on CaseLines.  The date for hand-down is deemed to be </w:t>
      </w:r>
      <w:r w:rsidR="007D1482">
        <w:rPr>
          <w:rFonts w:ascii="Century Gothic" w:hAnsi="Century Gothic"/>
          <w:u w:val="none"/>
          <w:lang w:val="en-GB"/>
        </w:rPr>
        <w:t>1</w:t>
      </w:r>
      <w:r w:rsidR="00806B1A">
        <w:rPr>
          <w:rFonts w:ascii="Century Gothic" w:hAnsi="Century Gothic"/>
          <w:u w:val="none"/>
          <w:lang w:val="en-GB"/>
        </w:rPr>
        <w:t>1</w:t>
      </w:r>
      <w:r w:rsidR="007D1482">
        <w:rPr>
          <w:rFonts w:ascii="Century Gothic" w:hAnsi="Century Gothic"/>
          <w:u w:val="none"/>
          <w:lang w:val="en-GB"/>
        </w:rPr>
        <w:t xml:space="preserve"> November 2022</w:t>
      </w:r>
    </w:p>
    <w:p w:rsidR="00475182" w:rsidRPr="00D13550" w:rsidRDefault="00475182" w:rsidP="004674AF">
      <w:pPr>
        <w:widowControl w:val="0"/>
        <w:autoSpaceDE w:val="0"/>
        <w:autoSpaceDN w:val="0"/>
        <w:adjustRightInd w:val="0"/>
        <w:jc w:val="both"/>
        <w:rPr>
          <w:rFonts w:ascii="Century Gothic" w:hAnsi="Century Gothic"/>
          <w:u w:val="none"/>
        </w:rPr>
      </w:pPr>
    </w:p>
    <w:p w:rsidR="00475182" w:rsidRPr="00D13550" w:rsidRDefault="00475182" w:rsidP="004674AF">
      <w:pPr>
        <w:widowControl w:val="0"/>
        <w:autoSpaceDE w:val="0"/>
        <w:autoSpaceDN w:val="0"/>
        <w:adjustRightInd w:val="0"/>
        <w:jc w:val="both"/>
        <w:rPr>
          <w:rFonts w:ascii="Century Gothic" w:hAnsi="Century Gothic"/>
          <w:u w:val="none"/>
        </w:rPr>
      </w:pPr>
    </w:p>
    <w:p w:rsidR="00475182" w:rsidRPr="0014625B" w:rsidRDefault="00475182" w:rsidP="004674AF">
      <w:pPr>
        <w:widowControl w:val="0"/>
        <w:autoSpaceDE w:val="0"/>
        <w:autoSpaceDN w:val="0"/>
        <w:adjustRightInd w:val="0"/>
        <w:jc w:val="both"/>
        <w:rPr>
          <w:rFonts w:ascii="Century Gothic" w:hAnsi="Century Gothic"/>
          <w:sz w:val="20"/>
          <w:szCs w:val="20"/>
        </w:rPr>
      </w:pPr>
      <w:r w:rsidRPr="0014625B">
        <w:rPr>
          <w:rFonts w:ascii="Century Gothic" w:hAnsi="Century Gothic"/>
          <w:sz w:val="20"/>
          <w:szCs w:val="20"/>
        </w:rPr>
        <w:t>Appearances:</w:t>
      </w:r>
    </w:p>
    <w:p w:rsidR="00475182" w:rsidRPr="0014625B" w:rsidRDefault="00475182" w:rsidP="004674AF">
      <w:pPr>
        <w:widowControl w:val="0"/>
        <w:autoSpaceDE w:val="0"/>
        <w:autoSpaceDN w:val="0"/>
        <w:adjustRightInd w:val="0"/>
        <w:jc w:val="both"/>
        <w:rPr>
          <w:rFonts w:ascii="Century Gothic" w:hAnsi="Century Gothic"/>
          <w:sz w:val="20"/>
          <w:szCs w:val="20"/>
        </w:rPr>
      </w:pPr>
    </w:p>
    <w:p w:rsidR="0029525C" w:rsidRPr="0014625B" w:rsidRDefault="0029525C" w:rsidP="004674AF">
      <w:pPr>
        <w:widowControl w:val="0"/>
        <w:autoSpaceDE w:val="0"/>
        <w:autoSpaceDN w:val="0"/>
        <w:adjustRightInd w:val="0"/>
        <w:jc w:val="both"/>
        <w:rPr>
          <w:rFonts w:ascii="Century Gothic" w:hAnsi="Century Gothic"/>
          <w:sz w:val="20"/>
          <w:szCs w:val="20"/>
          <w:u w:val="none"/>
        </w:rPr>
      </w:pPr>
    </w:p>
    <w:p w:rsidR="00475182" w:rsidRPr="0014625B" w:rsidRDefault="00475182" w:rsidP="004674AF">
      <w:pPr>
        <w:widowControl w:val="0"/>
        <w:autoSpaceDE w:val="0"/>
        <w:autoSpaceDN w:val="0"/>
        <w:adjustRightInd w:val="0"/>
        <w:jc w:val="both"/>
        <w:rPr>
          <w:rFonts w:ascii="Century Gothic" w:hAnsi="Century Gothic"/>
          <w:sz w:val="20"/>
          <w:szCs w:val="20"/>
          <w:u w:val="none"/>
        </w:rPr>
      </w:pPr>
      <w:r w:rsidRPr="0014625B">
        <w:rPr>
          <w:rFonts w:ascii="Century Gothic" w:hAnsi="Century Gothic"/>
          <w:sz w:val="20"/>
          <w:szCs w:val="20"/>
          <w:u w:val="none"/>
        </w:rPr>
        <w:t xml:space="preserve">For the </w:t>
      </w:r>
      <w:r w:rsidR="00761DCA" w:rsidRPr="0014625B">
        <w:rPr>
          <w:rFonts w:ascii="Century Gothic" w:hAnsi="Century Gothic"/>
          <w:sz w:val="20"/>
          <w:szCs w:val="20"/>
          <w:u w:val="none"/>
        </w:rPr>
        <w:t>Applicant</w:t>
      </w: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t xml:space="preserve">: </w:t>
      </w:r>
      <w:r w:rsidR="00761DCA" w:rsidRPr="0014625B">
        <w:rPr>
          <w:rFonts w:ascii="Century Gothic" w:hAnsi="Century Gothic"/>
          <w:sz w:val="20"/>
          <w:szCs w:val="20"/>
          <w:u w:val="none"/>
        </w:rPr>
        <w:t>Advocate A Subel</w:t>
      </w:r>
      <w:r w:rsidR="00E71C49" w:rsidRPr="0014625B">
        <w:rPr>
          <w:rFonts w:ascii="Century Gothic" w:hAnsi="Century Gothic"/>
          <w:sz w:val="20"/>
          <w:szCs w:val="20"/>
          <w:u w:val="none"/>
        </w:rPr>
        <w:t xml:space="preserve"> with S Hoar</w:t>
      </w:r>
    </w:p>
    <w:p w:rsidR="00475182" w:rsidRPr="0014625B" w:rsidRDefault="00475182" w:rsidP="004674AF">
      <w:pPr>
        <w:widowControl w:val="0"/>
        <w:autoSpaceDE w:val="0"/>
        <w:autoSpaceDN w:val="0"/>
        <w:adjustRightInd w:val="0"/>
        <w:jc w:val="both"/>
        <w:rPr>
          <w:rFonts w:ascii="Century Gothic" w:hAnsi="Century Gothic"/>
          <w:sz w:val="20"/>
          <w:szCs w:val="20"/>
          <w:u w:val="none"/>
        </w:rPr>
      </w:pP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t xml:space="preserve">  </w:t>
      </w:r>
      <w:r w:rsidRPr="0014625B">
        <w:rPr>
          <w:rFonts w:ascii="Century Gothic" w:hAnsi="Century Gothic"/>
          <w:sz w:val="20"/>
          <w:szCs w:val="20"/>
          <w:u w:val="none"/>
        </w:rPr>
        <w:tab/>
      </w:r>
    </w:p>
    <w:p w:rsidR="00475182" w:rsidRPr="0014625B" w:rsidRDefault="0008130F" w:rsidP="004674AF">
      <w:pPr>
        <w:widowControl w:val="0"/>
        <w:autoSpaceDE w:val="0"/>
        <w:autoSpaceDN w:val="0"/>
        <w:adjustRightInd w:val="0"/>
        <w:rPr>
          <w:rFonts w:ascii="Century Gothic" w:hAnsi="Century Gothic"/>
          <w:sz w:val="20"/>
          <w:szCs w:val="20"/>
          <w:u w:val="none"/>
        </w:rPr>
      </w:pPr>
      <w:r w:rsidRPr="0014625B">
        <w:rPr>
          <w:rFonts w:ascii="Century Gothic" w:hAnsi="Century Gothic"/>
          <w:sz w:val="20"/>
          <w:szCs w:val="20"/>
          <w:u w:val="none"/>
        </w:rPr>
        <w:t>Instructed by</w:t>
      </w: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r>
      <w:r w:rsidR="0014625B">
        <w:rPr>
          <w:rFonts w:ascii="Century Gothic" w:hAnsi="Century Gothic"/>
          <w:sz w:val="20"/>
          <w:szCs w:val="20"/>
          <w:u w:val="none"/>
        </w:rPr>
        <w:tab/>
      </w:r>
      <w:r w:rsidR="00475182" w:rsidRPr="0014625B">
        <w:rPr>
          <w:rFonts w:ascii="Century Gothic" w:hAnsi="Century Gothic"/>
          <w:sz w:val="20"/>
          <w:szCs w:val="20"/>
          <w:u w:val="none"/>
        </w:rPr>
        <w:t xml:space="preserve">: </w:t>
      </w:r>
      <w:r w:rsidR="00761DCA" w:rsidRPr="0014625B">
        <w:rPr>
          <w:rFonts w:ascii="Century Gothic" w:hAnsi="Century Gothic"/>
          <w:sz w:val="20"/>
          <w:szCs w:val="20"/>
          <w:u w:val="none"/>
        </w:rPr>
        <w:t>Moss March &amp; Georgiev</w:t>
      </w:r>
    </w:p>
    <w:p w:rsidR="00475182" w:rsidRPr="0014625B" w:rsidRDefault="00475182" w:rsidP="004674AF">
      <w:pPr>
        <w:widowControl w:val="0"/>
        <w:autoSpaceDE w:val="0"/>
        <w:autoSpaceDN w:val="0"/>
        <w:adjustRightInd w:val="0"/>
        <w:jc w:val="both"/>
        <w:rPr>
          <w:rFonts w:ascii="Century Gothic" w:hAnsi="Century Gothic"/>
          <w:sz w:val="20"/>
          <w:szCs w:val="20"/>
          <w:u w:val="none"/>
        </w:rPr>
      </w:pPr>
    </w:p>
    <w:p w:rsidR="0029525C" w:rsidRPr="0014625B" w:rsidRDefault="0029525C" w:rsidP="0049790E">
      <w:pPr>
        <w:pStyle w:val="ListParagraph"/>
        <w:widowControl w:val="0"/>
        <w:autoSpaceDE w:val="0"/>
        <w:autoSpaceDN w:val="0"/>
        <w:adjustRightInd w:val="0"/>
        <w:ind w:left="360" w:hanging="360"/>
        <w:jc w:val="both"/>
        <w:rPr>
          <w:rFonts w:ascii="Century Gothic" w:hAnsi="Century Gothic"/>
          <w:sz w:val="20"/>
          <w:szCs w:val="20"/>
          <w:u w:val="none"/>
        </w:rPr>
      </w:pPr>
    </w:p>
    <w:p w:rsidR="00475182" w:rsidRPr="0014625B" w:rsidRDefault="00475182" w:rsidP="0049790E">
      <w:pPr>
        <w:pStyle w:val="ListParagraph"/>
        <w:widowControl w:val="0"/>
        <w:autoSpaceDE w:val="0"/>
        <w:autoSpaceDN w:val="0"/>
        <w:adjustRightInd w:val="0"/>
        <w:ind w:left="360" w:hanging="360"/>
        <w:jc w:val="both"/>
        <w:rPr>
          <w:rFonts w:ascii="Century Gothic" w:hAnsi="Century Gothic"/>
          <w:sz w:val="20"/>
          <w:szCs w:val="20"/>
          <w:u w:val="none"/>
        </w:rPr>
      </w:pPr>
      <w:r w:rsidRPr="0014625B">
        <w:rPr>
          <w:rFonts w:ascii="Century Gothic" w:hAnsi="Century Gothic"/>
          <w:sz w:val="20"/>
          <w:szCs w:val="20"/>
          <w:u w:val="none"/>
        </w:rPr>
        <w:t xml:space="preserve">For the </w:t>
      </w:r>
      <w:r w:rsidR="0049790E" w:rsidRPr="0014625B">
        <w:rPr>
          <w:rFonts w:ascii="Century Gothic" w:hAnsi="Century Gothic"/>
          <w:sz w:val="20"/>
          <w:szCs w:val="20"/>
          <w:u w:val="none"/>
        </w:rPr>
        <w:t>Respondents</w:t>
      </w:r>
      <w:r w:rsidRPr="0014625B">
        <w:rPr>
          <w:rFonts w:ascii="Century Gothic" w:hAnsi="Century Gothic"/>
          <w:sz w:val="20"/>
          <w:szCs w:val="20"/>
          <w:u w:val="none"/>
        </w:rPr>
        <w:tab/>
      </w:r>
      <w:r w:rsidRPr="0014625B">
        <w:rPr>
          <w:rFonts w:ascii="Century Gothic" w:hAnsi="Century Gothic"/>
          <w:sz w:val="20"/>
          <w:szCs w:val="20"/>
          <w:u w:val="none"/>
        </w:rPr>
        <w:tab/>
      </w:r>
      <w:r w:rsidR="0014625B">
        <w:rPr>
          <w:rFonts w:ascii="Century Gothic" w:hAnsi="Century Gothic"/>
          <w:sz w:val="20"/>
          <w:szCs w:val="20"/>
          <w:u w:val="none"/>
        </w:rPr>
        <w:tab/>
      </w:r>
      <w:r w:rsidRPr="0014625B">
        <w:rPr>
          <w:rFonts w:ascii="Century Gothic" w:hAnsi="Century Gothic"/>
          <w:sz w:val="20"/>
          <w:szCs w:val="20"/>
          <w:u w:val="none"/>
        </w:rPr>
        <w:t xml:space="preserve">: </w:t>
      </w:r>
      <w:r w:rsidR="00761DCA" w:rsidRPr="0014625B">
        <w:rPr>
          <w:rFonts w:ascii="Century Gothic" w:hAnsi="Century Gothic"/>
          <w:sz w:val="20"/>
          <w:szCs w:val="20"/>
          <w:u w:val="none"/>
        </w:rPr>
        <w:t>Advocate A Gotz</w:t>
      </w:r>
      <w:r w:rsidR="0077483C" w:rsidRPr="0014625B">
        <w:rPr>
          <w:rFonts w:ascii="Century Gothic" w:hAnsi="Century Gothic"/>
          <w:sz w:val="20"/>
          <w:szCs w:val="20"/>
          <w:u w:val="none"/>
        </w:rPr>
        <w:t xml:space="preserve"> with A Cachalia</w:t>
      </w:r>
    </w:p>
    <w:p w:rsidR="00475182" w:rsidRPr="0014625B" w:rsidRDefault="00475182" w:rsidP="0049790E">
      <w:pPr>
        <w:widowControl w:val="0"/>
        <w:autoSpaceDE w:val="0"/>
        <w:autoSpaceDN w:val="0"/>
        <w:adjustRightInd w:val="0"/>
        <w:ind w:hanging="360"/>
        <w:jc w:val="both"/>
        <w:rPr>
          <w:rFonts w:ascii="Century Gothic" w:hAnsi="Century Gothic"/>
          <w:sz w:val="20"/>
          <w:szCs w:val="20"/>
          <w:u w:val="none"/>
        </w:rPr>
      </w:pPr>
    </w:p>
    <w:p w:rsidR="00475182" w:rsidRPr="0014625B" w:rsidRDefault="0008130F" w:rsidP="0049790E">
      <w:pPr>
        <w:pStyle w:val="ListParagraph"/>
        <w:widowControl w:val="0"/>
        <w:autoSpaceDE w:val="0"/>
        <w:autoSpaceDN w:val="0"/>
        <w:adjustRightInd w:val="0"/>
        <w:ind w:left="360" w:hanging="360"/>
        <w:jc w:val="both"/>
        <w:rPr>
          <w:rFonts w:ascii="Century Gothic" w:hAnsi="Century Gothic"/>
          <w:sz w:val="20"/>
          <w:szCs w:val="20"/>
          <w:u w:val="none"/>
        </w:rPr>
      </w:pPr>
      <w:r w:rsidRPr="0014625B">
        <w:rPr>
          <w:rFonts w:ascii="Century Gothic" w:hAnsi="Century Gothic"/>
          <w:sz w:val="20"/>
          <w:szCs w:val="20"/>
          <w:u w:val="none"/>
        </w:rPr>
        <w:t>Instructed by</w:t>
      </w: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r>
      <w:r w:rsidR="0014625B">
        <w:rPr>
          <w:rFonts w:ascii="Century Gothic" w:hAnsi="Century Gothic"/>
          <w:sz w:val="20"/>
          <w:szCs w:val="20"/>
          <w:u w:val="none"/>
        </w:rPr>
        <w:tab/>
      </w:r>
      <w:r w:rsidR="00475182" w:rsidRPr="0014625B">
        <w:rPr>
          <w:rFonts w:ascii="Century Gothic" w:hAnsi="Century Gothic"/>
          <w:sz w:val="20"/>
          <w:szCs w:val="20"/>
          <w:u w:val="none"/>
        </w:rPr>
        <w:t xml:space="preserve">: </w:t>
      </w:r>
      <w:r w:rsidR="00761DCA" w:rsidRPr="0014625B">
        <w:rPr>
          <w:rFonts w:ascii="Century Gothic" w:hAnsi="Century Gothic"/>
          <w:sz w:val="20"/>
          <w:szCs w:val="20"/>
          <w:u w:val="none"/>
        </w:rPr>
        <w:t>Fluxmans Incorporated</w:t>
      </w:r>
    </w:p>
    <w:p w:rsidR="00475182" w:rsidRPr="0014625B" w:rsidRDefault="00475182" w:rsidP="0049790E">
      <w:pPr>
        <w:pStyle w:val="ListParagraph"/>
        <w:widowControl w:val="0"/>
        <w:autoSpaceDE w:val="0"/>
        <w:autoSpaceDN w:val="0"/>
        <w:adjustRightInd w:val="0"/>
        <w:ind w:left="360" w:hanging="360"/>
        <w:jc w:val="both"/>
        <w:rPr>
          <w:rFonts w:ascii="Century Gothic" w:hAnsi="Century Gothic"/>
          <w:sz w:val="20"/>
          <w:szCs w:val="20"/>
          <w:u w:val="none"/>
        </w:rPr>
      </w:pPr>
    </w:p>
    <w:p w:rsidR="0029525C" w:rsidRPr="0014625B" w:rsidRDefault="0029525C" w:rsidP="0049790E">
      <w:pPr>
        <w:pStyle w:val="ListParagraph"/>
        <w:widowControl w:val="0"/>
        <w:autoSpaceDE w:val="0"/>
        <w:autoSpaceDN w:val="0"/>
        <w:adjustRightInd w:val="0"/>
        <w:ind w:left="360" w:hanging="360"/>
        <w:jc w:val="both"/>
        <w:rPr>
          <w:rFonts w:ascii="Century Gothic" w:hAnsi="Century Gothic"/>
          <w:sz w:val="20"/>
          <w:szCs w:val="20"/>
          <w:u w:val="none"/>
        </w:rPr>
      </w:pPr>
    </w:p>
    <w:p w:rsidR="00475182" w:rsidRPr="0014625B" w:rsidRDefault="0008130F" w:rsidP="0049790E">
      <w:pPr>
        <w:pStyle w:val="ListParagraph"/>
        <w:widowControl w:val="0"/>
        <w:autoSpaceDE w:val="0"/>
        <w:autoSpaceDN w:val="0"/>
        <w:adjustRightInd w:val="0"/>
        <w:ind w:left="360" w:hanging="360"/>
        <w:jc w:val="both"/>
        <w:rPr>
          <w:rFonts w:ascii="Century Gothic" w:hAnsi="Century Gothic"/>
          <w:sz w:val="20"/>
          <w:szCs w:val="20"/>
          <w:u w:val="none"/>
        </w:rPr>
      </w:pPr>
      <w:r w:rsidRPr="0014625B">
        <w:rPr>
          <w:rFonts w:ascii="Century Gothic" w:hAnsi="Century Gothic"/>
          <w:sz w:val="20"/>
          <w:szCs w:val="20"/>
          <w:u w:val="none"/>
        </w:rPr>
        <w:t xml:space="preserve">Heard on      </w:t>
      </w:r>
      <w:r w:rsidRPr="0014625B">
        <w:rPr>
          <w:rFonts w:ascii="Century Gothic" w:hAnsi="Century Gothic"/>
          <w:sz w:val="20"/>
          <w:szCs w:val="20"/>
          <w:u w:val="none"/>
        </w:rPr>
        <w:tab/>
      </w:r>
      <w:r w:rsidRPr="0014625B">
        <w:rPr>
          <w:rFonts w:ascii="Century Gothic" w:hAnsi="Century Gothic"/>
          <w:sz w:val="20"/>
          <w:szCs w:val="20"/>
          <w:u w:val="none"/>
        </w:rPr>
        <w:tab/>
      </w:r>
      <w:r w:rsidRPr="0014625B">
        <w:rPr>
          <w:rFonts w:ascii="Century Gothic" w:hAnsi="Century Gothic"/>
          <w:sz w:val="20"/>
          <w:szCs w:val="20"/>
          <w:u w:val="none"/>
        </w:rPr>
        <w:tab/>
      </w:r>
      <w:r w:rsidR="0014625B">
        <w:rPr>
          <w:rFonts w:ascii="Century Gothic" w:hAnsi="Century Gothic"/>
          <w:sz w:val="20"/>
          <w:szCs w:val="20"/>
          <w:u w:val="none"/>
        </w:rPr>
        <w:tab/>
      </w:r>
      <w:r w:rsidR="00475182" w:rsidRPr="0014625B">
        <w:rPr>
          <w:rFonts w:ascii="Century Gothic" w:hAnsi="Century Gothic"/>
          <w:sz w:val="20"/>
          <w:szCs w:val="20"/>
          <w:u w:val="none"/>
        </w:rPr>
        <w:t xml:space="preserve">: </w:t>
      </w:r>
      <w:r w:rsidR="00761DCA" w:rsidRPr="0014625B">
        <w:rPr>
          <w:rFonts w:ascii="Century Gothic" w:hAnsi="Century Gothic"/>
          <w:sz w:val="20"/>
          <w:szCs w:val="20"/>
          <w:u w:val="none"/>
        </w:rPr>
        <w:t>18 July 2022</w:t>
      </w:r>
    </w:p>
    <w:p w:rsidR="00825AB7" w:rsidRPr="0014625B" w:rsidRDefault="005B1EB3">
      <w:pPr>
        <w:rPr>
          <w:rFonts w:ascii="Century Gothic" w:hAnsi="Century Gothic"/>
          <w:sz w:val="20"/>
          <w:szCs w:val="20"/>
        </w:rPr>
      </w:pPr>
    </w:p>
    <w:sectPr w:rsidR="00825AB7" w:rsidRPr="0014625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B3" w:rsidRDefault="005B1EB3" w:rsidP="00D331EB">
      <w:r>
        <w:separator/>
      </w:r>
    </w:p>
  </w:endnote>
  <w:endnote w:type="continuationSeparator" w:id="0">
    <w:p w:rsidR="005B1EB3" w:rsidRDefault="005B1EB3" w:rsidP="00D3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B3" w:rsidRDefault="005B1EB3" w:rsidP="00D331EB">
      <w:r>
        <w:separator/>
      </w:r>
    </w:p>
  </w:footnote>
  <w:footnote w:type="continuationSeparator" w:id="0">
    <w:p w:rsidR="005B1EB3" w:rsidRDefault="005B1EB3" w:rsidP="00D331EB">
      <w:r>
        <w:continuationSeparator/>
      </w:r>
    </w:p>
  </w:footnote>
  <w:footnote w:id="1">
    <w:p w:rsidR="00F33595" w:rsidRPr="00F33595" w:rsidRDefault="00F33595" w:rsidP="00F84B0A">
      <w:pPr>
        <w:pStyle w:val="FootnoteText"/>
        <w:jc w:val="both"/>
        <w:rPr>
          <w:u w:val="none"/>
          <w:lang w:val="en-GB"/>
        </w:rPr>
      </w:pPr>
      <w:r w:rsidRPr="00F33595">
        <w:rPr>
          <w:rStyle w:val="FootnoteReference"/>
          <w:u w:val="none"/>
        </w:rPr>
        <w:footnoteRef/>
      </w:r>
      <w:r w:rsidRPr="00F33595">
        <w:rPr>
          <w:u w:val="none"/>
        </w:rPr>
        <w:t xml:space="preserve"> </w:t>
      </w:r>
      <w:r w:rsidRPr="00F33595">
        <w:rPr>
          <w:u w:val="none"/>
          <w:lang w:val="en-GB"/>
        </w:rPr>
        <w:t xml:space="preserve">It is not a franchise </w:t>
      </w:r>
    </w:p>
  </w:footnote>
  <w:footnote w:id="2">
    <w:p w:rsidR="00081092" w:rsidRPr="00081092" w:rsidRDefault="00081092" w:rsidP="00F84B0A">
      <w:pPr>
        <w:pStyle w:val="FootnoteText"/>
        <w:jc w:val="both"/>
        <w:rPr>
          <w:u w:val="none"/>
          <w:lang w:val="en-GB"/>
        </w:rPr>
      </w:pPr>
      <w:r w:rsidRPr="00081092">
        <w:rPr>
          <w:rStyle w:val="FootnoteReference"/>
          <w:u w:val="none"/>
        </w:rPr>
        <w:footnoteRef/>
      </w:r>
      <w:r w:rsidRPr="00081092">
        <w:rPr>
          <w:u w:val="none"/>
        </w:rPr>
        <w:t xml:space="preserve"> </w:t>
      </w:r>
      <w:r w:rsidRPr="00081092">
        <w:rPr>
          <w:u w:val="none"/>
          <w:lang w:val="en-GB"/>
        </w:rPr>
        <w:t>Which is an association incorporated in terms of s21 of the Companies Act, 2008</w:t>
      </w:r>
    </w:p>
  </w:footnote>
  <w:footnote w:id="3">
    <w:p w:rsidR="00D331EB" w:rsidRPr="00D331EB" w:rsidRDefault="00D331EB" w:rsidP="00F84B0A">
      <w:pPr>
        <w:pStyle w:val="FootnoteText"/>
        <w:jc w:val="both"/>
        <w:rPr>
          <w:u w:val="none"/>
          <w:lang w:val="en-US"/>
        </w:rPr>
      </w:pPr>
      <w:r w:rsidRPr="00D331EB">
        <w:rPr>
          <w:rStyle w:val="FootnoteReference"/>
          <w:u w:val="none"/>
        </w:rPr>
        <w:footnoteRef/>
      </w:r>
      <w:r w:rsidRPr="00D331EB">
        <w:rPr>
          <w:u w:val="none"/>
        </w:rPr>
        <w:t xml:space="preserve"> </w:t>
      </w:r>
      <w:r>
        <w:rPr>
          <w:u w:val="none"/>
        </w:rPr>
        <w:t xml:space="preserve">All </w:t>
      </w:r>
      <w:r w:rsidR="007026A4">
        <w:rPr>
          <w:u w:val="none"/>
        </w:rPr>
        <w:t>controlled</w:t>
      </w:r>
      <w:r>
        <w:rPr>
          <w:u w:val="none"/>
        </w:rPr>
        <w:t xml:space="preserve"> by the Giannacopoulos Family Trust (the Trust)</w:t>
      </w:r>
    </w:p>
  </w:footnote>
  <w:footnote w:id="4">
    <w:p w:rsidR="00B714EE" w:rsidRPr="00B714EE" w:rsidRDefault="00B714EE" w:rsidP="00F84B0A">
      <w:pPr>
        <w:pStyle w:val="FootnoteText"/>
        <w:jc w:val="both"/>
        <w:rPr>
          <w:u w:val="none"/>
          <w:lang w:val="en-US"/>
        </w:rPr>
      </w:pPr>
      <w:r w:rsidRPr="00B714EE">
        <w:rPr>
          <w:rStyle w:val="FootnoteReference"/>
          <w:u w:val="none"/>
        </w:rPr>
        <w:footnoteRef/>
      </w:r>
      <w:r w:rsidRPr="00B714EE">
        <w:rPr>
          <w:u w:val="none"/>
        </w:rPr>
        <w:t xml:space="preserve"> </w:t>
      </w:r>
      <w:r w:rsidRPr="00B714EE">
        <w:rPr>
          <w:u w:val="none"/>
          <w:lang w:val="en-US"/>
        </w:rPr>
        <w:t>In areas such as Hartebeespoort, Pretoria, Rustenburg, Roodepoort and Richards Bay.</w:t>
      </w:r>
    </w:p>
  </w:footnote>
  <w:footnote w:id="5">
    <w:p w:rsidR="00DD10F7" w:rsidRPr="00DD10F7" w:rsidRDefault="00DD10F7" w:rsidP="00F84B0A">
      <w:pPr>
        <w:pStyle w:val="FootnoteText"/>
        <w:jc w:val="both"/>
        <w:rPr>
          <w:u w:val="none"/>
          <w:lang w:val="en-US"/>
        </w:rPr>
      </w:pPr>
      <w:r w:rsidRPr="00DD10F7">
        <w:rPr>
          <w:rStyle w:val="FootnoteReference"/>
          <w:u w:val="none"/>
        </w:rPr>
        <w:footnoteRef/>
      </w:r>
      <w:r w:rsidRPr="00DD10F7">
        <w:rPr>
          <w:u w:val="none"/>
        </w:rPr>
        <w:t xml:space="preserve"> </w:t>
      </w:r>
      <w:r w:rsidRPr="00DD10F7">
        <w:rPr>
          <w:u w:val="none"/>
          <w:lang w:val="en-US"/>
        </w:rPr>
        <w:t>Which is allegedly a restrictive vertical practice per section 5 of the Competition Act, 1968 which states: 5(1) An agreement between parties in a vertical relationship is prohibited if it has the effect of substantially preventing or lessening</w:t>
      </w:r>
      <w:r>
        <w:rPr>
          <w:u w:val="none"/>
          <w:lang w:val="en-US"/>
        </w:rPr>
        <w:t xml:space="preserve"> </w:t>
      </w:r>
      <w:r w:rsidRPr="00DD10F7">
        <w:rPr>
          <w:u w:val="none"/>
          <w:lang w:val="en-US"/>
        </w:rPr>
        <w:t>competition in a market, unless a party to the agreement can prove that any technological, efficiency or other pro-competitive, gain resulting from that agreement outweighs that effect.</w:t>
      </w:r>
    </w:p>
  </w:footnote>
  <w:footnote w:id="6">
    <w:p w:rsidR="00165ED5" w:rsidRPr="000C30E9" w:rsidRDefault="00165ED5" w:rsidP="00F84B0A">
      <w:pPr>
        <w:pStyle w:val="FootnoteText"/>
        <w:jc w:val="both"/>
        <w:rPr>
          <w:u w:val="none"/>
          <w:lang w:val="en-US"/>
        </w:rPr>
      </w:pPr>
      <w:r w:rsidRPr="000C30E9">
        <w:rPr>
          <w:rStyle w:val="FootnoteReference"/>
          <w:u w:val="none"/>
        </w:rPr>
        <w:footnoteRef/>
      </w:r>
      <w:r w:rsidRPr="000C30E9">
        <w:rPr>
          <w:u w:val="none"/>
        </w:rPr>
        <w:t xml:space="preserve"> </w:t>
      </w:r>
      <w:r w:rsidR="000C30E9" w:rsidRPr="000C30E9">
        <w:rPr>
          <w:u w:val="none"/>
          <w:lang w:val="en-US"/>
        </w:rPr>
        <w:t>In Mokone v Tassos Properties CC and Another</w:t>
      </w:r>
      <w:r w:rsidR="00B134EA">
        <w:rPr>
          <w:u w:val="none"/>
          <w:lang w:val="en-US"/>
        </w:rPr>
        <w:t xml:space="preserve"> 2017 (5) SA 456 (CC) at para</w:t>
      </w:r>
      <w:r w:rsidR="000C30E9">
        <w:rPr>
          <w:u w:val="none"/>
          <w:lang w:val="en-US"/>
        </w:rPr>
        <w:t xml:space="preserve"> 67, it was found t</w:t>
      </w:r>
      <w:r w:rsidR="000C30E9" w:rsidRPr="000C30E9">
        <w:rPr>
          <w:u w:val="none"/>
          <w:lang w:val="en-US"/>
        </w:rPr>
        <w:t>hat a court had inherent jurisdiction to suspend proceedings before it pending determination of a material issue in other proceedings.</w:t>
      </w:r>
    </w:p>
  </w:footnote>
  <w:footnote w:id="7">
    <w:p w:rsidR="00195A89" w:rsidRPr="00195A89" w:rsidRDefault="00195A89" w:rsidP="00F84B0A">
      <w:pPr>
        <w:pStyle w:val="FootnoteText"/>
        <w:jc w:val="both"/>
        <w:rPr>
          <w:u w:val="none"/>
          <w:lang w:val="en-GB"/>
        </w:rPr>
      </w:pPr>
      <w:r w:rsidRPr="00195A89">
        <w:rPr>
          <w:rStyle w:val="FootnoteReference"/>
          <w:u w:val="none"/>
        </w:rPr>
        <w:footnoteRef/>
      </w:r>
      <w:r w:rsidRPr="00195A89">
        <w:rPr>
          <w:u w:val="none"/>
        </w:rPr>
        <w:t xml:space="preserve"> </w:t>
      </w:r>
      <w:r w:rsidRPr="00195A89">
        <w:rPr>
          <w:u w:val="none"/>
          <w:lang w:val="en-GB"/>
        </w:rPr>
        <w:t>Which is the subject matter of the main application</w:t>
      </w:r>
    </w:p>
  </w:footnote>
  <w:footnote w:id="8">
    <w:p w:rsidR="00C00F77" w:rsidRPr="00C00F77" w:rsidRDefault="00C00F77" w:rsidP="00F84B0A">
      <w:pPr>
        <w:pStyle w:val="FootnoteText"/>
        <w:jc w:val="both"/>
        <w:rPr>
          <w:u w:val="none"/>
          <w:lang w:val="en-US"/>
        </w:rPr>
      </w:pPr>
      <w:r w:rsidRPr="00C00F77">
        <w:rPr>
          <w:rStyle w:val="FootnoteReference"/>
          <w:u w:val="none"/>
        </w:rPr>
        <w:footnoteRef/>
      </w:r>
      <w:r w:rsidRPr="00C00F77">
        <w:rPr>
          <w:u w:val="none"/>
        </w:rPr>
        <w:t xml:space="preserve"> </w:t>
      </w:r>
      <w:r w:rsidRPr="00C00F77">
        <w:rPr>
          <w:u w:val="none"/>
          <w:lang w:val="en-US"/>
        </w:rPr>
        <w:t>In essence, the alternative to the review is a declaratory</w:t>
      </w:r>
      <w:r w:rsidR="00195A89">
        <w:rPr>
          <w:u w:val="none"/>
          <w:lang w:val="en-US"/>
        </w:rPr>
        <w:t xml:space="preserve"> order</w:t>
      </w:r>
      <w:r w:rsidRPr="00C00F77">
        <w:rPr>
          <w:u w:val="none"/>
          <w:lang w:val="en-US"/>
        </w:rPr>
        <w:t xml:space="preserve"> that </w:t>
      </w:r>
      <w:r w:rsidR="00195A89">
        <w:rPr>
          <w:u w:val="none"/>
          <w:lang w:val="en-US"/>
        </w:rPr>
        <w:t>the Report does not require Spar</w:t>
      </w:r>
      <w:r w:rsidRPr="00C00F77">
        <w:rPr>
          <w:u w:val="none"/>
          <w:lang w:val="en-US"/>
        </w:rPr>
        <w:t xml:space="preserve"> or independent Spar retailers to cease enforcing exclusivity provisions</w:t>
      </w:r>
    </w:p>
  </w:footnote>
  <w:footnote w:id="9">
    <w:p w:rsidR="00E0287A" w:rsidRPr="00606F27" w:rsidRDefault="00E0287A" w:rsidP="00F84B0A">
      <w:pPr>
        <w:pStyle w:val="FootnoteText"/>
        <w:jc w:val="both"/>
        <w:rPr>
          <w:i/>
          <w:u w:val="none"/>
          <w:lang w:val="en-US"/>
        </w:rPr>
      </w:pPr>
      <w:r w:rsidRPr="00E0287A">
        <w:rPr>
          <w:rStyle w:val="FootnoteReference"/>
          <w:u w:val="none"/>
        </w:rPr>
        <w:footnoteRef/>
      </w:r>
      <w:r w:rsidRPr="00E0287A">
        <w:rPr>
          <w:u w:val="none"/>
        </w:rPr>
        <w:t xml:space="preserve"> </w:t>
      </w:r>
      <w:r w:rsidRPr="00E0287A">
        <w:rPr>
          <w:u w:val="none"/>
          <w:lang w:val="en-US"/>
        </w:rPr>
        <w:t>Transnet Ltd v Rubenstein 2006 (1) SA 591 (SCA) at 600; In Hano Trading CC v JR 209 Investments (Pty) Ltd and Another (650/11) [2012] ZASCA 127 </w:t>
      </w:r>
      <w:r w:rsidR="00CF0A95">
        <w:rPr>
          <w:u w:val="none"/>
          <w:lang w:val="en-US"/>
        </w:rPr>
        <w:t>(</w:t>
      </w:r>
      <w:r>
        <w:rPr>
          <w:u w:val="none"/>
          <w:lang w:val="en-US"/>
        </w:rPr>
        <w:t>21</w:t>
      </w:r>
      <w:r w:rsidR="00C970BB">
        <w:rPr>
          <w:u w:val="none"/>
          <w:lang w:val="en-US"/>
        </w:rPr>
        <w:t xml:space="preserve"> September </w:t>
      </w:r>
      <w:r>
        <w:rPr>
          <w:u w:val="none"/>
          <w:lang w:val="en-US"/>
        </w:rPr>
        <w:t xml:space="preserve">2012) </w:t>
      </w:r>
      <w:r w:rsidR="00606F27">
        <w:rPr>
          <w:u w:val="none"/>
          <w:lang w:val="en-US"/>
        </w:rPr>
        <w:t xml:space="preserve">at para 10 </w:t>
      </w:r>
      <w:r>
        <w:rPr>
          <w:u w:val="none"/>
          <w:lang w:val="en-US"/>
        </w:rPr>
        <w:t xml:space="preserve">stated: </w:t>
      </w:r>
      <w:r w:rsidRPr="00606F27">
        <w:rPr>
          <w:i/>
          <w:u w:val="none"/>
          <w:lang w:val="en-US"/>
        </w:rPr>
        <w:t>“Unlike actions, in application proceedings the affidavits take the place not only of the pleadings, but also of the essential evidenc</w:t>
      </w:r>
      <w:r w:rsidR="00CF0A95" w:rsidRPr="00606F27">
        <w:rPr>
          <w:i/>
          <w:u w:val="none"/>
          <w:lang w:val="en-US"/>
        </w:rPr>
        <w:t xml:space="preserve">e </w:t>
      </w:r>
      <w:r w:rsidR="00606F27" w:rsidRPr="00606F27">
        <w:rPr>
          <w:i/>
          <w:u w:val="none"/>
          <w:lang w:val="en-US"/>
        </w:rPr>
        <w:t xml:space="preserve">that would be led at trial.” </w:t>
      </w:r>
    </w:p>
  </w:footnote>
  <w:footnote w:id="10">
    <w:p w:rsidR="005E62E8" w:rsidRPr="005E62E8" w:rsidRDefault="005E62E8" w:rsidP="00F84B0A">
      <w:pPr>
        <w:pStyle w:val="FootnoteText"/>
        <w:jc w:val="both"/>
        <w:rPr>
          <w:lang w:val="en-US"/>
        </w:rPr>
      </w:pPr>
      <w:r w:rsidRPr="005E62E8">
        <w:rPr>
          <w:rStyle w:val="FootnoteReference"/>
          <w:u w:val="none"/>
        </w:rPr>
        <w:footnoteRef/>
      </w:r>
      <w:r w:rsidRPr="005E62E8">
        <w:rPr>
          <w:u w:val="none"/>
        </w:rPr>
        <w:t xml:space="preserve"> </w:t>
      </w:r>
      <w:r w:rsidRPr="005E62E8">
        <w:rPr>
          <w:u w:val="none"/>
          <w:lang w:val="en-US"/>
        </w:rPr>
        <w:t>P</w:t>
      </w:r>
      <w:r w:rsidR="00CF0A95">
        <w:rPr>
          <w:u w:val="none"/>
          <w:lang w:val="en-US"/>
        </w:rPr>
        <w:t>latinum Holdings (Pty) Ltd and</w:t>
      </w:r>
      <w:r w:rsidRPr="005E62E8">
        <w:rPr>
          <w:u w:val="none"/>
          <w:lang w:val="en-US"/>
        </w:rPr>
        <w:t xml:space="preserve"> Others v Victoria and Alfred Waterfront (Pty) Ltd and Another </w:t>
      </w:r>
      <w:r w:rsidR="00CF0A95">
        <w:rPr>
          <w:u w:val="none"/>
          <w:lang w:val="en-US"/>
        </w:rPr>
        <w:t>(428/2008) [2004] ZASCA 54 (28 May 2004) at para</w:t>
      </w:r>
      <w:r w:rsidRPr="005E62E8">
        <w:rPr>
          <w:u w:val="none"/>
          <w:lang w:val="en-US"/>
        </w:rPr>
        <w:t xml:space="preserve"> 26</w:t>
      </w:r>
    </w:p>
  </w:footnote>
  <w:footnote w:id="11">
    <w:p w:rsidR="00693EA2" w:rsidRPr="00693EA2" w:rsidRDefault="00693EA2" w:rsidP="00F84B0A">
      <w:pPr>
        <w:pStyle w:val="FootnoteText"/>
        <w:jc w:val="both"/>
        <w:rPr>
          <w:u w:val="none"/>
          <w:lang w:val="en-US"/>
        </w:rPr>
      </w:pPr>
      <w:r w:rsidRPr="00693EA2">
        <w:rPr>
          <w:rStyle w:val="FootnoteReference"/>
          <w:u w:val="none"/>
        </w:rPr>
        <w:footnoteRef/>
      </w:r>
      <w:r w:rsidRPr="00693EA2">
        <w:rPr>
          <w:u w:val="none"/>
        </w:rPr>
        <w:t xml:space="preserve"> </w:t>
      </w:r>
      <w:r w:rsidR="00615C67">
        <w:rPr>
          <w:u w:val="none"/>
        </w:rPr>
        <w:t>Platinum Holdings supra a</w:t>
      </w:r>
      <w:r w:rsidR="00615C67">
        <w:rPr>
          <w:u w:val="none"/>
          <w:lang w:val="en-US"/>
        </w:rPr>
        <w:t>t para</w:t>
      </w:r>
      <w:r w:rsidRPr="00693EA2">
        <w:rPr>
          <w:u w:val="none"/>
          <w:lang w:val="en-US"/>
        </w:rPr>
        <w:t xml:space="preserve"> 27</w:t>
      </w:r>
    </w:p>
  </w:footnote>
  <w:footnote w:id="12">
    <w:p w:rsidR="00693EA2" w:rsidRPr="0001248B" w:rsidRDefault="00693EA2" w:rsidP="00F84B0A">
      <w:pPr>
        <w:pStyle w:val="FootnoteText"/>
        <w:jc w:val="both"/>
        <w:rPr>
          <w:u w:val="none"/>
          <w:lang w:val="en-US"/>
        </w:rPr>
      </w:pPr>
      <w:r w:rsidRPr="0001248B">
        <w:rPr>
          <w:rStyle w:val="FootnoteReference"/>
          <w:u w:val="none"/>
        </w:rPr>
        <w:footnoteRef/>
      </w:r>
      <w:r w:rsidRPr="0001248B">
        <w:rPr>
          <w:u w:val="none"/>
        </w:rPr>
        <w:t xml:space="preserve"> </w:t>
      </w:r>
      <w:r w:rsidRPr="0001248B">
        <w:rPr>
          <w:u w:val="none"/>
          <w:lang w:val="en-US"/>
        </w:rPr>
        <w:t xml:space="preserve">American Soda Ash Corporation and Another v Competition Commission of South Africa and Others [2005] 1 CPLR 18 (CAC) – approved by </w:t>
      </w:r>
      <w:r w:rsidR="0001248B" w:rsidRPr="0001248B">
        <w:rPr>
          <w:u w:val="none"/>
          <w:lang w:val="en-US"/>
        </w:rPr>
        <w:t>the</w:t>
      </w:r>
      <w:r w:rsidRPr="0001248B">
        <w:rPr>
          <w:u w:val="none"/>
          <w:lang w:val="en-US"/>
        </w:rPr>
        <w:t xml:space="preserve"> </w:t>
      </w:r>
      <w:r w:rsidR="00806B1A" w:rsidRPr="0001248B">
        <w:rPr>
          <w:u w:val="none"/>
          <w:lang w:val="en-US"/>
        </w:rPr>
        <w:t xml:space="preserve">SCA </w:t>
      </w:r>
      <w:r w:rsidR="00806B1A">
        <w:rPr>
          <w:u w:val="none"/>
          <w:lang w:val="en-US"/>
        </w:rPr>
        <w:t>at</w:t>
      </w:r>
      <w:r w:rsidR="00E76ACC">
        <w:rPr>
          <w:u w:val="none"/>
          <w:lang w:val="en-US"/>
        </w:rPr>
        <w:t xml:space="preserve"> </w:t>
      </w:r>
      <w:r w:rsidRPr="0001248B">
        <w:rPr>
          <w:u w:val="none"/>
          <w:lang w:val="en-US"/>
        </w:rPr>
        <w:t>2021 (5) SA 134 (SCA). Comair Limited v Minister of Public Enterprises and Others 2016 (1) SA 1 (GP)</w:t>
      </w:r>
    </w:p>
  </w:footnote>
  <w:footnote w:id="13">
    <w:p w:rsidR="00B01C2B" w:rsidRPr="00B01C2B" w:rsidRDefault="00B01C2B" w:rsidP="00F84B0A">
      <w:pPr>
        <w:pStyle w:val="FootnoteText"/>
        <w:jc w:val="both"/>
        <w:rPr>
          <w:u w:val="none"/>
          <w:lang w:val="en-US"/>
        </w:rPr>
      </w:pPr>
      <w:r w:rsidRPr="00B01C2B">
        <w:rPr>
          <w:rStyle w:val="FootnoteReference"/>
          <w:u w:val="none"/>
        </w:rPr>
        <w:footnoteRef/>
      </w:r>
      <w:r w:rsidRPr="00B01C2B">
        <w:rPr>
          <w:u w:val="none"/>
        </w:rPr>
        <w:t xml:space="preserve"> </w:t>
      </w:r>
      <w:r w:rsidRPr="00B01C2B">
        <w:rPr>
          <w:u w:val="none"/>
          <w:lang w:val="en-US"/>
        </w:rPr>
        <w:t>2001 (2) SA 1129 (C) at 1144 C-D</w:t>
      </w:r>
    </w:p>
  </w:footnote>
  <w:footnote w:id="14">
    <w:p w:rsidR="006C59FB" w:rsidRPr="00F13668" w:rsidRDefault="006C59FB" w:rsidP="00F84B0A">
      <w:pPr>
        <w:pStyle w:val="FootnoteText"/>
        <w:jc w:val="both"/>
        <w:rPr>
          <w:u w:val="none"/>
          <w:lang w:val="en-US"/>
        </w:rPr>
      </w:pPr>
      <w:r w:rsidRPr="00F13668">
        <w:rPr>
          <w:rStyle w:val="FootnoteReference"/>
          <w:u w:val="none"/>
        </w:rPr>
        <w:footnoteRef/>
      </w:r>
      <w:r w:rsidRPr="00F13668">
        <w:rPr>
          <w:u w:val="none"/>
        </w:rPr>
        <w:t xml:space="preserve"> </w:t>
      </w:r>
      <w:r w:rsidRPr="00F13668">
        <w:rPr>
          <w:u w:val="none"/>
          <w:lang w:val="en-US"/>
        </w:rPr>
        <w:t>[2013</w:t>
      </w:r>
      <w:r w:rsidR="00B134EA">
        <w:rPr>
          <w:u w:val="none"/>
          <w:lang w:val="en-US"/>
        </w:rPr>
        <w:t>] 4 All SA 598 (KZD) at para</w:t>
      </w:r>
      <w:r w:rsidRPr="00F13668">
        <w:rPr>
          <w:u w:val="none"/>
          <w:lang w:val="en-US"/>
        </w:rPr>
        <w:t xml:space="preserve"> 17</w:t>
      </w:r>
    </w:p>
  </w:footnote>
  <w:footnote w:id="15">
    <w:p w:rsidR="00AA0CB8" w:rsidRPr="00AA0CB8" w:rsidRDefault="00AA0CB8" w:rsidP="00F84B0A">
      <w:pPr>
        <w:pStyle w:val="FootnoteText"/>
        <w:jc w:val="both"/>
        <w:rPr>
          <w:lang w:val="en-US"/>
        </w:rPr>
      </w:pPr>
      <w:r w:rsidRPr="00CC1682">
        <w:rPr>
          <w:rStyle w:val="FootnoteReference"/>
          <w:u w:val="none"/>
        </w:rPr>
        <w:footnoteRef/>
      </w:r>
      <w:r w:rsidRPr="00CC1682">
        <w:rPr>
          <w:u w:val="none"/>
        </w:rPr>
        <w:t xml:space="preserve"> </w:t>
      </w:r>
      <w:r w:rsidR="00CC1682" w:rsidRPr="00CC1682">
        <w:rPr>
          <w:u w:val="none"/>
          <w:lang w:val="en-US"/>
        </w:rPr>
        <w:t>Economic Freedom Fighters v Speaker, National Assembly and Others 2016 (3) SA 580 (CC) at para 71</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13499"/>
      <w:docPartObj>
        <w:docPartGallery w:val="Page Numbers (Top of Page)"/>
        <w:docPartUnique/>
      </w:docPartObj>
    </w:sdtPr>
    <w:sdtEndPr>
      <w:rPr>
        <w:noProof/>
      </w:rPr>
    </w:sdtEndPr>
    <w:sdtContent>
      <w:p w:rsidR="00EA6091" w:rsidRDefault="00EA6091">
        <w:pPr>
          <w:pStyle w:val="Header"/>
          <w:jc w:val="right"/>
        </w:pPr>
        <w:r>
          <w:fldChar w:fldCharType="begin"/>
        </w:r>
        <w:r>
          <w:instrText xml:space="preserve"> PAGE   \* MERGEFORMAT </w:instrText>
        </w:r>
        <w:r>
          <w:fldChar w:fldCharType="separate"/>
        </w:r>
        <w:r w:rsidR="00242BD1">
          <w:rPr>
            <w:noProof/>
          </w:rPr>
          <w:t>2</w:t>
        </w:r>
        <w:r>
          <w:rPr>
            <w:noProof/>
          </w:rPr>
          <w:fldChar w:fldCharType="end"/>
        </w:r>
      </w:p>
    </w:sdtContent>
  </w:sdt>
  <w:p w:rsidR="00EA6091" w:rsidRDefault="00EA6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4163"/>
    <w:multiLevelType w:val="hybridMultilevel"/>
    <w:tmpl w:val="553EA63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BD02937"/>
    <w:multiLevelType w:val="multilevel"/>
    <w:tmpl w:val="9774CF76"/>
    <w:lvl w:ilvl="0">
      <w:start w:val="1"/>
      <w:numFmt w:val="decimal"/>
      <w:lvlText w:val="%1"/>
      <w:lvlJc w:val="left"/>
      <w:pPr>
        <w:ind w:left="744" w:hanging="744"/>
      </w:pPr>
      <w:rPr>
        <w:rFonts w:hint="default"/>
      </w:rPr>
    </w:lvl>
    <w:lvl w:ilvl="1">
      <w:start w:val="1"/>
      <w:numFmt w:val="decimal"/>
      <w:lvlText w:val="%1.%2"/>
      <w:lvlJc w:val="left"/>
      <w:pPr>
        <w:ind w:left="2162" w:hanging="744"/>
      </w:pPr>
      <w:rPr>
        <w:rFonts w:hint="default"/>
      </w:rPr>
    </w:lvl>
    <w:lvl w:ilvl="2">
      <w:start w:val="1"/>
      <w:numFmt w:val="decimal"/>
      <w:lvlText w:val="%1.%2.%3"/>
      <w:lvlJc w:val="left"/>
      <w:pPr>
        <w:ind w:left="3580" w:hanging="744"/>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nsid w:val="46DE061A"/>
    <w:multiLevelType w:val="hybridMultilevel"/>
    <w:tmpl w:val="1EA85596"/>
    <w:lvl w:ilvl="0" w:tplc="49CA2894">
      <w:start w:val="1"/>
      <w:numFmt w:val="lowerLetter"/>
      <w:lvlText w:val="(%1)"/>
      <w:lvlJc w:val="left"/>
      <w:pPr>
        <w:ind w:left="2316" w:hanging="876"/>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4B594AC9"/>
    <w:multiLevelType w:val="hybridMultilevel"/>
    <w:tmpl w:val="95429C2E"/>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7645579"/>
    <w:multiLevelType w:val="hybridMultilevel"/>
    <w:tmpl w:val="F29CCD9C"/>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55527E68">
      <w:start w:val="2"/>
      <w:numFmt w:val="decimal"/>
      <w:lvlText w:val="%4."/>
      <w:lvlJc w:val="left"/>
      <w:pPr>
        <w:ind w:left="2520" w:hanging="360"/>
      </w:pPr>
      <w:rPr>
        <w:rFonts w:hint="default"/>
      </w:r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nsid w:val="660767E2"/>
    <w:multiLevelType w:val="hybridMultilevel"/>
    <w:tmpl w:val="F6826B8C"/>
    <w:lvl w:ilvl="0" w:tplc="79E83F3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82"/>
    <w:rsid w:val="00000B64"/>
    <w:rsid w:val="0001248B"/>
    <w:rsid w:val="00081092"/>
    <w:rsid w:val="000811AF"/>
    <w:rsid w:val="0008130F"/>
    <w:rsid w:val="000A1E81"/>
    <w:rsid w:val="000B495A"/>
    <w:rsid w:val="000C30E9"/>
    <w:rsid w:val="000C3C96"/>
    <w:rsid w:val="000D4E58"/>
    <w:rsid w:val="001137C0"/>
    <w:rsid w:val="0014625B"/>
    <w:rsid w:val="001516E2"/>
    <w:rsid w:val="00155B08"/>
    <w:rsid w:val="00165ED5"/>
    <w:rsid w:val="00185F41"/>
    <w:rsid w:val="00195A89"/>
    <w:rsid w:val="001B6EE9"/>
    <w:rsid w:val="001E2B5B"/>
    <w:rsid w:val="00242BD1"/>
    <w:rsid w:val="00277D42"/>
    <w:rsid w:val="0028215E"/>
    <w:rsid w:val="0029525C"/>
    <w:rsid w:val="002B4243"/>
    <w:rsid w:val="002B4950"/>
    <w:rsid w:val="002C0F8F"/>
    <w:rsid w:val="002C7846"/>
    <w:rsid w:val="002D008D"/>
    <w:rsid w:val="002D645F"/>
    <w:rsid w:val="0031409B"/>
    <w:rsid w:val="00335DEC"/>
    <w:rsid w:val="003459C4"/>
    <w:rsid w:val="0037156C"/>
    <w:rsid w:val="00371FF3"/>
    <w:rsid w:val="00374305"/>
    <w:rsid w:val="00392A33"/>
    <w:rsid w:val="003952E3"/>
    <w:rsid w:val="00397068"/>
    <w:rsid w:val="003B669E"/>
    <w:rsid w:val="003B7285"/>
    <w:rsid w:val="003D2540"/>
    <w:rsid w:val="003D5AA4"/>
    <w:rsid w:val="003D5B52"/>
    <w:rsid w:val="003F1C8C"/>
    <w:rsid w:val="004247F9"/>
    <w:rsid w:val="00431926"/>
    <w:rsid w:val="004674AF"/>
    <w:rsid w:val="00475182"/>
    <w:rsid w:val="00494D87"/>
    <w:rsid w:val="0049790E"/>
    <w:rsid w:val="004B0765"/>
    <w:rsid w:val="004B573E"/>
    <w:rsid w:val="004D6259"/>
    <w:rsid w:val="004D6FDE"/>
    <w:rsid w:val="004E6A51"/>
    <w:rsid w:val="00507E43"/>
    <w:rsid w:val="005602C7"/>
    <w:rsid w:val="0056433A"/>
    <w:rsid w:val="00570612"/>
    <w:rsid w:val="00583542"/>
    <w:rsid w:val="00583DC5"/>
    <w:rsid w:val="005A1B9F"/>
    <w:rsid w:val="005B1EB3"/>
    <w:rsid w:val="005B33BA"/>
    <w:rsid w:val="005C6425"/>
    <w:rsid w:val="005E575F"/>
    <w:rsid w:val="005E62E8"/>
    <w:rsid w:val="006015F9"/>
    <w:rsid w:val="00606F27"/>
    <w:rsid w:val="00615C67"/>
    <w:rsid w:val="00626DB8"/>
    <w:rsid w:val="0063048D"/>
    <w:rsid w:val="00640275"/>
    <w:rsid w:val="0067059D"/>
    <w:rsid w:val="0067772E"/>
    <w:rsid w:val="00693EA2"/>
    <w:rsid w:val="006B0C14"/>
    <w:rsid w:val="006C59FB"/>
    <w:rsid w:val="007026A4"/>
    <w:rsid w:val="0070565F"/>
    <w:rsid w:val="00717D96"/>
    <w:rsid w:val="00761DCA"/>
    <w:rsid w:val="0077483C"/>
    <w:rsid w:val="00781431"/>
    <w:rsid w:val="007A0CC9"/>
    <w:rsid w:val="007B5E2F"/>
    <w:rsid w:val="007D1482"/>
    <w:rsid w:val="007E53EB"/>
    <w:rsid w:val="007F56F6"/>
    <w:rsid w:val="00806B1A"/>
    <w:rsid w:val="00825D14"/>
    <w:rsid w:val="0085602F"/>
    <w:rsid w:val="00864690"/>
    <w:rsid w:val="008736B8"/>
    <w:rsid w:val="00880882"/>
    <w:rsid w:val="00884D72"/>
    <w:rsid w:val="008908DB"/>
    <w:rsid w:val="00897E57"/>
    <w:rsid w:val="008A734B"/>
    <w:rsid w:val="008F2DCB"/>
    <w:rsid w:val="00941A37"/>
    <w:rsid w:val="0094268A"/>
    <w:rsid w:val="00955392"/>
    <w:rsid w:val="00976361"/>
    <w:rsid w:val="009823EA"/>
    <w:rsid w:val="00995554"/>
    <w:rsid w:val="009B0D7E"/>
    <w:rsid w:val="009C0846"/>
    <w:rsid w:val="009C0AE8"/>
    <w:rsid w:val="009D3BDF"/>
    <w:rsid w:val="00A13753"/>
    <w:rsid w:val="00A451AC"/>
    <w:rsid w:val="00A62B38"/>
    <w:rsid w:val="00AA0CB8"/>
    <w:rsid w:val="00AA503A"/>
    <w:rsid w:val="00AC15A0"/>
    <w:rsid w:val="00AD0D54"/>
    <w:rsid w:val="00AD494B"/>
    <w:rsid w:val="00B01C2B"/>
    <w:rsid w:val="00B03170"/>
    <w:rsid w:val="00B134EA"/>
    <w:rsid w:val="00B20183"/>
    <w:rsid w:val="00B535F6"/>
    <w:rsid w:val="00B714EE"/>
    <w:rsid w:val="00B726DB"/>
    <w:rsid w:val="00BA5D0A"/>
    <w:rsid w:val="00BD6AAC"/>
    <w:rsid w:val="00BF287A"/>
    <w:rsid w:val="00BF45CB"/>
    <w:rsid w:val="00C00F77"/>
    <w:rsid w:val="00C30605"/>
    <w:rsid w:val="00C840A1"/>
    <w:rsid w:val="00C9548C"/>
    <w:rsid w:val="00C970BB"/>
    <w:rsid w:val="00CC1682"/>
    <w:rsid w:val="00CE28F1"/>
    <w:rsid w:val="00CF0511"/>
    <w:rsid w:val="00CF0A95"/>
    <w:rsid w:val="00D05D48"/>
    <w:rsid w:val="00D13550"/>
    <w:rsid w:val="00D331EB"/>
    <w:rsid w:val="00D37F11"/>
    <w:rsid w:val="00D85ECC"/>
    <w:rsid w:val="00DB01A4"/>
    <w:rsid w:val="00DD10F7"/>
    <w:rsid w:val="00DE3F1D"/>
    <w:rsid w:val="00E0287A"/>
    <w:rsid w:val="00E357BD"/>
    <w:rsid w:val="00E71C49"/>
    <w:rsid w:val="00E76ACC"/>
    <w:rsid w:val="00EA6091"/>
    <w:rsid w:val="00EB6BD2"/>
    <w:rsid w:val="00EC513C"/>
    <w:rsid w:val="00EC667B"/>
    <w:rsid w:val="00EE3FF6"/>
    <w:rsid w:val="00F115FE"/>
    <w:rsid w:val="00F13668"/>
    <w:rsid w:val="00F23095"/>
    <w:rsid w:val="00F33595"/>
    <w:rsid w:val="00F5750E"/>
    <w:rsid w:val="00F70D81"/>
    <w:rsid w:val="00F83836"/>
    <w:rsid w:val="00F84B0A"/>
    <w:rsid w:val="00F9078B"/>
    <w:rsid w:val="00FD26A7"/>
    <w:rsid w:val="00FE2EED"/>
    <w:rsid w:val="00FE6D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EBDE7-6EF6-4F0C-90EF-CC1DC6A2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82"/>
    <w:pPr>
      <w:spacing w:after="0" w:line="240" w:lineRule="auto"/>
    </w:pPr>
    <w:rPr>
      <w:rFonts w:ascii="Arial" w:eastAsia="Times New Roman" w:hAnsi="Arial"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82"/>
    <w:pPr>
      <w:ind w:left="720"/>
      <w:contextualSpacing/>
    </w:pPr>
  </w:style>
  <w:style w:type="paragraph" w:styleId="FootnoteText">
    <w:name w:val="footnote text"/>
    <w:basedOn w:val="Normal"/>
    <w:link w:val="FootnoteTextChar"/>
    <w:uiPriority w:val="99"/>
    <w:semiHidden/>
    <w:unhideWhenUsed/>
    <w:rsid w:val="00D331EB"/>
    <w:rPr>
      <w:sz w:val="20"/>
      <w:szCs w:val="20"/>
    </w:rPr>
  </w:style>
  <w:style w:type="character" w:customStyle="1" w:styleId="FootnoteTextChar">
    <w:name w:val="Footnote Text Char"/>
    <w:basedOn w:val="DefaultParagraphFont"/>
    <w:link w:val="FootnoteText"/>
    <w:uiPriority w:val="99"/>
    <w:semiHidden/>
    <w:rsid w:val="00D331EB"/>
    <w:rPr>
      <w:rFonts w:ascii="Arial" w:eastAsia="Times New Roman" w:hAnsi="Arial" w:cs="Arial"/>
      <w:sz w:val="20"/>
      <w:szCs w:val="20"/>
      <w:u w:val="single"/>
      <w:lang w:eastAsia="en-GB"/>
    </w:rPr>
  </w:style>
  <w:style w:type="character" w:styleId="FootnoteReference">
    <w:name w:val="footnote reference"/>
    <w:basedOn w:val="DefaultParagraphFont"/>
    <w:uiPriority w:val="99"/>
    <w:semiHidden/>
    <w:unhideWhenUsed/>
    <w:rsid w:val="00D331EB"/>
    <w:rPr>
      <w:vertAlign w:val="superscript"/>
    </w:rPr>
  </w:style>
  <w:style w:type="paragraph" w:styleId="Header">
    <w:name w:val="header"/>
    <w:basedOn w:val="Normal"/>
    <w:link w:val="HeaderChar"/>
    <w:uiPriority w:val="99"/>
    <w:unhideWhenUsed/>
    <w:rsid w:val="00EA6091"/>
    <w:pPr>
      <w:tabs>
        <w:tab w:val="center" w:pos="4513"/>
        <w:tab w:val="right" w:pos="9026"/>
      </w:tabs>
    </w:pPr>
  </w:style>
  <w:style w:type="character" w:customStyle="1" w:styleId="HeaderChar">
    <w:name w:val="Header Char"/>
    <w:basedOn w:val="DefaultParagraphFont"/>
    <w:link w:val="Header"/>
    <w:uiPriority w:val="99"/>
    <w:rsid w:val="00EA6091"/>
    <w:rPr>
      <w:rFonts w:ascii="Arial" w:eastAsia="Times New Roman" w:hAnsi="Arial" w:cs="Arial"/>
      <w:sz w:val="24"/>
      <w:szCs w:val="24"/>
      <w:u w:val="single"/>
      <w:lang w:eastAsia="en-GB"/>
    </w:rPr>
  </w:style>
  <w:style w:type="paragraph" w:styleId="Footer">
    <w:name w:val="footer"/>
    <w:basedOn w:val="Normal"/>
    <w:link w:val="FooterChar"/>
    <w:uiPriority w:val="99"/>
    <w:unhideWhenUsed/>
    <w:rsid w:val="00EA6091"/>
    <w:pPr>
      <w:tabs>
        <w:tab w:val="center" w:pos="4513"/>
        <w:tab w:val="right" w:pos="9026"/>
      </w:tabs>
    </w:pPr>
  </w:style>
  <w:style w:type="character" w:customStyle="1" w:styleId="FooterChar">
    <w:name w:val="Footer Char"/>
    <w:basedOn w:val="DefaultParagraphFont"/>
    <w:link w:val="Footer"/>
    <w:uiPriority w:val="99"/>
    <w:rsid w:val="00EA6091"/>
    <w:rPr>
      <w:rFonts w:ascii="Arial" w:eastAsia="Times New Roman" w:hAnsi="Arial" w:cs="Arial"/>
      <w:sz w:val="24"/>
      <w:szCs w:val="24"/>
      <w:u w:val="single"/>
      <w:lang w:eastAsia="en-GB"/>
    </w:rPr>
  </w:style>
  <w:style w:type="paragraph" w:styleId="BalloonText">
    <w:name w:val="Balloon Text"/>
    <w:basedOn w:val="Normal"/>
    <w:link w:val="BalloonTextChar"/>
    <w:uiPriority w:val="99"/>
    <w:semiHidden/>
    <w:unhideWhenUsed/>
    <w:rsid w:val="00395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E3"/>
    <w:rPr>
      <w:rFonts w:ascii="Segoe UI" w:eastAsia="Times New Roman" w:hAnsi="Segoe UI" w:cs="Segoe UI"/>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2424">
      <w:bodyDiv w:val="1"/>
      <w:marLeft w:val="0"/>
      <w:marRight w:val="0"/>
      <w:marTop w:val="0"/>
      <w:marBottom w:val="0"/>
      <w:divBdr>
        <w:top w:val="none" w:sz="0" w:space="0" w:color="auto"/>
        <w:left w:val="none" w:sz="0" w:space="0" w:color="auto"/>
        <w:bottom w:val="none" w:sz="0" w:space="0" w:color="auto"/>
        <w:right w:val="none" w:sz="0" w:space="0" w:color="auto"/>
      </w:divBdr>
    </w:div>
    <w:div w:id="1117718244">
      <w:bodyDiv w:val="1"/>
      <w:marLeft w:val="0"/>
      <w:marRight w:val="0"/>
      <w:marTop w:val="0"/>
      <w:marBottom w:val="0"/>
      <w:divBdr>
        <w:top w:val="none" w:sz="0" w:space="0" w:color="auto"/>
        <w:left w:val="none" w:sz="0" w:space="0" w:color="auto"/>
        <w:bottom w:val="none" w:sz="0" w:space="0" w:color="auto"/>
        <w:right w:val="none" w:sz="0" w:space="0" w:color="auto"/>
      </w:divBdr>
    </w:div>
    <w:div w:id="14070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81E1-EE30-4525-AE3C-AE4E93F0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Nair</dc:creator>
  <cp:keywords/>
  <dc:description/>
  <cp:lastModifiedBy>Mokone</cp:lastModifiedBy>
  <cp:revision>3</cp:revision>
  <cp:lastPrinted>2022-11-11T06:32:00Z</cp:lastPrinted>
  <dcterms:created xsi:type="dcterms:W3CDTF">2022-11-18T10:45:00Z</dcterms:created>
  <dcterms:modified xsi:type="dcterms:W3CDTF">2022-11-18T10:45:00Z</dcterms:modified>
</cp:coreProperties>
</file>