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6814A" w14:textId="77777777" w:rsidR="001E77C7" w:rsidRPr="00C16496" w:rsidRDefault="001E77C7" w:rsidP="00F445C9">
      <w:bookmarkStart w:id="0" w:name="_Hlk97197783"/>
      <w:bookmarkEnd w:id="0"/>
    </w:p>
    <w:p w14:paraId="4A5AB6F1" w14:textId="243BB6E8" w:rsidR="001E77C7" w:rsidRPr="00285CDE" w:rsidRDefault="0020229A" w:rsidP="00AD7F4C">
      <w:pPr>
        <w:jc w:val="center"/>
      </w:pPr>
      <w:r w:rsidRPr="00285CDE">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285CDE" w:rsidRDefault="001E77C7" w:rsidP="00AD7F4C">
      <w:pPr>
        <w:jc w:val="center"/>
      </w:pPr>
    </w:p>
    <w:p w14:paraId="0B878A93" w14:textId="77777777" w:rsidR="00FF73DA" w:rsidRPr="00285CDE" w:rsidRDefault="00FF73DA" w:rsidP="00AD7F4C">
      <w:pPr>
        <w:jc w:val="center"/>
        <w:rPr>
          <w:b/>
        </w:rPr>
      </w:pPr>
      <w:r w:rsidRPr="00285CDE">
        <w:rPr>
          <w:b/>
        </w:rPr>
        <w:t>IN THE HIGH COURT OF SOUTH AFRICA</w:t>
      </w:r>
    </w:p>
    <w:p w14:paraId="06DA5D56" w14:textId="77777777" w:rsidR="002B39BC" w:rsidRPr="00285CDE" w:rsidRDefault="00FD64FD" w:rsidP="002B39BC">
      <w:pPr>
        <w:jc w:val="center"/>
        <w:rPr>
          <w:b/>
        </w:rPr>
      </w:pPr>
      <w:r w:rsidRPr="00285CDE">
        <w:rPr>
          <w:b/>
        </w:rPr>
        <w:t xml:space="preserve">GAUTENG DIVISION, </w:t>
      </w:r>
      <w:r w:rsidR="003A3344" w:rsidRPr="00285CDE">
        <w:rPr>
          <w:b/>
        </w:rPr>
        <w:t>PRETORIA</w:t>
      </w:r>
    </w:p>
    <w:p w14:paraId="5A50405B" w14:textId="5483C5FD" w:rsidR="00AD7F4C" w:rsidRPr="00285CDE" w:rsidRDefault="00AD7F4C" w:rsidP="002B39BC">
      <w:pPr>
        <w:jc w:val="center"/>
      </w:pPr>
    </w:p>
    <w:p w14:paraId="00C7C104" w14:textId="60270A62" w:rsidR="00A33502" w:rsidRPr="00285CDE" w:rsidRDefault="00A33502" w:rsidP="00222D24">
      <w:pPr>
        <w:jc w:val="right"/>
      </w:pPr>
    </w:p>
    <w:p w14:paraId="706290CB" w14:textId="2CF4F6A1" w:rsidR="00222D24" w:rsidRPr="00285CDE" w:rsidRDefault="003876E6" w:rsidP="003876E6">
      <w:pPr>
        <w:tabs>
          <w:tab w:val="left" w:pos="480"/>
          <w:tab w:val="right" w:pos="9026"/>
        </w:tabs>
        <w:jc w:val="left"/>
        <w:rPr>
          <w:b/>
        </w:rPr>
      </w:pPr>
      <w:r w:rsidRPr="00285CDE">
        <w:rPr>
          <w:b/>
        </w:rPr>
        <w:tab/>
      </w:r>
      <w:r w:rsidRPr="00285CDE">
        <w:rPr>
          <w:b/>
        </w:rPr>
        <w:tab/>
      </w:r>
      <w:r w:rsidR="00407188">
        <w:rPr>
          <w:noProof/>
          <w:lang w:val="en-US" w:eastAsia="en-US"/>
        </w:rPr>
        <mc:AlternateContent>
          <mc:Choice Requires="wps">
            <w:drawing>
              <wp:anchor distT="0" distB="0" distL="114300" distR="114300" simplePos="0" relativeHeight="251658240" behindDoc="0" locked="0" layoutInCell="1" allowOverlap="1" wp14:anchorId="558AD8B8" wp14:editId="4B5F9571">
                <wp:simplePos x="0" y="0"/>
                <wp:positionH relativeFrom="column">
                  <wp:posOffset>-127000</wp:posOffset>
                </wp:positionH>
                <wp:positionV relativeFrom="paragraph">
                  <wp:posOffset>210820</wp:posOffset>
                </wp:positionV>
                <wp:extent cx="3220720" cy="1269365"/>
                <wp:effectExtent l="0" t="0" r="0" b="6985"/>
                <wp:wrapNone/>
                <wp:docPr id="16334796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D26E45" w:rsidRPr="00913F95" w:rsidRDefault="00D26E45" w:rsidP="004F68B9">
                            <w:pPr>
                              <w:jc w:val="center"/>
                              <w:rPr>
                                <w:rFonts w:ascii="Century Gothic" w:hAnsi="Century Gothic"/>
                                <w:b/>
                                <w:sz w:val="20"/>
                                <w:szCs w:val="20"/>
                              </w:rPr>
                            </w:pPr>
                          </w:p>
                          <w:p w14:paraId="05F12DD5" w14:textId="4E38EAC2" w:rsidR="00D26E45" w:rsidRPr="00024C6F" w:rsidRDefault="00890EE4" w:rsidP="00890EE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D26E45" w:rsidRPr="00024C6F">
                              <w:rPr>
                                <w:rFonts w:asciiTheme="minorHAnsi" w:hAnsiTheme="minorHAnsi" w:cstheme="minorHAnsi"/>
                                <w:sz w:val="20"/>
                                <w:szCs w:val="20"/>
                              </w:rPr>
                              <w:t xml:space="preserve">REPORTABLE: </w:t>
                            </w:r>
                            <w:r w:rsidR="00D26E45">
                              <w:rPr>
                                <w:rFonts w:asciiTheme="minorHAnsi" w:hAnsiTheme="minorHAnsi" w:cstheme="minorHAnsi"/>
                                <w:sz w:val="20"/>
                                <w:szCs w:val="20"/>
                              </w:rPr>
                              <w:t>YES</w:t>
                            </w:r>
                          </w:p>
                          <w:p w14:paraId="107808B7" w14:textId="72C6C322" w:rsidR="00D26E45" w:rsidRDefault="00890EE4" w:rsidP="00890EE4">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D26E45" w:rsidRPr="00024C6F">
                              <w:rPr>
                                <w:rFonts w:asciiTheme="minorHAnsi" w:hAnsiTheme="minorHAnsi" w:cstheme="minorHAnsi"/>
                                <w:sz w:val="20"/>
                                <w:szCs w:val="20"/>
                              </w:rPr>
                              <w:t xml:space="preserve">OF INTEREST TO OTHER JUDGES: </w:t>
                            </w:r>
                            <w:r w:rsidR="00D26E45">
                              <w:rPr>
                                <w:rFonts w:asciiTheme="minorHAnsi" w:hAnsiTheme="minorHAnsi" w:cstheme="minorHAnsi"/>
                                <w:sz w:val="20"/>
                                <w:szCs w:val="20"/>
                              </w:rPr>
                              <w:t>YES</w:t>
                            </w:r>
                          </w:p>
                          <w:p w14:paraId="4C9D0656" w14:textId="517E3BBE" w:rsidR="00D26E45" w:rsidRPr="00024C6F" w:rsidRDefault="00890EE4" w:rsidP="00890EE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D26E45">
                              <w:rPr>
                                <w:rFonts w:asciiTheme="minorHAnsi" w:hAnsiTheme="minorHAnsi" w:cstheme="minorHAnsi"/>
                                <w:sz w:val="20"/>
                                <w:szCs w:val="20"/>
                              </w:rPr>
                              <w:t>REVISED</w:t>
                            </w:r>
                          </w:p>
                          <w:p w14:paraId="270AD6EA" w14:textId="7106083E" w:rsidR="00D26E45" w:rsidRPr="00024C6F" w:rsidRDefault="00D26E45" w:rsidP="004F68B9">
                            <w:pPr>
                              <w:rPr>
                                <w:rFonts w:asciiTheme="minorHAnsi" w:hAnsiTheme="minorHAnsi" w:cstheme="minorHAnsi"/>
                                <w:sz w:val="18"/>
                                <w:szCs w:val="18"/>
                              </w:rPr>
                            </w:pPr>
                            <w:r>
                              <w:rPr>
                                <w:rFonts w:cs="Arial"/>
                                <w:noProof/>
                                <w:lang w:val="en-ZA"/>
                              </w:rPr>
                              <w:t xml:space="preserve">                   </w:t>
                            </w:r>
                          </w:p>
                          <w:p w14:paraId="55BBA880" w14:textId="2B73E821" w:rsidR="00D26E45" w:rsidRPr="00024C6F" w:rsidRDefault="00D26E4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CA1EE4">
                              <w:rPr>
                                <w:rFonts w:asciiTheme="minorHAnsi" w:hAnsiTheme="minorHAnsi" w:cstheme="minorHAnsi"/>
                                <w:b/>
                                <w:sz w:val="18"/>
                                <w:szCs w:val="18"/>
                              </w:rPr>
                              <w:t>0</w:t>
                            </w:r>
                            <w:r w:rsidR="00BC42F4">
                              <w:rPr>
                                <w:rFonts w:asciiTheme="minorHAnsi" w:hAnsiTheme="minorHAnsi" w:cstheme="minorHAnsi"/>
                                <w:b/>
                                <w:sz w:val="18"/>
                                <w:szCs w:val="18"/>
                              </w:rPr>
                              <w:t>6</w:t>
                            </w:r>
                            <w:r>
                              <w:rPr>
                                <w:rFonts w:asciiTheme="minorHAnsi" w:hAnsiTheme="minorHAnsi" w:cstheme="minorHAnsi"/>
                                <w:b/>
                                <w:sz w:val="18"/>
                                <w:szCs w:val="18"/>
                              </w:rPr>
                              <w:t>/0</w:t>
                            </w:r>
                            <w:r w:rsidR="00CA1EE4">
                              <w:rPr>
                                <w:rFonts w:asciiTheme="minorHAnsi" w:hAnsiTheme="minorHAnsi" w:cstheme="minorHAnsi"/>
                                <w:b/>
                                <w:sz w:val="18"/>
                                <w:szCs w:val="18"/>
                              </w:rPr>
                              <w:t>9</w:t>
                            </w:r>
                            <w:r>
                              <w:rPr>
                                <w:rFonts w:asciiTheme="minorHAnsi" w:hAnsiTheme="minorHAnsi" w:cstheme="minorHAnsi"/>
                                <w:b/>
                                <w:sz w:val="18"/>
                                <w:szCs w:val="18"/>
                              </w:rPr>
                              <w:t>/202</w:t>
                            </w:r>
                            <w:r w:rsidR="009B1AC8">
                              <w:rPr>
                                <w:rFonts w:asciiTheme="minorHAnsi" w:hAnsiTheme="minorHAnsi" w:cstheme="minorHAnsi"/>
                                <w:b/>
                                <w:sz w:val="18"/>
                                <w:szCs w:val="18"/>
                              </w:rPr>
                              <w:t>3</w:t>
                            </w:r>
                            <w:r>
                              <w:rPr>
                                <w:rFonts w:asciiTheme="minorHAnsi" w:hAnsiTheme="minorHAnsi" w:cstheme="minorHAnsi"/>
                                <w:b/>
                                <w:sz w:val="18"/>
                                <w:szCs w:val="18"/>
                              </w:rPr>
                              <w:t xml:space="preserve">                                </w:t>
                            </w:r>
                          </w:p>
                          <w:p w14:paraId="1B3C0F98" w14:textId="537F90A9" w:rsidR="00D26E45" w:rsidRPr="00024C6F" w:rsidRDefault="00D26E4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AD8B8"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I7qkujACAABaBAAADgAAAAAAAAAAAAAAAAAu&#10;AgAAZHJzL2Uyb0RvYy54bWxQSwECLQAUAAYACAAAACEAH5yRUuAAAAAKAQAADwAAAAAAAAAAAAAA&#10;AACKBAAAZHJzL2Rvd25yZXYueG1sUEsFBgAAAAAEAAQA8wAAAJcFAAAAAA==&#10;">
                <v:textbox>
                  <w:txbxContent>
                    <w:p w14:paraId="221B21EC" w14:textId="77777777" w:rsidR="00D26E45" w:rsidRPr="00913F95" w:rsidRDefault="00D26E45" w:rsidP="004F68B9">
                      <w:pPr>
                        <w:jc w:val="center"/>
                        <w:rPr>
                          <w:rFonts w:ascii="Century Gothic" w:hAnsi="Century Gothic"/>
                          <w:b/>
                          <w:sz w:val="20"/>
                          <w:szCs w:val="20"/>
                        </w:rPr>
                      </w:pPr>
                    </w:p>
                    <w:p w14:paraId="05F12DD5" w14:textId="4E38EAC2" w:rsidR="00D26E45" w:rsidRPr="00024C6F" w:rsidRDefault="00890EE4" w:rsidP="00890EE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D26E45" w:rsidRPr="00024C6F">
                        <w:rPr>
                          <w:rFonts w:asciiTheme="minorHAnsi" w:hAnsiTheme="minorHAnsi" w:cstheme="minorHAnsi"/>
                          <w:sz w:val="20"/>
                          <w:szCs w:val="20"/>
                        </w:rPr>
                        <w:t xml:space="preserve">REPORTABLE: </w:t>
                      </w:r>
                      <w:r w:rsidR="00D26E45">
                        <w:rPr>
                          <w:rFonts w:asciiTheme="minorHAnsi" w:hAnsiTheme="minorHAnsi" w:cstheme="minorHAnsi"/>
                          <w:sz w:val="20"/>
                          <w:szCs w:val="20"/>
                        </w:rPr>
                        <w:t>YES</w:t>
                      </w:r>
                    </w:p>
                    <w:p w14:paraId="107808B7" w14:textId="72C6C322" w:rsidR="00D26E45" w:rsidRDefault="00890EE4" w:rsidP="00890EE4">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D26E45" w:rsidRPr="00024C6F">
                        <w:rPr>
                          <w:rFonts w:asciiTheme="minorHAnsi" w:hAnsiTheme="minorHAnsi" w:cstheme="minorHAnsi"/>
                          <w:sz w:val="20"/>
                          <w:szCs w:val="20"/>
                        </w:rPr>
                        <w:t xml:space="preserve">OF INTEREST TO OTHER JUDGES: </w:t>
                      </w:r>
                      <w:r w:rsidR="00D26E45">
                        <w:rPr>
                          <w:rFonts w:asciiTheme="minorHAnsi" w:hAnsiTheme="minorHAnsi" w:cstheme="minorHAnsi"/>
                          <w:sz w:val="20"/>
                          <w:szCs w:val="20"/>
                        </w:rPr>
                        <w:t>YES</w:t>
                      </w:r>
                    </w:p>
                    <w:p w14:paraId="4C9D0656" w14:textId="517E3BBE" w:rsidR="00D26E45" w:rsidRPr="00024C6F" w:rsidRDefault="00890EE4" w:rsidP="00890EE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D26E45">
                        <w:rPr>
                          <w:rFonts w:asciiTheme="minorHAnsi" w:hAnsiTheme="minorHAnsi" w:cstheme="minorHAnsi"/>
                          <w:sz w:val="20"/>
                          <w:szCs w:val="20"/>
                        </w:rPr>
                        <w:t>REVISED</w:t>
                      </w:r>
                    </w:p>
                    <w:p w14:paraId="270AD6EA" w14:textId="7106083E" w:rsidR="00D26E45" w:rsidRPr="00024C6F" w:rsidRDefault="00D26E45" w:rsidP="004F68B9">
                      <w:pPr>
                        <w:rPr>
                          <w:rFonts w:asciiTheme="minorHAnsi" w:hAnsiTheme="minorHAnsi" w:cstheme="minorHAnsi"/>
                          <w:sz w:val="18"/>
                          <w:szCs w:val="18"/>
                        </w:rPr>
                      </w:pPr>
                      <w:r>
                        <w:rPr>
                          <w:rFonts w:cs="Arial"/>
                          <w:noProof/>
                          <w:lang w:val="en-ZA"/>
                        </w:rPr>
                        <w:t xml:space="preserve">                   </w:t>
                      </w:r>
                    </w:p>
                    <w:p w14:paraId="55BBA880" w14:textId="2B73E821" w:rsidR="00D26E45" w:rsidRPr="00024C6F" w:rsidRDefault="00D26E45"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CA1EE4">
                        <w:rPr>
                          <w:rFonts w:asciiTheme="minorHAnsi" w:hAnsiTheme="minorHAnsi" w:cstheme="minorHAnsi"/>
                          <w:b/>
                          <w:sz w:val="18"/>
                          <w:szCs w:val="18"/>
                        </w:rPr>
                        <w:t>0</w:t>
                      </w:r>
                      <w:r w:rsidR="00BC42F4">
                        <w:rPr>
                          <w:rFonts w:asciiTheme="minorHAnsi" w:hAnsiTheme="minorHAnsi" w:cstheme="minorHAnsi"/>
                          <w:b/>
                          <w:sz w:val="18"/>
                          <w:szCs w:val="18"/>
                        </w:rPr>
                        <w:t>6</w:t>
                      </w:r>
                      <w:r>
                        <w:rPr>
                          <w:rFonts w:asciiTheme="minorHAnsi" w:hAnsiTheme="minorHAnsi" w:cstheme="minorHAnsi"/>
                          <w:b/>
                          <w:sz w:val="18"/>
                          <w:szCs w:val="18"/>
                        </w:rPr>
                        <w:t>/0</w:t>
                      </w:r>
                      <w:r w:rsidR="00CA1EE4">
                        <w:rPr>
                          <w:rFonts w:asciiTheme="minorHAnsi" w:hAnsiTheme="minorHAnsi" w:cstheme="minorHAnsi"/>
                          <w:b/>
                          <w:sz w:val="18"/>
                          <w:szCs w:val="18"/>
                        </w:rPr>
                        <w:t>9</w:t>
                      </w:r>
                      <w:r>
                        <w:rPr>
                          <w:rFonts w:asciiTheme="minorHAnsi" w:hAnsiTheme="minorHAnsi" w:cstheme="minorHAnsi"/>
                          <w:b/>
                          <w:sz w:val="18"/>
                          <w:szCs w:val="18"/>
                        </w:rPr>
                        <w:t>/202</w:t>
                      </w:r>
                      <w:r w:rsidR="009B1AC8">
                        <w:rPr>
                          <w:rFonts w:asciiTheme="minorHAnsi" w:hAnsiTheme="minorHAnsi" w:cstheme="minorHAnsi"/>
                          <w:b/>
                          <w:sz w:val="18"/>
                          <w:szCs w:val="18"/>
                        </w:rPr>
                        <w:t>3</w:t>
                      </w:r>
                      <w:r>
                        <w:rPr>
                          <w:rFonts w:asciiTheme="minorHAnsi" w:hAnsiTheme="minorHAnsi" w:cstheme="minorHAnsi"/>
                          <w:b/>
                          <w:sz w:val="18"/>
                          <w:szCs w:val="18"/>
                        </w:rPr>
                        <w:t xml:space="preserve">                                </w:t>
                      </w:r>
                    </w:p>
                    <w:p w14:paraId="1B3C0F98" w14:textId="537F90A9" w:rsidR="00D26E45" w:rsidRPr="00024C6F" w:rsidRDefault="00D26E45"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285CDE">
        <w:rPr>
          <w:b/>
        </w:rPr>
        <w:t>C</w:t>
      </w:r>
      <w:r w:rsidR="008A5CAB" w:rsidRPr="00285CDE">
        <w:rPr>
          <w:b/>
        </w:rPr>
        <w:t>ase</w:t>
      </w:r>
      <w:r w:rsidR="00222D24" w:rsidRPr="00285CDE">
        <w:rPr>
          <w:b/>
        </w:rPr>
        <w:t xml:space="preserve"> N</w:t>
      </w:r>
      <w:r w:rsidR="008A5CAB" w:rsidRPr="00285CDE">
        <w:rPr>
          <w:b/>
        </w:rPr>
        <w:t>o</w:t>
      </w:r>
      <w:r w:rsidR="00222D24" w:rsidRPr="00285CDE">
        <w:rPr>
          <w:b/>
        </w:rPr>
        <w:t xml:space="preserve">: </w:t>
      </w:r>
      <w:r w:rsidR="009B1AC8" w:rsidRPr="00285CDE">
        <w:rPr>
          <w:b/>
        </w:rPr>
        <w:t>010700</w:t>
      </w:r>
      <w:r w:rsidR="00197B69" w:rsidRPr="00285CDE">
        <w:rPr>
          <w:b/>
        </w:rPr>
        <w:t>/202</w:t>
      </w:r>
      <w:r w:rsidR="009B1AC8" w:rsidRPr="00285CDE">
        <w:rPr>
          <w:b/>
        </w:rPr>
        <w:t>3</w:t>
      </w:r>
    </w:p>
    <w:p w14:paraId="66C9010F" w14:textId="14568CB3" w:rsidR="008A5CAB" w:rsidRPr="00285CDE" w:rsidRDefault="008A5CAB" w:rsidP="00F445C9">
      <w:pPr>
        <w:jc w:val="left"/>
      </w:pPr>
    </w:p>
    <w:p w14:paraId="78E89A4C" w14:textId="1E8E6FC1" w:rsidR="008A5CAB" w:rsidRPr="00285CDE" w:rsidRDefault="008A5CAB" w:rsidP="00F445C9">
      <w:pPr>
        <w:jc w:val="left"/>
      </w:pPr>
    </w:p>
    <w:p w14:paraId="59620578" w14:textId="77777777" w:rsidR="003876E6" w:rsidRPr="00285CDE" w:rsidRDefault="003876E6" w:rsidP="00F445C9">
      <w:pPr>
        <w:jc w:val="left"/>
      </w:pPr>
    </w:p>
    <w:p w14:paraId="50B5CE8A" w14:textId="4B69E1A5" w:rsidR="00A33502" w:rsidRPr="00285CDE" w:rsidRDefault="00A33502" w:rsidP="00A33502">
      <w:pPr>
        <w:jc w:val="center"/>
      </w:pPr>
      <w:r w:rsidRPr="00285CDE">
        <w:tab/>
      </w:r>
      <w:r w:rsidRPr="00285CDE">
        <w:tab/>
      </w:r>
      <w:r w:rsidRPr="00285CDE">
        <w:tab/>
      </w:r>
      <w:r w:rsidRPr="00285CDE">
        <w:tab/>
      </w:r>
      <w:r w:rsidRPr="00285CDE">
        <w:tab/>
        <w:t xml:space="preserve">                                     </w:t>
      </w:r>
    </w:p>
    <w:p w14:paraId="05BC3994" w14:textId="39A88B87" w:rsidR="009C7480" w:rsidRPr="00285CDE" w:rsidRDefault="009C7480" w:rsidP="00A33502"/>
    <w:p w14:paraId="23EE4436" w14:textId="732FCE71" w:rsidR="009C7480" w:rsidRPr="00285CDE" w:rsidRDefault="009C7480" w:rsidP="009C7480">
      <w:r w:rsidRPr="00285CDE">
        <w:t>In the matter between:</w:t>
      </w:r>
    </w:p>
    <w:p w14:paraId="0152AA63" w14:textId="77777777" w:rsidR="00222D24" w:rsidRPr="00285CDE" w:rsidRDefault="00222D24" w:rsidP="00CB5C55">
      <w:pPr>
        <w:jc w:val="right"/>
      </w:pPr>
    </w:p>
    <w:p w14:paraId="4776CC85" w14:textId="77777777" w:rsidR="00090EE9" w:rsidRPr="00285CDE" w:rsidRDefault="00090EE9" w:rsidP="00CB5C55">
      <w:pPr>
        <w:jc w:val="right"/>
      </w:pPr>
    </w:p>
    <w:p w14:paraId="458FD215" w14:textId="77777777" w:rsidR="00090EE9" w:rsidRPr="00285CDE" w:rsidRDefault="00090EE9" w:rsidP="00CB5C55">
      <w:pPr>
        <w:jc w:val="right"/>
      </w:pPr>
    </w:p>
    <w:p w14:paraId="76AE7893" w14:textId="77777777" w:rsidR="00AA73D3" w:rsidRPr="00285CDE" w:rsidRDefault="00AA73D3" w:rsidP="00FB4FCD">
      <w:pPr>
        <w:pStyle w:val="Parties"/>
        <w:spacing w:before="120"/>
        <w:jc w:val="left"/>
        <w:rPr>
          <w:b/>
          <w:bCs/>
          <w:lang w:val="en-GB"/>
        </w:rPr>
      </w:pPr>
    </w:p>
    <w:p w14:paraId="5EFC04DD" w14:textId="1C040F36" w:rsidR="009B1AC8" w:rsidRPr="00285CDE" w:rsidRDefault="009B1AC8" w:rsidP="00FB4FCD">
      <w:pPr>
        <w:pStyle w:val="Parties"/>
        <w:spacing w:before="120"/>
        <w:jc w:val="left"/>
        <w:rPr>
          <w:b/>
          <w:bCs/>
          <w:lang w:val="en-GB"/>
        </w:rPr>
      </w:pPr>
      <w:r w:rsidRPr="00285CDE">
        <w:rPr>
          <w:b/>
          <w:bCs/>
          <w:lang w:val="en-GB"/>
        </w:rPr>
        <w:t>MANGO AIRLINES SOC LIMITED</w:t>
      </w:r>
      <w:r w:rsidRPr="00285CDE">
        <w:rPr>
          <w:b/>
          <w:bCs/>
          <w:lang w:val="en-GB"/>
        </w:rPr>
        <w:tab/>
      </w:r>
      <w:r w:rsidR="008A5CAB" w:rsidRPr="00285CDE">
        <w:rPr>
          <w:b/>
          <w:bCs/>
          <w:lang w:val="en-GB"/>
        </w:rPr>
        <w:t xml:space="preserve">      </w:t>
      </w:r>
      <w:r w:rsidR="00FB4FCD" w:rsidRPr="00285CDE">
        <w:rPr>
          <w:b/>
          <w:bCs/>
          <w:lang w:val="en-GB"/>
        </w:rPr>
        <w:t xml:space="preserve">                               </w:t>
      </w:r>
      <w:r w:rsidRPr="00285CDE">
        <w:rPr>
          <w:b/>
          <w:bCs/>
          <w:lang w:val="en-GB"/>
        </w:rPr>
        <w:t xml:space="preserve"> </w:t>
      </w:r>
      <w:r w:rsidRPr="00285CDE">
        <w:rPr>
          <w:lang w:val="en-GB"/>
        </w:rPr>
        <w:t>First A</w:t>
      </w:r>
      <w:r w:rsidR="00FB4FCD" w:rsidRPr="00285CDE">
        <w:rPr>
          <w:lang w:val="en-GB"/>
        </w:rPr>
        <w:t>pp</w:t>
      </w:r>
      <w:r w:rsidR="00E5724A" w:rsidRPr="00285CDE">
        <w:rPr>
          <w:lang w:val="en-GB"/>
        </w:rPr>
        <w:t>licant</w:t>
      </w:r>
      <w:r w:rsidR="008A5CAB" w:rsidRPr="00285CDE">
        <w:rPr>
          <w:b/>
          <w:bCs/>
          <w:lang w:val="en-GB"/>
        </w:rPr>
        <w:t xml:space="preserve">  </w:t>
      </w:r>
    </w:p>
    <w:p w14:paraId="3FECEE55" w14:textId="1AD71652" w:rsidR="00F8093B" w:rsidRPr="00285CDE" w:rsidRDefault="00F8093B" w:rsidP="00FB4FCD">
      <w:pPr>
        <w:pStyle w:val="Parties"/>
        <w:spacing w:before="120"/>
        <w:jc w:val="left"/>
        <w:rPr>
          <w:b/>
          <w:bCs/>
          <w:lang w:val="en-GB"/>
        </w:rPr>
      </w:pPr>
      <w:r w:rsidRPr="00285CDE">
        <w:rPr>
          <w:b/>
          <w:bCs/>
          <w:lang w:val="en-GB"/>
        </w:rPr>
        <w:t>(</w:t>
      </w:r>
      <w:r w:rsidRPr="00285CDE">
        <w:rPr>
          <w:b/>
          <w:bCs/>
          <w:i/>
          <w:iCs/>
          <w:lang w:val="en-GB"/>
        </w:rPr>
        <w:t>IN BUSINESS RESCUE</w:t>
      </w:r>
      <w:r w:rsidRPr="00285CDE">
        <w:rPr>
          <w:b/>
          <w:bCs/>
          <w:lang w:val="en-GB"/>
        </w:rPr>
        <w:t>)</w:t>
      </w:r>
    </w:p>
    <w:p w14:paraId="7557DD83" w14:textId="77777777" w:rsidR="00F8093B" w:rsidRPr="00285CDE" w:rsidRDefault="00F8093B" w:rsidP="00FB4FCD">
      <w:pPr>
        <w:pStyle w:val="Parties"/>
        <w:spacing w:before="120"/>
        <w:jc w:val="left"/>
        <w:rPr>
          <w:b/>
          <w:bCs/>
          <w:lang w:val="en-GB"/>
        </w:rPr>
      </w:pPr>
    </w:p>
    <w:p w14:paraId="7442324C" w14:textId="77777777" w:rsidR="00514559" w:rsidRPr="00285CDE" w:rsidRDefault="009B1AC8" w:rsidP="00FB4FCD">
      <w:pPr>
        <w:pStyle w:val="Parties"/>
        <w:spacing w:before="120"/>
        <w:jc w:val="left"/>
        <w:rPr>
          <w:b/>
          <w:bCs/>
          <w:lang w:val="en-GB"/>
        </w:rPr>
      </w:pPr>
      <w:r w:rsidRPr="00285CDE">
        <w:rPr>
          <w:b/>
          <w:bCs/>
          <w:lang w:val="en-GB"/>
        </w:rPr>
        <w:t xml:space="preserve">SIPHO ERIC SONO N.O.                                                                  </w:t>
      </w:r>
      <w:r w:rsidRPr="00285CDE">
        <w:rPr>
          <w:lang w:val="en-GB"/>
        </w:rPr>
        <w:t>Second</w:t>
      </w:r>
      <w:r w:rsidRPr="00285CDE">
        <w:rPr>
          <w:b/>
          <w:bCs/>
          <w:lang w:val="en-GB"/>
        </w:rPr>
        <w:t xml:space="preserve"> </w:t>
      </w:r>
      <w:r w:rsidRPr="00285CDE">
        <w:rPr>
          <w:lang w:val="en-GB"/>
        </w:rPr>
        <w:t>Applicant</w:t>
      </w:r>
      <w:r w:rsidRPr="00285CDE">
        <w:rPr>
          <w:b/>
          <w:bCs/>
          <w:lang w:val="en-GB"/>
        </w:rPr>
        <w:t xml:space="preserve"> </w:t>
      </w:r>
    </w:p>
    <w:p w14:paraId="05DC9EE7" w14:textId="77777777" w:rsidR="00514559" w:rsidRPr="00285CDE" w:rsidRDefault="00514559" w:rsidP="00FB4FCD">
      <w:pPr>
        <w:pStyle w:val="Parties"/>
        <w:spacing w:before="120"/>
        <w:jc w:val="left"/>
        <w:rPr>
          <w:b/>
          <w:bCs/>
          <w:lang w:val="en-GB"/>
        </w:rPr>
      </w:pPr>
    </w:p>
    <w:p w14:paraId="4CA2A402" w14:textId="77777777" w:rsidR="00144E79" w:rsidRPr="00285CDE" w:rsidRDefault="00514559" w:rsidP="00514559">
      <w:pPr>
        <w:pStyle w:val="Parties"/>
        <w:spacing w:before="120"/>
        <w:jc w:val="left"/>
        <w:rPr>
          <w:b/>
          <w:bCs/>
          <w:lang w:val="en-GB"/>
        </w:rPr>
      </w:pPr>
      <w:r w:rsidRPr="00285CDE">
        <w:rPr>
          <w:b/>
          <w:bCs/>
          <w:lang w:val="en-GB"/>
        </w:rPr>
        <w:t xml:space="preserve">NATIONAL UNION OF METALWORKS OF SOUTH AFRICA            </w:t>
      </w:r>
      <w:r w:rsidRPr="00285CDE">
        <w:rPr>
          <w:lang w:val="en-GB"/>
        </w:rPr>
        <w:t>Third Applicant</w:t>
      </w:r>
      <w:r w:rsidRPr="00285CDE">
        <w:rPr>
          <w:b/>
          <w:bCs/>
          <w:lang w:val="en-GB"/>
        </w:rPr>
        <w:t xml:space="preserve">  </w:t>
      </w:r>
    </w:p>
    <w:p w14:paraId="74BC9208" w14:textId="5845C95F" w:rsidR="00514559" w:rsidRPr="00285CDE" w:rsidRDefault="00144E79" w:rsidP="00514559">
      <w:pPr>
        <w:pStyle w:val="Parties"/>
        <w:spacing w:before="120"/>
        <w:jc w:val="left"/>
        <w:rPr>
          <w:b/>
          <w:bCs/>
          <w:lang w:val="en-GB"/>
        </w:rPr>
      </w:pPr>
      <w:r w:rsidRPr="00285CDE">
        <w:rPr>
          <w:b/>
          <w:bCs/>
          <w:lang w:val="en-GB"/>
        </w:rPr>
        <w:t>(INTERVENING)</w:t>
      </w:r>
      <w:r w:rsidR="00514559" w:rsidRPr="00285CDE">
        <w:rPr>
          <w:b/>
          <w:bCs/>
          <w:lang w:val="en-GB"/>
        </w:rPr>
        <w:t xml:space="preserve">                                    </w:t>
      </w:r>
    </w:p>
    <w:p w14:paraId="3DDF161F" w14:textId="013B2DAD" w:rsidR="00222D24" w:rsidRPr="00285CDE" w:rsidRDefault="009B1AC8" w:rsidP="00FB4FCD">
      <w:pPr>
        <w:pStyle w:val="Parties"/>
        <w:spacing w:before="120"/>
        <w:jc w:val="left"/>
        <w:rPr>
          <w:lang w:val="en-GB"/>
        </w:rPr>
      </w:pPr>
      <w:r w:rsidRPr="00285CDE">
        <w:rPr>
          <w:b/>
          <w:bCs/>
          <w:lang w:val="en-GB"/>
        </w:rPr>
        <w:tab/>
      </w:r>
      <w:r w:rsidR="008A5CAB" w:rsidRPr="00285CDE">
        <w:rPr>
          <w:b/>
          <w:bCs/>
          <w:lang w:val="en-GB"/>
        </w:rPr>
        <w:t xml:space="preserve">                                               </w:t>
      </w:r>
      <w:r w:rsidR="00FB4FCD" w:rsidRPr="00285CDE">
        <w:rPr>
          <w:b/>
          <w:bCs/>
          <w:lang w:val="en-GB"/>
        </w:rPr>
        <w:t xml:space="preserve">  </w:t>
      </w:r>
      <w:r w:rsidR="009C7480" w:rsidRPr="00285CDE">
        <w:rPr>
          <w:b/>
          <w:bCs/>
          <w:lang w:val="en-GB"/>
        </w:rPr>
        <w:tab/>
      </w:r>
    </w:p>
    <w:p w14:paraId="39A0CC25" w14:textId="1AD46FFA" w:rsidR="00222D24" w:rsidRPr="00285CDE" w:rsidRDefault="007237D8" w:rsidP="009C7480">
      <w:pPr>
        <w:pStyle w:val="Parties"/>
        <w:rPr>
          <w:lang w:val="en-GB"/>
        </w:rPr>
      </w:pPr>
      <w:r w:rsidRPr="00285CDE">
        <w:rPr>
          <w:lang w:val="en-GB"/>
        </w:rPr>
        <w:t xml:space="preserve">and </w:t>
      </w:r>
    </w:p>
    <w:p w14:paraId="62D879C6" w14:textId="77777777" w:rsidR="00AA73D3" w:rsidRPr="00285CDE" w:rsidRDefault="00AA73D3" w:rsidP="009C7480">
      <w:pPr>
        <w:pStyle w:val="Parties"/>
        <w:rPr>
          <w:lang w:val="en-GB"/>
        </w:rPr>
      </w:pPr>
    </w:p>
    <w:p w14:paraId="02595CA8" w14:textId="77777777" w:rsidR="007237D8" w:rsidRPr="00285CDE" w:rsidRDefault="007237D8" w:rsidP="009C7480">
      <w:pPr>
        <w:pStyle w:val="Parties"/>
        <w:rPr>
          <w:lang w:val="en-GB"/>
        </w:rPr>
      </w:pPr>
      <w:bookmarkStart w:id="1" w:name="_Hlk107739703"/>
    </w:p>
    <w:p w14:paraId="20D32335" w14:textId="3BEC64BC" w:rsidR="00E21156" w:rsidRPr="00285CDE" w:rsidRDefault="00F8093B" w:rsidP="00090EE9">
      <w:pPr>
        <w:pStyle w:val="Parties"/>
        <w:rPr>
          <w:lang w:val="en-GB"/>
        </w:rPr>
      </w:pPr>
      <w:r w:rsidRPr="00285CDE">
        <w:rPr>
          <w:b/>
          <w:bCs/>
          <w:lang w:val="en-GB"/>
        </w:rPr>
        <w:t>THE MINISTER OF PUBLIC ENTERPRISES</w:t>
      </w:r>
      <w:r w:rsidR="00F66213" w:rsidRPr="00285CDE">
        <w:rPr>
          <w:b/>
          <w:bCs/>
          <w:lang w:val="en-GB"/>
        </w:rPr>
        <w:t xml:space="preserve"> </w:t>
      </w:r>
      <w:r w:rsidR="007237D8" w:rsidRPr="00285CDE">
        <w:rPr>
          <w:b/>
          <w:bCs/>
          <w:lang w:val="en-GB"/>
        </w:rPr>
        <w:t xml:space="preserve"> </w:t>
      </w:r>
      <w:bookmarkStart w:id="2" w:name="_Hlk107739644"/>
      <w:r w:rsidR="0037375D" w:rsidRPr="00285CDE">
        <w:rPr>
          <w:b/>
          <w:bCs/>
          <w:lang w:val="en-GB"/>
        </w:rPr>
        <w:t xml:space="preserve">                                </w:t>
      </w:r>
      <w:r w:rsidRPr="00285CDE">
        <w:rPr>
          <w:b/>
          <w:bCs/>
          <w:lang w:val="en-GB"/>
        </w:rPr>
        <w:t xml:space="preserve"> </w:t>
      </w:r>
      <w:r w:rsidR="00BD277D" w:rsidRPr="00285CDE">
        <w:rPr>
          <w:lang w:val="en-GB"/>
        </w:rPr>
        <w:t>First</w:t>
      </w:r>
      <w:r w:rsidR="00BD277D" w:rsidRPr="00285CDE">
        <w:rPr>
          <w:b/>
          <w:bCs/>
          <w:lang w:val="en-GB"/>
        </w:rPr>
        <w:t xml:space="preserve"> </w:t>
      </w:r>
      <w:r w:rsidR="007237D8" w:rsidRPr="00285CDE">
        <w:rPr>
          <w:lang w:val="en-GB"/>
        </w:rPr>
        <w:t>Respondent</w:t>
      </w:r>
      <w:bookmarkEnd w:id="2"/>
    </w:p>
    <w:p w14:paraId="3BAEA243" w14:textId="77777777" w:rsidR="00090EE9" w:rsidRPr="00285CDE" w:rsidRDefault="00090EE9" w:rsidP="00090EE9">
      <w:pPr>
        <w:pStyle w:val="Parties"/>
        <w:rPr>
          <w:lang w:val="en-GB"/>
        </w:rPr>
      </w:pPr>
    </w:p>
    <w:p w14:paraId="1678F6A0" w14:textId="0FA7F81F" w:rsidR="00E21156" w:rsidRPr="00285CDE" w:rsidRDefault="0037375D" w:rsidP="00090EE9">
      <w:pPr>
        <w:pStyle w:val="Parties"/>
        <w:rPr>
          <w:lang w:val="en-GB"/>
        </w:rPr>
      </w:pPr>
      <w:r w:rsidRPr="00285CDE">
        <w:rPr>
          <w:lang w:val="en-GB"/>
        </w:rPr>
        <w:t xml:space="preserve"> </w:t>
      </w:r>
    </w:p>
    <w:p w14:paraId="3298FEBA" w14:textId="0BC7E466" w:rsidR="0037375D" w:rsidRPr="00285CDE" w:rsidRDefault="00F8093B" w:rsidP="00090EE9">
      <w:pPr>
        <w:tabs>
          <w:tab w:val="right" w:pos="9026"/>
        </w:tabs>
        <w:rPr>
          <w:b/>
          <w:bCs/>
        </w:rPr>
      </w:pPr>
      <w:r w:rsidRPr="00285CDE">
        <w:rPr>
          <w:b/>
          <w:bCs/>
        </w:rPr>
        <w:t xml:space="preserve">THE DEPARTMENT OF PUBLIC ENTERPRISES </w:t>
      </w:r>
      <w:r w:rsidRPr="00285CDE">
        <w:rPr>
          <w:b/>
          <w:bCs/>
        </w:rPr>
        <w:tab/>
        <w:t xml:space="preserve">                      </w:t>
      </w:r>
      <w:r w:rsidR="00E21156" w:rsidRPr="00285CDE">
        <w:t xml:space="preserve">Second </w:t>
      </w:r>
      <w:r w:rsidR="00BD277D" w:rsidRPr="00285CDE">
        <w:t>Respondent</w:t>
      </w:r>
      <w:bookmarkEnd w:id="1"/>
      <w:r w:rsidR="007237D8" w:rsidRPr="00285CDE">
        <w:rPr>
          <w:b/>
          <w:bCs/>
        </w:rPr>
        <w:tab/>
      </w:r>
    </w:p>
    <w:p w14:paraId="0052981F" w14:textId="77777777" w:rsidR="00090EE9" w:rsidRPr="00285CDE" w:rsidRDefault="00090EE9" w:rsidP="00090EE9">
      <w:pPr>
        <w:tabs>
          <w:tab w:val="right" w:pos="9026"/>
        </w:tabs>
        <w:rPr>
          <w:b/>
          <w:bCs/>
        </w:rPr>
      </w:pPr>
    </w:p>
    <w:p w14:paraId="0BCEE80E" w14:textId="6003D83D" w:rsidR="00F8093B" w:rsidRPr="00285CDE" w:rsidRDefault="00F8093B" w:rsidP="00144E79">
      <w:pPr>
        <w:tabs>
          <w:tab w:val="right" w:pos="9026"/>
        </w:tabs>
        <w:rPr>
          <w:b/>
          <w:bCs/>
        </w:rPr>
      </w:pPr>
      <w:r w:rsidRPr="00285CDE">
        <w:rPr>
          <w:b/>
          <w:bCs/>
        </w:rPr>
        <w:t>SOUTH AFRICAN AIRWAYS SOC LTD</w:t>
      </w:r>
      <w:r w:rsidRPr="00285CDE">
        <w:rPr>
          <w:b/>
          <w:bCs/>
        </w:rPr>
        <w:tab/>
      </w:r>
      <w:r w:rsidR="00E21156" w:rsidRPr="00285CDE">
        <w:rPr>
          <w:b/>
          <w:bCs/>
        </w:rPr>
        <w:t xml:space="preserve"> </w:t>
      </w:r>
      <w:r w:rsidR="0037375D" w:rsidRPr="00285CDE">
        <w:rPr>
          <w:b/>
          <w:bCs/>
        </w:rPr>
        <w:t xml:space="preserve">                                       </w:t>
      </w:r>
      <w:r w:rsidR="004D6D56" w:rsidRPr="00285CDE">
        <w:rPr>
          <w:b/>
          <w:bCs/>
        </w:rPr>
        <w:t xml:space="preserve"> </w:t>
      </w:r>
      <w:r w:rsidR="00E21156" w:rsidRPr="00285CDE">
        <w:t>Third Respondent</w:t>
      </w:r>
    </w:p>
    <w:p w14:paraId="23643932" w14:textId="77777777" w:rsidR="00090EE9" w:rsidRPr="00285CDE" w:rsidRDefault="00090EE9" w:rsidP="00090EE9">
      <w:pPr>
        <w:pStyle w:val="Parties"/>
        <w:rPr>
          <w:b/>
          <w:bCs/>
          <w:lang w:val="en-GB"/>
        </w:rPr>
      </w:pPr>
    </w:p>
    <w:p w14:paraId="1EEE8741" w14:textId="0E8B73FB" w:rsidR="00E21156" w:rsidRPr="00285CDE" w:rsidRDefault="00F8093B" w:rsidP="00090EE9">
      <w:pPr>
        <w:pStyle w:val="Parties"/>
        <w:rPr>
          <w:lang w:val="en-GB"/>
        </w:rPr>
      </w:pPr>
      <w:r w:rsidRPr="00285CDE">
        <w:rPr>
          <w:b/>
          <w:bCs/>
          <w:lang w:val="en-GB"/>
        </w:rPr>
        <w:t>THE MINISTER OF FINANCE</w:t>
      </w:r>
      <w:r w:rsidRPr="00285CDE">
        <w:rPr>
          <w:b/>
          <w:bCs/>
          <w:lang w:val="en-GB"/>
        </w:rPr>
        <w:tab/>
      </w:r>
      <w:r w:rsidR="00E21156" w:rsidRPr="00285CDE">
        <w:rPr>
          <w:b/>
          <w:bCs/>
          <w:lang w:val="en-GB"/>
        </w:rPr>
        <w:t xml:space="preserve"> </w:t>
      </w:r>
      <w:r w:rsidR="0037375D" w:rsidRPr="00285CDE">
        <w:rPr>
          <w:b/>
          <w:bCs/>
          <w:lang w:val="en-GB"/>
        </w:rPr>
        <w:t xml:space="preserve">                                    </w:t>
      </w:r>
      <w:r w:rsidR="00E21156" w:rsidRPr="00285CDE">
        <w:rPr>
          <w:lang w:val="en-GB"/>
        </w:rPr>
        <w:t>Fourth Respondent</w:t>
      </w:r>
    </w:p>
    <w:p w14:paraId="3F6A348B" w14:textId="77777777" w:rsidR="00090EE9" w:rsidRPr="00285CDE" w:rsidRDefault="00090EE9" w:rsidP="00090EE9">
      <w:pPr>
        <w:pStyle w:val="Parties"/>
        <w:rPr>
          <w:b/>
          <w:bCs/>
          <w:lang w:val="en-GB"/>
        </w:rPr>
      </w:pPr>
      <w:bookmarkStart w:id="3" w:name="_Hlk107739983"/>
    </w:p>
    <w:p w14:paraId="0574CB91" w14:textId="56F2E5E4" w:rsidR="00E21156" w:rsidRPr="00285CDE" w:rsidRDefault="00F8093B" w:rsidP="00090EE9">
      <w:pPr>
        <w:pStyle w:val="Parties"/>
        <w:rPr>
          <w:lang w:val="en-GB"/>
        </w:rPr>
      </w:pPr>
      <w:r w:rsidRPr="00285CDE">
        <w:rPr>
          <w:b/>
          <w:bCs/>
          <w:lang w:val="en-GB"/>
        </w:rPr>
        <w:lastRenderedPageBreak/>
        <w:t>NATIONAL TREASURY</w:t>
      </w:r>
      <w:r w:rsidRPr="00285CDE">
        <w:rPr>
          <w:b/>
          <w:bCs/>
          <w:lang w:val="en-GB"/>
        </w:rPr>
        <w:tab/>
      </w:r>
      <w:r w:rsidR="00E21156" w:rsidRPr="00285CDE">
        <w:rPr>
          <w:b/>
          <w:bCs/>
          <w:lang w:val="en-GB"/>
        </w:rPr>
        <w:t xml:space="preserve">  </w:t>
      </w:r>
      <w:r w:rsidR="0037375D" w:rsidRPr="00285CDE">
        <w:rPr>
          <w:b/>
          <w:bCs/>
          <w:lang w:val="en-GB"/>
        </w:rPr>
        <w:t xml:space="preserve">                       </w:t>
      </w:r>
      <w:r w:rsidR="00E21156" w:rsidRPr="00285CDE">
        <w:rPr>
          <w:lang w:val="en-GB"/>
        </w:rPr>
        <w:t>Fifth</w:t>
      </w:r>
      <w:r w:rsidR="00E21156" w:rsidRPr="00285CDE">
        <w:rPr>
          <w:b/>
          <w:bCs/>
          <w:lang w:val="en-GB"/>
        </w:rPr>
        <w:t xml:space="preserve"> </w:t>
      </w:r>
      <w:r w:rsidR="00E21156" w:rsidRPr="00285CDE">
        <w:rPr>
          <w:lang w:val="en-GB"/>
        </w:rPr>
        <w:t>Respondent</w:t>
      </w:r>
    </w:p>
    <w:p w14:paraId="45A70EE2" w14:textId="77777777" w:rsidR="00144E79" w:rsidRPr="00285CDE" w:rsidRDefault="00144E79" w:rsidP="00090EE9">
      <w:pPr>
        <w:pStyle w:val="Parties"/>
        <w:rPr>
          <w:lang w:val="en-GB"/>
        </w:rPr>
      </w:pPr>
    </w:p>
    <w:p w14:paraId="61942B11" w14:textId="77777777" w:rsidR="00144E79" w:rsidRPr="00285CDE" w:rsidRDefault="00144E79" w:rsidP="00090EE9">
      <w:pPr>
        <w:pStyle w:val="Parties"/>
        <w:rPr>
          <w:lang w:val="en-GB"/>
        </w:rPr>
      </w:pPr>
    </w:p>
    <w:p w14:paraId="3F707628" w14:textId="16ED132B" w:rsidR="00E21156" w:rsidRPr="00285CDE" w:rsidRDefault="00F8093B" w:rsidP="00090EE9">
      <w:pPr>
        <w:tabs>
          <w:tab w:val="right" w:pos="8931"/>
        </w:tabs>
      </w:pPr>
      <w:r w:rsidRPr="00285CDE">
        <w:rPr>
          <w:b/>
          <w:bCs/>
        </w:rPr>
        <w:t>THE INTERNATIONAL AIR SERVICES COUNCIL</w:t>
      </w:r>
      <w:r w:rsidR="00E21156" w:rsidRPr="00285CDE">
        <w:rPr>
          <w:b/>
          <w:bCs/>
        </w:rPr>
        <w:t xml:space="preserve">           </w:t>
      </w:r>
      <w:r w:rsidR="00197B69" w:rsidRPr="00285CDE">
        <w:rPr>
          <w:b/>
          <w:bCs/>
        </w:rPr>
        <w:t xml:space="preserve">             </w:t>
      </w:r>
      <w:r w:rsidR="008B6815" w:rsidRPr="00285CDE">
        <w:rPr>
          <w:b/>
          <w:bCs/>
        </w:rPr>
        <w:tab/>
      </w:r>
      <w:r w:rsidR="00E21156" w:rsidRPr="00285CDE">
        <w:t>Sixth Respondent</w:t>
      </w:r>
    </w:p>
    <w:p w14:paraId="51154DD8" w14:textId="77777777" w:rsidR="00090EE9" w:rsidRPr="00285CDE" w:rsidRDefault="00090EE9" w:rsidP="00090EE9">
      <w:pPr>
        <w:pStyle w:val="Parties"/>
        <w:rPr>
          <w:b/>
          <w:bCs/>
          <w:lang w:val="en-GB"/>
        </w:rPr>
      </w:pPr>
    </w:p>
    <w:p w14:paraId="04D5FA91" w14:textId="200507D4" w:rsidR="00E21156" w:rsidRPr="00285CDE" w:rsidRDefault="00F8093B" w:rsidP="00090EE9">
      <w:pPr>
        <w:pStyle w:val="Parties"/>
        <w:rPr>
          <w:lang w:val="en-GB"/>
        </w:rPr>
      </w:pPr>
      <w:r w:rsidRPr="00285CDE">
        <w:rPr>
          <w:b/>
          <w:bCs/>
          <w:lang w:val="en-GB"/>
        </w:rPr>
        <w:t>THE AIR SERVICES LICENSING COUNCIL</w:t>
      </w:r>
      <w:r w:rsidR="00C327C9" w:rsidRPr="00285CDE">
        <w:rPr>
          <w:b/>
          <w:bCs/>
          <w:lang w:val="en-GB"/>
        </w:rPr>
        <w:t xml:space="preserve">  </w:t>
      </w:r>
      <w:r w:rsidR="00E21156" w:rsidRPr="00285CDE">
        <w:rPr>
          <w:b/>
          <w:bCs/>
          <w:lang w:val="en-GB"/>
        </w:rPr>
        <w:t xml:space="preserve">  </w:t>
      </w:r>
      <w:r w:rsidR="0037375D" w:rsidRPr="00285CDE">
        <w:rPr>
          <w:b/>
          <w:bCs/>
          <w:lang w:val="en-GB"/>
        </w:rPr>
        <w:t xml:space="preserve">                         </w:t>
      </w:r>
      <w:r w:rsidR="008B6815" w:rsidRPr="00285CDE">
        <w:rPr>
          <w:b/>
          <w:bCs/>
          <w:lang w:val="en-GB"/>
        </w:rPr>
        <w:tab/>
      </w:r>
      <w:r w:rsidR="00E21156" w:rsidRPr="00285CDE">
        <w:rPr>
          <w:lang w:val="en-GB"/>
        </w:rPr>
        <w:t>Seventh</w:t>
      </w:r>
      <w:r w:rsidR="00E21156" w:rsidRPr="00285CDE">
        <w:rPr>
          <w:b/>
          <w:bCs/>
          <w:lang w:val="en-GB"/>
        </w:rPr>
        <w:t xml:space="preserve"> </w:t>
      </w:r>
      <w:r w:rsidR="00E21156" w:rsidRPr="00285CDE">
        <w:rPr>
          <w:lang w:val="en-GB"/>
        </w:rPr>
        <w:t>Respondent</w:t>
      </w:r>
    </w:p>
    <w:p w14:paraId="06B35D86" w14:textId="77777777" w:rsidR="00090EE9" w:rsidRPr="00285CDE" w:rsidRDefault="00090EE9" w:rsidP="00090EE9">
      <w:pPr>
        <w:rPr>
          <w:b/>
          <w:bCs/>
        </w:rPr>
      </w:pPr>
    </w:p>
    <w:p w14:paraId="4A060AAA" w14:textId="2F3B22BC" w:rsidR="009C7480" w:rsidRPr="00285CDE" w:rsidRDefault="00F8093B" w:rsidP="00090EE9">
      <w:pPr>
        <w:rPr>
          <w:b/>
          <w:bCs/>
        </w:rPr>
      </w:pPr>
      <w:r w:rsidRPr="00285CDE">
        <w:rPr>
          <w:b/>
          <w:bCs/>
        </w:rPr>
        <w:t>THE AFFECTED PERSONS OF MANGO AIRLINES SOC</w:t>
      </w:r>
      <w:r w:rsidRPr="00285CDE">
        <w:rPr>
          <w:b/>
          <w:bCs/>
        </w:rPr>
        <w:tab/>
        <w:t xml:space="preserve">       </w:t>
      </w:r>
      <w:r w:rsidR="00F03EF8" w:rsidRPr="00285CDE">
        <w:t>Eight</w:t>
      </w:r>
      <w:r w:rsidR="008B6815" w:rsidRPr="00285CDE">
        <w:t>h</w:t>
      </w:r>
      <w:r w:rsidR="00E21156" w:rsidRPr="00285CDE">
        <w:t xml:space="preserve"> Respondent</w:t>
      </w:r>
      <w:r w:rsidR="00AE6041" w:rsidRPr="00285CDE">
        <w:t xml:space="preserve"> </w:t>
      </w:r>
      <w:r w:rsidR="004E19FE" w:rsidRPr="00285CDE">
        <w:t xml:space="preserve"> </w:t>
      </w:r>
    </w:p>
    <w:bookmarkEnd w:id="3"/>
    <w:p w14:paraId="0C67F181" w14:textId="791D2ED4" w:rsidR="00E21156" w:rsidRPr="00285CDE" w:rsidRDefault="006E1777" w:rsidP="00090EE9">
      <w:pPr>
        <w:rPr>
          <w:b/>
          <w:bCs/>
        </w:rPr>
      </w:pPr>
      <w:r w:rsidRPr="00285CDE">
        <w:rPr>
          <w:b/>
          <w:bCs/>
        </w:rPr>
        <w:t>LIMITED (IN BUSINESS RESCUE)</w:t>
      </w:r>
    </w:p>
    <w:p w14:paraId="63C12D5E" w14:textId="77777777" w:rsidR="00090EE9" w:rsidRDefault="00090EE9" w:rsidP="00090EE9">
      <w:pPr>
        <w:rPr>
          <w:b/>
          <w:bCs/>
        </w:rPr>
      </w:pPr>
    </w:p>
    <w:p w14:paraId="054ED641" w14:textId="77777777" w:rsidR="00CA1EE4" w:rsidRDefault="00CA1EE4" w:rsidP="00090EE9">
      <w:pPr>
        <w:rPr>
          <w:b/>
          <w:bCs/>
        </w:rPr>
      </w:pPr>
    </w:p>
    <w:p w14:paraId="5CAF1DC0" w14:textId="4D26020E" w:rsidR="00CA1EE4" w:rsidRPr="00285CDE" w:rsidRDefault="00CA1EE4" w:rsidP="00CA1EE4">
      <w:pPr>
        <w:spacing w:after="200" w:line="360" w:lineRule="auto"/>
        <w:contextualSpacing/>
        <w:rPr>
          <w:rFonts w:eastAsia="Arial Unicode MS" w:cs="Arial"/>
          <w:bCs/>
          <w:szCs w:val="24"/>
          <w:lang w:eastAsia="zh-CN"/>
        </w:rPr>
      </w:pPr>
      <w:r w:rsidRPr="00285CD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w:t>
      </w:r>
      <w:r>
        <w:rPr>
          <w:rFonts w:eastAsia="Arial Unicode MS" w:cs="Arial"/>
          <w:bCs/>
          <w:szCs w:val="24"/>
          <w:lang w:eastAsia="zh-CN"/>
        </w:rPr>
        <w:t>be 0</w:t>
      </w:r>
      <w:r w:rsidR="00BC42F4">
        <w:rPr>
          <w:rFonts w:eastAsia="Arial Unicode MS" w:cs="Arial"/>
          <w:bCs/>
          <w:szCs w:val="24"/>
          <w:lang w:eastAsia="zh-CN"/>
        </w:rPr>
        <w:t>6</w:t>
      </w:r>
      <w:r>
        <w:rPr>
          <w:rFonts w:eastAsia="Arial Unicode MS" w:cs="Arial"/>
          <w:bCs/>
          <w:szCs w:val="24"/>
          <w:lang w:eastAsia="zh-CN"/>
        </w:rPr>
        <w:t xml:space="preserve"> September</w:t>
      </w:r>
      <w:r w:rsidRPr="00285CDE">
        <w:rPr>
          <w:rFonts w:eastAsia="Arial Unicode MS" w:cs="Arial"/>
          <w:bCs/>
          <w:szCs w:val="24"/>
          <w:lang w:eastAsia="zh-CN"/>
        </w:rPr>
        <w:t xml:space="preserve"> 2023.</w:t>
      </w:r>
    </w:p>
    <w:p w14:paraId="517984AA" w14:textId="77777777" w:rsidR="00CA1EE4" w:rsidRPr="00285CDE" w:rsidRDefault="00CA1EE4" w:rsidP="00090EE9">
      <w:pPr>
        <w:rPr>
          <w:b/>
          <w:bCs/>
        </w:rPr>
      </w:pPr>
    </w:p>
    <w:p w14:paraId="1B080BE2" w14:textId="77777777" w:rsidR="00090EE9" w:rsidRPr="00285CDE" w:rsidRDefault="00090EE9" w:rsidP="00090EE9">
      <w:pPr>
        <w:rPr>
          <w:b/>
          <w:bCs/>
        </w:rPr>
      </w:pPr>
    </w:p>
    <w:p w14:paraId="665A472A" w14:textId="48EC0188" w:rsidR="00450A5A" w:rsidRPr="00285CDE" w:rsidRDefault="003A3344" w:rsidP="00763EF5">
      <w:pPr>
        <w:pStyle w:val="TramLines"/>
        <w:jc w:val="center"/>
      </w:pPr>
      <w:r w:rsidRPr="00285CDE">
        <w:t xml:space="preserve">JUDGMENT </w:t>
      </w:r>
    </w:p>
    <w:p w14:paraId="0EB6B790" w14:textId="77777777" w:rsidR="001F79CE" w:rsidRDefault="001F79CE" w:rsidP="00130D1F">
      <w:pPr>
        <w:rPr>
          <w:b/>
        </w:rPr>
      </w:pPr>
    </w:p>
    <w:p w14:paraId="07E1FAC2" w14:textId="77777777" w:rsidR="001F79CE" w:rsidRDefault="001F79CE" w:rsidP="00130D1F">
      <w:pPr>
        <w:rPr>
          <w:b/>
        </w:rPr>
      </w:pPr>
    </w:p>
    <w:p w14:paraId="57E5C294" w14:textId="12ACBD2C" w:rsidR="00FC6030" w:rsidRPr="00285CDE" w:rsidRDefault="00BC748E" w:rsidP="00130D1F">
      <w:pPr>
        <w:rPr>
          <w:b/>
        </w:rPr>
      </w:pPr>
      <w:r w:rsidRPr="00285CDE">
        <w:rPr>
          <w:b/>
        </w:rPr>
        <w:t>PHOOKO</w:t>
      </w:r>
      <w:r w:rsidR="001D2EA8" w:rsidRPr="00285CDE">
        <w:rPr>
          <w:b/>
        </w:rPr>
        <w:t xml:space="preserve"> </w:t>
      </w:r>
      <w:r w:rsidR="00130D1F" w:rsidRPr="00285CDE">
        <w:rPr>
          <w:b/>
        </w:rPr>
        <w:t>AJ</w:t>
      </w:r>
      <w:r w:rsidR="009C242A" w:rsidRPr="00285CDE">
        <w:rPr>
          <w:b/>
        </w:rPr>
        <w:t xml:space="preserve"> </w:t>
      </w:r>
    </w:p>
    <w:p w14:paraId="5B7A0E1F" w14:textId="747C9A0B" w:rsidR="00E81F46" w:rsidRPr="00285CDE" w:rsidRDefault="00E81F46" w:rsidP="00130D1F">
      <w:pPr>
        <w:rPr>
          <w:b/>
        </w:rPr>
      </w:pPr>
    </w:p>
    <w:p w14:paraId="6B2E8F94" w14:textId="14077D07" w:rsidR="00E81F46" w:rsidRPr="00285CDE" w:rsidRDefault="00E81F46" w:rsidP="00130D1F">
      <w:pPr>
        <w:rPr>
          <w:b/>
        </w:rPr>
      </w:pPr>
      <w:bookmarkStart w:id="4" w:name="_Hlk94344738"/>
      <w:r w:rsidRPr="00285CDE">
        <w:rPr>
          <w:b/>
        </w:rPr>
        <w:t>INTRODUCTION</w:t>
      </w:r>
    </w:p>
    <w:p w14:paraId="7304A3E2" w14:textId="1C8E2924" w:rsidR="00986A0D" w:rsidRPr="00285CDE" w:rsidRDefault="00890EE4" w:rsidP="00890EE4">
      <w:pPr>
        <w:pStyle w:val="1"/>
        <w:numPr>
          <w:ilvl w:val="0"/>
          <w:numId w:val="0"/>
        </w:numPr>
        <w:tabs>
          <w:tab w:val="left" w:pos="567"/>
        </w:tabs>
        <w:spacing w:line="360" w:lineRule="auto"/>
        <w:ind w:left="567" w:hanging="567"/>
      </w:pPr>
      <w:r w:rsidRPr="00285CDE">
        <w:rPr>
          <w:rFonts w:cs="Arial"/>
          <w:szCs w:val="24"/>
        </w:rPr>
        <w:t>[1]</w:t>
      </w:r>
      <w:r w:rsidRPr="00285CDE">
        <w:rPr>
          <w:rFonts w:cs="Arial"/>
          <w:szCs w:val="24"/>
        </w:rPr>
        <w:tab/>
      </w:r>
      <w:r w:rsidR="005D5988" w:rsidRPr="00285CDE">
        <w:t>T</w:t>
      </w:r>
      <w:r w:rsidR="00580E80" w:rsidRPr="00285CDE">
        <w:t>his case involves</w:t>
      </w:r>
      <w:r w:rsidR="00B761FB" w:rsidRPr="00285CDE">
        <w:t xml:space="preserve"> </w:t>
      </w:r>
      <w:r w:rsidR="00580E80" w:rsidRPr="00285CDE">
        <w:t>Mango Airline</w:t>
      </w:r>
      <w:r w:rsidR="004B796A">
        <w:t>s</w:t>
      </w:r>
      <w:r w:rsidR="00580E80" w:rsidRPr="00285CDE">
        <w:t xml:space="preserve"> </w:t>
      </w:r>
      <w:r w:rsidR="002865AB">
        <w:t xml:space="preserve">SOC Limited (Mango Airlines) </w:t>
      </w:r>
      <w:r w:rsidR="00580E80" w:rsidRPr="00285CDE">
        <w:t xml:space="preserve">whose </w:t>
      </w:r>
      <w:r w:rsidR="00986A0D" w:rsidRPr="00285CDE">
        <w:t>airfoils</w:t>
      </w:r>
      <w:r w:rsidR="00580E80" w:rsidRPr="00285CDE">
        <w:t xml:space="preserve"> have </w:t>
      </w:r>
      <w:r w:rsidR="009566C9">
        <w:t xml:space="preserve">been grounded </w:t>
      </w:r>
      <w:r w:rsidR="00580E80" w:rsidRPr="00285CDE">
        <w:t>due to</w:t>
      </w:r>
      <w:r w:rsidR="005F16B3" w:rsidRPr="00285CDE">
        <w:t xml:space="preserve"> dire</w:t>
      </w:r>
      <w:r w:rsidR="00580E80" w:rsidRPr="00285CDE">
        <w:t xml:space="preserve"> financial constraints</w:t>
      </w:r>
      <w:r w:rsidR="00514559" w:rsidRPr="00285CDE">
        <w:t xml:space="preserve"> experienced by the airline</w:t>
      </w:r>
      <w:r w:rsidR="00580E80" w:rsidRPr="00285CDE">
        <w:t xml:space="preserve">. </w:t>
      </w:r>
      <w:r w:rsidR="009566C9">
        <w:t>T</w:t>
      </w:r>
      <w:r w:rsidR="00580E80" w:rsidRPr="00285CDE">
        <w:t>he airline has been grounded</w:t>
      </w:r>
      <w:r w:rsidR="009566C9">
        <w:t xml:space="preserve"> for almost </w:t>
      </w:r>
      <w:r w:rsidR="00583C90">
        <w:t>two</w:t>
      </w:r>
      <w:r w:rsidR="009566C9">
        <w:t xml:space="preserve"> years.</w:t>
      </w:r>
    </w:p>
    <w:p w14:paraId="438398C7" w14:textId="41DB7E6E" w:rsidR="005D5988" w:rsidRPr="00285CDE" w:rsidRDefault="00890EE4" w:rsidP="00890EE4">
      <w:pPr>
        <w:pStyle w:val="1"/>
        <w:numPr>
          <w:ilvl w:val="0"/>
          <w:numId w:val="0"/>
        </w:numPr>
        <w:tabs>
          <w:tab w:val="left" w:pos="567"/>
        </w:tabs>
        <w:spacing w:line="360" w:lineRule="auto"/>
        <w:ind w:left="567" w:hanging="567"/>
      </w:pPr>
      <w:r w:rsidRPr="00285CDE">
        <w:rPr>
          <w:rFonts w:cs="Arial"/>
          <w:szCs w:val="24"/>
        </w:rPr>
        <w:t>[2]</w:t>
      </w:r>
      <w:r w:rsidRPr="00285CDE">
        <w:rPr>
          <w:rFonts w:cs="Arial"/>
          <w:szCs w:val="24"/>
        </w:rPr>
        <w:tab/>
      </w:r>
      <w:r w:rsidR="009566C9">
        <w:t>Despite ongoing</w:t>
      </w:r>
      <w:r w:rsidR="00580E80" w:rsidRPr="00285CDE">
        <w:t xml:space="preserve"> </w:t>
      </w:r>
      <w:r w:rsidR="00BE0E4A" w:rsidRPr="00285CDE">
        <w:t>business rescue efforts</w:t>
      </w:r>
      <w:r w:rsidR="009566C9">
        <w:t>,</w:t>
      </w:r>
      <w:r w:rsidR="00580E80" w:rsidRPr="00285CDE">
        <w:t xml:space="preserve"> </w:t>
      </w:r>
      <w:r w:rsidR="009566C9">
        <w:t xml:space="preserve">business rescue proceedings were put on hold </w:t>
      </w:r>
      <w:r w:rsidR="00580E80" w:rsidRPr="00285CDE">
        <w:t>due to various factors</w:t>
      </w:r>
      <w:r w:rsidR="009566C9">
        <w:t>, one of them being</w:t>
      </w:r>
      <w:r w:rsidR="00467AF8">
        <w:t xml:space="preserve"> </w:t>
      </w:r>
      <w:r w:rsidR="00580E80" w:rsidRPr="00285CDE">
        <w:t xml:space="preserve">the </w:t>
      </w:r>
      <w:r w:rsidR="00B761FB" w:rsidRPr="00285CDE">
        <w:t xml:space="preserve">alleged </w:t>
      </w:r>
      <w:r w:rsidR="00580E80" w:rsidRPr="00285CDE">
        <w:t>absence of outstanding additional relevant information</w:t>
      </w:r>
      <w:r w:rsidR="004629E2" w:rsidRPr="00285CDE">
        <w:t xml:space="preserve"> </w:t>
      </w:r>
      <w:r w:rsidR="00514559" w:rsidRPr="00285CDE">
        <w:t>from the</w:t>
      </w:r>
      <w:r w:rsidR="004629E2" w:rsidRPr="00285CDE">
        <w:t xml:space="preserve"> </w:t>
      </w:r>
      <w:r w:rsidR="00B761FB" w:rsidRPr="00285CDE">
        <w:t>appropriate</w:t>
      </w:r>
      <w:r w:rsidR="004629E2" w:rsidRPr="00285CDE">
        <w:t xml:space="preserve"> accounting authority with </w:t>
      </w:r>
      <w:r w:rsidR="00B761FB" w:rsidRPr="00285CDE">
        <w:t>the</w:t>
      </w:r>
      <w:r w:rsidR="004629E2" w:rsidRPr="00285CDE">
        <w:t xml:space="preserve"> capacity to </w:t>
      </w:r>
      <w:r w:rsidR="00B761FB" w:rsidRPr="00285CDE">
        <w:t xml:space="preserve">file </w:t>
      </w:r>
      <w:r w:rsidR="00986A0D" w:rsidRPr="00285CDE">
        <w:t>an application for business rescue in terms of</w:t>
      </w:r>
      <w:r w:rsidR="00B761FB" w:rsidRPr="00285CDE">
        <w:t xml:space="preserve"> </w:t>
      </w:r>
      <w:r w:rsidR="005F16B3" w:rsidRPr="00285CDE">
        <w:t>section 54(2)</w:t>
      </w:r>
      <w:r w:rsidR="00B761FB" w:rsidRPr="00285CDE">
        <w:t xml:space="preserve"> </w:t>
      </w:r>
      <w:r w:rsidR="00986A0D" w:rsidRPr="00285CDE">
        <w:t>of the Public Finance Management Act 1 of 1999 (</w:t>
      </w:r>
      <w:r w:rsidR="00054C64">
        <w:t>“</w:t>
      </w:r>
      <w:r w:rsidR="00986A0D" w:rsidRPr="00285CDE">
        <w:t>the PFMA</w:t>
      </w:r>
      <w:r w:rsidR="00054C64">
        <w:t>”</w:t>
      </w:r>
      <w:r w:rsidR="00986A0D" w:rsidRPr="00285CDE">
        <w:t xml:space="preserve">) </w:t>
      </w:r>
      <w:r w:rsidR="00B761FB" w:rsidRPr="00285CDE">
        <w:t>on behalf of</w:t>
      </w:r>
      <w:r w:rsidR="004629E2" w:rsidRPr="00285CDE">
        <w:t xml:space="preserve"> Mango Airline</w:t>
      </w:r>
      <w:r w:rsidR="00467AF8">
        <w:t>s</w:t>
      </w:r>
      <w:r w:rsidR="004629E2" w:rsidRPr="00285CDE">
        <w:t xml:space="preserve">. </w:t>
      </w:r>
    </w:p>
    <w:p w14:paraId="6B8CDCA2" w14:textId="1195FB6F" w:rsidR="0058061B" w:rsidRPr="00285CDE" w:rsidRDefault="00890EE4" w:rsidP="00890EE4">
      <w:pPr>
        <w:pStyle w:val="1"/>
        <w:numPr>
          <w:ilvl w:val="0"/>
          <w:numId w:val="0"/>
        </w:numPr>
        <w:tabs>
          <w:tab w:val="left" w:pos="567"/>
        </w:tabs>
        <w:spacing w:line="360" w:lineRule="auto"/>
        <w:ind w:left="567" w:hanging="567"/>
      </w:pPr>
      <w:r w:rsidRPr="00285CDE">
        <w:rPr>
          <w:rFonts w:cs="Arial"/>
          <w:szCs w:val="24"/>
        </w:rPr>
        <w:t>[3</w:t>
      </w:r>
      <w:bookmarkStart w:id="5" w:name="_GoBack"/>
      <w:bookmarkEnd w:id="5"/>
      <w:r w:rsidRPr="00285CDE">
        <w:rPr>
          <w:rFonts w:cs="Arial"/>
          <w:szCs w:val="24"/>
        </w:rPr>
        <w:t>]</w:t>
      </w:r>
      <w:r w:rsidRPr="00285CDE">
        <w:rPr>
          <w:rFonts w:cs="Arial"/>
          <w:szCs w:val="24"/>
        </w:rPr>
        <w:tab/>
      </w:r>
      <w:r w:rsidR="008E2FF8">
        <w:t xml:space="preserve">The crux of this matter concerns the alleged failure </w:t>
      </w:r>
      <w:r w:rsidR="00A67ACE">
        <w:t>by</w:t>
      </w:r>
      <w:r w:rsidR="008E2FF8">
        <w:t xml:space="preserve"> the First Respondent to make a decision </w:t>
      </w:r>
      <w:r w:rsidR="00A67ACE">
        <w:t>regarding</w:t>
      </w:r>
      <w:r w:rsidR="008E2FF8">
        <w:t xml:space="preserve"> the section 54(2) application that was submitted to him/her in December 2022. </w:t>
      </w:r>
      <w:r w:rsidR="00BE0E4A" w:rsidRPr="00285CDE">
        <w:t xml:space="preserve">This brings to the fore </w:t>
      </w:r>
      <w:r w:rsidR="004629E2" w:rsidRPr="00285CDE">
        <w:t>the interplay between the</w:t>
      </w:r>
      <w:r w:rsidR="00986A0D" w:rsidRPr="00285CDE">
        <w:t xml:space="preserve"> provisions of </w:t>
      </w:r>
      <w:r w:rsidR="00514559" w:rsidRPr="00285CDE">
        <w:t xml:space="preserve">the PFMA </w:t>
      </w:r>
      <w:r w:rsidR="004629E2" w:rsidRPr="00285CDE">
        <w:t>and the Companies Act</w:t>
      </w:r>
      <w:r w:rsidR="00514559" w:rsidRPr="00285CDE">
        <w:t xml:space="preserve"> 71 of 2008 (</w:t>
      </w:r>
      <w:r w:rsidR="00054C64">
        <w:t>“</w:t>
      </w:r>
      <w:r w:rsidR="00514559" w:rsidRPr="00285CDE">
        <w:t>the Companies Act</w:t>
      </w:r>
      <w:r w:rsidR="00054C64">
        <w:t>”</w:t>
      </w:r>
      <w:r w:rsidR="00514559" w:rsidRPr="00285CDE">
        <w:t>)</w:t>
      </w:r>
      <w:r w:rsidR="004629E2" w:rsidRPr="00285CDE">
        <w:t xml:space="preserve"> </w:t>
      </w:r>
      <w:r w:rsidR="004629E2" w:rsidRPr="00285CDE">
        <w:lastRenderedPageBreak/>
        <w:t>in so far as they relate to business rescue</w:t>
      </w:r>
      <w:r w:rsidR="009566C9">
        <w:t xml:space="preserve"> proceedings involving public entities</w:t>
      </w:r>
      <w:r w:rsidR="004629E2" w:rsidRPr="00285CDE">
        <w:t>, the accounting authority, and an application for</w:t>
      </w:r>
      <w:r w:rsidR="00BE0E4A" w:rsidRPr="00285CDE">
        <w:t xml:space="preserve"> approval</w:t>
      </w:r>
      <w:r w:rsidR="004629E2" w:rsidRPr="00285CDE">
        <w:t xml:space="preserve"> </w:t>
      </w:r>
      <w:r w:rsidR="00BE0E4A" w:rsidRPr="00285CDE">
        <w:t xml:space="preserve">of </w:t>
      </w:r>
      <w:r w:rsidR="004629E2" w:rsidRPr="00285CDE">
        <w:t xml:space="preserve">disposal of public </w:t>
      </w:r>
      <w:r w:rsidR="00B761FB" w:rsidRPr="00285CDE">
        <w:t>assets</w:t>
      </w:r>
      <w:r w:rsidR="005F16B3" w:rsidRPr="00285CDE">
        <w:t xml:space="preserve"> amongst others</w:t>
      </w:r>
      <w:r w:rsidR="004629E2" w:rsidRPr="00285CDE">
        <w:t>.</w:t>
      </w:r>
    </w:p>
    <w:p w14:paraId="14C241C1" w14:textId="19E216EB" w:rsidR="00144E79" w:rsidRPr="00285CDE" w:rsidRDefault="00890EE4" w:rsidP="00890EE4">
      <w:pPr>
        <w:pStyle w:val="1"/>
        <w:numPr>
          <w:ilvl w:val="0"/>
          <w:numId w:val="0"/>
        </w:numPr>
        <w:tabs>
          <w:tab w:val="left" w:pos="567"/>
        </w:tabs>
        <w:spacing w:line="360" w:lineRule="auto"/>
        <w:ind w:left="567" w:hanging="567"/>
      </w:pPr>
      <w:r w:rsidRPr="00285CDE">
        <w:rPr>
          <w:rFonts w:cs="Arial"/>
          <w:szCs w:val="24"/>
        </w:rPr>
        <w:t>[4]</w:t>
      </w:r>
      <w:r w:rsidRPr="00285CDE">
        <w:rPr>
          <w:rFonts w:cs="Arial"/>
          <w:szCs w:val="24"/>
        </w:rPr>
        <w:tab/>
      </w:r>
      <w:r w:rsidR="00BE0E4A" w:rsidRPr="00285CDE">
        <w:t>Aggrieved by the First Respondent’s</w:t>
      </w:r>
      <w:r w:rsidR="00DE3AD3" w:rsidRPr="00285CDE">
        <w:t xml:space="preserve"> </w:t>
      </w:r>
      <w:r w:rsidR="00BE0E4A" w:rsidRPr="00285CDE">
        <w:t xml:space="preserve">delay in </w:t>
      </w:r>
      <w:r w:rsidR="00B761FB" w:rsidRPr="00285CDE">
        <w:t xml:space="preserve">processing and deciding </w:t>
      </w:r>
      <w:r w:rsidR="00986A0D" w:rsidRPr="00285CDE">
        <w:t xml:space="preserve">on </w:t>
      </w:r>
      <w:r w:rsidR="00BE0E4A" w:rsidRPr="00285CDE">
        <w:t>their application</w:t>
      </w:r>
      <w:r w:rsidR="00C960BD" w:rsidRPr="00285CDE">
        <w:t xml:space="preserve"> </w:t>
      </w:r>
      <w:r w:rsidR="00144E79" w:rsidRPr="00285CDE">
        <w:t xml:space="preserve">lodged </w:t>
      </w:r>
      <w:r w:rsidR="00545927" w:rsidRPr="00285CDE">
        <w:t>in terms of section 54(2)</w:t>
      </w:r>
      <w:r w:rsidR="00545927" w:rsidRPr="00285CDE">
        <w:rPr>
          <w:rStyle w:val="FootnoteReference"/>
        </w:rPr>
        <w:footnoteReference w:id="1"/>
      </w:r>
      <w:r w:rsidR="00545927" w:rsidRPr="00285CDE">
        <w:t xml:space="preserve"> of the PFMA</w:t>
      </w:r>
      <w:r w:rsidR="00BE0E4A" w:rsidRPr="00285CDE">
        <w:t xml:space="preserve">, the </w:t>
      </w:r>
      <w:r w:rsidR="00144E79" w:rsidRPr="00285CDE">
        <w:t xml:space="preserve">First and Second </w:t>
      </w:r>
      <w:r w:rsidR="00BE0E4A" w:rsidRPr="00285CDE">
        <w:t>Applicants</w:t>
      </w:r>
      <w:r w:rsidR="00DE3AD3" w:rsidRPr="00285CDE">
        <w:t xml:space="preserve"> </w:t>
      </w:r>
      <w:r w:rsidR="00BE0E4A" w:rsidRPr="00285CDE">
        <w:t xml:space="preserve">launched this application </w:t>
      </w:r>
      <w:r w:rsidR="00BE0E4A" w:rsidRPr="00CA1EE4">
        <w:rPr>
          <w:i/>
          <w:iCs w:val="0"/>
        </w:rPr>
        <w:t>inter alia</w:t>
      </w:r>
      <w:r w:rsidR="00BE0E4A" w:rsidRPr="00285CDE">
        <w:t xml:space="preserve"> </w:t>
      </w:r>
      <w:r w:rsidR="009566C9">
        <w:t>seeking an order from this</w:t>
      </w:r>
      <w:r w:rsidR="00BE0E4A" w:rsidRPr="00285CDE">
        <w:t xml:space="preserve"> Court </w:t>
      </w:r>
      <w:r w:rsidR="009566C9">
        <w:t>that compels</w:t>
      </w:r>
      <w:r w:rsidR="00BE0E4A" w:rsidRPr="00285CDE">
        <w:t xml:space="preserve"> the </w:t>
      </w:r>
      <w:r w:rsidR="00144E79" w:rsidRPr="00285CDE">
        <w:t>First</w:t>
      </w:r>
      <w:r w:rsidR="00BE0E4A" w:rsidRPr="00285CDE">
        <w:t xml:space="preserve"> Respondent to </w:t>
      </w:r>
      <w:r w:rsidR="009566C9">
        <w:t>make</w:t>
      </w:r>
      <w:r w:rsidR="00AC1ECB">
        <w:t xml:space="preserve"> a decision</w:t>
      </w:r>
      <w:r w:rsidR="00986A0D" w:rsidRPr="00285CDE">
        <w:t xml:space="preserve"> </w:t>
      </w:r>
      <w:r w:rsidR="009566C9">
        <w:t>with</w:t>
      </w:r>
      <w:r w:rsidR="00986A0D" w:rsidRPr="00285CDE">
        <w:t xml:space="preserve"> </w:t>
      </w:r>
      <w:r w:rsidR="00955F0C">
        <w:t xml:space="preserve">regards to </w:t>
      </w:r>
      <w:r w:rsidR="00986A0D" w:rsidRPr="00285CDE">
        <w:t>their application and/or to declare that the application has been approved by operation of law as per section 54(3) of the PFMA</w:t>
      </w:r>
      <w:r w:rsidR="00BE0E4A" w:rsidRPr="00285CDE">
        <w:t xml:space="preserve">. </w:t>
      </w:r>
    </w:p>
    <w:p w14:paraId="2E5AD435" w14:textId="57FCD772" w:rsidR="004616EF" w:rsidRDefault="00890EE4" w:rsidP="00890EE4">
      <w:pPr>
        <w:pStyle w:val="1"/>
        <w:numPr>
          <w:ilvl w:val="0"/>
          <w:numId w:val="0"/>
        </w:numPr>
        <w:tabs>
          <w:tab w:val="left" w:pos="567"/>
        </w:tabs>
        <w:spacing w:line="360" w:lineRule="auto"/>
        <w:ind w:left="567" w:hanging="567"/>
      </w:pPr>
      <w:r>
        <w:rPr>
          <w:rFonts w:cs="Arial"/>
          <w:szCs w:val="24"/>
        </w:rPr>
        <w:t>[5]</w:t>
      </w:r>
      <w:r>
        <w:rPr>
          <w:rFonts w:cs="Arial"/>
          <w:szCs w:val="24"/>
        </w:rPr>
        <w:tab/>
      </w:r>
      <w:r w:rsidR="00DE3AD3" w:rsidRPr="00285CDE">
        <w:t xml:space="preserve">The Third </w:t>
      </w:r>
      <w:r w:rsidR="00144E79" w:rsidRPr="00285CDE">
        <w:t>Applicant</w:t>
      </w:r>
      <w:r w:rsidR="00DE3AD3" w:rsidRPr="00285CDE">
        <w:t xml:space="preserve"> </w:t>
      </w:r>
      <w:r w:rsidR="002865AB">
        <w:t xml:space="preserve">filed an application </w:t>
      </w:r>
      <w:r w:rsidR="00DE3AD3" w:rsidRPr="00285CDE">
        <w:t xml:space="preserve">to intervene on behalf of </w:t>
      </w:r>
      <w:r w:rsidR="00144E79" w:rsidRPr="00285CDE">
        <w:t>its</w:t>
      </w:r>
      <w:r w:rsidR="00DE3AD3" w:rsidRPr="00285CDE">
        <w:t xml:space="preserve"> members and </w:t>
      </w:r>
      <w:r w:rsidR="00144E79" w:rsidRPr="00285CDE">
        <w:t>asked this Court to</w:t>
      </w:r>
      <w:r w:rsidR="00DE3AD3" w:rsidRPr="00285CDE">
        <w:t xml:space="preserve"> review the First Respondent’s </w:t>
      </w:r>
      <w:r w:rsidR="009566C9">
        <w:t>omission</w:t>
      </w:r>
      <w:r w:rsidR="00DE3AD3" w:rsidRPr="00285CDE">
        <w:t>,</w:t>
      </w:r>
      <w:r w:rsidR="00955F0C">
        <w:t xml:space="preserve"> being</w:t>
      </w:r>
      <w:r w:rsidR="00DE3AD3" w:rsidRPr="00285CDE">
        <w:t xml:space="preserve"> a failure to </w:t>
      </w:r>
      <w:r w:rsidR="00AC1ECB">
        <w:t>take a decision</w:t>
      </w:r>
      <w:r w:rsidR="00DE3AD3" w:rsidRPr="00285CDE">
        <w:t>.</w:t>
      </w:r>
    </w:p>
    <w:p w14:paraId="42AAB78F" w14:textId="556327DB" w:rsidR="000D1D14" w:rsidRPr="00285CDE" w:rsidRDefault="00890EE4" w:rsidP="00890EE4">
      <w:pPr>
        <w:pStyle w:val="1"/>
        <w:numPr>
          <w:ilvl w:val="0"/>
          <w:numId w:val="0"/>
        </w:numPr>
        <w:tabs>
          <w:tab w:val="left" w:pos="567"/>
        </w:tabs>
        <w:spacing w:line="360" w:lineRule="auto"/>
        <w:ind w:left="567" w:hanging="567"/>
      </w:pPr>
      <w:r w:rsidRPr="00285CDE">
        <w:rPr>
          <w:rFonts w:cs="Arial"/>
          <w:szCs w:val="24"/>
        </w:rPr>
        <w:t>[6]</w:t>
      </w:r>
      <w:r w:rsidRPr="00285CDE">
        <w:rPr>
          <w:rFonts w:cs="Arial"/>
          <w:szCs w:val="24"/>
        </w:rPr>
        <w:tab/>
      </w:r>
      <w:r w:rsidR="000D1D14" w:rsidRPr="00285CDE">
        <w:t>The First Respondent, the Second Respondent,</w:t>
      </w:r>
      <w:r w:rsidR="000D1D14">
        <w:t xml:space="preserve"> the Fourth Respondent, and the Fifth Respondent </w:t>
      </w:r>
      <w:r w:rsidR="000D1D14" w:rsidRPr="00285CDE">
        <w:t>are the parties who opposed the relief sought by the Applicants save for the application to intervene lodged by the Third Applicant.</w:t>
      </w:r>
    </w:p>
    <w:bookmarkEnd w:id="4"/>
    <w:p w14:paraId="00EEDFD2" w14:textId="0A8B4026" w:rsidR="004A1021" w:rsidRPr="00285CDE" w:rsidRDefault="004A1021" w:rsidP="004D6D56">
      <w:pPr>
        <w:pStyle w:val="1"/>
        <w:numPr>
          <w:ilvl w:val="0"/>
          <w:numId w:val="0"/>
        </w:numPr>
        <w:spacing w:line="360" w:lineRule="auto"/>
        <w:rPr>
          <w:b/>
          <w:bCs/>
          <w:szCs w:val="24"/>
        </w:rPr>
      </w:pPr>
      <w:r w:rsidRPr="00285CDE">
        <w:rPr>
          <w:b/>
          <w:bCs/>
          <w:szCs w:val="24"/>
        </w:rPr>
        <w:t xml:space="preserve">THE PARTIES </w:t>
      </w:r>
    </w:p>
    <w:p w14:paraId="2C3DB438" w14:textId="189CE0A7" w:rsidR="00B316CB" w:rsidRPr="00285CDE" w:rsidRDefault="00890EE4" w:rsidP="00890EE4">
      <w:pPr>
        <w:pStyle w:val="1"/>
        <w:numPr>
          <w:ilvl w:val="0"/>
          <w:numId w:val="0"/>
        </w:numPr>
        <w:tabs>
          <w:tab w:val="left" w:pos="567"/>
        </w:tabs>
        <w:spacing w:line="360" w:lineRule="auto"/>
        <w:ind w:left="567" w:hanging="567"/>
      </w:pPr>
      <w:r w:rsidRPr="00285CDE">
        <w:rPr>
          <w:rFonts w:cs="Arial"/>
          <w:szCs w:val="24"/>
        </w:rPr>
        <w:t>[7]</w:t>
      </w:r>
      <w:r w:rsidRPr="00285CDE">
        <w:rPr>
          <w:rFonts w:cs="Arial"/>
          <w:szCs w:val="24"/>
        </w:rPr>
        <w:tab/>
      </w:r>
      <w:r w:rsidR="004A1021" w:rsidRPr="00285CDE">
        <w:t xml:space="preserve">The </w:t>
      </w:r>
      <w:r w:rsidR="004616EF" w:rsidRPr="00285CDE">
        <w:t xml:space="preserve">First </w:t>
      </w:r>
      <w:r w:rsidR="002F10A4" w:rsidRPr="00285CDE">
        <w:t>App</w:t>
      </w:r>
      <w:r w:rsidR="00B316CB" w:rsidRPr="00285CDE">
        <w:t>licant</w:t>
      </w:r>
      <w:r w:rsidR="008918E8" w:rsidRPr="00285CDE">
        <w:t xml:space="preserve"> </w:t>
      </w:r>
      <w:r w:rsidR="00B316CB" w:rsidRPr="00285CDE">
        <w:t xml:space="preserve">is </w:t>
      </w:r>
      <w:r w:rsidR="00D066D9" w:rsidRPr="00285CDE">
        <w:t>Mango Airline</w:t>
      </w:r>
      <w:r w:rsidR="002865AB">
        <w:t>s</w:t>
      </w:r>
      <w:r w:rsidR="00955F0C">
        <w:t xml:space="preserve">, </w:t>
      </w:r>
      <w:r w:rsidR="004616EF" w:rsidRPr="00285CDE">
        <w:t xml:space="preserve">a </w:t>
      </w:r>
      <w:r w:rsidR="007E5777" w:rsidRPr="00285CDE">
        <w:t>state-owned</w:t>
      </w:r>
      <w:r w:rsidR="004616EF" w:rsidRPr="00285CDE">
        <w:t xml:space="preserve"> company </w:t>
      </w:r>
      <w:r w:rsidR="00955F0C">
        <w:t xml:space="preserve">currently undergoing business rescue proceedings, </w:t>
      </w:r>
      <w:r w:rsidR="004616EF" w:rsidRPr="00285CDE">
        <w:t xml:space="preserve">with registration number 2006/018129/30 </w:t>
      </w:r>
      <w:r w:rsidR="007E5777" w:rsidRPr="00285CDE">
        <w:t>incorporated</w:t>
      </w:r>
      <w:r w:rsidR="004616EF" w:rsidRPr="00285CDE">
        <w:t xml:space="preserve"> with limited liability in accordance with the laws of South Africa with </w:t>
      </w:r>
      <w:r w:rsidR="007E5777" w:rsidRPr="00285CDE">
        <w:t xml:space="preserve">a </w:t>
      </w:r>
      <w:r w:rsidR="004616EF" w:rsidRPr="00285CDE">
        <w:t xml:space="preserve">registered address at Mezzanine Level, Domestic Departures Terminal, OR Tambo International Airport, </w:t>
      </w:r>
      <w:r w:rsidR="007E5777" w:rsidRPr="00285CDE">
        <w:t>Kempton</w:t>
      </w:r>
      <w:r w:rsidR="004616EF" w:rsidRPr="00285CDE">
        <w:t xml:space="preserve"> Park, 1627. As a </w:t>
      </w:r>
      <w:r w:rsidR="007E5777" w:rsidRPr="00285CDE">
        <w:t>state-owned</w:t>
      </w:r>
      <w:r w:rsidR="004616EF" w:rsidRPr="00285CDE">
        <w:t xml:space="preserve"> entity, </w:t>
      </w:r>
      <w:r w:rsidR="00D066D9" w:rsidRPr="00285CDE">
        <w:t>M</w:t>
      </w:r>
      <w:r w:rsidR="004616EF" w:rsidRPr="00285CDE">
        <w:t>ango</w:t>
      </w:r>
      <w:r w:rsidR="00D066D9" w:rsidRPr="00285CDE">
        <w:t xml:space="preserve"> Airline</w:t>
      </w:r>
      <w:r w:rsidR="00F21A82">
        <w:t>s</w:t>
      </w:r>
      <w:r w:rsidR="004616EF" w:rsidRPr="00285CDE">
        <w:t xml:space="preserve"> is governed in accordance with the prescripts of, </w:t>
      </w:r>
      <w:r w:rsidR="004616EF" w:rsidRPr="00285CDE">
        <w:lastRenderedPageBreak/>
        <w:t xml:space="preserve">amongst others, the </w:t>
      </w:r>
      <w:r w:rsidR="007E5777" w:rsidRPr="00285CDE">
        <w:t xml:space="preserve">PFMA. </w:t>
      </w:r>
    </w:p>
    <w:p w14:paraId="1FE993A4" w14:textId="357D07B1" w:rsidR="007E5777" w:rsidRPr="00285CDE" w:rsidRDefault="00890EE4" w:rsidP="00890EE4">
      <w:pPr>
        <w:pStyle w:val="1"/>
        <w:numPr>
          <w:ilvl w:val="0"/>
          <w:numId w:val="0"/>
        </w:numPr>
        <w:tabs>
          <w:tab w:val="left" w:pos="567"/>
        </w:tabs>
        <w:spacing w:line="360" w:lineRule="auto"/>
        <w:ind w:left="567" w:hanging="567"/>
      </w:pPr>
      <w:r w:rsidRPr="00285CDE">
        <w:rPr>
          <w:rFonts w:cs="Arial"/>
          <w:szCs w:val="24"/>
        </w:rPr>
        <w:t>[8]</w:t>
      </w:r>
      <w:r w:rsidRPr="00285CDE">
        <w:rPr>
          <w:rFonts w:cs="Arial"/>
          <w:szCs w:val="24"/>
        </w:rPr>
        <w:tab/>
      </w:r>
      <w:r w:rsidR="007E5777" w:rsidRPr="00285CDE">
        <w:t xml:space="preserve">The Second Applicant is Sipho Eric </w:t>
      </w:r>
      <w:r w:rsidR="00D066D9" w:rsidRPr="00285CDE">
        <w:t xml:space="preserve">Sono </w:t>
      </w:r>
      <w:r w:rsidR="007E5777" w:rsidRPr="00285CDE">
        <w:t xml:space="preserve">who is cited in </w:t>
      </w:r>
      <w:r w:rsidR="007B6C9C" w:rsidRPr="00285CDE">
        <w:t>these proceedings</w:t>
      </w:r>
      <w:r w:rsidR="007E5777" w:rsidRPr="00285CDE">
        <w:t xml:space="preserve"> in his capacity as the duly appointed </w:t>
      </w:r>
      <w:r w:rsidR="00D066D9" w:rsidRPr="00285CDE">
        <w:t>b</w:t>
      </w:r>
      <w:r w:rsidR="007E5777" w:rsidRPr="00285CDE">
        <w:t xml:space="preserve">usiness </w:t>
      </w:r>
      <w:r w:rsidR="00D066D9" w:rsidRPr="00285CDE">
        <w:t>r</w:t>
      </w:r>
      <w:r w:rsidR="007E5777" w:rsidRPr="00285CDE">
        <w:t xml:space="preserve">escue </w:t>
      </w:r>
      <w:r w:rsidR="00D066D9" w:rsidRPr="00285CDE">
        <w:t>p</w:t>
      </w:r>
      <w:r w:rsidR="007E5777" w:rsidRPr="00285CDE">
        <w:t xml:space="preserve">ractitioner </w:t>
      </w:r>
      <w:r w:rsidR="000D1D14" w:rsidRPr="00285CDE">
        <w:t>(</w:t>
      </w:r>
      <w:r w:rsidR="000D1D14">
        <w:t>“</w:t>
      </w:r>
      <w:r w:rsidR="000D1D14" w:rsidRPr="00285CDE">
        <w:t>the BRP</w:t>
      </w:r>
      <w:r w:rsidR="000D1D14">
        <w:t>”</w:t>
      </w:r>
      <w:r w:rsidR="000D1D14" w:rsidRPr="00285CDE">
        <w:t xml:space="preserve">) </w:t>
      </w:r>
      <w:r w:rsidR="007E5777" w:rsidRPr="00285CDE">
        <w:t>of Mango Airline</w:t>
      </w:r>
      <w:r w:rsidR="000D1D14">
        <w:t>s</w:t>
      </w:r>
      <w:r w:rsidR="007E5777" w:rsidRPr="00285CDE">
        <w:t xml:space="preserve">, practicing through his employer, Opis Advisory (Pty) Ltd with registration number 2007/012055/07 whose principal place of business is situated at West Wing, Birchwood Court, 43 Montrose Street, </w:t>
      </w:r>
      <w:r w:rsidR="005A3ABD" w:rsidRPr="00285CDE">
        <w:t>Midrand</w:t>
      </w:r>
      <w:r w:rsidR="007E5777" w:rsidRPr="00285CDE">
        <w:t xml:space="preserve">.  </w:t>
      </w:r>
    </w:p>
    <w:p w14:paraId="2E7DA755" w14:textId="5D76E6B1" w:rsidR="00753006"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[9]</w:t>
      </w:r>
      <w:r w:rsidRPr="00285CDE">
        <w:rPr>
          <w:rFonts w:cs="Arial"/>
          <w:szCs w:val="24"/>
        </w:rPr>
        <w:tab/>
      </w:r>
      <w:r w:rsidR="00857976" w:rsidRPr="00285CDE">
        <w:rPr>
          <w:rFonts w:cs="Arial"/>
          <w:szCs w:val="24"/>
        </w:rPr>
        <w:t xml:space="preserve">The </w:t>
      </w:r>
      <w:r w:rsidR="007B6C9C" w:rsidRPr="00285CDE">
        <w:rPr>
          <w:rFonts w:cs="Arial"/>
          <w:szCs w:val="24"/>
        </w:rPr>
        <w:t>Third Applicant is</w:t>
      </w:r>
      <w:r w:rsidR="005A3ABD" w:rsidRPr="00285CDE">
        <w:rPr>
          <w:rFonts w:cs="Arial"/>
          <w:szCs w:val="24"/>
        </w:rPr>
        <w:t xml:space="preserve"> </w:t>
      </w:r>
      <w:r w:rsidR="007B6C9C" w:rsidRPr="00285CDE">
        <w:rPr>
          <w:rFonts w:cs="Arial"/>
          <w:szCs w:val="24"/>
          <w:lang w:eastAsia="en-US"/>
        </w:rPr>
        <w:t>the National Union of Metalworkers of South Africa (</w:t>
      </w:r>
      <w:r w:rsidR="00FB475C">
        <w:rPr>
          <w:rFonts w:cs="Arial"/>
          <w:szCs w:val="24"/>
          <w:lang w:eastAsia="en-US"/>
        </w:rPr>
        <w:t>“</w:t>
      </w:r>
      <w:r w:rsidR="007B6C9C" w:rsidRPr="00285CDE">
        <w:rPr>
          <w:rFonts w:cs="Arial"/>
          <w:szCs w:val="24"/>
          <w:lang w:eastAsia="en-US"/>
        </w:rPr>
        <w:t>NUMSA</w:t>
      </w:r>
      <w:r w:rsidR="00FB475C">
        <w:rPr>
          <w:rFonts w:cs="Arial"/>
          <w:szCs w:val="24"/>
          <w:lang w:eastAsia="en-US"/>
        </w:rPr>
        <w:t>”</w:t>
      </w:r>
      <w:r w:rsidR="007B6C9C" w:rsidRPr="00285CDE">
        <w:rPr>
          <w:rFonts w:cs="Arial"/>
          <w:szCs w:val="24"/>
          <w:lang w:eastAsia="en-US"/>
        </w:rPr>
        <w:t>), a trade union registered in terms of section 95 of the Labour Relations Act 66 of 1995</w:t>
      </w:r>
      <w:r w:rsidR="005A3ABD" w:rsidRPr="00285CDE">
        <w:rPr>
          <w:rFonts w:cs="Arial"/>
          <w:szCs w:val="24"/>
          <w:lang w:eastAsia="en-US"/>
        </w:rPr>
        <w:t xml:space="preserve"> whose place of business is at 153 Bree Street, corner Gerald Sekoto Street, Newtown, Johannesburg. </w:t>
      </w:r>
    </w:p>
    <w:p w14:paraId="5A27A8A8" w14:textId="65EA02B6" w:rsidR="00AE04D7"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[10]</w:t>
      </w:r>
      <w:r w:rsidRPr="00285CDE">
        <w:rPr>
          <w:rFonts w:cs="Arial"/>
          <w:szCs w:val="24"/>
          <w:lang w:eastAsia="en-US"/>
        </w:rPr>
        <w:tab/>
      </w:r>
      <w:r w:rsidR="00AE04D7" w:rsidRPr="00285CDE">
        <w:rPr>
          <w:rFonts w:cs="Arial"/>
          <w:szCs w:val="24"/>
          <w:lang w:eastAsia="en-US"/>
        </w:rPr>
        <w:t xml:space="preserve">The </w:t>
      </w:r>
      <w:r w:rsidR="005A3ABD" w:rsidRPr="00285CDE">
        <w:rPr>
          <w:rFonts w:cs="Arial"/>
          <w:szCs w:val="24"/>
          <w:lang w:eastAsia="en-US"/>
        </w:rPr>
        <w:t>First</w:t>
      </w:r>
      <w:r w:rsidR="00AE04D7" w:rsidRPr="00285CDE">
        <w:rPr>
          <w:rFonts w:cs="Arial"/>
          <w:szCs w:val="24"/>
          <w:lang w:eastAsia="en-US"/>
        </w:rPr>
        <w:t xml:space="preserve"> Respondent is </w:t>
      </w:r>
      <w:r w:rsidR="005A3ABD" w:rsidRPr="00285CDE">
        <w:rPr>
          <w:rFonts w:cs="Arial"/>
          <w:szCs w:val="24"/>
          <w:lang w:eastAsia="en-US"/>
        </w:rPr>
        <w:t>the Minister of Public Enterprises (</w:t>
      </w:r>
      <w:r w:rsidR="00FB475C">
        <w:rPr>
          <w:rFonts w:cs="Arial"/>
          <w:szCs w:val="24"/>
          <w:lang w:eastAsia="en-US"/>
        </w:rPr>
        <w:t>“</w:t>
      </w:r>
      <w:r w:rsidR="005A3ABD" w:rsidRPr="00285CDE">
        <w:rPr>
          <w:rFonts w:cs="Arial"/>
          <w:szCs w:val="24"/>
          <w:lang w:eastAsia="en-US"/>
        </w:rPr>
        <w:t>the PE Minister</w:t>
      </w:r>
      <w:r w:rsidR="00FB475C">
        <w:rPr>
          <w:rFonts w:cs="Arial"/>
          <w:szCs w:val="24"/>
          <w:lang w:eastAsia="en-US"/>
        </w:rPr>
        <w:t>”</w:t>
      </w:r>
      <w:r w:rsidR="005A3ABD" w:rsidRPr="00285CDE">
        <w:rPr>
          <w:rFonts w:cs="Arial"/>
          <w:szCs w:val="24"/>
          <w:lang w:eastAsia="en-US"/>
        </w:rPr>
        <w:t>) cited in his official capacity whose principal place of business is at 80 Hamilton Street, Arcadia, Pretoria, 007 C/O the State Attorney, Old Mutual Centre, 8</w:t>
      </w:r>
      <w:r w:rsidR="005A3ABD" w:rsidRPr="00285CDE">
        <w:rPr>
          <w:rFonts w:cs="Arial"/>
          <w:szCs w:val="24"/>
          <w:vertAlign w:val="superscript"/>
          <w:lang w:eastAsia="en-US"/>
        </w:rPr>
        <w:t>th</w:t>
      </w:r>
      <w:r w:rsidR="005A3ABD" w:rsidRPr="00285CDE">
        <w:rPr>
          <w:rFonts w:cs="Arial"/>
          <w:szCs w:val="24"/>
          <w:lang w:eastAsia="en-US"/>
        </w:rPr>
        <w:t xml:space="preserve"> Floor, 167 Andries Street, Pretoria, 0001. </w:t>
      </w:r>
      <w:r w:rsidR="000E0C2D" w:rsidRPr="00285CDE">
        <w:rPr>
          <w:rFonts w:cs="Arial"/>
          <w:szCs w:val="24"/>
          <w:lang w:eastAsia="en-US"/>
        </w:rPr>
        <w:t xml:space="preserve"> </w:t>
      </w:r>
    </w:p>
    <w:p w14:paraId="509C7754" w14:textId="7A7B43EE" w:rsidR="004D146B"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[11]</w:t>
      </w:r>
      <w:r w:rsidRPr="00285CDE">
        <w:rPr>
          <w:rFonts w:cs="Arial"/>
          <w:szCs w:val="24"/>
          <w:lang w:eastAsia="en-US"/>
        </w:rPr>
        <w:tab/>
      </w:r>
      <w:r w:rsidR="000E0C2D" w:rsidRPr="00285CDE">
        <w:rPr>
          <w:rFonts w:cs="Arial"/>
          <w:szCs w:val="24"/>
          <w:lang w:eastAsia="en-US"/>
        </w:rPr>
        <w:t xml:space="preserve">The </w:t>
      </w:r>
      <w:r w:rsidR="005A3ABD" w:rsidRPr="00285CDE">
        <w:rPr>
          <w:rFonts w:cs="Arial"/>
          <w:szCs w:val="24"/>
          <w:lang w:eastAsia="en-US"/>
        </w:rPr>
        <w:t xml:space="preserve">Second </w:t>
      </w:r>
      <w:r w:rsidR="000E0C2D" w:rsidRPr="00285CDE">
        <w:rPr>
          <w:rFonts w:cs="Arial"/>
          <w:szCs w:val="24"/>
          <w:lang w:eastAsia="en-US"/>
        </w:rPr>
        <w:t xml:space="preserve">Respondent </w:t>
      </w:r>
      <w:r w:rsidR="00E33BB3" w:rsidRPr="00285CDE">
        <w:rPr>
          <w:rFonts w:cs="Arial"/>
          <w:szCs w:val="24"/>
          <w:lang w:eastAsia="en-US"/>
        </w:rPr>
        <w:t xml:space="preserve">is </w:t>
      </w:r>
      <w:r w:rsidR="005A3ABD" w:rsidRPr="00285CDE">
        <w:rPr>
          <w:rFonts w:cs="Arial"/>
          <w:szCs w:val="24"/>
          <w:lang w:eastAsia="en-US"/>
        </w:rPr>
        <w:t xml:space="preserve">South African </w:t>
      </w:r>
      <w:r w:rsidR="00335A30" w:rsidRPr="00285CDE">
        <w:rPr>
          <w:rFonts w:cs="Arial"/>
          <w:szCs w:val="24"/>
          <w:lang w:eastAsia="en-US"/>
        </w:rPr>
        <w:t>Airways SOC Ltd (</w:t>
      </w:r>
      <w:r w:rsidR="00FB475C">
        <w:rPr>
          <w:rFonts w:cs="Arial"/>
          <w:szCs w:val="24"/>
          <w:lang w:eastAsia="en-US"/>
        </w:rPr>
        <w:t>“</w:t>
      </w:r>
      <w:r w:rsidR="00335A30" w:rsidRPr="00285CDE">
        <w:rPr>
          <w:rFonts w:cs="Arial"/>
          <w:szCs w:val="24"/>
          <w:lang w:eastAsia="en-US"/>
        </w:rPr>
        <w:t>SAA</w:t>
      </w:r>
      <w:r w:rsidR="00FB475C">
        <w:rPr>
          <w:rFonts w:cs="Arial"/>
          <w:szCs w:val="24"/>
          <w:lang w:eastAsia="en-US"/>
        </w:rPr>
        <w:t>”</w:t>
      </w:r>
      <w:r w:rsidR="00335A30" w:rsidRPr="00285CDE">
        <w:rPr>
          <w:rFonts w:cs="Arial"/>
          <w:szCs w:val="24"/>
          <w:lang w:eastAsia="en-US"/>
        </w:rPr>
        <w:t>), a state-owned company with limited liability duly incorporated in accordance with the laws of South Africa with registration number 1997/022444/30 whose registered address is at Airways Park, 32 Jones Road, Kempton Park, Johannesburg, 1627.</w:t>
      </w:r>
    </w:p>
    <w:p w14:paraId="334614C2" w14:textId="1597A72E" w:rsidR="00335A30" w:rsidRPr="00285CDE" w:rsidRDefault="00335A30" w:rsidP="000D1D14">
      <w:pPr>
        <w:pStyle w:val="1"/>
        <w:numPr>
          <w:ilvl w:val="0"/>
          <w:numId w:val="0"/>
        </w:numPr>
        <w:spacing w:line="360" w:lineRule="auto"/>
        <w:ind w:left="1437" w:hanging="870"/>
        <w:rPr>
          <w:rFonts w:cs="Arial"/>
          <w:szCs w:val="24"/>
          <w:lang w:eastAsia="en-US"/>
        </w:rPr>
      </w:pPr>
      <w:r w:rsidRPr="00285CDE">
        <w:rPr>
          <w:rFonts w:cs="Arial"/>
          <w:szCs w:val="24"/>
          <w:lang w:eastAsia="en-US"/>
        </w:rPr>
        <w:t>[</w:t>
      </w:r>
      <w:r w:rsidR="0027741D" w:rsidRPr="00285CDE">
        <w:rPr>
          <w:rFonts w:cs="Arial"/>
          <w:szCs w:val="24"/>
          <w:lang w:eastAsia="en-US"/>
        </w:rPr>
        <w:t>1</w:t>
      </w:r>
      <w:r w:rsidR="00CA1EE4">
        <w:rPr>
          <w:rFonts w:cs="Arial"/>
          <w:szCs w:val="24"/>
          <w:lang w:eastAsia="en-US"/>
        </w:rPr>
        <w:t>1</w:t>
      </w:r>
      <w:r w:rsidRPr="00285CDE">
        <w:rPr>
          <w:rFonts w:cs="Arial"/>
          <w:szCs w:val="24"/>
          <w:lang w:eastAsia="en-US"/>
        </w:rPr>
        <w:t xml:space="preserve">.1] </w:t>
      </w:r>
      <w:r w:rsidRPr="00285CDE">
        <w:rPr>
          <w:rFonts w:cs="Arial"/>
          <w:szCs w:val="24"/>
          <w:lang w:eastAsia="en-US"/>
        </w:rPr>
        <w:tab/>
        <w:t>SAA is the sole shareholder of Mango Airline</w:t>
      </w:r>
      <w:r w:rsidR="00F21A82">
        <w:rPr>
          <w:rFonts w:cs="Arial"/>
          <w:szCs w:val="24"/>
          <w:lang w:eastAsia="en-US"/>
        </w:rPr>
        <w:t>s</w:t>
      </w:r>
      <w:r w:rsidRPr="00285CDE">
        <w:rPr>
          <w:rFonts w:cs="Arial"/>
          <w:szCs w:val="24"/>
          <w:lang w:eastAsia="en-US"/>
        </w:rPr>
        <w:t xml:space="preserve"> and owns 100% of </w:t>
      </w:r>
      <w:r w:rsidR="00F21A82">
        <w:rPr>
          <w:rFonts w:cs="Arial"/>
          <w:szCs w:val="24"/>
          <w:lang w:eastAsia="en-US"/>
        </w:rPr>
        <w:t xml:space="preserve">its </w:t>
      </w:r>
      <w:r w:rsidRPr="00285CDE">
        <w:rPr>
          <w:rFonts w:cs="Arial"/>
          <w:szCs w:val="24"/>
          <w:lang w:eastAsia="en-US"/>
        </w:rPr>
        <w:t xml:space="preserve">shares. </w:t>
      </w:r>
    </w:p>
    <w:p w14:paraId="556F0E9C" w14:textId="6F5712DB" w:rsidR="008C6659" w:rsidRPr="00285CDE" w:rsidRDefault="00890EE4" w:rsidP="00890EE4">
      <w:pPr>
        <w:pStyle w:val="1"/>
        <w:numPr>
          <w:ilvl w:val="0"/>
          <w:numId w:val="0"/>
        </w:numPr>
        <w:tabs>
          <w:tab w:val="left" w:pos="567"/>
        </w:tabs>
        <w:spacing w:line="360" w:lineRule="auto"/>
        <w:ind w:left="567" w:hanging="567"/>
      </w:pPr>
      <w:r w:rsidRPr="00285CDE">
        <w:rPr>
          <w:rFonts w:cs="Arial"/>
          <w:szCs w:val="24"/>
        </w:rPr>
        <w:t>[12]</w:t>
      </w:r>
      <w:r w:rsidRPr="00285CDE">
        <w:rPr>
          <w:rFonts w:cs="Arial"/>
          <w:szCs w:val="24"/>
        </w:rPr>
        <w:tab/>
      </w:r>
      <w:r w:rsidR="00E33BB3" w:rsidRPr="00285CDE">
        <w:rPr>
          <w:rFonts w:cs="Arial"/>
          <w:szCs w:val="24"/>
          <w:lang w:eastAsia="en-US"/>
        </w:rPr>
        <w:t xml:space="preserve">The Fourth Respondent </w:t>
      </w:r>
      <w:r w:rsidR="00D07C3B" w:rsidRPr="00285CDE">
        <w:rPr>
          <w:rFonts w:cs="Arial"/>
          <w:szCs w:val="24"/>
          <w:lang w:eastAsia="en-US"/>
        </w:rPr>
        <w:t xml:space="preserve">is </w:t>
      </w:r>
      <w:r w:rsidR="00335A30" w:rsidRPr="00285CDE">
        <w:rPr>
          <w:rFonts w:cs="Arial"/>
          <w:szCs w:val="24"/>
          <w:lang w:eastAsia="en-US"/>
        </w:rPr>
        <w:t>the Minister of Finance who is cited herein in his official capacity and whose address of service is 40 Chur</w:t>
      </w:r>
      <w:r w:rsidR="001C4AAE" w:rsidRPr="00285CDE">
        <w:rPr>
          <w:rFonts w:cs="Arial"/>
          <w:szCs w:val="24"/>
          <w:lang w:eastAsia="en-US"/>
        </w:rPr>
        <w:t xml:space="preserve">ch </w:t>
      </w:r>
      <w:r w:rsidR="00335A30" w:rsidRPr="00285CDE">
        <w:rPr>
          <w:rFonts w:cs="Arial"/>
          <w:szCs w:val="24"/>
          <w:lang w:eastAsia="en-US"/>
        </w:rPr>
        <w:t>Street, Old Reserve Bank Building, 2</w:t>
      </w:r>
      <w:r w:rsidR="00335A30" w:rsidRPr="00285CDE">
        <w:rPr>
          <w:rFonts w:cs="Arial"/>
          <w:szCs w:val="24"/>
          <w:vertAlign w:val="superscript"/>
          <w:lang w:eastAsia="en-US"/>
        </w:rPr>
        <w:t>ND</w:t>
      </w:r>
      <w:r w:rsidR="00335A30" w:rsidRPr="00285CDE">
        <w:rPr>
          <w:rFonts w:cs="Arial"/>
          <w:szCs w:val="24"/>
          <w:lang w:eastAsia="en-US"/>
        </w:rPr>
        <w:t xml:space="preserve"> Floor, Pretoria, c/o the State Attorney, Old Mutual Centre, 8</w:t>
      </w:r>
      <w:r w:rsidR="00335A30" w:rsidRPr="00285CDE">
        <w:rPr>
          <w:rFonts w:cs="Arial"/>
          <w:szCs w:val="24"/>
          <w:vertAlign w:val="superscript"/>
          <w:lang w:eastAsia="en-US"/>
        </w:rPr>
        <w:t>th</w:t>
      </w:r>
      <w:r w:rsidR="00335A30" w:rsidRPr="00285CDE">
        <w:rPr>
          <w:rFonts w:cs="Arial"/>
          <w:szCs w:val="24"/>
          <w:lang w:eastAsia="en-US"/>
        </w:rPr>
        <w:t xml:space="preserve"> Floor, 167 Andries Street, Pretoria, 0001. </w:t>
      </w:r>
    </w:p>
    <w:p w14:paraId="43440AD0" w14:textId="45692FAE" w:rsidR="00263395" w:rsidRPr="00285CDE" w:rsidRDefault="00890EE4" w:rsidP="00890EE4">
      <w:pPr>
        <w:pStyle w:val="1"/>
        <w:numPr>
          <w:ilvl w:val="0"/>
          <w:numId w:val="0"/>
        </w:numPr>
        <w:tabs>
          <w:tab w:val="left" w:pos="567"/>
        </w:tabs>
        <w:spacing w:line="360" w:lineRule="auto"/>
        <w:ind w:left="567" w:hanging="567"/>
      </w:pPr>
      <w:r w:rsidRPr="00285CDE">
        <w:rPr>
          <w:rFonts w:cs="Arial"/>
          <w:szCs w:val="24"/>
        </w:rPr>
        <w:t>[13]</w:t>
      </w:r>
      <w:r w:rsidRPr="00285CDE">
        <w:rPr>
          <w:rFonts w:cs="Arial"/>
          <w:szCs w:val="24"/>
        </w:rPr>
        <w:tab/>
      </w:r>
      <w:r w:rsidR="008C6659" w:rsidRPr="00285CDE">
        <w:t xml:space="preserve">The Fifth Respondent </w:t>
      </w:r>
      <w:r w:rsidR="008C6659" w:rsidRPr="00285CDE">
        <w:rPr>
          <w:rFonts w:cs="Arial"/>
          <w:szCs w:val="24"/>
          <w:lang w:eastAsia="en-US"/>
        </w:rPr>
        <w:t xml:space="preserve">is </w:t>
      </w:r>
      <w:r w:rsidR="001C4AAE" w:rsidRPr="00285CDE">
        <w:rPr>
          <w:rFonts w:cs="Arial"/>
          <w:szCs w:val="24"/>
          <w:lang w:eastAsia="en-US"/>
        </w:rPr>
        <w:t>National Treasury whose principal place of business is at 40 Church Street, Old Reserve Bank Building, 2</w:t>
      </w:r>
      <w:r w:rsidR="001C4AAE" w:rsidRPr="00285CDE">
        <w:rPr>
          <w:rFonts w:cs="Arial"/>
          <w:szCs w:val="24"/>
          <w:vertAlign w:val="superscript"/>
          <w:lang w:eastAsia="en-US"/>
        </w:rPr>
        <w:t>ND</w:t>
      </w:r>
      <w:r w:rsidR="001C4AAE" w:rsidRPr="00285CDE">
        <w:rPr>
          <w:rFonts w:cs="Arial"/>
          <w:szCs w:val="24"/>
          <w:lang w:eastAsia="en-US"/>
        </w:rPr>
        <w:t xml:space="preserve"> Floor, Pretoria, c/o the State Attorney, Old Mutual Centre, 8</w:t>
      </w:r>
      <w:r w:rsidR="001C4AAE" w:rsidRPr="00285CDE">
        <w:rPr>
          <w:rFonts w:cs="Arial"/>
          <w:szCs w:val="24"/>
          <w:vertAlign w:val="superscript"/>
          <w:lang w:eastAsia="en-US"/>
        </w:rPr>
        <w:t>th</w:t>
      </w:r>
      <w:r w:rsidR="001C4AAE" w:rsidRPr="00285CDE">
        <w:rPr>
          <w:rFonts w:cs="Arial"/>
          <w:szCs w:val="24"/>
          <w:lang w:eastAsia="en-US"/>
        </w:rPr>
        <w:t xml:space="preserve"> Floor, 167 Andries Street, Pretoria, 0001.</w:t>
      </w:r>
    </w:p>
    <w:p w14:paraId="0B76ECC4" w14:textId="5A6A91D3" w:rsidR="00360CBD" w:rsidRPr="00285CDE" w:rsidRDefault="00890EE4" w:rsidP="00890EE4">
      <w:pPr>
        <w:pStyle w:val="1"/>
        <w:numPr>
          <w:ilvl w:val="0"/>
          <w:numId w:val="0"/>
        </w:numPr>
        <w:tabs>
          <w:tab w:val="left" w:pos="567"/>
        </w:tabs>
        <w:spacing w:line="360" w:lineRule="auto"/>
        <w:ind w:left="567" w:hanging="567"/>
      </w:pPr>
      <w:r w:rsidRPr="00285CDE">
        <w:rPr>
          <w:rFonts w:cs="Arial"/>
          <w:szCs w:val="24"/>
        </w:rPr>
        <w:lastRenderedPageBreak/>
        <w:t>[14]</w:t>
      </w:r>
      <w:r w:rsidRPr="00285CDE">
        <w:rPr>
          <w:rFonts w:cs="Arial"/>
          <w:szCs w:val="24"/>
        </w:rPr>
        <w:tab/>
      </w:r>
      <w:r w:rsidR="00263395" w:rsidRPr="00285CDE">
        <w:t xml:space="preserve">The Sixth Respondent </w:t>
      </w:r>
      <w:r w:rsidR="00263395" w:rsidRPr="00285CDE">
        <w:rPr>
          <w:rFonts w:cs="Arial"/>
          <w:szCs w:val="24"/>
          <w:lang w:eastAsia="en-US"/>
        </w:rPr>
        <w:t xml:space="preserve">is </w:t>
      </w:r>
      <w:r w:rsidR="00D066D9" w:rsidRPr="00285CDE">
        <w:rPr>
          <w:rFonts w:cs="Arial"/>
          <w:szCs w:val="24"/>
          <w:lang w:eastAsia="en-US"/>
        </w:rPr>
        <w:t>t</w:t>
      </w:r>
      <w:r w:rsidR="00F4102B" w:rsidRPr="00285CDE">
        <w:rPr>
          <w:rFonts w:cs="Arial"/>
          <w:szCs w:val="24"/>
          <w:lang w:eastAsia="en-US"/>
        </w:rPr>
        <w:t xml:space="preserve">he International Air Services Council, a juristic person established in terms of section 3 of the International Air Services Act 60 of 1993 of </w:t>
      </w:r>
      <w:r w:rsidR="00FE4404" w:rsidRPr="00285CDE">
        <w:rPr>
          <w:rFonts w:cs="Arial"/>
          <w:szCs w:val="24"/>
          <w:lang w:eastAsia="en-US"/>
        </w:rPr>
        <w:t>Forum Building Cnr Struben and Bosman Streets, Pretoria, 0001.</w:t>
      </w:r>
    </w:p>
    <w:p w14:paraId="3DC6763A" w14:textId="1C2534E2" w:rsidR="00AF27E8" w:rsidRPr="00285CDE" w:rsidRDefault="00890EE4" w:rsidP="00890EE4">
      <w:pPr>
        <w:pStyle w:val="1"/>
        <w:numPr>
          <w:ilvl w:val="0"/>
          <w:numId w:val="0"/>
        </w:numPr>
        <w:tabs>
          <w:tab w:val="left" w:pos="567"/>
        </w:tabs>
        <w:spacing w:line="360" w:lineRule="auto"/>
        <w:ind w:left="567" w:hanging="567"/>
      </w:pPr>
      <w:r w:rsidRPr="00285CDE">
        <w:rPr>
          <w:rFonts w:cs="Arial"/>
          <w:szCs w:val="24"/>
        </w:rPr>
        <w:t>[15]</w:t>
      </w:r>
      <w:r w:rsidRPr="00285CDE">
        <w:rPr>
          <w:rFonts w:cs="Arial"/>
          <w:szCs w:val="24"/>
        </w:rPr>
        <w:tab/>
      </w:r>
      <w:r w:rsidR="00AF27E8" w:rsidRPr="00285CDE">
        <w:t xml:space="preserve">The Seventh Respondent </w:t>
      </w:r>
      <w:r w:rsidR="00AF27E8" w:rsidRPr="00285CDE">
        <w:rPr>
          <w:rFonts w:cs="Arial"/>
          <w:szCs w:val="24"/>
          <w:lang w:eastAsia="en-US"/>
        </w:rPr>
        <w:t>is</w:t>
      </w:r>
      <w:r w:rsidR="00FE4404" w:rsidRPr="00285CDE">
        <w:rPr>
          <w:rFonts w:cs="Arial"/>
          <w:szCs w:val="24"/>
          <w:lang w:eastAsia="en-US"/>
        </w:rPr>
        <w:t xml:space="preserve"> </w:t>
      </w:r>
      <w:r w:rsidR="00D066D9" w:rsidRPr="00285CDE">
        <w:rPr>
          <w:rFonts w:cs="Arial"/>
          <w:szCs w:val="24"/>
          <w:lang w:eastAsia="en-US"/>
        </w:rPr>
        <w:t>t</w:t>
      </w:r>
      <w:r w:rsidR="00FE4404" w:rsidRPr="00285CDE">
        <w:rPr>
          <w:rFonts w:cs="Arial"/>
          <w:szCs w:val="24"/>
          <w:lang w:eastAsia="en-US"/>
        </w:rPr>
        <w:t>he Air Service Licensing Council</w:t>
      </w:r>
      <w:r w:rsidR="00F21A82">
        <w:rPr>
          <w:rFonts w:cs="Arial"/>
          <w:szCs w:val="24"/>
          <w:lang w:eastAsia="en-US"/>
        </w:rPr>
        <w:t>, a</w:t>
      </w:r>
      <w:r w:rsidR="00AF27E8" w:rsidRPr="00285CDE">
        <w:rPr>
          <w:rFonts w:cs="Arial"/>
          <w:szCs w:val="24"/>
          <w:lang w:eastAsia="en-US"/>
        </w:rPr>
        <w:t xml:space="preserve"> </w:t>
      </w:r>
      <w:r w:rsidR="00FE4404" w:rsidRPr="00285CDE">
        <w:rPr>
          <w:rFonts w:cs="Arial"/>
          <w:szCs w:val="24"/>
          <w:lang w:eastAsia="en-US"/>
        </w:rPr>
        <w:t>juristic person established in terms of section 3 of the International Air Services Act 60 of 1993 of Forum Building Cnr Struben and Bosman Streets, Pretoria, 0001</w:t>
      </w:r>
    </w:p>
    <w:p w14:paraId="5FA3408D" w14:textId="16502842" w:rsidR="008327F7"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[16]</w:t>
      </w:r>
      <w:r w:rsidRPr="00285CDE">
        <w:rPr>
          <w:rFonts w:cs="Arial"/>
          <w:szCs w:val="24"/>
          <w:lang w:eastAsia="en-US"/>
        </w:rPr>
        <w:tab/>
      </w:r>
      <w:r w:rsidR="008327F7" w:rsidRPr="00285CDE">
        <w:t xml:space="preserve">The Eighth </w:t>
      </w:r>
      <w:r w:rsidR="00AE1B02" w:rsidRPr="00285CDE">
        <w:t xml:space="preserve">and </w:t>
      </w:r>
      <w:r w:rsidR="0027741D" w:rsidRPr="00285CDE">
        <w:t>Further</w:t>
      </w:r>
      <w:r w:rsidR="00AE1B02" w:rsidRPr="00285CDE">
        <w:t xml:space="preserve"> </w:t>
      </w:r>
      <w:r w:rsidR="008327F7" w:rsidRPr="00285CDE">
        <w:t>Respondent</w:t>
      </w:r>
      <w:r w:rsidR="00AE1B02" w:rsidRPr="00285CDE">
        <w:t xml:space="preserve">s are </w:t>
      </w:r>
      <w:r w:rsidR="00D066D9" w:rsidRPr="00285CDE">
        <w:t>A</w:t>
      </w:r>
      <w:r w:rsidR="00AE1B02" w:rsidRPr="00285CDE">
        <w:t>ll Affected Persons of Mango</w:t>
      </w:r>
      <w:r w:rsidR="000D1D14">
        <w:t xml:space="preserve"> Airlines</w:t>
      </w:r>
      <w:r w:rsidR="00AE1B02" w:rsidRPr="00285CDE">
        <w:t xml:space="preserve"> as defined in section 128(1)(a) of the Companies Act.</w:t>
      </w:r>
    </w:p>
    <w:p w14:paraId="70B835B9" w14:textId="79D25D3F" w:rsidR="00F442BA"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[17]</w:t>
      </w:r>
      <w:r w:rsidRPr="00285CDE">
        <w:rPr>
          <w:rFonts w:cs="Arial"/>
          <w:szCs w:val="24"/>
          <w:lang w:eastAsia="en-US"/>
        </w:rPr>
        <w:tab/>
      </w:r>
      <w:r w:rsidR="009A6470" w:rsidRPr="00285CDE">
        <w:t xml:space="preserve">There is no relief sought against the </w:t>
      </w:r>
      <w:r w:rsidR="0027741D" w:rsidRPr="00285CDE">
        <w:t>S</w:t>
      </w:r>
      <w:r w:rsidR="009A6470" w:rsidRPr="00285CDE">
        <w:t xml:space="preserve">econd, </w:t>
      </w:r>
      <w:r w:rsidR="0027741D" w:rsidRPr="00285CDE">
        <w:t>E</w:t>
      </w:r>
      <w:r w:rsidR="009A6470" w:rsidRPr="00285CDE">
        <w:t>ighth</w:t>
      </w:r>
      <w:r w:rsidR="0027741D" w:rsidRPr="00285CDE">
        <w:t>,</w:t>
      </w:r>
      <w:r w:rsidR="009A6470" w:rsidRPr="00285CDE">
        <w:t xml:space="preserve"> and </w:t>
      </w:r>
      <w:r w:rsidR="0027741D" w:rsidRPr="00285CDE">
        <w:t>F</w:t>
      </w:r>
      <w:r w:rsidR="009A6470" w:rsidRPr="00285CDE">
        <w:t xml:space="preserve">urther respondents. </w:t>
      </w:r>
    </w:p>
    <w:p w14:paraId="0C54A02C" w14:textId="706E7F3E" w:rsidR="00F442BA" w:rsidRPr="00285CDE" w:rsidRDefault="00F442BA" w:rsidP="000D1D14">
      <w:pPr>
        <w:pStyle w:val="1"/>
        <w:numPr>
          <w:ilvl w:val="0"/>
          <w:numId w:val="0"/>
        </w:numPr>
        <w:spacing w:line="360" w:lineRule="auto"/>
        <w:rPr>
          <w:rFonts w:cs="Arial"/>
          <w:b/>
          <w:szCs w:val="24"/>
          <w:lang w:eastAsia="en-US"/>
        </w:rPr>
      </w:pPr>
      <w:r w:rsidRPr="00285CDE">
        <w:rPr>
          <w:rFonts w:cs="Arial"/>
          <w:b/>
          <w:szCs w:val="24"/>
          <w:lang w:eastAsia="en-US"/>
        </w:rPr>
        <w:t>THE ISSUES</w:t>
      </w:r>
    </w:p>
    <w:p w14:paraId="07F8865D" w14:textId="079F0012" w:rsidR="00B036A2"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[18]</w:t>
      </w:r>
      <w:r w:rsidRPr="00285CDE">
        <w:rPr>
          <w:rFonts w:cs="Arial"/>
          <w:szCs w:val="24"/>
          <w:lang w:eastAsia="en-US"/>
        </w:rPr>
        <w:tab/>
      </w:r>
      <w:r w:rsidR="00135C79" w:rsidRPr="00285CDE">
        <w:rPr>
          <w:rFonts w:cs="Arial"/>
          <w:szCs w:val="24"/>
        </w:rPr>
        <w:t>The issues for determination are</w:t>
      </w:r>
      <w:r w:rsidR="009028D1" w:rsidRPr="00285CDE">
        <w:rPr>
          <w:rFonts w:cs="Arial"/>
          <w:szCs w:val="24"/>
          <w:lang w:eastAsia="en-US"/>
        </w:rPr>
        <w:t>:</w:t>
      </w:r>
      <w:r w:rsidR="005F16B3" w:rsidRPr="00285CDE">
        <w:rPr>
          <w:rFonts w:cs="Arial"/>
          <w:szCs w:val="24"/>
          <w:lang w:eastAsia="en-US"/>
        </w:rPr>
        <w:t xml:space="preserve"> </w:t>
      </w:r>
    </w:p>
    <w:p w14:paraId="17E0470C" w14:textId="77777777" w:rsidR="00170FC0" w:rsidRDefault="00C36F45" w:rsidP="000D1D14">
      <w:pPr>
        <w:autoSpaceDE w:val="0"/>
        <w:autoSpaceDN w:val="0"/>
        <w:adjustRightInd w:val="0"/>
        <w:spacing w:before="360" w:line="360" w:lineRule="auto"/>
        <w:ind w:left="1440" w:hanging="738"/>
        <w:rPr>
          <w:rFonts w:cs="Arial"/>
          <w:szCs w:val="24"/>
          <w:lang w:eastAsia="en-US"/>
        </w:rPr>
      </w:pPr>
      <w:r w:rsidRPr="00285CDE">
        <w:rPr>
          <w:rFonts w:cs="Arial"/>
          <w:szCs w:val="24"/>
          <w:lang w:eastAsia="en-US"/>
        </w:rPr>
        <w:t>[1</w:t>
      </w:r>
      <w:r w:rsidR="00D066D9" w:rsidRPr="00285CDE">
        <w:rPr>
          <w:rFonts w:cs="Arial"/>
          <w:szCs w:val="24"/>
          <w:lang w:eastAsia="en-US"/>
        </w:rPr>
        <w:t>8</w:t>
      </w:r>
      <w:r w:rsidRPr="00285CDE">
        <w:rPr>
          <w:rFonts w:cs="Arial"/>
          <w:szCs w:val="24"/>
          <w:lang w:eastAsia="en-US"/>
        </w:rPr>
        <w:t>.1]</w:t>
      </w:r>
      <w:r w:rsidRPr="00285CDE">
        <w:rPr>
          <w:rFonts w:cs="Arial"/>
          <w:szCs w:val="24"/>
          <w:lang w:eastAsia="en-US"/>
        </w:rPr>
        <w:tab/>
      </w:r>
      <w:bookmarkStart w:id="6" w:name="_Hlk138831952"/>
      <w:r w:rsidR="00F21A82">
        <w:rPr>
          <w:rFonts w:cs="Arial"/>
          <w:szCs w:val="24"/>
          <w:lang w:eastAsia="en-US"/>
        </w:rPr>
        <w:t xml:space="preserve">where there is a conflict between </w:t>
      </w:r>
      <w:r w:rsidR="005F16B3" w:rsidRPr="00285CDE">
        <w:rPr>
          <w:rFonts w:cs="Arial"/>
          <w:szCs w:val="24"/>
          <w:lang w:eastAsia="en-US"/>
        </w:rPr>
        <w:t xml:space="preserve">the provisions of the Companies Act </w:t>
      </w:r>
      <w:r w:rsidR="00F21A82">
        <w:rPr>
          <w:rFonts w:cs="Arial"/>
          <w:szCs w:val="24"/>
          <w:lang w:eastAsia="en-US"/>
        </w:rPr>
        <w:t xml:space="preserve">and the PFMA, which provisions </w:t>
      </w:r>
      <w:r w:rsidR="005F16B3" w:rsidRPr="00285CDE">
        <w:rPr>
          <w:rFonts w:cs="Arial"/>
          <w:szCs w:val="24"/>
          <w:lang w:eastAsia="en-US"/>
        </w:rPr>
        <w:t>should prevail.</w:t>
      </w:r>
    </w:p>
    <w:p w14:paraId="3D0BC1AA" w14:textId="727F4754" w:rsidR="00526E1C" w:rsidRPr="00285CDE" w:rsidRDefault="005F16B3" w:rsidP="000D1D14">
      <w:pPr>
        <w:autoSpaceDE w:val="0"/>
        <w:autoSpaceDN w:val="0"/>
        <w:adjustRightInd w:val="0"/>
        <w:spacing w:before="360" w:line="360" w:lineRule="auto"/>
        <w:ind w:left="1440" w:hanging="738"/>
        <w:rPr>
          <w:rFonts w:cs="Arial"/>
          <w:szCs w:val="24"/>
          <w:lang w:eastAsia="en-US"/>
        </w:rPr>
      </w:pPr>
      <w:r w:rsidRPr="00285CDE">
        <w:rPr>
          <w:rFonts w:cs="Arial"/>
          <w:szCs w:val="24"/>
          <w:lang w:eastAsia="en-US"/>
        </w:rPr>
        <w:t>[1</w:t>
      </w:r>
      <w:r w:rsidR="00D066D9" w:rsidRPr="00285CDE">
        <w:rPr>
          <w:rFonts w:cs="Arial"/>
          <w:szCs w:val="24"/>
          <w:lang w:eastAsia="en-US"/>
        </w:rPr>
        <w:t>8</w:t>
      </w:r>
      <w:r w:rsidRPr="00285CDE">
        <w:rPr>
          <w:rFonts w:cs="Arial"/>
          <w:szCs w:val="24"/>
          <w:lang w:eastAsia="en-US"/>
        </w:rPr>
        <w:t xml:space="preserve">.2] </w:t>
      </w:r>
      <w:r w:rsidR="00F21A82">
        <w:rPr>
          <w:rFonts w:cs="Arial"/>
          <w:szCs w:val="24"/>
          <w:lang w:eastAsia="en-US"/>
        </w:rPr>
        <w:t xml:space="preserve">whether </w:t>
      </w:r>
      <w:r w:rsidR="00526E1C" w:rsidRPr="00285CDE">
        <w:rPr>
          <w:rFonts w:cs="Arial"/>
          <w:szCs w:val="24"/>
          <w:lang w:eastAsia="en-US"/>
        </w:rPr>
        <w:t xml:space="preserve">the application submitted by the applicants and </w:t>
      </w:r>
      <w:r w:rsidR="00B036A2" w:rsidRPr="00285CDE">
        <w:rPr>
          <w:rFonts w:cs="Arial"/>
          <w:szCs w:val="24"/>
          <w:lang w:eastAsia="en-US"/>
        </w:rPr>
        <w:t>SAA</w:t>
      </w:r>
      <w:r w:rsidR="00526E1C" w:rsidRPr="00285CDE">
        <w:rPr>
          <w:rFonts w:cs="Arial"/>
          <w:szCs w:val="24"/>
          <w:lang w:eastAsia="en-US"/>
        </w:rPr>
        <w:t xml:space="preserve"> in terms of </w:t>
      </w:r>
      <w:r w:rsidR="00A36C7A" w:rsidRPr="00285CDE">
        <w:rPr>
          <w:rFonts w:cs="Arial"/>
          <w:szCs w:val="24"/>
          <w:lang w:eastAsia="en-US"/>
        </w:rPr>
        <w:t xml:space="preserve">section </w:t>
      </w:r>
      <w:r w:rsidR="00526E1C" w:rsidRPr="00285CDE">
        <w:rPr>
          <w:rFonts w:cs="Arial"/>
          <w:szCs w:val="24"/>
          <w:lang w:eastAsia="en-US"/>
        </w:rPr>
        <w:t>54(2) of the PFMA was a valid and complete application</w:t>
      </w:r>
      <w:r w:rsidRPr="00285CDE">
        <w:rPr>
          <w:rFonts w:cs="Arial"/>
          <w:szCs w:val="24"/>
          <w:lang w:eastAsia="en-US"/>
        </w:rPr>
        <w:t>.</w:t>
      </w:r>
    </w:p>
    <w:p w14:paraId="46DEA5B8" w14:textId="3EB6E4C6" w:rsidR="00135C79" w:rsidRPr="00285CDE" w:rsidRDefault="00526E1C" w:rsidP="000D1D14">
      <w:pPr>
        <w:pStyle w:val="1"/>
        <w:numPr>
          <w:ilvl w:val="0"/>
          <w:numId w:val="0"/>
        </w:numPr>
        <w:spacing w:line="360" w:lineRule="auto"/>
        <w:ind w:left="1440" w:hanging="720"/>
        <w:rPr>
          <w:rFonts w:cs="Arial"/>
          <w:szCs w:val="24"/>
        </w:rPr>
      </w:pPr>
      <w:r w:rsidRPr="00285CDE">
        <w:rPr>
          <w:rFonts w:cs="Arial"/>
          <w:szCs w:val="24"/>
          <w:lang w:eastAsia="en-US"/>
        </w:rPr>
        <w:t>[1</w:t>
      </w:r>
      <w:r w:rsidR="00D066D9" w:rsidRPr="00285CDE">
        <w:rPr>
          <w:rFonts w:cs="Arial"/>
          <w:szCs w:val="24"/>
          <w:lang w:eastAsia="en-US"/>
        </w:rPr>
        <w:t>8</w:t>
      </w:r>
      <w:r w:rsidRPr="00285CDE">
        <w:rPr>
          <w:rFonts w:cs="Arial"/>
          <w:szCs w:val="24"/>
          <w:lang w:eastAsia="en-US"/>
        </w:rPr>
        <w:t>.</w:t>
      </w:r>
      <w:r w:rsidR="005F16B3" w:rsidRPr="00285CDE">
        <w:rPr>
          <w:rFonts w:cs="Arial"/>
          <w:szCs w:val="24"/>
          <w:lang w:eastAsia="en-US"/>
        </w:rPr>
        <w:t>3</w:t>
      </w:r>
      <w:r w:rsidRPr="00285CDE">
        <w:rPr>
          <w:rFonts w:cs="Arial"/>
          <w:szCs w:val="24"/>
          <w:lang w:eastAsia="en-US"/>
        </w:rPr>
        <w:t xml:space="preserve">] </w:t>
      </w:r>
      <w:r w:rsidR="00F21A82">
        <w:rPr>
          <w:rFonts w:cs="Arial"/>
          <w:szCs w:val="24"/>
          <w:lang w:eastAsia="en-US"/>
        </w:rPr>
        <w:t xml:space="preserve">whether </w:t>
      </w:r>
      <w:r w:rsidRPr="00285CDE">
        <w:rPr>
          <w:rFonts w:cs="Arial"/>
          <w:szCs w:val="24"/>
          <w:lang w:eastAsia="en-US"/>
        </w:rPr>
        <w:t>the section 54(2) application has been approved by operation of section 54(3) of the PFMA.</w:t>
      </w:r>
    </w:p>
    <w:p w14:paraId="6BEFC21C" w14:textId="0B6B6F84" w:rsidR="007774CD" w:rsidRPr="00285CDE" w:rsidRDefault="00C36F45" w:rsidP="000D1D14">
      <w:pPr>
        <w:pStyle w:val="1"/>
        <w:numPr>
          <w:ilvl w:val="0"/>
          <w:numId w:val="0"/>
        </w:numPr>
        <w:spacing w:line="360" w:lineRule="auto"/>
        <w:ind w:left="1440" w:hanging="720"/>
        <w:rPr>
          <w:rFonts w:cs="Arial"/>
          <w:szCs w:val="24"/>
          <w:lang w:eastAsia="en-US"/>
        </w:rPr>
      </w:pPr>
      <w:r w:rsidRPr="00285CDE">
        <w:rPr>
          <w:rFonts w:cs="Arial"/>
          <w:szCs w:val="24"/>
        </w:rPr>
        <w:t>[1</w:t>
      </w:r>
      <w:r w:rsidR="00D066D9" w:rsidRPr="00285CDE">
        <w:rPr>
          <w:rFonts w:cs="Arial"/>
          <w:szCs w:val="24"/>
        </w:rPr>
        <w:t>8</w:t>
      </w:r>
      <w:r w:rsidRPr="00285CDE">
        <w:rPr>
          <w:rFonts w:cs="Arial"/>
          <w:szCs w:val="24"/>
        </w:rPr>
        <w:t>.</w:t>
      </w:r>
      <w:r w:rsidR="005F16B3" w:rsidRPr="00285CDE">
        <w:rPr>
          <w:rFonts w:cs="Arial"/>
          <w:szCs w:val="24"/>
        </w:rPr>
        <w:t>4</w:t>
      </w:r>
      <w:r w:rsidRPr="00285CDE">
        <w:rPr>
          <w:rFonts w:cs="Arial"/>
          <w:szCs w:val="24"/>
        </w:rPr>
        <w:t xml:space="preserve">] </w:t>
      </w:r>
      <w:r w:rsidRPr="00285CDE">
        <w:rPr>
          <w:rFonts w:cs="Arial"/>
          <w:szCs w:val="24"/>
        </w:rPr>
        <w:tab/>
      </w:r>
      <w:r w:rsidR="00F21A82">
        <w:rPr>
          <w:rFonts w:cs="Arial"/>
          <w:szCs w:val="24"/>
        </w:rPr>
        <w:t xml:space="preserve">whether </w:t>
      </w:r>
      <w:r w:rsidR="00526E1C" w:rsidRPr="00285CDE">
        <w:rPr>
          <w:rFonts w:cs="Arial"/>
          <w:szCs w:val="24"/>
          <w:lang w:eastAsia="en-US"/>
        </w:rPr>
        <w:t xml:space="preserve">the First Respondent’s refusal to </w:t>
      </w:r>
      <w:r w:rsidR="00AC1ECB">
        <w:rPr>
          <w:rFonts w:cs="Arial"/>
          <w:szCs w:val="24"/>
          <w:lang w:eastAsia="en-US"/>
        </w:rPr>
        <w:t>take a decision</w:t>
      </w:r>
      <w:r w:rsidR="00526E1C" w:rsidRPr="00285CDE">
        <w:rPr>
          <w:rFonts w:cs="Arial"/>
          <w:szCs w:val="24"/>
          <w:lang w:eastAsia="en-US"/>
        </w:rPr>
        <w:t xml:space="preserve"> in respect of the section 54(2) application is unlawful and constitutionally invalid and/or stands to be reviewed and set aside.</w:t>
      </w:r>
      <w:r w:rsidR="007774CD" w:rsidRPr="00285CDE">
        <w:rPr>
          <w:rFonts w:cs="Arial"/>
          <w:szCs w:val="24"/>
          <w:lang w:eastAsia="en-US"/>
        </w:rPr>
        <w:t xml:space="preserve"> </w:t>
      </w:r>
    </w:p>
    <w:p w14:paraId="24BA8B06" w14:textId="00DB38C5" w:rsidR="00C36F45" w:rsidRPr="00285CDE" w:rsidRDefault="00C36F45" w:rsidP="000D1D14">
      <w:pPr>
        <w:pStyle w:val="1"/>
        <w:numPr>
          <w:ilvl w:val="0"/>
          <w:numId w:val="0"/>
        </w:numPr>
        <w:spacing w:line="360" w:lineRule="auto"/>
        <w:ind w:left="1440" w:hanging="720"/>
        <w:rPr>
          <w:rFonts w:cs="Arial"/>
          <w:szCs w:val="24"/>
          <w:lang w:eastAsia="en-US"/>
        </w:rPr>
      </w:pPr>
      <w:r w:rsidRPr="00285CDE">
        <w:rPr>
          <w:rFonts w:cs="Arial"/>
          <w:szCs w:val="24"/>
          <w:lang w:eastAsia="en-US"/>
        </w:rPr>
        <w:t>[1</w:t>
      </w:r>
      <w:r w:rsidR="00D066D9" w:rsidRPr="00285CDE">
        <w:rPr>
          <w:rFonts w:cs="Arial"/>
          <w:szCs w:val="24"/>
          <w:lang w:eastAsia="en-US"/>
        </w:rPr>
        <w:t>8</w:t>
      </w:r>
      <w:r w:rsidRPr="00285CDE">
        <w:rPr>
          <w:rFonts w:cs="Arial"/>
          <w:szCs w:val="24"/>
          <w:lang w:eastAsia="en-US"/>
        </w:rPr>
        <w:t>.</w:t>
      </w:r>
      <w:r w:rsidR="005F16B3" w:rsidRPr="00285CDE">
        <w:rPr>
          <w:rFonts w:cs="Arial"/>
          <w:szCs w:val="24"/>
          <w:lang w:eastAsia="en-US"/>
        </w:rPr>
        <w:t>5</w:t>
      </w:r>
      <w:r w:rsidRPr="00285CDE">
        <w:rPr>
          <w:rFonts w:cs="Arial"/>
          <w:szCs w:val="24"/>
          <w:lang w:eastAsia="en-US"/>
        </w:rPr>
        <w:t xml:space="preserve">] </w:t>
      </w:r>
      <w:r w:rsidRPr="00285CDE">
        <w:rPr>
          <w:rFonts w:cs="Arial"/>
          <w:szCs w:val="24"/>
          <w:lang w:eastAsia="en-US"/>
        </w:rPr>
        <w:tab/>
      </w:r>
      <w:r w:rsidR="00F21A82">
        <w:rPr>
          <w:rFonts w:cs="Arial"/>
          <w:szCs w:val="24"/>
          <w:lang w:eastAsia="en-US"/>
        </w:rPr>
        <w:t xml:space="preserve">whether </w:t>
      </w:r>
      <w:r w:rsidR="00526E1C" w:rsidRPr="00285CDE">
        <w:rPr>
          <w:rFonts w:cs="Arial"/>
          <w:szCs w:val="24"/>
          <w:lang w:eastAsia="en-US"/>
        </w:rPr>
        <w:t xml:space="preserve">the First </w:t>
      </w:r>
      <w:r w:rsidR="0001632C">
        <w:rPr>
          <w:rFonts w:cs="Arial"/>
          <w:szCs w:val="24"/>
          <w:lang w:eastAsia="en-US"/>
        </w:rPr>
        <w:t>R</w:t>
      </w:r>
      <w:r w:rsidR="00526E1C" w:rsidRPr="00285CDE">
        <w:rPr>
          <w:rFonts w:cs="Arial"/>
          <w:szCs w:val="24"/>
          <w:lang w:eastAsia="en-US"/>
        </w:rPr>
        <w:t xml:space="preserve">espondent is entitled to request </w:t>
      </w:r>
      <w:r w:rsidR="00FB475C">
        <w:rPr>
          <w:rFonts w:cs="Arial"/>
          <w:szCs w:val="24"/>
          <w:lang w:eastAsia="en-US"/>
        </w:rPr>
        <w:t xml:space="preserve">that </w:t>
      </w:r>
      <w:r w:rsidR="00526E1C" w:rsidRPr="00285CDE">
        <w:rPr>
          <w:rFonts w:cs="Arial"/>
          <w:szCs w:val="24"/>
          <w:lang w:eastAsia="en-US"/>
        </w:rPr>
        <w:t xml:space="preserve">the applicants furnish any further information in support of </w:t>
      </w:r>
      <w:r w:rsidR="0027741D" w:rsidRPr="00285CDE">
        <w:rPr>
          <w:rFonts w:cs="Arial"/>
          <w:szCs w:val="24"/>
          <w:lang w:eastAsia="en-US"/>
        </w:rPr>
        <w:t xml:space="preserve">the </w:t>
      </w:r>
      <w:r w:rsidR="00526E1C" w:rsidRPr="00285CDE">
        <w:rPr>
          <w:rFonts w:cs="Arial"/>
          <w:szCs w:val="24"/>
          <w:lang w:eastAsia="en-US"/>
        </w:rPr>
        <w:t>section 54(2) application.</w:t>
      </w:r>
    </w:p>
    <w:p w14:paraId="5902F96C" w14:textId="5A36064D" w:rsidR="00526E1C" w:rsidRPr="00285CDE" w:rsidRDefault="00526E1C" w:rsidP="000D1D14">
      <w:pPr>
        <w:pStyle w:val="1"/>
        <w:numPr>
          <w:ilvl w:val="0"/>
          <w:numId w:val="0"/>
        </w:numPr>
        <w:spacing w:line="360" w:lineRule="auto"/>
        <w:ind w:left="1440" w:hanging="720"/>
        <w:rPr>
          <w:rFonts w:cs="Arial"/>
          <w:szCs w:val="24"/>
          <w:lang w:eastAsia="en-US"/>
        </w:rPr>
      </w:pPr>
      <w:r w:rsidRPr="00285CDE">
        <w:rPr>
          <w:rFonts w:cs="Arial"/>
          <w:szCs w:val="24"/>
          <w:lang w:eastAsia="en-US"/>
        </w:rPr>
        <w:t>[1</w:t>
      </w:r>
      <w:r w:rsidR="00D066D9" w:rsidRPr="00285CDE">
        <w:rPr>
          <w:rFonts w:cs="Arial"/>
          <w:szCs w:val="24"/>
          <w:lang w:eastAsia="en-US"/>
        </w:rPr>
        <w:t>8</w:t>
      </w:r>
      <w:r w:rsidRPr="00285CDE">
        <w:rPr>
          <w:rFonts w:cs="Arial"/>
          <w:szCs w:val="24"/>
          <w:lang w:eastAsia="en-US"/>
        </w:rPr>
        <w:t>.</w:t>
      </w:r>
      <w:r w:rsidR="005F16B3" w:rsidRPr="00285CDE">
        <w:rPr>
          <w:rFonts w:cs="Arial"/>
          <w:szCs w:val="24"/>
          <w:lang w:eastAsia="en-US"/>
        </w:rPr>
        <w:t>6</w:t>
      </w:r>
      <w:r w:rsidRPr="00285CDE">
        <w:rPr>
          <w:rFonts w:cs="Arial"/>
          <w:szCs w:val="24"/>
          <w:lang w:eastAsia="en-US"/>
        </w:rPr>
        <w:t xml:space="preserve">] </w:t>
      </w:r>
      <w:r w:rsidR="0001632C">
        <w:rPr>
          <w:rFonts w:cs="Arial"/>
          <w:szCs w:val="24"/>
          <w:lang w:eastAsia="en-US"/>
        </w:rPr>
        <w:t xml:space="preserve">whether </w:t>
      </w:r>
      <w:r w:rsidRPr="00285CDE">
        <w:rPr>
          <w:rFonts w:cs="Arial"/>
          <w:szCs w:val="24"/>
          <w:lang w:eastAsia="en-US"/>
        </w:rPr>
        <w:t xml:space="preserve">the applicants have the requisite standing/legal interest to seek the relief sought. </w:t>
      </w:r>
    </w:p>
    <w:p w14:paraId="1DAE51F8" w14:textId="5D6107EB" w:rsidR="00526E1C" w:rsidRPr="00285CDE" w:rsidRDefault="00526E1C" w:rsidP="000D1D14">
      <w:pPr>
        <w:pStyle w:val="1"/>
        <w:numPr>
          <w:ilvl w:val="0"/>
          <w:numId w:val="0"/>
        </w:numPr>
        <w:spacing w:line="360" w:lineRule="auto"/>
        <w:ind w:left="1440" w:hanging="720"/>
        <w:rPr>
          <w:rFonts w:cs="Arial"/>
          <w:szCs w:val="24"/>
          <w:lang w:eastAsia="en-US"/>
        </w:rPr>
      </w:pPr>
      <w:r w:rsidRPr="00285CDE">
        <w:rPr>
          <w:rFonts w:cs="Arial"/>
          <w:szCs w:val="24"/>
          <w:lang w:eastAsia="en-US"/>
        </w:rPr>
        <w:lastRenderedPageBreak/>
        <w:t>[1</w:t>
      </w:r>
      <w:r w:rsidR="00D066D9" w:rsidRPr="00285CDE">
        <w:rPr>
          <w:rFonts w:cs="Arial"/>
          <w:szCs w:val="24"/>
          <w:lang w:eastAsia="en-US"/>
        </w:rPr>
        <w:t>8</w:t>
      </w:r>
      <w:r w:rsidRPr="00285CDE">
        <w:rPr>
          <w:rFonts w:cs="Arial"/>
          <w:szCs w:val="24"/>
          <w:lang w:eastAsia="en-US"/>
        </w:rPr>
        <w:t>.</w:t>
      </w:r>
      <w:r w:rsidR="005F16B3" w:rsidRPr="00285CDE">
        <w:rPr>
          <w:rFonts w:cs="Arial"/>
          <w:szCs w:val="24"/>
          <w:lang w:eastAsia="en-US"/>
        </w:rPr>
        <w:t>7</w:t>
      </w:r>
      <w:r w:rsidRPr="00285CDE">
        <w:rPr>
          <w:rFonts w:cs="Arial"/>
          <w:szCs w:val="24"/>
          <w:lang w:eastAsia="en-US"/>
        </w:rPr>
        <w:t xml:space="preserve">] </w:t>
      </w:r>
      <w:r w:rsidR="0001632C">
        <w:rPr>
          <w:rFonts w:cs="Arial"/>
          <w:szCs w:val="24"/>
          <w:lang w:eastAsia="en-US"/>
        </w:rPr>
        <w:t xml:space="preserve">whether </w:t>
      </w:r>
      <w:r w:rsidRPr="00285CDE">
        <w:rPr>
          <w:rFonts w:cs="Arial"/>
          <w:szCs w:val="24"/>
          <w:lang w:eastAsia="en-US"/>
        </w:rPr>
        <w:t>th</w:t>
      </w:r>
      <w:r w:rsidR="0001632C">
        <w:rPr>
          <w:rFonts w:cs="Arial"/>
          <w:szCs w:val="24"/>
          <w:lang w:eastAsia="en-US"/>
        </w:rPr>
        <w:t xml:space="preserve">e </w:t>
      </w:r>
      <w:r w:rsidRPr="00285CDE">
        <w:rPr>
          <w:rFonts w:cs="Arial"/>
          <w:szCs w:val="24"/>
          <w:lang w:eastAsia="en-US"/>
        </w:rPr>
        <w:t>application</w:t>
      </w:r>
      <w:r w:rsidR="0001632C">
        <w:rPr>
          <w:rFonts w:cs="Arial"/>
          <w:szCs w:val="24"/>
          <w:lang w:eastAsia="en-US"/>
        </w:rPr>
        <w:t xml:space="preserve"> before this Court</w:t>
      </w:r>
      <w:r w:rsidRPr="00285CDE">
        <w:rPr>
          <w:rFonts w:cs="Arial"/>
          <w:szCs w:val="24"/>
          <w:lang w:eastAsia="en-US"/>
        </w:rPr>
        <w:t xml:space="preserve"> is premature.</w:t>
      </w:r>
    </w:p>
    <w:p w14:paraId="5F6907C7" w14:textId="6458DAF7" w:rsidR="00526E1C" w:rsidRPr="00285CDE" w:rsidRDefault="00526E1C" w:rsidP="000D1D14">
      <w:pPr>
        <w:pStyle w:val="1"/>
        <w:numPr>
          <w:ilvl w:val="0"/>
          <w:numId w:val="0"/>
        </w:numPr>
        <w:spacing w:line="360" w:lineRule="auto"/>
        <w:ind w:left="1440" w:hanging="720"/>
        <w:rPr>
          <w:rFonts w:cs="Arial"/>
          <w:szCs w:val="24"/>
          <w:lang w:eastAsia="en-US"/>
        </w:rPr>
      </w:pPr>
      <w:r w:rsidRPr="00285CDE">
        <w:rPr>
          <w:rFonts w:cs="Arial"/>
          <w:szCs w:val="24"/>
          <w:lang w:eastAsia="en-US"/>
        </w:rPr>
        <w:t>[1</w:t>
      </w:r>
      <w:r w:rsidR="00D066D9" w:rsidRPr="00285CDE">
        <w:rPr>
          <w:rFonts w:cs="Arial"/>
          <w:szCs w:val="24"/>
          <w:lang w:eastAsia="en-US"/>
        </w:rPr>
        <w:t>8</w:t>
      </w:r>
      <w:r w:rsidRPr="00285CDE">
        <w:rPr>
          <w:rFonts w:cs="Arial"/>
          <w:szCs w:val="24"/>
          <w:lang w:eastAsia="en-US"/>
        </w:rPr>
        <w:t>.</w:t>
      </w:r>
      <w:r w:rsidR="005F16B3" w:rsidRPr="00285CDE">
        <w:rPr>
          <w:rFonts w:cs="Arial"/>
          <w:szCs w:val="24"/>
          <w:lang w:eastAsia="en-US"/>
        </w:rPr>
        <w:t>8</w:t>
      </w:r>
      <w:r w:rsidRPr="00285CDE">
        <w:rPr>
          <w:rFonts w:cs="Arial"/>
          <w:szCs w:val="24"/>
          <w:lang w:eastAsia="en-US"/>
        </w:rPr>
        <w:t xml:space="preserve">] </w:t>
      </w:r>
      <w:r w:rsidR="0001632C">
        <w:rPr>
          <w:rFonts w:cs="Arial"/>
          <w:szCs w:val="24"/>
          <w:lang w:eastAsia="en-US"/>
        </w:rPr>
        <w:t xml:space="preserve">whether </w:t>
      </w:r>
      <w:r w:rsidRPr="00285CDE">
        <w:rPr>
          <w:rFonts w:cs="Arial"/>
          <w:szCs w:val="24"/>
          <w:lang w:eastAsia="en-US"/>
        </w:rPr>
        <w:t>the test for the grant</w:t>
      </w:r>
      <w:r w:rsidR="0001632C">
        <w:rPr>
          <w:rFonts w:cs="Arial"/>
          <w:szCs w:val="24"/>
          <w:lang w:eastAsia="en-US"/>
        </w:rPr>
        <w:t>ing</w:t>
      </w:r>
      <w:r w:rsidRPr="00285CDE">
        <w:rPr>
          <w:rFonts w:cs="Arial"/>
          <w:szCs w:val="24"/>
          <w:lang w:eastAsia="en-US"/>
        </w:rPr>
        <w:t xml:space="preserve"> of declaratory relief is met.</w:t>
      </w:r>
    </w:p>
    <w:p w14:paraId="7C5A28E7" w14:textId="30024334" w:rsidR="007774CD" w:rsidRDefault="00526E1C" w:rsidP="000D1D14">
      <w:pPr>
        <w:pStyle w:val="1"/>
        <w:numPr>
          <w:ilvl w:val="0"/>
          <w:numId w:val="0"/>
        </w:numPr>
        <w:spacing w:line="360" w:lineRule="auto"/>
        <w:ind w:left="1440" w:hanging="720"/>
        <w:rPr>
          <w:rFonts w:cs="Arial"/>
          <w:szCs w:val="24"/>
          <w:lang w:eastAsia="en-US"/>
        </w:rPr>
      </w:pPr>
      <w:r w:rsidRPr="00285CDE">
        <w:rPr>
          <w:rFonts w:cs="Arial"/>
          <w:szCs w:val="24"/>
          <w:lang w:eastAsia="en-US"/>
        </w:rPr>
        <w:t>[1</w:t>
      </w:r>
      <w:r w:rsidR="00D066D9" w:rsidRPr="00285CDE">
        <w:rPr>
          <w:rFonts w:cs="Arial"/>
          <w:szCs w:val="24"/>
          <w:lang w:eastAsia="en-US"/>
        </w:rPr>
        <w:t>8</w:t>
      </w:r>
      <w:r w:rsidRPr="00285CDE">
        <w:rPr>
          <w:rFonts w:cs="Arial"/>
          <w:szCs w:val="24"/>
          <w:lang w:eastAsia="en-US"/>
        </w:rPr>
        <w:t>.</w:t>
      </w:r>
      <w:r w:rsidR="005F16B3" w:rsidRPr="00285CDE">
        <w:rPr>
          <w:rFonts w:cs="Arial"/>
          <w:szCs w:val="24"/>
          <w:lang w:eastAsia="en-US"/>
        </w:rPr>
        <w:t>9</w:t>
      </w:r>
      <w:r w:rsidRPr="00285CDE">
        <w:rPr>
          <w:rFonts w:cs="Arial"/>
          <w:szCs w:val="24"/>
          <w:lang w:eastAsia="en-US"/>
        </w:rPr>
        <w:t xml:space="preserve">] </w:t>
      </w:r>
      <w:r w:rsidR="0001632C">
        <w:rPr>
          <w:rFonts w:cs="Arial"/>
          <w:szCs w:val="24"/>
          <w:lang w:eastAsia="en-US"/>
        </w:rPr>
        <w:t xml:space="preserve">whether </w:t>
      </w:r>
      <w:r w:rsidRPr="00285CDE">
        <w:rPr>
          <w:rFonts w:cs="Arial"/>
          <w:szCs w:val="24"/>
          <w:lang w:eastAsia="en-US"/>
        </w:rPr>
        <w:t>the consideration of the section 54</w:t>
      </w:r>
      <w:r w:rsidR="0001632C">
        <w:rPr>
          <w:rFonts w:cs="Arial"/>
          <w:szCs w:val="24"/>
          <w:lang w:eastAsia="en-US"/>
        </w:rPr>
        <w:t>(2)</w:t>
      </w:r>
      <w:r w:rsidRPr="00285CDE">
        <w:rPr>
          <w:rFonts w:cs="Arial"/>
          <w:szCs w:val="24"/>
          <w:lang w:eastAsia="en-US"/>
        </w:rPr>
        <w:t xml:space="preserve"> application constitutes an executive function </w:t>
      </w:r>
      <w:r w:rsidR="001D4C44" w:rsidRPr="00285CDE">
        <w:rPr>
          <w:rFonts w:cs="Arial"/>
          <w:szCs w:val="24"/>
          <w:lang w:eastAsia="en-US"/>
        </w:rPr>
        <w:t xml:space="preserve">to </w:t>
      </w:r>
      <w:r w:rsidRPr="00285CDE">
        <w:rPr>
          <w:rFonts w:cs="Arial"/>
          <w:szCs w:val="24"/>
          <w:lang w:eastAsia="en-US"/>
        </w:rPr>
        <w:t xml:space="preserve">which the Court should exercise deference due to the </w:t>
      </w:r>
      <w:r w:rsidR="0001632C">
        <w:rPr>
          <w:rFonts w:cs="Arial"/>
          <w:szCs w:val="24"/>
          <w:lang w:eastAsia="en-US"/>
        </w:rPr>
        <w:t xml:space="preserve">principle of </w:t>
      </w:r>
      <w:r w:rsidRPr="00285CDE">
        <w:rPr>
          <w:rFonts w:cs="Arial"/>
          <w:szCs w:val="24"/>
          <w:lang w:eastAsia="en-US"/>
        </w:rPr>
        <w:t>separation of powers</w:t>
      </w:r>
      <w:bookmarkEnd w:id="6"/>
      <w:r w:rsidR="001A575C">
        <w:rPr>
          <w:rFonts w:cs="Arial"/>
          <w:szCs w:val="24"/>
          <w:lang w:eastAsia="en-US"/>
        </w:rPr>
        <w:t xml:space="preserve"> principle</w:t>
      </w:r>
      <w:r w:rsidRPr="00285CDE">
        <w:rPr>
          <w:rFonts w:cs="Arial"/>
          <w:szCs w:val="24"/>
          <w:lang w:eastAsia="en-US"/>
        </w:rPr>
        <w:t>.</w:t>
      </w:r>
    </w:p>
    <w:p w14:paraId="092CF1DD" w14:textId="62EA0551" w:rsidR="00FB475C" w:rsidRPr="00285CDE" w:rsidRDefault="00FB475C" w:rsidP="000D1D14">
      <w:pPr>
        <w:pStyle w:val="1"/>
        <w:numPr>
          <w:ilvl w:val="0"/>
          <w:numId w:val="0"/>
        </w:numPr>
        <w:spacing w:line="360" w:lineRule="auto"/>
        <w:ind w:left="1440" w:hanging="720"/>
        <w:rPr>
          <w:rFonts w:cs="Arial"/>
          <w:szCs w:val="24"/>
          <w:lang w:eastAsia="en-US"/>
        </w:rPr>
      </w:pPr>
      <w:r>
        <w:rPr>
          <w:rFonts w:cs="Arial"/>
          <w:szCs w:val="24"/>
          <w:lang w:eastAsia="en-US"/>
        </w:rPr>
        <w:t xml:space="preserve">[18.10] whether NUMSA has a direct and substantial interest in the proceedings </w:t>
      </w:r>
      <w:r w:rsidR="000D1D14">
        <w:rPr>
          <w:rFonts w:cs="Arial"/>
          <w:szCs w:val="24"/>
          <w:lang w:eastAsia="en-US"/>
        </w:rPr>
        <w:t xml:space="preserve">before this Court </w:t>
      </w:r>
      <w:r>
        <w:rPr>
          <w:rFonts w:cs="Arial"/>
          <w:szCs w:val="24"/>
          <w:lang w:eastAsia="en-US"/>
        </w:rPr>
        <w:t xml:space="preserve">and if </w:t>
      </w:r>
      <w:r w:rsidR="000D1D14">
        <w:rPr>
          <w:rFonts w:cs="Arial"/>
          <w:szCs w:val="24"/>
          <w:lang w:eastAsia="en-US"/>
        </w:rPr>
        <w:t>NUMSA’s application for leave to intervene</w:t>
      </w:r>
      <w:r>
        <w:rPr>
          <w:rFonts w:cs="Arial"/>
          <w:szCs w:val="24"/>
          <w:lang w:eastAsia="en-US"/>
        </w:rPr>
        <w:t xml:space="preserve"> </w:t>
      </w:r>
      <w:r w:rsidR="000D1D14">
        <w:rPr>
          <w:rFonts w:cs="Arial"/>
          <w:szCs w:val="24"/>
          <w:lang w:eastAsia="en-US"/>
        </w:rPr>
        <w:t>as co-applicant</w:t>
      </w:r>
      <w:r>
        <w:rPr>
          <w:rFonts w:cs="Arial"/>
          <w:szCs w:val="24"/>
          <w:lang w:eastAsia="en-US"/>
        </w:rPr>
        <w:t xml:space="preserve"> </w:t>
      </w:r>
      <w:r w:rsidR="000D1D14">
        <w:rPr>
          <w:rFonts w:cs="Arial"/>
          <w:szCs w:val="24"/>
          <w:lang w:eastAsia="en-US"/>
        </w:rPr>
        <w:t>should be granted</w:t>
      </w:r>
      <w:r>
        <w:rPr>
          <w:rFonts w:cs="Arial"/>
          <w:szCs w:val="24"/>
          <w:lang w:eastAsia="en-US"/>
        </w:rPr>
        <w:t>.</w:t>
      </w:r>
    </w:p>
    <w:p w14:paraId="384AB950" w14:textId="024FDE4E" w:rsidR="00D63AD6" w:rsidRPr="00285CDE" w:rsidRDefault="00D63AD6" w:rsidP="00D35B9C">
      <w:pPr>
        <w:pStyle w:val="Heading1"/>
        <w:spacing w:line="360" w:lineRule="auto"/>
      </w:pPr>
      <w:r w:rsidRPr="00285CDE">
        <w:t>FAC</w:t>
      </w:r>
      <w:r w:rsidR="00D767DB" w:rsidRPr="00285CDE">
        <w:t>T</w:t>
      </w:r>
      <w:r w:rsidR="00690718" w:rsidRPr="00285CDE">
        <w:t>UAL BACKGROUND</w:t>
      </w:r>
    </w:p>
    <w:p w14:paraId="18097130" w14:textId="6089200A" w:rsidR="00373160" w:rsidRPr="00285CDE" w:rsidRDefault="00890EE4" w:rsidP="00890EE4">
      <w:pPr>
        <w:pStyle w:val="1"/>
        <w:numPr>
          <w:ilvl w:val="0"/>
          <w:numId w:val="0"/>
        </w:numPr>
        <w:tabs>
          <w:tab w:val="left" w:pos="567"/>
        </w:tabs>
        <w:spacing w:line="360" w:lineRule="auto"/>
        <w:ind w:left="567" w:hanging="567"/>
      </w:pPr>
      <w:r w:rsidRPr="00285CDE">
        <w:rPr>
          <w:rFonts w:cs="Arial"/>
          <w:szCs w:val="24"/>
        </w:rPr>
        <w:t>[19]</w:t>
      </w:r>
      <w:r w:rsidRPr="00285CDE">
        <w:rPr>
          <w:rFonts w:cs="Arial"/>
          <w:szCs w:val="24"/>
        </w:rPr>
        <w:tab/>
      </w:r>
      <w:r w:rsidR="000B0C9E" w:rsidRPr="00285CDE">
        <w:t xml:space="preserve">Mango </w:t>
      </w:r>
      <w:r w:rsidR="00EE7D19" w:rsidRPr="00285CDE">
        <w:t>Airline</w:t>
      </w:r>
      <w:r w:rsidR="0001632C">
        <w:t>s</w:t>
      </w:r>
      <w:r w:rsidR="000B0C9E" w:rsidRPr="00285CDE">
        <w:t xml:space="preserve"> </w:t>
      </w:r>
      <w:r w:rsidR="00EE7D19" w:rsidRPr="00285CDE">
        <w:t>is</w:t>
      </w:r>
      <w:r w:rsidR="000B0C9E" w:rsidRPr="00285CDE">
        <w:t xml:space="preserve"> a low-cost domestic airline</w:t>
      </w:r>
      <w:r w:rsidR="0027741D" w:rsidRPr="00285CDE">
        <w:t xml:space="preserve"> that </w:t>
      </w:r>
      <w:r w:rsidR="001A575C">
        <w:t xml:space="preserve">used to </w:t>
      </w:r>
      <w:r w:rsidR="0027741D" w:rsidRPr="00285CDE">
        <w:t>operate</w:t>
      </w:r>
      <w:r w:rsidR="000B0C9E" w:rsidRPr="00285CDE">
        <w:t xml:space="preserve"> </w:t>
      </w:r>
      <w:r w:rsidR="00471D40" w:rsidRPr="00285CDE">
        <w:t>in</w:t>
      </w:r>
      <w:r w:rsidR="000D1D14">
        <w:t xml:space="preserve"> various destinations across</w:t>
      </w:r>
      <w:r w:rsidR="000B0C9E" w:rsidRPr="00285CDE">
        <w:t xml:space="preserve"> South Africa</w:t>
      </w:r>
      <w:r w:rsidR="00471D40" w:rsidRPr="00285CDE">
        <w:t xml:space="preserve">. </w:t>
      </w:r>
      <w:r w:rsidR="00EE7D19" w:rsidRPr="00285CDE">
        <w:rPr>
          <w:rFonts w:cs="Arial"/>
          <w:szCs w:val="24"/>
          <w:lang w:eastAsia="en-US"/>
        </w:rPr>
        <w:t xml:space="preserve">SAA </w:t>
      </w:r>
      <w:r w:rsidR="000D1D14">
        <w:rPr>
          <w:rFonts w:cs="Arial"/>
          <w:szCs w:val="24"/>
          <w:lang w:eastAsia="en-US"/>
        </w:rPr>
        <w:t>is the sole shareholder of</w:t>
      </w:r>
      <w:r w:rsidR="00EE7D19" w:rsidRPr="00285CDE">
        <w:rPr>
          <w:rFonts w:cs="Arial"/>
          <w:szCs w:val="24"/>
          <w:lang w:eastAsia="en-US"/>
        </w:rPr>
        <w:t xml:space="preserve"> Mango Airline</w:t>
      </w:r>
      <w:r w:rsidR="0001632C">
        <w:rPr>
          <w:rFonts w:cs="Arial"/>
          <w:szCs w:val="24"/>
          <w:lang w:eastAsia="en-US"/>
        </w:rPr>
        <w:t>s</w:t>
      </w:r>
      <w:r w:rsidR="00EE7D19" w:rsidRPr="00285CDE">
        <w:rPr>
          <w:rFonts w:cs="Arial"/>
          <w:szCs w:val="24"/>
          <w:lang w:eastAsia="en-US"/>
        </w:rPr>
        <w:t xml:space="preserve">. The airline was launched on 30 October 2006 and </w:t>
      </w:r>
      <w:r w:rsidR="00EE7D19" w:rsidRPr="00285CDE">
        <w:t xml:space="preserve">commenced its </w:t>
      </w:r>
      <w:r w:rsidR="000D1D14">
        <w:t xml:space="preserve">business </w:t>
      </w:r>
      <w:r w:rsidR="00EE7D19" w:rsidRPr="00285CDE">
        <w:t>operation</w:t>
      </w:r>
      <w:r w:rsidR="001A575C">
        <w:t>s</w:t>
      </w:r>
      <w:r w:rsidR="00EE7D19" w:rsidRPr="00285CDE">
        <w:t xml:space="preserve"> on 15 November 2006. </w:t>
      </w:r>
      <w:r w:rsidR="00CF0794" w:rsidRPr="00285CDE">
        <w:t>Mango A</w:t>
      </w:r>
      <w:r w:rsidR="00EE7D19" w:rsidRPr="00285CDE">
        <w:t>irline</w:t>
      </w:r>
      <w:r w:rsidR="0001632C">
        <w:t>s</w:t>
      </w:r>
      <w:r w:rsidR="00EE7D19" w:rsidRPr="00285CDE">
        <w:t xml:space="preserve"> had 718 staff members and a fleet of 8 aircraft</w:t>
      </w:r>
      <w:r w:rsidR="001A575C">
        <w:t>s</w:t>
      </w:r>
      <w:r w:rsidR="00EE7D19" w:rsidRPr="00285CDE">
        <w:t xml:space="preserve"> leased from Macquarie. Mango A</w:t>
      </w:r>
      <w:r w:rsidR="00471D40" w:rsidRPr="00285CDE">
        <w:t>irline</w:t>
      </w:r>
      <w:r w:rsidR="0001632C">
        <w:t>s</w:t>
      </w:r>
      <w:r w:rsidR="00471D40" w:rsidRPr="00285CDE">
        <w:t xml:space="preserve"> </w:t>
      </w:r>
      <w:r w:rsidR="00EE7D19" w:rsidRPr="00285CDE">
        <w:t xml:space="preserve">has been grounded </w:t>
      </w:r>
      <w:r w:rsidR="001A575C">
        <w:t>from</w:t>
      </w:r>
      <w:r w:rsidR="00EE7D19" w:rsidRPr="00285CDE">
        <w:t xml:space="preserve"> July 2021</w:t>
      </w:r>
      <w:r w:rsidR="001A575C">
        <w:t xml:space="preserve"> to date</w:t>
      </w:r>
      <w:r w:rsidR="00EE7D19" w:rsidRPr="00285CDE">
        <w:t xml:space="preserve">. </w:t>
      </w:r>
    </w:p>
    <w:p w14:paraId="18A8A932" w14:textId="7078ACC6" w:rsidR="00D704AF" w:rsidRPr="00285CDE" w:rsidRDefault="00890EE4" w:rsidP="00890EE4">
      <w:pPr>
        <w:pStyle w:val="1"/>
        <w:numPr>
          <w:ilvl w:val="0"/>
          <w:numId w:val="0"/>
        </w:numPr>
        <w:tabs>
          <w:tab w:val="left" w:pos="567"/>
        </w:tabs>
        <w:spacing w:line="360" w:lineRule="auto"/>
        <w:ind w:left="567" w:hanging="567"/>
      </w:pPr>
      <w:r w:rsidRPr="00285CDE">
        <w:rPr>
          <w:rFonts w:cs="Arial"/>
          <w:szCs w:val="24"/>
        </w:rPr>
        <w:t>[20]</w:t>
      </w:r>
      <w:r w:rsidRPr="00285CDE">
        <w:rPr>
          <w:rFonts w:cs="Arial"/>
          <w:szCs w:val="24"/>
        </w:rPr>
        <w:tab/>
      </w:r>
      <w:r w:rsidR="00471D40" w:rsidRPr="00285CDE">
        <w:t xml:space="preserve">Due to </w:t>
      </w:r>
      <w:r w:rsidR="0027741D" w:rsidRPr="00285CDE">
        <w:t xml:space="preserve">the </w:t>
      </w:r>
      <w:r w:rsidR="00854533" w:rsidRPr="00285CDE">
        <w:t xml:space="preserve">government’s </w:t>
      </w:r>
      <w:r w:rsidR="00471D40" w:rsidRPr="00285CDE">
        <w:t xml:space="preserve">Covid-19 </w:t>
      </w:r>
      <w:r w:rsidR="001A575C">
        <w:t>restrictions</w:t>
      </w:r>
      <w:r w:rsidR="00854533" w:rsidRPr="00285CDE">
        <w:rPr>
          <w:rStyle w:val="FootnoteReference"/>
        </w:rPr>
        <w:footnoteReference w:id="2"/>
      </w:r>
      <w:r w:rsidR="00854533" w:rsidRPr="00285CDE">
        <w:t xml:space="preserve"> </w:t>
      </w:r>
      <w:r w:rsidR="00471D40" w:rsidRPr="00285CDE">
        <w:t>such as the nation</w:t>
      </w:r>
      <w:r w:rsidR="00854533" w:rsidRPr="00285CDE">
        <w:t>wide</w:t>
      </w:r>
      <w:r w:rsidR="00471D40" w:rsidRPr="00285CDE">
        <w:t xml:space="preserve"> lockdown</w:t>
      </w:r>
      <w:r w:rsidR="00854533" w:rsidRPr="00285CDE">
        <w:t xml:space="preserve"> </w:t>
      </w:r>
      <w:r w:rsidR="002F771E">
        <w:t xml:space="preserve">implemented with the </w:t>
      </w:r>
      <w:r w:rsidR="00854533" w:rsidRPr="00285CDE">
        <w:t xml:space="preserve">aim </w:t>
      </w:r>
      <w:r w:rsidR="002F771E">
        <w:t>of</w:t>
      </w:r>
      <w:r w:rsidR="00854533" w:rsidRPr="00285CDE">
        <w:t xml:space="preserve"> curbing the spread of the </w:t>
      </w:r>
      <w:r w:rsidR="00B66D45" w:rsidRPr="00285CDE">
        <w:t xml:space="preserve">Covid-19 </w:t>
      </w:r>
      <w:r w:rsidR="00854533" w:rsidRPr="00285CDE">
        <w:t>virus</w:t>
      </w:r>
      <w:r w:rsidR="00471D40" w:rsidRPr="00285CDE">
        <w:t>, Mango Airline</w:t>
      </w:r>
      <w:r w:rsidR="0001632C">
        <w:t>s</w:t>
      </w:r>
      <w:r w:rsidR="00471D40" w:rsidRPr="00285CDE">
        <w:t xml:space="preserve"> </w:t>
      </w:r>
      <w:r w:rsidR="0025117D" w:rsidRPr="00285CDE">
        <w:t xml:space="preserve">closed its </w:t>
      </w:r>
      <w:r w:rsidR="00471D40" w:rsidRPr="00285CDE">
        <w:t xml:space="preserve">business operations from 26 March 2020 </w:t>
      </w:r>
      <w:r w:rsidR="001A575C">
        <w:t>and resumed its operations from</w:t>
      </w:r>
      <w:r w:rsidR="00471D40" w:rsidRPr="00285CDE">
        <w:t xml:space="preserve"> 20 June 2020. </w:t>
      </w:r>
      <w:r w:rsidR="0025117D" w:rsidRPr="00285CDE">
        <w:t>Further lockdown</w:t>
      </w:r>
      <w:r w:rsidR="002F771E">
        <w:t xml:space="preserve"> restrictions </w:t>
      </w:r>
      <w:r w:rsidR="0025117D" w:rsidRPr="00285CDE">
        <w:t>were implemented</w:t>
      </w:r>
      <w:r w:rsidR="00B66D45" w:rsidRPr="00285CDE">
        <w:t xml:space="preserve"> </w:t>
      </w:r>
      <w:r w:rsidR="0001632C">
        <w:t>after this</w:t>
      </w:r>
      <w:r w:rsidR="00B66D45" w:rsidRPr="00285CDE">
        <w:t xml:space="preserve"> period</w:t>
      </w:r>
      <w:r w:rsidR="0027741D" w:rsidRPr="00285CDE">
        <w:t>.</w:t>
      </w:r>
      <w:r w:rsidR="0025117D" w:rsidRPr="00285CDE">
        <w:t xml:space="preserve"> </w:t>
      </w:r>
      <w:r w:rsidR="0001632C">
        <w:t>The</w:t>
      </w:r>
      <w:r w:rsidR="0027741D" w:rsidRPr="00285CDE">
        <w:t xml:space="preserve"> lockdowns</w:t>
      </w:r>
      <w:r w:rsidR="0025117D" w:rsidRPr="00285CDE">
        <w:t xml:space="preserve"> negatively affected Mango Airlines</w:t>
      </w:r>
      <w:r w:rsidR="0001632C">
        <w:t>’</w:t>
      </w:r>
      <w:r w:rsidR="0025117D" w:rsidRPr="00285CDE">
        <w:t xml:space="preserve"> business operation</w:t>
      </w:r>
      <w:r w:rsidR="00B66D45" w:rsidRPr="00285CDE">
        <w:t>s</w:t>
      </w:r>
      <w:r w:rsidR="0025117D" w:rsidRPr="00285CDE">
        <w:t xml:space="preserve">. </w:t>
      </w:r>
    </w:p>
    <w:p w14:paraId="73173453" w14:textId="2D64009F" w:rsidR="006A132F"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[21]</w:t>
      </w:r>
      <w:r w:rsidRPr="00285CDE">
        <w:rPr>
          <w:rFonts w:cs="Arial"/>
          <w:szCs w:val="24"/>
        </w:rPr>
        <w:tab/>
      </w:r>
      <w:r w:rsidR="0025117D" w:rsidRPr="00285CDE">
        <w:rPr>
          <w:rFonts w:cs="Arial"/>
          <w:szCs w:val="24"/>
        </w:rPr>
        <w:t xml:space="preserve">Consequently, Mango Airlines’ </w:t>
      </w:r>
      <w:r w:rsidR="002F771E">
        <w:rPr>
          <w:rFonts w:cs="Arial"/>
          <w:szCs w:val="24"/>
        </w:rPr>
        <w:t>u</w:t>
      </w:r>
      <w:r w:rsidR="0025117D" w:rsidRPr="00285CDE">
        <w:rPr>
          <w:rFonts w:cs="Arial"/>
          <w:szCs w:val="24"/>
        </w:rPr>
        <w:t>n-</w:t>
      </w:r>
      <w:r w:rsidR="002F771E">
        <w:rPr>
          <w:rFonts w:cs="Arial"/>
          <w:szCs w:val="24"/>
        </w:rPr>
        <w:t>f</w:t>
      </w:r>
      <w:r w:rsidR="0025117D" w:rsidRPr="00285CDE">
        <w:rPr>
          <w:rFonts w:cs="Arial"/>
          <w:szCs w:val="24"/>
        </w:rPr>
        <w:t xml:space="preserve">lown </w:t>
      </w:r>
      <w:r w:rsidR="002F771E">
        <w:rPr>
          <w:rFonts w:cs="Arial"/>
          <w:szCs w:val="24"/>
        </w:rPr>
        <w:t>t</w:t>
      </w:r>
      <w:r w:rsidR="0025117D" w:rsidRPr="00285CDE">
        <w:rPr>
          <w:rFonts w:cs="Arial"/>
          <w:szCs w:val="24"/>
        </w:rPr>
        <w:t xml:space="preserve">icket liability increased. </w:t>
      </w:r>
      <w:r w:rsidR="00B66D45" w:rsidRPr="00285CDE">
        <w:rPr>
          <w:rFonts w:cs="Arial"/>
          <w:szCs w:val="24"/>
        </w:rPr>
        <w:t xml:space="preserve">An </w:t>
      </w:r>
      <w:r w:rsidR="002F771E">
        <w:rPr>
          <w:rFonts w:cs="Arial"/>
          <w:szCs w:val="24"/>
        </w:rPr>
        <w:t>u</w:t>
      </w:r>
      <w:r w:rsidR="00516145" w:rsidRPr="00285CDE">
        <w:rPr>
          <w:rFonts w:cs="Arial"/>
          <w:szCs w:val="24"/>
        </w:rPr>
        <w:t>n-</w:t>
      </w:r>
      <w:r w:rsidR="002F771E">
        <w:rPr>
          <w:rFonts w:cs="Arial"/>
          <w:szCs w:val="24"/>
        </w:rPr>
        <w:t>f</w:t>
      </w:r>
      <w:r w:rsidR="00516145" w:rsidRPr="00285CDE">
        <w:rPr>
          <w:rFonts w:cs="Arial"/>
          <w:szCs w:val="24"/>
        </w:rPr>
        <w:t xml:space="preserve">lown </w:t>
      </w:r>
      <w:r w:rsidR="002F771E">
        <w:rPr>
          <w:rFonts w:cs="Arial"/>
          <w:szCs w:val="24"/>
        </w:rPr>
        <w:t>t</w:t>
      </w:r>
      <w:r w:rsidR="00516145" w:rsidRPr="00285CDE">
        <w:rPr>
          <w:rFonts w:cs="Arial"/>
          <w:szCs w:val="24"/>
        </w:rPr>
        <w:t xml:space="preserve">icket liability </w:t>
      </w:r>
      <w:r w:rsidR="0025117D" w:rsidRPr="00285CDE">
        <w:rPr>
          <w:rFonts w:cs="Arial"/>
          <w:szCs w:val="24"/>
        </w:rPr>
        <w:t xml:space="preserve">is a liability incurred </w:t>
      </w:r>
      <w:r w:rsidR="002F771E">
        <w:rPr>
          <w:rFonts w:cs="Arial"/>
          <w:szCs w:val="24"/>
        </w:rPr>
        <w:t>due to</w:t>
      </w:r>
      <w:r w:rsidR="0025117D" w:rsidRPr="00285CDE">
        <w:rPr>
          <w:rFonts w:cs="Arial"/>
          <w:szCs w:val="24"/>
        </w:rPr>
        <w:t xml:space="preserve"> payments received from customers but </w:t>
      </w:r>
      <w:r w:rsidR="00516145" w:rsidRPr="00285CDE">
        <w:rPr>
          <w:rFonts w:cs="Arial"/>
          <w:szCs w:val="24"/>
        </w:rPr>
        <w:lastRenderedPageBreak/>
        <w:t>clients</w:t>
      </w:r>
      <w:r w:rsidR="0025117D" w:rsidRPr="00285CDE">
        <w:rPr>
          <w:rFonts w:cs="Arial"/>
          <w:szCs w:val="24"/>
        </w:rPr>
        <w:t xml:space="preserve"> have not flown as the </w:t>
      </w:r>
      <w:r w:rsidR="0001632C">
        <w:rPr>
          <w:rFonts w:cs="Arial"/>
          <w:szCs w:val="24"/>
        </w:rPr>
        <w:t>a</w:t>
      </w:r>
      <w:r w:rsidR="0025117D" w:rsidRPr="00285CDE">
        <w:rPr>
          <w:rFonts w:cs="Arial"/>
          <w:szCs w:val="24"/>
        </w:rPr>
        <w:t xml:space="preserve">irline has not been operational due to various intervals of lockdown stated earlier. </w:t>
      </w:r>
    </w:p>
    <w:p w14:paraId="6D6794CC" w14:textId="2DB900E4" w:rsidR="0025117D"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[22]</w:t>
      </w:r>
      <w:r w:rsidRPr="00285CDE">
        <w:rPr>
          <w:rFonts w:cs="Arial"/>
          <w:szCs w:val="24"/>
        </w:rPr>
        <w:tab/>
      </w:r>
      <w:r w:rsidR="00EE7D19" w:rsidRPr="00285CDE">
        <w:rPr>
          <w:rFonts w:cs="Arial"/>
          <w:szCs w:val="24"/>
        </w:rPr>
        <w:t xml:space="preserve">Mango Airlines’ financial troubles were worsened by </w:t>
      </w:r>
      <w:r w:rsidR="0014730D">
        <w:rPr>
          <w:rFonts w:cs="Arial"/>
          <w:szCs w:val="24"/>
        </w:rPr>
        <w:t>SAA’s</w:t>
      </w:r>
      <w:r w:rsidR="00EE7D19" w:rsidRPr="00285CDE">
        <w:rPr>
          <w:rFonts w:cs="Arial"/>
          <w:szCs w:val="24"/>
        </w:rPr>
        <w:t xml:space="preserve"> inability</w:t>
      </w:r>
      <w:r w:rsidR="00B66D45" w:rsidRPr="00285CDE">
        <w:rPr>
          <w:rFonts w:cs="Arial"/>
          <w:szCs w:val="24"/>
        </w:rPr>
        <w:t xml:space="preserve">, </w:t>
      </w:r>
      <w:r w:rsidR="00EE7D19" w:rsidRPr="00285CDE">
        <w:rPr>
          <w:rFonts w:cs="Arial"/>
          <w:szCs w:val="24"/>
        </w:rPr>
        <w:t xml:space="preserve">its </w:t>
      </w:r>
      <w:r w:rsidR="005E60DB">
        <w:rPr>
          <w:rFonts w:cs="Arial"/>
          <w:szCs w:val="24"/>
        </w:rPr>
        <w:t xml:space="preserve">sole </w:t>
      </w:r>
      <w:r w:rsidR="00EE7D19" w:rsidRPr="00285CDE">
        <w:rPr>
          <w:rFonts w:cs="Arial"/>
          <w:szCs w:val="24"/>
        </w:rPr>
        <w:t>shareholde</w:t>
      </w:r>
      <w:r w:rsidR="00B66D45" w:rsidRPr="00285CDE">
        <w:rPr>
          <w:rFonts w:cs="Arial"/>
          <w:szCs w:val="24"/>
        </w:rPr>
        <w:t xml:space="preserve">r, to </w:t>
      </w:r>
      <w:r w:rsidR="0014730D">
        <w:rPr>
          <w:rFonts w:cs="Arial"/>
          <w:szCs w:val="24"/>
        </w:rPr>
        <w:t>save it</w:t>
      </w:r>
      <w:r w:rsidR="0001632C">
        <w:rPr>
          <w:rFonts w:cs="Arial"/>
          <w:szCs w:val="24"/>
        </w:rPr>
        <w:t xml:space="preserve">. </w:t>
      </w:r>
      <w:r w:rsidR="00F055A3" w:rsidRPr="00285CDE">
        <w:rPr>
          <w:rFonts w:cs="Arial"/>
          <w:szCs w:val="24"/>
        </w:rPr>
        <w:t xml:space="preserve"> The basis for this was that</w:t>
      </w:r>
      <w:r w:rsidR="00EE7D19" w:rsidRPr="00285CDE">
        <w:rPr>
          <w:rFonts w:cs="Arial"/>
          <w:szCs w:val="24"/>
        </w:rPr>
        <w:t xml:space="preserve"> SAA was also </w:t>
      </w:r>
      <w:r w:rsidR="002F771E">
        <w:rPr>
          <w:rFonts w:cs="Arial"/>
          <w:szCs w:val="24"/>
        </w:rPr>
        <w:t xml:space="preserve">undergoing </w:t>
      </w:r>
      <w:r w:rsidR="00EE7D19" w:rsidRPr="00285CDE">
        <w:rPr>
          <w:rFonts w:cs="Arial"/>
          <w:szCs w:val="24"/>
        </w:rPr>
        <w:t xml:space="preserve">business </w:t>
      </w:r>
      <w:r w:rsidR="00F055A3" w:rsidRPr="00285CDE">
        <w:rPr>
          <w:rFonts w:cs="Arial"/>
          <w:szCs w:val="24"/>
        </w:rPr>
        <w:t>rescue</w:t>
      </w:r>
      <w:r w:rsidR="002F771E">
        <w:rPr>
          <w:rFonts w:cs="Arial"/>
          <w:szCs w:val="24"/>
        </w:rPr>
        <w:t xml:space="preserve"> proceedings</w:t>
      </w:r>
      <w:r w:rsidR="00F055A3" w:rsidRPr="00285CDE">
        <w:rPr>
          <w:rFonts w:cs="Arial"/>
          <w:szCs w:val="24"/>
        </w:rPr>
        <w:t xml:space="preserve"> </w:t>
      </w:r>
      <w:r w:rsidR="002F771E">
        <w:rPr>
          <w:rFonts w:cs="Arial"/>
          <w:szCs w:val="24"/>
        </w:rPr>
        <w:t>from the period</w:t>
      </w:r>
      <w:r w:rsidR="00F055A3" w:rsidRPr="00285CDE">
        <w:rPr>
          <w:rFonts w:cs="Arial"/>
          <w:szCs w:val="24"/>
        </w:rPr>
        <w:t xml:space="preserve"> 05 November 2019</w:t>
      </w:r>
      <w:r w:rsidR="00EE7D19" w:rsidRPr="00285CDE">
        <w:rPr>
          <w:rFonts w:cs="Arial"/>
          <w:szCs w:val="24"/>
        </w:rPr>
        <w:t xml:space="preserve"> </w:t>
      </w:r>
      <w:r w:rsidR="002F771E">
        <w:rPr>
          <w:rFonts w:cs="Arial"/>
          <w:szCs w:val="24"/>
        </w:rPr>
        <w:t>until</w:t>
      </w:r>
      <w:r w:rsidR="00EE7D19" w:rsidRPr="00285CDE">
        <w:rPr>
          <w:rFonts w:cs="Arial"/>
          <w:szCs w:val="24"/>
        </w:rPr>
        <w:t xml:space="preserve"> </w:t>
      </w:r>
      <w:r w:rsidR="00F055A3" w:rsidRPr="00285CDE">
        <w:rPr>
          <w:rFonts w:cs="Arial"/>
          <w:szCs w:val="24"/>
        </w:rPr>
        <w:t xml:space="preserve">30 April 2021. </w:t>
      </w:r>
    </w:p>
    <w:p w14:paraId="4637C99D" w14:textId="13E75BCA" w:rsidR="00C61B06" w:rsidRPr="00285CDE" w:rsidRDefault="00890EE4" w:rsidP="00890EE4">
      <w:pPr>
        <w:pStyle w:val="1"/>
        <w:numPr>
          <w:ilvl w:val="0"/>
          <w:numId w:val="0"/>
        </w:numPr>
        <w:tabs>
          <w:tab w:val="left" w:pos="567"/>
        </w:tabs>
        <w:spacing w:line="360" w:lineRule="auto"/>
        <w:ind w:left="567" w:hanging="567"/>
      </w:pPr>
      <w:r w:rsidRPr="00285CDE">
        <w:rPr>
          <w:rFonts w:cs="Arial"/>
          <w:szCs w:val="24"/>
        </w:rPr>
        <w:t>[23]</w:t>
      </w:r>
      <w:r w:rsidRPr="00285CDE">
        <w:rPr>
          <w:rFonts w:cs="Arial"/>
          <w:szCs w:val="24"/>
        </w:rPr>
        <w:tab/>
      </w:r>
      <w:r w:rsidR="00F055A3" w:rsidRPr="00285CDE">
        <w:t>Even though Mango Airline</w:t>
      </w:r>
      <w:r w:rsidR="005E60DB">
        <w:t>s</w:t>
      </w:r>
      <w:r w:rsidR="00F055A3" w:rsidRPr="00285CDE">
        <w:t xml:space="preserve"> had financial difficulties, its board of directors was of the view that the company had a reasonable prospect of being rescued i</w:t>
      </w:r>
      <w:r w:rsidR="00516145" w:rsidRPr="00285CDE">
        <w:t xml:space="preserve">f </w:t>
      </w:r>
      <w:r w:rsidR="00F055A3" w:rsidRPr="00285CDE">
        <w:t>i</w:t>
      </w:r>
      <w:r w:rsidR="00516145" w:rsidRPr="00285CDE">
        <w:t>t</w:t>
      </w:r>
      <w:r w:rsidR="00F055A3" w:rsidRPr="00285CDE">
        <w:t xml:space="preserve"> voluntarily commenced business rescue</w:t>
      </w:r>
      <w:r w:rsidR="0014730D">
        <w:t xml:space="preserve"> proceedings</w:t>
      </w:r>
      <w:r w:rsidR="00777E55" w:rsidRPr="00285CDE">
        <w:t xml:space="preserve">, received post-commencement finance, and was placed under the supervision of a senior BRP. </w:t>
      </w:r>
    </w:p>
    <w:p w14:paraId="37173116" w14:textId="299D558A" w:rsidR="009028D1" w:rsidRPr="00285CDE" w:rsidRDefault="00890EE4" w:rsidP="00890EE4">
      <w:pPr>
        <w:pStyle w:val="1"/>
        <w:numPr>
          <w:ilvl w:val="0"/>
          <w:numId w:val="0"/>
        </w:numPr>
        <w:tabs>
          <w:tab w:val="left" w:pos="567"/>
        </w:tabs>
        <w:spacing w:line="360" w:lineRule="auto"/>
        <w:ind w:left="567" w:hanging="567"/>
      </w:pPr>
      <w:r w:rsidRPr="00285CDE">
        <w:rPr>
          <w:rFonts w:cs="Arial"/>
          <w:szCs w:val="24"/>
        </w:rPr>
        <w:t>[24]</w:t>
      </w:r>
      <w:r w:rsidRPr="00285CDE">
        <w:rPr>
          <w:rFonts w:cs="Arial"/>
          <w:szCs w:val="24"/>
        </w:rPr>
        <w:tab/>
      </w:r>
      <w:r w:rsidR="009028D1" w:rsidRPr="00285CDE">
        <w:t>To implement their views, on 16 April 2021, the board of directors resolved to place Mango Airline</w:t>
      </w:r>
      <w:r w:rsidR="005E60DB">
        <w:t>s</w:t>
      </w:r>
      <w:r w:rsidR="009028D1" w:rsidRPr="00285CDE">
        <w:t xml:space="preserve"> in business rescue in terms of section 129 of the Companies Act. </w:t>
      </w:r>
      <w:r w:rsidR="002C2E0B" w:rsidRPr="00285CDE">
        <w:t>On 28 July 2021, the business rescue</w:t>
      </w:r>
      <w:r w:rsidR="00D836E1">
        <w:t xml:space="preserve"> proceedings</w:t>
      </w:r>
      <w:r w:rsidR="002C2E0B" w:rsidRPr="00285CDE">
        <w:t xml:space="preserve"> of Mango Airline</w:t>
      </w:r>
      <w:r w:rsidR="00D836E1">
        <w:t>s</w:t>
      </w:r>
      <w:r w:rsidR="002C2E0B" w:rsidRPr="00285CDE">
        <w:t xml:space="preserve"> </w:t>
      </w:r>
      <w:r w:rsidR="00516145" w:rsidRPr="00285CDE">
        <w:t>c</w:t>
      </w:r>
      <w:r w:rsidR="002C2E0B" w:rsidRPr="00285CDE">
        <w:t>ommenced.</w:t>
      </w:r>
      <w:r w:rsidR="002C2E0B" w:rsidRPr="00285CDE">
        <w:rPr>
          <w:rStyle w:val="FootnoteReference"/>
        </w:rPr>
        <w:footnoteReference w:id="3"/>
      </w:r>
      <w:r w:rsidR="002C2E0B" w:rsidRPr="00285CDE">
        <w:t xml:space="preserve"> </w:t>
      </w:r>
    </w:p>
    <w:p w14:paraId="2794A001" w14:textId="7214F8E5" w:rsidR="00C61B06" w:rsidRPr="00285CDE" w:rsidRDefault="00890EE4" w:rsidP="00890EE4">
      <w:pPr>
        <w:pStyle w:val="1"/>
        <w:numPr>
          <w:ilvl w:val="0"/>
          <w:numId w:val="0"/>
        </w:numPr>
        <w:tabs>
          <w:tab w:val="left" w:pos="567"/>
        </w:tabs>
        <w:spacing w:line="360" w:lineRule="auto"/>
        <w:ind w:left="567" w:hanging="567"/>
      </w:pPr>
      <w:r w:rsidRPr="00285CDE">
        <w:rPr>
          <w:rFonts w:cs="Arial"/>
          <w:szCs w:val="24"/>
        </w:rPr>
        <w:t>[25]</w:t>
      </w:r>
      <w:r w:rsidRPr="00285CDE">
        <w:rPr>
          <w:rFonts w:cs="Arial"/>
          <w:szCs w:val="24"/>
        </w:rPr>
        <w:tab/>
      </w:r>
      <w:r w:rsidR="005E60DB">
        <w:t>O</w:t>
      </w:r>
      <w:r w:rsidR="002C2E0B" w:rsidRPr="00285CDE">
        <w:t>n 28 July 2021,</w:t>
      </w:r>
      <w:r w:rsidR="00C61B06" w:rsidRPr="00285CDE">
        <w:t xml:space="preserve"> </w:t>
      </w:r>
      <w:r w:rsidR="002C2E0B" w:rsidRPr="00285CDE">
        <w:t>t</w:t>
      </w:r>
      <w:r w:rsidR="00C61B06" w:rsidRPr="00285CDE">
        <w:t>he BRP was appointed in terms of section 129(3)(b) of the Companies Act to manage Mango Airlines’ business rescue proceedings as per Chapter 6 of the Companies Act. The BR</w:t>
      </w:r>
      <w:r w:rsidR="00B66D45" w:rsidRPr="00285CDE">
        <w:t>P</w:t>
      </w:r>
      <w:r w:rsidR="00D836E1">
        <w:t>’s</w:t>
      </w:r>
      <w:r w:rsidR="00C61B06" w:rsidRPr="00285CDE">
        <w:t xml:space="preserve"> duties include</w:t>
      </w:r>
      <w:r w:rsidR="00D836E1">
        <w:t xml:space="preserve"> but are not limited to,</w:t>
      </w:r>
      <w:r w:rsidR="00C61B06" w:rsidRPr="00285CDE">
        <w:t xml:space="preserve"> the preparation and lodging of the required application in terms of section 54(2)</w:t>
      </w:r>
      <w:r w:rsidR="003020A3">
        <w:t>(c)</w:t>
      </w:r>
      <w:r w:rsidR="00C61B06" w:rsidRPr="00285CDE">
        <w:t xml:space="preserve"> of the PFMA </w:t>
      </w:r>
      <w:r w:rsidR="002F771E">
        <w:t>to</w:t>
      </w:r>
      <w:r w:rsidR="00C61B06" w:rsidRPr="00285CDE">
        <w:t xml:space="preserve"> the PE Minister for </w:t>
      </w:r>
      <w:r w:rsidR="003020A3">
        <w:t xml:space="preserve">the </w:t>
      </w:r>
      <w:r w:rsidR="00C61B06" w:rsidRPr="00285CDE">
        <w:t>consideration, approval, or rejection</w:t>
      </w:r>
      <w:r w:rsidR="003020A3">
        <w:t xml:space="preserve"> of the application</w:t>
      </w:r>
      <w:r w:rsidR="00C61B06" w:rsidRPr="00285CDE">
        <w:t xml:space="preserve">. </w:t>
      </w:r>
    </w:p>
    <w:p w14:paraId="5CB9DB65" w14:textId="0935DABB" w:rsidR="006D607F" w:rsidRPr="00285CDE" w:rsidRDefault="00890EE4" w:rsidP="00890EE4">
      <w:pPr>
        <w:pStyle w:val="1"/>
        <w:numPr>
          <w:ilvl w:val="0"/>
          <w:numId w:val="0"/>
        </w:numPr>
        <w:tabs>
          <w:tab w:val="left" w:pos="567"/>
        </w:tabs>
        <w:spacing w:line="360" w:lineRule="auto"/>
        <w:ind w:left="567" w:hanging="567"/>
      </w:pPr>
      <w:r w:rsidRPr="00285CDE">
        <w:rPr>
          <w:rFonts w:cs="Arial"/>
          <w:szCs w:val="24"/>
        </w:rPr>
        <w:t>[26]</w:t>
      </w:r>
      <w:r w:rsidRPr="00285CDE">
        <w:rPr>
          <w:rFonts w:cs="Arial"/>
          <w:szCs w:val="24"/>
        </w:rPr>
        <w:tab/>
      </w:r>
      <w:r w:rsidR="00516145" w:rsidRPr="00285CDE">
        <w:t>O</w:t>
      </w:r>
      <w:r w:rsidR="004452A3" w:rsidRPr="00285CDE">
        <w:t>n 22 July 2021, t</w:t>
      </w:r>
      <w:r w:rsidR="00777E55" w:rsidRPr="00285CDE">
        <w:t>he PE Minister, as the executive authority exercising supervision and control over Mango Airline</w:t>
      </w:r>
      <w:r w:rsidR="00B2029B">
        <w:t>s</w:t>
      </w:r>
      <w:r w:rsidR="00777E55" w:rsidRPr="00285CDE">
        <w:t>, approved the voluntary business rescue proceedings</w:t>
      </w:r>
      <w:r w:rsidR="004452A3" w:rsidRPr="00285CDE">
        <w:t xml:space="preserve"> </w:t>
      </w:r>
      <w:r w:rsidR="00170FC0">
        <w:t xml:space="preserve">for disposal of a significant shareholding in a company </w:t>
      </w:r>
      <w:r w:rsidR="004452A3" w:rsidRPr="00285CDE">
        <w:t xml:space="preserve">in </w:t>
      </w:r>
      <w:r w:rsidR="004452A3" w:rsidRPr="00170FC0">
        <w:t>terms of section 54(2)(c) of the PFMA</w:t>
      </w:r>
      <w:r w:rsidR="004452A3" w:rsidRPr="00285CDE">
        <w:t xml:space="preserve"> read with the </w:t>
      </w:r>
      <w:r w:rsidR="00C80FEF" w:rsidRPr="00C80FEF">
        <w:t>significance and materiality framework (SMF)</w:t>
      </w:r>
      <w:r w:rsidR="004452A3" w:rsidRPr="00285CDE">
        <w:t>. Consequently, on 28 July 2021</w:t>
      </w:r>
      <w:r w:rsidR="00F55B1F" w:rsidRPr="00285CDE">
        <w:t>,</w:t>
      </w:r>
      <w:r w:rsidR="004452A3" w:rsidRPr="00285CDE">
        <w:t xml:space="preserve"> Mango </w:t>
      </w:r>
      <w:r w:rsidR="00516145" w:rsidRPr="00285CDE">
        <w:t>Airline</w:t>
      </w:r>
      <w:r w:rsidR="00C80FEF">
        <w:t>s</w:t>
      </w:r>
      <w:r w:rsidR="004452A3" w:rsidRPr="00285CDE">
        <w:t xml:space="preserve"> was formally placed </w:t>
      </w:r>
      <w:r w:rsidR="003020A3">
        <w:t>under</w:t>
      </w:r>
      <w:r w:rsidR="004452A3" w:rsidRPr="00285CDE">
        <w:t xml:space="preserve"> voluntary business rescue.</w:t>
      </w:r>
    </w:p>
    <w:p w14:paraId="6AA18877" w14:textId="65DDCE07" w:rsidR="009028D1" w:rsidRPr="00285CDE" w:rsidRDefault="00890EE4" w:rsidP="00890EE4">
      <w:pPr>
        <w:pStyle w:val="1"/>
        <w:numPr>
          <w:ilvl w:val="0"/>
          <w:numId w:val="0"/>
        </w:numPr>
        <w:tabs>
          <w:tab w:val="left" w:pos="567"/>
        </w:tabs>
        <w:spacing w:line="360" w:lineRule="auto"/>
        <w:ind w:left="567" w:hanging="567"/>
      </w:pPr>
      <w:r w:rsidRPr="00285CDE">
        <w:rPr>
          <w:rFonts w:cs="Arial"/>
          <w:szCs w:val="24"/>
        </w:rPr>
        <w:lastRenderedPageBreak/>
        <w:t>[27]</w:t>
      </w:r>
      <w:r w:rsidRPr="00285CDE">
        <w:rPr>
          <w:rFonts w:cs="Arial"/>
          <w:szCs w:val="24"/>
        </w:rPr>
        <w:tab/>
      </w:r>
      <w:r w:rsidR="003020A3">
        <w:t>Accordingly</w:t>
      </w:r>
      <w:r w:rsidR="009028D1" w:rsidRPr="00285CDE">
        <w:t xml:space="preserve">, </w:t>
      </w:r>
      <w:r w:rsidR="006833E6" w:rsidRPr="00285CDE">
        <w:t xml:space="preserve">on 21 October 2021, </w:t>
      </w:r>
      <w:r w:rsidR="009028D1" w:rsidRPr="00285CDE">
        <w:t>the BR</w:t>
      </w:r>
      <w:r w:rsidR="00B66D45" w:rsidRPr="00285CDE">
        <w:t>P</w:t>
      </w:r>
      <w:r w:rsidR="009028D1" w:rsidRPr="00285CDE">
        <w:t xml:space="preserve"> </w:t>
      </w:r>
      <w:r w:rsidR="006833E6" w:rsidRPr="00285CDE">
        <w:t xml:space="preserve">prepared </w:t>
      </w:r>
      <w:r w:rsidR="003020A3">
        <w:t>the</w:t>
      </w:r>
      <w:r w:rsidR="006833E6" w:rsidRPr="00285CDE">
        <w:t xml:space="preserve"> first business rescue plan where he </w:t>
      </w:r>
      <w:r w:rsidR="006833E6" w:rsidRPr="00285CDE">
        <w:rPr>
          <w:i/>
          <w:iCs w:val="0"/>
        </w:rPr>
        <w:t>inter alia</w:t>
      </w:r>
      <w:r w:rsidR="006833E6" w:rsidRPr="00285CDE">
        <w:t xml:space="preserve"> proposed that Mango Airline</w:t>
      </w:r>
      <w:r w:rsidR="00C80FEF">
        <w:t>s</w:t>
      </w:r>
      <w:r w:rsidR="006833E6" w:rsidRPr="00285CDE">
        <w:t xml:space="preserve"> should be rescued from its financial distress and that in the interim resume its business operations possibly by December 2021.</w:t>
      </w:r>
      <w:r w:rsidR="00F83AC0" w:rsidRPr="00285CDE">
        <w:rPr>
          <w:rStyle w:val="FootnoteReference"/>
        </w:rPr>
        <w:footnoteReference w:id="4"/>
      </w:r>
      <w:r w:rsidR="006833E6" w:rsidRPr="00285CDE">
        <w:t xml:space="preserve"> </w:t>
      </w:r>
      <w:r w:rsidR="000A0AB5" w:rsidRPr="00285CDE">
        <w:t>On 31 October 2021, t</w:t>
      </w:r>
      <w:r w:rsidR="006833E6" w:rsidRPr="00285CDE">
        <w:t xml:space="preserve">he business rescue plan was published for consideration by all </w:t>
      </w:r>
      <w:r w:rsidR="000A0AB5" w:rsidRPr="00285CDE">
        <w:t>relevant</w:t>
      </w:r>
      <w:r w:rsidR="006833E6" w:rsidRPr="00285CDE">
        <w:t xml:space="preserve"> and affected parties</w:t>
      </w:r>
      <w:r w:rsidR="000A0AB5" w:rsidRPr="00285CDE">
        <w:t xml:space="preserve"> as per section 150(2) of the Companies Act.</w:t>
      </w:r>
    </w:p>
    <w:p w14:paraId="5CCB0B51" w14:textId="452CE1C3" w:rsidR="000A0AB5" w:rsidRPr="00285CDE" w:rsidRDefault="00890EE4" w:rsidP="00890EE4">
      <w:pPr>
        <w:pStyle w:val="1"/>
        <w:numPr>
          <w:ilvl w:val="0"/>
          <w:numId w:val="0"/>
        </w:numPr>
        <w:tabs>
          <w:tab w:val="left" w:pos="567"/>
        </w:tabs>
        <w:spacing w:line="360" w:lineRule="auto"/>
        <w:ind w:left="567" w:hanging="567"/>
      </w:pPr>
      <w:r w:rsidRPr="00285CDE">
        <w:rPr>
          <w:rFonts w:cs="Arial"/>
          <w:szCs w:val="24"/>
        </w:rPr>
        <w:t>[28]</w:t>
      </w:r>
      <w:r w:rsidRPr="00285CDE">
        <w:rPr>
          <w:rFonts w:cs="Arial"/>
          <w:szCs w:val="24"/>
        </w:rPr>
        <w:tab/>
      </w:r>
      <w:r w:rsidR="000A0AB5" w:rsidRPr="00285CDE">
        <w:t>However, SAA did not support the business rescue plan as prepared by the B</w:t>
      </w:r>
      <w:r w:rsidR="00B66D45" w:rsidRPr="00285CDE">
        <w:t>RP</w:t>
      </w:r>
      <w:r w:rsidR="000A0AB5" w:rsidRPr="00285CDE">
        <w:t xml:space="preserve">. SAA expressed its concerns </w:t>
      </w:r>
      <w:r w:rsidR="003020A3">
        <w:t xml:space="preserve">over </w:t>
      </w:r>
      <w:r w:rsidR="000A0AB5" w:rsidRPr="00285CDE">
        <w:t>the proposal that Mango Airline</w:t>
      </w:r>
      <w:r w:rsidR="00C80FEF">
        <w:t>s</w:t>
      </w:r>
      <w:r w:rsidR="000A0AB5" w:rsidRPr="00285CDE">
        <w:t xml:space="preserve"> should resume its business operations in December 2021.</w:t>
      </w:r>
      <w:r w:rsidR="00690718" w:rsidRPr="00285CDE">
        <w:t xml:space="preserve"> </w:t>
      </w:r>
      <w:r w:rsidR="000A0AB5" w:rsidRPr="00285CDE">
        <w:t xml:space="preserve">It </w:t>
      </w:r>
      <w:r w:rsidR="00516145" w:rsidRPr="00285CDE">
        <w:t>suggested</w:t>
      </w:r>
      <w:r w:rsidR="000A0AB5" w:rsidRPr="00285CDE">
        <w:t xml:space="preserve"> that Mango </w:t>
      </w:r>
      <w:r w:rsidR="00B66D45" w:rsidRPr="00285CDE">
        <w:t>Airlines</w:t>
      </w:r>
      <w:r w:rsidR="000A0AB5" w:rsidRPr="00285CDE">
        <w:t xml:space="preserve"> should not return to service until a strategic equity partner was acquired to provide funding for its future operations. As a result, SAA </w:t>
      </w:r>
      <w:r w:rsidR="00032B2A">
        <w:t xml:space="preserve">submitted a </w:t>
      </w:r>
      <w:r w:rsidR="000A0AB5" w:rsidRPr="00285CDE">
        <w:t>request</w:t>
      </w:r>
      <w:r w:rsidR="00032B2A">
        <w:t xml:space="preserve"> to</w:t>
      </w:r>
      <w:r w:rsidR="000A0AB5" w:rsidRPr="00285CDE">
        <w:t xml:space="preserve"> the BR</w:t>
      </w:r>
      <w:r w:rsidR="00190785">
        <w:t>P</w:t>
      </w:r>
      <w:r w:rsidR="000A0AB5" w:rsidRPr="00285CDE">
        <w:t xml:space="preserve"> to </w:t>
      </w:r>
      <w:r w:rsidR="00032B2A">
        <w:t xml:space="preserve">consider </w:t>
      </w:r>
      <w:r w:rsidR="000A0AB5" w:rsidRPr="00285CDE">
        <w:t>revis</w:t>
      </w:r>
      <w:r w:rsidR="00032B2A">
        <w:t>ing</w:t>
      </w:r>
      <w:r w:rsidR="000A0AB5" w:rsidRPr="00285CDE">
        <w:t xml:space="preserve"> the business rescue plan and address its concerns. </w:t>
      </w:r>
    </w:p>
    <w:p w14:paraId="76B9C7E3" w14:textId="652B3213" w:rsidR="003709FE" w:rsidRPr="00285CDE" w:rsidRDefault="00890EE4" w:rsidP="00890EE4">
      <w:pPr>
        <w:pStyle w:val="1"/>
        <w:numPr>
          <w:ilvl w:val="0"/>
          <w:numId w:val="0"/>
        </w:numPr>
        <w:tabs>
          <w:tab w:val="left" w:pos="567"/>
        </w:tabs>
        <w:spacing w:line="360" w:lineRule="auto"/>
        <w:ind w:left="567" w:hanging="567"/>
      </w:pPr>
      <w:r w:rsidRPr="00285CDE">
        <w:rPr>
          <w:rFonts w:cs="Arial"/>
          <w:szCs w:val="24"/>
        </w:rPr>
        <w:t>[29]</w:t>
      </w:r>
      <w:r w:rsidRPr="00285CDE">
        <w:rPr>
          <w:rFonts w:cs="Arial"/>
          <w:szCs w:val="24"/>
        </w:rPr>
        <w:tab/>
      </w:r>
      <w:r w:rsidR="006B199B" w:rsidRPr="00285CDE">
        <w:t>On 25 November 2021, the BRP published an amended business rescue plan.</w:t>
      </w:r>
      <w:r w:rsidR="00F83AC0" w:rsidRPr="00285CDE">
        <w:rPr>
          <w:rStyle w:val="FootnoteReference"/>
        </w:rPr>
        <w:footnoteReference w:id="5"/>
      </w:r>
      <w:r w:rsidR="006B199B" w:rsidRPr="00285CDE">
        <w:t xml:space="preserve"> On 2 December 2021, the revised business rescue plan was adopted by </w:t>
      </w:r>
      <w:r w:rsidR="00032B2A">
        <w:t xml:space="preserve">the </w:t>
      </w:r>
      <w:r w:rsidR="006B199B" w:rsidRPr="00285CDE">
        <w:t>creditors of Mango Airline</w:t>
      </w:r>
      <w:r w:rsidR="00C80FEF">
        <w:t>s</w:t>
      </w:r>
      <w:r w:rsidR="006B199B" w:rsidRPr="00285CDE">
        <w:t xml:space="preserve"> with the supporting vote of more than 75% including SAA in terms of section</w:t>
      </w:r>
      <w:r w:rsidR="00032B2A">
        <w:t>s</w:t>
      </w:r>
      <w:r w:rsidR="006B199B" w:rsidRPr="00285CDE">
        <w:t xml:space="preserve"> 152(2)</w:t>
      </w:r>
      <w:r w:rsidR="00B41D78" w:rsidRPr="00285CDE">
        <w:rPr>
          <w:rStyle w:val="FootnoteReference"/>
        </w:rPr>
        <w:footnoteReference w:id="6"/>
      </w:r>
      <w:r w:rsidR="006B199B" w:rsidRPr="00285CDE">
        <w:t xml:space="preserve"> and (4)</w:t>
      </w:r>
      <w:r w:rsidR="00B41D78" w:rsidRPr="00285CDE">
        <w:rPr>
          <w:rStyle w:val="FootnoteReference"/>
        </w:rPr>
        <w:footnoteReference w:id="7"/>
      </w:r>
      <w:r w:rsidR="006B199B" w:rsidRPr="00285CDE">
        <w:t xml:space="preserve"> of the Companies Act. The </w:t>
      </w:r>
      <w:r w:rsidR="00E5000D" w:rsidRPr="00285CDE">
        <w:t xml:space="preserve">amended business rescue </w:t>
      </w:r>
      <w:r w:rsidR="006B199B" w:rsidRPr="00285CDE">
        <w:t xml:space="preserve">plan </w:t>
      </w:r>
      <w:r w:rsidR="006B199B" w:rsidRPr="00285CDE">
        <w:rPr>
          <w:i/>
          <w:iCs w:val="0"/>
        </w:rPr>
        <w:t>inter alia</w:t>
      </w:r>
      <w:r w:rsidR="006B199B" w:rsidRPr="00285CDE">
        <w:t xml:space="preserve"> envisaged that Mango Airline</w:t>
      </w:r>
      <w:r w:rsidR="00266297">
        <w:t>s</w:t>
      </w:r>
      <w:r w:rsidR="006B199B" w:rsidRPr="00285CDE">
        <w:t xml:space="preserve"> will not resume its operations, will not form part of the SAA group, that a strategic equity partner will be procured to invest in SAA to fund its future operations</w:t>
      </w:r>
      <w:r w:rsidR="00E5000D" w:rsidRPr="00285CDE">
        <w:t xml:space="preserve">, creditors of </w:t>
      </w:r>
      <w:r w:rsidR="00190785">
        <w:t>Un-</w:t>
      </w:r>
      <w:r w:rsidR="00266297">
        <w:t>F</w:t>
      </w:r>
      <w:r w:rsidR="00E5000D" w:rsidRPr="00285CDE">
        <w:t xml:space="preserve">lown </w:t>
      </w:r>
      <w:r w:rsidR="00266297">
        <w:t>T</w:t>
      </w:r>
      <w:r w:rsidR="00E5000D" w:rsidRPr="00285CDE">
        <w:t>ickets will receive vouchers,</w:t>
      </w:r>
      <w:r w:rsidR="006B199B" w:rsidRPr="00285CDE">
        <w:t xml:space="preserve"> and, that the application will be made to the PE </w:t>
      </w:r>
      <w:r w:rsidR="006B199B" w:rsidRPr="00285CDE">
        <w:lastRenderedPageBreak/>
        <w:t>Minister in terms of section 54(2) of the PFMA to approve the disposal of SAA</w:t>
      </w:r>
      <w:r w:rsidR="00032B2A">
        <w:t>’s</w:t>
      </w:r>
      <w:r w:rsidR="006B199B" w:rsidRPr="00285CDE">
        <w:t xml:space="preserve"> shareholding in Mango Airline</w:t>
      </w:r>
      <w:r w:rsidR="00266297">
        <w:t>s</w:t>
      </w:r>
      <w:r w:rsidR="006B199B" w:rsidRPr="00285CDE">
        <w:t xml:space="preserve">. </w:t>
      </w:r>
    </w:p>
    <w:p w14:paraId="436EB346" w14:textId="4EC7E1B8" w:rsidR="00E5000D" w:rsidRPr="00285CDE" w:rsidRDefault="00890EE4" w:rsidP="00890EE4">
      <w:pPr>
        <w:pStyle w:val="1"/>
        <w:numPr>
          <w:ilvl w:val="0"/>
          <w:numId w:val="0"/>
        </w:numPr>
        <w:tabs>
          <w:tab w:val="left" w:pos="567"/>
        </w:tabs>
        <w:spacing w:line="360" w:lineRule="auto"/>
        <w:ind w:left="567" w:hanging="567"/>
      </w:pPr>
      <w:r w:rsidRPr="00285CDE">
        <w:rPr>
          <w:rFonts w:cs="Arial"/>
          <w:szCs w:val="24"/>
        </w:rPr>
        <w:t>[30]</w:t>
      </w:r>
      <w:r w:rsidRPr="00285CDE">
        <w:rPr>
          <w:rFonts w:cs="Arial"/>
          <w:szCs w:val="24"/>
        </w:rPr>
        <w:tab/>
      </w:r>
      <w:r w:rsidR="00E5000D" w:rsidRPr="00285CDE">
        <w:t xml:space="preserve">Based on the revised and adopted business rescue plan, the BRP procured </w:t>
      </w:r>
      <w:r w:rsidR="00F83AC0" w:rsidRPr="00285CDE">
        <w:t xml:space="preserve">an investor for Mango Airline who </w:t>
      </w:r>
      <w:r w:rsidR="00F83AC0" w:rsidRPr="00285CDE">
        <w:rPr>
          <w:i/>
          <w:iCs w:val="0"/>
        </w:rPr>
        <w:t>inter alia</w:t>
      </w:r>
      <w:r w:rsidR="00F83AC0" w:rsidRPr="00285CDE">
        <w:t xml:space="preserve"> is willing to acquire its shareholding from SAA</w:t>
      </w:r>
      <w:r w:rsidR="00853717" w:rsidRPr="00285CDE">
        <w:t xml:space="preserve">, </w:t>
      </w:r>
      <w:r w:rsidR="00F83AC0" w:rsidRPr="00285CDE">
        <w:t>settle payments to all creditors</w:t>
      </w:r>
      <w:r w:rsidR="00853717" w:rsidRPr="00285CDE">
        <w:t xml:space="preserve">, and </w:t>
      </w:r>
      <w:r w:rsidR="00032B2A">
        <w:t xml:space="preserve">settle </w:t>
      </w:r>
      <w:r w:rsidR="00853717" w:rsidRPr="00285CDE">
        <w:t>the remaining debts of Mango Airline</w:t>
      </w:r>
      <w:r w:rsidR="00266297">
        <w:t>s</w:t>
      </w:r>
      <w:r w:rsidR="00853717" w:rsidRPr="00285CDE">
        <w:t xml:space="preserve"> as per the terms of the </w:t>
      </w:r>
      <w:r w:rsidR="00266297">
        <w:t>approve</w:t>
      </w:r>
      <w:r w:rsidR="00B2029B">
        <w:t>d</w:t>
      </w:r>
      <w:r w:rsidR="00266297">
        <w:t xml:space="preserve"> </w:t>
      </w:r>
      <w:r w:rsidR="00853717" w:rsidRPr="00285CDE">
        <w:t xml:space="preserve">amended business </w:t>
      </w:r>
      <w:r w:rsidR="00266297">
        <w:t xml:space="preserve">rescue </w:t>
      </w:r>
      <w:r w:rsidR="00853717" w:rsidRPr="00285CDE">
        <w:t>plan.</w:t>
      </w:r>
      <w:r w:rsidR="00F83AC0" w:rsidRPr="00285CDE">
        <w:t xml:space="preserve">  </w:t>
      </w:r>
      <w:r w:rsidR="00853717" w:rsidRPr="00285CDE">
        <w:t xml:space="preserve">Consequently, the BRP “directly and through SAA” submitted the application for </w:t>
      </w:r>
      <w:r w:rsidR="00032B2A">
        <w:t>the PE Minister’s</w:t>
      </w:r>
      <w:r w:rsidR="00853717" w:rsidRPr="00285CDE">
        <w:t xml:space="preserve"> approval in terms of section 54(2) of the PFMA</w:t>
      </w:r>
      <w:r w:rsidR="009E6DDD" w:rsidRPr="00285CDE">
        <w:t xml:space="preserve"> on 29 September 2022</w:t>
      </w:r>
      <w:r w:rsidR="00853717" w:rsidRPr="00285CDE">
        <w:t xml:space="preserve">. </w:t>
      </w:r>
      <w:r w:rsidR="009E6DDD" w:rsidRPr="00285CDE">
        <w:t xml:space="preserve">On 26 October 2022, the PE Minister responded </w:t>
      </w:r>
      <w:r w:rsidR="00F22062" w:rsidRPr="00285CDE">
        <w:t xml:space="preserve">to the BRP and </w:t>
      </w:r>
      <w:r w:rsidR="009E6DDD" w:rsidRPr="00285CDE">
        <w:rPr>
          <w:i/>
          <w:iCs w:val="0"/>
        </w:rPr>
        <w:t>inter alia</w:t>
      </w:r>
      <w:r w:rsidR="009E6DDD" w:rsidRPr="00285CDE">
        <w:t xml:space="preserve"> stat</w:t>
      </w:r>
      <w:r w:rsidR="00F22062" w:rsidRPr="00285CDE">
        <w:t>ed</w:t>
      </w:r>
      <w:r w:rsidR="009E6DDD" w:rsidRPr="00285CDE">
        <w:t xml:space="preserve"> that the application was incomplete and requested additional information. </w:t>
      </w:r>
    </w:p>
    <w:p w14:paraId="243C258B" w14:textId="6C6DE3C5" w:rsidR="009E6DDD" w:rsidRPr="00285CDE" w:rsidRDefault="00890EE4" w:rsidP="00890EE4">
      <w:pPr>
        <w:pStyle w:val="1"/>
        <w:numPr>
          <w:ilvl w:val="0"/>
          <w:numId w:val="0"/>
        </w:numPr>
        <w:tabs>
          <w:tab w:val="left" w:pos="567"/>
        </w:tabs>
        <w:spacing w:line="360" w:lineRule="auto"/>
        <w:ind w:left="567" w:hanging="567"/>
      </w:pPr>
      <w:r w:rsidRPr="00285CDE">
        <w:rPr>
          <w:rFonts w:cs="Arial"/>
          <w:szCs w:val="24"/>
        </w:rPr>
        <w:t>[31]</w:t>
      </w:r>
      <w:r w:rsidRPr="00285CDE">
        <w:rPr>
          <w:rFonts w:cs="Arial"/>
          <w:szCs w:val="24"/>
        </w:rPr>
        <w:tab/>
      </w:r>
      <w:r w:rsidR="009E6DDD" w:rsidRPr="00285CDE">
        <w:t>On 28 October 2022, SAA</w:t>
      </w:r>
      <w:r w:rsidR="00D20C5B">
        <w:t xml:space="preserve"> provided a</w:t>
      </w:r>
      <w:r w:rsidR="009E6DDD" w:rsidRPr="00285CDE">
        <w:t xml:space="preserve"> respon</w:t>
      </w:r>
      <w:r w:rsidR="00D20C5B">
        <w:t>se</w:t>
      </w:r>
      <w:r w:rsidR="009E6DDD" w:rsidRPr="00285CDE">
        <w:t xml:space="preserve"> to the PE Minister and undertook to take responsibility </w:t>
      </w:r>
      <w:r w:rsidR="00FB574A" w:rsidRPr="00285CDE">
        <w:t>for</w:t>
      </w:r>
      <w:r w:rsidR="009E6DDD" w:rsidRPr="00285CDE">
        <w:t xml:space="preserve"> the section 54(2) application</w:t>
      </w:r>
      <w:r w:rsidR="00F22062" w:rsidRPr="00285CDE">
        <w:t xml:space="preserve"> </w:t>
      </w:r>
      <w:r w:rsidR="00FB574A" w:rsidRPr="00285CDE">
        <w:t xml:space="preserve">and consented to the PE Minister’s suspension of operation of the </w:t>
      </w:r>
      <w:r w:rsidR="00190785">
        <w:t>30</w:t>
      </w:r>
      <w:r w:rsidR="00FB574A" w:rsidRPr="00285CDE">
        <w:t xml:space="preserve">-day presumption of approval as per section 54(3) of the PFMA until </w:t>
      </w:r>
      <w:r w:rsidR="00032B2A">
        <w:t xml:space="preserve">the requested </w:t>
      </w:r>
      <w:r w:rsidR="00FB574A" w:rsidRPr="00285CDE">
        <w:t>additional information was submitted to the PE Minister.</w:t>
      </w:r>
      <w:r w:rsidR="009E6DDD" w:rsidRPr="00285CDE">
        <w:t xml:space="preserve"> </w:t>
      </w:r>
    </w:p>
    <w:p w14:paraId="201AECE9" w14:textId="4237A97C" w:rsidR="00B52C65" w:rsidRPr="00285CDE" w:rsidRDefault="00890EE4" w:rsidP="00890EE4">
      <w:pPr>
        <w:pStyle w:val="1"/>
        <w:numPr>
          <w:ilvl w:val="0"/>
          <w:numId w:val="0"/>
        </w:numPr>
        <w:tabs>
          <w:tab w:val="left" w:pos="567"/>
        </w:tabs>
        <w:spacing w:line="360" w:lineRule="auto"/>
        <w:ind w:left="567" w:hanging="567"/>
      </w:pPr>
      <w:r w:rsidRPr="00285CDE">
        <w:rPr>
          <w:rFonts w:cs="Arial"/>
          <w:szCs w:val="24"/>
        </w:rPr>
        <w:t>[32]</w:t>
      </w:r>
      <w:r w:rsidRPr="00285CDE">
        <w:rPr>
          <w:rFonts w:cs="Arial"/>
          <w:szCs w:val="24"/>
        </w:rPr>
        <w:tab/>
      </w:r>
      <w:r w:rsidR="00B52C65" w:rsidRPr="00285CDE">
        <w:t>On 28 November 2022, SAA re-submitted a revised section 54(2) application</w:t>
      </w:r>
      <w:r w:rsidR="00711CA4">
        <w:t xml:space="preserve"> “</w:t>
      </w:r>
      <w:r w:rsidR="00711CA4" w:rsidRPr="00D20C5B">
        <w:rPr>
          <w:i/>
          <w:iCs w:val="0"/>
        </w:rPr>
        <w:t>which reflected the consensus reached between Mango and the Board of SAA</w:t>
      </w:r>
      <w:r w:rsidR="00711CA4">
        <w:t>”</w:t>
      </w:r>
      <w:r w:rsidR="00B52C65" w:rsidRPr="00285CDE">
        <w:t xml:space="preserve">. However, the PE Minister again responded on 21 December 2022 </w:t>
      </w:r>
      <w:r w:rsidR="00F22062" w:rsidRPr="00285CDE">
        <w:t xml:space="preserve">to SAA and </w:t>
      </w:r>
      <w:r w:rsidR="00B52C65" w:rsidRPr="00285CDE">
        <w:t>reques</w:t>
      </w:r>
      <w:r w:rsidR="00F22062" w:rsidRPr="00285CDE">
        <w:t>ted</w:t>
      </w:r>
      <w:r w:rsidR="00B52C65" w:rsidRPr="00285CDE">
        <w:t xml:space="preserve"> key additional information that w</w:t>
      </w:r>
      <w:r w:rsidR="00D20C5B">
        <w:t>ould</w:t>
      </w:r>
      <w:r w:rsidR="00B52C65" w:rsidRPr="00285CDE">
        <w:t xml:space="preserve"> enable him to </w:t>
      </w:r>
      <w:r w:rsidR="00F22062" w:rsidRPr="00285CDE">
        <w:t>consider</w:t>
      </w:r>
      <w:r w:rsidR="00B52C65" w:rsidRPr="00285CDE">
        <w:t xml:space="preserve"> the application</w:t>
      </w:r>
      <w:r w:rsidR="00D20C5B">
        <w:t xml:space="preserve"> further</w:t>
      </w:r>
      <w:r w:rsidR="00B52C65" w:rsidRPr="00285CDE">
        <w:t>.</w:t>
      </w:r>
    </w:p>
    <w:p w14:paraId="7F8A0AC0" w14:textId="07D64592" w:rsidR="002D4BD6" w:rsidRPr="00285CDE" w:rsidRDefault="00890EE4" w:rsidP="00890EE4">
      <w:pPr>
        <w:pStyle w:val="1"/>
        <w:numPr>
          <w:ilvl w:val="0"/>
          <w:numId w:val="0"/>
        </w:numPr>
        <w:tabs>
          <w:tab w:val="left" w:pos="567"/>
        </w:tabs>
        <w:spacing w:line="360" w:lineRule="auto"/>
        <w:ind w:left="567" w:hanging="567"/>
      </w:pPr>
      <w:r w:rsidRPr="00285CDE">
        <w:rPr>
          <w:rFonts w:cs="Arial"/>
          <w:szCs w:val="24"/>
        </w:rPr>
        <w:t>[33]</w:t>
      </w:r>
      <w:r w:rsidRPr="00285CDE">
        <w:rPr>
          <w:rFonts w:cs="Arial"/>
          <w:szCs w:val="24"/>
        </w:rPr>
        <w:tab/>
      </w:r>
      <w:r w:rsidR="002D4BD6" w:rsidRPr="00285CDE">
        <w:t xml:space="preserve">At the time of writing this judgment, the PE Minister had not yet made a decision in terms of section 54(2) of the PFMA. According to the BRP, the substantial implementation of the amended business rescue plan as per the provisions </w:t>
      </w:r>
      <w:r w:rsidR="00D20C5B">
        <w:t xml:space="preserve">set out in section </w:t>
      </w:r>
      <w:r w:rsidR="002D4BD6" w:rsidRPr="00285CDE">
        <w:t xml:space="preserve">152(8) of the Companies Act, </w:t>
      </w:r>
      <w:r w:rsidR="00032B2A">
        <w:t>has</w:t>
      </w:r>
      <w:r w:rsidR="00D20C5B">
        <w:t xml:space="preserve"> been delayed </w:t>
      </w:r>
      <w:r w:rsidR="00032B2A">
        <w:t>due to</w:t>
      </w:r>
      <w:r w:rsidR="002D4BD6" w:rsidRPr="00285CDE">
        <w:t xml:space="preserve"> the PE Minister</w:t>
      </w:r>
      <w:r w:rsidR="00D20C5B">
        <w:t xml:space="preserve">’s </w:t>
      </w:r>
      <w:r w:rsidR="00032B2A">
        <w:t>failure</w:t>
      </w:r>
      <w:r w:rsidR="00D20C5B">
        <w:t xml:space="preserve"> to </w:t>
      </w:r>
      <w:r w:rsidR="00032B2A">
        <w:t>act or failure to make</w:t>
      </w:r>
      <w:r w:rsidR="00D20C5B">
        <w:t xml:space="preserve"> a decision</w:t>
      </w:r>
      <w:r w:rsidR="002D4BD6" w:rsidRPr="00285CDE">
        <w:t xml:space="preserve">. </w:t>
      </w:r>
    </w:p>
    <w:p w14:paraId="2049163A" w14:textId="3BC8223D" w:rsidR="00853717" w:rsidRPr="00285CDE" w:rsidRDefault="00890EE4" w:rsidP="00890EE4">
      <w:pPr>
        <w:pStyle w:val="1"/>
        <w:numPr>
          <w:ilvl w:val="0"/>
          <w:numId w:val="0"/>
        </w:numPr>
        <w:tabs>
          <w:tab w:val="left" w:pos="567"/>
        </w:tabs>
        <w:spacing w:line="360" w:lineRule="auto"/>
        <w:ind w:left="567" w:hanging="567"/>
      </w:pPr>
      <w:r w:rsidRPr="00285CDE">
        <w:rPr>
          <w:rFonts w:cs="Arial"/>
          <w:szCs w:val="24"/>
        </w:rPr>
        <w:t>[34]</w:t>
      </w:r>
      <w:r w:rsidRPr="00285CDE">
        <w:rPr>
          <w:rFonts w:cs="Arial"/>
          <w:szCs w:val="24"/>
        </w:rPr>
        <w:tab/>
      </w:r>
      <w:r w:rsidR="002D4BD6" w:rsidRPr="00285CDE">
        <w:t>Dissatisfied by the PE Minister’s</w:t>
      </w:r>
      <w:r w:rsidR="00A45C37">
        <w:t xml:space="preserve"> alleged</w:t>
      </w:r>
      <w:r w:rsidR="002D4BD6" w:rsidRPr="00285CDE">
        <w:t xml:space="preserve"> </w:t>
      </w:r>
      <w:r w:rsidR="00D20C5B">
        <w:t xml:space="preserve">failure </w:t>
      </w:r>
      <w:r w:rsidR="00F22062" w:rsidRPr="00285CDE">
        <w:t xml:space="preserve">to </w:t>
      </w:r>
      <w:r w:rsidR="00032B2A">
        <w:t xml:space="preserve">act and/or </w:t>
      </w:r>
      <w:r w:rsidR="00D20C5B">
        <w:t>make</w:t>
      </w:r>
      <w:r w:rsidR="00AC1ECB">
        <w:t xml:space="preserve"> a decision</w:t>
      </w:r>
      <w:r w:rsidR="002D4BD6" w:rsidRPr="00285CDE">
        <w:t>, Mango Airline</w:t>
      </w:r>
      <w:r w:rsidR="00A45C37">
        <w:t>s</w:t>
      </w:r>
      <w:r w:rsidR="002D4BD6" w:rsidRPr="00285CDE">
        <w:t xml:space="preserve"> and </w:t>
      </w:r>
      <w:r w:rsidR="00F22062" w:rsidRPr="00285CDE">
        <w:t xml:space="preserve">the </w:t>
      </w:r>
      <w:r w:rsidR="002D4BD6" w:rsidRPr="00285CDE">
        <w:t>BRP instituted these proceedings seeking</w:t>
      </w:r>
      <w:r w:rsidR="00170FC0">
        <w:t xml:space="preserve"> </w:t>
      </w:r>
      <w:r w:rsidR="002D4BD6" w:rsidRPr="00285CDE">
        <w:t xml:space="preserve">relief from this Court to </w:t>
      </w:r>
      <w:r w:rsidR="002D4BD6" w:rsidRPr="00285CDE">
        <w:rPr>
          <w:i/>
          <w:iCs w:val="0"/>
        </w:rPr>
        <w:t>inter alia</w:t>
      </w:r>
      <w:r w:rsidR="002D4BD6" w:rsidRPr="00285CDE">
        <w:t xml:space="preserve"> </w:t>
      </w:r>
      <w:r w:rsidR="00AD23D1" w:rsidRPr="00285CDE">
        <w:t xml:space="preserve">order </w:t>
      </w:r>
      <w:r w:rsidR="002D4BD6" w:rsidRPr="00285CDE">
        <w:t xml:space="preserve">the PE Minister to </w:t>
      </w:r>
      <w:r w:rsidR="00AC1ECB">
        <w:t>take a decision</w:t>
      </w:r>
      <w:r w:rsidR="002D4BD6" w:rsidRPr="00285CDE">
        <w:t xml:space="preserve"> </w:t>
      </w:r>
      <w:r w:rsidR="00AD23D1" w:rsidRPr="00285CDE">
        <w:t>and/</w:t>
      </w:r>
      <w:r w:rsidR="002D4BD6" w:rsidRPr="00285CDE">
        <w:t xml:space="preserve">or to trigger the </w:t>
      </w:r>
      <w:r w:rsidR="002D4BD6" w:rsidRPr="00285CDE">
        <w:lastRenderedPageBreak/>
        <w:t xml:space="preserve">application of </w:t>
      </w:r>
      <w:r w:rsidR="00001EAC" w:rsidRPr="00285CDE">
        <w:t xml:space="preserve">the </w:t>
      </w:r>
      <w:r w:rsidR="002D4BD6" w:rsidRPr="00285CDE">
        <w:t xml:space="preserve">statutory presumption </w:t>
      </w:r>
      <w:r w:rsidR="00001EAC" w:rsidRPr="00285CDE">
        <w:t xml:space="preserve">that the PE Minister has granted approval as there has been no response within </w:t>
      </w:r>
      <w:r w:rsidR="00032B2A">
        <w:t xml:space="preserve">the </w:t>
      </w:r>
      <w:r w:rsidR="00001EAC" w:rsidRPr="00285CDE">
        <w:t xml:space="preserve">30 days or more as </w:t>
      </w:r>
      <w:r w:rsidR="00D20C5B">
        <w:t>provided for in</w:t>
      </w:r>
      <w:r w:rsidR="002D4BD6" w:rsidRPr="00285CDE">
        <w:t xml:space="preserve"> section 54(3) of the PFMA. </w:t>
      </w:r>
    </w:p>
    <w:p w14:paraId="2274B274" w14:textId="62F067B9" w:rsidR="00A548B3" w:rsidRPr="00285CDE" w:rsidRDefault="00890EE4" w:rsidP="00890EE4">
      <w:pPr>
        <w:pStyle w:val="1"/>
        <w:numPr>
          <w:ilvl w:val="0"/>
          <w:numId w:val="0"/>
        </w:numPr>
        <w:tabs>
          <w:tab w:val="left" w:pos="567"/>
        </w:tabs>
        <w:spacing w:line="360" w:lineRule="auto"/>
        <w:ind w:left="567" w:hanging="567"/>
      </w:pPr>
      <w:r w:rsidRPr="00285CDE">
        <w:rPr>
          <w:rFonts w:cs="Arial"/>
          <w:szCs w:val="24"/>
        </w:rPr>
        <w:t>[35]</w:t>
      </w:r>
      <w:r w:rsidRPr="00285CDE">
        <w:rPr>
          <w:rFonts w:cs="Arial"/>
          <w:szCs w:val="24"/>
        </w:rPr>
        <w:tab/>
      </w:r>
      <w:r w:rsidR="00B50189">
        <w:t>The</w:t>
      </w:r>
      <w:r w:rsidR="0069749B">
        <w:t xml:space="preserve"> trade union, </w:t>
      </w:r>
      <w:r w:rsidR="00A548B3" w:rsidRPr="00285CDE">
        <w:t>NUMSA</w:t>
      </w:r>
      <w:r w:rsidR="0069749B">
        <w:t>,</w:t>
      </w:r>
      <w:r w:rsidR="00A548B3" w:rsidRPr="00285CDE">
        <w:t xml:space="preserve"> applied to intervene on behalf of </w:t>
      </w:r>
      <w:r w:rsidR="00DA432C" w:rsidRPr="00285CDE">
        <w:t xml:space="preserve">its </w:t>
      </w:r>
      <w:r w:rsidR="00A548B3" w:rsidRPr="00285CDE">
        <w:t xml:space="preserve">affected </w:t>
      </w:r>
      <w:r w:rsidR="00DA432C" w:rsidRPr="00285CDE">
        <w:t xml:space="preserve">members, </w:t>
      </w:r>
      <w:r w:rsidR="0069749B">
        <w:t xml:space="preserve">and </w:t>
      </w:r>
      <w:r w:rsidR="00DA432C" w:rsidRPr="00285CDE">
        <w:t xml:space="preserve">the </w:t>
      </w:r>
      <w:r w:rsidR="00A548B3" w:rsidRPr="00285CDE">
        <w:t>retrenched workers</w:t>
      </w:r>
      <w:r w:rsidR="004A201B" w:rsidRPr="00285CDE">
        <w:t>. NUMSA supports the application of Mango Airline</w:t>
      </w:r>
      <w:r w:rsidR="00B50189">
        <w:t>s</w:t>
      </w:r>
      <w:r w:rsidR="004A201B" w:rsidRPr="00285CDE">
        <w:t xml:space="preserve"> and the relief sought therein. In addition, NUMSA seeks relief that </w:t>
      </w:r>
      <w:r w:rsidR="0069749B">
        <w:t xml:space="preserve">will declare </w:t>
      </w:r>
      <w:r w:rsidR="00B50189">
        <w:t xml:space="preserve">that </w:t>
      </w:r>
      <w:r w:rsidR="004A201B" w:rsidRPr="00285CDE">
        <w:t>the conduct</w:t>
      </w:r>
      <w:r w:rsidR="0069749B">
        <w:t xml:space="preserve"> displayed by </w:t>
      </w:r>
      <w:r w:rsidR="004A201B" w:rsidRPr="00285CDE">
        <w:t>the PE Minister</w:t>
      </w:r>
      <w:r w:rsidR="00B50189">
        <w:t>’s</w:t>
      </w:r>
      <w:r w:rsidR="00DA432C" w:rsidRPr="00285CDE">
        <w:t xml:space="preserve"> failure to </w:t>
      </w:r>
      <w:r w:rsidR="00AC1ECB">
        <w:t>take a decision</w:t>
      </w:r>
      <w:r w:rsidR="004A201B" w:rsidRPr="00285CDE">
        <w:t xml:space="preserve"> timeously</w:t>
      </w:r>
      <w:r w:rsidR="00982CE2" w:rsidRPr="00285CDE">
        <w:t xml:space="preserve"> violates section 237 of the </w:t>
      </w:r>
      <w:r w:rsidR="00B50189" w:rsidRPr="00285CDE">
        <w:t>Constitution, is</w:t>
      </w:r>
      <w:r w:rsidR="00DA432C" w:rsidRPr="00285CDE">
        <w:t xml:space="preserve"> </w:t>
      </w:r>
      <w:r w:rsidR="00982CE2" w:rsidRPr="00285CDE">
        <w:t>unlawful</w:t>
      </w:r>
      <w:r w:rsidR="00170FC0">
        <w:t>,</w:t>
      </w:r>
      <w:r w:rsidR="00982CE2" w:rsidRPr="00285CDE">
        <w:t xml:space="preserve"> and ought to</w:t>
      </w:r>
      <w:r w:rsidR="004A201B" w:rsidRPr="00285CDE">
        <w:t xml:space="preserve"> be reviewed and set aside</w:t>
      </w:r>
      <w:r w:rsidR="00982CE2" w:rsidRPr="00285CDE">
        <w:t xml:space="preserve"> under the principle of legality</w:t>
      </w:r>
      <w:r w:rsidR="00B50189">
        <w:t>.</w:t>
      </w:r>
      <w:r w:rsidR="0069749B">
        <w:t xml:space="preserve"> </w:t>
      </w:r>
      <w:r w:rsidR="00B50189">
        <w:t>A</w:t>
      </w:r>
      <w:r w:rsidR="0069749B">
        <w:t>lternatively</w:t>
      </w:r>
      <w:r w:rsidR="00B50189">
        <w:t>,</w:t>
      </w:r>
      <w:r w:rsidR="00982CE2" w:rsidRPr="00285CDE">
        <w:t xml:space="preserve"> the PE Minister’s failure to </w:t>
      </w:r>
      <w:r w:rsidR="00AC1ECB">
        <w:t>take a decision</w:t>
      </w:r>
      <w:r w:rsidR="00982CE2" w:rsidRPr="00285CDE">
        <w:t xml:space="preserve"> timeously</w:t>
      </w:r>
      <w:r w:rsidR="004A201B" w:rsidRPr="00285CDE">
        <w:t xml:space="preserve"> </w:t>
      </w:r>
      <w:r w:rsidR="00982CE2" w:rsidRPr="00285CDE">
        <w:t xml:space="preserve">should be reviewed and set aside </w:t>
      </w:r>
      <w:r w:rsidR="00DA432C" w:rsidRPr="00285CDE">
        <w:t>in terms of</w:t>
      </w:r>
      <w:r w:rsidR="004A201B" w:rsidRPr="00285CDE">
        <w:t xml:space="preserve"> </w:t>
      </w:r>
      <w:r w:rsidR="00982CE2" w:rsidRPr="00285CDE">
        <w:t>s</w:t>
      </w:r>
      <w:r w:rsidR="004A201B" w:rsidRPr="00285CDE">
        <w:t>ection 6(2)(g) of the Promotion of Administrative Justice Act 3 of 2000 (</w:t>
      </w:r>
      <w:r w:rsidR="00B50189">
        <w:t>“</w:t>
      </w:r>
      <w:r w:rsidR="004A201B" w:rsidRPr="00285CDE">
        <w:t>PAJA</w:t>
      </w:r>
      <w:r w:rsidR="00B50189">
        <w:t>”</w:t>
      </w:r>
      <w:r w:rsidR="004A201B" w:rsidRPr="00285CDE">
        <w:t>).</w:t>
      </w:r>
    </w:p>
    <w:p w14:paraId="24D4E896" w14:textId="08E20BEE" w:rsidR="00B2029B" w:rsidRPr="00285CDE" w:rsidRDefault="00890EE4" w:rsidP="00890EE4">
      <w:pPr>
        <w:pStyle w:val="1"/>
        <w:numPr>
          <w:ilvl w:val="0"/>
          <w:numId w:val="0"/>
        </w:numPr>
        <w:tabs>
          <w:tab w:val="left" w:pos="567"/>
        </w:tabs>
        <w:spacing w:line="360" w:lineRule="auto"/>
        <w:ind w:left="567" w:hanging="567"/>
      </w:pPr>
      <w:r w:rsidRPr="00285CDE">
        <w:rPr>
          <w:rFonts w:cs="Arial"/>
          <w:szCs w:val="24"/>
        </w:rPr>
        <w:t>[36]</w:t>
      </w:r>
      <w:r w:rsidRPr="00285CDE">
        <w:rPr>
          <w:rFonts w:cs="Arial"/>
          <w:szCs w:val="24"/>
        </w:rPr>
        <w:tab/>
      </w:r>
      <w:r w:rsidR="00982CE2" w:rsidRPr="00285CDE">
        <w:t xml:space="preserve">None of the parties have opposed NUMSA’s application </w:t>
      </w:r>
      <w:r w:rsidR="00E25B9B" w:rsidRPr="00285CDE">
        <w:t xml:space="preserve">for leave </w:t>
      </w:r>
      <w:r w:rsidR="00982CE2" w:rsidRPr="00285CDE">
        <w:t xml:space="preserve">to intervene save to indicate that the </w:t>
      </w:r>
      <w:r w:rsidR="00E45755">
        <w:t>First, Second, Fourth, and Fifth Respondents oppose</w:t>
      </w:r>
      <w:r w:rsidR="00581499" w:rsidRPr="00285CDE">
        <w:t xml:space="preserve"> the relief sought by</w:t>
      </w:r>
      <w:r w:rsidR="00E45755">
        <w:t xml:space="preserve"> </w:t>
      </w:r>
      <w:r w:rsidR="00581499" w:rsidRPr="00285CDE">
        <w:t xml:space="preserve">NUMSA </w:t>
      </w:r>
      <w:r w:rsidR="00E45755">
        <w:t xml:space="preserve">on various grounds including the alleged </w:t>
      </w:r>
      <w:r w:rsidR="0069749B">
        <w:t>lack</w:t>
      </w:r>
      <w:r w:rsidR="00B50189">
        <w:t xml:space="preserve"> </w:t>
      </w:r>
      <w:r w:rsidR="00E45755">
        <w:t>of</w:t>
      </w:r>
      <w:r w:rsidR="0069749B">
        <w:t xml:space="preserve"> </w:t>
      </w:r>
      <w:r w:rsidR="0069749B" w:rsidRPr="00B50189">
        <w:rPr>
          <w:i/>
          <w:iCs w:val="0"/>
        </w:rPr>
        <w:t>locus standi</w:t>
      </w:r>
      <w:r w:rsidR="0069749B">
        <w:t xml:space="preserve"> </w:t>
      </w:r>
      <w:r w:rsidR="00E45755">
        <w:t xml:space="preserve">by NUMSA </w:t>
      </w:r>
      <w:r w:rsidR="00581499" w:rsidRPr="00285CDE">
        <w:t>or support the relief sought by Mango Airline</w:t>
      </w:r>
      <w:r w:rsidR="00A45C37">
        <w:t>s</w:t>
      </w:r>
      <w:r w:rsidR="00581499" w:rsidRPr="00285CDE">
        <w:t xml:space="preserve"> and the BRP.</w:t>
      </w:r>
    </w:p>
    <w:p w14:paraId="7E084403" w14:textId="2B9D80E5" w:rsidR="00E213DA" w:rsidRPr="00285CDE" w:rsidRDefault="00E25B9B" w:rsidP="00E213DA">
      <w:pPr>
        <w:pStyle w:val="1"/>
        <w:numPr>
          <w:ilvl w:val="0"/>
          <w:numId w:val="0"/>
        </w:numPr>
        <w:rPr>
          <w:b/>
          <w:bCs/>
        </w:rPr>
      </w:pPr>
      <w:r w:rsidRPr="00285CDE">
        <w:rPr>
          <w:b/>
          <w:bCs/>
        </w:rPr>
        <w:t>APPLICATION TO INTERVENE</w:t>
      </w:r>
    </w:p>
    <w:p w14:paraId="52122E51" w14:textId="6DE5184C" w:rsidR="00E25B9B" w:rsidRPr="00285CDE" w:rsidRDefault="00890EE4" w:rsidP="00890EE4">
      <w:pPr>
        <w:pStyle w:val="1"/>
        <w:numPr>
          <w:ilvl w:val="0"/>
          <w:numId w:val="0"/>
        </w:numPr>
        <w:tabs>
          <w:tab w:val="left" w:pos="567"/>
        </w:tabs>
        <w:spacing w:line="360" w:lineRule="auto"/>
        <w:ind w:left="567" w:hanging="567"/>
      </w:pPr>
      <w:r w:rsidRPr="00285CDE">
        <w:rPr>
          <w:rFonts w:cs="Arial"/>
          <w:szCs w:val="24"/>
        </w:rPr>
        <w:t>[37]</w:t>
      </w:r>
      <w:r w:rsidRPr="00285CDE">
        <w:rPr>
          <w:rFonts w:cs="Arial"/>
          <w:szCs w:val="24"/>
        </w:rPr>
        <w:tab/>
      </w:r>
      <w:r w:rsidR="00FE340F" w:rsidRPr="00285CDE">
        <w:t xml:space="preserve">NUMSA filed an application to intervene </w:t>
      </w:r>
      <w:r w:rsidR="000E6C91" w:rsidRPr="00285CDE">
        <w:t xml:space="preserve">in these proceedings </w:t>
      </w:r>
      <w:r w:rsidR="00FE340F" w:rsidRPr="00285CDE">
        <w:t xml:space="preserve">on the grounds that it is </w:t>
      </w:r>
      <w:r w:rsidR="000E6C91" w:rsidRPr="00285CDE">
        <w:rPr>
          <w:i/>
          <w:iCs w:val="0"/>
        </w:rPr>
        <w:t>inter alia</w:t>
      </w:r>
      <w:r w:rsidR="000E6C91" w:rsidRPr="00285CDE">
        <w:t xml:space="preserve"> an </w:t>
      </w:r>
      <w:r w:rsidR="00FE340F" w:rsidRPr="00285CDE">
        <w:t>affected p</w:t>
      </w:r>
      <w:r w:rsidR="00B6103A" w:rsidRPr="00285CDE">
        <w:t>arty</w:t>
      </w:r>
      <w:r w:rsidR="000E6C91" w:rsidRPr="00285CDE">
        <w:t>, as a registered union representing employees o</w:t>
      </w:r>
      <w:r w:rsidR="0015592D" w:rsidRPr="00285CDE">
        <w:t>f</w:t>
      </w:r>
      <w:r w:rsidR="000E6C91" w:rsidRPr="00285CDE">
        <w:t xml:space="preserve"> Mango Airline</w:t>
      </w:r>
      <w:r w:rsidR="00A45C37">
        <w:t>s</w:t>
      </w:r>
      <w:r w:rsidR="000E6C91" w:rsidRPr="00285CDE">
        <w:t xml:space="preserve"> in terms of section 128(1)(a) of the Companies Act. Further</w:t>
      </w:r>
      <w:r w:rsidR="0015592D" w:rsidRPr="00285CDE">
        <w:t>,</w:t>
      </w:r>
      <w:r w:rsidR="000E6C91" w:rsidRPr="00285CDE">
        <w:t xml:space="preserve"> NUMSA </w:t>
      </w:r>
      <w:r w:rsidR="001C23D9" w:rsidRPr="00285CDE">
        <w:t>contended</w:t>
      </w:r>
      <w:r w:rsidR="000E6C91" w:rsidRPr="00285CDE">
        <w:t xml:space="preserve"> that it has </w:t>
      </w:r>
      <w:r w:rsidR="00112765" w:rsidRPr="00285CDE">
        <w:t xml:space="preserve">a </w:t>
      </w:r>
      <w:r w:rsidR="000E6C91" w:rsidRPr="00285CDE">
        <w:t xml:space="preserve">direct and substantial interest in the outcome </w:t>
      </w:r>
      <w:r w:rsidR="00112765" w:rsidRPr="00285CDE">
        <w:t xml:space="preserve">of the business rescue processes or proceedings </w:t>
      </w:r>
      <w:r w:rsidR="000E6C91" w:rsidRPr="00285CDE">
        <w:t xml:space="preserve">by virtue of the </w:t>
      </w:r>
      <w:r w:rsidR="00B50189">
        <w:t>r</w:t>
      </w:r>
      <w:r w:rsidR="000E6C91" w:rsidRPr="00285CDE">
        <w:t xml:space="preserve">etrenchment </w:t>
      </w:r>
      <w:r w:rsidR="00B50189">
        <w:t>a</w:t>
      </w:r>
      <w:r w:rsidR="000E6C91" w:rsidRPr="00285CDE">
        <w:t xml:space="preserve">greements </w:t>
      </w:r>
      <w:r w:rsidR="00112765" w:rsidRPr="00285CDE">
        <w:t xml:space="preserve">that were </w:t>
      </w:r>
      <w:r w:rsidR="000E6C91" w:rsidRPr="00285CDE">
        <w:t xml:space="preserve">concluded between NUMSA and the BRP which governs the preferential re-employment of Mango Airlines’ </w:t>
      </w:r>
      <w:r w:rsidR="00112765" w:rsidRPr="00285CDE">
        <w:t xml:space="preserve">employees that were retrenched amongst others. </w:t>
      </w:r>
    </w:p>
    <w:p w14:paraId="04F82DB8" w14:textId="78B5B4C6" w:rsidR="001C23D9" w:rsidRPr="00285CDE" w:rsidRDefault="00890EE4" w:rsidP="00890EE4">
      <w:pPr>
        <w:pStyle w:val="1"/>
        <w:numPr>
          <w:ilvl w:val="0"/>
          <w:numId w:val="0"/>
        </w:numPr>
        <w:tabs>
          <w:tab w:val="left" w:pos="567"/>
        </w:tabs>
        <w:spacing w:line="360" w:lineRule="auto"/>
        <w:ind w:left="567" w:hanging="567"/>
      </w:pPr>
      <w:r w:rsidRPr="00285CDE">
        <w:rPr>
          <w:rFonts w:cs="Arial"/>
          <w:szCs w:val="24"/>
        </w:rPr>
        <w:t>[38]</w:t>
      </w:r>
      <w:r w:rsidRPr="00285CDE">
        <w:rPr>
          <w:rFonts w:cs="Arial"/>
          <w:szCs w:val="24"/>
        </w:rPr>
        <w:tab/>
      </w:r>
      <w:r w:rsidR="00112765" w:rsidRPr="00285CDE">
        <w:t xml:space="preserve">In my view, NUMSA meets the test for ascertaining whether a party has </w:t>
      </w:r>
      <w:r w:rsidR="00993186" w:rsidRPr="00285CDE">
        <w:t xml:space="preserve">a </w:t>
      </w:r>
      <w:r w:rsidR="00112765" w:rsidRPr="00285CDE">
        <w:t xml:space="preserve">direct and substantial interest in the subject matter of the case because </w:t>
      </w:r>
      <w:r w:rsidR="00993186" w:rsidRPr="00285CDE">
        <w:t xml:space="preserve">it has shown that, by virtue of the </w:t>
      </w:r>
      <w:r w:rsidR="00B50189">
        <w:t>r</w:t>
      </w:r>
      <w:r w:rsidR="00993186" w:rsidRPr="00285CDE">
        <w:t xml:space="preserve">etrenchment </w:t>
      </w:r>
      <w:r w:rsidR="007B65A8">
        <w:t>a</w:t>
      </w:r>
      <w:r w:rsidR="00993186" w:rsidRPr="00285CDE">
        <w:t>greement</w:t>
      </w:r>
      <w:r w:rsidR="007B65A8">
        <w:t>s,</w:t>
      </w:r>
      <w:r w:rsidR="00993186" w:rsidRPr="00285CDE">
        <w:t xml:space="preserve"> </w:t>
      </w:r>
      <w:r w:rsidR="00112765" w:rsidRPr="00285CDE">
        <w:t xml:space="preserve">the rights of its members are </w:t>
      </w:r>
      <w:r w:rsidR="00112765" w:rsidRPr="00285CDE">
        <w:lastRenderedPageBreak/>
        <w:t xml:space="preserve">likely to be affected by the orders sought. In </w:t>
      </w:r>
      <w:r w:rsidR="00112765" w:rsidRPr="00285CDE">
        <w:rPr>
          <w:rFonts w:cs="Arial"/>
          <w:i/>
          <w:iCs w:val="0"/>
          <w:szCs w:val="24"/>
        </w:rPr>
        <w:t>South African Riding for the Disabled Association v Regional Land Claims Commissioner and Others</w:t>
      </w:r>
      <w:r w:rsidR="00112765" w:rsidRPr="00285CDE">
        <w:rPr>
          <w:rStyle w:val="FootnoteReference"/>
          <w:rFonts w:cs="Arial"/>
          <w:szCs w:val="24"/>
        </w:rPr>
        <w:footnoteReference w:id="8"/>
      </w:r>
      <w:r w:rsidR="00993186" w:rsidRPr="00285CDE">
        <w:rPr>
          <w:rFonts w:cs="Arial"/>
          <w:szCs w:val="24"/>
        </w:rPr>
        <w:t xml:space="preserve"> the Constitutional Court held that “</w:t>
      </w:r>
      <w:r w:rsidR="00993186" w:rsidRPr="0069749B">
        <w:rPr>
          <w:rFonts w:cs="Arial"/>
          <w:i/>
          <w:iCs w:val="0"/>
          <w:szCs w:val="24"/>
        </w:rPr>
        <w:t>if the applicant shows that it has some right which is affected by the order issued, permission to intervene must be granted</w:t>
      </w:r>
      <w:r w:rsidR="00993186" w:rsidRPr="00285CDE">
        <w:rPr>
          <w:rFonts w:cs="Arial"/>
          <w:szCs w:val="24"/>
        </w:rPr>
        <w:t xml:space="preserve">”. </w:t>
      </w:r>
      <w:r w:rsidR="00B6103A" w:rsidRPr="00285CDE">
        <w:rPr>
          <w:rFonts w:cs="Arial"/>
          <w:szCs w:val="24"/>
        </w:rPr>
        <w:t xml:space="preserve">There is no doubt that the relief sought will in one way or </w:t>
      </w:r>
      <w:r w:rsidR="00AD23D1" w:rsidRPr="00285CDE">
        <w:rPr>
          <w:rFonts w:cs="Arial"/>
          <w:szCs w:val="24"/>
        </w:rPr>
        <w:t>another</w:t>
      </w:r>
      <w:r w:rsidR="00B6103A" w:rsidRPr="00285CDE">
        <w:rPr>
          <w:rFonts w:cs="Arial"/>
          <w:szCs w:val="24"/>
        </w:rPr>
        <w:t xml:space="preserve"> </w:t>
      </w:r>
      <w:r w:rsidR="00AD23D1" w:rsidRPr="00285CDE">
        <w:rPr>
          <w:rFonts w:cs="Arial"/>
          <w:szCs w:val="24"/>
        </w:rPr>
        <w:t>have</w:t>
      </w:r>
      <w:r w:rsidR="00B6103A" w:rsidRPr="00285CDE">
        <w:rPr>
          <w:rFonts w:cs="Arial"/>
          <w:szCs w:val="24"/>
        </w:rPr>
        <w:t xml:space="preserve"> a bearing on the </w:t>
      </w:r>
      <w:r w:rsidR="00AA49AB">
        <w:rPr>
          <w:rFonts w:cs="Arial"/>
          <w:szCs w:val="24"/>
        </w:rPr>
        <w:t xml:space="preserve">rights of the </w:t>
      </w:r>
      <w:r w:rsidR="00B6103A" w:rsidRPr="00285CDE">
        <w:rPr>
          <w:rFonts w:cs="Arial"/>
          <w:szCs w:val="24"/>
        </w:rPr>
        <w:t>retrenched employees.</w:t>
      </w:r>
    </w:p>
    <w:p w14:paraId="72E242F6" w14:textId="1641E332" w:rsidR="001C23D9" w:rsidRPr="00285CDE" w:rsidRDefault="00890EE4" w:rsidP="00890EE4">
      <w:pPr>
        <w:pStyle w:val="1"/>
        <w:numPr>
          <w:ilvl w:val="0"/>
          <w:numId w:val="0"/>
        </w:numPr>
        <w:tabs>
          <w:tab w:val="left" w:pos="567"/>
        </w:tabs>
        <w:spacing w:line="360" w:lineRule="auto"/>
        <w:ind w:left="567" w:hanging="567"/>
      </w:pPr>
      <w:r w:rsidRPr="00285CDE">
        <w:rPr>
          <w:rFonts w:cs="Arial"/>
          <w:szCs w:val="24"/>
        </w:rPr>
        <w:t>[39]</w:t>
      </w:r>
      <w:r w:rsidRPr="00285CDE">
        <w:rPr>
          <w:rFonts w:cs="Arial"/>
          <w:szCs w:val="24"/>
        </w:rPr>
        <w:tab/>
      </w:r>
      <w:r w:rsidR="001C23D9" w:rsidRPr="00285CDE">
        <w:rPr>
          <w:rFonts w:cs="Arial"/>
          <w:szCs w:val="24"/>
        </w:rPr>
        <w:t xml:space="preserve">Furthermore, in </w:t>
      </w:r>
      <w:r w:rsidR="001C23D9" w:rsidRPr="00285CDE">
        <w:rPr>
          <w:i/>
          <w:iCs w:val="0"/>
        </w:rPr>
        <w:t>Steel and Engineering Industries Federation and Others v National Union of Metalworkers of South Africa</w:t>
      </w:r>
      <w:r w:rsidR="00EE09A4">
        <w:rPr>
          <w:i/>
          <w:iCs w:val="0"/>
        </w:rPr>
        <w:t>,</w:t>
      </w:r>
      <w:r w:rsidR="001C23D9" w:rsidRPr="00285CDE">
        <w:rPr>
          <w:rStyle w:val="FootnoteReference"/>
        </w:rPr>
        <w:footnoteReference w:id="9"/>
      </w:r>
      <w:r w:rsidR="001C23D9" w:rsidRPr="00285CDE">
        <w:t xml:space="preserve"> it was held that it was well recognised that trade unions and employers' organisations were entitled to litigate for the benefit of their members. </w:t>
      </w:r>
      <w:r w:rsidR="007B65A8">
        <w:t xml:space="preserve">It is important that the interests </w:t>
      </w:r>
      <w:r w:rsidR="001C23D9" w:rsidRPr="00285CDE">
        <w:t xml:space="preserve">of </w:t>
      </w:r>
      <w:r w:rsidR="007B65A8">
        <w:t>the</w:t>
      </w:r>
      <w:r w:rsidR="00791BEA">
        <w:t xml:space="preserve"> </w:t>
      </w:r>
      <w:r w:rsidR="001C23D9" w:rsidRPr="00285CDE">
        <w:t>former employees of Mango Airline</w:t>
      </w:r>
      <w:r w:rsidR="00AA49AB">
        <w:t>s</w:t>
      </w:r>
      <w:r w:rsidR="007B65A8">
        <w:t xml:space="preserve"> are taken into account for the failure not to will</w:t>
      </w:r>
      <w:r w:rsidR="00AA49AB">
        <w:t xml:space="preserve"> </w:t>
      </w:r>
      <w:r w:rsidR="007B65A8">
        <w:t xml:space="preserve">result in </w:t>
      </w:r>
      <w:r w:rsidR="001C23D9" w:rsidRPr="00285CDE">
        <w:t xml:space="preserve">their rights in terms of the concluded </w:t>
      </w:r>
      <w:r w:rsidR="007B65A8">
        <w:t>r</w:t>
      </w:r>
      <w:r w:rsidR="001C23D9" w:rsidRPr="00285CDE">
        <w:t xml:space="preserve">etrenchment </w:t>
      </w:r>
      <w:r w:rsidR="007B65A8">
        <w:t>a</w:t>
      </w:r>
      <w:r w:rsidR="001C23D9" w:rsidRPr="00285CDE">
        <w:t xml:space="preserve">greements </w:t>
      </w:r>
      <w:r w:rsidR="007B65A8">
        <w:t>being more</w:t>
      </w:r>
      <w:r w:rsidR="001C23D9" w:rsidRPr="00285CDE">
        <w:t xml:space="preserve"> likely to be </w:t>
      </w:r>
      <w:r w:rsidR="007B65A8">
        <w:t xml:space="preserve">negatively </w:t>
      </w:r>
      <w:r w:rsidR="001C23D9" w:rsidRPr="00285CDE">
        <w:t>affected</w:t>
      </w:r>
      <w:r w:rsidR="00AA49AB">
        <w:t xml:space="preserve"> </w:t>
      </w:r>
      <w:r w:rsidR="007B65A8">
        <w:t xml:space="preserve">if </w:t>
      </w:r>
      <w:r w:rsidR="008B24E6" w:rsidRPr="00285CDE">
        <w:t>no one would advance their case</w:t>
      </w:r>
      <w:r w:rsidR="001C23D9" w:rsidRPr="00285CDE">
        <w:t xml:space="preserve">. NUMSA therefore wants to ensure that their interests are adequately </w:t>
      </w:r>
      <w:r w:rsidR="008B24E6" w:rsidRPr="00285CDE">
        <w:t xml:space="preserve">represented and </w:t>
      </w:r>
      <w:r w:rsidR="001C23D9" w:rsidRPr="00285CDE">
        <w:t xml:space="preserve">protected throughout the business rescue process </w:t>
      </w:r>
      <w:r w:rsidR="00791BEA">
        <w:t>and in</w:t>
      </w:r>
      <w:r w:rsidR="001C23D9" w:rsidRPr="00285CDE">
        <w:t xml:space="preserve"> this litigation.</w:t>
      </w:r>
    </w:p>
    <w:p w14:paraId="5A036CD0" w14:textId="5254B21D" w:rsidR="006B199B" w:rsidRPr="00285CDE" w:rsidRDefault="00890EE4" w:rsidP="00890EE4">
      <w:pPr>
        <w:pStyle w:val="1"/>
        <w:numPr>
          <w:ilvl w:val="0"/>
          <w:numId w:val="0"/>
        </w:numPr>
        <w:tabs>
          <w:tab w:val="left" w:pos="567"/>
        </w:tabs>
        <w:spacing w:line="360" w:lineRule="auto"/>
        <w:ind w:left="567" w:hanging="567"/>
      </w:pPr>
      <w:r w:rsidRPr="00285CDE">
        <w:rPr>
          <w:rFonts w:cs="Arial"/>
          <w:szCs w:val="24"/>
        </w:rPr>
        <w:t>[40]</w:t>
      </w:r>
      <w:r w:rsidRPr="00285CDE">
        <w:rPr>
          <w:rFonts w:cs="Arial"/>
          <w:szCs w:val="24"/>
        </w:rPr>
        <w:tab/>
      </w:r>
      <w:r w:rsidR="00227137" w:rsidRPr="00285CDE">
        <w:rPr>
          <w:rFonts w:cs="Arial"/>
          <w:szCs w:val="24"/>
        </w:rPr>
        <w:t xml:space="preserve">In light of the above, </w:t>
      </w:r>
      <w:r w:rsidR="00993186" w:rsidRPr="00285CDE">
        <w:rPr>
          <w:rFonts w:cs="Arial"/>
          <w:szCs w:val="24"/>
        </w:rPr>
        <w:t xml:space="preserve">I am satisfied that NUMSA has a direct and substantial interest in the subject matter and therefore </w:t>
      </w:r>
      <w:r w:rsidR="00791BEA">
        <w:rPr>
          <w:rFonts w:cs="Arial"/>
          <w:szCs w:val="24"/>
        </w:rPr>
        <w:t xml:space="preserve">their application for </w:t>
      </w:r>
      <w:r w:rsidR="00993186" w:rsidRPr="00285CDE">
        <w:rPr>
          <w:rFonts w:cs="Arial"/>
          <w:szCs w:val="24"/>
        </w:rPr>
        <w:t xml:space="preserve">leave to intervene </w:t>
      </w:r>
      <w:r w:rsidR="00791BEA">
        <w:rPr>
          <w:rFonts w:cs="Arial"/>
          <w:szCs w:val="24"/>
        </w:rPr>
        <w:t>is</w:t>
      </w:r>
      <w:r w:rsidR="00993186" w:rsidRPr="00285CDE">
        <w:rPr>
          <w:rFonts w:cs="Arial"/>
          <w:szCs w:val="24"/>
        </w:rPr>
        <w:t xml:space="preserve"> granted. </w:t>
      </w:r>
      <w:r w:rsidR="00227137" w:rsidRPr="00285CDE">
        <w:rPr>
          <w:rFonts w:cs="Arial"/>
          <w:szCs w:val="24"/>
        </w:rPr>
        <w:t xml:space="preserve">In any event, none of the parties have opposed NUMSA’s application </w:t>
      </w:r>
      <w:r w:rsidR="008B24E6" w:rsidRPr="00285CDE">
        <w:rPr>
          <w:rFonts w:cs="Arial"/>
          <w:szCs w:val="24"/>
        </w:rPr>
        <w:t xml:space="preserve">in </w:t>
      </w:r>
      <w:r w:rsidR="00227137" w:rsidRPr="00285CDE">
        <w:rPr>
          <w:rFonts w:cs="Arial"/>
          <w:szCs w:val="24"/>
        </w:rPr>
        <w:t>so far as it relates to the aspect of intervening.</w:t>
      </w:r>
    </w:p>
    <w:p w14:paraId="5F6F1AD6" w14:textId="77777777" w:rsidR="00227137" w:rsidRPr="00285CDE" w:rsidRDefault="00227137" w:rsidP="00227137">
      <w:pPr>
        <w:pStyle w:val="1"/>
        <w:numPr>
          <w:ilvl w:val="0"/>
          <w:numId w:val="0"/>
        </w:numPr>
        <w:rPr>
          <w:b/>
          <w:bCs/>
        </w:rPr>
      </w:pPr>
      <w:r w:rsidRPr="00285CDE">
        <w:rPr>
          <w:b/>
          <w:bCs/>
        </w:rPr>
        <w:t xml:space="preserve">CONDONATION </w:t>
      </w:r>
    </w:p>
    <w:p w14:paraId="755333F8" w14:textId="2DC0A3B2" w:rsidR="0040413C" w:rsidRPr="00285CDE" w:rsidRDefault="00890EE4" w:rsidP="00890EE4">
      <w:pPr>
        <w:pStyle w:val="1"/>
        <w:numPr>
          <w:ilvl w:val="0"/>
          <w:numId w:val="0"/>
        </w:numPr>
        <w:tabs>
          <w:tab w:val="left" w:pos="567"/>
        </w:tabs>
        <w:spacing w:line="360" w:lineRule="auto"/>
        <w:ind w:left="567" w:hanging="567"/>
      </w:pPr>
      <w:r w:rsidRPr="00285CDE">
        <w:rPr>
          <w:rFonts w:cs="Arial"/>
          <w:szCs w:val="24"/>
        </w:rPr>
        <w:t>[41]</w:t>
      </w:r>
      <w:r w:rsidRPr="00285CDE">
        <w:rPr>
          <w:rFonts w:cs="Arial"/>
          <w:szCs w:val="24"/>
        </w:rPr>
        <w:tab/>
      </w:r>
      <w:r w:rsidR="0040413C" w:rsidRPr="00285CDE">
        <w:t xml:space="preserve">The </w:t>
      </w:r>
      <w:r w:rsidR="001D7511" w:rsidRPr="00285CDE">
        <w:t xml:space="preserve">legal </w:t>
      </w:r>
      <w:r w:rsidR="0040413C" w:rsidRPr="00285CDE">
        <w:t>principles applicable to the granting of condonation are well-known</w:t>
      </w:r>
      <w:r w:rsidR="008B24E6" w:rsidRPr="00285CDE">
        <w:t xml:space="preserve"> and settled</w:t>
      </w:r>
      <w:r w:rsidR="0040413C" w:rsidRPr="00285CDE">
        <w:t xml:space="preserve"> in</w:t>
      </w:r>
      <w:r w:rsidR="008B24E6" w:rsidRPr="00285CDE">
        <w:t xml:space="preserve"> our</w:t>
      </w:r>
      <w:r w:rsidR="0040413C" w:rsidRPr="00285CDE">
        <w:t xml:space="preserve"> law. The Constitutional Court in </w:t>
      </w:r>
      <w:r w:rsidR="0040413C" w:rsidRPr="00285CDE">
        <w:rPr>
          <w:i/>
          <w:iCs w:val="0"/>
        </w:rPr>
        <w:t>Mphephu-Ramabulana and Another v Mphephu and Others</w:t>
      </w:r>
      <w:r w:rsidR="00ED0EDA" w:rsidRPr="00285CDE">
        <w:rPr>
          <w:rStyle w:val="FootnoteReference"/>
          <w:i/>
          <w:iCs w:val="0"/>
        </w:rPr>
        <w:footnoteReference w:id="10"/>
      </w:r>
      <w:r w:rsidR="004B284F" w:rsidRPr="00285CDE">
        <w:t>,</w:t>
      </w:r>
      <w:r w:rsidR="00ED0EDA" w:rsidRPr="00285CDE">
        <w:t xml:space="preserve"> eloquently put the position as follows</w:t>
      </w:r>
      <w:r w:rsidR="004B284F" w:rsidRPr="00285CDE">
        <w:t>:</w:t>
      </w:r>
    </w:p>
    <w:p w14:paraId="0F0FE10C" w14:textId="77777777" w:rsidR="00ED0EDA" w:rsidRPr="00285CDE" w:rsidRDefault="00ED0EDA" w:rsidP="0040413C">
      <w:pPr>
        <w:pStyle w:val="1"/>
        <w:numPr>
          <w:ilvl w:val="0"/>
          <w:numId w:val="0"/>
        </w:numPr>
        <w:spacing w:before="0" w:line="240" w:lineRule="auto"/>
      </w:pPr>
    </w:p>
    <w:p w14:paraId="4BA1AB9D" w14:textId="64294512" w:rsidR="00ED0EDA" w:rsidRPr="007B65A8" w:rsidRDefault="00ED0EDA" w:rsidP="007B65A8">
      <w:pPr>
        <w:pStyle w:val="1"/>
        <w:numPr>
          <w:ilvl w:val="0"/>
          <w:numId w:val="0"/>
        </w:numPr>
        <w:spacing w:before="0" w:line="360" w:lineRule="auto"/>
        <w:ind w:left="851" w:right="851"/>
        <w:rPr>
          <w:szCs w:val="24"/>
        </w:rPr>
      </w:pPr>
      <w:r w:rsidRPr="007B65A8">
        <w:rPr>
          <w:szCs w:val="24"/>
        </w:rPr>
        <w:t xml:space="preserve">‘. . . compliance with this Court's Rules and timelines is not optional, and . . . condonation for any non-compliance is not at hand merely for the asking. The question in each case is "whether the interests of </w:t>
      </w:r>
      <w:r w:rsidRPr="007B65A8">
        <w:rPr>
          <w:szCs w:val="24"/>
        </w:rPr>
        <w:lastRenderedPageBreak/>
        <w:t>justice permit" that condonation be granted. Factors such as the extent and cause of the delay, the reasonableness of the explanation for the delay, the effect of the delay on the administration of justice and other litigants, and the prospects of success on the merits if condonation is granted, are relevant to determining what the interests of justice dictate in any given case’.</w:t>
      </w:r>
    </w:p>
    <w:p w14:paraId="74B78D89" w14:textId="7A97D483" w:rsidR="00ED0EDA" w:rsidRPr="00285CDE" w:rsidRDefault="00890EE4" w:rsidP="00890EE4">
      <w:pPr>
        <w:pStyle w:val="1"/>
        <w:numPr>
          <w:ilvl w:val="0"/>
          <w:numId w:val="0"/>
        </w:numPr>
        <w:tabs>
          <w:tab w:val="left" w:pos="567"/>
        </w:tabs>
        <w:spacing w:line="360" w:lineRule="auto"/>
        <w:ind w:left="567" w:hanging="567"/>
      </w:pPr>
      <w:r w:rsidRPr="00285CDE">
        <w:rPr>
          <w:rFonts w:cs="Arial"/>
          <w:szCs w:val="24"/>
        </w:rPr>
        <w:t>[42]</w:t>
      </w:r>
      <w:r w:rsidRPr="00285CDE">
        <w:rPr>
          <w:rFonts w:cs="Arial"/>
          <w:szCs w:val="24"/>
        </w:rPr>
        <w:tab/>
      </w:r>
      <w:r w:rsidR="00ED0EDA" w:rsidRPr="00285CDE">
        <w:t>The aforesaid factors are therefore useful in determining whether to grant condonation</w:t>
      </w:r>
      <w:r w:rsidR="00791BEA">
        <w:t xml:space="preserve"> for the late filing of heads of argument</w:t>
      </w:r>
      <w:r w:rsidR="00ED0EDA" w:rsidRPr="00285CDE">
        <w:t>. I now turn to consider the applicable time frames, the extent of the lateness, and the explanation proffered by NUMSA.</w:t>
      </w:r>
    </w:p>
    <w:p w14:paraId="6B4AC4B5" w14:textId="73BB7C2E" w:rsidR="00ED0EDA" w:rsidRPr="00285CDE" w:rsidRDefault="00890EE4" w:rsidP="00890EE4">
      <w:pPr>
        <w:pStyle w:val="1"/>
        <w:numPr>
          <w:ilvl w:val="0"/>
          <w:numId w:val="0"/>
        </w:numPr>
        <w:tabs>
          <w:tab w:val="left" w:pos="567"/>
        </w:tabs>
        <w:spacing w:line="360" w:lineRule="auto"/>
        <w:ind w:left="567" w:hanging="567"/>
      </w:pPr>
      <w:r w:rsidRPr="00285CDE">
        <w:rPr>
          <w:rFonts w:cs="Arial"/>
          <w:szCs w:val="24"/>
        </w:rPr>
        <w:t>[43]</w:t>
      </w:r>
      <w:r w:rsidRPr="00285CDE">
        <w:rPr>
          <w:rFonts w:cs="Arial"/>
          <w:szCs w:val="24"/>
        </w:rPr>
        <w:tab/>
      </w:r>
      <w:r w:rsidR="00ED0EDA" w:rsidRPr="00285CDE">
        <w:t>On 4 May 2023, a case management meeting was held between the parties</w:t>
      </w:r>
      <w:r w:rsidR="008B24E6" w:rsidRPr="00285CDE">
        <w:t xml:space="preserve">. </w:t>
      </w:r>
      <w:r w:rsidR="00BE78D0">
        <w:t>It was agreed</w:t>
      </w:r>
      <w:r w:rsidR="00AA49AB">
        <w:t xml:space="preserve"> </w:t>
      </w:r>
      <w:r w:rsidR="00ED0EDA" w:rsidRPr="00285CDE">
        <w:t>that NUMSA</w:t>
      </w:r>
      <w:r w:rsidR="00791BEA">
        <w:t xml:space="preserve"> </w:t>
      </w:r>
      <w:r w:rsidR="00BE78D0">
        <w:t xml:space="preserve">would, </w:t>
      </w:r>
      <w:r w:rsidR="00ED0EDA" w:rsidRPr="00285CDE">
        <w:t xml:space="preserve">as </w:t>
      </w:r>
      <w:r w:rsidR="00BE78D0">
        <w:t xml:space="preserve">an </w:t>
      </w:r>
      <w:r w:rsidR="00ED0EDA" w:rsidRPr="00285CDE">
        <w:t xml:space="preserve">intervening party file </w:t>
      </w:r>
      <w:r w:rsidR="00022930">
        <w:t>their</w:t>
      </w:r>
      <w:r w:rsidR="00AA49AB">
        <w:t xml:space="preserve"> </w:t>
      </w:r>
      <w:r w:rsidR="00ED0EDA" w:rsidRPr="00285CDE">
        <w:t xml:space="preserve">heads of argument </w:t>
      </w:r>
      <w:r w:rsidR="00022930">
        <w:t xml:space="preserve">and other outstanding papers </w:t>
      </w:r>
      <w:r w:rsidR="00ED0EDA" w:rsidRPr="00285CDE">
        <w:t xml:space="preserve">by no later than 15 May 2023. However, NUMSA only filed its heads of argument on 17 May 2023. Consequently, NUMSA asks </w:t>
      </w:r>
      <w:r w:rsidR="008B24E6" w:rsidRPr="00285CDE">
        <w:t xml:space="preserve">for </w:t>
      </w:r>
      <w:r w:rsidR="0015592D" w:rsidRPr="00285CDE">
        <w:t xml:space="preserve">condonation </w:t>
      </w:r>
      <w:r w:rsidR="00ED0EDA" w:rsidRPr="00285CDE">
        <w:t>for its late filing of the heads of argument.</w:t>
      </w:r>
    </w:p>
    <w:p w14:paraId="284BA3E2" w14:textId="42633A2C" w:rsidR="00ED0EDA" w:rsidRPr="00285CDE" w:rsidRDefault="00890EE4" w:rsidP="00890EE4">
      <w:pPr>
        <w:pStyle w:val="1"/>
        <w:numPr>
          <w:ilvl w:val="0"/>
          <w:numId w:val="0"/>
        </w:numPr>
        <w:tabs>
          <w:tab w:val="left" w:pos="567"/>
        </w:tabs>
        <w:spacing w:line="360" w:lineRule="auto"/>
        <w:ind w:left="567" w:hanging="567"/>
        <w:rPr>
          <w:b/>
          <w:bCs/>
        </w:rPr>
      </w:pPr>
      <w:r w:rsidRPr="00285CDE">
        <w:rPr>
          <w:rFonts w:cs="Arial"/>
          <w:szCs w:val="24"/>
        </w:rPr>
        <w:t>[44]</w:t>
      </w:r>
      <w:r w:rsidRPr="00285CDE">
        <w:rPr>
          <w:rFonts w:cs="Arial"/>
          <w:szCs w:val="24"/>
        </w:rPr>
        <w:tab/>
      </w:r>
      <w:r w:rsidR="00ED0EDA" w:rsidRPr="00285CDE">
        <w:t xml:space="preserve">NUMSA’s explanation is that </w:t>
      </w:r>
      <w:r w:rsidR="00AA49AB">
        <w:t xml:space="preserve">it </w:t>
      </w:r>
      <w:r w:rsidR="00ED0EDA" w:rsidRPr="00285CDE">
        <w:t>sought to “sufficiently” deal with the issues raised</w:t>
      </w:r>
      <w:r w:rsidR="007C5128" w:rsidRPr="00285CDE">
        <w:t xml:space="preserve"> in the answering affidavit</w:t>
      </w:r>
      <w:r w:rsidR="00ED0EDA" w:rsidRPr="00285CDE">
        <w:t xml:space="preserve"> </w:t>
      </w:r>
      <w:r w:rsidR="007C5128" w:rsidRPr="00285CDE">
        <w:t>of</w:t>
      </w:r>
      <w:r w:rsidR="00ED0EDA" w:rsidRPr="00285CDE">
        <w:t xml:space="preserve"> the PE </w:t>
      </w:r>
      <w:r w:rsidR="00AA49AB">
        <w:t xml:space="preserve">Minister </w:t>
      </w:r>
      <w:r w:rsidR="007C5128" w:rsidRPr="00285CDE">
        <w:t>and Finance Minister and therefore filed their heads two days after the due date. According to NUMSA, this was an unforeseen delay. In addition, NUMSA contend</w:t>
      </w:r>
      <w:r w:rsidR="008B24E6" w:rsidRPr="00285CDE">
        <w:t>ed</w:t>
      </w:r>
      <w:r w:rsidR="007C5128" w:rsidRPr="00285CDE">
        <w:t xml:space="preserve"> that no parties </w:t>
      </w:r>
      <w:r w:rsidR="00A372F8" w:rsidRPr="00285CDE">
        <w:t>would</w:t>
      </w:r>
      <w:r w:rsidR="007C5128" w:rsidRPr="00285CDE">
        <w:t xml:space="preserve"> be prejudiced by the granting of the con</w:t>
      </w:r>
      <w:r w:rsidR="008B24E6" w:rsidRPr="00285CDE">
        <w:t>donation</w:t>
      </w:r>
      <w:r w:rsidR="007C5128" w:rsidRPr="00285CDE">
        <w:t xml:space="preserve"> for the late filing of their heads of argument.  </w:t>
      </w:r>
    </w:p>
    <w:p w14:paraId="7D5BDB47" w14:textId="66AE28E1" w:rsidR="00ED0EDA" w:rsidRPr="00285CDE" w:rsidRDefault="00890EE4" w:rsidP="00890EE4">
      <w:pPr>
        <w:pStyle w:val="1"/>
        <w:numPr>
          <w:ilvl w:val="0"/>
          <w:numId w:val="0"/>
        </w:numPr>
        <w:tabs>
          <w:tab w:val="left" w:pos="567"/>
        </w:tabs>
        <w:spacing w:line="360" w:lineRule="auto"/>
        <w:ind w:left="567" w:hanging="567"/>
        <w:rPr>
          <w:b/>
          <w:bCs/>
        </w:rPr>
      </w:pPr>
      <w:r w:rsidRPr="00285CDE">
        <w:rPr>
          <w:rFonts w:cs="Arial"/>
          <w:szCs w:val="24"/>
        </w:rPr>
        <w:t>[45]</w:t>
      </w:r>
      <w:r w:rsidRPr="00285CDE">
        <w:rPr>
          <w:rFonts w:cs="Arial"/>
          <w:szCs w:val="24"/>
        </w:rPr>
        <w:tab/>
      </w:r>
      <w:r w:rsidR="007C5128" w:rsidRPr="00285CDE">
        <w:t xml:space="preserve">This Court is satisfied by the explanation </w:t>
      </w:r>
      <w:r w:rsidR="00AA49AB" w:rsidRPr="00285CDE">
        <w:t>pr</w:t>
      </w:r>
      <w:r w:rsidR="00AA49AB">
        <w:t>o</w:t>
      </w:r>
      <w:r w:rsidR="00AA49AB" w:rsidRPr="00285CDE">
        <w:t>ffered</w:t>
      </w:r>
      <w:r w:rsidR="007C5128" w:rsidRPr="00285CDE">
        <w:t xml:space="preserve"> by NUMSA</w:t>
      </w:r>
      <w:r w:rsidR="00BE78D0">
        <w:t xml:space="preserve"> regarding the filing of their head of argument two days later</w:t>
      </w:r>
      <w:r w:rsidR="00AA49AB">
        <w:t>.</w:t>
      </w:r>
      <w:r w:rsidR="00E3501B">
        <w:rPr>
          <w:rStyle w:val="FootnoteReference"/>
        </w:rPr>
        <w:footnoteReference w:id="11"/>
      </w:r>
      <w:r w:rsidR="00AA49AB">
        <w:t xml:space="preserve"> </w:t>
      </w:r>
      <w:r w:rsidR="00022930">
        <w:t xml:space="preserve">This is an </w:t>
      </w:r>
      <w:r w:rsidR="00323240" w:rsidRPr="00285CDE">
        <w:t>insignificant delay that</w:t>
      </w:r>
      <w:r w:rsidR="007C5128" w:rsidRPr="00285CDE">
        <w:t xml:space="preserve"> has no </w:t>
      </w:r>
      <w:r w:rsidR="00323240" w:rsidRPr="00285CDE">
        <w:t>negative impact</w:t>
      </w:r>
      <w:r w:rsidR="007C5128" w:rsidRPr="00285CDE">
        <w:t xml:space="preserve"> </w:t>
      </w:r>
      <w:r w:rsidR="00323240" w:rsidRPr="00285CDE">
        <w:t>on</w:t>
      </w:r>
      <w:r w:rsidR="007C5128" w:rsidRPr="00285CDE">
        <w:t xml:space="preserve"> these proceedings</w:t>
      </w:r>
      <w:r w:rsidR="008B24E6" w:rsidRPr="00285CDE">
        <w:t xml:space="preserve"> or the parties there</w:t>
      </w:r>
      <w:r w:rsidR="00D4511A">
        <w:t>to</w:t>
      </w:r>
      <w:r w:rsidR="007C5128" w:rsidRPr="00285CDE">
        <w:t>. Accordingly, it is in the interest of just</w:t>
      </w:r>
      <w:r w:rsidR="00323240" w:rsidRPr="00285CDE">
        <w:t>ice</w:t>
      </w:r>
      <w:r w:rsidR="007C5128" w:rsidRPr="00285CDE">
        <w:t xml:space="preserve"> that </w:t>
      </w:r>
      <w:r w:rsidR="00D4511A">
        <w:t xml:space="preserve">the </w:t>
      </w:r>
      <w:r w:rsidR="007C5128" w:rsidRPr="00285CDE">
        <w:t xml:space="preserve">late filing of the heads of arguments </w:t>
      </w:r>
      <w:r w:rsidR="00022930">
        <w:t>be</w:t>
      </w:r>
      <w:r w:rsidR="007C5128" w:rsidRPr="00285CDE">
        <w:t xml:space="preserve"> condoned.</w:t>
      </w:r>
      <w:r w:rsidR="003D146C">
        <w:rPr>
          <w:rStyle w:val="FootnoteReference"/>
        </w:rPr>
        <w:footnoteReference w:id="12"/>
      </w:r>
      <w:r w:rsidR="007C5128" w:rsidRPr="00285CDE">
        <w:t xml:space="preserve"> </w:t>
      </w:r>
    </w:p>
    <w:p w14:paraId="2F92805C" w14:textId="2BF9DE53" w:rsidR="006C257E" w:rsidRPr="00285CDE" w:rsidRDefault="005C2C8B" w:rsidP="00ED0EDA">
      <w:pPr>
        <w:pStyle w:val="1"/>
        <w:numPr>
          <w:ilvl w:val="0"/>
          <w:numId w:val="0"/>
        </w:numPr>
        <w:spacing w:line="360" w:lineRule="auto"/>
        <w:rPr>
          <w:rFonts w:cs="Arial"/>
          <w:szCs w:val="24"/>
          <w:lang w:eastAsia="en-US"/>
        </w:rPr>
      </w:pPr>
      <w:r w:rsidRPr="00285CDE">
        <w:rPr>
          <w:b/>
          <w:bCs/>
        </w:rPr>
        <w:t>APPLICABLE LAW</w:t>
      </w:r>
      <w:r w:rsidR="000A463E" w:rsidRPr="00285CDE">
        <w:rPr>
          <w:rFonts w:cs="Arial"/>
          <w:szCs w:val="24"/>
          <w:lang w:eastAsia="en-US"/>
        </w:rPr>
        <w:t xml:space="preserve"> </w:t>
      </w:r>
    </w:p>
    <w:p w14:paraId="21250E69" w14:textId="130144BE" w:rsidR="006C257E" w:rsidRPr="00285CDE" w:rsidRDefault="006C257E" w:rsidP="00ED0EDA">
      <w:pPr>
        <w:pStyle w:val="1"/>
        <w:numPr>
          <w:ilvl w:val="0"/>
          <w:numId w:val="0"/>
        </w:numPr>
        <w:spacing w:line="360" w:lineRule="auto"/>
        <w:rPr>
          <w:u w:val="single"/>
        </w:rPr>
      </w:pPr>
      <w:r w:rsidRPr="00285CDE">
        <w:rPr>
          <w:rFonts w:cs="Arial"/>
          <w:szCs w:val="24"/>
          <w:u w:val="single"/>
          <w:lang w:eastAsia="en-US"/>
        </w:rPr>
        <w:lastRenderedPageBreak/>
        <w:t>Standing</w:t>
      </w:r>
    </w:p>
    <w:p w14:paraId="28F844B0" w14:textId="11864267" w:rsidR="00290E93" w:rsidRPr="00285CDE" w:rsidRDefault="00890EE4" w:rsidP="00890EE4">
      <w:pPr>
        <w:pStyle w:val="1"/>
        <w:numPr>
          <w:ilvl w:val="0"/>
          <w:numId w:val="0"/>
        </w:numPr>
        <w:tabs>
          <w:tab w:val="left" w:pos="567"/>
        </w:tabs>
        <w:autoSpaceDE w:val="0"/>
        <w:adjustRightInd w:val="0"/>
        <w:spacing w:line="360" w:lineRule="auto"/>
        <w:ind w:left="567" w:hanging="567"/>
        <w:rPr>
          <w:szCs w:val="24"/>
        </w:rPr>
      </w:pPr>
      <w:r w:rsidRPr="00285CDE">
        <w:rPr>
          <w:rFonts w:cs="Arial"/>
          <w:szCs w:val="24"/>
        </w:rPr>
        <w:t>[46]</w:t>
      </w:r>
      <w:r w:rsidRPr="00285CDE">
        <w:rPr>
          <w:rFonts w:cs="Arial"/>
          <w:szCs w:val="24"/>
        </w:rPr>
        <w:tab/>
      </w:r>
      <w:r w:rsidR="00290E93" w:rsidRPr="00285CDE">
        <w:rPr>
          <w:szCs w:val="24"/>
        </w:rPr>
        <w:t xml:space="preserve">Standing in law relates to </w:t>
      </w:r>
      <w:r w:rsidR="00D4511A">
        <w:rPr>
          <w:szCs w:val="24"/>
        </w:rPr>
        <w:t xml:space="preserve">a </w:t>
      </w:r>
      <w:r w:rsidR="00290E93" w:rsidRPr="00285CDE">
        <w:rPr>
          <w:szCs w:val="24"/>
        </w:rPr>
        <w:t>litigant</w:t>
      </w:r>
      <w:r w:rsidR="00F91D52" w:rsidRPr="00285CDE">
        <w:rPr>
          <w:szCs w:val="24"/>
        </w:rPr>
        <w:t xml:space="preserve">’s interest in the matter and </w:t>
      </w:r>
      <w:r w:rsidR="00D4511A">
        <w:rPr>
          <w:szCs w:val="24"/>
        </w:rPr>
        <w:t>their</w:t>
      </w:r>
      <w:r w:rsidR="00F91D52" w:rsidRPr="00285CDE">
        <w:rPr>
          <w:szCs w:val="24"/>
        </w:rPr>
        <w:t xml:space="preserve"> ability</w:t>
      </w:r>
      <w:r w:rsidR="00290E93" w:rsidRPr="00285CDE">
        <w:rPr>
          <w:szCs w:val="24"/>
        </w:rPr>
        <w:t xml:space="preserve"> to institute a legal claim and seek the necessary redress. In </w:t>
      </w:r>
      <w:r w:rsidR="00290E93" w:rsidRPr="00285CDE">
        <w:rPr>
          <w:rFonts w:cs="Arial"/>
          <w:i/>
          <w:iCs w:val="0"/>
        </w:rPr>
        <w:t>Groenewald Lubbe Incorporated v Fick</w:t>
      </w:r>
      <w:r w:rsidR="00F91D52" w:rsidRPr="00285CDE">
        <w:rPr>
          <w:rStyle w:val="FootnoteReference"/>
          <w:rFonts w:cs="Arial"/>
          <w:i/>
          <w:iCs w:val="0"/>
        </w:rPr>
        <w:footnoteReference w:id="13"/>
      </w:r>
      <w:r w:rsidR="00290E93" w:rsidRPr="00285CDE">
        <w:rPr>
          <w:rFonts w:cs="Arial"/>
        </w:rPr>
        <w:t xml:space="preserve">, Molefe J </w:t>
      </w:r>
      <w:r w:rsidR="00255C6F" w:rsidRPr="00285CDE">
        <w:rPr>
          <w:rFonts w:cs="Arial"/>
        </w:rPr>
        <w:t>correctly held that</w:t>
      </w:r>
      <w:r w:rsidR="00290E93" w:rsidRPr="00285CDE">
        <w:rPr>
          <w:rFonts w:cs="Arial"/>
        </w:rPr>
        <w:t xml:space="preserve">: </w:t>
      </w:r>
    </w:p>
    <w:p w14:paraId="088187CA" w14:textId="25C20066" w:rsidR="00AD70C2" w:rsidRPr="00DE3454" w:rsidRDefault="005F0AEA" w:rsidP="00DE3454">
      <w:pPr>
        <w:pStyle w:val="1"/>
        <w:numPr>
          <w:ilvl w:val="0"/>
          <w:numId w:val="0"/>
        </w:numPr>
        <w:autoSpaceDE w:val="0"/>
        <w:adjustRightInd w:val="0"/>
        <w:spacing w:line="360" w:lineRule="auto"/>
        <w:ind w:left="851" w:right="851"/>
        <w:rPr>
          <w:szCs w:val="24"/>
        </w:rPr>
      </w:pPr>
      <w:r w:rsidRPr="00DE3454">
        <w:rPr>
          <w:rFonts w:cs="Arial"/>
          <w:szCs w:val="24"/>
          <w:shd w:val="clear" w:color="auto" w:fill="FFFFFF"/>
        </w:rPr>
        <w:t>‘</w:t>
      </w:r>
      <w:r w:rsidR="00290E93" w:rsidRPr="00DE3454">
        <w:rPr>
          <w:rFonts w:cs="Arial"/>
          <w:szCs w:val="24"/>
          <w:shd w:val="clear" w:color="auto" w:fill="FFFFFF"/>
        </w:rPr>
        <w:t>Locus standi concerns the sufficiency and directness of a litigant’s interest in proceedings which warrants his or her title to prosecute the claim asserted</w:t>
      </w:r>
      <w:r w:rsidRPr="00DE3454">
        <w:rPr>
          <w:rFonts w:cs="Arial"/>
          <w:szCs w:val="24"/>
          <w:shd w:val="clear" w:color="auto" w:fill="FFFFFF"/>
        </w:rPr>
        <w:t>’</w:t>
      </w:r>
      <w:r w:rsidR="00290E93" w:rsidRPr="00DE3454">
        <w:rPr>
          <w:rFonts w:cs="Arial"/>
          <w:szCs w:val="24"/>
          <w:shd w:val="clear" w:color="auto" w:fill="FFFFFF"/>
        </w:rPr>
        <w:t>.</w:t>
      </w:r>
    </w:p>
    <w:p w14:paraId="0FB0C42A" w14:textId="6735AEF8" w:rsidR="00D379D9" w:rsidRPr="00285CDE" w:rsidRDefault="00890EE4" w:rsidP="00890EE4">
      <w:pPr>
        <w:pStyle w:val="1"/>
        <w:numPr>
          <w:ilvl w:val="0"/>
          <w:numId w:val="0"/>
        </w:numPr>
        <w:tabs>
          <w:tab w:val="left" w:pos="567"/>
        </w:tabs>
        <w:autoSpaceDE w:val="0"/>
        <w:adjustRightInd w:val="0"/>
        <w:spacing w:line="360" w:lineRule="auto"/>
        <w:ind w:left="567" w:hanging="567"/>
        <w:rPr>
          <w:rFonts w:cs="Arial"/>
          <w:szCs w:val="24"/>
        </w:rPr>
      </w:pPr>
      <w:r w:rsidRPr="00285CDE">
        <w:rPr>
          <w:rFonts w:cs="Arial"/>
          <w:szCs w:val="24"/>
        </w:rPr>
        <w:t>[47]</w:t>
      </w:r>
      <w:r w:rsidRPr="00285CDE">
        <w:rPr>
          <w:rFonts w:cs="Arial"/>
          <w:szCs w:val="24"/>
        </w:rPr>
        <w:tab/>
      </w:r>
      <w:r w:rsidR="00F91D52" w:rsidRPr="00285CDE">
        <w:rPr>
          <w:rFonts w:cs="Arial"/>
          <w:color w:val="242121"/>
          <w:szCs w:val="24"/>
          <w:shd w:val="clear" w:color="auto" w:fill="FFFFFF"/>
        </w:rPr>
        <w:t>This entails that a person wishing to institute legal proceedings must have a “</w:t>
      </w:r>
      <w:r w:rsidR="00F91D52" w:rsidRPr="00285CDE">
        <w:rPr>
          <w:rFonts w:cs="Arial"/>
          <w:i/>
          <w:iCs w:val="0"/>
          <w:color w:val="242121"/>
          <w:szCs w:val="24"/>
          <w:shd w:val="clear" w:color="auto" w:fill="FFFFFF"/>
        </w:rPr>
        <w:t>direct and substantial interest in the right which is the subject matter of the litigation and the outcome of such litigation</w:t>
      </w:r>
      <w:r w:rsidR="00F91D52" w:rsidRPr="00285CDE">
        <w:rPr>
          <w:rFonts w:cs="Arial"/>
          <w:color w:val="242121"/>
          <w:szCs w:val="24"/>
          <w:shd w:val="clear" w:color="auto" w:fill="FFFFFF"/>
        </w:rPr>
        <w:t>”.</w:t>
      </w:r>
      <w:r w:rsidR="00F91D52" w:rsidRPr="00285CDE">
        <w:rPr>
          <w:rStyle w:val="FootnoteReference"/>
          <w:rFonts w:cs="Arial"/>
          <w:color w:val="242121"/>
          <w:szCs w:val="24"/>
          <w:shd w:val="clear" w:color="auto" w:fill="FFFFFF"/>
        </w:rPr>
        <w:footnoteReference w:id="14"/>
      </w:r>
      <w:r w:rsidR="00F91D52" w:rsidRPr="00285CDE">
        <w:rPr>
          <w:rFonts w:cs="Arial"/>
          <w:szCs w:val="24"/>
        </w:rPr>
        <w:t xml:space="preserve"> In other words,</w:t>
      </w:r>
      <w:r w:rsidR="00AD70C2" w:rsidRPr="00285CDE">
        <w:rPr>
          <w:szCs w:val="24"/>
        </w:rPr>
        <w:t xml:space="preserve"> a party instituting legal proceedings must make out a case that he/she has</w:t>
      </w:r>
      <w:r w:rsidR="00F91D52" w:rsidRPr="00285CDE">
        <w:rPr>
          <w:szCs w:val="24"/>
        </w:rPr>
        <w:t xml:space="preserve"> the necessary</w:t>
      </w:r>
      <w:r w:rsidR="00AD70C2" w:rsidRPr="00285CDE">
        <w:rPr>
          <w:szCs w:val="24"/>
        </w:rPr>
        <w:t xml:space="preserve"> </w:t>
      </w:r>
      <w:r w:rsidR="00AD70C2" w:rsidRPr="00285CDE">
        <w:rPr>
          <w:i/>
          <w:iCs w:val="0"/>
          <w:szCs w:val="24"/>
        </w:rPr>
        <w:t>locus standi</w:t>
      </w:r>
      <w:r w:rsidR="00F91D52" w:rsidRPr="00285CDE">
        <w:rPr>
          <w:szCs w:val="24"/>
        </w:rPr>
        <w:t xml:space="preserve"> to institute legal action</w:t>
      </w:r>
      <w:r w:rsidR="00AD70C2" w:rsidRPr="00285CDE">
        <w:rPr>
          <w:szCs w:val="24"/>
        </w:rPr>
        <w:t xml:space="preserve">. </w:t>
      </w:r>
      <w:r w:rsidR="000B16A9" w:rsidRPr="00285CDE">
        <w:rPr>
          <w:szCs w:val="24"/>
        </w:rPr>
        <w:t xml:space="preserve">The duty to allege and prove </w:t>
      </w:r>
      <w:r w:rsidR="000B16A9" w:rsidRPr="00285CDE">
        <w:rPr>
          <w:i/>
          <w:iCs w:val="0"/>
          <w:szCs w:val="24"/>
        </w:rPr>
        <w:t>locus standi</w:t>
      </w:r>
      <w:r w:rsidR="000B16A9" w:rsidRPr="00285CDE">
        <w:rPr>
          <w:szCs w:val="24"/>
        </w:rPr>
        <w:t xml:space="preserve"> rests on the party instituting legal proceedings.</w:t>
      </w:r>
      <w:r w:rsidR="000B16A9" w:rsidRPr="00285CDE">
        <w:rPr>
          <w:rStyle w:val="FootnoteReference"/>
          <w:szCs w:val="24"/>
        </w:rPr>
        <w:footnoteReference w:id="15"/>
      </w:r>
      <w:r w:rsidR="000B16A9" w:rsidRPr="00285CDE">
        <w:rPr>
          <w:szCs w:val="24"/>
        </w:rPr>
        <w:t xml:space="preserve"> </w:t>
      </w:r>
      <w:r w:rsidR="00AD70C2" w:rsidRPr="00285CDE">
        <w:rPr>
          <w:rFonts w:cs="Arial"/>
          <w:szCs w:val="24"/>
        </w:rPr>
        <w:t>Failure to do so</w:t>
      </w:r>
      <w:r w:rsidR="000B16A9" w:rsidRPr="00285CDE">
        <w:rPr>
          <w:rFonts w:cs="Arial"/>
        </w:rPr>
        <w:t xml:space="preserve"> </w:t>
      </w:r>
      <w:r w:rsidR="00F91D52" w:rsidRPr="00285CDE">
        <w:rPr>
          <w:rFonts w:cs="Arial"/>
        </w:rPr>
        <w:t xml:space="preserve">is dispositive of the entire </w:t>
      </w:r>
      <w:r w:rsidR="000B16A9" w:rsidRPr="00285CDE">
        <w:rPr>
          <w:rFonts w:cs="Arial"/>
        </w:rPr>
        <w:t>case because that person is not capable of claiming redress from the court</w:t>
      </w:r>
      <w:r w:rsidR="00F91D52" w:rsidRPr="00285CDE">
        <w:rPr>
          <w:rFonts w:cs="Arial"/>
        </w:rPr>
        <w:t>.</w:t>
      </w:r>
      <w:r w:rsidR="000B16A9" w:rsidRPr="00285CDE">
        <w:rPr>
          <w:rStyle w:val="FootnoteReference"/>
          <w:rFonts w:cs="Arial"/>
        </w:rPr>
        <w:footnoteReference w:id="16"/>
      </w:r>
      <w:r w:rsidR="00F91D52" w:rsidRPr="00285CDE">
        <w:rPr>
          <w:rFonts w:ascii="Open Sans" w:hAnsi="Open Sans" w:cs="Open Sans"/>
        </w:rPr>
        <w:t xml:space="preserve"> </w:t>
      </w:r>
    </w:p>
    <w:p w14:paraId="693E0581" w14:textId="00B6E928" w:rsidR="00B07074" w:rsidRPr="00285CDE" w:rsidRDefault="00B07074" w:rsidP="00B07074">
      <w:pPr>
        <w:pStyle w:val="1"/>
        <w:numPr>
          <w:ilvl w:val="0"/>
          <w:numId w:val="0"/>
        </w:numPr>
        <w:rPr>
          <w:u w:val="single"/>
        </w:rPr>
      </w:pPr>
      <w:r w:rsidRPr="00285CDE">
        <w:rPr>
          <w:u w:val="single"/>
          <w:shd w:val="clear" w:color="auto" w:fill="FFFFFF"/>
        </w:rPr>
        <w:t xml:space="preserve">The Companies Act and </w:t>
      </w:r>
      <w:r w:rsidR="00A372F8" w:rsidRPr="00285CDE">
        <w:rPr>
          <w:u w:val="single"/>
          <w:shd w:val="clear" w:color="auto" w:fill="FFFFFF"/>
        </w:rPr>
        <w:t xml:space="preserve">the </w:t>
      </w:r>
      <w:r w:rsidRPr="00285CDE">
        <w:rPr>
          <w:u w:val="single"/>
          <w:shd w:val="clear" w:color="auto" w:fill="FFFFFF"/>
        </w:rPr>
        <w:t>PFMA</w:t>
      </w:r>
    </w:p>
    <w:p w14:paraId="0159333D" w14:textId="267164D3" w:rsidR="00AC574E"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t>[48]</w:t>
      </w:r>
      <w:r w:rsidRPr="00285CDE">
        <w:rPr>
          <w:rFonts w:cs="Arial"/>
          <w:szCs w:val="24"/>
        </w:rPr>
        <w:tab/>
      </w:r>
      <w:r w:rsidR="000C4038" w:rsidRPr="00285CDE">
        <w:t xml:space="preserve">The PFMA and the Companies Act are the primary </w:t>
      </w:r>
      <w:r w:rsidR="00DE3454">
        <w:t>Acts</w:t>
      </w:r>
      <w:r w:rsidR="00D4511A">
        <w:t xml:space="preserve"> </w:t>
      </w:r>
      <w:r w:rsidR="000C4038" w:rsidRPr="00285CDE">
        <w:t>that h</w:t>
      </w:r>
      <w:r w:rsidR="00AC574E" w:rsidRPr="00285CDE">
        <w:t xml:space="preserve">ave triggered the current application. On </w:t>
      </w:r>
      <w:r w:rsidR="00022930">
        <w:t xml:space="preserve">the </w:t>
      </w:r>
      <w:r w:rsidR="00AC574E" w:rsidRPr="00285CDE">
        <w:t>one hand, section 54(1) and (3) of the PFMA provides as follows:</w:t>
      </w:r>
    </w:p>
    <w:p w14:paraId="02F029D9" w14:textId="77777777" w:rsidR="00AC574E" w:rsidRPr="00285CDE" w:rsidRDefault="00AC574E" w:rsidP="00AC574E">
      <w:pPr>
        <w:pStyle w:val="1"/>
        <w:numPr>
          <w:ilvl w:val="0"/>
          <w:numId w:val="0"/>
        </w:numPr>
        <w:autoSpaceDE w:val="0"/>
        <w:adjustRightInd w:val="0"/>
        <w:spacing w:before="0" w:line="240" w:lineRule="auto"/>
        <w:ind w:left="567"/>
      </w:pPr>
    </w:p>
    <w:p w14:paraId="12565E0B" w14:textId="77777777" w:rsidR="00AC574E" w:rsidRPr="00DE3454" w:rsidRDefault="00AC574E" w:rsidP="00DE3454">
      <w:pPr>
        <w:pStyle w:val="1"/>
        <w:numPr>
          <w:ilvl w:val="0"/>
          <w:numId w:val="0"/>
        </w:numPr>
        <w:autoSpaceDE w:val="0"/>
        <w:adjustRightInd w:val="0"/>
        <w:spacing w:before="0" w:line="360" w:lineRule="auto"/>
        <w:ind w:left="851" w:right="851"/>
        <w:rPr>
          <w:szCs w:val="24"/>
        </w:rPr>
      </w:pPr>
      <w:r w:rsidRPr="00DE3454">
        <w:rPr>
          <w:szCs w:val="24"/>
        </w:rPr>
        <w:t>“</w:t>
      </w:r>
      <w:r w:rsidRPr="00DE3454">
        <w:rPr>
          <w:szCs w:val="24"/>
          <w:u w:val="single"/>
        </w:rPr>
        <w:t>Information to be submitted by accounting authorities</w:t>
      </w:r>
      <w:r w:rsidRPr="00DE3454">
        <w:rPr>
          <w:szCs w:val="24"/>
        </w:rPr>
        <w:t>.—</w:t>
      </w:r>
    </w:p>
    <w:p w14:paraId="5F5EACFC" w14:textId="77777777" w:rsidR="00AC574E" w:rsidRPr="00DE3454" w:rsidRDefault="00AC574E" w:rsidP="00DE3454">
      <w:pPr>
        <w:pStyle w:val="1"/>
        <w:numPr>
          <w:ilvl w:val="0"/>
          <w:numId w:val="0"/>
        </w:numPr>
        <w:autoSpaceDE w:val="0"/>
        <w:adjustRightInd w:val="0"/>
        <w:spacing w:before="0" w:line="360" w:lineRule="auto"/>
        <w:ind w:left="851" w:right="851"/>
        <w:rPr>
          <w:szCs w:val="24"/>
        </w:rPr>
      </w:pPr>
    </w:p>
    <w:p w14:paraId="58FA7CCC" w14:textId="68FF551F" w:rsidR="00AC574E" w:rsidRPr="00DE3454" w:rsidRDefault="00890EE4" w:rsidP="00890EE4">
      <w:pPr>
        <w:pStyle w:val="1"/>
        <w:numPr>
          <w:ilvl w:val="0"/>
          <w:numId w:val="0"/>
        </w:numPr>
        <w:autoSpaceDE w:val="0"/>
        <w:adjustRightInd w:val="0"/>
        <w:spacing w:before="0" w:line="360" w:lineRule="auto"/>
        <w:ind w:left="1211" w:right="851" w:hanging="360"/>
        <w:rPr>
          <w:szCs w:val="24"/>
        </w:rPr>
      </w:pPr>
      <w:r w:rsidRPr="00DE3454">
        <w:rPr>
          <w:szCs w:val="24"/>
        </w:rPr>
        <w:t>(1)</w:t>
      </w:r>
      <w:r w:rsidRPr="00DE3454">
        <w:rPr>
          <w:szCs w:val="24"/>
        </w:rPr>
        <w:tab/>
      </w:r>
      <w:r w:rsidR="00AC574E" w:rsidRPr="00DE3454">
        <w:rPr>
          <w:szCs w:val="24"/>
        </w:rPr>
        <w:t xml:space="preserve">The </w:t>
      </w:r>
      <w:r w:rsidR="00AC574E" w:rsidRPr="00DE3454">
        <w:rPr>
          <w:szCs w:val="24"/>
          <w:u w:val="single"/>
        </w:rPr>
        <w:t>accounting authority</w:t>
      </w:r>
      <w:r w:rsidR="00AC574E" w:rsidRPr="00DE3454">
        <w:rPr>
          <w:szCs w:val="24"/>
        </w:rPr>
        <w:t xml:space="preserve"> for a public entity must submit to the relevant </w:t>
      </w:r>
    </w:p>
    <w:p w14:paraId="786CC706" w14:textId="3A116C05" w:rsidR="00AC574E" w:rsidRPr="00DE3454" w:rsidRDefault="00AC574E" w:rsidP="00DE3454">
      <w:pPr>
        <w:pStyle w:val="1"/>
        <w:numPr>
          <w:ilvl w:val="0"/>
          <w:numId w:val="0"/>
        </w:numPr>
        <w:autoSpaceDE w:val="0"/>
        <w:adjustRightInd w:val="0"/>
        <w:spacing w:before="0" w:line="360" w:lineRule="auto"/>
        <w:ind w:left="1211" w:right="851"/>
        <w:rPr>
          <w:szCs w:val="24"/>
        </w:rPr>
      </w:pPr>
      <w:r w:rsidRPr="00DE3454">
        <w:rPr>
          <w:szCs w:val="24"/>
        </w:rPr>
        <w:t xml:space="preserve">treasury or the Auditor-General such information, returns, documents, explanations and motivations as may be prescribed or </w:t>
      </w:r>
      <w:r w:rsidRPr="00DE3454">
        <w:rPr>
          <w:szCs w:val="24"/>
        </w:rPr>
        <w:lastRenderedPageBreak/>
        <w:t>as the relevant treasury or the Auditor-General may require’ (own emphasis added).</w:t>
      </w:r>
    </w:p>
    <w:p w14:paraId="553A875D" w14:textId="0A9F7772" w:rsidR="00AC574E" w:rsidRPr="00DE3454" w:rsidRDefault="00AC574E" w:rsidP="00DE3454">
      <w:pPr>
        <w:pStyle w:val="1"/>
        <w:numPr>
          <w:ilvl w:val="0"/>
          <w:numId w:val="0"/>
        </w:numPr>
        <w:autoSpaceDE w:val="0"/>
        <w:adjustRightInd w:val="0"/>
        <w:spacing w:before="0" w:line="360" w:lineRule="auto"/>
        <w:ind w:left="567" w:hanging="567"/>
        <w:rPr>
          <w:szCs w:val="24"/>
        </w:rPr>
      </w:pPr>
      <w:r w:rsidRPr="00DE3454">
        <w:rPr>
          <w:szCs w:val="24"/>
        </w:rPr>
        <w:tab/>
      </w:r>
      <w:r w:rsidRPr="00DE3454">
        <w:rPr>
          <w:szCs w:val="24"/>
        </w:rPr>
        <w:tab/>
        <w:t xml:space="preserve">       ….</w:t>
      </w:r>
    </w:p>
    <w:p w14:paraId="0BB9E281" w14:textId="3BE205A5" w:rsidR="00AC574E" w:rsidRPr="00DE3454" w:rsidRDefault="00890EE4" w:rsidP="00890EE4">
      <w:pPr>
        <w:pStyle w:val="1"/>
        <w:numPr>
          <w:ilvl w:val="0"/>
          <w:numId w:val="0"/>
        </w:numPr>
        <w:autoSpaceDE w:val="0"/>
        <w:adjustRightInd w:val="0"/>
        <w:spacing w:before="0" w:line="360" w:lineRule="auto"/>
        <w:ind w:left="1211" w:right="851" w:hanging="360"/>
        <w:rPr>
          <w:szCs w:val="24"/>
        </w:rPr>
      </w:pPr>
      <w:r w:rsidRPr="00DE3454">
        <w:rPr>
          <w:szCs w:val="24"/>
        </w:rPr>
        <w:t>(3)</w:t>
      </w:r>
      <w:r w:rsidRPr="00DE3454">
        <w:rPr>
          <w:szCs w:val="24"/>
        </w:rPr>
        <w:tab/>
      </w:r>
      <w:r w:rsidR="00AC574E" w:rsidRPr="00DE3454">
        <w:rPr>
          <w:szCs w:val="24"/>
        </w:rPr>
        <w:t>A public entity may assume that approval has been given if it receives no response from the executive authority on a submission in terms of subsection (2) within 30 days or within a longer period as may be agreed to between itself and the executive authority</w:t>
      </w:r>
      <w:r w:rsidR="006D69C9" w:rsidRPr="00DE3454">
        <w:rPr>
          <w:szCs w:val="24"/>
        </w:rPr>
        <w:t>.</w:t>
      </w:r>
    </w:p>
    <w:p w14:paraId="3199EE0B" w14:textId="007FA4CD" w:rsidR="00255C6F"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t>[49]</w:t>
      </w:r>
      <w:r w:rsidRPr="00285CDE">
        <w:rPr>
          <w:rFonts w:cs="Arial"/>
          <w:szCs w:val="24"/>
        </w:rPr>
        <w:tab/>
      </w:r>
      <w:r w:rsidR="006D69C9" w:rsidRPr="00285CDE">
        <w:t>A plain reading of the</w:t>
      </w:r>
      <w:r w:rsidR="00AC574E" w:rsidRPr="00285CDE">
        <w:t xml:space="preserve"> above provisions</w:t>
      </w:r>
      <w:r w:rsidR="006D69C9" w:rsidRPr="00285CDE">
        <w:t xml:space="preserve"> entails that the accounting </w:t>
      </w:r>
      <w:r w:rsidR="00A372F8" w:rsidRPr="00285CDE">
        <w:t>authority</w:t>
      </w:r>
      <w:r w:rsidR="006D69C9" w:rsidRPr="00285CDE">
        <w:t xml:space="preserve"> of the public entity concerned has the responsibility to submit the relevant application to the </w:t>
      </w:r>
      <w:r w:rsidR="00DE3454">
        <w:t>National T</w:t>
      </w:r>
      <w:r w:rsidR="006D69C9" w:rsidRPr="00285CDE">
        <w:t xml:space="preserve">reasury for approval. If no response has been received within 30 days of submission or any other agreed date, the public entity may assume that such approval has been granted. </w:t>
      </w:r>
      <w:r w:rsidR="0063518C" w:rsidRPr="00285CDE">
        <w:t xml:space="preserve">Both the provisions are silent on whether an accounting authority of the public entity could be substituted by someone else. In other words, there </w:t>
      </w:r>
      <w:r w:rsidR="0054326B" w:rsidRPr="00285CDE">
        <w:t>appear</w:t>
      </w:r>
      <w:r w:rsidR="0063518C" w:rsidRPr="00285CDE">
        <w:t xml:space="preserve"> to be no exceptions to the </w:t>
      </w:r>
      <w:r w:rsidR="00D4511A">
        <w:t xml:space="preserve">application </w:t>
      </w:r>
      <w:r w:rsidR="0063518C" w:rsidRPr="00285CDE">
        <w:t>of the said provisions</w:t>
      </w:r>
      <w:r w:rsidR="00A372F8" w:rsidRPr="00285CDE">
        <w:t>,</w:t>
      </w:r>
      <w:r w:rsidR="0063518C" w:rsidRPr="00285CDE">
        <w:t xml:space="preserve"> and ought to apply as they appear. </w:t>
      </w:r>
    </w:p>
    <w:p w14:paraId="3FBA5E54" w14:textId="69B5DA2B" w:rsidR="0054326B"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t>[50]</w:t>
      </w:r>
      <w:r w:rsidRPr="00285CDE">
        <w:rPr>
          <w:rFonts w:cs="Arial"/>
          <w:szCs w:val="24"/>
        </w:rPr>
        <w:tab/>
      </w:r>
      <w:r w:rsidR="00C93481" w:rsidRPr="00285CDE">
        <w:t xml:space="preserve">On the other hand, </w:t>
      </w:r>
      <w:r w:rsidR="0054326B" w:rsidRPr="00285CDE">
        <w:t>section</w:t>
      </w:r>
      <w:r w:rsidR="00022930">
        <w:t>s</w:t>
      </w:r>
      <w:r w:rsidR="0054326B" w:rsidRPr="00285CDE">
        <w:t xml:space="preserve"> 15</w:t>
      </w:r>
      <w:r w:rsidR="00330394" w:rsidRPr="00285CDE">
        <w:t>2</w:t>
      </w:r>
      <w:r w:rsidR="00022930">
        <w:t>(2) and (3)</w:t>
      </w:r>
      <w:r w:rsidR="0054326B" w:rsidRPr="00285CDE">
        <w:t xml:space="preserve"> of the Companies Act provides</w:t>
      </w:r>
      <w:r w:rsidR="00330394" w:rsidRPr="00285CDE">
        <w:t xml:space="preserve"> that</w:t>
      </w:r>
      <w:r w:rsidR="0054326B" w:rsidRPr="00285CDE">
        <w:t>:</w:t>
      </w:r>
    </w:p>
    <w:p w14:paraId="395D308B" w14:textId="15083A63" w:rsidR="00722F6B" w:rsidRPr="00DE3454" w:rsidRDefault="009C7DF6" w:rsidP="00DE3454">
      <w:pPr>
        <w:pStyle w:val="1"/>
        <w:numPr>
          <w:ilvl w:val="0"/>
          <w:numId w:val="0"/>
        </w:numPr>
        <w:autoSpaceDE w:val="0"/>
        <w:adjustRightInd w:val="0"/>
        <w:spacing w:before="0" w:line="360" w:lineRule="auto"/>
        <w:ind w:left="698" w:firstLine="153"/>
        <w:rPr>
          <w:szCs w:val="24"/>
        </w:rPr>
      </w:pPr>
      <w:r w:rsidRPr="00DE3454">
        <w:rPr>
          <w:szCs w:val="24"/>
        </w:rPr>
        <w:t>‘</w:t>
      </w:r>
      <w:r w:rsidR="00722F6B" w:rsidRPr="00DE3454">
        <w:rPr>
          <w:szCs w:val="24"/>
        </w:rPr>
        <w:t>…</w:t>
      </w:r>
    </w:p>
    <w:p w14:paraId="2B9C8F4D" w14:textId="48B8843C" w:rsidR="003E1239" w:rsidRPr="00DE3454" w:rsidRDefault="00890EE4" w:rsidP="00890EE4">
      <w:pPr>
        <w:pStyle w:val="1"/>
        <w:numPr>
          <w:ilvl w:val="0"/>
          <w:numId w:val="0"/>
        </w:numPr>
        <w:autoSpaceDE w:val="0"/>
        <w:adjustRightInd w:val="0"/>
        <w:spacing w:before="0" w:line="360" w:lineRule="auto"/>
        <w:ind w:left="1211" w:right="851" w:hanging="360"/>
        <w:rPr>
          <w:szCs w:val="24"/>
        </w:rPr>
      </w:pPr>
      <w:r w:rsidRPr="00DE3454">
        <w:rPr>
          <w:szCs w:val="24"/>
        </w:rPr>
        <w:t>(2)</w:t>
      </w:r>
      <w:r w:rsidRPr="00DE3454">
        <w:rPr>
          <w:szCs w:val="24"/>
        </w:rPr>
        <w:tab/>
      </w:r>
      <w:r w:rsidR="003E1239" w:rsidRPr="00DE3454">
        <w:rPr>
          <w:szCs w:val="24"/>
        </w:rPr>
        <w:t xml:space="preserve">A business rescue plan that has been adopted </w:t>
      </w:r>
      <w:r w:rsidR="003E1239" w:rsidRPr="00DE3454">
        <w:rPr>
          <w:szCs w:val="24"/>
          <w:u w:val="single"/>
        </w:rPr>
        <w:t>is binding on the company, and on each of the creditors of the company and every holder of the company’s securities</w:t>
      </w:r>
      <w:r w:rsidR="003E1239" w:rsidRPr="00DE3454">
        <w:rPr>
          <w:szCs w:val="24"/>
        </w:rPr>
        <w:t>, whether or not such a person—</w:t>
      </w:r>
    </w:p>
    <w:p w14:paraId="0DC7AB4C" w14:textId="77777777" w:rsidR="00722F6B" w:rsidRPr="00DE3454" w:rsidRDefault="00722F6B" w:rsidP="00DE3454">
      <w:pPr>
        <w:pStyle w:val="1"/>
        <w:numPr>
          <w:ilvl w:val="0"/>
          <w:numId w:val="0"/>
        </w:numPr>
        <w:autoSpaceDE w:val="0"/>
        <w:adjustRightInd w:val="0"/>
        <w:spacing w:before="0" w:line="360" w:lineRule="auto"/>
        <w:ind w:left="1211" w:right="851"/>
        <w:rPr>
          <w:szCs w:val="24"/>
        </w:rPr>
      </w:pPr>
    </w:p>
    <w:p w14:paraId="7EBF957B" w14:textId="7E51CC82" w:rsidR="00722F6B" w:rsidRPr="00DE3454" w:rsidRDefault="003E1239" w:rsidP="00DE3454">
      <w:pPr>
        <w:pStyle w:val="1"/>
        <w:numPr>
          <w:ilvl w:val="0"/>
          <w:numId w:val="0"/>
        </w:numPr>
        <w:autoSpaceDE w:val="0"/>
        <w:adjustRightInd w:val="0"/>
        <w:spacing w:before="0" w:line="360" w:lineRule="auto"/>
        <w:ind w:left="851" w:right="851" w:firstLine="720"/>
        <w:rPr>
          <w:szCs w:val="24"/>
        </w:rPr>
      </w:pPr>
      <w:r w:rsidRPr="00DE3454">
        <w:rPr>
          <w:i/>
          <w:iCs w:val="0"/>
          <w:szCs w:val="24"/>
        </w:rPr>
        <w:t>(a)</w:t>
      </w:r>
      <w:r w:rsidRPr="00DE3454">
        <w:rPr>
          <w:szCs w:val="24"/>
        </w:rPr>
        <w:t xml:space="preserve"> </w:t>
      </w:r>
      <w:r w:rsidRPr="00DE3454">
        <w:rPr>
          <w:szCs w:val="24"/>
          <w:u w:val="single"/>
        </w:rPr>
        <w:t>was present at the meeting</w:t>
      </w:r>
      <w:r w:rsidRPr="00DE3454">
        <w:rPr>
          <w:szCs w:val="24"/>
        </w:rPr>
        <w:t xml:space="preserve">; </w:t>
      </w:r>
    </w:p>
    <w:p w14:paraId="4218553E" w14:textId="77777777" w:rsidR="00722F6B" w:rsidRPr="00DE3454" w:rsidRDefault="003E1239" w:rsidP="00DE3454">
      <w:pPr>
        <w:pStyle w:val="1"/>
        <w:numPr>
          <w:ilvl w:val="0"/>
          <w:numId w:val="0"/>
        </w:numPr>
        <w:autoSpaceDE w:val="0"/>
        <w:adjustRightInd w:val="0"/>
        <w:spacing w:before="0" w:line="360" w:lineRule="auto"/>
        <w:ind w:left="851" w:right="851" w:firstLine="720"/>
        <w:rPr>
          <w:szCs w:val="24"/>
        </w:rPr>
      </w:pPr>
      <w:r w:rsidRPr="00DE3454">
        <w:rPr>
          <w:i/>
          <w:iCs w:val="0"/>
          <w:szCs w:val="24"/>
        </w:rPr>
        <w:t>(b)</w:t>
      </w:r>
      <w:r w:rsidRPr="00DE3454">
        <w:rPr>
          <w:szCs w:val="24"/>
        </w:rPr>
        <w:t xml:space="preserve"> </w:t>
      </w:r>
      <w:r w:rsidRPr="00DE3454">
        <w:rPr>
          <w:szCs w:val="24"/>
          <w:u w:val="single"/>
        </w:rPr>
        <w:t>voted in favour of adoption of the plan</w:t>
      </w:r>
      <w:r w:rsidRPr="00DE3454">
        <w:rPr>
          <w:szCs w:val="24"/>
        </w:rPr>
        <w:t>; or</w:t>
      </w:r>
    </w:p>
    <w:p w14:paraId="75FFF375" w14:textId="77777777" w:rsidR="00722F6B" w:rsidRPr="00DE3454" w:rsidRDefault="003E1239" w:rsidP="00DE3454">
      <w:pPr>
        <w:pStyle w:val="1"/>
        <w:numPr>
          <w:ilvl w:val="0"/>
          <w:numId w:val="0"/>
        </w:numPr>
        <w:autoSpaceDE w:val="0"/>
        <w:adjustRightInd w:val="0"/>
        <w:spacing w:before="0" w:line="360" w:lineRule="auto"/>
        <w:ind w:left="1571" w:right="851"/>
        <w:rPr>
          <w:szCs w:val="24"/>
        </w:rPr>
      </w:pPr>
      <w:r w:rsidRPr="00DE3454">
        <w:rPr>
          <w:i/>
          <w:iCs w:val="0"/>
          <w:szCs w:val="24"/>
        </w:rPr>
        <w:t>(c)</w:t>
      </w:r>
      <w:r w:rsidRPr="00DE3454">
        <w:rPr>
          <w:szCs w:val="24"/>
        </w:rPr>
        <w:t xml:space="preserve"> in the case of creditors, had proven their claims against the </w:t>
      </w:r>
      <w:r w:rsidR="00722F6B" w:rsidRPr="00DE3454">
        <w:rPr>
          <w:szCs w:val="24"/>
        </w:rPr>
        <w:t xml:space="preserve"> </w:t>
      </w:r>
    </w:p>
    <w:p w14:paraId="00A1C63F" w14:textId="0D36ABA2" w:rsidR="00722F6B" w:rsidRPr="00DE3454" w:rsidRDefault="00722F6B" w:rsidP="00DE3454">
      <w:pPr>
        <w:pStyle w:val="1"/>
        <w:numPr>
          <w:ilvl w:val="0"/>
          <w:numId w:val="0"/>
        </w:numPr>
        <w:autoSpaceDE w:val="0"/>
        <w:adjustRightInd w:val="0"/>
        <w:spacing w:before="0" w:line="360" w:lineRule="auto"/>
        <w:ind w:left="1571" w:right="851"/>
        <w:rPr>
          <w:szCs w:val="24"/>
        </w:rPr>
      </w:pPr>
      <w:r w:rsidRPr="00DE3454">
        <w:rPr>
          <w:szCs w:val="24"/>
        </w:rPr>
        <w:t xml:space="preserve">     </w:t>
      </w:r>
      <w:r w:rsidR="003E1239" w:rsidRPr="00DE3454">
        <w:rPr>
          <w:szCs w:val="24"/>
        </w:rPr>
        <w:t xml:space="preserve">company. </w:t>
      </w:r>
    </w:p>
    <w:p w14:paraId="485BFFD5" w14:textId="77777777" w:rsidR="00722F6B" w:rsidRPr="00DE3454" w:rsidRDefault="00722F6B" w:rsidP="00DE3454">
      <w:pPr>
        <w:pStyle w:val="1"/>
        <w:numPr>
          <w:ilvl w:val="0"/>
          <w:numId w:val="0"/>
        </w:numPr>
        <w:autoSpaceDE w:val="0"/>
        <w:adjustRightInd w:val="0"/>
        <w:spacing w:before="0" w:line="360" w:lineRule="auto"/>
        <w:ind w:left="1571" w:right="851"/>
        <w:rPr>
          <w:szCs w:val="24"/>
        </w:rPr>
      </w:pPr>
    </w:p>
    <w:p w14:paraId="5692494A" w14:textId="07CC6E84" w:rsidR="00722F6B" w:rsidRPr="00DE3454" w:rsidRDefault="00890EE4" w:rsidP="00890EE4">
      <w:pPr>
        <w:pStyle w:val="1"/>
        <w:numPr>
          <w:ilvl w:val="0"/>
          <w:numId w:val="0"/>
        </w:numPr>
        <w:autoSpaceDE w:val="0"/>
        <w:adjustRightInd w:val="0"/>
        <w:spacing w:before="0" w:line="360" w:lineRule="auto"/>
        <w:ind w:left="1211" w:right="851" w:hanging="360"/>
        <w:rPr>
          <w:szCs w:val="24"/>
        </w:rPr>
      </w:pPr>
      <w:r w:rsidRPr="00DE3454">
        <w:rPr>
          <w:szCs w:val="24"/>
        </w:rPr>
        <w:t>(3)</w:t>
      </w:r>
      <w:r w:rsidRPr="00DE3454">
        <w:rPr>
          <w:szCs w:val="24"/>
        </w:rPr>
        <w:tab/>
      </w:r>
      <w:r w:rsidR="003E1239" w:rsidRPr="00DE3454">
        <w:rPr>
          <w:szCs w:val="24"/>
        </w:rPr>
        <w:t xml:space="preserve">The company, </w:t>
      </w:r>
      <w:r w:rsidR="003E1239" w:rsidRPr="00DE3454">
        <w:rPr>
          <w:szCs w:val="24"/>
          <w:u w:val="single"/>
        </w:rPr>
        <w:t>under the direction of the practitioner</w:t>
      </w:r>
      <w:r w:rsidR="003E1239" w:rsidRPr="00DE3454">
        <w:rPr>
          <w:szCs w:val="24"/>
        </w:rPr>
        <w:t>, must take all necessary steps to</w:t>
      </w:r>
      <w:r w:rsidR="009C7DF6" w:rsidRPr="00DE3454">
        <w:rPr>
          <w:szCs w:val="24"/>
        </w:rPr>
        <w:t>—</w:t>
      </w:r>
    </w:p>
    <w:p w14:paraId="7288515D" w14:textId="4EA9CEA6" w:rsidR="00722F6B" w:rsidRPr="00DE3454" w:rsidRDefault="00722F6B" w:rsidP="00DE3454">
      <w:pPr>
        <w:pStyle w:val="1"/>
        <w:numPr>
          <w:ilvl w:val="0"/>
          <w:numId w:val="0"/>
        </w:numPr>
        <w:autoSpaceDE w:val="0"/>
        <w:adjustRightInd w:val="0"/>
        <w:spacing w:before="0" w:line="360" w:lineRule="auto"/>
        <w:ind w:left="1211" w:right="851"/>
        <w:rPr>
          <w:szCs w:val="24"/>
        </w:rPr>
      </w:pPr>
      <w:r w:rsidRPr="00DE3454">
        <w:rPr>
          <w:szCs w:val="24"/>
        </w:rPr>
        <w:t>….</w:t>
      </w:r>
    </w:p>
    <w:p w14:paraId="64EE000D" w14:textId="77777777" w:rsidR="00722F6B" w:rsidRPr="00DE3454" w:rsidRDefault="00722F6B" w:rsidP="00DE3454">
      <w:pPr>
        <w:pStyle w:val="1"/>
        <w:numPr>
          <w:ilvl w:val="0"/>
          <w:numId w:val="0"/>
        </w:numPr>
        <w:autoSpaceDE w:val="0"/>
        <w:adjustRightInd w:val="0"/>
        <w:spacing w:before="0" w:line="360" w:lineRule="auto"/>
        <w:ind w:left="1211" w:right="851"/>
        <w:rPr>
          <w:szCs w:val="24"/>
        </w:rPr>
      </w:pPr>
    </w:p>
    <w:p w14:paraId="1C496193" w14:textId="3B3A3ACE" w:rsidR="009C7DF6" w:rsidRPr="00DE3454" w:rsidRDefault="00722F6B" w:rsidP="00DE3454">
      <w:pPr>
        <w:pStyle w:val="1"/>
        <w:numPr>
          <w:ilvl w:val="0"/>
          <w:numId w:val="0"/>
        </w:numPr>
        <w:autoSpaceDE w:val="0"/>
        <w:adjustRightInd w:val="0"/>
        <w:spacing w:before="0" w:line="360" w:lineRule="auto"/>
        <w:ind w:left="1211" w:right="851"/>
        <w:rPr>
          <w:szCs w:val="24"/>
        </w:rPr>
      </w:pPr>
      <w:r w:rsidRPr="00DE3454">
        <w:rPr>
          <w:i/>
          <w:iCs w:val="0"/>
          <w:szCs w:val="24"/>
        </w:rPr>
        <w:t>(</w:t>
      </w:r>
      <w:r w:rsidR="009C7DF6" w:rsidRPr="00DE3454">
        <w:rPr>
          <w:i/>
          <w:iCs w:val="0"/>
          <w:szCs w:val="24"/>
        </w:rPr>
        <w:t>b</w:t>
      </w:r>
      <w:r w:rsidRPr="00DE3454">
        <w:rPr>
          <w:i/>
          <w:iCs w:val="0"/>
          <w:szCs w:val="24"/>
        </w:rPr>
        <w:t>)</w:t>
      </w:r>
      <w:r w:rsidRPr="00DE3454">
        <w:rPr>
          <w:szCs w:val="24"/>
        </w:rPr>
        <w:t xml:space="preserve"> </w:t>
      </w:r>
      <w:r w:rsidR="003E1239" w:rsidRPr="00DE3454">
        <w:rPr>
          <w:szCs w:val="24"/>
          <w:u w:val="single"/>
        </w:rPr>
        <w:t>implement the plan as adopted</w:t>
      </w:r>
      <w:r w:rsidR="009C7DF6" w:rsidRPr="00DE3454">
        <w:rPr>
          <w:szCs w:val="24"/>
        </w:rPr>
        <w:t xml:space="preserve"> (own emphasis added).</w:t>
      </w:r>
      <w:r w:rsidR="003E1239" w:rsidRPr="00DE3454">
        <w:rPr>
          <w:szCs w:val="24"/>
        </w:rPr>
        <w:t xml:space="preserve"> </w:t>
      </w:r>
    </w:p>
    <w:p w14:paraId="5BC20382" w14:textId="58D894AC" w:rsidR="009C7DF6"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lastRenderedPageBreak/>
        <w:t>[51]</w:t>
      </w:r>
      <w:r w:rsidRPr="00285CDE">
        <w:rPr>
          <w:rFonts w:cs="Arial"/>
          <w:szCs w:val="24"/>
        </w:rPr>
        <w:tab/>
      </w:r>
      <w:r w:rsidR="009C7DF6" w:rsidRPr="00285CDE">
        <w:t>This provision refers</w:t>
      </w:r>
      <w:r w:rsidR="00330394" w:rsidRPr="00285CDE">
        <w:t xml:space="preserve"> to</w:t>
      </w:r>
      <w:r w:rsidR="009C7DF6" w:rsidRPr="00285CDE">
        <w:t xml:space="preserve"> </w:t>
      </w:r>
      <w:r w:rsidR="00DE3454">
        <w:t>the</w:t>
      </w:r>
      <w:r w:rsidR="009C7DF6" w:rsidRPr="00285CDE">
        <w:t xml:space="preserve"> stage where a business rescue plan has been adopted by all the affected </w:t>
      </w:r>
      <w:r w:rsidR="00330394" w:rsidRPr="00285CDE">
        <w:t>parties</w:t>
      </w:r>
      <w:r w:rsidR="009C7DF6" w:rsidRPr="00285CDE">
        <w:t>. The roles and terms about how to proceed with the business rescue plan are stipulated in the said plan</w:t>
      </w:r>
      <w:r w:rsidR="00330394" w:rsidRPr="00285CDE">
        <w:t xml:space="preserve">. The provision is clear in that the steps must be taken “under the direction of the practitioner”. </w:t>
      </w:r>
      <w:r w:rsidR="009C7DF6" w:rsidRPr="00285CDE">
        <w:t xml:space="preserve"> </w:t>
      </w:r>
    </w:p>
    <w:p w14:paraId="79DBB378" w14:textId="6F9C438E" w:rsidR="00AA601C"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t>[52]</w:t>
      </w:r>
      <w:r w:rsidRPr="00285CDE">
        <w:rPr>
          <w:rFonts w:cs="Arial"/>
          <w:szCs w:val="24"/>
        </w:rPr>
        <w:tab/>
      </w:r>
      <w:r w:rsidR="00AA601C" w:rsidRPr="00285CDE">
        <w:t>There</w:t>
      </w:r>
      <w:r w:rsidR="00152426" w:rsidRPr="00285CDE">
        <w:t xml:space="preserve"> </w:t>
      </w:r>
      <w:r w:rsidR="00AA601C" w:rsidRPr="00285CDE">
        <w:t>a</w:t>
      </w:r>
      <w:r w:rsidR="00152426" w:rsidRPr="00285CDE">
        <w:t>ppears to be a</w:t>
      </w:r>
      <w:r w:rsidR="00AA601C" w:rsidRPr="00285CDE">
        <w:t xml:space="preserve"> conflict that exists between the provisions of </w:t>
      </w:r>
      <w:r w:rsidR="00330394" w:rsidRPr="00285CDE">
        <w:t xml:space="preserve">section 54(2) of the PFMA and </w:t>
      </w:r>
      <w:r w:rsidR="00400E32" w:rsidRPr="00285CDE">
        <w:t>section</w:t>
      </w:r>
      <w:r w:rsidR="00022930">
        <w:t>s</w:t>
      </w:r>
      <w:r w:rsidR="00330394" w:rsidRPr="00285CDE">
        <w:t xml:space="preserve"> 152</w:t>
      </w:r>
      <w:r w:rsidR="00022930">
        <w:t>(2) and (3)</w:t>
      </w:r>
      <w:r w:rsidR="00330394" w:rsidRPr="00285CDE">
        <w:t xml:space="preserve"> of the Companies Act. The former empowers the accounting authority</w:t>
      </w:r>
      <w:r w:rsidR="00400E32" w:rsidRPr="00285CDE">
        <w:t xml:space="preserve"> (</w:t>
      </w:r>
      <w:r w:rsidR="008B4340">
        <w:t>being</w:t>
      </w:r>
      <w:r w:rsidR="00400E32" w:rsidRPr="00285CDE">
        <w:t xml:space="preserve"> SAA)</w:t>
      </w:r>
      <w:r w:rsidR="00330394" w:rsidRPr="00285CDE">
        <w:t xml:space="preserve"> to lodge the application in terms of section 54(2) of the PMFA whereas the latter </w:t>
      </w:r>
      <w:r w:rsidR="00400E32" w:rsidRPr="00285CDE">
        <w:t>empowers the</w:t>
      </w:r>
      <w:r w:rsidR="00022930">
        <w:t xml:space="preserve"> </w:t>
      </w:r>
      <w:r w:rsidR="00400E32" w:rsidRPr="00285CDE">
        <w:t>BRP to do so.</w:t>
      </w:r>
    </w:p>
    <w:p w14:paraId="5D418091" w14:textId="3BF98CD3" w:rsidR="00152426"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t>[53]</w:t>
      </w:r>
      <w:r w:rsidRPr="00285CDE">
        <w:rPr>
          <w:rFonts w:cs="Arial"/>
          <w:szCs w:val="24"/>
        </w:rPr>
        <w:tab/>
      </w:r>
      <w:r w:rsidR="00152426" w:rsidRPr="00285CDE">
        <w:t xml:space="preserve">Assuming that a conflict has been </w:t>
      </w:r>
      <w:r w:rsidR="007708DF" w:rsidRPr="00285CDE">
        <w:t>identified, section 3(3) of the PFMA provides that “[i]</w:t>
      </w:r>
      <w:r w:rsidR="007708DF" w:rsidRPr="00463413">
        <w:rPr>
          <w:i/>
          <w:iCs w:val="0"/>
        </w:rPr>
        <w:t>n the event of any inconsistency between this Act and any other legislation, this Act prevails</w:t>
      </w:r>
      <w:r w:rsidR="007708DF" w:rsidRPr="00285CDE">
        <w:t>”. This is not the end of the matter because the Companies Act also provides a mechanism for resolving any conflict between itself and the PFMA amongst others. Section 5(4) provides as follows:</w:t>
      </w:r>
    </w:p>
    <w:p w14:paraId="796898E4" w14:textId="77777777" w:rsidR="007708DF" w:rsidRPr="00285CDE" w:rsidRDefault="007708DF" w:rsidP="00152426">
      <w:pPr>
        <w:pStyle w:val="1"/>
        <w:numPr>
          <w:ilvl w:val="0"/>
          <w:numId w:val="0"/>
        </w:numPr>
        <w:autoSpaceDE w:val="0"/>
        <w:adjustRightInd w:val="0"/>
        <w:spacing w:before="0" w:line="240" w:lineRule="auto"/>
        <w:ind w:left="851" w:right="851"/>
        <w:rPr>
          <w:sz w:val="22"/>
        </w:rPr>
      </w:pPr>
      <w:r w:rsidRPr="00285CDE">
        <w:rPr>
          <w:sz w:val="22"/>
        </w:rPr>
        <w:t xml:space="preserve">‘If there is an inconsistency between any provision of this Act and a provision of any other national legislation— </w:t>
      </w:r>
    </w:p>
    <w:p w14:paraId="08AA6935" w14:textId="77777777" w:rsidR="00152426" w:rsidRPr="00285CDE" w:rsidRDefault="00152426" w:rsidP="00152426">
      <w:pPr>
        <w:pStyle w:val="1"/>
        <w:numPr>
          <w:ilvl w:val="0"/>
          <w:numId w:val="0"/>
        </w:numPr>
        <w:autoSpaceDE w:val="0"/>
        <w:adjustRightInd w:val="0"/>
        <w:spacing w:before="0" w:line="240" w:lineRule="auto"/>
        <w:ind w:left="851" w:right="851"/>
        <w:rPr>
          <w:sz w:val="22"/>
        </w:rPr>
      </w:pPr>
    </w:p>
    <w:p w14:paraId="7070EA10" w14:textId="77777777" w:rsidR="007708DF" w:rsidRPr="00285CDE" w:rsidRDefault="007708DF" w:rsidP="00152426">
      <w:pPr>
        <w:pStyle w:val="1"/>
        <w:numPr>
          <w:ilvl w:val="0"/>
          <w:numId w:val="0"/>
        </w:numPr>
        <w:autoSpaceDE w:val="0"/>
        <w:adjustRightInd w:val="0"/>
        <w:spacing w:before="0" w:line="240" w:lineRule="auto"/>
        <w:ind w:left="1440" w:right="851"/>
        <w:rPr>
          <w:sz w:val="22"/>
        </w:rPr>
      </w:pPr>
      <w:r w:rsidRPr="00285CDE">
        <w:rPr>
          <w:sz w:val="22"/>
        </w:rPr>
        <w:t xml:space="preserve">(a) the provisions of both Acts apply concurrently, to the extent that it is possible to apply and comply with one of the inconsistent provisions without contravening the second; and </w:t>
      </w:r>
    </w:p>
    <w:p w14:paraId="2AD10223" w14:textId="3663CB9C" w:rsidR="007708DF" w:rsidRPr="00285CDE" w:rsidRDefault="007708DF" w:rsidP="00152426">
      <w:pPr>
        <w:pStyle w:val="1"/>
        <w:numPr>
          <w:ilvl w:val="0"/>
          <w:numId w:val="0"/>
        </w:numPr>
        <w:autoSpaceDE w:val="0"/>
        <w:adjustRightInd w:val="0"/>
        <w:spacing w:before="0" w:line="240" w:lineRule="auto"/>
        <w:ind w:left="1440" w:right="851" w:hanging="409"/>
        <w:rPr>
          <w:sz w:val="22"/>
        </w:rPr>
      </w:pPr>
      <w:r w:rsidRPr="00285CDE">
        <w:rPr>
          <w:sz w:val="22"/>
        </w:rPr>
        <w:t xml:space="preserve">(b) </w:t>
      </w:r>
      <w:r w:rsidR="00152426" w:rsidRPr="00285CDE">
        <w:rPr>
          <w:sz w:val="22"/>
        </w:rPr>
        <w:tab/>
      </w:r>
      <w:r w:rsidRPr="00285CDE">
        <w:rPr>
          <w:sz w:val="22"/>
        </w:rPr>
        <w:t>to the extent that it is impossible to apply or comply with one or the inconsistent pr</w:t>
      </w:r>
      <w:r w:rsidR="00152426" w:rsidRPr="00285CDE">
        <w:rPr>
          <w:sz w:val="22"/>
        </w:rPr>
        <w:t>ovisions without contravening the second…</w:t>
      </w:r>
    </w:p>
    <w:p w14:paraId="2F63B9A6" w14:textId="77777777" w:rsidR="00152426" w:rsidRPr="00285CDE" w:rsidRDefault="00152426" w:rsidP="00152426">
      <w:pPr>
        <w:pStyle w:val="1"/>
        <w:numPr>
          <w:ilvl w:val="0"/>
          <w:numId w:val="0"/>
        </w:numPr>
        <w:autoSpaceDE w:val="0"/>
        <w:adjustRightInd w:val="0"/>
        <w:spacing w:before="0" w:line="240" w:lineRule="auto"/>
        <w:ind w:left="851" w:right="851" w:firstLine="720"/>
        <w:rPr>
          <w:sz w:val="22"/>
        </w:rPr>
      </w:pPr>
    </w:p>
    <w:p w14:paraId="4A8FAF8D" w14:textId="2D8701FB" w:rsidR="00152426" w:rsidRPr="00285CDE" w:rsidRDefault="00152426" w:rsidP="00152426">
      <w:pPr>
        <w:pStyle w:val="1"/>
        <w:numPr>
          <w:ilvl w:val="0"/>
          <w:numId w:val="0"/>
        </w:numPr>
        <w:autoSpaceDE w:val="0"/>
        <w:adjustRightInd w:val="0"/>
        <w:spacing w:before="0" w:line="240" w:lineRule="auto"/>
        <w:ind w:left="851" w:right="851" w:firstLine="720"/>
        <w:rPr>
          <w:sz w:val="22"/>
        </w:rPr>
      </w:pPr>
      <w:r w:rsidRPr="00285CDE">
        <w:rPr>
          <w:sz w:val="22"/>
        </w:rPr>
        <w:t xml:space="preserve">(i) </w:t>
      </w:r>
      <w:r w:rsidRPr="00285CDE">
        <w:rPr>
          <w:sz w:val="22"/>
        </w:rPr>
        <w:tab/>
        <w:t>…</w:t>
      </w:r>
    </w:p>
    <w:p w14:paraId="6C66DA12" w14:textId="77777777" w:rsidR="00152426" w:rsidRPr="00285CDE" w:rsidRDefault="00152426" w:rsidP="00152426">
      <w:pPr>
        <w:pStyle w:val="1"/>
        <w:numPr>
          <w:ilvl w:val="0"/>
          <w:numId w:val="0"/>
        </w:numPr>
        <w:autoSpaceDE w:val="0"/>
        <w:adjustRightInd w:val="0"/>
        <w:spacing w:before="0" w:line="240" w:lineRule="auto"/>
        <w:ind w:left="851" w:right="851" w:firstLine="153"/>
        <w:rPr>
          <w:sz w:val="22"/>
        </w:rPr>
      </w:pPr>
      <w:r w:rsidRPr="00285CDE">
        <w:rPr>
          <w:sz w:val="22"/>
        </w:rPr>
        <w:tab/>
      </w:r>
    </w:p>
    <w:p w14:paraId="4A2FB4D7" w14:textId="5AF5A756" w:rsidR="00152426" w:rsidRPr="00285CDE" w:rsidRDefault="00152426" w:rsidP="00152426">
      <w:pPr>
        <w:pStyle w:val="1"/>
        <w:numPr>
          <w:ilvl w:val="0"/>
          <w:numId w:val="0"/>
        </w:numPr>
        <w:autoSpaceDE w:val="0"/>
        <w:adjustRightInd w:val="0"/>
        <w:spacing w:before="0" w:line="240" w:lineRule="auto"/>
        <w:ind w:left="982" w:right="851" w:firstLine="458"/>
        <w:rPr>
          <w:sz w:val="22"/>
        </w:rPr>
      </w:pPr>
      <w:r w:rsidRPr="00285CDE">
        <w:rPr>
          <w:sz w:val="22"/>
        </w:rPr>
        <w:t xml:space="preserve"> (ee)</w:t>
      </w:r>
      <w:r w:rsidRPr="00285CDE">
        <w:t xml:space="preserve"> Public Finance Management Act, 1999 (Act No. 1 of 1999)</w:t>
      </w:r>
    </w:p>
    <w:p w14:paraId="21F3A77F" w14:textId="77777777" w:rsidR="00152426" w:rsidRPr="00285CDE" w:rsidRDefault="00152426" w:rsidP="00152426">
      <w:pPr>
        <w:pStyle w:val="1"/>
        <w:numPr>
          <w:ilvl w:val="0"/>
          <w:numId w:val="0"/>
        </w:numPr>
        <w:autoSpaceDE w:val="0"/>
        <w:adjustRightInd w:val="0"/>
        <w:spacing w:before="0" w:line="240" w:lineRule="auto"/>
        <w:ind w:left="982" w:right="851" w:firstLine="458"/>
        <w:rPr>
          <w:sz w:val="22"/>
        </w:rPr>
      </w:pPr>
    </w:p>
    <w:p w14:paraId="2C76708C" w14:textId="019F4BDF" w:rsidR="00152426" w:rsidRPr="00285CDE" w:rsidRDefault="00152426" w:rsidP="00152426">
      <w:pPr>
        <w:pStyle w:val="1"/>
        <w:numPr>
          <w:ilvl w:val="0"/>
          <w:numId w:val="0"/>
        </w:numPr>
        <w:autoSpaceDE w:val="0"/>
        <w:adjustRightInd w:val="0"/>
        <w:spacing w:before="0" w:line="240" w:lineRule="auto"/>
        <w:ind w:left="851" w:right="851" w:firstLine="720"/>
        <w:rPr>
          <w:sz w:val="22"/>
        </w:rPr>
      </w:pPr>
      <w:r w:rsidRPr="00285CDE">
        <w:rPr>
          <w:sz w:val="22"/>
        </w:rPr>
        <w:t>…</w:t>
      </w:r>
    </w:p>
    <w:p w14:paraId="4F0666B5" w14:textId="77777777" w:rsidR="00152426" w:rsidRPr="00285CDE" w:rsidRDefault="00152426" w:rsidP="00152426">
      <w:pPr>
        <w:pStyle w:val="1"/>
        <w:numPr>
          <w:ilvl w:val="0"/>
          <w:numId w:val="0"/>
        </w:numPr>
        <w:autoSpaceDE w:val="0"/>
        <w:adjustRightInd w:val="0"/>
        <w:spacing w:before="0" w:line="240" w:lineRule="auto"/>
        <w:ind w:left="851" w:right="851" w:firstLine="720"/>
        <w:rPr>
          <w:sz w:val="22"/>
        </w:rPr>
      </w:pPr>
    </w:p>
    <w:p w14:paraId="25AED9A6" w14:textId="4CF8A371" w:rsidR="00152426" w:rsidRPr="00285CDE" w:rsidRDefault="00152426" w:rsidP="00152426">
      <w:pPr>
        <w:pStyle w:val="1"/>
        <w:numPr>
          <w:ilvl w:val="0"/>
          <w:numId w:val="0"/>
        </w:numPr>
        <w:autoSpaceDE w:val="0"/>
        <w:adjustRightInd w:val="0"/>
        <w:spacing w:before="0" w:line="240" w:lineRule="auto"/>
        <w:ind w:left="851" w:right="851"/>
        <w:rPr>
          <w:sz w:val="22"/>
        </w:rPr>
      </w:pPr>
      <w:r w:rsidRPr="00285CDE">
        <w:rPr>
          <w:sz w:val="22"/>
        </w:rPr>
        <w:t>prevail in the case of an inconsistency involving any of them, except to the extent provided otherwise in section 49(4) …’.</w:t>
      </w:r>
    </w:p>
    <w:p w14:paraId="6CD94BD4" w14:textId="4A5BB9F3" w:rsidR="00152426" w:rsidRDefault="00890EE4" w:rsidP="00890EE4">
      <w:pPr>
        <w:pStyle w:val="1"/>
        <w:numPr>
          <w:ilvl w:val="0"/>
          <w:numId w:val="0"/>
        </w:numPr>
        <w:tabs>
          <w:tab w:val="left" w:pos="567"/>
        </w:tabs>
        <w:autoSpaceDE w:val="0"/>
        <w:adjustRightInd w:val="0"/>
        <w:ind w:left="567" w:hanging="567"/>
      </w:pPr>
      <w:r>
        <w:rPr>
          <w:rFonts w:cs="Arial"/>
          <w:szCs w:val="24"/>
        </w:rPr>
        <w:t>[54]</w:t>
      </w:r>
      <w:r>
        <w:rPr>
          <w:rFonts w:cs="Arial"/>
          <w:szCs w:val="24"/>
        </w:rPr>
        <w:tab/>
      </w:r>
      <w:r w:rsidR="00152426" w:rsidRPr="00285CDE">
        <w:t xml:space="preserve">This Court will, therefore, need to </w:t>
      </w:r>
      <w:r w:rsidR="00E10F88" w:rsidRPr="00285CDE">
        <w:t xml:space="preserve">fully </w:t>
      </w:r>
      <w:r w:rsidR="00152426" w:rsidRPr="00285CDE">
        <w:t xml:space="preserve">engage with </w:t>
      </w:r>
      <w:r w:rsidR="00E10F88" w:rsidRPr="00285CDE">
        <w:t xml:space="preserve">all </w:t>
      </w:r>
      <w:r w:rsidR="00152426" w:rsidRPr="00285CDE">
        <w:t xml:space="preserve">the </w:t>
      </w:r>
      <w:r w:rsidR="00E10F88" w:rsidRPr="00285CDE">
        <w:t>afore</w:t>
      </w:r>
      <w:r w:rsidR="00152426" w:rsidRPr="00285CDE">
        <w:t>said provisions to ascertain whether the provisions of the PFMA and the Companies Act can be reconciled in a case where a conflict has been established</w:t>
      </w:r>
      <w:r w:rsidR="00E10F88" w:rsidRPr="00285CDE">
        <w:t xml:space="preserve"> and/or that the provisions of the PFMA should prevail.</w:t>
      </w:r>
    </w:p>
    <w:p w14:paraId="779F5DA4" w14:textId="77777777" w:rsidR="00DE3454" w:rsidRPr="00285CDE" w:rsidRDefault="00DE3454" w:rsidP="00DE3454">
      <w:pPr>
        <w:pStyle w:val="1"/>
        <w:numPr>
          <w:ilvl w:val="0"/>
          <w:numId w:val="0"/>
        </w:numPr>
        <w:autoSpaceDE w:val="0"/>
        <w:adjustRightInd w:val="0"/>
        <w:ind w:left="567"/>
      </w:pPr>
    </w:p>
    <w:p w14:paraId="4475CD34" w14:textId="1CE059B4" w:rsidR="00152426" w:rsidRPr="00285CDE" w:rsidRDefault="00152426" w:rsidP="00152426">
      <w:pPr>
        <w:pStyle w:val="1"/>
        <w:numPr>
          <w:ilvl w:val="0"/>
          <w:numId w:val="0"/>
        </w:numPr>
        <w:rPr>
          <w:u w:val="single"/>
        </w:rPr>
      </w:pPr>
      <w:r w:rsidRPr="00285CDE">
        <w:rPr>
          <w:u w:val="single"/>
        </w:rPr>
        <w:lastRenderedPageBreak/>
        <w:t>Law o</w:t>
      </w:r>
      <w:r w:rsidR="00CC34CD" w:rsidRPr="00285CDE">
        <w:rPr>
          <w:u w:val="single"/>
        </w:rPr>
        <w:t>f</w:t>
      </w:r>
      <w:r w:rsidRPr="00285CDE">
        <w:rPr>
          <w:u w:val="single"/>
        </w:rPr>
        <w:t xml:space="preserve"> contract</w:t>
      </w:r>
    </w:p>
    <w:p w14:paraId="2F316E66" w14:textId="0382C211" w:rsidR="00B009B0"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t>[55]</w:t>
      </w:r>
      <w:r w:rsidRPr="00285CDE">
        <w:rPr>
          <w:rFonts w:cs="Arial"/>
          <w:szCs w:val="24"/>
        </w:rPr>
        <w:tab/>
      </w:r>
      <w:r w:rsidR="001D7511" w:rsidRPr="00285CDE">
        <w:t xml:space="preserve">The law of contract is clear in that contractual terms </w:t>
      </w:r>
      <w:r w:rsidR="00B009B0" w:rsidRPr="00285CDE">
        <w:t>must</w:t>
      </w:r>
      <w:r w:rsidR="001D7511" w:rsidRPr="00285CDE">
        <w:t xml:space="preserve"> be discharged in good faith unless such a contract is against public policy.</w:t>
      </w:r>
      <w:r w:rsidR="002F678A" w:rsidRPr="00285CDE">
        <w:rPr>
          <w:rStyle w:val="FootnoteReference"/>
        </w:rPr>
        <w:footnoteReference w:id="17"/>
      </w:r>
      <w:r w:rsidR="001D7511" w:rsidRPr="00285CDE">
        <w:t xml:space="preserve"> </w:t>
      </w:r>
      <w:r w:rsidR="00B009B0" w:rsidRPr="00285CDE">
        <w:t xml:space="preserve">In </w:t>
      </w:r>
      <w:r w:rsidR="00B009B0" w:rsidRPr="00285CDE">
        <w:rPr>
          <w:i/>
          <w:iCs w:val="0"/>
        </w:rPr>
        <w:t>Mohamed's Leisure Holdings (Pty) Ltd v Southern Sun Hotel Interests (Pty) Ltd</w:t>
      </w:r>
      <w:r w:rsidR="00B009B0" w:rsidRPr="00285CDE">
        <w:rPr>
          <w:rStyle w:val="FootnoteReference"/>
        </w:rPr>
        <w:footnoteReference w:id="18"/>
      </w:r>
      <w:r w:rsidR="000E0F31" w:rsidRPr="00285CDE">
        <w:t xml:space="preserve"> it was held that:</w:t>
      </w:r>
    </w:p>
    <w:p w14:paraId="6A00CF83" w14:textId="77777777" w:rsidR="00B009B0" w:rsidRPr="00285CDE" w:rsidRDefault="00B009B0" w:rsidP="00B009B0">
      <w:pPr>
        <w:pStyle w:val="1"/>
        <w:numPr>
          <w:ilvl w:val="0"/>
          <w:numId w:val="0"/>
        </w:numPr>
        <w:autoSpaceDE w:val="0"/>
        <w:adjustRightInd w:val="0"/>
        <w:spacing w:before="0" w:line="240" w:lineRule="auto"/>
      </w:pPr>
    </w:p>
    <w:p w14:paraId="15F75967" w14:textId="089EA929" w:rsidR="00255C6F" w:rsidRPr="00DE3454" w:rsidRDefault="00B009B0" w:rsidP="00DE3454">
      <w:pPr>
        <w:pStyle w:val="1"/>
        <w:numPr>
          <w:ilvl w:val="0"/>
          <w:numId w:val="0"/>
        </w:numPr>
        <w:autoSpaceDE w:val="0"/>
        <w:adjustRightInd w:val="0"/>
        <w:spacing w:line="360" w:lineRule="auto"/>
        <w:ind w:left="851" w:right="851"/>
        <w:rPr>
          <w:szCs w:val="24"/>
        </w:rPr>
      </w:pPr>
      <w:r w:rsidRPr="00DE3454">
        <w:rPr>
          <w:rFonts w:cs="Arial"/>
          <w:color w:val="242121"/>
          <w:szCs w:val="24"/>
          <w:shd w:val="clear" w:color="auto" w:fill="FFFFFF"/>
        </w:rPr>
        <w:t xml:space="preserve">‘The privity and sanctity of contract </w:t>
      </w:r>
      <w:r w:rsidRPr="00DE3454">
        <w:rPr>
          <w:rFonts w:cs="Arial"/>
          <w:color w:val="242121"/>
          <w:szCs w:val="24"/>
          <w:u w:val="single"/>
          <w:shd w:val="clear" w:color="auto" w:fill="FFFFFF"/>
        </w:rPr>
        <w:t>entails that contractual obligations must be honoured when the parties have entered into the contractual agreement freely and voluntarily’</w:t>
      </w:r>
      <w:r w:rsidRPr="00DE3454">
        <w:rPr>
          <w:rFonts w:cs="Arial"/>
          <w:color w:val="242121"/>
          <w:szCs w:val="24"/>
          <w:shd w:val="clear" w:color="auto" w:fill="FFFFFF"/>
        </w:rPr>
        <w:t xml:space="preserve"> (own emphasis added). </w:t>
      </w:r>
    </w:p>
    <w:p w14:paraId="556DC3C0" w14:textId="5CECCD09" w:rsidR="00191127" w:rsidRPr="00285CDE" w:rsidRDefault="00890EE4" w:rsidP="00890EE4">
      <w:pPr>
        <w:pStyle w:val="1"/>
        <w:numPr>
          <w:ilvl w:val="0"/>
          <w:numId w:val="0"/>
        </w:numPr>
        <w:tabs>
          <w:tab w:val="left" w:pos="567"/>
        </w:tabs>
        <w:autoSpaceDE w:val="0"/>
        <w:adjustRightInd w:val="0"/>
        <w:spacing w:line="360" w:lineRule="auto"/>
        <w:ind w:left="567" w:hanging="567"/>
      </w:pPr>
      <w:r w:rsidRPr="00285CDE">
        <w:rPr>
          <w:rFonts w:cs="Arial"/>
          <w:szCs w:val="24"/>
        </w:rPr>
        <w:t>[56]</w:t>
      </w:r>
      <w:r w:rsidRPr="00285CDE">
        <w:rPr>
          <w:rFonts w:cs="Arial"/>
          <w:szCs w:val="24"/>
        </w:rPr>
        <w:tab/>
      </w:r>
      <w:r w:rsidR="00B365B1" w:rsidRPr="00285CDE">
        <w:t xml:space="preserve">The court went on to state that </w:t>
      </w:r>
      <w:r w:rsidR="00B365B1" w:rsidRPr="00285CDE">
        <w:rPr>
          <w:rFonts w:cs="Arial"/>
          <w:color w:val="242121"/>
          <w:szCs w:val="24"/>
          <w:shd w:val="clear" w:color="auto" w:fill="FFFFFF"/>
        </w:rPr>
        <w:t>“</w:t>
      </w:r>
      <w:r w:rsidR="00B365B1" w:rsidRPr="00285CDE">
        <w:rPr>
          <w:rFonts w:cs="Arial"/>
          <w:i/>
          <w:iCs w:val="0"/>
          <w:color w:val="242121"/>
          <w:szCs w:val="24"/>
          <w:shd w:val="clear" w:color="auto" w:fill="FFFFFF"/>
        </w:rPr>
        <w:t>parties enter into contractual agreements in order for a certain result to materialise</w:t>
      </w:r>
      <w:r w:rsidR="00B365B1" w:rsidRPr="00285CDE">
        <w:rPr>
          <w:rFonts w:cs="Arial"/>
          <w:color w:val="242121"/>
          <w:szCs w:val="24"/>
          <w:shd w:val="clear" w:color="auto" w:fill="FFFFFF"/>
        </w:rPr>
        <w:t>”</w:t>
      </w:r>
      <w:r w:rsidR="00B365B1" w:rsidRPr="00285CDE">
        <w:rPr>
          <w:rStyle w:val="FootnoteReference"/>
          <w:rFonts w:cs="Arial"/>
          <w:color w:val="242121"/>
          <w:szCs w:val="24"/>
          <w:shd w:val="clear" w:color="auto" w:fill="FFFFFF"/>
        </w:rPr>
        <w:footnoteReference w:id="19"/>
      </w:r>
      <w:r w:rsidR="00BD5D50" w:rsidRPr="00285CDE">
        <w:rPr>
          <w:rFonts w:cs="Arial"/>
          <w:color w:val="242121"/>
          <w:szCs w:val="24"/>
          <w:shd w:val="clear" w:color="auto" w:fill="FFFFFF"/>
        </w:rPr>
        <w:t xml:space="preserve"> </w:t>
      </w:r>
      <w:r w:rsidR="00B365B1" w:rsidRPr="00285CDE">
        <w:rPr>
          <w:rFonts w:cs="Arial"/>
          <w:color w:val="242121"/>
          <w:szCs w:val="24"/>
          <w:shd w:val="clear" w:color="auto" w:fill="FFFFFF"/>
        </w:rPr>
        <w:t xml:space="preserve">such as </w:t>
      </w:r>
      <w:r w:rsidR="00BD5D50" w:rsidRPr="00285CDE">
        <w:rPr>
          <w:rFonts w:cs="Arial"/>
          <w:color w:val="242121"/>
          <w:szCs w:val="24"/>
          <w:shd w:val="clear" w:color="auto" w:fill="FFFFFF"/>
        </w:rPr>
        <w:t>the implementation of their obligations as provided for in the agreement</w:t>
      </w:r>
      <w:r w:rsidR="00B365B1" w:rsidRPr="00285CDE">
        <w:rPr>
          <w:rFonts w:cs="Arial"/>
          <w:color w:val="242121"/>
          <w:szCs w:val="24"/>
          <w:shd w:val="clear" w:color="auto" w:fill="FFFFFF"/>
        </w:rPr>
        <w:t>. This entails that this Court should be slow to interfere with binding contractual terms</w:t>
      </w:r>
      <w:r w:rsidR="00FD1DB9" w:rsidRPr="00285CDE">
        <w:rPr>
          <w:rFonts w:cs="Arial"/>
          <w:color w:val="242121"/>
          <w:szCs w:val="24"/>
          <w:shd w:val="clear" w:color="auto" w:fill="FFFFFF"/>
        </w:rPr>
        <w:t xml:space="preserve"> except where there are good reasons to do so. </w:t>
      </w:r>
    </w:p>
    <w:p w14:paraId="4DE4D6B3" w14:textId="0BD12E95" w:rsidR="00CC34CD" w:rsidRPr="00285CDE" w:rsidRDefault="005F0AEA" w:rsidP="00CC34CD">
      <w:pPr>
        <w:pStyle w:val="1"/>
        <w:numPr>
          <w:ilvl w:val="0"/>
          <w:numId w:val="0"/>
        </w:numPr>
        <w:spacing w:line="360" w:lineRule="auto"/>
        <w:rPr>
          <w:rFonts w:cs="Arial"/>
          <w:szCs w:val="24"/>
          <w:u w:val="single"/>
          <w:lang w:eastAsia="en-US"/>
        </w:rPr>
      </w:pPr>
      <w:r>
        <w:rPr>
          <w:rFonts w:cs="Arial"/>
          <w:szCs w:val="24"/>
          <w:u w:val="single"/>
          <w:lang w:eastAsia="en-US"/>
        </w:rPr>
        <w:t>Judicial Review under the</w:t>
      </w:r>
      <w:r w:rsidR="000F2982" w:rsidRPr="00285CDE">
        <w:rPr>
          <w:rFonts w:cs="Arial"/>
          <w:szCs w:val="24"/>
          <w:u w:val="single"/>
          <w:lang w:eastAsia="en-US"/>
        </w:rPr>
        <w:t xml:space="preserve"> Constitution and </w:t>
      </w:r>
      <w:r w:rsidR="00CC34CD" w:rsidRPr="00285CDE">
        <w:rPr>
          <w:rFonts w:cs="Arial"/>
          <w:szCs w:val="24"/>
          <w:u w:val="single"/>
          <w:lang w:eastAsia="en-US"/>
        </w:rPr>
        <w:t>PAJA</w:t>
      </w:r>
    </w:p>
    <w:p w14:paraId="234570A6" w14:textId="0D144020" w:rsidR="00AE6740" w:rsidRPr="00285CDE" w:rsidRDefault="00890EE4" w:rsidP="00890EE4">
      <w:pPr>
        <w:pStyle w:val="1"/>
        <w:numPr>
          <w:ilvl w:val="0"/>
          <w:numId w:val="0"/>
        </w:numPr>
        <w:tabs>
          <w:tab w:val="left" w:pos="567"/>
        </w:tabs>
        <w:spacing w:line="360" w:lineRule="auto"/>
        <w:ind w:left="567" w:hanging="567"/>
        <w:rPr>
          <w:rFonts w:cs="Arial"/>
          <w:i/>
          <w:iCs w:val="0"/>
          <w:szCs w:val="24"/>
          <w:lang w:eastAsia="en-US"/>
        </w:rPr>
      </w:pPr>
      <w:r w:rsidRPr="00285CDE">
        <w:rPr>
          <w:rFonts w:cs="Arial"/>
          <w:szCs w:val="24"/>
          <w:lang w:eastAsia="en-US"/>
        </w:rPr>
        <w:t>[57]</w:t>
      </w:r>
      <w:r w:rsidRPr="00285CDE">
        <w:rPr>
          <w:rFonts w:cs="Arial"/>
          <w:szCs w:val="24"/>
          <w:lang w:eastAsia="en-US"/>
        </w:rPr>
        <w:tab/>
      </w:r>
      <w:r w:rsidR="00463413">
        <w:t>The Promotion of Administrative Justice Act 3 of 2000 (“</w:t>
      </w:r>
      <w:r w:rsidR="00E10F88" w:rsidRPr="00285CDE">
        <w:t>PAJA</w:t>
      </w:r>
      <w:r w:rsidR="00463413">
        <w:t>”)</w:t>
      </w:r>
      <w:r w:rsidR="00E10F88" w:rsidRPr="00285CDE">
        <w:t xml:space="preserve"> was enacted to give effect to section 33 of the Constitution which </w:t>
      </w:r>
      <w:r w:rsidR="00E10F88" w:rsidRPr="00285CDE">
        <w:rPr>
          <w:i/>
          <w:iCs w:val="0"/>
        </w:rPr>
        <w:t>inter alia</w:t>
      </w:r>
      <w:r w:rsidR="00E10F88" w:rsidRPr="00285CDE">
        <w:t xml:space="preserve"> provides for the review of administrative action by a court. As a result, t</w:t>
      </w:r>
      <w:r w:rsidR="00863558" w:rsidRPr="00285CDE">
        <w:t>he grounds for judicial review have been codified in PAJA</w:t>
      </w:r>
      <w:r w:rsidR="00570B03" w:rsidRPr="00285CDE">
        <w:t xml:space="preserve"> except for the principle of legality</w:t>
      </w:r>
      <w:r w:rsidR="00863558" w:rsidRPr="00285CDE">
        <w:t xml:space="preserve">. </w:t>
      </w:r>
      <w:r w:rsidR="00AE6740" w:rsidRPr="00285CDE">
        <w:t>S</w:t>
      </w:r>
      <w:r w:rsidR="00863558" w:rsidRPr="00285CDE">
        <w:t xml:space="preserve">ection 1 of PAJA defines administrative action </w:t>
      </w:r>
      <w:r w:rsidR="00463413">
        <w:t>as</w:t>
      </w:r>
      <w:r w:rsidR="00863558" w:rsidRPr="00285CDE">
        <w:t xml:space="preserve"> “</w:t>
      </w:r>
      <w:r w:rsidR="00863558" w:rsidRPr="00463413">
        <w:rPr>
          <w:i/>
          <w:iCs w:val="0"/>
        </w:rPr>
        <w:t>any decision taken, or any failure to take a decision</w:t>
      </w:r>
      <w:r w:rsidR="00863558" w:rsidRPr="00285CDE">
        <w:t>” when exercising a public function in terms of any legislation.</w:t>
      </w:r>
      <w:r w:rsidR="00863558" w:rsidRPr="00285CDE">
        <w:rPr>
          <w:rStyle w:val="FootnoteReference"/>
        </w:rPr>
        <w:footnoteReference w:id="20"/>
      </w:r>
      <w:r w:rsidR="00863558" w:rsidRPr="00285CDE">
        <w:t xml:space="preserve"> Section 6(2)(g) of PAJA provides </w:t>
      </w:r>
      <w:r w:rsidR="005E5BD4">
        <w:t>that a party may apply</w:t>
      </w:r>
      <w:r w:rsidR="00863558" w:rsidRPr="00285CDE">
        <w:t xml:space="preserve"> </w:t>
      </w:r>
      <w:r w:rsidR="005E5BD4">
        <w:t xml:space="preserve">for the </w:t>
      </w:r>
      <w:r w:rsidR="00863558" w:rsidRPr="00285CDE">
        <w:t xml:space="preserve">review </w:t>
      </w:r>
      <w:r w:rsidR="005E5BD4">
        <w:t>of a decision</w:t>
      </w:r>
      <w:r w:rsidR="00863558" w:rsidRPr="00285CDE">
        <w:t xml:space="preserve"> if “</w:t>
      </w:r>
      <w:r w:rsidR="00863558" w:rsidRPr="00463413">
        <w:rPr>
          <w:i/>
          <w:iCs w:val="0"/>
        </w:rPr>
        <w:t>the action consists of a failure to take a decision</w:t>
      </w:r>
      <w:r w:rsidR="00863558" w:rsidRPr="00285CDE">
        <w:t xml:space="preserve">”. This ground of review will be present in instances where there is a duty on an administrator to </w:t>
      </w:r>
      <w:r w:rsidR="00AC1ECB">
        <w:t>take a decision</w:t>
      </w:r>
      <w:r w:rsidR="00AE6740" w:rsidRPr="00285CDE">
        <w:t>,</w:t>
      </w:r>
      <w:r w:rsidR="00863558" w:rsidRPr="00285CDE">
        <w:t xml:space="preserve"> but such an administrator has failed to </w:t>
      </w:r>
      <w:r w:rsidR="00AC1ECB">
        <w:t>take a decision</w:t>
      </w:r>
      <w:r w:rsidR="00863558" w:rsidRPr="00285CDE">
        <w:t xml:space="preserve"> within </w:t>
      </w:r>
      <w:r w:rsidR="00463413">
        <w:t>reasonable</w:t>
      </w:r>
      <w:r w:rsidR="00863558" w:rsidRPr="00285CDE">
        <w:t xml:space="preserve"> </w:t>
      </w:r>
      <w:r w:rsidR="00AE6740" w:rsidRPr="00285CDE">
        <w:t>time frames</w:t>
      </w:r>
      <w:r w:rsidR="00863558" w:rsidRPr="00285CDE">
        <w:t>.</w:t>
      </w:r>
      <w:r w:rsidR="00AE6740" w:rsidRPr="00285CDE">
        <w:t xml:space="preserve"> </w:t>
      </w:r>
    </w:p>
    <w:p w14:paraId="7607FD5B" w14:textId="46FDAE4B" w:rsidR="00AE6740" w:rsidRPr="005F0AEA" w:rsidRDefault="00890EE4" w:rsidP="00890EE4">
      <w:pPr>
        <w:pStyle w:val="1"/>
        <w:numPr>
          <w:ilvl w:val="0"/>
          <w:numId w:val="0"/>
        </w:numPr>
        <w:tabs>
          <w:tab w:val="left" w:pos="567"/>
        </w:tabs>
        <w:spacing w:line="360" w:lineRule="auto"/>
        <w:ind w:left="567" w:hanging="567"/>
        <w:rPr>
          <w:rFonts w:cs="Arial"/>
          <w:i/>
          <w:iCs w:val="0"/>
          <w:szCs w:val="24"/>
          <w:lang w:eastAsia="en-US"/>
        </w:rPr>
      </w:pPr>
      <w:r w:rsidRPr="005F0AEA">
        <w:rPr>
          <w:rFonts w:cs="Arial"/>
          <w:szCs w:val="24"/>
          <w:lang w:eastAsia="en-US"/>
        </w:rPr>
        <w:lastRenderedPageBreak/>
        <w:t>[58]</w:t>
      </w:r>
      <w:r w:rsidRPr="005F0AEA">
        <w:rPr>
          <w:rFonts w:cs="Arial"/>
          <w:szCs w:val="24"/>
          <w:lang w:eastAsia="en-US"/>
        </w:rPr>
        <w:tab/>
      </w:r>
      <w:r w:rsidR="00463413">
        <w:t>I</w:t>
      </w:r>
      <w:r w:rsidR="00AE6740" w:rsidRPr="00285CDE">
        <w:t xml:space="preserve">n </w:t>
      </w:r>
      <w:r w:rsidR="00AE6740" w:rsidRPr="00285CDE">
        <w:rPr>
          <w:rFonts w:cs="Arial"/>
          <w:i/>
          <w:iCs w:val="0"/>
          <w:szCs w:val="24"/>
        </w:rPr>
        <w:t>Kate v Member of the Executive Council for the Department of Welfare, Eastern Cape</w:t>
      </w:r>
      <w:r w:rsidR="00485471" w:rsidRPr="00285CDE">
        <w:rPr>
          <w:rStyle w:val="FootnoteReference"/>
          <w:rFonts w:cs="Arial"/>
          <w:szCs w:val="24"/>
        </w:rPr>
        <w:footnoteReference w:id="21"/>
      </w:r>
      <w:r w:rsidR="00AE6740" w:rsidRPr="00285CDE">
        <w:rPr>
          <w:rFonts w:cs="Arial"/>
          <w:szCs w:val="24"/>
        </w:rPr>
        <w:t xml:space="preserve">, the court found that the period of more than three months </w:t>
      </w:r>
      <w:r w:rsidR="00485471" w:rsidRPr="00285CDE">
        <w:rPr>
          <w:rFonts w:cs="Arial"/>
          <w:szCs w:val="24"/>
        </w:rPr>
        <w:t xml:space="preserve">to </w:t>
      </w:r>
      <w:r w:rsidR="00AC1ECB">
        <w:rPr>
          <w:rFonts w:cs="Arial"/>
          <w:szCs w:val="24"/>
        </w:rPr>
        <w:t>take a decision</w:t>
      </w:r>
      <w:r w:rsidR="007C6FF3" w:rsidRPr="00285CDE">
        <w:rPr>
          <w:rFonts w:cs="Arial"/>
          <w:szCs w:val="24"/>
        </w:rPr>
        <w:t xml:space="preserve"> on the </w:t>
      </w:r>
      <w:r w:rsidR="00D42718" w:rsidRPr="00285CDE">
        <w:rPr>
          <w:rFonts w:cs="Arial"/>
          <w:szCs w:val="24"/>
        </w:rPr>
        <w:t>applicant’s</w:t>
      </w:r>
      <w:r w:rsidR="007C6FF3" w:rsidRPr="00285CDE">
        <w:rPr>
          <w:rFonts w:cs="Arial"/>
          <w:szCs w:val="24"/>
        </w:rPr>
        <w:t xml:space="preserve"> applications for </w:t>
      </w:r>
      <w:r w:rsidR="00D42718" w:rsidRPr="00285CDE">
        <w:rPr>
          <w:rFonts w:cs="Arial"/>
          <w:szCs w:val="24"/>
        </w:rPr>
        <w:t xml:space="preserve">a </w:t>
      </w:r>
      <w:r w:rsidR="007C6FF3" w:rsidRPr="00285CDE">
        <w:rPr>
          <w:rFonts w:cs="Arial"/>
          <w:szCs w:val="24"/>
        </w:rPr>
        <w:t xml:space="preserve">disability grant </w:t>
      </w:r>
      <w:r w:rsidR="00485471" w:rsidRPr="00285CDE">
        <w:rPr>
          <w:rFonts w:cs="Arial"/>
          <w:szCs w:val="24"/>
        </w:rPr>
        <w:t>to be unreasonable and constituted a ground of review in terms of section 6(2)(g) of the PAJA.</w:t>
      </w:r>
      <w:r w:rsidR="007C6FF3" w:rsidRPr="00285CDE">
        <w:rPr>
          <w:rFonts w:cs="Arial"/>
          <w:szCs w:val="24"/>
        </w:rPr>
        <w:t xml:space="preserve"> The period in which a decision must be made will depend on the circumstances of each case, and whether it is prescribed by a statute. </w:t>
      </w:r>
    </w:p>
    <w:p w14:paraId="7E01608D" w14:textId="0610C13E" w:rsidR="005F0AEA" w:rsidRPr="005F0AEA" w:rsidRDefault="005F0AEA" w:rsidP="00F2519F">
      <w:pPr>
        <w:pStyle w:val="1"/>
        <w:numPr>
          <w:ilvl w:val="0"/>
          <w:numId w:val="0"/>
        </w:numPr>
        <w:spacing w:line="360" w:lineRule="auto"/>
        <w:rPr>
          <w:rFonts w:cs="Arial"/>
          <w:i/>
          <w:iCs w:val="0"/>
          <w:szCs w:val="24"/>
          <w:u w:val="single"/>
          <w:lang w:eastAsia="en-US"/>
        </w:rPr>
      </w:pPr>
      <w:r>
        <w:rPr>
          <w:rFonts w:cs="Arial"/>
          <w:szCs w:val="24"/>
          <w:u w:val="single"/>
        </w:rPr>
        <w:t xml:space="preserve">Judicial </w:t>
      </w:r>
      <w:r w:rsidRPr="005F0AEA">
        <w:rPr>
          <w:rFonts w:cs="Arial"/>
          <w:szCs w:val="24"/>
          <w:u w:val="single"/>
        </w:rPr>
        <w:t>Review under the principle of legality</w:t>
      </w:r>
    </w:p>
    <w:p w14:paraId="0E4CBFE7" w14:textId="550F4CAF" w:rsidR="005F0AEA" w:rsidRPr="00BD1673" w:rsidRDefault="00890EE4" w:rsidP="00890EE4">
      <w:pPr>
        <w:pStyle w:val="1"/>
        <w:numPr>
          <w:ilvl w:val="0"/>
          <w:numId w:val="0"/>
        </w:numPr>
        <w:tabs>
          <w:tab w:val="left" w:pos="567"/>
        </w:tabs>
        <w:spacing w:line="360" w:lineRule="auto"/>
        <w:ind w:left="567" w:hanging="567"/>
      </w:pPr>
      <w:r w:rsidRPr="00BD1673">
        <w:rPr>
          <w:rFonts w:cs="Arial"/>
          <w:szCs w:val="24"/>
        </w:rPr>
        <w:t>[59]</w:t>
      </w:r>
      <w:r w:rsidRPr="00BD1673">
        <w:rPr>
          <w:rFonts w:cs="Arial"/>
          <w:szCs w:val="24"/>
        </w:rPr>
        <w:tab/>
      </w:r>
      <w:r w:rsidR="005F0AEA" w:rsidRPr="00BD1673">
        <w:t>The exercise of public power is subject to constitutional scrutiny on the basis of the principle of legality, underpinning the Constitution.</w:t>
      </w:r>
      <w:r w:rsidR="005F0AEA" w:rsidRPr="00BD1673">
        <w:rPr>
          <w:rStyle w:val="FootnoteReference"/>
          <w:rFonts w:cs="Arial"/>
          <w:szCs w:val="24"/>
        </w:rPr>
        <w:footnoteReference w:id="22"/>
      </w:r>
      <w:r w:rsidR="005F0AEA" w:rsidRPr="00BD1673">
        <w:t xml:space="preserve"> The principle of legality imposes restrictions on the exercise of executive power in that the executive must </w:t>
      </w:r>
      <w:r w:rsidR="005F0AEA" w:rsidRPr="005F0AEA">
        <w:rPr>
          <w:i/>
          <w:iCs w:val="0"/>
        </w:rPr>
        <w:t>inter alia</w:t>
      </w:r>
      <w:r w:rsidR="005F0AEA" w:rsidRPr="00BD1673">
        <w:t xml:space="preserve"> exercise its powers to serve the legitimate purpose</w:t>
      </w:r>
      <w:r w:rsidR="005F0AEA" w:rsidRPr="00BD1673">
        <w:rPr>
          <w:rStyle w:val="FootnoteReference"/>
          <w:rFonts w:cs="Arial"/>
          <w:szCs w:val="24"/>
        </w:rPr>
        <w:footnoteReference w:id="23"/>
      </w:r>
      <w:r w:rsidR="005F0AEA" w:rsidRPr="00BD1673">
        <w:t xml:space="preserve"> of those powers, the executive may not exercise the powers that have been conferred upon it in a manner that is irrational</w:t>
      </w:r>
      <w:r w:rsidR="005F0AEA" w:rsidRPr="00BD1673">
        <w:rPr>
          <w:rStyle w:val="FootnoteReference"/>
          <w:rFonts w:cs="Arial"/>
          <w:szCs w:val="24"/>
        </w:rPr>
        <w:footnoteReference w:id="24"/>
      </w:r>
      <w:r w:rsidR="005F0AEA" w:rsidRPr="00BD1673">
        <w:t>, and the executive must exercise its powers diligently and without undue delay.</w:t>
      </w:r>
      <w:r w:rsidR="005F0AEA" w:rsidRPr="00BD1673">
        <w:rPr>
          <w:rStyle w:val="FootnoteReference"/>
          <w:rFonts w:cs="Arial"/>
          <w:szCs w:val="24"/>
        </w:rPr>
        <w:footnoteReference w:id="25"/>
      </w:r>
    </w:p>
    <w:p w14:paraId="316AA722" w14:textId="02BAD879" w:rsidR="005F0AEA" w:rsidRPr="00BD1673" w:rsidRDefault="00890EE4" w:rsidP="00890EE4">
      <w:pPr>
        <w:pStyle w:val="1"/>
        <w:numPr>
          <w:ilvl w:val="0"/>
          <w:numId w:val="0"/>
        </w:numPr>
        <w:tabs>
          <w:tab w:val="left" w:pos="567"/>
        </w:tabs>
        <w:spacing w:line="360" w:lineRule="auto"/>
        <w:ind w:left="567" w:hanging="567"/>
      </w:pPr>
      <w:r w:rsidRPr="00BD1673">
        <w:rPr>
          <w:rFonts w:cs="Arial"/>
          <w:szCs w:val="24"/>
        </w:rPr>
        <w:t>[60]</w:t>
      </w:r>
      <w:r w:rsidRPr="00BD1673">
        <w:rPr>
          <w:rFonts w:cs="Arial"/>
          <w:szCs w:val="24"/>
        </w:rPr>
        <w:tab/>
      </w:r>
      <w:r w:rsidR="005F0AEA" w:rsidRPr="00BD1673">
        <w:t>The principle of legality requires that every exercise of power, at a minimum</w:t>
      </w:r>
      <w:r w:rsidR="005F0AEA">
        <w:t>,</w:t>
      </w:r>
      <w:r w:rsidR="005F0AEA" w:rsidRPr="00BD1673">
        <w:t xml:space="preserve"> must be rational.</w:t>
      </w:r>
      <w:r w:rsidR="005F0AEA" w:rsidRPr="00BD1673">
        <w:rPr>
          <w:rStyle w:val="FootnoteReference"/>
          <w:rFonts w:cs="Arial"/>
          <w:szCs w:val="24"/>
        </w:rPr>
        <w:footnoteReference w:id="26"/>
      </w:r>
      <w:r w:rsidR="005F0AEA" w:rsidRPr="00BD1673">
        <w:t xml:space="preserve"> In </w:t>
      </w:r>
      <w:r w:rsidR="005F0AEA" w:rsidRPr="00BD1673">
        <w:rPr>
          <w:i/>
        </w:rPr>
        <w:t>Khosa v Minister of Social Development</w:t>
      </w:r>
      <w:r w:rsidR="005F0AEA" w:rsidRPr="00BD1673">
        <w:rPr>
          <w:rStyle w:val="FootnoteReference"/>
          <w:rFonts w:cs="Arial"/>
          <w:szCs w:val="24"/>
        </w:rPr>
        <w:footnoteReference w:id="27"/>
      </w:r>
      <w:r w:rsidR="005F0AEA" w:rsidRPr="00BD1673">
        <w:t xml:space="preserve"> the Court stated that:</w:t>
      </w:r>
    </w:p>
    <w:p w14:paraId="639A8F41" w14:textId="7BDAB9F0" w:rsidR="005F0AEA" w:rsidRPr="00F2519F" w:rsidRDefault="005F0AEA" w:rsidP="00F2519F">
      <w:pPr>
        <w:pStyle w:val="1"/>
        <w:numPr>
          <w:ilvl w:val="0"/>
          <w:numId w:val="0"/>
        </w:numPr>
        <w:spacing w:line="360" w:lineRule="auto"/>
        <w:ind w:left="851" w:right="851"/>
        <w:rPr>
          <w:szCs w:val="24"/>
        </w:rPr>
      </w:pPr>
      <w:r w:rsidRPr="00F2519F">
        <w:rPr>
          <w:szCs w:val="24"/>
        </w:rPr>
        <w:t>‘The test for rationality is a relatively low one. As long as the government purpose is legitimate and the connection between the law and the government purpose is rational and not arbitrary, the test will have been met’.</w:t>
      </w:r>
    </w:p>
    <w:p w14:paraId="3D91D3E2" w14:textId="060ED981" w:rsidR="00463413" w:rsidRPr="00463413" w:rsidRDefault="00890EE4" w:rsidP="00890EE4">
      <w:pPr>
        <w:pStyle w:val="1"/>
        <w:numPr>
          <w:ilvl w:val="0"/>
          <w:numId w:val="0"/>
        </w:numPr>
        <w:tabs>
          <w:tab w:val="left" w:pos="567"/>
        </w:tabs>
        <w:spacing w:line="360" w:lineRule="auto"/>
        <w:ind w:left="567" w:hanging="567"/>
        <w:rPr>
          <w:lang w:val="en-ZA"/>
        </w:rPr>
      </w:pPr>
      <w:r w:rsidRPr="00463413">
        <w:rPr>
          <w:rFonts w:cs="Arial"/>
          <w:szCs w:val="24"/>
          <w:lang w:val="en-ZA"/>
        </w:rPr>
        <w:t>[61]</w:t>
      </w:r>
      <w:r w:rsidRPr="00463413">
        <w:rPr>
          <w:rFonts w:cs="Arial"/>
          <w:szCs w:val="24"/>
          <w:lang w:val="en-ZA"/>
        </w:rPr>
        <w:tab/>
      </w:r>
      <w:r w:rsidR="005F0AEA" w:rsidRPr="00BD1673">
        <w:t xml:space="preserve">These are the benchmarks, under the principle of legality, in which the executive </w:t>
      </w:r>
      <w:r w:rsidR="005F0AEA" w:rsidRPr="00BD1673">
        <w:lastRenderedPageBreak/>
        <w:t xml:space="preserve">powers ought to be exercised. </w:t>
      </w:r>
      <w:r w:rsidR="00FD1DB9" w:rsidRPr="00463413">
        <w:rPr>
          <w:rFonts w:cs="Arial"/>
          <w:szCs w:val="24"/>
          <w:lang w:eastAsia="en-US"/>
        </w:rPr>
        <w:t xml:space="preserve">The discussion above signals that there are no </w:t>
      </w:r>
      <w:r w:rsidR="00F2519F">
        <w:rPr>
          <w:rFonts w:cs="Arial"/>
          <w:szCs w:val="24"/>
          <w:lang w:eastAsia="en-US"/>
        </w:rPr>
        <w:t>definite</w:t>
      </w:r>
      <w:r w:rsidR="00FD1DB9" w:rsidRPr="00463413">
        <w:rPr>
          <w:rFonts w:cs="Arial"/>
          <w:szCs w:val="24"/>
          <w:lang w:eastAsia="en-US"/>
        </w:rPr>
        <w:t xml:space="preserve"> answers or solutions to the present case. Therefore, this Court </w:t>
      </w:r>
      <w:r w:rsidR="0085397D" w:rsidRPr="00463413">
        <w:rPr>
          <w:rFonts w:cs="Arial"/>
          <w:szCs w:val="24"/>
          <w:lang w:eastAsia="en-US"/>
        </w:rPr>
        <w:t>needs</w:t>
      </w:r>
      <w:r w:rsidR="00570B03" w:rsidRPr="00463413">
        <w:rPr>
          <w:rFonts w:cs="Arial"/>
          <w:szCs w:val="24"/>
          <w:lang w:eastAsia="en-US"/>
        </w:rPr>
        <w:t xml:space="preserve"> to</w:t>
      </w:r>
      <w:r w:rsidR="00FD1DB9" w:rsidRPr="00463413">
        <w:rPr>
          <w:rFonts w:cs="Arial"/>
          <w:szCs w:val="24"/>
          <w:lang w:eastAsia="en-US"/>
        </w:rPr>
        <w:t xml:space="preserve"> adopt a holistic approach in line with the applicable legal principles to dispose of the legal issues</w:t>
      </w:r>
      <w:r w:rsidR="00CC34CD" w:rsidRPr="00463413">
        <w:rPr>
          <w:rFonts w:cs="Arial"/>
          <w:szCs w:val="24"/>
          <w:lang w:eastAsia="en-US"/>
        </w:rPr>
        <w:t xml:space="preserve"> raised before it</w:t>
      </w:r>
      <w:r w:rsidR="00FD1DB9" w:rsidRPr="00463413">
        <w:rPr>
          <w:rFonts w:cs="Arial"/>
          <w:szCs w:val="24"/>
          <w:lang w:eastAsia="en-US"/>
        </w:rPr>
        <w:t>.</w:t>
      </w:r>
      <w:r w:rsidR="007C6FF3" w:rsidRPr="00463413">
        <w:rPr>
          <w:rFonts w:cs="Arial"/>
          <w:szCs w:val="24"/>
          <w:lang w:eastAsia="en-US"/>
        </w:rPr>
        <w:t xml:space="preserve"> </w:t>
      </w:r>
    </w:p>
    <w:p w14:paraId="73784F1B" w14:textId="2C5CFAD0" w:rsidR="00B574D9" w:rsidRPr="00463413" w:rsidRDefault="00890EE4" w:rsidP="00890EE4">
      <w:pPr>
        <w:pStyle w:val="1"/>
        <w:numPr>
          <w:ilvl w:val="0"/>
          <w:numId w:val="0"/>
        </w:numPr>
        <w:tabs>
          <w:tab w:val="left" w:pos="567"/>
        </w:tabs>
        <w:spacing w:line="360" w:lineRule="auto"/>
        <w:ind w:left="567" w:hanging="567"/>
        <w:rPr>
          <w:lang w:val="en-ZA"/>
        </w:rPr>
      </w:pPr>
      <w:r w:rsidRPr="00463413">
        <w:rPr>
          <w:rFonts w:cs="Arial"/>
          <w:szCs w:val="24"/>
          <w:lang w:val="en-ZA"/>
        </w:rPr>
        <w:t>[62]</w:t>
      </w:r>
      <w:r w:rsidRPr="00463413">
        <w:rPr>
          <w:rFonts w:cs="Arial"/>
          <w:szCs w:val="24"/>
          <w:lang w:val="en-ZA"/>
        </w:rPr>
        <w:tab/>
      </w:r>
      <w:r w:rsidR="00FD1DB9" w:rsidRPr="00463413">
        <w:rPr>
          <w:rFonts w:cs="Arial"/>
          <w:szCs w:val="24"/>
          <w:lang w:eastAsia="en-US"/>
        </w:rPr>
        <w:t>I now turn to consider the circumstances of this case taking into consideration the</w:t>
      </w:r>
      <w:r w:rsidR="00D42718" w:rsidRPr="00463413">
        <w:rPr>
          <w:rFonts w:cs="Arial"/>
          <w:szCs w:val="24"/>
          <w:lang w:eastAsia="en-US"/>
        </w:rPr>
        <w:t xml:space="preserve"> oral and written</w:t>
      </w:r>
      <w:r w:rsidR="00FD1DB9" w:rsidRPr="00463413">
        <w:rPr>
          <w:rFonts w:cs="Arial"/>
          <w:szCs w:val="24"/>
          <w:lang w:eastAsia="en-US"/>
        </w:rPr>
        <w:t xml:space="preserve"> submissions of the parties</w:t>
      </w:r>
      <w:r w:rsidR="00D42718" w:rsidRPr="00463413">
        <w:rPr>
          <w:rFonts w:cs="Arial"/>
          <w:szCs w:val="24"/>
          <w:lang w:eastAsia="en-US"/>
        </w:rPr>
        <w:t xml:space="preserve"> </w:t>
      </w:r>
      <w:r w:rsidR="00FD1DB9" w:rsidRPr="00463413">
        <w:rPr>
          <w:rFonts w:cs="Arial"/>
          <w:szCs w:val="24"/>
          <w:lang w:eastAsia="en-US"/>
        </w:rPr>
        <w:t xml:space="preserve">before this Court to ascertain whether this Court may grant the relief sought by the Applicants. </w:t>
      </w:r>
    </w:p>
    <w:p w14:paraId="7326D4D9" w14:textId="5D6D60A2" w:rsidR="00FB04CC" w:rsidRPr="00285CDE" w:rsidRDefault="00121EB8" w:rsidP="00D35B9C">
      <w:pPr>
        <w:pStyle w:val="1"/>
        <w:numPr>
          <w:ilvl w:val="0"/>
          <w:numId w:val="0"/>
        </w:numPr>
        <w:spacing w:line="360" w:lineRule="auto"/>
        <w:rPr>
          <w:b/>
          <w:bCs/>
        </w:rPr>
      </w:pPr>
      <w:r w:rsidRPr="00285CDE">
        <w:rPr>
          <w:b/>
          <w:bCs/>
        </w:rPr>
        <w:t>APPLICA</w:t>
      </w:r>
      <w:r w:rsidR="00FB04CC" w:rsidRPr="00285CDE">
        <w:rPr>
          <w:b/>
          <w:bCs/>
        </w:rPr>
        <w:t>NTS</w:t>
      </w:r>
      <w:r w:rsidR="00463413">
        <w:rPr>
          <w:b/>
          <w:bCs/>
        </w:rPr>
        <w:t>’</w:t>
      </w:r>
      <w:r w:rsidR="00FB04CC" w:rsidRPr="00285CDE">
        <w:rPr>
          <w:b/>
          <w:bCs/>
        </w:rPr>
        <w:t xml:space="preserve"> SUBMISSIONS  </w:t>
      </w:r>
    </w:p>
    <w:p w14:paraId="7B587FFC" w14:textId="52DD40A9" w:rsidR="00E67EFD" w:rsidRPr="00285CDE" w:rsidRDefault="00E67EFD" w:rsidP="00EE76E7">
      <w:pPr>
        <w:pStyle w:val="1"/>
        <w:numPr>
          <w:ilvl w:val="0"/>
          <w:numId w:val="0"/>
        </w:numPr>
        <w:spacing w:line="360" w:lineRule="auto"/>
        <w:rPr>
          <w:i/>
          <w:iCs w:val="0"/>
          <w:u w:val="single"/>
        </w:rPr>
      </w:pPr>
      <w:r w:rsidRPr="00285CDE">
        <w:rPr>
          <w:i/>
          <w:iCs w:val="0"/>
          <w:u w:val="single"/>
        </w:rPr>
        <w:t xml:space="preserve">Locus standi </w:t>
      </w:r>
    </w:p>
    <w:p w14:paraId="75DFF6E5" w14:textId="7F1D9152" w:rsidR="00875056" w:rsidRPr="00285CDE" w:rsidRDefault="00890EE4" w:rsidP="00890EE4">
      <w:pPr>
        <w:pStyle w:val="1"/>
        <w:numPr>
          <w:ilvl w:val="0"/>
          <w:numId w:val="0"/>
        </w:numPr>
        <w:tabs>
          <w:tab w:val="left" w:pos="567"/>
        </w:tabs>
        <w:spacing w:line="360" w:lineRule="auto"/>
        <w:ind w:left="567" w:hanging="567"/>
      </w:pPr>
      <w:r w:rsidRPr="00285CDE">
        <w:rPr>
          <w:rFonts w:cs="Arial"/>
          <w:szCs w:val="24"/>
        </w:rPr>
        <w:t>[63]</w:t>
      </w:r>
      <w:r w:rsidRPr="00285CDE">
        <w:rPr>
          <w:rFonts w:cs="Arial"/>
          <w:szCs w:val="24"/>
        </w:rPr>
        <w:tab/>
      </w:r>
      <w:r w:rsidR="007774CD" w:rsidRPr="00285CDE">
        <w:t>The Applicant</w:t>
      </w:r>
      <w:r w:rsidR="00E67EFD" w:rsidRPr="00285CDE">
        <w:t xml:space="preserve">s argued that </w:t>
      </w:r>
      <w:r w:rsidR="00B26090" w:rsidRPr="00285CDE">
        <w:t>the BRP</w:t>
      </w:r>
      <w:r w:rsidR="00C80758" w:rsidRPr="00285CDE">
        <w:t xml:space="preserve"> has </w:t>
      </w:r>
      <w:r w:rsidR="00D42718" w:rsidRPr="00285CDE">
        <w:rPr>
          <w:i/>
          <w:iCs w:val="0"/>
        </w:rPr>
        <w:t>locus standi</w:t>
      </w:r>
      <w:r w:rsidR="00D42718" w:rsidRPr="00285CDE">
        <w:t xml:space="preserve"> </w:t>
      </w:r>
      <w:r w:rsidR="00C80758" w:rsidRPr="00285CDE">
        <w:t>as</w:t>
      </w:r>
      <w:r w:rsidR="00B26090" w:rsidRPr="00285CDE">
        <w:t xml:space="preserve"> </w:t>
      </w:r>
      <w:r w:rsidR="00E67EFD" w:rsidRPr="00285CDE">
        <w:t xml:space="preserve">an officer of the court </w:t>
      </w:r>
      <w:r w:rsidR="00C80758" w:rsidRPr="00285CDE">
        <w:t>under section 140(3)(a) of the Companies Act because he is</w:t>
      </w:r>
      <w:r w:rsidR="00E67EFD" w:rsidRPr="00285CDE">
        <w:t xml:space="preserve"> required to report to the court during business re</w:t>
      </w:r>
      <w:r w:rsidR="00B26090" w:rsidRPr="00285CDE">
        <w:t>scu</w:t>
      </w:r>
      <w:r w:rsidR="00E67EFD" w:rsidRPr="00285CDE">
        <w:t>e proceedings</w:t>
      </w:r>
      <w:r w:rsidR="00C80758" w:rsidRPr="00285CDE">
        <w:t>.</w:t>
      </w:r>
      <w:r w:rsidR="00B26090" w:rsidRPr="00285CDE">
        <w:rPr>
          <w:rStyle w:val="FootnoteReference"/>
        </w:rPr>
        <w:footnoteReference w:id="28"/>
      </w:r>
      <w:r w:rsidR="00B26090" w:rsidRPr="00285CDE">
        <w:t xml:space="preserve"> </w:t>
      </w:r>
      <w:r w:rsidR="00C80758" w:rsidRPr="00285CDE">
        <w:t>Further, they argued that the BRP under section 140(3)(b)</w:t>
      </w:r>
      <w:r w:rsidR="00C80758" w:rsidRPr="00285CDE">
        <w:rPr>
          <w:rStyle w:val="FootnoteReference"/>
        </w:rPr>
        <w:footnoteReference w:id="29"/>
      </w:r>
      <w:r w:rsidR="00C80758" w:rsidRPr="00285CDE">
        <w:t xml:space="preserve"> </w:t>
      </w:r>
      <w:r w:rsidR="00D42718" w:rsidRPr="00285CDE">
        <w:t xml:space="preserve">of the Companies Act </w:t>
      </w:r>
      <w:r w:rsidR="00B26090" w:rsidRPr="00285CDE">
        <w:t>is mandated</w:t>
      </w:r>
      <w:r w:rsidR="00E67EFD" w:rsidRPr="00285CDE">
        <w:t xml:space="preserve"> to</w:t>
      </w:r>
      <w:r w:rsidR="00193DF6" w:rsidRPr="00285CDE">
        <w:t xml:space="preserve"> act in the best interest of the company with skill and diligence to</w:t>
      </w:r>
      <w:r w:rsidR="00E67EFD" w:rsidRPr="00285CDE">
        <w:t xml:space="preserve"> “</w:t>
      </w:r>
      <w:r w:rsidR="00E67EFD" w:rsidRPr="00AA7DE3">
        <w:rPr>
          <w:i/>
          <w:iCs w:val="0"/>
        </w:rPr>
        <w:t>fulfil his responsibilities as such as a director of a company</w:t>
      </w:r>
      <w:r w:rsidR="00E67EFD" w:rsidRPr="00285CDE">
        <w:t>” as envisaged in section 76(3)(b)(c)</w:t>
      </w:r>
      <w:r w:rsidR="00C80758" w:rsidRPr="00285CDE">
        <w:rPr>
          <w:rStyle w:val="FootnoteReference"/>
        </w:rPr>
        <w:footnoteReference w:id="30"/>
      </w:r>
      <w:r w:rsidR="00E67EFD" w:rsidRPr="00285CDE">
        <w:t xml:space="preserve"> of the </w:t>
      </w:r>
      <w:r w:rsidR="007F4BCD" w:rsidRPr="00285CDE">
        <w:t xml:space="preserve">Companies </w:t>
      </w:r>
      <w:r w:rsidR="00B26090" w:rsidRPr="00285CDE">
        <w:t>Act</w:t>
      </w:r>
      <w:r w:rsidR="00E67EFD" w:rsidRPr="00285CDE">
        <w:t xml:space="preserve">. </w:t>
      </w:r>
    </w:p>
    <w:p w14:paraId="665DD48C" w14:textId="24983B09" w:rsidR="00F37437" w:rsidRPr="00285CDE" w:rsidRDefault="00890EE4" w:rsidP="00890EE4">
      <w:pPr>
        <w:pStyle w:val="1"/>
        <w:numPr>
          <w:ilvl w:val="0"/>
          <w:numId w:val="0"/>
        </w:numPr>
        <w:tabs>
          <w:tab w:val="left" w:pos="567"/>
        </w:tabs>
        <w:spacing w:line="360" w:lineRule="auto"/>
        <w:ind w:left="567" w:hanging="567"/>
      </w:pPr>
      <w:r w:rsidRPr="00285CDE">
        <w:rPr>
          <w:rFonts w:cs="Arial"/>
          <w:szCs w:val="24"/>
        </w:rPr>
        <w:t>[64]</w:t>
      </w:r>
      <w:r w:rsidRPr="00285CDE">
        <w:rPr>
          <w:rFonts w:cs="Arial"/>
          <w:szCs w:val="24"/>
        </w:rPr>
        <w:tab/>
      </w:r>
      <w:r w:rsidR="00193DF6" w:rsidRPr="00285CDE">
        <w:t xml:space="preserve">Furthermore, the Applicants contended that once a business plan </w:t>
      </w:r>
      <w:r w:rsidR="00AA7DE3">
        <w:t xml:space="preserve">is </w:t>
      </w:r>
      <w:r w:rsidR="00193DF6" w:rsidRPr="00285CDE">
        <w:t xml:space="preserve">adopted, it </w:t>
      </w:r>
      <w:r w:rsidR="00AA7DE3">
        <w:t>i</w:t>
      </w:r>
      <w:r w:rsidR="00193DF6" w:rsidRPr="00285CDE">
        <w:t>s binding on the company, its creditors, and shareholders regardless of whether they voted in favour of the adopted plan at the meeting</w:t>
      </w:r>
      <w:r w:rsidR="00B41D78" w:rsidRPr="00285CDE">
        <w:t xml:space="preserve"> as per the provisions of the Companies Act</w:t>
      </w:r>
      <w:r w:rsidR="00193DF6" w:rsidRPr="00285CDE">
        <w:t>. Based on this, the Applicants argued that SAA, as a shareholder of Mango Airline</w:t>
      </w:r>
      <w:r w:rsidR="000378F7">
        <w:t>s</w:t>
      </w:r>
      <w:r w:rsidR="00193DF6" w:rsidRPr="00285CDE">
        <w:t>, is bound by the amended business rescue plan.</w:t>
      </w:r>
    </w:p>
    <w:p w14:paraId="19109F1D" w14:textId="4C66F37F" w:rsidR="00690718" w:rsidRPr="00285CDE" w:rsidRDefault="00890EE4" w:rsidP="00890EE4">
      <w:pPr>
        <w:pStyle w:val="1"/>
        <w:numPr>
          <w:ilvl w:val="0"/>
          <w:numId w:val="0"/>
        </w:numPr>
        <w:tabs>
          <w:tab w:val="left" w:pos="567"/>
        </w:tabs>
        <w:spacing w:line="360" w:lineRule="auto"/>
        <w:ind w:left="567" w:hanging="567"/>
      </w:pPr>
      <w:r w:rsidRPr="00285CDE">
        <w:rPr>
          <w:rFonts w:cs="Arial"/>
          <w:szCs w:val="24"/>
        </w:rPr>
        <w:lastRenderedPageBreak/>
        <w:t>[65]</w:t>
      </w:r>
      <w:r w:rsidRPr="00285CDE">
        <w:rPr>
          <w:rFonts w:cs="Arial"/>
          <w:szCs w:val="24"/>
        </w:rPr>
        <w:tab/>
      </w:r>
      <w:r w:rsidR="004F7A61" w:rsidRPr="00285CDE">
        <w:t>In addition, the Applicants submit</w:t>
      </w:r>
      <w:r w:rsidR="009F3858" w:rsidRPr="00285CDE">
        <w:t xml:space="preserve">ted </w:t>
      </w:r>
      <w:r w:rsidR="004F7A61" w:rsidRPr="00285CDE">
        <w:t>that the</w:t>
      </w:r>
      <w:r w:rsidR="00ED29DB" w:rsidRPr="00285CDE">
        <w:t xml:space="preserve"> BRP</w:t>
      </w:r>
      <w:r w:rsidR="004F7A61" w:rsidRPr="00285CDE">
        <w:t xml:space="preserve"> ha</w:t>
      </w:r>
      <w:r w:rsidR="00ED29DB" w:rsidRPr="00285CDE">
        <w:t>s</w:t>
      </w:r>
      <w:r w:rsidR="004F7A61" w:rsidRPr="00285CDE">
        <w:t xml:space="preserve"> </w:t>
      </w:r>
      <w:r w:rsidR="004F7A61" w:rsidRPr="00285CDE">
        <w:rPr>
          <w:i/>
          <w:iCs w:val="0"/>
        </w:rPr>
        <w:t>locus standi</w:t>
      </w:r>
      <w:r w:rsidR="004F7A61" w:rsidRPr="00285CDE">
        <w:t xml:space="preserve"> </w:t>
      </w:r>
      <w:r w:rsidR="00ED29DB" w:rsidRPr="00285CDE">
        <w:t>because he</w:t>
      </w:r>
      <w:r w:rsidR="004F7A61" w:rsidRPr="00285CDE">
        <w:t xml:space="preserve"> has full management </w:t>
      </w:r>
      <w:r w:rsidR="00ED29DB" w:rsidRPr="00285CDE">
        <w:t xml:space="preserve">and </w:t>
      </w:r>
      <w:r w:rsidR="004F7A61" w:rsidRPr="00285CDE">
        <w:t>control of Mango Airline</w:t>
      </w:r>
      <w:r w:rsidR="000378F7">
        <w:t>s</w:t>
      </w:r>
      <w:r w:rsidR="004F7A61" w:rsidRPr="00285CDE">
        <w:t xml:space="preserve"> as opposed to the Board of Directors as per</w:t>
      </w:r>
      <w:r w:rsidR="007F5A1E">
        <w:t xml:space="preserve"> the</w:t>
      </w:r>
      <w:r w:rsidR="004F7A61" w:rsidRPr="00285CDE">
        <w:t xml:space="preserve"> provisions of section 140(1)(a)</w:t>
      </w:r>
      <w:r w:rsidR="004F7A61" w:rsidRPr="00285CDE">
        <w:rPr>
          <w:rStyle w:val="FootnoteReference"/>
        </w:rPr>
        <w:footnoteReference w:id="31"/>
      </w:r>
      <w:r w:rsidR="004F7A61" w:rsidRPr="00285CDE">
        <w:t xml:space="preserve"> of the Companies Act. </w:t>
      </w:r>
      <w:r w:rsidR="00ED29DB" w:rsidRPr="00285CDE">
        <w:t>F</w:t>
      </w:r>
      <w:r w:rsidR="009F3858" w:rsidRPr="00285CDE">
        <w:t xml:space="preserve">urther, the Applicants argued that the BRP is responsible for the implementation of the </w:t>
      </w:r>
      <w:r w:rsidR="00411626" w:rsidRPr="00285CDE">
        <w:t>revised business</w:t>
      </w:r>
      <w:r w:rsidR="009F3858" w:rsidRPr="00285CDE">
        <w:t xml:space="preserve"> rescue plan that was adopted by the affected parties as per section 140(1)(d) of the Companies Act.</w:t>
      </w:r>
      <w:r w:rsidR="009F3858" w:rsidRPr="00285CDE">
        <w:rPr>
          <w:rStyle w:val="FootnoteReference"/>
        </w:rPr>
        <w:footnoteReference w:id="32"/>
      </w:r>
    </w:p>
    <w:p w14:paraId="6A2EEAFF" w14:textId="1B5FFC83" w:rsidR="001B6995" w:rsidRPr="00285CDE" w:rsidRDefault="00890EE4" w:rsidP="00890EE4">
      <w:pPr>
        <w:pStyle w:val="1"/>
        <w:numPr>
          <w:ilvl w:val="0"/>
          <w:numId w:val="0"/>
        </w:numPr>
        <w:tabs>
          <w:tab w:val="left" w:pos="567"/>
        </w:tabs>
        <w:spacing w:line="360" w:lineRule="auto"/>
        <w:ind w:left="567" w:hanging="567"/>
      </w:pPr>
      <w:r w:rsidRPr="00285CDE">
        <w:rPr>
          <w:rFonts w:cs="Arial"/>
          <w:szCs w:val="24"/>
        </w:rPr>
        <w:t>[66]</w:t>
      </w:r>
      <w:r w:rsidRPr="00285CDE">
        <w:rPr>
          <w:rFonts w:cs="Arial"/>
          <w:szCs w:val="24"/>
        </w:rPr>
        <w:tab/>
      </w:r>
      <w:r w:rsidR="00411626" w:rsidRPr="00285CDE">
        <w:t xml:space="preserve">Relying on </w:t>
      </w:r>
      <w:r w:rsidR="001B6995" w:rsidRPr="00285CDE">
        <w:rPr>
          <w:i/>
          <w:iCs w:val="0"/>
        </w:rPr>
        <w:t>Commissioner for the South African Revenue Services v Louis Pasteur Investments (Pty) Ltd and Others</w:t>
      </w:r>
      <w:r w:rsidR="001B6995" w:rsidRPr="00BF699E">
        <w:rPr>
          <w:rStyle w:val="FootnoteReference"/>
        </w:rPr>
        <w:footnoteReference w:id="33"/>
      </w:r>
      <w:r w:rsidR="00B14398" w:rsidRPr="00285CDE">
        <w:t>, the Applicants</w:t>
      </w:r>
      <w:r w:rsidR="001B6995" w:rsidRPr="00285CDE">
        <w:rPr>
          <w:i/>
          <w:iCs w:val="0"/>
        </w:rPr>
        <w:t xml:space="preserve"> inter alia</w:t>
      </w:r>
      <w:r w:rsidR="00B14398" w:rsidRPr="00285CDE">
        <w:rPr>
          <w:i/>
          <w:iCs w:val="0"/>
        </w:rPr>
        <w:t xml:space="preserve"> </w:t>
      </w:r>
      <w:r w:rsidR="00B14398" w:rsidRPr="00285CDE">
        <w:t>argued that the BR</w:t>
      </w:r>
      <w:r w:rsidR="001B6995" w:rsidRPr="00285CDE">
        <w:t xml:space="preserve">P must as soon as possible take steps </w:t>
      </w:r>
      <w:r w:rsidR="00A96ED7" w:rsidRPr="00285CDE">
        <w:t>t</w:t>
      </w:r>
      <w:r w:rsidR="001B6995" w:rsidRPr="00285CDE">
        <w:t>o ensure that Mango Airline</w:t>
      </w:r>
      <w:r w:rsidR="000378F7">
        <w:t>s</w:t>
      </w:r>
      <w:r w:rsidR="001B6995" w:rsidRPr="00285CDE">
        <w:t xml:space="preserve"> is rescued.</w:t>
      </w:r>
    </w:p>
    <w:p w14:paraId="07A36333" w14:textId="321452D5" w:rsidR="007F5A1E" w:rsidRDefault="00B41D78" w:rsidP="00EE76E7">
      <w:pPr>
        <w:pStyle w:val="1"/>
        <w:numPr>
          <w:ilvl w:val="0"/>
          <w:numId w:val="0"/>
        </w:numPr>
        <w:spacing w:line="360" w:lineRule="auto"/>
      </w:pPr>
      <w:r w:rsidRPr="00285CDE">
        <w:t>In light of the above</w:t>
      </w:r>
      <w:r w:rsidR="00AA7DE3">
        <w:t xml:space="preserve"> submissions</w:t>
      </w:r>
      <w:r w:rsidRPr="00285CDE">
        <w:t>, the Applicants argued that the BRP</w:t>
      </w:r>
      <w:r w:rsidR="004F7A61" w:rsidRPr="00285CDE">
        <w:t xml:space="preserve"> and SAA submitted the section 54(2) application to the PE </w:t>
      </w:r>
      <w:r w:rsidR="00C61F8A" w:rsidRPr="00285CDE">
        <w:t xml:space="preserve">Minister </w:t>
      </w:r>
      <w:r w:rsidR="004F7A61" w:rsidRPr="00285CDE">
        <w:t>for approval to sell S</w:t>
      </w:r>
      <w:r w:rsidR="00C61F8A" w:rsidRPr="00285CDE">
        <w:t>A</w:t>
      </w:r>
      <w:r w:rsidR="004F7A61" w:rsidRPr="00285CDE">
        <w:t>A shares in Mango Airline</w:t>
      </w:r>
      <w:r w:rsidR="000378F7">
        <w:t>s</w:t>
      </w:r>
      <w:r w:rsidR="004F7A61" w:rsidRPr="00285CDE">
        <w:t>, but a decision is not forthcoming. Based on this, the Applicants contend that the BRP</w:t>
      </w:r>
      <w:r w:rsidRPr="00285CDE">
        <w:t xml:space="preserve"> has </w:t>
      </w:r>
      <w:r w:rsidR="00AA7DE3">
        <w:t xml:space="preserve">the requisite </w:t>
      </w:r>
      <w:r w:rsidRPr="00285CDE">
        <w:t xml:space="preserve">standing to approach this Court </w:t>
      </w:r>
      <w:r w:rsidR="007F5A1E">
        <w:t>to seek</w:t>
      </w:r>
      <w:r w:rsidR="00690718" w:rsidRPr="00285CDE">
        <w:t xml:space="preserve"> appropriate relief when </w:t>
      </w:r>
      <w:r w:rsidR="007F5A1E">
        <w:t xml:space="preserve">the implementation of an amended business rescue plan is frustrated due to </w:t>
      </w:r>
      <w:r w:rsidR="00690718" w:rsidRPr="00285CDE">
        <w:t>unlawful conduct</w:t>
      </w:r>
      <w:r w:rsidR="007F5A1E">
        <w:t>.</w:t>
      </w:r>
    </w:p>
    <w:p w14:paraId="021F6961" w14:textId="17BB4DC6" w:rsidR="001B6995" w:rsidRPr="007F5A1E" w:rsidRDefault="001B6995" w:rsidP="00EE76E7">
      <w:pPr>
        <w:pStyle w:val="1"/>
        <w:numPr>
          <w:ilvl w:val="0"/>
          <w:numId w:val="0"/>
        </w:numPr>
        <w:spacing w:line="360" w:lineRule="auto"/>
        <w:rPr>
          <w:u w:val="single"/>
        </w:rPr>
      </w:pPr>
      <w:r w:rsidRPr="007F5A1E">
        <w:rPr>
          <w:u w:val="single"/>
        </w:rPr>
        <w:t xml:space="preserve">Section 54(2) Application under </w:t>
      </w:r>
      <w:r w:rsidR="00C61F8A" w:rsidRPr="007F5A1E">
        <w:rPr>
          <w:u w:val="single"/>
        </w:rPr>
        <w:t xml:space="preserve">the </w:t>
      </w:r>
      <w:r w:rsidRPr="007F5A1E">
        <w:rPr>
          <w:u w:val="single"/>
        </w:rPr>
        <w:t>PFMA</w:t>
      </w:r>
    </w:p>
    <w:p w14:paraId="03D35364" w14:textId="40F1E80C" w:rsidR="00DF0C54" w:rsidRPr="00285CDE" w:rsidRDefault="00890EE4" w:rsidP="00890EE4">
      <w:pPr>
        <w:pStyle w:val="1"/>
        <w:numPr>
          <w:ilvl w:val="0"/>
          <w:numId w:val="0"/>
        </w:numPr>
        <w:tabs>
          <w:tab w:val="left" w:pos="567"/>
        </w:tabs>
        <w:spacing w:line="360" w:lineRule="auto"/>
        <w:ind w:left="567" w:hanging="567"/>
        <w:rPr>
          <w:rFonts w:cs="Arial"/>
        </w:rPr>
      </w:pPr>
      <w:r w:rsidRPr="00285CDE">
        <w:rPr>
          <w:rFonts w:cs="Arial"/>
          <w:szCs w:val="24"/>
        </w:rPr>
        <w:t>[67]</w:t>
      </w:r>
      <w:r w:rsidRPr="00285CDE">
        <w:rPr>
          <w:rFonts w:cs="Arial"/>
          <w:szCs w:val="24"/>
        </w:rPr>
        <w:tab/>
      </w:r>
      <w:r w:rsidR="001B6995" w:rsidRPr="00285CDE">
        <w:t>The Applicants contend</w:t>
      </w:r>
      <w:r w:rsidR="00276FC5" w:rsidRPr="00285CDE">
        <w:t>ed</w:t>
      </w:r>
      <w:r w:rsidR="001B6995" w:rsidRPr="00285CDE">
        <w:t xml:space="preserve"> that it was common cause that the BRP played a significant role in the preparation </w:t>
      </w:r>
      <w:r w:rsidR="000378F7">
        <w:t>of</w:t>
      </w:r>
      <w:r w:rsidR="00AA7DE3">
        <w:t xml:space="preserve"> the business rescue plan</w:t>
      </w:r>
      <w:r w:rsidR="000378F7">
        <w:t xml:space="preserve"> </w:t>
      </w:r>
      <w:r w:rsidR="00276FC5" w:rsidRPr="00285CDE">
        <w:t xml:space="preserve">and </w:t>
      </w:r>
      <w:r w:rsidR="00DF0C54" w:rsidRPr="00285CDE">
        <w:t xml:space="preserve">ensuring that the </w:t>
      </w:r>
      <w:r w:rsidR="001B6995" w:rsidRPr="00285CDE">
        <w:t xml:space="preserve">business rescue </w:t>
      </w:r>
      <w:r w:rsidR="00276FC5" w:rsidRPr="00285CDE">
        <w:t xml:space="preserve">plan </w:t>
      </w:r>
      <w:r w:rsidR="00DF0C54" w:rsidRPr="00285CDE">
        <w:t>complies with section 54</w:t>
      </w:r>
      <w:r w:rsidR="007F5A1E">
        <w:t>(2)</w:t>
      </w:r>
      <w:r w:rsidR="00DF0C54" w:rsidRPr="00285CDE">
        <w:t xml:space="preserve"> of the PFMA </w:t>
      </w:r>
      <w:r w:rsidR="00276FC5" w:rsidRPr="00285CDE">
        <w:t>including ensuring that consensus was reached between the BRP and the Board of SAA</w:t>
      </w:r>
      <w:r w:rsidR="00C61F8A" w:rsidRPr="00285CDE">
        <w:t xml:space="preserve"> </w:t>
      </w:r>
      <w:r w:rsidR="00C61F8A" w:rsidRPr="00285CDE">
        <w:lastRenderedPageBreak/>
        <w:t>in</w:t>
      </w:r>
      <w:r w:rsidR="00DF0C54" w:rsidRPr="00285CDE">
        <w:t xml:space="preserve"> ironing </w:t>
      </w:r>
      <w:r w:rsidR="000378F7">
        <w:t xml:space="preserve">out </w:t>
      </w:r>
      <w:r w:rsidR="00DF0C54" w:rsidRPr="00285CDE">
        <w:t xml:space="preserve">the issues raised by the PE Minister. </w:t>
      </w:r>
      <w:r w:rsidR="00DF0C54" w:rsidRPr="00285CDE">
        <w:rPr>
          <w:rFonts w:cs="Arial"/>
        </w:rPr>
        <w:t>Based on this, the Applicants argued that they (</w:t>
      </w:r>
      <w:r w:rsidR="00DF0C54" w:rsidRPr="00285CDE">
        <w:rPr>
          <w:rFonts w:cs="Arial"/>
          <w:szCs w:val="24"/>
          <w:lang w:eastAsia="en-US"/>
        </w:rPr>
        <w:t>BRP and Mango Airline</w:t>
      </w:r>
      <w:r w:rsidR="000378F7">
        <w:rPr>
          <w:rFonts w:cs="Arial"/>
          <w:szCs w:val="24"/>
          <w:lang w:eastAsia="en-US"/>
        </w:rPr>
        <w:t>s</w:t>
      </w:r>
      <w:r w:rsidR="00DF0C54" w:rsidRPr="00285CDE">
        <w:rPr>
          <w:rFonts w:cs="Arial"/>
          <w:szCs w:val="24"/>
          <w:lang w:eastAsia="en-US"/>
        </w:rPr>
        <w:t>) “</w:t>
      </w:r>
      <w:r w:rsidR="00DF0C54" w:rsidRPr="00AA7DE3">
        <w:rPr>
          <w:rFonts w:cs="Arial"/>
          <w:i/>
          <w:iCs w:val="0"/>
          <w:szCs w:val="24"/>
          <w:lang w:eastAsia="en-US"/>
        </w:rPr>
        <w:t>are entitled and in fact have a duty to ensure that that rescue plan is substantially implemented according to its terms</w:t>
      </w:r>
      <w:r w:rsidR="00DF0C54" w:rsidRPr="00285CDE">
        <w:rPr>
          <w:rFonts w:cs="Arial"/>
          <w:szCs w:val="24"/>
          <w:lang w:eastAsia="en-US"/>
        </w:rPr>
        <w:t>”.</w:t>
      </w:r>
    </w:p>
    <w:p w14:paraId="250CACB7" w14:textId="6235B1C6" w:rsidR="00135C14" w:rsidRPr="00285CDE" w:rsidRDefault="00890EE4" w:rsidP="00890EE4">
      <w:pPr>
        <w:pStyle w:val="1"/>
        <w:numPr>
          <w:ilvl w:val="0"/>
          <w:numId w:val="0"/>
        </w:numPr>
        <w:tabs>
          <w:tab w:val="left" w:pos="567"/>
        </w:tabs>
        <w:spacing w:line="360" w:lineRule="auto"/>
        <w:ind w:left="567" w:hanging="567"/>
        <w:rPr>
          <w:rFonts w:cs="Arial"/>
        </w:rPr>
      </w:pPr>
      <w:r w:rsidRPr="00285CDE">
        <w:rPr>
          <w:rFonts w:cs="Arial"/>
          <w:szCs w:val="24"/>
        </w:rPr>
        <w:t>[68]</w:t>
      </w:r>
      <w:r w:rsidRPr="00285CDE">
        <w:rPr>
          <w:rFonts w:cs="Arial"/>
          <w:szCs w:val="24"/>
        </w:rPr>
        <w:tab/>
      </w:r>
      <w:r w:rsidR="00135C14" w:rsidRPr="00285CDE">
        <w:rPr>
          <w:rFonts w:cs="Arial"/>
          <w:szCs w:val="24"/>
          <w:lang w:eastAsia="en-US"/>
        </w:rPr>
        <w:t xml:space="preserve">As a result, the Applicants argued that </w:t>
      </w:r>
      <w:r w:rsidR="00135C14" w:rsidRPr="00285CDE">
        <w:rPr>
          <w:rFonts w:cs="Arial"/>
        </w:rPr>
        <w:t xml:space="preserve">the failure by SAA to compel the PE Minister to decide the fate of the section 54(2) application does not deprive them of the requisite legal standing to compel the PE Minister to make that decision. To this end, the Applicants asked this </w:t>
      </w:r>
      <w:r w:rsidR="00AA7DE3">
        <w:rPr>
          <w:rFonts w:cs="Arial"/>
        </w:rPr>
        <w:t>C</w:t>
      </w:r>
      <w:r w:rsidR="00135C14" w:rsidRPr="00285CDE">
        <w:rPr>
          <w:rFonts w:cs="Arial"/>
        </w:rPr>
        <w:t>ourt to recogni</w:t>
      </w:r>
      <w:r w:rsidR="00E10EB5">
        <w:rPr>
          <w:rFonts w:cs="Arial"/>
        </w:rPr>
        <w:t>s</w:t>
      </w:r>
      <w:r w:rsidR="00135C14" w:rsidRPr="00285CDE">
        <w:rPr>
          <w:rFonts w:cs="Arial"/>
        </w:rPr>
        <w:t xml:space="preserve">e their legal standing as per the terms of the adopted business rescue plan and </w:t>
      </w:r>
      <w:r w:rsidR="00135C14" w:rsidRPr="00285CDE">
        <w:rPr>
          <w:rFonts w:cs="Arial"/>
          <w:szCs w:val="24"/>
          <w:lang w:eastAsia="en-US"/>
        </w:rPr>
        <w:t>their interest in the implementation and finali</w:t>
      </w:r>
      <w:r w:rsidR="00E10EB5">
        <w:rPr>
          <w:rFonts w:cs="Arial"/>
          <w:szCs w:val="24"/>
          <w:lang w:eastAsia="en-US"/>
        </w:rPr>
        <w:t>sation</w:t>
      </w:r>
      <w:r w:rsidR="00135C14" w:rsidRPr="00285CDE">
        <w:rPr>
          <w:rFonts w:cs="Arial"/>
          <w:szCs w:val="24"/>
          <w:lang w:eastAsia="en-US"/>
        </w:rPr>
        <w:t xml:space="preserve"> of same. </w:t>
      </w:r>
    </w:p>
    <w:p w14:paraId="23C719D8" w14:textId="7AC7E8AA" w:rsidR="00135C14" w:rsidRPr="00285CDE" w:rsidRDefault="00890EE4" w:rsidP="00890EE4">
      <w:pPr>
        <w:pStyle w:val="1"/>
        <w:numPr>
          <w:ilvl w:val="0"/>
          <w:numId w:val="0"/>
        </w:numPr>
        <w:tabs>
          <w:tab w:val="left" w:pos="567"/>
        </w:tabs>
        <w:spacing w:line="360" w:lineRule="auto"/>
        <w:ind w:left="567" w:hanging="567"/>
        <w:rPr>
          <w:rFonts w:ascii="Times New Roman" w:hAnsi="Times New Roman"/>
          <w:szCs w:val="24"/>
          <w:lang w:eastAsia="en-US"/>
        </w:rPr>
      </w:pPr>
      <w:r w:rsidRPr="00285CDE">
        <w:rPr>
          <w:rFonts w:cs="Arial"/>
          <w:szCs w:val="24"/>
          <w:lang w:eastAsia="en-US"/>
        </w:rPr>
        <w:t>[69]</w:t>
      </w:r>
      <w:r w:rsidRPr="00285CDE">
        <w:rPr>
          <w:rFonts w:cs="Arial"/>
          <w:szCs w:val="24"/>
          <w:lang w:eastAsia="en-US"/>
        </w:rPr>
        <w:tab/>
      </w:r>
      <w:r w:rsidR="009B1501" w:rsidRPr="00285CDE">
        <w:t xml:space="preserve">The </w:t>
      </w:r>
      <w:r w:rsidR="009B1501" w:rsidRPr="00285CDE">
        <w:rPr>
          <w:rFonts w:cs="Arial"/>
          <w:szCs w:val="24"/>
        </w:rPr>
        <w:t xml:space="preserve">Applicants contended that there was no basis </w:t>
      </w:r>
      <w:r w:rsidR="00E10EB5">
        <w:rPr>
          <w:rFonts w:cs="Arial"/>
          <w:szCs w:val="24"/>
        </w:rPr>
        <w:t>for</w:t>
      </w:r>
      <w:r w:rsidR="009B1501" w:rsidRPr="00285CDE">
        <w:rPr>
          <w:rFonts w:cs="Arial"/>
          <w:szCs w:val="24"/>
        </w:rPr>
        <w:t xml:space="preserve"> object</w:t>
      </w:r>
      <w:r w:rsidR="00E10EB5">
        <w:rPr>
          <w:rFonts w:cs="Arial"/>
          <w:szCs w:val="24"/>
        </w:rPr>
        <w:t>ing</w:t>
      </w:r>
      <w:r w:rsidR="009B1501" w:rsidRPr="00285CDE">
        <w:rPr>
          <w:rFonts w:cs="Arial"/>
          <w:szCs w:val="24"/>
        </w:rPr>
        <w:t xml:space="preserve"> to the </w:t>
      </w:r>
      <w:r w:rsidR="00CD3FC5" w:rsidRPr="00285CDE">
        <w:rPr>
          <w:rFonts w:cs="Arial"/>
          <w:szCs w:val="24"/>
        </w:rPr>
        <w:t>BRP’s</w:t>
      </w:r>
      <w:r w:rsidR="009B1501" w:rsidRPr="00285CDE">
        <w:rPr>
          <w:rFonts w:cs="Arial"/>
          <w:szCs w:val="24"/>
        </w:rPr>
        <w:t xml:space="preserve"> standing </w:t>
      </w:r>
      <w:r w:rsidR="00973EF1" w:rsidRPr="00285CDE">
        <w:rPr>
          <w:rFonts w:cs="Arial"/>
          <w:szCs w:val="24"/>
        </w:rPr>
        <w:t>because there was no such objection when the BRP submitted the section 54(2) application in respect of</w:t>
      </w:r>
      <w:r w:rsidR="00AA7DE3">
        <w:rPr>
          <w:rFonts w:cs="Arial"/>
          <w:szCs w:val="24"/>
        </w:rPr>
        <w:t xml:space="preserve"> the</w:t>
      </w:r>
      <w:r w:rsidR="00973EF1" w:rsidRPr="00285CDE">
        <w:rPr>
          <w:rFonts w:cs="Arial"/>
          <w:szCs w:val="24"/>
        </w:rPr>
        <w:t xml:space="preserve"> </w:t>
      </w:r>
      <w:r w:rsidR="009B1501" w:rsidRPr="00285CDE">
        <w:rPr>
          <w:rFonts w:cs="Arial"/>
          <w:szCs w:val="24"/>
          <w:lang w:eastAsia="en-US"/>
        </w:rPr>
        <w:t xml:space="preserve">business rescue </w:t>
      </w:r>
      <w:r w:rsidR="00AA7DE3">
        <w:rPr>
          <w:rFonts w:cs="Arial"/>
          <w:szCs w:val="24"/>
          <w:lang w:eastAsia="en-US"/>
        </w:rPr>
        <w:t>proceeding</w:t>
      </w:r>
      <w:r w:rsidR="007F5A1E">
        <w:rPr>
          <w:rFonts w:cs="Arial"/>
          <w:szCs w:val="24"/>
          <w:lang w:eastAsia="en-US"/>
        </w:rPr>
        <w:t>s</w:t>
      </w:r>
      <w:r w:rsidR="00AA7DE3">
        <w:rPr>
          <w:rFonts w:cs="Arial"/>
          <w:szCs w:val="24"/>
          <w:lang w:eastAsia="en-US"/>
        </w:rPr>
        <w:t xml:space="preserve"> </w:t>
      </w:r>
      <w:r w:rsidR="009B1501" w:rsidRPr="00285CDE">
        <w:rPr>
          <w:rFonts w:cs="Arial"/>
          <w:szCs w:val="24"/>
          <w:lang w:eastAsia="en-US"/>
        </w:rPr>
        <w:t xml:space="preserve">of LMT Products (Pty) Ltd </w:t>
      </w:r>
      <w:r w:rsidR="00973EF1" w:rsidRPr="00285CDE">
        <w:rPr>
          <w:rFonts w:cs="Arial"/>
          <w:szCs w:val="24"/>
          <w:lang w:eastAsia="en-US"/>
        </w:rPr>
        <w:t>(LM</w:t>
      </w:r>
      <w:r w:rsidR="00AA7DE3">
        <w:rPr>
          <w:rFonts w:cs="Arial"/>
          <w:szCs w:val="24"/>
          <w:lang w:eastAsia="en-US"/>
        </w:rPr>
        <w:t>T</w:t>
      </w:r>
      <w:r w:rsidR="00973EF1" w:rsidRPr="00285CDE">
        <w:rPr>
          <w:rFonts w:cs="Arial"/>
          <w:szCs w:val="24"/>
          <w:lang w:eastAsia="en-US"/>
        </w:rPr>
        <w:t xml:space="preserve"> Products) a wholly-owned subsidiary of Denel. There, the Applicants argued that the PE Minister approved the application </w:t>
      </w:r>
      <w:r w:rsidR="009B1501" w:rsidRPr="00285CDE">
        <w:rPr>
          <w:rFonts w:cs="Arial"/>
          <w:szCs w:val="24"/>
          <w:lang w:eastAsia="en-US"/>
        </w:rPr>
        <w:t xml:space="preserve">without suggesting that </w:t>
      </w:r>
      <w:r w:rsidR="00C61F8A" w:rsidRPr="00285CDE">
        <w:rPr>
          <w:rFonts w:cs="Arial"/>
          <w:szCs w:val="24"/>
          <w:lang w:eastAsia="en-US"/>
        </w:rPr>
        <w:t>it wa</w:t>
      </w:r>
      <w:r w:rsidR="009B1501" w:rsidRPr="00285CDE">
        <w:rPr>
          <w:rFonts w:cs="Arial"/>
          <w:szCs w:val="24"/>
          <w:lang w:eastAsia="en-US"/>
        </w:rPr>
        <w:t xml:space="preserve">s </w:t>
      </w:r>
      <w:r w:rsidR="00973EF1" w:rsidRPr="00285CDE">
        <w:rPr>
          <w:rFonts w:cs="Arial"/>
          <w:szCs w:val="24"/>
          <w:lang w:eastAsia="en-US"/>
        </w:rPr>
        <w:t>not the BRP</w:t>
      </w:r>
      <w:r w:rsidR="009B1501" w:rsidRPr="00285CDE">
        <w:rPr>
          <w:rFonts w:cs="Arial"/>
          <w:szCs w:val="24"/>
          <w:lang w:eastAsia="en-US"/>
        </w:rPr>
        <w:t xml:space="preserve"> but Denel or LMT</w:t>
      </w:r>
      <w:r w:rsidR="00973EF1" w:rsidRPr="00285CDE">
        <w:rPr>
          <w:rFonts w:cs="Arial"/>
          <w:szCs w:val="24"/>
          <w:lang w:eastAsia="en-US"/>
        </w:rPr>
        <w:t xml:space="preserve"> Products</w:t>
      </w:r>
      <w:r w:rsidR="009B1501" w:rsidRPr="00285CDE">
        <w:rPr>
          <w:rFonts w:cs="Arial"/>
          <w:szCs w:val="24"/>
          <w:lang w:eastAsia="en-US"/>
        </w:rPr>
        <w:t xml:space="preserve"> that had to submit the application to him.</w:t>
      </w:r>
      <w:r w:rsidR="00973EF1" w:rsidRPr="00285CDE">
        <w:rPr>
          <w:rFonts w:cs="Arial"/>
          <w:szCs w:val="24"/>
          <w:lang w:eastAsia="en-US"/>
        </w:rPr>
        <w:t xml:space="preserve"> Based on this, the Applicants asked this Court to recognize their standing</w:t>
      </w:r>
      <w:r w:rsidR="009B1501" w:rsidRPr="00285CDE">
        <w:rPr>
          <w:rFonts w:cs="Arial"/>
          <w:szCs w:val="24"/>
          <w:lang w:eastAsia="en-US"/>
        </w:rPr>
        <w:t xml:space="preserve"> to bring t</w:t>
      </w:r>
      <w:r w:rsidR="00973EF1" w:rsidRPr="00285CDE">
        <w:rPr>
          <w:rFonts w:cs="Arial"/>
          <w:szCs w:val="24"/>
          <w:lang w:eastAsia="en-US"/>
        </w:rPr>
        <w:t xml:space="preserve">his </w:t>
      </w:r>
      <w:r w:rsidR="009B1501" w:rsidRPr="00285CDE">
        <w:rPr>
          <w:rFonts w:cs="Arial"/>
          <w:szCs w:val="24"/>
          <w:lang w:eastAsia="en-US"/>
        </w:rPr>
        <w:t>application</w:t>
      </w:r>
      <w:r w:rsidR="00BC4A92" w:rsidRPr="00285CDE">
        <w:rPr>
          <w:rFonts w:cs="Arial"/>
          <w:szCs w:val="24"/>
          <w:lang w:eastAsia="en-US"/>
        </w:rPr>
        <w:t>.</w:t>
      </w:r>
    </w:p>
    <w:p w14:paraId="131638CA" w14:textId="095A5AD3" w:rsidR="002A599E" w:rsidRPr="00285CDE" w:rsidRDefault="002A599E" w:rsidP="00EE76E7">
      <w:pPr>
        <w:pStyle w:val="1"/>
        <w:numPr>
          <w:ilvl w:val="0"/>
          <w:numId w:val="0"/>
        </w:numPr>
        <w:spacing w:line="360" w:lineRule="auto"/>
        <w:rPr>
          <w:rFonts w:cs="Arial"/>
          <w:szCs w:val="24"/>
          <w:u w:val="single"/>
          <w:lang w:eastAsia="en-US"/>
        </w:rPr>
      </w:pPr>
      <w:r w:rsidRPr="00285CDE">
        <w:rPr>
          <w:rFonts w:cs="Arial"/>
          <w:szCs w:val="24"/>
          <w:u w:val="single"/>
          <w:lang w:eastAsia="en-US"/>
        </w:rPr>
        <w:t xml:space="preserve">Interpretation of </w:t>
      </w:r>
      <w:r w:rsidR="005509B6" w:rsidRPr="00285CDE">
        <w:rPr>
          <w:rFonts w:cs="Arial"/>
          <w:szCs w:val="24"/>
          <w:u w:val="single"/>
          <w:lang w:eastAsia="en-US"/>
        </w:rPr>
        <w:t>sections</w:t>
      </w:r>
      <w:r w:rsidRPr="00285CDE">
        <w:rPr>
          <w:rFonts w:cs="Arial"/>
          <w:szCs w:val="24"/>
          <w:u w:val="single"/>
          <w:lang w:eastAsia="en-US"/>
        </w:rPr>
        <w:t xml:space="preserve"> 54(2) and (3) of the PFMA</w:t>
      </w:r>
    </w:p>
    <w:p w14:paraId="07FC18D0" w14:textId="6A29D797" w:rsidR="00503102" w:rsidRPr="00285CDE" w:rsidRDefault="00890EE4" w:rsidP="00890EE4">
      <w:pPr>
        <w:pStyle w:val="1"/>
        <w:numPr>
          <w:ilvl w:val="0"/>
          <w:numId w:val="0"/>
        </w:numPr>
        <w:tabs>
          <w:tab w:val="left" w:pos="567"/>
        </w:tabs>
        <w:spacing w:line="360" w:lineRule="auto"/>
        <w:ind w:left="567" w:hanging="567"/>
        <w:rPr>
          <w:rFonts w:cs="Arial"/>
          <w:szCs w:val="24"/>
          <w:lang w:eastAsia="en-US"/>
        </w:rPr>
      </w:pPr>
      <w:bookmarkStart w:id="7" w:name="_Hlk138832413"/>
      <w:r w:rsidRPr="00285CDE">
        <w:rPr>
          <w:rFonts w:cs="Arial"/>
          <w:szCs w:val="24"/>
          <w:lang w:eastAsia="en-US"/>
        </w:rPr>
        <w:t>[70]</w:t>
      </w:r>
      <w:r w:rsidRPr="00285CDE">
        <w:rPr>
          <w:rFonts w:cs="Arial"/>
          <w:szCs w:val="24"/>
          <w:lang w:eastAsia="en-US"/>
        </w:rPr>
        <w:tab/>
      </w:r>
      <w:r w:rsidR="00545927" w:rsidRPr="00285CDE">
        <w:rPr>
          <w:rFonts w:cs="Arial"/>
          <w:szCs w:val="24"/>
          <w:lang w:eastAsia="en-US"/>
        </w:rPr>
        <w:t xml:space="preserve">The </w:t>
      </w:r>
      <w:r w:rsidR="00E10EB5">
        <w:rPr>
          <w:rFonts w:cs="Arial"/>
          <w:szCs w:val="24"/>
          <w:lang w:eastAsia="en-US"/>
        </w:rPr>
        <w:t>A</w:t>
      </w:r>
      <w:r w:rsidR="00503102" w:rsidRPr="00285CDE">
        <w:rPr>
          <w:rFonts w:cs="Arial"/>
          <w:szCs w:val="24"/>
          <w:lang w:eastAsia="en-US"/>
        </w:rPr>
        <w:t>pplicants</w:t>
      </w:r>
      <w:r w:rsidR="00545927" w:rsidRPr="00285CDE">
        <w:rPr>
          <w:rFonts w:cs="Arial"/>
          <w:szCs w:val="24"/>
          <w:lang w:eastAsia="en-US"/>
        </w:rPr>
        <w:t xml:space="preserve"> </w:t>
      </w:r>
      <w:r w:rsidR="00AA7DE3">
        <w:rPr>
          <w:rFonts w:cs="Arial"/>
          <w:szCs w:val="24"/>
          <w:lang w:eastAsia="en-US"/>
        </w:rPr>
        <w:t>aver</w:t>
      </w:r>
      <w:r w:rsidR="00545927" w:rsidRPr="00285CDE">
        <w:rPr>
          <w:rFonts w:cs="Arial"/>
          <w:szCs w:val="24"/>
          <w:lang w:eastAsia="en-US"/>
        </w:rPr>
        <w:t xml:space="preserve"> that the PE Minister’s </w:t>
      </w:r>
      <w:r w:rsidR="00AA7DE3">
        <w:rPr>
          <w:rFonts w:cs="Arial"/>
          <w:szCs w:val="24"/>
          <w:lang w:eastAsia="en-US"/>
        </w:rPr>
        <w:t>contention</w:t>
      </w:r>
      <w:r w:rsidR="00E10EB5">
        <w:rPr>
          <w:rFonts w:cs="Arial"/>
          <w:szCs w:val="24"/>
          <w:lang w:eastAsia="en-US"/>
        </w:rPr>
        <w:t xml:space="preserve"> </w:t>
      </w:r>
      <w:r w:rsidR="00545927" w:rsidRPr="00285CDE">
        <w:rPr>
          <w:rFonts w:cs="Arial"/>
          <w:szCs w:val="24"/>
          <w:lang w:eastAsia="en-US"/>
        </w:rPr>
        <w:t xml:space="preserve">that the statutory presumption </w:t>
      </w:r>
      <w:r w:rsidR="00503102" w:rsidRPr="00285CDE">
        <w:rPr>
          <w:rFonts w:cs="Arial"/>
          <w:szCs w:val="24"/>
          <w:lang w:eastAsia="en-US"/>
        </w:rPr>
        <w:t xml:space="preserve">contained in section 54(3) of the PFMA </w:t>
      </w:r>
      <w:r w:rsidR="00545927" w:rsidRPr="00285CDE">
        <w:rPr>
          <w:rFonts w:cs="Arial"/>
          <w:szCs w:val="24"/>
          <w:lang w:eastAsia="en-US"/>
        </w:rPr>
        <w:t xml:space="preserve">operates if the PE Minister has not taken a decision within </w:t>
      </w:r>
      <w:r w:rsidR="00AA7DE3">
        <w:rPr>
          <w:rFonts w:cs="Arial"/>
          <w:szCs w:val="24"/>
          <w:lang w:eastAsia="en-US"/>
        </w:rPr>
        <w:t xml:space="preserve">30 </w:t>
      </w:r>
      <w:r w:rsidR="00503102" w:rsidRPr="00285CDE">
        <w:rPr>
          <w:rFonts w:cs="Arial"/>
          <w:szCs w:val="24"/>
          <w:lang w:eastAsia="en-US"/>
        </w:rPr>
        <w:t>days</w:t>
      </w:r>
      <w:r w:rsidR="00545927" w:rsidRPr="00285CDE">
        <w:rPr>
          <w:rFonts w:cs="Arial"/>
          <w:szCs w:val="24"/>
          <w:lang w:eastAsia="en-US"/>
        </w:rPr>
        <w:t xml:space="preserve"> or beyond</w:t>
      </w:r>
      <w:r w:rsidR="006E598E">
        <w:rPr>
          <w:rFonts w:cs="Arial"/>
          <w:szCs w:val="24"/>
          <w:lang w:eastAsia="en-US"/>
        </w:rPr>
        <w:t>,</w:t>
      </w:r>
      <w:r w:rsidR="00545927" w:rsidRPr="00285CDE">
        <w:rPr>
          <w:rFonts w:cs="Arial"/>
          <w:szCs w:val="24"/>
          <w:lang w:eastAsia="en-US"/>
        </w:rPr>
        <w:t xml:space="preserve"> will not be triggered until he is </w:t>
      </w:r>
      <w:r w:rsidR="00545927" w:rsidRPr="00285CDE">
        <w:rPr>
          <w:rFonts w:eastAsia="TimesNewRomanPSMT" w:cs="Arial"/>
          <w:szCs w:val="24"/>
          <w:lang w:eastAsia="en-US"/>
        </w:rPr>
        <w:t>“</w:t>
      </w:r>
      <w:r w:rsidR="00545927" w:rsidRPr="00285CDE">
        <w:rPr>
          <w:rFonts w:cs="Arial"/>
          <w:i/>
          <w:iCs w:val="0"/>
          <w:szCs w:val="24"/>
          <w:lang w:eastAsia="en-US"/>
        </w:rPr>
        <w:t>satisfied</w:t>
      </w:r>
      <w:r w:rsidR="00545927" w:rsidRPr="00285CDE">
        <w:rPr>
          <w:rFonts w:eastAsia="TimesNewRomanPSMT" w:cs="Arial"/>
          <w:szCs w:val="24"/>
          <w:lang w:eastAsia="en-US"/>
        </w:rPr>
        <w:t>”</w:t>
      </w:r>
      <w:r w:rsidR="00503102" w:rsidRPr="00285CDE">
        <w:rPr>
          <w:rFonts w:eastAsia="TimesNewRomanPSMT" w:cs="Arial"/>
          <w:szCs w:val="24"/>
          <w:lang w:eastAsia="en-US"/>
        </w:rPr>
        <w:t xml:space="preserve"> with the information provided to him</w:t>
      </w:r>
      <w:r w:rsidR="00545927" w:rsidRPr="00285CDE">
        <w:rPr>
          <w:rFonts w:eastAsia="TimesNewRomanPSMT" w:cs="Arial"/>
          <w:szCs w:val="24"/>
          <w:lang w:eastAsia="en-US"/>
        </w:rPr>
        <w:t xml:space="preserve"> is misplaced</w:t>
      </w:r>
      <w:r w:rsidR="00503102" w:rsidRPr="00285CDE">
        <w:rPr>
          <w:rFonts w:eastAsia="TimesNewRomanPSMT" w:cs="Arial"/>
          <w:szCs w:val="24"/>
          <w:lang w:eastAsia="en-US"/>
        </w:rPr>
        <w:t>. Further, they dispute</w:t>
      </w:r>
      <w:r w:rsidR="00C61F8A" w:rsidRPr="00285CDE">
        <w:rPr>
          <w:rFonts w:eastAsia="TimesNewRomanPSMT" w:cs="Arial"/>
          <w:szCs w:val="24"/>
          <w:lang w:eastAsia="en-US"/>
        </w:rPr>
        <w:t>d</w:t>
      </w:r>
      <w:r w:rsidR="00503102" w:rsidRPr="00285CDE">
        <w:rPr>
          <w:rFonts w:eastAsia="TimesNewRomanPSMT" w:cs="Arial"/>
          <w:szCs w:val="24"/>
          <w:lang w:eastAsia="en-US"/>
        </w:rPr>
        <w:t xml:space="preserve"> the PE Minster’s view that the operation of the said section </w:t>
      </w:r>
      <w:r w:rsidR="006E598E">
        <w:rPr>
          <w:rFonts w:eastAsia="TimesNewRomanPSMT" w:cs="Arial"/>
          <w:szCs w:val="24"/>
          <w:lang w:eastAsia="en-US"/>
        </w:rPr>
        <w:t>is triggered by a</w:t>
      </w:r>
      <w:r w:rsidR="00BF699E">
        <w:rPr>
          <w:rFonts w:eastAsia="TimesNewRomanPSMT" w:cs="Arial"/>
          <w:szCs w:val="24"/>
          <w:lang w:eastAsia="en-US"/>
        </w:rPr>
        <w:t xml:space="preserve"> </w:t>
      </w:r>
      <w:r w:rsidR="006E598E">
        <w:rPr>
          <w:rFonts w:eastAsia="TimesNewRomanPSMT" w:cs="Arial"/>
          <w:szCs w:val="24"/>
          <w:lang w:eastAsia="en-US"/>
        </w:rPr>
        <w:t>failure to respond</w:t>
      </w:r>
      <w:r w:rsidR="00503102" w:rsidRPr="00285CDE">
        <w:rPr>
          <w:rFonts w:eastAsia="TimesNewRomanPSMT" w:cs="Arial"/>
          <w:szCs w:val="24"/>
          <w:lang w:eastAsia="en-US"/>
        </w:rPr>
        <w:t xml:space="preserve">. According to the </w:t>
      </w:r>
      <w:r w:rsidR="005509B6" w:rsidRPr="00285CDE">
        <w:rPr>
          <w:rFonts w:eastAsia="TimesNewRomanPSMT" w:cs="Arial"/>
          <w:szCs w:val="24"/>
          <w:lang w:eastAsia="en-US"/>
        </w:rPr>
        <w:t>Applicant</w:t>
      </w:r>
      <w:r w:rsidR="00C61F8A" w:rsidRPr="00285CDE">
        <w:rPr>
          <w:rFonts w:eastAsia="TimesNewRomanPSMT" w:cs="Arial"/>
          <w:szCs w:val="24"/>
          <w:lang w:eastAsia="en-US"/>
        </w:rPr>
        <w:t>,</w:t>
      </w:r>
      <w:r w:rsidR="00503102" w:rsidRPr="00285CDE">
        <w:rPr>
          <w:rFonts w:eastAsia="TimesNewRomanPSMT" w:cs="Arial"/>
          <w:szCs w:val="24"/>
          <w:lang w:eastAsia="en-US"/>
        </w:rPr>
        <w:t xml:space="preserve"> the </w:t>
      </w:r>
      <w:r w:rsidR="00503102" w:rsidRPr="00285CDE">
        <w:rPr>
          <w:rFonts w:cs="Arial"/>
          <w:szCs w:val="24"/>
          <w:lang w:eastAsia="en-US"/>
        </w:rPr>
        <w:t xml:space="preserve">express provisions of section 54(2) of the PFMA </w:t>
      </w:r>
      <w:r w:rsidR="001D76C7" w:rsidRPr="00285CDE">
        <w:rPr>
          <w:rFonts w:cs="Arial"/>
          <w:szCs w:val="24"/>
          <w:lang w:eastAsia="en-US"/>
        </w:rPr>
        <w:t>do</w:t>
      </w:r>
      <w:r w:rsidR="00503102" w:rsidRPr="00285CDE">
        <w:rPr>
          <w:rFonts w:cs="Arial"/>
          <w:szCs w:val="24"/>
          <w:lang w:eastAsia="en-US"/>
        </w:rPr>
        <w:t xml:space="preserve"> not </w:t>
      </w:r>
      <w:r w:rsidR="00AA7DE3">
        <w:rPr>
          <w:rFonts w:cs="Arial"/>
          <w:szCs w:val="24"/>
          <w:lang w:eastAsia="en-US"/>
        </w:rPr>
        <w:t>require that</w:t>
      </w:r>
      <w:r w:rsidR="00503102" w:rsidRPr="00285CDE">
        <w:rPr>
          <w:rFonts w:cs="Arial"/>
          <w:szCs w:val="24"/>
          <w:lang w:eastAsia="en-US"/>
        </w:rPr>
        <w:t xml:space="preserve"> the executive authority </w:t>
      </w:r>
      <w:r w:rsidR="00503102" w:rsidRPr="00285CDE">
        <w:rPr>
          <w:rFonts w:eastAsia="TimesNewRomanPSMT" w:cs="Arial"/>
          <w:szCs w:val="24"/>
          <w:lang w:eastAsia="en-US"/>
        </w:rPr>
        <w:t>must be “</w:t>
      </w:r>
      <w:r w:rsidR="00503102" w:rsidRPr="00285CDE">
        <w:rPr>
          <w:rFonts w:cs="Arial"/>
          <w:i/>
          <w:iCs w:val="0"/>
          <w:szCs w:val="24"/>
          <w:lang w:eastAsia="en-US"/>
        </w:rPr>
        <w:t>satisfied</w:t>
      </w:r>
      <w:r w:rsidR="00503102" w:rsidRPr="00285CDE">
        <w:rPr>
          <w:rFonts w:eastAsia="TimesNewRomanPSMT" w:cs="Arial"/>
          <w:szCs w:val="24"/>
          <w:lang w:eastAsia="en-US"/>
        </w:rPr>
        <w:t xml:space="preserve">” before he or she grants the approval. </w:t>
      </w:r>
    </w:p>
    <w:p w14:paraId="7C1B1549" w14:textId="05B775AB" w:rsidR="007032F8"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[71]</w:t>
      </w:r>
      <w:r w:rsidRPr="00285CDE">
        <w:rPr>
          <w:rFonts w:cs="Arial"/>
          <w:szCs w:val="24"/>
          <w:lang w:eastAsia="en-US"/>
        </w:rPr>
        <w:tab/>
      </w:r>
      <w:r w:rsidR="00503102" w:rsidRPr="00285CDE">
        <w:rPr>
          <w:rFonts w:eastAsia="TimesNewRomanPSMT" w:cs="Arial"/>
          <w:szCs w:val="24"/>
          <w:lang w:eastAsia="en-US"/>
        </w:rPr>
        <w:t>The Applicants submit</w:t>
      </w:r>
      <w:r w:rsidR="00451D7F" w:rsidRPr="00285CDE">
        <w:rPr>
          <w:rFonts w:eastAsia="TimesNewRomanPSMT" w:cs="Arial"/>
          <w:szCs w:val="24"/>
          <w:lang w:eastAsia="en-US"/>
        </w:rPr>
        <w:t>ted</w:t>
      </w:r>
      <w:r w:rsidR="00503102" w:rsidRPr="00285CDE">
        <w:rPr>
          <w:rFonts w:eastAsia="TimesNewRomanPSMT" w:cs="Arial"/>
          <w:szCs w:val="24"/>
          <w:lang w:eastAsia="en-US"/>
        </w:rPr>
        <w:t xml:space="preserve"> that the PE Minister</w:t>
      </w:r>
      <w:r w:rsidR="007032F8" w:rsidRPr="00285CDE">
        <w:rPr>
          <w:rFonts w:eastAsia="TimesNewRomanPSMT" w:cs="Arial"/>
          <w:szCs w:val="24"/>
          <w:lang w:eastAsia="en-US"/>
        </w:rPr>
        <w:t xml:space="preserve"> is introducing</w:t>
      </w:r>
      <w:r w:rsidR="00503102" w:rsidRPr="00285CDE">
        <w:rPr>
          <w:rFonts w:cs="Arial"/>
          <w:szCs w:val="24"/>
          <w:lang w:eastAsia="en-US"/>
        </w:rPr>
        <w:t xml:space="preserve"> </w:t>
      </w:r>
      <w:r w:rsidR="007032F8" w:rsidRPr="00285CDE">
        <w:rPr>
          <w:rFonts w:cs="Arial"/>
          <w:szCs w:val="24"/>
          <w:lang w:eastAsia="en-US"/>
        </w:rPr>
        <w:t>“</w:t>
      </w:r>
      <w:r w:rsidR="00503102" w:rsidRPr="00AA7DE3">
        <w:rPr>
          <w:rFonts w:cs="Arial"/>
          <w:i/>
          <w:iCs w:val="0"/>
          <w:szCs w:val="24"/>
          <w:lang w:eastAsia="en-US"/>
        </w:rPr>
        <w:t>the subjective notion of ministerial satisfaction before the requisite approval is provided</w:t>
      </w:r>
      <w:r w:rsidR="007032F8" w:rsidRPr="00AA7DE3">
        <w:rPr>
          <w:rFonts w:cs="Arial"/>
          <w:i/>
          <w:iCs w:val="0"/>
          <w:szCs w:val="24"/>
          <w:lang w:eastAsia="en-US"/>
        </w:rPr>
        <w:t xml:space="preserve"> in </w:t>
      </w:r>
      <w:r w:rsidR="007032F8" w:rsidRPr="00AA7DE3">
        <w:rPr>
          <w:rFonts w:cs="Arial"/>
          <w:i/>
          <w:iCs w:val="0"/>
          <w:szCs w:val="24"/>
          <w:lang w:eastAsia="en-US"/>
        </w:rPr>
        <w:lastRenderedPageBreak/>
        <w:t>section 54(2) of the PFMA</w:t>
      </w:r>
      <w:r w:rsidR="00503102" w:rsidRPr="00285CDE">
        <w:rPr>
          <w:rFonts w:cs="Arial"/>
          <w:szCs w:val="24"/>
          <w:lang w:eastAsia="en-US"/>
        </w:rPr>
        <w:t>”</w:t>
      </w:r>
      <w:r w:rsidR="007032F8" w:rsidRPr="00285CDE">
        <w:rPr>
          <w:rFonts w:cs="Arial"/>
          <w:szCs w:val="24"/>
          <w:lang w:eastAsia="en-US"/>
        </w:rPr>
        <w:t xml:space="preserve">. To </w:t>
      </w:r>
      <w:r w:rsidR="00421FFE">
        <w:rPr>
          <w:rFonts w:cs="Arial"/>
          <w:szCs w:val="24"/>
          <w:lang w:eastAsia="en-US"/>
        </w:rPr>
        <w:t xml:space="preserve">support their </w:t>
      </w:r>
      <w:r w:rsidR="00BC42F4">
        <w:rPr>
          <w:rFonts w:cs="Arial"/>
          <w:szCs w:val="24"/>
          <w:lang w:eastAsia="en-US"/>
        </w:rPr>
        <w:t>averments</w:t>
      </w:r>
      <w:r w:rsidR="007032F8" w:rsidRPr="00285CDE">
        <w:rPr>
          <w:rFonts w:cs="Arial"/>
          <w:szCs w:val="24"/>
          <w:lang w:eastAsia="en-US"/>
        </w:rPr>
        <w:t>, the Applicants submit</w:t>
      </w:r>
      <w:r w:rsidR="00451D7F" w:rsidRPr="00285CDE">
        <w:rPr>
          <w:rFonts w:cs="Arial"/>
          <w:szCs w:val="24"/>
          <w:lang w:eastAsia="en-US"/>
        </w:rPr>
        <w:t>ted</w:t>
      </w:r>
      <w:r w:rsidR="007032F8" w:rsidRPr="00285CDE">
        <w:rPr>
          <w:rFonts w:cs="Arial"/>
          <w:szCs w:val="24"/>
          <w:lang w:eastAsia="en-US"/>
        </w:rPr>
        <w:t xml:space="preserve"> that the Constitutional Court in </w:t>
      </w:r>
      <w:r w:rsidR="007032F8" w:rsidRPr="00285CDE">
        <w:rPr>
          <w:rFonts w:cs="Arial"/>
          <w:i/>
          <w:szCs w:val="24"/>
          <w:lang w:eastAsia="en-US"/>
        </w:rPr>
        <w:t>Independent Community Pharmacy Association v Clicks Group Ltd and Others</w:t>
      </w:r>
      <w:r w:rsidR="007032F8" w:rsidRPr="00285CDE">
        <w:rPr>
          <w:rStyle w:val="FootnoteReference"/>
          <w:rFonts w:cs="Arial"/>
          <w:iCs w:val="0"/>
          <w:szCs w:val="24"/>
          <w:lang w:eastAsia="en-US"/>
        </w:rPr>
        <w:footnoteReference w:id="34"/>
      </w:r>
      <w:r w:rsidR="007032F8" w:rsidRPr="00285CDE">
        <w:rPr>
          <w:rFonts w:cs="Arial"/>
          <w:i/>
          <w:szCs w:val="24"/>
          <w:lang w:eastAsia="en-US"/>
        </w:rPr>
        <w:t xml:space="preserve"> </w:t>
      </w:r>
      <w:r w:rsidR="007032F8" w:rsidRPr="00285CDE">
        <w:rPr>
          <w:rFonts w:cs="Arial"/>
          <w:szCs w:val="24"/>
          <w:lang w:eastAsia="en-US"/>
        </w:rPr>
        <w:t>warned “</w:t>
      </w:r>
      <w:r w:rsidR="007032F8" w:rsidRPr="00421FFE">
        <w:rPr>
          <w:rFonts w:cs="Arial"/>
          <w:i/>
          <w:iCs w:val="0"/>
          <w:szCs w:val="24"/>
          <w:lang w:eastAsia="en-US"/>
        </w:rPr>
        <w:t>against reading words into a statute by implication unless it is necessary to do so</w:t>
      </w:r>
      <w:r w:rsidR="007032F8" w:rsidRPr="00285CDE">
        <w:rPr>
          <w:rFonts w:cs="Arial"/>
          <w:szCs w:val="24"/>
          <w:lang w:eastAsia="en-US"/>
        </w:rPr>
        <w:t>”. The Applicants submit</w:t>
      </w:r>
      <w:r w:rsidR="00E600A5" w:rsidRPr="00285CDE">
        <w:rPr>
          <w:rFonts w:cs="Arial"/>
          <w:szCs w:val="24"/>
          <w:lang w:eastAsia="en-US"/>
        </w:rPr>
        <w:t>ted</w:t>
      </w:r>
      <w:r w:rsidR="007032F8" w:rsidRPr="00285CDE">
        <w:rPr>
          <w:rFonts w:cs="Arial"/>
          <w:szCs w:val="24"/>
          <w:lang w:eastAsia="en-US"/>
        </w:rPr>
        <w:t xml:space="preserve"> that the introduction of “satisfied” in the aforesaid section i</w:t>
      </w:r>
      <w:r w:rsidR="00354854" w:rsidRPr="00285CDE">
        <w:rPr>
          <w:rFonts w:cs="Arial"/>
          <w:szCs w:val="24"/>
          <w:lang w:eastAsia="en-US"/>
        </w:rPr>
        <w:t>s</w:t>
      </w:r>
      <w:r w:rsidR="007032F8" w:rsidRPr="00285CDE">
        <w:rPr>
          <w:rFonts w:cs="Arial"/>
          <w:szCs w:val="24"/>
          <w:lang w:eastAsia="en-US"/>
        </w:rPr>
        <w:t xml:space="preserve"> contrary to constitutional values of openness, responsiveness</w:t>
      </w:r>
      <w:r w:rsidR="00E600A5" w:rsidRPr="00285CDE">
        <w:rPr>
          <w:rFonts w:cs="Arial"/>
          <w:szCs w:val="24"/>
          <w:lang w:eastAsia="en-US"/>
        </w:rPr>
        <w:t>,</w:t>
      </w:r>
      <w:r w:rsidR="007032F8" w:rsidRPr="00285CDE">
        <w:rPr>
          <w:rFonts w:cs="Arial"/>
          <w:szCs w:val="24"/>
          <w:lang w:eastAsia="en-US"/>
        </w:rPr>
        <w:t xml:space="preserve"> and accountability by Government</w:t>
      </w:r>
      <w:r w:rsidR="00354854" w:rsidRPr="00285CDE">
        <w:rPr>
          <w:rFonts w:cs="Arial"/>
          <w:szCs w:val="24"/>
          <w:lang w:eastAsia="en-US"/>
        </w:rPr>
        <w:t xml:space="preserve"> as</w:t>
      </w:r>
      <w:r w:rsidR="007032F8" w:rsidRPr="00285CDE">
        <w:rPr>
          <w:rFonts w:cs="Arial"/>
          <w:szCs w:val="24"/>
          <w:lang w:eastAsia="en-US"/>
        </w:rPr>
        <w:t xml:space="preserve"> provided for in section 1(d)</w:t>
      </w:r>
      <w:r w:rsidR="00040DBB" w:rsidRPr="00285CDE">
        <w:rPr>
          <w:rStyle w:val="FootnoteReference"/>
          <w:rFonts w:cs="Arial"/>
          <w:szCs w:val="24"/>
          <w:lang w:eastAsia="en-US"/>
        </w:rPr>
        <w:footnoteReference w:id="35"/>
      </w:r>
      <w:r w:rsidR="007032F8" w:rsidRPr="00285CDE">
        <w:rPr>
          <w:rFonts w:cs="Arial"/>
          <w:szCs w:val="24"/>
          <w:lang w:eastAsia="en-US"/>
        </w:rPr>
        <w:t xml:space="preserve"> and section 195(1)</w:t>
      </w:r>
      <w:r w:rsidR="00354854" w:rsidRPr="00285CDE">
        <w:rPr>
          <w:rStyle w:val="FootnoteReference"/>
          <w:rFonts w:cs="Arial"/>
          <w:szCs w:val="24"/>
          <w:lang w:eastAsia="en-US"/>
        </w:rPr>
        <w:footnoteReference w:id="36"/>
      </w:r>
      <w:r w:rsidR="007032F8" w:rsidRPr="00285CDE">
        <w:rPr>
          <w:rFonts w:cs="Arial"/>
          <w:szCs w:val="24"/>
          <w:lang w:eastAsia="en-US"/>
        </w:rPr>
        <w:t xml:space="preserve"> of the</w:t>
      </w:r>
      <w:r w:rsidR="00354854" w:rsidRPr="00285CDE">
        <w:rPr>
          <w:rFonts w:cs="Arial"/>
          <w:szCs w:val="24"/>
          <w:lang w:eastAsia="en-US"/>
        </w:rPr>
        <w:t xml:space="preserve"> Constitution. </w:t>
      </w:r>
    </w:p>
    <w:p w14:paraId="4CC04073" w14:textId="32A88307" w:rsidR="007032F8"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[72]</w:t>
      </w:r>
      <w:r w:rsidRPr="00285CDE">
        <w:rPr>
          <w:rFonts w:cs="Arial"/>
          <w:szCs w:val="24"/>
          <w:lang w:eastAsia="en-US"/>
        </w:rPr>
        <w:tab/>
      </w:r>
      <w:r w:rsidR="00244459" w:rsidRPr="00285CDE">
        <w:rPr>
          <w:rFonts w:cs="Arial"/>
          <w:szCs w:val="24"/>
          <w:lang w:eastAsia="en-US"/>
        </w:rPr>
        <w:t xml:space="preserve">The Applicants </w:t>
      </w:r>
      <w:r w:rsidR="00E600A5" w:rsidRPr="00285CDE">
        <w:rPr>
          <w:rFonts w:cs="Arial"/>
          <w:szCs w:val="24"/>
          <w:lang w:eastAsia="en-US"/>
        </w:rPr>
        <w:t>further contended</w:t>
      </w:r>
      <w:r w:rsidR="00244459" w:rsidRPr="00285CDE">
        <w:rPr>
          <w:rFonts w:cs="Arial"/>
          <w:szCs w:val="24"/>
          <w:lang w:eastAsia="en-US"/>
        </w:rPr>
        <w:t xml:space="preserve"> that even if the PE Minister and Minister of Finance were to insist that the subjective requirement of “satisfied” which they seek to introduce constitutes the exercise of executive powers </w:t>
      </w:r>
      <w:r w:rsidR="00244459" w:rsidRPr="00285CDE">
        <w:rPr>
          <w:rFonts w:cs="Arial"/>
        </w:rPr>
        <w:t>that this Court should</w:t>
      </w:r>
      <w:r w:rsidR="00BF3D30" w:rsidRPr="00285CDE">
        <w:rPr>
          <w:rFonts w:cs="Arial"/>
          <w:szCs w:val="24"/>
          <w:lang w:eastAsia="en-US"/>
        </w:rPr>
        <w:t xml:space="preserve"> r</w:t>
      </w:r>
      <w:r w:rsidR="00BF3D30" w:rsidRPr="00285CDE">
        <w:rPr>
          <w:rFonts w:cs="Arial"/>
        </w:rPr>
        <w:t>espect the notion</w:t>
      </w:r>
      <w:r w:rsidR="00244459" w:rsidRPr="00285CDE">
        <w:rPr>
          <w:rFonts w:cs="Arial"/>
        </w:rPr>
        <w:t xml:space="preserve"> of </w:t>
      </w:r>
      <w:r w:rsidR="00421FFE">
        <w:rPr>
          <w:rFonts w:cs="Arial"/>
        </w:rPr>
        <w:t xml:space="preserve">the </w:t>
      </w:r>
      <w:r w:rsidR="00244459" w:rsidRPr="00285CDE">
        <w:rPr>
          <w:rFonts w:cs="Arial"/>
        </w:rPr>
        <w:t>separation of powers</w:t>
      </w:r>
      <w:r w:rsidR="00BF3D30" w:rsidRPr="00285CDE">
        <w:rPr>
          <w:rFonts w:cs="Arial"/>
        </w:rPr>
        <w:t xml:space="preserve">, </w:t>
      </w:r>
      <w:r w:rsidR="00244459" w:rsidRPr="00285CDE">
        <w:rPr>
          <w:rFonts w:cs="Arial"/>
          <w:szCs w:val="24"/>
          <w:lang w:eastAsia="en-US"/>
        </w:rPr>
        <w:t>this Court is</w:t>
      </w:r>
      <w:r w:rsidR="00BF3D30" w:rsidRPr="00285CDE">
        <w:rPr>
          <w:rFonts w:cs="Arial"/>
          <w:szCs w:val="24"/>
          <w:lang w:eastAsia="en-US"/>
        </w:rPr>
        <w:t xml:space="preserve"> </w:t>
      </w:r>
      <w:r w:rsidR="00244459" w:rsidRPr="00285CDE">
        <w:rPr>
          <w:rFonts w:cs="Arial"/>
          <w:szCs w:val="24"/>
          <w:lang w:eastAsia="en-US"/>
        </w:rPr>
        <w:t>entitled to interfere and correct the unlawful or unconstitutional exercise of those</w:t>
      </w:r>
      <w:r w:rsidR="00BF3D30" w:rsidRPr="00285CDE">
        <w:rPr>
          <w:rFonts w:cs="Arial"/>
          <w:szCs w:val="24"/>
          <w:lang w:eastAsia="en-US"/>
        </w:rPr>
        <w:t xml:space="preserve"> executive powers under the principle of legality or rationality. </w:t>
      </w:r>
    </w:p>
    <w:p w14:paraId="21CA81E6" w14:textId="0F33008B" w:rsidR="002A599E"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[73]</w:t>
      </w:r>
      <w:r w:rsidRPr="00285CDE">
        <w:rPr>
          <w:rFonts w:cs="Arial"/>
          <w:szCs w:val="24"/>
          <w:lang w:eastAsia="en-US"/>
        </w:rPr>
        <w:tab/>
      </w:r>
      <w:r w:rsidR="00B4378A" w:rsidRPr="00285CDE">
        <w:rPr>
          <w:rFonts w:cs="Arial"/>
          <w:szCs w:val="24"/>
          <w:lang w:eastAsia="en-US"/>
        </w:rPr>
        <w:t xml:space="preserve">The Applicants argued that the powers conferred on the PE Minister under section 54(2) of the PFMA include a duty to exercise that power and where the executive authority fails to exercise such power within </w:t>
      </w:r>
      <w:r w:rsidR="00615053">
        <w:rPr>
          <w:rFonts w:cs="Arial"/>
          <w:szCs w:val="24"/>
          <w:lang w:eastAsia="en-US"/>
        </w:rPr>
        <w:t>30</w:t>
      </w:r>
      <w:r w:rsidR="00B4378A" w:rsidRPr="00285CDE">
        <w:rPr>
          <w:rFonts w:cs="Arial"/>
          <w:szCs w:val="24"/>
          <w:lang w:eastAsia="en-US"/>
        </w:rPr>
        <w:t xml:space="preserve"> days or a</w:t>
      </w:r>
      <w:r w:rsidR="00264C18" w:rsidRPr="00285CDE">
        <w:rPr>
          <w:rFonts w:cs="Arial"/>
          <w:szCs w:val="24"/>
          <w:lang w:eastAsia="en-US"/>
        </w:rPr>
        <w:t xml:space="preserve"> period as agreed to by parties concerned, section 54(3) of the PFMA provided for </w:t>
      </w:r>
      <w:r w:rsidR="00421FFE">
        <w:rPr>
          <w:rFonts w:cs="Arial"/>
          <w:szCs w:val="24"/>
          <w:lang w:eastAsia="en-US"/>
        </w:rPr>
        <w:t xml:space="preserve">the </w:t>
      </w:r>
      <w:r w:rsidR="00264C18" w:rsidRPr="00285CDE">
        <w:rPr>
          <w:rFonts w:cs="Arial"/>
          <w:szCs w:val="24"/>
          <w:lang w:eastAsia="en-US"/>
        </w:rPr>
        <w:t xml:space="preserve">presumption of automatic approval. </w:t>
      </w:r>
    </w:p>
    <w:p w14:paraId="1C4A332E" w14:textId="0C4A0874" w:rsidR="002844C0"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[74]</w:t>
      </w:r>
      <w:r w:rsidRPr="00285CDE">
        <w:rPr>
          <w:rFonts w:cs="Arial"/>
          <w:szCs w:val="24"/>
          <w:lang w:eastAsia="en-US"/>
        </w:rPr>
        <w:tab/>
      </w:r>
      <w:r w:rsidR="00264C18" w:rsidRPr="00285CDE">
        <w:rPr>
          <w:rFonts w:cs="Arial"/>
          <w:szCs w:val="24"/>
          <w:lang w:eastAsia="en-US"/>
        </w:rPr>
        <w:t xml:space="preserve">Additionally, the Applicants submitted that section 54 of the PFMA </w:t>
      </w:r>
      <w:r w:rsidR="002844C0" w:rsidRPr="00285CDE">
        <w:rPr>
          <w:rFonts w:cs="Arial"/>
          <w:szCs w:val="24"/>
          <w:lang w:eastAsia="en-US"/>
        </w:rPr>
        <w:t>requires the</w:t>
      </w:r>
      <w:r w:rsidR="00264C18" w:rsidRPr="00285CDE">
        <w:rPr>
          <w:rFonts w:cs="Arial"/>
          <w:szCs w:val="24"/>
          <w:lang w:eastAsia="en-US"/>
        </w:rPr>
        <w:t xml:space="preserve"> speedily finali</w:t>
      </w:r>
      <w:r w:rsidR="002844C0" w:rsidRPr="00285CDE">
        <w:rPr>
          <w:rFonts w:cs="Arial"/>
          <w:szCs w:val="24"/>
          <w:lang w:eastAsia="en-US"/>
        </w:rPr>
        <w:t>sation of</w:t>
      </w:r>
      <w:r w:rsidR="00264C18" w:rsidRPr="00285CDE">
        <w:rPr>
          <w:rFonts w:cs="Arial"/>
          <w:szCs w:val="24"/>
          <w:lang w:eastAsia="en-US"/>
        </w:rPr>
        <w:t xml:space="preserve"> the application </w:t>
      </w:r>
      <w:r w:rsidR="002844C0" w:rsidRPr="00285CDE">
        <w:rPr>
          <w:rFonts w:cs="Arial"/>
          <w:szCs w:val="24"/>
          <w:lang w:eastAsia="en-US"/>
        </w:rPr>
        <w:t xml:space="preserve">as the accounting authority of the affected </w:t>
      </w:r>
      <w:r w:rsidR="002844C0" w:rsidRPr="00285CDE">
        <w:rPr>
          <w:rFonts w:cs="Arial"/>
          <w:szCs w:val="24"/>
          <w:lang w:eastAsia="en-US"/>
        </w:rPr>
        <w:lastRenderedPageBreak/>
        <w:t>public entity is required to “</w:t>
      </w:r>
      <w:r w:rsidR="002844C0" w:rsidRPr="00421FFE">
        <w:rPr>
          <w:rFonts w:cs="Arial"/>
          <w:i/>
          <w:iCs w:val="0"/>
          <w:szCs w:val="24"/>
          <w:lang w:eastAsia="en-US"/>
        </w:rPr>
        <w:t xml:space="preserve">promptly </w:t>
      </w:r>
      <w:r w:rsidR="002844C0" w:rsidRPr="00421FFE">
        <w:rPr>
          <w:rFonts w:cs="Arial"/>
          <w:i/>
          <w:iCs w:val="0"/>
        </w:rPr>
        <w:t>and in writing inform the relevant treasury of the transaction and submit relevant particulars of the transaction to its executive authority for approval of the transaction</w:t>
      </w:r>
      <w:r w:rsidR="002844C0" w:rsidRPr="00285CDE">
        <w:rPr>
          <w:rFonts w:cs="Arial"/>
        </w:rPr>
        <w:t xml:space="preserve">”. According to the Applicants, the duty to </w:t>
      </w:r>
      <w:r w:rsidR="00AC1ECB">
        <w:rPr>
          <w:rFonts w:cs="Arial"/>
        </w:rPr>
        <w:t>take a decision</w:t>
      </w:r>
      <w:r w:rsidR="002844C0" w:rsidRPr="00285CDE">
        <w:rPr>
          <w:rFonts w:cs="Arial"/>
        </w:rPr>
        <w:t xml:space="preserve"> promptly is re-enforced by section 237 of the Constitution which requires that “[a]</w:t>
      </w:r>
      <w:r w:rsidR="002844C0" w:rsidRPr="00421FFE">
        <w:rPr>
          <w:rFonts w:cs="Arial"/>
          <w:i/>
          <w:iCs w:val="0"/>
        </w:rPr>
        <w:t>ll constitutional obligations must be performed diligently and without delay</w:t>
      </w:r>
      <w:r w:rsidR="002844C0" w:rsidRPr="00285CDE">
        <w:rPr>
          <w:rFonts w:cs="Arial"/>
        </w:rPr>
        <w:t>”.</w:t>
      </w:r>
    </w:p>
    <w:p w14:paraId="3A6B72F5" w14:textId="10259176" w:rsidR="009C6329"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[75]</w:t>
      </w:r>
      <w:r w:rsidRPr="00285CDE">
        <w:rPr>
          <w:rFonts w:cs="Arial"/>
          <w:szCs w:val="24"/>
          <w:lang w:eastAsia="en-US"/>
        </w:rPr>
        <w:tab/>
      </w:r>
      <w:r w:rsidR="00A23D3D" w:rsidRPr="00285CDE">
        <w:rPr>
          <w:rFonts w:cs="Arial"/>
          <w:szCs w:val="24"/>
          <w:lang w:eastAsia="en-US"/>
        </w:rPr>
        <w:t>The Applicants argued that the PE Minster was now seeking other options for Mango Airline</w:t>
      </w:r>
      <w:r w:rsidR="0018576F">
        <w:rPr>
          <w:rFonts w:cs="Arial"/>
          <w:szCs w:val="24"/>
          <w:lang w:eastAsia="en-US"/>
        </w:rPr>
        <w:t>s</w:t>
      </w:r>
      <w:r w:rsidR="00A23D3D" w:rsidRPr="00285CDE">
        <w:rPr>
          <w:rFonts w:cs="Arial"/>
          <w:szCs w:val="24"/>
          <w:lang w:eastAsia="en-US"/>
        </w:rPr>
        <w:t xml:space="preserve"> outside the adopted revised business rescue plan as the PE Minister was quoted stating that “</w:t>
      </w:r>
      <w:r w:rsidR="009C6329" w:rsidRPr="00285CDE">
        <w:rPr>
          <w:rFonts w:cs="Arial"/>
          <w:szCs w:val="24"/>
          <w:lang w:eastAsia="en-US"/>
        </w:rPr>
        <w:t>..</w:t>
      </w:r>
      <w:r w:rsidR="00A23D3D" w:rsidRPr="00285CDE">
        <w:rPr>
          <w:rFonts w:cs="Arial"/>
          <w:szCs w:val="24"/>
          <w:lang w:eastAsia="en-US"/>
        </w:rPr>
        <w:t>.I have implored SA</w:t>
      </w:r>
      <w:r w:rsidR="002B66DA" w:rsidRPr="00285CDE">
        <w:rPr>
          <w:rFonts w:cs="Arial"/>
          <w:szCs w:val="24"/>
          <w:lang w:eastAsia="en-US"/>
        </w:rPr>
        <w:t>A</w:t>
      </w:r>
      <w:r w:rsidR="00A23D3D" w:rsidRPr="00285CDE">
        <w:rPr>
          <w:rFonts w:cs="Arial"/>
          <w:szCs w:val="24"/>
          <w:lang w:eastAsia="en-US"/>
        </w:rPr>
        <w:t xml:space="preserve"> Board to consider other options ….in case the transaction does not </w:t>
      </w:r>
      <w:r w:rsidR="00BC42F4">
        <w:rPr>
          <w:rFonts w:cs="Arial"/>
          <w:szCs w:val="24"/>
          <w:lang w:eastAsia="en-US"/>
        </w:rPr>
        <w:t>materialise</w:t>
      </w:r>
      <w:r w:rsidR="00A23D3D" w:rsidRPr="00285CDE">
        <w:rPr>
          <w:rFonts w:cs="Arial"/>
          <w:szCs w:val="24"/>
          <w:lang w:eastAsia="en-US"/>
        </w:rPr>
        <w:t>”. According to the Applicants, this is not permissible under section 54(2) of the PFMA</w:t>
      </w:r>
      <w:r w:rsidR="00421FFE">
        <w:rPr>
          <w:rFonts w:cs="Arial"/>
          <w:szCs w:val="24"/>
          <w:lang w:eastAsia="en-US"/>
        </w:rPr>
        <w:t xml:space="preserve">. The PE </w:t>
      </w:r>
      <w:r w:rsidR="00BC42F4">
        <w:rPr>
          <w:rFonts w:cs="Arial"/>
          <w:szCs w:val="24"/>
          <w:lang w:eastAsia="en-US"/>
        </w:rPr>
        <w:t>Minister</w:t>
      </w:r>
      <w:r w:rsidR="00421FFE">
        <w:rPr>
          <w:rFonts w:cs="Arial"/>
          <w:szCs w:val="24"/>
          <w:lang w:eastAsia="en-US"/>
        </w:rPr>
        <w:t xml:space="preserve"> is </w:t>
      </w:r>
      <w:r w:rsidR="00A23D3D" w:rsidRPr="00285CDE">
        <w:rPr>
          <w:rFonts w:cs="Arial"/>
          <w:szCs w:val="24"/>
          <w:lang w:eastAsia="en-US"/>
        </w:rPr>
        <w:t xml:space="preserve">to consider </w:t>
      </w:r>
      <w:r w:rsidR="009C6329" w:rsidRPr="00285CDE">
        <w:rPr>
          <w:rFonts w:cs="Arial"/>
          <w:szCs w:val="24"/>
          <w:lang w:eastAsia="en-US"/>
        </w:rPr>
        <w:t>the amended business rescue plan</w:t>
      </w:r>
      <w:r w:rsidR="00A23D3D" w:rsidRPr="00285CDE">
        <w:rPr>
          <w:rFonts w:cs="Arial"/>
          <w:szCs w:val="24"/>
          <w:lang w:eastAsia="en-US"/>
        </w:rPr>
        <w:t xml:space="preserve"> </w:t>
      </w:r>
      <w:r w:rsidR="009C6329" w:rsidRPr="00285CDE">
        <w:rPr>
          <w:rFonts w:cs="Arial"/>
          <w:szCs w:val="24"/>
          <w:lang w:eastAsia="en-US"/>
        </w:rPr>
        <w:t>a</w:t>
      </w:r>
      <w:r w:rsidR="00A23D3D" w:rsidRPr="00285CDE">
        <w:rPr>
          <w:rFonts w:cs="Arial"/>
          <w:szCs w:val="24"/>
          <w:lang w:eastAsia="en-US"/>
        </w:rPr>
        <w:t xml:space="preserve">s submitted before him and </w:t>
      </w:r>
      <w:r w:rsidR="00AC1ECB">
        <w:rPr>
          <w:rFonts w:cs="Arial"/>
          <w:szCs w:val="24"/>
          <w:lang w:eastAsia="en-US"/>
        </w:rPr>
        <w:t>take a decision</w:t>
      </w:r>
      <w:r w:rsidR="00A23D3D" w:rsidRPr="00285CDE">
        <w:rPr>
          <w:rFonts w:cs="Arial"/>
          <w:szCs w:val="24"/>
          <w:lang w:eastAsia="en-US"/>
        </w:rPr>
        <w:t xml:space="preserve">. </w:t>
      </w:r>
      <w:r w:rsidR="009C6329" w:rsidRPr="00285CDE">
        <w:rPr>
          <w:rFonts w:cs="Arial"/>
          <w:szCs w:val="24"/>
          <w:lang w:eastAsia="en-US"/>
        </w:rPr>
        <w:t>The basis for this is that SAA has made it clear that Mango Airline</w:t>
      </w:r>
      <w:r w:rsidR="0018576F">
        <w:rPr>
          <w:rFonts w:cs="Arial"/>
          <w:szCs w:val="24"/>
          <w:lang w:eastAsia="en-US"/>
        </w:rPr>
        <w:t>s</w:t>
      </w:r>
      <w:r w:rsidR="009C6329" w:rsidRPr="00285CDE">
        <w:rPr>
          <w:rFonts w:cs="Arial"/>
          <w:szCs w:val="24"/>
          <w:lang w:eastAsia="en-US"/>
        </w:rPr>
        <w:t xml:space="preserve"> will not form part of the SAA Group and that a new investor should be found to fund Mango Airlines’ operations as per the amended business </w:t>
      </w:r>
      <w:r w:rsidR="00BC42F4">
        <w:rPr>
          <w:rFonts w:cs="Arial"/>
          <w:szCs w:val="24"/>
          <w:lang w:eastAsia="en-US"/>
        </w:rPr>
        <w:t xml:space="preserve">rescue </w:t>
      </w:r>
      <w:r w:rsidR="009C6329" w:rsidRPr="00285CDE">
        <w:rPr>
          <w:rFonts w:cs="Arial"/>
          <w:szCs w:val="24"/>
          <w:lang w:eastAsia="en-US"/>
        </w:rPr>
        <w:t xml:space="preserve">plan. </w:t>
      </w:r>
    </w:p>
    <w:p w14:paraId="5AD91224" w14:textId="58D22014" w:rsidR="009C6329"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[76]</w:t>
      </w:r>
      <w:r w:rsidRPr="00285CDE">
        <w:rPr>
          <w:rFonts w:cs="Arial"/>
          <w:szCs w:val="24"/>
          <w:lang w:eastAsia="en-US"/>
        </w:rPr>
        <w:tab/>
      </w:r>
      <w:r w:rsidR="00221C32" w:rsidRPr="00285CDE">
        <w:rPr>
          <w:rFonts w:cs="Arial"/>
          <w:szCs w:val="24"/>
          <w:lang w:eastAsia="en-US"/>
        </w:rPr>
        <w:t xml:space="preserve">Furthermore, the Applicants argued that they submitted all the information as per </w:t>
      </w:r>
      <w:bookmarkStart w:id="8" w:name="_Hlk144529591"/>
      <w:r w:rsidR="00221C32" w:rsidRPr="00285CDE">
        <w:rPr>
          <w:rFonts w:cs="Arial"/>
          <w:szCs w:val="24"/>
          <w:lang w:eastAsia="en-US"/>
        </w:rPr>
        <w:t>the significance and materiality framework (</w:t>
      </w:r>
      <w:r w:rsidR="00421FFE">
        <w:rPr>
          <w:rFonts w:cs="Arial"/>
          <w:szCs w:val="24"/>
          <w:lang w:eastAsia="en-US"/>
        </w:rPr>
        <w:t>“</w:t>
      </w:r>
      <w:r w:rsidR="00221C32" w:rsidRPr="00285CDE">
        <w:rPr>
          <w:rFonts w:cs="Arial"/>
          <w:szCs w:val="24"/>
          <w:lang w:eastAsia="en-US"/>
        </w:rPr>
        <w:t>SMF</w:t>
      </w:r>
      <w:r w:rsidR="00421FFE">
        <w:rPr>
          <w:rFonts w:cs="Arial"/>
          <w:szCs w:val="24"/>
          <w:lang w:eastAsia="en-US"/>
        </w:rPr>
        <w:t>”</w:t>
      </w:r>
      <w:r w:rsidR="00221C32" w:rsidRPr="00285CDE">
        <w:rPr>
          <w:rFonts w:cs="Arial"/>
          <w:szCs w:val="24"/>
          <w:lang w:eastAsia="en-US"/>
        </w:rPr>
        <w:t>)</w:t>
      </w:r>
      <w:bookmarkEnd w:id="8"/>
      <w:r w:rsidR="00221C32" w:rsidRPr="00285CDE">
        <w:rPr>
          <w:rFonts w:cs="Arial"/>
          <w:szCs w:val="24"/>
          <w:lang w:eastAsia="en-US"/>
        </w:rPr>
        <w:t xml:space="preserve"> including the additional information that was required by the PE Minister for the application in terms of section 54(2) of the PFMA. Despite this, the Applicants </w:t>
      </w:r>
      <w:r w:rsidR="00E600A5" w:rsidRPr="00285CDE">
        <w:rPr>
          <w:rFonts w:cs="Arial"/>
          <w:szCs w:val="24"/>
          <w:lang w:eastAsia="en-US"/>
        </w:rPr>
        <w:t>contended</w:t>
      </w:r>
      <w:r w:rsidR="00221C32" w:rsidRPr="00285CDE">
        <w:rPr>
          <w:rFonts w:cs="Arial"/>
          <w:szCs w:val="24"/>
          <w:lang w:eastAsia="en-US"/>
        </w:rPr>
        <w:t xml:space="preserve"> that the PE Minister still states that the information supplied to him is inadequate</w:t>
      </w:r>
      <w:r w:rsidR="006E598E">
        <w:rPr>
          <w:rFonts w:cs="Arial"/>
          <w:szCs w:val="24"/>
          <w:lang w:eastAsia="en-US"/>
        </w:rPr>
        <w:t>.</w:t>
      </w:r>
      <w:r w:rsidR="00221C32" w:rsidRPr="00285CDE">
        <w:rPr>
          <w:rFonts w:cs="Arial"/>
          <w:szCs w:val="24"/>
          <w:lang w:eastAsia="en-US"/>
        </w:rPr>
        <w:t xml:space="preserve"> </w:t>
      </w:r>
      <w:r w:rsidR="006E598E">
        <w:rPr>
          <w:rFonts w:cs="Arial"/>
          <w:szCs w:val="24"/>
          <w:lang w:eastAsia="en-US"/>
        </w:rPr>
        <w:t>The missing information pertains to the fact</w:t>
      </w:r>
      <w:r w:rsidR="00072E37" w:rsidRPr="00285CDE">
        <w:rPr>
          <w:rFonts w:cs="Arial"/>
          <w:szCs w:val="24"/>
          <w:lang w:eastAsia="en-US"/>
        </w:rPr>
        <w:t xml:space="preserve"> th</w:t>
      </w:r>
      <w:r w:rsidR="00BC42F4">
        <w:rPr>
          <w:rFonts w:cs="Arial"/>
          <w:szCs w:val="24"/>
          <w:lang w:eastAsia="en-US"/>
        </w:rPr>
        <w:t xml:space="preserve">at the Board of </w:t>
      </w:r>
      <w:r w:rsidR="00072E37" w:rsidRPr="00285CDE">
        <w:rPr>
          <w:rFonts w:cs="Arial"/>
          <w:szCs w:val="24"/>
          <w:lang w:eastAsia="en-US"/>
        </w:rPr>
        <w:t>SAA should have considered</w:t>
      </w:r>
      <w:r w:rsidR="00A96ED7" w:rsidRPr="00285CDE">
        <w:rPr>
          <w:rFonts w:cs="Arial"/>
          <w:szCs w:val="24"/>
          <w:lang w:eastAsia="en-US"/>
        </w:rPr>
        <w:t xml:space="preserve"> </w:t>
      </w:r>
      <w:r w:rsidR="00072E37" w:rsidRPr="00285CDE">
        <w:rPr>
          <w:rFonts w:cs="Arial"/>
          <w:szCs w:val="24"/>
          <w:lang w:eastAsia="en-US"/>
        </w:rPr>
        <w:t>other options for the disposal of Mango Airline</w:t>
      </w:r>
      <w:r w:rsidR="00BC42F4">
        <w:rPr>
          <w:rFonts w:cs="Arial"/>
          <w:szCs w:val="24"/>
          <w:lang w:eastAsia="en-US"/>
        </w:rPr>
        <w:t>s</w:t>
      </w:r>
      <w:r w:rsidR="00072E37" w:rsidRPr="00285CDE">
        <w:rPr>
          <w:rFonts w:cs="Arial"/>
          <w:szCs w:val="24"/>
          <w:lang w:eastAsia="en-US"/>
        </w:rPr>
        <w:t xml:space="preserve">, a comprehensive due diligence report on the bidder, and the potential loss to SAA if the disposal went through. The Applicants </w:t>
      </w:r>
      <w:r w:rsidR="00A96ED7" w:rsidRPr="00285CDE">
        <w:rPr>
          <w:rFonts w:cs="Arial"/>
          <w:szCs w:val="24"/>
          <w:lang w:eastAsia="en-US"/>
        </w:rPr>
        <w:t>assert</w:t>
      </w:r>
      <w:r w:rsidR="00072E37" w:rsidRPr="00285CDE">
        <w:rPr>
          <w:rFonts w:cs="Arial"/>
          <w:szCs w:val="24"/>
          <w:lang w:eastAsia="en-US"/>
        </w:rPr>
        <w:t xml:space="preserve"> that this </w:t>
      </w:r>
      <w:r w:rsidR="00221C32" w:rsidRPr="00285CDE">
        <w:rPr>
          <w:rFonts w:cs="Arial"/>
          <w:szCs w:val="24"/>
          <w:lang w:eastAsia="en-US"/>
        </w:rPr>
        <w:t>is not required by the SMF.</w:t>
      </w:r>
    </w:p>
    <w:p w14:paraId="37745A6D" w14:textId="0B265687" w:rsidR="00072E37"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[77]</w:t>
      </w:r>
      <w:r w:rsidRPr="00285CDE">
        <w:rPr>
          <w:rFonts w:cs="Arial"/>
          <w:szCs w:val="24"/>
          <w:lang w:eastAsia="en-US"/>
        </w:rPr>
        <w:tab/>
      </w:r>
      <w:r w:rsidR="006E598E">
        <w:rPr>
          <w:rFonts w:cs="Arial"/>
          <w:szCs w:val="24"/>
          <w:lang w:eastAsia="en-US"/>
        </w:rPr>
        <w:t>T</w:t>
      </w:r>
      <w:r w:rsidR="00072E37" w:rsidRPr="00285CDE">
        <w:rPr>
          <w:rFonts w:cs="Arial"/>
          <w:szCs w:val="24"/>
          <w:lang w:eastAsia="en-US"/>
        </w:rPr>
        <w:t>he Applicants</w:t>
      </w:r>
      <w:r w:rsidR="006E598E">
        <w:rPr>
          <w:rFonts w:cs="Arial"/>
          <w:szCs w:val="24"/>
          <w:lang w:eastAsia="en-US"/>
        </w:rPr>
        <w:t xml:space="preserve"> </w:t>
      </w:r>
      <w:r w:rsidR="00786AA1">
        <w:rPr>
          <w:rFonts w:cs="Arial"/>
          <w:szCs w:val="24"/>
          <w:lang w:eastAsia="en-US"/>
        </w:rPr>
        <w:t>provided a response</w:t>
      </w:r>
      <w:r w:rsidR="00072E37" w:rsidRPr="00285CDE">
        <w:rPr>
          <w:rFonts w:cs="Arial"/>
          <w:szCs w:val="24"/>
          <w:lang w:eastAsia="en-US"/>
        </w:rPr>
        <w:t xml:space="preserve"> to the PE Minister </w:t>
      </w:r>
      <w:r w:rsidR="00786AA1">
        <w:rPr>
          <w:rFonts w:cs="Arial"/>
          <w:szCs w:val="24"/>
          <w:lang w:eastAsia="en-US"/>
        </w:rPr>
        <w:t>indicating</w:t>
      </w:r>
      <w:r w:rsidR="00072E37" w:rsidRPr="00285CDE">
        <w:rPr>
          <w:rFonts w:cs="Arial"/>
          <w:szCs w:val="24"/>
          <w:lang w:eastAsia="en-US"/>
        </w:rPr>
        <w:t xml:space="preserve"> that </w:t>
      </w:r>
      <w:r w:rsidR="00786AA1">
        <w:rPr>
          <w:rFonts w:cs="Arial"/>
          <w:szCs w:val="24"/>
          <w:lang w:eastAsia="en-US"/>
        </w:rPr>
        <w:t>their</w:t>
      </w:r>
      <w:r w:rsidR="00072E37" w:rsidRPr="00285CDE">
        <w:rPr>
          <w:rFonts w:cs="Arial"/>
          <w:szCs w:val="24"/>
          <w:lang w:eastAsia="en-US"/>
        </w:rPr>
        <w:t xml:space="preserve"> objections and/or request for further information was misconceived as the BRP had stated that there was no indication as to what the purpose of the due diligence report </w:t>
      </w:r>
      <w:r w:rsidR="00374899" w:rsidRPr="00285CDE">
        <w:rPr>
          <w:rFonts w:cs="Arial"/>
          <w:szCs w:val="24"/>
          <w:lang w:eastAsia="en-US"/>
        </w:rPr>
        <w:t>is or any indication of the expected scope of the investigation envisaged amongst</w:t>
      </w:r>
      <w:r w:rsidR="00072E37" w:rsidRPr="00285CDE">
        <w:rPr>
          <w:rFonts w:cs="Arial"/>
          <w:szCs w:val="24"/>
          <w:lang w:eastAsia="en-US"/>
        </w:rPr>
        <w:t xml:space="preserve"> others.</w:t>
      </w:r>
      <w:r w:rsidR="00374899" w:rsidRPr="00285CDE">
        <w:rPr>
          <w:rFonts w:cs="Arial"/>
          <w:szCs w:val="24"/>
          <w:lang w:eastAsia="en-US"/>
        </w:rPr>
        <w:t xml:space="preserve"> Furthermore, the Applicants submitted that they also responded to the PE Minster’s dissatisfaction with the CDH due diligence</w:t>
      </w:r>
      <w:r w:rsidR="00786AA1">
        <w:rPr>
          <w:rFonts w:cs="Arial"/>
          <w:szCs w:val="24"/>
          <w:lang w:eastAsia="en-US"/>
        </w:rPr>
        <w:t xml:space="preserve"> report</w:t>
      </w:r>
      <w:r w:rsidR="00374899" w:rsidRPr="00285CDE">
        <w:rPr>
          <w:rFonts w:cs="Arial"/>
          <w:szCs w:val="24"/>
          <w:lang w:eastAsia="en-US"/>
        </w:rPr>
        <w:t xml:space="preserve"> </w:t>
      </w:r>
      <w:r w:rsidR="00374899" w:rsidRPr="00285CDE">
        <w:rPr>
          <w:rFonts w:cs="Arial"/>
          <w:szCs w:val="24"/>
          <w:lang w:eastAsia="en-US"/>
        </w:rPr>
        <w:lastRenderedPageBreak/>
        <w:t>to the effect the PE Minister’s concerns were unfounded</w:t>
      </w:r>
      <w:r w:rsidR="00F05608" w:rsidRPr="00285CDE">
        <w:rPr>
          <w:rFonts w:cs="Arial"/>
          <w:szCs w:val="24"/>
          <w:lang w:eastAsia="en-US"/>
        </w:rPr>
        <w:t xml:space="preserve"> as SAA had expressed its satisfaction with the report undertaken by CDH</w:t>
      </w:r>
      <w:r w:rsidR="00374899" w:rsidRPr="00285CDE">
        <w:rPr>
          <w:rFonts w:cs="Arial"/>
          <w:szCs w:val="24"/>
          <w:lang w:eastAsia="en-US"/>
        </w:rPr>
        <w:t xml:space="preserve">. </w:t>
      </w:r>
    </w:p>
    <w:p w14:paraId="0756CB47" w14:textId="477FC145" w:rsidR="00DF11BB"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[78]</w:t>
      </w:r>
      <w:r w:rsidRPr="00285CDE">
        <w:rPr>
          <w:rFonts w:cs="Arial"/>
          <w:szCs w:val="24"/>
        </w:rPr>
        <w:tab/>
      </w:r>
      <w:r w:rsidR="00F05608" w:rsidRPr="00285CDE">
        <w:rPr>
          <w:rFonts w:cs="Arial"/>
          <w:szCs w:val="24"/>
        </w:rPr>
        <w:t xml:space="preserve">Regarding the PE </w:t>
      </w:r>
      <w:r w:rsidR="008A596F" w:rsidRPr="00285CDE">
        <w:rPr>
          <w:rFonts w:cs="Arial"/>
          <w:szCs w:val="24"/>
        </w:rPr>
        <w:t>Minister</w:t>
      </w:r>
      <w:r w:rsidR="00786AA1">
        <w:rPr>
          <w:rFonts w:cs="Arial"/>
          <w:szCs w:val="24"/>
        </w:rPr>
        <w:t>’</w:t>
      </w:r>
      <w:r w:rsidR="008A596F" w:rsidRPr="00285CDE">
        <w:rPr>
          <w:rFonts w:cs="Arial"/>
          <w:szCs w:val="24"/>
        </w:rPr>
        <w:t>s</w:t>
      </w:r>
      <w:r w:rsidR="00F05608" w:rsidRPr="00285CDE">
        <w:rPr>
          <w:rFonts w:cs="Arial"/>
          <w:szCs w:val="24"/>
        </w:rPr>
        <w:t xml:space="preserve"> concern about the potential loss to SAA if </w:t>
      </w:r>
      <w:r w:rsidR="00786AA1">
        <w:rPr>
          <w:rFonts w:cs="Arial"/>
          <w:szCs w:val="24"/>
        </w:rPr>
        <w:t xml:space="preserve">the </w:t>
      </w:r>
      <w:r w:rsidR="00F05608" w:rsidRPr="00285CDE">
        <w:rPr>
          <w:rFonts w:cs="Arial"/>
          <w:szCs w:val="24"/>
        </w:rPr>
        <w:t xml:space="preserve">disposal </w:t>
      </w:r>
      <w:r w:rsidR="00786AA1">
        <w:rPr>
          <w:rFonts w:cs="Arial"/>
          <w:szCs w:val="24"/>
        </w:rPr>
        <w:t xml:space="preserve">were to </w:t>
      </w:r>
      <w:r w:rsidR="00F05608" w:rsidRPr="00285CDE">
        <w:rPr>
          <w:rFonts w:cs="Arial"/>
          <w:szCs w:val="24"/>
        </w:rPr>
        <w:t>proceed, the Applicants submitte</w:t>
      </w:r>
      <w:r w:rsidR="008A596F" w:rsidRPr="00285CDE">
        <w:rPr>
          <w:rFonts w:cs="Arial"/>
          <w:szCs w:val="24"/>
        </w:rPr>
        <w:t>d</w:t>
      </w:r>
      <w:r w:rsidR="00F05608" w:rsidRPr="00285CDE">
        <w:rPr>
          <w:rFonts w:cs="Arial"/>
          <w:szCs w:val="24"/>
        </w:rPr>
        <w:t xml:space="preserve"> that it was clear from the amended business rescue</w:t>
      </w:r>
      <w:r w:rsidR="00DF11BB" w:rsidRPr="00285CDE">
        <w:rPr>
          <w:rFonts w:cs="Arial"/>
          <w:szCs w:val="24"/>
        </w:rPr>
        <w:t xml:space="preserve"> plan as submitted</w:t>
      </w:r>
      <w:r w:rsidR="00786AA1">
        <w:rPr>
          <w:rFonts w:cs="Arial"/>
          <w:szCs w:val="24"/>
        </w:rPr>
        <w:t>,</w:t>
      </w:r>
      <w:r w:rsidR="00F05608" w:rsidRPr="00285CDE">
        <w:rPr>
          <w:rFonts w:cs="Arial"/>
          <w:szCs w:val="24"/>
        </w:rPr>
        <w:t xml:space="preserve"> </w:t>
      </w:r>
      <w:r w:rsidR="00DF11BB" w:rsidRPr="00285CDE">
        <w:rPr>
          <w:rFonts w:cs="Arial"/>
          <w:szCs w:val="24"/>
        </w:rPr>
        <w:t>that SAA as Mango</w:t>
      </w:r>
      <w:r w:rsidR="00E600A5" w:rsidRPr="00285CDE">
        <w:rPr>
          <w:rFonts w:cs="Arial"/>
          <w:szCs w:val="24"/>
        </w:rPr>
        <w:t xml:space="preserve"> A</w:t>
      </w:r>
      <w:r w:rsidR="00B00375">
        <w:rPr>
          <w:rFonts w:cs="Arial"/>
          <w:szCs w:val="24"/>
        </w:rPr>
        <w:t>i</w:t>
      </w:r>
      <w:r w:rsidR="00E600A5" w:rsidRPr="00285CDE">
        <w:rPr>
          <w:rFonts w:cs="Arial"/>
          <w:szCs w:val="24"/>
        </w:rPr>
        <w:t>rline</w:t>
      </w:r>
      <w:r w:rsidR="006E598E">
        <w:rPr>
          <w:rFonts w:cs="Arial"/>
          <w:szCs w:val="24"/>
        </w:rPr>
        <w:t>’</w:t>
      </w:r>
      <w:r w:rsidR="00DF11BB" w:rsidRPr="00285CDE">
        <w:rPr>
          <w:rFonts w:cs="Arial"/>
          <w:szCs w:val="24"/>
        </w:rPr>
        <w:t>s</w:t>
      </w:r>
      <w:r w:rsidR="006E598E">
        <w:rPr>
          <w:rFonts w:cs="Arial"/>
          <w:szCs w:val="24"/>
        </w:rPr>
        <w:t xml:space="preserve"> sole</w:t>
      </w:r>
      <w:r w:rsidR="00DF11BB" w:rsidRPr="00285CDE">
        <w:rPr>
          <w:rFonts w:cs="Arial"/>
          <w:szCs w:val="24"/>
        </w:rPr>
        <w:t xml:space="preserve"> shareholder would receive a nil distribution </w:t>
      </w:r>
      <w:r w:rsidR="006E598E">
        <w:rPr>
          <w:rFonts w:cs="Arial"/>
          <w:szCs w:val="24"/>
        </w:rPr>
        <w:t>as a result of the</w:t>
      </w:r>
      <w:r w:rsidR="00DF11BB" w:rsidRPr="00285CDE">
        <w:rPr>
          <w:rFonts w:cs="Arial"/>
          <w:szCs w:val="24"/>
        </w:rPr>
        <w:t xml:space="preserve"> winding-up</w:t>
      </w:r>
      <w:r w:rsidR="00786AA1">
        <w:rPr>
          <w:rFonts w:cs="Arial"/>
          <w:szCs w:val="24"/>
        </w:rPr>
        <w:t xml:space="preserve"> process</w:t>
      </w:r>
      <w:r w:rsidR="00DF11BB" w:rsidRPr="00285CDE">
        <w:rPr>
          <w:rFonts w:cs="Arial"/>
          <w:szCs w:val="24"/>
        </w:rPr>
        <w:t xml:space="preserve"> and that Mango</w:t>
      </w:r>
      <w:r w:rsidR="00E600A5" w:rsidRPr="00285CDE">
        <w:rPr>
          <w:rFonts w:cs="Arial"/>
          <w:szCs w:val="24"/>
        </w:rPr>
        <w:t xml:space="preserve"> Airline</w:t>
      </w:r>
      <w:r w:rsidR="00DF11BB" w:rsidRPr="00285CDE">
        <w:rPr>
          <w:rFonts w:cs="Arial"/>
          <w:szCs w:val="24"/>
        </w:rPr>
        <w:t>s</w:t>
      </w:r>
      <w:r w:rsidR="00B00375">
        <w:rPr>
          <w:rFonts w:cs="Arial"/>
          <w:szCs w:val="24"/>
        </w:rPr>
        <w:t>’</w:t>
      </w:r>
      <w:r w:rsidR="00DF11BB" w:rsidRPr="00285CDE">
        <w:rPr>
          <w:rFonts w:cs="Arial"/>
          <w:szCs w:val="24"/>
        </w:rPr>
        <w:t xml:space="preserve"> equity value had a nil value due to</w:t>
      </w:r>
      <w:r w:rsidR="00B00375">
        <w:rPr>
          <w:rFonts w:cs="Arial"/>
          <w:szCs w:val="24"/>
        </w:rPr>
        <w:t>, among other things,</w:t>
      </w:r>
      <w:r w:rsidR="00DF11BB" w:rsidRPr="00285CDE">
        <w:rPr>
          <w:rFonts w:cs="Arial"/>
          <w:szCs w:val="24"/>
        </w:rPr>
        <w:t xml:space="preserve"> its significant liabilities. Consequently, the Applicants contend</w:t>
      </w:r>
      <w:r w:rsidR="00E600A5" w:rsidRPr="00285CDE">
        <w:rPr>
          <w:rFonts w:cs="Arial"/>
          <w:szCs w:val="24"/>
        </w:rPr>
        <w:t>ed</w:t>
      </w:r>
      <w:r w:rsidR="00DF11BB" w:rsidRPr="00285CDE">
        <w:rPr>
          <w:rFonts w:cs="Arial"/>
          <w:szCs w:val="24"/>
        </w:rPr>
        <w:t xml:space="preserve"> that “</w:t>
      </w:r>
      <w:r w:rsidR="00DF11BB" w:rsidRPr="00786AA1">
        <w:rPr>
          <w:rFonts w:cs="Arial"/>
          <w:i/>
          <w:iCs w:val="0"/>
          <w:szCs w:val="24"/>
        </w:rPr>
        <w:t>SAA could not suffer any loss from disposing of Mango</w:t>
      </w:r>
      <w:r w:rsidR="00DF11BB" w:rsidRPr="00285CDE">
        <w:rPr>
          <w:rFonts w:cs="Arial"/>
          <w:szCs w:val="24"/>
        </w:rPr>
        <w:t xml:space="preserve">”. </w:t>
      </w:r>
    </w:p>
    <w:p w14:paraId="0523C1DA" w14:textId="12224362" w:rsidR="00DF11BB"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[79]</w:t>
      </w:r>
      <w:r w:rsidRPr="00285CDE">
        <w:rPr>
          <w:rFonts w:cs="Arial"/>
          <w:szCs w:val="24"/>
          <w:lang w:eastAsia="en-US"/>
        </w:rPr>
        <w:tab/>
      </w:r>
      <w:r w:rsidR="00DF11BB" w:rsidRPr="00285CDE">
        <w:rPr>
          <w:rFonts w:cs="Arial"/>
          <w:szCs w:val="24"/>
          <w:lang w:eastAsia="en-US"/>
        </w:rPr>
        <w:t xml:space="preserve">The Applicants further contended that the BRP had in a letter of 4 November 2022 to the PE Minister </w:t>
      </w:r>
      <w:r w:rsidR="00DF11BB" w:rsidRPr="00BF699E">
        <w:rPr>
          <w:rFonts w:cs="Arial"/>
          <w:i/>
          <w:iCs w:val="0"/>
          <w:szCs w:val="24"/>
          <w:lang w:eastAsia="en-US"/>
        </w:rPr>
        <w:t>inter alia</w:t>
      </w:r>
      <w:r w:rsidR="00DF11BB" w:rsidRPr="00285CDE">
        <w:rPr>
          <w:rFonts w:cs="Arial"/>
          <w:szCs w:val="24"/>
          <w:lang w:eastAsia="en-US"/>
        </w:rPr>
        <w:t xml:space="preserve"> </w:t>
      </w:r>
      <w:r w:rsidR="00EE76E7">
        <w:rPr>
          <w:rFonts w:cs="Arial"/>
          <w:szCs w:val="24"/>
          <w:lang w:eastAsia="en-US"/>
        </w:rPr>
        <w:t>advised</w:t>
      </w:r>
      <w:r w:rsidR="00DF11BB" w:rsidRPr="00285CDE">
        <w:rPr>
          <w:rFonts w:cs="Arial"/>
          <w:szCs w:val="24"/>
          <w:lang w:eastAsia="en-US"/>
        </w:rPr>
        <w:t xml:space="preserve"> that “</w:t>
      </w:r>
      <w:r w:rsidR="00DF11BB" w:rsidRPr="00EE76E7">
        <w:rPr>
          <w:rFonts w:cs="Arial"/>
          <w:i/>
          <w:iCs w:val="0"/>
          <w:szCs w:val="24"/>
          <w:lang w:eastAsia="en-US"/>
        </w:rPr>
        <w:t>the priority of payment in bankruptcy and insolvency favours the creditors, ahead of any payments to a shareholder</w:t>
      </w:r>
      <w:r w:rsidR="00DF11BB" w:rsidRPr="00285CDE">
        <w:rPr>
          <w:rFonts w:cs="Arial"/>
          <w:szCs w:val="24"/>
          <w:lang w:eastAsia="en-US"/>
        </w:rPr>
        <w:t>…”</w:t>
      </w:r>
    </w:p>
    <w:p w14:paraId="58C99168" w14:textId="79502181" w:rsidR="00BC4614"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[80]</w:t>
      </w:r>
      <w:r w:rsidRPr="00285CDE">
        <w:rPr>
          <w:rFonts w:cs="Arial"/>
          <w:szCs w:val="24"/>
          <w:lang w:eastAsia="en-US"/>
        </w:rPr>
        <w:tab/>
      </w:r>
      <w:r w:rsidR="00E600A5" w:rsidRPr="00285CDE">
        <w:rPr>
          <w:rFonts w:cs="Arial"/>
          <w:szCs w:val="24"/>
          <w:lang w:eastAsia="en-US"/>
        </w:rPr>
        <w:t>Furthermore, t</w:t>
      </w:r>
      <w:r w:rsidR="00BC4614" w:rsidRPr="00285CDE">
        <w:rPr>
          <w:rFonts w:cs="Arial"/>
          <w:szCs w:val="24"/>
          <w:lang w:eastAsia="en-US"/>
        </w:rPr>
        <w:t xml:space="preserve">he Applicants contended that the PE Minister was alerted to the fact that </w:t>
      </w:r>
      <w:r w:rsidR="00E600A5" w:rsidRPr="00285CDE">
        <w:rPr>
          <w:rFonts w:cs="Arial"/>
          <w:szCs w:val="24"/>
          <w:lang w:eastAsia="en-US"/>
        </w:rPr>
        <w:t xml:space="preserve">the </w:t>
      </w:r>
      <w:r w:rsidR="00BC4614" w:rsidRPr="00285CDE">
        <w:rPr>
          <w:rFonts w:cs="Arial"/>
          <w:szCs w:val="24"/>
          <w:lang w:eastAsia="en-US"/>
        </w:rPr>
        <w:t>preferred bidder’s business plan contains sensitive information that the consortium had opposed to being shared as SAA and Mango Airline</w:t>
      </w:r>
      <w:r w:rsidR="00110663">
        <w:rPr>
          <w:rFonts w:cs="Arial"/>
          <w:szCs w:val="24"/>
          <w:lang w:eastAsia="en-US"/>
        </w:rPr>
        <w:t>s</w:t>
      </w:r>
      <w:r w:rsidR="00BC4614" w:rsidRPr="00285CDE">
        <w:rPr>
          <w:rFonts w:cs="Arial"/>
          <w:szCs w:val="24"/>
          <w:lang w:eastAsia="en-US"/>
        </w:rPr>
        <w:t xml:space="preserve"> will be competitors. However, </w:t>
      </w:r>
      <w:r w:rsidR="00E600A5" w:rsidRPr="00285CDE">
        <w:rPr>
          <w:rFonts w:cs="Arial"/>
          <w:szCs w:val="24"/>
          <w:lang w:eastAsia="en-US"/>
        </w:rPr>
        <w:t>t</w:t>
      </w:r>
      <w:r w:rsidR="00BC4614" w:rsidRPr="00285CDE">
        <w:rPr>
          <w:rFonts w:cs="Arial"/>
          <w:szCs w:val="24"/>
          <w:lang w:eastAsia="en-US"/>
        </w:rPr>
        <w:t xml:space="preserve">he executive summary of the said business plan was </w:t>
      </w:r>
      <w:r w:rsidR="00E600A5" w:rsidRPr="00285CDE">
        <w:rPr>
          <w:rFonts w:cs="Arial"/>
          <w:szCs w:val="24"/>
          <w:lang w:eastAsia="en-US"/>
        </w:rPr>
        <w:t>shared</w:t>
      </w:r>
      <w:r w:rsidR="00BC4614" w:rsidRPr="00285CDE">
        <w:rPr>
          <w:rFonts w:cs="Arial"/>
          <w:szCs w:val="24"/>
          <w:lang w:eastAsia="en-US"/>
        </w:rPr>
        <w:t xml:space="preserve"> with the PE Minister. </w:t>
      </w:r>
    </w:p>
    <w:p w14:paraId="679061CE" w14:textId="464C5470" w:rsidR="00BC4614"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[81]</w:t>
      </w:r>
      <w:r w:rsidRPr="00285CDE">
        <w:rPr>
          <w:rFonts w:cs="Arial"/>
          <w:szCs w:val="24"/>
          <w:lang w:eastAsia="en-US"/>
        </w:rPr>
        <w:tab/>
      </w:r>
      <w:r w:rsidR="00BC4614" w:rsidRPr="00285CDE">
        <w:rPr>
          <w:rFonts w:cs="Arial"/>
          <w:szCs w:val="24"/>
          <w:lang w:eastAsia="en-US"/>
        </w:rPr>
        <w:t>The Applicants argue</w:t>
      </w:r>
      <w:r w:rsidR="00C16496" w:rsidRPr="00285CDE">
        <w:rPr>
          <w:rFonts w:cs="Arial"/>
          <w:szCs w:val="24"/>
          <w:lang w:eastAsia="en-US"/>
        </w:rPr>
        <w:t>d</w:t>
      </w:r>
      <w:r w:rsidR="00BC4614" w:rsidRPr="00285CDE">
        <w:rPr>
          <w:rFonts w:cs="Arial"/>
          <w:szCs w:val="24"/>
          <w:lang w:eastAsia="en-US"/>
        </w:rPr>
        <w:t xml:space="preserve"> that the issue of foreign ownership does not arise in this case because the </w:t>
      </w:r>
      <w:r w:rsidR="00EE76E7">
        <w:rPr>
          <w:rFonts w:cs="Arial"/>
          <w:szCs w:val="24"/>
          <w:lang w:eastAsia="en-US"/>
        </w:rPr>
        <w:t xml:space="preserve">owners of the </w:t>
      </w:r>
      <w:r w:rsidR="00BC4614" w:rsidRPr="00285CDE">
        <w:rPr>
          <w:rFonts w:cs="Arial"/>
          <w:szCs w:val="24"/>
          <w:lang w:eastAsia="en-US"/>
        </w:rPr>
        <w:t>invest</w:t>
      </w:r>
      <w:r w:rsidR="00EE76E7">
        <w:rPr>
          <w:rFonts w:cs="Arial"/>
          <w:szCs w:val="24"/>
          <w:lang w:eastAsia="en-US"/>
        </w:rPr>
        <w:t>ment company</w:t>
      </w:r>
      <w:r w:rsidR="00BC4614" w:rsidRPr="00285CDE">
        <w:rPr>
          <w:rFonts w:cs="Arial"/>
          <w:szCs w:val="24"/>
          <w:lang w:eastAsia="en-US"/>
        </w:rPr>
        <w:t xml:space="preserve"> are South Africans and have furnished proof of this fact, including their South African identity documents.</w:t>
      </w:r>
    </w:p>
    <w:p w14:paraId="5404A7B8" w14:textId="50F0F0A2" w:rsidR="00BC4614"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[82]</w:t>
      </w:r>
      <w:r w:rsidRPr="00285CDE">
        <w:rPr>
          <w:rFonts w:cs="Arial"/>
          <w:szCs w:val="24"/>
          <w:lang w:eastAsia="en-US"/>
        </w:rPr>
        <w:tab/>
      </w:r>
      <w:r w:rsidR="00787DF5" w:rsidRPr="00285CDE">
        <w:rPr>
          <w:rFonts w:cs="Arial"/>
          <w:szCs w:val="24"/>
          <w:lang w:eastAsia="en-US"/>
        </w:rPr>
        <w:t>The Applicants contend that the PE Minister</w:t>
      </w:r>
      <w:r w:rsidR="00110663">
        <w:rPr>
          <w:rFonts w:cs="Arial"/>
          <w:szCs w:val="24"/>
          <w:lang w:eastAsia="en-US"/>
        </w:rPr>
        <w:t>’</w:t>
      </w:r>
      <w:r w:rsidR="00787DF5" w:rsidRPr="00285CDE">
        <w:rPr>
          <w:rFonts w:cs="Arial"/>
          <w:szCs w:val="24"/>
          <w:lang w:eastAsia="en-US"/>
        </w:rPr>
        <w:t>s reliance on “</w:t>
      </w:r>
      <w:r w:rsidR="00787DF5" w:rsidRPr="00AF76AA">
        <w:rPr>
          <w:rFonts w:cs="Arial"/>
          <w:i/>
          <w:iCs w:val="0"/>
          <w:szCs w:val="24"/>
          <w:lang w:eastAsia="en-US"/>
        </w:rPr>
        <w:t>the return of R800 000 000.00 investment from the state</w:t>
      </w:r>
      <w:r w:rsidR="00787DF5" w:rsidRPr="00285CDE">
        <w:rPr>
          <w:rFonts w:eastAsia="TimesNewRomanPSMT" w:cs="Arial"/>
          <w:szCs w:val="24"/>
          <w:lang w:eastAsia="en-US"/>
        </w:rPr>
        <w:t>” to Mango Airline</w:t>
      </w:r>
      <w:r w:rsidR="00110663">
        <w:rPr>
          <w:rFonts w:eastAsia="TimesNewRomanPSMT" w:cs="Arial"/>
          <w:szCs w:val="24"/>
          <w:lang w:eastAsia="en-US"/>
        </w:rPr>
        <w:t>s</w:t>
      </w:r>
      <w:r w:rsidR="00787DF5" w:rsidRPr="00285CDE">
        <w:rPr>
          <w:rFonts w:eastAsia="TimesNewRomanPSMT" w:cs="Arial"/>
          <w:szCs w:val="24"/>
          <w:lang w:eastAsia="en-US"/>
        </w:rPr>
        <w:t xml:space="preserve"> is misplaced as that money was </w:t>
      </w:r>
      <w:r w:rsidR="00AF76AA">
        <w:rPr>
          <w:rFonts w:eastAsia="TimesNewRomanPSMT" w:cs="Arial"/>
          <w:szCs w:val="24"/>
          <w:lang w:eastAsia="en-US"/>
        </w:rPr>
        <w:t>set aside for</w:t>
      </w:r>
      <w:r w:rsidR="00787DF5" w:rsidRPr="00285CDE">
        <w:rPr>
          <w:rFonts w:eastAsia="TimesNewRomanPSMT" w:cs="Arial"/>
          <w:szCs w:val="24"/>
          <w:lang w:eastAsia="en-US"/>
        </w:rPr>
        <w:t xml:space="preserve"> Mango Airlines’ business rescue plan and not </w:t>
      </w:r>
      <w:r w:rsidR="00EE76E7">
        <w:rPr>
          <w:rFonts w:eastAsia="TimesNewRomanPSMT" w:cs="Arial"/>
          <w:szCs w:val="24"/>
          <w:lang w:eastAsia="en-US"/>
        </w:rPr>
        <w:t xml:space="preserve">for </w:t>
      </w:r>
      <w:r w:rsidR="00787DF5" w:rsidRPr="00285CDE">
        <w:rPr>
          <w:rFonts w:eastAsia="TimesNewRomanPSMT" w:cs="Arial"/>
          <w:szCs w:val="24"/>
          <w:lang w:eastAsia="en-US"/>
        </w:rPr>
        <w:t>the ordinary</w:t>
      </w:r>
      <w:r w:rsidR="00EE76E7">
        <w:rPr>
          <w:rFonts w:eastAsia="TimesNewRomanPSMT" w:cs="Arial"/>
          <w:szCs w:val="24"/>
          <w:lang w:eastAsia="en-US"/>
        </w:rPr>
        <w:t xml:space="preserve"> operations</w:t>
      </w:r>
      <w:r w:rsidR="00787DF5" w:rsidRPr="00285CDE">
        <w:rPr>
          <w:rFonts w:eastAsia="TimesNewRomanPSMT" w:cs="Arial"/>
          <w:szCs w:val="24"/>
          <w:lang w:eastAsia="en-US"/>
        </w:rPr>
        <w:t xml:space="preserve"> </w:t>
      </w:r>
      <w:r w:rsidR="00EE76E7">
        <w:rPr>
          <w:rFonts w:eastAsia="TimesNewRomanPSMT" w:cs="Arial"/>
          <w:szCs w:val="24"/>
          <w:lang w:eastAsia="en-US"/>
        </w:rPr>
        <w:t>of the airline</w:t>
      </w:r>
      <w:r w:rsidR="00787DF5" w:rsidRPr="00285CDE">
        <w:rPr>
          <w:rFonts w:eastAsia="TimesNewRomanPSMT" w:cs="Arial"/>
          <w:szCs w:val="24"/>
          <w:lang w:eastAsia="en-US"/>
        </w:rPr>
        <w:t>.</w:t>
      </w:r>
    </w:p>
    <w:p w14:paraId="166DEEDA" w14:textId="2B6EB3B5" w:rsidR="00BC4614"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[83]</w:t>
      </w:r>
      <w:r w:rsidRPr="00285CDE">
        <w:rPr>
          <w:rFonts w:cs="Arial"/>
          <w:szCs w:val="24"/>
          <w:lang w:eastAsia="en-US"/>
        </w:rPr>
        <w:tab/>
      </w:r>
      <w:r w:rsidR="00BC4614" w:rsidRPr="00285CDE">
        <w:rPr>
          <w:rFonts w:cs="Arial"/>
          <w:szCs w:val="24"/>
        </w:rPr>
        <w:t xml:space="preserve">Therefore, the Applicants </w:t>
      </w:r>
      <w:r w:rsidR="00C16496" w:rsidRPr="00285CDE">
        <w:rPr>
          <w:rFonts w:cs="Arial"/>
          <w:szCs w:val="24"/>
        </w:rPr>
        <w:t>submitted</w:t>
      </w:r>
      <w:r w:rsidR="00BC4614" w:rsidRPr="00285CDE">
        <w:rPr>
          <w:rFonts w:cs="Arial"/>
          <w:szCs w:val="24"/>
        </w:rPr>
        <w:t xml:space="preserve"> that there is no basis for the PE Minister to demand further information.  </w:t>
      </w:r>
    </w:p>
    <w:bookmarkEnd w:id="7"/>
    <w:p w14:paraId="1AC0C1BB" w14:textId="0AF68B68" w:rsidR="004E0B33" w:rsidRPr="00285CDE" w:rsidRDefault="00ED2769" w:rsidP="004E0B33">
      <w:pPr>
        <w:pStyle w:val="1"/>
        <w:numPr>
          <w:ilvl w:val="0"/>
          <w:numId w:val="0"/>
        </w:numPr>
        <w:spacing w:line="360" w:lineRule="auto"/>
        <w:rPr>
          <w:b/>
          <w:bCs/>
        </w:rPr>
      </w:pPr>
      <w:r w:rsidRPr="00285CDE">
        <w:rPr>
          <w:b/>
          <w:bCs/>
        </w:rPr>
        <w:lastRenderedPageBreak/>
        <w:t>NUMSA’S</w:t>
      </w:r>
      <w:r w:rsidR="004E0B33" w:rsidRPr="00285CDE">
        <w:rPr>
          <w:b/>
          <w:bCs/>
        </w:rPr>
        <w:t xml:space="preserve"> SUBMISSI</w:t>
      </w:r>
      <w:r w:rsidRPr="00285CDE">
        <w:rPr>
          <w:b/>
          <w:bCs/>
        </w:rPr>
        <w:t>ONS</w:t>
      </w:r>
      <w:r w:rsidR="004E0B33" w:rsidRPr="00285CDE">
        <w:rPr>
          <w:b/>
          <w:bCs/>
        </w:rPr>
        <w:t xml:space="preserve">  </w:t>
      </w:r>
    </w:p>
    <w:p w14:paraId="72A7E3D0" w14:textId="2C208FE2" w:rsidR="0026395B" w:rsidRPr="00285CDE" w:rsidRDefault="00AF76AA" w:rsidP="001B5213">
      <w:pPr>
        <w:pStyle w:val="1"/>
        <w:numPr>
          <w:ilvl w:val="0"/>
          <w:numId w:val="0"/>
        </w:numPr>
        <w:spacing w:line="360" w:lineRule="auto"/>
        <w:rPr>
          <w:u w:val="single"/>
        </w:rPr>
      </w:pPr>
      <w:r>
        <w:rPr>
          <w:u w:val="single"/>
        </w:rPr>
        <w:t xml:space="preserve">Locus </w:t>
      </w:r>
      <w:r w:rsidR="00117AB5">
        <w:rPr>
          <w:u w:val="single"/>
        </w:rPr>
        <w:t>s</w:t>
      </w:r>
      <w:r>
        <w:rPr>
          <w:u w:val="single"/>
        </w:rPr>
        <w:t>tandi</w:t>
      </w:r>
    </w:p>
    <w:p w14:paraId="7313E552" w14:textId="53CE4660" w:rsidR="00EB5ECF" w:rsidRPr="00285CDE" w:rsidRDefault="00890EE4" w:rsidP="00890EE4">
      <w:pPr>
        <w:pStyle w:val="1"/>
        <w:numPr>
          <w:ilvl w:val="0"/>
          <w:numId w:val="0"/>
        </w:numPr>
        <w:tabs>
          <w:tab w:val="left" w:pos="567"/>
        </w:tabs>
        <w:spacing w:line="360" w:lineRule="auto"/>
        <w:ind w:left="567" w:hanging="567"/>
        <w:rPr>
          <w:b/>
          <w:bCs/>
        </w:rPr>
      </w:pPr>
      <w:r w:rsidRPr="00285CDE">
        <w:rPr>
          <w:rFonts w:cs="Arial"/>
          <w:szCs w:val="24"/>
        </w:rPr>
        <w:t>[84]</w:t>
      </w:r>
      <w:r w:rsidRPr="00285CDE">
        <w:rPr>
          <w:rFonts w:cs="Arial"/>
          <w:szCs w:val="24"/>
        </w:rPr>
        <w:tab/>
      </w:r>
      <w:r w:rsidR="00F45347" w:rsidRPr="00285CDE">
        <w:rPr>
          <w:bCs/>
        </w:rPr>
        <w:t xml:space="preserve">The </w:t>
      </w:r>
      <w:r w:rsidR="00EE76E7">
        <w:rPr>
          <w:bCs/>
        </w:rPr>
        <w:t>Third Applicant</w:t>
      </w:r>
      <w:r w:rsidR="00CE7EB8" w:rsidRPr="00285CDE">
        <w:rPr>
          <w:bCs/>
        </w:rPr>
        <w:t xml:space="preserve"> </w:t>
      </w:r>
      <w:r w:rsidR="001E58BE" w:rsidRPr="00285CDE">
        <w:rPr>
          <w:bCs/>
        </w:rPr>
        <w:t xml:space="preserve">argued that the source </w:t>
      </w:r>
      <w:r w:rsidR="00117AB5">
        <w:rPr>
          <w:bCs/>
        </w:rPr>
        <w:t xml:space="preserve">for their </w:t>
      </w:r>
      <w:r w:rsidR="00117AB5" w:rsidRPr="00117AB5">
        <w:rPr>
          <w:bCs/>
          <w:i/>
          <w:iCs w:val="0"/>
        </w:rPr>
        <w:t>locus standi</w:t>
      </w:r>
      <w:r w:rsidR="00117AB5">
        <w:rPr>
          <w:bCs/>
        </w:rPr>
        <w:t xml:space="preserve"> </w:t>
      </w:r>
      <w:r w:rsidR="001E58BE" w:rsidRPr="00285CDE">
        <w:rPr>
          <w:bCs/>
        </w:rPr>
        <w:t>is</w:t>
      </w:r>
      <w:r w:rsidR="00117AB5">
        <w:rPr>
          <w:bCs/>
        </w:rPr>
        <w:t xml:space="preserve"> derived from</w:t>
      </w:r>
      <w:r w:rsidR="001E58BE" w:rsidRPr="00285CDE">
        <w:rPr>
          <w:bCs/>
        </w:rPr>
        <w:t xml:space="preserve"> section 38</w:t>
      </w:r>
      <w:r w:rsidR="0026395B" w:rsidRPr="00285CDE">
        <w:rPr>
          <w:bCs/>
        </w:rPr>
        <w:t>(e)</w:t>
      </w:r>
      <w:r w:rsidR="001E58BE" w:rsidRPr="00285CDE">
        <w:rPr>
          <w:bCs/>
        </w:rPr>
        <w:t xml:space="preserve"> of the Constitution which entitles an</w:t>
      </w:r>
      <w:r w:rsidR="0026395B" w:rsidRPr="00285CDE">
        <w:rPr>
          <w:bCs/>
        </w:rPr>
        <w:t xml:space="preserve"> association</w:t>
      </w:r>
      <w:r w:rsidR="001E58BE" w:rsidRPr="00285CDE">
        <w:rPr>
          <w:bCs/>
        </w:rPr>
        <w:t xml:space="preserve"> to act on behalf of </w:t>
      </w:r>
      <w:r w:rsidR="0026395B" w:rsidRPr="00285CDE">
        <w:rPr>
          <w:bCs/>
        </w:rPr>
        <w:t xml:space="preserve">its members </w:t>
      </w:r>
      <w:r w:rsidR="001E58BE" w:rsidRPr="00285CDE">
        <w:rPr>
          <w:bCs/>
        </w:rPr>
        <w:t>to enforce their constitutional rights when they have</w:t>
      </w:r>
      <w:r w:rsidR="0026395B" w:rsidRPr="00285CDE">
        <w:rPr>
          <w:bCs/>
        </w:rPr>
        <w:t xml:space="preserve"> been</w:t>
      </w:r>
      <w:r w:rsidR="001E58BE" w:rsidRPr="00285CDE">
        <w:rPr>
          <w:bCs/>
        </w:rPr>
        <w:t xml:space="preserve"> breached </w:t>
      </w:r>
      <w:r w:rsidR="0026395B" w:rsidRPr="00285CDE">
        <w:rPr>
          <w:bCs/>
        </w:rPr>
        <w:t xml:space="preserve">in terms of </w:t>
      </w:r>
      <w:r w:rsidR="00C67014" w:rsidRPr="00285CDE">
        <w:rPr>
          <w:bCs/>
        </w:rPr>
        <w:t>sections</w:t>
      </w:r>
      <w:r w:rsidR="001E58BE" w:rsidRPr="00285CDE">
        <w:rPr>
          <w:bCs/>
        </w:rPr>
        <w:t xml:space="preserve"> 33 and 237 of the Constitution. </w:t>
      </w:r>
    </w:p>
    <w:p w14:paraId="507425F4" w14:textId="0FBCA9E4" w:rsidR="001E58BE" w:rsidRPr="00285CDE" w:rsidRDefault="00890EE4" w:rsidP="00890EE4">
      <w:pPr>
        <w:pStyle w:val="1"/>
        <w:numPr>
          <w:ilvl w:val="0"/>
          <w:numId w:val="0"/>
        </w:numPr>
        <w:tabs>
          <w:tab w:val="left" w:pos="567"/>
        </w:tabs>
        <w:spacing w:line="360" w:lineRule="auto"/>
        <w:ind w:left="567" w:hanging="567"/>
        <w:rPr>
          <w:b/>
          <w:bCs/>
        </w:rPr>
      </w:pPr>
      <w:r w:rsidRPr="00285CDE">
        <w:rPr>
          <w:rFonts w:cs="Arial"/>
          <w:szCs w:val="24"/>
        </w:rPr>
        <w:t>[85]</w:t>
      </w:r>
      <w:r w:rsidRPr="00285CDE">
        <w:rPr>
          <w:rFonts w:cs="Arial"/>
          <w:szCs w:val="24"/>
        </w:rPr>
        <w:tab/>
      </w:r>
      <w:r w:rsidR="001E58BE" w:rsidRPr="00285CDE">
        <w:rPr>
          <w:bCs/>
        </w:rPr>
        <w:t>NUMSA further contended that section 33 of the Constitution guarantees everyone the right to</w:t>
      </w:r>
      <w:r w:rsidR="00C67014" w:rsidRPr="00285CDE">
        <w:rPr>
          <w:bCs/>
        </w:rPr>
        <w:t xml:space="preserve"> a</w:t>
      </w:r>
      <w:r w:rsidR="001E58BE" w:rsidRPr="00285CDE">
        <w:rPr>
          <w:bCs/>
        </w:rPr>
        <w:t xml:space="preserve"> just and fair administrative action which includes protection against </w:t>
      </w:r>
      <w:r w:rsidR="00C67014" w:rsidRPr="00285CDE">
        <w:rPr>
          <w:bCs/>
        </w:rPr>
        <w:t>a</w:t>
      </w:r>
      <w:r w:rsidR="001E58BE" w:rsidRPr="00285CDE">
        <w:rPr>
          <w:bCs/>
        </w:rPr>
        <w:t xml:space="preserve"> failure of the administrator to </w:t>
      </w:r>
      <w:r w:rsidR="00AC1ECB">
        <w:rPr>
          <w:bCs/>
        </w:rPr>
        <w:t>take a decision</w:t>
      </w:r>
      <w:r w:rsidR="001E58BE" w:rsidRPr="00285CDE">
        <w:rPr>
          <w:bCs/>
        </w:rPr>
        <w:t xml:space="preserve"> when exercising public power as provided for in sections 6(2)(g) and 6((3)(b) of PAJA.</w:t>
      </w:r>
    </w:p>
    <w:p w14:paraId="3E69DB6F" w14:textId="4BFBA383" w:rsidR="00C67014" w:rsidRPr="00285CDE" w:rsidRDefault="00890EE4" w:rsidP="00890EE4">
      <w:pPr>
        <w:pStyle w:val="1"/>
        <w:numPr>
          <w:ilvl w:val="0"/>
          <w:numId w:val="0"/>
        </w:numPr>
        <w:tabs>
          <w:tab w:val="left" w:pos="567"/>
        </w:tabs>
        <w:spacing w:line="360" w:lineRule="auto"/>
        <w:ind w:left="567" w:hanging="567"/>
        <w:rPr>
          <w:b/>
          <w:bCs/>
        </w:rPr>
      </w:pPr>
      <w:r w:rsidRPr="00285CDE">
        <w:rPr>
          <w:rFonts w:cs="Arial"/>
          <w:szCs w:val="24"/>
        </w:rPr>
        <w:t>[86]</w:t>
      </w:r>
      <w:r w:rsidRPr="00285CDE">
        <w:rPr>
          <w:rFonts w:cs="Arial"/>
          <w:szCs w:val="24"/>
        </w:rPr>
        <w:tab/>
      </w:r>
      <w:r w:rsidR="00C67014" w:rsidRPr="00285CDE">
        <w:rPr>
          <w:bCs/>
        </w:rPr>
        <w:t xml:space="preserve">NUMSA submitted that the PE </w:t>
      </w:r>
      <w:r w:rsidR="00BF699E">
        <w:rPr>
          <w:bCs/>
        </w:rPr>
        <w:t>Minister's</w:t>
      </w:r>
      <w:r w:rsidR="00C67014" w:rsidRPr="00285CDE">
        <w:rPr>
          <w:bCs/>
        </w:rPr>
        <w:t xml:space="preserve"> </w:t>
      </w:r>
      <w:r w:rsidR="00110663">
        <w:rPr>
          <w:bCs/>
        </w:rPr>
        <w:t xml:space="preserve">decision </w:t>
      </w:r>
      <w:r w:rsidR="00C67014" w:rsidRPr="00285CDE">
        <w:rPr>
          <w:bCs/>
        </w:rPr>
        <w:t xml:space="preserve">in terms of section 54(2) of the PFMA </w:t>
      </w:r>
      <w:r w:rsidR="00117AB5">
        <w:rPr>
          <w:bCs/>
        </w:rPr>
        <w:t>constitutes</w:t>
      </w:r>
      <w:r w:rsidR="00EE76E7">
        <w:rPr>
          <w:bCs/>
        </w:rPr>
        <w:t xml:space="preserve"> the</w:t>
      </w:r>
      <w:r w:rsidR="00C67014" w:rsidRPr="00285CDE">
        <w:rPr>
          <w:bCs/>
        </w:rPr>
        <w:t xml:space="preserve"> implementation of national legislation in terms of section 85(2)(a) of the Constitution and has </w:t>
      </w:r>
      <w:r w:rsidR="00117AB5">
        <w:rPr>
          <w:bCs/>
        </w:rPr>
        <w:t xml:space="preserve">an </w:t>
      </w:r>
      <w:r w:rsidR="00C67014" w:rsidRPr="00285CDE">
        <w:rPr>
          <w:bCs/>
        </w:rPr>
        <w:t xml:space="preserve">external binding effect. Based on this, NUMSA argued that </w:t>
      </w:r>
      <w:r w:rsidR="008E0299" w:rsidRPr="00285CDE">
        <w:rPr>
          <w:bCs/>
        </w:rPr>
        <w:t xml:space="preserve">the PE Minister’s power must be exercised reasonably and lawfully in a manner that does not adversely affect the rights of </w:t>
      </w:r>
      <w:r w:rsidR="00C16496" w:rsidRPr="00285CDE">
        <w:rPr>
          <w:bCs/>
        </w:rPr>
        <w:t>NUMSA’s</w:t>
      </w:r>
      <w:r w:rsidR="008E0299" w:rsidRPr="00285CDE">
        <w:rPr>
          <w:bCs/>
        </w:rPr>
        <w:t xml:space="preserve"> members who were employed by Mango Airline</w:t>
      </w:r>
      <w:r w:rsidR="00110663">
        <w:rPr>
          <w:bCs/>
        </w:rPr>
        <w:t>s</w:t>
      </w:r>
      <w:r w:rsidR="008E0299" w:rsidRPr="00285CDE">
        <w:rPr>
          <w:bCs/>
        </w:rPr>
        <w:t xml:space="preserve">. </w:t>
      </w:r>
    </w:p>
    <w:p w14:paraId="380183A0" w14:textId="4CFAC8F1" w:rsidR="0026395B" w:rsidRPr="00285CDE" w:rsidRDefault="00890EE4" w:rsidP="00890EE4">
      <w:pPr>
        <w:pStyle w:val="1"/>
        <w:numPr>
          <w:ilvl w:val="0"/>
          <w:numId w:val="0"/>
        </w:numPr>
        <w:tabs>
          <w:tab w:val="left" w:pos="567"/>
        </w:tabs>
        <w:spacing w:line="360" w:lineRule="auto"/>
        <w:ind w:left="567" w:hanging="567"/>
        <w:rPr>
          <w:b/>
          <w:bCs/>
        </w:rPr>
      </w:pPr>
      <w:r w:rsidRPr="00285CDE">
        <w:rPr>
          <w:rFonts w:cs="Arial"/>
          <w:szCs w:val="24"/>
        </w:rPr>
        <w:t>[87]</w:t>
      </w:r>
      <w:r w:rsidRPr="00285CDE">
        <w:rPr>
          <w:rFonts w:cs="Arial"/>
          <w:szCs w:val="24"/>
        </w:rPr>
        <w:tab/>
      </w:r>
      <w:r w:rsidR="0026395B" w:rsidRPr="00285CDE">
        <w:rPr>
          <w:bCs/>
        </w:rPr>
        <w:t xml:space="preserve">NUMSA contended that the PE Minister has a constitutional duty to ensure that the application made in terms of section 54(2) of the PFMA is finalised without delay as per section 237 of the Constitution.  </w:t>
      </w:r>
    </w:p>
    <w:p w14:paraId="6FBF41CB" w14:textId="4AD79EFA" w:rsidR="0026395B" w:rsidRPr="00285CDE" w:rsidRDefault="00890EE4" w:rsidP="00890EE4">
      <w:pPr>
        <w:pStyle w:val="1"/>
        <w:numPr>
          <w:ilvl w:val="0"/>
          <w:numId w:val="0"/>
        </w:numPr>
        <w:tabs>
          <w:tab w:val="left" w:pos="567"/>
        </w:tabs>
        <w:spacing w:line="360" w:lineRule="auto"/>
        <w:ind w:left="567" w:hanging="567"/>
        <w:rPr>
          <w:b/>
          <w:bCs/>
        </w:rPr>
      </w:pPr>
      <w:r w:rsidRPr="00285CDE">
        <w:rPr>
          <w:rFonts w:cs="Arial"/>
          <w:szCs w:val="24"/>
        </w:rPr>
        <w:t>[88]</w:t>
      </w:r>
      <w:r w:rsidRPr="00285CDE">
        <w:rPr>
          <w:rFonts w:cs="Arial"/>
          <w:szCs w:val="24"/>
        </w:rPr>
        <w:tab/>
      </w:r>
      <w:r w:rsidR="0026395B" w:rsidRPr="00285CDE">
        <w:rPr>
          <w:bCs/>
        </w:rPr>
        <w:t xml:space="preserve">Based on the above, NUMSA argued that it has the relevant legal standing to bring this review application. In the </w:t>
      </w:r>
      <w:r w:rsidR="00C4068C" w:rsidRPr="00285CDE">
        <w:rPr>
          <w:bCs/>
        </w:rPr>
        <w:t>alternative, NUMSA</w:t>
      </w:r>
      <w:r w:rsidR="0026395B" w:rsidRPr="00285CDE">
        <w:rPr>
          <w:bCs/>
        </w:rPr>
        <w:t xml:space="preserve"> contended that it is both in the interest of justice and public interest that its application is determined. </w:t>
      </w:r>
    </w:p>
    <w:p w14:paraId="583909E4" w14:textId="068C877C" w:rsidR="0026395B" w:rsidRPr="00285CDE" w:rsidRDefault="00C4068C" w:rsidP="001B5213">
      <w:pPr>
        <w:pStyle w:val="1"/>
        <w:numPr>
          <w:ilvl w:val="0"/>
          <w:numId w:val="0"/>
        </w:numPr>
        <w:spacing w:line="360" w:lineRule="auto"/>
        <w:rPr>
          <w:b/>
          <w:bCs/>
          <w:u w:val="single"/>
        </w:rPr>
      </w:pPr>
      <w:r w:rsidRPr="00285CDE">
        <w:rPr>
          <w:bCs/>
          <w:u w:val="single"/>
        </w:rPr>
        <w:t>Direct and substantial interest</w:t>
      </w:r>
    </w:p>
    <w:p w14:paraId="19FC6505" w14:textId="62D61B06" w:rsidR="0026395B" w:rsidRPr="00285CDE" w:rsidRDefault="00890EE4" w:rsidP="00890EE4">
      <w:pPr>
        <w:pStyle w:val="1"/>
        <w:numPr>
          <w:ilvl w:val="0"/>
          <w:numId w:val="0"/>
        </w:numPr>
        <w:tabs>
          <w:tab w:val="left" w:pos="567"/>
        </w:tabs>
        <w:spacing w:line="360" w:lineRule="auto"/>
        <w:ind w:left="567" w:hanging="567"/>
      </w:pPr>
      <w:r w:rsidRPr="00285CDE">
        <w:rPr>
          <w:rFonts w:cs="Arial"/>
          <w:szCs w:val="24"/>
        </w:rPr>
        <w:t>[89]</w:t>
      </w:r>
      <w:r w:rsidRPr="00285CDE">
        <w:rPr>
          <w:rFonts w:cs="Arial"/>
          <w:szCs w:val="24"/>
        </w:rPr>
        <w:tab/>
      </w:r>
      <w:r w:rsidR="00667BBE" w:rsidRPr="00285CDE">
        <w:t xml:space="preserve">NUMSA argued that it has a direct and substantial interest because of </w:t>
      </w:r>
      <w:r w:rsidR="00667BBE" w:rsidRPr="00BF699E">
        <w:rPr>
          <w:i/>
          <w:iCs w:val="0"/>
        </w:rPr>
        <w:t>inter alia</w:t>
      </w:r>
      <w:r w:rsidR="00667BBE" w:rsidRPr="00285CDE">
        <w:t xml:space="preserve"> </w:t>
      </w:r>
      <w:r w:rsidR="00EE76E7">
        <w:t>their members are</w:t>
      </w:r>
      <w:r w:rsidR="00667BBE" w:rsidRPr="00285CDE">
        <w:t xml:space="preserve"> affected person</w:t>
      </w:r>
      <w:r w:rsidR="00EE76E7">
        <w:t>s</w:t>
      </w:r>
      <w:r w:rsidR="00667BBE" w:rsidRPr="00285CDE">
        <w:t xml:space="preserve"> in terms of section 120 of the Companies Act and the</w:t>
      </w:r>
      <w:r w:rsidR="00EE76E7">
        <w:t>re exists a</w:t>
      </w:r>
      <w:r w:rsidR="00667BBE" w:rsidRPr="00285CDE">
        <w:t xml:space="preserve"> duty to seek the implementation of various agreements affecting its members as entered into by NUMSA and SAA and Air Chefs S</w:t>
      </w:r>
      <w:r w:rsidR="00EE76E7">
        <w:t>O</w:t>
      </w:r>
      <w:r w:rsidR="00667BBE" w:rsidRPr="00285CDE">
        <w:t xml:space="preserve">C </w:t>
      </w:r>
      <w:r w:rsidR="00667BBE" w:rsidRPr="00285CDE">
        <w:lastRenderedPageBreak/>
        <w:t xml:space="preserve">Ltd. Consequently, NUMSA argues that its intervention is necessary </w:t>
      </w:r>
      <w:r w:rsidR="00EE76E7">
        <w:t>as they</w:t>
      </w:r>
      <w:r w:rsidR="00667BBE" w:rsidRPr="00285CDE">
        <w:t xml:space="preserve"> place the interests of its members before this Court. </w:t>
      </w:r>
    </w:p>
    <w:p w14:paraId="2349DE5C" w14:textId="32F10192" w:rsidR="0026395B" w:rsidRPr="00285CDE" w:rsidRDefault="00890EE4" w:rsidP="00890EE4">
      <w:pPr>
        <w:pStyle w:val="1"/>
        <w:numPr>
          <w:ilvl w:val="0"/>
          <w:numId w:val="0"/>
        </w:numPr>
        <w:tabs>
          <w:tab w:val="left" w:pos="567"/>
        </w:tabs>
        <w:spacing w:line="360" w:lineRule="auto"/>
        <w:ind w:left="567" w:hanging="567"/>
      </w:pPr>
      <w:r w:rsidRPr="00285CDE">
        <w:rPr>
          <w:rFonts w:cs="Arial"/>
          <w:szCs w:val="24"/>
        </w:rPr>
        <w:t>[90]</w:t>
      </w:r>
      <w:r w:rsidRPr="00285CDE">
        <w:rPr>
          <w:rFonts w:cs="Arial"/>
          <w:szCs w:val="24"/>
        </w:rPr>
        <w:tab/>
      </w:r>
      <w:r w:rsidR="00667BBE" w:rsidRPr="00285CDE">
        <w:t xml:space="preserve">NUMSA submitted that all efforts should be explored </w:t>
      </w:r>
      <w:r w:rsidR="004B6B86" w:rsidRPr="00285CDE">
        <w:t>t</w:t>
      </w:r>
      <w:r w:rsidR="00667BBE" w:rsidRPr="00285CDE">
        <w:t xml:space="preserve">o save Mango Airlines </w:t>
      </w:r>
      <w:r w:rsidR="0049012E" w:rsidRPr="00285CDE">
        <w:t>as its members will be re-employed if Mango Airlines resumes its operations.</w:t>
      </w:r>
      <w:r w:rsidR="004B6B86" w:rsidRPr="00285CDE">
        <w:t xml:space="preserve"> </w:t>
      </w:r>
    </w:p>
    <w:p w14:paraId="2AF3D900" w14:textId="7A94A0FD" w:rsidR="004B6B86" w:rsidRPr="00285CDE" w:rsidRDefault="00890EE4" w:rsidP="00890EE4">
      <w:pPr>
        <w:pStyle w:val="1"/>
        <w:numPr>
          <w:ilvl w:val="0"/>
          <w:numId w:val="0"/>
        </w:numPr>
        <w:tabs>
          <w:tab w:val="left" w:pos="567"/>
        </w:tabs>
        <w:spacing w:line="360" w:lineRule="auto"/>
        <w:ind w:left="567" w:hanging="567"/>
      </w:pPr>
      <w:r w:rsidRPr="00285CDE">
        <w:rPr>
          <w:rFonts w:cs="Arial"/>
          <w:szCs w:val="24"/>
        </w:rPr>
        <w:t>[91]</w:t>
      </w:r>
      <w:r w:rsidRPr="00285CDE">
        <w:rPr>
          <w:rFonts w:cs="Arial"/>
          <w:szCs w:val="24"/>
        </w:rPr>
        <w:tab/>
      </w:r>
      <w:r w:rsidR="004B6B86" w:rsidRPr="00285CDE">
        <w:t>Additionally, NUMSA submitted that the PE Minister’s delay in making a decision may result in the winding-up of Mango Airline</w:t>
      </w:r>
      <w:r w:rsidR="00CF02C3">
        <w:t>s</w:t>
      </w:r>
      <w:r w:rsidR="004B6B86" w:rsidRPr="00285CDE">
        <w:t xml:space="preserve"> if the business rescue plan were to fail. </w:t>
      </w:r>
    </w:p>
    <w:p w14:paraId="57FDC200" w14:textId="7F299DB8" w:rsidR="009672EB" w:rsidRPr="00285CDE" w:rsidRDefault="00890EE4" w:rsidP="00890EE4">
      <w:pPr>
        <w:pStyle w:val="1"/>
        <w:numPr>
          <w:ilvl w:val="0"/>
          <w:numId w:val="0"/>
        </w:numPr>
        <w:tabs>
          <w:tab w:val="left" w:pos="567"/>
        </w:tabs>
        <w:spacing w:line="360" w:lineRule="auto"/>
        <w:ind w:left="567" w:hanging="567"/>
      </w:pPr>
      <w:r w:rsidRPr="00285CDE">
        <w:rPr>
          <w:rFonts w:cs="Arial"/>
          <w:szCs w:val="24"/>
        </w:rPr>
        <w:t>[92]</w:t>
      </w:r>
      <w:r w:rsidRPr="00285CDE">
        <w:rPr>
          <w:rFonts w:cs="Arial"/>
          <w:szCs w:val="24"/>
        </w:rPr>
        <w:tab/>
      </w:r>
      <w:r w:rsidR="009672EB" w:rsidRPr="00285CDE">
        <w:t>NUMSA</w:t>
      </w:r>
      <w:r w:rsidR="00156944" w:rsidRPr="00285CDE">
        <w:t xml:space="preserve"> submitted that it was incorrect for the PE Minister to seek information from SAA instead of the BRP as all the powers of </w:t>
      </w:r>
      <w:r w:rsidR="00117AB5">
        <w:t xml:space="preserve">the </w:t>
      </w:r>
      <w:r w:rsidR="00156944" w:rsidRPr="00285CDE">
        <w:t>Board of Directors of SAA were subject to the authority of the BRP as per the business rescue plan.</w:t>
      </w:r>
      <w:r w:rsidR="009672EB" w:rsidRPr="00285CDE">
        <w:t xml:space="preserve"> According to NUMSA, section 137</w:t>
      </w:r>
      <w:r w:rsidR="002D74E7" w:rsidRPr="00285CDE">
        <w:t>(4)</w:t>
      </w:r>
      <w:r w:rsidR="009672EB" w:rsidRPr="00285CDE">
        <w:t xml:space="preserve"> of the Companies Act governs business rescue proceedings and requires</w:t>
      </w:r>
      <w:r w:rsidR="00117AB5">
        <w:t xml:space="preserve"> that</w:t>
      </w:r>
      <w:r w:rsidR="009672EB" w:rsidRPr="00285CDE">
        <w:t xml:space="preserve"> the SAA board </w:t>
      </w:r>
      <w:r w:rsidR="00C16496" w:rsidRPr="00285CDE">
        <w:t>seek</w:t>
      </w:r>
      <w:r w:rsidR="009672EB" w:rsidRPr="00285CDE">
        <w:t xml:space="preserve"> the approval of the BRP for any decision concerning Mango Airlines. Consequently, any decision taken by the board without the approval of the BRP is void. </w:t>
      </w:r>
      <w:r w:rsidR="002D74E7" w:rsidRPr="00285CDE">
        <w:t xml:space="preserve">According to NUMSA, </w:t>
      </w:r>
      <w:r w:rsidR="00EE76E7">
        <w:t>t</w:t>
      </w:r>
      <w:r w:rsidR="002D74E7" w:rsidRPr="00285CDE">
        <w:t xml:space="preserve">he PE Minister cannot rely on the undertaking made by SAA on 12 January 2023. </w:t>
      </w:r>
    </w:p>
    <w:p w14:paraId="79D3F7EA" w14:textId="7AC553B7" w:rsidR="009672EB" w:rsidRPr="00285CDE" w:rsidRDefault="00890EE4" w:rsidP="00890EE4">
      <w:pPr>
        <w:pStyle w:val="1"/>
        <w:numPr>
          <w:ilvl w:val="0"/>
          <w:numId w:val="0"/>
        </w:numPr>
        <w:tabs>
          <w:tab w:val="left" w:pos="567"/>
        </w:tabs>
        <w:spacing w:line="360" w:lineRule="auto"/>
        <w:ind w:left="567" w:hanging="567"/>
      </w:pPr>
      <w:r w:rsidRPr="00285CDE">
        <w:rPr>
          <w:rFonts w:cs="Arial"/>
          <w:szCs w:val="24"/>
        </w:rPr>
        <w:t>[93]</w:t>
      </w:r>
      <w:r w:rsidRPr="00285CDE">
        <w:rPr>
          <w:rFonts w:cs="Arial"/>
          <w:szCs w:val="24"/>
        </w:rPr>
        <w:tab/>
      </w:r>
      <w:r w:rsidR="009672EB" w:rsidRPr="00285CDE">
        <w:t xml:space="preserve">NUMSA further argued that section 140 of the </w:t>
      </w:r>
      <w:r w:rsidR="007D3279" w:rsidRPr="00285CDE">
        <w:t>Companies</w:t>
      </w:r>
      <w:r w:rsidR="009672EB" w:rsidRPr="00285CDE">
        <w:t xml:space="preserve"> Act regulates the powers of the BRP and provides that the BRP has “</w:t>
      </w:r>
      <w:r w:rsidR="009672EB" w:rsidRPr="00117AB5">
        <w:rPr>
          <w:i/>
          <w:iCs w:val="0"/>
        </w:rPr>
        <w:t>full management and control of the company in substitution of its board and pre-existing management</w:t>
      </w:r>
      <w:r w:rsidR="009672EB" w:rsidRPr="00285CDE">
        <w:t>”.</w:t>
      </w:r>
    </w:p>
    <w:p w14:paraId="64F31873" w14:textId="4F54942D" w:rsidR="008F0041" w:rsidRPr="00285CDE" w:rsidRDefault="00890EE4" w:rsidP="00890EE4">
      <w:pPr>
        <w:pStyle w:val="1"/>
        <w:numPr>
          <w:ilvl w:val="0"/>
          <w:numId w:val="0"/>
        </w:numPr>
        <w:tabs>
          <w:tab w:val="left" w:pos="567"/>
        </w:tabs>
        <w:spacing w:line="360" w:lineRule="auto"/>
        <w:ind w:left="567" w:hanging="567"/>
      </w:pPr>
      <w:r w:rsidRPr="00285CDE">
        <w:rPr>
          <w:rFonts w:cs="Arial"/>
          <w:szCs w:val="24"/>
        </w:rPr>
        <w:t>[94]</w:t>
      </w:r>
      <w:r w:rsidRPr="00285CDE">
        <w:rPr>
          <w:rFonts w:cs="Arial"/>
          <w:szCs w:val="24"/>
        </w:rPr>
        <w:tab/>
      </w:r>
      <w:r w:rsidR="00B93159" w:rsidRPr="00285CDE">
        <w:t xml:space="preserve">NUMSA also argued that </w:t>
      </w:r>
      <w:r w:rsidR="00186A4E" w:rsidRPr="00285CDE">
        <w:t xml:space="preserve">section 154(4) of the Companies Act makes a business rescue plan binding on </w:t>
      </w:r>
      <w:r w:rsidR="00E53FB2">
        <w:t xml:space="preserve">the organisations </w:t>
      </w:r>
      <w:r w:rsidR="00186A4E" w:rsidRPr="00285CDE">
        <w:t xml:space="preserve">creditors and </w:t>
      </w:r>
      <w:r w:rsidR="00E53FB2">
        <w:t>share</w:t>
      </w:r>
      <w:r w:rsidR="00186A4E" w:rsidRPr="00285CDE">
        <w:t xml:space="preserve">holders once it has been adopted. Furthermore, NUMSA argued that section 154(5)(a) and (b) </w:t>
      </w:r>
      <w:r w:rsidR="00E53FB2">
        <w:t>empowers</w:t>
      </w:r>
      <w:r w:rsidR="00186A4E" w:rsidRPr="00285CDE">
        <w:t xml:space="preserve"> the BRP </w:t>
      </w:r>
      <w:r w:rsidR="00E53FB2">
        <w:t>with</w:t>
      </w:r>
      <w:r w:rsidR="00186A4E" w:rsidRPr="00285CDE">
        <w:t xml:space="preserve"> all the necessary steps to ensure that the adopted business rescue plan is implemented. </w:t>
      </w:r>
    </w:p>
    <w:p w14:paraId="37011F8F" w14:textId="0F6FCE93" w:rsidR="000C122C" w:rsidRPr="00285CDE" w:rsidRDefault="00890EE4" w:rsidP="00890EE4">
      <w:pPr>
        <w:pStyle w:val="1"/>
        <w:numPr>
          <w:ilvl w:val="0"/>
          <w:numId w:val="0"/>
        </w:numPr>
        <w:tabs>
          <w:tab w:val="left" w:pos="567"/>
        </w:tabs>
        <w:spacing w:line="360" w:lineRule="auto"/>
        <w:ind w:left="567" w:hanging="567"/>
        <w:rPr>
          <w:szCs w:val="24"/>
        </w:rPr>
      </w:pPr>
      <w:r w:rsidRPr="00285CDE">
        <w:rPr>
          <w:rFonts w:cs="Arial"/>
          <w:szCs w:val="24"/>
        </w:rPr>
        <w:t>[95]</w:t>
      </w:r>
      <w:r w:rsidRPr="00285CDE">
        <w:rPr>
          <w:rFonts w:cs="Arial"/>
          <w:szCs w:val="24"/>
        </w:rPr>
        <w:tab/>
      </w:r>
      <w:r w:rsidR="000C122C" w:rsidRPr="00285CDE">
        <w:rPr>
          <w:szCs w:val="24"/>
        </w:rPr>
        <w:t xml:space="preserve">Relying </w:t>
      </w:r>
      <w:r w:rsidR="00D03FA1" w:rsidRPr="00285CDE">
        <w:rPr>
          <w:szCs w:val="24"/>
        </w:rPr>
        <w:t>on</w:t>
      </w:r>
      <w:r w:rsidR="000C122C" w:rsidRPr="00285CDE">
        <w:rPr>
          <w:szCs w:val="24"/>
        </w:rPr>
        <w:t xml:space="preserve"> </w:t>
      </w:r>
      <w:r w:rsidR="00D03FA1" w:rsidRPr="00285CDE">
        <w:rPr>
          <w:szCs w:val="24"/>
        </w:rPr>
        <w:t xml:space="preserve">the </w:t>
      </w:r>
      <w:r w:rsidR="000C122C" w:rsidRPr="00285CDE">
        <w:rPr>
          <w:szCs w:val="24"/>
        </w:rPr>
        <w:t>cases of</w:t>
      </w:r>
      <w:r w:rsidR="009375E1" w:rsidRPr="00285CDE">
        <w:rPr>
          <w:rFonts w:ascii="Arial-ItalicMT" w:hAnsi="Arial-ItalicMT" w:cs="Arial-ItalicMT"/>
          <w:i/>
          <w:iCs w:val="0"/>
          <w:szCs w:val="24"/>
          <w:lang w:eastAsia="en-US"/>
        </w:rPr>
        <w:t xml:space="preserve"> Caratco (Pty) Ltd v Independent Advisory (Pty) Ltd</w:t>
      </w:r>
      <w:r w:rsidR="00CF02C3">
        <w:rPr>
          <w:rFonts w:ascii="Arial-ItalicMT" w:hAnsi="Arial-ItalicMT" w:cs="Arial-ItalicMT"/>
          <w:i/>
          <w:iCs w:val="0"/>
          <w:szCs w:val="24"/>
          <w:lang w:eastAsia="en-US"/>
        </w:rPr>
        <w:t>,</w:t>
      </w:r>
      <w:r w:rsidR="009375E1" w:rsidRPr="00285CDE">
        <w:rPr>
          <w:rStyle w:val="FootnoteReference"/>
          <w:rFonts w:ascii="Arial-ItalicMT" w:hAnsi="Arial-ItalicMT" w:cs="Arial-ItalicMT"/>
          <w:i/>
          <w:iCs w:val="0"/>
          <w:szCs w:val="24"/>
          <w:lang w:eastAsia="en-US"/>
        </w:rPr>
        <w:footnoteReference w:id="37"/>
      </w:r>
      <w:r w:rsidR="000C122C" w:rsidRPr="00285CDE">
        <w:rPr>
          <w:szCs w:val="24"/>
        </w:rPr>
        <w:t xml:space="preserve"> and</w:t>
      </w:r>
      <w:r w:rsidR="000C122C" w:rsidRPr="00285CDE">
        <w:rPr>
          <w:rFonts w:ascii="Arial-ItalicMT" w:hAnsi="Arial-ItalicMT" w:cs="Arial-ItalicMT"/>
          <w:i/>
          <w:iCs w:val="0"/>
          <w:szCs w:val="24"/>
          <w:lang w:eastAsia="en-US"/>
        </w:rPr>
        <w:t xml:space="preserve"> Booysen v Jonkheer Boerewynmakery (Pty) Ltd (In Business Rescue) and </w:t>
      </w:r>
      <w:r w:rsidR="000C122C" w:rsidRPr="00285CDE">
        <w:rPr>
          <w:rFonts w:ascii="Arial-ItalicMT" w:hAnsi="Arial-ItalicMT" w:cs="Arial-ItalicMT"/>
          <w:i/>
          <w:iCs w:val="0"/>
          <w:szCs w:val="24"/>
          <w:lang w:eastAsia="en-US"/>
        </w:rPr>
        <w:lastRenderedPageBreak/>
        <w:t>Another</w:t>
      </w:r>
      <w:r w:rsidR="00CF02C3">
        <w:rPr>
          <w:rFonts w:ascii="Arial-ItalicMT" w:hAnsi="Arial-ItalicMT" w:cs="Arial-ItalicMT"/>
          <w:i/>
          <w:iCs w:val="0"/>
          <w:szCs w:val="24"/>
          <w:lang w:eastAsia="en-US"/>
        </w:rPr>
        <w:t>,</w:t>
      </w:r>
      <w:r w:rsidR="009375E1" w:rsidRPr="00285CDE">
        <w:rPr>
          <w:rStyle w:val="FootnoteReference"/>
          <w:rFonts w:ascii="Arial-ItalicMT" w:hAnsi="Arial-ItalicMT" w:cs="Arial-ItalicMT"/>
          <w:szCs w:val="24"/>
          <w:lang w:eastAsia="en-US"/>
        </w:rPr>
        <w:footnoteReference w:id="38"/>
      </w:r>
      <w:r w:rsidR="000C122C" w:rsidRPr="00285CDE">
        <w:rPr>
          <w:rFonts w:ascii="Arial-ItalicMT" w:hAnsi="Arial-ItalicMT" w:cs="Arial-ItalicMT"/>
          <w:i/>
          <w:iCs w:val="0"/>
          <w:szCs w:val="24"/>
          <w:lang w:eastAsia="en-US"/>
        </w:rPr>
        <w:t xml:space="preserve"> </w:t>
      </w:r>
      <w:r w:rsidR="000C122C" w:rsidRPr="00285CDE">
        <w:rPr>
          <w:rFonts w:ascii="Arial-ItalicMT" w:hAnsi="Arial-ItalicMT" w:cs="Arial-ItalicMT"/>
          <w:szCs w:val="24"/>
          <w:lang w:eastAsia="en-US"/>
        </w:rPr>
        <w:t xml:space="preserve">NUMSA submitted that </w:t>
      </w:r>
      <w:r w:rsidR="009375E1" w:rsidRPr="00285CDE">
        <w:rPr>
          <w:rFonts w:ascii="Arial-ItalicMT" w:hAnsi="Arial-ItalicMT" w:cs="Arial-ItalicMT"/>
          <w:szCs w:val="24"/>
          <w:lang w:eastAsia="en-US"/>
        </w:rPr>
        <w:t xml:space="preserve">the directors of the company under business rescue remain under the authority of the BRP and that the BRP steps into the shoes of the board of directors and its management during the business rescue period. </w:t>
      </w:r>
      <w:r w:rsidR="00E53FB2">
        <w:rPr>
          <w:rFonts w:ascii="Arial-ItalicMT" w:hAnsi="Arial-ItalicMT" w:cs="Arial-ItalicMT"/>
          <w:szCs w:val="24"/>
          <w:lang w:eastAsia="en-US"/>
        </w:rPr>
        <w:t>Therefore</w:t>
      </w:r>
      <w:r w:rsidR="008F08C4" w:rsidRPr="00285CDE">
        <w:rPr>
          <w:rFonts w:ascii="Arial-ItalicMT" w:hAnsi="Arial-ItalicMT" w:cs="Arial-ItalicMT"/>
          <w:szCs w:val="24"/>
          <w:lang w:eastAsia="en-US"/>
        </w:rPr>
        <w:t xml:space="preserve">, NUMSA argued that section 66 read with sections 137 and 152 of the Companies Act is clear in that, during the business rescue process, the BRP is in control of Mango Airlines and that the SAA </w:t>
      </w:r>
      <w:r w:rsidR="004D5979" w:rsidRPr="00285CDE">
        <w:rPr>
          <w:rFonts w:ascii="Arial-ItalicMT" w:hAnsi="Arial-ItalicMT" w:cs="Arial-ItalicMT"/>
          <w:szCs w:val="24"/>
          <w:lang w:eastAsia="en-US"/>
        </w:rPr>
        <w:t>Chairperson</w:t>
      </w:r>
      <w:r w:rsidR="008F08C4" w:rsidRPr="00285CDE">
        <w:rPr>
          <w:rFonts w:ascii="Arial-ItalicMT" w:hAnsi="Arial-ItalicMT" w:cs="Arial-ItalicMT"/>
          <w:szCs w:val="24"/>
          <w:lang w:eastAsia="en-US"/>
        </w:rPr>
        <w:t xml:space="preserve"> was not authorised to give an undertaking on behalf of SAA and/or Mango</w:t>
      </w:r>
      <w:r w:rsidR="004D5979" w:rsidRPr="00285CDE">
        <w:rPr>
          <w:rFonts w:ascii="Arial-ItalicMT" w:hAnsi="Arial-ItalicMT" w:cs="Arial-ItalicMT"/>
          <w:szCs w:val="24"/>
          <w:lang w:eastAsia="en-US"/>
        </w:rPr>
        <w:t xml:space="preserve"> Airline</w:t>
      </w:r>
      <w:r w:rsidR="008F08C4" w:rsidRPr="00285CDE">
        <w:rPr>
          <w:rFonts w:ascii="Arial-ItalicMT" w:hAnsi="Arial-ItalicMT" w:cs="Arial-ItalicMT"/>
          <w:szCs w:val="24"/>
          <w:lang w:eastAsia="en-US"/>
        </w:rPr>
        <w:t>.</w:t>
      </w:r>
    </w:p>
    <w:p w14:paraId="4EBA8564" w14:textId="0D65A4CC" w:rsidR="007D3279" w:rsidRPr="00285CDE" w:rsidRDefault="00890EE4" w:rsidP="00890EE4">
      <w:pPr>
        <w:pStyle w:val="1"/>
        <w:numPr>
          <w:ilvl w:val="0"/>
          <w:numId w:val="0"/>
        </w:numPr>
        <w:tabs>
          <w:tab w:val="left" w:pos="567"/>
        </w:tabs>
        <w:spacing w:line="360" w:lineRule="auto"/>
        <w:ind w:left="567" w:hanging="567"/>
        <w:rPr>
          <w:szCs w:val="24"/>
        </w:rPr>
      </w:pPr>
      <w:r w:rsidRPr="00285CDE">
        <w:rPr>
          <w:rFonts w:cs="Arial"/>
          <w:szCs w:val="24"/>
        </w:rPr>
        <w:t>[96]</w:t>
      </w:r>
      <w:r w:rsidRPr="00285CDE">
        <w:rPr>
          <w:rFonts w:cs="Arial"/>
          <w:szCs w:val="24"/>
        </w:rPr>
        <w:tab/>
      </w:r>
      <w:r w:rsidR="007D3279" w:rsidRPr="00285CDE">
        <w:rPr>
          <w:rFonts w:ascii="Arial-ItalicMT" w:hAnsi="Arial-ItalicMT" w:cs="Arial-ItalicMT"/>
          <w:szCs w:val="24"/>
          <w:lang w:eastAsia="en-US"/>
        </w:rPr>
        <w:t xml:space="preserve">To emphasize their point, NUMSA argued that </w:t>
      </w:r>
      <w:r w:rsidR="00366367" w:rsidRPr="00285CDE">
        <w:rPr>
          <w:rFonts w:ascii="Arial-ItalicMT" w:hAnsi="Arial-ItalicMT" w:cs="Arial-ItalicMT"/>
          <w:szCs w:val="24"/>
          <w:lang w:eastAsia="en-US"/>
        </w:rPr>
        <w:t>paragraphs</w:t>
      </w:r>
      <w:r w:rsidR="007D3279" w:rsidRPr="00285CDE">
        <w:rPr>
          <w:rFonts w:ascii="Arial-ItalicMT" w:hAnsi="Arial-ItalicMT" w:cs="Arial-ItalicMT"/>
          <w:szCs w:val="24"/>
          <w:lang w:eastAsia="en-US"/>
        </w:rPr>
        <w:t xml:space="preserve"> 6.3.12 and 6.3.12.1 of the amended business rescue plan </w:t>
      </w:r>
      <w:r w:rsidR="007D3279" w:rsidRPr="00BF699E">
        <w:rPr>
          <w:rFonts w:ascii="Arial-ItalicMT" w:hAnsi="Arial-ItalicMT" w:cs="Arial-ItalicMT"/>
          <w:i/>
          <w:iCs w:val="0"/>
          <w:szCs w:val="24"/>
          <w:lang w:eastAsia="en-US"/>
        </w:rPr>
        <w:t>inter alia</w:t>
      </w:r>
      <w:r w:rsidR="007D3279" w:rsidRPr="00285CDE">
        <w:rPr>
          <w:rFonts w:ascii="Arial-ItalicMT" w:hAnsi="Arial-ItalicMT" w:cs="Arial-ItalicMT"/>
          <w:szCs w:val="24"/>
          <w:lang w:eastAsia="en-US"/>
        </w:rPr>
        <w:t xml:space="preserve"> tasked the BRP with the preparation and submission of </w:t>
      </w:r>
      <w:r w:rsidR="00CF02C3">
        <w:rPr>
          <w:rFonts w:ascii="Arial-ItalicMT" w:hAnsi="Arial-ItalicMT" w:cs="Arial-ItalicMT"/>
          <w:szCs w:val="24"/>
          <w:lang w:eastAsia="en-US"/>
        </w:rPr>
        <w:t xml:space="preserve">the </w:t>
      </w:r>
      <w:r w:rsidR="007D3279" w:rsidRPr="00285CDE">
        <w:rPr>
          <w:rFonts w:ascii="Arial-ItalicMT" w:hAnsi="Arial-ItalicMT" w:cs="Arial-ItalicMT"/>
          <w:szCs w:val="24"/>
          <w:lang w:eastAsia="en-US"/>
        </w:rPr>
        <w:t xml:space="preserve">section 54(2) application under the PFMA on behalf of SAA. As a result, NUMSA argued that it is the BRP who </w:t>
      </w:r>
      <w:r w:rsidR="00E53FB2">
        <w:rPr>
          <w:rFonts w:ascii="Arial-ItalicMT" w:hAnsi="Arial-ItalicMT" w:cs="Arial-ItalicMT"/>
          <w:szCs w:val="24"/>
          <w:lang w:eastAsia="en-US"/>
        </w:rPr>
        <w:t>must</w:t>
      </w:r>
      <w:r w:rsidR="007D3279" w:rsidRPr="00285CDE">
        <w:rPr>
          <w:rFonts w:ascii="Arial-ItalicMT" w:hAnsi="Arial-ItalicMT" w:cs="Arial-ItalicMT"/>
          <w:szCs w:val="24"/>
          <w:lang w:eastAsia="en-US"/>
        </w:rPr>
        <w:t xml:space="preserve"> submit the section 54(2) application </w:t>
      </w:r>
      <w:r w:rsidR="002D74E7" w:rsidRPr="00285CDE">
        <w:rPr>
          <w:rFonts w:ascii="Arial-ItalicMT" w:hAnsi="Arial-ItalicMT" w:cs="Arial-ItalicMT"/>
          <w:szCs w:val="24"/>
          <w:lang w:eastAsia="en-US"/>
        </w:rPr>
        <w:t>and give an undertaking on behalf of SAA in respect of Mango Airline</w:t>
      </w:r>
      <w:r w:rsidR="00CF02C3">
        <w:rPr>
          <w:rFonts w:ascii="Arial-ItalicMT" w:hAnsi="Arial-ItalicMT" w:cs="Arial-ItalicMT"/>
          <w:szCs w:val="24"/>
          <w:lang w:eastAsia="en-US"/>
        </w:rPr>
        <w:t>s</w:t>
      </w:r>
      <w:r w:rsidR="002D74E7" w:rsidRPr="00285CDE">
        <w:rPr>
          <w:rFonts w:ascii="Arial-ItalicMT" w:hAnsi="Arial-ItalicMT" w:cs="Arial-ItalicMT"/>
          <w:szCs w:val="24"/>
          <w:lang w:eastAsia="en-US"/>
        </w:rPr>
        <w:t xml:space="preserve">. </w:t>
      </w:r>
    </w:p>
    <w:p w14:paraId="0AAD85D3" w14:textId="5A691C0A" w:rsidR="0056329F" w:rsidRPr="00285CDE" w:rsidRDefault="00890EE4" w:rsidP="00890EE4">
      <w:pPr>
        <w:pStyle w:val="1"/>
        <w:numPr>
          <w:ilvl w:val="0"/>
          <w:numId w:val="0"/>
        </w:numPr>
        <w:tabs>
          <w:tab w:val="left" w:pos="567"/>
        </w:tabs>
        <w:spacing w:line="360" w:lineRule="auto"/>
        <w:ind w:left="567" w:hanging="567"/>
        <w:rPr>
          <w:szCs w:val="24"/>
        </w:rPr>
      </w:pPr>
      <w:r w:rsidRPr="00285CDE">
        <w:rPr>
          <w:rFonts w:cs="Arial"/>
          <w:szCs w:val="24"/>
        </w:rPr>
        <w:t>[97]</w:t>
      </w:r>
      <w:r w:rsidRPr="00285CDE">
        <w:rPr>
          <w:rFonts w:cs="Arial"/>
          <w:szCs w:val="24"/>
        </w:rPr>
        <w:tab/>
      </w:r>
      <w:r w:rsidR="004D5979" w:rsidRPr="00285CDE">
        <w:rPr>
          <w:szCs w:val="24"/>
        </w:rPr>
        <w:t>NUMSA</w:t>
      </w:r>
      <w:r w:rsidR="003D0863" w:rsidRPr="003D0863">
        <w:rPr>
          <w:szCs w:val="24"/>
        </w:rPr>
        <w:t xml:space="preserve"> </w:t>
      </w:r>
      <w:r w:rsidR="003D0863">
        <w:rPr>
          <w:szCs w:val="24"/>
        </w:rPr>
        <w:t xml:space="preserve">referred to the decision </w:t>
      </w:r>
      <w:r w:rsidR="003D0863" w:rsidRPr="00285CDE">
        <w:rPr>
          <w:szCs w:val="24"/>
        </w:rPr>
        <w:t xml:space="preserve">of the Constitutional Court in </w:t>
      </w:r>
      <w:r w:rsidR="003D0863" w:rsidRPr="00285CDE">
        <w:rPr>
          <w:i/>
          <w:iCs w:val="0"/>
        </w:rPr>
        <w:t>Diener N.O. v Minister of Justice and Correctional Services</w:t>
      </w:r>
      <w:r w:rsidR="003D0863" w:rsidRPr="00285CDE">
        <w:rPr>
          <w:rStyle w:val="FootnoteReference"/>
        </w:rPr>
        <w:footnoteReference w:id="39"/>
      </w:r>
      <w:r w:rsidR="003D0863" w:rsidRPr="00285CDE">
        <w:t xml:space="preserve"> </w:t>
      </w:r>
      <w:r w:rsidR="003D0863">
        <w:t>and</w:t>
      </w:r>
      <w:r w:rsidR="004D5979" w:rsidRPr="00285CDE">
        <w:rPr>
          <w:szCs w:val="24"/>
        </w:rPr>
        <w:t xml:space="preserve"> argued that business re</w:t>
      </w:r>
      <w:r w:rsidR="00366367" w:rsidRPr="00285CDE">
        <w:rPr>
          <w:szCs w:val="24"/>
        </w:rPr>
        <w:t>scue</w:t>
      </w:r>
      <w:r w:rsidR="004D5979" w:rsidRPr="00285CDE">
        <w:rPr>
          <w:szCs w:val="24"/>
        </w:rPr>
        <w:t xml:space="preserve"> proceedings are inherently urgent in nature </w:t>
      </w:r>
      <w:r w:rsidR="007D3279" w:rsidRPr="00285CDE">
        <w:rPr>
          <w:szCs w:val="24"/>
        </w:rPr>
        <w:t>to</w:t>
      </w:r>
      <w:r w:rsidR="004D5979" w:rsidRPr="00285CDE">
        <w:rPr>
          <w:szCs w:val="24"/>
        </w:rPr>
        <w:t xml:space="preserve"> reduce the extent of prejudice that may be suffered by creditors and employees.  </w:t>
      </w:r>
    </w:p>
    <w:p w14:paraId="3665BF7D" w14:textId="639B5DC4" w:rsidR="0047413A" w:rsidRPr="00285CDE" w:rsidRDefault="00890EE4" w:rsidP="00890EE4">
      <w:pPr>
        <w:pStyle w:val="1"/>
        <w:numPr>
          <w:ilvl w:val="0"/>
          <w:numId w:val="0"/>
        </w:numPr>
        <w:tabs>
          <w:tab w:val="left" w:pos="567"/>
        </w:tabs>
        <w:spacing w:line="360" w:lineRule="auto"/>
        <w:ind w:left="567" w:hanging="567"/>
        <w:rPr>
          <w:szCs w:val="24"/>
        </w:rPr>
      </w:pPr>
      <w:r w:rsidRPr="00285CDE">
        <w:rPr>
          <w:rFonts w:cs="Arial"/>
          <w:szCs w:val="24"/>
        </w:rPr>
        <w:t>[98]</w:t>
      </w:r>
      <w:r w:rsidRPr="00285CDE">
        <w:rPr>
          <w:rFonts w:cs="Arial"/>
          <w:szCs w:val="24"/>
        </w:rPr>
        <w:tab/>
      </w:r>
      <w:r w:rsidR="0047413A" w:rsidRPr="00285CDE">
        <w:rPr>
          <w:szCs w:val="24"/>
        </w:rPr>
        <w:t xml:space="preserve">Furthermore, NUMSA argued that all the relevant information was submitted to the </w:t>
      </w:r>
      <w:r w:rsidR="00C16496" w:rsidRPr="00285CDE">
        <w:rPr>
          <w:szCs w:val="24"/>
        </w:rPr>
        <w:t xml:space="preserve">PE </w:t>
      </w:r>
      <w:r w:rsidR="0047413A" w:rsidRPr="00285CDE">
        <w:rPr>
          <w:szCs w:val="24"/>
        </w:rPr>
        <w:t>Minister by the BRP via SAA and that the BRP had further stated that no further information was to be made available by th</w:t>
      </w:r>
      <w:r w:rsidR="00C16496" w:rsidRPr="00285CDE">
        <w:rPr>
          <w:szCs w:val="24"/>
        </w:rPr>
        <w:t>em</w:t>
      </w:r>
      <w:r w:rsidR="0047413A" w:rsidRPr="00285CDE">
        <w:rPr>
          <w:szCs w:val="24"/>
        </w:rPr>
        <w:t>. Consequently, NUMSA argue</w:t>
      </w:r>
      <w:r w:rsidR="00322A53" w:rsidRPr="00285CDE">
        <w:rPr>
          <w:szCs w:val="24"/>
        </w:rPr>
        <w:t>d</w:t>
      </w:r>
      <w:r w:rsidR="0047413A" w:rsidRPr="00285CDE">
        <w:rPr>
          <w:szCs w:val="24"/>
        </w:rPr>
        <w:t xml:space="preserve"> that the PE Minister was in a position to approve or reject the section 54(2) application</w:t>
      </w:r>
      <w:r w:rsidR="00322A53" w:rsidRPr="00285CDE">
        <w:rPr>
          <w:szCs w:val="24"/>
        </w:rPr>
        <w:t xml:space="preserve"> as per the decision in </w:t>
      </w:r>
      <w:r w:rsidR="00322A53" w:rsidRPr="00285CDE">
        <w:rPr>
          <w:i/>
          <w:iCs w:val="0"/>
          <w:szCs w:val="24"/>
        </w:rPr>
        <w:t>Outa v Myeni</w:t>
      </w:r>
      <w:r w:rsidR="0047413A" w:rsidRPr="00285CDE">
        <w:rPr>
          <w:szCs w:val="24"/>
        </w:rPr>
        <w:t>.</w:t>
      </w:r>
      <w:r w:rsidR="000754EA" w:rsidRPr="00285CDE">
        <w:rPr>
          <w:rStyle w:val="FootnoteReference"/>
          <w:szCs w:val="24"/>
        </w:rPr>
        <w:footnoteReference w:id="40"/>
      </w:r>
      <w:r w:rsidR="0047413A" w:rsidRPr="00285CDE">
        <w:rPr>
          <w:szCs w:val="24"/>
        </w:rPr>
        <w:t xml:space="preserve"> </w:t>
      </w:r>
    </w:p>
    <w:p w14:paraId="682D21DF" w14:textId="654A047F" w:rsidR="0047413A" w:rsidRPr="00285CDE" w:rsidRDefault="00890EE4" w:rsidP="00890EE4">
      <w:pPr>
        <w:pStyle w:val="1"/>
        <w:numPr>
          <w:ilvl w:val="0"/>
          <w:numId w:val="0"/>
        </w:numPr>
        <w:tabs>
          <w:tab w:val="left" w:pos="567"/>
        </w:tabs>
        <w:spacing w:line="360" w:lineRule="auto"/>
        <w:ind w:left="567" w:hanging="567"/>
        <w:rPr>
          <w:szCs w:val="24"/>
        </w:rPr>
      </w:pPr>
      <w:r w:rsidRPr="00285CDE">
        <w:rPr>
          <w:rFonts w:cs="Arial"/>
          <w:szCs w:val="24"/>
        </w:rPr>
        <w:t>[99]</w:t>
      </w:r>
      <w:r w:rsidRPr="00285CDE">
        <w:rPr>
          <w:rFonts w:cs="Arial"/>
          <w:szCs w:val="24"/>
        </w:rPr>
        <w:tab/>
      </w:r>
      <w:r w:rsidR="0047413A" w:rsidRPr="00285CDE">
        <w:rPr>
          <w:szCs w:val="24"/>
        </w:rPr>
        <w:t>According to NUMSA, a decision by the PE Minister would have released Mango Airline</w:t>
      </w:r>
      <w:r w:rsidR="00CF02C3">
        <w:rPr>
          <w:szCs w:val="24"/>
        </w:rPr>
        <w:t>s</w:t>
      </w:r>
      <w:r w:rsidR="0047413A" w:rsidRPr="00285CDE">
        <w:rPr>
          <w:szCs w:val="24"/>
        </w:rPr>
        <w:t>, the BRP</w:t>
      </w:r>
      <w:r w:rsidR="00E01DF7" w:rsidRPr="00285CDE">
        <w:rPr>
          <w:szCs w:val="24"/>
        </w:rPr>
        <w:t>,</w:t>
      </w:r>
      <w:r w:rsidR="0047413A" w:rsidRPr="00285CDE">
        <w:rPr>
          <w:szCs w:val="24"/>
        </w:rPr>
        <w:t xml:space="preserve"> and the preferred b</w:t>
      </w:r>
      <w:r w:rsidR="00E53FB2">
        <w:rPr>
          <w:szCs w:val="24"/>
        </w:rPr>
        <w:t>i</w:t>
      </w:r>
      <w:r w:rsidR="0047413A" w:rsidRPr="00285CDE">
        <w:rPr>
          <w:szCs w:val="24"/>
        </w:rPr>
        <w:t xml:space="preserve">dder from </w:t>
      </w:r>
      <w:r w:rsidR="00E01DF7" w:rsidRPr="00285CDE">
        <w:rPr>
          <w:szCs w:val="24"/>
        </w:rPr>
        <w:t xml:space="preserve">the </w:t>
      </w:r>
      <w:r w:rsidR="0047413A" w:rsidRPr="00285CDE">
        <w:rPr>
          <w:szCs w:val="24"/>
        </w:rPr>
        <w:t xml:space="preserve">indefinite </w:t>
      </w:r>
      <w:r w:rsidR="0047413A" w:rsidRPr="00BF699E">
        <w:rPr>
          <w:i/>
          <w:iCs w:val="0"/>
          <w:szCs w:val="24"/>
        </w:rPr>
        <w:t>limbo</w:t>
      </w:r>
      <w:r w:rsidR="0047413A" w:rsidRPr="00285CDE">
        <w:rPr>
          <w:szCs w:val="24"/>
        </w:rPr>
        <w:t xml:space="preserve"> that they find themselves in</w:t>
      </w:r>
      <w:r w:rsidR="00E01DF7" w:rsidRPr="00285CDE">
        <w:rPr>
          <w:szCs w:val="24"/>
        </w:rPr>
        <w:t>,</w:t>
      </w:r>
      <w:r w:rsidR="0047413A" w:rsidRPr="00285CDE">
        <w:rPr>
          <w:szCs w:val="24"/>
        </w:rPr>
        <w:t xml:space="preserve"> and</w:t>
      </w:r>
      <w:r w:rsidR="00C16496" w:rsidRPr="00285CDE">
        <w:rPr>
          <w:szCs w:val="24"/>
        </w:rPr>
        <w:t xml:space="preserve"> that</w:t>
      </w:r>
      <w:r w:rsidR="0047413A" w:rsidRPr="00285CDE">
        <w:rPr>
          <w:szCs w:val="24"/>
        </w:rPr>
        <w:t xml:space="preserve"> the BRP would have explored other options to protect the interest of all stakeholders as per the amended business plan. </w:t>
      </w:r>
    </w:p>
    <w:p w14:paraId="4EC2E7CC" w14:textId="11EA519F" w:rsidR="0040203D" w:rsidRPr="00285CDE" w:rsidRDefault="00890EE4" w:rsidP="00890EE4">
      <w:pPr>
        <w:pStyle w:val="1"/>
        <w:numPr>
          <w:ilvl w:val="0"/>
          <w:numId w:val="0"/>
        </w:numPr>
        <w:tabs>
          <w:tab w:val="left" w:pos="567"/>
        </w:tabs>
        <w:spacing w:line="360" w:lineRule="auto"/>
        <w:ind w:left="567" w:hanging="567"/>
        <w:rPr>
          <w:szCs w:val="24"/>
        </w:rPr>
      </w:pPr>
      <w:r w:rsidRPr="00285CDE">
        <w:rPr>
          <w:rFonts w:cs="Arial"/>
          <w:szCs w:val="24"/>
        </w:rPr>
        <w:t>[100]</w:t>
      </w:r>
      <w:r w:rsidRPr="00285CDE">
        <w:rPr>
          <w:rFonts w:cs="Arial"/>
          <w:szCs w:val="24"/>
        </w:rPr>
        <w:tab/>
      </w:r>
      <w:r w:rsidR="0040203D" w:rsidRPr="00285CDE">
        <w:rPr>
          <w:szCs w:val="24"/>
        </w:rPr>
        <w:t xml:space="preserve">NUMSA submitted that a failure by the PE Minister to take a decision within </w:t>
      </w:r>
      <w:r w:rsidR="003D0863">
        <w:rPr>
          <w:szCs w:val="24"/>
        </w:rPr>
        <w:t>30</w:t>
      </w:r>
      <w:r w:rsidR="00EE1991">
        <w:rPr>
          <w:szCs w:val="24"/>
        </w:rPr>
        <w:t xml:space="preserve"> </w:t>
      </w:r>
      <w:r w:rsidR="0040203D" w:rsidRPr="00285CDE">
        <w:rPr>
          <w:szCs w:val="24"/>
        </w:rPr>
        <w:lastRenderedPageBreak/>
        <w:t xml:space="preserve">days </w:t>
      </w:r>
      <w:r w:rsidR="00E53FB2">
        <w:rPr>
          <w:szCs w:val="24"/>
        </w:rPr>
        <w:t>regarding</w:t>
      </w:r>
      <w:r w:rsidR="0040203D" w:rsidRPr="00285CDE">
        <w:rPr>
          <w:szCs w:val="24"/>
        </w:rPr>
        <w:t xml:space="preserve"> </w:t>
      </w:r>
      <w:r w:rsidR="00CF02C3">
        <w:rPr>
          <w:szCs w:val="24"/>
        </w:rPr>
        <w:t xml:space="preserve">the </w:t>
      </w:r>
      <w:r w:rsidR="0040203D" w:rsidRPr="00285CDE">
        <w:rPr>
          <w:szCs w:val="24"/>
        </w:rPr>
        <w:t>section 54(2)</w:t>
      </w:r>
      <w:r w:rsidR="003D0863">
        <w:rPr>
          <w:szCs w:val="24"/>
        </w:rPr>
        <w:t xml:space="preserve"> application</w:t>
      </w:r>
      <w:r w:rsidR="0040203D" w:rsidRPr="00285CDE">
        <w:rPr>
          <w:szCs w:val="24"/>
        </w:rPr>
        <w:t xml:space="preserve"> breached section 6(2)(g) of PAJA and is thus reviewable. </w:t>
      </w:r>
    </w:p>
    <w:p w14:paraId="3AA6159C" w14:textId="04AA3CC7" w:rsidR="0040203D"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[101]</w:t>
      </w:r>
      <w:r w:rsidRPr="00285CDE">
        <w:rPr>
          <w:rFonts w:cs="Arial"/>
          <w:szCs w:val="24"/>
        </w:rPr>
        <w:tab/>
      </w:r>
      <w:r w:rsidR="00334EC7" w:rsidRPr="00285CDE">
        <w:rPr>
          <w:rFonts w:cs="Arial"/>
          <w:szCs w:val="24"/>
        </w:rPr>
        <w:t xml:space="preserve">Relying on the case of </w:t>
      </w:r>
      <w:r w:rsidR="00334EC7" w:rsidRPr="00285CDE">
        <w:rPr>
          <w:rFonts w:cs="Arial"/>
          <w:i/>
          <w:iCs w:val="0"/>
          <w:szCs w:val="24"/>
          <w:lang w:eastAsia="en-US"/>
        </w:rPr>
        <w:t>State Information Technology Agency Soc Ltd v Gijima Holdings (Pty) Ltd</w:t>
      </w:r>
      <w:r w:rsidR="003D0863">
        <w:rPr>
          <w:rFonts w:cs="Arial"/>
          <w:i/>
          <w:iCs w:val="0"/>
          <w:szCs w:val="24"/>
          <w:lang w:eastAsia="en-US"/>
        </w:rPr>
        <w:t>,</w:t>
      </w:r>
      <w:r w:rsidR="00334EC7" w:rsidRPr="00285CDE">
        <w:rPr>
          <w:rStyle w:val="FootnoteReference"/>
          <w:rFonts w:cs="Arial"/>
          <w:i/>
          <w:iCs w:val="0"/>
          <w:szCs w:val="24"/>
          <w:lang w:eastAsia="en-US"/>
        </w:rPr>
        <w:footnoteReference w:id="41"/>
      </w:r>
      <w:r w:rsidR="00334EC7" w:rsidRPr="00285CDE">
        <w:rPr>
          <w:rFonts w:cs="Arial"/>
          <w:i/>
          <w:iCs w:val="0"/>
          <w:szCs w:val="24"/>
          <w:lang w:eastAsia="en-US"/>
        </w:rPr>
        <w:t xml:space="preserve"> </w:t>
      </w:r>
      <w:r w:rsidR="0040203D" w:rsidRPr="00285CDE">
        <w:rPr>
          <w:rFonts w:cs="Arial"/>
          <w:szCs w:val="24"/>
        </w:rPr>
        <w:t>NUMSA argue</w:t>
      </w:r>
      <w:r w:rsidR="00334EC7" w:rsidRPr="00285CDE">
        <w:rPr>
          <w:rFonts w:cs="Arial"/>
          <w:szCs w:val="24"/>
        </w:rPr>
        <w:t>d</w:t>
      </w:r>
      <w:r w:rsidR="0040203D" w:rsidRPr="00285CDE">
        <w:rPr>
          <w:rFonts w:cs="Arial"/>
          <w:szCs w:val="24"/>
        </w:rPr>
        <w:t xml:space="preserve"> that the failure to take a de</w:t>
      </w:r>
      <w:r w:rsidR="00334EC7" w:rsidRPr="00285CDE">
        <w:rPr>
          <w:rFonts w:cs="Arial"/>
          <w:szCs w:val="24"/>
        </w:rPr>
        <w:t>cision</w:t>
      </w:r>
      <w:r w:rsidR="0040203D" w:rsidRPr="00285CDE">
        <w:rPr>
          <w:rFonts w:cs="Arial"/>
          <w:szCs w:val="24"/>
        </w:rPr>
        <w:t xml:space="preserve"> </w:t>
      </w:r>
      <w:r w:rsidR="00334EC7" w:rsidRPr="00285CDE">
        <w:rPr>
          <w:rFonts w:cs="Arial"/>
          <w:szCs w:val="24"/>
        </w:rPr>
        <w:t xml:space="preserve">by </w:t>
      </w:r>
      <w:r w:rsidR="00D71A13">
        <w:rPr>
          <w:rFonts w:cs="Arial"/>
          <w:szCs w:val="24"/>
        </w:rPr>
        <w:t xml:space="preserve">the </w:t>
      </w:r>
      <w:r w:rsidR="00334EC7" w:rsidRPr="00285CDE">
        <w:rPr>
          <w:rFonts w:cs="Arial"/>
          <w:szCs w:val="24"/>
        </w:rPr>
        <w:t xml:space="preserve">PE Minister </w:t>
      </w:r>
      <w:r w:rsidR="007B29BA" w:rsidRPr="00285CDE">
        <w:rPr>
          <w:rFonts w:cs="Arial"/>
          <w:szCs w:val="24"/>
        </w:rPr>
        <w:t>violates</w:t>
      </w:r>
      <w:r w:rsidR="00334EC7" w:rsidRPr="00285CDE">
        <w:rPr>
          <w:rFonts w:cs="Arial"/>
          <w:szCs w:val="24"/>
        </w:rPr>
        <w:t xml:space="preserve"> the principle of legality and </w:t>
      </w:r>
      <w:r w:rsidR="00C16496" w:rsidRPr="00285CDE">
        <w:rPr>
          <w:rFonts w:cs="Arial"/>
          <w:szCs w:val="24"/>
        </w:rPr>
        <w:t xml:space="preserve">is </w:t>
      </w:r>
      <w:r w:rsidR="00334EC7" w:rsidRPr="00285CDE">
        <w:rPr>
          <w:rFonts w:cs="Arial"/>
          <w:szCs w:val="24"/>
        </w:rPr>
        <w:t xml:space="preserve">therefore invalid and reviewable. </w:t>
      </w:r>
    </w:p>
    <w:p w14:paraId="3B595CB4" w14:textId="159EB59E" w:rsidR="00492B8D" w:rsidRPr="00285CDE" w:rsidRDefault="00890EE4" w:rsidP="00890EE4">
      <w:pPr>
        <w:pStyle w:val="1"/>
        <w:numPr>
          <w:ilvl w:val="0"/>
          <w:numId w:val="0"/>
        </w:numPr>
        <w:tabs>
          <w:tab w:val="left" w:pos="567"/>
        </w:tabs>
        <w:spacing w:line="360" w:lineRule="auto"/>
        <w:ind w:left="567" w:hanging="567"/>
        <w:rPr>
          <w:rFonts w:cs="Arial"/>
          <w:i/>
          <w:iCs w:val="0"/>
          <w:szCs w:val="24"/>
        </w:rPr>
      </w:pPr>
      <w:r w:rsidRPr="00285CDE">
        <w:rPr>
          <w:rFonts w:cs="Arial"/>
          <w:szCs w:val="24"/>
        </w:rPr>
        <w:t>[102]</w:t>
      </w:r>
      <w:r w:rsidRPr="00285CDE">
        <w:rPr>
          <w:rFonts w:cs="Arial"/>
          <w:szCs w:val="24"/>
        </w:rPr>
        <w:tab/>
      </w:r>
      <w:r w:rsidR="009246E6" w:rsidRPr="00285CDE">
        <w:rPr>
          <w:rFonts w:ascii="ArialMT" w:hAnsi="ArialMT" w:cs="ArialMT"/>
          <w:sz w:val="25"/>
          <w:szCs w:val="25"/>
          <w:lang w:eastAsia="en-US"/>
        </w:rPr>
        <w:t>NUMSA contend</w:t>
      </w:r>
      <w:r w:rsidR="00C16496" w:rsidRPr="00285CDE">
        <w:rPr>
          <w:rFonts w:ascii="ArialMT" w:hAnsi="ArialMT" w:cs="ArialMT"/>
          <w:sz w:val="25"/>
          <w:szCs w:val="25"/>
          <w:lang w:eastAsia="en-US"/>
        </w:rPr>
        <w:t>ed</w:t>
      </w:r>
      <w:r w:rsidR="009246E6" w:rsidRPr="00285CDE">
        <w:rPr>
          <w:rFonts w:ascii="ArialMT" w:hAnsi="ArialMT" w:cs="ArialMT"/>
          <w:sz w:val="25"/>
          <w:szCs w:val="25"/>
          <w:lang w:eastAsia="en-US"/>
        </w:rPr>
        <w:t xml:space="preserve"> that they seek a “declarator …. which flows </w:t>
      </w:r>
      <w:r w:rsidR="009246E6" w:rsidRPr="00285CDE">
        <w:rPr>
          <w:rFonts w:ascii="Arial-ItalicMT" w:hAnsi="Arial-ItalicMT" w:cs="Arial-ItalicMT"/>
          <w:i/>
          <w:sz w:val="25"/>
          <w:szCs w:val="25"/>
          <w:lang w:eastAsia="en-US"/>
        </w:rPr>
        <w:t xml:space="preserve">ex lege </w:t>
      </w:r>
      <w:r w:rsidR="009246E6" w:rsidRPr="00285CDE">
        <w:rPr>
          <w:rFonts w:ascii="ArialMT" w:hAnsi="ArialMT" w:cs="ArialMT"/>
          <w:sz w:val="25"/>
          <w:szCs w:val="25"/>
          <w:lang w:eastAsia="en-US"/>
        </w:rPr>
        <w:t>in</w:t>
      </w:r>
      <w:r w:rsidR="009246E6" w:rsidRPr="00285CDE">
        <w:rPr>
          <w:rFonts w:cs="Arial"/>
          <w:szCs w:val="24"/>
        </w:rPr>
        <w:t xml:space="preserve"> </w:t>
      </w:r>
      <w:r w:rsidR="009246E6" w:rsidRPr="00285CDE">
        <w:rPr>
          <w:rFonts w:ascii="ArialMT" w:hAnsi="ArialMT" w:cs="ArialMT"/>
          <w:sz w:val="25"/>
          <w:szCs w:val="25"/>
          <w:lang w:eastAsia="en-US"/>
        </w:rPr>
        <w:t xml:space="preserve">this case and is both mandatory and just and equitable”. Based on this, NUMSA submitted that their member’s rights as per the retrenchment agreement have been affected by the PE Ministers’ failure to </w:t>
      </w:r>
      <w:r w:rsidR="00AC1ECB">
        <w:rPr>
          <w:rFonts w:ascii="ArialMT" w:hAnsi="ArialMT" w:cs="ArialMT"/>
          <w:sz w:val="25"/>
          <w:szCs w:val="25"/>
          <w:lang w:eastAsia="en-US"/>
        </w:rPr>
        <w:t>take a decision</w:t>
      </w:r>
      <w:r w:rsidR="009246E6" w:rsidRPr="00285CDE">
        <w:rPr>
          <w:rFonts w:ascii="ArialMT" w:hAnsi="ArialMT" w:cs="ArialMT"/>
          <w:sz w:val="25"/>
          <w:szCs w:val="25"/>
          <w:lang w:eastAsia="en-US"/>
        </w:rPr>
        <w:t xml:space="preserve"> and that they will be affected by the sought declarator.</w:t>
      </w:r>
      <w:r w:rsidR="00492B8D" w:rsidRPr="00285CDE">
        <w:rPr>
          <w:rFonts w:ascii="ArialMT" w:hAnsi="ArialMT" w:cs="ArialMT"/>
          <w:sz w:val="25"/>
          <w:szCs w:val="25"/>
          <w:lang w:eastAsia="en-US"/>
        </w:rPr>
        <w:t xml:space="preserve"> Relying </w:t>
      </w:r>
      <w:r w:rsidR="00C16496" w:rsidRPr="00285CDE">
        <w:rPr>
          <w:rFonts w:ascii="ArialMT" w:hAnsi="ArialMT" w:cs="ArialMT"/>
          <w:sz w:val="25"/>
          <w:szCs w:val="25"/>
          <w:lang w:eastAsia="en-US"/>
        </w:rPr>
        <w:t>on</w:t>
      </w:r>
      <w:r w:rsidR="00492B8D" w:rsidRPr="00285CDE">
        <w:rPr>
          <w:rFonts w:ascii="ArialMT" w:hAnsi="ArialMT" w:cs="ArialMT"/>
          <w:sz w:val="25"/>
          <w:szCs w:val="25"/>
          <w:lang w:eastAsia="en-US"/>
        </w:rPr>
        <w:t xml:space="preserve"> </w:t>
      </w:r>
      <w:r w:rsidR="00492B8D" w:rsidRPr="00285CDE">
        <w:rPr>
          <w:rFonts w:cs="Arial"/>
          <w:i/>
          <w:iCs w:val="0"/>
          <w:szCs w:val="24"/>
        </w:rPr>
        <w:t>South African Riding for the Disabled Association v Regional Land Claims Commissioner and Others</w:t>
      </w:r>
      <w:r w:rsidR="00D71A13">
        <w:rPr>
          <w:rFonts w:cs="Arial"/>
          <w:i/>
          <w:iCs w:val="0"/>
          <w:szCs w:val="24"/>
        </w:rPr>
        <w:t>,</w:t>
      </w:r>
      <w:r w:rsidR="00A75A4B" w:rsidRPr="00285CDE">
        <w:rPr>
          <w:rStyle w:val="FootnoteReference"/>
          <w:rFonts w:cs="Arial"/>
          <w:szCs w:val="24"/>
        </w:rPr>
        <w:footnoteReference w:id="42"/>
      </w:r>
      <w:r w:rsidR="00495344" w:rsidRPr="00285CDE">
        <w:rPr>
          <w:rFonts w:cs="Arial"/>
          <w:i/>
          <w:iCs w:val="0"/>
          <w:szCs w:val="24"/>
        </w:rPr>
        <w:t xml:space="preserve"> </w:t>
      </w:r>
      <w:r w:rsidR="00495344" w:rsidRPr="00285CDE">
        <w:rPr>
          <w:rFonts w:cs="Arial"/>
          <w:szCs w:val="24"/>
        </w:rPr>
        <w:t>NUMSA submitted that an applicant</w:t>
      </w:r>
      <w:r w:rsidR="0087485E">
        <w:rPr>
          <w:rFonts w:cs="Arial"/>
          <w:szCs w:val="24"/>
        </w:rPr>
        <w:t xml:space="preserve"> in an application</w:t>
      </w:r>
      <w:r w:rsidR="00495344" w:rsidRPr="00285CDE">
        <w:rPr>
          <w:rFonts w:cs="Arial"/>
          <w:szCs w:val="24"/>
        </w:rPr>
        <w:t xml:space="preserve"> to intervene</w:t>
      </w:r>
      <w:r w:rsidR="001B5213">
        <w:rPr>
          <w:rFonts w:cs="Arial"/>
          <w:szCs w:val="24"/>
        </w:rPr>
        <w:t xml:space="preserve"> the party</w:t>
      </w:r>
      <w:r w:rsidR="00495344" w:rsidRPr="00285CDE">
        <w:rPr>
          <w:rFonts w:cs="Arial"/>
          <w:szCs w:val="24"/>
        </w:rPr>
        <w:t xml:space="preserve"> need</w:t>
      </w:r>
      <w:r w:rsidR="00D71A13">
        <w:rPr>
          <w:rFonts w:cs="Arial"/>
          <w:szCs w:val="24"/>
        </w:rPr>
        <w:t>s</w:t>
      </w:r>
      <w:r w:rsidR="00495344" w:rsidRPr="00285CDE">
        <w:rPr>
          <w:rFonts w:cs="Arial"/>
          <w:szCs w:val="24"/>
        </w:rPr>
        <w:t xml:space="preserve"> to </w:t>
      </w:r>
      <w:r w:rsidR="00495344" w:rsidRPr="00EE1991">
        <w:rPr>
          <w:rFonts w:cs="Arial"/>
          <w:i/>
          <w:iCs w:val="0"/>
          <w:szCs w:val="24"/>
        </w:rPr>
        <w:t>inter alia</w:t>
      </w:r>
      <w:r w:rsidR="00495344" w:rsidRPr="00285CDE">
        <w:rPr>
          <w:rFonts w:cs="Arial"/>
          <w:szCs w:val="24"/>
        </w:rPr>
        <w:t xml:space="preserve"> show that it has a right adversely affected or likely to be affected by the order sought and that it was sufficient to make allegations</w:t>
      </w:r>
      <w:r w:rsidR="00924CDA" w:rsidRPr="00285CDE">
        <w:rPr>
          <w:rFonts w:cs="Arial"/>
          <w:szCs w:val="24"/>
        </w:rPr>
        <w:t xml:space="preserve"> which</w:t>
      </w:r>
      <w:r w:rsidR="00495344" w:rsidRPr="00285CDE">
        <w:rPr>
          <w:rFonts w:cs="Arial"/>
          <w:szCs w:val="24"/>
        </w:rPr>
        <w:t xml:space="preserve"> proved, would entitle them to relief.</w:t>
      </w:r>
    </w:p>
    <w:p w14:paraId="42FA7AF4" w14:textId="5C03B760" w:rsidR="00322A53"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[103]</w:t>
      </w:r>
      <w:r w:rsidRPr="00285CDE">
        <w:rPr>
          <w:rFonts w:cs="Arial"/>
          <w:szCs w:val="24"/>
        </w:rPr>
        <w:tab/>
      </w:r>
      <w:r w:rsidR="00495344" w:rsidRPr="00285CDE">
        <w:rPr>
          <w:rFonts w:cs="Arial"/>
          <w:szCs w:val="24"/>
        </w:rPr>
        <w:t xml:space="preserve">Therefore, </w:t>
      </w:r>
      <w:r w:rsidR="00322A53" w:rsidRPr="00285CDE">
        <w:rPr>
          <w:rFonts w:cs="Arial"/>
          <w:szCs w:val="24"/>
        </w:rPr>
        <w:t xml:space="preserve">NUMSA contended that section 172(1) of the Constitution requires a court to declare law or conduct that is contrary </w:t>
      </w:r>
      <w:r w:rsidR="00C16496" w:rsidRPr="00285CDE">
        <w:rPr>
          <w:rFonts w:cs="Arial"/>
          <w:szCs w:val="24"/>
        </w:rPr>
        <w:t>to</w:t>
      </w:r>
      <w:r w:rsidR="00322A53" w:rsidRPr="00285CDE">
        <w:rPr>
          <w:rFonts w:cs="Arial"/>
          <w:szCs w:val="24"/>
        </w:rPr>
        <w:t xml:space="preserve"> the Constitution when resolving a di</w:t>
      </w:r>
      <w:r w:rsidR="00DA55F8" w:rsidRPr="00285CDE">
        <w:rPr>
          <w:rFonts w:cs="Arial"/>
          <w:szCs w:val="24"/>
        </w:rPr>
        <w:t>s</w:t>
      </w:r>
      <w:r w:rsidR="00322A53" w:rsidRPr="00285CDE">
        <w:rPr>
          <w:rFonts w:cs="Arial"/>
          <w:szCs w:val="24"/>
        </w:rPr>
        <w:t>pute between</w:t>
      </w:r>
      <w:r w:rsidR="00DA55F8" w:rsidRPr="00285CDE">
        <w:rPr>
          <w:rFonts w:cs="Arial"/>
          <w:szCs w:val="24"/>
        </w:rPr>
        <w:t xml:space="preserve"> </w:t>
      </w:r>
      <w:r w:rsidR="00322A53" w:rsidRPr="00285CDE">
        <w:rPr>
          <w:rFonts w:cs="Arial"/>
          <w:szCs w:val="24"/>
        </w:rPr>
        <w:t>parties</w:t>
      </w:r>
      <w:r w:rsidR="001B5213">
        <w:rPr>
          <w:rFonts w:cs="Arial"/>
          <w:szCs w:val="24"/>
        </w:rPr>
        <w:t xml:space="preserve"> invalid to the extent of its inconsistency.</w:t>
      </w:r>
    </w:p>
    <w:p w14:paraId="71D8A8D5" w14:textId="0A2F84BB" w:rsidR="0018578F"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[104]</w:t>
      </w:r>
      <w:r w:rsidRPr="00285CDE">
        <w:rPr>
          <w:rFonts w:cs="Arial"/>
          <w:szCs w:val="24"/>
        </w:rPr>
        <w:tab/>
      </w:r>
      <w:r w:rsidR="007B29BA" w:rsidRPr="00285CDE">
        <w:rPr>
          <w:rFonts w:cs="Arial"/>
          <w:szCs w:val="24"/>
        </w:rPr>
        <w:t xml:space="preserve">NUMSA argued that this Court has the power to grant the relief sought by NUMSA under section 8(2) of PAJA which includes directing the taking of the decision or declaring the rights of the parties in relation to the taking of the decision. </w:t>
      </w:r>
    </w:p>
    <w:p w14:paraId="6021DD87" w14:textId="1E9A4CB5" w:rsidR="0018578F" w:rsidRPr="00285CDE" w:rsidRDefault="0018578F" w:rsidP="0018578F">
      <w:pPr>
        <w:pStyle w:val="1"/>
        <w:numPr>
          <w:ilvl w:val="0"/>
          <w:numId w:val="0"/>
        </w:numPr>
        <w:spacing w:line="360" w:lineRule="auto"/>
        <w:rPr>
          <w:rFonts w:cs="Arial"/>
          <w:b/>
          <w:bCs/>
          <w:szCs w:val="24"/>
        </w:rPr>
      </w:pPr>
      <w:r w:rsidRPr="00285CDE">
        <w:rPr>
          <w:rFonts w:cs="Arial"/>
          <w:b/>
          <w:bCs/>
          <w:szCs w:val="24"/>
        </w:rPr>
        <w:t>FIRST AND SECOND RESPONDENT’S SUBMISSIONS</w:t>
      </w:r>
    </w:p>
    <w:p w14:paraId="45D605D0" w14:textId="51DC4428" w:rsidR="0018578F"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[105]</w:t>
      </w:r>
      <w:r w:rsidRPr="00285CDE">
        <w:rPr>
          <w:rFonts w:cs="Arial"/>
          <w:szCs w:val="24"/>
        </w:rPr>
        <w:tab/>
      </w:r>
      <w:r w:rsidR="00270251" w:rsidRPr="00285CDE">
        <w:rPr>
          <w:rFonts w:cs="Arial"/>
          <w:szCs w:val="24"/>
        </w:rPr>
        <w:t>The First and Second Respondents</w:t>
      </w:r>
      <w:r w:rsidR="00963144">
        <w:rPr>
          <w:rFonts w:cs="Arial"/>
          <w:szCs w:val="24"/>
        </w:rPr>
        <w:t xml:space="preserve"> </w:t>
      </w:r>
      <w:r w:rsidR="00503016" w:rsidRPr="00285CDE">
        <w:rPr>
          <w:rFonts w:cs="Arial"/>
          <w:szCs w:val="24"/>
        </w:rPr>
        <w:t>argue</w:t>
      </w:r>
      <w:r w:rsidR="00C16496" w:rsidRPr="00285CDE">
        <w:rPr>
          <w:rFonts w:cs="Arial"/>
          <w:szCs w:val="24"/>
        </w:rPr>
        <w:t>d</w:t>
      </w:r>
      <w:r w:rsidR="00503016" w:rsidRPr="00285CDE">
        <w:rPr>
          <w:rFonts w:cs="Arial"/>
          <w:szCs w:val="24"/>
        </w:rPr>
        <w:t xml:space="preserve"> that the applicants lack the </w:t>
      </w:r>
      <w:r w:rsidR="00503016" w:rsidRPr="00285CDE">
        <w:rPr>
          <w:rFonts w:cs="Arial"/>
          <w:i/>
          <w:iCs w:val="0"/>
          <w:szCs w:val="24"/>
        </w:rPr>
        <w:t>locus standi</w:t>
      </w:r>
      <w:r w:rsidR="00503016" w:rsidRPr="00285CDE">
        <w:rPr>
          <w:rFonts w:cs="Arial"/>
          <w:szCs w:val="24"/>
        </w:rPr>
        <w:t xml:space="preserve"> to institute these proceedings because section 54(2) of the PFMA when properly construed and interpreted, excludes the applicants. </w:t>
      </w:r>
    </w:p>
    <w:p w14:paraId="600C1075" w14:textId="2D9F430E" w:rsidR="00503016"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lastRenderedPageBreak/>
        <w:t>[106]</w:t>
      </w:r>
      <w:r w:rsidRPr="00285CDE">
        <w:rPr>
          <w:rFonts w:cs="Arial"/>
          <w:szCs w:val="24"/>
        </w:rPr>
        <w:tab/>
      </w:r>
      <w:r w:rsidR="0021184C" w:rsidRPr="00285CDE">
        <w:rPr>
          <w:rFonts w:cs="Arial"/>
          <w:szCs w:val="24"/>
        </w:rPr>
        <w:t>Further, the First and Second Respondents contend</w:t>
      </w:r>
      <w:r w:rsidR="00C16496" w:rsidRPr="00285CDE">
        <w:rPr>
          <w:rFonts w:cs="Arial"/>
          <w:szCs w:val="24"/>
        </w:rPr>
        <w:t>ed</w:t>
      </w:r>
      <w:r w:rsidR="0021184C" w:rsidRPr="00285CDE">
        <w:rPr>
          <w:rFonts w:cs="Arial"/>
          <w:szCs w:val="24"/>
        </w:rPr>
        <w:t xml:space="preserve"> that the reliance on </w:t>
      </w:r>
      <w:r w:rsidR="00C16496" w:rsidRPr="00285CDE">
        <w:rPr>
          <w:rFonts w:cs="Arial"/>
          <w:szCs w:val="24"/>
        </w:rPr>
        <w:t xml:space="preserve">the </w:t>
      </w:r>
      <w:r w:rsidR="00DB13E4">
        <w:rPr>
          <w:rFonts w:cs="Arial"/>
          <w:szCs w:val="24"/>
        </w:rPr>
        <w:t xml:space="preserve">provisions of the </w:t>
      </w:r>
      <w:r w:rsidR="0021184C" w:rsidRPr="00285CDE">
        <w:rPr>
          <w:rFonts w:cs="Arial"/>
          <w:szCs w:val="24"/>
        </w:rPr>
        <w:t xml:space="preserve">Companies Act is misplaced because section 5 of the very same Companies Act gives precedence to the PFMA when there is a conflict between the two acts. </w:t>
      </w:r>
    </w:p>
    <w:p w14:paraId="371A2568" w14:textId="5E884A82" w:rsidR="0021184C"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[107]</w:t>
      </w:r>
      <w:r w:rsidRPr="00285CDE">
        <w:rPr>
          <w:rFonts w:cs="Arial"/>
          <w:szCs w:val="24"/>
        </w:rPr>
        <w:tab/>
      </w:r>
      <w:r w:rsidR="0021184C" w:rsidRPr="00285CDE">
        <w:rPr>
          <w:rFonts w:cs="Arial"/>
          <w:szCs w:val="24"/>
        </w:rPr>
        <w:t xml:space="preserve">The First and Second Respondents submitted that for one to have </w:t>
      </w:r>
      <w:r w:rsidR="00DB13E4" w:rsidRPr="00DB13E4">
        <w:rPr>
          <w:rFonts w:cs="Arial"/>
          <w:i/>
          <w:iCs w:val="0"/>
          <w:szCs w:val="24"/>
        </w:rPr>
        <w:t>locus standi</w:t>
      </w:r>
      <w:r w:rsidR="0021184C" w:rsidRPr="00285CDE">
        <w:rPr>
          <w:rFonts w:cs="Arial"/>
          <w:szCs w:val="24"/>
        </w:rPr>
        <w:t xml:space="preserve"> </w:t>
      </w:r>
      <w:r w:rsidR="001B5213">
        <w:rPr>
          <w:rFonts w:cs="Arial"/>
          <w:szCs w:val="24"/>
        </w:rPr>
        <w:t xml:space="preserve">when </w:t>
      </w:r>
      <w:r w:rsidR="0021184C" w:rsidRPr="00285CDE">
        <w:rPr>
          <w:rFonts w:cs="Arial"/>
          <w:szCs w:val="24"/>
        </w:rPr>
        <w:t>bring</w:t>
      </w:r>
      <w:r w:rsidR="001B5213">
        <w:rPr>
          <w:rFonts w:cs="Arial"/>
          <w:szCs w:val="24"/>
        </w:rPr>
        <w:t>ing an application for</w:t>
      </w:r>
      <w:r w:rsidR="0021184C" w:rsidRPr="00285CDE">
        <w:rPr>
          <w:rFonts w:cs="Arial"/>
          <w:szCs w:val="24"/>
        </w:rPr>
        <w:t xml:space="preserve"> review proceedings, they are required to demonstrate that they have the necessary interest</w:t>
      </w:r>
      <w:r w:rsidR="0087485E">
        <w:rPr>
          <w:rFonts w:cs="Arial"/>
          <w:szCs w:val="24"/>
        </w:rPr>
        <w:t xml:space="preserve"> and</w:t>
      </w:r>
      <w:r w:rsidR="001B5213">
        <w:rPr>
          <w:rFonts w:cs="Arial"/>
          <w:szCs w:val="24"/>
        </w:rPr>
        <w:t xml:space="preserve"> there</w:t>
      </w:r>
      <w:r w:rsidR="0087485E">
        <w:rPr>
          <w:rFonts w:cs="Arial"/>
          <w:szCs w:val="24"/>
        </w:rPr>
        <w:t xml:space="preserve"> </w:t>
      </w:r>
      <w:r w:rsidR="0087485E" w:rsidRPr="001B5213">
        <w:rPr>
          <w:rFonts w:cs="Arial"/>
          <w:szCs w:val="24"/>
        </w:rPr>
        <w:t>exists</w:t>
      </w:r>
      <w:r w:rsidR="0021184C" w:rsidRPr="001B5213">
        <w:rPr>
          <w:rFonts w:cs="Arial"/>
          <w:szCs w:val="24"/>
        </w:rPr>
        <w:t xml:space="preserve"> an infringement</w:t>
      </w:r>
      <w:r w:rsidR="0021184C" w:rsidRPr="00285CDE">
        <w:rPr>
          <w:rFonts w:cs="Arial"/>
          <w:szCs w:val="24"/>
        </w:rPr>
        <w:t xml:space="preserve"> or threatened infringement of </w:t>
      </w:r>
      <w:r w:rsidR="0087485E">
        <w:rPr>
          <w:rFonts w:cs="Arial"/>
          <w:szCs w:val="24"/>
        </w:rPr>
        <w:t xml:space="preserve">such </w:t>
      </w:r>
      <w:r w:rsidR="0021184C" w:rsidRPr="00285CDE">
        <w:rPr>
          <w:rFonts w:cs="Arial"/>
          <w:szCs w:val="24"/>
        </w:rPr>
        <w:t xml:space="preserve">a right. To this end, they argued </w:t>
      </w:r>
      <w:bookmarkStart w:id="9" w:name="_Hlk144792154"/>
      <w:r w:rsidR="0021184C" w:rsidRPr="00285CDE">
        <w:rPr>
          <w:rFonts w:cs="Arial"/>
          <w:szCs w:val="24"/>
        </w:rPr>
        <w:t xml:space="preserve">that the </w:t>
      </w:r>
      <w:r w:rsidR="009B6C92">
        <w:rPr>
          <w:rFonts w:cs="Arial"/>
          <w:szCs w:val="24"/>
        </w:rPr>
        <w:t>A</w:t>
      </w:r>
      <w:r w:rsidR="0021184C" w:rsidRPr="00285CDE">
        <w:rPr>
          <w:rFonts w:cs="Arial"/>
          <w:szCs w:val="24"/>
        </w:rPr>
        <w:t>pplicant</w:t>
      </w:r>
      <w:r w:rsidR="009B6C92">
        <w:rPr>
          <w:rFonts w:cs="Arial"/>
          <w:szCs w:val="24"/>
        </w:rPr>
        <w:t>s</w:t>
      </w:r>
      <w:r w:rsidR="0021184C" w:rsidRPr="00285CDE">
        <w:rPr>
          <w:rFonts w:cs="Arial"/>
          <w:szCs w:val="24"/>
        </w:rPr>
        <w:t xml:space="preserve"> incorrectly </w:t>
      </w:r>
      <w:r w:rsidR="0087485E">
        <w:rPr>
          <w:rFonts w:cs="Arial"/>
          <w:szCs w:val="24"/>
        </w:rPr>
        <w:t>seek</w:t>
      </w:r>
      <w:r w:rsidR="0021184C" w:rsidRPr="00285CDE">
        <w:rPr>
          <w:rFonts w:cs="Arial"/>
          <w:szCs w:val="24"/>
        </w:rPr>
        <w:t xml:space="preserve"> to rely</w:t>
      </w:r>
      <w:r w:rsidR="00963144">
        <w:rPr>
          <w:rFonts w:cs="Arial"/>
          <w:szCs w:val="24"/>
        </w:rPr>
        <w:t xml:space="preserve"> on</w:t>
      </w:r>
      <w:r w:rsidR="0021184C" w:rsidRPr="00285CDE">
        <w:rPr>
          <w:rFonts w:cs="Arial"/>
          <w:szCs w:val="24"/>
        </w:rPr>
        <w:t xml:space="preserve"> and enforce </w:t>
      </w:r>
      <w:r w:rsidR="004D6972" w:rsidRPr="00285CDE">
        <w:rPr>
          <w:rFonts w:cs="Arial"/>
          <w:szCs w:val="24"/>
        </w:rPr>
        <w:t xml:space="preserve">rights and duties flowing from the Companies Act in a section 54(2) process that is regulated by the PFMA. </w:t>
      </w:r>
      <w:bookmarkEnd w:id="9"/>
    </w:p>
    <w:p w14:paraId="07C23596" w14:textId="6C99ACD5" w:rsidR="00283528"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[108]</w:t>
      </w:r>
      <w:r w:rsidRPr="00285CDE">
        <w:rPr>
          <w:rFonts w:cs="Arial"/>
          <w:szCs w:val="24"/>
        </w:rPr>
        <w:tab/>
      </w:r>
      <w:r w:rsidR="004D6972" w:rsidRPr="00285CDE">
        <w:rPr>
          <w:rFonts w:cs="Arial"/>
          <w:szCs w:val="24"/>
        </w:rPr>
        <w:t xml:space="preserve">Relying </w:t>
      </w:r>
      <w:r w:rsidR="00C16496" w:rsidRPr="00285CDE">
        <w:rPr>
          <w:rFonts w:cs="Arial"/>
          <w:szCs w:val="24"/>
        </w:rPr>
        <w:t>on</w:t>
      </w:r>
      <w:r w:rsidR="004D6972" w:rsidRPr="00285CDE">
        <w:rPr>
          <w:rFonts w:cs="Arial"/>
          <w:szCs w:val="24"/>
        </w:rPr>
        <w:t xml:space="preserve"> </w:t>
      </w:r>
      <w:r w:rsidR="004D6972" w:rsidRPr="00285CDE">
        <w:rPr>
          <w:rFonts w:cs="Arial"/>
          <w:i/>
          <w:iCs w:val="0"/>
          <w:szCs w:val="24"/>
          <w:lang w:eastAsia="en-US"/>
        </w:rPr>
        <w:t>Ferreira v Levin NO and Others; Vryenhoek and Others v Powell NO</w:t>
      </w:r>
      <w:r w:rsidR="00C34FEB" w:rsidRPr="00285CDE">
        <w:rPr>
          <w:rStyle w:val="FootnoteReference"/>
          <w:rFonts w:cs="Arial"/>
          <w:i/>
          <w:iCs w:val="0"/>
          <w:szCs w:val="24"/>
          <w:lang w:eastAsia="en-US"/>
        </w:rPr>
        <w:footnoteReference w:id="43"/>
      </w:r>
      <w:r w:rsidR="004D6972" w:rsidRPr="00285CDE">
        <w:rPr>
          <w:rFonts w:cs="Arial"/>
          <w:i/>
          <w:iCs w:val="0"/>
          <w:szCs w:val="24"/>
          <w:lang w:eastAsia="en-US"/>
        </w:rPr>
        <w:t xml:space="preserve"> and Others</w:t>
      </w:r>
      <w:r w:rsidR="004D6972" w:rsidRPr="00285CDE">
        <w:rPr>
          <w:rFonts w:cs="Arial"/>
          <w:szCs w:val="24"/>
          <w:lang w:eastAsia="en-US"/>
        </w:rPr>
        <w:t xml:space="preserve">, the First and Second Respondents argued that “the best litigant in this matter </w:t>
      </w:r>
      <w:r w:rsidR="00C34FEB" w:rsidRPr="00285CDE">
        <w:rPr>
          <w:rFonts w:cs="Arial"/>
          <w:szCs w:val="24"/>
          <w:lang w:eastAsia="en-US"/>
        </w:rPr>
        <w:t>is</w:t>
      </w:r>
      <w:r w:rsidR="004D6972" w:rsidRPr="00285CDE">
        <w:rPr>
          <w:rFonts w:cs="Arial"/>
          <w:szCs w:val="24"/>
          <w:lang w:eastAsia="en-US"/>
        </w:rPr>
        <w:t xml:space="preserve"> SAA as the accounting authority recognised by the PFMA”. </w:t>
      </w:r>
    </w:p>
    <w:p w14:paraId="50556EAC" w14:textId="6A557C97" w:rsidR="00283528"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[109]</w:t>
      </w:r>
      <w:r w:rsidRPr="00285CDE">
        <w:rPr>
          <w:rFonts w:cs="Arial"/>
          <w:szCs w:val="24"/>
        </w:rPr>
        <w:tab/>
      </w:r>
      <w:r w:rsidR="00C34FEB" w:rsidRPr="00285CDE">
        <w:rPr>
          <w:rFonts w:cs="Arial"/>
          <w:szCs w:val="24"/>
          <w:lang w:eastAsia="en-US"/>
        </w:rPr>
        <w:t xml:space="preserve">The First and Second Respondents further at length relied </w:t>
      </w:r>
      <w:r w:rsidR="00C16496" w:rsidRPr="00285CDE">
        <w:rPr>
          <w:rFonts w:cs="Arial"/>
          <w:szCs w:val="24"/>
          <w:lang w:eastAsia="en-US"/>
        </w:rPr>
        <w:t>on</w:t>
      </w:r>
      <w:r w:rsidR="00C34FEB" w:rsidRPr="00285CDE">
        <w:rPr>
          <w:rFonts w:cs="Arial"/>
          <w:szCs w:val="24"/>
          <w:lang w:eastAsia="en-US"/>
        </w:rPr>
        <w:t xml:space="preserve"> </w:t>
      </w:r>
      <w:r w:rsidR="00C34FEB" w:rsidRPr="00285CDE">
        <w:rPr>
          <w:rFonts w:cs="Arial"/>
          <w:i/>
          <w:iCs w:val="0"/>
          <w:szCs w:val="24"/>
          <w:lang w:eastAsia="en-US"/>
        </w:rPr>
        <w:t>Muldersdrift Sustainable Development Forum v Mogale City</w:t>
      </w:r>
      <w:r w:rsidR="00283528" w:rsidRPr="00285CDE">
        <w:rPr>
          <w:rStyle w:val="FootnoteReference"/>
          <w:rFonts w:cs="Arial"/>
          <w:szCs w:val="24"/>
          <w:lang w:eastAsia="en-US"/>
        </w:rPr>
        <w:footnoteReference w:id="44"/>
      </w:r>
      <w:r w:rsidR="00C34FEB" w:rsidRPr="00285CDE">
        <w:rPr>
          <w:rFonts w:cs="Arial"/>
          <w:szCs w:val="24"/>
          <w:lang w:eastAsia="en-US"/>
        </w:rPr>
        <w:t xml:space="preserve"> and said that the relief claimed there “</w:t>
      </w:r>
      <w:r w:rsidR="00C34FEB" w:rsidRPr="0087485E">
        <w:rPr>
          <w:rFonts w:cs="Arial"/>
          <w:i/>
          <w:iCs w:val="0"/>
          <w:szCs w:val="24"/>
          <w:lang w:eastAsia="en-US"/>
        </w:rPr>
        <w:t>was to declare the appointment of a Municipal Manager irregular and thus to set aside such appointment</w:t>
      </w:r>
      <w:r w:rsidR="00C34FEB" w:rsidRPr="00285CDE">
        <w:rPr>
          <w:rFonts w:cs="Arial"/>
          <w:szCs w:val="24"/>
          <w:lang w:eastAsia="en-US"/>
        </w:rPr>
        <w:t>”. According to the First and Second Respondents, “</w:t>
      </w:r>
      <w:r w:rsidR="00C34FEB" w:rsidRPr="0087485E">
        <w:rPr>
          <w:rFonts w:cs="Arial"/>
          <w:i/>
          <w:iCs w:val="0"/>
          <w:szCs w:val="24"/>
          <w:lang w:eastAsia="en-US"/>
        </w:rPr>
        <w:t>it is a similar relief that is</w:t>
      </w:r>
      <w:r w:rsidR="00C34FEB" w:rsidRPr="0087485E">
        <w:rPr>
          <w:rFonts w:cs="Arial"/>
          <w:i/>
          <w:iCs w:val="0"/>
          <w:szCs w:val="24"/>
        </w:rPr>
        <w:t xml:space="preserve"> </w:t>
      </w:r>
      <w:r w:rsidR="00C34FEB" w:rsidRPr="0087485E">
        <w:rPr>
          <w:rFonts w:cs="Arial"/>
          <w:i/>
          <w:iCs w:val="0"/>
          <w:szCs w:val="24"/>
          <w:lang w:eastAsia="en-US"/>
        </w:rPr>
        <w:t>being sought by the applicants in this matter</w:t>
      </w:r>
      <w:r w:rsidR="00C34FEB" w:rsidRPr="00285CDE">
        <w:rPr>
          <w:rFonts w:cs="Arial"/>
          <w:szCs w:val="24"/>
          <w:lang w:eastAsia="en-US"/>
        </w:rPr>
        <w:t>”.</w:t>
      </w:r>
      <w:r w:rsidR="00283528" w:rsidRPr="00285CDE">
        <w:rPr>
          <w:rFonts w:cs="Arial"/>
          <w:szCs w:val="24"/>
          <w:lang w:eastAsia="en-US"/>
        </w:rPr>
        <w:t xml:space="preserve"> Based on this, they contended that the test is firstly “</w:t>
      </w:r>
      <w:r w:rsidR="00283528" w:rsidRPr="0087485E">
        <w:rPr>
          <w:rFonts w:cs="Arial"/>
          <w:i/>
          <w:iCs w:val="0"/>
          <w:szCs w:val="24"/>
          <w:lang w:eastAsia="en-US"/>
        </w:rPr>
        <w:t>whether the interest of justice would require the Honourable Court to come to their assistance and secondly</w:t>
      </w:r>
      <w:r w:rsidR="00C16496" w:rsidRPr="0087485E">
        <w:rPr>
          <w:rFonts w:cs="Arial"/>
          <w:i/>
          <w:iCs w:val="0"/>
          <w:szCs w:val="24"/>
          <w:lang w:eastAsia="en-US"/>
        </w:rPr>
        <w:t>,</w:t>
      </w:r>
      <w:r w:rsidR="00283528" w:rsidRPr="0087485E">
        <w:rPr>
          <w:rFonts w:cs="Arial"/>
          <w:i/>
          <w:iCs w:val="0"/>
          <w:szCs w:val="24"/>
          <w:lang w:eastAsia="en-US"/>
        </w:rPr>
        <w:t xml:space="preserve"> whether this Honourable Court should exercise its discretion in their favour</w:t>
      </w:r>
      <w:r w:rsidR="00283528" w:rsidRPr="00285CDE">
        <w:rPr>
          <w:rFonts w:cs="Arial"/>
          <w:szCs w:val="24"/>
          <w:lang w:eastAsia="en-US"/>
        </w:rPr>
        <w:t xml:space="preserve">”. Their response to the said question was negative.  </w:t>
      </w:r>
    </w:p>
    <w:p w14:paraId="52425C7E" w14:textId="430322A9" w:rsidR="0046082D"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[110]</w:t>
      </w:r>
      <w:r w:rsidRPr="00285CDE">
        <w:rPr>
          <w:rFonts w:cs="Arial"/>
          <w:szCs w:val="24"/>
        </w:rPr>
        <w:tab/>
      </w:r>
      <w:r w:rsidR="0046082D" w:rsidRPr="00285CDE">
        <w:rPr>
          <w:rFonts w:cs="Arial"/>
          <w:szCs w:val="24"/>
          <w:lang w:eastAsia="en-US"/>
        </w:rPr>
        <w:t xml:space="preserve">The First and Second Respondents contended that the provisions of the Companies Act cannot be relied upon as an aid for the interpretation of the PFMA because this is impermissible in law. As a result, the First and Second Respondents are of the </w:t>
      </w:r>
      <w:r w:rsidR="00C16496" w:rsidRPr="00285CDE">
        <w:rPr>
          <w:rFonts w:cs="Arial"/>
          <w:szCs w:val="24"/>
          <w:lang w:eastAsia="en-US"/>
        </w:rPr>
        <w:t xml:space="preserve">view </w:t>
      </w:r>
      <w:r w:rsidR="0046082D" w:rsidRPr="00285CDE">
        <w:rPr>
          <w:rFonts w:cs="Arial"/>
          <w:szCs w:val="24"/>
          <w:lang w:eastAsia="en-US"/>
        </w:rPr>
        <w:t xml:space="preserve">that the </w:t>
      </w:r>
      <w:r w:rsidR="00D71A13">
        <w:rPr>
          <w:rFonts w:cs="Arial"/>
          <w:szCs w:val="24"/>
          <w:lang w:eastAsia="en-US"/>
        </w:rPr>
        <w:t>A</w:t>
      </w:r>
      <w:r w:rsidR="0046082D" w:rsidRPr="00285CDE">
        <w:rPr>
          <w:rFonts w:cs="Arial"/>
          <w:szCs w:val="24"/>
          <w:lang w:eastAsia="en-US"/>
        </w:rPr>
        <w:t xml:space="preserve">pplicants’ attempts to disregard the provisions of the </w:t>
      </w:r>
      <w:r w:rsidR="00C16496" w:rsidRPr="00285CDE">
        <w:rPr>
          <w:rFonts w:cs="Arial"/>
          <w:szCs w:val="24"/>
          <w:lang w:eastAsia="en-US"/>
        </w:rPr>
        <w:t>PFMA,</w:t>
      </w:r>
      <w:r w:rsidR="0046082D" w:rsidRPr="00285CDE">
        <w:rPr>
          <w:rFonts w:cs="Arial"/>
          <w:szCs w:val="24"/>
          <w:lang w:eastAsia="en-US"/>
        </w:rPr>
        <w:t xml:space="preserve"> and its regulation of the section 54(2) process is </w:t>
      </w:r>
      <w:r w:rsidR="0046082D" w:rsidRPr="00285CDE">
        <w:rPr>
          <w:rFonts w:cs="Arial"/>
          <w:szCs w:val="24"/>
          <w:lang w:eastAsia="en-US"/>
        </w:rPr>
        <w:lastRenderedPageBreak/>
        <w:t xml:space="preserve">misguided. </w:t>
      </w:r>
    </w:p>
    <w:p w14:paraId="6B6CDCD9" w14:textId="69BAEC2B" w:rsidR="00283528"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[111]</w:t>
      </w:r>
      <w:r w:rsidRPr="00285CDE">
        <w:rPr>
          <w:rFonts w:cs="Arial"/>
          <w:szCs w:val="24"/>
        </w:rPr>
        <w:tab/>
      </w:r>
      <w:r w:rsidR="00E87604" w:rsidRPr="00285CDE">
        <w:rPr>
          <w:rFonts w:cs="Arial"/>
          <w:szCs w:val="24"/>
          <w:lang w:eastAsia="en-US"/>
        </w:rPr>
        <w:t xml:space="preserve">Relying on section 49(1) of the PFMA, the First and Second Respondents argued that every public entity must have an accounting authority or controlling body for purposes of the Act and that sections 49(2) and (b) recognises the board or other controlling body of a public entity as the accounting authority of that entity. </w:t>
      </w:r>
      <w:r w:rsidR="00A06746" w:rsidRPr="00285CDE">
        <w:rPr>
          <w:rFonts w:cs="Arial"/>
          <w:szCs w:val="24"/>
          <w:lang w:eastAsia="en-US"/>
        </w:rPr>
        <w:t xml:space="preserve">Where there is no board or controlling body, they submitted that the chief executive officer or other person in charge of the public entity becomes the accounting authority.  Based on this, they contended that </w:t>
      </w:r>
      <w:r w:rsidR="00216490" w:rsidRPr="00285CDE">
        <w:rPr>
          <w:rFonts w:cs="Arial"/>
          <w:szCs w:val="24"/>
          <w:lang w:eastAsia="en-US"/>
        </w:rPr>
        <w:t>SAA is a public entity with</w:t>
      </w:r>
      <w:r w:rsidR="000E2EF4">
        <w:rPr>
          <w:rFonts w:cs="Arial"/>
          <w:szCs w:val="24"/>
          <w:lang w:eastAsia="en-US"/>
        </w:rPr>
        <w:t xml:space="preserve"> a</w:t>
      </w:r>
      <w:r w:rsidR="00216490" w:rsidRPr="00285CDE">
        <w:rPr>
          <w:rFonts w:cs="Arial"/>
          <w:szCs w:val="24"/>
          <w:lang w:eastAsia="en-US"/>
        </w:rPr>
        <w:t xml:space="preserve"> bo</w:t>
      </w:r>
      <w:r w:rsidR="000E2EF4">
        <w:rPr>
          <w:rFonts w:cs="Arial"/>
          <w:szCs w:val="24"/>
          <w:lang w:eastAsia="en-US"/>
        </w:rPr>
        <w:t>a</w:t>
      </w:r>
      <w:r w:rsidR="00216490" w:rsidRPr="00285CDE">
        <w:rPr>
          <w:rFonts w:cs="Arial"/>
          <w:szCs w:val="24"/>
          <w:lang w:eastAsia="en-US"/>
        </w:rPr>
        <w:t>rd of directors. Consequently, the board of SAA under the chairman</w:t>
      </w:r>
      <w:r w:rsidR="000E2EF4">
        <w:rPr>
          <w:rFonts w:cs="Arial"/>
          <w:szCs w:val="24"/>
          <w:lang w:eastAsia="en-US"/>
        </w:rPr>
        <w:t xml:space="preserve">, </w:t>
      </w:r>
      <w:r w:rsidR="00216490" w:rsidRPr="00285CDE">
        <w:rPr>
          <w:rFonts w:cs="Arial"/>
          <w:szCs w:val="24"/>
          <w:lang w:eastAsia="en-US"/>
        </w:rPr>
        <w:t>Mr. M John Lamola</w:t>
      </w:r>
      <w:r w:rsidR="000E2EF4">
        <w:rPr>
          <w:rFonts w:cs="Arial"/>
          <w:szCs w:val="24"/>
          <w:lang w:eastAsia="en-US"/>
        </w:rPr>
        <w:t>,</w:t>
      </w:r>
      <w:r w:rsidR="00216490" w:rsidRPr="00285CDE">
        <w:rPr>
          <w:rFonts w:cs="Arial"/>
          <w:szCs w:val="24"/>
          <w:lang w:eastAsia="en-US"/>
        </w:rPr>
        <w:t xml:space="preserve"> wrote letters to the </w:t>
      </w:r>
      <w:r w:rsidR="000E2EF4">
        <w:rPr>
          <w:rFonts w:cs="Arial"/>
          <w:szCs w:val="24"/>
          <w:lang w:eastAsia="en-US"/>
        </w:rPr>
        <w:t>A</w:t>
      </w:r>
      <w:r w:rsidR="00216490" w:rsidRPr="00285CDE">
        <w:rPr>
          <w:rFonts w:cs="Arial"/>
          <w:szCs w:val="24"/>
          <w:lang w:eastAsia="en-US"/>
        </w:rPr>
        <w:t xml:space="preserve">pplicants and the PE Minister. </w:t>
      </w:r>
    </w:p>
    <w:p w14:paraId="305D4BFF" w14:textId="3F924702" w:rsidR="005804CE"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[112]</w:t>
      </w:r>
      <w:r w:rsidRPr="00285CDE">
        <w:rPr>
          <w:rFonts w:cs="Arial"/>
          <w:szCs w:val="24"/>
        </w:rPr>
        <w:tab/>
      </w:r>
      <w:r w:rsidR="005804CE" w:rsidRPr="00285CDE">
        <w:rPr>
          <w:rFonts w:cs="Arial"/>
          <w:szCs w:val="24"/>
        </w:rPr>
        <w:t>T</w:t>
      </w:r>
      <w:r w:rsidR="005804CE" w:rsidRPr="00285CDE">
        <w:rPr>
          <w:rFonts w:cs="Arial"/>
          <w:szCs w:val="24"/>
          <w:lang w:eastAsia="en-US"/>
        </w:rPr>
        <w:t>he First and Second Respondents argue</w:t>
      </w:r>
      <w:r w:rsidR="00C16496" w:rsidRPr="00285CDE">
        <w:rPr>
          <w:rFonts w:cs="Arial"/>
          <w:szCs w:val="24"/>
          <w:lang w:eastAsia="en-US"/>
        </w:rPr>
        <w:t>d</w:t>
      </w:r>
      <w:r w:rsidR="005804CE" w:rsidRPr="00285CDE">
        <w:rPr>
          <w:rFonts w:cs="Arial"/>
          <w:szCs w:val="24"/>
          <w:lang w:eastAsia="en-US"/>
        </w:rPr>
        <w:t xml:space="preserve"> that the PFMA recognises the board of SAA or its chairperson as the accounting authority and the PE Minister as per section 49 of the PFMA had requested th</w:t>
      </w:r>
      <w:r w:rsidR="001B5213">
        <w:rPr>
          <w:rFonts w:cs="Arial"/>
          <w:szCs w:val="24"/>
          <w:lang w:eastAsia="en-US"/>
        </w:rPr>
        <w:t>at</w:t>
      </w:r>
      <w:r w:rsidR="005804CE" w:rsidRPr="00285CDE">
        <w:rPr>
          <w:rFonts w:cs="Arial"/>
          <w:szCs w:val="24"/>
          <w:lang w:eastAsia="en-US"/>
        </w:rPr>
        <w:t xml:space="preserve"> SAA through its board take responsibility </w:t>
      </w:r>
      <w:r w:rsidR="001B5213">
        <w:rPr>
          <w:rFonts w:cs="Arial"/>
          <w:szCs w:val="24"/>
          <w:lang w:eastAsia="en-US"/>
        </w:rPr>
        <w:t xml:space="preserve">for </w:t>
      </w:r>
      <w:r w:rsidR="005804CE" w:rsidRPr="00285CDE">
        <w:rPr>
          <w:rFonts w:cs="Arial"/>
          <w:szCs w:val="24"/>
          <w:lang w:eastAsia="en-US"/>
        </w:rPr>
        <w:t>the section 54</w:t>
      </w:r>
      <w:r w:rsidR="001B5213">
        <w:rPr>
          <w:rFonts w:cs="Arial"/>
          <w:szCs w:val="24"/>
          <w:lang w:eastAsia="en-US"/>
        </w:rPr>
        <w:t>(2)</w:t>
      </w:r>
      <w:r w:rsidR="005804CE" w:rsidRPr="00285CDE">
        <w:rPr>
          <w:rFonts w:cs="Arial"/>
          <w:szCs w:val="24"/>
          <w:lang w:eastAsia="en-US"/>
        </w:rPr>
        <w:t xml:space="preserve"> application.</w:t>
      </w:r>
    </w:p>
    <w:p w14:paraId="3E120CAE" w14:textId="1BCA6BB2" w:rsidR="005804CE"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[113]</w:t>
      </w:r>
      <w:r w:rsidRPr="00285CDE">
        <w:rPr>
          <w:rFonts w:cs="Arial"/>
          <w:szCs w:val="24"/>
        </w:rPr>
        <w:tab/>
      </w:r>
      <w:r w:rsidR="005804CE" w:rsidRPr="00285CDE">
        <w:rPr>
          <w:rFonts w:cs="Arial"/>
          <w:szCs w:val="24"/>
          <w:lang w:eastAsia="en-US"/>
        </w:rPr>
        <w:t>The First and Second Respondents contended that Mango or the BRP were not entitled to lodge the section 54(2) application because Treasury had not approved under section 49(3) of the PFMA</w:t>
      </w:r>
      <w:r w:rsidR="00EB7665">
        <w:rPr>
          <w:rFonts w:cs="Arial"/>
          <w:szCs w:val="24"/>
          <w:lang w:eastAsia="en-US"/>
        </w:rPr>
        <w:t>,</w:t>
      </w:r>
      <w:r w:rsidR="005804CE" w:rsidRPr="00285CDE">
        <w:rPr>
          <w:rFonts w:cs="Arial"/>
          <w:szCs w:val="24"/>
          <w:lang w:eastAsia="en-US"/>
        </w:rPr>
        <w:t xml:space="preserve"> t</w:t>
      </w:r>
      <w:r w:rsidR="00EB7665">
        <w:rPr>
          <w:rFonts w:cs="Arial"/>
          <w:szCs w:val="24"/>
          <w:lang w:eastAsia="en-US"/>
        </w:rPr>
        <w:t>hat they</w:t>
      </w:r>
      <w:r w:rsidR="005804CE" w:rsidRPr="00285CDE">
        <w:rPr>
          <w:rFonts w:cs="Arial"/>
          <w:szCs w:val="24"/>
          <w:lang w:eastAsia="en-US"/>
        </w:rPr>
        <w:t xml:space="preserve"> take over the responsibilities of the board of SAA or </w:t>
      </w:r>
      <w:r w:rsidR="00EB7665">
        <w:rPr>
          <w:rFonts w:cs="Arial"/>
          <w:szCs w:val="24"/>
          <w:lang w:eastAsia="en-US"/>
        </w:rPr>
        <w:t xml:space="preserve">the </w:t>
      </w:r>
      <w:r w:rsidR="005804CE" w:rsidRPr="00285CDE">
        <w:rPr>
          <w:rFonts w:cs="Arial"/>
          <w:szCs w:val="24"/>
          <w:lang w:eastAsia="en-US"/>
        </w:rPr>
        <w:t>chairperson</w:t>
      </w:r>
      <w:r w:rsidR="00EB7665">
        <w:rPr>
          <w:rFonts w:cs="Arial"/>
          <w:szCs w:val="24"/>
          <w:lang w:eastAsia="en-US"/>
        </w:rPr>
        <w:t>.</w:t>
      </w:r>
      <w:r w:rsidR="005804CE" w:rsidRPr="00285CDE">
        <w:rPr>
          <w:rFonts w:cs="Arial"/>
          <w:szCs w:val="24"/>
          <w:lang w:eastAsia="en-US"/>
        </w:rPr>
        <w:t xml:space="preserve"> </w:t>
      </w:r>
      <w:r w:rsidR="00797323" w:rsidRPr="00285CDE">
        <w:rPr>
          <w:rFonts w:cs="Arial"/>
          <w:szCs w:val="24"/>
          <w:lang w:eastAsia="en-US"/>
        </w:rPr>
        <w:t xml:space="preserve">As a result, the said delegation </w:t>
      </w:r>
      <w:r w:rsidR="00EB7665">
        <w:rPr>
          <w:rFonts w:cs="Arial"/>
          <w:szCs w:val="24"/>
          <w:lang w:eastAsia="en-US"/>
        </w:rPr>
        <w:t>of power</w:t>
      </w:r>
      <w:r w:rsidR="001B5213">
        <w:rPr>
          <w:rFonts w:cs="Arial"/>
          <w:szCs w:val="24"/>
          <w:lang w:eastAsia="en-US"/>
        </w:rPr>
        <w:t>s</w:t>
      </w:r>
      <w:r w:rsidR="00EB7665">
        <w:rPr>
          <w:rFonts w:cs="Arial"/>
          <w:szCs w:val="24"/>
          <w:lang w:eastAsia="en-US"/>
        </w:rPr>
        <w:t xml:space="preserve"> </w:t>
      </w:r>
      <w:r w:rsidR="00797323" w:rsidRPr="00285CDE">
        <w:rPr>
          <w:rFonts w:cs="Arial"/>
          <w:szCs w:val="24"/>
          <w:lang w:eastAsia="en-US"/>
        </w:rPr>
        <w:t>in terms of the amended business rescue plan is unlawful and invalid as “</w:t>
      </w:r>
      <w:r w:rsidR="00797323" w:rsidRPr="00EB7665">
        <w:rPr>
          <w:rFonts w:cs="Arial"/>
          <w:i/>
          <w:iCs w:val="0"/>
          <w:szCs w:val="24"/>
          <w:lang w:eastAsia="en-US"/>
        </w:rPr>
        <w:t>correctly conceded by SAA</w:t>
      </w:r>
      <w:r w:rsidR="00797323" w:rsidRPr="00285CDE">
        <w:rPr>
          <w:rFonts w:cs="Arial"/>
          <w:szCs w:val="24"/>
          <w:lang w:eastAsia="en-US"/>
        </w:rPr>
        <w:t xml:space="preserve">”. </w:t>
      </w:r>
      <w:r w:rsidR="00D035AA" w:rsidRPr="00285CDE">
        <w:rPr>
          <w:rFonts w:cs="Arial"/>
          <w:szCs w:val="24"/>
          <w:lang w:eastAsia="en-US"/>
        </w:rPr>
        <w:t xml:space="preserve">According to the First and Second Respondents, the legislature clearly intended to exclude non-accounting authorities from submitting any information required by the Act. </w:t>
      </w:r>
    </w:p>
    <w:p w14:paraId="17F55832" w14:textId="1FFF2F68" w:rsidR="005321B6"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[114]</w:t>
      </w:r>
      <w:r w:rsidRPr="00285CDE">
        <w:rPr>
          <w:rFonts w:cs="Arial"/>
          <w:szCs w:val="24"/>
        </w:rPr>
        <w:tab/>
      </w:r>
      <w:r w:rsidR="005321B6" w:rsidRPr="00285CDE">
        <w:rPr>
          <w:rFonts w:cs="Arial"/>
          <w:szCs w:val="24"/>
          <w:lang w:eastAsia="en-US"/>
        </w:rPr>
        <w:t xml:space="preserve">The First and Second Respondents further contended that section 51(f) of the PFMA </w:t>
      </w:r>
      <w:r w:rsidR="00F47DDE" w:rsidRPr="00285CDE">
        <w:rPr>
          <w:rFonts w:cs="Arial"/>
          <w:szCs w:val="24"/>
          <w:lang w:eastAsia="en-US"/>
        </w:rPr>
        <w:t>gives the accounting authority of a public entity</w:t>
      </w:r>
      <w:r w:rsidR="000E2EF4">
        <w:rPr>
          <w:rFonts w:cs="Arial"/>
          <w:szCs w:val="24"/>
          <w:lang w:eastAsia="en-US"/>
        </w:rPr>
        <w:t xml:space="preserve"> the power</w:t>
      </w:r>
      <w:r w:rsidR="00F47DDE" w:rsidRPr="00285CDE">
        <w:rPr>
          <w:rFonts w:cs="Arial"/>
          <w:szCs w:val="24"/>
          <w:lang w:eastAsia="en-US"/>
        </w:rPr>
        <w:t xml:space="preserve"> to submit the required information to the relevant executive authority or treasury amongst other things. To this end, they argued that the said submissions include the section 54(2) application to be submitted by the accounting authority</w:t>
      </w:r>
      <w:r w:rsidR="00C16496" w:rsidRPr="00285CDE">
        <w:rPr>
          <w:rFonts w:cs="Arial"/>
          <w:szCs w:val="24"/>
          <w:lang w:eastAsia="en-US"/>
        </w:rPr>
        <w:t xml:space="preserve"> which is</w:t>
      </w:r>
      <w:r w:rsidR="00F47DDE" w:rsidRPr="00285CDE">
        <w:rPr>
          <w:rFonts w:cs="Arial"/>
          <w:szCs w:val="24"/>
          <w:lang w:eastAsia="en-US"/>
        </w:rPr>
        <w:t xml:space="preserve"> SAA</w:t>
      </w:r>
      <w:r w:rsidR="00C16496" w:rsidRPr="00285CDE">
        <w:rPr>
          <w:rFonts w:cs="Arial"/>
          <w:szCs w:val="24"/>
          <w:lang w:eastAsia="en-US"/>
        </w:rPr>
        <w:t>,</w:t>
      </w:r>
      <w:r w:rsidR="00F47DDE" w:rsidRPr="00285CDE">
        <w:rPr>
          <w:rFonts w:cs="Arial"/>
          <w:szCs w:val="24"/>
          <w:lang w:eastAsia="en-US"/>
        </w:rPr>
        <w:t xml:space="preserve"> or its </w:t>
      </w:r>
      <w:r w:rsidR="008B3B43" w:rsidRPr="00285CDE">
        <w:rPr>
          <w:rFonts w:cs="Arial"/>
          <w:szCs w:val="24"/>
          <w:lang w:eastAsia="en-US"/>
        </w:rPr>
        <w:t>chairperson</w:t>
      </w:r>
      <w:r w:rsidR="00F47DDE" w:rsidRPr="00285CDE">
        <w:rPr>
          <w:rFonts w:cs="Arial"/>
          <w:szCs w:val="24"/>
          <w:lang w:eastAsia="en-US"/>
        </w:rPr>
        <w:t xml:space="preserve">. </w:t>
      </w:r>
    </w:p>
    <w:p w14:paraId="443F5C08" w14:textId="74CAB7EF" w:rsidR="008B3B43"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[115]</w:t>
      </w:r>
      <w:r w:rsidRPr="00285CDE">
        <w:rPr>
          <w:rFonts w:cs="Arial"/>
          <w:szCs w:val="24"/>
        </w:rPr>
        <w:tab/>
      </w:r>
      <w:r w:rsidR="008B3B43" w:rsidRPr="00285CDE">
        <w:rPr>
          <w:rFonts w:cs="Arial"/>
          <w:szCs w:val="24"/>
          <w:lang w:eastAsia="en-US"/>
        </w:rPr>
        <w:t xml:space="preserve">The First and Second Respondents argued that the PE Minister has not </w:t>
      </w:r>
      <w:r w:rsidR="00EB7665">
        <w:rPr>
          <w:rFonts w:cs="Arial"/>
          <w:szCs w:val="24"/>
          <w:lang w:eastAsia="en-US"/>
        </w:rPr>
        <w:t>rejected</w:t>
      </w:r>
      <w:r w:rsidR="008B3B43" w:rsidRPr="00285CDE">
        <w:rPr>
          <w:rFonts w:cs="Arial"/>
          <w:szCs w:val="24"/>
          <w:lang w:eastAsia="en-US"/>
        </w:rPr>
        <w:t xml:space="preserve"> </w:t>
      </w:r>
      <w:r w:rsidR="008B3B43" w:rsidRPr="00285CDE">
        <w:rPr>
          <w:rFonts w:cs="Arial"/>
          <w:szCs w:val="24"/>
          <w:lang w:eastAsia="en-US"/>
        </w:rPr>
        <w:lastRenderedPageBreak/>
        <w:t xml:space="preserve">the section 54(2) application and the arguments to the effect that he may be acting contrary to the powers of the BRP are premature. </w:t>
      </w:r>
      <w:r w:rsidR="0065701A" w:rsidRPr="00285CDE">
        <w:rPr>
          <w:rFonts w:cs="Arial"/>
          <w:szCs w:val="24"/>
          <w:lang w:eastAsia="en-US"/>
        </w:rPr>
        <w:t xml:space="preserve">To this end, they argued that no final decision has been made </w:t>
      </w:r>
      <w:r w:rsidR="00EB7665">
        <w:rPr>
          <w:rFonts w:cs="Arial"/>
          <w:szCs w:val="24"/>
          <w:lang w:eastAsia="en-US"/>
        </w:rPr>
        <w:t>that would</w:t>
      </w:r>
      <w:r w:rsidR="0065701A" w:rsidRPr="00285CDE">
        <w:rPr>
          <w:rFonts w:cs="Arial"/>
          <w:szCs w:val="24"/>
          <w:lang w:eastAsia="en-US"/>
        </w:rPr>
        <w:t xml:space="preserve"> trigger the </w:t>
      </w:r>
      <w:r w:rsidR="00EB7665">
        <w:rPr>
          <w:rFonts w:cs="Arial"/>
          <w:szCs w:val="24"/>
          <w:lang w:eastAsia="en-US"/>
        </w:rPr>
        <w:t xml:space="preserve">need for this Court’s </w:t>
      </w:r>
      <w:r w:rsidR="0065701A" w:rsidRPr="00285CDE">
        <w:rPr>
          <w:rFonts w:cs="Arial"/>
          <w:szCs w:val="24"/>
          <w:lang w:eastAsia="en-US"/>
        </w:rPr>
        <w:t xml:space="preserve">intervention </w:t>
      </w:r>
      <w:r w:rsidR="00A53E5E" w:rsidRPr="00285CDE">
        <w:rPr>
          <w:rFonts w:cs="Arial"/>
          <w:szCs w:val="24"/>
          <w:lang w:eastAsia="en-US"/>
        </w:rPr>
        <w:t xml:space="preserve">and therefore the </w:t>
      </w:r>
      <w:r w:rsidR="003229D7" w:rsidRPr="00285CDE">
        <w:rPr>
          <w:rFonts w:cs="Arial"/>
          <w:szCs w:val="24"/>
          <w:lang w:eastAsia="en-US"/>
        </w:rPr>
        <w:t>applicant’s</w:t>
      </w:r>
      <w:r w:rsidR="00A53E5E" w:rsidRPr="00285CDE">
        <w:rPr>
          <w:rFonts w:cs="Arial"/>
          <w:szCs w:val="24"/>
          <w:lang w:eastAsia="en-US"/>
        </w:rPr>
        <w:t xml:space="preserve"> case does not meet the requirements of ripeness.</w:t>
      </w:r>
      <w:r w:rsidR="00A53E5E" w:rsidRPr="00285CDE">
        <w:rPr>
          <w:rStyle w:val="FootnoteReference"/>
          <w:rFonts w:cs="Arial"/>
          <w:szCs w:val="24"/>
          <w:lang w:eastAsia="en-US"/>
        </w:rPr>
        <w:footnoteReference w:id="45"/>
      </w:r>
      <w:r w:rsidR="00A53E5E" w:rsidRPr="00285CDE">
        <w:rPr>
          <w:rFonts w:cs="Arial"/>
          <w:szCs w:val="24"/>
          <w:lang w:eastAsia="en-US"/>
        </w:rPr>
        <w:t xml:space="preserve"> Consequently, they argued that </w:t>
      </w:r>
      <w:r w:rsidR="00EB7665">
        <w:rPr>
          <w:rFonts w:cs="Arial"/>
          <w:szCs w:val="24"/>
          <w:lang w:eastAsia="en-US"/>
        </w:rPr>
        <w:t xml:space="preserve">the Applicants would not suffer any prejudice if they were to await the </w:t>
      </w:r>
      <w:r w:rsidR="00A53E5E" w:rsidRPr="00285CDE">
        <w:rPr>
          <w:rFonts w:cs="Arial"/>
          <w:szCs w:val="24"/>
          <w:lang w:eastAsia="en-US"/>
        </w:rPr>
        <w:t xml:space="preserve">outcome of the PE Minister’s decision once he has received information </w:t>
      </w:r>
      <w:r w:rsidR="00013D10" w:rsidRPr="00285CDE">
        <w:rPr>
          <w:rFonts w:cs="Arial"/>
          <w:szCs w:val="24"/>
          <w:lang w:eastAsia="en-US"/>
        </w:rPr>
        <w:t>from</w:t>
      </w:r>
      <w:r w:rsidR="00A53E5E" w:rsidRPr="00285CDE">
        <w:rPr>
          <w:rFonts w:cs="Arial"/>
          <w:szCs w:val="24"/>
          <w:lang w:eastAsia="en-US"/>
        </w:rPr>
        <w:t xml:space="preserve"> SAA.</w:t>
      </w:r>
    </w:p>
    <w:p w14:paraId="38BCAC95" w14:textId="745522A9" w:rsidR="00A53E5E" w:rsidRPr="00285CDE" w:rsidRDefault="00890EE4" w:rsidP="00890EE4">
      <w:pPr>
        <w:pStyle w:val="1"/>
        <w:numPr>
          <w:ilvl w:val="0"/>
          <w:numId w:val="0"/>
        </w:numPr>
        <w:tabs>
          <w:tab w:val="left" w:pos="567"/>
        </w:tabs>
        <w:spacing w:line="360" w:lineRule="auto"/>
        <w:ind w:left="567" w:hanging="567"/>
        <w:rPr>
          <w:rFonts w:cs="Arial"/>
          <w:szCs w:val="24"/>
        </w:rPr>
      </w:pPr>
      <w:bookmarkStart w:id="10" w:name="_Hlk138833355"/>
      <w:r w:rsidRPr="00285CDE">
        <w:rPr>
          <w:rFonts w:cs="Arial"/>
          <w:szCs w:val="24"/>
        </w:rPr>
        <w:t>[116]</w:t>
      </w:r>
      <w:r w:rsidRPr="00285CDE">
        <w:rPr>
          <w:rFonts w:cs="Arial"/>
          <w:szCs w:val="24"/>
        </w:rPr>
        <w:tab/>
      </w:r>
      <w:r w:rsidR="00A53E5E" w:rsidRPr="00285CDE">
        <w:rPr>
          <w:rFonts w:cs="Arial"/>
          <w:szCs w:val="24"/>
          <w:lang w:eastAsia="en-US"/>
        </w:rPr>
        <w:t xml:space="preserve">Furthermore, the First and Second Respondents </w:t>
      </w:r>
      <w:r w:rsidR="00013D10" w:rsidRPr="00285CDE">
        <w:rPr>
          <w:rFonts w:cs="Arial"/>
          <w:szCs w:val="24"/>
          <w:lang w:eastAsia="en-US"/>
        </w:rPr>
        <w:t>submitted</w:t>
      </w:r>
      <w:r w:rsidR="00A53E5E" w:rsidRPr="00285CDE">
        <w:rPr>
          <w:rFonts w:cs="Arial"/>
          <w:szCs w:val="24"/>
          <w:lang w:eastAsia="en-US"/>
        </w:rPr>
        <w:t xml:space="preserve"> that </w:t>
      </w:r>
      <w:r w:rsidR="00602C31" w:rsidRPr="00285CDE">
        <w:rPr>
          <w:rFonts w:cs="Arial"/>
          <w:szCs w:val="24"/>
          <w:lang w:eastAsia="en-US"/>
        </w:rPr>
        <w:t xml:space="preserve">in terms of </w:t>
      </w:r>
      <w:r w:rsidR="00A53E5E" w:rsidRPr="00285CDE">
        <w:rPr>
          <w:rFonts w:cs="Arial"/>
          <w:szCs w:val="24"/>
          <w:lang w:eastAsia="en-US"/>
        </w:rPr>
        <w:t xml:space="preserve">sections 54(1), </w:t>
      </w:r>
      <w:r w:rsidR="00E466FC" w:rsidRPr="00285CDE">
        <w:rPr>
          <w:rFonts w:cs="Arial"/>
          <w:szCs w:val="24"/>
          <w:lang w:eastAsia="en-US"/>
        </w:rPr>
        <w:t xml:space="preserve">and </w:t>
      </w:r>
      <w:r w:rsidR="00A53E5E" w:rsidRPr="00285CDE">
        <w:rPr>
          <w:rFonts w:cs="Arial"/>
          <w:szCs w:val="24"/>
          <w:lang w:eastAsia="en-US"/>
        </w:rPr>
        <w:t xml:space="preserve">50(1)(c) of the PFMA the PE Minister as the executive authority </w:t>
      </w:r>
      <w:r w:rsidR="00602C31" w:rsidRPr="00285CDE">
        <w:rPr>
          <w:rFonts w:cs="Arial"/>
          <w:szCs w:val="24"/>
          <w:lang w:eastAsia="en-US"/>
        </w:rPr>
        <w:t>may require</w:t>
      </w:r>
      <w:r w:rsidR="00A53E5E" w:rsidRPr="00285CDE">
        <w:rPr>
          <w:rFonts w:cs="Arial"/>
          <w:szCs w:val="24"/>
          <w:lang w:eastAsia="en-US"/>
        </w:rPr>
        <w:t xml:space="preserve"> any information which may influence the decision.</w:t>
      </w:r>
      <w:r w:rsidR="00602C31" w:rsidRPr="00285CDE">
        <w:rPr>
          <w:rFonts w:cs="Arial"/>
          <w:szCs w:val="24"/>
          <w:lang w:eastAsia="en-US"/>
        </w:rPr>
        <w:t xml:space="preserve"> To this end, the First and Second Respondents contended that the PE Minister may require or request additional information or </w:t>
      </w:r>
      <w:r w:rsidR="00013D10" w:rsidRPr="00285CDE">
        <w:rPr>
          <w:rFonts w:cs="Arial"/>
          <w:szCs w:val="24"/>
          <w:lang w:eastAsia="en-US"/>
        </w:rPr>
        <w:t>documents</w:t>
      </w:r>
      <w:r w:rsidR="00602C31" w:rsidRPr="00285CDE">
        <w:rPr>
          <w:rFonts w:cs="Arial"/>
          <w:szCs w:val="24"/>
          <w:lang w:eastAsia="en-US"/>
        </w:rPr>
        <w:t xml:space="preserve"> </w:t>
      </w:r>
      <w:r w:rsidR="00EB7665">
        <w:rPr>
          <w:rFonts w:cs="Arial"/>
          <w:szCs w:val="24"/>
          <w:lang w:eastAsia="en-US"/>
        </w:rPr>
        <w:t xml:space="preserve">that are </w:t>
      </w:r>
      <w:r w:rsidR="00602C31" w:rsidRPr="00285CDE">
        <w:rPr>
          <w:rFonts w:cs="Arial"/>
          <w:szCs w:val="24"/>
          <w:lang w:eastAsia="en-US"/>
        </w:rPr>
        <w:t>necessary</w:t>
      </w:r>
      <w:r w:rsidR="00EB7665">
        <w:rPr>
          <w:rFonts w:cs="Arial"/>
          <w:szCs w:val="24"/>
          <w:lang w:eastAsia="en-US"/>
        </w:rPr>
        <w:t xml:space="preserve"> for the PE Minister</w:t>
      </w:r>
      <w:r w:rsidR="00602C31" w:rsidRPr="00285CDE">
        <w:rPr>
          <w:rFonts w:cs="Arial"/>
          <w:szCs w:val="24"/>
          <w:lang w:eastAsia="en-US"/>
        </w:rPr>
        <w:t xml:space="preserve"> to </w:t>
      </w:r>
      <w:r w:rsidR="00AC1ECB">
        <w:rPr>
          <w:rFonts w:cs="Arial"/>
          <w:szCs w:val="24"/>
          <w:lang w:eastAsia="en-US"/>
        </w:rPr>
        <w:t>take a</w:t>
      </w:r>
      <w:r w:rsidR="00EB7665">
        <w:rPr>
          <w:rFonts w:cs="Arial"/>
          <w:szCs w:val="24"/>
          <w:lang w:eastAsia="en-US"/>
        </w:rPr>
        <w:t>n informed</w:t>
      </w:r>
      <w:r w:rsidR="00AC1ECB">
        <w:rPr>
          <w:rFonts w:cs="Arial"/>
          <w:szCs w:val="24"/>
          <w:lang w:eastAsia="en-US"/>
        </w:rPr>
        <w:t xml:space="preserve"> decision</w:t>
      </w:r>
      <w:r w:rsidR="00602C31" w:rsidRPr="00285CDE">
        <w:rPr>
          <w:rFonts w:cs="Arial"/>
          <w:szCs w:val="24"/>
          <w:lang w:eastAsia="en-US"/>
        </w:rPr>
        <w:t xml:space="preserve">. In addition, they argued that by doing so, the PE Minister properly </w:t>
      </w:r>
      <w:r w:rsidR="0069713F" w:rsidRPr="00285CDE">
        <w:rPr>
          <w:rFonts w:cs="Arial"/>
          <w:szCs w:val="24"/>
          <w:lang w:eastAsia="en-US"/>
        </w:rPr>
        <w:t>exercises</w:t>
      </w:r>
      <w:r w:rsidR="00602C31" w:rsidRPr="00285CDE">
        <w:rPr>
          <w:rFonts w:cs="Arial"/>
          <w:szCs w:val="24"/>
          <w:lang w:eastAsia="en-US"/>
        </w:rPr>
        <w:t xml:space="preserve"> his oversight responsibilities under the PFMA. </w:t>
      </w:r>
    </w:p>
    <w:p w14:paraId="20F98EAC" w14:textId="5B8ABBD8" w:rsidR="0069713F" w:rsidRPr="00285CDE" w:rsidRDefault="00890EE4" w:rsidP="00890EE4">
      <w:pPr>
        <w:pStyle w:val="1"/>
        <w:numPr>
          <w:ilvl w:val="0"/>
          <w:numId w:val="0"/>
        </w:numPr>
        <w:tabs>
          <w:tab w:val="left" w:pos="567"/>
        </w:tabs>
        <w:spacing w:line="360" w:lineRule="auto"/>
        <w:ind w:left="567" w:hanging="567"/>
        <w:rPr>
          <w:rFonts w:cs="Arial"/>
          <w:szCs w:val="24"/>
        </w:rPr>
      </w:pPr>
      <w:bookmarkStart w:id="11" w:name="_Hlk138839397"/>
      <w:r w:rsidRPr="00285CDE">
        <w:rPr>
          <w:rFonts w:cs="Arial"/>
          <w:szCs w:val="24"/>
        </w:rPr>
        <w:t>[117]</w:t>
      </w:r>
      <w:r w:rsidRPr="00285CDE">
        <w:rPr>
          <w:rFonts w:cs="Arial"/>
          <w:szCs w:val="24"/>
        </w:rPr>
        <w:tab/>
      </w:r>
      <w:r w:rsidR="0069713F" w:rsidRPr="00285CDE">
        <w:rPr>
          <w:rFonts w:cs="Arial"/>
          <w:szCs w:val="24"/>
          <w:lang w:eastAsia="en-US"/>
        </w:rPr>
        <w:t>The First and Second Respondents submitted that without the mechanism in place enabling the PE Minister to request further information, it meant that applications such as the section 54</w:t>
      </w:r>
      <w:r w:rsidR="00013D10" w:rsidRPr="00285CDE">
        <w:rPr>
          <w:rFonts w:cs="Arial"/>
          <w:szCs w:val="24"/>
          <w:lang w:eastAsia="en-US"/>
        </w:rPr>
        <w:t>(2)</w:t>
      </w:r>
      <w:r w:rsidR="0069713F" w:rsidRPr="00285CDE">
        <w:rPr>
          <w:rFonts w:cs="Arial"/>
          <w:szCs w:val="24"/>
          <w:lang w:eastAsia="en-US"/>
        </w:rPr>
        <w:t xml:space="preserve"> </w:t>
      </w:r>
      <w:r w:rsidR="00EB7665">
        <w:rPr>
          <w:rFonts w:cs="Arial"/>
          <w:szCs w:val="24"/>
          <w:lang w:eastAsia="en-US"/>
        </w:rPr>
        <w:t xml:space="preserve">applications </w:t>
      </w:r>
      <w:r w:rsidR="0069713F" w:rsidRPr="00285CDE">
        <w:rPr>
          <w:rFonts w:cs="Arial"/>
          <w:szCs w:val="24"/>
          <w:lang w:eastAsia="en-US"/>
        </w:rPr>
        <w:t>would</w:t>
      </w:r>
      <w:r w:rsidR="00EB7665">
        <w:rPr>
          <w:rFonts w:cs="Arial"/>
          <w:szCs w:val="24"/>
          <w:lang w:eastAsia="en-US"/>
        </w:rPr>
        <w:t xml:space="preserve"> be</w:t>
      </w:r>
      <w:r w:rsidR="0069713F" w:rsidRPr="00285CDE">
        <w:rPr>
          <w:rFonts w:cs="Arial"/>
          <w:szCs w:val="24"/>
          <w:lang w:eastAsia="en-US"/>
        </w:rPr>
        <w:t xml:space="preserve"> out-rightly dismissed for lack of completeness and result in undesirable consequences for applicants such as SAA. According to the First and Second Respondents the request for further information “</w:t>
      </w:r>
      <w:r w:rsidR="0069713F" w:rsidRPr="00EB7665">
        <w:rPr>
          <w:rFonts w:cs="Arial"/>
          <w:i/>
          <w:iCs w:val="0"/>
          <w:szCs w:val="24"/>
          <w:lang w:eastAsia="en-US"/>
        </w:rPr>
        <w:t xml:space="preserve">serves the interest of both the accounting </w:t>
      </w:r>
      <w:r w:rsidR="0085243D" w:rsidRPr="00EB7665">
        <w:rPr>
          <w:rFonts w:cs="Arial"/>
          <w:i/>
          <w:iCs w:val="0"/>
          <w:szCs w:val="24"/>
          <w:lang w:eastAsia="en-US"/>
        </w:rPr>
        <w:t>authorities</w:t>
      </w:r>
      <w:r w:rsidR="0069713F" w:rsidRPr="00EB7665">
        <w:rPr>
          <w:rFonts w:cs="Arial"/>
          <w:i/>
          <w:iCs w:val="0"/>
          <w:szCs w:val="24"/>
          <w:lang w:eastAsia="en-US"/>
        </w:rPr>
        <w:t xml:space="preserve"> and the </w:t>
      </w:r>
      <w:r w:rsidR="0085243D" w:rsidRPr="00EB7665">
        <w:rPr>
          <w:rFonts w:cs="Arial"/>
          <w:i/>
          <w:iCs w:val="0"/>
          <w:szCs w:val="24"/>
          <w:lang w:eastAsia="en-US"/>
        </w:rPr>
        <w:t>executive</w:t>
      </w:r>
      <w:r w:rsidR="0069713F" w:rsidRPr="00EB7665">
        <w:rPr>
          <w:rFonts w:cs="Arial"/>
          <w:i/>
          <w:iCs w:val="0"/>
          <w:szCs w:val="24"/>
          <w:lang w:eastAsia="en-US"/>
        </w:rPr>
        <w:t xml:space="preserve"> </w:t>
      </w:r>
      <w:r w:rsidR="0085243D" w:rsidRPr="00EB7665">
        <w:rPr>
          <w:rFonts w:cs="Arial"/>
          <w:i/>
          <w:iCs w:val="0"/>
          <w:szCs w:val="24"/>
          <w:lang w:eastAsia="en-US"/>
        </w:rPr>
        <w:t>authorities</w:t>
      </w:r>
      <w:r w:rsidR="0069713F" w:rsidRPr="00285CDE">
        <w:rPr>
          <w:rFonts w:cs="Arial"/>
          <w:szCs w:val="24"/>
          <w:lang w:eastAsia="en-US"/>
        </w:rPr>
        <w:t xml:space="preserve">”. </w:t>
      </w:r>
    </w:p>
    <w:p w14:paraId="7AA7D818" w14:textId="4F2863D5" w:rsidR="0085243D"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[118]</w:t>
      </w:r>
      <w:r w:rsidRPr="00285CDE">
        <w:rPr>
          <w:rFonts w:cs="Arial"/>
          <w:szCs w:val="24"/>
        </w:rPr>
        <w:tab/>
      </w:r>
      <w:r w:rsidR="0085243D" w:rsidRPr="00285CDE">
        <w:rPr>
          <w:rFonts w:cs="Arial"/>
          <w:szCs w:val="24"/>
          <w:lang w:eastAsia="en-US"/>
        </w:rPr>
        <w:t xml:space="preserve">The First and Second Respondents contended </w:t>
      </w:r>
      <w:r w:rsidR="00013D10" w:rsidRPr="00285CDE">
        <w:rPr>
          <w:rFonts w:cs="Arial"/>
          <w:szCs w:val="24"/>
          <w:lang w:eastAsia="en-US"/>
        </w:rPr>
        <w:t>that an</w:t>
      </w:r>
      <w:r w:rsidR="0085243D" w:rsidRPr="00285CDE">
        <w:rPr>
          <w:rFonts w:cs="Arial"/>
          <w:szCs w:val="24"/>
          <w:lang w:eastAsia="en-US"/>
        </w:rPr>
        <w:t xml:space="preserve"> SMF was concluded between the PE Minister and SAA to </w:t>
      </w:r>
      <w:r w:rsidR="0085243D" w:rsidRPr="00285CDE">
        <w:rPr>
          <w:rFonts w:cs="Arial"/>
          <w:i/>
          <w:iCs w:val="0"/>
          <w:szCs w:val="24"/>
          <w:lang w:eastAsia="en-US"/>
        </w:rPr>
        <w:t>inter alia</w:t>
      </w:r>
      <w:r w:rsidR="0085243D" w:rsidRPr="00285CDE">
        <w:rPr>
          <w:rFonts w:cs="Arial"/>
          <w:szCs w:val="24"/>
          <w:lang w:eastAsia="en-US"/>
        </w:rPr>
        <w:t xml:space="preserve"> enable the PE Minister as a shareholder representative to exercise effective oversight over the affairs of SAA, and ensure that SAA</w:t>
      </w:r>
      <w:r w:rsidR="001B5213">
        <w:rPr>
          <w:rFonts w:cs="Arial"/>
          <w:szCs w:val="24"/>
          <w:lang w:eastAsia="en-US"/>
        </w:rPr>
        <w:t>’s</w:t>
      </w:r>
      <w:r w:rsidR="0085243D" w:rsidRPr="00285CDE">
        <w:rPr>
          <w:rFonts w:cs="Arial"/>
          <w:szCs w:val="24"/>
          <w:lang w:eastAsia="en-US"/>
        </w:rPr>
        <w:t xml:space="preserve"> transactions comply with </w:t>
      </w:r>
      <w:r w:rsidR="00F929BA" w:rsidRPr="00285CDE">
        <w:rPr>
          <w:rFonts w:cs="Arial"/>
          <w:szCs w:val="24"/>
          <w:lang w:eastAsia="en-US"/>
        </w:rPr>
        <w:t xml:space="preserve">the </w:t>
      </w:r>
      <w:r w:rsidR="0085243D" w:rsidRPr="00285CDE">
        <w:rPr>
          <w:rFonts w:cs="Arial"/>
          <w:szCs w:val="24"/>
          <w:lang w:eastAsia="en-US"/>
        </w:rPr>
        <w:t>regulatory framework.</w:t>
      </w:r>
    </w:p>
    <w:bookmarkEnd w:id="10"/>
    <w:p w14:paraId="32037BEE" w14:textId="0FC3372D" w:rsidR="0085243D"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[119]</w:t>
      </w:r>
      <w:r w:rsidRPr="00285CDE">
        <w:rPr>
          <w:rFonts w:cs="Arial"/>
          <w:szCs w:val="24"/>
        </w:rPr>
        <w:tab/>
      </w:r>
      <w:r w:rsidR="0085243D" w:rsidRPr="00285CDE">
        <w:rPr>
          <w:rFonts w:cs="Arial"/>
          <w:szCs w:val="24"/>
          <w:lang w:eastAsia="en-US"/>
        </w:rPr>
        <w:t xml:space="preserve">Furthermore, </w:t>
      </w:r>
      <w:r w:rsidR="006953B5">
        <w:rPr>
          <w:rFonts w:cs="Arial"/>
          <w:szCs w:val="24"/>
          <w:lang w:eastAsia="en-US"/>
        </w:rPr>
        <w:t xml:space="preserve">the </w:t>
      </w:r>
      <w:r w:rsidR="0085243D" w:rsidRPr="00285CDE">
        <w:rPr>
          <w:rFonts w:cs="Arial"/>
          <w:szCs w:val="24"/>
          <w:lang w:eastAsia="en-US"/>
        </w:rPr>
        <w:t>First and Second Respondents contend</w:t>
      </w:r>
      <w:r w:rsidR="00013D10" w:rsidRPr="00285CDE">
        <w:rPr>
          <w:rFonts w:cs="Arial"/>
          <w:szCs w:val="24"/>
          <w:lang w:eastAsia="en-US"/>
        </w:rPr>
        <w:t>ed</w:t>
      </w:r>
      <w:r w:rsidR="0085243D" w:rsidRPr="00285CDE">
        <w:rPr>
          <w:rFonts w:cs="Arial"/>
          <w:szCs w:val="24"/>
          <w:lang w:eastAsia="en-US"/>
        </w:rPr>
        <w:t xml:space="preserve"> that Annexure A of the SM</w:t>
      </w:r>
      <w:r w:rsidR="00013D10" w:rsidRPr="00285CDE">
        <w:rPr>
          <w:rFonts w:cs="Arial"/>
          <w:szCs w:val="24"/>
          <w:lang w:eastAsia="en-US"/>
        </w:rPr>
        <w:t>F</w:t>
      </w:r>
      <w:r w:rsidR="0085243D" w:rsidRPr="00285CDE">
        <w:rPr>
          <w:rFonts w:cs="Arial"/>
          <w:szCs w:val="24"/>
          <w:lang w:eastAsia="en-US"/>
        </w:rPr>
        <w:t xml:space="preserve"> deals with a section 54</w:t>
      </w:r>
      <w:r w:rsidR="00013D10" w:rsidRPr="00285CDE">
        <w:rPr>
          <w:rFonts w:cs="Arial"/>
          <w:szCs w:val="24"/>
          <w:lang w:eastAsia="en-US"/>
        </w:rPr>
        <w:t>(2)</w:t>
      </w:r>
      <w:r w:rsidR="0085243D" w:rsidRPr="00285CDE">
        <w:rPr>
          <w:rFonts w:cs="Arial"/>
          <w:szCs w:val="24"/>
          <w:lang w:eastAsia="en-US"/>
        </w:rPr>
        <w:t xml:space="preserve"> application </w:t>
      </w:r>
      <w:r w:rsidR="00013D10" w:rsidRPr="00285CDE">
        <w:rPr>
          <w:rFonts w:cs="Arial"/>
          <w:szCs w:val="24"/>
          <w:lang w:eastAsia="en-US"/>
        </w:rPr>
        <w:t>and</w:t>
      </w:r>
      <w:r w:rsidR="0085243D" w:rsidRPr="00285CDE">
        <w:rPr>
          <w:rFonts w:cs="Arial"/>
          <w:szCs w:val="24"/>
          <w:lang w:eastAsia="en-US"/>
        </w:rPr>
        <w:t xml:space="preserve"> states that where information </w:t>
      </w:r>
      <w:r w:rsidR="0085243D" w:rsidRPr="00285CDE">
        <w:rPr>
          <w:rFonts w:cs="Arial"/>
          <w:szCs w:val="24"/>
          <w:lang w:eastAsia="en-US"/>
        </w:rPr>
        <w:lastRenderedPageBreak/>
        <w:t xml:space="preserve">is incomplete or insufficient, the </w:t>
      </w:r>
      <w:r w:rsidR="00013D10" w:rsidRPr="00285CDE">
        <w:rPr>
          <w:rFonts w:cs="Arial"/>
          <w:szCs w:val="24"/>
          <w:lang w:eastAsia="en-US"/>
        </w:rPr>
        <w:t>30-day</w:t>
      </w:r>
      <w:r w:rsidR="0085243D" w:rsidRPr="00285CDE">
        <w:rPr>
          <w:rFonts w:cs="Arial"/>
          <w:szCs w:val="24"/>
          <w:lang w:eastAsia="en-US"/>
        </w:rPr>
        <w:t xml:space="preserve"> business period will not apply until such information has been submitted to the Department of Public Enterprise. </w:t>
      </w:r>
    </w:p>
    <w:bookmarkEnd w:id="11"/>
    <w:p w14:paraId="072DE42F" w14:textId="35015914" w:rsidR="0085243D"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[120]</w:t>
      </w:r>
      <w:r w:rsidRPr="00285CDE">
        <w:rPr>
          <w:rFonts w:cs="Arial"/>
          <w:szCs w:val="24"/>
        </w:rPr>
        <w:tab/>
      </w:r>
      <w:r w:rsidR="00F929BA" w:rsidRPr="00285CDE">
        <w:rPr>
          <w:rFonts w:cs="Arial"/>
          <w:szCs w:val="24"/>
          <w:lang w:eastAsia="en-US"/>
        </w:rPr>
        <w:t xml:space="preserve">The First and Second Respondents argued that </w:t>
      </w:r>
      <w:r w:rsidR="006953B5" w:rsidRPr="00285CDE">
        <w:rPr>
          <w:rFonts w:cs="Arial"/>
          <w:szCs w:val="24"/>
          <w:lang w:eastAsia="en-US"/>
        </w:rPr>
        <w:t>for</w:t>
      </w:r>
      <w:r w:rsidR="00F929BA" w:rsidRPr="00285CDE">
        <w:rPr>
          <w:rFonts w:cs="Arial"/>
          <w:szCs w:val="24"/>
          <w:lang w:eastAsia="en-US"/>
        </w:rPr>
        <w:t xml:space="preserve"> the presumption of approval </w:t>
      </w:r>
      <w:r w:rsidR="006953B5">
        <w:rPr>
          <w:rFonts w:cs="Arial"/>
          <w:szCs w:val="24"/>
          <w:lang w:eastAsia="en-US"/>
        </w:rPr>
        <w:t xml:space="preserve">to apply as per </w:t>
      </w:r>
      <w:r w:rsidR="00F929BA" w:rsidRPr="00285CDE">
        <w:rPr>
          <w:rFonts w:cs="Arial"/>
          <w:szCs w:val="24"/>
          <w:lang w:eastAsia="en-US"/>
        </w:rPr>
        <w:t>section 54(3) of the PFMA</w:t>
      </w:r>
      <w:r w:rsidR="006953B5">
        <w:rPr>
          <w:rFonts w:cs="Arial"/>
          <w:szCs w:val="24"/>
          <w:lang w:eastAsia="en-US"/>
        </w:rPr>
        <w:t>,</w:t>
      </w:r>
      <w:r w:rsidR="00F929BA" w:rsidRPr="00285CDE">
        <w:rPr>
          <w:rFonts w:cs="Arial"/>
          <w:szCs w:val="24"/>
          <w:lang w:eastAsia="en-US"/>
        </w:rPr>
        <w:t xml:space="preserve"> there must be no response received within </w:t>
      </w:r>
      <w:r w:rsidR="00B97F68" w:rsidRPr="00285CDE">
        <w:rPr>
          <w:rFonts w:cs="Arial"/>
          <w:szCs w:val="24"/>
          <w:lang w:eastAsia="en-US"/>
        </w:rPr>
        <w:t xml:space="preserve">the </w:t>
      </w:r>
      <w:r w:rsidR="00F929BA" w:rsidRPr="00285CDE">
        <w:rPr>
          <w:rFonts w:cs="Arial"/>
          <w:szCs w:val="24"/>
          <w:lang w:eastAsia="en-US"/>
        </w:rPr>
        <w:t>30</w:t>
      </w:r>
      <w:r w:rsidR="00B97F68" w:rsidRPr="00285CDE">
        <w:rPr>
          <w:rFonts w:cs="Arial"/>
          <w:szCs w:val="24"/>
          <w:lang w:eastAsia="en-US"/>
        </w:rPr>
        <w:t>-</w:t>
      </w:r>
      <w:r w:rsidR="00F929BA" w:rsidRPr="00285CDE">
        <w:rPr>
          <w:rFonts w:cs="Arial"/>
          <w:szCs w:val="24"/>
          <w:lang w:eastAsia="en-US"/>
        </w:rPr>
        <w:t>day</w:t>
      </w:r>
      <w:r w:rsidR="00B97F68" w:rsidRPr="00285CDE">
        <w:rPr>
          <w:rFonts w:cs="Arial"/>
          <w:szCs w:val="24"/>
          <w:lang w:eastAsia="en-US"/>
        </w:rPr>
        <w:t xml:space="preserve"> period</w:t>
      </w:r>
      <w:r w:rsidR="00F929BA" w:rsidRPr="00285CDE">
        <w:rPr>
          <w:rFonts w:cs="Arial"/>
          <w:szCs w:val="24"/>
          <w:lang w:eastAsia="en-US"/>
        </w:rPr>
        <w:t xml:space="preserve">. To this end, they </w:t>
      </w:r>
      <w:r w:rsidR="00B97F68" w:rsidRPr="00285CDE">
        <w:rPr>
          <w:rFonts w:cs="Arial"/>
          <w:szCs w:val="24"/>
          <w:lang w:eastAsia="en-US"/>
        </w:rPr>
        <w:t>submitted</w:t>
      </w:r>
      <w:r w:rsidR="00F929BA" w:rsidRPr="00285CDE">
        <w:rPr>
          <w:rFonts w:cs="Arial"/>
          <w:szCs w:val="24"/>
          <w:lang w:eastAsia="en-US"/>
        </w:rPr>
        <w:t xml:space="preserve"> that </w:t>
      </w:r>
      <w:r w:rsidR="004B360D" w:rsidRPr="00285CDE">
        <w:rPr>
          <w:rFonts w:cs="Arial"/>
          <w:szCs w:val="24"/>
          <w:lang w:eastAsia="en-US"/>
        </w:rPr>
        <w:t>the said presumption is not applicable in this case because the section 54(2) application was submitted on 29 September 2022</w:t>
      </w:r>
      <w:r w:rsidR="002A5DC7" w:rsidRPr="00285CDE">
        <w:rPr>
          <w:rFonts w:cs="Arial"/>
          <w:szCs w:val="24"/>
          <w:lang w:eastAsia="en-US"/>
        </w:rPr>
        <w:t>,</w:t>
      </w:r>
      <w:r w:rsidR="004B360D" w:rsidRPr="00285CDE">
        <w:rPr>
          <w:rFonts w:cs="Arial"/>
          <w:szCs w:val="24"/>
          <w:lang w:eastAsia="en-US"/>
        </w:rPr>
        <w:t xml:space="preserve"> and on 26 October 2022, </w:t>
      </w:r>
      <w:r w:rsidR="001B5213">
        <w:rPr>
          <w:rFonts w:cs="Arial"/>
          <w:szCs w:val="24"/>
          <w:lang w:eastAsia="en-US"/>
        </w:rPr>
        <w:t xml:space="preserve">and that </w:t>
      </w:r>
      <w:r w:rsidR="004B360D" w:rsidRPr="00285CDE">
        <w:rPr>
          <w:rFonts w:cs="Arial"/>
          <w:szCs w:val="24"/>
          <w:lang w:eastAsia="en-US"/>
        </w:rPr>
        <w:t>the PE Minister responde</w:t>
      </w:r>
      <w:r w:rsidR="00013D10" w:rsidRPr="00285CDE">
        <w:rPr>
          <w:rFonts w:cs="Arial"/>
          <w:szCs w:val="24"/>
          <w:lang w:eastAsia="en-US"/>
        </w:rPr>
        <w:t>d</w:t>
      </w:r>
      <w:r w:rsidR="004B360D" w:rsidRPr="00285CDE">
        <w:rPr>
          <w:rFonts w:cs="Arial"/>
          <w:szCs w:val="24"/>
          <w:lang w:eastAsia="en-US"/>
        </w:rPr>
        <w:t xml:space="preserve"> to the section 54(2) application </w:t>
      </w:r>
      <w:r w:rsidR="004B360D" w:rsidRPr="00285CDE">
        <w:rPr>
          <w:rFonts w:cs="Arial"/>
          <w:i/>
          <w:iCs w:val="0"/>
          <w:szCs w:val="24"/>
          <w:lang w:eastAsia="en-US"/>
        </w:rPr>
        <w:t>inter alia</w:t>
      </w:r>
      <w:r w:rsidR="004B360D" w:rsidRPr="00285CDE">
        <w:rPr>
          <w:rFonts w:cs="Arial"/>
          <w:szCs w:val="24"/>
          <w:lang w:eastAsia="en-US"/>
        </w:rPr>
        <w:t xml:space="preserve"> requesting additional information and instructing SAA to take responsibility of the said application. Consequently, they argued that </w:t>
      </w:r>
      <w:r w:rsidR="006953B5">
        <w:rPr>
          <w:rFonts w:cs="Arial"/>
          <w:szCs w:val="24"/>
          <w:lang w:eastAsia="en-US"/>
        </w:rPr>
        <w:t>the PE Minister provided a response within the 30-day p</w:t>
      </w:r>
      <w:r w:rsidR="001B5213">
        <w:rPr>
          <w:rFonts w:cs="Arial"/>
          <w:szCs w:val="24"/>
          <w:lang w:eastAsia="en-US"/>
        </w:rPr>
        <w:t>eriod.</w:t>
      </w:r>
    </w:p>
    <w:p w14:paraId="6ADDB76A" w14:textId="1C20E517" w:rsidR="004B360D"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[121]</w:t>
      </w:r>
      <w:r w:rsidRPr="00285CDE">
        <w:rPr>
          <w:rFonts w:cs="Arial"/>
          <w:szCs w:val="24"/>
        </w:rPr>
        <w:tab/>
      </w:r>
      <w:r w:rsidR="004B360D" w:rsidRPr="00285CDE">
        <w:rPr>
          <w:rFonts w:cs="Arial"/>
          <w:szCs w:val="24"/>
          <w:lang w:eastAsia="en-US"/>
        </w:rPr>
        <w:t>The First and Second Respondents further contended that on 28 November 2022, SAA re-submitted a revised section 54</w:t>
      </w:r>
      <w:r w:rsidR="00B97F68" w:rsidRPr="00285CDE">
        <w:rPr>
          <w:rFonts w:cs="Arial"/>
          <w:szCs w:val="24"/>
          <w:lang w:eastAsia="en-US"/>
        </w:rPr>
        <w:t>(2)</w:t>
      </w:r>
      <w:r w:rsidR="004B360D" w:rsidRPr="00285CDE">
        <w:rPr>
          <w:rFonts w:cs="Arial"/>
          <w:szCs w:val="24"/>
          <w:lang w:eastAsia="en-US"/>
        </w:rPr>
        <w:t xml:space="preserve"> application. Post this, a meeting was held between SAA, the Department of Public Enterprise </w:t>
      </w:r>
      <w:r w:rsidR="00B97F68" w:rsidRPr="00285CDE">
        <w:rPr>
          <w:rFonts w:cs="Arial"/>
          <w:szCs w:val="24"/>
          <w:lang w:eastAsia="en-US"/>
        </w:rPr>
        <w:t>officials,</w:t>
      </w:r>
      <w:r w:rsidR="004B360D" w:rsidRPr="00285CDE">
        <w:rPr>
          <w:rFonts w:cs="Arial"/>
          <w:szCs w:val="24"/>
          <w:lang w:eastAsia="en-US"/>
        </w:rPr>
        <w:t xml:space="preserve"> and </w:t>
      </w:r>
      <w:r w:rsidR="001B5213">
        <w:rPr>
          <w:rFonts w:cs="Arial"/>
          <w:szCs w:val="24"/>
          <w:lang w:eastAsia="en-US"/>
        </w:rPr>
        <w:t xml:space="preserve">National </w:t>
      </w:r>
      <w:r w:rsidR="004B360D" w:rsidRPr="00285CDE">
        <w:rPr>
          <w:rFonts w:cs="Arial"/>
          <w:szCs w:val="24"/>
          <w:lang w:eastAsia="en-US"/>
        </w:rPr>
        <w:t xml:space="preserve">Treasury on 14 December 2022 to discuss the information contained in the re-submitted section 54(2) application. </w:t>
      </w:r>
    </w:p>
    <w:p w14:paraId="30BDD764" w14:textId="3D08F80D" w:rsidR="00A53E5E"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[122]</w:t>
      </w:r>
      <w:r w:rsidRPr="00285CDE">
        <w:rPr>
          <w:rFonts w:cs="Arial"/>
          <w:szCs w:val="24"/>
        </w:rPr>
        <w:tab/>
      </w:r>
      <w:r w:rsidR="004B360D" w:rsidRPr="00285CDE">
        <w:rPr>
          <w:rFonts w:cs="Arial"/>
          <w:szCs w:val="24"/>
          <w:lang w:eastAsia="en-US"/>
        </w:rPr>
        <w:t xml:space="preserve">The First and Second Respondents further stated that on 21 December 2022, the PE Minister sent another letter regarding the re-submitted section 54(2) application wherein he requested further information relating to </w:t>
      </w:r>
      <w:r w:rsidR="004B360D" w:rsidRPr="00285CDE">
        <w:rPr>
          <w:rFonts w:cs="Arial"/>
          <w:i/>
          <w:iCs w:val="0"/>
          <w:szCs w:val="24"/>
          <w:lang w:eastAsia="en-US"/>
        </w:rPr>
        <w:t>inter alia</w:t>
      </w:r>
      <w:r w:rsidR="00435DD7" w:rsidRPr="00285CDE">
        <w:rPr>
          <w:rFonts w:cs="Arial"/>
          <w:szCs w:val="24"/>
          <w:lang w:eastAsia="en-US"/>
        </w:rPr>
        <w:t>, foreign ownership,</w:t>
      </w:r>
      <w:r w:rsidR="004B360D" w:rsidRPr="00285CDE">
        <w:rPr>
          <w:rFonts w:cs="Arial"/>
          <w:szCs w:val="24"/>
          <w:lang w:eastAsia="en-US"/>
        </w:rPr>
        <w:t xml:space="preserve">  </w:t>
      </w:r>
      <w:r w:rsidR="001B5213">
        <w:rPr>
          <w:rFonts w:cs="Arial"/>
          <w:szCs w:val="24"/>
          <w:lang w:eastAsia="en-US"/>
        </w:rPr>
        <w:t>the submission of a</w:t>
      </w:r>
      <w:r w:rsidR="006953B5">
        <w:rPr>
          <w:rFonts w:cs="Arial"/>
          <w:szCs w:val="24"/>
          <w:lang w:eastAsia="en-US"/>
        </w:rPr>
        <w:t xml:space="preserve"> </w:t>
      </w:r>
      <w:r w:rsidR="001B5213">
        <w:rPr>
          <w:rFonts w:cs="Arial"/>
          <w:szCs w:val="24"/>
          <w:lang w:eastAsia="en-US"/>
        </w:rPr>
        <w:t>d</w:t>
      </w:r>
      <w:r w:rsidR="004B360D" w:rsidRPr="00285CDE">
        <w:rPr>
          <w:rFonts w:cs="Arial"/>
          <w:szCs w:val="24"/>
          <w:lang w:eastAsia="en-US"/>
        </w:rPr>
        <w:t xml:space="preserve">ue </w:t>
      </w:r>
      <w:r w:rsidR="001B5213">
        <w:rPr>
          <w:rFonts w:cs="Arial"/>
          <w:szCs w:val="24"/>
          <w:lang w:eastAsia="en-US"/>
        </w:rPr>
        <w:t>d</w:t>
      </w:r>
      <w:r w:rsidR="004B360D" w:rsidRPr="00285CDE">
        <w:rPr>
          <w:rFonts w:cs="Arial"/>
          <w:szCs w:val="24"/>
          <w:lang w:eastAsia="en-US"/>
        </w:rPr>
        <w:t xml:space="preserve">iligence </w:t>
      </w:r>
      <w:r w:rsidR="001B5213">
        <w:rPr>
          <w:rFonts w:cs="Arial"/>
          <w:szCs w:val="24"/>
          <w:lang w:eastAsia="en-US"/>
        </w:rPr>
        <w:t>r</w:t>
      </w:r>
      <w:r w:rsidR="004B360D" w:rsidRPr="00285CDE">
        <w:rPr>
          <w:rFonts w:cs="Arial"/>
          <w:szCs w:val="24"/>
          <w:lang w:eastAsia="en-US"/>
        </w:rPr>
        <w:t>eport</w:t>
      </w:r>
      <w:r w:rsidR="00435DD7" w:rsidRPr="00285CDE">
        <w:rPr>
          <w:rFonts w:cs="Arial"/>
          <w:szCs w:val="24"/>
          <w:lang w:eastAsia="en-US"/>
        </w:rPr>
        <w:t xml:space="preserve"> to ensure that both SAA and the PE Minister </w:t>
      </w:r>
      <w:r w:rsidR="006953B5">
        <w:rPr>
          <w:rFonts w:cs="Arial"/>
          <w:szCs w:val="24"/>
          <w:lang w:eastAsia="en-US"/>
        </w:rPr>
        <w:t>were</w:t>
      </w:r>
      <w:r w:rsidR="00435DD7" w:rsidRPr="00285CDE">
        <w:rPr>
          <w:rFonts w:cs="Arial"/>
          <w:szCs w:val="24"/>
          <w:lang w:eastAsia="en-US"/>
        </w:rPr>
        <w:t xml:space="preserve"> satisfied with the bidders, the business plan of the preferred bidder to assess the viability of the disposal transaction, and </w:t>
      </w:r>
      <w:r w:rsidR="006953B5">
        <w:rPr>
          <w:rFonts w:cs="Arial"/>
          <w:szCs w:val="24"/>
          <w:lang w:eastAsia="en-US"/>
        </w:rPr>
        <w:t xml:space="preserve">the </w:t>
      </w:r>
      <w:r w:rsidR="00435DD7" w:rsidRPr="00285CDE">
        <w:rPr>
          <w:rFonts w:cs="Arial"/>
          <w:szCs w:val="24"/>
          <w:lang w:eastAsia="en-US"/>
        </w:rPr>
        <w:t xml:space="preserve">exploration of alternative options. According to the First and Second Respondents, the request for further information was reasonable and rational </w:t>
      </w:r>
      <w:r w:rsidR="00B97F68" w:rsidRPr="00285CDE">
        <w:rPr>
          <w:rFonts w:cs="Arial"/>
          <w:szCs w:val="24"/>
          <w:lang w:eastAsia="en-US"/>
        </w:rPr>
        <w:t xml:space="preserve">and </w:t>
      </w:r>
      <w:r w:rsidR="002A5DC7" w:rsidRPr="00285CDE">
        <w:rPr>
          <w:rFonts w:cs="Arial"/>
          <w:szCs w:val="24"/>
          <w:lang w:eastAsia="en-US"/>
        </w:rPr>
        <w:t>show</w:t>
      </w:r>
      <w:r w:rsidR="00B97F68" w:rsidRPr="00285CDE">
        <w:rPr>
          <w:rFonts w:cs="Arial"/>
          <w:szCs w:val="24"/>
          <w:lang w:eastAsia="en-US"/>
        </w:rPr>
        <w:t>ed</w:t>
      </w:r>
      <w:r w:rsidR="006953B5">
        <w:rPr>
          <w:rFonts w:cs="Arial"/>
          <w:szCs w:val="24"/>
          <w:lang w:eastAsia="en-US"/>
        </w:rPr>
        <w:t xml:space="preserve"> that</w:t>
      </w:r>
      <w:r w:rsidR="00435DD7" w:rsidRPr="00285CDE">
        <w:rPr>
          <w:rFonts w:cs="Arial"/>
          <w:szCs w:val="24"/>
          <w:lang w:eastAsia="en-US"/>
        </w:rPr>
        <w:t xml:space="preserve"> the PE </w:t>
      </w:r>
      <w:r w:rsidR="00B97F68" w:rsidRPr="00285CDE">
        <w:rPr>
          <w:rFonts w:cs="Arial"/>
          <w:szCs w:val="24"/>
          <w:lang w:eastAsia="en-US"/>
        </w:rPr>
        <w:t>Minister</w:t>
      </w:r>
      <w:r w:rsidR="00435DD7" w:rsidRPr="00285CDE">
        <w:rPr>
          <w:rFonts w:cs="Arial"/>
          <w:szCs w:val="24"/>
          <w:lang w:eastAsia="en-US"/>
        </w:rPr>
        <w:t xml:space="preserve"> respon</w:t>
      </w:r>
      <w:r w:rsidR="006953B5">
        <w:rPr>
          <w:rFonts w:cs="Arial"/>
          <w:szCs w:val="24"/>
          <w:lang w:eastAsia="en-US"/>
        </w:rPr>
        <w:t>ded</w:t>
      </w:r>
      <w:r w:rsidR="00435DD7" w:rsidRPr="00285CDE">
        <w:rPr>
          <w:rFonts w:cs="Arial"/>
          <w:szCs w:val="24"/>
          <w:lang w:eastAsia="en-US"/>
        </w:rPr>
        <w:t xml:space="preserve"> and compli</w:t>
      </w:r>
      <w:r w:rsidR="006953B5">
        <w:rPr>
          <w:rFonts w:cs="Arial"/>
          <w:szCs w:val="24"/>
          <w:lang w:eastAsia="en-US"/>
        </w:rPr>
        <w:t>ed</w:t>
      </w:r>
      <w:r w:rsidR="00435DD7" w:rsidRPr="00285CDE">
        <w:rPr>
          <w:rFonts w:cs="Arial"/>
          <w:szCs w:val="24"/>
          <w:lang w:eastAsia="en-US"/>
        </w:rPr>
        <w:t xml:space="preserve"> with section 54(3) of the PFMA. Therefore, </w:t>
      </w:r>
      <w:r w:rsidR="006604BB" w:rsidRPr="00285CDE">
        <w:rPr>
          <w:rFonts w:cs="Arial"/>
          <w:szCs w:val="24"/>
          <w:lang w:eastAsia="en-US"/>
        </w:rPr>
        <w:t>they argued</w:t>
      </w:r>
      <w:r w:rsidR="006953B5">
        <w:rPr>
          <w:rFonts w:cs="Arial"/>
          <w:szCs w:val="24"/>
          <w:lang w:eastAsia="en-US"/>
        </w:rPr>
        <w:t>,</w:t>
      </w:r>
      <w:r w:rsidR="006604BB" w:rsidRPr="00285CDE">
        <w:rPr>
          <w:rFonts w:cs="Arial"/>
          <w:szCs w:val="24"/>
          <w:lang w:eastAsia="en-US"/>
        </w:rPr>
        <w:t xml:space="preserve"> that </w:t>
      </w:r>
      <w:r w:rsidR="00435DD7" w:rsidRPr="00285CDE">
        <w:rPr>
          <w:rFonts w:cs="Arial"/>
          <w:szCs w:val="24"/>
          <w:lang w:eastAsia="en-US"/>
        </w:rPr>
        <w:t>there should be no interference by this Court</w:t>
      </w:r>
      <w:r w:rsidR="006604BB" w:rsidRPr="00285CDE">
        <w:rPr>
          <w:rFonts w:cs="Arial"/>
          <w:szCs w:val="24"/>
          <w:lang w:eastAsia="en-US"/>
        </w:rPr>
        <w:t xml:space="preserve"> as per the decision in </w:t>
      </w:r>
      <w:r w:rsidR="006604BB" w:rsidRPr="00285CDE">
        <w:rPr>
          <w:rFonts w:cs="Arial"/>
          <w:i/>
          <w:iCs w:val="0"/>
          <w:szCs w:val="24"/>
          <w:lang w:eastAsia="en-US"/>
        </w:rPr>
        <w:t>Bato Star Fishing (Pty) Ltd v The Minister of Environmental Affairs and Tourism</w:t>
      </w:r>
      <w:r w:rsidR="006604BB" w:rsidRPr="00285CDE">
        <w:rPr>
          <w:rFonts w:cs="Arial"/>
          <w:szCs w:val="24"/>
          <w:lang w:eastAsia="en-US"/>
        </w:rPr>
        <w:t>.</w:t>
      </w:r>
      <w:r w:rsidR="006604BB" w:rsidRPr="00285CDE">
        <w:rPr>
          <w:rStyle w:val="FootnoteReference"/>
          <w:rFonts w:cs="Arial"/>
          <w:szCs w:val="24"/>
          <w:lang w:eastAsia="en-US"/>
        </w:rPr>
        <w:footnoteReference w:id="46"/>
      </w:r>
    </w:p>
    <w:p w14:paraId="45FF76A8" w14:textId="2AD4B3F8" w:rsidR="002A5DC7"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[123]</w:t>
      </w:r>
      <w:r w:rsidRPr="00285CDE">
        <w:rPr>
          <w:rFonts w:cs="Arial"/>
          <w:szCs w:val="24"/>
        </w:rPr>
        <w:tab/>
      </w:r>
      <w:r w:rsidR="002A5DC7" w:rsidRPr="00285CDE">
        <w:rPr>
          <w:rFonts w:cs="Arial"/>
          <w:szCs w:val="24"/>
          <w:lang w:eastAsia="en-US"/>
        </w:rPr>
        <w:t xml:space="preserve">The First and Second Respondents contended that the applicants are excluded </w:t>
      </w:r>
      <w:r w:rsidR="00915FAE" w:rsidRPr="00285CDE">
        <w:rPr>
          <w:rFonts w:cs="Arial"/>
          <w:szCs w:val="24"/>
          <w:lang w:eastAsia="en-US"/>
        </w:rPr>
        <w:lastRenderedPageBreak/>
        <w:t xml:space="preserve">by </w:t>
      </w:r>
      <w:r w:rsidR="002A5DC7" w:rsidRPr="00285CDE">
        <w:rPr>
          <w:rFonts w:cs="Arial"/>
          <w:szCs w:val="24"/>
          <w:lang w:eastAsia="en-US"/>
        </w:rPr>
        <w:t xml:space="preserve">the PFMA from seeking </w:t>
      </w:r>
      <w:r w:rsidR="00AF1896">
        <w:rPr>
          <w:rFonts w:cs="Arial"/>
          <w:szCs w:val="24"/>
          <w:lang w:eastAsia="en-US"/>
        </w:rPr>
        <w:t xml:space="preserve">any </w:t>
      </w:r>
      <w:r w:rsidR="002A5DC7" w:rsidRPr="00285CDE">
        <w:rPr>
          <w:rFonts w:cs="Arial"/>
          <w:szCs w:val="24"/>
          <w:lang w:eastAsia="en-US"/>
        </w:rPr>
        <w:t>declaratory relief</w:t>
      </w:r>
      <w:r w:rsidR="006953B5">
        <w:rPr>
          <w:rFonts w:cs="Arial"/>
          <w:szCs w:val="24"/>
          <w:lang w:eastAsia="en-US"/>
        </w:rPr>
        <w:t xml:space="preserve"> from a court</w:t>
      </w:r>
      <w:r w:rsidR="002A5DC7" w:rsidRPr="00285CDE">
        <w:rPr>
          <w:rFonts w:cs="Arial"/>
          <w:szCs w:val="24"/>
          <w:lang w:eastAsia="en-US"/>
        </w:rPr>
        <w:t xml:space="preserve"> because the section 54</w:t>
      </w:r>
      <w:r w:rsidR="00B97F68" w:rsidRPr="00285CDE">
        <w:rPr>
          <w:rFonts w:cs="Arial"/>
          <w:szCs w:val="24"/>
          <w:lang w:eastAsia="en-US"/>
        </w:rPr>
        <w:t>(2)</w:t>
      </w:r>
      <w:r w:rsidR="002A5DC7" w:rsidRPr="00285CDE">
        <w:rPr>
          <w:rFonts w:cs="Arial"/>
          <w:szCs w:val="24"/>
          <w:lang w:eastAsia="en-US"/>
        </w:rPr>
        <w:t xml:space="preserve"> application </w:t>
      </w:r>
      <w:r w:rsidR="00915FAE" w:rsidRPr="00285CDE">
        <w:rPr>
          <w:rFonts w:cs="Arial"/>
          <w:szCs w:val="24"/>
          <w:lang w:eastAsia="en-US"/>
        </w:rPr>
        <w:t>only involves</w:t>
      </w:r>
      <w:r w:rsidR="002A5DC7" w:rsidRPr="00285CDE">
        <w:rPr>
          <w:rFonts w:cs="Arial"/>
          <w:szCs w:val="24"/>
          <w:lang w:eastAsia="en-US"/>
        </w:rPr>
        <w:t xml:space="preserve"> SAA and the PE Minister</w:t>
      </w:r>
      <w:r w:rsidR="00915FAE" w:rsidRPr="00285CDE">
        <w:rPr>
          <w:rFonts w:cs="Arial"/>
          <w:szCs w:val="24"/>
          <w:lang w:eastAsia="en-US"/>
        </w:rPr>
        <w:t xml:space="preserve">, there is no dispute in relation to the additional information requested by the PE Minister, and that SAA agreed to the suspension of the </w:t>
      </w:r>
      <w:r w:rsidR="00B97F68" w:rsidRPr="00285CDE">
        <w:rPr>
          <w:rFonts w:cs="Arial"/>
          <w:szCs w:val="24"/>
          <w:lang w:eastAsia="en-US"/>
        </w:rPr>
        <w:t>30-day</w:t>
      </w:r>
      <w:r w:rsidR="00915FAE" w:rsidRPr="00285CDE">
        <w:rPr>
          <w:rFonts w:cs="Arial"/>
          <w:szCs w:val="24"/>
          <w:lang w:eastAsia="en-US"/>
        </w:rPr>
        <w:t xml:space="preserve"> period and undertook to resubmit a revised </w:t>
      </w:r>
      <w:r w:rsidR="00B97F68" w:rsidRPr="00285CDE">
        <w:rPr>
          <w:rFonts w:cs="Arial"/>
          <w:szCs w:val="24"/>
          <w:lang w:eastAsia="en-US"/>
        </w:rPr>
        <w:t xml:space="preserve">54(2) </w:t>
      </w:r>
      <w:r w:rsidR="00915FAE" w:rsidRPr="00285CDE">
        <w:rPr>
          <w:rFonts w:cs="Arial"/>
          <w:szCs w:val="24"/>
          <w:lang w:eastAsia="en-US"/>
        </w:rPr>
        <w:t>application. To bolster their argument, the First and Second Respondents argued that there is no dispute between the “</w:t>
      </w:r>
      <w:r w:rsidR="00915FAE" w:rsidRPr="006953B5">
        <w:rPr>
          <w:rFonts w:cs="Arial"/>
          <w:i/>
          <w:iCs w:val="0"/>
          <w:szCs w:val="24"/>
          <w:lang w:eastAsia="en-US"/>
        </w:rPr>
        <w:t>rightful parties to the section 54 application</w:t>
      </w:r>
      <w:r w:rsidR="00915FAE" w:rsidRPr="00285CDE">
        <w:rPr>
          <w:rFonts w:cs="Arial"/>
          <w:szCs w:val="24"/>
          <w:lang w:eastAsia="en-US"/>
        </w:rPr>
        <w:t xml:space="preserve">” and that the issues raised do not </w:t>
      </w:r>
      <w:r w:rsidR="00307345" w:rsidRPr="00285CDE">
        <w:rPr>
          <w:rFonts w:cs="Arial"/>
          <w:szCs w:val="24"/>
          <w:lang w:eastAsia="en-US"/>
        </w:rPr>
        <w:t>attract</w:t>
      </w:r>
      <w:r w:rsidR="00915FAE" w:rsidRPr="00285CDE">
        <w:rPr>
          <w:rFonts w:cs="Arial"/>
          <w:szCs w:val="24"/>
          <w:lang w:eastAsia="en-US"/>
        </w:rPr>
        <w:t xml:space="preserve"> this Court’s jurisdiction. </w:t>
      </w:r>
    </w:p>
    <w:p w14:paraId="05FAA023" w14:textId="6725A917" w:rsidR="00915FAE"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[124]</w:t>
      </w:r>
      <w:r w:rsidRPr="00285CDE">
        <w:rPr>
          <w:rFonts w:cs="Arial"/>
          <w:szCs w:val="24"/>
        </w:rPr>
        <w:tab/>
      </w:r>
      <w:r w:rsidR="00307345" w:rsidRPr="00285CDE">
        <w:rPr>
          <w:rFonts w:cs="Arial"/>
          <w:szCs w:val="24"/>
          <w:lang w:eastAsia="en-US"/>
        </w:rPr>
        <w:t xml:space="preserve">The First and Second Respondents submitted that the declaratory order compelling the PE Minster to </w:t>
      </w:r>
      <w:r w:rsidR="00AC1ECB">
        <w:rPr>
          <w:rFonts w:cs="Arial"/>
          <w:szCs w:val="24"/>
          <w:lang w:eastAsia="en-US"/>
        </w:rPr>
        <w:t>take a decision</w:t>
      </w:r>
      <w:r w:rsidR="00307345" w:rsidRPr="00285CDE">
        <w:rPr>
          <w:rFonts w:cs="Arial"/>
          <w:szCs w:val="24"/>
          <w:lang w:eastAsia="en-US"/>
        </w:rPr>
        <w:t xml:space="preserve"> about an incomplete and unsatisfactory application is without merit as the applicants have not made out a case for a declarator</w:t>
      </w:r>
      <w:r w:rsidR="00B97F68" w:rsidRPr="00285CDE">
        <w:rPr>
          <w:rFonts w:cs="Arial"/>
          <w:szCs w:val="24"/>
          <w:lang w:eastAsia="en-US"/>
        </w:rPr>
        <w:t>y order</w:t>
      </w:r>
      <w:r w:rsidR="00307345" w:rsidRPr="00285CDE">
        <w:rPr>
          <w:rFonts w:cs="Arial"/>
          <w:szCs w:val="24"/>
          <w:lang w:eastAsia="en-US"/>
        </w:rPr>
        <w:t xml:space="preserve">. </w:t>
      </w:r>
    </w:p>
    <w:p w14:paraId="4DAFA9DB" w14:textId="33D4008B" w:rsidR="00307345"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[125]</w:t>
      </w:r>
      <w:r w:rsidRPr="00285CDE">
        <w:rPr>
          <w:rFonts w:cs="Arial"/>
          <w:szCs w:val="24"/>
        </w:rPr>
        <w:tab/>
      </w:r>
      <w:r w:rsidR="002E0456" w:rsidRPr="00285CDE">
        <w:rPr>
          <w:rFonts w:cs="Arial"/>
          <w:szCs w:val="24"/>
          <w:lang w:eastAsia="en-US"/>
        </w:rPr>
        <w:t xml:space="preserve">In addition, the </w:t>
      </w:r>
      <w:r w:rsidR="00307345" w:rsidRPr="00285CDE">
        <w:rPr>
          <w:rFonts w:cs="Arial"/>
          <w:szCs w:val="24"/>
          <w:lang w:eastAsia="en-US"/>
        </w:rPr>
        <w:t>First and Second Respondents</w:t>
      </w:r>
      <w:r w:rsidR="002E0456" w:rsidRPr="00285CDE">
        <w:rPr>
          <w:rFonts w:cs="Arial"/>
          <w:szCs w:val="24"/>
          <w:lang w:eastAsia="en-US"/>
        </w:rPr>
        <w:t xml:space="preserve"> submitted that there are no rights that have been encroached upon or taken away as the SAA has been given an opportunity to resubmit the section 54</w:t>
      </w:r>
      <w:r w:rsidR="00B97F68" w:rsidRPr="00285CDE">
        <w:rPr>
          <w:rFonts w:cs="Arial"/>
          <w:szCs w:val="24"/>
          <w:lang w:eastAsia="en-US"/>
        </w:rPr>
        <w:t>(2)</w:t>
      </w:r>
      <w:r w:rsidR="002E0456" w:rsidRPr="00285CDE">
        <w:rPr>
          <w:rFonts w:cs="Arial"/>
          <w:szCs w:val="24"/>
          <w:lang w:eastAsia="en-US"/>
        </w:rPr>
        <w:t xml:space="preserve"> application. </w:t>
      </w:r>
    </w:p>
    <w:p w14:paraId="1C7FC9E9" w14:textId="5E9922AC" w:rsidR="00BC3C73"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[126]</w:t>
      </w:r>
      <w:r w:rsidRPr="00285CDE">
        <w:rPr>
          <w:rFonts w:cs="Arial"/>
          <w:szCs w:val="24"/>
        </w:rPr>
        <w:tab/>
      </w:r>
      <w:r w:rsidR="00BC3C73" w:rsidRPr="00285CDE">
        <w:rPr>
          <w:rFonts w:cs="Arial"/>
          <w:szCs w:val="24"/>
          <w:lang w:eastAsia="en-US"/>
        </w:rPr>
        <w:t xml:space="preserve">Finally, the First and Second Respondents contended that the relief sought by the applicants to the effect that the PE Minister be directed to </w:t>
      </w:r>
      <w:r w:rsidR="00AC1ECB">
        <w:rPr>
          <w:rFonts w:cs="Arial"/>
          <w:szCs w:val="24"/>
          <w:lang w:eastAsia="en-US"/>
        </w:rPr>
        <w:t>take a decision</w:t>
      </w:r>
      <w:r w:rsidR="00BC3C73" w:rsidRPr="00285CDE">
        <w:rPr>
          <w:rFonts w:cs="Arial"/>
          <w:szCs w:val="24"/>
          <w:lang w:eastAsia="en-US"/>
        </w:rPr>
        <w:t xml:space="preserve"> within a certain period constitutes a </w:t>
      </w:r>
      <w:r w:rsidR="00BC3C73" w:rsidRPr="00CD6F36">
        <w:rPr>
          <w:rFonts w:cs="Arial"/>
          <w:i/>
          <w:iCs w:val="0"/>
          <w:szCs w:val="24"/>
          <w:lang w:eastAsia="en-US"/>
        </w:rPr>
        <w:t>mandamus</w:t>
      </w:r>
      <w:r w:rsidR="00AF1896">
        <w:rPr>
          <w:rFonts w:cs="Arial"/>
          <w:i/>
          <w:iCs w:val="0"/>
          <w:szCs w:val="24"/>
          <w:lang w:eastAsia="en-US"/>
        </w:rPr>
        <w:t xml:space="preserve"> van spolie</w:t>
      </w:r>
      <w:r w:rsidR="00CD6F36">
        <w:rPr>
          <w:rFonts w:cs="Arial"/>
          <w:szCs w:val="24"/>
          <w:lang w:eastAsia="en-US"/>
        </w:rPr>
        <w:t>,</w:t>
      </w:r>
      <w:r w:rsidR="00AF1896">
        <w:rPr>
          <w:rFonts w:cs="Arial"/>
          <w:szCs w:val="24"/>
          <w:lang w:eastAsia="en-US"/>
        </w:rPr>
        <w:t xml:space="preserve"> this occurs</w:t>
      </w:r>
      <w:r w:rsidR="00BC3C73" w:rsidRPr="00285CDE">
        <w:rPr>
          <w:rFonts w:cs="Arial"/>
          <w:szCs w:val="24"/>
          <w:lang w:eastAsia="en-US"/>
        </w:rPr>
        <w:t xml:space="preserve"> where a court orders a public official to do or refrain from doing something. According to the First and Second Respondents, the effect of a mandamus is similar to a final interdict</w:t>
      </w:r>
      <w:r w:rsidR="00E853CD" w:rsidRPr="00285CDE">
        <w:rPr>
          <w:rFonts w:cs="Arial"/>
          <w:szCs w:val="24"/>
          <w:lang w:eastAsia="en-US"/>
        </w:rPr>
        <w:t>,</w:t>
      </w:r>
      <w:r w:rsidR="00BC3C73" w:rsidRPr="00285CDE">
        <w:rPr>
          <w:rFonts w:cs="Arial"/>
          <w:szCs w:val="24"/>
          <w:lang w:eastAsia="en-US"/>
        </w:rPr>
        <w:t xml:space="preserve"> and therefore the requirements of </w:t>
      </w:r>
      <w:r w:rsidR="00E853CD" w:rsidRPr="00285CDE">
        <w:rPr>
          <w:rFonts w:cs="Arial"/>
          <w:szCs w:val="24"/>
          <w:lang w:eastAsia="en-US"/>
        </w:rPr>
        <w:t xml:space="preserve">the </w:t>
      </w:r>
      <w:r w:rsidR="00BC3C73" w:rsidRPr="00285CDE">
        <w:rPr>
          <w:rFonts w:cs="Arial"/>
          <w:szCs w:val="24"/>
          <w:lang w:eastAsia="en-US"/>
        </w:rPr>
        <w:t xml:space="preserve">same must be met. In other words, the applicants must show </w:t>
      </w:r>
      <w:r w:rsidR="00CD6F36">
        <w:rPr>
          <w:rFonts w:cs="Arial"/>
          <w:szCs w:val="24"/>
          <w:lang w:eastAsia="en-US"/>
        </w:rPr>
        <w:t xml:space="preserve">that there exists </w:t>
      </w:r>
      <w:r w:rsidR="00BC3C73" w:rsidRPr="00285CDE">
        <w:rPr>
          <w:rFonts w:cs="Arial"/>
          <w:szCs w:val="24"/>
          <w:lang w:eastAsia="en-US"/>
        </w:rPr>
        <w:t xml:space="preserve">a clear right, an injury </w:t>
      </w:r>
      <w:r w:rsidR="00CD6F36">
        <w:rPr>
          <w:rFonts w:cs="Arial"/>
          <w:szCs w:val="24"/>
          <w:lang w:eastAsia="en-US"/>
        </w:rPr>
        <w:t xml:space="preserve">has been </w:t>
      </w:r>
      <w:r w:rsidR="00B97F68" w:rsidRPr="00285CDE">
        <w:rPr>
          <w:rFonts w:cs="Arial"/>
          <w:szCs w:val="24"/>
          <w:lang w:eastAsia="en-US"/>
        </w:rPr>
        <w:t>committed</w:t>
      </w:r>
      <w:r w:rsidR="00BC3C73" w:rsidRPr="00285CDE">
        <w:rPr>
          <w:rFonts w:cs="Arial"/>
          <w:szCs w:val="24"/>
          <w:lang w:eastAsia="en-US"/>
        </w:rPr>
        <w:t xml:space="preserve"> or reasonably apprehended and no other form of relief </w:t>
      </w:r>
      <w:r w:rsidR="00CD6F36">
        <w:rPr>
          <w:rFonts w:cs="Arial"/>
          <w:szCs w:val="24"/>
          <w:lang w:eastAsia="en-US"/>
        </w:rPr>
        <w:t xml:space="preserve">is </w:t>
      </w:r>
      <w:r w:rsidR="00BC3C73" w:rsidRPr="00285CDE">
        <w:rPr>
          <w:rFonts w:cs="Arial"/>
          <w:szCs w:val="24"/>
          <w:lang w:eastAsia="en-US"/>
        </w:rPr>
        <w:t xml:space="preserve">available. </w:t>
      </w:r>
    </w:p>
    <w:p w14:paraId="15B7FCC2" w14:textId="31CB4815" w:rsidR="00BC3C73"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[127]</w:t>
      </w:r>
      <w:r w:rsidRPr="00285CDE">
        <w:rPr>
          <w:rFonts w:cs="Arial"/>
          <w:szCs w:val="24"/>
        </w:rPr>
        <w:tab/>
      </w:r>
      <w:r w:rsidR="00BC3C73" w:rsidRPr="00285CDE">
        <w:rPr>
          <w:rFonts w:cs="Arial"/>
          <w:szCs w:val="24"/>
          <w:lang w:eastAsia="en-US"/>
        </w:rPr>
        <w:t>The First and Second Respondents</w:t>
      </w:r>
      <w:r w:rsidR="00E45F57" w:rsidRPr="00285CDE">
        <w:rPr>
          <w:rFonts w:cs="Arial"/>
          <w:szCs w:val="24"/>
          <w:lang w:eastAsia="en-US"/>
        </w:rPr>
        <w:t xml:space="preserve"> argued that SAA is the one that seeks to dispose </w:t>
      </w:r>
      <w:r w:rsidR="00B97F68" w:rsidRPr="00285CDE">
        <w:rPr>
          <w:rFonts w:cs="Arial"/>
          <w:szCs w:val="24"/>
          <w:lang w:eastAsia="en-US"/>
        </w:rPr>
        <w:t>of</w:t>
      </w:r>
      <w:r w:rsidR="00E45F57" w:rsidRPr="00285CDE">
        <w:rPr>
          <w:rFonts w:cs="Arial"/>
          <w:szCs w:val="24"/>
          <w:lang w:eastAsia="en-US"/>
        </w:rPr>
        <w:t xml:space="preserve"> its </w:t>
      </w:r>
      <w:r w:rsidR="00B97F68" w:rsidRPr="00285CDE">
        <w:rPr>
          <w:rFonts w:cs="Arial"/>
          <w:szCs w:val="24"/>
          <w:lang w:eastAsia="en-US"/>
        </w:rPr>
        <w:t>assets,</w:t>
      </w:r>
      <w:r w:rsidR="00E45F57" w:rsidRPr="00285CDE">
        <w:rPr>
          <w:rFonts w:cs="Arial"/>
          <w:szCs w:val="24"/>
          <w:lang w:eastAsia="en-US"/>
        </w:rPr>
        <w:t xml:space="preserve"> and </w:t>
      </w:r>
      <w:r w:rsidR="00CD6F36">
        <w:rPr>
          <w:rFonts w:cs="Arial"/>
          <w:szCs w:val="24"/>
          <w:lang w:eastAsia="en-US"/>
        </w:rPr>
        <w:t xml:space="preserve">according to the provisions set out in </w:t>
      </w:r>
      <w:r w:rsidR="00E45F57" w:rsidRPr="00285CDE">
        <w:rPr>
          <w:rFonts w:cs="Arial"/>
          <w:szCs w:val="24"/>
          <w:lang w:eastAsia="en-US"/>
        </w:rPr>
        <w:t>the PFMA</w:t>
      </w:r>
      <w:r w:rsidR="00CD6F36">
        <w:rPr>
          <w:rFonts w:cs="Arial"/>
          <w:szCs w:val="24"/>
          <w:lang w:eastAsia="en-US"/>
        </w:rPr>
        <w:t xml:space="preserve"> is</w:t>
      </w:r>
      <w:r w:rsidR="00E45F57" w:rsidRPr="00285CDE">
        <w:rPr>
          <w:rFonts w:cs="Arial"/>
          <w:szCs w:val="24"/>
          <w:lang w:eastAsia="en-US"/>
        </w:rPr>
        <w:t xml:space="preserve"> to </w:t>
      </w:r>
      <w:r w:rsidR="00CD6F36">
        <w:rPr>
          <w:rFonts w:cs="Arial"/>
          <w:szCs w:val="24"/>
          <w:lang w:eastAsia="en-US"/>
        </w:rPr>
        <w:t>draft and submit</w:t>
      </w:r>
      <w:r w:rsidR="00E45F57" w:rsidRPr="00285CDE">
        <w:rPr>
          <w:rFonts w:cs="Arial"/>
          <w:szCs w:val="24"/>
          <w:lang w:eastAsia="en-US"/>
        </w:rPr>
        <w:t xml:space="preserve"> the section 54(2) application and not the applicants. Accordingly, the applicants have no enforceable right against the PE Minister</w:t>
      </w:r>
      <w:r w:rsidR="00BC1B4B" w:rsidRPr="00285CDE">
        <w:rPr>
          <w:rFonts w:cs="Arial"/>
          <w:szCs w:val="24"/>
          <w:lang w:eastAsia="en-US"/>
        </w:rPr>
        <w:t xml:space="preserve"> as section 54(2) “</w:t>
      </w:r>
      <w:r w:rsidR="00BC1B4B" w:rsidRPr="00CD6F36">
        <w:rPr>
          <w:rFonts w:cs="Arial"/>
          <w:i/>
          <w:iCs w:val="0"/>
          <w:szCs w:val="24"/>
          <w:lang w:eastAsia="en-US"/>
        </w:rPr>
        <w:t>completely excludes the entitlement of the applicants to the relief they seek</w:t>
      </w:r>
      <w:r w:rsidR="00BC1B4B" w:rsidRPr="00285CDE">
        <w:rPr>
          <w:rFonts w:cs="Arial"/>
          <w:szCs w:val="24"/>
          <w:lang w:eastAsia="en-US"/>
        </w:rPr>
        <w:t>”.</w:t>
      </w:r>
      <w:r w:rsidR="00F2599F" w:rsidRPr="00285CDE">
        <w:rPr>
          <w:rFonts w:cs="Arial"/>
          <w:szCs w:val="24"/>
          <w:lang w:eastAsia="en-US"/>
        </w:rPr>
        <w:t xml:space="preserve"> Further, that</w:t>
      </w:r>
      <w:r w:rsidR="008955C2">
        <w:rPr>
          <w:rFonts w:cs="Arial"/>
          <w:szCs w:val="24"/>
          <w:lang w:eastAsia="en-US"/>
        </w:rPr>
        <w:t xml:space="preserve"> </w:t>
      </w:r>
      <w:r w:rsidR="00F2599F" w:rsidRPr="00285CDE">
        <w:rPr>
          <w:rFonts w:cs="Arial"/>
          <w:szCs w:val="24"/>
          <w:lang w:eastAsia="en-US"/>
        </w:rPr>
        <w:t>SAA has undertaken to submit the information requested by the PE Minister.</w:t>
      </w:r>
    </w:p>
    <w:p w14:paraId="6DD51420" w14:textId="56486158" w:rsidR="00F2599F"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lastRenderedPageBreak/>
        <w:t>[128]</w:t>
      </w:r>
      <w:r w:rsidRPr="00285CDE">
        <w:rPr>
          <w:rFonts w:cs="Arial"/>
          <w:szCs w:val="24"/>
        </w:rPr>
        <w:tab/>
      </w:r>
      <w:r w:rsidR="00F2599F" w:rsidRPr="00285CDE">
        <w:rPr>
          <w:rFonts w:cs="Arial"/>
          <w:szCs w:val="24"/>
        </w:rPr>
        <w:t xml:space="preserve"> </w:t>
      </w:r>
      <w:r w:rsidR="00F2599F" w:rsidRPr="00285CDE">
        <w:rPr>
          <w:rFonts w:cs="Arial"/>
          <w:szCs w:val="24"/>
          <w:lang w:eastAsia="en-US"/>
        </w:rPr>
        <w:t xml:space="preserve">The First and Second Respondents further submitted that the harm envisaged by the applicants </w:t>
      </w:r>
      <w:r w:rsidR="00AF1896">
        <w:rPr>
          <w:rFonts w:cs="Arial"/>
          <w:szCs w:val="24"/>
          <w:lang w:eastAsia="en-US"/>
        </w:rPr>
        <w:t xml:space="preserve">and </w:t>
      </w:r>
      <w:r w:rsidR="00F2599F" w:rsidRPr="00285CDE">
        <w:rPr>
          <w:rFonts w:cs="Arial"/>
          <w:szCs w:val="24"/>
          <w:lang w:eastAsia="en-US"/>
        </w:rPr>
        <w:t>that “</w:t>
      </w:r>
      <w:r w:rsidR="00F2599F" w:rsidRPr="008955C2">
        <w:rPr>
          <w:rFonts w:cs="Arial"/>
          <w:i/>
          <w:iCs w:val="0"/>
          <w:szCs w:val="24"/>
          <w:lang w:eastAsia="en-US"/>
        </w:rPr>
        <w:t>Mango might lose an investor does not arise as against the Minister</w:t>
      </w:r>
      <w:r w:rsidR="00F2599F" w:rsidRPr="00285CDE">
        <w:rPr>
          <w:rFonts w:cs="Arial"/>
          <w:szCs w:val="24"/>
          <w:lang w:eastAsia="en-US"/>
        </w:rPr>
        <w:t xml:space="preserve">”. The </w:t>
      </w:r>
      <w:r w:rsidR="004C3E0F" w:rsidRPr="00285CDE">
        <w:rPr>
          <w:rFonts w:cs="Arial"/>
          <w:szCs w:val="24"/>
          <w:lang w:eastAsia="en-US"/>
        </w:rPr>
        <w:t xml:space="preserve">basis of this is that the </w:t>
      </w:r>
      <w:r w:rsidR="00F2599F" w:rsidRPr="00285CDE">
        <w:rPr>
          <w:rFonts w:cs="Arial"/>
          <w:szCs w:val="24"/>
          <w:lang w:eastAsia="en-US"/>
        </w:rPr>
        <w:t xml:space="preserve">subject matter of </w:t>
      </w:r>
      <w:r w:rsidR="004C3E0F" w:rsidRPr="00285CDE">
        <w:rPr>
          <w:rFonts w:cs="Arial"/>
          <w:szCs w:val="24"/>
          <w:lang w:eastAsia="en-US"/>
        </w:rPr>
        <w:t>the section 54</w:t>
      </w:r>
      <w:r w:rsidR="00B97F68" w:rsidRPr="00285CDE">
        <w:rPr>
          <w:rFonts w:cs="Arial"/>
          <w:szCs w:val="24"/>
          <w:lang w:eastAsia="en-US"/>
        </w:rPr>
        <w:t>(2)</w:t>
      </w:r>
      <w:r w:rsidR="004C3E0F" w:rsidRPr="00285CDE">
        <w:rPr>
          <w:rFonts w:cs="Arial"/>
          <w:szCs w:val="24"/>
          <w:lang w:eastAsia="en-US"/>
        </w:rPr>
        <w:t xml:space="preserve"> application</w:t>
      </w:r>
      <w:r w:rsidR="00F2599F" w:rsidRPr="00285CDE">
        <w:rPr>
          <w:rFonts w:cs="Arial"/>
          <w:szCs w:val="24"/>
          <w:lang w:eastAsia="en-US"/>
        </w:rPr>
        <w:t xml:space="preserve"> </w:t>
      </w:r>
      <w:r w:rsidR="004C3E0F" w:rsidRPr="00285CDE">
        <w:rPr>
          <w:rFonts w:cs="Arial"/>
          <w:szCs w:val="24"/>
          <w:lang w:eastAsia="en-US"/>
        </w:rPr>
        <w:t xml:space="preserve">only </w:t>
      </w:r>
      <w:r w:rsidR="00F2599F" w:rsidRPr="00285CDE">
        <w:rPr>
          <w:rFonts w:cs="Arial"/>
          <w:szCs w:val="24"/>
          <w:lang w:eastAsia="en-US"/>
        </w:rPr>
        <w:t xml:space="preserve">involves SAA and the </w:t>
      </w:r>
      <w:r w:rsidR="004C3E0F" w:rsidRPr="00285CDE">
        <w:rPr>
          <w:rFonts w:cs="Arial"/>
          <w:szCs w:val="24"/>
          <w:lang w:eastAsia="en-US"/>
        </w:rPr>
        <w:t xml:space="preserve">PE </w:t>
      </w:r>
      <w:r w:rsidR="00F2599F" w:rsidRPr="00285CDE">
        <w:rPr>
          <w:rFonts w:cs="Arial"/>
          <w:szCs w:val="24"/>
          <w:lang w:eastAsia="en-US"/>
        </w:rPr>
        <w:t xml:space="preserve">Minister. </w:t>
      </w:r>
      <w:r w:rsidR="004C3E0F" w:rsidRPr="00285CDE">
        <w:rPr>
          <w:rFonts w:cs="Arial"/>
          <w:szCs w:val="24"/>
          <w:lang w:eastAsia="en-US"/>
        </w:rPr>
        <w:t>Consequently, they argued that</w:t>
      </w:r>
      <w:r w:rsidR="00F2599F" w:rsidRPr="00285CDE">
        <w:rPr>
          <w:rFonts w:cs="Arial"/>
          <w:szCs w:val="24"/>
          <w:lang w:eastAsia="en-US"/>
        </w:rPr>
        <w:t xml:space="preserve"> any harm, whether direct or indirect to third parties, will not be sufficient to satisfy this requirement against the</w:t>
      </w:r>
      <w:r w:rsidR="004C3E0F" w:rsidRPr="00285CDE">
        <w:rPr>
          <w:rFonts w:cs="Arial"/>
          <w:szCs w:val="24"/>
        </w:rPr>
        <w:t xml:space="preserve"> PE </w:t>
      </w:r>
      <w:r w:rsidR="00F2599F" w:rsidRPr="00285CDE">
        <w:rPr>
          <w:rFonts w:cs="Arial"/>
          <w:szCs w:val="24"/>
          <w:lang w:eastAsia="en-US"/>
        </w:rPr>
        <w:t>Minister</w:t>
      </w:r>
      <w:r w:rsidR="004C3E0F" w:rsidRPr="00285CDE">
        <w:rPr>
          <w:rFonts w:cs="Arial"/>
          <w:szCs w:val="24"/>
          <w:lang w:eastAsia="en-US"/>
        </w:rPr>
        <w:t xml:space="preserve"> because o</w:t>
      </w:r>
      <w:r w:rsidR="00F2599F" w:rsidRPr="00285CDE">
        <w:rPr>
          <w:rFonts w:cs="Arial"/>
          <w:szCs w:val="24"/>
          <w:lang w:eastAsia="en-US"/>
        </w:rPr>
        <w:t xml:space="preserve">nly SAA can enforce these rights and not the </w:t>
      </w:r>
      <w:r w:rsidR="004C3E0F" w:rsidRPr="00285CDE">
        <w:rPr>
          <w:rFonts w:cs="Arial"/>
          <w:szCs w:val="24"/>
          <w:lang w:eastAsia="en-US"/>
        </w:rPr>
        <w:t>applicants.</w:t>
      </w:r>
    </w:p>
    <w:p w14:paraId="1546896F" w14:textId="4DF8A114" w:rsidR="00DC47E3" w:rsidRPr="00285CDE" w:rsidRDefault="00890EE4" w:rsidP="00890EE4">
      <w:pPr>
        <w:pStyle w:val="1"/>
        <w:numPr>
          <w:ilvl w:val="0"/>
          <w:numId w:val="0"/>
        </w:numPr>
        <w:tabs>
          <w:tab w:val="left" w:pos="567"/>
        </w:tabs>
        <w:spacing w:line="360" w:lineRule="auto"/>
        <w:ind w:left="567" w:hanging="567"/>
        <w:rPr>
          <w:rFonts w:cs="Arial"/>
          <w:szCs w:val="24"/>
        </w:rPr>
      </w:pPr>
      <w:r w:rsidRPr="00285CDE">
        <w:rPr>
          <w:rFonts w:cs="Arial"/>
          <w:szCs w:val="24"/>
        </w:rPr>
        <w:t>[129]</w:t>
      </w:r>
      <w:r w:rsidRPr="00285CDE">
        <w:rPr>
          <w:rFonts w:cs="Arial"/>
          <w:szCs w:val="24"/>
        </w:rPr>
        <w:tab/>
      </w:r>
      <w:r w:rsidR="00DC47E3" w:rsidRPr="00285CDE">
        <w:rPr>
          <w:rFonts w:cs="Arial"/>
          <w:szCs w:val="24"/>
          <w:lang w:eastAsia="en-US"/>
        </w:rPr>
        <w:t xml:space="preserve">Ultimately, the First and Second Respondents contended that this Court should be slow to interfere with statutory powers that are exclusively in the domain of the executive and legislative branches of </w:t>
      </w:r>
      <w:r w:rsidR="008955C2">
        <w:rPr>
          <w:rFonts w:cs="Arial"/>
          <w:szCs w:val="24"/>
          <w:lang w:eastAsia="en-US"/>
        </w:rPr>
        <w:t>G</w:t>
      </w:r>
      <w:r w:rsidR="00DC47E3" w:rsidRPr="00285CDE">
        <w:rPr>
          <w:rFonts w:cs="Arial"/>
          <w:szCs w:val="24"/>
          <w:lang w:eastAsia="en-US"/>
        </w:rPr>
        <w:t xml:space="preserve">overnment unless such intrusion is sanctioned by the Constitution as per the decision in </w:t>
      </w:r>
      <w:r w:rsidR="00DC47E3" w:rsidRPr="00285CDE">
        <w:rPr>
          <w:rFonts w:cs="Arial"/>
          <w:i/>
          <w:iCs w:val="0"/>
          <w:szCs w:val="24"/>
          <w:lang w:eastAsia="en-US"/>
        </w:rPr>
        <w:t>National Treasury and Others v Opposition to Urban Tolling Alliance and Others</w:t>
      </w:r>
      <w:r w:rsidR="00DC47E3" w:rsidRPr="00285CDE">
        <w:rPr>
          <w:rFonts w:cs="Arial"/>
          <w:szCs w:val="24"/>
          <w:lang w:eastAsia="en-US"/>
        </w:rPr>
        <w:t>.</w:t>
      </w:r>
      <w:r w:rsidR="00DC47E3" w:rsidRPr="00285CDE">
        <w:rPr>
          <w:rStyle w:val="FootnoteReference"/>
          <w:rFonts w:cs="Arial"/>
          <w:szCs w:val="24"/>
          <w:lang w:eastAsia="en-US"/>
        </w:rPr>
        <w:footnoteReference w:id="47"/>
      </w:r>
    </w:p>
    <w:p w14:paraId="0FADA6A9" w14:textId="616F42E0" w:rsidR="007C220F" w:rsidRPr="00285CDE" w:rsidRDefault="0018578F" w:rsidP="003435D7">
      <w:pPr>
        <w:pStyle w:val="1"/>
        <w:numPr>
          <w:ilvl w:val="0"/>
          <w:numId w:val="0"/>
        </w:numPr>
        <w:spacing w:line="360" w:lineRule="auto"/>
        <w:rPr>
          <w:b/>
          <w:bCs/>
        </w:rPr>
      </w:pPr>
      <w:r w:rsidRPr="00285CDE">
        <w:rPr>
          <w:b/>
          <w:bCs/>
        </w:rPr>
        <w:t xml:space="preserve">FOURTH AND FIFTH </w:t>
      </w:r>
      <w:r w:rsidR="001D76C7" w:rsidRPr="00285CDE">
        <w:rPr>
          <w:b/>
          <w:bCs/>
        </w:rPr>
        <w:t>RESPONDENTS’</w:t>
      </w:r>
      <w:r w:rsidR="007C220F" w:rsidRPr="00285CDE">
        <w:rPr>
          <w:b/>
          <w:bCs/>
        </w:rPr>
        <w:t xml:space="preserve"> SUBMISSIONS  </w:t>
      </w:r>
    </w:p>
    <w:p w14:paraId="109A0202" w14:textId="3DB11829" w:rsidR="00270251" w:rsidRPr="00285CDE" w:rsidRDefault="00890EE4" w:rsidP="00890EE4">
      <w:pPr>
        <w:pStyle w:val="1"/>
        <w:numPr>
          <w:ilvl w:val="0"/>
          <w:numId w:val="0"/>
        </w:numPr>
        <w:tabs>
          <w:tab w:val="left" w:pos="567"/>
        </w:tabs>
        <w:spacing w:line="360" w:lineRule="auto"/>
        <w:ind w:left="567" w:hanging="567"/>
        <w:rPr>
          <w:i/>
          <w:iCs w:val="0"/>
          <w:u w:val="single"/>
        </w:rPr>
      </w:pPr>
      <w:r w:rsidRPr="00285CDE">
        <w:rPr>
          <w:rFonts w:cs="Arial"/>
          <w:szCs w:val="24"/>
        </w:rPr>
        <w:t>[130]</w:t>
      </w:r>
      <w:r w:rsidRPr="00285CDE">
        <w:rPr>
          <w:rFonts w:cs="Arial"/>
          <w:szCs w:val="24"/>
        </w:rPr>
        <w:tab/>
      </w:r>
      <w:r w:rsidR="00A15266" w:rsidRPr="00285CDE">
        <w:t xml:space="preserve">The </w:t>
      </w:r>
      <w:r w:rsidR="00270251" w:rsidRPr="00285CDE">
        <w:t>Fourth and Fifth Respondents’</w:t>
      </w:r>
      <w:r w:rsidR="00A15266" w:rsidRPr="00285CDE">
        <w:t xml:space="preserve"> </w:t>
      </w:r>
      <w:r w:rsidR="00270251" w:rsidRPr="00285CDE">
        <w:t>submissions to a certain extent echoed those of the First and Second Respondents in so far as they related to who has the required authority to submit the section 54(2) application, the meaning of “response”, standing and how a conflict ought to be resolved in a case where there is a conflict between the provisions of the Companies Act and the PFMA.</w:t>
      </w:r>
      <w:r w:rsidR="00A15266" w:rsidRPr="00285CDE">
        <w:t xml:space="preserve"> </w:t>
      </w:r>
    </w:p>
    <w:p w14:paraId="5B3D3417" w14:textId="4349E02A" w:rsidR="006B6479" w:rsidRPr="00285CDE" w:rsidRDefault="008955C2" w:rsidP="00C932CF">
      <w:pPr>
        <w:pStyle w:val="1"/>
        <w:numPr>
          <w:ilvl w:val="0"/>
          <w:numId w:val="0"/>
        </w:numPr>
        <w:spacing w:line="360" w:lineRule="auto"/>
        <w:rPr>
          <w:u w:val="single"/>
        </w:rPr>
      </w:pPr>
      <w:r>
        <w:rPr>
          <w:u w:val="single"/>
        </w:rPr>
        <w:t>Response</w:t>
      </w:r>
      <w:r w:rsidR="006B6479" w:rsidRPr="00285CDE">
        <w:rPr>
          <w:u w:val="single"/>
        </w:rPr>
        <w:t xml:space="preserve"> </w:t>
      </w:r>
      <w:r>
        <w:rPr>
          <w:u w:val="single"/>
        </w:rPr>
        <w:t>to</w:t>
      </w:r>
      <w:r w:rsidR="006B6479" w:rsidRPr="00285CDE">
        <w:rPr>
          <w:u w:val="single"/>
        </w:rPr>
        <w:t xml:space="preserve"> NUMSA</w:t>
      </w:r>
      <w:r>
        <w:rPr>
          <w:u w:val="single"/>
        </w:rPr>
        <w:t>’s</w:t>
      </w:r>
      <w:r w:rsidR="006B6479" w:rsidRPr="00285CDE">
        <w:rPr>
          <w:u w:val="single"/>
        </w:rPr>
        <w:t xml:space="preserve"> application</w:t>
      </w:r>
    </w:p>
    <w:p w14:paraId="31A7F1E4" w14:textId="13910673" w:rsidR="0020581F"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[131]</w:t>
      </w:r>
      <w:r w:rsidRPr="00285CDE">
        <w:rPr>
          <w:rFonts w:cs="Arial"/>
          <w:szCs w:val="24"/>
        </w:rPr>
        <w:tab/>
      </w:r>
      <w:r w:rsidR="005D12FE" w:rsidRPr="00285CDE">
        <w:rPr>
          <w:bCs/>
        </w:rPr>
        <w:t xml:space="preserve">The </w:t>
      </w:r>
      <w:r w:rsidR="008C61DC" w:rsidRPr="00285CDE">
        <w:rPr>
          <w:bCs/>
        </w:rPr>
        <w:t>Fourth and Fifth</w:t>
      </w:r>
      <w:r w:rsidR="005D12FE" w:rsidRPr="00285CDE">
        <w:rPr>
          <w:bCs/>
        </w:rPr>
        <w:t xml:space="preserve"> Respondents argued that NUMSA’s </w:t>
      </w:r>
      <w:r w:rsidR="008955C2">
        <w:rPr>
          <w:bCs/>
        </w:rPr>
        <w:t>averment</w:t>
      </w:r>
      <w:r w:rsidR="005D12FE" w:rsidRPr="00285CDE">
        <w:rPr>
          <w:bCs/>
        </w:rPr>
        <w:t xml:space="preserve"> to the effect that once a BRP is appointed, he takes over the responsibilities of the board of directors, and that he is the one to initiate and submit the section 54(2) application under the PFMA was only </w:t>
      </w:r>
      <w:r w:rsidR="008955C2">
        <w:rPr>
          <w:bCs/>
        </w:rPr>
        <w:t>dealt within</w:t>
      </w:r>
      <w:r w:rsidR="005D12FE" w:rsidRPr="00285CDE">
        <w:rPr>
          <w:bCs/>
        </w:rPr>
        <w:t xml:space="preserve"> the replying affidavit. Accordingly, they contended that it ought to be dismissed.  </w:t>
      </w:r>
    </w:p>
    <w:p w14:paraId="51364073" w14:textId="07F3159E" w:rsidR="00FF546F"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[132]</w:t>
      </w:r>
      <w:r w:rsidRPr="00285CDE">
        <w:rPr>
          <w:rFonts w:cs="Arial"/>
          <w:szCs w:val="24"/>
        </w:rPr>
        <w:tab/>
      </w:r>
      <w:r w:rsidR="005D12FE" w:rsidRPr="00285CDE">
        <w:rPr>
          <w:bCs/>
        </w:rPr>
        <w:t xml:space="preserve">The </w:t>
      </w:r>
      <w:r w:rsidR="008C61DC" w:rsidRPr="00285CDE">
        <w:rPr>
          <w:bCs/>
        </w:rPr>
        <w:t>Fourth and Fifth</w:t>
      </w:r>
      <w:r w:rsidR="005D12FE" w:rsidRPr="00285CDE">
        <w:rPr>
          <w:bCs/>
        </w:rPr>
        <w:t xml:space="preserve"> Respondents further contended that NUMSA’s review and declaratory relief</w:t>
      </w:r>
      <w:r w:rsidR="008955C2">
        <w:rPr>
          <w:bCs/>
        </w:rPr>
        <w:t xml:space="preserve"> </w:t>
      </w:r>
      <w:r w:rsidR="000D76F8">
        <w:rPr>
          <w:bCs/>
        </w:rPr>
        <w:t xml:space="preserve">that NUMSA seek </w:t>
      </w:r>
      <w:r w:rsidR="00492253" w:rsidRPr="00285CDE">
        <w:rPr>
          <w:bCs/>
        </w:rPr>
        <w:t>are</w:t>
      </w:r>
      <w:r w:rsidR="005D12FE" w:rsidRPr="00285CDE">
        <w:rPr>
          <w:bCs/>
        </w:rPr>
        <w:t xml:space="preserve"> unstainable because NUMSA failed to demonstrate factually that the PE Minister has failed to take a decisio</w:t>
      </w:r>
      <w:r w:rsidR="00492253" w:rsidRPr="00285CDE">
        <w:rPr>
          <w:bCs/>
        </w:rPr>
        <w:t xml:space="preserve">n. The basis </w:t>
      </w:r>
      <w:r w:rsidR="00492253" w:rsidRPr="00285CDE">
        <w:rPr>
          <w:bCs/>
        </w:rPr>
        <w:lastRenderedPageBreak/>
        <w:t xml:space="preserve">for this is that </w:t>
      </w:r>
      <w:r w:rsidR="00492253" w:rsidRPr="00285CDE">
        <w:rPr>
          <w:rFonts w:cs="Arial"/>
          <w:szCs w:val="24"/>
          <w:lang w:eastAsia="en-US"/>
        </w:rPr>
        <w:t>the</w:t>
      </w:r>
      <w:r w:rsidR="006B6479" w:rsidRPr="00285CDE">
        <w:rPr>
          <w:rFonts w:cs="Arial"/>
          <w:szCs w:val="24"/>
          <w:lang w:eastAsia="en-US"/>
        </w:rPr>
        <w:t xml:space="preserve"> principle</w:t>
      </w:r>
      <w:r w:rsidR="008955C2">
        <w:rPr>
          <w:rFonts w:cs="Arial"/>
          <w:szCs w:val="24"/>
          <w:lang w:eastAsia="en-US"/>
        </w:rPr>
        <w:t xml:space="preserve"> found</w:t>
      </w:r>
      <w:r w:rsidR="006B6479" w:rsidRPr="00285CDE">
        <w:rPr>
          <w:rFonts w:cs="Arial"/>
          <w:szCs w:val="24"/>
          <w:lang w:eastAsia="en-US"/>
        </w:rPr>
        <w:t xml:space="preserve"> in</w:t>
      </w:r>
      <w:r w:rsidR="00492253" w:rsidRPr="00285CDE">
        <w:rPr>
          <w:rFonts w:cs="Arial"/>
          <w:szCs w:val="24"/>
          <w:lang w:eastAsia="en-US"/>
        </w:rPr>
        <w:t xml:space="preserve"> </w:t>
      </w:r>
      <w:r w:rsidR="006B6479" w:rsidRPr="00285CDE">
        <w:rPr>
          <w:rFonts w:cs="Arial"/>
          <w:i/>
          <w:iCs w:val="0"/>
          <w:szCs w:val="24"/>
          <w:lang w:eastAsia="en-US"/>
        </w:rPr>
        <w:t>Plascon-Evans Paints Ltd v Van Riebeeck Paints (Pty) Ltd</w:t>
      </w:r>
      <w:r w:rsidR="006B6479" w:rsidRPr="00285CDE">
        <w:rPr>
          <w:rStyle w:val="FootnoteReference"/>
          <w:rFonts w:cs="Arial"/>
          <w:szCs w:val="24"/>
          <w:lang w:eastAsia="en-US"/>
        </w:rPr>
        <w:footnoteReference w:id="48"/>
      </w:r>
      <w:r w:rsidR="006B6479" w:rsidRPr="00285CDE">
        <w:rPr>
          <w:rFonts w:cs="Arial"/>
          <w:szCs w:val="24"/>
          <w:lang w:eastAsia="en-US"/>
        </w:rPr>
        <w:t xml:space="preserve"> </w:t>
      </w:r>
      <w:r w:rsidR="00492253" w:rsidRPr="00285CDE">
        <w:rPr>
          <w:rFonts w:cs="Arial"/>
          <w:szCs w:val="24"/>
          <w:lang w:eastAsia="en-US"/>
        </w:rPr>
        <w:t>requires that this matter “</w:t>
      </w:r>
      <w:r w:rsidR="00492253" w:rsidRPr="008955C2">
        <w:rPr>
          <w:rFonts w:cs="Arial"/>
          <w:i/>
          <w:iCs w:val="0"/>
          <w:szCs w:val="24"/>
          <w:lang w:eastAsia="en-US"/>
        </w:rPr>
        <w:t xml:space="preserve">be decided on the </w:t>
      </w:r>
      <w:r w:rsidR="00492253" w:rsidRPr="008955C2">
        <w:rPr>
          <w:rFonts w:ascii="ArialMT" w:hAnsi="ArialMT" w:cs="ArialMT"/>
          <w:i/>
          <w:iCs w:val="0"/>
          <w:szCs w:val="24"/>
          <w:lang w:eastAsia="en-US"/>
        </w:rPr>
        <w:t xml:space="preserve">facts in the applicant’s affidavits which </w:t>
      </w:r>
      <w:r w:rsidR="00492253" w:rsidRPr="008955C2">
        <w:rPr>
          <w:rFonts w:cs="Arial"/>
          <w:i/>
          <w:iCs w:val="0"/>
          <w:szCs w:val="24"/>
          <w:lang w:eastAsia="en-US"/>
        </w:rPr>
        <w:t xml:space="preserve">are admitted by the </w:t>
      </w:r>
      <w:r w:rsidR="00831976" w:rsidRPr="008955C2">
        <w:rPr>
          <w:rFonts w:cs="Arial"/>
          <w:i/>
          <w:iCs w:val="0"/>
          <w:szCs w:val="24"/>
          <w:lang w:eastAsia="en-US"/>
        </w:rPr>
        <w:t>r</w:t>
      </w:r>
      <w:r w:rsidR="00492253" w:rsidRPr="008955C2">
        <w:rPr>
          <w:rFonts w:cs="Arial"/>
          <w:i/>
          <w:iCs w:val="0"/>
          <w:szCs w:val="24"/>
          <w:lang w:eastAsia="en-US"/>
        </w:rPr>
        <w:t xml:space="preserve">espondents together with the facts set out in the </w:t>
      </w:r>
      <w:r w:rsidR="00831976" w:rsidRPr="008955C2">
        <w:rPr>
          <w:rFonts w:cs="Arial"/>
          <w:i/>
          <w:iCs w:val="0"/>
          <w:szCs w:val="24"/>
          <w:lang w:eastAsia="en-US"/>
        </w:rPr>
        <w:t>r</w:t>
      </w:r>
      <w:r w:rsidR="00492253" w:rsidRPr="008955C2">
        <w:rPr>
          <w:rFonts w:cs="Arial"/>
          <w:i/>
          <w:iCs w:val="0"/>
          <w:szCs w:val="24"/>
          <w:lang w:eastAsia="en-US"/>
        </w:rPr>
        <w:t>espondents affidavits</w:t>
      </w:r>
      <w:r w:rsidR="00492253" w:rsidRPr="00285CDE">
        <w:rPr>
          <w:rFonts w:cs="Arial"/>
          <w:szCs w:val="24"/>
          <w:lang w:eastAsia="en-US"/>
        </w:rPr>
        <w:t xml:space="preserve">”. To this end, they argued that this matter must be decided on </w:t>
      </w:r>
      <w:r w:rsidR="008955C2">
        <w:rPr>
          <w:rFonts w:cs="Arial"/>
          <w:szCs w:val="24"/>
          <w:lang w:eastAsia="en-US"/>
        </w:rPr>
        <w:t>a</w:t>
      </w:r>
      <w:r w:rsidR="00492253" w:rsidRPr="00285CDE">
        <w:rPr>
          <w:rFonts w:cs="Arial"/>
          <w:szCs w:val="24"/>
          <w:lang w:eastAsia="en-US"/>
        </w:rPr>
        <w:t xml:space="preserve"> factual basis that the PE Minister, the Minister of Finance, and the Board of SAA agreed that the 30</w:t>
      </w:r>
      <w:r w:rsidR="00831976" w:rsidRPr="00285CDE">
        <w:rPr>
          <w:rFonts w:cs="Arial"/>
          <w:szCs w:val="24"/>
          <w:lang w:eastAsia="en-US"/>
        </w:rPr>
        <w:t>-</w:t>
      </w:r>
      <w:r w:rsidR="00492253" w:rsidRPr="00285CDE">
        <w:rPr>
          <w:rFonts w:cs="Arial"/>
          <w:szCs w:val="24"/>
          <w:lang w:eastAsia="en-US"/>
        </w:rPr>
        <w:t xml:space="preserve">day period envisaged in section 54(2) of the PFMA did not start running since SAA has </w:t>
      </w:r>
      <w:r w:rsidR="00831976" w:rsidRPr="00285CDE">
        <w:rPr>
          <w:rFonts w:cs="Arial"/>
          <w:szCs w:val="24"/>
          <w:lang w:eastAsia="en-US"/>
        </w:rPr>
        <w:t>not yet</w:t>
      </w:r>
      <w:r w:rsidR="00492253" w:rsidRPr="00285CDE">
        <w:rPr>
          <w:rFonts w:cs="Arial"/>
          <w:szCs w:val="24"/>
          <w:lang w:eastAsia="en-US"/>
        </w:rPr>
        <w:t xml:space="preserve"> submit</w:t>
      </w:r>
      <w:r w:rsidR="00831976" w:rsidRPr="00285CDE">
        <w:rPr>
          <w:rFonts w:cs="Arial"/>
          <w:szCs w:val="24"/>
          <w:lang w:eastAsia="en-US"/>
        </w:rPr>
        <w:t>ted</w:t>
      </w:r>
      <w:r w:rsidR="00492253" w:rsidRPr="00285CDE">
        <w:rPr>
          <w:rFonts w:cs="Arial"/>
          <w:szCs w:val="24"/>
          <w:lang w:eastAsia="en-US"/>
        </w:rPr>
        <w:t xml:space="preserve"> the additional required information.</w:t>
      </w:r>
      <w:r w:rsidR="008955C2">
        <w:rPr>
          <w:rFonts w:cs="Arial"/>
          <w:szCs w:val="24"/>
          <w:lang w:eastAsia="en-US"/>
        </w:rPr>
        <w:t xml:space="preserve"> </w:t>
      </w:r>
      <w:r w:rsidR="00492253" w:rsidRPr="00285CDE">
        <w:rPr>
          <w:rFonts w:cs="Arial"/>
          <w:szCs w:val="24"/>
          <w:lang w:eastAsia="en-US"/>
        </w:rPr>
        <w:t xml:space="preserve">According to the </w:t>
      </w:r>
      <w:r w:rsidR="008C61DC" w:rsidRPr="00285CDE">
        <w:rPr>
          <w:rFonts w:cs="Arial"/>
          <w:szCs w:val="24"/>
          <w:lang w:eastAsia="en-US"/>
        </w:rPr>
        <w:t xml:space="preserve">Fourth and Fifth </w:t>
      </w:r>
      <w:r w:rsidR="00492253" w:rsidRPr="00285CDE">
        <w:rPr>
          <w:rFonts w:cs="Arial"/>
          <w:szCs w:val="24"/>
          <w:lang w:eastAsia="en-US"/>
        </w:rPr>
        <w:t xml:space="preserve">Respondents, this is fatal to NUMSA’s case. </w:t>
      </w:r>
    </w:p>
    <w:p w14:paraId="794B6928" w14:textId="0ED12131" w:rsidR="003B0B8D"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[133]</w:t>
      </w:r>
      <w:r w:rsidRPr="00285CDE">
        <w:rPr>
          <w:rFonts w:cs="Arial"/>
          <w:szCs w:val="24"/>
        </w:rPr>
        <w:tab/>
      </w:r>
      <w:r w:rsidR="00FF546F" w:rsidRPr="00285CDE">
        <w:rPr>
          <w:rFonts w:cs="Arial"/>
          <w:szCs w:val="24"/>
          <w:lang w:eastAsia="en-US"/>
        </w:rPr>
        <w:t xml:space="preserve">The </w:t>
      </w:r>
      <w:r w:rsidR="008C61DC" w:rsidRPr="00285CDE">
        <w:rPr>
          <w:rFonts w:cs="Arial"/>
          <w:szCs w:val="24"/>
          <w:lang w:eastAsia="en-US"/>
        </w:rPr>
        <w:t xml:space="preserve">Fourth and Fifth </w:t>
      </w:r>
      <w:r w:rsidR="00FF546F" w:rsidRPr="00285CDE">
        <w:rPr>
          <w:rFonts w:cs="Arial"/>
          <w:szCs w:val="24"/>
          <w:lang w:eastAsia="en-US"/>
        </w:rPr>
        <w:t xml:space="preserve">Respondent further argued that section 3(3) of the PFMA </w:t>
      </w:r>
      <w:r w:rsidR="003B0B8D" w:rsidRPr="00285CDE">
        <w:rPr>
          <w:rFonts w:cs="Arial"/>
          <w:szCs w:val="24"/>
          <w:lang w:eastAsia="en-US"/>
        </w:rPr>
        <w:t>and section 5(4)(b)(i)(ee) of the Companies Act provide</w:t>
      </w:r>
      <w:r w:rsidR="00FF546F" w:rsidRPr="00285CDE">
        <w:rPr>
          <w:rFonts w:cs="Arial"/>
          <w:szCs w:val="24"/>
          <w:lang w:eastAsia="en-US"/>
        </w:rPr>
        <w:t xml:space="preserve"> </w:t>
      </w:r>
      <w:r w:rsidR="003B0B8D" w:rsidRPr="00285CDE">
        <w:rPr>
          <w:rFonts w:cs="Arial"/>
          <w:szCs w:val="24"/>
          <w:lang w:eastAsia="en-US"/>
        </w:rPr>
        <w:t xml:space="preserve">for </w:t>
      </w:r>
      <w:r w:rsidR="000D76F8">
        <w:rPr>
          <w:rFonts w:cs="Arial"/>
          <w:szCs w:val="24"/>
          <w:lang w:eastAsia="en-US"/>
        </w:rPr>
        <w:t xml:space="preserve">the </w:t>
      </w:r>
      <w:r w:rsidR="003B0B8D" w:rsidRPr="00285CDE">
        <w:rPr>
          <w:rFonts w:cs="Arial"/>
          <w:szCs w:val="24"/>
          <w:lang w:eastAsia="en-US"/>
        </w:rPr>
        <w:t>supremacy of the PFMA</w:t>
      </w:r>
      <w:r w:rsidR="00FF546F" w:rsidRPr="00285CDE">
        <w:rPr>
          <w:rFonts w:cs="Arial"/>
          <w:szCs w:val="24"/>
          <w:lang w:eastAsia="en-US"/>
        </w:rPr>
        <w:t xml:space="preserve"> </w:t>
      </w:r>
      <w:r w:rsidR="003B0B8D" w:rsidRPr="00285CDE">
        <w:rPr>
          <w:rFonts w:cs="Arial"/>
          <w:szCs w:val="24"/>
          <w:lang w:eastAsia="en-US"/>
        </w:rPr>
        <w:t>if there is</w:t>
      </w:r>
      <w:r w:rsidR="00FF546F" w:rsidRPr="00285CDE">
        <w:rPr>
          <w:rFonts w:cs="Arial"/>
          <w:szCs w:val="24"/>
          <w:lang w:eastAsia="en-US"/>
        </w:rPr>
        <w:t xml:space="preserve"> </w:t>
      </w:r>
      <w:r w:rsidR="003B0B8D" w:rsidRPr="00285CDE">
        <w:rPr>
          <w:rFonts w:cs="Arial"/>
          <w:szCs w:val="24"/>
          <w:lang w:eastAsia="en-US"/>
        </w:rPr>
        <w:t xml:space="preserve">an </w:t>
      </w:r>
      <w:r w:rsidR="00FF546F" w:rsidRPr="00285CDE">
        <w:rPr>
          <w:rFonts w:cs="Arial"/>
          <w:szCs w:val="24"/>
          <w:lang w:eastAsia="en-US"/>
        </w:rPr>
        <w:t>inconsistency between the PFMA</w:t>
      </w:r>
      <w:r w:rsidR="00FF546F" w:rsidRPr="00285CDE">
        <w:rPr>
          <w:bCs/>
        </w:rPr>
        <w:t xml:space="preserve"> </w:t>
      </w:r>
      <w:r w:rsidR="00FF546F" w:rsidRPr="00285CDE">
        <w:rPr>
          <w:rFonts w:cs="Arial"/>
          <w:szCs w:val="24"/>
          <w:lang w:eastAsia="en-US"/>
        </w:rPr>
        <w:t>and any other legislation.</w:t>
      </w:r>
      <w:r w:rsidR="003B0B8D" w:rsidRPr="00285CDE">
        <w:rPr>
          <w:rFonts w:cs="Arial"/>
          <w:szCs w:val="24"/>
          <w:lang w:eastAsia="en-US"/>
        </w:rPr>
        <w:t xml:space="preserve"> </w:t>
      </w:r>
      <w:r w:rsidR="00FF546F" w:rsidRPr="00285CDE">
        <w:rPr>
          <w:rFonts w:cs="Arial"/>
          <w:szCs w:val="24"/>
          <w:lang w:eastAsia="en-US"/>
        </w:rPr>
        <w:t xml:space="preserve">Consequently, </w:t>
      </w:r>
      <w:r w:rsidR="003B0B8D" w:rsidRPr="00285CDE">
        <w:rPr>
          <w:rFonts w:cs="Arial"/>
          <w:szCs w:val="24"/>
          <w:lang w:eastAsia="en-US"/>
        </w:rPr>
        <w:t xml:space="preserve">they contended that </w:t>
      </w:r>
      <w:r w:rsidR="00FF546F" w:rsidRPr="00285CDE">
        <w:t>section 54(2) applies irrespective of the business rescue provisions of the Companies Act</w:t>
      </w:r>
      <w:r w:rsidR="003B0B8D" w:rsidRPr="00285CDE">
        <w:t xml:space="preserve"> and </w:t>
      </w:r>
      <w:r w:rsidR="003B0B8D" w:rsidRPr="00285CDE">
        <w:rPr>
          <w:rFonts w:cs="Arial"/>
          <w:szCs w:val="24"/>
          <w:lang w:eastAsia="en-US"/>
        </w:rPr>
        <w:t>that</w:t>
      </w:r>
      <w:r w:rsidR="000D76F8">
        <w:rPr>
          <w:rFonts w:cs="Arial"/>
          <w:szCs w:val="24"/>
          <w:lang w:eastAsia="en-US"/>
        </w:rPr>
        <w:t xml:space="preserve"> therefore</w:t>
      </w:r>
      <w:r w:rsidR="003B0B8D" w:rsidRPr="00285CDE">
        <w:rPr>
          <w:rFonts w:cs="Arial"/>
          <w:szCs w:val="24"/>
          <w:lang w:eastAsia="en-US"/>
        </w:rPr>
        <w:t xml:space="preserve"> the </w:t>
      </w:r>
      <w:r w:rsidR="00B0300E" w:rsidRPr="00285CDE">
        <w:rPr>
          <w:rFonts w:cs="Arial"/>
          <w:szCs w:val="24"/>
          <w:lang w:eastAsia="en-US"/>
        </w:rPr>
        <w:t>amended business rescue plan</w:t>
      </w:r>
      <w:r w:rsidR="003B0B8D" w:rsidRPr="00285CDE">
        <w:rPr>
          <w:rFonts w:cs="Arial"/>
          <w:szCs w:val="24"/>
          <w:lang w:eastAsia="en-US"/>
        </w:rPr>
        <w:t xml:space="preserve"> is inconsistent with the PFMA as it </w:t>
      </w:r>
      <w:r w:rsidR="008955C2">
        <w:rPr>
          <w:rFonts w:cs="Arial"/>
          <w:szCs w:val="24"/>
          <w:lang w:eastAsia="en-US"/>
        </w:rPr>
        <w:t>incorrectly grants authority to the</w:t>
      </w:r>
      <w:r w:rsidR="003B0B8D" w:rsidRPr="00285CDE">
        <w:rPr>
          <w:rFonts w:cs="Arial"/>
          <w:szCs w:val="24"/>
          <w:lang w:eastAsia="en-US"/>
        </w:rPr>
        <w:t xml:space="preserve"> BRP to submit </w:t>
      </w:r>
      <w:r w:rsidR="008955C2">
        <w:rPr>
          <w:rFonts w:cs="Arial"/>
          <w:szCs w:val="24"/>
          <w:lang w:eastAsia="en-US"/>
        </w:rPr>
        <w:t xml:space="preserve">a </w:t>
      </w:r>
      <w:r w:rsidR="003B0B8D" w:rsidRPr="00285CDE">
        <w:rPr>
          <w:rFonts w:cs="Arial"/>
          <w:szCs w:val="24"/>
          <w:lang w:eastAsia="en-US"/>
        </w:rPr>
        <w:t xml:space="preserve">section 54(2) application for approval. </w:t>
      </w:r>
    </w:p>
    <w:p w14:paraId="53648B76" w14:textId="0D624A82" w:rsidR="00FF546F"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[134]</w:t>
      </w:r>
      <w:r w:rsidRPr="00285CDE">
        <w:rPr>
          <w:rFonts w:cs="Arial"/>
          <w:szCs w:val="24"/>
        </w:rPr>
        <w:tab/>
      </w:r>
      <w:r w:rsidR="00585637" w:rsidRPr="00285CDE">
        <w:rPr>
          <w:rFonts w:cs="Arial"/>
          <w:szCs w:val="24"/>
          <w:lang w:eastAsia="en-US"/>
        </w:rPr>
        <w:t xml:space="preserve">The </w:t>
      </w:r>
      <w:r w:rsidR="008C61DC" w:rsidRPr="00285CDE">
        <w:rPr>
          <w:rFonts w:cs="Arial"/>
          <w:szCs w:val="24"/>
          <w:lang w:eastAsia="en-US"/>
        </w:rPr>
        <w:t>Fourth and Fifth</w:t>
      </w:r>
      <w:r w:rsidR="00585637" w:rsidRPr="00285CDE">
        <w:rPr>
          <w:rFonts w:cs="Arial"/>
          <w:szCs w:val="24"/>
          <w:lang w:eastAsia="en-US"/>
        </w:rPr>
        <w:t xml:space="preserve"> Respondents contended that the application for review was premature as there has been no </w:t>
      </w:r>
      <w:r w:rsidR="00E42B2D" w:rsidRPr="00285CDE">
        <w:rPr>
          <w:rFonts w:cs="Arial"/>
          <w:szCs w:val="24"/>
          <w:lang w:eastAsia="en-US"/>
        </w:rPr>
        <w:t xml:space="preserve">failure to </w:t>
      </w:r>
      <w:r w:rsidR="00AC1ECB">
        <w:rPr>
          <w:rFonts w:cs="Arial"/>
          <w:szCs w:val="24"/>
          <w:lang w:eastAsia="en-US"/>
        </w:rPr>
        <w:t>take a decision</w:t>
      </w:r>
      <w:r w:rsidR="00585637" w:rsidRPr="00285CDE">
        <w:rPr>
          <w:rFonts w:cs="Arial"/>
          <w:szCs w:val="24"/>
          <w:lang w:eastAsia="en-US"/>
        </w:rPr>
        <w:t xml:space="preserve"> </w:t>
      </w:r>
      <w:r w:rsidR="00E42B2D" w:rsidRPr="00285CDE">
        <w:rPr>
          <w:rFonts w:cs="Arial"/>
          <w:szCs w:val="24"/>
          <w:lang w:eastAsia="en-US"/>
        </w:rPr>
        <w:t>because</w:t>
      </w:r>
      <w:r w:rsidR="00585637" w:rsidRPr="00285CDE">
        <w:rPr>
          <w:rFonts w:cs="Arial"/>
          <w:szCs w:val="24"/>
          <w:lang w:eastAsia="en-US"/>
        </w:rPr>
        <w:t xml:space="preserve"> the application is incomplete</w:t>
      </w:r>
      <w:r w:rsidR="00E42B2D" w:rsidRPr="00285CDE">
        <w:rPr>
          <w:rFonts w:cs="Arial"/>
          <w:szCs w:val="24"/>
          <w:lang w:eastAsia="en-US"/>
        </w:rPr>
        <w:t xml:space="preserve"> and has not been considered</w:t>
      </w:r>
      <w:r w:rsidR="00585637" w:rsidRPr="00285CDE">
        <w:rPr>
          <w:rFonts w:cs="Arial"/>
          <w:szCs w:val="24"/>
          <w:lang w:eastAsia="en-US"/>
        </w:rPr>
        <w:t xml:space="preserve">. </w:t>
      </w:r>
    </w:p>
    <w:p w14:paraId="42B0FA23" w14:textId="025837D3" w:rsidR="00FF0B5A"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[135]</w:t>
      </w:r>
      <w:r w:rsidRPr="00285CDE">
        <w:rPr>
          <w:rFonts w:cs="Arial"/>
          <w:szCs w:val="24"/>
        </w:rPr>
        <w:tab/>
      </w:r>
      <w:r w:rsidR="00492253" w:rsidRPr="00285CDE">
        <w:rPr>
          <w:bCs/>
        </w:rPr>
        <w:t xml:space="preserve">Furthermore, the </w:t>
      </w:r>
      <w:r w:rsidR="008C61DC" w:rsidRPr="00285CDE">
        <w:rPr>
          <w:bCs/>
        </w:rPr>
        <w:t>Fourth and Fifth</w:t>
      </w:r>
      <w:r w:rsidR="00492253" w:rsidRPr="00285CDE">
        <w:rPr>
          <w:bCs/>
        </w:rPr>
        <w:t xml:space="preserve"> Respondents submitted that NUMSA had failed to meet the requirements of section 21(1)(c) of the Superior Court’s Act</w:t>
      </w:r>
      <w:r w:rsidR="00B0300E" w:rsidRPr="00285CDE">
        <w:rPr>
          <w:bCs/>
        </w:rPr>
        <w:t xml:space="preserve"> </w:t>
      </w:r>
      <w:r w:rsidR="00FF0B5A" w:rsidRPr="00285CDE">
        <w:rPr>
          <w:bCs/>
        </w:rPr>
        <w:t>because NUMSA’s declaratory relief only seeks</w:t>
      </w:r>
      <w:r w:rsidR="008955C2">
        <w:rPr>
          <w:bCs/>
        </w:rPr>
        <w:t xml:space="preserve"> that</w:t>
      </w:r>
      <w:r w:rsidR="00FF0B5A" w:rsidRPr="00285CDE">
        <w:rPr>
          <w:bCs/>
        </w:rPr>
        <w:t xml:space="preserve"> the court pronounce that “</w:t>
      </w:r>
      <w:r w:rsidR="00FF0B5A" w:rsidRPr="00285CDE">
        <w:t>It is declared that in terms of section 54(3) of the PFMA the First and Second Applicant are entitled to assume that approval has been granted in respect of their application lodged under section 54(2) of the PFMA</w:t>
      </w:r>
      <w:r w:rsidR="00CF6FF7" w:rsidRPr="00285CDE">
        <w:t xml:space="preserve">” whereas an application </w:t>
      </w:r>
      <w:r w:rsidR="00195075" w:rsidRPr="00285CDE">
        <w:rPr>
          <w:bCs/>
        </w:rPr>
        <w:t xml:space="preserve">for declaratory relief </w:t>
      </w:r>
      <w:r w:rsidR="00CF6FF7" w:rsidRPr="00285CDE">
        <w:rPr>
          <w:bCs/>
        </w:rPr>
        <w:t xml:space="preserve">must </w:t>
      </w:r>
      <w:r w:rsidR="00195075" w:rsidRPr="00285CDE">
        <w:rPr>
          <w:bCs/>
        </w:rPr>
        <w:t xml:space="preserve">relate to the effect that either </w:t>
      </w:r>
      <w:r w:rsidR="008955C2">
        <w:rPr>
          <w:bCs/>
        </w:rPr>
        <w:t xml:space="preserve">the </w:t>
      </w:r>
      <w:r w:rsidR="00195075" w:rsidRPr="00285CDE">
        <w:rPr>
          <w:bCs/>
        </w:rPr>
        <w:t xml:space="preserve">law or </w:t>
      </w:r>
      <w:r w:rsidR="008955C2">
        <w:rPr>
          <w:bCs/>
        </w:rPr>
        <w:t xml:space="preserve">the </w:t>
      </w:r>
      <w:r w:rsidR="00195075" w:rsidRPr="00285CDE">
        <w:rPr>
          <w:bCs/>
        </w:rPr>
        <w:t>conduct is inconsistent with the Constitution and</w:t>
      </w:r>
      <w:r w:rsidR="009F6685">
        <w:rPr>
          <w:bCs/>
        </w:rPr>
        <w:t xml:space="preserve"> is</w:t>
      </w:r>
      <w:r w:rsidR="00195075" w:rsidRPr="00285CDE">
        <w:rPr>
          <w:bCs/>
        </w:rPr>
        <w:t xml:space="preserve"> invalid</w:t>
      </w:r>
      <w:r w:rsidR="007D2A9C" w:rsidRPr="00285CDE">
        <w:rPr>
          <w:bCs/>
        </w:rPr>
        <w:t>.</w:t>
      </w:r>
      <w:r w:rsidR="00FF0B5A" w:rsidRPr="00285CDE">
        <w:rPr>
          <w:bCs/>
        </w:rPr>
        <w:t xml:space="preserve"> </w:t>
      </w:r>
      <w:r w:rsidR="007D2A9C" w:rsidRPr="00285CDE">
        <w:rPr>
          <w:bCs/>
        </w:rPr>
        <w:t xml:space="preserve">This will enable such law or conduct to fall within </w:t>
      </w:r>
      <w:r w:rsidR="00FF0B5A" w:rsidRPr="00285CDE">
        <w:rPr>
          <w:bCs/>
        </w:rPr>
        <w:t>the ambit of section 172(1)(a) of the Constitution.</w:t>
      </w:r>
      <w:r w:rsidR="00195075" w:rsidRPr="00285CDE">
        <w:rPr>
          <w:bCs/>
        </w:rPr>
        <w:t xml:space="preserve"> </w:t>
      </w:r>
      <w:r w:rsidR="00FF0B5A" w:rsidRPr="00285CDE">
        <w:rPr>
          <w:bCs/>
        </w:rPr>
        <w:t>Section 172 of the Constitution provides that a court “</w:t>
      </w:r>
      <w:r w:rsidR="00FF0B5A" w:rsidRPr="008955C2">
        <w:rPr>
          <w:bCs/>
          <w:i/>
          <w:iCs w:val="0"/>
        </w:rPr>
        <w:t xml:space="preserve">must declare that any law or </w:t>
      </w:r>
      <w:r w:rsidR="00FF0B5A" w:rsidRPr="008955C2">
        <w:rPr>
          <w:bCs/>
          <w:i/>
          <w:iCs w:val="0"/>
        </w:rPr>
        <w:lastRenderedPageBreak/>
        <w:t>conduct that is inconsistent with the Constitution is invalid to the extent of its consistency</w:t>
      </w:r>
      <w:r w:rsidR="00FF0B5A" w:rsidRPr="00285CDE">
        <w:rPr>
          <w:bCs/>
        </w:rPr>
        <w:t xml:space="preserve">” According to the Third and </w:t>
      </w:r>
      <w:r w:rsidR="00B0300E" w:rsidRPr="00285CDE">
        <w:rPr>
          <w:bCs/>
        </w:rPr>
        <w:t>Fourth</w:t>
      </w:r>
      <w:r w:rsidR="00FF0B5A" w:rsidRPr="00285CDE">
        <w:rPr>
          <w:bCs/>
        </w:rPr>
        <w:t xml:space="preserve"> respondents, the said provision applies even where the conduct which has been impugned is a failure to act. </w:t>
      </w:r>
    </w:p>
    <w:p w14:paraId="481C3225" w14:textId="0FFD454C" w:rsidR="00D911F8" w:rsidRPr="00285CDE" w:rsidRDefault="00890EE4" w:rsidP="00890EE4">
      <w:pPr>
        <w:pStyle w:val="1"/>
        <w:numPr>
          <w:ilvl w:val="0"/>
          <w:numId w:val="0"/>
        </w:numPr>
        <w:tabs>
          <w:tab w:val="left" w:pos="567"/>
        </w:tabs>
        <w:spacing w:line="360" w:lineRule="auto"/>
        <w:ind w:left="567" w:hanging="567"/>
        <w:rPr>
          <w:rFonts w:cs="Arial"/>
          <w:bCs/>
          <w:szCs w:val="24"/>
        </w:rPr>
      </w:pPr>
      <w:r w:rsidRPr="00285CDE">
        <w:rPr>
          <w:rFonts w:cs="Arial"/>
          <w:szCs w:val="24"/>
        </w:rPr>
        <w:t>[136]</w:t>
      </w:r>
      <w:r w:rsidRPr="00285CDE">
        <w:rPr>
          <w:rFonts w:cs="Arial"/>
          <w:szCs w:val="24"/>
        </w:rPr>
        <w:tab/>
      </w:r>
      <w:r w:rsidR="00CF6FF7" w:rsidRPr="00285CDE">
        <w:rPr>
          <w:rFonts w:cs="Arial"/>
          <w:bCs/>
          <w:szCs w:val="24"/>
        </w:rPr>
        <w:t>Based on the above</w:t>
      </w:r>
      <w:r w:rsidR="008955C2">
        <w:rPr>
          <w:rFonts w:cs="Arial"/>
          <w:bCs/>
          <w:szCs w:val="24"/>
        </w:rPr>
        <w:t xml:space="preserve"> submissions</w:t>
      </w:r>
      <w:r w:rsidR="00CF6FF7" w:rsidRPr="00285CDE">
        <w:rPr>
          <w:rFonts w:cs="Arial"/>
          <w:bCs/>
          <w:szCs w:val="24"/>
        </w:rPr>
        <w:t xml:space="preserve">, the </w:t>
      </w:r>
      <w:r w:rsidR="008C61DC" w:rsidRPr="00285CDE">
        <w:rPr>
          <w:rFonts w:cs="Arial"/>
          <w:bCs/>
          <w:szCs w:val="24"/>
        </w:rPr>
        <w:t>Fourth and Fifth</w:t>
      </w:r>
      <w:r w:rsidR="00CF6FF7" w:rsidRPr="00285CDE">
        <w:rPr>
          <w:rFonts w:cs="Arial"/>
          <w:bCs/>
          <w:szCs w:val="24"/>
        </w:rPr>
        <w:t xml:space="preserve"> Respondent</w:t>
      </w:r>
      <w:r w:rsidR="009F6685">
        <w:rPr>
          <w:rFonts w:cs="Arial"/>
          <w:bCs/>
          <w:szCs w:val="24"/>
        </w:rPr>
        <w:t>s</w:t>
      </w:r>
      <w:r w:rsidR="00CF6FF7" w:rsidRPr="00285CDE">
        <w:rPr>
          <w:rFonts w:cs="Arial"/>
          <w:bCs/>
          <w:szCs w:val="24"/>
        </w:rPr>
        <w:t xml:space="preserve"> argued that </w:t>
      </w:r>
      <w:r w:rsidR="00CF6FF7" w:rsidRPr="00285CDE">
        <w:rPr>
          <w:rFonts w:cs="Arial"/>
          <w:szCs w:val="24"/>
          <w:lang w:eastAsia="en-US"/>
        </w:rPr>
        <w:t>NUMSA does not seek a declarator to the effect that “</w:t>
      </w:r>
      <w:r w:rsidR="00CF6FF7" w:rsidRPr="008955C2">
        <w:rPr>
          <w:rFonts w:cs="Arial"/>
          <w:i/>
          <w:iCs w:val="0"/>
          <w:szCs w:val="24"/>
          <w:lang w:eastAsia="en-US"/>
        </w:rPr>
        <w:t>the Minister of PE’s failure to take a decision is inconsistent with the Constitution and thus invalid</w:t>
      </w:r>
      <w:r w:rsidR="00CF6FF7" w:rsidRPr="00285CDE">
        <w:rPr>
          <w:rFonts w:cs="Arial"/>
          <w:szCs w:val="24"/>
          <w:lang w:eastAsia="en-US"/>
        </w:rPr>
        <w:t>” and th</w:t>
      </w:r>
      <w:r w:rsidR="009F6685">
        <w:rPr>
          <w:rFonts w:cs="Arial"/>
          <w:szCs w:val="24"/>
          <w:lang w:eastAsia="en-US"/>
        </w:rPr>
        <w:t>at</w:t>
      </w:r>
      <w:r w:rsidR="00CF6FF7" w:rsidRPr="00285CDE">
        <w:rPr>
          <w:rFonts w:cs="Arial"/>
          <w:szCs w:val="24"/>
          <w:lang w:eastAsia="en-US"/>
        </w:rPr>
        <w:t xml:space="preserve"> section 172 of the Constitution does not apply. </w:t>
      </w:r>
      <w:r w:rsidR="007D2A9C" w:rsidRPr="00285CDE">
        <w:rPr>
          <w:rFonts w:cs="Arial"/>
          <w:szCs w:val="24"/>
          <w:lang w:eastAsia="en-US"/>
        </w:rPr>
        <w:t>Relying on inter alia, the case of</w:t>
      </w:r>
      <w:r w:rsidR="00D911F8" w:rsidRPr="00285CDE">
        <w:rPr>
          <w:rFonts w:cs="Arial"/>
          <w:szCs w:val="24"/>
          <w:lang w:eastAsia="en-US"/>
        </w:rPr>
        <w:t xml:space="preserve"> </w:t>
      </w:r>
      <w:r w:rsidR="00D911F8" w:rsidRPr="00285CDE">
        <w:rPr>
          <w:rFonts w:cs="Arial"/>
          <w:i/>
          <w:iCs w:val="0"/>
          <w:szCs w:val="24"/>
          <w:lang w:eastAsia="en-US"/>
        </w:rPr>
        <w:t>Economic Freedom Fighters and Others v Speaker of the National Assembly and Another</w:t>
      </w:r>
      <w:r w:rsidR="007D2A9C" w:rsidRPr="00285CDE">
        <w:rPr>
          <w:rFonts w:cs="Arial"/>
          <w:szCs w:val="24"/>
          <w:lang w:eastAsia="en-US"/>
        </w:rPr>
        <w:t xml:space="preserve">, the </w:t>
      </w:r>
      <w:r w:rsidR="005A1064" w:rsidRPr="00285CDE">
        <w:rPr>
          <w:rFonts w:cs="Arial"/>
          <w:szCs w:val="24"/>
          <w:lang w:eastAsia="en-US"/>
        </w:rPr>
        <w:t>Third</w:t>
      </w:r>
      <w:r w:rsidR="007D2A9C" w:rsidRPr="00285CDE">
        <w:rPr>
          <w:rFonts w:cs="Arial"/>
          <w:szCs w:val="24"/>
          <w:lang w:eastAsia="en-US"/>
        </w:rPr>
        <w:t xml:space="preserve"> and Fourth Respondent</w:t>
      </w:r>
      <w:r w:rsidR="008955C2">
        <w:rPr>
          <w:rFonts w:cs="Arial"/>
          <w:szCs w:val="24"/>
          <w:lang w:eastAsia="en-US"/>
        </w:rPr>
        <w:t>s</w:t>
      </w:r>
      <w:r w:rsidR="007D2A9C" w:rsidRPr="00285CDE">
        <w:rPr>
          <w:rFonts w:cs="Arial"/>
          <w:szCs w:val="24"/>
          <w:lang w:eastAsia="en-US"/>
        </w:rPr>
        <w:t xml:space="preserve"> contended that the </w:t>
      </w:r>
      <w:r w:rsidR="008955C2">
        <w:rPr>
          <w:rFonts w:cs="Arial"/>
          <w:szCs w:val="24"/>
          <w:lang w:eastAsia="en-US"/>
        </w:rPr>
        <w:t>Constitutional C</w:t>
      </w:r>
      <w:r w:rsidR="007D2A9C" w:rsidRPr="00285CDE">
        <w:rPr>
          <w:rFonts w:cs="Arial"/>
          <w:szCs w:val="24"/>
          <w:lang w:eastAsia="en-US"/>
        </w:rPr>
        <w:t xml:space="preserve">ourt there made the following </w:t>
      </w:r>
      <w:r w:rsidR="008955C2">
        <w:rPr>
          <w:rFonts w:cs="Arial"/>
          <w:szCs w:val="24"/>
          <w:lang w:eastAsia="en-US"/>
        </w:rPr>
        <w:t>observation</w:t>
      </w:r>
      <w:r w:rsidR="007D2A9C" w:rsidRPr="00285CDE">
        <w:rPr>
          <w:rFonts w:cs="Arial"/>
          <w:szCs w:val="24"/>
          <w:lang w:eastAsia="en-US"/>
        </w:rPr>
        <w:t>:</w:t>
      </w:r>
    </w:p>
    <w:p w14:paraId="4620BB79" w14:textId="77777777" w:rsidR="00D911F8" w:rsidRPr="00285CDE" w:rsidRDefault="00D911F8" w:rsidP="00D911F8">
      <w:pPr>
        <w:pStyle w:val="1"/>
        <w:numPr>
          <w:ilvl w:val="0"/>
          <w:numId w:val="0"/>
        </w:numPr>
        <w:spacing w:before="0" w:line="240" w:lineRule="auto"/>
        <w:ind w:left="567"/>
        <w:rPr>
          <w:rFonts w:cs="Arial"/>
          <w:bCs/>
          <w:szCs w:val="24"/>
        </w:rPr>
      </w:pPr>
    </w:p>
    <w:p w14:paraId="65A914F3" w14:textId="1079BC74" w:rsidR="00D911F8" w:rsidRPr="009F6685" w:rsidRDefault="00AC1ECB" w:rsidP="009F6685">
      <w:pPr>
        <w:pStyle w:val="1"/>
        <w:numPr>
          <w:ilvl w:val="0"/>
          <w:numId w:val="0"/>
        </w:numPr>
        <w:spacing w:line="360" w:lineRule="auto"/>
        <w:ind w:left="851" w:right="851"/>
        <w:rPr>
          <w:rFonts w:cs="Arial"/>
          <w:bCs/>
          <w:iCs w:val="0"/>
          <w:szCs w:val="24"/>
        </w:rPr>
      </w:pPr>
      <w:r w:rsidRPr="009F6685">
        <w:rPr>
          <w:rFonts w:cs="Arial"/>
          <w:iCs w:val="0"/>
          <w:szCs w:val="24"/>
          <w:lang w:eastAsia="en-US"/>
        </w:rPr>
        <w:t>‘</w:t>
      </w:r>
      <w:r w:rsidR="00D911F8" w:rsidRPr="009F6685">
        <w:rPr>
          <w:rFonts w:cs="Arial"/>
          <w:iCs w:val="0"/>
          <w:szCs w:val="24"/>
          <w:lang w:eastAsia="en-US"/>
        </w:rPr>
        <w:t>The failure by the President to comply with the remedial action taken against him, by the Public Protector in her report of 19 March 2014, is inconsistent with section 83(b) of the Constitution read with sections 181(3) and 182(1)(c) of the Constitution and is invalid</w:t>
      </w:r>
      <w:r w:rsidRPr="009F6685">
        <w:rPr>
          <w:rFonts w:cs="Arial"/>
          <w:iCs w:val="0"/>
          <w:szCs w:val="24"/>
          <w:lang w:eastAsia="en-US"/>
        </w:rPr>
        <w:t>’</w:t>
      </w:r>
      <w:r w:rsidR="00D911F8" w:rsidRPr="009F6685">
        <w:rPr>
          <w:rFonts w:cs="Arial"/>
          <w:iCs w:val="0"/>
          <w:szCs w:val="24"/>
          <w:lang w:eastAsia="en-US"/>
        </w:rPr>
        <w:t>.</w:t>
      </w:r>
      <w:r w:rsidR="00D911F8" w:rsidRPr="009F6685">
        <w:rPr>
          <w:rStyle w:val="FootnoteReference"/>
          <w:rFonts w:cs="Arial"/>
          <w:iCs w:val="0"/>
          <w:szCs w:val="24"/>
          <w:lang w:eastAsia="en-US"/>
        </w:rPr>
        <w:footnoteReference w:id="49"/>
      </w:r>
    </w:p>
    <w:p w14:paraId="1269CA85" w14:textId="551133CE" w:rsidR="00DF5B67"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[137]</w:t>
      </w:r>
      <w:r w:rsidRPr="00285CDE">
        <w:rPr>
          <w:rFonts w:cs="Arial"/>
          <w:szCs w:val="24"/>
        </w:rPr>
        <w:tab/>
      </w:r>
      <w:r w:rsidR="00CF6FF7" w:rsidRPr="00285CDE">
        <w:rPr>
          <w:rFonts w:cs="Arial"/>
          <w:szCs w:val="24"/>
          <w:lang w:eastAsia="en-US"/>
        </w:rPr>
        <w:t xml:space="preserve">Additionally, the </w:t>
      </w:r>
      <w:r w:rsidR="008C61DC" w:rsidRPr="00285CDE">
        <w:rPr>
          <w:rFonts w:cs="Arial"/>
          <w:szCs w:val="24"/>
          <w:lang w:eastAsia="en-US"/>
        </w:rPr>
        <w:t xml:space="preserve">Fourth and Fifth </w:t>
      </w:r>
      <w:r w:rsidR="00CF6FF7" w:rsidRPr="00285CDE">
        <w:rPr>
          <w:rFonts w:cs="Arial"/>
          <w:szCs w:val="24"/>
          <w:lang w:eastAsia="en-US"/>
        </w:rPr>
        <w:t xml:space="preserve">Respondents argued that </w:t>
      </w:r>
      <w:r w:rsidR="00CF6FF7" w:rsidRPr="00285CDE">
        <w:t xml:space="preserve">the declaratory order sought by NUMSA does not </w:t>
      </w:r>
      <w:r w:rsidR="005B2B40" w:rsidRPr="00285CDE">
        <w:t>“</w:t>
      </w:r>
      <w:r w:rsidR="00CF6FF7" w:rsidRPr="00285CDE">
        <w:t>flow from its review relief</w:t>
      </w:r>
      <w:r w:rsidR="005B2B40" w:rsidRPr="00285CDE">
        <w:t>”.</w:t>
      </w:r>
      <w:r w:rsidR="00165EA8" w:rsidRPr="00285CDE">
        <w:t xml:space="preserve"> </w:t>
      </w:r>
      <w:r w:rsidR="005B2B40" w:rsidRPr="00285CDE">
        <w:t xml:space="preserve">Consequently, </w:t>
      </w:r>
      <w:r w:rsidR="009D6A6C" w:rsidRPr="00285CDE">
        <w:t xml:space="preserve">they argued that </w:t>
      </w:r>
      <w:r w:rsidR="005B2B40" w:rsidRPr="00285CDE">
        <w:t xml:space="preserve">section 8(2) of PAJA does not apply </w:t>
      </w:r>
      <w:r w:rsidR="009D6A6C" w:rsidRPr="00285CDE">
        <w:t xml:space="preserve">as it </w:t>
      </w:r>
      <w:r w:rsidR="009D6A6C" w:rsidRPr="00CC2669">
        <w:rPr>
          <w:i/>
          <w:iCs w:val="0"/>
        </w:rPr>
        <w:t>inter alia</w:t>
      </w:r>
      <w:r w:rsidR="009D6A6C" w:rsidRPr="00285CDE">
        <w:t xml:space="preserve"> deals with granting any order, in review </w:t>
      </w:r>
      <w:r w:rsidR="00165EA8" w:rsidRPr="00285CDE">
        <w:t>proceedings</w:t>
      </w:r>
      <w:r w:rsidR="009D6A6C" w:rsidRPr="00285CDE">
        <w:t xml:space="preserve">, that is just and equitable and declaring the rights of the parties in relation to the taking of the decision. </w:t>
      </w:r>
      <w:r w:rsidR="00BF366C" w:rsidRPr="00285CDE">
        <w:t xml:space="preserve">To strengthen their argument, </w:t>
      </w:r>
      <w:r w:rsidR="00DF5B67" w:rsidRPr="00285CDE">
        <w:t xml:space="preserve">they argued that a </w:t>
      </w:r>
      <w:r w:rsidR="00DF5B67" w:rsidRPr="00285CDE">
        <w:rPr>
          <w:rFonts w:ascii="ArialMT" w:hAnsi="ArialMT" w:cs="ArialMT"/>
          <w:szCs w:val="24"/>
          <w:lang w:eastAsia="en-US"/>
        </w:rPr>
        <w:t xml:space="preserve">declarator to the effect that “the applicants are “entitled to assume under section 54(3)” does </w:t>
      </w:r>
      <w:r w:rsidR="00DF5B67" w:rsidRPr="00285CDE">
        <w:rPr>
          <w:rFonts w:cs="Arial"/>
          <w:szCs w:val="24"/>
          <w:lang w:eastAsia="en-US"/>
        </w:rPr>
        <w:t xml:space="preserve">not flow from any review relief” but is “a stand-alone declarator which seeks to establish that the presumption of approval under section 54(3) was triggered on the facts of the present matter”. </w:t>
      </w:r>
    </w:p>
    <w:p w14:paraId="55F47F60" w14:textId="35108027" w:rsidR="009D6A6C"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[138]</w:t>
      </w:r>
      <w:r w:rsidRPr="00285CDE">
        <w:rPr>
          <w:rFonts w:cs="Arial"/>
          <w:szCs w:val="24"/>
        </w:rPr>
        <w:tab/>
      </w:r>
      <w:r w:rsidR="00DF5B67" w:rsidRPr="00285CDE">
        <w:rPr>
          <w:rFonts w:cs="Arial"/>
          <w:szCs w:val="24"/>
          <w:lang w:eastAsia="en-US"/>
        </w:rPr>
        <w:t xml:space="preserve">In light of the above, the </w:t>
      </w:r>
      <w:r w:rsidR="008C61DC" w:rsidRPr="00285CDE">
        <w:rPr>
          <w:rFonts w:cs="Arial"/>
          <w:szCs w:val="24"/>
          <w:lang w:eastAsia="en-US"/>
        </w:rPr>
        <w:t xml:space="preserve">Fourth and Fifth </w:t>
      </w:r>
      <w:r w:rsidR="00DF5B67" w:rsidRPr="00285CDE">
        <w:rPr>
          <w:rFonts w:cs="Arial"/>
          <w:szCs w:val="24"/>
          <w:lang w:eastAsia="en-US"/>
        </w:rPr>
        <w:t>Respondents argued that NUMSA has not met the test for a declarator</w:t>
      </w:r>
      <w:r w:rsidR="008955C2">
        <w:rPr>
          <w:rFonts w:cs="Arial"/>
          <w:szCs w:val="24"/>
          <w:lang w:eastAsia="en-US"/>
        </w:rPr>
        <w:t>y order</w:t>
      </w:r>
      <w:r w:rsidR="00DF5B67" w:rsidRPr="00285CDE">
        <w:rPr>
          <w:rFonts w:cs="Arial"/>
          <w:szCs w:val="24"/>
          <w:lang w:eastAsia="en-US"/>
        </w:rPr>
        <w:t xml:space="preserve">. </w:t>
      </w:r>
    </w:p>
    <w:p w14:paraId="66D10A62" w14:textId="68F0C684" w:rsidR="0048063B" w:rsidRPr="00285CDE" w:rsidRDefault="00BB438C" w:rsidP="00C932CF">
      <w:pPr>
        <w:pStyle w:val="1"/>
        <w:numPr>
          <w:ilvl w:val="0"/>
          <w:numId w:val="0"/>
        </w:numPr>
        <w:spacing w:line="360" w:lineRule="auto"/>
        <w:rPr>
          <w:bCs/>
          <w:u w:val="single"/>
        </w:rPr>
      </w:pPr>
      <w:r>
        <w:rPr>
          <w:rFonts w:cs="Arial"/>
          <w:szCs w:val="24"/>
          <w:u w:val="single"/>
          <w:lang w:eastAsia="en-US"/>
        </w:rPr>
        <w:t>s</w:t>
      </w:r>
      <w:r w:rsidR="003C03C2" w:rsidRPr="00285CDE">
        <w:rPr>
          <w:rFonts w:cs="Arial"/>
          <w:szCs w:val="24"/>
          <w:u w:val="single"/>
          <w:lang w:eastAsia="en-US"/>
        </w:rPr>
        <w:t>ubmissions in respect of</w:t>
      </w:r>
      <w:r w:rsidR="0048063B" w:rsidRPr="00285CDE">
        <w:rPr>
          <w:rFonts w:cs="Arial"/>
          <w:szCs w:val="24"/>
          <w:u w:val="single"/>
          <w:lang w:eastAsia="en-US"/>
        </w:rPr>
        <w:t xml:space="preserve"> t</w:t>
      </w:r>
      <w:r w:rsidR="003C03C2" w:rsidRPr="00285CDE">
        <w:rPr>
          <w:rFonts w:cs="Arial"/>
          <w:szCs w:val="24"/>
          <w:u w:val="single"/>
          <w:lang w:eastAsia="en-US"/>
        </w:rPr>
        <w:t>he</w:t>
      </w:r>
      <w:r w:rsidR="0048063B" w:rsidRPr="00285CDE">
        <w:rPr>
          <w:rFonts w:cs="Arial"/>
          <w:szCs w:val="24"/>
          <w:u w:val="single"/>
          <w:lang w:eastAsia="en-US"/>
        </w:rPr>
        <w:t xml:space="preserve"> BRP and Mango</w:t>
      </w:r>
      <w:r w:rsidR="00BE4306">
        <w:rPr>
          <w:rFonts w:cs="Arial"/>
          <w:szCs w:val="24"/>
          <w:u w:val="single"/>
          <w:lang w:eastAsia="en-US"/>
        </w:rPr>
        <w:t xml:space="preserve"> Airlines</w:t>
      </w:r>
    </w:p>
    <w:p w14:paraId="487D4F7E" w14:textId="6D2B66B8" w:rsidR="00651E8D"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lastRenderedPageBreak/>
        <w:t>[139]</w:t>
      </w:r>
      <w:r w:rsidRPr="00285CDE">
        <w:rPr>
          <w:rFonts w:cs="Arial"/>
          <w:szCs w:val="24"/>
        </w:rPr>
        <w:tab/>
      </w:r>
      <w:r w:rsidR="00B560BE" w:rsidRPr="00285CDE">
        <w:rPr>
          <w:bCs/>
        </w:rPr>
        <w:t xml:space="preserve">The </w:t>
      </w:r>
      <w:r w:rsidR="00BB438C">
        <w:rPr>
          <w:bCs/>
        </w:rPr>
        <w:t>Fourth</w:t>
      </w:r>
      <w:r w:rsidR="00B560BE" w:rsidRPr="00285CDE">
        <w:rPr>
          <w:bCs/>
        </w:rPr>
        <w:t xml:space="preserve"> and </w:t>
      </w:r>
      <w:r w:rsidR="00AC1ECB">
        <w:rPr>
          <w:bCs/>
        </w:rPr>
        <w:t>F</w:t>
      </w:r>
      <w:r w:rsidR="00BB438C">
        <w:rPr>
          <w:bCs/>
        </w:rPr>
        <w:t>ifth</w:t>
      </w:r>
      <w:r w:rsidR="00B560BE" w:rsidRPr="00285CDE">
        <w:rPr>
          <w:bCs/>
        </w:rPr>
        <w:t xml:space="preserve"> Respondents, through reliance </w:t>
      </w:r>
      <w:r w:rsidR="00F6045A" w:rsidRPr="00285CDE">
        <w:rPr>
          <w:bCs/>
        </w:rPr>
        <w:t>on</w:t>
      </w:r>
      <w:r w:rsidR="00B560BE" w:rsidRPr="00285CDE">
        <w:rPr>
          <w:bCs/>
        </w:rPr>
        <w:t xml:space="preserve"> various constitutional provisions</w:t>
      </w:r>
      <w:r w:rsidR="00F6045A" w:rsidRPr="00285CDE">
        <w:rPr>
          <w:bCs/>
        </w:rPr>
        <w:t>,</w:t>
      </w:r>
      <w:r w:rsidR="00B560BE" w:rsidRPr="00285CDE">
        <w:rPr>
          <w:bCs/>
        </w:rPr>
        <w:t xml:space="preserve"> argued that </w:t>
      </w:r>
      <w:r w:rsidR="00F6045A" w:rsidRPr="00285CDE">
        <w:rPr>
          <w:bCs/>
        </w:rPr>
        <w:t xml:space="preserve">they were required to take measures to </w:t>
      </w:r>
      <w:r w:rsidR="00F6045A" w:rsidRPr="00CC2669">
        <w:rPr>
          <w:bCs/>
          <w:i/>
          <w:iCs w:val="0"/>
        </w:rPr>
        <w:t>inter alia</w:t>
      </w:r>
      <w:r w:rsidR="00F6045A" w:rsidRPr="00285CDE">
        <w:rPr>
          <w:bCs/>
        </w:rPr>
        <w:t xml:space="preserve"> ensure adherence to procurement measures in a manner that is fair, </w:t>
      </w:r>
      <w:r w:rsidR="009F6685">
        <w:rPr>
          <w:bCs/>
        </w:rPr>
        <w:t xml:space="preserve">and </w:t>
      </w:r>
      <w:r w:rsidR="00F6045A" w:rsidRPr="00285CDE">
        <w:rPr>
          <w:bCs/>
        </w:rPr>
        <w:t>cost-effective</w:t>
      </w:r>
      <w:r w:rsidR="00BB438C">
        <w:rPr>
          <w:bCs/>
        </w:rPr>
        <w:t>.</w:t>
      </w:r>
      <w:r w:rsidR="00F6045A" w:rsidRPr="00285CDE">
        <w:rPr>
          <w:bCs/>
        </w:rPr>
        <w:t xml:space="preserve"> </w:t>
      </w:r>
      <w:r w:rsidR="00BB438C">
        <w:rPr>
          <w:bCs/>
        </w:rPr>
        <w:t xml:space="preserve">These measures </w:t>
      </w:r>
      <w:r w:rsidR="00F6045A" w:rsidRPr="00285CDE">
        <w:rPr>
          <w:bCs/>
        </w:rPr>
        <w:t>includ</w:t>
      </w:r>
      <w:r w:rsidR="00BB438C">
        <w:rPr>
          <w:bCs/>
        </w:rPr>
        <w:t>e</w:t>
      </w:r>
      <w:r w:rsidR="00F6045A" w:rsidRPr="00285CDE">
        <w:rPr>
          <w:bCs/>
        </w:rPr>
        <w:t xml:space="preserve"> compliance with transparency and expenditure control</w:t>
      </w:r>
      <w:r w:rsidR="009F6685">
        <w:rPr>
          <w:bCs/>
        </w:rPr>
        <w:t>s</w:t>
      </w:r>
      <w:r w:rsidR="00F6045A" w:rsidRPr="00285CDE">
        <w:rPr>
          <w:bCs/>
        </w:rPr>
        <w:t xml:space="preserve"> in all spheres of government.</w:t>
      </w:r>
      <w:r w:rsidR="00F6045A" w:rsidRPr="00285CDE">
        <w:rPr>
          <w:rStyle w:val="FootnoteReference"/>
          <w:bCs/>
        </w:rPr>
        <w:footnoteReference w:id="50"/>
      </w:r>
      <w:r w:rsidR="00F6045A" w:rsidRPr="00285CDE">
        <w:rPr>
          <w:bCs/>
        </w:rPr>
        <w:t xml:space="preserve"> </w:t>
      </w:r>
    </w:p>
    <w:p w14:paraId="711D8E7C" w14:textId="3B6D5A3B" w:rsidR="00651E8D"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[140]</w:t>
      </w:r>
      <w:r w:rsidRPr="00285CDE">
        <w:rPr>
          <w:rFonts w:cs="Arial"/>
          <w:szCs w:val="24"/>
        </w:rPr>
        <w:tab/>
      </w:r>
      <w:r w:rsidR="00651E8D" w:rsidRPr="00285CDE">
        <w:t xml:space="preserve">The </w:t>
      </w:r>
      <w:r w:rsidR="00BB438C">
        <w:t>Fourth</w:t>
      </w:r>
      <w:r w:rsidR="00651E8D" w:rsidRPr="00285CDE">
        <w:t xml:space="preserve"> and F</w:t>
      </w:r>
      <w:r w:rsidR="00BB438C">
        <w:t>ifth</w:t>
      </w:r>
      <w:r w:rsidR="00651E8D" w:rsidRPr="00285CDE">
        <w:t xml:space="preserve"> Respondents further argued that the Applicants are incorrect to say that section 217 of the Constitution is not applicable in the present matter because the Supreme Court of Appeal in </w:t>
      </w:r>
      <w:r w:rsidR="00651E8D" w:rsidRPr="00285CDE">
        <w:rPr>
          <w:rFonts w:cs="Arial"/>
          <w:i/>
          <w:lang w:eastAsia="en-US"/>
        </w:rPr>
        <w:t>Airports Company South Africa SOC Ltd v Imperial Group Ltd and Others</w:t>
      </w:r>
      <w:r w:rsidR="00BB438C">
        <w:rPr>
          <w:rStyle w:val="FootnoteReference"/>
          <w:rFonts w:cs="Arial"/>
          <w:i/>
          <w:lang w:eastAsia="en-US"/>
        </w:rPr>
        <w:footnoteReference w:id="51"/>
      </w:r>
      <w:r w:rsidR="00651E8D" w:rsidRPr="00285CDE">
        <w:rPr>
          <w:rFonts w:cs="Arial"/>
          <w:i/>
          <w:lang w:eastAsia="en-US"/>
        </w:rPr>
        <w:t xml:space="preserve"> </w:t>
      </w:r>
      <w:r w:rsidR="00BB438C">
        <w:t>observed that</w:t>
      </w:r>
      <w:r w:rsidR="00651E8D" w:rsidRPr="00285CDE">
        <w:t>:</w:t>
      </w:r>
    </w:p>
    <w:p w14:paraId="15F01333" w14:textId="77777777" w:rsidR="00651E8D" w:rsidRPr="00285CDE" w:rsidRDefault="00651E8D" w:rsidP="00651E8D">
      <w:pPr>
        <w:pStyle w:val="1"/>
        <w:numPr>
          <w:ilvl w:val="0"/>
          <w:numId w:val="0"/>
        </w:numPr>
        <w:spacing w:before="0" w:line="240" w:lineRule="auto"/>
        <w:ind w:left="567"/>
        <w:rPr>
          <w:bCs/>
        </w:rPr>
      </w:pPr>
    </w:p>
    <w:p w14:paraId="361D5196" w14:textId="77777777" w:rsidR="00651E8D" w:rsidRPr="009F6685" w:rsidRDefault="00651E8D" w:rsidP="009F6685">
      <w:pPr>
        <w:pStyle w:val="1"/>
        <w:numPr>
          <w:ilvl w:val="0"/>
          <w:numId w:val="0"/>
        </w:numPr>
        <w:spacing w:line="360" w:lineRule="auto"/>
        <w:ind w:left="851" w:right="851"/>
        <w:rPr>
          <w:bCs/>
          <w:szCs w:val="24"/>
        </w:rPr>
      </w:pPr>
      <w:r w:rsidRPr="00285CDE">
        <w:rPr>
          <w:bCs/>
          <w:sz w:val="22"/>
        </w:rPr>
        <w:t xml:space="preserve"> </w:t>
      </w:r>
      <w:r w:rsidRPr="009F6685">
        <w:rPr>
          <w:bCs/>
          <w:szCs w:val="24"/>
        </w:rPr>
        <w:t>“…IT [procurement] does not limit procumbent to state expenditure. Section 217(1) spells out what ‘procurement means, which is ‘to contract for goods or services’. Section 217 does not restrict the means by which goods and services are acquired”.</w:t>
      </w:r>
      <w:r w:rsidRPr="009F6685">
        <w:rPr>
          <w:rStyle w:val="FootnoteReference"/>
          <w:bCs/>
          <w:szCs w:val="24"/>
        </w:rPr>
        <w:footnoteReference w:id="52"/>
      </w:r>
    </w:p>
    <w:p w14:paraId="7EBFF84F" w14:textId="597A1465" w:rsidR="00D947B8" w:rsidRPr="00285CDE" w:rsidRDefault="00890EE4" w:rsidP="00890EE4">
      <w:pPr>
        <w:pStyle w:val="1"/>
        <w:numPr>
          <w:ilvl w:val="0"/>
          <w:numId w:val="0"/>
        </w:numPr>
        <w:tabs>
          <w:tab w:val="left" w:pos="567"/>
        </w:tabs>
        <w:spacing w:line="360" w:lineRule="auto"/>
        <w:ind w:left="567" w:hanging="567"/>
      </w:pPr>
      <w:r w:rsidRPr="00285CDE">
        <w:rPr>
          <w:rFonts w:cs="Arial"/>
          <w:szCs w:val="24"/>
        </w:rPr>
        <w:t>[141]</w:t>
      </w:r>
      <w:r w:rsidRPr="00285CDE">
        <w:rPr>
          <w:rFonts w:cs="Arial"/>
          <w:szCs w:val="24"/>
        </w:rPr>
        <w:tab/>
      </w:r>
      <w:r w:rsidR="00BB438C">
        <w:t>According</w:t>
      </w:r>
      <w:r w:rsidR="00651E8D" w:rsidRPr="00285CDE">
        <w:t xml:space="preserve">ly, they </w:t>
      </w:r>
      <w:r w:rsidR="009F6685">
        <w:t xml:space="preserve">firmly </w:t>
      </w:r>
      <w:r w:rsidR="00BB438C">
        <w:t>submit</w:t>
      </w:r>
      <w:r w:rsidR="00651E8D" w:rsidRPr="00285CDE">
        <w:t xml:space="preserve"> that section 217 of the Constitution is applicable as they were dealing with </w:t>
      </w:r>
      <w:r w:rsidR="00BB438C">
        <w:t xml:space="preserve">the </w:t>
      </w:r>
      <w:r w:rsidR="00651E8D" w:rsidRPr="00285CDE">
        <w:t>procurement of a state asset in the form of disposal of its shares</w:t>
      </w:r>
      <w:r w:rsidR="006B35E6" w:rsidRPr="00285CDE">
        <w:t xml:space="preserve"> and </w:t>
      </w:r>
      <w:r w:rsidR="00D947B8" w:rsidRPr="00285CDE">
        <w:t>therefore,</w:t>
      </w:r>
      <w:r w:rsidR="006B35E6" w:rsidRPr="00285CDE">
        <w:t xml:space="preserve"> they were ensuring compliance when inquiring about other available options to SAA. </w:t>
      </w:r>
      <w:r w:rsidR="00D947B8" w:rsidRPr="00285CDE">
        <w:rPr>
          <w:rFonts w:cs="Arial"/>
          <w:szCs w:val="24"/>
          <w:lang w:eastAsia="en-US"/>
        </w:rPr>
        <w:t xml:space="preserve">The </w:t>
      </w:r>
      <w:r w:rsidR="008C61DC" w:rsidRPr="00285CDE">
        <w:rPr>
          <w:rFonts w:cs="Arial"/>
          <w:szCs w:val="24"/>
          <w:lang w:eastAsia="en-US"/>
        </w:rPr>
        <w:t xml:space="preserve">Fourth and Fifth </w:t>
      </w:r>
      <w:r w:rsidR="00D947B8" w:rsidRPr="00285CDE">
        <w:rPr>
          <w:rFonts w:cs="Arial"/>
          <w:szCs w:val="24"/>
          <w:lang w:eastAsia="en-US"/>
        </w:rPr>
        <w:t>Respondents conten</w:t>
      </w:r>
      <w:r w:rsidR="00522F3E">
        <w:rPr>
          <w:rFonts w:cs="Arial"/>
          <w:szCs w:val="24"/>
          <w:lang w:eastAsia="en-US"/>
        </w:rPr>
        <w:t>d</w:t>
      </w:r>
      <w:r w:rsidR="00D947B8" w:rsidRPr="00285CDE">
        <w:rPr>
          <w:rFonts w:cs="Arial"/>
          <w:szCs w:val="24"/>
          <w:lang w:eastAsia="en-US"/>
        </w:rPr>
        <w:t>ed that it was for the aforesaid reasons, that the section 54(2) application was being carefully and thoroughly considered.</w:t>
      </w:r>
    </w:p>
    <w:p w14:paraId="76C104E2" w14:textId="20F105D9" w:rsidR="0048063B"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[142]</w:t>
      </w:r>
      <w:r w:rsidRPr="00285CDE">
        <w:rPr>
          <w:rFonts w:cs="Arial"/>
          <w:szCs w:val="24"/>
        </w:rPr>
        <w:tab/>
      </w:r>
      <w:r w:rsidR="00D947B8" w:rsidRPr="00285CDE">
        <w:rPr>
          <w:rFonts w:cs="Arial"/>
          <w:szCs w:val="24"/>
          <w:lang w:eastAsia="en-US"/>
        </w:rPr>
        <w:t xml:space="preserve">The </w:t>
      </w:r>
      <w:r w:rsidR="008C61DC" w:rsidRPr="00285CDE">
        <w:rPr>
          <w:rFonts w:cs="Arial"/>
          <w:szCs w:val="24"/>
          <w:lang w:eastAsia="en-US"/>
        </w:rPr>
        <w:t>Fourth and Fifth</w:t>
      </w:r>
      <w:r w:rsidR="00D947B8" w:rsidRPr="00285CDE">
        <w:rPr>
          <w:rFonts w:cs="Arial"/>
          <w:szCs w:val="24"/>
          <w:lang w:eastAsia="en-US"/>
        </w:rPr>
        <w:t xml:space="preserve"> Respondents argued that section 3(3) of the PFMA </w:t>
      </w:r>
      <w:r w:rsidR="00522F3E">
        <w:rPr>
          <w:rFonts w:cs="Arial"/>
          <w:szCs w:val="24"/>
          <w:lang w:eastAsia="en-US"/>
        </w:rPr>
        <w:t>provides a guideline should the PFMA be in conflict with another Act</w:t>
      </w:r>
      <w:r w:rsidR="00D947B8" w:rsidRPr="00285CDE">
        <w:rPr>
          <w:rFonts w:cs="Arial"/>
          <w:szCs w:val="24"/>
          <w:lang w:eastAsia="en-US"/>
        </w:rPr>
        <w:t xml:space="preserve">. As a result, they argue that the PFMA provided where there is such conflict, the PFMA will prevail over that legislation including </w:t>
      </w:r>
      <w:r w:rsidR="005869E2" w:rsidRPr="00285CDE">
        <w:rPr>
          <w:rFonts w:cs="Arial"/>
          <w:szCs w:val="24"/>
          <w:lang w:eastAsia="en-US"/>
        </w:rPr>
        <w:t xml:space="preserve">over any provision of the Companies Act. </w:t>
      </w:r>
    </w:p>
    <w:p w14:paraId="3C0672E0" w14:textId="6A56D9DE" w:rsidR="005869E2"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[143]</w:t>
      </w:r>
      <w:r w:rsidRPr="00285CDE">
        <w:rPr>
          <w:rFonts w:cs="Arial"/>
          <w:szCs w:val="24"/>
        </w:rPr>
        <w:tab/>
      </w:r>
      <w:r w:rsidR="005869E2" w:rsidRPr="00285CDE">
        <w:rPr>
          <w:rFonts w:cs="Arial"/>
          <w:szCs w:val="24"/>
          <w:lang w:eastAsia="en-US"/>
        </w:rPr>
        <w:t xml:space="preserve">The </w:t>
      </w:r>
      <w:r w:rsidR="008C61DC" w:rsidRPr="00285CDE">
        <w:rPr>
          <w:rFonts w:cs="Arial"/>
          <w:szCs w:val="24"/>
          <w:lang w:eastAsia="en-US"/>
        </w:rPr>
        <w:t xml:space="preserve">Fourth and Fifth </w:t>
      </w:r>
      <w:r w:rsidR="005869E2" w:rsidRPr="00285CDE">
        <w:rPr>
          <w:rFonts w:cs="Arial"/>
          <w:szCs w:val="24"/>
          <w:lang w:eastAsia="en-US"/>
        </w:rPr>
        <w:t xml:space="preserve">Respondents contended that just like the Constitution, the PFMA </w:t>
      </w:r>
      <w:r w:rsidR="005869E2" w:rsidRPr="00CC2669">
        <w:rPr>
          <w:rFonts w:cs="Arial"/>
          <w:i/>
          <w:iCs w:val="0"/>
          <w:szCs w:val="24"/>
          <w:lang w:eastAsia="en-US"/>
        </w:rPr>
        <w:t>inter alia</w:t>
      </w:r>
      <w:r w:rsidR="005869E2" w:rsidRPr="00285CDE">
        <w:rPr>
          <w:rFonts w:cs="Arial"/>
          <w:szCs w:val="24"/>
          <w:lang w:eastAsia="en-US"/>
        </w:rPr>
        <w:t xml:space="preserve"> places an obligation on </w:t>
      </w:r>
      <w:r w:rsidR="00522F3E">
        <w:rPr>
          <w:rFonts w:cs="Arial"/>
          <w:szCs w:val="24"/>
          <w:lang w:eastAsia="en-US"/>
        </w:rPr>
        <w:t xml:space="preserve">the </w:t>
      </w:r>
      <w:r w:rsidR="005869E2" w:rsidRPr="00285CDE">
        <w:rPr>
          <w:rFonts w:cs="Arial"/>
          <w:szCs w:val="24"/>
          <w:lang w:eastAsia="en-US"/>
        </w:rPr>
        <w:t xml:space="preserve">National Treasury to ensure </w:t>
      </w:r>
      <w:r w:rsidR="005869E2" w:rsidRPr="00285CDE">
        <w:rPr>
          <w:rFonts w:cs="Arial"/>
          <w:szCs w:val="24"/>
          <w:lang w:eastAsia="en-US"/>
        </w:rPr>
        <w:lastRenderedPageBreak/>
        <w:t>transparency in expenditure, assets</w:t>
      </w:r>
      <w:r w:rsidR="00A334B1" w:rsidRPr="00285CDE">
        <w:rPr>
          <w:rFonts w:cs="Arial"/>
          <w:szCs w:val="24"/>
          <w:lang w:eastAsia="en-US"/>
        </w:rPr>
        <w:t>,</w:t>
      </w:r>
      <w:r w:rsidR="005869E2" w:rsidRPr="00285CDE">
        <w:rPr>
          <w:rFonts w:cs="Arial"/>
          <w:szCs w:val="24"/>
          <w:lang w:eastAsia="en-US"/>
        </w:rPr>
        <w:t xml:space="preserve"> and liabilities of </w:t>
      </w:r>
      <w:r w:rsidR="00522F3E">
        <w:rPr>
          <w:rFonts w:cs="Arial"/>
          <w:szCs w:val="24"/>
          <w:lang w:eastAsia="en-US"/>
        </w:rPr>
        <w:t>S</w:t>
      </w:r>
      <w:r w:rsidR="005869E2" w:rsidRPr="00285CDE">
        <w:rPr>
          <w:rFonts w:cs="Arial"/>
          <w:szCs w:val="24"/>
          <w:lang w:eastAsia="en-US"/>
        </w:rPr>
        <w:t>tate-</w:t>
      </w:r>
      <w:r w:rsidR="00522F3E">
        <w:rPr>
          <w:rFonts w:cs="Arial"/>
          <w:szCs w:val="24"/>
          <w:lang w:eastAsia="en-US"/>
        </w:rPr>
        <w:t>O</w:t>
      </w:r>
      <w:r w:rsidR="005869E2" w:rsidRPr="00285CDE">
        <w:rPr>
          <w:rFonts w:cs="Arial"/>
          <w:szCs w:val="24"/>
          <w:lang w:eastAsia="en-US"/>
        </w:rPr>
        <w:t xml:space="preserve">wned </w:t>
      </w:r>
      <w:r w:rsidR="00522F3E">
        <w:rPr>
          <w:rFonts w:cs="Arial"/>
          <w:szCs w:val="24"/>
          <w:lang w:eastAsia="en-US"/>
        </w:rPr>
        <w:t>E</w:t>
      </w:r>
      <w:r w:rsidR="005869E2" w:rsidRPr="00285CDE">
        <w:rPr>
          <w:rFonts w:cs="Arial"/>
          <w:szCs w:val="24"/>
          <w:lang w:eastAsia="en-US"/>
        </w:rPr>
        <w:t>nterprises.</w:t>
      </w:r>
      <w:r w:rsidR="005869E2" w:rsidRPr="00285CDE">
        <w:rPr>
          <w:rStyle w:val="FootnoteReference"/>
          <w:rFonts w:cs="Arial"/>
          <w:szCs w:val="24"/>
          <w:lang w:eastAsia="en-US"/>
        </w:rPr>
        <w:footnoteReference w:id="53"/>
      </w:r>
    </w:p>
    <w:p w14:paraId="6566F442" w14:textId="2EFE3C2A" w:rsidR="005869E2"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[144]</w:t>
      </w:r>
      <w:r w:rsidRPr="00285CDE">
        <w:rPr>
          <w:rFonts w:cs="Arial"/>
          <w:szCs w:val="24"/>
        </w:rPr>
        <w:tab/>
      </w:r>
      <w:r w:rsidR="005869E2" w:rsidRPr="00285CDE">
        <w:rPr>
          <w:rFonts w:cs="Arial"/>
          <w:szCs w:val="24"/>
          <w:lang w:eastAsia="en-US"/>
        </w:rPr>
        <w:t xml:space="preserve">Relying on section 54(1) of the PFMA, the </w:t>
      </w:r>
      <w:r w:rsidR="008C61DC" w:rsidRPr="00285CDE">
        <w:rPr>
          <w:rFonts w:cs="Arial"/>
          <w:szCs w:val="24"/>
          <w:lang w:eastAsia="en-US"/>
        </w:rPr>
        <w:t>Fourth and Fifth</w:t>
      </w:r>
      <w:r w:rsidR="005869E2" w:rsidRPr="00285CDE">
        <w:rPr>
          <w:rFonts w:cs="Arial"/>
          <w:szCs w:val="24"/>
          <w:lang w:eastAsia="en-US"/>
        </w:rPr>
        <w:t xml:space="preserve"> Respondents asserted that SAA’s board was oblig</w:t>
      </w:r>
      <w:r w:rsidR="00522F3E">
        <w:rPr>
          <w:rFonts w:cs="Arial"/>
          <w:szCs w:val="24"/>
          <w:lang w:eastAsia="en-US"/>
        </w:rPr>
        <w:t>ated</w:t>
      </w:r>
      <w:r w:rsidR="005869E2" w:rsidRPr="00285CDE">
        <w:rPr>
          <w:rFonts w:cs="Arial"/>
          <w:szCs w:val="24"/>
          <w:lang w:eastAsia="en-US"/>
        </w:rPr>
        <w:t xml:space="preserve"> to provide all “</w:t>
      </w:r>
      <w:r w:rsidR="005869E2" w:rsidRPr="00522F3E">
        <w:rPr>
          <w:rFonts w:cs="Arial"/>
          <w:i/>
          <w:iCs w:val="0"/>
          <w:szCs w:val="24"/>
          <w:lang w:eastAsia="en-US"/>
        </w:rPr>
        <w:t>manner of documentation to National Treasury</w:t>
      </w:r>
      <w:r w:rsidR="005869E2" w:rsidRPr="00285CDE">
        <w:rPr>
          <w:rFonts w:cs="Arial"/>
          <w:szCs w:val="24"/>
          <w:lang w:eastAsia="en-US"/>
        </w:rPr>
        <w:t>” including explanations and motivations. Based on this, they argue</w:t>
      </w:r>
      <w:r w:rsidR="00A334B1" w:rsidRPr="00285CDE">
        <w:rPr>
          <w:rFonts w:cs="Arial"/>
          <w:szCs w:val="24"/>
          <w:lang w:eastAsia="en-US"/>
        </w:rPr>
        <w:t>d</w:t>
      </w:r>
      <w:r w:rsidR="005869E2" w:rsidRPr="00285CDE">
        <w:rPr>
          <w:rFonts w:cs="Arial"/>
          <w:szCs w:val="24"/>
          <w:lang w:eastAsia="en-US"/>
        </w:rPr>
        <w:t xml:space="preserve"> that the National Treasury is entitled to request additional information from SAA about the section 54(2) application at the centre of this litigation. </w:t>
      </w:r>
      <w:r w:rsidR="00A334B1" w:rsidRPr="00285CDE">
        <w:rPr>
          <w:rFonts w:cs="Arial"/>
          <w:szCs w:val="24"/>
          <w:lang w:eastAsia="en-US"/>
        </w:rPr>
        <w:t xml:space="preserve">Furthermore, they submitted that it was the only accounting officer of the public entity who has the obligation to furnish the necessary information and not the BRP. </w:t>
      </w:r>
    </w:p>
    <w:p w14:paraId="3F5A99FE" w14:textId="2FE994CD" w:rsidR="00A334B1"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[145]</w:t>
      </w:r>
      <w:r w:rsidRPr="00285CDE">
        <w:rPr>
          <w:rFonts w:cs="Arial"/>
          <w:szCs w:val="24"/>
        </w:rPr>
        <w:tab/>
      </w:r>
      <w:r w:rsidR="00A334B1" w:rsidRPr="00285CDE">
        <w:rPr>
          <w:rFonts w:cs="Arial"/>
          <w:szCs w:val="24"/>
          <w:lang w:eastAsia="en-US"/>
        </w:rPr>
        <w:t xml:space="preserve">The </w:t>
      </w:r>
      <w:r w:rsidR="008C61DC" w:rsidRPr="00285CDE">
        <w:rPr>
          <w:rFonts w:cs="Arial"/>
          <w:szCs w:val="24"/>
          <w:lang w:eastAsia="en-US"/>
        </w:rPr>
        <w:t xml:space="preserve">Fourth and Fifth </w:t>
      </w:r>
      <w:r w:rsidR="00A334B1" w:rsidRPr="00285CDE">
        <w:rPr>
          <w:rFonts w:cs="Arial"/>
          <w:szCs w:val="24"/>
          <w:lang w:eastAsia="en-US"/>
        </w:rPr>
        <w:t xml:space="preserve">Respondents further argued that section 54(2) of the PFMA </w:t>
      </w:r>
      <w:r w:rsidR="00522F3E">
        <w:rPr>
          <w:rFonts w:cs="Arial"/>
          <w:szCs w:val="24"/>
          <w:lang w:eastAsia="en-US"/>
        </w:rPr>
        <w:t>does not provide clarity</w:t>
      </w:r>
      <w:r w:rsidR="00A334B1" w:rsidRPr="00285CDE">
        <w:rPr>
          <w:rFonts w:cs="Arial"/>
          <w:szCs w:val="24"/>
          <w:lang w:eastAsia="en-US"/>
        </w:rPr>
        <w:t xml:space="preserve"> to what “relevant particulars” entails but could be accepted as meaning information that will enable the relevant executive authority to exercise their power to approve</w:t>
      </w:r>
      <w:r w:rsidR="00522F3E">
        <w:rPr>
          <w:rFonts w:cs="Arial"/>
          <w:szCs w:val="24"/>
          <w:lang w:eastAsia="en-US"/>
        </w:rPr>
        <w:t xml:space="preserve"> or reject a section 54(2) application</w:t>
      </w:r>
      <w:r w:rsidR="00A334B1" w:rsidRPr="00285CDE">
        <w:rPr>
          <w:rFonts w:cs="Arial"/>
          <w:szCs w:val="24"/>
          <w:lang w:eastAsia="en-US"/>
        </w:rPr>
        <w:t xml:space="preserve">. </w:t>
      </w:r>
      <w:r w:rsidR="007E6328" w:rsidRPr="00285CDE">
        <w:rPr>
          <w:rFonts w:cs="Arial"/>
          <w:szCs w:val="24"/>
          <w:lang w:eastAsia="en-US"/>
        </w:rPr>
        <w:t xml:space="preserve">Consequently, they contended that as the PE Minister is the only one who is tasked with </w:t>
      </w:r>
      <w:r w:rsidR="009F7C13">
        <w:rPr>
          <w:rFonts w:cs="Arial"/>
          <w:szCs w:val="24"/>
          <w:lang w:eastAsia="en-US"/>
        </w:rPr>
        <w:t>taking</w:t>
      </w:r>
      <w:r w:rsidR="007E6328" w:rsidRPr="00285CDE">
        <w:rPr>
          <w:rFonts w:cs="Arial"/>
          <w:szCs w:val="24"/>
          <w:lang w:eastAsia="en-US"/>
        </w:rPr>
        <w:t xml:space="preserve"> a decision, he </w:t>
      </w:r>
      <w:r w:rsidR="00522F3E">
        <w:rPr>
          <w:rFonts w:cs="Arial"/>
          <w:szCs w:val="24"/>
          <w:lang w:eastAsia="en-US"/>
        </w:rPr>
        <w:t>has</w:t>
      </w:r>
      <w:r w:rsidR="007E6328" w:rsidRPr="00285CDE">
        <w:rPr>
          <w:rFonts w:cs="Arial"/>
          <w:szCs w:val="24"/>
          <w:lang w:eastAsia="en-US"/>
        </w:rPr>
        <w:t xml:space="preserve"> the sole </w:t>
      </w:r>
      <w:r w:rsidR="00522F3E">
        <w:rPr>
          <w:rFonts w:cs="Arial"/>
          <w:szCs w:val="24"/>
          <w:lang w:eastAsia="en-US"/>
        </w:rPr>
        <w:t>discretion</w:t>
      </w:r>
      <w:r w:rsidR="007E6328" w:rsidRPr="00285CDE">
        <w:rPr>
          <w:rFonts w:cs="Arial"/>
          <w:szCs w:val="24"/>
          <w:lang w:eastAsia="en-US"/>
        </w:rPr>
        <w:t xml:space="preserve"> </w:t>
      </w:r>
      <w:r w:rsidR="00522F3E">
        <w:rPr>
          <w:rFonts w:cs="Arial"/>
          <w:szCs w:val="24"/>
          <w:lang w:eastAsia="en-US"/>
        </w:rPr>
        <w:t xml:space="preserve">to </w:t>
      </w:r>
      <w:r w:rsidR="007E6328" w:rsidRPr="00285CDE">
        <w:rPr>
          <w:rFonts w:cs="Arial"/>
          <w:szCs w:val="24"/>
          <w:lang w:eastAsia="en-US"/>
        </w:rPr>
        <w:t xml:space="preserve">determine whether all relevant particulars have been submitted and not the applicants. </w:t>
      </w:r>
    </w:p>
    <w:p w14:paraId="7466E136" w14:textId="21896B64" w:rsidR="007E6328"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[146]</w:t>
      </w:r>
      <w:r w:rsidRPr="00285CDE">
        <w:rPr>
          <w:rFonts w:cs="Arial"/>
          <w:szCs w:val="24"/>
        </w:rPr>
        <w:tab/>
      </w:r>
      <w:r w:rsidR="007E6328" w:rsidRPr="00285CDE">
        <w:rPr>
          <w:rFonts w:cs="Arial"/>
          <w:szCs w:val="24"/>
          <w:lang w:eastAsia="en-US"/>
        </w:rPr>
        <w:t xml:space="preserve">In addition, </w:t>
      </w:r>
      <w:r w:rsidR="00B0300E" w:rsidRPr="00285CDE">
        <w:rPr>
          <w:rFonts w:cs="Arial"/>
          <w:szCs w:val="24"/>
          <w:lang w:eastAsia="en-US"/>
        </w:rPr>
        <w:t>t</w:t>
      </w:r>
      <w:r w:rsidR="007E6328" w:rsidRPr="00285CDE">
        <w:rPr>
          <w:rFonts w:cs="Arial"/>
          <w:szCs w:val="24"/>
          <w:lang w:eastAsia="en-US"/>
        </w:rPr>
        <w:t xml:space="preserve">he </w:t>
      </w:r>
      <w:r w:rsidR="008C61DC" w:rsidRPr="00285CDE">
        <w:rPr>
          <w:rFonts w:cs="Arial"/>
          <w:szCs w:val="24"/>
          <w:lang w:eastAsia="en-US"/>
        </w:rPr>
        <w:t xml:space="preserve">Fourth and Fifth </w:t>
      </w:r>
      <w:r w:rsidR="007E6328" w:rsidRPr="00285CDE">
        <w:rPr>
          <w:rFonts w:cs="Arial"/>
          <w:szCs w:val="24"/>
          <w:lang w:eastAsia="en-US"/>
        </w:rPr>
        <w:t xml:space="preserve">Respondents submitted that it is the PE Minister who can approve the section 54(2) application and not this Court. </w:t>
      </w:r>
    </w:p>
    <w:p w14:paraId="083FD9BF" w14:textId="04E0076C" w:rsidR="000D7503"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[147]</w:t>
      </w:r>
      <w:r w:rsidRPr="00285CDE">
        <w:rPr>
          <w:rFonts w:cs="Arial"/>
          <w:szCs w:val="24"/>
        </w:rPr>
        <w:tab/>
      </w:r>
      <w:r w:rsidR="000D7503" w:rsidRPr="00285CDE">
        <w:rPr>
          <w:bCs/>
        </w:rPr>
        <w:t>They further contended that the extension of the 30</w:t>
      </w:r>
      <w:r w:rsidR="00B0300E" w:rsidRPr="00285CDE">
        <w:rPr>
          <w:bCs/>
        </w:rPr>
        <w:t>-</w:t>
      </w:r>
      <w:r w:rsidR="000D7503" w:rsidRPr="00285CDE">
        <w:rPr>
          <w:bCs/>
        </w:rPr>
        <w:t>day period to consider the section 54(2) application was an outcome of consensus between the relevant parties, namely the PE Minister, National Treasury</w:t>
      </w:r>
      <w:r w:rsidR="003C03C2" w:rsidRPr="00285CDE">
        <w:rPr>
          <w:bCs/>
        </w:rPr>
        <w:t>,</w:t>
      </w:r>
      <w:r w:rsidR="000D7503" w:rsidRPr="00285CDE">
        <w:rPr>
          <w:bCs/>
        </w:rPr>
        <w:t xml:space="preserve"> and SAA to run once all the additional requested information was submitted. </w:t>
      </w:r>
    </w:p>
    <w:p w14:paraId="7A6F405B" w14:textId="574ECB74" w:rsidR="00F560F2"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[148]</w:t>
      </w:r>
      <w:r w:rsidRPr="00285CDE">
        <w:rPr>
          <w:rFonts w:cs="Arial"/>
          <w:szCs w:val="24"/>
        </w:rPr>
        <w:tab/>
      </w:r>
      <w:r w:rsidR="00F560F2" w:rsidRPr="00285CDE">
        <w:rPr>
          <w:bCs/>
        </w:rPr>
        <w:t xml:space="preserve">Furthermore, </w:t>
      </w:r>
      <w:r w:rsidR="00F560F2" w:rsidRPr="00285CDE">
        <w:rPr>
          <w:rFonts w:cs="Arial"/>
          <w:szCs w:val="24"/>
          <w:lang w:eastAsia="en-US"/>
        </w:rPr>
        <w:t xml:space="preserve">the </w:t>
      </w:r>
      <w:r w:rsidR="008C61DC" w:rsidRPr="00285CDE">
        <w:rPr>
          <w:rFonts w:cs="Arial"/>
          <w:szCs w:val="24"/>
          <w:lang w:eastAsia="en-US"/>
        </w:rPr>
        <w:t>Fourth and Fifth</w:t>
      </w:r>
      <w:r w:rsidR="00B0300E" w:rsidRPr="00285CDE">
        <w:rPr>
          <w:rFonts w:cs="Arial"/>
          <w:szCs w:val="24"/>
          <w:lang w:eastAsia="en-US"/>
        </w:rPr>
        <w:t xml:space="preserve"> </w:t>
      </w:r>
      <w:r w:rsidR="00F560F2" w:rsidRPr="00285CDE">
        <w:rPr>
          <w:rFonts w:cs="Arial"/>
          <w:szCs w:val="24"/>
          <w:lang w:eastAsia="en-US"/>
        </w:rPr>
        <w:t xml:space="preserve">Respondents argued that </w:t>
      </w:r>
      <w:r w:rsidR="00522F3E">
        <w:rPr>
          <w:rFonts w:cs="Arial"/>
          <w:szCs w:val="24"/>
          <w:lang w:eastAsia="en-US"/>
        </w:rPr>
        <w:t xml:space="preserve">the </w:t>
      </w:r>
      <w:r w:rsidR="00F560F2" w:rsidRPr="00285CDE">
        <w:rPr>
          <w:rFonts w:cs="Arial"/>
          <w:szCs w:val="24"/>
          <w:lang w:eastAsia="en-US"/>
        </w:rPr>
        <w:t xml:space="preserve">section 54(3) presumption only occurs when there is no form of response. Consequently, the said provision can only start running on a date </w:t>
      </w:r>
      <w:r w:rsidR="009F7C13">
        <w:rPr>
          <w:rFonts w:cs="Arial"/>
          <w:szCs w:val="24"/>
          <w:lang w:eastAsia="en-US"/>
        </w:rPr>
        <w:t>when</w:t>
      </w:r>
      <w:r w:rsidR="00F560F2" w:rsidRPr="00285CDE">
        <w:rPr>
          <w:rFonts w:cs="Arial"/>
          <w:szCs w:val="24"/>
          <w:lang w:eastAsia="en-US"/>
        </w:rPr>
        <w:t xml:space="preserve"> relevant particulars have been provided. To this end, the </w:t>
      </w:r>
      <w:r w:rsidR="008C61DC" w:rsidRPr="00285CDE">
        <w:rPr>
          <w:rFonts w:cs="Arial"/>
          <w:szCs w:val="24"/>
          <w:lang w:eastAsia="en-US"/>
        </w:rPr>
        <w:t xml:space="preserve">Fourth and Fifth </w:t>
      </w:r>
      <w:r w:rsidR="00F560F2" w:rsidRPr="00285CDE">
        <w:rPr>
          <w:rFonts w:cs="Arial"/>
          <w:szCs w:val="24"/>
          <w:lang w:eastAsia="en-US"/>
        </w:rPr>
        <w:t>Respondents</w:t>
      </w:r>
      <w:r w:rsidR="00BD08D7" w:rsidRPr="00285CDE">
        <w:rPr>
          <w:rFonts w:cs="Arial"/>
          <w:szCs w:val="24"/>
          <w:lang w:eastAsia="en-US"/>
        </w:rPr>
        <w:t xml:space="preserve"> submitted that on 19 January 2023</w:t>
      </w:r>
      <w:r w:rsidR="00522F3E">
        <w:rPr>
          <w:rFonts w:cs="Arial"/>
          <w:szCs w:val="24"/>
          <w:lang w:eastAsia="en-US"/>
        </w:rPr>
        <w:t>,</w:t>
      </w:r>
      <w:r w:rsidR="00BD08D7" w:rsidRPr="00285CDE">
        <w:rPr>
          <w:rFonts w:cs="Arial"/>
          <w:szCs w:val="24"/>
          <w:lang w:eastAsia="en-US"/>
        </w:rPr>
        <w:t xml:space="preserve"> SAA via its chairperson</w:t>
      </w:r>
      <w:r w:rsidR="00522F3E">
        <w:rPr>
          <w:rFonts w:cs="Arial"/>
          <w:szCs w:val="24"/>
          <w:lang w:eastAsia="en-US"/>
        </w:rPr>
        <w:t xml:space="preserve"> Mr. Lamola,</w:t>
      </w:r>
      <w:r w:rsidR="00BD08D7" w:rsidRPr="00285CDE">
        <w:rPr>
          <w:rFonts w:cs="Arial"/>
          <w:szCs w:val="24"/>
          <w:lang w:eastAsia="en-US"/>
        </w:rPr>
        <w:t xml:space="preserve"> confirmed that he had not provided National Treasury with </w:t>
      </w:r>
      <w:r w:rsidR="00522F3E">
        <w:rPr>
          <w:rFonts w:cs="Arial"/>
          <w:szCs w:val="24"/>
          <w:lang w:eastAsia="en-US"/>
        </w:rPr>
        <w:t xml:space="preserve">a </w:t>
      </w:r>
      <w:r w:rsidR="00BD08D7" w:rsidRPr="00285CDE">
        <w:rPr>
          <w:rFonts w:cs="Arial"/>
          <w:szCs w:val="24"/>
          <w:lang w:eastAsia="en-US"/>
        </w:rPr>
        <w:t xml:space="preserve">“complete set of the relevant particulars” such </w:t>
      </w:r>
      <w:r w:rsidR="00BD08D7" w:rsidRPr="00285CDE">
        <w:rPr>
          <w:rFonts w:cs="Arial"/>
          <w:szCs w:val="24"/>
          <w:lang w:eastAsia="en-US"/>
        </w:rPr>
        <w:lastRenderedPageBreak/>
        <w:t xml:space="preserve">as </w:t>
      </w:r>
      <w:r w:rsidR="00522F3E">
        <w:rPr>
          <w:rFonts w:cs="Arial"/>
          <w:szCs w:val="24"/>
          <w:lang w:eastAsia="en-US"/>
        </w:rPr>
        <w:t xml:space="preserve">the </w:t>
      </w:r>
      <w:r w:rsidR="00BD08D7" w:rsidRPr="00285CDE">
        <w:rPr>
          <w:rFonts w:cs="Arial"/>
          <w:szCs w:val="24"/>
          <w:lang w:eastAsia="en-US"/>
        </w:rPr>
        <w:t>annual financial statements for “201819 to 2021/22”, and the “</w:t>
      </w:r>
      <w:r w:rsidR="00BD08D7" w:rsidRPr="003776FC">
        <w:rPr>
          <w:rFonts w:cs="Arial"/>
          <w:i/>
          <w:iCs w:val="0"/>
          <w:szCs w:val="24"/>
          <w:lang w:eastAsia="en-US"/>
        </w:rPr>
        <w:t>valuation of SAA shares</w:t>
      </w:r>
      <w:r w:rsidR="00BD08D7" w:rsidRPr="00285CDE">
        <w:rPr>
          <w:rFonts w:cs="Arial"/>
          <w:szCs w:val="24"/>
          <w:lang w:eastAsia="en-US"/>
        </w:rPr>
        <w:t xml:space="preserve">”.  Therefore, not all relevant information was provided </w:t>
      </w:r>
      <w:r w:rsidR="003776FC">
        <w:rPr>
          <w:rFonts w:cs="Arial"/>
          <w:szCs w:val="24"/>
          <w:lang w:eastAsia="en-US"/>
        </w:rPr>
        <w:t xml:space="preserve">for </w:t>
      </w:r>
      <w:r w:rsidR="00BD08D7" w:rsidRPr="00285CDE">
        <w:rPr>
          <w:rFonts w:cs="Arial"/>
          <w:szCs w:val="24"/>
          <w:lang w:eastAsia="en-US"/>
        </w:rPr>
        <w:t xml:space="preserve">by SAA on 19 January 2023. </w:t>
      </w:r>
    </w:p>
    <w:p w14:paraId="1E56075E" w14:textId="7D91A408" w:rsidR="00D947B8"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[149]</w:t>
      </w:r>
      <w:r w:rsidRPr="00285CDE">
        <w:rPr>
          <w:rFonts w:cs="Arial"/>
          <w:szCs w:val="24"/>
        </w:rPr>
        <w:tab/>
      </w:r>
      <w:r w:rsidR="007B1020" w:rsidRPr="00285CDE">
        <w:rPr>
          <w:rFonts w:cs="Arial"/>
          <w:szCs w:val="24"/>
          <w:lang w:eastAsia="en-US"/>
        </w:rPr>
        <w:t xml:space="preserve">According to the </w:t>
      </w:r>
      <w:r w:rsidR="008C61DC" w:rsidRPr="00285CDE">
        <w:rPr>
          <w:rFonts w:cs="Arial"/>
          <w:szCs w:val="24"/>
          <w:lang w:eastAsia="en-US"/>
        </w:rPr>
        <w:t xml:space="preserve">Fourth and Fifth </w:t>
      </w:r>
      <w:r w:rsidR="007B1020" w:rsidRPr="00285CDE">
        <w:rPr>
          <w:rFonts w:cs="Arial"/>
          <w:szCs w:val="24"/>
          <w:lang w:eastAsia="en-US"/>
        </w:rPr>
        <w:t xml:space="preserve">Respondents, the </w:t>
      </w:r>
      <w:r w:rsidR="001D76C7" w:rsidRPr="00285CDE">
        <w:rPr>
          <w:rFonts w:cs="Arial"/>
          <w:szCs w:val="24"/>
          <w:lang w:eastAsia="en-US"/>
        </w:rPr>
        <w:t>words</w:t>
      </w:r>
      <w:r w:rsidR="007B1020" w:rsidRPr="00285CDE">
        <w:rPr>
          <w:rFonts w:cs="Arial"/>
          <w:szCs w:val="24"/>
          <w:lang w:eastAsia="en-US"/>
        </w:rPr>
        <w:t xml:space="preserve"> “decision” and “response” in section 54(3) of the PFMA are different. The former entails bringing a matter to an end whereas the latter means a verbal or written response. Based on the above, on one hand, they argue</w:t>
      </w:r>
      <w:r w:rsidR="00B0300E" w:rsidRPr="00285CDE">
        <w:rPr>
          <w:rFonts w:cs="Arial"/>
          <w:szCs w:val="24"/>
          <w:lang w:eastAsia="en-US"/>
        </w:rPr>
        <w:t>d</w:t>
      </w:r>
      <w:r w:rsidR="007B1020" w:rsidRPr="00285CDE">
        <w:rPr>
          <w:rFonts w:cs="Arial"/>
          <w:szCs w:val="24"/>
          <w:lang w:eastAsia="en-US"/>
        </w:rPr>
        <w:t xml:space="preserve"> that a decision entails </w:t>
      </w:r>
      <w:r w:rsidR="003776FC">
        <w:rPr>
          <w:rFonts w:cs="Arial"/>
          <w:szCs w:val="24"/>
          <w:lang w:eastAsia="en-US"/>
        </w:rPr>
        <w:t xml:space="preserve">the </w:t>
      </w:r>
      <w:r w:rsidR="007B1020" w:rsidRPr="00285CDE">
        <w:rPr>
          <w:rFonts w:cs="Arial"/>
          <w:szCs w:val="24"/>
          <w:lang w:eastAsia="en-US"/>
        </w:rPr>
        <w:t xml:space="preserve">approval or rejection of </w:t>
      </w:r>
      <w:r w:rsidR="00B0300E" w:rsidRPr="00285CDE">
        <w:rPr>
          <w:rFonts w:cs="Arial"/>
          <w:szCs w:val="24"/>
          <w:lang w:eastAsia="en-US"/>
        </w:rPr>
        <w:t xml:space="preserve">the </w:t>
      </w:r>
      <w:r w:rsidR="007B1020" w:rsidRPr="00285CDE">
        <w:rPr>
          <w:rFonts w:cs="Arial"/>
          <w:szCs w:val="24"/>
          <w:lang w:eastAsia="en-US"/>
        </w:rPr>
        <w:t xml:space="preserve">section 54(2) application. </w:t>
      </w:r>
      <w:r w:rsidR="009F6685">
        <w:rPr>
          <w:rFonts w:cs="Arial"/>
          <w:szCs w:val="24"/>
          <w:lang w:eastAsia="en-US"/>
        </w:rPr>
        <w:t>Regarding</w:t>
      </w:r>
      <w:r w:rsidR="00B0300E" w:rsidRPr="00285CDE">
        <w:rPr>
          <w:rFonts w:cs="Arial"/>
          <w:szCs w:val="24"/>
          <w:lang w:eastAsia="en-US"/>
        </w:rPr>
        <w:t xml:space="preserve"> the latter</w:t>
      </w:r>
      <w:r w:rsidR="007B1020" w:rsidRPr="00285CDE">
        <w:rPr>
          <w:rFonts w:cs="Arial"/>
          <w:szCs w:val="24"/>
          <w:lang w:eastAsia="en-US"/>
        </w:rPr>
        <w:t xml:space="preserve">, they contend that a response entails a response to the said application such as a letter requesting further information as per the letters </w:t>
      </w:r>
      <w:r w:rsidR="003776FC">
        <w:rPr>
          <w:rFonts w:cs="Arial"/>
          <w:szCs w:val="24"/>
          <w:lang w:eastAsia="en-US"/>
        </w:rPr>
        <w:t>dated</w:t>
      </w:r>
      <w:r w:rsidR="007B1020" w:rsidRPr="00285CDE">
        <w:rPr>
          <w:rFonts w:cs="Arial"/>
          <w:szCs w:val="24"/>
          <w:lang w:eastAsia="en-US"/>
        </w:rPr>
        <w:t xml:space="preserve"> 25 and 26 October 2022 including the one for 15 February 2023. </w:t>
      </w:r>
    </w:p>
    <w:p w14:paraId="07006782" w14:textId="47F0D7BF" w:rsidR="007B1020" w:rsidRPr="003776FC" w:rsidRDefault="00890EE4" w:rsidP="00890EE4">
      <w:pPr>
        <w:pStyle w:val="1"/>
        <w:numPr>
          <w:ilvl w:val="0"/>
          <w:numId w:val="0"/>
        </w:numPr>
        <w:tabs>
          <w:tab w:val="left" w:pos="567"/>
        </w:tabs>
        <w:spacing w:line="360" w:lineRule="auto"/>
        <w:ind w:left="567" w:hanging="567"/>
        <w:rPr>
          <w:bCs/>
        </w:rPr>
      </w:pPr>
      <w:r w:rsidRPr="003776FC">
        <w:rPr>
          <w:rFonts w:cs="Arial"/>
          <w:szCs w:val="24"/>
        </w:rPr>
        <w:t>[150]</w:t>
      </w:r>
      <w:r w:rsidRPr="003776FC">
        <w:rPr>
          <w:rFonts w:cs="Arial"/>
          <w:szCs w:val="24"/>
        </w:rPr>
        <w:tab/>
      </w:r>
      <w:r w:rsidR="007B1020" w:rsidRPr="00285CDE">
        <w:rPr>
          <w:rFonts w:cs="Arial"/>
          <w:szCs w:val="24"/>
          <w:lang w:eastAsia="en-US"/>
        </w:rPr>
        <w:t xml:space="preserve">The </w:t>
      </w:r>
      <w:r w:rsidR="008C61DC" w:rsidRPr="00285CDE">
        <w:rPr>
          <w:rFonts w:cs="Arial"/>
          <w:szCs w:val="24"/>
          <w:lang w:eastAsia="en-US"/>
        </w:rPr>
        <w:t xml:space="preserve">Fourth and Fifth </w:t>
      </w:r>
      <w:r w:rsidR="007B1020" w:rsidRPr="00285CDE">
        <w:rPr>
          <w:rFonts w:cs="Arial"/>
          <w:szCs w:val="24"/>
          <w:lang w:eastAsia="en-US"/>
        </w:rPr>
        <w:t xml:space="preserve">Respondents argued that it could not have been the intention of the legislature that a section 54(2) application could be decided </w:t>
      </w:r>
      <w:r w:rsidR="00B0300E" w:rsidRPr="00285CDE">
        <w:rPr>
          <w:rFonts w:cs="Arial"/>
          <w:szCs w:val="24"/>
          <w:lang w:eastAsia="en-US"/>
        </w:rPr>
        <w:t>w</w:t>
      </w:r>
      <w:r w:rsidR="007B1020" w:rsidRPr="00285CDE">
        <w:rPr>
          <w:rFonts w:cs="Arial"/>
          <w:szCs w:val="24"/>
          <w:lang w:eastAsia="en-US"/>
        </w:rPr>
        <w:t>ithin 30 days a</w:t>
      </w:r>
      <w:r w:rsidR="00B0300E" w:rsidRPr="00285CDE">
        <w:rPr>
          <w:rFonts w:cs="Arial"/>
          <w:szCs w:val="24"/>
          <w:lang w:eastAsia="en-US"/>
        </w:rPr>
        <w:t>s</w:t>
      </w:r>
      <w:r w:rsidR="007B1020" w:rsidRPr="00285CDE">
        <w:rPr>
          <w:rFonts w:cs="Arial"/>
          <w:szCs w:val="24"/>
          <w:lang w:eastAsia="en-US"/>
        </w:rPr>
        <w:t xml:space="preserve"> it involves several factors to be considered such as the financial impact on the decision. </w:t>
      </w:r>
    </w:p>
    <w:p w14:paraId="1C1EE99D" w14:textId="1DB871C2" w:rsidR="00165B5A"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[151]</w:t>
      </w:r>
      <w:r w:rsidRPr="00285CDE">
        <w:rPr>
          <w:rFonts w:cs="Arial"/>
          <w:szCs w:val="24"/>
        </w:rPr>
        <w:tab/>
      </w:r>
      <w:r w:rsidR="00E23BCA" w:rsidRPr="00285CDE">
        <w:rPr>
          <w:rFonts w:cs="Arial"/>
          <w:szCs w:val="24"/>
          <w:lang w:eastAsia="en-US"/>
        </w:rPr>
        <w:t xml:space="preserve">The </w:t>
      </w:r>
      <w:r w:rsidR="008C61DC" w:rsidRPr="00285CDE">
        <w:rPr>
          <w:rFonts w:cs="Arial"/>
          <w:szCs w:val="24"/>
          <w:lang w:eastAsia="en-US"/>
        </w:rPr>
        <w:t xml:space="preserve">Fourth and Fifth </w:t>
      </w:r>
      <w:r w:rsidR="00E23BCA" w:rsidRPr="00285CDE">
        <w:rPr>
          <w:rFonts w:cs="Arial"/>
          <w:szCs w:val="24"/>
          <w:lang w:eastAsia="en-US"/>
        </w:rPr>
        <w:t>Respondents contended that</w:t>
      </w:r>
      <w:r w:rsidR="000A72F6" w:rsidRPr="00285CDE">
        <w:rPr>
          <w:rFonts w:cs="Arial"/>
          <w:szCs w:val="24"/>
          <w:lang w:eastAsia="en-US"/>
        </w:rPr>
        <w:t xml:space="preserve"> the Constitution</w:t>
      </w:r>
      <w:r w:rsidR="000A72F6" w:rsidRPr="00285CDE">
        <w:rPr>
          <w:rStyle w:val="FootnoteReference"/>
          <w:rFonts w:cs="Arial"/>
          <w:szCs w:val="24"/>
          <w:lang w:eastAsia="en-US"/>
        </w:rPr>
        <w:footnoteReference w:id="54"/>
      </w:r>
      <w:r w:rsidR="000A72F6" w:rsidRPr="00285CDE">
        <w:rPr>
          <w:rFonts w:cs="Arial"/>
          <w:szCs w:val="24"/>
          <w:lang w:eastAsia="en-US"/>
        </w:rPr>
        <w:t xml:space="preserve"> and the PFMA</w:t>
      </w:r>
      <w:r w:rsidR="000A72F6" w:rsidRPr="00285CDE">
        <w:rPr>
          <w:rStyle w:val="FootnoteReference"/>
          <w:rFonts w:cs="Arial"/>
          <w:szCs w:val="24"/>
          <w:lang w:eastAsia="en-US"/>
        </w:rPr>
        <w:footnoteReference w:id="55"/>
      </w:r>
      <w:r w:rsidR="000A72F6" w:rsidRPr="00285CDE">
        <w:rPr>
          <w:rFonts w:cs="Arial"/>
          <w:szCs w:val="24"/>
          <w:lang w:eastAsia="en-US"/>
        </w:rPr>
        <w:t xml:space="preserve"> provide that</w:t>
      </w:r>
      <w:r w:rsidR="00E23BCA" w:rsidRPr="00285CDE">
        <w:rPr>
          <w:rFonts w:cs="Arial"/>
          <w:szCs w:val="24"/>
          <w:lang w:eastAsia="en-US"/>
        </w:rPr>
        <w:t xml:space="preserve"> </w:t>
      </w:r>
      <w:r w:rsidR="000A72F6" w:rsidRPr="00285CDE">
        <w:rPr>
          <w:rFonts w:cs="Arial"/>
          <w:szCs w:val="24"/>
          <w:lang w:eastAsia="en-US"/>
        </w:rPr>
        <w:t xml:space="preserve">the </w:t>
      </w:r>
      <w:r w:rsidR="00E23BCA" w:rsidRPr="00285CDE">
        <w:rPr>
          <w:rFonts w:cs="Arial"/>
          <w:szCs w:val="24"/>
          <w:lang w:eastAsia="en-US"/>
        </w:rPr>
        <w:t xml:space="preserve">national government </w:t>
      </w:r>
      <w:r w:rsidR="000A72F6" w:rsidRPr="00285CDE">
        <w:rPr>
          <w:rFonts w:cs="Arial"/>
          <w:szCs w:val="24"/>
          <w:lang w:eastAsia="en-US"/>
        </w:rPr>
        <w:t xml:space="preserve">or minister </w:t>
      </w:r>
      <w:r w:rsidR="00E23BCA" w:rsidRPr="00285CDE">
        <w:rPr>
          <w:rFonts w:cs="Arial"/>
          <w:szCs w:val="24"/>
          <w:lang w:eastAsia="en-US"/>
        </w:rPr>
        <w:t xml:space="preserve">may </w:t>
      </w:r>
      <w:r w:rsidR="00E23BCA" w:rsidRPr="006C61DE">
        <w:rPr>
          <w:rFonts w:cs="Arial"/>
          <w:i/>
          <w:iCs w:val="0"/>
          <w:szCs w:val="24"/>
          <w:lang w:eastAsia="en-US"/>
        </w:rPr>
        <w:t>inter alia</w:t>
      </w:r>
      <w:r w:rsidR="00E23BCA" w:rsidRPr="00285CDE">
        <w:rPr>
          <w:rFonts w:cs="Arial"/>
          <w:szCs w:val="24"/>
          <w:lang w:eastAsia="en-US"/>
        </w:rPr>
        <w:t xml:space="preserve"> guarantee a loan only </w:t>
      </w:r>
      <w:r w:rsidR="00A76DDD" w:rsidRPr="00285CDE">
        <w:rPr>
          <w:rFonts w:cs="Arial"/>
          <w:szCs w:val="24"/>
          <w:lang w:eastAsia="en-US"/>
        </w:rPr>
        <w:t xml:space="preserve">if </w:t>
      </w:r>
      <w:r w:rsidR="00E23BCA" w:rsidRPr="00285CDE">
        <w:rPr>
          <w:rFonts w:cs="Arial"/>
          <w:szCs w:val="24"/>
          <w:lang w:eastAsia="en-US"/>
        </w:rPr>
        <w:t xml:space="preserve">it complies with </w:t>
      </w:r>
      <w:r w:rsidR="009F6685">
        <w:rPr>
          <w:rFonts w:cs="Arial"/>
          <w:szCs w:val="24"/>
          <w:lang w:eastAsia="en-US"/>
        </w:rPr>
        <w:t xml:space="preserve">the </w:t>
      </w:r>
      <w:r w:rsidR="00E23BCA" w:rsidRPr="00285CDE">
        <w:rPr>
          <w:rFonts w:cs="Arial"/>
          <w:szCs w:val="24"/>
          <w:lang w:eastAsia="en-US"/>
        </w:rPr>
        <w:t xml:space="preserve">conditions set out </w:t>
      </w:r>
      <w:r w:rsidR="00A76DDD" w:rsidRPr="00285CDE">
        <w:rPr>
          <w:rFonts w:cs="Arial"/>
          <w:szCs w:val="24"/>
          <w:lang w:eastAsia="en-US"/>
        </w:rPr>
        <w:t>in</w:t>
      </w:r>
      <w:r w:rsidR="00E23BCA" w:rsidRPr="00285CDE">
        <w:rPr>
          <w:rFonts w:cs="Arial"/>
          <w:szCs w:val="24"/>
          <w:lang w:eastAsia="en-US"/>
        </w:rPr>
        <w:t xml:space="preserve"> the legislation</w:t>
      </w:r>
      <w:r w:rsidR="000A72F6" w:rsidRPr="00285CDE">
        <w:rPr>
          <w:rFonts w:cs="Arial"/>
          <w:szCs w:val="24"/>
          <w:lang w:eastAsia="en-US"/>
        </w:rPr>
        <w:t>. In light of the above, they argue</w:t>
      </w:r>
      <w:r w:rsidR="00B0300E" w:rsidRPr="00285CDE">
        <w:rPr>
          <w:rFonts w:cs="Arial"/>
          <w:szCs w:val="24"/>
          <w:lang w:eastAsia="en-US"/>
        </w:rPr>
        <w:t>d</w:t>
      </w:r>
      <w:r w:rsidR="000A72F6" w:rsidRPr="00285CDE">
        <w:rPr>
          <w:rFonts w:cs="Arial"/>
          <w:szCs w:val="24"/>
          <w:lang w:eastAsia="en-US"/>
        </w:rPr>
        <w:t xml:space="preserve"> that this case falls within the framework of government guarantees. To this end, they submitted that the Minister of Finance stated that </w:t>
      </w:r>
      <w:r w:rsidR="008D7A7F" w:rsidRPr="00285CDE">
        <w:rPr>
          <w:rFonts w:cs="Arial"/>
          <w:szCs w:val="24"/>
          <w:lang w:eastAsia="en-US"/>
        </w:rPr>
        <w:t xml:space="preserve">the </w:t>
      </w:r>
      <w:r w:rsidR="000A72F6" w:rsidRPr="00285CDE">
        <w:rPr>
          <w:rFonts w:cs="Arial"/>
          <w:szCs w:val="24"/>
          <w:lang w:eastAsia="en-US"/>
        </w:rPr>
        <w:t>government would provide a</w:t>
      </w:r>
      <w:r w:rsidR="009F6685">
        <w:rPr>
          <w:rFonts w:cs="Arial"/>
          <w:szCs w:val="24"/>
          <w:lang w:eastAsia="en-US"/>
        </w:rPr>
        <w:t xml:space="preserve"> </w:t>
      </w:r>
      <w:r w:rsidR="000A72F6" w:rsidRPr="00285CDE">
        <w:rPr>
          <w:rFonts w:cs="Arial"/>
          <w:szCs w:val="24"/>
          <w:lang w:eastAsia="en-US"/>
        </w:rPr>
        <w:t xml:space="preserve">R.5006 billion </w:t>
      </w:r>
      <w:r w:rsidR="008D7A7F" w:rsidRPr="00285CDE">
        <w:rPr>
          <w:rFonts w:cs="Arial"/>
          <w:szCs w:val="24"/>
          <w:lang w:eastAsia="en-US"/>
        </w:rPr>
        <w:t>guarantee</w:t>
      </w:r>
      <w:r w:rsidR="000A72F6" w:rsidRPr="00285CDE">
        <w:rPr>
          <w:rFonts w:cs="Arial"/>
          <w:szCs w:val="24"/>
          <w:lang w:eastAsia="en-US"/>
        </w:rPr>
        <w:t xml:space="preserve"> for the period 01 September 2012 to 30 September 2014 to ensure that the SAA board are able to sign off the AFS as a going concern…and that SAA continues to operate as a going concern. </w:t>
      </w:r>
    </w:p>
    <w:p w14:paraId="0C8EA170" w14:textId="565F3671" w:rsidR="00A76DDD"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[152]</w:t>
      </w:r>
      <w:r w:rsidRPr="00285CDE">
        <w:rPr>
          <w:rFonts w:cs="Arial"/>
          <w:szCs w:val="24"/>
        </w:rPr>
        <w:tab/>
      </w:r>
      <w:r w:rsidR="00A76DDD" w:rsidRPr="00285CDE">
        <w:rPr>
          <w:rFonts w:cs="Arial"/>
          <w:szCs w:val="24"/>
          <w:lang w:eastAsia="en-US"/>
        </w:rPr>
        <w:t xml:space="preserve">The </w:t>
      </w:r>
      <w:r w:rsidR="008C61DC" w:rsidRPr="00285CDE">
        <w:rPr>
          <w:rFonts w:cs="Arial"/>
          <w:szCs w:val="24"/>
          <w:lang w:eastAsia="en-US"/>
        </w:rPr>
        <w:t>Fourth and Fifth</w:t>
      </w:r>
      <w:r w:rsidR="00A76DDD" w:rsidRPr="00285CDE">
        <w:rPr>
          <w:rFonts w:cs="Arial"/>
          <w:szCs w:val="24"/>
          <w:lang w:eastAsia="en-US"/>
        </w:rPr>
        <w:t xml:space="preserve"> Respondents argued that there were conditions attached to the said guarantee</w:t>
      </w:r>
      <w:r w:rsidR="00AF4AF8">
        <w:rPr>
          <w:rFonts w:cs="Arial"/>
          <w:szCs w:val="24"/>
          <w:lang w:eastAsia="en-US"/>
        </w:rPr>
        <w:t xml:space="preserve">, one of the conditions provide that </w:t>
      </w:r>
      <w:r w:rsidR="00A76DDD" w:rsidRPr="00285CDE">
        <w:rPr>
          <w:rFonts w:cs="Arial"/>
          <w:szCs w:val="24"/>
          <w:lang w:eastAsia="en-US"/>
        </w:rPr>
        <w:t xml:space="preserve">the </w:t>
      </w:r>
      <w:bookmarkStart w:id="12" w:name="_Hlk138124289"/>
      <w:r w:rsidR="00A76DDD" w:rsidRPr="00285CDE">
        <w:rPr>
          <w:rFonts w:cs="Arial"/>
          <w:szCs w:val="24"/>
          <w:lang w:eastAsia="en-US"/>
        </w:rPr>
        <w:t>section 54</w:t>
      </w:r>
      <w:r w:rsidR="00974F4D">
        <w:rPr>
          <w:rFonts w:cs="Arial"/>
          <w:szCs w:val="24"/>
          <w:lang w:eastAsia="en-US"/>
        </w:rPr>
        <w:t>(2)</w:t>
      </w:r>
      <w:r w:rsidR="00A76DDD" w:rsidRPr="00285CDE">
        <w:rPr>
          <w:rFonts w:cs="Arial"/>
          <w:szCs w:val="24"/>
          <w:lang w:eastAsia="en-US"/>
        </w:rPr>
        <w:t xml:space="preserve"> application would be subject to the approval of the Minister of Finance and the PE Minister</w:t>
      </w:r>
      <w:bookmarkEnd w:id="12"/>
      <w:r w:rsidR="00A76DDD" w:rsidRPr="00285CDE">
        <w:rPr>
          <w:rFonts w:cs="Arial"/>
          <w:szCs w:val="24"/>
          <w:lang w:eastAsia="en-US"/>
        </w:rPr>
        <w:t xml:space="preserve">. </w:t>
      </w:r>
    </w:p>
    <w:p w14:paraId="4F6CCD46" w14:textId="14BA9E7F" w:rsidR="00A76DDD"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lastRenderedPageBreak/>
        <w:t>[153]</w:t>
      </w:r>
      <w:r w:rsidRPr="00285CDE">
        <w:rPr>
          <w:rFonts w:cs="Arial"/>
          <w:szCs w:val="24"/>
        </w:rPr>
        <w:tab/>
      </w:r>
      <w:r w:rsidR="00A76DDD" w:rsidRPr="00285CDE">
        <w:rPr>
          <w:rFonts w:cs="Arial"/>
          <w:szCs w:val="24"/>
          <w:lang w:eastAsia="en-US"/>
        </w:rPr>
        <w:t xml:space="preserve">According to the </w:t>
      </w:r>
      <w:r w:rsidR="008C61DC" w:rsidRPr="00285CDE">
        <w:rPr>
          <w:rFonts w:cs="Arial"/>
          <w:szCs w:val="24"/>
          <w:lang w:eastAsia="en-US"/>
        </w:rPr>
        <w:t xml:space="preserve">Fourth and Fifth </w:t>
      </w:r>
      <w:r w:rsidR="00A76DDD" w:rsidRPr="00285CDE">
        <w:rPr>
          <w:rFonts w:cs="Arial"/>
          <w:szCs w:val="24"/>
          <w:lang w:eastAsia="en-US"/>
        </w:rPr>
        <w:t>Respondents, on 28 April 2013</w:t>
      </w:r>
      <w:r w:rsidR="003334EE" w:rsidRPr="00285CDE">
        <w:rPr>
          <w:rFonts w:cs="Arial"/>
          <w:szCs w:val="24"/>
          <w:lang w:eastAsia="en-US"/>
        </w:rPr>
        <w:t>,</w:t>
      </w:r>
      <w:r w:rsidR="00A76DDD" w:rsidRPr="00285CDE">
        <w:rPr>
          <w:rFonts w:cs="Arial"/>
          <w:szCs w:val="24"/>
          <w:lang w:eastAsia="en-US"/>
        </w:rPr>
        <w:t xml:space="preserve"> a Guarantee Framework Agreement </w:t>
      </w:r>
      <w:r w:rsidR="003334EE" w:rsidRPr="00285CDE">
        <w:rPr>
          <w:rFonts w:cs="Arial"/>
          <w:szCs w:val="24"/>
          <w:lang w:eastAsia="en-US"/>
        </w:rPr>
        <w:t xml:space="preserve">(GFA) </w:t>
      </w:r>
      <w:r w:rsidR="006A2464">
        <w:rPr>
          <w:rFonts w:cs="Arial"/>
          <w:szCs w:val="24"/>
          <w:lang w:eastAsia="en-US"/>
        </w:rPr>
        <w:t xml:space="preserve">was entered into </w:t>
      </w:r>
      <w:r w:rsidR="00A76DDD" w:rsidRPr="00285CDE">
        <w:rPr>
          <w:rFonts w:cs="Arial"/>
          <w:szCs w:val="24"/>
          <w:lang w:eastAsia="en-US"/>
        </w:rPr>
        <w:t xml:space="preserve">between the Government of the Republic of South Africa and SAA. </w:t>
      </w:r>
      <w:r w:rsidR="006A2464">
        <w:rPr>
          <w:rFonts w:cs="Arial"/>
          <w:szCs w:val="24"/>
          <w:lang w:eastAsia="en-US"/>
        </w:rPr>
        <w:t>C</w:t>
      </w:r>
      <w:r w:rsidR="00A76DDD" w:rsidRPr="00285CDE">
        <w:rPr>
          <w:rFonts w:cs="Arial"/>
          <w:szCs w:val="24"/>
          <w:lang w:eastAsia="en-US"/>
        </w:rPr>
        <w:t>lause 1.2.6</w:t>
      </w:r>
      <w:r w:rsidR="006A2464">
        <w:rPr>
          <w:rFonts w:cs="Arial"/>
          <w:szCs w:val="24"/>
          <w:lang w:eastAsia="en-US"/>
        </w:rPr>
        <w:t xml:space="preserve"> of the GFA</w:t>
      </w:r>
      <w:r w:rsidR="00A76DDD" w:rsidRPr="00285CDE">
        <w:rPr>
          <w:rFonts w:cs="Arial"/>
          <w:szCs w:val="24"/>
          <w:lang w:eastAsia="en-US"/>
        </w:rPr>
        <w:t xml:space="preserve"> deals with transactions falling within the ambit of section 54(2) of the PFMA and</w:t>
      </w:r>
      <w:r w:rsidR="00974F4D">
        <w:rPr>
          <w:rFonts w:cs="Arial"/>
          <w:szCs w:val="24"/>
          <w:lang w:eastAsia="en-US"/>
        </w:rPr>
        <w:t xml:space="preserve"> it</w:t>
      </w:r>
      <w:r w:rsidR="00A76DDD" w:rsidRPr="00285CDE">
        <w:rPr>
          <w:rFonts w:cs="Arial"/>
          <w:szCs w:val="24"/>
          <w:lang w:eastAsia="en-US"/>
        </w:rPr>
        <w:t xml:space="preserve"> </w:t>
      </w:r>
      <w:r w:rsidR="00A76DDD" w:rsidRPr="006C61DE">
        <w:rPr>
          <w:rFonts w:cs="Arial"/>
          <w:i/>
          <w:iCs w:val="0"/>
          <w:szCs w:val="24"/>
          <w:lang w:eastAsia="en-US"/>
        </w:rPr>
        <w:t>inter alia</w:t>
      </w:r>
      <w:r w:rsidR="00A76DDD" w:rsidRPr="00285CDE">
        <w:rPr>
          <w:rFonts w:cs="Arial"/>
          <w:szCs w:val="24"/>
          <w:lang w:eastAsia="en-US"/>
        </w:rPr>
        <w:t xml:space="preserve"> provid</w:t>
      </w:r>
      <w:r w:rsidR="006A2464">
        <w:rPr>
          <w:rFonts w:cs="Arial"/>
          <w:szCs w:val="24"/>
          <w:lang w:eastAsia="en-US"/>
        </w:rPr>
        <w:t>es</w:t>
      </w:r>
      <w:r w:rsidR="00A76DDD" w:rsidRPr="00285CDE">
        <w:rPr>
          <w:rFonts w:cs="Arial"/>
          <w:szCs w:val="24"/>
          <w:lang w:eastAsia="en-US"/>
        </w:rPr>
        <w:t xml:space="preserve"> that </w:t>
      </w:r>
      <w:r w:rsidR="006A2464">
        <w:rPr>
          <w:rFonts w:cs="Arial"/>
          <w:szCs w:val="24"/>
          <w:lang w:eastAsia="en-US"/>
        </w:rPr>
        <w:t xml:space="preserve">the </w:t>
      </w:r>
      <w:r w:rsidR="00A76DDD" w:rsidRPr="00285CDE">
        <w:rPr>
          <w:rFonts w:cs="Arial"/>
          <w:szCs w:val="24"/>
          <w:lang w:eastAsia="en-US"/>
        </w:rPr>
        <w:t>section 54</w:t>
      </w:r>
      <w:r w:rsidR="00974F4D">
        <w:rPr>
          <w:rFonts w:cs="Arial"/>
          <w:szCs w:val="24"/>
          <w:lang w:eastAsia="en-US"/>
        </w:rPr>
        <w:t>(2)</w:t>
      </w:r>
      <w:r w:rsidR="00A76DDD" w:rsidRPr="00285CDE">
        <w:rPr>
          <w:rFonts w:cs="Arial"/>
          <w:szCs w:val="24"/>
          <w:lang w:eastAsia="en-US"/>
        </w:rPr>
        <w:t xml:space="preserve"> application would be </w:t>
      </w:r>
      <w:bookmarkStart w:id="13" w:name="_Hlk144914892"/>
      <w:r w:rsidR="00A76DDD" w:rsidRPr="00285CDE">
        <w:rPr>
          <w:rFonts w:cs="Arial"/>
          <w:szCs w:val="24"/>
          <w:lang w:eastAsia="en-US"/>
        </w:rPr>
        <w:t xml:space="preserve">subject to the approval of the Minister of Finance </w:t>
      </w:r>
      <w:bookmarkEnd w:id="13"/>
      <w:r w:rsidR="00A76DDD" w:rsidRPr="00285CDE">
        <w:rPr>
          <w:rFonts w:cs="Arial"/>
          <w:szCs w:val="24"/>
          <w:lang w:eastAsia="en-US"/>
        </w:rPr>
        <w:t>and the PE Minister.</w:t>
      </w:r>
    </w:p>
    <w:p w14:paraId="409EE442" w14:textId="7715A728" w:rsidR="00B07F50"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[154]</w:t>
      </w:r>
      <w:r w:rsidRPr="00285CDE">
        <w:rPr>
          <w:rFonts w:cs="Arial"/>
          <w:szCs w:val="24"/>
        </w:rPr>
        <w:tab/>
      </w:r>
      <w:r w:rsidR="003334EE" w:rsidRPr="00285CDE">
        <w:rPr>
          <w:rFonts w:cs="Arial"/>
          <w:szCs w:val="24"/>
          <w:lang w:eastAsia="en-US"/>
        </w:rPr>
        <w:t xml:space="preserve">Furthermore, the </w:t>
      </w:r>
      <w:r w:rsidR="008C61DC" w:rsidRPr="00285CDE">
        <w:rPr>
          <w:rFonts w:cs="Arial"/>
          <w:szCs w:val="24"/>
          <w:lang w:eastAsia="en-US"/>
        </w:rPr>
        <w:t xml:space="preserve">Fourth and Fifth </w:t>
      </w:r>
      <w:r w:rsidR="003334EE" w:rsidRPr="00285CDE">
        <w:rPr>
          <w:rFonts w:cs="Arial"/>
          <w:szCs w:val="24"/>
          <w:lang w:eastAsia="en-US"/>
        </w:rPr>
        <w:t xml:space="preserve">Respondents submitted that Clause 7.13 of the GFA </w:t>
      </w:r>
      <w:r w:rsidR="006A2464">
        <w:rPr>
          <w:rFonts w:cs="Arial"/>
          <w:szCs w:val="24"/>
          <w:lang w:eastAsia="en-US"/>
        </w:rPr>
        <w:t>compels</w:t>
      </w:r>
      <w:r w:rsidR="003334EE" w:rsidRPr="00285CDE">
        <w:rPr>
          <w:rFonts w:cs="Arial"/>
          <w:szCs w:val="24"/>
          <w:lang w:eastAsia="en-US"/>
        </w:rPr>
        <w:t xml:space="preserve"> the accounting authority of SAA</w:t>
      </w:r>
      <w:r w:rsidR="00B07F50" w:rsidRPr="00285CDE">
        <w:rPr>
          <w:rFonts w:cs="Arial"/>
          <w:szCs w:val="24"/>
          <w:lang w:eastAsia="en-US"/>
        </w:rPr>
        <w:t xml:space="preserve"> to obtain </w:t>
      </w:r>
      <w:r w:rsidR="006A2464">
        <w:rPr>
          <w:rFonts w:cs="Arial"/>
          <w:szCs w:val="24"/>
          <w:lang w:eastAsia="en-US"/>
        </w:rPr>
        <w:t xml:space="preserve">the necessary </w:t>
      </w:r>
      <w:r w:rsidR="00B07F50" w:rsidRPr="00285CDE">
        <w:rPr>
          <w:rFonts w:cs="Arial"/>
          <w:szCs w:val="24"/>
          <w:lang w:eastAsia="en-US"/>
        </w:rPr>
        <w:t xml:space="preserve">government consent in transactions </w:t>
      </w:r>
      <w:r w:rsidR="00D23D96" w:rsidRPr="00285CDE">
        <w:rPr>
          <w:rFonts w:cs="Arial"/>
          <w:szCs w:val="24"/>
          <w:lang w:eastAsia="en-US"/>
        </w:rPr>
        <w:t>that</w:t>
      </w:r>
      <w:r w:rsidR="00B07F50" w:rsidRPr="00285CDE">
        <w:rPr>
          <w:rFonts w:cs="Arial"/>
          <w:szCs w:val="24"/>
          <w:lang w:eastAsia="en-US"/>
        </w:rPr>
        <w:t xml:space="preserve"> may inter alia affect funding or</w:t>
      </w:r>
      <w:r w:rsidR="006A2464">
        <w:rPr>
          <w:rFonts w:cs="Arial"/>
          <w:szCs w:val="24"/>
          <w:lang w:eastAsia="en-US"/>
        </w:rPr>
        <w:t xml:space="preserve"> the </w:t>
      </w:r>
      <w:r w:rsidR="00B07F50" w:rsidRPr="00285CDE">
        <w:rPr>
          <w:rFonts w:cs="Arial"/>
          <w:szCs w:val="24"/>
          <w:lang w:eastAsia="en-US"/>
        </w:rPr>
        <w:t xml:space="preserve">acceleration of the guaranteed liability. </w:t>
      </w:r>
      <w:r w:rsidR="006A2464">
        <w:rPr>
          <w:rFonts w:cs="Arial"/>
          <w:szCs w:val="24"/>
          <w:lang w:eastAsia="en-US"/>
        </w:rPr>
        <w:t>This</w:t>
      </w:r>
      <w:r w:rsidR="00B07F50" w:rsidRPr="00285CDE">
        <w:rPr>
          <w:rFonts w:cs="Arial"/>
          <w:szCs w:val="24"/>
          <w:lang w:eastAsia="en-US"/>
        </w:rPr>
        <w:t xml:space="preserve"> they argue</w:t>
      </w:r>
      <w:r w:rsidR="006A2464">
        <w:rPr>
          <w:rFonts w:cs="Arial"/>
          <w:szCs w:val="24"/>
          <w:lang w:eastAsia="en-US"/>
        </w:rPr>
        <w:t xml:space="preserve">, </w:t>
      </w:r>
      <w:r w:rsidR="00B07F50" w:rsidRPr="00285CDE">
        <w:rPr>
          <w:rFonts w:cs="Arial"/>
          <w:szCs w:val="24"/>
          <w:lang w:eastAsia="en-US"/>
        </w:rPr>
        <w:t xml:space="preserve">is evident that the Minister of Finance’s approval is required. This is something that is disputed by the applicants. </w:t>
      </w:r>
    </w:p>
    <w:p w14:paraId="12D63A31" w14:textId="1706B335" w:rsidR="002B7D04"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[155]</w:t>
      </w:r>
      <w:r w:rsidRPr="00285CDE">
        <w:rPr>
          <w:rFonts w:cs="Arial"/>
          <w:szCs w:val="24"/>
        </w:rPr>
        <w:tab/>
      </w:r>
      <w:r w:rsidR="00D23D96" w:rsidRPr="00285CDE">
        <w:rPr>
          <w:rFonts w:cs="Arial"/>
          <w:szCs w:val="24"/>
          <w:lang w:eastAsia="en-US"/>
        </w:rPr>
        <w:t xml:space="preserve">The </w:t>
      </w:r>
      <w:r w:rsidR="008C61DC" w:rsidRPr="00285CDE">
        <w:rPr>
          <w:rFonts w:cs="Arial"/>
          <w:szCs w:val="24"/>
          <w:lang w:eastAsia="en-US"/>
        </w:rPr>
        <w:t>Fourth and Fifth</w:t>
      </w:r>
      <w:r w:rsidR="00D23D96" w:rsidRPr="00285CDE">
        <w:rPr>
          <w:rFonts w:cs="Arial"/>
          <w:szCs w:val="24"/>
          <w:lang w:eastAsia="en-US"/>
        </w:rPr>
        <w:t xml:space="preserve"> Respondents submitted that the GFA is binding and ought to be complied with it. In addition, they argue</w:t>
      </w:r>
      <w:r w:rsidR="001C431E" w:rsidRPr="00285CDE">
        <w:rPr>
          <w:rFonts w:cs="Arial"/>
          <w:szCs w:val="24"/>
          <w:lang w:eastAsia="en-US"/>
        </w:rPr>
        <w:t>d</w:t>
      </w:r>
      <w:r w:rsidR="00D23D96" w:rsidRPr="00285CDE">
        <w:rPr>
          <w:rFonts w:cs="Arial"/>
          <w:szCs w:val="24"/>
          <w:lang w:eastAsia="en-US"/>
        </w:rPr>
        <w:t xml:space="preserve"> that there </w:t>
      </w:r>
      <w:r w:rsidR="001C431E" w:rsidRPr="00285CDE">
        <w:rPr>
          <w:rFonts w:cs="Arial"/>
          <w:szCs w:val="24"/>
          <w:lang w:eastAsia="en-US"/>
        </w:rPr>
        <w:t xml:space="preserve">was </w:t>
      </w:r>
      <w:r w:rsidR="00D23D96" w:rsidRPr="00285CDE">
        <w:rPr>
          <w:rFonts w:cs="Arial"/>
          <w:szCs w:val="24"/>
          <w:lang w:eastAsia="en-US"/>
        </w:rPr>
        <w:t>no evidence placed before this Court t</w:t>
      </w:r>
      <w:r w:rsidR="006A2464">
        <w:rPr>
          <w:rFonts w:cs="Arial"/>
          <w:szCs w:val="24"/>
          <w:lang w:eastAsia="en-US"/>
        </w:rPr>
        <w:t>hat</w:t>
      </w:r>
      <w:r w:rsidR="00D23D96" w:rsidRPr="00285CDE">
        <w:rPr>
          <w:rFonts w:cs="Arial"/>
          <w:szCs w:val="24"/>
          <w:lang w:eastAsia="en-US"/>
        </w:rPr>
        <w:t xml:space="preserve"> confirm</w:t>
      </w:r>
      <w:r w:rsidR="006A2464">
        <w:rPr>
          <w:rFonts w:cs="Arial"/>
          <w:szCs w:val="24"/>
          <w:lang w:eastAsia="en-US"/>
        </w:rPr>
        <w:t>s</w:t>
      </w:r>
      <w:r w:rsidR="00D23D96" w:rsidRPr="00285CDE">
        <w:rPr>
          <w:rFonts w:cs="Arial"/>
          <w:szCs w:val="24"/>
          <w:lang w:eastAsia="en-US"/>
        </w:rPr>
        <w:t xml:space="preserve"> that the reporting as per Clause 7 of the GFA has been complied with. </w:t>
      </w:r>
    </w:p>
    <w:p w14:paraId="7ABFF7D4" w14:textId="205C7BD1" w:rsidR="003B58A3"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[156]</w:t>
      </w:r>
      <w:r w:rsidRPr="00285CDE">
        <w:rPr>
          <w:rFonts w:cs="Arial"/>
          <w:szCs w:val="24"/>
        </w:rPr>
        <w:tab/>
      </w:r>
      <w:r w:rsidR="001C431E" w:rsidRPr="00285CDE">
        <w:rPr>
          <w:rFonts w:cs="Arial"/>
          <w:szCs w:val="24"/>
          <w:lang w:eastAsia="en-US"/>
        </w:rPr>
        <w:t xml:space="preserve">The </w:t>
      </w:r>
      <w:r w:rsidR="008C61DC" w:rsidRPr="00285CDE">
        <w:rPr>
          <w:rFonts w:cs="Arial"/>
          <w:szCs w:val="24"/>
          <w:lang w:eastAsia="en-US"/>
        </w:rPr>
        <w:t>Fourth and Fifth</w:t>
      </w:r>
      <w:r w:rsidR="001C431E" w:rsidRPr="00285CDE">
        <w:rPr>
          <w:rFonts w:cs="Arial"/>
          <w:szCs w:val="24"/>
          <w:lang w:eastAsia="en-US"/>
        </w:rPr>
        <w:t xml:space="preserve"> Respondents argued that the SMF </w:t>
      </w:r>
      <w:r w:rsidR="001C431E" w:rsidRPr="006C61DE">
        <w:rPr>
          <w:rFonts w:cs="Arial"/>
          <w:i/>
          <w:iCs w:val="0"/>
          <w:szCs w:val="24"/>
          <w:lang w:eastAsia="en-US"/>
        </w:rPr>
        <w:t>inter alia</w:t>
      </w:r>
      <w:r w:rsidR="001C431E" w:rsidRPr="00285CDE">
        <w:rPr>
          <w:rFonts w:cs="Arial"/>
          <w:szCs w:val="24"/>
          <w:lang w:eastAsia="en-US"/>
        </w:rPr>
        <w:t xml:space="preserve"> provides that</w:t>
      </w:r>
      <w:r w:rsidR="003B58A3" w:rsidRPr="00285CDE">
        <w:rPr>
          <w:rFonts w:cs="Arial"/>
          <w:szCs w:val="24"/>
          <w:lang w:eastAsia="en-US"/>
        </w:rPr>
        <w:t xml:space="preserve"> an</w:t>
      </w:r>
      <w:r w:rsidR="001C431E" w:rsidRPr="00285CDE">
        <w:rPr>
          <w:rFonts w:cs="Arial"/>
          <w:szCs w:val="24"/>
          <w:lang w:eastAsia="en-US"/>
        </w:rPr>
        <w:t xml:space="preserve"> update on the information submitted during the Pre-Notification Phase shall “include” details of</w:t>
      </w:r>
      <w:r w:rsidR="00507B35" w:rsidRPr="00285CDE">
        <w:rPr>
          <w:rFonts w:cs="Arial"/>
          <w:szCs w:val="24"/>
          <w:lang w:eastAsia="en-US"/>
        </w:rPr>
        <w:t xml:space="preserve"> </w:t>
      </w:r>
      <w:r w:rsidR="002434BE" w:rsidRPr="00285CDE">
        <w:rPr>
          <w:rFonts w:cs="Arial"/>
          <w:szCs w:val="24"/>
          <w:lang w:eastAsia="en-US"/>
        </w:rPr>
        <w:t>a certified resolution by the Board amongst others</w:t>
      </w:r>
      <w:r w:rsidR="003B58A3" w:rsidRPr="00285CDE">
        <w:rPr>
          <w:rFonts w:cs="Arial"/>
          <w:szCs w:val="24"/>
          <w:lang w:eastAsia="en-US"/>
        </w:rPr>
        <w:t>. Therefore, they argue that the word “include” is not exhaustive. To bolster their argument, they further contended that the SMF provides that:</w:t>
      </w:r>
    </w:p>
    <w:p w14:paraId="58CE89F9" w14:textId="77777777" w:rsidR="003B58A3" w:rsidRPr="00285CDE" w:rsidRDefault="003B58A3" w:rsidP="003B58A3">
      <w:pPr>
        <w:autoSpaceDE w:val="0"/>
        <w:autoSpaceDN w:val="0"/>
        <w:adjustRightInd w:val="0"/>
        <w:jc w:val="left"/>
        <w:rPr>
          <w:bCs/>
        </w:rPr>
      </w:pPr>
    </w:p>
    <w:p w14:paraId="689026A9" w14:textId="75AF14AE" w:rsidR="003B58A3" w:rsidRPr="00974F4D" w:rsidRDefault="00855C2B" w:rsidP="00974F4D">
      <w:pPr>
        <w:autoSpaceDE w:val="0"/>
        <w:autoSpaceDN w:val="0"/>
        <w:adjustRightInd w:val="0"/>
        <w:spacing w:before="360" w:line="360" w:lineRule="auto"/>
        <w:ind w:left="851" w:right="851"/>
        <w:rPr>
          <w:rFonts w:cs="Arial"/>
          <w:szCs w:val="24"/>
          <w:lang w:eastAsia="en-US"/>
        </w:rPr>
      </w:pPr>
      <w:r w:rsidRPr="00974F4D">
        <w:rPr>
          <w:rFonts w:cs="Arial"/>
          <w:bCs/>
          <w:szCs w:val="24"/>
        </w:rPr>
        <w:t>‘</w:t>
      </w:r>
      <w:r w:rsidR="00CF4106" w:rsidRPr="00974F4D">
        <w:rPr>
          <w:rFonts w:cs="Arial"/>
          <w:bCs/>
          <w:szCs w:val="24"/>
        </w:rPr>
        <w:t>…</w:t>
      </w:r>
      <w:r w:rsidR="003B58A3" w:rsidRPr="00974F4D">
        <w:rPr>
          <w:rFonts w:cs="Arial"/>
          <w:szCs w:val="24"/>
          <w:lang w:eastAsia="en-US"/>
        </w:rPr>
        <w:t xml:space="preserve"> Should the information be incomplete or insufficient for a comprehensive assessment of the proposed transaction, then the 30 business day period will not be applicable until such information is submitted to the DPE.</w:t>
      </w:r>
      <w:r w:rsidRPr="00974F4D">
        <w:rPr>
          <w:rFonts w:cs="Arial"/>
          <w:szCs w:val="24"/>
          <w:lang w:eastAsia="en-US"/>
        </w:rPr>
        <w:t>’</w:t>
      </w:r>
    </w:p>
    <w:p w14:paraId="7C55C737" w14:textId="311F7F1E" w:rsidR="003B58A3"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[157]</w:t>
      </w:r>
      <w:r w:rsidRPr="00285CDE">
        <w:rPr>
          <w:rFonts w:cs="Arial"/>
          <w:szCs w:val="24"/>
        </w:rPr>
        <w:tab/>
      </w:r>
      <w:r w:rsidR="00855C2B" w:rsidRPr="00285CDE">
        <w:rPr>
          <w:bCs/>
        </w:rPr>
        <w:t xml:space="preserve">In light of the above, </w:t>
      </w:r>
      <w:r w:rsidR="00855C2B" w:rsidRPr="00285CDE">
        <w:rPr>
          <w:rFonts w:cs="Arial"/>
          <w:szCs w:val="24"/>
          <w:lang w:eastAsia="en-US"/>
        </w:rPr>
        <w:t xml:space="preserve">the </w:t>
      </w:r>
      <w:r w:rsidR="008C61DC" w:rsidRPr="00285CDE">
        <w:rPr>
          <w:rFonts w:cs="Arial"/>
          <w:szCs w:val="24"/>
          <w:lang w:eastAsia="en-US"/>
        </w:rPr>
        <w:t xml:space="preserve">Fourth and Fifth </w:t>
      </w:r>
      <w:r w:rsidR="00855C2B" w:rsidRPr="00285CDE">
        <w:rPr>
          <w:rFonts w:cs="Arial"/>
          <w:szCs w:val="24"/>
          <w:lang w:eastAsia="en-US"/>
        </w:rPr>
        <w:t xml:space="preserve">Respondents argued that the information submitted in </w:t>
      </w:r>
      <w:r w:rsidR="00327DCF" w:rsidRPr="00285CDE">
        <w:rPr>
          <w:rFonts w:cs="Arial"/>
          <w:szCs w:val="24"/>
          <w:lang w:eastAsia="en-US"/>
        </w:rPr>
        <w:t xml:space="preserve">the </w:t>
      </w:r>
      <w:r w:rsidR="00855C2B" w:rsidRPr="00285CDE">
        <w:rPr>
          <w:rFonts w:cs="Arial"/>
          <w:szCs w:val="24"/>
          <w:lang w:eastAsia="en-US"/>
        </w:rPr>
        <w:t xml:space="preserve">section 54(2) application may not be insufficient and that the </w:t>
      </w:r>
      <w:r w:rsidR="002434BE" w:rsidRPr="00285CDE">
        <w:rPr>
          <w:rFonts w:cs="Arial"/>
          <w:szCs w:val="24"/>
          <w:lang w:eastAsia="en-US"/>
        </w:rPr>
        <w:t xml:space="preserve">PE Minister is entitled to seek additional information that will enable him to </w:t>
      </w:r>
      <w:r w:rsidR="00AC1ECB">
        <w:rPr>
          <w:rFonts w:cs="Arial"/>
          <w:szCs w:val="24"/>
          <w:lang w:eastAsia="en-US"/>
        </w:rPr>
        <w:t>take a decision</w:t>
      </w:r>
      <w:r w:rsidR="002434BE" w:rsidRPr="00285CDE">
        <w:rPr>
          <w:rFonts w:cs="Arial"/>
          <w:szCs w:val="24"/>
          <w:lang w:eastAsia="en-US"/>
        </w:rPr>
        <w:t xml:space="preserve">. </w:t>
      </w:r>
    </w:p>
    <w:p w14:paraId="71FC5937" w14:textId="1CF2FEA3" w:rsidR="003B58A3"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lastRenderedPageBreak/>
        <w:t>[158]</w:t>
      </w:r>
      <w:r w:rsidRPr="00285CDE">
        <w:rPr>
          <w:rFonts w:cs="Arial"/>
          <w:szCs w:val="24"/>
        </w:rPr>
        <w:tab/>
      </w:r>
      <w:r w:rsidR="00F004F2" w:rsidRPr="00285CDE">
        <w:rPr>
          <w:rFonts w:cs="Arial"/>
          <w:szCs w:val="24"/>
          <w:lang w:eastAsia="en-US"/>
        </w:rPr>
        <w:t xml:space="preserve">The </w:t>
      </w:r>
      <w:r w:rsidR="008C61DC" w:rsidRPr="00285CDE">
        <w:rPr>
          <w:rFonts w:cs="Arial"/>
          <w:szCs w:val="24"/>
          <w:lang w:eastAsia="en-US"/>
        </w:rPr>
        <w:t>Fourth and Fifth</w:t>
      </w:r>
      <w:r w:rsidR="00F004F2" w:rsidRPr="00285CDE">
        <w:rPr>
          <w:rFonts w:cs="Arial"/>
          <w:szCs w:val="24"/>
          <w:lang w:eastAsia="en-US"/>
        </w:rPr>
        <w:t xml:space="preserve"> Respondents </w:t>
      </w:r>
      <w:r w:rsidR="004F3503" w:rsidRPr="00285CDE">
        <w:rPr>
          <w:rFonts w:cs="Arial"/>
          <w:szCs w:val="24"/>
          <w:lang w:eastAsia="en-US"/>
        </w:rPr>
        <w:t>argue that the applicants have not made out a case for declaratory relief as set forth in section 21(1)(c) of the Superior Courts Act</w:t>
      </w:r>
      <w:r w:rsidR="00327DCF" w:rsidRPr="00285CDE">
        <w:rPr>
          <w:rFonts w:cs="Arial"/>
          <w:szCs w:val="24"/>
          <w:lang w:eastAsia="en-US"/>
        </w:rPr>
        <w:t xml:space="preserve"> </w:t>
      </w:r>
      <w:r w:rsidR="00CF4106">
        <w:rPr>
          <w:rFonts w:cs="Arial"/>
          <w:szCs w:val="24"/>
          <w:lang w:eastAsia="en-US"/>
        </w:rPr>
        <w:t xml:space="preserve">10 of 2013 </w:t>
      </w:r>
      <w:r w:rsidR="004F3503" w:rsidRPr="00285CDE">
        <w:rPr>
          <w:rFonts w:cs="Arial"/>
          <w:szCs w:val="24"/>
          <w:lang w:eastAsia="en-US"/>
        </w:rPr>
        <w:t xml:space="preserve">because they have not </w:t>
      </w:r>
      <w:r w:rsidR="00327DCF" w:rsidRPr="00285CDE">
        <w:rPr>
          <w:rFonts w:cs="Arial"/>
          <w:szCs w:val="24"/>
          <w:lang w:eastAsia="en-US"/>
        </w:rPr>
        <w:t xml:space="preserve">satisfied the two requirements </w:t>
      </w:r>
      <w:r w:rsidR="004F3503" w:rsidRPr="00285CDE">
        <w:rPr>
          <w:rFonts w:cs="Arial"/>
          <w:szCs w:val="24"/>
          <w:lang w:eastAsia="en-US"/>
        </w:rPr>
        <w:t xml:space="preserve">for a </w:t>
      </w:r>
      <w:r w:rsidR="00327DCF" w:rsidRPr="00285CDE">
        <w:rPr>
          <w:rFonts w:cs="Arial"/>
          <w:szCs w:val="24"/>
          <w:lang w:eastAsia="en-US"/>
        </w:rPr>
        <w:t>declaratory</w:t>
      </w:r>
      <w:r w:rsidR="004F3503" w:rsidRPr="00285CDE">
        <w:rPr>
          <w:rFonts w:cs="Arial"/>
          <w:szCs w:val="24"/>
          <w:lang w:eastAsia="en-US"/>
        </w:rPr>
        <w:t xml:space="preserve"> order </w:t>
      </w:r>
      <w:r w:rsidR="00327DCF" w:rsidRPr="00285CDE">
        <w:rPr>
          <w:rFonts w:cs="Arial"/>
          <w:szCs w:val="24"/>
          <w:lang w:eastAsia="en-US"/>
        </w:rPr>
        <w:t xml:space="preserve">as set out in </w:t>
      </w:r>
      <w:r w:rsidR="00327DCF" w:rsidRPr="00285CDE">
        <w:rPr>
          <w:rFonts w:cs="Arial"/>
          <w:i/>
          <w:szCs w:val="24"/>
          <w:lang w:eastAsia="en-US"/>
        </w:rPr>
        <w:t>Cordiant Trading CC v Daimler Chrysler Financial Services (Pty)</w:t>
      </w:r>
      <w:r w:rsidR="00327DCF" w:rsidRPr="00285CDE">
        <w:rPr>
          <w:rFonts w:cs="Arial"/>
          <w:iCs w:val="0"/>
          <w:szCs w:val="24"/>
          <w:lang w:eastAsia="en-US"/>
        </w:rPr>
        <w:t xml:space="preserve"> Ltd</w:t>
      </w:r>
      <w:r w:rsidR="00327DCF" w:rsidRPr="00285CDE">
        <w:rPr>
          <w:rStyle w:val="FootnoteReference"/>
          <w:rFonts w:cs="Arial"/>
          <w:iCs w:val="0"/>
          <w:sz w:val="20"/>
          <w:szCs w:val="20"/>
          <w:lang w:eastAsia="en-US"/>
        </w:rPr>
        <w:footnoteReference w:id="56"/>
      </w:r>
      <w:r w:rsidR="00327DCF" w:rsidRPr="00285CDE">
        <w:rPr>
          <w:rFonts w:cs="Arial"/>
          <w:i/>
          <w:sz w:val="20"/>
          <w:szCs w:val="20"/>
          <w:lang w:eastAsia="en-US"/>
        </w:rPr>
        <w:t xml:space="preserve"> </w:t>
      </w:r>
      <w:r w:rsidR="004F3503" w:rsidRPr="00285CDE">
        <w:rPr>
          <w:rFonts w:cs="Arial"/>
          <w:szCs w:val="24"/>
          <w:lang w:eastAsia="en-US"/>
        </w:rPr>
        <w:t xml:space="preserve">in that they have not established an existing, future or contingent right or obligation and that they have not demonstrated that this is a case where this Court should exercise its discretion. </w:t>
      </w:r>
    </w:p>
    <w:p w14:paraId="45F4A089" w14:textId="66B3DB5A" w:rsidR="007D0527"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[159]</w:t>
      </w:r>
      <w:r w:rsidRPr="00285CDE">
        <w:rPr>
          <w:rFonts w:cs="Arial"/>
          <w:szCs w:val="24"/>
        </w:rPr>
        <w:tab/>
      </w:r>
      <w:r w:rsidR="00327DCF" w:rsidRPr="00285CDE">
        <w:rPr>
          <w:bCs/>
        </w:rPr>
        <w:t xml:space="preserve">Furthermore, </w:t>
      </w:r>
      <w:r w:rsidR="00327DCF" w:rsidRPr="00285CDE">
        <w:rPr>
          <w:rFonts w:cs="Arial"/>
          <w:szCs w:val="24"/>
          <w:lang w:eastAsia="en-US"/>
        </w:rPr>
        <w:t xml:space="preserve">the </w:t>
      </w:r>
      <w:r w:rsidR="008C61DC" w:rsidRPr="00285CDE">
        <w:rPr>
          <w:rFonts w:cs="Arial"/>
          <w:szCs w:val="24"/>
          <w:lang w:eastAsia="en-US"/>
        </w:rPr>
        <w:t xml:space="preserve">Fourth and Fifth </w:t>
      </w:r>
      <w:r w:rsidR="00327DCF" w:rsidRPr="00285CDE">
        <w:rPr>
          <w:rFonts w:cs="Arial"/>
          <w:szCs w:val="24"/>
          <w:lang w:eastAsia="en-US"/>
        </w:rPr>
        <w:t xml:space="preserve">Respondents contended that the </w:t>
      </w:r>
      <w:r w:rsidR="00974F4D">
        <w:rPr>
          <w:rFonts w:cs="Arial"/>
          <w:szCs w:val="24"/>
          <w:lang w:eastAsia="en-US"/>
        </w:rPr>
        <w:t>A</w:t>
      </w:r>
      <w:r w:rsidR="00327DCF" w:rsidRPr="00285CDE">
        <w:rPr>
          <w:rFonts w:cs="Arial"/>
          <w:szCs w:val="24"/>
          <w:lang w:eastAsia="en-US"/>
        </w:rPr>
        <w:t>pplicants have failed to show that they possess a right flowing from section 54(2) of the PFMA which gives rise to the relief sought.</w:t>
      </w:r>
      <w:r w:rsidR="00974F4D" w:rsidRPr="00974F4D">
        <w:rPr>
          <w:rStyle w:val="FootnoteReference"/>
          <w:rFonts w:cs="Arial"/>
          <w:iCs w:val="0"/>
          <w:szCs w:val="24"/>
          <w:lang w:eastAsia="en-US"/>
        </w:rPr>
        <w:t xml:space="preserve"> </w:t>
      </w:r>
      <w:r w:rsidR="00974F4D" w:rsidRPr="00285CDE">
        <w:rPr>
          <w:rStyle w:val="FootnoteReference"/>
          <w:rFonts w:cs="Arial"/>
          <w:iCs w:val="0"/>
          <w:szCs w:val="24"/>
          <w:lang w:eastAsia="en-US"/>
        </w:rPr>
        <w:footnoteReference w:id="57"/>
      </w:r>
      <w:r w:rsidR="00327DCF" w:rsidRPr="00285CDE">
        <w:rPr>
          <w:rFonts w:cs="Arial"/>
          <w:szCs w:val="24"/>
          <w:lang w:eastAsia="en-US"/>
        </w:rPr>
        <w:t xml:space="preserve"> </w:t>
      </w:r>
      <w:r w:rsidR="007D0527" w:rsidRPr="00285CDE">
        <w:rPr>
          <w:rFonts w:cs="Arial"/>
          <w:szCs w:val="24"/>
          <w:lang w:eastAsia="en-US"/>
        </w:rPr>
        <w:t>To emphasize their point, they argued as follows:</w:t>
      </w:r>
    </w:p>
    <w:p w14:paraId="79F7DABD" w14:textId="1F3B734C" w:rsidR="00327DCF" w:rsidRPr="00285CDE" w:rsidRDefault="007D0527" w:rsidP="00C932CF">
      <w:pPr>
        <w:pStyle w:val="1"/>
        <w:numPr>
          <w:ilvl w:val="0"/>
          <w:numId w:val="0"/>
        </w:numPr>
        <w:spacing w:line="360" w:lineRule="auto"/>
        <w:ind w:left="567"/>
        <w:rPr>
          <w:rFonts w:cs="Arial"/>
          <w:szCs w:val="24"/>
          <w:lang w:eastAsia="en-US"/>
        </w:rPr>
      </w:pPr>
      <w:r w:rsidRPr="00285CDE">
        <w:rPr>
          <w:rFonts w:cs="Arial"/>
          <w:szCs w:val="24"/>
          <w:lang w:eastAsia="en-US"/>
        </w:rPr>
        <w:t>[1</w:t>
      </w:r>
      <w:r w:rsidR="00772FB9">
        <w:rPr>
          <w:rFonts w:cs="Arial"/>
          <w:szCs w:val="24"/>
          <w:lang w:eastAsia="en-US"/>
        </w:rPr>
        <w:t>59</w:t>
      </w:r>
      <w:r w:rsidRPr="00285CDE">
        <w:rPr>
          <w:rFonts w:cs="Arial"/>
          <w:szCs w:val="24"/>
          <w:lang w:eastAsia="en-US"/>
        </w:rPr>
        <w:t xml:space="preserve">.1] that the applicants in prayer 2 seek relief to the effect that they submitted a valid and complete section 54(2) application to the PE Minister when in fact they are not entitled to submit an application in terms of the said provision. Consequently, they are not entitled to </w:t>
      </w:r>
      <w:r w:rsidR="00EE41D2" w:rsidRPr="00285CDE">
        <w:rPr>
          <w:rFonts w:cs="Arial"/>
          <w:szCs w:val="24"/>
          <w:lang w:eastAsia="en-US"/>
        </w:rPr>
        <w:t xml:space="preserve">a </w:t>
      </w:r>
      <w:r w:rsidRPr="00285CDE">
        <w:rPr>
          <w:rFonts w:cs="Arial"/>
          <w:szCs w:val="24"/>
          <w:lang w:eastAsia="en-US"/>
        </w:rPr>
        <w:t xml:space="preserve">declaratory relief. </w:t>
      </w:r>
    </w:p>
    <w:p w14:paraId="35B4D88C" w14:textId="78CABFB0" w:rsidR="007D0527" w:rsidRPr="00285CDE" w:rsidRDefault="007D0527" w:rsidP="00C932CF">
      <w:pPr>
        <w:pStyle w:val="1"/>
        <w:numPr>
          <w:ilvl w:val="0"/>
          <w:numId w:val="0"/>
        </w:numPr>
        <w:spacing w:line="360" w:lineRule="auto"/>
        <w:ind w:left="567"/>
        <w:rPr>
          <w:rFonts w:cs="Arial"/>
          <w:szCs w:val="24"/>
          <w:lang w:eastAsia="en-US"/>
        </w:rPr>
      </w:pPr>
      <w:r w:rsidRPr="00285CDE">
        <w:rPr>
          <w:rFonts w:cs="Arial"/>
          <w:szCs w:val="24"/>
          <w:lang w:eastAsia="en-US"/>
        </w:rPr>
        <w:t>[1</w:t>
      </w:r>
      <w:r w:rsidR="00772FB9">
        <w:rPr>
          <w:rFonts w:cs="Arial"/>
          <w:szCs w:val="24"/>
          <w:lang w:eastAsia="en-US"/>
        </w:rPr>
        <w:t>59</w:t>
      </w:r>
      <w:r w:rsidRPr="00285CDE">
        <w:rPr>
          <w:rFonts w:cs="Arial"/>
          <w:szCs w:val="24"/>
          <w:lang w:eastAsia="en-US"/>
        </w:rPr>
        <w:t xml:space="preserve">.2] that the applicants in prayer 3 seek </w:t>
      </w:r>
      <w:r w:rsidR="00EE41D2" w:rsidRPr="00285CDE">
        <w:rPr>
          <w:rFonts w:cs="Arial"/>
          <w:szCs w:val="24"/>
          <w:lang w:eastAsia="en-US"/>
        </w:rPr>
        <w:t xml:space="preserve">declaratory </w:t>
      </w:r>
      <w:r w:rsidRPr="00285CDE">
        <w:rPr>
          <w:rFonts w:cs="Arial"/>
          <w:szCs w:val="24"/>
          <w:lang w:eastAsia="en-US"/>
        </w:rPr>
        <w:t>relief to the effect that</w:t>
      </w:r>
      <w:r w:rsidR="00EE41D2" w:rsidRPr="00285CDE">
        <w:rPr>
          <w:rFonts w:cs="Arial"/>
          <w:szCs w:val="24"/>
          <w:lang w:eastAsia="en-US"/>
        </w:rPr>
        <w:t xml:space="preserve"> they may assume in terms of section 54(3) of the PFMA that the PE Minister has approved their section 54(2) application when in fact it is SAA who is entitled to make such an assumption under section 54(3) of the PFMA. Therefore, Mango</w:t>
      </w:r>
      <w:r w:rsidR="008909FD">
        <w:rPr>
          <w:rFonts w:cs="Arial"/>
          <w:szCs w:val="24"/>
          <w:lang w:eastAsia="en-US"/>
        </w:rPr>
        <w:t xml:space="preserve"> Airlines</w:t>
      </w:r>
      <w:r w:rsidR="00EE41D2" w:rsidRPr="00285CDE">
        <w:rPr>
          <w:rFonts w:cs="Arial"/>
          <w:szCs w:val="24"/>
          <w:lang w:eastAsia="en-US"/>
        </w:rPr>
        <w:t xml:space="preserve"> is not entitled to the relief sought. </w:t>
      </w:r>
    </w:p>
    <w:p w14:paraId="34CB4D98" w14:textId="381EA257" w:rsidR="00EE41D2" w:rsidRPr="00285CDE" w:rsidRDefault="00EE41D2" w:rsidP="00C932CF">
      <w:pPr>
        <w:pStyle w:val="1"/>
        <w:numPr>
          <w:ilvl w:val="0"/>
          <w:numId w:val="0"/>
        </w:numPr>
        <w:spacing w:line="360" w:lineRule="auto"/>
        <w:ind w:left="567"/>
        <w:rPr>
          <w:rFonts w:cs="Arial"/>
          <w:szCs w:val="24"/>
          <w:lang w:eastAsia="en-US"/>
        </w:rPr>
      </w:pPr>
      <w:r w:rsidRPr="00285CDE">
        <w:rPr>
          <w:rFonts w:cs="Arial"/>
          <w:szCs w:val="24"/>
          <w:lang w:eastAsia="en-US"/>
        </w:rPr>
        <w:t>[1</w:t>
      </w:r>
      <w:r w:rsidR="00772FB9">
        <w:rPr>
          <w:rFonts w:cs="Arial"/>
          <w:szCs w:val="24"/>
          <w:lang w:eastAsia="en-US"/>
        </w:rPr>
        <w:t>59</w:t>
      </w:r>
      <w:r w:rsidRPr="00285CDE">
        <w:rPr>
          <w:rFonts w:cs="Arial"/>
          <w:szCs w:val="24"/>
          <w:lang w:eastAsia="en-US"/>
        </w:rPr>
        <w:t xml:space="preserve">.3] that the applicants in prayer 4.1 </w:t>
      </w:r>
      <w:r w:rsidR="00402E92" w:rsidRPr="00285CDE">
        <w:rPr>
          <w:rFonts w:cs="Arial"/>
          <w:szCs w:val="24"/>
          <w:lang w:eastAsia="en-US"/>
        </w:rPr>
        <w:t>did</w:t>
      </w:r>
      <w:r w:rsidRPr="00285CDE">
        <w:rPr>
          <w:rFonts w:cs="Arial"/>
          <w:szCs w:val="24"/>
          <w:lang w:eastAsia="en-US"/>
        </w:rPr>
        <w:t xml:space="preserve"> not </w:t>
      </w:r>
      <w:r w:rsidR="00402E92" w:rsidRPr="00285CDE">
        <w:rPr>
          <w:rFonts w:cs="Arial"/>
          <w:szCs w:val="24"/>
          <w:lang w:eastAsia="en-US"/>
        </w:rPr>
        <w:t xml:space="preserve">plead </w:t>
      </w:r>
      <w:r w:rsidRPr="00285CDE">
        <w:rPr>
          <w:rFonts w:cs="Arial"/>
          <w:szCs w:val="24"/>
          <w:lang w:eastAsia="en-US"/>
        </w:rPr>
        <w:t>a constitutional breach</w:t>
      </w:r>
      <w:r w:rsidR="00EE520C" w:rsidRPr="00285CDE">
        <w:rPr>
          <w:rFonts w:cs="Arial"/>
          <w:szCs w:val="24"/>
          <w:lang w:eastAsia="en-US"/>
        </w:rPr>
        <w:t xml:space="preserve"> in their founding affidavit</w:t>
      </w:r>
      <w:r w:rsidR="00EE520C" w:rsidRPr="00285CDE">
        <w:rPr>
          <w:rStyle w:val="FootnoteReference"/>
          <w:rFonts w:cs="Arial"/>
          <w:szCs w:val="24"/>
          <w:lang w:eastAsia="en-US"/>
        </w:rPr>
        <w:footnoteReference w:id="58"/>
      </w:r>
      <w:r w:rsidR="00402E92" w:rsidRPr="00285CDE">
        <w:rPr>
          <w:rFonts w:cs="Arial"/>
          <w:i/>
          <w:iCs w:val="0"/>
          <w:sz w:val="20"/>
          <w:szCs w:val="20"/>
          <w:lang w:eastAsia="en-US"/>
        </w:rPr>
        <w:t xml:space="preserve"> </w:t>
      </w:r>
      <w:r w:rsidR="00402E92" w:rsidRPr="00285CDE">
        <w:rPr>
          <w:rFonts w:cs="Arial"/>
          <w:szCs w:val="24"/>
          <w:lang w:eastAsia="en-US"/>
        </w:rPr>
        <w:t>because</w:t>
      </w:r>
      <w:r w:rsidRPr="00285CDE">
        <w:rPr>
          <w:rFonts w:cs="Arial"/>
          <w:szCs w:val="24"/>
          <w:lang w:eastAsia="en-US"/>
        </w:rPr>
        <w:t xml:space="preserve"> they do not point </w:t>
      </w:r>
      <w:r w:rsidR="00A83230" w:rsidRPr="00285CDE">
        <w:rPr>
          <w:rFonts w:cs="Arial"/>
          <w:szCs w:val="24"/>
          <w:lang w:eastAsia="en-US"/>
        </w:rPr>
        <w:t xml:space="preserve">out that the PE Minister’s conduct is inconsistent with his constitutional and statutory duties. </w:t>
      </w:r>
      <w:r w:rsidR="00EE520C" w:rsidRPr="00285CDE">
        <w:rPr>
          <w:rFonts w:cs="Arial"/>
          <w:szCs w:val="24"/>
          <w:lang w:eastAsia="en-US"/>
        </w:rPr>
        <w:t>As</w:t>
      </w:r>
      <w:r w:rsidR="008909FD">
        <w:rPr>
          <w:rFonts w:cs="Arial"/>
          <w:szCs w:val="24"/>
          <w:lang w:eastAsia="en-US"/>
        </w:rPr>
        <w:t xml:space="preserve"> </w:t>
      </w:r>
      <w:r w:rsidR="00EE520C" w:rsidRPr="00285CDE">
        <w:rPr>
          <w:rFonts w:cs="Arial"/>
          <w:szCs w:val="24"/>
          <w:lang w:eastAsia="en-US"/>
        </w:rPr>
        <w:t xml:space="preserve">a result, they have not made out a case. </w:t>
      </w:r>
    </w:p>
    <w:p w14:paraId="15B3E688" w14:textId="1A7D678F" w:rsidR="00EE520C" w:rsidRPr="00285CDE" w:rsidRDefault="00EE520C" w:rsidP="00C932CF">
      <w:pPr>
        <w:pStyle w:val="1"/>
        <w:numPr>
          <w:ilvl w:val="0"/>
          <w:numId w:val="0"/>
        </w:numPr>
        <w:spacing w:line="360" w:lineRule="auto"/>
        <w:ind w:left="567"/>
        <w:rPr>
          <w:rFonts w:cs="Arial"/>
          <w:szCs w:val="24"/>
          <w:lang w:eastAsia="en-US"/>
        </w:rPr>
      </w:pPr>
      <w:r w:rsidRPr="00285CDE">
        <w:rPr>
          <w:rFonts w:cs="Arial"/>
          <w:szCs w:val="24"/>
          <w:lang w:eastAsia="en-US"/>
        </w:rPr>
        <w:t>[1</w:t>
      </w:r>
      <w:r w:rsidR="00772FB9">
        <w:rPr>
          <w:rFonts w:cs="Arial"/>
          <w:szCs w:val="24"/>
          <w:lang w:eastAsia="en-US"/>
        </w:rPr>
        <w:t>59</w:t>
      </w:r>
      <w:r w:rsidRPr="00285CDE">
        <w:rPr>
          <w:rFonts w:cs="Arial"/>
          <w:szCs w:val="24"/>
          <w:lang w:eastAsia="en-US"/>
        </w:rPr>
        <w:t xml:space="preserve">.4] </w:t>
      </w:r>
      <w:r w:rsidR="006A7A37" w:rsidRPr="00285CDE">
        <w:rPr>
          <w:rFonts w:cs="Arial"/>
          <w:szCs w:val="24"/>
          <w:lang w:eastAsia="en-US"/>
        </w:rPr>
        <w:t xml:space="preserve">that the applicants in prayer 4.3 will eventually </w:t>
      </w:r>
      <w:r w:rsidR="00CF4106">
        <w:rPr>
          <w:rFonts w:cs="Arial"/>
          <w:szCs w:val="24"/>
          <w:lang w:eastAsia="en-US"/>
        </w:rPr>
        <w:t>receive</w:t>
      </w:r>
      <w:r w:rsidR="006A7A37" w:rsidRPr="00285CDE">
        <w:rPr>
          <w:rFonts w:cs="Arial"/>
          <w:szCs w:val="24"/>
          <w:lang w:eastAsia="en-US"/>
        </w:rPr>
        <w:t xml:space="preserve"> a decision </w:t>
      </w:r>
      <w:r w:rsidR="00CF4106">
        <w:rPr>
          <w:rFonts w:cs="Arial"/>
          <w:szCs w:val="24"/>
          <w:lang w:eastAsia="en-US"/>
        </w:rPr>
        <w:t xml:space="preserve">from the PE Minister </w:t>
      </w:r>
      <w:r w:rsidR="006A7A37" w:rsidRPr="00285CDE">
        <w:rPr>
          <w:rFonts w:cs="Arial"/>
          <w:szCs w:val="24"/>
          <w:lang w:eastAsia="en-US"/>
        </w:rPr>
        <w:t xml:space="preserve">but cannot be hurried where the information required to </w:t>
      </w:r>
      <w:r w:rsidR="00AC1ECB">
        <w:rPr>
          <w:rFonts w:cs="Arial"/>
          <w:szCs w:val="24"/>
          <w:lang w:eastAsia="en-US"/>
        </w:rPr>
        <w:t xml:space="preserve">take a </w:t>
      </w:r>
      <w:r w:rsidR="00AC1ECB">
        <w:rPr>
          <w:rFonts w:cs="Arial"/>
          <w:szCs w:val="24"/>
          <w:lang w:eastAsia="en-US"/>
        </w:rPr>
        <w:lastRenderedPageBreak/>
        <w:t>decision</w:t>
      </w:r>
      <w:r w:rsidR="006A7A37" w:rsidRPr="00285CDE">
        <w:rPr>
          <w:rFonts w:cs="Arial"/>
          <w:szCs w:val="24"/>
          <w:lang w:eastAsia="en-US"/>
        </w:rPr>
        <w:t xml:space="preserve"> is not </w:t>
      </w:r>
      <w:r w:rsidR="00DA1EAC">
        <w:rPr>
          <w:rFonts w:cs="Arial"/>
          <w:szCs w:val="24"/>
          <w:lang w:eastAsia="en-US"/>
        </w:rPr>
        <w:t xml:space="preserve">readily </w:t>
      </w:r>
      <w:r w:rsidR="006A7A37" w:rsidRPr="00285CDE">
        <w:rPr>
          <w:rFonts w:cs="Arial"/>
          <w:szCs w:val="24"/>
          <w:lang w:eastAsia="en-US"/>
        </w:rPr>
        <w:t xml:space="preserve">available before them. </w:t>
      </w:r>
    </w:p>
    <w:p w14:paraId="40C3E343" w14:textId="5D0367D9" w:rsidR="003021D6"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[160]</w:t>
      </w:r>
      <w:r w:rsidRPr="00285CDE">
        <w:rPr>
          <w:rFonts w:cs="Arial"/>
          <w:szCs w:val="24"/>
        </w:rPr>
        <w:tab/>
      </w:r>
      <w:r w:rsidR="003021D6" w:rsidRPr="00285CDE">
        <w:rPr>
          <w:bCs/>
        </w:rPr>
        <w:t>Th</w:t>
      </w:r>
      <w:bookmarkStart w:id="14" w:name="_Hlk138253245"/>
      <w:r w:rsidR="00012FB9" w:rsidRPr="00285CDE">
        <w:rPr>
          <w:bCs/>
        </w:rPr>
        <w:t xml:space="preserve">e </w:t>
      </w:r>
      <w:r w:rsidR="008C61DC" w:rsidRPr="00285CDE">
        <w:rPr>
          <w:rFonts w:cs="Arial"/>
          <w:szCs w:val="24"/>
          <w:lang w:eastAsia="en-US"/>
        </w:rPr>
        <w:t>Fourth and Fifth</w:t>
      </w:r>
      <w:r w:rsidR="003021D6" w:rsidRPr="00285CDE">
        <w:rPr>
          <w:rFonts w:cs="Arial"/>
          <w:szCs w:val="24"/>
          <w:lang w:eastAsia="en-US"/>
        </w:rPr>
        <w:t xml:space="preserve"> Respondents </w:t>
      </w:r>
      <w:bookmarkEnd w:id="14"/>
      <w:r w:rsidR="003021D6" w:rsidRPr="00285CDE">
        <w:rPr>
          <w:rFonts w:cs="Arial"/>
          <w:szCs w:val="24"/>
          <w:lang w:eastAsia="en-US"/>
        </w:rPr>
        <w:t xml:space="preserve">contended that a court cannot grant an order that sanctions an unlawful act or requires a party to act unlawfully such as granting the applicants relief that they are not entitled to. </w:t>
      </w:r>
    </w:p>
    <w:p w14:paraId="2F8D16C2" w14:textId="52D553F9" w:rsidR="003021D6"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[161]</w:t>
      </w:r>
      <w:r w:rsidRPr="00285CDE">
        <w:rPr>
          <w:rFonts w:cs="Arial"/>
          <w:szCs w:val="24"/>
        </w:rPr>
        <w:tab/>
      </w:r>
      <w:r w:rsidR="003021D6" w:rsidRPr="00285CDE">
        <w:rPr>
          <w:rFonts w:cs="Arial"/>
          <w:szCs w:val="24"/>
          <w:lang w:eastAsia="en-US"/>
        </w:rPr>
        <w:t xml:space="preserve">The </w:t>
      </w:r>
      <w:r w:rsidR="008C61DC" w:rsidRPr="00285CDE">
        <w:rPr>
          <w:rFonts w:cs="Arial"/>
          <w:szCs w:val="24"/>
          <w:lang w:eastAsia="en-US"/>
        </w:rPr>
        <w:t xml:space="preserve">Fourth and Fifth </w:t>
      </w:r>
      <w:r w:rsidR="003021D6" w:rsidRPr="00285CDE">
        <w:rPr>
          <w:rFonts w:cs="Arial"/>
          <w:szCs w:val="24"/>
          <w:lang w:eastAsia="en-US"/>
        </w:rPr>
        <w:t xml:space="preserve">Respondents argued that the “relief sought by the applicants is not only a breach of the PFMA but </w:t>
      </w:r>
      <w:r w:rsidR="00012FB9" w:rsidRPr="00285CDE">
        <w:rPr>
          <w:rFonts w:cs="Arial"/>
          <w:szCs w:val="24"/>
          <w:lang w:eastAsia="en-US"/>
        </w:rPr>
        <w:t>perhaps</w:t>
      </w:r>
      <w:r w:rsidR="003021D6" w:rsidRPr="00285CDE">
        <w:rPr>
          <w:rFonts w:cs="Arial"/>
          <w:szCs w:val="24"/>
          <w:lang w:eastAsia="en-US"/>
        </w:rPr>
        <w:t xml:space="preserve"> more importantly a breach of the Constitution”.</w:t>
      </w:r>
    </w:p>
    <w:p w14:paraId="6E58BE9E" w14:textId="235A1B48" w:rsidR="003021D6"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[162]</w:t>
      </w:r>
      <w:r w:rsidRPr="00285CDE">
        <w:rPr>
          <w:rFonts w:cs="Arial"/>
          <w:szCs w:val="24"/>
        </w:rPr>
        <w:tab/>
      </w:r>
      <w:r w:rsidR="00015D82" w:rsidRPr="00285CDE">
        <w:rPr>
          <w:rFonts w:cs="Arial"/>
          <w:szCs w:val="24"/>
          <w:lang w:eastAsia="en-US"/>
        </w:rPr>
        <w:t>Relying on precedent</w:t>
      </w:r>
      <w:r w:rsidR="008909FD">
        <w:rPr>
          <w:rFonts w:cs="Arial"/>
          <w:szCs w:val="24"/>
          <w:lang w:eastAsia="en-US"/>
        </w:rPr>
        <w:t>,</w:t>
      </w:r>
      <w:r w:rsidR="00015D82" w:rsidRPr="00285CDE">
        <w:rPr>
          <w:rStyle w:val="FootnoteReference"/>
          <w:rFonts w:cs="Arial"/>
          <w:szCs w:val="24"/>
          <w:lang w:eastAsia="en-US"/>
        </w:rPr>
        <w:footnoteReference w:id="59"/>
      </w:r>
      <w:r w:rsidR="003021D6" w:rsidRPr="00285CDE">
        <w:rPr>
          <w:rFonts w:cs="Arial"/>
          <w:szCs w:val="24"/>
          <w:lang w:eastAsia="en-US"/>
        </w:rPr>
        <w:t xml:space="preserve"> the </w:t>
      </w:r>
      <w:r w:rsidR="008C61DC" w:rsidRPr="00285CDE">
        <w:rPr>
          <w:rFonts w:cs="Arial"/>
          <w:szCs w:val="24"/>
          <w:lang w:eastAsia="en-US"/>
        </w:rPr>
        <w:t>Fourth and Fifth</w:t>
      </w:r>
      <w:r w:rsidR="003021D6" w:rsidRPr="00285CDE">
        <w:rPr>
          <w:rFonts w:cs="Arial"/>
          <w:szCs w:val="24"/>
          <w:lang w:eastAsia="en-US"/>
        </w:rPr>
        <w:t xml:space="preserve"> Respondents</w:t>
      </w:r>
      <w:r w:rsidR="00015D82" w:rsidRPr="00285CDE">
        <w:rPr>
          <w:rFonts w:cs="Arial"/>
          <w:szCs w:val="24"/>
          <w:lang w:eastAsia="en-US"/>
        </w:rPr>
        <w:t xml:space="preserve"> argued that</w:t>
      </w:r>
      <w:r w:rsidR="003021D6" w:rsidRPr="00285CDE">
        <w:rPr>
          <w:rFonts w:cs="Arial"/>
          <w:szCs w:val="24"/>
          <w:lang w:eastAsia="en-US"/>
        </w:rPr>
        <w:t xml:space="preserve"> the relief sought by the </w:t>
      </w:r>
      <w:r w:rsidR="008909FD">
        <w:rPr>
          <w:rFonts w:cs="Arial"/>
          <w:szCs w:val="24"/>
          <w:lang w:eastAsia="en-US"/>
        </w:rPr>
        <w:t>A</w:t>
      </w:r>
      <w:r w:rsidR="003021D6" w:rsidRPr="00285CDE">
        <w:rPr>
          <w:rFonts w:cs="Arial"/>
          <w:szCs w:val="24"/>
          <w:lang w:eastAsia="en-US"/>
        </w:rPr>
        <w:t xml:space="preserve">pplicants is contrary to the separation of powers as it seeks to </w:t>
      </w:r>
      <w:r w:rsidR="00012FB9" w:rsidRPr="00285CDE">
        <w:rPr>
          <w:rFonts w:cs="Arial"/>
          <w:szCs w:val="24"/>
          <w:lang w:eastAsia="en-US"/>
        </w:rPr>
        <w:t>invade</w:t>
      </w:r>
      <w:r w:rsidR="003021D6" w:rsidRPr="00285CDE">
        <w:rPr>
          <w:rFonts w:cs="Arial"/>
          <w:szCs w:val="24"/>
          <w:lang w:eastAsia="en-US"/>
        </w:rPr>
        <w:t xml:space="preserve"> into the executive domain</w:t>
      </w:r>
      <w:r w:rsidR="00012FB9" w:rsidRPr="00285CDE">
        <w:rPr>
          <w:rFonts w:cs="Arial"/>
          <w:szCs w:val="24"/>
          <w:lang w:eastAsia="en-US"/>
        </w:rPr>
        <w:t xml:space="preserve"> </w:t>
      </w:r>
      <w:r w:rsidR="008909FD">
        <w:rPr>
          <w:rFonts w:cs="Arial"/>
          <w:szCs w:val="24"/>
          <w:lang w:eastAsia="en-US"/>
        </w:rPr>
        <w:t xml:space="preserve">by seeking to substitute </w:t>
      </w:r>
      <w:r w:rsidR="00012FB9" w:rsidRPr="00285CDE">
        <w:rPr>
          <w:rFonts w:cs="Arial"/>
          <w:szCs w:val="24"/>
          <w:lang w:eastAsia="en-US"/>
        </w:rPr>
        <w:t xml:space="preserve">the </w:t>
      </w:r>
      <w:r w:rsidR="008909FD">
        <w:rPr>
          <w:rFonts w:cs="Arial"/>
          <w:szCs w:val="24"/>
          <w:lang w:eastAsia="en-US"/>
        </w:rPr>
        <w:t xml:space="preserve">exercise of the </w:t>
      </w:r>
      <w:r w:rsidR="00012FB9" w:rsidRPr="00285CDE">
        <w:rPr>
          <w:rFonts w:cs="Arial"/>
          <w:szCs w:val="24"/>
          <w:lang w:eastAsia="en-US"/>
        </w:rPr>
        <w:t>duty of “</w:t>
      </w:r>
      <w:r w:rsidR="00012FB9" w:rsidRPr="00DA1EAC">
        <w:rPr>
          <w:rFonts w:cs="Arial"/>
          <w:i/>
          <w:iCs w:val="0"/>
          <w:szCs w:val="24"/>
          <w:lang w:eastAsia="en-US"/>
        </w:rPr>
        <w:t>the PE Minister and Minister of Finance from asking for more information with an approval from the PE Minister</w:t>
      </w:r>
      <w:r w:rsidR="00012FB9" w:rsidRPr="00285CDE">
        <w:rPr>
          <w:rFonts w:cs="Arial"/>
          <w:szCs w:val="24"/>
          <w:lang w:eastAsia="en-US"/>
        </w:rPr>
        <w:t>”.</w:t>
      </w:r>
    </w:p>
    <w:p w14:paraId="662F117E" w14:textId="65C7216C" w:rsidR="00012FB9" w:rsidRPr="00285CDE" w:rsidRDefault="00890EE4" w:rsidP="00890EE4">
      <w:pPr>
        <w:pStyle w:val="1"/>
        <w:numPr>
          <w:ilvl w:val="0"/>
          <w:numId w:val="0"/>
        </w:numPr>
        <w:tabs>
          <w:tab w:val="left" w:pos="567"/>
        </w:tabs>
        <w:spacing w:line="360" w:lineRule="auto"/>
        <w:ind w:left="567" w:hanging="567"/>
        <w:rPr>
          <w:bCs/>
        </w:rPr>
      </w:pPr>
      <w:r w:rsidRPr="00285CDE">
        <w:rPr>
          <w:rFonts w:cs="Arial"/>
          <w:szCs w:val="24"/>
        </w:rPr>
        <w:t>[163]</w:t>
      </w:r>
      <w:r w:rsidRPr="00285CDE">
        <w:rPr>
          <w:rFonts w:cs="Arial"/>
          <w:szCs w:val="24"/>
        </w:rPr>
        <w:tab/>
      </w:r>
      <w:r w:rsidR="00012FB9" w:rsidRPr="00285CDE">
        <w:rPr>
          <w:rFonts w:cs="Arial"/>
          <w:szCs w:val="24"/>
          <w:lang w:eastAsia="en-US"/>
        </w:rPr>
        <w:t xml:space="preserve">Ultimately, the </w:t>
      </w:r>
      <w:r w:rsidR="008C61DC" w:rsidRPr="00285CDE">
        <w:rPr>
          <w:rFonts w:cs="Arial"/>
          <w:szCs w:val="24"/>
          <w:lang w:eastAsia="en-US"/>
        </w:rPr>
        <w:t xml:space="preserve">Fourth and Fifth </w:t>
      </w:r>
      <w:r w:rsidR="00012FB9" w:rsidRPr="00285CDE">
        <w:rPr>
          <w:rFonts w:cs="Arial"/>
          <w:szCs w:val="24"/>
          <w:lang w:eastAsia="en-US"/>
        </w:rPr>
        <w:t xml:space="preserve">Respondents argued that the </w:t>
      </w:r>
      <w:r w:rsidR="008909FD">
        <w:rPr>
          <w:rFonts w:cs="Arial"/>
          <w:szCs w:val="24"/>
          <w:lang w:eastAsia="en-US"/>
        </w:rPr>
        <w:t>A</w:t>
      </w:r>
      <w:r w:rsidR="00012FB9" w:rsidRPr="00285CDE">
        <w:rPr>
          <w:rFonts w:cs="Arial"/>
          <w:szCs w:val="24"/>
          <w:lang w:eastAsia="en-US"/>
        </w:rPr>
        <w:t xml:space="preserve">pplicants lack </w:t>
      </w:r>
      <w:r w:rsidR="00012FB9" w:rsidRPr="006C61DE">
        <w:rPr>
          <w:rFonts w:cs="Arial"/>
          <w:i/>
          <w:iCs w:val="0"/>
          <w:szCs w:val="24"/>
          <w:lang w:eastAsia="en-US"/>
        </w:rPr>
        <w:t>locus standi</w:t>
      </w:r>
      <w:r w:rsidR="00012FB9" w:rsidRPr="00285CDE">
        <w:rPr>
          <w:rFonts w:cs="Arial"/>
          <w:szCs w:val="24"/>
          <w:lang w:eastAsia="en-US"/>
        </w:rPr>
        <w:t xml:space="preserve"> because they do not rely on any constitutional</w:t>
      </w:r>
      <w:r w:rsidR="008C61DC" w:rsidRPr="00285CDE">
        <w:rPr>
          <w:rFonts w:cs="Arial"/>
          <w:szCs w:val="24"/>
          <w:lang w:eastAsia="en-US"/>
        </w:rPr>
        <w:t xml:space="preserve"> breach</w:t>
      </w:r>
      <w:r w:rsidR="00012FB9" w:rsidRPr="00285CDE">
        <w:rPr>
          <w:rFonts w:cs="Arial"/>
          <w:szCs w:val="24"/>
          <w:lang w:eastAsia="en-US"/>
        </w:rPr>
        <w:t xml:space="preserve"> </w:t>
      </w:r>
      <w:r w:rsidR="008C61DC" w:rsidRPr="00285CDE">
        <w:rPr>
          <w:rFonts w:cs="Arial"/>
          <w:szCs w:val="24"/>
          <w:lang w:eastAsia="en-US"/>
        </w:rPr>
        <w:t xml:space="preserve">in their heads of argument but rely on Chapter 6 of the Companies Act which deals with business rescue </w:t>
      </w:r>
      <w:r w:rsidR="001E45FB">
        <w:rPr>
          <w:rFonts w:cs="Arial"/>
          <w:szCs w:val="24"/>
          <w:lang w:eastAsia="en-US"/>
        </w:rPr>
        <w:t xml:space="preserve">proceedings </w:t>
      </w:r>
      <w:r w:rsidR="008C61DC" w:rsidRPr="00285CDE">
        <w:rPr>
          <w:rFonts w:cs="Arial"/>
          <w:szCs w:val="24"/>
          <w:lang w:eastAsia="en-US"/>
        </w:rPr>
        <w:t xml:space="preserve">amongst other things. </w:t>
      </w:r>
    </w:p>
    <w:p w14:paraId="212F3063" w14:textId="0B198F70" w:rsidR="001D4C44" w:rsidRPr="00285CDE" w:rsidRDefault="00D366EF" w:rsidP="00C932CF">
      <w:pPr>
        <w:pStyle w:val="1"/>
        <w:numPr>
          <w:ilvl w:val="0"/>
          <w:numId w:val="0"/>
        </w:numPr>
        <w:spacing w:line="360" w:lineRule="auto"/>
        <w:rPr>
          <w:bCs/>
        </w:rPr>
      </w:pPr>
      <w:r w:rsidRPr="00285CDE">
        <w:rPr>
          <w:b/>
          <w:bCs/>
        </w:rPr>
        <w:t xml:space="preserve">EVALUATION OF </w:t>
      </w:r>
      <w:r w:rsidR="0037314D" w:rsidRPr="00285CDE">
        <w:rPr>
          <w:b/>
          <w:bCs/>
        </w:rPr>
        <w:t>SUBMISSIONS</w:t>
      </w:r>
    </w:p>
    <w:p w14:paraId="2659444F" w14:textId="65401088" w:rsidR="00455678" w:rsidRPr="00285CDE" w:rsidRDefault="00890EE4" w:rsidP="00890EE4">
      <w:pPr>
        <w:pStyle w:val="1"/>
        <w:numPr>
          <w:ilvl w:val="0"/>
          <w:numId w:val="0"/>
        </w:numPr>
        <w:tabs>
          <w:tab w:val="left" w:pos="567"/>
        </w:tabs>
        <w:spacing w:line="360" w:lineRule="auto"/>
        <w:ind w:left="567" w:hanging="567"/>
      </w:pPr>
      <w:r w:rsidRPr="00285CDE">
        <w:rPr>
          <w:rFonts w:cs="Arial"/>
          <w:szCs w:val="24"/>
        </w:rPr>
        <w:t>[164]</w:t>
      </w:r>
      <w:r w:rsidRPr="00285CDE">
        <w:rPr>
          <w:rFonts w:cs="Arial"/>
          <w:szCs w:val="24"/>
        </w:rPr>
        <w:tab/>
      </w:r>
      <w:r w:rsidR="00963144">
        <w:t>Concerning the Applicants</w:t>
      </w:r>
      <w:r w:rsidR="00AB5E7A">
        <w:t>’</w:t>
      </w:r>
      <w:r w:rsidR="00963144">
        <w:t xml:space="preserve"> </w:t>
      </w:r>
      <w:r w:rsidR="00963144" w:rsidRPr="00963144">
        <w:rPr>
          <w:i/>
          <w:iCs w:val="0"/>
        </w:rPr>
        <w:t>locus standi</w:t>
      </w:r>
      <w:r w:rsidR="00963144">
        <w:rPr>
          <w:i/>
          <w:iCs w:val="0"/>
        </w:rPr>
        <w:t xml:space="preserve">, </w:t>
      </w:r>
      <w:r w:rsidR="00963144" w:rsidRPr="00963144">
        <w:t xml:space="preserve">the </w:t>
      </w:r>
      <w:r w:rsidR="00963144" w:rsidRPr="00285CDE">
        <w:t xml:space="preserve">First and Second Respondents argued that the </w:t>
      </w:r>
      <w:r w:rsidR="00AB5E7A">
        <w:t>A</w:t>
      </w:r>
      <w:r w:rsidR="00963144" w:rsidRPr="00285CDE">
        <w:t xml:space="preserve">pplicants lack </w:t>
      </w:r>
      <w:r w:rsidR="00963144" w:rsidRPr="00285CDE">
        <w:rPr>
          <w:i/>
        </w:rPr>
        <w:t>locus standi</w:t>
      </w:r>
      <w:r w:rsidR="00963144" w:rsidRPr="00285CDE">
        <w:t xml:space="preserve"> to institute these proceedings because section 54(2) of the PFMA when properly construed and interpreted, excludes the </w:t>
      </w:r>
      <w:r w:rsidR="00AB5E7A">
        <w:t>A</w:t>
      </w:r>
      <w:r w:rsidR="00963144" w:rsidRPr="00285CDE">
        <w:t xml:space="preserve">pplicants. </w:t>
      </w:r>
      <w:r w:rsidR="00963144">
        <w:t xml:space="preserve">Further, </w:t>
      </w:r>
      <w:r w:rsidR="00455678">
        <w:t xml:space="preserve">they contended that </w:t>
      </w:r>
      <w:r w:rsidR="00963144" w:rsidRPr="00285CDE">
        <w:rPr>
          <w:rFonts w:cs="Arial"/>
          <w:szCs w:val="24"/>
          <w:lang w:eastAsia="en-US"/>
        </w:rPr>
        <w:t xml:space="preserve">SAA </w:t>
      </w:r>
      <w:r w:rsidR="00455678">
        <w:rPr>
          <w:rFonts w:cs="Arial"/>
          <w:szCs w:val="24"/>
          <w:lang w:eastAsia="en-US"/>
        </w:rPr>
        <w:t>is</w:t>
      </w:r>
      <w:r w:rsidR="00963144" w:rsidRPr="00285CDE">
        <w:rPr>
          <w:rFonts w:cs="Arial"/>
          <w:szCs w:val="24"/>
          <w:lang w:eastAsia="en-US"/>
        </w:rPr>
        <w:t xml:space="preserve"> the accounting authority </w:t>
      </w:r>
      <w:r w:rsidR="00455678">
        <w:rPr>
          <w:rFonts w:cs="Arial"/>
          <w:szCs w:val="24"/>
          <w:lang w:eastAsia="en-US"/>
        </w:rPr>
        <w:t xml:space="preserve">for the purposes of the PFMA. </w:t>
      </w:r>
      <w:r w:rsidR="00963144">
        <w:t xml:space="preserve">I do not think that this interpretation is entirely correct. The basis for this is that </w:t>
      </w:r>
      <w:r w:rsidR="00455678" w:rsidRPr="00455678">
        <w:rPr>
          <w:shd w:val="clear" w:color="auto" w:fill="FFFFFF"/>
        </w:rPr>
        <w:t xml:space="preserve">the BRP as someone who is tasked with the full management of the company to oversee its day-to-day affairs during the business rescue process, has the necessary standing to institute these proceedings. As was correctly found in </w:t>
      </w:r>
      <w:r w:rsidR="00455678" w:rsidRPr="00455678">
        <w:rPr>
          <w:i/>
        </w:rPr>
        <w:t xml:space="preserve">Ragavan and Others v Optimum Coal </w:t>
      </w:r>
      <w:r w:rsidR="00455678" w:rsidRPr="00455678">
        <w:rPr>
          <w:i/>
        </w:rPr>
        <w:lastRenderedPageBreak/>
        <w:t>Terminal (Pty) Ltd and Others</w:t>
      </w:r>
      <w:r w:rsidR="00455678" w:rsidRPr="00285CDE">
        <w:rPr>
          <w:rStyle w:val="FootnoteReference"/>
          <w:rFonts w:cs="Arial"/>
          <w:color w:val="242121"/>
          <w:szCs w:val="24"/>
          <w:shd w:val="clear" w:color="auto" w:fill="FFFFFF"/>
        </w:rPr>
        <w:footnoteReference w:id="60"/>
      </w:r>
      <w:r w:rsidR="00455678" w:rsidRPr="00285CDE">
        <w:t xml:space="preserve"> that:</w:t>
      </w:r>
    </w:p>
    <w:p w14:paraId="499E5B9F" w14:textId="77777777" w:rsidR="00455678" w:rsidRPr="00772FB9" w:rsidRDefault="00455678" w:rsidP="00772FB9">
      <w:pPr>
        <w:pStyle w:val="1"/>
        <w:numPr>
          <w:ilvl w:val="0"/>
          <w:numId w:val="0"/>
        </w:numPr>
        <w:autoSpaceDE w:val="0"/>
        <w:adjustRightInd w:val="0"/>
        <w:spacing w:line="360" w:lineRule="auto"/>
        <w:ind w:left="851" w:right="851"/>
        <w:rPr>
          <w:rFonts w:cs="Arial"/>
          <w:szCs w:val="24"/>
        </w:rPr>
      </w:pPr>
      <w:r w:rsidRPr="00285CDE">
        <w:rPr>
          <w:rFonts w:cs="Arial"/>
          <w:color w:val="242121"/>
          <w:sz w:val="22"/>
          <w:shd w:val="clear" w:color="auto" w:fill="FFFFFF"/>
        </w:rPr>
        <w:t>…</w:t>
      </w:r>
      <w:r w:rsidRPr="00772FB9">
        <w:rPr>
          <w:rFonts w:cs="Arial"/>
          <w:color w:val="242121"/>
          <w:szCs w:val="24"/>
          <w:shd w:val="clear" w:color="auto" w:fill="FFFFFF"/>
        </w:rPr>
        <w:t xml:space="preserve">the BRP </w:t>
      </w:r>
      <w:r w:rsidRPr="00772FB9">
        <w:rPr>
          <w:rFonts w:cs="Arial"/>
          <w:color w:val="242121"/>
          <w:szCs w:val="24"/>
          <w:u w:val="single"/>
          <w:shd w:val="clear" w:color="auto" w:fill="FFFFFF"/>
        </w:rPr>
        <w:t>has full management control of the company in substitution for its board and pre-existing management and has the power to implement the business plan</w:t>
      </w:r>
      <w:r w:rsidRPr="00772FB9">
        <w:rPr>
          <w:rFonts w:cs="Arial"/>
          <w:color w:val="242121"/>
          <w:szCs w:val="24"/>
          <w:shd w:val="clear" w:color="auto" w:fill="FFFFFF"/>
        </w:rPr>
        <w:t xml:space="preserve">. Once BRPs have to implement a plan then that must include collecting the debts in accordance with the business plan. </w:t>
      </w:r>
      <w:r w:rsidRPr="00772FB9">
        <w:rPr>
          <w:rFonts w:cs="Arial"/>
          <w:color w:val="242121"/>
          <w:szCs w:val="24"/>
          <w:u w:val="single"/>
          <w:shd w:val="clear" w:color="auto" w:fill="FFFFFF"/>
        </w:rPr>
        <w:t>Full management and control of the company in substitution for its board could not be clearer</w:t>
      </w:r>
      <w:r w:rsidRPr="00772FB9">
        <w:rPr>
          <w:rFonts w:cs="Arial"/>
          <w:color w:val="242121"/>
          <w:szCs w:val="24"/>
          <w:shd w:val="clear" w:color="auto" w:fill="FFFFFF"/>
        </w:rPr>
        <w:t>…’ (own emphasis added).</w:t>
      </w:r>
    </w:p>
    <w:p w14:paraId="7C12B80F" w14:textId="4F254E77" w:rsidR="00613445" w:rsidRPr="00C932CF" w:rsidRDefault="00890EE4" w:rsidP="00890EE4">
      <w:pPr>
        <w:pStyle w:val="1"/>
        <w:numPr>
          <w:ilvl w:val="0"/>
          <w:numId w:val="0"/>
        </w:numPr>
        <w:tabs>
          <w:tab w:val="left" w:pos="567"/>
        </w:tabs>
        <w:autoSpaceDE w:val="0"/>
        <w:adjustRightInd w:val="0"/>
        <w:spacing w:line="360" w:lineRule="auto"/>
        <w:ind w:left="567" w:hanging="567"/>
      </w:pPr>
      <w:r w:rsidRPr="00C932CF">
        <w:rPr>
          <w:rFonts w:cs="Arial"/>
          <w:szCs w:val="24"/>
        </w:rPr>
        <w:t>[165]</w:t>
      </w:r>
      <w:r w:rsidRPr="00C932CF">
        <w:rPr>
          <w:rFonts w:cs="Arial"/>
          <w:szCs w:val="24"/>
        </w:rPr>
        <w:tab/>
      </w:r>
      <w:r w:rsidR="00455678" w:rsidRPr="00285CDE">
        <w:rPr>
          <w:rFonts w:cs="Arial"/>
          <w:color w:val="242121"/>
          <w:szCs w:val="24"/>
          <w:shd w:val="clear" w:color="auto" w:fill="FFFFFF"/>
        </w:rPr>
        <w:t>In light of the above, the BRP has a direct and substantial interest in the subject matter of the litigation and the outcome thereof.</w:t>
      </w:r>
      <w:r w:rsidR="00455678" w:rsidRPr="00285CDE">
        <w:rPr>
          <w:rFonts w:cs="Arial"/>
          <w:i/>
          <w:iCs w:val="0"/>
          <w:color w:val="242121"/>
          <w:szCs w:val="24"/>
          <w:shd w:val="clear" w:color="auto" w:fill="FFFFFF"/>
        </w:rPr>
        <w:t xml:space="preserve"> </w:t>
      </w:r>
      <w:r w:rsidR="00772FB9">
        <w:rPr>
          <w:rFonts w:cs="Arial"/>
          <w:color w:val="242121"/>
          <w:szCs w:val="24"/>
          <w:shd w:val="clear" w:color="auto" w:fill="FFFFFF"/>
        </w:rPr>
        <w:t>T</w:t>
      </w:r>
      <w:r w:rsidR="005D2A02">
        <w:rPr>
          <w:rFonts w:cs="Arial"/>
          <w:color w:val="242121"/>
          <w:szCs w:val="24"/>
          <w:shd w:val="clear" w:color="auto" w:fill="FFFFFF"/>
        </w:rPr>
        <w:t>he</w:t>
      </w:r>
      <w:r w:rsidR="00455678" w:rsidRPr="00285CDE">
        <w:rPr>
          <w:rFonts w:cs="Arial"/>
          <w:color w:val="242121"/>
          <w:szCs w:val="24"/>
          <w:shd w:val="clear" w:color="auto" w:fill="FFFFFF"/>
        </w:rPr>
        <w:t xml:space="preserve"> primary role </w:t>
      </w:r>
      <w:r w:rsidR="005D2A02">
        <w:rPr>
          <w:rFonts w:cs="Arial"/>
          <w:color w:val="242121"/>
          <w:szCs w:val="24"/>
          <w:shd w:val="clear" w:color="auto" w:fill="FFFFFF"/>
        </w:rPr>
        <w:t xml:space="preserve">of the BRP </w:t>
      </w:r>
      <w:r w:rsidR="00455678" w:rsidRPr="00285CDE">
        <w:rPr>
          <w:rFonts w:cs="Arial"/>
          <w:color w:val="242121"/>
          <w:szCs w:val="24"/>
          <w:shd w:val="clear" w:color="auto" w:fill="FFFFFF"/>
        </w:rPr>
        <w:t xml:space="preserve">is to assess whether and how a company could be rescued. </w:t>
      </w:r>
      <w:r w:rsidR="00567693">
        <w:rPr>
          <w:rFonts w:cs="Arial"/>
          <w:color w:val="242121"/>
          <w:szCs w:val="24"/>
          <w:shd w:val="clear" w:color="auto" w:fill="FFFFFF"/>
        </w:rPr>
        <w:t>The BRP has been throughout the process working together with SAA to ensure that the section 54(2) application is finalised</w:t>
      </w:r>
      <w:r w:rsidR="00613445">
        <w:rPr>
          <w:rFonts w:cs="Arial"/>
          <w:color w:val="242121"/>
          <w:szCs w:val="24"/>
          <w:shd w:val="clear" w:color="auto" w:fill="FFFFFF"/>
        </w:rPr>
        <w:t xml:space="preserve"> and submitted</w:t>
      </w:r>
      <w:r w:rsidR="00567693">
        <w:rPr>
          <w:rFonts w:cs="Arial"/>
          <w:color w:val="242121"/>
          <w:szCs w:val="24"/>
          <w:shd w:val="clear" w:color="auto" w:fill="FFFFFF"/>
        </w:rPr>
        <w:t>.</w:t>
      </w:r>
      <w:r w:rsidR="00613445">
        <w:rPr>
          <w:rFonts w:cs="Arial"/>
          <w:color w:val="242121"/>
          <w:szCs w:val="24"/>
          <w:shd w:val="clear" w:color="auto" w:fill="FFFFFF"/>
        </w:rPr>
        <w:t xml:space="preserve"> For example, at one stage, the BRP addressed a letter to the PE Minister alerting him that </w:t>
      </w:r>
      <w:r w:rsidR="005D2A02">
        <w:rPr>
          <w:rFonts w:cs="Arial"/>
          <w:color w:val="242121"/>
          <w:szCs w:val="24"/>
          <w:shd w:val="clear" w:color="auto" w:fill="FFFFFF"/>
        </w:rPr>
        <w:t xml:space="preserve">the </w:t>
      </w:r>
      <w:r w:rsidR="00613445">
        <w:rPr>
          <w:rFonts w:cs="Arial"/>
          <w:color w:val="242121"/>
          <w:szCs w:val="24"/>
          <w:shd w:val="clear" w:color="auto" w:fill="FFFFFF"/>
        </w:rPr>
        <w:t>SAA Board had failed and/or omitted to enclose the actual section 54(2)(c) application in its letter to the PE Minister. In addition, the BRP highlighted the following concerns:</w:t>
      </w:r>
    </w:p>
    <w:p w14:paraId="16C4309F" w14:textId="77777777" w:rsidR="00C932CF" w:rsidRPr="00613445" w:rsidRDefault="00C932CF" w:rsidP="00C932CF">
      <w:pPr>
        <w:pStyle w:val="1"/>
        <w:numPr>
          <w:ilvl w:val="0"/>
          <w:numId w:val="0"/>
        </w:numPr>
        <w:autoSpaceDE w:val="0"/>
        <w:adjustRightInd w:val="0"/>
        <w:spacing w:line="240" w:lineRule="auto"/>
        <w:ind w:left="567"/>
      </w:pPr>
    </w:p>
    <w:p w14:paraId="396E7E00" w14:textId="0CD25233" w:rsidR="00613445" w:rsidRPr="00C932CF" w:rsidRDefault="001C4DDA" w:rsidP="00C932CF">
      <w:pPr>
        <w:pStyle w:val="1"/>
        <w:numPr>
          <w:ilvl w:val="0"/>
          <w:numId w:val="0"/>
        </w:numPr>
        <w:autoSpaceDE w:val="0"/>
        <w:adjustRightInd w:val="0"/>
        <w:spacing w:before="0" w:line="360" w:lineRule="auto"/>
        <w:ind w:left="851" w:right="851"/>
        <w:rPr>
          <w:szCs w:val="24"/>
        </w:rPr>
      </w:pPr>
      <w:r w:rsidRPr="00C932CF">
        <w:rPr>
          <w:szCs w:val="24"/>
        </w:rPr>
        <w:t xml:space="preserve">‘Unfortunately, SAA did not follow the process which SAA itself proposed in its letter to the Department of Public Enterprises …dated 7 December 2021 whereby SAA confirmed that “the Board notes that according to the information under paragraph 6.3.12 [of the Business Rescue Plan], </w:t>
      </w:r>
      <w:bookmarkStart w:id="15" w:name="_Hlk144788856"/>
      <w:r w:rsidRPr="00C932CF">
        <w:rPr>
          <w:szCs w:val="24"/>
          <w:u w:val="single"/>
        </w:rPr>
        <w:t>the Business Rescue Practitioner will, in collaboration with SAA, prepare and manage the submission of the PFMA Section 54(2) application to the Ministry of Public Enterprises</w:t>
      </w:r>
      <w:r w:rsidRPr="00C932CF">
        <w:rPr>
          <w:szCs w:val="24"/>
        </w:rPr>
        <w:t xml:space="preserve"> </w:t>
      </w:r>
      <w:bookmarkEnd w:id="15"/>
      <w:r w:rsidRPr="00C932CF">
        <w:rPr>
          <w:szCs w:val="24"/>
        </w:rPr>
        <w:t>and to National Treasury’ (own emphasis added).</w:t>
      </w:r>
      <w:r w:rsidR="00FB0194" w:rsidRPr="00C932CF">
        <w:rPr>
          <w:rStyle w:val="FootnoteReference"/>
          <w:szCs w:val="24"/>
        </w:rPr>
        <w:footnoteReference w:id="61"/>
      </w:r>
    </w:p>
    <w:p w14:paraId="0828B053" w14:textId="55A251B4" w:rsidR="00963144" w:rsidRPr="00455678" w:rsidRDefault="00890EE4" w:rsidP="00890EE4">
      <w:pPr>
        <w:pStyle w:val="1"/>
        <w:numPr>
          <w:ilvl w:val="0"/>
          <w:numId w:val="0"/>
        </w:numPr>
        <w:tabs>
          <w:tab w:val="left" w:pos="567"/>
        </w:tabs>
        <w:autoSpaceDE w:val="0"/>
        <w:adjustRightInd w:val="0"/>
        <w:spacing w:line="360" w:lineRule="auto"/>
        <w:ind w:left="567" w:hanging="567"/>
      </w:pPr>
      <w:r w:rsidRPr="00455678">
        <w:rPr>
          <w:rFonts w:cs="Arial"/>
          <w:szCs w:val="24"/>
        </w:rPr>
        <w:t>[166]</w:t>
      </w:r>
      <w:r w:rsidRPr="00455678">
        <w:rPr>
          <w:rFonts w:cs="Arial"/>
          <w:szCs w:val="24"/>
        </w:rPr>
        <w:tab/>
      </w:r>
      <w:r w:rsidR="00567693" w:rsidRPr="005D2A02">
        <w:rPr>
          <w:rFonts w:cs="Arial"/>
          <w:color w:val="242121"/>
          <w:szCs w:val="24"/>
          <w:shd w:val="clear" w:color="auto" w:fill="FFFFFF"/>
        </w:rPr>
        <w:t xml:space="preserve"> </w:t>
      </w:r>
      <w:r w:rsidR="00FB0194" w:rsidRPr="005D2A02">
        <w:rPr>
          <w:rFonts w:cs="Arial"/>
          <w:color w:val="242121"/>
          <w:szCs w:val="24"/>
          <w:shd w:val="clear" w:color="auto" w:fill="FFFFFF"/>
        </w:rPr>
        <w:t xml:space="preserve">Furthermore, </w:t>
      </w:r>
      <w:r w:rsidR="00FB0194" w:rsidRPr="005D2A02">
        <w:rPr>
          <w:szCs w:val="24"/>
        </w:rPr>
        <w:t xml:space="preserve">the Amended Business Rescue Plan </w:t>
      </w:r>
      <w:bookmarkStart w:id="16" w:name="_Hlk144789372"/>
      <w:r w:rsidR="00FB0194" w:rsidRPr="005D2A02">
        <w:rPr>
          <w:i/>
          <w:iCs w:val="0"/>
          <w:szCs w:val="24"/>
        </w:rPr>
        <w:t>inter alia</w:t>
      </w:r>
      <w:r w:rsidR="00FB0194" w:rsidRPr="005D2A02">
        <w:rPr>
          <w:szCs w:val="24"/>
        </w:rPr>
        <w:t xml:space="preserve"> provides that the BRP will “prepare and submit a request for approval in terms of section 54(2)(c) </w:t>
      </w:r>
      <w:r w:rsidR="00FB0194" w:rsidRPr="005D2A02">
        <w:rPr>
          <w:szCs w:val="24"/>
        </w:rPr>
        <w:lastRenderedPageBreak/>
        <w:t>of the PFMA”</w:t>
      </w:r>
      <w:r w:rsidR="00FB0194">
        <w:rPr>
          <w:sz w:val="22"/>
        </w:rPr>
        <w:t xml:space="preserve"> </w:t>
      </w:r>
      <w:r w:rsidR="00FB0194" w:rsidRPr="00FD3E37">
        <w:rPr>
          <w:szCs w:val="24"/>
        </w:rPr>
        <w:t>and “on behalf of SAA”.</w:t>
      </w:r>
      <w:r w:rsidR="00FB0194" w:rsidRPr="00FD3E37">
        <w:rPr>
          <w:rStyle w:val="FootnoteReference"/>
          <w:szCs w:val="24"/>
        </w:rPr>
        <w:footnoteReference w:id="62"/>
      </w:r>
      <w:r w:rsidR="00FB0194" w:rsidRPr="00FD3E37">
        <w:rPr>
          <w:szCs w:val="24"/>
        </w:rPr>
        <w:t xml:space="preserve"> Additionally, </w:t>
      </w:r>
      <w:r w:rsidR="00FD3E37">
        <w:rPr>
          <w:szCs w:val="24"/>
        </w:rPr>
        <w:t>t</w:t>
      </w:r>
      <w:r w:rsidR="00FD3E37" w:rsidRPr="00FD3E37">
        <w:rPr>
          <w:szCs w:val="24"/>
        </w:rPr>
        <w:t xml:space="preserve">he Amended Business Rescue </w:t>
      </w:r>
      <w:r w:rsidR="00FD3E37" w:rsidRPr="00FD3E37">
        <w:rPr>
          <w:i/>
          <w:iCs w:val="0"/>
          <w:szCs w:val="24"/>
        </w:rPr>
        <w:t xml:space="preserve">Plan inter alia </w:t>
      </w:r>
      <w:r w:rsidR="00FD3E37" w:rsidRPr="00FD3E37">
        <w:rPr>
          <w:szCs w:val="24"/>
        </w:rPr>
        <w:t>provides that the BRP will</w:t>
      </w:r>
      <w:r w:rsidR="00FD3E37">
        <w:rPr>
          <w:szCs w:val="24"/>
        </w:rPr>
        <w:t xml:space="preserve"> prepare and submit a request for approval in terms of section 54(2) of the PFMA.</w:t>
      </w:r>
      <w:bookmarkEnd w:id="16"/>
      <w:r w:rsidR="00FD3E37">
        <w:rPr>
          <w:rStyle w:val="FootnoteReference"/>
          <w:szCs w:val="24"/>
        </w:rPr>
        <w:footnoteReference w:id="63"/>
      </w:r>
      <w:r w:rsidR="00FD3E37">
        <w:rPr>
          <w:szCs w:val="24"/>
        </w:rPr>
        <w:t xml:space="preserve"> </w:t>
      </w:r>
      <w:r w:rsidR="001C4DDA" w:rsidRPr="00FD3E37">
        <w:rPr>
          <w:rFonts w:cs="Arial"/>
          <w:color w:val="242121"/>
          <w:szCs w:val="24"/>
          <w:shd w:val="clear" w:color="auto" w:fill="FFFFFF"/>
        </w:rPr>
        <w:t>In my view, the above paragraph</w:t>
      </w:r>
      <w:r w:rsidR="00FB0194" w:rsidRPr="00FD3E37">
        <w:rPr>
          <w:rFonts w:cs="Arial"/>
          <w:color w:val="242121"/>
          <w:szCs w:val="24"/>
          <w:shd w:val="clear" w:color="auto" w:fill="FFFFFF"/>
        </w:rPr>
        <w:t>s</w:t>
      </w:r>
      <w:r w:rsidR="001C4DDA" w:rsidRPr="00FD3E37">
        <w:rPr>
          <w:rFonts w:cs="Arial"/>
          <w:color w:val="242121"/>
          <w:szCs w:val="24"/>
          <w:shd w:val="clear" w:color="auto" w:fill="FFFFFF"/>
        </w:rPr>
        <w:t xml:space="preserve"> settles the BRP’s </w:t>
      </w:r>
      <w:r w:rsidR="001C4DDA" w:rsidRPr="00FD3E37">
        <w:rPr>
          <w:rFonts w:cs="Arial"/>
          <w:i/>
          <w:iCs w:val="0"/>
          <w:color w:val="242121"/>
          <w:szCs w:val="24"/>
          <w:shd w:val="clear" w:color="auto" w:fill="FFFFFF"/>
        </w:rPr>
        <w:t>locus standi</w:t>
      </w:r>
      <w:r w:rsidR="001C4DDA">
        <w:rPr>
          <w:rFonts w:cs="Arial"/>
          <w:color w:val="242121"/>
          <w:szCs w:val="24"/>
          <w:shd w:val="clear" w:color="auto" w:fill="FFFFFF"/>
        </w:rPr>
        <w:t xml:space="preserve">. </w:t>
      </w:r>
      <w:r w:rsidR="00567693" w:rsidRPr="00613445">
        <w:rPr>
          <w:rFonts w:cs="Arial"/>
          <w:color w:val="242121"/>
          <w:szCs w:val="24"/>
          <w:shd w:val="clear" w:color="auto" w:fill="FFFFFF"/>
        </w:rPr>
        <w:t>I</w:t>
      </w:r>
      <w:r w:rsidR="001C4DDA">
        <w:rPr>
          <w:rFonts w:cs="Arial"/>
          <w:color w:val="242121"/>
          <w:szCs w:val="24"/>
          <w:shd w:val="clear" w:color="auto" w:fill="FFFFFF"/>
        </w:rPr>
        <w:t xml:space="preserve"> fail to understand </w:t>
      </w:r>
      <w:r w:rsidR="001C4DDA" w:rsidRPr="00613445">
        <w:rPr>
          <w:rFonts w:cs="Arial"/>
          <w:color w:val="242121"/>
          <w:szCs w:val="24"/>
          <w:shd w:val="clear" w:color="auto" w:fill="FFFFFF"/>
        </w:rPr>
        <w:t>a</w:t>
      </w:r>
      <w:r w:rsidR="001C4DDA">
        <w:rPr>
          <w:rFonts w:cs="Arial"/>
          <w:color w:val="242121"/>
          <w:szCs w:val="24"/>
          <w:shd w:val="clear" w:color="auto" w:fill="FFFFFF"/>
        </w:rPr>
        <w:t xml:space="preserve"> proposition that suggests that section 54(2) excludes the Applicants. It </w:t>
      </w:r>
      <w:r w:rsidR="00567693" w:rsidRPr="00613445">
        <w:rPr>
          <w:rFonts w:cs="Arial"/>
          <w:color w:val="242121"/>
          <w:szCs w:val="24"/>
          <w:shd w:val="clear" w:color="auto" w:fill="FFFFFF"/>
        </w:rPr>
        <w:t>was only in the late</w:t>
      </w:r>
      <w:r w:rsidR="005D2A02">
        <w:rPr>
          <w:rFonts w:cs="Arial"/>
          <w:color w:val="242121"/>
          <w:szCs w:val="24"/>
          <w:shd w:val="clear" w:color="auto" w:fill="FFFFFF"/>
        </w:rPr>
        <w:t>r</w:t>
      </w:r>
      <w:r w:rsidR="00567693" w:rsidRPr="00613445">
        <w:rPr>
          <w:rFonts w:cs="Arial"/>
          <w:color w:val="242121"/>
          <w:szCs w:val="24"/>
          <w:shd w:val="clear" w:color="auto" w:fill="FFFFFF"/>
        </w:rPr>
        <w:t xml:space="preserve"> stages that SAA opted to exclude the BRP</w:t>
      </w:r>
      <w:r w:rsidR="001C4DDA">
        <w:rPr>
          <w:rFonts w:cs="Arial"/>
          <w:color w:val="242121"/>
          <w:szCs w:val="24"/>
          <w:shd w:val="clear" w:color="auto" w:fill="FFFFFF"/>
        </w:rPr>
        <w:t xml:space="preserve"> including entering into agreements </w:t>
      </w:r>
      <w:r w:rsidR="004E0C03">
        <w:rPr>
          <w:rFonts w:cs="Arial"/>
          <w:color w:val="242121"/>
          <w:szCs w:val="24"/>
          <w:shd w:val="clear" w:color="auto" w:fill="FFFFFF"/>
        </w:rPr>
        <w:t>that</w:t>
      </w:r>
      <w:r w:rsidR="001C4DDA">
        <w:rPr>
          <w:rFonts w:cs="Arial"/>
          <w:color w:val="242121"/>
          <w:szCs w:val="24"/>
          <w:shd w:val="clear" w:color="auto" w:fill="FFFFFF"/>
        </w:rPr>
        <w:t xml:space="preserve"> purported to extend the 30-day period without the BRP</w:t>
      </w:r>
      <w:r w:rsidR="00567693" w:rsidRPr="00613445">
        <w:rPr>
          <w:rFonts w:cs="Arial"/>
          <w:color w:val="242121"/>
          <w:szCs w:val="24"/>
          <w:shd w:val="clear" w:color="auto" w:fill="FFFFFF"/>
        </w:rPr>
        <w:t>.</w:t>
      </w:r>
      <w:r w:rsidR="00613445">
        <w:rPr>
          <w:rStyle w:val="FootnoteReference"/>
          <w:rFonts w:cs="Arial"/>
          <w:color w:val="242121"/>
          <w:szCs w:val="24"/>
          <w:shd w:val="clear" w:color="auto" w:fill="FFFFFF"/>
        </w:rPr>
        <w:footnoteReference w:id="64"/>
      </w:r>
      <w:r w:rsidR="001C4DDA">
        <w:rPr>
          <w:rFonts w:cs="Arial"/>
          <w:color w:val="242121"/>
          <w:szCs w:val="24"/>
          <w:shd w:val="clear" w:color="auto" w:fill="FFFFFF"/>
        </w:rPr>
        <w:t xml:space="preserve"> All in all, the BRP has</w:t>
      </w:r>
      <w:r w:rsidR="00455678" w:rsidRPr="00613445">
        <w:rPr>
          <w:rFonts w:cs="Arial"/>
          <w:color w:val="242121"/>
          <w:szCs w:val="24"/>
          <w:shd w:val="clear" w:color="auto" w:fill="FFFFFF"/>
        </w:rPr>
        <w:t xml:space="preserve"> standing</w:t>
      </w:r>
      <w:r w:rsidR="001C4DDA">
        <w:rPr>
          <w:rFonts w:cs="Arial"/>
          <w:color w:val="242121"/>
          <w:szCs w:val="24"/>
          <w:shd w:val="clear" w:color="auto" w:fill="FFFFFF"/>
        </w:rPr>
        <w:t xml:space="preserve"> to institute these proceedings</w:t>
      </w:r>
      <w:r w:rsidR="00455678" w:rsidRPr="00613445">
        <w:rPr>
          <w:rFonts w:cs="Arial"/>
          <w:color w:val="242121"/>
          <w:szCs w:val="24"/>
          <w:shd w:val="clear" w:color="auto" w:fill="FFFFFF"/>
        </w:rPr>
        <w:t xml:space="preserve">. </w:t>
      </w:r>
    </w:p>
    <w:p w14:paraId="1CE6DF94" w14:textId="2BBEE6A0" w:rsidR="009F7C13" w:rsidRPr="00285CDE" w:rsidRDefault="00890EE4" w:rsidP="00890EE4">
      <w:pPr>
        <w:pStyle w:val="1"/>
        <w:numPr>
          <w:ilvl w:val="0"/>
          <w:numId w:val="0"/>
        </w:numPr>
        <w:tabs>
          <w:tab w:val="left" w:pos="567"/>
        </w:tabs>
        <w:spacing w:line="360" w:lineRule="auto"/>
        <w:ind w:left="567" w:hanging="567"/>
        <w:rPr>
          <w:rFonts w:cs="Arial"/>
          <w:sz w:val="22"/>
        </w:rPr>
      </w:pPr>
      <w:r w:rsidRPr="00285CDE">
        <w:rPr>
          <w:rFonts w:cs="Arial"/>
          <w:szCs w:val="24"/>
        </w:rPr>
        <w:t>[167]</w:t>
      </w:r>
      <w:r w:rsidRPr="00285CDE">
        <w:rPr>
          <w:rFonts w:cs="Arial"/>
          <w:szCs w:val="24"/>
        </w:rPr>
        <w:tab/>
      </w:r>
      <w:r w:rsidR="00364376" w:rsidRPr="005D2A02">
        <w:t>Regarding t</w:t>
      </w:r>
      <w:r w:rsidR="001D4C44" w:rsidRPr="005D2A02">
        <w:t xml:space="preserve">he validity and state of completeness of section 54(2) application submitted by the </w:t>
      </w:r>
      <w:r w:rsidR="002274EE" w:rsidRPr="005D2A02">
        <w:t>A</w:t>
      </w:r>
      <w:r w:rsidR="001D4C44" w:rsidRPr="005D2A02">
        <w:t>pplicants and SAA to the PE Minister</w:t>
      </w:r>
      <w:r w:rsidR="00364376" w:rsidRPr="005D2A02">
        <w:t>,</w:t>
      </w:r>
      <w:r w:rsidR="00364376" w:rsidRPr="00285CDE">
        <w:t xml:space="preserve"> the Applicants </w:t>
      </w:r>
      <w:r w:rsidR="00750227" w:rsidRPr="00285CDE">
        <w:t>asked</w:t>
      </w:r>
      <w:r w:rsidR="00364376" w:rsidRPr="00285CDE">
        <w:t xml:space="preserve"> this Court to declare that they submitted a valid and complete application. </w:t>
      </w:r>
      <w:r w:rsidR="009F7C13">
        <w:t>If this Court was to declare that a</w:t>
      </w:r>
      <w:r w:rsidR="00364376" w:rsidRPr="00285CDE">
        <w:t xml:space="preserve"> valid and complete application in terms of section 54(2) </w:t>
      </w:r>
      <w:r w:rsidR="00366367" w:rsidRPr="00285CDE">
        <w:t>of</w:t>
      </w:r>
      <w:r w:rsidR="00364376" w:rsidRPr="00285CDE">
        <w:t xml:space="preserve"> PFMA </w:t>
      </w:r>
      <w:r w:rsidR="009F7C13">
        <w:t xml:space="preserve">was submitted, it </w:t>
      </w:r>
      <w:r w:rsidR="00364376" w:rsidRPr="00285CDE">
        <w:t>would entail that the PE Minister is not entitled to request additional information but to decide on the application</w:t>
      </w:r>
      <w:r w:rsidR="009F7C13">
        <w:t xml:space="preserve"> regardless of whether there is a piece of outstanding information</w:t>
      </w:r>
      <w:r w:rsidR="00364376" w:rsidRPr="00285CDE">
        <w:t xml:space="preserve">. </w:t>
      </w:r>
      <w:r w:rsidR="009F7C13">
        <w:t xml:space="preserve">The </w:t>
      </w:r>
      <w:r w:rsidR="009F7C13" w:rsidRPr="00805FAA">
        <w:rPr>
          <w:rFonts w:cs="Arial"/>
        </w:rPr>
        <w:t xml:space="preserve">Constitutional Court in </w:t>
      </w:r>
      <w:r w:rsidR="009F7C13" w:rsidRPr="00805FAA">
        <w:rPr>
          <w:rFonts w:cs="Arial"/>
          <w:i/>
        </w:rPr>
        <w:t>Hugh Glenister v President of the Republic of South Africa and others</w:t>
      </w:r>
      <w:r w:rsidR="009F7C13">
        <w:rPr>
          <w:rStyle w:val="FootnoteReference"/>
          <w:rFonts w:cs="Arial"/>
          <w:i/>
        </w:rPr>
        <w:footnoteReference w:id="65"/>
      </w:r>
      <w:r w:rsidR="009F7C13" w:rsidRPr="00805FAA">
        <w:rPr>
          <w:rFonts w:cs="Arial"/>
        </w:rPr>
        <w:t xml:space="preserve"> expressed with approval the sentiment that it is </w:t>
      </w:r>
      <w:r w:rsidR="009F7C13" w:rsidRPr="00805FAA">
        <w:rPr>
          <w:rFonts w:cs="Arial"/>
          <w:i/>
        </w:rPr>
        <w:t>“not for the court to disturb political judgments, much less to substitute the opinions of experts”</w:t>
      </w:r>
      <w:r w:rsidR="00A64FAB">
        <w:rPr>
          <w:rFonts w:cs="Arial"/>
          <w:i/>
        </w:rPr>
        <w:t>.</w:t>
      </w:r>
    </w:p>
    <w:p w14:paraId="73E09EC7" w14:textId="41671C8B" w:rsidR="002E3757" w:rsidRPr="00285CDE" w:rsidRDefault="00890EE4" w:rsidP="00890EE4">
      <w:pPr>
        <w:pStyle w:val="1"/>
        <w:numPr>
          <w:ilvl w:val="0"/>
          <w:numId w:val="0"/>
        </w:numPr>
        <w:tabs>
          <w:tab w:val="left" w:pos="567"/>
        </w:tabs>
        <w:spacing w:line="360" w:lineRule="auto"/>
        <w:ind w:left="567" w:hanging="567"/>
      </w:pPr>
      <w:r w:rsidRPr="00285CDE">
        <w:rPr>
          <w:rFonts w:cs="Arial"/>
          <w:szCs w:val="24"/>
        </w:rPr>
        <w:t>[168]</w:t>
      </w:r>
      <w:r w:rsidRPr="00285CDE">
        <w:rPr>
          <w:rFonts w:cs="Arial"/>
          <w:szCs w:val="24"/>
        </w:rPr>
        <w:tab/>
      </w:r>
      <w:r w:rsidR="00364376" w:rsidRPr="00285CDE">
        <w:t xml:space="preserve">In light of the above, it is the PE Minister who is better placed to determine whether an application brought to him in terms of section 54(2) of the PFMA is valid and/or complete. The Court </w:t>
      </w:r>
      <w:r w:rsidR="007E3D8F">
        <w:t xml:space="preserve">is </w:t>
      </w:r>
      <w:r w:rsidR="00364376" w:rsidRPr="00285CDE">
        <w:t>no</w:t>
      </w:r>
      <w:r w:rsidR="007E3D8F">
        <w:t>t</w:t>
      </w:r>
      <w:r w:rsidR="00364376" w:rsidRPr="00285CDE">
        <w:t xml:space="preserve"> </w:t>
      </w:r>
      <w:r w:rsidR="00366367" w:rsidRPr="00285CDE">
        <w:t>in a position</w:t>
      </w:r>
      <w:r w:rsidR="00364376" w:rsidRPr="00285CDE">
        <w:t xml:space="preserve"> to do so. Therefore, this Court is unable to enter the terrain of the PE Minister and decide whether the application submitted by the Applicants and SAA in terms of section 54(2) of the PFMA was a valid and complete application. This is a determination that falls within the ambit of the work of the PE Minister and not this Court.</w:t>
      </w:r>
    </w:p>
    <w:p w14:paraId="736192F2" w14:textId="1BE5291E" w:rsidR="007F5A4B" w:rsidRPr="00285CDE" w:rsidRDefault="00890EE4" w:rsidP="00890EE4">
      <w:pPr>
        <w:pStyle w:val="1"/>
        <w:numPr>
          <w:ilvl w:val="0"/>
          <w:numId w:val="0"/>
        </w:numPr>
        <w:tabs>
          <w:tab w:val="left" w:pos="567"/>
        </w:tabs>
        <w:spacing w:line="360" w:lineRule="auto"/>
        <w:ind w:left="567" w:hanging="567"/>
      </w:pPr>
      <w:r w:rsidRPr="00285CDE">
        <w:rPr>
          <w:rFonts w:cs="Arial"/>
          <w:szCs w:val="24"/>
        </w:rPr>
        <w:t>[169]</w:t>
      </w:r>
      <w:r w:rsidRPr="00285CDE">
        <w:rPr>
          <w:rFonts w:cs="Arial"/>
          <w:szCs w:val="24"/>
        </w:rPr>
        <w:tab/>
      </w:r>
      <w:r w:rsidR="002E3757" w:rsidRPr="005D2A02">
        <w:t xml:space="preserve">Concerning the PE Minister’s </w:t>
      </w:r>
      <w:r w:rsidR="00C4698C">
        <w:t xml:space="preserve">argument that he/she </w:t>
      </w:r>
      <w:r w:rsidR="00EC08BE" w:rsidRPr="00285CDE">
        <w:t>must be “satisfied” before he or she grants approval</w:t>
      </w:r>
      <w:r w:rsidR="00C4698C">
        <w:t xml:space="preserve"> in terms of the section 54(2) application,</w:t>
      </w:r>
      <w:r w:rsidR="00EC08BE" w:rsidRPr="00285CDE">
        <w:t xml:space="preserve"> I agree with the </w:t>
      </w:r>
      <w:r w:rsidR="007F5A4B" w:rsidRPr="00285CDE">
        <w:t>Applicants</w:t>
      </w:r>
      <w:r w:rsidR="00025BD9">
        <w:t>’</w:t>
      </w:r>
      <w:r w:rsidR="00EC08BE" w:rsidRPr="00285CDE">
        <w:t xml:space="preserve"> contention only in so far as the reading of section 54(2) of the PFMA </w:t>
      </w:r>
      <w:r w:rsidR="00EC08BE" w:rsidRPr="00285CDE">
        <w:lastRenderedPageBreak/>
        <w:t>not contain</w:t>
      </w:r>
      <w:r w:rsidR="00025BD9">
        <w:t>ing</w:t>
      </w:r>
      <w:r w:rsidR="00EC08BE" w:rsidRPr="00285CDE">
        <w:t xml:space="preserve"> any provision to the effect that the executive authority must be “satisfied” with the information provided to him prior to making a decision. </w:t>
      </w:r>
      <w:r w:rsidR="00750227" w:rsidRPr="00285CDE">
        <w:t xml:space="preserve">As was correctly found in </w:t>
      </w:r>
      <w:r w:rsidR="00750227" w:rsidRPr="00C4698C">
        <w:rPr>
          <w:rFonts w:cs="Arial"/>
          <w:i/>
          <w:szCs w:val="24"/>
          <w:lang w:eastAsia="en-US"/>
        </w:rPr>
        <w:t>Independent Community Pharmacy Association v Clicks Group Ltd and Others</w:t>
      </w:r>
      <w:r w:rsidR="00750227" w:rsidRPr="00285CDE">
        <w:rPr>
          <w:rStyle w:val="FootnoteReference"/>
          <w:rFonts w:cs="Arial"/>
          <w:iCs w:val="0"/>
          <w:szCs w:val="24"/>
          <w:lang w:eastAsia="en-US"/>
        </w:rPr>
        <w:footnoteReference w:id="66"/>
      </w:r>
      <w:r w:rsidR="00750227" w:rsidRPr="00C4698C">
        <w:rPr>
          <w:rFonts w:cs="Arial"/>
          <w:i/>
          <w:szCs w:val="24"/>
          <w:lang w:eastAsia="en-US"/>
        </w:rPr>
        <w:t xml:space="preserve"> </w:t>
      </w:r>
      <w:r w:rsidR="007F5A4B" w:rsidRPr="00C4698C">
        <w:rPr>
          <w:rFonts w:cs="Arial"/>
          <w:szCs w:val="24"/>
          <w:lang w:eastAsia="en-US"/>
        </w:rPr>
        <w:t>that:</w:t>
      </w:r>
    </w:p>
    <w:p w14:paraId="71D8272D" w14:textId="69C13258" w:rsidR="00750227" w:rsidRPr="00285CDE" w:rsidRDefault="007F5A4B" w:rsidP="00F342EA">
      <w:pPr>
        <w:pStyle w:val="1"/>
        <w:numPr>
          <w:ilvl w:val="0"/>
          <w:numId w:val="0"/>
        </w:numPr>
        <w:spacing w:line="360" w:lineRule="auto"/>
        <w:ind w:left="851" w:right="851"/>
        <w:rPr>
          <w:sz w:val="22"/>
        </w:rPr>
      </w:pPr>
      <w:r w:rsidRPr="00285CDE">
        <w:rPr>
          <w:rFonts w:cs="Arial"/>
          <w:color w:val="242121"/>
          <w:sz w:val="22"/>
          <w:shd w:val="clear" w:color="auto" w:fill="FFFFFF"/>
        </w:rPr>
        <w:t>‘</w:t>
      </w:r>
      <w:r w:rsidRPr="00F342EA">
        <w:rPr>
          <w:rFonts w:cs="Arial"/>
          <w:color w:val="242121"/>
          <w:szCs w:val="24"/>
          <w:u w:val="single"/>
          <w:shd w:val="clear" w:color="auto" w:fill="FFFFFF"/>
        </w:rPr>
        <w:t>one cannot read words into a statute by implication unless the implication is necessary in the sense that without it effect cannot be given to the statute as it stands</w:t>
      </w:r>
      <w:r w:rsidRPr="00F342EA">
        <w:rPr>
          <w:rFonts w:cs="Arial"/>
          <w:color w:val="242121"/>
          <w:szCs w:val="24"/>
          <w:shd w:val="clear" w:color="auto" w:fill="FFFFFF"/>
        </w:rPr>
        <w:t>, and that without the implication the ostensible legislative intent cannot be realised’ (own emphasis added).</w:t>
      </w:r>
    </w:p>
    <w:p w14:paraId="22E575F5" w14:textId="5D22D228" w:rsidR="007F5A4B" w:rsidRPr="00285CDE" w:rsidRDefault="00890EE4" w:rsidP="00890EE4">
      <w:pPr>
        <w:pStyle w:val="1"/>
        <w:numPr>
          <w:ilvl w:val="0"/>
          <w:numId w:val="0"/>
        </w:numPr>
        <w:tabs>
          <w:tab w:val="left" w:pos="567"/>
        </w:tabs>
        <w:spacing w:line="360" w:lineRule="auto"/>
        <w:ind w:left="567" w:hanging="567"/>
      </w:pPr>
      <w:r w:rsidRPr="00285CDE">
        <w:rPr>
          <w:rFonts w:cs="Arial"/>
          <w:szCs w:val="24"/>
        </w:rPr>
        <w:t>[170]</w:t>
      </w:r>
      <w:r w:rsidRPr="00285CDE">
        <w:rPr>
          <w:rFonts w:cs="Arial"/>
          <w:szCs w:val="24"/>
        </w:rPr>
        <w:tab/>
      </w:r>
      <w:r w:rsidR="007F5A4B" w:rsidRPr="00285CDE">
        <w:t>However, this is where my association with the aforesaid Applicants</w:t>
      </w:r>
      <w:r w:rsidR="00025BD9">
        <w:t>’</w:t>
      </w:r>
      <w:r w:rsidR="007F5A4B" w:rsidRPr="00285CDE">
        <w:t xml:space="preserve"> submission ends. T</w:t>
      </w:r>
      <w:r w:rsidR="00EC08BE" w:rsidRPr="00285CDE">
        <w:t xml:space="preserve">his Court differs </w:t>
      </w:r>
      <w:r w:rsidR="002E3757" w:rsidRPr="00285CDE">
        <w:t>from</w:t>
      </w:r>
      <w:r w:rsidR="00EC08BE" w:rsidRPr="00285CDE">
        <w:t xml:space="preserve"> the </w:t>
      </w:r>
      <w:r w:rsidR="002E3757" w:rsidRPr="00285CDE">
        <w:t>Applicants’</w:t>
      </w:r>
      <w:r w:rsidR="00EC08BE" w:rsidRPr="00285CDE">
        <w:t xml:space="preserve"> submission that the PE Minister is not </w:t>
      </w:r>
      <w:r w:rsidR="00366367" w:rsidRPr="00285CDE">
        <w:t>entitled</w:t>
      </w:r>
      <w:r w:rsidR="00EC08BE" w:rsidRPr="00285CDE">
        <w:t xml:space="preserve"> to request additional information as per the section 54(2) application.</w:t>
      </w:r>
      <w:r w:rsidR="00EA6DC7" w:rsidRPr="00285CDE">
        <w:t xml:space="preserve"> The purpose of the PFMA is to </w:t>
      </w:r>
      <w:r w:rsidR="00EA6DC7" w:rsidRPr="00285CDE">
        <w:rPr>
          <w:i/>
          <w:iCs w:val="0"/>
        </w:rPr>
        <w:t>inter alia</w:t>
      </w:r>
      <w:r w:rsidR="00EA6DC7" w:rsidRPr="00285CDE">
        <w:t xml:space="preserve"> regulate </w:t>
      </w:r>
      <w:r w:rsidR="00C4698C">
        <w:t xml:space="preserve">the </w:t>
      </w:r>
      <w:r w:rsidR="00EA6DC7" w:rsidRPr="00285CDE">
        <w:t xml:space="preserve">financial management </w:t>
      </w:r>
      <w:r w:rsidR="00C4698C">
        <w:t>of the</w:t>
      </w:r>
      <w:r w:rsidR="00EA6DC7" w:rsidRPr="00285CDE">
        <w:t xml:space="preserve"> national and provincial </w:t>
      </w:r>
      <w:r w:rsidR="00C4698C">
        <w:t xml:space="preserve">spheres of </w:t>
      </w:r>
      <w:r w:rsidR="00EA6DC7" w:rsidRPr="00285CDE">
        <w:t>government</w:t>
      </w:r>
      <w:r w:rsidR="00C4698C">
        <w:t xml:space="preserve">, </w:t>
      </w:r>
      <w:r w:rsidR="00EA6DC7" w:rsidRPr="00285CDE">
        <w:t xml:space="preserve">and to ensure that expenditure is managed efficiently and effectively. I doubt that the said purpose could be achieved where the PE Minister is merely requested to consider and decide whatever application </w:t>
      </w:r>
      <w:r w:rsidR="00366367" w:rsidRPr="00285CDE">
        <w:t xml:space="preserve">is </w:t>
      </w:r>
      <w:r w:rsidR="00EA6DC7" w:rsidRPr="00285CDE">
        <w:t xml:space="preserve">brought before him even when he/she sees that there is </w:t>
      </w:r>
      <w:r w:rsidR="00366367" w:rsidRPr="00285CDE">
        <w:t>no adequate</w:t>
      </w:r>
      <w:r w:rsidR="00EA6DC7" w:rsidRPr="00285CDE">
        <w:t xml:space="preserve"> information </w:t>
      </w:r>
      <w:r w:rsidR="00366367" w:rsidRPr="00285CDE">
        <w:t>tabled before him</w:t>
      </w:r>
      <w:r w:rsidR="00A83F02">
        <w:t>/her</w:t>
      </w:r>
      <w:r w:rsidR="00366367" w:rsidRPr="00285CDE">
        <w:t xml:space="preserve"> </w:t>
      </w:r>
      <w:r w:rsidR="00EA6DC7" w:rsidRPr="00285CDE">
        <w:t>to enable him/her to make an informed decision. Th</w:t>
      </w:r>
      <w:r w:rsidR="0090569C" w:rsidRPr="00285CDE">
        <w:t xml:space="preserve">is </w:t>
      </w:r>
      <w:r w:rsidR="00EA6DC7" w:rsidRPr="00285CDE">
        <w:t>could not have been the intention of the legislature.</w:t>
      </w:r>
    </w:p>
    <w:p w14:paraId="6A53C0D7" w14:textId="6B05EB5A" w:rsidR="0090569C" w:rsidRPr="00285CDE" w:rsidRDefault="00890EE4" w:rsidP="00890EE4">
      <w:pPr>
        <w:pStyle w:val="1"/>
        <w:numPr>
          <w:ilvl w:val="0"/>
          <w:numId w:val="0"/>
        </w:numPr>
        <w:tabs>
          <w:tab w:val="left" w:pos="567"/>
        </w:tabs>
        <w:spacing w:line="360" w:lineRule="auto"/>
        <w:ind w:left="567" w:hanging="567"/>
      </w:pPr>
      <w:r w:rsidRPr="00285CDE">
        <w:rPr>
          <w:rFonts w:cs="Arial"/>
          <w:szCs w:val="24"/>
        </w:rPr>
        <w:t>[171]</w:t>
      </w:r>
      <w:r w:rsidRPr="00285CDE">
        <w:rPr>
          <w:rFonts w:cs="Arial"/>
          <w:szCs w:val="24"/>
        </w:rPr>
        <w:tab/>
      </w:r>
      <w:r w:rsidR="0090569C" w:rsidRPr="00285CDE">
        <w:t>The</w:t>
      </w:r>
      <w:r w:rsidR="00E466FC" w:rsidRPr="00285CDE">
        <w:t xml:space="preserve"> First, Second, Third, </w:t>
      </w:r>
      <w:r w:rsidR="0090569C" w:rsidRPr="00285CDE">
        <w:t xml:space="preserve">and Fourth Respondents in my view correctly relied </w:t>
      </w:r>
      <w:r w:rsidR="001E6929">
        <w:t>on</w:t>
      </w:r>
      <w:r w:rsidR="007F5A4B" w:rsidRPr="00285CDE">
        <w:t xml:space="preserve"> the provisions of</w:t>
      </w:r>
      <w:r w:rsidR="0090569C" w:rsidRPr="00285CDE">
        <w:t xml:space="preserve"> sections </w:t>
      </w:r>
      <w:r w:rsidR="0090569C" w:rsidRPr="00285CDE">
        <w:rPr>
          <w:rFonts w:cs="Arial"/>
          <w:szCs w:val="24"/>
          <w:lang w:eastAsia="en-US"/>
        </w:rPr>
        <w:t xml:space="preserve">54(1) and 50(1)(c) of the PFMA as the provisions </w:t>
      </w:r>
      <w:r w:rsidR="00C4698C">
        <w:rPr>
          <w:rFonts w:cs="Arial"/>
          <w:szCs w:val="24"/>
          <w:lang w:eastAsia="en-US"/>
        </w:rPr>
        <w:t>that</w:t>
      </w:r>
      <w:r w:rsidR="0090569C" w:rsidRPr="00285CDE">
        <w:rPr>
          <w:rFonts w:cs="Arial"/>
          <w:szCs w:val="24"/>
          <w:lang w:eastAsia="en-US"/>
        </w:rPr>
        <w:t xml:space="preserve"> </w:t>
      </w:r>
      <w:r w:rsidR="00C4698C">
        <w:rPr>
          <w:rFonts w:cs="Arial"/>
          <w:szCs w:val="24"/>
          <w:lang w:eastAsia="en-US"/>
        </w:rPr>
        <w:t>empower</w:t>
      </w:r>
      <w:r w:rsidR="0090569C" w:rsidRPr="00285CDE">
        <w:rPr>
          <w:rFonts w:cs="Arial"/>
          <w:szCs w:val="24"/>
          <w:lang w:eastAsia="en-US"/>
        </w:rPr>
        <w:t xml:space="preserve"> the PE Minister to request additional information.</w:t>
      </w:r>
      <w:r w:rsidR="0090569C" w:rsidRPr="00285CDE">
        <w:t xml:space="preserve"> Section </w:t>
      </w:r>
      <w:r w:rsidR="008A40C9" w:rsidRPr="00285CDE">
        <w:rPr>
          <w:rFonts w:cs="Arial"/>
          <w:szCs w:val="24"/>
          <w:lang w:eastAsia="en-US"/>
        </w:rPr>
        <w:t xml:space="preserve">50(1)(c) of the PFMA </w:t>
      </w:r>
      <w:r w:rsidR="008A40C9" w:rsidRPr="00285CDE">
        <w:rPr>
          <w:rFonts w:cs="Arial"/>
          <w:i/>
          <w:iCs w:val="0"/>
          <w:szCs w:val="24"/>
          <w:lang w:eastAsia="en-US"/>
        </w:rPr>
        <w:t>inter alia</w:t>
      </w:r>
      <w:r w:rsidR="008A40C9" w:rsidRPr="00285CDE">
        <w:rPr>
          <w:rFonts w:cs="Arial"/>
          <w:szCs w:val="24"/>
          <w:lang w:eastAsia="en-US"/>
        </w:rPr>
        <w:t xml:space="preserve"> places a duty on the accounting authority “</w:t>
      </w:r>
      <w:r w:rsidR="0090569C" w:rsidRPr="00285CDE">
        <w:t>on request</w:t>
      </w:r>
      <w:r w:rsidR="008A40C9" w:rsidRPr="00285CDE">
        <w:t>”</w:t>
      </w:r>
      <w:r w:rsidR="0090569C" w:rsidRPr="00285CDE">
        <w:t>,</w:t>
      </w:r>
      <w:r w:rsidR="008A40C9" w:rsidRPr="00285CDE">
        <w:t xml:space="preserve"> by the executive authority to</w:t>
      </w:r>
      <w:r w:rsidR="0090569C" w:rsidRPr="00285CDE">
        <w:t xml:space="preserve"> disclose all material facts</w:t>
      </w:r>
      <w:r w:rsidR="008A40C9" w:rsidRPr="00285CDE">
        <w:t xml:space="preserve"> </w:t>
      </w:r>
      <w:r w:rsidR="0090569C" w:rsidRPr="00285CDE">
        <w:t>which in any way may influence the decisions or actions of the executive authority</w:t>
      </w:r>
      <w:r w:rsidR="008A40C9" w:rsidRPr="00285CDE">
        <w:t>. Section 54(1) of the P</w:t>
      </w:r>
      <w:r w:rsidR="00A83F02">
        <w:t>F</w:t>
      </w:r>
      <w:r w:rsidR="008A40C9" w:rsidRPr="00285CDE">
        <w:t xml:space="preserve">MA also </w:t>
      </w:r>
      <w:r w:rsidR="00F671BD" w:rsidRPr="00285CDE">
        <w:t>requires the accounting authority to submit “</w:t>
      </w:r>
      <w:r w:rsidR="00F671BD" w:rsidRPr="00C4698C">
        <w:rPr>
          <w:i/>
          <w:iCs w:val="0"/>
        </w:rPr>
        <w:t>documents, explanations</w:t>
      </w:r>
      <w:r w:rsidR="002441A9" w:rsidRPr="00C4698C">
        <w:rPr>
          <w:i/>
          <w:iCs w:val="0"/>
        </w:rPr>
        <w:t>,</w:t>
      </w:r>
      <w:r w:rsidR="00F671BD" w:rsidRPr="00C4698C">
        <w:rPr>
          <w:i/>
          <w:iCs w:val="0"/>
        </w:rPr>
        <w:t xml:space="preserve"> and motivations as may be prescribed or as the relevant treasury or the Auditor-General may require</w:t>
      </w:r>
      <w:r w:rsidR="00F671BD" w:rsidRPr="00285CDE">
        <w:t xml:space="preserve">”. </w:t>
      </w:r>
      <w:r w:rsidR="007F5A4B" w:rsidRPr="00285CDE">
        <w:t xml:space="preserve">Any interpretation </w:t>
      </w:r>
      <w:r w:rsidR="002441A9" w:rsidRPr="00285CDE">
        <w:t>that</w:t>
      </w:r>
      <w:r w:rsidR="007F5A4B" w:rsidRPr="00285CDE">
        <w:t xml:space="preserve"> suggests that the PE Minister may not request further information would defeat the plain meaning of </w:t>
      </w:r>
      <w:r w:rsidR="007F5A4B" w:rsidRPr="00285CDE">
        <w:lastRenderedPageBreak/>
        <w:t>the provisions referred to above.</w:t>
      </w:r>
    </w:p>
    <w:p w14:paraId="699B4D50" w14:textId="5C0FF3B9" w:rsidR="002441A9" w:rsidRPr="00285CDE" w:rsidRDefault="00890EE4" w:rsidP="00890EE4">
      <w:pPr>
        <w:pStyle w:val="1"/>
        <w:numPr>
          <w:ilvl w:val="0"/>
          <w:numId w:val="0"/>
        </w:numPr>
        <w:tabs>
          <w:tab w:val="left" w:pos="567"/>
        </w:tabs>
        <w:spacing w:line="360" w:lineRule="auto"/>
        <w:ind w:left="567" w:hanging="567"/>
      </w:pPr>
      <w:r w:rsidRPr="00285CDE">
        <w:rPr>
          <w:rFonts w:cs="Arial"/>
          <w:szCs w:val="24"/>
        </w:rPr>
        <w:t>[172]</w:t>
      </w:r>
      <w:r w:rsidRPr="00285CDE">
        <w:rPr>
          <w:rFonts w:cs="Arial"/>
          <w:szCs w:val="24"/>
        </w:rPr>
        <w:tab/>
      </w:r>
      <w:r w:rsidR="002441A9" w:rsidRPr="00285CDE">
        <w:t>Consequently, the</w:t>
      </w:r>
      <w:r w:rsidR="00F671BD" w:rsidRPr="00285CDE">
        <w:t xml:space="preserve"> provisions</w:t>
      </w:r>
      <w:r w:rsidR="008852EE" w:rsidRPr="00285CDE">
        <w:t xml:space="preserve"> of the PFMA</w:t>
      </w:r>
      <w:r w:rsidR="002441A9" w:rsidRPr="00285CDE">
        <w:t xml:space="preserve"> in so far as the request for information by the PE Minister is concerned </w:t>
      </w:r>
      <w:r w:rsidR="00F671BD" w:rsidRPr="00285CDE">
        <w:t xml:space="preserve">point me to one conclusion, the PE Minister </w:t>
      </w:r>
      <w:r w:rsidR="004A0AEC" w:rsidRPr="00285CDE">
        <w:t>is entitled to request</w:t>
      </w:r>
      <w:r w:rsidR="00F671BD" w:rsidRPr="00285CDE">
        <w:t xml:space="preserve"> additional information as and when he deems it necessary</w:t>
      </w:r>
      <w:r w:rsidR="00C4698C">
        <w:t>,</w:t>
      </w:r>
      <w:r w:rsidR="00F671BD" w:rsidRPr="00285CDE">
        <w:t xml:space="preserve"> otherwise failure to do so may result in approving </w:t>
      </w:r>
      <w:r w:rsidR="00C4698C">
        <w:t xml:space="preserve">or rejecting the </w:t>
      </w:r>
      <w:r w:rsidR="00F671BD" w:rsidRPr="00285CDE">
        <w:t xml:space="preserve">section 54(2) application based on insufficient information. In my </w:t>
      </w:r>
      <w:r w:rsidR="00E92F39" w:rsidRPr="00285CDE">
        <w:t xml:space="preserve">view, </w:t>
      </w:r>
      <w:r w:rsidR="00F671BD" w:rsidRPr="00285CDE">
        <w:t>the PE Minister acted within his powers as provided for in the PFM</w:t>
      </w:r>
      <w:r w:rsidR="00266FA1" w:rsidRPr="00285CDE">
        <w:t xml:space="preserve">A </w:t>
      </w:r>
      <w:r w:rsidR="00F671BD" w:rsidRPr="00285CDE">
        <w:t xml:space="preserve">to request additional information </w:t>
      </w:r>
      <w:r w:rsidR="00E92F39" w:rsidRPr="00285CDE">
        <w:t>to</w:t>
      </w:r>
      <w:r w:rsidR="00F671BD" w:rsidRPr="00285CDE">
        <w:t xml:space="preserve"> satisfy himself whether to approve or not to approve the section 54(2) application. </w:t>
      </w:r>
    </w:p>
    <w:p w14:paraId="3413A42C" w14:textId="1EA5DCAF" w:rsidR="00E466FC" w:rsidRPr="00285CDE" w:rsidRDefault="00890EE4" w:rsidP="00890EE4">
      <w:pPr>
        <w:pStyle w:val="1"/>
        <w:numPr>
          <w:ilvl w:val="0"/>
          <w:numId w:val="0"/>
        </w:numPr>
        <w:tabs>
          <w:tab w:val="left" w:pos="567"/>
        </w:tabs>
        <w:spacing w:line="360" w:lineRule="auto"/>
        <w:ind w:left="567" w:hanging="567"/>
      </w:pPr>
      <w:r w:rsidRPr="00285CDE">
        <w:rPr>
          <w:rFonts w:cs="Arial"/>
          <w:szCs w:val="24"/>
        </w:rPr>
        <w:t>[173]</w:t>
      </w:r>
      <w:r w:rsidRPr="00285CDE">
        <w:rPr>
          <w:rFonts w:cs="Arial"/>
          <w:szCs w:val="24"/>
        </w:rPr>
        <w:tab/>
      </w:r>
      <w:r w:rsidR="002441A9" w:rsidRPr="00285CDE">
        <w:t xml:space="preserve">Furthermore, </w:t>
      </w:r>
      <w:r w:rsidR="002441A9" w:rsidRPr="00285CDE">
        <w:rPr>
          <w:rFonts w:cs="Arial"/>
          <w:szCs w:val="24"/>
          <w:lang w:eastAsia="en-US"/>
        </w:rPr>
        <w:t>t</w:t>
      </w:r>
      <w:r w:rsidR="00E466FC" w:rsidRPr="00285CDE">
        <w:rPr>
          <w:rFonts w:cs="Arial"/>
          <w:szCs w:val="24"/>
          <w:lang w:eastAsia="en-US"/>
        </w:rPr>
        <w:t xml:space="preserve">he First and Second Respondents </w:t>
      </w:r>
      <w:r w:rsidR="00940EC5" w:rsidRPr="00285CDE">
        <w:rPr>
          <w:rFonts w:cs="Arial"/>
          <w:szCs w:val="24"/>
          <w:lang w:eastAsia="en-US"/>
        </w:rPr>
        <w:t>correct</w:t>
      </w:r>
      <w:r w:rsidR="00AB01EF" w:rsidRPr="00285CDE">
        <w:rPr>
          <w:rFonts w:cs="Arial"/>
          <w:szCs w:val="24"/>
          <w:lang w:eastAsia="en-US"/>
        </w:rPr>
        <w:t>ly</w:t>
      </w:r>
      <w:r w:rsidR="00940EC5" w:rsidRPr="00285CDE">
        <w:rPr>
          <w:rFonts w:cs="Arial"/>
          <w:szCs w:val="24"/>
          <w:lang w:eastAsia="en-US"/>
        </w:rPr>
        <w:t xml:space="preserve"> </w:t>
      </w:r>
      <w:r w:rsidR="00AB01EF" w:rsidRPr="00285CDE">
        <w:rPr>
          <w:rFonts w:cs="Arial"/>
          <w:szCs w:val="24"/>
          <w:lang w:eastAsia="en-US"/>
        </w:rPr>
        <w:t>submitted that</w:t>
      </w:r>
      <w:r w:rsidR="00940EC5" w:rsidRPr="00285CDE">
        <w:rPr>
          <w:rFonts w:cs="Arial"/>
          <w:szCs w:val="24"/>
          <w:lang w:eastAsia="en-US"/>
        </w:rPr>
        <w:t xml:space="preserve"> transparency, accountability and sound management of revenue and expenditure </w:t>
      </w:r>
      <w:r w:rsidR="002274EE" w:rsidRPr="00285CDE">
        <w:rPr>
          <w:rFonts w:cs="Arial"/>
          <w:szCs w:val="24"/>
          <w:lang w:eastAsia="en-US"/>
        </w:rPr>
        <w:t xml:space="preserve">as per section 2 of the PFMA </w:t>
      </w:r>
      <w:r w:rsidR="00940EC5" w:rsidRPr="00285CDE">
        <w:rPr>
          <w:rFonts w:cs="Arial"/>
          <w:szCs w:val="24"/>
          <w:lang w:eastAsia="en-US"/>
        </w:rPr>
        <w:t xml:space="preserve">could be achieved when the PE Minister has all the information at his disposal prior to making a decision. </w:t>
      </w:r>
    </w:p>
    <w:p w14:paraId="55F8BB29" w14:textId="1C08F4D9" w:rsidR="00AB01EF" w:rsidRPr="00285CDE" w:rsidRDefault="00890EE4" w:rsidP="00890EE4">
      <w:pPr>
        <w:pStyle w:val="1"/>
        <w:numPr>
          <w:ilvl w:val="0"/>
          <w:numId w:val="0"/>
        </w:numPr>
        <w:tabs>
          <w:tab w:val="left" w:pos="567"/>
        </w:tabs>
        <w:spacing w:line="360" w:lineRule="auto"/>
        <w:ind w:left="567" w:hanging="567"/>
      </w:pPr>
      <w:r w:rsidRPr="00285CDE">
        <w:rPr>
          <w:rFonts w:cs="Arial"/>
          <w:szCs w:val="24"/>
        </w:rPr>
        <w:t>[174]</w:t>
      </w:r>
      <w:r w:rsidRPr="00285CDE">
        <w:rPr>
          <w:rFonts w:cs="Arial"/>
          <w:szCs w:val="24"/>
        </w:rPr>
        <w:tab/>
      </w:r>
      <w:r w:rsidR="008852EE" w:rsidRPr="00285CDE">
        <w:t xml:space="preserve">I am aware of the reliance by the Fourth and Fifth Respondents </w:t>
      </w:r>
      <w:r w:rsidR="00F040A5" w:rsidRPr="00285CDE">
        <w:t>on</w:t>
      </w:r>
      <w:r w:rsidR="008852EE" w:rsidRPr="00285CDE">
        <w:t xml:space="preserve"> various </w:t>
      </w:r>
      <w:r w:rsidR="00F040A5" w:rsidRPr="00285CDE">
        <w:t>provisions</w:t>
      </w:r>
      <w:r w:rsidR="008852EE" w:rsidRPr="00285CDE">
        <w:t xml:space="preserve"> of the SMF. I agree that the SMF </w:t>
      </w:r>
      <w:r w:rsidR="008852EE" w:rsidRPr="00285CDE">
        <w:rPr>
          <w:i/>
          <w:iCs w:val="0"/>
        </w:rPr>
        <w:t>inter alia</w:t>
      </w:r>
      <w:r w:rsidR="008852EE" w:rsidRPr="00285CDE">
        <w:t xml:space="preserve"> requires the PE Minister to exercise oversight of transactions undertaken in respect of SAA including compliance with legislative and policy requirements.</w:t>
      </w:r>
      <w:r w:rsidR="008852EE" w:rsidRPr="00285CDE">
        <w:rPr>
          <w:rStyle w:val="FootnoteReference"/>
        </w:rPr>
        <w:footnoteReference w:id="67"/>
      </w:r>
      <w:r w:rsidR="008852EE" w:rsidRPr="00285CDE">
        <w:t xml:space="preserve"> Additionally, the SFM does allow the </w:t>
      </w:r>
      <w:r w:rsidR="00AB01EF" w:rsidRPr="00285CDE">
        <w:t xml:space="preserve">PE </w:t>
      </w:r>
      <w:r w:rsidR="008852EE" w:rsidRPr="00285CDE">
        <w:t xml:space="preserve">Minister to request further information in case </w:t>
      </w:r>
      <w:r w:rsidR="00AB01EF" w:rsidRPr="00285CDE">
        <w:t>a</w:t>
      </w:r>
      <w:r w:rsidR="008852EE" w:rsidRPr="00285CDE">
        <w:t xml:space="preserve"> section 54(2) application is incomplete.</w:t>
      </w:r>
      <w:r w:rsidR="008852EE" w:rsidRPr="00285CDE">
        <w:rPr>
          <w:rStyle w:val="FootnoteReference"/>
        </w:rPr>
        <w:footnoteReference w:id="68"/>
      </w:r>
      <w:r w:rsidR="008852EE" w:rsidRPr="00285CDE">
        <w:t xml:space="preserve"> This would be not achieved wherein the PE Minister would be barred from requesting additional information about </w:t>
      </w:r>
      <w:r w:rsidR="00AB01EF" w:rsidRPr="00285CDE">
        <w:t xml:space="preserve">a </w:t>
      </w:r>
      <w:r w:rsidR="008852EE" w:rsidRPr="00285CDE">
        <w:t xml:space="preserve">section 54(2) application. </w:t>
      </w:r>
    </w:p>
    <w:p w14:paraId="175A4354" w14:textId="4813008D" w:rsidR="008852EE" w:rsidRPr="00285CDE" w:rsidRDefault="00890EE4" w:rsidP="00890EE4">
      <w:pPr>
        <w:pStyle w:val="1"/>
        <w:numPr>
          <w:ilvl w:val="0"/>
          <w:numId w:val="0"/>
        </w:numPr>
        <w:tabs>
          <w:tab w:val="left" w:pos="567"/>
        </w:tabs>
        <w:spacing w:line="360" w:lineRule="auto"/>
        <w:ind w:left="567" w:hanging="567"/>
      </w:pPr>
      <w:r w:rsidRPr="00285CDE">
        <w:rPr>
          <w:rFonts w:cs="Arial"/>
          <w:szCs w:val="24"/>
        </w:rPr>
        <w:t>[175]</w:t>
      </w:r>
      <w:r w:rsidRPr="00285CDE">
        <w:rPr>
          <w:rFonts w:cs="Arial"/>
          <w:szCs w:val="24"/>
        </w:rPr>
        <w:tab/>
      </w:r>
      <w:r w:rsidR="008852EE" w:rsidRPr="00285CDE">
        <w:t xml:space="preserve">However, my difficulty is that the SMF was concluded on 22 October 2021 </w:t>
      </w:r>
      <w:r w:rsidR="000E575E" w:rsidRPr="00285CDE">
        <w:t>between the PE Minister and the Board of Directors of SAA. T</w:t>
      </w:r>
      <w:r w:rsidR="008852EE" w:rsidRPr="00285CDE">
        <w:t>he BRP is not a party to the SM</w:t>
      </w:r>
      <w:r w:rsidR="000E575E" w:rsidRPr="00285CDE">
        <w:t>F</w:t>
      </w:r>
      <w:r w:rsidR="008852EE" w:rsidRPr="00285CDE">
        <w:t>.</w:t>
      </w:r>
      <w:r w:rsidR="000E575E" w:rsidRPr="00285CDE">
        <w:rPr>
          <w:rStyle w:val="FootnoteReference"/>
        </w:rPr>
        <w:footnoteReference w:id="69"/>
      </w:r>
      <w:r w:rsidR="008852EE" w:rsidRPr="00285CDE">
        <w:t xml:space="preserve"> In addition, the SMF provisions do not say anything about the amended business rescue plan. </w:t>
      </w:r>
      <w:r w:rsidR="00C20240">
        <w:t>It would appear that t</w:t>
      </w:r>
      <w:r w:rsidR="008852EE" w:rsidRPr="00285CDE">
        <w:t xml:space="preserve">he SMF provisions </w:t>
      </w:r>
      <w:r w:rsidR="00C20240">
        <w:t>were drafted when</w:t>
      </w:r>
      <w:r w:rsidR="00F040A5" w:rsidRPr="00285CDE">
        <w:t xml:space="preserve"> </w:t>
      </w:r>
      <w:r w:rsidR="008852EE" w:rsidRPr="00285CDE">
        <w:t>Mango Airline</w:t>
      </w:r>
      <w:r w:rsidR="00A83F02">
        <w:t>s</w:t>
      </w:r>
      <w:r w:rsidR="008852EE" w:rsidRPr="00285CDE">
        <w:t xml:space="preserve"> </w:t>
      </w:r>
      <w:r w:rsidR="00C20240">
        <w:t>was</w:t>
      </w:r>
      <w:r w:rsidR="008852EE" w:rsidRPr="00285CDE">
        <w:t xml:space="preserve"> </w:t>
      </w:r>
      <w:r w:rsidR="00AB01EF" w:rsidRPr="00285CDE">
        <w:t>in</w:t>
      </w:r>
      <w:r w:rsidR="008852EE" w:rsidRPr="00285CDE">
        <w:t xml:space="preserve"> </w:t>
      </w:r>
      <w:r w:rsidR="00C20240">
        <w:t xml:space="preserve">ordinary </w:t>
      </w:r>
      <w:r w:rsidR="008852EE" w:rsidRPr="00285CDE">
        <w:t xml:space="preserve">business circumstances and not </w:t>
      </w:r>
      <w:r w:rsidR="00941BF2">
        <w:t xml:space="preserve">when the airline was </w:t>
      </w:r>
      <w:r w:rsidR="008852EE" w:rsidRPr="00285CDE">
        <w:t>under a business rescue</w:t>
      </w:r>
      <w:r w:rsidR="00F040A5" w:rsidRPr="00285CDE">
        <w:t xml:space="preserve"> process</w:t>
      </w:r>
      <w:r w:rsidR="008852EE" w:rsidRPr="00285CDE">
        <w:t>.</w:t>
      </w:r>
      <w:r w:rsidR="00802163" w:rsidRPr="00285CDE">
        <w:t xml:space="preserve"> This is not the case.</w:t>
      </w:r>
      <w:r w:rsidR="00F040A5" w:rsidRPr="00285CDE">
        <w:t xml:space="preserve"> In </w:t>
      </w:r>
      <w:r w:rsidR="00F040A5" w:rsidRPr="00285CDE">
        <w:lastRenderedPageBreak/>
        <w:t xml:space="preserve">my view, the SMF </w:t>
      </w:r>
      <w:r w:rsidR="00941BF2">
        <w:t xml:space="preserve">serves </w:t>
      </w:r>
      <w:r w:rsidR="00F040A5" w:rsidRPr="00285CDE">
        <w:t>a good purpose and could have been better drafted given the fact that Mango Airline</w:t>
      </w:r>
      <w:r w:rsidR="00A83F02">
        <w:t>s</w:t>
      </w:r>
      <w:r w:rsidR="00F040A5" w:rsidRPr="00285CDE">
        <w:t xml:space="preserve"> </w:t>
      </w:r>
      <w:r w:rsidR="00A83F02">
        <w:t>wa</w:t>
      </w:r>
      <w:r w:rsidR="00F040A5" w:rsidRPr="00285CDE">
        <w:t xml:space="preserve">s </w:t>
      </w:r>
      <w:r w:rsidR="00A83F02">
        <w:t xml:space="preserve">at the time already </w:t>
      </w:r>
      <w:r w:rsidR="00F040A5" w:rsidRPr="00285CDE">
        <w:t xml:space="preserve">under business rescue. The absence of the BRP as </w:t>
      </w:r>
      <w:r w:rsidR="00AB01EF" w:rsidRPr="00285CDE">
        <w:t xml:space="preserve">a </w:t>
      </w:r>
      <w:r w:rsidR="00F040A5" w:rsidRPr="00285CDE">
        <w:t xml:space="preserve">party to the SMF is a major defect. I </w:t>
      </w:r>
      <w:r w:rsidR="00941BF2">
        <w:t xml:space="preserve">will </w:t>
      </w:r>
      <w:r w:rsidR="00F040A5" w:rsidRPr="00285CDE">
        <w:t>deal</w:t>
      </w:r>
      <w:r w:rsidR="00941BF2">
        <w:t xml:space="preserve"> with this observation</w:t>
      </w:r>
      <w:r w:rsidR="00F040A5" w:rsidRPr="00285CDE">
        <w:t xml:space="preserve"> comprehensively </w:t>
      </w:r>
      <w:r w:rsidR="00AB01EF" w:rsidRPr="00285CDE">
        <w:t xml:space="preserve">later </w:t>
      </w:r>
      <w:r w:rsidR="00C21D6D" w:rsidRPr="00285CDE">
        <w:t xml:space="preserve">in the judgment where the agreement to extend the </w:t>
      </w:r>
      <w:r w:rsidR="00AB01EF" w:rsidRPr="00285CDE">
        <w:t>30</w:t>
      </w:r>
      <w:r w:rsidR="00C21D6D" w:rsidRPr="00285CDE">
        <w:t>-day period as per section 54(3) of the PFMA is discussed.</w:t>
      </w:r>
    </w:p>
    <w:p w14:paraId="739C271A" w14:textId="0086A275" w:rsidR="001D4C44" w:rsidRPr="00285CDE" w:rsidRDefault="00890EE4" w:rsidP="00890EE4">
      <w:pPr>
        <w:pStyle w:val="1"/>
        <w:numPr>
          <w:ilvl w:val="0"/>
          <w:numId w:val="0"/>
        </w:numPr>
        <w:tabs>
          <w:tab w:val="left" w:pos="567"/>
        </w:tabs>
        <w:spacing w:line="360" w:lineRule="auto"/>
        <w:ind w:left="567" w:hanging="567"/>
      </w:pPr>
      <w:r w:rsidRPr="00285CDE">
        <w:rPr>
          <w:rFonts w:cs="Arial"/>
          <w:szCs w:val="24"/>
        </w:rPr>
        <w:t>[176]</w:t>
      </w:r>
      <w:r w:rsidRPr="00285CDE">
        <w:rPr>
          <w:rFonts w:cs="Arial"/>
          <w:szCs w:val="24"/>
        </w:rPr>
        <w:tab/>
      </w:r>
      <w:r w:rsidR="00941BF2" w:rsidRPr="00941BF2">
        <w:rPr>
          <w:rFonts w:cs="Arial"/>
          <w:szCs w:val="24"/>
          <w:lang w:eastAsia="en-US"/>
        </w:rPr>
        <w:t>Regarding</w:t>
      </w:r>
      <w:r w:rsidR="002E3757" w:rsidRPr="00941BF2">
        <w:rPr>
          <w:rFonts w:cs="Arial"/>
          <w:szCs w:val="24"/>
          <w:lang w:eastAsia="en-US"/>
        </w:rPr>
        <w:t xml:space="preserve"> the </w:t>
      </w:r>
      <w:r w:rsidR="00941BF2">
        <w:rPr>
          <w:rFonts w:cs="Arial"/>
          <w:szCs w:val="24"/>
          <w:lang w:eastAsia="en-US"/>
        </w:rPr>
        <w:t xml:space="preserve">averment that the </w:t>
      </w:r>
      <w:r w:rsidR="002E3757" w:rsidRPr="00941BF2">
        <w:rPr>
          <w:rFonts w:cs="Arial"/>
          <w:szCs w:val="24"/>
          <w:lang w:eastAsia="en-US"/>
        </w:rPr>
        <w:t xml:space="preserve">section 54(2) application </w:t>
      </w:r>
      <w:r w:rsidR="00941BF2">
        <w:rPr>
          <w:rFonts w:cs="Arial"/>
          <w:szCs w:val="24"/>
          <w:lang w:eastAsia="en-US"/>
        </w:rPr>
        <w:t xml:space="preserve">was </w:t>
      </w:r>
      <w:r w:rsidR="002E3757" w:rsidRPr="00941BF2">
        <w:rPr>
          <w:rFonts w:cs="Arial"/>
          <w:szCs w:val="24"/>
          <w:lang w:eastAsia="en-US"/>
        </w:rPr>
        <w:t>approved by operation of section 54(3) of the PFMA,</w:t>
      </w:r>
      <w:r w:rsidR="00D0174F" w:rsidRPr="00285CDE">
        <w:rPr>
          <w:rFonts w:cs="Arial"/>
          <w:szCs w:val="24"/>
          <w:lang w:eastAsia="en-US"/>
        </w:rPr>
        <w:t xml:space="preserve"> this issue is interconnected with the </w:t>
      </w:r>
      <w:r w:rsidR="00CF6E99" w:rsidRPr="00285CDE">
        <w:rPr>
          <w:rFonts w:cs="Arial"/>
          <w:szCs w:val="24"/>
          <w:lang w:eastAsia="en-US"/>
        </w:rPr>
        <w:t>subject</w:t>
      </w:r>
      <w:r w:rsidR="00D0174F" w:rsidRPr="00285CDE">
        <w:rPr>
          <w:rFonts w:cs="Arial"/>
          <w:szCs w:val="24"/>
          <w:lang w:eastAsia="en-US"/>
        </w:rPr>
        <w:t xml:space="preserve"> of whether </w:t>
      </w:r>
      <w:r w:rsidR="00CF6E99" w:rsidRPr="00285CDE">
        <w:rPr>
          <w:rFonts w:cs="Arial"/>
          <w:szCs w:val="24"/>
          <w:lang w:eastAsia="en-US"/>
        </w:rPr>
        <w:t>there was a “response” to the section 54(2)</w:t>
      </w:r>
      <w:r w:rsidR="00D0174F" w:rsidRPr="00285CDE">
        <w:rPr>
          <w:rFonts w:cs="Arial"/>
          <w:szCs w:val="24"/>
          <w:lang w:eastAsia="en-US"/>
        </w:rPr>
        <w:t xml:space="preserve"> application</w:t>
      </w:r>
      <w:r w:rsidR="00CF6E99" w:rsidRPr="00285CDE">
        <w:rPr>
          <w:rFonts w:cs="Arial"/>
          <w:szCs w:val="24"/>
          <w:lang w:eastAsia="en-US"/>
        </w:rPr>
        <w:t xml:space="preserve"> or whether the section 54(2) application has</w:t>
      </w:r>
      <w:r w:rsidR="00D0174F" w:rsidRPr="00285CDE">
        <w:rPr>
          <w:rFonts w:cs="Arial"/>
          <w:szCs w:val="24"/>
          <w:lang w:eastAsia="en-US"/>
        </w:rPr>
        <w:t xml:space="preserve"> </w:t>
      </w:r>
      <w:r w:rsidR="00CF6E99" w:rsidRPr="00285CDE">
        <w:rPr>
          <w:rFonts w:cs="Arial"/>
          <w:szCs w:val="24"/>
          <w:lang w:eastAsia="en-US"/>
        </w:rPr>
        <w:t>been brought before this Court</w:t>
      </w:r>
      <w:r w:rsidR="00D0174F" w:rsidRPr="00285CDE">
        <w:rPr>
          <w:rFonts w:cs="Arial"/>
          <w:szCs w:val="24"/>
          <w:lang w:eastAsia="en-US"/>
        </w:rPr>
        <w:t xml:space="preserve"> premature</w:t>
      </w:r>
      <w:r w:rsidR="00CF6E99" w:rsidRPr="00285CDE">
        <w:rPr>
          <w:rFonts w:cs="Arial"/>
          <w:szCs w:val="24"/>
          <w:lang w:eastAsia="en-US"/>
        </w:rPr>
        <w:t>ly</w:t>
      </w:r>
      <w:r w:rsidR="00D0174F" w:rsidRPr="00285CDE">
        <w:rPr>
          <w:rFonts w:cs="Arial"/>
          <w:szCs w:val="24"/>
          <w:lang w:eastAsia="en-US"/>
        </w:rPr>
        <w:t xml:space="preserve">. I will therefore address </w:t>
      </w:r>
      <w:r w:rsidR="00CF3A18" w:rsidRPr="00285CDE">
        <w:rPr>
          <w:rFonts w:cs="Arial"/>
          <w:szCs w:val="24"/>
          <w:lang w:eastAsia="en-US"/>
        </w:rPr>
        <w:t xml:space="preserve">all these </w:t>
      </w:r>
      <w:r w:rsidR="00D0174F" w:rsidRPr="00285CDE">
        <w:rPr>
          <w:rFonts w:cs="Arial"/>
          <w:szCs w:val="24"/>
          <w:lang w:eastAsia="en-US"/>
        </w:rPr>
        <w:t>issues under this head</w:t>
      </w:r>
      <w:r w:rsidR="00CF3A18" w:rsidRPr="00285CDE">
        <w:rPr>
          <w:rFonts w:cs="Arial"/>
          <w:szCs w:val="24"/>
          <w:lang w:eastAsia="en-US"/>
        </w:rPr>
        <w:t>ing</w:t>
      </w:r>
      <w:r w:rsidR="00D0174F" w:rsidRPr="00285CDE">
        <w:rPr>
          <w:rFonts w:cs="Arial"/>
          <w:szCs w:val="24"/>
          <w:lang w:eastAsia="en-US"/>
        </w:rPr>
        <w:t>.</w:t>
      </w:r>
    </w:p>
    <w:p w14:paraId="488E2EEF" w14:textId="28B9F206" w:rsidR="00D0174F" w:rsidRPr="00285CDE" w:rsidRDefault="00890EE4" w:rsidP="00890EE4">
      <w:pPr>
        <w:pStyle w:val="1"/>
        <w:numPr>
          <w:ilvl w:val="0"/>
          <w:numId w:val="0"/>
        </w:numPr>
        <w:tabs>
          <w:tab w:val="left" w:pos="567"/>
        </w:tabs>
        <w:ind w:left="567" w:hanging="567"/>
      </w:pPr>
      <w:r w:rsidRPr="00285CDE">
        <w:rPr>
          <w:rFonts w:cs="Arial"/>
          <w:szCs w:val="24"/>
        </w:rPr>
        <w:t>[177]</w:t>
      </w:r>
      <w:r w:rsidRPr="00285CDE">
        <w:rPr>
          <w:rFonts w:cs="Arial"/>
          <w:szCs w:val="24"/>
        </w:rPr>
        <w:tab/>
      </w:r>
      <w:r w:rsidR="003B2B29" w:rsidRPr="00285CDE">
        <w:rPr>
          <w:rFonts w:cs="Arial"/>
          <w:szCs w:val="24"/>
          <w:lang w:eastAsia="en-US"/>
        </w:rPr>
        <w:t>Section 54(3) of the PFMA provides:</w:t>
      </w:r>
    </w:p>
    <w:p w14:paraId="4B95E0DD" w14:textId="58AF360C" w:rsidR="003B2B29" w:rsidRPr="00F342EA" w:rsidRDefault="003B2B29" w:rsidP="00F342EA">
      <w:pPr>
        <w:pStyle w:val="1"/>
        <w:numPr>
          <w:ilvl w:val="0"/>
          <w:numId w:val="0"/>
        </w:numPr>
        <w:spacing w:line="360" w:lineRule="auto"/>
        <w:ind w:left="851" w:right="851"/>
        <w:rPr>
          <w:szCs w:val="24"/>
        </w:rPr>
      </w:pPr>
      <w:r w:rsidRPr="00F342EA">
        <w:rPr>
          <w:szCs w:val="24"/>
        </w:rPr>
        <w:t xml:space="preserve">‘A public entity may assume that approval has been given </w:t>
      </w:r>
      <w:r w:rsidRPr="00F342EA">
        <w:rPr>
          <w:szCs w:val="24"/>
          <w:u w:val="single"/>
        </w:rPr>
        <w:t>if it receives no response from the executive authority</w:t>
      </w:r>
      <w:r w:rsidRPr="00F342EA">
        <w:rPr>
          <w:szCs w:val="24"/>
        </w:rPr>
        <w:t xml:space="preserve"> on a submission in terms of subsection (2) within 30 days or within a longer period as may be agreed to between itself and the executive authority’</w:t>
      </w:r>
      <w:r w:rsidR="00941BF2" w:rsidRPr="00F342EA">
        <w:rPr>
          <w:szCs w:val="24"/>
        </w:rPr>
        <w:t xml:space="preserve"> (own emphasis added)</w:t>
      </w:r>
      <w:r w:rsidRPr="00F342EA">
        <w:rPr>
          <w:szCs w:val="24"/>
        </w:rPr>
        <w:t>.</w:t>
      </w:r>
    </w:p>
    <w:p w14:paraId="08D1B82D" w14:textId="77777777" w:rsidR="0083723D" w:rsidRPr="00285CDE" w:rsidRDefault="0083723D" w:rsidP="003B2B29">
      <w:pPr>
        <w:pStyle w:val="1"/>
        <w:numPr>
          <w:ilvl w:val="0"/>
          <w:numId w:val="0"/>
        </w:numPr>
        <w:spacing w:before="0" w:line="240" w:lineRule="auto"/>
        <w:ind w:left="851" w:right="851"/>
        <w:rPr>
          <w:sz w:val="22"/>
        </w:rPr>
      </w:pPr>
    </w:p>
    <w:p w14:paraId="5B422F51" w14:textId="1C273F73" w:rsidR="0083723D"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[178]</w:t>
      </w:r>
      <w:r w:rsidRPr="00285CDE">
        <w:rPr>
          <w:rFonts w:cs="Arial"/>
          <w:szCs w:val="24"/>
        </w:rPr>
        <w:tab/>
      </w:r>
      <w:r w:rsidR="0083723D" w:rsidRPr="00285CDE">
        <w:t>The plain reading of the aforesaid provision</w:t>
      </w:r>
      <w:r w:rsidR="0008070E" w:rsidRPr="00285CDE">
        <w:t xml:space="preserve"> reveals two factors.</w:t>
      </w:r>
      <w:r w:rsidR="0083723D" w:rsidRPr="00285CDE">
        <w:t xml:space="preserve"> </w:t>
      </w:r>
      <w:r w:rsidR="0008070E" w:rsidRPr="00285CDE">
        <w:t>F</w:t>
      </w:r>
      <w:r w:rsidR="0083723D" w:rsidRPr="00285CDE">
        <w:t xml:space="preserve">irst, it </w:t>
      </w:r>
      <w:r w:rsidR="00A83F02">
        <w:t xml:space="preserve">gives </w:t>
      </w:r>
      <w:r w:rsidR="0083723D" w:rsidRPr="00285CDE">
        <w:t xml:space="preserve">an unequivocal right </w:t>
      </w:r>
      <w:r w:rsidR="00A83F02">
        <w:t xml:space="preserve">to </w:t>
      </w:r>
      <w:r w:rsidR="0083723D" w:rsidRPr="00285CDE">
        <w:t>Mango Airline</w:t>
      </w:r>
      <w:r w:rsidR="00A83F02">
        <w:t>s</w:t>
      </w:r>
      <w:r w:rsidR="0083723D" w:rsidRPr="00285CDE">
        <w:t xml:space="preserve"> or any public entity</w:t>
      </w:r>
      <w:r w:rsidR="00CA73FA" w:rsidRPr="00285CDE">
        <w:t xml:space="preserve"> that is authorised to submit a section 54(2) application</w:t>
      </w:r>
      <w:r w:rsidR="0083723D" w:rsidRPr="00285CDE">
        <w:t xml:space="preserve"> to “assume that approval” of section 54(2) application has been given if there is no response received from the PE Minister within </w:t>
      </w:r>
      <w:r w:rsidR="00CA73FA" w:rsidRPr="00285CDE">
        <w:t xml:space="preserve">30 </w:t>
      </w:r>
      <w:r w:rsidR="0083723D" w:rsidRPr="00285CDE">
        <w:t>days.</w:t>
      </w:r>
      <w:r w:rsidR="0008070E" w:rsidRPr="00285CDE">
        <w:t xml:space="preserve"> </w:t>
      </w:r>
      <w:r w:rsidR="008135D8" w:rsidRPr="00285CDE">
        <w:t xml:space="preserve">It must be </w:t>
      </w:r>
      <w:r w:rsidR="005F0712">
        <w:t xml:space="preserve">noted </w:t>
      </w:r>
      <w:r w:rsidR="008135D8" w:rsidRPr="00285CDE">
        <w:t xml:space="preserve">that SAA re-submitted the section 54(2) application on 28 November 2022 following a consensus between Mango </w:t>
      </w:r>
      <w:r w:rsidR="00802163" w:rsidRPr="00285CDE">
        <w:t>Airline</w:t>
      </w:r>
      <w:r w:rsidR="005F0712">
        <w:t>s</w:t>
      </w:r>
      <w:r w:rsidR="00802163" w:rsidRPr="00285CDE">
        <w:t xml:space="preserve"> </w:t>
      </w:r>
      <w:r w:rsidR="008135D8" w:rsidRPr="00285CDE">
        <w:t xml:space="preserve">and the Board of SAA. Post the resubmission, on 21 December 2022 </w:t>
      </w:r>
      <w:r w:rsidR="00F43371" w:rsidRPr="00285CDE">
        <w:t xml:space="preserve">the PE Minister addressed a letter to </w:t>
      </w:r>
      <w:r w:rsidR="005C6645" w:rsidRPr="00285CDE">
        <w:t xml:space="preserve">SAA </w:t>
      </w:r>
      <w:r w:rsidR="00E45ADD" w:rsidRPr="00285CDE">
        <w:t xml:space="preserve">requesting additional information </w:t>
      </w:r>
      <w:r w:rsidR="005C6645" w:rsidRPr="00285CDE">
        <w:t xml:space="preserve">ranging from due diligence report to foreign ownership </w:t>
      </w:r>
      <w:r w:rsidR="00E45ADD" w:rsidRPr="00285CDE">
        <w:t>that will enable him to asse</w:t>
      </w:r>
      <w:r w:rsidR="00CA73FA" w:rsidRPr="00285CDE">
        <w:t>s</w:t>
      </w:r>
      <w:r w:rsidR="00E45ADD" w:rsidRPr="00285CDE">
        <w:t>s the section 54(2) application.</w:t>
      </w:r>
      <w:r w:rsidR="005C6645" w:rsidRPr="00285CDE">
        <w:t xml:space="preserve"> In addition, the PE Minister stated that the </w:t>
      </w:r>
      <w:r w:rsidR="00CA73FA" w:rsidRPr="00285CDE">
        <w:t>30</w:t>
      </w:r>
      <w:r w:rsidR="005C6645" w:rsidRPr="00285CDE">
        <w:t>-day period will start running once all the conditions were met.</w:t>
      </w:r>
      <w:r w:rsidR="005C6645" w:rsidRPr="00285CDE">
        <w:rPr>
          <w:i/>
          <w:iCs w:val="0"/>
        </w:rPr>
        <w:t xml:space="preserve"> </w:t>
      </w:r>
      <w:r w:rsidR="005B5D8F" w:rsidRPr="00285CDE">
        <w:t>This</w:t>
      </w:r>
      <w:r w:rsidR="00DD7E4E" w:rsidRPr="00285CDE">
        <w:t xml:space="preserve"> letter was sent to the Applicants </w:t>
      </w:r>
      <w:r w:rsidR="00CA73FA" w:rsidRPr="00285CDE">
        <w:t>within 30</w:t>
      </w:r>
      <w:r w:rsidR="00F43371" w:rsidRPr="00285CDE">
        <w:t xml:space="preserve"> days</w:t>
      </w:r>
      <w:r w:rsidR="00EC49D0" w:rsidRPr="00285CDE">
        <w:t xml:space="preserve"> of receipt of the</w:t>
      </w:r>
      <w:r w:rsidR="00DD7E4E" w:rsidRPr="00285CDE">
        <w:t>ir</w:t>
      </w:r>
      <w:r w:rsidR="00EC49D0" w:rsidRPr="00285CDE">
        <w:t xml:space="preserve"> section 54(2) application</w:t>
      </w:r>
      <w:r w:rsidR="00DD7E4E" w:rsidRPr="00285CDE">
        <w:t>.</w:t>
      </w:r>
      <w:r w:rsidR="00F43371" w:rsidRPr="00285CDE">
        <w:t xml:space="preserve"> Consequently, this affected the triggering of operation of the </w:t>
      </w:r>
      <w:r w:rsidR="00CA73FA" w:rsidRPr="00285CDE">
        <w:t>30</w:t>
      </w:r>
      <w:r w:rsidR="005C6645" w:rsidRPr="00285CDE">
        <w:t>-</w:t>
      </w:r>
      <w:r w:rsidR="00EC49D0" w:rsidRPr="00285CDE">
        <w:t xml:space="preserve">day period as </w:t>
      </w:r>
      <w:r w:rsidR="00EC49D0" w:rsidRPr="00285CDE">
        <w:lastRenderedPageBreak/>
        <w:t>there was a response within that time-frame.</w:t>
      </w:r>
      <w:r w:rsidR="00F43371" w:rsidRPr="00285CDE">
        <w:t xml:space="preserve"> </w:t>
      </w:r>
      <w:r w:rsidR="005B5D8F" w:rsidRPr="00285CDE">
        <w:t xml:space="preserve">I have already stated that the PE Minister has </w:t>
      </w:r>
      <w:r w:rsidR="005F0712">
        <w:t>the</w:t>
      </w:r>
      <w:r w:rsidR="009F1710" w:rsidRPr="00285CDE">
        <w:t xml:space="preserve"> s</w:t>
      </w:r>
      <w:r w:rsidR="005B5D8F" w:rsidRPr="00285CDE">
        <w:t>tatutory power to request additional information.</w:t>
      </w:r>
    </w:p>
    <w:p w14:paraId="61E0F99A" w14:textId="1C87ADE7" w:rsidR="008F17E9" w:rsidRPr="00285CDE" w:rsidRDefault="00890EE4" w:rsidP="00890EE4">
      <w:pPr>
        <w:pStyle w:val="1"/>
        <w:numPr>
          <w:ilvl w:val="0"/>
          <w:numId w:val="0"/>
        </w:numPr>
        <w:tabs>
          <w:tab w:val="left" w:pos="567"/>
        </w:tabs>
        <w:spacing w:line="360" w:lineRule="auto"/>
        <w:ind w:left="567" w:hanging="567"/>
        <w:rPr>
          <w:i/>
        </w:rPr>
      </w:pPr>
      <w:r w:rsidRPr="00285CDE">
        <w:rPr>
          <w:rFonts w:cs="Arial"/>
          <w:szCs w:val="24"/>
        </w:rPr>
        <w:t>[179]</w:t>
      </w:r>
      <w:r w:rsidRPr="00285CDE">
        <w:rPr>
          <w:rFonts w:cs="Arial"/>
          <w:szCs w:val="24"/>
        </w:rPr>
        <w:tab/>
      </w:r>
      <w:r w:rsidR="005D43AA">
        <w:t>Accordingly,</w:t>
      </w:r>
      <w:r w:rsidR="008F17E9" w:rsidRPr="00285CDE">
        <w:t xml:space="preserve"> the PE </w:t>
      </w:r>
      <w:r w:rsidR="00CA73FA" w:rsidRPr="00285CDE">
        <w:t>Minister’s</w:t>
      </w:r>
      <w:r w:rsidR="008F17E9" w:rsidRPr="00285CDE">
        <w:t xml:space="preserve"> letter of 21 December 2022 </w:t>
      </w:r>
      <w:r w:rsidR="005D43AA">
        <w:t>disrupted</w:t>
      </w:r>
      <w:r w:rsidR="008F17E9" w:rsidRPr="00285CDE">
        <w:t xml:space="preserve"> the running of the </w:t>
      </w:r>
      <w:r w:rsidR="00CA73FA" w:rsidRPr="00285CDE">
        <w:t>30</w:t>
      </w:r>
      <w:r w:rsidR="008F17E9" w:rsidRPr="00285CDE">
        <w:t xml:space="preserve">-day period until additional information was furnished to him. However, something occurred. </w:t>
      </w:r>
      <w:r w:rsidR="001676EE" w:rsidRPr="00285CDE">
        <w:t>In</w:t>
      </w:r>
      <w:r w:rsidR="008F17E9" w:rsidRPr="00285CDE">
        <w:t xml:space="preserve"> </w:t>
      </w:r>
      <w:r w:rsidR="003164A4" w:rsidRPr="00285CDE">
        <w:t xml:space="preserve">a letter dated 19 January </w:t>
      </w:r>
      <w:r w:rsidR="008F17E9" w:rsidRPr="00285CDE">
        <w:t>2023</w:t>
      </w:r>
      <w:r w:rsidR="003164A4" w:rsidRPr="00285CDE">
        <w:t>,</w:t>
      </w:r>
      <w:r w:rsidR="008F17E9" w:rsidRPr="00285CDE">
        <w:t xml:space="preserve"> Mango Airline</w:t>
      </w:r>
      <w:r w:rsidR="005F0712">
        <w:t>s</w:t>
      </w:r>
      <w:r w:rsidR="008F17E9" w:rsidRPr="00285CDE">
        <w:t xml:space="preserve"> through its BRP</w:t>
      </w:r>
      <w:r w:rsidR="001676EE" w:rsidRPr="00285CDE">
        <w:t xml:space="preserve"> and</w:t>
      </w:r>
      <w:r w:rsidR="008F17E9" w:rsidRPr="00285CDE">
        <w:t xml:space="preserve"> </w:t>
      </w:r>
      <w:r w:rsidR="00341B5C" w:rsidRPr="00285CDE">
        <w:t>in unequivocal terms informed the PE Minister that it was not going to give him any</w:t>
      </w:r>
      <w:r w:rsidR="003164A4" w:rsidRPr="00285CDE">
        <w:t xml:space="preserve"> additional</w:t>
      </w:r>
      <w:r w:rsidR="00341B5C" w:rsidRPr="00285CDE">
        <w:t xml:space="preserve"> information whatsoever in </w:t>
      </w:r>
      <w:r w:rsidR="001676EE" w:rsidRPr="00285CDE">
        <w:t xml:space="preserve">the </w:t>
      </w:r>
      <w:r w:rsidR="00341B5C" w:rsidRPr="00285CDE">
        <w:t>future.</w:t>
      </w:r>
      <w:r w:rsidR="003164A4" w:rsidRPr="00285CDE">
        <w:rPr>
          <w:rStyle w:val="FootnoteReference"/>
        </w:rPr>
        <w:footnoteReference w:id="70"/>
      </w:r>
      <w:r w:rsidR="00341B5C" w:rsidRPr="00285CDE">
        <w:t xml:space="preserve"> In my view, Mango </w:t>
      </w:r>
      <w:r w:rsidR="00EE242A" w:rsidRPr="00285CDE">
        <w:t>Airline</w:t>
      </w:r>
      <w:r w:rsidR="005F0712">
        <w:t>s</w:t>
      </w:r>
      <w:r w:rsidR="00964949">
        <w:t>’</w:t>
      </w:r>
      <w:r w:rsidR="00EE242A" w:rsidRPr="00285CDE">
        <w:t xml:space="preserve"> </w:t>
      </w:r>
      <w:r w:rsidR="005D43AA">
        <w:t>failure</w:t>
      </w:r>
      <w:r w:rsidR="00341B5C" w:rsidRPr="00285CDE">
        <w:t xml:space="preserve"> to provide any additional information</w:t>
      </w:r>
      <w:r w:rsidR="00E515C7" w:rsidRPr="00285CDE">
        <w:t xml:space="preserve"> to the PE Minister</w:t>
      </w:r>
      <w:r w:rsidR="00341B5C" w:rsidRPr="00285CDE">
        <w:t xml:space="preserve"> triggered a further</w:t>
      </w:r>
      <w:r w:rsidR="00F807EA" w:rsidRPr="00285CDE">
        <w:t xml:space="preserve"> and final</w:t>
      </w:r>
      <w:r w:rsidR="00341B5C" w:rsidRPr="00285CDE">
        <w:t xml:space="preserve"> operation of section 54(3) and the PE Minister had to </w:t>
      </w:r>
      <w:r w:rsidR="00AC1ECB">
        <w:t>take a decision</w:t>
      </w:r>
      <w:r w:rsidR="00341B5C" w:rsidRPr="00285CDE">
        <w:t xml:space="preserve"> within </w:t>
      </w:r>
      <w:r w:rsidR="00CA73FA" w:rsidRPr="00285CDE">
        <w:t>30</w:t>
      </w:r>
      <w:r w:rsidR="00341B5C" w:rsidRPr="00285CDE">
        <w:t xml:space="preserve"> days whether to approve or decline the section 54(2) application</w:t>
      </w:r>
      <w:r w:rsidR="00E01FFF" w:rsidRPr="00285CDE">
        <w:t xml:space="preserve"> as he ha</w:t>
      </w:r>
      <w:r w:rsidR="001E6929">
        <w:t>s</w:t>
      </w:r>
      <w:r w:rsidR="00E01FFF" w:rsidRPr="00285CDE">
        <w:t xml:space="preserve"> an application before him</w:t>
      </w:r>
      <w:r w:rsidR="00341B5C" w:rsidRPr="00285CDE">
        <w:t>.</w:t>
      </w:r>
      <w:r w:rsidR="00964949">
        <w:t xml:space="preserve"> Accordingly,</w:t>
      </w:r>
      <w:r w:rsidR="00EE242A" w:rsidRPr="00285CDE">
        <w:t xml:space="preserve"> </w:t>
      </w:r>
      <w:r w:rsidR="00964949">
        <w:t>t</w:t>
      </w:r>
      <w:r w:rsidR="00E01FFF" w:rsidRPr="00285CDE">
        <w:t xml:space="preserve">he </w:t>
      </w:r>
      <w:r w:rsidR="00802163" w:rsidRPr="00285CDE">
        <w:t xml:space="preserve">PE </w:t>
      </w:r>
      <w:r w:rsidR="00E01FFF" w:rsidRPr="00285CDE">
        <w:t xml:space="preserve">Minister has failed to </w:t>
      </w:r>
      <w:r w:rsidR="00AC1ECB">
        <w:t>take a decision</w:t>
      </w:r>
      <w:r w:rsidR="00E01FFF" w:rsidRPr="00285CDE">
        <w:t>.</w:t>
      </w:r>
      <w:r w:rsidR="00E01FFF" w:rsidRPr="00285CDE">
        <w:rPr>
          <w:i/>
        </w:rPr>
        <w:t xml:space="preserve"> </w:t>
      </w:r>
      <w:r w:rsidR="00EE242A" w:rsidRPr="00285CDE">
        <w:t xml:space="preserve">It cannot be said that this application is premature when the PE Minister is </w:t>
      </w:r>
      <w:r w:rsidR="00964949">
        <w:t>by statute</w:t>
      </w:r>
      <w:r w:rsidR="00EE242A" w:rsidRPr="00285CDE">
        <w:t xml:space="preserve"> bound to </w:t>
      </w:r>
      <w:r w:rsidR="00AC1ECB">
        <w:t>take a decision</w:t>
      </w:r>
      <w:r w:rsidR="00EE242A" w:rsidRPr="00285CDE">
        <w:t xml:space="preserve"> within a specified period but </w:t>
      </w:r>
      <w:r w:rsidR="001E6929">
        <w:t>has failed</w:t>
      </w:r>
      <w:r w:rsidR="00EE242A" w:rsidRPr="00285CDE">
        <w:t xml:space="preserve"> to do so. Accordingly, this application is</w:t>
      </w:r>
      <w:r w:rsidR="00964949">
        <w:t xml:space="preserve"> ripe and</w:t>
      </w:r>
      <w:r w:rsidR="00EE242A" w:rsidRPr="00285CDE">
        <w:t xml:space="preserve"> rightly brought before this Court.</w:t>
      </w:r>
    </w:p>
    <w:p w14:paraId="4C2CFCD2" w14:textId="43B1F16D" w:rsidR="00250F12" w:rsidRPr="00250F12" w:rsidRDefault="00890EE4" w:rsidP="00890EE4">
      <w:pPr>
        <w:pStyle w:val="1"/>
        <w:numPr>
          <w:ilvl w:val="0"/>
          <w:numId w:val="0"/>
        </w:numPr>
        <w:tabs>
          <w:tab w:val="left" w:pos="567"/>
        </w:tabs>
        <w:spacing w:line="360" w:lineRule="auto"/>
        <w:ind w:left="567" w:hanging="567"/>
        <w:rPr>
          <w:i/>
        </w:rPr>
      </w:pPr>
      <w:r w:rsidRPr="00250F12">
        <w:rPr>
          <w:rFonts w:cs="Arial"/>
          <w:szCs w:val="24"/>
        </w:rPr>
        <w:t>[180]</w:t>
      </w:r>
      <w:r w:rsidRPr="00250F12">
        <w:rPr>
          <w:rFonts w:cs="Arial"/>
          <w:szCs w:val="24"/>
        </w:rPr>
        <w:tab/>
      </w:r>
      <w:r w:rsidR="00E01FFF" w:rsidRPr="00285CDE">
        <w:t xml:space="preserve">In my view, NUMSA correctly relied </w:t>
      </w:r>
      <w:r w:rsidR="005F0712">
        <w:t>o</w:t>
      </w:r>
      <w:r w:rsidR="00E01FFF" w:rsidRPr="00285CDE">
        <w:t xml:space="preserve">n the </w:t>
      </w:r>
      <w:r w:rsidR="00E01FFF" w:rsidRPr="00285CDE">
        <w:rPr>
          <w:i/>
          <w:iCs w:val="0"/>
        </w:rPr>
        <w:t>Myeni decision.</w:t>
      </w:r>
      <w:r w:rsidR="00E01FFF" w:rsidRPr="00285CDE">
        <w:t xml:space="preserve"> There, after Ms Myeni was afforded a further opportunity to </w:t>
      </w:r>
      <w:r w:rsidR="00FE3695" w:rsidRPr="00285CDE">
        <w:t>make out a case for proposed amendments</w:t>
      </w:r>
      <w:r w:rsidR="00E01FFF" w:rsidRPr="00285CDE">
        <w:t xml:space="preserve"> </w:t>
      </w:r>
      <w:r w:rsidR="00FE3695" w:rsidRPr="00285CDE">
        <w:t xml:space="preserve">to an already approved section 54(2) application about a Swap Transaction, </w:t>
      </w:r>
      <w:r w:rsidR="00B01092" w:rsidRPr="00285CDE">
        <w:t xml:space="preserve">she merely submitted an application that was similar to the initial one </w:t>
      </w:r>
      <w:r w:rsidR="00802163" w:rsidRPr="00285CDE">
        <w:t>which</w:t>
      </w:r>
      <w:r w:rsidR="00B01092" w:rsidRPr="00285CDE">
        <w:t xml:space="preserve"> was declined save for a new covering letter. The PE Minister rejected the amended section 54(2) application.</w:t>
      </w:r>
      <w:r w:rsidR="00B01092" w:rsidRPr="00285CDE">
        <w:rPr>
          <w:rStyle w:val="FootnoteReference"/>
        </w:rPr>
        <w:footnoteReference w:id="71"/>
      </w:r>
      <w:r w:rsidR="00B01092" w:rsidRPr="00285CDE">
        <w:t xml:space="preserve"> Similarly in this case, the PE Minister </w:t>
      </w:r>
      <w:r w:rsidR="00C71F6C" w:rsidRPr="00285CDE">
        <w:t xml:space="preserve">received an amended section 54(2) application and was informed by the BRP that there is no further information that will be provided to him. In other words, the PE </w:t>
      </w:r>
      <w:r w:rsidR="00AA7D23" w:rsidRPr="00285CDE">
        <w:t>Minister</w:t>
      </w:r>
      <w:r w:rsidR="00C71F6C" w:rsidRPr="00285CDE">
        <w:t xml:space="preserve"> </w:t>
      </w:r>
      <w:r w:rsidR="00780DDA" w:rsidRPr="00285CDE">
        <w:t>was</w:t>
      </w:r>
      <w:r w:rsidR="00C71F6C" w:rsidRPr="00285CDE">
        <w:t xml:space="preserve"> asked by the BRP to consider what is already before him. Therefore, he </w:t>
      </w:r>
      <w:r w:rsidR="00780DDA" w:rsidRPr="00285CDE">
        <w:t>must</w:t>
      </w:r>
      <w:r w:rsidR="00C71F6C" w:rsidRPr="00285CDE">
        <w:t xml:space="preserve"> </w:t>
      </w:r>
      <w:r w:rsidR="00AC1ECB">
        <w:t>take a decision</w:t>
      </w:r>
      <w:r w:rsidR="00C71F6C" w:rsidRPr="00285CDE">
        <w:t xml:space="preserve"> as his courtesy request for additional information has been turned down. When counsel for the First and Seconded Respondent w</w:t>
      </w:r>
      <w:r w:rsidR="00780DDA" w:rsidRPr="00285CDE">
        <w:t>ere</w:t>
      </w:r>
      <w:r w:rsidR="00C71F6C" w:rsidRPr="00285CDE">
        <w:t xml:space="preserve"> asked by this Court as to what should happen to the submitted section 54(2) application as the Applicants have made it clear that they will not provide the requested additional information, his response was that no decision will be taken and that the Applicants are at liberty to explore other options. I disagree. </w:t>
      </w:r>
      <w:r w:rsidR="009F1710" w:rsidRPr="00285CDE">
        <w:t xml:space="preserve">In </w:t>
      </w:r>
      <w:r w:rsidR="009F1710" w:rsidRPr="00285CDE">
        <w:rPr>
          <w:i/>
          <w:iCs w:val="0"/>
        </w:rPr>
        <w:t xml:space="preserve">Dykema v </w:t>
      </w:r>
      <w:r w:rsidR="009F1710" w:rsidRPr="00285CDE">
        <w:rPr>
          <w:i/>
          <w:iCs w:val="0"/>
        </w:rPr>
        <w:lastRenderedPageBreak/>
        <w:t>Malebane and Another</w:t>
      </w:r>
      <w:r w:rsidR="009F1710" w:rsidRPr="00285CDE">
        <w:t xml:space="preserve">, the Constitutional Court held that </w:t>
      </w:r>
      <w:r w:rsidR="009F1710" w:rsidRPr="00285CDE">
        <w:rPr>
          <w:rFonts w:cs="Arial"/>
          <w:szCs w:val="24"/>
        </w:rPr>
        <w:t>“</w:t>
      </w:r>
      <w:r w:rsidR="009F1710" w:rsidRPr="00964949">
        <w:rPr>
          <w:rFonts w:cs="Arial"/>
          <w:i/>
          <w:iCs w:val="0"/>
          <w:color w:val="242121"/>
          <w:szCs w:val="24"/>
          <w:shd w:val="clear" w:color="auto" w:fill="FFFFFF"/>
        </w:rPr>
        <w:t>the right to a decision arises from a validly submitted application</w:t>
      </w:r>
      <w:r w:rsidR="009F1710" w:rsidRPr="00285CDE">
        <w:rPr>
          <w:rFonts w:cs="Arial"/>
          <w:color w:val="242121"/>
          <w:szCs w:val="24"/>
          <w:shd w:val="clear" w:color="auto" w:fill="FFFFFF"/>
        </w:rPr>
        <w:t>”.</w:t>
      </w:r>
      <w:r w:rsidR="009F1710" w:rsidRPr="00285CDE">
        <w:rPr>
          <w:rStyle w:val="FootnoteReference"/>
          <w:rFonts w:cs="Arial"/>
          <w:color w:val="242121"/>
          <w:szCs w:val="24"/>
          <w:shd w:val="clear" w:color="auto" w:fill="FFFFFF"/>
        </w:rPr>
        <w:footnoteReference w:id="72"/>
      </w:r>
      <w:r w:rsidR="009F1710" w:rsidRPr="00285CDE">
        <w:rPr>
          <w:rFonts w:cs="Arial"/>
          <w:color w:val="242121"/>
          <w:szCs w:val="24"/>
          <w:shd w:val="clear" w:color="auto" w:fill="FFFFFF"/>
        </w:rPr>
        <w:t xml:space="preserve"> The evidence before this Court </w:t>
      </w:r>
      <w:r w:rsidR="00FD4842">
        <w:rPr>
          <w:rFonts w:cs="Arial"/>
          <w:color w:val="242121"/>
          <w:szCs w:val="24"/>
          <w:shd w:val="clear" w:color="auto" w:fill="FFFFFF"/>
        </w:rPr>
        <w:t>suggests otherwise</w:t>
      </w:r>
      <w:r w:rsidR="001E6929">
        <w:rPr>
          <w:rFonts w:cs="Arial"/>
          <w:color w:val="242121"/>
          <w:szCs w:val="24"/>
          <w:shd w:val="clear" w:color="auto" w:fill="FFFFFF"/>
        </w:rPr>
        <w:t xml:space="preserve"> </w:t>
      </w:r>
      <w:r w:rsidR="00FD4842">
        <w:rPr>
          <w:rFonts w:cs="Arial"/>
          <w:color w:val="242121"/>
          <w:szCs w:val="24"/>
          <w:shd w:val="clear" w:color="auto" w:fill="FFFFFF"/>
        </w:rPr>
        <w:t>because t</w:t>
      </w:r>
      <w:r w:rsidR="001E6929">
        <w:rPr>
          <w:rFonts w:cs="Arial"/>
          <w:color w:val="242121"/>
          <w:szCs w:val="24"/>
          <w:shd w:val="clear" w:color="auto" w:fill="FFFFFF"/>
        </w:rPr>
        <w:t xml:space="preserve">he </w:t>
      </w:r>
      <w:r w:rsidR="00250F12">
        <w:rPr>
          <w:rFonts w:cs="Arial"/>
          <w:color w:val="242121"/>
          <w:szCs w:val="24"/>
          <w:shd w:val="clear" w:color="auto" w:fill="FFFFFF"/>
        </w:rPr>
        <w:t>re-submitted</w:t>
      </w:r>
      <w:r w:rsidR="00711CA4">
        <w:rPr>
          <w:rFonts w:cs="Arial"/>
          <w:color w:val="242121"/>
          <w:szCs w:val="24"/>
          <w:shd w:val="clear" w:color="auto" w:fill="FFFFFF"/>
        </w:rPr>
        <w:t xml:space="preserve"> section 54(2) submitted on 28 November 2022 by SAA “reflected the </w:t>
      </w:r>
      <w:r w:rsidR="001D108D">
        <w:rPr>
          <w:rFonts w:cs="Arial"/>
          <w:color w:val="242121"/>
          <w:szCs w:val="24"/>
          <w:shd w:val="clear" w:color="auto" w:fill="FFFFFF"/>
        </w:rPr>
        <w:t>consensus</w:t>
      </w:r>
      <w:r w:rsidR="00711CA4">
        <w:rPr>
          <w:rFonts w:cs="Arial"/>
          <w:color w:val="242121"/>
          <w:szCs w:val="24"/>
          <w:shd w:val="clear" w:color="auto" w:fill="FFFFFF"/>
        </w:rPr>
        <w:t xml:space="preserve"> reached between Mango </w:t>
      </w:r>
      <w:r w:rsidR="00344EC3">
        <w:rPr>
          <w:rFonts w:cs="Arial"/>
          <w:color w:val="242121"/>
          <w:szCs w:val="24"/>
          <w:shd w:val="clear" w:color="auto" w:fill="FFFFFF"/>
        </w:rPr>
        <w:t>[</w:t>
      </w:r>
      <w:r w:rsidR="005F0712">
        <w:rPr>
          <w:rFonts w:cs="Arial"/>
          <w:color w:val="242121"/>
          <w:szCs w:val="24"/>
          <w:shd w:val="clear" w:color="auto" w:fill="FFFFFF"/>
        </w:rPr>
        <w:t>Airlines</w:t>
      </w:r>
      <w:r w:rsidR="00344EC3">
        <w:rPr>
          <w:rFonts w:cs="Arial"/>
          <w:color w:val="242121"/>
          <w:szCs w:val="24"/>
          <w:shd w:val="clear" w:color="auto" w:fill="FFFFFF"/>
        </w:rPr>
        <w:t>]</w:t>
      </w:r>
      <w:r w:rsidR="005F0712">
        <w:rPr>
          <w:rFonts w:cs="Arial"/>
          <w:color w:val="242121"/>
          <w:szCs w:val="24"/>
          <w:shd w:val="clear" w:color="auto" w:fill="FFFFFF"/>
        </w:rPr>
        <w:t xml:space="preserve"> </w:t>
      </w:r>
      <w:r w:rsidR="001D108D">
        <w:rPr>
          <w:rFonts w:cs="Arial"/>
          <w:color w:val="242121"/>
          <w:szCs w:val="24"/>
          <w:shd w:val="clear" w:color="auto" w:fill="FFFFFF"/>
        </w:rPr>
        <w:t>and the B</w:t>
      </w:r>
      <w:r w:rsidR="00711CA4">
        <w:rPr>
          <w:rFonts w:cs="Arial"/>
          <w:color w:val="242121"/>
          <w:szCs w:val="24"/>
          <w:shd w:val="clear" w:color="auto" w:fill="FFFFFF"/>
        </w:rPr>
        <w:t>oard of SAA</w:t>
      </w:r>
      <w:r w:rsidR="001D108D">
        <w:rPr>
          <w:rFonts w:cs="Arial"/>
          <w:color w:val="242121"/>
          <w:szCs w:val="24"/>
          <w:shd w:val="clear" w:color="auto" w:fill="FFFFFF"/>
        </w:rPr>
        <w:t>”</w:t>
      </w:r>
      <w:r w:rsidR="00711CA4">
        <w:rPr>
          <w:rFonts w:cs="Arial"/>
          <w:color w:val="242121"/>
          <w:szCs w:val="24"/>
          <w:shd w:val="clear" w:color="auto" w:fill="FFFFFF"/>
        </w:rPr>
        <w:t xml:space="preserve"> </w:t>
      </w:r>
      <w:r w:rsidR="001D108D">
        <w:rPr>
          <w:rFonts w:cs="Arial"/>
          <w:color w:val="242121"/>
          <w:szCs w:val="24"/>
          <w:shd w:val="clear" w:color="auto" w:fill="FFFFFF"/>
        </w:rPr>
        <w:t xml:space="preserve">as per the PE Minister’s concerns in </w:t>
      </w:r>
      <w:r w:rsidR="00964949">
        <w:rPr>
          <w:rFonts w:cs="Arial"/>
          <w:color w:val="242121"/>
          <w:szCs w:val="24"/>
          <w:shd w:val="clear" w:color="auto" w:fill="FFFFFF"/>
        </w:rPr>
        <w:t xml:space="preserve">the </w:t>
      </w:r>
      <w:r w:rsidR="001D108D">
        <w:rPr>
          <w:rFonts w:cs="Arial"/>
          <w:color w:val="242121"/>
          <w:szCs w:val="24"/>
          <w:shd w:val="clear" w:color="auto" w:fill="FFFFFF"/>
        </w:rPr>
        <w:t xml:space="preserve">letter of 26 October 2022 about ensuring alignment between the Board and the BRP. </w:t>
      </w:r>
    </w:p>
    <w:p w14:paraId="75F73782" w14:textId="1B451135" w:rsidR="00E01FFF" w:rsidRPr="00285CDE" w:rsidRDefault="00890EE4" w:rsidP="00890EE4">
      <w:pPr>
        <w:pStyle w:val="1"/>
        <w:numPr>
          <w:ilvl w:val="0"/>
          <w:numId w:val="0"/>
        </w:numPr>
        <w:tabs>
          <w:tab w:val="left" w:pos="567"/>
        </w:tabs>
        <w:spacing w:line="360" w:lineRule="auto"/>
        <w:ind w:left="567" w:hanging="567"/>
        <w:rPr>
          <w:i/>
        </w:rPr>
      </w:pPr>
      <w:r w:rsidRPr="00285CDE">
        <w:rPr>
          <w:rFonts w:cs="Arial"/>
          <w:szCs w:val="24"/>
        </w:rPr>
        <w:t>[181]</w:t>
      </w:r>
      <w:r w:rsidRPr="00285CDE">
        <w:rPr>
          <w:rFonts w:cs="Arial"/>
          <w:szCs w:val="24"/>
        </w:rPr>
        <w:tab/>
      </w:r>
      <w:r w:rsidR="00250F12">
        <w:t>In addition, the Applicants, comprehensively refuted that there were any defects in the</w:t>
      </w:r>
      <w:r w:rsidR="00964949">
        <w:t>ir</w:t>
      </w:r>
      <w:r w:rsidR="00250F12">
        <w:t xml:space="preserve"> section 54(2) application. Furthermore, the Applicants </w:t>
      </w:r>
      <w:r w:rsidR="004958F8">
        <w:t>addressed</w:t>
      </w:r>
      <w:r w:rsidR="00250F12">
        <w:t xml:space="preserve"> the issue of deficiency ranging from </w:t>
      </w:r>
      <w:r w:rsidR="00964949">
        <w:t xml:space="preserve">a </w:t>
      </w:r>
      <w:r w:rsidR="00250F12">
        <w:t>due diligence report to</w:t>
      </w:r>
      <w:r w:rsidR="00964949">
        <w:t xml:space="preserve"> the</w:t>
      </w:r>
      <w:r w:rsidR="00250F12">
        <w:t xml:space="preserve"> foreign ownership requirement. This was not disputed by the Fourth and Fifth Respondents. </w:t>
      </w:r>
      <w:r w:rsidR="009F1710" w:rsidRPr="00285CDE">
        <w:rPr>
          <w:rFonts w:cs="Arial"/>
          <w:color w:val="242121"/>
          <w:szCs w:val="24"/>
          <w:shd w:val="clear" w:color="auto" w:fill="FFFFFF"/>
        </w:rPr>
        <w:t xml:space="preserve">Consequently, the PE Minister </w:t>
      </w:r>
      <w:r w:rsidR="00CA73FA" w:rsidRPr="00285CDE">
        <w:rPr>
          <w:rFonts w:cs="Arial"/>
          <w:color w:val="242121"/>
          <w:szCs w:val="24"/>
          <w:shd w:val="clear" w:color="auto" w:fill="FFFFFF"/>
        </w:rPr>
        <w:t>must</w:t>
      </w:r>
      <w:r w:rsidR="009F1710" w:rsidRPr="00285CDE">
        <w:rPr>
          <w:rFonts w:cs="Arial"/>
          <w:color w:val="242121"/>
          <w:szCs w:val="24"/>
          <w:shd w:val="clear" w:color="auto" w:fill="FFFFFF"/>
        </w:rPr>
        <w:t xml:space="preserve"> </w:t>
      </w:r>
      <w:r w:rsidR="001D108D">
        <w:rPr>
          <w:rFonts w:cs="Arial"/>
          <w:color w:val="242121"/>
          <w:szCs w:val="24"/>
          <w:shd w:val="clear" w:color="auto" w:fill="FFFFFF"/>
        </w:rPr>
        <w:t>take</w:t>
      </w:r>
      <w:r w:rsidR="009F1710" w:rsidRPr="00285CDE">
        <w:rPr>
          <w:rFonts w:cs="Arial"/>
          <w:color w:val="242121"/>
          <w:szCs w:val="24"/>
          <w:shd w:val="clear" w:color="auto" w:fill="FFFFFF"/>
        </w:rPr>
        <w:t xml:space="preserve"> a decision. The status of the Applicant’s section 54(2) </w:t>
      </w:r>
      <w:r w:rsidR="00964949">
        <w:rPr>
          <w:rFonts w:cs="Arial"/>
          <w:color w:val="242121"/>
          <w:szCs w:val="24"/>
          <w:shd w:val="clear" w:color="auto" w:fill="FFFFFF"/>
        </w:rPr>
        <w:t xml:space="preserve"> application </w:t>
      </w:r>
      <w:r w:rsidR="009F1710" w:rsidRPr="00285CDE">
        <w:rPr>
          <w:rFonts w:cs="Arial"/>
          <w:color w:val="242121"/>
          <w:szCs w:val="24"/>
          <w:shd w:val="clear" w:color="auto" w:fill="FFFFFF"/>
        </w:rPr>
        <w:t xml:space="preserve">cannot eternally </w:t>
      </w:r>
      <w:r w:rsidR="00780DDA" w:rsidRPr="00285CDE">
        <w:rPr>
          <w:rFonts w:cs="Arial"/>
          <w:color w:val="242121"/>
          <w:szCs w:val="24"/>
          <w:shd w:val="clear" w:color="auto" w:fill="FFFFFF"/>
        </w:rPr>
        <w:t>remain</w:t>
      </w:r>
      <w:r w:rsidR="009F1710" w:rsidRPr="00285CDE">
        <w:rPr>
          <w:rFonts w:cs="Arial"/>
          <w:color w:val="242121"/>
          <w:szCs w:val="24"/>
          <w:shd w:val="clear" w:color="auto" w:fill="FFFFFF"/>
        </w:rPr>
        <w:t xml:space="preserve"> in </w:t>
      </w:r>
      <w:r w:rsidR="009F1710" w:rsidRPr="00344EC3">
        <w:rPr>
          <w:rFonts w:cs="Arial"/>
          <w:i/>
          <w:iCs w:val="0"/>
          <w:color w:val="242121"/>
          <w:szCs w:val="24"/>
          <w:shd w:val="clear" w:color="auto" w:fill="FFFFFF"/>
        </w:rPr>
        <w:t>limbo</w:t>
      </w:r>
      <w:r w:rsidR="009F1710" w:rsidRPr="00285CDE">
        <w:rPr>
          <w:rFonts w:cs="Arial"/>
          <w:color w:val="242121"/>
          <w:szCs w:val="24"/>
          <w:shd w:val="clear" w:color="auto" w:fill="FFFFFF"/>
        </w:rPr>
        <w:t>.</w:t>
      </w:r>
    </w:p>
    <w:p w14:paraId="68D532EA" w14:textId="207DF5A2" w:rsidR="008F17E9"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[182]</w:t>
      </w:r>
      <w:r w:rsidRPr="00285CDE">
        <w:rPr>
          <w:rFonts w:cs="Arial"/>
          <w:szCs w:val="24"/>
        </w:rPr>
        <w:tab/>
      </w:r>
      <w:r w:rsidR="00F807EA" w:rsidRPr="00285CDE">
        <w:t>I also need to highlight that</w:t>
      </w:r>
      <w:r w:rsidR="00EE242A" w:rsidRPr="00285CDE">
        <w:t xml:space="preserve"> the evidence before this Court does not </w:t>
      </w:r>
      <w:r w:rsidR="00964949">
        <w:t>show</w:t>
      </w:r>
      <w:r w:rsidR="00EE242A" w:rsidRPr="00285CDE">
        <w:t xml:space="preserve"> any instance</w:t>
      </w:r>
      <w:r w:rsidR="005F0712">
        <w:t>/</w:t>
      </w:r>
      <w:r w:rsidR="00EE242A" w:rsidRPr="00285CDE">
        <w:t>s where Mango Airline</w:t>
      </w:r>
      <w:r w:rsidR="005F0712">
        <w:t>s</w:t>
      </w:r>
      <w:r w:rsidR="00EE242A" w:rsidRPr="00285CDE">
        <w:t xml:space="preserve"> </w:t>
      </w:r>
      <w:r w:rsidR="00964949">
        <w:t>states</w:t>
      </w:r>
      <w:r w:rsidR="00EE242A" w:rsidRPr="00285CDE">
        <w:t xml:space="preserve"> that it has exercised its right to assume that approval of its section 54(2) application has been given by the PE Minister because of </w:t>
      </w:r>
      <w:r w:rsidR="00964949">
        <w:t>his failure to respond</w:t>
      </w:r>
      <w:r w:rsidR="00EE242A" w:rsidRPr="00285CDE">
        <w:t xml:space="preserve">. Consequently, </w:t>
      </w:r>
      <w:r w:rsidR="00CA73FA" w:rsidRPr="00285CDE">
        <w:t>Mango Airline</w:t>
      </w:r>
      <w:r w:rsidR="005F0712">
        <w:t>s</w:t>
      </w:r>
      <w:r w:rsidR="00CA73FA" w:rsidRPr="00285CDE">
        <w:t xml:space="preserve"> </w:t>
      </w:r>
      <w:r w:rsidR="00EE242A" w:rsidRPr="00285CDE">
        <w:t xml:space="preserve">cannot ask this Court to </w:t>
      </w:r>
      <w:r w:rsidR="004D0084">
        <w:t xml:space="preserve">take a decision </w:t>
      </w:r>
      <w:r w:rsidR="00EE242A" w:rsidRPr="00285CDE">
        <w:t xml:space="preserve">on its behalf as this Court is not well suited </w:t>
      </w:r>
      <w:r w:rsidR="00F807EA" w:rsidRPr="00285CDE">
        <w:t>to</w:t>
      </w:r>
      <w:r w:rsidR="00EE242A" w:rsidRPr="00285CDE">
        <w:t xml:space="preserve"> all factors that are pivotal in a section 54(2) application</w:t>
      </w:r>
      <w:r w:rsidR="00F807EA" w:rsidRPr="00285CDE">
        <w:t xml:space="preserve"> and/or conducting the affairs that are related to a business rescue operation.</w:t>
      </w:r>
      <w:r w:rsidR="00CA73FA" w:rsidRPr="00285CDE">
        <w:t xml:space="preserve"> In any event, section 54(3)</w:t>
      </w:r>
      <w:r w:rsidR="005509B6" w:rsidRPr="00285CDE">
        <w:t xml:space="preserve"> of the PFMA</w:t>
      </w:r>
      <w:r w:rsidR="00CA73FA" w:rsidRPr="00285CDE">
        <w:t xml:space="preserve"> is clear in that “a public entity” is the one who may assume</w:t>
      </w:r>
      <w:r w:rsidR="005509B6" w:rsidRPr="00285CDE">
        <w:t xml:space="preserve"> that approval has been given</w:t>
      </w:r>
      <w:r w:rsidR="00C875B2">
        <w:t xml:space="preserve"> and not anyone else.</w:t>
      </w:r>
    </w:p>
    <w:p w14:paraId="54162281" w14:textId="597960A8" w:rsidR="00F807EA"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[183]</w:t>
      </w:r>
      <w:r w:rsidRPr="00285CDE">
        <w:rPr>
          <w:rFonts w:cs="Arial"/>
          <w:szCs w:val="24"/>
        </w:rPr>
        <w:tab/>
      </w:r>
      <w:r w:rsidR="005B5D8F" w:rsidRPr="00285CDE">
        <w:t xml:space="preserve">Section </w:t>
      </w:r>
      <w:r w:rsidR="005B5D8F" w:rsidRPr="00285CDE">
        <w:rPr>
          <w:szCs w:val="24"/>
        </w:rPr>
        <w:t>54(3) of the PFMA also allows</w:t>
      </w:r>
      <w:r w:rsidR="00522C72">
        <w:rPr>
          <w:szCs w:val="24"/>
        </w:rPr>
        <w:t xml:space="preserve"> for</w:t>
      </w:r>
      <w:r w:rsidR="005B5D8F" w:rsidRPr="00285CDE">
        <w:rPr>
          <w:szCs w:val="24"/>
        </w:rPr>
        <w:t xml:space="preserve"> the extension of the </w:t>
      </w:r>
      <w:r w:rsidR="005509B6" w:rsidRPr="00285CDE">
        <w:rPr>
          <w:szCs w:val="24"/>
        </w:rPr>
        <w:t>30</w:t>
      </w:r>
      <w:r w:rsidR="00780DDA" w:rsidRPr="00285CDE">
        <w:rPr>
          <w:szCs w:val="24"/>
        </w:rPr>
        <w:t>-day</w:t>
      </w:r>
      <w:r w:rsidR="005B5D8F" w:rsidRPr="00285CDE">
        <w:rPr>
          <w:szCs w:val="24"/>
        </w:rPr>
        <w:t xml:space="preserve"> period as may be agreed to between Mango </w:t>
      </w:r>
      <w:r w:rsidR="00780DDA" w:rsidRPr="00285CDE">
        <w:rPr>
          <w:szCs w:val="24"/>
        </w:rPr>
        <w:t>Airline</w:t>
      </w:r>
      <w:r w:rsidR="00FE79FB">
        <w:rPr>
          <w:szCs w:val="24"/>
        </w:rPr>
        <w:t>s</w:t>
      </w:r>
      <w:r w:rsidR="00780DDA" w:rsidRPr="00285CDE">
        <w:rPr>
          <w:szCs w:val="24"/>
        </w:rPr>
        <w:t xml:space="preserve"> </w:t>
      </w:r>
      <w:r w:rsidR="005B5D8F" w:rsidRPr="00285CDE">
        <w:rPr>
          <w:szCs w:val="24"/>
        </w:rPr>
        <w:t>and the PE Minister.</w:t>
      </w:r>
      <w:r w:rsidR="005B5D8F" w:rsidRPr="00285CDE">
        <w:rPr>
          <w:i/>
          <w:iCs w:val="0"/>
        </w:rPr>
        <w:t xml:space="preserve"> </w:t>
      </w:r>
      <w:r w:rsidR="005B5D8F" w:rsidRPr="00285CDE">
        <w:t>This brings me to the second aspect r</w:t>
      </w:r>
      <w:r w:rsidR="00987DC2" w:rsidRPr="00285CDE">
        <w:t xml:space="preserve">egarding the agreement </w:t>
      </w:r>
      <w:r w:rsidR="005B5D8F" w:rsidRPr="00285CDE">
        <w:t xml:space="preserve">that was entered into </w:t>
      </w:r>
      <w:r w:rsidR="00987DC2" w:rsidRPr="00285CDE">
        <w:t xml:space="preserve">between the PE Minister and SAA to extend the </w:t>
      </w:r>
      <w:r w:rsidR="005509B6" w:rsidRPr="00285CDE">
        <w:t>30</w:t>
      </w:r>
      <w:r w:rsidR="00987DC2" w:rsidRPr="00285CDE">
        <w:t>-day period as per section 54(3) of the PFMA</w:t>
      </w:r>
      <w:r w:rsidR="005B5D8F" w:rsidRPr="00285CDE">
        <w:t>.</w:t>
      </w:r>
      <w:r w:rsidR="00987DC2" w:rsidRPr="00285CDE">
        <w:t xml:space="preserve"> I do not deem it necessary to deal with this aspect because it related to the initial section 54(2) application that was submitted on 29 September 2022. Post this, there was a re</w:t>
      </w:r>
      <w:r w:rsidR="00FE79FB">
        <w:t>-</w:t>
      </w:r>
      <w:r w:rsidR="00987DC2" w:rsidRPr="00285CDE">
        <w:t xml:space="preserve">submission on 28 November 2022. This re-submission in my view consisted of an application made afresh and the </w:t>
      </w:r>
      <w:r w:rsidR="005509B6" w:rsidRPr="00285CDE">
        <w:t>30</w:t>
      </w:r>
      <w:r w:rsidR="00987DC2" w:rsidRPr="00285CDE">
        <w:t xml:space="preserve">-day period </w:t>
      </w:r>
      <w:r w:rsidR="005B5D8F" w:rsidRPr="00285CDE">
        <w:lastRenderedPageBreak/>
        <w:t xml:space="preserve">therefore </w:t>
      </w:r>
      <w:r w:rsidR="00987DC2" w:rsidRPr="00285CDE">
        <w:t xml:space="preserve">started running on </w:t>
      </w:r>
      <w:r w:rsidR="00F807EA" w:rsidRPr="00285CDE">
        <w:t xml:space="preserve">19 January 2023 when the BRP </w:t>
      </w:r>
      <w:r w:rsidR="00522C72">
        <w:t>advised</w:t>
      </w:r>
      <w:r w:rsidR="00F807EA" w:rsidRPr="00285CDE">
        <w:t xml:space="preserve"> that there </w:t>
      </w:r>
      <w:r w:rsidR="005509B6" w:rsidRPr="00285CDE">
        <w:t>would</w:t>
      </w:r>
      <w:r w:rsidR="00F807EA" w:rsidRPr="00285CDE">
        <w:t xml:space="preserve"> be no additional information to be supplied to the PE Minister</w:t>
      </w:r>
      <w:r w:rsidR="00987DC2" w:rsidRPr="00285CDE">
        <w:t xml:space="preserve">. This re-submission altered any arrangements that were made before it in so far as the presumption of approval is concerned. </w:t>
      </w:r>
    </w:p>
    <w:p w14:paraId="465E3221" w14:textId="371270AD" w:rsidR="0026361D"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[184]</w:t>
      </w:r>
      <w:r w:rsidRPr="00285CDE">
        <w:rPr>
          <w:rFonts w:cs="Arial"/>
          <w:szCs w:val="24"/>
        </w:rPr>
        <w:tab/>
      </w:r>
      <w:r w:rsidR="000632C7">
        <w:t>Regarding</w:t>
      </w:r>
      <w:r w:rsidR="005B5D8F" w:rsidRPr="00285CDE">
        <w:t xml:space="preserve"> the </w:t>
      </w:r>
      <w:r w:rsidR="005509B6" w:rsidRPr="00285CDE">
        <w:t xml:space="preserve">meaning of </w:t>
      </w:r>
      <w:r w:rsidR="005B5D8F" w:rsidRPr="00285CDE">
        <w:t>response</w:t>
      </w:r>
      <w:r w:rsidR="005509B6" w:rsidRPr="00285CDE">
        <w:t xml:space="preserve"> contained in section 54(3) of the PFMA</w:t>
      </w:r>
      <w:r w:rsidR="005B5D8F" w:rsidRPr="00285CDE">
        <w:t xml:space="preserve">, </w:t>
      </w:r>
      <w:r w:rsidR="005509B6" w:rsidRPr="00285CDE">
        <w:t xml:space="preserve">given the narration </w:t>
      </w:r>
      <w:r w:rsidR="0026361D" w:rsidRPr="00285CDE">
        <w:t>provided</w:t>
      </w:r>
      <w:r w:rsidR="00A12439">
        <w:t xml:space="preserve"> earlier</w:t>
      </w:r>
      <w:r w:rsidR="005509B6" w:rsidRPr="00285CDE">
        <w:t xml:space="preserve">, it follows that the responses made by the PE Minister </w:t>
      </w:r>
      <w:r w:rsidR="000632C7">
        <w:t xml:space="preserve">regarding </w:t>
      </w:r>
      <w:r w:rsidR="005509B6" w:rsidRPr="00285CDE">
        <w:t xml:space="preserve">the section 54(2) application </w:t>
      </w:r>
      <w:r w:rsidR="001D76C7" w:rsidRPr="00285CDE">
        <w:t xml:space="preserve">did at some stage affect and extend the operation of the 30-day period. This was only up until the Applicants informed the PE Minister that they </w:t>
      </w:r>
      <w:r w:rsidR="000632C7">
        <w:t>would</w:t>
      </w:r>
      <w:r w:rsidR="001D76C7" w:rsidRPr="00285CDE">
        <w:t xml:space="preserve"> not furnish any further information. Consequently, in the context of this case, “response” </w:t>
      </w:r>
      <w:r w:rsidR="0026361D" w:rsidRPr="00285CDE">
        <w:t xml:space="preserve">serves to mean two things namely; </w:t>
      </w:r>
    </w:p>
    <w:p w14:paraId="666A1911" w14:textId="420DF3DA" w:rsidR="0026361D" w:rsidRPr="00285CDE" w:rsidRDefault="0026361D" w:rsidP="0026361D">
      <w:pPr>
        <w:pStyle w:val="1"/>
        <w:numPr>
          <w:ilvl w:val="0"/>
          <w:numId w:val="0"/>
        </w:numPr>
        <w:ind w:left="567"/>
      </w:pPr>
      <w:r w:rsidRPr="00285CDE">
        <w:t>[18</w:t>
      </w:r>
      <w:r w:rsidR="00A67ACE">
        <w:t>4</w:t>
      </w:r>
      <w:r w:rsidRPr="00285CDE">
        <w:t xml:space="preserve">.1] first, to put a matter to an end, approval or rejection of a section 54(2) </w:t>
      </w:r>
    </w:p>
    <w:p w14:paraId="29ADF24F" w14:textId="1EA7F792" w:rsidR="0026361D" w:rsidRPr="00285CDE" w:rsidRDefault="0026361D" w:rsidP="0026361D">
      <w:pPr>
        <w:pStyle w:val="1"/>
        <w:numPr>
          <w:ilvl w:val="0"/>
          <w:numId w:val="0"/>
        </w:numPr>
        <w:spacing w:before="120" w:line="240" w:lineRule="auto"/>
        <w:ind w:left="1287"/>
      </w:pPr>
      <w:r w:rsidRPr="00285CDE">
        <w:t xml:space="preserve"> application.</w:t>
      </w:r>
      <w:r w:rsidR="00D55340" w:rsidRPr="00285CDE">
        <w:t xml:space="preserve"> </w:t>
      </w:r>
    </w:p>
    <w:p w14:paraId="5D320D2F" w14:textId="31FE0EF6" w:rsidR="00E51015" w:rsidRPr="00285CDE" w:rsidRDefault="0026361D" w:rsidP="00E51015">
      <w:pPr>
        <w:pStyle w:val="1"/>
        <w:numPr>
          <w:ilvl w:val="0"/>
          <w:numId w:val="0"/>
        </w:numPr>
        <w:spacing w:line="240" w:lineRule="auto"/>
        <w:ind w:left="567"/>
      </w:pPr>
      <w:r w:rsidRPr="00285CDE">
        <w:t>[18</w:t>
      </w:r>
      <w:r w:rsidR="00A67ACE">
        <w:t>4</w:t>
      </w:r>
      <w:r w:rsidRPr="00285CDE">
        <w:t xml:space="preserve">.2] second, to provide an interim </w:t>
      </w:r>
      <w:r w:rsidR="00E51015" w:rsidRPr="00285CDE">
        <w:t xml:space="preserve">response </w:t>
      </w:r>
      <w:r w:rsidRPr="00285CDE">
        <w:t xml:space="preserve">pending the approval or </w:t>
      </w:r>
    </w:p>
    <w:p w14:paraId="5D545E68" w14:textId="4F8FDD85" w:rsidR="00A155F0" w:rsidRPr="00285CDE" w:rsidRDefault="0026361D" w:rsidP="00E51015">
      <w:pPr>
        <w:pStyle w:val="1"/>
        <w:numPr>
          <w:ilvl w:val="0"/>
          <w:numId w:val="0"/>
        </w:numPr>
        <w:ind w:left="1287"/>
      </w:pPr>
      <w:r w:rsidRPr="00285CDE">
        <w:t xml:space="preserve">rejection of a section 54(2) </w:t>
      </w:r>
      <w:r w:rsidR="00E51015" w:rsidRPr="00285CDE">
        <w:t>application such as requesting further information.</w:t>
      </w:r>
    </w:p>
    <w:p w14:paraId="2DAA2E6C" w14:textId="2F56FC1B" w:rsidR="002B50E4" w:rsidRPr="00285CDE" w:rsidRDefault="00890EE4" w:rsidP="00890EE4">
      <w:pPr>
        <w:pStyle w:val="1"/>
        <w:numPr>
          <w:ilvl w:val="0"/>
          <w:numId w:val="0"/>
        </w:numPr>
        <w:tabs>
          <w:tab w:val="left" w:pos="567"/>
        </w:tabs>
        <w:spacing w:line="360" w:lineRule="auto"/>
        <w:ind w:left="567" w:hanging="567"/>
      </w:pPr>
      <w:r w:rsidRPr="00285CDE">
        <w:rPr>
          <w:rFonts w:cs="Arial"/>
          <w:szCs w:val="24"/>
        </w:rPr>
        <w:t>[185]</w:t>
      </w:r>
      <w:r w:rsidRPr="00285CDE">
        <w:rPr>
          <w:rFonts w:cs="Arial"/>
          <w:szCs w:val="24"/>
        </w:rPr>
        <w:tab/>
      </w:r>
      <w:r w:rsidR="00E51015" w:rsidRPr="00285CDE">
        <w:t xml:space="preserve">I say so because the provisions of section 54 of the PFMA </w:t>
      </w:r>
      <w:r w:rsidR="003F04AE">
        <w:t>are to</w:t>
      </w:r>
      <w:r w:rsidR="00A0067C">
        <w:t xml:space="preserve"> </w:t>
      </w:r>
      <w:r w:rsidR="00E51015" w:rsidRPr="00285CDE">
        <w:t xml:space="preserve">be read and considered as a whole and not to </w:t>
      </w:r>
      <w:r w:rsidR="002B50E4" w:rsidRPr="00285CDE">
        <w:t xml:space="preserve">be </w:t>
      </w:r>
      <w:r w:rsidR="00E51015" w:rsidRPr="00285CDE">
        <w:t>read in isolation from ot</w:t>
      </w:r>
      <w:r w:rsidR="003F04AE">
        <w:t>her provisions of the Act</w:t>
      </w:r>
      <w:r w:rsidR="00E51015" w:rsidRPr="00285CDE">
        <w:t>. The legislature foresaw a stage where they may be a request for further information by the executive authority as per section 54(</w:t>
      </w:r>
      <w:r w:rsidR="00A12439">
        <w:t>1</w:t>
      </w:r>
      <w:r w:rsidR="00E51015" w:rsidRPr="00285CDE">
        <w:t>)</w:t>
      </w:r>
      <w:r w:rsidR="002B50E4" w:rsidRPr="00285CDE">
        <w:t>. Consequently, a</w:t>
      </w:r>
      <w:r w:rsidR="00E51015" w:rsidRPr="00285CDE">
        <w:t xml:space="preserve"> response in </w:t>
      </w:r>
      <w:r w:rsidR="00F70F73" w:rsidRPr="00285CDE">
        <w:t>the</w:t>
      </w:r>
      <w:r w:rsidR="00E51015" w:rsidRPr="00285CDE">
        <w:t xml:space="preserve"> form of requesting further information </w:t>
      </w:r>
      <w:r w:rsidR="002B50E4" w:rsidRPr="00285CDE">
        <w:t>accommodates such</w:t>
      </w:r>
      <w:r w:rsidR="00C875B2">
        <w:t xml:space="preserve"> situations</w:t>
      </w:r>
      <w:r w:rsidR="002B50E4" w:rsidRPr="00285CDE">
        <w:t xml:space="preserve">. This entails that the word “response” is flexible in that it could be a response requesting further information </w:t>
      </w:r>
      <w:r w:rsidR="00C875B2">
        <w:t xml:space="preserve">or a response </w:t>
      </w:r>
      <w:r w:rsidR="002B50E4" w:rsidRPr="00285CDE">
        <w:t xml:space="preserve">providing a decision if there is no additional information required. </w:t>
      </w:r>
      <w:r w:rsidR="00E51015" w:rsidRPr="00285CDE">
        <w:t xml:space="preserve"> </w:t>
      </w:r>
    </w:p>
    <w:p w14:paraId="14C00641" w14:textId="4405D8B2" w:rsidR="00E51015" w:rsidRPr="00285CDE" w:rsidRDefault="00890EE4" w:rsidP="00890EE4">
      <w:pPr>
        <w:pStyle w:val="1"/>
        <w:numPr>
          <w:ilvl w:val="0"/>
          <w:numId w:val="0"/>
        </w:numPr>
        <w:tabs>
          <w:tab w:val="left" w:pos="567"/>
        </w:tabs>
        <w:spacing w:line="360" w:lineRule="auto"/>
        <w:ind w:left="567" w:hanging="567"/>
      </w:pPr>
      <w:r w:rsidRPr="00285CDE">
        <w:rPr>
          <w:rFonts w:cs="Arial"/>
          <w:szCs w:val="24"/>
        </w:rPr>
        <w:t>[186]</w:t>
      </w:r>
      <w:r w:rsidRPr="00285CDE">
        <w:rPr>
          <w:rFonts w:cs="Arial"/>
          <w:szCs w:val="24"/>
        </w:rPr>
        <w:tab/>
      </w:r>
      <w:r w:rsidR="002B50E4" w:rsidRPr="00285CDE">
        <w:t xml:space="preserve">In my view, the legislature carefully chose the wording in subsection 3 and opted to use “response” instead of a “decision”. If the latter wording was used, it meant that the executive authority would have been compelled to decide on an application even if such </w:t>
      </w:r>
      <w:r w:rsidR="003F04AE">
        <w:t xml:space="preserve">an </w:t>
      </w:r>
      <w:r w:rsidR="002B50E4" w:rsidRPr="00285CDE">
        <w:t xml:space="preserve">application was incomplete. In </w:t>
      </w:r>
      <w:r w:rsidR="00F70F73" w:rsidRPr="00285CDE">
        <w:t>o</w:t>
      </w:r>
      <w:r w:rsidR="002B50E4" w:rsidRPr="00285CDE">
        <w:t xml:space="preserve">ther words, there </w:t>
      </w:r>
      <w:r w:rsidR="002B50E4" w:rsidRPr="00285CDE">
        <w:lastRenderedPageBreak/>
        <w:t xml:space="preserve">would have been no room to request additional information because the provision would have required a decision to be made. </w:t>
      </w:r>
      <w:r w:rsidR="00764698" w:rsidRPr="00285CDE">
        <w:t xml:space="preserve">Therefore, this has addressed the arguments </w:t>
      </w:r>
      <w:r w:rsidR="003F04AE">
        <w:t>relating to the meaning of</w:t>
      </w:r>
      <w:r w:rsidR="00764698" w:rsidRPr="00285CDE">
        <w:t xml:space="preserve"> the words “response” and “decision”.</w:t>
      </w:r>
      <w:r w:rsidR="00C875B2">
        <w:t xml:space="preserve"> </w:t>
      </w:r>
    </w:p>
    <w:p w14:paraId="03AE6DCC" w14:textId="3D676E78" w:rsidR="00EE1D70"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[187]</w:t>
      </w:r>
      <w:r w:rsidRPr="00285CDE">
        <w:rPr>
          <w:rFonts w:cs="Arial"/>
          <w:szCs w:val="24"/>
        </w:rPr>
        <w:tab/>
      </w:r>
      <w:r w:rsidR="0078684A" w:rsidRPr="00285CDE">
        <w:t>The Fourth and Fifth Respondents argued that NUMS</w:t>
      </w:r>
      <w:r w:rsidR="00C304A1" w:rsidRPr="00285CDE">
        <w:t>A</w:t>
      </w:r>
      <w:r w:rsidR="0078684A" w:rsidRPr="00285CDE">
        <w:t xml:space="preserve">’s </w:t>
      </w:r>
      <w:r w:rsidR="00E7052A" w:rsidRPr="00285CDE">
        <w:t>ground for review</w:t>
      </w:r>
      <w:r w:rsidR="0078684A" w:rsidRPr="00285CDE">
        <w:t xml:space="preserve"> to the effect that the BRP is </w:t>
      </w:r>
      <w:r w:rsidR="0078684A" w:rsidRPr="00285CDE">
        <w:rPr>
          <w:i/>
          <w:iCs w:val="0"/>
        </w:rPr>
        <w:t>inter alia</w:t>
      </w:r>
      <w:r w:rsidR="0078684A" w:rsidRPr="00285CDE">
        <w:t xml:space="preserve"> the only person authorised to submit a section 54(2) application and that the undertaking provided by the SAA </w:t>
      </w:r>
      <w:r w:rsidR="00E7052A" w:rsidRPr="00285CDE">
        <w:t xml:space="preserve">on 12 January 2023 is void </w:t>
      </w:r>
      <w:r w:rsidR="00C304A1" w:rsidRPr="00285CDE">
        <w:t xml:space="preserve">as it </w:t>
      </w:r>
      <w:r w:rsidR="00E7052A" w:rsidRPr="00285CDE">
        <w:t>was only raised, for the first time, in the replying affidavit and ought to be dismissed.</w:t>
      </w:r>
      <w:r w:rsidR="00917EF7" w:rsidRPr="00285CDE">
        <w:t xml:space="preserve"> </w:t>
      </w:r>
      <w:r w:rsidR="00E7052A" w:rsidRPr="00285CDE">
        <w:t>T</w:t>
      </w:r>
      <w:r w:rsidR="00917EF7" w:rsidRPr="00285CDE">
        <w:t xml:space="preserve">his was not pleaded in the founding affidavit but </w:t>
      </w:r>
      <w:r w:rsidR="0090089F" w:rsidRPr="00285CDE">
        <w:t>somehow found its way in</w:t>
      </w:r>
      <w:r w:rsidR="00D26E45" w:rsidRPr="00285CDE">
        <w:t>to</w:t>
      </w:r>
      <w:r w:rsidR="0090089F" w:rsidRPr="00285CDE">
        <w:t xml:space="preserve"> </w:t>
      </w:r>
      <w:r w:rsidR="00E7052A" w:rsidRPr="00285CDE">
        <w:t>NUMSA’s replying affidavit</w:t>
      </w:r>
      <w:r w:rsidR="00B57B53" w:rsidRPr="00285CDE">
        <w:t xml:space="preserve">. </w:t>
      </w:r>
      <w:r w:rsidR="00E7052A" w:rsidRPr="00285CDE">
        <w:t>T</w:t>
      </w:r>
      <w:r w:rsidR="00B05335" w:rsidRPr="00285CDE">
        <w:t xml:space="preserve">his was an attempt by </w:t>
      </w:r>
      <w:r w:rsidR="00E7052A" w:rsidRPr="00285CDE">
        <w:t>NUMSA</w:t>
      </w:r>
      <w:r w:rsidR="00B05335" w:rsidRPr="00285CDE">
        <w:t xml:space="preserve"> to introduce a completely new case. </w:t>
      </w:r>
      <w:r w:rsidR="00EE1D70" w:rsidRPr="00285CDE">
        <w:t xml:space="preserve">In </w:t>
      </w:r>
      <w:r w:rsidR="00EE1D70" w:rsidRPr="00285CDE">
        <w:rPr>
          <w:i/>
        </w:rPr>
        <w:t xml:space="preserve">Man </w:t>
      </w:r>
      <w:r w:rsidR="0078684A" w:rsidRPr="00285CDE">
        <w:rPr>
          <w:i/>
        </w:rPr>
        <w:t>Financial</w:t>
      </w:r>
      <w:r w:rsidR="00EE1D70" w:rsidRPr="00285CDE">
        <w:rPr>
          <w:i/>
        </w:rPr>
        <w:t xml:space="preserve"> Services (Pty) (RF) Ltd v Elsologix (Pty) Ltd and Others</w:t>
      </w:r>
      <w:r w:rsidR="00EE1D70" w:rsidRPr="00285CDE">
        <w:rPr>
          <w:rStyle w:val="FootnoteReference"/>
        </w:rPr>
        <w:footnoteReference w:id="73"/>
      </w:r>
      <w:r w:rsidR="00EE1D70" w:rsidRPr="00285CDE">
        <w:t xml:space="preserve"> Van Nieuwenhuizen AJ said: </w:t>
      </w:r>
    </w:p>
    <w:p w14:paraId="03F74E9C" w14:textId="77777777" w:rsidR="00EE1D70" w:rsidRPr="00285CDE" w:rsidRDefault="00EE1D70" w:rsidP="00EE1D70">
      <w:pPr>
        <w:pStyle w:val="1"/>
        <w:numPr>
          <w:ilvl w:val="0"/>
          <w:numId w:val="0"/>
        </w:numPr>
        <w:spacing w:before="0" w:line="240" w:lineRule="auto"/>
        <w:ind w:left="567"/>
        <w:rPr>
          <w:i/>
          <w:iCs w:val="0"/>
        </w:rPr>
      </w:pPr>
    </w:p>
    <w:p w14:paraId="729DA077" w14:textId="58C40307" w:rsidR="00EE1D70" w:rsidRPr="00521835" w:rsidRDefault="00E7052A" w:rsidP="00521835">
      <w:pPr>
        <w:pStyle w:val="1"/>
        <w:numPr>
          <w:ilvl w:val="0"/>
          <w:numId w:val="0"/>
        </w:numPr>
        <w:spacing w:line="360" w:lineRule="auto"/>
        <w:ind w:left="851" w:right="851"/>
        <w:rPr>
          <w:szCs w:val="24"/>
        </w:rPr>
      </w:pPr>
      <w:r w:rsidRPr="00521835">
        <w:rPr>
          <w:szCs w:val="24"/>
        </w:rPr>
        <w:t>‘</w:t>
      </w:r>
      <w:r w:rsidR="0090089F" w:rsidRPr="00521835">
        <w:rPr>
          <w:szCs w:val="24"/>
        </w:rPr>
        <w:t>…</w:t>
      </w:r>
      <w:r w:rsidR="00EE1D70" w:rsidRPr="00521835">
        <w:rPr>
          <w:szCs w:val="24"/>
        </w:rPr>
        <w:t xml:space="preserve">It is of course trite that not must an applicant in motion proceedings make out a proper case in the founding papers and that an applicant is bound to the case made out therein and </w:t>
      </w:r>
      <w:r w:rsidR="00EE1D70" w:rsidRPr="00521835">
        <w:rPr>
          <w:szCs w:val="24"/>
          <w:u w:val="single"/>
        </w:rPr>
        <w:t>may not make out a new case in the replying affidavit</w:t>
      </w:r>
      <w:r w:rsidR="00EE1D70" w:rsidRPr="00521835">
        <w:rPr>
          <w:szCs w:val="24"/>
        </w:rPr>
        <w:t xml:space="preserve"> (emphasis added)</w:t>
      </w:r>
      <w:r w:rsidRPr="00521835">
        <w:rPr>
          <w:szCs w:val="24"/>
        </w:rPr>
        <w:t>’</w:t>
      </w:r>
      <w:r w:rsidR="00EE1D70" w:rsidRPr="00521835">
        <w:rPr>
          <w:szCs w:val="24"/>
        </w:rPr>
        <w:t>.</w:t>
      </w:r>
    </w:p>
    <w:p w14:paraId="1F28AE18" w14:textId="305B6611" w:rsidR="00EE1D70" w:rsidRPr="00285CDE" w:rsidRDefault="00890EE4" w:rsidP="00890EE4">
      <w:pPr>
        <w:pStyle w:val="1"/>
        <w:numPr>
          <w:ilvl w:val="0"/>
          <w:numId w:val="0"/>
        </w:numPr>
        <w:tabs>
          <w:tab w:val="left" w:pos="567"/>
        </w:tabs>
        <w:spacing w:line="360" w:lineRule="auto"/>
        <w:ind w:left="567" w:hanging="567"/>
        <w:rPr>
          <w:rFonts w:cs="Arial"/>
          <w:szCs w:val="24"/>
          <w:lang w:eastAsia="en-US"/>
        </w:rPr>
      </w:pPr>
      <w:r w:rsidRPr="00285CDE">
        <w:rPr>
          <w:rFonts w:cs="Arial"/>
          <w:szCs w:val="24"/>
          <w:lang w:eastAsia="en-US"/>
        </w:rPr>
        <w:t>[188]</w:t>
      </w:r>
      <w:r w:rsidRPr="00285CDE">
        <w:rPr>
          <w:rFonts w:cs="Arial"/>
          <w:szCs w:val="24"/>
          <w:lang w:eastAsia="en-US"/>
        </w:rPr>
        <w:tab/>
      </w:r>
      <w:r w:rsidR="0090089F" w:rsidRPr="00285CDE">
        <w:rPr>
          <w:rFonts w:cs="Arial"/>
          <w:szCs w:val="24"/>
          <w:lang w:eastAsia="en-US"/>
        </w:rPr>
        <w:t xml:space="preserve">I agree with the above legal position. </w:t>
      </w:r>
      <w:r w:rsidR="00E7052A" w:rsidRPr="00285CDE">
        <w:rPr>
          <w:rFonts w:cs="Arial"/>
          <w:szCs w:val="24"/>
          <w:lang w:eastAsia="en-US"/>
        </w:rPr>
        <w:t>NUMSA</w:t>
      </w:r>
      <w:r w:rsidR="0090089F" w:rsidRPr="00285CDE">
        <w:rPr>
          <w:rFonts w:cs="Arial"/>
          <w:szCs w:val="24"/>
          <w:lang w:eastAsia="en-US"/>
        </w:rPr>
        <w:t xml:space="preserve"> must stand or fall by averments made in </w:t>
      </w:r>
      <w:r w:rsidR="00ED2839">
        <w:rPr>
          <w:rFonts w:cs="Arial"/>
          <w:szCs w:val="24"/>
          <w:lang w:eastAsia="en-US"/>
        </w:rPr>
        <w:t xml:space="preserve">its </w:t>
      </w:r>
      <w:r w:rsidR="0090089F" w:rsidRPr="00285CDE">
        <w:rPr>
          <w:rFonts w:cs="Arial"/>
          <w:szCs w:val="24"/>
          <w:lang w:eastAsia="en-US"/>
        </w:rPr>
        <w:t>fou</w:t>
      </w:r>
      <w:r w:rsidR="00D26E45" w:rsidRPr="00285CDE">
        <w:rPr>
          <w:rFonts w:cs="Arial"/>
          <w:szCs w:val="24"/>
          <w:lang w:eastAsia="en-US"/>
        </w:rPr>
        <w:t>n</w:t>
      </w:r>
      <w:r w:rsidR="0090089F" w:rsidRPr="00285CDE">
        <w:rPr>
          <w:rFonts w:cs="Arial"/>
          <w:szCs w:val="24"/>
          <w:lang w:eastAsia="en-US"/>
        </w:rPr>
        <w:t xml:space="preserve">ding affidavit. Accordingly, </w:t>
      </w:r>
      <w:r w:rsidR="00E7052A" w:rsidRPr="00285CDE">
        <w:rPr>
          <w:rFonts w:cs="Arial"/>
          <w:szCs w:val="24"/>
          <w:lang w:eastAsia="en-US"/>
        </w:rPr>
        <w:t>NUMSA’s</w:t>
      </w:r>
      <w:r w:rsidR="0090089F" w:rsidRPr="00285CDE">
        <w:rPr>
          <w:rFonts w:cs="Arial"/>
          <w:szCs w:val="24"/>
          <w:lang w:eastAsia="en-US"/>
        </w:rPr>
        <w:t xml:space="preserve"> sudden reliance on the aforesaid grounds must fai</w:t>
      </w:r>
      <w:r w:rsidR="00C81726" w:rsidRPr="00285CDE">
        <w:rPr>
          <w:rFonts w:cs="Arial"/>
          <w:szCs w:val="24"/>
          <w:lang w:eastAsia="en-US"/>
        </w:rPr>
        <w:t>l.</w:t>
      </w:r>
      <w:r w:rsidR="00BE72D9" w:rsidRPr="00285CDE">
        <w:rPr>
          <w:rFonts w:cs="Arial"/>
          <w:szCs w:val="24"/>
          <w:lang w:eastAsia="en-US"/>
        </w:rPr>
        <w:t xml:space="preserve"> I will deal with the other grounds of review under the principle of legality and PAJA separately. </w:t>
      </w:r>
    </w:p>
    <w:p w14:paraId="68A71DEE" w14:textId="6BC6453F" w:rsidR="003D451A" w:rsidRPr="00285CDE" w:rsidRDefault="00890EE4" w:rsidP="00890EE4">
      <w:pPr>
        <w:pStyle w:val="1"/>
        <w:numPr>
          <w:ilvl w:val="0"/>
          <w:numId w:val="0"/>
        </w:numPr>
        <w:tabs>
          <w:tab w:val="left" w:pos="567"/>
        </w:tabs>
        <w:spacing w:line="360" w:lineRule="auto"/>
        <w:ind w:left="567" w:hanging="567"/>
      </w:pPr>
      <w:r w:rsidRPr="00285CDE">
        <w:rPr>
          <w:rFonts w:cs="Arial"/>
          <w:szCs w:val="24"/>
        </w:rPr>
        <w:t>[189]</w:t>
      </w:r>
      <w:r w:rsidRPr="00285CDE">
        <w:rPr>
          <w:rFonts w:cs="Arial"/>
          <w:szCs w:val="24"/>
        </w:rPr>
        <w:tab/>
      </w:r>
      <w:r w:rsidR="00D339B2" w:rsidRPr="00285CDE">
        <w:t> </w:t>
      </w:r>
      <w:r w:rsidR="00C21D6D" w:rsidRPr="00285CDE">
        <w:t xml:space="preserve">Regarding the agreement between the PE Minister and the Board of SAA to extend the </w:t>
      </w:r>
      <w:r w:rsidR="00C304A1" w:rsidRPr="00285CDE">
        <w:t>30</w:t>
      </w:r>
      <w:r w:rsidR="00C21D6D" w:rsidRPr="00285CDE">
        <w:t xml:space="preserve">-day period stipulated in section 54(3) of the PFMA, the First and Second Respondents correctly stated that clause 6.2.2 of the amended business rescue plan provides that compliance with </w:t>
      </w:r>
      <w:r w:rsidR="00C21D6D" w:rsidRPr="00285CDE">
        <w:rPr>
          <w:i/>
          <w:iCs w:val="0"/>
        </w:rPr>
        <w:t>inter alia</w:t>
      </w:r>
      <w:r w:rsidR="00C21D6D" w:rsidRPr="00285CDE">
        <w:t xml:space="preserve"> the SMF is mandatory.</w:t>
      </w:r>
      <w:r w:rsidR="00C21D6D" w:rsidRPr="00285CDE">
        <w:rPr>
          <w:rStyle w:val="FootnoteReference"/>
        </w:rPr>
        <w:footnoteReference w:id="74"/>
      </w:r>
      <w:r w:rsidR="00C21D6D" w:rsidRPr="00285CDE">
        <w:t xml:space="preserve"> To this end, the</w:t>
      </w:r>
      <w:r w:rsidR="003D451A" w:rsidRPr="00285CDE">
        <w:t xml:space="preserve"> Fourth and Fifth Respondents</w:t>
      </w:r>
      <w:r w:rsidR="00C21D6D" w:rsidRPr="00285CDE">
        <w:t xml:space="preserve"> argued that the relevant parties namely</w:t>
      </w:r>
      <w:r w:rsidR="00C21D6D" w:rsidRPr="00285CDE">
        <w:rPr>
          <w:rFonts w:ascii="ArialMT" w:hAnsi="ArialMT" w:cs="ArialMT"/>
          <w:szCs w:val="24"/>
          <w:lang w:eastAsia="en-US"/>
        </w:rPr>
        <w:t xml:space="preserve"> the </w:t>
      </w:r>
      <w:r w:rsidR="00C21D6D" w:rsidRPr="00285CDE">
        <w:rPr>
          <w:rFonts w:cs="Arial"/>
          <w:szCs w:val="24"/>
          <w:lang w:eastAsia="en-US"/>
        </w:rPr>
        <w:t xml:space="preserve">Board of Directors of SAA, the PE Minister and the Minister of Finance agreed that the </w:t>
      </w:r>
      <w:r w:rsidR="003F04AE">
        <w:rPr>
          <w:rFonts w:cs="Arial"/>
          <w:szCs w:val="24"/>
          <w:lang w:eastAsia="en-US"/>
        </w:rPr>
        <w:t>30-day</w:t>
      </w:r>
      <w:r w:rsidR="00C21D6D" w:rsidRPr="00285CDE">
        <w:rPr>
          <w:rFonts w:cs="Arial"/>
          <w:szCs w:val="24"/>
          <w:lang w:eastAsia="en-US"/>
        </w:rPr>
        <w:t xml:space="preserve"> period had not yet commenced (alternatively was </w:t>
      </w:r>
      <w:r w:rsidR="00C21D6D" w:rsidRPr="00285CDE">
        <w:rPr>
          <w:rFonts w:cs="Arial"/>
          <w:szCs w:val="24"/>
          <w:lang w:eastAsia="en-US"/>
        </w:rPr>
        <w:lastRenderedPageBreak/>
        <w:t>extended) given that the relevant particulars had not been</w:t>
      </w:r>
      <w:r w:rsidR="00C21D6D" w:rsidRPr="00285CDE">
        <w:t xml:space="preserve"> </w:t>
      </w:r>
      <w:r w:rsidR="00C21D6D" w:rsidRPr="00285CDE">
        <w:rPr>
          <w:rFonts w:cs="Arial"/>
          <w:szCs w:val="24"/>
          <w:lang w:eastAsia="en-US"/>
        </w:rPr>
        <w:t>provided.</w:t>
      </w:r>
      <w:r w:rsidR="003D451A" w:rsidRPr="00285CDE">
        <w:rPr>
          <w:rFonts w:cs="Arial"/>
          <w:szCs w:val="24"/>
          <w:lang w:eastAsia="en-US"/>
        </w:rPr>
        <w:t xml:space="preserve"> In addition, they argued that the </w:t>
      </w:r>
      <w:r w:rsidR="003D451A" w:rsidRPr="00285CDE">
        <w:rPr>
          <w:rFonts w:cs="Arial"/>
          <w:i/>
          <w:iCs w:val="0"/>
          <w:szCs w:val="24"/>
          <w:lang w:eastAsia="en-US"/>
        </w:rPr>
        <w:t>Plascon Evans</w:t>
      </w:r>
      <w:r w:rsidR="003D451A" w:rsidRPr="00285CDE">
        <w:rPr>
          <w:rFonts w:cs="Arial"/>
          <w:szCs w:val="24"/>
          <w:lang w:eastAsia="en-US"/>
        </w:rPr>
        <w:t xml:space="preserve"> principle was applicable in that the matter had to be decided on the facts in the </w:t>
      </w:r>
      <w:r w:rsidR="00ED2839">
        <w:rPr>
          <w:rFonts w:cs="Arial"/>
          <w:szCs w:val="24"/>
          <w:lang w:eastAsia="en-US"/>
        </w:rPr>
        <w:t>A</w:t>
      </w:r>
      <w:r w:rsidR="003D451A" w:rsidRPr="00285CDE">
        <w:rPr>
          <w:rFonts w:cs="Arial"/>
          <w:szCs w:val="24"/>
          <w:lang w:eastAsia="en-US"/>
        </w:rPr>
        <w:t xml:space="preserve">pplicant’s affidavit which are admitted by the </w:t>
      </w:r>
      <w:r w:rsidR="00ED2839">
        <w:rPr>
          <w:rFonts w:cs="Arial"/>
          <w:szCs w:val="24"/>
          <w:lang w:eastAsia="en-US"/>
        </w:rPr>
        <w:t>R</w:t>
      </w:r>
      <w:r w:rsidR="003D451A" w:rsidRPr="00285CDE">
        <w:rPr>
          <w:rFonts w:cs="Arial"/>
          <w:szCs w:val="24"/>
          <w:lang w:eastAsia="en-US"/>
        </w:rPr>
        <w:t xml:space="preserve">espondents together with the facts set out in the </w:t>
      </w:r>
      <w:r w:rsidR="00ED2839">
        <w:rPr>
          <w:rFonts w:cs="Arial"/>
          <w:szCs w:val="24"/>
          <w:lang w:eastAsia="en-US"/>
        </w:rPr>
        <w:t>R</w:t>
      </w:r>
      <w:r w:rsidR="003D451A" w:rsidRPr="00285CDE">
        <w:rPr>
          <w:rFonts w:cs="Arial"/>
          <w:szCs w:val="24"/>
          <w:lang w:eastAsia="en-US"/>
        </w:rPr>
        <w:t>espondents’ affidavits. In my view, t</w:t>
      </w:r>
      <w:r w:rsidR="00C21D6D" w:rsidRPr="00285CDE">
        <w:rPr>
          <w:rFonts w:cs="Arial"/>
          <w:szCs w:val="24"/>
          <w:lang w:eastAsia="en-US"/>
        </w:rPr>
        <w:t xml:space="preserve">hey </w:t>
      </w:r>
      <w:r w:rsidR="00780DDA" w:rsidRPr="00285CDE">
        <w:rPr>
          <w:rFonts w:cs="Arial"/>
          <w:szCs w:val="24"/>
          <w:lang w:eastAsia="en-US"/>
        </w:rPr>
        <w:t>a</w:t>
      </w:r>
      <w:r w:rsidR="00C21D6D" w:rsidRPr="00285CDE">
        <w:rPr>
          <w:rFonts w:cs="Arial"/>
          <w:szCs w:val="24"/>
          <w:lang w:eastAsia="en-US"/>
        </w:rPr>
        <w:t>re missing the poin</w:t>
      </w:r>
      <w:r w:rsidR="003D451A" w:rsidRPr="00285CDE">
        <w:rPr>
          <w:rFonts w:cs="Arial"/>
          <w:szCs w:val="24"/>
          <w:lang w:eastAsia="en-US"/>
        </w:rPr>
        <w:t xml:space="preserve">t. </w:t>
      </w:r>
    </w:p>
    <w:p w14:paraId="65EA9891" w14:textId="5F0C091B" w:rsidR="00CF7DC7" w:rsidRPr="00285CDE" w:rsidRDefault="00890EE4" w:rsidP="00890EE4">
      <w:pPr>
        <w:pStyle w:val="1"/>
        <w:numPr>
          <w:ilvl w:val="0"/>
          <w:numId w:val="0"/>
        </w:numPr>
        <w:tabs>
          <w:tab w:val="left" w:pos="567"/>
        </w:tabs>
        <w:spacing w:line="360" w:lineRule="auto"/>
        <w:ind w:left="567" w:hanging="567"/>
      </w:pPr>
      <w:r w:rsidRPr="00285CDE">
        <w:rPr>
          <w:rFonts w:cs="Arial"/>
          <w:szCs w:val="24"/>
        </w:rPr>
        <w:t>[190]</w:t>
      </w:r>
      <w:r w:rsidRPr="00285CDE">
        <w:rPr>
          <w:rFonts w:cs="Arial"/>
          <w:szCs w:val="24"/>
        </w:rPr>
        <w:tab/>
      </w:r>
      <w:r w:rsidR="003D451A" w:rsidRPr="00285CDE">
        <w:rPr>
          <w:rFonts w:cs="Arial"/>
          <w:szCs w:val="24"/>
          <w:lang w:eastAsia="en-US"/>
        </w:rPr>
        <w:t xml:space="preserve">The BRP </w:t>
      </w:r>
      <w:r w:rsidR="003D451A" w:rsidRPr="00285CDE">
        <w:t xml:space="preserve">has full management control of the company in substitution for its board and pre-existing management and has the power to implement the </w:t>
      </w:r>
      <w:r w:rsidR="00C304A1" w:rsidRPr="00285CDE">
        <w:t xml:space="preserve">amended </w:t>
      </w:r>
      <w:r w:rsidR="003D451A" w:rsidRPr="00285CDE">
        <w:t>business</w:t>
      </w:r>
      <w:r w:rsidR="00C304A1" w:rsidRPr="00285CDE">
        <w:t xml:space="preserve"> rescue</w:t>
      </w:r>
      <w:r w:rsidR="003D451A" w:rsidRPr="00285CDE">
        <w:t xml:space="preserve"> plan. If the PE Minister and the Board of Directors of SAA were to be allowed to extend the </w:t>
      </w:r>
      <w:r w:rsidR="006178E5" w:rsidRPr="00285CDE">
        <w:t>30</w:t>
      </w:r>
      <w:r w:rsidR="003D451A" w:rsidRPr="00285CDE">
        <w:t>-day period under section 54(3) of the PFMA</w:t>
      </w:r>
      <w:r w:rsidR="00CF7DC7" w:rsidRPr="00285CDE">
        <w:t xml:space="preserve"> using the provisions of the SMF</w:t>
      </w:r>
      <w:r w:rsidR="00BD045E">
        <w:t>,</w:t>
      </w:r>
      <w:r w:rsidR="00CF7DC7" w:rsidRPr="00285CDE">
        <w:t xml:space="preserve"> and without consulting the BRP, this would relegate the powers of the BRP and undermine the binding nature of the adopted amended business rescue plan. The agreement between the PE Minister and the Board of Directors of SAA is invalid and of no force and effect only to the extent that it envisages the extension of the </w:t>
      </w:r>
      <w:r w:rsidR="006178E5" w:rsidRPr="00285CDE">
        <w:t>30</w:t>
      </w:r>
      <w:r w:rsidR="00CF7DC7" w:rsidRPr="00285CDE">
        <w:t>-day period without the consent of the BRP who is in full management control</w:t>
      </w:r>
      <w:r w:rsidR="003F04AE">
        <w:t xml:space="preserve"> of</w:t>
      </w:r>
      <w:r w:rsidR="00CF7DC7" w:rsidRPr="00285CDE">
        <w:t xml:space="preserve"> </w:t>
      </w:r>
      <w:r w:rsidR="006178E5" w:rsidRPr="00285CDE">
        <w:t>Mango Airline</w:t>
      </w:r>
      <w:r w:rsidR="00ED2839">
        <w:t>s</w:t>
      </w:r>
      <w:r w:rsidR="00CF7DC7" w:rsidRPr="00285CDE">
        <w:t xml:space="preserve">. </w:t>
      </w:r>
      <w:r w:rsidR="002C02F4">
        <w:t>Th</w:t>
      </w:r>
      <w:r w:rsidR="00ED2839">
        <w:t>is</w:t>
      </w:r>
      <w:r w:rsidR="002C02F4">
        <w:t xml:space="preserve"> applies with the purported agreement of 14 December 2023 seeking to extend the 30 </w:t>
      </w:r>
      <w:r w:rsidR="009D09E5">
        <w:t xml:space="preserve">day period </w:t>
      </w:r>
      <w:r w:rsidR="002C02F4">
        <w:t xml:space="preserve">without the </w:t>
      </w:r>
      <w:r w:rsidR="00005602">
        <w:t>involvement</w:t>
      </w:r>
      <w:r w:rsidR="002C02F4">
        <w:t xml:space="preserve"> of the BRP. </w:t>
      </w:r>
      <w:r w:rsidR="00CF7DC7" w:rsidRPr="00285CDE">
        <w:t xml:space="preserve">I find the case of </w:t>
      </w:r>
      <w:r w:rsidR="00CF7DC7" w:rsidRPr="00285CDE">
        <w:rPr>
          <w:rFonts w:eastAsia="Times New Roman" w:cs="Arial"/>
          <w:i/>
          <w:iCs w:val="0"/>
          <w:szCs w:val="24"/>
          <w:lang w:eastAsia="en-ZA"/>
        </w:rPr>
        <w:t>Henque 3935 CC t/a PQ Clothing Outlet v Commissioner For The Sa Revenue Service</w:t>
      </w:r>
      <w:r w:rsidR="00855A5F" w:rsidRPr="00285CDE">
        <w:rPr>
          <w:rStyle w:val="FootnoteReference"/>
          <w:rFonts w:eastAsia="Times New Roman" w:cs="Arial"/>
          <w:color w:val="64473A"/>
          <w:szCs w:val="24"/>
          <w:lang w:eastAsia="en-ZA"/>
        </w:rPr>
        <w:footnoteReference w:id="75"/>
      </w:r>
      <w:r w:rsidR="00CF7DC7" w:rsidRPr="00285CDE">
        <w:t xml:space="preserve"> relevant and applicable </w:t>
      </w:r>
      <w:r w:rsidR="006178E5" w:rsidRPr="00285CDE">
        <w:t>here</w:t>
      </w:r>
      <w:r w:rsidR="00780DDA" w:rsidRPr="00285CDE">
        <w:t xml:space="preserve">. There, </w:t>
      </w:r>
      <w:r w:rsidR="00CF7DC7" w:rsidRPr="00285CDE">
        <w:t>it was held that:</w:t>
      </w:r>
    </w:p>
    <w:p w14:paraId="0B6472A9" w14:textId="7D837ECF" w:rsidR="00C21D6D" w:rsidRPr="00521835" w:rsidRDefault="00855A5F" w:rsidP="00521835">
      <w:pPr>
        <w:pStyle w:val="1"/>
        <w:numPr>
          <w:ilvl w:val="0"/>
          <w:numId w:val="0"/>
        </w:numPr>
        <w:spacing w:line="360" w:lineRule="auto"/>
        <w:ind w:left="851" w:right="851"/>
        <w:rPr>
          <w:szCs w:val="24"/>
        </w:rPr>
      </w:pPr>
      <w:r w:rsidRPr="00521835">
        <w:rPr>
          <w:szCs w:val="24"/>
        </w:rPr>
        <w:t xml:space="preserve">‘Sections 151 and 152 of the Companies Act provide for the plan to be tabled at a meeting of the creditors for adoption. In cases where the </w:t>
      </w:r>
      <w:r w:rsidRPr="00521835">
        <w:rPr>
          <w:szCs w:val="24"/>
          <w:u w:val="single"/>
        </w:rPr>
        <w:t>plan adopted by the creditors affects the rights of shareholders</w:t>
      </w:r>
      <w:r w:rsidRPr="00521835">
        <w:rPr>
          <w:szCs w:val="24"/>
        </w:rPr>
        <w:t xml:space="preserve"> or members, as in this case, then the plan would have to be tabled at a meeting of these shareholders or members for their approval of the adoption. </w:t>
      </w:r>
      <w:r w:rsidRPr="00521835">
        <w:rPr>
          <w:szCs w:val="24"/>
          <w:u w:val="single"/>
        </w:rPr>
        <w:t>Should the plan be adopted, and approved (in the case where approval is necessary), in terms of s 152(4) it is binding on all creditors regardless of whether a creditor was at the meeting or no</w:t>
      </w:r>
      <w:r w:rsidRPr="00521835">
        <w:rPr>
          <w:szCs w:val="24"/>
        </w:rPr>
        <w:t>t’ (own emphasis added).</w:t>
      </w:r>
      <w:r w:rsidR="00780DDA" w:rsidRPr="00521835">
        <w:rPr>
          <w:rStyle w:val="FootnoteReference"/>
          <w:szCs w:val="24"/>
        </w:rPr>
        <w:footnoteReference w:id="76"/>
      </w:r>
    </w:p>
    <w:p w14:paraId="11990438" w14:textId="31CEA13A" w:rsidR="00855A5F" w:rsidRPr="00285CDE" w:rsidRDefault="00890EE4" w:rsidP="00890EE4">
      <w:pPr>
        <w:pStyle w:val="1"/>
        <w:numPr>
          <w:ilvl w:val="0"/>
          <w:numId w:val="0"/>
        </w:numPr>
        <w:tabs>
          <w:tab w:val="left" w:pos="567"/>
        </w:tabs>
        <w:spacing w:line="360" w:lineRule="auto"/>
        <w:ind w:left="567" w:hanging="567"/>
        <w:rPr>
          <w:rFonts w:ascii="Verdana" w:hAnsi="Verdana"/>
          <w:color w:val="242121"/>
          <w:sz w:val="27"/>
          <w:szCs w:val="27"/>
        </w:rPr>
      </w:pPr>
      <w:r w:rsidRPr="00285CDE">
        <w:rPr>
          <w:rFonts w:cs="Arial"/>
          <w:szCs w:val="24"/>
        </w:rPr>
        <w:t>[191]</w:t>
      </w:r>
      <w:r w:rsidRPr="00285CDE">
        <w:rPr>
          <w:rFonts w:cs="Arial"/>
          <w:szCs w:val="24"/>
        </w:rPr>
        <w:tab/>
      </w:r>
      <w:r w:rsidR="00855A5F" w:rsidRPr="00285CDE">
        <w:t xml:space="preserve">The amended business rescue plan was adopted and SAA as a shareholder was </w:t>
      </w:r>
      <w:r w:rsidR="00855A5F" w:rsidRPr="00285CDE">
        <w:lastRenderedPageBreak/>
        <w:t xml:space="preserve">part and parcel of the approval process. Therefore, to validate </w:t>
      </w:r>
      <w:r w:rsidR="006178E5" w:rsidRPr="00285CDE">
        <w:t>the SMF</w:t>
      </w:r>
      <w:r w:rsidR="00855A5F" w:rsidRPr="00285CDE">
        <w:t xml:space="preserve"> agreement would undermine the aforesaid provisions of the Companies Act. Furthermore, </w:t>
      </w:r>
      <w:r w:rsidR="006178E5" w:rsidRPr="00285CDE">
        <w:t xml:space="preserve">in </w:t>
      </w:r>
      <w:r w:rsidR="00855A5F" w:rsidRPr="00285CDE">
        <w:rPr>
          <w:rFonts w:eastAsia="Times New Roman" w:cs="Arial"/>
          <w:i/>
          <w:iCs w:val="0"/>
          <w:szCs w:val="24"/>
          <w:lang w:eastAsia="en-ZA"/>
        </w:rPr>
        <w:t>Ragavan and Others v Optimum Coal Terminal (Pty) Ltd and Others</w:t>
      </w:r>
      <w:r w:rsidR="001965EA" w:rsidRPr="00285CDE">
        <w:rPr>
          <w:rStyle w:val="FootnoteReference"/>
          <w:rFonts w:eastAsia="Times New Roman" w:cs="Arial"/>
          <w:i/>
          <w:iCs w:val="0"/>
          <w:szCs w:val="24"/>
          <w:lang w:eastAsia="en-ZA"/>
        </w:rPr>
        <w:footnoteReference w:id="77"/>
      </w:r>
      <w:r w:rsidR="00855A5F" w:rsidRPr="00285CDE">
        <w:rPr>
          <w:rFonts w:eastAsia="Times New Roman" w:cs="Arial"/>
          <w:szCs w:val="24"/>
          <w:lang w:eastAsia="en-ZA"/>
        </w:rPr>
        <w:t>, it was held that</w:t>
      </w:r>
      <w:r w:rsidR="001965EA" w:rsidRPr="00285CDE">
        <w:rPr>
          <w:rFonts w:eastAsia="Times New Roman" w:cs="Arial"/>
          <w:szCs w:val="24"/>
          <w:lang w:eastAsia="en-ZA"/>
        </w:rPr>
        <w:t>:</w:t>
      </w:r>
      <w:r w:rsidR="00855A5F" w:rsidRPr="00285CDE">
        <w:rPr>
          <w:rFonts w:eastAsia="Times New Roman" w:cs="Arial"/>
          <w:color w:val="64473A"/>
          <w:szCs w:val="24"/>
          <w:lang w:eastAsia="en-ZA"/>
        </w:rPr>
        <w:t xml:space="preserve"> </w:t>
      </w:r>
    </w:p>
    <w:p w14:paraId="7100C4D6" w14:textId="2D0C9878" w:rsidR="001965EA" w:rsidRPr="00285CDE" w:rsidRDefault="00855A5F" w:rsidP="00C932CF">
      <w:pPr>
        <w:pStyle w:val="1"/>
        <w:numPr>
          <w:ilvl w:val="0"/>
          <w:numId w:val="0"/>
        </w:numPr>
        <w:spacing w:line="360" w:lineRule="auto"/>
        <w:ind w:left="851" w:right="851"/>
        <w:rPr>
          <w:sz w:val="22"/>
        </w:rPr>
      </w:pPr>
      <w:r w:rsidRPr="00285CDE">
        <w:rPr>
          <w:sz w:val="22"/>
        </w:rPr>
        <w:t xml:space="preserve">‘The genesis of the BRP’s power are clearly set out in s 137 and s140 of the Companies Act. S 140 prescribes the general powers and duties of practitioners. “s140 (1) </w:t>
      </w:r>
      <w:r w:rsidRPr="00285CDE">
        <w:rPr>
          <w:sz w:val="22"/>
          <w:u w:val="single"/>
        </w:rPr>
        <w:t>During a company’s business rescue proceedings, the practitioner, in addition to any other powers and duties set out in this Chapter- (a) has full management control of the company in substitution for its board and pre-existing management;</w:t>
      </w:r>
      <w:r w:rsidRPr="00285CDE">
        <w:rPr>
          <w:sz w:val="22"/>
        </w:rPr>
        <w:t xml:space="preserve"> (b) may delegate any power or function of the practitioner to a person who was part of the board or pre-existing management of the company; (c) </w:t>
      </w:r>
      <w:r w:rsidRPr="00285CDE">
        <w:rPr>
          <w:sz w:val="22"/>
          <w:u w:val="single"/>
        </w:rPr>
        <w:t>may- (i) remove from office any person who forms part of the pre-existing management of the company</w:t>
      </w:r>
      <w:r w:rsidRPr="00285CDE">
        <w:rPr>
          <w:sz w:val="22"/>
        </w:rPr>
        <w:t xml:space="preserve">; or (ii) appoint a person as part of the management of a company, whether to fill a vacancy or not, subject to subsection (2); and (d) </w:t>
      </w:r>
      <w:r w:rsidRPr="00285CDE">
        <w:rPr>
          <w:sz w:val="22"/>
          <w:u w:val="single"/>
        </w:rPr>
        <w:t>is responsible to</w:t>
      </w:r>
      <w:r w:rsidRPr="00285CDE">
        <w:rPr>
          <w:sz w:val="22"/>
        </w:rPr>
        <w:t xml:space="preserve">- (i) develop a business rescue plan to be considered by affected persons, in accordance with Part D of this Chapter; and (ii) </w:t>
      </w:r>
      <w:r w:rsidRPr="00285CDE">
        <w:rPr>
          <w:sz w:val="22"/>
          <w:u w:val="single"/>
        </w:rPr>
        <w:t>implement any business rescue plan that has been adopted in accordance with Part D of this Chapter</w:t>
      </w:r>
      <w:r w:rsidRPr="00285CDE">
        <w:rPr>
          <w:sz w:val="22"/>
        </w:rPr>
        <w:t xml:space="preserve"> (own emphasis added)</w:t>
      </w:r>
      <w:r w:rsidR="001965EA" w:rsidRPr="00285CDE">
        <w:rPr>
          <w:sz w:val="22"/>
        </w:rPr>
        <w:t>’</w:t>
      </w:r>
      <w:r w:rsidRPr="00285CDE">
        <w:rPr>
          <w:sz w:val="22"/>
        </w:rPr>
        <w:t>.</w:t>
      </w:r>
    </w:p>
    <w:p w14:paraId="1A15D73B" w14:textId="2223AE09" w:rsidR="001965EA" w:rsidRPr="00285CDE" w:rsidRDefault="001965EA" w:rsidP="00521835">
      <w:pPr>
        <w:pStyle w:val="1"/>
        <w:numPr>
          <w:ilvl w:val="0"/>
          <w:numId w:val="0"/>
        </w:numPr>
        <w:spacing w:line="360" w:lineRule="auto"/>
        <w:ind w:left="697" w:firstLine="153"/>
      </w:pPr>
      <w:r w:rsidRPr="00285CDE">
        <w:t>…</w:t>
      </w:r>
    </w:p>
    <w:p w14:paraId="2EA9A4C4" w14:textId="6BB96442" w:rsidR="00855A5F" w:rsidRPr="00285CDE" w:rsidRDefault="001965EA" w:rsidP="00521835">
      <w:pPr>
        <w:pStyle w:val="1"/>
        <w:numPr>
          <w:ilvl w:val="0"/>
          <w:numId w:val="0"/>
        </w:numPr>
        <w:spacing w:line="360" w:lineRule="auto"/>
        <w:ind w:left="851" w:right="851"/>
      </w:pPr>
      <w:r w:rsidRPr="00285CDE">
        <w:rPr>
          <w:u w:val="single"/>
        </w:rPr>
        <w:t>‘</w:t>
      </w:r>
      <w:r w:rsidR="00855A5F" w:rsidRPr="00285CDE">
        <w:rPr>
          <w:sz w:val="22"/>
          <w:u w:val="single"/>
        </w:rPr>
        <w:t>This section is unequivocal and provides that the BRP has full management control of the company in substitution for its board and pre-existing management and has the power to implement the business plan</w:t>
      </w:r>
      <w:r w:rsidRPr="00285CDE">
        <w:rPr>
          <w:sz w:val="22"/>
        </w:rPr>
        <w:t>.…</w:t>
      </w:r>
      <w:r w:rsidR="00855A5F" w:rsidRPr="00285CDE">
        <w:rPr>
          <w:sz w:val="22"/>
        </w:rPr>
        <w:t xml:space="preserve">Full </w:t>
      </w:r>
      <w:r w:rsidR="00855A5F" w:rsidRPr="00285CDE">
        <w:rPr>
          <w:sz w:val="22"/>
          <w:u w:val="single"/>
        </w:rPr>
        <w:t>management and control of the company in substitution for its board could not be clearer</w:t>
      </w:r>
      <w:r w:rsidRPr="00285CDE">
        <w:rPr>
          <w:sz w:val="22"/>
        </w:rPr>
        <w:t xml:space="preserve"> (own emphasis)’.</w:t>
      </w:r>
    </w:p>
    <w:p w14:paraId="172BBFDE" w14:textId="1311ED70" w:rsidR="00D339B2" w:rsidRPr="00285CDE" w:rsidRDefault="00890EE4" w:rsidP="00890EE4">
      <w:pPr>
        <w:pStyle w:val="1"/>
        <w:numPr>
          <w:ilvl w:val="0"/>
          <w:numId w:val="0"/>
        </w:numPr>
        <w:tabs>
          <w:tab w:val="left" w:pos="567"/>
        </w:tabs>
        <w:spacing w:line="360" w:lineRule="auto"/>
        <w:ind w:left="567" w:hanging="567"/>
        <w:rPr>
          <w:rFonts w:ascii="Verdana" w:hAnsi="Verdana"/>
          <w:color w:val="242121"/>
          <w:sz w:val="27"/>
          <w:szCs w:val="27"/>
        </w:rPr>
      </w:pPr>
      <w:r w:rsidRPr="00285CDE">
        <w:rPr>
          <w:rFonts w:cs="Arial"/>
          <w:szCs w:val="24"/>
        </w:rPr>
        <w:t>[192]</w:t>
      </w:r>
      <w:r w:rsidRPr="00285CDE">
        <w:rPr>
          <w:rFonts w:cs="Arial"/>
          <w:szCs w:val="24"/>
        </w:rPr>
        <w:tab/>
      </w:r>
      <w:r w:rsidR="009D09E5">
        <w:rPr>
          <w:shd w:val="clear" w:color="auto" w:fill="FFFFFF"/>
        </w:rPr>
        <w:t>The Applicants</w:t>
      </w:r>
      <w:r w:rsidR="001965EA" w:rsidRPr="00285CDE">
        <w:rPr>
          <w:shd w:val="clear" w:color="auto" w:fill="FFFFFF"/>
        </w:rPr>
        <w:t xml:space="preserve"> w</w:t>
      </w:r>
      <w:r w:rsidR="009D09E5">
        <w:rPr>
          <w:shd w:val="clear" w:color="auto" w:fill="FFFFFF"/>
        </w:rPr>
        <w:t>ere</w:t>
      </w:r>
      <w:r w:rsidR="001965EA" w:rsidRPr="00285CDE">
        <w:rPr>
          <w:shd w:val="clear" w:color="auto" w:fill="FFFFFF"/>
        </w:rPr>
        <w:t xml:space="preserve"> correct in </w:t>
      </w:r>
      <w:r w:rsidR="009D09E5">
        <w:rPr>
          <w:shd w:val="clear" w:color="auto" w:fill="FFFFFF"/>
        </w:rPr>
        <w:t>their</w:t>
      </w:r>
      <w:r w:rsidR="001965EA" w:rsidRPr="00285CDE">
        <w:rPr>
          <w:shd w:val="clear" w:color="auto" w:fill="FFFFFF"/>
        </w:rPr>
        <w:t xml:space="preserve"> submission when </w:t>
      </w:r>
      <w:r w:rsidR="009D09E5">
        <w:rPr>
          <w:shd w:val="clear" w:color="auto" w:fill="FFFFFF"/>
        </w:rPr>
        <w:t xml:space="preserve">they </w:t>
      </w:r>
      <w:r w:rsidR="001965EA" w:rsidRPr="00285CDE">
        <w:rPr>
          <w:shd w:val="clear" w:color="auto" w:fill="FFFFFF"/>
        </w:rPr>
        <w:t xml:space="preserve">stated that the amended business rescue plan </w:t>
      </w:r>
      <w:r w:rsidR="00E33BB0">
        <w:rPr>
          <w:shd w:val="clear" w:color="auto" w:fill="FFFFFF"/>
        </w:rPr>
        <w:t>was similar to</w:t>
      </w:r>
      <w:r w:rsidR="001965EA" w:rsidRPr="00285CDE">
        <w:rPr>
          <w:shd w:val="clear" w:color="auto" w:fill="FFFFFF"/>
        </w:rPr>
        <w:t xml:space="preserve"> a binding contract.</w:t>
      </w:r>
      <w:r w:rsidR="006178E5" w:rsidRPr="00285CDE">
        <w:rPr>
          <w:shd w:val="clear" w:color="auto" w:fill="FFFFFF"/>
        </w:rPr>
        <w:t xml:space="preserve"> </w:t>
      </w:r>
      <w:r w:rsidR="00D339B2" w:rsidRPr="00285CDE">
        <w:rPr>
          <w:shd w:val="clear" w:color="auto" w:fill="FFFFFF"/>
        </w:rPr>
        <w:t xml:space="preserve">Our jurisprudence requires that a party seeking to avoid a contractual term show good reason for failing to comply with the term. Counsel for the </w:t>
      </w:r>
      <w:r w:rsidR="004F6A53" w:rsidRPr="00285CDE">
        <w:rPr>
          <w:shd w:val="clear" w:color="auto" w:fill="FFFFFF"/>
        </w:rPr>
        <w:t>PE Minister</w:t>
      </w:r>
      <w:r w:rsidR="00D339B2" w:rsidRPr="00285CDE">
        <w:rPr>
          <w:shd w:val="clear" w:color="auto" w:fill="FFFFFF"/>
        </w:rPr>
        <w:t xml:space="preserve"> did not take this Court into confidence as to why this Court should interfere with an </w:t>
      </w:r>
      <w:r w:rsidR="00D339B2" w:rsidRPr="00285CDE">
        <w:rPr>
          <w:shd w:val="clear" w:color="auto" w:fill="FFFFFF"/>
        </w:rPr>
        <w:lastRenderedPageBreak/>
        <w:t>unambiguous contractual term</w:t>
      </w:r>
      <w:r w:rsidR="001965EA" w:rsidRPr="00285CDE">
        <w:rPr>
          <w:shd w:val="clear" w:color="auto" w:fill="FFFFFF"/>
        </w:rPr>
        <w:t xml:space="preserve"> flowing from a business rescue plan and the provisions of the </w:t>
      </w:r>
      <w:r w:rsidR="00292030" w:rsidRPr="00285CDE">
        <w:rPr>
          <w:shd w:val="clear" w:color="auto" w:fill="FFFFFF"/>
        </w:rPr>
        <w:t>Companies</w:t>
      </w:r>
      <w:r w:rsidR="001965EA" w:rsidRPr="00285CDE">
        <w:rPr>
          <w:shd w:val="clear" w:color="auto" w:fill="FFFFFF"/>
        </w:rPr>
        <w:t xml:space="preserve"> Act</w:t>
      </w:r>
      <w:r w:rsidR="00D339B2" w:rsidRPr="00285CDE">
        <w:rPr>
          <w:shd w:val="clear" w:color="auto" w:fill="FFFFFF"/>
        </w:rPr>
        <w:t>. In </w:t>
      </w:r>
      <w:r w:rsidR="00D339B2" w:rsidRPr="00285CDE">
        <w:rPr>
          <w:i/>
          <w:color w:val="242121"/>
        </w:rPr>
        <w:t>Napier v Barkhuizen</w:t>
      </w:r>
      <w:r w:rsidR="00D339B2" w:rsidRPr="00285CDE">
        <w:rPr>
          <w:rStyle w:val="FootnoteReference"/>
          <w:i/>
          <w:color w:val="242121"/>
        </w:rPr>
        <w:footnoteReference w:id="78"/>
      </w:r>
      <w:r w:rsidR="00D339B2" w:rsidRPr="00285CDE">
        <w:rPr>
          <w:color w:val="242121"/>
        </w:rPr>
        <w:t xml:space="preserve"> Cameron AJ [as he then was] with the support of all members of the court warned that</w:t>
      </w:r>
      <w:r w:rsidR="00D339B2" w:rsidRPr="00285CDE">
        <w:rPr>
          <w:color w:val="333333"/>
          <w:shd w:val="clear" w:color="auto" w:fill="FFFFFF"/>
        </w:rPr>
        <w:t>:</w:t>
      </w:r>
    </w:p>
    <w:p w14:paraId="046C6D1C" w14:textId="42C2D966" w:rsidR="00D339B2" w:rsidRPr="00521835" w:rsidRDefault="001965EA" w:rsidP="00521835">
      <w:pPr>
        <w:pStyle w:val="1"/>
        <w:numPr>
          <w:ilvl w:val="0"/>
          <w:numId w:val="0"/>
        </w:numPr>
        <w:spacing w:line="360" w:lineRule="auto"/>
        <w:ind w:left="851" w:right="851"/>
        <w:rPr>
          <w:rFonts w:cs="Arial"/>
          <w:szCs w:val="24"/>
        </w:rPr>
      </w:pPr>
      <w:r w:rsidRPr="00285CDE">
        <w:rPr>
          <w:rFonts w:cs="Arial"/>
          <w:color w:val="333333"/>
          <w:sz w:val="22"/>
          <w:shd w:val="clear" w:color="auto" w:fill="FFFFFF"/>
        </w:rPr>
        <w:t>‘</w:t>
      </w:r>
      <w:r w:rsidR="00D339B2" w:rsidRPr="00285CDE">
        <w:rPr>
          <w:rFonts w:cs="Arial"/>
          <w:color w:val="333333"/>
          <w:sz w:val="22"/>
          <w:shd w:val="clear" w:color="auto" w:fill="FFFFFF"/>
        </w:rPr>
        <w:t>…</w:t>
      </w:r>
      <w:r w:rsidR="00D339B2" w:rsidRPr="00521835">
        <w:rPr>
          <w:rFonts w:cs="Arial"/>
          <w:szCs w:val="24"/>
          <w:shd w:val="clear" w:color="auto" w:fill="FFFFFF"/>
        </w:rPr>
        <w:t>intruding on apparently voluntarily concluded arrangements is a step that judges should countenance with care</w:t>
      </w:r>
      <w:r w:rsidR="00292030" w:rsidRPr="00521835">
        <w:rPr>
          <w:rFonts w:cs="Arial"/>
          <w:szCs w:val="24"/>
          <w:shd w:val="clear" w:color="auto" w:fill="FFFFFF"/>
        </w:rPr>
        <w:t>…’</w:t>
      </w:r>
      <w:r w:rsidR="00D339B2" w:rsidRPr="00521835">
        <w:rPr>
          <w:rFonts w:cs="Arial"/>
          <w:szCs w:val="24"/>
          <w:shd w:val="clear" w:color="auto" w:fill="FFFFFF"/>
        </w:rPr>
        <w:t>.</w:t>
      </w:r>
    </w:p>
    <w:p w14:paraId="708D5207" w14:textId="559A1484" w:rsidR="00292030"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[193]</w:t>
      </w:r>
      <w:r w:rsidRPr="00285CDE">
        <w:rPr>
          <w:rFonts w:cs="Arial"/>
          <w:szCs w:val="24"/>
        </w:rPr>
        <w:tab/>
      </w:r>
      <w:r w:rsidR="003D34F3" w:rsidRPr="00285CDE">
        <w:rPr>
          <w:shd w:val="clear" w:color="auto" w:fill="FFFFFF"/>
        </w:rPr>
        <w:t>In light of</w:t>
      </w:r>
      <w:r w:rsidR="00292030" w:rsidRPr="00285CDE">
        <w:rPr>
          <w:shd w:val="clear" w:color="auto" w:fill="FFFFFF"/>
        </w:rPr>
        <w:t xml:space="preserve"> the above, if this Court was to easily interfere with voluntar</w:t>
      </w:r>
      <w:r w:rsidR="00BD045E">
        <w:rPr>
          <w:shd w:val="clear" w:color="auto" w:fill="FFFFFF"/>
        </w:rPr>
        <w:t>il</w:t>
      </w:r>
      <w:r w:rsidR="00292030" w:rsidRPr="00285CDE">
        <w:rPr>
          <w:shd w:val="clear" w:color="auto" w:fill="FFFFFF"/>
        </w:rPr>
        <w:t xml:space="preserve">y concluded </w:t>
      </w:r>
      <w:r w:rsidR="00E33BB0">
        <w:rPr>
          <w:shd w:val="clear" w:color="auto" w:fill="FFFFFF"/>
        </w:rPr>
        <w:t>terms in a business rescue plan</w:t>
      </w:r>
      <w:r w:rsidR="00292030" w:rsidRPr="00285CDE">
        <w:rPr>
          <w:shd w:val="clear" w:color="auto" w:fill="FFFFFF"/>
        </w:rPr>
        <w:t xml:space="preserve"> without good cause, then there would be no need for affected parties to hold a meeting and adopt a business rescue plan that would be </w:t>
      </w:r>
      <w:r w:rsidR="006178E5" w:rsidRPr="00285CDE">
        <w:rPr>
          <w:shd w:val="clear" w:color="auto" w:fill="FFFFFF"/>
        </w:rPr>
        <w:t xml:space="preserve">subsequently </w:t>
      </w:r>
      <w:r w:rsidR="00292030" w:rsidRPr="00285CDE">
        <w:rPr>
          <w:shd w:val="clear" w:color="auto" w:fill="FFFFFF"/>
        </w:rPr>
        <w:t xml:space="preserve">ignored. Therefore, to accept the submissions of Counsel for the </w:t>
      </w:r>
      <w:r w:rsidR="004F6A53" w:rsidRPr="00285CDE">
        <w:rPr>
          <w:shd w:val="clear" w:color="auto" w:fill="FFFFFF"/>
        </w:rPr>
        <w:t>PE Minister</w:t>
      </w:r>
      <w:r w:rsidR="00292030" w:rsidRPr="00285CDE">
        <w:rPr>
          <w:shd w:val="clear" w:color="auto" w:fill="FFFFFF"/>
        </w:rPr>
        <w:t xml:space="preserve"> would be contrary to the doctrine of </w:t>
      </w:r>
      <w:r w:rsidR="00292030" w:rsidRPr="00285CDE">
        <w:rPr>
          <w:i/>
          <w:shd w:val="clear" w:color="auto" w:fill="FFFFFF"/>
        </w:rPr>
        <w:t>pacta sunt servanda</w:t>
      </w:r>
      <w:r w:rsidR="00292030" w:rsidRPr="00285CDE">
        <w:rPr>
          <w:shd w:val="clear" w:color="auto" w:fill="FFFFFF"/>
        </w:rPr>
        <w:t xml:space="preserve"> and undermine the role of the BRP in business rescue proceedings. </w:t>
      </w:r>
    </w:p>
    <w:p w14:paraId="74A05D28" w14:textId="196F158A" w:rsidR="00A53C47" w:rsidRPr="00285CDE" w:rsidRDefault="00890EE4" w:rsidP="00890EE4">
      <w:pPr>
        <w:pStyle w:val="1"/>
        <w:numPr>
          <w:ilvl w:val="0"/>
          <w:numId w:val="0"/>
        </w:numPr>
        <w:tabs>
          <w:tab w:val="left" w:pos="567"/>
        </w:tabs>
        <w:spacing w:line="360" w:lineRule="auto"/>
        <w:ind w:left="567" w:hanging="567"/>
        <w:rPr>
          <w:sz w:val="22"/>
        </w:rPr>
      </w:pPr>
      <w:r w:rsidRPr="00285CDE">
        <w:rPr>
          <w:rFonts w:cs="Arial"/>
          <w:szCs w:val="24"/>
        </w:rPr>
        <w:t>[194]</w:t>
      </w:r>
      <w:r w:rsidRPr="00285CDE">
        <w:rPr>
          <w:rFonts w:cs="Arial"/>
          <w:szCs w:val="24"/>
        </w:rPr>
        <w:tab/>
      </w:r>
      <w:r w:rsidR="00D635D0" w:rsidRPr="00285CDE">
        <w:rPr>
          <w:shd w:val="clear" w:color="auto" w:fill="FFFFFF"/>
        </w:rPr>
        <w:t>Concerning the conflict between the provisions of the Companies Act and the PFMA,</w:t>
      </w:r>
      <w:r w:rsidR="00F14789">
        <w:rPr>
          <w:shd w:val="clear" w:color="auto" w:fill="FFFFFF"/>
        </w:rPr>
        <w:t xml:space="preserve"> research has shown that </w:t>
      </w:r>
      <w:r w:rsidR="00E33BB0">
        <w:rPr>
          <w:shd w:val="clear" w:color="auto" w:fill="FFFFFF"/>
        </w:rPr>
        <w:t xml:space="preserve">is </w:t>
      </w:r>
      <w:r w:rsidR="00F14789">
        <w:rPr>
          <w:shd w:val="clear" w:color="auto" w:fill="FFFFFF"/>
        </w:rPr>
        <w:t xml:space="preserve">no </w:t>
      </w:r>
      <w:r w:rsidR="00E33BB0">
        <w:rPr>
          <w:shd w:val="clear" w:color="auto" w:fill="FFFFFF"/>
        </w:rPr>
        <w:t>precedence</w:t>
      </w:r>
      <w:r w:rsidR="00F14789">
        <w:rPr>
          <w:shd w:val="clear" w:color="auto" w:fill="FFFFFF"/>
        </w:rPr>
        <w:t>.</w:t>
      </w:r>
      <w:r w:rsidR="00D635D0" w:rsidRPr="00285CDE">
        <w:rPr>
          <w:shd w:val="clear" w:color="auto" w:fill="FFFFFF"/>
        </w:rPr>
        <w:t xml:space="preserve"> </w:t>
      </w:r>
      <w:r w:rsidR="00F14789">
        <w:t>T</w:t>
      </w:r>
      <w:r w:rsidR="00CF4058" w:rsidRPr="00285CDE">
        <w:t xml:space="preserve">he Fourth and Fifth Respondents argued that the provisions of the PFMA will prevail where there is a conflict with the provisions </w:t>
      </w:r>
      <w:r w:rsidR="006B32AB" w:rsidRPr="00285CDE">
        <w:t xml:space="preserve">of </w:t>
      </w:r>
      <w:r w:rsidR="00CF4058" w:rsidRPr="00285CDE">
        <w:t xml:space="preserve">the Companies Act. However, </w:t>
      </w:r>
      <w:r w:rsidR="00A53C47" w:rsidRPr="00285CDE">
        <w:t xml:space="preserve">there were </w:t>
      </w:r>
      <w:r w:rsidR="00CF4058" w:rsidRPr="00285CDE">
        <w:t>no submissions whatsoever that were advanced to</w:t>
      </w:r>
      <w:r w:rsidR="00A53C47" w:rsidRPr="00285CDE">
        <w:t xml:space="preserve"> specify the nature of the conflict that exists between the two </w:t>
      </w:r>
      <w:r w:rsidR="00BD045E" w:rsidRPr="00285CDE">
        <w:t>legislations</w:t>
      </w:r>
      <w:r w:rsidR="00A53C47" w:rsidRPr="00285CDE">
        <w:t>. In disputing the alleged conflict, counsel for the First and Second Applicants argued that this Court should adopt an interpretative approach that will reconcile and harmonise the provisions of the Companies Act and the PFMA</w:t>
      </w:r>
      <w:r w:rsidR="006B32AB" w:rsidRPr="00285CDE">
        <w:t xml:space="preserve"> to the effect that section 54(3) of the PFMA and Chapter 6 of the Companies Act both give effect to “</w:t>
      </w:r>
      <w:r w:rsidR="006B32AB" w:rsidRPr="00E33BB0">
        <w:rPr>
          <w:i/>
          <w:iCs w:val="0"/>
        </w:rPr>
        <w:t>commercial urgency and expedition</w:t>
      </w:r>
      <w:r w:rsidR="006B32AB" w:rsidRPr="00285CDE">
        <w:t xml:space="preserve">”. </w:t>
      </w:r>
    </w:p>
    <w:p w14:paraId="524FE011" w14:textId="3C015037" w:rsidR="00CF4058" w:rsidRPr="00285CDE" w:rsidRDefault="00890EE4" w:rsidP="00890EE4">
      <w:pPr>
        <w:pStyle w:val="1"/>
        <w:numPr>
          <w:ilvl w:val="0"/>
          <w:numId w:val="0"/>
        </w:numPr>
        <w:tabs>
          <w:tab w:val="left" w:pos="567"/>
        </w:tabs>
        <w:spacing w:line="360" w:lineRule="auto"/>
        <w:ind w:left="567" w:hanging="567"/>
        <w:rPr>
          <w:sz w:val="22"/>
        </w:rPr>
      </w:pPr>
      <w:r w:rsidRPr="00285CDE">
        <w:rPr>
          <w:rFonts w:cs="Arial"/>
          <w:szCs w:val="24"/>
        </w:rPr>
        <w:t>[195]</w:t>
      </w:r>
      <w:r w:rsidRPr="00285CDE">
        <w:rPr>
          <w:rFonts w:cs="Arial"/>
          <w:szCs w:val="24"/>
        </w:rPr>
        <w:tab/>
      </w:r>
      <w:r w:rsidR="00A53C47" w:rsidRPr="00285CDE">
        <w:t xml:space="preserve">In particular, counsel for the First and Second Respondents highlighted that the Fourth and Fifth Respondents overlooked the provisions of section 5(4)(a) and (b)(1)(ee) </w:t>
      </w:r>
      <w:r w:rsidR="00854953">
        <w:t xml:space="preserve">of the Companies Act </w:t>
      </w:r>
      <w:r w:rsidR="006E1EF1" w:rsidRPr="00285CDE">
        <w:t>which provide that:</w:t>
      </w:r>
    </w:p>
    <w:p w14:paraId="74CBB77F" w14:textId="4F26B70F" w:rsidR="00CF4058" w:rsidRPr="00521835" w:rsidRDefault="00CF4058" w:rsidP="00C932CF">
      <w:pPr>
        <w:pStyle w:val="1"/>
        <w:numPr>
          <w:ilvl w:val="0"/>
          <w:numId w:val="0"/>
        </w:numPr>
        <w:autoSpaceDE w:val="0"/>
        <w:adjustRightInd w:val="0"/>
        <w:spacing w:line="360" w:lineRule="auto"/>
        <w:ind w:left="851" w:right="851" w:firstLine="720"/>
        <w:rPr>
          <w:szCs w:val="24"/>
        </w:rPr>
      </w:pPr>
      <w:r w:rsidRPr="00521835">
        <w:rPr>
          <w:szCs w:val="24"/>
        </w:rPr>
        <w:t>…</w:t>
      </w:r>
    </w:p>
    <w:p w14:paraId="137C036B" w14:textId="7255583B" w:rsidR="006E1EF1" w:rsidRPr="00521835" w:rsidRDefault="006E1EF1" w:rsidP="00C932CF">
      <w:pPr>
        <w:pStyle w:val="1"/>
        <w:numPr>
          <w:ilvl w:val="0"/>
          <w:numId w:val="0"/>
        </w:numPr>
        <w:autoSpaceDE w:val="0"/>
        <w:adjustRightInd w:val="0"/>
        <w:spacing w:line="360" w:lineRule="auto"/>
        <w:ind w:left="851" w:right="851"/>
        <w:rPr>
          <w:szCs w:val="24"/>
        </w:rPr>
      </w:pPr>
      <w:r w:rsidRPr="00521835">
        <w:rPr>
          <w:szCs w:val="24"/>
        </w:rPr>
        <w:lastRenderedPageBreak/>
        <w:t xml:space="preserve">‘If there is an inconsistency between any provision of this Act and a provision of any other national legislation— </w:t>
      </w:r>
    </w:p>
    <w:p w14:paraId="179BCB1C" w14:textId="5AB8913F" w:rsidR="006E1EF1" w:rsidRPr="00521835" w:rsidRDefault="006E1EF1" w:rsidP="00521835">
      <w:pPr>
        <w:pStyle w:val="1"/>
        <w:numPr>
          <w:ilvl w:val="0"/>
          <w:numId w:val="0"/>
        </w:numPr>
        <w:autoSpaceDE w:val="0"/>
        <w:adjustRightInd w:val="0"/>
        <w:spacing w:line="360" w:lineRule="auto"/>
        <w:ind w:left="1440" w:right="851" w:hanging="409"/>
        <w:rPr>
          <w:szCs w:val="24"/>
        </w:rPr>
      </w:pPr>
      <w:r w:rsidRPr="00521835">
        <w:rPr>
          <w:szCs w:val="24"/>
        </w:rPr>
        <w:t xml:space="preserve">(a) </w:t>
      </w:r>
      <w:r w:rsidRPr="00521835">
        <w:rPr>
          <w:szCs w:val="24"/>
        </w:rPr>
        <w:tab/>
        <w:t xml:space="preserve">the provisions of both Acts apply concurrently, to the extent that it is possible to apply and comply with one of the inconsistent provisions without contravening the second; and </w:t>
      </w:r>
    </w:p>
    <w:p w14:paraId="745BB2C7" w14:textId="2FFF492B" w:rsidR="006E1EF1" w:rsidRPr="00521835" w:rsidRDefault="006E1EF1" w:rsidP="00C932CF">
      <w:pPr>
        <w:pStyle w:val="1"/>
        <w:numPr>
          <w:ilvl w:val="0"/>
          <w:numId w:val="0"/>
        </w:numPr>
        <w:autoSpaceDE w:val="0"/>
        <w:adjustRightInd w:val="0"/>
        <w:spacing w:line="360" w:lineRule="auto"/>
        <w:ind w:left="1440" w:right="851" w:hanging="409"/>
        <w:rPr>
          <w:szCs w:val="24"/>
        </w:rPr>
      </w:pPr>
      <w:r w:rsidRPr="00521835">
        <w:rPr>
          <w:szCs w:val="24"/>
        </w:rPr>
        <w:t xml:space="preserve">(b) </w:t>
      </w:r>
      <w:r w:rsidRPr="00521835">
        <w:rPr>
          <w:szCs w:val="24"/>
        </w:rPr>
        <w:tab/>
        <w:t>to the extent that it is impossible to apply or comply with one or the inconsistent provisions without contravening the second…</w:t>
      </w:r>
    </w:p>
    <w:p w14:paraId="2F181EEB" w14:textId="72011E96" w:rsidR="006E1EF1" w:rsidRPr="00521835" w:rsidRDefault="006E1EF1" w:rsidP="00C932CF">
      <w:pPr>
        <w:pStyle w:val="1"/>
        <w:numPr>
          <w:ilvl w:val="0"/>
          <w:numId w:val="0"/>
        </w:numPr>
        <w:autoSpaceDE w:val="0"/>
        <w:adjustRightInd w:val="0"/>
        <w:spacing w:line="360" w:lineRule="auto"/>
        <w:ind w:left="851" w:right="851" w:firstLine="720"/>
        <w:rPr>
          <w:szCs w:val="24"/>
        </w:rPr>
      </w:pPr>
      <w:r w:rsidRPr="00521835">
        <w:rPr>
          <w:szCs w:val="24"/>
        </w:rPr>
        <w:t xml:space="preserve">(i) </w:t>
      </w:r>
      <w:r w:rsidRPr="00521835">
        <w:rPr>
          <w:szCs w:val="24"/>
        </w:rPr>
        <w:tab/>
        <w:t>…</w:t>
      </w:r>
    </w:p>
    <w:p w14:paraId="02FB516B" w14:textId="3B17CBD8" w:rsidR="00CF4058" w:rsidRPr="00521835" w:rsidRDefault="006E1EF1" w:rsidP="00521835">
      <w:pPr>
        <w:pStyle w:val="1"/>
        <w:numPr>
          <w:ilvl w:val="0"/>
          <w:numId w:val="0"/>
        </w:numPr>
        <w:autoSpaceDE w:val="0"/>
        <w:adjustRightInd w:val="0"/>
        <w:spacing w:line="360" w:lineRule="auto"/>
        <w:ind w:left="982" w:right="851" w:firstLine="458"/>
        <w:rPr>
          <w:szCs w:val="24"/>
        </w:rPr>
      </w:pPr>
      <w:r w:rsidRPr="00521835">
        <w:rPr>
          <w:szCs w:val="24"/>
        </w:rPr>
        <w:t xml:space="preserve"> (ee) Public Finance Management Act, 1999 (Act No. 1 of 1999)</w:t>
      </w:r>
    </w:p>
    <w:p w14:paraId="6928F727" w14:textId="33681BDA" w:rsidR="00854953" w:rsidRPr="003559B7" w:rsidRDefault="00890EE4" w:rsidP="00890EE4">
      <w:pPr>
        <w:pStyle w:val="1"/>
        <w:numPr>
          <w:ilvl w:val="0"/>
          <w:numId w:val="0"/>
        </w:numPr>
        <w:tabs>
          <w:tab w:val="left" w:pos="567"/>
        </w:tabs>
        <w:spacing w:line="360" w:lineRule="auto"/>
        <w:ind w:left="567" w:hanging="567"/>
        <w:rPr>
          <w:i/>
          <w:iCs w:val="0"/>
        </w:rPr>
      </w:pPr>
      <w:r w:rsidRPr="003559B7">
        <w:rPr>
          <w:rFonts w:cs="Arial"/>
          <w:szCs w:val="24"/>
        </w:rPr>
        <w:t>[196]</w:t>
      </w:r>
      <w:r w:rsidRPr="003559B7">
        <w:rPr>
          <w:rFonts w:cs="Arial"/>
          <w:szCs w:val="24"/>
        </w:rPr>
        <w:tab/>
      </w:r>
      <w:r w:rsidR="00BC6AA4">
        <w:t xml:space="preserve">The enquiry envisaged by section 5(4)(a) of the Companies Act is to </w:t>
      </w:r>
      <w:r w:rsidR="00BC6AA4" w:rsidRPr="00BC6AA4">
        <w:rPr>
          <w:i/>
          <w:iCs w:val="0"/>
        </w:rPr>
        <w:t>inter alia</w:t>
      </w:r>
      <w:r w:rsidR="00BC6AA4">
        <w:t xml:space="preserve"> first establish whether there is a conflict</w:t>
      </w:r>
      <w:r w:rsidR="003559B7">
        <w:t xml:space="preserve"> and then whether it is possible to apply one of the inconsistent provisions without contravening the second.</w:t>
      </w:r>
      <w:r w:rsidR="003559B7">
        <w:rPr>
          <w:rStyle w:val="FootnoteReference"/>
        </w:rPr>
        <w:footnoteReference w:id="79"/>
      </w:r>
      <w:r w:rsidR="003559B7">
        <w:t xml:space="preserve"> In this present matter, this Court was not directed and/or shown any conflict. Accordingly, any argument suggesting the existence of a conflict without identifying it is difficult to comprehend. In my view,</w:t>
      </w:r>
      <w:r w:rsidR="006E1EF1" w:rsidRPr="00285CDE">
        <w:t xml:space="preserve"> </w:t>
      </w:r>
      <w:r w:rsidR="003559B7">
        <w:t>c</w:t>
      </w:r>
      <w:r w:rsidR="006E1EF1" w:rsidRPr="00285CDE">
        <w:t xml:space="preserve">ounsel for the First and Second Applicants </w:t>
      </w:r>
      <w:r w:rsidR="003559B7">
        <w:t xml:space="preserve">correctly </w:t>
      </w:r>
      <w:r w:rsidR="006E1EF1" w:rsidRPr="00285CDE">
        <w:t xml:space="preserve">contended that </w:t>
      </w:r>
      <w:r w:rsidR="00584B19" w:rsidRPr="00285CDE">
        <w:t>the Fourth and Fifth Respondents had to show that it is not possible to apply and comply with both the provisions of the Companies Act and the PFMA</w:t>
      </w:r>
      <w:r w:rsidR="003D723F" w:rsidRPr="00285CDE">
        <w:t xml:space="preserve"> and</w:t>
      </w:r>
      <w:r w:rsidR="00BD045E">
        <w:t xml:space="preserve">, </w:t>
      </w:r>
      <w:r w:rsidR="003D723F" w:rsidRPr="00285CDE">
        <w:t>to the extent that it is impossible, does the PFMA apply to the extent of any inconsistency with the Companies Act.</w:t>
      </w:r>
      <w:r w:rsidR="003D723F" w:rsidRPr="003559B7">
        <w:rPr>
          <w:i/>
          <w:iCs w:val="0"/>
        </w:rPr>
        <w:t xml:space="preserve"> </w:t>
      </w:r>
      <w:r w:rsidR="00723ACB" w:rsidRPr="00285CDE">
        <w:t>I agree with the submission</w:t>
      </w:r>
      <w:r w:rsidR="003D723F" w:rsidRPr="00285CDE">
        <w:t>s made by counsel</w:t>
      </w:r>
      <w:r w:rsidR="00723ACB" w:rsidRPr="00285CDE">
        <w:t xml:space="preserve"> for the Applican</w:t>
      </w:r>
      <w:r w:rsidR="003D723F" w:rsidRPr="00285CDE">
        <w:t>t</w:t>
      </w:r>
      <w:r w:rsidR="00BD045E">
        <w:t>s</w:t>
      </w:r>
      <w:r w:rsidR="003D723F" w:rsidRPr="00285CDE">
        <w:t xml:space="preserve"> in that</w:t>
      </w:r>
      <w:r w:rsidR="00723ACB" w:rsidRPr="00285CDE">
        <w:t xml:space="preserve"> none of the reconciliatory interpretative approach</w:t>
      </w:r>
      <w:r w:rsidR="00E33BB0">
        <w:t>es</w:t>
      </w:r>
      <w:r w:rsidR="00723ACB" w:rsidRPr="00285CDE">
        <w:t xml:space="preserve"> has been taken to mitigate the conflict</w:t>
      </w:r>
      <w:r w:rsidR="003D723F" w:rsidRPr="00285CDE">
        <w:t xml:space="preserve">, if any, between the two </w:t>
      </w:r>
      <w:r w:rsidR="00854953">
        <w:t>legislation</w:t>
      </w:r>
      <w:r w:rsidR="003D723F" w:rsidRPr="00285CDE">
        <w:t>s</w:t>
      </w:r>
      <w:r w:rsidR="00723ACB" w:rsidRPr="00285CDE">
        <w:t xml:space="preserve">. </w:t>
      </w:r>
      <w:r w:rsidR="003D723F" w:rsidRPr="00285CDE">
        <w:t xml:space="preserve">To this end, I am </w:t>
      </w:r>
      <w:r w:rsidR="00AC650B" w:rsidRPr="00285CDE">
        <w:t>persuaded</w:t>
      </w:r>
      <w:r w:rsidR="003D723F" w:rsidRPr="00285CDE">
        <w:t xml:space="preserve"> by</w:t>
      </w:r>
      <w:r w:rsidR="00AC650B" w:rsidRPr="00285CDE">
        <w:t xml:space="preserve"> the submissions by</w:t>
      </w:r>
      <w:r w:rsidR="003D723F" w:rsidRPr="00285CDE">
        <w:t xml:space="preserve"> counsel for the First and Second Applicants that </w:t>
      </w:r>
      <w:r w:rsidR="00AC650B" w:rsidRPr="00285CDE">
        <w:t xml:space="preserve">section 54(2) and </w:t>
      </w:r>
      <w:r w:rsidR="00D02785" w:rsidRPr="00285CDE">
        <w:t>(</w:t>
      </w:r>
      <w:r w:rsidR="00AC650B" w:rsidRPr="00285CDE">
        <w:t>3</w:t>
      </w:r>
      <w:r w:rsidR="00D02785" w:rsidRPr="00285CDE">
        <w:t>)</w:t>
      </w:r>
      <w:r w:rsidR="00AC650B" w:rsidRPr="00285CDE">
        <w:t xml:space="preserve"> of the PFMA is capable of being </w:t>
      </w:r>
      <w:r w:rsidR="00D02785" w:rsidRPr="00285CDE">
        <w:t xml:space="preserve">interpreted </w:t>
      </w:r>
      <w:r w:rsidR="00270CE0" w:rsidRPr="00285CDE">
        <w:t xml:space="preserve">as per section 5(4)(a) and (b)(i)(ee) of the Companies Act </w:t>
      </w:r>
      <w:r w:rsidR="00D02785" w:rsidRPr="00285CDE">
        <w:t>in such a way that it</w:t>
      </w:r>
      <w:r w:rsidR="00270CE0" w:rsidRPr="00285CDE">
        <w:t xml:space="preserve"> provides for speedy finalisation of </w:t>
      </w:r>
      <w:r w:rsidR="0054217B">
        <w:t xml:space="preserve">the </w:t>
      </w:r>
      <w:r w:rsidR="00270CE0" w:rsidRPr="00285CDE">
        <w:t xml:space="preserve">business rescue process. </w:t>
      </w:r>
    </w:p>
    <w:p w14:paraId="460823AF" w14:textId="0C765A05" w:rsidR="009B6C92" w:rsidRDefault="00890EE4" w:rsidP="00890EE4">
      <w:pPr>
        <w:pStyle w:val="1"/>
        <w:numPr>
          <w:ilvl w:val="0"/>
          <w:numId w:val="0"/>
        </w:numPr>
        <w:tabs>
          <w:tab w:val="left" w:pos="567"/>
        </w:tabs>
        <w:spacing w:line="360" w:lineRule="auto"/>
        <w:ind w:left="567" w:hanging="567"/>
        <w:rPr>
          <w:lang w:val="en-ZA"/>
        </w:rPr>
      </w:pPr>
      <w:r>
        <w:rPr>
          <w:rFonts w:cs="Arial"/>
          <w:szCs w:val="24"/>
          <w:lang w:val="en-ZA"/>
        </w:rPr>
        <w:t>[197]</w:t>
      </w:r>
      <w:r>
        <w:rPr>
          <w:rFonts w:cs="Arial"/>
          <w:szCs w:val="24"/>
          <w:lang w:val="en-ZA"/>
        </w:rPr>
        <w:tab/>
      </w:r>
      <w:r w:rsidR="009B6C92">
        <w:t>This Court stated earlier tha</w:t>
      </w:r>
      <w:r w:rsidR="00E33BB0">
        <w:t>t</w:t>
      </w:r>
      <w:r w:rsidR="009B6C92">
        <w:t xml:space="preserve"> t</w:t>
      </w:r>
      <w:r w:rsidR="009B6C92" w:rsidRPr="00614C67">
        <w:t xml:space="preserve">he Amended Business Rescue Plan </w:t>
      </w:r>
      <w:r w:rsidR="009B6C92" w:rsidRPr="002A5CE5">
        <w:rPr>
          <w:i/>
        </w:rPr>
        <w:t>inter alia</w:t>
      </w:r>
      <w:r w:rsidR="009B6C92" w:rsidRPr="00614C67">
        <w:t xml:space="preserve"> </w:t>
      </w:r>
      <w:r w:rsidR="009B6C92" w:rsidRPr="00614C67">
        <w:lastRenderedPageBreak/>
        <w:t>provides that the BRP will “prepare and submit a request for approval in terms of section 54(2)(c) of the PFMA” and “on behalf of SAA”.</w:t>
      </w:r>
      <w:r w:rsidR="009B6C92" w:rsidRPr="00614C67">
        <w:rPr>
          <w:rStyle w:val="FootnoteReference"/>
          <w:rFonts w:cs="Arial"/>
          <w:szCs w:val="24"/>
        </w:rPr>
        <w:footnoteReference w:id="80"/>
      </w:r>
      <w:r w:rsidR="009B6C92" w:rsidRPr="00614C67">
        <w:t xml:space="preserve"> Additionally, the Amended Business Rescue Plan </w:t>
      </w:r>
      <w:r w:rsidR="009B6C92" w:rsidRPr="002A5CE5">
        <w:rPr>
          <w:i/>
        </w:rPr>
        <w:t>inter alia</w:t>
      </w:r>
      <w:r w:rsidR="009B6C92" w:rsidRPr="00614C67">
        <w:t xml:space="preserve"> provides that the BRP will prepare and submit a request for approval in terms of section 54(2) of the PFMA.</w:t>
      </w:r>
      <w:r w:rsidR="009B6C92">
        <w:rPr>
          <w:lang w:val="en-ZA"/>
        </w:rPr>
        <w:t xml:space="preserve"> Considering the facts of this matter </w:t>
      </w:r>
      <w:r w:rsidR="009B6C92" w:rsidRPr="002C6D45">
        <w:t xml:space="preserve">the </w:t>
      </w:r>
      <w:r w:rsidR="009B6C92">
        <w:t>BRP</w:t>
      </w:r>
      <w:r w:rsidR="009B6C92" w:rsidRPr="002C6D45">
        <w:t>, in collaboration with SAA, prepare</w:t>
      </w:r>
      <w:r w:rsidR="009B6C92">
        <w:t>d</w:t>
      </w:r>
      <w:r w:rsidR="009B6C92" w:rsidRPr="002C6D45">
        <w:t xml:space="preserve"> and manage</w:t>
      </w:r>
      <w:r w:rsidR="009B6C92">
        <w:t>d</w:t>
      </w:r>
      <w:r w:rsidR="009B6C92" w:rsidRPr="002C6D45">
        <w:t xml:space="preserve"> the submission of </w:t>
      </w:r>
      <w:r w:rsidR="009B6C92">
        <w:t>the s</w:t>
      </w:r>
      <w:r w:rsidR="009B6C92" w:rsidRPr="002C6D45">
        <w:t>ection 54(2) application</w:t>
      </w:r>
      <w:r w:rsidR="009B6C92">
        <w:t xml:space="preserve"> in terms of the PFMA</w:t>
      </w:r>
      <w:r w:rsidR="009B6C92" w:rsidRPr="002C6D45">
        <w:t xml:space="preserve"> to the </w:t>
      </w:r>
      <w:r w:rsidR="009B6C92">
        <w:t xml:space="preserve">PE Minister. This to my mind is an indication that, in these circumstances, </w:t>
      </w:r>
      <w:r w:rsidR="009B6C92" w:rsidRPr="002C6D45">
        <w:rPr>
          <w:lang w:val="en-ZA"/>
        </w:rPr>
        <w:t>the PFMA and the Companies Act are capable of being interpreted in such a way that a conflict</w:t>
      </w:r>
      <w:r w:rsidR="009B6C92">
        <w:rPr>
          <w:lang w:val="en-ZA"/>
        </w:rPr>
        <w:t>, if any,</w:t>
      </w:r>
      <w:r w:rsidR="009B6C92" w:rsidRPr="002C6D45">
        <w:rPr>
          <w:lang w:val="en-ZA"/>
        </w:rPr>
        <w:t xml:space="preserve"> between the two statu</w:t>
      </w:r>
      <w:r w:rsidR="009B6C92">
        <w:rPr>
          <w:lang w:val="en-ZA"/>
        </w:rPr>
        <w:t>t</w:t>
      </w:r>
      <w:r w:rsidR="009B6C92" w:rsidRPr="002C6D45">
        <w:rPr>
          <w:lang w:val="en-ZA"/>
        </w:rPr>
        <w:t xml:space="preserve">es </w:t>
      </w:r>
      <w:r w:rsidR="009B6C92">
        <w:rPr>
          <w:lang w:val="en-ZA"/>
        </w:rPr>
        <w:t xml:space="preserve">is </w:t>
      </w:r>
      <w:r w:rsidR="009B6C92" w:rsidRPr="002C6D45">
        <w:rPr>
          <w:lang w:val="en-ZA"/>
        </w:rPr>
        <w:t xml:space="preserve">avoided. </w:t>
      </w:r>
    </w:p>
    <w:p w14:paraId="438784F0" w14:textId="06628433" w:rsidR="009B6C92" w:rsidRPr="009B6C92" w:rsidRDefault="00890EE4" w:rsidP="00890EE4">
      <w:pPr>
        <w:pStyle w:val="1"/>
        <w:numPr>
          <w:ilvl w:val="0"/>
          <w:numId w:val="0"/>
        </w:numPr>
        <w:tabs>
          <w:tab w:val="left" w:pos="567"/>
        </w:tabs>
        <w:spacing w:line="360" w:lineRule="auto"/>
        <w:ind w:left="567" w:hanging="567"/>
        <w:rPr>
          <w:lang w:val="en-ZA"/>
        </w:rPr>
      </w:pPr>
      <w:r w:rsidRPr="009B6C92">
        <w:rPr>
          <w:rFonts w:cs="Arial"/>
          <w:szCs w:val="24"/>
          <w:lang w:val="en-ZA"/>
        </w:rPr>
        <w:t>[198]</w:t>
      </w:r>
      <w:r w:rsidRPr="009B6C92">
        <w:rPr>
          <w:rFonts w:cs="Arial"/>
          <w:szCs w:val="24"/>
          <w:lang w:val="en-ZA"/>
        </w:rPr>
        <w:tab/>
      </w:r>
      <w:r w:rsidR="009B6C92" w:rsidRPr="002C6D45">
        <w:rPr>
          <w:lang w:val="en-ZA"/>
        </w:rPr>
        <w:t xml:space="preserve">In other words, they are capable of being reconciled as per </w:t>
      </w:r>
      <w:r w:rsidR="009B6C92">
        <w:rPr>
          <w:lang w:val="en-ZA"/>
        </w:rPr>
        <w:t xml:space="preserve">the provisions of </w:t>
      </w:r>
      <w:r w:rsidR="009B6C92" w:rsidRPr="002C6D45">
        <w:rPr>
          <w:lang w:val="en-ZA"/>
        </w:rPr>
        <w:t xml:space="preserve">section 5(4) of the Companies Act. </w:t>
      </w:r>
      <w:r w:rsidR="009B6C92">
        <w:rPr>
          <w:lang w:val="en-ZA"/>
        </w:rPr>
        <w:t xml:space="preserve">By approving this approach in the Amended Business Rescue Plan, the Board of SAA, while aware </w:t>
      </w:r>
      <w:r w:rsidR="009B6C92" w:rsidRPr="00646272">
        <w:rPr>
          <w:lang w:val="en-ZA"/>
        </w:rPr>
        <w:t>that section 54(2) of the PFMA only allows</w:t>
      </w:r>
      <w:r w:rsidR="009B6C92">
        <w:rPr>
          <w:lang w:val="en-ZA"/>
        </w:rPr>
        <w:t xml:space="preserve"> the “accounting authority” to make the submission under the PFMA noted the role of the </w:t>
      </w:r>
      <w:r w:rsidR="009B6C92" w:rsidRPr="00646272">
        <w:rPr>
          <w:lang w:val="en-ZA"/>
        </w:rPr>
        <w:t xml:space="preserve">BRP </w:t>
      </w:r>
      <w:r w:rsidR="009B6C92">
        <w:rPr>
          <w:lang w:val="en-ZA"/>
        </w:rPr>
        <w:t xml:space="preserve">appointed under the Companies Act in the process of </w:t>
      </w:r>
      <w:r w:rsidR="009B6C92" w:rsidRPr="00614C67">
        <w:rPr>
          <w:lang w:val="en-ZA"/>
        </w:rPr>
        <w:t>prepar</w:t>
      </w:r>
      <w:r w:rsidR="009B6C92">
        <w:rPr>
          <w:lang w:val="en-ZA"/>
        </w:rPr>
        <w:t>ing</w:t>
      </w:r>
      <w:r w:rsidR="009B6C92" w:rsidRPr="00614C67">
        <w:rPr>
          <w:lang w:val="en-ZA"/>
        </w:rPr>
        <w:t xml:space="preserve"> and submit</w:t>
      </w:r>
      <w:r w:rsidR="009B6C92">
        <w:rPr>
          <w:lang w:val="en-ZA"/>
        </w:rPr>
        <w:t>ting</w:t>
      </w:r>
      <w:r w:rsidR="009B6C92" w:rsidRPr="00614C67">
        <w:rPr>
          <w:lang w:val="en-ZA"/>
        </w:rPr>
        <w:t xml:space="preserve"> the </w:t>
      </w:r>
      <w:r w:rsidR="009B6C92">
        <w:rPr>
          <w:lang w:val="en-ZA"/>
        </w:rPr>
        <w:t xml:space="preserve">application in terms of </w:t>
      </w:r>
      <w:r w:rsidR="009B6C92" w:rsidRPr="00614C67">
        <w:rPr>
          <w:lang w:val="en-ZA"/>
        </w:rPr>
        <w:t>section 54(2)</w:t>
      </w:r>
      <w:r w:rsidR="009B6C92">
        <w:rPr>
          <w:lang w:val="en-ZA"/>
        </w:rPr>
        <w:t xml:space="preserve"> of the PFMA</w:t>
      </w:r>
      <w:r w:rsidR="009B6C92" w:rsidRPr="00614C67">
        <w:rPr>
          <w:lang w:val="en-ZA"/>
        </w:rPr>
        <w:t xml:space="preserve">. This alone defeats the argument that now purports to exclude the BRP in </w:t>
      </w:r>
      <w:r w:rsidR="009B6C92">
        <w:rPr>
          <w:lang w:val="en-ZA"/>
        </w:rPr>
        <w:t xml:space="preserve">jointly </w:t>
      </w:r>
      <w:r w:rsidR="009B6C92" w:rsidRPr="00614C67">
        <w:rPr>
          <w:lang w:val="en-ZA"/>
        </w:rPr>
        <w:t xml:space="preserve">preparing and submitting the section 54(2) application and/or </w:t>
      </w:r>
      <w:r w:rsidR="009B6C92" w:rsidRPr="00614C67">
        <w:t xml:space="preserve">the argument that </w:t>
      </w:r>
      <w:r w:rsidR="009B6C92">
        <w:t xml:space="preserve">allowing the provisions of the PFMA to prevail must mean the exclusion of the BRP in the preparation and submission of the </w:t>
      </w:r>
      <w:r w:rsidR="009B6C92" w:rsidRPr="002A5CE5">
        <w:t xml:space="preserve">application. </w:t>
      </w:r>
      <w:r w:rsidR="009B6C92">
        <w:t xml:space="preserve">The argument suggesting </w:t>
      </w:r>
      <w:r w:rsidR="009B6C92" w:rsidRPr="002A5CE5">
        <w:t xml:space="preserve">that the Applicants incorrectly </w:t>
      </w:r>
      <w:r w:rsidR="009B6C92">
        <w:t>seek</w:t>
      </w:r>
      <w:r w:rsidR="009B6C92" w:rsidRPr="002A5CE5">
        <w:t xml:space="preserve"> to rely on and enforce rights and duties flowing from the Companies Act in a section 54(2) process that is regulated by the PFMA</w:t>
      </w:r>
      <w:r w:rsidR="009B6C92">
        <w:t xml:space="preserve"> also falls to be rejected</w:t>
      </w:r>
      <w:r w:rsidR="009B6C92" w:rsidRPr="002A5CE5">
        <w:t>.</w:t>
      </w:r>
      <w:r w:rsidR="000D7F8D">
        <w:t xml:space="preserve"> The provisions of both statutes apply concurrently, and this was approved by the parties concerned in the Amended Business Rescue Plan. </w:t>
      </w:r>
    </w:p>
    <w:p w14:paraId="6FE398D7" w14:textId="10862C69" w:rsidR="006E1EF1"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[199]</w:t>
      </w:r>
      <w:r w:rsidRPr="00285CDE">
        <w:rPr>
          <w:rFonts w:cs="Arial"/>
          <w:szCs w:val="24"/>
        </w:rPr>
        <w:tab/>
      </w:r>
      <w:r w:rsidR="00270CE0" w:rsidRPr="00285CDE">
        <w:t xml:space="preserve">This would solve any potential conflict between the two </w:t>
      </w:r>
      <w:r w:rsidR="000D7F8D">
        <w:t xml:space="preserve">statutes </w:t>
      </w:r>
      <w:r w:rsidR="00270CE0" w:rsidRPr="00285CDE">
        <w:t>unless they are incapable of being reconciled. In this case,</w:t>
      </w:r>
      <w:r w:rsidR="00AC650B" w:rsidRPr="00285CDE">
        <w:t xml:space="preserve"> there has been no form of conflict shown. Therefore, the argument to the effect that there is a conflict </w:t>
      </w:r>
      <w:r w:rsidR="00270CE0" w:rsidRPr="00285CDE">
        <w:t xml:space="preserve">between the provisions of the PFMA and the Companies Act </w:t>
      </w:r>
      <w:r w:rsidR="0054217B">
        <w:t xml:space="preserve">stands </w:t>
      </w:r>
      <w:r w:rsidR="00AC650B" w:rsidRPr="00285CDE">
        <w:t>to fail.</w:t>
      </w:r>
    </w:p>
    <w:p w14:paraId="0B8FFD0A" w14:textId="446C79B7" w:rsidR="00A0414F" w:rsidRPr="0060667E" w:rsidRDefault="00890EE4" w:rsidP="00890EE4">
      <w:pPr>
        <w:pStyle w:val="1"/>
        <w:numPr>
          <w:ilvl w:val="0"/>
          <w:numId w:val="0"/>
        </w:numPr>
        <w:tabs>
          <w:tab w:val="left" w:pos="567"/>
        </w:tabs>
        <w:spacing w:line="360" w:lineRule="auto"/>
        <w:ind w:left="567" w:hanging="567"/>
        <w:rPr>
          <w:i/>
          <w:iCs w:val="0"/>
        </w:rPr>
      </w:pPr>
      <w:r w:rsidRPr="0060667E">
        <w:rPr>
          <w:rFonts w:cs="Arial"/>
          <w:szCs w:val="24"/>
        </w:rPr>
        <w:lastRenderedPageBreak/>
        <w:t>[200]</w:t>
      </w:r>
      <w:r w:rsidRPr="0060667E">
        <w:rPr>
          <w:rFonts w:cs="Arial"/>
          <w:szCs w:val="24"/>
        </w:rPr>
        <w:tab/>
      </w:r>
      <w:r w:rsidR="00386935" w:rsidRPr="00285CDE">
        <w:rPr>
          <w:shd w:val="clear" w:color="auto" w:fill="FFFFFF"/>
        </w:rPr>
        <w:t xml:space="preserve">Concerning </w:t>
      </w:r>
      <w:r w:rsidR="003644D4" w:rsidRPr="00285CDE">
        <w:rPr>
          <w:shd w:val="clear" w:color="auto" w:fill="FFFFFF"/>
        </w:rPr>
        <w:t xml:space="preserve">a </w:t>
      </w:r>
      <w:r w:rsidR="00386935" w:rsidRPr="00285CDE">
        <w:rPr>
          <w:shd w:val="clear" w:color="auto" w:fill="FFFFFF"/>
        </w:rPr>
        <w:t xml:space="preserve">review </w:t>
      </w:r>
      <w:r w:rsidR="0060667E">
        <w:rPr>
          <w:shd w:val="clear" w:color="auto" w:fill="FFFFFF"/>
        </w:rPr>
        <w:t>of the PE Minister</w:t>
      </w:r>
      <w:r w:rsidR="0054217B">
        <w:rPr>
          <w:shd w:val="clear" w:color="auto" w:fill="FFFFFF"/>
        </w:rPr>
        <w:t>s</w:t>
      </w:r>
      <w:r w:rsidR="0060667E">
        <w:rPr>
          <w:shd w:val="clear" w:color="auto" w:fill="FFFFFF"/>
        </w:rPr>
        <w:t>’</w:t>
      </w:r>
      <w:r w:rsidR="00386935" w:rsidRPr="00285CDE">
        <w:rPr>
          <w:shd w:val="clear" w:color="auto" w:fill="FFFFFF"/>
        </w:rPr>
        <w:t xml:space="preserve"> failure to </w:t>
      </w:r>
      <w:r w:rsidR="00AC1ECB">
        <w:rPr>
          <w:shd w:val="clear" w:color="auto" w:fill="FFFFFF"/>
        </w:rPr>
        <w:t>take a decision</w:t>
      </w:r>
      <w:r w:rsidR="00386935" w:rsidRPr="00285CDE">
        <w:rPr>
          <w:shd w:val="clear" w:color="auto" w:fill="FFFFFF"/>
        </w:rPr>
        <w:t xml:space="preserve">, </w:t>
      </w:r>
      <w:r w:rsidR="00EC7A06" w:rsidRPr="00285CDE">
        <w:rPr>
          <w:shd w:val="clear" w:color="auto" w:fill="FFFFFF"/>
        </w:rPr>
        <w:t xml:space="preserve">the courts have over the years </w:t>
      </w:r>
      <w:r w:rsidR="00DF1056">
        <w:rPr>
          <w:shd w:val="clear" w:color="auto" w:fill="FFFFFF"/>
        </w:rPr>
        <w:t xml:space="preserve">provided </w:t>
      </w:r>
      <w:r w:rsidR="009776AA">
        <w:rPr>
          <w:shd w:val="clear" w:color="auto" w:fill="FFFFFF"/>
        </w:rPr>
        <w:t>guidance</w:t>
      </w:r>
      <w:r w:rsidR="00DF1056">
        <w:rPr>
          <w:shd w:val="clear" w:color="auto" w:fill="FFFFFF"/>
        </w:rPr>
        <w:t xml:space="preserve"> on</w:t>
      </w:r>
      <w:r w:rsidR="00EC7A06" w:rsidRPr="00285CDE">
        <w:rPr>
          <w:shd w:val="clear" w:color="auto" w:fill="FFFFFF"/>
        </w:rPr>
        <w:t xml:space="preserve"> the extent to which a court </w:t>
      </w:r>
      <w:r w:rsidR="00970DFE" w:rsidRPr="00285CDE">
        <w:rPr>
          <w:shd w:val="clear" w:color="auto" w:fill="FFFFFF"/>
        </w:rPr>
        <w:t>can go</w:t>
      </w:r>
      <w:r w:rsidR="00011064" w:rsidRPr="00285CDE">
        <w:rPr>
          <w:shd w:val="clear" w:color="auto" w:fill="FFFFFF"/>
        </w:rPr>
        <w:t xml:space="preserve"> when embarking on a process that seek</w:t>
      </w:r>
      <w:r w:rsidR="00970DFE" w:rsidRPr="00285CDE">
        <w:rPr>
          <w:shd w:val="clear" w:color="auto" w:fill="FFFFFF"/>
        </w:rPr>
        <w:t>s</w:t>
      </w:r>
      <w:r w:rsidR="00011064" w:rsidRPr="00285CDE">
        <w:rPr>
          <w:shd w:val="clear" w:color="auto" w:fill="FFFFFF"/>
        </w:rPr>
        <w:t xml:space="preserve"> to review </w:t>
      </w:r>
      <w:r w:rsidR="00970DFE" w:rsidRPr="00285CDE">
        <w:rPr>
          <w:shd w:val="clear" w:color="auto" w:fill="FFFFFF"/>
        </w:rPr>
        <w:t xml:space="preserve">an </w:t>
      </w:r>
      <w:r w:rsidR="00A0414F">
        <w:rPr>
          <w:shd w:val="clear" w:color="auto" w:fill="FFFFFF"/>
        </w:rPr>
        <w:t>administrative or executive decision</w:t>
      </w:r>
      <w:r w:rsidR="00011064" w:rsidRPr="00285CDE">
        <w:rPr>
          <w:shd w:val="clear" w:color="auto" w:fill="FFFFFF"/>
        </w:rPr>
        <w:t>.</w:t>
      </w:r>
      <w:r w:rsidR="00A0414F">
        <w:rPr>
          <w:shd w:val="clear" w:color="auto" w:fill="FFFFFF"/>
        </w:rPr>
        <w:t xml:space="preserve"> Before answering the issue related to a failure to take a decision, I deem it necessary to first determine whether this Court is dealing with </w:t>
      </w:r>
      <w:r w:rsidR="0060667E">
        <w:rPr>
          <w:shd w:val="clear" w:color="auto" w:fill="FFFFFF"/>
        </w:rPr>
        <w:t xml:space="preserve">an </w:t>
      </w:r>
      <w:r w:rsidR="00A0414F">
        <w:rPr>
          <w:shd w:val="clear" w:color="auto" w:fill="FFFFFF"/>
        </w:rPr>
        <w:t xml:space="preserve">administrative or executive decision as this will assist this Court </w:t>
      </w:r>
      <w:r w:rsidR="00BE2506">
        <w:rPr>
          <w:shd w:val="clear" w:color="auto" w:fill="FFFFFF"/>
        </w:rPr>
        <w:t>in</w:t>
      </w:r>
      <w:r w:rsidR="00A0414F">
        <w:rPr>
          <w:shd w:val="clear" w:color="auto" w:fill="FFFFFF"/>
        </w:rPr>
        <w:t xml:space="preserve"> </w:t>
      </w:r>
      <w:r w:rsidR="0054217B">
        <w:rPr>
          <w:shd w:val="clear" w:color="auto" w:fill="FFFFFF"/>
        </w:rPr>
        <w:t xml:space="preserve">determining </w:t>
      </w:r>
      <w:r w:rsidR="00A0414F">
        <w:rPr>
          <w:shd w:val="clear" w:color="auto" w:fill="FFFFFF"/>
        </w:rPr>
        <w:t xml:space="preserve">the </w:t>
      </w:r>
      <w:r w:rsidR="000D7F8D">
        <w:rPr>
          <w:shd w:val="clear" w:color="auto" w:fill="FFFFFF"/>
        </w:rPr>
        <w:t xml:space="preserve">extent </w:t>
      </w:r>
      <w:r w:rsidR="0054217B">
        <w:rPr>
          <w:shd w:val="clear" w:color="auto" w:fill="FFFFFF"/>
        </w:rPr>
        <w:t xml:space="preserve">to which it </w:t>
      </w:r>
      <w:r w:rsidR="00BE2506">
        <w:rPr>
          <w:shd w:val="clear" w:color="auto" w:fill="FFFFFF"/>
        </w:rPr>
        <w:t>interfere</w:t>
      </w:r>
      <w:r w:rsidR="00A0414F">
        <w:rPr>
          <w:shd w:val="clear" w:color="auto" w:fill="FFFFFF"/>
        </w:rPr>
        <w:t xml:space="preserve"> with such </w:t>
      </w:r>
      <w:r w:rsidR="000D7F8D">
        <w:rPr>
          <w:shd w:val="clear" w:color="auto" w:fill="FFFFFF"/>
        </w:rPr>
        <w:t xml:space="preserve">a </w:t>
      </w:r>
      <w:r w:rsidR="00A0414F">
        <w:rPr>
          <w:shd w:val="clear" w:color="auto" w:fill="FFFFFF"/>
        </w:rPr>
        <w:t xml:space="preserve">decision. </w:t>
      </w:r>
    </w:p>
    <w:p w14:paraId="17A9A5D3" w14:textId="5B14B4E4" w:rsidR="0060667E" w:rsidRPr="0060667E" w:rsidRDefault="00890EE4" w:rsidP="00890EE4">
      <w:pPr>
        <w:pStyle w:val="1"/>
        <w:numPr>
          <w:ilvl w:val="0"/>
          <w:numId w:val="0"/>
        </w:numPr>
        <w:tabs>
          <w:tab w:val="left" w:pos="567"/>
        </w:tabs>
        <w:spacing w:line="360" w:lineRule="auto"/>
        <w:ind w:left="567" w:hanging="567"/>
        <w:rPr>
          <w:i/>
          <w:iCs w:val="0"/>
        </w:rPr>
      </w:pPr>
      <w:r w:rsidRPr="0060667E">
        <w:rPr>
          <w:rFonts w:cs="Arial"/>
          <w:szCs w:val="24"/>
        </w:rPr>
        <w:t>[201]</w:t>
      </w:r>
      <w:r w:rsidRPr="0060667E">
        <w:rPr>
          <w:rFonts w:cs="Arial"/>
          <w:szCs w:val="24"/>
        </w:rPr>
        <w:tab/>
      </w:r>
      <w:r w:rsidR="0060667E">
        <w:rPr>
          <w:shd w:val="clear" w:color="auto" w:fill="FFFFFF"/>
        </w:rPr>
        <w:t xml:space="preserve">Whether a decision is </w:t>
      </w:r>
      <w:r w:rsidR="000D7F8D">
        <w:rPr>
          <w:shd w:val="clear" w:color="auto" w:fill="FFFFFF"/>
        </w:rPr>
        <w:t>administrative,</w:t>
      </w:r>
      <w:r w:rsidR="0060667E">
        <w:rPr>
          <w:shd w:val="clear" w:color="auto" w:fill="FFFFFF"/>
        </w:rPr>
        <w:t xml:space="preserve"> or executive</w:t>
      </w:r>
      <w:r w:rsidR="0080005F">
        <w:rPr>
          <w:shd w:val="clear" w:color="auto" w:fill="FFFFFF"/>
        </w:rPr>
        <w:t xml:space="preserve"> </w:t>
      </w:r>
      <w:r w:rsidR="0060667E">
        <w:rPr>
          <w:shd w:val="clear" w:color="auto" w:fill="FFFFFF"/>
        </w:rPr>
        <w:t xml:space="preserve">is not </w:t>
      </w:r>
      <w:r w:rsidR="00BE2506">
        <w:rPr>
          <w:shd w:val="clear" w:color="auto" w:fill="FFFFFF"/>
        </w:rPr>
        <w:t>clear-cut</w:t>
      </w:r>
      <w:r w:rsidR="0060667E">
        <w:rPr>
          <w:shd w:val="clear" w:color="auto" w:fill="FFFFFF"/>
        </w:rPr>
        <w:t xml:space="preserve">. </w:t>
      </w:r>
      <w:r w:rsidR="0060667E">
        <w:t xml:space="preserve">In </w:t>
      </w:r>
      <w:r w:rsidR="0060667E" w:rsidRPr="0060667E">
        <w:rPr>
          <w:rFonts w:cs="Arial"/>
          <w:i/>
          <w:lang w:val="en-ZA"/>
        </w:rPr>
        <w:t>Minister of Defence and Military Veterans v Motau and Others</w:t>
      </w:r>
      <w:r w:rsidR="00BE2506">
        <w:rPr>
          <w:rFonts w:cs="Arial"/>
          <w:i/>
          <w:lang w:val="en-ZA"/>
        </w:rPr>
        <w:t>,</w:t>
      </w:r>
      <w:r w:rsidR="0060667E" w:rsidRPr="00BE2506">
        <w:rPr>
          <w:rStyle w:val="FootnoteReference"/>
          <w:rFonts w:cs="Arial"/>
          <w:iCs w:val="0"/>
        </w:rPr>
        <w:footnoteReference w:id="81"/>
      </w:r>
      <w:r w:rsidR="00BE2506">
        <w:rPr>
          <w:rFonts w:cs="Arial"/>
          <w:iCs w:val="0"/>
          <w:lang w:val="en-ZA"/>
        </w:rPr>
        <w:t xml:space="preserve"> the court </w:t>
      </w:r>
      <w:r w:rsidR="0060667E">
        <w:rPr>
          <w:rFonts w:cs="Arial"/>
          <w:iCs w:val="0"/>
          <w:lang w:val="en-ZA"/>
        </w:rPr>
        <w:t>explained that:</w:t>
      </w:r>
    </w:p>
    <w:p w14:paraId="72116FBE" w14:textId="3E3F02A9" w:rsidR="00BE2506" w:rsidRPr="00521835" w:rsidRDefault="0060667E" w:rsidP="00521835">
      <w:pPr>
        <w:pStyle w:val="1"/>
        <w:numPr>
          <w:ilvl w:val="0"/>
          <w:numId w:val="0"/>
        </w:numPr>
        <w:spacing w:line="360" w:lineRule="auto"/>
        <w:ind w:left="851" w:right="851"/>
        <w:rPr>
          <w:rFonts w:cs="Arial"/>
          <w:szCs w:val="24"/>
          <w:lang w:val="en-ZA"/>
        </w:rPr>
      </w:pPr>
      <w:r w:rsidRPr="0060667E">
        <w:rPr>
          <w:rFonts w:cs="Arial"/>
          <w:sz w:val="22"/>
          <w:lang w:val="en-ZA"/>
        </w:rPr>
        <w:t>‘</w:t>
      </w:r>
      <w:r w:rsidRPr="00521835">
        <w:rPr>
          <w:rFonts w:cs="Arial"/>
          <w:szCs w:val="24"/>
          <w:lang w:val="en-ZA"/>
        </w:rPr>
        <w:t>It is also true that the distinction between executive and administrative action is often not easily made. The determination needs to be made on a case-by-case basis; there is no ready-made panacea or solve-all formula.</w:t>
      </w:r>
      <w:r w:rsidRPr="00521835">
        <w:rPr>
          <w:rFonts w:cs="Arial"/>
          <w:szCs w:val="24"/>
          <w:vertAlign w:val="superscript"/>
          <w:lang w:val="en-ZA"/>
        </w:rPr>
        <w:footnoteReference w:id="82"/>
      </w:r>
    </w:p>
    <w:p w14:paraId="6AF252C4" w14:textId="1255EC7B" w:rsidR="00BE2506" w:rsidRPr="00521835" w:rsidRDefault="00BE2506" w:rsidP="00521835">
      <w:pPr>
        <w:pStyle w:val="1"/>
        <w:numPr>
          <w:ilvl w:val="0"/>
          <w:numId w:val="0"/>
        </w:numPr>
        <w:spacing w:line="360" w:lineRule="auto"/>
        <w:ind w:left="851" w:right="851"/>
        <w:rPr>
          <w:rFonts w:cs="Arial"/>
          <w:szCs w:val="24"/>
          <w:lang w:val="en-ZA"/>
        </w:rPr>
      </w:pPr>
      <w:r w:rsidRPr="00521835">
        <w:rPr>
          <w:rFonts w:cs="Arial"/>
          <w:szCs w:val="24"/>
          <w:lang w:val="en-ZA"/>
        </w:rPr>
        <w:t>…</w:t>
      </w:r>
    </w:p>
    <w:p w14:paraId="51DF6BC2" w14:textId="5DC998A9" w:rsidR="00BE2506" w:rsidRPr="00521835" w:rsidRDefault="00BE2506" w:rsidP="00521835">
      <w:pPr>
        <w:pStyle w:val="1"/>
        <w:numPr>
          <w:ilvl w:val="0"/>
          <w:numId w:val="0"/>
        </w:numPr>
        <w:spacing w:line="360" w:lineRule="auto"/>
        <w:ind w:left="851" w:right="851"/>
        <w:rPr>
          <w:i/>
          <w:iCs w:val="0"/>
          <w:szCs w:val="24"/>
          <w:u w:val="single"/>
        </w:rPr>
      </w:pPr>
      <w:r w:rsidRPr="00521835">
        <w:rPr>
          <w:rFonts w:cs="Arial"/>
          <w:szCs w:val="24"/>
          <w:lang w:val="en-ZA"/>
        </w:rPr>
        <w:t>Executive powers are, in essence, high-policy or broad direction-giving powers.  The formulation of policy is a paradigm case of a function that is executive in nature.  The initiation of legislation is another.  </w:t>
      </w:r>
      <w:r w:rsidRPr="00521835">
        <w:rPr>
          <w:rFonts w:cs="Arial"/>
          <w:szCs w:val="24"/>
          <w:u w:val="single"/>
          <w:lang w:val="en-ZA"/>
        </w:rPr>
        <w:t xml:space="preserve">By contrast, “[a]dministrative action is . . . the conduct of the bureaucracy (whoever the bureaucratic functionary might be) in carrying out the daily functions of the state, which necessarily involves the application of policy, usually after its translation into law, with direct and immediate consequences for individuals or groups of individuals.” Administrative powers are in this sense generally lower-level powers, occurring after the formulation of policy. The implementation of legislation is a central example.  The verb “implement”, which also appears in section 85(2)(a) of the Constitution and distinguishes it from section 85(2)(e), may serve as a useful guide: administrative powers usually entail the application of formulated policy to particular </w:t>
      </w:r>
      <w:r w:rsidRPr="00521835">
        <w:rPr>
          <w:rFonts w:cs="Arial"/>
          <w:szCs w:val="24"/>
          <w:u w:val="single"/>
          <w:lang w:val="en-ZA"/>
        </w:rPr>
        <w:lastRenderedPageBreak/>
        <w:t>factual circumstances. Put differently, the exercise of administrative powers is policy brought into effect, rather than its creation’</w:t>
      </w:r>
      <w:r w:rsidRPr="00521835">
        <w:rPr>
          <w:rFonts w:cs="Arial"/>
          <w:szCs w:val="24"/>
          <w:lang w:val="en-ZA"/>
        </w:rPr>
        <w:t>.</w:t>
      </w:r>
      <w:r w:rsidRPr="00521835">
        <w:rPr>
          <w:rStyle w:val="FootnoteReference"/>
          <w:rFonts w:cs="Arial"/>
          <w:szCs w:val="24"/>
        </w:rPr>
        <w:footnoteReference w:id="83"/>
      </w:r>
    </w:p>
    <w:p w14:paraId="07E549A3" w14:textId="2147D074" w:rsidR="008A4442" w:rsidRPr="008A4442" w:rsidRDefault="00890EE4" w:rsidP="00890EE4">
      <w:pPr>
        <w:pStyle w:val="1"/>
        <w:numPr>
          <w:ilvl w:val="0"/>
          <w:numId w:val="0"/>
        </w:numPr>
        <w:tabs>
          <w:tab w:val="left" w:pos="567"/>
        </w:tabs>
        <w:spacing w:line="360" w:lineRule="auto"/>
        <w:ind w:left="567" w:hanging="567"/>
        <w:rPr>
          <w:i/>
          <w:iCs w:val="0"/>
        </w:rPr>
      </w:pPr>
      <w:r w:rsidRPr="008A4442">
        <w:rPr>
          <w:rFonts w:cs="Arial"/>
          <w:szCs w:val="24"/>
        </w:rPr>
        <w:t>[202]</w:t>
      </w:r>
      <w:r w:rsidRPr="008A4442">
        <w:rPr>
          <w:rFonts w:cs="Arial"/>
          <w:szCs w:val="24"/>
        </w:rPr>
        <w:tab/>
      </w:r>
      <w:r w:rsidR="008A4442">
        <w:t xml:space="preserve">The decision that this Court is called upon to </w:t>
      </w:r>
      <w:r w:rsidR="0054217B">
        <w:t xml:space="preserve">interrogate </w:t>
      </w:r>
      <w:r w:rsidR="008A4442">
        <w:t xml:space="preserve">does not deal with initiation or policy formulation. The source of power is not the Constitution but the PFMA. Furthermore, the source of power is described by the PFMA.  The role of the PE </w:t>
      </w:r>
      <w:r w:rsidR="0080005F">
        <w:t>Minister</w:t>
      </w:r>
      <w:r w:rsidR="008A4442">
        <w:t xml:space="preserve"> here is </w:t>
      </w:r>
      <w:r w:rsidR="0080005F">
        <w:t>concerned</w:t>
      </w:r>
      <w:r w:rsidR="008A4442">
        <w:t xml:space="preserve"> with implementing or giving “</w:t>
      </w:r>
      <w:r w:rsidR="008A4442" w:rsidRPr="000D7F8D">
        <w:rPr>
          <w:i/>
          <w:iCs w:val="0"/>
        </w:rPr>
        <w:t>effect to a policy, a pie</w:t>
      </w:r>
      <w:r w:rsidR="0080005F" w:rsidRPr="000D7F8D">
        <w:rPr>
          <w:i/>
          <w:iCs w:val="0"/>
        </w:rPr>
        <w:t>c</w:t>
      </w:r>
      <w:r w:rsidR="008A4442" w:rsidRPr="000D7F8D">
        <w:rPr>
          <w:i/>
          <w:iCs w:val="0"/>
        </w:rPr>
        <w:t>e of legislation or an adjudicative decision</w:t>
      </w:r>
      <w:r w:rsidR="008A4442">
        <w:t>”.</w:t>
      </w:r>
      <w:r w:rsidR="0080005F">
        <w:rPr>
          <w:rStyle w:val="FootnoteReference"/>
        </w:rPr>
        <w:footnoteReference w:id="84"/>
      </w:r>
      <w:r w:rsidR="0080005F">
        <w:t xml:space="preserve"> Accordingly, this Court is faced with a matter involving the exercise of administrative power and not executive power. </w:t>
      </w:r>
    </w:p>
    <w:p w14:paraId="5EFED112" w14:textId="036A54E7" w:rsidR="005A1064" w:rsidRPr="007F3FCA" w:rsidRDefault="00890EE4" w:rsidP="00890EE4">
      <w:pPr>
        <w:pStyle w:val="1"/>
        <w:numPr>
          <w:ilvl w:val="0"/>
          <w:numId w:val="0"/>
        </w:numPr>
        <w:tabs>
          <w:tab w:val="left" w:pos="567"/>
        </w:tabs>
        <w:spacing w:line="360" w:lineRule="auto"/>
        <w:ind w:left="567" w:hanging="567"/>
        <w:rPr>
          <w:i/>
          <w:iCs w:val="0"/>
        </w:rPr>
      </w:pPr>
      <w:r w:rsidRPr="007F3FCA">
        <w:rPr>
          <w:rFonts w:cs="Arial"/>
          <w:szCs w:val="24"/>
        </w:rPr>
        <w:t>[203]</w:t>
      </w:r>
      <w:r w:rsidRPr="007F3FCA">
        <w:rPr>
          <w:rFonts w:cs="Arial"/>
          <w:szCs w:val="24"/>
        </w:rPr>
        <w:tab/>
      </w:r>
      <w:r w:rsidR="00DF1056">
        <w:rPr>
          <w:rFonts w:cs="Arial"/>
          <w:color w:val="242121"/>
          <w:szCs w:val="24"/>
          <w:shd w:val="clear" w:color="auto" w:fill="FFFFFF"/>
        </w:rPr>
        <w:t xml:space="preserve">Similarly </w:t>
      </w:r>
      <w:r w:rsidR="00970DFE" w:rsidRPr="00285CDE">
        <w:rPr>
          <w:rFonts w:cs="Arial"/>
          <w:color w:val="242121"/>
          <w:szCs w:val="24"/>
          <w:shd w:val="clear" w:color="auto" w:fill="FFFFFF"/>
        </w:rPr>
        <w:t>in </w:t>
      </w:r>
      <w:r w:rsidR="00970DFE" w:rsidRPr="00285CDE">
        <w:rPr>
          <w:rFonts w:cs="Arial"/>
          <w:i/>
          <w:iCs w:val="0"/>
          <w:color w:val="242121"/>
          <w:szCs w:val="24"/>
          <w:shd w:val="clear" w:color="auto" w:fill="FFFFFF"/>
        </w:rPr>
        <w:t>Bato Star Fishing (Pty) Ltd v Minister of Environmental Affairs and Tourism and Others</w:t>
      </w:r>
      <w:r w:rsidR="0015194B" w:rsidRPr="00285CDE">
        <w:rPr>
          <w:rStyle w:val="FootnoteReference"/>
          <w:rFonts w:cs="Arial"/>
          <w:i/>
          <w:iCs w:val="0"/>
          <w:color w:val="242121"/>
          <w:szCs w:val="24"/>
          <w:shd w:val="clear" w:color="auto" w:fill="FFFFFF"/>
        </w:rPr>
        <w:footnoteReference w:id="85"/>
      </w:r>
      <w:r w:rsidR="0080005F">
        <w:rPr>
          <w:rFonts w:cs="Arial"/>
          <w:i/>
          <w:iCs w:val="0"/>
          <w:color w:val="242121"/>
          <w:szCs w:val="24"/>
          <w:shd w:val="clear" w:color="auto" w:fill="FFFFFF"/>
        </w:rPr>
        <w:t xml:space="preserve"> </w:t>
      </w:r>
      <w:r w:rsidR="00DF1056">
        <w:rPr>
          <w:rFonts w:cs="Arial"/>
          <w:color w:val="242121"/>
          <w:szCs w:val="24"/>
          <w:shd w:val="clear" w:color="auto" w:fill="FFFFFF"/>
        </w:rPr>
        <w:t xml:space="preserve">in the context of an </w:t>
      </w:r>
      <w:r w:rsidR="000F0B86">
        <w:rPr>
          <w:rFonts w:cs="Arial"/>
          <w:color w:val="242121"/>
          <w:szCs w:val="24"/>
          <w:shd w:val="clear" w:color="auto" w:fill="FFFFFF"/>
        </w:rPr>
        <w:t>administrative</w:t>
      </w:r>
      <w:r w:rsidR="00DF1056">
        <w:rPr>
          <w:rFonts w:cs="Arial"/>
          <w:color w:val="242121"/>
          <w:szCs w:val="24"/>
          <w:shd w:val="clear" w:color="auto" w:fill="FFFFFF"/>
        </w:rPr>
        <w:t xml:space="preserve"> decision,</w:t>
      </w:r>
      <w:r w:rsidR="00970DFE" w:rsidRPr="00285CDE">
        <w:rPr>
          <w:rFonts w:cs="Arial"/>
          <w:i/>
          <w:iCs w:val="0"/>
          <w:color w:val="242121"/>
          <w:szCs w:val="24"/>
          <w:shd w:val="clear" w:color="auto" w:fill="FFFFFF"/>
        </w:rPr>
        <w:t xml:space="preserve"> </w:t>
      </w:r>
      <w:r w:rsidR="00970DFE" w:rsidRPr="00285CDE">
        <w:rPr>
          <w:rFonts w:cs="Arial"/>
          <w:color w:val="242121"/>
          <w:szCs w:val="24"/>
          <w:shd w:val="clear" w:color="auto" w:fill="FFFFFF"/>
        </w:rPr>
        <w:t>the Constitutional Court held that:</w:t>
      </w:r>
    </w:p>
    <w:p w14:paraId="75CAF347" w14:textId="70866CA2" w:rsidR="007F3FCA" w:rsidRPr="00521835" w:rsidRDefault="00970DFE" w:rsidP="00521835">
      <w:pPr>
        <w:pStyle w:val="1"/>
        <w:numPr>
          <w:ilvl w:val="0"/>
          <w:numId w:val="0"/>
        </w:numPr>
        <w:spacing w:line="360" w:lineRule="auto"/>
        <w:ind w:left="851" w:right="851"/>
        <w:rPr>
          <w:i/>
          <w:iCs w:val="0"/>
          <w:szCs w:val="24"/>
        </w:rPr>
      </w:pPr>
      <w:r w:rsidRPr="00521835">
        <w:rPr>
          <w:rFonts w:cs="Arial"/>
          <w:color w:val="242121"/>
          <w:szCs w:val="24"/>
          <w:shd w:val="clear" w:color="auto" w:fill="FFFFFF"/>
        </w:rPr>
        <w:t xml:space="preserve">‘In treating the decisions of administrative agencies with the appropriate respect, a Court is recognising the proper role of the Executive within the Constitution.  In doing so a Court should be careful not to attribute to itself superior wisdom in relation to matters entrusted to other branches of government.  A Court should thus give due weight to findings of fact and policy decisions made by those with special expertise and experience in the field.  The extent to which a Court should give weight to these considerations will depend upon the character of the decision itself, as well as on the identity of the decision-maker. A decision that requires an equilibrium to be struck between a range of competing interests or considerations and which is to be taken by a person or institution with specific expertise in that area must be shown respect by the Courts.  Often a power will identify a goal to be achieved, but will not dictate which route should be followed to achieve that goal.  In such circumstances a Court should pay due respect to the route selected by the decision-maker. </w:t>
      </w:r>
      <w:r w:rsidRPr="00521835">
        <w:rPr>
          <w:rFonts w:cs="Arial"/>
          <w:color w:val="242121"/>
          <w:szCs w:val="24"/>
          <w:u w:val="single"/>
          <w:shd w:val="clear" w:color="auto" w:fill="FFFFFF"/>
        </w:rPr>
        <w:t xml:space="preserve">This </w:t>
      </w:r>
      <w:r w:rsidRPr="00521835">
        <w:rPr>
          <w:rFonts w:cs="Arial"/>
          <w:color w:val="242121"/>
          <w:szCs w:val="24"/>
          <w:u w:val="single"/>
          <w:shd w:val="clear" w:color="auto" w:fill="FFFFFF"/>
        </w:rPr>
        <w:lastRenderedPageBreak/>
        <w:t>does not mean, however, that where the decision is one which will not reasonably result in the achievement of the goal, or which is not reasonably supported on the facts or not reasonable in the light of the reasons given for it, a Court may not review that decision.  A Court should not rubber-stamp an unreasonable decision simply because of the complexity of the decision or the identity of the decision-maker</w:t>
      </w:r>
      <w:r w:rsidR="0054217B" w:rsidRPr="00521835">
        <w:rPr>
          <w:rFonts w:cs="Arial"/>
          <w:color w:val="242121"/>
          <w:szCs w:val="24"/>
          <w:u w:val="single"/>
          <w:shd w:val="clear" w:color="auto" w:fill="FFFFFF"/>
        </w:rPr>
        <w:t>’</w:t>
      </w:r>
      <w:r w:rsidR="00EC34D2" w:rsidRPr="00521835">
        <w:rPr>
          <w:rFonts w:cs="Arial"/>
          <w:color w:val="242121"/>
          <w:szCs w:val="24"/>
          <w:shd w:val="clear" w:color="auto" w:fill="FFFFFF"/>
        </w:rPr>
        <w:t xml:space="preserve"> (own emphasis added).</w:t>
      </w:r>
    </w:p>
    <w:p w14:paraId="26330DE2" w14:textId="01ED3080" w:rsidR="0015194B" w:rsidRPr="00E04752" w:rsidRDefault="00890EE4" w:rsidP="00890EE4">
      <w:pPr>
        <w:pStyle w:val="1"/>
        <w:numPr>
          <w:ilvl w:val="0"/>
          <w:numId w:val="0"/>
        </w:numPr>
        <w:tabs>
          <w:tab w:val="left" w:pos="567"/>
        </w:tabs>
        <w:spacing w:line="360" w:lineRule="auto"/>
        <w:ind w:left="567" w:hanging="567"/>
        <w:rPr>
          <w:i/>
          <w:iCs w:val="0"/>
          <w:szCs w:val="24"/>
        </w:rPr>
      </w:pPr>
      <w:r w:rsidRPr="00E04752">
        <w:rPr>
          <w:rFonts w:cs="Arial"/>
          <w:szCs w:val="24"/>
        </w:rPr>
        <w:t>[204]</w:t>
      </w:r>
      <w:r w:rsidRPr="00E04752">
        <w:rPr>
          <w:rFonts w:cs="Arial"/>
          <w:szCs w:val="24"/>
        </w:rPr>
        <w:tab/>
      </w:r>
      <w:r w:rsidR="00970DFE" w:rsidRPr="00E04752">
        <w:t>This Court is</w:t>
      </w:r>
      <w:r w:rsidR="0015194B" w:rsidRPr="00E04752">
        <w:t>,</w:t>
      </w:r>
      <w:r w:rsidR="00970DFE" w:rsidRPr="00E04752">
        <w:t xml:space="preserve"> therefore</w:t>
      </w:r>
      <w:r w:rsidR="0015194B" w:rsidRPr="00E04752">
        <w:t>,</w:t>
      </w:r>
      <w:r w:rsidR="00970DFE" w:rsidRPr="00E04752">
        <w:t xml:space="preserve"> called upon to exercise a great deal of caution when </w:t>
      </w:r>
      <w:r w:rsidR="0015194B" w:rsidRPr="00E04752">
        <w:t xml:space="preserve">reviewing a decision that falls within the ambit of </w:t>
      </w:r>
      <w:r w:rsidR="0054217B">
        <w:t>an</w:t>
      </w:r>
      <w:r w:rsidR="00E04752">
        <w:t xml:space="preserve">other </w:t>
      </w:r>
      <w:r w:rsidR="0015194B" w:rsidRPr="00E04752">
        <w:t xml:space="preserve">arm of government. It has no </w:t>
      </w:r>
      <w:r w:rsidR="00ED1155" w:rsidRPr="00E04752">
        <w:t>open-handed</w:t>
      </w:r>
      <w:r w:rsidR="0015194B" w:rsidRPr="00E04752">
        <w:t xml:space="preserve"> authority to interfere in the administrative process</w:t>
      </w:r>
      <w:r w:rsidR="008A4442">
        <w:t>es</w:t>
      </w:r>
      <w:r w:rsidR="0015194B" w:rsidRPr="00E04752">
        <w:t xml:space="preserve"> and its powers are limited. However, </w:t>
      </w:r>
      <w:r w:rsidR="00ED1155" w:rsidRPr="00E04752">
        <w:t>if</w:t>
      </w:r>
      <w:r w:rsidR="0015194B" w:rsidRPr="00E04752">
        <w:t xml:space="preserve"> the </w:t>
      </w:r>
      <w:r w:rsidR="000F0B86" w:rsidRPr="00E04752">
        <w:t>circumstance</w:t>
      </w:r>
      <w:r w:rsidR="0015194B" w:rsidRPr="00E04752">
        <w:t xml:space="preserve"> of </w:t>
      </w:r>
      <w:r w:rsidR="000F0B86" w:rsidRPr="00E04752">
        <w:t>a</w:t>
      </w:r>
      <w:r w:rsidR="0015194B" w:rsidRPr="00E04752">
        <w:t xml:space="preserve"> given case requires it to enter into the terrain of the administrative process, it will not shy away </w:t>
      </w:r>
      <w:r w:rsidR="0054217B">
        <w:t xml:space="preserve">from doing </w:t>
      </w:r>
      <w:r w:rsidR="0015194B" w:rsidRPr="00E04752">
        <w:t xml:space="preserve">so. </w:t>
      </w:r>
      <w:r w:rsidR="00ED1155" w:rsidRPr="00E04752">
        <w:t>As was correctly found in</w:t>
      </w:r>
      <w:r w:rsidR="00ED1155" w:rsidRPr="00E04752">
        <w:rPr>
          <w:i/>
          <w:iCs w:val="0"/>
        </w:rPr>
        <w:t xml:space="preserve"> </w:t>
      </w:r>
      <w:r w:rsidR="00ED1155" w:rsidRPr="00E04752">
        <w:rPr>
          <w:rFonts w:eastAsia="Times New Roman" w:cs="Arial"/>
          <w:i/>
          <w:iCs w:val="0"/>
          <w:szCs w:val="24"/>
          <w:lang w:eastAsia="en-ZA"/>
        </w:rPr>
        <w:t>Economic Freedom Fighters and Others v Speaker of the National Assembly and Another</w:t>
      </w:r>
      <w:r w:rsidR="00ED1155" w:rsidRPr="00E04752">
        <w:rPr>
          <w:rStyle w:val="FootnoteReference"/>
          <w:rFonts w:eastAsia="Times New Roman" w:cs="Arial"/>
          <w:i/>
          <w:iCs w:val="0"/>
          <w:szCs w:val="24"/>
          <w:lang w:eastAsia="en-ZA"/>
        </w:rPr>
        <w:footnoteReference w:id="86"/>
      </w:r>
      <w:r w:rsidR="00ED1155" w:rsidRPr="00E04752">
        <w:rPr>
          <w:rFonts w:eastAsia="Times New Roman" w:cs="Arial"/>
          <w:i/>
          <w:iCs w:val="0"/>
          <w:szCs w:val="24"/>
          <w:lang w:eastAsia="en-ZA"/>
        </w:rPr>
        <w:t xml:space="preserve"> </w:t>
      </w:r>
      <w:r w:rsidR="00ED1155" w:rsidRPr="00E04752">
        <w:rPr>
          <w:rFonts w:eastAsia="Times New Roman" w:cs="Arial"/>
          <w:szCs w:val="24"/>
          <w:lang w:eastAsia="en-ZA"/>
        </w:rPr>
        <w:t>that:</w:t>
      </w:r>
    </w:p>
    <w:p w14:paraId="1EC8EB84" w14:textId="77777777" w:rsidR="00ED1155" w:rsidRPr="00E04752" w:rsidRDefault="00ED1155" w:rsidP="00ED1155">
      <w:pPr>
        <w:pStyle w:val="1"/>
        <w:numPr>
          <w:ilvl w:val="0"/>
          <w:numId w:val="0"/>
        </w:numPr>
        <w:spacing w:before="0" w:line="240" w:lineRule="auto"/>
        <w:ind w:left="567"/>
        <w:rPr>
          <w:i/>
          <w:iCs w:val="0"/>
          <w:szCs w:val="24"/>
        </w:rPr>
      </w:pPr>
    </w:p>
    <w:p w14:paraId="39443AAF" w14:textId="059A97F4" w:rsidR="0015194B" w:rsidRPr="00521835" w:rsidRDefault="00ED1155" w:rsidP="00521835">
      <w:pPr>
        <w:pStyle w:val="1"/>
        <w:numPr>
          <w:ilvl w:val="0"/>
          <w:numId w:val="0"/>
        </w:numPr>
        <w:spacing w:line="360" w:lineRule="auto"/>
        <w:ind w:left="851" w:right="851"/>
        <w:rPr>
          <w:rFonts w:cs="Arial"/>
          <w:i/>
          <w:iCs w:val="0"/>
          <w:szCs w:val="24"/>
        </w:rPr>
      </w:pPr>
      <w:r w:rsidRPr="00521835">
        <w:rPr>
          <w:rFonts w:cs="Arial"/>
          <w:color w:val="242121"/>
          <w:szCs w:val="24"/>
          <w:shd w:val="clear" w:color="auto" w:fill="FFFFFF"/>
        </w:rPr>
        <w:t>‘</w:t>
      </w:r>
      <w:r w:rsidR="0015194B" w:rsidRPr="00521835">
        <w:rPr>
          <w:rFonts w:cs="Arial"/>
          <w:color w:val="242121"/>
          <w:szCs w:val="24"/>
          <w:shd w:val="clear" w:color="auto" w:fill="FFFFFF"/>
        </w:rPr>
        <w:t>The Constitution demands of all those on whom it imposes obligations, to fulfil them diligently and without delay. It is the duty of this Court to ensure that this injunction is followed. An order issued to achieve this purpose therefore cannot be described as trenching upon the separation of powers</w:t>
      </w:r>
      <w:r w:rsidRPr="00521835">
        <w:rPr>
          <w:rFonts w:cs="Arial"/>
          <w:color w:val="242121"/>
          <w:szCs w:val="24"/>
          <w:shd w:val="clear" w:color="auto" w:fill="FFFFFF"/>
        </w:rPr>
        <w:t>’</w:t>
      </w:r>
      <w:r w:rsidR="0015194B" w:rsidRPr="00521835">
        <w:rPr>
          <w:rFonts w:cs="Arial"/>
          <w:color w:val="242121"/>
          <w:szCs w:val="24"/>
          <w:shd w:val="clear" w:color="auto" w:fill="FFFFFF"/>
        </w:rPr>
        <w:t>.</w:t>
      </w:r>
    </w:p>
    <w:p w14:paraId="090F7662" w14:textId="6A1D525A" w:rsidR="003325CF"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[205]</w:t>
      </w:r>
      <w:r w:rsidRPr="00285CDE">
        <w:rPr>
          <w:rFonts w:cs="Arial"/>
          <w:szCs w:val="24"/>
        </w:rPr>
        <w:tab/>
      </w:r>
      <w:r w:rsidR="00ED1155" w:rsidRPr="00E04752">
        <w:t xml:space="preserve">In light of the above, I now turn to consider whether there has been a failure to </w:t>
      </w:r>
      <w:r w:rsidR="00AC1ECB">
        <w:t>take a decision</w:t>
      </w:r>
      <w:r w:rsidR="00ED1155" w:rsidRPr="00E04752">
        <w:t xml:space="preserve"> from the PE Minister. I have already found that this application was not brought prematurely before this Court.</w:t>
      </w:r>
      <w:r w:rsidR="00B324CE" w:rsidRPr="00E04752">
        <w:t xml:space="preserve"> </w:t>
      </w:r>
      <w:r w:rsidR="00F11849" w:rsidRPr="00E04752">
        <w:t>I have also found that the moment the BRP responde</w:t>
      </w:r>
      <w:r w:rsidR="00BC4EF3" w:rsidRPr="00E04752">
        <w:t>d</w:t>
      </w:r>
      <w:r w:rsidR="00F11849" w:rsidRPr="00E04752">
        <w:t xml:space="preserve"> to the PE Minister to the effect that there would be no further forthcoming information from his side as the authority tasked with the full control and management of the affairs of Mango Airline</w:t>
      </w:r>
      <w:r w:rsidR="00E363F8">
        <w:t>s</w:t>
      </w:r>
      <w:r w:rsidR="00F11849" w:rsidRPr="00285CDE">
        <w:t xml:space="preserve"> on 19 January 2023, the </w:t>
      </w:r>
      <w:r w:rsidR="00B324CE" w:rsidRPr="00285CDE">
        <w:t xml:space="preserve">statutory prescribed </w:t>
      </w:r>
      <w:r w:rsidR="009776AA">
        <w:t>30</w:t>
      </w:r>
      <w:r w:rsidR="00F11849" w:rsidRPr="00285CDE">
        <w:t xml:space="preserve">-day period started running and ended on </w:t>
      </w:r>
      <w:r w:rsidR="009776AA">
        <w:t>0</w:t>
      </w:r>
      <w:r w:rsidR="00583C90">
        <w:t>1</w:t>
      </w:r>
      <w:r w:rsidR="009776AA">
        <w:t xml:space="preserve"> March </w:t>
      </w:r>
      <w:r w:rsidR="00F11849" w:rsidRPr="00285CDE">
        <w:t xml:space="preserve">2023. </w:t>
      </w:r>
      <w:r w:rsidR="00B324CE" w:rsidRPr="00285CDE">
        <w:t xml:space="preserve">I have </w:t>
      </w:r>
      <w:r w:rsidR="009776AA">
        <w:t xml:space="preserve">found that </w:t>
      </w:r>
      <w:r w:rsidR="00B324CE" w:rsidRPr="00285CDE">
        <w:t>this date was not extended by the SMF.</w:t>
      </w:r>
    </w:p>
    <w:p w14:paraId="6FF4454E" w14:textId="01B078F7" w:rsidR="00F2413F" w:rsidRPr="00521835" w:rsidRDefault="00890EE4" w:rsidP="00890EE4">
      <w:pPr>
        <w:pStyle w:val="1"/>
        <w:numPr>
          <w:ilvl w:val="0"/>
          <w:numId w:val="0"/>
        </w:numPr>
        <w:tabs>
          <w:tab w:val="left" w:pos="567"/>
        </w:tabs>
        <w:spacing w:line="360" w:lineRule="auto"/>
        <w:ind w:left="567" w:hanging="567"/>
        <w:rPr>
          <w:i/>
          <w:iCs w:val="0"/>
        </w:rPr>
      </w:pPr>
      <w:r w:rsidRPr="00521835">
        <w:rPr>
          <w:rFonts w:cs="Arial"/>
          <w:szCs w:val="24"/>
        </w:rPr>
        <w:t>[206]</w:t>
      </w:r>
      <w:r w:rsidRPr="00521835">
        <w:rPr>
          <w:rFonts w:cs="Arial"/>
          <w:szCs w:val="24"/>
        </w:rPr>
        <w:tab/>
      </w:r>
      <w:r w:rsidR="003325CF" w:rsidRPr="00285CDE">
        <w:t xml:space="preserve">In </w:t>
      </w:r>
      <w:r w:rsidR="00261F9D" w:rsidRPr="00285CDE">
        <w:rPr>
          <w:rFonts w:cs="Arial"/>
          <w:i/>
          <w:iCs w:val="0"/>
          <w:szCs w:val="24"/>
        </w:rPr>
        <w:t xml:space="preserve">Intertrade Two (Pty) Ltd v MEC for Roads and Public Works Eastern Cape and </w:t>
      </w:r>
      <w:r w:rsidR="00261F9D" w:rsidRPr="00285CDE">
        <w:rPr>
          <w:rFonts w:cs="Arial"/>
          <w:i/>
          <w:iCs w:val="0"/>
          <w:szCs w:val="24"/>
        </w:rPr>
        <w:lastRenderedPageBreak/>
        <w:t>Another</w:t>
      </w:r>
      <w:r w:rsidR="00261F9D" w:rsidRPr="00285CDE">
        <w:rPr>
          <w:rStyle w:val="FootnoteReference"/>
          <w:rFonts w:cs="Arial"/>
          <w:szCs w:val="24"/>
        </w:rPr>
        <w:footnoteReference w:id="87"/>
      </w:r>
      <w:r w:rsidR="003325CF" w:rsidRPr="00285CDE">
        <w:rPr>
          <w:rFonts w:cs="Arial"/>
          <w:i/>
          <w:iCs w:val="0"/>
          <w:szCs w:val="24"/>
        </w:rPr>
        <w:t xml:space="preserve"> </w:t>
      </w:r>
      <w:r w:rsidR="003325CF" w:rsidRPr="00285CDE">
        <w:rPr>
          <w:rFonts w:cs="Arial"/>
          <w:szCs w:val="24"/>
        </w:rPr>
        <w:t>it was held that:</w:t>
      </w:r>
    </w:p>
    <w:p w14:paraId="33EEFF12" w14:textId="480DAE66" w:rsidR="00261F9D" w:rsidRPr="00BC6AA4" w:rsidRDefault="003325CF" w:rsidP="00BC6AA4">
      <w:pPr>
        <w:pStyle w:val="1"/>
        <w:numPr>
          <w:ilvl w:val="0"/>
          <w:numId w:val="0"/>
        </w:numPr>
        <w:spacing w:line="360" w:lineRule="auto"/>
        <w:ind w:left="851" w:right="851"/>
        <w:rPr>
          <w:i/>
          <w:iCs w:val="0"/>
          <w:szCs w:val="24"/>
        </w:rPr>
      </w:pPr>
      <w:r w:rsidRPr="00BC6AA4">
        <w:rPr>
          <w:rFonts w:cs="Arial"/>
          <w:color w:val="242121"/>
          <w:szCs w:val="24"/>
          <w:shd w:val="clear" w:color="auto" w:fill="FFFFFF"/>
        </w:rPr>
        <w:t>‘…</w:t>
      </w:r>
      <w:r w:rsidR="00261F9D" w:rsidRPr="00BC6AA4">
        <w:rPr>
          <w:rFonts w:cs="Arial"/>
          <w:color w:val="242121"/>
          <w:szCs w:val="24"/>
          <w:shd w:val="clear" w:color="auto" w:fill="FFFFFF"/>
        </w:rPr>
        <w:t>the administrative process is incomplete and hangs in limbo. It is a reviewable irregularity for an administrative decision-maker to fail to take a decision when he or she has been empowered to do so</w:t>
      </w:r>
      <w:r w:rsidRPr="00BC6AA4">
        <w:rPr>
          <w:rFonts w:cs="Arial"/>
          <w:color w:val="242121"/>
          <w:szCs w:val="24"/>
          <w:shd w:val="clear" w:color="auto" w:fill="FFFFFF"/>
        </w:rPr>
        <w:t>’</w:t>
      </w:r>
      <w:r w:rsidR="00C7362C" w:rsidRPr="00BC6AA4">
        <w:rPr>
          <w:rFonts w:cs="Arial"/>
          <w:color w:val="242121"/>
          <w:szCs w:val="24"/>
          <w:shd w:val="clear" w:color="auto" w:fill="FFFFFF"/>
        </w:rPr>
        <w:t>.</w:t>
      </w:r>
    </w:p>
    <w:p w14:paraId="01C96A15" w14:textId="7CC737B1" w:rsidR="00615053" w:rsidRPr="00615053" w:rsidRDefault="00890EE4" w:rsidP="00890EE4">
      <w:pPr>
        <w:pStyle w:val="1"/>
        <w:numPr>
          <w:ilvl w:val="0"/>
          <w:numId w:val="0"/>
        </w:numPr>
        <w:tabs>
          <w:tab w:val="left" w:pos="567"/>
        </w:tabs>
        <w:spacing w:line="360" w:lineRule="auto"/>
        <w:ind w:left="567" w:hanging="567"/>
        <w:rPr>
          <w:i/>
          <w:iCs w:val="0"/>
        </w:rPr>
      </w:pPr>
      <w:r w:rsidRPr="00615053">
        <w:rPr>
          <w:rFonts w:cs="Arial"/>
          <w:szCs w:val="24"/>
        </w:rPr>
        <w:t>[207]</w:t>
      </w:r>
      <w:r w:rsidRPr="00615053">
        <w:rPr>
          <w:rFonts w:cs="Arial"/>
          <w:szCs w:val="24"/>
        </w:rPr>
        <w:tab/>
      </w:r>
      <w:r w:rsidR="00782684" w:rsidRPr="00285CDE">
        <w:t xml:space="preserve">The aforesaid case </w:t>
      </w:r>
      <w:r w:rsidR="00E363F8">
        <w:t xml:space="preserve">mirrors </w:t>
      </w:r>
      <w:r w:rsidR="00782684" w:rsidRPr="00285CDE">
        <w:t xml:space="preserve">the current state of affairs in the present application. </w:t>
      </w:r>
      <w:r w:rsidR="00B324CE" w:rsidRPr="00285CDE">
        <w:t>In my view</w:t>
      </w:r>
      <w:r w:rsidR="00782684" w:rsidRPr="00285CDE">
        <w:t>,</w:t>
      </w:r>
      <w:r w:rsidR="00B324CE" w:rsidRPr="00285CDE">
        <w:t xml:space="preserve"> there has been a failure</w:t>
      </w:r>
      <w:r w:rsidR="00E363F8">
        <w:t xml:space="preserve">, for </w:t>
      </w:r>
      <w:r w:rsidR="00B324CE" w:rsidRPr="00285CDE">
        <w:t>approximately</w:t>
      </w:r>
      <w:r w:rsidR="00791267">
        <w:t xml:space="preserve"> four</w:t>
      </w:r>
      <w:r w:rsidR="00B324CE" w:rsidRPr="00285CDE">
        <w:t xml:space="preserve"> </w:t>
      </w:r>
      <w:r w:rsidR="00F20FA6" w:rsidRPr="00285CDE">
        <w:t>months</w:t>
      </w:r>
      <w:r w:rsidR="00E363F8">
        <w:t>,</w:t>
      </w:r>
      <w:r w:rsidR="00F20FA6" w:rsidRPr="00285CDE">
        <w:t xml:space="preserve"> </w:t>
      </w:r>
      <w:r w:rsidR="00B324CE" w:rsidRPr="00285CDE">
        <w:t xml:space="preserve">by the PE Minister to </w:t>
      </w:r>
      <w:r w:rsidR="00AC1ECB">
        <w:t>take a decision</w:t>
      </w:r>
      <w:r w:rsidR="00F20FA6" w:rsidRPr="00285CDE">
        <w:t xml:space="preserve"> </w:t>
      </w:r>
      <w:r w:rsidR="000D7F8D">
        <w:t>regarding</w:t>
      </w:r>
      <w:r w:rsidR="00F20FA6" w:rsidRPr="00285CDE">
        <w:t xml:space="preserve"> the section 54(2) application submitted to him</w:t>
      </w:r>
      <w:r w:rsidR="00B324CE" w:rsidRPr="00285CDE">
        <w:t xml:space="preserve">. </w:t>
      </w:r>
      <w:r w:rsidR="00F11849" w:rsidRPr="00285CDE">
        <w:t xml:space="preserve">This leads me to consider whether </w:t>
      </w:r>
      <w:r w:rsidR="00F20FA6" w:rsidRPr="00285CDE">
        <w:t xml:space="preserve">the failure and/or delay to </w:t>
      </w:r>
      <w:r w:rsidR="00AC1ECB">
        <w:t>take a decision</w:t>
      </w:r>
      <w:r w:rsidR="00F20FA6" w:rsidRPr="00285CDE">
        <w:t xml:space="preserve"> by the PE Minister has been unreasonable thus leading to the violation of the Applicants</w:t>
      </w:r>
      <w:r w:rsidR="00E363F8">
        <w:t xml:space="preserve">’ </w:t>
      </w:r>
      <w:r w:rsidR="00F20FA6" w:rsidRPr="00285CDE">
        <w:t xml:space="preserve">right to administrative action that is lawful and reasonable </w:t>
      </w:r>
      <w:r w:rsidR="00F20FA6" w:rsidRPr="00285CDE">
        <w:rPr>
          <w:szCs w:val="24"/>
        </w:rPr>
        <w:t xml:space="preserve">as provided for in section </w:t>
      </w:r>
      <w:r w:rsidR="00BC4EF3" w:rsidRPr="00285CDE">
        <w:rPr>
          <w:rFonts w:cs="Arial"/>
          <w:color w:val="242121"/>
          <w:szCs w:val="24"/>
          <w:shd w:val="clear" w:color="auto" w:fill="FFFFFF"/>
        </w:rPr>
        <w:t>6(2)(g)</w:t>
      </w:r>
      <w:r w:rsidR="000D7F8D">
        <w:rPr>
          <w:rFonts w:cs="Arial"/>
          <w:color w:val="242121"/>
          <w:szCs w:val="24"/>
          <w:shd w:val="clear" w:color="auto" w:fill="FFFFFF"/>
        </w:rPr>
        <w:t xml:space="preserve"> of PAJA</w:t>
      </w:r>
      <w:r w:rsidR="00BC4EF3" w:rsidRPr="00285CDE">
        <w:rPr>
          <w:rFonts w:cs="Arial"/>
          <w:color w:val="242121"/>
          <w:szCs w:val="24"/>
          <w:shd w:val="clear" w:color="auto" w:fill="FFFFFF"/>
        </w:rPr>
        <w:t>, together with s</w:t>
      </w:r>
      <w:r w:rsidR="00E363F8">
        <w:rPr>
          <w:rFonts w:cs="Arial"/>
          <w:color w:val="242121"/>
          <w:szCs w:val="24"/>
          <w:shd w:val="clear" w:color="auto" w:fill="FFFFFF"/>
        </w:rPr>
        <w:t>ection</w:t>
      </w:r>
      <w:r w:rsidR="00BC4EF3" w:rsidRPr="00285CDE">
        <w:rPr>
          <w:rFonts w:cs="Arial"/>
          <w:color w:val="242121"/>
          <w:szCs w:val="24"/>
          <w:shd w:val="clear" w:color="auto" w:fill="FFFFFF"/>
        </w:rPr>
        <w:t xml:space="preserve"> 6(3)</w:t>
      </w:r>
      <w:r w:rsidR="00782684" w:rsidRPr="00285CDE">
        <w:rPr>
          <w:rFonts w:cs="Arial"/>
          <w:color w:val="242121"/>
          <w:szCs w:val="24"/>
          <w:shd w:val="clear" w:color="auto" w:fill="FFFFFF"/>
        </w:rPr>
        <w:t>(a)(i) and</w:t>
      </w:r>
      <w:r w:rsidR="00BC4EF3" w:rsidRPr="00285CDE">
        <w:rPr>
          <w:rFonts w:cs="Arial"/>
          <w:color w:val="242121"/>
          <w:szCs w:val="24"/>
          <w:shd w:val="clear" w:color="auto" w:fill="FFFFFF"/>
        </w:rPr>
        <w:t>(</w:t>
      </w:r>
      <w:r w:rsidR="00782684" w:rsidRPr="00285CDE">
        <w:rPr>
          <w:rFonts w:cs="Arial"/>
          <w:color w:val="242121"/>
          <w:szCs w:val="24"/>
          <w:shd w:val="clear" w:color="auto" w:fill="FFFFFF"/>
        </w:rPr>
        <w:t>iii</w:t>
      </w:r>
      <w:r w:rsidR="00BC4EF3" w:rsidRPr="00285CDE">
        <w:rPr>
          <w:rFonts w:cs="Arial"/>
          <w:color w:val="242121"/>
          <w:szCs w:val="24"/>
          <w:shd w:val="clear" w:color="auto" w:fill="FFFFFF"/>
        </w:rPr>
        <w:t>) of the PAJA</w:t>
      </w:r>
      <w:r w:rsidR="00E363F8">
        <w:rPr>
          <w:rFonts w:cs="Arial"/>
          <w:color w:val="242121"/>
          <w:szCs w:val="24"/>
          <w:shd w:val="clear" w:color="auto" w:fill="FFFFFF"/>
        </w:rPr>
        <w:t>. These provisions</w:t>
      </w:r>
      <w:r w:rsidR="00BC4EF3" w:rsidRPr="00285CDE">
        <w:rPr>
          <w:rFonts w:cs="Arial"/>
          <w:color w:val="242121"/>
          <w:szCs w:val="24"/>
          <w:shd w:val="clear" w:color="auto" w:fill="FFFFFF"/>
        </w:rPr>
        <w:t xml:space="preserve"> provide that the failure to take a decision within a reasonable time is a ground of review and hence an infringement of the fundamental right to just administrative action</w:t>
      </w:r>
      <w:r w:rsidR="00BC4EF3" w:rsidRPr="00285CDE">
        <w:rPr>
          <w:i/>
          <w:iCs w:val="0"/>
          <w:szCs w:val="24"/>
        </w:rPr>
        <w:t xml:space="preserve"> </w:t>
      </w:r>
      <w:r w:rsidR="00F20FA6" w:rsidRPr="00285CDE">
        <w:rPr>
          <w:szCs w:val="24"/>
        </w:rPr>
        <w:t>Th</w:t>
      </w:r>
      <w:r w:rsidR="00337385" w:rsidRPr="00285CDE">
        <w:rPr>
          <w:szCs w:val="24"/>
        </w:rPr>
        <w:t>e</w:t>
      </w:r>
      <w:r w:rsidR="00F20FA6" w:rsidRPr="00285CDE">
        <w:rPr>
          <w:szCs w:val="24"/>
        </w:rPr>
        <w:t xml:space="preserve"> answer is in the </w:t>
      </w:r>
      <w:r w:rsidR="00337385" w:rsidRPr="00285CDE">
        <w:rPr>
          <w:szCs w:val="24"/>
        </w:rPr>
        <w:t>affirma</w:t>
      </w:r>
      <w:r w:rsidR="00F20FA6" w:rsidRPr="00285CDE">
        <w:rPr>
          <w:szCs w:val="24"/>
        </w:rPr>
        <w:t>tive.</w:t>
      </w:r>
      <w:r w:rsidR="00BC4EF3" w:rsidRPr="00285CDE">
        <w:rPr>
          <w:szCs w:val="24"/>
        </w:rPr>
        <w:t xml:space="preserve"> </w:t>
      </w:r>
      <w:r w:rsidR="00782684" w:rsidRPr="00285CDE">
        <w:rPr>
          <w:szCs w:val="24"/>
        </w:rPr>
        <w:t xml:space="preserve">As was correctly </w:t>
      </w:r>
      <w:r w:rsidR="00244830" w:rsidRPr="00285CDE">
        <w:rPr>
          <w:szCs w:val="24"/>
        </w:rPr>
        <w:t>found</w:t>
      </w:r>
      <w:r w:rsidR="00782684" w:rsidRPr="00285CDE">
        <w:rPr>
          <w:szCs w:val="24"/>
        </w:rPr>
        <w:t xml:space="preserve"> i</w:t>
      </w:r>
      <w:r w:rsidR="008C574B" w:rsidRPr="00285CDE">
        <w:rPr>
          <w:szCs w:val="24"/>
        </w:rPr>
        <w:t xml:space="preserve">n </w:t>
      </w:r>
      <w:r w:rsidR="008C574B" w:rsidRPr="00285CDE">
        <w:rPr>
          <w:i/>
          <w:iCs w:val="0"/>
          <w:szCs w:val="24"/>
        </w:rPr>
        <w:t>MEC</w:t>
      </w:r>
      <w:r w:rsidR="00782684" w:rsidRPr="00285CDE">
        <w:rPr>
          <w:rFonts w:cs="Arial"/>
          <w:i/>
          <w:iCs w:val="0"/>
          <w:szCs w:val="24"/>
        </w:rPr>
        <w:t xml:space="preserve"> Vumazonke and Others v MEC for Social Development and Welfare for Eastern Cape Province</w:t>
      </w:r>
      <w:r w:rsidR="00E363F8">
        <w:rPr>
          <w:rFonts w:cs="Arial"/>
          <w:i/>
          <w:iCs w:val="0"/>
          <w:szCs w:val="24"/>
        </w:rPr>
        <w:t>,</w:t>
      </w:r>
      <w:r w:rsidR="00782684" w:rsidRPr="00285CDE">
        <w:rPr>
          <w:rStyle w:val="FootnoteReference"/>
          <w:szCs w:val="24"/>
        </w:rPr>
        <w:footnoteReference w:id="88"/>
      </w:r>
      <w:r w:rsidR="008C574B" w:rsidRPr="00285CDE">
        <w:rPr>
          <w:szCs w:val="24"/>
        </w:rPr>
        <w:t xml:space="preserve"> the </w:t>
      </w:r>
      <w:r w:rsidR="00782684" w:rsidRPr="00285CDE">
        <w:rPr>
          <w:szCs w:val="24"/>
        </w:rPr>
        <w:t>failure to take a decision within three months</w:t>
      </w:r>
      <w:r w:rsidR="00244830" w:rsidRPr="00285CDE">
        <w:rPr>
          <w:szCs w:val="24"/>
        </w:rPr>
        <w:t xml:space="preserve"> </w:t>
      </w:r>
      <w:r w:rsidR="00E363F8">
        <w:rPr>
          <w:szCs w:val="24"/>
        </w:rPr>
        <w:t xml:space="preserve">amounts to an </w:t>
      </w:r>
      <w:r w:rsidR="00E363F8" w:rsidRPr="00E363F8">
        <w:rPr>
          <w:szCs w:val="24"/>
        </w:rPr>
        <w:t xml:space="preserve">unreasonable delay </w:t>
      </w:r>
      <w:r w:rsidR="00E363F8">
        <w:rPr>
          <w:szCs w:val="24"/>
        </w:rPr>
        <w:t xml:space="preserve">and </w:t>
      </w:r>
      <w:r w:rsidR="00244830" w:rsidRPr="00285CDE">
        <w:rPr>
          <w:szCs w:val="24"/>
        </w:rPr>
        <w:t>constituted a violation of the right to lawful administrative action</w:t>
      </w:r>
      <w:r w:rsidR="00782684" w:rsidRPr="00285CDE">
        <w:rPr>
          <w:szCs w:val="24"/>
        </w:rPr>
        <w:t>.</w:t>
      </w:r>
      <w:r w:rsidR="008C574B" w:rsidRPr="00285CDE">
        <w:rPr>
          <w:rFonts w:ascii="Roboto" w:hAnsi="Roboto"/>
          <w:szCs w:val="24"/>
          <w:shd w:val="clear" w:color="auto" w:fill="F3F0F0"/>
        </w:rPr>
        <w:t xml:space="preserve"> </w:t>
      </w:r>
    </w:p>
    <w:p w14:paraId="12060BFC" w14:textId="390B2CEC" w:rsidR="007C2B62" w:rsidRPr="0024329E" w:rsidRDefault="00890EE4" w:rsidP="00890EE4">
      <w:pPr>
        <w:pStyle w:val="1"/>
        <w:numPr>
          <w:ilvl w:val="0"/>
          <w:numId w:val="0"/>
        </w:numPr>
        <w:tabs>
          <w:tab w:val="left" w:pos="567"/>
        </w:tabs>
        <w:spacing w:line="360" w:lineRule="auto"/>
        <w:ind w:left="567" w:hanging="567"/>
        <w:rPr>
          <w:i/>
          <w:iCs w:val="0"/>
        </w:rPr>
      </w:pPr>
      <w:r w:rsidRPr="0024329E">
        <w:rPr>
          <w:rFonts w:cs="Arial"/>
          <w:szCs w:val="24"/>
        </w:rPr>
        <w:t>[208]</w:t>
      </w:r>
      <w:r w:rsidRPr="0024329E">
        <w:rPr>
          <w:rFonts w:cs="Arial"/>
          <w:szCs w:val="24"/>
        </w:rPr>
        <w:tab/>
      </w:r>
      <w:r w:rsidR="00F2413F" w:rsidRPr="00285CDE">
        <w:rPr>
          <w:rFonts w:cs="Arial"/>
        </w:rPr>
        <w:t>This is where in my view the provisions of section 237 of the Constitution which</w:t>
      </w:r>
      <w:r w:rsidR="00F2413F" w:rsidRPr="00285CDE">
        <w:rPr>
          <w:i/>
          <w:iCs w:val="0"/>
        </w:rPr>
        <w:t xml:space="preserve"> </w:t>
      </w:r>
      <w:r w:rsidR="00F2413F" w:rsidRPr="00285CDE">
        <w:rPr>
          <w:rFonts w:cs="Arial"/>
        </w:rPr>
        <w:t>enjoins functionaries within organs of state to “</w:t>
      </w:r>
      <w:r w:rsidR="00F2413F" w:rsidRPr="0062287D">
        <w:rPr>
          <w:rFonts w:cs="Arial"/>
          <w:i/>
          <w:iCs w:val="0"/>
        </w:rPr>
        <w:t>perform diligently and without delay all constitutional obligations</w:t>
      </w:r>
      <w:r w:rsidR="00F2413F" w:rsidRPr="00285CDE">
        <w:rPr>
          <w:rFonts w:cs="Arial"/>
        </w:rPr>
        <w:t xml:space="preserve">” </w:t>
      </w:r>
      <w:r w:rsidR="00791267">
        <w:rPr>
          <w:rFonts w:cs="Arial"/>
        </w:rPr>
        <w:t xml:space="preserve">also </w:t>
      </w:r>
      <w:r w:rsidR="00F2413F" w:rsidRPr="00285CDE">
        <w:rPr>
          <w:rFonts w:cs="Arial"/>
        </w:rPr>
        <w:t>squarely fits in</w:t>
      </w:r>
      <w:r w:rsidR="0080005F">
        <w:rPr>
          <w:rFonts w:cs="Arial"/>
        </w:rPr>
        <w:t xml:space="preserve"> as argued by the Applicants</w:t>
      </w:r>
      <w:r w:rsidR="00F2413F" w:rsidRPr="00285CDE">
        <w:rPr>
          <w:rFonts w:cs="Arial"/>
        </w:rPr>
        <w:t>.</w:t>
      </w:r>
      <w:r w:rsidR="007C2B62">
        <w:rPr>
          <w:rFonts w:cs="Arial"/>
        </w:rPr>
        <w:t xml:space="preserve"> I have already classified this matter as one falling within </w:t>
      </w:r>
      <w:r w:rsidR="0062287D">
        <w:rPr>
          <w:rFonts w:cs="Arial"/>
        </w:rPr>
        <w:t xml:space="preserve">the ambit of </w:t>
      </w:r>
      <w:r w:rsidR="007C2B62">
        <w:rPr>
          <w:rFonts w:cs="Arial"/>
        </w:rPr>
        <w:t>administrative action. It is therefore not necessary to venture into the exercise of executive power. Even if that is so, the Applicants have in my view correctly contented that any exercise of public power is subject to constitutional scrutiny.</w:t>
      </w:r>
      <w:r w:rsidR="007C2B62">
        <w:rPr>
          <w:rStyle w:val="FootnoteReference"/>
          <w:rFonts w:cs="Arial"/>
        </w:rPr>
        <w:footnoteReference w:id="89"/>
      </w:r>
    </w:p>
    <w:p w14:paraId="275D9FDF" w14:textId="1D71FD32" w:rsidR="00602C1B" w:rsidRPr="0024329E" w:rsidRDefault="00890EE4" w:rsidP="00890EE4">
      <w:pPr>
        <w:pStyle w:val="1"/>
        <w:numPr>
          <w:ilvl w:val="0"/>
          <w:numId w:val="0"/>
        </w:numPr>
        <w:tabs>
          <w:tab w:val="left" w:pos="567"/>
        </w:tabs>
        <w:spacing w:line="360" w:lineRule="auto"/>
        <w:ind w:left="567" w:hanging="567"/>
        <w:rPr>
          <w:i/>
          <w:iCs w:val="0"/>
        </w:rPr>
      </w:pPr>
      <w:r w:rsidRPr="0024329E">
        <w:rPr>
          <w:rFonts w:cs="Arial"/>
          <w:szCs w:val="24"/>
        </w:rPr>
        <w:t>[209]</w:t>
      </w:r>
      <w:r w:rsidRPr="0024329E">
        <w:rPr>
          <w:rFonts w:cs="Arial"/>
          <w:szCs w:val="24"/>
        </w:rPr>
        <w:tab/>
      </w:r>
      <w:r w:rsidR="00A5679B" w:rsidRPr="0024329E">
        <w:t>The PE Minister</w:t>
      </w:r>
      <w:r w:rsidR="007C2B62" w:rsidRPr="0024329E">
        <w:t xml:space="preserve"> is bound by the Constitution </w:t>
      </w:r>
      <w:r w:rsidR="00401EF9" w:rsidRPr="0024329E">
        <w:t xml:space="preserve">and must act within its boundaries </w:t>
      </w:r>
      <w:r w:rsidR="00401EF9" w:rsidRPr="0024329E">
        <w:lastRenderedPageBreak/>
        <w:t>to meet the requirement of legality</w:t>
      </w:r>
      <w:r w:rsidR="00CE1CCB" w:rsidRPr="0024329E">
        <w:t xml:space="preserve"> and rationality</w:t>
      </w:r>
      <w:r w:rsidR="00401EF9" w:rsidRPr="0024329E">
        <w:t>.</w:t>
      </w:r>
      <w:r w:rsidR="00A5679B" w:rsidRPr="0024329E">
        <w:t xml:space="preserve"> </w:t>
      </w:r>
      <w:r w:rsidR="00602C1B" w:rsidRPr="0024329E">
        <w:rPr>
          <w:rFonts w:cs="Arial"/>
          <w:i/>
          <w:szCs w:val="24"/>
          <w:lang w:val="en-ZA"/>
        </w:rPr>
        <w:t>Pharmaceutical Manufacturers Association of South Africa and Another: In re Ex Parte President of the Republic of South Africa and Others</w:t>
      </w:r>
      <w:r w:rsidR="00602C1B" w:rsidRPr="00602C1B">
        <w:rPr>
          <w:rStyle w:val="FootnoteReference"/>
          <w:rFonts w:cs="Arial"/>
          <w:szCs w:val="24"/>
        </w:rPr>
        <w:footnoteReference w:id="90"/>
      </w:r>
    </w:p>
    <w:p w14:paraId="110306D8" w14:textId="16232BF5" w:rsidR="00602C1B" w:rsidRPr="00521835" w:rsidRDefault="00602C1B" w:rsidP="00521835">
      <w:pPr>
        <w:pStyle w:val="1"/>
        <w:numPr>
          <w:ilvl w:val="0"/>
          <w:numId w:val="0"/>
        </w:numPr>
        <w:spacing w:line="360" w:lineRule="auto"/>
        <w:ind w:left="851" w:right="851"/>
        <w:rPr>
          <w:rFonts w:cs="Arial"/>
          <w:color w:val="242121"/>
          <w:szCs w:val="24"/>
          <w:shd w:val="clear" w:color="auto" w:fill="FFFFFF"/>
        </w:rPr>
      </w:pPr>
      <w:r w:rsidRPr="00521835">
        <w:rPr>
          <w:rFonts w:cs="Arial"/>
          <w:color w:val="242121"/>
          <w:szCs w:val="24"/>
          <w:shd w:val="clear" w:color="auto" w:fill="FFFFFF"/>
        </w:rPr>
        <w:t>‘…</w:t>
      </w:r>
      <w:r w:rsidR="00CE1CCB" w:rsidRPr="00521835">
        <w:rPr>
          <w:rFonts w:cs="Arial"/>
          <w:color w:val="242121"/>
          <w:szCs w:val="24"/>
          <w:shd w:val="clear" w:color="auto" w:fill="FFFFFF"/>
        </w:rPr>
        <w:t>What the Constitution requires is that public power vested in the executive and other functionaries be exercised in an objectively rational manner.</w:t>
      </w:r>
    </w:p>
    <w:p w14:paraId="148926B5" w14:textId="130EFDE1" w:rsidR="00CE1CCB" w:rsidRPr="00521835" w:rsidRDefault="00CE1CCB" w:rsidP="00521835">
      <w:pPr>
        <w:pStyle w:val="1"/>
        <w:numPr>
          <w:ilvl w:val="0"/>
          <w:numId w:val="0"/>
        </w:numPr>
        <w:spacing w:line="360" w:lineRule="auto"/>
        <w:ind w:left="851" w:right="851"/>
        <w:rPr>
          <w:rFonts w:cs="Arial"/>
          <w:i/>
          <w:iCs w:val="0"/>
          <w:szCs w:val="24"/>
          <w:highlight w:val="yellow"/>
        </w:rPr>
      </w:pPr>
      <w:r w:rsidRPr="00521835">
        <w:rPr>
          <w:rFonts w:cs="Arial"/>
          <w:color w:val="242121"/>
          <w:szCs w:val="24"/>
          <w:shd w:val="clear" w:color="auto" w:fill="FFFFFF"/>
        </w:rPr>
        <w:t>Rationality in this sense is a minimum threshold requirement applicable to the exercise of all public power by members of the executive and other functionaries</w:t>
      </w:r>
      <w:r w:rsidR="00602C1B" w:rsidRPr="00521835">
        <w:rPr>
          <w:rFonts w:cs="Arial"/>
          <w:color w:val="242121"/>
          <w:szCs w:val="24"/>
          <w:shd w:val="clear" w:color="auto" w:fill="FFFFFF"/>
        </w:rPr>
        <w:t>…</w:t>
      </w:r>
      <w:r w:rsidRPr="00521835">
        <w:rPr>
          <w:rFonts w:cs="Arial"/>
          <w:color w:val="242121"/>
          <w:szCs w:val="24"/>
          <w:shd w:val="clear" w:color="auto" w:fill="FFFFFF"/>
        </w:rPr>
        <w:t>.</w:t>
      </w:r>
      <w:r w:rsidR="00602C1B" w:rsidRPr="00521835">
        <w:rPr>
          <w:rFonts w:cs="Arial"/>
          <w:color w:val="242121"/>
          <w:szCs w:val="24"/>
          <w:shd w:val="clear" w:color="auto" w:fill="FFFFFF"/>
        </w:rPr>
        <w:t>’.</w:t>
      </w:r>
    </w:p>
    <w:p w14:paraId="3A22034E" w14:textId="573EC0A9" w:rsidR="00A5679B" w:rsidRPr="00FD4E81" w:rsidRDefault="00890EE4" w:rsidP="00890EE4">
      <w:pPr>
        <w:pStyle w:val="1"/>
        <w:numPr>
          <w:ilvl w:val="0"/>
          <w:numId w:val="0"/>
        </w:numPr>
        <w:tabs>
          <w:tab w:val="left" w:pos="567"/>
        </w:tabs>
        <w:spacing w:line="360" w:lineRule="auto"/>
        <w:ind w:left="567" w:hanging="567"/>
        <w:rPr>
          <w:i/>
          <w:iCs w:val="0"/>
        </w:rPr>
      </w:pPr>
      <w:r w:rsidRPr="00FD4E81">
        <w:rPr>
          <w:rFonts w:cs="Arial"/>
          <w:szCs w:val="24"/>
        </w:rPr>
        <w:t>[210]</w:t>
      </w:r>
      <w:r w:rsidRPr="00FD4E81">
        <w:rPr>
          <w:rFonts w:cs="Arial"/>
          <w:szCs w:val="24"/>
        </w:rPr>
        <w:tab/>
      </w:r>
      <w:r w:rsidR="00602C1B" w:rsidRPr="00FD4E81">
        <w:t>I do not see how a delay in taking a decision could be</w:t>
      </w:r>
      <w:r w:rsidR="0062287D">
        <w:t xml:space="preserve"> considered as rational</w:t>
      </w:r>
      <w:r w:rsidR="00602C1B" w:rsidRPr="00FD4E81">
        <w:t xml:space="preserve">. </w:t>
      </w:r>
      <w:r w:rsidR="00401EF9" w:rsidRPr="00FD4E81">
        <w:t xml:space="preserve">The </w:t>
      </w:r>
      <w:r w:rsidR="00A5679B" w:rsidRPr="00FD4E81">
        <w:t xml:space="preserve">delay </w:t>
      </w:r>
      <w:r w:rsidR="0062287D">
        <w:t>in</w:t>
      </w:r>
      <w:r w:rsidR="00A5679B" w:rsidRPr="00FD4E81">
        <w:t xml:space="preserve"> </w:t>
      </w:r>
      <w:r w:rsidR="00401EF9" w:rsidRPr="00FD4E81">
        <w:t>tak</w:t>
      </w:r>
      <w:r w:rsidR="0062287D">
        <w:t>ing</w:t>
      </w:r>
      <w:r w:rsidR="00A5679B" w:rsidRPr="00FD4E81">
        <w:t xml:space="preserve"> a decision in respect of the section 54(2) application has </w:t>
      </w:r>
      <w:r w:rsidR="00401EF9" w:rsidRPr="00FD4E81">
        <w:t xml:space="preserve">in my view </w:t>
      </w:r>
      <w:r w:rsidR="00A5679B" w:rsidRPr="00FD4E81">
        <w:t>violated section 237</w:t>
      </w:r>
      <w:r w:rsidR="00401EF9" w:rsidRPr="00FD4E81">
        <w:t xml:space="preserve"> </w:t>
      </w:r>
      <w:r w:rsidR="00A5679B" w:rsidRPr="00FD4E81">
        <w:t>of the Constitution.</w:t>
      </w:r>
      <w:r w:rsidR="00CE1CCB" w:rsidRPr="00FD4E81">
        <w:t xml:space="preserve"> </w:t>
      </w:r>
      <w:r w:rsidR="00A5679B" w:rsidRPr="00FD4E81">
        <w:t xml:space="preserve"> </w:t>
      </w:r>
      <w:r w:rsidR="00A5679B" w:rsidRPr="00FD4E81">
        <w:rPr>
          <w:rFonts w:cs="Arial"/>
          <w:color w:val="242121"/>
          <w:szCs w:val="24"/>
          <w:shd w:val="clear" w:color="auto" w:fill="FFFFFF"/>
        </w:rPr>
        <w:t>It is the duty of this Court to ensure that th</w:t>
      </w:r>
      <w:r w:rsidR="00A438AB" w:rsidRPr="00FD4E81">
        <w:rPr>
          <w:rFonts w:cs="Arial"/>
          <w:color w:val="242121"/>
          <w:szCs w:val="24"/>
          <w:shd w:val="clear" w:color="auto" w:fill="FFFFFF"/>
        </w:rPr>
        <w:t>e constitutional prescripts imposed on the PE Minister to discharge his duties are adhered to</w:t>
      </w:r>
      <w:r w:rsidR="00A5679B" w:rsidRPr="00FD4E81">
        <w:rPr>
          <w:rFonts w:cs="Arial"/>
          <w:color w:val="242121"/>
          <w:szCs w:val="24"/>
          <w:shd w:val="clear" w:color="auto" w:fill="FFFFFF"/>
        </w:rPr>
        <w:t>.</w:t>
      </w:r>
    </w:p>
    <w:p w14:paraId="3E896278" w14:textId="5F583D91" w:rsidR="00085485" w:rsidRPr="00FD4E81" w:rsidRDefault="00890EE4" w:rsidP="00890EE4">
      <w:pPr>
        <w:pStyle w:val="1"/>
        <w:numPr>
          <w:ilvl w:val="0"/>
          <w:numId w:val="0"/>
        </w:numPr>
        <w:tabs>
          <w:tab w:val="left" w:pos="567"/>
        </w:tabs>
        <w:spacing w:line="360" w:lineRule="auto"/>
        <w:ind w:left="567" w:hanging="567"/>
        <w:rPr>
          <w:i/>
          <w:iCs w:val="0"/>
        </w:rPr>
      </w:pPr>
      <w:r w:rsidRPr="00FD4E81">
        <w:rPr>
          <w:rFonts w:cs="Arial"/>
          <w:szCs w:val="24"/>
        </w:rPr>
        <w:t>[211]</w:t>
      </w:r>
      <w:r w:rsidRPr="00FD4E81">
        <w:rPr>
          <w:rFonts w:cs="Arial"/>
          <w:szCs w:val="24"/>
        </w:rPr>
        <w:tab/>
      </w:r>
      <w:r w:rsidR="00085485" w:rsidRPr="00FD4E81">
        <w:t>Concerning the Fourth and Fifth Respondent</w:t>
      </w:r>
      <w:r w:rsidR="006A1F83">
        <w:t>s’</w:t>
      </w:r>
      <w:r w:rsidR="00085485" w:rsidRPr="00FD4E81">
        <w:t xml:space="preserve"> argument</w:t>
      </w:r>
      <w:r w:rsidR="00085485" w:rsidRPr="00FD4E81">
        <w:rPr>
          <w:bCs/>
        </w:rPr>
        <w:t xml:space="preserve"> that NUMSA does not seek a declarator to the effect that the PE Minister’s failure to take a decision is inconsistent with the Constitution and invalid</w:t>
      </w:r>
      <w:r w:rsidR="0024329E">
        <w:rPr>
          <w:bCs/>
        </w:rPr>
        <w:t xml:space="preserve"> as per section 172 of the Constitution</w:t>
      </w:r>
      <w:r w:rsidR="00085485" w:rsidRPr="00FD4E81">
        <w:rPr>
          <w:bCs/>
        </w:rPr>
        <w:t xml:space="preserve">, </w:t>
      </w:r>
      <w:r w:rsidR="00085485" w:rsidRPr="00FD4E81">
        <w:rPr>
          <w:rFonts w:cs="Arial"/>
        </w:rPr>
        <w:t>I disagree.</w:t>
      </w:r>
      <w:r w:rsidR="00767160" w:rsidRPr="00FD4E81">
        <w:rPr>
          <w:rFonts w:cs="Arial"/>
        </w:rPr>
        <w:t xml:space="preserve"> NUMSA clearly states in its affidavit that “</w:t>
      </w:r>
      <w:r w:rsidR="00767160" w:rsidRPr="0062287D">
        <w:rPr>
          <w:rFonts w:cs="Arial"/>
          <w:i/>
          <w:iCs w:val="0"/>
        </w:rPr>
        <w:t>the MPE’s dilatory conduct, contravenes section 237 of the Constitution, the principle of legality</w:t>
      </w:r>
      <w:r w:rsidR="00767160" w:rsidRPr="00FD4E81">
        <w:rPr>
          <w:rFonts w:cs="Arial"/>
        </w:rPr>
        <w:t>…”.</w:t>
      </w:r>
      <w:r w:rsidR="00085485" w:rsidRPr="00FD4E81">
        <w:rPr>
          <w:rFonts w:cs="Arial"/>
        </w:rPr>
        <w:t xml:space="preserve"> In </w:t>
      </w:r>
      <w:r w:rsidR="00085485" w:rsidRPr="00FD4E81">
        <w:rPr>
          <w:rFonts w:cs="Arial"/>
          <w:i/>
          <w:iCs w:val="0"/>
          <w:szCs w:val="24"/>
        </w:rPr>
        <w:t>Rabinowitz v Van Graan and Others</w:t>
      </w:r>
      <w:r w:rsidR="00085485" w:rsidRPr="00FD4E81">
        <w:rPr>
          <w:rStyle w:val="FootnoteReference"/>
          <w:rFonts w:cs="Arial"/>
          <w:szCs w:val="24"/>
        </w:rPr>
        <w:footnoteReference w:id="91"/>
      </w:r>
      <w:r w:rsidR="00085485" w:rsidRPr="00FD4E81">
        <w:rPr>
          <w:rFonts w:cs="Arial"/>
          <w:szCs w:val="24"/>
        </w:rPr>
        <w:t>, it was held that:</w:t>
      </w:r>
    </w:p>
    <w:p w14:paraId="379375A7" w14:textId="77777777" w:rsidR="00085485" w:rsidRPr="00FD4E81" w:rsidRDefault="00085485" w:rsidP="00085485">
      <w:pPr>
        <w:pStyle w:val="1"/>
        <w:numPr>
          <w:ilvl w:val="0"/>
          <w:numId w:val="0"/>
        </w:numPr>
        <w:spacing w:before="0" w:line="240" w:lineRule="auto"/>
        <w:ind w:left="567"/>
        <w:rPr>
          <w:i/>
          <w:iCs w:val="0"/>
        </w:rPr>
      </w:pPr>
    </w:p>
    <w:p w14:paraId="2F155C43" w14:textId="77777777" w:rsidR="00085485" w:rsidRPr="00521835" w:rsidRDefault="00085485" w:rsidP="00521835">
      <w:pPr>
        <w:pStyle w:val="1"/>
        <w:numPr>
          <w:ilvl w:val="0"/>
          <w:numId w:val="0"/>
        </w:numPr>
        <w:spacing w:line="360" w:lineRule="auto"/>
        <w:ind w:left="851" w:right="851"/>
        <w:rPr>
          <w:rFonts w:cs="Arial"/>
          <w:i/>
          <w:iCs w:val="0"/>
          <w:szCs w:val="24"/>
        </w:rPr>
      </w:pPr>
      <w:r w:rsidRPr="00521835">
        <w:rPr>
          <w:rFonts w:cs="Arial"/>
          <w:color w:val="242121"/>
          <w:szCs w:val="24"/>
          <w:shd w:val="clear" w:color="auto" w:fill="FFFFFF"/>
        </w:rPr>
        <w:t>‘It is not necessary to refer in terms to a specific section in a statute provided that the pleader formulates his case clearly or, put differently, it is sufficient if the facts are pleaded from which the conclusion can be drawn that the provisions of the statute apply’.</w:t>
      </w:r>
    </w:p>
    <w:p w14:paraId="20177251" w14:textId="23751FF8" w:rsidR="00085485" w:rsidRPr="00FD4E81" w:rsidRDefault="00890EE4" w:rsidP="00890EE4">
      <w:pPr>
        <w:pStyle w:val="1"/>
        <w:numPr>
          <w:ilvl w:val="0"/>
          <w:numId w:val="0"/>
        </w:numPr>
        <w:tabs>
          <w:tab w:val="left" w:pos="567"/>
        </w:tabs>
        <w:spacing w:line="360" w:lineRule="auto"/>
        <w:ind w:left="567" w:hanging="567"/>
        <w:rPr>
          <w:i/>
          <w:iCs w:val="0"/>
        </w:rPr>
      </w:pPr>
      <w:r w:rsidRPr="00FD4E81">
        <w:rPr>
          <w:rFonts w:cs="Arial"/>
          <w:szCs w:val="24"/>
        </w:rPr>
        <w:t>[212]</w:t>
      </w:r>
      <w:r w:rsidRPr="00FD4E81">
        <w:rPr>
          <w:rFonts w:cs="Arial"/>
          <w:szCs w:val="24"/>
        </w:rPr>
        <w:tab/>
      </w:r>
      <w:r w:rsidR="00085485" w:rsidRPr="00FD4E81">
        <w:t xml:space="preserve">Consequently, I am satisfied that </w:t>
      </w:r>
      <w:r w:rsidR="00767160" w:rsidRPr="00FD4E81">
        <w:t>NUMSA</w:t>
      </w:r>
      <w:r w:rsidR="00085485" w:rsidRPr="00FD4E81">
        <w:t xml:space="preserve"> relies on the provisions of section 237 of the Constitution dealing with delay in executing constitutional obligations.</w:t>
      </w:r>
      <w:r w:rsidR="009B6C92">
        <w:t xml:space="preserve"> </w:t>
      </w:r>
      <w:r w:rsidR="00085485" w:rsidRPr="00FD4E81">
        <w:lastRenderedPageBreak/>
        <w:t xml:space="preserve">Therefore, the case is formulated sufficiently in </w:t>
      </w:r>
      <w:r w:rsidR="00BD0CCD">
        <w:t xml:space="preserve">its </w:t>
      </w:r>
      <w:r w:rsidR="00085485" w:rsidRPr="00FD4E81">
        <w:t>founding affidavit</w:t>
      </w:r>
      <w:r w:rsidR="00240E0E" w:rsidRPr="00FD4E81">
        <w:t>.</w:t>
      </w:r>
    </w:p>
    <w:p w14:paraId="0D247E1E" w14:textId="33B78BA6" w:rsidR="00D85529" w:rsidRPr="006A1F83" w:rsidRDefault="00890EE4" w:rsidP="00890EE4">
      <w:pPr>
        <w:pStyle w:val="1"/>
        <w:numPr>
          <w:ilvl w:val="0"/>
          <w:numId w:val="0"/>
        </w:numPr>
        <w:tabs>
          <w:tab w:val="left" w:pos="567"/>
        </w:tabs>
        <w:spacing w:line="360" w:lineRule="auto"/>
        <w:ind w:left="567" w:hanging="567"/>
        <w:rPr>
          <w:i/>
          <w:iCs w:val="0"/>
        </w:rPr>
      </w:pPr>
      <w:r w:rsidRPr="006A1F83">
        <w:rPr>
          <w:rFonts w:cs="Arial"/>
          <w:szCs w:val="24"/>
        </w:rPr>
        <w:t>[213]</w:t>
      </w:r>
      <w:r w:rsidRPr="006A1F83">
        <w:rPr>
          <w:rFonts w:cs="Arial"/>
          <w:szCs w:val="24"/>
        </w:rPr>
        <w:tab/>
      </w:r>
      <w:r w:rsidR="00F20FA6" w:rsidRPr="00285CDE">
        <w:t xml:space="preserve">The PE Minister’s stance has been </w:t>
      </w:r>
      <w:r w:rsidR="00337385" w:rsidRPr="00F555BE">
        <w:rPr>
          <w:i/>
          <w:iCs w:val="0"/>
        </w:rPr>
        <w:t>inter alia</w:t>
      </w:r>
      <w:r w:rsidR="00337385" w:rsidRPr="00285CDE">
        <w:t xml:space="preserve"> </w:t>
      </w:r>
      <w:r w:rsidR="00F20FA6" w:rsidRPr="00285CDE">
        <w:t>largely</w:t>
      </w:r>
      <w:r w:rsidR="0062287D">
        <w:t xml:space="preserve"> on</w:t>
      </w:r>
      <w:r w:rsidR="00F20FA6" w:rsidRPr="00285CDE">
        <w:t xml:space="preserve"> </w:t>
      </w:r>
      <w:r w:rsidR="004F6A53" w:rsidRPr="00285CDE">
        <w:t xml:space="preserve">the </w:t>
      </w:r>
      <w:r w:rsidR="00F20FA6" w:rsidRPr="00285CDE">
        <w:t>reliance on th</w:t>
      </w:r>
      <w:r w:rsidR="00337385" w:rsidRPr="00285CDE">
        <w:t xml:space="preserve">e SMF </w:t>
      </w:r>
      <w:r w:rsidR="00F20FA6" w:rsidRPr="00285CDE">
        <w:t>agreement entered into between him and the Board of Directors of SAA</w:t>
      </w:r>
      <w:r w:rsidR="00337385" w:rsidRPr="00285CDE">
        <w:t xml:space="preserve"> which purported to extend the </w:t>
      </w:r>
      <w:r w:rsidR="00791267">
        <w:t>30</w:t>
      </w:r>
      <w:r w:rsidR="00337385" w:rsidRPr="00285CDE">
        <w:t>-day period that is provided for under section 54(3) of the PFMA</w:t>
      </w:r>
      <w:r w:rsidR="00F20FA6" w:rsidRPr="00285CDE">
        <w:t xml:space="preserve">. This argument is unsustainable because </w:t>
      </w:r>
      <w:r w:rsidR="00337385" w:rsidRPr="00285CDE">
        <w:t>that SMF agreement did not involve the BRP who is in full control and management of the affairs of Mango Airline</w:t>
      </w:r>
      <w:r w:rsidR="00BD0CCD">
        <w:t>s</w:t>
      </w:r>
      <w:r w:rsidR="00337385" w:rsidRPr="00285CDE">
        <w:t xml:space="preserve">. </w:t>
      </w:r>
      <w:r w:rsidR="00D85529" w:rsidRPr="00285CDE">
        <w:t xml:space="preserve">Nothing can be done outside the watch of the BRP. As was correctly found in </w:t>
      </w:r>
      <w:r w:rsidR="00D85529" w:rsidRPr="00285CDE">
        <w:rPr>
          <w:i/>
          <w:iCs w:val="0"/>
        </w:rPr>
        <w:t>Ragavan and Others v Optimum Coal Terminal (Pty) Ltd and Others</w:t>
      </w:r>
      <w:r w:rsidR="00D85529" w:rsidRPr="00285CDE">
        <w:rPr>
          <w:rStyle w:val="FootnoteReference"/>
        </w:rPr>
        <w:footnoteReference w:id="92"/>
      </w:r>
      <w:r w:rsidR="00D85529" w:rsidRPr="00285CDE">
        <w:rPr>
          <w:i/>
          <w:iCs w:val="0"/>
        </w:rPr>
        <w:t xml:space="preserve"> </w:t>
      </w:r>
      <w:r w:rsidR="00D85529" w:rsidRPr="00285CDE">
        <w:t>that:</w:t>
      </w:r>
    </w:p>
    <w:p w14:paraId="3B4C1E4D" w14:textId="193A63E4" w:rsidR="00D85529" w:rsidRPr="00521835" w:rsidRDefault="00D85529" w:rsidP="00521835">
      <w:pPr>
        <w:pStyle w:val="1"/>
        <w:numPr>
          <w:ilvl w:val="0"/>
          <w:numId w:val="0"/>
        </w:numPr>
        <w:spacing w:line="360" w:lineRule="auto"/>
        <w:ind w:left="851" w:right="851"/>
        <w:rPr>
          <w:i/>
          <w:iCs w:val="0"/>
          <w:szCs w:val="24"/>
        </w:rPr>
      </w:pPr>
      <w:r w:rsidRPr="00521835">
        <w:rPr>
          <w:rFonts w:cs="Arial"/>
          <w:color w:val="242121"/>
          <w:szCs w:val="24"/>
          <w:shd w:val="clear" w:color="auto" w:fill="FFFFFF"/>
        </w:rPr>
        <w:t>‘Nothing of significance can be done by the Directors [</w:t>
      </w:r>
      <w:r w:rsidR="002B66DA" w:rsidRPr="00521835">
        <w:rPr>
          <w:rFonts w:cs="Arial"/>
          <w:color w:val="242121"/>
          <w:szCs w:val="24"/>
          <w:shd w:val="clear" w:color="auto" w:fill="FFFFFF"/>
        </w:rPr>
        <w:t xml:space="preserve">or the </w:t>
      </w:r>
      <w:r w:rsidR="00BD0CCD" w:rsidRPr="00521835">
        <w:rPr>
          <w:rFonts w:cs="Arial"/>
          <w:color w:val="242121"/>
          <w:szCs w:val="24"/>
          <w:shd w:val="clear" w:color="auto" w:fill="FFFFFF"/>
        </w:rPr>
        <w:t>shareholders</w:t>
      </w:r>
      <w:r w:rsidRPr="00521835">
        <w:rPr>
          <w:rFonts w:cs="Arial"/>
          <w:color w:val="242121"/>
          <w:szCs w:val="24"/>
          <w:shd w:val="clear" w:color="auto" w:fill="FFFFFF"/>
        </w:rPr>
        <w:t>] during business rescue proceedings without the authorisation by the BRP together with the other powers they have…’</w:t>
      </w:r>
      <w:r w:rsidR="00BD0CCD" w:rsidRPr="00521835">
        <w:rPr>
          <w:rFonts w:cs="Arial"/>
          <w:color w:val="242121"/>
          <w:szCs w:val="24"/>
          <w:shd w:val="clear" w:color="auto" w:fill="FFFFFF"/>
        </w:rPr>
        <w:t xml:space="preserve"> </w:t>
      </w:r>
    </w:p>
    <w:p w14:paraId="52BCC3C4" w14:textId="2C9A3A33" w:rsidR="00ED1155" w:rsidRPr="009D1901" w:rsidRDefault="00890EE4" w:rsidP="00890EE4">
      <w:pPr>
        <w:pStyle w:val="1"/>
        <w:numPr>
          <w:ilvl w:val="0"/>
          <w:numId w:val="0"/>
        </w:numPr>
        <w:tabs>
          <w:tab w:val="left" w:pos="567"/>
        </w:tabs>
        <w:spacing w:line="360" w:lineRule="auto"/>
        <w:ind w:left="567" w:hanging="567"/>
        <w:rPr>
          <w:i/>
          <w:iCs w:val="0"/>
        </w:rPr>
      </w:pPr>
      <w:r w:rsidRPr="009D1901">
        <w:rPr>
          <w:rFonts w:cs="Arial"/>
          <w:szCs w:val="24"/>
        </w:rPr>
        <w:t>[214]</w:t>
      </w:r>
      <w:r w:rsidRPr="009D1901">
        <w:rPr>
          <w:rFonts w:cs="Arial"/>
          <w:szCs w:val="24"/>
        </w:rPr>
        <w:tab/>
      </w:r>
      <w:r w:rsidR="00337385" w:rsidRPr="00285CDE">
        <w:t xml:space="preserve">Furthermore, the reliance on the outstanding information </w:t>
      </w:r>
      <w:r w:rsidR="00BD0CCD">
        <w:t xml:space="preserve">for the delay by the PE Minister </w:t>
      </w:r>
      <w:r w:rsidR="00337385" w:rsidRPr="00285CDE">
        <w:t xml:space="preserve">is misplaced because the BRP who is in full control </w:t>
      </w:r>
      <w:r w:rsidR="0062287D">
        <w:t>of the</w:t>
      </w:r>
      <w:r w:rsidR="00337385" w:rsidRPr="00285CDE">
        <w:t xml:space="preserve"> management of the affairs of Mango Airline</w:t>
      </w:r>
      <w:r w:rsidR="00BD0CCD">
        <w:t>s</w:t>
      </w:r>
      <w:r w:rsidR="00337385" w:rsidRPr="00285CDE">
        <w:t xml:space="preserve"> has responde</w:t>
      </w:r>
      <w:r w:rsidR="0062287D">
        <w:t>d</w:t>
      </w:r>
      <w:r w:rsidR="00337385" w:rsidRPr="00285CDE">
        <w:t xml:space="preserve"> </w:t>
      </w:r>
      <w:r w:rsidR="00D85529" w:rsidRPr="00285CDE">
        <w:t>to the effect</w:t>
      </w:r>
      <w:r w:rsidR="00337385" w:rsidRPr="00285CDE">
        <w:t xml:space="preserve"> that he will not supply any additional information. Consequently, the PE Minister</w:t>
      </w:r>
      <w:r w:rsidR="001703C2">
        <w:t>, as the relevant treasury,</w:t>
      </w:r>
      <w:r w:rsidR="00337385" w:rsidRPr="00285CDE">
        <w:t xml:space="preserve"> </w:t>
      </w:r>
      <w:r w:rsidR="00BC4EF3" w:rsidRPr="00285CDE">
        <w:t>must</w:t>
      </w:r>
      <w:r w:rsidR="00337385" w:rsidRPr="00285CDE">
        <w:t xml:space="preserve"> act with the information at his disposal and either approve or reject the section 54(2) application. I have </w:t>
      </w:r>
      <w:r w:rsidR="00BC4EF3" w:rsidRPr="00285CDE">
        <w:t>extensively</w:t>
      </w:r>
      <w:r w:rsidR="00337385" w:rsidRPr="00285CDE">
        <w:t xml:space="preserve"> dealt with the aforesaid aspects elsewhere and therefore need not elaborate further here.</w:t>
      </w:r>
    </w:p>
    <w:p w14:paraId="3D59A648" w14:textId="2EE1EEFD" w:rsidR="009D1901" w:rsidRPr="00E447D8" w:rsidRDefault="00890EE4" w:rsidP="00890EE4">
      <w:pPr>
        <w:pStyle w:val="1"/>
        <w:numPr>
          <w:ilvl w:val="0"/>
          <w:numId w:val="0"/>
        </w:numPr>
        <w:tabs>
          <w:tab w:val="left" w:pos="567"/>
        </w:tabs>
        <w:spacing w:line="360" w:lineRule="auto"/>
        <w:ind w:left="567" w:hanging="567"/>
        <w:rPr>
          <w:i/>
          <w:iCs w:val="0"/>
        </w:rPr>
      </w:pPr>
      <w:r w:rsidRPr="00E447D8">
        <w:rPr>
          <w:rFonts w:cs="Arial"/>
          <w:szCs w:val="24"/>
        </w:rPr>
        <w:t>[215]</w:t>
      </w:r>
      <w:r w:rsidRPr="00E447D8">
        <w:rPr>
          <w:rFonts w:cs="Arial"/>
          <w:szCs w:val="24"/>
        </w:rPr>
        <w:tab/>
      </w:r>
      <w:r w:rsidR="009D1901">
        <w:rPr>
          <w:rFonts w:cs="Arial"/>
          <w:szCs w:val="24"/>
        </w:rPr>
        <w:t xml:space="preserve">Concerning </w:t>
      </w:r>
      <w:r w:rsidR="009D1901" w:rsidRPr="00285CDE">
        <w:rPr>
          <w:rFonts w:cs="Arial"/>
          <w:szCs w:val="24"/>
        </w:rPr>
        <w:t xml:space="preserve">the </w:t>
      </w:r>
      <w:r w:rsidR="009D1901">
        <w:rPr>
          <w:rFonts w:cs="Arial"/>
          <w:szCs w:val="24"/>
        </w:rPr>
        <w:t>argument that the A</w:t>
      </w:r>
      <w:r w:rsidR="009D1901" w:rsidRPr="00285CDE">
        <w:rPr>
          <w:rFonts w:cs="Arial"/>
          <w:szCs w:val="24"/>
        </w:rPr>
        <w:t>pplicant</w:t>
      </w:r>
      <w:r w:rsidR="00196DEE">
        <w:rPr>
          <w:rFonts w:cs="Arial"/>
          <w:szCs w:val="24"/>
        </w:rPr>
        <w:t>s</w:t>
      </w:r>
      <w:r w:rsidR="009D1901" w:rsidRPr="00285CDE">
        <w:rPr>
          <w:rFonts w:cs="Arial"/>
          <w:szCs w:val="24"/>
        </w:rPr>
        <w:t xml:space="preserve"> seek to </w:t>
      </w:r>
      <w:r w:rsidR="00F555BE" w:rsidRPr="00285CDE">
        <w:rPr>
          <w:rFonts w:cs="Arial"/>
          <w:szCs w:val="24"/>
        </w:rPr>
        <w:t>rely on</w:t>
      </w:r>
      <w:r w:rsidR="009D1901" w:rsidRPr="00285CDE">
        <w:rPr>
          <w:rFonts w:cs="Arial"/>
          <w:szCs w:val="24"/>
        </w:rPr>
        <w:t xml:space="preserve"> and </w:t>
      </w:r>
      <w:r w:rsidR="00791267" w:rsidRPr="00285CDE">
        <w:rPr>
          <w:rFonts w:cs="Arial"/>
          <w:szCs w:val="24"/>
        </w:rPr>
        <w:t>enforce rights</w:t>
      </w:r>
      <w:r w:rsidR="009D1901" w:rsidRPr="00285CDE">
        <w:rPr>
          <w:rFonts w:cs="Arial"/>
          <w:szCs w:val="24"/>
        </w:rPr>
        <w:t xml:space="preserve"> and duties flowing from the Companies Act in a section 54(2) process that is regulated by the PFMA</w:t>
      </w:r>
      <w:r w:rsidR="009D1901">
        <w:rPr>
          <w:rFonts w:cs="Arial"/>
          <w:szCs w:val="24"/>
        </w:rPr>
        <w:t>, the PE Minister is incorrect</w:t>
      </w:r>
      <w:r w:rsidR="00196DEE">
        <w:rPr>
          <w:rFonts w:cs="Arial"/>
          <w:szCs w:val="24"/>
        </w:rPr>
        <w:t>.</w:t>
      </w:r>
      <w:r w:rsidR="009D1901">
        <w:rPr>
          <w:rFonts w:cs="Arial"/>
          <w:szCs w:val="24"/>
        </w:rPr>
        <w:t xml:space="preserve"> </w:t>
      </w:r>
      <w:r w:rsidR="00196DEE">
        <w:rPr>
          <w:rFonts w:cs="Arial"/>
          <w:szCs w:val="24"/>
        </w:rPr>
        <w:t>T</w:t>
      </w:r>
      <w:r w:rsidR="009D1901">
        <w:rPr>
          <w:rFonts w:cs="Arial"/>
          <w:szCs w:val="24"/>
        </w:rPr>
        <w:t xml:space="preserve">he provision of the PFMA and the Companies Act are both applicable in this case as on </w:t>
      </w:r>
      <w:r w:rsidR="00196DEE">
        <w:rPr>
          <w:rFonts w:cs="Arial"/>
          <w:szCs w:val="24"/>
        </w:rPr>
        <w:t xml:space="preserve">the </w:t>
      </w:r>
      <w:r w:rsidR="009D1901">
        <w:rPr>
          <w:rFonts w:cs="Arial"/>
          <w:szCs w:val="24"/>
        </w:rPr>
        <w:t>one hand, the PFMA requires the accounting authority of Mango Airline</w:t>
      </w:r>
      <w:r w:rsidR="00196DEE">
        <w:rPr>
          <w:rFonts w:cs="Arial"/>
          <w:szCs w:val="24"/>
        </w:rPr>
        <w:t>s</w:t>
      </w:r>
      <w:r w:rsidR="009D1901">
        <w:rPr>
          <w:rFonts w:cs="Arial"/>
          <w:szCs w:val="24"/>
        </w:rPr>
        <w:t xml:space="preserve"> to submit the section 54(2) application. On the other, the Companies Act, by virtue of business rescue proceedings has entrusted the BRP with full management control of the affairs of Mango Airline</w:t>
      </w:r>
      <w:r w:rsidR="00F555BE">
        <w:rPr>
          <w:rFonts w:cs="Arial"/>
          <w:szCs w:val="24"/>
        </w:rPr>
        <w:t>s</w:t>
      </w:r>
      <w:r w:rsidR="009D1901">
        <w:rPr>
          <w:rFonts w:cs="Arial"/>
          <w:szCs w:val="24"/>
        </w:rPr>
        <w:t xml:space="preserve"> in the exclusion of its board of directors. The two provisions therefore</w:t>
      </w:r>
      <w:r w:rsidR="005F0B9E">
        <w:rPr>
          <w:rFonts w:cs="Arial"/>
          <w:szCs w:val="24"/>
        </w:rPr>
        <w:t xml:space="preserve"> both apply concurrently. This is evident as both the BRP and the board of SAA had worked together in the preparation and sub</w:t>
      </w:r>
      <w:r w:rsidR="00791267">
        <w:rPr>
          <w:rFonts w:cs="Arial"/>
          <w:szCs w:val="24"/>
        </w:rPr>
        <w:t>mission</w:t>
      </w:r>
      <w:r w:rsidR="005F0B9E">
        <w:rPr>
          <w:rFonts w:cs="Arial"/>
          <w:szCs w:val="24"/>
        </w:rPr>
        <w:t xml:space="preserve"> of the section </w:t>
      </w:r>
      <w:r w:rsidR="005F0B9E">
        <w:rPr>
          <w:rFonts w:cs="Arial"/>
          <w:szCs w:val="24"/>
        </w:rPr>
        <w:lastRenderedPageBreak/>
        <w:t xml:space="preserve">54(2) application. </w:t>
      </w:r>
    </w:p>
    <w:p w14:paraId="0C8942FD" w14:textId="226C46B9" w:rsidR="00E447D8"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[216]</w:t>
      </w:r>
      <w:r w:rsidRPr="00285CDE">
        <w:rPr>
          <w:rFonts w:cs="Arial"/>
          <w:szCs w:val="24"/>
        </w:rPr>
        <w:tab/>
      </w:r>
      <w:r w:rsidR="00E447D8">
        <w:rPr>
          <w:rFonts w:cs="Arial"/>
          <w:szCs w:val="24"/>
        </w:rPr>
        <w:t xml:space="preserve">This Court has taken cognisance that the section 54(2) application has been before the PE Minister since December 2022 although the 30-day period envisaged in section 54(3) of the PFMA started running on 19 January 2023. A protracted period has, without a doubt, </w:t>
      </w:r>
      <w:r w:rsidR="00196DEE">
        <w:rPr>
          <w:rFonts w:cs="Arial"/>
          <w:szCs w:val="24"/>
        </w:rPr>
        <w:t xml:space="preserve">gone </w:t>
      </w:r>
      <w:r w:rsidR="00E447D8">
        <w:rPr>
          <w:rFonts w:cs="Arial"/>
          <w:szCs w:val="24"/>
        </w:rPr>
        <w:t xml:space="preserve">by.  </w:t>
      </w:r>
    </w:p>
    <w:p w14:paraId="6D901277" w14:textId="46541311" w:rsidR="008F33C2" w:rsidRPr="002C02F4" w:rsidRDefault="00890EE4" w:rsidP="00890EE4">
      <w:pPr>
        <w:pStyle w:val="1"/>
        <w:numPr>
          <w:ilvl w:val="0"/>
          <w:numId w:val="0"/>
        </w:numPr>
        <w:tabs>
          <w:tab w:val="left" w:pos="567"/>
        </w:tabs>
        <w:spacing w:line="360" w:lineRule="auto"/>
        <w:ind w:left="567" w:hanging="567"/>
        <w:rPr>
          <w:i/>
          <w:iCs w:val="0"/>
        </w:rPr>
      </w:pPr>
      <w:r w:rsidRPr="002C02F4">
        <w:rPr>
          <w:rFonts w:cs="Arial"/>
          <w:szCs w:val="24"/>
        </w:rPr>
        <w:t>[217]</w:t>
      </w:r>
      <w:r w:rsidRPr="002C02F4">
        <w:rPr>
          <w:rFonts w:cs="Arial"/>
          <w:szCs w:val="24"/>
        </w:rPr>
        <w:tab/>
      </w:r>
      <w:r w:rsidR="008F33C2" w:rsidRPr="002C02F4">
        <w:rPr>
          <w:rFonts w:cs="Arial"/>
          <w:szCs w:val="24"/>
          <w:lang w:eastAsia="en-US"/>
        </w:rPr>
        <w:t xml:space="preserve">Regarding the granting of declaratory relief, </w:t>
      </w:r>
      <w:r w:rsidR="0024329E" w:rsidRPr="002C02F4">
        <w:rPr>
          <w:rFonts w:cs="Arial"/>
          <w:szCs w:val="24"/>
          <w:lang w:eastAsia="en-US"/>
        </w:rPr>
        <w:t xml:space="preserve">in </w:t>
      </w:r>
      <w:r w:rsidR="0024329E" w:rsidRPr="002C02F4">
        <w:rPr>
          <w:i/>
          <w:iCs w:val="0"/>
        </w:rPr>
        <w:t>Cordiant Trading CC v Daimler Chrysler Financial Services</w:t>
      </w:r>
      <w:r w:rsidR="009B6C92">
        <w:rPr>
          <w:i/>
          <w:iCs w:val="0"/>
        </w:rPr>
        <w:t xml:space="preserve"> (Pty) Ltd </w:t>
      </w:r>
      <w:r w:rsidR="0024329E" w:rsidRPr="002C02F4">
        <w:rPr>
          <w:rStyle w:val="FootnoteReference"/>
        </w:rPr>
        <w:footnoteReference w:id="93"/>
      </w:r>
      <w:r w:rsidR="0024329E" w:rsidRPr="002C02F4">
        <w:t xml:space="preserve"> Jafta AJ, as he was then, held that a court is empowered to make a declaratory order under section 21(1)(c) of the Superior Court</w:t>
      </w:r>
      <w:r w:rsidR="00F369F7" w:rsidRPr="002C02F4">
        <w:t>s</w:t>
      </w:r>
      <w:r w:rsidR="0024329E" w:rsidRPr="002C02F4">
        <w:t xml:space="preserve"> </w:t>
      </w:r>
      <w:r w:rsidR="00F369F7" w:rsidRPr="002C02F4">
        <w:t>Act 10 of 2013</w:t>
      </w:r>
      <w:r w:rsidR="0024329E" w:rsidRPr="002C02F4">
        <w:t xml:space="preserve"> if two requirements are met</w:t>
      </w:r>
      <w:r w:rsidR="00F369F7" w:rsidRPr="002C02F4">
        <w:t xml:space="preserve"> namely; </w:t>
      </w:r>
      <w:r w:rsidR="0024329E" w:rsidRPr="002C02F4">
        <w:t xml:space="preserve">the first is that the applicant </w:t>
      </w:r>
      <w:r w:rsidR="00F369F7" w:rsidRPr="002C02F4">
        <w:t>has an interest</w:t>
      </w:r>
      <w:r w:rsidR="0024329E" w:rsidRPr="002C02F4">
        <w:t xml:space="preserve"> </w:t>
      </w:r>
      <w:r w:rsidR="009E7AFB">
        <w:t>in “</w:t>
      </w:r>
      <w:r w:rsidR="0024329E" w:rsidRPr="0062287D">
        <w:rPr>
          <w:i/>
          <w:iCs w:val="0"/>
        </w:rPr>
        <w:t>an existing, future or contingent right or obligation</w:t>
      </w:r>
      <w:r w:rsidR="0024329E" w:rsidRPr="002C02F4">
        <w:t>”</w:t>
      </w:r>
      <w:r w:rsidR="00C42DCC">
        <w:rPr>
          <w:rStyle w:val="FootnoteReference"/>
          <w:i/>
        </w:rPr>
        <w:footnoteReference w:id="94"/>
      </w:r>
      <w:r w:rsidR="0024329E" w:rsidRPr="002C02F4">
        <w:t xml:space="preserve"> </w:t>
      </w:r>
      <w:r w:rsidR="00F369F7" w:rsidRPr="002C02F4">
        <w:t>and the second is that once the court is satisfied that such conditions have been met then it has to decide whether to grant a declaratory order or not. I have already found that NUMSA has an interest in this matter.</w:t>
      </w:r>
      <w:r w:rsidR="00C42DCC">
        <w:rPr>
          <w:rStyle w:val="FootnoteReference"/>
        </w:rPr>
        <w:footnoteReference w:id="95"/>
      </w:r>
      <w:r w:rsidR="00F369F7" w:rsidRPr="002C02F4">
        <w:t xml:space="preserve"> In addition, NUMSA </w:t>
      </w:r>
      <w:r w:rsidR="00342CA0" w:rsidRPr="002C02F4">
        <w:t xml:space="preserve">has an obligation as a registered union to represent former employees of Mango </w:t>
      </w:r>
      <w:r w:rsidR="00196DEE">
        <w:t>A</w:t>
      </w:r>
      <w:r w:rsidR="00342CA0" w:rsidRPr="002C02F4">
        <w:t>irline</w:t>
      </w:r>
      <w:r w:rsidR="00196DEE">
        <w:t>s</w:t>
      </w:r>
      <w:r w:rsidR="00342CA0" w:rsidRPr="002C02F4">
        <w:t xml:space="preserve"> “who are particularly prejudiced in that they are deprived of the right of first refusal for re-employment conferred on them by clause 10 of the Retrenchment Agreement”. In my view, both the requirements have been met. </w:t>
      </w:r>
      <w:r w:rsidR="009775D1" w:rsidRPr="002C02F4">
        <w:t>by</w:t>
      </w:r>
      <w:r w:rsidR="00342CA0" w:rsidRPr="002C02F4">
        <w:t xml:space="preserve"> </w:t>
      </w:r>
      <w:r w:rsidR="009775D1" w:rsidRPr="002C02F4">
        <w:t xml:space="preserve">the </w:t>
      </w:r>
      <w:r w:rsidR="00196DEE">
        <w:t xml:space="preserve">Applicants </w:t>
      </w:r>
      <w:r w:rsidR="009775D1" w:rsidRPr="002C02F4">
        <w:t xml:space="preserve">for </w:t>
      </w:r>
      <w:r w:rsidR="00342CA0" w:rsidRPr="002C02F4">
        <w:t xml:space="preserve">declaratory relief sought. </w:t>
      </w:r>
    </w:p>
    <w:p w14:paraId="67E1B168" w14:textId="70A35DD8" w:rsidR="00CF3971" w:rsidRPr="00285CDE" w:rsidRDefault="00890EE4" w:rsidP="00890EE4">
      <w:pPr>
        <w:pStyle w:val="1"/>
        <w:numPr>
          <w:ilvl w:val="0"/>
          <w:numId w:val="0"/>
        </w:numPr>
        <w:tabs>
          <w:tab w:val="left" w:pos="567"/>
        </w:tabs>
        <w:spacing w:line="360" w:lineRule="auto"/>
        <w:ind w:left="567" w:hanging="567"/>
        <w:rPr>
          <w:i/>
          <w:iCs w:val="0"/>
        </w:rPr>
      </w:pPr>
      <w:r w:rsidRPr="00285CDE">
        <w:rPr>
          <w:rFonts w:cs="Arial"/>
          <w:szCs w:val="24"/>
        </w:rPr>
        <w:t>[218]</w:t>
      </w:r>
      <w:r w:rsidRPr="00285CDE">
        <w:rPr>
          <w:rFonts w:cs="Arial"/>
          <w:szCs w:val="24"/>
        </w:rPr>
        <w:tab/>
      </w:r>
      <w:r w:rsidR="00952E72" w:rsidRPr="00285CDE">
        <w:rPr>
          <w:rFonts w:cs="Arial"/>
        </w:rPr>
        <w:t>Having</w:t>
      </w:r>
      <w:r w:rsidR="0053560F" w:rsidRPr="00285CDE">
        <w:rPr>
          <w:rFonts w:cs="Arial"/>
          <w:szCs w:val="24"/>
          <w:lang w:eastAsia="en-US"/>
        </w:rPr>
        <w:t xml:space="preserve"> carefully</w:t>
      </w:r>
      <w:r w:rsidR="0053560F" w:rsidRPr="00285CDE">
        <w:rPr>
          <w:rFonts w:cs="Arial"/>
          <w:spacing w:val="18"/>
          <w:szCs w:val="24"/>
          <w:lang w:eastAsia="en-US"/>
        </w:rPr>
        <w:t xml:space="preserve"> </w:t>
      </w:r>
      <w:r w:rsidR="0053560F" w:rsidRPr="00285CDE">
        <w:rPr>
          <w:rFonts w:cs="Arial"/>
          <w:szCs w:val="24"/>
          <w:lang w:eastAsia="en-US"/>
        </w:rPr>
        <w:t>considered</w:t>
      </w:r>
      <w:r w:rsidR="0053560F" w:rsidRPr="00285CDE">
        <w:rPr>
          <w:rFonts w:cs="Arial"/>
          <w:spacing w:val="17"/>
          <w:szCs w:val="24"/>
          <w:lang w:eastAsia="en-US"/>
        </w:rPr>
        <w:t xml:space="preserve"> </w:t>
      </w:r>
      <w:r w:rsidR="00D85529" w:rsidRPr="00285CDE">
        <w:rPr>
          <w:rFonts w:cs="Arial"/>
          <w:szCs w:val="24"/>
          <w:lang w:eastAsia="en-US"/>
        </w:rPr>
        <w:t xml:space="preserve">both written and oral submissions of the parties, </w:t>
      </w:r>
      <w:r w:rsidR="0053560F" w:rsidRPr="00285CDE">
        <w:rPr>
          <w:rFonts w:cs="Arial"/>
          <w:szCs w:val="24"/>
          <w:lang w:eastAsia="en-US"/>
        </w:rPr>
        <w:t>I</w:t>
      </w:r>
      <w:r w:rsidR="0053560F" w:rsidRPr="00285CDE">
        <w:rPr>
          <w:rFonts w:cs="Arial"/>
          <w:spacing w:val="14"/>
          <w:szCs w:val="24"/>
          <w:lang w:eastAsia="en-US"/>
        </w:rPr>
        <w:t xml:space="preserve"> </w:t>
      </w:r>
      <w:r w:rsidR="0053560F" w:rsidRPr="00285CDE">
        <w:rPr>
          <w:rFonts w:cs="Arial"/>
          <w:szCs w:val="24"/>
          <w:lang w:eastAsia="en-US"/>
        </w:rPr>
        <w:t>am</w:t>
      </w:r>
      <w:r w:rsidR="0053560F" w:rsidRPr="00285CDE">
        <w:rPr>
          <w:rFonts w:cs="Arial"/>
          <w:spacing w:val="18"/>
          <w:szCs w:val="24"/>
          <w:lang w:eastAsia="en-US"/>
        </w:rPr>
        <w:t xml:space="preserve"> </w:t>
      </w:r>
      <w:r w:rsidR="0053560F" w:rsidRPr="00285CDE">
        <w:rPr>
          <w:rFonts w:cs="Arial"/>
          <w:szCs w:val="24"/>
          <w:lang w:eastAsia="en-US"/>
        </w:rPr>
        <w:t>of</w:t>
      </w:r>
      <w:r w:rsidR="0053560F" w:rsidRPr="00285CDE">
        <w:rPr>
          <w:rFonts w:cs="Arial"/>
          <w:spacing w:val="16"/>
          <w:szCs w:val="24"/>
          <w:lang w:eastAsia="en-US"/>
        </w:rPr>
        <w:t xml:space="preserve"> </w:t>
      </w:r>
      <w:r w:rsidR="0053560F" w:rsidRPr="00285CDE">
        <w:rPr>
          <w:rFonts w:cs="Arial"/>
          <w:szCs w:val="24"/>
          <w:lang w:eastAsia="en-US"/>
        </w:rPr>
        <w:t>the view</w:t>
      </w:r>
      <w:r w:rsidR="0053560F" w:rsidRPr="00285CDE">
        <w:rPr>
          <w:rFonts w:cs="Arial"/>
          <w:spacing w:val="16"/>
          <w:szCs w:val="24"/>
          <w:lang w:eastAsia="en-US"/>
        </w:rPr>
        <w:t xml:space="preserve"> </w:t>
      </w:r>
      <w:r w:rsidR="00DA0085" w:rsidRPr="00285CDE">
        <w:rPr>
          <w:rFonts w:cs="Arial"/>
          <w:szCs w:val="24"/>
          <w:lang w:eastAsia="en-US"/>
        </w:rPr>
        <w:t xml:space="preserve">that </w:t>
      </w:r>
      <w:r w:rsidR="00F35BF5" w:rsidRPr="00285CDE">
        <w:rPr>
          <w:rFonts w:cs="Arial"/>
          <w:szCs w:val="24"/>
          <w:lang w:eastAsia="en-US"/>
        </w:rPr>
        <w:t>the Appli</w:t>
      </w:r>
      <w:r w:rsidR="00415E78" w:rsidRPr="00285CDE">
        <w:rPr>
          <w:rFonts w:cs="Arial"/>
          <w:szCs w:val="24"/>
          <w:lang w:eastAsia="en-US"/>
        </w:rPr>
        <w:t>cant</w:t>
      </w:r>
      <w:r w:rsidR="00D85529" w:rsidRPr="00285CDE">
        <w:rPr>
          <w:rFonts w:cs="Arial"/>
          <w:szCs w:val="24"/>
          <w:lang w:eastAsia="en-US"/>
        </w:rPr>
        <w:t>s have been largely successful in these proceedings.</w:t>
      </w:r>
    </w:p>
    <w:p w14:paraId="70C26A19" w14:textId="66B55F66" w:rsidR="00CE06A8" w:rsidRPr="00285CDE" w:rsidRDefault="00CE06A8" w:rsidP="006C33BA">
      <w:pPr>
        <w:pStyle w:val="1"/>
        <w:numPr>
          <w:ilvl w:val="0"/>
          <w:numId w:val="0"/>
        </w:numPr>
        <w:spacing w:line="360" w:lineRule="auto"/>
        <w:rPr>
          <w:rFonts w:cs="Arial"/>
        </w:rPr>
      </w:pPr>
      <w:r w:rsidRPr="00285CDE">
        <w:rPr>
          <w:b/>
        </w:rPr>
        <w:t>COSTS</w:t>
      </w:r>
    </w:p>
    <w:p w14:paraId="4516EE46" w14:textId="3791D4F4" w:rsidR="002D5E0C" w:rsidRPr="00285CDE" w:rsidRDefault="00890EE4" w:rsidP="00890EE4">
      <w:pPr>
        <w:pStyle w:val="1"/>
        <w:numPr>
          <w:ilvl w:val="0"/>
          <w:numId w:val="0"/>
        </w:numPr>
        <w:tabs>
          <w:tab w:val="left" w:pos="567"/>
        </w:tabs>
        <w:spacing w:line="360" w:lineRule="auto"/>
        <w:ind w:left="567" w:hanging="567"/>
        <w:rPr>
          <w:rFonts w:cs="Arial"/>
        </w:rPr>
      </w:pPr>
      <w:r w:rsidRPr="00285CDE">
        <w:rPr>
          <w:rFonts w:cs="Arial"/>
          <w:szCs w:val="24"/>
        </w:rPr>
        <w:t>[219]</w:t>
      </w:r>
      <w:r w:rsidRPr="00285CDE">
        <w:rPr>
          <w:rFonts w:cs="Arial"/>
          <w:szCs w:val="24"/>
        </w:rPr>
        <w:tab/>
      </w:r>
      <w:r w:rsidR="005B53C1" w:rsidRPr="00285CDE">
        <w:rPr>
          <w:rFonts w:cs="Arial"/>
          <w:szCs w:val="24"/>
          <w:lang w:eastAsia="en-US"/>
        </w:rPr>
        <w:t>All the parties sought to persuade this Court that in the event that they were successful, they were entitled to costs.</w:t>
      </w:r>
    </w:p>
    <w:p w14:paraId="353BFACC" w14:textId="2E060245" w:rsidR="005B53C1" w:rsidRPr="00285CDE" w:rsidRDefault="00890EE4" w:rsidP="00890EE4">
      <w:pPr>
        <w:pStyle w:val="1"/>
        <w:numPr>
          <w:ilvl w:val="0"/>
          <w:numId w:val="0"/>
        </w:numPr>
        <w:tabs>
          <w:tab w:val="left" w:pos="567"/>
        </w:tabs>
        <w:spacing w:line="360" w:lineRule="auto"/>
        <w:ind w:left="567" w:hanging="567"/>
        <w:rPr>
          <w:rFonts w:cs="Arial"/>
        </w:rPr>
      </w:pPr>
      <w:r w:rsidRPr="00285CDE">
        <w:rPr>
          <w:rFonts w:cs="Arial"/>
          <w:szCs w:val="24"/>
        </w:rPr>
        <w:t>[220]</w:t>
      </w:r>
      <w:r w:rsidRPr="00285CDE">
        <w:rPr>
          <w:rFonts w:cs="Arial"/>
          <w:szCs w:val="24"/>
        </w:rPr>
        <w:tab/>
      </w:r>
      <w:r w:rsidR="005B53C1" w:rsidRPr="00285CDE">
        <w:rPr>
          <w:rFonts w:cs="Arial"/>
        </w:rPr>
        <w:t>However, an obvious observation is that t</w:t>
      </w:r>
      <w:r w:rsidR="00CF3971" w:rsidRPr="00285CDE">
        <w:rPr>
          <w:rFonts w:cs="Arial"/>
        </w:rPr>
        <w:t xml:space="preserve">he </w:t>
      </w:r>
      <w:r w:rsidR="00196DEE">
        <w:rPr>
          <w:rFonts w:cs="Arial"/>
        </w:rPr>
        <w:t>A</w:t>
      </w:r>
      <w:r w:rsidR="005B53C1" w:rsidRPr="00285CDE">
        <w:rPr>
          <w:rFonts w:cs="Arial"/>
        </w:rPr>
        <w:t>pplicants namely, the BRP, Mango Airline</w:t>
      </w:r>
      <w:r w:rsidR="00977744">
        <w:rPr>
          <w:rFonts w:cs="Arial"/>
        </w:rPr>
        <w:t>s</w:t>
      </w:r>
      <w:r w:rsidR="005B53C1" w:rsidRPr="00285CDE">
        <w:rPr>
          <w:rFonts w:cs="Arial"/>
        </w:rPr>
        <w:t>, and the NUMSA</w:t>
      </w:r>
      <w:r w:rsidR="00CF3971" w:rsidRPr="00285CDE">
        <w:rPr>
          <w:rFonts w:cs="Arial"/>
        </w:rPr>
        <w:t xml:space="preserve"> have been </w:t>
      </w:r>
      <w:r w:rsidR="00D11170" w:rsidRPr="00285CDE">
        <w:rPr>
          <w:rFonts w:cs="Arial"/>
        </w:rPr>
        <w:t xml:space="preserve">largely </w:t>
      </w:r>
      <w:r w:rsidR="005B53C1" w:rsidRPr="00285CDE">
        <w:rPr>
          <w:rFonts w:cs="Arial"/>
        </w:rPr>
        <w:t xml:space="preserve">the </w:t>
      </w:r>
      <w:r w:rsidR="00CF3971" w:rsidRPr="00285CDE">
        <w:rPr>
          <w:rFonts w:cs="Arial"/>
        </w:rPr>
        <w:t xml:space="preserve">successful parties in this matter. </w:t>
      </w:r>
    </w:p>
    <w:p w14:paraId="5EB0402F" w14:textId="2CE37B82" w:rsidR="00B574D9" w:rsidRPr="00285CDE" w:rsidRDefault="00890EE4" w:rsidP="00890EE4">
      <w:pPr>
        <w:pStyle w:val="1"/>
        <w:numPr>
          <w:ilvl w:val="0"/>
          <w:numId w:val="0"/>
        </w:numPr>
        <w:tabs>
          <w:tab w:val="left" w:pos="567"/>
        </w:tabs>
        <w:spacing w:line="360" w:lineRule="auto"/>
        <w:ind w:left="567" w:hanging="567"/>
        <w:rPr>
          <w:rFonts w:cs="Arial"/>
        </w:rPr>
      </w:pPr>
      <w:r w:rsidRPr="00285CDE">
        <w:rPr>
          <w:rFonts w:cs="Arial"/>
          <w:szCs w:val="24"/>
        </w:rPr>
        <w:lastRenderedPageBreak/>
        <w:t>[221]</w:t>
      </w:r>
      <w:r w:rsidRPr="00285CDE">
        <w:rPr>
          <w:rFonts w:cs="Arial"/>
          <w:szCs w:val="24"/>
        </w:rPr>
        <w:tab/>
      </w:r>
      <w:r w:rsidR="005B53C1" w:rsidRPr="00285CDE">
        <w:rPr>
          <w:rFonts w:cs="Arial"/>
        </w:rPr>
        <w:t>Therefore, t</w:t>
      </w:r>
      <w:r w:rsidR="00CF3971" w:rsidRPr="00285CDE">
        <w:rPr>
          <w:rFonts w:cs="Arial"/>
        </w:rPr>
        <w:t xml:space="preserve">he </w:t>
      </w:r>
      <w:r w:rsidR="005B53C1" w:rsidRPr="00285CDE">
        <w:rPr>
          <w:rFonts w:cs="Arial"/>
        </w:rPr>
        <w:t>general rule</w:t>
      </w:r>
      <w:r w:rsidR="000F546B" w:rsidRPr="00285CDE">
        <w:rPr>
          <w:rFonts w:cs="Arial"/>
        </w:rPr>
        <w:t>,</w:t>
      </w:r>
      <w:r w:rsidR="005B53C1" w:rsidRPr="00285CDE">
        <w:rPr>
          <w:rFonts w:cs="Arial"/>
        </w:rPr>
        <w:t xml:space="preserve"> that </w:t>
      </w:r>
      <w:r w:rsidR="00CF3971" w:rsidRPr="00285CDE">
        <w:rPr>
          <w:rFonts w:cs="Arial"/>
        </w:rPr>
        <w:t>costs should follow the result</w:t>
      </w:r>
      <w:r w:rsidR="000F546B" w:rsidRPr="00285CDE">
        <w:rPr>
          <w:rFonts w:cs="Arial"/>
        </w:rPr>
        <w:t>,</w:t>
      </w:r>
      <w:r w:rsidR="005B53C1" w:rsidRPr="00285CDE">
        <w:rPr>
          <w:rFonts w:cs="Arial"/>
        </w:rPr>
        <w:t xml:space="preserve"> must apply</w:t>
      </w:r>
      <w:r w:rsidR="00CF3971" w:rsidRPr="00285CDE">
        <w:rPr>
          <w:rFonts w:cs="Arial"/>
        </w:rPr>
        <w:t>.</w:t>
      </w:r>
      <w:r w:rsidR="00E47ECA" w:rsidRPr="00285CDE">
        <w:rPr>
          <w:rStyle w:val="FootnoteReference"/>
          <w:rFonts w:cs="Arial"/>
        </w:rPr>
        <w:footnoteReference w:id="96"/>
      </w:r>
      <w:r w:rsidR="00CF3971" w:rsidRPr="00285CDE">
        <w:rPr>
          <w:rFonts w:cs="Arial"/>
        </w:rPr>
        <w:t xml:space="preserve"> </w:t>
      </w:r>
    </w:p>
    <w:p w14:paraId="35337B6A" w14:textId="242C9DD8" w:rsidR="00CE06A8" w:rsidRPr="00285CDE" w:rsidRDefault="00CE06A8" w:rsidP="006C33BA">
      <w:pPr>
        <w:pStyle w:val="1"/>
        <w:numPr>
          <w:ilvl w:val="0"/>
          <w:numId w:val="0"/>
        </w:numPr>
        <w:spacing w:line="360" w:lineRule="auto"/>
        <w:rPr>
          <w:rFonts w:cs="Arial"/>
          <w:b/>
        </w:rPr>
      </w:pPr>
      <w:r w:rsidRPr="00285CDE">
        <w:rPr>
          <w:b/>
        </w:rPr>
        <w:t>ORDER</w:t>
      </w:r>
    </w:p>
    <w:p w14:paraId="10FBB65D" w14:textId="7209245C" w:rsidR="00A5058B" w:rsidRPr="00521835" w:rsidRDefault="00890EE4" w:rsidP="00890EE4">
      <w:pPr>
        <w:pStyle w:val="1"/>
        <w:numPr>
          <w:ilvl w:val="0"/>
          <w:numId w:val="0"/>
        </w:numPr>
        <w:tabs>
          <w:tab w:val="left" w:pos="567"/>
        </w:tabs>
        <w:spacing w:line="360" w:lineRule="auto"/>
        <w:ind w:left="567" w:hanging="567"/>
        <w:rPr>
          <w:rFonts w:cs="Arial"/>
          <w:szCs w:val="24"/>
        </w:rPr>
      </w:pPr>
      <w:r w:rsidRPr="00521835">
        <w:rPr>
          <w:rFonts w:cs="Arial"/>
          <w:szCs w:val="24"/>
        </w:rPr>
        <w:t>[222]</w:t>
      </w:r>
      <w:r w:rsidRPr="00521835">
        <w:rPr>
          <w:rFonts w:cs="Arial"/>
          <w:szCs w:val="24"/>
        </w:rPr>
        <w:tab/>
      </w:r>
      <w:r w:rsidR="006579D5" w:rsidRPr="00521835">
        <w:rPr>
          <w:rFonts w:cs="Arial"/>
          <w:szCs w:val="24"/>
        </w:rPr>
        <w:t>Having regard to the above,</w:t>
      </w:r>
      <w:r w:rsidR="00EF70DC" w:rsidRPr="00521835">
        <w:rPr>
          <w:rFonts w:cs="Arial"/>
          <w:szCs w:val="24"/>
        </w:rPr>
        <w:t xml:space="preserve"> </w:t>
      </w:r>
      <w:r w:rsidR="00A5058B" w:rsidRPr="00521835">
        <w:rPr>
          <w:rFonts w:cs="Arial"/>
          <w:szCs w:val="24"/>
          <w:lang w:eastAsia="en-US"/>
        </w:rPr>
        <w:t>the following order</w:t>
      </w:r>
      <w:r w:rsidR="0062287D" w:rsidRPr="00521835">
        <w:rPr>
          <w:rFonts w:cs="Arial"/>
          <w:szCs w:val="24"/>
          <w:lang w:eastAsia="en-US"/>
        </w:rPr>
        <w:t xml:space="preserve"> is made</w:t>
      </w:r>
      <w:r w:rsidR="00A5058B" w:rsidRPr="00521835">
        <w:rPr>
          <w:rFonts w:cs="Arial"/>
          <w:szCs w:val="24"/>
          <w:lang w:eastAsia="en-US"/>
        </w:rPr>
        <w:t>:</w:t>
      </w:r>
    </w:p>
    <w:p w14:paraId="34A92952" w14:textId="112C7820" w:rsidR="00E447D8" w:rsidRPr="00521835" w:rsidRDefault="00890EE4" w:rsidP="00890EE4">
      <w:pPr>
        <w:pStyle w:val="2"/>
        <w:numPr>
          <w:ilvl w:val="0"/>
          <w:numId w:val="0"/>
        </w:numPr>
        <w:spacing w:line="360" w:lineRule="auto"/>
        <w:ind w:left="720" w:hanging="360"/>
        <w:rPr>
          <w:rFonts w:cs="Arial"/>
          <w:szCs w:val="24"/>
        </w:rPr>
      </w:pPr>
      <w:r w:rsidRPr="00521835">
        <w:rPr>
          <w:szCs w:val="24"/>
        </w:rPr>
        <w:t>(a)</w:t>
      </w:r>
      <w:r w:rsidRPr="00521835">
        <w:rPr>
          <w:szCs w:val="24"/>
        </w:rPr>
        <w:tab/>
      </w:r>
      <w:r w:rsidR="00E447D8" w:rsidRPr="00521835">
        <w:rPr>
          <w:rFonts w:cs="Arial"/>
          <w:szCs w:val="24"/>
        </w:rPr>
        <w:t>NUMSA is granted leave to intervene</w:t>
      </w:r>
      <w:r w:rsidR="00527F55" w:rsidRPr="00521835">
        <w:rPr>
          <w:rFonts w:cs="Arial"/>
          <w:szCs w:val="24"/>
        </w:rPr>
        <w:t xml:space="preserve"> as co-applicant</w:t>
      </w:r>
      <w:r w:rsidR="00E447D8" w:rsidRPr="00521835">
        <w:rPr>
          <w:rFonts w:cs="Arial"/>
          <w:szCs w:val="24"/>
        </w:rPr>
        <w:t>.</w:t>
      </w:r>
    </w:p>
    <w:p w14:paraId="50BE2D79" w14:textId="1609CDE5" w:rsidR="00E447D8" w:rsidRPr="00521835" w:rsidRDefault="00890EE4" w:rsidP="00890EE4">
      <w:pPr>
        <w:pStyle w:val="2"/>
        <w:numPr>
          <w:ilvl w:val="0"/>
          <w:numId w:val="0"/>
        </w:numPr>
        <w:spacing w:line="360" w:lineRule="auto"/>
        <w:ind w:left="720" w:hanging="360"/>
        <w:rPr>
          <w:rFonts w:cs="Arial"/>
          <w:szCs w:val="24"/>
        </w:rPr>
      </w:pPr>
      <w:r w:rsidRPr="00521835">
        <w:rPr>
          <w:szCs w:val="24"/>
        </w:rPr>
        <w:t>(b)</w:t>
      </w:r>
      <w:r w:rsidRPr="00521835">
        <w:rPr>
          <w:szCs w:val="24"/>
        </w:rPr>
        <w:tab/>
      </w:r>
      <w:r w:rsidR="00E447D8" w:rsidRPr="00521835">
        <w:rPr>
          <w:rFonts w:cs="Arial"/>
          <w:szCs w:val="24"/>
        </w:rPr>
        <w:t xml:space="preserve">NUMSA’s late </w:t>
      </w:r>
      <w:r w:rsidR="005E6698" w:rsidRPr="00521835">
        <w:rPr>
          <w:rFonts w:cs="Arial"/>
          <w:szCs w:val="24"/>
        </w:rPr>
        <w:t xml:space="preserve">filing </w:t>
      </w:r>
      <w:r w:rsidR="00E447D8" w:rsidRPr="00521835">
        <w:rPr>
          <w:rFonts w:cs="Arial"/>
          <w:szCs w:val="24"/>
        </w:rPr>
        <w:t xml:space="preserve">of </w:t>
      </w:r>
      <w:r w:rsidR="005E6698" w:rsidRPr="00521835">
        <w:rPr>
          <w:rFonts w:cs="Arial"/>
          <w:szCs w:val="24"/>
        </w:rPr>
        <w:t xml:space="preserve">its </w:t>
      </w:r>
      <w:r w:rsidR="00E447D8" w:rsidRPr="00521835">
        <w:rPr>
          <w:rFonts w:cs="Arial"/>
          <w:szCs w:val="24"/>
        </w:rPr>
        <w:t>heads of argument is condoned.</w:t>
      </w:r>
    </w:p>
    <w:p w14:paraId="7735AE61" w14:textId="74C3C92E" w:rsidR="00527F55" w:rsidRPr="00521835" w:rsidRDefault="00890EE4" w:rsidP="00890EE4">
      <w:pPr>
        <w:pStyle w:val="2"/>
        <w:numPr>
          <w:ilvl w:val="0"/>
          <w:numId w:val="0"/>
        </w:numPr>
        <w:spacing w:line="360" w:lineRule="auto"/>
        <w:ind w:left="720" w:hanging="360"/>
        <w:rPr>
          <w:rFonts w:cs="Arial"/>
          <w:szCs w:val="24"/>
        </w:rPr>
      </w:pPr>
      <w:r w:rsidRPr="00521835">
        <w:rPr>
          <w:szCs w:val="24"/>
        </w:rPr>
        <w:t>(c)</w:t>
      </w:r>
      <w:r w:rsidRPr="00521835">
        <w:rPr>
          <w:szCs w:val="24"/>
        </w:rPr>
        <w:tab/>
      </w:r>
      <w:r w:rsidR="000F546B" w:rsidRPr="00521835">
        <w:rPr>
          <w:rFonts w:cs="Arial"/>
          <w:szCs w:val="24"/>
        </w:rPr>
        <w:t xml:space="preserve">It is declared that the First Respondent’s </w:t>
      </w:r>
      <w:r w:rsidR="00791267" w:rsidRPr="00521835">
        <w:rPr>
          <w:rFonts w:cs="Arial"/>
          <w:szCs w:val="24"/>
        </w:rPr>
        <w:t>failure</w:t>
      </w:r>
      <w:r w:rsidR="000F546B" w:rsidRPr="00521835">
        <w:rPr>
          <w:rFonts w:cs="Arial"/>
          <w:szCs w:val="24"/>
        </w:rPr>
        <w:t xml:space="preserve"> to </w:t>
      </w:r>
      <w:r w:rsidR="00AC1ECB" w:rsidRPr="00521835">
        <w:rPr>
          <w:rFonts w:cs="Arial"/>
          <w:szCs w:val="24"/>
        </w:rPr>
        <w:t>take a decision</w:t>
      </w:r>
      <w:r w:rsidR="000F546B" w:rsidRPr="00521835">
        <w:rPr>
          <w:rFonts w:cs="Arial"/>
          <w:szCs w:val="24"/>
        </w:rPr>
        <w:t xml:space="preserve"> in respect of the application submitted by the </w:t>
      </w:r>
      <w:r w:rsidR="00977744" w:rsidRPr="00521835">
        <w:rPr>
          <w:rFonts w:cs="Arial"/>
          <w:szCs w:val="24"/>
        </w:rPr>
        <w:t>A</w:t>
      </w:r>
      <w:r w:rsidR="000F546B" w:rsidRPr="00521835">
        <w:rPr>
          <w:rFonts w:cs="Arial"/>
          <w:szCs w:val="24"/>
        </w:rPr>
        <w:t xml:space="preserve">pplicants and the Third Respondent in terms of section 54(2) of the PFMA is unlawful and constitutionally invalid. </w:t>
      </w:r>
    </w:p>
    <w:p w14:paraId="2B31DBA0" w14:textId="469F9FD7" w:rsidR="00527F55" w:rsidRPr="00521835" w:rsidRDefault="00890EE4" w:rsidP="00890EE4">
      <w:pPr>
        <w:pStyle w:val="2"/>
        <w:numPr>
          <w:ilvl w:val="0"/>
          <w:numId w:val="0"/>
        </w:numPr>
        <w:spacing w:line="360" w:lineRule="auto"/>
        <w:ind w:left="720" w:hanging="360"/>
        <w:rPr>
          <w:rFonts w:cs="Arial"/>
          <w:szCs w:val="24"/>
        </w:rPr>
      </w:pPr>
      <w:r w:rsidRPr="00521835">
        <w:rPr>
          <w:szCs w:val="24"/>
        </w:rPr>
        <w:t>(d)</w:t>
      </w:r>
      <w:r w:rsidRPr="00521835">
        <w:rPr>
          <w:szCs w:val="24"/>
        </w:rPr>
        <w:tab/>
      </w:r>
      <w:r w:rsidR="00527F55" w:rsidRPr="00521835">
        <w:rPr>
          <w:rFonts w:cs="Arial"/>
          <w:szCs w:val="24"/>
          <w:lang w:val="en-ZA" w:eastAsia="en-US"/>
        </w:rPr>
        <w:t>The First Respondent’s failure to determine the section 54(2) PFMA application is reviewed and set aside.</w:t>
      </w:r>
    </w:p>
    <w:p w14:paraId="252BC1A4" w14:textId="56885131" w:rsidR="00270D4F" w:rsidRPr="00285CDE" w:rsidRDefault="00890EE4" w:rsidP="00890EE4">
      <w:pPr>
        <w:pStyle w:val="2"/>
        <w:numPr>
          <w:ilvl w:val="0"/>
          <w:numId w:val="0"/>
        </w:numPr>
        <w:spacing w:line="360" w:lineRule="auto"/>
        <w:ind w:left="720" w:hanging="360"/>
        <w:rPr>
          <w:szCs w:val="24"/>
        </w:rPr>
      </w:pPr>
      <w:r w:rsidRPr="00285CDE">
        <w:rPr>
          <w:szCs w:val="24"/>
        </w:rPr>
        <w:t>(a)</w:t>
      </w:r>
      <w:r w:rsidRPr="00285CDE">
        <w:rPr>
          <w:szCs w:val="24"/>
        </w:rPr>
        <w:tab/>
      </w:r>
      <w:r w:rsidR="00270D4F" w:rsidRPr="00285CDE">
        <w:rPr>
          <w:szCs w:val="24"/>
        </w:rPr>
        <w:t>T</w:t>
      </w:r>
      <w:r w:rsidR="000F546B" w:rsidRPr="00285CDE">
        <w:rPr>
          <w:szCs w:val="24"/>
        </w:rPr>
        <w:t xml:space="preserve">he First Respondent is directed within 30 days after the service of the Court order, to </w:t>
      </w:r>
      <w:r w:rsidR="00AC1ECB">
        <w:rPr>
          <w:szCs w:val="24"/>
        </w:rPr>
        <w:t>take a decision</w:t>
      </w:r>
      <w:r w:rsidR="000F546B" w:rsidRPr="00285CDE">
        <w:rPr>
          <w:szCs w:val="24"/>
        </w:rPr>
        <w:t xml:space="preserve"> in respect of the section 54(2) application and communicate the outcome thereof to the </w:t>
      </w:r>
      <w:r w:rsidR="005E6698">
        <w:rPr>
          <w:szCs w:val="24"/>
        </w:rPr>
        <w:t>A</w:t>
      </w:r>
      <w:r w:rsidR="000F546B" w:rsidRPr="00285CDE">
        <w:rPr>
          <w:szCs w:val="24"/>
        </w:rPr>
        <w:t xml:space="preserve">pplicants and the Third Respondent, including </w:t>
      </w:r>
      <w:r w:rsidR="00101724" w:rsidRPr="00285CDE">
        <w:rPr>
          <w:szCs w:val="24"/>
        </w:rPr>
        <w:t>furnishing</w:t>
      </w:r>
      <w:r w:rsidR="000F546B" w:rsidRPr="00285CDE">
        <w:rPr>
          <w:szCs w:val="24"/>
        </w:rPr>
        <w:t xml:space="preserve"> such reasons </w:t>
      </w:r>
      <w:r w:rsidR="00101724" w:rsidRPr="00285CDE">
        <w:rPr>
          <w:szCs w:val="24"/>
        </w:rPr>
        <w:t xml:space="preserve">for the decision made, failing which the </w:t>
      </w:r>
      <w:r w:rsidR="005E6698">
        <w:rPr>
          <w:szCs w:val="24"/>
        </w:rPr>
        <w:t>A</w:t>
      </w:r>
      <w:r w:rsidR="00101724" w:rsidRPr="00285CDE">
        <w:rPr>
          <w:szCs w:val="24"/>
        </w:rPr>
        <w:t xml:space="preserve">pplicants and the Third Respondent may assume that the section 54(2) application has been approved by operation of section 54(3) of the PFMA. </w:t>
      </w:r>
    </w:p>
    <w:p w14:paraId="44C05197" w14:textId="7C72ADF3" w:rsidR="00A67ACE" w:rsidRDefault="00890EE4" w:rsidP="00890EE4">
      <w:pPr>
        <w:pStyle w:val="2"/>
        <w:numPr>
          <w:ilvl w:val="0"/>
          <w:numId w:val="0"/>
        </w:numPr>
        <w:spacing w:line="360" w:lineRule="auto"/>
        <w:ind w:left="720" w:hanging="360"/>
        <w:rPr>
          <w:szCs w:val="24"/>
        </w:rPr>
      </w:pPr>
      <w:r>
        <w:rPr>
          <w:szCs w:val="24"/>
        </w:rPr>
        <w:t>(b)</w:t>
      </w:r>
      <w:r>
        <w:rPr>
          <w:szCs w:val="24"/>
        </w:rPr>
        <w:tab/>
      </w:r>
      <w:r w:rsidR="00101724" w:rsidRPr="00285CDE">
        <w:rPr>
          <w:szCs w:val="24"/>
        </w:rPr>
        <w:t>The First, Second, Fourth and Fi</w:t>
      </w:r>
      <w:r w:rsidR="005E6698">
        <w:rPr>
          <w:szCs w:val="24"/>
        </w:rPr>
        <w:t>f</w:t>
      </w:r>
      <w:r w:rsidR="00101724" w:rsidRPr="00285CDE">
        <w:rPr>
          <w:szCs w:val="24"/>
        </w:rPr>
        <w:t xml:space="preserve">th Respondents are ordered to pay the costs of this application, including the costs of two counsels, jointly and severally. </w:t>
      </w:r>
    </w:p>
    <w:p w14:paraId="0CC7B3C8" w14:textId="77777777" w:rsidR="00A67ACE" w:rsidRDefault="00A67ACE" w:rsidP="00A67ACE">
      <w:pPr>
        <w:pStyle w:val="2"/>
        <w:numPr>
          <w:ilvl w:val="0"/>
          <w:numId w:val="0"/>
        </w:numPr>
        <w:spacing w:line="360" w:lineRule="auto"/>
        <w:ind w:left="720"/>
        <w:rPr>
          <w:szCs w:val="24"/>
        </w:rPr>
      </w:pPr>
    </w:p>
    <w:p w14:paraId="541B5060" w14:textId="77777777" w:rsidR="00A67ACE" w:rsidRDefault="00A67ACE" w:rsidP="00A67ACE">
      <w:pPr>
        <w:pStyle w:val="2"/>
        <w:numPr>
          <w:ilvl w:val="0"/>
          <w:numId w:val="0"/>
        </w:numPr>
        <w:spacing w:line="360" w:lineRule="auto"/>
        <w:ind w:left="720"/>
        <w:rPr>
          <w:szCs w:val="24"/>
        </w:rPr>
      </w:pPr>
    </w:p>
    <w:p w14:paraId="650EDC47" w14:textId="77777777" w:rsidR="00A67ACE" w:rsidRPr="00A67ACE" w:rsidRDefault="00A67ACE" w:rsidP="00A67ACE">
      <w:pPr>
        <w:pStyle w:val="2"/>
        <w:numPr>
          <w:ilvl w:val="0"/>
          <w:numId w:val="0"/>
        </w:numPr>
        <w:spacing w:line="360" w:lineRule="auto"/>
        <w:ind w:left="720"/>
        <w:rPr>
          <w:szCs w:val="24"/>
        </w:rPr>
      </w:pPr>
    </w:p>
    <w:p w14:paraId="20EF9D49" w14:textId="189D151B" w:rsidR="00707087" w:rsidRDefault="00EC48D8" w:rsidP="009C78F2">
      <w:pPr>
        <w:jc w:val="left"/>
        <w:rPr>
          <w:rFonts w:cs="Arial"/>
          <w:noProof/>
          <w:lang w:val="en-US" w:eastAsia="en-US"/>
        </w:rPr>
      </w:pPr>
      <w:r>
        <w:rPr>
          <w:rFonts w:cs="Arial"/>
          <w:noProof/>
          <w:lang w:val="en-US" w:eastAsia="en-US"/>
        </w:rPr>
        <w:t xml:space="preserve">      </w:t>
      </w:r>
      <w:r>
        <w:rPr>
          <w:rFonts w:cs="Arial"/>
          <w:noProof/>
          <w:lang w:val="en-US" w:eastAsia="en-US"/>
        </w:rPr>
        <w:tab/>
      </w:r>
      <w:r>
        <w:rPr>
          <w:rFonts w:cs="Arial"/>
          <w:noProof/>
          <w:lang w:val="en-US" w:eastAsia="en-US"/>
        </w:rPr>
        <w:tab/>
      </w:r>
      <w:r>
        <w:rPr>
          <w:rFonts w:cs="Arial"/>
          <w:noProof/>
          <w:lang w:val="en-US" w:eastAsia="en-US"/>
        </w:rPr>
        <w:tab/>
      </w:r>
      <w:r>
        <w:rPr>
          <w:rFonts w:cs="Arial"/>
          <w:noProof/>
          <w:lang w:val="en-US" w:eastAsia="en-US"/>
        </w:rPr>
        <w:tab/>
      </w:r>
      <w:r>
        <w:rPr>
          <w:rFonts w:cs="Arial"/>
          <w:noProof/>
          <w:lang w:val="en-US" w:eastAsia="en-US"/>
        </w:rPr>
        <w:tab/>
      </w:r>
      <w:r>
        <w:rPr>
          <w:rFonts w:cs="Arial"/>
          <w:noProof/>
          <w:lang w:val="en-US" w:eastAsia="en-US"/>
        </w:rPr>
        <w:tab/>
      </w:r>
      <w:r>
        <w:rPr>
          <w:rFonts w:cs="Arial"/>
          <w:noProof/>
          <w:lang w:val="en-US" w:eastAsia="en-US"/>
        </w:rPr>
        <w:tab/>
      </w:r>
      <w:r>
        <w:rPr>
          <w:rFonts w:cs="Arial"/>
          <w:noProof/>
          <w:lang w:val="en-US" w:eastAsia="en-US"/>
        </w:rPr>
        <w:tab/>
      </w:r>
      <w:r>
        <w:rPr>
          <w:rFonts w:cs="Arial"/>
          <w:noProof/>
          <w:lang w:val="en-US" w:eastAsia="en-US"/>
        </w:rPr>
        <w:tab/>
      </w:r>
      <w:r>
        <w:rPr>
          <w:rFonts w:cs="Arial"/>
          <w:noProof/>
          <w:lang w:val="en-US" w:eastAsia="en-US"/>
        </w:rPr>
        <w:tab/>
      </w:r>
    </w:p>
    <w:p w14:paraId="62A5AA77" w14:textId="77777777" w:rsidR="00EE05A5" w:rsidRPr="00285CDE" w:rsidRDefault="00EE05A5" w:rsidP="009C78F2">
      <w:pPr>
        <w:jc w:val="left"/>
        <w:rPr>
          <w:b/>
          <w:bCs/>
        </w:rPr>
      </w:pPr>
    </w:p>
    <w:p w14:paraId="3B941EE5" w14:textId="72D96388" w:rsidR="003236F5" w:rsidRPr="00285CDE" w:rsidRDefault="00BE7759" w:rsidP="00BE7759">
      <w:pPr>
        <w:ind w:left="6480"/>
        <w:jc w:val="left"/>
        <w:rPr>
          <w:b/>
          <w:bCs/>
        </w:rPr>
      </w:pPr>
      <w:r w:rsidRPr="00285CDE">
        <w:rPr>
          <w:b/>
          <w:bCs/>
        </w:rPr>
        <w:t xml:space="preserve">       </w:t>
      </w:r>
      <w:r w:rsidR="00E72F07" w:rsidRPr="00285CDE">
        <w:rPr>
          <w:b/>
          <w:bCs/>
        </w:rPr>
        <w:t>_______________</w:t>
      </w:r>
    </w:p>
    <w:p w14:paraId="2DE3F55C" w14:textId="5F92F6F7" w:rsidR="00450A5A" w:rsidRPr="00285CDE" w:rsidRDefault="00626EE7" w:rsidP="00BE7759">
      <w:pPr>
        <w:tabs>
          <w:tab w:val="left" w:pos="6074"/>
        </w:tabs>
        <w:contextualSpacing/>
        <w:jc w:val="right"/>
        <w:rPr>
          <w:b/>
          <w:bCs/>
        </w:rPr>
      </w:pPr>
      <w:r w:rsidRPr="00285CDE">
        <w:rPr>
          <w:b/>
          <w:bCs/>
        </w:rPr>
        <w:tab/>
      </w:r>
    </w:p>
    <w:p w14:paraId="4B53BB1A" w14:textId="65D3031E" w:rsidR="00450A5A" w:rsidRPr="00285CDE" w:rsidRDefault="0037234E" w:rsidP="00BE7759">
      <w:pPr>
        <w:contextualSpacing/>
        <w:jc w:val="right"/>
        <w:rPr>
          <w:b/>
          <w:bCs/>
        </w:rPr>
      </w:pPr>
      <w:r w:rsidRPr="00285CDE">
        <w:rPr>
          <w:b/>
          <w:bCs/>
        </w:rPr>
        <w:t xml:space="preserve">PHOOKO AJ </w:t>
      </w:r>
    </w:p>
    <w:p w14:paraId="6811AFA7" w14:textId="77777777" w:rsidR="00450A5A" w:rsidRPr="00285CDE" w:rsidRDefault="00450A5A" w:rsidP="00BE7759">
      <w:pPr>
        <w:contextualSpacing/>
        <w:jc w:val="right"/>
        <w:rPr>
          <w:b/>
          <w:bCs/>
        </w:rPr>
      </w:pPr>
    </w:p>
    <w:p w14:paraId="1B8DC69E" w14:textId="77777777" w:rsidR="009C78F2" w:rsidRPr="00285CDE" w:rsidRDefault="00E72F07" w:rsidP="00BE7759">
      <w:pPr>
        <w:spacing w:line="360" w:lineRule="auto"/>
        <w:contextualSpacing/>
        <w:jc w:val="right"/>
        <w:rPr>
          <w:b/>
          <w:bCs/>
        </w:rPr>
      </w:pPr>
      <w:r w:rsidRPr="00285CDE">
        <w:rPr>
          <w:b/>
          <w:bCs/>
        </w:rPr>
        <w:t>ACTING JUDGE OF THE HIGH COURT</w:t>
      </w:r>
      <w:r w:rsidR="009D2E0D" w:rsidRPr="00285CDE">
        <w:rPr>
          <w:b/>
          <w:bCs/>
        </w:rPr>
        <w:t xml:space="preserve">, </w:t>
      </w:r>
    </w:p>
    <w:p w14:paraId="2FB64081" w14:textId="75763DA4" w:rsidR="002D6816" w:rsidRPr="00285CDE" w:rsidRDefault="00BE7759" w:rsidP="00BE7759">
      <w:pPr>
        <w:tabs>
          <w:tab w:val="left" w:pos="6758"/>
        </w:tabs>
        <w:spacing w:line="360" w:lineRule="auto"/>
        <w:contextualSpacing/>
        <w:jc w:val="right"/>
        <w:rPr>
          <w:b/>
          <w:bCs/>
        </w:rPr>
      </w:pPr>
      <w:r w:rsidRPr="00285CDE">
        <w:rPr>
          <w:b/>
          <w:bCs/>
        </w:rPr>
        <w:t xml:space="preserve">                                                    </w:t>
      </w:r>
      <w:r w:rsidR="009D7C31" w:rsidRPr="00285CDE">
        <w:rPr>
          <w:b/>
          <w:bCs/>
        </w:rPr>
        <w:t xml:space="preserve">GAUTENG DIVISION, </w:t>
      </w:r>
      <w:r w:rsidR="009D2E0D" w:rsidRPr="00285CDE">
        <w:rPr>
          <w:b/>
          <w:bCs/>
        </w:rPr>
        <w:t>PRETORIA</w:t>
      </w:r>
      <w:r w:rsidR="00626EE7" w:rsidRPr="00285CDE">
        <w:rPr>
          <w:b/>
          <w:bCs/>
        </w:rPr>
        <w:tab/>
      </w:r>
    </w:p>
    <w:p w14:paraId="5D6F20A7" w14:textId="0B44A0CE" w:rsidR="002D6816" w:rsidRDefault="002D6816" w:rsidP="0094103D">
      <w:pPr>
        <w:spacing w:line="360" w:lineRule="auto"/>
        <w:contextualSpacing/>
        <w:rPr>
          <w:b/>
          <w:bCs/>
        </w:rPr>
      </w:pPr>
    </w:p>
    <w:p w14:paraId="793C4D7B" w14:textId="77777777" w:rsidR="0062287D" w:rsidRDefault="0062287D" w:rsidP="0094103D">
      <w:pPr>
        <w:spacing w:line="360" w:lineRule="auto"/>
        <w:contextualSpacing/>
        <w:rPr>
          <w:b/>
          <w:bCs/>
        </w:rPr>
      </w:pPr>
    </w:p>
    <w:p w14:paraId="4795476B" w14:textId="77777777" w:rsidR="0062287D" w:rsidRDefault="0062287D" w:rsidP="0094103D">
      <w:pPr>
        <w:spacing w:line="360" w:lineRule="auto"/>
        <w:contextualSpacing/>
        <w:rPr>
          <w:b/>
          <w:bCs/>
        </w:rPr>
      </w:pPr>
    </w:p>
    <w:p w14:paraId="22B1FB32" w14:textId="77777777" w:rsidR="0062287D" w:rsidRDefault="0062287D" w:rsidP="0094103D">
      <w:pPr>
        <w:spacing w:line="360" w:lineRule="auto"/>
        <w:contextualSpacing/>
        <w:rPr>
          <w:b/>
          <w:bCs/>
        </w:rPr>
      </w:pPr>
    </w:p>
    <w:p w14:paraId="5A162204" w14:textId="77777777" w:rsidR="0062287D" w:rsidRDefault="0062287D" w:rsidP="0094103D">
      <w:pPr>
        <w:spacing w:line="360" w:lineRule="auto"/>
        <w:contextualSpacing/>
        <w:rPr>
          <w:b/>
          <w:bCs/>
        </w:rPr>
      </w:pPr>
    </w:p>
    <w:p w14:paraId="604513DF" w14:textId="77777777" w:rsidR="0062287D" w:rsidRDefault="0062287D" w:rsidP="0094103D">
      <w:pPr>
        <w:spacing w:line="360" w:lineRule="auto"/>
        <w:contextualSpacing/>
        <w:rPr>
          <w:b/>
          <w:bCs/>
        </w:rPr>
      </w:pPr>
    </w:p>
    <w:p w14:paraId="0C7FA8C5" w14:textId="77777777" w:rsidR="00344794" w:rsidRDefault="00344794" w:rsidP="00972022">
      <w:pPr>
        <w:rPr>
          <w:b/>
        </w:rPr>
      </w:pPr>
    </w:p>
    <w:p w14:paraId="23048CDB" w14:textId="77777777" w:rsidR="00344794" w:rsidRDefault="00344794" w:rsidP="00972022">
      <w:pPr>
        <w:rPr>
          <w:b/>
        </w:rPr>
      </w:pPr>
    </w:p>
    <w:p w14:paraId="0AB382E7" w14:textId="77777777" w:rsidR="00344794" w:rsidRDefault="00344794" w:rsidP="00972022">
      <w:pPr>
        <w:rPr>
          <w:b/>
        </w:rPr>
      </w:pPr>
    </w:p>
    <w:p w14:paraId="6C156C2F" w14:textId="77777777" w:rsidR="00344794" w:rsidRDefault="00344794" w:rsidP="00972022">
      <w:pPr>
        <w:rPr>
          <w:b/>
        </w:rPr>
      </w:pPr>
    </w:p>
    <w:p w14:paraId="294F15F2" w14:textId="77777777" w:rsidR="00344794" w:rsidRDefault="00344794" w:rsidP="00972022">
      <w:pPr>
        <w:rPr>
          <w:b/>
        </w:rPr>
      </w:pPr>
    </w:p>
    <w:p w14:paraId="3E2D9A3B" w14:textId="77777777" w:rsidR="00344794" w:rsidRDefault="00344794" w:rsidP="00972022">
      <w:pPr>
        <w:rPr>
          <w:b/>
        </w:rPr>
      </w:pPr>
    </w:p>
    <w:p w14:paraId="0DF7D802" w14:textId="77777777" w:rsidR="00344794" w:rsidRDefault="00344794" w:rsidP="00972022">
      <w:pPr>
        <w:rPr>
          <w:b/>
        </w:rPr>
      </w:pPr>
    </w:p>
    <w:p w14:paraId="787C21F0" w14:textId="77777777" w:rsidR="00344794" w:rsidRDefault="00344794" w:rsidP="00972022">
      <w:pPr>
        <w:rPr>
          <w:b/>
        </w:rPr>
      </w:pPr>
    </w:p>
    <w:p w14:paraId="1AA511A2" w14:textId="77777777" w:rsidR="00344794" w:rsidRDefault="00344794" w:rsidP="00972022">
      <w:pPr>
        <w:rPr>
          <w:b/>
        </w:rPr>
      </w:pPr>
    </w:p>
    <w:p w14:paraId="6EFC19F7" w14:textId="77777777" w:rsidR="00344794" w:rsidRDefault="00344794" w:rsidP="00972022">
      <w:pPr>
        <w:rPr>
          <w:b/>
        </w:rPr>
      </w:pPr>
    </w:p>
    <w:p w14:paraId="526EB7C8" w14:textId="77777777" w:rsidR="00344794" w:rsidRDefault="00344794" w:rsidP="00972022">
      <w:pPr>
        <w:rPr>
          <w:b/>
        </w:rPr>
      </w:pPr>
    </w:p>
    <w:p w14:paraId="52590487" w14:textId="77777777" w:rsidR="00344794" w:rsidRDefault="00344794" w:rsidP="00972022">
      <w:pPr>
        <w:rPr>
          <w:b/>
        </w:rPr>
      </w:pPr>
    </w:p>
    <w:p w14:paraId="3953EB2C" w14:textId="77777777" w:rsidR="00344794" w:rsidRDefault="00344794" w:rsidP="00972022">
      <w:pPr>
        <w:rPr>
          <w:b/>
        </w:rPr>
      </w:pPr>
    </w:p>
    <w:p w14:paraId="20FA799A" w14:textId="77777777" w:rsidR="00344794" w:rsidRDefault="00344794" w:rsidP="00972022">
      <w:pPr>
        <w:rPr>
          <w:b/>
        </w:rPr>
      </w:pPr>
    </w:p>
    <w:p w14:paraId="5FF47243" w14:textId="77777777" w:rsidR="00344794" w:rsidRDefault="00344794" w:rsidP="00972022">
      <w:pPr>
        <w:rPr>
          <w:b/>
        </w:rPr>
      </w:pPr>
    </w:p>
    <w:p w14:paraId="3A44D37B" w14:textId="77777777" w:rsidR="00344794" w:rsidRDefault="00344794" w:rsidP="00972022">
      <w:pPr>
        <w:rPr>
          <w:b/>
        </w:rPr>
      </w:pPr>
    </w:p>
    <w:p w14:paraId="15668BB8" w14:textId="77777777" w:rsidR="00344794" w:rsidRDefault="00344794" w:rsidP="00972022">
      <w:pPr>
        <w:rPr>
          <w:b/>
        </w:rPr>
      </w:pPr>
    </w:p>
    <w:p w14:paraId="2BA51C6D" w14:textId="77777777" w:rsidR="00344794" w:rsidRDefault="00344794" w:rsidP="00972022">
      <w:pPr>
        <w:rPr>
          <w:b/>
        </w:rPr>
      </w:pPr>
    </w:p>
    <w:p w14:paraId="5617FF58" w14:textId="77777777" w:rsidR="00344794" w:rsidRDefault="00344794" w:rsidP="00972022">
      <w:pPr>
        <w:rPr>
          <w:b/>
        </w:rPr>
      </w:pPr>
    </w:p>
    <w:p w14:paraId="63814251" w14:textId="77777777" w:rsidR="00344794" w:rsidRDefault="00344794" w:rsidP="00972022">
      <w:pPr>
        <w:rPr>
          <w:b/>
        </w:rPr>
      </w:pPr>
    </w:p>
    <w:p w14:paraId="76542D56" w14:textId="77777777" w:rsidR="00344794" w:rsidRDefault="00344794" w:rsidP="00972022">
      <w:pPr>
        <w:rPr>
          <w:b/>
        </w:rPr>
      </w:pPr>
    </w:p>
    <w:p w14:paraId="69A4C8E3" w14:textId="77777777" w:rsidR="00344794" w:rsidRDefault="00344794" w:rsidP="00972022">
      <w:pPr>
        <w:rPr>
          <w:b/>
        </w:rPr>
      </w:pPr>
    </w:p>
    <w:p w14:paraId="435B41A7" w14:textId="77777777" w:rsidR="00344794" w:rsidRDefault="00344794" w:rsidP="00972022">
      <w:pPr>
        <w:rPr>
          <w:b/>
        </w:rPr>
      </w:pPr>
    </w:p>
    <w:p w14:paraId="58277180" w14:textId="77777777" w:rsidR="00344794" w:rsidRDefault="00344794" w:rsidP="00972022">
      <w:pPr>
        <w:rPr>
          <w:b/>
        </w:rPr>
      </w:pPr>
    </w:p>
    <w:p w14:paraId="5D3FE608" w14:textId="77777777" w:rsidR="00344794" w:rsidRDefault="00344794" w:rsidP="00972022">
      <w:pPr>
        <w:rPr>
          <w:b/>
        </w:rPr>
      </w:pPr>
    </w:p>
    <w:p w14:paraId="05FC40EC" w14:textId="77777777" w:rsidR="00344794" w:rsidRDefault="00344794" w:rsidP="00972022">
      <w:pPr>
        <w:rPr>
          <w:b/>
        </w:rPr>
      </w:pPr>
    </w:p>
    <w:p w14:paraId="4A42EE9A" w14:textId="77777777" w:rsidR="00344794" w:rsidRDefault="00344794" w:rsidP="00972022">
      <w:pPr>
        <w:rPr>
          <w:b/>
        </w:rPr>
      </w:pPr>
    </w:p>
    <w:p w14:paraId="17B71B8A" w14:textId="77777777" w:rsidR="00344794" w:rsidRDefault="00344794" w:rsidP="00972022">
      <w:pPr>
        <w:rPr>
          <w:b/>
        </w:rPr>
      </w:pPr>
    </w:p>
    <w:p w14:paraId="5CBCA996" w14:textId="77777777" w:rsidR="00344794" w:rsidRDefault="00344794" w:rsidP="00972022">
      <w:pPr>
        <w:rPr>
          <w:b/>
        </w:rPr>
      </w:pPr>
    </w:p>
    <w:p w14:paraId="6552834A" w14:textId="77777777" w:rsidR="00344794" w:rsidRDefault="00344794" w:rsidP="00972022">
      <w:pPr>
        <w:rPr>
          <w:b/>
        </w:rPr>
      </w:pPr>
    </w:p>
    <w:p w14:paraId="3A6CE2AB" w14:textId="77777777" w:rsidR="00344794" w:rsidRDefault="00344794" w:rsidP="00972022">
      <w:pPr>
        <w:rPr>
          <w:b/>
        </w:rPr>
      </w:pPr>
    </w:p>
    <w:p w14:paraId="65521203" w14:textId="77777777" w:rsidR="00A67ACE" w:rsidRDefault="00A67ACE" w:rsidP="00972022">
      <w:pPr>
        <w:rPr>
          <w:b/>
        </w:rPr>
      </w:pPr>
    </w:p>
    <w:p w14:paraId="0B4E7A83" w14:textId="77777777" w:rsidR="00344794" w:rsidRDefault="00344794" w:rsidP="00972022">
      <w:pPr>
        <w:rPr>
          <w:b/>
        </w:rPr>
      </w:pPr>
    </w:p>
    <w:p w14:paraId="52F20188" w14:textId="5CBEB1DB" w:rsidR="00FA1702" w:rsidRPr="00285CDE" w:rsidRDefault="00FA1702" w:rsidP="00972022">
      <w:pPr>
        <w:rPr>
          <w:b/>
        </w:rPr>
      </w:pPr>
      <w:r w:rsidRPr="00285CDE">
        <w:rPr>
          <w:b/>
        </w:rPr>
        <w:lastRenderedPageBreak/>
        <w:t>APPEARANCES:</w:t>
      </w:r>
    </w:p>
    <w:p w14:paraId="062F854D" w14:textId="77777777" w:rsidR="00FA1702" w:rsidRPr="00285CDE" w:rsidRDefault="00FA1702" w:rsidP="00972022"/>
    <w:p w14:paraId="1D2B3845" w14:textId="77777777" w:rsidR="001703C2" w:rsidRDefault="001703C2" w:rsidP="0024263E"/>
    <w:p w14:paraId="394A1EEE" w14:textId="095857C1" w:rsidR="00136023" w:rsidRPr="00285CDE" w:rsidRDefault="00AF2EE8" w:rsidP="0024263E">
      <w:r w:rsidRPr="00285CDE">
        <w:t>Counsel for the</w:t>
      </w:r>
      <w:r w:rsidR="00E130E0" w:rsidRPr="00285CDE">
        <w:t xml:space="preserve"> </w:t>
      </w:r>
      <w:r w:rsidR="00E16CAB" w:rsidRPr="00285CDE">
        <w:t>1</w:t>
      </w:r>
      <w:r w:rsidR="00E16CAB" w:rsidRPr="00285CDE">
        <w:rPr>
          <w:vertAlign w:val="superscript"/>
        </w:rPr>
        <w:t>st</w:t>
      </w:r>
      <w:r w:rsidR="00E16CAB" w:rsidRPr="00285CDE">
        <w:t xml:space="preserve"> and 2</w:t>
      </w:r>
      <w:r w:rsidR="00E16CAB" w:rsidRPr="00285CDE">
        <w:rPr>
          <w:vertAlign w:val="superscript"/>
        </w:rPr>
        <w:t>nd</w:t>
      </w:r>
      <w:r w:rsidR="00E16CAB" w:rsidRPr="00285CDE">
        <w:t xml:space="preserve"> </w:t>
      </w:r>
      <w:r w:rsidR="0094512A" w:rsidRPr="00285CDE">
        <w:t>Applicant</w:t>
      </w:r>
      <w:r w:rsidRPr="00285CDE">
        <w:t xml:space="preserve">:  </w:t>
      </w:r>
      <w:r w:rsidRPr="00285CDE">
        <w:tab/>
      </w:r>
      <w:r w:rsidR="00942377" w:rsidRPr="00285CDE">
        <w:t>A</w:t>
      </w:r>
      <w:r w:rsidR="002C222A" w:rsidRPr="00285CDE">
        <w:t>dv</w:t>
      </w:r>
      <w:r w:rsidR="00EF2305" w:rsidRPr="00285CDE">
        <w:t xml:space="preserve"> </w:t>
      </w:r>
      <w:r w:rsidR="00B41FD6" w:rsidRPr="00285CDE">
        <w:t>IV Maleka SC &amp; Adv T Scott</w:t>
      </w:r>
    </w:p>
    <w:p w14:paraId="48D412A9" w14:textId="67621846" w:rsidR="001B39AE" w:rsidRPr="00285CDE" w:rsidRDefault="001B39AE" w:rsidP="0024263E">
      <w:r w:rsidRPr="00285CDE">
        <w:tab/>
      </w:r>
      <w:r w:rsidRPr="00285CDE">
        <w:tab/>
      </w:r>
      <w:r w:rsidRPr="00285CDE">
        <w:tab/>
      </w:r>
      <w:r w:rsidRPr="00285CDE">
        <w:tab/>
      </w:r>
      <w:r w:rsidR="00024510" w:rsidRPr="00285CDE">
        <w:t xml:space="preserve"> </w:t>
      </w:r>
    </w:p>
    <w:p w14:paraId="1CBB8A59" w14:textId="10DC7BFD" w:rsidR="00AF2EE8" w:rsidRDefault="00F671BB" w:rsidP="00972022">
      <w:r w:rsidRPr="00285CDE">
        <w:t xml:space="preserve">Instructed by: </w:t>
      </w:r>
      <w:r w:rsidRPr="00285CDE">
        <w:tab/>
      </w:r>
      <w:r w:rsidR="0019727E" w:rsidRPr="00285CDE">
        <w:tab/>
      </w:r>
      <w:r w:rsidR="0019727E" w:rsidRPr="00285CDE">
        <w:tab/>
      </w:r>
      <w:r w:rsidR="00E16CAB" w:rsidRPr="00285CDE">
        <w:tab/>
      </w:r>
      <w:r w:rsidR="00B41FD6" w:rsidRPr="00285CDE">
        <w:t xml:space="preserve">Instructed by Cliffe Dekker Hofmeyer Inc </w:t>
      </w:r>
    </w:p>
    <w:p w14:paraId="3CA7DA37" w14:textId="77777777" w:rsidR="00F701BB" w:rsidRPr="00285CDE" w:rsidRDefault="00F701BB" w:rsidP="00972022"/>
    <w:p w14:paraId="31BCA513" w14:textId="77777777" w:rsidR="00E16CAB" w:rsidRPr="00285CDE" w:rsidRDefault="00E16CAB" w:rsidP="00972022"/>
    <w:p w14:paraId="56509437" w14:textId="7BA7C56D" w:rsidR="00E16CAB" w:rsidRPr="00285CDE" w:rsidRDefault="00E16CAB" w:rsidP="00E16CAB">
      <w:pPr>
        <w:spacing w:line="360" w:lineRule="auto"/>
        <w:ind w:left="3600" w:hanging="3600"/>
      </w:pPr>
      <w:r w:rsidRPr="00285CDE">
        <w:t xml:space="preserve">Counsel for the Third Applicant: </w:t>
      </w:r>
      <w:r w:rsidRPr="00285CDE">
        <w:tab/>
      </w:r>
      <w:r w:rsidRPr="00285CDE">
        <w:tab/>
        <w:t xml:space="preserve">Adv R Tulk, </w:t>
      </w:r>
    </w:p>
    <w:p w14:paraId="2E749886" w14:textId="0A4A0FE6" w:rsidR="00E16CAB" w:rsidRPr="00285CDE" w:rsidRDefault="00E16CAB" w:rsidP="00E16CAB">
      <w:pPr>
        <w:spacing w:line="360" w:lineRule="auto"/>
        <w:ind w:left="3600" w:firstLine="720"/>
      </w:pPr>
      <w:r w:rsidRPr="00285CDE">
        <w:t xml:space="preserve">Adv NL Buthelezi </w:t>
      </w:r>
    </w:p>
    <w:p w14:paraId="4690EA4E" w14:textId="102A6399" w:rsidR="00614519" w:rsidRPr="00285CDE" w:rsidRDefault="00614519" w:rsidP="00972022">
      <w:r w:rsidRPr="00285CDE">
        <w:tab/>
      </w:r>
      <w:r w:rsidR="0019727E" w:rsidRPr="00285CDE">
        <w:t xml:space="preserve"> </w:t>
      </w:r>
    </w:p>
    <w:p w14:paraId="5084907E" w14:textId="36B0E288" w:rsidR="00942377" w:rsidRPr="00285CDE" w:rsidRDefault="001B39AE" w:rsidP="00972022">
      <w:r w:rsidRPr="00285CDE">
        <w:tab/>
      </w:r>
      <w:r w:rsidRPr="00285CDE">
        <w:tab/>
      </w:r>
      <w:r w:rsidRPr="00285CDE">
        <w:tab/>
      </w:r>
      <w:r w:rsidRPr="00285CDE">
        <w:tab/>
      </w:r>
    </w:p>
    <w:p w14:paraId="3424EAB4" w14:textId="22241104" w:rsidR="00D35DA0" w:rsidRPr="00285CDE" w:rsidRDefault="00AF2EE8" w:rsidP="00972022">
      <w:r w:rsidRPr="00285CDE">
        <w:t xml:space="preserve">Counsel for the </w:t>
      </w:r>
      <w:r w:rsidR="00BE605C" w:rsidRPr="00285CDE">
        <w:t xml:space="preserve">First and </w:t>
      </w:r>
      <w:r w:rsidR="0094512A" w:rsidRPr="00285CDE">
        <w:t xml:space="preserve">              </w:t>
      </w:r>
    </w:p>
    <w:p w14:paraId="4104A53E" w14:textId="77777777" w:rsidR="00D35DA0" w:rsidRPr="00285CDE" w:rsidRDefault="00D35DA0" w:rsidP="00972022"/>
    <w:p w14:paraId="4D40A5C3" w14:textId="4776521F" w:rsidR="00A1186F" w:rsidRPr="00285CDE" w:rsidRDefault="00BE605C" w:rsidP="00A1186F">
      <w:pPr>
        <w:spacing w:line="360" w:lineRule="auto"/>
      </w:pPr>
      <w:r w:rsidRPr="00285CDE">
        <w:t xml:space="preserve">Second </w:t>
      </w:r>
      <w:r w:rsidR="00E130E0" w:rsidRPr="00285CDE">
        <w:t>Respondent</w:t>
      </w:r>
      <w:r w:rsidRPr="00285CDE">
        <w:t>s</w:t>
      </w:r>
      <w:r w:rsidR="00AF2EE8" w:rsidRPr="00285CDE">
        <w:t>:</w:t>
      </w:r>
      <w:r w:rsidRPr="00285CDE">
        <w:tab/>
      </w:r>
      <w:r w:rsidR="007C220F" w:rsidRPr="00285CDE">
        <w:t xml:space="preserve"> </w:t>
      </w:r>
      <w:r w:rsidR="00A1186F" w:rsidRPr="00285CDE">
        <w:tab/>
      </w:r>
      <w:r w:rsidR="00E16CAB" w:rsidRPr="00285CDE">
        <w:tab/>
      </w:r>
      <w:r w:rsidR="00A1186F" w:rsidRPr="00285CDE">
        <w:t xml:space="preserve">Adv Mphanga SC, Adv D Mtsweni,  </w:t>
      </w:r>
      <w:r w:rsidR="00E16CAB" w:rsidRPr="00285CDE">
        <w:t>and</w:t>
      </w:r>
    </w:p>
    <w:p w14:paraId="4A82FC98" w14:textId="29701E21" w:rsidR="00AF2EE8" w:rsidRPr="00285CDE" w:rsidRDefault="00A1186F" w:rsidP="00E16CAB">
      <w:pPr>
        <w:spacing w:line="360" w:lineRule="auto"/>
        <w:ind w:left="4320"/>
      </w:pPr>
      <w:r w:rsidRPr="00285CDE">
        <w:t>and Adv M Sekwakweng</w:t>
      </w:r>
    </w:p>
    <w:p w14:paraId="4337EE33" w14:textId="77777777" w:rsidR="00136023" w:rsidRPr="00285CDE" w:rsidRDefault="00136023" w:rsidP="00972022"/>
    <w:p w14:paraId="248906BD" w14:textId="21394A01" w:rsidR="007C220F" w:rsidRPr="00285CDE" w:rsidRDefault="00F671BB" w:rsidP="00972022">
      <w:r w:rsidRPr="00285CDE">
        <w:t>Instructed by:</w:t>
      </w:r>
      <w:r w:rsidR="00614519" w:rsidRPr="00285CDE">
        <w:tab/>
      </w:r>
      <w:r w:rsidR="00614519" w:rsidRPr="00285CDE">
        <w:tab/>
      </w:r>
      <w:r w:rsidR="00614519" w:rsidRPr="00285CDE">
        <w:tab/>
      </w:r>
      <w:r w:rsidR="00E16CAB" w:rsidRPr="00285CDE">
        <w:tab/>
      </w:r>
      <w:r w:rsidR="00A1186F" w:rsidRPr="00285CDE">
        <w:t xml:space="preserve">State Attorney, Pretoria </w:t>
      </w:r>
      <w:r w:rsidR="00614519" w:rsidRPr="00285CDE">
        <w:t xml:space="preserve"> </w:t>
      </w:r>
    </w:p>
    <w:p w14:paraId="25E60B5C" w14:textId="77777777" w:rsidR="00A1186F" w:rsidRPr="00285CDE" w:rsidRDefault="00A1186F" w:rsidP="00972022"/>
    <w:p w14:paraId="2010136E" w14:textId="77777777" w:rsidR="00D11170" w:rsidRPr="00285CDE" w:rsidRDefault="00D11170" w:rsidP="00972022"/>
    <w:p w14:paraId="3F5D9E18" w14:textId="5D247359" w:rsidR="00D11170" w:rsidRPr="00285CDE" w:rsidRDefault="00D11170" w:rsidP="00E16CAB">
      <w:pPr>
        <w:ind w:left="4320" w:hanging="4320"/>
      </w:pPr>
      <w:r w:rsidRPr="00285CDE">
        <w:t xml:space="preserve">Counsel for the </w:t>
      </w:r>
      <w:r w:rsidR="00A1186F" w:rsidRPr="00285CDE">
        <w:t>Fourth</w:t>
      </w:r>
      <w:r w:rsidR="0094512A" w:rsidRPr="00285CDE">
        <w:t xml:space="preserve"> to             </w:t>
      </w:r>
      <w:r w:rsidR="00E16CAB" w:rsidRPr="00285CDE">
        <w:tab/>
      </w:r>
      <w:r w:rsidR="00A1186F" w:rsidRPr="00285CDE">
        <w:t xml:space="preserve">Adv K Pillay, Adv N Nyembe and Adv C </w:t>
      </w:r>
    </w:p>
    <w:p w14:paraId="0555FBB2" w14:textId="77777777" w:rsidR="00E16CAB" w:rsidRPr="00285CDE" w:rsidRDefault="00E16CAB" w:rsidP="00E16CAB">
      <w:pPr>
        <w:ind w:left="4320" w:hanging="4320"/>
      </w:pPr>
    </w:p>
    <w:p w14:paraId="1EFB50F9" w14:textId="4EA59908" w:rsidR="00D11170" w:rsidRPr="00285CDE" w:rsidRDefault="00A1186F" w:rsidP="00E16CAB">
      <w:pPr>
        <w:spacing w:line="480" w:lineRule="auto"/>
      </w:pPr>
      <w:r w:rsidRPr="00285CDE">
        <w:t>Fif</w:t>
      </w:r>
      <w:r w:rsidR="00D11170" w:rsidRPr="00285CDE">
        <w:t>th Respondents:</w:t>
      </w:r>
      <w:r w:rsidR="00D11170" w:rsidRPr="00285CDE">
        <w:tab/>
        <w:t xml:space="preserve"> </w:t>
      </w:r>
      <w:r w:rsidR="00E16CAB" w:rsidRPr="00285CDE">
        <w:tab/>
      </w:r>
      <w:r w:rsidR="00E16CAB" w:rsidRPr="00285CDE">
        <w:tab/>
      </w:r>
      <w:r w:rsidR="00E16CAB" w:rsidRPr="00285CDE">
        <w:tab/>
        <w:t>Juries</w:t>
      </w:r>
    </w:p>
    <w:p w14:paraId="2A5E1595" w14:textId="6EB55CF0" w:rsidR="00D11170" w:rsidRPr="00285CDE" w:rsidRDefault="00D11170" w:rsidP="00D11170">
      <w:r w:rsidRPr="00285CDE">
        <w:t>Instructed by:</w:t>
      </w:r>
      <w:r w:rsidRPr="00285CDE">
        <w:tab/>
      </w:r>
      <w:r w:rsidRPr="00285CDE">
        <w:tab/>
      </w:r>
      <w:r w:rsidRPr="00285CDE">
        <w:tab/>
      </w:r>
      <w:r w:rsidR="00E16CAB" w:rsidRPr="00285CDE">
        <w:tab/>
      </w:r>
      <w:r w:rsidR="00A1186F" w:rsidRPr="00285CDE">
        <w:t>State Attorney, Pretoria</w:t>
      </w:r>
    </w:p>
    <w:p w14:paraId="23C62EF1" w14:textId="77777777" w:rsidR="00D11170" w:rsidRPr="00285CDE" w:rsidRDefault="00D11170" w:rsidP="00972022"/>
    <w:p w14:paraId="4B0D18F4" w14:textId="39708989" w:rsidR="00614519" w:rsidRPr="00285CDE" w:rsidRDefault="00614519" w:rsidP="00E16CAB"/>
    <w:p w14:paraId="40E3656B" w14:textId="7B20A2BB" w:rsidR="002C222A" w:rsidRPr="00285CDE" w:rsidRDefault="00024510" w:rsidP="00972022">
      <w:r w:rsidRPr="00285CDE">
        <w:tab/>
      </w:r>
      <w:r w:rsidRPr="00285CDE">
        <w:tab/>
      </w:r>
      <w:r w:rsidRPr="00285CDE">
        <w:tab/>
      </w:r>
      <w:r w:rsidRPr="00285CDE">
        <w:tab/>
      </w:r>
      <w:r w:rsidRPr="00285CDE">
        <w:tab/>
        <w:t xml:space="preserve"> </w:t>
      </w:r>
    </w:p>
    <w:p w14:paraId="1AF37FF8" w14:textId="559CB3E2" w:rsidR="00D35DA0" w:rsidRPr="00285CDE" w:rsidRDefault="0094103D" w:rsidP="0094103D">
      <w:r w:rsidRPr="00285CDE">
        <w:t>Counsel for the Sixth</w:t>
      </w:r>
      <w:r w:rsidR="00E16CAB" w:rsidRPr="00285CDE">
        <w:t xml:space="preserve"> to Eighth</w:t>
      </w:r>
      <w:r w:rsidRPr="00285CDE">
        <w:tab/>
      </w:r>
      <w:r w:rsidR="00E16CAB" w:rsidRPr="00285CDE">
        <w:tab/>
        <w:t>n/a</w:t>
      </w:r>
    </w:p>
    <w:p w14:paraId="428ABA6E" w14:textId="6BE315F5" w:rsidR="0094103D" w:rsidRPr="00285CDE" w:rsidRDefault="0094103D" w:rsidP="0094103D"/>
    <w:p w14:paraId="29EA37AD" w14:textId="7DA34752" w:rsidR="0094103D" w:rsidRPr="00285CDE" w:rsidRDefault="0094103D" w:rsidP="0094103D">
      <w:r w:rsidRPr="00285CDE">
        <w:t>Respondents:</w:t>
      </w:r>
      <w:r w:rsidRPr="00285CDE">
        <w:tab/>
      </w:r>
      <w:r w:rsidRPr="00285CDE">
        <w:tab/>
      </w:r>
      <w:r w:rsidRPr="00285CDE">
        <w:tab/>
        <w:t xml:space="preserve"> </w:t>
      </w:r>
    </w:p>
    <w:p w14:paraId="3E468287" w14:textId="77777777" w:rsidR="0019727E" w:rsidRPr="00285CDE" w:rsidRDefault="0019727E" w:rsidP="0094103D"/>
    <w:p w14:paraId="68BD8238" w14:textId="75A6C514" w:rsidR="0019727E" w:rsidRPr="00285CDE" w:rsidRDefault="0019727E" w:rsidP="0019727E">
      <w:r w:rsidRPr="00285CDE">
        <w:t>Instructed by:</w:t>
      </w:r>
      <w:r w:rsidRPr="00285CDE">
        <w:tab/>
      </w:r>
      <w:r w:rsidRPr="00285CDE">
        <w:tab/>
      </w:r>
      <w:r w:rsidRPr="00285CDE">
        <w:tab/>
      </w:r>
      <w:r w:rsidR="00E16CAB" w:rsidRPr="00285CDE">
        <w:tab/>
        <w:t>n/a</w:t>
      </w:r>
      <w:r w:rsidRPr="00285CDE">
        <w:t xml:space="preserve">  </w:t>
      </w:r>
    </w:p>
    <w:p w14:paraId="130180AD" w14:textId="153114AF" w:rsidR="0019727E" w:rsidRPr="00285CDE" w:rsidRDefault="0019727E" w:rsidP="0019727E">
      <w:r w:rsidRPr="00285CDE">
        <w:tab/>
      </w:r>
      <w:r w:rsidRPr="00285CDE">
        <w:tab/>
      </w:r>
      <w:r w:rsidRPr="00285CDE">
        <w:tab/>
      </w:r>
      <w:r w:rsidRPr="00285CDE">
        <w:tab/>
      </w:r>
      <w:r w:rsidRPr="00285CDE">
        <w:tab/>
        <w:t xml:space="preserve"> </w:t>
      </w:r>
    </w:p>
    <w:p w14:paraId="6170961F" w14:textId="1966B028" w:rsidR="002C222A" w:rsidRPr="00285CDE" w:rsidRDefault="00614519" w:rsidP="0094103D">
      <w:r w:rsidRPr="00285CDE">
        <w:tab/>
      </w:r>
      <w:r w:rsidRPr="00285CDE">
        <w:tab/>
      </w:r>
      <w:r w:rsidRPr="00285CDE">
        <w:tab/>
      </w:r>
    </w:p>
    <w:p w14:paraId="713C9056" w14:textId="34B83DBC" w:rsidR="002C222A" w:rsidRPr="00285CDE" w:rsidRDefault="002C222A" w:rsidP="00972022">
      <w:r w:rsidRPr="00285CDE">
        <w:t>Date of Hearing:</w:t>
      </w:r>
      <w:r w:rsidRPr="00285CDE">
        <w:tab/>
      </w:r>
      <w:r w:rsidRPr="00285CDE">
        <w:tab/>
      </w:r>
      <w:r w:rsidRPr="00285CDE">
        <w:tab/>
      </w:r>
      <w:r w:rsidR="00E16CAB" w:rsidRPr="00285CDE">
        <w:tab/>
      </w:r>
      <w:r w:rsidR="00CC3E5B" w:rsidRPr="00285CDE">
        <w:t>29</w:t>
      </w:r>
      <w:r w:rsidR="00AC1A90" w:rsidRPr="00285CDE">
        <w:t xml:space="preserve"> &amp; 30</w:t>
      </w:r>
      <w:r w:rsidR="00CC3E5B" w:rsidRPr="00285CDE">
        <w:t xml:space="preserve"> May </w:t>
      </w:r>
      <w:r w:rsidRPr="00285CDE">
        <w:t>202</w:t>
      </w:r>
      <w:r w:rsidR="00CC3E5B" w:rsidRPr="00285CDE">
        <w:t>3</w:t>
      </w:r>
    </w:p>
    <w:p w14:paraId="2D3171A5" w14:textId="77777777" w:rsidR="00536778" w:rsidRPr="00285CDE" w:rsidRDefault="00536778" w:rsidP="00972022"/>
    <w:p w14:paraId="232D7088" w14:textId="1D36673D" w:rsidR="00F51C90" w:rsidRPr="00C16496" w:rsidRDefault="002C222A" w:rsidP="0024263E">
      <w:r w:rsidRPr="00285CDE">
        <w:t xml:space="preserve">Date of Judgment: </w:t>
      </w:r>
      <w:r w:rsidRPr="00285CDE">
        <w:tab/>
      </w:r>
      <w:r w:rsidR="00527F55">
        <w:tab/>
      </w:r>
      <w:r w:rsidR="00527F55">
        <w:tab/>
      </w:r>
      <w:r w:rsidR="00527F55">
        <w:tab/>
        <w:t>0</w:t>
      </w:r>
      <w:r w:rsidR="00F701BB">
        <w:t>6</w:t>
      </w:r>
      <w:r w:rsidR="00527F55">
        <w:t xml:space="preserve"> September</w:t>
      </w:r>
      <w:r w:rsidR="004608FB" w:rsidRPr="00285CDE">
        <w:t xml:space="preserve"> 202</w:t>
      </w:r>
      <w:r w:rsidR="00AC1A90" w:rsidRPr="00285CDE">
        <w:t>3</w:t>
      </w:r>
      <w:r w:rsidRPr="00C16496">
        <w:tab/>
      </w:r>
      <w:r w:rsidRPr="00C16496">
        <w:tab/>
      </w:r>
      <w:r w:rsidRPr="00C16496">
        <w:tab/>
      </w:r>
      <w:r w:rsidRPr="00C16496">
        <w:tab/>
      </w:r>
      <w:r w:rsidR="00F51C90" w:rsidRPr="00C16496">
        <w:tab/>
      </w:r>
      <w:r w:rsidR="00F51C90" w:rsidRPr="00C16496">
        <w:tab/>
        <w:t xml:space="preserve"> </w:t>
      </w:r>
    </w:p>
    <w:sectPr w:rsidR="00F51C90" w:rsidRPr="00C16496" w:rsidSect="003C46C0">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8ED2C" w14:textId="77777777" w:rsidR="001E389A" w:rsidRDefault="001E389A" w:rsidP="00115245">
      <w:r>
        <w:separator/>
      </w:r>
    </w:p>
  </w:endnote>
  <w:endnote w:type="continuationSeparator" w:id="0">
    <w:p w14:paraId="7F114597" w14:textId="77777777" w:rsidR="001E389A" w:rsidRDefault="001E389A"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7B86" w14:textId="77777777" w:rsidR="00D26E45" w:rsidRDefault="00D26E4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D26E45" w:rsidRDefault="00D26E45" w:rsidP="00C211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7DEC" w14:textId="77777777" w:rsidR="00D26E45" w:rsidRDefault="00D26E45"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EE4">
      <w:rPr>
        <w:rStyle w:val="PageNumber"/>
        <w:noProof/>
      </w:rPr>
      <w:t>3</w:t>
    </w:r>
    <w:r>
      <w:rPr>
        <w:rStyle w:val="PageNumber"/>
      </w:rPr>
      <w:fldChar w:fldCharType="end"/>
    </w:r>
  </w:p>
  <w:p w14:paraId="2C4BCC18" w14:textId="77777777" w:rsidR="00D26E45" w:rsidRDefault="00D26E45" w:rsidP="00C211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3D9DF" w14:textId="77777777" w:rsidR="001E389A" w:rsidRDefault="001E389A" w:rsidP="00115245">
      <w:r>
        <w:separator/>
      </w:r>
    </w:p>
  </w:footnote>
  <w:footnote w:type="continuationSeparator" w:id="0">
    <w:p w14:paraId="5954E4B1" w14:textId="77777777" w:rsidR="001E389A" w:rsidRDefault="001E389A" w:rsidP="00115245">
      <w:r>
        <w:continuationSeparator/>
      </w:r>
    </w:p>
  </w:footnote>
  <w:footnote w:id="1">
    <w:p w14:paraId="6239E4D9" w14:textId="671631AB" w:rsidR="00545927" w:rsidRPr="00767D26" w:rsidRDefault="00545927"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The full provision provides:</w:t>
      </w:r>
    </w:p>
    <w:p w14:paraId="43C77D92" w14:textId="183861E9" w:rsidR="00545927" w:rsidRPr="00767D26" w:rsidRDefault="00545927" w:rsidP="00C42DCC">
      <w:pPr>
        <w:pStyle w:val="FootnoteText"/>
        <w:spacing w:before="0"/>
        <w:rPr>
          <w:rFonts w:cs="Arial"/>
          <w:szCs w:val="20"/>
        </w:rPr>
      </w:pPr>
      <w:r w:rsidRPr="00767D26">
        <w:rPr>
          <w:rFonts w:cs="Arial"/>
          <w:szCs w:val="20"/>
        </w:rPr>
        <w:t xml:space="preserve">‘Before a public entity concludes any of the following transactions, the accounting authority for the public entity must promptly and in writing inform the relevant treasury of the transaction and submit relevant particulars of the transaction to its executive authority for approval of the transaction: </w:t>
      </w:r>
    </w:p>
    <w:p w14:paraId="3C533B90" w14:textId="77777777" w:rsidR="00545927" w:rsidRPr="00767D26" w:rsidRDefault="00545927" w:rsidP="00C42DCC">
      <w:pPr>
        <w:pStyle w:val="FootnoteText"/>
        <w:spacing w:before="0"/>
        <w:ind w:firstLine="0"/>
        <w:rPr>
          <w:rFonts w:cs="Arial"/>
          <w:szCs w:val="20"/>
        </w:rPr>
      </w:pPr>
      <w:r w:rsidRPr="00767D26">
        <w:rPr>
          <w:rFonts w:cs="Arial"/>
          <w:szCs w:val="20"/>
        </w:rPr>
        <w:t xml:space="preserve">(a) establishment or participation in the establishment of a company; </w:t>
      </w:r>
    </w:p>
    <w:p w14:paraId="6AF32425" w14:textId="77777777" w:rsidR="00545927" w:rsidRPr="00767D26" w:rsidRDefault="00545927" w:rsidP="00C42DCC">
      <w:pPr>
        <w:pStyle w:val="FootnoteText"/>
        <w:spacing w:before="0"/>
        <w:ind w:firstLine="0"/>
        <w:rPr>
          <w:rFonts w:cs="Arial"/>
          <w:szCs w:val="20"/>
        </w:rPr>
      </w:pPr>
      <w:r w:rsidRPr="00767D26">
        <w:rPr>
          <w:rFonts w:cs="Arial"/>
          <w:szCs w:val="20"/>
        </w:rPr>
        <w:t xml:space="preserve">(b) participation in a significant partnership, trust, unincorporated joint venture or similar arrangement; </w:t>
      </w:r>
    </w:p>
    <w:p w14:paraId="314A9F55" w14:textId="77777777" w:rsidR="002865AB" w:rsidRPr="00767D26" w:rsidRDefault="00545927" w:rsidP="00C42DCC">
      <w:pPr>
        <w:pStyle w:val="FootnoteText"/>
        <w:spacing w:before="0"/>
        <w:ind w:firstLine="0"/>
        <w:rPr>
          <w:rFonts w:cs="Arial"/>
          <w:szCs w:val="20"/>
        </w:rPr>
      </w:pPr>
      <w:r w:rsidRPr="00767D26">
        <w:rPr>
          <w:rFonts w:cs="Arial"/>
          <w:szCs w:val="20"/>
        </w:rPr>
        <w:t xml:space="preserve">(c) acquisition or disposal of a significant shareholding in a company; </w:t>
      </w:r>
    </w:p>
    <w:p w14:paraId="5981AFFF" w14:textId="1AC1AAD8" w:rsidR="00545927" w:rsidRPr="00767D26" w:rsidRDefault="00545927" w:rsidP="00C42DCC">
      <w:pPr>
        <w:pStyle w:val="FootnoteText"/>
        <w:spacing w:before="0"/>
        <w:ind w:firstLine="0"/>
        <w:rPr>
          <w:rFonts w:cs="Arial"/>
          <w:szCs w:val="20"/>
        </w:rPr>
      </w:pPr>
      <w:r w:rsidRPr="00767D26">
        <w:rPr>
          <w:rFonts w:cs="Arial"/>
          <w:szCs w:val="20"/>
        </w:rPr>
        <w:t xml:space="preserve">(d) acquisition or disposal of a significant asset; </w:t>
      </w:r>
    </w:p>
    <w:p w14:paraId="3098882A" w14:textId="6052FBAF" w:rsidR="002865AB" w:rsidRPr="00767D26" w:rsidRDefault="00545927" w:rsidP="00C42DCC">
      <w:pPr>
        <w:pStyle w:val="FootnoteText"/>
        <w:spacing w:before="0"/>
        <w:ind w:firstLine="0"/>
        <w:rPr>
          <w:rFonts w:cs="Arial"/>
          <w:szCs w:val="20"/>
        </w:rPr>
      </w:pPr>
      <w:r w:rsidRPr="00767D26">
        <w:rPr>
          <w:rFonts w:cs="Arial"/>
          <w:szCs w:val="20"/>
        </w:rPr>
        <w:t>(e) commencement or cessation of a significant business activity; and</w:t>
      </w:r>
    </w:p>
    <w:p w14:paraId="13BA6F01" w14:textId="6995DE6F" w:rsidR="00545927" w:rsidRPr="00767D26" w:rsidRDefault="00545927" w:rsidP="00C42DCC">
      <w:pPr>
        <w:pStyle w:val="FootnoteText"/>
        <w:spacing w:before="0"/>
        <w:ind w:firstLine="0"/>
        <w:rPr>
          <w:rFonts w:cs="Arial"/>
          <w:szCs w:val="20"/>
        </w:rPr>
      </w:pPr>
      <w:r w:rsidRPr="00767D26">
        <w:rPr>
          <w:rFonts w:cs="Arial"/>
          <w:szCs w:val="20"/>
        </w:rPr>
        <w:t>(f) a significant change in the nature or extent of its interest in a significant partnership, trust, unincorporated joint venture or similar arrangement’.</w:t>
      </w:r>
    </w:p>
  </w:footnote>
  <w:footnote w:id="2">
    <w:p w14:paraId="4F38A211" w14:textId="6976F228" w:rsidR="00854533" w:rsidRPr="00767D26" w:rsidRDefault="00854533" w:rsidP="00C42DCC">
      <w:pPr>
        <w:pStyle w:val="Heading2"/>
        <w:shd w:val="clear" w:color="auto" w:fill="FFFFFF"/>
        <w:spacing w:before="0"/>
        <w:rPr>
          <w:rFonts w:cs="Arial"/>
          <w:b w:val="0"/>
          <w:bCs w:val="0"/>
          <w:i w:val="0"/>
          <w:sz w:val="20"/>
          <w:szCs w:val="20"/>
          <w:lang w:val="en-ZA"/>
        </w:rPr>
      </w:pPr>
      <w:r w:rsidRPr="00767D26">
        <w:rPr>
          <w:rStyle w:val="FootnoteReference"/>
          <w:rFonts w:cs="Arial"/>
          <w:b w:val="0"/>
          <w:bCs w:val="0"/>
          <w:i w:val="0"/>
          <w:iCs/>
          <w:sz w:val="20"/>
          <w:szCs w:val="20"/>
        </w:rPr>
        <w:footnoteRef/>
      </w:r>
      <w:r w:rsidRPr="00767D26">
        <w:rPr>
          <w:rFonts w:cs="Arial"/>
          <w:b w:val="0"/>
          <w:bCs w:val="0"/>
          <w:i w:val="0"/>
          <w:iCs/>
          <w:sz w:val="20"/>
          <w:szCs w:val="20"/>
        </w:rPr>
        <w:t xml:space="preserve"> </w:t>
      </w:r>
      <w:r w:rsidR="0014730D">
        <w:rPr>
          <w:rFonts w:cs="Arial"/>
          <w:b w:val="0"/>
          <w:bCs w:val="0"/>
          <w:i w:val="0"/>
          <w:iCs/>
          <w:sz w:val="20"/>
          <w:szCs w:val="20"/>
        </w:rPr>
        <w:t xml:space="preserve">See </w:t>
      </w:r>
      <w:r w:rsidRPr="00767D26">
        <w:rPr>
          <w:rFonts w:cs="Arial"/>
          <w:b w:val="0"/>
          <w:bCs w:val="0"/>
          <w:iCs/>
          <w:sz w:val="20"/>
          <w:szCs w:val="20"/>
          <w:lang w:val="en-ZA"/>
        </w:rPr>
        <w:t>Minister of Cooperative Governance and Traditional Affairs v De Beer and Another</w:t>
      </w:r>
      <w:r w:rsidRPr="00767D26">
        <w:rPr>
          <w:rFonts w:cs="Arial"/>
          <w:b w:val="0"/>
          <w:bCs w:val="0"/>
          <w:i w:val="0"/>
          <w:sz w:val="20"/>
          <w:szCs w:val="20"/>
          <w:lang w:val="en-ZA"/>
        </w:rPr>
        <w:t xml:space="preserve"> (538/2020) [2021] ZASCA 95; [2021] 3 All SA 723 (SCA). See also </w:t>
      </w:r>
      <w:r w:rsidRPr="00767D26">
        <w:rPr>
          <w:rFonts w:cs="Arial"/>
          <w:b w:val="0"/>
          <w:bCs w:val="0"/>
          <w:i w:val="0"/>
          <w:sz w:val="20"/>
          <w:szCs w:val="20"/>
        </w:rPr>
        <w:t>N Sobikwa and MR Phooko “An assessment of the constitutionality of the COVID-19 regulations against the requirement to facilitate public participation in the law-making and/or administrative processes in South Africa</w:t>
      </w:r>
      <w:r w:rsidRPr="00767D26">
        <w:rPr>
          <w:rFonts w:cs="Arial"/>
          <w:b w:val="0"/>
          <w:bCs w:val="0"/>
          <w:i w:val="0"/>
          <w:sz w:val="20"/>
          <w:szCs w:val="20"/>
          <w:lang w:val="en-ZA"/>
        </w:rPr>
        <w:t xml:space="preserve">” 2021 (25) </w:t>
      </w:r>
      <w:r w:rsidRPr="00767D26">
        <w:rPr>
          <w:rFonts w:cs="Arial"/>
          <w:b w:val="0"/>
          <w:bCs w:val="0"/>
          <w:iCs/>
          <w:sz w:val="20"/>
          <w:szCs w:val="20"/>
          <w:lang w:val="en-ZA"/>
        </w:rPr>
        <w:t xml:space="preserve">Law, Democracy, and Development </w:t>
      </w:r>
      <w:r w:rsidRPr="00767D26">
        <w:rPr>
          <w:rFonts w:cs="Arial"/>
          <w:b w:val="0"/>
          <w:bCs w:val="0"/>
          <w:i w:val="0"/>
          <w:sz w:val="20"/>
          <w:szCs w:val="20"/>
          <w:lang w:val="en-ZA"/>
        </w:rPr>
        <w:t>325-326.</w:t>
      </w:r>
    </w:p>
  </w:footnote>
  <w:footnote w:id="3">
    <w:p w14:paraId="068AFFA6" w14:textId="3264BCEA" w:rsidR="002C2E0B" w:rsidRPr="00767D26" w:rsidRDefault="002C2E0B" w:rsidP="00C42DCC">
      <w:pPr>
        <w:pStyle w:val="Heading2"/>
        <w:shd w:val="clear" w:color="auto" w:fill="FFFFFF"/>
        <w:spacing w:before="0"/>
        <w:rPr>
          <w:rFonts w:cs="Arial"/>
          <w:b w:val="0"/>
          <w:bCs w:val="0"/>
          <w:i w:val="0"/>
          <w:iCs/>
          <w:sz w:val="20"/>
          <w:szCs w:val="20"/>
          <w:lang w:val="en-ZA"/>
        </w:rPr>
      </w:pPr>
      <w:r w:rsidRPr="00767D26">
        <w:rPr>
          <w:rStyle w:val="FootnoteReference"/>
          <w:rFonts w:cs="Arial"/>
          <w:b w:val="0"/>
          <w:bCs w:val="0"/>
          <w:i w:val="0"/>
          <w:iCs/>
          <w:sz w:val="20"/>
          <w:szCs w:val="20"/>
        </w:rPr>
        <w:footnoteRef/>
      </w:r>
      <w:r w:rsidRPr="00767D26">
        <w:rPr>
          <w:rFonts w:cs="Arial"/>
          <w:b w:val="0"/>
          <w:bCs w:val="0"/>
          <w:i w:val="0"/>
          <w:iCs/>
          <w:sz w:val="20"/>
          <w:szCs w:val="20"/>
        </w:rPr>
        <w:t xml:space="preserve"> </w:t>
      </w:r>
      <w:r w:rsidRPr="00767D26">
        <w:rPr>
          <w:rFonts w:cs="Arial"/>
          <w:b w:val="0"/>
          <w:bCs w:val="0"/>
          <w:sz w:val="20"/>
          <w:szCs w:val="20"/>
          <w:lang w:val="en-ZA"/>
        </w:rPr>
        <w:t>Mango Pilots Association and Others v Mango Airlines SOC Limited and Another</w:t>
      </w:r>
      <w:r w:rsidRPr="00767D26">
        <w:rPr>
          <w:rFonts w:cs="Arial"/>
          <w:b w:val="0"/>
          <w:bCs w:val="0"/>
          <w:i w:val="0"/>
          <w:iCs/>
          <w:sz w:val="20"/>
          <w:szCs w:val="20"/>
          <w:lang w:val="en-ZA"/>
        </w:rPr>
        <w:t xml:space="preserve"> (21/35958) [2021] ZAGPJHC 876 at para 62.</w:t>
      </w:r>
    </w:p>
    <w:p w14:paraId="3CF49538" w14:textId="1D7E319D" w:rsidR="002C2E0B" w:rsidRPr="00767D26" w:rsidRDefault="002C2E0B" w:rsidP="00C42DCC">
      <w:pPr>
        <w:pStyle w:val="FootnoteText"/>
        <w:spacing w:before="0"/>
        <w:rPr>
          <w:rFonts w:cs="Arial"/>
          <w:szCs w:val="20"/>
          <w:lang w:val="en-ZA"/>
        </w:rPr>
      </w:pPr>
    </w:p>
  </w:footnote>
  <w:footnote w:id="4">
    <w:p w14:paraId="70D9B6EC" w14:textId="6639AF2D" w:rsidR="00F83AC0" w:rsidRPr="00767D26" w:rsidRDefault="00F83AC0"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The first business rescue plan of Mango Airlines can be found at </w:t>
      </w:r>
      <w:hyperlink r:id="rId1" w:history="1">
        <w:r w:rsidRPr="00767D26">
          <w:rPr>
            <w:rStyle w:val="Hyperlink"/>
            <w:rFonts w:cs="Arial"/>
            <w:color w:val="auto"/>
            <w:szCs w:val="20"/>
          </w:rPr>
          <w:t>https://www.flymango.com/upload/Responsive/Content/PDFs/Mango%20Airlines%20SOC%20Limited_Businesss%20Rescue%20Plan_29.10.2021.pdf</w:t>
        </w:r>
      </w:hyperlink>
      <w:r w:rsidRPr="00767D26">
        <w:rPr>
          <w:rFonts w:cs="Arial"/>
          <w:szCs w:val="20"/>
        </w:rPr>
        <w:t xml:space="preserve"> (accessed 7 June 2023).</w:t>
      </w:r>
    </w:p>
  </w:footnote>
  <w:footnote w:id="5">
    <w:p w14:paraId="3587F5CA" w14:textId="2BCDE28A" w:rsidR="00F83AC0" w:rsidRPr="00767D26" w:rsidRDefault="00F83AC0"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The amended business rescue plan of Mango Airlines can be found at </w:t>
      </w:r>
      <w:hyperlink r:id="rId2" w:history="1">
        <w:r w:rsidRPr="00767D26">
          <w:rPr>
            <w:rStyle w:val="Hyperlink"/>
            <w:rFonts w:cs="Arial"/>
            <w:color w:val="auto"/>
            <w:szCs w:val="20"/>
          </w:rPr>
          <w:t>https://www.flymango.com/upload/Responsive/Content/PDFs/Amended%20Mango%20Airlines_Amended%20Businesss%20Rescue%20Plan%20-%2025%20Nov%202021.pdf</w:t>
        </w:r>
      </w:hyperlink>
      <w:r w:rsidRPr="00767D26">
        <w:rPr>
          <w:rFonts w:cs="Arial"/>
          <w:szCs w:val="20"/>
        </w:rPr>
        <w:t xml:space="preserve"> (accessed 7 June 2023). </w:t>
      </w:r>
    </w:p>
  </w:footnote>
  <w:footnote w:id="6">
    <w:p w14:paraId="791EE61A" w14:textId="77777777" w:rsidR="00B41D78" w:rsidRPr="00767D26" w:rsidRDefault="00B41D78"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 xml:space="preserve">The full provision provides as follows: </w:t>
      </w:r>
    </w:p>
    <w:p w14:paraId="552DF7C9" w14:textId="47B6DD20" w:rsidR="00B41D78" w:rsidRPr="00767D26" w:rsidRDefault="00B41D78" w:rsidP="00C42DCC">
      <w:pPr>
        <w:pStyle w:val="FootnoteText"/>
        <w:spacing w:before="0"/>
        <w:ind w:right="851"/>
        <w:rPr>
          <w:rFonts w:cs="Arial"/>
          <w:szCs w:val="20"/>
        </w:rPr>
      </w:pPr>
      <w:r w:rsidRPr="00767D26">
        <w:rPr>
          <w:rFonts w:cs="Arial"/>
          <w:szCs w:val="20"/>
          <w:lang w:val="en-ZA"/>
        </w:rPr>
        <w:t xml:space="preserve">  ‘</w:t>
      </w:r>
      <w:r w:rsidRPr="00767D26">
        <w:rPr>
          <w:rFonts w:cs="Arial"/>
          <w:szCs w:val="20"/>
        </w:rPr>
        <w:t xml:space="preserve">In a vote called in terms of subsection (1)(e), the proposed business rescue plan will be approved on a preliminary basis if— </w:t>
      </w:r>
    </w:p>
    <w:p w14:paraId="2EA64A97" w14:textId="3BB2B2B2" w:rsidR="00B41D78" w:rsidRPr="00767D26" w:rsidRDefault="00890EE4" w:rsidP="00890EE4">
      <w:pPr>
        <w:pStyle w:val="FootnoteText"/>
        <w:spacing w:before="0"/>
        <w:ind w:left="851" w:right="851" w:hanging="360"/>
        <w:rPr>
          <w:rFonts w:cs="Arial"/>
          <w:szCs w:val="20"/>
        </w:rPr>
      </w:pPr>
      <w:r w:rsidRPr="00767D26">
        <w:rPr>
          <w:rFonts w:cs="Arial"/>
          <w:szCs w:val="20"/>
        </w:rPr>
        <w:t>(a)</w:t>
      </w:r>
      <w:r w:rsidRPr="00767D26">
        <w:rPr>
          <w:rFonts w:cs="Arial"/>
          <w:szCs w:val="20"/>
        </w:rPr>
        <w:tab/>
      </w:r>
      <w:r w:rsidR="00B41D78" w:rsidRPr="00767D26">
        <w:rPr>
          <w:rFonts w:cs="Arial"/>
          <w:szCs w:val="20"/>
        </w:rPr>
        <w:t xml:space="preserve">it was supported by the holders of more than 75% of the creditors’ voting interests that were voted; and </w:t>
      </w:r>
    </w:p>
    <w:p w14:paraId="536678AB" w14:textId="17D75A5F" w:rsidR="00B41D78" w:rsidRPr="00767D26" w:rsidRDefault="00890EE4" w:rsidP="00890EE4">
      <w:pPr>
        <w:pStyle w:val="FootnoteText"/>
        <w:spacing w:before="0"/>
        <w:ind w:left="851" w:right="851" w:hanging="360"/>
        <w:rPr>
          <w:rFonts w:cs="Arial"/>
          <w:szCs w:val="20"/>
        </w:rPr>
      </w:pPr>
      <w:r w:rsidRPr="00767D26">
        <w:rPr>
          <w:rFonts w:cs="Arial"/>
          <w:szCs w:val="20"/>
        </w:rPr>
        <w:t>(b)</w:t>
      </w:r>
      <w:r w:rsidRPr="00767D26">
        <w:rPr>
          <w:rFonts w:cs="Arial"/>
          <w:szCs w:val="20"/>
        </w:rPr>
        <w:tab/>
      </w:r>
      <w:r w:rsidR="00B41D78" w:rsidRPr="00767D26">
        <w:rPr>
          <w:rFonts w:cs="Arial"/>
          <w:szCs w:val="20"/>
        </w:rPr>
        <w:t xml:space="preserve">the votes in support of the proposed plan included at least 50% of the independent </w:t>
      </w:r>
    </w:p>
    <w:p w14:paraId="4D4F700C" w14:textId="028D7060" w:rsidR="00B41D78" w:rsidRPr="00767D26" w:rsidRDefault="00B41D78" w:rsidP="00C42DCC">
      <w:pPr>
        <w:pStyle w:val="FootnoteText"/>
        <w:spacing w:before="0"/>
        <w:ind w:left="851" w:right="851" w:firstLine="0"/>
        <w:rPr>
          <w:rFonts w:cs="Arial"/>
          <w:szCs w:val="20"/>
          <w:lang w:val="en-ZA"/>
        </w:rPr>
      </w:pPr>
      <w:r w:rsidRPr="00767D26">
        <w:rPr>
          <w:rFonts w:cs="Arial"/>
          <w:szCs w:val="20"/>
        </w:rPr>
        <w:t>creditors’ voting interests, if any, that were voted’.</w:t>
      </w:r>
    </w:p>
  </w:footnote>
  <w:footnote w:id="7">
    <w:p w14:paraId="440C8285" w14:textId="64A1B91B" w:rsidR="00B41D78" w:rsidRPr="00767D26" w:rsidRDefault="00B41D78"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The full provisions states that ‘A business rescue plan that has been adopted is binding on the company, and on each of the creditors of the company and every holder of the company’s securities, whether or not such a person…;</w:t>
      </w:r>
    </w:p>
  </w:footnote>
  <w:footnote w:id="8">
    <w:p w14:paraId="478B1BFE" w14:textId="4CBFA46F" w:rsidR="00112765" w:rsidRPr="00767D26" w:rsidRDefault="00112765" w:rsidP="00C42DCC">
      <w:pPr>
        <w:pStyle w:val="Heading2"/>
        <w:shd w:val="clear" w:color="auto" w:fill="FFFFFF"/>
        <w:spacing w:before="0"/>
        <w:rPr>
          <w:rFonts w:cs="Arial"/>
          <w:b w:val="0"/>
          <w:bCs w:val="0"/>
          <w:i w:val="0"/>
          <w:iCs/>
          <w:sz w:val="20"/>
          <w:szCs w:val="20"/>
          <w:lang w:val="en-ZA"/>
        </w:rPr>
      </w:pPr>
      <w:r w:rsidRPr="00767D26">
        <w:rPr>
          <w:rStyle w:val="FootnoteReference"/>
          <w:rFonts w:cs="Arial"/>
          <w:b w:val="0"/>
          <w:bCs w:val="0"/>
          <w:i w:val="0"/>
          <w:iCs/>
          <w:sz w:val="20"/>
          <w:szCs w:val="20"/>
        </w:rPr>
        <w:footnoteRef/>
      </w:r>
      <w:r w:rsidRPr="00767D26">
        <w:rPr>
          <w:rFonts w:cs="Arial"/>
          <w:b w:val="0"/>
          <w:bCs w:val="0"/>
          <w:i w:val="0"/>
          <w:iCs/>
          <w:sz w:val="20"/>
          <w:szCs w:val="20"/>
        </w:rPr>
        <w:t xml:space="preserve"> </w:t>
      </w:r>
      <w:r w:rsidR="00993186" w:rsidRPr="00767D26">
        <w:rPr>
          <w:rFonts w:cs="Arial"/>
          <w:b w:val="0"/>
          <w:bCs w:val="0"/>
          <w:i w:val="0"/>
          <w:iCs/>
          <w:sz w:val="20"/>
          <w:szCs w:val="20"/>
          <w:lang w:val="en-ZA"/>
        </w:rPr>
        <w:t xml:space="preserve">2017 (5) SA 1 (CC) at para 10. </w:t>
      </w:r>
    </w:p>
  </w:footnote>
  <w:footnote w:id="9">
    <w:p w14:paraId="45322F79" w14:textId="225503AF" w:rsidR="001C23D9" w:rsidRPr="00767D26" w:rsidRDefault="001C23D9"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(1) 1993 (4) SA 190 (T)</w:t>
      </w:r>
      <w:r w:rsidR="007B65A8">
        <w:rPr>
          <w:rFonts w:cs="Arial"/>
          <w:szCs w:val="20"/>
        </w:rPr>
        <w:t xml:space="preserve"> pg 676</w:t>
      </w:r>
      <w:r w:rsidR="00767D26" w:rsidRPr="00767D26">
        <w:rPr>
          <w:rFonts w:cs="Arial"/>
          <w:szCs w:val="20"/>
        </w:rPr>
        <w:t>. See also</w:t>
      </w:r>
      <w:r w:rsidR="00767D26" w:rsidRPr="00767D26">
        <w:t xml:space="preserve"> </w:t>
      </w:r>
      <w:r w:rsidR="00767D26" w:rsidRPr="00767D26">
        <w:rPr>
          <w:i/>
          <w:iCs/>
        </w:rPr>
        <w:t>Bamford v Minister of Community Development and State Auxiliary Services</w:t>
      </w:r>
      <w:r w:rsidR="00767D26" w:rsidRPr="00767D26">
        <w:t xml:space="preserve"> 1981 (3) SA 1054 (C).</w:t>
      </w:r>
    </w:p>
  </w:footnote>
  <w:footnote w:id="10">
    <w:p w14:paraId="1F2ED97F" w14:textId="21AEDF77" w:rsidR="00ED0EDA" w:rsidRPr="00767D26" w:rsidRDefault="00ED0EDA" w:rsidP="00C42DCC">
      <w:pPr>
        <w:pStyle w:val="Heading2"/>
        <w:shd w:val="clear" w:color="auto" w:fill="FFFFFF"/>
        <w:spacing w:before="0"/>
        <w:rPr>
          <w:rFonts w:cs="Arial"/>
          <w:b w:val="0"/>
          <w:bCs w:val="0"/>
          <w:i w:val="0"/>
          <w:sz w:val="20"/>
          <w:szCs w:val="20"/>
          <w:lang w:val="en-ZA"/>
        </w:rPr>
      </w:pPr>
      <w:r w:rsidRPr="00767D26">
        <w:rPr>
          <w:rStyle w:val="FootnoteReference"/>
          <w:rFonts w:cs="Arial"/>
          <w:b w:val="0"/>
          <w:bCs w:val="0"/>
          <w:i w:val="0"/>
          <w:iCs/>
          <w:sz w:val="20"/>
          <w:szCs w:val="20"/>
        </w:rPr>
        <w:footnoteRef/>
      </w:r>
      <w:r w:rsidRPr="00767D26">
        <w:rPr>
          <w:rFonts w:cs="Arial"/>
          <w:b w:val="0"/>
          <w:bCs w:val="0"/>
          <w:i w:val="0"/>
          <w:iCs/>
          <w:sz w:val="20"/>
          <w:szCs w:val="20"/>
        </w:rPr>
        <w:t xml:space="preserve"> </w:t>
      </w:r>
      <w:r w:rsidRPr="00767D26">
        <w:rPr>
          <w:rFonts w:cs="Arial"/>
          <w:b w:val="0"/>
          <w:bCs w:val="0"/>
          <w:i w:val="0"/>
          <w:iCs/>
          <w:sz w:val="20"/>
          <w:szCs w:val="20"/>
          <w:lang w:val="en-ZA"/>
        </w:rPr>
        <w:t>2022</w:t>
      </w:r>
      <w:r w:rsidRPr="00767D26">
        <w:rPr>
          <w:rFonts w:cs="Arial"/>
          <w:b w:val="0"/>
          <w:bCs w:val="0"/>
          <w:i w:val="0"/>
          <w:sz w:val="20"/>
          <w:szCs w:val="20"/>
          <w:lang w:val="en-ZA"/>
        </w:rPr>
        <w:t xml:space="preserve"> (1) BCLR 20 (CC) at para 33.</w:t>
      </w:r>
    </w:p>
  </w:footnote>
  <w:footnote w:id="11">
    <w:p w14:paraId="4C36E3C7" w14:textId="247D3E25" w:rsidR="00E3501B" w:rsidRPr="00767D26" w:rsidRDefault="00E3501B" w:rsidP="00C42DCC">
      <w:pPr>
        <w:pStyle w:val="FootnoteText"/>
        <w:spacing w:before="0"/>
        <w:rPr>
          <w:lang w:val="en-ZA"/>
        </w:rPr>
      </w:pPr>
      <w:r w:rsidRPr="00767D26">
        <w:rPr>
          <w:rStyle w:val="FootnoteReference"/>
        </w:rPr>
        <w:footnoteRef/>
      </w:r>
      <w:r w:rsidRPr="00767D26">
        <w:t xml:space="preserve"> </w:t>
      </w:r>
      <w:r w:rsidRPr="00767D26">
        <w:rPr>
          <w:rFonts w:cs="Arial"/>
          <w:shd w:val="clear" w:color="auto" w:fill="FFFFFF"/>
          <w:lang w:val="en-US"/>
        </w:rPr>
        <w:t> </w:t>
      </w:r>
      <w:r w:rsidRPr="00767D26">
        <w:rPr>
          <w:rFonts w:cs="Arial"/>
          <w:i/>
          <w:iCs/>
          <w:shd w:val="clear" w:color="auto" w:fill="FFFFFF"/>
          <w:lang w:val="en-US"/>
        </w:rPr>
        <w:t>Academic</w:t>
      </w:r>
      <w:r w:rsidRPr="00767D26">
        <w:rPr>
          <w:rFonts w:cs="Arial"/>
          <w:shd w:val="clear" w:color="auto" w:fill="FFFFFF"/>
          <w:lang w:val="en-US"/>
        </w:rPr>
        <w:t> </w:t>
      </w:r>
      <w:r w:rsidRPr="00767D26">
        <w:rPr>
          <w:rFonts w:cs="Arial"/>
          <w:i/>
          <w:iCs/>
          <w:shd w:val="clear" w:color="auto" w:fill="FFFFFF"/>
          <w:lang w:val="en-US"/>
        </w:rPr>
        <w:t>and</w:t>
      </w:r>
      <w:r w:rsidRPr="00767D26">
        <w:rPr>
          <w:rFonts w:cs="Arial"/>
          <w:shd w:val="clear" w:color="auto" w:fill="FFFFFF"/>
          <w:lang w:val="en-US"/>
        </w:rPr>
        <w:t> </w:t>
      </w:r>
      <w:r w:rsidRPr="00767D26">
        <w:rPr>
          <w:rFonts w:cs="Arial"/>
          <w:i/>
          <w:iCs/>
          <w:shd w:val="clear" w:color="auto" w:fill="FFFFFF"/>
          <w:lang w:val="en-US"/>
        </w:rPr>
        <w:t>Professional</w:t>
      </w:r>
      <w:r w:rsidRPr="00767D26">
        <w:rPr>
          <w:rFonts w:cs="Arial"/>
          <w:shd w:val="clear" w:color="auto" w:fill="FFFFFF"/>
          <w:lang w:val="en-US"/>
        </w:rPr>
        <w:t> </w:t>
      </w:r>
      <w:r w:rsidRPr="00767D26">
        <w:rPr>
          <w:rFonts w:cs="Arial"/>
          <w:i/>
          <w:iCs/>
          <w:shd w:val="clear" w:color="auto" w:fill="FFFFFF"/>
          <w:lang w:val="en-US"/>
        </w:rPr>
        <w:t>Staff</w:t>
      </w:r>
      <w:r w:rsidRPr="00767D26">
        <w:rPr>
          <w:rFonts w:cs="Arial"/>
          <w:shd w:val="clear" w:color="auto" w:fill="FFFFFF"/>
          <w:lang w:val="en-US"/>
        </w:rPr>
        <w:t> </w:t>
      </w:r>
      <w:r w:rsidRPr="00767D26">
        <w:rPr>
          <w:rFonts w:cs="Arial"/>
          <w:i/>
          <w:iCs/>
          <w:shd w:val="clear" w:color="auto" w:fill="FFFFFF"/>
          <w:lang w:val="en-US"/>
        </w:rPr>
        <w:t>Association</w:t>
      </w:r>
      <w:r w:rsidRPr="00767D26">
        <w:rPr>
          <w:rFonts w:cs="Arial"/>
          <w:shd w:val="clear" w:color="auto" w:fill="FFFFFF"/>
          <w:lang w:val="en-US"/>
        </w:rPr>
        <w:t> </w:t>
      </w:r>
      <w:r w:rsidRPr="00767D26">
        <w:rPr>
          <w:rFonts w:cs="Arial"/>
          <w:i/>
          <w:iCs/>
          <w:shd w:val="clear" w:color="auto" w:fill="FFFFFF"/>
          <w:lang w:val="en-US"/>
        </w:rPr>
        <w:t>v</w:t>
      </w:r>
      <w:r w:rsidRPr="00767D26">
        <w:rPr>
          <w:rFonts w:cs="Arial"/>
          <w:shd w:val="clear" w:color="auto" w:fill="FFFFFF"/>
          <w:lang w:val="en-US"/>
        </w:rPr>
        <w:t> </w:t>
      </w:r>
      <w:r w:rsidRPr="00767D26">
        <w:rPr>
          <w:rFonts w:cs="Arial"/>
          <w:i/>
          <w:iCs/>
          <w:shd w:val="clear" w:color="auto" w:fill="FFFFFF"/>
          <w:lang w:val="en-US"/>
        </w:rPr>
        <w:t>Pretorius</w:t>
      </w:r>
      <w:r w:rsidRPr="00767D26">
        <w:rPr>
          <w:rFonts w:cs="Arial"/>
          <w:shd w:val="clear" w:color="auto" w:fill="FFFFFF"/>
          <w:lang w:val="en-US"/>
        </w:rPr>
        <w:t> </w:t>
      </w:r>
      <w:r w:rsidRPr="00767D26">
        <w:rPr>
          <w:rFonts w:cs="Arial"/>
          <w:i/>
          <w:iCs/>
          <w:shd w:val="clear" w:color="auto" w:fill="FFFFFF"/>
          <w:lang w:val="en-US"/>
        </w:rPr>
        <w:t>NO</w:t>
      </w:r>
      <w:r w:rsidRPr="00767D26">
        <w:rPr>
          <w:rFonts w:cs="Arial"/>
          <w:shd w:val="clear" w:color="auto" w:fill="FFFFFF"/>
          <w:lang w:val="en-US"/>
        </w:rPr>
        <w:t> </w:t>
      </w:r>
      <w:r w:rsidRPr="00767D26">
        <w:rPr>
          <w:rFonts w:cs="Arial"/>
          <w:i/>
          <w:iCs/>
          <w:shd w:val="clear" w:color="auto" w:fill="FFFFFF"/>
          <w:lang w:val="en-US"/>
        </w:rPr>
        <w:t>and</w:t>
      </w:r>
      <w:r w:rsidRPr="00767D26">
        <w:rPr>
          <w:rFonts w:cs="Arial"/>
          <w:shd w:val="clear" w:color="auto" w:fill="FFFFFF"/>
          <w:lang w:val="en-US"/>
        </w:rPr>
        <w:t> </w:t>
      </w:r>
      <w:r w:rsidRPr="00767D26">
        <w:rPr>
          <w:rFonts w:cs="Arial"/>
          <w:i/>
          <w:iCs/>
          <w:shd w:val="clear" w:color="auto" w:fill="FFFFFF"/>
          <w:lang w:val="en-US"/>
        </w:rPr>
        <w:t>Others</w:t>
      </w:r>
      <w:r w:rsidRPr="00767D26">
        <w:rPr>
          <w:rFonts w:cs="Arial"/>
          <w:shd w:val="clear" w:color="auto" w:fill="FFFFFF"/>
        </w:rPr>
        <w:t xml:space="preserve"> (2008) 29 ILJ 318 (LC) at para 17 - 18.</w:t>
      </w:r>
    </w:p>
  </w:footnote>
  <w:footnote w:id="12">
    <w:p w14:paraId="40F33CBB" w14:textId="00CFB713" w:rsidR="003D146C" w:rsidRPr="00767D26" w:rsidRDefault="003D146C" w:rsidP="00C42DCC">
      <w:pPr>
        <w:pStyle w:val="FootnoteText"/>
        <w:spacing w:before="0"/>
        <w:rPr>
          <w:lang w:val="en-ZA"/>
        </w:rPr>
      </w:pPr>
      <w:r w:rsidRPr="00767D26">
        <w:rPr>
          <w:rStyle w:val="FootnoteReference"/>
          <w:szCs w:val="20"/>
        </w:rPr>
        <w:footnoteRef/>
      </w:r>
      <w:r w:rsidRPr="00767D26">
        <w:rPr>
          <w:szCs w:val="20"/>
        </w:rPr>
        <w:t xml:space="preserve"> </w:t>
      </w:r>
      <w:r w:rsidRPr="00767D26">
        <w:rPr>
          <w:rFonts w:cs="Arial"/>
          <w:i/>
          <w:iCs/>
          <w:szCs w:val="20"/>
          <w:shd w:val="clear" w:color="auto" w:fill="FFFFFF"/>
        </w:rPr>
        <w:t>Brummer v Gorfil Brothers Investments (Pty)</w:t>
      </w:r>
      <w:r w:rsidRPr="00767D26">
        <w:rPr>
          <w:rFonts w:cs="Arial"/>
          <w:i/>
          <w:iCs/>
          <w:sz w:val="27"/>
          <w:szCs w:val="27"/>
          <w:shd w:val="clear" w:color="auto" w:fill="FFFFFF"/>
        </w:rPr>
        <w:t xml:space="preserve"> </w:t>
      </w:r>
      <w:r w:rsidRPr="00767D26">
        <w:rPr>
          <w:rFonts w:cs="Arial"/>
          <w:i/>
          <w:iCs/>
          <w:szCs w:val="20"/>
          <w:shd w:val="clear" w:color="auto" w:fill="FFFFFF"/>
        </w:rPr>
        <w:t>Ltd</w:t>
      </w:r>
      <w:r w:rsidRPr="00767D26">
        <w:rPr>
          <w:rFonts w:cs="Arial"/>
          <w:szCs w:val="20"/>
          <w:shd w:val="clear" w:color="auto" w:fill="FFFFFF"/>
        </w:rPr>
        <w:t xml:space="preserve"> </w:t>
      </w:r>
      <w:r w:rsidRPr="00767D26">
        <w:rPr>
          <w:rFonts w:cs="Arial"/>
          <w:shd w:val="clear" w:color="auto" w:fill="FFFFFF"/>
        </w:rPr>
        <w:t>2000 (2) SA 837 (CC) at para 3.</w:t>
      </w:r>
    </w:p>
  </w:footnote>
  <w:footnote w:id="13">
    <w:p w14:paraId="53E05040" w14:textId="2EC680C2" w:rsidR="00F91D52" w:rsidRPr="00DE3454" w:rsidRDefault="00F91D52" w:rsidP="00C42DCC">
      <w:pPr>
        <w:pStyle w:val="Heading2"/>
        <w:shd w:val="clear" w:color="auto" w:fill="FFFFFF"/>
        <w:spacing w:before="0"/>
        <w:rPr>
          <w:rFonts w:cs="Arial"/>
          <w:b w:val="0"/>
          <w:bCs w:val="0"/>
          <w:i w:val="0"/>
          <w:sz w:val="20"/>
          <w:szCs w:val="20"/>
          <w:lang w:val="en-ZA"/>
        </w:rPr>
      </w:pPr>
      <w:r w:rsidRPr="00767D26">
        <w:rPr>
          <w:rStyle w:val="FootnoteReference"/>
          <w:rFonts w:cs="Arial"/>
          <w:b w:val="0"/>
          <w:bCs w:val="0"/>
          <w:i w:val="0"/>
          <w:iCs/>
          <w:sz w:val="20"/>
          <w:szCs w:val="20"/>
        </w:rPr>
        <w:footnoteRef/>
      </w:r>
      <w:r w:rsidRPr="00767D26">
        <w:rPr>
          <w:rFonts w:cs="Arial"/>
          <w:b w:val="0"/>
          <w:bCs w:val="0"/>
          <w:sz w:val="20"/>
          <w:szCs w:val="20"/>
        </w:rPr>
        <w:t xml:space="preserve"> </w:t>
      </w:r>
      <w:r w:rsidRPr="00767D26">
        <w:rPr>
          <w:rFonts w:cs="Arial"/>
          <w:b w:val="0"/>
          <w:bCs w:val="0"/>
          <w:i w:val="0"/>
          <w:sz w:val="20"/>
          <w:szCs w:val="20"/>
          <w:lang w:val="en-ZA"/>
        </w:rPr>
        <w:t>(A 278/13) [2013] ZAGPPHC 479 at para 7.</w:t>
      </w:r>
    </w:p>
  </w:footnote>
  <w:footnote w:id="14">
    <w:p w14:paraId="00A68178" w14:textId="208530BF" w:rsidR="00F91D52" w:rsidRPr="00767D26" w:rsidRDefault="00F91D52"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Ibid at para 8.</w:t>
      </w:r>
    </w:p>
  </w:footnote>
  <w:footnote w:id="15">
    <w:p w14:paraId="0C1B1A92" w14:textId="1C439FD3" w:rsidR="000B16A9" w:rsidRPr="00767D26" w:rsidRDefault="000B16A9"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i/>
          <w:iCs/>
          <w:szCs w:val="20"/>
          <w:shd w:val="clear" w:color="auto" w:fill="FFFFFF"/>
        </w:rPr>
        <w:t>Mars Incorporated v Candy World (Pty) Ltd</w:t>
      </w:r>
      <w:r w:rsidRPr="00767D26">
        <w:rPr>
          <w:rFonts w:cs="Arial"/>
          <w:szCs w:val="20"/>
          <w:shd w:val="clear" w:color="auto" w:fill="FFFFFF"/>
        </w:rPr>
        <w:t> 1991 (1) SA 567 (AD) at para 14.</w:t>
      </w:r>
    </w:p>
  </w:footnote>
  <w:footnote w:id="16">
    <w:p w14:paraId="06273009" w14:textId="24DFAF8C" w:rsidR="000B16A9" w:rsidRPr="00767D26" w:rsidRDefault="000B16A9" w:rsidP="00C42DCC">
      <w:pPr>
        <w:pStyle w:val="Heading2"/>
        <w:shd w:val="clear" w:color="auto" w:fill="FFFFFF"/>
        <w:spacing w:before="0"/>
        <w:rPr>
          <w:rFonts w:cs="Arial"/>
          <w:b w:val="0"/>
          <w:bCs w:val="0"/>
          <w:i w:val="0"/>
          <w:sz w:val="20"/>
          <w:szCs w:val="20"/>
          <w:lang w:val="en-ZA"/>
        </w:rPr>
      </w:pPr>
      <w:r w:rsidRPr="00767D26">
        <w:rPr>
          <w:rStyle w:val="FootnoteReference"/>
          <w:rFonts w:cs="Arial"/>
          <w:b w:val="0"/>
          <w:bCs w:val="0"/>
          <w:i w:val="0"/>
          <w:iCs/>
          <w:sz w:val="20"/>
          <w:szCs w:val="20"/>
        </w:rPr>
        <w:footnoteRef/>
      </w:r>
      <w:r w:rsidR="00A41587" w:rsidRPr="00767D26">
        <w:rPr>
          <w:rFonts w:cs="Arial"/>
          <w:b w:val="0"/>
          <w:bCs w:val="0"/>
          <w:i w:val="0"/>
          <w:sz w:val="20"/>
          <w:szCs w:val="20"/>
          <w:lang w:val="en-ZA"/>
        </w:rPr>
        <w:t xml:space="preserve"> </w:t>
      </w:r>
      <w:r w:rsidR="00A41587" w:rsidRPr="00767D26">
        <w:rPr>
          <w:rFonts w:cs="Arial"/>
          <w:b w:val="0"/>
          <w:bCs w:val="0"/>
          <w:iCs/>
          <w:sz w:val="20"/>
          <w:szCs w:val="20"/>
          <w:lang w:val="en-ZA"/>
        </w:rPr>
        <w:t>Four Wheel Drive Accessory Distributors CC v Rattan NO</w:t>
      </w:r>
      <w:r w:rsidR="00A41587" w:rsidRPr="00767D26">
        <w:rPr>
          <w:rFonts w:cs="Arial"/>
          <w:b w:val="0"/>
          <w:bCs w:val="0"/>
          <w:i w:val="0"/>
          <w:sz w:val="20"/>
          <w:szCs w:val="20"/>
          <w:lang w:val="en-ZA"/>
        </w:rPr>
        <w:t xml:space="preserve"> 2019 (3) SA 451 (SCA) </w:t>
      </w:r>
      <w:r w:rsidR="00A41587" w:rsidRPr="00767D26">
        <w:rPr>
          <w:rFonts w:cs="Arial"/>
          <w:b w:val="0"/>
          <w:bCs w:val="0"/>
          <w:i w:val="0"/>
          <w:iCs/>
          <w:sz w:val="20"/>
          <w:szCs w:val="20"/>
        </w:rPr>
        <w:t>a</w:t>
      </w:r>
      <w:r w:rsidRPr="00767D26">
        <w:rPr>
          <w:rFonts w:cs="Arial"/>
          <w:b w:val="0"/>
          <w:bCs w:val="0"/>
          <w:i w:val="0"/>
          <w:iCs/>
          <w:sz w:val="20"/>
          <w:szCs w:val="20"/>
        </w:rPr>
        <w:t>t para 19.</w:t>
      </w:r>
    </w:p>
  </w:footnote>
  <w:footnote w:id="17">
    <w:p w14:paraId="7079A2D3" w14:textId="1779B36C" w:rsidR="002F678A" w:rsidRPr="00767D26" w:rsidRDefault="002F678A" w:rsidP="00C42DCC">
      <w:pPr>
        <w:pStyle w:val="Heading2"/>
        <w:shd w:val="clear" w:color="auto" w:fill="FFFFFF"/>
        <w:spacing w:before="0"/>
        <w:rPr>
          <w:rFonts w:cs="Arial"/>
          <w:b w:val="0"/>
          <w:bCs w:val="0"/>
          <w:i w:val="0"/>
          <w:iCs/>
          <w:sz w:val="20"/>
          <w:szCs w:val="20"/>
          <w:lang w:val="en-ZA"/>
        </w:rPr>
      </w:pPr>
      <w:r w:rsidRPr="00767D26">
        <w:rPr>
          <w:rStyle w:val="FootnoteReference"/>
          <w:rFonts w:cs="Arial"/>
          <w:b w:val="0"/>
          <w:bCs w:val="0"/>
          <w:i w:val="0"/>
          <w:iCs/>
          <w:sz w:val="20"/>
          <w:szCs w:val="20"/>
        </w:rPr>
        <w:footnoteRef/>
      </w:r>
      <w:r w:rsidRPr="00767D26">
        <w:rPr>
          <w:rFonts w:cs="Arial"/>
          <w:b w:val="0"/>
          <w:bCs w:val="0"/>
          <w:i w:val="0"/>
          <w:iCs/>
          <w:sz w:val="20"/>
          <w:szCs w:val="20"/>
        </w:rPr>
        <w:t xml:space="preserve"> </w:t>
      </w:r>
      <w:r w:rsidRPr="00767D26">
        <w:rPr>
          <w:rFonts w:cs="Arial"/>
          <w:b w:val="0"/>
          <w:bCs w:val="0"/>
          <w:sz w:val="20"/>
          <w:szCs w:val="20"/>
          <w:lang w:val="en-ZA"/>
        </w:rPr>
        <w:t xml:space="preserve">Barkhuizen v Napie </w:t>
      </w:r>
      <w:r w:rsidRPr="00463413">
        <w:rPr>
          <w:rFonts w:cs="Arial"/>
          <w:b w:val="0"/>
          <w:bCs w:val="0"/>
          <w:i w:val="0"/>
          <w:iCs/>
          <w:sz w:val="20"/>
          <w:szCs w:val="20"/>
          <w:lang w:val="en-ZA"/>
        </w:rPr>
        <w:t>2007 (7) BCLR 691</w:t>
      </w:r>
      <w:r w:rsidRPr="00767D26">
        <w:rPr>
          <w:rFonts w:cs="Arial"/>
          <w:b w:val="0"/>
          <w:bCs w:val="0"/>
          <w:i w:val="0"/>
          <w:iCs/>
          <w:sz w:val="20"/>
          <w:szCs w:val="20"/>
          <w:lang w:val="en-ZA"/>
        </w:rPr>
        <w:t xml:space="preserve"> (CC) at para 73. </w:t>
      </w:r>
    </w:p>
  </w:footnote>
  <w:footnote w:id="18">
    <w:p w14:paraId="35ECAAB6" w14:textId="37F2BDAF" w:rsidR="00B009B0" w:rsidRPr="00767D26" w:rsidRDefault="00B009B0" w:rsidP="00C42DCC">
      <w:pPr>
        <w:pStyle w:val="Heading2"/>
        <w:shd w:val="clear" w:color="auto" w:fill="FFFFFF"/>
        <w:spacing w:before="0"/>
        <w:rPr>
          <w:rFonts w:cs="Arial"/>
          <w:b w:val="0"/>
          <w:bCs w:val="0"/>
          <w:i w:val="0"/>
          <w:iCs/>
          <w:sz w:val="20"/>
          <w:szCs w:val="20"/>
          <w:lang w:val="en-ZA"/>
        </w:rPr>
      </w:pPr>
      <w:r w:rsidRPr="00767D26">
        <w:rPr>
          <w:rStyle w:val="FootnoteReference"/>
          <w:rFonts w:cs="Arial"/>
          <w:b w:val="0"/>
          <w:bCs w:val="0"/>
          <w:i w:val="0"/>
          <w:iCs/>
          <w:sz w:val="20"/>
          <w:szCs w:val="20"/>
        </w:rPr>
        <w:footnoteRef/>
      </w:r>
      <w:r w:rsidRPr="00767D26">
        <w:rPr>
          <w:rFonts w:cs="Arial"/>
          <w:b w:val="0"/>
          <w:bCs w:val="0"/>
          <w:i w:val="0"/>
          <w:iCs/>
          <w:sz w:val="20"/>
          <w:szCs w:val="20"/>
        </w:rPr>
        <w:t xml:space="preserve"> </w:t>
      </w:r>
      <w:r w:rsidRPr="00767D26">
        <w:rPr>
          <w:rFonts w:cs="Arial"/>
          <w:b w:val="0"/>
          <w:bCs w:val="0"/>
          <w:i w:val="0"/>
          <w:iCs/>
          <w:sz w:val="20"/>
          <w:szCs w:val="20"/>
          <w:lang w:val="en-ZA"/>
        </w:rPr>
        <w:t xml:space="preserve">2018 (2) SA 314 (SCA) at para 23. </w:t>
      </w:r>
    </w:p>
  </w:footnote>
  <w:footnote w:id="19">
    <w:p w14:paraId="2ABBF12D" w14:textId="1D53EE89" w:rsidR="00B365B1" w:rsidRPr="00767D26" w:rsidRDefault="00B365B1"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Ibid at para 23.</w:t>
      </w:r>
    </w:p>
  </w:footnote>
  <w:footnote w:id="20">
    <w:p w14:paraId="23FA6D88" w14:textId="2F4D8D3C" w:rsidR="00863558" w:rsidRPr="00767D26" w:rsidRDefault="00863558"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See section 1(a)(i) of PAJA.</w:t>
      </w:r>
    </w:p>
  </w:footnote>
  <w:footnote w:id="21">
    <w:p w14:paraId="5BE19CCA" w14:textId="77777777" w:rsidR="00485471" w:rsidRPr="00767D26" w:rsidRDefault="00485471"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[2005] 1 All SA 745 (SE) at para 39.</w:t>
      </w:r>
    </w:p>
  </w:footnote>
  <w:footnote w:id="22">
    <w:p w14:paraId="4DAD35AF" w14:textId="3DD2FEDA" w:rsidR="005F0AEA" w:rsidRPr="00767D26" w:rsidRDefault="005F0AEA" w:rsidP="00C42DCC">
      <w:pPr>
        <w:pStyle w:val="FootnoteText"/>
        <w:spacing w:before="0"/>
        <w:rPr>
          <w:lang w:val="en-ZA"/>
        </w:rPr>
      </w:pPr>
      <w:r w:rsidRPr="00767D26">
        <w:rPr>
          <w:rStyle w:val="FootnoteReference"/>
        </w:rPr>
        <w:footnoteRef/>
      </w:r>
      <w:r w:rsidRPr="00767D26">
        <w:t xml:space="preserve"> See </w:t>
      </w:r>
      <w:r w:rsidRPr="00767D26">
        <w:rPr>
          <w:i/>
          <w:iCs/>
        </w:rPr>
        <w:t>inter alia</w:t>
      </w:r>
      <w:r w:rsidRPr="00767D26">
        <w:t xml:space="preserve"> Fedsure </w:t>
      </w:r>
      <w:r w:rsidRPr="00767D26">
        <w:rPr>
          <w:i/>
          <w:iCs/>
        </w:rPr>
        <w:t>Life Assurance Ltd v Greater Johannesburg Transitional Metropolitan Council</w:t>
      </w:r>
      <w:r w:rsidR="00767D26">
        <w:t xml:space="preserve"> </w:t>
      </w:r>
      <w:r w:rsidRPr="00767D26">
        <w:t xml:space="preserve">1999 (1) SA 374 (CC); </w:t>
      </w:r>
      <w:r w:rsidRPr="00767D26">
        <w:rPr>
          <w:i/>
          <w:iCs/>
        </w:rPr>
        <w:t>Pharmaceutical Manufacturers Association of South Africa: Ex parte President of the Republic of South Africa</w:t>
      </w:r>
      <w:r w:rsidR="00767D26">
        <w:t xml:space="preserve"> </w:t>
      </w:r>
      <w:r w:rsidRPr="00767D26">
        <w:t>2000 (2) SA 674 (CC).</w:t>
      </w:r>
    </w:p>
  </w:footnote>
  <w:footnote w:id="23">
    <w:p w14:paraId="08F14FD9" w14:textId="77777777" w:rsidR="005F0AEA" w:rsidRPr="00767D26" w:rsidRDefault="005F0AEA" w:rsidP="00C42DCC">
      <w:pPr>
        <w:pStyle w:val="FootnoteText"/>
        <w:spacing w:before="0"/>
        <w:rPr>
          <w:lang w:val="en-ZA"/>
        </w:rPr>
      </w:pPr>
      <w:r w:rsidRPr="00767D26">
        <w:rPr>
          <w:rStyle w:val="FootnoteReference"/>
        </w:rPr>
        <w:footnoteRef/>
      </w:r>
      <w:r w:rsidRPr="00767D26">
        <w:t xml:space="preserve"> </w:t>
      </w:r>
      <w:r w:rsidRPr="00767D26">
        <w:rPr>
          <w:i/>
          <w:iCs/>
        </w:rPr>
        <w:t>Gauteng Gambling Board &amp; another v MEC for Economic Development, Gauteng Provincial Government</w:t>
      </w:r>
      <w:r w:rsidRPr="00767D26">
        <w:t xml:space="preserve"> 2012 (5) SA 24 (SCA).</w:t>
      </w:r>
    </w:p>
  </w:footnote>
  <w:footnote w:id="24">
    <w:p w14:paraId="2C90E012" w14:textId="45EB5C44" w:rsidR="005F0AEA" w:rsidRPr="00767D26" w:rsidRDefault="005F0AEA" w:rsidP="00C42DCC">
      <w:pPr>
        <w:pStyle w:val="FootnoteText"/>
        <w:spacing w:before="0"/>
        <w:rPr>
          <w:lang w:val="en-ZA"/>
        </w:rPr>
      </w:pPr>
      <w:r w:rsidRPr="00767D26">
        <w:rPr>
          <w:rStyle w:val="FootnoteReference"/>
        </w:rPr>
        <w:footnoteRef/>
      </w:r>
      <w:r w:rsidRPr="00767D26">
        <w:t xml:space="preserve"> </w:t>
      </w:r>
      <w:r w:rsidRPr="00767D26">
        <w:rPr>
          <w:i/>
          <w:iCs/>
        </w:rPr>
        <w:t>Pharmaceutical Manufactures: In re Ex parte Application of the President of the Republic of South</w:t>
      </w:r>
      <w:r w:rsidRPr="00767D26">
        <w:t xml:space="preserve"> </w:t>
      </w:r>
      <w:r w:rsidRPr="00767D26">
        <w:rPr>
          <w:i/>
          <w:iCs/>
        </w:rPr>
        <w:t xml:space="preserve">Africa </w:t>
      </w:r>
      <w:r w:rsidRPr="00767D26">
        <w:t>2000 (2) SA 674 (CC)</w:t>
      </w:r>
      <w:r w:rsidR="00767D26">
        <w:t>.</w:t>
      </w:r>
    </w:p>
  </w:footnote>
  <w:footnote w:id="25">
    <w:p w14:paraId="4CF0DAC5" w14:textId="77777777" w:rsidR="005F0AEA" w:rsidRPr="00767D26" w:rsidRDefault="005F0AEA" w:rsidP="00C42DCC">
      <w:pPr>
        <w:pStyle w:val="FootnoteText"/>
        <w:spacing w:before="0"/>
        <w:rPr>
          <w:lang w:val="en-ZA"/>
        </w:rPr>
      </w:pPr>
      <w:r w:rsidRPr="00767D26">
        <w:rPr>
          <w:rStyle w:val="FootnoteReference"/>
        </w:rPr>
        <w:footnoteRef/>
      </w:r>
      <w:r w:rsidRPr="00767D26">
        <w:t xml:space="preserve"> </w:t>
      </w:r>
      <w:r w:rsidRPr="00767D26">
        <w:rPr>
          <w:i/>
          <w:iCs/>
        </w:rPr>
        <w:t>Minister for Justice and Constitutional Development v Chonco</w:t>
      </w:r>
      <w:r w:rsidRPr="00767D26">
        <w:t xml:space="preserve"> 2010 (4) SA 82 (CC).</w:t>
      </w:r>
    </w:p>
  </w:footnote>
  <w:footnote w:id="26">
    <w:p w14:paraId="4F05954D" w14:textId="77777777" w:rsidR="005F0AEA" w:rsidRPr="00767D26" w:rsidRDefault="005F0AEA" w:rsidP="00C42DCC">
      <w:pPr>
        <w:pStyle w:val="FootnoteText"/>
        <w:spacing w:before="0"/>
        <w:rPr>
          <w:lang w:val="en-ZA"/>
        </w:rPr>
      </w:pPr>
      <w:r w:rsidRPr="00767D26">
        <w:rPr>
          <w:rStyle w:val="FootnoteReference"/>
        </w:rPr>
        <w:footnoteRef/>
      </w:r>
      <w:r w:rsidRPr="00767D26">
        <w:t xml:space="preserve"> </w:t>
      </w:r>
      <w:r w:rsidRPr="00767D26">
        <w:rPr>
          <w:i/>
          <w:iCs/>
        </w:rPr>
        <w:t>Albutt v Centre for the Study of Violence and Reconciliation</w:t>
      </w:r>
      <w:r w:rsidRPr="00767D26">
        <w:t xml:space="preserve"> 2010 (3) SA 293 (CC) at para 49.</w:t>
      </w:r>
    </w:p>
  </w:footnote>
  <w:footnote w:id="27">
    <w:p w14:paraId="243D8DBB" w14:textId="77777777" w:rsidR="005F0AEA" w:rsidRPr="00767D26" w:rsidRDefault="005F0AEA" w:rsidP="00C42DCC">
      <w:pPr>
        <w:pStyle w:val="FootnoteText"/>
        <w:spacing w:before="0"/>
        <w:rPr>
          <w:lang w:val="en-ZA"/>
        </w:rPr>
      </w:pPr>
      <w:r w:rsidRPr="00767D26">
        <w:rPr>
          <w:rStyle w:val="FootnoteReference"/>
        </w:rPr>
        <w:footnoteRef/>
      </w:r>
      <w:r w:rsidRPr="00767D26">
        <w:t xml:space="preserve"> 2004 (6) SA 505 (CC) at para 67.</w:t>
      </w:r>
    </w:p>
  </w:footnote>
  <w:footnote w:id="28">
    <w:p w14:paraId="533D403A" w14:textId="3FC686B3" w:rsidR="00B26090" w:rsidRPr="00767D26" w:rsidRDefault="00B26090"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Section 140(3)(a) provides that ‘</w:t>
      </w:r>
      <w:r w:rsidRPr="00767D26">
        <w:rPr>
          <w:rFonts w:cs="Arial"/>
          <w:szCs w:val="20"/>
        </w:rPr>
        <w:t>During a company’s business rescue proceedings, the practitioner—is an officer of the court, and must report to the court in accordance with any applicable rules of, or orders made by, the court’.</w:t>
      </w:r>
    </w:p>
  </w:footnote>
  <w:footnote w:id="29">
    <w:p w14:paraId="089E8394" w14:textId="3A0E3C1C" w:rsidR="00C80758" w:rsidRPr="00767D26" w:rsidRDefault="00C80758"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The provision provides that the practitioner “has the responsibilities, duties and liabilities of a director of the company, as set out in sections 75 to 77…’.</w:t>
      </w:r>
    </w:p>
  </w:footnote>
  <w:footnote w:id="30">
    <w:p w14:paraId="16F88E0B" w14:textId="77777777" w:rsidR="00ED29DB" w:rsidRPr="00767D26" w:rsidRDefault="00C80758" w:rsidP="00C42DCC">
      <w:pPr>
        <w:pStyle w:val="FootnoteText"/>
        <w:spacing w:before="0"/>
        <w:rPr>
          <w:rFonts w:cs="Arial"/>
          <w:szCs w:val="20"/>
        </w:rPr>
      </w:pPr>
      <w:r w:rsidRPr="00767D26">
        <w:rPr>
          <w:rStyle w:val="FootnoteReference"/>
          <w:rFonts w:cs="Arial"/>
          <w:szCs w:val="20"/>
        </w:rPr>
        <w:footnoteRef/>
      </w:r>
      <w:r w:rsidRPr="00767D26">
        <w:rPr>
          <w:rFonts w:cs="Arial"/>
          <w:szCs w:val="20"/>
        </w:rPr>
        <w:t xml:space="preserve"> The provision states that</w:t>
      </w:r>
      <w:r w:rsidR="00ED29DB" w:rsidRPr="00767D26">
        <w:rPr>
          <w:rFonts w:cs="Arial"/>
          <w:szCs w:val="20"/>
        </w:rPr>
        <w:t>:</w:t>
      </w:r>
    </w:p>
    <w:p w14:paraId="42EBA916" w14:textId="0D68EFF8" w:rsidR="00C80758" w:rsidRPr="00767D26" w:rsidRDefault="00C80758" w:rsidP="00C42DCC">
      <w:pPr>
        <w:pStyle w:val="FootnoteText"/>
        <w:spacing w:before="0"/>
        <w:rPr>
          <w:rFonts w:cs="Arial"/>
          <w:szCs w:val="20"/>
        </w:rPr>
      </w:pPr>
      <w:r w:rsidRPr="00767D26">
        <w:rPr>
          <w:rFonts w:cs="Arial"/>
          <w:szCs w:val="20"/>
        </w:rPr>
        <w:t xml:space="preserve"> ‘…a director of a company, when acting in that capacity, must exercise the powers and perform the functions of director— </w:t>
      </w:r>
    </w:p>
    <w:p w14:paraId="75D5E235" w14:textId="013A7103" w:rsidR="00C80758" w:rsidRPr="00767D26" w:rsidRDefault="00C80758" w:rsidP="00C42DCC">
      <w:pPr>
        <w:pStyle w:val="FootnoteText"/>
        <w:spacing w:before="0"/>
        <w:ind w:firstLine="493"/>
        <w:rPr>
          <w:rFonts w:cs="Arial"/>
          <w:szCs w:val="20"/>
        </w:rPr>
      </w:pPr>
      <w:r w:rsidRPr="00767D26">
        <w:rPr>
          <w:rFonts w:cs="Arial"/>
          <w:szCs w:val="20"/>
        </w:rPr>
        <w:t xml:space="preserve">(a) … </w:t>
      </w:r>
    </w:p>
    <w:p w14:paraId="187936FB" w14:textId="77777777" w:rsidR="00C80758" w:rsidRPr="00767D26" w:rsidRDefault="00C80758" w:rsidP="00C42DCC">
      <w:pPr>
        <w:pStyle w:val="FootnoteText"/>
        <w:spacing w:before="0"/>
        <w:ind w:firstLine="493"/>
        <w:rPr>
          <w:rFonts w:cs="Arial"/>
          <w:szCs w:val="20"/>
        </w:rPr>
      </w:pPr>
      <w:r w:rsidRPr="00767D26">
        <w:rPr>
          <w:rFonts w:cs="Arial"/>
          <w:szCs w:val="20"/>
        </w:rPr>
        <w:t xml:space="preserve">(b) in the best interests of the company; and </w:t>
      </w:r>
    </w:p>
    <w:p w14:paraId="5721EDD1" w14:textId="184C450E" w:rsidR="00C80758" w:rsidRPr="00767D26" w:rsidRDefault="00C80758" w:rsidP="00C42DCC">
      <w:pPr>
        <w:pStyle w:val="FootnoteText"/>
        <w:spacing w:before="0"/>
        <w:ind w:firstLine="493"/>
        <w:rPr>
          <w:rFonts w:cs="Arial"/>
          <w:szCs w:val="20"/>
        </w:rPr>
      </w:pPr>
      <w:r w:rsidRPr="00767D26">
        <w:rPr>
          <w:rFonts w:cs="Arial"/>
          <w:szCs w:val="20"/>
        </w:rPr>
        <w:t>(c) with the degree of care, skill and diligence that may reasonably be expected</w:t>
      </w:r>
      <w:r w:rsidR="00ED29DB" w:rsidRPr="00767D26">
        <w:rPr>
          <w:rFonts w:cs="Arial"/>
          <w:szCs w:val="20"/>
        </w:rPr>
        <w:t xml:space="preserve"> </w:t>
      </w:r>
      <w:r w:rsidRPr="00767D26">
        <w:rPr>
          <w:rFonts w:cs="Arial"/>
          <w:szCs w:val="20"/>
        </w:rPr>
        <w:t>of a person…’</w:t>
      </w:r>
    </w:p>
  </w:footnote>
  <w:footnote w:id="31">
    <w:p w14:paraId="10870C19" w14:textId="6640F485" w:rsidR="004F7A61" w:rsidRPr="00767D26" w:rsidRDefault="004F7A61"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The full provisions provide:</w:t>
      </w:r>
    </w:p>
    <w:p w14:paraId="075455B0" w14:textId="4353F559" w:rsidR="004F7A61" w:rsidRPr="00767D26" w:rsidRDefault="00ED29DB" w:rsidP="00C42DCC">
      <w:pPr>
        <w:pStyle w:val="FootnoteText"/>
        <w:spacing w:before="0"/>
        <w:ind w:right="851"/>
        <w:rPr>
          <w:rFonts w:cs="Arial"/>
          <w:szCs w:val="20"/>
        </w:rPr>
      </w:pPr>
      <w:r w:rsidRPr="00767D26">
        <w:rPr>
          <w:rFonts w:cs="Arial"/>
          <w:szCs w:val="20"/>
        </w:rPr>
        <w:t xml:space="preserve">    </w:t>
      </w:r>
      <w:r w:rsidR="004F7A61" w:rsidRPr="00767D26">
        <w:rPr>
          <w:rFonts w:cs="Arial"/>
          <w:szCs w:val="20"/>
        </w:rPr>
        <w:t>‘During a company’s business rescue proceedings, the practitioner, in addition to any other</w:t>
      </w:r>
      <w:r w:rsidRPr="00767D26">
        <w:rPr>
          <w:rFonts w:cs="Arial"/>
          <w:szCs w:val="20"/>
        </w:rPr>
        <w:t xml:space="preserve"> </w:t>
      </w:r>
      <w:r w:rsidR="004F7A61" w:rsidRPr="00767D26">
        <w:rPr>
          <w:rFonts w:cs="Arial"/>
          <w:szCs w:val="20"/>
        </w:rPr>
        <w:t xml:space="preserve">powers and duties set out in this Chapter— </w:t>
      </w:r>
    </w:p>
    <w:p w14:paraId="4E7B8F5E" w14:textId="14CD0221" w:rsidR="00ED29DB" w:rsidRPr="00767D26" w:rsidRDefault="00890EE4" w:rsidP="00890EE4">
      <w:pPr>
        <w:pStyle w:val="FootnoteText"/>
        <w:spacing w:before="0"/>
        <w:ind w:left="1080" w:right="851" w:hanging="360"/>
        <w:rPr>
          <w:rFonts w:cs="Arial"/>
          <w:szCs w:val="20"/>
        </w:rPr>
      </w:pPr>
      <w:r w:rsidRPr="00767D26">
        <w:rPr>
          <w:rFonts w:cs="Arial"/>
          <w:szCs w:val="20"/>
        </w:rPr>
        <w:t>(a)</w:t>
      </w:r>
      <w:r w:rsidRPr="00767D26">
        <w:rPr>
          <w:rFonts w:cs="Arial"/>
          <w:szCs w:val="20"/>
        </w:rPr>
        <w:tab/>
      </w:r>
      <w:r w:rsidR="004F7A61" w:rsidRPr="00767D26">
        <w:rPr>
          <w:rFonts w:cs="Arial"/>
          <w:szCs w:val="20"/>
        </w:rPr>
        <w:t>has full management control of the company in substitution for its board and pre</w:t>
      </w:r>
      <w:r w:rsidR="00ED29DB" w:rsidRPr="00767D26">
        <w:rPr>
          <w:rFonts w:cs="Arial"/>
          <w:szCs w:val="20"/>
        </w:rPr>
        <w:t xml:space="preserve">    </w:t>
      </w:r>
    </w:p>
    <w:p w14:paraId="13D1EB26" w14:textId="74B7E93C" w:rsidR="004F7A61" w:rsidRPr="00767D26" w:rsidRDefault="004F7A61" w:rsidP="00C42DCC">
      <w:pPr>
        <w:pStyle w:val="FootnoteText"/>
        <w:spacing w:before="0"/>
        <w:ind w:left="1080" w:right="851" w:firstLine="0"/>
        <w:rPr>
          <w:rFonts w:cs="Arial"/>
          <w:szCs w:val="20"/>
          <w:lang w:val="en-ZA"/>
        </w:rPr>
      </w:pPr>
      <w:r w:rsidRPr="00767D26">
        <w:rPr>
          <w:rFonts w:cs="Arial"/>
          <w:szCs w:val="20"/>
        </w:rPr>
        <w:t>existing management…’</w:t>
      </w:r>
    </w:p>
  </w:footnote>
  <w:footnote w:id="32">
    <w:p w14:paraId="70FD3EEB" w14:textId="75816021" w:rsidR="009F3858" w:rsidRPr="00767D26" w:rsidRDefault="009F3858" w:rsidP="00C42DCC">
      <w:pPr>
        <w:pStyle w:val="FootnoteText"/>
        <w:spacing w:before="0"/>
        <w:rPr>
          <w:rFonts w:cs="Arial"/>
          <w:szCs w:val="20"/>
        </w:rPr>
      </w:pPr>
      <w:r w:rsidRPr="00767D26">
        <w:rPr>
          <w:rStyle w:val="FootnoteReference"/>
          <w:rFonts w:cs="Arial"/>
          <w:szCs w:val="20"/>
        </w:rPr>
        <w:footnoteRef/>
      </w:r>
      <w:r w:rsidRPr="00767D26">
        <w:rPr>
          <w:rFonts w:cs="Arial"/>
          <w:szCs w:val="20"/>
        </w:rPr>
        <w:t xml:space="preserve"> The full provision provides: ‘During a company’s business rescue proceedings, the practitioner, in addition to any other powers and duties set out in this Chapter—</w:t>
      </w:r>
    </w:p>
    <w:p w14:paraId="1D44BE38" w14:textId="2C3814C3" w:rsidR="009F3858" w:rsidRPr="00767D26" w:rsidRDefault="009F3858" w:rsidP="00C42DCC">
      <w:pPr>
        <w:pStyle w:val="FootnoteText"/>
        <w:spacing w:before="0"/>
        <w:rPr>
          <w:rFonts w:cs="Arial"/>
          <w:szCs w:val="20"/>
        </w:rPr>
      </w:pPr>
      <w:r w:rsidRPr="00767D26">
        <w:rPr>
          <w:rFonts w:cs="Arial"/>
          <w:szCs w:val="20"/>
        </w:rPr>
        <w:tab/>
      </w:r>
      <w:r w:rsidRPr="00767D26">
        <w:rPr>
          <w:rFonts w:cs="Arial"/>
          <w:szCs w:val="20"/>
        </w:rPr>
        <w:tab/>
      </w:r>
      <w:r w:rsidR="00411626" w:rsidRPr="00767D26">
        <w:rPr>
          <w:rFonts w:cs="Arial"/>
          <w:szCs w:val="20"/>
        </w:rPr>
        <w:t xml:space="preserve"> </w:t>
      </w:r>
      <w:r w:rsidRPr="00767D26">
        <w:rPr>
          <w:rFonts w:cs="Arial"/>
          <w:szCs w:val="20"/>
        </w:rPr>
        <w:t>…</w:t>
      </w:r>
    </w:p>
    <w:p w14:paraId="3EF63047" w14:textId="77777777" w:rsidR="00411626" w:rsidRPr="00767D26" w:rsidRDefault="00411626" w:rsidP="00C42DCC">
      <w:pPr>
        <w:pStyle w:val="FootnoteText"/>
        <w:spacing w:before="0"/>
        <w:rPr>
          <w:rFonts w:cs="Arial"/>
          <w:szCs w:val="20"/>
        </w:rPr>
      </w:pPr>
    </w:p>
    <w:p w14:paraId="2611DB7D" w14:textId="77777777" w:rsidR="009F3858" w:rsidRPr="00767D26" w:rsidRDefault="009F3858" w:rsidP="00C42DCC">
      <w:pPr>
        <w:pStyle w:val="FootnoteText"/>
        <w:spacing w:before="0"/>
        <w:ind w:firstLine="493"/>
        <w:rPr>
          <w:rFonts w:cs="Arial"/>
          <w:szCs w:val="20"/>
        </w:rPr>
      </w:pPr>
      <w:r w:rsidRPr="00767D26">
        <w:rPr>
          <w:rFonts w:cs="Arial"/>
          <w:szCs w:val="20"/>
        </w:rPr>
        <w:t xml:space="preserve">(d) is responsible to— </w:t>
      </w:r>
    </w:p>
    <w:p w14:paraId="6FC51405" w14:textId="77777777" w:rsidR="009F3858" w:rsidRPr="00767D26" w:rsidRDefault="009F3858" w:rsidP="00C42DCC">
      <w:pPr>
        <w:pStyle w:val="FootnoteText"/>
        <w:spacing w:before="0"/>
        <w:ind w:left="720" w:firstLine="0"/>
        <w:rPr>
          <w:rFonts w:cs="Arial"/>
          <w:szCs w:val="20"/>
        </w:rPr>
      </w:pPr>
      <w:r w:rsidRPr="00767D26">
        <w:rPr>
          <w:rFonts w:cs="Arial"/>
          <w:szCs w:val="20"/>
        </w:rPr>
        <w:t xml:space="preserve">(i) develop a business rescue plan to be considered by affected persons, in accordance with   </w:t>
      </w:r>
    </w:p>
    <w:p w14:paraId="3F93CF34" w14:textId="39B72B99" w:rsidR="009F3858" w:rsidRPr="00767D26" w:rsidRDefault="009F3858" w:rsidP="00C42DCC">
      <w:pPr>
        <w:pStyle w:val="FootnoteText"/>
        <w:spacing w:before="0"/>
        <w:ind w:left="720" w:firstLine="0"/>
        <w:rPr>
          <w:rFonts w:cs="Arial"/>
          <w:szCs w:val="20"/>
        </w:rPr>
      </w:pPr>
      <w:r w:rsidRPr="00767D26">
        <w:rPr>
          <w:rFonts w:cs="Arial"/>
          <w:szCs w:val="20"/>
        </w:rPr>
        <w:t xml:space="preserve">    Part D of this Chapter; and </w:t>
      </w:r>
    </w:p>
    <w:p w14:paraId="66E59286" w14:textId="77777777" w:rsidR="009F3858" w:rsidRPr="00767D26" w:rsidRDefault="009F3858" w:rsidP="00C42DCC">
      <w:pPr>
        <w:pStyle w:val="FootnoteText"/>
        <w:spacing w:before="0"/>
        <w:ind w:firstLine="493"/>
        <w:rPr>
          <w:rFonts w:cs="Arial"/>
          <w:szCs w:val="20"/>
        </w:rPr>
      </w:pPr>
      <w:r w:rsidRPr="00767D26">
        <w:rPr>
          <w:rFonts w:cs="Arial"/>
          <w:szCs w:val="20"/>
        </w:rPr>
        <w:t xml:space="preserve">(ii) implement any business rescue plan that has been adopted in accordance with Part D of </w:t>
      </w:r>
    </w:p>
    <w:p w14:paraId="004CFB50" w14:textId="018A1A1A" w:rsidR="009F3858" w:rsidRPr="00767D26" w:rsidRDefault="009F3858" w:rsidP="00C42DCC">
      <w:pPr>
        <w:pStyle w:val="FootnoteText"/>
        <w:spacing w:before="0"/>
        <w:ind w:firstLine="493"/>
        <w:rPr>
          <w:rFonts w:cs="Arial"/>
          <w:szCs w:val="20"/>
          <w:lang w:val="en-ZA"/>
        </w:rPr>
      </w:pPr>
      <w:r w:rsidRPr="00767D26">
        <w:rPr>
          <w:rFonts w:cs="Arial"/>
          <w:szCs w:val="20"/>
        </w:rPr>
        <w:t xml:space="preserve">     this Chapter’.</w:t>
      </w:r>
    </w:p>
  </w:footnote>
  <w:footnote w:id="33">
    <w:p w14:paraId="312D48F9" w14:textId="097B594D" w:rsidR="001B6995" w:rsidRPr="00767D26" w:rsidRDefault="001B6995" w:rsidP="00C42DCC">
      <w:pPr>
        <w:pStyle w:val="1"/>
        <w:numPr>
          <w:ilvl w:val="0"/>
          <w:numId w:val="0"/>
        </w:numPr>
        <w:spacing w:before="0" w:line="240" w:lineRule="auto"/>
        <w:rPr>
          <w:rFonts w:cs="Arial"/>
          <w:sz w:val="20"/>
          <w:szCs w:val="20"/>
        </w:rPr>
      </w:pPr>
      <w:r w:rsidRPr="00767D26">
        <w:rPr>
          <w:rStyle w:val="FootnoteReference"/>
          <w:rFonts w:cs="Arial"/>
          <w:sz w:val="20"/>
          <w:szCs w:val="20"/>
        </w:rPr>
        <w:footnoteRef/>
      </w:r>
      <w:r w:rsidRPr="00767D26">
        <w:rPr>
          <w:rFonts w:cs="Arial"/>
          <w:sz w:val="20"/>
          <w:szCs w:val="20"/>
        </w:rPr>
        <w:t xml:space="preserve">  2022 (5) SA 179 (GP).</w:t>
      </w:r>
    </w:p>
  </w:footnote>
  <w:footnote w:id="34">
    <w:p w14:paraId="12CAC3E0" w14:textId="6EE312BF" w:rsidR="007032F8" w:rsidRPr="00767D26" w:rsidRDefault="007032F8"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eastAsia="en-US"/>
        </w:rPr>
        <w:t xml:space="preserve">[2023] ZACC 10 </w:t>
      </w:r>
      <w:r w:rsidR="006E598E">
        <w:rPr>
          <w:rFonts w:cs="Arial"/>
          <w:szCs w:val="20"/>
          <w:lang w:val="en-ZA" w:eastAsia="en-US"/>
        </w:rPr>
        <w:t>at para 126.</w:t>
      </w:r>
    </w:p>
  </w:footnote>
  <w:footnote w:id="35">
    <w:p w14:paraId="6E2C126C" w14:textId="77777777" w:rsidR="00040DBB" w:rsidRPr="00767D26" w:rsidRDefault="00040DBB" w:rsidP="00C42DCC">
      <w:pPr>
        <w:pStyle w:val="FootnoteText"/>
        <w:spacing w:before="0"/>
        <w:rPr>
          <w:rFonts w:cs="Arial"/>
          <w:szCs w:val="20"/>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The provision in part reads: ‘</w:t>
      </w:r>
      <w:r w:rsidRPr="00767D26">
        <w:rPr>
          <w:rFonts w:cs="Arial"/>
          <w:szCs w:val="20"/>
        </w:rPr>
        <w:t xml:space="preserve">The Republic of South Africa is one, sovereign, democratic state founded on the following values: </w:t>
      </w:r>
    </w:p>
    <w:p w14:paraId="4530E3B1" w14:textId="5A6C2508" w:rsidR="00040DBB" w:rsidRPr="00767D26" w:rsidRDefault="00FD5BFC" w:rsidP="00C42DCC">
      <w:pPr>
        <w:pStyle w:val="FootnoteText"/>
        <w:spacing w:before="0"/>
        <w:rPr>
          <w:rFonts w:cs="Arial"/>
          <w:szCs w:val="20"/>
        </w:rPr>
      </w:pPr>
      <w:r>
        <w:rPr>
          <w:rFonts w:cs="Arial"/>
          <w:szCs w:val="20"/>
        </w:rPr>
        <w:t xml:space="preserve"> </w:t>
      </w:r>
      <w:r w:rsidR="00040DBB" w:rsidRPr="00767D26">
        <w:rPr>
          <w:rFonts w:cs="Arial"/>
          <w:szCs w:val="20"/>
        </w:rPr>
        <w:t>…</w:t>
      </w:r>
    </w:p>
    <w:p w14:paraId="3AF15122" w14:textId="6EC5EE53" w:rsidR="00040DBB" w:rsidRPr="00767D26" w:rsidRDefault="00040DBB" w:rsidP="00C42DCC">
      <w:pPr>
        <w:pStyle w:val="FootnoteText"/>
        <w:spacing w:before="0"/>
        <w:rPr>
          <w:rFonts w:cs="Arial"/>
          <w:szCs w:val="20"/>
          <w:lang w:val="en-ZA"/>
        </w:rPr>
      </w:pPr>
      <w:r w:rsidRPr="00767D26">
        <w:rPr>
          <w:rFonts w:cs="Arial"/>
          <w:szCs w:val="20"/>
        </w:rPr>
        <w:t>(d) Universal adult suffrage, a national common voters roll, regular elections and a multi-party system of democratic government, to ensure accountability, responsiveness and openness’.</w:t>
      </w:r>
    </w:p>
  </w:footnote>
  <w:footnote w:id="36">
    <w:p w14:paraId="1357EC6A" w14:textId="77777777" w:rsidR="00354854" w:rsidRPr="00767D26" w:rsidRDefault="00354854" w:rsidP="00C42DCC">
      <w:pPr>
        <w:pStyle w:val="FootnoteText"/>
        <w:spacing w:before="0"/>
        <w:rPr>
          <w:rFonts w:cs="Arial"/>
          <w:szCs w:val="20"/>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The section in part provides: ‘</w:t>
      </w:r>
      <w:r w:rsidRPr="00767D26">
        <w:rPr>
          <w:rFonts w:cs="Arial"/>
          <w:szCs w:val="20"/>
        </w:rPr>
        <w:t xml:space="preserve">Public administration must be governed by the democratic values and principles enshrined in the Constitution, including the following principles: </w:t>
      </w:r>
    </w:p>
    <w:p w14:paraId="63669AA5" w14:textId="77777777" w:rsidR="00354854" w:rsidRPr="00767D26" w:rsidRDefault="00354854" w:rsidP="00C42DCC">
      <w:pPr>
        <w:pStyle w:val="FootnoteText"/>
        <w:spacing w:before="0"/>
        <w:rPr>
          <w:rFonts w:cs="Arial"/>
          <w:szCs w:val="20"/>
        </w:rPr>
      </w:pPr>
      <w:r w:rsidRPr="00767D26">
        <w:rPr>
          <w:rFonts w:cs="Arial"/>
          <w:szCs w:val="20"/>
        </w:rPr>
        <w:t xml:space="preserve">(a) A high standard of professional ethics must be promoted and maintained. </w:t>
      </w:r>
    </w:p>
    <w:p w14:paraId="3D909392" w14:textId="77777777" w:rsidR="00354854" w:rsidRPr="00767D26" w:rsidRDefault="00354854" w:rsidP="00C42DCC">
      <w:pPr>
        <w:pStyle w:val="FootnoteText"/>
        <w:spacing w:before="0"/>
        <w:rPr>
          <w:rFonts w:cs="Arial"/>
          <w:szCs w:val="20"/>
        </w:rPr>
      </w:pPr>
      <w:r w:rsidRPr="00767D26">
        <w:rPr>
          <w:rFonts w:cs="Arial"/>
          <w:szCs w:val="20"/>
        </w:rPr>
        <w:t xml:space="preserve">(b) Efficient, economic and effective use of resources must be promoted. </w:t>
      </w:r>
    </w:p>
    <w:p w14:paraId="5BD7A46A" w14:textId="77777777" w:rsidR="00354854" w:rsidRPr="00767D26" w:rsidRDefault="00354854" w:rsidP="00C42DCC">
      <w:pPr>
        <w:pStyle w:val="FootnoteText"/>
        <w:spacing w:before="0"/>
        <w:rPr>
          <w:rFonts w:cs="Arial"/>
          <w:szCs w:val="20"/>
        </w:rPr>
      </w:pPr>
      <w:r w:rsidRPr="00767D26">
        <w:rPr>
          <w:rFonts w:cs="Arial"/>
          <w:szCs w:val="20"/>
        </w:rPr>
        <w:t xml:space="preserve">(c) Public administration must be development-oriented. </w:t>
      </w:r>
    </w:p>
    <w:p w14:paraId="6457BDB1" w14:textId="77777777" w:rsidR="00354854" w:rsidRPr="00767D26" w:rsidRDefault="00354854" w:rsidP="00C42DCC">
      <w:pPr>
        <w:pStyle w:val="FootnoteText"/>
        <w:spacing w:before="0"/>
        <w:rPr>
          <w:rFonts w:cs="Arial"/>
          <w:szCs w:val="20"/>
        </w:rPr>
      </w:pPr>
      <w:r w:rsidRPr="00767D26">
        <w:rPr>
          <w:rFonts w:cs="Arial"/>
          <w:szCs w:val="20"/>
        </w:rPr>
        <w:t xml:space="preserve">(d) Services must be provided impartially, fairly, equitably and without bias. </w:t>
      </w:r>
    </w:p>
    <w:p w14:paraId="672E4C28" w14:textId="77777777" w:rsidR="00354854" w:rsidRPr="00767D26" w:rsidRDefault="00354854" w:rsidP="00C42DCC">
      <w:pPr>
        <w:pStyle w:val="FootnoteText"/>
        <w:spacing w:before="0"/>
        <w:rPr>
          <w:rFonts w:cs="Arial"/>
          <w:szCs w:val="20"/>
        </w:rPr>
      </w:pPr>
      <w:r w:rsidRPr="00767D26">
        <w:rPr>
          <w:rFonts w:cs="Arial"/>
          <w:szCs w:val="20"/>
        </w:rPr>
        <w:t xml:space="preserve">(e) People’s needs must be responded to, and the public must be encouraged to participate in policy-making. </w:t>
      </w:r>
    </w:p>
    <w:p w14:paraId="2519D3EC" w14:textId="77777777" w:rsidR="00354854" w:rsidRPr="00767D26" w:rsidRDefault="00354854" w:rsidP="00C42DCC">
      <w:pPr>
        <w:pStyle w:val="FootnoteText"/>
        <w:spacing w:before="0"/>
        <w:rPr>
          <w:rFonts w:cs="Arial"/>
          <w:szCs w:val="20"/>
        </w:rPr>
      </w:pPr>
      <w:r w:rsidRPr="00767D26">
        <w:rPr>
          <w:rFonts w:cs="Arial"/>
          <w:szCs w:val="20"/>
        </w:rPr>
        <w:t xml:space="preserve">(f) Public administration must be accountable. </w:t>
      </w:r>
    </w:p>
    <w:p w14:paraId="56C007A1" w14:textId="0CF5FC20" w:rsidR="00354854" w:rsidRPr="00767D26" w:rsidRDefault="00354854" w:rsidP="00C42DCC">
      <w:pPr>
        <w:pStyle w:val="FootnoteText"/>
        <w:spacing w:before="0"/>
        <w:rPr>
          <w:rFonts w:cs="Arial"/>
          <w:szCs w:val="20"/>
          <w:lang w:val="en-ZA"/>
        </w:rPr>
      </w:pPr>
      <w:r w:rsidRPr="00767D26">
        <w:rPr>
          <w:rFonts w:cs="Arial"/>
          <w:szCs w:val="20"/>
        </w:rPr>
        <w:t>(g) Transparency must be fostered by providing the public with timely, accessible and accurate information…’</w:t>
      </w:r>
    </w:p>
    <w:p w14:paraId="118322F2" w14:textId="77777777" w:rsidR="00354854" w:rsidRPr="00767D26" w:rsidRDefault="00354854" w:rsidP="00C42DCC">
      <w:pPr>
        <w:pStyle w:val="FootnoteText"/>
        <w:spacing w:before="0"/>
        <w:rPr>
          <w:rFonts w:cs="Arial"/>
          <w:szCs w:val="20"/>
          <w:lang w:val="en-ZA"/>
        </w:rPr>
      </w:pPr>
    </w:p>
  </w:footnote>
  <w:footnote w:id="37">
    <w:p w14:paraId="2AD2F516" w14:textId="63F67E8F" w:rsidR="009375E1" w:rsidRPr="00767D26" w:rsidRDefault="009375E1"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eastAsia="en-US"/>
        </w:rPr>
        <w:t>2020 (5) SA 35 (SCA) at para 16.</w:t>
      </w:r>
    </w:p>
  </w:footnote>
  <w:footnote w:id="38">
    <w:p w14:paraId="6836DF8B" w14:textId="6C470FB6" w:rsidR="009375E1" w:rsidRPr="00767D26" w:rsidRDefault="009375E1"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eastAsia="en-US"/>
        </w:rPr>
        <w:t>2017 (4) SA 51 (WCC) at para 57.</w:t>
      </w:r>
    </w:p>
  </w:footnote>
  <w:footnote w:id="39">
    <w:p w14:paraId="4ABBB29E" w14:textId="77777777" w:rsidR="003D0863" w:rsidRPr="006A1F83" w:rsidRDefault="003D0863" w:rsidP="00C42DCC">
      <w:pPr>
        <w:autoSpaceDE w:val="0"/>
        <w:autoSpaceDN w:val="0"/>
        <w:adjustRightInd w:val="0"/>
        <w:rPr>
          <w:rFonts w:cs="Arial"/>
          <w:sz w:val="20"/>
          <w:szCs w:val="20"/>
          <w:lang w:val="en-ZA" w:eastAsia="en-US"/>
        </w:rPr>
      </w:pPr>
      <w:r w:rsidRPr="006A1F83">
        <w:rPr>
          <w:rStyle w:val="FootnoteReference"/>
          <w:rFonts w:cs="Arial"/>
          <w:sz w:val="20"/>
          <w:szCs w:val="20"/>
        </w:rPr>
        <w:footnoteRef/>
      </w:r>
      <w:r w:rsidRPr="006A1F83">
        <w:rPr>
          <w:rFonts w:cs="Arial"/>
          <w:sz w:val="20"/>
          <w:szCs w:val="20"/>
          <w:lang w:val="en-ZA" w:eastAsia="en-US"/>
        </w:rPr>
        <w:t>2019 (4) SA 372 (CC) at para 38</w:t>
      </w:r>
    </w:p>
  </w:footnote>
  <w:footnote w:id="40">
    <w:p w14:paraId="661BB22A" w14:textId="5724A6E5" w:rsidR="000754EA" w:rsidRPr="00767D26" w:rsidRDefault="000754EA" w:rsidP="00C42DCC">
      <w:pPr>
        <w:pStyle w:val="Heading2"/>
        <w:shd w:val="clear" w:color="auto" w:fill="FFFFFF"/>
        <w:spacing w:before="0"/>
        <w:rPr>
          <w:rFonts w:cs="Arial"/>
          <w:b w:val="0"/>
          <w:bCs w:val="0"/>
          <w:i w:val="0"/>
          <w:iCs/>
          <w:sz w:val="20"/>
          <w:szCs w:val="20"/>
          <w:lang w:val="en-ZA"/>
        </w:rPr>
      </w:pPr>
      <w:r w:rsidRPr="00767D26">
        <w:rPr>
          <w:rStyle w:val="FootnoteReference"/>
          <w:rFonts w:cs="Arial"/>
          <w:b w:val="0"/>
          <w:bCs w:val="0"/>
          <w:i w:val="0"/>
          <w:iCs/>
          <w:sz w:val="20"/>
          <w:szCs w:val="20"/>
        </w:rPr>
        <w:footnoteRef/>
      </w:r>
      <w:r w:rsidR="0087485E">
        <w:rPr>
          <w:rFonts w:cs="Arial"/>
          <w:b w:val="0"/>
          <w:bCs w:val="0"/>
          <w:i w:val="0"/>
          <w:iCs/>
          <w:sz w:val="20"/>
          <w:szCs w:val="20"/>
        </w:rPr>
        <w:t xml:space="preserve"> </w:t>
      </w:r>
      <w:r w:rsidR="00DA55F8" w:rsidRPr="00767D26">
        <w:rPr>
          <w:rFonts w:cs="Arial"/>
          <w:b w:val="0"/>
          <w:bCs w:val="0"/>
          <w:i w:val="0"/>
          <w:iCs/>
          <w:sz w:val="20"/>
          <w:szCs w:val="20"/>
          <w:lang w:val="en-ZA"/>
        </w:rPr>
        <w:t xml:space="preserve">[2021] ZAGPPHC 56 </w:t>
      </w:r>
      <w:r w:rsidRPr="00767D26">
        <w:rPr>
          <w:rFonts w:cs="Arial"/>
          <w:b w:val="0"/>
          <w:bCs w:val="0"/>
          <w:i w:val="0"/>
          <w:iCs/>
          <w:sz w:val="20"/>
          <w:szCs w:val="20"/>
          <w:lang w:val="en-ZA" w:eastAsia="en-US"/>
        </w:rPr>
        <w:t xml:space="preserve">at paras 208 </w:t>
      </w:r>
      <w:r w:rsidR="0087485E">
        <w:rPr>
          <w:rFonts w:cs="Arial"/>
          <w:b w:val="0"/>
          <w:bCs w:val="0"/>
          <w:i w:val="0"/>
          <w:iCs/>
          <w:sz w:val="20"/>
          <w:szCs w:val="20"/>
          <w:lang w:val="en-ZA" w:eastAsia="en-US"/>
        </w:rPr>
        <w:t xml:space="preserve">to </w:t>
      </w:r>
      <w:r w:rsidRPr="00767D26">
        <w:rPr>
          <w:rFonts w:cs="Arial"/>
          <w:b w:val="0"/>
          <w:bCs w:val="0"/>
          <w:i w:val="0"/>
          <w:iCs/>
          <w:sz w:val="20"/>
          <w:szCs w:val="20"/>
          <w:lang w:val="en-ZA" w:eastAsia="en-US"/>
        </w:rPr>
        <w:t>209 and paras 211 – 213</w:t>
      </w:r>
      <w:r w:rsidR="00FD5BFC">
        <w:rPr>
          <w:rFonts w:cs="Arial"/>
          <w:b w:val="0"/>
          <w:bCs w:val="0"/>
          <w:i w:val="0"/>
          <w:iCs/>
          <w:sz w:val="20"/>
          <w:szCs w:val="20"/>
          <w:lang w:val="en-ZA" w:eastAsia="en-US"/>
        </w:rPr>
        <w:t xml:space="preserve"> (</w:t>
      </w:r>
      <w:r w:rsidR="00FD5BFC" w:rsidRPr="0087485E">
        <w:rPr>
          <w:rFonts w:cs="Arial"/>
          <w:b w:val="0"/>
          <w:bCs w:val="0"/>
          <w:sz w:val="20"/>
          <w:szCs w:val="20"/>
          <w:lang w:val="en-ZA" w:eastAsia="en-US"/>
        </w:rPr>
        <w:t xml:space="preserve">Myeni </w:t>
      </w:r>
      <w:r w:rsidR="00FD5BFC">
        <w:rPr>
          <w:rFonts w:cs="Arial"/>
          <w:b w:val="0"/>
          <w:bCs w:val="0"/>
          <w:i w:val="0"/>
          <w:iCs/>
          <w:sz w:val="20"/>
          <w:szCs w:val="20"/>
          <w:lang w:val="en-ZA" w:eastAsia="en-US"/>
        </w:rPr>
        <w:t>decision)</w:t>
      </w:r>
      <w:r w:rsidRPr="00767D26">
        <w:rPr>
          <w:rFonts w:cs="Arial"/>
          <w:b w:val="0"/>
          <w:bCs w:val="0"/>
          <w:i w:val="0"/>
          <w:iCs/>
          <w:sz w:val="20"/>
          <w:szCs w:val="20"/>
          <w:lang w:val="en-ZA" w:eastAsia="en-US"/>
        </w:rPr>
        <w:t>.</w:t>
      </w:r>
    </w:p>
  </w:footnote>
  <w:footnote w:id="41">
    <w:p w14:paraId="1CB8D6B9" w14:textId="565141E0" w:rsidR="00334EC7" w:rsidRPr="00767D26" w:rsidRDefault="00334EC7" w:rsidP="00C42DCC">
      <w:pPr>
        <w:autoSpaceDE w:val="0"/>
        <w:autoSpaceDN w:val="0"/>
        <w:adjustRightInd w:val="0"/>
        <w:rPr>
          <w:rFonts w:cs="Arial"/>
          <w:sz w:val="20"/>
          <w:szCs w:val="20"/>
          <w:lang w:val="en-ZA" w:eastAsia="en-US"/>
        </w:rPr>
      </w:pPr>
      <w:r w:rsidRPr="00767D26">
        <w:rPr>
          <w:rStyle w:val="FootnoteReference"/>
          <w:rFonts w:cs="Arial"/>
          <w:sz w:val="20"/>
          <w:szCs w:val="20"/>
        </w:rPr>
        <w:footnoteRef/>
      </w:r>
      <w:r w:rsidRPr="00767D26">
        <w:rPr>
          <w:rFonts w:cs="Arial"/>
          <w:sz w:val="20"/>
          <w:szCs w:val="20"/>
        </w:rPr>
        <w:t xml:space="preserve"> 2</w:t>
      </w:r>
      <w:r w:rsidRPr="00767D26">
        <w:rPr>
          <w:rFonts w:cs="Arial"/>
          <w:sz w:val="20"/>
          <w:szCs w:val="20"/>
          <w:lang w:val="en-ZA" w:eastAsia="en-US"/>
        </w:rPr>
        <w:t>018 (2) SA 23 (CC) at para 40.</w:t>
      </w:r>
    </w:p>
  </w:footnote>
  <w:footnote w:id="42">
    <w:p w14:paraId="2E5B236C" w14:textId="3B4EE934" w:rsidR="00A75A4B" w:rsidRPr="00767D26" w:rsidRDefault="00A75A4B"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 xml:space="preserve">2017 (5) SA 1 (CC) at para 9. </w:t>
      </w:r>
    </w:p>
  </w:footnote>
  <w:footnote w:id="43">
    <w:p w14:paraId="3E46E29B" w14:textId="3894932D" w:rsidR="00C34FEB" w:rsidRPr="00767D26" w:rsidRDefault="00C34FEB" w:rsidP="00C42DCC">
      <w:pPr>
        <w:autoSpaceDE w:val="0"/>
        <w:autoSpaceDN w:val="0"/>
        <w:adjustRightInd w:val="0"/>
        <w:rPr>
          <w:rFonts w:cs="Arial"/>
          <w:sz w:val="20"/>
          <w:szCs w:val="20"/>
          <w:lang w:val="en-ZA" w:eastAsia="en-US"/>
        </w:rPr>
      </w:pPr>
      <w:r w:rsidRPr="00767D26">
        <w:rPr>
          <w:rStyle w:val="FootnoteReference"/>
          <w:rFonts w:cs="Arial"/>
          <w:sz w:val="20"/>
          <w:szCs w:val="20"/>
        </w:rPr>
        <w:footnoteRef/>
      </w:r>
      <w:r w:rsidRPr="00767D26">
        <w:rPr>
          <w:rFonts w:cs="Arial"/>
          <w:sz w:val="20"/>
          <w:szCs w:val="20"/>
        </w:rPr>
        <w:t xml:space="preserve"> </w:t>
      </w:r>
      <w:r w:rsidRPr="00767D26">
        <w:rPr>
          <w:rFonts w:cs="Arial"/>
          <w:sz w:val="20"/>
          <w:szCs w:val="20"/>
          <w:lang w:val="en-ZA" w:eastAsia="en-US"/>
        </w:rPr>
        <w:t>(1) SA 984 (CC) at para 231.</w:t>
      </w:r>
    </w:p>
  </w:footnote>
  <w:footnote w:id="44">
    <w:p w14:paraId="2F823AAD" w14:textId="3A9AA953" w:rsidR="00283528" w:rsidRPr="00767D26" w:rsidRDefault="00283528"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eastAsia="en-US"/>
        </w:rPr>
        <w:t>(2424/14) [2015] ZASCA 118 (11 September 2015).</w:t>
      </w:r>
    </w:p>
  </w:footnote>
  <w:footnote w:id="45">
    <w:p w14:paraId="6B2D16C2" w14:textId="10194AF9" w:rsidR="00A53E5E" w:rsidRPr="00767D26" w:rsidRDefault="00A53E5E" w:rsidP="00C42DCC">
      <w:pPr>
        <w:autoSpaceDE w:val="0"/>
        <w:autoSpaceDN w:val="0"/>
        <w:adjustRightInd w:val="0"/>
        <w:rPr>
          <w:rFonts w:cs="Arial"/>
          <w:b/>
          <w:bCs/>
          <w:sz w:val="20"/>
          <w:szCs w:val="20"/>
          <w:lang w:val="en-ZA" w:eastAsia="en-US"/>
        </w:rPr>
      </w:pPr>
      <w:r w:rsidRPr="00767D26">
        <w:rPr>
          <w:rStyle w:val="FootnoteReference"/>
          <w:rFonts w:cs="Arial"/>
          <w:sz w:val="20"/>
          <w:szCs w:val="20"/>
        </w:rPr>
        <w:footnoteRef/>
      </w:r>
      <w:r w:rsidRPr="00767D26">
        <w:rPr>
          <w:rFonts w:cs="Arial"/>
          <w:sz w:val="20"/>
          <w:szCs w:val="20"/>
        </w:rPr>
        <w:t xml:space="preserve"> </w:t>
      </w:r>
      <w:r w:rsidRPr="00767D26">
        <w:rPr>
          <w:rFonts w:cs="Arial"/>
          <w:i/>
          <w:iCs/>
          <w:sz w:val="20"/>
          <w:szCs w:val="20"/>
          <w:lang w:val="en-ZA" w:eastAsia="en-US"/>
        </w:rPr>
        <w:t>Korabie v Judicial Commission of Inquiry into Allegations of State Capture, Corruption &amp; Fraud in the Public Sector, including Organs of State &amp; Others</w:t>
      </w:r>
      <w:r w:rsidRPr="00767D26">
        <w:rPr>
          <w:rFonts w:cs="Arial"/>
          <w:sz w:val="20"/>
          <w:szCs w:val="20"/>
          <w:lang w:val="en-ZA" w:eastAsia="en-US"/>
        </w:rPr>
        <w:t xml:space="preserve"> 2022 4 All SA 811 (WCC).</w:t>
      </w:r>
    </w:p>
  </w:footnote>
  <w:footnote w:id="46">
    <w:p w14:paraId="5BEDFFBD" w14:textId="57ED3C5E" w:rsidR="006604BB" w:rsidRPr="00767D26" w:rsidRDefault="006604BB"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eastAsia="en-US"/>
        </w:rPr>
        <w:t>2004 (4) SA 490 (CC).</w:t>
      </w:r>
    </w:p>
  </w:footnote>
  <w:footnote w:id="47">
    <w:p w14:paraId="03385348" w14:textId="369337A7" w:rsidR="00DC47E3" w:rsidRPr="00767D26" w:rsidRDefault="00DC47E3" w:rsidP="00C42DCC">
      <w:pPr>
        <w:autoSpaceDE w:val="0"/>
        <w:autoSpaceDN w:val="0"/>
        <w:adjustRightInd w:val="0"/>
        <w:rPr>
          <w:rFonts w:cs="Arial"/>
          <w:sz w:val="20"/>
          <w:szCs w:val="20"/>
          <w:lang w:val="en-ZA" w:eastAsia="en-US"/>
        </w:rPr>
      </w:pPr>
      <w:r w:rsidRPr="00767D26">
        <w:rPr>
          <w:rStyle w:val="FootnoteReference"/>
          <w:rFonts w:cs="Arial"/>
          <w:sz w:val="20"/>
          <w:szCs w:val="20"/>
        </w:rPr>
        <w:footnoteRef/>
      </w:r>
      <w:r w:rsidRPr="00767D26">
        <w:rPr>
          <w:rFonts w:cs="Arial"/>
          <w:sz w:val="20"/>
          <w:szCs w:val="20"/>
        </w:rPr>
        <w:t xml:space="preserve"> </w:t>
      </w:r>
      <w:r w:rsidRPr="00767D26">
        <w:rPr>
          <w:rFonts w:cs="Arial"/>
          <w:sz w:val="20"/>
          <w:szCs w:val="20"/>
          <w:lang w:val="en-ZA" w:eastAsia="en-US"/>
        </w:rPr>
        <w:t>2012 (6) SA 223 (CC); 2012 (11) BCLR 1148 (CC) para [45] – [47].</w:t>
      </w:r>
    </w:p>
  </w:footnote>
  <w:footnote w:id="48">
    <w:p w14:paraId="328CA3A2" w14:textId="5627A1EC" w:rsidR="006B6479" w:rsidRPr="00767D26" w:rsidRDefault="006B6479"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eastAsia="en-US"/>
        </w:rPr>
        <w:t>1984 (3) SA 623 (A) 634H-I.</w:t>
      </w:r>
    </w:p>
  </w:footnote>
  <w:footnote w:id="49">
    <w:p w14:paraId="7767C543" w14:textId="1BADE95D" w:rsidR="00D911F8" w:rsidRPr="00767D26" w:rsidRDefault="00D911F8" w:rsidP="00C42DCC">
      <w:pPr>
        <w:autoSpaceDE w:val="0"/>
        <w:autoSpaceDN w:val="0"/>
        <w:adjustRightInd w:val="0"/>
        <w:rPr>
          <w:rFonts w:cs="Arial"/>
          <w:sz w:val="20"/>
          <w:szCs w:val="20"/>
          <w:lang w:val="en-ZA" w:eastAsia="en-US"/>
        </w:rPr>
      </w:pPr>
      <w:r w:rsidRPr="00767D26">
        <w:rPr>
          <w:rStyle w:val="FootnoteReference"/>
          <w:rFonts w:cs="Arial"/>
          <w:sz w:val="20"/>
          <w:szCs w:val="20"/>
        </w:rPr>
        <w:footnoteRef/>
      </w:r>
      <w:r w:rsidRPr="00767D26">
        <w:rPr>
          <w:rFonts w:cs="Arial"/>
          <w:sz w:val="20"/>
          <w:szCs w:val="20"/>
        </w:rPr>
        <w:t xml:space="preserve"> </w:t>
      </w:r>
      <w:r w:rsidRPr="00767D26">
        <w:rPr>
          <w:rFonts w:cs="Arial"/>
          <w:sz w:val="20"/>
          <w:szCs w:val="20"/>
          <w:lang w:val="en-ZA" w:eastAsia="en-US"/>
        </w:rPr>
        <w:t>2018 (2) SA 571 (CC)</w:t>
      </w:r>
      <w:r w:rsidR="008955C2">
        <w:rPr>
          <w:rFonts w:cs="Arial"/>
          <w:sz w:val="20"/>
          <w:szCs w:val="20"/>
          <w:lang w:val="en-ZA" w:eastAsia="en-US"/>
        </w:rPr>
        <w:t xml:space="preserve"> </w:t>
      </w:r>
      <w:r w:rsidR="00CC2669" w:rsidRPr="00767D26">
        <w:rPr>
          <w:rFonts w:cs="Arial"/>
          <w:sz w:val="20"/>
          <w:szCs w:val="20"/>
          <w:lang w:val="en-ZA" w:eastAsia="en-US"/>
        </w:rPr>
        <w:t xml:space="preserve">at </w:t>
      </w:r>
      <w:r w:rsidRPr="00767D26">
        <w:rPr>
          <w:rFonts w:cs="Arial"/>
          <w:sz w:val="20"/>
          <w:szCs w:val="20"/>
          <w:lang w:val="en-ZA" w:eastAsia="en-US"/>
        </w:rPr>
        <w:t>para 222.2.</w:t>
      </w:r>
    </w:p>
  </w:footnote>
  <w:footnote w:id="50">
    <w:p w14:paraId="649BEC46" w14:textId="2E17171F" w:rsidR="00F6045A" w:rsidRPr="00767D26" w:rsidRDefault="00F6045A"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 xml:space="preserve">See sections 2, 85(2)(e), 216(1) read with 2, 217(1) of the Constitution. </w:t>
      </w:r>
    </w:p>
  </w:footnote>
  <w:footnote w:id="51">
    <w:p w14:paraId="5AEA605E" w14:textId="5ECF4AD7" w:rsidR="00BB438C" w:rsidRPr="00BB438C" w:rsidRDefault="00BB438C" w:rsidP="00C42DCC">
      <w:pPr>
        <w:pStyle w:val="FootnoteText"/>
        <w:spacing w:before="0"/>
        <w:rPr>
          <w:lang w:val="en-ZA"/>
        </w:rPr>
      </w:pPr>
      <w:r>
        <w:rPr>
          <w:rStyle w:val="FootnoteReference"/>
        </w:rPr>
        <w:footnoteRef/>
      </w:r>
      <w:r>
        <w:t xml:space="preserve"> </w:t>
      </w:r>
      <w:r w:rsidRPr="00285CDE">
        <w:rPr>
          <w:rFonts w:cs="Arial"/>
          <w:lang w:eastAsia="en-US"/>
        </w:rPr>
        <w:t>2020 (4) SA 17</w:t>
      </w:r>
      <w:r>
        <w:t>.</w:t>
      </w:r>
    </w:p>
  </w:footnote>
  <w:footnote w:id="52">
    <w:p w14:paraId="4544568B" w14:textId="77777777" w:rsidR="00651E8D" w:rsidRPr="00767D26" w:rsidRDefault="00651E8D"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eastAsia="en-US"/>
        </w:rPr>
        <w:t>2020 (4) SA 17</w:t>
      </w:r>
      <w:r w:rsidRPr="00767D26">
        <w:rPr>
          <w:rFonts w:cs="Arial"/>
          <w:bCs/>
          <w:szCs w:val="20"/>
        </w:rPr>
        <w:t xml:space="preserve"> SCA. </w:t>
      </w:r>
    </w:p>
  </w:footnote>
  <w:footnote w:id="53">
    <w:p w14:paraId="35EF030B" w14:textId="222AD620" w:rsidR="005869E2" w:rsidRPr="00767D26" w:rsidRDefault="005869E2"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See sections 2 and long title of the PFMA.</w:t>
      </w:r>
    </w:p>
  </w:footnote>
  <w:footnote w:id="54">
    <w:p w14:paraId="53D890B1" w14:textId="6D86A94B" w:rsidR="000A72F6" w:rsidRPr="00767D26" w:rsidRDefault="000A72F6"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Section 218(1).</w:t>
      </w:r>
    </w:p>
  </w:footnote>
  <w:footnote w:id="55">
    <w:p w14:paraId="0A747ECE" w14:textId="36537349" w:rsidR="000A72F6" w:rsidRPr="00767D26" w:rsidRDefault="000A72F6"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Section 70(1).</w:t>
      </w:r>
    </w:p>
  </w:footnote>
  <w:footnote w:id="56">
    <w:p w14:paraId="0E93FFB1" w14:textId="3273FB7B" w:rsidR="00327DCF" w:rsidRPr="00767D26" w:rsidRDefault="00327DCF" w:rsidP="00C42DCC">
      <w:pPr>
        <w:autoSpaceDE w:val="0"/>
        <w:autoSpaceDN w:val="0"/>
        <w:adjustRightInd w:val="0"/>
        <w:rPr>
          <w:rFonts w:cs="Arial"/>
          <w:sz w:val="20"/>
          <w:szCs w:val="20"/>
          <w:lang w:val="en-ZA" w:eastAsia="en-US"/>
        </w:rPr>
      </w:pPr>
      <w:r w:rsidRPr="00767D26">
        <w:rPr>
          <w:rStyle w:val="FootnoteReference"/>
          <w:rFonts w:cs="Arial"/>
          <w:sz w:val="20"/>
          <w:szCs w:val="20"/>
        </w:rPr>
        <w:footnoteRef/>
      </w:r>
      <w:r w:rsidRPr="00767D26">
        <w:rPr>
          <w:rFonts w:cs="Arial"/>
          <w:sz w:val="20"/>
          <w:szCs w:val="20"/>
        </w:rPr>
        <w:t xml:space="preserve"> </w:t>
      </w:r>
      <w:r w:rsidRPr="00767D26">
        <w:rPr>
          <w:rFonts w:cs="Arial"/>
          <w:sz w:val="20"/>
          <w:szCs w:val="20"/>
          <w:lang w:val="en-ZA" w:eastAsia="en-US"/>
        </w:rPr>
        <w:t>2005 (6) SA 205 (SCA) at 213E–G.</w:t>
      </w:r>
    </w:p>
  </w:footnote>
  <w:footnote w:id="57">
    <w:p w14:paraId="4F5736DF" w14:textId="77777777" w:rsidR="00974F4D" w:rsidRDefault="00974F4D" w:rsidP="00C42DCC">
      <w:pPr>
        <w:pStyle w:val="1"/>
        <w:numPr>
          <w:ilvl w:val="0"/>
          <w:numId w:val="0"/>
        </w:numPr>
        <w:spacing w:before="0" w:line="240" w:lineRule="auto"/>
        <w:ind w:left="567" w:hanging="567"/>
        <w:jc w:val="left"/>
        <w:rPr>
          <w:rFonts w:cs="Arial"/>
          <w:sz w:val="20"/>
          <w:szCs w:val="20"/>
          <w:lang w:val="en-ZA" w:eastAsia="en-US"/>
        </w:rPr>
      </w:pPr>
      <w:r w:rsidRPr="00974F4D">
        <w:rPr>
          <w:rStyle w:val="FootnoteReference"/>
          <w:rFonts w:cs="Arial"/>
          <w:sz w:val="20"/>
          <w:szCs w:val="20"/>
        </w:rPr>
        <w:footnoteRef/>
      </w:r>
      <w:r w:rsidRPr="00974F4D">
        <w:rPr>
          <w:rFonts w:cs="Arial"/>
          <w:sz w:val="20"/>
          <w:szCs w:val="20"/>
        </w:rPr>
        <w:t xml:space="preserve"> </w:t>
      </w:r>
      <w:r w:rsidRPr="00974F4D">
        <w:rPr>
          <w:rFonts w:cs="Arial"/>
          <w:i/>
          <w:sz w:val="20"/>
          <w:szCs w:val="20"/>
          <w:lang w:eastAsia="en-US"/>
        </w:rPr>
        <w:t xml:space="preserve">Trinity Asset Management (Pty) Ltd and others v Investec Bank and others </w:t>
      </w:r>
      <w:r w:rsidRPr="00974F4D">
        <w:rPr>
          <w:rFonts w:cs="Arial"/>
          <w:sz w:val="20"/>
          <w:szCs w:val="20"/>
          <w:lang w:val="en-ZA" w:eastAsia="en-US"/>
        </w:rPr>
        <w:t>2009 (4)</w:t>
      </w:r>
      <w:r w:rsidRPr="00767D26">
        <w:rPr>
          <w:rFonts w:cs="Arial"/>
          <w:sz w:val="20"/>
          <w:szCs w:val="20"/>
          <w:lang w:val="en-ZA" w:eastAsia="en-US"/>
        </w:rPr>
        <w:t xml:space="preserve"> SA 89 (SCA)</w:t>
      </w:r>
      <w:r>
        <w:rPr>
          <w:rFonts w:cs="Arial"/>
          <w:sz w:val="20"/>
          <w:szCs w:val="20"/>
          <w:lang w:val="en-ZA" w:eastAsia="en-US"/>
        </w:rPr>
        <w:t xml:space="preserve"> </w:t>
      </w:r>
    </w:p>
    <w:p w14:paraId="62EC6D34" w14:textId="0FAA4068" w:rsidR="00974F4D" w:rsidRPr="00974F4D" w:rsidRDefault="00974F4D" w:rsidP="00C42DCC">
      <w:pPr>
        <w:pStyle w:val="1"/>
        <w:numPr>
          <w:ilvl w:val="0"/>
          <w:numId w:val="0"/>
        </w:numPr>
        <w:spacing w:before="0" w:line="240" w:lineRule="auto"/>
        <w:ind w:left="567" w:hanging="567"/>
        <w:jc w:val="left"/>
        <w:rPr>
          <w:rFonts w:cs="Arial"/>
          <w:sz w:val="20"/>
          <w:szCs w:val="20"/>
          <w:lang w:val="en-ZA" w:eastAsia="en-US"/>
        </w:rPr>
      </w:pPr>
      <w:r>
        <w:rPr>
          <w:rFonts w:cs="Arial"/>
          <w:sz w:val="20"/>
          <w:szCs w:val="20"/>
          <w:lang w:val="en-ZA" w:eastAsia="en-US"/>
        </w:rPr>
        <w:t xml:space="preserve">    at </w:t>
      </w:r>
      <w:r w:rsidRPr="00767D26">
        <w:rPr>
          <w:rFonts w:cs="Arial"/>
          <w:sz w:val="20"/>
          <w:szCs w:val="20"/>
          <w:lang w:val="en-ZA" w:eastAsia="en-US"/>
        </w:rPr>
        <w:t>para 51.</w:t>
      </w:r>
    </w:p>
  </w:footnote>
  <w:footnote w:id="58">
    <w:p w14:paraId="7A04B69F" w14:textId="57574AA7" w:rsidR="00EE520C" w:rsidRPr="00767D26" w:rsidRDefault="00EE520C"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00772FB9" w:rsidRPr="00285CDE">
        <w:rPr>
          <w:rFonts w:cs="Arial"/>
          <w:i/>
          <w:lang w:eastAsia="en-US"/>
        </w:rPr>
        <w:t>Damons v City of Cape Town</w:t>
      </w:r>
      <w:r w:rsidR="00772FB9" w:rsidRPr="00767D26">
        <w:rPr>
          <w:rFonts w:cs="Arial"/>
          <w:szCs w:val="20"/>
          <w:lang w:val="en-ZA" w:eastAsia="en-US"/>
        </w:rPr>
        <w:t xml:space="preserve"> </w:t>
      </w:r>
      <w:r w:rsidRPr="00767D26">
        <w:rPr>
          <w:rFonts w:cs="Arial"/>
          <w:szCs w:val="20"/>
          <w:lang w:val="en-ZA" w:eastAsia="en-US"/>
        </w:rPr>
        <w:t>(2022) 43 ILJ 1549 (CC)</w:t>
      </w:r>
      <w:r w:rsidR="00DA1EAC">
        <w:rPr>
          <w:rFonts w:cs="Arial"/>
          <w:szCs w:val="20"/>
          <w:lang w:val="en-ZA" w:eastAsia="en-US"/>
        </w:rPr>
        <w:t xml:space="preserve"> at </w:t>
      </w:r>
      <w:r w:rsidRPr="00767D26">
        <w:rPr>
          <w:rFonts w:cs="Arial"/>
          <w:szCs w:val="20"/>
          <w:lang w:val="en-ZA" w:eastAsia="en-US"/>
        </w:rPr>
        <w:t>para 117.</w:t>
      </w:r>
    </w:p>
  </w:footnote>
  <w:footnote w:id="59">
    <w:p w14:paraId="66F1DF08" w14:textId="70ADF8BC" w:rsidR="00015D82" w:rsidRPr="00767D26" w:rsidRDefault="00015D82" w:rsidP="00C42DCC">
      <w:pPr>
        <w:autoSpaceDE w:val="0"/>
        <w:autoSpaceDN w:val="0"/>
        <w:adjustRightInd w:val="0"/>
        <w:rPr>
          <w:rFonts w:cs="Arial"/>
          <w:i/>
          <w:iCs/>
          <w:sz w:val="20"/>
          <w:szCs w:val="20"/>
          <w:lang w:val="en-ZA" w:eastAsia="en-US"/>
        </w:rPr>
      </w:pPr>
      <w:r w:rsidRPr="00767D26">
        <w:rPr>
          <w:rStyle w:val="FootnoteReference"/>
          <w:rFonts w:cs="Arial"/>
          <w:sz w:val="20"/>
          <w:szCs w:val="20"/>
        </w:rPr>
        <w:footnoteRef/>
      </w:r>
      <w:r w:rsidRPr="00767D26">
        <w:rPr>
          <w:rFonts w:cs="Arial"/>
          <w:sz w:val="20"/>
          <w:szCs w:val="20"/>
        </w:rPr>
        <w:t xml:space="preserve"> </w:t>
      </w:r>
      <w:r w:rsidRPr="00767D26">
        <w:rPr>
          <w:rFonts w:cs="Arial"/>
          <w:i/>
          <w:iCs/>
          <w:sz w:val="20"/>
          <w:szCs w:val="20"/>
          <w:lang w:val="en-ZA" w:eastAsia="en-US"/>
        </w:rPr>
        <w:t xml:space="preserve">Electronic Media Network Limited and Others v e.tv (Pty) Limited and Others </w:t>
      </w:r>
      <w:r w:rsidRPr="00767D26">
        <w:rPr>
          <w:rFonts w:cs="Arial"/>
          <w:sz w:val="20"/>
          <w:szCs w:val="20"/>
          <w:lang w:val="en-ZA" w:eastAsia="en-US"/>
        </w:rPr>
        <w:t xml:space="preserve">[2017] ZACC 17 </w:t>
      </w:r>
      <w:r w:rsidR="007E3D8F" w:rsidRPr="00767D26">
        <w:rPr>
          <w:rFonts w:cs="Arial"/>
          <w:sz w:val="20"/>
          <w:szCs w:val="20"/>
          <w:lang w:val="en-ZA" w:eastAsia="en-US"/>
        </w:rPr>
        <w:t xml:space="preserve">at </w:t>
      </w:r>
      <w:r w:rsidRPr="00767D26">
        <w:rPr>
          <w:rFonts w:cs="Arial"/>
          <w:sz w:val="20"/>
          <w:szCs w:val="20"/>
          <w:lang w:val="en-ZA" w:eastAsia="en-US"/>
        </w:rPr>
        <w:t xml:space="preserve">paras 1 </w:t>
      </w:r>
      <w:r w:rsidR="00FD5BFC">
        <w:rPr>
          <w:rFonts w:cs="Arial"/>
          <w:sz w:val="20"/>
          <w:szCs w:val="20"/>
          <w:lang w:val="en-ZA" w:eastAsia="en-US"/>
        </w:rPr>
        <w:t>-</w:t>
      </w:r>
      <w:r w:rsidRPr="00767D26">
        <w:rPr>
          <w:rFonts w:cs="Arial"/>
          <w:sz w:val="20"/>
          <w:szCs w:val="20"/>
          <w:lang w:val="en-ZA" w:eastAsia="en-US"/>
        </w:rPr>
        <w:t xml:space="preserve"> 4, quoting </w:t>
      </w:r>
      <w:r w:rsidRPr="00FD5BFC">
        <w:rPr>
          <w:rFonts w:cs="Arial"/>
          <w:i/>
          <w:iCs/>
          <w:sz w:val="20"/>
          <w:szCs w:val="20"/>
          <w:lang w:val="en-ZA" w:eastAsia="en-US"/>
        </w:rPr>
        <w:t>Economic Freedom Fighters v Speaker of the National Assembly</w:t>
      </w:r>
      <w:r w:rsidRPr="00767D26">
        <w:rPr>
          <w:rFonts w:cs="Arial"/>
          <w:sz w:val="20"/>
          <w:szCs w:val="20"/>
          <w:lang w:val="en-ZA" w:eastAsia="en-US"/>
        </w:rPr>
        <w:t xml:space="preserve"> 2016 (3) SA 580 (CC),</w:t>
      </w:r>
      <w:r w:rsidR="007E3D8F" w:rsidRPr="00767D26">
        <w:rPr>
          <w:rFonts w:cs="Arial"/>
          <w:sz w:val="20"/>
          <w:szCs w:val="20"/>
          <w:lang w:val="en-ZA" w:eastAsia="en-US"/>
        </w:rPr>
        <w:t xml:space="preserve"> at</w:t>
      </w:r>
      <w:r w:rsidRPr="00767D26">
        <w:rPr>
          <w:rFonts w:cs="Arial"/>
          <w:sz w:val="20"/>
          <w:szCs w:val="20"/>
          <w:lang w:val="en-ZA" w:eastAsia="en-US"/>
        </w:rPr>
        <w:t xml:space="preserve"> paras 92 </w:t>
      </w:r>
      <w:r w:rsidR="00FD5BFC">
        <w:rPr>
          <w:rFonts w:cs="Arial"/>
          <w:sz w:val="20"/>
          <w:szCs w:val="20"/>
          <w:lang w:val="en-ZA" w:eastAsia="en-US"/>
        </w:rPr>
        <w:t xml:space="preserve">- </w:t>
      </w:r>
      <w:r w:rsidRPr="00767D26">
        <w:rPr>
          <w:rFonts w:cs="Arial"/>
          <w:sz w:val="20"/>
          <w:szCs w:val="20"/>
          <w:lang w:val="en-ZA" w:eastAsia="en-US"/>
        </w:rPr>
        <w:t>93.</w:t>
      </w:r>
    </w:p>
  </w:footnote>
  <w:footnote w:id="60">
    <w:p w14:paraId="05A6263E" w14:textId="77777777" w:rsidR="00455678" w:rsidRPr="00767D26" w:rsidRDefault="00455678"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At para 32.</w:t>
      </w:r>
    </w:p>
  </w:footnote>
  <w:footnote w:id="61">
    <w:p w14:paraId="7BA82A77" w14:textId="7374259B" w:rsidR="00FB0194" w:rsidRPr="00FB0194" w:rsidRDefault="00FB0194" w:rsidP="00C42DCC">
      <w:pPr>
        <w:pStyle w:val="FootnoteText"/>
        <w:spacing w:before="0"/>
        <w:rPr>
          <w:lang w:val="en-US"/>
        </w:rPr>
      </w:pPr>
      <w:r>
        <w:rPr>
          <w:rStyle w:val="FootnoteReference"/>
        </w:rPr>
        <w:footnoteRef/>
      </w:r>
      <w:r>
        <w:t xml:space="preserve"> </w:t>
      </w:r>
      <w:r w:rsidR="00FD3E37">
        <w:t xml:space="preserve">CaseLines: 001: item. </w:t>
      </w:r>
      <w:r>
        <w:t xml:space="preserve">Clause </w:t>
      </w:r>
      <w:r w:rsidRPr="001C4DDA">
        <w:rPr>
          <w:sz w:val="22"/>
        </w:rPr>
        <w:t>6.3.12</w:t>
      </w:r>
      <w:r>
        <w:rPr>
          <w:sz w:val="22"/>
        </w:rPr>
        <w:t xml:space="preserve"> of the Amended Business Rescue Plan inter alia provides that the BRP will “prepare and submit a request for approval in terms of section 54(2)(c) of the PFMA” and “on behalf of SAA”</w:t>
      </w:r>
      <w:r w:rsidR="00FD3E37">
        <w:rPr>
          <w:sz w:val="22"/>
        </w:rPr>
        <w:t xml:space="preserve"> …</w:t>
      </w:r>
      <w:r>
        <w:rPr>
          <w:sz w:val="22"/>
        </w:rPr>
        <w:t>.</w:t>
      </w:r>
    </w:p>
  </w:footnote>
  <w:footnote w:id="62">
    <w:p w14:paraId="154A2559" w14:textId="55538A48" w:rsidR="00FB0194" w:rsidRPr="00FD3E37" w:rsidRDefault="00FB0194" w:rsidP="00C42DCC">
      <w:pPr>
        <w:pStyle w:val="FootnoteText"/>
        <w:spacing w:before="0"/>
        <w:rPr>
          <w:szCs w:val="20"/>
          <w:lang w:val="en-US"/>
        </w:rPr>
      </w:pPr>
      <w:r w:rsidRPr="00FD3E37">
        <w:rPr>
          <w:rStyle w:val="FootnoteReference"/>
          <w:szCs w:val="20"/>
        </w:rPr>
        <w:footnoteRef/>
      </w:r>
      <w:r w:rsidRPr="00FD3E37">
        <w:rPr>
          <w:szCs w:val="20"/>
        </w:rPr>
        <w:t xml:space="preserve"> See clause 6.3.12.1 of the Amended Business Rescue.</w:t>
      </w:r>
    </w:p>
  </w:footnote>
  <w:footnote w:id="63">
    <w:p w14:paraId="007FBB85" w14:textId="2F37D4AE" w:rsidR="00FD3E37" w:rsidRPr="00FD3E37" w:rsidRDefault="00FD3E37" w:rsidP="00C42DCC">
      <w:pPr>
        <w:pStyle w:val="FootnoteText"/>
        <w:spacing w:before="0"/>
        <w:rPr>
          <w:lang w:val="en-US"/>
        </w:rPr>
      </w:pPr>
      <w:r w:rsidRPr="00FD3E37">
        <w:rPr>
          <w:rStyle w:val="FootnoteReference"/>
          <w:szCs w:val="20"/>
        </w:rPr>
        <w:footnoteRef/>
      </w:r>
      <w:r w:rsidRPr="00FD3E37">
        <w:rPr>
          <w:szCs w:val="20"/>
        </w:rPr>
        <w:t xml:space="preserve"> See clause 6.3.12.1 of the Amended Business Rescue.</w:t>
      </w:r>
    </w:p>
  </w:footnote>
  <w:footnote w:id="64">
    <w:p w14:paraId="3A4B24E1" w14:textId="51A69EEB" w:rsidR="00613445" w:rsidRPr="00767D26" w:rsidRDefault="00613445" w:rsidP="00C42DCC">
      <w:pPr>
        <w:pStyle w:val="FootnoteText"/>
        <w:spacing w:before="0"/>
        <w:rPr>
          <w:lang w:val="en-ZA"/>
        </w:rPr>
      </w:pPr>
      <w:r w:rsidRPr="00767D26">
        <w:rPr>
          <w:rStyle w:val="FootnoteReference"/>
        </w:rPr>
        <w:footnoteRef/>
      </w:r>
      <w:r w:rsidRPr="00767D26">
        <w:t xml:space="preserve"> </w:t>
      </w:r>
      <w:r w:rsidRPr="00767D26">
        <w:rPr>
          <w:lang w:val="en-ZA"/>
        </w:rPr>
        <w:t>Applicant’s founding affidavit at para 98.</w:t>
      </w:r>
    </w:p>
  </w:footnote>
  <w:footnote w:id="65">
    <w:p w14:paraId="2C79C8E2" w14:textId="1E1AE711" w:rsidR="009F7C13" w:rsidRPr="00767D26" w:rsidRDefault="009F7C13"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2011 (3) SA 347 (CC)</w:t>
      </w:r>
      <w:r w:rsidR="00C4698C">
        <w:rPr>
          <w:rFonts w:cs="Arial"/>
          <w:szCs w:val="20"/>
        </w:rPr>
        <w:t xml:space="preserve">at </w:t>
      </w:r>
      <w:r w:rsidRPr="00767D26">
        <w:rPr>
          <w:rFonts w:cs="Arial"/>
          <w:szCs w:val="20"/>
        </w:rPr>
        <w:t xml:space="preserve"> para 67.</w:t>
      </w:r>
    </w:p>
  </w:footnote>
  <w:footnote w:id="66">
    <w:p w14:paraId="6D3D97D6" w14:textId="1CBDE474" w:rsidR="00750227" w:rsidRPr="00767D26" w:rsidRDefault="00750227"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007F5A4B" w:rsidRPr="00767D26">
        <w:rPr>
          <w:rFonts w:cs="Arial"/>
          <w:szCs w:val="20"/>
          <w:lang w:val="en-ZA" w:eastAsia="en-US"/>
        </w:rPr>
        <w:t>At para 123.</w:t>
      </w:r>
    </w:p>
  </w:footnote>
  <w:footnote w:id="67">
    <w:p w14:paraId="2D0C253D" w14:textId="232DB844" w:rsidR="008852EE" w:rsidRPr="00767D26" w:rsidRDefault="008852EE"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 xml:space="preserve">See </w:t>
      </w:r>
      <w:r w:rsidR="00C20240">
        <w:rPr>
          <w:rFonts w:cs="Arial"/>
          <w:szCs w:val="20"/>
          <w:lang w:val="en-ZA"/>
        </w:rPr>
        <w:t>s</w:t>
      </w:r>
      <w:r w:rsidRPr="00767D26">
        <w:rPr>
          <w:rFonts w:cs="Arial"/>
          <w:szCs w:val="20"/>
          <w:lang w:val="en-ZA"/>
        </w:rPr>
        <w:t>ection 3 of the SMF.</w:t>
      </w:r>
    </w:p>
  </w:footnote>
  <w:footnote w:id="68">
    <w:p w14:paraId="45FD4E08" w14:textId="7EAAE301" w:rsidR="008852EE" w:rsidRPr="00767D26" w:rsidRDefault="008852EE"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 xml:space="preserve">See </w:t>
      </w:r>
      <w:r w:rsidR="001A7491" w:rsidRPr="00767D26">
        <w:rPr>
          <w:rFonts w:cs="Arial"/>
          <w:szCs w:val="20"/>
          <w:lang w:val="en-ZA"/>
        </w:rPr>
        <w:t>sections</w:t>
      </w:r>
      <w:r w:rsidRPr="00767D26">
        <w:rPr>
          <w:rFonts w:cs="Arial"/>
          <w:szCs w:val="20"/>
          <w:lang w:val="en-ZA"/>
        </w:rPr>
        <w:t xml:space="preserve"> 2.4.2 </w:t>
      </w:r>
      <w:r w:rsidR="001A7491" w:rsidRPr="00767D26">
        <w:rPr>
          <w:rFonts w:cs="Arial"/>
          <w:szCs w:val="20"/>
          <w:lang w:val="en-ZA"/>
        </w:rPr>
        <w:t xml:space="preserve">and 2.3.18 </w:t>
      </w:r>
      <w:r w:rsidRPr="00767D26">
        <w:rPr>
          <w:rFonts w:cs="Arial"/>
          <w:szCs w:val="20"/>
          <w:lang w:val="en-ZA"/>
        </w:rPr>
        <w:t>of the SMF.</w:t>
      </w:r>
    </w:p>
  </w:footnote>
  <w:footnote w:id="69">
    <w:p w14:paraId="09EB17A5" w14:textId="6AC1CFC3" w:rsidR="000E575E" w:rsidRPr="00767D26" w:rsidRDefault="000E575E"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See section 1.1.16 of the SMF.</w:t>
      </w:r>
    </w:p>
  </w:footnote>
  <w:footnote w:id="70">
    <w:p w14:paraId="24EB7C82" w14:textId="4755E8C8" w:rsidR="003164A4" w:rsidRPr="00767D26" w:rsidRDefault="003164A4"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 xml:space="preserve">See letter on CaseLines 001: </w:t>
      </w:r>
      <w:r w:rsidR="00FD5BFC">
        <w:rPr>
          <w:rFonts w:cs="Arial"/>
          <w:szCs w:val="20"/>
          <w:lang w:val="en-ZA"/>
        </w:rPr>
        <w:t>i</w:t>
      </w:r>
      <w:r w:rsidRPr="00767D26">
        <w:rPr>
          <w:rFonts w:cs="Arial"/>
          <w:szCs w:val="20"/>
          <w:lang w:val="en-ZA"/>
        </w:rPr>
        <w:t>tem 22.</w:t>
      </w:r>
    </w:p>
  </w:footnote>
  <w:footnote w:id="71">
    <w:p w14:paraId="32C07795" w14:textId="70C34F4E" w:rsidR="00B01092" w:rsidRPr="00767D26" w:rsidRDefault="00B01092"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FD5BFC">
        <w:rPr>
          <w:rFonts w:cs="Arial"/>
          <w:i/>
          <w:iCs/>
          <w:szCs w:val="20"/>
          <w:lang w:val="en-ZA"/>
        </w:rPr>
        <w:t>Myeni</w:t>
      </w:r>
      <w:r w:rsidRPr="00767D26">
        <w:rPr>
          <w:rFonts w:cs="Arial"/>
          <w:szCs w:val="20"/>
          <w:lang w:val="en-ZA"/>
        </w:rPr>
        <w:t xml:space="preserve"> decision at par</w:t>
      </w:r>
      <w:r w:rsidR="00FD5BFC">
        <w:rPr>
          <w:rFonts w:cs="Arial"/>
          <w:szCs w:val="20"/>
          <w:lang w:val="en-ZA"/>
        </w:rPr>
        <w:t>a</w:t>
      </w:r>
      <w:r w:rsidRPr="00767D26">
        <w:rPr>
          <w:rFonts w:cs="Arial"/>
          <w:szCs w:val="20"/>
          <w:lang w:val="en-ZA"/>
        </w:rPr>
        <w:t>s 212-213.</w:t>
      </w:r>
    </w:p>
  </w:footnote>
  <w:footnote w:id="72">
    <w:p w14:paraId="2251CF3E" w14:textId="4EFA9F5C" w:rsidR="009F1710" w:rsidRPr="00767D26" w:rsidRDefault="009F1710"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At para 59.</w:t>
      </w:r>
    </w:p>
  </w:footnote>
  <w:footnote w:id="73">
    <w:p w14:paraId="724269AC" w14:textId="41808B41" w:rsidR="00D26E45" w:rsidRPr="00767D26" w:rsidRDefault="00D26E45" w:rsidP="00C42DCC">
      <w:pPr>
        <w:pStyle w:val="FootnoteText"/>
        <w:spacing w:before="0"/>
        <w:rPr>
          <w:rFonts w:cs="Arial"/>
          <w:szCs w:val="20"/>
          <w:lang w:val="en-US"/>
        </w:rPr>
      </w:pPr>
      <w:r w:rsidRPr="00767D26">
        <w:rPr>
          <w:rStyle w:val="FootnoteReference"/>
          <w:rFonts w:cs="Arial"/>
          <w:szCs w:val="20"/>
        </w:rPr>
        <w:footnoteRef/>
      </w:r>
      <w:r w:rsidRPr="00767D26">
        <w:rPr>
          <w:rFonts w:cs="Arial"/>
          <w:szCs w:val="20"/>
        </w:rPr>
        <w:t xml:space="preserve"> </w:t>
      </w:r>
      <w:r w:rsidRPr="00767D26">
        <w:rPr>
          <w:rFonts w:cs="Arial"/>
          <w:szCs w:val="20"/>
          <w:lang w:val="en-US"/>
        </w:rPr>
        <w:t xml:space="preserve">[2021] ZAGPJHC 112 (24 August 2021) (unreported) </w:t>
      </w:r>
      <w:r w:rsidR="00FD5BFC">
        <w:rPr>
          <w:rFonts w:cs="Arial"/>
          <w:szCs w:val="20"/>
          <w:lang w:val="en-US"/>
        </w:rPr>
        <w:t xml:space="preserve">at </w:t>
      </w:r>
      <w:r w:rsidRPr="00767D26">
        <w:rPr>
          <w:rFonts w:cs="Arial"/>
          <w:szCs w:val="20"/>
          <w:lang w:val="en-US"/>
        </w:rPr>
        <w:t>para 6.</w:t>
      </w:r>
    </w:p>
  </w:footnote>
  <w:footnote w:id="74">
    <w:p w14:paraId="1CA4D79A" w14:textId="5B1F711C" w:rsidR="00C21D6D" w:rsidRPr="00767D26" w:rsidRDefault="00C21D6D"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 xml:space="preserve">CaseLines 016: </w:t>
      </w:r>
      <w:r w:rsidR="00FD5BFC">
        <w:rPr>
          <w:rFonts w:cs="Arial"/>
          <w:szCs w:val="20"/>
          <w:lang w:val="en-ZA"/>
        </w:rPr>
        <w:t>i</w:t>
      </w:r>
      <w:r w:rsidRPr="00767D26">
        <w:rPr>
          <w:rFonts w:cs="Arial"/>
          <w:szCs w:val="20"/>
          <w:lang w:val="en-ZA"/>
        </w:rPr>
        <w:t>tem 10.</w:t>
      </w:r>
    </w:p>
  </w:footnote>
  <w:footnote w:id="75">
    <w:p w14:paraId="010D65E7" w14:textId="206995AD" w:rsidR="00855A5F" w:rsidRPr="00767D26" w:rsidRDefault="00855A5F"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(2020/35790) [2023] ZAGPJHC 234</w:t>
      </w:r>
      <w:r w:rsidR="00780DDA" w:rsidRPr="00767D26">
        <w:rPr>
          <w:rFonts w:cs="Arial"/>
          <w:szCs w:val="20"/>
          <w:lang w:val="en-ZA"/>
        </w:rPr>
        <w:t>.</w:t>
      </w:r>
    </w:p>
  </w:footnote>
  <w:footnote w:id="76">
    <w:p w14:paraId="38A4BB25" w14:textId="269589CD" w:rsidR="00780DDA" w:rsidRPr="00767D26" w:rsidRDefault="00780DDA"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Ibid at para 5.</w:t>
      </w:r>
    </w:p>
  </w:footnote>
  <w:footnote w:id="77">
    <w:p w14:paraId="09896241" w14:textId="2191A6D1" w:rsidR="001965EA" w:rsidRPr="00767D26" w:rsidRDefault="001965EA"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(52832/2021) [2022] ZAGPJHC 22 at paras 31-32.</w:t>
      </w:r>
    </w:p>
  </w:footnote>
  <w:footnote w:id="78">
    <w:p w14:paraId="16A7B1B5" w14:textId="0DA843DE" w:rsidR="00D339B2" w:rsidRPr="00767D26" w:rsidRDefault="00D339B2" w:rsidP="00C42DCC">
      <w:pPr>
        <w:pStyle w:val="Heading3"/>
        <w:shd w:val="clear" w:color="auto" w:fill="FFFFFF"/>
        <w:spacing w:before="0"/>
        <w:rPr>
          <w:rFonts w:cs="Arial"/>
          <w:sz w:val="20"/>
          <w:szCs w:val="20"/>
          <w:u w:val="none"/>
          <w:lang w:val="en-ZA"/>
        </w:rPr>
      </w:pPr>
      <w:r w:rsidRPr="00767D26">
        <w:rPr>
          <w:rStyle w:val="FootnoteReference"/>
          <w:rFonts w:cs="Arial"/>
          <w:sz w:val="20"/>
          <w:szCs w:val="20"/>
          <w:u w:val="none"/>
        </w:rPr>
        <w:footnoteRef/>
      </w:r>
      <w:r w:rsidRPr="00767D26">
        <w:rPr>
          <w:rFonts w:cs="Arial"/>
          <w:sz w:val="20"/>
          <w:szCs w:val="20"/>
          <w:u w:val="none"/>
        </w:rPr>
        <w:t xml:space="preserve"> </w:t>
      </w:r>
      <w:r w:rsidRPr="00767D26">
        <w:rPr>
          <w:rFonts w:cs="Arial"/>
          <w:i/>
          <w:iCs/>
          <w:sz w:val="20"/>
          <w:szCs w:val="20"/>
          <w:u w:val="none"/>
          <w:lang w:val="en-ZA"/>
        </w:rPr>
        <w:t>Barkhuizen v Napier </w:t>
      </w:r>
      <w:r w:rsidRPr="00767D26">
        <w:rPr>
          <w:rFonts w:cs="Arial"/>
          <w:sz w:val="20"/>
          <w:szCs w:val="20"/>
          <w:u w:val="none"/>
          <w:lang w:val="en-ZA"/>
        </w:rPr>
        <w:t>2007 (5) SA 323 (CC) at para 12.</w:t>
      </w:r>
    </w:p>
    <w:p w14:paraId="50B5E6C7" w14:textId="3A59380F" w:rsidR="00D339B2" w:rsidRPr="00767D26" w:rsidRDefault="00D339B2" w:rsidP="00C42DCC">
      <w:pPr>
        <w:pStyle w:val="FootnoteText"/>
        <w:spacing w:before="0"/>
        <w:rPr>
          <w:rFonts w:cs="Arial"/>
          <w:szCs w:val="20"/>
          <w:lang w:val="en-ZA"/>
        </w:rPr>
      </w:pPr>
    </w:p>
  </w:footnote>
  <w:footnote w:id="79">
    <w:p w14:paraId="107B41C7" w14:textId="340F7A0D" w:rsidR="003559B7" w:rsidRPr="003559B7" w:rsidRDefault="003559B7" w:rsidP="00C42DCC">
      <w:pPr>
        <w:pStyle w:val="FootnoteText"/>
        <w:spacing w:before="0"/>
        <w:rPr>
          <w:lang w:val="en-ZA"/>
        </w:rPr>
      </w:pPr>
      <w:r>
        <w:rPr>
          <w:rStyle w:val="FootnoteReference"/>
        </w:rPr>
        <w:footnoteRef/>
      </w:r>
      <w:r>
        <w:t xml:space="preserve"> RA de la Harpe </w:t>
      </w:r>
      <w:r w:rsidRPr="003559B7">
        <w:rPr>
          <w:i/>
          <w:iCs/>
        </w:rPr>
        <w:t>et al</w:t>
      </w:r>
      <w:r>
        <w:t xml:space="preserve"> </w:t>
      </w:r>
      <w:r w:rsidRPr="003559B7">
        <w:rPr>
          <w:i/>
          <w:iCs/>
        </w:rPr>
        <w:t>Commentary on the Companies Act of 2008</w:t>
      </w:r>
      <w:r>
        <w:t xml:space="preserve"> </w:t>
      </w:r>
      <w:r w:rsidR="00344794">
        <w:t>Vol.</w:t>
      </w:r>
      <w:r>
        <w:t>1</w:t>
      </w:r>
      <w:r w:rsidR="00344794">
        <w:t xml:space="preserve"> </w:t>
      </w:r>
      <w:r>
        <w:t xml:space="preserve"> (Juta, 2022) pg </w:t>
      </w:r>
      <w:r>
        <w:rPr>
          <w:lang w:val="en-ZA"/>
        </w:rPr>
        <w:t>1-98-99.</w:t>
      </w:r>
    </w:p>
  </w:footnote>
  <w:footnote w:id="80">
    <w:p w14:paraId="261958EB" w14:textId="77777777" w:rsidR="009B6C92" w:rsidRPr="00FD3E37" w:rsidRDefault="009B6C92" w:rsidP="00C42DCC">
      <w:pPr>
        <w:pStyle w:val="FootnoteText"/>
        <w:spacing w:before="0"/>
        <w:rPr>
          <w:lang w:val="en-US"/>
        </w:rPr>
      </w:pPr>
      <w:r w:rsidRPr="00FD3E37">
        <w:rPr>
          <w:rStyle w:val="FootnoteReference"/>
        </w:rPr>
        <w:footnoteRef/>
      </w:r>
      <w:r w:rsidRPr="00FD3E37">
        <w:t xml:space="preserve"> See clause 6.3.12.1 of the Amended Business Rescue.</w:t>
      </w:r>
    </w:p>
  </w:footnote>
  <w:footnote w:id="81">
    <w:p w14:paraId="338C7A1F" w14:textId="77C12D78" w:rsidR="0060667E" w:rsidRPr="00767D26" w:rsidRDefault="0060667E"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2018 (4) BCLR 387 (CC)</w:t>
      </w:r>
      <w:r w:rsidRPr="00767D26">
        <w:rPr>
          <w:rFonts w:cs="Arial"/>
          <w:szCs w:val="20"/>
        </w:rPr>
        <w:t>.</w:t>
      </w:r>
    </w:p>
  </w:footnote>
  <w:footnote w:id="82">
    <w:p w14:paraId="2BB51F24" w14:textId="3B3B10D8" w:rsidR="0060667E" w:rsidRPr="00767D26" w:rsidRDefault="0060667E" w:rsidP="00C42DCC">
      <w:pPr>
        <w:pStyle w:val="FootnoteText"/>
        <w:spacing w:before="0"/>
        <w:rPr>
          <w:rFonts w:cs="Arial"/>
          <w:szCs w:val="20"/>
        </w:rPr>
      </w:pPr>
      <w:r w:rsidRPr="00767D26">
        <w:rPr>
          <w:rStyle w:val="FootnoteReference"/>
          <w:rFonts w:cs="Arial"/>
          <w:szCs w:val="20"/>
        </w:rPr>
        <w:footnoteRef/>
      </w:r>
      <w:r w:rsidRPr="00767D26">
        <w:rPr>
          <w:rFonts w:cs="Arial"/>
          <w:szCs w:val="20"/>
        </w:rPr>
        <w:t xml:space="preserve"> </w:t>
      </w:r>
      <w:r w:rsidRPr="00767D26">
        <w:rPr>
          <w:rFonts w:cs="Arial"/>
          <w:i/>
          <w:szCs w:val="20"/>
        </w:rPr>
        <w:t xml:space="preserve">Ibid </w:t>
      </w:r>
      <w:r w:rsidRPr="00767D26">
        <w:rPr>
          <w:rFonts w:cs="Arial"/>
          <w:szCs w:val="20"/>
        </w:rPr>
        <w:t>para 43</w:t>
      </w:r>
      <w:r w:rsidR="0080005F" w:rsidRPr="00767D26">
        <w:rPr>
          <w:rFonts w:cs="Arial"/>
          <w:szCs w:val="20"/>
        </w:rPr>
        <w:t>.</w:t>
      </w:r>
    </w:p>
  </w:footnote>
  <w:footnote w:id="83">
    <w:p w14:paraId="7102A396" w14:textId="2D5D8A86" w:rsidR="00BE2506" w:rsidRPr="00767D26" w:rsidRDefault="00BE2506"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Ibid para 37.</w:t>
      </w:r>
    </w:p>
  </w:footnote>
  <w:footnote w:id="84">
    <w:p w14:paraId="7A6EEE92" w14:textId="0B0E3605" w:rsidR="0080005F" w:rsidRPr="00767D26" w:rsidRDefault="0080005F"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Hoexter. C, Penfold. G, “Administrative Law in South Africa” 3</w:t>
      </w:r>
      <w:r w:rsidRPr="00767D26">
        <w:rPr>
          <w:rFonts w:cs="Arial"/>
          <w:szCs w:val="20"/>
          <w:vertAlign w:val="superscript"/>
        </w:rPr>
        <w:t>rd</w:t>
      </w:r>
      <w:r w:rsidRPr="00767D26">
        <w:rPr>
          <w:rFonts w:cs="Arial"/>
          <w:szCs w:val="20"/>
        </w:rPr>
        <w:t xml:space="preserve"> edition [2022] Juta p 73.</w:t>
      </w:r>
    </w:p>
  </w:footnote>
  <w:footnote w:id="85">
    <w:p w14:paraId="69450B7C" w14:textId="647C52B1" w:rsidR="0015194B" w:rsidRPr="00767D26" w:rsidRDefault="0015194B"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shd w:val="clear" w:color="auto" w:fill="FFFFFF"/>
        </w:rPr>
        <w:t> </w:t>
      </w:r>
      <w:hyperlink r:id="rId3" w:tooltip="View LawCiteRecord" w:history="1">
        <w:r w:rsidRPr="00767D26">
          <w:rPr>
            <w:rFonts w:cs="Arial"/>
            <w:szCs w:val="20"/>
            <w:shd w:val="clear" w:color="auto" w:fill="FFFFFF"/>
          </w:rPr>
          <w:t>2004 (4) SA 490</w:t>
        </w:r>
      </w:hyperlink>
      <w:r w:rsidRPr="00767D26">
        <w:rPr>
          <w:rFonts w:cs="Arial"/>
          <w:szCs w:val="20"/>
          <w:shd w:val="clear" w:color="auto" w:fill="FFFFFF"/>
        </w:rPr>
        <w:t> (CC) at para 48.</w:t>
      </w:r>
    </w:p>
  </w:footnote>
  <w:footnote w:id="86">
    <w:p w14:paraId="7B2FE77C" w14:textId="2A66F676" w:rsidR="00ED1155" w:rsidRPr="00767D26" w:rsidRDefault="00ED1155"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2018 (2) SA 571 (CC) at para 217.</w:t>
      </w:r>
    </w:p>
  </w:footnote>
  <w:footnote w:id="87">
    <w:p w14:paraId="7B3D3BC1" w14:textId="1EDABE9A" w:rsidR="00261F9D" w:rsidRPr="00767D26" w:rsidRDefault="00261F9D"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[2007] ZAECHC 149; [2008] 1 All SA 142 (Ck) at para 14.</w:t>
      </w:r>
    </w:p>
  </w:footnote>
  <w:footnote w:id="88">
    <w:p w14:paraId="0CC61C0A" w14:textId="03B7C9FB" w:rsidR="00782684" w:rsidRPr="00767D26" w:rsidRDefault="00782684" w:rsidP="00C42DCC">
      <w:pPr>
        <w:pStyle w:val="Heading2"/>
        <w:shd w:val="clear" w:color="auto" w:fill="FFFFFF"/>
        <w:spacing w:before="0"/>
        <w:rPr>
          <w:rFonts w:cs="Arial"/>
          <w:b w:val="0"/>
          <w:bCs w:val="0"/>
          <w:i w:val="0"/>
          <w:sz w:val="20"/>
          <w:szCs w:val="20"/>
          <w:lang w:val="en-ZA"/>
        </w:rPr>
      </w:pPr>
      <w:r w:rsidRPr="00767D26">
        <w:rPr>
          <w:rStyle w:val="FootnoteReference"/>
          <w:rFonts w:cs="Arial"/>
          <w:b w:val="0"/>
          <w:bCs w:val="0"/>
          <w:i w:val="0"/>
          <w:iCs/>
          <w:sz w:val="20"/>
          <w:szCs w:val="20"/>
        </w:rPr>
        <w:footnoteRef/>
      </w:r>
      <w:r w:rsidRPr="00767D26">
        <w:rPr>
          <w:rFonts w:cs="Arial"/>
          <w:sz w:val="20"/>
          <w:szCs w:val="20"/>
        </w:rPr>
        <w:t xml:space="preserve"> </w:t>
      </w:r>
      <w:r w:rsidR="00244830" w:rsidRPr="00767D26">
        <w:rPr>
          <w:rFonts w:cs="Arial"/>
          <w:b w:val="0"/>
          <w:bCs w:val="0"/>
          <w:i w:val="0"/>
          <w:sz w:val="20"/>
          <w:szCs w:val="20"/>
          <w:lang w:val="en-ZA"/>
        </w:rPr>
        <w:t xml:space="preserve">(ECJ 050/2004) [2004] ZAECHC 40 at </w:t>
      </w:r>
      <w:r w:rsidR="00244830" w:rsidRPr="00767D26">
        <w:rPr>
          <w:rFonts w:cs="Arial"/>
          <w:b w:val="0"/>
          <w:bCs w:val="0"/>
          <w:i w:val="0"/>
          <w:iCs/>
          <w:sz w:val="20"/>
          <w:szCs w:val="20"/>
          <w:lang w:val="en-ZA"/>
        </w:rPr>
        <w:t>p</w:t>
      </w:r>
      <w:r w:rsidRPr="00767D26">
        <w:rPr>
          <w:rFonts w:cs="Arial"/>
          <w:b w:val="0"/>
          <w:bCs w:val="0"/>
          <w:i w:val="0"/>
          <w:iCs/>
          <w:sz w:val="20"/>
          <w:szCs w:val="20"/>
          <w:lang w:val="en-ZA"/>
        </w:rPr>
        <w:t>ara 39.</w:t>
      </w:r>
      <w:r w:rsidR="00244830" w:rsidRPr="00767D26">
        <w:rPr>
          <w:rFonts w:cs="Arial"/>
          <w:b w:val="0"/>
          <w:bCs w:val="0"/>
          <w:i w:val="0"/>
          <w:iCs/>
          <w:sz w:val="20"/>
          <w:szCs w:val="20"/>
          <w:lang w:val="en-ZA"/>
        </w:rPr>
        <w:t xml:space="preserve"> See also </w:t>
      </w:r>
      <w:r w:rsidR="00244830" w:rsidRPr="00767D26">
        <w:rPr>
          <w:rFonts w:cs="Arial"/>
          <w:b w:val="0"/>
          <w:bCs w:val="0"/>
          <w:iCs/>
          <w:sz w:val="20"/>
          <w:szCs w:val="20"/>
          <w:lang w:val="en-ZA"/>
        </w:rPr>
        <w:t>MEC for the Department of Welfare v Kate</w:t>
      </w:r>
      <w:r w:rsidR="00244830" w:rsidRPr="00767D26">
        <w:rPr>
          <w:rFonts w:cs="Arial"/>
          <w:b w:val="0"/>
          <w:bCs w:val="0"/>
          <w:i w:val="0"/>
          <w:sz w:val="20"/>
          <w:szCs w:val="20"/>
          <w:lang w:val="en-ZA"/>
        </w:rPr>
        <w:t xml:space="preserve"> (580/04) 2006 (4) SA 478 (SCA) at para 10 and 22. </w:t>
      </w:r>
    </w:p>
  </w:footnote>
  <w:footnote w:id="89">
    <w:p w14:paraId="37862D87" w14:textId="51465C98" w:rsidR="007C2B62" w:rsidRPr="00767D26" w:rsidRDefault="007C2B62"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Pr="00767D26">
        <w:rPr>
          <w:rFonts w:cs="Arial"/>
          <w:szCs w:val="20"/>
          <w:lang w:val="en-ZA"/>
        </w:rPr>
        <w:t>See for example,</w:t>
      </w:r>
      <w:r w:rsidRPr="00767D26">
        <w:rPr>
          <w:rFonts w:cs="Arial"/>
          <w:szCs w:val="20"/>
        </w:rPr>
        <w:t xml:space="preserve"> </w:t>
      </w:r>
      <w:r w:rsidRPr="00767D26">
        <w:rPr>
          <w:rFonts w:cs="Arial"/>
          <w:i/>
          <w:iCs/>
          <w:szCs w:val="20"/>
        </w:rPr>
        <w:t>Fedsure Life Assurance Ltd v Greater Johannesburg Transitional Metropolitan Council</w:t>
      </w:r>
      <w:r w:rsidRPr="00767D26">
        <w:rPr>
          <w:rFonts w:cs="Arial"/>
          <w:szCs w:val="20"/>
        </w:rPr>
        <w:t xml:space="preserve"> 1998 (12) BCLR 1458 (CC), and </w:t>
      </w:r>
      <w:r w:rsidRPr="00767D26">
        <w:rPr>
          <w:rFonts w:cs="Arial"/>
          <w:i/>
          <w:iCs/>
          <w:szCs w:val="20"/>
        </w:rPr>
        <w:t>Pharmaceutical Manufacturers Association of South Africa: Ex parte President of the Republic of South Africa</w:t>
      </w:r>
      <w:r w:rsidRPr="00767D26">
        <w:rPr>
          <w:rFonts w:cs="Arial"/>
          <w:szCs w:val="20"/>
        </w:rPr>
        <w:t xml:space="preserve"> 2000 (2) SA 674 (CC).</w:t>
      </w:r>
    </w:p>
  </w:footnote>
  <w:footnote w:id="90">
    <w:p w14:paraId="51B5E6FF" w14:textId="1EF6ABD7" w:rsidR="00602C1B" w:rsidRPr="00C42DCC" w:rsidRDefault="00602C1B" w:rsidP="00C42DCC">
      <w:pPr>
        <w:pStyle w:val="Heading2"/>
        <w:shd w:val="clear" w:color="auto" w:fill="FFFFFF"/>
        <w:spacing w:before="0"/>
        <w:rPr>
          <w:rFonts w:cs="Arial"/>
          <w:b w:val="0"/>
          <w:bCs w:val="0"/>
          <w:i w:val="0"/>
          <w:sz w:val="20"/>
          <w:szCs w:val="20"/>
          <w:lang w:val="en-ZA"/>
        </w:rPr>
      </w:pPr>
      <w:r w:rsidRPr="00767D26">
        <w:rPr>
          <w:rStyle w:val="FootnoteReference"/>
          <w:rFonts w:cs="Arial"/>
          <w:b w:val="0"/>
          <w:bCs w:val="0"/>
          <w:i w:val="0"/>
          <w:iCs/>
          <w:sz w:val="20"/>
          <w:szCs w:val="20"/>
        </w:rPr>
        <w:footnoteRef/>
      </w:r>
      <w:r w:rsidRPr="00767D26">
        <w:rPr>
          <w:rFonts w:cs="Arial"/>
          <w:sz w:val="20"/>
          <w:szCs w:val="20"/>
        </w:rPr>
        <w:t xml:space="preserve"> </w:t>
      </w:r>
      <w:r w:rsidRPr="00767D26">
        <w:rPr>
          <w:rFonts w:cs="Arial"/>
          <w:b w:val="0"/>
          <w:bCs w:val="0"/>
          <w:i w:val="0"/>
          <w:sz w:val="20"/>
          <w:szCs w:val="20"/>
          <w:lang w:val="en-ZA"/>
        </w:rPr>
        <w:t>2000 (3) BCLR 241 at paras 89-90.</w:t>
      </w:r>
    </w:p>
  </w:footnote>
  <w:footnote w:id="91">
    <w:p w14:paraId="050DC4F3" w14:textId="77777777" w:rsidR="00085485" w:rsidRPr="00767D26" w:rsidRDefault="00085485" w:rsidP="00C42DCC">
      <w:pPr>
        <w:pStyle w:val="Heading2"/>
        <w:shd w:val="clear" w:color="auto" w:fill="FFFFFF"/>
        <w:spacing w:before="0"/>
        <w:rPr>
          <w:rFonts w:cs="Arial"/>
          <w:b w:val="0"/>
          <w:bCs w:val="0"/>
          <w:i w:val="0"/>
          <w:sz w:val="20"/>
          <w:szCs w:val="20"/>
          <w:lang w:val="en-ZA"/>
        </w:rPr>
      </w:pPr>
      <w:r w:rsidRPr="00767D26">
        <w:rPr>
          <w:rStyle w:val="FootnoteReference"/>
          <w:rFonts w:cs="Arial"/>
          <w:b w:val="0"/>
          <w:bCs w:val="0"/>
          <w:i w:val="0"/>
          <w:iCs/>
          <w:sz w:val="20"/>
          <w:szCs w:val="20"/>
        </w:rPr>
        <w:footnoteRef/>
      </w:r>
      <w:r w:rsidRPr="00767D26">
        <w:rPr>
          <w:rFonts w:cs="Arial"/>
          <w:b w:val="0"/>
          <w:bCs w:val="0"/>
          <w:i w:val="0"/>
          <w:iCs/>
          <w:sz w:val="20"/>
          <w:szCs w:val="20"/>
        </w:rPr>
        <w:t xml:space="preserve"> </w:t>
      </w:r>
      <w:r w:rsidRPr="00767D26">
        <w:rPr>
          <w:rFonts w:cs="Arial"/>
          <w:b w:val="0"/>
          <w:bCs w:val="0"/>
          <w:i w:val="0"/>
          <w:sz w:val="20"/>
          <w:szCs w:val="20"/>
          <w:lang w:val="en-ZA"/>
        </w:rPr>
        <w:t>2013 (5) SA 315 (GSJ) at para 15.</w:t>
      </w:r>
    </w:p>
  </w:footnote>
  <w:footnote w:id="92">
    <w:p w14:paraId="40BE6ABC" w14:textId="1015DB4A" w:rsidR="00D85529" w:rsidRPr="00767D26" w:rsidRDefault="00D85529" w:rsidP="00C42DCC">
      <w:pPr>
        <w:pStyle w:val="FootnoteText"/>
        <w:spacing w:before="0"/>
        <w:rPr>
          <w:rFonts w:cs="Arial"/>
          <w:szCs w:val="20"/>
          <w:lang w:val="en-ZA"/>
        </w:rPr>
      </w:pPr>
      <w:r w:rsidRPr="00767D26">
        <w:rPr>
          <w:rStyle w:val="FootnoteReference"/>
          <w:rFonts w:cs="Arial"/>
          <w:szCs w:val="20"/>
        </w:rPr>
        <w:footnoteRef/>
      </w:r>
      <w:r w:rsidRPr="00767D26">
        <w:rPr>
          <w:rFonts w:cs="Arial"/>
          <w:szCs w:val="20"/>
        </w:rPr>
        <w:t xml:space="preserve"> </w:t>
      </w:r>
      <w:r w:rsidR="00C42DCC">
        <w:rPr>
          <w:rFonts w:cs="Arial"/>
          <w:szCs w:val="20"/>
          <w:lang w:val="en-ZA"/>
        </w:rPr>
        <w:t>2023 (4) SA 78 (SCA) a</w:t>
      </w:r>
      <w:r w:rsidRPr="00767D26">
        <w:rPr>
          <w:rFonts w:cs="Arial"/>
          <w:szCs w:val="20"/>
          <w:lang w:val="en-ZA"/>
        </w:rPr>
        <w:t>t para 47.</w:t>
      </w:r>
    </w:p>
  </w:footnote>
  <w:footnote w:id="93">
    <w:p w14:paraId="218D6C5A" w14:textId="6DD96333" w:rsidR="0024329E" w:rsidRPr="00767D26" w:rsidRDefault="0024329E" w:rsidP="00C42DCC">
      <w:pPr>
        <w:pStyle w:val="FootnoteText"/>
        <w:spacing w:before="0"/>
        <w:rPr>
          <w:lang w:val="en-ZA"/>
        </w:rPr>
      </w:pPr>
      <w:r w:rsidRPr="00767D26">
        <w:rPr>
          <w:rStyle w:val="FootnoteReference"/>
        </w:rPr>
        <w:footnoteRef/>
      </w:r>
      <w:r w:rsidRPr="00767D26">
        <w:t xml:space="preserve"> 2005 (6) SA 205 (SCA)</w:t>
      </w:r>
      <w:r w:rsidR="00F369F7" w:rsidRPr="00767D26">
        <w:t xml:space="preserve"> at para </w:t>
      </w:r>
      <w:r w:rsidR="009E7AFB" w:rsidRPr="00767D26">
        <w:t>18.</w:t>
      </w:r>
    </w:p>
  </w:footnote>
  <w:footnote w:id="94">
    <w:p w14:paraId="6576B24A" w14:textId="77777777" w:rsidR="00C42DCC" w:rsidRPr="00B940D9" w:rsidRDefault="00C42DCC" w:rsidP="00C42DCC">
      <w:pPr>
        <w:pStyle w:val="FootnoteText"/>
        <w:spacing w:before="0"/>
        <w:rPr>
          <w:lang w:val="en-ZA"/>
        </w:rPr>
      </w:pPr>
      <w:r>
        <w:rPr>
          <w:rStyle w:val="FootnoteReference"/>
        </w:rPr>
        <w:footnoteRef/>
      </w:r>
      <w:r>
        <w:t xml:space="preserve"> </w:t>
      </w:r>
      <w:r>
        <w:rPr>
          <w:i/>
          <w:lang w:val="en-ZA"/>
        </w:rPr>
        <w:t xml:space="preserve">Ibid </w:t>
      </w:r>
      <w:r>
        <w:rPr>
          <w:lang w:val="en-ZA"/>
        </w:rPr>
        <w:t>at para 16.</w:t>
      </w:r>
    </w:p>
  </w:footnote>
  <w:footnote w:id="95">
    <w:p w14:paraId="365C8AB8" w14:textId="77777777" w:rsidR="00C42DCC" w:rsidRPr="00B940D9" w:rsidRDefault="00C42DCC" w:rsidP="00C42DCC">
      <w:pPr>
        <w:pStyle w:val="FootnoteText"/>
        <w:spacing w:before="0"/>
        <w:rPr>
          <w:lang w:val="en-ZA"/>
        </w:rPr>
      </w:pPr>
      <w:r>
        <w:rPr>
          <w:rStyle w:val="FootnoteReference"/>
        </w:rPr>
        <w:footnoteRef/>
      </w:r>
      <w:r>
        <w:t xml:space="preserve"> </w:t>
      </w:r>
      <w:r w:rsidRPr="0035116A">
        <w:rPr>
          <w:i/>
          <w:lang w:val="en-ZA"/>
        </w:rPr>
        <w:t xml:space="preserve">Ibid </w:t>
      </w:r>
      <w:r w:rsidRPr="0035116A">
        <w:rPr>
          <w:lang w:val="en-ZA"/>
        </w:rPr>
        <w:t>at para</w:t>
      </w:r>
      <w:r>
        <w:rPr>
          <w:lang w:val="en-ZA"/>
        </w:rPr>
        <w:t xml:space="preserve"> 17.</w:t>
      </w:r>
    </w:p>
  </w:footnote>
  <w:footnote w:id="96">
    <w:p w14:paraId="455EC86E" w14:textId="5DB7CEF4" w:rsidR="00D26E45" w:rsidRPr="00767D26" w:rsidRDefault="00D26E45" w:rsidP="00C42DCC">
      <w:pPr>
        <w:rPr>
          <w:rFonts w:cs="Arial"/>
          <w:sz w:val="20"/>
          <w:szCs w:val="20"/>
          <w:lang w:val="en-US" w:eastAsia="en-US"/>
        </w:rPr>
      </w:pPr>
      <w:r w:rsidRPr="00767D26">
        <w:rPr>
          <w:rStyle w:val="FootnoteReference"/>
          <w:rFonts w:cs="Arial"/>
          <w:sz w:val="20"/>
          <w:szCs w:val="20"/>
        </w:rPr>
        <w:footnoteRef/>
      </w:r>
      <w:r w:rsidRPr="00767D26">
        <w:rPr>
          <w:rFonts w:cs="Arial"/>
          <w:sz w:val="20"/>
          <w:szCs w:val="20"/>
        </w:rPr>
        <w:t xml:space="preserve"> </w:t>
      </w:r>
      <w:r w:rsidRPr="00767D26">
        <w:rPr>
          <w:rFonts w:cs="Arial"/>
          <w:i/>
          <w:sz w:val="20"/>
          <w:szCs w:val="20"/>
          <w:lang w:val="en-US" w:eastAsia="en-US"/>
        </w:rPr>
        <w:t>President of the Republic of South Africa &amp; Others v Gauteng Lions Rugby Union &amp; Another</w:t>
      </w:r>
      <w:r w:rsidRPr="00767D26">
        <w:rPr>
          <w:rFonts w:cs="Arial"/>
          <w:sz w:val="20"/>
          <w:szCs w:val="20"/>
          <w:lang w:val="en-US" w:eastAsia="en-US"/>
        </w:rPr>
        <w:t xml:space="preserve"> 2002 (2) SA 64 (CC) at para 15.</w:t>
      </w:r>
    </w:p>
    <w:p w14:paraId="54A1D669" w14:textId="49DEA66F" w:rsidR="00D26E45" w:rsidRPr="00767D26" w:rsidRDefault="00D26E45" w:rsidP="00C42DCC">
      <w:pPr>
        <w:pStyle w:val="FootnoteText"/>
        <w:spacing w:before="0"/>
        <w:rPr>
          <w:rFonts w:cs="Arial"/>
          <w:szCs w:val="20"/>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24879"/>
      <w:docPartObj>
        <w:docPartGallery w:val="Page Numbers (Top of Page)"/>
        <w:docPartUnique/>
      </w:docPartObj>
    </w:sdtPr>
    <w:sdtEndPr>
      <w:rPr>
        <w:noProof/>
      </w:rPr>
    </w:sdtEndPr>
    <w:sdtContent>
      <w:p w14:paraId="7AB11613" w14:textId="02C8A1A5" w:rsidR="00D26E45" w:rsidRDefault="00D26E45">
        <w:pPr>
          <w:pStyle w:val="Header"/>
          <w:jc w:val="right"/>
        </w:pPr>
        <w:r>
          <w:fldChar w:fldCharType="begin"/>
        </w:r>
        <w:r>
          <w:instrText xml:space="preserve"> PAGE   \* MERGEFORMAT </w:instrText>
        </w:r>
        <w:r>
          <w:fldChar w:fldCharType="separate"/>
        </w:r>
        <w:r w:rsidR="00890EE4">
          <w:rPr>
            <w:noProof/>
          </w:rPr>
          <w:t>3</w:t>
        </w:r>
        <w:r>
          <w:rPr>
            <w:noProof/>
          </w:rPr>
          <w:fldChar w:fldCharType="end"/>
        </w:r>
      </w:p>
    </w:sdtContent>
  </w:sdt>
  <w:p w14:paraId="76A8DD65" w14:textId="77777777" w:rsidR="00D26E45" w:rsidRDefault="00D2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2167C72"/>
    <w:multiLevelType w:val="multilevel"/>
    <w:tmpl w:val="A7027B18"/>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1C884036"/>
    <w:multiLevelType w:val="hybridMultilevel"/>
    <w:tmpl w:val="4E6A9F48"/>
    <w:lvl w:ilvl="0" w:tplc="792887E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nsid w:val="1E282AFB"/>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0D24C61"/>
    <w:multiLevelType w:val="multilevel"/>
    <w:tmpl w:val="A7027B18"/>
    <w:styleLink w:val="CurrentList1"/>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690AED"/>
    <w:multiLevelType w:val="hybridMultilevel"/>
    <w:tmpl w:val="E7E043C4"/>
    <w:lvl w:ilvl="0" w:tplc="5C06D20E">
      <w:start w:val="1"/>
      <w:numFmt w:val="lowerLetter"/>
      <w:lvlText w:val="(%1)"/>
      <w:lvlJc w:val="left"/>
      <w:pPr>
        <w:ind w:left="2105" w:hanging="360"/>
      </w:pPr>
      <w:rPr>
        <w:rFonts w:hint="default"/>
      </w:rPr>
    </w:lvl>
    <w:lvl w:ilvl="1" w:tplc="1C090019" w:tentative="1">
      <w:start w:val="1"/>
      <w:numFmt w:val="lowerLetter"/>
      <w:lvlText w:val="%2."/>
      <w:lvlJc w:val="left"/>
      <w:pPr>
        <w:ind w:left="2825" w:hanging="360"/>
      </w:pPr>
    </w:lvl>
    <w:lvl w:ilvl="2" w:tplc="1C09001B" w:tentative="1">
      <w:start w:val="1"/>
      <w:numFmt w:val="lowerRoman"/>
      <w:lvlText w:val="%3."/>
      <w:lvlJc w:val="right"/>
      <w:pPr>
        <w:ind w:left="3545" w:hanging="180"/>
      </w:pPr>
    </w:lvl>
    <w:lvl w:ilvl="3" w:tplc="1C09000F" w:tentative="1">
      <w:start w:val="1"/>
      <w:numFmt w:val="decimal"/>
      <w:lvlText w:val="%4."/>
      <w:lvlJc w:val="left"/>
      <w:pPr>
        <w:ind w:left="4265" w:hanging="360"/>
      </w:pPr>
    </w:lvl>
    <w:lvl w:ilvl="4" w:tplc="1C090019" w:tentative="1">
      <w:start w:val="1"/>
      <w:numFmt w:val="lowerLetter"/>
      <w:lvlText w:val="%5."/>
      <w:lvlJc w:val="left"/>
      <w:pPr>
        <w:ind w:left="4985" w:hanging="360"/>
      </w:pPr>
    </w:lvl>
    <w:lvl w:ilvl="5" w:tplc="1C09001B" w:tentative="1">
      <w:start w:val="1"/>
      <w:numFmt w:val="lowerRoman"/>
      <w:lvlText w:val="%6."/>
      <w:lvlJc w:val="right"/>
      <w:pPr>
        <w:ind w:left="5705" w:hanging="180"/>
      </w:pPr>
    </w:lvl>
    <w:lvl w:ilvl="6" w:tplc="1C09000F" w:tentative="1">
      <w:start w:val="1"/>
      <w:numFmt w:val="decimal"/>
      <w:lvlText w:val="%7."/>
      <w:lvlJc w:val="left"/>
      <w:pPr>
        <w:ind w:left="6425" w:hanging="360"/>
      </w:pPr>
    </w:lvl>
    <w:lvl w:ilvl="7" w:tplc="1C090019" w:tentative="1">
      <w:start w:val="1"/>
      <w:numFmt w:val="lowerLetter"/>
      <w:lvlText w:val="%8."/>
      <w:lvlJc w:val="left"/>
      <w:pPr>
        <w:ind w:left="7145" w:hanging="360"/>
      </w:pPr>
    </w:lvl>
    <w:lvl w:ilvl="8" w:tplc="1C09001B" w:tentative="1">
      <w:start w:val="1"/>
      <w:numFmt w:val="lowerRoman"/>
      <w:lvlText w:val="%9."/>
      <w:lvlJc w:val="right"/>
      <w:pPr>
        <w:ind w:left="7865" w:hanging="180"/>
      </w:pPr>
    </w:lvl>
  </w:abstractNum>
  <w:abstractNum w:abstractNumId="18">
    <w:nsid w:val="2EC32EAB"/>
    <w:multiLevelType w:val="multilevel"/>
    <w:tmpl w:val="84A2AAA4"/>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266FD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D00395D"/>
    <w:multiLevelType w:val="multilevel"/>
    <w:tmpl w:val="B5ECA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nsid w:val="4E56114F"/>
    <w:multiLevelType w:val="multilevel"/>
    <w:tmpl w:val="EAB838DE"/>
    <w:lvl w:ilvl="0">
      <w:start w:val="1"/>
      <w:numFmt w:val="decimal"/>
      <w:lvlText w:val="[%1]"/>
      <w:lvlJc w:val="left"/>
      <w:pPr>
        <w:tabs>
          <w:tab w:val="num" w:pos="567"/>
        </w:tabs>
        <w:ind w:left="567" w:hanging="567"/>
      </w:pPr>
      <w:rPr>
        <w:rFonts w:ascii="Arial" w:hAnsi="Arial" w:cs="Arial" w:hint="default"/>
        <w:b w:val="0"/>
        <w:bCs w:val="0"/>
        <w:i w:val="0"/>
        <w:iCs/>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5B51029C"/>
    <w:multiLevelType w:val="hybridMultilevel"/>
    <w:tmpl w:val="7F64B374"/>
    <w:lvl w:ilvl="0" w:tplc="88E05E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CEB5ACC"/>
    <w:multiLevelType w:val="hybridMultilevel"/>
    <w:tmpl w:val="018E01D6"/>
    <w:lvl w:ilvl="0" w:tplc="FFFFFFFF">
      <w:start w:val="1"/>
      <w:numFmt w:val="lowerLetter"/>
      <w:lvlText w:val="(%1)"/>
      <w:lvlJc w:val="left"/>
      <w:pPr>
        <w:ind w:left="720" w:hanging="360"/>
      </w:pPr>
      <w:rPr>
        <w:rFonts w:ascii="Arial" w:eastAsia="WenQuanYi Micro Hei" w:hAnsi="Arial" w:cs="Lohit Hin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8A7E73"/>
    <w:multiLevelType w:val="hybridMultilevel"/>
    <w:tmpl w:val="CD8C33B6"/>
    <w:lvl w:ilvl="0" w:tplc="5C861D36">
      <w:start w:val="2"/>
      <w:numFmt w:val="decimal"/>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67892EFF"/>
    <w:multiLevelType w:val="hybridMultilevel"/>
    <w:tmpl w:val="220CAB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5">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6">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3B670DD"/>
    <w:multiLevelType w:val="hybridMultilevel"/>
    <w:tmpl w:val="A3DEEA4A"/>
    <w:lvl w:ilvl="0" w:tplc="5CA23F5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nsid w:val="76AF6994"/>
    <w:multiLevelType w:val="hybridMultilevel"/>
    <w:tmpl w:val="447A7B7E"/>
    <w:lvl w:ilvl="0" w:tplc="5CA23F5E">
      <w:start w:val="3"/>
      <w:numFmt w:val="decimal"/>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nsid w:val="7ED80313"/>
    <w:multiLevelType w:val="multilevel"/>
    <w:tmpl w:val="58C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0"/>
  </w:num>
  <w:num w:numId="4">
    <w:abstractNumId w:val="26"/>
  </w:num>
  <w:num w:numId="5">
    <w:abstractNumId w:val="25"/>
  </w:num>
  <w:num w:numId="6">
    <w:abstractNumId w:val="5"/>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31"/>
  </w:num>
  <w:num w:numId="13">
    <w:abstractNumId w:val="39"/>
  </w:num>
  <w:num w:numId="14">
    <w:abstractNumId w:val="9"/>
  </w:num>
  <w:num w:numId="15">
    <w:abstractNumId w:val="7"/>
  </w:num>
  <w:num w:numId="16">
    <w:abstractNumId w:val="32"/>
  </w:num>
  <w:num w:numId="17">
    <w:abstractNumId w:val="11"/>
  </w:num>
  <w:num w:numId="18">
    <w:abstractNumId w:val="19"/>
  </w:num>
  <w:num w:numId="19">
    <w:abstractNumId w:val="4"/>
  </w:num>
  <w:num w:numId="20">
    <w:abstractNumId w:val="29"/>
  </w:num>
  <w:num w:numId="21">
    <w:abstractNumId w:val="18"/>
  </w:num>
  <w:num w:numId="22">
    <w:abstractNumId w:val="34"/>
  </w:num>
  <w:num w:numId="23">
    <w:abstractNumId w:val="18"/>
  </w:num>
  <w:num w:numId="24">
    <w:abstractNumId w:val="21"/>
  </w:num>
  <w:num w:numId="25">
    <w:abstractNumId w:val="35"/>
  </w:num>
  <w:num w:numId="26">
    <w:abstractNumId w:val="20"/>
  </w:num>
  <w:num w:numId="27">
    <w:abstractNumId w:val="36"/>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 w:numId="32">
    <w:abstractNumId w:val="24"/>
  </w:num>
  <w:num w:numId="33">
    <w:abstractNumId w:val="22"/>
  </w:num>
  <w:num w:numId="34">
    <w:abstractNumId w:val="8"/>
  </w:num>
  <w:num w:numId="35">
    <w:abstractNumId w:val="12"/>
  </w:num>
  <w:num w:numId="36">
    <w:abstractNumId w:val="38"/>
  </w:num>
  <w:num w:numId="37">
    <w:abstractNumId w:val="37"/>
  </w:num>
  <w:num w:numId="38">
    <w:abstractNumId w:val="30"/>
  </w:num>
  <w:num w:numId="39">
    <w:abstractNumId w:val="40"/>
  </w:num>
  <w:num w:numId="40">
    <w:abstractNumId w:val="17"/>
  </w:num>
  <w:num w:numId="41">
    <w:abstractNumId w:val="27"/>
  </w:num>
  <w:num w:numId="42">
    <w:abstractNumId w:val="14"/>
  </w:num>
  <w:num w:numId="43">
    <w:abstractNumId w:val="33"/>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4BF"/>
    <w:rsid w:val="000007B5"/>
    <w:rsid w:val="0000092D"/>
    <w:rsid w:val="00000EF5"/>
    <w:rsid w:val="00000EF9"/>
    <w:rsid w:val="000015B3"/>
    <w:rsid w:val="00001EAC"/>
    <w:rsid w:val="00001F2D"/>
    <w:rsid w:val="000025D3"/>
    <w:rsid w:val="000026D9"/>
    <w:rsid w:val="00002E04"/>
    <w:rsid w:val="000031F1"/>
    <w:rsid w:val="00003D4F"/>
    <w:rsid w:val="000043C3"/>
    <w:rsid w:val="00004C50"/>
    <w:rsid w:val="00004FF5"/>
    <w:rsid w:val="00005022"/>
    <w:rsid w:val="00005393"/>
    <w:rsid w:val="00005602"/>
    <w:rsid w:val="00006D89"/>
    <w:rsid w:val="0000721E"/>
    <w:rsid w:val="00007A1E"/>
    <w:rsid w:val="00010468"/>
    <w:rsid w:val="000107E5"/>
    <w:rsid w:val="00010AF1"/>
    <w:rsid w:val="00011064"/>
    <w:rsid w:val="00012678"/>
    <w:rsid w:val="00012BC9"/>
    <w:rsid w:val="00012FB9"/>
    <w:rsid w:val="00013956"/>
    <w:rsid w:val="00013988"/>
    <w:rsid w:val="00013D10"/>
    <w:rsid w:val="00013FB3"/>
    <w:rsid w:val="0001479D"/>
    <w:rsid w:val="00015055"/>
    <w:rsid w:val="00015194"/>
    <w:rsid w:val="00015D82"/>
    <w:rsid w:val="0001632C"/>
    <w:rsid w:val="0001663B"/>
    <w:rsid w:val="00016B15"/>
    <w:rsid w:val="00016D7D"/>
    <w:rsid w:val="00017051"/>
    <w:rsid w:val="000174A9"/>
    <w:rsid w:val="000205BB"/>
    <w:rsid w:val="00020C06"/>
    <w:rsid w:val="00021839"/>
    <w:rsid w:val="000223BA"/>
    <w:rsid w:val="00022930"/>
    <w:rsid w:val="000234BC"/>
    <w:rsid w:val="00024510"/>
    <w:rsid w:val="00024B45"/>
    <w:rsid w:val="00024C6F"/>
    <w:rsid w:val="00025AAC"/>
    <w:rsid w:val="00025AB9"/>
    <w:rsid w:val="00025BD9"/>
    <w:rsid w:val="00026013"/>
    <w:rsid w:val="0002644E"/>
    <w:rsid w:val="000267B0"/>
    <w:rsid w:val="00026EF4"/>
    <w:rsid w:val="00027E31"/>
    <w:rsid w:val="00027E97"/>
    <w:rsid w:val="00027F99"/>
    <w:rsid w:val="00032191"/>
    <w:rsid w:val="0003277C"/>
    <w:rsid w:val="000327C4"/>
    <w:rsid w:val="00032B2A"/>
    <w:rsid w:val="0003439D"/>
    <w:rsid w:val="00035C54"/>
    <w:rsid w:val="00035CA2"/>
    <w:rsid w:val="00035D07"/>
    <w:rsid w:val="00036839"/>
    <w:rsid w:val="0003686D"/>
    <w:rsid w:val="00036B3C"/>
    <w:rsid w:val="00036CBB"/>
    <w:rsid w:val="00036E35"/>
    <w:rsid w:val="000378F7"/>
    <w:rsid w:val="00037B4A"/>
    <w:rsid w:val="00037E9A"/>
    <w:rsid w:val="00040CF7"/>
    <w:rsid w:val="00040CFF"/>
    <w:rsid w:val="00040DBB"/>
    <w:rsid w:val="000410B1"/>
    <w:rsid w:val="0004166E"/>
    <w:rsid w:val="0004179B"/>
    <w:rsid w:val="00041A35"/>
    <w:rsid w:val="00042120"/>
    <w:rsid w:val="00042144"/>
    <w:rsid w:val="0004225B"/>
    <w:rsid w:val="00042883"/>
    <w:rsid w:val="00042AB7"/>
    <w:rsid w:val="00043330"/>
    <w:rsid w:val="00043B8D"/>
    <w:rsid w:val="00043CA9"/>
    <w:rsid w:val="00043D2C"/>
    <w:rsid w:val="00044524"/>
    <w:rsid w:val="00044986"/>
    <w:rsid w:val="00044CB9"/>
    <w:rsid w:val="0004504E"/>
    <w:rsid w:val="00045428"/>
    <w:rsid w:val="00046726"/>
    <w:rsid w:val="0004700B"/>
    <w:rsid w:val="000471C4"/>
    <w:rsid w:val="00047380"/>
    <w:rsid w:val="00047864"/>
    <w:rsid w:val="00047964"/>
    <w:rsid w:val="00047B31"/>
    <w:rsid w:val="000526FC"/>
    <w:rsid w:val="00052CE2"/>
    <w:rsid w:val="000538E7"/>
    <w:rsid w:val="00053DD2"/>
    <w:rsid w:val="000541F4"/>
    <w:rsid w:val="00054C64"/>
    <w:rsid w:val="000552C4"/>
    <w:rsid w:val="000554AC"/>
    <w:rsid w:val="00056173"/>
    <w:rsid w:val="000566B1"/>
    <w:rsid w:val="000569B1"/>
    <w:rsid w:val="00056A96"/>
    <w:rsid w:val="0005747E"/>
    <w:rsid w:val="00057FE1"/>
    <w:rsid w:val="000603D2"/>
    <w:rsid w:val="00060B0C"/>
    <w:rsid w:val="0006122D"/>
    <w:rsid w:val="000614DC"/>
    <w:rsid w:val="00061632"/>
    <w:rsid w:val="0006281D"/>
    <w:rsid w:val="00062AC4"/>
    <w:rsid w:val="000632C7"/>
    <w:rsid w:val="00063586"/>
    <w:rsid w:val="00064037"/>
    <w:rsid w:val="000643EE"/>
    <w:rsid w:val="00064417"/>
    <w:rsid w:val="000648C6"/>
    <w:rsid w:val="00065D25"/>
    <w:rsid w:val="00065DBA"/>
    <w:rsid w:val="0006685D"/>
    <w:rsid w:val="00067403"/>
    <w:rsid w:val="000713C6"/>
    <w:rsid w:val="000715B5"/>
    <w:rsid w:val="00071C04"/>
    <w:rsid w:val="0007238B"/>
    <w:rsid w:val="00072E37"/>
    <w:rsid w:val="00073213"/>
    <w:rsid w:val="000743C1"/>
    <w:rsid w:val="00074490"/>
    <w:rsid w:val="0007533B"/>
    <w:rsid w:val="000754EA"/>
    <w:rsid w:val="00075A7B"/>
    <w:rsid w:val="000768B7"/>
    <w:rsid w:val="000769A3"/>
    <w:rsid w:val="00076AEB"/>
    <w:rsid w:val="00076C32"/>
    <w:rsid w:val="0008070E"/>
    <w:rsid w:val="00081B44"/>
    <w:rsid w:val="000821DD"/>
    <w:rsid w:val="00083DA8"/>
    <w:rsid w:val="00084337"/>
    <w:rsid w:val="0008478E"/>
    <w:rsid w:val="00084A85"/>
    <w:rsid w:val="00085485"/>
    <w:rsid w:val="000856C1"/>
    <w:rsid w:val="00087F0F"/>
    <w:rsid w:val="00090D1E"/>
    <w:rsid w:val="00090E6B"/>
    <w:rsid w:val="00090EE9"/>
    <w:rsid w:val="00091EF1"/>
    <w:rsid w:val="00094423"/>
    <w:rsid w:val="00094488"/>
    <w:rsid w:val="0009492C"/>
    <w:rsid w:val="00095CA6"/>
    <w:rsid w:val="00095F1C"/>
    <w:rsid w:val="0009617B"/>
    <w:rsid w:val="000968A2"/>
    <w:rsid w:val="000975B2"/>
    <w:rsid w:val="00097C41"/>
    <w:rsid w:val="00097ECB"/>
    <w:rsid w:val="000A0398"/>
    <w:rsid w:val="000A0AB5"/>
    <w:rsid w:val="000A1B6E"/>
    <w:rsid w:val="000A1C84"/>
    <w:rsid w:val="000A1CF7"/>
    <w:rsid w:val="000A2515"/>
    <w:rsid w:val="000A2A21"/>
    <w:rsid w:val="000A3989"/>
    <w:rsid w:val="000A45E1"/>
    <w:rsid w:val="000A463E"/>
    <w:rsid w:val="000A5992"/>
    <w:rsid w:val="000A6375"/>
    <w:rsid w:val="000A72F6"/>
    <w:rsid w:val="000B0497"/>
    <w:rsid w:val="000B0977"/>
    <w:rsid w:val="000B0C9E"/>
    <w:rsid w:val="000B16A9"/>
    <w:rsid w:val="000B1905"/>
    <w:rsid w:val="000B1B70"/>
    <w:rsid w:val="000B2E1A"/>
    <w:rsid w:val="000B2EA2"/>
    <w:rsid w:val="000B3C84"/>
    <w:rsid w:val="000B4A7E"/>
    <w:rsid w:val="000B4E9C"/>
    <w:rsid w:val="000B66A1"/>
    <w:rsid w:val="000B708F"/>
    <w:rsid w:val="000B7B10"/>
    <w:rsid w:val="000B7F3F"/>
    <w:rsid w:val="000C03C5"/>
    <w:rsid w:val="000C0E29"/>
    <w:rsid w:val="000C0E88"/>
    <w:rsid w:val="000C122C"/>
    <w:rsid w:val="000C12AC"/>
    <w:rsid w:val="000C15AC"/>
    <w:rsid w:val="000C2D83"/>
    <w:rsid w:val="000C2E2C"/>
    <w:rsid w:val="000C3186"/>
    <w:rsid w:val="000C4038"/>
    <w:rsid w:val="000C4114"/>
    <w:rsid w:val="000C4EA2"/>
    <w:rsid w:val="000C726A"/>
    <w:rsid w:val="000C7D3C"/>
    <w:rsid w:val="000D0618"/>
    <w:rsid w:val="000D0A14"/>
    <w:rsid w:val="000D1047"/>
    <w:rsid w:val="000D1D14"/>
    <w:rsid w:val="000D1DE1"/>
    <w:rsid w:val="000D2129"/>
    <w:rsid w:val="000D22FD"/>
    <w:rsid w:val="000D26DF"/>
    <w:rsid w:val="000D3345"/>
    <w:rsid w:val="000D437D"/>
    <w:rsid w:val="000D4A33"/>
    <w:rsid w:val="000D4F96"/>
    <w:rsid w:val="000D531E"/>
    <w:rsid w:val="000D5E07"/>
    <w:rsid w:val="000D7503"/>
    <w:rsid w:val="000D76F8"/>
    <w:rsid w:val="000D7CFD"/>
    <w:rsid w:val="000D7F8D"/>
    <w:rsid w:val="000E0006"/>
    <w:rsid w:val="000E0C2D"/>
    <w:rsid w:val="000E0F31"/>
    <w:rsid w:val="000E0F39"/>
    <w:rsid w:val="000E139F"/>
    <w:rsid w:val="000E14B4"/>
    <w:rsid w:val="000E1C17"/>
    <w:rsid w:val="000E1D43"/>
    <w:rsid w:val="000E22BE"/>
    <w:rsid w:val="000E2EF4"/>
    <w:rsid w:val="000E3453"/>
    <w:rsid w:val="000E3F6A"/>
    <w:rsid w:val="000E43C6"/>
    <w:rsid w:val="000E460A"/>
    <w:rsid w:val="000E4996"/>
    <w:rsid w:val="000E4B30"/>
    <w:rsid w:val="000E5267"/>
    <w:rsid w:val="000E575E"/>
    <w:rsid w:val="000E5EE7"/>
    <w:rsid w:val="000E6C91"/>
    <w:rsid w:val="000E6EA6"/>
    <w:rsid w:val="000E7913"/>
    <w:rsid w:val="000F0069"/>
    <w:rsid w:val="000F0338"/>
    <w:rsid w:val="000F04AB"/>
    <w:rsid w:val="000F0B86"/>
    <w:rsid w:val="000F12F3"/>
    <w:rsid w:val="000F15DC"/>
    <w:rsid w:val="000F1B35"/>
    <w:rsid w:val="000F1FCB"/>
    <w:rsid w:val="000F2982"/>
    <w:rsid w:val="000F390B"/>
    <w:rsid w:val="000F42BE"/>
    <w:rsid w:val="000F4FE4"/>
    <w:rsid w:val="000F5253"/>
    <w:rsid w:val="000F546B"/>
    <w:rsid w:val="000F58E7"/>
    <w:rsid w:val="000F5FEA"/>
    <w:rsid w:val="000F6E19"/>
    <w:rsid w:val="000F71BA"/>
    <w:rsid w:val="000F79EC"/>
    <w:rsid w:val="000F7D41"/>
    <w:rsid w:val="001012BE"/>
    <w:rsid w:val="00101724"/>
    <w:rsid w:val="00101A4E"/>
    <w:rsid w:val="00103024"/>
    <w:rsid w:val="00105258"/>
    <w:rsid w:val="001059FB"/>
    <w:rsid w:val="001060C1"/>
    <w:rsid w:val="00106882"/>
    <w:rsid w:val="00107844"/>
    <w:rsid w:val="001103DF"/>
    <w:rsid w:val="00110663"/>
    <w:rsid w:val="00110900"/>
    <w:rsid w:val="001112EE"/>
    <w:rsid w:val="00111BE6"/>
    <w:rsid w:val="00112765"/>
    <w:rsid w:val="00112B71"/>
    <w:rsid w:val="00112CE2"/>
    <w:rsid w:val="00112F70"/>
    <w:rsid w:val="00115245"/>
    <w:rsid w:val="00115898"/>
    <w:rsid w:val="00116524"/>
    <w:rsid w:val="001172B2"/>
    <w:rsid w:val="001173C1"/>
    <w:rsid w:val="0011783C"/>
    <w:rsid w:val="00117AB5"/>
    <w:rsid w:val="0012077B"/>
    <w:rsid w:val="00120DB7"/>
    <w:rsid w:val="001210C6"/>
    <w:rsid w:val="00121310"/>
    <w:rsid w:val="001214B2"/>
    <w:rsid w:val="00121EB8"/>
    <w:rsid w:val="001221DD"/>
    <w:rsid w:val="001233EC"/>
    <w:rsid w:val="00123639"/>
    <w:rsid w:val="0012364D"/>
    <w:rsid w:val="00123DC2"/>
    <w:rsid w:val="0012426D"/>
    <w:rsid w:val="00124662"/>
    <w:rsid w:val="00125BDA"/>
    <w:rsid w:val="00125F72"/>
    <w:rsid w:val="00126A19"/>
    <w:rsid w:val="00127ADA"/>
    <w:rsid w:val="001309F1"/>
    <w:rsid w:val="00130AAD"/>
    <w:rsid w:val="00130D1F"/>
    <w:rsid w:val="00130F92"/>
    <w:rsid w:val="00131007"/>
    <w:rsid w:val="00132013"/>
    <w:rsid w:val="00133466"/>
    <w:rsid w:val="00134036"/>
    <w:rsid w:val="0013417C"/>
    <w:rsid w:val="00134B79"/>
    <w:rsid w:val="00134FE9"/>
    <w:rsid w:val="00135C14"/>
    <w:rsid w:val="00135C25"/>
    <w:rsid w:val="00135C79"/>
    <w:rsid w:val="00136023"/>
    <w:rsid w:val="00137B70"/>
    <w:rsid w:val="00140B02"/>
    <w:rsid w:val="00141AF1"/>
    <w:rsid w:val="0014208E"/>
    <w:rsid w:val="00142BD3"/>
    <w:rsid w:val="00143E0F"/>
    <w:rsid w:val="001441DA"/>
    <w:rsid w:val="001447D5"/>
    <w:rsid w:val="00144E79"/>
    <w:rsid w:val="00145B6A"/>
    <w:rsid w:val="0014616E"/>
    <w:rsid w:val="001468BA"/>
    <w:rsid w:val="00146DDD"/>
    <w:rsid w:val="0014730D"/>
    <w:rsid w:val="0015010C"/>
    <w:rsid w:val="00150C6C"/>
    <w:rsid w:val="0015121B"/>
    <w:rsid w:val="00151489"/>
    <w:rsid w:val="0015194B"/>
    <w:rsid w:val="00151D69"/>
    <w:rsid w:val="00152426"/>
    <w:rsid w:val="0015272F"/>
    <w:rsid w:val="00153BCD"/>
    <w:rsid w:val="00154728"/>
    <w:rsid w:val="00154E59"/>
    <w:rsid w:val="001553DB"/>
    <w:rsid w:val="001553E4"/>
    <w:rsid w:val="0015592D"/>
    <w:rsid w:val="0015650B"/>
    <w:rsid w:val="0015676D"/>
    <w:rsid w:val="001567D0"/>
    <w:rsid w:val="00156944"/>
    <w:rsid w:val="00157759"/>
    <w:rsid w:val="0015786A"/>
    <w:rsid w:val="00157C3E"/>
    <w:rsid w:val="00160F54"/>
    <w:rsid w:val="00161684"/>
    <w:rsid w:val="001617E5"/>
    <w:rsid w:val="00161B42"/>
    <w:rsid w:val="00162B20"/>
    <w:rsid w:val="00163249"/>
    <w:rsid w:val="0016348C"/>
    <w:rsid w:val="00163A94"/>
    <w:rsid w:val="00164225"/>
    <w:rsid w:val="001644F5"/>
    <w:rsid w:val="00164BE7"/>
    <w:rsid w:val="001650A8"/>
    <w:rsid w:val="001652B4"/>
    <w:rsid w:val="0016546B"/>
    <w:rsid w:val="00165B5A"/>
    <w:rsid w:val="00165EA8"/>
    <w:rsid w:val="00165F11"/>
    <w:rsid w:val="001676EE"/>
    <w:rsid w:val="00167BB4"/>
    <w:rsid w:val="001703C2"/>
    <w:rsid w:val="00170B6E"/>
    <w:rsid w:val="00170FC0"/>
    <w:rsid w:val="0017100E"/>
    <w:rsid w:val="0017129E"/>
    <w:rsid w:val="00171317"/>
    <w:rsid w:val="001721A2"/>
    <w:rsid w:val="00172F5D"/>
    <w:rsid w:val="00173523"/>
    <w:rsid w:val="00173B17"/>
    <w:rsid w:val="00173C62"/>
    <w:rsid w:val="00173DFC"/>
    <w:rsid w:val="001744A6"/>
    <w:rsid w:val="001750DB"/>
    <w:rsid w:val="0017518A"/>
    <w:rsid w:val="00175265"/>
    <w:rsid w:val="00175449"/>
    <w:rsid w:val="00175D58"/>
    <w:rsid w:val="001764EA"/>
    <w:rsid w:val="001779BC"/>
    <w:rsid w:val="00177DFE"/>
    <w:rsid w:val="001807BA"/>
    <w:rsid w:val="00180B60"/>
    <w:rsid w:val="00180CC0"/>
    <w:rsid w:val="001812DE"/>
    <w:rsid w:val="001822E1"/>
    <w:rsid w:val="0018260A"/>
    <w:rsid w:val="00182C6A"/>
    <w:rsid w:val="00183192"/>
    <w:rsid w:val="00183E73"/>
    <w:rsid w:val="0018496B"/>
    <w:rsid w:val="001852B1"/>
    <w:rsid w:val="0018576F"/>
    <w:rsid w:val="0018578F"/>
    <w:rsid w:val="00186A4E"/>
    <w:rsid w:val="0019046A"/>
    <w:rsid w:val="00190785"/>
    <w:rsid w:val="00190EE7"/>
    <w:rsid w:val="00191127"/>
    <w:rsid w:val="00192693"/>
    <w:rsid w:val="001929FC"/>
    <w:rsid w:val="00192AD9"/>
    <w:rsid w:val="00193169"/>
    <w:rsid w:val="0019325C"/>
    <w:rsid w:val="001938E7"/>
    <w:rsid w:val="00193DF6"/>
    <w:rsid w:val="00193F31"/>
    <w:rsid w:val="00194234"/>
    <w:rsid w:val="0019451B"/>
    <w:rsid w:val="00195075"/>
    <w:rsid w:val="0019568E"/>
    <w:rsid w:val="00195B5C"/>
    <w:rsid w:val="001965EA"/>
    <w:rsid w:val="00196AFF"/>
    <w:rsid w:val="00196DEE"/>
    <w:rsid w:val="0019727E"/>
    <w:rsid w:val="00197791"/>
    <w:rsid w:val="00197B69"/>
    <w:rsid w:val="00197C67"/>
    <w:rsid w:val="00197C81"/>
    <w:rsid w:val="00197F5E"/>
    <w:rsid w:val="00197FC6"/>
    <w:rsid w:val="001A00C1"/>
    <w:rsid w:val="001A0282"/>
    <w:rsid w:val="001A0391"/>
    <w:rsid w:val="001A19B0"/>
    <w:rsid w:val="001A1B0B"/>
    <w:rsid w:val="001A2212"/>
    <w:rsid w:val="001A3E89"/>
    <w:rsid w:val="001A527A"/>
    <w:rsid w:val="001A575C"/>
    <w:rsid w:val="001A6457"/>
    <w:rsid w:val="001A7491"/>
    <w:rsid w:val="001A7558"/>
    <w:rsid w:val="001A7D24"/>
    <w:rsid w:val="001A7FEA"/>
    <w:rsid w:val="001B0765"/>
    <w:rsid w:val="001B091A"/>
    <w:rsid w:val="001B09A6"/>
    <w:rsid w:val="001B0E3A"/>
    <w:rsid w:val="001B1560"/>
    <w:rsid w:val="001B2D50"/>
    <w:rsid w:val="001B39AE"/>
    <w:rsid w:val="001B4530"/>
    <w:rsid w:val="001B5213"/>
    <w:rsid w:val="001B58A2"/>
    <w:rsid w:val="001B65A6"/>
    <w:rsid w:val="001B6995"/>
    <w:rsid w:val="001B7559"/>
    <w:rsid w:val="001C057A"/>
    <w:rsid w:val="001C067F"/>
    <w:rsid w:val="001C0BDD"/>
    <w:rsid w:val="001C16D7"/>
    <w:rsid w:val="001C23D9"/>
    <w:rsid w:val="001C3037"/>
    <w:rsid w:val="001C318A"/>
    <w:rsid w:val="001C38A1"/>
    <w:rsid w:val="001C3D99"/>
    <w:rsid w:val="001C431E"/>
    <w:rsid w:val="001C4AAE"/>
    <w:rsid w:val="001C4DDA"/>
    <w:rsid w:val="001C5877"/>
    <w:rsid w:val="001C58CC"/>
    <w:rsid w:val="001C5BE4"/>
    <w:rsid w:val="001C5EF4"/>
    <w:rsid w:val="001C5FF8"/>
    <w:rsid w:val="001C61FF"/>
    <w:rsid w:val="001C77DD"/>
    <w:rsid w:val="001C7BF6"/>
    <w:rsid w:val="001C7C4D"/>
    <w:rsid w:val="001D0B22"/>
    <w:rsid w:val="001D0DC4"/>
    <w:rsid w:val="001D108D"/>
    <w:rsid w:val="001D204D"/>
    <w:rsid w:val="001D2565"/>
    <w:rsid w:val="001D260C"/>
    <w:rsid w:val="001D2EA8"/>
    <w:rsid w:val="001D32FD"/>
    <w:rsid w:val="001D397D"/>
    <w:rsid w:val="001D3C81"/>
    <w:rsid w:val="001D41F1"/>
    <w:rsid w:val="001D4C44"/>
    <w:rsid w:val="001D55F9"/>
    <w:rsid w:val="001D5949"/>
    <w:rsid w:val="001D636C"/>
    <w:rsid w:val="001D7511"/>
    <w:rsid w:val="001D76C7"/>
    <w:rsid w:val="001D7859"/>
    <w:rsid w:val="001E0460"/>
    <w:rsid w:val="001E060F"/>
    <w:rsid w:val="001E0613"/>
    <w:rsid w:val="001E0775"/>
    <w:rsid w:val="001E0CA3"/>
    <w:rsid w:val="001E1114"/>
    <w:rsid w:val="001E142F"/>
    <w:rsid w:val="001E1F7D"/>
    <w:rsid w:val="001E2974"/>
    <w:rsid w:val="001E3179"/>
    <w:rsid w:val="001E389A"/>
    <w:rsid w:val="001E3931"/>
    <w:rsid w:val="001E3990"/>
    <w:rsid w:val="001E443B"/>
    <w:rsid w:val="001E45FB"/>
    <w:rsid w:val="001E5131"/>
    <w:rsid w:val="001E58BE"/>
    <w:rsid w:val="001E6252"/>
    <w:rsid w:val="001E6929"/>
    <w:rsid w:val="001E6B20"/>
    <w:rsid w:val="001E77C7"/>
    <w:rsid w:val="001E7DA7"/>
    <w:rsid w:val="001F04A5"/>
    <w:rsid w:val="001F0581"/>
    <w:rsid w:val="001F05C0"/>
    <w:rsid w:val="001F1468"/>
    <w:rsid w:val="001F1477"/>
    <w:rsid w:val="001F1531"/>
    <w:rsid w:val="001F2977"/>
    <w:rsid w:val="001F2D04"/>
    <w:rsid w:val="001F3CAE"/>
    <w:rsid w:val="001F459B"/>
    <w:rsid w:val="001F59BF"/>
    <w:rsid w:val="001F6F2B"/>
    <w:rsid w:val="001F7089"/>
    <w:rsid w:val="001F79CE"/>
    <w:rsid w:val="001F7FC2"/>
    <w:rsid w:val="0020161E"/>
    <w:rsid w:val="00201B01"/>
    <w:rsid w:val="0020229A"/>
    <w:rsid w:val="0020258E"/>
    <w:rsid w:val="00202782"/>
    <w:rsid w:val="00202C55"/>
    <w:rsid w:val="00202F97"/>
    <w:rsid w:val="00203048"/>
    <w:rsid w:val="002053DD"/>
    <w:rsid w:val="0020581F"/>
    <w:rsid w:val="00206DBE"/>
    <w:rsid w:val="00207AFE"/>
    <w:rsid w:val="00207F92"/>
    <w:rsid w:val="002101BB"/>
    <w:rsid w:val="00210A60"/>
    <w:rsid w:val="00210B37"/>
    <w:rsid w:val="0021184C"/>
    <w:rsid w:val="00211E3E"/>
    <w:rsid w:val="00212B52"/>
    <w:rsid w:val="00213914"/>
    <w:rsid w:val="00213BDE"/>
    <w:rsid w:val="00214D52"/>
    <w:rsid w:val="0021586F"/>
    <w:rsid w:val="00216490"/>
    <w:rsid w:val="002169E8"/>
    <w:rsid w:val="00216E31"/>
    <w:rsid w:val="002172D6"/>
    <w:rsid w:val="00217A1B"/>
    <w:rsid w:val="002204A3"/>
    <w:rsid w:val="0022105A"/>
    <w:rsid w:val="00221801"/>
    <w:rsid w:val="00221808"/>
    <w:rsid w:val="00221C32"/>
    <w:rsid w:val="0022241E"/>
    <w:rsid w:val="00222D24"/>
    <w:rsid w:val="00223928"/>
    <w:rsid w:val="00223968"/>
    <w:rsid w:val="00223AC3"/>
    <w:rsid w:val="0022426E"/>
    <w:rsid w:val="002248E4"/>
    <w:rsid w:val="00226D8E"/>
    <w:rsid w:val="00226ECB"/>
    <w:rsid w:val="00227137"/>
    <w:rsid w:val="00227325"/>
    <w:rsid w:val="002274EE"/>
    <w:rsid w:val="002305B6"/>
    <w:rsid w:val="00230D61"/>
    <w:rsid w:val="00231437"/>
    <w:rsid w:val="00231A6B"/>
    <w:rsid w:val="00233364"/>
    <w:rsid w:val="002346DB"/>
    <w:rsid w:val="00234C6F"/>
    <w:rsid w:val="00234E67"/>
    <w:rsid w:val="00234EFB"/>
    <w:rsid w:val="00234F48"/>
    <w:rsid w:val="002360DB"/>
    <w:rsid w:val="0023795E"/>
    <w:rsid w:val="00237B60"/>
    <w:rsid w:val="002400E6"/>
    <w:rsid w:val="0024073F"/>
    <w:rsid w:val="002409BF"/>
    <w:rsid w:val="00240E0E"/>
    <w:rsid w:val="00241917"/>
    <w:rsid w:val="00242380"/>
    <w:rsid w:val="0024263E"/>
    <w:rsid w:val="00242846"/>
    <w:rsid w:val="00242CFB"/>
    <w:rsid w:val="00243294"/>
    <w:rsid w:val="0024329E"/>
    <w:rsid w:val="002434BE"/>
    <w:rsid w:val="002437F9"/>
    <w:rsid w:val="002441A9"/>
    <w:rsid w:val="00244459"/>
    <w:rsid w:val="00244830"/>
    <w:rsid w:val="00245933"/>
    <w:rsid w:val="00245A32"/>
    <w:rsid w:val="00246473"/>
    <w:rsid w:val="00247A69"/>
    <w:rsid w:val="00247EC2"/>
    <w:rsid w:val="00247EEB"/>
    <w:rsid w:val="00250296"/>
    <w:rsid w:val="00250394"/>
    <w:rsid w:val="00250982"/>
    <w:rsid w:val="00250F12"/>
    <w:rsid w:val="0025117D"/>
    <w:rsid w:val="00251183"/>
    <w:rsid w:val="00251D3D"/>
    <w:rsid w:val="002532D6"/>
    <w:rsid w:val="002536BF"/>
    <w:rsid w:val="00253B4E"/>
    <w:rsid w:val="00254018"/>
    <w:rsid w:val="002543D0"/>
    <w:rsid w:val="00254988"/>
    <w:rsid w:val="00254E57"/>
    <w:rsid w:val="00254EFF"/>
    <w:rsid w:val="0025533B"/>
    <w:rsid w:val="00255C6F"/>
    <w:rsid w:val="00255E47"/>
    <w:rsid w:val="0025707E"/>
    <w:rsid w:val="00257F9F"/>
    <w:rsid w:val="002606B8"/>
    <w:rsid w:val="0026073B"/>
    <w:rsid w:val="00261F9D"/>
    <w:rsid w:val="0026229C"/>
    <w:rsid w:val="00262464"/>
    <w:rsid w:val="00263395"/>
    <w:rsid w:val="0026361D"/>
    <w:rsid w:val="0026395B"/>
    <w:rsid w:val="00263E02"/>
    <w:rsid w:val="002641D3"/>
    <w:rsid w:val="0026449D"/>
    <w:rsid w:val="00264C18"/>
    <w:rsid w:val="00264DCB"/>
    <w:rsid w:val="00265254"/>
    <w:rsid w:val="00266297"/>
    <w:rsid w:val="00266A57"/>
    <w:rsid w:val="00266C60"/>
    <w:rsid w:val="00266D99"/>
    <w:rsid w:val="00266FA1"/>
    <w:rsid w:val="0026703D"/>
    <w:rsid w:val="00270251"/>
    <w:rsid w:val="00270CE0"/>
    <w:rsid w:val="00270D4F"/>
    <w:rsid w:val="00270F2A"/>
    <w:rsid w:val="00271D4E"/>
    <w:rsid w:val="00272701"/>
    <w:rsid w:val="00272723"/>
    <w:rsid w:val="002738C6"/>
    <w:rsid w:val="00273E45"/>
    <w:rsid w:val="00273FB9"/>
    <w:rsid w:val="00274568"/>
    <w:rsid w:val="002749DA"/>
    <w:rsid w:val="00275010"/>
    <w:rsid w:val="0027593C"/>
    <w:rsid w:val="00276A99"/>
    <w:rsid w:val="00276AA7"/>
    <w:rsid w:val="00276B6F"/>
    <w:rsid w:val="00276BAB"/>
    <w:rsid w:val="00276FC5"/>
    <w:rsid w:val="0027741D"/>
    <w:rsid w:val="0027781A"/>
    <w:rsid w:val="0027791B"/>
    <w:rsid w:val="00277E90"/>
    <w:rsid w:val="00280B6C"/>
    <w:rsid w:val="00281FBF"/>
    <w:rsid w:val="00282000"/>
    <w:rsid w:val="00283497"/>
    <w:rsid w:val="00283528"/>
    <w:rsid w:val="0028385F"/>
    <w:rsid w:val="00283DF8"/>
    <w:rsid w:val="002844C0"/>
    <w:rsid w:val="0028471A"/>
    <w:rsid w:val="00285CDE"/>
    <w:rsid w:val="002865AB"/>
    <w:rsid w:val="00286E0F"/>
    <w:rsid w:val="00287E8B"/>
    <w:rsid w:val="00290AF6"/>
    <w:rsid w:val="00290E93"/>
    <w:rsid w:val="00291374"/>
    <w:rsid w:val="002919F1"/>
    <w:rsid w:val="00292030"/>
    <w:rsid w:val="00292736"/>
    <w:rsid w:val="002936C5"/>
    <w:rsid w:val="002938FA"/>
    <w:rsid w:val="00293CC6"/>
    <w:rsid w:val="00293ED6"/>
    <w:rsid w:val="002945C4"/>
    <w:rsid w:val="00295412"/>
    <w:rsid w:val="0029546D"/>
    <w:rsid w:val="002957CF"/>
    <w:rsid w:val="002959E7"/>
    <w:rsid w:val="002964EC"/>
    <w:rsid w:val="00297B28"/>
    <w:rsid w:val="00297CD4"/>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D60"/>
    <w:rsid w:val="002A599E"/>
    <w:rsid w:val="002A5DC7"/>
    <w:rsid w:val="002A6480"/>
    <w:rsid w:val="002A72E7"/>
    <w:rsid w:val="002B04FF"/>
    <w:rsid w:val="002B060C"/>
    <w:rsid w:val="002B1672"/>
    <w:rsid w:val="002B3426"/>
    <w:rsid w:val="002B39BC"/>
    <w:rsid w:val="002B3AD5"/>
    <w:rsid w:val="002B4223"/>
    <w:rsid w:val="002B50E4"/>
    <w:rsid w:val="002B5B9F"/>
    <w:rsid w:val="002B6034"/>
    <w:rsid w:val="002B66DA"/>
    <w:rsid w:val="002B7D04"/>
    <w:rsid w:val="002C0251"/>
    <w:rsid w:val="002C0292"/>
    <w:rsid w:val="002C02F4"/>
    <w:rsid w:val="002C07D6"/>
    <w:rsid w:val="002C2084"/>
    <w:rsid w:val="002C21EF"/>
    <w:rsid w:val="002C222A"/>
    <w:rsid w:val="002C2E0B"/>
    <w:rsid w:val="002C3081"/>
    <w:rsid w:val="002C32D9"/>
    <w:rsid w:val="002C3595"/>
    <w:rsid w:val="002C3C32"/>
    <w:rsid w:val="002C3D20"/>
    <w:rsid w:val="002C3D8A"/>
    <w:rsid w:val="002C3E50"/>
    <w:rsid w:val="002C4854"/>
    <w:rsid w:val="002C4AE6"/>
    <w:rsid w:val="002C4E67"/>
    <w:rsid w:val="002C72C1"/>
    <w:rsid w:val="002C7E8F"/>
    <w:rsid w:val="002D0463"/>
    <w:rsid w:val="002D06B4"/>
    <w:rsid w:val="002D084A"/>
    <w:rsid w:val="002D1A05"/>
    <w:rsid w:val="002D307B"/>
    <w:rsid w:val="002D3335"/>
    <w:rsid w:val="002D34CB"/>
    <w:rsid w:val="002D383A"/>
    <w:rsid w:val="002D4178"/>
    <w:rsid w:val="002D4BD6"/>
    <w:rsid w:val="002D54F2"/>
    <w:rsid w:val="002D5E0C"/>
    <w:rsid w:val="002D6260"/>
    <w:rsid w:val="002D635F"/>
    <w:rsid w:val="002D64B9"/>
    <w:rsid w:val="002D654C"/>
    <w:rsid w:val="002D6816"/>
    <w:rsid w:val="002D6A5F"/>
    <w:rsid w:val="002D74E7"/>
    <w:rsid w:val="002D7854"/>
    <w:rsid w:val="002E0456"/>
    <w:rsid w:val="002E064E"/>
    <w:rsid w:val="002E1E8E"/>
    <w:rsid w:val="002E30D6"/>
    <w:rsid w:val="002E3118"/>
    <w:rsid w:val="002E3223"/>
    <w:rsid w:val="002E3757"/>
    <w:rsid w:val="002E3860"/>
    <w:rsid w:val="002E3F05"/>
    <w:rsid w:val="002E48E8"/>
    <w:rsid w:val="002E4B25"/>
    <w:rsid w:val="002E59C3"/>
    <w:rsid w:val="002E60D1"/>
    <w:rsid w:val="002E6C8A"/>
    <w:rsid w:val="002F10A4"/>
    <w:rsid w:val="002F12CF"/>
    <w:rsid w:val="002F179E"/>
    <w:rsid w:val="002F194D"/>
    <w:rsid w:val="002F1D84"/>
    <w:rsid w:val="002F23AD"/>
    <w:rsid w:val="002F30D3"/>
    <w:rsid w:val="002F3265"/>
    <w:rsid w:val="002F4438"/>
    <w:rsid w:val="002F450F"/>
    <w:rsid w:val="002F47E5"/>
    <w:rsid w:val="002F5701"/>
    <w:rsid w:val="002F5E51"/>
    <w:rsid w:val="002F5F2D"/>
    <w:rsid w:val="002F678A"/>
    <w:rsid w:val="002F6A67"/>
    <w:rsid w:val="002F771E"/>
    <w:rsid w:val="002F7E5A"/>
    <w:rsid w:val="00301A32"/>
    <w:rsid w:val="003020A3"/>
    <w:rsid w:val="003021D6"/>
    <w:rsid w:val="003027FB"/>
    <w:rsid w:val="00302F6F"/>
    <w:rsid w:val="0030423E"/>
    <w:rsid w:val="003044C6"/>
    <w:rsid w:val="003049ED"/>
    <w:rsid w:val="00306D3C"/>
    <w:rsid w:val="00307345"/>
    <w:rsid w:val="003074CD"/>
    <w:rsid w:val="0030786B"/>
    <w:rsid w:val="0030786F"/>
    <w:rsid w:val="0031001C"/>
    <w:rsid w:val="0031072D"/>
    <w:rsid w:val="00310E3A"/>
    <w:rsid w:val="003142CB"/>
    <w:rsid w:val="0031443D"/>
    <w:rsid w:val="00314652"/>
    <w:rsid w:val="00314713"/>
    <w:rsid w:val="0031485B"/>
    <w:rsid w:val="00314B3E"/>
    <w:rsid w:val="003164A4"/>
    <w:rsid w:val="00316CD8"/>
    <w:rsid w:val="00317735"/>
    <w:rsid w:val="00317900"/>
    <w:rsid w:val="00320434"/>
    <w:rsid w:val="0032085D"/>
    <w:rsid w:val="00320976"/>
    <w:rsid w:val="003210CC"/>
    <w:rsid w:val="00321700"/>
    <w:rsid w:val="00321AF2"/>
    <w:rsid w:val="003229D7"/>
    <w:rsid w:val="00322A53"/>
    <w:rsid w:val="00323240"/>
    <w:rsid w:val="003233E5"/>
    <w:rsid w:val="003236F5"/>
    <w:rsid w:val="003237DC"/>
    <w:rsid w:val="00323B14"/>
    <w:rsid w:val="00323E57"/>
    <w:rsid w:val="003243A3"/>
    <w:rsid w:val="00324CE5"/>
    <w:rsid w:val="0032529A"/>
    <w:rsid w:val="00326267"/>
    <w:rsid w:val="00327290"/>
    <w:rsid w:val="003277DB"/>
    <w:rsid w:val="00327DCF"/>
    <w:rsid w:val="00327F53"/>
    <w:rsid w:val="00330394"/>
    <w:rsid w:val="00332113"/>
    <w:rsid w:val="0033242B"/>
    <w:rsid w:val="003325CF"/>
    <w:rsid w:val="00332969"/>
    <w:rsid w:val="00332E2C"/>
    <w:rsid w:val="003334EE"/>
    <w:rsid w:val="00333523"/>
    <w:rsid w:val="00333EAB"/>
    <w:rsid w:val="00334529"/>
    <w:rsid w:val="00334DDA"/>
    <w:rsid w:val="00334EC7"/>
    <w:rsid w:val="00335A30"/>
    <w:rsid w:val="0033663E"/>
    <w:rsid w:val="00336DFD"/>
    <w:rsid w:val="00337385"/>
    <w:rsid w:val="00337520"/>
    <w:rsid w:val="003377E4"/>
    <w:rsid w:val="0033792D"/>
    <w:rsid w:val="003379B6"/>
    <w:rsid w:val="00337E8D"/>
    <w:rsid w:val="0034022B"/>
    <w:rsid w:val="003402BE"/>
    <w:rsid w:val="00340833"/>
    <w:rsid w:val="00340D11"/>
    <w:rsid w:val="003411B4"/>
    <w:rsid w:val="00341B5C"/>
    <w:rsid w:val="0034200E"/>
    <w:rsid w:val="003423FB"/>
    <w:rsid w:val="00342C29"/>
    <w:rsid w:val="00342CA0"/>
    <w:rsid w:val="003435D7"/>
    <w:rsid w:val="00343D1C"/>
    <w:rsid w:val="00344380"/>
    <w:rsid w:val="00344794"/>
    <w:rsid w:val="00344EC3"/>
    <w:rsid w:val="00345162"/>
    <w:rsid w:val="00345E35"/>
    <w:rsid w:val="00345E57"/>
    <w:rsid w:val="00346597"/>
    <w:rsid w:val="00347644"/>
    <w:rsid w:val="00347A57"/>
    <w:rsid w:val="00347AD6"/>
    <w:rsid w:val="00347D50"/>
    <w:rsid w:val="00350E9F"/>
    <w:rsid w:val="00351EB9"/>
    <w:rsid w:val="0035298A"/>
    <w:rsid w:val="00353582"/>
    <w:rsid w:val="00354854"/>
    <w:rsid w:val="00355250"/>
    <w:rsid w:val="0035551B"/>
    <w:rsid w:val="003559B7"/>
    <w:rsid w:val="00355B81"/>
    <w:rsid w:val="0035666A"/>
    <w:rsid w:val="00356865"/>
    <w:rsid w:val="00356B7C"/>
    <w:rsid w:val="003574FA"/>
    <w:rsid w:val="003578CC"/>
    <w:rsid w:val="00357F59"/>
    <w:rsid w:val="00360CBD"/>
    <w:rsid w:val="00361726"/>
    <w:rsid w:val="00361B40"/>
    <w:rsid w:val="0036200C"/>
    <w:rsid w:val="00362150"/>
    <w:rsid w:val="003621C4"/>
    <w:rsid w:val="00362780"/>
    <w:rsid w:val="00362A67"/>
    <w:rsid w:val="00362F60"/>
    <w:rsid w:val="003631D1"/>
    <w:rsid w:val="00363775"/>
    <w:rsid w:val="00364101"/>
    <w:rsid w:val="00364376"/>
    <w:rsid w:val="003644D4"/>
    <w:rsid w:val="00365917"/>
    <w:rsid w:val="00365A12"/>
    <w:rsid w:val="00366367"/>
    <w:rsid w:val="003663D8"/>
    <w:rsid w:val="003675A8"/>
    <w:rsid w:val="00367714"/>
    <w:rsid w:val="003677A1"/>
    <w:rsid w:val="0037030F"/>
    <w:rsid w:val="003709FE"/>
    <w:rsid w:val="00370D8B"/>
    <w:rsid w:val="0037234E"/>
    <w:rsid w:val="0037314D"/>
    <w:rsid w:val="00373160"/>
    <w:rsid w:val="00373547"/>
    <w:rsid w:val="0037375D"/>
    <w:rsid w:val="003739AA"/>
    <w:rsid w:val="00373C3F"/>
    <w:rsid w:val="00373C7E"/>
    <w:rsid w:val="00373F9A"/>
    <w:rsid w:val="00374899"/>
    <w:rsid w:val="003757D5"/>
    <w:rsid w:val="00375BE7"/>
    <w:rsid w:val="00376B0F"/>
    <w:rsid w:val="003776FC"/>
    <w:rsid w:val="00377B92"/>
    <w:rsid w:val="00377B94"/>
    <w:rsid w:val="003804B1"/>
    <w:rsid w:val="00380525"/>
    <w:rsid w:val="00381117"/>
    <w:rsid w:val="00381242"/>
    <w:rsid w:val="0038157E"/>
    <w:rsid w:val="00381DE5"/>
    <w:rsid w:val="00381E79"/>
    <w:rsid w:val="003848B1"/>
    <w:rsid w:val="00384ED6"/>
    <w:rsid w:val="00385018"/>
    <w:rsid w:val="00386437"/>
    <w:rsid w:val="00386935"/>
    <w:rsid w:val="0038758B"/>
    <w:rsid w:val="003876E6"/>
    <w:rsid w:val="00387DE2"/>
    <w:rsid w:val="0039031B"/>
    <w:rsid w:val="00390810"/>
    <w:rsid w:val="00390B8B"/>
    <w:rsid w:val="0039102C"/>
    <w:rsid w:val="00391307"/>
    <w:rsid w:val="0039138F"/>
    <w:rsid w:val="00391A75"/>
    <w:rsid w:val="00392844"/>
    <w:rsid w:val="00393BB6"/>
    <w:rsid w:val="0039448F"/>
    <w:rsid w:val="00394779"/>
    <w:rsid w:val="00394B2D"/>
    <w:rsid w:val="003956A8"/>
    <w:rsid w:val="0039615F"/>
    <w:rsid w:val="00396313"/>
    <w:rsid w:val="00396697"/>
    <w:rsid w:val="0039673B"/>
    <w:rsid w:val="00396FE4"/>
    <w:rsid w:val="00397D1B"/>
    <w:rsid w:val="003A0790"/>
    <w:rsid w:val="003A0E19"/>
    <w:rsid w:val="003A1665"/>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B0110"/>
    <w:rsid w:val="003B0687"/>
    <w:rsid w:val="003B0B8D"/>
    <w:rsid w:val="003B0CD6"/>
    <w:rsid w:val="003B1034"/>
    <w:rsid w:val="003B1DD8"/>
    <w:rsid w:val="003B1EFC"/>
    <w:rsid w:val="003B2B29"/>
    <w:rsid w:val="003B2C36"/>
    <w:rsid w:val="003B2D29"/>
    <w:rsid w:val="003B3ACE"/>
    <w:rsid w:val="003B43E8"/>
    <w:rsid w:val="003B4431"/>
    <w:rsid w:val="003B49E4"/>
    <w:rsid w:val="003B4CD6"/>
    <w:rsid w:val="003B520D"/>
    <w:rsid w:val="003B54C7"/>
    <w:rsid w:val="003B5608"/>
    <w:rsid w:val="003B58A3"/>
    <w:rsid w:val="003B5A31"/>
    <w:rsid w:val="003B68CE"/>
    <w:rsid w:val="003B6F8B"/>
    <w:rsid w:val="003B7156"/>
    <w:rsid w:val="003B7524"/>
    <w:rsid w:val="003C03C2"/>
    <w:rsid w:val="003C060F"/>
    <w:rsid w:val="003C075C"/>
    <w:rsid w:val="003C0D92"/>
    <w:rsid w:val="003C0DF1"/>
    <w:rsid w:val="003C0F9F"/>
    <w:rsid w:val="003C1A87"/>
    <w:rsid w:val="003C1EF7"/>
    <w:rsid w:val="003C4298"/>
    <w:rsid w:val="003C42BE"/>
    <w:rsid w:val="003C46C0"/>
    <w:rsid w:val="003C4E9C"/>
    <w:rsid w:val="003C7290"/>
    <w:rsid w:val="003C7482"/>
    <w:rsid w:val="003C785A"/>
    <w:rsid w:val="003C7EF1"/>
    <w:rsid w:val="003D07C6"/>
    <w:rsid w:val="003D0863"/>
    <w:rsid w:val="003D0BC4"/>
    <w:rsid w:val="003D130B"/>
    <w:rsid w:val="003D139F"/>
    <w:rsid w:val="003D146C"/>
    <w:rsid w:val="003D2986"/>
    <w:rsid w:val="003D34F3"/>
    <w:rsid w:val="003D3B55"/>
    <w:rsid w:val="003D3BB0"/>
    <w:rsid w:val="003D3D85"/>
    <w:rsid w:val="003D451A"/>
    <w:rsid w:val="003D4EFC"/>
    <w:rsid w:val="003D5332"/>
    <w:rsid w:val="003D6C2F"/>
    <w:rsid w:val="003D6C72"/>
    <w:rsid w:val="003D6D58"/>
    <w:rsid w:val="003D71E0"/>
    <w:rsid w:val="003D723F"/>
    <w:rsid w:val="003D7FD0"/>
    <w:rsid w:val="003E0545"/>
    <w:rsid w:val="003E0F70"/>
    <w:rsid w:val="003E1239"/>
    <w:rsid w:val="003E1FF2"/>
    <w:rsid w:val="003E24EA"/>
    <w:rsid w:val="003E2D2C"/>
    <w:rsid w:val="003E34D6"/>
    <w:rsid w:val="003E3ADD"/>
    <w:rsid w:val="003E4764"/>
    <w:rsid w:val="003E4A0B"/>
    <w:rsid w:val="003E50E3"/>
    <w:rsid w:val="003E5EA7"/>
    <w:rsid w:val="003E5FA6"/>
    <w:rsid w:val="003E63AC"/>
    <w:rsid w:val="003E63C2"/>
    <w:rsid w:val="003E6788"/>
    <w:rsid w:val="003F0100"/>
    <w:rsid w:val="003F04AE"/>
    <w:rsid w:val="003F09BA"/>
    <w:rsid w:val="003F312F"/>
    <w:rsid w:val="003F462F"/>
    <w:rsid w:val="003F5B4E"/>
    <w:rsid w:val="003F5F1F"/>
    <w:rsid w:val="003F6BE7"/>
    <w:rsid w:val="003F7525"/>
    <w:rsid w:val="003F7FBE"/>
    <w:rsid w:val="003F7FC7"/>
    <w:rsid w:val="00400A31"/>
    <w:rsid w:val="00400E32"/>
    <w:rsid w:val="004012BF"/>
    <w:rsid w:val="00401EF9"/>
    <w:rsid w:val="0040203D"/>
    <w:rsid w:val="00402E92"/>
    <w:rsid w:val="00403234"/>
    <w:rsid w:val="004035D4"/>
    <w:rsid w:val="0040413C"/>
    <w:rsid w:val="00404F05"/>
    <w:rsid w:val="00404F42"/>
    <w:rsid w:val="00404F43"/>
    <w:rsid w:val="00405E30"/>
    <w:rsid w:val="00406158"/>
    <w:rsid w:val="0040676E"/>
    <w:rsid w:val="00406923"/>
    <w:rsid w:val="004070B1"/>
    <w:rsid w:val="00407188"/>
    <w:rsid w:val="00407776"/>
    <w:rsid w:val="004102F8"/>
    <w:rsid w:val="0041032D"/>
    <w:rsid w:val="00411184"/>
    <w:rsid w:val="004112E3"/>
    <w:rsid w:val="00411626"/>
    <w:rsid w:val="00412A52"/>
    <w:rsid w:val="00412B65"/>
    <w:rsid w:val="00412D3E"/>
    <w:rsid w:val="004138A7"/>
    <w:rsid w:val="00413946"/>
    <w:rsid w:val="00413A73"/>
    <w:rsid w:val="00414F15"/>
    <w:rsid w:val="004158AA"/>
    <w:rsid w:val="004159A7"/>
    <w:rsid w:val="00415E78"/>
    <w:rsid w:val="00416940"/>
    <w:rsid w:val="0042067C"/>
    <w:rsid w:val="00421FFE"/>
    <w:rsid w:val="004225C0"/>
    <w:rsid w:val="0042348C"/>
    <w:rsid w:val="004236B7"/>
    <w:rsid w:val="0042517A"/>
    <w:rsid w:val="00425366"/>
    <w:rsid w:val="004263DD"/>
    <w:rsid w:val="00427140"/>
    <w:rsid w:val="00427488"/>
    <w:rsid w:val="00427A9D"/>
    <w:rsid w:val="00430204"/>
    <w:rsid w:val="004303CC"/>
    <w:rsid w:val="004307F0"/>
    <w:rsid w:val="00430E10"/>
    <w:rsid w:val="00431021"/>
    <w:rsid w:val="0043126A"/>
    <w:rsid w:val="004315FB"/>
    <w:rsid w:val="00432B1E"/>
    <w:rsid w:val="00432ED3"/>
    <w:rsid w:val="00433693"/>
    <w:rsid w:val="00434260"/>
    <w:rsid w:val="004343C6"/>
    <w:rsid w:val="00434400"/>
    <w:rsid w:val="00434441"/>
    <w:rsid w:val="0043494A"/>
    <w:rsid w:val="0043552E"/>
    <w:rsid w:val="00435DD7"/>
    <w:rsid w:val="004370E8"/>
    <w:rsid w:val="00437849"/>
    <w:rsid w:val="00437CC8"/>
    <w:rsid w:val="00440831"/>
    <w:rsid w:val="00440D55"/>
    <w:rsid w:val="00441696"/>
    <w:rsid w:val="0044236C"/>
    <w:rsid w:val="00442C23"/>
    <w:rsid w:val="004452A3"/>
    <w:rsid w:val="004462A3"/>
    <w:rsid w:val="004469AE"/>
    <w:rsid w:val="00446E44"/>
    <w:rsid w:val="004472C4"/>
    <w:rsid w:val="0044775E"/>
    <w:rsid w:val="004500C8"/>
    <w:rsid w:val="0045091A"/>
    <w:rsid w:val="00450988"/>
    <w:rsid w:val="00450A43"/>
    <w:rsid w:val="00450A5A"/>
    <w:rsid w:val="00451B01"/>
    <w:rsid w:val="00451D7F"/>
    <w:rsid w:val="00452EDC"/>
    <w:rsid w:val="00452F24"/>
    <w:rsid w:val="00453152"/>
    <w:rsid w:val="00454018"/>
    <w:rsid w:val="004548FA"/>
    <w:rsid w:val="00455678"/>
    <w:rsid w:val="00456C13"/>
    <w:rsid w:val="00456FFD"/>
    <w:rsid w:val="0045741A"/>
    <w:rsid w:val="00457466"/>
    <w:rsid w:val="00457D24"/>
    <w:rsid w:val="00457DD8"/>
    <w:rsid w:val="004602DF"/>
    <w:rsid w:val="00460566"/>
    <w:rsid w:val="0046082D"/>
    <w:rsid w:val="004608FB"/>
    <w:rsid w:val="004609DA"/>
    <w:rsid w:val="0046101D"/>
    <w:rsid w:val="00461699"/>
    <w:rsid w:val="004616EF"/>
    <w:rsid w:val="00461849"/>
    <w:rsid w:val="00462590"/>
    <w:rsid w:val="004629E2"/>
    <w:rsid w:val="00463413"/>
    <w:rsid w:val="004641F2"/>
    <w:rsid w:val="004643C0"/>
    <w:rsid w:val="00464948"/>
    <w:rsid w:val="00465206"/>
    <w:rsid w:val="00465BC2"/>
    <w:rsid w:val="004661F8"/>
    <w:rsid w:val="00466EED"/>
    <w:rsid w:val="00467AF8"/>
    <w:rsid w:val="00467E72"/>
    <w:rsid w:val="00467EEE"/>
    <w:rsid w:val="0047035C"/>
    <w:rsid w:val="00470636"/>
    <w:rsid w:val="00470FA6"/>
    <w:rsid w:val="004711BE"/>
    <w:rsid w:val="00471CD6"/>
    <w:rsid w:val="00471D40"/>
    <w:rsid w:val="00471DAE"/>
    <w:rsid w:val="0047205C"/>
    <w:rsid w:val="004724C4"/>
    <w:rsid w:val="00474025"/>
    <w:rsid w:val="0047411E"/>
    <w:rsid w:val="0047413A"/>
    <w:rsid w:val="004742B6"/>
    <w:rsid w:val="0047447E"/>
    <w:rsid w:val="00474F6B"/>
    <w:rsid w:val="00475159"/>
    <w:rsid w:val="00475509"/>
    <w:rsid w:val="0047571E"/>
    <w:rsid w:val="004763AB"/>
    <w:rsid w:val="004766CB"/>
    <w:rsid w:val="00476EC1"/>
    <w:rsid w:val="004776BE"/>
    <w:rsid w:val="0048063B"/>
    <w:rsid w:val="004814E7"/>
    <w:rsid w:val="0048276D"/>
    <w:rsid w:val="0048472E"/>
    <w:rsid w:val="00484FBA"/>
    <w:rsid w:val="00485471"/>
    <w:rsid w:val="004868D6"/>
    <w:rsid w:val="00486A0B"/>
    <w:rsid w:val="0048727C"/>
    <w:rsid w:val="00487843"/>
    <w:rsid w:val="00487939"/>
    <w:rsid w:val="0049012E"/>
    <w:rsid w:val="004907DD"/>
    <w:rsid w:val="00491347"/>
    <w:rsid w:val="0049143A"/>
    <w:rsid w:val="0049176E"/>
    <w:rsid w:val="004917FE"/>
    <w:rsid w:val="00491EE2"/>
    <w:rsid w:val="00492253"/>
    <w:rsid w:val="004922F0"/>
    <w:rsid w:val="004927FF"/>
    <w:rsid w:val="004928D9"/>
    <w:rsid w:val="00492B8D"/>
    <w:rsid w:val="00493426"/>
    <w:rsid w:val="004937E8"/>
    <w:rsid w:val="00493877"/>
    <w:rsid w:val="00495344"/>
    <w:rsid w:val="004956AD"/>
    <w:rsid w:val="004958F8"/>
    <w:rsid w:val="00495C19"/>
    <w:rsid w:val="004962E9"/>
    <w:rsid w:val="004964A9"/>
    <w:rsid w:val="004A0111"/>
    <w:rsid w:val="004A02B0"/>
    <w:rsid w:val="004A0AEC"/>
    <w:rsid w:val="004A0BF1"/>
    <w:rsid w:val="004A0DED"/>
    <w:rsid w:val="004A0FE1"/>
    <w:rsid w:val="004A1021"/>
    <w:rsid w:val="004A1968"/>
    <w:rsid w:val="004A1EA1"/>
    <w:rsid w:val="004A201B"/>
    <w:rsid w:val="004A25BC"/>
    <w:rsid w:val="004A383D"/>
    <w:rsid w:val="004A468E"/>
    <w:rsid w:val="004A4AAE"/>
    <w:rsid w:val="004A56C3"/>
    <w:rsid w:val="004A5A06"/>
    <w:rsid w:val="004A5D26"/>
    <w:rsid w:val="004A63CC"/>
    <w:rsid w:val="004B0E80"/>
    <w:rsid w:val="004B1421"/>
    <w:rsid w:val="004B259A"/>
    <w:rsid w:val="004B25DE"/>
    <w:rsid w:val="004B284F"/>
    <w:rsid w:val="004B2BDB"/>
    <w:rsid w:val="004B2F36"/>
    <w:rsid w:val="004B360D"/>
    <w:rsid w:val="004B4530"/>
    <w:rsid w:val="004B45BF"/>
    <w:rsid w:val="004B51BB"/>
    <w:rsid w:val="004B5658"/>
    <w:rsid w:val="004B5A1F"/>
    <w:rsid w:val="004B5C5F"/>
    <w:rsid w:val="004B62F5"/>
    <w:rsid w:val="004B63B0"/>
    <w:rsid w:val="004B6B86"/>
    <w:rsid w:val="004B6E2D"/>
    <w:rsid w:val="004B796A"/>
    <w:rsid w:val="004C0755"/>
    <w:rsid w:val="004C0BEF"/>
    <w:rsid w:val="004C1980"/>
    <w:rsid w:val="004C39F9"/>
    <w:rsid w:val="004C3C81"/>
    <w:rsid w:val="004C3E0F"/>
    <w:rsid w:val="004C4329"/>
    <w:rsid w:val="004C45CA"/>
    <w:rsid w:val="004C5160"/>
    <w:rsid w:val="004C5CD9"/>
    <w:rsid w:val="004C6336"/>
    <w:rsid w:val="004C69D8"/>
    <w:rsid w:val="004C75A4"/>
    <w:rsid w:val="004C79F3"/>
    <w:rsid w:val="004D0084"/>
    <w:rsid w:val="004D0AF6"/>
    <w:rsid w:val="004D146B"/>
    <w:rsid w:val="004D16CF"/>
    <w:rsid w:val="004D184F"/>
    <w:rsid w:val="004D1C16"/>
    <w:rsid w:val="004D1E80"/>
    <w:rsid w:val="004D27EB"/>
    <w:rsid w:val="004D2C9D"/>
    <w:rsid w:val="004D37A4"/>
    <w:rsid w:val="004D3988"/>
    <w:rsid w:val="004D3B5E"/>
    <w:rsid w:val="004D410F"/>
    <w:rsid w:val="004D4143"/>
    <w:rsid w:val="004D452A"/>
    <w:rsid w:val="004D457C"/>
    <w:rsid w:val="004D4F9F"/>
    <w:rsid w:val="004D5112"/>
    <w:rsid w:val="004D551D"/>
    <w:rsid w:val="004D5979"/>
    <w:rsid w:val="004D6972"/>
    <w:rsid w:val="004D6D56"/>
    <w:rsid w:val="004D757C"/>
    <w:rsid w:val="004D7A4A"/>
    <w:rsid w:val="004D7BD2"/>
    <w:rsid w:val="004D7C09"/>
    <w:rsid w:val="004E0260"/>
    <w:rsid w:val="004E06EC"/>
    <w:rsid w:val="004E06FF"/>
    <w:rsid w:val="004E0B33"/>
    <w:rsid w:val="004E0C03"/>
    <w:rsid w:val="004E17AF"/>
    <w:rsid w:val="004E1908"/>
    <w:rsid w:val="004E1941"/>
    <w:rsid w:val="004E19FE"/>
    <w:rsid w:val="004E1D23"/>
    <w:rsid w:val="004E2560"/>
    <w:rsid w:val="004E27BC"/>
    <w:rsid w:val="004E4CBA"/>
    <w:rsid w:val="004E4E71"/>
    <w:rsid w:val="004E4FE3"/>
    <w:rsid w:val="004E5804"/>
    <w:rsid w:val="004E596A"/>
    <w:rsid w:val="004E5EEE"/>
    <w:rsid w:val="004E687A"/>
    <w:rsid w:val="004E7445"/>
    <w:rsid w:val="004E7749"/>
    <w:rsid w:val="004E7CA6"/>
    <w:rsid w:val="004E7D18"/>
    <w:rsid w:val="004F0181"/>
    <w:rsid w:val="004F054E"/>
    <w:rsid w:val="004F195A"/>
    <w:rsid w:val="004F1B26"/>
    <w:rsid w:val="004F1D0E"/>
    <w:rsid w:val="004F31FC"/>
    <w:rsid w:val="004F3503"/>
    <w:rsid w:val="004F42BF"/>
    <w:rsid w:val="004F4A02"/>
    <w:rsid w:val="004F4F72"/>
    <w:rsid w:val="004F530C"/>
    <w:rsid w:val="004F6227"/>
    <w:rsid w:val="004F6613"/>
    <w:rsid w:val="004F68B9"/>
    <w:rsid w:val="004F6A3A"/>
    <w:rsid w:val="004F6A53"/>
    <w:rsid w:val="004F7339"/>
    <w:rsid w:val="004F7A61"/>
    <w:rsid w:val="00501732"/>
    <w:rsid w:val="005017C8"/>
    <w:rsid w:val="00503016"/>
    <w:rsid w:val="00503102"/>
    <w:rsid w:val="0050338C"/>
    <w:rsid w:val="005034A1"/>
    <w:rsid w:val="005035D5"/>
    <w:rsid w:val="00503CDE"/>
    <w:rsid w:val="005044F3"/>
    <w:rsid w:val="00504CC9"/>
    <w:rsid w:val="005052C4"/>
    <w:rsid w:val="00505D97"/>
    <w:rsid w:val="00506144"/>
    <w:rsid w:val="00507B35"/>
    <w:rsid w:val="00510489"/>
    <w:rsid w:val="0051064B"/>
    <w:rsid w:val="005109B3"/>
    <w:rsid w:val="00510B05"/>
    <w:rsid w:val="005114A5"/>
    <w:rsid w:val="005122E9"/>
    <w:rsid w:val="00513291"/>
    <w:rsid w:val="00513544"/>
    <w:rsid w:val="0051369A"/>
    <w:rsid w:val="00513836"/>
    <w:rsid w:val="00513D36"/>
    <w:rsid w:val="0051406F"/>
    <w:rsid w:val="00514559"/>
    <w:rsid w:val="00514CAD"/>
    <w:rsid w:val="00514CC8"/>
    <w:rsid w:val="00514FFB"/>
    <w:rsid w:val="0051516F"/>
    <w:rsid w:val="00515268"/>
    <w:rsid w:val="005154BB"/>
    <w:rsid w:val="005156AA"/>
    <w:rsid w:val="00516145"/>
    <w:rsid w:val="00517ABC"/>
    <w:rsid w:val="00517D1E"/>
    <w:rsid w:val="005203C2"/>
    <w:rsid w:val="00520868"/>
    <w:rsid w:val="00520E50"/>
    <w:rsid w:val="005214BF"/>
    <w:rsid w:val="00521835"/>
    <w:rsid w:val="00522162"/>
    <w:rsid w:val="00522C72"/>
    <w:rsid w:val="00522F3E"/>
    <w:rsid w:val="005245D2"/>
    <w:rsid w:val="005252B6"/>
    <w:rsid w:val="005253AC"/>
    <w:rsid w:val="00525816"/>
    <w:rsid w:val="00526E1C"/>
    <w:rsid w:val="005274C8"/>
    <w:rsid w:val="00527F55"/>
    <w:rsid w:val="00530A4C"/>
    <w:rsid w:val="00530D60"/>
    <w:rsid w:val="0053146C"/>
    <w:rsid w:val="005318DF"/>
    <w:rsid w:val="00531925"/>
    <w:rsid w:val="00531E9F"/>
    <w:rsid w:val="005321B6"/>
    <w:rsid w:val="00532D77"/>
    <w:rsid w:val="005332D4"/>
    <w:rsid w:val="005344E4"/>
    <w:rsid w:val="00534716"/>
    <w:rsid w:val="00534BAB"/>
    <w:rsid w:val="0053560F"/>
    <w:rsid w:val="00536778"/>
    <w:rsid w:val="005372FC"/>
    <w:rsid w:val="005373A1"/>
    <w:rsid w:val="0054217B"/>
    <w:rsid w:val="0054290D"/>
    <w:rsid w:val="0054326B"/>
    <w:rsid w:val="005439CF"/>
    <w:rsid w:val="00543D3A"/>
    <w:rsid w:val="005442E4"/>
    <w:rsid w:val="0054531E"/>
    <w:rsid w:val="00545927"/>
    <w:rsid w:val="00546050"/>
    <w:rsid w:val="00546262"/>
    <w:rsid w:val="00546717"/>
    <w:rsid w:val="0054731B"/>
    <w:rsid w:val="00547FD4"/>
    <w:rsid w:val="005509B6"/>
    <w:rsid w:val="00550EAC"/>
    <w:rsid w:val="00551A73"/>
    <w:rsid w:val="00552393"/>
    <w:rsid w:val="00552C4B"/>
    <w:rsid w:val="005532EC"/>
    <w:rsid w:val="00554224"/>
    <w:rsid w:val="00554CD7"/>
    <w:rsid w:val="00555F21"/>
    <w:rsid w:val="00557439"/>
    <w:rsid w:val="005609BE"/>
    <w:rsid w:val="00560DD0"/>
    <w:rsid w:val="00561227"/>
    <w:rsid w:val="00561C6F"/>
    <w:rsid w:val="00562707"/>
    <w:rsid w:val="00562A40"/>
    <w:rsid w:val="0056329F"/>
    <w:rsid w:val="005637A2"/>
    <w:rsid w:val="00563923"/>
    <w:rsid w:val="00564495"/>
    <w:rsid w:val="0056551E"/>
    <w:rsid w:val="0056552B"/>
    <w:rsid w:val="00565D72"/>
    <w:rsid w:val="00566246"/>
    <w:rsid w:val="00566D9B"/>
    <w:rsid w:val="00567620"/>
    <w:rsid w:val="00567693"/>
    <w:rsid w:val="00567967"/>
    <w:rsid w:val="00570362"/>
    <w:rsid w:val="00570B03"/>
    <w:rsid w:val="00570F1E"/>
    <w:rsid w:val="005718E1"/>
    <w:rsid w:val="00571C4F"/>
    <w:rsid w:val="00571F3E"/>
    <w:rsid w:val="00572633"/>
    <w:rsid w:val="0057274A"/>
    <w:rsid w:val="00573270"/>
    <w:rsid w:val="005741C7"/>
    <w:rsid w:val="0057450D"/>
    <w:rsid w:val="00574DBE"/>
    <w:rsid w:val="00575C36"/>
    <w:rsid w:val="00575F5B"/>
    <w:rsid w:val="00576BEF"/>
    <w:rsid w:val="00577105"/>
    <w:rsid w:val="0057755A"/>
    <w:rsid w:val="0058041C"/>
    <w:rsid w:val="005804CE"/>
    <w:rsid w:val="0058061B"/>
    <w:rsid w:val="00580E80"/>
    <w:rsid w:val="00580FA7"/>
    <w:rsid w:val="005812AB"/>
    <w:rsid w:val="00581451"/>
    <w:rsid w:val="00581499"/>
    <w:rsid w:val="0058281E"/>
    <w:rsid w:val="0058288F"/>
    <w:rsid w:val="00583C90"/>
    <w:rsid w:val="00584275"/>
    <w:rsid w:val="005843B7"/>
    <w:rsid w:val="00584B19"/>
    <w:rsid w:val="00585637"/>
    <w:rsid w:val="00585F96"/>
    <w:rsid w:val="005869E2"/>
    <w:rsid w:val="0059041D"/>
    <w:rsid w:val="00590D69"/>
    <w:rsid w:val="0059103F"/>
    <w:rsid w:val="0059144E"/>
    <w:rsid w:val="00591472"/>
    <w:rsid w:val="0059309B"/>
    <w:rsid w:val="00593F07"/>
    <w:rsid w:val="00594751"/>
    <w:rsid w:val="00594841"/>
    <w:rsid w:val="00595AAE"/>
    <w:rsid w:val="00596215"/>
    <w:rsid w:val="00596222"/>
    <w:rsid w:val="005A1064"/>
    <w:rsid w:val="005A32FD"/>
    <w:rsid w:val="005A33A3"/>
    <w:rsid w:val="005A3500"/>
    <w:rsid w:val="005A3ABD"/>
    <w:rsid w:val="005A3D8D"/>
    <w:rsid w:val="005A41E8"/>
    <w:rsid w:val="005A4303"/>
    <w:rsid w:val="005A486A"/>
    <w:rsid w:val="005A4E6B"/>
    <w:rsid w:val="005A4F6A"/>
    <w:rsid w:val="005A5949"/>
    <w:rsid w:val="005A5D07"/>
    <w:rsid w:val="005A659A"/>
    <w:rsid w:val="005A69D9"/>
    <w:rsid w:val="005A6AC1"/>
    <w:rsid w:val="005B0196"/>
    <w:rsid w:val="005B107C"/>
    <w:rsid w:val="005B1165"/>
    <w:rsid w:val="005B16DB"/>
    <w:rsid w:val="005B1C40"/>
    <w:rsid w:val="005B1E71"/>
    <w:rsid w:val="005B20E0"/>
    <w:rsid w:val="005B2585"/>
    <w:rsid w:val="005B2B40"/>
    <w:rsid w:val="005B2DB9"/>
    <w:rsid w:val="005B376C"/>
    <w:rsid w:val="005B412D"/>
    <w:rsid w:val="005B413D"/>
    <w:rsid w:val="005B527B"/>
    <w:rsid w:val="005B53C1"/>
    <w:rsid w:val="005B5544"/>
    <w:rsid w:val="005B57B7"/>
    <w:rsid w:val="005B58C0"/>
    <w:rsid w:val="005B5912"/>
    <w:rsid w:val="005B5D8F"/>
    <w:rsid w:val="005B699E"/>
    <w:rsid w:val="005B6A29"/>
    <w:rsid w:val="005B78AA"/>
    <w:rsid w:val="005C032E"/>
    <w:rsid w:val="005C078A"/>
    <w:rsid w:val="005C0A86"/>
    <w:rsid w:val="005C131F"/>
    <w:rsid w:val="005C2295"/>
    <w:rsid w:val="005C2C8B"/>
    <w:rsid w:val="005C2D99"/>
    <w:rsid w:val="005C3F98"/>
    <w:rsid w:val="005C4AA6"/>
    <w:rsid w:val="005C6337"/>
    <w:rsid w:val="005C6570"/>
    <w:rsid w:val="005C6645"/>
    <w:rsid w:val="005C69BD"/>
    <w:rsid w:val="005C6D9F"/>
    <w:rsid w:val="005C7C32"/>
    <w:rsid w:val="005C7DAA"/>
    <w:rsid w:val="005D0375"/>
    <w:rsid w:val="005D12BD"/>
    <w:rsid w:val="005D12FE"/>
    <w:rsid w:val="005D1ECB"/>
    <w:rsid w:val="005D23F7"/>
    <w:rsid w:val="005D2A02"/>
    <w:rsid w:val="005D3D10"/>
    <w:rsid w:val="005D43AA"/>
    <w:rsid w:val="005D44FB"/>
    <w:rsid w:val="005D4CE7"/>
    <w:rsid w:val="005D5988"/>
    <w:rsid w:val="005D5BCA"/>
    <w:rsid w:val="005D6456"/>
    <w:rsid w:val="005D689D"/>
    <w:rsid w:val="005E02A8"/>
    <w:rsid w:val="005E04CB"/>
    <w:rsid w:val="005E05AA"/>
    <w:rsid w:val="005E07B1"/>
    <w:rsid w:val="005E08C8"/>
    <w:rsid w:val="005E2689"/>
    <w:rsid w:val="005E2D0C"/>
    <w:rsid w:val="005E2D47"/>
    <w:rsid w:val="005E352B"/>
    <w:rsid w:val="005E36B1"/>
    <w:rsid w:val="005E380E"/>
    <w:rsid w:val="005E4870"/>
    <w:rsid w:val="005E490F"/>
    <w:rsid w:val="005E5BD4"/>
    <w:rsid w:val="005E60DB"/>
    <w:rsid w:val="005E6698"/>
    <w:rsid w:val="005E6E48"/>
    <w:rsid w:val="005E6F74"/>
    <w:rsid w:val="005F0712"/>
    <w:rsid w:val="005F0A5B"/>
    <w:rsid w:val="005F0AEA"/>
    <w:rsid w:val="005F0B9E"/>
    <w:rsid w:val="005F0D5D"/>
    <w:rsid w:val="005F11AB"/>
    <w:rsid w:val="005F137A"/>
    <w:rsid w:val="005F15F6"/>
    <w:rsid w:val="005F16B3"/>
    <w:rsid w:val="005F28FC"/>
    <w:rsid w:val="005F32A2"/>
    <w:rsid w:val="005F3F0C"/>
    <w:rsid w:val="005F445F"/>
    <w:rsid w:val="005F44AE"/>
    <w:rsid w:val="005F6FC0"/>
    <w:rsid w:val="005F7082"/>
    <w:rsid w:val="005F7245"/>
    <w:rsid w:val="005F778B"/>
    <w:rsid w:val="005F7919"/>
    <w:rsid w:val="00600B0A"/>
    <w:rsid w:val="006011F7"/>
    <w:rsid w:val="00601661"/>
    <w:rsid w:val="00602A19"/>
    <w:rsid w:val="00602C1B"/>
    <w:rsid w:val="00602C31"/>
    <w:rsid w:val="00603007"/>
    <w:rsid w:val="0060322E"/>
    <w:rsid w:val="00603A0A"/>
    <w:rsid w:val="00603B35"/>
    <w:rsid w:val="006056DC"/>
    <w:rsid w:val="0060667E"/>
    <w:rsid w:val="00606C62"/>
    <w:rsid w:val="00606DD4"/>
    <w:rsid w:val="00606FBE"/>
    <w:rsid w:val="0061002B"/>
    <w:rsid w:val="00611C6B"/>
    <w:rsid w:val="0061204F"/>
    <w:rsid w:val="00613445"/>
    <w:rsid w:val="006134D3"/>
    <w:rsid w:val="006134FA"/>
    <w:rsid w:val="006141DA"/>
    <w:rsid w:val="0061444D"/>
    <w:rsid w:val="006144EF"/>
    <w:rsid w:val="00614519"/>
    <w:rsid w:val="00614802"/>
    <w:rsid w:val="00614AD0"/>
    <w:rsid w:val="00614BC6"/>
    <w:rsid w:val="00614C29"/>
    <w:rsid w:val="00614DD0"/>
    <w:rsid w:val="00615053"/>
    <w:rsid w:val="00615E79"/>
    <w:rsid w:val="0061657B"/>
    <w:rsid w:val="006168FB"/>
    <w:rsid w:val="00616F32"/>
    <w:rsid w:val="00617810"/>
    <w:rsid w:val="006178E5"/>
    <w:rsid w:val="0062005F"/>
    <w:rsid w:val="006201EB"/>
    <w:rsid w:val="00620BC4"/>
    <w:rsid w:val="00620DB6"/>
    <w:rsid w:val="006225C0"/>
    <w:rsid w:val="006225D4"/>
    <w:rsid w:val="0062287D"/>
    <w:rsid w:val="00623212"/>
    <w:rsid w:val="006232A9"/>
    <w:rsid w:val="00623974"/>
    <w:rsid w:val="00624244"/>
    <w:rsid w:val="006243CA"/>
    <w:rsid w:val="00624549"/>
    <w:rsid w:val="00625859"/>
    <w:rsid w:val="0062607D"/>
    <w:rsid w:val="00626111"/>
    <w:rsid w:val="0062619F"/>
    <w:rsid w:val="00626420"/>
    <w:rsid w:val="00626EE7"/>
    <w:rsid w:val="006272A6"/>
    <w:rsid w:val="006278F6"/>
    <w:rsid w:val="006302C0"/>
    <w:rsid w:val="0063039B"/>
    <w:rsid w:val="00632663"/>
    <w:rsid w:val="00632AC5"/>
    <w:rsid w:val="00632C80"/>
    <w:rsid w:val="006350B9"/>
    <w:rsid w:val="0063518C"/>
    <w:rsid w:val="00635408"/>
    <w:rsid w:val="00635B97"/>
    <w:rsid w:val="00636258"/>
    <w:rsid w:val="0063684F"/>
    <w:rsid w:val="00636BB7"/>
    <w:rsid w:val="006379C7"/>
    <w:rsid w:val="0064072C"/>
    <w:rsid w:val="00643734"/>
    <w:rsid w:val="006437E7"/>
    <w:rsid w:val="006437EC"/>
    <w:rsid w:val="0064465A"/>
    <w:rsid w:val="00644CFB"/>
    <w:rsid w:val="00644E64"/>
    <w:rsid w:val="0064511D"/>
    <w:rsid w:val="00645CAF"/>
    <w:rsid w:val="00646A56"/>
    <w:rsid w:val="00646B84"/>
    <w:rsid w:val="00647518"/>
    <w:rsid w:val="00647F50"/>
    <w:rsid w:val="006503F2"/>
    <w:rsid w:val="00651239"/>
    <w:rsid w:val="00651E8D"/>
    <w:rsid w:val="0065297C"/>
    <w:rsid w:val="00652AC7"/>
    <w:rsid w:val="00652D48"/>
    <w:rsid w:val="00653292"/>
    <w:rsid w:val="00653B9F"/>
    <w:rsid w:val="0065480C"/>
    <w:rsid w:val="00654C02"/>
    <w:rsid w:val="00654E38"/>
    <w:rsid w:val="00655A7B"/>
    <w:rsid w:val="0065693F"/>
    <w:rsid w:val="0065701A"/>
    <w:rsid w:val="006579D5"/>
    <w:rsid w:val="00657E4C"/>
    <w:rsid w:val="00660459"/>
    <w:rsid w:val="006604BB"/>
    <w:rsid w:val="0066240C"/>
    <w:rsid w:val="00662B17"/>
    <w:rsid w:val="006635B3"/>
    <w:rsid w:val="0066468B"/>
    <w:rsid w:val="00664FF7"/>
    <w:rsid w:val="00665496"/>
    <w:rsid w:val="00665CAD"/>
    <w:rsid w:val="00666A0C"/>
    <w:rsid w:val="00667BBE"/>
    <w:rsid w:val="00673703"/>
    <w:rsid w:val="00673D00"/>
    <w:rsid w:val="0067533F"/>
    <w:rsid w:val="00675363"/>
    <w:rsid w:val="00675EC0"/>
    <w:rsid w:val="006762C6"/>
    <w:rsid w:val="00676B91"/>
    <w:rsid w:val="00677432"/>
    <w:rsid w:val="00677A92"/>
    <w:rsid w:val="00677D95"/>
    <w:rsid w:val="0068039F"/>
    <w:rsid w:val="00681FA4"/>
    <w:rsid w:val="0068236E"/>
    <w:rsid w:val="0068254C"/>
    <w:rsid w:val="006825DC"/>
    <w:rsid w:val="006829E9"/>
    <w:rsid w:val="006833E6"/>
    <w:rsid w:val="00683827"/>
    <w:rsid w:val="00683AD5"/>
    <w:rsid w:val="006848ED"/>
    <w:rsid w:val="00690718"/>
    <w:rsid w:val="00690A17"/>
    <w:rsid w:val="00690E83"/>
    <w:rsid w:val="00690E99"/>
    <w:rsid w:val="00691323"/>
    <w:rsid w:val="00692E50"/>
    <w:rsid w:val="006938E9"/>
    <w:rsid w:val="00694BF1"/>
    <w:rsid w:val="00694F2E"/>
    <w:rsid w:val="006953B5"/>
    <w:rsid w:val="0069614B"/>
    <w:rsid w:val="0069654D"/>
    <w:rsid w:val="00696913"/>
    <w:rsid w:val="00696963"/>
    <w:rsid w:val="0069713F"/>
    <w:rsid w:val="006971E5"/>
    <w:rsid w:val="0069749B"/>
    <w:rsid w:val="006975D3"/>
    <w:rsid w:val="00697DB8"/>
    <w:rsid w:val="006A03BD"/>
    <w:rsid w:val="006A0705"/>
    <w:rsid w:val="006A07EA"/>
    <w:rsid w:val="006A132F"/>
    <w:rsid w:val="006A1F83"/>
    <w:rsid w:val="006A2464"/>
    <w:rsid w:val="006A2680"/>
    <w:rsid w:val="006A2951"/>
    <w:rsid w:val="006A3476"/>
    <w:rsid w:val="006A51B7"/>
    <w:rsid w:val="006A5ADF"/>
    <w:rsid w:val="006A5B0B"/>
    <w:rsid w:val="006A620A"/>
    <w:rsid w:val="006A62CC"/>
    <w:rsid w:val="006A661B"/>
    <w:rsid w:val="006A6C14"/>
    <w:rsid w:val="006A79E4"/>
    <w:rsid w:val="006A7A37"/>
    <w:rsid w:val="006A7D57"/>
    <w:rsid w:val="006B05C9"/>
    <w:rsid w:val="006B11CF"/>
    <w:rsid w:val="006B14A8"/>
    <w:rsid w:val="006B199B"/>
    <w:rsid w:val="006B2BB6"/>
    <w:rsid w:val="006B32AB"/>
    <w:rsid w:val="006B35E6"/>
    <w:rsid w:val="006B371E"/>
    <w:rsid w:val="006B39C9"/>
    <w:rsid w:val="006B3E27"/>
    <w:rsid w:val="006B3E48"/>
    <w:rsid w:val="006B409E"/>
    <w:rsid w:val="006B448A"/>
    <w:rsid w:val="006B543C"/>
    <w:rsid w:val="006B54B3"/>
    <w:rsid w:val="006B633B"/>
    <w:rsid w:val="006B6479"/>
    <w:rsid w:val="006B6F49"/>
    <w:rsid w:val="006B7635"/>
    <w:rsid w:val="006B7A6F"/>
    <w:rsid w:val="006B7FF0"/>
    <w:rsid w:val="006C0608"/>
    <w:rsid w:val="006C08B5"/>
    <w:rsid w:val="006C0C3F"/>
    <w:rsid w:val="006C1344"/>
    <w:rsid w:val="006C1D50"/>
    <w:rsid w:val="006C1E95"/>
    <w:rsid w:val="006C2379"/>
    <w:rsid w:val="006C257E"/>
    <w:rsid w:val="006C3137"/>
    <w:rsid w:val="006C32E4"/>
    <w:rsid w:val="006C33BA"/>
    <w:rsid w:val="006C3BAA"/>
    <w:rsid w:val="006C400A"/>
    <w:rsid w:val="006C4C0A"/>
    <w:rsid w:val="006C4E2E"/>
    <w:rsid w:val="006C525E"/>
    <w:rsid w:val="006C52BD"/>
    <w:rsid w:val="006C5CCA"/>
    <w:rsid w:val="006C61DE"/>
    <w:rsid w:val="006C65F6"/>
    <w:rsid w:val="006C67B4"/>
    <w:rsid w:val="006C74DC"/>
    <w:rsid w:val="006C7E80"/>
    <w:rsid w:val="006D06C8"/>
    <w:rsid w:val="006D07E7"/>
    <w:rsid w:val="006D0932"/>
    <w:rsid w:val="006D0D8B"/>
    <w:rsid w:val="006D1607"/>
    <w:rsid w:val="006D2119"/>
    <w:rsid w:val="006D283C"/>
    <w:rsid w:val="006D2E69"/>
    <w:rsid w:val="006D37D9"/>
    <w:rsid w:val="006D3DBA"/>
    <w:rsid w:val="006D3E4B"/>
    <w:rsid w:val="006D4089"/>
    <w:rsid w:val="006D420D"/>
    <w:rsid w:val="006D4568"/>
    <w:rsid w:val="006D4F85"/>
    <w:rsid w:val="006D5F06"/>
    <w:rsid w:val="006D607F"/>
    <w:rsid w:val="006D66EA"/>
    <w:rsid w:val="006D69C9"/>
    <w:rsid w:val="006D6C0F"/>
    <w:rsid w:val="006D7476"/>
    <w:rsid w:val="006D76D3"/>
    <w:rsid w:val="006D7F36"/>
    <w:rsid w:val="006E041D"/>
    <w:rsid w:val="006E0447"/>
    <w:rsid w:val="006E05FA"/>
    <w:rsid w:val="006E0D36"/>
    <w:rsid w:val="006E0D59"/>
    <w:rsid w:val="006E1777"/>
    <w:rsid w:val="006E1923"/>
    <w:rsid w:val="006E1EF1"/>
    <w:rsid w:val="006E2643"/>
    <w:rsid w:val="006E2DEB"/>
    <w:rsid w:val="006E3828"/>
    <w:rsid w:val="006E3BAF"/>
    <w:rsid w:val="006E3DD8"/>
    <w:rsid w:val="006E46A0"/>
    <w:rsid w:val="006E510B"/>
    <w:rsid w:val="006E5254"/>
    <w:rsid w:val="006E545F"/>
    <w:rsid w:val="006E598E"/>
    <w:rsid w:val="006E66C6"/>
    <w:rsid w:val="006E69D3"/>
    <w:rsid w:val="006E6CFA"/>
    <w:rsid w:val="006E6DBD"/>
    <w:rsid w:val="006E73FC"/>
    <w:rsid w:val="006F06A4"/>
    <w:rsid w:val="006F08D8"/>
    <w:rsid w:val="006F19D7"/>
    <w:rsid w:val="006F2503"/>
    <w:rsid w:val="006F2BDE"/>
    <w:rsid w:val="006F42C5"/>
    <w:rsid w:val="006F58A2"/>
    <w:rsid w:val="006F60E8"/>
    <w:rsid w:val="006F7949"/>
    <w:rsid w:val="00700942"/>
    <w:rsid w:val="00701423"/>
    <w:rsid w:val="007014D6"/>
    <w:rsid w:val="00701632"/>
    <w:rsid w:val="00701889"/>
    <w:rsid w:val="00701E1F"/>
    <w:rsid w:val="00702114"/>
    <w:rsid w:val="00702242"/>
    <w:rsid w:val="007032F8"/>
    <w:rsid w:val="007037FE"/>
    <w:rsid w:val="00703E40"/>
    <w:rsid w:val="00703FE7"/>
    <w:rsid w:val="007040AC"/>
    <w:rsid w:val="0070488C"/>
    <w:rsid w:val="00704D22"/>
    <w:rsid w:val="00705B46"/>
    <w:rsid w:val="00705C94"/>
    <w:rsid w:val="00706140"/>
    <w:rsid w:val="00707087"/>
    <w:rsid w:val="007073F8"/>
    <w:rsid w:val="00707995"/>
    <w:rsid w:val="00707DB5"/>
    <w:rsid w:val="007102E2"/>
    <w:rsid w:val="0071125E"/>
    <w:rsid w:val="00711CA4"/>
    <w:rsid w:val="00713272"/>
    <w:rsid w:val="007137C8"/>
    <w:rsid w:val="00713B23"/>
    <w:rsid w:val="00713BD4"/>
    <w:rsid w:val="00713CA1"/>
    <w:rsid w:val="00713E77"/>
    <w:rsid w:val="00714501"/>
    <w:rsid w:val="007151C4"/>
    <w:rsid w:val="00716002"/>
    <w:rsid w:val="007169AA"/>
    <w:rsid w:val="007170E9"/>
    <w:rsid w:val="00717D57"/>
    <w:rsid w:val="00720ADD"/>
    <w:rsid w:val="00721116"/>
    <w:rsid w:val="0072121E"/>
    <w:rsid w:val="0072136B"/>
    <w:rsid w:val="007220C0"/>
    <w:rsid w:val="00722666"/>
    <w:rsid w:val="00722F6B"/>
    <w:rsid w:val="007237D8"/>
    <w:rsid w:val="00723ACB"/>
    <w:rsid w:val="0072431A"/>
    <w:rsid w:val="00724350"/>
    <w:rsid w:val="00726980"/>
    <w:rsid w:val="0072758D"/>
    <w:rsid w:val="007277E3"/>
    <w:rsid w:val="00730D43"/>
    <w:rsid w:val="007318CD"/>
    <w:rsid w:val="007319C3"/>
    <w:rsid w:val="00732DA4"/>
    <w:rsid w:val="00733185"/>
    <w:rsid w:val="00733A4D"/>
    <w:rsid w:val="00734157"/>
    <w:rsid w:val="00734401"/>
    <w:rsid w:val="00734865"/>
    <w:rsid w:val="00735525"/>
    <w:rsid w:val="007358AF"/>
    <w:rsid w:val="00735C5A"/>
    <w:rsid w:val="0073666E"/>
    <w:rsid w:val="00737D83"/>
    <w:rsid w:val="00740030"/>
    <w:rsid w:val="0074035A"/>
    <w:rsid w:val="00742FA2"/>
    <w:rsid w:val="007433CC"/>
    <w:rsid w:val="00744098"/>
    <w:rsid w:val="007443F6"/>
    <w:rsid w:val="007447AD"/>
    <w:rsid w:val="00744F0D"/>
    <w:rsid w:val="00744F0E"/>
    <w:rsid w:val="0074543E"/>
    <w:rsid w:val="00745768"/>
    <w:rsid w:val="0074679E"/>
    <w:rsid w:val="00746C60"/>
    <w:rsid w:val="00750227"/>
    <w:rsid w:val="007503A3"/>
    <w:rsid w:val="00751C88"/>
    <w:rsid w:val="007522A3"/>
    <w:rsid w:val="00752481"/>
    <w:rsid w:val="0075271B"/>
    <w:rsid w:val="00752873"/>
    <w:rsid w:val="00753006"/>
    <w:rsid w:val="0075329F"/>
    <w:rsid w:val="00753438"/>
    <w:rsid w:val="007545DE"/>
    <w:rsid w:val="00755863"/>
    <w:rsid w:val="007565A8"/>
    <w:rsid w:val="0075672B"/>
    <w:rsid w:val="00756F57"/>
    <w:rsid w:val="00756F9A"/>
    <w:rsid w:val="00757B35"/>
    <w:rsid w:val="00757FCD"/>
    <w:rsid w:val="0076049F"/>
    <w:rsid w:val="00760643"/>
    <w:rsid w:val="007613CF"/>
    <w:rsid w:val="007617EB"/>
    <w:rsid w:val="00762563"/>
    <w:rsid w:val="00762A8F"/>
    <w:rsid w:val="00762B49"/>
    <w:rsid w:val="00762BDD"/>
    <w:rsid w:val="007631D4"/>
    <w:rsid w:val="00763986"/>
    <w:rsid w:val="00763E1F"/>
    <w:rsid w:val="00763EF5"/>
    <w:rsid w:val="00763F63"/>
    <w:rsid w:val="0076445E"/>
    <w:rsid w:val="00764698"/>
    <w:rsid w:val="00764957"/>
    <w:rsid w:val="007650E4"/>
    <w:rsid w:val="0076510E"/>
    <w:rsid w:val="00765D6C"/>
    <w:rsid w:val="00767160"/>
    <w:rsid w:val="00767692"/>
    <w:rsid w:val="00767D26"/>
    <w:rsid w:val="0077002A"/>
    <w:rsid w:val="007708DF"/>
    <w:rsid w:val="00770D88"/>
    <w:rsid w:val="00771382"/>
    <w:rsid w:val="00771DED"/>
    <w:rsid w:val="00772095"/>
    <w:rsid w:val="00772615"/>
    <w:rsid w:val="00772C04"/>
    <w:rsid w:val="00772FB9"/>
    <w:rsid w:val="0077318B"/>
    <w:rsid w:val="00773303"/>
    <w:rsid w:val="00773941"/>
    <w:rsid w:val="00773F00"/>
    <w:rsid w:val="007744C6"/>
    <w:rsid w:val="00774613"/>
    <w:rsid w:val="007754AE"/>
    <w:rsid w:val="00776F85"/>
    <w:rsid w:val="007774CD"/>
    <w:rsid w:val="00777B30"/>
    <w:rsid w:val="00777E55"/>
    <w:rsid w:val="0078013D"/>
    <w:rsid w:val="00780150"/>
    <w:rsid w:val="0078019A"/>
    <w:rsid w:val="00780DDA"/>
    <w:rsid w:val="00780F93"/>
    <w:rsid w:val="00781041"/>
    <w:rsid w:val="00781091"/>
    <w:rsid w:val="0078122A"/>
    <w:rsid w:val="007818EE"/>
    <w:rsid w:val="00781C9A"/>
    <w:rsid w:val="00782684"/>
    <w:rsid w:val="00782F2A"/>
    <w:rsid w:val="007843B4"/>
    <w:rsid w:val="007847FB"/>
    <w:rsid w:val="007850B2"/>
    <w:rsid w:val="00785920"/>
    <w:rsid w:val="00785A50"/>
    <w:rsid w:val="00786275"/>
    <w:rsid w:val="0078684A"/>
    <w:rsid w:val="00786AA1"/>
    <w:rsid w:val="00786F58"/>
    <w:rsid w:val="00787DF5"/>
    <w:rsid w:val="0079015D"/>
    <w:rsid w:val="007906AA"/>
    <w:rsid w:val="007909EE"/>
    <w:rsid w:val="00790FC5"/>
    <w:rsid w:val="007911A4"/>
    <w:rsid w:val="00791267"/>
    <w:rsid w:val="00791A56"/>
    <w:rsid w:val="00791BEA"/>
    <w:rsid w:val="007920D3"/>
    <w:rsid w:val="007929DC"/>
    <w:rsid w:val="00794BBA"/>
    <w:rsid w:val="00794CC2"/>
    <w:rsid w:val="007951BF"/>
    <w:rsid w:val="007953D6"/>
    <w:rsid w:val="00796425"/>
    <w:rsid w:val="0079646F"/>
    <w:rsid w:val="007965AD"/>
    <w:rsid w:val="00797323"/>
    <w:rsid w:val="007A014D"/>
    <w:rsid w:val="007A1ECE"/>
    <w:rsid w:val="007A1F80"/>
    <w:rsid w:val="007A2891"/>
    <w:rsid w:val="007A3964"/>
    <w:rsid w:val="007A55A8"/>
    <w:rsid w:val="007A65FA"/>
    <w:rsid w:val="007A689E"/>
    <w:rsid w:val="007A739D"/>
    <w:rsid w:val="007A7B28"/>
    <w:rsid w:val="007B02C5"/>
    <w:rsid w:val="007B0E54"/>
    <w:rsid w:val="007B0FDA"/>
    <w:rsid w:val="007B1020"/>
    <w:rsid w:val="007B29BA"/>
    <w:rsid w:val="007B2D43"/>
    <w:rsid w:val="007B38F5"/>
    <w:rsid w:val="007B40E7"/>
    <w:rsid w:val="007B4E80"/>
    <w:rsid w:val="007B50BF"/>
    <w:rsid w:val="007B59ED"/>
    <w:rsid w:val="007B5BB2"/>
    <w:rsid w:val="007B65A8"/>
    <w:rsid w:val="007B6643"/>
    <w:rsid w:val="007B6C1D"/>
    <w:rsid w:val="007B6C9C"/>
    <w:rsid w:val="007B75B7"/>
    <w:rsid w:val="007B7F2D"/>
    <w:rsid w:val="007C006A"/>
    <w:rsid w:val="007C02D9"/>
    <w:rsid w:val="007C15ED"/>
    <w:rsid w:val="007C196E"/>
    <w:rsid w:val="007C21A0"/>
    <w:rsid w:val="007C220F"/>
    <w:rsid w:val="007C2B62"/>
    <w:rsid w:val="007C2CE8"/>
    <w:rsid w:val="007C34D4"/>
    <w:rsid w:val="007C38CB"/>
    <w:rsid w:val="007C39F2"/>
    <w:rsid w:val="007C3A70"/>
    <w:rsid w:val="007C4370"/>
    <w:rsid w:val="007C5128"/>
    <w:rsid w:val="007C5B4E"/>
    <w:rsid w:val="007C5CE6"/>
    <w:rsid w:val="007C5DC8"/>
    <w:rsid w:val="007C5E58"/>
    <w:rsid w:val="007C6854"/>
    <w:rsid w:val="007C6FF3"/>
    <w:rsid w:val="007D0527"/>
    <w:rsid w:val="007D1A98"/>
    <w:rsid w:val="007D1F48"/>
    <w:rsid w:val="007D243A"/>
    <w:rsid w:val="007D2A9C"/>
    <w:rsid w:val="007D3279"/>
    <w:rsid w:val="007D3E38"/>
    <w:rsid w:val="007D5C4F"/>
    <w:rsid w:val="007D5FE2"/>
    <w:rsid w:val="007D653E"/>
    <w:rsid w:val="007D66A8"/>
    <w:rsid w:val="007D6C8E"/>
    <w:rsid w:val="007D6E06"/>
    <w:rsid w:val="007D6EC1"/>
    <w:rsid w:val="007D70CC"/>
    <w:rsid w:val="007D79CB"/>
    <w:rsid w:val="007E01AE"/>
    <w:rsid w:val="007E05E8"/>
    <w:rsid w:val="007E0FA8"/>
    <w:rsid w:val="007E2270"/>
    <w:rsid w:val="007E2713"/>
    <w:rsid w:val="007E3A9B"/>
    <w:rsid w:val="007E3D8F"/>
    <w:rsid w:val="007E4361"/>
    <w:rsid w:val="007E48FF"/>
    <w:rsid w:val="007E4A64"/>
    <w:rsid w:val="007E5101"/>
    <w:rsid w:val="007E5777"/>
    <w:rsid w:val="007E5C89"/>
    <w:rsid w:val="007E60F1"/>
    <w:rsid w:val="007E6328"/>
    <w:rsid w:val="007E6C31"/>
    <w:rsid w:val="007E71AC"/>
    <w:rsid w:val="007E7E37"/>
    <w:rsid w:val="007F00FA"/>
    <w:rsid w:val="007F0AE2"/>
    <w:rsid w:val="007F1A45"/>
    <w:rsid w:val="007F1CA7"/>
    <w:rsid w:val="007F2786"/>
    <w:rsid w:val="007F2A01"/>
    <w:rsid w:val="007F3342"/>
    <w:rsid w:val="007F37D9"/>
    <w:rsid w:val="007F3D78"/>
    <w:rsid w:val="007F3FCA"/>
    <w:rsid w:val="007F4619"/>
    <w:rsid w:val="007F499D"/>
    <w:rsid w:val="007F4BCD"/>
    <w:rsid w:val="007F5A1E"/>
    <w:rsid w:val="007F5A4B"/>
    <w:rsid w:val="007F5CCA"/>
    <w:rsid w:val="007F60B8"/>
    <w:rsid w:val="007F75D3"/>
    <w:rsid w:val="007F7E8B"/>
    <w:rsid w:val="0080005F"/>
    <w:rsid w:val="00800525"/>
    <w:rsid w:val="00800C33"/>
    <w:rsid w:val="00800C78"/>
    <w:rsid w:val="00800F34"/>
    <w:rsid w:val="00801F26"/>
    <w:rsid w:val="0080214C"/>
    <w:rsid w:val="00802163"/>
    <w:rsid w:val="008027CE"/>
    <w:rsid w:val="00802958"/>
    <w:rsid w:val="00803114"/>
    <w:rsid w:val="008038F5"/>
    <w:rsid w:val="00803A24"/>
    <w:rsid w:val="00803C5E"/>
    <w:rsid w:val="00803FA9"/>
    <w:rsid w:val="00804017"/>
    <w:rsid w:val="008045FB"/>
    <w:rsid w:val="00804E77"/>
    <w:rsid w:val="0080535F"/>
    <w:rsid w:val="008061A4"/>
    <w:rsid w:val="008064BE"/>
    <w:rsid w:val="00810E43"/>
    <w:rsid w:val="00811359"/>
    <w:rsid w:val="008119F1"/>
    <w:rsid w:val="00811EA1"/>
    <w:rsid w:val="00812B00"/>
    <w:rsid w:val="00812C54"/>
    <w:rsid w:val="00812ED0"/>
    <w:rsid w:val="00812FB2"/>
    <w:rsid w:val="008135D8"/>
    <w:rsid w:val="008137A5"/>
    <w:rsid w:val="008142B9"/>
    <w:rsid w:val="008142EA"/>
    <w:rsid w:val="00814625"/>
    <w:rsid w:val="0081504C"/>
    <w:rsid w:val="008159FC"/>
    <w:rsid w:val="0081609D"/>
    <w:rsid w:val="00816560"/>
    <w:rsid w:val="008166DB"/>
    <w:rsid w:val="0081678C"/>
    <w:rsid w:val="00817040"/>
    <w:rsid w:val="0081706E"/>
    <w:rsid w:val="00820DAC"/>
    <w:rsid w:val="008210C1"/>
    <w:rsid w:val="00822054"/>
    <w:rsid w:val="00822BBA"/>
    <w:rsid w:val="00823010"/>
    <w:rsid w:val="00824735"/>
    <w:rsid w:val="00824892"/>
    <w:rsid w:val="00824D2D"/>
    <w:rsid w:val="00825390"/>
    <w:rsid w:val="008253AC"/>
    <w:rsid w:val="00825AC0"/>
    <w:rsid w:val="00825FE0"/>
    <w:rsid w:val="008262C4"/>
    <w:rsid w:val="00827368"/>
    <w:rsid w:val="00830B4C"/>
    <w:rsid w:val="008315C6"/>
    <w:rsid w:val="0083174C"/>
    <w:rsid w:val="00831976"/>
    <w:rsid w:val="008327F7"/>
    <w:rsid w:val="00833285"/>
    <w:rsid w:val="008338AF"/>
    <w:rsid w:val="00833C0B"/>
    <w:rsid w:val="0083427D"/>
    <w:rsid w:val="0083463C"/>
    <w:rsid w:val="0083553E"/>
    <w:rsid w:val="008357F0"/>
    <w:rsid w:val="008362A6"/>
    <w:rsid w:val="008363C8"/>
    <w:rsid w:val="00836F39"/>
    <w:rsid w:val="0083723D"/>
    <w:rsid w:val="0083758F"/>
    <w:rsid w:val="00840BE7"/>
    <w:rsid w:val="00841484"/>
    <w:rsid w:val="0084149C"/>
    <w:rsid w:val="00842AAE"/>
    <w:rsid w:val="00843A42"/>
    <w:rsid w:val="00843B31"/>
    <w:rsid w:val="00844108"/>
    <w:rsid w:val="0084446F"/>
    <w:rsid w:val="008445F5"/>
    <w:rsid w:val="00844F2D"/>
    <w:rsid w:val="008450D2"/>
    <w:rsid w:val="00845547"/>
    <w:rsid w:val="0084601C"/>
    <w:rsid w:val="00847780"/>
    <w:rsid w:val="00851D1F"/>
    <w:rsid w:val="0085243D"/>
    <w:rsid w:val="00853717"/>
    <w:rsid w:val="0085397D"/>
    <w:rsid w:val="00853D6A"/>
    <w:rsid w:val="00854533"/>
    <w:rsid w:val="008546F8"/>
    <w:rsid w:val="00854953"/>
    <w:rsid w:val="00854FCB"/>
    <w:rsid w:val="00855A5F"/>
    <w:rsid w:val="00855C2B"/>
    <w:rsid w:val="0085620A"/>
    <w:rsid w:val="00856A9E"/>
    <w:rsid w:val="00856D5E"/>
    <w:rsid w:val="00856DAB"/>
    <w:rsid w:val="00857976"/>
    <w:rsid w:val="00862109"/>
    <w:rsid w:val="00862519"/>
    <w:rsid w:val="00862F60"/>
    <w:rsid w:val="00863558"/>
    <w:rsid w:val="008638BB"/>
    <w:rsid w:val="00863980"/>
    <w:rsid w:val="00864E48"/>
    <w:rsid w:val="00865124"/>
    <w:rsid w:val="008651CC"/>
    <w:rsid w:val="008656BE"/>
    <w:rsid w:val="00865B22"/>
    <w:rsid w:val="00865DFF"/>
    <w:rsid w:val="00866815"/>
    <w:rsid w:val="00866C03"/>
    <w:rsid w:val="0086727D"/>
    <w:rsid w:val="00867CF3"/>
    <w:rsid w:val="00870024"/>
    <w:rsid w:val="0087115F"/>
    <w:rsid w:val="00871248"/>
    <w:rsid w:val="00872D6B"/>
    <w:rsid w:val="00873332"/>
    <w:rsid w:val="0087485E"/>
    <w:rsid w:val="00874B70"/>
    <w:rsid w:val="00875056"/>
    <w:rsid w:val="008750D3"/>
    <w:rsid w:val="00875FDB"/>
    <w:rsid w:val="00876471"/>
    <w:rsid w:val="00876DD7"/>
    <w:rsid w:val="008777EB"/>
    <w:rsid w:val="00877920"/>
    <w:rsid w:val="00877A07"/>
    <w:rsid w:val="008814F4"/>
    <w:rsid w:val="008821AD"/>
    <w:rsid w:val="00884004"/>
    <w:rsid w:val="008842FC"/>
    <w:rsid w:val="008852EE"/>
    <w:rsid w:val="0088586C"/>
    <w:rsid w:val="00885A5C"/>
    <w:rsid w:val="00886B20"/>
    <w:rsid w:val="00886B7E"/>
    <w:rsid w:val="00886F76"/>
    <w:rsid w:val="008870EB"/>
    <w:rsid w:val="008873FD"/>
    <w:rsid w:val="008909FD"/>
    <w:rsid w:val="00890EE4"/>
    <w:rsid w:val="00890FB1"/>
    <w:rsid w:val="008910DB"/>
    <w:rsid w:val="008912BF"/>
    <w:rsid w:val="00891699"/>
    <w:rsid w:val="008918E8"/>
    <w:rsid w:val="00891EA3"/>
    <w:rsid w:val="008926CC"/>
    <w:rsid w:val="008926E5"/>
    <w:rsid w:val="00892BE1"/>
    <w:rsid w:val="00893049"/>
    <w:rsid w:val="00893168"/>
    <w:rsid w:val="008955C2"/>
    <w:rsid w:val="008959C6"/>
    <w:rsid w:val="00895B8D"/>
    <w:rsid w:val="008960A8"/>
    <w:rsid w:val="00896CAB"/>
    <w:rsid w:val="00896CEF"/>
    <w:rsid w:val="00896D9E"/>
    <w:rsid w:val="0089766E"/>
    <w:rsid w:val="00897F04"/>
    <w:rsid w:val="008A0762"/>
    <w:rsid w:val="008A19A5"/>
    <w:rsid w:val="008A32BD"/>
    <w:rsid w:val="008A3F8C"/>
    <w:rsid w:val="008A4065"/>
    <w:rsid w:val="008A40C9"/>
    <w:rsid w:val="008A4442"/>
    <w:rsid w:val="008A49ED"/>
    <w:rsid w:val="008A4B81"/>
    <w:rsid w:val="008A596F"/>
    <w:rsid w:val="008A5CAB"/>
    <w:rsid w:val="008A7900"/>
    <w:rsid w:val="008B0B4A"/>
    <w:rsid w:val="008B0D97"/>
    <w:rsid w:val="008B1AA3"/>
    <w:rsid w:val="008B234F"/>
    <w:rsid w:val="008B24E6"/>
    <w:rsid w:val="008B2C55"/>
    <w:rsid w:val="008B2EAF"/>
    <w:rsid w:val="008B30AA"/>
    <w:rsid w:val="008B368E"/>
    <w:rsid w:val="008B3B43"/>
    <w:rsid w:val="008B3DF3"/>
    <w:rsid w:val="008B4340"/>
    <w:rsid w:val="008B483D"/>
    <w:rsid w:val="008B5955"/>
    <w:rsid w:val="008B5C0F"/>
    <w:rsid w:val="008B6815"/>
    <w:rsid w:val="008B6D68"/>
    <w:rsid w:val="008B725B"/>
    <w:rsid w:val="008B757A"/>
    <w:rsid w:val="008B772F"/>
    <w:rsid w:val="008B7969"/>
    <w:rsid w:val="008B7F1A"/>
    <w:rsid w:val="008C0C9F"/>
    <w:rsid w:val="008C0F5C"/>
    <w:rsid w:val="008C16F9"/>
    <w:rsid w:val="008C304F"/>
    <w:rsid w:val="008C3074"/>
    <w:rsid w:val="008C3359"/>
    <w:rsid w:val="008C3899"/>
    <w:rsid w:val="008C3BEE"/>
    <w:rsid w:val="008C574B"/>
    <w:rsid w:val="008C61DC"/>
    <w:rsid w:val="008C6659"/>
    <w:rsid w:val="008C74CE"/>
    <w:rsid w:val="008D0010"/>
    <w:rsid w:val="008D0049"/>
    <w:rsid w:val="008D1231"/>
    <w:rsid w:val="008D2338"/>
    <w:rsid w:val="008D24C1"/>
    <w:rsid w:val="008D24E7"/>
    <w:rsid w:val="008D2A5D"/>
    <w:rsid w:val="008D2C10"/>
    <w:rsid w:val="008D2DEF"/>
    <w:rsid w:val="008D3B67"/>
    <w:rsid w:val="008D4069"/>
    <w:rsid w:val="008D469C"/>
    <w:rsid w:val="008D4DED"/>
    <w:rsid w:val="008D5E48"/>
    <w:rsid w:val="008D5E87"/>
    <w:rsid w:val="008D64D5"/>
    <w:rsid w:val="008D6DFA"/>
    <w:rsid w:val="008D7460"/>
    <w:rsid w:val="008D7A7F"/>
    <w:rsid w:val="008E0299"/>
    <w:rsid w:val="008E02ED"/>
    <w:rsid w:val="008E0664"/>
    <w:rsid w:val="008E0C98"/>
    <w:rsid w:val="008E0CEC"/>
    <w:rsid w:val="008E1216"/>
    <w:rsid w:val="008E1986"/>
    <w:rsid w:val="008E1D8F"/>
    <w:rsid w:val="008E26B2"/>
    <w:rsid w:val="008E2FF8"/>
    <w:rsid w:val="008E35F0"/>
    <w:rsid w:val="008E37CC"/>
    <w:rsid w:val="008E3EBB"/>
    <w:rsid w:val="008E44B7"/>
    <w:rsid w:val="008E49F1"/>
    <w:rsid w:val="008E4ADD"/>
    <w:rsid w:val="008E54FF"/>
    <w:rsid w:val="008E61BD"/>
    <w:rsid w:val="008E62F6"/>
    <w:rsid w:val="008E6F91"/>
    <w:rsid w:val="008E718A"/>
    <w:rsid w:val="008F0041"/>
    <w:rsid w:val="008F0082"/>
    <w:rsid w:val="008F0155"/>
    <w:rsid w:val="008F08C4"/>
    <w:rsid w:val="008F1679"/>
    <w:rsid w:val="008F17E9"/>
    <w:rsid w:val="008F19A2"/>
    <w:rsid w:val="008F301A"/>
    <w:rsid w:val="008F33C2"/>
    <w:rsid w:val="008F3BDF"/>
    <w:rsid w:val="008F487F"/>
    <w:rsid w:val="008F572D"/>
    <w:rsid w:val="008F6B7A"/>
    <w:rsid w:val="008F7CAD"/>
    <w:rsid w:val="009007F3"/>
    <w:rsid w:val="0090089F"/>
    <w:rsid w:val="009009A9"/>
    <w:rsid w:val="0090244B"/>
    <w:rsid w:val="00902884"/>
    <w:rsid w:val="009028D1"/>
    <w:rsid w:val="009032E4"/>
    <w:rsid w:val="009033EB"/>
    <w:rsid w:val="00903D22"/>
    <w:rsid w:val="00903ED9"/>
    <w:rsid w:val="0090569C"/>
    <w:rsid w:val="00905B11"/>
    <w:rsid w:val="00906649"/>
    <w:rsid w:val="00906D64"/>
    <w:rsid w:val="00906F9E"/>
    <w:rsid w:val="009071D0"/>
    <w:rsid w:val="00907883"/>
    <w:rsid w:val="0091085D"/>
    <w:rsid w:val="00910908"/>
    <w:rsid w:val="00912559"/>
    <w:rsid w:val="00912ED8"/>
    <w:rsid w:val="00912F9A"/>
    <w:rsid w:val="00915FAE"/>
    <w:rsid w:val="00917287"/>
    <w:rsid w:val="00917EF7"/>
    <w:rsid w:val="009205B0"/>
    <w:rsid w:val="0092134B"/>
    <w:rsid w:val="009221AC"/>
    <w:rsid w:val="009225B3"/>
    <w:rsid w:val="00922A15"/>
    <w:rsid w:val="0092456D"/>
    <w:rsid w:val="009246E6"/>
    <w:rsid w:val="00924CDA"/>
    <w:rsid w:val="00925590"/>
    <w:rsid w:val="00925C68"/>
    <w:rsid w:val="0092657F"/>
    <w:rsid w:val="00926967"/>
    <w:rsid w:val="00927518"/>
    <w:rsid w:val="00927AF3"/>
    <w:rsid w:val="00927FC3"/>
    <w:rsid w:val="0093074D"/>
    <w:rsid w:val="009312C7"/>
    <w:rsid w:val="00933397"/>
    <w:rsid w:val="00933706"/>
    <w:rsid w:val="00933754"/>
    <w:rsid w:val="00933B94"/>
    <w:rsid w:val="00934A8F"/>
    <w:rsid w:val="009350BF"/>
    <w:rsid w:val="009359A1"/>
    <w:rsid w:val="009375E1"/>
    <w:rsid w:val="00940EC5"/>
    <w:rsid w:val="0094103D"/>
    <w:rsid w:val="00941430"/>
    <w:rsid w:val="00941909"/>
    <w:rsid w:val="00941BF2"/>
    <w:rsid w:val="00942377"/>
    <w:rsid w:val="00943484"/>
    <w:rsid w:val="009435CD"/>
    <w:rsid w:val="0094379A"/>
    <w:rsid w:val="0094396D"/>
    <w:rsid w:val="0094420F"/>
    <w:rsid w:val="00944846"/>
    <w:rsid w:val="0094512A"/>
    <w:rsid w:val="009453B9"/>
    <w:rsid w:val="009459CA"/>
    <w:rsid w:val="00945EA1"/>
    <w:rsid w:val="009469B5"/>
    <w:rsid w:val="009472FF"/>
    <w:rsid w:val="009473CE"/>
    <w:rsid w:val="00947563"/>
    <w:rsid w:val="00947A5C"/>
    <w:rsid w:val="009508D4"/>
    <w:rsid w:val="00950D10"/>
    <w:rsid w:val="00950F84"/>
    <w:rsid w:val="00952B7A"/>
    <w:rsid w:val="00952E72"/>
    <w:rsid w:val="0095382A"/>
    <w:rsid w:val="009557D5"/>
    <w:rsid w:val="00955978"/>
    <w:rsid w:val="00955F0C"/>
    <w:rsid w:val="009566C9"/>
    <w:rsid w:val="009566EF"/>
    <w:rsid w:val="00957B1D"/>
    <w:rsid w:val="009606D9"/>
    <w:rsid w:val="00960EC8"/>
    <w:rsid w:val="00963144"/>
    <w:rsid w:val="00963148"/>
    <w:rsid w:val="009637F9"/>
    <w:rsid w:val="00963AA1"/>
    <w:rsid w:val="00963E79"/>
    <w:rsid w:val="009646D8"/>
    <w:rsid w:val="00964897"/>
    <w:rsid w:val="00964949"/>
    <w:rsid w:val="009658B2"/>
    <w:rsid w:val="009659E0"/>
    <w:rsid w:val="009672EB"/>
    <w:rsid w:val="0096755E"/>
    <w:rsid w:val="00967B54"/>
    <w:rsid w:val="00967D8E"/>
    <w:rsid w:val="00967FDD"/>
    <w:rsid w:val="00970DFE"/>
    <w:rsid w:val="0097113C"/>
    <w:rsid w:val="00971C7B"/>
    <w:rsid w:val="00971DA8"/>
    <w:rsid w:val="00972022"/>
    <w:rsid w:val="0097213C"/>
    <w:rsid w:val="00972193"/>
    <w:rsid w:val="00972753"/>
    <w:rsid w:val="00973026"/>
    <w:rsid w:val="00973EF1"/>
    <w:rsid w:val="00974119"/>
    <w:rsid w:val="009741CB"/>
    <w:rsid w:val="00974E3E"/>
    <w:rsid w:val="00974F4D"/>
    <w:rsid w:val="00975246"/>
    <w:rsid w:val="00975262"/>
    <w:rsid w:val="00976A8C"/>
    <w:rsid w:val="0097721C"/>
    <w:rsid w:val="009775D1"/>
    <w:rsid w:val="009776AA"/>
    <w:rsid w:val="00977744"/>
    <w:rsid w:val="00977B6B"/>
    <w:rsid w:val="00980647"/>
    <w:rsid w:val="00980750"/>
    <w:rsid w:val="00982912"/>
    <w:rsid w:val="00982AEF"/>
    <w:rsid w:val="00982BD2"/>
    <w:rsid w:val="00982CE2"/>
    <w:rsid w:val="00982E37"/>
    <w:rsid w:val="00983AAA"/>
    <w:rsid w:val="00983F4B"/>
    <w:rsid w:val="0098418F"/>
    <w:rsid w:val="00984A6F"/>
    <w:rsid w:val="00986A0D"/>
    <w:rsid w:val="009875D2"/>
    <w:rsid w:val="00987BDE"/>
    <w:rsid w:val="00987DC2"/>
    <w:rsid w:val="00990DA1"/>
    <w:rsid w:val="00990FFB"/>
    <w:rsid w:val="00991BBA"/>
    <w:rsid w:val="00992EA9"/>
    <w:rsid w:val="00993083"/>
    <w:rsid w:val="00993186"/>
    <w:rsid w:val="009936AE"/>
    <w:rsid w:val="00995141"/>
    <w:rsid w:val="009960C8"/>
    <w:rsid w:val="00996DF6"/>
    <w:rsid w:val="009A0846"/>
    <w:rsid w:val="009A1561"/>
    <w:rsid w:val="009A1BFB"/>
    <w:rsid w:val="009A313A"/>
    <w:rsid w:val="009A32DF"/>
    <w:rsid w:val="009A42CF"/>
    <w:rsid w:val="009A4792"/>
    <w:rsid w:val="009A4886"/>
    <w:rsid w:val="009A48FD"/>
    <w:rsid w:val="009A4A03"/>
    <w:rsid w:val="009A4A88"/>
    <w:rsid w:val="009A5A3F"/>
    <w:rsid w:val="009A63E8"/>
    <w:rsid w:val="009A6470"/>
    <w:rsid w:val="009A6AFB"/>
    <w:rsid w:val="009A6F33"/>
    <w:rsid w:val="009A7D1A"/>
    <w:rsid w:val="009A7EAC"/>
    <w:rsid w:val="009B037C"/>
    <w:rsid w:val="009B07A9"/>
    <w:rsid w:val="009B08D9"/>
    <w:rsid w:val="009B08DD"/>
    <w:rsid w:val="009B1501"/>
    <w:rsid w:val="009B1528"/>
    <w:rsid w:val="009B16A0"/>
    <w:rsid w:val="009B179E"/>
    <w:rsid w:val="009B1AC8"/>
    <w:rsid w:val="009B1CF9"/>
    <w:rsid w:val="009B270A"/>
    <w:rsid w:val="009B34C8"/>
    <w:rsid w:val="009B470A"/>
    <w:rsid w:val="009B4D01"/>
    <w:rsid w:val="009B546B"/>
    <w:rsid w:val="009B60C4"/>
    <w:rsid w:val="009B6C92"/>
    <w:rsid w:val="009B7AFD"/>
    <w:rsid w:val="009C012D"/>
    <w:rsid w:val="009C08DC"/>
    <w:rsid w:val="009C0B76"/>
    <w:rsid w:val="009C1126"/>
    <w:rsid w:val="009C1522"/>
    <w:rsid w:val="009C1B8F"/>
    <w:rsid w:val="009C1F07"/>
    <w:rsid w:val="009C242A"/>
    <w:rsid w:val="009C2FF3"/>
    <w:rsid w:val="009C3FD4"/>
    <w:rsid w:val="009C49D2"/>
    <w:rsid w:val="009C6329"/>
    <w:rsid w:val="009C6C8F"/>
    <w:rsid w:val="009C7480"/>
    <w:rsid w:val="009C78F2"/>
    <w:rsid w:val="009C79AD"/>
    <w:rsid w:val="009C7A03"/>
    <w:rsid w:val="009C7DF6"/>
    <w:rsid w:val="009D0335"/>
    <w:rsid w:val="009D09E5"/>
    <w:rsid w:val="009D1901"/>
    <w:rsid w:val="009D2508"/>
    <w:rsid w:val="009D26D6"/>
    <w:rsid w:val="009D2E0D"/>
    <w:rsid w:val="009D363A"/>
    <w:rsid w:val="009D37D2"/>
    <w:rsid w:val="009D3DA2"/>
    <w:rsid w:val="009D41C6"/>
    <w:rsid w:val="009D4E2D"/>
    <w:rsid w:val="009D51E8"/>
    <w:rsid w:val="009D5C39"/>
    <w:rsid w:val="009D69E1"/>
    <w:rsid w:val="009D6A6C"/>
    <w:rsid w:val="009D6C16"/>
    <w:rsid w:val="009D7263"/>
    <w:rsid w:val="009D745C"/>
    <w:rsid w:val="009D7C31"/>
    <w:rsid w:val="009D7E53"/>
    <w:rsid w:val="009E0074"/>
    <w:rsid w:val="009E0395"/>
    <w:rsid w:val="009E1F33"/>
    <w:rsid w:val="009E3EFB"/>
    <w:rsid w:val="009E4BD3"/>
    <w:rsid w:val="009E69EF"/>
    <w:rsid w:val="009E6B90"/>
    <w:rsid w:val="009E6DDD"/>
    <w:rsid w:val="009E74F5"/>
    <w:rsid w:val="009E762B"/>
    <w:rsid w:val="009E7AFB"/>
    <w:rsid w:val="009F0BFE"/>
    <w:rsid w:val="009F138A"/>
    <w:rsid w:val="009F1710"/>
    <w:rsid w:val="009F238C"/>
    <w:rsid w:val="009F24F8"/>
    <w:rsid w:val="009F262A"/>
    <w:rsid w:val="009F2D01"/>
    <w:rsid w:val="009F301C"/>
    <w:rsid w:val="009F3858"/>
    <w:rsid w:val="009F39A9"/>
    <w:rsid w:val="009F4299"/>
    <w:rsid w:val="009F438A"/>
    <w:rsid w:val="009F4566"/>
    <w:rsid w:val="009F49BC"/>
    <w:rsid w:val="009F50E2"/>
    <w:rsid w:val="009F6121"/>
    <w:rsid w:val="009F65CA"/>
    <w:rsid w:val="009F6685"/>
    <w:rsid w:val="009F687A"/>
    <w:rsid w:val="009F7160"/>
    <w:rsid w:val="009F7C13"/>
    <w:rsid w:val="00A00199"/>
    <w:rsid w:val="00A0067C"/>
    <w:rsid w:val="00A007F4"/>
    <w:rsid w:val="00A01D57"/>
    <w:rsid w:val="00A01EB1"/>
    <w:rsid w:val="00A025B8"/>
    <w:rsid w:val="00A02857"/>
    <w:rsid w:val="00A02C66"/>
    <w:rsid w:val="00A02E79"/>
    <w:rsid w:val="00A033BB"/>
    <w:rsid w:val="00A03D1A"/>
    <w:rsid w:val="00A03E79"/>
    <w:rsid w:val="00A03E8F"/>
    <w:rsid w:val="00A0414F"/>
    <w:rsid w:val="00A04589"/>
    <w:rsid w:val="00A046F1"/>
    <w:rsid w:val="00A047DE"/>
    <w:rsid w:val="00A04956"/>
    <w:rsid w:val="00A0549E"/>
    <w:rsid w:val="00A06472"/>
    <w:rsid w:val="00A06746"/>
    <w:rsid w:val="00A06780"/>
    <w:rsid w:val="00A06EC5"/>
    <w:rsid w:val="00A076CA"/>
    <w:rsid w:val="00A110D0"/>
    <w:rsid w:val="00A115D7"/>
    <w:rsid w:val="00A1186F"/>
    <w:rsid w:val="00A118DA"/>
    <w:rsid w:val="00A119CF"/>
    <w:rsid w:val="00A12439"/>
    <w:rsid w:val="00A13979"/>
    <w:rsid w:val="00A13DFB"/>
    <w:rsid w:val="00A13FE8"/>
    <w:rsid w:val="00A145B9"/>
    <w:rsid w:val="00A14634"/>
    <w:rsid w:val="00A15266"/>
    <w:rsid w:val="00A15343"/>
    <w:rsid w:val="00A155F0"/>
    <w:rsid w:val="00A15B83"/>
    <w:rsid w:val="00A16A32"/>
    <w:rsid w:val="00A173FC"/>
    <w:rsid w:val="00A1749E"/>
    <w:rsid w:val="00A175F1"/>
    <w:rsid w:val="00A17F10"/>
    <w:rsid w:val="00A207E2"/>
    <w:rsid w:val="00A20856"/>
    <w:rsid w:val="00A20CD2"/>
    <w:rsid w:val="00A20FC6"/>
    <w:rsid w:val="00A21616"/>
    <w:rsid w:val="00A21C40"/>
    <w:rsid w:val="00A21DA5"/>
    <w:rsid w:val="00A22558"/>
    <w:rsid w:val="00A22E58"/>
    <w:rsid w:val="00A23AD6"/>
    <w:rsid w:val="00A23D3D"/>
    <w:rsid w:val="00A2426D"/>
    <w:rsid w:val="00A24F8F"/>
    <w:rsid w:val="00A24FB8"/>
    <w:rsid w:val="00A26C95"/>
    <w:rsid w:val="00A30051"/>
    <w:rsid w:val="00A32998"/>
    <w:rsid w:val="00A32BC1"/>
    <w:rsid w:val="00A32CC3"/>
    <w:rsid w:val="00A32E46"/>
    <w:rsid w:val="00A334B1"/>
    <w:rsid w:val="00A33502"/>
    <w:rsid w:val="00A337A9"/>
    <w:rsid w:val="00A33B53"/>
    <w:rsid w:val="00A341FD"/>
    <w:rsid w:val="00A35947"/>
    <w:rsid w:val="00A359BF"/>
    <w:rsid w:val="00A36C7A"/>
    <w:rsid w:val="00A37299"/>
    <w:rsid w:val="00A372F8"/>
    <w:rsid w:val="00A37B47"/>
    <w:rsid w:val="00A37EE1"/>
    <w:rsid w:val="00A41587"/>
    <w:rsid w:val="00A4180C"/>
    <w:rsid w:val="00A43546"/>
    <w:rsid w:val="00A438AB"/>
    <w:rsid w:val="00A43F39"/>
    <w:rsid w:val="00A44477"/>
    <w:rsid w:val="00A448E4"/>
    <w:rsid w:val="00A4563A"/>
    <w:rsid w:val="00A459DC"/>
    <w:rsid w:val="00A45C37"/>
    <w:rsid w:val="00A463E4"/>
    <w:rsid w:val="00A4777D"/>
    <w:rsid w:val="00A47A26"/>
    <w:rsid w:val="00A50383"/>
    <w:rsid w:val="00A5058B"/>
    <w:rsid w:val="00A51D06"/>
    <w:rsid w:val="00A52252"/>
    <w:rsid w:val="00A53C47"/>
    <w:rsid w:val="00A53E5E"/>
    <w:rsid w:val="00A548B3"/>
    <w:rsid w:val="00A54B30"/>
    <w:rsid w:val="00A54C58"/>
    <w:rsid w:val="00A54DDA"/>
    <w:rsid w:val="00A56278"/>
    <w:rsid w:val="00A5679B"/>
    <w:rsid w:val="00A56A25"/>
    <w:rsid w:val="00A570FA"/>
    <w:rsid w:val="00A57432"/>
    <w:rsid w:val="00A57955"/>
    <w:rsid w:val="00A60E51"/>
    <w:rsid w:val="00A61B38"/>
    <w:rsid w:val="00A61DF7"/>
    <w:rsid w:val="00A62CE3"/>
    <w:rsid w:val="00A62D09"/>
    <w:rsid w:val="00A63A59"/>
    <w:rsid w:val="00A64AB2"/>
    <w:rsid w:val="00A64FAB"/>
    <w:rsid w:val="00A65FDE"/>
    <w:rsid w:val="00A66E36"/>
    <w:rsid w:val="00A67ACE"/>
    <w:rsid w:val="00A72319"/>
    <w:rsid w:val="00A7270E"/>
    <w:rsid w:val="00A73822"/>
    <w:rsid w:val="00A73C51"/>
    <w:rsid w:val="00A750B4"/>
    <w:rsid w:val="00A75A4B"/>
    <w:rsid w:val="00A766F3"/>
    <w:rsid w:val="00A76DDD"/>
    <w:rsid w:val="00A77D81"/>
    <w:rsid w:val="00A77E1A"/>
    <w:rsid w:val="00A803E5"/>
    <w:rsid w:val="00A8043B"/>
    <w:rsid w:val="00A805BC"/>
    <w:rsid w:val="00A80682"/>
    <w:rsid w:val="00A80F60"/>
    <w:rsid w:val="00A8289E"/>
    <w:rsid w:val="00A82D49"/>
    <w:rsid w:val="00A83230"/>
    <w:rsid w:val="00A832D7"/>
    <w:rsid w:val="00A8358C"/>
    <w:rsid w:val="00A83592"/>
    <w:rsid w:val="00A83993"/>
    <w:rsid w:val="00A83F02"/>
    <w:rsid w:val="00A84595"/>
    <w:rsid w:val="00A84B94"/>
    <w:rsid w:val="00A86059"/>
    <w:rsid w:val="00A8753B"/>
    <w:rsid w:val="00A876B9"/>
    <w:rsid w:val="00A877B8"/>
    <w:rsid w:val="00A877D4"/>
    <w:rsid w:val="00A9023D"/>
    <w:rsid w:val="00A9137B"/>
    <w:rsid w:val="00A91780"/>
    <w:rsid w:val="00A91AA7"/>
    <w:rsid w:val="00A928FE"/>
    <w:rsid w:val="00A92CAD"/>
    <w:rsid w:val="00A945AC"/>
    <w:rsid w:val="00A948E2"/>
    <w:rsid w:val="00A9519E"/>
    <w:rsid w:val="00A959A8"/>
    <w:rsid w:val="00A959DD"/>
    <w:rsid w:val="00A95DDE"/>
    <w:rsid w:val="00A96857"/>
    <w:rsid w:val="00A9685E"/>
    <w:rsid w:val="00A96ED7"/>
    <w:rsid w:val="00A970CB"/>
    <w:rsid w:val="00A972E6"/>
    <w:rsid w:val="00A97441"/>
    <w:rsid w:val="00A97746"/>
    <w:rsid w:val="00AA00FD"/>
    <w:rsid w:val="00AA01EC"/>
    <w:rsid w:val="00AA0343"/>
    <w:rsid w:val="00AA38F5"/>
    <w:rsid w:val="00AA3A2C"/>
    <w:rsid w:val="00AA480F"/>
    <w:rsid w:val="00AA49AB"/>
    <w:rsid w:val="00AA4F5B"/>
    <w:rsid w:val="00AA5121"/>
    <w:rsid w:val="00AA5429"/>
    <w:rsid w:val="00AA5994"/>
    <w:rsid w:val="00AA5B6C"/>
    <w:rsid w:val="00AA601C"/>
    <w:rsid w:val="00AA70D2"/>
    <w:rsid w:val="00AA73D3"/>
    <w:rsid w:val="00AA7D23"/>
    <w:rsid w:val="00AA7DE3"/>
    <w:rsid w:val="00AB01EF"/>
    <w:rsid w:val="00AB0424"/>
    <w:rsid w:val="00AB0892"/>
    <w:rsid w:val="00AB0DFF"/>
    <w:rsid w:val="00AB3F2E"/>
    <w:rsid w:val="00AB3FB3"/>
    <w:rsid w:val="00AB4AA7"/>
    <w:rsid w:val="00AB4AB2"/>
    <w:rsid w:val="00AB4EF7"/>
    <w:rsid w:val="00AB5E7A"/>
    <w:rsid w:val="00AB6078"/>
    <w:rsid w:val="00AB6EE2"/>
    <w:rsid w:val="00AB6EEA"/>
    <w:rsid w:val="00AC1611"/>
    <w:rsid w:val="00AC1A90"/>
    <w:rsid w:val="00AC1ECB"/>
    <w:rsid w:val="00AC2208"/>
    <w:rsid w:val="00AC24B0"/>
    <w:rsid w:val="00AC2D2F"/>
    <w:rsid w:val="00AC2D7A"/>
    <w:rsid w:val="00AC306F"/>
    <w:rsid w:val="00AC47DD"/>
    <w:rsid w:val="00AC4D76"/>
    <w:rsid w:val="00AC574E"/>
    <w:rsid w:val="00AC5773"/>
    <w:rsid w:val="00AC6021"/>
    <w:rsid w:val="00AC614B"/>
    <w:rsid w:val="00AC650B"/>
    <w:rsid w:val="00AC7442"/>
    <w:rsid w:val="00AC79F2"/>
    <w:rsid w:val="00AC7B02"/>
    <w:rsid w:val="00AD01AC"/>
    <w:rsid w:val="00AD0446"/>
    <w:rsid w:val="00AD1D70"/>
    <w:rsid w:val="00AD230B"/>
    <w:rsid w:val="00AD23D1"/>
    <w:rsid w:val="00AD2776"/>
    <w:rsid w:val="00AD2C2D"/>
    <w:rsid w:val="00AD46C8"/>
    <w:rsid w:val="00AD5DB7"/>
    <w:rsid w:val="00AD6705"/>
    <w:rsid w:val="00AD6FCE"/>
    <w:rsid w:val="00AD70C2"/>
    <w:rsid w:val="00AD7476"/>
    <w:rsid w:val="00AD7F4C"/>
    <w:rsid w:val="00AE03F1"/>
    <w:rsid w:val="00AE04D7"/>
    <w:rsid w:val="00AE06EC"/>
    <w:rsid w:val="00AE1B02"/>
    <w:rsid w:val="00AE1ED9"/>
    <w:rsid w:val="00AE2106"/>
    <w:rsid w:val="00AE301D"/>
    <w:rsid w:val="00AE38AB"/>
    <w:rsid w:val="00AE3B15"/>
    <w:rsid w:val="00AE44DF"/>
    <w:rsid w:val="00AE4C31"/>
    <w:rsid w:val="00AE4CE5"/>
    <w:rsid w:val="00AE4F82"/>
    <w:rsid w:val="00AE51F9"/>
    <w:rsid w:val="00AE53D5"/>
    <w:rsid w:val="00AE5D03"/>
    <w:rsid w:val="00AE5EDF"/>
    <w:rsid w:val="00AE6041"/>
    <w:rsid w:val="00AE6740"/>
    <w:rsid w:val="00AE75EF"/>
    <w:rsid w:val="00AE768E"/>
    <w:rsid w:val="00AE78F3"/>
    <w:rsid w:val="00AF113D"/>
    <w:rsid w:val="00AF1896"/>
    <w:rsid w:val="00AF1A00"/>
    <w:rsid w:val="00AF27E8"/>
    <w:rsid w:val="00AF2B09"/>
    <w:rsid w:val="00AF2EE8"/>
    <w:rsid w:val="00AF3CEB"/>
    <w:rsid w:val="00AF3EB7"/>
    <w:rsid w:val="00AF4849"/>
    <w:rsid w:val="00AF4AF8"/>
    <w:rsid w:val="00AF4B9E"/>
    <w:rsid w:val="00AF4D70"/>
    <w:rsid w:val="00AF4F70"/>
    <w:rsid w:val="00AF5521"/>
    <w:rsid w:val="00AF663A"/>
    <w:rsid w:val="00AF76AA"/>
    <w:rsid w:val="00B00375"/>
    <w:rsid w:val="00B009B0"/>
    <w:rsid w:val="00B00C9E"/>
    <w:rsid w:val="00B01092"/>
    <w:rsid w:val="00B01976"/>
    <w:rsid w:val="00B0264A"/>
    <w:rsid w:val="00B0291F"/>
    <w:rsid w:val="00B0300E"/>
    <w:rsid w:val="00B034D6"/>
    <w:rsid w:val="00B036A2"/>
    <w:rsid w:val="00B03DDF"/>
    <w:rsid w:val="00B05251"/>
    <w:rsid w:val="00B05306"/>
    <w:rsid w:val="00B05335"/>
    <w:rsid w:val="00B05606"/>
    <w:rsid w:val="00B056E4"/>
    <w:rsid w:val="00B05B94"/>
    <w:rsid w:val="00B06003"/>
    <w:rsid w:val="00B06D85"/>
    <w:rsid w:val="00B07074"/>
    <w:rsid w:val="00B076ED"/>
    <w:rsid w:val="00B07F50"/>
    <w:rsid w:val="00B10B00"/>
    <w:rsid w:val="00B10DA6"/>
    <w:rsid w:val="00B11013"/>
    <w:rsid w:val="00B13016"/>
    <w:rsid w:val="00B1401B"/>
    <w:rsid w:val="00B14398"/>
    <w:rsid w:val="00B14837"/>
    <w:rsid w:val="00B14B3C"/>
    <w:rsid w:val="00B1568E"/>
    <w:rsid w:val="00B16B0B"/>
    <w:rsid w:val="00B17B9C"/>
    <w:rsid w:val="00B2029B"/>
    <w:rsid w:val="00B20781"/>
    <w:rsid w:val="00B20EED"/>
    <w:rsid w:val="00B20F0D"/>
    <w:rsid w:val="00B20FD1"/>
    <w:rsid w:val="00B22017"/>
    <w:rsid w:val="00B22FCF"/>
    <w:rsid w:val="00B235A8"/>
    <w:rsid w:val="00B23A6A"/>
    <w:rsid w:val="00B23E19"/>
    <w:rsid w:val="00B2420A"/>
    <w:rsid w:val="00B25710"/>
    <w:rsid w:val="00B25F79"/>
    <w:rsid w:val="00B26090"/>
    <w:rsid w:val="00B260D1"/>
    <w:rsid w:val="00B26929"/>
    <w:rsid w:val="00B26E73"/>
    <w:rsid w:val="00B27154"/>
    <w:rsid w:val="00B27628"/>
    <w:rsid w:val="00B315A1"/>
    <w:rsid w:val="00B316CB"/>
    <w:rsid w:val="00B31E4B"/>
    <w:rsid w:val="00B32437"/>
    <w:rsid w:val="00B324CE"/>
    <w:rsid w:val="00B328F5"/>
    <w:rsid w:val="00B32991"/>
    <w:rsid w:val="00B32C9A"/>
    <w:rsid w:val="00B32E47"/>
    <w:rsid w:val="00B33297"/>
    <w:rsid w:val="00B33371"/>
    <w:rsid w:val="00B333FD"/>
    <w:rsid w:val="00B34F3E"/>
    <w:rsid w:val="00B35080"/>
    <w:rsid w:val="00B35619"/>
    <w:rsid w:val="00B35C60"/>
    <w:rsid w:val="00B36038"/>
    <w:rsid w:val="00B365B1"/>
    <w:rsid w:val="00B3673B"/>
    <w:rsid w:val="00B36A1A"/>
    <w:rsid w:val="00B375B2"/>
    <w:rsid w:val="00B37DD9"/>
    <w:rsid w:val="00B40A59"/>
    <w:rsid w:val="00B4160D"/>
    <w:rsid w:val="00B41923"/>
    <w:rsid w:val="00B41ACC"/>
    <w:rsid w:val="00B41D78"/>
    <w:rsid w:val="00B41FD6"/>
    <w:rsid w:val="00B42339"/>
    <w:rsid w:val="00B424C7"/>
    <w:rsid w:val="00B4275E"/>
    <w:rsid w:val="00B42C26"/>
    <w:rsid w:val="00B4378A"/>
    <w:rsid w:val="00B43DFF"/>
    <w:rsid w:val="00B43EBB"/>
    <w:rsid w:val="00B45664"/>
    <w:rsid w:val="00B45A37"/>
    <w:rsid w:val="00B46537"/>
    <w:rsid w:val="00B46629"/>
    <w:rsid w:val="00B46C7E"/>
    <w:rsid w:val="00B4780D"/>
    <w:rsid w:val="00B50022"/>
    <w:rsid w:val="00B50189"/>
    <w:rsid w:val="00B5029A"/>
    <w:rsid w:val="00B507B2"/>
    <w:rsid w:val="00B51E2D"/>
    <w:rsid w:val="00B52C65"/>
    <w:rsid w:val="00B52FD6"/>
    <w:rsid w:val="00B53BDD"/>
    <w:rsid w:val="00B55BA1"/>
    <w:rsid w:val="00B55C52"/>
    <w:rsid w:val="00B55ECE"/>
    <w:rsid w:val="00B55F4C"/>
    <w:rsid w:val="00B55F90"/>
    <w:rsid w:val="00B5601E"/>
    <w:rsid w:val="00B560BE"/>
    <w:rsid w:val="00B564D4"/>
    <w:rsid w:val="00B574D9"/>
    <w:rsid w:val="00B57B53"/>
    <w:rsid w:val="00B60F2B"/>
    <w:rsid w:val="00B60FB6"/>
    <w:rsid w:val="00B6103A"/>
    <w:rsid w:val="00B612DF"/>
    <w:rsid w:val="00B61DBC"/>
    <w:rsid w:val="00B61DC2"/>
    <w:rsid w:val="00B622EE"/>
    <w:rsid w:val="00B6266E"/>
    <w:rsid w:val="00B62A91"/>
    <w:rsid w:val="00B62D98"/>
    <w:rsid w:val="00B6364D"/>
    <w:rsid w:val="00B65848"/>
    <w:rsid w:val="00B66974"/>
    <w:rsid w:val="00B66D45"/>
    <w:rsid w:val="00B67790"/>
    <w:rsid w:val="00B7094C"/>
    <w:rsid w:val="00B709BB"/>
    <w:rsid w:val="00B71ACD"/>
    <w:rsid w:val="00B7225A"/>
    <w:rsid w:val="00B72285"/>
    <w:rsid w:val="00B73588"/>
    <w:rsid w:val="00B73EEB"/>
    <w:rsid w:val="00B7408F"/>
    <w:rsid w:val="00B755FE"/>
    <w:rsid w:val="00B75A6A"/>
    <w:rsid w:val="00B75B7C"/>
    <w:rsid w:val="00B761FB"/>
    <w:rsid w:val="00B76565"/>
    <w:rsid w:val="00B810A6"/>
    <w:rsid w:val="00B82ADE"/>
    <w:rsid w:val="00B83B0D"/>
    <w:rsid w:val="00B83B3E"/>
    <w:rsid w:val="00B8429E"/>
    <w:rsid w:val="00B8496B"/>
    <w:rsid w:val="00B860AD"/>
    <w:rsid w:val="00B8751E"/>
    <w:rsid w:val="00B87FAA"/>
    <w:rsid w:val="00B903E3"/>
    <w:rsid w:val="00B90439"/>
    <w:rsid w:val="00B907FF"/>
    <w:rsid w:val="00B90FB8"/>
    <w:rsid w:val="00B91D4F"/>
    <w:rsid w:val="00B92E14"/>
    <w:rsid w:val="00B93159"/>
    <w:rsid w:val="00B949F0"/>
    <w:rsid w:val="00B94BB4"/>
    <w:rsid w:val="00B96E7C"/>
    <w:rsid w:val="00B97157"/>
    <w:rsid w:val="00B97F68"/>
    <w:rsid w:val="00BA0588"/>
    <w:rsid w:val="00BA0903"/>
    <w:rsid w:val="00BA1483"/>
    <w:rsid w:val="00BA184E"/>
    <w:rsid w:val="00BA1FFF"/>
    <w:rsid w:val="00BA221F"/>
    <w:rsid w:val="00BA2F49"/>
    <w:rsid w:val="00BA327F"/>
    <w:rsid w:val="00BA38F2"/>
    <w:rsid w:val="00BA401C"/>
    <w:rsid w:val="00BA4070"/>
    <w:rsid w:val="00BA574E"/>
    <w:rsid w:val="00BA59B2"/>
    <w:rsid w:val="00BA607B"/>
    <w:rsid w:val="00BA6266"/>
    <w:rsid w:val="00BA7927"/>
    <w:rsid w:val="00BA7AE5"/>
    <w:rsid w:val="00BB0495"/>
    <w:rsid w:val="00BB1344"/>
    <w:rsid w:val="00BB13CE"/>
    <w:rsid w:val="00BB1D4A"/>
    <w:rsid w:val="00BB2DB7"/>
    <w:rsid w:val="00BB2F5A"/>
    <w:rsid w:val="00BB353C"/>
    <w:rsid w:val="00BB3724"/>
    <w:rsid w:val="00BB438C"/>
    <w:rsid w:val="00BB56FA"/>
    <w:rsid w:val="00BB69C8"/>
    <w:rsid w:val="00BB7BF1"/>
    <w:rsid w:val="00BB7C4B"/>
    <w:rsid w:val="00BC0808"/>
    <w:rsid w:val="00BC1041"/>
    <w:rsid w:val="00BC1B4B"/>
    <w:rsid w:val="00BC1ED0"/>
    <w:rsid w:val="00BC30F8"/>
    <w:rsid w:val="00BC32AE"/>
    <w:rsid w:val="00BC369B"/>
    <w:rsid w:val="00BC3880"/>
    <w:rsid w:val="00BC39D5"/>
    <w:rsid w:val="00BC3C73"/>
    <w:rsid w:val="00BC42F4"/>
    <w:rsid w:val="00BC4614"/>
    <w:rsid w:val="00BC4A92"/>
    <w:rsid w:val="00BC4EF3"/>
    <w:rsid w:val="00BC5363"/>
    <w:rsid w:val="00BC56B1"/>
    <w:rsid w:val="00BC57CF"/>
    <w:rsid w:val="00BC6AA4"/>
    <w:rsid w:val="00BC71CA"/>
    <w:rsid w:val="00BC73AB"/>
    <w:rsid w:val="00BC748E"/>
    <w:rsid w:val="00BD02A9"/>
    <w:rsid w:val="00BD02FD"/>
    <w:rsid w:val="00BD045E"/>
    <w:rsid w:val="00BD052A"/>
    <w:rsid w:val="00BD0833"/>
    <w:rsid w:val="00BD08D7"/>
    <w:rsid w:val="00BD0CCD"/>
    <w:rsid w:val="00BD138A"/>
    <w:rsid w:val="00BD1F42"/>
    <w:rsid w:val="00BD20DD"/>
    <w:rsid w:val="00BD277D"/>
    <w:rsid w:val="00BD2907"/>
    <w:rsid w:val="00BD2F90"/>
    <w:rsid w:val="00BD379A"/>
    <w:rsid w:val="00BD3A5E"/>
    <w:rsid w:val="00BD4744"/>
    <w:rsid w:val="00BD50CB"/>
    <w:rsid w:val="00BD5BC3"/>
    <w:rsid w:val="00BD5D50"/>
    <w:rsid w:val="00BD6168"/>
    <w:rsid w:val="00BD61A3"/>
    <w:rsid w:val="00BD67F8"/>
    <w:rsid w:val="00BD6B8C"/>
    <w:rsid w:val="00BE00C5"/>
    <w:rsid w:val="00BE0E4A"/>
    <w:rsid w:val="00BE1489"/>
    <w:rsid w:val="00BE2506"/>
    <w:rsid w:val="00BE2C83"/>
    <w:rsid w:val="00BE3AAF"/>
    <w:rsid w:val="00BE3C7F"/>
    <w:rsid w:val="00BE4306"/>
    <w:rsid w:val="00BE5EE1"/>
    <w:rsid w:val="00BE605C"/>
    <w:rsid w:val="00BE6D19"/>
    <w:rsid w:val="00BE72D9"/>
    <w:rsid w:val="00BE7360"/>
    <w:rsid w:val="00BE7551"/>
    <w:rsid w:val="00BE7759"/>
    <w:rsid w:val="00BE78D0"/>
    <w:rsid w:val="00BE7EEC"/>
    <w:rsid w:val="00BF005C"/>
    <w:rsid w:val="00BF01B7"/>
    <w:rsid w:val="00BF0801"/>
    <w:rsid w:val="00BF0A6B"/>
    <w:rsid w:val="00BF15BC"/>
    <w:rsid w:val="00BF15C6"/>
    <w:rsid w:val="00BF1C93"/>
    <w:rsid w:val="00BF283E"/>
    <w:rsid w:val="00BF2A64"/>
    <w:rsid w:val="00BF3235"/>
    <w:rsid w:val="00BF366C"/>
    <w:rsid w:val="00BF3D30"/>
    <w:rsid w:val="00BF4016"/>
    <w:rsid w:val="00BF45C3"/>
    <w:rsid w:val="00BF4885"/>
    <w:rsid w:val="00BF5426"/>
    <w:rsid w:val="00BF596E"/>
    <w:rsid w:val="00BF5EEE"/>
    <w:rsid w:val="00BF61F4"/>
    <w:rsid w:val="00BF699E"/>
    <w:rsid w:val="00BF73BF"/>
    <w:rsid w:val="00BF758A"/>
    <w:rsid w:val="00BF7779"/>
    <w:rsid w:val="00BF7CCF"/>
    <w:rsid w:val="00C01FAE"/>
    <w:rsid w:val="00C02A93"/>
    <w:rsid w:val="00C04C13"/>
    <w:rsid w:val="00C05755"/>
    <w:rsid w:val="00C061AB"/>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10E"/>
    <w:rsid w:val="00C12A1C"/>
    <w:rsid w:val="00C12D89"/>
    <w:rsid w:val="00C141AF"/>
    <w:rsid w:val="00C142C3"/>
    <w:rsid w:val="00C15505"/>
    <w:rsid w:val="00C16496"/>
    <w:rsid w:val="00C16A2E"/>
    <w:rsid w:val="00C16C0F"/>
    <w:rsid w:val="00C16CAD"/>
    <w:rsid w:val="00C1778F"/>
    <w:rsid w:val="00C20240"/>
    <w:rsid w:val="00C211A8"/>
    <w:rsid w:val="00C21D6D"/>
    <w:rsid w:val="00C223D0"/>
    <w:rsid w:val="00C22718"/>
    <w:rsid w:val="00C22D7D"/>
    <w:rsid w:val="00C2463A"/>
    <w:rsid w:val="00C252D9"/>
    <w:rsid w:val="00C2593E"/>
    <w:rsid w:val="00C2596A"/>
    <w:rsid w:val="00C25F79"/>
    <w:rsid w:val="00C263D3"/>
    <w:rsid w:val="00C2678D"/>
    <w:rsid w:val="00C26887"/>
    <w:rsid w:val="00C27053"/>
    <w:rsid w:val="00C276F0"/>
    <w:rsid w:val="00C304A1"/>
    <w:rsid w:val="00C30875"/>
    <w:rsid w:val="00C30B78"/>
    <w:rsid w:val="00C327C9"/>
    <w:rsid w:val="00C32A79"/>
    <w:rsid w:val="00C32E15"/>
    <w:rsid w:val="00C34FEB"/>
    <w:rsid w:val="00C36F45"/>
    <w:rsid w:val="00C37011"/>
    <w:rsid w:val="00C403B7"/>
    <w:rsid w:val="00C4068C"/>
    <w:rsid w:val="00C40C52"/>
    <w:rsid w:val="00C40DE5"/>
    <w:rsid w:val="00C4122A"/>
    <w:rsid w:val="00C41DB2"/>
    <w:rsid w:val="00C42A4B"/>
    <w:rsid w:val="00C42DCC"/>
    <w:rsid w:val="00C42F0F"/>
    <w:rsid w:val="00C43046"/>
    <w:rsid w:val="00C43D09"/>
    <w:rsid w:val="00C43E31"/>
    <w:rsid w:val="00C4514C"/>
    <w:rsid w:val="00C45374"/>
    <w:rsid w:val="00C453BE"/>
    <w:rsid w:val="00C45936"/>
    <w:rsid w:val="00C46207"/>
    <w:rsid w:val="00C46282"/>
    <w:rsid w:val="00C4698C"/>
    <w:rsid w:val="00C46B2D"/>
    <w:rsid w:val="00C46B64"/>
    <w:rsid w:val="00C471E5"/>
    <w:rsid w:val="00C4724E"/>
    <w:rsid w:val="00C47CB9"/>
    <w:rsid w:val="00C47CDA"/>
    <w:rsid w:val="00C50205"/>
    <w:rsid w:val="00C5024C"/>
    <w:rsid w:val="00C50BA6"/>
    <w:rsid w:val="00C51740"/>
    <w:rsid w:val="00C51992"/>
    <w:rsid w:val="00C52D4A"/>
    <w:rsid w:val="00C54158"/>
    <w:rsid w:val="00C54327"/>
    <w:rsid w:val="00C543C1"/>
    <w:rsid w:val="00C54751"/>
    <w:rsid w:val="00C54A12"/>
    <w:rsid w:val="00C54E73"/>
    <w:rsid w:val="00C556FD"/>
    <w:rsid w:val="00C55AC7"/>
    <w:rsid w:val="00C56662"/>
    <w:rsid w:val="00C56742"/>
    <w:rsid w:val="00C56FF6"/>
    <w:rsid w:val="00C5744D"/>
    <w:rsid w:val="00C575F0"/>
    <w:rsid w:val="00C57B48"/>
    <w:rsid w:val="00C60BDA"/>
    <w:rsid w:val="00C61100"/>
    <w:rsid w:val="00C61B06"/>
    <w:rsid w:val="00C61CE5"/>
    <w:rsid w:val="00C61F8A"/>
    <w:rsid w:val="00C62853"/>
    <w:rsid w:val="00C62EFC"/>
    <w:rsid w:val="00C63AFE"/>
    <w:rsid w:val="00C63EEE"/>
    <w:rsid w:val="00C64264"/>
    <w:rsid w:val="00C64350"/>
    <w:rsid w:val="00C651C1"/>
    <w:rsid w:val="00C662A4"/>
    <w:rsid w:val="00C66D9C"/>
    <w:rsid w:val="00C67014"/>
    <w:rsid w:val="00C67384"/>
    <w:rsid w:val="00C678BA"/>
    <w:rsid w:val="00C714B0"/>
    <w:rsid w:val="00C71F60"/>
    <w:rsid w:val="00C71F6C"/>
    <w:rsid w:val="00C72161"/>
    <w:rsid w:val="00C72AC2"/>
    <w:rsid w:val="00C7362C"/>
    <w:rsid w:val="00C7426C"/>
    <w:rsid w:val="00C74CFA"/>
    <w:rsid w:val="00C74DD5"/>
    <w:rsid w:val="00C75627"/>
    <w:rsid w:val="00C76864"/>
    <w:rsid w:val="00C775F9"/>
    <w:rsid w:val="00C77E56"/>
    <w:rsid w:val="00C77F6C"/>
    <w:rsid w:val="00C803D9"/>
    <w:rsid w:val="00C80758"/>
    <w:rsid w:val="00C80FEF"/>
    <w:rsid w:val="00C81152"/>
    <w:rsid w:val="00C81726"/>
    <w:rsid w:val="00C81894"/>
    <w:rsid w:val="00C81AC4"/>
    <w:rsid w:val="00C827D8"/>
    <w:rsid w:val="00C829D0"/>
    <w:rsid w:val="00C83018"/>
    <w:rsid w:val="00C839D8"/>
    <w:rsid w:val="00C8409A"/>
    <w:rsid w:val="00C842F0"/>
    <w:rsid w:val="00C84545"/>
    <w:rsid w:val="00C85592"/>
    <w:rsid w:val="00C861C4"/>
    <w:rsid w:val="00C86959"/>
    <w:rsid w:val="00C875B2"/>
    <w:rsid w:val="00C87F3D"/>
    <w:rsid w:val="00C902DE"/>
    <w:rsid w:val="00C9058F"/>
    <w:rsid w:val="00C9108F"/>
    <w:rsid w:val="00C9235D"/>
    <w:rsid w:val="00C923E9"/>
    <w:rsid w:val="00C93095"/>
    <w:rsid w:val="00C932CF"/>
    <w:rsid w:val="00C93481"/>
    <w:rsid w:val="00C938CF"/>
    <w:rsid w:val="00C95A13"/>
    <w:rsid w:val="00C95B24"/>
    <w:rsid w:val="00C960BD"/>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E4"/>
    <w:rsid w:val="00CA1EFC"/>
    <w:rsid w:val="00CA29EC"/>
    <w:rsid w:val="00CA46CA"/>
    <w:rsid w:val="00CA5217"/>
    <w:rsid w:val="00CA60F4"/>
    <w:rsid w:val="00CA61C9"/>
    <w:rsid w:val="00CA680B"/>
    <w:rsid w:val="00CA6D0E"/>
    <w:rsid w:val="00CA70EF"/>
    <w:rsid w:val="00CA72DC"/>
    <w:rsid w:val="00CA73FA"/>
    <w:rsid w:val="00CA7C91"/>
    <w:rsid w:val="00CB0891"/>
    <w:rsid w:val="00CB0E8D"/>
    <w:rsid w:val="00CB1840"/>
    <w:rsid w:val="00CB2501"/>
    <w:rsid w:val="00CB284D"/>
    <w:rsid w:val="00CB367B"/>
    <w:rsid w:val="00CB39E0"/>
    <w:rsid w:val="00CB3BA5"/>
    <w:rsid w:val="00CB4D0E"/>
    <w:rsid w:val="00CB5AD8"/>
    <w:rsid w:val="00CB5B21"/>
    <w:rsid w:val="00CB5C55"/>
    <w:rsid w:val="00CB68A7"/>
    <w:rsid w:val="00CB7438"/>
    <w:rsid w:val="00CB7462"/>
    <w:rsid w:val="00CB7710"/>
    <w:rsid w:val="00CB7765"/>
    <w:rsid w:val="00CC0B78"/>
    <w:rsid w:val="00CC2172"/>
    <w:rsid w:val="00CC22D8"/>
    <w:rsid w:val="00CC2669"/>
    <w:rsid w:val="00CC34CD"/>
    <w:rsid w:val="00CC3E5B"/>
    <w:rsid w:val="00CC4311"/>
    <w:rsid w:val="00CC4676"/>
    <w:rsid w:val="00CC51F0"/>
    <w:rsid w:val="00CC5CEF"/>
    <w:rsid w:val="00CC6D00"/>
    <w:rsid w:val="00CC78F3"/>
    <w:rsid w:val="00CD1344"/>
    <w:rsid w:val="00CD173B"/>
    <w:rsid w:val="00CD2F77"/>
    <w:rsid w:val="00CD3399"/>
    <w:rsid w:val="00CD3FC5"/>
    <w:rsid w:val="00CD446B"/>
    <w:rsid w:val="00CD5DE7"/>
    <w:rsid w:val="00CD6D5A"/>
    <w:rsid w:val="00CD6F36"/>
    <w:rsid w:val="00CE002E"/>
    <w:rsid w:val="00CE0174"/>
    <w:rsid w:val="00CE025E"/>
    <w:rsid w:val="00CE0287"/>
    <w:rsid w:val="00CE06A8"/>
    <w:rsid w:val="00CE1C99"/>
    <w:rsid w:val="00CE1CCB"/>
    <w:rsid w:val="00CE1CFC"/>
    <w:rsid w:val="00CE2117"/>
    <w:rsid w:val="00CE2859"/>
    <w:rsid w:val="00CE2862"/>
    <w:rsid w:val="00CE2CBD"/>
    <w:rsid w:val="00CE301D"/>
    <w:rsid w:val="00CE3139"/>
    <w:rsid w:val="00CE3DF0"/>
    <w:rsid w:val="00CE3ED3"/>
    <w:rsid w:val="00CE4F1D"/>
    <w:rsid w:val="00CE5298"/>
    <w:rsid w:val="00CE5995"/>
    <w:rsid w:val="00CE6BA2"/>
    <w:rsid w:val="00CE71D7"/>
    <w:rsid w:val="00CE7703"/>
    <w:rsid w:val="00CE7AA0"/>
    <w:rsid w:val="00CE7EB8"/>
    <w:rsid w:val="00CF00B3"/>
    <w:rsid w:val="00CF02C3"/>
    <w:rsid w:val="00CF0794"/>
    <w:rsid w:val="00CF14F0"/>
    <w:rsid w:val="00CF17EF"/>
    <w:rsid w:val="00CF296C"/>
    <w:rsid w:val="00CF29A3"/>
    <w:rsid w:val="00CF2B39"/>
    <w:rsid w:val="00CF3264"/>
    <w:rsid w:val="00CF3971"/>
    <w:rsid w:val="00CF3A18"/>
    <w:rsid w:val="00CF4058"/>
    <w:rsid w:val="00CF4106"/>
    <w:rsid w:val="00CF442D"/>
    <w:rsid w:val="00CF4B41"/>
    <w:rsid w:val="00CF5366"/>
    <w:rsid w:val="00CF6E99"/>
    <w:rsid w:val="00CF6FC2"/>
    <w:rsid w:val="00CF6FF7"/>
    <w:rsid w:val="00CF73FA"/>
    <w:rsid w:val="00CF7D0A"/>
    <w:rsid w:val="00CF7DC7"/>
    <w:rsid w:val="00D00748"/>
    <w:rsid w:val="00D00CFF"/>
    <w:rsid w:val="00D00D65"/>
    <w:rsid w:val="00D00F2A"/>
    <w:rsid w:val="00D0174F"/>
    <w:rsid w:val="00D01967"/>
    <w:rsid w:val="00D02785"/>
    <w:rsid w:val="00D031C9"/>
    <w:rsid w:val="00D035AA"/>
    <w:rsid w:val="00D0376A"/>
    <w:rsid w:val="00D0399A"/>
    <w:rsid w:val="00D03FA1"/>
    <w:rsid w:val="00D04F8D"/>
    <w:rsid w:val="00D05020"/>
    <w:rsid w:val="00D05A66"/>
    <w:rsid w:val="00D05BBC"/>
    <w:rsid w:val="00D066D9"/>
    <w:rsid w:val="00D06D33"/>
    <w:rsid w:val="00D076E6"/>
    <w:rsid w:val="00D07C3B"/>
    <w:rsid w:val="00D10D24"/>
    <w:rsid w:val="00D11170"/>
    <w:rsid w:val="00D11FA9"/>
    <w:rsid w:val="00D12CEC"/>
    <w:rsid w:val="00D13012"/>
    <w:rsid w:val="00D13B5D"/>
    <w:rsid w:val="00D13BEA"/>
    <w:rsid w:val="00D1440D"/>
    <w:rsid w:val="00D17E00"/>
    <w:rsid w:val="00D207D4"/>
    <w:rsid w:val="00D20C5B"/>
    <w:rsid w:val="00D21AE4"/>
    <w:rsid w:val="00D21C3F"/>
    <w:rsid w:val="00D2202E"/>
    <w:rsid w:val="00D22FD5"/>
    <w:rsid w:val="00D2369D"/>
    <w:rsid w:val="00D23769"/>
    <w:rsid w:val="00D23D96"/>
    <w:rsid w:val="00D23DDA"/>
    <w:rsid w:val="00D245D4"/>
    <w:rsid w:val="00D249F3"/>
    <w:rsid w:val="00D24A35"/>
    <w:rsid w:val="00D24DE6"/>
    <w:rsid w:val="00D25E30"/>
    <w:rsid w:val="00D26E45"/>
    <w:rsid w:val="00D26F58"/>
    <w:rsid w:val="00D26F86"/>
    <w:rsid w:val="00D30380"/>
    <w:rsid w:val="00D32E03"/>
    <w:rsid w:val="00D3382F"/>
    <w:rsid w:val="00D339B2"/>
    <w:rsid w:val="00D33EE7"/>
    <w:rsid w:val="00D34164"/>
    <w:rsid w:val="00D34D92"/>
    <w:rsid w:val="00D35350"/>
    <w:rsid w:val="00D35B9C"/>
    <w:rsid w:val="00D35D47"/>
    <w:rsid w:val="00D35DA0"/>
    <w:rsid w:val="00D35DF4"/>
    <w:rsid w:val="00D3649E"/>
    <w:rsid w:val="00D366EF"/>
    <w:rsid w:val="00D36BBE"/>
    <w:rsid w:val="00D376C0"/>
    <w:rsid w:val="00D37993"/>
    <w:rsid w:val="00D379D9"/>
    <w:rsid w:val="00D412BD"/>
    <w:rsid w:val="00D41E66"/>
    <w:rsid w:val="00D42718"/>
    <w:rsid w:val="00D44B9B"/>
    <w:rsid w:val="00D44CDB"/>
    <w:rsid w:val="00D4511A"/>
    <w:rsid w:val="00D45D66"/>
    <w:rsid w:val="00D46968"/>
    <w:rsid w:val="00D4729C"/>
    <w:rsid w:val="00D4790C"/>
    <w:rsid w:val="00D501DD"/>
    <w:rsid w:val="00D503A1"/>
    <w:rsid w:val="00D51393"/>
    <w:rsid w:val="00D51672"/>
    <w:rsid w:val="00D51A92"/>
    <w:rsid w:val="00D52EF1"/>
    <w:rsid w:val="00D5324B"/>
    <w:rsid w:val="00D53A52"/>
    <w:rsid w:val="00D55340"/>
    <w:rsid w:val="00D553B3"/>
    <w:rsid w:val="00D55E23"/>
    <w:rsid w:val="00D56109"/>
    <w:rsid w:val="00D568DC"/>
    <w:rsid w:val="00D57375"/>
    <w:rsid w:val="00D57693"/>
    <w:rsid w:val="00D576AA"/>
    <w:rsid w:val="00D57DF0"/>
    <w:rsid w:val="00D57E34"/>
    <w:rsid w:val="00D60327"/>
    <w:rsid w:val="00D60AD5"/>
    <w:rsid w:val="00D61149"/>
    <w:rsid w:val="00D6148A"/>
    <w:rsid w:val="00D635D0"/>
    <w:rsid w:val="00D63AD6"/>
    <w:rsid w:val="00D6400F"/>
    <w:rsid w:val="00D651E5"/>
    <w:rsid w:val="00D658BC"/>
    <w:rsid w:val="00D6608B"/>
    <w:rsid w:val="00D6627E"/>
    <w:rsid w:val="00D663C7"/>
    <w:rsid w:val="00D66FFB"/>
    <w:rsid w:val="00D67994"/>
    <w:rsid w:val="00D70054"/>
    <w:rsid w:val="00D704AF"/>
    <w:rsid w:val="00D70F1C"/>
    <w:rsid w:val="00D70F76"/>
    <w:rsid w:val="00D716D2"/>
    <w:rsid w:val="00D71A13"/>
    <w:rsid w:val="00D71C18"/>
    <w:rsid w:val="00D72791"/>
    <w:rsid w:val="00D738B5"/>
    <w:rsid w:val="00D73F6E"/>
    <w:rsid w:val="00D75B15"/>
    <w:rsid w:val="00D75F01"/>
    <w:rsid w:val="00D7638F"/>
    <w:rsid w:val="00D767DB"/>
    <w:rsid w:val="00D76E8C"/>
    <w:rsid w:val="00D80209"/>
    <w:rsid w:val="00D80430"/>
    <w:rsid w:val="00D8088B"/>
    <w:rsid w:val="00D80BCF"/>
    <w:rsid w:val="00D80D4F"/>
    <w:rsid w:val="00D80F11"/>
    <w:rsid w:val="00D81D75"/>
    <w:rsid w:val="00D81F8C"/>
    <w:rsid w:val="00D8222C"/>
    <w:rsid w:val="00D82A5E"/>
    <w:rsid w:val="00D82B9D"/>
    <w:rsid w:val="00D834CD"/>
    <w:rsid w:val="00D836E1"/>
    <w:rsid w:val="00D83B83"/>
    <w:rsid w:val="00D845F9"/>
    <w:rsid w:val="00D84BBF"/>
    <w:rsid w:val="00D85454"/>
    <w:rsid w:val="00D85529"/>
    <w:rsid w:val="00D861A9"/>
    <w:rsid w:val="00D90666"/>
    <w:rsid w:val="00D911F8"/>
    <w:rsid w:val="00D9147F"/>
    <w:rsid w:val="00D915EE"/>
    <w:rsid w:val="00D91726"/>
    <w:rsid w:val="00D91836"/>
    <w:rsid w:val="00D9185D"/>
    <w:rsid w:val="00D922C4"/>
    <w:rsid w:val="00D9238D"/>
    <w:rsid w:val="00D9380C"/>
    <w:rsid w:val="00D93EBD"/>
    <w:rsid w:val="00D942E4"/>
    <w:rsid w:val="00D944DC"/>
    <w:rsid w:val="00D947B8"/>
    <w:rsid w:val="00D95159"/>
    <w:rsid w:val="00D9528F"/>
    <w:rsid w:val="00D95662"/>
    <w:rsid w:val="00D957F8"/>
    <w:rsid w:val="00D96BE5"/>
    <w:rsid w:val="00D9718A"/>
    <w:rsid w:val="00D975F5"/>
    <w:rsid w:val="00DA0085"/>
    <w:rsid w:val="00DA11B6"/>
    <w:rsid w:val="00DA18AA"/>
    <w:rsid w:val="00DA1B54"/>
    <w:rsid w:val="00DA1BE2"/>
    <w:rsid w:val="00DA1EAC"/>
    <w:rsid w:val="00DA1F0E"/>
    <w:rsid w:val="00DA322B"/>
    <w:rsid w:val="00DA32FC"/>
    <w:rsid w:val="00DA33FA"/>
    <w:rsid w:val="00DA432C"/>
    <w:rsid w:val="00DA556F"/>
    <w:rsid w:val="00DA55F8"/>
    <w:rsid w:val="00DA5898"/>
    <w:rsid w:val="00DA5B0B"/>
    <w:rsid w:val="00DA7CF8"/>
    <w:rsid w:val="00DA7FE2"/>
    <w:rsid w:val="00DB0A41"/>
    <w:rsid w:val="00DB0F71"/>
    <w:rsid w:val="00DB13E4"/>
    <w:rsid w:val="00DB16A2"/>
    <w:rsid w:val="00DB2351"/>
    <w:rsid w:val="00DB2646"/>
    <w:rsid w:val="00DB3894"/>
    <w:rsid w:val="00DB3A0B"/>
    <w:rsid w:val="00DB3B77"/>
    <w:rsid w:val="00DB3E39"/>
    <w:rsid w:val="00DB4C26"/>
    <w:rsid w:val="00DB7AD3"/>
    <w:rsid w:val="00DB7CFF"/>
    <w:rsid w:val="00DB7E20"/>
    <w:rsid w:val="00DC1037"/>
    <w:rsid w:val="00DC1372"/>
    <w:rsid w:val="00DC13DC"/>
    <w:rsid w:val="00DC186D"/>
    <w:rsid w:val="00DC1CCD"/>
    <w:rsid w:val="00DC1E0D"/>
    <w:rsid w:val="00DC321B"/>
    <w:rsid w:val="00DC34D0"/>
    <w:rsid w:val="00DC3E3C"/>
    <w:rsid w:val="00DC41FC"/>
    <w:rsid w:val="00DC4462"/>
    <w:rsid w:val="00DC45AD"/>
    <w:rsid w:val="00DC47E3"/>
    <w:rsid w:val="00DC48AE"/>
    <w:rsid w:val="00DC4CD4"/>
    <w:rsid w:val="00DC4E2E"/>
    <w:rsid w:val="00DC4E9A"/>
    <w:rsid w:val="00DC5D66"/>
    <w:rsid w:val="00DC6C2C"/>
    <w:rsid w:val="00DC7052"/>
    <w:rsid w:val="00DC7E32"/>
    <w:rsid w:val="00DD04B7"/>
    <w:rsid w:val="00DD2A50"/>
    <w:rsid w:val="00DD3319"/>
    <w:rsid w:val="00DD430A"/>
    <w:rsid w:val="00DD46C8"/>
    <w:rsid w:val="00DD5083"/>
    <w:rsid w:val="00DD5881"/>
    <w:rsid w:val="00DD6CF2"/>
    <w:rsid w:val="00DD7E4E"/>
    <w:rsid w:val="00DE0277"/>
    <w:rsid w:val="00DE0DD5"/>
    <w:rsid w:val="00DE10CB"/>
    <w:rsid w:val="00DE13C9"/>
    <w:rsid w:val="00DE2201"/>
    <w:rsid w:val="00DE224C"/>
    <w:rsid w:val="00DE3369"/>
    <w:rsid w:val="00DE3454"/>
    <w:rsid w:val="00DE34E4"/>
    <w:rsid w:val="00DE38B6"/>
    <w:rsid w:val="00DE3AD3"/>
    <w:rsid w:val="00DE3D30"/>
    <w:rsid w:val="00DE3F78"/>
    <w:rsid w:val="00DE4A8B"/>
    <w:rsid w:val="00DE4D5B"/>
    <w:rsid w:val="00DE5238"/>
    <w:rsid w:val="00DE5293"/>
    <w:rsid w:val="00DE7019"/>
    <w:rsid w:val="00DE773B"/>
    <w:rsid w:val="00DE78CB"/>
    <w:rsid w:val="00DF0C54"/>
    <w:rsid w:val="00DF1056"/>
    <w:rsid w:val="00DF10A4"/>
    <w:rsid w:val="00DF11BB"/>
    <w:rsid w:val="00DF1343"/>
    <w:rsid w:val="00DF1DE4"/>
    <w:rsid w:val="00DF208B"/>
    <w:rsid w:val="00DF2C5C"/>
    <w:rsid w:val="00DF4572"/>
    <w:rsid w:val="00DF591E"/>
    <w:rsid w:val="00DF5B67"/>
    <w:rsid w:val="00DF60BC"/>
    <w:rsid w:val="00DF614A"/>
    <w:rsid w:val="00DF6F83"/>
    <w:rsid w:val="00DF7D60"/>
    <w:rsid w:val="00E01DF7"/>
    <w:rsid w:val="00E01E79"/>
    <w:rsid w:val="00E01FFF"/>
    <w:rsid w:val="00E0204C"/>
    <w:rsid w:val="00E022D7"/>
    <w:rsid w:val="00E03A22"/>
    <w:rsid w:val="00E04150"/>
    <w:rsid w:val="00E04752"/>
    <w:rsid w:val="00E04926"/>
    <w:rsid w:val="00E04A3E"/>
    <w:rsid w:val="00E053AE"/>
    <w:rsid w:val="00E0590D"/>
    <w:rsid w:val="00E06493"/>
    <w:rsid w:val="00E06745"/>
    <w:rsid w:val="00E0691B"/>
    <w:rsid w:val="00E074F0"/>
    <w:rsid w:val="00E07634"/>
    <w:rsid w:val="00E0789E"/>
    <w:rsid w:val="00E07B2F"/>
    <w:rsid w:val="00E07FFD"/>
    <w:rsid w:val="00E10D7F"/>
    <w:rsid w:val="00E10EA4"/>
    <w:rsid w:val="00E10EB5"/>
    <w:rsid w:val="00E10F88"/>
    <w:rsid w:val="00E11E8B"/>
    <w:rsid w:val="00E12519"/>
    <w:rsid w:val="00E130E0"/>
    <w:rsid w:val="00E138DB"/>
    <w:rsid w:val="00E13C60"/>
    <w:rsid w:val="00E13EF4"/>
    <w:rsid w:val="00E14205"/>
    <w:rsid w:val="00E14CF1"/>
    <w:rsid w:val="00E14E04"/>
    <w:rsid w:val="00E16401"/>
    <w:rsid w:val="00E16CAB"/>
    <w:rsid w:val="00E177A0"/>
    <w:rsid w:val="00E17DA5"/>
    <w:rsid w:val="00E20852"/>
    <w:rsid w:val="00E2088B"/>
    <w:rsid w:val="00E21156"/>
    <w:rsid w:val="00E213DA"/>
    <w:rsid w:val="00E21533"/>
    <w:rsid w:val="00E21675"/>
    <w:rsid w:val="00E216D0"/>
    <w:rsid w:val="00E21F6A"/>
    <w:rsid w:val="00E23955"/>
    <w:rsid w:val="00E23BCA"/>
    <w:rsid w:val="00E23F15"/>
    <w:rsid w:val="00E249F3"/>
    <w:rsid w:val="00E24E2B"/>
    <w:rsid w:val="00E25339"/>
    <w:rsid w:val="00E25833"/>
    <w:rsid w:val="00E25B9B"/>
    <w:rsid w:val="00E25C4D"/>
    <w:rsid w:val="00E25CA1"/>
    <w:rsid w:val="00E267CE"/>
    <w:rsid w:val="00E26817"/>
    <w:rsid w:val="00E27BE9"/>
    <w:rsid w:val="00E27D53"/>
    <w:rsid w:val="00E27DBD"/>
    <w:rsid w:val="00E3087F"/>
    <w:rsid w:val="00E30A0D"/>
    <w:rsid w:val="00E30AA8"/>
    <w:rsid w:val="00E31247"/>
    <w:rsid w:val="00E32342"/>
    <w:rsid w:val="00E336BB"/>
    <w:rsid w:val="00E3397C"/>
    <w:rsid w:val="00E33B07"/>
    <w:rsid w:val="00E33BB0"/>
    <w:rsid w:val="00E33BB3"/>
    <w:rsid w:val="00E33F98"/>
    <w:rsid w:val="00E33FAF"/>
    <w:rsid w:val="00E3501B"/>
    <w:rsid w:val="00E3547F"/>
    <w:rsid w:val="00E35775"/>
    <w:rsid w:val="00E35D4C"/>
    <w:rsid w:val="00E363F8"/>
    <w:rsid w:val="00E369B8"/>
    <w:rsid w:val="00E37146"/>
    <w:rsid w:val="00E37807"/>
    <w:rsid w:val="00E37A66"/>
    <w:rsid w:val="00E41665"/>
    <w:rsid w:val="00E42227"/>
    <w:rsid w:val="00E424C9"/>
    <w:rsid w:val="00E42A97"/>
    <w:rsid w:val="00E42B2D"/>
    <w:rsid w:val="00E438B0"/>
    <w:rsid w:val="00E43E50"/>
    <w:rsid w:val="00E446AA"/>
    <w:rsid w:val="00E446B4"/>
    <w:rsid w:val="00E447D8"/>
    <w:rsid w:val="00E4503E"/>
    <w:rsid w:val="00E4550D"/>
    <w:rsid w:val="00E45755"/>
    <w:rsid w:val="00E45ADD"/>
    <w:rsid w:val="00E45F57"/>
    <w:rsid w:val="00E464DF"/>
    <w:rsid w:val="00E466FC"/>
    <w:rsid w:val="00E472A8"/>
    <w:rsid w:val="00E47ECA"/>
    <w:rsid w:val="00E5000D"/>
    <w:rsid w:val="00E504AD"/>
    <w:rsid w:val="00E507D1"/>
    <w:rsid w:val="00E50B1C"/>
    <w:rsid w:val="00E50E29"/>
    <w:rsid w:val="00E51015"/>
    <w:rsid w:val="00E5144F"/>
    <w:rsid w:val="00E515C7"/>
    <w:rsid w:val="00E51A96"/>
    <w:rsid w:val="00E52A83"/>
    <w:rsid w:val="00E52CE8"/>
    <w:rsid w:val="00E531EB"/>
    <w:rsid w:val="00E535DF"/>
    <w:rsid w:val="00E53FB2"/>
    <w:rsid w:val="00E5529B"/>
    <w:rsid w:val="00E5571B"/>
    <w:rsid w:val="00E55AD4"/>
    <w:rsid w:val="00E5704C"/>
    <w:rsid w:val="00E5724A"/>
    <w:rsid w:val="00E57D2A"/>
    <w:rsid w:val="00E600A5"/>
    <w:rsid w:val="00E60BF7"/>
    <w:rsid w:val="00E61A39"/>
    <w:rsid w:val="00E61BBA"/>
    <w:rsid w:val="00E61BBC"/>
    <w:rsid w:val="00E62435"/>
    <w:rsid w:val="00E62519"/>
    <w:rsid w:val="00E62FE6"/>
    <w:rsid w:val="00E6322B"/>
    <w:rsid w:val="00E6329E"/>
    <w:rsid w:val="00E63C89"/>
    <w:rsid w:val="00E6492A"/>
    <w:rsid w:val="00E65980"/>
    <w:rsid w:val="00E66EA9"/>
    <w:rsid w:val="00E6777A"/>
    <w:rsid w:val="00E677BE"/>
    <w:rsid w:val="00E67E88"/>
    <w:rsid w:val="00E67EFD"/>
    <w:rsid w:val="00E7026F"/>
    <w:rsid w:val="00E7052A"/>
    <w:rsid w:val="00E70CB5"/>
    <w:rsid w:val="00E71586"/>
    <w:rsid w:val="00E71FAB"/>
    <w:rsid w:val="00E72056"/>
    <w:rsid w:val="00E7242C"/>
    <w:rsid w:val="00E729BB"/>
    <w:rsid w:val="00E72F07"/>
    <w:rsid w:val="00E73288"/>
    <w:rsid w:val="00E75135"/>
    <w:rsid w:val="00E756DF"/>
    <w:rsid w:val="00E7641E"/>
    <w:rsid w:val="00E76712"/>
    <w:rsid w:val="00E76CA3"/>
    <w:rsid w:val="00E801C4"/>
    <w:rsid w:val="00E8039D"/>
    <w:rsid w:val="00E8148D"/>
    <w:rsid w:val="00E81518"/>
    <w:rsid w:val="00E81F46"/>
    <w:rsid w:val="00E824B1"/>
    <w:rsid w:val="00E826C6"/>
    <w:rsid w:val="00E83CF5"/>
    <w:rsid w:val="00E83E8D"/>
    <w:rsid w:val="00E8412A"/>
    <w:rsid w:val="00E853CD"/>
    <w:rsid w:val="00E856C3"/>
    <w:rsid w:val="00E85970"/>
    <w:rsid w:val="00E8695D"/>
    <w:rsid w:val="00E86E87"/>
    <w:rsid w:val="00E87129"/>
    <w:rsid w:val="00E87449"/>
    <w:rsid w:val="00E87604"/>
    <w:rsid w:val="00E9037C"/>
    <w:rsid w:val="00E90458"/>
    <w:rsid w:val="00E91199"/>
    <w:rsid w:val="00E9139E"/>
    <w:rsid w:val="00E9288B"/>
    <w:rsid w:val="00E92F39"/>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3F"/>
    <w:rsid w:val="00EA5900"/>
    <w:rsid w:val="00EA5B72"/>
    <w:rsid w:val="00EA5F06"/>
    <w:rsid w:val="00EA60D6"/>
    <w:rsid w:val="00EA6405"/>
    <w:rsid w:val="00EA6992"/>
    <w:rsid w:val="00EA6DC7"/>
    <w:rsid w:val="00EA7A20"/>
    <w:rsid w:val="00EA7CFD"/>
    <w:rsid w:val="00EA7F8B"/>
    <w:rsid w:val="00EB043F"/>
    <w:rsid w:val="00EB2C18"/>
    <w:rsid w:val="00EB2C22"/>
    <w:rsid w:val="00EB2C92"/>
    <w:rsid w:val="00EB3B19"/>
    <w:rsid w:val="00EB41B5"/>
    <w:rsid w:val="00EB441F"/>
    <w:rsid w:val="00EB484C"/>
    <w:rsid w:val="00EB4B12"/>
    <w:rsid w:val="00EB4C30"/>
    <w:rsid w:val="00EB4FA9"/>
    <w:rsid w:val="00EB5792"/>
    <w:rsid w:val="00EB5ECF"/>
    <w:rsid w:val="00EB6036"/>
    <w:rsid w:val="00EB66BC"/>
    <w:rsid w:val="00EB6F5F"/>
    <w:rsid w:val="00EB70CC"/>
    <w:rsid w:val="00EB7665"/>
    <w:rsid w:val="00EC08BE"/>
    <w:rsid w:val="00EC0D88"/>
    <w:rsid w:val="00EC0E99"/>
    <w:rsid w:val="00EC1905"/>
    <w:rsid w:val="00EC2110"/>
    <w:rsid w:val="00EC2AE8"/>
    <w:rsid w:val="00EC2BF7"/>
    <w:rsid w:val="00EC2C46"/>
    <w:rsid w:val="00EC307B"/>
    <w:rsid w:val="00EC3389"/>
    <w:rsid w:val="00EC34D2"/>
    <w:rsid w:val="00EC381B"/>
    <w:rsid w:val="00EC48D8"/>
    <w:rsid w:val="00EC49D0"/>
    <w:rsid w:val="00EC50A6"/>
    <w:rsid w:val="00EC52F3"/>
    <w:rsid w:val="00EC6135"/>
    <w:rsid w:val="00EC6149"/>
    <w:rsid w:val="00EC6750"/>
    <w:rsid w:val="00EC727A"/>
    <w:rsid w:val="00EC75C9"/>
    <w:rsid w:val="00EC7857"/>
    <w:rsid w:val="00EC7A06"/>
    <w:rsid w:val="00ED0EDA"/>
    <w:rsid w:val="00ED1155"/>
    <w:rsid w:val="00ED1706"/>
    <w:rsid w:val="00ED2528"/>
    <w:rsid w:val="00ED25D4"/>
    <w:rsid w:val="00ED26F0"/>
    <w:rsid w:val="00ED2769"/>
    <w:rsid w:val="00ED2839"/>
    <w:rsid w:val="00ED29DB"/>
    <w:rsid w:val="00ED35AC"/>
    <w:rsid w:val="00ED3634"/>
    <w:rsid w:val="00ED4223"/>
    <w:rsid w:val="00ED65F5"/>
    <w:rsid w:val="00ED6676"/>
    <w:rsid w:val="00ED674B"/>
    <w:rsid w:val="00ED67A7"/>
    <w:rsid w:val="00ED6E72"/>
    <w:rsid w:val="00ED7B55"/>
    <w:rsid w:val="00EE05A5"/>
    <w:rsid w:val="00EE0620"/>
    <w:rsid w:val="00EE0952"/>
    <w:rsid w:val="00EE09A4"/>
    <w:rsid w:val="00EE0DBA"/>
    <w:rsid w:val="00EE1991"/>
    <w:rsid w:val="00EE1D70"/>
    <w:rsid w:val="00EE242A"/>
    <w:rsid w:val="00EE2537"/>
    <w:rsid w:val="00EE26AD"/>
    <w:rsid w:val="00EE26C3"/>
    <w:rsid w:val="00EE289E"/>
    <w:rsid w:val="00EE33D5"/>
    <w:rsid w:val="00EE41D2"/>
    <w:rsid w:val="00EE43AE"/>
    <w:rsid w:val="00EE4CFD"/>
    <w:rsid w:val="00EE4DBF"/>
    <w:rsid w:val="00EE520C"/>
    <w:rsid w:val="00EE5485"/>
    <w:rsid w:val="00EE5E9B"/>
    <w:rsid w:val="00EE66CF"/>
    <w:rsid w:val="00EE6D73"/>
    <w:rsid w:val="00EE72F8"/>
    <w:rsid w:val="00EE76E7"/>
    <w:rsid w:val="00EE7D19"/>
    <w:rsid w:val="00EF1B56"/>
    <w:rsid w:val="00EF1EB3"/>
    <w:rsid w:val="00EF2305"/>
    <w:rsid w:val="00EF2B75"/>
    <w:rsid w:val="00EF3FB5"/>
    <w:rsid w:val="00EF4193"/>
    <w:rsid w:val="00EF4199"/>
    <w:rsid w:val="00EF4CAC"/>
    <w:rsid w:val="00EF4DB0"/>
    <w:rsid w:val="00EF61E2"/>
    <w:rsid w:val="00EF6B09"/>
    <w:rsid w:val="00EF70DC"/>
    <w:rsid w:val="00EF723F"/>
    <w:rsid w:val="00EF7346"/>
    <w:rsid w:val="00EF7991"/>
    <w:rsid w:val="00F004F2"/>
    <w:rsid w:val="00F00C41"/>
    <w:rsid w:val="00F00EE5"/>
    <w:rsid w:val="00F0146A"/>
    <w:rsid w:val="00F01AFA"/>
    <w:rsid w:val="00F01BDF"/>
    <w:rsid w:val="00F01BE0"/>
    <w:rsid w:val="00F02014"/>
    <w:rsid w:val="00F02255"/>
    <w:rsid w:val="00F023F4"/>
    <w:rsid w:val="00F025B9"/>
    <w:rsid w:val="00F02E4E"/>
    <w:rsid w:val="00F02F2F"/>
    <w:rsid w:val="00F03134"/>
    <w:rsid w:val="00F03EF8"/>
    <w:rsid w:val="00F03F47"/>
    <w:rsid w:val="00F040A5"/>
    <w:rsid w:val="00F0447C"/>
    <w:rsid w:val="00F04595"/>
    <w:rsid w:val="00F045BC"/>
    <w:rsid w:val="00F04663"/>
    <w:rsid w:val="00F04C4C"/>
    <w:rsid w:val="00F0552B"/>
    <w:rsid w:val="00F055A3"/>
    <w:rsid w:val="00F05608"/>
    <w:rsid w:val="00F05EE2"/>
    <w:rsid w:val="00F06439"/>
    <w:rsid w:val="00F07DA8"/>
    <w:rsid w:val="00F10565"/>
    <w:rsid w:val="00F10DB3"/>
    <w:rsid w:val="00F1101C"/>
    <w:rsid w:val="00F11849"/>
    <w:rsid w:val="00F11E91"/>
    <w:rsid w:val="00F1268C"/>
    <w:rsid w:val="00F1398A"/>
    <w:rsid w:val="00F14789"/>
    <w:rsid w:val="00F14830"/>
    <w:rsid w:val="00F15789"/>
    <w:rsid w:val="00F165B2"/>
    <w:rsid w:val="00F168F6"/>
    <w:rsid w:val="00F16D33"/>
    <w:rsid w:val="00F16E3A"/>
    <w:rsid w:val="00F203DB"/>
    <w:rsid w:val="00F20BA3"/>
    <w:rsid w:val="00F20BBA"/>
    <w:rsid w:val="00F20FA6"/>
    <w:rsid w:val="00F211F2"/>
    <w:rsid w:val="00F21A82"/>
    <w:rsid w:val="00F21AC4"/>
    <w:rsid w:val="00F22062"/>
    <w:rsid w:val="00F221E6"/>
    <w:rsid w:val="00F2265B"/>
    <w:rsid w:val="00F22ECE"/>
    <w:rsid w:val="00F22EE6"/>
    <w:rsid w:val="00F23697"/>
    <w:rsid w:val="00F2413F"/>
    <w:rsid w:val="00F24761"/>
    <w:rsid w:val="00F24ED6"/>
    <w:rsid w:val="00F24FAA"/>
    <w:rsid w:val="00F2519F"/>
    <w:rsid w:val="00F25353"/>
    <w:rsid w:val="00F255C6"/>
    <w:rsid w:val="00F2599F"/>
    <w:rsid w:val="00F25AC3"/>
    <w:rsid w:val="00F27153"/>
    <w:rsid w:val="00F27B63"/>
    <w:rsid w:val="00F27CE9"/>
    <w:rsid w:val="00F317CF"/>
    <w:rsid w:val="00F31C25"/>
    <w:rsid w:val="00F31DA7"/>
    <w:rsid w:val="00F31F35"/>
    <w:rsid w:val="00F31FF5"/>
    <w:rsid w:val="00F32365"/>
    <w:rsid w:val="00F342EA"/>
    <w:rsid w:val="00F34AF5"/>
    <w:rsid w:val="00F35BF5"/>
    <w:rsid w:val="00F35ED4"/>
    <w:rsid w:val="00F36064"/>
    <w:rsid w:val="00F368A4"/>
    <w:rsid w:val="00F369F7"/>
    <w:rsid w:val="00F36CAF"/>
    <w:rsid w:val="00F36CB0"/>
    <w:rsid w:val="00F37437"/>
    <w:rsid w:val="00F37B0F"/>
    <w:rsid w:val="00F4005A"/>
    <w:rsid w:val="00F4039A"/>
    <w:rsid w:val="00F40E13"/>
    <w:rsid w:val="00F40E83"/>
    <w:rsid w:val="00F4102B"/>
    <w:rsid w:val="00F41688"/>
    <w:rsid w:val="00F42033"/>
    <w:rsid w:val="00F43371"/>
    <w:rsid w:val="00F4372E"/>
    <w:rsid w:val="00F442BA"/>
    <w:rsid w:val="00F44374"/>
    <w:rsid w:val="00F445C9"/>
    <w:rsid w:val="00F44A1C"/>
    <w:rsid w:val="00F4529B"/>
    <w:rsid w:val="00F45347"/>
    <w:rsid w:val="00F46586"/>
    <w:rsid w:val="00F46C65"/>
    <w:rsid w:val="00F47562"/>
    <w:rsid w:val="00F47DDE"/>
    <w:rsid w:val="00F47EE5"/>
    <w:rsid w:val="00F509A4"/>
    <w:rsid w:val="00F51491"/>
    <w:rsid w:val="00F51B8E"/>
    <w:rsid w:val="00F51C90"/>
    <w:rsid w:val="00F5220C"/>
    <w:rsid w:val="00F52BE6"/>
    <w:rsid w:val="00F53995"/>
    <w:rsid w:val="00F53A2C"/>
    <w:rsid w:val="00F546AE"/>
    <w:rsid w:val="00F5557B"/>
    <w:rsid w:val="00F555BE"/>
    <w:rsid w:val="00F55A27"/>
    <w:rsid w:val="00F55B1F"/>
    <w:rsid w:val="00F560F2"/>
    <w:rsid w:val="00F567F4"/>
    <w:rsid w:val="00F57FA0"/>
    <w:rsid w:val="00F6045A"/>
    <w:rsid w:val="00F60804"/>
    <w:rsid w:val="00F60C31"/>
    <w:rsid w:val="00F60F89"/>
    <w:rsid w:val="00F61531"/>
    <w:rsid w:val="00F636D2"/>
    <w:rsid w:val="00F644C2"/>
    <w:rsid w:val="00F645F5"/>
    <w:rsid w:val="00F648D6"/>
    <w:rsid w:val="00F64B26"/>
    <w:rsid w:val="00F66213"/>
    <w:rsid w:val="00F669C8"/>
    <w:rsid w:val="00F66E51"/>
    <w:rsid w:val="00F66EF3"/>
    <w:rsid w:val="00F66F44"/>
    <w:rsid w:val="00F671BB"/>
    <w:rsid w:val="00F671BD"/>
    <w:rsid w:val="00F701BB"/>
    <w:rsid w:val="00F70954"/>
    <w:rsid w:val="00F70F73"/>
    <w:rsid w:val="00F71B31"/>
    <w:rsid w:val="00F72258"/>
    <w:rsid w:val="00F739E4"/>
    <w:rsid w:val="00F75882"/>
    <w:rsid w:val="00F7665C"/>
    <w:rsid w:val="00F76A03"/>
    <w:rsid w:val="00F76C5B"/>
    <w:rsid w:val="00F8053A"/>
    <w:rsid w:val="00F807EA"/>
    <w:rsid w:val="00F8093B"/>
    <w:rsid w:val="00F80E32"/>
    <w:rsid w:val="00F81C6F"/>
    <w:rsid w:val="00F82F0A"/>
    <w:rsid w:val="00F8356F"/>
    <w:rsid w:val="00F83AC0"/>
    <w:rsid w:val="00F83AF7"/>
    <w:rsid w:val="00F846B8"/>
    <w:rsid w:val="00F84882"/>
    <w:rsid w:val="00F84A87"/>
    <w:rsid w:val="00F84F60"/>
    <w:rsid w:val="00F8532C"/>
    <w:rsid w:val="00F8649E"/>
    <w:rsid w:val="00F865DE"/>
    <w:rsid w:val="00F86939"/>
    <w:rsid w:val="00F86985"/>
    <w:rsid w:val="00F86CD5"/>
    <w:rsid w:val="00F87807"/>
    <w:rsid w:val="00F87CF3"/>
    <w:rsid w:val="00F9042E"/>
    <w:rsid w:val="00F90464"/>
    <w:rsid w:val="00F90ED0"/>
    <w:rsid w:val="00F9140D"/>
    <w:rsid w:val="00F91A03"/>
    <w:rsid w:val="00F91A66"/>
    <w:rsid w:val="00F91D52"/>
    <w:rsid w:val="00F92818"/>
    <w:rsid w:val="00F92828"/>
    <w:rsid w:val="00F929BA"/>
    <w:rsid w:val="00F92A92"/>
    <w:rsid w:val="00F92AF5"/>
    <w:rsid w:val="00F92CE8"/>
    <w:rsid w:val="00F93B1D"/>
    <w:rsid w:val="00F93EA8"/>
    <w:rsid w:val="00F94030"/>
    <w:rsid w:val="00F940AD"/>
    <w:rsid w:val="00F94907"/>
    <w:rsid w:val="00F9499F"/>
    <w:rsid w:val="00F94E8C"/>
    <w:rsid w:val="00F967B0"/>
    <w:rsid w:val="00F96A33"/>
    <w:rsid w:val="00F97221"/>
    <w:rsid w:val="00F975B0"/>
    <w:rsid w:val="00F97F31"/>
    <w:rsid w:val="00FA055D"/>
    <w:rsid w:val="00FA089C"/>
    <w:rsid w:val="00FA1702"/>
    <w:rsid w:val="00FA1820"/>
    <w:rsid w:val="00FA198B"/>
    <w:rsid w:val="00FA35D2"/>
    <w:rsid w:val="00FA3BF1"/>
    <w:rsid w:val="00FA647D"/>
    <w:rsid w:val="00FA722B"/>
    <w:rsid w:val="00FA7360"/>
    <w:rsid w:val="00FA738F"/>
    <w:rsid w:val="00FA73A5"/>
    <w:rsid w:val="00FB0194"/>
    <w:rsid w:val="00FB027D"/>
    <w:rsid w:val="00FB04CC"/>
    <w:rsid w:val="00FB2364"/>
    <w:rsid w:val="00FB28D0"/>
    <w:rsid w:val="00FB2D63"/>
    <w:rsid w:val="00FB2F1C"/>
    <w:rsid w:val="00FB3053"/>
    <w:rsid w:val="00FB372E"/>
    <w:rsid w:val="00FB3BA3"/>
    <w:rsid w:val="00FB3FC2"/>
    <w:rsid w:val="00FB4099"/>
    <w:rsid w:val="00FB4520"/>
    <w:rsid w:val="00FB475C"/>
    <w:rsid w:val="00FB4CAC"/>
    <w:rsid w:val="00FB4CCC"/>
    <w:rsid w:val="00FB4FCD"/>
    <w:rsid w:val="00FB574A"/>
    <w:rsid w:val="00FB6031"/>
    <w:rsid w:val="00FB628B"/>
    <w:rsid w:val="00FB6BE4"/>
    <w:rsid w:val="00FB6F32"/>
    <w:rsid w:val="00FB784A"/>
    <w:rsid w:val="00FC1E0D"/>
    <w:rsid w:val="00FC24BB"/>
    <w:rsid w:val="00FC2575"/>
    <w:rsid w:val="00FC416C"/>
    <w:rsid w:val="00FC5508"/>
    <w:rsid w:val="00FC5BF0"/>
    <w:rsid w:val="00FC5DD8"/>
    <w:rsid w:val="00FC6030"/>
    <w:rsid w:val="00FC61FF"/>
    <w:rsid w:val="00FC6260"/>
    <w:rsid w:val="00FC67A2"/>
    <w:rsid w:val="00FC6B68"/>
    <w:rsid w:val="00FC7AFA"/>
    <w:rsid w:val="00FD00EC"/>
    <w:rsid w:val="00FD03F8"/>
    <w:rsid w:val="00FD049B"/>
    <w:rsid w:val="00FD156F"/>
    <w:rsid w:val="00FD1DB9"/>
    <w:rsid w:val="00FD2793"/>
    <w:rsid w:val="00FD2E38"/>
    <w:rsid w:val="00FD3534"/>
    <w:rsid w:val="00FD3E37"/>
    <w:rsid w:val="00FD42D6"/>
    <w:rsid w:val="00FD4842"/>
    <w:rsid w:val="00FD49E4"/>
    <w:rsid w:val="00FD4E81"/>
    <w:rsid w:val="00FD53C3"/>
    <w:rsid w:val="00FD5BFC"/>
    <w:rsid w:val="00FD5CCF"/>
    <w:rsid w:val="00FD62AD"/>
    <w:rsid w:val="00FD64FD"/>
    <w:rsid w:val="00FD6A78"/>
    <w:rsid w:val="00FD7BD2"/>
    <w:rsid w:val="00FE00D5"/>
    <w:rsid w:val="00FE17DC"/>
    <w:rsid w:val="00FE2820"/>
    <w:rsid w:val="00FE340F"/>
    <w:rsid w:val="00FE3695"/>
    <w:rsid w:val="00FE37B9"/>
    <w:rsid w:val="00FE41E3"/>
    <w:rsid w:val="00FE4404"/>
    <w:rsid w:val="00FE4447"/>
    <w:rsid w:val="00FE4F1A"/>
    <w:rsid w:val="00FE51D1"/>
    <w:rsid w:val="00FE5640"/>
    <w:rsid w:val="00FE5658"/>
    <w:rsid w:val="00FE60A8"/>
    <w:rsid w:val="00FE79FB"/>
    <w:rsid w:val="00FE7B1A"/>
    <w:rsid w:val="00FE7F62"/>
    <w:rsid w:val="00FE7FA1"/>
    <w:rsid w:val="00FF0804"/>
    <w:rsid w:val="00FF0B5A"/>
    <w:rsid w:val="00FF18DE"/>
    <w:rsid w:val="00FF1E54"/>
    <w:rsid w:val="00FF278C"/>
    <w:rsid w:val="00FF31CE"/>
    <w:rsid w:val="00FF3215"/>
    <w:rsid w:val="00FF3EDE"/>
    <w:rsid w:val="00FF546F"/>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A8B3D829-A12F-4EAF-91E3-F513FC6E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 w:type="character" w:customStyle="1" w:styleId="UnresolvedMention">
    <w:name w:val="Unresolved Mention"/>
    <w:basedOn w:val="DefaultParagraphFont"/>
    <w:uiPriority w:val="99"/>
    <w:semiHidden/>
    <w:unhideWhenUsed/>
    <w:rsid w:val="00F83AC0"/>
    <w:rPr>
      <w:color w:val="605E5C"/>
      <w:shd w:val="clear" w:color="auto" w:fill="E1DFDD"/>
    </w:rPr>
  </w:style>
  <w:style w:type="numbering" w:customStyle="1" w:styleId="CurrentList1">
    <w:name w:val="Current List1"/>
    <w:uiPriority w:val="99"/>
    <w:rsid w:val="0047413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13">
      <w:bodyDiv w:val="1"/>
      <w:marLeft w:val="0"/>
      <w:marRight w:val="0"/>
      <w:marTop w:val="0"/>
      <w:marBottom w:val="0"/>
      <w:divBdr>
        <w:top w:val="none" w:sz="0" w:space="0" w:color="auto"/>
        <w:left w:val="none" w:sz="0" w:space="0" w:color="auto"/>
        <w:bottom w:val="none" w:sz="0" w:space="0" w:color="auto"/>
        <w:right w:val="none" w:sz="0" w:space="0" w:color="auto"/>
      </w:divBdr>
    </w:div>
    <w:div w:id="8945649">
      <w:bodyDiv w:val="1"/>
      <w:marLeft w:val="0"/>
      <w:marRight w:val="0"/>
      <w:marTop w:val="0"/>
      <w:marBottom w:val="0"/>
      <w:divBdr>
        <w:top w:val="none" w:sz="0" w:space="0" w:color="auto"/>
        <w:left w:val="none" w:sz="0" w:space="0" w:color="auto"/>
        <w:bottom w:val="none" w:sz="0" w:space="0" w:color="auto"/>
        <w:right w:val="none" w:sz="0" w:space="0" w:color="auto"/>
      </w:divBdr>
    </w:div>
    <w:div w:id="18285333">
      <w:bodyDiv w:val="1"/>
      <w:marLeft w:val="0"/>
      <w:marRight w:val="0"/>
      <w:marTop w:val="0"/>
      <w:marBottom w:val="0"/>
      <w:divBdr>
        <w:top w:val="none" w:sz="0" w:space="0" w:color="auto"/>
        <w:left w:val="none" w:sz="0" w:space="0" w:color="auto"/>
        <w:bottom w:val="none" w:sz="0" w:space="0" w:color="auto"/>
        <w:right w:val="none" w:sz="0" w:space="0" w:color="auto"/>
      </w:divBdr>
    </w:div>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98566177">
      <w:bodyDiv w:val="1"/>
      <w:marLeft w:val="0"/>
      <w:marRight w:val="0"/>
      <w:marTop w:val="0"/>
      <w:marBottom w:val="0"/>
      <w:divBdr>
        <w:top w:val="none" w:sz="0" w:space="0" w:color="auto"/>
        <w:left w:val="none" w:sz="0" w:space="0" w:color="auto"/>
        <w:bottom w:val="none" w:sz="0" w:space="0" w:color="auto"/>
        <w:right w:val="none" w:sz="0" w:space="0" w:color="auto"/>
      </w:divBdr>
    </w:div>
    <w:div w:id="103578740">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19694131">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55017538">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80709612">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558057">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51300314">
      <w:bodyDiv w:val="1"/>
      <w:marLeft w:val="0"/>
      <w:marRight w:val="0"/>
      <w:marTop w:val="0"/>
      <w:marBottom w:val="0"/>
      <w:divBdr>
        <w:top w:val="none" w:sz="0" w:space="0" w:color="auto"/>
        <w:left w:val="none" w:sz="0" w:space="0" w:color="auto"/>
        <w:bottom w:val="none" w:sz="0" w:space="0" w:color="auto"/>
        <w:right w:val="none" w:sz="0" w:space="0" w:color="auto"/>
      </w:divBdr>
    </w:div>
    <w:div w:id="657078904">
      <w:bodyDiv w:val="1"/>
      <w:marLeft w:val="0"/>
      <w:marRight w:val="0"/>
      <w:marTop w:val="0"/>
      <w:marBottom w:val="0"/>
      <w:divBdr>
        <w:top w:val="none" w:sz="0" w:space="0" w:color="auto"/>
        <w:left w:val="none" w:sz="0" w:space="0" w:color="auto"/>
        <w:bottom w:val="none" w:sz="0" w:space="0" w:color="auto"/>
        <w:right w:val="none" w:sz="0" w:space="0" w:color="auto"/>
      </w:divBdr>
      <w:divsChild>
        <w:div w:id="395205736">
          <w:marLeft w:val="0"/>
          <w:marRight w:val="0"/>
          <w:marTop w:val="0"/>
          <w:marBottom w:val="0"/>
          <w:divBdr>
            <w:top w:val="none" w:sz="0" w:space="0" w:color="auto"/>
            <w:left w:val="none" w:sz="0" w:space="0" w:color="auto"/>
            <w:bottom w:val="none" w:sz="0" w:space="0" w:color="auto"/>
            <w:right w:val="none" w:sz="0" w:space="0" w:color="auto"/>
          </w:divBdr>
        </w:div>
        <w:div w:id="543517928">
          <w:marLeft w:val="0"/>
          <w:marRight w:val="0"/>
          <w:marTop w:val="0"/>
          <w:marBottom w:val="0"/>
          <w:divBdr>
            <w:top w:val="none" w:sz="0" w:space="0" w:color="auto"/>
            <w:left w:val="none" w:sz="0" w:space="0" w:color="auto"/>
            <w:bottom w:val="none" w:sz="0" w:space="0" w:color="auto"/>
            <w:right w:val="none" w:sz="0" w:space="0" w:color="auto"/>
          </w:divBdr>
        </w:div>
        <w:div w:id="552543655">
          <w:marLeft w:val="0"/>
          <w:marRight w:val="0"/>
          <w:marTop w:val="0"/>
          <w:marBottom w:val="0"/>
          <w:divBdr>
            <w:top w:val="none" w:sz="0" w:space="0" w:color="auto"/>
            <w:left w:val="none" w:sz="0" w:space="0" w:color="auto"/>
            <w:bottom w:val="none" w:sz="0" w:space="0" w:color="auto"/>
            <w:right w:val="none" w:sz="0" w:space="0" w:color="auto"/>
          </w:divBdr>
        </w:div>
        <w:div w:id="690490795">
          <w:marLeft w:val="0"/>
          <w:marRight w:val="0"/>
          <w:marTop w:val="0"/>
          <w:marBottom w:val="0"/>
          <w:divBdr>
            <w:top w:val="none" w:sz="0" w:space="0" w:color="auto"/>
            <w:left w:val="none" w:sz="0" w:space="0" w:color="auto"/>
            <w:bottom w:val="none" w:sz="0" w:space="0" w:color="auto"/>
            <w:right w:val="none" w:sz="0" w:space="0" w:color="auto"/>
          </w:divBdr>
        </w:div>
        <w:div w:id="737746681">
          <w:marLeft w:val="0"/>
          <w:marRight w:val="0"/>
          <w:marTop w:val="0"/>
          <w:marBottom w:val="0"/>
          <w:divBdr>
            <w:top w:val="none" w:sz="0" w:space="0" w:color="auto"/>
            <w:left w:val="none" w:sz="0" w:space="0" w:color="auto"/>
            <w:bottom w:val="none" w:sz="0" w:space="0" w:color="auto"/>
            <w:right w:val="none" w:sz="0" w:space="0" w:color="auto"/>
          </w:divBdr>
        </w:div>
        <w:div w:id="956106965">
          <w:marLeft w:val="0"/>
          <w:marRight w:val="0"/>
          <w:marTop w:val="0"/>
          <w:marBottom w:val="0"/>
          <w:divBdr>
            <w:top w:val="none" w:sz="0" w:space="0" w:color="auto"/>
            <w:left w:val="none" w:sz="0" w:space="0" w:color="auto"/>
            <w:bottom w:val="none" w:sz="0" w:space="0" w:color="auto"/>
            <w:right w:val="none" w:sz="0" w:space="0" w:color="auto"/>
          </w:divBdr>
        </w:div>
        <w:div w:id="1448312617">
          <w:marLeft w:val="0"/>
          <w:marRight w:val="0"/>
          <w:marTop w:val="0"/>
          <w:marBottom w:val="0"/>
          <w:divBdr>
            <w:top w:val="none" w:sz="0" w:space="0" w:color="auto"/>
            <w:left w:val="none" w:sz="0" w:space="0" w:color="auto"/>
            <w:bottom w:val="none" w:sz="0" w:space="0" w:color="auto"/>
            <w:right w:val="none" w:sz="0" w:space="0" w:color="auto"/>
          </w:divBdr>
        </w:div>
        <w:div w:id="1541280250">
          <w:marLeft w:val="0"/>
          <w:marRight w:val="0"/>
          <w:marTop w:val="0"/>
          <w:marBottom w:val="0"/>
          <w:divBdr>
            <w:top w:val="none" w:sz="0" w:space="0" w:color="auto"/>
            <w:left w:val="none" w:sz="0" w:space="0" w:color="auto"/>
            <w:bottom w:val="none" w:sz="0" w:space="0" w:color="auto"/>
            <w:right w:val="none" w:sz="0" w:space="0" w:color="auto"/>
          </w:divBdr>
        </w:div>
        <w:div w:id="1594128727">
          <w:marLeft w:val="0"/>
          <w:marRight w:val="0"/>
          <w:marTop w:val="0"/>
          <w:marBottom w:val="0"/>
          <w:divBdr>
            <w:top w:val="none" w:sz="0" w:space="0" w:color="auto"/>
            <w:left w:val="none" w:sz="0" w:space="0" w:color="auto"/>
            <w:bottom w:val="none" w:sz="0" w:space="0" w:color="auto"/>
            <w:right w:val="none" w:sz="0" w:space="0" w:color="auto"/>
          </w:divBdr>
        </w:div>
        <w:div w:id="1761680580">
          <w:marLeft w:val="0"/>
          <w:marRight w:val="0"/>
          <w:marTop w:val="0"/>
          <w:marBottom w:val="0"/>
          <w:divBdr>
            <w:top w:val="none" w:sz="0" w:space="0" w:color="auto"/>
            <w:left w:val="none" w:sz="0" w:space="0" w:color="auto"/>
            <w:bottom w:val="none" w:sz="0" w:space="0" w:color="auto"/>
            <w:right w:val="none" w:sz="0" w:space="0" w:color="auto"/>
          </w:divBdr>
        </w:div>
        <w:div w:id="1977221256">
          <w:marLeft w:val="0"/>
          <w:marRight w:val="0"/>
          <w:marTop w:val="0"/>
          <w:marBottom w:val="0"/>
          <w:divBdr>
            <w:top w:val="none" w:sz="0" w:space="0" w:color="auto"/>
            <w:left w:val="none" w:sz="0" w:space="0" w:color="auto"/>
            <w:bottom w:val="none" w:sz="0" w:space="0" w:color="auto"/>
            <w:right w:val="none" w:sz="0" w:space="0" w:color="auto"/>
          </w:divBdr>
        </w:div>
      </w:divsChild>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30234823">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66585201">
      <w:bodyDiv w:val="1"/>
      <w:marLeft w:val="0"/>
      <w:marRight w:val="0"/>
      <w:marTop w:val="0"/>
      <w:marBottom w:val="0"/>
      <w:divBdr>
        <w:top w:val="none" w:sz="0" w:space="0" w:color="auto"/>
        <w:left w:val="none" w:sz="0" w:space="0" w:color="auto"/>
        <w:bottom w:val="none" w:sz="0" w:space="0" w:color="auto"/>
        <w:right w:val="none" w:sz="0" w:space="0" w:color="auto"/>
      </w:divBdr>
    </w:div>
    <w:div w:id="774247760">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6015787">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0854273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2709335">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7579247">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46968266">
      <w:bodyDiv w:val="1"/>
      <w:marLeft w:val="0"/>
      <w:marRight w:val="0"/>
      <w:marTop w:val="0"/>
      <w:marBottom w:val="0"/>
      <w:divBdr>
        <w:top w:val="none" w:sz="0" w:space="0" w:color="auto"/>
        <w:left w:val="none" w:sz="0" w:space="0" w:color="auto"/>
        <w:bottom w:val="none" w:sz="0" w:space="0" w:color="auto"/>
        <w:right w:val="none" w:sz="0" w:space="0" w:color="auto"/>
      </w:divBdr>
    </w:div>
    <w:div w:id="1176962320">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47181980">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01884463">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1729458">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8990576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22695848">
      <w:bodyDiv w:val="1"/>
      <w:marLeft w:val="0"/>
      <w:marRight w:val="0"/>
      <w:marTop w:val="0"/>
      <w:marBottom w:val="0"/>
      <w:divBdr>
        <w:top w:val="none" w:sz="0" w:space="0" w:color="auto"/>
        <w:left w:val="none" w:sz="0" w:space="0" w:color="auto"/>
        <w:bottom w:val="none" w:sz="0" w:space="0" w:color="auto"/>
        <w:right w:val="none" w:sz="0" w:space="0" w:color="auto"/>
      </w:divBdr>
    </w:div>
    <w:div w:id="1524130287">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39795837">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2848793">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39284863">
      <w:bodyDiv w:val="1"/>
      <w:marLeft w:val="0"/>
      <w:marRight w:val="0"/>
      <w:marTop w:val="0"/>
      <w:marBottom w:val="0"/>
      <w:divBdr>
        <w:top w:val="none" w:sz="0" w:space="0" w:color="auto"/>
        <w:left w:val="none" w:sz="0" w:space="0" w:color="auto"/>
        <w:bottom w:val="none" w:sz="0" w:space="0" w:color="auto"/>
        <w:right w:val="none" w:sz="0" w:space="0" w:color="auto"/>
      </w:divBdr>
    </w:div>
    <w:div w:id="1741634688">
      <w:bodyDiv w:val="1"/>
      <w:marLeft w:val="0"/>
      <w:marRight w:val="0"/>
      <w:marTop w:val="0"/>
      <w:marBottom w:val="0"/>
      <w:divBdr>
        <w:top w:val="none" w:sz="0" w:space="0" w:color="auto"/>
        <w:left w:val="none" w:sz="0" w:space="0" w:color="auto"/>
        <w:bottom w:val="none" w:sz="0" w:space="0" w:color="auto"/>
        <w:right w:val="none" w:sz="0" w:space="0" w:color="auto"/>
      </w:divBdr>
    </w:div>
    <w:div w:id="1751152268">
      <w:bodyDiv w:val="1"/>
      <w:marLeft w:val="0"/>
      <w:marRight w:val="0"/>
      <w:marTop w:val="0"/>
      <w:marBottom w:val="0"/>
      <w:divBdr>
        <w:top w:val="none" w:sz="0" w:space="0" w:color="auto"/>
        <w:left w:val="none" w:sz="0" w:space="0" w:color="auto"/>
        <w:bottom w:val="none" w:sz="0" w:space="0" w:color="auto"/>
        <w:right w:val="none" w:sz="0" w:space="0" w:color="auto"/>
      </w:divBdr>
    </w:div>
    <w:div w:id="1759864757">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3179394">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79453982">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5812606">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1989241828">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58627013">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7367174">
      <w:bodyDiv w:val="1"/>
      <w:marLeft w:val="0"/>
      <w:marRight w:val="0"/>
      <w:marTop w:val="0"/>
      <w:marBottom w:val="0"/>
      <w:divBdr>
        <w:top w:val="none" w:sz="0" w:space="0" w:color="auto"/>
        <w:left w:val="none" w:sz="0" w:space="0" w:color="auto"/>
        <w:bottom w:val="none" w:sz="0" w:space="0" w:color="auto"/>
        <w:right w:val="none" w:sz="0" w:space="0" w:color="auto"/>
      </w:divBdr>
    </w:div>
    <w:div w:id="213968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04%20%284%29%20SA%20490" TargetMode="External"/><Relationship Id="rId2" Type="http://schemas.openxmlformats.org/officeDocument/2006/relationships/hyperlink" Target="https://www.flymango.com/upload/Responsive/Content/PDFs/Amended%20Mango%20Airlines_Amended%20Businesss%20Rescue%20Plan%20-%2025%20Nov%202021.pdf" TargetMode="External"/><Relationship Id="rId1" Type="http://schemas.openxmlformats.org/officeDocument/2006/relationships/hyperlink" Target="https://www.flymango.com/upload/Responsive/Content/PDFs/Mango%20Airlines%20SOC%20Limited_Businesss%20Rescue%20Plan_29.1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2789-7A0D-48DF-A634-41C46807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17746</Words>
  <Characters>101154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Mokone</cp:lastModifiedBy>
  <cp:revision>3</cp:revision>
  <cp:lastPrinted>2023-09-06T17:39:00Z</cp:lastPrinted>
  <dcterms:created xsi:type="dcterms:W3CDTF">2023-09-11T06:36:00Z</dcterms:created>
  <dcterms:modified xsi:type="dcterms:W3CDTF">2023-09-11T06:38:00Z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af230fd298a478b00f0110a19a4b9992b324889706f0eeaf5c85dea0d6ada45f</vt:lpwstr>
  </property>
</Properties>
</file>