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42461" w14:textId="514F06E5" w:rsidR="00EE5033" w:rsidRDefault="00EE5033" w:rsidP="007E1E5D">
      <w:pPr>
        <w:jc w:val="center"/>
      </w:pPr>
      <w:r w:rsidRPr="00EF06FE">
        <w:rPr>
          <w:rFonts w:ascii="Times New Roman" w:eastAsia="Calibri" w:hAnsi="Times New Roman" w:cs="Times New Roman"/>
          <w:noProof/>
          <w:sz w:val="40"/>
          <w:szCs w:val="40"/>
          <w:lang w:val="en-US"/>
        </w:rPr>
        <w:drawing>
          <wp:inline distT="0" distB="0" distL="0" distR="0" wp14:anchorId="5FC85894" wp14:editId="04967122">
            <wp:extent cx="1384300" cy="13754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067" cy="1373191"/>
                    </a:xfrm>
                    <a:prstGeom prst="rect">
                      <a:avLst/>
                    </a:prstGeom>
                    <a:noFill/>
                    <a:ln>
                      <a:noFill/>
                    </a:ln>
                  </pic:spPr>
                </pic:pic>
              </a:graphicData>
            </a:graphic>
          </wp:inline>
        </w:drawing>
      </w:r>
    </w:p>
    <w:p w14:paraId="3B94F8C2" w14:textId="77777777" w:rsidR="00EE5033" w:rsidRPr="00E11CE7" w:rsidRDefault="00EE5033" w:rsidP="00EE5033">
      <w:pPr>
        <w:spacing w:after="0" w:line="240" w:lineRule="auto"/>
        <w:jc w:val="center"/>
        <w:rPr>
          <w:rFonts w:ascii="Arial" w:eastAsia="Calibri" w:hAnsi="Arial" w:cs="Arial"/>
          <w:b/>
          <w:sz w:val="24"/>
          <w:szCs w:val="24"/>
        </w:rPr>
      </w:pPr>
      <w:r w:rsidRPr="00E11CE7">
        <w:rPr>
          <w:rFonts w:ascii="Arial" w:eastAsia="Calibri" w:hAnsi="Arial" w:cs="Arial"/>
          <w:b/>
          <w:sz w:val="24"/>
          <w:szCs w:val="24"/>
        </w:rPr>
        <w:t>IN THE HIGH COURT OF SOUTH AFRICA</w:t>
      </w:r>
    </w:p>
    <w:p w14:paraId="5D17F148" w14:textId="77777777" w:rsidR="00EE5033" w:rsidRPr="00E11CE7" w:rsidRDefault="00EE5033" w:rsidP="00EE5033">
      <w:pPr>
        <w:spacing w:after="0" w:line="240" w:lineRule="auto"/>
        <w:jc w:val="center"/>
        <w:rPr>
          <w:rFonts w:ascii="Arial" w:eastAsia="Calibri" w:hAnsi="Arial" w:cs="Arial"/>
          <w:b/>
          <w:sz w:val="24"/>
          <w:szCs w:val="24"/>
        </w:rPr>
      </w:pPr>
      <w:r w:rsidRPr="00E11CE7">
        <w:rPr>
          <w:rFonts w:ascii="Arial" w:eastAsia="Calibri" w:hAnsi="Arial" w:cs="Arial"/>
          <w:b/>
          <w:sz w:val="24"/>
          <w:szCs w:val="24"/>
        </w:rPr>
        <w:t>GAUTENG DIVISION, PRETORIA</w:t>
      </w:r>
    </w:p>
    <w:p w14:paraId="48A0F22C" w14:textId="06F845B1" w:rsidR="00855C53" w:rsidRDefault="00855C53" w:rsidP="007E1E5D">
      <w:pPr>
        <w:jc w:val="center"/>
      </w:pPr>
    </w:p>
    <w:p w14:paraId="09BA5179" w14:textId="4E29C7D7" w:rsidR="00C5312B" w:rsidRDefault="00C5312B" w:rsidP="007E1E5D">
      <w:pPr>
        <w:jc w:val="center"/>
      </w:pPr>
    </w:p>
    <w:p w14:paraId="375C4784" w14:textId="13C49B93" w:rsidR="007E1E5D" w:rsidRPr="0058237F" w:rsidRDefault="0094380B" w:rsidP="0094380B">
      <w:pPr>
        <w:spacing w:after="0" w:line="360" w:lineRule="auto"/>
        <w:ind w:left="5760" w:firstLine="720"/>
        <w:jc w:val="both"/>
        <w:rPr>
          <w:rFonts w:ascii="Arial" w:hAnsi="Arial" w:cs="Arial"/>
          <w:b/>
          <w:sz w:val="24"/>
          <w:szCs w:val="24"/>
        </w:rPr>
      </w:pPr>
      <w:r w:rsidRPr="004713A6">
        <w:rPr>
          <w:b/>
          <w:sz w:val="28"/>
          <w:szCs w:val="28"/>
        </w:rPr>
        <w:t>CASE NO. 66559/2020</w:t>
      </w:r>
    </w:p>
    <w:p w14:paraId="4A4DB196" w14:textId="01434E5F" w:rsidR="0094380B" w:rsidRDefault="00EE5033" w:rsidP="00A32AB1">
      <w:pPr>
        <w:spacing w:after="0" w:line="360" w:lineRule="auto"/>
        <w:jc w:val="both"/>
        <w:rPr>
          <w:b/>
          <w:sz w:val="28"/>
          <w:szCs w:val="28"/>
        </w:rPr>
      </w:pPr>
      <w:r>
        <w:rPr>
          <w:noProof/>
          <w:lang w:val="en-US"/>
        </w:rPr>
        <mc:AlternateContent>
          <mc:Choice Requires="wps">
            <w:drawing>
              <wp:anchor distT="0" distB="0" distL="114300" distR="114300" simplePos="0" relativeHeight="251659264" behindDoc="0" locked="0" layoutInCell="1" allowOverlap="1" wp14:anchorId="0E223C7A" wp14:editId="5276BD02">
                <wp:simplePos x="0" y="0"/>
                <wp:positionH relativeFrom="column">
                  <wp:posOffset>100330</wp:posOffset>
                </wp:positionH>
                <wp:positionV relativeFrom="paragraph">
                  <wp:posOffset>-671830</wp:posOffset>
                </wp:positionV>
                <wp:extent cx="3514725" cy="1485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85900"/>
                        </a:xfrm>
                        <a:prstGeom prst="rect">
                          <a:avLst/>
                        </a:prstGeom>
                        <a:solidFill>
                          <a:srgbClr val="FFFFFF"/>
                        </a:solidFill>
                        <a:ln w="9525">
                          <a:solidFill>
                            <a:srgbClr val="000000"/>
                          </a:solidFill>
                          <a:miter lim="800000"/>
                          <a:headEnd/>
                          <a:tailEnd/>
                        </a:ln>
                      </wps:spPr>
                      <wps:txbx>
                        <w:txbxContent>
                          <w:p w14:paraId="1376F1FD" w14:textId="40921618" w:rsidR="002A5DAD" w:rsidRDefault="00765E62" w:rsidP="00765E6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A5DAD">
                              <w:rPr>
                                <w:rFonts w:ascii="Century Gothic" w:hAnsi="Century Gothic"/>
                                <w:sz w:val="20"/>
                                <w:szCs w:val="20"/>
                              </w:rPr>
                              <w:t>REPORTABLE:  YES/NO</w:t>
                            </w:r>
                          </w:p>
                          <w:p w14:paraId="552E4343" w14:textId="3A5A9850" w:rsidR="002A5DAD" w:rsidRDefault="00765E62" w:rsidP="00765E6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A5DAD">
                              <w:rPr>
                                <w:rFonts w:ascii="Century Gothic" w:hAnsi="Century Gothic"/>
                                <w:sz w:val="20"/>
                                <w:szCs w:val="20"/>
                              </w:rPr>
                              <w:t>OF INTEREST TO OTHER JUDGES: YES/NO</w:t>
                            </w:r>
                          </w:p>
                          <w:p w14:paraId="6AD73EB3" w14:textId="5EC4AE2B" w:rsidR="002A5DAD" w:rsidRDefault="00765E62" w:rsidP="00765E6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A5DAD">
                              <w:rPr>
                                <w:rFonts w:ascii="Century Gothic" w:hAnsi="Century Gothic"/>
                                <w:sz w:val="20"/>
                                <w:szCs w:val="20"/>
                              </w:rPr>
                              <w:t xml:space="preserve">REVISED. </w:t>
                            </w:r>
                          </w:p>
                          <w:p w14:paraId="5E8D3F4E" w14:textId="77777777" w:rsidR="002A5DAD" w:rsidRDefault="002A5DAD" w:rsidP="00EE5033">
                            <w:pPr>
                              <w:rPr>
                                <w:rFonts w:ascii="Century Gothic" w:hAnsi="Century Gothic"/>
                                <w:sz w:val="18"/>
                                <w:szCs w:val="18"/>
                              </w:rPr>
                            </w:pPr>
                          </w:p>
                          <w:p w14:paraId="6BC26AED" w14:textId="77777777" w:rsidR="002A5DAD" w:rsidRDefault="002A5DAD" w:rsidP="00EE5033">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14:paraId="1C8CECE7" w14:textId="0A059883" w:rsidR="002A5DAD" w:rsidRDefault="002A5DAD" w:rsidP="00EE5033">
                            <w:pPr>
                              <w:rPr>
                                <w:rFonts w:ascii="Century Gothic" w:hAnsi="Century Gothic"/>
                                <w:b/>
                                <w:sz w:val="18"/>
                                <w:szCs w:val="18"/>
                              </w:rPr>
                            </w:pPr>
                            <w:r>
                              <w:rPr>
                                <w:rFonts w:ascii="Century Gothic" w:hAnsi="Century Gothic"/>
                                <w:b/>
                                <w:sz w:val="18"/>
                                <w:szCs w:val="18"/>
                              </w:rPr>
                              <w:t xml:space="preserve">      </w:t>
                            </w:r>
                            <w:r w:rsidR="003F639D">
                              <w:rPr>
                                <w:rFonts w:ascii="Century Gothic" w:hAnsi="Century Gothic"/>
                                <w:b/>
                                <w:sz w:val="18"/>
                                <w:szCs w:val="18"/>
                              </w:rPr>
                              <w:t>04</w:t>
                            </w:r>
                            <w:r>
                              <w:rPr>
                                <w:rFonts w:ascii="Century Gothic" w:hAnsi="Century Gothic"/>
                                <w:b/>
                                <w:sz w:val="18"/>
                                <w:szCs w:val="18"/>
                              </w:rPr>
                              <w:t>/0</w:t>
                            </w:r>
                            <w:r w:rsidR="003F639D">
                              <w:rPr>
                                <w:rFonts w:ascii="Century Gothic" w:hAnsi="Century Gothic"/>
                                <w:b/>
                                <w:sz w:val="18"/>
                                <w:szCs w:val="18"/>
                              </w:rPr>
                              <w:t>9</w:t>
                            </w:r>
                            <w:r>
                              <w:rPr>
                                <w:rFonts w:ascii="Century Gothic" w:hAnsi="Century Gothic"/>
                                <w:b/>
                                <w:sz w:val="18"/>
                                <w:szCs w:val="18"/>
                              </w:rPr>
                              <w:t>/2023</w:t>
                            </w:r>
                            <w:r>
                              <w:rPr>
                                <w:rFonts w:ascii="Century Gothic" w:hAnsi="Century Gothic"/>
                                <w:b/>
                                <w:sz w:val="18"/>
                                <w:szCs w:val="18"/>
                              </w:rPr>
                              <w:tab/>
                              <w:t xml:space="preserve">                           N V KHUMALO</w:t>
                            </w:r>
                            <w:r w:rsidR="00AC14E8">
                              <w:rPr>
                                <w:rFonts w:ascii="Century Gothic" w:hAnsi="Century Gothic"/>
                                <w:b/>
                                <w:sz w:val="18"/>
                                <w:szCs w:val="18"/>
                              </w:rPr>
                              <w:t xml:space="preserve"> J</w:t>
                            </w:r>
                          </w:p>
                          <w:p w14:paraId="6569157C" w14:textId="6088C6D2" w:rsidR="002A5DAD" w:rsidRDefault="002A5DAD" w:rsidP="00EE5033">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23C7A" id="_x0000_t202" coordsize="21600,21600" o:spt="202" path="m,l,21600r21600,l21600,xe">
                <v:stroke joinstyle="miter"/>
                <v:path gradientshapeok="t" o:connecttype="rect"/>
              </v:shapetype>
              <v:shape id="Text Box 2" o:spid="_x0000_s1026" type="#_x0000_t202" style="position:absolute;left:0;text-align:left;margin-left:7.9pt;margin-top:-52.9pt;width:276.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">
                <v:textbox>
                  <w:txbxContent>
                    <w:p w14:paraId="1376F1FD" w14:textId="40921618" w:rsidR="002A5DAD" w:rsidRDefault="00765E62" w:rsidP="00765E6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A5DAD">
                        <w:rPr>
                          <w:rFonts w:ascii="Century Gothic" w:hAnsi="Century Gothic"/>
                          <w:sz w:val="20"/>
                          <w:szCs w:val="20"/>
                        </w:rPr>
                        <w:t>REPORTABLE:  YES/NO</w:t>
                      </w:r>
                    </w:p>
                    <w:p w14:paraId="552E4343" w14:textId="3A5A9850" w:rsidR="002A5DAD" w:rsidRDefault="00765E62" w:rsidP="00765E6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A5DAD">
                        <w:rPr>
                          <w:rFonts w:ascii="Century Gothic" w:hAnsi="Century Gothic"/>
                          <w:sz w:val="20"/>
                          <w:szCs w:val="20"/>
                        </w:rPr>
                        <w:t>OF INTEREST TO OTHER JUDGES: YES/NO</w:t>
                      </w:r>
                    </w:p>
                    <w:p w14:paraId="6AD73EB3" w14:textId="5EC4AE2B" w:rsidR="002A5DAD" w:rsidRDefault="00765E62" w:rsidP="00765E6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A5DAD">
                        <w:rPr>
                          <w:rFonts w:ascii="Century Gothic" w:hAnsi="Century Gothic"/>
                          <w:sz w:val="20"/>
                          <w:szCs w:val="20"/>
                        </w:rPr>
                        <w:t xml:space="preserve">REVISED. </w:t>
                      </w:r>
                    </w:p>
                    <w:p w14:paraId="5E8D3F4E" w14:textId="77777777" w:rsidR="002A5DAD" w:rsidRDefault="002A5DAD" w:rsidP="00EE5033">
                      <w:pPr>
                        <w:rPr>
                          <w:rFonts w:ascii="Century Gothic" w:hAnsi="Century Gothic"/>
                          <w:sz w:val="18"/>
                          <w:szCs w:val="18"/>
                        </w:rPr>
                      </w:pPr>
                    </w:p>
                    <w:p w14:paraId="6BC26AED" w14:textId="77777777" w:rsidR="002A5DAD" w:rsidRDefault="002A5DAD" w:rsidP="00EE5033">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14:paraId="1C8CECE7" w14:textId="0A059883" w:rsidR="002A5DAD" w:rsidRDefault="002A5DAD" w:rsidP="00EE5033">
                      <w:pPr>
                        <w:rPr>
                          <w:rFonts w:ascii="Century Gothic" w:hAnsi="Century Gothic"/>
                          <w:b/>
                          <w:sz w:val="18"/>
                          <w:szCs w:val="18"/>
                        </w:rPr>
                      </w:pPr>
                      <w:r>
                        <w:rPr>
                          <w:rFonts w:ascii="Century Gothic" w:hAnsi="Century Gothic"/>
                          <w:b/>
                          <w:sz w:val="18"/>
                          <w:szCs w:val="18"/>
                        </w:rPr>
                        <w:t xml:space="preserve">      </w:t>
                      </w:r>
                      <w:r w:rsidR="003F639D">
                        <w:rPr>
                          <w:rFonts w:ascii="Century Gothic" w:hAnsi="Century Gothic"/>
                          <w:b/>
                          <w:sz w:val="18"/>
                          <w:szCs w:val="18"/>
                        </w:rPr>
                        <w:t>04</w:t>
                      </w:r>
                      <w:r>
                        <w:rPr>
                          <w:rFonts w:ascii="Century Gothic" w:hAnsi="Century Gothic"/>
                          <w:b/>
                          <w:sz w:val="18"/>
                          <w:szCs w:val="18"/>
                        </w:rPr>
                        <w:t>/0</w:t>
                      </w:r>
                      <w:r w:rsidR="003F639D">
                        <w:rPr>
                          <w:rFonts w:ascii="Century Gothic" w:hAnsi="Century Gothic"/>
                          <w:b/>
                          <w:sz w:val="18"/>
                          <w:szCs w:val="18"/>
                        </w:rPr>
                        <w:t>9</w:t>
                      </w:r>
                      <w:r>
                        <w:rPr>
                          <w:rFonts w:ascii="Century Gothic" w:hAnsi="Century Gothic"/>
                          <w:b/>
                          <w:sz w:val="18"/>
                          <w:szCs w:val="18"/>
                        </w:rPr>
                        <w:t>/2023</w:t>
                      </w:r>
                      <w:r>
                        <w:rPr>
                          <w:rFonts w:ascii="Century Gothic" w:hAnsi="Century Gothic"/>
                          <w:b/>
                          <w:sz w:val="18"/>
                          <w:szCs w:val="18"/>
                        </w:rPr>
                        <w:tab/>
                        <w:t xml:space="preserve">                           N V KHUMALO</w:t>
                      </w:r>
                      <w:r w:rsidR="00AC14E8">
                        <w:rPr>
                          <w:rFonts w:ascii="Century Gothic" w:hAnsi="Century Gothic"/>
                          <w:b/>
                          <w:sz w:val="18"/>
                          <w:szCs w:val="18"/>
                        </w:rPr>
                        <w:t xml:space="preserve"> J</w:t>
                      </w:r>
                    </w:p>
                    <w:p w14:paraId="6569157C" w14:textId="6088C6D2" w:rsidR="002A5DAD" w:rsidRDefault="002A5DAD" w:rsidP="00EE5033">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p>
                  </w:txbxContent>
                </v:textbox>
              </v:shape>
            </w:pict>
          </mc:Fallback>
        </mc:AlternateContent>
      </w:r>
    </w:p>
    <w:p w14:paraId="65504C85" w14:textId="77777777" w:rsidR="0094380B" w:rsidRDefault="0094380B" w:rsidP="00A32AB1">
      <w:pPr>
        <w:spacing w:after="0" w:line="360" w:lineRule="auto"/>
        <w:jc w:val="both"/>
        <w:rPr>
          <w:b/>
          <w:sz w:val="28"/>
          <w:szCs w:val="28"/>
        </w:rPr>
      </w:pPr>
    </w:p>
    <w:p w14:paraId="494F4D53" w14:textId="77777777" w:rsidR="00EE5033" w:rsidRDefault="00EE5033" w:rsidP="00A32AB1">
      <w:pPr>
        <w:spacing w:after="0" w:line="360" w:lineRule="auto"/>
        <w:jc w:val="both"/>
        <w:rPr>
          <w:b/>
          <w:sz w:val="28"/>
          <w:szCs w:val="28"/>
        </w:rPr>
      </w:pPr>
    </w:p>
    <w:p w14:paraId="65D4945A" w14:textId="51948215" w:rsidR="004713A6" w:rsidRPr="004713A6" w:rsidRDefault="004713A6" w:rsidP="00A32AB1">
      <w:pPr>
        <w:spacing w:after="0" w:line="360" w:lineRule="auto"/>
        <w:jc w:val="both"/>
        <w:rPr>
          <w:b/>
          <w:sz w:val="28"/>
          <w:szCs w:val="28"/>
        </w:rPr>
      </w:pPr>
      <w:r w:rsidRPr="004713A6">
        <w:rPr>
          <w:b/>
          <w:sz w:val="28"/>
          <w:szCs w:val="28"/>
        </w:rPr>
        <w:t xml:space="preserve">DE BEERS CONSOLIDATED MINES (PTY) LTD </w:t>
      </w:r>
      <w:r w:rsidRPr="004713A6">
        <w:rPr>
          <w:b/>
          <w:sz w:val="28"/>
          <w:szCs w:val="28"/>
        </w:rPr>
        <w:tab/>
      </w:r>
      <w:r w:rsidR="0094380B">
        <w:rPr>
          <w:b/>
          <w:sz w:val="28"/>
          <w:szCs w:val="28"/>
        </w:rPr>
        <w:tab/>
      </w:r>
      <w:r w:rsidR="0094380B">
        <w:rPr>
          <w:b/>
          <w:sz w:val="28"/>
          <w:szCs w:val="28"/>
        </w:rPr>
        <w:tab/>
      </w:r>
      <w:r w:rsidR="0094380B">
        <w:rPr>
          <w:b/>
          <w:sz w:val="28"/>
          <w:szCs w:val="28"/>
        </w:rPr>
        <w:tab/>
        <w:t xml:space="preserve">      APPLICANT</w:t>
      </w:r>
      <w:r w:rsidRPr="004713A6">
        <w:rPr>
          <w:b/>
          <w:sz w:val="28"/>
          <w:szCs w:val="28"/>
        </w:rPr>
        <w:tab/>
      </w:r>
      <w:r w:rsidRPr="004713A6">
        <w:rPr>
          <w:b/>
          <w:sz w:val="28"/>
          <w:szCs w:val="28"/>
        </w:rPr>
        <w:tab/>
      </w:r>
    </w:p>
    <w:p w14:paraId="0D5FB438" w14:textId="3445C418" w:rsidR="009E2260" w:rsidRDefault="004713A6" w:rsidP="00A32AB1">
      <w:pPr>
        <w:spacing w:after="0" w:line="360" w:lineRule="auto"/>
        <w:jc w:val="both"/>
        <w:rPr>
          <w:rFonts w:ascii="Calibri" w:hAnsi="Calibri" w:cs="Calibri"/>
          <w:b/>
          <w:bCs/>
          <w:color w:val="333333"/>
          <w:sz w:val="28"/>
          <w:szCs w:val="28"/>
          <w:shd w:val="clear" w:color="auto" w:fill="ECF2F5"/>
        </w:rPr>
      </w:pPr>
      <w:r w:rsidRPr="004713A6">
        <w:rPr>
          <w:b/>
          <w:sz w:val="28"/>
          <w:szCs w:val="28"/>
        </w:rPr>
        <w:t>REGIONAL MANAGER</w:t>
      </w:r>
      <w:r w:rsidR="00951942">
        <w:rPr>
          <w:b/>
          <w:sz w:val="28"/>
          <w:szCs w:val="28"/>
        </w:rPr>
        <w:t>,</w:t>
      </w:r>
      <w:r w:rsidRPr="004713A6">
        <w:rPr>
          <w:b/>
          <w:sz w:val="28"/>
          <w:szCs w:val="28"/>
        </w:rPr>
        <w:t xml:space="preserve"> LIMPOPO</w:t>
      </w:r>
      <w:r w:rsidR="00951942">
        <w:rPr>
          <w:b/>
          <w:sz w:val="28"/>
          <w:szCs w:val="28"/>
        </w:rPr>
        <w:t>:</w:t>
      </w:r>
      <w:r w:rsidRPr="004713A6">
        <w:rPr>
          <w:b/>
          <w:sz w:val="28"/>
          <w:szCs w:val="28"/>
        </w:rPr>
        <w:t xml:space="preserve"> </w:t>
      </w:r>
      <w:r w:rsidR="009E2260" w:rsidRPr="009E2260">
        <w:rPr>
          <w:rFonts w:ascii="Calibri" w:hAnsi="Calibri" w:cs="Calibri"/>
          <w:b/>
          <w:sz w:val="28"/>
          <w:szCs w:val="28"/>
        </w:rPr>
        <w:t>T</w:t>
      </w:r>
      <w:r w:rsidR="009E2260" w:rsidRPr="009E2260">
        <w:rPr>
          <w:rFonts w:ascii="Calibri" w:hAnsi="Calibri" w:cs="Calibri"/>
          <w:b/>
          <w:bCs/>
          <w:color w:val="333333"/>
          <w:sz w:val="28"/>
          <w:szCs w:val="28"/>
          <w:shd w:val="clear" w:color="auto" w:fill="ECF2F5"/>
        </w:rPr>
        <w:t xml:space="preserve">HE DEPARTMENT </w:t>
      </w:r>
    </w:p>
    <w:p w14:paraId="4CF1DD98" w14:textId="563B5356" w:rsidR="004713A6" w:rsidRPr="004713A6" w:rsidRDefault="009E2260" w:rsidP="00A32AB1">
      <w:pPr>
        <w:spacing w:after="0" w:line="360" w:lineRule="auto"/>
        <w:jc w:val="both"/>
        <w:rPr>
          <w:b/>
          <w:sz w:val="28"/>
          <w:szCs w:val="28"/>
        </w:rPr>
      </w:pPr>
      <w:r w:rsidRPr="009E2260">
        <w:rPr>
          <w:rFonts w:ascii="Calibri" w:hAnsi="Calibri" w:cs="Calibri"/>
          <w:b/>
          <w:bCs/>
          <w:color w:val="333333"/>
          <w:sz w:val="28"/>
          <w:szCs w:val="28"/>
          <w:shd w:val="clear" w:color="auto" w:fill="ECF2F5"/>
        </w:rPr>
        <w:t>OF MINERAL RESOURCES &amp; ENERGY</w:t>
      </w:r>
      <w:r w:rsidR="0094380B" w:rsidRPr="009E2260">
        <w:rPr>
          <w:rFonts w:ascii="Calibri" w:hAnsi="Calibri" w:cs="Calibri"/>
          <w:b/>
          <w:sz w:val="28"/>
          <w:szCs w:val="28"/>
        </w:rPr>
        <w:tab/>
      </w:r>
      <w:r w:rsidR="0094380B" w:rsidRPr="009E2260">
        <w:rPr>
          <w:rFonts w:ascii="Calibri" w:hAnsi="Calibri" w:cs="Calibri"/>
          <w:b/>
          <w:sz w:val="28"/>
          <w:szCs w:val="28"/>
        </w:rPr>
        <w:tab/>
      </w:r>
      <w:r w:rsidR="0094380B" w:rsidRPr="009E2260">
        <w:rPr>
          <w:rFonts w:ascii="Calibri" w:hAnsi="Calibri" w:cs="Calibri"/>
          <w:b/>
          <w:sz w:val="28"/>
          <w:szCs w:val="28"/>
        </w:rPr>
        <w:tab/>
      </w:r>
      <w:r w:rsidR="0094380B" w:rsidRPr="009E2260">
        <w:rPr>
          <w:rFonts w:ascii="Calibri" w:hAnsi="Calibri" w:cs="Calibri"/>
          <w:b/>
          <w:sz w:val="28"/>
          <w:szCs w:val="28"/>
        </w:rPr>
        <w:tab/>
      </w:r>
      <w:r>
        <w:rPr>
          <w:rFonts w:ascii="Calibri" w:hAnsi="Calibri" w:cs="Calibri"/>
          <w:b/>
          <w:sz w:val="28"/>
          <w:szCs w:val="28"/>
        </w:rPr>
        <w:t xml:space="preserve">         1</w:t>
      </w:r>
      <w:r w:rsidR="0094380B" w:rsidRPr="0094380B">
        <w:rPr>
          <w:b/>
          <w:sz w:val="28"/>
          <w:szCs w:val="28"/>
          <w:vertAlign w:val="superscript"/>
        </w:rPr>
        <w:t>ST</w:t>
      </w:r>
      <w:r w:rsidR="0094380B">
        <w:rPr>
          <w:b/>
          <w:sz w:val="28"/>
          <w:szCs w:val="28"/>
        </w:rPr>
        <w:t xml:space="preserve"> RESPON</w:t>
      </w:r>
      <w:r>
        <w:rPr>
          <w:b/>
          <w:sz w:val="28"/>
          <w:szCs w:val="28"/>
        </w:rPr>
        <w:t>D</w:t>
      </w:r>
      <w:r w:rsidR="0094380B">
        <w:rPr>
          <w:b/>
          <w:sz w:val="28"/>
          <w:szCs w:val="28"/>
        </w:rPr>
        <w:t xml:space="preserve">ENT </w:t>
      </w:r>
    </w:p>
    <w:p w14:paraId="1290B79E" w14:textId="77777777" w:rsidR="004713A6" w:rsidRPr="004713A6" w:rsidRDefault="004713A6" w:rsidP="00A32AB1">
      <w:pPr>
        <w:spacing w:after="0" w:line="360" w:lineRule="auto"/>
        <w:jc w:val="both"/>
        <w:rPr>
          <w:b/>
          <w:sz w:val="28"/>
          <w:szCs w:val="28"/>
        </w:rPr>
      </w:pPr>
    </w:p>
    <w:p w14:paraId="60F00C8C" w14:textId="61FC0D46" w:rsidR="009E2260" w:rsidRPr="009E2260" w:rsidRDefault="009E2260" w:rsidP="00A32AB1">
      <w:pPr>
        <w:spacing w:after="0" w:line="360" w:lineRule="auto"/>
        <w:jc w:val="both"/>
        <w:rPr>
          <w:rFonts w:ascii="Calibri" w:hAnsi="Calibri" w:cs="Calibri"/>
          <w:b/>
          <w:sz w:val="28"/>
          <w:szCs w:val="28"/>
        </w:rPr>
      </w:pPr>
      <w:r w:rsidRPr="009E2260">
        <w:rPr>
          <w:rFonts w:ascii="Calibri" w:hAnsi="Calibri" w:cs="Calibri"/>
          <w:b/>
          <w:sz w:val="28"/>
          <w:szCs w:val="28"/>
        </w:rPr>
        <w:t xml:space="preserve">THE DIRECTOR GENERAL: THE DEPARTMENT OF MINERAL </w:t>
      </w:r>
    </w:p>
    <w:p w14:paraId="51680695" w14:textId="56975C1D" w:rsidR="004713A6" w:rsidRPr="009E2260" w:rsidRDefault="009E2260" w:rsidP="00A32AB1">
      <w:pPr>
        <w:spacing w:after="0" w:line="360" w:lineRule="auto"/>
        <w:jc w:val="both"/>
        <w:rPr>
          <w:rFonts w:ascii="Calibri" w:hAnsi="Calibri" w:cs="Calibri"/>
          <w:b/>
          <w:sz w:val="28"/>
          <w:szCs w:val="28"/>
        </w:rPr>
      </w:pPr>
      <w:r w:rsidRPr="009E2260">
        <w:rPr>
          <w:rFonts w:ascii="Calibri" w:hAnsi="Calibri" w:cs="Calibri"/>
          <w:b/>
          <w:sz w:val="28"/>
          <w:szCs w:val="28"/>
        </w:rPr>
        <w:t>RESOURCES &amp; ENERGY</w:t>
      </w:r>
      <w:r w:rsidR="0094380B">
        <w:rPr>
          <w:b/>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0094380B" w:rsidRPr="009E2260">
        <w:rPr>
          <w:rFonts w:ascii="Calibri" w:hAnsi="Calibri" w:cs="Calibri"/>
          <w:b/>
          <w:sz w:val="28"/>
          <w:szCs w:val="28"/>
        </w:rPr>
        <w:t>2</w:t>
      </w:r>
      <w:r w:rsidR="0094380B" w:rsidRPr="009E2260">
        <w:rPr>
          <w:rFonts w:ascii="Calibri" w:hAnsi="Calibri" w:cs="Calibri"/>
          <w:b/>
          <w:sz w:val="28"/>
          <w:szCs w:val="28"/>
          <w:vertAlign w:val="superscript"/>
        </w:rPr>
        <w:t>ND</w:t>
      </w:r>
      <w:r w:rsidR="0094380B" w:rsidRPr="009E2260">
        <w:rPr>
          <w:rFonts w:ascii="Calibri" w:hAnsi="Calibri" w:cs="Calibri"/>
          <w:b/>
          <w:sz w:val="28"/>
          <w:szCs w:val="28"/>
        </w:rPr>
        <w:t xml:space="preserve"> RESPONDENT</w:t>
      </w:r>
    </w:p>
    <w:p w14:paraId="3123A05D" w14:textId="77777777" w:rsidR="009E2260" w:rsidRPr="004713A6" w:rsidRDefault="009E2260" w:rsidP="00A32AB1">
      <w:pPr>
        <w:spacing w:after="0" w:line="360" w:lineRule="auto"/>
        <w:jc w:val="both"/>
        <w:rPr>
          <w:b/>
          <w:sz w:val="28"/>
          <w:szCs w:val="28"/>
        </w:rPr>
      </w:pPr>
    </w:p>
    <w:p w14:paraId="4581E048" w14:textId="40DCC5C2" w:rsidR="009E2260" w:rsidRDefault="009E2260" w:rsidP="009E2260">
      <w:pPr>
        <w:spacing w:after="0" w:line="360" w:lineRule="auto"/>
        <w:jc w:val="both"/>
        <w:rPr>
          <w:rFonts w:ascii="Arial" w:hAnsi="Arial" w:cs="Arial"/>
          <w:b/>
          <w:bCs/>
          <w:sz w:val="24"/>
          <w:szCs w:val="24"/>
        </w:rPr>
      </w:pPr>
      <w:r>
        <w:rPr>
          <w:rFonts w:ascii="Calibri" w:hAnsi="Calibri" w:cs="Calibri"/>
          <w:b/>
          <w:bCs/>
          <w:color w:val="333333"/>
          <w:sz w:val="28"/>
          <w:szCs w:val="28"/>
          <w:shd w:val="clear" w:color="auto" w:fill="ECF2F5"/>
        </w:rPr>
        <w:t>T</w:t>
      </w:r>
      <w:r w:rsidRPr="009E2260">
        <w:rPr>
          <w:rFonts w:ascii="Calibri" w:hAnsi="Calibri" w:cs="Calibri"/>
          <w:b/>
          <w:bCs/>
          <w:color w:val="333333"/>
          <w:sz w:val="28"/>
          <w:szCs w:val="28"/>
          <w:shd w:val="clear" w:color="auto" w:fill="ECF2F5"/>
        </w:rPr>
        <w:t>HE MINISTER OF MINERAL RESOURCES &amp; ENERGY</w:t>
      </w:r>
      <w:r w:rsidRPr="009E2260">
        <w:rPr>
          <w:rFonts w:ascii="Calibri" w:hAnsi="Calibri" w:cs="Calibri"/>
          <w:b/>
          <w:sz w:val="28"/>
          <w:szCs w:val="28"/>
        </w:rPr>
        <w:t xml:space="preserve">                 3</w:t>
      </w:r>
      <w:r w:rsidRPr="009E2260">
        <w:rPr>
          <w:rFonts w:ascii="Calibri" w:hAnsi="Calibri" w:cs="Calibri"/>
          <w:b/>
          <w:sz w:val="28"/>
          <w:szCs w:val="28"/>
          <w:vertAlign w:val="superscript"/>
        </w:rPr>
        <w:t>RD</w:t>
      </w:r>
      <w:r w:rsidRPr="009E2260">
        <w:rPr>
          <w:rFonts w:ascii="Calibri" w:hAnsi="Calibri" w:cs="Calibri"/>
          <w:b/>
          <w:sz w:val="28"/>
          <w:szCs w:val="28"/>
        </w:rPr>
        <w:t xml:space="preserve"> RESPONDENT </w:t>
      </w:r>
    </w:p>
    <w:p w14:paraId="579455A9" w14:textId="419E486D" w:rsidR="004713A6" w:rsidRDefault="001B5CEB" w:rsidP="00A32AB1">
      <w:pPr>
        <w:spacing w:after="0" w:line="360" w:lineRule="auto"/>
        <w:jc w:val="both"/>
        <w:rPr>
          <w:rFonts w:ascii="Calibri" w:hAnsi="Calibri" w:cs="Calibri"/>
          <w:b/>
          <w:bCs/>
          <w:color w:val="333333"/>
          <w:sz w:val="28"/>
          <w:szCs w:val="28"/>
          <w:shd w:val="clear" w:color="auto" w:fill="ECF2F5"/>
        </w:rPr>
      </w:pPr>
      <w:r>
        <w:rPr>
          <w:rFonts w:ascii="Calibri" w:hAnsi="Calibri" w:cs="Calibri"/>
          <w:b/>
          <w:bCs/>
          <w:color w:val="333333"/>
          <w:sz w:val="28"/>
          <w:szCs w:val="28"/>
          <w:shd w:val="clear" w:color="auto" w:fill="ECF2F5"/>
        </w:rPr>
        <w:t xml:space="preserve">This judgment was handed down electronically by circulation to the parties’ representatives by email. The date and time of hand-down is deemed to be 04 September 2023. </w:t>
      </w:r>
    </w:p>
    <w:p w14:paraId="704D4D3E" w14:textId="77777777" w:rsidR="001B5CEB" w:rsidRDefault="001B5CEB" w:rsidP="00A32AB1">
      <w:pPr>
        <w:spacing w:after="0" w:line="360" w:lineRule="auto"/>
        <w:jc w:val="both"/>
        <w:rPr>
          <w:rFonts w:ascii="Arial" w:hAnsi="Arial" w:cs="Arial"/>
          <w:b/>
          <w:bCs/>
          <w:sz w:val="24"/>
          <w:szCs w:val="24"/>
        </w:rPr>
      </w:pPr>
    </w:p>
    <w:p w14:paraId="29C9D477" w14:textId="4B14ED19" w:rsidR="004B6008" w:rsidRDefault="004713A6" w:rsidP="00A32AB1">
      <w:pPr>
        <w:pBdr>
          <w:bottom w:val="single" w:sz="12" w:space="1" w:color="auto"/>
        </w:pBd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JUDGMENT</w:t>
      </w:r>
    </w:p>
    <w:p w14:paraId="051BE97A" w14:textId="77777777" w:rsidR="001B5CEB" w:rsidRDefault="001B5CEB" w:rsidP="00A32AB1">
      <w:pPr>
        <w:spacing w:after="0" w:line="360" w:lineRule="auto"/>
        <w:jc w:val="both"/>
        <w:rPr>
          <w:rFonts w:ascii="Arial" w:hAnsi="Arial" w:cs="Arial"/>
          <w:b/>
          <w:bCs/>
          <w:sz w:val="24"/>
          <w:szCs w:val="24"/>
        </w:rPr>
      </w:pPr>
    </w:p>
    <w:p w14:paraId="2FEA024F" w14:textId="1E2FBEA7" w:rsidR="004713A6" w:rsidRPr="00484EFA" w:rsidRDefault="004713A6" w:rsidP="00A32AB1">
      <w:pPr>
        <w:spacing w:after="0" w:line="360" w:lineRule="auto"/>
        <w:jc w:val="both"/>
        <w:rPr>
          <w:rFonts w:ascii="Arial" w:hAnsi="Arial" w:cs="Arial"/>
          <w:b/>
          <w:bCs/>
          <w:sz w:val="24"/>
          <w:szCs w:val="24"/>
        </w:rPr>
      </w:pPr>
      <w:r>
        <w:rPr>
          <w:rFonts w:ascii="Arial" w:hAnsi="Arial" w:cs="Arial"/>
          <w:b/>
          <w:bCs/>
          <w:sz w:val="24"/>
          <w:szCs w:val="24"/>
        </w:rPr>
        <w:lastRenderedPageBreak/>
        <w:t xml:space="preserve">KHUMALO N V </w:t>
      </w:r>
      <w:r w:rsidR="001B5CEB">
        <w:rPr>
          <w:rFonts w:ascii="Arial" w:hAnsi="Arial" w:cs="Arial"/>
          <w:b/>
          <w:bCs/>
          <w:sz w:val="24"/>
          <w:szCs w:val="24"/>
        </w:rPr>
        <w:t>J</w:t>
      </w:r>
    </w:p>
    <w:p w14:paraId="0F138BFE" w14:textId="77777777" w:rsidR="004713A6" w:rsidRDefault="004713A6" w:rsidP="00A32AB1">
      <w:pPr>
        <w:pStyle w:val="ListParagraph"/>
        <w:spacing w:after="0" w:line="360" w:lineRule="auto"/>
        <w:ind w:left="0"/>
        <w:jc w:val="both"/>
        <w:rPr>
          <w:rFonts w:ascii="Arial" w:hAnsi="Arial" w:cs="Arial"/>
          <w:sz w:val="24"/>
          <w:szCs w:val="24"/>
          <w:u w:val="single"/>
        </w:rPr>
      </w:pPr>
    </w:p>
    <w:p w14:paraId="00D8AD07" w14:textId="586D7833" w:rsidR="007E1E5D" w:rsidRPr="00194986" w:rsidRDefault="007E1E5D" w:rsidP="00A32AB1">
      <w:pPr>
        <w:pStyle w:val="ListParagraph"/>
        <w:spacing w:after="0" w:line="360" w:lineRule="auto"/>
        <w:ind w:left="0"/>
        <w:jc w:val="both"/>
        <w:rPr>
          <w:rFonts w:ascii="Arial" w:hAnsi="Arial" w:cs="Arial"/>
          <w:b/>
          <w:sz w:val="24"/>
          <w:szCs w:val="24"/>
        </w:rPr>
      </w:pPr>
      <w:r w:rsidRPr="00194986">
        <w:rPr>
          <w:rFonts w:ascii="Arial" w:hAnsi="Arial" w:cs="Arial"/>
          <w:b/>
          <w:sz w:val="24"/>
          <w:szCs w:val="24"/>
        </w:rPr>
        <w:t xml:space="preserve">Introduction </w:t>
      </w:r>
    </w:p>
    <w:p w14:paraId="7DA6A82D" w14:textId="77777777" w:rsidR="004B6008" w:rsidRPr="00A32AB1" w:rsidRDefault="004B6008" w:rsidP="00A32AB1">
      <w:pPr>
        <w:pStyle w:val="ListParagraph"/>
        <w:spacing w:after="0" w:line="360" w:lineRule="auto"/>
        <w:ind w:left="0"/>
        <w:jc w:val="both"/>
        <w:rPr>
          <w:rFonts w:ascii="Arial" w:hAnsi="Arial" w:cs="Arial"/>
          <w:i/>
          <w:iCs/>
          <w:sz w:val="24"/>
          <w:szCs w:val="24"/>
          <w:u w:val="single"/>
        </w:rPr>
      </w:pPr>
    </w:p>
    <w:p w14:paraId="3E3EA506" w14:textId="38E25ADD" w:rsidR="003531EF" w:rsidRPr="00765E62" w:rsidRDefault="00765E62" w:rsidP="00765E62">
      <w:pPr>
        <w:spacing w:after="0" w:line="360" w:lineRule="auto"/>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1]</w:t>
      </w:r>
      <w:r>
        <w:rPr>
          <w:rFonts w:ascii="Arial" w:hAnsi="Arial" w:cs="Arial"/>
          <w:sz w:val="24"/>
          <w:szCs w:val="24"/>
        </w:rPr>
        <w:tab/>
      </w:r>
      <w:r w:rsidR="00C56E6B" w:rsidRPr="00765E62">
        <w:rPr>
          <w:rFonts w:ascii="Arial" w:hAnsi="Arial" w:cs="Arial"/>
          <w:sz w:val="24"/>
          <w:szCs w:val="24"/>
        </w:rPr>
        <w:t>Mining and the extraction of mineral and other natural resources is an economic activity which self-evidently has extensive impact and effect upon the environment.</w:t>
      </w:r>
      <w:r w:rsidR="00C56E6B" w:rsidRPr="009C63DC">
        <w:rPr>
          <w:rStyle w:val="FootnoteReference"/>
          <w:rFonts w:ascii="Arial" w:hAnsi="Arial" w:cs="Arial"/>
          <w:sz w:val="24"/>
          <w:szCs w:val="24"/>
        </w:rPr>
        <w:footnoteReference w:id="2"/>
      </w:r>
      <w:r w:rsidR="00C56E6B" w:rsidRPr="00765E62">
        <w:rPr>
          <w:rFonts w:ascii="Arial" w:hAnsi="Arial" w:cs="Arial"/>
          <w:sz w:val="24"/>
          <w:szCs w:val="24"/>
        </w:rPr>
        <w:t xml:space="preserve">  </w:t>
      </w:r>
      <w:r w:rsidR="00077AB1" w:rsidRPr="00765E62">
        <w:rPr>
          <w:rFonts w:ascii="Arial" w:hAnsi="Arial" w:cs="Arial"/>
          <w:sz w:val="24"/>
          <w:szCs w:val="24"/>
        </w:rPr>
        <w:t xml:space="preserve"> </w:t>
      </w:r>
      <w:r w:rsidR="00AA0C8A" w:rsidRPr="00765E62">
        <w:rPr>
          <w:rFonts w:ascii="Arial" w:hAnsi="Arial" w:cs="Arial"/>
          <w:sz w:val="24"/>
          <w:szCs w:val="24"/>
        </w:rPr>
        <w:t xml:space="preserve"> The right to an environment that is not harmful to health or welfare is guaranteed by </w:t>
      </w:r>
      <w:r w:rsidR="009C63DC" w:rsidRPr="00765E62">
        <w:rPr>
          <w:rFonts w:ascii="Arial" w:hAnsi="Arial" w:cs="Arial"/>
          <w:sz w:val="24"/>
          <w:szCs w:val="24"/>
        </w:rPr>
        <w:t>section</w:t>
      </w:r>
      <w:r w:rsidR="00AA0C8A" w:rsidRPr="00765E62">
        <w:rPr>
          <w:rFonts w:ascii="Arial" w:hAnsi="Arial" w:cs="Arial"/>
          <w:sz w:val="24"/>
          <w:szCs w:val="24"/>
        </w:rPr>
        <w:t xml:space="preserve"> 24 of the Constitution</w:t>
      </w:r>
      <w:r w:rsidR="002A4A71" w:rsidRPr="00765E62">
        <w:rPr>
          <w:rFonts w:ascii="Arial" w:hAnsi="Arial" w:cs="Arial"/>
          <w:sz w:val="24"/>
          <w:szCs w:val="24"/>
        </w:rPr>
        <w:t xml:space="preserve"> of the Republic of South Africa, 1996</w:t>
      </w:r>
      <w:r w:rsidR="0009211E" w:rsidRPr="00765E62">
        <w:rPr>
          <w:rFonts w:ascii="Arial" w:hAnsi="Arial" w:cs="Arial"/>
          <w:sz w:val="24"/>
          <w:szCs w:val="24"/>
        </w:rPr>
        <w:t xml:space="preserve"> (“the Constitution”)</w:t>
      </w:r>
      <w:r w:rsidR="00AA0C8A" w:rsidRPr="00765E62">
        <w:rPr>
          <w:rFonts w:ascii="Arial" w:hAnsi="Arial" w:cs="Arial"/>
          <w:sz w:val="24"/>
          <w:szCs w:val="24"/>
        </w:rPr>
        <w:t>.</w:t>
      </w:r>
      <w:r w:rsidR="002A4A71" w:rsidRPr="00765E62">
        <w:rPr>
          <w:rFonts w:ascii="Arial" w:hAnsi="Arial" w:cs="Arial"/>
          <w:sz w:val="24"/>
          <w:szCs w:val="24"/>
        </w:rPr>
        <w:t xml:space="preserve"> </w:t>
      </w:r>
      <w:r w:rsidR="00770D05" w:rsidRPr="00765E62">
        <w:rPr>
          <w:rFonts w:ascii="Arial" w:hAnsi="Arial" w:cs="Arial"/>
          <w:sz w:val="24"/>
          <w:szCs w:val="24"/>
        </w:rPr>
        <w:t>The</w:t>
      </w:r>
      <w:r w:rsidR="00077AB1" w:rsidRPr="00765E62">
        <w:rPr>
          <w:rFonts w:ascii="Arial" w:hAnsi="Arial" w:cs="Arial"/>
          <w:sz w:val="24"/>
          <w:szCs w:val="24"/>
        </w:rPr>
        <w:t xml:space="preserve"> </w:t>
      </w:r>
      <w:bookmarkStart w:id="1" w:name="_Hlk141543063"/>
      <w:r w:rsidR="00077AB1" w:rsidRPr="00765E62">
        <w:rPr>
          <w:rFonts w:ascii="Arial" w:hAnsi="Arial" w:cs="Arial"/>
          <w:sz w:val="24"/>
          <w:szCs w:val="24"/>
        </w:rPr>
        <w:t>Mineral and Petroleum Resources Development Act</w:t>
      </w:r>
      <w:bookmarkEnd w:id="1"/>
      <w:r w:rsidR="0031026D" w:rsidRPr="00765E62">
        <w:rPr>
          <w:rFonts w:ascii="Arial" w:hAnsi="Arial" w:cs="Arial"/>
          <w:sz w:val="24"/>
          <w:szCs w:val="24"/>
        </w:rPr>
        <w:t>,</w:t>
      </w:r>
      <w:r w:rsidR="00077AB1" w:rsidRPr="00765E62">
        <w:rPr>
          <w:rFonts w:ascii="Arial" w:hAnsi="Arial" w:cs="Arial"/>
          <w:sz w:val="24"/>
          <w:szCs w:val="24"/>
        </w:rPr>
        <w:t xml:space="preserve"> </w:t>
      </w:r>
      <w:r w:rsidR="002A4A71" w:rsidRPr="00765E62">
        <w:rPr>
          <w:rFonts w:ascii="Arial" w:hAnsi="Arial" w:cs="Arial"/>
          <w:sz w:val="24"/>
          <w:szCs w:val="24"/>
        </w:rPr>
        <w:t xml:space="preserve">2002 </w:t>
      </w:r>
      <w:r w:rsidR="0031026D" w:rsidRPr="00765E62">
        <w:rPr>
          <w:rFonts w:ascii="Arial" w:hAnsi="Arial" w:cs="Arial"/>
          <w:sz w:val="24"/>
          <w:szCs w:val="24"/>
        </w:rPr>
        <w:t xml:space="preserve">(28 of 2002) </w:t>
      </w:r>
      <w:r w:rsidR="00077AB1" w:rsidRPr="00765E62">
        <w:rPr>
          <w:rFonts w:ascii="Arial" w:hAnsi="Arial" w:cs="Arial"/>
          <w:sz w:val="24"/>
          <w:szCs w:val="24"/>
        </w:rPr>
        <w:t>(</w:t>
      </w:r>
      <w:r w:rsidR="00F25EA2" w:rsidRPr="00765E62">
        <w:rPr>
          <w:rFonts w:ascii="Arial" w:hAnsi="Arial" w:cs="Arial"/>
          <w:sz w:val="24"/>
          <w:szCs w:val="24"/>
        </w:rPr>
        <w:t>“</w:t>
      </w:r>
      <w:r w:rsidR="00077AB1" w:rsidRPr="00765E62">
        <w:rPr>
          <w:rFonts w:ascii="Arial" w:hAnsi="Arial" w:cs="Arial"/>
          <w:sz w:val="24"/>
          <w:szCs w:val="24"/>
        </w:rPr>
        <w:t>MPRDA</w:t>
      </w:r>
      <w:r w:rsidR="00F25EA2" w:rsidRPr="00765E62">
        <w:rPr>
          <w:rFonts w:ascii="Arial" w:hAnsi="Arial" w:cs="Arial"/>
          <w:sz w:val="24"/>
          <w:szCs w:val="24"/>
        </w:rPr>
        <w:t>”</w:t>
      </w:r>
      <w:r w:rsidR="00077AB1" w:rsidRPr="00765E62">
        <w:rPr>
          <w:rFonts w:ascii="Arial" w:hAnsi="Arial" w:cs="Arial"/>
          <w:sz w:val="24"/>
          <w:szCs w:val="24"/>
        </w:rPr>
        <w:t>)</w:t>
      </w:r>
      <w:r w:rsidR="0031026D" w:rsidRPr="00765E62">
        <w:rPr>
          <w:rFonts w:ascii="Arial" w:hAnsi="Arial" w:cs="Arial"/>
          <w:sz w:val="24"/>
          <w:szCs w:val="24"/>
        </w:rPr>
        <w:t>,</w:t>
      </w:r>
      <w:r w:rsidR="00077AB1" w:rsidRPr="00765E62">
        <w:rPr>
          <w:rFonts w:ascii="Arial" w:hAnsi="Arial" w:cs="Arial"/>
          <w:sz w:val="24"/>
          <w:szCs w:val="24"/>
        </w:rPr>
        <w:t xml:space="preserve"> </w:t>
      </w:r>
      <w:r w:rsidR="00770D05" w:rsidRPr="00765E62">
        <w:rPr>
          <w:rFonts w:ascii="Arial" w:hAnsi="Arial" w:cs="Arial"/>
          <w:sz w:val="24"/>
          <w:szCs w:val="24"/>
        </w:rPr>
        <w:t>is the primary legislative instrument by which effect is given to section 24 of the Constitution in relation to mining activities.</w:t>
      </w:r>
      <w:r w:rsidR="006839FD" w:rsidRPr="00765E62">
        <w:rPr>
          <w:rFonts w:ascii="Arial" w:hAnsi="Arial" w:cs="Arial"/>
          <w:sz w:val="24"/>
          <w:szCs w:val="24"/>
        </w:rPr>
        <w:t xml:space="preserve"> </w:t>
      </w:r>
      <w:r w:rsidR="003531EF" w:rsidRPr="00765E62">
        <w:rPr>
          <w:rFonts w:ascii="Arial" w:hAnsi="Arial" w:cs="Arial"/>
          <w:sz w:val="24"/>
          <w:szCs w:val="24"/>
        </w:rPr>
        <w:t>Section 2(h) of the MPRDA states that its object is to ensure that the nation's mineral and petroleum resources are developed in an orderly and ecologically sustainable manner while promoting justifiable social and economic development.</w:t>
      </w:r>
      <w:r w:rsidR="003531EF" w:rsidRPr="00A32AB1">
        <w:rPr>
          <w:rStyle w:val="FootnoteReference"/>
          <w:rFonts w:ascii="Arial" w:hAnsi="Arial" w:cs="Arial"/>
          <w:sz w:val="24"/>
          <w:szCs w:val="24"/>
        </w:rPr>
        <w:footnoteReference w:id="3"/>
      </w:r>
    </w:p>
    <w:p w14:paraId="014615E2" w14:textId="77777777" w:rsidR="008D5E6C" w:rsidRDefault="008D5E6C" w:rsidP="008D5E6C">
      <w:pPr>
        <w:pStyle w:val="ListParagraph"/>
        <w:spacing w:after="0" w:line="360" w:lineRule="auto"/>
        <w:ind w:left="0"/>
        <w:jc w:val="both"/>
        <w:rPr>
          <w:rFonts w:ascii="Arial" w:hAnsi="Arial" w:cs="Arial"/>
          <w:sz w:val="24"/>
          <w:szCs w:val="24"/>
        </w:rPr>
      </w:pPr>
    </w:p>
    <w:p w14:paraId="0B3F4A8F" w14:textId="2568A786" w:rsidR="00A0504C" w:rsidRPr="00765E62" w:rsidRDefault="00765E62" w:rsidP="00765E62">
      <w:pPr>
        <w:spacing w:after="0" w:line="360" w:lineRule="auto"/>
        <w:jc w:val="both"/>
        <w:rPr>
          <w:rFonts w:ascii="Arial" w:hAnsi="Arial" w:cs="Arial"/>
          <w:sz w:val="24"/>
          <w:szCs w:val="24"/>
        </w:rPr>
      </w:pPr>
      <w:r w:rsidRPr="00E9328D">
        <w:rPr>
          <w:rFonts w:ascii="Arial" w:hAnsi="Arial" w:cs="Arial"/>
          <w:sz w:val="24"/>
          <w:szCs w:val="24"/>
        </w:rPr>
        <w:t>[2]</w:t>
      </w:r>
      <w:r w:rsidRPr="00E9328D">
        <w:rPr>
          <w:rFonts w:ascii="Arial" w:hAnsi="Arial" w:cs="Arial"/>
          <w:sz w:val="24"/>
          <w:szCs w:val="24"/>
        </w:rPr>
        <w:tab/>
      </w:r>
      <w:r w:rsidR="00A0504C" w:rsidRPr="00765E62">
        <w:rPr>
          <w:rFonts w:ascii="Arial" w:hAnsi="Arial" w:cs="Arial"/>
          <w:sz w:val="24"/>
          <w:szCs w:val="24"/>
        </w:rPr>
        <w:t xml:space="preserve">This is a review application in terms of Rule 53 of the Uniform Rules of Court </w:t>
      </w:r>
      <w:r w:rsidR="00247176" w:rsidRPr="00765E62">
        <w:rPr>
          <w:rFonts w:ascii="Arial" w:hAnsi="Arial" w:cs="Arial"/>
          <w:sz w:val="24"/>
          <w:szCs w:val="24"/>
        </w:rPr>
        <w:t xml:space="preserve">instituted by </w:t>
      </w:r>
      <w:r w:rsidR="00A0504C" w:rsidRPr="00765E62">
        <w:rPr>
          <w:rFonts w:ascii="Arial" w:hAnsi="Arial" w:cs="Arial"/>
          <w:sz w:val="24"/>
          <w:szCs w:val="24"/>
        </w:rPr>
        <w:t>De Beer Consolidated Mines (Pty) Ltd (</w:t>
      </w:r>
      <w:r w:rsidR="00740F70" w:rsidRPr="00765E62">
        <w:rPr>
          <w:rFonts w:ascii="Arial" w:hAnsi="Arial" w:cs="Arial"/>
          <w:sz w:val="24"/>
          <w:szCs w:val="24"/>
        </w:rPr>
        <w:t>“</w:t>
      </w:r>
      <w:r w:rsidR="00A0504C" w:rsidRPr="00765E62">
        <w:rPr>
          <w:rFonts w:ascii="Arial" w:hAnsi="Arial" w:cs="Arial"/>
          <w:sz w:val="24"/>
          <w:szCs w:val="24"/>
        </w:rPr>
        <w:t>DBCM</w:t>
      </w:r>
      <w:r w:rsidR="00740F70" w:rsidRPr="00765E62">
        <w:rPr>
          <w:rFonts w:ascii="Arial" w:hAnsi="Arial" w:cs="Arial"/>
          <w:sz w:val="24"/>
          <w:szCs w:val="24"/>
        </w:rPr>
        <w:t>”</w:t>
      </w:r>
      <w:r w:rsidR="00A0504C" w:rsidRPr="00765E62">
        <w:rPr>
          <w:rFonts w:ascii="Arial" w:hAnsi="Arial" w:cs="Arial"/>
          <w:sz w:val="24"/>
          <w:szCs w:val="24"/>
        </w:rPr>
        <w:t xml:space="preserve">) seeking relief in the following order: </w:t>
      </w:r>
    </w:p>
    <w:p w14:paraId="4A7007DE" w14:textId="77777777" w:rsidR="00A0504C" w:rsidRPr="00E9328D" w:rsidRDefault="00A0504C" w:rsidP="00A0504C">
      <w:pPr>
        <w:pStyle w:val="ListParagraph"/>
        <w:rPr>
          <w:rFonts w:ascii="Arial" w:hAnsi="Arial" w:cs="Arial"/>
          <w:sz w:val="24"/>
          <w:szCs w:val="24"/>
        </w:rPr>
      </w:pPr>
    </w:p>
    <w:p w14:paraId="4616959F" w14:textId="50ACDE27" w:rsidR="00A0504C" w:rsidRPr="00E9328D" w:rsidRDefault="00A0504C" w:rsidP="00A0504C">
      <w:pPr>
        <w:pStyle w:val="ListParagraph"/>
        <w:spacing w:after="0" w:line="360" w:lineRule="auto"/>
        <w:jc w:val="both"/>
        <w:rPr>
          <w:rFonts w:ascii="Arial" w:hAnsi="Arial" w:cs="Arial"/>
          <w:sz w:val="24"/>
          <w:szCs w:val="24"/>
        </w:rPr>
      </w:pPr>
      <w:r w:rsidRPr="00E9328D">
        <w:rPr>
          <w:rFonts w:ascii="Arial" w:hAnsi="Arial" w:cs="Arial"/>
          <w:sz w:val="24"/>
          <w:szCs w:val="24"/>
        </w:rPr>
        <w:t>2.1. Directing that DBCM be exempted from the obligation to exhaust internal remedies as required for in section 7 (2)</w:t>
      </w:r>
      <w:r w:rsidR="00E9328D">
        <w:rPr>
          <w:rFonts w:ascii="Arial" w:hAnsi="Arial" w:cs="Arial"/>
          <w:sz w:val="24"/>
          <w:szCs w:val="24"/>
        </w:rPr>
        <w:t xml:space="preserve"> </w:t>
      </w:r>
      <w:r w:rsidRPr="00E9328D">
        <w:rPr>
          <w:rFonts w:ascii="Arial" w:hAnsi="Arial" w:cs="Arial"/>
          <w:sz w:val="24"/>
          <w:szCs w:val="24"/>
        </w:rPr>
        <w:t xml:space="preserve">(c) of PAJA; </w:t>
      </w:r>
    </w:p>
    <w:p w14:paraId="6BCD0D03" w14:textId="77777777" w:rsidR="00A0504C" w:rsidRPr="00E9328D" w:rsidRDefault="00A0504C" w:rsidP="00A0504C">
      <w:pPr>
        <w:pStyle w:val="ListParagraph"/>
        <w:rPr>
          <w:rFonts w:ascii="Arial" w:hAnsi="Arial" w:cs="Arial"/>
          <w:sz w:val="24"/>
          <w:szCs w:val="24"/>
        </w:rPr>
      </w:pPr>
    </w:p>
    <w:p w14:paraId="3F1FCC2B" w14:textId="5ACB316D" w:rsidR="00E9328D" w:rsidRDefault="00A0504C" w:rsidP="00A0504C">
      <w:pPr>
        <w:pStyle w:val="ListParagraph"/>
        <w:spacing w:after="0" w:line="360" w:lineRule="auto"/>
        <w:jc w:val="both"/>
        <w:rPr>
          <w:rFonts w:ascii="Arial" w:hAnsi="Arial" w:cs="Arial"/>
          <w:sz w:val="24"/>
          <w:szCs w:val="24"/>
        </w:rPr>
      </w:pPr>
      <w:r w:rsidRPr="00E9328D">
        <w:rPr>
          <w:rFonts w:ascii="Arial" w:hAnsi="Arial" w:cs="Arial"/>
          <w:sz w:val="24"/>
          <w:szCs w:val="24"/>
        </w:rPr>
        <w:t xml:space="preserve">2.2. </w:t>
      </w:r>
      <w:r w:rsidR="00E9328D">
        <w:rPr>
          <w:rFonts w:ascii="Arial" w:hAnsi="Arial" w:cs="Arial"/>
          <w:sz w:val="24"/>
          <w:szCs w:val="24"/>
        </w:rPr>
        <w:tab/>
      </w:r>
      <w:r w:rsidRPr="00E9328D">
        <w:rPr>
          <w:rFonts w:ascii="Arial" w:hAnsi="Arial" w:cs="Arial"/>
          <w:sz w:val="24"/>
          <w:szCs w:val="24"/>
        </w:rPr>
        <w:t>Declaring that section 43 of the MPRDA as it existed when the DBCM lodged its closure application on 03 November 2009 (pre</w:t>
      </w:r>
      <w:r w:rsidR="00510220">
        <w:rPr>
          <w:rFonts w:ascii="Arial" w:hAnsi="Arial" w:cs="Arial"/>
          <w:sz w:val="24"/>
          <w:szCs w:val="24"/>
        </w:rPr>
        <w:t xml:space="preserve"> </w:t>
      </w:r>
      <w:r w:rsidRPr="00E9328D">
        <w:rPr>
          <w:rFonts w:ascii="Arial" w:hAnsi="Arial" w:cs="Arial"/>
          <w:sz w:val="24"/>
          <w:szCs w:val="24"/>
        </w:rPr>
        <w:t xml:space="preserve">amendment MPRDA) is applicable to the determination of such application; </w:t>
      </w:r>
    </w:p>
    <w:p w14:paraId="39EB452F" w14:textId="77777777" w:rsidR="00E9328D" w:rsidRDefault="00E9328D" w:rsidP="00A0504C">
      <w:pPr>
        <w:pStyle w:val="ListParagraph"/>
        <w:spacing w:after="0" w:line="360" w:lineRule="auto"/>
        <w:jc w:val="both"/>
        <w:rPr>
          <w:rFonts w:ascii="Arial" w:hAnsi="Arial" w:cs="Arial"/>
          <w:sz w:val="24"/>
          <w:szCs w:val="24"/>
        </w:rPr>
      </w:pPr>
    </w:p>
    <w:p w14:paraId="4397975B" w14:textId="14446998" w:rsidR="008D5E6C" w:rsidRPr="00E9328D" w:rsidRDefault="00A0504C" w:rsidP="00A0504C">
      <w:pPr>
        <w:pStyle w:val="ListParagraph"/>
        <w:spacing w:after="0" w:line="360" w:lineRule="auto"/>
        <w:jc w:val="both"/>
        <w:rPr>
          <w:rFonts w:ascii="Arial" w:hAnsi="Arial" w:cs="Arial"/>
          <w:sz w:val="24"/>
          <w:szCs w:val="24"/>
        </w:rPr>
      </w:pPr>
      <w:r w:rsidRPr="00E9328D">
        <w:rPr>
          <w:rFonts w:ascii="Arial" w:hAnsi="Arial" w:cs="Arial"/>
          <w:sz w:val="24"/>
          <w:szCs w:val="24"/>
        </w:rPr>
        <w:t xml:space="preserve">2.3. </w:t>
      </w:r>
      <w:r w:rsidR="00E9328D">
        <w:rPr>
          <w:rFonts w:ascii="Arial" w:hAnsi="Arial" w:cs="Arial"/>
          <w:sz w:val="24"/>
          <w:szCs w:val="24"/>
        </w:rPr>
        <w:tab/>
      </w:r>
      <w:r w:rsidRPr="00E9328D">
        <w:rPr>
          <w:rFonts w:ascii="Arial" w:hAnsi="Arial" w:cs="Arial"/>
          <w:sz w:val="24"/>
          <w:szCs w:val="24"/>
        </w:rPr>
        <w:t>Declaring that DBCM is not under any obligation to backfill the open pit at the Oaks Mine situated in the Limpopo Province on the properties known as the Oaks 153 MR,</w:t>
      </w:r>
      <w:r w:rsidR="00E9328D">
        <w:rPr>
          <w:rFonts w:ascii="Arial" w:hAnsi="Arial" w:cs="Arial"/>
          <w:sz w:val="24"/>
          <w:szCs w:val="24"/>
        </w:rPr>
        <w:t xml:space="preserve"> </w:t>
      </w:r>
      <w:r w:rsidRPr="00E9328D">
        <w:rPr>
          <w:rFonts w:ascii="Arial" w:hAnsi="Arial" w:cs="Arial"/>
          <w:sz w:val="24"/>
          <w:szCs w:val="24"/>
        </w:rPr>
        <w:t>Oatlands I51 MR and Jakhalsfontein 199 MR</w:t>
      </w:r>
      <w:r w:rsidR="00247176">
        <w:rPr>
          <w:rFonts w:ascii="Arial" w:hAnsi="Arial" w:cs="Arial"/>
          <w:sz w:val="24"/>
          <w:szCs w:val="24"/>
        </w:rPr>
        <w:t>;</w:t>
      </w:r>
    </w:p>
    <w:p w14:paraId="3F8DF5E2" w14:textId="044DB6A4" w:rsidR="00557BEF" w:rsidRPr="003531EF" w:rsidRDefault="00557BEF" w:rsidP="003531EF">
      <w:pPr>
        <w:pStyle w:val="ListParagraph"/>
        <w:spacing w:after="0" w:line="360" w:lineRule="auto"/>
        <w:ind w:left="0"/>
        <w:jc w:val="both"/>
        <w:rPr>
          <w:rFonts w:ascii="Arial" w:hAnsi="Arial" w:cs="Arial"/>
          <w:sz w:val="24"/>
          <w:szCs w:val="24"/>
        </w:rPr>
      </w:pPr>
    </w:p>
    <w:p w14:paraId="051D7B87" w14:textId="7B2330D1" w:rsidR="00E9328D" w:rsidRDefault="00E9328D" w:rsidP="00E9328D">
      <w:pPr>
        <w:pStyle w:val="ListParagraph"/>
        <w:spacing w:after="0" w:line="360" w:lineRule="auto"/>
        <w:jc w:val="both"/>
        <w:rPr>
          <w:rFonts w:ascii="Arial" w:hAnsi="Arial" w:cs="Arial"/>
          <w:sz w:val="24"/>
          <w:szCs w:val="24"/>
        </w:rPr>
      </w:pPr>
      <w:r w:rsidRPr="00E9328D">
        <w:rPr>
          <w:rFonts w:ascii="Arial" w:hAnsi="Arial" w:cs="Arial"/>
          <w:sz w:val="24"/>
          <w:szCs w:val="24"/>
        </w:rPr>
        <w:lastRenderedPageBreak/>
        <w:t>2.4.</w:t>
      </w:r>
      <w:r w:rsidRPr="00E9328D">
        <w:rPr>
          <w:rFonts w:ascii="Arial" w:hAnsi="Arial" w:cs="Arial"/>
          <w:sz w:val="24"/>
          <w:szCs w:val="24"/>
        </w:rPr>
        <w:tab/>
        <w:t xml:space="preserve">that the </w:t>
      </w:r>
      <w:r w:rsidR="000E755D" w:rsidRPr="00E9328D">
        <w:rPr>
          <w:rFonts w:ascii="Arial" w:hAnsi="Arial" w:cs="Arial"/>
          <w:sz w:val="24"/>
          <w:szCs w:val="24"/>
        </w:rPr>
        <w:t>decision</w:t>
      </w:r>
      <w:r w:rsidR="000E755D">
        <w:rPr>
          <w:rFonts w:ascii="Arial" w:hAnsi="Arial" w:cs="Arial"/>
          <w:sz w:val="24"/>
          <w:szCs w:val="24"/>
        </w:rPr>
        <w:t xml:space="preserve"> of the Regional Manager</w:t>
      </w:r>
      <w:r w:rsidRPr="00E9328D">
        <w:rPr>
          <w:rFonts w:ascii="Arial" w:hAnsi="Arial" w:cs="Arial"/>
          <w:sz w:val="24"/>
          <w:szCs w:val="24"/>
        </w:rPr>
        <w:t xml:space="preserve"> to refuse to grant DBCM’s closure application dated 03 November 2009 alternatively its refusal to decide</w:t>
      </w:r>
      <w:r w:rsidR="000E755D">
        <w:rPr>
          <w:rFonts w:ascii="Arial" w:hAnsi="Arial" w:cs="Arial"/>
          <w:sz w:val="24"/>
          <w:szCs w:val="24"/>
        </w:rPr>
        <w:t xml:space="preserve"> (“the decision”) </w:t>
      </w:r>
      <w:r w:rsidRPr="00E9328D">
        <w:rPr>
          <w:rFonts w:ascii="Arial" w:hAnsi="Arial" w:cs="Arial"/>
          <w:sz w:val="24"/>
          <w:szCs w:val="24"/>
        </w:rPr>
        <w:t xml:space="preserve">the closure application be set aside in terms of section 8 of PAJA; </w:t>
      </w:r>
    </w:p>
    <w:p w14:paraId="69D261DC" w14:textId="77777777" w:rsidR="00E9328D" w:rsidRPr="00E9328D" w:rsidRDefault="00E9328D" w:rsidP="00E9328D">
      <w:pPr>
        <w:pStyle w:val="ListParagraph"/>
        <w:spacing w:after="0" w:line="360" w:lineRule="auto"/>
        <w:jc w:val="both"/>
        <w:rPr>
          <w:rFonts w:ascii="Arial" w:hAnsi="Arial" w:cs="Arial"/>
          <w:sz w:val="24"/>
          <w:szCs w:val="24"/>
        </w:rPr>
      </w:pPr>
    </w:p>
    <w:p w14:paraId="664A8C52" w14:textId="06EBEEC1" w:rsidR="00E9328D" w:rsidRDefault="00E9328D" w:rsidP="00E9328D">
      <w:pPr>
        <w:pStyle w:val="ListParagraph"/>
        <w:spacing w:after="0" w:line="360" w:lineRule="auto"/>
        <w:jc w:val="both"/>
        <w:rPr>
          <w:rFonts w:ascii="Arial" w:hAnsi="Arial" w:cs="Arial"/>
          <w:sz w:val="24"/>
          <w:szCs w:val="24"/>
        </w:rPr>
      </w:pPr>
      <w:r w:rsidRPr="00E9328D">
        <w:rPr>
          <w:rFonts w:ascii="Arial" w:hAnsi="Arial" w:cs="Arial"/>
          <w:sz w:val="24"/>
          <w:szCs w:val="24"/>
        </w:rPr>
        <w:t xml:space="preserve">2.5. </w:t>
      </w:r>
      <w:r w:rsidRPr="00E9328D">
        <w:rPr>
          <w:rFonts w:ascii="Arial" w:hAnsi="Arial" w:cs="Arial"/>
          <w:sz w:val="24"/>
          <w:szCs w:val="24"/>
        </w:rPr>
        <w:tab/>
        <w:t>Alternatively</w:t>
      </w:r>
      <w:r w:rsidR="00AD7974">
        <w:rPr>
          <w:rFonts w:ascii="Arial" w:hAnsi="Arial" w:cs="Arial"/>
          <w:sz w:val="24"/>
          <w:szCs w:val="24"/>
        </w:rPr>
        <w:t>,</w:t>
      </w:r>
      <w:r w:rsidRPr="00E9328D">
        <w:rPr>
          <w:rFonts w:ascii="Arial" w:hAnsi="Arial" w:cs="Arial"/>
          <w:sz w:val="24"/>
          <w:szCs w:val="24"/>
        </w:rPr>
        <w:t xml:space="preserve"> to prayer 4 above, that the decision be declared to be inconsistence with the principle of legality enshrined in section 1 (c) of the Constitution and that it be set aside for that reason; </w:t>
      </w:r>
    </w:p>
    <w:p w14:paraId="6A540144" w14:textId="77777777" w:rsidR="00E9328D" w:rsidRPr="00E9328D" w:rsidRDefault="00E9328D" w:rsidP="00E9328D">
      <w:pPr>
        <w:pStyle w:val="ListParagraph"/>
        <w:spacing w:after="0" w:line="360" w:lineRule="auto"/>
        <w:jc w:val="both"/>
        <w:rPr>
          <w:rFonts w:ascii="Arial" w:hAnsi="Arial" w:cs="Arial"/>
          <w:sz w:val="24"/>
          <w:szCs w:val="24"/>
        </w:rPr>
      </w:pPr>
    </w:p>
    <w:p w14:paraId="3E768C38" w14:textId="6F65E76A" w:rsidR="00E9328D" w:rsidRDefault="00E9328D" w:rsidP="00E9328D">
      <w:pPr>
        <w:pStyle w:val="ListParagraph"/>
        <w:spacing w:after="0" w:line="360" w:lineRule="auto"/>
        <w:ind w:left="1440" w:hanging="720"/>
        <w:jc w:val="both"/>
        <w:rPr>
          <w:rFonts w:ascii="Arial" w:hAnsi="Arial" w:cs="Arial"/>
          <w:sz w:val="24"/>
          <w:szCs w:val="24"/>
        </w:rPr>
      </w:pPr>
      <w:r w:rsidRPr="00E9328D">
        <w:rPr>
          <w:rFonts w:ascii="Arial" w:hAnsi="Arial" w:cs="Arial"/>
          <w:sz w:val="24"/>
          <w:szCs w:val="24"/>
        </w:rPr>
        <w:t xml:space="preserve">2.6. </w:t>
      </w:r>
      <w:r>
        <w:rPr>
          <w:rFonts w:ascii="Arial" w:hAnsi="Arial" w:cs="Arial"/>
          <w:sz w:val="24"/>
          <w:szCs w:val="24"/>
        </w:rPr>
        <w:tab/>
      </w:r>
      <w:r w:rsidRPr="00E9328D">
        <w:rPr>
          <w:rFonts w:ascii="Arial" w:hAnsi="Arial" w:cs="Arial"/>
          <w:sz w:val="24"/>
          <w:szCs w:val="24"/>
        </w:rPr>
        <w:t>Directing the Minister to grant the closure application and to issue a closure certificate in terms of section 43 (1) of the pre</w:t>
      </w:r>
      <w:r w:rsidR="00510220">
        <w:rPr>
          <w:rFonts w:ascii="Arial" w:hAnsi="Arial" w:cs="Arial"/>
          <w:sz w:val="24"/>
          <w:szCs w:val="24"/>
        </w:rPr>
        <w:t xml:space="preserve"> </w:t>
      </w:r>
      <w:r w:rsidRPr="00E9328D">
        <w:rPr>
          <w:rFonts w:ascii="Arial" w:hAnsi="Arial" w:cs="Arial"/>
          <w:sz w:val="24"/>
          <w:szCs w:val="24"/>
        </w:rPr>
        <w:t>amendment MPRDA, alternatively to issue a closure certificate upon satisfaction of the requirements of section 4</w:t>
      </w:r>
      <w:r w:rsidR="0031026D">
        <w:rPr>
          <w:rFonts w:ascii="Arial" w:hAnsi="Arial" w:cs="Arial"/>
          <w:sz w:val="24"/>
          <w:szCs w:val="24"/>
        </w:rPr>
        <w:t>3</w:t>
      </w:r>
      <w:r w:rsidRPr="00E9328D">
        <w:rPr>
          <w:rFonts w:ascii="Arial" w:hAnsi="Arial" w:cs="Arial"/>
          <w:sz w:val="24"/>
          <w:szCs w:val="24"/>
        </w:rPr>
        <w:t xml:space="preserve"> (5) and 13 of the MPRDA; </w:t>
      </w:r>
    </w:p>
    <w:p w14:paraId="601BC85C" w14:textId="77777777" w:rsidR="00E9328D" w:rsidRPr="00E9328D" w:rsidRDefault="00E9328D" w:rsidP="00E9328D">
      <w:pPr>
        <w:pStyle w:val="ListParagraph"/>
        <w:spacing w:after="0" w:line="360" w:lineRule="auto"/>
        <w:ind w:left="1440" w:hanging="720"/>
        <w:jc w:val="both"/>
        <w:rPr>
          <w:rFonts w:ascii="Arial" w:hAnsi="Arial" w:cs="Arial"/>
          <w:sz w:val="24"/>
          <w:szCs w:val="24"/>
        </w:rPr>
      </w:pPr>
    </w:p>
    <w:p w14:paraId="180FA731" w14:textId="31D640F7" w:rsidR="00E9328D" w:rsidRDefault="00E9328D" w:rsidP="00E9328D">
      <w:pPr>
        <w:pStyle w:val="ListParagraph"/>
        <w:spacing w:after="0" w:line="360" w:lineRule="auto"/>
        <w:jc w:val="both"/>
        <w:rPr>
          <w:rFonts w:ascii="Arial" w:hAnsi="Arial" w:cs="Arial"/>
          <w:sz w:val="24"/>
          <w:szCs w:val="24"/>
        </w:rPr>
      </w:pPr>
      <w:r w:rsidRPr="00E9328D">
        <w:rPr>
          <w:rFonts w:ascii="Arial" w:hAnsi="Arial" w:cs="Arial"/>
          <w:sz w:val="24"/>
          <w:szCs w:val="24"/>
        </w:rPr>
        <w:t xml:space="preserve">2.7. </w:t>
      </w:r>
      <w:r>
        <w:rPr>
          <w:rFonts w:ascii="Arial" w:hAnsi="Arial" w:cs="Arial"/>
          <w:sz w:val="24"/>
          <w:szCs w:val="24"/>
        </w:rPr>
        <w:tab/>
      </w:r>
      <w:r w:rsidRPr="00E9328D">
        <w:rPr>
          <w:rFonts w:ascii="Arial" w:hAnsi="Arial" w:cs="Arial"/>
          <w:sz w:val="24"/>
          <w:szCs w:val="24"/>
        </w:rPr>
        <w:t xml:space="preserve">In the alternative to prayer </w:t>
      </w:r>
      <w:r w:rsidR="00C01D4B">
        <w:rPr>
          <w:rFonts w:ascii="Arial" w:hAnsi="Arial" w:cs="Arial"/>
          <w:sz w:val="24"/>
          <w:szCs w:val="24"/>
        </w:rPr>
        <w:t>2.</w:t>
      </w:r>
      <w:r w:rsidRPr="00E9328D">
        <w:rPr>
          <w:rFonts w:ascii="Arial" w:hAnsi="Arial" w:cs="Arial"/>
          <w:sz w:val="24"/>
          <w:szCs w:val="24"/>
        </w:rPr>
        <w:t>1</w:t>
      </w:r>
      <w:r w:rsidR="00C116F4">
        <w:rPr>
          <w:rFonts w:ascii="Arial" w:hAnsi="Arial" w:cs="Arial"/>
          <w:sz w:val="24"/>
          <w:szCs w:val="24"/>
        </w:rPr>
        <w:t xml:space="preserve"> </w:t>
      </w:r>
      <w:r w:rsidRPr="00E9328D">
        <w:rPr>
          <w:rFonts w:ascii="Arial" w:hAnsi="Arial" w:cs="Arial"/>
          <w:sz w:val="24"/>
          <w:szCs w:val="24"/>
        </w:rPr>
        <w:t>-</w:t>
      </w:r>
      <w:r w:rsidR="00C01D4B">
        <w:rPr>
          <w:rFonts w:ascii="Arial" w:hAnsi="Arial" w:cs="Arial"/>
          <w:sz w:val="24"/>
          <w:szCs w:val="24"/>
        </w:rPr>
        <w:t xml:space="preserve"> 2.</w:t>
      </w:r>
      <w:r w:rsidRPr="00E9328D">
        <w:rPr>
          <w:rFonts w:ascii="Arial" w:hAnsi="Arial" w:cs="Arial"/>
          <w:sz w:val="24"/>
          <w:szCs w:val="24"/>
        </w:rPr>
        <w:t>6 above, directing the Minister to consider DBCM’s internal appeal and within 25 days of the grant of this order to decide the appeal, having regard to this Court’s judgement and to communicate his decision to DBCM within 5 days of its being taken</w:t>
      </w:r>
      <w:r w:rsidR="00247176">
        <w:rPr>
          <w:rFonts w:ascii="Arial" w:hAnsi="Arial" w:cs="Arial"/>
          <w:sz w:val="24"/>
          <w:szCs w:val="24"/>
        </w:rPr>
        <w:t>;</w:t>
      </w:r>
      <w:r w:rsidRPr="00E9328D">
        <w:rPr>
          <w:rFonts w:ascii="Arial" w:hAnsi="Arial" w:cs="Arial"/>
          <w:sz w:val="24"/>
          <w:szCs w:val="24"/>
        </w:rPr>
        <w:t xml:space="preserve"> and</w:t>
      </w:r>
    </w:p>
    <w:p w14:paraId="4BB0F3AA" w14:textId="20D62FB2" w:rsidR="00247176" w:rsidRDefault="00247176" w:rsidP="00E9328D">
      <w:pPr>
        <w:pStyle w:val="ListParagraph"/>
        <w:spacing w:after="0" w:line="360" w:lineRule="auto"/>
        <w:jc w:val="both"/>
        <w:rPr>
          <w:rFonts w:ascii="Arial" w:hAnsi="Arial" w:cs="Arial"/>
          <w:sz w:val="24"/>
          <w:szCs w:val="24"/>
        </w:rPr>
      </w:pPr>
    </w:p>
    <w:p w14:paraId="53F07E15" w14:textId="2F205A60" w:rsidR="00247176" w:rsidRPr="00E9328D" w:rsidRDefault="00247176" w:rsidP="00E9328D">
      <w:pPr>
        <w:pStyle w:val="ListParagraph"/>
        <w:spacing w:after="0" w:line="360" w:lineRule="auto"/>
        <w:jc w:val="both"/>
        <w:rPr>
          <w:rFonts w:ascii="Arial" w:hAnsi="Arial" w:cs="Arial"/>
          <w:sz w:val="24"/>
          <w:szCs w:val="24"/>
          <w:u w:val="single"/>
        </w:rPr>
      </w:pPr>
      <w:r>
        <w:rPr>
          <w:rFonts w:ascii="Arial" w:hAnsi="Arial" w:cs="Arial"/>
          <w:sz w:val="24"/>
          <w:szCs w:val="24"/>
        </w:rPr>
        <w:t xml:space="preserve">2.8 </w:t>
      </w:r>
      <w:r>
        <w:rPr>
          <w:rFonts w:ascii="Arial" w:hAnsi="Arial" w:cs="Arial"/>
          <w:sz w:val="24"/>
          <w:szCs w:val="24"/>
        </w:rPr>
        <w:tab/>
      </w:r>
      <w:r w:rsidR="00AD7974">
        <w:rPr>
          <w:rFonts w:ascii="Arial" w:hAnsi="Arial" w:cs="Arial"/>
          <w:sz w:val="24"/>
          <w:szCs w:val="24"/>
        </w:rPr>
        <w:t xml:space="preserve">Ordering those Respondents that oppose this Application to pay the costs of this Application jointly and severally, such costs to include the costs of </w:t>
      </w:r>
      <w:r w:rsidR="005E5C0A">
        <w:rPr>
          <w:rFonts w:ascii="Arial" w:hAnsi="Arial" w:cs="Arial"/>
          <w:sz w:val="24"/>
          <w:szCs w:val="24"/>
        </w:rPr>
        <w:t xml:space="preserve">two </w:t>
      </w:r>
      <w:r w:rsidR="00AD7974">
        <w:rPr>
          <w:rFonts w:ascii="Arial" w:hAnsi="Arial" w:cs="Arial"/>
          <w:sz w:val="24"/>
          <w:szCs w:val="24"/>
        </w:rPr>
        <w:t xml:space="preserve">Counsel.  </w:t>
      </w:r>
      <w:r>
        <w:rPr>
          <w:rFonts w:ascii="Arial" w:hAnsi="Arial" w:cs="Arial"/>
          <w:sz w:val="24"/>
          <w:szCs w:val="24"/>
        </w:rPr>
        <w:t xml:space="preserve"> </w:t>
      </w:r>
    </w:p>
    <w:p w14:paraId="239EFD6C" w14:textId="77777777" w:rsidR="00E9328D" w:rsidRDefault="00E9328D" w:rsidP="00A32AB1">
      <w:pPr>
        <w:pStyle w:val="ListParagraph"/>
        <w:spacing w:after="0" w:line="360" w:lineRule="auto"/>
        <w:ind w:left="0"/>
        <w:jc w:val="both"/>
        <w:rPr>
          <w:rFonts w:ascii="Arial" w:hAnsi="Arial" w:cs="Arial"/>
          <w:sz w:val="24"/>
          <w:szCs w:val="24"/>
          <w:u w:val="single"/>
        </w:rPr>
      </w:pPr>
    </w:p>
    <w:p w14:paraId="3F0AD918" w14:textId="029A7A27" w:rsidR="00C74AE5" w:rsidRPr="003E6404" w:rsidRDefault="005F5C35" w:rsidP="00A32AB1">
      <w:pPr>
        <w:pStyle w:val="ListParagraph"/>
        <w:spacing w:after="0" w:line="360" w:lineRule="auto"/>
        <w:ind w:left="0"/>
        <w:jc w:val="both"/>
        <w:rPr>
          <w:rFonts w:ascii="Arial" w:hAnsi="Arial" w:cs="Arial"/>
          <w:b/>
          <w:sz w:val="24"/>
          <w:szCs w:val="24"/>
        </w:rPr>
      </w:pPr>
      <w:r w:rsidRPr="003E6404">
        <w:rPr>
          <w:rFonts w:ascii="Arial" w:hAnsi="Arial" w:cs="Arial"/>
          <w:b/>
          <w:sz w:val="24"/>
          <w:szCs w:val="24"/>
        </w:rPr>
        <w:t>Parties</w:t>
      </w:r>
    </w:p>
    <w:p w14:paraId="5F21F61B" w14:textId="77777777" w:rsidR="005F5C35" w:rsidRDefault="005F5C35" w:rsidP="00A32AB1">
      <w:pPr>
        <w:pStyle w:val="ListParagraph"/>
        <w:spacing w:after="0" w:line="360" w:lineRule="auto"/>
        <w:ind w:left="0"/>
        <w:jc w:val="both"/>
        <w:rPr>
          <w:rFonts w:ascii="Arial" w:hAnsi="Arial" w:cs="Arial"/>
          <w:sz w:val="24"/>
          <w:szCs w:val="24"/>
        </w:rPr>
      </w:pPr>
    </w:p>
    <w:p w14:paraId="5DFFC75D" w14:textId="55EC64CF" w:rsidR="007A58C2" w:rsidRDefault="00A0187E" w:rsidP="00A32AB1">
      <w:pPr>
        <w:pStyle w:val="ListParagraph"/>
        <w:spacing w:after="0" w:line="360" w:lineRule="auto"/>
        <w:ind w:left="0"/>
        <w:jc w:val="both"/>
        <w:rPr>
          <w:rFonts w:ascii="Arial" w:hAnsi="Arial" w:cs="Arial"/>
          <w:sz w:val="24"/>
          <w:szCs w:val="24"/>
        </w:rPr>
      </w:pPr>
      <w:r w:rsidRPr="00A0187E">
        <w:rPr>
          <w:rFonts w:ascii="Arial" w:hAnsi="Arial" w:cs="Arial"/>
          <w:sz w:val="24"/>
          <w:szCs w:val="24"/>
        </w:rPr>
        <w:t>[</w:t>
      </w:r>
      <w:r w:rsidR="00435C3F">
        <w:rPr>
          <w:rFonts w:ascii="Arial" w:hAnsi="Arial" w:cs="Arial"/>
          <w:sz w:val="24"/>
          <w:szCs w:val="24"/>
        </w:rPr>
        <w:t>3</w:t>
      </w:r>
      <w:r w:rsidRPr="00A0187E">
        <w:rPr>
          <w:rFonts w:ascii="Arial" w:hAnsi="Arial" w:cs="Arial"/>
          <w:sz w:val="24"/>
          <w:szCs w:val="24"/>
        </w:rPr>
        <w:t>]</w:t>
      </w:r>
      <w:r>
        <w:rPr>
          <w:rFonts w:ascii="Arial" w:hAnsi="Arial" w:cs="Arial"/>
          <w:sz w:val="24"/>
          <w:szCs w:val="24"/>
        </w:rPr>
        <w:tab/>
      </w:r>
      <w:r w:rsidR="00B46C42">
        <w:rPr>
          <w:rFonts w:ascii="Arial" w:hAnsi="Arial" w:cs="Arial"/>
          <w:sz w:val="24"/>
          <w:szCs w:val="24"/>
        </w:rPr>
        <w:t>The 1</w:t>
      </w:r>
      <w:r w:rsidR="00B46C42" w:rsidRPr="00B46C42">
        <w:rPr>
          <w:rFonts w:ascii="Arial" w:hAnsi="Arial" w:cs="Arial"/>
          <w:sz w:val="24"/>
          <w:szCs w:val="24"/>
          <w:vertAlign w:val="superscript"/>
        </w:rPr>
        <w:t>st</w:t>
      </w:r>
      <w:r w:rsidR="00B46C42">
        <w:rPr>
          <w:rFonts w:ascii="Arial" w:hAnsi="Arial" w:cs="Arial"/>
          <w:sz w:val="24"/>
          <w:szCs w:val="24"/>
        </w:rPr>
        <w:t xml:space="preserve"> Respondent</w:t>
      </w:r>
      <w:r w:rsidR="007A58C2">
        <w:rPr>
          <w:rFonts w:ascii="Arial" w:hAnsi="Arial" w:cs="Arial"/>
          <w:sz w:val="24"/>
          <w:szCs w:val="24"/>
        </w:rPr>
        <w:t xml:space="preserve"> is the </w:t>
      </w:r>
      <w:r>
        <w:rPr>
          <w:rFonts w:ascii="Arial" w:hAnsi="Arial" w:cs="Arial"/>
          <w:sz w:val="24"/>
          <w:szCs w:val="24"/>
        </w:rPr>
        <w:t>Regional Manager</w:t>
      </w:r>
      <w:r w:rsidR="007A58C2">
        <w:rPr>
          <w:rFonts w:ascii="Arial" w:hAnsi="Arial" w:cs="Arial"/>
          <w:sz w:val="24"/>
          <w:szCs w:val="24"/>
        </w:rPr>
        <w:t>, Limpopo: Department of Mineral Resources and Energy</w:t>
      </w:r>
      <w:r>
        <w:rPr>
          <w:rFonts w:ascii="Arial" w:hAnsi="Arial" w:cs="Arial"/>
          <w:sz w:val="24"/>
          <w:szCs w:val="24"/>
        </w:rPr>
        <w:t xml:space="preserve"> </w:t>
      </w:r>
      <w:r w:rsidR="007A58C2">
        <w:rPr>
          <w:rFonts w:ascii="Arial" w:hAnsi="Arial" w:cs="Arial"/>
          <w:sz w:val="24"/>
          <w:szCs w:val="24"/>
        </w:rPr>
        <w:t>and the 2</w:t>
      </w:r>
      <w:r w:rsidR="007A58C2" w:rsidRPr="007A58C2">
        <w:rPr>
          <w:rFonts w:ascii="Arial" w:hAnsi="Arial" w:cs="Arial"/>
          <w:sz w:val="24"/>
          <w:szCs w:val="24"/>
          <w:vertAlign w:val="superscript"/>
        </w:rPr>
        <w:t>nd</w:t>
      </w:r>
      <w:r w:rsidR="007A58C2">
        <w:rPr>
          <w:rFonts w:ascii="Arial" w:hAnsi="Arial" w:cs="Arial"/>
          <w:sz w:val="24"/>
          <w:szCs w:val="24"/>
        </w:rPr>
        <w:t xml:space="preserve"> Respondent, is the </w:t>
      </w:r>
      <w:r w:rsidR="007C3A2D">
        <w:rPr>
          <w:rFonts w:ascii="Arial" w:hAnsi="Arial" w:cs="Arial"/>
          <w:sz w:val="24"/>
          <w:szCs w:val="24"/>
        </w:rPr>
        <w:t>Director General</w:t>
      </w:r>
      <w:r w:rsidR="007A58C2">
        <w:rPr>
          <w:rFonts w:ascii="Arial" w:hAnsi="Arial" w:cs="Arial"/>
          <w:sz w:val="24"/>
          <w:szCs w:val="24"/>
        </w:rPr>
        <w:t>; Department of Mineral Resources and Energy</w:t>
      </w:r>
      <w:r w:rsidR="00C74AE5">
        <w:rPr>
          <w:rFonts w:ascii="Arial" w:hAnsi="Arial" w:cs="Arial"/>
          <w:sz w:val="24"/>
          <w:szCs w:val="24"/>
        </w:rPr>
        <w:t>, who are</w:t>
      </w:r>
      <w:r w:rsidR="007A58C2">
        <w:rPr>
          <w:rFonts w:ascii="Arial" w:hAnsi="Arial" w:cs="Arial"/>
          <w:sz w:val="24"/>
          <w:szCs w:val="24"/>
        </w:rPr>
        <w:t xml:space="preserve"> both </w:t>
      </w:r>
      <w:r w:rsidR="00B46C42">
        <w:rPr>
          <w:rFonts w:ascii="Arial" w:hAnsi="Arial" w:cs="Arial"/>
          <w:sz w:val="24"/>
          <w:szCs w:val="24"/>
        </w:rPr>
        <w:t xml:space="preserve">cited in </w:t>
      </w:r>
      <w:r w:rsidR="007A58C2">
        <w:rPr>
          <w:rFonts w:ascii="Arial" w:hAnsi="Arial" w:cs="Arial"/>
          <w:sz w:val="24"/>
          <w:szCs w:val="24"/>
        </w:rPr>
        <w:t xml:space="preserve">their </w:t>
      </w:r>
      <w:r w:rsidR="00B46C42">
        <w:rPr>
          <w:rFonts w:ascii="Arial" w:hAnsi="Arial" w:cs="Arial"/>
          <w:sz w:val="24"/>
          <w:szCs w:val="24"/>
        </w:rPr>
        <w:t>capacit</w:t>
      </w:r>
      <w:r w:rsidR="007A58C2">
        <w:rPr>
          <w:rFonts w:ascii="Arial" w:hAnsi="Arial" w:cs="Arial"/>
          <w:sz w:val="24"/>
          <w:szCs w:val="24"/>
        </w:rPr>
        <w:t>ies</w:t>
      </w:r>
      <w:r w:rsidR="00B46C42">
        <w:rPr>
          <w:rFonts w:ascii="Arial" w:hAnsi="Arial" w:cs="Arial"/>
          <w:sz w:val="24"/>
          <w:szCs w:val="24"/>
        </w:rPr>
        <w:t xml:space="preserve"> as Government employee</w:t>
      </w:r>
      <w:r w:rsidR="007A58C2">
        <w:rPr>
          <w:rFonts w:ascii="Arial" w:hAnsi="Arial" w:cs="Arial"/>
          <w:sz w:val="24"/>
          <w:szCs w:val="24"/>
        </w:rPr>
        <w:t>s</w:t>
      </w:r>
      <w:r w:rsidR="00B46C42">
        <w:rPr>
          <w:rFonts w:ascii="Arial" w:hAnsi="Arial" w:cs="Arial"/>
          <w:sz w:val="24"/>
          <w:szCs w:val="24"/>
        </w:rPr>
        <w:t xml:space="preserve"> and </w:t>
      </w:r>
      <w:r w:rsidR="007A58C2">
        <w:rPr>
          <w:rFonts w:ascii="Arial" w:hAnsi="Arial" w:cs="Arial"/>
          <w:sz w:val="24"/>
          <w:szCs w:val="24"/>
        </w:rPr>
        <w:t>o</w:t>
      </w:r>
      <w:r w:rsidR="00B46C42">
        <w:rPr>
          <w:rFonts w:ascii="Arial" w:hAnsi="Arial" w:cs="Arial"/>
          <w:sz w:val="24"/>
          <w:szCs w:val="24"/>
        </w:rPr>
        <w:t>rgan</w:t>
      </w:r>
      <w:r w:rsidR="007A58C2">
        <w:rPr>
          <w:rFonts w:ascii="Arial" w:hAnsi="Arial" w:cs="Arial"/>
          <w:sz w:val="24"/>
          <w:szCs w:val="24"/>
        </w:rPr>
        <w:t>s</w:t>
      </w:r>
      <w:r w:rsidR="00B46C42">
        <w:rPr>
          <w:rFonts w:ascii="Arial" w:hAnsi="Arial" w:cs="Arial"/>
          <w:sz w:val="24"/>
          <w:szCs w:val="24"/>
        </w:rPr>
        <w:t xml:space="preserve"> of state responsible for </w:t>
      </w:r>
      <w:r w:rsidR="00B46C42" w:rsidRPr="004B6635">
        <w:rPr>
          <w:rFonts w:ascii="Arial" w:hAnsi="Arial" w:cs="Arial"/>
          <w:sz w:val="24"/>
          <w:szCs w:val="24"/>
        </w:rPr>
        <w:t xml:space="preserve">administering, oversight, implementation and execution of the </w:t>
      </w:r>
      <w:r w:rsidR="00B46C42">
        <w:rPr>
          <w:rFonts w:ascii="Arial" w:hAnsi="Arial" w:cs="Arial"/>
          <w:sz w:val="24"/>
          <w:szCs w:val="24"/>
        </w:rPr>
        <w:t xml:space="preserve">provisions of the MPRDA, by virtue of the powers delegated upon </w:t>
      </w:r>
      <w:r w:rsidR="007A58C2">
        <w:rPr>
          <w:rFonts w:ascii="Arial" w:hAnsi="Arial" w:cs="Arial"/>
          <w:sz w:val="24"/>
          <w:szCs w:val="24"/>
        </w:rPr>
        <w:t xml:space="preserve">them </w:t>
      </w:r>
      <w:r w:rsidR="00B46C42">
        <w:rPr>
          <w:rFonts w:ascii="Arial" w:hAnsi="Arial" w:cs="Arial"/>
          <w:sz w:val="24"/>
          <w:szCs w:val="24"/>
        </w:rPr>
        <w:t xml:space="preserve">by the Minister in terms of </w:t>
      </w:r>
      <w:r w:rsidR="00032148">
        <w:rPr>
          <w:rFonts w:ascii="Arial" w:hAnsi="Arial" w:cs="Arial"/>
          <w:sz w:val="24"/>
          <w:szCs w:val="24"/>
        </w:rPr>
        <w:t>t</w:t>
      </w:r>
      <w:r w:rsidR="00B46C42">
        <w:rPr>
          <w:rFonts w:ascii="Arial" w:hAnsi="Arial" w:cs="Arial"/>
          <w:sz w:val="24"/>
          <w:szCs w:val="24"/>
        </w:rPr>
        <w:t>he provisions of s 7 and 8 of the MPRDA</w:t>
      </w:r>
      <w:r w:rsidR="007A58C2">
        <w:rPr>
          <w:rFonts w:ascii="Arial" w:hAnsi="Arial" w:cs="Arial"/>
          <w:sz w:val="24"/>
          <w:szCs w:val="24"/>
        </w:rPr>
        <w:t>.</w:t>
      </w:r>
      <w:r w:rsidR="00A7618F">
        <w:rPr>
          <w:rFonts w:ascii="Arial" w:hAnsi="Arial" w:cs="Arial"/>
          <w:sz w:val="24"/>
          <w:szCs w:val="24"/>
        </w:rPr>
        <w:t xml:space="preserve"> </w:t>
      </w:r>
      <w:r w:rsidR="007A58C2">
        <w:rPr>
          <w:rFonts w:ascii="Arial" w:hAnsi="Arial" w:cs="Arial"/>
          <w:sz w:val="24"/>
          <w:szCs w:val="24"/>
        </w:rPr>
        <w:t xml:space="preserve"> </w:t>
      </w:r>
      <w:r w:rsidR="00C74AE5">
        <w:rPr>
          <w:rFonts w:ascii="Arial" w:hAnsi="Arial" w:cs="Arial"/>
          <w:sz w:val="24"/>
          <w:szCs w:val="24"/>
        </w:rPr>
        <w:t>T</w:t>
      </w:r>
      <w:r w:rsidR="007A58C2">
        <w:rPr>
          <w:rFonts w:ascii="Arial" w:hAnsi="Arial" w:cs="Arial"/>
          <w:sz w:val="24"/>
          <w:szCs w:val="24"/>
        </w:rPr>
        <w:t xml:space="preserve">he Minister of Mineral Resources and Energy is </w:t>
      </w:r>
      <w:r w:rsidR="00F94F6F">
        <w:rPr>
          <w:rFonts w:ascii="Arial" w:hAnsi="Arial" w:cs="Arial"/>
          <w:sz w:val="24"/>
          <w:szCs w:val="24"/>
        </w:rPr>
        <w:t xml:space="preserve">cited </w:t>
      </w:r>
      <w:r w:rsidR="00C74AE5">
        <w:rPr>
          <w:rFonts w:ascii="Arial" w:hAnsi="Arial" w:cs="Arial"/>
          <w:sz w:val="24"/>
          <w:szCs w:val="24"/>
        </w:rPr>
        <w:t>as the 3</w:t>
      </w:r>
      <w:r w:rsidR="00C74AE5" w:rsidRPr="00C74AE5">
        <w:rPr>
          <w:rFonts w:ascii="Arial" w:hAnsi="Arial" w:cs="Arial"/>
          <w:sz w:val="24"/>
          <w:szCs w:val="24"/>
          <w:vertAlign w:val="superscript"/>
        </w:rPr>
        <w:t>rd</w:t>
      </w:r>
      <w:r w:rsidR="00C74AE5">
        <w:rPr>
          <w:rFonts w:ascii="Arial" w:hAnsi="Arial" w:cs="Arial"/>
          <w:sz w:val="24"/>
          <w:szCs w:val="24"/>
        </w:rPr>
        <w:t xml:space="preserve"> Respondent </w:t>
      </w:r>
      <w:r w:rsidR="00F94F6F">
        <w:rPr>
          <w:rFonts w:ascii="Arial" w:hAnsi="Arial" w:cs="Arial"/>
          <w:sz w:val="24"/>
          <w:szCs w:val="24"/>
        </w:rPr>
        <w:t>in his capacity as the cabinet member responsible for administering, oversight, implementation and execution of the provisions of the MPRDA</w:t>
      </w:r>
      <w:r w:rsidR="00C74AE5">
        <w:rPr>
          <w:rFonts w:ascii="Arial" w:hAnsi="Arial" w:cs="Arial"/>
          <w:sz w:val="24"/>
          <w:szCs w:val="24"/>
        </w:rPr>
        <w:t xml:space="preserve">. </w:t>
      </w:r>
      <w:r w:rsidR="007A58C2">
        <w:rPr>
          <w:rFonts w:ascii="Arial" w:hAnsi="Arial" w:cs="Arial"/>
          <w:sz w:val="24"/>
          <w:szCs w:val="24"/>
        </w:rPr>
        <w:t xml:space="preserve"> </w:t>
      </w:r>
    </w:p>
    <w:p w14:paraId="6AF54F6E" w14:textId="24189458" w:rsidR="00E9328D" w:rsidRDefault="00B46C42" w:rsidP="00A32AB1">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 </w:t>
      </w:r>
    </w:p>
    <w:p w14:paraId="248505AB" w14:textId="214DB993" w:rsidR="00B46C42" w:rsidRDefault="00435C3F" w:rsidP="00A32AB1">
      <w:pPr>
        <w:pStyle w:val="ListParagraph"/>
        <w:spacing w:after="0" w:line="360" w:lineRule="auto"/>
        <w:ind w:left="0"/>
        <w:jc w:val="both"/>
        <w:rPr>
          <w:rFonts w:ascii="Arial" w:hAnsi="Arial" w:cs="Arial"/>
          <w:sz w:val="24"/>
          <w:szCs w:val="24"/>
        </w:rPr>
      </w:pPr>
      <w:r>
        <w:rPr>
          <w:rFonts w:ascii="Arial" w:hAnsi="Arial" w:cs="Arial"/>
          <w:sz w:val="24"/>
          <w:szCs w:val="24"/>
        </w:rPr>
        <w:t>[4</w:t>
      </w:r>
      <w:r w:rsidR="00C74AE5">
        <w:rPr>
          <w:rFonts w:ascii="Arial" w:hAnsi="Arial" w:cs="Arial"/>
          <w:sz w:val="24"/>
          <w:szCs w:val="24"/>
        </w:rPr>
        <w:t>]</w:t>
      </w:r>
      <w:r w:rsidR="00C74AE5">
        <w:rPr>
          <w:rFonts w:ascii="Arial" w:hAnsi="Arial" w:cs="Arial"/>
          <w:sz w:val="24"/>
          <w:szCs w:val="24"/>
        </w:rPr>
        <w:tab/>
        <w:t>De Beers Consolidated Mines P</w:t>
      </w:r>
      <w:r w:rsidR="00C74AE5" w:rsidRPr="00AA0C8A">
        <w:rPr>
          <w:rFonts w:ascii="Arial" w:hAnsi="Arial" w:cs="Arial"/>
          <w:sz w:val="24"/>
          <w:szCs w:val="24"/>
        </w:rPr>
        <w:t xml:space="preserve">ty Ltd </w:t>
      </w:r>
      <w:r w:rsidR="00C74AE5">
        <w:rPr>
          <w:rFonts w:ascii="Arial" w:hAnsi="Arial" w:cs="Arial"/>
          <w:sz w:val="24"/>
          <w:szCs w:val="24"/>
        </w:rPr>
        <w:t>(DBCM) is a member company of the De Beers Group of Companies, the world’s leading diamond group and the owner of the Oak</w:t>
      </w:r>
      <w:r w:rsidR="0001634C">
        <w:rPr>
          <w:rFonts w:ascii="Arial" w:hAnsi="Arial" w:cs="Arial"/>
          <w:sz w:val="24"/>
          <w:szCs w:val="24"/>
        </w:rPr>
        <w:t>s</w:t>
      </w:r>
      <w:r w:rsidR="00C74AE5">
        <w:rPr>
          <w:rFonts w:ascii="Arial" w:hAnsi="Arial" w:cs="Arial"/>
          <w:sz w:val="24"/>
          <w:szCs w:val="24"/>
        </w:rPr>
        <w:t xml:space="preserve"> Mine, </w:t>
      </w:r>
      <w:r w:rsidR="00EC7136">
        <w:rPr>
          <w:rFonts w:ascii="Arial" w:hAnsi="Arial" w:cs="Arial"/>
          <w:sz w:val="24"/>
          <w:szCs w:val="24"/>
        </w:rPr>
        <w:t xml:space="preserve">that </w:t>
      </w:r>
      <w:r w:rsidR="0001634C">
        <w:rPr>
          <w:rFonts w:ascii="Arial" w:hAnsi="Arial" w:cs="Arial"/>
          <w:sz w:val="24"/>
          <w:szCs w:val="24"/>
        </w:rPr>
        <w:t>is</w:t>
      </w:r>
      <w:r w:rsidR="00EC7136">
        <w:rPr>
          <w:rFonts w:ascii="Arial" w:hAnsi="Arial" w:cs="Arial"/>
          <w:sz w:val="24"/>
          <w:szCs w:val="24"/>
        </w:rPr>
        <w:t xml:space="preserve"> situated </w:t>
      </w:r>
      <w:r w:rsidR="006B5DDC">
        <w:rPr>
          <w:rFonts w:ascii="Arial" w:hAnsi="Arial" w:cs="Arial"/>
          <w:sz w:val="24"/>
          <w:szCs w:val="24"/>
        </w:rPr>
        <w:t xml:space="preserve">in the rural area </w:t>
      </w:r>
      <w:r w:rsidR="000800E8">
        <w:rPr>
          <w:rFonts w:ascii="Arial" w:hAnsi="Arial" w:cs="Arial"/>
          <w:sz w:val="24"/>
          <w:szCs w:val="24"/>
        </w:rPr>
        <w:t xml:space="preserve">of Blouberg District Municipality, </w:t>
      </w:r>
      <w:r w:rsidR="00510220">
        <w:rPr>
          <w:rFonts w:ascii="Arial" w:hAnsi="Arial" w:cs="Arial"/>
          <w:sz w:val="24"/>
          <w:szCs w:val="24"/>
        </w:rPr>
        <w:t xml:space="preserve">Musina in the </w:t>
      </w:r>
      <w:r w:rsidR="006B5DDC">
        <w:rPr>
          <w:rFonts w:ascii="Arial" w:hAnsi="Arial" w:cs="Arial"/>
          <w:sz w:val="24"/>
          <w:szCs w:val="24"/>
        </w:rPr>
        <w:t>Limpopo Province</w:t>
      </w:r>
      <w:r w:rsidR="00EC7136">
        <w:rPr>
          <w:rFonts w:ascii="Arial" w:hAnsi="Arial" w:cs="Arial"/>
          <w:sz w:val="24"/>
          <w:szCs w:val="24"/>
        </w:rPr>
        <w:t xml:space="preserve">, with its registered address in Kimberley. </w:t>
      </w:r>
    </w:p>
    <w:p w14:paraId="7D935259" w14:textId="77777777" w:rsidR="00C01D4B" w:rsidRDefault="00C01D4B" w:rsidP="00A32AB1">
      <w:pPr>
        <w:pStyle w:val="ListParagraph"/>
        <w:spacing w:after="0" w:line="360" w:lineRule="auto"/>
        <w:ind w:left="0"/>
        <w:jc w:val="both"/>
        <w:rPr>
          <w:rFonts w:ascii="Arial" w:hAnsi="Arial" w:cs="Arial"/>
          <w:sz w:val="24"/>
          <w:szCs w:val="24"/>
          <w:u w:val="single"/>
        </w:rPr>
      </w:pPr>
    </w:p>
    <w:p w14:paraId="68C6B170" w14:textId="42AFCD75" w:rsidR="00557BEF" w:rsidRPr="003E6404" w:rsidRDefault="009C7A2F" w:rsidP="00A32AB1">
      <w:pPr>
        <w:pStyle w:val="ListParagraph"/>
        <w:spacing w:after="0" w:line="360" w:lineRule="auto"/>
        <w:ind w:left="0"/>
        <w:jc w:val="both"/>
        <w:rPr>
          <w:rFonts w:ascii="Arial" w:hAnsi="Arial" w:cs="Arial"/>
          <w:b/>
          <w:sz w:val="24"/>
          <w:szCs w:val="24"/>
        </w:rPr>
      </w:pPr>
      <w:r w:rsidRPr="003E6404">
        <w:rPr>
          <w:rFonts w:ascii="Arial" w:hAnsi="Arial" w:cs="Arial"/>
          <w:b/>
          <w:sz w:val="24"/>
          <w:szCs w:val="24"/>
        </w:rPr>
        <w:t xml:space="preserve">Factual </w:t>
      </w:r>
      <w:r w:rsidR="00557BEF" w:rsidRPr="003E6404">
        <w:rPr>
          <w:rFonts w:ascii="Arial" w:hAnsi="Arial" w:cs="Arial"/>
          <w:b/>
          <w:sz w:val="24"/>
          <w:szCs w:val="24"/>
        </w:rPr>
        <w:t>Background</w:t>
      </w:r>
      <w:r w:rsidRPr="003E6404">
        <w:rPr>
          <w:rFonts w:ascii="Arial" w:hAnsi="Arial" w:cs="Arial"/>
          <w:b/>
          <w:sz w:val="24"/>
          <w:szCs w:val="24"/>
        </w:rPr>
        <w:t xml:space="preserve"> </w:t>
      </w:r>
    </w:p>
    <w:p w14:paraId="69AE9D9B" w14:textId="77777777" w:rsidR="004B6008" w:rsidRPr="00A32AB1" w:rsidRDefault="004B6008" w:rsidP="00A32AB1">
      <w:pPr>
        <w:pStyle w:val="ListParagraph"/>
        <w:spacing w:after="0" w:line="360" w:lineRule="auto"/>
        <w:ind w:left="0"/>
        <w:jc w:val="both"/>
        <w:rPr>
          <w:rFonts w:ascii="Arial" w:hAnsi="Arial" w:cs="Arial"/>
          <w:i/>
          <w:iCs/>
          <w:sz w:val="24"/>
          <w:szCs w:val="24"/>
          <w:u w:val="single"/>
        </w:rPr>
      </w:pPr>
    </w:p>
    <w:p w14:paraId="2E022353" w14:textId="5103CEB2" w:rsidR="00947D0C" w:rsidRPr="006B5DDC" w:rsidRDefault="00E9328D" w:rsidP="00962829">
      <w:pPr>
        <w:spacing w:after="0" w:line="360" w:lineRule="auto"/>
        <w:jc w:val="both"/>
        <w:rPr>
          <w:rFonts w:ascii="Arial" w:hAnsi="Arial" w:cs="Arial"/>
          <w:sz w:val="24"/>
          <w:szCs w:val="24"/>
        </w:rPr>
      </w:pPr>
      <w:r>
        <w:rPr>
          <w:rFonts w:ascii="Arial" w:hAnsi="Arial" w:cs="Arial"/>
          <w:sz w:val="24"/>
          <w:szCs w:val="24"/>
        </w:rPr>
        <w:t>[</w:t>
      </w:r>
      <w:r w:rsidR="00435C3F">
        <w:rPr>
          <w:rFonts w:ascii="Arial" w:hAnsi="Arial" w:cs="Arial"/>
          <w:sz w:val="24"/>
          <w:szCs w:val="24"/>
        </w:rPr>
        <w:t>5</w:t>
      </w:r>
      <w:r>
        <w:rPr>
          <w:rFonts w:ascii="Arial" w:hAnsi="Arial" w:cs="Arial"/>
          <w:sz w:val="24"/>
          <w:szCs w:val="24"/>
        </w:rPr>
        <w:t>]</w:t>
      </w:r>
      <w:r>
        <w:rPr>
          <w:rFonts w:ascii="Arial" w:hAnsi="Arial" w:cs="Arial"/>
          <w:sz w:val="24"/>
          <w:szCs w:val="24"/>
        </w:rPr>
        <w:tab/>
      </w:r>
      <w:r w:rsidR="00510220">
        <w:rPr>
          <w:rFonts w:ascii="Arial" w:hAnsi="Arial" w:cs="Arial"/>
          <w:sz w:val="24"/>
          <w:szCs w:val="24"/>
        </w:rPr>
        <w:t xml:space="preserve">DBCM </w:t>
      </w:r>
      <w:r w:rsidR="00F35815">
        <w:rPr>
          <w:rFonts w:ascii="Arial" w:hAnsi="Arial" w:cs="Arial"/>
          <w:sz w:val="24"/>
          <w:szCs w:val="24"/>
        </w:rPr>
        <w:t>Oak</w:t>
      </w:r>
      <w:r w:rsidR="0001634C">
        <w:rPr>
          <w:rFonts w:ascii="Arial" w:hAnsi="Arial" w:cs="Arial"/>
          <w:sz w:val="24"/>
          <w:szCs w:val="24"/>
        </w:rPr>
        <w:t>s</w:t>
      </w:r>
      <w:r w:rsidR="00F35815">
        <w:rPr>
          <w:rFonts w:ascii="Arial" w:hAnsi="Arial" w:cs="Arial"/>
          <w:sz w:val="24"/>
          <w:szCs w:val="24"/>
        </w:rPr>
        <w:t xml:space="preserve"> Mine </w:t>
      </w:r>
      <w:r w:rsidR="00962829">
        <w:rPr>
          <w:rFonts w:ascii="Arial" w:hAnsi="Arial" w:cs="Arial"/>
          <w:sz w:val="24"/>
          <w:szCs w:val="24"/>
        </w:rPr>
        <w:t>was</w:t>
      </w:r>
      <w:r w:rsidR="00DE64FF">
        <w:rPr>
          <w:rFonts w:ascii="Arial" w:hAnsi="Arial" w:cs="Arial"/>
          <w:sz w:val="24"/>
          <w:szCs w:val="24"/>
        </w:rPr>
        <w:t xml:space="preserve"> an open </w:t>
      </w:r>
      <w:r w:rsidR="00A0187E">
        <w:rPr>
          <w:rFonts w:ascii="Arial" w:hAnsi="Arial" w:cs="Arial"/>
          <w:sz w:val="24"/>
          <w:szCs w:val="24"/>
        </w:rPr>
        <w:t>pit</w:t>
      </w:r>
      <w:r w:rsidR="00DE64FF">
        <w:rPr>
          <w:rFonts w:ascii="Arial" w:hAnsi="Arial" w:cs="Arial"/>
          <w:sz w:val="24"/>
          <w:szCs w:val="24"/>
        </w:rPr>
        <w:t xml:space="preserve"> </w:t>
      </w:r>
      <w:r w:rsidR="00A0187E">
        <w:rPr>
          <w:rFonts w:ascii="Arial" w:hAnsi="Arial" w:cs="Arial"/>
          <w:sz w:val="24"/>
          <w:szCs w:val="24"/>
        </w:rPr>
        <w:t xml:space="preserve">diamond </w:t>
      </w:r>
      <w:r w:rsidR="00DE64FF">
        <w:rPr>
          <w:rFonts w:ascii="Arial" w:hAnsi="Arial" w:cs="Arial"/>
          <w:sz w:val="24"/>
          <w:szCs w:val="24"/>
        </w:rPr>
        <w:t xml:space="preserve">mine </w:t>
      </w:r>
      <w:r w:rsidR="006D1004">
        <w:rPr>
          <w:rFonts w:ascii="Arial" w:hAnsi="Arial" w:cs="Arial"/>
          <w:sz w:val="24"/>
          <w:szCs w:val="24"/>
        </w:rPr>
        <w:t>that</w:t>
      </w:r>
      <w:r w:rsidR="00DE64FF">
        <w:rPr>
          <w:rFonts w:ascii="Arial" w:hAnsi="Arial" w:cs="Arial"/>
          <w:sz w:val="24"/>
          <w:szCs w:val="24"/>
        </w:rPr>
        <w:t xml:space="preserve"> stretches over three farm</w:t>
      </w:r>
      <w:r w:rsidR="006B5DDC" w:rsidRPr="00E9328D">
        <w:rPr>
          <w:rFonts w:ascii="Arial" w:hAnsi="Arial" w:cs="Arial"/>
          <w:sz w:val="24"/>
          <w:szCs w:val="24"/>
        </w:rPr>
        <w:t xml:space="preserve"> properties known as the Oaks 153 MR,</w:t>
      </w:r>
      <w:r w:rsidR="006B5DDC">
        <w:rPr>
          <w:rFonts w:ascii="Arial" w:hAnsi="Arial" w:cs="Arial"/>
          <w:sz w:val="24"/>
          <w:szCs w:val="24"/>
        </w:rPr>
        <w:t xml:space="preserve"> </w:t>
      </w:r>
      <w:r w:rsidR="006B5DDC" w:rsidRPr="00E9328D">
        <w:rPr>
          <w:rFonts w:ascii="Arial" w:hAnsi="Arial" w:cs="Arial"/>
          <w:sz w:val="24"/>
          <w:szCs w:val="24"/>
        </w:rPr>
        <w:t>Oatlands I51 MR and Jakhalsfontein 199 MR</w:t>
      </w:r>
      <w:r w:rsidR="006B5DDC">
        <w:rPr>
          <w:rFonts w:ascii="Arial" w:hAnsi="Arial" w:cs="Arial"/>
          <w:sz w:val="24"/>
          <w:szCs w:val="24"/>
        </w:rPr>
        <w:t xml:space="preserve">, </w:t>
      </w:r>
      <w:r w:rsidR="006D1004">
        <w:rPr>
          <w:rFonts w:ascii="Arial" w:hAnsi="Arial" w:cs="Arial"/>
          <w:sz w:val="24"/>
          <w:szCs w:val="24"/>
        </w:rPr>
        <w:t>covering a total area of 5</w:t>
      </w:r>
      <w:r w:rsidR="00244209">
        <w:rPr>
          <w:rFonts w:ascii="Arial" w:hAnsi="Arial" w:cs="Arial"/>
          <w:sz w:val="24"/>
          <w:szCs w:val="24"/>
        </w:rPr>
        <w:t xml:space="preserve"> </w:t>
      </w:r>
      <w:r w:rsidR="006D1004">
        <w:rPr>
          <w:rFonts w:ascii="Arial" w:hAnsi="Arial" w:cs="Arial"/>
          <w:sz w:val="24"/>
          <w:szCs w:val="24"/>
        </w:rPr>
        <w:t>323</w:t>
      </w:r>
      <w:r w:rsidR="005B2026">
        <w:rPr>
          <w:rFonts w:ascii="Arial" w:hAnsi="Arial" w:cs="Arial"/>
          <w:sz w:val="24"/>
          <w:szCs w:val="24"/>
        </w:rPr>
        <w:t>,5</w:t>
      </w:r>
      <w:r w:rsidR="006D1004">
        <w:rPr>
          <w:rFonts w:ascii="Arial" w:hAnsi="Arial" w:cs="Arial"/>
          <w:sz w:val="24"/>
          <w:szCs w:val="24"/>
        </w:rPr>
        <w:t xml:space="preserve"> hectares.</w:t>
      </w:r>
      <w:r w:rsidR="00244209">
        <w:rPr>
          <w:rFonts w:ascii="Arial" w:hAnsi="Arial" w:cs="Arial"/>
          <w:sz w:val="24"/>
          <w:szCs w:val="24"/>
        </w:rPr>
        <w:t xml:space="preserve"> </w:t>
      </w:r>
      <w:r w:rsidR="00581760">
        <w:rPr>
          <w:rFonts w:ascii="Arial" w:eastAsia="Times New Roman" w:hAnsi="Arial" w:cs="Arial"/>
          <w:color w:val="000000"/>
          <w:kern w:val="0"/>
          <w:sz w:val="24"/>
          <w:szCs w:val="24"/>
          <w:shd w:val="clear" w:color="auto" w:fill="FFFFFF"/>
          <w:lang w:val="en-US"/>
          <w14:ligatures w14:val="none"/>
        </w:rPr>
        <w:t xml:space="preserve">It is </w:t>
      </w:r>
      <w:r w:rsidR="0001634C">
        <w:rPr>
          <w:rFonts w:ascii="Arial" w:eastAsia="Times New Roman" w:hAnsi="Arial" w:cs="Arial"/>
          <w:color w:val="000000"/>
          <w:kern w:val="0"/>
          <w:sz w:val="24"/>
          <w:szCs w:val="24"/>
          <w:shd w:val="clear" w:color="auto" w:fill="FFFFFF"/>
          <w:lang w:val="en-US"/>
          <w14:ligatures w14:val="none"/>
        </w:rPr>
        <w:t xml:space="preserve">situated </w:t>
      </w:r>
      <w:r w:rsidR="00581760">
        <w:rPr>
          <w:rFonts w:ascii="Arial" w:eastAsia="Times New Roman" w:hAnsi="Arial" w:cs="Arial"/>
          <w:color w:val="000000"/>
          <w:kern w:val="0"/>
          <w:sz w:val="24"/>
          <w:szCs w:val="24"/>
          <w:shd w:val="clear" w:color="auto" w:fill="FFFFFF"/>
          <w:lang w:val="en-US"/>
          <w14:ligatures w14:val="none"/>
        </w:rPr>
        <w:t xml:space="preserve">in a remote rural area </w:t>
      </w:r>
      <w:r w:rsidR="00581760" w:rsidRPr="00157492">
        <w:rPr>
          <w:rFonts w:ascii="Arial" w:eastAsia="Times New Roman" w:hAnsi="Arial" w:cs="Arial"/>
          <w:color w:val="000000"/>
          <w:kern w:val="0"/>
          <w:sz w:val="24"/>
          <w:szCs w:val="24"/>
          <w:shd w:val="clear" w:color="auto" w:fill="FFFFFF"/>
          <w:lang w:val="en-US"/>
          <w14:ligatures w14:val="none"/>
        </w:rPr>
        <w:t>with no immediate communities or neighbours around it</w:t>
      </w:r>
      <w:r w:rsidR="00581760">
        <w:rPr>
          <w:rFonts w:ascii="Arial" w:eastAsia="Times New Roman" w:hAnsi="Arial" w:cs="Arial"/>
          <w:color w:val="000000"/>
          <w:kern w:val="0"/>
          <w:sz w:val="24"/>
          <w:szCs w:val="24"/>
          <w:shd w:val="clear" w:color="auto" w:fill="FFFFFF"/>
          <w:lang w:val="en-US"/>
          <w14:ligatures w14:val="none"/>
        </w:rPr>
        <w:t xml:space="preserve"> </w:t>
      </w:r>
      <w:r w:rsidR="005F5C35">
        <w:rPr>
          <w:rFonts w:ascii="Arial" w:eastAsia="Times New Roman" w:hAnsi="Arial" w:cs="Arial"/>
          <w:color w:val="000000"/>
          <w:kern w:val="0"/>
          <w:sz w:val="24"/>
          <w:szCs w:val="24"/>
          <w:shd w:val="clear" w:color="auto" w:fill="FFFFFF"/>
          <w:lang w:val="en-US"/>
          <w14:ligatures w14:val="none"/>
        </w:rPr>
        <w:t xml:space="preserve">where </w:t>
      </w:r>
      <w:r w:rsidR="007A1088" w:rsidRPr="00E9328D">
        <w:rPr>
          <w:rFonts w:ascii="Arial" w:eastAsia="Times New Roman" w:hAnsi="Arial" w:cs="Arial"/>
          <w:color w:val="000000"/>
          <w:kern w:val="0"/>
          <w:sz w:val="24"/>
          <w:szCs w:val="24"/>
          <w:shd w:val="clear" w:color="auto" w:fill="FFFFFF"/>
          <w:lang w:val="en-US"/>
          <w14:ligatures w14:val="none"/>
        </w:rPr>
        <w:t>a small kimberlite pipe</w:t>
      </w:r>
      <w:r w:rsidR="00EC7136">
        <w:rPr>
          <w:rFonts w:ascii="Arial" w:eastAsia="Times New Roman" w:hAnsi="Arial" w:cs="Arial"/>
          <w:color w:val="000000"/>
          <w:kern w:val="0"/>
          <w:sz w:val="24"/>
          <w:szCs w:val="24"/>
          <w:shd w:val="clear" w:color="auto" w:fill="FFFFFF"/>
          <w:lang w:val="en-US"/>
          <w14:ligatures w14:val="none"/>
        </w:rPr>
        <w:t xml:space="preserve"> </w:t>
      </w:r>
      <w:r w:rsidR="009C7A2F">
        <w:rPr>
          <w:rFonts w:ascii="Arial" w:eastAsia="Times New Roman" w:hAnsi="Arial" w:cs="Arial"/>
          <w:color w:val="000000"/>
          <w:kern w:val="0"/>
          <w:sz w:val="24"/>
          <w:szCs w:val="24"/>
          <w:shd w:val="clear" w:color="auto" w:fill="FFFFFF"/>
          <w:lang w:val="en-US"/>
          <w14:ligatures w14:val="none"/>
        </w:rPr>
        <w:t xml:space="preserve">was </w:t>
      </w:r>
      <w:r w:rsidR="007A1088" w:rsidRPr="00E9328D">
        <w:rPr>
          <w:rFonts w:ascii="Arial" w:eastAsia="Times New Roman" w:hAnsi="Arial" w:cs="Arial"/>
          <w:color w:val="000000"/>
          <w:kern w:val="0"/>
          <w:sz w:val="24"/>
          <w:szCs w:val="24"/>
          <w:shd w:val="clear" w:color="auto" w:fill="FFFFFF"/>
          <w:lang w:val="en-US"/>
          <w14:ligatures w14:val="none"/>
        </w:rPr>
        <w:t xml:space="preserve">discovered in 1988 </w:t>
      </w:r>
      <w:r w:rsidR="0001634C">
        <w:rPr>
          <w:rFonts w:ascii="Arial" w:eastAsia="Times New Roman" w:hAnsi="Arial" w:cs="Arial"/>
          <w:color w:val="000000"/>
          <w:kern w:val="0"/>
          <w:sz w:val="24"/>
          <w:szCs w:val="24"/>
          <w:shd w:val="clear" w:color="auto" w:fill="FFFFFF"/>
          <w:lang w:val="en-US"/>
          <w14:ligatures w14:val="none"/>
        </w:rPr>
        <w:t xml:space="preserve">having </w:t>
      </w:r>
      <w:r w:rsidR="006B5DDC">
        <w:rPr>
          <w:rFonts w:ascii="Arial" w:eastAsia="Times New Roman" w:hAnsi="Arial" w:cs="Arial"/>
          <w:color w:val="000000"/>
          <w:kern w:val="0"/>
          <w:sz w:val="24"/>
          <w:szCs w:val="24"/>
          <w:shd w:val="clear" w:color="auto" w:fill="FFFFFF"/>
          <w:lang w:val="en-US"/>
          <w14:ligatures w14:val="none"/>
        </w:rPr>
        <w:t xml:space="preserve">an </w:t>
      </w:r>
      <w:r w:rsidR="007A1088" w:rsidRPr="00E9328D">
        <w:rPr>
          <w:rFonts w:ascii="Arial" w:eastAsia="Times New Roman" w:hAnsi="Arial" w:cs="Arial"/>
          <w:color w:val="000000"/>
          <w:kern w:val="0"/>
          <w:sz w:val="24"/>
          <w:szCs w:val="24"/>
          <w:shd w:val="clear" w:color="auto" w:fill="FFFFFF"/>
          <w:lang w:val="en-US"/>
          <w14:ligatures w14:val="none"/>
        </w:rPr>
        <w:t xml:space="preserve">estimated mine life </w:t>
      </w:r>
      <w:r w:rsidR="006B5DDC">
        <w:rPr>
          <w:rFonts w:ascii="Arial" w:eastAsia="Times New Roman" w:hAnsi="Arial" w:cs="Arial"/>
          <w:color w:val="000000"/>
          <w:kern w:val="0"/>
          <w:sz w:val="24"/>
          <w:szCs w:val="24"/>
          <w:shd w:val="clear" w:color="auto" w:fill="FFFFFF"/>
          <w:lang w:val="en-US"/>
          <w14:ligatures w14:val="none"/>
        </w:rPr>
        <w:t xml:space="preserve">of </w:t>
      </w:r>
      <w:r w:rsidR="007A1088" w:rsidRPr="00E9328D">
        <w:rPr>
          <w:rFonts w:ascii="Arial" w:eastAsia="Times New Roman" w:hAnsi="Arial" w:cs="Arial"/>
          <w:color w:val="000000"/>
          <w:kern w:val="0"/>
          <w:sz w:val="24"/>
          <w:szCs w:val="24"/>
          <w:shd w:val="clear" w:color="auto" w:fill="FFFFFF"/>
          <w:lang w:val="en-US"/>
          <w14:ligatures w14:val="none"/>
        </w:rPr>
        <w:t>only 8</w:t>
      </w:r>
      <w:r w:rsidR="007A1088" w:rsidRPr="007A1088">
        <w:rPr>
          <w:rFonts w:ascii="Lucida Sans Unicode" w:eastAsia="Times New Roman" w:hAnsi="Lucida Sans Unicode" w:cs="Lucida Sans Unicode"/>
          <w:color w:val="000000"/>
          <w:kern w:val="0"/>
          <w:sz w:val="20"/>
          <w:szCs w:val="20"/>
          <w:shd w:val="clear" w:color="auto" w:fill="FFFFFF"/>
          <w:lang w:val="en-US"/>
          <w14:ligatures w14:val="none"/>
        </w:rPr>
        <w:t xml:space="preserve"> </w:t>
      </w:r>
      <w:r w:rsidR="007A1088" w:rsidRPr="006B5DDC">
        <w:rPr>
          <w:rFonts w:ascii="Arial" w:eastAsia="Times New Roman" w:hAnsi="Arial" w:cs="Arial"/>
          <w:color w:val="000000"/>
          <w:kern w:val="0"/>
          <w:sz w:val="24"/>
          <w:szCs w:val="24"/>
          <w:shd w:val="clear" w:color="auto" w:fill="FFFFFF"/>
          <w:lang w:val="en-US"/>
          <w14:ligatures w14:val="none"/>
        </w:rPr>
        <w:t xml:space="preserve">years, to a final pit depth of 200m. </w:t>
      </w:r>
      <w:r w:rsidR="0031026D">
        <w:rPr>
          <w:rFonts w:ascii="Arial" w:eastAsia="Times New Roman" w:hAnsi="Arial" w:cs="Arial"/>
          <w:color w:val="000000"/>
          <w:kern w:val="0"/>
          <w:sz w:val="24"/>
          <w:szCs w:val="24"/>
          <w:shd w:val="clear" w:color="auto" w:fill="FFFFFF"/>
          <w:lang w:val="en-US"/>
          <w14:ligatures w14:val="none"/>
        </w:rPr>
        <w:t>The Mine is in the Limpopo Water Management Area, the responsible water authority being the Department of Water Affairs and Forestry (</w:t>
      </w:r>
      <w:r w:rsidR="00294B93">
        <w:rPr>
          <w:rFonts w:ascii="Arial" w:eastAsia="Times New Roman" w:hAnsi="Arial" w:cs="Arial"/>
          <w:color w:val="000000"/>
          <w:kern w:val="0"/>
          <w:sz w:val="24"/>
          <w:szCs w:val="24"/>
          <w:shd w:val="clear" w:color="auto" w:fill="FFFFFF"/>
          <w:lang w:val="en-US"/>
          <w14:ligatures w14:val="none"/>
        </w:rPr>
        <w:t>“</w:t>
      </w:r>
      <w:r w:rsidR="0031026D">
        <w:rPr>
          <w:rFonts w:ascii="Arial" w:eastAsia="Times New Roman" w:hAnsi="Arial" w:cs="Arial"/>
          <w:color w:val="000000"/>
          <w:kern w:val="0"/>
          <w:sz w:val="24"/>
          <w:szCs w:val="24"/>
          <w:shd w:val="clear" w:color="auto" w:fill="FFFFFF"/>
          <w:lang w:val="en-US"/>
          <w14:ligatures w14:val="none"/>
        </w:rPr>
        <w:t>DWAF</w:t>
      </w:r>
      <w:r w:rsidR="00294B93">
        <w:rPr>
          <w:rFonts w:ascii="Arial" w:eastAsia="Times New Roman" w:hAnsi="Arial" w:cs="Arial"/>
          <w:color w:val="000000"/>
          <w:kern w:val="0"/>
          <w:sz w:val="24"/>
          <w:szCs w:val="24"/>
          <w:shd w:val="clear" w:color="auto" w:fill="FFFFFF"/>
          <w:lang w:val="en-US"/>
          <w14:ligatures w14:val="none"/>
        </w:rPr>
        <w:t>”</w:t>
      </w:r>
      <w:r w:rsidR="0031026D">
        <w:rPr>
          <w:rFonts w:ascii="Arial" w:eastAsia="Times New Roman" w:hAnsi="Arial" w:cs="Arial"/>
          <w:color w:val="000000"/>
          <w:kern w:val="0"/>
          <w:sz w:val="24"/>
          <w:szCs w:val="24"/>
          <w:shd w:val="clear" w:color="auto" w:fill="FFFFFF"/>
          <w:lang w:val="en-US"/>
          <w14:ligatures w14:val="none"/>
        </w:rPr>
        <w:t xml:space="preserve">), Polokwane Regional Office.  </w:t>
      </w:r>
    </w:p>
    <w:p w14:paraId="45954EC7" w14:textId="77777777" w:rsidR="001C42ED" w:rsidRDefault="001C42ED" w:rsidP="001C42ED">
      <w:pPr>
        <w:pStyle w:val="ListParagraph"/>
        <w:spacing w:after="0" w:line="360" w:lineRule="auto"/>
        <w:ind w:left="0"/>
        <w:jc w:val="both"/>
        <w:rPr>
          <w:rFonts w:ascii="Arial" w:hAnsi="Arial" w:cs="Arial"/>
          <w:sz w:val="24"/>
          <w:szCs w:val="24"/>
        </w:rPr>
      </w:pPr>
    </w:p>
    <w:p w14:paraId="2231C06C" w14:textId="13AE3A9A" w:rsidR="006B5DDC" w:rsidRPr="006D4725" w:rsidRDefault="00435C3F" w:rsidP="006D4725">
      <w:pPr>
        <w:spacing w:after="0" w:line="360" w:lineRule="auto"/>
        <w:jc w:val="both"/>
        <w:rPr>
          <w:rFonts w:ascii="Arial" w:hAnsi="Arial" w:cs="Arial"/>
          <w:sz w:val="24"/>
          <w:szCs w:val="24"/>
        </w:rPr>
      </w:pPr>
      <w:r>
        <w:rPr>
          <w:rFonts w:ascii="Arial" w:hAnsi="Arial" w:cs="Arial"/>
          <w:sz w:val="24"/>
          <w:szCs w:val="24"/>
        </w:rPr>
        <w:t>[6</w:t>
      </w:r>
      <w:r w:rsidR="006D4725">
        <w:rPr>
          <w:rFonts w:ascii="Arial" w:hAnsi="Arial" w:cs="Arial"/>
          <w:sz w:val="24"/>
          <w:szCs w:val="24"/>
        </w:rPr>
        <w:t>]</w:t>
      </w:r>
      <w:r w:rsidR="006D4725">
        <w:rPr>
          <w:rFonts w:ascii="Arial" w:hAnsi="Arial" w:cs="Arial"/>
          <w:sz w:val="24"/>
          <w:szCs w:val="24"/>
        </w:rPr>
        <w:tab/>
      </w:r>
      <w:r w:rsidR="00510220">
        <w:rPr>
          <w:rFonts w:ascii="Arial" w:hAnsi="Arial" w:cs="Arial"/>
          <w:sz w:val="24"/>
          <w:szCs w:val="24"/>
        </w:rPr>
        <w:t>O</w:t>
      </w:r>
      <w:r w:rsidR="00510220" w:rsidRPr="006D4725">
        <w:rPr>
          <w:rFonts w:ascii="Arial" w:hAnsi="Arial" w:cs="Arial"/>
          <w:sz w:val="24"/>
          <w:szCs w:val="24"/>
        </w:rPr>
        <w:t>n 6 April 1998</w:t>
      </w:r>
      <w:r w:rsidR="00510220">
        <w:rPr>
          <w:rFonts w:ascii="Arial" w:hAnsi="Arial" w:cs="Arial"/>
          <w:sz w:val="24"/>
          <w:szCs w:val="24"/>
        </w:rPr>
        <w:t xml:space="preserve">, </w:t>
      </w:r>
      <w:r w:rsidR="00694B71" w:rsidRPr="006D4725">
        <w:rPr>
          <w:rFonts w:ascii="Arial" w:hAnsi="Arial" w:cs="Arial"/>
          <w:sz w:val="24"/>
          <w:szCs w:val="24"/>
        </w:rPr>
        <w:t>DBCM was</w:t>
      </w:r>
      <w:r w:rsidR="00510220">
        <w:rPr>
          <w:rFonts w:ascii="Arial" w:hAnsi="Arial" w:cs="Arial"/>
          <w:sz w:val="24"/>
          <w:szCs w:val="24"/>
        </w:rPr>
        <w:t>,</w:t>
      </w:r>
      <w:r w:rsidR="00694B71" w:rsidRPr="006D4725">
        <w:rPr>
          <w:rFonts w:ascii="Arial" w:hAnsi="Arial" w:cs="Arial"/>
          <w:sz w:val="24"/>
          <w:szCs w:val="24"/>
        </w:rPr>
        <w:t xml:space="preserve"> </w:t>
      </w:r>
      <w:r w:rsidR="00947D0C" w:rsidRPr="006D4725">
        <w:rPr>
          <w:rFonts w:ascii="Arial" w:hAnsi="Arial" w:cs="Arial"/>
          <w:sz w:val="24"/>
          <w:szCs w:val="24"/>
        </w:rPr>
        <w:t>in accordance w</w:t>
      </w:r>
      <w:r w:rsidR="00F07D76" w:rsidRPr="006D4725">
        <w:rPr>
          <w:rFonts w:ascii="Arial" w:hAnsi="Arial" w:cs="Arial"/>
          <w:sz w:val="24"/>
          <w:szCs w:val="24"/>
        </w:rPr>
        <w:t>it</w:t>
      </w:r>
      <w:r w:rsidR="00947D0C" w:rsidRPr="006D4725">
        <w:rPr>
          <w:rFonts w:ascii="Arial" w:hAnsi="Arial" w:cs="Arial"/>
          <w:sz w:val="24"/>
          <w:szCs w:val="24"/>
        </w:rPr>
        <w:t xml:space="preserve">h </w:t>
      </w:r>
      <w:r w:rsidR="00694B71" w:rsidRPr="006D4725">
        <w:rPr>
          <w:rFonts w:ascii="Arial" w:hAnsi="Arial" w:cs="Arial"/>
          <w:sz w:val="24"/>
          <w:szCs w:val="24"/>
        </w:rPr>
        <w:t>s 9 (1) read with s 9 (3) (e) of the Mineral</w:t>
      </w:r>
      <w:r w:rsidR="006D169A">
        <w:rPr>
          <w:rFonts w:ascii="Arial" w:hAnsi="Arial" w:cs="Arial"/>
          <w:sz w:val="24"/>
          <w:szCs w:val="24"/>
        </w:rPr>
        <w:t xml:space="preserve"> </w:t>
      </w:r>
      <w:r w:rsidR="00694B71" w:rsidRPr="006D4725">
        <w:rPr>
          <w:rFonts w:ascii="Arial" w:hAnsi="Arial" w:cs="Arial"/>
          <w:sz w:val="24"/>
          <w:szCs w:val="24"/>
        </w:rPr>
        <w:t xml:space="preserve">Act </w:t>
      </w:r>
      <w:r w:rsidR="006D169A">
        <w:rPr>
          <w:rFonts w:ascii="Arial" w:hAnsi="Arial" w:cs="Arial"/>
          <w:sz w:val="24"/>
          <w:szCs w:val="24"/>
        </w:rPr>
        <w:t xml:space="preserve">No. </w:t>
      </w:r>
      <w:r w:rsidR="007B4301">
        <w:rPr>
          <w:rFonts w:ascii="Arial" w:hAnsi="Arial" w:cs="Arial"/>
          <w:sz w:val="24"/>
          <w:szCs w:val="24"/>
        </w:rPr>
        <w:t>50 of 1991 (</w:t>
      </w:r>
      <w:r w:rsidR="00294B93">
        <w:rPr>
          <w:rFonts w:ascii="Arial" w:hAnsi="Arial" w:cs="Arial"/>
          <w:sz w:val="24"/>
          <w:szCs w:val="24"/>
        </w:rPr>
        <w:t>“</w:t>
      </w:r>
      <w:r w:rsidR="007B4301">
        <w:rPr>
          <w:rFonts w:ascii="Arial" w:hAnsi="Arial" w:cs="Arial"/>
          <w:sz w:val="24"/>
          <w:szCs w:val="24"/>
        </w:rPr>
        <w:t>Mineral Act</w:t>
      </w:r>
      <w:r w:rsidR="00294B93">
        <w:rPr>
          <w:rFonts w:ascii="Arial" w:hAnsi="Arial" w:cs="Arial"/>
          <w:sz w:val="24"/>
          <w:szCs w:val="24"/>
        </w:rPr>
        <w:t>”</w:t>
      </w:r>
      <w:r w:rsidR="007B4301">
        <w:rPr>
          <w:rFonts w:ascii="Arial" w:hAnsi="Arial" w:cs="Arial"/>
          <w:sz w:val="24"/>
          <w:szCs w:val="24"/>
        </w:rPr>
        <w:t xml:space="preserve">) </w:t>
      </w:r>
      <w:r w:rsidR="00694B71" w:rsidRPr="006D4725">
        <w:rPr>
          <w:rFonts w:ascii="Arial" w:hAnsi="Arial" w:cs="Arial"/>
          <w:sz w:val="24"/>
          <w:szCs w:val="24"/>
        </w:rPr>
        <w:t xml:space="preserve">granted a mining licence </w:t>
      </w:r>
      <w:r w:rsidR="00581760" w:rsidRPr="006D4725">
        <w:rPr>
          <w:rFonts w:ascii="Arial" w:hAnsi="Arial" w:cs="Arial"/>
          <w:sz w:val="24"/>
          <w:szCs w:val="24"/>
        </w:rPr>
        <w:t>in respect of the Oaks Mine</w:t>
      </w:r>
      <w:r w:rsidR="00013EDF" w:rsidRPr="006D4725">
        <w:rPr>
          <w:rFonts w:ascii="Arial" w:hAnsi="Arial" w:cs="Arial"/>
          <w:sz w:val="24"/>
          <w:szCs w:val="24"/>
        </w:rPr>
        <w:t xml:space="preserve">. </w:t>
      </w:r>
      <w:r w:rsidR="0031026D">
        <w:rPr>
          <w:rFonts w:ascii="Arial" w:hAnsi="Arial" w:cs="Arial"/>
          <w:sz w:val="24"/>
          <w:szCs w:val="24"/>
        </w:rPr>
        <w:t>An</w:t>
      </w:r>
      <w:r w:rsidR="0001634C" w:rsidRPr="006D4725">
        <w:rPr>
          <w:rFonts w:ascii="Arial" w:hAnsi="Arial" w:cs="Arial"/>
          <w:sz w:val="24"/>
          <w:szCs w:val="24"/>
        </w:rPr>
        <w:t xml:space="preserve"> </w:t>
      </w:r>
      <w:r w:rsidR="00C77496" w:rsidRPr="006D4725">
        <w:rPr>
          <w:rFonts w:ascii="Arial" w:hAnsi="Arial" w:cs="Arial"/>
          <w:sz w:val="24"/>
          <w:szCs w:val="24"/>
        </w:rPr>
        <w:t xml:space="preserve">initial </w:t>
      </w:r>
      <w:r w:rsidR="0001634C" w:rsidRPr="006D4725">
        <w:rPr>
          <w:rFonts w:ascii="Arial" w:hAnsi="Arial" w:cs="Arial"/>
          <w:sz w:val="24"/>
          <w:szCs w:val="24"/>
        </w:rPr>
        <w:t>Environmental Management Programme (</w:t>
      </w:r>
      <w:r w:rsidR="00294B93">
        <w:rPr>
          <w:rFonts w:ascii="Arial" w:hAnsi="Arial" w:cs="Arial"/>
          <w:sz w:val="24"/>
          <w:szCs w:val="24"/>
        </w:rPr>
        <w:t>“</w:t>
      </w:r>
      <w:r w:rsidR="0001634C" w:rsidRPr="006D4725">
        <w:rPr>
          <w:rFonts w:ascii="Arial" w:hAnsi="Arial" w:cs="Arial"/>
          <w:sz w:val="24"/>
          <w:szCs w:val="24"/>
        </w:rPr>
        <w:t>EMP</w:t>
      </w:r>
      <w:r w:rsidR="00294B93">
        <w:rPr>
          <w:rFonts w:ascii="Arial" w:hAnsi="Arial" w:cs="Arial"/>
          <w:sz w:val="24"/>
          <w:szCs w:val="24"/>
        </w:rPr>
        <w:t>”</w:t>
      </w:r>
      <w:r w:rsidR="0001634C" w:rsidRPr="006D4725">
        <w:rPr>
          <w:rFonts w:ascii="Arial" w:hAnsi="Arial" w:cs="Arial"/>
          <w:sz w:val="24"/>
          <w:szCs w:val="24"/>
        </w:rPr>
        <w:t xml:space="preserve">) </w:t>
      </w:r>
      <w:r w:rsidR="0031026D">
        <w:rPr>
          <w:rFonts w:ascii="Arial" w:hAnsi="Arial" w:cs="Arial"/>
          <w:sz w:val="24"/>
          <w:szCs w:val="24"/>
        </w:rPr>
        <w:t xml:space="preserve">was </w:t>
      </w:r>
      <w:r w:rsidR="00510220">
        <w:rPr>
          <w:rFonts w:ascii="Arial" w:hAnsi="Arial" w:cs="Arial"/>
          <w:sz w:val="24"/>
          <w:szCs w:val="24"/>
        </w:rPr>
        <w:t xml:space="preserve">subsequently </w:t>
      </w:r>
      <w:r w:rsidR="0031026D">
        <w:rPr>
          <w:rFonts w:ascii="Arial" w:hAnsi="Arial" w:cs="Arial"/>
          <w:sz w:val="24"/>
          <w:szCs w:val="24"/>
        </w:rPr>
        <w:t xml:space="preserve">submitted by DBCM in February 1998 and </w:t>
      </w:r>
      <w:r w:rsidR="0031026D" w:rsidRPr="006D4725">
        <w:rPr>
          <w:rFonts w:ascii="Arial" w:hAnsi="Arial" w:cs="Arial"/>
          <w:sz w:val="24"/>
          <w:szCs w:val="24"/>
        </w:rPr>
        <w:t>approved</w:t>
      </w:r>
      <w:r w:rsidR="0031026D">
        <w:rPr>
          <w:rFonts w:ascii="Arial" w:hAnsi="Arial" w:cs="Arial"/>
          <w:sz w:val="24"/>
          <w:szCs w:val="24"/>
        </w:rPr>
        <w:t xml:space="preserve"> </w:t>
      </w:r>
      <w:r w:rsidR="00510220">
        <w:rPr>
          <w:rFonts w:ascii="Arial" w:hAnsi="Arial" w:cs="Arial"/>
          <w:sz w:val="24"/>
          <w:szCs w:val="24"/>
        </w:rPr>
        <w:t>o</w:t>
      </w:r>
      <w:r w:rsidR="00510220" w:rsidRPr="006D4725">
        <w:rPr>
          <w:rFonts w:ascii="Arial" w:hAnsi="Arial" w:cs="Arial"/>
          <w:sz w:val="24"/>
          <w:szCs w:val="24"/>
        </w:rPr>
        <w:t>n 24 June 1998</w:t>
      </w:r>
      <w:r w:rsidR="00510220">
        <w:rPr>
          <w:rFonts w:ascii="Arial" w:hAnsi="Arial" w:cs="Arial"/>
          <w:sz w:val="24"/>
          <w:szCs w:val="24"/>
        </w:rPr>
        <w:t xml:space="preserve"> </w:t>
      </w:r>
      <w:r w:rsidR="00406C22" w:rsidRPr="006D4725">
        <w:rPr>
          <w:rFonts w:ascii="Arial" w:hAnsi="Arial" w:cs="Arial"/>
          <w:sz w:val="24"/>
          <w:szCs w:val="24"/>
        </w:rPr>
        <w:t>i</w:t>
      </w:r>
      <w:r w:rsidR="00807686" w:rsidRPr="006D4725">
        <w:rPr>
          <w:rFonts w:ascii="Arial" w:hAnsi="Arial" w:cs="Arial"/>
          <w:sz w:val="24"/>
          <w:szCs w:val="24"/>
        </w:rPr>
        <w:t xml:space="preserve">n accordance with Section 39 </w:t>
      </w:r>
      <w:r w:rsidR="007B4301">
        <w:rPr>
          <w:rFonts w:ascii="Arial" w:hAnsi="Arial" w:cs="Arial"/>
          <w:sz w:val="24"/>
          <w:szCs w:val="24"/>
        </w:rPr>
        <w:t xml:space="preserve">(1) </w:t>
      </w:r>
      <w:r w:rsidR="00807686" w:rsidRPr="006D4725">
        <w:rPr>
          <w:rFonts w:ascii="Arial" w:hAnsi="Arial" w:cs="Arial"/>
          <w:sz w:val="24"/>
          <w:szCs w:val="24"/>
        </w:rPr>
        <w:t>of the Minerals Act</w:t>
      </w:r>
      <w:r w:rsidR="008F4325">
        <w:rPr>
          <w:rFonts w:ascii="Arial" w:hAnsi="Arial" w:cs="Arial"/>
          <w:sz w:val="24"/>
          <w:szCs w:val="24"/>
        </w:rPr>
        <w:t xml:space="preserve"> (since repealed Act)</w:t>
      </w:r>
      <w:r w:rsidR="00274387" w:rsidRPr="006D4725">
        <w:rPr>
          <w:rFonts w:ascii="Arial" w:hAnsi="Arial" w:cs="Arial"/>
          <w:sz w:val="24"/>
          <w:szCs w:val="24"/>
        </w:rPr>
        <w:t xml:space="preserve">. </w:t>
      </w:r>
      <w:r w:rsidR="000411EC" w:rsidRPr="006D4725">
        <w:rPr>
          <w:rFonts w:ascii="Arial" w:hAnsi="Arial" w:cs="Arial"/>
          <w:sz w:val="24"/>
          <w:szCs w:val="24"/>
        </w:rPr>
        <w:t xml:space="preserve">The EMP </w:t>
      </w:r>
      <w:r w:rsidR="00C77496" w:rsidRPr="006D4725">
        <w:rPr>
          <w:rFonts w:ascii="Arial" w:hAnsi="Arial" w:cs="Arial"/>
          <w:sz w:val="24"/>
          <w:szCs w:val="24"/>
        </w:rPr>
        <w:t xml:space="preserve">contained measures to mitigate the environmental impact of mining during the </w:t>
      </w:r>
      <w:r w:rsidR="00375E14" w:rsidRPr="006D4725">
        <w:rPr>
          <w:rFonts w:ascii="Arial" w:hAnsi="Arial" w:cs="Arial"/>
          <w:sz w:val="24"/>
          <w:szCs w:val="24"/>
        </w:rPr>
        <w:t xml:space="preserve">phases of </w:t>
      </w:r>
      <w:r w:rsidR="00C77496" w:rsidRPr="006D4725">
        <w:rPr>
          <w:rFonts w:ascii="Arial" w:hAnsi="Arial" w:cs="Arial"/>
          <w:sz w:val="24"/>
          <w:szCs w:val="24"/>
        </w:rPr>
        <w:t>construction, operation</w:t>
      </w:r>
      <w:r w:rsidR="00375E14" w:rsidRPr="006D4725">
        <w:rPr>
          <w:rFonts w:ascii="Arial" w:hAnsi="Arial" w:cs="Arial"/>
          <w:sz w:val="24"/>
          <w:szCs w:val="24"/>
        </w:rPr>
        <w:t>s</w:t>
      </w:r>
      <w:r w:rsidR="002D6221">
        <w:rPr>
          <w:rFonts w:ascii="Arial" w:hAnsi="Arial" w:cs="Arial"/>
          <w:sz w:val="24"/>
          <w:szCs w:val="24"/>
        </w:rPr>
        <w:t xml:space="preserve">, </w:t>
      </w:r>
      <w:r w:rsidR="00375E14" w:rsidRPr="006D4725">
        <w:rPr>
          <w:rFonts w:ascii="Arial" w:hAnsi="Arial" w:cs="Arial"/>
          <w:sz w:val="24"/>
          <w:szCs w:val="24"/>
        </w:rPr>
        <w:t xml:space="preserve">closure and </w:t>
      </w:r>
      <w:r w:rsidR="00C77496" w:rsidRPr="006D4725">
        <w:rPr>
          <w:rFonts w:ascii="Arial" w:hAnsi="Arial" w:cs="Arial"/>
          <w:sz w:val="24"/>
          <w:szCs w:val="24"/>
        </w:rPr>
        <w:t>rehabilitat</w:t>
      </w:r>
      <w:r w:rsidR="00375E14" w:rsidRPr="006D4725">
        <w:rPr>
          <w:rFonts w:ascii="Arial" w:hAnsi="Arial" w:cs="Arial"/>
          <w:sz w:val="24"/>
          <w:szCs w:val="24"/>
        </w:rPr>
        <w:t xml:space="preserve">ion phase. It expressly </w:t>
      </w:r>
      <w:r w:rsidR="00AE1B42">
        <w:rPr>
          <w:rFonts w:ascii="Arial" w:hAnsi="Arial" w:cs="Arial"/>
          <w:sz w:val="24"/>
          <w:szCs w:val="24"/>
        </w:rPr>
        <w:t xml:space="preserve">and significantly </w:t>
      </w:r>
      <w:r w:rsidR="000411EC" w:rsidRPr="006D4725">
        <w:rPr>
          <w:rFonts w:ascii="Arial" w:hAnsi="Arial" w:cs="Arial"/>
          <w:sz w:val="24"/>
          <w:szCs w:val="24"/>
        </w:rPr>
        <w:t xml:space="preserve">indicated that the Oaks mine pit would be rehabilitated by placing certain safety measures, but would </w:t>
      </w:r>
      <w:r w:rsidR="00375E14" w:rsidRPr="006D4725">
        <w:rPr>
          <w:rFonts w:ascii="Arial" w:hAnsi="Arial" w:cs="Arial"/>
          <w:sz w:val="24"/>
          <w:szCs w:val="24"/>
        </w:rPr>
        <w:t xml:space="preserve">in its end state </w:t>
      </w:r>
      <w:r w:rsidR="000411EC" w:rsidRPr="006D4725">
        <w:rPr>
          <w:rFonts w:ascii="Arial" w:hAnsi="Arial" w:cs="Arial"/>
          <w:sz w:val="24"/>
          <w:szCs w:val="24"/>
        </w:rPr>
        <w:t xml:space="preserve">remain open. </w:t>
      </w:r>
    </w:p>
    <w:p w14:paraId="3290F882" w14:textId="77777777" w:rsidR="006B5DDC" w:rsidRPr="006B5DDC" w:rsidRDefault="006B5DDC" w:rsidP="006B5DDC">
      <w:pPr>
        <w:pStyle w:val="ListParagraph"/>
        <w:spacing w:after="0" w:line="360" w:lineRule="auto"/>
        <w:ind w:left="0"/>
        <w:jc w:val="both"/>
        <w:rPr>
          <w:rFonts w:ascii="Arial" w:hAnsi="Arial" w:cs="Arial"/>
          <w:sz w:val="24"/>
          <w:szCs w:val="24"/>
        </w:rPr>
      </w:pPr>
    </w:p>
    <w:p w14:paraId="5BD08B2A" w14:textId="4694D361" w:rsidR="006D1004" w:rsidRPr="006D4725" w:rsidRDefault="00435C3F" w:rsidP="006D4725">
      <w:pPr>
        <w:spacing w:after="0" w:line="360" w:lineRule="auto"/>
        <w:jc w:val="both"/>
        <w:rPr>
          <w:rFonts w:ascii="Arial" w:hAnsi="Arial" w:cs="Arial"/>
          <w:sz w:val="24"/>
          <w:szCs w:val="24"/>
        </w:rPr>
      </w:pPr>
      <w:r>
        <w:rPr>
          <w:rFonts w:ascii="Arial" w:hAnsi="Arial" w:cs="Arial"/>
          <w:sz w:val="24"/>
          <w:szCs w:val="24"/>
        </w:rPr>
        <w:t>[7</w:t>
      </w:r>
      <w:r w:rsidR="006D4725">
        <w:rPr>
          <w:rFonts w:ascii="Arial" w:hAnsi="Arial" w:cs="Arial"/>
          <w:sz w:val="24"/>
          <w:szCs w:val="24"/>
        </w:rPr>
        <w:t>]</w:t>
      </w:r>
      <w:r w:rsidR="006D4725">
        <w:rPr>
          <w:rFonts w:ascii="Arial" w:hAnsi="Arial" w:cs="Arial"/>
          <w:sz w:val="24"/>
          <w:szCs w:val="24"/>
        </w:rPr>
        <w:tab/>
      </w:r>
      <w:r w:rsidR="006B5DDC" w:rsidRPr="006D4725">
        <w:rPr>
          <w:rFonts w:ascii="Arial" w:hAnsi="Arial" w:cs="Arial"/>
          <w:sz w:val="24"/>
          <w:szCs w:val="24"/>
        </w:rPr>
        <w:t xml:space="preserve">In July 2003, </w:t>
      </w:r>
      <w:r w:rsidR="006D4725">
        <w:rPr>
          <w:rFonts w:ascii="Arial" w:hAnsi="Arial" w:cs="Arial"/>
          <w:sz w:val="24"/>
          <w:szCs w:val="24"/>
        </w:rPr>
        <w:t xml:space="preserve">DBCM adopted and applied </w:t>
      </w:r>
      <w:r w:rsidR="00AE1B42">
        <w:rPr>
          <w:rFonts w:ascii="Arial" w:hAnsi="Arial" w:cs="Arial"/>
          <w:sz w:val="24"/>
          <w:szCs w:val="24"/>
        </w:rPr>
        <w:t xml:space="preserve">for an </w:t>
      </w:r>
      <w:r w:rsidR="00274387" w:rsidRPr="006D4725">
        <w:rPr>
          <w:rFonts w:ascii="Arial" w:hAnsi="Arial" w:cs="Arial"/>
          <w:sz w:val="24"/>
          <w:szCs w:val="24"/>
        </w:rPr>
        <w:t>amend</w:t>
      </w:r>
      <w:r w:rsidR="00AE1B42">
        <w:rPr>
          <w:rFonts w:ascii="Arial" w:hAnsi="Arial" w:cs="Arial"/>
          <w:sz w:val="24"/>
          <w:szCs w:val="24"/>
        </w:rPr>
        <w:t xml:space="preserve">ment of its </w:t>
      </w:r>
      <w:r w:rsidR="00274387" w:rsidRPr="006D4725">
        <w:rPr>
          <w:rFonts w:ascii="Arial" w:hAnsi="Arial" w:cs="Arial"/>
          <w:sz w:val="24"/>
          <w:szCs w:val="24"/>
        </w:rPr>
        <w:t>initial EMP</w:t>
      </w:r>
      <w:r w:rsidR="006D4725">
        <w:rPr>
          <w:rFonts w:ascii="Arial" w:hAnsi="Arial" w:cs="Arial"/>
          <w:sz w:val="24"/>
          <w:szCs w:val="24"/>
        </w:rPr>
        <w:t xml:space="preserve">. </w:t>
      </w:r>
      <w:r w:rsidR="00F20041" w:rsidRPr="006D4725">
        <w:rPr>
          <w:rFonts w:ascii="Arial" w:hAnsi="Arial" w:cs="Arial"/>
          <w:sz w:val="24"/>
          <w:szCs w:val="24"/>
        </w:rPr>
        <w:t xml:space="preserve">The Amended EMP </w:t>
      </w:r>
      <w:r w:rsidR="00AE1B42">
        <w:rPr>
          <w:rFonts w:ascii="Arial" w:hAnsi="Arial" w:cs="Arial"/>
          <w:sz w:val="24"/>
          <w:szCs w:val="24"/>
        </w:rPr>
        <w:t xml:space="preserve">still </w:t>
      </w:r>
      <w:r w:rsidR="00F20041" w:rsidRPr="006D4725">
        <w:rPr>
          <w:rFonts w:ascii="Arial" w:hAnsi="Arial" w:cs="Arial"/>
          <w:sz w:val="24"/>
          <w:szCs w:val="24"/>
        </w:rPr>
        <w:t xml:space="preserve">contained closure steps and rehabilitation measures </w:t>
      </w:r>
      <w:r w:rsidR="009C7A2F">
        <w:rPr>
          <w:rFonts w:ascii="Arial" w:hAnsi="Arial" w:cs="Arial"/>
          <w:sz w:val="24"/>
          <w:szCs w:val="24"/>
        </w:rPr>
        <w:t>w</w:t>
      </w:r>
      <w:r w:rsidR="001D7610">
        <w:rPr>
          <w:rFonts w:ascii="Arial" w:hAnsi="Arial" w:cs="Arial"/>
          <w:sz w:val="24"/>
          <w:szCs w:val="24"/>
        </w:rPr>
        <w:t xml:space="preserve">hich DBCM </w:t>
      </w:r>
      <w:r w:rsidR="00D1249C">
        <w:rPr>
          <w:rFonts w:ascii="Arial" w:hAnsi="Arial" w:cs="Arial"/>
          <w:sz w:val="24"/>
          <w:szCs w:val="24"/>
        </w:rPr>
        <w:t xml:space="preserve">stipulated </w:t>
      </w:r>
      <w:r w:rsidR="001D7610">
        <w:rPr>
          <w:rFonts w:ascii="Arial" w:hAnsi="Arial" w:cs="Arial"/>
          <w:sz w:val="24"/>
          <w:szCs w:val="24"/>
        </w:rPr>
        <w:t xml:space="preserve">that </w:t>
      </w:r>
      <w:r w:rsidR="00010A6C">
        <w:rPr>
          <w:rFonts w:ascii="Arial" w:hAnsi="Arial" w:cs="Arial"/>
          <w:sz w:val="24"/>
          <w:szCs w:val="24"/>
        </w:rPr>
        <w:t>“</w:t>
      </w:r>
      <w:r w:rsidR="00F20041" w:rsidRPr="006D4725">
        <w:rPr>
          <w:rFonts w:ascii="Arial" w:hAnsi="Arial" w:cs="Arial"/>
          <w:sz w:val="24"/>
          <w:szCs w:val="24"/>
        </w:rPr>
        <w:t xml:space="preserve">the </w:t>
      </w:r>
      <w:r w:rsidR="00AE1B42">
        <w:rPr>
          <w:rFonts w:ascii="Arial" w:hAnsi="Arial" w:cs="Arial"/>
          <w:sz w:val="24"/>
          <w:szCs w:val="24"/>
        </w:rPr>
        <w:t>m</w:t>
      </w:r>
      <w:r w:rsidR="00F20041" w:rsidRPr="006D4725">
        <w:rPr>
          <w:rFonts w:ascii="Arial" w:hAnsi="Arial" w:cs="Arial"/>
          <w:sz w:val="24"/>
          <w:szCs w:val="24"/>
        </w:rPr>
        <w:t>ine pit to remain open</w:t>
      </w:r>
      <w:r w:rsidR="00010A6C">
        <w:rPr>
          <w:rFonts w:ascii="Arial" w:hAnsi="Arial" w:cs="Arial"/>
          <w:sz w:val="24"/>
          <w:szCs w:val="24"/>
        </w:rPr>
        <w:t>’</w:t>
      </w:r>
      <w:r w:rsidR="00F20041" w:rsidRPr="006D4725">
        <w:rPr>
          <w:rFonts w:ascii="Arial" w:hAnsi="Arial" w:cs="Arial"/>
          <w:sz w:val="24"/>
          <w:szCs w:val="24"/>
        </w:rPr>
        <w:t>.</w:t>
      </w:r>
      <w:r w:rsidR="00F20041">
        <w:rPr>
          <w:rFonts w:ascii="Arial" w:hAnsi="Arial" w:cs="Arial"/>
          <w:sz w:val="24"/>
          <w:szCs w:val="24"/>
        </w:rPr>
        <w:t xml:space="preserve"> </w:t>
      </w:r>
      <w:r w:rsidR="006D4725">
        <w:rPr>
          <w:rFonts w:ascii="Arial" w:hAnsi="Arial" w:cs="Arial"/>
          <w:sz w:val="24"/>
          <w:szCs w:val="24"/>
        </w:rPr>
        <w:t>The amended EMP</w:t>
      </w:r>
      <w:r w:rsidR="00274387" w:rsidRPr="006D4725">
        <w:rPr>
          <w:rFonts w:ascii="Arial" w:hAnsi="Arial" w:cs="Arial"/>
          <w:sz w:val="24"/>
          <w:szCs w:val="24"/>
        </w:rPr>
        <w:t xml:space="preserve"> was</w:t>
      </w:r>
      <w:r w:rsidR="00135F5D" w:rsidRPr="00135F5D">
        <w:rPr>
          <w:rFonts w:ascii="Arial" w:hAnsi="Arial" w:cs="Arial"/>
          <w:sz w:val="24"/>
          <w:szCs w:val="24"/>
        </w:rPr>
        <w:t xml:space="preserve"> </w:t>
      </w:r>
      <w:r w:rsidR="00135F5D" w:rsidRPr="006D4725">
        <w:rPr>
          <w:rFonts w:ascii="Arial" w:hAnsi="Arial" w:cs="Arial"/>
          <w:sz w:val="24"/>
          <w:szCs w:val="24"/>
        </w:rPr>
        <w:t>on 29 July 2003</w:t>
      </w:r>
      <w:r w:rsidR="003C5985" w:rsidRPr="006D4725">
        <w:rPr>
          <w:rFonts w:ascii="Arial" w:hAnsi="Arial" w:cs="Arial"/>
          <w:sz w:val="24"/>
          <w:szCs w:val="24"/>
        </w:rPr>
        <w:t>,</w:t>
      </w:r>
      <w:r w:rsidR="00274387" w:rsidRPr="006D4725">
        <w:rPr>
          <w:rFonts w:ascii="Arial" w:hAnsi="Arial" w:cs="Arial"/>
          <w:sz w:val="24"/>
          <w:szCs w:val="24"/>
        </w:rPr>
        <w:t xml:space="preserve"> </w:t>
      </w:r>
      <w:r w:rsidR="006D4725">
        <w:rPr>
          <w:rFonts w:ascii="Arial" w:hAnsi="Arial" w:cs="Arial"/>
          <w:sz w:val="24"/>
          <w:szCs w:val="24"/>
        </w:rPr>
        <w:t>like</w:t>
      </w:r>
      <w:r w:rsidR="00135F5D">
        <w:rPr>
          <w:rFonts w:ascii="Arial" w:hAnsi="Arial" w:cs="Arial"/>
          <w:sz w:val="24"/>
          <w:szCs w:val="24"/>
        </w:rPr>
        <w:t xml:space="preserve">wise </w:t>
      </w:r>
      <w:r w:rsidR="00135F5D" w:rsidRPr="006D4725">
        <w:rPr>
          <w:rFonts w:ascii="Arial" w:hAnsi="Arial" w:cs="Arial"/>
          <w:sz w:val="24"/>
          <w:szCs w:val="24"/>
        </w:rPr>
        <w:t xml:space="preserve">adopted and approved by DMRE </w:t>
      </w:r>
      <w:r w:rsidR="00135F5D">
        <w:rPr>
          <w:rFonts w:ascii="Arial" w:hAnsi="Arial" w:cs="Arial"/>
          <w:sz w:val="24"/>
          <w:szCs w:val="24"/>
        </w:rPr>
        <w:t>i</w:t>
      </w:r>
      <w:r w:rsidR="003C5985" w:rsidRPr="006D4725">
        <w:rPr>
          <w:rFonts w:ascii="Arial" w:hAnsi="Arial" w:cs="Arial"/>
          <w:sz w:val="24"/>
          <w:szCs w:val="24"/>
        </w:rPr>
        <w:t xml:space="preserve">n accordance with section 39 </w:t>
      </w:r>
      <w:r w:rsidR="007B4301">
        <w:rPr>
          <w:rFonts w:ascii="Arial" w:hAnsi="Arial" w:cs="Arial"/>
          <w:sz w:val="24"/>
          <w:szCs w:val="24"/>
        </w:rPr>
        <w:t xml:space="preserve">(2) (c) </w:t>
      </w:r>
      <w:r w:rsidR="003C5985" w:rsidRPr="006D4725">
        <w:rPr>
          <w:rFonts w:ascii="Arial" w:hAnsi="Arial" w:cs="Arial"/>
          <w:sz w:val="24"/>
          <w:szCs w:val="24"/>
        </w:rPr>
        <w:t xml:space="preserve">of the </w:t>
      </w:r>
      <w:r w:rsidR="00135F5D">
        <w:rPr>
          <w:rFonts w:ascii="Arial" w:hAnsi="Arial" w:cs="Arial"/>
          <w:sz w:val="24"/>
          <w:szCs w:val="24"/>
        </w:rPr>
        <w:t xml:space="preserve">erstwhile </w:t>
      </w:r>
      <w:r w:rsidR="003C5985" w:rsidRPr="006D4725">
        <w:rPr>
          <w:rFonts w:ascii="Arial" w:hAnsi="Arial" w:cs="Arial"/>
          <w:sz w:val="24"/>
          <w:szCs w:val="24"/>
        </w:rPr>
        <w:t xml:space="preserve">Minerals Act. </w:t>
      </w:r>
      <w:r w:rsidR="00F20041">
        <w:rPr>
          <w:rFonts w:ascii="Arial" w:hAnsi="Arial" w:cs="Arial"/>
          <w:sz w:val="24"/>
          <w:szCs w:val="24"/>
        </w:rPr>
        <w:t>This was prior to the commencement of the MPRDA</w:t>
      </w:r>
      <w:r w:rsidR="00014835">
        <w:rPr>
          <w:rFonts w:ascii="Arial" w:hAnsi="Arial" w:cs="Arial"/>
          <w:sz w:val="24"/>
          <w:szCs w:val="24"/>
        </w:rPr>
        <w:t xml:space="preserve"> on 1 May 2004</w:t>
      </w:r>
      <w:r w:rsidR="007B4301">
        <w:rPr>
          <w:rFonts w:ascii="Arial" w:hAnsi="Arial" w:cs="Arial"/>
          <w:sz w:val="24"/>
          <w:szCs w:val="24"/>
        </w:rPr>
        <w:t>.</w:t>
      </w:r>
      <w:r w:rsidR="00F20041">
        <w:rPr>
          <w:rFonts w:ascii="Arial" w:hAnsi="Arial" w:cs="Arial"/>
          <w:sz w:val="24"/>
          <w:szCs w:val="24"/>
        </w:rPr>
        <w:t xml:space="preserve"> </w:t>
      </w:r>
      <w:r w:rsidR="009C7A2F" w:rsidRPr="006D4725">
        <w:rPr>
          <w:rFonts w:ascii="Arial" w:hAnsi="Arial" w:cs="Arial"/>
          <w:sz w:val="24"/>
          <w:szCs w:val="24"/>
        </w:rPr>
        <w:t>The Oaks Mine operated for a period of 10 years between the period 1998 to 2008</w:t>
      </w:r>
      <w:r w:rsidR="009C7A2F">
        <w:rPr>
          <w:rFonts w:ascii="Arial" w:hAnsi="Arial" w:cs="Arial"/>
          <w:sz w:val="24"/>
          <w:szCs w:val="24"/>
        </w:rPr>
        <w:t>,</w:t>
      </w:r>
      <w:r w:rsidR="009C7A2F" w:rsidRPr="006D4725">
        <w:rPr>
          <w:rFonts w:ascii="Arial" w:hAnsi="Arial" w:cs="Arial"/>
          <w:sz w:val="24"/>
          <w:szCs w:val="24"/>
        </w:rPr>
        <w:t xml:space="preserve"> therefore </w:t>
      </w:r>
      <w:r w:rsidR="009C7A2F" w:rsidRPr="00AD5AE9">
        <w:rPr>
          <w:rFonts w:ascii="Arial" w:hAnsi="Arial" w:cs="Arial"/>
          <w:i/>
          <w:sz w:val="24"/>
          <w:szCs w:val="24"/>
        </w:rPr>
        <w:t>de facto</w:t>
      </w:r>
      <w:r w:rsidR="009C7A2F" w:rsidRPr="006D4725">
        <w:rPr>
          <w:rFonts w:ascii="Arial" w:hAnsi="Arial" w:cs="Arial"/>
          <w:sz w:val="24"/>
          <w:szCs w:val="24"/>
        </w:rPr>
        <w:t xml:space="preserve"> seized its operations in 2008.</w:t>
      </w:r>
      <w:r w:rsidR="009C7A2F">
        <w:rPr>
          <w:rFonts w:ascii="Arial" w:hAnsi="Arial" w:cs="Arial"/>
          <w:sz w:val="24"/>
          <w:szCs w:val="24"/>
        </w:rPr>
        <w:t xml:space="preserve"> </w:t>
      </w:r>
      <w:r w:rsidR="00F20041">
        <w:rPr>
          <w:rFonts w:ascii="Arial" w:hAnsi="Arial" w:cs="Arial"/>
          <w:sz w:val="24"/>
          <w:szCs w:val="24"/>
        </w:rPr>
        <w:t xml:space="preserve">The mining license has </w:t>
      </w:r>
      <w:r w:rsidR="00F20041">
        <w:rPr>
          <w:rFonts w:ascii="Arial" w:hAnsi="Arial" w:cs="Arial"/>
          <w:sz w:val="24"/>
          <w:szCs w:val="24"/>
        </w:rPr>
        <w:lastRenderedPageBreak/>
        <w:t xml:space="preserve">since lapsed as it was not converted to the new order right. DBCM submit that the </w:t>
      </w:r>
      <w:r w:rsidR="000613A8">
        <w:rPr>
          <w:rFonts w:ascii="Arial" w:hAnsi="Arial" w:cs="Arial"/>
          <w:sz w:val="24"/>
          <w:szCs w:val="24"/>
        </w:rPr>
        <w:t xml:space="preserve">initial and </w:t>
      </w:r>
      <w:r w:rsidR="00F20041">
        <w:rPr>
          <w:rFonts w:ascii="Arial" w:hAnsi="Arial" w:cs="Arial"/>
          <w:sz w:val="24"/>
          <w:szCs w:val="24"/>
        </w:rPr>
        <w:t>Amended EMP, however remain</w:t>
      </w:r>
      <w:r w:rsidR="001D7610">
        <w:rPr>
          <w:rFonts w:ascii="Arial" w:hAnsi="Arial" w:cs="Arial"/>
          <w:sz w:val="24"/>
          <w:szCs w:val="24"/>
        </w:rPr>
        <w:t>ed</w:t>
      </w:r>
      <w:r w:rsidR="00F20041">
        <w:rPr>
          <w:rFonts w:ascii="Arial" w:hAnsi="Arial" w:cs="Arial"/>
          <w:sz w:val="24"/>
          <w:szCs w:val="24"/>
        </w:rPr>
        <w:t xml:space="preserve"> valid and enforceable </w:t>
      </w:r>
      <w:r w:rsidR="000613A8">
        <w:rPr>
          <w:rFonts w:ascii="Arial" w:hAnsi="Arial" w:cs="Arial"/>
          <w:sz w:val="24"/>
          <w:szCs w:val="24"/>
        </w:rPr>
        <w:t xml:space="preserve">in accordance with item 10 of the transitional arrangements in schedule </w:t>
      </w:r>
      <w:r w:rsidR="00031230">
        <w:rPr>
          <w:rFonts w:ascii="Arial" w:hAnsi="Arial" w:cs="Arial"/>
          <w:sz w:val="24"/>
          <w:szCs w:val="24"/>
        </w:rPr>
        <w:t>II</w:t>
      </w:r>
      <w:r w:rsidR="000613A8">
        <w:rPr>
          <w:rFonts w:ascii="Arial" w:hAnsi="Arial" w:cs="Arial"/>
          <w:sz w:val="24"/>
          <w:szCs w:val="24"/>
        </w:rPr>
        <w:t xml:space="preserve"> of the MPRDA</w:t>
      </w:r>
      <w:r w:rsidR="007B4301">
        <w:rPr>
          <w:rFonts w:ascii="Arial" w:hAnsi="Arial" w:cs="Arial"/>
          <w:sz w:val="24"/>
          <w:szCs w:val="24"/>
        </w:rPr>
        <w:t>.</w:t>
      </w:r>
      <w:r w:rsidR="007B4301">
        <w:rPr>
          <w:rStyle w:val="FootnoteReference"/>
          <w:rFonts w:ascii="Arial" w:hAnsi="Arial" w:cs="Arial"/>
          <w:sz w:val="24"/>
          <w:szCs w:val="24"/>
        </w:rPr>
        <w:footnoteReference w:id="4"/>
      </w:r>
      <w:r w:rsidR="0022151E">
        <w:rPr>
          <w:rFonts w:ascii="Arial" w:hAnsi="Arial" w:cs="Arial"/>
          <w:sz w:val="24"/>
          <w:szCs w:val="24"/>
        </w:rPr>
        <w:t xml:space="preserve"> DBCM </w:t>
      </w:r>
      <w:r w:rsidR="0029087B" w:rsidRPr="00B12CBA">
        <w:rPr>
          <w:rFonts w:ascii="Arial" w:hAnsi="Arial" w:cs="Arial"/>
          <w:sz w:val="24"/>
          <w:szCs w:val="24"/>
        </w:rPr>
        <w:t>allege</w:t>
      </w:r>
      <w:r w:rsidR="0022151E">
        <w:rPr>
          <w:rFonts w:ascii="Arial" w:hAnsi="Arial" w:cs="Arial"/>
          <w:sz w:val="24"/>
          <w:szCs w:val="24"/>
        </w:rPr>
        <w:t>s</w:t>
      </w:r>
      <w:r w:rsidR="0029087B" w:rsidRPr="00B12CBA">
        <w:rPr>
          <w:rFonts w:ascii="Arial" w:hAnsi="Arial" w:cs="Arial"/>
          <w:sz w:val="24"/>
          <w:szCs w:val="24"/>
        </w:rPr>
        <w:t xml:space="preserve"> </w:t>
      </w:r>
      <w:r w:rsidR="00D1249C" w:rsidRPr="00B12CBA">
        <w:rPr>
          <w:rFonts w:ascii="Arial" w:hAnsi="Arial" w:cs="Arial"/>
          <w:sz w:val="24"/>
          <w:szCs w:val="24"/>
        </w:rPr>
        <w:t>that s 43 in force at the time of its Application</w:t>
      </w:r>
      <w:r w:rsidR="0022151E">
        <w:rPr>
          <w:rFonts w:ascii="Arial" w:hAnsi="Arial" w:cs="Arial"/>
          <w:sz w:val="24"/>
          <w:szCs w:val="24"/>
        </w:rPr>
        <w:t xml:space="preserve"> </w:t>
      </w:r>
      <w:r w:rsidR="00D1249C" w:rsidRPr="00B12CBA">
        <w:rPr>
          <w:rFonts w:ascii="Arial" w:hAnsi="Arial" w:cs="Arial"/>
          <w:sz w:val="24"/>
          <w:szCs w:val="24"/>
        </w:rPr>
        <w:t xml:space="preserve">for </w:t>
      </w:r>
      <w:r w:rsidR="0022151E">
        <w:rPr>
          <w:rFonts w:ascii="Arial" w:hAnsi="Arial" w:cs="Arial"/>
          <w:sz w:val="24"/>
          <w:szCs w:val="24"/>
        </w:rPr>
        <w:t xml:space="preserve">a </w:t>
      </w:r>
      <w:r w:rsidR="00D1249C" w:rsidRPr="00B12CBA">
        <w:rPr>
          <w:rFonts w:ascii="Arial" w:hAnsi="Arial" w:cs="Arial"/>
          <w:sz w:val="24"/>
          <w:szCs w:val="24"/>
        </w:rPr>
        <w:t>closure certificate</w:t>
      </w:r>
      <w:r w:rsidR="0022151E" w:rsidRPr="0022151E">
        <w:rPr>
          <w:rFonts w:ascii="Arial" w:hAnsi="Arial" w:cs="Arial"/>
          <w:sz w:val="24"/>
          <w:szCs w:val="24"/>
        </w:rPr>
        <w:t xml:space="preserve"> </w:t>
      </w:r>
      <w:r w:rsidR="0022151E">
        <w:rPr>
          <w:rFonts w:ascii="Arial" w:hAnsi="Arial" w:cs="Arial"/>
          <w:sz w:val="24"/>
          <w:szCs w:val="24"/>
        </w:rPr>
        <w:t xml:space="preserve">in November </w:t>
      </w:r>
      <w:r w:rsidR="0022151E" w:rsidRPr="00B12CBA">
        <w:rPr>
          <w:rFonts w:ascii="Arial" w:hAnsi="Arial" w:cs="Arial"/>
          <w:sz w:val="24"/>
          <w:szCs w:val="24"/>
        </w:rPr>
        <w:t>2009</w:t>
      </w:r>
      <w:r w:rsidR="00B12CBA" w:rsidRPr="00B12CBA">
        <w:rPr>
          <w:rFonts w:ascii="Arial" w:hAnsi="Arial" w:cs="Arial"/>
          <w:sz w:val="24"/>
          <w:szCs w:val="24"/>
        </w:rPr>
        <w:t xml:space="preserve">, </w:t>
      </w:r>
      <w:r w:rsidR="00D1249C" w:rsidRPr="00B12CBA">
        <w:rPr>
          <w:rFonts w:ascii="Arial" w:hAnsi="Arial" w:cs="Arial"/>
          <w:sz w:val="24"/>
          <w:szCs w:val="24"/>
        </w:rPr>
        <w:t>is applicable to decide its Application</w:t>
      </w:r>
      <w:r w:rsidR="0022151E">
        <w:rPr>
          <w:rFonts w:ascii="Arial" w:hAnsi="Arial" w:cs="Arial"/>
          <w:sz w:val="24"/>
          <w:szCs w:val="24"/>
        </w:rPr>
        <w:t>,</w:t>
      </w:r>
      <w:r w:rsidR="00D1249C" w:rsidRPr="00B12CBA">
        <w:rPr>
          <w:rFonts w:ascii="Arial" w:hAnsi="Arial" w:cs="Arial"/>
          <w:sz w:val="24"/>
          <w:szCs w:val="24"/>
        </w:rPr>
        <w:t xml:space="preserve"> as a result seek such a declaration.</w:t>
      </w:r>
      <w:r w:rsidR="00D1249C">
        <w:rPr>
          <w:rFonts w:ascii="Arial" w:hAnsi="Arial" w:cs="Arial"/>
          <w:b/>
          <w:sz w:val="24"/>
          <w:szCs w:val="24"/>
        </w:rPr>
        <w:t xml:space="preserve"> </w:t>
      </w:r>
      <w:r w:rsidR="0029087B" w:rsidRPr="00AD5AE9">
        <w:rPr>
          <w:rFonts w:ascii="Arial" w:hAnsi="Arial" w:cs="Arial"/>
          <w:b/>
          <w:sz w:val="24"/>
          <w:szCs w:val="24"/>
        </w:rPr>
        <w:t xml:space="preserve"> </w:t>
      </w:r>
    </w:p>
    <w:p w14:paraId="455A30E2" w14:textId="77777777" w:rsidR="00F0640B" w:rsidRDefault="00F0640B" w:rsidP="00F0640B">
      <w:pPr>
        <w:pStyle w:val="ListParagraph"/>
        <w:spacing w:after="0" w:line="360" w:lineRule="auto"/>
        <w:ind w:left="0"/>
        <w:jc w:val="both"/>
        <w:rPr>
          <w:rFonts w:ascii="Arial" w:hAnsi="Arial" w:cs="Arial"/>
          <w:sz w:val="24"/>
          <w:szCs w:val="24"/>
        </w:rPr>
      </w:pPr>
    </w:p>
    <w:p w14:paraId="216E8412" w14:textId="2E1051E2" w:rsidR="009155D6" w:rsidRPr="006D4725" w:rsidRDefault="00435C3F" w:rsidP="0059732D">
      <w:pPr>
        <w:spacing w:after="0" w:line="360" w:lineRule="auto"/>
        <w:jc w:val="both"/>
        <w:rPr>
          <w:rFonts w:ascii="Arial" w:hAnsi="Arial" w:cs="Arial"/>
          <w:sz w:val="24"/>
          <w:szCs w:val="24"/>
        </w:rPr>
      </w:pPr>
      <w:r>
        <w:rPr>
          <w:rFonts w:ascii="Arial" w:hAnsi="Arial" w:cs="Arial"/>
          <w:sz w:val="24"/>
          <w:szCs w:val="24"/>
        </w:rPr>
        <w:t>[8</w:t>
      </w:r>
      <w:r w:rsidR="006D4725">
        <w:rPr>
          <w:rFonts w:ascii="Arial" w:hAnsi="Arial" w:cs="Arial"/>
          <w:sz w:val="24"/>
          <w:szCs w:val="24"/>
        </w:rPr>
        <w:t>]</w:t>
      </w:r>
      <w:r w:rsidR="006D4725">
        <w:rPr>
          <w:rFonts w:ascii="Arial" w:hAnsi="Arial" w:cs="Arial"/>
          <w:sz w:val="24"/>
          <w:szCs w:val="24"/>
        </w:rPr>
        <w:tab/>
      </w:r>
      <w:r w:rsidR="000B4552">
        <w:rPr>
          <w:rFonts w:ascii="Arial" w:hAnsi="Arial" w:cs="Arial"/>
          <w:sz w:val="24"/>
          <w:szCs w:val="24"/>
        </w:rPr>
        <w:t>According to DBCM o</w:t>
      </w:r>
      <w:r w:rsidR="006D4725">
        <w:rPr>
          <w:rFonts w:ascii="Arial" w:hAnsi="Arial" w:cs="Arial"/>
          <w:sz w:val="24"/>
          <w:szCs w:val="24"/>
        </w:rPr>
        <w:t xml:space="preserve">nly </w:t>
      </w:r>
      <w:r w:rsidR="00362198" w:rsidRPr="006D4725">
        <w:rPr>
          <w:rFonts w:ascii="Arial" w:hAnsi="Arial" w:cs="Arial"/>
          <w:sz w:val="24"/>
          <w:szCs w:val="24"/>
        </w:rPr>
        <w:t xml:space="preserve">69 hectares of the total area is affected by the mining operations, most of the mining area being undisturbed. </w:t>
      </w:r>
      <w:r w:rsidR="00AD5AE9" w:rsidRPr="00031230">
        <w:rPr>
          <w:rFonts w:ascii="Arial" w:hAnsi="Arial" w:cs="Arial"/>
          <w:sz w:val="24"/>
          <w:szCs w:val="24"/>
        </w:rPr>
        <w:t>During the construction, operation and closure of mine, as well as their rehabilitation, there was a series of measures included in the EMP aimed at protecting the environment from mining impacts.</w:t>
      </w:r>
      <w:r w:rsidR="00AD5AE9">
        <w:rPr>
          <w:rFonts w:ascii="Arial" w:hAnsi="Arial" w:cs="Arial"/>
          <w:sz w:val="24"/>
          <w:szCs w:val="24"/>
        </w:rPr>
        <w:t xml:space="preserve"> </w:t>
      </w:r>
      <w:r w:rsidR="00D1249C">
        <w:rPr>
          <w:rFonts w:ascii="Arial" w:hAnsi="Arial" w:cs="Arial"/>
          <w:sz w:val="24"/>
          <w:szCs w:val="24"/>
        </w:rPr>
        <w:t>The</w:t>
      </w:r>
      <w:r w:rsidR="0001634C" w:rsidRPr="006D4725">
        <w:rPr>
          <w:rFonts w:ascii="Arial" w:hAnsi="Arial" w:cs="Arial"/>
          <w:sz w:val="24"/>
          <w:szCs w:val="24"/>
        </w:rPr>
        <w:t xml:space="preserve"> open </w:t>
      </w:r>
      <w:r w:rsidR="00C862D2">
        <w:rPr>
          <w:rFonts w:ascii="Arial" w:hAnsi="Arial" w:cs="Arial"/>
          <w:sz w:val="24"/>
          <w:szCs w:val="24"/>
        </w:rPr>
        <w:t xml:space="preserve">cone shape pit was developed </w:t>
      </w:r>
      <w:r w:rsidR="00864431">
        <w:rPr>
          <w:rFonts w:ascii="Arial" w:hAnsi="Arial" w:cs="Arial"/>
          <w:sz w:val="24"/>
          <w:szCs w:val="24"/>
        </w:rPr>
        <w:t xml:space="preserve">due to </w:t>
      </w:r>
      <w:r w:rsidR="00C862D2">
        <w:rPr>
          <w:rFonts w:ascii="Arial" w:hAnsi="Arial" w:cs="Arial"/>
          <w:sz w:val="24"/>
          <w:szCs w:val="24"/>
        </w:rPr>
        <w:t xml:space="preserve">an open cast mining technic </w:t>
      </w:r>
      <w:r w:rsidR="00864431">
        <w:rPr>
          <w:rFonts w:ascii="Arial" w:hAnsi="Arial" w:cs="Arial"/>
          <w:sz w:val="24"/>
          <w:szCs w:val="24"/>
        </w:rPr>
        <w:t xml:space="preserve">that </w:t>
      </w:r>
      <w:r w:rsidR="00C862D2">
        <w:rPr>
          <w:rFonts w:ascii="Arial" w:hAnsi="Arial" w:cs="Arial"/>
          <w:sz w:val="24"/>
          <w:szCs w:val="24"/>
        </w:rPr>
        <w:t xml:space="preserve">was used </w:t>
      </w:r>
      <w:r w:rsidR="00B12CBA">
        <w:rPr>
          <w:rFonts w:ascii="Arial" w:hAnsi="Arial" w:cs="Arial"/>
          <w:sz w:val="24"/>
          <w:szCs w:val="24"/>
        </w:rPr>
        <w:t xml:space="preserve">of </w:t>
      </w:r>
      <w:r w:rsidR="00F0640B" w:rsidRPr="006D4725">
        <w:rPr>
          <w:rFonts w:ascii="Arial" w:hAnsi="Arial" w:cs="Arial"/>
          <w:sz w:val="24"/>
          <w:szCs w:val="24"/>
        </w:rPr>
        <w:t xml:space="preserve">blasting and excavating </w:t>
      </w:r>
      <w:r w:rsidR="00C862D2">
        <w:rPr>
          <w:rFonts w:ascii="Arial" w:hAnsi="Arial" w:cs="Arial"/>
          <w:sz w:val="24"/>
          <w:szCs w:val="24"/>
        </w:rPr>
        <w:t>the kimberlite and surrounding host rocks</w:t>
      </w:r>
      <w:r w:rsidR="00D419F8" w:rsidRPr="006D4725">
        <w:rPr>
          <w:rFonts w:ascii="Arial" w:hAnsi="Arial" w:cs="Arial"/>
          <w:sz w:val="24"/>
          <w:szCs w:val="24"/>
        </w:rPr>
        <w:t xml:space="preserve">. </w:t>
      </w:r>
      <w:r w:rsidR="00B12CBA">
        <w:rPr>
          <w:rFonts w:ascii="Arial" w:hAnsi="Arial" w:cs="Arial"/>
          <w:sz w:val="24"/>
          <w:szCs w:val="24"/>
        </w:rPr>
        <w:t xml:space="preserve">The </w:t>
      </w:r>
      <w:r w:rsidR="00D419F8" w:rsidRPr="006D4725">
        <w:rPr>
          <w:rFonts w:ascii="Arial" w:hAnsi="Arial" w:cs="Arial"/>
          <w:sz w:val="24"/>
          <w:szCs w:val="24"/>
        </w:rPr>
        <w:t xml:space="preserve">crushing, washing and screening process </w:t>
      </w:r>
      <w:r w:rsidR="00860263" w:rsidRPr="006D4725">
        <w:rPr>
          <w:rFonts w:ascii="Arial" w:hAnsi="Arial" w:cs="Arial"/>
          <w:sz w:val="24"/>
          <w:szCs w:val="24"/>
        </w:rPr>
        <w:t>was used to extract the diamond from the kimberlite ore</w:t>
      </w:r>
      <w:r w:rsidR="00D1249C">
        <w:rPr>
          <w:rFonts w:ascii="Arial" w:hAnsi="Arial" w:cs="Arial"/>
          <w:sz w:val="24"/>
          <w:szCs w:val="24"/>
        </w:rPr>
        <w:t xml:space="preserve"> remotely from the pit</w:t>
      </w:r>
      <w:r w:rsidR="00B12CBA">
        <w:rPr>
          <w:rFonts w:ascii="Arial" w:hAnsi="Arial" w:cs="Arial"/>
          <w:sz w:val="24"/>
          <w:szCs w:val="24"/>
        </w:rPr>
        <w:t xml:space="preserve"> where excavated</w:t>
      </w:r>
      <w:r w:rsidR="00860263" w:rsidRPr="006D4725">
        <w:rPr>
          <w:rFonts w:ascii="Arial" w:hAnsi="Arial" w:cs="Arial"/>
          <w:sz w:val="24"/>
          <w:szCs w:val="24"/>
        </w:rPr>
        <w:t xml:space="preserve">. </w:t>
      </w:r>
      <w:r w:rsidR="009155D6" w:rsidRPr="006D4725">
        <w:rPr>
          <w:rFonts w:ascii="Arial" w:hAnsi="Arial" w:cs="Arial"/>
          <w:sz w:val="24"/>
          <w:szCs w:val="24"/>
        </w:rPr>
        <w:t>The Oak</w:t>
      </w:r>
      <w:r w:rsidR="0001634C" w:rsidRPr="006D4725">
        <w:rPr>
          <w:rFonts w:ascii="Arial" w:hAnsi="Arial" w:cs="Arial"/>
          <w:sz w:val="24"/>
          <w:szCs w:val="24"/>
        </w:rPr>
        <w:t>s Mine</w:t>
      </w:r>
      <w:r w:rsidR="009155D6" w:rsidRPr="006D4725">
        <w:rPr>
          <w:rFonts w:ascii="Arial" w:hAnsi="Arial" w:cs="Arial"/>
          <w:sz w:val="24"/>
          <w:szCs w:val="24"/>
        </w:rPr>
        <w:t xml:space="preserve"> </w:t>
      </w:r>
      <w:r w:rsidR="00362198" w:rsidRPr="006D4725">
        <w:rPr>
          <w:rFonts w:ascii="Arial" w:hAnsi="Arial" w:cs="Arial"/>
          <w:sz w:val="24"/>
          <w:szCs w:val="24"/>
        </w:rPr>
        <w:t xml:space="preserve">therefore </w:t>
      </w:r>
      <w:r w:rsidR="009155D6" w:rsidRPr="006D4725">
        <w:rPr>
          <w:rFonts w:ascii="Arial" w:hAnsi="Arial" w:cs="Arial"/>
          <w:sz w:val="24"/>
          <w:szCs w:val="24"/>
        </w:rPr>
        <w:t>also comprise</w:t>
      </w:r>
      <w:r w:rsidR="00362198" w:rsidRPr="006D4725">
        <w:rPr>
          <w:rFonts w:ascii="Arial" w:hAnsi="Arial" w:cs="Arial"/>
          <w:sz w:val="24"/>
          <w:szCs w:val="24"/>
        </w:rPr>
        <w:t>s</w:t>
      </w:r>
      <w:r w:rsidR="009155D6" w:rsidRPr="006D4725">
        <w:rPr>
          <w:rFonts w:ascii="Arial" w:hAnsi="Arial" w:cs="Arial"/>
          <w:sz w:val="24"/>
          <w:szCs w:val="24"/>
        </w:rPr>
        <w:t xml:space="preserve"> of </w:t>
      </w:r>
      <w:r w:rsidR="009155D6" w:rsidRPr="00157492">
        <w:rPr>
          <w:rFonts w:ascii="Arial" w:hAnsi="Arial" w:cs="Arial"/>
          <w:sz w:val="24"/>
          <w:szCs w:val="24"/>
        </w:rPr>
        <w:t>waste rock and mine residue disposal</w:t>
      </w:r>
      <w:r w:rsidR="009C7A2F">
        <w:rPr>
          <w:rFonts w:ascii="Arial" w:hAnsi="Arial" w:cs="Arial"/>
          <w:b/>
          <w:sz w:val="24"/>
          <w:szCs w:val="24"/>
        </w:rPr>
        <w:t xml:space="preserve"> </w:t>
      </w:r>
      <w:r w:rsidR="004C1481" w:rsidRPr="006D4725">
        <w:rPr>
          <w:rFonts w:ascii="Arial" w:hAnsi="Arial" w:cs="Arial"/>
          <w:sz w:val="24"/>
          <w:szCs w:val="24"/>
        </w:rPr>
        <w:t>(MRD)</w:t>
      </w:r>
      <w:r w:rsidR="009155D6" w:rsidRPr="006D4725">
        <w:rPr>
          <w:rFonts w:ascii="Arial" w:hAnsi="Arial" w:cs="Arial"/>
          <w:sz w:val="24"/>
          <w:szCs w:val="24"/>
        </w:rPr>
        <w:t xml:space="preserve"> complex </w:t>
      </w:r>
      <w:r w:rsidR="00447B66" w:rsidRPr="006D4725">
        <w:rPr>
          <w:rFonts w:ascii="Arial" w:hAnsi="Arial" w:cs="Arial"/>
          <w:sz w:val="24"/>
          <w:szCs w:val="24"/>
        </w:rPr>
        <w:t>wh</w:t>
      </w:r>
      <w:r w:rsidR="009155D6" w:rsidRPr="006D4725">
        <w:rPr>
          <w:rFonts w:ascii="Arial" w:hAnsi="Arial" w:cs="Arial"/>
          <w:sz w:val="24"/>
          <w:szCs w:val="24"/>
        </w:rPr>
        <w:t xml:space="preserve">ere waste products </w:t>
      </w:r>
      <w:r w:rsidR="00B12CBA">
        <w:rPr>
          <w:rFonts w:ascii="Arial" w:hAnsi="Arial" w:cs="Arial"/>
          <w:sz w:val="24"/>
          <w:szCs w:val="24"/>
        </w:rPr>
        <w:t xml:space="preserve">could </w:t>
      </w:r>
      <w:r w:rsidR="009155D6" w:rsidRPr="006D4725">
        <w:rPr>
          <w:rFonts w:ascii="Arial" w:hAnsi="Arial" w:cs="Arial"/>
          <w:sz w:val="24"/>
          <w:szCs w:val="24"/>
        </w:rPr>
        <w:t xml:space="preserve">be disposed of. The </w:t>
      </w:r>
      <w:r w:rsidR="00157492" w:rsidRPr="00157492">
        <w:rPr>
          <w:rFonts w:ascii="Arial" w:hAnsi="Arial" w:cs="Arial"/>
          <w:sz w:val="24"/>
          <w:szCs w:val="24"/>
        </w:rPr>
        <w:t xml:space="preserve">waste rock extracted from the open pit was to be disposed </w:t>
      </w:r>
      <w:r w:rsidR="00157492">
        <w:rPr>
          <w:rFonts w:ascii="Arial" w:hAnsi="Arial" w:cs="Arial"/>
          <w:sz w:val="24"/>
          <w:szCs w:val="24"/>
        </w:rPr>
        <w:t xml:space="preserve">at the </w:t>
      </w:r>
      <w:r w:rsidR="009155D6" w:rsidRPr="00157492">
        <w:rPr>
          <w:rFonts w:ascii="Arial" w:hAnsi="Arial" w:cs="Arial"/>
          <w:sz w:val="24"/>
          <w:szCs w:val="24"/>
        </w:rPr>
        <w:t>waste rock dump</w:t>
      </w:r>
      <w:r w:rsidR="00157492">
        <w:rPr>
          <w:rFonts w:ascii="Arial" w:hAnsi="Arial" w:cs="Arial"/>
          <w:sz w:val="24"/>
          <w:szCs w:val="24"/>
        </w:rPr>
        <w:t>.</w:t>
      </w:r>
      <w:r w:rsidR="001270EA" w:rsidRPr="006D4725">
        <w:rPr>
          <w:rFonts w:ascii="Arial" w:hAnsi="Arial" w:cs="Arial"/>
          <w:sz w:val="24"/>
          <w:szCs w:val="24"/>
        </w:rPr>
        <w:t xml:space="preserve"> Some of the waste rock was used to construct the wall of the mine residue disposal complex.</w:t>
      </w:r>
      <w:r w:rsidR="0059732D" w:rsidRPr="0059732D">
        <w:rPr>
          <w:rFonts w:ascii="Arial" w:hAnsi="Arial" w:cs="Arial"/>
          <w:sz w:val="24"/>
          <w:szCs w:val="24"/>
        </w:rPr>
        <w:t xml:space="preserve"> </w:t>
      </w:r>
    </w:p>
    <w:p w14:paraId="7F63BA49" w14:textId="77777777" w:rsidR="009155D6" w:rsidRPr="009155D6" w:rsidRDefault="009155D6" w:rsidP="009155D6">
      <w:pPr>
        <w:pStyle w:val="ListParagraph"/>
        <w:rPr>
          <w:rFonts w:ascii="Arial" w:hAnsi="Arial" w:cs="Arial"/>
          <w:sz w:val="24"/>
          <w:szCs w:val="24"/>
        </w:rPr>
      </w:pPr>
    </w:p>
    <w:p w14:paraId="236AB3B1" w14:textId="3C4DF580" w:rsidR="00FF239B" w:rsidRPr="00031230" w:rsidRDefault="00435C3F" w:rsidP="00031230">
      <w:pPr>
        <w:spacing w:after="0" w:line="360" w:lineRule="auto"/>
        <w:jc w:val="both"/>
        <w:rPr>
          <w:rFonts w:ascii="Arial" w:hAnsi="Arial" w:cs="Arial"/>
          <w:sz w:val="24"/>
          <w:szCs w:val="24"/>
        </w:rPr>
      </w:pPr>
      <w:r>
        <w:rPr>
          <w:rFonts w:ascii="Arial" w:hAnsi="Arial" w:cs="Arial"/>
          <w:sz w:val="24"/>
          <w:szCs w:val="24"/>
        </w:rPr>
        <w:t>[9</w:t>
      </w:r>
      <w:r w:rsidR="00031230">
        <w:rPr>
          <w:rFonts w:ascii="Arial" w:hAnsi="Arial" w:cs="Arial"/>
          <w:sz w:val="24"/>
          <w:szCs w:val="24"/>
        </w:rPr>
        <w:t>]</w:t>
      </w:r>
      <w:r w:rsidR="00031230">
        <w:rPr>
          <w:rFonts w:ascii="Arial" w:hAnsi="Arial" w:cs="Arial"/>
          <w:sz w:val="24"/>
          <w:szCs w:val="24"/>
        </w:rPr>
        <w:tab/>
      </w:r>
      <w:r w:rsidR="005C6E28" w:rsidRPr="00031230">
        <w:rPr>
          <w:rFonts w:ascii="Arial" w:hAnsi="Arial" w:cs="Arial"/>
          <w:sz w:val="24"/>
          <w:szCs w:val="24"/>
        </w:rPr>
        <w:t>The cone shaped</w:t>
      </w:r>
      <w:r w:rsidR="00A23247" w:rsidRPr="00031230">
        <w:rPr>
          <w:rFonts w:ascii="Arial" w:hAnsi="Arial" w:cs="Arial"/>
          <w:sz w:val="24"/>
          <w:szCs w:val="24"/>
        </w:rPr>
        <w:t xml:space="preserve"> open pit, </w:t>
      </w:r>
      <w:r w:rsidR="005C6E28" w:rsidRPr="00031230">
        <w:rPr>
          <w:rFonts w:ascii="Arial" w:hAnsi="Arial" w:cs="Arial"/>
          <w:sz w:val="24"/>
          <w:szCs w:val="24"/>
        </w:rPr>
        <w:t xml:space="preserve">covers an area of 8 hectares, </w:t>
      </w:r>
      <w:r w:rsidR="00A23247" w:rsidRPr="00031230">
        <w:rPr>
          <w:rFonts w:ascii="Arial" w:hAnsi="Arial" w:cs="Arial"/>
          <w:sz w:val="24"/>
          <w:szCs w:val="24"/>
        </w:rPr>
        <w:t xml:space="preserve">and </w:t>
      </w:r>
      <w:r w:rsidR="00F57A04">
        <w:rPr>
          <w:rFonts w:ascii="Arial" w:hAnsi="Arial" w:cs="Arial"/>
          <w:sz w:val="24"/>
          <w:szCs w:val="24"/>
        </w:rPr>
        <w:t>t</w:t>
      </w:r>
      <w:r w:rsidR="00F7296C">
        <w:rPr>
          <w:rFonts w:ascii="Arial" w:hAnsi="Arial" w:cs="Arial"/>
          <w:sz w:val="24"/>
          <w:szCs w:val="24"/>
        </w:rPr>
        <w:t xml:space="preserve">he final void of the pit was intended to cover an area of about 10.5 hectares. </w:t>
      </w:r>
      <w:r w:rsidR="005C6E28" w:rsidRPr="00031230">
        <w:rPr>
          <w:rFonts w:ascii="Arial" w:hAnsi="Arial" w:cs="Arial"/>
          <w:sz w:val="24"/>
          <w:szCs w:val="24"/>
        </w:rPr>
        <w:t xml:space="preserve">The pit’s design allowed an overall pit slope of 50 % </w:t>
      </w:r>
      <w:r w:rsidR="00F7296C">
        <w:rPr>
          <w:rFonts w:ascii="Arial" w:hAnsi="Arial" w:cs="Arial"/>
          <w:sz w:val="24"/>
          <w:szCs w:val="24"/>
        </w:rPr>
        <w:t xml:space="preserve">with </w:t>
      </w:r>
      <w:r w:rsidR="005C6E28" w:rsidRPr="00031230">
        <w:rPr>
          <w:rFonts w:ascii="Arial" w:hAnsi="Arial" w:cs="Arial"/>
          <w:sz w:val="24"/>
          <w:szCs w:val="24"/>
        </w:rPr>
        <w:t>10 m high benches.</w:t>
      </w:r>
      <w:r w:rsidR="00FF239B" w:rsidRPr="00031230">
        <w:rPr>
          <w:rFonts w:ascii="Arial" w:hAnsi="Arial" w:cs="Arial"/>
          <w:sz w:val="24"/>
          <w:szCs w:val="24"/>
        </w:rPr>
        <w:t xml:space="preserve"> </w:t>
      </w:r>
      <w:r w:rsidR="00995326" w:rsidRPr="00031230">
        <w:rPr>
          <w:rFonts w:ascii="Arial" w:hAnsi="Arial" w:cs="Arial"/>
          <w:sz w:val="24"/>
          <w:szCs w:val="24"/>
        </w:rPr>
        <w:t xml:space="preserve">The MRD </w:t>
      </w:r>
      <w:r w:rsidR="000411EC" w:rsidRPr="00031230">
        <w:rPr>
          <w:rFonts w:ascii="Arial" w:hAnsi="Arial" w:cs="Arial"/>
          <w:sz w:val="24"/>
          <w:szCs w:val="24"/>
        </w:rPr>
        <w:t>is</w:t>
      </w:r>
      <w:r w:rsidR="00995326" w:rsidRPr="00031230">
        <w:rPr>
          <w:rFonts w:ascii="Arial" w:hAnsi="Arial" w:cs="Arial"/>
          <w:sz w:val="24"/>
          <w:szCs w:val="24"/>
        </w:rPr>
        <w:t xml:space="preserve"> made up of a series of paddocks </w:t>
      </w:r>
      <w:r w:rsidR="00E45871" w:rsidRPr="00031230">
        <w:rPr>
          <w:rFonts w:ascii="Arial" w:hAnsi="Arial" w:cs="Arial"/>
          <w:sz w:val="24"/>
          <w:szCs w:val="24"/>
        </w:rPr>
        <w:t xml:space="preserve">for coarse residue deposits and an area for fine residue deposits (slimes). </w:t>
      </w:r>
      <w:r w:rsidR="009C7A2F">
        <w:rPr>
          <w:rFonts w:ascii="Arial" w:hAnsi="Arial" w:cs="Arial"/>
          <w:sz w:val="24"/>
          <w:szCs w:val="24"/>
        </w:rPr>
        <w:t xml:space="preserve">According </w:t>
      </w:r>
      <w:r w:rsidR="009C7A2F" w:rsidRPr="00F57A04">
        <w:rPr>
          <w:rFonts w:ascii="Arial" w:hAnsi="Arial" w:cs="Arial"/>
          <w:sz w:val="24"/>
          <w:szCs w:val="24"/>
        </w:rPr>
        <w:t xml:space="preserve">to </w:t>
      </w:r>
      <w:r w:rsidR="00F752F2" w:rsidRPr="00F57A04">
        <w:rPr>
          <w:rFonts w:ascii="Arial" w:hAnsi="Arial" w:cs="Arial"/>
          <w:sz w:val="24"/>
          <w:szCs w:val="24"/>
        </w:rPr>
        <w:t>D</w:t>
      </w:r>
      <w:r w:rsidR="00031230" w:rsidRPr="00F57A04">
        <w:rPr>
          <w:rFonts w:ascii="Arial" w:hAnsi="Arial" w:cs="Arial"/>
          <w:sz w:val="24"/>
          <w:szCs w:val="24"/>
        </w:rPr>
        <w:t>BCM</w:t>
      </w:r>
      <w:r w:rsidR="00F752F2" w:rsidRPr="00F57A04">
        <w:rPr>
          <w:rFonts w:ascii="Arial" w:hAnsi="Arial" w:cs="Arial"/>
          <w:sz w:val="24"/>
          <w:szCs w:val="24"/>
        </w:rPr>
        <w:t xml:space="preserve"> </w:t>
      </w:r>
      <w:r w:rsidR="009C7A2F" w:rsidRPr="00F57A04">
        <w:rPr>
          <w:rFonts w:ascii="Arial" w:hAnsi="Arial" w:cs="Arial"/>
          <w:sz w:val="24"/>
          <w:szCs w:val="24"/>
        </w:rPr>
        <w:t xml:space="preserve">the </w:t>
      </w:r>
      <w:r w:rsidR="00F752F2" w:rsidRPr="00F57A04">
        <w:rPr>
          <w:rFonts w:ascii="Arial" w:hAnsi="Arial" w:cs="Arial"/>
          <w:sz w:val="24"/>
          <w:szCs w:val="24"/>
        </w:rPr>
        <w:t>w</w:t>
      </w:r>
      <w:r w:rsidR="00E45871" w:rsidRPr="00F57A04">
        <w:rPr>
          <w:rFonts w:ascii="Arial" w:hAnsi="Arial" w:cs="Arial"/>
          <w:sz w:val="24"/>
          <w:szCs w:val="24"/>
        </w:rPr>
        <w:t xml:space="preserve">aste used for the construction of the paddock walls did not reach a final height of 20 m and </w:t>
      </w:r>
      <w:r w:rsidR="00274387" w:rsidRPr="00F57A04">
        <w:rPr>
          <w:rFonts w:ascii="Arial" w:hAnsi="Arial" w:cs="Arial"/>
          <w:sz w:val="24"/>
          <w:szCs w:val="24"/>
        </w:rPr>
        <w:t>h</w:t>
      </w:r>
      <w:r w:rsidR="00E45871" w:rsidRPr="00F57A04">
        <w:rPr>
          <w:rFonts w:ascii="Arial" w:hAnsi="Arial" w:cs="Arial"/>
          <w:sz w:val="24"/>
          <w:szCs w:val="24"/>
        </w:rPr>
        <w:t xml:space="preserve">as since been finally rehabilitated. </w:t>
      </w:r>
      <w:r w:rsidR="00F752F2" w:rsidRPr="00F57A04">
        <w:rPr>
          <w:rFonts w:ascii="Arial" w:hAnsi="Arial" w:cs="Arial"/>
          <w:sz w:val="24"/>
          <w:szCs w:val="24"/>
        </w:rPr>
        <w:t>Similarly, that t</w:t>
      </w:r>
      <w:r w:rsidR="00E45871" w:rsidRPr="00F57A04">
        <w:rPr>
          <w:rFonts w:ascii="Arial" w:hAnsi="Arial" w:cs="Arial"/>
          <w:sz w:val="24"/>
          <w:szCs w:val="24"/>
        </w:rPr>
        <w:t xml:space="preserve">he MRD complex </w:t>
      </w:r>
      <w:r w:rsidR="00274387" w:rsidRPr="00F57A04">
        <w:rPr>
          <w:rFonts w:ascii="Arial" w:hAnsi="Arial" w:cs="Arial"/>
          <w:sz w:val="24"/>
          <w:szCs w:val="24"/>
        </w:rPr>
        <w:t xml:space="preserve">which </w:t>
      </w:r>
      <w:r w:rsidR="00A21FE4" w:rsidRPr="00F57A04">
        <w:rPr>
          <w:rFonts w:ascii="Arial" w:hAnsi="Arial" w:cs="Arial"/>
          <w:sz w:val="24"/>
          <w:szCs w:val="24"/>
        </w:rPr>
        <w:t xml:space="preserve">occupies 48,9 hectares </w:t>
      </w:r>
      <w:r w:rsidR="00F752F2" w:rsidRPr="00F57A04">
        <w:rPr>
          <w:rFonts w:ascii="Arial" w:hAnsi="Arial" w:cs="Arial"/>
          <w:sz w:val="24"/>
          <w:szCs w:val="24"/>
        </w:rPr>
        <w:t xml:space="preserve">has </w:t>
      </w:r>
      <w:r w:rsidR="00274387" w:rsidRPr="00F57A04">
        <w:rPr>
          <w:rFonts w:ascii="Arial" w:hAnsi="Arial" w:cs="Arial"/>
          <w:sz w:val="24"/>
          <w:szCs w:val="24"/>
        </w:rPr>
        <w:t xml:space="preserve">also </w:t>
      </w:r>
      <w:r w:rsidR="00E45871" w:rsidRPr="00F57A04">
        <w:rPr>
          <w:rFonts w:ascii="Arial" w:hAnsi="Arial" w:cs="Arial"/>
          <w:sz w:val="24"/>
          <w:szCs w:val="24"/>
        </w:rPr>
        <w:t xml:space="preserve">been </w:t>
      </w:r>
      <w:r w:rsidR="00A21FE4" w:rsidRPr="00F57A04">
        <w:rPr>
          <w:rFonts w:ascii="Arial" w:hAnsi="Arial" w:cs="Arial"/>
          <w:sz w:val="24"/>
          <w:szCs w:val="24"/>
        </w:rPr>
        <w:t xml:space="preserve">sustainably </w:t>
      </w:r>
      <w:r w:rsidR="00E45871" w:rsidRPr="00F57A04">
        <w:rPr>
          <w:rFonts w:ascii="Arial" w:hAnsi="Arial" w:cs="Arial"/>
          <w:sz w:val="24"/>
          <w:szCs w:val="24"/>
        </w:rPr>
        <w:t>rehabilitated</w:t>
      </w:r>
      <w:r w:rsidR="00A21FE4" w:rsidRPr="00F57A04">
        <w:rPr>
          <w:rFonts w:ascii="Arial" w:hAnsi="Arial" w:cs="Arial"/>
          <w:sz w:val="24"/>
          <w:szCs w:val="24"/>
        </w:rPr>
        <w:t>.</w:t>
      </w:r>
      <w:r w:rsidR="00C04A21" w:rsidRPr="00031230">
        <w:rPr>
          <w:rFonts w:ascii="Arial" w:hAnsi="Arial" w:cs="Arial"/>
          <w:sz w:val="24"/>
          <w:szCs w:val="24"/>
        </w:rPr>
        <w:t xml:space="preserve"> </w:t>
      </w:r>
    </w:p>
    <w:p w14:paraId="072FA927" w14:textId="25B14905" w:rsidR="006D1004" w:rsidRDefault="005C6E28" w:rsidP="00FF239B">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r w:rsidR="009155D6">
        <w:rPr>
          <w:rFonts w:ascii="Arial" w:hAnsi="Arial" w:cs="Arial"/>
          <w:sz w:val="24"/>
          <w:szCs w:val="24"/>
        </w:rPr>
        <w:t xml:space="preserve">  </w:t>
      </w:r>
    </w:p>
    <w:p w14:paraId="56445CCC" w14:textId="25CF4CD8" w:rsidR="000B4552" w:rsidRPr="006D4725" w:rsidRDefault="00435C3F" w:rsidP="000B4552">
      <w:pPr>
        <w:spacing w:after="0" w:line="360" w:lineRule="auto"/>
        <w:jc w:val="both"/>
        <w:rPr>
          <w:rFonts w:ascii="Arial" w:hAnsi="Arial" w:cs="Arial"/>
          <w:sz w:val="24"/>
          <w:szCs w:val="24"/>
        </w:rPr>
      </w:pPr>
      <w:r>
        <w:rPr>
          <w:rFonts w:ascii="Arial" w:hAnsi="Arial" w:cs="Arial"/>
          <w:sz w:val="24"/>
          <w:szCs w:val="24"/>
        </w:rPr>
        <w:lastRenderedPageBreak/>
        <w:t>[10</w:t>
      </w:r>
      <w:r w:rsidR="00031230">
        <w:rPr>
          <w:rFonts w:ascii="Arial" w:hAnsi="Arial" w:cs="Arial"/>
          <w:sz w:val="24"/>
          <w:szCs w:val="24"/>
        </w:rPr>
        <w:t>]</w:t>
      </w:r>
      <w:r w:rsidR="00031230">
        <w:rPr>
          <w:rFonts w:ascii="Arial" w:hAnsi="Arial" w:cs="Arial"/>
          <w:sz w:val="24"/>
          <w:szCs w:val="24"/>
        </w:rPr>
        <w:tab/>
      </w:r>
      <w:r w:rsidR="00C04A21" w:rsidRPr="00031230">
        <w:rPr>
          <w:rFonts w:ascii="Arial" w:hAnsi="Arial" w:cs="Arial"/>
          <w:sz w:val="24"/>
          <w:szCs w:val="24"/>
        </w:rPr>
        <w:t xml:space="preserve">On 3 November 2009 </w:t>
      </w:r>
      <w:r w:rsidR="00131754" w:rsidRPr="00031230">
        <w:rPr>
          <w:rFonts w:ascii="Arial" w:hAnsi="Arial" w:cs="Arial"/>
          <w:sz w:val="24"/>
          <w:szCs w:val="24"/>
        </w:rPr>
        <w:t>DMRE</w:t>
      </w:r>
      <w:r w:rsidR="00702ADD" w:rsidRPr="00031230">
        <w:rPr>
          <w:rFonts w:ascii="Arial" w:hAnsi="Arial" w:cs="Arial"/>
          <w:sz w:val="24"/>
          <w:szCs w:val="24"/>
        </w:rPr>
        <w:t xml:space="preserve"> </w:t>
      </w:r>
      <w:r w:rsidR="00131754" w:rsidRPr="00031230">
        <w:rPr>
          <w:rFonts w:ascii="Arial" w:hAnsi="Arial" w:cs="Arial"/>
          <w:sz w:val="24"/>
          <w:szCs w:val="24"/>
        </w:rPr>
        <w:t xml:space="preserve">submitted </w:t>
      </w:r>
      <w:r w:rsidR="000411EC" w:rsidRPr="00031230">
        <w:rPr>
          <w:rFonts w:ascii="Arial" w:hAnsi="Arial" w:cs="Arial"/>
          <w:sz w:val="24"/>
          <w:szCs w:val="24"/>
        </w:rPr>
        <w:t xml:space="preserve">an </w:t>
      </w:r>
      <w:r w:rsidR="007D1671" w:rsidRPr="00031230">
        <w:rPr>
          <w:rFonts w:ascii="Arial" w:hAnsi="Arial" w:cs="Arial"/>
          <w:sz w:val="24"/>
          <w:szCs w:val="24"/>
        </w:rPr>
        <w:t xml:space="preserve">Application </w:t>
      </w:r>
      <w:r w:rsidR="00131754" w:rsidRPr="00031230">
        <w:rPr>
          <w:rFonts w:ascii="Arial" w:hAnsi="Arial" w:cs="Arial"/>
          <w:sz w:val="24"/>
          <w:szCs w:val="24"/>
        </w:rPr>
        <w:t xml:space="preserve">for a closure certificate </w:t>
      </w:r>
      <w:r w:rsidR="00FA79CA">
        <w:rPr>
          <w:rFonts w:ascii="Arial" w:hAnsi="Arial" w:cs="Arial"/>
          <w:sz w:val="24"/>
          <w:szCs w:val="24"/>
        </w:rPr>
        <w:t>in terms of s</w:t>
      </w:r>
      <w:r w:rsidR="00131754" w:rsidRPr="00031230">
        <w:rPr>
          <w:rFonts w:ascii="Arial" w:hAnsi="Arial" w:cs="Arial"/>
          <w:sz w:val="24"/>
          <w:szCs w:val="24"/>
        </w:rPr>
        <w:t xml:space="preserve"> 43</w:t>
      </w:r>
      <w:r w:rsidR="00F752F2">
        <w:rPr>
          <w:rStyle w:val="FootnoteReference"/>
          <w:rFonts w:ascii="Arial" w:hAnsi="Arial" w:cs="Arial"/>
          <w:sz w:val="24"/>
          <w:szCs w:val="24"/>
        </w:rPr>
        <w:footnoteReference w:id="5"/>
      </w:r>
      <w:r w:rsidR="00131754" w:rsidRPr="00031230">
        <w:rPr>
          <w:rFonts w:ascii="Arial" w:hAnsi="Arial" w:cs="Arial"/>
          <w:sz w:val="24"/>
          <w:szCs w:val="24"/>
        </w:rPr>
        <w:t xml:space="preserve"> </w:t>
      </w:r>
      <w:r w:rsidR="00FA79CA">
        <w:rPr>
          <w:rFonts w:ascii="Arial" w:hAnsi="Arial" w:cs="Arial"/>
          <w:sz w:val="24"/>
          <w:szCs w:val="24"/>
        </w:rPr>
        <w:t xml:space="preserve">(3) </w:t>
      </w:r>
      <w:r w:rsidR="00131754" w:rsidRPr="00031230">
        <w:rPr>
          <w:rFonts w:ascii="Arial" w:hAnsi="Arial" w:cs="Arial"/>
          <w:sz w:val="24"/>
          <w:szCs w:val="24"/>
        </w:rPr>
        <w:t xml:space="preserve">of the MPRDA </w:t>
      </w:r>
      <w:r w:rsidR="00FA79CA">
        <w:rPr>
          <w:rFonts w:ascii="Arial" w:hAnsi="Arial" w:cs="Arial"/>
          <w:sz w:val="24"/>
          <w:szCs w:val="24"/>
        </w:rPr>
        <w:t xml:space="preserve">in respect of </w:t>
      </w:r>
      <w:r w:rsidR="00131754" w:rsidRPr="00031230">
        <w:rPr>
          <w:rFonts w:ascii="Arial" w:hAnsi="Arial" w:cs="Arial"/>
          <w:sz w:val="24"/>
          <w:szCs w:val="24"/>
        </w:rPr>
        <w:t>Oaks Mine</w:t>
      </w:r>
      <w:r w:rsidR="00FA79CA" w:rsidRPr="00FA79CA">
        <w:rPr>
          <w:rFonts w:ascii="Arial" w:hAnsi="Arial" w:cs="Arial"/>
          <w:sz w:val="24"/>
          <w:szCs w:val="24"/>
        </w:rPr>
        <w:t xml:space="preserve"> </w:t>
      </w:r>
      <w:r w:rsidR="00D12FBA">
        <w:rPr>
          <w:rFonts w:ascii="Arial" w:hAnsi="Arial" w:cs="Arial"/>
          <w:sz w:val="24"/>
          <w:szCs w:val="24"/>
        </w:rPr>
        <w:t xml:space="preserve">appending </w:t>
      </w:r>
      <w:r w:rsidR="00FA79CA" w:rsidRPr="00031230">
        <w:rPr>
          <w:rFonts w:ascii="Arial" w:hAnsi="Arial" w:cs="Arial"/>
          <w:sz w:val="24"/>
          <w:szCs w:val="24"/>
        </w:rPr>
        <w:t>a closure plan</w:t>
      </w:r>
      <w:r w:rsidR="00702ADD" w:rsidRPr="00031230">
        <w:rPr>
          <w:rFonts w:ascii="Arial" w:hAnsi="Arial" w:cs="Arial"/>
          <w:sz w:val="24"/>
          <w:szCs w:val="24"/>
        </w:rPr>
        <w:t>.</w:t>
      </w:r>
      <w:r w:rsidR="00131754" w:rsidRPr="00031230">
        <w:rPr>
          <w:rFonts w:ascii="Arial" w:hAnsi="Arial" w:cs="Arial"/>
          <w:sz w:val="24"/>
          <w:szCs w:val="24"/>
        </w:rPr>
        <w:t xml:space="preserve">  </w:t>
      </w:r>
      <w:r w:rsidR="008B43CB">
        <w:rPr>
          <w:rFonts w:ascii="Arial" w:hAnsi="Arial" w:cs="Arial"/>
          <w:sz w:val="24"/>
          <w:szCs w:val="24"/>
        </w:rPr>
        <w:t>T</w:t>
      </w:r>
      <w:r w:rsidR="00131754" w:rsidRPr="00031230">
        <w:rPr>
          <w:rFonts w:ascii="Arial" w:hAnsi="Arial" w:cs="Arial"/>
          <w:sz w:val="24"/>
          <w:szCs w:val="24"/>
        </w:rPr>
        <w:t>he closure plan provided for safety, stability and sustainable land and vegetation as well as waste management measures with regard to the open pit mine. Moreover, the closure plan provided for post closure maintenance and control of the open pit</w:t>
      </w:r>
      <w:r w:rsidR="000B4552">
        <w:rPr>
          <w:rFonts w:ascii="Arial" w:hAnsi="Arial" w:cs="Arial"/>
          <w:sz w:val="24"/>
          <w:szCs w:val="24"/>
        </w:rPr>
        <w:t>,</w:t>
      </w:r>
      <w:r w:rsidR="007336FC">
        <w:rPr>
          <w:rFonts w:ascii="Arial" w:hAnsi="Arial" w:cs="Arial"/>
          <w:sz w:val="24"/>
          <w:szCs w:val="24"/>
        </w:rPr>
        <w:t xml:space="preserve"> but </w:t>
      </w:r>
      <w:r w:rsidR="00E0300F">
        <w:rPr>
          <w:rFonts w:ascii="Arial" w:hAnsi="Arial" w:cs="Arial"/>
          <w:sz w:val="24"/>
          <w:szCs w:val="24"/>
        </w:rPr>
        <w:t>stated</w:t>
      </w:r>
      <w:r w:rsidR="0031026D">
        <w:rPr>
          <w:rFonts w:ascii="Arial" w:hAnsi="Arial" w:cs="Arial"/>
          <w:sz w:val="24"/>
          <w:szCs w:val="24"/>
        </w:rPr>
        <w:t>,</w:t>
      </w:r>
      <w:r w:rsidR="00E0300F">
        <w:rPr>
          <w:rFonts w:ascii="Arial" w:hAnsi="Arial" w:cs="Arial"/>
          <w:sz w:val="24"/>
          <w:szCs w:val="24"/>
        </w:rPr>
        <w:t xml:space="preserve"> </w:t>
      </w:r>
      <w:r w:rsidR="007336FC">
        <w:rPr>
          <w:rFonts w:ascii="Arial" w:hAnsi="Arial" w:cs="Arial"/>
          <w:sz w:val="24"/>
          <w:szCs w:val="24"/>
        </w:rPr>
        <w:t xml:space="preserve">importantly </w:t>
      </w:r>
      <w:r w:rsidR="00E0300F">
        <w:rPr>
          <w:rFonts w:ascii="Arial" w:hAnsi="Arial" w:cs="Arial"/>
          <w:sz w:val="24"/>
          <w:szCs w:val="24"/>
        </w:rPr>
        <w:t>(</w:t>
      </w:r>
      <w:r w:rsidR="007336FC">
        <w:rPr>
          <w:rFonts w:ascii="Arial" w:hAnsi="Arial" w:cs="Arial"/>
          <w:sz w:val="24"/>
          <w:szCs w:val="24"/>
        </w:rPr>
        <w:t>as with the Amended EMP</w:t>
      </w:r>
      <w:r w:rsidR="00E0300F">
        <w:rPr>
          <w:rFonts w:ascii="Arial" w:hAnsi="Arial" w:cs="Arial"/>
          <w:sz w:val="24"/>
          <w:szCs w:val="24"/>
        </w:rPr>
        <w:t>)</w:t>
      </w:r>
      <w:r w:rsidR="007336FC">
        <w:rPr>
          <w:rFonts w:ascii="Arial" w:hAnsi="Arial" w:cs="Arial"/>
          <w:sz w:val="24"/>
          <w:szCs w:val="24"/>
        </w:rPr>
        <w:t xml:space="preserve"> that upon closure of the Oaks Mime the open pit w</w:t>
      </w:r>
      <w:r w:rsidR="00AD5AE9">
        <w:rPr>
          <w:rFonts w:ascii="Arial" w:hAnsi="Arial" w:cs="Arial"/>
          <w:sz w:val="24"/>
          <w:szCs w:val="24"/>
        </w:rPr>
        <w:t xml:space="preserve">as to </w:t>
      </w:r>
      <w:r w:rsidR="007336FC">
        <w:rPr>
          <w:rFonts w:ascii="Arial" w:hAnsi="Arial" w:cs="Arial"/>
          <w:sz w:val="24"/>
          <w:szCs w:val="24"/>
        </w:rPr>
        <w:t xml:space="preserve">remain open. </w:t>
      </w:r>
      <w:r w:rsidR="007336FC" w:rsidRPr="008A606D">
        <w:rPr>
          <w:rFonts w:ascii="Arial" w:hAnsi="Arial" w:cs="Arial"/>
          <w:sz w:val="24"/>
          <w:szCs w:val="24"/>
        </w:rPr>
        <w:t xml:space="preserve">The DBCM argued that both </w:t>
      </w:r>
      <w:r w:rsidR="008A606D">
        <w:rPr>
          <w:rFonts w:ascii="Arial" w:hAnsi="Arial" w:cs="Arial"/>
          <w:sz w:val="24"/>
          <w:szCs w:val="24"/>
        </w:rPr>
        <w:t xml:space="preserve">its </w:t>
      </w:r>
      <w:r w:rsidR="007336FC" w:rsidRPr="008A606D">
        <w:rPr>
          <w:rFonts w:ascii="Arial" w:hAnsi="Arial" w:cs="Arial"/>
          <w:sz w:val="24"/>
          <w:szCs w:val="24"/>
        </w:rPr>
        <w:t>EMPs</w:t>
      </w:r>
      <w:r w:rsidR="008A606D">
        <w:rPr>
          <w:rFonts w:ascii="Arial" w:hAnsi="Arial" w:cs="Arial"/>
          <w:sz w:val="24"/>
          <w:szCs w:val="24"/>
        </w:rPr>
        <w:t xml:space="preserve"> were approved</w:t>
      </w:r>
      <w:r w:rsidR="007336FC" w:rsidRPr="008A606D">
        <w:rPr>
          <w:rFonts w:ascii="Arial" w:hAnsi="Arial" w:cs="Arial"/>
          <w:sz w:val="24"/>
          <w:szCs w:val="24"/>
        </w:rPr>
        <w:t xml:space="preserve"> unconditional</w:t>
      </w:r>
      <w:r w:rsidR="008A606D">
        <w:rPr>
          <w:rFonts w:ascii="Arial" w:hAnsi="Arial" w:cs="Arial"/>
          <w:sz w:val="24"/>
          <w:szCs w:val="24"/>
        </w:rPr>
        <w:t xml:space="preserve">ly, </w:t>
      </w:r>
      <w:r w:rsidR="00FA79CA" w:rsidRPr="008A606D">
        <w:rPr>
          <w:rFonts w:ascii="Arial" w:hAnsi="Arial" w:cs="Arial"/>
          <w:sz w:val="24"/>
          <w:szCs w:val="24"/>
        </w:rPr>
        <w:t xml:space="preserve">as a result </w:t>
      </w:r>
      <w:r w:rsidR="008B43CB" w:rsidRPr="008A606D">
        <w:rPr>
          <w:rFonts w:ascii="Arial" w:hAnsi="Arial" w:cs="Arial"/>
          <w:sz w:val="24"/>
          <w:szCs w:val="24"/>
        </w:rPr>
        <w:t>it had</w:t>
      </w:r>
      <w:r w:rsidR="007336FC" w:rsidRPr="008A606D">
        <w:rPr>
          <w:rFonts w:ascii="Arial" w:hAnsi="Arial" w:cs="Arial"/>
          <w:sz w:val="24"/>
          <w:szCs w:val="24"/>
        </w:rPr>
        <w:t xml:space="preserve"> designed its mining activities and planned </w:t>
      </w:r>
      <w:r w:rsidR="000B4552" w:rsidRPr="008A606D">
        <w:rPr>
          <w:rFonts w:ascii="Arial" w:hAnsi="Arial" w:cs="Arial"/>
          <w:sz w:val="24"/>
          <w:szCs w:val="24"/>
        </w:rPr>
        <w:t>its</w:t>
      </w:r>
      <w:r w:rsidR="007336FC" w:rsidRPr="008A606D">
        <w:rPr>
          <w:rFonts w:ascii="Arial" w:hAnsi="Arial" w:cs="Arial"/>
          <w:sz w:val="24"/>
          <w:szCs w:val="24"/>
        </w:rPr>
        <w:t xml:space="preserve"> operations </w:t>
      </w:r>
      <w:r w:rsidR="0059732D" w:rsidRPr="008A606D">
        <w:rPr>
          <w:rFonts w:ascii="Arial" w:hAnsi="Arial" w:cs="Arial"/>
          <w:sz w:val="24"/>
          <w:szCs w:val="24"/>
        </w:rPr>
        <w:t>on the basis that the pit would remain open.</w:t>
      </w:r>
      <w:r w:rsidR="0059732D">
        <w:rPr>
          <w:rFonts w:ascii="Arial" w:hAnsi="Arial" w:cs="Arial"/>
          <w:sz w:val="24"/>
          <w:szCs w:val="24"/>
        </w:rPr>
        <w:t xml:space="preserve"> </w:t>
      </w:r>
      <w:r w:rsidR="007336FC">
        <w:rPr>
          <w:rFonts w:ascii="Arial" w:hAnsi="Arial" w:cs="Arial"/>
          <w:sz w:val="24"/>
          <w:szCs w:val="24"/>
        </w:rPr>
        <w:t xml:space="preserve"> </w:t>
      </w:r>
    </w:p>
    <w:p w14:paraId="6BC4927C" w14:textId="63A5FDDE" w:rsidR="00C04A21" w:rsidRPr="00031230" w:rsidRDefault="00C04A21" w:rsidP="00031230">
      <w:pPr>
        <w:spacing w:after="0" w:line="360" w:lineRule="auto"/>
        <w:jc w:val="both"/>
        <w:rPr>
          <w:rFonts w:ascii="Arial" w:hAnsi="Arial" w:cs="Arial"/>
          <w:sz w:val="24"/>
          <w:szCs w:val="24"/>
        </w:rPr>
      </w:pPr>
    </w:p>
    <w:p w14:paraId="736828C1" w14:textId="1A644AE5" w:rsidR="00AC575F" w:rsidRDefault="00435C3F" w:rsidP="00AC575F">
      <w:pPr>
        <w:spacing w:after="0" w:line="360" w:lineRule="auto"/>
        <w:jc w:val="both"/>
        <w:rPr>
          <w:rFonts w:ascii="Arial" w:hAnsi="Arial" w:cs="Arial"/>
          <w:sz w:val="24"/>
          <w:szCs w:val="24"/>
        </w:rPr>
      </w:pPr>
      <w:r>
        <w:rPr>
          <w:rFonts w:ascii="Arial" w:hAnsi="Arial" w:cs="Arial"/>
          <w:sz w:val="24"/>
          <w:szCs w:val="24"/>
        </w:rPr>
        <w:t>[1</w:t>
      </w:r>
      <w:r w:rsidR="001D3469">
        <w:rPr>
          <w:rFonts w:ascii="Arial" w:hAnsi="Arial" w:cs="Arial"/>
          <w:sz w:val="24"/>
          <w:szCs w:val="24"/>
        </w:rPr>
        <w:t>1</w:t>
      </w:r>
      <w:r w:rsidR="002E540E">
        <w:rPr>
          <w:rFonts w:ascii="Arial" w:hAnsi="Arial" w:cs="Arial"/>
          <w:sz w:val="24"/>
          <w:szCs w:val="24"/>
        </w:rPr>
        <w:t>]</w:t>
      </w:r>
      <w:r w:rsidR="002E540E">
        <w:rPr>
          <w:rFonts w:ascii="Arial" w:hAnsi="Arial" w:cs="Arial"/>
          <w:sz w:val="24"/>
          <w:szCs w:val="24"/>
        </w:rPr>
        <w:tab/>
      </w:r>
      <w:r w:rsidR="00A02F94">
        <w:rPr>
          <w:rFonts w:ascii="Arial" w:hAnsi="Arial" w:cs="Arial"/>
          <w:sz w:val="24"/>
          <w:szCs w:val="24"/>
        </w:rPr>
        <w:t>O</w:t>
      </w:r>
      <w:r w:rsidR="00E5497B">
        <w:rPr>
          <w:rFonts w:ascii="Arial" w:hAnsi="Arial" w:cs="Arial"/>
          <w:sz w:val="24"/>
          <w:szCs w:val="24"/>
        </w:rPr>
        <w:t xml:space="preserve">n April 2011, the </w:t>
      </w:r>
      <w:r w:rsidR="00804B7A">
        <w:rPr>
          <w:rFonts w:ascii="Arial" w:hAnsi="Arial" w:cs="Arial"/>
          <w:sz w:val="24"/>
          <w:szCs w:val="24"/>
        </w:rPr>
        <w:t>1</w:t>
      </w:r>
      <w:r w:rsidR="00804B7A" w:rsidRPr="00804B7A">
        <w:rPr>
          <w:rFonts w:ascii="Arial" w:hAnsi="Arial" w:cs="Arial"/>
          <w:sz w:val="24"/>
          <w:szCs w:val="24"/>
          <w:vertAlign w:val="superscript"/>
        </w:rPr>
        <w:t>st</w:t>
      </w:r>
      <w:r w:rsidR="00804B7A">
        <w:rPr>
          <w:rFonts w:ascii="Arial" w:hAnsi="Arial" w:cs="Arial"/>
          <w:sz w:val="24"/>
          <w:szCs w:val="24"/>
        </w:rPr>
        <w:t xml:space="preserve"> Respondent </w:t>
      </w:r>
      <w:r w:rsidR="00E5497B">
        <w:rPr>
          <w:rFonts w:ascii="Arial" w:hAnsi="Arial" w:cs="Arial"/>
          <w:sz w:val="24"/>
          <w:szCs w:val="24"/>
        </w:rPr>
        <w:t xml:space="preserve">conducted a site inspection </w:t>
      </w:r>
      <w:r w:rsidR="00804B7A">
        <w:rPr>
          <w:rFonts w:ascii="Arial" w:hAnsi="Arial" w:cs="Arial"/>
          <w:sz w:val="24"/>
          <w:szCs w:val="24"/>
        </w:rPr>
        <w:t xml:space="preserve">of the Oaks Mine and </w:t>
      </w:r>
      <w:r w:rsidR="00E5497B">
        <w:rPr>
          <w:rFonts w:ascii="Arial" w:hAnsi="Arial" w:cs="Arial"/>
          <w:sz w:val="24"/>
          <w:szCs w:val="24"/>
        </w:rPr>
        <w:t>assess</w:t>
      </w:r>
      <w:r w:rsidR="00804B7A">
        <w:rPr>
          <w:rFonts w:ascii="Arial" w:hAnsi="Arial" w:cs="Arial"/>
          <w:sz w:val="24"/>
          <w:szCs w:val="24"/>
        </w:rPr>
        <w:t>ed</w:t>
      </w:r>
      <w:r w:rsidR="00E5497B">
        <w:rPr>
          <w:rFonts w:ascii="Arial" w:hAnsi="Arial" w:cs="Arial"/>
          <w:sz w:val="24"/>
          <w:szCs w:val="24"/>
        </w:rPr>
        <w:t xml:space="preserve"> DBCM’s closure plan. </w:t>
      </w:r>
      <w:r w:rsidR="003D6AEE">
        <w:rPr>
          <w:rFonts w:ascii="Arial" w:hAnsi="Arial" w:cs="Arial"/>
          <w:sz w:val="24"/>
          <w:szCs w:val="24"/>
        </w:rPr>
        <w:t>On 7 July 2011</w:t>
      </w:r>
      <w:r w:rsidR="006D169A">
        <w:rPr>
          <w:rFonts w:ascii="Arial" w:hAnsi="Arial" w:cs="Arial"/>
          <w:sz w:val="24"/>
          <w:szCs w:val="24"/>
        </w:rPr>
        <w:t xml:space="preserve"> </w:t>
      </w:r>
      <w:r w:rsidR="003D6AEE">
        <w:rPr>
          <w:rFonts w:ascii="Arial" w:hAnsi="Arial" w:cs="Arial"/>
          <w:sz w:val="24"/>
          <w:szCs w:val="24"/>
        </w:rPr>
        <w:t>the</w:t>
      </w:r>
      <w:r w:rsidR="006D169A">
        <w:rPr>
          <w:rFonts w:ascii="Arial" w:hAnsi="Arial" w:cs="Arial"/>
          <w:sz w:val="24"/>
          <w:szCs w:val="24"/>
        </w:rPr>
        <w:t xml:space="preserve"> 1</w:t>
      </w:r>
      <w:r w:rsidR="006D169A" w:rsidRPr="006D169A">
        <w:rPr>
          <w:rFonts w:ascii="Arial" w:hAnsi="Arial" w:cs="Arial"/>
          <w:sz w:val="24"/>
          <w:szCs w:val="24"/>
          <w:vertAlign w:val="superscript"/>
        </w:rPr>
        <w:t>st</w:t>
      </w:r>
      <w:r w:rsidR="006D169A">
        <w:rPr>
          <w:rFonts w:ascii="Arial" w:hAnsi="Arial" w:cs="Arial"/>
          <w:sz w:val="24"/>
          <w:szCs w:val="24"/>
        </w:rPr>
        <w:t xml:space="preserve"> Respondent</w:t>
      </w:r>
      <w:r w:rsidR="003D6AEE">
        <w:rPr>
          <w:rFonts w:ascii="Arial" w:hAnsi="Arial" w:cs="Arial"/>
          <w:sz w:val="24"/>
          <w:szCs w:val="24"/>
        </w:rPr>
        <w:t xml:space="preserve"> reported </w:t>
      </w:r>
      <w:r w:rsidR="002F17FF">
        <w:rPr>
          <w:rFonts w:ascii="Arial" w:hAnsi="Arial" w:cs="Arial"/>
          <w:sz w:val="24"/>
          <w:szCs w:val="24"/>
        </w:rPr>
        <w:t xml:space="preserve">that </w:t>
      </w:r>
      <w:r w:rsidR="008A3203">
        <w:rPr>
          <w:rFonts w:ascii="Arial" w:hAnsi="Arial" w:cs="Arial"/>
          <w:sz w:val="24"/>
          <w:szCs w:val="24"/>
        </w:rPr>
        <w:t xml:space="preserve">DBCM needed to address </w:t>
      </w:r>
      <w:r w:rsidR="002F17FF">
        <w:rPr>
          <w:rFonts w:ascii="Arial" w:hAnsi="Arial" w:cs="Arial"/>
          <w:sz w:val="24"/>
          <w:szCs w:val="24"/>
        </w:rPr>
        <w:t xml:space="preserve">the </w:t>
      </w:r>
      <w:r w:rsidR="00AC575F">
        <w:rPr>
          <w:rFonts w:ascii="Arial" w:hAnsi="Arial" w:cs="Arial"/>
          <w:sz w:val="24"/>
          <w:szCs w:val="24"/>
        </w:rPr>
        <w:t xml:space="preserve">following environmental flaws </w:t>
      </w:r>
      <w:r w:rsidR="003D6AEE">
        <w:rPr>
          <w:rFonts w:ascii="Arial" w:hAnsi="Arial" w:cs="Arial"/>
          <w:sz w:val="24"/>
          <w:szCs w:val="24"/>
        </w:rPr>
        <w:t xml:space="preserve">fdings </w:t>
      </w:r>
      <w:r w:rsidR="00AC575F">
        <w:rPr>
          <w:rFonts w:ascii="Arial" w:hAnsi="Arial" w:cs="Arial"/>
          <w:sz w:val="24"/>
          <w:szCs w:val="24"/>
        </w:rPr>
        <w:t xml:space="preserve">before </w:t>
      </w:r>
      <w:r w:rsidR="00E5497B">
        <w:rPr>
          <w:rFonts w:ascii="Arial" w:hAnsi="Arial" w:cs="Arial"/>
          <w:sz w:val="24"/>
          <w:szCs w:val="24"/>
        </w:rPr>
        <w:t>a</w:t>
      </w:r>
      <w:r w:rsidR="00AC575F">
        <w:rPr>
          <w:rFonts w:ascii="Arial" w:hAnsi="Arial" w:cs="Arial"/>
          <w:sz w:val="24"/>
          <w:szCs w:val="24"/>
        </w:rPr>
        <w:t xml:space="preserve"> closure certificate </w:t>
      </w:r>
      <w:r w:rsidR="00E5497B">
        <w:rPr>
          <w:rFonts w:ascii="Arial" w:hAnsi="Arial" w:cs="Arial"/>
          <w:sz w:val="24"/>
          <w:szCs w:val="24"/>
        </w:rPr>
        <w:t xml:space="preserve">can be </w:t>
      </w:r>
      <w:r w:rsidR="00AC575F">
        <w:rPr>
          <w:rFonts w:ascii="Arial" w:hAnsi="Arial" w:cs="Arial"/>
          <w:sz w:val="24"/>
          <w:szCs w:val="24"/>
        </w:rPr>
        <w:t>issued</w:t>
      </w:r>
      <w:r w:rsidR="00804B7A">
        <w:rPr>
          <w:rFonts w:ascii="Arial" w:hAnsi="Arial" w:cs="Arial"/>
          <w:sz w:val="24"/>
          <w:szCs w:val="24"/>
        </w:rPr>
        <w:t xml:space="preserve"> (</w:t>
      </w:r>
      <w:r w:rsidR="00294B93">
        <w:rPr>
          <w:rFonts w:ascii="Arial" w:hAnsi="Arial" w:cs="Arial"/>
          <w:sz w:val="24"/>
          <w:szCs w:val="24"/>
        </w:rPr>
        <w:t>“</w:t>
      </w:r>
      <w:r w:rsidR="00804B7A">
        <w:rPr>
          <w:rFonts w:ascii="Arial" w:hAnsi="Arial" w:cs="Arial"/>
          <w:sz w:val="24"/>
          <w:szCs w:val="24"/>
        </w:rPr>
        <w:t>1</w:t>
      </w:r>
      <w:r w:rsidR="00804B7A" w:rsidRPr="008A3203">
        <w:rPr>
          <w:rFonts w:ascii="Arial" w:hAnsi="Arial" w:cs="Arial"/>
          <w:b/>
          <w:sz w:val="24"/>
          <w:szCs w:val="24"/>
          <w:vertAlign w:val="superscript"/>
        </w:rPr>
        <w:t>st</w:t>
      </w:r>
      <w:r w:rsidR="00804B7A" w:rsidRPr="008A3203">
        <w:rPr>
          <w:rFonts w:ascii="Arial" w:hAnsi="Arial" w:cs="Arial"/>
          <w:b/>
          <w:sz w:val="24"/>
          <w:szCs w:val="24"/>
        </w:rPr>
        <w:t xml:space="preserve"> Decision</w:t>
      </w:r>
      <w:r w:rsidR="00294B93">
        <w:rPr>
          <w:rFonts w:ascii="Arial" w:hAnsi="Arial" w:cs="Arial"/>
          <w:b/>
          <w:sz w:val="24"/>
          <w:szCs w:val="24"/>
        </w:rPr>
        <w:t>”</w:t>
      </w:r>
      <w:r w:rsidR="00804B7A">
        <w:rPr>
          <w:rFonts w:ascii="Arial" w:hAnsi="Arial" w:cs="Arial"/>
          <w:sz w:val="24"/>
          <w:szCs w:val="24"/>
        </w:rPr>
        <w:t>)</w:t>
      </w:r>
      <w:r w:rsidR="003D6AEE">
        <w:rPr>
          <w:rFonts w:ascii="Arial" w:hAnsi="Arial" w:cs="Arial"/>
          <w:sz w:val="24"/>
          <w:szCs w:val="24"/>
        </w:rPr>
        <w:t>, which were inter alia,</w:t>
      </w:r>
      <w:r w:rsidR="000D7CD4">
        <w:rPr>
          <w:rFonts w:ascii="Arial" w:hAnsi="Arial" w:cs="Arial"/>
          <w:sz w:val="24"/>
          <w:szCs w:val="24"/>
        </w:rPr>
        <w:t xml:space="preserve"> that:</w:t>
      </w:r>
      <w:r w:rsidR="003D6AEE">
        <w:rPr>
          <w:rFonts w:ascii="Arial" w:hAnsi="Arial" w:cs="Arial"/>
          <w:sz w:val="24"/>
          <w:szCs w:val="24"/>
        </w:rPr>
        <w:t xml:space="preserve"> </w:t>
      </w:r>
      <w:r w:rsidR="00AC575F" w:rsidRPr="00AC575F">
        <w:rPr>
          <w:rFonts w:ascii="Arial" w:hAnsi="Arial" w:cs="Arial"/>
          <w:sz w:val="24"/>
          <w:szCs w:val="24"/>
        </w:rPr>
        <w:t xml:space="preserve"> </w:t>
      </w:r>
    </w:p>
    <w:p w14:paraId="2F8C39D7" w14:textId="161F7001" w:rsidR="002F17FF" w:rsidRDefault="002F17FF" w:rsidP="00AC575F">
      <w:pPr>
        <w:spacing w:after="0" w:line="360" w:lineRule="auto"/>
        <w:jc w:val="both"/>
        <w:rPr>
          <w:rFonts w:ascii="Arial" w:hAnsi="Arial" w:cs="Arial"/>
          <w:sz w:val="24"/>
          <w:szCs w:val="24"/>
        </w:rPr>
      </w:pPr>
    </w:p>
    <w:p w14:paraId="4F18892A" w14:textId="34A0FFA7" w:rsidR="002F17FF" w:rsidRDefault="002F17FF" w:rsidP="00AC575F">
      <w:pPr>
        <w:spacing w:after="0" w:line="360" w:lineRule="auto"/>
        <w:jc w:val="both"/>
        <w:rPr>
          <w:rFonts w:ascii="Arial" w:hAnsi="Arial" w:cs="Arial"/>
          <w:sz w:val="24"/>
          <w:szCs w:val="24"/>
        </w:rPr>
      </w:pPr>
      <w:r>
        <w:rPr>
          <w:rFonts w:ascii="Arial" w:hAnsi="Arial" w:cs="Arial"/>
          <w:sz w:val="24"/>
          <w:szCs w:val="24"/>
        </w:rPr>
        <w:tab/>
        <w:t>[1</w:t>
      </w:r>
      <w:r w:rsidR="001D3469">
        <w:rPr>
          <w:rFonts w:ascii="Arial" w:hAnsi="Arial" w:cs="Arial"/>
          <w:sz w:val="24"/>
          <w:szCs w:val="24"/>
        </w:rPr>
        <w:t>1</w:t>
      </w:r>
      <w:r>
        <w:rPr>
          <w:rFonts w:ascii="Arial" w:hAnsi="Arial" w:cs="Arial"/>
          <w:sz w:val="24"/>
          <w:szCs w:val="24"/>
        </w:rPr>
        <w:t>.1]</w:t>
      </w:r>
      <w:r w:rsidR="008A3203">
        <w:rPr>
          <w:rFonts w:ascii="Arial" w:hAnsi="Arial" w:cs="Arial"/>
          <w:sz w:val="24"/>
          <w:szCs w:val="24"/>
        </w:rPr>
        <w:tab/>
        <w:t>The open pit will pose a high risk to scavengers and illegal mining</w:t>
      </w:r>
      <w:r w:rsidR="00E5497B">
        <w:rPr>
          <w:rFonts w:ascii="Arial" w:hAnsi="Arial" w:cs="Arial"/>
          <w:sz w:val="24"/>
          <w:szCs w:val="24"/>
        </w:rPr>
        <w:t>;</w:t>
      </w:r>
    </w:p>
    <w:p w14:paraId="5A597F4E" w14:textId="74D100E8" w:rsidR="008A3203" w:rsidRDefault="004D0E77" w:rsidP="008A3203">
      <w:pPr>
        <w:spacing w:after="0" w:line="360" w:lineRule="auto"/>
        <w:ind w:left="720"/>
        <w:jc w:val="both"/>
        <w:rPr>
          <w:rFonts w:ascii="Arial" w:hAnsi="Arial" w:cs="Arial"/>
          <w:sz w:val="24"/>
          <w:szCs w:val="24"/>
        </w:rPr>
      </w:pPr>
      <w:r>
        <w:rPr>
          <w:rFonts w:ascii="Arial" w:hAnsi="Arial" w:cs="Arial"/>
          <w:sz w:val="24"/>
          <w:szCs w:val="24"/>
        </w:rPr>
        <w:t>[1</w:t>
      </w:r>
      <w:r w:rsidR="001D3469">
        <w:rPr>
          <w:rFonts w:ascii="Arial" w:hAnsi="Arial" w:cs="Arial"/>
          <w:sz w:val="24"/>
          <w:szCs w:val="24"/>
        </w:rPr>
        <w:t>1</w:t>
      </w:r>
      <w:r w:rsidR="008A3203">
        <w:rPr>
          <w:rFonts w:ascii="Arial" w:hAnsi="Arial" w:cs="Arial"/>
          <w:sz w:val="24"/>
          <w:szCs w:val="24"/>
        </w:rPr>
        <w:t>.2] The Department would like to see a practical plan for future land uses that would not encourage illegal mining and scavenger</w:t>
      </w:r>
      <w:r w:rsidR="00E5497B">
        <w:rPr>
          <w:rFonts w:ascii="Arial" w:hAnsi="Arial" w:cs="Arial"/>
          <w:sz w:val="24"/>
          <w:szCs w:val="24"/>
        </w:rPr>
        <w:t>;</w:t>
      </w:r>
      <w:r w:rsidR="008A3203">
        <w:rPr>
          <w:rFonts w:ascii="Arial" w:hAnsi="Arial" w:cs="Arial"/>
          <w:sz w:val="24"/>
          <w:szCs w:val="24"/>
        </w:rPr>
        <w:t xml:space="preserve"> </w:t>
      </w:r>
    </w:p>
    <w:p w14:paraId="47535785" w14:textId="678038F3" w:rsidR="008A3203" w:rsidRPr="0065781F" w:rsidRDefault="004D0E77" w:rsidP="008A3203">
      <w:pPr>
        <w:spacing w:after="0" w:line="360" w:lineRule="auto"/>
        <w:ind w:left="720"/>
        <w:jc w:val="both"/>
        <w:rPr>
          <w:rFonts w:ascii="Arial" w:hAnsi="Arial" w:cs="Arial"/>
          <w:sz w:val="24"/>
          <w:szCs w:val="24"/>
        </w:rPr>
      </w:pPr>
      <w:r w:rsidRPr="0065781F">
        <w:rPr>
          <w:rFonts w:ascii="Arial" w:hAnsi="Arial" w:cs="Arial"/>
          <w:sz w:val="24"/>
          <w:szCs w:val="24"/>
        </w:rPr>
        <w:t>[1</w:t>
      </w:r>
      <w:r w:rsidR="001D3469">
        <w:rPr>
          <w:rFonts w:ascii="Arial" w:hAnsi="Arial" w:cs="Arial"/>
          <w:sz w:val="24"/>
          <w:szCs w:val="24"/>
        </w:rPr>
        <w:t>1</w:t>
      </w:r>
      <w:r w:rsidR="008A3203" w:rsidRPr="0065781F">
        <w:rPr>
          <w:rFonts w:ascii="Arial" w:hAnsi="Arial" w:cs="Arial"/>
          <w:sz w:val="24"/>
          <w:szCs w:val="24"/>
        </w:rPr>
        <w:t>.3]</w:t>
      </w:r>
      <w:r w:rsidR="008A3203" w:rsidRPr="0065781F">
        <w:rPr>
          <w:rFonts w:ascii="Arial" w:hAnsi="Arial" w:cs="Arial"/>
          <w:sz w:val="24"/>
          <w:szCs w:val="24"/>
        </w:rPr>
        <w:tab/>
        <w:t>All relevant stakeholders must have been consulted for future land use including the principal inspector of mines</w:t>
      </w:r>
      <w:r w:rsidR="00E5497B" w:rsidRPr="0065781F">
        <w:rPr>
          <w:rFonts w:ascii="Arial" w:hAnsi="Arial" w:cs="Arial"/>
          <w:sz w:val="24"/>
          <w:szCs w:val="24"/>
        </w:rPr>
        <w:t>;</w:t>
      </w:r>
      <w:r w:rsidR="008A3203" w:rsidRPr="0065781F">
        <w:rPr>
          <w:rFonts w:ascii="Arial" w:hAnsi="Arial" w:cs="Arial"/>
          <w:sz w:val="24"/>
          <w:szCs w:val="24"/>
        </w:rPr>
        <w:t xml:space="preserve"> </w:t>
      </w:r>
    </w:p>
    <w:p w14:paraId="1D8BC1FB" w14:textId="79ABCCC7" w:rsidR="008A3203" w:rsidRDefault="004D0E77" w:rsidP="008A3203">
      <w:pPr>
        <w:spacing w:after="0" w:line="360" w:lineRule="auto"/>
        <w:ind w:left="720"/>
        <w:jc w:val="both"/>
        <w:rPr>
          <w:rFonts w:ascii="Arial" w:hAnsi="Arial" w:cs="Arial"/>
          <w:sz w:val="24"/>
          <w:szCs w:val="24"/>
        </w:rPr>
      </w:pPr>
      <w:r>
        <w:rPr>
          <w:rFonts w:ascii="Arial" w:hAnsi="Arial" w:cs="Arial"/>
          <w:sz w:val="24"/>
          <w:szCs w:val="24"/>
        </w:rPr>
        <w:t>[1</w:t>
      </w:r>
      <w:r w:rsidR="001D3469">
        <w:rPr>
          <w:rFonts w:ascii="Arial" w:hAnsi="Arial" w:cs="Arial"/>
          <w:sz w:val="24"/>
          <w:szCs w:val="24"/>
        </w:rPr>
        <w:t>1</w:t>
      </w:r>
      <w:r w:rsidR="008A3203">
        <w:rPr>
          <w:rFonts w:ascii="Arial" w:hAnsi="Arial" w:cs="Arial"/>
          <w:sz w:val="24"/>
          <w:szCs w:val="24"/>
        </w:rPr>
        <w:t>.4]</w:t>
      </w:r>
      <w:r w:rsidR="008A3203">
        <w:rPr>
          <w:rFonts w:ascii="Arial" w:hAnsi="Arial" w:cs="Arial"/>
          <w:sz w:val="24"/>
          <w:szCs w:val="24"/>
        </w:rPr>
        <w:tab/>
        <w:t>The Department will not issue any Closure Certificate until all the requirement of relevant legislation has been satisfied</w:t>
      </w:r>
      <w:r w:rsidR="0065781F">
        <w:rPr>
          <w:rFonts w:ascii="Arial" w:hAnsi="Arial" w:cs="Arial"/>
          <w:sz w:val="24"/>
          <w:szCs w:val="24"/>
        </w:rPr>
        <w:t>.</w:t>
      </w:r>
    </w:p>
    <w:p w14:paraId="651021DF" w14:textId="77777777" w:rsidR="00B65AE3" w:rsidRDefault="00B65AE3" w:rsidP="008A3203">
      <w:pPr>
        <w:tabs>
          <w:tab w:val="left" w:pos="567"/>
        </w:tabs>
        <w:spacing w:after="0" w:line="360" w:lineRule="auto"/>
        <w:jc w:val="both"/>
      </w:pPr>
    </w:p>
    <w:p w14:paraId="4E417B06" w14:textId="7D2CF285" w:rsidR="002E540E" w:rsidRPr="00B65AE3" w:rsidRDefault="00B65AE3" w:rsidP="002E540E">
      <w:pPr>
        <w:tabs>
          <w:tab w:val="left" w:pos="567"/>
        </w:tabs>
        <w:spacing w:after="0" w:line="360" w:lineRule="auto"/>
        <w:jc w:val="both"/>
        <w:rPr>
          <w:rFonts w:ascii="Arial" w:hAnsi="Arial" w:cs="Arial"/>
          <w:sz w:val="24"/>
          <w:szCs w:val="24"/>
        </w:rPr>
      </w:pPr>
      <w:r w:rsidRPr="00A54129">
        <w:rPr>
          <w:rFonts w:ascii="Arial" w:hAnsi="Arial" w:cs="Arial"/>
          <w:sz w:val="24"/>
          <w:szCs w:val="24"/>
        </w:rPr>
        <w:t>[1</w:t>
      </w:r>
      <w:r w:rsidR="001D3469">
        <w:rPr>
          <w:rFonts w:ascii="Arial" w:hAnsi="Arial" w:cs="Arial"/>
          <w:sz w:val="24"/>
          <w:szCs w:val="24"/>
        </w:rPr>
        <w:t>2</w:t>
      </w:r>
      <w:r w:rsidRPr="00A54129">
        <w:rPr>
          <w:rFonts w:ascii="Arial" w:hAnsi="Arial" w:cs="Arial"/>
          <w:sz w:val="24"/>
          <w:szCs w:val="24"/>
        </w:rPr>
        <w:t>]</w:t>
      </w:r>
      <w:r w:rsidRPr="00A54129">
        <w:rPr>
          <w:rFonts w:ascii="Arial" w:hAnsi="Arial" w:cs="Arial"/>
          <w:sz w:val="24"/>
          <w:szCs w:val="24"/>
        </w:rPr>
        <w:tab/>
      </w:r>
      <w:r w:rsidRPr="00B65AE3">
        <w:rPr>
          <w:rFonts w:ascii="Arial" w:hAnsi="Arial" w:cs="Arial"/>
          <w:sz w:val="24"/>
          <w:szCs w:val="24"/>
        </w:rPr>
        <w:t>On</w:t>
      </w:r>
      <w:r>
        <w:rPr>
          <w:rFonts w:ascii="Arial" w:hAnsi="Arial" w:cs="Arial"/>
          <w:sz w:val="24"/>
          <w:szCs w:val="24"/>
        </w:rPr>
        <w:t xml:space="preserve"> </w:t>
      </w:r>
      <w:r w:rsidR="003D6AEE" w:rsidRPr="001356BA">
        <w:rPr>
          <w:rFonts w:ascii="Arial" w:hAnsi="Arial" w:cs="Arial"/>
          <w:sz w:val="24"/>
          <w:szCs w:val="24"/>
        </w:rPr>
        <w:t>10 November 2012</w:t>
      </w:r>
      <w:r w:rsidR="003D6AEE">
        <w:rPr>
          <w:rFonts w:ascii="Arial" w:hAnsi="Arial" w:cs="Arial"/>
          <w:sz w:val="24"/>
          <w:szCs w:val="24"/>
        </w:rPr>
        <w:t xml:space="preserve"> </w:t>
      </w:r>
      <w:r w:rsidR="00A9198D">
        <w:rPr>
          <w:rFonts w:ascii="Arial" w:hAnsi="Arial" w:cs="Arial"/>
          <w:sz w:val="24"/>
          <w:szCs w:val="24"/>
        </w:rPr>
        <w:t>still on the same findings pr</w:t>
      </w:r>
      <w:r w:rsidR="002E540E">
        <w:rPr>
          <w:rFonts w:ascii="Arial" w:hAnsi="Arial" w:cs="Arial"/>
          <w:sz w:val="24"/>
          <w:szCs w:val="24"/>
        </w:rPr>
        <w:t>o</w:t>
      </w:r>
      <w:r w:rsidR="00E5497B">
        <w:rPr>
          <w:rFonts w:ascii="Arial" w:hAnsi="Arial" w:cs="Arial"/>
          <w:sz w:val="24"/>
          <w:szCs w:val="24"/>
        </w:rPr>
        <w:t>ffe</w:t>
      </w:r>
      <w:r w:rsidR="00A9198D">
        <w:rPr>
          <w:rFonts w:ascii="Arial" w:hAnsi="Arial" w:cs="Arial"/>
          <w:sz w:val="24"/>
          <w:szCs w:val="24"/>
        </w:rPr>
        <w:t>red on 7 July 2011</w:t>
      </w:r>
      <w:r w:rsidR="00F66782">
        <w:rPr>
          <w:rFonts w:ascii="Arial" w:hAnsi="Arial" w:cs="Arial"/>
          <w:sz w:val="24"/>
          <w:szCs w:val="24"/>
        </w:rPr>
        <w:t xml:space="preserve">, the </w:t>
      </w:r>
      <w:r w:rsidR="00DD1E78">
        <w:rPr>
          <w:rFonts w:ascii="Arial" w:hAnsi="Arial" w:cs="Arial"/>
          <w:sz w:val="24"/>
          <w:szCs w:val="24"/>
        </w:rPr>
        <w:t>1</w:t>
      </w:r>
      <w:r w:rsidR="00DD1E78" w:rsidRPr="00DD1E78">
        <w:rPr>
          <w:rFonts w:ascii="Arial" w:hAnsi="Arial" w:cs="Arial"/>
          <w:sz w:val="24"/>
          <w:szCs w:val="24"/>
          <w:vertAlign w:val="superscript"/>
        </w:rPr>
        <w:t>st</w:t>
      </w:r>
      <w:r w:rsidR="00DD1E78">
        <w:rPr>
          <w:rFonts w:ascii="Arial" w:hAnsi="Arial" w:cs="Arial"/>
          <w:sz w:val="24"/>
          <w:szCs w:val="24"/>
        </w:rPr>
        <w:t xml:space="preserve"> Respondent </w:t>
      </w:r>
      <w:r w:rsidR="00F66782">
        <w:rPr>
          <w:rFonts w:ascii="Arial" w:hAnsi="Arial" w:cs="Arial"/>
          <w:sz w:val="24"/>
          <w:szCs w:val="24"/>
        </w:rPr>
        <w:t xml:space="preserve">indicated </w:t>
      </w:r>
      <w:r w:rsidR="007625BB">
        <w:rPr>
          <w:rFonts w:ascii="Arial" w:hAnsi="Arial" w:cs="Arial"/>
          <w:sz w:val="24"/>
          <w:szCs w:val="24"/>
        </w:rPr>
        <w:t xml:space="preserve">his </w:t>
      </w:r>
      <w:r w:rsidR="00F66782">
        <w:rPr>
          <w:rFonts w:ascii="Arial" w:hAnsi="Arial" w:cs="Arial"/>
          <w:sz w:val="24"/>
          <w:szCs w:val="24"/>
        </w:rPr>
        <w:t>re</w:t>
      </w:r>
      <w:r w:rsidR="007625BB">
        <w:rPr>
          <w:rFonts w:ascii="Arial" w:hAnsi="Arial" w:cs="Arial"/>
          <w:sz w:val="24"/>
          <w:szCs w:val="24"/>
        </w:rPr>
        <w:t xml:space="preserve">solve not </w:t>
      </w:r>
      <w:r w:rsidR="00F66782">
        <w:rPr>
          <w:rFonts w:ascii="Arial" w:hAnsi="Arial" w:cs="Arial"/>
          <w:sz w:val="24"/>
          <w:szCs w:val="24"/>
        </w:rPr>
        <w:t xml:space="preserve">to </w:t>
      </w:r>
      <w:r w:rsidR="007625BB">
        <w:rPr>
          <w:rFonts w:ascii="Arial" w:hAnsi="Arial" w:cs="Arial"/>
          <w:sz w:val="24"/>
          <w:szCs w:val="24"/>
        </w:rPr>
        <w:t xml:space="preserve">process </w:t>
      </w:r>
      <w:r w:rsidR="00F66782">
        <w:rPr>
          <w:rFonts w:ascii="Arial" w:hAnsi="Arial" w:cs="Arial"/>
          <w:sz w:val="24"/>
          <w:szCs w:val="24"/>
        </w:rPr>
        <w:t xml:space="preserve">the Closure Certificate </w:t>
      </w:r>
      <w:r w:rsidR="007625BB">
        <w:rPr>
          <w:rFonts w:ascii="Arial" w:hAnsi="Arial" w:cs="Arial"/>
          <w:sz w:val="24"/>
          <w:szCs w:val="24"/>
        </w:rPr>
        <w:t>Application u</w:t>
      </w:r>
      <w:r w:rsidR="00F66782">
        <w:rPr>
          <w:rFonts w:ascii="Arial" w:hAnsi="Arial" w:cs="Arial"/>
          <w:sz w:val="24"/>
          <w:szCs w:val="24"/>
        </w:rPr>
        <w:t>nless DBCM complies (</w:t>
      </w:r>
      <w:r w:rsidR="00294B93">
        <w:rPr>
          <w:rFonts w:ascii="Arial" w:hAnsi="Arial" w:cs="Arial"/>
          <w:sz w:val="24"/>
          <w:szCs w:val="24"/>
        </w:rPr>
        <w:t>“</w:t>
      </w:r>
      <w:r w:rsidR="00F66782" w:rsidRPr="00F66782">
        <w:rPr>
          <w:rFonts w:ascii="Arial" w:hAnsi="Arial" w:cs="Arial"/>
          <w:b/>
          <w:sz w:val="24"/>
          <w:szCs w:val="24"/>
        </w:rPr>
        <w:t>2</w:t>
      </w:r>
      <w:r w:rsidR="00F66782" w:rsidRPr="00F66782">
        <w:rPr>
          <w:rFonts w:ascii="Arial" w:hAnsi="Arial" w:cs="Arial"/>
          <w:b/>
          <w:sz w:val="24"/>
          <w:szCs w:val="24"/>
          <w:vertAlign w:val="superscript"/>
        </w:rPr>
        <w:t>nd</w:t>
      </w:r>
      <w:r w:rsidR="00F66782" w:rsidRPr="00F66782">
        <w:rPr>
          <w:rFonts w:ascii="Arial" w:hAnsi="Arial" w:cs="Arial"/>
          <w:b/>
          <w:sz w:val="24"/>
          <w:szCs w:val="24"/>
        </w:rPr>
        <w:t xml:space="preserve"> </w:t>
      </w:r>
      <w:r w:rsidR="00864431">
        <w:rPr>
          <w:rFonts w:ascii="Arial" w:hAnsi="Arial" w:cs="Arial"/>
          <w:b/>
          <w:sz w:val="24"/>
          <w:szCs w:val="24"/>
        </w:rPr>
        <w:t>D</w:t>
      </w:r>
      <w:r w:rsidR="00F66782" w:rsidRPr="00F66782">
        <w:rPr>
          <w:rFonts w:ascii="Arial" w:hAnsi="Arial" w:cs="Arial"/>
          <w:b/>
          <w:sz w:val="24"/>
          <w:szCs w:val="24"/>
        </w:rPr>
        <w:t>ecision</w:t>
      </w:r>
      <w:r w:rsidR="00294B93">
        <w:rPr>
          <w:rFonts w:ascii="Arial" w:hAnsi="Arial" w:cs="Arial"/>
          <w:b/>
          <w:sz w:val="24"/>
          <w:szCs w:val="24"/>
        </w:rPr>
        <w:t>”</w:t>
      </w:r>
      <w:r w:rsidR="00F66782" w:rsidRPr="00F66782">
        <w:rPr>
          <w:rFonts w:ascii="Arial" w:hAnsi="Arial" w:cs="Arial"/>
          <w:b/>
          <w:sz w:val="24"/>
          <w:szCs w:val="24"/>
        </w:rPr>
        <w:t>).</w:t>
      </w:r>
      <w:r w:rsidR="00F66782">
        <w:rPr>
          <w:rFonts w:ascii="Arial" w:hAnsi="Arial" w:cs="Arial"/>
          <w:sz w:val="24"/>
          <w:szCs w:val="24"/>
        </w:rPr>
        <w:t xml:space="preserve"> </w:t>
      </w:r>
      <w:r w:rsidR="002E540E">
        <w:rPr>
          <w:rFonts w:ascii="Arial" w:hAnsi="Arial" w:cs="Arial"/>
          <w:sz w:val="24"/>
          <w:szCs w:val="24"/>
        </w:rPr>
        <w:t xml:space="preserve">In the interim, </w:t>
      </w:r>
      <w:r w:rsidR="002E540E" w:rsidRPr="00B65AE3">
        <w:rPr>
          <w:rFonts w:ascii="Arial" w:hAnsi="Arial" w:cs="Arial"/>
          <w:sz w:val="24"/>
          <w:szCs w:val="24"/>
        </w:rPr>
        <w:t xml:space="preserve">NEMA was amended </w:t>
      </w:r>
      <w:r w:rsidR="002E540E">
        <w:rPr>
          <w:rFonts w:ascii="Arial" w:hAnsi="Arial" w:cs="Arial"/>
          <w:sz w:val="24"/>
          <w:szCs w:val="24"/>
        </w:rPr>
        <w:t xml:space="preserve">on </w:t>
      </w:r>
      <w:r w:rsidR="002E540E" w:rsidRPr="00B65AE3">
        <w:rPr>
          <w:rFonts w:ascii="Arial" w:hAnsi="Arial" w:cs="Arial"/>
          <w:sz w:val="24"/>
          <w:szCs w:val="24"/>
        </w:rPr>
        <w:t>08 December 2014 introduc</w:t>
      </w:r>
      <w:r w:rsidR="002E540E">
        <w:rPr>
          <w:rFonts w:ascii="Arial" w:hAnsi="Arial" w:cs="Arial"/>
          <w:sz w:val="24"/>
          <w:szCs w:val="24"/>
        </w:rPr>
        <w:t>ing</w:t>
      </w:r>
      <w:r w:rsidR="002E540E" w:rsidRPr="00B65AE3">
        <w:rPr>
          <w:rFonts w:ascii="Arial" w:hAnsi="Arial" w:cs="Arial"/>
          <w:sz w:val="24"/>
          <w:szCs w:val="24"/>
        </w:rPr>
        <w:t xml:space="preserve"> section 24R (1) of NEMA</w:t>
      </w:r>
      <w:r w:rsidR="002E540E">
        <w:rPr>
          <w:rStyle w:val="FootnoteReference"/>
          <w:rFonts w:ascii="Arial" w:hAnsi="Arial" w:cs="Arial"/>
          <w:sz w:val="24"/>
          <w:szCs w:val="24"/>
        </w:rPr>
        <w:footnoteReference w:id="6"/>
      </w:r>
      <w:r w:rsidR="002E540E" w:rsidRPr="00B65AE3">
        <w:rPr>
          <w:rFonts w:ascii="Arial" w:hAnsi="Arial" w:cs="Arial"/>
          <w:sz w:val="24"/>
          <w:szCs w:val="24"/>
        </w:rPr>
        <w:t xml:space="preserve"> Amendment Act 24</w:t>
      </w:r>
      <w:r w:rsidR="002E540E">
        <w:rPr>
          <w:rFonts w:ascii="Arial" w:hAnsi="Arial" w:cs="Arial"/>
          <w:sz w:val="24"/>
          <w:szCs w:val="24"/>
        </w:rPr>
        <w:t xml:space="preserve">, </w:t>
      </w:r>
      <w:r w:rsidR="002E540E" w:rsidRPr="00B65AE3">
        <w:rPr>
          <w:rFonts w:ascii="Arial" w:hAnsi="Arial" w:cs="Arial"/>
          <w:sz w:val="24"/>
          <w:szCs w:val="24"/>
        </w:rPr>
        <w:t xml:space="preserve">2008 which </w:t>
      </w:r>
      <w:r w:rsidR="002E540E">
        <w:rPr>
          <w:rFonts w:ascii="Arial" w:hAnsi="Arial" w:cs="Arial"/>
          <w:sz w:val="24"/>
          <w:szCs w:val="24"/>
        </w:rPr>
        <w:lastRenderedPageBreak/>
        <w:t xml:space="preserve">holds </w:t>
      </w:r>
      <w:r w:rsidR="002E540E" w:rsidRPr="00B65AE3">
        <w:rPr>
          <w:rFonts w:ascii="Arial" w:hAnsi="Arial" w:cs="Arial"/>
          <w:sz w:val="24"/>
          <w:szCs w:val="24"/>
        </w:rPr>
        <w:t xml:space="preserve">the previous holder of an old order right and owner of works </w:t>
      </w:r>
      <w:r w:rsidR="002E540E">
        <w:rPr>
          <w:rFonts w:ascii="Arial" w:hAnsi="Arial" w:cs="Arial"/>
          <w:sz w:val="24"/>
          <w:szCs w:val="24"/>
        </w:rPr>
        <w:t xml:space="preserve">still </w:t>
      </w:r>
      <w:r w:rsidR="002E540E" w:rsidRPr="00B65AE3">
        <w:rPr>
          <w:rFonts w:ascii="Arial" w:hAnsi="Arial" w:cs="Arial"/>
          <w:sz w:val="24"/>
          <w:szCs w:val="24"/>
        </w:rPr>
        <w:t xml:space="preserve">responsible for any environmental liability, pollution or ecological degradation, the pumping and treatment of extraneous water, the management and sustainable closure notwithstanding the issuing of closure certificate by the Minister of Mineral Resources and Energy. </w:t>
      </w:r>
    </w:p>
    <w:p w14:paraId="41196787" w14:textId="77777777" w:rsidR="002E540E" w:rsidRDefault="002E540E" w:rsidP="002E540E">
      <w:pPr>
        <w:tabs>
          <w:tab w:val="left" w:pos="567"/>
        </w:tabs>
        <w:spacing w:after="0" w:line="360" w:lineRule="auto"/>
        <w:jc w:val="both"/>
        <w:rPr>
          <w:rFonts w:ascii="Arial" w:hAnsi="Arial" w:cs="Arial"/>
          <w:sz w:val="24"/>
          <w:szCs w:val="24"/>
        </w:rPr>
      </w:pPr>
    </w:p>
    <w:p w14:paraId="5A1FB26A" w14:textId="1C3026E4" w:rsidR="00D24D72" w:rsidRDefault="001D3469" w:rsidP="003D6AEE">
      <w:pPr>
        <w:tabs>
          <w:tab w:val="left" w:pos="567"/>
        </w:tabs>
        <w:spacing w:after="0" w:line="360" w:lineRule="auto"/>
        <w:jc w:val="both"/>
        <w:rPr>
          <w:rFonts w:ascii="Arial" w:hAnsi="Arial" w:cs="Arial"/>
          <w:sz w:val="24"/>
          <w:szCs w:val="24"/>
        </w:rPr>
      </w:pPr>
      <w:r>
        <w:rPr>
          <w:rFonts w:ascii="Arial" w:hAnsi="Arial" w:cs="Arial"/>
          <w:sz w:val="24"/>
          <w:szCs w:val="24"/>
        </w:rPr>
        <w:t>[13</w:t>
      </w:r>
      <w:r w:rsidR="002E540E">
        <w:rPr>
          <w:rFonts w:ascii="Arial" w:hAnsi="Arial" w:cs="Arial"/>
          <w:sz w:val="24"/>
          <w:szCs w:val="24"/>
        </w:rPr>
        <w:t>]</w:t>
      </w:r>
      <w:r w:rsidR="002E540E">
        <w:rPr>
          <w:rFonts w:ascii="Arial" w:hAnsi="Arial" w:cs="Arial"/>
          <w:sz w:val="24"/>
          <w:szCs w:val="24"/>
        </w:rPr>
        <w:tab/>
        <w:t>O</w:t>
      </w:r>
      <w:r w:rsidR="00F66782">
        <w:rPr>
          <w:rFonts w:ascii="Arial" w:hAnsi="Arial" w:cs="Arial"/>
          <w:sz w:val="24"/>
          <w:szCs w:val="24"/>
        </w:rPr>
        <w:t xml:space="preserve">n </w:t>
      </w:r>
      <w:r w:rsidR="00F847DF" w:rsidRPr="00F847DF">
        <w:rPr>
          <w:rFonts w:ascii="Arial" w:hAnsi="Arial" w:cs="Arial"/>
          <w:sz w:val="24"/>
          <w:szCs w:val="24"/>
        </w:rPr>
        <w:t>26 February 2016</w:t>
      </w:r>
      <w:r w:rsidR="00F66782">
        <w:rPr>
          <w:rFonts w:ascii="Arial" w:hAnsi="Arial" w:cs="Arial"/>
          <w:sz w:val="24"/>
          <w:szCs w:val="24"/>
        </w:rPr>
        <w:t xml:space="preserve">, </w:t>
      </w:r>
      <w:r w:rsidR="00D24D72">
        <w:rPr>
          <w:rFonts w:ascii="Arial" w:hAnsi="Arial" w:cs="Arial"/>
          <w:sz w:val="24"/>
          <w:szCs w:val="24"/>
        </w:rPr>
        <w:t xml:space="preserve">the </w:t>
      </w:r>
      <w:r w:rsidR="00DD1E78">
        <w:rPr>
          <w:rFonts w:ascii="Arial" w:hAnsi="Arial" w:cs="Arial"/>
          <w:sz w:val="24"/>
          <w:szCs w:val="24"/>
        </w:rPr>
        <w:t>1</w:t>
      </w:r>
      <w:r w:rsidR="00DD1E78" w:rsidRPr="00194986">
        <w:rPr>
          <w:rFonts w:ascii="Arial" w:hAnsi="Arial" w:cs="Arial"/>
          <w:sz w:val="24"/>
          <w:szCs w:val="24"/>
          <w:vertAlign w:val="superscript"/>
        </w:rPr>
        <w:t>s</w:t>
      </w:r>
      <w:r w:rsidR="00194986" w:rsidRPr="00194986">
        <w:rPr>
          <w:rFonts w:ascii="Arial" w:hAnsi="Arial" w:cs="Arial"/>
          <w:sz w:val="24"/>
          <w:szCs w:val="24"/>
          <w:vertAlign w:val="superscript"/>
        </w:rPr>
        <w:t>t</w:t>
      </w:r>
      <w:r w:rsidR="00194986">
        <w:rPr>
          <w:rFonts w:ascii="Arial" w:hAnsi="Arial" w:cs="Arial"/>
          <w:sz w:val="24"/>
          <w:szCs w:val="24"/>
        </w:rPr>
        <w:t xml:space="preserve"> </w:t>
      </w:r>
      <w:r w:rsidR="00DD1E78">
        <w:rPr>
          <w:rFonts w:ascii="Arial" w:hAnsi="Arial" w:cs="Arial"/>
          <w:sz w:val="24"/>
          <w:szCs w:val="24"/>
        </w:rPr>
        <w:t xml:space="preserve">Respondent </w:t>
      </w:r>
      <w:r w:rsidR="00F847DF" w:rsidRPr="00F847DF">
        <w:rPr>
          <w:rFonts w:ascii="Arial" w:hAnsi="Arial" w:cs="Arial"/>
          <w:sz w:val="24"/>
          <w:szCs w:val="24"/>
        </w:rPr>
        <w:t xml:space="preserve">sent a reminder letter to DBCM for a response to </w:t>
      </w:r>
      <w:r w:rsidR="00A87E6F" w:rsidRPr="00F847DF">
        <w:rPr>
          <w:rFonts w:ascii="Arial" w:hAnsi="Arial" w:cs="Arial"/>
          <w:sz w:val="24"/>
          <w:szCs w:val="24"/>
        </w:rPr>
        <w:t>the DMR</w:t>
      </w:r>
      <w:r w:rsidR="00A02F94">
        <w:rPr>
          <w:rFonts w:ascii="Arial" w:hAnsi="Arial" w:cs="Arial"/>
          <w:sz w:val="24"/>
          <w:szCs w:val="24"/>
        </w:rPr>
        <w:t>E</w:t>
      </w:r>
      <w:r w:rsidR="00A87E6F" w:rsidRPr="00F847DF">
        <w:rPr>
          <w:rFonts w:ascii="Arial" w:hAnsi="Arial" w:cs="Arial"/>
          <w:sz w:val="24"/>
          <w:szCs w:val="24"/>
        </w:rPr>
        <w:t>’s comment</w:t>
      </w:r>
      <w:r w:rsidR="00A87E6F">
        <w:rPr>
          <w:rFonts w:ascii="Arial" w:hAnsi="Arial" w:cs="Arial"/>
          <w:sz w:val="24"/>
          <w:szCs w:val="24"/>
        </w:rPr>
        <w:t xml:space="preserve"> in the l</w:t>
      </w:r>
      <w:r w:rsidR="00F847DF" w:rsidRPr="00F847DF">
        <w:rPr>
          <w:rFonts w:ascii="Arial" w:hAnsi="Arial" w:cs="Arial"/>
          <w:sz w:val="24"/>
          <w:szCs w:val="24"/>
        </w:rPr>
        <w:t>etter of 10 November 2012</w:t>
      </w:r>
      <w:r w:rsidR="00F847DF">
        <w:rPr>
          <w:rFonts w:ascii="Arial" w:hAnsi="Arial" w:cs="Arial"/>
          <w:sz w:val="24"/>
          <w:szCs w:val="24"/>
        </w:rPr>
        <w:t>,</w:t>
      </w:r>
      <w:r w:rsidR="00F847DF" w:rsidRPr="00F847DF">
        <w:rPr>
          <w:rFonts w:ascii="Arial" w:hAnsi="Arial" w:cs="Arial"/>
          <w:sz w:val="24"/>
          <w:szCs w:val="24"/>
        </w:rPr>
        <w:t xml:space="preserve"> further advis</w:t>
      </w:r>
      <w:r w:rsidR="00F847DF">
        <w:rPr>
          <w:rFonts w:ascii="Arial" w:hAnsi="Arial" w:cs="Arial"/>
          <w:sz w:val="24"/>
          <w:szCs w:val="24"/>
        </w:rPr>
        <w:t xml:space="preserve">ing </w:t>
      </w:r>
      <w:r w:rsidR="00F847DF" w:rsidRPr="00F847DF">
        <w:rPr>
          <w:rFonts w:ascii="Arial" w:hAnsi="Arial" w:cs="Arial"/>
          <w:sz w:val="24"/>
          <w:szCs w:val="24"/>
        </w:rPr>
        <w:t>DBCM that its Oak Mine Closure Application would be processed after DBCM has addressed the comments raised</w:t>
      </w:r>
      <w:r w:rsidR="00F66782">
        <w:rPr>
          <w:rFonts w:ascii="Arial" w:hAnsi="Arial" w:cs="Arial"/>
          <w:sz w:val="24"/>
          <w:szCs w:val="24"/>
        </w:rPr>
        <w:t xml:space="preserve"> </w:t>
      </w:r>
      <w:r w:rsidR="00A87E6F">
        <w:rPr>
          <w:rFonts w:ascii="Arial" w:hAnsi="Arial" w:cs="Arial"/>
          <w:sz w:val="24"/>
          <w:szCs w:val="24"/>
        </w:rPr>
        <w:t>therein</w:t>
      </w:r>
      <w:r w:rsidR="007625BB">
        <w:rPr>
          <w:rFonts w:ascii="Arial" w:hAnsi="Arial" w:cs="Arial"/>
          <w:sz w:val="24"/>
          <w:szCs w:val="24"/>
        </w:rPr>
        <w:t xml:space="preserve">. He </w:t>
      </w:r>
      <w:r w:rsidR="00F847DF" w:rsidRPr="00F847DF">
        <w:rPr>
          <w:rFonts w:ascii="Arial" w:hAnsi="Arial" w:cs="Arial"/>
          <w:sz w:val="24"/>
          <w:szCs w:val="24"/>
        </w:rPr>
        <w:t>g</w:t>
      </w:r>
      <w:r w:rsidR="007625BB">
        <w:rPr>
          <w:rFonts w:ascii="Arial" w:hAnsi="Arial" w:cs="Arial"/>
          <w:sz w:val="24"/>
          <w:szCs w:val="24"/>
        </w:rPr>
        <w:t xml:space="preserve">ave DBCM </w:t>
      </w:r>
      <w:r w:rsidR="00F847DF" w:rsidRPr="00F847DF">
        <w:rPr>
          <w:rFonts w:ascii="Arial" w:hAnsi="Arial" w:cs="Arial"/>
          <w:sz w:val="24"/>
          <w:szCs w:val="24"/>
        </w:rPr>
        <w:t>a period until 15 April 2016 to respond</w:t>
      </w:r>
      <w:r w:rsidR="00A87E6F">
        <w:rPr>
          <w:rFonts w:ascii="Arial" w:hAnsi="Arial" w:cs="Arial"/>
          <w:sz w:val="24"/>
          <w:szCs w:val="24"/>
        </w:rPr>
        <w:t>.</w:t>
      </w:r>
      <w:r w:rsidR="00F66782">
        <w:rPr>
          <w:rFonts w:ascii="Arial" w:hAnsi="Arial" w:cs="Arial"/>
          <w:sz w:val="24"/>
          <w:szCs w:val="24"/>
        </w:rPr>
        <w:t xml:space="preserve"> </w:t>
      </w:r>
    </w:p>
    <w:p w14:paraId="6E181725" w14:textId="77777777" w:rsidR="00D24D72" w:rsidRDefault="00D24D72" w:rsidP="003D6AEE">
      <w:pPr>
        <w:tabs>
          <w:tab w:val="left" w:pos="567"/>
        </w:tabs>
        <w:spacing w:after="0" w:line="360" w:lineRule="auto"/>
        <w:jc w:val="both"/>
        <w:rPr>
          <w:rFonts w:ascii="Arial" w:hAnsi="Arial" w:cs="Arial"/>
          <w:sz w:val="24"/>
          <w:szCs w:val="24"/>
        </w:rPr>
      </w:pPr>
    </w:p>
    <w:p w14:paraId="7A4F8D93" w14:textId="49695C56" w:rsidR="003D6AEE" w:rsidRDefault="001D3469" w:rsidP="003D6AEE">
      <w:pPr>
        <w:tabs>
          <w:tab w:val="left" w:pos="567"/>
        </w:tabs>
        <w:spacing w:after="0" w:line="360" w:lineRule="auto"/>
        <w:jc w:val="both"/>
        <w:rPr>
          <w:rFonts w:ascii="Arial" w:hAnsi="Arial" w:cs="Arial"/>
          <w:sz w:val="24"/>
          <w:szCs w:val="24"/>
        </w:rPr>
      </w:pPr>
      <w:r>
        <w:rPr>
          <w:rFonts w:ascii="Arial" w:hAnsi="Arial" w:cs="Arial"/>
          <w:sz w:val="24"/>
          <w:szCs w:val="24"/>
        </w:rPr>
        <w:t>[14</w:t>
      </w:r>
      <w:r w:rsidR="00D24D72">
        <w:rPr>
          <w:rFonts w:ascii="Arial" w:hAnsi="Arial" w:cs="Arial"/>
          <w:sz w:val="24"/>
          <w:szCs w:val="24"/>
        </w:rPr>
        <w:t>]</w:t>
      </w:r>
      <w:r w:rsidR="00D24D72">
        <w:rPr>
          <w:rFonts w:ascii="Arial" w:hAnsi="Arial" w:cs="Arial"/>
          <w:sz w:val="24"/>
          <w:szCs w:val="24"/>
        </w:rPr>
        <w:tab/>
      </w:r>
      <w:r w:rsidR="000D7CD4" w:rsidRPr="00F847DF">
        <w:rPr>
          <w:rFonts w:ascii="Arial" w:hAnsi="Arial" w:cs="Arial"/>
          <w:sz w:val="24"/>
          <w:szCs w:val="24"/>
        </w:rPr>
        <w:t>DBCM</w:t>
      </w:r>
      <w:r w:rsidR="000D7CD4">
        <w:rPr>
          <w:rFonts w:ascii="Arial" w:hAnsi="Arial" w:cs="Arial"/>
          <w:sz w:val="24"/>
          <w:szCs w:val="24"/>
        </w:rPr>
        <w:t xml:space="preserve"> responded t</w:t>
      </w:r>
      <w:r w:rsidR="000D7CD4" w:rsidRPr="00F847DF">
        <w:rPr>
          <w:rFonts w:ascii="Arial" w:hAnsi="Arial" w:cs="Arial"/>
          <w:sz w:val="24"/>
          <w:szCs w:val="24"/>
        </w:rPr>
        <w:t>o the</w:t>
      </w:r>
      <w:r w:rsidR="000D7CD4">
        <w:rPr>
          <w:rFonts w:ascii="Arial" w:hAnsi="Arial" w:cs="Arial"/>
          <w:sz w:val="24"/>
          <w:szCs w:val="24"/>
        </w:rPr>
        <w:t xml:space="preserve"> </w:t>
      </w:r>
      <w:r w:rsidR="000D7CD4" w:rsidRPr="00F847DF">
        <w:rPr>
          <w:rFonts w:ascii="Arial" w:hAnsi="Arial" w:cs="Arial"/>
          <w:sz w:val="24"/>
          <w:szCs w:val="24"/>
        </w:rPr>
        <w:t>letter</w:t>
      </w:r>
      <w:r w:rsidR="000D7CD4">
        <w:rPr>
          <w:rFonts w:ascii="Arial" w:hAnsi="Arial" w:cs="Arial"/>
          <w:sz w:val="24"/>
          <w:szCs w:val="24"/>
        </w:rPr>
        <w:t>s</w:t>
      </w:r>
      <w:r w:rsidR="000D7CD4" w:rsidRPr="00F847DF">
        <w:rPr>
          <w:rFonts w:ascii="Arial" w:hAnsi="Arial" w:cs="Arial"/>
          <w:sz w:val="24"/>
          <w:szCs w:val="24"/>
        </w:rPr>
        <w:t xml:space="preserve"> of 10 November 2012 and 26 February 2016</w:t>
      </w:r>
      <w:r w:rsidR="000D7CD4">
        <w:rPr>
          <w:rFonts w:ascii="Arial" w:hAnsi="Arial" w:cs="Arial"/>
          <w:sz w:val="24"/>
          <w:szCs w:val="24"/>
        </w:rPr>
        <w:t xml:space="preserve"> </w:t>
      </w:r>
      <w:r w:rsidR="0031026D">
        <w:rPr>
          <w:rFonts w:ascii="Arial" w:hAnsi="Arial" w:cs="Arial"/>
          <w:sz w:val="24"/>
          <w:szCs w:val="24"/>
        </w:rPr>
        <w:t xml:space="preserve">from the </w:t>
      </w:r>
      <w:r w:rsidR="0031026D" w:rsidRPr="00F847DF">
        <w:rPr>
          <w:rFonts w:ascii="Arial" w:hAnsi="Arial" w:cs="Arial"/>
          <w:sz w:val="24"/>
          <w:szCs w:val="24"/>
        </w:rPr>
        <w:t>DMR</w:t>
      </w:r>
      <w:r w:rsidR="0031026D">
        <w:rPr>
          <w:rFonts w:ascii="Arial" w:hAnsi="Arial" w:cs="Arial"/>
          <w:sz w:val="24"/>
          <w:szCs w:val="24"/>
        </w:rPr>
        <w:t xml:space="preserve">E </w:t>
      </w:r>
      <w:r w:rsidR="00D24D72">
        <w:rPr>
          <w:rFonts w:ascii="Arial" w:hAnsi="Arial" w:cs="Arial"/>
          <w:sz w:val="24"/>
          <w:szCs w:val="24"/>
        </w:rPr>
        <w:t>only on 9 November 2017</w:t>
      </w:r>
      <w:r w:rsidR="000D7CD4">
        <w:rPr>
          <w:rFonts w:ascii="Arial" w:hAnsi="Arial" w:cs="Arial"/>
          <w:sz w:val="24"/>
          <w:szCs w:val="24"/>
        </w:rPr>
        <w:t>,</w:t>
      </w:r>
      <w:r w:rsidR="0050724D">
        <w:rPr>
          <w:rFonts w:ascii="Arial" w:hAnsi="Arial" w:cs="Arial"/>
          <w:sz w:val="24"/>
          <w:szCs w:val="24"/>
        </w:rPr>
        <w:t xml:space="preserve"> </w:t>
      </w:r>
      <w:r w:rsidR="00682C7A">
        <w:rPr>
          <w:rFonts w:ascii="Arial" w:hAnsi="Arial" w:cs="Arial"/>
          <w:sz w:val="24"/>
          <w:szCs w:val="24"/>
        </w:rPr>
        <w:t>request</w:t>
      </w:r>
      <w:r w:rsidR="0060720B">
        <w:rPr>
          <w:rFonts w:ascii="Arial" w:hAnsi="Arial" w:cs="Arial"/>
          <w:sz w:val="24"/>
          <w:szCs w:val="24"/>
        </w:rPr>
        <w:t>ing</w:t>
      </w:r>
      <w:r w:rsidR="00682C7A">
        <w:rPr>
          <w:rFonts w:ascii="Arial" w:hAnsi="Arial" w:cs="Arial"/>
          <w:sz w:val="24"/>
          <w:szCs w:val="24"/>
        </w:rPr>
        <w:t xml:space="preserve"> DMR</w:t>
      </w:r>
      <w:r w:rsidR="00A02F94">
        <w:rPr>
          <w:rFonts w:ascii="Arial" w:hAnsi="Arial" w:cs="Arial"/>
          <w:sz w:val="24"/>
          <w:szCs w:val="24"/>
        </w:rPr>
        <w:t>E</w:t>
      </w:r>
      <w:r w:rsidR="00682C7A">
        <w:rPr>
          <w:rFonts w:ascii="Arial" w:hAnsi="Arial" w:cs="Arial"/>
          <w:sz w:val="24"/>
          <w:szCs w:val="24"/>
        </w:rPr>
        <w:t xml:space="preserve"> to agree to </w:t>
      </w:r>
      <w:r w:rsidR="00701B64">
        <w:rPr>
          <w:rFonts w:ascii="Arial" w:hAnsi="Arial" w:cs="Arial"/>
          <w:sz w:val="24"/>
          <w:szCs w:val="24"/>
        </w:rPr>
        <w:t xml:space="preserve">an amendment of </w:t>
      </w:r>
      <w:r w:rsidR="0031026D">
        <w:rPr>
          <w:rFonts w:ascii="Arial" w:hAnsi="Arial" w:cs="Arial"/>
          <w:sz w:val="24"/>
          <w:szCs w:val="24"/>
        </w:rPr>
        <w:t xml:space="preserve">DBCM’s </w:t>
      </w:r>
      <w:r w:rsidR="00DD1E78">
        <w:rPr>
          <w:rFonts w:ascii="Arial" w:hAnsi="Arial" w:cs="Arial"/>
          <w:sz w:val="24"/>
          <w:szCs w:val="24"/>
        </w:rPr>
        <w:t xml:space="preserve">29 July 2003 </w:t>
      </w:r>
      <w:r w:rsidR="0031026D">
        <w:rPr>
          <w:rFonts w:ascii="Arial" w:hAnsi="Arial" w:cs="Arial"/>
          <w:sz w:val="24"/>
          <w:szCs w:val="24"/>
        </w:rPr>
        <w:t xml:space="preserve">approved </w:t>
      </w:r>
      <w:r w:rsidR="00DD1E78">
        <w:rPr>
          <w:rFonts w:ascii="Arial" w:hAnsi="Arial" w:cs="Arial"/>
          <w:sz w:val="24"/>
          <w:szCs w:val="24"/>
        </w:rPr>
        <w:t xml:space="preserve">EMP </w:t>
      </w:r>
      <w:r w:rsidR="00701B64">
        <w:rPr>
          <w:rFonts w:ascii="Arial" w:hAnsi="Arial" w:cs="Arial"/>
          <w:sz w:val="24"/>
          <w:szCs w:val="24"/>
        </w:rPr>
        <w:t>and</w:t>
      </w:r>
      <w:r w:rsidR="00682C7A">
        <w:rPr>
          <w:rFonts w:ascii="Arial" w:hAnsi="Arial" w:cs="Arial"/>
          <w:sz w:val="24"/>
          <w:szCs w:val="24"/>
        </w:rPr>
        <w:t xml:space="preserve"> </w:t>
      </w:r>
      <w:r w:rsidR="00701B64">
        <w:rPr>
          <w:rFonts w:ascii="Arial" w:hAnsi="Arial" w:cs="Arial"/>
          <w:sz w:val="24"/>
          <w:szCs w:val="24"/>
        </w:rPr>
        <w:t>to providing DBCM with the Closure Certificate</w:t>
      </w:r>
      <w:r w:rsidR="00701B64" w:rsidRPr="0060720B">
        <w:rPr>
          <w:rFonts w:ascii="Arial" w:hAnsi="Arial" w:cs="Arial"/>
          <w:sz w:val="24"/>
          <w:szCs w:val="24"/>
        </w:rPr>
        <w:t xml:space="preserve"> </w:t>
      </w:r>
      <w:r w:rsidR="00701B64">
        <w:rPr>
          <w:rFonts w:ascii="Arial" w:hAnsi="Arial" w:cs="Arial"/>
          <w:sz w:val="24"/>
          <w:szCs w:val="24"/>
        </w:rPr>
        <w:t xml:space="preserve">in terms of s 43 of the MPRDA </w:t>
      </w:r>
      <w:r w:rsidR="001E5297">
        <w:rPr>
          <w:rFonts w:ascii="Arial" w:hAnsi="Arial" w:cs="Arial"/>
          <w:sz w:val="24"/>
          <w:szCs w:val="24"/>
        </w:rPr>
        <w:t>after execution of DBCM proposal</w:t>
      </w:r>
      <w:r w:rsidR="00701B64">
        <w:rPr>
          <w:rFonts w:ascii="Arial" w:hAnsi="Arial" w:cs="Arial"/>
          <w:sz w:val="24"/>
          <w:szCs w:val="24"/>
        </w:rPr>
        <w:t>.</w:t>
      </w:r>
      <w:r w:rsidR="00682C7A">
        <w:rPr>
          <w:rFonts w:ascii="Arial" w:hAnsi="Arial" w:cs="Arial"/>
          <w:sz w:val="24"/>
          <w:szCs w:val="24"/>
        </w:rPr>
        <w:t xml:space="preserve"> DB</w:t>
      </w:r>
      <w:r w:rsidR="004F3901">
        <w:rPr>
          <w:rFonts w:ascii="Arial" w:hAnsi="Arial" w:cs="Arial"/>
          <w:sz w:val="24"/>
          <w:szCs w:val="24"/>
        </w:rPr>
        <w:t>C</w:t>
      </w:r>
      <w:r w:rsidR="00682C7A">
        <w:rPr>
          <w:rFonts w:ascii="Arial" w:hAnsi="Arial" w:cs="Arial"/>
          <w:sz w:val="24"/>
          <w:szCs w:val="24"/>
        </w:rPr>
        <w:t>M</w:t>
      </w:r>
      <w:r w:rsidR="004F3901">
        <w:rPr>
          <w:rFonts w:ascii="Arial" w:hAnsi="Arial" w:cs="Arial"/>
          <w:sz w:val="24"/>
          <w:szCs w:val="24"/>
        </w:rPr>
        <w:t xml:space="preserve">’s </w:t>
      </w:r>
      <w:r w:rsidR="001F1064">
        <w:rPr>
          <w:rFonts w:ascii="Arial" w:hAnsi="Arial" w:cs="Arial"/>
          <w:sz w:val="24"/>
          <w:szCs w:val="24"/>
        </w:rPr>
        <w:t xml:space="preserve">had </w:t>
      </w:r>
      <w:r w:rsidR="004F3901">
        <w:rPr>
          <w:rFonts w:ascii="Arial" w:hAnsi="Arial" w:cs="Arial"/>
          <w:sz w:val="24"/>
          <w:szCs w:val="24"/>
        </w:rPr>
        <w:t>propos</w:t>
      </w:r>
      <w:r w:rsidR="001F1064">
        <w:rPr>
          <w:rFonts w:ascii="Arial" w:hAnsi="Arial" w:cs="Arial"/>
          <w:sz w:val="24"/>
          <w:szCs w:val="24"/>
        </w:rPr>
        <w:t>ed</w:t>
      </w:r>
      <w:r w:rsidR="004F3901">
        <w:rPr>
          <w:rFonts w:ascii="Arial" w:hAnsi="Arial" w:cs="Arial"/>
          <w:sz w:val="24"/>
          <w:szCs w:val="24"/>
        </w:rPr>
        <w:t xml:space="preserve"> </w:t>
      </w:r>
      <w:r w:rsidR="00682C7A">
        <w:rPr>
          <w:rFonts w:ascii="Arial" w:hAnsi="Arial" w:cs="Arial"/>
          <w:sz w:val="24"/>
          <w:szCs w:val="24"/>
        </w:rPr>
        <w:t>the following</w:t>
      </w:r>
      <w:r w:rsidR="001F1064">
        <w:rPr>
          <w:rFonts w:ascii="Arial" w:hAnsi="Arial" w:cs="Arial"/>
          <w:sz w:val="24"/>
          <w:szCs w:val="24"/>
        </w:rPr>
        <w:t>, that</w:t>
      </w:r>
      <w:r w:rsidR="00682C7A">
        <w:rPr>
          <w:rFonts w:ascii="Arial" w:hAnsi="Arial" w:cs="Arial"/>
          <w:sz w:val="24"/>
          <w:szCs w:val="24"/>
        </w:rPr>
        <w:t xml:space="preserve">: </w:t>
      </w:r>
    </w:p>
    <w:p w14:paraId="535D1A25" w14:textId="6D22CA4D" w:rsidR="00682C7A" w:rsidRDefault="00682C7A" w:rsidP="003D6AEE">
      <w:pPr>
        <w:tabs>
          <w:tab w:val="left" w:pos="567"/>
        </w:tabs>
        <w:spacing w:after="0" w:line="360" w:lineRule="auto"/>
        <w:jc w:val="both"/>
        <w:rPr>
          <w:rFonts w:ascii="Arial" w:hAnsi="Arial" w:cs="Arial"/>
          <w:sz w:val="24"/>
          <w:szCs w:val="24"/>
        </w:rPr>
      </w:pPr>
    </w:p>
    <w:p w14:paraId="5E275868" w14:textId="0DF9D8E8" w:rsidR="00915993" w:rsidRPr="00890F6E" w:rsidRDefault="00682C7A" w:rsidP="00682C7A">
      <w:pPr>
        <w:tabs>
          <w:tab w:val="left" w:pos="567"/>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[1</w:t>
      </w:r>
      <w:r w:rsidR="001D3469">
        <w:rPr>
          <w:rFonts w:ascii="Arial" w:hAnsi="Arial" w:cs="Arial"/>
          <w:sz w:val="24"/>
          <w:szCs w:val="24"/>
        </w:rPr>
        <w:t>4</w:t>
      </w:r>
      <w:r>
        <w:rPr>
          <w:rFonts w:ascii="Arial" w:hAnsi="Arial" w:cs="Arial"/>
          <w:sz w:val="24"/>
          <w:szCs w:val="24"/>
        </w:rPr>
        <w:t>.1]</w:t>
      </w:r>
      <w:r>
        <w:rPr>
          <w:rFonts w:ascii="Arial" w:hAnsi="Arial" w:cs="Arial"/>
          <w:sz w:val="24"/>
          <w:szCs w:val="24"/>
        </w:rPr>
        <w:tab/>
      </w:r>
      <w:r w:rsidRPr="00701B64">
        <w:rPr>
          <w:rFonts w:ascii="Arial" w:hAnsi="Arial" w:cs="Arial"/>
          <w:b/>
          <w:sz w:val="24"/>
          <w:szCs w:val="24"/>
        </w:rPr>
        <w:t xml:space="preserve">In respect of the </w:t>
      </w:r>
      <w:r w:rsidR="001E5297" w:rsidRPr="00701B64">
        <w:rPr>
          <w:rFonts w:ascii="Arial" w:hAnsi="Arial" w:cs="Arial"/>
          <w:b/>
          <w:sz w:val="24"/>
          <w:szCs w:val="24"/>
        </w:rPr>
        <w:t>approved EMP</w:t>
      </w:r>
      <w:r w:rsidR="004F3901" w:rsidRPr="00701B64">
        <w:rPr>
          <w:rFonts w:ascii="Arial" w:hAnsi="Arial" w:cs="Arial"/>
          <w:b/>
          <w:sz w:val="24"/>
          <w:szCs w:val="24"/>
        </w:rPr>
        <w:t xml:space="preserve"> and </w:t>
      </w:r>
      <w:r w:rsidR="001E5297" w:rsidRPr="00701B64">
        <w:rPr>
          <w:rFonts w:ascii="Arial" w:hAnsi="Arial" w:cs="Arial"/>
          <w:b/>
          <w:sz w:val="24"/>
          <w:szCs w:val="24"/>
        </w:rPr>
        <w:t>require</w:t>
      </w:r>
      <w:r w:rsidR="004F3901" w:rsidRPr="00701B64">
        <w:rPr>
          <w:rFonts w:ascii="Arial" w:hAnsi="Arial" w:cs="Arial"/>
          <w:b/>
          <w:sz w:val="24"/>
          <w:szCs w:val="24"/>
        </w:rPr>
        <w:t>ment that DBCM</w:t>
      </w:r>
      <w:r w:rsidR="001E5297" w:rsidRPr="00701B64">
        <w:rPr>
          <w:rFonts w:ascii="Arial" w:hAnsi="Arial" w:cs="Arial"/>
          <w:b/>
          <w:sz w:val="24"/>
          <w:szCs w:val="24"/>
        </w:rPr>
        <w:t xml:space="preserve"> reshape the </w:t>
      </w:r>
      <w:r w:rsidR="001F1064" w:rsidRPr="00701B64">
        <w:rPr>
          <w:rFonts w:ascii="Arial" w:hAnsi="Arial" w:cs="Arial"/>
          <w:b/>
          <w:sz w:val="24"/>
          <w:szCs w:val="24"/>
        </w:rPr>
        <w:t>o</w:t>
      </w:r>
      <w:r w:rsidRPr="00701B64">
        <w:rPr>
          <w:rFonts w:ascii="Arial" w:hAnsi="Arial" w:cs="Arial"/>
          <w:b/>
          <w:sz w:val="24"/>
          <w:szCs w:val="24"/>
        </w:rPr>
        <w:t>pen pit</w:t>
      </w:r>
      <w:r w:rsidR="00935912" w:rsidRPr="001F1064">
        <w:rPr>
          <w:rFonts w:ascii="Arial" w:hAnsi="Arial" w:cs="Arial"/>
          <w:sz w:val="24"/>
          <w:szCs w:val="24"/>
        </w:rPr>
        <w:t xml:space="preserve"> </w:t>
      </w:r>
      <w:r w:rsidR="004F3901" w:rsidRPr="001F1064">
        <w:rPr>
          <w:rFonts w:ascii="Arial" w:hAnsi="Arial" w:cs="Arial"/>
          <w:sz w:val="24"/>
          <w:szCs w:val="24"/>
        </w:rPr>
        <w:t>–</w:t>
      </w:r>
      <w:r w:rsidR="00935912" w:rsidRPr="001F1064">
        <w:rPr>
          <w:rFonts w:ascii="Arial" w:hAnsi="Arial" w:cs="Arial"/>
          <w:sz w:val="24"/>
          <w:szCs w:val="24"/>
        </w:rPr>
        <w:t xml:space="preserve"> </w:t>
      </w:r>
      <w:r w:rsidR="004F3901" w:rsidRPr="001F1064">
        <w:rPr>
          <w:rFonts w:ascii="Arial" w:hAnsi="Arial" w:cs="Arial"/>
          <w:sz w:val="24"/>
          <w:szCs w:val="24"/>
        </w:rPr>
        <w:t xml:space="preserve">that </w:t>
      </w:r>
      <w:r w:rsidR="00935912" w:rsidRPr="001F1064">
        <w:rPr>
          <w:rFonts w:ascii="Arial" w:hAnsi="Arial" w:cs="Arial"/>
          <w:sz w:val="24"/>
          <w:szCs w:val="24"/>
        </w:rPr>
        <w:t xml:space="preserve">it </w:t>
      </w:r>
      <w:r w:rsidR="001F1064" w:rsidRPr="001F1064">
        <w:rPr>
          <w:rFonts w:ascii="Arial" w:hAnsi="Arial" w:cs="Arial"/>
          <w:sz w:val="24"/>
          <w:szCs w:val="24"/>
        </w:rPr>
        <w:t>be</w:t>
      </w:r>
      <w:r w:rsidRPr="001F1064">
        <w:rPr>
          <w:rFonts w:ascii="Arial" w:hAnsi="Arial" w:cs="Arial"/>
          <w:sz w:val="24"/>
          <w:szCs w:val="24"/>
        </w:rPr>
        <w:t xml:space="preserve"> approved that the slope of the first bench leading to the surface will be finished off evenly at a gradient of not more than 1:2 </w:t>
      </w:r>
      <w:r w:rsidR="00987622" w:rsidRPr="001F1064">
        <w:rPr>
          <w:rFonts w:ascii="Arial" w:hAnsi="Arial" w:cs="Arial"/>
          <w:sz w:val="24"/>
          <w:szCs w:val="24"/>
        </w:rPr>
        <w:t>(</w:t>
      </w:r>
      <w:r w:rsidRPr="001F1064">
        <w:rPr>
          <w:rFonts w:ascii="Arial" w:hAnsi="Arial" w:cs="Arial"/>
          <w:sz w:val="24"/>
          <w:szCs w:val="24"/>
        </w:rPr>
        <w:t>about 26 degree</w:t>
      </w:r>
      <w:r w:rsidR="00701B64">
        <w:rPr>
          <w:rFonts w:ascii="Arial" w:hAnsi="Arial" w:cs="Arial"/>
          <w:sz w:val="24"/>
          <w:szCs w:val="24"/>
        </w:rPr>
        <w:t>s</w:t>
      </w:r>
      <w:r w:rsidRPr="001F1064">
        <w:rPr>
          <w:rFonts w:ascii="Arial" w:hAnsi="Arial" w:cs="Arial"/>
          <w:sz w:val="24"/>
          <w:szCs w:val="24"/>
        </w:rPr>
        <w:t xml:space="preserve"> to the hor</w:t>
      </w:r>
      <w:r w:rsidR="00987622" w:rsidRPr="001F1064">
        <w:rPr>
          <w:rFonts w:ascii="Arial" w:hAnsi="Arial" w:cs="Arial"/>
          <w:sz w:val="24"/>
          <w:szCs w:val="24"/>
        </w:rPr>
        <w:t>i</w:t>
      </w:r>
      <w:r w:rsidRPr="001F1064">
        <w:rPr>
          <w:rFonts w:ascii="Arial" w:hAnsi="Arial" w:cs="Arial"/>
          <w:sz w:val="24"/>
          <w:szCs w:val="24"/>
        </w:rPr>
        <w:t>zontal ground level</w:t>
      </w:r>
      <w:r w:rsidR="00987622" w:rsidRPr="001F1064">
        <w:rPr>
          <w:rFonts w:ascii="Arial" w:hAnsi="Arial" w:cs="Arial"/>
          <w:sz w:val="24"/>
          <w:szCs w:val="24"/>
        </w:rPr>
        <w:t>)</w:t>
      </w:r>
      <w:r w:rsidR="004F3901" w:rsidRPr="001F1064">
        <w:rPr>
          <w:rFonts w:ascii="Arial" w:hAnsi="Arial" w:cs="Arial"/>
          <w:sz w:val="24"/>
          <w:szCs w:val="24"/>
        </w:rPr>
        <w:t>.</w:t>
      </w:r>
      <w:r w:rsidR="000572FA" w:rsidRPr="001F1064">
        <w:rPr>
          <w:rFonts w:ascii="Arial" w:hAnsi="Arial" w:cs="Arial"/>
          <w:sz w:val="24"/>
          <w:szCs w:val="24"/>
        </w:rPr>
        <w:t xml:space="preserve"> The vertical height of the second bench will not exceed </w:t>
      </w:r>
      <w:r w:rsidR="00935912" w:rsidRPr="001F1064">
        <w:rPr>
          <w:rFonts w:ascii="Arial" w:hAnsi="Arial" w:cs="Arial"/>
          <w:sz w:val="24"/>
          <w:szCs w:val="24"/>
        </w:rPr>
        <w:t xml:space="preserve">5m </w:t>
      </w:r>
      <w:r w:rsidR="000572FA" w:rsidRPr="001F1064">
        <w:rPr>
          <w:rFonts w:ascii="Arial" w:hAnsi="Arial" w:cs="Arial"/>
          <w:sz w:val="24"/>
          <w:szCs w:val="24"/>
        </w:rPr>
        <w:t>and the horizontal portion of this will not be less than 2 m to the top edge of the following side wall</w:t>
      </w:r>
      <w:r w:rsidR="003018D7">
        <w:rPr>
          <w:rFonts w:ascii="Arial" w:hAnsi="Arial" w:cs="Arial"/>
          <w:sz w:val="24"/>
          <w:szCs w:val="24"/>
        </w:rPr>
        <w:t>. B</w:t>
      </w:r>
      <w:r w:rsidR="000572FA" w:rsidRPr="008F6EE4">
        <w:rPr>
          <w:rFonts w:ascii="Arial" w:hAnsi="Arial" w:cs="Arial"/>
          <w:sz w:val="24"/>
          <w:szCs w:val="24"/>
        </w:rPr>
        <w:t xml:space="preserve">oth internal and independent external studies </w:t>
      </w:r>
      <w:r w:rsidR="00D24D72" w:rsidRPr="008F6EE4">
        <w:rPr>
          <w:rFonts w:ascii="Arial" w:hAnsi="Arial" w:cs="Arial"/>
          <w:sz w:val="24"/>
          <w:szCs w:val="24"/>
        </w:rPr>
        <w:t xml:space="preserve">conducted </w:t>
      </w:r>
      <w:r w:rsidR="000572FA" w:rsidRPr="008F6EE4">
        <w:rPr>
          <w:rFonts w:ascii="Arial" w:hAnsi="Arial" w:cs="Arial"/>
          <w:sz w:val="24"/>
          <w:szCs w:val="24"/>
        </w:rPr>
        <w:t xml:space="preserve">concluded that the sloping of the open pit as </w:t>
      </w:r>
      <w:r w:rsidR="008F6EE4">
        <w:rPr>
          <w:rFonts w:ascii="Arial" w:hAnsi="Arial" w:cs="Arial"/>
          <w:sz w:val="24"/>
          <w:szCs w:val="24"/>
        </w:rPr>
        <w:t xml:space="preserve">per </w:t>
      </w:r>
      <w:r w:rsidR="000572FA" w:rsidRPr="008F6EE4">
        <w:rPr>
          <w:rFonts w:ascii="Arial" w:hAnsi="Arial" w:cs="Arial"/>
          <w:sz w:val="24"/>
          <w:szCs w:val="24"/>
        </w:rPr>
        <w:t>the EMP will not satisfy the concerns raised by the DMR</w:t>
      </w:r>
      <w:r w:rsidR="00473B21" w:rsidRPr="008F6EE4">
        <w:rPr>
          <w:rFonts w:ascii="Arial" w:hAnsi="Arial" w:cs="Arial"/>
          <w:sz w:val="24"/>
          <w:szCs w:val="24"/>
        </w:rPr>
        <w:t>E</w:t>
      </w:r>
      <w:r w:rsidR="000572FA" w:rsidRPr="008F6EE4">
        <w:rPr>
          <w:rFonts w:ascii="Arial" w:hAnsi="Arial" w:cs="Arial"/>
          <w:sz w:val="24"/>
          <w:szCs w:val="24"/>
        </w:rPr>
        <w:t>.</w:t>
      </w:r>
      <w:r w:rsidR="000572FA">
        <w:rPr>
          <w:rFonts w:ascii="Arial" w:hAnsi="Arial" w:cs="Arial"/>
          <w:sz w:val="24"/>
          <w:szCs w:val="24"/>
        </w:rPr>
        <w:t xml:space="preserve"> </w:t>
      </w:r>
      <w:r w:rsidR="003018D7" w:rsidRPr="00890F6E">
        <w:rPr>
          <w:rFonts w:ascii="Arial" w:hAnsi="Arial" w:cs="Arial"/>
          <w:sz w:val="24"/>
          <w:szCs w:val="24"/>
        </w:rPr>
        <w:t xml:space="preserve">As a result to solve the concern that the pit will pose a high risk for scavenging and illegal mining, </w:t>
      </w:r>
      <w:r w:rsidR="00915993" w:rsidRPr="00890F6E">
        <w:rPr>
          <w:rFonts w:ascii="Arial" w:hAnsi="Arial" w:cs="Arial"/>
          <w:sz w:val="24"/>
          <w:szCs w:val="24"/>
        </w:rPr>
        <w:t xml:space="preserve">DCBM proposed </w:t>
      </w:r>
      <w:r w:rsidR="003018D7" w:rsidRPr="00890F6E">
        <w:rPr>
          <w:rFonts w:ascii="Arial" w:hAnsi="Arial" w:cs="Arial"/>
          <w:sz w:val="24"/>
          <w:szCs w:val="24"/>
        </w:rPr>
        <w:t xml:space="preserve">as </w:t>
      </w:r>
      <w:r w:rsidR="00915993" w:rsidRPr="00890F6E">
        <w:rPr>
          <w:rFonts w:ascii="Arial" w:hAnsi="Arial" w:cs="Arial"/>
          <w:sz w:val="24"/>
          <w:szCs w:val="24"/>
        </w:rPr>
        <w:t>a solution</w:t>
      </w:r>
      <w:r w:rsidR="002E540E" w:rsidRPr="00890F6E">
        <w:rPr>
          <w:rFonts w:ascii="Arial" w:hAnsi="Arial" w:cs="Arial"/>
          <w:sz w:val="24"/>
          <w:szCs w:val="24"/>
        </w:rPr>
        <w:t>,</w:t>
      </w:r>
      <w:r w:rsidR="00915993" w:rsidRPr="00890F6E">
        <w:rPr>
          <w:rFonts w:ascii="Arial" w:hAnsi="Arial" w:cs="Arial"/>
          <w:sz w:val="24"/>
          <w:szCs w:val="24"/>
        </w:rPr>
        <w:t xml:space="preserve"> that an enviro- berm with a vertical height of 4 m and width of 3 m be constructed along the perimeter of the open pit to restrict access by both humans and animals.  </w:t>
      </w:r>
    </w:p>
    <w:p w14:paraId="40D3CEB5" w14:textId="77777777" w:rsidR="00D24D72" w:rsidRDefault="00915993" w:rsidP="00682C7A">
      <w:pPr>
        <w:tabs>
          <w:tab w:val="left" w:pos="567"/>
        </w:tabs>
        <w:spacing w:after="0" w:line="360" w:lineRule="auto"/>
        <w:ind w:left="720" w:hanging="720"/>
        <w:jc w:val="both"/>
        <w:rPr>
          <w:rFonts w:ascii="Arial" w:hAnsi="Arial" w:cs="Arial"/>
          <w:sz w:val="24"/>
          <w:szCs w:val="24"/>
        </w:rPr>
      </w:pPr>
      <w:r>
        <w:rPr>
          <w:rFonts w:ascii="Arial" w:hAnsi="Arial" w:cs="Arial"/>
          <w:sz w:val="24"/>
          <w:szCs w:val="24"/>
        </w:rPr>
        <w:lastRenderedPageBreak/>
        <w:tab/>
      </w:r>
    </w:p>
    <w:p w14:paraId="4B25BC60" w14:textId="244E2BC1" w:rsidR="002E540E" w:rsidRDefault="00D24D72" w:rsidP="00682C7A">
      <w:pPr>
        <w:tabs>
          <w:tab w:val="left" w:pos="567"/>
        </w:tabs>
        <w:spacing w:after="0" w:line="360" w:lineRule="auto"/>
        <w:ind w:left="720" w:hanging="720"/>
        <w:jc w:val="both"/>
        <w:rPr>
          <w:rFonts w:ascii="Arial" w:hAnsi="Arial" w:cs="Arial"/>
          <w:sz w:val="24"/>
          <w:szCs w:val="24"/>
        </w:rPr>
      </w:pPr>
      <w:r>
        <w:rPr>
          <w:rFonts w:ascii="Arial" w:hAnsi="Arial" w:cs="Arial"/>
          <w:sz w:val="24"/>
          <w:szCs w:val="24"/>
        </w:rPr>
        <w:tab/>
      </w:r>
      <w:r w:rsidR="001D3469">
        <w:rPr>
          <w:rFonts w:ascii="Arial" w:hAnsi="Arial" w:cs="Arial"/>
          <w:sz w:val="24"/>
          <w:szCs w:val="24"/>
        </w:rPr>
        <w:t>[14</w:t>
      </w:r>
      <w:r w:rsidR="002E540E">
        <w:rPr>
          <w:rFonts w:ascii="Arial" w:hAnsi="Arial" w:cs="Arial"/>
          <w:sz w:val="24"/>
          <w:szCs w:val="24"/>
        </w:rPr>
        <w:t>.2]</w:t>
      </w:r>
      <w:r w:rsidR="002E540E">
        <w:rPr>
          <w:rFonts w:ascii="Arial" w:hAnsi="Arial" w:cs="Arial"/>
          <w:sz w:val="24"/>
          <w:szCs w:val="24"/>
        </w:rPr>
        <w:tab/>
      </w:r>
      <w:r w:rsidR="002E540E" w:rsidRPr="00E51004">
        <w:rPr>
          <w:rFonts w:ascii="Arial" w:hAnsi="Arial" w:cs="Arial"/>
          <w:b/>
          <w:sz w:val="24"/>
          <w:szCs w:val="24"/>
        </w:rPr>
        <w:t>In respect of</w:t>
      </w:r>
      <w:r w:rsidR="008F6EE4" w:rsidRPr="00E51004">
        <w:rPr>
          <w:rFonts w:ascii="Arial" w:hAnsi="Arial" w:cs="Arial"/>
          <w:b/>
          <w:sz w:val="24"/>
          <w:szCs w:val="24"/>
        </w:rPr>
        <w:t xml:space="preserve"> the </w:t>
      </w:r>
      <w:r w:rsidR="00915993" w:rsidRPr="00E51004">
        <w:rPr>
          <w:rFonts w:ascii="Arial" w:hAnsi="Arial" w:cs="Arial"/>
          <w:b/>
          <w:sz w:val="24"/>
          <w:szCs w:val="24"/>
        </w:rPr>
        <w:t>Department</w:t>
      </w:r>
      <w:r w:rsidR="00D1249C" w:rsidRPr="00E51004">
        <w:rPr>
          <w:rFonts w:ascii="Arial" w:hAnsi="Arial" w:cs="Arial"/>
          <w:b/>
          <w:sz w:val="24"/>
          <w:szCs w:val="24"/>
        </w:rPr>
        <w:t>’</w:t>
      </w:r>
      <w:r w:rsidRPr="00E51004">
        <w:rPr>
          <w:rFonts w:ascii="Arial" w:hAnsi="Arial" w:cs="Arial"/>
          <w:b/>
          <w:sz w:val="24"/>
          <w:szCs w:val="24"/>
        </w:rPr>
        <w:t>s</w:t>
      </w:r>
      <w:r w:rsidR="00915993" w:rsidRPr="00E51004">
        <w:rPr>
          <w:rFonts w:ascii="Arial" w:hAnsi="Arial" w:cs="Arial"/>
          <w:b/>
          <w:sz w:val="24"/>
          <w:szCs w:val="24"/>
        </w:rPr>
        <w:t xml:space="preserve"> request for a </w:t>
      </w:r>
      <w:r w:rsidR="004A5D3E" w:rsidRPr="00E51004">
        <w:rPr>
          <w:rFonts w:ascii="Arial" w:hAnsi="Arial" w:cs="Arial"/>
          <w:b/>
          <w:sz w:val="24"/>
          <w:szCs w:val="24"/>
        </w:rPr>
        <w:t xml:space="preserve">practical plan for </w:t>
      </w:r>
      <w:r w:rsidR="00915993" w:rsidRPr="00E51004">
        <w:rPr>
          <w:rFonts w:ascii="Arial" w:hAnsi="Arial" w:cs="Arial"/>
          <w:b/>
          <w:sz w:val="24"/>
          <w:szCs w:val="24"/>
        </w:rPr>
        <w:t xml:space="preserve">future </w:t>
      </w:r>
      <w:r w:rsidR="004A5D3E" w:rsidRPr="00E51004">
        <w:rPr>
          <w:rFonts w:ascii="Arial" w:hAnsi="Arial" w:cs="Arial"/>
          <w:b/>
          <w:sz w:val="24"/>
          <w:szCs w:val="24"/>
        </w:rPr>
        <w:t>land uses that would not encourage scavenging and illegal mining</w:t>
      </w:r>
      <w:r w:rsidR="00E51004">
        <w:rPr>
          <w:rFonts w:ascii="Arial" w:hAnsi="Arial" w:cs="Arial"/>
          <w:sz w:val="24"/>
          <w:szCs w:val="24"/>
        </w:rPr>
        <w:t xml:space="preserve"> -</w:t>
      </w:r>
      <w:r w:rsidR="004A5D3E">
        <w:rPr>
          <w:rFonts w:ascii="Arial" w:hAnsi="Arial" w:cs="Arial"/>
          <w:sz w:val="24"/>
          <w:szCs w:val="24"/>
        </w:rPr>
        <w:t xml:space="preserve"> DBCM indicated that a comprehensive surface environmental rehabilitation was completed. This included</w:t>
      </w:r>
      <w:r w:rsidR="00196A0F">
        <w:rPr>
          <w:rFonts w:ascii="Arial" w:hAnsi="Arial" w:cs="Arial"/>
          <w:sz w:val="24"/>
          <w:szCs w:val="24"/>
        </w:rPr>
        <w:t xml:space="preserve"> </w:t>
      </w:r>
      <w:r w:rsidR="004A5D3E">
        <w:rPr>
          <w:rFonts w:ascii="Arial" w:hAnsi="Arial" w:cs="Arial"/>
          <w:sz w:val="24"/>
          <w:szCs w:val="24"/>
        </w:rPr>
        <w:t>the</w:t>
      </w:r>
      <w:r w:rsidR="00196A0F">
        <w:rPr>
          <w:rFonts w:ascii="Arial" w:hAnsi="Arial" w:cs="Arial"/>
          <w:sz w:val="24"/>
          <w:szCs w:val="24"/>
        </w:rPr>
        <w:t xml:space="preserve"> </w:t>
      </w:r>
      <w:r w:rsidR="004A5D3E">
        <w:rPr>
          <w:rFonts w:ascii="Arial" w:hAnsi="Arial" w:cs="Arial"/>
          <w:sz w:val="24"/>
          <w:szCs w:val="24"/>
        </w:rPr>
        <w:t>de</w:t>
      </w:r>
      <w:r w:rsidR="00BA3B69">
        <w:rPr>
          <w:rFonts w:ascii="Arial" w:hAnsi="Arial" w:cs="Arial"/>
          <w:sz w:val="24"/>
          <w:szCs w:val="24"/>
        </w:rPr>
        <w:t>-</w:t>
      </w:r>
      <w:r w:rsidR="004A5D3E">
        <w:rPr>
          <w:rFonts w:ascii="Arial" w:hAnsi="Arial" w:cs="Arial"/>
          <w:sz w:val="24"/>
          <w:szCs w:val="24"/>
        </w:rPr>
        <w:t>com</w:t>
      </w:r>
      <w:r w:rsidR="00BA3B69">
        <w:rPr>
          <w:rFonts w:ascii="Arial" w:hAnsi="Arial" w:cs="Arial"/>
          <w:sz w:val="24"/>
          <w:szCs w:val="24"/>
        </w:rPr>
        <w:t xml:space="preserve">missioning </w:t>
      </w:r>
      <w:r w:rsidR="00196A0F">
        <w:rPr>
          <w:rFonts w:ascii="Arial" w:hAnsi="Arial" w:cs="Arial"/>
          <w:sz w:val="24"/>
          <w:szCs w:val="24"/>
        </w:rPr>
        <w:t>a</w:t>
      </w:r>
      <w:r w:rsidR="004A5D3E">
        <w:rPr>
          <w:rFonts w:ascii="Arial" w:hAnsi="Arial" w:cs="Arial"/>
          <w:sz w:val="24"/>
          <w:szCs w:val="24"/>
        </w:rPr>
        <w:t>nd rehabi</w:t>
      </w:r>
      <w:r w:rsidR="00196A0F">
        <w:rPr>
          <w:rFonts w:ascii="Arial" w:hAnsi="Arial" w:cs="Arial"/>
          <w:sz w:val="24"/>
          <w:szCs w:val="24"/>
        </w:rPr>
        <w:t xml:space="preserve">litation </w:t>
      </w:r>
      <w:r w:rsidR="003018D7">
        <w:rPr>
          <w:rFonts w:ascii="Arial" w:hAnsi="Arial" w:cs="Arial"/>
          <w:sz w:val="24"/>
          <w:szCs w:val="24"/>
        </w:rPr>
        <w:t xml:space="preserve">of </w:t>
      </w:r>
      <w:r w:rsidR="00196A0F">
        <w:rPr>
          <w:rFonts w:ascii="Arial" w:hAnsi="Arial" w:cs="Arial"/>
          <w:sz w:val="24"/>
          <w:szCs w:val="24"/>
        </w:rPr>
        <w:t>all surface infrastructure</w:t>
      </w:r>
      <w:r w:rsidR="00BA3B69">
        <w:rPr>
          <w:rFonts w:ascii="Arial" w:hAnsi="Arial" w:cs="Arial"/>
          <w:sz w:val="24"/>
          <w:szCs w:val="24"/>
        </w:rPr>
        <w:t xml:space="preserve">, </w:t>
      </w:r>
      <w:r w:rsidR="00196A0F">
        <w:rPr>
          <w:rFonts w:ascii="Arial" w:hAnsi="Arial" w:cs="Arial"/>
          <w:sz w:val="24"/>
          <w:szCs w:val="24"/>
        </w:rPr>
        <w:t xml:space="preserve">all mineral residue facilities </w:t>
      </w:r>
      <w:r w:rsidR="00196A0F" w:rsidRPr="006F15D9">
        <w:rPr>
          <w:rFonts w:ascii="Arial" w:hAnsi="Arial" w:cs="Arial"/>
          <w:sz w:val="24"/>
          <w:szCs w:val="24"/>
        </w:rPr>
        <w:t>as well blasting waste rock into the open pit to cover</w:t>
      </w:r>
      <w:r w:rsidR="00BA3B69" w:rsidRPr="006F15D9">
        <w:rPr>
          <w:rFonts w:ascii="Arial" w:hAnsi="Arial" w:cs="Arial"/>
          <w:sz w:val="24"/>
          <w:szCs w:val="24"/>
        </w:rPr>
        <w:t xml:space="preserve"> any remaining diamond bearing material. </w:t>
      </w:r>
      <w:r w:rsidR="00E51004" w:rsidRPr="006F15D9">
        <w:rPr>
          <w:rFonts w:ascii="Arial" w:hAnsi="Arial" w:cs="Arial"/>
          <w:sz w:val="24"/>
          <w:szCs w:val="24"/>
        </w:rPr>
        <w:t>Whilst a</w:t>
      </w:r>
      <w:r w:rsidR="0031026D" w:rsidRPr="006F15D9">
        <w:rPr>
          <w:rFonts w:ascii="Arial" w:hAnsi="Arial" w:cs="Arial"/>
          <w:sz w:val="24"/>
          <w:szCs w:val="24"/>
        </w:rPr>
        <w:t xml:space="preserve">lso </w:t>
      </w:r>
      <w:r w:rsidR="00E51004" w:rsidRPr="006F15D9">
        <w:rPr>
          <w:rFonts w:ascii="Arial" w:hAnsi="Arial" w:cs="Arial"/>
          <w:sz w:val="24"/>
          <w:szCs w:val="24"/>
        </w:rPr>
        <w:t xml:space="preserve">mentioning </w:t>
      </w:r>
      <w:r w:rsidR="0031026D" w:rsidRPr="006F15D9">
        <w:rPr>
          <w:rFonts w:ascii="Arial" w:hAnsi="Arial" w:cs="Arial"/>
          <w:sz w:val="24"/>
          <w:szCs w:val="24"/>
        </w:rPr>
        <w:t>that t</w:t>
      </w:r>
      <w:r w:rsidR="00BA3B69" w:rsidRPr="006F15D9">
        <w:rPr>
          <w:rFonts w:ascii="Arial" w:hAnsi="Arial" w:cs="Arial"/>
          <w:sz w:val="24"/>
          <w:szCs w:val="24"/>
        </w:rPr>
        <w:t xml:space="preserve">he properties comprising of the Oaks mine </w:t>
      </w:r>
      <w:r w:rsidR="00104E9D" w:rsidRPr="006F15D9">
        <w:rPr>
          <w:rFonts w:ascii="Arial" w:hAnsi="Arial" w:cs="Arial"/>
          <w:sz w:val="24"/>
          <w:szCs w:val="24"/>
        </w:rPr>
        <w:t xml:space="preserve">have been </w:t>
      </w:r>
      <w:r w:rsidR="00BA3B69" w:rsidRPr="006F15D9">
        <w:rPr>
          <w:rFonts w:ascii="Arial" w:hAnsi="Arial" w:cs="Arial"/>
          <w:sz w:val="24"/>
          <w:szCs w:val="24"/>
        </w:rPr>
        <w:t>purchased</w:t>
      </w:r>
      <w:r w:rsidR="00E51004" w:rsidRPr="006F15D9">
        <w:rPr>
          <w:rFonts w:ascii="Arial" w:hAnsi="Arial" w:cs="Arial"/>
          <w:sz w:val="24"/>
          <w:szCs w:val="24"/>
        </w:rPr>
        <w:t xml:space="preserve"> </w:t>
      </w:r>
      <w:r w:rsidR="00BA3B69" w:rsidRPr="006F15D9">
        <w:rPr>
          <w:rFonts w:ascii="Arial" w:hAnsi="Arial" w:cs="Arial"/>
          <w:sz w:val="24"/>
          <w:szCs w:val="24"/>
        </w:rPr>
        <w:t xml:space="preserve">by a Game farmer. </w:t>
      </w:r>
      <w:r w:rsidR="00BA3B69">
        <w:rPr>
          <w:rFonts w:ascii="Arial" w:hAnsi="Arial" w:cs="Arial"/>
          <w:sz w:val="24"/>
          <w:szCs w:val="24"/>
        </w:rPr>
        <w:t xml:space="preserve">These farms </w:t>
      </w:r>
      <w:r w:rsidR="0031026D">
        <w:rPr>
          <w:rFonts w:ascii="Arial" w:hAnsi="Arial" w:cs="Arial"/>
          <w:sz w:val="24"/>
          <w:szCs w:val="24"/>
        </w:rPr>
        <w:t>surround</w:t>
      </w:r>
      <w:r w:rsidR="00BA3B69">
        <w:rPr>
          <w:rFonts w:ascii="Arial" w:hAnsi="Arial" w:cs="Arial"/>
          <w:sz w:val="24"/>
          <w:szCs w:val="24"/>
        </w:rPr>
        <w:t xml:space="preserve"> the </w:t>
      </w:r>
      <w:r w:rsidR="00104E9D">
        <w:rPr>
          <w:rFonts w:ascii="Arial" w:hAnsi="Arial" w:cs="Arial"/>
          <w:sz w:val="24"/>
          <w:szCs w:val="24"/>
        </w:rPr>
        <w:t xml:space="preserve">Oaks Mine situated some distance from the nearest public road as well as the access control exercised by the farmer which further restricts any access to the property and will further deter scavenging or illegal mining.  </w:t>
      </w:r>
    </w:p>
    <w:p w14:paraId="26E52DC8" w14:textId="77777777" w:rsidR="002E540E" w:rsidRDefault="002E540E" w:rsidP="00682C7A">
      <w:pPr>
        <w:tabs>
          <w:tab w:val="left" w:pos="567"/>
        </w:tabs>
        <w:spacing w:after="0" w:line="360" w:lineRule="auto"/>
        <w:ind w:left="720" w:hanging="720"/>
        <w:jc w:val="both"/>
        <w:rPr>
          <w:rFonts w:ascii="Arial" w:hAnsi="Arial" w:cs="Arial"/>
          <w:sz w:val="24"/>
          <w:szCs w:val="24"/>
        </w:rPr>
      </w:pPr>
    </w:p>
    <w:p w14:paraId="0A31F5AA" w14:textId="45E04A93" w:rsidR="00987F13" w:rsidRDefault="004D0E77" w:rsidP="00682C7A">
      <w:pPr>
        <w:tabs>
          <w:tab w:val="left" w:pos="567"/>
        </w:tabs>
        <w:spacing w:after="0" w:line="360" w:lineRule="auto"/>
        <w:ind w:left="720" w:hanging="720"/>
        <w:jc w:val="both"/>
        <w:rPr>
          <w:rFonts w:ascii="Arial" w:hAnsi="Arial" w:cs="Arial"/>
          <w:sz w:val="24"/>
          <w:szCs w:val="24"/>
        </w:rPr>
      </w:pPr>
      <w:r>
        <w:rPr>
          <w:rFonts w:ascii="Arial" w:hAnsi="Arial" w:cs="Arial"/>
          <w:sz w:val="24"/>
          <w:szCs w:val="24"/>
        </w:rPr>
        <w:tab/>
        <w:t>[1</w:t>
      </w:r>
      <w:r w:rsidR="001D3469">
        <w:rPr>
          <w:rFonts w:ascii="Arial" w:hAnsi="Arial" w:cs="Arial"/>
          <w:sz w:val="24"/>
          <w:szCs w:val="24"/>
        </w:rPr>
        <w:t>4</w:t>
      </w:r>
      <w:r w:rsidR="002E540E">
        <w:rPr>
          <w:rFonts w:ascii="Arial" w:hAnsi="Arial" w:cs="Arial"/>
          <w:sz w:val="24"/>
          <w:szCs w:val="24"/>
        </w:rPr>
        <w:t>.3]</w:t>
      </w:r>
      <w:r w:rsidR="002E540E">
        <w:rPr>
          <w:rFonts w:ascii="Arial" w:hAnsi="Arial" w:cs="Arial"/>
          <w:sz w:val="24"/>
          <w:szCs w:val="24"/>
        </w:rPr>
        <w:tab/>
      </w:r>
      <w:r w:rsidR="00104E9D" w:rsidRPr="00987F13">
        <w:rPr>
          <w:rFonts w:ascii="Arial" w:hAnsi="Arial" w:cs="Arial"/>
          <w:b/>
          <w:sz w:val="24"/>
          <w:szCs w:val="24"/>
        </w:rPr>
        <w:t xml:space="preserve">On the issue of all </w:t>
      </w:r>
      <w:r w:rsidR="00407ACE" w:rsidRPr="00987F13">
        <w:rPr>
          <w:rFonts w:ascii="Arial" w:hAnsi="Arial" w:cs="Arial"/>
          <w:b/>
          <w:sz w:val="24"/>
          <w:szCs w:val="24"/>
        </w:rPr>
        <w:t xml:space="preserve">relevant </w:t>
      </w:r>
      <w:r w:rsidR="00104E9D" w:rsidRPr="00987F13">
        <w:rPr>
          <w:rFonts w:ascii="Arial" w:hAnsi="Arial" w:cs="Arial"/>
          <w:b/>
          <w:sz w:val="24"/>
          <w:szCs w:val="24"/>
        </w:rPr>
        <w:t xml:space="preserve">stakeholders </w:t>
      </w:r>
      <w:r w:rsidR="00407ACE" w:rsidRPr="00987F13">
        <w:rPr>
          <w:rFonts w:ascii="Arial" w:hAnsi="Arial" w:cs="Arial"/>
          <w:b/>
          <w:sz w:val="24"/>
          <w:szCs w:val="24"/>
        </w:rPr>
        <w:t>and interested and affected parties to be thoroughly consulted</w:t>
      </w:r>
      <w:r w:rsidR="00E51004">
        <w:rPr>
          <w:rFonts w:ascii="Arial" w:hAnsi="Arial" w:cs="Arial"/>
          <w:b/>
          <w:sz w:val="24"/>
          <w:szCs w:val="24"/>
        </w:rPr>
        <w:t>,</w:t>
      </w:r>
      <w:r w:rsidR="00407ACE" w:rsidRPr="00987F13">
        <w:rPr>
          <w:rFonts w:ascii="Arial" w:hAnsi="Arial" w:cs="Arial"/>
          <w:b/>
          <w:sz w:val="24"/>
          <w:szCs w:val="24"/>
        </w:rPr>
        <w:t xml:space="preserve"> -</w:t>
      </w:r>
      <w:r w:rsidR="00407ACE">
        <w:rPr>
          <w:rFonts w:ascii="Arial" w:hAnsi="Arial" w:cs="Arial"/>
          <w:sz w:val="24"/>
          <w:szCs w:val="24"/>
        </w:rPr>
        <w:t xml:space="preserve"> </w:t>
      </w:r>
      <w:r w:rsidR="004F6DE3">
        <w:rPr>
          <w:rFonts w:ascii="Arial" w:hAnsi="Arial" w:cs="Arial"/>
          <w:sz w:val="24"/>
          <w:szCs w:val="24"/>
        </w:rPr>
        <w:t xml:space="preserve">DBCM submitted that </w:t>
      </w:r>
      <w:r w:rsidR="00935912">
        <w:rPr>
          <w:rFonts w:ascii="Arial" w:hAnsi="Arial" w:cs="Arial"/>
          <w:sz w:val="24"/>
          <w:szCs w:val="24"/>
        </w:rPr>
        <w:t>as part of the decommissioning and closure process that took place in 2009 various consultations took place with the Regulator and other interested and affected parties</w:t>
      </w:r>
      <w:r w:rsidR="00473B21">
        <w:rPr>
          <w:rFonts w:ascii="Arial" w:hAnsi="Arial" w:cs="Arial"/>
          <w:sz w:val="24"/>
          <w:szCs w:val="24"/>
        </w:rPr>
        <w:t>. D</w:t>
      </w:r>
      <w:r w:rsidR="00935912">
        <w:rPr>
          <w:rFonts w:ascii="Arial" w:hAnsi="Arial" w:cs="Arial"/>
          <w:sz w:val="24"/>
          <w:szCs w:val="24"/>
        </w:rPr>
        <w:t>BCM also ensures that regular meetings are held with the local land owners in the area.</w:t>
      </w:r>
    </w:p>
    <w:p w14:paraId="531A0612" w14:textId="77777777" w:rsidR="00987F13" w:rsidRDefault="00987F13" w:rsidP="00682C7A">
      <w:pPr>
        <w:tabs>
          <w:tab w:val="left" w:pos="567"/>
        </w:tabs>
        <w:spacing w:after="0" w:line="360" w:lineRule="auto"/>
        <w:ind w:left="720" w:hanging="720"/>
        <w:jc w:val="both"/>
        <w:rPr>
          <w:rFonts w:ascii="Arial" w:hAnsi="Arial" w:cs="Arial"/>
          <w:sz w:val="24"/>
          <w:szCs w:val="24"/>
        </w:rPr>
      </w:pPr>
    </w:p>
    <w:p w14:paraId="566D0481" w14:textId="4C0F540B" w:rsidR="00A315F8" w:rsidRDefault="00987F13" w:rsidP="00A315F8">
      <w:pPr>
        <w:spacing w:after="0" w:line="360" w:lineRule="auto"/>
        <w:jc w:val="both"/>
        <w:rPr>
          <w:rFonts w:ascii="Arial" w:hAnsi="Arial" w:cs="Arial"/>
          <w:sz w:val="24"/>
          <w:szCs w:val="24"/>
        </w:rPr>
      </w:pPr>
      <w:r>
        <w:rPr>
          <w:rFonts w:ascii="Arial" w:hAnsi="Arial" w:cs="Arial"/>
          <w:sz w:val="24"/>
          <w:szCs w:val="24"/>
        </w:rPr>
        <w:t>[1</w:t>
      </w:r>
      <w:r w:rsidR="001D3469">
        <w:rPr>
          <w:rFonts w:ascii="Arial" w:hAnsi="Arial" w:cs="Arial"/>
          <w:sz w:val="24"/>
          <w:szCs w:val="24"/>
        </w:rPr>
        <w:t>5</w:t>
      </w:r>
      <w:r>
        <w:rPr>
          <w:rFonts w:ascii="Arial" w:hAnsi="Arial" w:cs="Arial"/>
          <w:sz w:val="24"/>
          <w:szCs w:val="24"/>
        </w:rPr>
        <w:t>]</w:t>
      </w:r>
      <w:r>
        <w:rPr>
          <w:rFonts w:ascii="Arial" w:hAnsi="Arial" w:cs="Arial"/>
          <w:sz w:val="24"/>
          <w:szCs w:val="24"/>
        </w:rPr>
        <w:tab/>
      </w:r>
      <w:r w:rsidR="001E5297" w:rsidRPr="00F847DF">
        <w:rPr>
          <w:rFonts w:ascii="Arial" w:hAnsi="Arial" w:cs="Arial"/>
          <w:sz w:val="24"/>
          <w:szCs w:val="24"/>
        </w:rPr>
        <w:t xml:space="preserve">The </w:t>
      </w:r>
      <w:r w:rsidR="00F75530">
        <w:rPr>
          <w:rFonts w:ascii="Arial" w:hAnsi="Arial" w:cs="Arial"/>
          <w:sz w:val="24"/>
          <w:szCs w:val="24"/>
        </w:rPr>
        <w:t>1</w:t>
      </w:r>
      <w:r w:rsidR="00F75530">
        <w:rPr>
          <w:rFonts w:ascii="Arial" w:hAnsi="Arial" w:cs="Arial"/>
          <w:sz w:val="24"/>
          <w:szCs w:val="24"/>
          <w:vertAlign w:val="superscript"/>
        </w:rPr>
        <w:t xml:space="preserve">st </w:t>
      </w:r>
      <w:r w:rsidR="00F75530">
        <w:rPr>
          <w:rFonts w:ascii="Arial" w:hAnsi="Arial" w:cs="Arial"/>
          <w:sz w:val="24"/>
          <w:szCs w:val="24"/>
        </w:rPr>
        <w:t xml:space="preserve">Respondent </w:t>
      </w:r>
      <w:r w:rsidR="001E5297">
        <w:rPr>
          <w:rFonts w:ascii="Arial" w:hAnsi="Arial" w:cs="Arial"/>
          <w:sz w:val="24"/>
          <w:szCs w:val="24"/>
        </w:rPr>
        <w:t xml:space="preserve">in a letter dated </w:t>
      </w:r>
      <w:r w:rsidR="001E5297" w:rsidRPr="001356BA">
        <w:rPr>
          <w:rFonts w:ascii="Arial" w:hAnsi="Arial" w:cs="Arial"/>
          <w:sz w:val="24"/>
          <w:szCs w:val="24"/>
        </w:rPr>
        <w:t xml:space="preserve">23 October 2018 </w:t>
      </w:r>
      <w:r w:rsidR="001E5297" w:rsidRPr="00F847DF">
        <w:rPr>
          <w:rFonts w:ascii="Arial" w:hAnsi="Arial" w:cs="Arial"/>
          <w:sz w:val="24"/>
          <w:szCs w:val="24"/>
        </w:rPr>
        <w:t xml:space="preserve">rejected </w:t>
      </w:r>
      <w:r w:rsidR="00A315F8">
        <w:rPr>
          <w:rFonts w:ascii="Arial" w:hAnsi="Arial" w:cs="Arial"/>
          <w:sz w:val="24"/>
          <w:szCs w:val="24"/>
        </w:rPr>
        <w:t>DBCM’</w:t>
      </w:r>
      <w:r w:rsidR="00A315F8" w:rsidRPr="00F847DF">
        <w:rPr>
          <w:rFonts w:ascii="Arial" w:hAnsi="Arial" w:cs="Arial"/>
          <w:sz w:val="24"/>
          <w:szCs w:val="24"/>
        </w:rPr>
        <w:t xml:space="preserve">s </w:t>
      </w:r>
      <w:r w:rsidR="00F75530">
        <w:rPr>
          <w:rFonts w:ascii="Arial" w:hAnsi="Arial" w:cs="Arial"/>
          <w:sz w:val="24"/>
          <w:szCs w:val="24"/>
        </w:rPr>
        <w:t xml:space="preserve">submitted </w:t>
      </w:r>
      <w:r w:rsidR="001E5297" w:rsidRPr="00F847DF">
        <w:rPr>
          <w:rFonts w:ascii="Arial" w:hAnsi="Arial" w:cs="Arial"/>
          <w:sz w:val="24"/>
          <w:szCs w:val="24"/>
        </w:rPr>
        <w:t>Oaks Mine Closure Application and Closure Plan (“</w:t>
      </w:r>
      <w:r w:rsidR="001063F6" w:rsidRPr="001063F6">
        <w:rPr>
          <w:rFonts w:ascii="Arial" w:hAnsi="Arial" w:cs="Arial"/>
          <w:b/>
          <w:sz w:val="24"/>
          <w:szCs w:val="24"/>
        </w:rPr>
        <w:t>3</w:t>
      </w:r>
      <w:r w:rsidR="001063F6" w:rsidRPr="001063F6">
        <w:rPr>
          <w:rFonts w:ascii="Arial" w:hAnsi="Arial" w:cs="Arial"/>
          <w:b/>
          <w:sz w:val="24"/>
          <w:szCs w:val="24"/>
          <w:vertAlign w:val="superscript"/>
        </w:rPr>
        <w:t>rd</w:t>
      </w:r>
      <w:r w:rsidR="001063F6" w:rsidRPr="001063F6">
        <w:rPr>
          <w:rFonts w:ascii="Arial" w:hAnsi="Arial" w:cs="Arial"/>
          <w:b/>
          <w:sz w:val="24"/>
          <w:szCs w:val="24"/>
        </w:rPr>
        <w:t xml:space="preserve"> </w:t>
      </w:r>
      <w:r w:rsidR="001E5297" w:rsidRPr="005729C1">
        <w:rPr>
          <w:rFonts w:ascii="Arial" w:hAnsi="Arial" w:cs="Arial"/>
          <w:b/>
          <w:sz w:val="24"/>
          <w:szCs w:val="24"/>
        </w:rPr>
        <w:t>Decision</w:t>
      </w:r>
      <w:r w:rsidR="001E5297" w:rsidRPr="00F847DF">
        <w:rPr>
          <w:rFonts w:ascii="Arial" w:hAnsi="Arial" w:cs="Arial"/>
          <w:sz w:val="24"/>
          <w:szCs w:val="24"/>
        </w:rPr>
        <w:t xml:space="preserve">”) </w:t>
      </w:r>
      <w:r w:rsidR="001E5297">
        <w:rPr>
          <w:rFonts w:ascii="Arial" w:hAnsi="Arial" w:cs="Arial"/>
          <w:sz w:val="24"/>
          <w:szCs w:val="24"/>
        </w:rPr>
        <w:t xml:space="preserve">on the basis that </w:t>
      </w:r>
      <w:r w:rsidR="00A315F8">
        <w:rPr>
          <w:rFonts w:ascii="Arial" w:hAnsi="Arial" w:cs="Arial"/>
          <w:sz w:val="24"/>
          <w:szCs w:val="24"/>
        </w:rPr>
        <w:t xml:space="preserve">it want the pit to be well rehabilitated and </w:t>
      </w:r>
      <w:r w:rsidR="001E5297">
        <w:rPr>
          <w:rFonts w:ascii="Arial" w:hAnsi="Arial" w:cs="Arial"/>
          <w:sz w:val="24"/>
          <w:szCs w:val="24"/>
        </w:rPr>
        <w:t>DBCM has no intention to close the pit</w:t>
      </w:r>
      <w:r w:rsidR="00A315F8">
        <w:rPr>
          <w:rFonts w:ascii="Arial" w:hAnsi="Arial" w:cs="Arial"/>
          <w:sz w:val="24"/>
          <w:szCs w:val="24"/>
        </w:rPr>
        <w:t xml:space="preserve">. </w:t>
      </w:r>
      <w:r w:rsidR="00393993">
        <w:rPr>
          <w:rFonts w:ascii="Arial" w:hAnsi="Arial" w:cs="Arial"/>
          <w:sz w:val="24"/>
          <w:szCs w:val="24"/>
        </w:rPr>
        <w:t>It called upon DBCM to submit a new Closure Plan that will indicate how the pit will be rehabilitated and include proof of results of consultations with interested affected parties</w:t>
      </w:r>
      <w:r w:rsidR="00393993" w:rsidRPr="00393993">
        <w:rPr>
          <w:rFonts w:ascii="Arial" w:hAnsi="Arial" w:cs="Arial"/>
          <w:sz w:val="24"/>
          <w:szCs w:val="24"/>
        </w:rPr>
        <w:t xml:space="preserve"> </w:t>
      </w:r>
      <w:r w:rsidR="00393993">
        <w:rPr>
          <w:rFonts w:ascii="Arial" w:hAnsi="Arial" w:cs="Arial"/>
          <w:sz w:val="24"/>
          <w:szCs w:val="24"/>
        </w:rPr>
        <w:t>and the Department</w:t>
      </w:r>
      <w:r w:rsidR="00A20E30">
        <w:rPr>
          <w:rFonts w:ascii="Arial" w:hAnsi="Arial" w:cs="Arial"/>
          <w:sz w:val="24"/>
          <w:szCs w:val="24"/>
        </w:rPr>
        <w:t>,</w:t>
      </w:r>
      <w:r w:rsidR="00393993">
        <w:rPr>
          <w:rFonts w:ascii="Arial" w:hAnsi="Arial" w:cs="Arial"/>
          <w:sz w:val="24"/>
          <w:szCs w:val="24"/>
        </w:rPr>
        <w:t xml:space="preserve"> prior </w:t>
      </w:r>
      <w:r w:rsidR="004D0D98">
        <w:rPr>
          <w:rFonts w:ascii="Arial" w:hAnsi="Arial" w:cs="Arial"/>
          <w:sz w:val="24"/>
          <w:szCs w:val="24"/>
        </w:rPr>
        <w:t xml:space="preserve">its </w:t>
      </w:r>
      <w:r w:rsidR="00393993">
        <w:rPr>
          <w:rFonts w:ascii="Arial" w:hAnsi="Arial" w:cs="Arial"/>
          <w:sz w:val="24"/>
          <w:szCs w:val="24"/>
        </w:rPr>
        <w:t xml:space="preserve">submission of the revised Closure Plan. </w:t>
      </w:r>
    </w:p>
    <w:p w14:paraId="61B706D2" w14:textId="77777777" w:rsidR="00A315F8" w:rsidRDefault="00A315F8" w:rsidP="00A315F8">
      <w:pPr>
        <w:spacing w:after="0" w:line="360" w:lineRule="auto"/>
        <w:jc w:val="both"/>
        <w:rPr>
          <w:rFonts w:ascii="Arial" w:hAnsi="Arial" w:cs="Arial"/>
          <w:sz w:val="24"/>
          <w:szCs w:val="24"/>
        </w:rPr>
      </w:pPr>
    </w:p>
    <w:p w14:paraId="1959F145" w14:textId="66C4A9FB" w:rsidR="00A315F8" w:rsidRDefault="001D3469" w:rsidP="00A315F8">
      <w:pPr>
        <w:spacing w:after="0" w:line="360" w:lineRule="auto"/>
        <w:jc w:val="both"/>
        <w:rPr>
          <w:rFonts w:ascii="Arial" w:hAnsi="Arial" w:cs="Arial"/>
          <w:sz w:val="24"/>
          <w:szCs w:val="24"/>
        </w:rPr>
      </w:pPr>
      <w:r>
        <w:rPr>
          <w:rFonts w:ascii="Arial" w:hAnsi="Arial" w:cs="Arial"/>
          <w:sz w:val="24"/>
          <w:szCs w:val="24"/>
        </w:rPr>
        <w:t>[16</w:t>
      </w:r>
      <w:r w:rsidR="00A315F8">
        <w:rPr>
          <w:rFonts w:ascii="Arial" w:hAnsi="Arial" w:cs="Arial"/>
          <w:sz w:val="24"/>
          <w:szCs w:val="24"/>
        </w:rPr>
        <w:t>]</w:t>
      </w:r>
      <w:r w:rsidR="00A315F8">
        <w:rPr>
          <w:rFonts w:ascii="Arial" w:hAnsi="Arial" w:cs="Arial"/>
          <w:sz w:val="24"/>
          <w:szCs w:val="24"/>
        </w:rPr>
        <w:tab/>
      </w:r>
      <w:r w:rsidR="00A315F8" w:rsidRPr="00F847DF">
        <w:rPr>
          <w:rFonts w:ascii="Arial" w:hAnsi="Arial" w:cs="Arial"/>
          <w:sz w:val="24"/>
          <w:szCs w:val="24"/>
        </w:rPr>
        <w:t xml:space="preserve">On 23 April 2019 </w:t>
      </w:r>
      <w:r w:rsidR="00A20E30">
        <w:rPr>
          <w:rFonts w:ascii="Arial" w:hAnsi="Arial" w:cs="Arial"/>
          <w:sz w:val="24"/>
          <w:szCs w:val="24"/>
        </w:rPr>
        <w:t>t</w:t>
      </w:r>
      <w:r w:rsidR="00A315F8" w:rsidRPr="00F847DF">
        <w:rPr>
          <w:rFonts w:ascii="Arial" w:hAnsi="Arial" w:cs="Arial"/>
          <w:sz w:val="24"/>
          <w:szCs w:val="24"/>
        </w:rPr>
        <w:t xml:space="preserve">he </w:t>
      </w:r>
      <w:r w:rsidR="00A20E30">
        <w:rPr>
          <w:rFonts w:ascii="Arial" w:hAnsi="Arial" w:cs="Arial"/>
          <w:sz w:val="24"/>
          <w:szCs w:val="24"/>
        </w:rPr>
        <w:t>1</w:t>
      </w:r>
      <w:r w:rsidR="00A20E30" w:rsidRPr="00A20E30">
        <w:rPr>
          <w:rFonts w:ascii="Arial" w:hAnsi="Arial" w:cs="Arial"/>
          <w:sz w:val="24"/>
          <w:szCs w:val="24"/>
          <w:vertAlign w:val="superscript"/>
        </w:rPr>
        <w:t>st</w:t>
      </w:r>
      <w:r w:rsidR="00A20E30">
        <w:rPr>
          <w:rFonts w:ascii="Arial" w:hAnsi="Arial" w:cs="Arial"/>
          <w:sz w:val="24"/>
          <w:szCs w:val="24"/>
        </w:rPr>
        <w:t xml:space="preserve"> Respondent</w:t>
      </w:r>
      <w:r w:rsidR="00A315F8" w:rsidRPr="00F847DF">
        <w:rPr>
          <w:rFonts w:ascii="Arial" w:hAnsi="Arial" w:cs="Arial"/>
          <w:sz w:val="24"/>
          <w:szCs w:val="24"/>
        </w:rPr>
        <w:t xml:space="preserve"> wrote a Memorandum to the Chief Director: Legal Service maintain</w:t>
      </w:r>
      <w:r w:rsidR="00A315F8">
        <w:rPr>
          <w:rFonts w:ascii="Arial" w:hAnsi="Arial" w:cs="Arial"/>
          <w:sz w:val="24"/>
          <w:szCs w:val="24"/>
        </w:rPr>
        <w:t xml:space="preserve">ing </w:t>
      </w:r>
      <w:r w:rsidR="00A315F8" w:rsidRPr="00F847DF">
        <w:rPr>
          <w:rFonts w:ascii="Arial" w:hAnsi="Arial" w:cs="Arial"/>
          <w:sz w:val="24"/>
          <w:szCs w:val="24"/>
        </w:rPr>
        <w:t>that the pit at the Oaks Mine must be backfilled on the basis of health and safety reasons</w:t>
      </w:r>
      <w:r w:rsidR="00900E72">
        <w:rPr>
          <w:rFonts w:ascii="Arial" w:hAnsi="Arial" w:cs="Arial"/>
          <w:sz w:val="24"/>
          <w:szCs w:val="24"/>
        </w:rPr>
        <w:t>.</w:t>
      </w:r>
      <w:r w:rsidR="00A315F8" w:rsidRPr="00F847DF">
        <w:rPr>
          <w:rFonts w:ascii="Arial" w:hAnsi="Arial" w:cs="Arial"/>
          <w:sz w:val="24"/>
          <w:szCs w:val="24"/>
        </w:rPr>
        <w:t xml:space="preserve"> </w:t>
      </w:r>
    </w:p>
    <w:p w14:paraId="378D396E" w14:textId="77777777" w:rsidR="00331DA6" w:rsidRDefault="00331DA6" w:rsidP="00A315F8">
      <w:pPr>
        <w:spacing w:after="0" w:line="360" w:lineRule="auto"/>
        <w:jc w:val="both"/>
        <w:rPr>
          <w:rFonts w:ascii="Arial" w:hAnsi="Arial" w:cs="Arial"/>
          <w:sz w:val="24"/>
          <w:szCs w:val="24"/>
        </w:rPr>
      </w:pPr>
    </w:p>
    <w:p w14:paraId="767561EF" w14:textId="05B840C9" w:rsidR="00A315F8" w:rsidRDefault="004D0E77" w:rsidP="00A315F8">
      <w:pPr>
        <w:spacing w:after="0" w:line="360" w:lineRule="auto"/>
        <w:jc w:val="both"/>
        <w:rPr>
          <w:rFonts w:ascii="Arial" w:hAnsi="Arial" w:cs="Arial"/>
          <w:sz w:val="24"/>
          <w:szCs w:val="24"/>
        </w:rPr>
      </w:pPr>
      <w:r>
        <w:rPr>
          <w:rFonts w:ascii="Arial" w:hAnsi="Arial" w:cs="Arial"/>
          <w:sz w:val="24"/>
          <w:szCs w:val="24"/>
        </w:rPr>
        <w:t>[1</w:t>
      </w:r>
      <w:r w:rsidR="001D3469">
        <w:rPr>
          <w:rFonts w:ascii="Arial" w:hAnsi="Arial" w:cs="Arial"/>
          <w:sz w:val="24"/>
          <w:szCs w:val="24"/>
        </w:rPr>
        <w:t>7</w:t>
      </w:r>
      <w:r w:rsidR="00A315F8">
        <w:rPr>
          <w:rFonts w:ascii="Arial" w:hAnsi="Arial" w:cs="Arial"/>
          <w:sz w:val="24"/>
          <w:szCs w:val="24"/>
        </w:rPr>
        <w:t>]</w:t>
      </w:r>
      <w:r w:rsidR="00A315F8">
        <w:rPr>
          <w:rFonts w:ascii="Arial" w:hAnsi="Arial" w:cs="Arial"/>
          <w:sz w:val="24"/>
          <w:szCs w:val="24"/>
        </w:rPr>
        <w:tab/>
      </w:r>
      <w:r w:rsidR="00667979" w:rsidRPr="00667979">
        <w:rPr>
          <w:rFonts w:ascii="Arial" w:hAnsi="Arial" w:cs="Arial"/>
          <w:b/>
          <w:sz w:val="24"/>
          <w:szCs w:val="24"/>
        </w:rPr>
        <w:t>DBCM submitted its Closure Application and an approved EMP Plan on 16 October 2019</w:t>
      </w:r>
      <w:r w:rsidR="00667979">
        <w:rPr>
          <w:rFonts w:ascii="Arial" w:hAnsi="Arial" w:cs="Arial"/>
          <w:b/>
          <w:sz w:val="24"/>
          <w:szCs w:val="24"/>
        </w:rPr>
        <w:t>, i</w:t>
      </w:r>
      <w:r w:rsidR="006F0C3E">
        <w:rPr>
          <w:rFonts w:ascii="Arial" w:hAnsi="Arial" w:cs="Arial"/>
          <w:sz w:val="24"/>
          <w:szCs w:val="24"/>
        </w:rPr>
        <w:t>n response to the letter of 23 October 2018</w:t>
      </w:r>
      <w:r w:rsidR="006F0C3E" w:rsidRPr="00014835">
        <w:rPr>
          <w:rFonts w:ascii="Arial" w:hAnsi="Arial" w:cs="Arial"/>
          <w:sz w:val="24"/>
          <w:szCs w:val="24"/>
        </w:rPr>
        <w:t xml:space="preserve"> </w:t>
      </w:r>
      <w:r w:rsidR="006F0C3E">
        <w:rPr>
          <w:rFonts w:ascii="Arial" w:hAnsi="Arial" w:cs="Arial"/>
          <w:sz w:val="24"/>
          <w:szCs w:val="24"/>
        </w:rPr>
        <w:t>from the DMRE</w:t>
      </w:r>
      <w:r w:rsidR="007971A0">
        <w:rPr>
          <w:rFonts w:ascii="Arial" w:hAnsi="Arial" w:cs="Arial"/>
          <w:sz w:val="24"/>
          <w:szCs w:val="24"/>
        </w:rPr>
        <w:t xml:space="preserve"> alleging that; </w:t>
      </w:r>
      <w:r w:rsidR="00331DA6">
        <w:rPr>
          <w:rFonts w:ascii="Arial" w:hAnsi="Arial" w:cs="Arial"/>
          <w:sz w:val="24"/>
          <w:szCs w:val="24"/>
        </w:rPr>
        <w:t xml:space="preserve">the Oaks Mine had been successfully rehabilitated in accordance with its </w:t>
      </w:r>
      <w:r w:rsidR="00331DA6">
        <w:rPr>
          <w:rFonts w:ascii="Arial" w:hAnsi="Arial" w:cs="Arial"/>
          <w:sz w:val="24"/>
          <w:szCs w:val="24"/>
        </w:rPr>
        <w:lastRenderedPageBreak/>
        <w:t xml:space="preserve">approved authorisation. </w:t>
      </w:r>
      <w:r w:rsidR="007971A0">
        <w:rPr>
          <w:rFonts w:ascii="Arial" w:hAnsi="Arial" w:cs="Arial"/>
          <w:sz w:val="24"/>
          <w:szCs w:val="24"/>
        </w:rPr>
        <w:t>Th</w:t>
      </w:r>
      <w:r w:rsidR="00331DA6">
        <w:rPr>
          <w:rFonts w:ascii="Arial" w:hAnsi="Arial" w:cs="Arial"/>
          <w:sz w:val="24"/>
          <w:szCs w:val="24"/>
        </w:rPr>
        <w:t xml:space="preserve">e delay </w:t>
      </w:r>
      <w:r w:rsidR="00014835">
        <w:rPr>
          <w:rFonts w:ascii="Arial" w:hAnsi="Arial" w:cs="Arial"/>
          <w:sz w:val="24"/>
          <w:szCs w:val="24"/>
        </w:rPr>
        <w:t xml:space="preserve">in issuing of the Closure Certificate was </w:t>
      </w:r>
      <w:r w:rsidR="00331DA6">
        <w:rPr>
          <w:rFonts w:ascii="Arial" w:hAnsi="Arial" w:cs="Arial"/>
          <w:sz w:val="24"/>
          <w:szCs w:val="24"/>
        </w:rPr>
        <w:t>in contravention of s 6 of the MPRDA which requires the DMR</w:t>
      </w:r>
      <w:r w:rsidR="00037AB6">
        <w:rPr>
          <w:rFonts w:ascii="Arial" w:hAnsi="Arial" w:cs="Arial"/>
          <w:sz w:val="24"/>
          <w:szCs w:val="24"/>
        </w:rPr>
        <w:t>E</w:t>
      </w:r>
      <w:r w:rsidR="00331DA6">
        <w:rPr>
          <w:rFonts w:ascii="Arial" w:hAnsi="Arial" w:cs="Arial"/>
          <w:sz w:val="24"/>
          <w:szCs w:val="24"/>
        </w:rPr>
        <w:t xml:space="preserve"> to comply with the principles of </w:t>
      </w:r>
      <w:r w:rsidR="001D3469">
        <w:rPr>
          <w:rFonts w:ascii="Arial" w:hAnsi="Arial" w:cs="Arial"/>
          <w:sz w:val="24"/>
          <w:szCs w:val="24"/>
        </w:rPr>
        <w:t>a</w:t>
      </w:r>
      <w:r w:rsidR="00331DA6">
        <w:rPr>
          <w:rFonts w:ascii="Arial" w:hAnsi="Arial" w:cs="Arial"/>
          <w:sz w:val="24"/>
          <w:szCs w:val="24"/>
        </w:rPr>
        <w:t xml:space="preserve">dministrative justice </w:t>
      </w:r>
      <w:r w:rsidR="007971A0">
        <w:rPr>
          <w:rFonts w:ascii="Arial" w:hAnsi="Arial" w:cs="Arial"/>
          <w:sz w:val="24"/>
          <w:szCs w:val="24"/>
        </w:rPr>
        <w:t xml:space="preserve">that </w:t>
      </w:r>
      <w:r w:rsidR="00331DA6">
        <w:rPr>
          <w:rFonts w:ascii="Arial" w:hAnsi="Arial" w:cs="Arial"/>
          <w:sz w:val="24"/>
          <w:szCs w:val="24"/>
        </w:rPr>
        <w:t xml:space="preserve">requires decisions to be </w:t>
      </w:r>
      <w:r w:rsidR="00EC1DAA">
        <w:rPr>
          <w:rFonts w:ascii="Arial" w:hAnsi="Arial" w:cs="Arial"/>
          <w:sz w:val="24"/>
          <w:szCs w:val="24"/>
        </w:rPr>
        <w:t xml:space="preserve">taken within a reasonable time </w:t>
      </w:r>
      <w:r w:rsidR="007971A0">
        <w:rPr>
          <w:rFonts w:ascii="Arial" w:hAnsi="Arial" w:cs="Arial"/>
          <w:sz w:val="24"/>
          <w:szCs w:val="24"/>
        </w:rPr>
        <w:t xml:space="preserve">as </w:t>
      </w:r>
      <w:r w:rsidR="00EC1DAA">
        <w:rPr>
          <w:rFonts w:ascii="Arial" w:hAnsi="Arial" w:cs="Arial"/>
          <w:sz w:val="24"/>
          <w:szCs w:val="24"/>
        </w:rPr>
        <w:t>expressly entrenched in s 6 of PAJA</w:t>
      </w:r>
      <w:r w:rsidR="00331DA6">
        <w:rPr>
          <w:rFonts w:ascii="Arial" w:hAnsi="Arial" w:cs="Arial"/>
          <w:sz w:val="24"/>
          <w:szCs w:val="24"/>
        </w:rPr>
        <w:t xml:space="preserve">. </w:t>
      </w:r>
      <w:r w:rsidR="00EC1DAA">
        <w:rPr>
          <w:rFonts w:ascii="Arial" w:hAnsi="Arial" w:cs="Arial"/>
          <w:sz w:val="24"/>
          <w:szCs w:val="24"/>
        </w:rPr>
        <w:t xml:space="preserve">It </w:t>
      </w:r>
      <w:r w:rsidR="007971A0">
        <w:rPr>
          <w:rFonts w:ascii="Arial" w:hAnsi="Arial" w:cs="Arial"/>
          <w:sz w:val="24"/>
          <w:szCs w:val="24"/>
        </w:rPr>
        <w:t xml:space="preserve">wished </w:t>
      </w:r>
      <w:r w:rsidR="00EC1DAA">
        <w:rPr>
          <w:rFonts w:ascii="Arial" w:hAnsi="Arial" w:cs="Arial"/>
          <w:sz w:val="24"/>
          <w:szCs w:val="24"/>
        </w:rPr>
        <w:t>to engage the DMRE</w:t>
      </w:r>
      <w:r w:rsidR="00014835">
        <w:rPr>
          <w:rFonts w:ascii="Arial" w:hAnsi="Arial" w:cs="Arial"/>
          <w:sz w:val="24"/>
          <w:szCs w:val="24"/>
        </w:rPr>
        <w:t xml:space="preserve"> so as to provide all the clarifications.</w:t>
      </w:r>
      <w:r w:rsidR="00EC1DAA">
        <w:rPr>
          <w:rFonts w:ascii="Arial" w:hAnsi="Arial" w:cs="Arial"/>
          <w:sz w:val="24"/>
          <w:szCs w:val="24"/>
        </w:rPr>
        <w:t xml:space="preserve"> </w:t>
      </w:r>
      <w:r w:rsidR="007971A0">
        <w:rPr>
          <w:rFonts w:ascii="Arial" w:hAnsi="Arial" w:cs="Arial"/>
          <w:sz w:val="24"/>
          <w:szCs w:val="24"/>
        </w:rPr>
        <w:t>T</w:t>
      </w:r>
      <w:r w:rsidR="0036103E">
        <w:rPr>
          <w:rFonts w:ascii="Arial" w:hAnsi="Arial" w:cs="Arial"/>
          <w:sz w:val="24"/>
          <w:szCs w:val="24"/>
        </w:rPr>
        <w:t>he requirement by DMRE that DBCM submits a new Closure Application on the basis that the pit must be backfilled is neither rational nor procedurally fair as required by s 6 of PAJA</w:t>
      </w:r>
      <w:r w:rsidR="001D3469">
        <w:rPr>
          <w:rFonts w:ascii="Arial" w:hAnsi="Arial" w:cs="Arial"/>
          <w:sz w:val="24"/>
          <w:szCs w:val="24"/>
        </w:rPr>
        <w:t>. T</w:t>
      </w:r>
      <w:r w:rsidR="0036103E">
        <w:rPr>
          <w:rFonts w:ascii="Arial" w:hAnsi="Arial" w:cs="Arial"/>
          <w:sz w:val="24"/>
          <w:szCs w:val="24"/>
        </w:rPr>
        <w:t>he requirement that the pit be backfilled must be rationally connected to the EMP of the mine</w:t>
      </w:r>
      <w:r w:rsidR="00CA591D">
        <w:rPr>
          <w:rFonts w:ascii="Arial" w:hAnsi="Arial" w:cs="Arial"/>
          <w:sz w:val="24"/>
          <w:szCs w:val="24"/>
        </w:rPr>
        <w:t>)</w:t>
      </w:r>
      <w:r w:rsidR="0036103E">
        <w:rPr>
          <w:rFonts w:ascii="Arial" w:hAnsi="Arial" w:cs="Arial"/>
          <w:sz w:val="24"/>
          <w:szCs w:val="24"/>
        </w:rPr>
        <w:t xml:space="preserve">. </w:t>
      </w:r>
      <w:r w:rsidR="007971A0" w:rsidRPr="001D3469">
        <w:rPr>
          <w:rFonts w:ascii="Arial" w:hAnsi="Arial" w:cs="Arial"/>
          <w:sz w:val="24"/>
          <w:szCs w:val="24"/>
        </w:rPr>
        <w:t xml:space="preserve">The </w:t>
      </w:r>
      <w:r w:rsidR="00677598" w:rsidRPr="001D3469">
        <w:rPr>
          <w:rFonts w:ascii="Arial" w:hAnsi="Arial" w:cs="Arial"/>
          <w:sz w:val="24"/>
          <w:szCs w:val="24"/>
        </w:rPr>
        <w:t xml:space="preserve">DMRE has raised safety issues of the open pit throughout the closure process, and no environmental issues. </w:t>
      </w:r>
      <w:r w:rsidR="00677598">
        <w:rPr>
          <w:rFonts w:ascii="Arial" w:hAnsi="Arial" w:cs="Arial"/>
          <w:sz w:val="24"/>
          <w:szCs w:val="24"/>
        </w:rPr>
        <w:t>The safety</w:t>
      </w:r>
      <w:r w:rsidR="004327F2">
        <w:rPr>
          <w:rFonts w:ascii="Arial" w:hAnsi="Arial" w:cs="Arial"/>
          <w:sz w:val="24"/>
          <w:szCs w:val="24"/>
        </w:rPr>
        <w:t xml:space="preserve"> </w:t>
      </w:r>
      <w:r w:rsidR="00677598">
        <w:rPr>
          <w:rFonts w:ascii="Arial" w:hAnsi="Arial" w:cs="Arial"/>
          <w:sz w:val="24"/>
          <w:szCs w:val="24"/>
        </w:rPr>
        <w:t>issues are raised and catered for in the EMP</w:t>
      </w:r>
      <w:r w:rsidR="004327F2">
        <w:rPr>
          <w:rFonts w:ascii="Arial" w:hAnsi="Arial" w:cs="Arial"/>
          <w:sz w:val="24"/>
          <w:szCs w:val="24"/>
        </w:rPr>
        <w:t>.</w:t>
      </w:r>
      <w:r w:rsidR="004327F2" w:rsidRPr="004327F2">
        <w:rPr>
          <w:rFonts w:ascii="Arial" w:hAnsi="Arial" w:cs="Arial"/>
          <w:sz w:val="24"/>
          <w:szCs w:val="24"/>
        </w:rPr>
        <w:t xml:space="preserve"> </w:t>
      </w:r>
      <w:r w:rsidR="007971A0">
        <w:rPr>
          <w:rFonts w:ascii="Arial" w:hAnsi="Arial" w:cs="Arial"/>
          <w:sz w:val="24"/>
          <w:szCs w:val="24"/>
        </w:rPr>
        <w:t xml:space="preserve">The </w:t>
      </w:r>
      <w:r w:rsidR="004327F2">
        <w:rPr>
          <w:rFonts w:ascii="Arial" w:hAnsi="Arial" w:cs="Arial"/>
          <w:sz w:val="24"/>
          <w:szCs w:val="24"/>
        </w:rPr>
        <w:t>DMRE has not conclusively stated that the</w:t>
      </w:r>
      <w:r w:rsidR="008A409B">
        <w:rPr>
          <w:rFonts w:ascii="Arial" w:hAnsi="Arial" w:cs="Arial"/>
          <w:sz w:val="24"/>
          <w:szCs w:val="24"/>
        </w:rPr>
        <w:t xml:space="preserve"> </w:t>
      </w:r>
      <w:r w:rsidR="004327F2">
        <w:rPr>
          <w:rFonts w:ascii="Arial" w:hAnsi="Arial" w:cs="Arial"/>
          <w:sz w:val="24"/>
          <w:szCs w:val="24"/>
        </w:rPr>
        <w:t xml:space="preserve">pit must be closed and </w:t>
      </w:r>
      <w:r w:rsidR="00A20E30">
        <w:rPr>
          <w:rFonts w:ascii="Arial" w:hAnsi="Arial" w:cs="Arial"/>
          <w:sz w:val="24"/>
          <w:szCs w:val="24"/>
        </w:rPr>
        <w:t>it</w:t>
      </w:r>
      <w:r w:rsidR="004327F2">
        <w:rPr>
          <w:rFonts w:ascii="Arial" w:hAnsi="Arial" w:cs="Arial"/>
          <w:sz w:val="24"/>
          <w:szCs w:val="24"/>
        </w:rPr>
        <w:t xml:space="preserve"> just assume</w:t>
      </w:r>
      <w:r w:rsidR="00A20E30">
        <w:rPr>
          <w:rFonts w:ascii="Arial" w:hAnsi="Arial" w:cs="Arial"/>
          <w:sz w:val="24"/>
          <w:szCs w:val="24"/>
        </w:rPr>
        <w:t>d</w:t>
      </w:r>
      <w:r w:rsidR="004327F2">
        <w:rPr>
          <w:rFonts w:ascii="Arial" w:hAnsi="Arial" w:cs="Arial"/>
          <w:sz w:val="24"/>
          <w:szCs w:val="24"/>
        </w:rPr>
        <w:t xml:space="preserve"> that the reference to rehabilitation means it must be backfilled</w:t>
      </w:r>
      <w:r w:rsidR="00F30B61">
        <w:rPr>
          <w:rFonts w:ascii="Arial" w:hAnsi="Arial" w:cs="Arial"/>
          <w:sz w:val="24"/>
          <w:szCs w:val="24"/>
        </w:rPr>
        <w:t xml:space="preserve">. </w:t>
      </w:r>
      <w:r w:rsidR="009E5323">
        <w:rPr>
          <w:rFonts w:ascii="Arial" w:hAnsi="Arial" w:cs="Arial"/>
          <w:sz w:val="24"/>
          <w:szCs w:val="24"/>
        </w:rPr>
        <w:t xml:space="preserve">At all times in the amended EMP, </w:t>
      </w:r>
      <w:r w:rsidR="009E5323" w:rsidRPr="00AB594B">
        <w:rPr>
          <w:rFonts w:ascii="Arial" w:hAnsi="Arial" w:cs="Arial"/>
          <w:sz w:val="24"/>
          <w:szCs w:val="24"/>
        </w:rPr>
        <w:t xml:space="preserve">it was clear that </w:t>
      </w:r>
      <w:r w:rsidR="00E719B1" w:rsidRPr="00AB594B">
        <w:rPr>
          <w:rFonts w:ascii="Arial" w:hAnsi="Arial" w:cs="Arial"/>
          <w:sz w:val="24"/>
          <w:szCs w:val="24"/>
        </w:rPr>
        <w:t>the pit would remain open and approximately 10 hectares of the land will not be able to be restored and would be made safe using a fence that is currently in place and effective.</w:t>
      </w:r>
      <w:r w:rsidR="00E719B1">
        <w:rPr>
          <w:rFonts w:ascii="Arial" w:hAnsi="Arial" w:cs="Arial"/>
          <w:sz w:val="24"/>
          <w:szCs w:val="24"/>
        </w:rPr>
        <w:t xml:space="preserve"> </w:t>
      </w:r>
      <w:r w:rsidR="00900E72">
        <w:rPr>
          <w:rFonts w:ascii="Arial" w:hAnsi="Arial" w:cs="Arial"/>
          <w:sz w:val="24"/>
          <w:szCs w:val="24"/>
        </w:rPr>
        <w:t xml:space="preserve">Also that </w:t>
      </w:r>
      <w:r w:rsidR="00F30B61">
        <w:rPr>
          <w:rFonts w:ascii="Arial" w:hAnsi="Arial" w:cs="Arial"/>
          <w:sz w:val="24"/>
          <w:szCs w:val="24"/>
        </w:rPr>
        <w:t>on approval of the amended EMP</w:t>
      </w:r>
      <w:r w:rsidR="00037AB6">
        <w:rPr>
          <w:rFonts w:ascii="Arial" w:hAnsi="Arial" w:cs="Arial"/>
          <w:sz w:val="24"/>
          <w:szCs w:val="24"/>
        </w:rPr>
        <w:t>, there was no request of</w:t>
      </w:r>
      <w:r w:rsidR="00F30B61">
        <w:rPr>
          <w:rFonts w:ascii="Arial" w:hAnsi="Arial" w:cs="Arial"/>
          <w:sz w:val="24"/>
          <w:szCs w:val="24"/>
        </w:rPr>
        <w:t xml:space="preserve"> any adjustments requiring that the pit be backfilled. </w:t>
      </w:r>
      <w:r w:rsidR="00F30B61" w:rsidRPr="001D3469">
        <w:rPr>
          <w:rFonts w:ascii="Arial" w:hAnsi="Arial" w:cs="Arial"/>
          <w:sz w:val="24"/>
          <w:szCs w:val="24"/>
        </w:rPr>
        <w:t>Therefore</w:t>
      </w:r>
      <w:r w:rsidR="00037AB6" w:rsidRPr="001D3469">
        <w:rPr>
          <w:rFonts w:ascii="Arial" w:hAnsi="Arial" w:cs="Arial"/>
          <w:sz w:val="24"/>
          <w:szCs w:val="24"/>
        </w:rPr>
        <w:t>,</w:t>
      </w:r>
      <w:r w:rsidR="00F30B61" w:rsidRPr="001D3469">
        <w:rPr>
          <w:rFonts w:ascii="Arial" w:hAnsi="Arial" w:cs="Arial"/>
          <w:sz w:val="24"/>
          <w:szCs w:val="24"/>
        </w:rPr>
        <w:t xml:space="preserve"> the basis upon which DMRE requires the pit to be backfilled is unclear. </w:t>
      </w:r>
      <w:r w:rsidR="004327F2" w:rsidRPr="001D3469">
        <w:rPr>
          <w:rFonts w:ascii="Arial" w:hAnsi="Arial" w:cs="Arial"/>
          <w:sz w:val="24"/>
          <w:szCs w:val="24"/>
        </w:rPr>
        <w:tab/>
      </w:r>
      <w:r w:rsidR="004327F2">
        <w:rPr>
          <w:rFonts w:ascii="Arial" w:hAnsi="Arial" w:cs="Arial"/>
          <w:sz w:val="24"/>
          <w:szCs w:val="24"/>
        </w:rPr>
        <w:tab/>
      </w:r>
      <w:r w:rsidR="00677598">
        <w:rPr>
          <w:rFonts w:ascii="Arial" w:hAnsi="Arial" w:cs="Arial"/>
          <w:sz w:val="24"/>
          <w:szCs w:val="24"/>
        </w:rPr>
        <w:t xml:space="preserve">.  </w:t>
      </w:r>
      <w:r w:rsidR="0036103E">
        <w:rPr>
          <w:rFonts w:ascii="Arial" w:hAnsi="Arial" w:cs="Arial"/>
          <w:sz w:val="24"/>
          <w:szCs w:val="24"/>
        </w:rPr>
        <w:t xml:space="preserve">    </w:t>
      </w:r>
      <w:r w:rsidR="00331DA6">
        <w:rPr>
          <w:rFonts w:ascii="Arial" w:hAnsi="Arial" w:cs="Arial"/>
          <w:sz w:val="24"/>
          <w:szCs w:val="24"/>
        </w:rPr>
        <w:t xml:space="preserve">     </w:t>
      </w:r>
      <w:r w:rsidR="00A315F8">
        <w:rPr>
          <w:rFonts w:ascii="Arial" w:hAnsi="Arial" w:cs="Arial"/>
          <w:sz w:val="24"/>
          <w:szCs w:val="24"/>
        </w:rPr>
        <w:t xml:space="preserve"> </w:t>
      </w:r>
    </w:p>
    <w:p w14:paraId="3F606794" w14:textId="77777777" w:rsidR="00A315F8" w:rsidRDefault="00A315F8" w:rsidP="00A315F8">
      <w:pPr>
        <w:spacing w:after="0" w:line="360" w:lineRule="auto"/>
        <w:jc w:val="both"/>
        <w:rPr>
          <w:rFonts w:ascii="Arial" w:hAnsi="Arial" w:cs="Arial"/>
          <w:sz w:val="24"/>
          <w:szCs w:val="24"/>
        </w:rPr>
      </w:pPr>
    </w:p>
    <w:p w14:paraId="444E8938" w14:textId="6B2CB3B2" w:rsidR="00237CF4" w:rsidRPr="0008676A" w:rsidRDefault="00237CF4" w:rsidP="00A315F8">
      <w:pPr>
        <w:spacing w:after="0" w:line="360" w:lineRule="auto"/>
        <w:jc w:val="both"/>
        <w:rPr>
          <w:rFonts w:ascii="Arial" w:hAnsi="Arial" w:cs="Arial"/>
          <w:sz w:val="24"/>
          <w:szCs w:val="24"/>
        </w:rPr>
      </w:pPr>
      <w:r>
        <w:rPr>
          <w:rFonts w:ascii="Arial" w:hAnsi="Arial" w:cs="Arial"/>
          <w:sz w:val="24"/>
          <w:szCs w:val="24"/>
        </w:rPr>
        <w:t>[1</w:t>
      </w:r>
      <w:r w:rsidR="001D3469">
        <w:rPr>
          <w:rFonts w:ascii="Arial" w:hAnsi="Arial" w:cs="Arial"/>
          <w:sz w:val="24"/>
          <w:szCs w:val="24"/>
        </w:rPr>
        <w:t>8</w:t>
      </w:r>
      <w:r>
        <w:rPr>
          <w:rFonts w:ascii="Arial" w:hAnsi="Arial" w:cs="Arial"/>
          <w:sz w:val="24"/>
          <w:szCs w:val="24"/>
        </w:rPr>
        <w:t>]</w:t>
      </w:r>
      <w:r w:rsidR="00A77836">
        <w:rPr>
          <w:rFonts w:ascii="Arial" w:hAnsi="Arial" w:cs="Arial"/>
          <w:sz w:val="24"/>
          <w:szCs w:val="24"/>
        </w:rPr>
        <w:tab/>
      </w:r>
      <w:r w:rsidR="00AB218F">
        <w:rPr>
          <w:rFonts w:ascii="Arial" w:hAnsi="Arial" w:cs="Arial"/>
          <w:sz w:val="24"/>
          <w:szCs w:val="24"/>
        </w:rPr>
        <w:t xml:space="preserve">It was </w:t>
      </w:r>
      <w:r>
        <w:rPr>
          <w:rFonts w:ascii="Arial" w:hAnsi="Arial" w:cs="Arial"/>
          <w:sz w:val="24"/>
          <w:szCs w:val="24"/>
        </w:rPr>
        <w:t>DCBM</w:t>
      </w:r>
      <w:r w:rsidR="008A409B">
        <w:rPr>
          <w:rFonts w:ascii="Arial" w:hAnsi="Arial" w:cs="Arial"/>
          <w:sz w:val="24"/>
          <w:szCs w:val="24"/>
        </w:rPr>
        <w:t>’s</w:t>
      </w:r>
      <w:r w:rsidR="00AB218F">
        <w:rPr>
          <w:rFonts w:ascii="Arial" w:hAnsi="Arial" w:cs="Arial"/>
          <w:sz w:val="24"/>
          <w:szCs w:val="24"/>
        </w:rPr>
        <w:t xml:space="preserve"> submission</w:t>
      </w:r>
      <w:r>
        <w:rPr>
          <w:rFonts w:ascii="Arial" w:hAnsi="Arial" w:cs="Arial"/>
          <w:sz w:val="24"/>
          <w:szCs w:val="24"/>
        </w:rPr>
        <w:t xml:space="preserve"> that one of the principles of mine closure set out in </w:t>
      </w:r>
      <w:r w:rsidR="00A77836">
        <w:rPr>
          <w:rFonts w:ascii="Arial" w:hAnsi="Arial" w:cs="Arial"/>
          <w:sz w:val="24"/>
          <w:szCs w:val="24"/>
        </w:rPr>
        <w:t>s</w:t>
      </w:r>
      <w:r>
        <w:rPr>
          <w:rFonts w:ascii="Arial" w:hAnsi="Arial" w:cs="Arial"/>
          <w:sz w:val="24"/>
          <w:szCs w:val="24"/>
        </w:rPr>
        <w:t xml:space="preserve"> 56 (f) of the MPRDA Regulations is that </w:t>
      </w:r>
      <w:r w:rsidRPr="00781B5F">
        <w:rPr>
          <w:rFonts w:ascii="Arial" w:hAnsi="Arial" w:cs="Arial"/>
          <w:sz w:val="24"/>
          <w:szCs w:val="24"/>
        </w:rPr>
        <w:t>the operations are closed efficiently</w:t>
      </w:r>
      <w:r w:rsidR="007D1222" w:rsidRPr="00781B5F">
        <w:rPr>
          <w:rFonts w:ascii="Arial" w:hAnsi="Arial" w:cs="Arial"/>
          <w:sz w:val="24"/>
          <w:szCs w:val="24"/>
        </w:rPr>
        <w:t>,</w:t>
      </w:r>
      <w:r w:rsidRPr="00781B5F">
        <w:rPr>
          <w:rFonts w:ascii="Arial" w:hAnsi="Arial" w:cs="Arial"/>
          <w:sz w:val="24"/>
          <w:szCs w:val="24"/>
        </w:rPr>
        <w:t xml:space="preserve"> cost effectively</w:t>
      </w:r>
      <w:r w:rsidR="007D1222" w:rsidRPr="00781B5F">
        <w:rPr>
          <w:rFonts w:ascii="Arial" w:hAnsi="Arial" w:cs="Arial"/>
          <w:sz w:val="24"/>
          <w:szCs w:val="24"/>
        </w:rPr>
        <w:t xml:space="preserve"> and </w:t>
      </w:r>
      <w:r w:rsidR="000C3062" w:rsidRPr="00781B5F">
        <w:rPr>
          <w:rFonts w:ascii="Arial" w:hAnsi="Arial" w:cs="Arial"/>
          <w:sz w:val="24"/>
          <w:szCs w:val="24"/>
        </w:rPr>
        <w:t xml:space="preserve">must be financially feasible. </w:t>
      </w:r>
      <w:r w:rsidR="008A409B" w:rsidRPr="00781B5F">
        <w:rPr>
          <w:rFonts w:ascii="Arial" w:hAnsi="Arial" w:cs="Arial"/>
          <w:sz w:val="24"/>
          <w:szCs w:val="24"/>
        </w:rPr>
        <w:t xml:space="preserve">The backfilling of the pit </w:t>
      </w:r>
      <w:r w:rsidRPr="00781B5F">
        <w:rPr>
          <w:rFonts w:ascii="Arial" w:hAnsi="Arial" w:cs="Arial"/>
          <w:sz w:val="24"/>
          <w:szCs w:val="24"/>
        </w:rPr>
        <w:t xml:space="preserve">is not cost effective </w:t>
      </w:r>
      <w:r w:rsidR="00215B33" w:rsidRPr="00781B5F">
        <w:rPr>
          <w:rFonts w:ascii="Arial" w:hAnsi="Arial" w:cs="Arial"/>
          <w:sz w:val="24"/>
          <w:szCs w:val="24"/>
        </w:rPr>
        <w:t>due to a</w:t>
      </w:r>
      <w:r>
        <w:rPr>
          <w:rFonts w:ascii="Arial" w:hAnsi="Arial" w:cs="Arial"/>
          <w:sz w:val="24"/>
          <w:szCs w:val="24"/>
        </w:rPr>
        <w:t xml:space="preserve"> dramatic cost difference between backfilling and leaving the pit open. </w:t>
      </w:r>
      <w:r w:rsidR="00471938">
        <w:rPr>
          <w:rFonts w:ascii="Arial" w:hAnsi="Arial" w:cs="Arial"/>
          <w:sz w:val="24"/>
          <w:szCs w:val="24"/>
        </w:rPr>
        <w:t>The cost is esti</w:t>
      </w:r>
      <w:r w:rsidR="00A77836">
        <w:rPr>
          <w:rFonts w:ascii="Arial" w:hAnsi="Arial" w:cs="Arial"/>
          <w:sz w:val="24"/>
          <w:szCs w:val="24"/>
        </w:rPr>
        <w:t>m</w:t>
      </w:r>
      <w:r w:rsidR="00471938">
        <w:rPr>
          <w:rFonts w:ascii="Arial" w:hAnsi="Arial" w:cs="Arial"/>
          <w:sz w:val="24"/>
          <w:szCs w:val="24"/>
        </w:rPr>
        <w:t xml:space="preserve">ated at R100 </w:t>
      </w:r>
      <w:r w:rsidR="00900E72">
        <w:rPr>
          <w:rFonts w:ascii="Arial" w:hAnsi="Arial" w:cs="Arial"/>
          <w:sz w:val="24"/>
          <w:szCs w:val="24"/>
        </w:rPr>
        <w:t>Million</w:t>
      </w:r>
      <w:r w:rsidR="00471938">
        <w:rPr>
          <w:rFonts w:ascii="Arial" w:hAnsi="Arial" w:cs="Arial"/>
          <w:sz w:val="24"/>
          <w:szCs w:val="24"/>
        </w:rPr>
        <w:t xml:space="preserve"> in 2014 and R200 </w:t>
      </w:r>
      <w:r w:rsidR="00900E72">
        <w:rPr>
          <w:rFonts w:ascii="Arial" w:hAnsi="Arial" w:cs="Arial"/>
          <w:sz w:val="24"/>
          <w:szCs w:val="24"/>
        </w:rPr>
        <w:t xml:space="preserve">Million </w:t>
      </w:r>
      <w:r w:rsidR="00471938">
        <w:rPr>
          <w:rFonts w:ascii="Arial" w:hAnsi="Arial" w:cs="Arial"/>
          <w:sz w:val="24"/>
          <w:szCs w:val="24"/>
        </w:rPr>
        <w:t xml:space="preserve">as in August 2019. </w:t>
      </w:r>
      <w:r w:rsidR="00215B33">
        <w:rPr>
          <w:rFonts w:ascii="Arial" w:hAnsi="Arial" w:cs="Arial"/>
          <w:sz w:val="24"/>
          <w:szCs w:val="24"/>
        </w:rPr>
        <w:t>DB</w:t>
      </w:r>
      <w:r w:rsidR="00471938">
        <w:rPr>
          <w:rFonts w:ascii="Arial" w:hAnsi="Arial" w:cs="Arial"/>
          <w:sz w:val="24"/>
          <w:szCs w:val="24"/>
        </w:rPr>
        <w:t xml:space="preserve">CM </w:t>
      </w:r>
      <w:r w:rsidR="00215B33">
        <w:rPr>
          <w:rFonts w:ascii="Arial" w:hAnsi="Arial" w:cs="Arial"/>
          <w:sz w:val="24"/>
          <w:szCs w:val="24"/>
        </w:rPr>
        <w:t xml:space="preserve">has </w:t>
      </w:r>
      <w:r w:rsidR="00471938">
        <w:rPr>
          <w:rFonts w:ascii="Arial" w:hAnsi="Arial" w:cs="Arial"/>
          <w:sz w:val="24"/>
          <w:szCs w:val="24"/>
        </w:rPr>
        <w:t xml:space="preserve">spent </w:t>
      </w:r>
      <w:r w:rsidR="007D1222">
        <w:rPr>
          <w:rFonts w:ascii="Arial" w:hAnsi="Arial" w:cs="Arial"/>
          <w:sz w:val="24"/>
          <w:szCs w:val="24"/>
        </w:rPr>
        <w:t xml:space="preserve">to </w:t>
      </w:r>
      <w:r w:rsidR="00900E72">
        <w:rPr>
          <w:rFonts w:ascii="Arial" w:hAnsi="Arial" w:cs="Arial"/>
          <w:sz w:val="24"/>
          <w:szCs w:val="24"/>
        </w:rPr>
        <w:t xml:space="preserve">that </w:t>
      </w:r>
      <w:r w:rsidR="00471938">
        <w:rPr>
          <w:rFonts w:ascii="Arial" w:hAnsi="Arial" w:cs="Arial"/>
          <w:sz w:val="24"/>
          <w:szCs w:val="24"/>
        </w:rPr>
        <w:t xml:space="preserve">date </w:t>
      </w:r>
      <w:r w:rsidR="00A77836">
        <w:rPr>
          <w:rFonts w:ascii="Arial" w:hAnsi="Arial" w:cs="Arial"/>
          <w:sz w:val="24"/>
          <w:szCs w:val="24"/>
        </w:rPr>
        <w:t>R</w:t>
      </w:r>
      <w:r w:rsidR="00471938">
        <w:rPr>
          <w:rFonts w:ascii="Arial" w:hAnsi="Arial" w:cs="Arial"/>
          <w:sz w:val="24"/>
          <w:szCs w:val="24"/>
        </w:rPr>
        <w:t>13</w:t>
      </w:r>
      <w:r w:rsidR="00900E72">
        <w:rPr>
          <w:rFonts w:ascii="Arial" w:hAnsi="Arial" w:cs="Arial"/>
          <w:sz w:val="24"/>
          <w:szCs w:val="24"/>
        </w:rPr>
        <w:t xml:space="preserve"> Million</w:t>
      </w:r>
      <w:r w:rsidR="00471938">
        <w:rPr>
          <w:rFonts w:ascii="Arial" w:hAnsi="Arial" w:cs="Arial"/>
          <w:sz w:val="24"/>
          <w:szCs w:val="24"/>
        </w:rPr>
        <w:t xml:space="preserve"> and </w:t>
      </w:r>
      <w:r w:rsidR="00900E72">
        <w:rPr>
          <w:rFonts w:ascii="Arial" w:hAnsi="Arial" w:cs="Arial"/>
          <w:sz w:val="24"/>
          <w:szCs w:val="24"/>
        </w:rPr>
        <w:t xml:space="preserve">have </w:t>
      </w:r>
      <w:r w:rsidR="00471938">
        <w:rPr>
          <w:rFonts w:ascii="Arial" w:hAnsi="Arial" w:cs="Arial"/>
          <w:sz w:val="24"/>
          <w:szCs w:val="24"/>
        </w:rPr>
        <w:t>reserved R3</w:t>
      </w:r>
      <w:r w:rsidR="00900E72">
        <w:rPr>
          <w:rFonts w:ascii="Arial" w:hAnsi="Arial" w:cs="Arial"/>
          <w:sz w:val="24"/>
          <w:szCs w:val="24"/>
        </w:rPr>
        <w:t>,3 Million</w:t>
      </w:r>
      <w:r w:rsidR="00471938">
        <w:rPr>
          <w:rFonts w:ascii="Arial" w:hAnsi="Arial" w:cs="Arial"/>
          <w:sz w:val="24"/>
          <w:szCs w:val="24"/>
        </w:rPr>
        <w:t xml:space="preserve"> for the residual and latent environmental impacts. </w:t>
      </w:r>
      <w:r w:rsidR="007D1222">
        <w:rPr>
          <w:rFonts w:ascii="Arial" w:hAnsi="Arial" w:cs="Arial"/>
          <w:sz w:val="24"/>
          <w:szCs w:val="24"/>
        </w:rPr>
        <w:t>The</w:t>
      </w:r>
      <w:r w:rsidR="00900E72">
        <w:rPr>
          <w:rFonts w:ascii="Arial" w:hAnsi="Arial" w:cs="Arial"/>
          <w:sz w:val="24"/>
          <w:szCs w:val="24"/>
        </w:rPr>
        <w:t xml:space="preserve"> backf</w:t>
      </w:r>
      <w:r w:rsidR="00471938">
        <w:rPr>
          <w:rFonts w:ascii="Arial" w:hAnsi="Arial" w:cs="Arial"/>
          <w:sz w:val="24"/>
          <w:szCs w:val="24"/>
        </w:rPr>
        <w:t>illing will result in an excessive carbon footprint due to the fuel consumption of all the machinery</w:t>
      </w:r>
      <w:r w:rsidR="00900E72">
        <w:rPr>
          <w:rFonts w:ascii="Arial" w:hAnsi="Arial" w:cs="Arial"/>
          <w:sz w:val="24"/>
          <w:szCs w:val="24"/>
        </w:rPr>
        <w:t xml:space="preserve"> </w:t>
      </w:r>
      <w:r w:rsidR="00471938">
        <w:rPr>
          <w:rFonts w:ascii="Arial" w:hAnsi="Arial" w:cs="Arial"/>
          <w:sz w:val="24"/>
          <w:szCs w:val="24"/>
        </w:rPr>
        <w:t>and equipment that will be required. It will also require that all the</w:t>
      </w:r>
      <w:r w:rsidR="00A77836">
        <w:rPr>
          <w:rFonts w:ascii="Arial" w:hAnsi="Arial" w:cs="Arial"/>
          <w:sz w:val="24"/>
          <w:szCs w:val="24"/>
        </w:rPr>
        <w:t xml:space="preserve"> rehabilitation commenced and finalised to date be destroyed in order to backfill the pit. </w:t>
      </w:r>
      <w:r w:rsidR="00A77836" w:rsidRPr="0008676A">
        <w:rPr>
          <w:rFonts w:ascii="Arial" w:hAnsi="Arial" w:cs="Arial"/>
          <w:sz w:val="24"/>
          <w:szCs w:val="24"/>
        </w:rPr>
        <w:t xml:space="preserve">There is also </w:t>
      </w:r>
      <w:r w:rsidR="007D1222" w:rsidRPr="0008676A">
        <w:rPr>
          <w:rFonts w:ascii="Arial" w:hAnsi="Arial" w:cs="Arial"/>
          <w:sz w:val="24"/>
          <w:szCs w:val="24"/>
        </w:rPr>
        <w:t>a</w:t>
      </w:r>
      <w:r w:rsidR="00A77836" w:rsidRPr="0008676A">
        <w:rPr>
          <w:rFonts w:ascii="Arial" w:hAnsi="Arial" w:cs="Arial"/>
          <w:sz w:val="24"/>
          <w:szCs w:val="24"/>
        </w:rPr>
        <w:t xml:space="preserve"> possibility that there will not be sufficient backfill material.</w:t>
      </w:r>
    </w:p>
    <w:p w14:paraId="67E0C794" w14:textId="40182F41" w:rsidR="00E719B1" w:rsidRDefault="00E719B1" w:rsidP="00A315F8">
      <w:pPr>
        <w:spacing w:after="0" w:line="360" w:lineRule="auto"/>
        <w:jc w:val="both"/>
        <w:rPr>
          <w:rFonts w:ascii="Arial" w:hAnsi="Arial" w:cs="Arial"/>
          <w:sz w:val="24"/>
          <w:szCs w:val="24"/>
        </w:rPr>
      </w:pPr>
    </w:p>
    <w:p w14:paraId="59279D15" w14:textId="5528EB95" w:rsidR="006F45BD" w:rsidRDefault="004D0E77" w:rsidP="00A315F8">
      <w:pPr>
        <w:spacing w:after="0" w:line="360" w:lineRule="auto"/>
        <w:jc w:val="both"/>
        <w:rPr>
          <w:rFonts w:ascii="Arial" w:hAnsi="Arial" w:cs="Arial"/>
          <w:sz w:val="24"/>
          <w:szCs w:val="24"/>
        </w:rPr>
      </w:pPr>
      <w:r>
        <w:rPr>
          <w:rFonts w:ascii="Arial" w:hAnsi="Arial" w:cs="Arial"/>
          <w:sz w:val="24"/>
          <w:szCs w:val="24"/>
        </w:rPr>
        <w:t>[</w:t>
      </w:r>
      <w:r w:rsidR="00781B5F">
        <w:rPr>
          <w:rFonts w:ascii="Arial" w:hAnsi="Arial" w:cs="Arial"/>
          <w:sz w:val="24"/>
          <w:szCs w:val="24"/>
        </w:rPr>
        <w:t>19</w:t>
      </w:r>
      <w:r w:rsidR="00E719B1">
        <w:rPr>
          <w:rFonts w:ascii="Arial" w:hAnsi="Arial" w:cs="Arial"/>
          <w:sz w:val="24"/>
          <w:szCs w:val="24"/>
        </w:rPr>
        <w:t xml:space="preserve">] </w:t>
      </w:r>
      <w:r w:rsidR="000C3062">
        <w:rPr>
          <w:rFonts w:ascii="Arial" w:hAnsi="Arial" w:cs="Arial"/>
          <w:sz w:val="24"/>
          <w:szCs w:val="24"/>
        </w:rPr>
        <w:tab/>
      </w:r>
      <w:r w:rsidR="0048267E">
        <w:rPr>
          <w:rFonts w:ascii="Arial" w:hAnsi="Arial" w:cs="Arial"/>
          <w:sz w:val="24"/>
          <w:szCs w:val="24"/>
        </w:rPr>
        <w:t xml:space="preserve">Furthermore, </w:t>
      </w:r>
      <w:r w:rsidR="00CB16D3" w:rsidRPr="00E4280D">
        <w:rPr>
          <w:rFonts w:ascii="Arial" w:hAnsi="Arial" w:cs="Arial"/>
          <w:sz w:val="24"/>
          <w:szCs w:val="24"/>
        </w:rPr>
        <w:t xml:space="preserve">DBCM </w:t>
      </w:r>
      <w:r w:rsidR="0048267E" w:rsidRPr="00E4280D">
        <w:rPr>
          <w:rFonts w:ascii="Arial" w:hAnsi="Arial" w:cs="Arial"/>
          <w:sz w:val="24"/>
          <w:szCs w:val="24"/>
        </w:rPr>
        <w:t xml:space="preserve">stated </w:t>
      </w:r>
      <w:r w:rsidR="00CB16D3" w:rsidRPr="00E4280D">
        <w:rPr>
          <w:rFonts w:ascii="Arial" w:hAnsi="Arial" w:cs="Arial"/>
          <w:sz w:val="24"/>
          <w:szCs w:val="24"/>
        </w:rPr>
        <w:t xml:space="preserve">that </w:t>
      </w:r>
      <w:r w:rsidR="0044328D" w:rsidRPr="00E4280D">
        <w:rPr>
          <w:rFonts w:ascii="Arial" w:hAnsi="Arial" w:cs="Arial"/>
          <w:sz w:val="24"/>
          <w:szCs w:val="24"/>
        </w:rPr>
        <w:t xml:space="preserve">it was clear that the pit would remain open and 10 hectares of the mine would not be able to be restored and would be made safe using a fence </w:t>
      </w:r>
      <w:r w:rsidR="00CB16D3" w:rsidRPr="00E4280D">
        <w:rPr>
          <w:rFonts w:ascii="Arial" w:hAnsi="Arial" w:cs="Arial"/>
          <w:sz w:val="24"/>
          <w:szCs w:val="24"/>
        </w:rPr>
        <w:t xml:space="preserve">which is </w:t>
      </w:r>
      <w:r w:rsidR="0044328D" w:rsidRPr="00E4280D">
        <w:rPr>
          <w:rFonts w:ascii="Arial" w:hAnsi="Arial" w:cs="Arial"/>
          <w:sz w:val="24"/>
          <w:szCs w:val="24"/>
        </w:rPr>
        <w:t>currently in place and effective</w:t>
      </w:r>
      <w:r w:rsidR="0044328D">
        <w:rPr>
          <w:rFonts w:ascii="Arial" w:hAnsi="Arial" w:cs="Arial"/>
          <w:sz w:val="24"/>
          <w:szCs w:val="24"/>
        </w:rPr>
        <w:t xml:space="preserve">. </w:t>
      </w:r>
      <w:r w:rsidR="00426204">
        <w:rPr>
          <w:rFonts w:ascii="Arial" w:hAnsi="Arial" w:cs="Arial"/>
          <w:sz w:val="24"/>
          <w:szCs w:val="24"/>
        </w:rPr>
        <w:t>The predetermined state was a game far</w:t>
      </w:r>
      <w:r w:rsidR="00CB16D3">
        <w:rPr>
          <w:rFonts w:ascii="Arial" w:hAnsi="Arial" w:cs="Arial"/>
          <w:sz w:val="24"/>
          <w:szCs w:val="24"/>
        </w:rPr>
        <w:t>m</w:t>
      </w:r>
      <w:r w:rsidR="00426204">
        <w:rPr>
          <w:rFonts w:ascii="Arial" w:hAnsi="Arial" w:cs="Arial"/>
          <w:sz w:val="24"/>
          <w:szCs w:val="24"/>
        </w:rPr>
        <w:t xml:space="preserve"> with an open pit fenced off safely. DBCM has successfully delivered on its </w:t>
      </w:r>
      <w:r w:rsidR="00426204">
        <w:rPr>
          <w:rFonts w:ascii="Arial" w:hAnsi="Arial" w:cs="Arial"/>
          <w:sz w:val="24"/>
          <w:szCs w:val="24"/>
        </w:rPr>
        <w:lastRenderedPageBreak/>
        <w:t xml:space="preserve">obligation to rehabilitate the land to </w:t>
      </w:r>
      <w:r w:rsidR="00CB16D3">
        <w:rPr>
          <w:rFonts w:ascii="Arial" w:hAnsi="Arial" w:cs="Arial"/>
          <w:sz w:val="24"/>
          <w:szCs w:val="24"/>
        </w:rPr>
        <w:t xml:space="preserve">its </w:t>
      </w:r>
      <w:r w:rsidR="00426204">
        <w:rPr>
          <w:rFonts w:ascii="Arial" w:hAnsi="Arial" w:cs="Arial"/>
          <w:sz w:val="24"/>
          <w:szCs w:val="24"/>
        </w:rPr>
        <w:t xml:space="preserve">predetermined state as required by the law and </w:t>
      </w:r>
      <w:r w:rsidR="006F45BD">
        <w:rPr>
          <w:rFonts w:ascii="Arial" w:hAnsi="Arial" w:cs="Arial"/>
          <w:sz w:val="24"/>
          <w:szCs w:val="24"/>
        </w:rPr>
        <w:t>the</w:t>
      </w:r>
      <w:r w:rsidR="00CB16D3">
        <w:rPr>
          <w:rFonts w:ascii="Arial" w:hAnsi="Arial" w:cs="Arial"/>
          <w:sz w:val="24"/>
          <w:szCs w:val="24"/>
        </w:rPr>
        <w:t xml:space="preserve"> following </w:t>
      </w:r>
      <w:r w:rsidR="006F45BD">
        <w:rPr>
          <w:rFonts w:ascii="Arial" w:hAnsi="Arial" w:cs="Arial"/>
          <w:sz w:val="24"/>
          <w:szCs w:val="24"/>
        </w:rPr>
        <w:t xml:space="preserve">measures </w:t>
      </w:r>
      <w:r w:rsidR="00CB16D3">
        <w:rPr>
          <w:rFonts w:ascii="Arial" w:hAnsi="Arial" w:cs="Arial"/>
          <w:sz w:val="24"/>
          <w:szCs w:val="24"/>
        </w:rPr>
        <w:t xml:space="preserve">were </w:t>
      </w:r>
      <w:r w:rsidR="006F45BD">
        <w:rPr>
          <w:rFonts w:ascii="Arial" w:hAnsi="Arial" w:cs="Arial"/>
          <w:sz w:val="24"/>
          <w:szCs w:val="24"/>
        </w:rPr>
        <w:t>put in place to make sure that the pit is safe</w:t>
      </w:r>
      <w:r w:rsidR="00CB16D3">
        <w:rPr>
          <w:rFonts w:ascii="Arial" w:hAnsi="Arial" w:cs="Arial"/>
          <w:sz w:val="24"/>
          <w:szCs w:val="24"/>
        </w:rPr>
        <w:t>:</w:t>
      </w:r>
    </w:p>
    <w:p w14:paraId="10C0A25A" w14:textId="77777777" w:rsidR="00E0192A" w:rsidRDefault="00E0192A" w:rsidP="00A315F8">
      <w:pPr>
        <w:spacing w:after="0" w:line="360" w:lineRule="auto"/>
        <w:jc w:val="both"/>
        <w:rPr>
          <w:rFonts w:ascii="Arial" w:hAnsi="Arial" w:cs="Arial"/>
          <w:sz w:val="24"/>
          <w:szCs w:val="24"/>
        </w:rPr>
      </w:pPr>
    </w:p>
    <w:p w14:paraId="29397E63" w14:textId="766B9B13" w:rsidR="00E4280D" w:rsidRDefault="000C3062" w:rsidP="000C3062">
      <w:pPr>
        <w:spacing w:after="0" w:line="360" w:lineRule="auto"/>
        <w:ind w:left="720"/>
        <w:jc w:val="both"/>
        <w:rPr>
          <w:rFonts w:ascii="Arial" w:hAnsi="Arial" w:cs="Arial"/>
          <w:b/>
          <w:color w:val="FF0000"/>
          <w:sz w:val="24"/>
          <w:szCs w:val="24"/>
        </w:rPr>
      </w:pPr>
      <w:r>
        <w:rPr>
          <w:rFonts w:ascii="Arial" w:hAnsi="Arial" w:cs="Arial"/>
          <w:sz w:val="24"/>
          <w:szCs w:val="24"/>
        </w:rPr>
        <w:t>[</w:t>
      </w:r>
      <w:r w:rsidR="00781B5F">
        <w:rPr>
          <w:rFonts w:ascii="Arial" w:hAnsi="Arial" w:cs="Arial"/>
          <w:sz w:val="24"/>
          <w:szCs w:val="24"/>
        </w:rPr>
        <w:t>19</w:t>
      </w:r>
      <w:r>
        <w:rPr>
          <w:rFonts w:ascii="Arial" w:hAnsi="Arial" w:cs="Arial"/>
          <w:sz w:val="24"/>
          <w:szCs w:val="24"/>
        </w:rPr>
        <w:t>.1]</w:t>
      </w:r>
      <w:r>
        <w:rPr>
          <w:rFonts w:ascii="Arial" w:hAnsi="Arial" w:cs="Arial"/>
          <w:sz w:val="24"/>
          <w:szCs w:val="24"/>
        </w:rPr>
        <w:tab/>
      </w:r>
      <w:r>
        <w:rPr>
          <w:rFonts w:ascii="Arial" w:hAnsi="Arial" w:cs="Arial"/>
          <w:sz w:val="24"/>
          <w:szCs w:val="24"/>
        </w:rPr>
        <w:tab/>
      </w:r>
      <w:r w:rsidR="006F45BD">
        <w:rPr>
          <w:rFonts w:ascii="Arial" w:hAnsi="Arial" w:cs="Arial"/>
          <w:sz w:val="24"/>
          <w:szCs w:val="24"/>
        </w:rPr>
        <w:t>Lack of visibility of the farm with no sign of a mine in existence from the road leading to or from the Oaks mine. It is n</w:t>
      </w:r>
      <w:r w:rsidR="00667979">
        <w:rPr>
          <w:rFonts w:ascii="Arial" w:hAnsi="Arial" w:cs="Arial"/>
          <w:sz w:val="24"/>
          <w:szCs w:val="24"/>
        </w:rPr>
        <w:t>on-</w:t>
      </w:r>
      <w:r w:rsidR="006F45BD">
        <w:rPr>
          <w:rFonts w:ascii="Arial" w:hAnsi="Arial" w:cs="Arial"/>
          <w:sz w:val="24"/>
          <w:szCs w:val="24"/>
        </w:rPr>
        <w:t xml:space="preserve">accessible perimeter of the farm surrounded by an electric fence which </w:t>
      </w:r>
      <w:r w:rsidR="006F45BD" w:rsidRPr="0008676A">
        <w:rPr>
          <w:rFonts w:ascii="Arial" w:hAnsi="Arial" w:cs="Arial"/>
          <w:sz w:val="24"/>
          <w:szCs w:val="24"/>
        </w:rPr>
        <w:t>mitigates unauthorised entry</w:t>
      </w:r>
      <w:r w:rsidR="006F45BD" w:rsidRPr="00667979">
        <w:rPr>
          <w:rFonts w:ascii="Arial" w:hAnsi="Arial" w:cs="Arial"/>
          <w:b/>
          <w:sz w:val="24"/>
          <w:szCs w:val="24"/>
        </w:rPr>
        <w:t>.</w:t>
      </w:r>
      <w:r w:rsidR="006F45BD">
        <w:rPr>
          <w:rFonts w:ascii="Arial" w:hAnsi="Arial" w:cs="Arial"/>
          <w:sz w:val="24"/>
          <w:szCs w:val="24"/>
        </w:rPr>
        <w:t xml:space="preserve"> </w:t>
      </w:r>
    </w:p>
    <w:p w14:paraId="1E01C75C" w14:textId="3D9C788C" w:rsidR="00004D19" w:rsidRPr="008A409B" w:rsidRDefault="00F52E97" w:rsidP="000C3062">
      <w:pPr>
        <w:spacing w:after="0" w:line="360" w:lineRule="auto"/>
        <w:ind w:left="720"/>
        <w:jc w:val="both"/>
        <w:rPr>
          <w:rFonts w:ascii="Arial" w:hAnsi="Arial" w:cs="Arial"/>
          <w:color w:val="FF0000"/>
          <w:sz w:val="24"/>
          <w:szCs w:val="24"/>
        </w:rPr>
      </w:pPr>
      <w:r w:rsidRPr="00F52E97">
        <w:rPr>
          <w:rFonts w:ascii="Arial" w:hAnsi="Arial" w:cs="Arial"/>
          <w:sz w:val="24"/>
          <w:szCs w:val="24"/>
        </w:rPr>
        <w:t>[</w:t>
      </w:r>
      <w:r w:rsidR="00781B5F">
        <w:rPr>
          <w:rFonts w:ascii="Arial" w:hAnsi="Arial" w:cs="Arial"/>
          <w:sz w:val="24"/>
          <w:szCs w:val="24"/>
        </w:rPr>
        <w:t>19</w:t>
      </w:r>
      <w:r w:rsidR="001D3469" w:rsidRPr="001D3469">
        <w:rPr>
          <w:rFonts w:ascii="Arial" w:hAnsi="Arial" w:cs="Arial"/>
          <w:sz w:val="24"/>
          <w:szCs w:val="24"/>
        </w:rPr>
        <w:t>.2]</w:t>
      </w:r>
      <w:r w:rsidR="001D3469" w:rsidRPr="001D3469">
        <w:rPr>
          <w:rFonts w:ascii="Arial" w:hAnsi="Arial" w:cs="Arial"/>
          <w:sz w:val="24"/>
          <w:szCs w:val="24"/>
        </w:rPr>
        <w:tab/>
      </w:r>
      <w:r w:rsidR="001D3469" w:rsidRPr="001D3469">
        <w:rPr>
          <w:rFonts w:ascii="Arial" w:hAnsi="Arial" w:cs="Arial"/>
          <w:sz w:val="24"/>
          <w:szCs w:val="24"/>
        </w:rPr>
        <w:tab/>
        <w:t>The i</w:t>
      </w:r>
      <w:r w:rsidR="006F45BD" w:rsidRPr="001D3469">
        <w:rPr>
          <w:rFonts w:ascii="Arial" w:hAnsi="Arial" w:cs="Arial"/>
          <w:sz w:val="24"/>
          <w:szCs w:val="24"/>
        </w:rPr>
        <w:t>nstability of the farm is said to be residual</w:t>
      </w:r>
      <w:r w:rsidR="008A409B" w:rsidRPr="001D3469">
        <w:rPr>
          <w:rFonts w:ascii="Arial" w:hAnsi="Arial" w:cs="Arial"/>
          <w:sz w:val="24"/>
          <w:szCs w:val="24"/>
        </w:rPr>
        <w:t>,</w:t>
      </w:r>
      <w:r w:rsidR="0008676A" w:rsidRPr="001D3469">
        <w:rPr>
          <w:rFonts w:ascii="Arial" w:hAnsi="Arial" w:cs="Arial"/>
          <w:sz w:val="24"/>
          <w:szCs w:val="24"/>
        </w:rPr>
        <w:t xml:space="preserve"> </w:t>
      </w:r>
      <w:r w:rsidR="0008676A" w:rsidRPr="0008676A">
        <w:rPr>
          <w:rFonts w:ascii="Arial" w:hAnsi="Arial" w:cs="Arial"/>
          <w:sz w:val="24"/>
          <w:szCs w:val="24"/>
        </w:rPr>
        <w:t>however</w:t>
      </w:r>
      <w:r w:rsidR="0008676A">
        <w:rPr>
          <w:rFonts w:ascii="Arial" w:hAnsi="Arial" w:cs="Arial"/>
          <w:b/>
          <w:sz w:val="24"/>
          <w:szCs w:val="24"/>
        </w:rPr>
        <w:t xml:space="preserve"> </w:t>
      </w:r>
      <w:r w:rsidR="00435C3F">
        <w:rPr>
          <w:rFonts w:ascii="Arial" w:hAnsi="Arial" w:cs="Arial"/>
          <w:sz w:val="24"/>
          <w:szCs w:val="24"/>
        </w:rPr>
        <w:t>risk to animals and humans c</w:t>
      </w:r>
      <w:r w:rsidR="00667979">
        <w:rPr>
          <w:rFonts w:ascii="Arial" w:hAnsi="Arial" w:cs="Arial"/>
          <w:sz w:val="24"/>
          <w:szCs w:val="24"/>
        </w:rPr>
        <w:t xml:space="preserve">ould </w:t>
      </w:r>
      <w:r w:rsidR="00435C3F">
        <w:rPr>
          <w:rFonts w:ascii="Arial" w:hAnsi="Arial" w:cs="Arial"/>
          <w:sz w:val="24"/>
          <w:szCs w:val="24"/>
        </w:rPr>
        <w:t>be managed through access control and therefore</w:t>
      </w:r>
      <w:r w:rsidR="00435C3F" w:rsidRPr="00667979">
        <w:rPr>
          <w:rFonts w:ascii="Arial" w:hAnsi="Arial" w:cs="Arial"/>
          <w:b/>
          <w:sz w:val="24"/>
          <w:szCs w:val="24"/>
        </w:rPr>
        <w:t xml:space="preserve"> </w:t>
      </w:r>
      <w:r w:rsidR="00435C3F" w:rsidRPr="001D3469">
        <w:rPr>
          <w:rFonts w:ascii="Arial" w:hAnsi="Arial" w:cs="Arial"/>
          <w:sz w:val="24"/>
          <w:szCs w:val="24"/>
        </w:rPr>
        <w:t>a fence was erected around the pit to mitigate any danger</w:t>
      </w:r>
      <w:r w:rsidR="00435C3F" w:rsidRPr="008A409B">
        <w:rPr>
          <w:rFonts w:ascii="Arial" w:hAnsi="Arial" w:cs="Arial"/>
          <w:color w:val="FF0000"/>
          <w:sz w:val="24"/>
          <w:szCs w:val="24"/>
        </w:rPr>
        <w:t xml:space="preserve">. </w:t>
      </w:r>
      <w:r w:rsidR="006F45BD" w:rsidRPr="008A409B">
        <w:rPr>
          <w:rFonts w:ascii="Arial" w:hAnsi="Arial" w:cs="Arial"/>
          <w:color w:val="FF0000"/>
          <w:sz w:val="24"/>
          <w:szCs w:val="24"/>
        </w:rPr>
        <w:t xml:space="preserve"> </w:t>
      </w:r>
    </w:p>
    <w:p w14:paraId="5ADB33F9" w14:textId="77777777" w:rsidR="00667979" w:rsidRDefault="00667979" w:rsidP="006F45BD">
      <w:pPr>
        <w:spacing w:after="0" w:line="360" w:lineRule="auto"/>
        <w:ind w:left="720"/>
        <w:jc w:val="both"/>
        <w:rPr>
          <w:rFonts w:ascii="Arial" w:hAnsi="Arial" w:cs="Arial"/>
          <w:sz w:val="24"/>
          <w:szCs w:val="24"/>
        </w:rPr>
      </w:pPr>
    </w:p>
    <w:p w14:paraId="35A71E24" w14:textId="7DDD4C92" w:rsidR="0008676A" w:rsidRDefault="00781B5F" w:rsidP="006F45BD">
      <w:pPr>
        <w:spacing w:after="0" w:line="360" w:lineRule="auto"/>
        <w:ind w:left="720"/>
        <w:jc w:val="both"/>
        <w:rPr>
          <w:rFonts w:ascii="Arial" w:hAnsi="Arial" w:cs="Arial"/>
          <w:sz w:val="24"/>
          <w:szCs w:val="24"/>
        </w:rPr>
      </w:pPr>
      <w:r>
        <w:rPr>
          <w:rFonts w:ascii="Arial" w:hAnsi="Arial" w:cs="Arial"/>
          <w:sz w:val="24"/>
          <w:szCs w:val="24"/>
        </w:rPr>
        <w:t>[19</w:t>
      </w:r>
      <w:r w:rsidR="00667979">
        <w:rPr>
          <w:rFonts w:ascii="Arial" w:hAnsi="Arial" w:cs="Arial"/>
          <w:sz w:val="24"/>
          <w:szCs w:val="24"/>
        </w:rPr>
        <w:t>.</w:t>
      </w:r>
      <w:r w:rsidR="001D3469">
        <w:rPr>
          <w:rFonts w:ascii="Arial" w:hAnsi="Arial" w:cs="Arial"/>
          <w:sz w:val="24"/>
          <w:szCs w:val="24"/>
        </w:rPr>
        <w:t>3</w:t>
      </w:r>
      <w:r w:rsidR="00667979">
        <w:rPr>
          <w:rFonts w:ascii="Arial" w:hAnsi="Arial" w:cs="Arial"/>
          <w:sz w:val="24"/>
          <w:szCs w:val="24"/>
        </w:rPr>
        <w:t>]</w:t>
      </w:r>
      <w:r w:rsidR="00667979">
        <w:rPr>
          <w:rFonts w:ascii="Arial" w:hAnsi="Arial" w:cs="Arial"/>
          <w:sz w:val="24"/>
          <w:szCs w:val="24"/>
        </w:rPr>
        <w:tab/>
      </w:r>
      <w:r w:rsidR="00667979">
        <w:rPr>
          <w:rFonts w:ascii="Arial" w:hAnsi="Arial" w:cs="Arial"/>
          <w:sz w:val="24"/>
          <w:szCs w:val="24"/>
        </w:rPr>
        <w:tab/>
      </w:r>
      <w:r w:rsidR="00004D19">
        <w:rPr>
          <w:rFonts w:ascii="Arial" w:hAnsi="Arial" w:cs="Arial"/>
          <w:sz w:val="24"/>
          <w:szCs w:val="24"/>
        </w:rPr>
        <w:t xml:space="preserve">The bottom walls </w:t>
      </w:r>
      <w:r w:rsidR="00667979">
        <w:rPr>
          <w:rFonts w:ascii="Arial" w:hAnsi="Arial" w:cs="Arial"/>
          <w:sz w:val="24"/>
          <w:szCs w:val="24"/>
        </w:rPr>
        <w:t xml:space="preserve">of what </w:t>
      </w:r>
      <w:r w:rsidR="00004D19">
        <w:rPr>
          <w:rFonts w:ascii="Arial" w:hAnsi="Arial" w:cs="Arial"/>
          <w:sz w:val="24"/>
          <w:szCs w:val="24"/>
        </w:rPr>
        <w:t>have been benches and ramp have been blasted covering the kimberlite with thick rock layer</w:t>
      </w:r>
      <w:r w:rsidR="00667979">
        <w:rPr>
          <w:rFonts w:ascii="Arial" w:hAnsi="Arial" w:cs="Arial"/>
          <w:sz w:val="24"/>
          <w:szCs w:val="24"/>
        </w:rPr>
        <w:t>,</w:t>
      </w:r>
      <w:r w:rsidR="00004D19">
        <w:rPr>
          <w:rFonts w:ascii="Arial" w:hAnsi="Arial" w:cs="Arial"/>
          <w:sz w:val="24"/>
          <w:szCs w:val="24"/>
        </w:rPr>
        <w:t xml:space="preserve"> making the kimberlite impossible to access and any illegal mining rendered difficult if not impossible. </w:t>
      </w:r>
      <w:r w:rsidR="00004D19" w:rsidRPr="0008676A">
        <w:rPr>
          <w:rFonts w:ascii="Arial" w:hAnsi="Arial" w:cs="Arial"/>
          <w:sz w:val="24"/>
          <w:szCs w:val="24"/>
        </w:rPr>
        <w:t>The area currently patrolled by the new owners and farmers</w:t>
      </w:r>
      <w:r w:rsidR="00004D19">
        <w:rPr>
          <w:rFonts w:ascii="Arial" w:hAnsi="Arial" w:cs="Arial"/>
          <w:sz w:val="24"/>
          <w:szCs w:val="24"/>
        </w:rPr>
        <w:t xml:space="preserve">. </w:t>
      </w:r>
    </w:p>
    <w:p w14:paraId="31B51C91" w14:textId="77777777" w:rsidR="0008676A" w:rsidRDefault="0008676A" w:rsidP="0008676A">
      <w:pPr>
        <w:spacing w:after="0" w:line="360" w:lineRule="auto"/>
        <w:jc w:val="both"/>
        <w:rPr>
          <w:rFonts w:ascii="Arial" w:hAnsi="Arial" w:cs="Arial"/>
          <w:sz w:val="24"/>
          <w:szCs w:val="24"/>
        </w:rPr>
      </w:pPr>
    </w:p>
    <w:p w14:paraId="25909C6C" w14:textId="2989ECAF" w:rsidR="0002365D" w:rsidRDefault="0008676A" w:rsidP="0008676A">
      <w:pPr>
        <w:spacing w:after="0" w:line="360" w:lineRule="auto"/>
        <w:jc w:val="both"/>
        <w:rPr>
          <w:rFonts w:ascii="Arial" w:hAnsi="Arial" w:cs="Arial"/>
          <w:sz w:val="24"/>
          <w:szCs w:val="24"/>
        </w:rPr>
      </w:pPr>
      <w:r>
        <w:rPr>
          <w:rFonts w:ascii="Arial" w:hAnsi="Arial" w:cs="Arial"/>
          <w:sz w:val="24"/>
          <w:szCs w:val="24"/>
        </w:rPr>
        <w:t>[2</w:t>
      </w:r>
      <w:r w:rsidR="00781B5F">
        <w:rPr>
          <w:rFonts w:ascii="Arial" w:hAnsi="Arial" w:cs="Arial"/>
          <w:sz w:val="24"/>
          <w:szCs w:val="24"/>
        </w:rPr>
        <w:t>0</w:t>
      </w:r>
      <w:r>
        <w:rPr>
          <w:rFonts w:ascii="Arial" w:hAnsi="Arial" w:cs="Arial"/>
          <w:sz w:val="24"/>
          <w:szCs w:val="24"/>
        </w:rPr>
        <w:t>]</w:t>
      </w:r>
      <w:r>
        <w:rPr>
          <w:rFonts w:ascii="Arial" w:hAnsi="Arial" w:cs="Arial"/>
          <w:sz w:val="24"/>
          <w:szCs w:val="24"/>
        </w:rPr>
        <w:tab/>
      </w:r>
      <w:r w:rsidR="0048267E">
        <w:rPr>
          <w:rFonts w:ascii="Arial" w:hAnsi="Arial" w:cs="Arial"/>
          <w:sz w:val="24"/>
          <w:szCs w:val="24"/>
        </w:rPr>
        <w:t xml:space="preserve">In addition DBCM mentioned that the </w:t>
      </w:r>
      <w:r w:rsidR="00D74786">
        <w:rPr>
          <w:rFonts w:ascii="Arial" w:hAnsi="Arial" w:cs="Arial"/>
          <w:sz w:val="24"/>
          <w:szCs w:val="24"/>
        </w:rPr>
        <w:t xml:space="preserve">allegation that the </w:t>
      </w:r>
      <w:r w:rsidR="00004D19">
        <w:rPr>
          <w:rFonts w:ascii="Arial" w:hAnsi="Arial" w:cs="Arial"/>
          <w:sz w:val="24"/>
          <w:szCs w:val="24"/>
        </w:rPr>
        <w:t>pit poses a problem has been disproven by the effluxion of time w</w:t>
      </w:r>
      <w:r w:rsidR="0048267E">
        <w:rPr>
          <w:rFonts w:ascii="Arial" w:hAnsi="Arial" w:cs="Arial"/>
          <w:sz w:val="24"/>
          <w:szCs w:val="24"/>
        </w:rPr>
        <w:t xml:space="preserve">ith </w:t>
      </w:r>
      <w:r w:rsidR="00004D19">
        <w:rPr>
          <w:rFonts w:ascii="Arial" w:hAnsi="Arial" w:cs="Arial"/>
          <w:sz w:val="24"/>
          <w:szCs w:val="24"/>
        </w:rPr>
        <w:t xml:space="preserve">no safety incidents or illegal mining incidents reported since cessation of mining operations in 2009. </w:t>
      </w:r>
      <w:r>
        <w:rPr>
          <w:rFonts w:ascii="Arial" w:hAnsi="Arial" w:cs="Arial"/>
          <w:sz w:val="24"/>
          <w:szCs w:val="24"/>
        </w:rPr>
        <w:t xml:space="preserve">A </w:t>
      </w:r>
      <w:r w:rsidR="00004D19">
        <w:rPr>
          <w:rFonts w:ascii="Arial" w:hAnsi="Arial" w:cs="Arial"/>
          <w:sz w:val="24"/>
          <w:szCs w:val="24"/>
        </w:rPr>
        <w:t>new closure plan is not feasible</w:t>
      </w:r>
      <w:r w:rsidR="0002365D">
        <w:rPr>
          <w:rFonts w:ascii="Arial" w:hAnsi="Arial" w:cs="Arial"/>
          <w:sz w:val="24"/>
          <w:szCs w:val="24"/>
        </w:rPr>
        <w:t xml:space="preserve"> and will severely prejudice DBCM</w:t>
      </w:r>
      <w:r w:rsidR="00667979">
        <w:rPr>
          <w:rFonts w:ascii="Arial" w:hAnsi="Arial" w:cs="Arial"/>
          <w:sz w:val="24"/>
          <w:szCs w:val="24"/>
        </w:rPr>
        <w:t>. T</w:t>
      </w:r>
      <w:r w:rsidR="0002365D">
        <w:rPr>
          <w:rFonts w:ascii="Arial" w:hAnsi="Arial" w:cs="Arial"/>
          <w:sz w:val="24"/>
          <w:szCs w:val="24"/>
        </w:rPr>
        <w:t>he</w:t>
      </w:r>
      <w:r w:rsidR="00435C3F">
        <w:rPr>
          <w:rFonts w:ascii="Arial" w:hAnsi="Arial" w:cs="Arial"/>
          <w:sz w:val="24"/>
          <w:szCs w:val="24"/>
        </w:rPr>
        <w:t xml:space="preserve"> </w:t>
      </w:r>
      <w:r w:rsidR="0002365D">
        <w:rPr>
          <w:rFonts w:ascii="Arial" w:hAnsi="Arial" w:cs="Arial"/>
          <w:sz w:val="24"/>
          <w:szCs w:val="24"/>
        </w:rPr>
        <w:t>request contravenes the principle of fair administrative justice.</w:t>
      </w:r>
    </w:p>
    <w:p w14:paraId="2A843FE6" w14:textId="77777777" w:rsidR="00667979" w:rsidRDefault="00667979" w:rsidP="006F45BD">
      <w:pPr>
        <w:spacing w:after="0" w:line="360" w:lineRule="auto"/>
        <w:ind w:left="720"/>
        <w:jc w:val="both"/>
        <w:rPr>
          <w:rFonts w:ascii="Arial" w:hAnsi="Arial" w:cs="Arial"/>
          <w:sz w:val="24"/>
          <w:szCs w:val="24"/>
        </w:rPr>
      </w:pPr>
    </w:p>
    <w:p w14:paraId="7AD99AB7" w14:textId="36ECEB0F" w:rsidR="00E719B1" w:rsidRDefault="00667979" w:rsidP="00D74786">
      <w:pPr>
        <w:spacing w:after="0" w:line="360" w:lineRule="auto"/>
        <w:jc w:val="both"/>
        <w:rPr>
          <w:rFonts w:ascii="Arial" w:hAnsi="Arial" w:cs="Arial"/>
          <w:sz w:val="24"/>
          <w:szCs w:val="24"/>
        </w:rPr>
      </w:pPr>
      <w:r>
        <w:rPr>
          <w:rFonts w:ascii="Arial" w:hAnsi="Arial" w:cs="Arial"/>
          <w:sz w:val="24"/>
          <w:szCs w:val="24"/>
        </w:rPr>
        <w:t>[2</w:t>
      </w:r>
      <w:r w:rsidR="00781B5F">
        <w:rPr>
          <w:rFonts w:ascii="Arial" w:hAnsi="Arial" w:cs="Arial"/>
          <w:sz w:val="24"/>
          <w:szCs w:val="24"/>
        </w:rPr>
        <w:t>1</w:t>
      </w:r>
      <w:r>
        <w:rPr>
          <w:rFonts w:ascii="Arial" w:hAnsi="Arial" w:cs="Arial"/>
          <w:sz w:val="24"/>
          <w:szCs w:val="24"/>
        </w:rPr>
        <w:t>]</w:t>
      </w:r>
      <w:r>
        <w:rPr>
          <w:rFonts w:ascii="Arial" w:hAnsi="Arial" w:cs="Arial"/>
          <w:sz w:val="24"/>
          <w:szCs w:val="24"/>
        </w:rPr>
        <w:tab/>
      </w:r>
      <w:r w:rsidR="006E427B">
        <w:rPr>
          <w:rFonts w:ascii="Arial" w:hAnsi="Arial" w:cs="Arial"/>
          <w:sz w:val="24"/>
          <w:szCs w:val="24"/>
        </w:rPr>
        <w:t xml:space="preserve">DBCM further pointed out that </w:t>
      </w:r>
      <w:r w:rsidR="00D74786">
        <w:rPr>
          <w:rFonts w:ascii="Arial" w:hAnsi="Arial" w:cs="Arial"/>
          <w:sz w:val="24"/>
          <w:szCs w:val="24"/>
        </w:rPr>
        <w:t>co</w:t>
      </w:r>
      <w:r>
        <w:rPr>
          <w:rFonts w:ascii="Arial" w:hAnsi="Arial" w:cs="Arial"/>
          <w:sz w:val="24"/>
          <w:szCs w:val="24"/>
        </w:rPr>
        <w:t xml:space="preserve">nsultations took place </w:t>
      </w:r>
      <w:r w:rsidR="0002365D">
        <w:rPr>
          <w:rFonts w:ascii="Arial" w:hAnsi="Arial" w:cs="Arial"/>
          <w:sz w:val="24"/>
          <w:szCs w:val="24"/>
        </w:rPr>
        <w:t xml:space="preserve">in 2008 </w:t>
      </w:r>
      <w:r w:rsidR="007971A0">
        <w:rPr>
          <w:rFonts w:ascii="Arial" w:hAnsi="Arial" w:cs="Arial"/>
          <w:sz w:val="24"/>
          <w:szCs w:val="24"/>
        </w:rPr>
        <w:t>when</w:t>
      </w:r>
      <w:r w:rsidR="0048267E">
        <w:rPr>
          <w:rFonts w:ascii="Arial" w:hAnsi="Arial" w:cs="Arial"/>
          <w:sz w:val="24"/>
          <w:szCs w:val="24"/>
        </w:rPr>
        <w:t xml:space="preserve"> it</w:t>
      </w:r>
      <w:r w:rsidR="007971A0">
        <w:rPr>
          <w:rFonts w:ascii="Arial" w:hAnsi="Arial" w:cs="Arial"/>
          <w:sz w:val="24"/>
          <w:szCs w:val="24"/>
        </w:rPr>
        <w:t xml:space="preserve"> </w:t>
      </w:r>
      <w:r w:rsidR="0002365D">
        <w:rPr>
          <w:rFonts w:ascii="Arial" w:hAnsi="Arial" w:cs="Arial"/>
          <w:sz w:val="24"/>
          <w:szCs w:val="24"/>
        </w:rPr>
        <w:t>embark</w:t>
      </w:r>
      <w:r w:rsidR="007971A0">
        <w:rPr>
          <w:rFonts w:ascii="Arial" w:hAnsi="Arial" w:cs="Arial"/>
          <w:sz w:val="24"/>
          <w:szCs w:val="24"/>
        </w:rPr>
        <w:t>ed</w:t>
      </w:r>
      <w:r w:rsidR="0002365D">
        <w:rPr>
          <w:rFonts w:ascii="Arial" w:hAnsi="Arial" w:cs="Arial"/>
          <w:sz w:val="24"/>
          <w:szCs w:val="24"/>
        </w:rPr>
        <w:t xml:space="preserve"> on a large scale consultation effort in preparation of its closure plan. </w:t>
      </w:r>
      <w:r w:rsidR="00435C3F">
        <w:rPr>
          <w:rFonts w:ascii="Arial" w:hAnsi="Arial" w:cs="Arial"/>
          <w:sz w:val="24"/>
          <w:szCs w:val="24"/>
        </w:rPr>
        <w:t>Due to the delays of more tha</w:t>
      </w:r>
      <w:r>
        <w:rPr>
          <w:rFonts w:ascii="Arial" w:hAnsi="Arial" w:cs="Arial"/>
          <w:sz w:val="24"/>
          <w:szCs w:val="24"/>
        </w:rPr>
        <w:t>n</w:t>
      </w:r>
      <w:r w:rsidR="00435C3F">
        <w:rPr>
          <w:rFonts w:ascii="Arial" w:hAnsi="Arial" w:cs="Arial"/>
          <w:sz w:val="24"/>
          <w:szCs w:val="24"/>
        </w:rPr>
        <w:t xml:space="preserve"> a decade in obtaining a closure certificate any new closure plan will not be effective, the parties previously consulted may not be the same or be available, the farm having not operated for more than a decade. It has complied and any further requirement that it do so not required in law.  </w:t>
      </w:r>
      <w:r w:rsidR="0002365D">
        <w:rPr>
          <w:rFonts w:ascii="Arial" w:hAnsi="Arial" w:cs="Arial"/>
          <w:sz w:val="24"/>
          <w:szCs w:val="24"/>
        </w:rPr>
        <w:t xml:space="preserve"> </w:t>
      </w:r>
      <w:r w:rsidR="00004D19">
        <w:rPr>
          <w:rFonts w:ascii="Arial" w:hAnsi="Arial" w:cs="Arial"/>
          <w:sz w:val="24"/>
          <w:szCs w:val="24"/>
        </w:rPr>
        <w:t xml:space="preserve"> </w:t>
      </w:r>
    </w:p>
    <w:p w14:paraId="0A8C666D" w14:textId="77777777" w:rsidR="00A77836" w:rsidRDefault="00A77836" w:rsidP="00A315F8">
      <w:pPr>
        <w:spacing w:after="0" w:line="360" w:lineRule="auto"/>
        <w:jc w:val="both"/>
        <w:rPr>
          <w:rFonts w:ascii="Arial" w:hAnsi="Arial" w:cs="Arial"/>
          <w:sz w:val="24"/>
          <w:szCs w:val="24"/>
        </w:rPr>
      </w:pPr>
    </w:p>
    <w:p w14:paraId="2B38C65F" w14:textId="690ACCE4" w:rsidR="005113AA" w:rsidRDefault="004D0E77" w:rsidP="00A315F8">
      <w:pPr>
        <w:spacing w:after="0" w:line="360" w:lineRule="auto"/>
        <w:jc w:val="both"/>
        <w:rPr>
          <w:rFonts w:ascii="Arial" w:hAnsi="Arial" w:cs="Arial"/>
          <w:sz w:val="24"/>
          <w:szCs w:val="24"/>
        </w:rPr>
      </w:pPr>
      <w:r>
        <w:rPr>
          <w:rFonts w:ascii="Arial" w:hAnsi="Arial" w:cs="Arial"/>
          <w:sz w:val="24"/>
          <w:szCs w:val="24"/>
        </w:rPr>
        <w:t>[2</w:t>
      </w:r>
      <w:r w:rsidR="00781B5F">
        <w:rPr>
          <w:rFonts w:ascii="Arial" w:hAnsi="Arial" w:cs="Arial"/>
          <w:sz w:val="24"/>
          <w:szCs w:val="24"/>
        </w:rPr>
        <w:t>2</w:t>
      </w:r>
      <w:r>
        <w:rPr>
          <w:rFonts w:ascii="Arial" w:hAnsi="Arial" w:cs="Arial"/>
          <w:sz w:val="24"/>
          <w:szCs w:val="24"/>
        </w:rPr>
        <w:t>]</w:t>
      </w:r>
      <w:r>
        <w:rPr>
          <w:rFonts w:ascii="Arial" w:hAnsi="Arial" w:cs="Arial"/>
          <w:sz w:val="24"/>
          <w:szCs w:val="24"/>
        </w:rPr>
        <w:tab/>
      </w:r>
      <w:r w:rsidRPr="00E4280D">
        <w:rPr>
          <w:rFonts w:ascii="Arial" w:hAnsi="Arial" w:cs="Arial"/>
          <w:sz w:val="24"/>
          <w:szCs w:val="24"/>
        </w:rPr>
        <w:t>On</w:t>
      </w:r>
      <w:r w:rsidR="00A315F8" w:rsidRPr="00E4280D">
        <w:rPr>
          <w:rFonts w:ascii="Arial" w:hAnsi="Arial" w:cs="Arial"/>
          <w:sz w:val="24"/>
          <w:szCs w:val="24"/>
        </w:rPr>
        <w:t xml:space="preserve"> </w:t>
      </w:r>
      <w:r w:rsidRPr="00E4280D">
        <w:rPr>
          <w:rFonts w:ascii="Arial" w:hAnsi="Arial" w:cs="Arial"/>
          <w:sz w:val="24"/>
          <w:szCs w:val="24"/>
        </w:rPr>
        <w:t>2 May 2020</w:t>
      </w:r>
      <w:r>
        <w:rPr>
          <w:rFonts w:ascii="Arial" w:hAnsi="Arial" w:cs="Arial"/>
          <w:sz w:val="24"/>
          <w:szCs w:val="24"/>
        </w:rPr>
        <w:t xml:space="preserve">, </w:t>
      </w:r>
      <w:r w:rsidR="0031026D">
        <w:rPr>
          <w:rFonts w:ascii="Arial" w:hAnsi="Arial" w:cs="Arial"/>
          <w:sz w:val="24"/>
          <w:szCs w:val="24"/>
        </w:rPr>
        <w:t xml:space="preserve">7 months thereafter, </w:t>
      </w:r>
      <w:r>
        <w:rPr>
          <w:rFonts w:ascii="Arial" w:hAnsi="Arial" w:cs="Arial"/>
          <w:sz w:val="24"/>
          <w:szCs w:val="24"/>
        </w:rPr>
        <w:t xml:space="preserve">DBCM sent a follow up letter enquiring on the Application for the closure certificate </w:t>
      </w:r>
      <w:r w:rsidR="006E427B">
        <w:rPr>
          <w:rFonts w:ascii="Arial" w:hAnsi="Arial" w:cs="Arial"/>
          <w:sz w:val="24"/>
          <w:szCs w:val="24"/>
        </w:rPr>
        <w:t xml:space="preserve">accusing </w:t>
      </w:r>
      <w:r>
        <w:rPr>
          <w:rFonts w:ascii="Arial" w:hAnsi="Arial" w:cs="Arial"/>
          <w:sz w:val="24"/>
          <w:szCs w:val="24"/>
        </w:rPr>
        <w:t xml:space="preserve">the DMRE </w:t>
      </w:r>
      <w:r w:rsidR="006E427B">
        <w:rPr>
          <w:rFonts w:ascii="Arial" w:hAnsi="Arial" w:cs="Arial"/>
          <w:sz w:val="24"/>
          <w:szCs w:val="24"/>
        </w:rPr>
        <w:t xml:space="preserve">of </w:t>
      </w:r>
      <w:r>
        <w:rPr>
          <w:rFonts w:ascii="Arial" w:hAnsi="Arial" w:cs="Arial"/>
          <w:sz w:val="24"/>
          <w:szCs w:val="24"/>
        </w:rPr>
        <w:t>delaying</w:t>
      </w:r>
      <w:r w:rsidR="006E427B">
        <w:rPr>
          <w:rFonts w:ascii="Arial" w:hAnsi="Arial" w:cs="Arial"/>
          <w:sz w:val="24"/>
          <w:szCs w:val="24"/>
        </w:rPr>
        <w:t xml:space="preserve"> and </w:t>
      </w:r>
      <w:r>
        <w:rPr>
          <w:rFonts w:ascii="Arial" w:hAnsi="Arial" w:cs="Arial"/>
          <w:sz w:val="24"/>
          <w:szCs w:val="24"/>
        </w:rPr>
        <w:t>purporting to reject its closure application and plan on the basis of perceived inadequacy in the closure plan “not providing for the backfilling of the open pit”.</w:t>
      </w:r>
      <w:r w:rsidR="00771B51">
        <w:rPr>
          <w:rFonts w:ascii="Arial" w:hAnsi="Arial" w:cs="Arial"/>
          <w:sz w:val="24"/>
          <w:szCs w:val="24"/>
        </w:rPr>
        <w:t xml:space="preserve"> </w:t>
      </w:r>
      <w:r w:rsidR="00D1249C">
        <w:rPr>
          <w:rFonts w:ascii="Arial" w:hAnsi="Arial" w:cs="Arial"/>
          <w:sz w:val="24"/>
          <w:szCs w:val="24"/>
        </w:rPr>
        <w:t xml:space="preserve">It </w:t>
      </w:r>
      <w:r w:rsidR="009A7E2E">
        <w:rPr>
          <w:rFonts w:ascii="Arial" w:hAnsi="Arial" w:cs="Arial"/>
          <w:sz w:val="24"/>
          <w:szCs w:val="24"/>
        </w:rPr>
        <w:t xml:space="preserve">indicated that </w:t>
      </w:r>
      <w:r w:rsidR="00D1249C">
        <w:rPr>
          <w:rFonts w:ascii="Arial" w:hAnsi="Arial" w:cs="Arial"/>
          <w:sz w:val="24"/>
          <w:szCs w:val="24"/>
        </w:rPr>
        <w:t xml:space="preserve">in the meantime </w:t>
      </w:r>
      <w:r w:rsidR="00771B51">
        <w:rPr>
          <w:rFonts w:ascii="Arial" w:hAnsi="Arial" w:cs="Arial"/>
          <w:sz w:val="24"/>
          <w:szCs w:val="24"/>
        </w:rPr>
        <w:t xml:space="preserve">a new firm </w:t>
      </w:r>
      <w:r w:rsidR="00CB0199">
        <w:rPr>
          <w:rFonts w:ascii="Arial" w:hAnsi="Arial" w:cs="Arial"/>
          <w:sz w:val="24"/>
          <w:szCs w:val="24"/>
        </w:rPr>
        <w:t xml:space="preserve">Shangoni Management Services </w:t>
      </w:r>
      <w:r w:rsidR="009A7E2E">
        <w:rPr>
          <w:rFonts w:ascii="Arial" w:hAnsi="Arial" w:cs="Arial"/>
          <w:sz w:val="24"/>
          <w:szCs w:val="24"/>
        </w:rPr>
        <w:t xml:space="preserve">was appointed </w:t>
      </w:r>
      <w:r w:rsidR="00CB0199">
        <w:rPr>
          <w:rFonts w:ascii="Arial" w:hAnsi="Arial" w:cs="Arial"/>
          <w:sz w:val="24"/>
          <w:szCs w:val="24"/>
        </w:rPr>
        <w:t xml:space="preserve">to conduct an assessment on the mine’s state of rehabilitation. </w:t>
      </w:r>
    </w:p>
    <w:p w14:paraId="4E61C843" w14:textId="77777777" w:rsidR="005113AA" w:rsidRDefault="005113AA" w:rsidP="00A315F8">
      <w:pPr>
        <w:spacing w:after="0" w:line="360" w:lineRule="auto"/>
        <w:jc w:val="both"/>
        <w:rPr>
          <w:rFonts w:ascii="Arial" w:hAnsi="Arial" w:cs="Arial"/>
          <w:sz w:val="24"/>
          <w:szCs w:val="24"/>
        </w:rPr>
      </w:pPr>
    </w:p>
    <w:p w14:paraId="49B9A9CF" w14:textId="665BD221" w:rsidR="00C84A1B" w:rsidRDefault="00781B5F" w:rsidP="00B37203">
      <w:pPr>
        <w:spacing w:after="0" w:line="360" w:lineRule="auto"/>
        <w:jc w:val="both"/>
        <w:rPr>
          <w:rFonts w:ascii="Arial" w:hAnsi="Arial" w:cs="Arial"/>
          <w:sz w:val="24"/>
          <w:szCs w:val="24"/>
        </w:rPr>
      </w:pPr>
      <w:r>
        <w:rPr>
          <w:rFonts w:ascii="Arial" w:hAnsi="Arial" w:cs="Arial"/>
          <w:sz w:val="24"/>
          <w:szCs w:val="24"/>
        </w:rPr>
        <w:t>[23</w:t>
      </w:r>
      <w:r w:rsidR="005113AA">
        <w:rPr>
          <w:rFonts w:ascii="Arial" w:hAnsi="Arial" w:cs="Arial"/>
          <w:sz w:val="24"/>
          <w:szCs w:val="24"/>
        </w:rPr>
        <w:t>]</w:t>
      </w:r>
      <w:r w:rsidR="005113AA">
        <w:rPr>
          <w:rFonts w:ascii="Arial" w:hAnsi="Arial" w:cs="Arial"/>
          <w:sz w:val="24"/>
          <w:szCs w:val="24"/>
        </w:rPr>
        <w:tab/>
      </w:r>
      <w:r w:rsidR="0031026D">
        <w:rPr>
          <w:rFonts w:ascii="Arial" w:hAnsi="Arial" w:cs="Arial"/>
          <w:sz w:val="24"/>
          <w:szCs w:val="24"/>
        </w:rPr>
        <w:t xml:space="preserve">According to DBCM, </w:t>
      </w:r>
      <w:r w:rsidR="00DF5925">
        <w:rPr>
          <w:rFonts w:ascii="Arial" w:hAnsi="Arial" w:cs="Arial"/>
          <w:sz w:val="24"/>
          <w:szCs w:val="24"/>
        </w:rPr>
        <w:t xml:space="preserve">Shangoni </w:t>
      </w:r>
      <w:r w:rsidR="00CB0199">
        <w:rPr>
          <w:rFonts w:ascii="Arial" w:hAnsi="Arial" w:cs="Arial"/>
          <w:sz w:val="24"/>
          <w:szCs w:val="24"/>
        </w:rPr>
        <w:t>conducted an independent evidence based update of the environmental risk assessment, consider</w:t>
      </w:r>
      <w:r w:rsidR="006E427B">
        <w:rPr>
          <w:rFonts w:ascii="Arial" w:hAnsi="Arial" w:cs="Arial"/>
          <w:sz w:val="24"/>
          <w:szCs w:val="24"/>
        </w:rPr>
        <w:t>ed</w:t>
      </w:r>
      <w:r w:rsidR="00CB0199">
        <w:rPr>
          <w:rFonts w:ascii="Arial" w:hAnsi="Arial" w:cs="Arial"/>
          <w:sz w:val="24"/>
          <w:szCs w:val="24"/>
        </w:rPr>
        <w:t xml:space="preserve"> the 10</w:t>
      </w:r>
      <w:r w:rsidR="005113AA">
        <w:rPr>
          <w:rFonts w:ascii="Arial" w:hAnsi="Arial" w:cs="Arial"/>
          <w:sz w:val="24"/>
          <w:szCs w:val="24"/>
        </w:rPr>
        <w:t>-</w:t>
      </w:r>
      <w:r w:rsidR="00CB0199">
        <w:rPr>
          <w:rFonts w:ascii="Arial" w:hAnsi="Arial" w:cs="Arial"/>
          <w:sz w:val="24"/>
          <w:szCs w:val="24"/>
        </w:rPr>
        <w:t>year worth of actual mitigation measures</w:t>
      </w:r>
      <w:r w:rsidR="00641F29">
        <w:rPr>
          <w:rFonts w:ascii="Arial" w:hAnsi="Arial" w:cs="Arial"/>
          <w:sz w:val="24"/>
          <w:szCs w:val="24"/>
        </w:rPr>
        <w:t xml:space="preserve"> that have been undertaken since the closure of the mines</w:t>
      </w:r>
      <w:r w:rsidR="0031026D">
        <w:rPr>
          <w:rFonts w:ascii="Arial" w:hAnsi="Arial" w:cs="Arial"/>
          <w:sz w:val="24"/>
          <w:szCs w:val="24"/>
        </w:rPr>
        <w:t>,</w:t>
      </w:r>
      <w:r w:rsidR="00DF5925">
        <w:rPr>
          <w:rFonts w:ascii="Arial" w:hAnsi="Arial" w:cs="Arial"/>
          <w:sz w:val="24"/>
          <w:szCs w:val="24"/>
        </w:rPr>
        <w:t xml:space="preserve"> with an intention </w:t>
      </w:r>
      <w:r w:rsidR="00641F29">
        <w:rPr>
          <w:rFonts w:ascii="Arial" w:hAnsi="Arial" w:cs="Arial"/>
          <w:sz w:val="24"/>
          <w:szCs w:val="24"/>
        </w:rPr>
        <w:t xml:space="preserve">to update </w:t>
      </w:r>
      <w:r w:rsidR="006E427B">
        <w:rPr>
          <w:rFonts w:ascii="Arial" w:hAnsi="Arial" w:cs="Arial"/>
          <w:sz w:val="24"/>
          <w:szCs w:val="24"/>
        </w:rPr>
        <w:t xml:space="preserve">the </w:t>
      </w:r>
      <w:r w:rsidR="00641F29">
        <w:rPr>
          <w:rFonts w:ascii="Arial" w:hAnsi="Arial" w:cs="Arial"/>
          <w:sz w:val="24"/>
          <w:szCs w:val="24"/>
        </w:rPr>
        <w:t xml:space="preserve">DMRE of the success of the current and ongoing rehabilitation efforts </w:t>
      </w:r>
      <w:r w:rsidR="00DF5925">
        <w:rPr>
          <w:rFonts w:ascii="Arial" w:hAnsi="Arial" w:cs="Arial"/>
          <w:sz w:val="24"/>
          <w:szCs w:val="24"/>
        </w:rPr>
        <w:t>that has occurred ov</w:t>
      </w:r>
      <w:r w:rsidR="00641F29">
        <w:rPr>
          <w:rFonts w:ascii="Arial" w:hAnsi="Arial" w:cs="Arial"/>
          <w:sz w:val="24"/>
          <w:szCs w:val="24"/>
        </w:rPr>
        <w:t>er the past 10 y</w:t>
      </w:r>
      <w:r w:rsidR="00DF5925">
        <w:rPr>
          <w:rFonts w:ascii="Arial" w:hAnsi="Arial" w:cs="Arial"/>
          <w:sz w:val="24"/>
          <w:szCs w:val="24"/>
        </w:rPr>
        <w:t>ea</w:t>
      </w:r>
      <w:r w:rsidR="00641F29">
        <w:rPr>
          <w:rFonts w:ascii="Arial" w:hAnsi="Arial" w:cs="Arial"/>
          <w:sz w:val="24"/>
          <w:szCs w:val="24"/>
        </w:rPr>
        <w:t>rs</w:t>
      </w:r>
      <w:r w:rsidR="0031026D">
        <w:rPr>
          <w:rFonts w:ascii="Arial" w:hAnsi="Arial" w:cs="Arial"/>
          <w:sz w:val="24"/>
          <w:szCs w:val="24"/>
        </w:rPr>
        <w:t xml:space="preserve">, </w:t>
      </w:r>
      <w:r w:rsidR="00D1249C">
        <w:rPr>
          <w:rFonts w:ascii="Arial" w:hAnsi="Arial" w:cs="Arial"/>
          <w:sz w:val="24"/>
          <w:szCs w:val="24"/>
        </w:rPr>
        <w:t xml:space="preserve">mentioning that </w:t>
      </w:r>
      <w:r w:rsidR="0031026D">
        <w:rPr>
          <w:rFonts w:ascii="Arial" w:hAnsi="Arial" w:cs="Arial"/>
          <w:sz w:val="24"/>
          <w:szCs w:val="24"/>
        </w:rPr>
        <w:t>n</w:t>
      </w:r>
      <w:r w:rsidR="000D78E0">
        <w:rPr>
          <w:rFonts w:ascii="Arial" w:hAnsi="Arial" w:cs="Arial"/>
          <w:sz w:val="24"/>
          <w:szCs w:val="24"/>
        </w:rPr>
        <w:t>o wall failures were r</w:t>
      </w:r>
      <w:r w:rsidR="00DF62A8">
        <w:rPr>
          <w:rFonts w:ascii="Arial" w:hAnsi="Arial" w:cs="Arial"/>
          <w:sz w:val="24"/>
          <w:szCs w:val="24"/>
        </w:rPr>
        <w:t xml:space="preserve">ecorded, </w:t>
      </w:r>
      <w:r w:rsidR="00C84A1B">
        <w:rPr>
          <w:rFonts w:ascii="Arial" w:hAnsi="Arial" w:cs="Arial"/>
          <w:sz w:val="24"/>
          <w:szCs w:val="24"/>
        </w:rPr>
        <w:t>n</w:t>
      </w:r>
      <w:r w:rsidR="00DF62A8">
        <w:rPr>
          <w:rFonts w:ascii="Arial" w:hAnsi="Arial" w:cs="Arial"/>
          <w:sz w:val="24"/>
          <w:szCs w:val="24"/>
        </w:rPr>
        <w:t xml:space="preserve">o illegal mining has taken place due to the remote location, </w:t>
      </w:r>
      <w:r w:rsidR="000D78E0">
        <w:rPr>
          <w:rFonts w:ascii="Arial" w:hAnsi="Arial" w:cs="Arial"/>
          <w:sz w:val="24"/>
          <w:szCs w:val="24"/>
        </w:rPr>
        <w:t xml:space="preserve">a </w:t>
      </w:r>
      <w:r w:rsidR="00DF62A8">
        <w:rPr>
          <w:rFonts w:ascii="Arial" w:hAnsi="Arial" w:cs="Arial"/>
          <w:sz w:val="24"/>
          <w:szCs w:val="24"/>
        </w:rPr>
        <w:t xml:space="preserve">blasting over </w:t>
      </w:r>
      <w:r w:rsidR="000D78E0">
        <w:rPr>
          <w:rFonts w:ascii="Arial" w:hAnsi="Arial" w:cs="Arial"/>
          <w:sz w:val="24"/>
          <w:szCs w:val="24"/>
        </w:rPr>
        <w:t xml:space="preserve">of </w:t>
      </w:r>
      <w:r w:rsidR="00DF62A8">
        <w:rPr>
          <w:rFonts w:ascii="Arial" w:hAnsi="Arial" w:cs="Arial"/>
          <w:sz w:val="24"/>
          <w:szCs w:val="24"/>
        </w:rPr>
        <w:t>the remaining kimberlite</w:t>
      </w:r>
      <w:r w:rsidR="000D78E0">
        <w:rPr>
          <w:rFonts w:ascii="Arial" w:hAnsi="Arial" w:cs="Arial"/>
          <w:sz w:val="24"/>
          <w:szCs w:val="24"/>
        </w:rPr>
        <w:t xml:space="preserve"> took place</w:t>
      </w:r>
      <w:r w:rsidR="00DF62A8">
        <w:rPr>
          <w:rFonts w:ascii="Arial" w:hAnsi="Arial" w:cs="Arial"/>
          <w:sz w:val="24"/>
          <w:szCs w:val="24"/>
        </w:rPr>
        <w:t>, strict access control measures</w:t>
      </w:r>
      <w:r w:rsidR="000D78E0">
        <w:rPr>
          <w:rFonts w:ascii="Arial" w:hAnsi="Arial" w:cs="Arial"/>
          <w:sz w:val="24"/>
          <w:szCs w:val="24"/>
        </w:rPr>
        <w:t xml:space="preserve"> in place</w:t>
      </w:r>
      <w:r w:rsidR="005469CB">
        <w:rPr>
          <w:rFonts w:ascii="Arial" w:hAnsi="Arial" w:cs="Arial"/>
          <w:sz w:val="24"/>
          <w:szCs w:val="24"/>
        </w:rPr>
        <w:t>,</w:t>
      </w:r>
      <w:r w:rsidR="000D78E0">
        <w:rPr>
          <w:rFonts w:ascii="Arial" w:hAnsi="Arial" w:cs="Arial"/>
          <w:sz w:val="24"/>
          <w:szCs w:val="24"/>
        </w:rPr>
        <w:t xml:space="preserve"> a </w:t>
      </w:r>
      <w:r w:rsidR="00DF62A8">
        <w:rPr>
          <w:rFonts w:ascii="Arial" w:hAnsi="Arial" w:cs="Arial"/>
          <w:sz w:val="24"/>
          <w:szCs w:val="24"/>
        </w:rPr>
        <w:t xml:space="preserve">2,4 cm fence and a 700mm safety berm </w:t>
      </w:r>
      <w:r w:rsidR="009A7E2E">
        <w:rPr>
          <w:rFonts w:ascii="Arial" w:hAnsi="Arial" w:cs="Arial"/>
          <w:sz w:val="24"/>
          <w:szCs w:val="24"/>
        </w:rPr>
        <w:t xml:space="preserve">that </w:t>
      </w:r>
      <w:r w:rsidR="00DF62A8">
        <w:rPr>
          <w:rFonts w:ascii="Arial" w:hAnsi="Arial" w:cs="Arial"/>
          <w:sz w:val="24"/>
          <w:szCs w:val="24"/>
        </w:rPr>
        <w:t>demarcate</w:t>
      </w:r>
      <w:r w:rsidR="009A7E2E">
        <w:rPr>
          <w:rFonts w:ascii="Arial" w:hAnsi="Arial" w:cs="Arial"/>
          <w:sz w:val="24"/>
          <w:szCs w:val="24"/>
        </w:rPr>
        <w:t>s</w:t>
      </w:r>
      <w:r w:rsidR="00DF62A8">
        <w:rPr>
          <w:rFonts w:ascii="Arial" w:hAnsi="Arial" w:cs="Arial"/>
          <w:sz w:val="24"/>
          <w:szCs w:val="24"/>
        </w:rPr>
        <w:t xml:space="preserve"> the pit area restricts access. The new owner </w:t>
      </w:r>
      <w:r w:rsidR="00C84A1B">
        <w:rPr>
          <w:rFonts w:ascii="Arial" w:hAnsi="Arial" w:cs="Arial"/>
          <w:sz w:val="24"/>
          <w:szCs w:val="24"/>
        </w:rPr>
        <w:t xml:space="preserve">of the farm </w:t>
      </w:r>
      <w:r w:rsidR="00E63A21">
        <w:rPr>
          <w:rFonts w:ascii="Arial" w:hAnsi="Arial" w:cs="Arial"/>
          <w:sz w:val="24"/>
          <w:szCs w:val="24"/>
        </w:rPr>
        <w:t xml:space="preserve">who </w:t>
      </w:r>
      <w:r w:rsidR="00DF62A8">
        <w:rPr>
          <w:rFonts w:ascii="Arial" w:hAnsi="Arial" w:cs="Arial"/>
          <w:sz w:val="24"/>
          <w:szCs w:val="24"/>
        </w:rPr>
        <w:t>operates a game farm and hunting business. The report’s c</w:t>
      </w:r>
      <w:r w:rsidR="00194E21">
        <w:rPr>
          <w:rFonts w:ascii="Arial" w:hAnsi="Arial" w:cs="Arial"/>
          <w:sz w:val="24"/>
          <w:szCs w:val="24"/>
        </w:rPr>
        <w:t>onclu</w:t>
      </w:r>
      <w:r w:rsidR="00DF62A8">
        <w:rPr>
          <w:rFonts w:ascii="Arial" w:hAnsi="Arial" w:cs="Arial"/>
          <w:sz w:val="24"/>
          <w:szCs w:val="24"/>
        </w:rPr>
        <w:t xml:space="preserve">sion was </w:t>
      </w:r>
      <w:r w:rsidR="00DF62A8" w:rsidRPr="003D6B31">
        <w:rPr>
          <w:rFonts w:ascii="Arial" w:hAnsi="Arial" w:cs="Arial"/>
          <w:sz w:val="24"/>
          <w:szCs w:val="24"/>
        </w:rPr>
        <w:t>t</w:t>
      </w:r>
      <w:r w:rsidR="00194E21" w:rsidRPr="003D6B31">
        <w:rPr>
          <w:rFonts w:ascii="Arial" w:hAnsi="Arial" w:cs="Arial"/>
          <w:sz w:val="24"/>
          <w:szCs w:val="24"/>
        </w:rPr>
        <w:t>hat rehabilitation of the Oaks Mine complex</w:t>
      </w:r>
      <w:r w:rsidR="00194E21">
        <w:rPr>
          <w:rFonts w:ascii="Arial" w:hAnsi="Arial" w:cs="Arial"/>
          <w:sz w:val="24"/>
          <w:szCs w:val="24"/>
        </w:rPr>
        <w:t xml:space="preserve"> over the past ten years has proven to be successful. </w:t>
      </w:r>
      <w:r w:rsidR="00B37203">
        <w:rPr>
          <w:rFonts w:ascii="Arial" w:hAnsi="Arial" w:cs="Arial"/>
          <w:sz w:val="24"/>
          <w:szCs w:val="24"/>
        </w:rPr>
        <w:t xml:space="preserve">In the circumstances </w:t>
      </w:r>
      <w:r w:rsidR="00D1249C">
        <w:rPr>
          <w:rFonts w:ascii="Arial" w:hAnsi="Arial" w:cs="Arial"/>
          <w:sz w:val="24"/>
          <w:szCs w:val="24"/>
        </w:rPr>
        <w:t xml:space="preserve">alleged that </w:t>
      </w:r>
      <w:r w:rsidR="00B37203">
        <w:rPr>
          <w:rFonts w:ascii="Arial" w:hAnsi="Arial" w:cs="Arial"/>
          <w:sz w:val="24"/>
          <w:szCs w:val="24"/>
        </w:rPr>
        <w:t xml:space="preserve">any demand by DMRE to backfill the open pit is unreasonable and irrational. </w:t>
      </w:r>
    </w:p>
    <w:p w14:paraId="49A74F91" w14:textId="77777777" w:rsidR="00C84A1B" w:rsidRDefault="00C84A1B" w:rsidP="00B37203">
      <w:pPr>
        <w:spacing w:after="0" w:line="360" w:lineRule="auto"/>
        <w:jc w:val="both"/>
        <w:rPr>
          <w:rFonts w:ascii="Arial" w:hAnsi="Arial" w:cs="Arial"/>
          <w:sz w:val="24"/>
          <w:szCs w:val="24"/>
        </w:rPr>
      </w:pPr>
    </w:p>
    <w:p w14:paraId="2984C157" w14:textId="662979BB" w:rsidR="004D0E77" w:rsidRPr="00157492" w:rsidRDefault="00F52E97" w:rsidP="00B37203">
      <w:pPr>
        <w:spacing w:after="0" w:line="360" w:lineRule="auto"/>
        <w:jc w:val="both"/>
        <w:rPr>
          <w:rFonts w:ascii="Arial" w:hAnsi="Arial" w:cs="Arial"/>
          <w:sz w:val="24"/>
          <w:szCs w:val="24"/>
        </w:rPr>
      </w:pPr>
      <w:r>
        <w:rPr>
          <w:rFonts w:ascii="Arial" w:hAnsi="Arial" w:cs="Arial"/>
          <w:sz w:val="24"/>
          <w:szCs w:val="24"/>
        </w:rPr>
        <w:t>[</w:t>
      </w:r>
      <w:r w:rsidR="00781B5F">
        <w:rPr>
          <w:rFonts w:ascii="Arial" w:hAnsi="Arial" w:cs="Arial"/>
          <w:sz w:val="24"/>
          <w:szCs w:val="24"/>
        </w:rPr>
        <w:t>24</w:t>
      </w:r>
      <w:r w:rsidR="00C84A1B">
        <w:rPr>
          <w:rFonts w:ascii="Arial" w:hAnsi="Arial" w:cs="Arial"/>
          <w:sz w:val="24"/>
          <w:szCs w:val="24"/>
        </w:rPr>
        <w:t>]</w:t>
      </w:r>
      <w:r w:rsidR="00C84A1B">
        <w:rPr>
          <w:rFonts w:ascii="Arial" w:hAnsi="Arial" w:cs="Arial"/>
          <w:sz w:val="24"/>
          <w:szCs w:val="24"/>
        </w:rPr>
        <w:tab/>
      </w:r>
      <w:r w:rsidR="00B37203">
        <w:rPr>
          <w:rFonts w:ascii="Arial" w:hAnsi="Arial" w:cs="Arial"/>
          <w:sz w:val="24"/>
          <w:szCs w:val="24"/>
        </w:rPr>
        <w:t xml:space="preserve">The DBCM </w:t>
      </w:r>
      <w:r w:rsidR="00C84A1B">
        <w:rPr>
          <w:rFonts w:ascii="Arial" w:hAnsi="Arial" w:cs="Arial"/>
          <w:sz w:val="24"/>
          <w:szCs w:val="24"/>
        </w:rPr>
        <w:t xml:space="preserve">insisted </w:t>
      </w:r>
      <w:r w:rsidR="00D1249C">
        <w:rPr>
          <w:rFonts w:ascii="Arial" w:hAnsi="Arial" w:cs="Arial"/>
          <w:sz w:val="24"/>
          <w:szCs w:val="24"/>
        </w:rPr>
        <w:t>that</w:t>
      </w:r>
      <w:r w:rsidR="00281CBD">
        <w:rPr>
          <w:rFonts w:ascii="Arial" w:hAnsi="Arial" w:cs="Arial"/>
          <w:sz w:val="24"/>
          <w:szCs w:val="24"/>
        </w:rPr>
        <w:t>,</w:t>
      </w:r>
      <w:r w:rsidR="00D1249C">
        <w:rPr>
          <w:rFonts w:ascii="Arial" w:hAnsi="Arial" w:cs="Arial"/>
          <w:sz w:val="24"/>
          <w:szCs w:val="24"/>
        </w:rPr>
        <w:t xml:space="preserve"> </w:t>
      </w:r>
      <w:r w:rsidR="00C84A1B">
        <w:rPr>
          <w:rFonts w:ascii="Arial" w:hAnsi="Arial" w:cs="Arial"/>
          <w:sz w:val="24"/>
          <w:szCs w:val="24"/>
        </w:rPr>
        <w:t xml:space="preserve">its </w:t>
      </w:r>
      <w:r w:rsidR="00B37203">
        <w:rPr>
          <w:rFonts w:ascii="Arial" w:hAnsi="Arial" w:cs="Arial"/>
          <w:sz w:val="24"/>
          <w:szCs w:val="24"/>
        </w:rPr>
        <w:t xml:space="preserve">Closure Application remains </w:t>
      </w:r>
      <w:r w:rsidR="00DF62A8">
        <w:rPr>
          <w:rFonts w:ascii="Arial" w:hAnsi="Arial" w:cs="Arial"/>
          <w:sz w:val="24"/>
          <w:szCs w:val="24"/>
        </w:rPr>
        <w:t xml:space="preserve">the </w:t>
      </w:r>
      <w:r w:rsidR="00B37203">
        <w:rPr>
          <w:rFonts w:ascii="Arial" w:hAnsi="Arial" w:cs="Arial"/>
          <w:sz w:val="24"/>
          <w:szCs w:val="24"/>
        </w:rPr>
        <w:t xml:space="preserve">one first submitted </w:t>
      </w:r>
      <w:r w:rsidR="00F8778F">
        <w:rPr>
          <w:rFonts w:ascii="Arial" w:hAnsi="Arial" w:cs="Arial"/>
          <w:sz w:val="24"/>
          <w:szCs w:val="24"/>
        </w:rPr>
        <w:t xml:space="preserve">on 3 November </w:t>
      </w:r>
      <w:r w:rsidR="00B37203">
        <w:rPr>
          <w:rFonts w:ascii="Arial" w:hAnsi="Arial" w:cs="Arial"/>
          <w:sz w:val="24"/>
          <w:szCs w:val="24"/>
        </w:rPr>
        <w:t>2009</w:t>
      </w:r>
      <w:r w:rsidR="00D1249C">
        <w:rPr>
          <w:rFonts w:ascii="Arial" w:hAnsi="Arial" w:cs="Arial"/>
          <w:sz w:val="24"/>
          <w:szCs w:val="24"/>
        </w:rPr>
        <w:t xml:space="preserve"> </w:t>
      </w:r>
      <w:r w:rsidR="009A7E2E">
        <w:rPr>
          <w:rFonts w:ascii="Arial" w:hAnsi="Arial" w:cs="Arial"/>
          <w:sz w:val="24"/>
          <w:szCs w:val="24"/>
        </w:rPr>
        <w:t xml:space="preserve">on </w:t>
      </w:r>
      <w:r w:rsidR="00281CBD">
        <w:rPr>
          <w:rFonts w:ascii="Arial" w:hAnsi="Arial" w:cs="Arial"/>
          <w:sz w:val="24"/>
          <w:szCs w:val="24"/>
        </w:rPr>
        <w:t xml:space="preserve">which </w:t>
      </w:r>
      <w:r w:rsidR="00D1249C">
        <w:rPr>
          <w:rFonts w:ascii="Arial" w:hAnsi="Arial" w:cs="Arial"/>
          <w:sz w:val="24"/>
          <w:szCs w:val="24"/>
        </w:rPr>
        <w:t xml:space="preserve">the </w:t>
      </w:r>
      <w:r w:rsidR="00C84A1B" w:rsidRPr="00010A6C">
        <w:rPr>
          <w:rFonts w:ascii="Arial" w:hAnsi="Arial" w:cs="Arial"/>
          <w:sz w:val="24"/>
          <w:szCs w:val="24"/>
        </w:rPr>
        <w:t xml:space="preserve">DMRE </w:t>
      </w:r>
      <w:r w:rsidR="00281CBD" w:rsidRPr="00010A6C">
        <w:rPr>
          <w:rFonts w:ascii="Arial" w:hAnsi="Arial" w:cs="Arial"/>
          <w:sz w:val="24"/>
          <w:szCs w:val="24"/>
        </w:rPr>
        <w:t xml:space="preserve">had failed, or refused or neglected to make a decision </w:t>
      </w:r>
      <w:r w:rsidR="009A7E2E">
        <w:rPr>
          <w:rFonts w:ascii="Arial" w:hAnsi="Arial" w:cs="Arial"/>
          <w:sz w:val="24"/>
          <w:szCs w:val="24"/>
        </w:rPr>
        <w:t xml:space="preserve">but </w:t>
      </w:r>
      <w:r w:rsidR="00281CBD">
        <w:rPr>
          <w:rFonts w:ascii="Arial" w:hAnsi="Arial" w:cs="Arial"/>
          <w:sz w:val="24"/>
          <w:szCs w:val="24"/>
        </w:rPr>
        <w:t xml:space="preserve">only </w:t>
      </w:r>
      <w:r w:rsidR="00C84A1B" w:rsidRPr="00010A6C">
        <w:rPr>
          <w:rFonts w:ascii="Arial" w:hAnsi="Arial" w:cs="Arial"/>
          <w:sz w:val="24"/>
          <w:szCs w:val="24"/>
        </w:rPr>
        <w:t>c</w:t>
      </w:r>
      <w:r w:rsidR="00B37203" w:rsidRPr="00010A6C">
        <w:rPr>
          <w:rFonts w:ascii="Arial" w:hAnsi="Arial" w:cs="Arial"/>
          <w:sz w:val="24"/>
          <w:szCs w:val="24"/>
        </w:rPr>
        <w:t xml:space="preserve">omments on </w:t>
      </w:r>
      <w:r w:rsidR="00D1249C" w:rsidRPr="00010A6C">
        <w:rPr>
          <w:rFonts w:ascii="Arial" w:hAnsi="Arial" w:cs="Arial"/>
          <w:sz w:val="24"/>
          <w:szCs w:val="24"/>
        </w:rPr>
        <w:t xml:space="preserve">its </w:t>
      </w:r>
      <w:r w:rsidR="00B37203" w:rsidRPr="00010A6C">
        <w:rPr>
          <w:rFonts w:ascii="Arial" w:hAnsi="Arial" w:cs="Arial"/>
          <w:sz w:val="24"/>
          <w:szCs w:val="24"/>
        </w:rPr>
        <w:t xml:space="preserve">Closure Plan. </w:t>
      </w:r>
      <w:r w:rsidR="00522D4D">
        <w:rPr>
          <w:rFonts w:ascii="Arial" w:hAnsi="Arial" w:cs="Arial"/>
          <w:sz w:val="24"/>
          <w:szCs w:val="24"/>
        </w:rPr>
        <w:t>Also that its</w:t>
      </w:r>
      <w:r w:rsidR="00B37203" w:rsidRPr="00010A6C">
        <w:rPr>
          <w:rFonts w:ascii="Arial" w:hAnsi="Arial" w:cs="Arial"/>
          <w:sz w:val="24"/>
          <w:szCs w:val="24"/>
        </w:rPr>
        <w:t xml:space="preserve"> Application must be decided in terms of s 43 </w:t>
      </w:r>
      <w:r w:rsidR="004579F4" w:rsidRPr="00010A6C">
        <w:rPr>
          <w:rFonts w:ascii="Arial" w:hAnsi="Arial" w:cs="Arial"/>
          <w:sz w:val="24"/>
          <w:szCs w:val="24"/>
        </w:rPr>
        <w:t xml:space="preserve">of the MPRDA and the MPRD Regulations as they existed </w:t>
      </w:r>
      <w:r w:rsidR="00281CBD">
        <w:rPr>
          <w:rFonts w:ascii="Arial" w:hAnsi="Arial" w:cs="Arial"/>
          <w:sz w:val="24"/>
          <w:szCs w:val="24"/>
        </w:rPr>
        <w:t xml:space="preserve">on </w:t>
      </w:r>
      <w:r w:rsidR="004579F4" w:rsidRPr="00010A6C">
        <w:rPr>
          <w:rFonts w:ascii="Arial" w:hAnsi="Arial" w:cs="Arial"/>
          <w:sz w:val="24"/>
          <w:szCs w:val="24"/>
        </w:rPr>
        <w:t xml:space="preserve">the </w:t>
      </w:r>
      <w:r w:rsidR="00F8778F">
        <w:rPr>
          <w:rFonts w:ascii="Arial" w:hAnsi="Arial" w:cs="Arial"/>
          <w:sz w:val="24"/>
          <w:szCs w:val="24"/>
        </w:rPr>
        <w:t xml:space="preserve">date </w:t>
      </w:r>
      <w:r w:rsidR="00281CBD">
        <w:rPr>
          <w:rFonts w:ascii="Arial" w:hAnsi="Arial" w:cs="Arial"/>
          <w:sz w:val="24"/>
          <w:szCs w:val="24"/>
        </w:rPr>
        <w:t>the</w:t>
      </w:r>
      <w:r w:rsidR="004579F4" w:rsidRPr="00010A6C">
        <w:rPr>
          <w:rFonts w:ascii="Arial" w:hAnsi="Arial" w:cs="Arial"/>
          <w:sz w:val="24"/>
          <w:szCs w:val="24"/>
        </w:rPr>
        <w:t xml:space="preserve"> </w:t>
      </w:r>
      <w:r w:rsidR="00281CBD">
        <w:rPr>
          <w:rFonts w:ascii="Arial" w:hAnsi="Arial" w:cs="Arial"/>
          <w:sz w:val="24"/>
          <w:szCs w:val="24"/>
        </w:rPr>
        <w:t>Closure Application was submitted</w:t>
      </w:r>
      <w:r w:rsidR="004579F4" w:rsidRPr="00010A6C">
        <w:rPr>
          <w:rFonts w:ascii="Arial" w:hAnsi="Arial" w:cs="Arial"/>
          <w:sz w:val="24"/>
          <w:szCs w:val="24"/>
        </w:rPr>
        <w:t>.</w:t>
      </w:r>
      <w:r w:rsidR="004579F4">
        <w:rPr>
          <w:rFonts w:ascii="Arial" w:hAnsi="Arial" w:cs="Arial"/>
          <w:sz w:val="24"/>
          <w:szCs w:val="24"/>
        </w:rPr>
        <w:t xml:space="preserve"> </w:t>
      </w:r>
      <w:r w:rsidR="00281CBD">
        <w:rPr>
          <w:rFonts w:ascii="Arial" w:hAnsi="Arial" w:cs="Arial"/>
          <w:sz w:val="24"/>
          <w:szCs w:val="24"/>
        </w:rPr>
        <w:t>T</w:t>
      </w:r>
      <w:r w:rsidR="00D1249C">
        <w:rPr>
          <w:rFonts w:ascii="Arial" w:hAnsi="Arial" w:cs="Arial"/>
          <w:sz w:val="24"/>
          <w:szCs w:val="24"/>
        </w:rPr>
        <w:t xml:space="preserve">he s </w:t>
      </w:r>
      <w:r w:rsidR="004579F4">
        <w:rPr>
          <w:rFonts w:ascii="Arial" w:hAnsi="Arial" w:cs="Arial"/>
          <w:sz w:val="24"/>
          <w:szCs w:val="24"/>
        </w:rPr>
        <w:t>43</w:t>
      </w:r>
      <w:r w:rsidR="00D1249C">
        <w:rPr>
          <w:rFonts w:ascii="Arial" w:hAnsi="Arial" w:cs="Arial"/>
          <w:sz w:val="24"/>
          <w:szCs w:val="24"/>
        </w:rPr>
        <w:t xml:space="preserve">, </w:t>
      </w:r>
      <w:r w:rsidR="00D15C55">
        <w:rPr>
          <w:rFonts w:ascii="Arial" w:hAnsi="Arial" w:cs="Arial"/>
          <w:sz w:val="24"/>
          <w:szCs w:val="24"/>
        </w:rPr>
        <w:t xml:space="preserve">NEMA </w:t>
      </w:r>
      <w:r w:rsidR="004579F4">
        <w:rPr>
          <w:rFonts w:ascii="Arial" w:hAnsi="Arial" w:cs="Arial"/>
          <w:sz w:val="24"/>
          <w:szCs w:val="24"/>
        </w:rPr>
        <w:t>and Regulation</w:t>
      </w:r>
      <w:r w:rsidR="00546329">
        <w:rPr>
          <w:rFonts w:ascii="Arial" w:hAnsi="Arial" w:cs="Arial"/>
          <w:sz w:val="24"/>
          <w:szCs w:val="24"/>
        </w:rPr>
        <w:t>s</w:t>
      </w:r>
      <w:r w:rsidR="004579F4">
        <w:rPr>
          <w:rFonts w:ascii="Arial" w:hAnsi="Arial" w:cs="Arial"/>
          <w:sz w:val="24"/>
          <w:szCs w:val="24"/>
        </w:rPr>
        <w:t xml:space="preserve"> </w:t>
      </w:r>
      <w:r w:rsidR="00281CBD">
        <w:rPr>
          <w:rFonts w:ascii="Arial" w:hAnsi="Arial" w:cs="Arial"/>
          <w:sz w:val="24"/>
          <w:szCs w:val="24"/>
        </w:rPr>
        <w:t xml:space="preserve">amendments </w:t>
      </w:r>
      <w:r w:rsidR="009C3878">
        <w:rPr>
          <w:rFonts w:ascii="Arial" w:hAnsi="Arial" w:cs="Arial"/>
          <w:sz w:val="24"/>
          <w:szCs w:val="24"/>
        </w:rPr>
        <w:t>effective post the date of</w:t>
      </w:r>
      <w:r w:rsidR="00281CBD">
        <w:rPr>
          <w:rFonts w:ascii="Arial" w:hAnsi="Arial" w:cs="Arial"/>
          <w:sz w:val="24"/>
          <w:szCs w:val="24"/>
        </w:rPr>
        <w:t xml:space="preserve"> </w:t>
      </w:r>
      <w:r w:rsidR="00F8778F">
        <w:rPr>
          <w:rFonts w:ascii="Arial" w:hAnsi="Arial" w:cs="Arial"/>
          <w:sz w:val="24"/>
          <w:szCs w:val="24"/>
        </w:rPr>
        <w:t>its C</w:t>
      </w:r>
      <w:r w:rsidR="00546329">
        <w:rPr>
          <w:rFonts w:ascii="Arial" w:hAnsi="Arial" w:cs="Arial"/>
          <w:sz w:val="24"/>
          <w:szCs w:val="24"/>
        </w:rPr>
        <w:t>losure Application</w:t>
      </w:r>
      <w:r w:rsidR="00010A6C">
        <w:rPr>
          <w:rFonts w:ascii="Arial" w:hAnsi="Arial" w:cs="Arial"/>
          <w:sz w:val="24"/>
          <w:szCs w:val="24"/>
        </w:rPr>
        <w:t xml:space="preserve"> </w:t>
      </w:r>
      <w:r w:rsidR="009C3878">
        <w:rPr>
          <w:rFonts w:ascii="Arial" w:hAnsi="Arial" w:cs="Arial"/>
          <w:sz w:val="24"/>
          <w:szCs w:val="24"/>
        </w:rPr>
        <w:t xml:space="preserve">not applicable. It </w:t>
      </w:r>
      <w:r w:rsidR="00D1249C" w:rsidRPr="00157492">
        <w:rPr>
          <w:rFonts w:ascii="Arial" w:hAnsi="Arial" w:cs="Arial"/>
          <w:sz w:val="24"/>
          <w:szCs w:val="24"/>
        </w:rPr>
        <w:t>demand</w:t>
      </w:r>
      <w:r w:rsidR="009C3878" w:rsidRPr="00157492">
        <w:rPr>
          <w:rFonts w:ascii="Arial" w:hAnsi="Arial" w:cs="Arial"/>
          <w:sz w:val="24"/>
          <w:szCs w:val="24"/>
        </w:rPr>
        <w:t xml:space="preserve">ed </w:t>
      </w:r>
      <w:r w:rsidR="00D1249C" w:rsidRPr="00157492">
        <w:rPr>
          <w:rFonts w:ascii="Arial" w:hAnsi="Arial" w:cs="Arial"/>
          <w:sz w:val="24"/>
          <w:szCs w:val="24"/>
        </w:rPr>
        <w:t>a</w:t>
      </w:r>
      <w:r w:rsidR="00546329" w:rsidRPr="00157492">
        <w:rPr>
          <w:rFonts w:ascii="Arial" w:hAnsi="Arial" w:cs="Arial"/>
          <w:sz w:val="24"/>
          <w:szCs w:val="24"/>
        </w:rPr>
        <w:t xml:space="preserve"> final decision on the </w:t>
      </w:r>
      <w:r w:rsidR="009C3878" w:rsidRPr="00157492">
        <w:rPr>
          <w:rFonts w:ascii="Arial" w:hAnsi="Arial" w:cs="Arial"/>
          <w:sz w:val="24"/>
          <w:szCs w:val="24"/>
        </w:rPr>
        <w:t xml:space="preserve">Closure </w:t>
      </w:r>
      <w:r w:rsidR="00546329" w:rsidRPr="00157492">
        <w:rPr>
          <w:rFonts w:ascii="Arial" w:hAnsi="Arial" w:cs="Arial"/>
          <w:sz w:val="24"/>
          <w:szCs w:val="24"/>
        </w:rPr>
        <w:t xml:space="preserve">Application </w:t>
      </w:r>
      <w:r w:rsidR="00D1249C" w:rsidRPr="00157492">
        <w:rPr>
          <w:rFonts w:ascii="Arial" w:hAnsi="Arial" w:cs="Arial"/>
          <w:sz w:val="24"/>
          <w:szCs w:val="24"/>
        </w:rPr>
        <w:t xml:space="preserve">by 10 June 2020 that </w:t>
      </w:r>
      <w:r w:rsidR="00546329" w:rsidRPr="00157492">
        <w:rPr>
          <w:rFonts w:ascii="Arial" w:hAnsi="Arial" w:cs="Arial"/>
          <w:sz w:val="24"/>
          <w:szCs w:val="24"/>
        </w:rPr>
        <w:t>tak</w:t>
      </w:r>
      <w:r w:rsidR="00D1249C" w:rsidRPr="00157492">
        <w:rPr>
          <w:rFonts w:ascii="Arial" w:hAnsi="Arial" w:cs="Arial"/>
          <w:sz w:val="24"/>
          <w:szCs w:val="24"/>
        </w:rPr>
        <w:t xml:space="preserve">es </w:t>
      </w:r>
      <w:r w:rsidR="00546329" w:rsidRPr="00157492">
        <w:rPr>
          <w:rFonts w:ascii="Arial" w:hAnsi="Arial" w:cs="Arial"/>
          <w:sz w:val="24"/>
          <w:szCs w:val="24"/>
        </w:rPr>
        <w:t>into account the updated records</w:t>
      </w:r>
      <w:r w:rsidR="00D1249C" w:rsidRPr="00157492">
        <w:rPr>
          <w:rFonts w:ascii="Arial" w:hAnsi="Arial" w:cs="Arial"/>
          <w:sz w:val="24"/>
          <w:szCs w:val="24"/>
        </w:rPr>
        <w:t>.</w:t>
      </w:r>
    </w:p>
    <w:p w14:paraId="17E6E4B8" w14:textId="77777777" w:rsidR="004D0E77" w:rsidRDefault="004D0E77" w:rsidP="00A315F8">
      <w:pPr>
        <w:spacing w:after="0" w:line="360" w:lineRule="auto"/>
        <w:jc w:val="both"/>
        <w:rPr>
          <w:rFonts w:ascii="Arial" w:hAnsi="Arial" w:cs="Arial"/>
          <w:sz w:val="24"/>
          <w:szCs w:val="24"/>
        </w:rPr>
      </w:pPr>
    </w:p>
    <w:p w14:paraId="7C5FFEC7" w14:textId="2F69F04B" w:rsidR="00DF5925" w:rsidRDefault="00781B5F" w:rsidP="00DF5925">
      <w:pPr>
        <w:spacing w:after="0" w:line="360" w:lineRule="auto"/>
        <w:jc w:val="both"/>
        <w:rPr>
          <w:rFonts w:ascii="Arial" w:hAnsi="Arial" w:cs="Arial"/>
          <w:sz w:val="24"/>
          <w:szCs w:val="24"/>
        </w:rPr>
      </w:pPr>
      <w:r>
        <w:rPr>
          <w:rFonts w:ascii="Arial" w:hAnsi="Arial" w:cs="Arial"/>
          <w:sz w:val="24"/>
          <w:szCs w:val="24"/>
        </w:rPr>
        <w:t>[25</w:t>
      </w:r>
      <w:r w:rsidR="00DF5925">
        <w:rPr>
          <w:rFonts w:ascii="Arial" w:hAnsi="Arial" w:cs="Arial"/>
          <w:sz w:val="24"/>
          <w:szCs w:val="24"/>
        </w:rPr>
        <w:t>]</w:t>
      </w:r>
      <w:r w:rsidR="00DF5925">
        <w:rPr>
          <w:rFonts w:ascii="Arial" w:hAnsi="Arial" w:cs="Arial"/>
          <w:sz w:val="24"/>
          <w:szCs w:val="24"/>
        </w:rPr>
        <w:tab/>
        <w:t xml:space="preserve"> </w:t>
      </w:r>
      <w:r w:rsidR="00DF5925" w:rsidRPr="009A7E2E">
        <w:rPr>
          <w:rFonts w:ascii="Arial" w:hAnsi="Arial" w:cs="Arial"/>
          <w:sz w:val="24"/>
          <w:szCs w:val="24"/>
        </w:rPr>
        <w:t xml:space="preserve">On </w:t>
      </w:r>
      <w:r w:rsidR="00A315F8" w:rsidRPr="009A7E2E">
        <w:rPr>
          <w:rFonts w:ascii="Arial" w:hAnsi="Arial" w:cs="Arial"/>
          <w:sz w:val="24"/>
          <w:szCs w:val="24"/>
        </w:rPr>
        <w:t xml:space="preserve">6 June 2020 the </w:t>
      </w:r>
      <w:r w:rsidR="00010A6C" w:rsidRPr="009A7E2E">
        <w:rPr>
          <w:rFonts w:ascii="Arial" w:hAnsi="Arial" w:cs="Arial"/>
          <w:sz w:val="24"/>
          <w:szCs w:val="24"/>
        </w:rPr>
        <w:t>1</w:t>
      </w:r>
      <w:r w:rsidR="00010A6C" w:rsidRPr="009A7E2E">
        <w:rPr>
          <w:rFonts w:ascii="Arial" w:hAnsi="Arial" w:cs="Arial"/>
          <w:sz w:val="24"/>
          <w:szCs w:val="24"/>
          <w:vertAlign w:val="superscript"/>
        </w:rPr>
        <w:t>st</w:t>
      </w:r>
      <w:r w:rsidR="00010A6C" w:rsidRPr="009A7E2E">
        <w:rPr>
          <w:rFonts w:ascii="Arial" w:hAnsi="Arial" w:cs="Arial"/>
          <w:sz w:val="24"/>
          <w:szCs w:val="24"/>
        </w:rPr>
        <w:t xml:space="preserve"> Respondent</w:t>
      </w:r>
      <w:r w:rsidR="00DF5925" w:rsidRPr="009A7E2E">
        <w:rPr>
          <w:rFonts w:ascii="Arial" w:hAnsi="Arial" w:cs="Arial"/>
          <w:sz w:val="24"/>
          <w:szCs w:val="24"/>
        </w:rPr>
        <w:t xml:space="preserve"> </w:t>
      </w:r>
      <w:r w:rsidR="00A315F8" w:rsidRPr="009A7E2E">
        <w:rPr>
          <w:rFonts w:ascii="Arial" w:hAnsi="Arial" w:cs="Arial"/>
          <w:sz w:val="24"/>
          <w:szCs w:val="24"/>
        </w:rPr>
        <w:t xml:space="preserve">informed DBCM in a letter that its Closure Application would continue or </w:t>
      </w:r>
      <w:r w:rsidR="00A315F8" w:rsidRPr="003D6B31">
        <w:rPr>
          <w:rFonts w:ascii="Arial" w:hAnsi="Arial" w:cs="Arial"/>
          <w:sz w:val="24"/>
          <w:szCs w:val="24"/>
        </w:rPr>
        <w:t xml:space="preserve">remain pending until a revised Closure Plan </w:t>
      </w:r>
      <w:r w:rsidR="00A315F8" w:rsidRPr="009A7E2E">
        <w:rPr>
          <w:rFonts w:ascii="Arial" w:hAnsi="Arial" w:cs="Arial"/>
          <w:sz w:val="24"/>
          <w:szCs w:val="24"/>
        </w:rPr>
        <w:t>has been submitted to the DMRE explaining how the open pit on the Oaks Mine would be backfilled.</w:t>
      </w:r>
      <w:r w:rsidR="00DF5925" w:rsidRPr="00DF5925">
        <w:rPr>
          <w:rFonts w:ascii="Arial" w:hAnsi="Arial" w:cs="Arial"/>
          <w:sz w:val="24"/>
          <w:szCs w:val="24"/>
        </w:rPr>
        <w:t xml:space="preserve"> </w:t>
      </w:r>
      <w:r w:rsidR="00522D4D">
        <w:rPr>
          <w:rFonts w:ascii="Arial" w:hAnsi="Arial" w:cs="Arial"/>
          <w:sz w:val="24"/>
          <w:szCs w:val="24"/>
        </w:rPr>
        <w:t>C</w:t>
      </w:r>
      <w:r w:rsidR="00522D4D" w:rsidRPr="00031230">
        <w:rPr>
          <w:rFonts w:ascii="Arial" w:hAnsi="Arial" w:cs="Arial"/>
          <w:sz w:val="24"/>
          <w:szCs w:val="24"/>
        </w:rPr>
        <w:t>onsequently</w:t>
      </w:r>
      <w:r w:rsidR="00522D4D">
        <w:rPr>
          <w:rFonts w:ascii="Arial" w:hAnsi="Arial" w:cs="Arial"/>
          <w:sz w:val="24"/>
          <w:szCs w:val="24"/>
        </w:rPr>
        <w:t>,</w:t>
      </w:r>
      <w:r w:rsidR="00522D4D" w:rsidRPr="00031230">
        <w:rPr>
          <w:rFonts w:ascii="Arial" w:hAnsi="Arial" w:cs="Arial"/>
          <w:sz w:val="24"/>
          <w:szCs w:val="24"/>
        </w:rPr>
        <w:t xml:space="preserve"> </w:t>
      </w:r>
      <w:r w:rsidR="00DF5925" w:rsidRPr="00031230">
        <w:rPr>
          <w:rFonts w:ascii="Arial" w:hAnsi="Arial" w:cs="Arial"/>
          <w:sz w:val="24"/>
          <w:szCs w:val="24"/>
        </w:rPr>
        <w:t xml:space="preserve">DBCM lodged an </w:t>
      </w:r>
      <w:r w:rsidR="00DF5925" w:rsidRPr="003D6B31">
        <w:rPr>
          <w:rFonts w:ascii="Arial" w:hAnsi="Arial" w:cs="Arial"/>
          <w:sz w:val="24"/>
          <w:szCs w:val="24"/>
        </w:rPr>
        <w:t xml:space="preserve">internal appeal with the </w:t>
      </w:r>
      <w:r w:rsidR="00522D4D">
        <w:rPr>
          <w:rFonts w:ascii="Arial" w:hAnsi="Arial" w:cs="Arial"/>
          <w:sz w:val="24"/>
          <w:szCs w:val="24"/>
        </w:rPr>
        <w:t>2</w:t>
      </w:r>
      <w:r w:rsidR="00522D4D" w:rsidRPr="00522D4D">
        <w:rPr>
          <w:rFonts w:ascii="Arial" w:hAnsi="Arial" w:cs="Arial"/>
          <w:sz w:val="24"/>
          <w:szCs w:val="24"/>
          <w:vertAlign w:val="superscript"/>
        </w:rPr>
        <w:t>nd</w:t>
      </w:r>
      <w:r w:rsidR="00522D4D">
        <w:rPr>
          <w:rFonts w:ascii="Arial" w:hAnsi="Arial" w:cs="Arial"/>
          <w:sz w:val="24"/>
          <w:szCs w:val="24"/>
        </w:rPr>
        <w:t xml:space="preserve"> Respondent on July 2020 </w:t>
      </w:r>
      <w:r w:rsidR="00DF5925" w:rsidRPr="003D6B31">
        <w:rPr>
          <w:rFonts w:ascii="Arial" w:hAnsi="Arial" w:cs="Arial"/>
          <w:sz w:val="24"/>
          <w:szCs w:val="24"/>
        </w:rPr>
        <w:t xml:space="preserve">against the </w:t>
      </w:r>
      <w:r w:rsidR="003C57F5" w:rsidRPr="003D6B31">
        <w:rPr>
          <w:rFonts w:ascii="Arial" w:hAnsi="Arial" w:cs="Arial"/>
          <w:sz w:val="24"/>
          <w:szCs w:val="24"/>
        </w:rPr>
        <w:t xml:space="preserve">refusal </w:t>
      </w:r>
      <w:r w:rsidR="00DF5925" w:rsidRPr="003D6B31">
        <w:rPr>
          <w:rFonts w:ascii="Arial" w:hAnsi="Arial" w:cs="Arial"/>
          <w:sz w:val="24"/>
          <w:szCs w:val="24"/>
        </w:rPr>
        <w:t xml:space="preserve">to process the closure certificate </w:t>
      </w:r>
      <w:r w:rsidR="003C57F5" w:rsidRPr="003D6B31">
        <w:rPr>
          <w:rFonts w:ascii="Arial" w:hAnsi="Arial" w:cs="Arial"/>
          <w:sz w:val="24"/>
          <w:szCs w:val="24"/>
        </w:rPr>
        <w:t xml:space="preserve">and </w:t>
      </w:r>
      <w:r w:rsidR="00DF5925" w:rsidRPr="003D6B31">
        <w:rPr>
          <w:rFonts w:ascii="Arial" w:hAnsi="Arial" w:cs="Arial"/>
          <w:sz w:val="24"/>
          <w:szCs w:val="24"/>
        </w:rPr>
        <w:t>failure to take a decision on the closure application submitted by DBCM.</w:t>
      </w:r>
      <w:r w:rsidR="00DF5925" w:rsidRPr="00031230">
        <w:rPr>
          <w:rFonts w:ascii="Arial" w:hAnsi="Arial" w:cs="Arial"/>
          <w:sz w:val="24"/>
          <w:szCs w:val="24"/>
        </w:rPr>
        <w:t xml:space="preserve"> </w:t>
      </w:r>
      <w:r w:rsidR="009A7E2E">
        <w:rPr>
          <w:rFonts w:ascii="Arial" w:hAnsi="Arial" w:cs="Arial"/>
          <w:sz w:val="24"/>
          <w:szCs w:val="24"/>
        </w:rPr>
        <w:t>T</w:t>
      </w:r>
      <w:r w:rsidR="00DF5925" w:rsidRPr="00031230">
        <w:rPr>
          <w:rFonts w:ascii="Arial" w:hAnsi="Arial" w:cs="Arial"/>
          <w:sz w:val="24"/>
          <w:szCs w:val="24"/>
        </w:rPr>
        <w:t xml:space="preserve">he </w:t>
      </w:r>
      <w:r w:rsidR="009A7E2E" w:rsidRPr="00031230">
        <w:rPr>
          <w:rFonts w:ascii="Arial" w:hAnsi="Arial" w:cs="Arial"/>
          <w:sz w:val="24"/>
          <w:szCs w:val="24"/>
        </w:rPr>
        <w:t xml:space="preserve">DMRE </w:t>
      </w:r>
      <w:r w:rsidR="009A7E2E">
        <w:rPr>
          <w:rFonts w:ascii="Arial" w:hAnsi="Arial" w:cs="Arial"/>
          <w:sz w:val="24"/>
          <w:szCs w:val="24"/>
        </w:rPr>
        <w:t>is yet to make</w:t>
      </w:r>
      <w:r w:rsidR="009A7E2E" w:rsidRPr="00031230">
        <w:rPr>
          <w:rFonts w:ascii="Arial" w:hAnsi="Arial" w:cs="Arial"/>
          <w:sz w:val="24"/>
          <w:szCs w:val="24"/>
        </w:rPr>
        <w:t xml:space="preserve"> a decision</w:t>
      </w:r>
      <w:r w:rsidR="009A7E2E">
        <w:rPr>
          <w:rFonts w:ascii="Arial" w:hAnsi="Arial" w:cs="Arial"/>
          <w:sz w:val="24"/>
          <w:szCs w:val="24"/>
        </w:rPr>
        <w:t>, so the</w:t>
      </w:r>
      <w:r w:rsidR="009A7E2E" w:rsidRPr="00031230">
        <w:rPr>
          <w:rFonts w:ascii="Arial" w:hAnsi="Arial" w:cs="Arial"/>
          <w:sz w:val="24"/>
          <w:szCs w:val="24"/>
        </w:rPr>
        <w:t xml:space="preserve"> </w:t>
      </w:r>
      <w:r w:rsidR="00DF5925" w:rsidRPr="00031230">
        <w:rPr>
          <w:rFonts w:ascii="Arial" w:hAnsi="Arial" w:cs="Arial"/>
          <w:sz w:val="24"/>
          <w:szCs w:val="24"/>
        </w:rPr>
        <w:t>appeal remains open.</w:t>
      </w:r>
    </w:p>
    <w:p w14:paraId="37F17574" w14:textId="09FB7159" w:rsidR="00FA79CA" w:rsidRPr="00031230" w:rsidRDefault="004A5D3E" w:rsidP="0003123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F048C8" w14:textId="6E0B5473" w:rsidR="009C63DC" w:rsidRPr="00AA0C8A" w:rsidRDefault="00FA79CA" w:rsidP="009C63DC">
      <w:pPr>
        <w:pStyle w:val="ListParagraph"/>
        <w:spacing w:after="0" w:line="360" w:lineRule="auto"/>
        <w:ind w:left="0"/>
        <w:jc w:val="both"/>
        <w:rPr>
          <w:rFonts w:ascii="Arial" w:hAnsi="Arial" w:cs="Arial"/>
          <w:sz w:val="24"/>
          <w:szCs w:val="24"/>
        </w:rPr>
      </w:pPr>
      <w:r>
        <w:rPr>
          <w:rFonts w:ascii="Arial" w:hAnsi="Arial" w:cs="Arial"/>
          <w:sz w:val="24"/>
          <w:szCs w:val="24"/>
        </w:rPr>
        <w:t>[</w:t>
      </w:r>
      <w:r w:rsidR="00781B5F">
        <w:rPr>
          <w:rFonts w:ascii="Arial" w:hAnsi="Arial" w:cs="Arial"/>
          <w:sz w:val="24"/>
          <w:szCs w:val="24"/>
        </w:rPr>
        <w:t>26</w:t>
      </w:r>
      <w:r>
        <w:rPr>
          <w:rFonts w:ascii="Arial" w:hAnsi="Arial" w:cs="Arial"/>
          <w:sz w:val="24"/>
          <w:szCs w:val="24"/>
        </w:rPr>
        <w:t xml:space="preserve">] </w:t>
      </w:r>
      <w:r>
        <w:rPr>
          <w:rFonts w:ascii="Arial" w:hAnsi="Arial" w:cs="Arial"/>
          <w:sz w:val="24"/>
          <w:szCs w:val="24"/>
        </w:rPr>
        <w:tab/>
      </w:r>
      <w:r w:rsidR="00DF5925">
        <w:rPr>
          <w:rFonts w:ascii="Arial" w:hAnsi="Arial" w:cs="Arial"/>
          <w:sz w:val="24"/>
          <w:szCs w:val="24"/>
        </w:rPr>
        <w:t xml:space="preserve">The DMRE </w:t>
      </w:r>
      <w:r>
        <w:rPr>
          <w:rFonts w:ascii="Arial" w:hAnsi="Arial" w:cs="Arial"/>
          <w:sz w:val="24"/>
          <w:szCs w:val="24"/>
        </w:rPr>
        <w:t>Legal Services ha</w:t>
      </w:r>
      <w:r w:rsidR="00631C0F">
        <w:rPr>
          <w:rFonts w:ascii="Arial" w:hAnsi="Arial" w:cs="Arial"/>
          <w:sz w:val="24"/>
          <w:szCs w:val="24"/>
        </w:rPr>
        <w:t>d</w:t>
      </w:r>
      <w:r>
        <w:rPr>
          <w:rFonts w:ascii="Arial" w:hAnsi="Arial" w:cs="Arial"/>
          <w:sz w:val="24"/>
          <w:szCs w:val="24"/>
        </w:rPr>
        <w:t xml:space="preserve"> </w:t>
      </w:r>
      <w:r w:rsidR="00487C69">
        <w:rPr>
          <w:rFonts w:ascii="Arial" w:hAnsi="Arial" w:cs="Arial"/>
          <w:sz w:val="24"/>
          <w:szCs w:val="24"/>
        </w:rPr>
        <w:t xml:space="preserve">in the meantime </w:t>
      </w:r>
      <w:r>
        <w:rPr>
          <w:rFonts w:ascii="Arial" w:hAnsi="Arial" w:cs="Arial"/>
          <w:sz w:val="24"/>
          <w:szCs w:val="24"/>
        </w:rPr>
        <w:t>indicated that as long as the internal appeal was with the 1</w:t>
      </w:r>
      <w:r w:rsidRPr="003459D4">
        <w:rPr>
          <w:rFonts w:ascii="Arial" w:hAnsi="Arial" w:cs="Arial"/>
          <w:sz w:val="24"/>
          <w:szCs w:val="24"/>
          <w:vertAlign w:val="superscript"/>
        </w:rPr>
        <w:t>st</w:t>
      </w:r>
      <w:r>
        <w:rPr>
          <w:rFonts w:ascii="Arial" w:hAnsi="Arial" w:cs="Arial"/>
          <w:sz w:val="24"/>
          <w:szCs w:val="24"/>
        </w:rPr>
        <w:t xml:space="preserve"> Respondent and until such time that the 1</w:t>
      </w:r>
      <w:r w:rsidRPr="003459D4">
        <w:rPr>
          <w:rFonts w:ascii="Arial" w:hAnsi="Arial" w:cs="Arial"/>
          <w:sz w:val="24"/>
          <w:szCs w:val="24"/>
          <w:vertAlign w:val="superscript"/>
        </w:rPr>
        <w:t>st</w:t>
      </w:r>
      <w:r>
        <w:rPr>
          <w:rFonts w:ascii="Arial" w:hAnsi="Arial" w:cs="Arial"/>
          <w:sz w:val="24"/>
          <w:szCs w:val="24"/>
        </w:rPr>
        <w:t xml:space="preserve"> Respondent has processed the internal appeal in accordance with s 39 of the MPRDA </w:t>
      </w:r>
      <w:r>
        <w:rPr>
          <w:rFonts w:ascii="Arial" w:hAnsi="Arial" w:cs="Arial"/>
          <w:sz w:val="24"/>
          <w:szCs w:val="24"/>
        </w:rPr>
        <w:lastRenderedPageBreak/>
        <w:t>Regulations, their hands were essentially tied. There has been no further communication from the DMRE</w:t>
      </w:r>
      <w:r w:rsidR="00631C0F">
        <w:rPr>
          <w:rFonts w:ascii="Arial" w:hAnsi="Arial" w:cs="Arial"/>
          <w:sz w:val="24"/>
          <w:szCs w:val="24"/>
        </w:rPr>
        <w:t xml:space="preserve"> </w:t>
      </w:r>
      <w:r>
        <w:rPr>
          <w:rFonts w:ascii="Arial" w:hAnsi="Arial" w:cs="Arial"/>
          <w:sz w:val="24"/>
          <w:szCs w:val="24"/>
        </w:rPr>
        <w:t xml:space="preserve">notwithstanding being informed of the intention to proceed with the </w:t>
      </w:r>
      <w:r w:rsidR="00522D4D">
        <w:rPr>
          <w:rFonts w:ascii="Arial" w:hAnsi="Arial" w:cs="Arial"/>
          <w:sz w:val="24"/>
          <w:szCs w:val="24"/>
        </w:rPr>
        <w:t>review a</w:t>
      </w:r>
      <w:r>
        <w:rPr>
          <w:rFonts w:ascii="Arial" w:hAnsi="Arial" w:cs="Arial"/>
          <w:sz w:val="24"/>
          <w:szCs w:val="24"/>
        </w:rPr>
        <w:t xml:space="preserve">pplication.   </w:t>
      </w:r>
    </w:p>
    <w:p w14:paraId="27CBADDD" w14:textId="4FAC0FEE" w:rsidR="00FA79CA" w:rsidRDefault="00FA79CA" w:rsidP="00A32AB1">
      <w:pPr>
        <w:pStyle w:val="ListParagraph"/>
        <w:tabs>
          <w:tab w:val="left" w:pos="0"/>
        </w:tabs>
        <w:spacing w:after="0" w:line="360" w:lineRule="auto"/>
        <w:ind w:left="0"/>
        <w:jc w:val="both"/>
        <w:rPr>
          <w:rFonts w:ascii="Arial" w:hAnsi="Arial" w:cs="Arial"/>
          <w:sz w:val="24"/>
          <w:szCs w:val="24"/>
          <w:u w:val="single"/>
        </w:rPr>
      </w:pPr>
    </w:p>
    <w:p w14:paraId="3741AED1" w14:textId="65023C04" w:rsidR="00DD6CE3" w:rsidRPr="00DD59B4" w:rsidRDefault="00807686" w:rsidP="00A32AB1">
      <w:pPr>
        <w:pStyle w:val="ListParagraph"/>
        <w:tabs>
          <w:tab w:val="left" w:pos="0"/>
        </w:tabs>
        <w:spacing w:after="0" w:line="360" w:lineRule="auto"/>
        <w:ind w:left="0"/>
        <w:jc w:val="both"/>
        <w:rPr>
          <w:rFonts w:ascii="Arial" w:hAnsi="Arial" w:cs="Arial"/>
          <w:b/>
          <w:sz w:val="24"/>
          <w:szCs w:val="24"/>
        </w:rPr>
      </w:pPr>
      <w:r w:rsidRPr="00DD59B4">
        <w:rPr>
          <w:rFonts w:ascii="Arial" w:hAnsi="Arial" w:cs="Arial"/>
          <w:b/>
          <w:sz w:val="24"/>
          <w:szCs w:val="24"/>
        </w:rPr>
        <w:t>Application</w:t>
      </w:r>
      <w:r w:rsidR="00DD6CE3" w:rsidRPr="00DD59B4">
        <w:rPr>
          <w:rFonts w:ascii="Arial" w:hAnsi="Arial" w:cs="Arial"/>
          <w:b/>
          <w:sz w:val="24"/>
          <w:szCs w:val="24"/>
        </w:rPr>
        <w:t xml:space="preserve"> </w:t>
      </w:r>
    </w:p>
    <w:p w14:paraId="06CF32EC" w14:textId="77777777" w:rsidR="00FF2C87" w:rsidRDefault="00FF2C87" w:rsidP="006949B7">
      <w:pPr>
        <w:tabs>
          <w:tab w:val="left" w:pos="567"/>
        </w:tabs>
        <w:spacing w:after="0" w:line="360" w:lineRule="auto"/>
        <w:jc w:val="both"/>
        <w:rPr>
          <w:rFonts w:ascii="Arial" w:hAnsi="Arial" w:cs="Arial"/>
          <w:sz w:val="24"/>
          <w:szCs w:val="24"/>
        </w:rPr>
      </w:pPr>
    </w:p>
    <w:p w14:paraId="155DF920" w14:textId="7363B4CF" w:rsidR="006949B7" w:rsidRDefault="0051441B" w:rsidP="006949B7">
      <w:pPr>
        <w:tabs>
          <w:tab w:val="left" w:pos="567"/>
        </w:tabs>
        <w:spacing w:after="0" w:line="360" w:lineRule="auto"/>
        <w:jc w:val="both"/>
        <w:rPr>
          <w:rFonts w:ascii="Arial" w:hAnsi="Arial" w:cs="Arial"/>
          <w:sz w:val="24"/>
          <w:szCs w:val="24"/>
        </w:rPr>
      </w:pPr>
      <w:r>
        <w:rPr>
          <w:rFonts w:ascii="Arial" w:hAnsi="Arial" w:cs="Arial"/>
          <w:sz w:val="24"/>
          <w:szCs w:val="24"/>
        </w:rPr>
        <w:t>[</w:t>
      </w:r>
      <w:r w:rsidR="00781B5F">
        <w:rPr>
          <w:rFonts w:ascii="Arial" w:hAnsi="Arial" w:cs="Arial"/>
          <w:sz w:val="24"/>
          <w:szCs w:val="24"/>
        </w:rPr>
        <w:t>27</w:t>
      </w:r>
      <w:r>
        <w:rPr>
          <w:rFonts w:ascii="Arial" w:hAnsi="Arial" w:cs="Arial"/>
          <w:sz w:val="24"/>
          <w:szCs w:val="24"/>
        </w:rPr>
        <w:t>]</w:t>
      </w:r>
      <w:r>
        <w:rPr>
          <w:rFonts w:ascii="Arial" w:hAnsi="Arial" w:cs="Arial"/>
          <w:sz w:val="24"/>
          <w:szCs w:val="24"/>
        </w:rPr>
        <w:tab/>
      </w:r>
      <w:r w:rsidR="00011D31">
        <w:rPr>
          <w:rFonts w:ascii="Arial" w:hAnsi="Arial" w:cs="Arial"/>
          <w:sz w:val="24"/>
          <w:szCs w:val="24"/>
        </w:rPr>
        <w:t>D</w:t>
      </w:r>
      <w:r w:rsidR="00807686">
        <w:rPr>
          <w:rFonts w:ascii="Arial" w:hAnsi="Arial" w:cs="Arial"/>
          <w:sz w:val="24"/>
          <w:szCs w:val="24"/>
        </w:rPr>
        <w:t>BCM</w:t>
      </w:r>
      <w:r w:rsidR="003E2336">
        <w:rPr>
          <w:rFonts w:ascii="Arial" w:hAnsi="Arial" w:cs="Arial"/>
          <w:sz w:val="24"/>
          <w:szCs w:val="24"/>
        </w:rPr>
        <w:t xml:space="preserve"> </w:t>
      </w:r>
      <w:r w:rsidR="00990F76">
        <w:rPr>
          <w:rFonts w:ascii="Arial" w:hAnsi="Arial" w:cs="Arial"/>
          <w:sz w:val="24"/>
          <w:szCs w:val="24"/>
        </w:rPr>
        <w:t>co</w:t>
      </w:r>
      <w:r w:rsidR="00371CD5">
        <w:rPr>
          <w:rFonts w:ascii="Arial" w:hAnsi="Arial" w:cs="Arial"/>
          <w:sz w:val="24"/>
          <w:szCs w:val="24"/>
        </w:rPr>
        <w:t xml:space="preserve">ntinued to </w:t>
      </w:r>
      <w:r w:rsidR="00523E69">
        <w:rPr>
          <w:rFonts w:ascii="Arial" w:hAnsi="Arial" w:cs="Arial"/>
          <w:sz w:val="24"/>
          <w:szCs w:val="24"/>
        </w:rPr>
        <w:t>br</w:t>
      </w:r>
      <w:r w:rsidR="00371CD5">
        <w:rPr>
          <w:rFonts w:ascii="Arial" w:hAnsi="Arial" w:cs="Arial"/>
          <w:sz w:val="24"/>
          <w:szCs w:val="24"/>
        </w:rPr>
        <w:t>ing this</w:t>
      </w:r>
      <w:r w:rsidR="00523E69">
        <w:rPr>
          <w:rFonts w:ascii="Arial" w:hAnsi="Arial" w:cs="Arial"/>
          <w:sz w:val="24"/>
          <w:szCs w:val="24"/>
        </w:rPr>
        <w:t xml:space="preserve"> application </w:t>
      </w:r>
      <w:r w:rsidR="00E371A6">
        <w:rPr>
          <w:rFonts w:ascii="Arial" w:hAnsi="Arial" w:cs="Arial"/>
          <w:sz w:val="24"/>
          <w:szCs w:val="24"/>
        </w:rPr>
        <w:t xml:space="preserve">in terms of the Promotion of Administrative Justice Act 3 of 2000 (“PAJA”) or alternatively the principle of legality as enshrined in s 1 </w:t>
      </w:r>
      <w:r w:rsidR="005469CB">
        <w:rPr>
          <w:rFonts w:ascii="Arial" w:hAnsi="Arial" w:cs="Arial"/>
          <w:sz w:val="24"/>
          <w:szCs w:val="24"/>
        </w:rPr>
        <w:t xml:space="preserve">(c) </w:t>
      </w:r>
      <w:r w:rsidR="00E371A6">
        <w:rPr>
          <w:rFonts w:ascii="Arial" w:hAnsi="Arial" w:cs="Arial"/>
          <w:sz w:val="24"/>
          <w:szCs w:val="24"/>
        </w:rPr>
        <w:t>of the Constitution</w:t>
      </w:r>
      <w:r w:rsidR="00522D4D">
        <w:rPr>
          <w:rFonts w:ascii="Arial" w:hAnsi="Arial" w:cs="Arial"/>
          <w:sz w:val="24"/>
          <w:szCs w:val="24"/>
        </w:rPr>
        <w:t>,</w:t>
      </w:r>
      <w:r w:rsidR="00E371A6">
        <w:rPr>
          <w:rFonts w:ascii="Arial" w:hAnsi="Arial" w:cs="Arial"/>
          <w:sz w:val="24"/>
          <w:szCs w:val="24"/>
        </w:rPr>
        <w:t xml:space="preserve"> </w:t>
      </w:r>
      <w:r w:rsidR="008916D5">
        <w:rPr>
          <w:rFonts w:ascii="Arial" w:hAnsi="Arial" w:cs="Arial"/>
          <w:sz w:val="24"/>
          <w:szCs w:val="24"/>
        </w:rPr>
        <w:t xml:space="preserve">for </w:t>
      </w:r>
      <w:r w:rsidR="00523E69">
        <w:rPr>
          <w:rFonts w:ascii="Arial" w:hAnsi="Arial" w:cs="Arial"/>
          <w:sz w:val="24"/>
          <w:szCs w:val="24"/>
        </w:rPr>
        <w:t xml:space="preserve">an order reviewing and setting aside the </w:t>
      </w:r>
      <w:r w:rsidR="00631C0F">
        <w:rPr>
          <w:rFonts w:ascii="Arial" w:hAnsi="Arial" w:cs="Arial"/>
          <w:sz w:val="24"/>
          <w:szCs w:val="24"/>
        </w:rPr>
        <w:t xml:space="preserve">the </w:t>
      </w:r>
      <w:r w:rsidR="00990F76">
        <w:rPr>
          <w:rFonts w:ascii="Arial" w:hAnsi="Arial" w:cs="Arial"/>
          <w:sz w:val="24"/>
          <w:szCs w:val="24"/>
        </w:rPr>
        <w:t>1</w:t>
      </w:r>
      <w:r w:rsidR="00990F76" w:rsidRPr="00990F76">
        <w:rPr>
          <w:rFonts w:ascii="Arial" w:hAnsi="Arial" w:cs="Arial"/>
          <w:sz w:val="24"/>
          <w:szCs w:val="24"/>
          <w:vertAlign w:val="superscript"/>
        </w:rPr>
        <w:t>st</w:t>
      </w:r>
      <w:r w:rsidR="00990F76">
        <w:rPr>
          <w:rFonts w:ascii="Arial" w:hAnsi="Arial" w:cs="Arial"/>
          <w:sz w:val="24"/>
          <w:szCs w:val="24"/>
        </w:rPr>
        <w:t xml:space="preserve"> </w:t>
      </w:r>
      <w:r w:rsidR="00523E69">
        <w:rPr>
          <w:rFonts w:ascii="Arial" w:hAnsi="Arial" w:cs="Arial"/>
          <w:sz w:val="24"/>
          <w:szCs w:val="24"/>
        </w:rPr>
        <w:t>Re</w:t>
      </w:r>
      <w:r w:rsidR="00990F76">
        <w:rPr>
          <w:rFonts w:ascii="Arial" w:hAnsi="Arial" w:cs="Arial"/>
          <w:sz w:val="24"/>
          <w:szCs w:val="24"/>
        </w:rPr>
        <w:t>spondent</w:t>
      </w:r>
      <w:r w:rsidR="00631C0F">
        <w:rPr>
          <w:rFonts w:ascii="Arial" w:hAnsi="Arial" w:cs="Arial"/>
          <w:sz w:val="24"/>
          <w:szCs w:val="24"/>
        </w:rPr>
        <w:t xml:space="preserve"> </w:t>
      </w:r>
      <w:r w:rsidR="00522D4D">
        <w:rPr>
          <w:rFonts w:ascii="Arial" w:hAnsi="Arial" w:cs="Arial"/>
          <w:sz w:val="24"/>
          <w:szCs w:val="24"/>
        </w:rPr>
        <w:t xml:space="preserve">decision of </w:t>
      </w:r>
      <w:r w:rsidR="00523E69">
        <w:rPr>
          <w:rFonts w:ascii="Arial" w:hAnsi="Arial" w:cs="Arial"/>
          <w:sz w:val="24"/>
          <w:szCs w:val="24"/>
        </w:rPr>
        <w:t>refus</w:t>
      </w:r>
      <w:r w:rsidR="00990F76">
        <w:rPr>
          <w:rFonts w:ascii="Arial" w:hAnsi="Arial" w:cs="Arial"/>
          <w:sz w:val="24"/>
          <w:szCs w:val="24"/>
        </w:rPr>
        <w:t>al</w:t>
      </w:r>
      <w:r w:rsidR="00523E69">
        <w:rPr>
          <w:rFonts w:ascii="Arial" w:hAnsi="Arial" w:cs="Arial"/>
          <w:sz w:val="24"/>
          <w:szCs w:val="24"/>
        </w:rPr>
        <w:t xml:space="preserve"> to grant DBCM a closure certificate, alternatively </w:t>
      </w:r>
      <w:r w:rsidR="00487C69">
        <w:rPr>
          <w:rFonts w:ascii="Arial" w:hAnsi="Arial" w:cs="Arial"/>
          <w:sz w:val="24"/>
          <w:szCs w:val="24"/>
        </w:rPr>
        <w:t xml:space="preserve">the </w:t>
      </w:r>
      <w:r w:rsidR="00990F76">
        <w:rPr>
          <w:rFonts w:ascii="Arial" w:hAnsi="Arial" w:cs="Arial"/>
          <w:sz w:val="24"/>
          <w:szCs w:val="24"/>
        </w:rPr>
        <w:t>1</w:t>
      </w:r>
      <w:r w:rsidR="00990F76" w:rsidRPr="00990F76">
        <w:rPr>
          <w:rFonts w:ascii="Arial" w:hAnsi="Arial" w:cs="Arial"/>
          <w:sz w:val="24"/>
          <w:szCs w:val="24"/>
          <w:vertAlign w:val="superscript"/>
        </w:rPr>
        <w:t>st</w:t>
      </w:r>
      <w:r w:rsidR="00990F76">
        <w:rPr>
          <w:rFonts w:ascii="Arial" w:hAnsi="Arial" w:cs="Arial"/>
          <w:sz w:val="24"/>
          <w:szCs w:val="24"/>
        </w:rPr>
        <w:t xml:space="preserve"> Respondent</w:t>
      </w:r>
      <w:r w:rsidR="00487C69">
        <w:rPr>
          <w:rFonts w:ascii="Arial" w:hAnsi="Arial" w:cs="Arial"/>
          <w:sz w:val="24"/>
          <w:szCs w:val="24"/>
        </w:rPr>
        <w:t xml:space="preserve">’s failure </w:t>
      </w:r>
      <w:r w:rsidR="00523E69">
        <w:rPr>
          <w:rFonts w:ascii="Arial" w:hAnsi="Arial" w:cs="Arial"/>
          <w:sz w:val="24"/>
          <w:szCs w:val="24"/>
        </w:rPr>
        <w:t>to take a decision on DBCM’s Application for the closure certificate as set out in the relief sought</w:t>
      </w:r>
      <w:r w:rsidR="00E371A6" w:rsidRPr="00E371A6">
        <w:rPr>
          <w:rFonts w:ascii="Arial" w:hAnsi="Arial" w:cs="Arial"/>
          <w:sz w:val="24"/>
          <w:szCs w:val="24"/>
        </w:rPr>
        <w:t xml:space="preserve"> </w:t>
      </w:r>
      <w:r w:rsidR="00E371A6">
        <w:rPr>
          <w:rFonts w:ascii="Arial" w:hAnsi="Arial" w:cs="Arial"/>
          <w:sz w:val="24"/>
          <w:szCs w:val="24"/>
        </w:rPr>
        <w:t>on the following grounds</w:t>
      </w:r>
      <w:r w:rsidR="00990F76">
        <w:rPr>
          <w:rFonts w:ascii="Arial" w:hAnsi="Arial" w:cs="Arial"/>
          <w:sz w:val="24"/>
          <w:szCs w:val="24"/>
        </w:rPr>
        <w:t>;</w:t>
      </w:r>
      <w:r w:rsidR="00523E69">
        <w:rPr>
          <w:rFonts w:ascii="Arial" w:hAnsi="Arial" w:cs="Arial"/>
          <w:sz w:val="24"/>
          <w:szCs w:val="24"/>
        </w:rPr>
        <w:t xml:space="preserve"> </w:t>
      </w:r>
      <w:r w:rsidR="00807686">
        <w:rPr>
          <w:rFonts w:ascii="Arial" w:hAnsi="Arial" w:cs="Arial"/>
          <w:sz w:val="24"/>
          <w:szCs w:val="24"/>
        </w:rPr>
        <w:t xml:space="preserve"> </w:t>
      </w:r>
    </w:p>
    <w:p w14:paraId="1A43931D" w14:textId="09DA438C" w:rsidR="00523E69" w:rsidRDefault="00523E69" w:rsidP="006949B7">
      <w:pPr>
        <w:tabs>
          <w:tab w:val="left" w:pos="567"/>
        </w:tabs>
        <w:spacing w:after="0" w:line="360" w:lineRule="auto"/>
        <w:jc w:val="both"/>
        <w:rPr>
          <w:rFonts w:ascii="Arial" w:hAnsi="Arial" w:cs="Arial"/>
          <w:sz w:val="24"/>
          <w:szCs w:val="24"/>
        </w:rPr>
      </w:pPr>
      <w:r>
        <w:rPr>
          <w:rFonts w:ascii="Arial" w:hAnsi="Arial" w:cs="Arial"/>
          <w:sz w:val="24"/>
          <w:szCs w:val="24"/>
        </w:rPr>
        <w:tab/>
      </w:r>
    </w:p>
    <w:p w14:paraId="627492D1" w14:textId="32C84EB5" w:rsidR="003459D4" w:rsidRDefault="00523E69" w:rsidP="00E371A6">
      <w:pPr>
        <w:spacing w:after="0" w:line="360" w:lineRule="auto"/>
        <w:ind w:left="720"/>
        <w:jc w:val="both"/>
        <w:rPr>
          <w:rFonts w:ascii="Arial" w:hAnsi="Arial" w:cs="Arial"/>
          <w:sz w:val="24"/>
          <w:szCs w:val="24"/>
        </w:rPr>
      </w:pPr>
      <w:r>
        <w:rPr>
          <w:rFonts w:ascii="Arial" w:hAnsi="Arial" w:cs="Arial"/>
          <w:sz w:val="24"/>
          <w:szCs w:val="24"/>
        </w:rPr>
        <w:t>[</w:t>
      </w:r>
      <w:r w:rsidR="00781B5F">
        <w:rPr>
          <w:rFonts w:ascii="Arial" w:hAnsi="Arial" w:cs="Arial"/>
          <w:sz w:val="24"/>
          <w:szCs w:val="24"/>
        </w:rPr>
        <w:t>27</w:t>
      </w:r>
      <w:r>
        <w:rPr>
          <w:rFonts w:ascii="Arial" w:hAnsi="Arial" w:cs="Arial"/>
          <w:sz w:val="24"/>
          <w:szCs w:val="24"/>
        </w:rPr>
        <w:t>.1]</w:t>
      </w:r>
      <w:r>
        <w:rPr>
          <w:rFonts w:ascii="Arial" w:hAnsi="Arial" w:cs="Arial"/>
          <w:sz w:val="24"/>
          <w:szCs w:val="24"/>
        </w:rPr>
        <w:tab/>
        <w:t>DBCM has complied with the requirement to be granted a closure certificate, as well as the requirement in respect of the internal appeal decision making process. Notwithstanding such compliance</w:t>
      </w:r>
      <w:r w:rsidR="003459D4">
        <w:rPr>
          <w:rFonts w:ascii="Arial" w:hAnsi="Arial" w:cs="Arial"/>
          <w:sz w:val="24"/>
          <w:szCs w:val="24"/>
        </w:rPr>
        <w:t>,</w:t>
      </w:r>
      <w:r>
        <w:rPr>
          <w:rFonts w:ascii="Arial" w:hAnsi="Arial" w:cs="Arial"/>
          <w:sz w:val="24"/>
          <w:szCs w:val="24"/>
        </w:rPr>
        <w:t xml:space="preserve"> the closure certificate </w:t>
      </w:r>
      <w:r w:rsidR="003459D4">
        <w:rPr>
          <w:rFonts w:ascii="Arial" w:hAnsi="Arial" w:cs="Arial"/>
          <w:sz w:val="24"/>
          <w:szCs w:val="24"/>
        </w:rPr>
        <w:t>has not been granted to DBCM and the appeal remains pending.</w:t>
      </w:r>
    </w:p>
    <w:p w14:paraId="039F69BA" w14:textId="77777777" w:rsidR="003459D4" w:rsidRDefault="003459D4" w:rsidP="00523E69">
      <w:pPr>
        <w:spacing w:after="0" w:line="360" w:lineRule="auto"/>
        <w:ind w:left="720" w:hanging="720"/>
        <w:jc w:val="both"/>
        <w:rPr>
          <w:rFonts w:ascii="Arial" w:hAnsi="Arial" w:cs="Arial"/>
          <w:sz w:val="24"/>
          <w:szCs w:val="24"/>
        </w:rPr>
      </w:pPr>
    </w:p>
    <w:p w14:paraId="1EA970DA" w14:textId="4EC9A251" w:rsidR="00293ACB" w:rsidRDefault="00781B5F" w:rsidP="00C2342C">
      <w:pPr>
        <w:spacing w:after="0" w:line="360" w:lineRule="auto"/>
        <w:ind w:left="720"/>
        <w:jc w:val="both"/>
        <w:rPr>
          <w:rFonts w:ascii="Arial" w:hAnsi="Arial" w:cs="Arial"/>
          <w:sz w:val="24"/>
          <w:szCs w:val="24"/>
        </w:rPr>
      </w:pPr>
      <w:r>
        <w:rPr>
          <w:rFonts w:ascii="Arial" w:hAnsi="Arial" w:cs="Arial"/>
          <w:sz w:val="24"/>
          <w:szCs w:val="24"/>
        </w:rPr>
        <w:t>[27</w:t>
      </w:r>
      <w:r w:rsidR="00D9659F">
        <w:rPr>
          <w:rFonts w:ascii="Arial" w:hAnsi="Arial" w:cs="Arial"/>
          <w:sz w:val="24"/>
          <w:szCs w:val="24"/>
        </w:rPr>
        <w:t>.2]</w:t>
      </w:r>
      <w:r w:rsidR="00D9659F">
        <w:rPr>
          <w:rFonts w:ascii="Arial" w:hAnsi="Arial" w:cs="Arial"/>
          <w:sz w:val="24"/>
          <w:szCs w:val="24"/>
        </w:rPr>
        <w:tab/>
        <w:t xml:space="preserve"> </w:t>
      </w:r>
      <w:r w:rsidR="009133C1">
        <w:rPr>
          <w:rFonts w:ascii="Arial" w:hAnsi="Arial" w:cs="Arial"/>
          <w:sz w:val="24"/>
          <w:szCs w:val="24"/>
        </w:rPr>
        <w:t xml:space="preserve">On the specific </w:t>
      </w:r>
      <w:r w:rsidR="00D9659F">
        <w:rPr>
          <w:rFonts w:ascii="Arial" w:hAnsi="Arial" w:cs="Arial"/>
          <w:sz w:val="24"/>
          <w:szCs w:val="24"/>
        </w:rPr>
        <w:t>issue of the open pit</w:t>
      </w:r>
      <w:r w:rsidR="009133C1">
        <w:rPr>
          <w:rFonts w:ascii="Arial" w:hAnsi="Arial" w:cs="Arial"/>
          <w:sz w:val="24"/>
          <w:szCs w:val="24"/>
        </w:rPr>
        <w:t xml:space="preserve"> that is being contended</w:t>
      </w:r>
      <w:r w:rsidR="00990F76">
        <w:rPr>
          <w:rFonts w:ascii="Arial" w:hAnsi="Arial" w:cs="Arial"/>
          <w:sz w:val="24"/>
          <w:szCs w:val="24"/>
        </w:rPr>
        <w:t>,</w:t>
      </w:r>
      <w:r w:rsidR="00C2342C">
        <w:rPr>
          <w:rFonts w:ascii="Arial" w:hAnsi="Arial" w:cs="Arial"/>
          <w:sz w:val="24"/>
          <w:szCs w:val="24"/>
        </w:rPr>
        <w:t xml:space="preserve"> </w:t>
      </w:r>
      <w:r w:rsidR="006949B7">
        <w:rPr>
          <w:rFonts w:ascii="Arial" w:hAnsi="Arial" w:cs="Arial"/>
          <w:sz w:val="24"/>
          <w:szCs w:val="24"/>
        </w:rPr>
        <w:t xml:space="preserve">that </w:t>
      </w:r>
      <w:r w:rsidR="00C2342C">
        <w:rPr>
          <w:rFonts w:ascii="Arial" w:hAnsi="Arial" w:cs="Arial"/>
          <w:sz w:val="24"/>
          <w:szCs w:val="24"/>
        </w:rPr>
        <w:t>a</w:t>
      </w:r>
      <w:r w:rsidR="00D9659F">
        <w:rPr>
          <w:rFonts w:ascii="Arial" w:hAnsi="Arial" w:cs="Arial"/>
          <w:sz w:val="24"/>
          <w:szCs w:val="24"/>
        </w:rPr>
        <w:t xml:space="preserve">ccording </w:t>
      </w:r>
      <w:r w:rsidR="00C2342C">
        <w:rPr>
          <w:rFonts w:ascii="Arial" w:hAnsi="Arial" w:cs="Arial"/>
          <w:sz w:val="24"/>
          <w:szCs w:val="24"/>
        </w:rPr>
        <w:t xml:space="preserve">to page 9 of DBCM’s </w:t>
      </w:r>
      <w:r w:rsidR="00D9659F">
        <w:rPr>
          <w:rFonts w:ascii="Arial" w:hAnsi="Arial" w:cs="Arial"/>
          <w:sz w:val="24"/>
          <w:szCs w:val="24"/>
        </w:rPr>
        <w:t xml:space="preserve">approved </w:t>
      </w:r>
      <w:r w:rsidR="00C2342C">
        <w:rPr>
          <w:rFonts w:ascii="Arial" w:hAnsi="Arial" w:cs="Arial"/>
          <w:sz w:val="24"/>
          <w:szCs w:val="24"/>
        </w:rPr>
        <w:t xml:space="preserve">amended </w:t>
      </w:r>
      <w:r w:rsidR="00D9659F">
        <w:rPr>
          <w:rFonts w:ascii="Arial" w:hAnsi="Arial" w:cs="Arial"/>
          <w:sz w:val="24"/>
          <w:szCs w:val="24"/>
        </w:rPr>
        <w:t>EMP</w:t>
      </w:r>
      <w:r w:rsidR="00C2342C">
        <w:rPr>
          <w:rFonts w:ascii="Arial" w:hAnsi="Arial" w:cs="Arial"/>
          <w:sz w:val="24"/>
          <w:szCs w:val="24"/>
        </w:rPr>
        <w:t>,</w:t>
      </w:r>
      <w:r w:rsidR="00D9659F">
        <w:rPr>
          <w:rFonts w:ascii="Arial" w:hAnsi="Arial" w:cs="Arial"/>
          <w:sz w:val="24"/>
          <w:szCs w:val="24"/>
        </w:rPr>
        <w:t xml:space="preserve"> </w:t>
      </w:r>
      <w:r w:rsidR="00C2342C">
        <w:rPr>
          <w:rFonts w:ascii="Arial" w:hAnsi="Arial" w:cs="Arial"/>
          <w:sz w:val="24"/>
          <w:szCs w:val="24"/>
        </w:rPr>
        <w:t xml:space="preserve">the final table under the heading states” the open pit will remain”. Further </w:t>
      </w:r>
      <w:r w:rsidR="00293ACB">
        <w:rPr>
          <w:rFonts w:ascii="Arial" w:hAnsi="Arial" w:cs="Arial"/>
          <w:sz w:val="24"/>
          <w:szCs w:val="24"/>
        </w:rPr>
        <w:t>o</w:t>
      </w:r>
      <w:r w:rsidR="00C2342C">
        <w:rPr>
          <w:rFonts w:ascii="Arial" w:hAnsi="Arial" w:cs="Arial"/>
          <w:sz w:val="24"/>
          <w:szCs w:val="24"/>
        </w:rPr>
        <w:t>n page 6-3 paragraph 6.4.1 und</w:t>
      </w:r>
      <w:r w:rsidR="00293ACB">
        <w:rPr>
          <w:rFonts w:ascii="Arial" w:hAnsi="Arial" w:cs="Arial"/>
          <w:sz w:val="24"/>
          <w:szCs w:val="24"/>
        </w:rPr>
        <w:t>e</w:t>
      </w:r>
      <w:r w:rsidR="00C2342C">
        <w:rPr>
          <w:rFonts w:ascii="Arial" w:hAnsi="Arial" w:cs="Arial"/>
          <w:sz w:val="24"/>
          <w:szCs w:val="24"/>
        </w:rPr>
        <w:t xml:space="preserve">r the subheading management measures of </w:t>
      </w:r>
      <w:r w:rsidR="00C55F5C">
        <w:rPr>
          <w:rFonts w:ascii="Arial" w:hAnsi="Arial" w:cs="Arial"/>
          <w:sz w:val="24"/>
          <w:szCs w:val="24"/>
        </w:rPr>
        <w:t xml:space="preserve">…. The pit was to remain open.  </w:t>
      </w:r>
    </w:p>
    <w:p w14:paraId="341FDB82" w14:textId="77777777" w:rsidR="00293ACB" w:rsidRDefault="00293ACB" w:rsidP="00C2342C">
      <w:pPr>
        <w:spacing w:after="0" w:line="360" w:lineRule="auto"/>
        <w:ind w:left="720"/>
        <w:jc w:val="both"/>
        <w:rPr>
          <w:rFonts w:ascii="Arial" w:hAnsi="Arial" w:cs="Arial"/>
          <w:sz w:val="24"/>
          <w:szCs w:val="24"/>
        </w:rPr>
      </w:pPr>
    </w:p>
    <w:p w14:paraId="4BEE8D14" w14:textId="785A67D1" w:rsidR="003A0954" w:rsidRDefault="00781B5F" w:rsidP="00C2342C">
      <w:pPr>
        <w:spacing w:after="0" w:line="360" w:lineRule="auto"/>
        <w:ind w:left="720"/>
        <w:jc w:val="both"/>
        <w:rPr>
          <w:rFonts w:ascii="Arial" w:hAnsi="Arial" w:cs="Arial"/>
          <w:sz w:val="24"/>
          <w:szCs w:val="24"/>
        </w:rPr>
      </w:pPr>
      <w:r>
        <w:rPr>
          <w:rFonts w:ascii="Arial" w:hAnsi="Arial" w:cs="Arial"/>
          <w:sz w:val="24"/>
          <w:szCs w:val="24"/>
        </w:rPr>
        <w:t>[27</w:t>
      </w:r>
      <w:r w:rsidR="00293ACB">
        <w:rPr>
          <w:rFonts w:ascii="Arial" w:hAnsi="Arial" w:cs="Arial"/>
          <w:sz w:val="24"/>
          <w:szCs w:val="24"/>
        </w:rPr>
        <w:t>.3]</w:t>
      </w:r>
      <w:r w:rsidR="00293ACB">
        <w:rPr>
          <w:rFonts w:ascii="Arial" w:hAnsi="Arial" w:cs="Arial"/>
          <w:sz w:val="24"/>
          <w:szCs w:val="24"/>
        </w:rPr>
        <w:tab/>
        <w:t>First Respondent</w:t>
      </w:r>
      <w:r w:rsidR="00990F76">
        <w:rPr>
          <w:rFonts w:ascii="Arial" w:hAnsi="Arial" w:cs="Arial"/>
          <w:sz w:val="24"/>
          <w:szCs w:val="24"/>
        </w:rPr>
        <w:t>’s</w:t>
      </w:r>
      <w:r w:rsidR="00293ACB">
        <w:rPr>
          <w:rFonts w:ascii="Arial" w:hAnsi="Arial" w:cs="Arial"/>
          <w:sz w:val="24"/>
          <w:szCs w:val="24"/>
        </w:rPr>
        <w:t xml:space="preserve"> failure to grant the closure Application, alternatively refusal to decide the closure Application purports to interfere in a very material way with </w:t>
      </w:r>
      <w:r w:rsidR="006949B7">
        <w:rPr>
          <w:rFonts w:ascii="Arial" w:hAnsi="Arial" w:cs="Arial"/>
          <w:sz w:val="24"/>
          <w:szCs w:val="24"/>
        </w:rPr>
        <w:t>DBCM’</w:t>
      </w:r>
      <w:r w:rsidR="00990F76">
        <w:rPr>
          <w:rFonts w:ascii="Arial" w:hAnsi="Arial" w:cs="Arial"/>
          <w:sz w:val="24"/>
          <w:szCs w:val="24"/>
        </w:rPr>
        <w:t xml:space="preserve">s </w:t>
      </w:r>
      <w:r w:rsidR="00293ACB">
        <w:rPr>
          <w:rFonts w:ascii="Arial" w:hAnsi="Arial" w:cs="Arial"/>
          <w:sz w:val="24"/>
          <w:szCs w:val="24"/>
        </w:rPr>
        <w:t>rights. The decision amounts to administrative action because the 1</w:t>
      </w:r>
      <w:r w:rsidR="00293ACB" w:rsidRPr="00293ACB">
        <w:rPr>
          <w:rFonts w:ascii="Arial" w:hAnsi="Arial" w:cs="Arial"/>
          <w:sz w:val="24"/>
          <w:szCs w:val="24"/>
          <w:vertAlign w:val="superscript"/>
        </w:rPr>
        <w:t>st</w:t>
      </w:r>
      <w:r w:rsidR="00293ACB">
        <w:rPr>
          <w:rFonts w:ascii="Arial" w:hAnsi="Arial" w:cs="Arial"/>
          <w:sz w:val="24"/>
          <w:szCs w:val="24"/>
        </w:rPr>
        <w:t xml:space="preserve"> Respondent constitute an organ of state for the purpose of PAJA</w:t>
      </w:r>
      <w:r w:rsidR="00EC7731">
        <w:rPr>
          <w:rFonts w:ascii="Arial" w:hAnsi="Arial" w:cs="Arial"/>
          <w:sz w:val="24"/>
          <w:szCs w:val="24"/>
        </w:rPr>
        <w:t xml:space="preserve">, and the decision to refuse to grant the closure </w:t>
      </w:r>
      <w:r w:rsidR="006F68FF">
        <w:rPr>
          <w:rFonts w:ascii="Arial" w:hAnsi="Arial" w:cs="Arial"/>
          <w:sz w:val="24"/>
          <w:szCs w:val="24"/>
        </w:rPr>
        <w:t>application</w:t>
      </w:r>
      <w:r w:rsidR="0031026D">
        <w:rPr>
          <w:rFonts w:ascii="Arial" w:hAnsi="Arial" w:cs="Arial"/>
          <w:sz w:val="24"/>
          <w:szCs w:val="24"/>
        </w:rPr>
        <w:t>,</w:t>
      </w:r>
      <w:r w:rsidR="006F68FF">
        <w:rPr>
          <w:rFonts w:ascii="Arial" w:hAnsi="Arial" w:cs="Arial"/>
          <w:sz w:val="24"/>
          <w:szCs w:val="24"/>
        </w:rPr>
        <w:t xml:space="preserve"> or alternatively</w:t>
      </w:r>
      <w:r w:rsidR="0031026D">
        <w:rPr>
          <w:rFonts w:ascii="Arial" w:hAnsi="Arial" w:cs="Arial"/>
          <w:sz w:val="24"/>
          <w:szCs w:val="24"/>
        </w:rPr>
        <w:t>,</w:t>
      </w:r>
      <w:r w:rsidR="006F68FF">
        <w:rPr>
          <w:rFonts w:ascii="Arial" w:hAnsi="Arial" w:cs="Arial"/>
          <w:sz w:val="24"/>
          <w:szCs w:val="24"/>
        </w:rPr>
        <w:t xml:space="preserve"> the refusal to decide the closure application adversely affects DBCM</w:t>
      </w:r>
      <w:r w:rsidR="006949B7">
        <w:rPr>
          <w:rFonts w:ascii="Arial" w:hAnsi="Arial" w:cs="Arial"/>
          <w:sz w:val="24"/>
          <w:szCs w:val="24"/>
        </w:rPr>
        <w:t xml:space="preserve">’s right </w:t>
      </w:r>
      <w:r w:rsidR="006F68FF">
        <w:rPr>
          <w:rFonts w:ascii="Arial" w:hAnsi="Arial" w:cs="Arial"/>
          <w:sz w:val="24"/>
          <w:szCs w:val="24"/>
        </w:rPr>
        <w:t>and has a direct external legal effect</w:t>
      </w:r>
      <w:r w:rsidR="003A0954">
        <w:rPr>
          <w:rFonts w:ascii="Arial" w:hAnsi="Arial" w:cs="Arial"/>
          <w:sz w:val="24"/>
          <w:szCs w:val="24"/>
        </w:rPr>
        <w:t>, accordingly reviewable</w:t>
      </w:r>
      <w:r w:rsidR="00293ACB">
        <w:rPr>
          <w:rFonts w:ascii="Arial" w:hAnsi="Arial" w:cs="Arial"/>
          <w:sz w:val="24"/>
          <w:szCs w:val="24"/>
        </w:rPr>
        <w:t xml:space="preserve"> </w:t>
      </w:r>
      <w:r w:rsidR="003A0954">
        <w:rPr>
          <w:rFonts w:ascii="Arial" w:hAnsi="Arial" w:cs="Arial"/>
          <w:sz w:val="24"/>
          <w:szCs w:val="24"/>
        </w:rPr>
        <w:t>under s 6 (2) of PAJA o</w:t>
      </w:r>
      <w:r w:rsidR="00F500C3">
        <w:rPr>
          <w:rFonts w:ascii="Arial" w:hAnsi="Arial" w:cs="Arial"/>
          <w:sz w:val="24"/>
          <w:szCs w:val="24"/>
        </w:rPr>
        <w:t>n</w:t>
      </w:r>
      <w:r w:rsidR="003A0954">
        <w:rPr>
          <w:rFonts w:ascii="Arial" w:hAnsi="Arial" w:cs="Arial"/>
          <w:sz w:val="24"/>
          <w:szCs w:val="24"/>
        </w:rPr>
        <w:t xml:space="preserve"> the basis that:</w:t>
      </w:r>
    </w:p>
    <w:p w14:paraId="75C7CAD4" w14:textId="77777777" w:rsidR="003A0954" w:rsidRDefault="003A0954" w:rsidP="00C2342C">
      <w:pPr>
        <w:spacing w:after="0" w:line="360" w:lineRule="auto"/>
        <w:ind w:left="720"/>
        <w:jc w:val="both"/>
        <w:rPr>
          <w:rFonts w:ascii="Arial" w:hAnsi="Arial" w:cs="Arial"/>
          <w:sz w:val="24"/>
          <w:szCs w:val="24"/>
        </w:rPr>
      </w:pPr>
    </w:p>
    <w:p w14:paraId="27DFD455" w14:textId="0BF66735" w:rsidR="003A0954" w:rsidRPr="00C55F5C" w:rsidRDefault="003A0954" w:rsidP="003A0954">
      <w:pPr>
        <w:spacing w:after="0" w:line="360" w:lineRule="auto"/>
        <w:ind w:left="1440"/>
        <w:jc w:val="both"/>
        <w:rPr>
          <w:rFonts w:ascii="Arial" w:hAnsi="Arial" w:cs="Arial"/>
          <w:b/>
          <w:sz w:val="24"/>
          <w:szCs w:val="24"/>
        </w:rPr>
      </w:pPr>
      <w:r>
        <w:rPr>
          <w:rFonts w:ascii="Arial" w:hAnsi="Arial" w:cs="Arial"/>
          <w:sz w:val="24"/>
          <w:szCs w:val="24"/>
        </w:rPr>
        <w:lastRenderedPageBreak/>
        <w:t>[2</w:t>
      </w:r>
      <w:r w:rsidR="00781B5F">
        <w:rPr>
          <w:rFonts w:ascii="Arial" w:hAnsi="Arial" w:cs="Arial"/>
          <w:sz w:val="24"/>
          <w:szCs w:val="24"/>
        </w:rPr>
        <w:t>7</w:t>
      </w:r>
      <w:r>
        <w:rPr>
          <w:rFonts w:ascii="Arial" w:hAnsi="Arial" w:cs="Arial"/>
          <w:sz w:val="24"/>
          <w:szCs w:val="24"/>
        </w:rPr>
        <w:t xml:space="preserve">.3.1] </w:t>
      </w:r>
      <w:r w:rsidRPr="00C55F5C">
        <w:rPr>
          <w:rFonts w:ascii="Arial" w:hAnsi="Arial" w:cs="Arial"/>
          <w:b/>
          <w:sz w:val="24"/>
          <w:szCs w:val="24"/>
        </w:rPr>
        <w:t xml:space="preserve">The first Respondent’s decision influenced by a material error of law being that </w:t>
      </w:r>
      <w:r w:rsidR="002B7B78">
        <w:rPr>
          <w:rFonts w:ascii="Arial" w:hAnsi="Arial" w:cs="Arial"/>
          <w:b/>
          <w:sz w:val="24"/>
          <w:szCs w:val="24"/>
        </w:rPr>
        <w:t>“</w:t>
      </w:r>
      <w:r w:rsidRPr="00C55F5C">
        <w:rPr>
          <w:rFonts w:ascii="Arial" w:hAnsi="Arial" w:cs="Arial"/>
          <w:b/>
          <w:sz w:val="24"/>
          <w:szCs w:val="24"/>
        </w:rPr>
        <w:t>the closure application is regulated by the current provisions of the MPRDA (s 6 (2) (d) OF PAJA);</w:t>
      </w:r>
      <w:r w:rsidR="006642E5" w:rsidRPr="00C55F5C">
        <w:rPr>
          <w:rFonts w:ascii="Arial" w:hAnsi="Arial" w:cs="Arial"/>
          <w:b/>
          <w:sz w:val="24"/>
          <w:szCs w:val="24"/>
        </w:rPr>
        <w:t xml:space="preserve"> for the reasons that:</w:t>
      </w:r>
    </w:p>
    <w:p w14:paraId="267A1448" w14:textId="7DA169EF" w:rsidR="00933475" w:rsidRDefault="006642E5" w:rsidP="006642E5">
      <w:pPr>
        <w:spacing w:after="0" w:line="360" w:lineRule="auto"/>
        <w:ind w:left="2160"/>
        <w:jc w:val="both"/>
        <w:rPr>
          <w:rFonts w:ascii="Arial" w:hAnsi="Arial" w:cs="Arial"/>
          <w:sz w:val="24"/>
          <w:szCs w:val="24"/>
        </w:rPr>
      </w:pPr>
      <w:r>
        <w:rPr>
          <w:rFonts w:ascii="Arial" w:hAnsi="Arial" w:cs="Arial"/>
          <w:sz w:val="24"/>
          <w:szCs w:val="24"/>
        </w:rPr>
        <w:t>[2</w:t>
      </w:r>
      <w:r w:rsidR="00781B5F">
        <w:rPr>
          <w:rFonts w:ascii="Arial" w:hAnsi="Arial" w:cs="Arial"/>
          <w:sz w:val="24"/>
          <w:szCs w:val="24"/>
        </w:rPr>
        <w:t>7</w:t>
      </w:r>
      <w:r>
        <w:rPr>
          <w:rFonts w:ascii="Arial" w:hAnsi="Arial" w:cs="Arial"/>
          <w:sz w:val="24"/>
          <w:szCs w:val="24"/>
        </w:rPr>
        <w:t>.3.1.1] Both the initial and the amended EMP were approved by the DMRE prior the commencement of the MPRDA on 14 May 2004</w:t>
      </w:r>
      <w:r w:rsidR="00933475">
        <w:rPr>
          <w:rFonts w:ascii="Arial" w:hAnsi="Arial" w:cs="Arial"/>
          <w:sz w:val="24"/>
          <w:szCs w:val="24"/>
        </w:rPr>
        <w:t xml:space="preserve">, and </w:t>
      </w:r>
      <w:r w:rsidR="005574E8">
        <w:rPr>
          <w:rFonts w:ascii="Arial" w:hAnsi="Arial" w:cs="Arial"/>
          <w:sz w:val="24"/>
          <w:szCs w:val="24"/>
        </w:rPr>
        <w:t>at</w:t>
      </w:r>
      <w:r w:rsidR="00933475">
        <w:rPr>
          <w:rFonts w:ascii="Arial" w:hAnsi="Arial" w:cs="Arial"/>
          <w:sz w:val="24"/>
          <w:szCs w:val="24"/>
        </w:rPr>
        <w:t xml:space="preserve"> the time the law applicable in terms of the Mineral </w:t>
      </w:r>
      <w:r w:rsidR="0031026D">
        <w:rPr>
          <w:rFonts w:ascii="Arial" w:hAnsi="Arial" w:cs="Arial"/>
          <w:sz w:val="24"/>
          <w:szCs w:val="24"/>
        </w:rPr>
        <w:t xml:space="preserve">Act in s 38 </w:t>
      </w:r>
      <w:r w:rsidR="00933475">
        <w:rPr>
          <w:rFonts w:ascii="Arial" w:hAnsi="Arial" w:cs="Arial"/>
          <w:sz w:val="24"/>
          <w:szCs w:val="24"/>
        </w:rPr>
        <w:t>s</w:t>
      </w:r>
      <w:r w:rsidR="005574E8">
        <w:rPr>
          <w:rFonts w:ascii="Arial" w:hAnsi="Arial" w:cs="Arial"/>
          <w:sz w:val="24"/>
          <w:szCs w:val="24"/>
        </w:rPr>
        <w:t>t</w:t>
      </w:r>
      <w:r w:rsidR="00933475">
        <w:rPr>
          <w:rFonts w:ascii="Arial" w:hAnsi="Arial" w:cs="Arial"/>
          <w:sz w:val="24"/>
          <w:szCs w:val="24"/>
        </w:rPr>
        <w:t>ated that:</w:t>
      </w:r>
    </w:p>
    <w:p w14:paraId="16B643E6" w14:textId="1F161D59" w:rsidR="005574E8" w:rsidRPr="00F52E97" w:rsidRDefault="00933475" w:rsidP="005574E8">
      <w:pPr>
        <w:spacing w:after="0" w:line="360" w:lineRule="auto"/>
        <w:ind w:left="2880"/>
        <w:jc w:val="both"/>
        <w:rPr>
          <w:rFonts w:ascii="Arial" w:hAnsi="Arial" w:cs="Arial"/>
          <w:i/>
          <w:sz w:val="24"/>
          <w:szCs w:val="24"/>
        </w:rPr>
      </w:pPr>
      <w:r>
        <w:rPr>
          <w:rFonts w:ascii="Arial" w:hAnsi="Arial" w:cs="Arial"/>
          <w:sz w:val="24"/>
          <w:szCs w:val="24"/>
        </w:rPr>
        <w:t>“</w:t>
      </w:r>
      <w:r w:rsidR="0031026D" w:rsidRPr="00F52E97">
        <w:rPr>
          <w:rFonts w:ascii="Arial" w:hAnsi="Arial" w:cs="Arial"/>
          <w:i/>
          <w:sz w:val="24"/>
          <w:szCs w:val="24"/>
        </w:rPr>
        <w:t>The re</w:t>
      </w:r>
      <w:r w:rsidR="005574E8" w:rsidRPr="00F52E97">
        <w:rPr>
          <w:rFonts w:ascii="Arial" w:hAnsi="Arial" w:cs="Arial"/>
          <w:i/>
          <w:sz w:val="24"/>
          <w:szCs w:val="24"/>
        </w:rPr>
        <w:t>habilitation of the surface of land concerned in any prospecting or mining shall be carried out by the holder</w:t>
      </w:r>
      <w:r w:rsidR="00501BEC" w:rsidRPr="00F52E97">
        <w:rPr>
          <w:rFonts w:ascii="Arial" w:hAnsi="Arial" w:cs="Arial"/>
          <w:i/>
          <w:sz w:val="24"/>
          <w:szCs w:val="24"/>
        </w:rPr>
        <w:t xml:space="preserve"> </w:t>
      </w:r>
      <w:r w:rsidR="005574E8" w:rsidRPr="00F52E97">
        <w:rPr>
          <w:rFonts w:ascii="Arial" w:hAnsi="Arial" w:cs="Arial"/>
          <w:i/>
          <w:sz w:val="24"/>
          <w:szCs w:val="24"/>
        </w:rPr>
        <w:t>of the prospecting permit or mining authorisation concerned-</w:t>
      </w:r>
    </w:p>
    <w:p w14:paraId="2E7092CF" w14:textId="77777777" w:rsidR="0031026D" w:rsidRPr="00F52E97" w:rsidRDefault="0031026D" w:rsidP="005574E8">
      <w:pPr>
        <w:spacing w:after="0" w:line="360" w:lineRule="auto"/>
        <w:ind w:left="2880"/>
        <w:jc w:val="both"/>
        <w:rPr>
          <w:rFonts w:ascii="Arial" w:hAnsi="Arial" w:cs="Arial"/>
          <w:i/>
          <w:sz w:val="24"/>
          <w:szCs w:val="24"/>
        </w:rPr>
      </w:pPr>
    </w:p>
    <w:p w14:paraId="074C4DF8" w14:textId="71FF5074" w:rsidR="0031026D" w:rsidRPr="00765E62" w:rsidRDefault="00765E62" w:rsidP="00765E62">
      <w:pPr>
        <w:spacing w:after="0" w:line="360" w:lineRule="auto"/>
        <w:ind w:left="3960" w:hanging="360"/>
        <w:jc w:val="both"/>
        <w:rPr>
          <w:rFonts w:ascii="Arial" w:hAnsi="Arial" w:cs="Arial"/>
          <w:i/>
          <w:sz w:val="24"/>
          <w:szCs w:val="24"/>
        </w:rPr>
      </w:pPr>
      <w:r w:rsidRPr="00F52E97">
        <w:rPr>
          <w:rFonts w:ascii="Arial" w:hAnsi="Arial" w:cs="Arial"/>
          <w:i/>
          <w:sz w:val="24"/>
          <w:szCs w:val="24"/>
        </w:rPr>
        <w:t>(a)</w:t>
      </w:r>
      <w:r w:rsidRPr="00F52E97">
        <w:rPr>
          <w:rFonts w:ascii="Arial" w:hAnsi="Arial" w:cs="Arial"/>
          <w:i/>
          <w:sz w:val="24"/>
          <w:szCs w:val="24"/>
        </w:rPr>
        <w:tab/>
      </w:r>
      <w:r w:rsidR="005574E8" w:rsidRPr="00765E62">
        <w:rPr>
          <w:rFonts w:ascii="Arial" w:hAnsi="Arial" w:cs="Arial"/>
          <w:b/>
          <w:i/>
          <w:sz w:val="24"/>
          <w:szCs w:val="24"/>
        </w:rPr>
        <w:t>in accordance with the rehabilitation programme</w:t>
      </w:r>
      <w:r w:rsidR="00776168" w:rsidRPr="00765E62">
        <w:rPr>
          <w:rFonts w:ascii="Arial" w:hAnsi="Arial" w:cs="Arial"/>
          <w:b/>
          <w:i/>
          <w:sz w:val="24"/>
          <w:szCs w:val="24"/>
        </w:rPr>
        <w:t xml:space="preserve"> a</w:t>
      </w:r>
      <w:r w:rsidR="005574E8" w:rsidRPr="00765E62">
        <w:rPr>
          <w:rFonts w:ascii="Arial" w:hAnsi="Arial" w:cs="Arial"/>
          <w:b/>
          <w:i/>
          <w:sz w:val="24"/>
          <w:szCs w:val="24"/>
        </w:rPr>
        <w:t>pproved in terms of s 39 if any</w:t>
      </w:r>
      <w:r w:rsidR="0031026D" w:rsidRPr="00765E62">
        <w:rPr>
          <w:rFonts w:ascii="Arial" w:hAnsi="Arial" w:cs="Arial"/>
          <w:i/>
          <w:sz w:val="24"/>
          <w:szCs w:val="24"/>
        </w:rPr>
        <w:t>;</w:t>
      </w:r>
    </w:p>
    <w:p w14:paraId="07D441AD" w14:textId="77777777" w:rsidR="0031026D" w:rsidRPr="00F52E97" w:rsidRDefault="0031026D" w:rsidP="0031026D">
      <w:pPr>
        <w:pStyle w:val="ListParagraph"/>
        <w:spacing w:after="0" w:line="360" w:lineRule="auto"/>
        <w:ind w:left="3960"/>
        <w:jc w:val="both"/>
        <w:rPr>
          <w:rFonts w:ascii="Arial" w:hAnsi="Arial" w:cs="Arial"/>
          <w:i/>
          <w:sz w:val="24"/>
          <w:szCs w:val="24"/>
        </w:rPr>
      </w:pPr>
    </w:p>
    <w:p w14:paraId="6D1287D1" w14:textId="21BDBB5B" w:rsidR="005574E8" w:rsidRPr="00765E62" w:rsidRDefault="00765E62" w:rsidP="00765E62">
      <w:pPr>
        <w:spacing w:after="0" w:line="360" w:lineRule="auto"/>
        <w:ind w:left="3960" w:hanging="360"/>
        <w:jc w:val="both"/>
        <w:rPr>
          <w:rFonts w:ascii="Arial" w:hAnsi="Arial" w:cs="Arial"/>
          <w:i/>
          <w:sz w:val="24"/>
          <w:szCs w:val="24"/>
        </w:rPr>
      </w:pPr>
      <w:r w:rsidRPr="00F52E97">
        <w:rPr>
          <w:rFonts w:ascii="Arial" w:hAnsi="Arial" w:cs="Arial"/>
          <w:i/>
          <w:sz w:val="24"/>
          <w:szCs w:val="24"/>
        </w:rPr>
        <w:t>(b)</w:t>
      </w:r>
      <w:r w:rsidRPr="00F52E97">
        <w:rPr>
          <w:rFonts w:ascii="Arial" w:hAnsi="Arial" w:cs="Arial"/>
          <w:i/>
          <w:sz w:val="24"/>
          <w:szCs w:val="24"/>
        </w:rPr>
        <w:tab/>
      </w:r>
      <w:r w:rsidR="005574E8" w:rsidRPr="00765E62">
        <w:rPr>
          <w:rFonts w:ascii="Arial" w:hAnsi="Arial" w:cs="Arial"/>
          <w:i/>
          <w:sz w:val="24"/>
          <w:szCs w:val="24"/>
        </w:rPr>
        <w:t>as an integral part of the prospecting or mining operations concerned</w:t>
      </w:r>
      <w:r w:rsidR="0031026D" w:rsidRPr="00765E62">
        <w:rPr>
          <w:rFonts w:ascii="Arial" w:hAnsi="Arial" w:cs="Arial"/>
          <w:i/>
          <w:sz w:val="24"/>
          <w:szCs w:val="24"/>
        </w:rPr>
        <w:t>;</w:t>
      </w:r>
    </w:p>
    <w:p w14:paraId="1CE8089A" w14:textId="77777777" w:rsidR="0031026D" w:rsidRPr="00F52E97" w:rsidRDefault="0031026D" w:rsidP="0031026D">
      <w:pPr>
        <w:pStyle w:val="ListParagraph"/>
        <w:rPr>
          <w:rFonts w:ascii="Arial" w:hAnsi="Arial" w:cs="Arial"/>
          <w:i/>
          <w:sz w:val="24"/>
          <w:szCs w:val="24"/>
        </w:rPr>
      </w:pPr>
    </w:p>
    <w:p w14:paraId="5F182F67" w14:textId="38865906" w:rsidR="0031026D" w:rsidRPr="00765E62" w:rsidRDefault="00765E62" w:rsidP="00765E62">
      <w:pPr>
        <w:spacing w:after="0" w:line="360" w:lineRule="auto"/>
        <w:ind w:left="3960" w:hanging="360"/>
        <w:jc w:val="both"/>
        <w:rPr>
          <w:rFonts w:ascii="Arial" w:hAnsi="Arial" w:cs="Arial"/>
          <w:i/>
          <w:sz w:val="24"/>
          <w:szCs w:val="24"/>
        </w:rPr>
      </w:pPr>
      <w:r w:rsidRPr="00F52E97">
        <w:rPr>
          <w:rFonts w:ascii="Arial" w:hAnsi="Arial" w:cs="Arial"/>
          <w:i/>
          <w:sz w:val="24"/>
          <w:szCs w:val="24"/>
        </w:rPr>
        <w:t>(c)</w:t>
      </w:r>
      <w:r w:rsidRPr="00F52E97">
        <w:rPr>
          <w:rFonts w:ascii="Arial" w:hAnsi="Arial" w:cs="Arial"/>
          <w:i/>
          <w:sz w:val="24"/>
          <w:szCs w:val="24"/>
        </w:rPr>
        <w:tab/>
      </w:r>
      <w:r w:rsidR="005574E8" w:rsidRPr="00765E62">
        <w:rPr>
          <w:rFonts w:ascii="Arial" w:hAnsi="Arial" w:cs="Arial"/>
          <w:i/>
          <w:sz w:val="24"/>
          <w:szCs w:val="24"/>
        </w:rPr>
        <w:t>simultaneously with such operations, unless determined otherwise in writing by the regional director</w:t>
      </w:r>
      <w:r w:rsidR="00776168" w:rsidRPr="00765E62">
        <w:rPr>
          <w:rFonts w:ascii="Arial" w:hAnsi="Arial" w:cs="Arial"/>
          <w:i/>
          <w:sz w:val="24"/>
          <w:szCs w:val="24"/>
        </w:rPr>
        <w:t>;</w:t>
      </w:r>
      <w:r w:rsidR="005574E8" w:rsidRPr="00765E62">
        <w:rPr>
          <w:rFonts w:ascii="Arial" w:hAnsi="Arial" w:cs="Arial"/>
          <w:i/>
          <w:sz w:val="24"/>
          <w:szCs w:val="24"/>
        </w:rPr>
        <w:t xml:space="preserve"> and</w:t>
      </w:r>
    </w:p>
    <w:p w14:paraId="29AA7F3C" w14:textId="77777777" w:rsidR="0031026D" w:rsidRPr="00F52E97" w:rsidRDefault="0031026D" w:rsidP="0031026D">
      <w:pPr>
        <w:pStyle w:val="ListParagraph"/>
        <w:rPr>
          <w:rFonts w:ascii="Arial" w:hAnsi="Arial" w:cs="Arial"/>
          <w:i/>
          <w:sz w:val="24"/>
          <w:szCs w:val="24"/>
        </w:rPr>
      </w:pPr>
    </w:p>
    <w:p w14:paraId="4D19C4B4" w14:textId="60A54A83" w:rsidR="005574E8" w:rsidRPr="00765E62" w:rsidRDefault="00765E62" w:rsidP="00765E62">
      <w:pPr>
        <w:spacing w:after="0" w:line="360" w:lineRule="auto"/>
        <w:ind w:left="3960" w:hanging="360"/>
        <w:jc w:val="both"/>
        <w:rPr>
          <w:rFonts w:ascii="Arial" w:hAnsi="Arial" w:cs="Arial"/>
          <w:b/>
          <w:i/>
          <w:sz w:val="24"/>
          <w:szCs w:val="24"/>
        </w:rPr>
      </w:pPr>
      <w:r w:rsidRPr="00F52E97">
        <w:rPr>
          <w:rFonts w:ascii="Arial" w:hAnsi="Arial" w:cs="Arial"/>
          <w:b/>
          <w:i/>
          <w:sz w:val="24"/>
          <w:szCs w:val="24"/>
        </w:rPr>
        <w:t>(d)</w:t>
      </w:r>
      <w:r w:rsidRPr="00F52E97">
        <w:rPr>
          <w:rFonts w:ascii="Arial" w:hAnsi="Arial" w:cs="Arial"/>
          <w:b/>
          <w:i/>
          <w:sz w:val="24"/>
          <w:szCs w:val="24"/>
        </w:rPr>
        <w:tab/>
      </w:r>
      <w:r w:rsidR="005574E8" w:rsidRPr="00765E62">
        <w:rPr>
          <w:rFonts w:ascii="Arial" w:hAnsi="Arial" w:cs="Arial"/>
          <w:b/>
          <w:i/>
          <w:sz w:val="24"/>
          <w:szCs w:val="24"/>
        </w:rPr>
        <w:t>to the satisfaction of the regional director concerned</w:t>
      </w:r>
      <w:r w:rsidR="0031026D" w:rsidRPr="00765E62">
        <w:rPr>
          <w:rFonts w:ascii="Arial" w:hAnsi="Arial" w:cs="Arial"/>
          <w:b/>
          <w:i/>
          <w:sz w:val="24"/>
          <w:szCs w:val="24"/>
        </w:rPr>
        <w:t>.</w:t>
      </w:r>
      <w:r w:rsidR="005574E8" w:rsidRPr="00765E62">
        <w:rPr>
          <w:rFonts w:ascii="Arial" w:hAnsi="Arial" w:cs="Arial"/>
          <w:b/>
          <w:i/>
          <w:sz w:val="24"/>
          <w:szCs w:val="24"/>
        </w:rPr>
        <w:t xml:space="preserve"> </w:t>
      </w:r>
    </w:p>
    <w:p w14:paraId="0DB0A75C" w14:textId="77777777" w:rsidR="0031026D" w:rsidRPr="00F52E97" w:rsidRDefault="0031026D" w:rsidP="00F500C3">
      <w:pPr>
        <w:spacing w:after="0" w:line="360" w:lineRule="auto"/>
        <w:ind w:left="2880"/>
        <w:jc w:val="both"/>
        <w:rPr>
          <w:rFonts w:ascii="Arial" w:hAnsi="Arial" w:cs="Arial"/>
          <w:i/>
          <w:sz w:val="24"/>
          <w:szCs w:val="24"/>
        </w:rPr>
      </w:pPr>
    </w:p>
    <w:p w14:paraId="5044B8A3" w14:textId="30D1579C" w:rsidR="006642E5" w:rsidRDefault="004E5701" w:rsidP="00F500C3">
      <w:pPr>
        <w:spacing w:after="0" w:line="360" w:lineRule="auto"/>
        <w:ind w:left="2880"/>
        <w:jc w:val="both"/>
        <w:rPr>
          <w:rFonts w:ascii="Arial" w:hAnsi="Arial" w:cs="Arial"/>
          <w:sz w:val="24"/>
          <w:szCs w:val="24"/>
        </w:rPr>
      </w:pPr>
      <w:r>
        <w:rPr>
          <w:rFonts w:ascii="Arial" w:hAnsi="Arial" w:cs="Arial"/>
          <w:sz w:val="24"/>
          <w:szCs w:val="24"/>
        </w:rPr>
        <w:t xml:space="preserve">Also referring to </w:t>
      </w:r>
      <w:r w:rsidR="005574E8">
        <w:rPr>
          <w:rFonts w:ascii="Arial" w:hAnsi="Arial" w:cs="Arial"/>
          <w:sz w:val="24"/>
          <w:szCs w:val="24"/>
        </w:rPr>
        <w:t>s 12 of the Minerals Act which regulated liability in relation to closure of mines provided that:</w:t>
      </w:r>
    </w:p>
    <w:p w14:paraId="4F683385" w14:textId="3C4895CA" w:rsidR="005574E8" w:rsidRDefault="0037487F" w:rsidP="005574E8">
      <w:pPr>
        <w:spacing w:after="0" w:line="360" w:lineRule="auto"/>
        <w:ind w:left="2160"/>
        <w:jc w:val="both"/>
        <w:rPr>
          <w:rFonts w:ascii="Arial" w:hAnsi="Arial" w:cs="Arial"/>
          <w:sz w:val="24"/>
          <w:szCs w:val="24"/>
        </w:rPr>
      </w:pPr>
      <w:r>
        <w:rPr>
          <w:rFonts w:ascii="Arial" w:hAnsi="Arial" w:cs="Arial"/>
          <w:sz w:val="24"/>
          <w:szCs w:val="24"/>
        </w:rPr>
        <w:tab/>
      </w:r>
    </w:p>
    <w:p w14:paraId="47A7331C" w14:textId="4C29FAD6" w:rsidR="0037487F" w:rsidRDefault="0037487F" w:rsidP="005574E8">
      <w:pPr>
        <w:spacing w:after="0" w:line="360" w:lineRule="auto"/>
        <w:ind w:left="2160"/>
        <w:jc w:val="both"/>
        <w:rPr>
          <w:rFonts w:ascii="Arial" w:hAnsi="Arial" w:cs="Arial"/>
          <w:sz w:val="24"/>
          <w:szCs w:val="24"/>
        </w:rPr>
      </w:pPr>
      <w:r>
        <w:rPr>
          <w:rFonts w:ascii="Arial" w:hAnsi="Arial" w:cs="Arial"/>
          <w:sz w:val="24"/>
          <w:szCs w:val="24"/>
        </w:rPr>
        <w:tab/>
        <w:t>“</w:t>
      </w:r>
      <w:r w:rsidRPr="00F500C3">
        <w:rPr>
          <w:rFonts w:ascii="Arial" w:hAnsi="Arial" w:cs="Arial"/>
          <w:i/>
          <w:sz w:val="24"/>
          <w:szCs w:val="24"/>
        </w:rPr>
        <w:t>Continuation of liability until certificate is issued</w:t>
      </w:r>
      <w:r>
        <w:rPr>
          <w:rFonts w:ascii="Arial" w:hAnsi="Arial" w:cs="Arial"/>
          <w:sz w:val="24"/>
          <w:szCs w:val="24"/>
        </w:rPr>
        <w:t xml:space="preserve"> </w:t>
      </w:r>
    </w:p>
    <w:p w14:paraId="19689128" w14:textId="1BD0C153" w:rsidR="003A0954" w:rsidRDefault="005574E8" w:rsidP="0037487F">
      <w:pPr>
        <w:spacing w:after="0" w:line="360" w:lineRule="auto"/>
        <w:ind w:left="2880" w:hanging="720"/>
        <w:jc w:val="both"/>
        <w:rPr>
          <w:rFonts w:ascii="Arial" w:hAnsi="Arial" w:cs="Arial"/>
          <w:sz w:val="24"/>
          <w:szCs w:val="24"/>
        </w:rPr>
      </w:pPr>
      <w:r>
        <w:rPr>
          <w:rFonts w:ascii="Arial" w:hAnsi="Arial" w:cs="Arial"/>
          <w:sz w:val="24"/>
          <w:szCs w:val="24"/>
        </w:rPr>
        <w:tab/>
      </w:r>
      <w:r w:rsidR="0037487F">
        <w:rPr>
          <w:rFonts w:ascii="Arial" w:hAnsi="Arial" w:cs="Arial"/>
          <w:sz w:val="24"/>
          <w:szCs w:val="24"/>
        </w:rPr>
        <w:t>12.</w:t>
      </w:r>
      <w:r w:rsidR="0037487F">
        <w:rPr>
          <w:rFonts w:ascii="Arial" w:hAnsi="Arial" w:cs="Arial"/>
          <w:sz w:val="24"/>
          <w:szCs w:val="24"/>
        </w:rPr>
        <w:tab/>
      </w:r>
      <w:r w:rsidR="0037487F" w:rsidRPr="00F52E97">
        <w:rPr>
          <w:rFonts w:ascii="Arial" w:hAnsi="Arial" w:cs="Arial"/>
          <w:i/>
          <w:sz w:val="24"/>
          <w:szCs w:val="24"/>
        </w:rPr>
        <w:t xml:space="preserve">if any prospecting permit or mining authorisation is suspended, cancelled or abandoned or if it lapses in terms of this Act, or if any portion of the land comprising the subject of such permit or authorisation is abandoned under </w:t>
      </w:r>
      <w:r w:rsidR="0037487F" w:rsidRPr="00F52E97">
        <w:rPr>
          <w:rFonts w:ascii="Arial" w:hAnsi="Arial" w:cs="Arial"/>
          <w:i/>
          <w:sz w:val="24"/>
          <w:szCs w:val="24"/>
        </w:rPr>
        <w:lastRenderedPageBreak/>
        <w:t>s 11 (2) or the operations at the work cease, the person who was the holder of such permit or authorisation immediately prior to such suspension, cancellation or abandonment or lapsing or the holder of such permit or mining authorisation or the owner of such works as the case may be</w:t>
      </w:r>
      <w:r w:rsidR="003C57F5" w:rsidRPr="00F52E97">
        <w:rPr>
          <w:rFonts w:ascii="Arial" w:hAnsi="Arial" w:cs="Arial"/>
          <w:i/>
          <w:sz w:val="24"/>
          <w:szCs w:val="24"/>
        </w:rPr>
        <w:t>,</w:t>
      </w:r>
      <w:r w:rsidR="0037487F" w:rsidRPr="00F52E97">
        <w:rPr>
          <w:rFonts w:ascii="Arial" w:hAnsi="Arial" w:cs="Arial"/>
          <w:i/>
          <w:sz w:val="24"/>
          <w:szCs w:val="24"/>
        </w:rPr>
        <w:t xml:space="preserve"> </w:t>
      </w:r>
      <w:r w:rsidR="002B7B78" w:rsidRPr="00F52E97">
        <w:rPr>
          <w:rFonts w:ascii="Arial" w:hAnsi="Arial" w:cs="Arial"/>
          <w:i/>
          <w:sz w:val="24"/>
          <w:szCs w:val="24"/>
        </w:rPr>
        <w:t>s</w:t>
      </w:r>
      <w:r w:rsidR="0037487F" w:rsidRPr="00F52E97">
        <w:rPr>
          <w:rFonts w:ascii="Arial" w:hAnsi="Arial" w:cs="Arial"/>
          <w:i/>
          <w:sz w:val="24"/>
          <w:szCs w:val="24"/>
        </w:rPr>
        <w:t xml:space="preserve">hall remain liable for complying with the relevant provisions of this Act, until the regional director concerned issues a certificate </w:t>
      </w:r>
      <w:r w:rsidR="00813713" w:rsidRPr="00F52E97">
        <w:rPr>
          <w:rFonts w:ascii="Arial" w:hAnsi="Arial" w:cs="Arial"/>
          <w:i/>
          <w:sz w:val="24"/>
          <w:szCs w:val="24"/>
        </w:rPr>
        <w:t xml:space="preserve">to the effect that the said provisions </w:t>
      </w:r>
      <w:r w:rsidR="0037487F" w:rsidRPr="00F52E97">
        <w:rPr>
          <w:rFonts w:ascii="Arial" w:hAnsi="Arial" w:cs="Arial"/>
          <w:i/>
          <w:sz w:val="24"/>
          <w:szCs w:val="24"/>
        </w:rPr>
        <w:t>have been complied with.</w:t>
      </w:r>
      <w:r w:rsidR="0037487F">
        <w:rPr>
          <w:rFonts w:ascii="Arial" w:hAnsi="Arial" w:cs="Arial"/>
          <w:sz w:val="24"/>
          <w:szCs w:val="24"/>
        </w:rPr>
        <w:t xml:space="preserve">       </w:t>
      </w:r>
    </w:p>
    <w:p w14:paraId="29673229" w14:textId="77777777" w:rsidR="00813713" w:rsidRDefault="00813713" w:rsidP="003A0954">
      <w:pPr>
        <w:spacing w:after="0" w:line="360" w:lineRule="auto"/>
        <w:ind w:left="1440"/>
        <w:jc w:val="both"/>
        <w:rPr>
          <w:rFonts w:ascii="Arial" w:hAnsi="Arial" w:cs="Arial"/>
          <w:sz w:val="24"/>
          <w:szCs w:val="24"/>
        </w:rPr>
      </w:pPr>
    </w:p>
    <w:p w14:paraId="7BDC4E1B" w14:textId="57F27865" w:rsidR="00501BEC" w:rsidRDefault="00813713" w:rsidP="00813713">
      <w:pPr>
        <w:spacing w:after="0" w:line="360" w:lineRule="auto"/>
        <w:ind w:left="2160"/>
        <w:jc w:val="both"/>
        <w:rPr>
          <w:rFonts w:ascii="Arial" w:hAnsi="Arial" w:cs="Arial"/>
          <w:sz w:val="24"/>
          <w:szCs w:val="24"/>
        </w:rPr>
      </w:pPr>
      <w:r>
        <w:rPr>
          <w:rFonts w:ascii="Arial" w:hAnsi="Arial" w:cs="Arial"/>
          <w:sz w:val="24"/>
          <w:szCs w:val="24"/>
        </w:rPr>
        <w:t>[2</w:t>
      </w:r>
      <w:r w:rsidR="00781B5F">
        <w:rPr>
          <w:rFonts w:ascii="Arial" w:hAnsi="Arial" w:cs="Arial"/>
          <w:sz w:val="24"/>
          <w:szCs w:val="24"/>
        </w:rPr>
        <w:t>7</w:t>
      </w:r>
      <w:r>
        <w:rPr>
          <w:rFonts w:ascii="Arial" w:hAnsi="Arial" w:cs="Arial"/>
          <w:sz w:val="24"/>
          <w:szCs w:val="24"/>
        </w:rPr>
        <w:t>.3.</w:t>
      </w:r>
      <w:r w:rsidR="00F500C3">
        <w:rPr>
          <w:rFonts w:ascii="Arial" w:hAnsi="Arial" w:cs="Arial"/>
          <w:sz w:val="24"/>
          <w:szCs w:val="24"/>
        </w:rPr>
        <w:t>1.</w:t>
      </w:r>
      <w:r>
        <w:rPr>
          <w:rFonts w:ascii="Arial" w:hAnsi="Arial" w:cs="Arial"/>
          <w:sz w:val="24"/>
          <w:szCs w:val="24"/>
        </w:rPr>
        <w:t>2]</w:t>
      </w:r>
      <w:r>
        <w:rPr>
          <w:rFonts w:ascii="Arial" w:hAnsi="Arial" w:cs="Arial"/>
          <w:sz w:val="24"/>
          <w:szCs w:val="24"/>
        </w:rPr>
        <w:tab/>
        <w:t xml:space="preserve">At the commencement of the MPRDA, the Mineral Act </w:t>
      </w:r>
      <w:r w:rsidR="00726F0D">
        <w:rPr>
          <w:rFonts w:ascii="Arial" w:hAnsi="Arial" w:cs="Arial"/>
          <w:sz w:val="24"/>
          <w:szCs w:val="24"/>
        </w:rPr>
        <w:t xml:space="preserve">was </w:t>
      </w:r>
      <w:r>
        <w:rPr>
          <w:rFonts w:ascii="Arial" w:hAnsi="Arial" w:cs="Arial"/>
          <w:sz w:val="24"/>
          <w:szCs w:val="24"/>
        </w:rPr>
        <w:t xml:space="preserve">in its </w:t>
      </w:r>
      <w:r w:rsidR="00726F0D">
        <w:rPr>
          <w:rFonts w:ascii="Arial" w:hAnsi="Arial" w:cs="Arial"/>
          <w:sz w:val="24"/>
          <w:szCs w:val="24"/>
        </w:rPr>
        <w:t xml:space="preserve">whole entirety repealed save for a number of </w:t>
      </w:r>
      <w:r w:rsidR="00501BEC">
        <w:rPr>
          <w:rFonts w:ascii="Arial" w:hAnsi="Arial" w:cs="Arial"/>
          <w:sz w:val="24"/>
          <w:szCs w:val="24"/>
        </w:rPr>
        <w:t xml:space="preserve">limited </w:t>
      </w:r>
      <w:r w:rsidR="00726F0D">
        <w:rPr>
          <w:rFonts w:ascii="Arial" w:hAnsi="Arial" w:cs="Arial"/>
          <w:sz w:val="24"/>
          <w:szCs w:val="24"/>
        </w:rPr>
        <w:t xml:space="preserve">definitions which continue to apply. The transition of mineral regulation </w:t>
      </w:r>
      <w:r w:rsidR="00FB095A">
        <w:rPr>
          <w:rFonts w:ascii="Arial" w:hAnsi="Arial" w:cs="Arial"/>
          <w:sz w:val="24"/>
          <w:szCs w:val="24"/>
        </w:rPr>
        <w:t>fro</w:t>
      </w:r>
      <w:r w:rsidR="00726F0D">
        <w:rPr>
          <w:rFonts w:ascii="Arial" w:hAnsi="Arial" w:cs="Arial"/>
          <w:sz w:val="24"/>
          <w:szCs w:val="24"/>
        </w:rPr>
        <w:t xml:space="preserve">m the Minerals Act to MPRDA was itself regulated in terms of transitional arrangements contained in Schedule </w:t>
      </w:r>
      <w:r w:rsidR="00FB095A">
        <w:rPr>
          <w:rFonts w:ascii="Arial" w:hAnsi="Arial" w:cs="Arial"/>
          <w:sz w:val="24"/>
          <w:szCs w:val="24"/>
        </w:rPr>
        <w:t>II of the MPRDA</w:t>
      </w:r>
      <w:r w:rsidR="003C57F5">
        <w:rPr>
          <w:rFonts w:ascii="Arial" w:hAnsi="Arial" w:cs="Arial"/>
          <w:sz w:val="24"/>
          <w:szCs w:val="24"/>
        </w:rPr>
        <w:t>.</w:t>
      </w:r>
      <w:r w:rsidR="00FB095A">
        <w:rPr>
          <w:rFonts w:ascii="Arial" w:hAnsi="Arial" w:cs="Arial"/>
          <w:sz w:val="24"/>
          <w:szCs w:val="24"/>
        </w:rPr>
        <w:t xml:space="preserve"> In this regard with reference to the or</w:t>
      </w:r>
      <w:r w:rsidR="00501BEC">
        <w:rPr>
          <w:rFonts w:ascii="Arial" w:hAnsi="Arial" w:cs="Arial"/>
          <w:sz w:val="24"/>
          <w:szCs w:val="24"/>
        </w:rPr>
        <w:t>i</w:t>
      </w:r>
      <w:r w:rsidR="00FB095A">
        <w:rPr>
          <w:rFonts w:ascii="Arial" w:hAnsi="Arial" w:cs="Arial"/>
          <w:sz w:val="24"/>
          <w:szCs w:val="24"/>
        </w:rPr>
        <w:t xml:space="preserve">ginal </w:t>
      </w:r>
      <w:r w:rsidR="00501BEC">
        <w:rPr>
          <w:rFonts w:ascii="Arial" w:hAnsi="Arial" w:cs="Arial"/>
          <w:sz w:val="24"/>
          <w:szCs w:val="24"/>
        </w:rPr>
        <w:t>version of the MPRDA</w:t>
      </w:r>
      <w:r w:rsidR="00FB095A">
        <w:rPr>
          <w:rFonts w:ascii="Arial" w:hAnsi="Arial" w:cs="Arial"/>
          <w:sz w:val="24"/>
          <w:szCs w:val="24"/>
        </w:rPr>
        <w:t xml:space="preserve"> </w:t>
      </w:r>
      <w:r w:rsidR="00501BEC">
        <w:rPr>
          <w:rFonts w:ascii="Arial" w:hAnsi="Arial" w:cs="Arial"/>
          <w:sz w:val="24"/>
          <w:szCs w:val="24"/>
        </w:rPr>
        <w:t>prior to any amendment, item 10 of the transitional arrangement contained in Schedule 11 to the MPRDA stated:</w:t>
      </w:r>
      <w:r w:rsidR="00FB095A">
        <w:rPr>
          <w:rFonts w:ascii="Arial" w:hAnsi="Arial" w:cs="Arial"/>
          <w:sz w:val="24"/>
          <w:szCs w:val="24"/>
        </w:rPr>
        <w:t xml:space="preserve"> </w:t>
      </w:r>
    </w:p>
    <w:p w14:paraId="755A6107" w14:textId="77777777" w:rsidR="00501BEC" w:rsidRDefault="00501BEC" w:rsidP="00501BEC">
      <w:pPr>
        <w:spacing w:after="0" w:line="360" w:lineRule="auto"/>
        <w:ind w:left="2880"/>
        <w:jc w:val="both"/>
        <w:rPr>
          <w:rFonts w:ascii="Arial" w:hAnsi="Arial" w:cs="Arial"/>
          <w:sz w:val="24"/>
          <w:szCs w:val="24"/>
        </w:rPr>
      </w:pPr>
      <w:r>
        <w:rPr>
          <w:rFonts w:ascii="Arial" w:hAnsi="Arial" w:cs="Arial"/>
          <w:sz w:val="24"/>
          <w:szCs w:val="24"/>
        </w:rPr>
        <w:t>“</w:t>
      </w:r>
      <w:r w:rsidRPr="00F52E97">
        <w:rPr>
          <w:rFonts w:ascii="Arial" w:hAnsi="Arial" w:cs="Arial"/>
          <w:i/>
          <w:sz w:val="24"/>
          <w:szCs w:val="24"/>
        </w:rPr>
        <w:t>Continuation of approved environmental management programme</w:t>
      </w:r>
      <w:r w:rsidR="00FB095A">
        <w:rPr>
          <w:rFonts w:ascii="Arial" w:hAnsi="Arial" w:cs="Arial"/>
          <w:sz w:val="24"/>
          <w:szCs w:val="24"/>
        </w:rPr>
        <w:t xml:space="preserve"> </w:t>
      </w:r>
      <w:r w:rsidR="00726F0D">
        <w:rPr>
          <w:rFonts w:ascii="Arial" w:hAnsi="Arial" w:cs="Arial"/>
          <w:sz w:val="24"/>
          <w:szCs w:val="24"/>
        </w:rPr>
        <w:t xml:space="preserve"> </w:t>
      </w:r>
    </w:p>
    <w:p w14:paraId="2F4BEC47" w14:textId="1950B177" w:rsidR="00813713" w:rsidRDefault="00501BEC" w:rsidP="00501BEC">
      <w:pPr>
        <w:spacing w:after="0" w:line="360" w:lineRule="auto"/>
        <w:ind w:left="2880"/>
        <w:jc w:val="both"/>
        <w:rPr>
          <w:rFonts w:ascii="Arial" w:hAnsi="Arial" w:cs="Arial"/>
          <w:sz w:val="24"/>
          <w:szCs w:val="24"/>
        </w:rPr>
      </w:pPr>
      <w:r>
        <w:rPr>
          <w:rFonts w:ascii="Arial" w:hAnsi="Arial" w:cs="Arial"/>
          <w:sz w:val="24"/>
          <w:szCs w:val="24"/>
        </w:rPr>
        <w:t xml:space="preserve">10.(1) Any environmental management programme approved in terms of s 39 (1) of the Minerals Act </w:t>
      </w:r>
      <w:r w:rsidR="00906996">
        <w:rPr>
          <w:rFonts w:ascii="Arial" w:hAnsi="Arial" w:cs="Arial"/>
          <w:sz w:val="24"/>
          <w:szCs w:val="24"/>
        </w:rPr>
        <w:t>a</w:t>
      </w:r>
      <w:r>
        <w:rPr>
          <w:rFonts w:ascii="Arial" w:hAnsi="Arial" w:cs="Arial"/>
          <w:sz w:val="24"/>
          <w:szCs w:val="24"/>
        </w:rPr>
        <w:t xml:space="preserve">nd in force immediately before </w:t>
      </w:r>
      <w:r w:rsidR="00906996">
        <w:rPr>
          <w:rFonts w:ascii="Arial" w:hAnsi="Arial" w:cs="Arial"/>
          <w:sz w:val="24"/>
          <w:szCs w:val="24"/>
        </w:rPr>
        <w:t xml:space="preserve">this Act took effect, and any steps taken in respect of the performance assessment and duty to monitor connected with that environmental management programme continues to remain in force when this Act comes into effect.  </w:t>
      </w:r>
      <w:r>
        <w:rPr>
          <w:rFonts w:ascii="Arial" w:hAnsi="Arial" w:cs="Arial"/>
          <w:sz w:val="24"/>
          <w:szCs w:val="24"/>
        </w:rPr>
        <w:t xml:space="preserve">  </w:t>
      </w:r>
      <w:r>
        <w:rPr>
          <w:rFonts w:ascii="Arial" w:hAnsi="Arial" w:cs="Arial"/>
          <w:sz w:val="24"/>
          <w:szCs w:val="24"/>
        </w:rPr>
        <w:tab/>
      </w:r>
      <w:r w:rsidR="00726F0D">
        <w:rPr>
          <w:rFonts w:ascii="Arial" w:hAnsi="Arial" w:cs="Arial"/>
          <w:sz w:val="24"/>
          <w:szCs w:val="24"/>
        </w:rPr>
        <w:t xml:space="preserve"> </w:t>
      </w:r>
    </w:p>
    <w:p w14:paraId="400E4D04" w14:textId="17A8F348" w:rsidR="00906996" w:rsidRPr="00346E0A" w:rsidRDefault="00906996" w:rsidP="00346E0A">
      <w:pPr>
        <w:spacing w:after="0" w:line="360" w:lineRule="auto"/>
        <w:ind w:left="2880"/>
        <w:jc w:val="both"/>
        <w:rPr>
          <w:rFonts w:ascii="Arial" w:hAnsi="Arial" w:cs="Arial"/>
          <w:sz w:val="24"/>
          <w:szCs w:val="24"/>
        </w:rPr>
      </w:pPr>
      <w:r w:rsidRPr="00346E0A">
        <w:rPr>
          <w:rFonts w:ascii="Arial" w:hAnsi="Arial" w:cs="Arial"/>
          <w:sz w:val="24"/>
          <w:szCs w:val="24"/>
        </w:rPr>
        <w:t>(2)</w:t>
      </w:r>
      <w:r w:rsidRPr="008407AE">
        <w:rPr>
          <w:rFonts w:ascii="Arial" w:hAnsi="Arial" w:cs="Arial"/>
          <w:i/>
          <w:sz w:val="24"/>
          <w:szCs w:val="24"/>
        </w:rPr>
        <w:t xml:space="preserve"> </w:t>
      </w:r>
      <w:r w:rsidRPr="00346E0A">
        <w:rPr>
          <w:rFonts w:ascii="Arial" w:hAnsi="Arial" w:cs="Arial"/>
          <w:sz w:val="24"/>
          <w:szCs w:val="24"/>
        </w:rPr>
        <w:t xml:space="preserve">Sub item 1 does not prevent the Minister from directing the amendment of the environmental management programme in order to bring it into line with the requirements of this Act. </w:t>
      </w:r>
    </w:p>
    <w:p w14:paraId="2FE973F3" w14:textId="4B48818D" w:rsidR="003636D0" w:rsidRDefault="0031026D" w:rsidP="00346E0A">
      <w:pPr>
        <w:spacing w:after="0" w:line="360" w:lineRule="auto"/>
        <w:ind w:left="2880"/>
        <w:jc w:val="both"/>
        <w:rPr>
          <w:rFonts w:ascii="Arial" w:hAnsi="Arial" w:cs="Arial"/>
          <w:sz w:val="24"/>
          <w:szCs w:val="24"/>
        </w:rPr>
      </w:pPr>
      <w:r>
        <w:rPr>
          <w:rFonts w:ascii="Arial" w:hAnsi="Arial" w:cs="Arial"/>
          <w:sz w:val="24"/>
          <w:szCs w:val="24"/>
        </w:rPr>
        <w:t xml:space="preserve">(3)   </w:t>
      </w:r>
      <w:r w:rsidR="00906996">
        <w:rPr>
          <w:rFonts w:ascii="Arial" w:hAnsi="Arial" w:cs="Arial"/>
          <w:sz w:val="24"/>
          <w:szCs w:val="24"/>
        </w:rPr>
        <w:t xml:space="preserve">Any person exempted in terms of </w:t>
      </w:r>
      <w:r w:rsidR="00D15C55">
        <w:rPr>
          <w:rFonts w:ascii="Arial" w:hAnsi="Arial" w:cs="Arial"/>
          <w:sz w:val="24"/>
          <w:szCs w:val="24"/>
        </w:rPr>
        <w:t xml:space="preserve">s </w:t>
      </w:r>
      <w:r w:rsidR="00906996">
        <w:rPr>
          <w:rFonts w:ascii="Arial" w:hAnsi="Arial" w:cs="Arial"/>
          <w:sz w:val="24"/>
          <w:szCs w:val="24"/>
        </w:rPr>
        <w:t xml:space="preserve">39 (2) (a) of the Minerals Act before this Act took effect and whose exemption does not </w:t>
      </w:r>
      <w:r w:rsidR="00B8537E">
        <w:rPr>
          <w:rFonts w:ascii="Arial" w:hAnsi="Arial" w:cs="Arial"/>
          <w:sz w:val="24"/>
          <w:szCs w:val="24"/>
        </w:rPr>
        <w:t xml:space="preserve">otherwise </w:t>
      </w:r>
      <w:r w:rsidR="00906996">
        <w:rPr>
          <w:rFonts w:ascii="Arial" w:hAnsi="Arial" w:cs="Arial"/>
          <w:sz w:val="24"/>
          <w:szCs w:val="24"/>
        </w:rPr>
        <w:t xml:space="preserve">remain in force </w:t>
      </w:r>
      <w:r w:rsidR="00B8537E">
        <w:rPr>
          <w:rFonts w:ascii="Arial" w:hAnsi="Arial" w:cs="Arial"/>
          <w:sz w:val="24"/>
          <w:szCs w:val="24"/>
        </w:rPr>
        <w:t xml:space="preserve">in terms of </w:t>
      </w:r>
      <w:r w:rsidR="00B8537E">
        <w:rPr>
          <w:rFonts w:ascii="Arial" w:hAnsi="Arial" w:cs="Arial"/>
          <w:sz w:val="24"/>
          <w:szCs w:val="24"/>
        </w:rPr>
        <w:lastRenderedPageBreak/>
        <w:t>this Act</w:t>
      </w:r>
      <w:r w:rsidR="003636D0">
        <w:rPr>
          <w:rFonts w:ascii="Arial" w:hAnsi="Arial" w:cs="Arial"/>
          <w:sz w:val="24"/>
          <w:szCs w:val="24"/>
        </w:rPr>
        <w:t xml:space="preserve">, must apply for an exemption in terms of this Act within 1 year from the date on which this Act took effect, otherwise the exemption lapses. </w:t>
      </w:r>
    </w:p>
    <w:p w14:paraId="379ED43E" w14:textId="77777777" w:rsidR="0031026D" w:rsidRDefault="0031026D" w:rsidP="0031026D">
      <w:pPr>
        <w:spacing w:after="0" w:line="360" w:lineRule="auto"/>
        <w:ind w:left="3350"/>
        <w:jc w:val="both"/>
        <w:rPr>
          <w:rFonts w:ascii="Arial" w:hAnsi="Arial" w:cs="Arial"/>
          <w:sz w:val="24"/>
          <w:szCs w:val="24"/>
        </w:rPr>
      </w:pPr>
    </w:p>
    <w:p w14:paraId="19AD2616" w14:textId="757B0D45" w:rsidR="003636D0" w:rsidRDefault="003636D0" w:rsidP="00346E0A">
      <w:pPr>
        <w:spacing w:after="0" w:line="360" w:lineRule="auto"/>
        <w:ind w:left="2880"/>
        <w:jc w:val="both"/>
        <w:rPr>
          <w:rFonts w:ascii="Arial" w:hAnsi="Arial" w:cs="Arial"/>
          <w:sz w:val="24"/>
          <w:szCs w:val="24"/>
        </w:rPr>
      </w:pPr>
      <w:r>
        <w:rPr>
          <w:rFonts w:ascii="Arial" w:hAnsi="Arial" w:cs="Arial"/>
          <w:sz w:val="24"/>
          <w:szCs w:val="24"/>
        </w:rPr>
        <w:t>(4) if the holder of an old prospecting right or old order mining right ceases the relevant prospecting or mining operation, the holder must apply for a closure certificate in terms of s 43.</w:t>
      </w:r>
    </w:p>
    <w:p w14:paraId="601371D2" w14:textId="77777777" w:rsidR="00015B77" w:rsidRDefault="003636D0" w:rsidP="00906996">
      <w:pPr>
        <w:spacing w:after="0" w:line="360" w:lineRule="auto"/>
        <w:ind w:left="2880"/>
        <w:jc w:val="both"/>
        <w:rPr>
          <w:rFonts w:ascii="Arial" w:hAnsi="Arial" w:cs="Arial"/>
          <w:sz w:val="24"/>
          <w:szCs w:val="24"/>
        </w:rPr>
      </w:pPr>
      <w:r>
        <w:rPr>
          <w:rFonts w:ascii="Arial" w:hAnsi="Arial" w:cs="Arial"/>
          <w:sz w:val="24"/>
          <w:szCs w:val="24"/>
        </w:rPr>
        <w:t xml:space="preserve">(5) s 38 applies to a holder of an old prospecting right </w:t>
      </w:r>
      <w:r w:rsidR="003B4F66">
        <w:rPr>
          <w:rFonts w:ascii="Arial" w:hAnsi="Arial" w:cs="Arial"/>
          <w:sz w:val="24"/>
          <w:szCs w:val="24"/>
        </w:rPr>
        <w:t xml:space="preserve">or old order mining right. </w:t>
      </w:r>
    </w:p>
    <w:p w14:paraId="7C125C07" w14:textId="77777777" w:rsidR="00C55F5C" w:rsidRDefault="00015B77" w:rsidP="00015B7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010508B" w14:textId="5B53BD16" w:rsidR="00813713" w:rsidRDefault="00015B77" w:rsidP="00C55F5C">
      <w:pPr>
        <w:spacing w:after="0" w:line="360" w:lineRule="auto"/>
        <w:ind w:left="1440" w:firstLine="720"/>
        <w:jc w:val="both"/>
        <w:rPr>
          <w:rFonts w:ascii="Arial" w:hAnsi="Arial" w:cs="Arial"/>
          <w:sz w:val="24"/>
          <w:szCs w:val="24"/>
        </w:rPr>
      </w:pPr>
      <w:r>
        <w:rPr>
          <w:rFonts w:ascii="Arial" w:hAnsi="Arial" w:cs="Arial"/>
          <w:sz w:val="24"/>
          <w:szCs w:val="24"/>
        </w:rPr>
        <w:t>[2</w:t>
      </w:r>
      <w:r w:rsidR="00781B5F">
        <w:rPr>
          <w:rFonts w:ascii="Arial" w:hAnsi="Arial" w:cs="Arial"/>
          <w:sz w:val="24"/>
          <w:szCs w:val="24"/>
        </w:rPr>
        <w:t>7</w:t>
      </w:r>
      <w:r>
        <w:rPr>
          <w:rFonts w:ascii="Arial" w:hAnsi="Arial" w:cs="Arial"/>
          <w:sz w:val="24"/>
          <w:szCs w:val="24"/>
        </w:rPr>
        <w:t>.3.</w:t>
      </w:r>
      <w:r w:rsidR="00F500C3">
        <w:rPr>
          <w:rFonts w:ascii="Arial" w:hAnsi="Arial" w:cs="Arial"/>
          <w:sz w:val="24"/>
          <w:szCs w:val="24"/>
        </w:rPr>
        <w:t>1.</w:t>
      </w:r>
      <w:r>
        <w:rPr>
          <w:rFonts w:ascii="Arial" w:hAnsi="Arial" w:cs="Arial"/>
          <w:sz w:val="24"/>
          <w:szCs w:val="24"/>
        </w:rPr>
        <w:t xml:space="preserve">3] </w:t>
      </w:r>
      <w:r w:rsidR="00346E0A">
        <w:rPr>
          <w:rFonts w:ascii="Arial" w:hAnsi="Arial" w:cs="Arial"/>
          <w:sz w:val="24"/>
          <w:szCs w:val="24"/>
        </w:rPr>
        <w:tab/>
      </w:r>
      <w:r>
        <w:rPr>
          <w:rFonts w:ascii="Arial" w:hAnsi="Arial" w:cs="Arial"/>
          <w:sz w:val="24"/>
          <w:szCs w:val="24"/>
        </w:rPr>
        <w:t xml:space="preserve">Prior to its amendment s 43 read: </w:t>
      </w:r>
      <w:r w:rsidR="003636D0">
        <w:rPr>
          <w:rFonts w:ascii="Arial" w:hAnsi="Arial" w:cs="Arial"/>
          <w:sz w:val="24"/>
          <w:szCs w:val="24"/>
        </w:rPr>
        <w:t xml:space="preserve"> </w:t>
      </w:r>
      <w:r w:rsidR="00B8537E">
        <w:rPr>
          <w:rFonts w:ascii="Arial" w:hAnsi="Arial" w:cs="Arial"/>
          <w:sz w:val="24"/>
          <w:szCs w:val="24"/>
        </w:rPr>
        <w:t xml:space="preserve"> </w:t>
      </w:r>
      <w:r w:rsidR="00906996">
        <w:rPr>
          <w:rFonts w:ascii="Arial" w:hAnsi="Arial" w:cs="Arial"/>
          <w:sz w:val="24"/>
          <w:szCs w:val="24"/>
        </w:rPr>
        <w:tab/>
      </w:r>
    </w:p>
    <w:p w14:paraId="14EEC30D" w14:textId="77777777" w:rsidR="00AE47C9" w:rsidRDefault="00AE47C9" w:rsidP="00015B77">
      <w:pPr>
        <w:spacing w:after="0" w:line="360" w:lineRule="auto"/>
        <w:ind w:left="2160" w:firstLine="720"/>
        <w:jc w:val="both"/>
        <w:rPr>
          <w:rFonts w:ascii="Arial" w:hAnsi="Arial" w:cs="Arial"/>
          <w:sz w:val="24"/>
          <w:szCs w:val="24"/>
        </w:rPr>
      </w:pPr>
    </w:p>
    <w:p w14:paraId="6FD4DB9E" w14:textId="046341BB" w:rsidR="00813713" w:rsidRPr="00F500C3" w:rsidRDefault="00AE47C9" w:rsidP="00015B77">
      <w:pPr>
        <w:spacing w:after="0" w:line="360" w:lineRule="auto"/>
        <w:ind w:left="2160" w:firstLine="720"/>
        <w:jc w:val="both"/>
        <w:rPr>
          <w:rFonts w:ascii="Arial" w:hAnsi="Arial" w:cs="Arial"/>
          <w:i/>
          <w:sz w:val="24"/>
          <w:szCs w:val="24"/>
        </w:rPr>
      </w:pPr>
      <w:r>
        <w:rPr>
          <w:rFonts w:ascii="Arial" w:hAnsi="Arial" w:cs="Arial"/>
          <w:sz w:val="24"/>
          <w:szCs w:val="24"/>
        </w:rPr>
        <w:t>“</w:t>
      </w:r>
      <w:r w:rsidR="00015B77">
        <w:rPr>
          <w:rFonts w:ascii="Arial" w:hAnsi="Arial" w:cs="Arial"/>
          <w:sz w:val="24"/>
          <w:szCs w:val="24"/>
        </w:rPr>
        <w:t xml:space="preserve">43. </w:t>
      </w:r>
      <w:r w:rsidR="00015B77" w:rsidRPr="00F500C3">
        <w:rPr>
          <w:rFonts w:ascii="Arial" w:hAnsi="Arial" w:cs="Arial"/>
          <w:i/>
          <w:sz w:val="24"/>
          <w:szCs w:val="24"/>
        </w:rPr>
        <w:t>Issuing of a closure certificate</w:t>
      </w:r>
    </w:p>
    <w:p w14:paraId="6735D6F0" w14:textId="70FC3641" w:rsidR="00015B77" w:rsidRDefault="00F236B0" w:rsidP="00F236B0">
      <w:pPr>
        <w:spacing w:after="0" w:line="360" w:lineRule="auto"/>
        <w:ind w:left="2880"/>
        <w:jc w:val="both"/>
        <w:rPr>
          <w:rFonts w:ascii="Arial" w:hAnsi="Arial" w:cs="Arial"/>
          <w:sz w:val="24"/>
          <w:szCs w:val="24"/>
        </w:rPr>
      </w:pPr>
      <w:r>
        <w:rPr>
          <w:rFonts w:ascii="Arial" w:hAnsi="Arial" w:cs="Arial"/>
          <w:sz w:val="24"/>
          <w:szCs w:val="24"/>
        </w:rPr>
        <w:t xml:space="preserve">(1) </w:t>
      </w:r>
      <w:r w:rsidR="00015B77">
        <w:rPr>
          <w:rFonts w:ascii="Arial" w:hAnsi="Arial" w:cs="Arial"/>
          <w:sz w:val="24"/>
          <w:szCs w:val="24"/>
        </w:rPr>
        <w:t>The holder of a prospecting right, mining right</w:t>
      </w:r>
      <w:r>
        <w:rPr>
          <w:rFonts w:ascii="Arial" w:hAnsi="Arial" w:cs="Arial"/>
          <w:sz w:val="24"/>
          <w:szCs w:val="24"/>
        </w:rPr>
        <w:t>,</w:t>
      </w:r>
      <w:r w:rsidR="00015B77">
        <w:rPr>
          <w:rFonts w:ascii="Arial" w:hAnsi="Arial" w:cs="Arial"/>
          <w:sz w:val="24"/>
          <w:szCs w:val="24"/>
        </w:rPr>
        <w:t xml:space="preserve"> retention </w:t>
      </w:r>
      <w:r>
        <w:rPr>
          <w:rFonts w:ascii="Arial" w:hAnsi="Arial" w:cs="Arial"/>
          <w:sz w:val="24"/>
          <w:szCs w:val="24"/>
        </w:rPr>
        <w:t xml:space="preserve">permit or mining permit remains responsible for any environmental right, pollution or ecological degradation and the management thereof, until the minister has issued a closure certificate to the holder concerned, </w:t>
      </w:r>
    </w:p>
    <w:p w14:paraId="1AE1772E" w14:textId="16AEA24A" w:rsidR="001B6D69" w:rsidRDefault="00F236B0" w:rsidP="00F236B0">
      <w:pPr>
        <w:spacing w:after="0" w:line="360" w:lineRule="auto"/>
        <w:ind w:left="2880"/>
        <w:jc w:val="both"/>
        <w:rPr>
          <w:rFonts w:ascii="Arial" w:hAnsi="Arial" w:cs="Arial"/>
          <w:sz w:val="24"/>
          <w:szCs w:val="24"/>
        </w:rPr>
      </w:pPr>
      <w:r>
        <w:rPr>
          <w:rFonts w:ascii="Arial" w:hAnsi="Arial" w:cs="Arial"/>
          <w:sz w:val="24"/>
          <w:szCs w:val="24"/>
        </w:rPr>
        <w:t>(2) On written application by the holder of a prospecting right, mining right or mining permit in the prescribed manner, the Minister may transfer such environmental liabilities and responsibilities as may be identified in the environmental management plan or environmental management programme or any prescribed closure plan to a person with such qualifications</w:t>
      </w:r>
      <w:r w:rsidR="001B6D69">
        <w:rPr>
          <w:rFonts w:ascii="Arial" w:hAnsi="Arial" w:cs="Arial"/>
          <w:sz w:val="24"/>
          <w:szCs w:val="24"/>
        </w:rPr>
        <w:t xml:space="preserve"> as may be prescribed. </w:t>
      </w:r>
    </w:p>
    <w:p w14:paraId="4ED68B67" w14:textId="77777777" w:rsidR="00523568" w:rsidRDefault="00523568" w:rsidP="00F236B0">
      <w:pPr>
        <w:spacing w:after="0" w:line="360" w:lineRule="auto"/>
        <w:ind w:left="2880"/>
        <w:jc w:val="both"/>
        <w:rPr>
          <w:rFonts w:ascii="Arial" w:hAnsi="Arial" w:cs="Arial"/>
          <w:sz w:val="24"/>
          <w:szCs w:val="24"/>
        </w:rPr>
      </w:pPr>
    </w:p>
    <w:p w14:paraId="4BBE779D" w14:textId="29FC4B03" w:rsidR="00F236B0" w:rsidRDefault="001B6D69" w:rsidP="00F236B0">
      <w:pPr>
        <w:spacing w:after="0" w:line="360" w:lineRule="auto"/>
        <w:ind w:left="2880"/>
        <w:jc w:val="both"/>
        <w:rPr>
          <w:rFonts w:ascii="Arial" w:hAnsi="Arial" w:cs="Arial"/>
          <w:sz w:val="24"/>
          <w:szCs w:val="24"/>
        </w:rPr>
      </w:pPr>
      <w:r>
        <w:rPr>
          <w:rFonts w:ascii="Arial" w:hAnsi="Arial" w:cs="Arial"/>
          <w:sz w:val="24"/>
          <w:szCs w:val="24"/>
        </w:rPr>
        <w:t>(3) The holder of a prospecting right,</w:t>
      </w:r>
      <w:r w:rsidRPr="001B6D69">
        <w:rPr>
          <w:rFonts w:ascii="Arial" w:hAnsi="Arial" w:cs="Arial"/>
          <w:sz w:val="24"/>
          <w:szCs w:val="24"/>
        </w:rPr>
        <w:t xml:space="preserve"> </w:t>
      </w:r>
      <w:r>
        <w:rPr>
          <w:rFonts w:ascii="Arial" w:hAnsi="Arial" w:cs="Arial"/>
          <w:sz w:val="24"/>
          <w:szCs w:val="24"/>
        </w:rPr>
        <w:t>mining right, retention permit or mining permit or the person contemplated in subsection (2) as the case may be, must apply for an closure certificate upon-</w:t>
      </w:r>
    </w:p>
    <w:p w14:paraId="529D4740" w14:textId="3162CF16" w:rsidR="001B6D69" w:rsidRDefault="001B6D69" w:rsidP="00523568">
      <w:pPr>
        <w:spacing w:after="0" w:line="360" w:lineRule="auto"/>
        <w:ind w:left="3600"/>
        <w:jc w:val="both"/>
        <w:rPr>
          <w:rFonts w:ascii="Arial" w:hAnsi="Arial" w:cs="Arial"/>
          <w:sz w:val="24"/>
          <w:szCs w:val="24"/>
        </w:rPr>
      </w:pPr>
      <w:r>
        <w:rPr>
          <w:rFonts w:ascii="Arial" w:hAnsi="Arial" w:cs="Arial"/>
          <w:sz w:val="24"/>
          <w:szCs w:val="24"/>
        </w:rPr>
        <w:t>(</w:t>
      </w:r>
      <w:r w:rsidR="00232BF8">
        <w:rPr>
          <w:rFonts w:ascii="Arial" w:hAnsi="Arial" w:cs="Arial"/>
          <w:sz w:val="24"/>
          <w:szCs w:val="24"/>
        </w:rPr>
        <w:t>a</w:t>
      </w:r>
      <w:r>
        <w:rPr>
          <w:rFonts w:ascii="Arial" w:hAnsi="Arial" w:cs="Arial"/>
          <w:sz w:val="24"/>
          <w:szCs w:val="24"/>
        </w:rPr>
        <w:t>) the lapsing, abandonment, cancellation of the right or permit in question;</w:t>
      </w:r>
    </w:p>
    <w:p w14:paraId="6EA413EF" w14:textId="378FE6A5" w:rsidR="001B6D69" w:rsidRDefault="001B6D69" w:rsidP="00523568">
      <w:pPr>
        <w:spacing w:after="0" w:line="360" w:lineRule="auto"/>
        <w:ind w:left="3600"/>
        <w:jc w:val="both"/>
        <w:rPr>
          <w:rFonts w:ascii="Arial" w:hAnsi="Arial" w:cs="Arial"/>
          <w:sz w:val="24"/>
          <w:szCs w:val="24"/>
        </w:rPr>
      </w:pPr>
      <w:r>
        <w:rPr>
          <w:rFonts w:ascii="Arial" w:hAnsi="Arial" w:cs="Arial"/>
          <w:sz w:val="24"/>
          <w:szCs w:val="24"/>
        </w:rPr>
        <w:lastRenderedPageBreak/>
        <w:t>(</w:t>
      </w:r>
      <w:r w:rsidR="00232BF8">
        <w:rPr>
          <w:rFonts w:ascii="Arial" w:hAnsi="Arial" w:cs="Arial"/>
          <w:sz w:val="24"/>
          <w:szCs w:val="24"/>
        </w:rPr>
        <w:t>b</w:t>
      </w:r>
      <w:r>
        <w:rPr>
          <w:rFonts w:ascii="Arial" w:hAnsi="Arial" w:cs="Arial"/>
          <w:sz w:val="24"/>
          <w:szCs w:val="24"/>
        </w:rPr>
        <w:t>) the cessation of the prospecting or mining operation;</w:t>
      </w:r>
    </w:p>
    <w:p w14:paraId="039101B2" w14:textId="04DB4EED" w:rsidR="001B6D69" w:rsidRDefault="001B6D69" w:rsidP="004B3905">
      <w:pPr>
        <w:spacing w:after="0" w:line="360" w:lineRule="auto"/>
        <w:ind w:left="3600"/>
        <w:jc w:val="both"/>
        <w:rPr>
          <w:rFonts w:ascii="Arial" w:hAnsi="Arial" w:cs="Arial"/>
          <w:sz w:val="24"/>
          <w:szCs w:val="24"/>
        </w:rPr>
      </w:pPr>
      <w:r>
        <w:rPr>
          <w:rFonts w:ascii="Arial" w:hAnsi="Arial" w:cs="Arial"/>
          <w:sz w:val="24"/>
          <w:szCs w:val="24"/>
        </w:rPr>
        <w:t>(</w:t>
      </w:r>
      <w:r w:rsidR="00232BF8">
        <w:rPr>
          <w:rFonts w:ascii="Arial" w:hAnsi="Arial" w:cs="Arial"/>
          <w:sz w:val="24"/>
          <w:szCs w:val="24"/>
        </w:rPr>
        <w:t>c</w:t>
      </w:r>
      <w:r>
        <w:rPr>
          <w:rFonts w:ascii="Arial" w:hAnsi="Arial" w:cs="Arial"/>
          <w:sz w:val="24"/>
          <w:szCs w:val="24"/>
        </w:rPr>
        <w:t xml:space="preserve">) the relinquishment of any portion of the prospecting of the land to which a right, permit or permission relate; or completion of the prescribed closing plan to which a right, permit or permission relate; </w:t>
      </w:r>
    </w:p>
    <w:p w14:paraId="7ED2BDE9" w14:textId="7A403929" w:rsidR="00232BF8" w:rsidRDefault="00232BF8" w:rsidP="004B3905">
      <w:pPr>
        <w:spacing w:after="0" w:line="360" w:lineRule="auto"/>
        <w:ind w:left="360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523568">
        <w:rPr>
          <w:rFonts w:ascii="Arial" w:hAnsi="Arial" w:cs="Arial"/>
          <w:sz w:val="24"/>
          <w:szCs w:val="24"/>
        </w:rPr>
        <w:t>Completion of the prescribed closing plan</w:t>
      </w:r>
      <w:r>
        <w:rPr>
          <w:rFonts w:ascii="Arial" w:hAnsi="Arial" w:cs="Arial"/>
          <w:sz w:val="24"/>
          <w:szCs w:val="24"/>
        </w:rPr>
        <w:t xml:space="preserve"> to </w:t>
      </w:r>
      <w:r w:rsidR="00020E3C">
        <w:rPr>
          <w:rFonts w:ascii="Arial" w:hAnsi="Arial" w:cs="Arial"/>
          <w:sz w:val="24"/>
          <w:szCs w:val="24"/>
        </w:rPr>
        <w:t>w</w:t>
      </w:r>
      <w:r>
        <w:rPr>
          <w:rFonts w:ascii="Arial" w:hAnsi="Arial" w:cs="Arial"/>
          <w:sz w:val="24"/>
          <w:szCs w:val="24"/>
        </w:rPr>
        <w:t>hich a right, permit, or permission relate.</w:t>
      </w:r>
    </w:p>
    <w:p w14:paraId="1C504192" w14:textId="36087DE6" w:rsidR="00232BF8" w:rsidRDefault="00232BF8" w:rsidP="00F236B0">
      <w:pPr>
        <w:spacing w:after="0" w:line="360" w:lineRule="auto"/>
        <w:ind w:left="2880"/>
        <w:jc w:val="both"/>
        <w:rPr>
          <w:rFonts w:ascii="Arial" w:hAnsi="Arial" w:cs="Arial"/>
          <w:sz w:val="24"/>
          <w:szCs w:val="24"/>
        </w:rPr>
      </w:pPr>
      <w:r>
        <w:rPr>
          <w:rFonts w:ascii="Arial" w:hAnsi="Arial" w:cs="Arial"/>
          <w:sz w:val="24"/>
          <w:szCs w:val="24"/>
        </w:rPr>
        <w:t xml:space="preserve">  </w:t>
      </w:r>
    </w:p>
    <w:p w14:paraId="4FAC1551" w14:textId="135BDC09" w:rsidR="00232BF8" w:rsidRPr="006949B7" w:rsidRDefault="001B6D69" w:rsidP="00F236B0">
      <w:pPr>
        <w:spacing w:after="0" w:line="360" w:lineRule="auto"/>
        <w:ind w:left="2880"/>
        <w:jc w:val="both"/>
        <w:rPr>
          <w:rFonts w:ascii="Arial" w:hAnsi="Arial" w:cs="Arial"/>
          <w:sz w:val="24"/>
          <w:szCs w:val="24"/>
        </w:rPr>
      </w:pPr>
      <w:r>
        <w:rPr>
          <w:rFonts w:ascii="Arial" w:hAnsi="Arial" w:cs="Arial"/>
          <w:sz w:val="24"/>
          <w:szCs w:val="24"/>
        </w:rPr>
        <w:t>(4</w:t>
      </w:r>
      <w:r w:rsidR="00232BF8">
        <w:rPr>
          <w:rFonts w:ascii="Arial" w:hAnsi="Arial" w:cs="Arial"/>
          <w:sz w:val="24"/>
          <w:szCs w:val="24"/>
        </w:rPr>
        <w:t>)</w:t>
      </w:r>
      <w:r>
        <w:rPr>
          <w:rFonts w:ascii="Arial" w:hAnsi="Arial" w:cs="Arial"/>
          <w:sz w:val="24"/>
          <w:szCs w:val="24"/>
        </w:rPr>
        <w:t xml:space="preserve"> </w:t>
      </w:r>
      <w:r w:rsidRPr="00523568">
        <w:rPr>
          <w:rFonts w:ascii="Arial" w:hAnsi="Arial" w:cs="Arial"/>
          <w:sz w:val="24"/>
          <w:szCs w:val="24"/>
        </w:rPr>
        <w:t>An Application for an closure certificate</w:t>
      </w:r>
      <w:r>
        <w:rPr>
          <w:rFonts w:ascii="Arial" w:hAnsi="Arial" w:cs="Arial"/>
          <w:sz w:val="24"/>
          <w:szCs w:val="24"/>
        </w:rPr>
        <w:t xml:space="preserve"> must be made to the Regional Manager in whose region the land in question</w:t>
      </w:r>
      <w:r w:rsidR="00232BF8">
        <w:rPr>
          <w:rFonts w:ascii="Arial" w:hAnsi="Arial" w:cs="Arial"/>
          <w:sz w:val="24"/>
          <w:szCs w:val="24"/>
        </w:rPr>
        <w:t xml:space="preserve"> is situated within 180 days of the occurrence of lapsing, abandonment, cancellation, cessation relinquishment or completion contemplated in subsection 3 and </w:t>
      </w:r>
      <w:r w:rsidR="00232BF8" w:rsidRPr="006949B7">
        <w:rPr>
          <w:rFonts w:ascii="Arial" w:hAnsi="Arial" w:cs="Arial"/>
          <w:sz w:val="24"/>
          <w:szCs w:val="24"/>
        </w:rPr>
        <w:t>must be accompanied by the prescribed environmental risk report.</w:t>
      </w:r>
    </w:p>
    <w:p w14:paraId="297C2068" w14:textId="77777777" w:rsidR="00AE47C9" w:rsidRDefault="00AE47C9" w:rsidP="00F236B0">
      <w:pPr>
        <w:spacing w:after="0" w:line="360" w:lineRule="auto"/>
        <w:ind w:left="2880"/>
        <w:jc w:val="both"/>
        <w:rPr>
          <w:rFonts w:ascii="Arial" w:hAnsi="Arial" w:cs="Arial"/>
          <w:sz w:val="24"/>
          <w:szCs w:val="24"/>
        </w:rPr>
      </w:pPr>
    </w:p>
    <w:p w14:paraId="32D6BA34" w14:textId="21C4DED8" w:rsidR="00232BF8" w:rsidRDefault="00232BF8" w:rsidP="00F236B0">
      <w:pPr>
        <w:spacing w:after="0" w:line="360" w:lineRule="auto"/>
        <w:ind w:left="2880"/>
        <w:jc w:val="both"/>
        <w:rPr>
          <w:rFonts w:ascii="Arial" w:hAnsi="Arial" w:cs="Arial"/>
          <w:sz w:val="24"/>
          <w:szCs w:val="24"/>
        </w:rPr>
      </w:pPr>
      <w:r>
        <w:rPr>
          <w:rFonts w:ascii="Arial" w:hAnsi="Arial" w:cs="Arial"/>
          <w:sz w:val="24"/>
          <w:szCs w:val="24"/>
        </w:rPr>
        <w:t xml:space="preserve">(5) </w:t>
      </w:r>
      <w:r w:rsidRPr="00523568">
        <w:rPr>
          <w:rFonts w:ascii="Arial" w:hAnsi="Arial" w:cs="Arial"/>
          <w:i/>
          <w:sz w:val="24"/>
          <w:szCs w:val="24"/>
        </w:rPr>
        <w:t>No closure certificate may be issued unless the Chief Inspector and the Department of Water Affairs and F</w:t>
      </w:r>
      <w:r w:rsidR="00020E3C" w:rsidRPr="00523568">
        <w:rPr>
          <w:rFonts w:ascii="Arial" w:hAnsi="Arial" w:cs="Arial"/>
          <w:i/>
          <w:sz w:val="24"/>
          <w:szCs w:val="24"/>
        </w:rPr>
        <w:t>o</w:t>
      </w:r>
      <w:r w:rsidRPr="00523568">
        <w:rPr>
          <w:rFonts w:ascii="Arial" w:hAnsi="Arial" w:cs="Arial"/>
          <w:i/>
          <w:sz w:val="24"/>
          <w:szCs w:val="24"/>
        </w:rPr>
        <w:t>restry</w:t>
      </w:r>
      <w:r w:rsidRPr="008407AE">
        <w:rPr>
          <w:rFonts w:ascii="Arial" w:hAnsi="Arial" w:cs="Arial"/>
          <w:i/>
          <w:sz w:val="24"/>
          <w:szCs w:val="24"/>
        </w:rPr>
        <w:t xml:space="preserve"> have confirmed in writing that the provisions pertaining to health and safety and management of potential </w:t>
      </w:r>
      <w:r>
        <w:rPr>
          <w:rFonts w:ascii="Arial" w:hAnsi="Arial" w:cs="Arial"/>
          <w:sz w:val="24"/>
          <w:szCs w:val="24"/>
        </w:rPr>
        <w:t xml:space="preserve">pollution to water resources has been addressed.”  </w:t>
      </w:r>
    </w:p>
    <w:p w14:paraId="7FB87345" w14:textId="6A36B434" w:rsidR="001B6D69" w:rsidRDefault="00232BF8" w:rsidP="00F236B0">
      <w:pPr>
        <w:spacing w:after="0" w:line="360" w:lineRule="auto"/>
        <w:ind w:left="2880"/>
        <w:jc w:val="both"/>
        <w:rPr>
          <w:rFonts w:ascii="Arial" w:hAnsi="Arial" w:cs="Arial"/>
          <w:sz w:val="24"/>
          <w:szCs w:val="24"/>
        </w:rPr>
      </w:pPr>
      <w:r>
        <w:rPr>
          <w:rFonts w:ascii="Arial" w:hAnsi="Arial" w:cs="Arial"/>
          <w:sz w:val="24"/>
          <w:szCs w:val="24"/>
        </w:rPr>
        <w:t xml:space="preserve">   </w:t>
      </w:r>
      <w:r w:rsidR="001B6D69">
        <w:rPr>
          <w:rFonts w:ascii="Arial" w:hAnsi="Arial" w:cs="Arial"/>
          <w:sz w:val="24"/>
          <w:szCs w:val="24"/>
        </w:rPr>
        <w:t xml:space="preserve">       </w:t>
      </w:r>
    </w:p>
    <w:p w14:paraId="5BFAA185" w14:textId="1155AACD" w:rsidR="00015B77" w:rsidRDefault="00AE47C9" w:rsidP="00F500C3">
      <w:pPr>
        <w:spacing w:after="0" w:line="360" w:lineRule="auto"/>
        <w:ind w:left="1440" w:firstLine="720"/>
        <w:jc w:val="both"/>
        <w:rPr>
          <w:rFonts w:ascii="Arial" w:hAnsi="Arial" w:cs="Arial"/>
          <w:sz w:val="24"/>
          <w:szCs w:val="24"/>
        </w:rPr>
      </w:pPr>
      <w:r>
        <w:rPr>
          <w:rFonts w:ascii="Arial" w:hAnsi="Arial" w:cs="Arial"/>
          <w:sz w:val="24"/>
          <w:szCs w:val="24"/>
        </w:rPr>
        <w:t>[2</w:t>
      </w:r>
      <w:r w:rsidR="00781B5F">
        <w:rPr>
          <w:rFonts w:ascii="Arial" w:hAnsi="Arial" w:cs="Arial"/>
          <w:sz w:val="24"/>
          <w:szCs w:val="24"/>
        </w:rPr>
        <w:t>7</w:t>
      </w:r>
      <w:r>
        <w:rPr>
          <w:rFonts w:ascii="Arial" w:hAnsi="Arial" w:cs="Arial"/>
          <w:sz w:val="24"/>
          <w:szCs w:val="24"/>
        </w:rPr>
        <w:t>.3.</w:t>
      </w:r>
      <w:r w:rsidR="00F500C3">
        <w:rPr>
          <w:rFonts w:ascii="Arial" w:hAnsi="Arial" w:cs="Arial"/>
          <w:sz w:val="24"/>
          <w:szCs w:val="24"/>
        </w:rPr>
        <w:t>1.4</w:t>
      </w:r>
      <w:r>
        <w:rPr>
          <w:rFonts w:ascii="Arial" w:hAnsi="Arial" w:cs="Arial"/>
          <w:sz w:val="24"/>
          <w:szCs w:val="24"/>
        </w:rPr>
        <w:t xml:space="preserve">] </w:t>
      </w:r>
      <w:r w:rsidR="006949B7">
        <w:rPr>
          <w:rFonts w:ascii="Arial" w:hAnsi="Arial" w:cs="Arial"/>
          <w:sz w:val="24"/>
          <w:szCs w:val="24"/>
        </w:rPr>
        <w:t xml:space="preserve">Section </w:t>
      </w:r>
      <w:r>
        <w:rPr>
          <w:rFonts w:ascii="Arial" w:hAnsi="Arial" w:cs="Arial"/>
          <w:sz w:val="24"/>
          <w:szCs w:val="24"/>
        </w:rPr>
        <w:t xml:space="preserve">43 </w:t>
      </w:r>
      <w:r w:rsidR="006949B7">
        <w:rPr>
          <w:rFonts w:ascii="Arial" w:hAnsi="Arial" w:cs="Arial"/>
          <w:sz w:val="24"/>
          <w:szCs w:val="24"/>
        </w:rPr>
        <w:t xml:space="preserve">now </w:t>
      </w:r>
      <w:r>
        <w:rPr>
          <w:rFonts w:ascii="Arial" w:hAnsi="Arial" w:cs="Arial"/>
          <w:sz w:val="24"/>
          <w:szCs w:val="24"/>
        </w:rPr>
        <w:t>reads-</w:t>
      </w:r>
    </w:p>
    <w:p w14:paraId="77E470F3" w14:textId="0B885559" w:rsidR="00AE47C9" w:rsidRDefault="00AE47C9" w:rsidP="003A0954">
      <w:pPr>
        <w:spacing w:after="0" w:line="360" w:lineRule="auto"/>
        <w:ind w:left="1440"/>
        <w:jc w:val="both"/>
        <w:rPr>
          <w:rFonts w:ascii="Arial" w:hAnsi="Arial" w:cs="Arial"/>
          <w:sz w:val="24"/>
          <w:szCs w:val="24"/>
        </w:rPr>
      </w:pPr>
      <w:r>
        <w:rPr>
          <w:rFonts w:ascii="Arial" w:hAnsi="Arial" w:cs="Arial"/>
          <w:sz w:val="24"/>
          <w:szCs w:val="24"/>
        </w:rPr>
        <w:tab/>
        <w:t xml:space="preserve">“43. Issuing of a closure certificate </w:t>
      </w:r>
    </w:p>
    <w:p w14:paraId="5CCF4552" w14:textId="3DAFEE7A" w:rsidR="008F7B51" w:rsidRPr="00765E62" w:rsidRDefault="00765E62" w:rsidP="00765E62">
      <w:pPr>
        <w:spacing w:after="0" w:line="360" w:lineRule="auto"/>
        <w:ind w:left="229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E47C9" w:rsidRPr="00765E62">
        <w:rPr>
          <w:rFonts w:ascii="Arial" w:hAnsi="Arial" w:cs="Arial"/>
          <w:i/>
          <w:sz w:val="24"/>
          <w:szCs w:val="24"/>
        </w:rPr>
        <w:t xml:space="preserve">The holder of a prospecting right, mining right, retention  permit, mining permit, or previous holder of an old order right of previous owner of works that has ceased to exist, remains responsible for any environmental liability, pollution,  ecological degradation, the pumping and treatment of extraneous water, compliance to the conditions of the environmental authorisations and </w:t>
      </w:r>
      <w:r w:rsidR="008F7B51" w:rsidRPr="00765E62">
        <w:rPr>
          <w:rFonts w:ascii="Arial" w:hAnsi="Arial" w:cs="Arial"/>
          <w:i/>
          <w:sz w:val="24"/>
          <w:szCs w:val="24"/>
        </w:rPr>
        <w:t xml:space="preserve">the </w:t>
      </w:r>
      <w:r w:rsidR="00AE47C9" w:rsidRPr="00765E62">
        <w:rPr>
          <w:rFonts w:ascii="Arial" w:hAnsi="Arial" w:cs="Arial"/>
          <w:i/>
          <w:sz w:val="24"/>
          <w:szCs w:val="24"/>
        </w:rPr>
        <w:t>management and</w:t>
      </w:r>
      <w:r w:rsidR="008F7B51" w:rsidRPr="00765E62">
        <w:rPr>
          <w:rFonts w:ascii="Arial" w:hAnsi="Arial" w:cs="Arial"/>
          <w:i/>
          <w:sz w:val="24"/>
          <w:szCs w:val="24"/>
        </w:rPr>
        <w:t xml:space="preserve"> sustainable closure thereof, until the </w:t>
      </w:r>
      <w:r w:rsidR="008F7B51" w:rsidRPr="00765E62">
        <w:rPr>
          <w:rFonts w:ascii="Arial" w:hAnsi="Arial" w:cs="Arial"/>
          <w:i/>
          <w:sz w:val="24"/>
          <w:szCs w:val="24"/>
        </w:rPr>
        <w:lastRenderedPageBreak/>
        <w:t>minister has issued a closure certificate in terms of this Act to the holder or owner concerned</w:t>
      </w:r>
      <w:r w:rsidR="008F7B51" w:rsidRPr="00765E62">
        <w:rPr>
          <w:rFonts w:ascii="Arial" w:hAnsi="Arial" w:cs="Arial"/>
          <w:sz w:val="24"/>
          <w:szCs w:val="24"/>
        </w:rPr>
        <w:t>.</w:t>
      </w:r>
    </w:p>
    <w:p w14:paraId="39BAD355" w14:textId="77777777" w:rsidR="00B34FC7" w:rsidRDefault="00B34FC7" w:rsidP="00B34FC7">
      <w:pPr>
        <w:pStyle w:val="ListParagraph"/>
        <w:spacing w:after="0" w:line="360" w:lineRule="auto"/>
        <w:ind w:left="2290"/>
        <w:jc w:val="both"/>
        <w:rPr>
          <w:rFonts w:ascii="Arial" w:hAnsi="Arial" w:cs="Arial"/>
          <w:sz w:val="24"/>
          <w:szCs w:val="24"/>
        </w:rPr>
      </w:pPr>
    </w:p>
    <w:p w14:paraId="5EBF9E36" w14:textId="11E6241F" w:rsidR="00C21EE5" w:rsidRPr="00765E62" w:rsidRDefault="00765E62" w:rsidP="00765E62">
      <w:pPr>
        <w:spacing w:after="0" w:line="360" w:lineRule="auto"/>
        <w:ind w:left="2290"/>
        <w:jc w:val="both"/>
        <w:rPr>
          <w:rFonts w:ascii="Arial" w:hAnsi="Arial" w:cs="Arial"/>
          <w:i/>
          <w:sz w:val="24"/>
          <w:szCs w:val="24"/>
        </w:rPr>
      </w:pPr>
      <w:r w:rsidRPr="00FB7B85">
        <w:rPr>
          <w:rFonts w:ascii="Arial" w:hAnsi="Arial" w:cs="Arial"/>
          <w:i/>
          <w:sz w:val="24"/>
          <w:szCs w:val="24"/>
        </w:rPr>
        <w:t>(2)</w:t>
      </w:r>
      <w:r w:rsidRPr="00FB7B85">
        <w:rPr>
          <w:rFonts w:ascii="Arial" w:hAnsi="Arial" w:cs="Arial"/>
          <w:i/>
          <w:sz w:val="24"/>
          <w:szCs w:val="24"/>
        </w:rPr>
        <w:tab/>
      </w:r>
      <w:r w:rsidR="008F7B51" w:rsidRPr="00765E62">
        <w:rPr>
          <w:rFonts w:ascii="Arial" w:hAnsi="Arial" w:cs="Arial"/>
          <w:i/>
          <w:sz w:val="24"/>
          <w:szCs w:val="24"/>
        </w:rPr>
        <w:t>On the written Application in the prescribed manner by the holder of a prospecting right, mining right, retention permit, mining permit or previous holder of an old order right or previous owner of works that has ceased to exist, the minister may transfer such environmental liabilities and responsibilities as may be identified in the environmental management report and any prescribed closure plan to a person with such qualifications as may be prescribed.</w:t>
      </w:r>
    </w:p>
    <w:p w14:paraId="353ED881" w14:textId="77777777" w:rsidR="00B34FC7" w:rsidRPr="00FB7B85" w:rsidRDefault="00B34FC7" w:rsidP="00B34FC7">
      <w:pPr>
        <w:pStyle w:val="ListParagraph"/>
        <w:spacing w:after="0" w:line="360" w:lineRule="auto"/>
        <w:ind w:left="2650"/>
        <w:jc w:val="both"/>
        <w:rPr>
          <w:rFonts w:ascii="Arial" w:hAnsi="Arial" w:cs="Arial"/>
          <w:i/>
          <w:sz w:val="24"/>
          <w:szCs w:val="24"/>
        </w:rPr>
      </w:pPr>
    </w:p>
    <w:p w14:paraId="2A5BDBC4" w14:textId="7FB0EAB6" w:rsidR="00C21EE5" w:rsidRPr="00765E62" w:rsidRDefault="00765E62" w:rsidP="00765E62">
      <w:pPr>
        <w:spacing w:after="0" w:line="360" w:lineRule="auto"/>
        <w:ind w:left="2290"/>
        <w:jc w:val="both"/>
        <w:rPr>
          <w:rFonts w:ascii="Arial" w:hAnsi="Arial" w:cs="Arial"/>
          <w:i/>
          <w:sz w:val="24"/>
          <w:szCs w:val="24"/>
        </w:rPr>
      </w:pPr>
      <w:r w:rsidRPr="00FB7B85">
        <w:rPr>
          <w:rFonts w:ascii="Arial" w:hAnsi="Arial" w:cs="Arial"/>
          <w:i/>
          <w:sz w:val="24"/>
          <w:szCs w:val="24"/>
        </w:rPr>
        <w:t>(3)</w:t>
      </w:r>
      <w:r w:rsidRPr="00FB7B85">
        <w:rPr>
          <w:rFonts w:ascii="Arial" w:hAnsi="Arial" w:cs="Arial"/>
          <w:i/>
          <w:sz w:val="24"/>
          <w:szCs w:val="24"/>
        </w:rPr>
        <w:tab/>
      </w:r>
      <w:r w:rsidR="00C21EE5" w:rsidRPr="00765E62">
        <w:rPr>
          <w:rFonts w:ascii="Arial" w:hAnsi="Arial" w:cs="Arial"/>
          <w:i/>
          <w:sz w:val="24"/>
          <w:szCs w:val="24"/>
        </w:rPr>
        <w:t xml:space="preserve">The holder of a prospecting right, mining right, retention permit, mining permit or previous holder of an old order right or previous owner of works that has ceased to exist, or the person contemplated in subsection (2), as the case may be must apply for a closure certificate upon-  </w:t>
      </w:r>
    </w:p>
    <w:p w14:paraId="306C0760" w14:textId="292A71A5" w:rsidR="00C21EE5" w:rsidRPr="00765E62" w:rsidRDefault="00765E62" w:rsidP="00765E62">
      <w:pPr>
        <w:spacing w:after="0" w:line="360" w:lineRule="auto"/>
        <w:ind w:left="3010" w:hanging="360"/>
        <w:jc w:val="both"/>
        <w:rPr>
          <w:rFonts w:ascii="Arial" w:hAnsi="Arial" w:cs="Arial"/>
          <w:i/>
          <w:sz w:val="24"/>
          <w:szCs w:val="24"/>
        </w:rPr>
      </w:pPr>
      <w:r w:rsidRPr="00FB7B85">
        <w:rPr>
          <w:rFonts w:ascii="Arial" w:hAnsi="Arial" w:cs="Arial"/>
          <w:i/>
          <w:sz w:val="24"/>
          <w:szCs w:val="24"/>
        </w:rPr>
        <w:t>(a)</w:t>
      </w:r>
      <w:r w:rsidRPr="00FB7B85">
        <w:rPr>
          <w:rFonts w:ascii="Arial" w:hAnsi="Arial" w:cs="Arial"/>
          <w:i/>
          <w:sz w:val="24"/>
          <w:szCs w:val="24"/>
        </w:rPr>
        <w:tab/>
      </w:r>
      <w:r w:rsidR="00C21EE5" w:rsidRPr="00765E62">
        <w:rPr>
          <w:rFonts w:ascii="Arial" w:hAnsi="Arial" w:cs="Arial"/>
          <w:i/>
          <w:sz w:val="24"/>
          <w:szCs w:val="24"/>
        </w:rPr>
        <w:t>The lapsing, abandonment or cancellation of the right or permit in question;</w:t>
      </w:r>
    </w:p>
    <w:p w14:paraId="2C78E8BB" w14:textId="119CAB1C" w:rsidR="00C21EE5" w:rsidRPr="00765E62" w:rsidRDefault="00765E62" w:rsidP="00765E62">
      <w:pPr>
        <w:spacing w:after="0" w:line="360" w:lineRule="auto"/>
        <w:ind w:left="3010" w:hanging="360"/>
        <w:jc w:val="both"/>
        <w:rPr>
          <w:rFonts w:ascii="Arial" w:hAnsi="Arial" w:cs="Arial"/>
          <w:i/>
          <w:sz w:val="24"/>
          <w:szCs w:val="24"/>
        </w:rPr>
      </w:pPr>
      <w:r w:rsidRPr="00FB7B85">
        <w:rPr>
          <w:rFonts w:ascii="Arial" w:hAnsi="Arial" w:cs="Arial"/>
          <w:i/>
          <w:sz w:val="24"/>
          <w:szCs w:val="24"/>
        </w:rPr>
        <w:t>(b)</w:t>
      </w:r>
      <w:r w:rsidRPr="00FB7B85">
        <w:rPr>
          <w:rFonts w:ascii="Arial" w:hAnsi="Arial" w:cs="Arial"/>
          <w:i/>
          <w:sz w:val="24"/>
          <w:szCs w:val="24"/>
        </w:rPr>
        <w:tab/>
      </w:r>
      <w:r w:rsidR="00C21EE5" w:rsidRPr="00765E62">
        <w:rPr>
          <w:rFonts w:ascii="Arial" w:hAnsi="Arial" w:cs="Arial"/>
          <w:i/>
          <w:sz w:val="24"/>
          <w:szCs w:val="24"/>
        </w:rPr>
        <w:t xml:space="preserve">Cessation of the prospecting and mining operation; </w:t>
      </w:r>
    </w:p>
    <w:p w14:paraId="4FD52080" w14:textId="608605A7" w:rsidR="00C21EE5" w:rsidRPr="00765E62" w:rsidRDefault="00765E62" w:rsidP="00765E62">
      <w:pPr>
        <w:spacing w:after="0" w:line="360" w:lineRule="auto"/>
        <w:ind w:left="3010" w:hanging="360"/>
        <w:jc w:val="both"/>
        <w:rPr>
          <w:rFonts w:ascii="Arial" w:hAnsi="Arial" w:cs="Arial"/>
          <w:i/>
          <w:sz w:val="24"/>
          <w:szCs w:val="24"/>
        </w:rPr>
      </w:pPr>
      <w:r w:rsidRPr="00FB7B85">
        <w:rPr>
          <w:rFonts w:ascii="Arial" w:hAnsi="Arial" w:cs="Arial"/>
          <w:i/>
          <w:sz w:val="24"/>
          <w:szCs w:val="24"/>
        </w:rPr>
        <w:t>(c)</w:t>
      </w:r>
      <w:r w:rsidRPr="00FB7B85">
        <w:rPr>
          <w:rFonts w:ascii="Arial" w:hAnsi="Arial" w:cs="Arial"/>
          <w:i/>
          <w:sz w:val="24"/>
          <w:szCs w:val="24"/>
        </w:rPr>
        <w:tab/>
      </w:r>
      <w:r w:rsidR="00C21EE5" w:rsidRPr="00765E62">
        <w:rPr>
          <w:rFonts w:ascii="Arial" w:hAnsi="Arial" w:cs="Arial"/>
          <w:i/>
          <w:sz w:val="24"/>
          <w:szCs w:val="24"/>
        </w:rPr>
        <w:t>The relinquishment of any portion of the prospecting of the land to which a right, permit or permission relate; or</w:t>
      </w:r>
    </w:p>
    <w:p w14:paraId="442FA90E" w14:textId="51DC54E7" w:rsidR="00C21EE5" w:rsidRPr="00765E62" w:rsidRDefault="00765E62" w:rsidP="00765E62">
      <w:pPr>
        <w:spacing w:after="0" w:line="360" w:lineRule="auto"/>
        <w:ind w:left="3010" w:hanging="360"/>
        <w:jc w:val="both"/>
        <w:rPr>
          <w:rFonts w:ascii="Arial" w:hAnsi="Arial" w:cs="Arial"/>
          <w:i/>
          <w:sz w:val="24"/>
          <w:szCs w:val="24"/>
        </w:rPr>
      </w:pPr>
      <w:r w:rsidRPr="00FB7B85">
        <w:rPr>
          <w:rFonts w:ascii="Arial" w:hAnsi="Arial" w:cs="Arial"/>
          <w:i/>
          <w:sz w:val="24"/>
          <w:szCs w:val="24"/>
        </w:rPr>
        <w:t>(d)</w:t>
      </w:r>
      <w:r w:rsidRPr="00FB7B85">
        <w:rPr>
          <w:rFonts w:ascii="Arial" w:hAnsi="Arial" w:cs="Arial"/>
          <w:i/>
          <w:sz w:val="24"/>
          <w:szCs w:val="24"/>
        </w:rPr>
        <w:tab/>
      </w:r>
      <w:r w:rsidR="00C21EE5" w:rsidRPr="00765E62">
        <w:rPr>
          <w:rFonts w:ascii="Arial" w:hAnsi="Arial" w:cs="Arial"/>
          <w:i/>
          <w:sz w:val="24"/>
          <w:szCs w:val="24"/>
        </w:rPr>
        <w:t>completion of the prescribed closing plan to which a right, permit or permission relate.</w:t>
      </w:r>
    </w:p>
    <w:p w14:paraId="09CE7A50" w14:textId="69FDB4CC" w:rsidR="004E27C7" w:rsidRPr="00765E62" w:rsidRDefault="00765E62" w:rsidP="00765E62">
      <w:pPr>
        <w:spacing w:after="0" w:line="360" w:lineRule="auto"/>
        <w:ind w:left="2290"/>
        <w:jc w:val="both"/>
        <w:rPr>
          <w:rFonts w:ascii="Arial" w:hAnsi="Arial" w:cs="Arial"/>
          <w:b/>
          <w:sz w:val="24"/>
          <w:szCs w:val="24"/>
        </w:rPr>
      </w:pPr>
      <w:r w:rsidRPr="0031026D">
        <w:rPr>
          <w:rFonts w:ascii="Arial" w:hAnsi="Arial" w:cs="Arial"/>
          <w:b/>
          <w:sz w:val="24"/>
          <w:szCs w:val="24"/>
        </w:rPr>
        <w:t>(4)</w:t>
      </w:r>
      <w:r w:rsidRPr="0031026D">
        <w:rPr>
          <w:rFonts w:ascii="Arial" w:hAnsi="Arial" w:cs="Arial"/>
          <w:b/>
          <w:sz w:val="24"/>
          <w:szCs w:val="24"/>
        </w:rPr>
        <w:tab/>
      </w:r>
      <w:r w:rsidR="00C21EE5" w:rsidRPr="00765E62">
        <w:rPr>
          <w:rFonts w:ascii="Arial" w:hAnsi="Arial" w:cs="Arial"/>
          <w:i/>
          <w:sz w:val="24"/>
          <w:szCs w:val="24"/>
        </w:rPr>
        <w:t xml:space="preserve">An application for a closure certificate must be made to the </w:t>
      </w:r>
      <w:r w:rsidR="004E27C7" w:rsidRPr="00765E62">
        <w:rPr>
          <w:rFonts w:ascii="Arial" w:hAnsi="Arial" w:cs="Arial"/>
          <w:i/>
          <w:sz w:val="24"/>
          <w:szCs w:val="24"/>
        </w:rPr>
        <w:t>Regional Manager in whose region the land in question is situated within 180 days of the occurrence of the lapsing, abandonment, cancellation, cessation, relinquishment or completion contemplated in subsection 3 and must be accompanied by the required information, programmes, plans and reports prescribed in terms of this Act and the National Environmental Management Act 1998</w:t>
      </w:r>
      <w:r w:rsidR="00655982" w:rsidRPr="00765E62">
        <w:rPr>
          <w:rFonts w:ascii="Arial" w:hAnsi="Arial" w:cs="Arial"/>
          <w:i/>
          <w:sz w:val="24"/>
          <w:szCs w:val="24"/>
        </w:rPr>
        <w:t>.</w:t>
      </w:r>
    </w:p>
    <w:p w14:paraId="28BA3CFA" w14:textId="77777777" w:rsidR="00655982" w:rsidRDefault="00655982" w:rsidP="00655982">
      <w:pPr>
        <w:pStyle w:val="ListParagraph"/>
        <w:spacing w:after="0" w:line="360" w:lineRule="auto"/>
        <w:ind w:left="2650"/>
        <w:jc w:val="both"/>
        <w:rPr>
          <w:rFonts w:ascii="Arial" w:hAnsi="Arial" w:cs="Arial"/>
          <w:sz w:val="24"/>
          <w:szCs w:val="24"/>
        </w:rPr>
      </w:pPr>
    </w:p>
    <w:p w14:paraId="08AFEBD5" w14:textId="6B428CAE" w:rsidR="00FD6809" w:rsidRPr="00765E62" w:rsidRDefault="00765E62" w:rsidP="00765E62">
      <w:pPr>
        <w:spacing w:after="0" w:line="360" w:lineRule="auto"/>
        <w:ind w:left="2290"/>
        <w:jc w:val="both"/>
        <w:rPr>
          <w:rFonts w:ascii="Arial" w:hAnsi="Arial" w:cs="Arial"/>
          <w:i/>
          <w:sz w:val="24"/>
          <w:szCs w:val="24"/>
        </w:rPr>
      </w:pPr>
      <w:r w:rsidRPr="00DE2CF9">
        <w:rPr>
          <w:rFonts w:ascii="Arial" w:hAnsi="Arial" w:cs="Arial"/>
          <w:i/>
          <w:sz w:val="24"/>
          <w:szCs w:val="24"/>
        </w:rPr>
        <w:lastRenderedPageBreak/>
        <w:t>(5)</w:t>
      </w:r>
      <w:r w:rsidRPr="00DE2CF9">
        <w:rPr>
          <w:rFonts w:ascii="Arial" w:hAnsi="Arial" w:cs="Arial"/>
          <w:i/>
          <w:sz w:val="24"/>
          <w:szCs w:val="24"/>
        </w:rPr>
        <w:tab/>
      </w:r>
      <w:r w:rsidR="004E27C7" w:rsidRPr="00765E62">
        <w:rPr>
          <w:rFonts w:ascii="Arial" w:hAnsi="Arial" w:cs="Arial"/>
          <w:i/>
          <w:sz w:val="24"/>
          <w:szCs w:val="24"/>
        </w:rPr>
        <w:t xml:space="preserve">No closure certificate may be issued until the Chief Inspector and each government department charged with the administration of any law which relates to any matter affecting the environment have confirmed in writing that the provisions pertaining to health and safety and management pollution to water resources, the pumping and treatment of extraneous water and compliance to the conditions of the environmental </w:t>
      </w:r>
      <w:r w:rsidR="00FD6809" w:rsidRPr="00765E62">
        <w:rPr>
          <w:rFonts w:ascii="Arial" w:hAnsi="Arial" w:cs="Arial"/>
          <w:i/>
          <w:sz w:val="24"/>
          <w:szCs w:val="24"/>
        </w:rPr>
        <w:t>authorisation have been addressed.</w:t>
      </w:r>
    </w:p>
    <w:p w14:paraId="3493EE67" w14:textId="77777777" w:rsidR="00655982" w:rsidRPr="00655982" w:rsidRDefault="00655982" w:rsidP="00655982">
      <w:pPr>
        <w:pStyle w:val="ListParagraph"/>
        <w:rPr>
          <w:rFonts w:ascii="Arial" w:hAnsi="Arial" w:cs="Arial"/>
          <w:sz w:val="24"/>
          <w:szCs w:val="24"/>
        </w:rPr>
      </w:pPr>
    </w:p>
    <w:p w14:paraId="024E602B" w14:textId="77777777" w:rsidR="00FD6809" w:rsidRPr="00FB7B85" w:rsidRDefault="00FD6809" w:rsidP="00FD6809">
      <w:pPr>
        <w:spacing w:after="0" w:line="360" w:lineRule="auto"/>
        <w:ind w:left="2290"/>
        <w:jc w:val="both"/>
        <w:rPr>
          <w:rFonts w:ascii="Arial" w:hAnsi="Arial" w:cs="Arial"/>
          <w:i/>
          <w:sz w:val="24"/>
          <w:szCs w:val="24"/>
        </w:rPr>
      </w:pPr>
      <w:r>
        <w:rPr>
          <w:rFonts w:ascii="Arial" w:hAnsi="Arial" w:cs="Arial"/>
          <w:sz w:val="24"/>
          <w:szCs w:val="24"/>
        </w:rPr>
        <w:t xml:space="preserve">(5A) </w:t>
      </w:r>
      <w:r w:rsidRPr="00FB7B85">
        <w:rPr>
          <w:rFonts w:ascii="Arial" w:hAnsi="Arial" w:cs="Arial"/>
          <w:i/>
          <w:sz w:val="24"/>
          <w:szCs w:val="24"/>
        </w:rPr>
        <w:t xml:space="preserve">Confirmation from the Chief Inspector and each government department contemplated in subsection (5)                           must be received within 60 days from the date the Minister informs such Chief Inspector or government department, in writing to do so. </w:t>
      </w:r>
    </w:p>
    <w:p w14:paraId="4D2DB3E7" w14:textId="77777777" w:rsidR="00B34FC7" w:rsidRDefault="00B34FC7" w:rsidP="00B34FC7">
      <w:pPr>
        <w:pStyle w:val="ListParagraph"/>
        <w:spacing w:after="0" w:line="360" w:lineRule="auto"/>
        <w:ind w:left="2650"/>
        <w:jc w:val="both"/>
        <w:rPr>
          <w:rFonts w:ascii="Arial" w:hAnsi="Arial" w:cs="Arial"/>
          <w:sz w:val="24"/>
          <w:szCs w:val="24"/>
        </w:rPr>
      </w:pPr>
    </w:p>
    <w:p w14:paraId="37BBEBFC" w14:textId="60CAB7DA" w:rsidR="00F876D7" w:rsidRPr="00765E62" w:rsidRDefault="00765E62" w:rsidP="00765E62">
      <w:pPr>
        <w:spacing w:after="0" w:line="360" w:lineRule="auto"/>
        <w:ind w:left="2290"/>
        <w:jc w:val="both"/>
        <w:rPr>
          <w:rFonts w:ascii="Arial" w:hAnsi="Arial" w:cs="Arial"/>
          <w:i/>
          <w:sz w:val="24"/>
          <w:szCs w:val="24"/>
        </w:rPr>
      </w:pPr>
      <w:r w:rsidRPr="00FB7B85">
        <w:rPr>
          <w:rFonts w:ascii="Arial" w:hAnsi="Arial" w:cs="Arial"/>
          <w:i/>
          <w:sz w:val="24"/>
          <w:szCs w:val="24"/>
        </w:rPr>
        <w:t>(6)</w:t>
      </w:r>
      <w:r w:rsidRPr="00FB7B85">
        <w:rPr>
          <w:rFonts w:ascii="Arial" w:hAnsi="Arial" w:cs="Arial"/>
          <w:i/>
          <w:sz w:val="24"/>
          <w:szCs w:val="24"/>
        </w:rPr>
        <w:tab/>
      </w:r>
      <w:r w:rsidR="00FD6809" w:rsidRPr="00765E62">
        <w:rPr>
          <w:rFonts w:ascii="Arial" w:hAnsi="Arial" w:cs="Arial"/>
          <w:i/>
          <w:sz w:val="24"/>
          <w:szCs w:val="24"/>
        </w:rPr>
        <w:t xml:space="preserve">When the Minister issues a certificate, he or she must return such portion of the financial provision contemplated in s 41 [sic] the National Environmental Management Act 1998, as the Minister may deem appropriate, to the holder of a prospecting right, mining right, retention permit or mining permit, previous holder of an old order right, or previous owner of works that has ceased to exist. Or the person contemplated in subsection </w:t>
      </w:r>
      <w:r w:rsidR="00F876D7" w:rsidRPr="00765E62">
        <w:rPr>
          <w:rFonts w:ascii="Arial" w:hAnsi="Arial" w:cs="Arial"/>
          <w:i/>
          <w:sz w:val="24"/>
          <w:szCs w:val="24"/>
        </w:rPr>
        <w:t>(10)</w:t>
      </w:r>
      <w:r w:rsidR="00FD6809" w:rsidRPr="00765E62">
        <w:rPr>
          <w:rFonts w:ascii="Arial" w:hAnsi="Arial" w:cs="Arial"/>
          <w:i/>
          <w:sz w:val="24"/>
          <w:szCs w:val="24"/>
        </w:rPr>
        <w:t>.</w:t>
      </w:r>
    </w:p>
    <w:p w14:paraId="2CAF6E09" w14:textId="77777777" w:rsidR="00B34FC7" w:rsidRDefault="00B34FC7" w:rsidP="00F876D7">
      <w:pPr>
        <w:spacing w:after="0" w:line="360" w:lineRule="auto"/>
        <w:ind w:left="2290"/>
        <w:jc w:val="both"/>
        <w:rPr>
          <w:rFonts w:ascii="Arial" w:hAnsi="Arial" w:cs="Arial"/>
          <w:sz w:val="24"/>
          <w:szCs w:val="24"/>
        </w:rPr>
      </w:pPr>
    </w:p>
    <w:p w14:paraId="0A562AF2" w14:textId="13F8F397" w:rsidR="00B34FC7" w:rsidRDefault="00B34FC7" w:rsidP="00F876D7">
      <w:pPr>
        <w:spacing w:after="0" w:line="360" w:lineRule="auto"/>
        <w:ind w:left="2290"/>
        <w:jc w:val="both"/>
        <w:rPr>
          <w:rFonts w:ascii="Arial" w:hAnsi="Arial" w:cs="Arial"/>
          <w:sz w:val="24"/>
          <w:szCs w:val="24"/>
        </w:rPr>
      </w:pPr>
      <w:r>
        <w:rPr>
          <w:rFonts w:ascii="Arial" w:hAnsi="Arial" w:cs="Arial"/>
          <w:sz w:val="24"/>
          <w:szCs w:val="24"/>
        </w:rPr>
        <w:t>[2</w:t>
      </w:r>
      <w:r w:rsidR="00781B5F">
        <w:rPr>
          <w:rFonts w:ascii="Arial" w:hAnsi="Arial" w:cs="Arial"/>
          <w:sz w:val="24"/>
          <w:szCs w:val="24"/>
        </w:rPr>
        <w:t>7</w:t>
      </w:r>
      <w:r>
        <w:rPr>
          <w:rFonts w:ascii="Arial" w:hAnsi="Arial" w:cs="Arial"/>
          <w:sz w:val="24"/>
          <w:szCs w:val="24"/>
        </w:rPr>
        <w:t>.3.1.5]</w:t>
      </w:r>
      <w:r>
        <w:rPr>
          <w:rFonts w:ascii="Arial" w:hAnsi="Arial" w:cs="Arial"/>
          <w:sz w:val="24"/>
          <w:szCs w:val="24"/>
        </w:rPr>
        <w:tab/>
        <w:t xml:space="preserve">The section further on subsection 11 to 13 reads as follows: </w:t>
      </w:r>
    </w:p>
    <w:p w14:paraId="2AB78D5A" w14:textId="26A45B7A" w:rsidR="00A0300F" w:rsidRPr="00DD10E0" w:rsidRDefault="00F876D7" w:rsidP="00F876D7">
      <w:pPr>
        <w:spacing w:after="0" w:line="360" w:lineRule="auto"/>
        <w:ind w:left="2290"/>
        <w:jc w:val="both"/>
        <w:rPr>
          <w:rFonts w:ascii="Arial" w:hAnsi="Arial" w:cs="Arial"/>
          <w:sz w:val="24"/>
          <w:szCs w:val="24"/>
        </w:rPr>
      </w:pPr>
      <w:r>
        <w:rPr>
          <w:rFonts w:ascii="Arial" w:hAnsi="Arial" w:cs="Arial"/>
          <w:sz w:val="24"/>
          <w:szCs w:val="24"/>
        </w:rPr>
        <w:t xml:space="preserve">(11) </w:t>
      </w:r>
      <w:r w:rsidRPr="00503576">
        <w:rPr>
          <w:rFonts w:ascii="Arial" w:hAnsi="Arial" w:cs="Arial"/>
          <w:i/>
          <w:sz w:val="24"/>
          <w:szCs w:val="24"/>
        </w:rPr>
        <w:t>The holder of a prospecting right, mining right, retention permit, mining permit or previous holder of an old order right  or previous owner of works that has ceased to exist, or the person contemplated in subsection (2) as the case may be, operating or who has operated with</w:t>
      </w:r>
      <w:r w:rsidR="003C57F5" w:rsidRPr="00503576">
        <w:rPr>
          <w:rFonts w:ascii="Arial" w:hAnsi="Arial" w:cs="Arial"/>
          <w:i/>
          <w:sz w:val="24"/>
          <w:szCs w:val="24"/>
        </w:rPr>
        <w:t>in</w:t>
      </w:r>
      <w:r w:rsidRPr="00503576">
        <w:rPr>
          <w:rFonts w:ascii="Arial" w:hAnsi="Arial" w:cs="Arial"/>
          <w:i/>
          <w:sz w:val="24"/>
          <w:szCs w:val="24"/>
        </w:rPr>
        <w:t xml:space="preserve"> an area identified in subsection (9) </w:t>
      </w:r>
      <w:r w:rsidRPr="00FB7B85">
        <w:rPr>
          <w:rFonts w:ascii="Arial" w:hAnsi="Arial" w:cs="Arial"/>
          <w:i/>
          <w:sz w:val="24"/>
          <w:szCs w:val="24"/>
        </w:rPr>
        <w:t>must amend their programmes, plans or environmenta</w:t>
      </w:r>
      <w:r w:rsidR="0031026D" w:rsidRPr="00FB7B85">
        <w:rPr>
          <w:rFonts w:ascii="Arial" w:hAnsi="Arial" w:cs="Arial"/>
          <w:i/>
          <w:sz w:val="24"/>
          <w:szCs w:val="24"/>
        </w:rPr>
        <w:t xml:space="preserve">l  authorisations accordingly, </w:t>
      </w:r>
      <w:r w:rsidRPr="00FB7B85">
        <w:rPr>
          <w:rFonts w:ascii="Arial" w:hAnsi="Arial" w:cs="Arial"/>
          <w:i/>
          <w:sz w:val="24"/>
          <w:szCs w:val="24"/>
        </w:rPr>
        <w:t xml:space="preserve">or submit a closure plan, subject to </w:t>
      </w:r>
      <w:r w:rsidRPr="00FB7B85">
        <w:rPr>
          <w:rFonts w:ascii="Arial" w:hAnsi="Arial" w:cs="Arial"/>
          <w:i/>
          <w:sz w:val="24"/>
          <w:szCs w:val="24"/>
        </w:rPr>
        <w:lastRenderedPageBreak/>
        <w:t>the approval of a minister, which is aligned with the closure strategies contemplated in subsection</w:t>
      </w:r>
      <w:r w:rsidRPr="00503576">
        <w:rPr>
          <w:rFonts w:ascii="Arial" w:hAnsi="Arial" w:cs="Arial"/>
          <w:i/>
          <w:sz w:val="24"/>
          <w:szCs w:val="24"/>
        </w:rPr>
        <w:t xml:space="preserve"> 10</w:t>
      </w:r>
      <w:r w:rsidR="00A0300F" w:rsidRPr="00503576">
        <w:rPr>
          <w:rFonts w:ascii="Arial" w:hAnsi="Arial" w:cs="Arial"/>
          <w:i/>
          <w:sz w:val="24"/>
          <w:szCs w:val="24"/>
        </w:rPr>
        <w:t>.</w:t>
      </w:r>
    </w:p>
    <w:p w14:paraId="13AE717B" w14:textId="32890458" w:rsidR="00A0300F" w:rsidRPr="00DD10E0" w:rsidRDefault="00A0300F" w:rsidP="00F876D7">
      <w:pPr>
        <w:spacing w:after="0" w:line="360" w:lineRule="auto"/>
        <w:ind w:left="2290"/>
        <w:jc w:val="both"/>
        <w:rPr>
          <w:rFonts w:ascii="Arial" w:hAnsi="Arial" w:cs="Arial"/>
          <w:sz w:val="24"/>
          <w:szCs w:val="24"/>
        </w:rPr>
      </w:pPr>
      <w:r>
        <w:rPr>
          <w:rFonts w:ascii="Arial" w:hAnsi="Arial" w:cs="Arial"/>
          <w:sz w:val="24"/>
          <w:szCs w:val="24"/>
        </w:rPr>
        <w:t>(12)</w:t>
      </w:r>
      <w:r w:rsidR="00F876D7">
        <w:rPr>
          <w:rFonts w:ascii="Arial" w:hAnsi="Arial" w:cs="Arial"/>
          <w:sz w:val="24"/>
          <w:szCs w:val="24"/>
        </w:rPr>
        <w:t xml:space="preserve">   </w:t>
      </w:r>
      <w:r w:rsidRPr="00FB7B85">
        <w:rPr>
          <w:rFonts w:ascii="Arial" w:hAnsi="Arial" w:cs="Arial"/>
          <w:i/>
          <w:sz w:val="24"/>
          <w:szCs w:val="24"/>
        </w:rPr>
        <w:t>In relations to mines with an interconnected or intergrated health, safety, social or an environmental impact, the Minister may, in consultation with the Minister of Environmental Affairs and Tourism determine the apportionment of liability for mine closure as prescribed</w:t>
      </w:r>
      <w:r w:rsidR="00503576">
        <w:rPr>
          <w:rFonts w:ascii="Arial" w:hAnsi="Arial" w:cs="Arial"/>
          <w:sz w:val="24"/>
          <w:szCs w:val="24"/>
        </w:rPr>
        <w:t>.</w:t>
      </w:r>
    </w:p>
    <w:p w14:paraId="43285EEB" w14:textId="77777777" w:rsidR="00A0300F" w:rsidRPr="00DD10E0" w:rsidRDefault="00A0300F" w:rsidP="00F876D7">
      <w:pPr>
        <w:spacing w:after="0" w:line="360" w:lineRule="auto"/>
        <w:ind w:left="2290"/>
        <w:jc w:val="both"/>
        <w:rPr>
          <w:rFonts w:ascii="Arial" w:hAnsi="Arial" w:cs="Arial"/>
          <w:sz w:val="24"/>
          <w:szCs w:val="24"/>
        </w:rPr>
      </w:pPr>
      <w:r w:rsidRPr="00DD10E0">
        <w:rPr>
          <w:rFonts w:ascii="Arial" w:hAnsi="Arial" w:cs="Arial"/>
          <w:sz w:val="24"/>
          <w:szCs w:val="24"/>
        </w:rPr>
        <w:t>(13) No closure certificate may be issued unless-</w:t>
      </w:r>
    </w:p>
    <w:p w14:paraId="2112DC09" w14:textId="77777777" w:rsidR="00A0300F" w:rsidRPr="00DE2CF9" w:rsidRDefault="00A0300F" w:rsidP="00A0300F">
      <w:pPr>
        <w:spacing w:after="0" w:line="360" w:lineRule="auto"/>
        <w:ind w:left="2880"/>
        <w:jc w:val="both"/>
        <w:rPr>
          <w:rFonts w:ascii="Arial" w:hAnsi="Arial" w:cs="Arial"/>
          <w:i/>
          <w:sz w:val="24"/>
          <w:szCs w:val="24"/>
        </w:rPr>
      </w:pPr>
      <w:r w:rsidRPr="00DD10E0">
        <w:rPr>
          <w:rFonts w:ascii="Arial" w:hAnsi="Arial" w:cs="Arial"/>
          <w:sz w:val="24"/>
          <w:szCs w:val="24"/>
        </w:rPr>
        <w:t>(</w:t>
      </w:r>
      <w:r w:rsidRPr="00DD10E0">
        <w:rPr>
          <w:rFonts w:ascii="Arial" w:hAnsi="Arial" w:cs="Arial"/>
          <w:i/>
          <w:sz w:val="24"/>
          <w:szCs w:val="24"/>
        </w:rPr>
        <w:t xml:space="preserve">a) </w:t>
      </w:r>
      <w:r w:rsidRPr="001063F6">
        <w:rPr>
          <w:rFonts w:ascii="Arial" w:hAnsi="Arial" w:cs="Arial"/>
          <w:i/>
          <w:sz w:val="24"/>
          <w:szCs w:val="24"/>
        </w:rPr>
        <w:t>the Council for Geoscience has confirmed in writing that complete and correct prospecting reports in terms of s 21 (1) have been submitted to the Council for Geoscience</w:t>
      </w:r>
      <w:r w:rsidRPr="00DE2CF9">
        <w:rPr>
          <w:rFonts w:ascii="Arial" w:hAnsi="Arial" w:cs="Arial"/>
          <w:i/>
          <w:sz w:val="24"/>
          <w:szCs w:val="24"/>
        </w:rPr>
        <w:t>;</w:t>
      </w:r>
    </w:p>
    <w:p w14:paraId="286B2032" w14:textId="77777777" w:rsidR="00A0300F" w:rsidRPr="00DE2CF9" w:rsidRDefault="00A0300F" w:rsidP="00A0300F">
      <w:pPr>
        <w:spacing w:after="0" w:line="360" w:lineRule="auto"/>
        <w:ind w:left="2880"/>
        <w:jc w:val="both"/>
        <w:rPr>
          <w:rFonts w:ascii="Arial" w:hAnsi="Arial" w:cs="Arial"/>
          <w:i/>
          <w:sz w:val="24"/>
          <w:szCs w:val="24"/>
        </w:rPr>
      </w:pPr>
      <w:r w:rsidRPr="00DE2CF9">
        <w:rPr>
          <w:rFonts w:ascii="Arial" w:hAnsi="Arial" w:cs="Arial"/>
          <w:i/>
          <w:sz w:val="24"/>
          <w:szCs w:val="24"/>
        </w:rPr>
        <w:t>(b) Complete and correct records, borehole core data or core log data that the Council for Geoscience may deem relevant, have been lodged with the Council for Geoscience or</w:t>
      </w:r>
    </w:p>
    <w:p w14:paraId="419AF16E" w14:textId="3BF19604" w:rsidR="00AE47C9" w:rsidRPr="00F876D7" w:rsidRDefault="00DE2CF9" w:rsidP="00A0300F">
      <w:pPr>
        <w:spacing w:after="0" w:line="360" w:lineRule="auto"/>
        <w:ind w:left="2880"/>
        <w:jc w:val="both"/>
        <w:rPr>
          <w:rFonts w:ascii="Arial" w:hAnsi="Arial" w:cs="Arial"/>
          <w:sz w:val="24"/>
          <w:szCs w:val="24"/>
        </w:rPr>
      </w:pPr>
      <w:r>
        <w:rPr>
          <w:rFonts w:ascii="Arial" w:hAnsi="Arial" w:cs="Arial"/>
          <w:i/>
          <w:sz w:val="24"/>
          <w:szCs w:val="24"/>
        </w:rPr>
        <w:t>(c)</w:t>
      </w:r>
      <w:r w:rsidR="00A0300F" w:rsidRPr="00DE2CF9">
        <w:rPr>
          <w:rFonts w:ascii="Arial" w:hAnsi="Arial" w:cs="Arial"/>
          <w:i/>
          <w:sz w:val="24"/>
          <w:szCs w:val="24"/>
        </w:rPr>
        <w:t xml:space="preserve"> in the case of the holder, a permit or a right </w:t>
      </w:r>
      <w:r w:rsidR="00B06FA2" w:rsidRPr="00DE2CF9">
        <w:rPr>
          <w:rFonts w:ascii="Arial" w:hAnsi="Arial" w:cs="Arial"/>
          <w:i/>
          <w:sz w:val="24"/>
          <w:szCs w:val="24"/>
        </w:rPr>
        <w:t xml:space="preserve">in terms of this Act, the complete and correct surface and the relevant underground </w:t>
      </w:r>
      <w:r w:rsidR="00B06FA2" w:rsidRPr="001063F6">
        <w:rPr>
          <w:rFonts w:ascii="Arial" w:hAnsi="Arial" w:cs="Arial"/>
          <w:i/>
          <w:sz w:val="24"/>
          <w:szCs w:val="24"/>
        </w:rPr>
        <w:t>geological plans have been lodged with the Council for Geoscience</w:t>
      </w:r>
      <w:r w:rsidR="00B06FA2" w:rsidRPr="00DE2CF9">
        <w:rPr>
          <w:rFonts w:ascii="Arial" w:hAnsi="Arial" w:cs="Arial"/>
          <w:i/>
          <w:sz w:val="24"/>
          <w:szCs w:val="24"/>
        </w:rPr>
        <w:t>.”</w:t>
      </w:r>
      <w:r w:rsidR="00B06FA2">
        <w:rPr>
          <w:rFonts w:ascii="Arial" w:hAnsi="Arial" w:cs="Arial"/>
          <w:sz w:val="24"/>
          <w:szCs w:val="24"/>
        </w:rPr>
        <w:t xml:space="preserve">  </w:t>
      </w:r>
      <w:r w:rsidR="00A0300F">
        <w:rPr>
          <w:rFonts w:ascii="Arial" w:hAnsi="Arial" w:cs="Arial"/>
          <w:sz w:val="24"/>
          <w:szCs w:val="24"/>
        </w:rPr>
        <w:t xml:space="preserve">     </w:t>
      </w:r>
      <w:r w:rsidR="00F876D7">
        <w:rPr>
          <w:rFonts w:ascii="Arial" w:hAnsi="Arial" w:cs="Arial"/>
          <w:sz w:val="24"/>
          <w:szCs w:val="24"/>
        </w:rPr>
        <w:t xml:space="preserve">    </w:t>
      </w:r>
      <w:r w:rsidR="00FD6809" w:rsidRPr="00F876D7">
        <w:rPr>
          <w:rFonts w:ascii="Arial" w:hAnsi="Arial" w:cs="Arial"/>
          <w:sz w:val="24"/>
          <w:szCs w:val="24"/>
        </w:rPr>
        <w:t xml:space="preserve">          </w:t>
      </w:r>
      <w:r w:rsidR="00AE47C9" w:rsidRPr="00F876D7">
        <w:rPr>
          <w:rFonts w:ascii="Arial" w:hAnsi="Arial" w:cs="Arial"/>
          <w:sz w:val="24"/>
          <w:szCs w:val="24"/>
        </w:rPr>
        <w:tab/>
      </w:r>
      <w:r w:rsidR="00AE47C9" w:rsidRPr="00F876D7">
        <w:rPr>
          <w:rFonts w:ascii="Arial" w:hAnsi="Arial" w:cs="Arial"/>
          <w:sz w:val="24"/>
          <w:szCs w:val="24"/>
        </w:rPr>
        <w:tab/>
      </w:r>
    </w:p>
    <w:p w14:paraId="619D97AE" w14:textId="77777777" w:rsidR="00AE47C9" w:rsidRDefault="00AE47C9" w:rsidP="003A0954">
      <w:pPr>
        <w:spacing w:after="0" w:line="360" w:lineRule="auto"/>
        <w:ind w:left="1440"/>
        <w:jc w:val="both"/>
        <w:rPr>
          <w:rFonts w:ascii="Arial" w:hAnsi="Arial" w:cs="Arial"/>
          <w:sz w:val="24"/>
          <w:szCs w:val="24"/>
        </w:rPr>
      </w:pPr>
    </w:p>
    <w:p w14:paraId="05FC6E38" w14:textId="0DA26BC0" w:rsidR="00F765BC" w:rsidRDefault="003B4F66" w:rsidP="00DD59B4">
      <w:pPr>
        <w:spacing w:after="0" w:line="360" w:lineRule="auto"/>
        <w:jc w:val="both"/>
        <w:rPr>
          <w:rFonts w:ascii="Arial" w:hAnsi="Arial" w:cs="Arial"/>
          <w:sz w:val="24"/>
          <w:szCs w:val="24"/>
        </w:rPr>
      </w:pPr>
      <w:r>
        <w:rPr>
          <w:rFonts w:ascii="Arial" w:hAnsi="Arial" w:cs="Arial"/>
          <w:sz w:val="24"/>
          <w:szCs w:val="24"/>
        </w:rPr>
        <w:t>[2</w:t>
      </w:r>
      <w:r w:rsidR="00DD59B4">
        <w:rPr>
          <w:rFonts w:ascii="Arial" w:hAnsi="Arial" w:cs="Arial"/>
          <w:sz w:val="24"/>
          <w:szCs w:val="24"/>
        </w:rPr>
        <w:t>8</w:t>
      </w:r>
      <w:r>
        <w:rPr>
          <w:rFonts w:ascii="Arial" w:hAnsi="Arial" w:cs="Arial"/>
          <w:sz w:val="24"/>
          <w:szCs w:val="24"/>
        </w:rPr>
        <w:t xml:space="preserve">] </w:t>
      </w:r>
      <w:r w:rsidR="00F765BC">
        <w:rPr>
          <w:rFonts w:ascii="Arial" w:hAnsi="Arial" w:cs="Arial"/>
          <w:sz w:val="24"/>
          <w:szCs w:val="24"/>
        </w:rPr>
        <w:t>DBCM argue</w:t>
      </w:r>
      <w:r w:rsidR="006949B7">
        <w:rPr>
          <w:rFonts w:ascii="Arial" w:hAnsi="Arial" w:cs="Arial"/>
          <w:sz w:val="24"/>
          <w:szCs w:val="24"/>
        </w:rPr>
        <w:t>d</w:t>
      </w:r>
      <w:r w:rsidR="00F765BC">
        <w:rPr>
          <w:rFonts w:ascii="Arial" w:hAnsi="Arial" w:cs="Arial"/>
          <w:sz w:val="24"/>
          <w:szCs w:val="24"/>
        </w:rPr>
        <w:t xml:space="preserve"> that</w:t>
      </w:r>
      <w:r w:rsidR="006949B7">
        <w:rPr>
          <w:rFonts w:ascii="Arial" w:hAnsi="Arial" w:cs="Arial"/>
          <w:sz w:val="24"/>
          <w:szCs w:val="24"/>
        </w:rPr>
        <w:t>;</w:t>
      </w:r>
      <w:r w:rsidR="00F765BC">
        <w:rPr>
          <w:rFonts w:ascii="Arial" w:hAnsi="Arial" w:cs="Arial"/>
          <w:sz w:val="24"/>
          <w:szCs w:val="24"/>
        </w:rPr>
        <w:t xml:space="preserve"> the legislative framework applicable to </w:t>
      </w:r>
      <w:r w:rsidR="00503576">
        <w:rPr>
          <w:rFonts w:ascii="Arial" w:hAnsi="Arial" w:cs="Arial"/>
          <w:sz w:val="24"/>
          <w:szCs w:val="24"/>
        </w:rPr>
        <w:t xml:space="preserve">Oaks Mine </w:t>
      </w:r>
      <w:r w:rsidR="00F765BC">
        <w:rPr>
          <w:rFonts w:ascii="Arial" w:hAnsi="Arial" w:cs="Arial"/>
          <w:sz w:val="24"/>
          <w:szCs w:val="24"/>
        </w:rPr>
        <w:t>closure is presently set out in s 43 of the MPRDA read with regulations 56-62 of the MPRDA Regulations</w:t>
      </w:r>
      <w:r w:rsidR="00F765BC" w:rsidRPr="00DD10E0">
        <w:rPr>
          <w:rFonts w:ascii="Arial" w:hAnsi="Arial" w:cs="Arial"/>
          <w:sz w:val="24"/>
          <w:szCs w:val="24"/>
        </w:rPr>
        <w:t xml:space="preserve"> which was applicable at the time </w:t>
      </w:r>
      <w:r w:rsidR="00AB769D">
        <w:rPr>
          <w:rFonts w:ascii="Arial" w:hAnsi="Arial" w:cs="Arial"/>
          <w:sz w:val="24"/>
          <w:szCs w:val="24"/>
        </w:rPr>
        <w:t xml:space="preserve">it </w:t>
      </w:r>
      <w:r w:rsidR="00F765BC" w:rsidRPr="00DD10E0">
        <w:rPr>
          <w:rFonts w:ascii="Arial" w:hAnsi="Arial" w:cs="Arial"/>
          <w:sz w:val="24"/>
          <w:szCs w:val="24"/>
        </w:rPr>
        <w:t xml:space="preserve">applied for the closure of the Oakes Mines </w:t>
      </w:r>
      <w:r w:rsidR="00AB769D">
        <w:rPr>
          <w:rFonts w:ascii="Arial" w:hAnsi="Arial" w:cs="Arial"/>
          <w:sz w:val="24"/>
          <w:szCs w:val="24"/>
        </w:rPr>
        <w:t xml:space="preserve">and forms </w:t>
      </w:r>
      <w:r w:rsidR="00F765BC" w:rsidRPr="00DD10E0">
        <w:rPr>
          <w:rFonts w:ascii="Arial" w:hAnsi="Arial" w:cs="Arial"/>
          <w:sz w:val="24"/>
          <w:szCs w:val="24"/>
        </w:rPr>
        <w:t>a material dispute b</w:t>
      </w:r>
      <w:r w:rsidR="00F765BC">
        <w:rPr>
          <w:rFonts w:ascii="Arial" w:hAnsi="Arial" w:cs="Arial"/>
          <w:sz w:val="24"/>
          <w:szCs w:val="24"/>
        </w:rPr>
        <w:t>etween the 1</w:t>
      </w:r>
      <w:r w:rsidR="00F765BC" w:rsidRPr="00F765BC">
        <w:rPr>
          <w:rFonts w:ascii="Arial" w:hAnsi="Arial" w:cs="Arial"/>
          <w:sz w:val="24"/>
          <w:szCs w:val="24"/>
          <w:vertAlign w:val="superscript"/>
        </w:rPr>
        <w:t>st</w:t>
      </w:r>
      <w:r w:rsidR="00F765BC">
        <w:rPr>
          <w:rFonts w:ascii="Arial" w:hAnsi="Arial" w:cs="Arial"/>
          <w:sz w:val="24"/>
          <w:szCs w:val="24"/>
        </w:rPr>
        <w:t xml:space="preserve"> Respondent and DBCM, with the former asserting that the law which applies is the law as it now stands. </w:t>
      </w:r>
      <w:r w:rsidR="00781B5F">
        <w:rPr>
          <w:rFonts w:ascii="Arial" w:hAnsi="Arial" w:cs="Arial"/>
          <w:sz w:val="24"/>
          <w:szCs w:val="24"/>
        </w:rPr>
        <w:t>It contends that</w:t>
      </w:r>
      <w:r w:rsidR="00EE0601">
        <w:rPr>
          <w:rFonts w:ascii="Arial" w:hAnsi="Arial" w:cs="Arial"/>
          <w:sz w:val="24"/>
          <w:szCs w:val="24"/>
        </w:rPr>
        <w:t xml:space="preserve"> there are no transitional arrangements in the section to usher in the procedural effects of the change. If the sections were to be interpreted retrospectively, this would give rise to irrationality in circumstances where the Constitution requires that people must be able to manage their affairs and take action or refrain from taking action in terms of laws which are in force at the relevant time.    </w:t>
      </w:r>
      <w:r w:rsidR="00F765BC">
        <w:rPr>
          <w:rFonts w:ascii="Arial" w:hAnsi="Arial" w:cs="Arial"/>
          <w:sz w:val="24"/>
          <w:szCs w:val="24"/>
        </w:rPr>
        <w:t xml:space="preserve">   </w:t>
      </w:r>
    </w:p>
    <w:p w14:paraId="0819AA23" w14:textId="77777777" w:rsidR="00F765BC" w:rsidRDefault="00F765BC" w:rsidP="003A0954">
      <w:pPr>
        <w:spacing w:after="0" w:line="360" w:lineRule="auto"/>
        <w:ind w:left="1440"/>
        <w:jc w:val="both"/>
        <w:rPr>
          <w:rFonts w:ascii="Arial" w:hAnsi="Arial" w:cs="Arial"/>
          <w:sz w:val="24"/>
          <w:szCs w:val="24"/>
        </w:rPr>
      </w:pPr>
    </w:p>
    <w:p w14:paraId="3E175AE1" w14:textId="710D107F" w:rsidR="00813713" w:rsidRPr="00035710" w:rsidRDefault="00EE0601" w:rsidP="00DD59B4">
      <w:pPr>
        <w:spacing w:after="0" w:line="360" w:lineRule="auto"/>
        <w:jc w:val="both"/>
        <w:rPr>
          <w:rFonts w:ascii="Arial" w:hAnsi="Arial" w:cs="Arial"/>
          <w:b/>
          <w:sz w:val="24"/>
          <w:szCs w:val="24"/>
        </w:rPr>
      </w:pPr>
      <w:r>
        <w:rPr>
          <w:rFonts w:ascii="Arial" w:hAnsi="Arial" w:cs="Arial"/>
          <w:sz w:val="24"/>
          <w:szCs w:val="24"/>
        </w:rPr>
        <w:t>[2</w:t>
      </w:r>
      <w:r w:rsidR="00DD59B4">
        <w:rPr>
          <w:rFonts w:ascii="Arial" w:hAnsi="Arial" w:cs="Arial"/>
          <w:sz w:val="24"/>
          <w:szCs w:val="24"/>
        </w:rPr>
        <w:t>9</w:t>
      </w:r>
      <w:r>
        <w:rPr>
          <w:rFonts w:ascii="Arial" w:hAnsi="Arial" w:cs="Arial"/>
          <w:sz w:val="24"/>
          <w:szCs w:val="24"/>
        </w:rPr>
        <w:t>]</w:t>
      </w:r>
      <w:r>
        <w:rPr>
          <w:rFonts w:ascii="Arial" w:hAnsi="Arial" w:cs="Arial"/>
          <w:sz w:val="24"/>
          <w:szCs w:val="24"/>
        </w:rPr>
        <w:tab/>
      </w:r>
      <w:r w:rsidRPr="00DD10E0">
        <w:rPr>
          <w:rFonts w:ascii="Arial" w:hAnsi="Arial" w:cs="Arial"/>
          <w:sz w:val="24"/>
          <w:szCs w:val="24"/>
        </w:rPr>
        <w:t xml:space="preserve">According to DBCM where a statutory procedure is commenced in terms of a particular </w:t>
      </w:r>
      <w:r w:rsidR="00665BFD" w:rsidRPr="00DD10E0">
        <w:rPr>
          <w:rFonts w:ascii="Arial" w:hAnsi="Arial" w:cs="Arial"/>
          <w:sz w:val="24"/>
          <w:szCs w:val="24"/>
        </w:rPr>
        <w:t xml:space="preserve">legal regime, it must be completed under that regime and will not be affected by changes in the regime, particularly where the changes are materially adverse to the </w:t>
      </w:r>
      <w:r w:rsidR="00665BFD" w:rsidRPr="00DD10E0">
        <w:rPr>
          <w:rFonts w:ascii="Arial" w:hAnsi="Arial" w:cs="Arial"/>
          <w:sz w:val="24"/>
          <w:szCs w:val="24"/>
        </w:rPr>
        <w:lastRenderedPageBreak/>
        <w:t>interests of the person participating in the procedure.</w:t>
      </w:r>
      <w:r w:rsidR="00AB769D">
        <w:rPr>
          <w:rFonts w:ascii="Arial" w:hAnsi="Arial" w:cs="Arial"/>
          <w:sz w:val="24"/>
          <w:szCs w:val="24"/>
        </w:rPr>
        <w:t xml:space="preserve"> </w:t>
      </w:r>
      <w:r w:rsidR="00B27496" w:rsidRPr="00DD10E0">
        <w:rPr>
          <w:rFonts w:ascii="Arial" w:hAnsi="Arial" w:cs="Arial"/>
          <w:sz w:val="24"/>
          <w:szCs w:val="24"/>
        </w:rPr>
        <w:t>O</w:t>
      </w:r>
      <w:r w:rsidR="00CB0F5F" w:rsidRPr="00DD10E0">
        <w:rPr>
          <w:rFonts w:ascii="Arial" w:hAnsi="Arial" w:cs="Arial"/>
          <w:sz w:val="24"/>
          <w:szCs w:val="24"/>
        </w:rPr>
        <w:t xml:space="preserve">n </w:t>
      </w:r>
      <w:r w:rsidR="008A5A6A" w:rsidRPr="00DD10E0">
        <w:rPr>
          <w:rFonts w:ascii="Arial" w:hAnsi="Arial" w:cs="Arial"/>
          <w:sz w:val="24"/>
          <w:szCs w:val="24"/>
        </w:rPr>
        <w:t xml:space="preserve">the </w:t>
      </w:r>
      <w:r w:rsidR="00CB0F5F" w:rsidRPr="00DD10E0">
        <w:rPr>
          <w:rFonts w:ascii="Arial" w:hAnsi="Arial" w:cs="Arial"/>
          <w:sz w:val="24"/>
          <w:szCs w:val="24"/>
        </w:rPr>
        <w:t xml:space="preserve">proper interpretation of the relevant amendments to MPRDA, </w:t>
      </w:r>
      <w:r w:rsidR="00CB0F5F" w:rsidRPr="00DD59B4">
        <w:rPr>
          <w:rFonts w:ascii="Arial" w:hAnsi="Arial" w:cs="Arial"/>
          <w:sz w:val="24"/>
          <w:szCs w:val="24"/>
        </w:rPr>
        <w:t>they do not apply retrospectively to actions already completed and do not require DCBM to engage in rehabilitation not contemplated in its approved</w:t>
      </w:r>
      <w:r w:rsidR="00CB0F5F" w:rsidRPr="00DD10E0">
        <w:rPr>
          <w:rFonts w:ascii="Arial" w:hAnsi="Arial" w:cs="Arial"/>
          <w:sz w:val="24"/>
          <w:szCs w:val="24"/>
        </w:rPr>
        <w:t xml:space="preserve"> EPMs</w:t>
      </w:r>
      <w:r w:rsidR="00CB0F5F">
        <w:rPr>
          <w:rFonts w:ascii="Arial" w:hAnsi="Arial" w:cs="Arial"/>
          <w:sz w:val="24"/>
          <w:szCs w:val="24"/>
        </w:rPr>
        <w:t>.</w:t>
      </w:r>
      <w:r w:rsidR="00776168">
        <w:rPr>
          <w:rFonts w:ascii="Arial" w:hAnsi="Arial" w:cs="Arial"/>
          <w:sz w:val="24"/>
          <w:szCs w:val="24"/>
        </w:rPr>
        <w:t xml:space="preserve"> </w:t>
      </w:r>
      <w:r w:rsidR="00AB769D">
        <w:rPr>
          <w:rFonts w:ascii="Arial" w:hAnsi="Arial" w:cs="Arial"/>
          <w:sz w:val="24"/>
          <w:szCs w:val="24"/>
        </w:rPr>
        <w:t>DCBM</w:t>
      </w:r>
      <w:r w:rsidR="00776168">
        <w:rPr>
          <w:rFonts w:ascii="Arial" w:hAnsi="Arial" w:cs="Arial"/>
          <w:sz w:val="24"/>
          <w:szCs w:val="24"/>
        </w:rPr>
        <w:t xml:space="preserve"> contend</w:t>
      </w:r>
      <w:r w:rsidR="008F3B11">
        <w:rPr>
          <w:rFonts w:ascii="Arial" w:hAnsi="Arial" w:cs="Arial"/>
          <w:sz w:val="24"/>
          <w:szCs w:val="24"/>
        </w:rPr>
        <w:t>s</w:t>
      </w:r>
      <w:r w:rsidR="00776168">
        <w:rPr>
          <w:rFonts w:ascii="Arial" w:hAnsi="Arial" w:cs="Arial"/>
          <w:sz w:val="24"/>
          <w:szCs w:val="24"/>
        </w:rPr>
        <w:t xml:space="preserve"> that a </w:t>
      </w:r>
      <w:r w:rsidR="00CB0F5F">
        <w:rPr>
          <w:rFonts w:ascii="Arial" w:hAnsi="Arial" w:cs="Arial"/>
          <w:sz w:val="24"/>
          <w:szCs w:val="24"/>
        </w:rPr>
        <w:t xml:space="preserve">law that is retrospective to that degree is inconsistent with a democratic order under the rule of law and the </w:t>
      </w:r>
      <w:r w:rsidR="00F500C3">
        <w:rPr>
          <w:rFonts w:ascii="Arial" w:hAnsi="Arial" w:cs="Arial"/>
          <w:sz w:val="24"/>
          <w:szCs w:val="24"/>
        </w:rPr>
        <w:t>C</w:t>
      </w:r>
      <w:r w:rsidR="00CB0F5F">
        <w:rPr>
          <w:rFonts w:ascii="Arial" w:hAnsi="Arial" w:cs="Arial"/>
          <w:sz w:val="24"/>
          <w:szCs w:val="24"/>
        </w:rPr>
        <w:t xml:space="preserve">onstitution. </w:t>
      </w:r>
      <w:r w:rsidR="00776168">
        <w:rPr>
          <w:rFonts w:ascii="Arial" w:hAnsi="Arial" w:cs="Arial"/>
          <w:sz w:val="24"/>
          <w:szCs w:val="24"/>
        </w:rPr>
        <w:t>DBCM</w:t>
      </w:r>
      <w:r w:rsidR="00F500C3">
        <w:rPr>
          <w:rFonts w:ascii="Arial" w:hAnsi="Arial" w:cs="Arial"/>
          <w:sz w:val="24"/>
          <w:szCs w:val="24"/>
        </w:rPr>
        <w:t xml:space="preserve"> according</w:t>
      </w:r>
      <w:r w:rsidR="00776168">
        <w:rPr>
          <w:rFonts w:ascii="Arial" w:hAnsi="Arial" w:cs="Arial"/>
          <w:sz w:val="24"/>
          <w:szCs w:val="24"/>
        </w:rPr>
        <w:t>ly argue</w:t>
      </w:r>
      <w:r w:rsidR="00AB769D">
        <w:rPr>
          <w:rFonts w:ascii="Arial" w:hAnsi="Arial" w:cs="Arial"/>
          <w:sz w:val="24"/>
          <w:szCs w:val="24"/>
        </w:rPr>
        <w:t>d</w:t>
      </w:r>
      <w:r w:rsidR="00776168">
        <w:rPr>
          <w:rFonts w:ascii="Arial" w:hAnsi="Arial" w:cs="Arial"/>
          <w:sz w:val="24"/>
          <w:szCs w:val="24"/>
        </w:rPr>
        <w:t xml:space="preserve"> that </w:t>
      </w:r>
      <w:r w:rsidR="003B4F66">
        <w:rPr>
          <w:rFonts w:ascii="Arial" w:hAnsi="Arial" w:cs="Arial"/>
          <w:sz w:val="24"/>
          <w:szCs w:val="24"/>
        </w:rPr>
        <w:t>the initial EMP and the amended EMP continued to apply when the MPRDA took effect on 1</w:t>
      </w:r>
      <w:r w:rsidR="008A5A6A">
        <w:rPr>
          <w:rFonts w:ascii="Arial" w:hAnsi="Arial" w:cs="Arial"/>
          <w:sz w:val="24"/>
          <w:szCs w:val="24"/>
        </w:rPr>
        <w:t xml:space="preserve"> May 2004. At the time </w:t>
      </w:r>
      <w:r w:rsidR="003B4F66">
        <w:rPr>
          <w:rFonts w:ascii="Arial" w:hAnsi="Arial" w:cs="Arial"/>
          <w:sz w:val="24"/>
          <w:szCs w:val="24"/>
        </w:rPr>
        <w:t>DBCM lodged its closure application</w:t>
      </w:r>
      <w:r w:rsidR="003C57F5">
        <w:rPr>
          <w:rFonts w:ascii="Arial" w:hAnsi="Arial" w:cs="Arial"/>
          <w:sz w:val="24"/>
          <w:szCs w:val="24"/>
        </w:rPr>
        <w:t xml:space="preserve"> in 2009</w:t>
      </w:r>
      <w:r w:rsidR="003B4F66">
        <w:rPr>
          <w:rFonts w:ascii="Arial" w:hAnsi="Arial" w:cs="Arial"/>
          <w:sz w:val="24"/>
          <w:szCs w:val="24"/>
        </w:rPr>
        <w:t xml:space="preserve">, </w:t>
      </w:r>
      <w:r w:rsidR="003B4F66" w:rsidRPr="008B3EF9">
        <w:rPr>
          <w:rFonts w:ascii="Arial" w:hAnsi="Arial" w:cs="Arial"/>
          <w:sz w:val="24"/>
          <w:szCs w:val="24"/>
        </w:rPr>
        <w:t xml:space="preserve">s 43 provided that </w:t>
      </w:r>
      <w:r w:rsidR="00B06FA2" w:rsidRPr="008B3EF9">
        <w:rPr>
          <w:rFonts w:ascii="Arial" w:hAnsi="Arial" w:cs="Arial"/>
          <w:sz w:val="24"/>
          <w:szCs w:val="24"/>
        </w:rPr>
        <w:t>u</w:t>
      </w:r>
      <w:r w:rsidR="003B4F66" w:rsidRPr="008B3EF9">
        <w:rPr>
          <w:rFonts w:ascii="Arial" w:hAnsi="Arial" w:cs="Arial"/>
          <w:sz w:val="24"/>
          <w:szCs w:val="24"/>
        </w:rPr>
        <w:t>pon grant of a closure certificate all</w:t>
      </w:r>
      <w:r w:rsidR="00015B77" w:rsidRPr="008B3EF9">
        <w:rPr>
          <w:rFonts w:ascii="Arial" w:hAnsi="Arial" w:cs="Arial"/>
          <w:sz w:val="24"/>
          <w:szCs w:val="24"/>
        </w:rPr>
        <w:t xml:space="preserve"> </w:t>
      </w:r>
      <w:r w:rsidR="003B4F66" w:rsidRPr="008B3EF9">
        <w:rPr>
          <w:rFonts w:ascii="Arial" w:hAnsi="Arial" w:cs="Arial"/>
          <w:sz w:val="24"/>
          <w:szCs w:val="24"/>
        </w:rPr>
        <w:t xml:space="preserve">obligations of a mining </w:t>
      </w:r>
      <w:r w:rsidR="00015B77" w:rsidRPr="008B3EF9">
        <w:rPr>
          <w:rFonts w:ascii="Arial" w:hAnsi="Arial" w:cs="Arial"/>
          <w:sz w:val="24"/>
          <w:szCs w:val="24"/>
        </w:rPr>
        <w:t>right holder would cease.</w:t>
      </w:r>
      <w:r w:rsidR="00015B77" w:rsidRPr="00035710">
        <w:rPr>
          <w:rFonts w:ascii="Arial" w:hAnsi="Arial" w:cs="Arial"/>
          <w:b/>
          <w:sz w:val="24"/>
          <w:szCs w:val="24"/>
        </w:rPr>
        <w:t xml:space="preserve"> </w:t>
      </w:r>
    </w:p>
    <w:p w14:paraId="7383A6E5" w14:textId="143424EF" w:rsidR="00015B77" w:rsidRDefault="00015B77" w:rsidP="003A0954">
      <w:pPr>
        <w:spacing w:after="0" w:line="360" w:lineRule="auto"/>
        <w:ind w:left="1440"/>
        <w:jc w:val="both"/>
        <w:rPr>
          <w:rFonts w:ascii="Arial" w:hAnsi="Arial" w:cs="Arial"/>
          <w:sz w:val="24"/>
          <w:szCs w:val="24"/>
        </w:rPr>
      </w:pPr>
    </w:p>
    <w:p w14:paraId="2F79B1C7" w14:textId="4C842DFB" w:rsidR="00B20190" w:rsidRDefault="00DD59B4" w:rsidP="00DD59B4">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20190">
        <w:rPr>
          <w:rFonts w:ascii="Arial" w:hAnsi="Arial" w:cs="Arial"/>
          <w:sz w:val="24"/>
          <w:szCs w:val="24"/>
        </w:rPr>
        <w:t xml:space="preserve">DBCM also alleged </w:t>
      </w:r>
      <w:r w:rsidR="00FF2C87">
        <w:rPr>
          <w:rFonts w:ascii="Arial" w:hAnsi="Arial" w:cs="Arial"/>
          <w:sz w:val="24"/>
          <w:szCs w:val="24"/>
        </w:rPr>
        <w:t xml:space="preserve">in relation to </w:t>
      </w:r>
      <w:r w:rsidR="008B3EF9">
        <w:rPr>
          <w:rFonts w:ascii="Arial" w:hAnsi="Arial" w:cs="Arial"/>
          <w:sz w:val="24"/>
          <w:szCs w:val="24"/>
        </w:rPr>
        <w:t xml:space="preserve">the </w:t>
      </w:r>
      <w:r w:rsidR="008B3EF9" w:rsidRPr="008B3EF9">
        <w:rPr>
          <w:rFonts w:ascii="Arial" w:hAnsi="Arial" w:cs="Arial"/>
          <w:sz w:val="24"/>
          <w:szCs w:val="24"/>
        </w:rPr>
        <w:t xml:space="preserve">Promotion of Administrative Justice Act, 2000 (“PAJA”) </w:t>
      </w:r>
      <w:r w:rsidR="00B20190">
        <w:rPr>
          <w:rFonts w:ascii="Arial" w:hAnsi="Arial" w:cs="Arial"/>
          <w:sz w:val="24"/>
          <w:szCs w:val="24"/>
        </w:rPr>
        <w:t xml:space="preserve">that:  </w:t>
      </w:r>
    </w:p>
    <w:p w14:paraId="596DCED7" w14:textId="77777777" w:rsidR="00DD59B4" w:rsidRDefault="00DD59B4" w:rsidP="00DD59B4">
      <w:pPr>
        <w:spacing w:after="0" w:line="360" w:lineRule="auto"/>
        <w:jc w:val="both"/>
        <w:rPr>
          <w:rFonts w:ascii="Arial" w:hAnsi="Arial" w:cs="Arial"/>
          <w:sz w:val="24"/>
          <w:szCs w:val="24"/>
        </w:rPr>
      </w:pPr>
    </w:p>
    <w:p w14:paraId="00F681DC" w14:textId="53D6677B" w:rsidR="00C2342C" w:rsidRDefault="00DD59B4" w:rsidP="00A11A2C">
      <w:pPr>
        <w:spacing w:after="0" w:line="360" w:lineRule="auto"/>
        <w:ind w:left="720"/>
        <w:jc w:val="both"/>
        <w:rPr>
          <w:rFonts w:ascii="Arial" w:hAnsi="Arial" w:cs="Arial"/>
          <w:sz w:val="24"/>
          <w:szCs w:val="24"/>
        </w:rPr>
      </w:pPr>
      <w:r>
        <w:rPr>
          <w:rFonts w:ascii="Arial" w:hAnsi="Arial" w:cs="Arial"/>
          <w:sz w:val="24"/>
          <w:szCs w:val="24"/>
        </w:rPr>
        <w:t>[30.1]</w:t>
      </w:r>
      <w:r>
        <w:rPr>
          <w:rFonts w:ascii="Arial" w:hAnsi="Arial" w:cs="Arial"/>
          <w:sz w:val="24"/>
          <w:szCs w:val="24"/>
        </w:rPr>
        <w:tab/>
      </w:r>
      <w:r w:rsidR="00B27496" w:rsidRPr="00B27496">
        <w:rPr>
          <w:rFonts w:ascii="Arial" w:hAnsi="Arial" w:cs="Arial"/>
          <w:b/>
          <w:sz w:val="24"/>
          <w:szCs w:val="24"/>
        </w:rPr>
        <w:t xml:space="preserve">DMRE laboured under a material mistake of law </w:t>
      </w:r>
      <w:r w:rsidR="00B27496">
        <w:rPr>
          <w:rFonts w:ascii="Arial" w:hAnsi="Arial" w:cs="Arial"/>
          <w:b/>
          <w:sz w:val="24"/>
          <w:szCs w:val="24"/>
        </w:rPr>
        <w:t xml:space="preserve">and its decision </w:t>
      </w:r>
      <w:r w:rsidR="00B27496" w:rsidRPr="00B27496">
        <w:rPr>
          <w:rFonts w:ascii="Arial" w:hAnsi="Arial" w:cs="Arial"/>
          <w:b/>
          <w:sz w:val="24"/>
          <w:szCs w:val="24"/>
        </w:rPr>
        <w:t>fail</w:t>
      </w:r>
      <w:r w:rsidR="00B27496">
        <w:rPr>
          <w:rFonts w:ascii="Arial" w:hAnsi="Arial" w:cs="Arial"/>
          <w:b/>
          <w:sz w:val="24"/>
          <w:szCs w:val="24"/>
        </w:rPr>
        <w:t xml:space="preserve">ed </w:t>
      </w:r>
      <w:r w:rsidR="00B27496" w:rsidRPr="00B27496">
        <w:rPr>
          <w:rFonts w:ascii="Arial" w:hAnsi="Arial" w:cs="Arial"/>
          <w:b/>
          <w:sz w:val="24"/>
          <w:szCs w:val="24"/>
        </w:rPr>
        <w:t>to take into account relevant considerations</w:t>
      </w:r>
      <w:r w:rsidR="00B27496">
        <w:rPr>
          <w:rFonts w:ascii="Arial" w:hAnsi="Arial" w:cs="Arial"/>
          <w:b/>
          <w:sz w:val="24"/>
          <w:szCs w:val="24"/>
        </w:rPr>
        <w:t xml:space="preserve"> and took </w:t>
      </w:r>
      <w:r w:rsidR="003E18A6" w:rsidRPr="00655982">
        <w:rPr>
          <w:rFonts w:ascii="Arial" w:hAnsi="Arial" w:cs="Arial"/>
          <w:b/>
          <w:sz w:val="24"/>
          <w:szCs w:val="24"/>
        </w:rPr>
        <w:t>irrelevant considerations into account</w:t>
      </w:r>
      <w:r w:rsidR="003E18A6">
        <w:rPr>
          <w:rFonts w:ascii="Arial" w:hAnsi="Arial" w:cs="Arial"/>
          <w:sz w:val="24"/>
          <w:szCs w:val="24"/>
        </w:rPr>
        <w:t xml:space="preserve"> </w:t>
      </w:r>
      <w:r w:rsidR="003E18A6" w:rsidRPr="00655982">
        <w:rPr>
          <w:rFonts w:ascii="Arial" w:hAnsi="Arial" w:cs="Arial"/>
          <w:b/>
          <w:sz w:val="24"/>
          <w:szCs w:val="24"/>
        </w:rPr>
        <w:t>(s 2 (e) (ii) of PAJA</w:t>
      </w:r>
      <w:r w:rsidR="002F68CA">
        <w:rPr>
          <w:rFonts w:ascii="Arial" w:hAnsi="Arial" w:cs="Arial"/>
          <w:b/>
          <w:sz w:val="24"/>
          <w:szCs w:val="24"/>
        </w:rPr>
        <w:t xml:space="preserve">, </w:t>
      </w:r>
      <w:r w:rsidR="002F68CA" w:rsidRPr="008B3EF9">
        <w:rPr>
          <w:rFonts w:ascii="Arial" w:hAnsi="Arial" w:cs="Arial"/>
          <w:sz w:val="24"/>
          <w:szCs w:val="24"/>
        </w:rPr>
        <w:t>i</w:t>
      </w:r>
      <w:r w:rsidR="0082713F">
        <w:rPr>
          <w:rFonts w:ascii="Arial" w:hAnsi="Arial" w:cs="Arial"/>
          <w:sz w:val="24"/>
          <w:szCs w:val="24"/>
        </w:rPr>
        <w:t xml:space="preserve">n that: </w:t>
      </w:r>
    </w:p>
    <w:p w14:paraId="60DF1E33" w14:textId="77777777" w:rsidR="00AD4A51" w:rsidRDefault="00AD4A51" w:rsidP="00B75F52">
      <w:pPr>
        <w:spacing w:after="0" w:line="360" w:lineRule="auto"/>
        <w:ind w:left="2160"/>
        <w:jc w:val="both"/>
        <w:rPr>
          <w:rFonts w:ascii="Arial" w:hAnsi="Arial" w:cs="Arial"/>
          <w:sz w:val="24"/>
          <w:szCs w:val="24"/>
        </w:rPr>
      </w:pPr>
    </w:p>
    <w:p w14:paraId="559BFCA5" w14:textId="4B04F229" w:rsidR="0082713F" w:rsidRDefault="0082713F" w:rsidP="002F68CA">
      <w:pPr>
        <w:spacing w:after="0" w:line="360" w:lineRule="auto"/>
        <w:ind w:left="1440"/>
        <w:jc w:val="both"/>
        <w:rPr>
          <w:rFonts w:ascii="Arial" w:hAnsi="Arial" w:cs="Arial"/>
          <w:sz w:val="24"/>
          <w:szCs w:val="24"/>
        </w:rPr>
      </w:pPr>
      <w:r>
        <w:rPr>
          <w:rFonts w:ascii="Arial" w:hAnsi="Arial" w:cs="Arial"/>
          <w:sz w:val="24"/>
          <w:szCs w:val="24"/>
        </w:rPr>
        <w:t>[</w:t>
      </w:r>
      <w:r w:rsidR="002F68CA">
        <w:rPr>
          <w:rFonts w:ascii="Arial" w:hAnsi="Arial" w:cs="Arial"/>
          <w:sz w:val="24"/>
          <w:szCs w:val="24"/>
        </w:rPr>
        <w:t>30.1.</w:t>
      </w:r>
      <w:r>
        <w:rPr>
          <w:rFonts w:ascii="Arial" w:hAnsi="Arial" w:cs="Arial"/>
          <w:sz w:val="24"/>
          <w:szCs w:val="24"/>
        </w:rPr>
        <w:t xml:space="preserve">1] </w:t>
      </w:r>
      <w:r w:rsidR="00035710">
        <w:rPr>
          <w:rFonts w:ascii="Arial" w:hAnsi="Arial" w:cs="Arial"/>
          <w:sz w:val="24"/>
          <w:szCs w:val="24"/>
        </w:rPr>
        <w:tab/>
      </w:r>
      <w:r>
        <w:rPr>
          <w:rFonts w:ascii="Arial" w:hAnsi="Arial" w:cs="Arial"/>
          <w:sz w:val="24"/>
          <w:szCs w:val="24"/>
        </w:rPr>
        <w:t>DBCM ha</w:t>
      </w:r>
      <w:r w:rsidR="00AD4A51">
        <w:rPr>
          <w:rFonts w:ascii="Arial" w:hAnsi="Arial" w:cs="Arial"/>
          <w:sz w:val="24"/>
          <w:szCs w:val="24"/>
        </w:rPr>
        <w:t>d</w:t>
      </w:r>
      <w:r>
        <w:rPr>
          <w:rFonts w:ascii="Arial" w:hAnsi="Arial" w:cs="Arial"/>
          <w:sz w:val="24"/>
          <w:szCs w:val="24"/>
        </w:rPr>
        <w:t xml:space="preserve"> complied with </w:t>
      </w:r>
      <w:r w:rsidR="00AD4A51">
        <w:rPr>
          <w:rFonts w:ascii="Arial" w:hAnsi="Arial" w:cs="Arial"/>
          <w:sz w:val="24"/>
          <w:szCs w:val="24"/>
        </w:rPr>
        <w:t xml:space="preserve">both </w:t>
      </w:r>
      <w:r>
        <w:rPr>
          <w:rFonts w:ascii="Arial" w:hAnsi="Arial" w:cs="Arial"/>
          <w:sz w:val="24"/>
          <w:szCs w:val="24"/>
        </w:rPr>
        <w:t>EMP</w:t>
      </w:r>
      <w:r w:rsidR="00AD4A51">
        <w:rPr>
          <w:rFonts w:ascii="Arial" w:hAnsi="Arial" w:cs="Arial"/>
          <w:sz w:val="24"/>
          <w:szCs w:val="24"/>
        </w:rPr>
        <w:t>s</w:t>
      </w:r>
      <w:r>
        <w:rPr>
          <w:rFonts w:ascii="Arial" w:hAnsi="Arial" w:cs="Arial"/>
          <w:sz w:val="24"/>
          <w:szCs w:val="24"/>
        </w:rPr>
        <w:t xml:space="preserve"> which both expressly stated that the pit would stay open on closure </w:t>
      </w:r>
      <w:r w:rsidR="00CC7E64">
        <w:rPr>
          <w:rFonts w:ascii="Arial" w:hAnsi="Arial" w:cs="Arial"/>
          <w:sz w:val="24"/>
          <w:szCs w:val="24"/>
        </w:rPr>
        <w:t xml:space="preserve">as part of the rehabilitation and </w:t>
      </w:r>
      <w:r w:rsidR="00800FDE">
        <w:rPr>
          <w:rFonts w:ascii="Arial" w:hAnsi="Arial" w:cs="Arial"/>
          <w:sz w:val="24"/>
          <w:szCs w:val="24"/>
        </w:rPr>
        <w:t xml:space="preserve">closure objectives of the mine. </w:t>
      </w:r>
      <w:r w:rsidR="00B75F52">
        <w:rPr>
          <w:rFonts w:ascii="Arial" w:hAnsi="Arial" w:cs="Arial"/>
          <w:sz w:val="24"/>
          <w:szCs w:val="24"/>
        </w:rPr>
        <w:t>Back filing the pit at this point in time would be both impractical and irrational from an environmental, practical, technical and financial perspective. Had it been part of the plan, it would have been required to incorporate this into the way the mine was operated, arguing that for example topsoil would have been placed in a particular way and backfilling carried out as part of concurrent rehabilitation. Now that the mines have stopped operations it is not possible or practical to do so.</w:t>
      </w:r>
    </w:p>
    <w:p w14:paraId="05EF4523" w14:textId="77777777" w:rsidR="00B75F52" w:rsidRDefault="00B75F52" w:rsidP="0082713F">
      <w:pPr>
        <w:spacing w:after="0" w:line="360" w:lineRule="auto"/>
        <w:ind w:left="2160"/>
        <w:jc w:val="both"/>
        <w:rPr>
          <w:rFonts w:ascii="Arial" w:hAnsi="Arial" w:cs="Arial"/>
          <w:sz w:val="24"/>
          <w:szCs w:val="24"/>
        </w:rPr>
      </w:pPr>
    </w:p>
    <w:p w14:paraId="486F65E4" w14:textId="554B28A0" w:rsidR="00264858" w:rsidRDefault="00800FDE" w:rsidP="002F68CA">
      <w:pPr>
        <w:spacing w:after="0" w:line="360" w:lineRule="auto"/>
        <w:ind w:left="1440"/>
        <w:jc w:val="both"/>
        <w:rPr>
          <w:rFonts w:ascii="Arial" w:hAnsi="Arial" w:cs="Arial"/>
          <w:sz w:val="24"/>
          <w:szCs w:val="24"/>
        </w:rPr>
      </w:pPr>
      <w:r>
        <w:rPr>
          <w:rFonts w:ascii="Arial" w:hAnsi="Arial" w:cs="Arial"/>
          <w:sz w:val="24"/>
          <w:szCs w:val="24"/>
        </w:rPr>
        <w:t>[</w:t>
      </w:r>
      <w:r w:rsidR="002F68CA">
        <w:rPr>
          <w:rFonts w:ascii="Arial" w:hAnsi="Arial" w:cs="Arial"/>
          <w:sz w:val="24"/>
          <w:szCs w:val="24"/>
        </w:rPr>
        <w:t>30.1.2</w:t>
      </w:r>
      <w:r>
        <w:rPr>
          <w:rFonts w:ascii="Arial" w:hAnsi="Arial" w:cs="Arial"/>
          <w:sz w:val="24"/>
          <w:szCs w:val="24"/>
        </w:rPr>
        <w:t>]</w:t>
      </w:r>
      <w:r w:rsidR="002F68CA">
        <w:rPr>
          <w:rFonts w:ascii="Arial" w:hAnsi="Arial" w:cs="Arial"/>
          <w:sz w:val="24"/>
          <w:szCs w:val="24"/>
        </w:rPr>
        <w:tab/>
      </w:r>
      <w:r w:rsidR="00661285">
        <w:rPr>
          <w:rFonts w:ascii="Arial" w:hAnsi="Arial" w:cs="Arial"/>
          <w:sz w:val="24"/>
          <w:szCs w:val="24"/>
        </w:rPr>
        <w:t>The pit only consists of 10 hectares of the total 6</w:t>
      </w:r>
      <w:r w:rsidR="00655982">
        <w:rPr>
          <w:rFonts w:ascii="Arial" w:hAnsi="Arial" w:cs="Arial"/>
          <w:sz w:val="24"/>
          <w:szCs w:val="24"/>
        </w:rPr>
        <w:t>9</w:t>
      </w:r>
      <w:r w:rsidR="00661285">
        <w:rPr>
          <w:rFonts w:ascii="Arial" w:hAnsi="Arial" w:cs="Arial"/>
          <w:sz w:val="24"/>
          <w:szCs w:val="24"/>
        </w:rPr>
        <w:t xml:space="preserve"> hectares of mining area. An area of about 49 hectares will have to be disturbed to have sufficient material to fill the 10 hectares. </w:t>
      </w:r>
      <w:r w:rsidR="00C55F5C">
        <w:rPr>
          <w:rFonts w:ascii="Arial" w:hAnsi="Arial" w:cs="Arial"/>
          <w:sz w:val="24"/>
          <w:szCs w:val="24"/>
        </w:rPr>
        <w:t xml:space="preserve">Leaving another 49 </w:t>
      </w:r>
      <w:r w:rsidR="009B4368">
        <w:rPr>
          <w:rFonts w:ascii="Arial" w:hAnsi="Arial" w:cs="Arial"/>
          <w:sz w:val="24"/>
          <w:szCs w:val="24"/>
        </w:rPr>
        <w:t xml:space="preserve">hectares </w:t>
      </w:r>
      <w:r w:rsidR="00C55F5C">
        <w:rPr>
          <w:rFonts w:ascii="Arial" w:hAnsi="Arial" w:cs="Arial"/>
          <w:sz w:val="24"/>
          <w:szCs w:val="24"/>
        </w:rPr>
        <w:t xml:space="preserve">that will have to be </w:t>
      </w:r>
      <w:r w:rsidR="009B4368">
        <w:rPr>
          <w:rFonts w:ascii="Arial" w:hAnsi="Arial" w:cs="Arial"/>
          <w:sz w:val="24"/>
          <w:szCs w:val="24"/>
        </w:rPr>
        <w:t xml:space="preserve">rehabilitated </w:t>
      </w:r>
      <w:r w:rsidR="00C55F5C">
        <w:rPr>
          <w:rFonts w:ascii="Arial" w:hAnsi="Arial" w:cs="Arial"/>
          <w:sz w:val="24"/>
          <w:szCs w:val="24"/>
        </w:rPr>
        <w:t>which was never catered for</w:t>
      </w:r>
      <w:r w:rsidR="009B4368">
        <w:rPr>
          <w:rFonts w:ascii="Arial" w:hAnsi="Arial" w:cs="Arial"/>
          <w:sz w:val="24"/>
          <w:szCs w:val="24"/>
        </w:rPr>
        <w:t xml:space="preserve"> in the mine planning and rehabilitation </w:t>
      </w:r>
      <w:r w:rsidR="00655982">
        <w:rPr>
          <w:rFonts w:ascii="Arial" w:hAnsi="Arial" w:cs="Arial"/>
          <w:sz w:val="24"/>
          <w:szCs w:val="24"/>
        </w:rPr>
        <w:t xml:space="preserve">and </w:t>
      </w:r>
      <w:r w:rsidR="009B4368">
        <w:rPr>
          <w:rFonts w:ascii="Arial" w:hAnsi="Arial" w:cs="Arial"/>
          <w:sz w:val="24"/>
          <w:szCs w:val="24"/>
        </w:rPr>
        <w:t xml:space="preserve">no funds set aside for such eventuality. – It will also result in an excessive carbon footprint due to </w:t>
      </w:r>
      <w:r w:rsidR="009B4368">
        <w:rPr>
          <w:rFonts w:ascii="Arial" w:hAnsi="Arial" w:cs="Arial"/>
          <w:sz w:val="24"/>
          <w:szCs w:val="24"/>
        </w:rPr>
        <w:lastRenderedPageBreak/>
        <w:t>the fuel consumption of all the machinery</w:t>
      </w:r>
      <w:r w:rsidR="00C55F5C">
        <w:rPr>
          <w:rFonts w:ascii="Arial" w:hAnsi="Arial" w:cs="Arial"/>
          <w:sz w:val="24"/>
          <w:szCs w:val="24"/>
        </w:rPr>
        <w:t xml:space="preserve"> </w:t>
      </w:r>
      <w:r w:rsidR="00F31FEF">
        <w:rPr>
          <w:rFonts w:ascii="Arial" w:hAnsi="Arial" w:cs="Arial"/>
          <w:sz w:val="24"/>
          <w:szCs w:val="24"/>
        </w:rPr>
        <w:t>and equipment which would require that all rehabilitation commenced with and finalise</w:t>
      </w:r>
      <w:r w:rsidR="000E516D">
        <w:rPr>
          <w:rFonts w:ascii="Arial" w:hAnsi="Arial" w:cs="Arial"/>
          <w:sz w:val="24"/>
          <w:szCs w:val="24"/>
        </w:rPr>
        <w:t>d</w:t>
      </w:r>
      <w:r w:rsidR="00F31FEF">
        <w:rPr>
          <w:rFonts w:ascii="Arial" w:hAnsi="Arial" w:cs="Arial"/>
          <w:sz w:val="24"/>
          <w:szCs w:val="24"/>
        </w:rPr>
        <w:t xml:space="preserve"> to date be destroyed </w:t>
      </w:r>
      <w:r w:rsidR="000E516D">
        <w:rPr>
          <w:rFonts w:ascii="Arial" w:hAnsi="Arial" w:cs="Arial"/>
          <w:sz w:val="24"/>
          <w:szCs w:val="24"/>
        </w:rPr>
        <w:t xml:space="preserve">in order to back fill the pit. Which is contrary to achieving and maintaining environmentally sound closure and rehabilitation. </w:t>
      </w:r>
    </w:p>
    <w:p w14:paraId="78172C76" w14:textId="77777777" w:rsidR="00B75F52" w:rsidRDefault="00B75F52" w:rsidP="00B75F52">
      <w:pPr>
        <w:spacing w:after="0" w:line="360" w:lineRule="auto"/>
        <w:ind w:left="2160"/>
        <w:jc w:val="both"/>
        <w:rPr>
          <w:rFonts w:ascii="Arial" w:hAnsi="Arial" w:cs="Arial"/>
          <w:sz w:val="24"/>
          <w:szCs w:val="24"/>
        </w:rPr>
      </w:pPr>
    </w:p>
    <w:p w14:paraId="0BECD033" w14:textId="1C527928" w:rsidR="00800FDE" w:rsidRDefault="00237E45" w:rsidP="002F68CA">
      <w:pPr>
        <w:spacing w:after="0" w:line="360" w:lineRule="auto"/>
        <w:ind w:left="1440"/>
        <w:jc w:val="both"/>
        <w:rPr>
          <w:rFonts w:ascii="Arial" w:hAnsi="Arial" w:cs="Arial"/>
          <w:sz w:val="24"/>
          <w:szCs w:val="24"/>
        </w:rPr>
      </w:pPr>
      <w:r>
        <w:rPr>
          <w:rFonts w:ascii="Arial" w:hAnsi="Arial" w:cs="Arial"/>
          <w:sz w:val="24"/>
          <w:szCs w:val="24"/>
        </w:rPr>
        <w:t>[</w:t>
      </w:r>
      <w:r w:rsidR="002F68CA">
        <w:rPr>
          <w:rFonts w:ascii="Arial" w:hAnsi="Arial" w:cs="Arial"/>
          <w:sz w:val="24"/>
          <w:szCs w:val="24"/>
        </w:rPr>
        <w:t>30.1</w:t>
      </w:r>
      <w:r w:rsidR="00035710">
        <w:rPr>
          <w:rFonts w:ascii="Arial" w:hAnsi="Arial" w:cs="Arial"/>
          <w:sz w:val="24"/>
          <w:szCs w:val="24"/>
        </w:rPr>
        <w:t>.3</w:t>
      </w:r>
      <w:r>
        <w:rPr>
          <w:rFonts w:ascii="Arial" w:hAnsi="Arial" w:cs="Arial"/>
          <w:sz w:val="24"/>
          <w:szCs w:val="24"/>
        </w:rPr>
        <w:t xml:space="preserve">] </w:t>
      </w:r>
      <w:r w:rsidR="00AD4A51">
        <w:rPr>
          <w:rFonts w:ascii="Arial" w:hAnsi="Arial" w:cs="Arial"/>
          <w:sz w:val="24"/>
          <w:szCs w:val="24"/>
        </w:rPr>
        <w:tab/>
      </w:r>
      <w:r w:rsidR="00B20190">
        <w:rPr>
          <w:rFonts w:ascii="Arial" w:hAnsi="Arial" w:cs="Arial"/>
          <w:sz w:val="24"/>
          <w:szCs w:val="24"/>
        </w:rPr>
        <w:t xml:space="preserve">The </w:t>
      </w:r>
      <w:r w:rsidR="000E516D">
        <w:rPr>
          <w:rFonts w:ascii="Arial" w:hAnsi="Arial" w:cs="Arial"/>
          <w:sz w:val="24"/>
          <w:szCs w:val="24"/>
        </w:rPr>
        <w:t xml:space="preserve">ground water could be impacted </w:t>
      </w:r>
      <w:r w:rsidR="00B02707">
        <w:rPr>
          <w:rFonts w:ascii="Arial" w:hAnsi="Arial" w:cs="Arial"/>
          <w:sz w:val="24"/>
          <w:szCs w:val="24"/>
        </w:rPr>
        <w:t xml:space="preserve">negatively </w:t>
      </w:r>
      <w:r w:rsidR="000E516D">
        <w:rPr>
          <w:rFonts w:ascii="Arial" w:hAnsi="Arial" w:cs="Arial"/>
          <w:sz w:val="24"/>
          <w:szCs w:val="24"/>
        </w:rPr>
        <w:t xml:space="preserve">due to the materials being used, with a probability that there will not be sufficient backfill material. Backfilling could effectively undo </w:t>
      </w:r>
      <w:r w:rsidR="005816B2">
        <w:rPr>
          <w:rFonts w:ascii="Arial" w:hAnsi="Arial" w:cs="Arial"/>
          <w:sz w:val="24"/>
          <w:szCs w:val="24"/>
        </w:rPr>
        <w:t>the already proven successful rehabilitation of the mining area completed to date.</w:t>
      </w:r>
      <w:r w:rsidR="00800FDE">
        <w:rPr>
          <w:rFonts w:ascii="Arial" w:hAnsi="Arial" w:cs="Arial"/>
          <w:sz w:val="24"/>
          <w:szCs w:val="24"/>
        </w:rPr>
        <w:t xml:space="preserve"> </w:t>
      </w:r>
      <w:r w:rsidR="005816B2">
        <w:rPr>
          <w:rFonts w:ascii="Arial" w:hAnsi="Arial" w:cs="Arial"/>
          <w:sz w:val="24"/>
          <w:szCs w:val="24"/>
        </w:rPr>
        <w:t>The financial feasibility of the 1</w:t>
      </w:r>
      <w:r w:rsidR="005816B2" w:rsidRPr="005816B2">
        <w:rPr>
          <w:rFonts w:ascii="Arial" w:hAnsi="Arial" w:cs="Arial"/>
          <w:sz w:val="24"/>
          <w:szCs w:val="24"/>
          <w:vertAlign w:val="superscript"/>
        </w:rPr>
        <w:t>st</w:t>
      </w:r>
      <w:r w:rsidR="005816B2">
        <w:rPr>
          <w:rFonts w:ascii="Arial" w:hAnsi="Arial" w:cs="Arial"/>
          <w:sz w:val="24"/>
          <w:szCs w:val="24"/>
        </w:rPr>
        <w:t xml:space="preserve"> Respondent’s demand that the pit be back filled must be considered with the reference to the success of the environment</w:t>
      </w:r>
      <w:r w:rsidR="00A07887">
        <w:rPr>
          <w:rFonts w:ascii="Arial" w:hAnsi="Arial" w:cs="Arial"/>
          <w:sz w:val="24"/>
          <w:szCs w:val="24"/>
        </w:rPr>
        <w:t>’s</w:t>
      </w:r>
      <w:r w:rsidR="005816B2">
        <w:rPr>
          <w:rFonts w:ascii="Arial" w:hAnsi="Arial" w:cs="Arial"/>
          <w:sz w:val="24"/>
          <w:szCs w:val="24"/>
        </w:rPr>
        <w:t xml:space="preserve"> rehabilitation and the merits of the 1</w:t>
      </w:r>
      <w:r w:rsidR="005816B2" w:rsidRPr="005816B2">
        <w:rPr>
          <w:rFonts w:ascii="Arial" w:hAnsi="Arial" w:cs="Arial"/>
          <w:sz w:val="24"/>
          <w:szCs w:val="24"/>
          <w:vertAlign w:val="superscript"/>
        </w:rPr>
        <w:t>st</w:t>
      </w:r>
      <w:r w:rsidR="005816B2">
        <w:rPr>
          <w:rFonts w:ascii="Arial" w:hAnsi="Arial" w:cs="Arial"/>
          <w:sz w:val="24"/>
          <w:szCs w:val="24"/>
        </w:rPr>
        <w:t xml:space="preserve"> Respondent’s reasons for demanding that the pit be back filled. </w:t>
      </w:r>
      <w:r w:rsidR="00B20190">
        <w:rPr>
          <w:rFonts w:ascii="Arial" w:hAnsi="Arial" w:cs="Arial"/>
          <w:sz w:val="24"/>
          <w:szCs w:val="24"/>
        </w:rPr>
        <w:t xml:space="preserve"> </w:t>
      </w:r>
      <w:r w:rsidR="00A07887">
        <w:rPr>
          <w:rFonts w:ascii="Arial" w:hAnsi="Arial" w:cs="Arial"/>
          <w:sz w:val="24"/>
          <w:szCs w:val="24"/>
        </w:rPr>
        <w:t xml:space="preserve">The DMRE should not be entitled to impose new conditions where a party has already mined in accordance with what was understood to be their ultimate obligations.  </w:t>
      </w:r>
      <w:r w:rsidR="00800FDE">
        <w:rPr>
          <w:rFonts w:ascii="Arial" w:hAnsi="Arial" w:cs="Arial"/>
          <w:sz w:val="24"/>
          <w:szCs w:val="24"/>
        </w:rPr>
        <w:t xml:space="preserve"> </w:t>
      </w:r>
    </w:p>
    <w:p w14:paraId="4C0E6685" w14:textId="34742619" w:rsidR="003E18A6" w:rsidRDefault="003E18A6" w:rsidP="003A0954">
      <w:pPr>
        <w:spacing w:after="0" w:line="360" w:lineRule="auto"/>
        <w:ind w:left="1440"/>
        <w:jc w:val="both"/>
        <w:rPr>
          <w:rFonts w:ascii="Arial" w:hAnsi="Arial" w:cs="Arial"/>
          <w:sz w:val="24"/>
          <w:szCs w:val="24"/>
        </w:rPr>
      </w:pPr>
    </w:p>
    <w:p w14:paraId="52EE280A" w14:textId="6DF33AA0" w:rsidR="003E18A6" w:rsidRDefault="003E18A6" w:rsidP="002F68CA">
      <w:pPr>
        <w:spacing w:after="0" w:line="360" w:lineRule="auto"/>
        <w:ind w:left="720"/>
        <w:jc w:val="both"/>
        <w:rPr>
          <w:rFonts w:ascii="Arial" w:hAnsi="Arial" w:cs="Arial"/>
          <w:b/>
          <w:sz w:val="24"/>
          <w:szCs w:val="24"/>
        </w:rPr>
      </w:pPr>
      <w:r>
        <w:rPr>
          <w:rFonts w:ascii="Arial" w:hAnsi="Arial" w:cs="Arial"/>
          <w:sz w:val="24"/>
          <w:szCs w:val="24"/>
        </w:rPr>
        <w:t>[</w:t>
      </w:r>
      <w:r w:rsidR="002F68CA">
        <w:rPr>
          <w:rFonts w:ascii="Arial" w:hAnsi="Arial" w:cs="Arial"/>
          <w:sz w:val="24"/>
          <w:szCs w:val="24"/>
        </w:rPr>
        <w:t>30.2</w:t>
      </w:r>
      <w:r>
        <w:rPr>
          <w:rFonts w:ascii="Arial" w:hAnsi="Arial" w:cs="Arial"/>
          <w:sz w:val="24"/>
          <w:szCs w:val="24"/>
        </w:rPr>
        <w:t xml:space="preserve">] </w:t>
      </w:r>
      <w:r w:rsidRPr="00C55F5C">
        <w:rPr>
          <w:rFonts w:ascii="Arial" w:hAnsi="Arial" w:cs="Arial"/>
          <w:b/>
          <w:sz w:val="24"/>
          <w:szCs w:val="24"/>
        </w:rPr>
        <w:t>The 1</w:t>
      </w:r>
      <w:r w:rsidRPr="00C55F5C">
        <w:rPr>
          <w:rFonts w:ascii="Arial" w:hAnsi="Arial" w:cs="Arial"/>
          <w:b/>
          <w:sz w:val="24"/>
          <w:szCs w:val="24"/>
          <w:vertAlign w:val="superscript"/>
        </w:rPr>
        <w:t>st</w:t>
      </w:r>
      <w:r w:rsidRPr="00C55F5C">
        <w:rPr>
          <w:rFonts w:ascii="Arial" w:hAnsi="Arial" w:cs="Arial"/>
          <w:b/>
          <w:sz w:val="24"/>
          <w:szCs w:val="24"/>
        </w:rPr>
        <w:t xml:space="preserve"> Respondent decision inconsistent with the </w:t>
      </w:r>
      <w:r w:rsidR="003C57F5">
        <w:rPr>
          <w:rFonts w:ascii="Arial" w:hAnsi="Arial" w:cs="Arial"/>
          <w:b/>
          <w:sz w:val="24"/>
          <w:szCs w:val="24"/>
        </w:rPr>
        <w:t xml:space="preserve">approved </w:t>
      </w:r>
      <w:r w:rsidRPr="00C55F5C">
        <w:rPr>
          <w:rFonts w:ascii="Arial" w:hAnsi="Arial" w:cs="Arial"/>
          <w:b/>
          <w:sz w:val="24"/>
          <w:szCs w:val="24"/>
        </w:rPr>
        <w:t>closure objectives and is not rationally connected to the information before hi</w:t>
      </w:r>
      <w:r w:rsidR="00B02707">
        <w:rPr>
          <w:rFonts w:ascii="Arial" w:hAnsi="Arial" w:cs="Arial"/>
          <w:b/>
          <w:sz w:val="24"/>
          <w:szCs w:val="24"/>
        </w:rPr>
        <w:t>m</w:t>
      </w:r>
      <w:r w:rsidRPr="00C55F5C">
        <w:rPr>
          <w:rFonts w:ascii="Arial" w:hAnsi="Arial" w:cs="Arial"/>
          <w:b/>
          <w:sz w:val="24"/>
          <w:szCs w:val="24"/>
        </w:rPr>
        <w:t xml:space="preserve"> or the reasons given for the decision by the administrator (s 6 (2) (f) (i) (cc) and (dd) of PAJA. For that reason</w:t>
      </w:r>
      <w:r w:rsidR="00661285" w:rsidRPr="00C55F5C">
        <w:rPr>
          <w:rFonts w:ascii="Arial" w:hAnsi="Arial" w:cs="Arial"/>
          <w:b/>
          <w:sz w:val="24"/>
          <w:szCs w:val="24"/>
        </w:rPr>
        <w:t>,</w:t>
      </w:r>
      <w:r w:rsidRPr="00C55F5C">
        <w:rPr>
          <w:rFonts w:ascii="Arial" w:hAnsi="Arial" w:cs="Arial"/>
          <w:b/>
          <w:sz w:val="24"/>
          <w:szCs w:val="24"/>
        </w:rPr>
        <w:t xml:space="preserve"> the decision is also arbitrary and capricious (s 6 (2) (e) (iv)</w:t>
      </w:r>
      <w:r w:rsidR="006642E5" w:rsidRPr="00C55F5C">
        <w:rPr>
          <w:rFonts w:ascii="Arial" w:hAnsi="Arial" w:cs="Arial"/>
          <w:b/>
          <w:sz w:val="24"/>
          <w:szCs w:val="24"/>
        </w:rPr>
        <w:t>)</w:t>
      </w:r>
      <w:r w:rsidR="00C1347D">
        <w:rPr>
          <w:rFonts w:ascii="Arial" w:hAnsi="Arial" w:cs="Arial"/>
          <w:b/>
          <w:sz w:val="24"/>
          <w:szCs w:val="24"/>
        </w:rPr>
        <w:t>, in</w:t>
      </w:r>
      <w:r w:rsidR="009871B7">
        <w:rPr>
          <w:rFonts w:ascii="Arial" w:hAnsi="Arial" w:cs="Arial"/>
          <w:b/>
          <w:sz w:val="24"/>
          <w:szCs w:val="24"/>
        </w:rPr>
        <w:t xml:space="preserve"> that</w:t>
      </w:r>
      <w:r w:rsidR="00C1347D">
        <w:rPr>
          <w:rFonts w:ascii="Arial" w:hAnsi="Arial" w:cs="Arial"/>
          <w:b/>
          <w:sz w:val="24"/>
          <w:szCs w:val="24"/>
        </w:rPr>
        <w:t>:</w:t>
      </w:r>
      <w:r w:rsidR="009871B7">
        <w:rPr>
          <w:rFonts w:ascii="Arial" w:hAnsi="Arial" w:cs="Arial"/>
          <w:b/>
          <w:sz w:val="24"/>
          <w:szCs w:val="24"/>
        </w:rPr>
        <w:t xml:space="preserve"> </w:t>
      </w:r>
    </w:p>
    <w:p w14:paraId="6D404155" w14:textId="77777777" w:rsidR="009871B7" w:rsidRDefault="009871B7" w:rsidP="003A0954">
      <w:pPr>
        <w:spacing w:after="0" w:line="360" w:lineRule="auto"/>
        <w:ind w:left="1440"/>
        <w:jc w:val="both"/>
        <w:rPr>
          <w:rFonts w:ascii="Arial" w:hAnsi="Arial" w:cs="Arial"/>
          <w:b/>
          <w:sz w:val="24"/>
          <w:szCs w:val="24"/>
        </w:rPr>
      </w:pPr>
      <w:r>
        <w:rPr>
          <w:rFonts w:ascii="Arial" w:hAnsi="Arial" w:cs="Arial"/>
          <w:b/>
          <w:sz w:val="24"/>
          <w:szCs w:val="24"/>
        </w:rPr>
        <w:tab/>
      </w:r>
    </w:p>
    <w:p w14:paraId="2E6E2A48" w14:textId="0C86073C" w:rsidR="000B6C5D" w:rsidRDefault="009871B7" w:rsidP="002F68CA">
      <w:pPr>
        <w:spacing w:after="0" w:line="360" w:lineRule="auto"/>
        <w:ind w:left="1440"/>
        <w:jc w:val="both"/>
        <w:rPr>
          <w:rFonts w:ascii="Arial" w:hAnsi="Arial" w:cs="Arial"/>
          <w:sz w:val="24"/>
          <w:szCs w:val="24"/>
        </w:rPr>
      </w:pPr>
      <w:r w:rsidRPr="000B6C5D">
        <w:rPr>
          <w:rFonts w:ascii="Arial" w:hAnsi="Arial" w:cs="Arial"/>
          <w:sz w:val="24"/>
          <w:szCs w:val="24"/>
        </w:rPr>
        <w:t>[</w:t>
      </w:r>
      <w:r w:rsidR="002F68CA">
        <w:rPr>
          <w:rFonts w:ascii="Arial" w:hAnsi="Arial" w:cs="Arial"/>
          <w:sz w:val="24"/>
          <w:szCs w:val="24"/>
        </w:rPr>
        <w:t>30.2.</w:t>
      </w:r>
      <w:r w:rsidR="00035710">
        <w:rPr>
          <w:rFonts w:ascii="Arial" w:hAnsi="Arial" w:cs="Arial"/>
          <w:sz w:val="24"/>
          <w:szCs w:val="24"/>
        </w:rPr>
        <w:t>1</w:t>
      </w:r>
      <w:r w:rsidRPr="000B6C5D">
        <w:rPr>
          <w:rFonts w:ascii="Arial" w:hAnsi="Arial" w:cs="Arial"/>
          <w:sz w:val="24"/>
          <w:szCs w:val="24"/>
        </w:rPr>
        <w:t xml:space="preserve">] The required backfill is </w:t>
      </w:r>
      <w:r w:rsidR="00895900">
        <w:rPr>
          <w:rFonts w:ascii="Arial" w:hAnsi="Arial" w:cs="Arial"/>
          <w:sz w:val="24"/>
          <w:szCs w:val="24"/>
        </w:rPr>
        <w:t>in</w:t>
      </w:r>
      <w:r w:rsidRPr="000B6C5D">
        <w:rPr>
          <w:rFonts w:ascii="Arial" w:hAnsi="Arial" w:cs="Arial"/>
          <w:sz w:val="24"/>
          <w:szCs w:val="24"/>
        </w:rPr>
        <w:t xml:space="preserve">consistent with the approved closure objectives. Backfilling not going to </w:t>
      </w:r>
      <w:r w:rsidR="000B6C5D">
        <w:rPr>
          <w:rFonts w:ascii="Arial" w:hAnsi="Arial" w:cs="Arial"/>
          <w:sz w:val="24"/>
          <w:szCs w:val="24"/>
        </w:rPr>
        <w:t>a</w:t>
      </w:r>
      <w:r w:rsidRPr="000B6C5D">
        <w:rPr>
          <w:rFonts w:ascii="Arial" w:hAnsi="Arial" w:cs="Arial"/>
          <w:sz w:val="24"/>
          <w:szCs w:val="24"/>
        </w:rPr>
        <w:t>chieve any particular purposes</w:t>
      </w:r>
      <w:r w:rsidR="000B6C5D">
        <w:rPr>
          <w:rFonts w:ascii="Arial" w:hAnsi="Arial" w:cs="Arial"/>
          <w:sz w:val="24"/>
          <w:szCs w:val="24"/>
        </w:rPr>
        <w:t xml:space="preserve">. For DCBM to back fill the pit in the absence of any EMP to that effect would mean that it is acting in contravention of the applicable laws that regulate mine closure and rehabilitation. </w:t>
      </w:r>
    </w:p>
    <w:p w14:paraId="4BD6B6D5" w14:textId="77777777" w:rsidR="002F68CA" w:rsidRDefault="002F68CA" w:rsidP="002F68CA">
      <w:pPr>
        <w:spacing w:after="0" w:line="360" w:lineRule="auto"/>
        <w:jc w:val="both"/>
        <w:rPr>
          <w:rFonts w:ascii="Arial" w:hAnsi="Arial" w:cs="Arial"/>
          <w:sz w:val="24"/>
          <w:szCs w:val="24"/>
        </w:rPr>
      </w:pPr>
    </w:p>
    <w:p w14:paraId="2C2EBC84" w14:textId="1F9E04E2" w:rsidR="009871B7" w:rsidRPr="000B6C5D" w:rsidRDefault="002F68CA" w:rsidP="002F68CA">
      <w:pPr>
        <w:spacing w:after="0" w:line="360" w:lineRule="auto"/>
        <w:ind w:left="1440"/>
        <w:jc w:val="both"/>
        <w:rPr>
          <w:rFonts w:ascii="Arial" w:hAnsi="Arial" w:cs="Arial"/>
          <w:sz w:val="24"/>
          <w:szCs w:val="24"/>
        </w:rPr>
      </w:pPr>
      <w:r>
        <w:rPr>
          <w:rFonts w:ascii="Arial" w:hAnsi="Arial" w:cs="Arial"/>
          <w:sz w:val="24"/>
          <w:szCs w:val="24"/>
        </w:rPr>
        <w:t>[30.2.</w:t>
      </w:r>
      <w:r w:rsidR="00035710">
        <w:rPr>
          <w:rFonts w:ascii="Arial" w:hAnsi="Arial" w:cs="Arial"/>
          <w:sz w:val="24"/>
          <w:szCs w:val="24"/>
        </w:rPr>
        <w:t>3</w:t>
      </w:r>
      <w:r w:rsidR="000B6C5D">
        <w:rPr>
          <w:rFonts w:ascii="Arial" w:hAnsi="Arial" w:cs="Arial"/>
          <w:sz w:val="24"/>
          <w:szCs w:val="24"/>
        </w:rPr>
        <w:t xml:space="preserve">] DCBM has gone to extensive length </w:t>
      </w:r>
      <w:r w:rsidR="005930C8">
        <w:rPr>
          <w:rFonts w:ascii="Arial" w:hAnsi="Arial" w:cs="Arial"/>
          <w:sz w:val="24"/>
          <w:szCs w:val="24"/>
        </w:rPr>
        <w:t>to comply with both EMP and the closure application a</w:t>
      </w:r>
      <w:r w:rsidR="000B6C5D">
        <w:rPr>
          <w:rFonts w:ascii="Arial" w:hAnsi="Arial" w:cs="Arial"/>
          <w:sz w:val="24"/>
          <w:szCs w:val="24"/>
        </w:rPr>
        <w:t xml:space="preserve">nd </w:t>
      </w:r>
      <w:r w:rsidR="005930C8">
        <w:rPr>
          <w:rFonts w:ascii="Arial" w:hAnsi="Arial" w:cs="Arial"/>
          <w:sz w:val="24"/>
          <w:szCs w:val="24"/>
        </w:rPr>
        <w:t xml:space="preserve">has </w:t>
      </w:r>
      <w:r w:rsidR="000B6C5D">
        <w:rPr>
          <w:rFonts w:ascii="Arial" w:hAnsi="Arial" w:cs="Arial"/>
          <w:sz w:val="24"/>
          <w:szCs w:val="24"/>
        </w:rPr>
        <w:t>produced credible evidence that the Oaks Mine has been successfully rehabilitated</w:t>
      </w:r>
      <w:r w:rsidR="005930C8">
        <w:rPr>
          <w:rFonts w:ascii="Arial" w:hAnsi="Arial" w:cs="Arial"/>
          <w:sz w:val="24"/>
          <w:szCs w:val="24"/>
        </w:rPr>
        <w:t xml:space="preserve"> to date</w:t>
      </w:r>
      <w:r w:rsidR="000B6C5D">
        <w:rPr>
          <w:rFonts w:ascii="Arial" w:hAnsi="Arial" w:cs="Arial"/>
          <w:sz w:val="24"/>
          <w:szCs w:val="24"/>
        </w:rPr>
        <w:t xml:space="preserve">. </w:t>
      </w:r>
    </w:p>
    <w:p w14:paraId="7A4FA46F" w14:textId="77777777" w:rsidR="009871B7" w:rsidRPr="00C55F5C" w:rsidRDefault="009871B7" w:rsidP="003A0954">
      <w:pPr>
        <w:spacing w:after="0" w:line="360" w:lineRule="auto"/>
        <w:ind w:left="1440"/>
        <w:jc w:val="both"/>
        <w:rPr>
          <w:rFonts w:ascii="Arial" w:hAnsi="Arial" w:cs="Arial"/>
          <w:b/>
          <w:sz w:val="24"/>
          <w:szCs w:val="24"/>
        </w:rPr>
      </w:pPr>
    </w:p>
    <w:p w14:paraId="747E9E6E" w14:textId="14FE70E4" w:rsidR="00035710" w:rsidRDefault="00035710" w:rsidP="00035710">
      <w:pPr>
        <w:spacing w:after="0" w:line="360" w:lineRule="auto"/>
        <w:jc w:val="both"/>
        <w:rPr>
          <w:rFonts w:ascii="Arial" w:hAnsi="Arial" w:cs="Arial"/>
          <w:sz w:val="24"/>
          <w:szCs w:val="24"/>
        </w:rPr>
      </w:pPr>
      <w:r>
        <w:rPr>
          <w:rFonts w:ascii="Arial" w:hAnsi="Arial" w:cs="Arial"/>
          <w:sz w:val="24"/>
          <w:szCs w:val="24"/>
        </w:rPr>
        <w:t>[</w:t>
      </w:r>
      <w:r w:rsidR="002F68CA">
        <w:rPr>
          <w:rFonts w:ascii="Arial" w:hAnsi="Arial" w:cs="Arial"/>
          <w:sz w:val="24"/>
          <w:szCs w:val="24"/>
        </w:rPr>
        <w:t>31</w:t>
      </w:r>
      <w:r w:rsidR="003E18A6">
        <w:rPr>
          <w:rFonts w:ascii="Arial" w:hAnsi="Arial" w:cs="Arial"/>
          <w:sz w:val="24"/>
          <w:szCs w:val="24"/>
        </w:rPr>
        <w:t>]</w:t>
      </w:r>
      <w:r>
        <w:rPr>
          <w:rFonts w:ascii="Arial" w:hAnsi="Arial" w:cs="Arial"/>
          <w:sz w:val="24"/>
          <w:szCs w:val="24"/>
        </w:rPr>
        <w:tab/>
      </w:r>
      <w:r w:rsidR="00F07998">
        <w:rPr>
          <w:rFonts w:ascii="Arial" w:hAnsi="Arial" w:cs="Arial"/>
          <w:sz w:val="24"/>
          <w:szCs w:val="24"/>
        </w:rPr>
        <w:t>DBCM reckoned that c</w:t>
      </w:r>
      <w:r w:rsidR="009267B2">
        <w:rPr>
          <w:rFonts w:ascii="Arial" w:hAnsi="Arial" w:cs="Arial"/>
          <w:sz w:val="24"/>
          <w:szCs w:val="24"/>
        </w:rPr>
        <w:t xml:space="preserve">onsidering all </w:t>
      </w:r>
      <w:r w:rsidR="00B04D0A">
        <w:rPr>
          <w:rFonts w:ascii="Arial" w:hAnsi="Arial" w:cs="Arial"/>
          <w:sz w:val="24"/>
          <w:szCs w:val="24"/>
        </w:rPr>
        <w:t xml:space="preserve">the </w:t>
      </w:r>
      <w:r w:rsidR="009267B2">
        <w:rPr>
          <w:rFonts w:ascii="Arial" w:hAnsi="Arial" w:cs="Arial"/>
          <w:sz w:val="24"/>
          <w:szCs w:val="24"/>
        </w:rPr>
        <w:t xml:space="preserve">above </w:t>
      </w:r>
      <w:r w:rsidR="00B04D0A">
        <w:rPr>
          <w:rFonts w:ascii="Arial" w:hAnsi="Arial" w:cs="Arial"/>
          <w:sz w:val="24"/>
          <w:szCs w:val="24"/>
        </w:rPr>
        <w:t xml:space="preserve">factors, </w:t>
      </w:r>
      <w:r w:rsidR="009267B2">
        <w:rPr>
          <w:rFonts w:ascii="Arial" w:hAnsi="Arial" w:cs="Arial"/>
          <w:sz w:val="24"/>
          <w:szCs w:val="24"/>
        </w:rPr>
        <w:t>a reasonable decision maker in the 1</w:t>
      </w:r>
      <w:r w:rsidR="009267B2" w:rsidRPr="005930C8">
        <w:rPr>
          <w:rFonts w:ascii="Arial" w:hAnsi="Arial" w:cs="Arial"/>
          <w:sz w:val="24"/>
          <w:szCs w:val="24"/>
          <w:vertAlign w:val="superscript"/>
        </w:rPr>
        <w:t>st</w:t>
      </w:r>
      <w:r w:rsidR="009267B2">
        <w:rPr>
          <w:rFonts w:ascii="Arial" w:hAnsi="Arial" w:cs="Arial"/>
          <w:sz w:val="24"/>
          <w:szCs w:val="24"/>
        </w:rPr>
        <w:t xml:space="preserve"> Respondent’s position would have granted DCBM’s closure </w:t>
      </w:r>
      <w:r w:rsidR="009267B2">
        <w:rPr>
          <w:rFonts w:ascii="Arial" w:hAnsi="Arial" w:cs="Arial"/>
          <w:sz w:val="24"/>
          <w:szCs w:val="24"/>
        </w:rPr>
        <w:lastRenderedPageBreak/>
        <w:t xml:space="preserve">application and issued the closure certificate (s 6 (2) (h). </w:t>
      </w:r>
      <w:r w:rsidR="00ED2E2C">
        <w:rPr>
          <w:rFonts w:ascii="Arial" w:hAnsi="Arial" w:cs="Arial"/>
          <w:sz w:val="24"/>
          <w:szCs w:val="24"/>
        </w:rPr>
        <w:t>For all the reasons set out above t</w:t>
      </w:r>
      <w:r w:rsidR="009267B2">
        <w:rPr>
          <w:rFonts w:ascii="Arial" w:hAnsi="Arial" w:cs="Arial"/>
          <w:sz w:val="24"/>
          <w:szCs w:val="24"/>
        </w:rPr>
        <w:t>he 1</w:t>
      </w:r>
      <w:r w:rsidR="009267B2" w:rsidRPr="005930C8">
        <w:rPr>
          <w:rFonts w:ascii="Arial" w:hAnsi="Arial" w:cs="Arial"/>
          <w:sz w:val="24"/>
          <w:szCs w:val="24"/>
          <w:vertAlign w:val="superscript"/>
        </w:rPr>
        <w:t>st</w:t>
      </w:r>
      <w:r w:rsidR="009267B2">
        <w:rPr>
          <w:rFonts w:ascii="Arial" w:hAnsi="Arial" w:cs="Arial"/>
          <w:sz w:val="24"/>
          <w:szCs w:val="24"/>
        </w:rPr>
        <w:t xml:space="preserve"> Respondent’s</w:t>
      </w:r>
      <w:r w:rsidR="00F07998">
        <w:rPr>
          <w:rFonts w:ascii="Arial" w:hAnsi="Arial" w:cs="Arial"/>
          <w:sz w:val="24"/>
          <w:szCs w:val="24"/>
        </w:rPr>
        <w:t xml:space="preserve"> decision</w:t>
      </w:r>
      <w:r w:rsidR="009267B2">
        <w:rPr>
          <w:rFonts w:ascii="Arial" w:hAnsi="Arial" w:cs="Arial"/>
          <w:sz w:val="24"/>
          <w:szCs w:val="24"/>
        </w:rPr>
        <w:t xml:space="preserve"> for refusing to grant the closure Application is in all circumstances arbitrary and capricious and failure to grant the closure certificate </w:t>
      </w:r>
      <w:r w:rsidR="00ED2E2C">
        <w:rPr>
          <w:rFonts w:ascii="Arial" w:hAnsi="Arial" w:cs="Arial"/>
          <w:sz w:val="24"/>
          <w:szCs w:val="24"/>
        </w:rPr>
        <w:t xml:space="preserve">amounting to a decision that is an </w:t>
      </w:r>
      <w:r w:rsidR="009267B2">
        <w:rPr>
          <w:rFonts w:ascii="Arial" w:hAnsi="Arial" w:cs="Arial"/>
          <w:sz w:val="24"/>
          <w:szCs w:val="24"/>
        </w:rPr>
        <w:t>unlawful and unconstitutional</w:t>
      </w:r>
      <w:r w:rsidR="00ED2E2C">
        <w:rPr>
          <w:rFonts w:ascii="Arial" w:hAnsi="Arial" w:cs="Arial"/>
          <w:sz w:val="24"/>
          <w:szCs w:val="24"/>
        </w:rPr>
        <w:t xml:space="preserve"> (s 6 (2) (I)).</w:t>
      </w:r>
      <w:r w:rsidR="00895900">
        <w:rPr>
          <w:rFonts w:ascii="Arial" w:hAnsi="Arial" w:cs="Arial"/>
          <w:sz w:val="24"/>
          <w:szCs w:val="24"/>
        </w:rPr>
        <w:t xml:space="preserve"> </w:t>
      </w:r>
    </w:p>
    <w:p w14:paraId="42EFF11D" w14:textId="77777777" w:rsidR="00035710" w:rsidRDefault="00035710" w:rsidP="00035710">
      <w:pPr>
        <w:spacing w:after="0" w:line="360" w:lineRule="auto"/>
        <w:jc w:val="both"/>
        <w:rPr>
          <w:rFonts w:ascii="Arial" w:hAnsi="Arial" w:cs="Arial"/>
          <w:b/>
          <w:sz w:val="24"/>
          <w:szCs w:val="24"/>
        </w:rPr>
      </w:pPr>
    </w:p>
    <w:p w14:paraId="527C8267" w14:textId="3BDDB184" w:rsidR="00035710" w:rsidRDefault="00895900" w:rsidP="00035710">
      <w:pPr>
        <w:spacing w:after="0" w:line="360" w:lineRule="auto"/>
        <w:jc w:val="both"/>
        <w:rPr>
          <w:rFonts w:ascii="Arial" w:hAnsi="Arial" w:cs="Arial"/>
          <w:sz w:val="24"/>
          <w:szCs w:val="24"/>
        </w:rPr>
      </w:pPr>
      <w:r w:rsidRPr="00B973BE">
        <w:rPr>
          <w:rFonts w:ascii="Arial" w:hAnsi="Arial" w:cs="Arial"/>
          <w:b/>
          <w:sz w:val="24"/>
          <w:szCs w:val="24"/>
        </w:rPr>
        <w:t>The 2</w:t>
      </w:r>
      <w:r w:rsidRPr="00B973BE">
        <w:rPr>
          <w:rFonts w:ascii="Arial" w:hAnsi="Arial" w:cs="Arial"/>
          <w:b/>
          <w:sz w:val="24"/>
          <w:szCs w:val="24"/>
          <w:vertAlign w:val="superscript"/>
        </w:rPr>
        <w:t>nd</w:t>
      </w:r>
      <w:r w:rsidRPr="00B973BE">
        <w:rPr>
          <w:rFonts w:ascii="Arial" w:hAnsi="Arial" w:cs="Arial"/>
          <w:b/>
          <w:sz w:val="24"/>
          <w:szCs w:val="24"/>
        </w:rPr>
        <w:t xml:space="preserve"> Respondent’s failure to </w:t>
      </w:r>
      <w:r w:rsidR="00C1347D">
        <w:rPr>
          <w:rFonts w:ascii="Arial" w:hAnsi="Arial" w:cs="Arial"/>
          <w:b/>
          <w:sz w:val="24"/>
          <w:szCs w:val="24"/>
        </w:rPr>
        <w:t>decide the appeal</w:t>
      </w:r>
      <w:r>
        <w:rPr>
          <w:rFonts w:ascii="Arial" w:hAnsi="Arial" w:cs="Arial"/>
          <w:sz w:val="24"/>
          <w:szCs w:val="24"/>
        </w:rPr>
        <w:t xml:space="preserve">. </w:t>
      </w:r>
    </w:p>
    <w:p w14:paraId="41CC7714" w14:textId="77777777" w:rsidR="00035710" w:rsidRDefault="00035710" w:rsidP="00035710">
      <w:pPr>
        <w:spacing w:after="0" w:line="360" w:lineRule="auto"/>
        <w:jc w:val="both"/>
        <w:rPr>
          <w:rFonts w:ascii="Arial" w:hAnsi="Arial" w:cs="Arial"/>
          <w:sz w:val="24"/>
          <w:szCs w:val="24"/>
        </w:rPr>
      </w:pPr>
    </w:p>
    <w:p w14:paraId="60E132F9" w14:textId="1272A3F6" w:rsidR="006642E5" w:rsidRDefault="00035710" w:rsidP="00035710">
      <w:pPr>
        <w:spacing w:after="0" w:line="360" w:lineRule="auto"/>
        <w:jc w:val="both"/>
        <w:rPr>
          <w:rFonts w:ascii="Arial" w:hAnsi="Arial" w:cs="Arial"/>
          <w:sz w:val="24"/>
          <w:szCs w:val="24"/>
        </w:rPr>
      </w:pPr>
      <w:r>
        <w:rPr>
          <w:rFonts w:ascii="Arial" w:hAnsi="Arial" w:cs="Arial"/>
          <w:sz w:val="24"/>
          <w:szCs w:val="24"/>
        </w:rPr>
        <w:t>[3</w:t>
      </w:r>
      <w:r w:rsidR="00EC1C0B">
        <w:rPr>
          <w:rFonts w:ascii="Arial" w:hAnsi="Arial" w:cs="Arial"/>
          <w:sz w:val="24"/>
          <w:szCs w:val="24"/>
        </w:rPr>
        <w:t>2</w:t>
      </w:r>
      <w:r>
        <w:rPr>
          <w:rFonts w:ascii="Arial" w:hAnsi="Arial" w:cs="Arial"/>
          <w:sz w:val="24"/>
          <w:szCs w:val="24"/>
        </w:rPr>
        <w:t>]</w:t>
      </w:r>
      <w:r>
        <w:rPr>
          <w:rFonts w:ascii="Arial" w:hAnsi="Arial" w:cs="Arial"/>
          <w:sz w:val="24"/>
          <w:szCs w:val="24"/>
        </w:rPr>
        <w:tab/>
      </w:r>
      <w:r w:rsidR="00C73995">
        <w:rPr>
          <w:rFonts w:ascii="Arial" w:hAnsi="Arial" w:cs="Arial"/>
          <w:sz w:val="24"/>
          <w:szCs w:val="24"/>
        </w:rPr>
        <w:t>On</w:t>
      </w:r>
      <w:r w:rsidR="00ED2E2C">
        <w:rPr>
          <w:rFonts w:ascii="Arial" w:hAnsi="Arial" w:cs="Arial"/>
          <w:sz w:val="24"/>
          <w:szCs w:val="24"/>
        </w:rPr>
        <w:t xml:space="preserve"> </w:t>
      </w:r>
      <w:r w:rsidR="00B03043">
        <w:rPr>
          <w:rFonts w:ascii="Arial" w:hAnsi="Arial" w:cs="Arial"/>
          <w:sz w:val="24"/>
          <w:szCs w:val="24"/>
        </w:rPr>
        <w:t>2</w:t>
      </w:r>
      <w:r w:rsidR="00B03043" w:rsidRPr="00B973BE">
        <w:rPr>
          <w:rFonts w:ascii="Arial" w:hAnsi="Arial" w:cs="Arial"/>
          <w:sz w:val="24"/>
          <w:szCs w:val="24"/>
          <w:vertAlign w:val="superscript"/>
        </w:rPr>
        <w:t>nd</w:t>
      </w:r>
      <w:r w:rsidR="00B03043">
        <w:rPr>
          <w:rFonts w:ascii="Arial" w:hAnsi="Arial" w:cs="Arial"/>
          <w:sz w:val="24"/>
          <w:szCs w:val="24"/>
        </w:rPr>
        <w:t xml:space="preserve"> Respondent</w:t>
      </w:r>
      <w:r w:rsidR="00241EEC">
        <w:rPr>
          <w:rFonts w:ascii="Arial" w:hAnsi="Arial" w:cs="Arial"/>
          <w:sz w:val="24"/>
          <w:szCs w:val="24"/>
        </w:rPr>
        <w:t>’s</w:t>
      </w:r>
      <w:r w:rsidR="00B03043">
        <w:rPr>
          <w:rFonts w:ascii="Arial" w:hAnsi="Arial" w:cs="Arial"/>
          <w:sz w:val="24"/>
          <w:szCs w:val="24"/>
        </w:rPr>
        <w:t xml:space="preserve"> fail</w:t>
      </w:r>
      <w:r w:rsidR="00F07998">
        <w:rPr>
          <w:rFonts w:ascii="Arial" w:hAnsi="Arial" w:cs="Arial"/>
          <w:sz w:val="24"/>
          <w:szCs w:val="24"/>
        </w:rPr>
        <w:t xml:space="preserve">ure </w:t>
      </w:r>
      <w:r w:rsidR="00B03043">
        <w:rPr>
          <w:rFonts w:ascii="Arial" w:hAnsi="Arial" w:cs="Arial"/>
          <w:sz w:val="24"/>
          <w:szCs w:val="24"/>
        </w:rPr>
        <w:t xml:space="preserve">to take a decision on the internal appeal </w:t>
      </w:r>
      <w:r w:rsidR="00241EEC">
        <w:rPr>
          <w:rFonts w:ascii="Arial" w:hAnsi="Arial" w:cs="Arial"/>
          <w:sz w:val="24"/>
          <w:szCs w:val="24"/>
        </w:rPr>
        <w:t>DBCM filed in terms of s 96 of the MPRDA against 1</w:t>
      </w:r>
      <w:r w:rsidR="00241EEC" w:rsidRPr="00293D8A">
        <w:rPr>
          <w:rFonts w:ascii="Arial" w:hAnsi="Arial" w:cs="Arial"/>
          <w:sz w:val="24"/>
          <w:szCs w:val="24"/>
          <w:vertAlign w:val="superscript"/>
        </w:rPr>
        <w:t>st</w:t>
      </w:r>
      <w:r w:rsidR="00241EEC">
        <w:rPr>
          <w:rFonts w:ascii="Arial" w:hAnsi="Arial" w:cs="Arial"/>
          <w:sz w:val="24"/>
          <w:szCs w:val="24"/>
          <w:vertAlign w:val="superscript"/>
        </w:rPr>
        <w:t xml:space="preserve"> </w:t>
      </w:r>
      <w:r w:rsidR="00241EEC">
        <w:rPr>
          <w:rFonts w:ascii="Arial" w:hAnsi="Arial" w:cs="Arial"/>
          <w:sz w:val="24"/>
          <w:szCs w:val="24"/>
        </w:rPr>
        <w:t xml:space="preserve">Respondent’s refusal to process and decide DCBM’s closure application unless the </w:t>
      </w:r>
      <w:r w:rsidR="00241EEC" w:rsidRPr="00DD10E0">
        <w:rPr>
          <w:rFonts w:ascii="Arial" w:hAnsi="Arial" w:cs="Arial"/>
          <w:sz w:val="24"/>
          <w:szCs w:val="24"/>
        </w:rPr>
        <w:t>unlawful condition of backfilling the open pit is met</w:t>
      </w:r>
      <w:r w:rsidR="004F76ED">
        <w:rPr>
          <w:rFonts w:ascii="Arial" w:hAnsi="Arial" w:cs="Arial"/>
          <w:sz w:val="24"/>
          <w:szCs w:val="24"/>
        </w:rPr>
        <w:t xml:space="preserve">, </w:t>
      </w:r>
      <w:r w:rsidR="00ED2E2C">
        <w:rPr>
          <w:rFonts w:ascii="Arial" w:hAnsi="Arial" w:cs="Arial"/>
          <w:sz w:val="24"/>
          <w:szCs w:val="24"/>
        </w:rPr>
        <w:t xml:space="preserve">DBCM </w:t>
      </w:r>
      <w:r w:rsidR="004F76ED">
        <w:rPr>
          <w:rFonts w:ascii="Arial" w:hAnsi="Arial" w:cs="Arial"/>
          <w:sz w:val="24"/>
          <w:szCs w:val="24"/>
        </w:rPr>
        <w:t xml:space="preserve"> sought to invoke the provisions of </w:t>
      </w:r>
      <w:r w:rsidR="00895900">
        <w:rPr>
          <w:rFonts w:ascii="Arial" w:hAnsi="Arial" w:cs="Arial"/>
          <w:sz w:val="24"/>
          <w:szCs w:val="24"/>
        </w:rPr>
        <w:t>s</w:t>
      </w:r>
      <w:r w:rsidR="00B973BE">
        <w:rPr>
          <w:rFonts w:ascii="Arial" w:hAnsi="Arial" w:cs="Arial"/>
          <w:sz w:val="24"/>
          <w:szCs w:val="24"/>
        </w:rPr>
        <w:t xml:space="preserve"> 6 (1) of PAJA </w:t>
      </w:r>
      <w:r w:rsidR="00B03043">
        <w:rPr>
          <w:rFonts w:ascii="Arial" w:hAnsi="Arial" w:cs="Arial"/>
          <w:sz w:val="24"/>
          <w:szCs w:val="24"/>
        </w:rPr>
        <w:t xml:space="preserve">that </w:t>
      </w:r>
      <w:r w:rsidR="00B973BE">
        <w:rPr>
          <w:rFonts w:ascii="Arial" w:hAnsi="Arial" w:cs="Arial"/>
          <w:sz w:val="24"/>
          <w:szCs w:val="24"/>
        </w:rPr>
        <w:t>provides for institut</w:t>
      </w:r>
      <w:r w:rsidR="00B75F52">
        <w:rPr>
          <w:rFonts w:ascii="Arial" w:hAnsi="Arial" w:cs="Arial"/>
          <w:sz w:val="24"/>
          <w:szCs w:val="24"/>
        </w:rPr>
        <w:t>ion</w:t>
      </w:r>
      <w:r w:rsidR="00B973BE">
        <w:rPr>
          <w:rFonts w:ascii="Arial" w:hAnsi="Arial" w:cs="Arial"/>
          <w:sz w:val="24"/>
          <w:szCs w:val="24"/>
        </w:rPr>
        <w:t xml:space="preserve"> </w:t>
      </w:r>
      <w:r w:rsidR="006D0C3F">
        <w:rPr>
          <w:rFonts w:ascii="Arial" w:hAnsi="Arial" w:cs="Arial"/>
          <w:sz w:val="24"/>
          <w:szCs w:val="24"/>
        </w:rPr>
        <w:t xml:space="preserve">of </w:t>
      </w:r>
      <w:r w:rsidR="00B973BE">
        <w:rPr>
          <w:rFonts w:ascii="Arial" w:hAnsi="Arial" w:cs="Arial"/>
          <w:sz w:val="24"/>
          <w:szCs w:val="24"/>
        </w:rPr>
        <w:t>proceedings in a court or a tribunal for the judicial review of an administrative action</w:t>
      </w:r>
      <w:r w:rsidR="00EC1C0B">
        <w:rPr>
          <w:rFonts w:ascii="Arial" w:hAnsi="Arial" w:cs="Arial"/>
          <w:sz w:val="24"/>
          <w:szCs w:val="24"/>
        </w:rPr>
        <w:t xml:space="preserve"> that is</w:t>
      </w:r>
      <w:r w:rsidR="006D0C3F">
        <w:rPr>
          <w:rFonts w:ascii="Arial" w:hAnsi="Arial" w:cs="Arial"/>
          <w:sz w:val="24"/>
          <w:szCs w:val="24"/>
        </w:rPr>
        <w:t xml:space="preserve"> defined </w:t>
      </w:r>
      <w:r w:rsidR="00B973BE">
        <w:rPr>
          <w:rFonts w:ascii="Arial" w:hAnsi="Arial" w:cs="Arial"/>
          <w:sz w:val="24"/>
          <w:szCs w:val="24"/>
        </w:rPr>
        <w:t xml:space="preserve">to include any failure to take a decision </w:t>
      </w:r>
      <w:r w:rsidR="004B57F2">
        <w:rPr>
          <w:rFonts w:ascii="Arial" w:hAnsi="Arial" w:cs="Arial"/>
          <w:sz w:val="24"/>
          <w:szCs w:val="24"/>
        </w:rPr>
        <w:t xml:space="preserve">or an action </w:t>
      </w:r>
      <w:r w:rsidR="00B973BE">
        <w:rPr>
          <w:rFonts w:ascii="Arial" w:hAnsi="Arial" w:cs="Arial"/>
          <w:sz w:val="24"/>
          <w:szCs w:val="24"/>
        </w:rPr>
        <w:t>by an organ of state</w:t>
      </w:r>
      <w:r w:rsidR="006D0C3F">
        <w:rPr>
          <w:rFonts w:ascii="Arial" w:hAnsi="Arial" w:cs="Arial"/>
          <w:sz w:val="24"/>
          <w:szCs w:val="24"/>
        </w:rPr>
        <w:t xml:space="preserve"> for which </w:t>
      </w:r>
      <w:r w:rsidR="00285F6B">
        <w:rPr>
          <w:rFonts w:ascii="Arial" w:hAnsi="Arial" w:cs="Arial"/>
          <w:sz w:val="24"/>
          <w:szCs w:val="24"/>
        </w:rPr>
        <w:t>the</w:t>
      </w:r>
      <w:r w:rsidR="00B973BE">
        <w:rPr>
          <w:rFonts w:ascii="Arial" w:hAnsi="Arial" w:cs="Arial"/>
          <w:sz w:val="24"/>
          <w:szCs w:val="24"/>
        </w:rPr>
        <w:t xml:space="preserve"> court has in terms of s 6 (2) (g) the power to judicially review</w:t>
      </w:r>
      <w:r w:rsidR="006D0C3F">
        <w:rPr>
          <w:rFonts w:ascii="Arial" w:hAnsi="Arial" w:cs="Arial"/>
          <w:sz w:val="24"/>
          <w:szCs w:val="24"/>
        </w:rPr>
        <w:t xml:space="preserve">. </w:t>
      </w:r>
    </w:p>
    <w:p w14:paraId="7C5B9FAF" w14:textId="77777777" w:rsidR="00E1728C" w:rsidRDefault="00E1728C" w:rsidP="00E1728C">
      <w:pPr>
        <w:spacing w:after="0" w:line="360" w:lineRule="auto"/>
        <w:jc w:val="both"/>
        <w:rPr>
          <w:rFonts w:ascii="Arial" w:hAnsi="Arial" w:cs="Arial"/>
          <w:sz w:val="24"/>
          <w:szCs w:val="24"/>
        </w:rPr>
      </w:pPr>
    </w:p>
    <w:p w14:paraId="0DF5DAB8" w14:textId="7426043C" w:rsidR="00285F6B" w:rsidRDefault="00EC1C0B" w:rsidP="00E1728C">
      <w:pPr>
        <w:spacing w:after="0" w:line="360" w:lineRule="auto"/>
        <w:jc w:val="both"/>
        <w:rPr>
          <w:rFonts w:ascii="Arial" w:hAnsi="Arial" w:cs="Arial"/>
          <w:sz w:val="24"/>
          <w:szCs w:val="24"/>
        </w:rPr>
      </w:pPr>
      <w:r>
        <w:rPr>
          <w:rFonts w:ascii="Arial" w:hAnsi="Arial" w:cs="Arial"/>
          <w:sz w:val="24"/>
          <w:szCs w:val="24"/>
        </w:rPr>
        <w:t>[33</w:t>
      </w:r>
      <w:r w:rsidR="00E1728C">
        <w:rPr>
          <w:rFonts w:ascii="Arial" w:hAnsi="Arial" w:cs="Arial"/>
          <w:sz w:val="24"/>
          <w:szCs w:val="24"/>
        </w:rPr>
        <w:t>]</w:t>
      </w:r>
      <w:r w:rsidR="007046C5">
        <w:rPr>
          <w:rFonts w:ascii="Arial" w:hAnsi="Arial" w:cs="Arial"/>
          <w:sz w:val="24"/>
          <w:szCs w:val="24"/>
        </w:rPr>
        <w:tab/>
      </w:r>
      <w:r w:rsidR="00C1347D">
        <w:rPr>
          <w:rFonts w:ascii="Arial" w:hAnsi="Arial" w:cs="Arial"/>
          <w:sz w:val="24"/>
          <w:szCs w:val="24"/>
        </w:rPr>
        <w:t>DBCM refer</w:t>
      </w:r>
      <w:r>
        <w:rPr>
          <w:rFonts w:ascii="Arial" w:hAnsi="Arial" w:cs="Arial"/>
          <w:sz w:val="24"/>
          <w:szCs w:val="24"/>
        </w:rPr>
        <w:t xml:space="preserve">ring to </w:t>
      </w:r>
      <w:r w:rsidR="00C1347D">
        <w:rPr>
          <w:rFonts w:ascii="Arial" w:hAnsi="Arial" w:cs="Arial"/>
          <w:sz w:val="24"/>
          <w:szCs w:val="24"/>
        </w:rPr>
        <w:t>the provisions of s 96</w:t>
      </w:r>
      <w:r w:rsidR="00C01D4B">
        <w:rPr>
          <w:rStyle w:val="FootnoteReference"/>
          <w:rFonts w:ascii="Arial" w:hAnsi="Arial" w:cs="Arial"/>
          <w:sz w:val="24"/>
          <w:szCs w:val="24"/>
        </w:rPr>
        <w:footnoteReference w:id="7"/>
      </w:r>
      <w:r w:rsidR="00C1347D">
        <w:rPr>
          <w:rFonts w:ascii="Arial" w:hAnsi="Arial" w:cs="Arial"/>
          <w:sz w:val="24"/>
          <w:szCs w:val="24"/>
        </w:rPr>
        <w:t xml:space="preserve"> </w:t>
      </w:r>
      <w:r w:rsidR="00EE21B7">
        <w:rPr>
          <w:rFonts w:ascii="Arial" w:hAnsi="Arial" w:cs="Arial"/>
          <w:sz w:val="24"/>
          <w:szCs w:val="24"/>
        </w:rPr>
        <w:t xml:space="preserve">and to its internal appeal </w:t>
      </w:r>
      <w:r>
        <w:rPr>
          <w:rFonts w:ascii="Arial" w:hAnsi="Arial" w:cs="Arial"/>
          <w:sz w:val="24"/>
          <w:szCs w:val="24"/>
        </w:rPr>
        <w:t>indicated</w:t>
      </w:r>
      <w:r w:rsidR="00285F6B">
        <w:rPr>
          <w:rFonts w:ascii="Arial" w:hAnsi="Arial" w:cs="Arial"/>
          <w:sz w:val="24"/>
          <w:szCs w:val="24"/>
        </w:rPr>
        <w:t xml:space="preserve"> </w:t>
      </w:r>
      <w:r w:rsidR="00EE21B7">
        <w:rPr>
          <w:rFonts w:ascii="Arial" w:hAnsi="Arial" w:cs="Arial"/>
          <w:sz w:val="24"/>
          <w:szCs w:val="24"/>
        </w:rPr>
        <w:t>that a period of more than 10 years has elapsed since it has lodged its closure application</w:t>
      </w:r>
      <w:r>
        <w:rPr>
          <w:rFonts w:ascii="Arial" w:hAnsi="Arial" w:cs="Arial"/>
          <w:sz w:val="24"/>
          <w:szCs w:val="24"/>
        </w:rPr>
        <w:t xml:space="preserve">. It alleged that </w:t>
      </w:r>
      <w:r w:rsidR="00EE21B7">
        <w:rPr>
          <w:rFonts w:ascii="Arial" w:hAnsi="Arial" w:cs="Arial"/>
          <w:sz w:val="24"/>
          <w:szCs w:val="24"/>
        </w:rPr>
        <w:t>the delay</w:t>
      </w:r>
      <w:r w:rsidR="00485904">
        <w:rPr>
          <w:rFonts w:ascii="Arial" w:hAnsi="Arial" w:cs="Arial"/>
          <w:sz w:val="24"/>
          <w:szCs w:val="24"/>
        </w:rPr>
        <w:t xml:space="preserve"> by DMRE </w:t>
      </w:r>
      <w:r w:rsidR="00EE21B7">
        <w:rPr>
          <w:rFonts w:ascii="Arial" w:hAnsi="Arial" w:cs="Arial"/>
          <w:sz w:val="24"/>
          <w:szCs w:val="24"/>
        </w:rPr>
        <w:t xml:space="preserve">was contrary to the DMRE statutory obligations as set out in s 6 of the MPRDA namely that </w:t>
      </w:r>
      <w:r w:rsidR="008804BC">
        <w:rPr>
          <w:rFonts w:ascii="Arial" w:hAnsi="Arial" w:cs="Arial"/>
          <w:sz w:val="24"/>
          <w:szCs w:val="24"/>
        </w:rPr>
        <w:t xml:space="preserve">“…any administrative process conducted or </w:t>
      </w:r>
      <w:r w:rsidR="00485904">
        <w:rPr>
          <w:rFonts w:ascii="Arial" w:hAnsi="Arial" w:cs="Arial"/>
          <w:sz w:val="24"/>
          <w:szCs w:val="24"/>
        </w:rPr>
        <w:t xml:space="preserve">decision </w:t>
      </w:r>
      <w:r w:rsidR="008804BC">
        <w:rPr>
          <w:rFonts w:ascii="Arial" w:hAnsi="Arial" w:cs="Arial"/>
          <w:sz w:val="24"/>
          <w:szCs w:val="24"/>
        </w:rPr>
        <w:t xml:space="preserve">taken, </w:t>
      </w:r>
      <w:r w:rsidR="00485904">
        <w:rPr>
          <w:rFonts w:ascii="Arial" w:hAnsi="Arial" w:cs="Arial"/>
          <w:sz w:val="24"/>
          <w:szCs w:val="24"/>
        </w:rPr>
        <w:t xml:space="preserve">in terms of this Act must be </w:t>
      </w:r>
      <w:r w:rsidR="008804BC">
        <w:rPr>
          <w:rFonts w:ascii="Arial" w:hAnsi="Arial" w:cs="Arial"/>
          <w:sz w:val="24"/>
          <w:szCs w:val="24"/>
        </w:rPr>
        <w:t>within a reasonable time or in accordance with the principle of lawfulness, reasonableness and procedural fairness.”</w:t>
      </w:r>
    </w:p>
    <w:p w14:paraId="1F7A0327" w14:textId="77777777" w:rsidR="00357787" w:rsidRDefault="00357787" w:rsidP="00357787">
      <w:pPr>
        <w:spacing w:after="0" w:line="360" w:lineRule="auto"/>
        <w:jc w:val="both"/>
        <w:rPr>
          <w:rFonts w:ascii="Arial" w:hAnsi="Arial" w:cs="Arial"/>
          <w:sz w:val="24"/>
          <w:szCs w:val="24"/>
        </w:rPr>
      </w:pPr>
    </w:p>
    <w:p w14:paraId="705D4560" w14:textId="72C9BF89" w:rsidR="00EC1C0B" w:rsidRDefault="00EC1C0B" w:rsidP="00EC1C0B">
      <w:pPr>
        <w:spacing w:after="0"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8804BC">
        <w:rPr>
          <w:rFonts w:ascii="Arial" w:hAnsi="Arial" w:cs="Arial"/>
          <w:sz w:val="24"/>
          <w:szCs w:val="24"/>
        </w:rPr>
        <w:t xml:space="preserve"> The same principle </w:t>
      </w:r>
      <w:r w:rsidR="00485904">
        <w:rPr>
          <w:rFonts w:ascii="Arial" w:hAnsi="Arial" w:cs="Arial"/>
          <w:sz w:val="24"/>
          <w:szCs w:val="24"/>
        </w:rPr>
        <w:t>a</w:t>
      </w:r>
      <w:r w:rsidR="00285F6B">
        <w:rPr>
          <w:rFonts w:ascii="Arial" w:hAnsi="Arial" w:cs="Arial"/>
          <w:sz w:val="24"/>
          <w:szCs w:val="24"/>
        </w:rPr>
        <w:t xml:space="preserve">pplicable </w:t>
      </w:r>
      <w:r w:rsidR="008804BC">
        <w:rPr>
          <w:rFonts w:ascii="Arial" w:hAnsi="Arial" w:cs="Arial"/>
          <w:sz w:val="24"/>
          <w:szCs w:val="24"/>
        </w:rPr>
        <w:t>in respect of the 2</w:t>
      </w:r>
      <w:r w:rsidR="008804BC" w:rsidRPr="008804BC">
        <w:rPr>
          <w:rFonts w:ascii="Arial" w:hAnsi="Arial" w:cs="Arial"/>
          <w:sz w:val="24"/>
          <w:szCs w:val="24"/>
          <w:vertAlign w:val="superscript"/>
        </w:rPr>
        <w:t>nd</w:t>
      </w:r>
      <w:r w:rsidR="008804BC">
        <w:rPr>
          <w:rFonts w:ascii="Arial" w:hAnsi="Arial" w:cs="Arial"/>
          <w:sz w:val="24"/>
          <w:szCs w:val="24"/>
        </w:rPr>
        <w:t xml:space="preserve"> Respondent</w:t>
      </w:r>
      <w:r w:rsidR="0059547C">
        <w:rPr>
          <w:rFonts w:ascii="Arial" w:hAnsi="Arial" w:cs="Arial"/>
          <w:sz w:val="24"/>
          <w:szCs w:val="24"/>
        </w:rPr>
        <w:t>’</w:t>
      </w:r>
      <w:r w:rsidR="008804BC">
        <w:rPr>
          <w:rFonts w:ascii="Arial" w:hAnsi="Arial" w:cs="Arial"/>
          <w:sz w:val="24"/>
          <w:szCs w:val="24"/>
        </w:rPr>
        <w:t>s delay</w:t>
      </w:r>
      <w:r w:rsidR="00485904">
        <w:rPr>
          <w:rFonts w:ascii="Arial" w:hAnsi="Arial" w:cs="Arial"/>
          <w:sz w:val="24"/>
          <w:szCs w:val="24"/>
        </w:rPr>
        <w:t xml:space="preserve"> in making a decision on the internal appeal</w:t>
      </w:r>
      <w:r w:rsidR="003C57F5">
        <w:rPr>
          <w:rFonts w:ascii="Arial" w:hAnsi="Arial" w:cs="Arial"/>
          <w:sz w:val="24"/>
          <w:szCs w:val="24"/>
        </w:rPr>
        <w:t xml:space="preserve">, a </w:t>
      </w:r>
      <w:r w:rsidR="00285F6B">
        <w:rPr>
          <w:rFonts w:ascii="Arial" w:hAnsi="Arial" w:cs="Arial"/>
          <w:sz w:val="24"/>
          <w:szCs w:val="24"/>
        </w:rPr>
        <w:t>period of 6 months has lapsed and the decision is still pending.  DBCM argue</w:t>
      </w:r>
      <w:r w:rsidR="00E575BF">
        <w:rPr>
          <w:rFonts w:ascii="Arial" w:hAnsi="Arial" w:cs="Arial"/>
          <w:sz w:val="24"/>
          <w:szCs w:val="24"/>
        </w:rPr>
        <w:t>d</w:t>
      </w:r>
      <w:r w:rsidR="00285F6B">
        <w:rPr>
          <w:rFonts w:ascii="Arial" w:hAnsi="Arial" w:cs="Arial"/>
          <w:sz w:val="24"/>
          <w:szCs w:val="24"/>
        </w:rPr>
        <w:t xml:space="preserve"> that the 2</w:t>
      </w:r>
      <w:r w:rsidR="00285F6B" w:rsidRPr="00285F6B">
        <w:rPr>
          <w:rFonts w:ascii="Arial" w:hAnsi="Arial" w:cs="Arial"/>
          <w:sz w:val="24"/>
          <w:szCs w:val="24"/>
          <w:vertAlign w:val="superscript"/>
        </w:rPr>
        <w:t>nd</w:t>
      </w:r>
      <w:r w:rsidR="00285F6B">
        <w:rPr>
          <w:rFonts w:ascii="Arial" w:hAnsi="Arial" w:cs="Arial"/>
          <w:sz w:val="24"/>
          <w:szCs w:val="24"/>
        </w:rPr>
        <w:t xml:space="preserve"> Respondent failed to take a decision he is duty bound to</w:t>
      </w:r>
      <w:r w:rsidR="0059547C">
        <w:rPr>
          <w:rFonts w:ascii="Arial" w:hAnsi="Arial" w:cs="Arial"/>
          <w:sz w:val="24"/>
          <w:szCs w:val="24"/>
        </w:rPr>
        <w:t xml:space="preserve"> do</w:t>
      </w:r>
      <w:r w:rsidR="00285F6B">
        <w:rPr>
          <w:rFonts w:ascii="Arial" w:hAnsi="Arial" w:cs="Arial"/>
          <w:sz w:val="24"/>
          <w:szCs w:val="24"/>
        </w:rPr>
        <w:t xml:space="preserve"> </w:t>
      </w:r>
      <w:r w:rsidR="0059547C">
        <w:rPr>
          <w:rFonts w:ascii="Arial" w:hAnsi="Arial" w:cs="Arial"/>
          <w:sz w:val="24"/>
          <w:szCs w:val="24"/>
        </w:rPr>
        <w:t xml:space="preserve">in terms of </w:t>
      </w:r>
      <w:r w:rsidR="00453CE6">
        <w:rPr>
          <w:rFonts w:ascii="Arial" w:hAnsi="Arial" w:cs="Arial"/>
          <w:sz w:val="24"/>
          <w:szCs w:val="24"/>
        </w:rPr>
        <w:t>s 6 (3)(a) of PAJA</w:t>
      </w:r>
      <w:r w:rsidR="003C57F5">
        <w:rPr>
          <w:rFonts w:ascii="Arial" w:hAnsi="Arial" w:cs="Arial"/>
          <w:sz w:val="24"/>
          <w:szCs w:val="24"/>
        </w:rPr>
        <w:t>. I</w:t>
      </w:r>
      <w:r w:rsidR="00453CE6">
        <w:rPr>
          <w:rFonts w:ascii="Arial" w:hAnsi="Arial" w:cs="Arial"/>
          <w:sz w:val="24"/>
          <w:szCs w:val="24"/>
        </w:rPr>
        <w:t xml:space="preserve">f any person relies on the ground of review referred to under s 6 (2) (g) </w:t>
      </w:r>
      <w:r w:rsidR="002F56BB">
        <w:rPr>
          <w:rFonts w:ascii="Arial" w:hAnsi="Arial" w:cs="Arial"/>
          <w:sz w:val="24"/>
          <w:szCs w:val="24"/>
        </w:rPr>
        <w:t xml:space="preserve">of PAJA and the relevant law (as is the case in </w:t>
      </w:r>
      <w:r w:rsidR="00237E45">
        <w:rPr>
          <w:rFonts w:ascii="Arial" w:hAnsi="Arial" w:cs="Arial"/>
          <w:sz w:val="24"/>
          <w:szCs w:val="24"/>
        </w:rPr>
        <w:t>this matter) does not prescribe</w:t>
      </w:r>
      <w:r w:rsidR="002F56BB">
        <w:rPr>
          <w:rFonts w:ascii="Arial" w:hAnsi="Arial" w:cs="Arial"/>
          <w:sz w:val="24"/>
          <w:szCs w:val="24"/>
        </w:rPr>
        <w:t xml:space="preserve"> the period within which the administrator is required to take that decision, </w:t>
      </w:r>
      <w:r w:rsidR="00E575BF">
        <w:rPr>
          <w:rFonts w:ascii="Arial" w:hAnsi="Arial" w:cs="Arial"/>
          <w:sz w:val="24"/>
          <w:szCs w:val="24"/>
        </w:rPr>
        <w:t>on t</w:t>
      </w:r>
      <w:r w:rsidR="002F56BB">
        <w:rPr>
          <w:rFonts w:ascii="Arial" w:hAnsi="Arial" w:cs="Arial"/>
          <w:sz w:val="24"/>
          <w:szCs w:val="24"/>
        </w:rPr>
        <w:t>he administrator</w:t>
      </w:r>
      <w:r w:rsidR="00E575BF">
        <w:rPr>
          <w:rFonts w:ascii="Arial" w:hAnsi="Arial" w:cs="Arial"/>
          <w:sz w:val="24"/>
          <w:szCs w:val="24"/>
        </w:rPr>
        <w:t>’s failure</w:t>
      </w:r>
      <w:r w:rsidR="002F56BB">
        <w:rPr>
          <w:rFonts w:ascii="Arial" w:hAnsi="Arial" w:cs="Arial"/>
          <w:sz w:val="24"/>
          <w:szCs w:val="24"/>
        </w:rPr>
        <w:t xml:space="preserve"> to take </w:t>
      </w:r>
      <w:r w:rsidR="00E575BF">
        <w:rPr>
          <w:rFonts w:ascii="Arial" w:hAnsi="Arial" w:cs="Arial"/>
          <w:sz w:val="24"/>
          <w:szCs w:val="24"/>
        </w:rPr>
        <w:t xml:space="preserve">a </w:t>
      </w:r>
      <w:r w:rsidR="002F56BB">
        <w:rPr>
          <w:rFonts w:ascii="Arial" w:hAnsi="Arial" w:cs="Arial"/>
          <w:sz w:val="24"/>
          <w:szCs w:val="24"/>
        </w:rPr>
        <w:t>decision it is duty bound to take, that person may institute proceedings for review on the ground that there has been unreasonable delay in taking the decision.</w:t>
      </w:r>
    </w:p>
    <w:p w14:paraId="165C3FD8" w14:textId="77777777" w:rsidR="00EC1C0B" w:rsidRDefault="00EC1C0B" w:rsidP="00EC1C0B">
      <w:pPr>
        <w:spacing w:after="0" w:line="360" w:lineRule="auto"/>
        <w:jc w:val="both"/>
        <w:rPr>
          <w:rFonts w:ascii="Arial" w:hAnsi="Arial" w:cs="Arial"/>
          <w:sz w:val="24"/>
          <w:szCs w:val="24"/>
        </w:rPr>
      </w:pPr>
    </w:p>
    <w:p w14:paraId="78D1633B" w14:textId="7E005AFC" w:rsidR="007046C5" w:rsidRPr="00EC1C0B" w:rsidRDefault="00E575BF" w:rsidP="00EC1C0B">
      <w:pPr>
        <w:spacing w:after="0" w:line="360" w:lineRule="auto"/>
        <w:jc w:val="both"/>
        <w:rPr>
          <w:rFonts w:ascii="Arial" w:hAnsi="Arial" w:cs="Arial"/>
          <w:sz w:val="24"/>
          <w:szCs w:val="24"/>
        </w:rPr>
      </w:pPr>
      <w:r>
        <w:rPr>
          <w:rFonts w:ascii="Arial" w:hAnsi="Arial" w:cs="Arial"/>
          <w:sz w:val="24"/>
          <w:szCs w:val="24"/>
        </w:rPr>
        <w:t>[35</w:t>
      </w:r>
      <w:r w:rsidR="00456955">
        <w:rPr>
          <w:rFonts w:ascii="Arial" w:hAnsi="Arial" w:cs="Arial"/>
          <w:sz w:val="24"/>
          <w:szCs w:val="24"/>
        </w:rPr>
        <w:t>]</w:t>
      </w:r>
      <w:r w:rsidR="007046C5">
        <w:rPr>
          <w:rFonts w:ascii="Arial" w:hAnsi="Arial" w:cs="Arial"/>
          <w:sz w:val="24"/>
          <w:szCs w:val="24"/>
        </w:rPr>
        <w:tab/>
      </w:r>
      <w:r w:rsidR="00456955">
        <w:rPr>
          <w:rFonts w:ascii="Arial" w:hAnsi="Arial" w:cs="Arial"/>
          <w:sz w:val="24"/>
          <w:szCs w:val="24"/>
        </w:rPr>
        <w:t xml:space="preserve"> DBCM avers that it had a right to seek an order directing the taking </w:t>
      </w:r>
      <w:r w:rsidR="0059547C">
        <w:rPr>
          <w:rFonts w:ascii="Arial" w:hAnsi="Arial" w:cs="Arial"/>
          <w:sz w:val="24"/>
          <w:szCs w:val="24"/>
        </w:rPr>
        <w:t>o</w:t>
      </w:r>
      <w:r w:rsidR="00456955">
        <w:rPr>
          <w:rFonts w:ascii="Arial" w:hAnsi="Arial" w:cs="Arial"/>
          <w:sz w:val="24"/>
          <w:szCs w:val="24"/>
        </w:rPr>
        <w:t xml:space="preserve">f the decision or </w:t>
      </w:r>
      <w:r w:rsidR="00EC1C0B">
        <w:rPr>
          <w:rFonts w:ascii="Arial" w:hAnsi="Arial" w:cs="Arial"/>
          <w:sz w:val="24"/>
          <w:szCs w:val="24"/>
        </w:rPr>
        <w:t xml:space="preserve">a </w:t>
      </w:r>
      <w:r w:rsidR="00456955">
        <w:rPr>
          <w:rFonts w:ascii="Arial" w:hAnsi="Arial" w:cs="Arial"/>
          <w:sz w:val="24"/>
          <w:szCs w:val="24"/>
        </w:rPr>
        <w:t>declarati</w:t>
      </w:r>
      <w:r>
        <w:rPr>
          <w:rFonts w:ascii="Arial" w:hAnsi="Arial" w:cs="Arial"/>
          <w:sz w:val="24"/>
          <w:szCs w:val="24"/>
        </w:rPr>
        <w:t xml:space="preserve">on of rights in relation to </w:t>
      </w:r>
      <w:r w:rsidR="00456955">
        <w:rPr>
          <w:rFonts w:ascii="Arial" w:hAnsi="Arial" w:cs="Arial"/>
          <w:sz w:val="24"/>
          <w:szCs w:val="24"/>
        </w:rPr>
        <w:t xml:space="preserve">taking of the decision; or an interdict aimed at doing justice between the parties. </w:t>
      </w:r>
      <w:r w:rsidR="00456955" w:rsidRPr="006D0C3F">
        <w:rPr>
          <w:rFonts w:ascii="Arial" w:hAnsi="Arial" w:cs="Arial"/>
          <w:sz w:val="24"/>
          <w:szCs w:val="24"/>
        </w:rPr>
        <w:t>This is constructed on the recognition that a court faced with a failure to take a decision will not be in a position to assess the merits</w:t>
      </w:r>
      <w:r w:rsidR="002F56BB" w:rsidRPr="006D0C3F">
        <w:rPr>
          <w:rFonts w:ascii="Arial" w:hAnsi="Arial" w:cs="Arial"/>
          <w:sz w:val="24"/>
          <w:szCs w:val="24"/>
        </w:rPr>
        <w:t xml:space="preserve"> </w:t>
      </w:r>
      <w:r w:rsidR="00456955" w:rsidRPr="006D0C3F">
        <w:rPr>
          <w:rFonts w:ascii="Arial" w:hAnsi="Arial" w:cs="Arial"/>
          <w:sz w:val="24"/>
          <w:szCs w:val="24"/>
        </w:rPr>
        <w:t>on the basis of rationality or reasonableness, because no decision will exist which can be subjected to scrutiny and review</w:t>
      </w:r>
      <w:r w:rsidR="007046C5">
        <w:rPr>
          <w:rFonts w:ascii="Arial" w:hAnsi="Arial" w:cs="Arial"/>
          <w:sz w:val="24"/>
          <w:szCs w:val="24"/>
        </w:rPr>
        <w:t xml:space="preserve"> </w:t>
      </w:r>
      <w:r w:rsidR="00456955" w:rsidRPr="006D0C3F">
        <w:rPr>
          <w:rFonts w:ascii="Arial" w:hAnsi="Arial" w:cs="Arial"/>
          <w:sz w:val="24"/>
          <w:szCs w:val="24"/>
        </w:rPr>
        <w:t>on those grounds.</w:t>
      </w:r>
      <w:r w:rsidR="00456955" w:rsidRPr="0031026D">
        <w:rPr>
          <w:rFonts w:ascii="Arial" w:hAnsi="Arial" w:cs="Arial"/>
          <w:b/>
          <w:sz w:val="24"/>
          <w:szCs w:val="24"/>
        </w:rPr>
        <w:t xml:space="preserve"> </w:t>
      </w:r>
    </w:p>
    <w:p w14:paraId="479FFB66" w14:textId="77777777" w:rsidR="00E575BF" w:rsidRDefault="00E575BF" w:rsidP="00E575BF">
      <w:pPr>
        <w:spacing w:after="0" w:line="360" w:lineRule="auto"/>
        <w:jc w:val="both"/>
        <w:rPr>
          <w:rFonts w:ascii="Arial" w:hAnsi="Arial" w:cs="Arial"/>
          <w:sz w:val="24"/>
          <w:szCs w:val="24"/>
        </w:rPr>
      </w:pPr>
    </w:p>
    <w:p w14:paraId="7B204628" w14:textId="158680B7" w:rsidR="00453CE6" w:rsidRDefault="007046C5" w:rsidP="00E575BF">
      <w:pPr>
        <w:spacing w:after="0" w:line="360" w:lineRule="auto"/>
        <w:jc w:val="both"/>
        <w:rPr>
          <w:rFonts w:ascii="Arial" w:hAnsi="Arial" w:cs="Arial"/>
          <w:sz w:val="24"/>
          <w:szCs w:val="24"/>
        </w:rPr>
      </w:pPr>
      <w:r w:rsidRPr="007046C5">
        <w:rPr>
          <w:rFonts w:ascii="Arial" w:hAnsi="Arial" w:cs="Arial"/>
          <w:sz w:val="24"/>
          <w:szCs w:val="24"/>
        </w:rPr>
        <w:t>[</w:t>
      </w:r>
      <w:r w:rsidR="00E575BF">
        <w:rPr>
          <w:rFonts w:ascii="Arial" w:hAnsi="Arial" w:cs="Arial"/>
          <w:sz w:val="24"/>
          <w:szCs w:val="24"/>
        </w:rPr>
        <w:t>3</w:t>
      </w:r>
      <w:r w:rsidR="003E64CC">
        <w:rPr>
          <w:rFonts w:ascii="Arial" w:hAnsi="Arial" w:cs="Arial"/>
          <w:sz w:val="24"/>
          <w:szCs w:val="24"/>
        </w:rPr>
        <w:t>6</w:t>
      </w:r>
      <w:r w:rsidRPr="007046C5">
        <w:rPr>
          <w:rFonts w:ascii="Arial" w:hAnsi="Arial" w:cs="Arial"/>
          <w:sz w:val="24"/>
          <w:szCs w:val="24"/>
        </w:rPr>
        <w:t>]</w:t>
      </w:r>
      <w:r>
        <w:rPr>
          <w:rFonts w:ascii="Arial" w:hAnsi="Arial" w:cs="Arial"/>
          <w:b/>
          <w:sz w:val="24"/>
          <w:szCs w:val="24"/>
        </w:rPr>
        <w:t xml:space="preserve"> </w:t>
      </w:r>
      <w:r>
        <w:rPr>
          <w:rFonts w:ascii="Arial" w:hAnsi="Arial" w:cs="Arial"/>
          <w:b/>
          <w:sz w:val="24"/>
          <w:szCs w:val="24"/>
        </w:rPr>
        <w:tab/>
      </w:r>
      <w:r w:rsidR="00456955" w:rsidRPr="00DD10E0">
        <w:rPr>
          <w:rFonts w:ascii="Arial" w:hAnsi="Arial" w:cs="Arial"/>
          <w:sz w:val="24"/>
          <w:szCs w:val="24"/>
        </w:rPr>
        <w:t>It therefore argued that should DBCM not be successful in prayers 1 -3 and 6 of its notice of motion</w:t>
      </w:r>
      <w:r w:rsidR="001E4938" w:rsidRPr="00DD10E0">
        <w:rPr>
          <w:rFonts w:ascii="Arial" w:hAnsi="Arial" w:cs="Arial"/>
          <w:sz w:val="24"/>
          <w:szCs w:val="24"/>
        </w:rPr>
        <w:t>, in the alternative DBCM</w:t>
      </w:r>
      <w:r w:rsidR="00456955" w:rsidRPr="00DD10E0">
        <w:rPr>
          <w:rFonts w:ascii="Arial" w:hAnsi="Arial" w:cs="Arial"/>
          <w:sz w:val="24"/>
          <w:szCs w:val="24"/>
        </w:rPr>
        <w:t xml:space="preserve"> </w:t>
      </w:r>
      <w:r w:rsidR="001E4938" w:rsidRPr="00DD10E0">
        <w:rPr>
          <w:rFonts w:ascii="Arial" w:hAnsi="Arial" w:cs="Arial"/>
          <w:sz w:val="24"/>
          <w:szCs w:val="24"/>
        </w:rPr>
        <w:t xml:space="preserve">seeks an order that the court direct the </w:t>
      </w:r>
      <w:r w:rsidR="009B02E0">
        <w:rPr>
          <w:rFonts w:ascii="Arial" w:hAnsi="Arial" w:cs="Arial"/>
          <w:sz w:val="24"/>
          <w:szCs w:val="24"/>
        </w:rPr>
        <w:t>3</w:t>
      </w:r>
      <w:r w:rsidR="009B02E0" w:rsidRPr="009B02E0">
        <w:rPr>
          <w:rFonts w:ascii="Arial" w:hAnsi="Arial" w:cs="Arial"/>
          <w:sz w:val="24"/>
          <w:szCs w:val="24"/>
          <w:vertAlign w:val="superscript"/>
        </w:rPr>
        <w:t>rd</w:t>
      </w:r>
      <w:r w:rsidR="009B02E0">
        <w:rPr>
          <w:rFonts w:ascii="Arial" w:hAnsi="Arial" w:cs="Arial"/>
          <w:sz w:val="24"/>
          <w:szCs w:val="24"/>
        </w:rPr>
        <w:t xml:space="preserve"> Respondent</w:t>
      </w:r>
      <w:r w:rsidR="001E4938" w:rsidRPr="00DD10E0">
        <w:rPr>
          <w:rFonts w:ascii="Arial" w:hAnsi="Arial" w:cs="Arial"/>
          <w:sz w:val="24"/>
          <w:szCs w:val="24"/>
        </w:rPr>
        <w:t>, as the ultimate decision maker on appeals, to decide the appeal within a period of 25 days, and communicate such decision to DBCM in 5 days</w:t>
      </w:r>
      <w:r w:rsidR="001E4938" w:rsidRPr="0031026D">
        <w:rPr>
          <w:rFonts w:ascii="Arial" w:hAnsi="Arial" w:cs="Arial"/>
          <w:b/>
          <w:sz w:val="24"/>
          <w:szCs w:val="24"/>
        </w:rPr>
        <w:t xml:space="preserve">. </w:t>
      </w:r>
      <w:r w:rsidR="001E4938" w:rsidRPr="00DD10E0">
        <w:rPr>
          <w:rFonts w:ascii="Arial" w:hAnsi="Arial" w:cs="Arial"/>
          <w:sz w:val="24"/>
          <w:szCs w:val="24"/>
        </w:rPr>
        <w:t>The Minister’s decision on the internal appeal ought to be taken in line with the legal principles relating to closure applications</w:t>
      </w:r>
      <w:r w:rsidR="0059547C" w:rsidRPr="00DD10E0">
        <w:rPr>
          <w:rFonts w:ascii="Arial" w:hAnsi="Arial" w:cs="Arial"/>
          <w:sz w:val="24"/>
          <w:szCs w:val="24"/>
        </w:rPr>
        <w:t>,</w:t>
      </w:r>
      <w:r w:rsidR="001E4938" w:rsidRPr="00DD10E0">
        <w:rPr>
          <w:rFonts w:ascii="Arial" w:hAnsi="Arial" w:cs="Arial"/>
          <w:sz w:val="24"/>
          <w:szCs w:val="24"/>
        </w:rPr>
        <w:t xml:space="preserve"> </w:t>
      </w:r>
      <w:r w:rsidR="00292728" w:rsidRPr="00DD10E0">
        <w:rPr>
          <w:rFonts w:ascii="Arial" w:hAnsi="Arial" w:cs="Arial"/>
          <w:sz w:val="24"/>
          <w:szCs w:val="24"/>
        </w:rPr>
        <w:t xml:space="preserve">as they existed </w:t>
      </w:r>
      <w:r w:rsidR="009B02E0">
        <w:rPr>
          <w:rFonts w:ascii="Arial" w:hAnsi="Arial" w:cs="Arial"/>
          <w:sz w:val="24"/>
          <w:szCs w:val="24"/>
        </w:rPr>
        <w:t xml:space="preserve">in November 2009, </w:t>
      </w:r>
      <w:r w:rsidR="00292728" w:rsidRPr="00DD10E0">
        <w:rPr>
          <w:rFonts w:ascii="Arial" w:hAnsi="Arial" w:cs="Arial"/>
          <w:sz w:val="24"/>
          <w:szCs w:val="24"/>
        </w:rPr>
        <w:t>the time the closure application was lodged.</w:t>
      </w:r>
      <w:r w:rsidR="0031026D" w:rsidRPr="00DD10E0">
        <w:rPr>
          <w:rFonts w:ascii="Arial" w:hAnsi="Arial" w:cs="Arial"/>
          <w:sz w:val="24"/>
          <w:szCs w:val="24"/>
        </w:rPr>
        <w:t xml:space="preserve"> (</w:t>
      </w:r>
      <w:r w:rsidR="009B02E0">
        <w:rPr>
          <w:rFonts w:ascii="Arial" w:hAnsi="Arial" w:cs="Arial"/>
          <w:sz w:val="24"/>
          <w:szCs w:val="24"/>
        </w:rPr>
        <w:t>Although an</w:t>
      </w:r>
      <w:r w:rsidR="003C57F5" w:rsidRPr="00DD10E0">
        <w:rPr>
          <w:rFonts w:ascii="Arial" w:hAnsi="Arial" w:cs="Arial"/>
          <w:sz w:val="24"/>
          <w:szCs w:val="24"/>
        </w:rPr>
        <w:t xml:space="preserve">other </w:t>
      </w:r>
      <w:r w:rsidR="009B02E0">
        <w:rPr>
          <w:rFonts w:ascii="Arial" w:hAnsi="Arial" w:cs="Arial"/>
          <w:sz w:val="24"/>
          <w:szCs w:val="24"/>
        </w:rPr>
        <w:t xml:space="preserve">Application submitted </w:t>
      </w:r>
      <w:r w:rsidR="0031026D" w:rsidRPr="00DD10E0">
        <w:rPr>
          <w:rFonts w:ascii="Arial" w:hAnsi="Arial" w:cs="Arial"/>
          <w:sz w:val="24"/>
          <w:szCs w:val="24"/>
        </w:rPr>
        <w:t>in 2019 with an application to amend the EMPr again)</w:t>
      </w:r>
      <w:r w:rsidR="009B02E0">
        <w:rPr>
          <w:rFonts w:ascii="Arial" w:hAnsi="Arial" w:cs="Arial"/>
          <w:sz w:val="24"/>
          <w:szCs w:val="24"/>
        </w:rPr>
        <w:t>. As li</w:t>
      </w:r>
      <w:r w:rsidR="00292728">
        <w:rPr>
          <w:rFonts w:ascii="Arial" w:hAnsi="Arial" w:cs="Arial"/>
          <w:sz w:val="24"/>
          <w:szCs w:val="24"/>
        </w:rPr>
        <w:t>ttle purpose would be served in directing the 2</w:t>
      </w:r>
      <w:r w:rsidR="00292728" w:rsidRPr="00292728">
        <w:rPr>
          <w:rFonts w:ascii="Arial" w:hAnsi="Arial" w:cs="Arial"/>
          <w:sz w:val="24"/>
          <w:szCs w:val="24"/>
          <w:vertAlign w:val="superscript"/>
        </w:rPr>
        <w:t>nd</w:t>
      </w:r>
      <w:r w:rsidR="00292728">
        <w:rPr>
          <w:rFonts w:ascii="Arial" w:hAnsi="Arial" w:cs="Arial"/>
          <w:sz w:val="24"/>
          <w:szCs w:val="24"/>
        </w:rPr>
        <w:t xml:space="preserve"> Respondent to make a decision since the Minister would be the ultimate decision- maker. Matters have been delayed long enough and DBCM now entitled to an expedited outcome to it</w:t>
      </w:r>
      <w:r w:rsidR="00520FEC">
        <w:rPr>
          <w:rFonts w:ascii="Arial" w:hAnsi="Arial" w:cs="Arial"/>
          <w:sz w:val="24"/>
          <w:szCs w:val="24"/>
        </w:rPr>
        <w:t>s</w:t>
      </w:r>
      <w:r w:rsidR="00292728">
        <w:rPr>
          <w:rFonts w:ascii="Arial" w:hAnsi="Arial" w:cs="Arial"/>
          <w:sz w:val="24"/>
          <w:szCs w:val="24"/>
        </w:rPr>
        <w:t xml:space="preserve"> internal appeal </w:t>
      </w:r>
      <w:r w:rsidR="00456955">
        <w:rPr>
          <w:rFonts w:ascii="Arial" w:hAnsi="Arial" w:cs="Arial"/>
          <w:sz w:val="24"/>
          <w:szCs w:val="24"/>
        </w:rPr>
        <w:t>on those grounds</w:t>
      </w:r>
      <w:r w:rsidR="00E12124">
        <w:rPr>
          <w:rFonts w:ascii="Arial" w:hAnsi="Arial" w:cs="Arial"/>
          <w:sz w:val="24"/>
          <w:szCs w:val="24"/>
        </w:rPr>
        <w:t>.</w:t>
      </w:r>
      <w:r w:rsidR="00456955">
        <w:rPr>
          <w:rFonts w:ascii="Arial" w:hAnsi="Arial" w:cs="Arial"/>
          <w:sz w:val="24"/>
          <w:szCs w:val="24"/>
        </w:rPr>
        <w:t xml:space="preserve"> </w:t>
      </w:r>
      <w:r w:rsidR="002F56BB">
        <w:rPr>
          <w:rFonts w:ascii="Arial" w:hAnsi="Arial" w:cs="Arial"/>
          <w:sz w:val="24"/>
          <w:szCs w:val="24"/>
        </w:rPr>
        <w:t xml:space="preserve"> </w:t>
      </w:r>
      <w:r w:rsidR="00453CE6">
        <w:rPr>
          <w:rFonts w:ascii="Arial" w:hAnsi="Arial" w:cs="Arial"/>
          <w:sz w:val="24"/>
          <w:szCs w:val="24"/>
        </w:rPr>
        <w:t xml:space="preserve">    </w:t>
      </w:r>
    </w:p>
    <w:p w14:paraId="152EB054" w14:textId="77777777" w:rsidR="00453CE6" w:rsidRDefault="00453CE6" w:rsidP="00285F6B">
      <w:pPr>
        <w:spacing w:after="0" w:line="360" w:lineRule="auto"/>
        <w:ind w:left="2160"/>
        <w:jc w:val="both"/>
        <w:rPr>
          <w:rFonts w:ascii="Arial" w:hAnsi="Arial" w:cs="Arial"/>
          <w:sz w:val="24"/>
          <w:szCs w:val="24"/>
        </w:rPr>
      </w:pPr>
    </w:p>
    <w:p w14:paraId="25F9266F" w14:textId="5F94D816" w:rsidR="00C80A05" w:rsidRDefault="00292728" w:rsidP="00E12124">
      <w:pPr>
        <w:spacing w:after="0" w:line="360" w:lineRule="auto"/>
        <w:jc w:val="both"/>
        <w:rPr>
          <w:rFonts w:ascii="Arial" w:hAnsi="Arial" w:cs="Arial"/>
          <w:sz w:val="24"/>
          <w:szCs w:val="24"/>
        </w:rPr>
      </w:pPr>
      <w:r>
        <w:rPr>
          <w:rFonts w:ascii="Arial" w:hAnsi="Arial" w:cs="Arial"/>
          <w:sz w:val="24"/>
          <w:szCs w:val="24"/>
        </w:rPr>
        <w:t>[</w:t>
      </w:r>
      <w:r w:rsidR="003E64CC">
        <w:rPr>
          <w:rFonts w:ascii="Arial" w:hAnsi="Arial" w:cs="Arial"/>
          <w:sz w:val="24"/>
          <w:szCs w:val="24"/>
        </w:rPr>
        <w:t>37</w:t>
      </w:r>
      <w:r w:rsidR="00E12124">
        <w:rPr>
          <w:rFonts w:ascii="Arial" w:hAnsi="Arial" w:cs="Arial"/>
          <w:sz w:val="24"/>
          <w:szCs w:val="24"/>
        </w:rPr>
        <w:t xml:space="preserve">] </w:t>
      </w:r>
      <w:r w:rsidR="00E12124" w:rsidRPr="008B3EF9">
        <w:rPr>
          <w:rFonts w:ascii="Arial" w:hAnsi="Arial" w:cs="Arial"/>
          <w:b/>
          <w:sz w:val="24"/>
          <w:szCs w:val="24"/>
        </w:rPr>
        <w:t>On the</w:t>
      </w:r>
      <w:r w:rsidR="00E12124">
        <w:rPr>
          <w:rFonts w:ascii="Arial" w:hAnsi="Arial" w:cs="Arial"/>
          <w:sz w:val="24"/>
          <w:szCs w:val="24"/>
        </w:rPr>
        <w:t xml:space="preserve"> </w:t>
      </w:r>
      <w:r w:rsidRPr="00574290">
        <w:rPr>
          <w:rFonts w:ascii="Arial" w:hAnsi="Arial" w:cs="Arial"/>
          <w:b/>
          <w:sz w:val="24"/>
          <w:szCs w:val="24"/>
        </w:rPr>
        <w:t>legality challenge</w:t>
      </w:r>
      <w:r>
        <w:rPr>
          <w:rFonts w:ascii="Arial" w:hAnsi="Arial" w:cs="Arial"/>
          <w:sz w:val="24"/>
          <w:szCs w:val="24"/>
        </w:rPr>
        <w:t xml:space="preserve">: </w:t>
      </w:r>
      <w:r w:rsidR="006642E5">
        <w:rPr>
          <w:rFonts w:ascii="Arial" w:hAnsi="Arial" w:cs="Arial"/>
          <w:sz w:val="24"/>
          <w:szCs w:val="24"/>
        </w:rPr>
        <w:t>To the extent that the 1</w:t>
      </w:r>
      <w:r w:rsidR="006642E5" w:rsidRPr="006642E5">
        <w:rPr>
          <w:rFonts w:ascii="Arial" w:hAnsi="Arial" w:cs="Arial"/>
          <w:sz w:val="24"/>
          <w:szCs w:val="24"/>
          <w:vertAlign w:val="superscript"/>
        </w:rPr>
        <w:t>st</w:t>
      </w:r>
      <w:r w:rsidR="006642E5">
        <w:rPr>
          <w:rFonts w:ascii="Arial" w:hAnsi="Arial" w:cs="Arial"/>
          <w:sz w:val="24"/>
          <w:szCs w:val="24"/>
        </w:rPr>
        <w:t xml:space="preserve"> </w:t>
      </w:r>
      <w:r>
        <w:rPr>
          <w:rFonts w:ascii="Arial" w:hAnsi="Arial" w:cs="Arial"/>
          <w:sz w:val="24"/>
          <w:szCs w:val="24"/>
        </w:rPr>
        <w:t>and 2</w:t>
      </w:r>
      <w:r w:rsidRPr="00292728">
        <w:rPr>
          <w:rFonts w:ascii="Arial" w:hAnsi="Arial" w:cs="Arial"/>
          <w:sz w:val="24"/>
          <w:szCs w:val="24"/>
          <w:vertAlign w:val="superscript"/>
        </w:rPr>
        <w:t>nd</w:t>
      </w:r>
      <w:r>
        <w:rPr>
          <w:rFonts w:ascii="Arial" w:hAnsi="Arial" w:cs="Arial"/>
          <w:sz w:val="24"/>
          <w:szCs w:val="24"/>
        </w:rPr>
        <w:t xml:space="preserve"> </w:t>
      </w:r>
      <w:r w:rsidR="006642E5">
        <w:rPr>
          <w:rFonts w:ascii="Arial" w:hAnsi="Arial" w:cs="Arial"/>
          <w:sz w:val="24"/>
          <w:szCs w:val="24"/>
        </w:rPr>
        <w:t xml:space="preserve">Respondent’s </w:t>
      </w:r>
      <w:r>
        <w:rPr>
          <w:rFonts w:ascii="Arial" w:hAnsi="Arial" w:cs="Arial"/>
          <w:sz w:val="24"/>
          <w:szCs w:val="24"/>
        </w:rPr>
        <w:t xml:space="preserve">impugned </w:t>
      </w:r>
      <w:r w:rsidR="006642E5">
        <w:rPr>
          <w:rFonts w:ascii="Arial" w:hAnsi="Arial" w:cs="Arial"/>
          <w:sz w:val="24"/>
          <w:szCs w:val="24"/>
        </w:rPr>
        <w:t xml:space="preserve">decision does not amount to an administrative action, </w:t>
      </w:r>
      <w:r w:rsidR="00C1347D">
        <w:rPr>
          <w:rFonts w:ascii="Arial" w:hAnsi="Arial" w:cs="Arial"/>
          <w:sz w:val="24"/>
          <w:szCs w:val="24"/>
        </w:rPr>
        <w:t xml:space="preserve">DBCM argues that </w:t>
      </w:r>
      <w:r w:rsidR="006642E5">
        <w:rPr>
          <w:rFonts w:ascii="Arial" w:hAnsi="Arial" w:cs="Arial"/>
          <w:sz w:val="24"/>
          <w:szCs w:val="24"/>
        </w:rPr>
        <w:t xml:space="preserve">the decision </w:t>
      </w:r>
      <w:r>
        <w:rPr>
          <w:rFonts w:ascii="Arial" w:hAnsi="Arial" w:cs="Arial"/>
          <w:sz w:val="24"/>
          <w:szCs w:val="24"/>
        </w:rPr>
        <w:t>nevertheless constitutes an unlawful exercise of public power, it being trite that every ex</w:t>
      </w:r>
      <w:r w:rsidR="00C80A05">
        <w:rPr>
          <w:rFonts w:ascii="Arial" w:hAnsi="Arial" w:cs="Arial"/>
          <w:sz w:val="24"/>
          <w:szCs w:val="24"/>
        </w:rPr>
        <w:t>e</w:t>
      </w:r>
      <w:r>
        <w:rPr>
          <w:rFonts w:ascii="Arial" w:hAnsi="Arial" w:cs="Arial"/>
          <w:sz w:val="24"/>
          <w:szCs w:val="24"/>
        </w:rPr>
        <w:t xml:space="preserve">rcise of public power </w:t>
      </w:r>
      <w:r w:rsidR="00C80A05">
        <w:rPr>
          <w:rFonts w:ascii="Arial" w:hAnsi="Arial" w:cs="Arial"/>
          <w:sz w:val="24"/>
          <w:szCs w:val="24"/>
        </w:rPr>
        <w:t xml:space="preserve">must comply with the principle of legality and the rule of law in accordance with s 1 © of the Constitution. </w:t>
      </w:r>
      <w:r w:rsidR="00C80A05" w:rsidRPr="00A11A29">
        <w:rPr>
          <w:rFonts w:ascii="Arial" w:hAnsi="Arial" w:cs="Arial"/>
          <w:sz w:val="24"/>
          <w:szCs w:val="24"/>
        </w:rPr>
        <w:t xml:space="preserve">Irrationality and unlawful </w:t>
      </w:r>
      <w:r w:rsidR="00C80A05" w:rsidRPr="00A11A29">
        <w:rPr>
          <w:rFonts w:ascii="Arial" w:hAnsi="Arial" w:cs="Arial"/>
          <w:sz w:val="24"/>
          <w:szCs w:val="24"/>
        </w:rPr>
        <w:lastRenderedPageBreak/>
        <w:t>conduct violates the principle of legality enshrined in the rule of law</w:t>
      </w:r>
      <w:r w:rsidR="00D03525">
        <w:rPr>
          <w:rFonts w:ascii="Arial" w:hAnsi="Arial" w:cs="Arial"/>
          <w:sz w:val="24"/>
          <w:szCs w:val="24"/>
        </w:rPr>
        <w:t>, a</w:t>
      </w:r>
      <w:r w:rsidR="00C80A05" w:rsidRPr="00A11A29">
        <w:rPr>
          <w:rFonts w:ascii="Arial" w:hAnsi="Arial" w:cs="Arial"/>
          <w:sz w:val="24"/>
          <w:szCs w:val="24"/>
        </w:rPr>
        <w:t xml:space="preserve">s such </w:t>
      </w:r>
      <w:r w:rsidR="00BC62B5">
        <w:rPr>
          <w:rFonts w:ascii="Arial" w:hAnsi="Arial" w:cs="Arial"/>
          <w:sz w:val="24"/>
          <w:szCs w:val="24"/>
        </w:rPr>
        <w:t xml:space="preserve">it would be </w:t>
      </w:r>
      <w:r w:rsidR="00C80A05" w:rsidRPr="00A11A29">
        <w:rPr>
          <w:rFonts w:ascii="Arial" w:hAnsi="Arial" w:cs="Arial"/>
          <w:sz w:val="24"/>
          <w:szCs w:val="24"/>
        </w:rPr>
        <w:t>reviewable</w:t>
      </w:r>
      <w:r w:rsidR="00BC62B5">
        <w:rPr>
          <w:rFonts w:ascii="Arial" w:hAnsi="Arial" w:cs="Arial"/>
          <w:sz w:val="24"/>
          <w:szCs w:val="24"/>
        </w:rPr>
        <w:t xml:space="preserve"> and</w:t>
      </w:r>
      <w:r w:rsidR="00C80A05" w:rsidRPr="00A11A29">
        <w:rPr>
          <w:rFonts w:ascii="Arial" w:hAnsi="Arial" w:cs="Arial"/>
          <w:sz w:val="24"/>
          <w:szCs w:val="24"/>
        </w:rPr>
        <w:t xml:space="preserve"> </w:t>
      </w:r>
      <w:r w:rsidR="006642E5" w:rsidRPr="00A11A29">
        <w:rPr>
          <w:rFonts w:ascii="Arial" w:hAnsi="Arial" w:cs="Arial"/>
          <w:sz w:val="24"/>
          <w:szCs w:val="24"/>
        </w:rPr>
        <w:t xml:space="preserve">can </w:t>
      </w:r>
      <w:r w:rsidR="00C80A05" w:rsidRPr="00A11A29">
        <w:rPr>
          <w:rFonts w:ascii="Arial" w:hAnsi="Arial" w:cs="Arial"/>
          <w:sz w:val="24"/>
          <w:szCs w:val="24"/>
        </w:rPr>
        <w:t xml:space="preserve">therefore </w:t>
      </w:r>
      <w:r w:rsidR="006642E5" w:rsidRPr="00A11A29">
        <w:rPr>
          <w:rFonts w:ascii="Arial" w:hAnsi="Arial" w:cs="Arial"/>
          <w:sz w:val="24"/>
          <w:szCs w:val="24"/>
        </w:rPr>
        <w:t xml:space="preserve">be set aside on that basis.  </w:t>
      </w:r>
    </w:p>
    <w:p w14:paraId="3F711BFD" w14:textId="77777777" w:rsidR="0059547C" w:rsidRDefault="0059547C" w:rsidP="00292728">
      <w:pPr>
        <w:spacing w:after="0" w:line="360" w:lineRule="auto"/>
        <w:ind w:left="1440"/>
        <w:jc w:val="both"/>
        <w:rPr>
          <w:rFonts w:ascii="Arial" w:hAnsi="Arial" w:cs="Arial"/>
          <w:sz w:val="24"/>
          <w:szCs w:val="24"/>
        </w:rPr>
      </w:pPr>
    </w:p>
    <w:p w14:paraId="2BC422D3" w14:textId="783A8ADD" w:rsidR="006642E5" w:rsidRDefault="00A11A29" w:rsidP="00D03525">
      <w:pPr>
        <w:spacing w:after="0" w:line="360" w:lineRule="auto"/>
        <w:ind w:left="720"/>
        <w:jc w:val="both"/>
        <w:rPr>
          <w:rFonts w:ascii="Arial" w:hAnsi="Arial" w:cs="Arial"/>
          <w:sz w:val="24"/>
          <w:szCs w:val="24"/>
        </w:rPr>
      </w:pPr>
      <w:r>
        <w:rPr>
          <w:rFonts w:ascii="Arial" w:hAnsi="Arial" w:cs="Arial"/>
          <w:sz w:val="24"/>
          <w:szCs w:val="24"/>
        </w:rPr>
        <w:t>[</w:t>
      </w:r>
      <w:r w:rsidR="003E64CC">
        <w:rPr>
          <w:rFonts w:ascii="Arial" w:hAnsi="Arial" w:cs="Arial"/>
          <w:sz w:val="24"/>
          <w:szCs w:val="24"/>
        </w:rPr>
        <w:t>37</w:t>
      </w:r>
      <w:r w:rsidR="00D03525">
        <w:rPr>
          <w:rFonts w:ascii="Arial" w:hAnsi="Arial" w:cs="Arial"/>
          <w:sz w:val="24"/>
          <w:szCs w:val="24"/>
        </w:rPr>
        <w:t>.1</w:t>
      </w:r>
      <w:r w:rsidR="0059547C">
        <w:rPr>
          <w:rFonts w:ascii="Arial" w:hAnsi="Arial" w:cs="Arial"/>
          <w:sz w:val="24"/>
          <w:szCs w:val="24"/>
        </w:rPr>
        <w:t>]</w:t>
      </w:r>
      <w:r w:rsidR="0059547C">
        <w:rPr>
          <w:rFonts w:ascii="Arial" w:hAnsi="Arial" w:cs="Arial"/>
          <w:sz w:val="24"/>
          <w:szCs w:val="24"/>
        </w:rPr>
        <w:tab/>
      </w:r>
      <w:r w:rsidR="00C80A05">
        <w:rPr>
          <w:rFonts w:ascii="Arial" w:hAnsi="Arial" w:cs="Arial"/>
          <w:sz w:val="24"/>
          <w:szCs w:val="24"/>
        </w:rPr>
        <w:t xml:space="preserve">DBCM </w:t>
      </w:r>
      <w:r w:rsidR="00D03525">
        <w:rPr>
          <w:rFonts w:ascii="Arial" w:hAnsi="Arial" w:cs="Arial"/>
          <w:sz w:val="24"/>
          <w:szCs w:val="24"/>
        </w:rPr>
        <w:t xml:space="preserve">further </w:t>
      </w:r>
      <w:r w:rsidR="00C80A05">
        <w:rPr>
          <w:rFonts w:ascii="Arial" w:hAnsi="Arial" w:cs="Arial"/>
          <w:sz w:val="24"/>
          <w:szCs w:val="24"/>
        </w:rPr>
        <w:t>argue</w:t>
      </w:r>
      <w:r w:rsidR="0052181C">
        <w:rPr>
          <w:rFonts w:ascii="Arial" w:hAnsi="Arial" w:cs="Arial"/>
          <w:sz w:val="24"/>
          <w:szCs w:val="24"/>
        </w:rPr>
        <w:t>d that the 1</w:t>
      </w:r>
      <w:r w:rsidR="0052181C" w:rsidRPr="0052181C">
        <w:rPr>
          <w:rFonts w:ascii="Arial" w:hAnsi="Arial" w:cs="Arial"/>
          <w:sz w:val="24"/>
          <w:szCs w:val="24"/>
          <w:vertAlign w:val="superscript"/>
        </w:rPr>
        <w:t>st</w:t>
      </w:r>
      <w:r w:rsidR="0052181C">
        <w:rPr>
          <w:rFonts w:ascii="Arial" w:hAnsi="Arial" w:cs="Arial"/>
          <w:sz w:val="24"/>
          <w:szCs w:val="24"/>
        </w:rPr>
        <w:t xml:space="preserve"> Respondent’s </w:t>
      </w:r>
      <w:r w:rsidR="005E4DD7">
        <w:rPr>
          <w:rFonts w:ascii="Arial" w:hAnsi="Arial" w:cs="Arial"/>
          <w:sz w:val="24"/>
          <w:szCs w:val="24"/>
        </w:rPr>
        <w:t>refusal to process and decide the application as well a</w:t>
      </w:r>
      <w:r w:rsidR="0052181C">
        <w:rPr>
          <w:rFonts w:ascii="Arial" w:hAnsi="Arial" w:cs="Arial"/>
          <w:sz w:val="24"/>
          <w:szCs w:val="24"/>
        </w:rPr>
        <w:t>s</w:t>
      </w:r>
      <w:r w:rsidR="005E4DD7">
        <w:rPr>
          <w:rFonts w:ascii="Arial" w:hAnsi="Arial" w:cs="Arial"/>
          <w:sz w:val="24"/>
          <w:szCs w:val="24"/>
        </w:rPr>
        <w:t xml:space="preserve"> the 2</w:t>
      </w:r>
      <w:r w:rsidR="005E4DD7" w:rsidRPr="005E4DD7">
        <w:rPr>
          <w:rFonts w:ascii="Arial" w:hAnsi="Arial" w:cs="Arial"/>
          <w:sz w:val="24"/>
          <w:szCs w:val="24"/>
          <w:vertAlign w:val="superscript"/>
        </w:rPr>
        <w:t>nd</w:t>
      </w:r>
      <w:r w:rsidR="00C80A05">
        <w:rPr>
          <w:rFonts w:ascii="Arial" w:hAnsi="Arial" w:cs="Arial"/>
          <w:sz w:val="24"/>
          <w:szCs w:val="24"/>
        </w:rPr>
        <w:t xml:space="preserve"> </w:t>
      </w:r>
      <w:r w:rsidR="005E4DD7">
        <w:rPr>
          <w:rFonts w:ascii="Arial" w:hAnsi="Arial" w:cs="Arial"/>
          <w:sz w:val="24"/>
          <w:szCs w:val="24"/>
        </w:rPr>
        <w:t xml:space="preserve">Respondent’s failure to decide the </w:t>
      </w:r>
      <w:r w:rsidR="00D03525">
        <w:rPr>
          <w:rFonts w:ascii="Arial" w:hAnsi="Arial" w:cs="Arial"/>
          <w:sz w:val="24"/>
          <w:szCs w:val="24"/>
        </w:rPr>
        <w:t xml:space="preserve">internal </w:t>
      </w:r>
      <w:r w:rsidR="005E4DD7">
        <w:rPr>
          <w:rFonts w:ascii="Arial" w:hAnsi="Arial" w:cs="Arial"/>
          <w:sz w:val="24"/>
          <w:szCs w:val="24"/>
        </w:rPr>
        <w:t>appeal a</w:t>
      </w:r>
      <w:r w:rsidR="00D03525">
        <w:rPr>
          <w:rFonts w:ascii="Arial" w:hAnsi="Arial" w:cs="Arial"/>
          <w:sz w:val="24"/>
          <w:szCs w:val="24"/>
        </w:rPr>
        <w:t xml:space="preserve">nd </w:t>
      </w:r>
      <w:r w:rsidR="005E4DD7">
        <w:rPr>
          <w:rFonts w:ascii="Arial" w:hAnsi="Arial" w:cs="Arial"/>
          <w:sz w:val="24"/>
          <w:szCs w:val="24"/>
        </w:rPr>
        <w:t>1</w:t>
      </w:r>
      <w:r w:rsidR="005E4DD7" w:rsidRPr="005E4DD7">
        <w:rPr>
          <w:rFonts w:ascii="Arial" w:hAnsi="Arial" w:cs="Arial"/>
          <w:sz w:val="24"/>
          <w:szCs w:val="24"/>
          <w:vertAlign w:val="superscript"/>
        </w:rPr>
        <w:t>st</w:t>
      </w:r>
      <w:r w:rsidR="005E4DD7">
        <w:rPr>
          <w:rFonts w:ascii="Arial" w:hAnsi="Arial" w:cs="Arial"/>
          <w:sz w:val="24"/>
          <w:szCs w:val="24"/>
        </w:rPr>
        <w:t xml:space="preserve"> Respondent </w:t>
      </w:r>
      <w:r w:rsidR="00D03525">
        <w:rPr>
          <w:rFonts w:ascii="Arial" w:hAnsi="Arial" w:cs="Arial"/>
          <w:sz w:val="24"/>
          <w:szCs w:val="24"/>
        </w:rPr>
        <w:t>refusal</w:t>
      </w:r>
      <w:r w:rsidR="005E4DD7">
        <w:rPr>
          <w:rFonts w:ascii="Arial" w:hAnsi="Arial" w:cs="Arial"/>
          <w:sz w:val="24"/>
          <w:szCs w:val="24"/>
        </w:rPr>
        <w:t xml:space="preserve"> and or failure to process or decide the closure application </w:t>
      </w:r>
      <w:r w:rsidR="0052181C">
        <w:rPr>
          <w:rFonts w:ascii="Arial" w:hAnsi="Arial" w:cs="Arial"/>
          <w:sz w:val="24"/>
          <w:szCs w:val="24"/>
        </w:rPr>
        <w:t>was not only unreasonable but also irrational and for that reason too, unlawful.</w:t>
      </w:r>
      <w:r w:rsidR="0041788A">
        <w:rPr>
          <w:rFonts w:ascii="Arial" w:hAnsi="Arial" w:cs="Arial"/>
          <w:sz w:val="24"/>
          <w:szCs w:val="24"/>
        </w:rPr>
        <w:t xml:space="preserve"> Even though they would then be of no force or effect</w:t>
      </w:r>
      <w:r w:rsidR="00D03525">
        <w:rPr>
          <w:rFonts w:ascii="Arial" w:hAnsi="Arial" w:cs="Arial"/>
          <w:sz w:val="24"/>
          <w:szCs w:val="24"/>
        </w:rPr>
        <w:t>,</w:t>
      </w:r>
      <w:r w:rsidR="0041788A">
        <w:rPr>
          <w:rFonts w:ascii="Arial" w:hAnsi="Arial" w:cs="Arial"/>
          <w:sz w:val="24"/>
          <w:szCs w:val="24"/>
        </w:rPr>
        <w:t xml:space="preserve"> </w:t>
      </w:r>
      <w:r w:rsidR="00D03525">
        <w:rPr>
          <w:rFonts w:ascii="Arial" w:hAnsi="Arial" w:cs="Arial"/>
          <w:sz w:val="24"/>
          <w:szCs w:val="24"/>
        </w:rPr>
        <w:t xml:space="preserve"> </w:t>
      </w:r>
      <w:r w:rsidR="0052181C">
        <w:rPr>
          <w:rFonts w:ascii="Arial" w:hAnsi="Arial" w:cs="Arial"/>
          <w:sz w:val="24"/>
          <w:szCs w:val="24"/>
        </w:rPr>
        <w:t xml:space="preserve">an administrative action </w:t>
      </w:r>
      <w:r w:rsidR="0041788A">
        <w:rPr>
          <w:rFonts w:ascii="Arial" w:hAnsi="Arial" w:cs="Arial"/>
          <w:sz w:val="24"/>
          <w:szCs w:val="24"/>
        </w:rPr>
        <w:t xml:space="preserve">is </w:t>
      </w:r>
      <w:r w:rsidR="0052181C">
        <w:rPr>
          <w:rFonts w:ascii="Arial" w:hAnsi="Arial" w:cs="Arial"/>
          <w:sz w:val="24"/>
          <w:szCs w:val="24"/>
        </w:rPr>
        <w:t>valid despite the patent irrationality or unlawfulness</w:t>
      </w:r>
      <w:r w:rsidR="00D03525">
        <w:rPr>
          <w:rFonts w:ascii="Arial" w:hAnsi="Arial" w:cs="Arial"/>
          <w:sz w:val="24"/>
          <w:szCs w:val="24"/>
        </w:rPr>
        <w:t xml:space="preserve">, </w:t>
      </w:r>
      <w:r w:rsidR="0052181C">
        <w:rPr>
          <w:rFonts w:ascii="Arial" w:hAnsi="Arial" w:cs="Arial"/>
          <w:sz w:val="24"/>
          <w:szCs w:val="24"/>
        </w:rPr>
        <w:t xml:space="preserve"> until it is set aside by the court of law</w:t>
      </w:r>
      <w:r w:rsidR="00D03525">
        <w:rPr>
          <w:rFonts w:ascii="Arial" w:hAnsi="Arial" w:cs="Arial"/>
          <w:sz w:val="24"/>
          <w:szCs w:val="24"/>
        </w:rPr>
        <w:t>,</w:t>
      </w:r>
      <w:r w:rsidR="0052181C">
        <w:rPr>
          <w:rFonts w:ascii="Arial" w:hAnsi="Arial" w:cs="Arial"/>
          <w:sz w:val="24"/>
          <w:szCs w:val="24"/>
        </w:rPr>
        <w:t xml:space="preserve"> hence the Application, either in terms of PAJA or principle of illegality.   </w:t>
      </w:r>
    </w:p>
    <w:p w14:paraId="50C9BC3E" w14:textId="77777777" w:rsidR="003911D5" w:rsidRDefault="003911D5" w:rsidP="00C2342C">
      <w:pPr>
        <w:spacing w:after="0" w:line="360" w:lineRule="auto"/>
        <w:ind w:left="720"/>
        <w:jc w:val="both"/>
        <w:rPr>
          <w:rFonts w:ascii="Arial" w:hAnsi="Arial" w:cs="Arial"/>
          <w:sz w:val="24"/>
          <w:szCs w:val="24"/>
        </w:rPr>
      </w:pPr>
    </w:p>
    <w:p w14:paraId="3F2B971B" w14:textId="0667FC85" w:rsidR="00925D7E" w:rsidRDefault="00C1176D" w:rsidP="00C1176D">
      <w:pPr>
        <w:spacing w:after="0" w:line="360" w:lineRule="auto"/>
        <w:jc w:val="both"/>
        <w:rPr>
          <w:rFonts w:ascii="Arial" w:hAnsi="Arial" w:cs="Arial"/>
          <w:sz w:val="24"/>
          <w:szCs w:val="24"/>
        </w:rPr>
      </w:pPr>
      <w:r>
        <w:rPr>
          <w:rFonts w:ascii="Arial" w:hAnsi="Arial" w:cs="Arial"/>
          <w:sz w:val="24"/>
          <w:szCs w:val="24"/>
        </w:rPr>
        <w:t>[</w:t>
      </w:r>
      <w:r w:rsidR="003E64CC">
        <w:rPr>
          <w:rFonts w:ascii="Arial" w:hAnsi="Arial" w:cs="Arial"/>
          <w:sz w:val="24"/>
          <w:szCs w:val="24"/>
        </w:rPr>
        <w:t>38</w:t>
      </w:r>
      <w:r w:rsidR="003911D5">
        <w:rPr>
          <w:rFonts w:ascii="Arial" w:hAnsi="Arial" w:cs="Arial"/>
          <w:sz w:val="24"/>
          <w:szCs w:val="24"/>
        </w:rPr>
        <w:t xml:space="preserve">] </w:t>
      </w:r>
      <w:r>
        <w:rPr>
          <w:rFonts w:ascii="Arial" w:hAnsi="Arial" w:cs="Arial"/>
          <w:sz w:val="24"/>
          <w:szCs w:val="24"/>
        </w:rPr>
        <w:tab/>
      </w:r>
      <w:r w:rsidR="00574290" w:rsidRPr="003911D5">
        <w:rPr>
          <w:rFonts w:ascii="Arial" w:hAnsi="Arial" w:cs="Arial"/>
          <w:b/>
          <w:sz w:val="24"/>
          <w:szCs w:val="24"/>
        </w:rPr>
        <w:t>Compliance with s 7 (2) of PAJA</w:t>
      </w:r>
      <w:r w:rsidR="00EC5D2D">
        <w:rPr>
          <w:rFonts w:ascii="Arial" w:hAnsi="Arial" w:cs="Arial"/>
          <w:b/>
          <w:sz w:val="24"/>
          <w:szCs w:val="24"/>
        </w:rPr>
        <w:t xml:space="preserve"> (Condonation</w:t>
      </w:r>
      <w:r>
        <w:rPr>
          <w:rFonts w:ascii="Arial" w:hAnsi="Arial" w:cs="Arial"/>
          <w:b/>
          <w:sz w:val="24"/>
          <w:szCs w:val="24"/>
        </w:rPr>
        <w:t>): -</w:t>
      </w:r>
      <w:r w:rsidR="003911D5">
        <w:rPr>
          <w:rFonts w:ascii="Arial" w:hAnsi="Arial" w:cs="Arial"/>
          <w:b/>
          <w:sz w:val="24"/>
          <w:szCs w:val="24"/>
        </w:rPr>
        <w:t xml:space="preserve"> </w:t>
      </w:r>
      <w:r w:rsidR="003911D5">
        <w:rPr>
          <w:rFonts w:ascii="Arial" w:hAnsi="Arial" w:cs="Arial"/>
          <w:sz w:val="24"/>
          <w:szCs w:val="24"/>
        </w:rPr>
        <w:t>In terms of s 7 (1) and (2)</w:t>
      </w:r>
      <w:r w:rsidR="003911D5">
        <w:rPr>
          <w:rStyle w:val="FootnoteReference"/>
          <w:rFonts w:ascii="Arial" w:hAnsi="Arial" w:cs="Arial"/>
          <w:sz w:val="24"/>
          <w:szCs w:val="24"/>
        </w:rPr>
        <w:footnoteReference w:id="8"/>
      </w:r>
      <w:r w:rsidR="003911D5">
        <w:rPr>
          <w:rFonts w:ascii="Arial" w:hAnsi="Arial" w:cs="Arial"/>
          <w:sz w:val="24"/>
          <w:szCs w:val="24"/>
        </w:rPr>
        <w:t xml:space="preserve"> of the MPRDA any proceedings for judicial review in terms of s 6 (1) must be instituted without reasonable delay </w:t>
      </w:r>
      <w:r w:rsidR="00C36A45">
        <w:rPr>
          <w:rFonts w:ascii="Arial" w:hAnsi="Arial" w:cs="Arial"/>
          <w:sz w:val="24"/>
          <w:szCs w:val="24"/>
        </w:rPr>
        <w:t xml:space="preserve">and not later than 180 days </w:t>
      </w:r>
      <w:r w:rsidR="00BC5505">
        <w:rPr>
          <w:rFonts w:ascii="Arial" w:hAnsi="Arial" w:cs="Arial"/>
          <w:sz w:val="24"/>
          <w:szCs w:val="24"/>
        </w:rPr>
        <w:t>after the date on which any proceedings instituted in terms of the internal remedies has been concluded or where there are no internal remedies</w:t>
      </w:r>
      <w:r w:rsidR="00590579">
        <w:rPr>
          <w:rFonts w:ascii="Arial" w:hAnsi="Arial" w:cs="Arial"/>
          <w:sz w:val="24"/>
          <w:szCs w:val="24"/>
        </w:rPr>
        <w:t>,</w:t>
      </w:r>
      <w:r w:rsidR="00BC5505">
        <w:rPr>
          <w:rFonts w:ascii="Arial" w:hAnsi="Arial" w:cs="Arial"/>
          <w:sz w:val="24"/>
          <w:szCs w:val="24"/>
        </w:rPr>
        <w:t xml:space="preserve"> on which the person concerned</w:t>
      </w:r>
      <w:r w:rsidR="00590579">
        <w:rPr>
          <w:rFonts w:ascii="Arial" w:hAnsi="Arial" w:cs="Arial"/>
          <w:sz w:val="24"/>
          <w:szCs w:val="24"/>
        </w:rPr>
        <w:t xml:space="preserve"> became aware of the </w:t>
      </w:r>
      <w:r w:rsidR="00F43A87">
        <w:rPr>
          <w:rFonts w:ascii="Arial" w:hAnsi="Arial" w:cs="Arial"/>
          <w:sz w:val="24"/>
          <w:szCs w:val="24"/>
        </w:rPr>
        <w:t xml:space="preserve">administrative </w:t>
      </w:r>
      <w:r w:rsidR="00590579">
        <w:rPr>
          <w:rFonts w:ascii="Arial" w:hAnsi="Arial" w:cs="Arial"/>
          <w:sz w:val="24"/>
          <w:szCs w:val="24"/>
        </w:rPr>
        <w:t xml:space="preserve">action and reasons for it or might have reasonably have been expected to have become aware of the action and the reasons. </w:t>
      </w:r>
      <w:r w:rsidRPr="00C1176D">
        <w:rPr>
          <w:rFonts w:ascii="Arial" w:hAnsi="Arial" w:cs="Arial"/>
          <w:sz w:val="24"/>
          <w:szCs w:val="24"/>
        </w:rPr>
        <w:t>In accordance with s 96</w:t>
      </w:r>
      <w:r w:rsidRPr="003911D5">
        <w:rPr>
          <w:rFonts w:ascii="Arial" w:hAnsi="Arial" w:cs="Arial"/>
          <w:sz w:val="24"/>
          <w:szCs w:val="24"/>
        </w:rPr>
        <w:t xml:space="preserve"> (3)</w:t>
      </w:r>
      <w:r>
        <w:rPr>
          <w:rFonts w:ascii="Arial" w:hAnsi="Arial" w:cs="Arial"/>
          <w:sz w:val="24"/>
          <w:szCs w:val="24"/>
        </w:rPr>
        <w:t>,</w:t>
      </w:r>
      <w:r w:rsidRPr="003911D5">
        <w:rPr>
          <w:rFonts w:ascii="Arial" w:hAnsi="Arial" w:cs="Arial"/>
          <w:sz w:val="24"/>
          <w:szCs w:val="24"/>
        </w:rPr>
        <w:t xml:space="preserve"> No person may apply to court for a review of an administrative </w:t>
      </w:r>
      <w:r>
        <w:rPr>
          <w:rFonts w:ascii="Arial" w:hAnsi="Arial" w:cs="Arial"/>
          <w:sz w:val="24"/>
          <w:szCs w:val="24"/>
        </w:rPr>
        <w:t xml:space="preserve">decision unless such a person has exhausted his or her remedies </w:t>
      </w:r>
      <w:r w:rsidRPr="003911D5">
        <w:rPr>
          <w:rFonts w:ascii="Arial" w:hAnsi="Arial" w:cs="Arial"/>
          <w:sz w:val="24"/>
          <w:szCs w:val="24"/>
        </w:rPr>
        <w:t>in</w:t>
      </w:r>
      <w:r>
        <w:rPr>
          <w:rFonts w:ascii="Arial" w:hAnsi="Arial" w:cs="Arial"/>
          <w:sz w:val="24"/>
          <w:szCs w:val="24"/>
        </w:rPr>
        <w:t xml:space="preserve"> terms of s 96 (1) of the MPRDA. </w:t>
      </w:r>
      <w:r w:rsidR="00590579">
        <w:rPr>
          <w:rFonts w:ascii="Arial" w:hAnsi="Arial" w:cs="Arial"/>
          <w:sz w:val="24"/>
          <w:szCs w:val="24"/>
        </w:rPr>
        <w:t xml:space="preserve">If a court </w:t>
      </w:r>
      <w:r w:rsidR="00590579">
        <w:rPr>
          <w:rFonts w:ascii="Arial" w:hAnsi="Arial" w:cs="Arial"/>
          <w:sz w:val="24"/>
          <w:szCs w:val="24"/>
        </w:rPr>
        <w:lastRenderedPageBreak/>
        <w:t xml:space="preserve">is not satisfied that any internal remedy exhausted, the court or tribunal may direct that the person concerned must first exhaust such remedy </w:t>
      </w:r>
      <w:r w:rsidR="00520FEC">
        <w:rPr>
          <w:rFonts w:ascii="Arial" w:hAnsi="Arial" w:cs="Arial"/>
          <w:sz w:val="24"/>
          <w:szCs w:val="24"/>
        </w:rPr>
        <w:t xml:space="preserve">before instituting proceedings in a court of law for judicial review. A court may in exceptional circumstances and on application by the person concerned exempt such a person from the obligation to exhaust any internal remedy if the court or tribunal deem it to be in the interest of justice.  </w:t>
      </w:r>
    </w:p>
    <w:p w14:paraId="5536DB9B" w14:textId="77777777" w:rsidR="00925D7E" w:rsidRDefault="00925D7E" w:rsidP="00925D7E">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164469B4" w14:textId="568C23B6" w:rsidR="009C2112" w:rsidRDefault="00A11A29" w:rsidP="00041111">
      <w:pPr>
        <w:tabs>
          <w:tab w:val="left" w:pos="567"/>
        </w:tabs>
        <w:spacing w:after="0" w:line="360" w:lineRule="auto"/>
        <w:ind w:left="567"/>
        <w:jc w:val="both"/>
        <w:rPr>
          <w:rFonts w:ascii="Arial" w:hAnsi="Arial" w:cs="Arial"/>
          <w:sz w:val="24"/>
          <w:szCs w:val="24"/>
        </w:rPr>
      </w:pPr>
      <w:r>
        <w:rPr>
          <w:rFonts w:ascii="Arial" w:hAnsi="Arial" w:cs="Arial"/>
          <w:sz w:val="24"/>
          <w:szCs w:val="24"/>
        </w:rPr>
        <w:tab/>
        <w:t>[</w:t>
      </w:r>
      <w:r w:rsidR="003E64CC">
        <w:rPr>
          <w:rFonts w:ascii="Arial" w:hAnsi="Arial" w:cs="Arial"/>
          <w:sz w:val="24"/>
          <w:szCs w:val="24"/>
        </w:rPr>
        <w:t>38</w:t>
      </w:r>
      <w:r w:rsidR="00041111">
        <w:rPr>
          <w:rFonts w:ascii="Arial" w:hAnsi="Arial" w:cs="Arial"/>
          <w:sz w:val="24"/>
          <w:szCs w:val="24"/>
        </w:rPr>
        <w:t>.1]</w:t>
      </w:r>
      <w:r w:rsidR="00041111">
        <w:rPr>
          <w:rFonts w:ascii="Arial" w:hAnsi="Arial" w:cs="Arial"/>
          <w:sz w:val="24"/>
          <w:szCs w:val="24"/>
        </w:rPr>
        <w:tab/>
      </w:r>
      <w:r w:rsidR="00925D7E">
        <w:rPr>
          <w:rFonts w:ascii="Arial" w:hAnsi="Arial" w:cs="Arial"/>
          <w:sz w:val="24"/>
          <w:szCs w:val="24"/>
        </w:rPr>
        <w:t xml:space="preserve">DBCM contends that it has complied with </w:t>
      </w:r>
      <w:r w:rsidR="00925D7E" w:rsidRPr="00925D7E">
        <w:rPr>
          <w:rFonts w:ascii="Arial" w:hAnsi="Arial" w:cs="Arial"/>
          <w:sz w:val="24"/>
          <w:szCs w:val="24"/>
        </w:rPr>
        <w:t xml:space="preserve">the requirement to exhaust internal processes </w:t>
      </w:r>
      <w:r w:rsidR="00925D7E">
        <w:rPr>
          <w:rFonts w:ascii="Arial" w:hAnsi="Arial" w:cs="Arial"/>
          <w:sz w:val="24"/>
          <w:szCs w:val="24"/>
        </w:rPr>
        <w:t>to the extent possible and should not be forced to go to court to force the 2</w:t>
      </w:r>
      <w:r w:rsidR="00925D7E" w:rsidRPr="00925D7E">
        <w:rPr>
          <w:rFonts w:ascii="Arial" w:hAnsi="Arial" w:cs="Arial"/>
          <w:sz w:val="24"/>
          <w:szCs w:val="24"/>
          <w:vertAlign w:val="superscript"/>
        </w:rPr>
        <w:t>nd</w:t>
      </w:r>
      <w:r w:rsidR="00925D7E">
        <w:rPr>
          <w:rFonts w:ascii="Arial" w:hAnsi="Arial" w:cs="Arial"/>
          <w:sz w:val="24"/>
          <w:szCs w:val="24"/>
        </w:rPr>
        <w:t xml:space="preserve"> Respondent to perform his statutory duties before bringing an application to grant relief which the 2</w:t>
      </w:r>
      <w:r w:rsidR="00925D7E" w:rsidRPr="00925D7E">
        <w:rPr>
          <w:rFonts w:ascii="Arial" w:hAnsi="Arial" w:cs="Arial"/>
          <w:sz w:val="24"/>
          <w:szCs w:val="24"/>
          <w:vertAlign w:val="superscript"/>
        </w:rPr>
        <w:t>nd</w:t>
      </w:r>
      <w:r w:rsidR="00925D7E">
        <w:rPr>
          <w:rFonts w:ascii="Arial" w:hAnsi="Arial" w:cs="Arial"/>
          <w:sz w:val="24"/>
          <w:szCs w:val="24"/>
        </w:rPr>
        <w:t xml:space="preserve"> Respondent ought, but failed, to grant by upholding DCBM’s internal appeal. </w:t>
      </w:r>
      <w:r w:rsidR="00925D7E" w:rsidRPr="007243C1">
        <w:rPr>
          <w:rFonts w:ascii="Arial" w:hAnsi="Arial" w:cs="Arial"/>
          <w:sz w:val="24"/>
          <w:szCs w:val="24"/>
        </w:rPr>
        <w:t>However</w:t>
      </w:r>
      <w:r w:rsidR="00041111">
        <w:rPr>
          <w:rFonts w:ascii="Arial" w:hAnsi="Arial" w:cs="Arial"/>
          <w:sz w:val="24"/>
          <w:szCs w:val="24"/>
        </w:rPr>
        <w:t>,</w:t>
      </w:r>
      <w:r w:rsidR="00925D7E" w:rsidRPr="007243C1">
        <w:rPr>
          <w:rFonts w:ascii="Arial" w:hAnsi="Arial" w:cs="Arial"/>
          <w:sz w:val="24"/>
          <w:szCs w:val="24"/>
        </w:rPr>
        <w:t xml:space="preserve"> should the court not be satisfied that DBCM complied, there is n</w:t>
      </w:r>
      <w:r w:rsidR="00512152" w:rsidRPr="007243C1">
        <w:rPr>
          <w:rFonts w:ascii="Arial" w:hAnsi="Arial" w:cs="Arial"/>
          <w:sz w:val="24"/>
          <w:szCs w:val="24"/>
        </w:rPr>
        <w:t>o</w:t>
      </w:r>
      <w:r w:rsidR="00925D7E" w:rsidRPr="007243C1">
        <w:rPr>
          <w:rFonts w:ascii="Arial" w:hAnsi="Arial" w:cs="Arial"/>
          <w:sz w:val="24"/>
          <w:szCs w:val="24"/>
        </w:rPr>
        <w:t xml:space="preserve"> definition of what is referred to as exceptional circumstances in the statute</w:t>
      </w:r>
      <w:r w:rsidR="00925D7E">
        <w:rPr>
          <w:rFonts w:ascii="Arial" w:hAnsi="Arial" w:cs="Arial"/>
          <w:sz w:val="24"/>
          <w:szCs w:val="24"/>
        </w:rPr>
        <w:t xml:space="preserve"> and submit that </w:t>
      </w:r>
      <w:r w:rsidR="00F94687">
        <w:rPr>
          <w:rFonts w:ascii="Arial" w:hAnsi="Arial" w:cs="Arial"/>
          <w:sz w:val="24"/>
          <w:szCs w:val="24"/>
        </w:rPr>
        <w:t xml:space="preserve">it </w:t>
      </w:r>
      <w:r w:rsidR="00925D7E">
        <w:rPr>
          <w:rFonts w:ascii="Arial" w:hAnsi="Arial" w:cs="Arial"/>
          <w:sz w:val="24"/>
          <w:szCs w:val="24"/>
        </w:rPr>
        <w:t>depend</w:t>
      </w:r>
      <w:r w:rsidR="00F94687">
        <w:rPr>
          <w:rFonts w:ascii="Arial" w:hAnsi="Arial" w:cs="Arial"/>
          <w:sz w:val="24"/>
          <w:szCs w:val="24"/>
        </w:rPr>
        <w:t>s</w:t>
      </w:r>
      <w:r w:rsidR="00925D7E">
        <w:rPr>
          <w:rFonts w:ascii="Arial" w:hAnsi="Arial" w:cs="Arial"/>
          <w:sz w:val="24"/>
          <w:szCs w:val="24"/>
        </w:rPr>
        <w:t xml:space="preserve"> on the facts and circumstances of a particular case</w:t>
      </w:r>
      <w:r w:rsidR="00512152">
        <w:rPr>
          <w:rFonts w:ascii="Arial" w:hAnsi="Arial" w:cs="Arial"/>
          <w:sz w:val="24"/>
          <w:szCs w:val="24"/>
        </w:rPr>
        <w:t xml:space="preserve"> and the nature of the administrative action in issue and the out of the ordinary circumstances that render it inappropriate for the court to require the s 7 (2) Applicant to first exhaust the internal remedy. DBCM submits that circumstances in this matter are such as to require the immediate intervention of the courts rather than await exhaustion of internal remedies</w:t>
      </w:r>
      <w:r w:rsidR="003C57F5">
        <w:rPr>
          <w:rFonts w:ascii="Arial" w:hAnsi="Arial" w:cs="Arial"/>
          <w:sz w:val="24"/>
          <w:szCs w:val="24"/>
        </w:rPr>
        <w:t xml:space="preserve"> alleging that it </w:t>
      </w:r>
      <w:r w:rsidR="00953648">
        <w:rPr>
          <w:rFonts w:ascii="Arial" w:hAnsi="Arial" w:cs="Arial"/>
          <w:sz w:val="24"/>
          <w:szCs w:val="24"/>
        </w:rPr>
        <w:t xml:space="preserve">in good faith took reasonable steps to exhaust available remedies with a view </w:t>
      </w:r>
      <w:r w:rsidR="00ED34B8">
        <w:rPr>
          <w:rFonts w:ascii="Arial" w:hAnsi="Arial" w:cs="Arial"/>
          <w:sz w:val="24"/>
          <w:szCs w:val="24"/>
        </w:rPr>
        <w:t>to obtaining administrative redress by noting an appeal with 2</w:t>
      </w:r>
      <w:r w:rsidR="00ED34B8" w:rsidRPr="00ED34B8">
        <w:rPr>
          <w:rFonts w:ascii="Arial" w:hAnsi="Arial" w:cs="Arial"/>
          <w:sz w:val="24"/>
          <w:szCs w:val="24"/>
          <w:vertAlign w:val="superscript"/>
        </w:rPr>
        <w:t>nd</w:t>
      </w:r>
      <w:r w:rsidR="00ED34B8">
        <w:rPr>
          <w:rFonts w:ascii="Arial" w:hAnsi="Arial" w:cs="Arial"/>
          <w:sz w:val="24"/>
          <w:szCs w:val="24"/>
        </w:rPr>
        <w:t xml:space="preserve"> Respondent.</w:t>
      </w:r>
      <w:r w:rsidR="00953648">
        <w:rPr>
          <w:rFonts w:ascii="Arial" w:hAnsi="Arial" w:cs="Arial"/>
          <w:sz w:val="24"/>
          <w:szCs w:val="24"/>
        </w:rPr>
        <w:t xml:space="preserve"> </w:t>
      </w:r>
      <w:r w:rsidR="00F43A87">
        <w:rPr>
          <w:rFonts w:ascii="Arial" w:hAnsi="Arial" w:cs="Arial"/>
          <w:sz w:val="24"/>
          <w:szCs w:val="24"/>
        </w:rPr>
        <w:t>It</w:t>
      </w:r>
      <w:r w:rsidR="006D22C1">
        <w:rPr>
          <w:rFonts w:ascii="Arial" w:hAnsi="Arial" w:cs="Arial"/>
          <w:sz w:val="24"/>
          <w:szCs w:val="24"/>
        </w:rPr>
        <w:t xml:space="preserve">s </w:t>
      </w:r>
      <w:r w:rsidR="00C84692">
        <w:rPr>
          <w:rFonts w:ascii="Arial" w:hAnsi="Arial" w:cs="Arial"/>
          <w:sz w:val="24"/>
          <w:szCs w:val="24"/>
        </w:rPr>
        <w:t>case</w:t>
      </w:r>
      <w:r w:rsidR="006D22C1">
        <w:rPr>
          <w:rFonts w:ascii="Arial" w:hAnsi="Arial" w:cs="Arial"/>
          <w:sz w:val="24"/>
          <w:szCs w:val="24"/>
        </w:rPr>
        <w:t xml:space="preserve"> </w:t>
      </w:r>
      <w:r w:rsidR="00C84692">
        <w:rPr>
          <w:rFonts w:ascii="Arial" w:hAnsi="Arial" w:cs="Arial"/>
          <w:sz w:val="24"/>
          <w:szCs w:val="24"/>
        </w:rPr>
        <w:t>distinguishable from t</w:t>
      </w:r>
      <w:r w:rsidR="00512152">
        <w:rPr>
          <w:rFonts w:ascii="Arial" w:hAnsi="Arial" w:cs="Arial"/>
          <w:sz w:val="24"/>
          <w:szCs w:val="24"/>
        </w:rPr>
        <w:t xml:space="preserve">he </w:t>
      </w:r>
      <w:r w:rsidR="00C84692">
        <w:rPr>
          <w:rFonts w:ascii="Arial" w:hAnsi="Arial" w:cs="Arial"/>
          <w:sz w:val="24"/>
          <w:szCs w:val="24"/>
        </w:rPr>
        <w:t xml:space="preserve">cases for which </w:t>
      </w:r>
      <w:r w:rsidR="00512152">
        <w:rPr>
          <w:rFonts w:ascii="Arial" w:hAnsi="Arial" w:cs="Arial"/>
          <w:sz w:val="24"/>
          <w:szCs w:val="24"/>
        </w:rPr>
        <w:t xml:space="preserve">internal </w:t>
      </w:r>
      <w:r w:rsidR="00C84692">
        <w:rPr>
          <w:rFonts w:ascii="Arial" w:hAnsi="Arial" w:cs="Arial"/>
          <w:sz w:val="24"/>
          <w:szCs w:val="24"/>
        </w:rPr>
        <w:t xml:space="preserve">appeal procedure provided, </w:t>
      </w:r>
      <w:r w:rsidR="006D22C1" w:rsidRPr="007243C1">
        <w:rPr>
          <w:rFonts w:ascii="Arial" w:hAnsi="Arial" w:cs="Arial"/>
          <w:sz w:val="24"/>
          <w:szCs w:val="24"/>
        </w:rPr>
        <w:t xml:space="preserve">as </w:t>
      </w:r>
      <w:r w:rsidR="00C84692" w:rsidRPr="007243C1">
        <w:rPr>
          <w:rFonts w:ascii="Arial" w:hAnsi="Arial" w:cs="Arial"/>
          <w:sz w:val="24"/>
          <w:szCs w:val="24"/>
        </w:rPr>
        <w:t xml:space="preserve">where internal procedure would not be effective and its pursuit futile, </w:t>
      </w:r>
      <w:r w:rsidR="006D22C1" w:rsidRPr="007243C1">
        <w:rPr>
          <w:rFonts w:ascii="Arial" w:hAnsi="Arial" w:cs="Arial"/>
          <w:sz w:val="24"/>
          <w:szCs w:val="24"/>
        </w:rPr>
        <w:t>a</w:t>
      </w:r>
      <w:r w:rsidR="00C84692" w:rsidRPr="007243C1">
        <w:rPr>
          <w:rFonts w:ascii="Arial" w:hAnsi="Arial" w:cs="Arial"/>
          <w:sz w:val="24"/>
          <w:szCs w:val="24"/>
        </w:rPr>
        <w:t xml:space="preserve"> court may allow a litigant to approach it directly. So too where the internal appellant tribunal has developed </w:t>
      </w:r>
      <w:r w:rsidR="00953648" w:rsidRPr="007243C1">
        <w:rPr>
          <w:rFonts w:ascii="Arial" w:hAnsi="Arial" w:cs="Arial"/>
          <w:sz w:val="24"/>
          <w:szCs w:val="24"/>
        </w:rPr>
        <w:t xml:space="preserve">a </w:t>
      </w:r>
      <w:r w:rsidR="00C84692" w:rsidRPr="007243C1">
        <w:rPr>
          <w:rFonts w:ascii="Arial" w:hAnsi="Arial" w:cs="Arial"/>
          <w:sz w:val="24"/>
          <w:szCs w:val="24"/>
        </w:rPr>
        <w:t xml:space="preserve">rigid policy </w:t>
      </w:r>
      <w:r w:rsidR="00953648" w:rsidRPr="007243C1">
        <w:rPr>
          <w:rFonts w:ascii="Arial" w:hAnsi="Arial" w:cs="Arial"/>
          <w:sz w:val="24"/>
          <w:szCs w:val="24"/>
        </w:rPr>
        <w:t>which render the exhaustion of internal processes rigid.</w:t>
      </w:r>
      <w:r w:rsidR="00953648" w:rsidRPr="00EC5D2D">
        <w:rPr>
          <w:rFonts w:ascii="Arial" w:hAnsi="Arial" w:cs="Arial"/>
          <w:sz w:val="24"/>
          <w:szCs w:val="24"/>
          <w:u w:val="single"/>
        </w:rPr>
        <w:t xml:space="preserve"> </w:t>
      </w:r>
      <w:r w:rsidR="00ED34B8">
        <w:rPr>
          <w:rFonts w:ascii="Arial" w:hAnsi="Arial" w:cs="Arial"/>
          <w:sz w:val="24"/>
          <w:szCs w:val="24"/>
        </w:rPr>
        <w:t>I</w:t>
      </w:r>
      <w:r w:rsidR="00953648">
        <w:rPr>
          <w:rFonts w:ascii="Arial" w:hAnsi="Arial" w:cs="Arial"/>
          <w:sz w:val="24"/>
          <w:szCs w:val="24"/>
        </w:rPr>
        <w:t>t argues</w:t>
      </w:r>
      <w:r w:rsidR="00383B1C">
        <w:rPr>
          <w:rFonts w:ascii="Arial" w:hAnsi="Arial" w:cs="Arial"/>
          <w:sz w:val="24"/>
          <w:szCs w:val="24"/>
        </w:rPr>
        <w:t xml:space="preserve">, </w:t>
      </w:r>
      <w:r w:rsidR="00953648">
        <w:rPr>
          <w:rFonts w:ascii="Arial" w:hAnsi="Arial" w:cs="Arial"/>
          <w:sz w:val="24"/>
          <w:szCs w:val="24"/>
        </w:rPr>
        <w:t xml:space="preserve">that exceptional circumstances may require that failure to comply </w:t>
      </w:r>
      <w:r w:rsidR="00ED34B8">
        <w:rPr>
          <w:rFonts w:ascii="Arial" w:hAnsi="Arial" w:cs="Arial"/>
          <w:sz w:val="24"/>
          <w:szCs w:val="24"/>
        </w:rPr>
        <w:t xml:space="preserve">or non-exhaustion of internal proceedings </w:t>
      </w:r>
      <w:r w:rsidR="00953648">
        <w:rPr>
          <w:rFonts w:ascii="Arial" w:hAnsi="Arial" w:cs="Arial"/>
          <w:sz w:val="24"/>
          <w:szCs w:val="24"/>
        </w:rPr>
        <w:t xml:space="preserve">be condoned </w:t>
      </w:r>
      <w:r w:rsidR="00ED34B8">
        <w:rPr>
          <w:rFonts w:ascii="Arial" w:hAnsi="Arial" w:cs="Arial"/>
          <w:sz w:val="24"/>
          <w:szCs w:val="24"/>
        </w:rPr>
        <w:t xml:space="preserve">and proceed with judicial review nonetheless. The requirement that remedies be exhausted not being </w:t>
      </w:r>
      <w:r w:rsidR="009C2112">
        <w:rPr>
          <w:rFonts w:ascii="Arial" w:hAnsi="Arial" w:cs="Arial"/>
          <w:sz w:val="24"/>
          <w:szCs w:val="24"/>
        </w:rPr>
        <w:t>absolute</w:t>
      </w:r>
      <w:r w:rsidR="006D22C1">
        <w:rPr>
          <w:rFonts w:ascii="Arial" w:hAnsi="Arial" w:cs="Arial"/>
          <w:sz w:val="24"/>
          <w:szCs w:val="24"/>
        </w:rPr>
        <w:t>.</w:t>
      </w:r>
    </w:p>
    <w:p w14:paraId="37305770" w14:textId="77777777" w:rsidR="009C2112" w:rsidRDefault="009C2112" w:rsidP="00041111">
      <w:pPr>
        <w:tabs>
          <w:tab w:val="left" w:pos="567"/>
        </w:tabs>
        <w:spacing w:after="0" w:line="360" w:lineRule="auto"/>
        <w:jc w:val="both"/>
        <w:rPr>
          <w:rFonts w:ascii="Arial" w:hAnsi="Arial" w:cs="Arial"/>
          <w:sz w:val="24"/>
          <w:szCs w:val="24"/>
        </w:rPr>
      </w:pPr>
    </w:p>
    <w:p w14:paraId="7EEB5A79" w14:textId="74CF71D5" w:rsidR="00D07FEA" w:rsidRDefault="009C2112" w:rsidP="00A25D3E">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A25D3E">
        <w:rPr>
          <w:rFonts w:ascii="Arial" w:hAnsi="Arial" w:cs="Arial"/>
          <w:sz w:val="24"/>
          <w:szCs w:val="24"/>
        </w:rPr>
        <w:t>[</w:t>
      </w:r>
      <w:r w:rsidR="003E64CC">
        <w:rPr>
          <w:rFonts w:ascii="Arial" w:hAnsi="Arial" w:cs="Arial"/>
          <w:sz w:val="24"/>
          <w:szCs w:val="24"/>
        </w:rPr>
        <w:t>38</w:t>
      </w:r>
      <w:r w:rsidR="00A25D3E">
        <w:rPr>
          <w:rFonts w:ascii="Arial" w:hAnsi="Arial" w:cs="Arial"/>
          <w:sz w:val="24"/>
          <w:szCs w:val="24"/>
        </w:rPr>
        <w:t>.2]</w:t>
      </w:r>
      <w:r>
        <w:rPr>
          <w:rFonts w:ascii="Arial" w:hAnsi="Arial" w:cs="Arial"/>
          <w:sz w:val="24"/>
          <w:szCs w:val="24"/>
        </w:rPr>
        <w:tab/>
        <w:t xml:space="preserve">DBCM argues that it has complied with the time frames </w:t>
      </w:r>
      <w:r w:rsidR="00F94687">
        <w:rPr>
          <w:rFonts w:ascii="Arial" w:hAnsi="Arial" w:cs="Arial"/>
          <w:sz w:val="24"/>
          <w:szCs w:val="24"/>
        </w:rPr>
        <w:t xml:space="preserve">requirements </w:t>
      </w:r>
      <w:r>
        <w:rPr>
          <w:rFonts w:ascii="Arial" w:hAnsi="Arial" w:cs="Arial"/>
          <w:sz w:val="24"/>
          <w:szCs w:val="24"/>
        </w:rPr>
        <w:t xml:space="preserve">prescribed in terms of the MPRDA for an internal appeal had followed up in respect of the progress of the appeal. </w:t>
      </w:r>
      <w:r w:rsidR="002A1DAD">
        <w:rPr>
          <w:rFonts w:ascii="Arial" w:hAnsi="Arial" w:cs="Arial"/>
          <w:sz w:val="24"/>
          <w:szCs w:val="24"/>
        </w:rPr>
        <w:t xml:space="preserve">It has however been frustrated by the DMRE in its efforts to exhaust the internal remedy which has unreasonably </w:t>
      </w:r>
      <w:r w:rsidR="002A1DAD">
        <w:rPr>
          <w:rFonts w:ascii="Arial" w:hAnsi="Arial" w:cs="Arial"/>
          <w:sz w:val="24"/>
          <w:szCs w:val="24"/>
        </w:rPr>
        <w:lastRenderedPageBreak/>
        <w:t>delayed processing the appeal and offered no explanation in this respect. DMRE</w:t>
      </w:r>
      <w:r w:rsidR="006D22C1">
        <w:rPr>
          <w:rFonts w:ascii="Arial" w:hAnsi="Arial" w:cs="Arial"/>
          <w:sz w:val="24"/>
          <w:szCs w:val="24"/>
        </w:rPr>
        <w:t>’s</w:t>
      </w:r>
      <w:r w:rsidR="002A1DAD">
        <w:rPr>
          <w:rFonts w:ascii="Arial" w:hAnsi="Arial" w:cs="Arial"/>
          <w:sz w:val="24"/>
          <w:szCs w:val="24"/>
        </w:rPr>
        <w:t xml:space="preserve"> conduct and delay causing prejudice to DBCM. </w:t>
      </w:r>
    </w:p>
    <w:p w14:paraId="5F2449ED" w14:textId="77777777" w:rsidR="00D07FEA" w:rsidRDefault="00D07FEA" w:rsidP="009C2112">
      <w:pPr>
        <w:tabs>
          <w:tab w:val="left" w:pos="567"/>
        </w:tabs>
        <w:spacing w:after="0" w:line="360" w:lineRule="auto"/>
        <w:ind w:left="2160" w:hanging="2160"/>
        <w:jc w:val="both"/>
        <w:rPr>
          <w:rFonts w:ascii="Arial" w:hAnsi="Arial" w:cs="Arial"/>
          <w:sz w:val="24"/>
          <w:szCs w:val="24"/>
        </w:rPr>
      </w:pPr>
    </w:p>
    <w:p w14:paraId="29DB385E" w14:textId="6F082521" w:rsidR="00022ECD" w:rsidRDefault="00D07FEA" w:rsidP="00022ECD">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w:t>
      </w:r>
      <w:r w:rsidR="003E64CC">
        <w:rPr>
          <w:rFonts w:ascii="Arial" w:hAnsi="Arial" w:cs="Arial"/>
          <w:sz w:val="24"/>
          <w:szCs w:val="24"/>
        </w:rPr>
        <w:t>38</w:t>
      </w:r>
      <w:r w:rsidR="00022ECD">
        <w:rPr>
          <w:rFonts w:ascii="Arial" w:hAnsi="Arial" w:cs="Arial"/>
          <w:sz w:val="24"/>
          <w:szCs w:val="24"/>
        </w:rPr>
        <w:t>.</w:t>
      </w:r>
      <w:r w:rsidR="003E64CC">
        <w:rPr>
          <w:rFonts w:ascii="Arial" w:hAnsi="Arial" w:cs="Arial"/>
          <w:sz w:val="24"/>
          <w:szCs w:val="24"/>
        </w:rPr>
        <w:t>3</w:t>
      </w:r>
      <w:r>
        <w:rPr>
          <w:rFonts w:ascii="Arial" w:hAnsi="Arial" w:cs="Arial"/>
          <w:sz w:val="24"/>
          <w:szCs w:val="24"/>
        </w:rPr>
        <w:t>]</w:t>
      </w:r>
      <w:r>
        <w:rPr>
          <w:rFonts w:ascii="Arial" w:hAnsi="Arial" w:cs="Arial"/>
          <w:sz w:val="24"/>
          <w:szCs w:val="24"/>
        </w:rPr>
        <w:tab/>
      </w:r>
      <w:r w:rsidR="002A1DAD">
        <w:rPr>
          <w:rFonts w:ascii="Arial" w:hAnsi="Arial" w:cs="Arial"/>
          <w:sz w:val="24"/>
          <w:szCs w:val="24"/>
        </w:rPr>
        <w:t>It further argued that it had good prospects of success in respect of the review application which is an important fact to consider in determining whether it should</w:t>
      </w:r>
      <w:r w:rsidR="005469CB">
        <w:rPr>
          <w:rFonts w:ascii="Arial" w:hAnsi="Arial" w:cs="Arial"/>
          <w:sz w:val="24"/>
          <w:szCs w:val="24"/>
        </w:rPr>
        <w:t>,</w:t>
      </w:r>
      <w:r w:rsidR="002A1DAD">
        <w:rPr>
          <w:rFonts w:ascii="Arial" w:hAnsi="Arial" w:cs="Arial"/>
          <w:sz w:val="24"/>
          <w:szCs w:val="24"/>
        </w:rPr>
        <w:t xml:space="preserve"> </w:t>
      </w:r>
      <w:r w:rsidR="005469CB">
        <w:rPr>
          <w:rFonts w:ascii="Arial" w:hAnsi="Arial" w:cs="Arial"/>
          <w:sz w:val="24"/>
          <w:szCs w:val="24"/>
        </w:rPr>
        <w:t xml:space="preserve">in the interest of justice, </w:t>
      </w:r>
      <w:r w:rsidR="002A1DAD">
        <w:rPr>
          <w:rFonts w:ascii="Arial" w:hAnsi="Arial" w:cs="Arial"/>
          <w:sz w:val="24"/>
          <w:szCs w:val="24"/>
        </w:rPr>
        <w:t>be exempted from the obligation to exhaust internal remedies</w:t>
      </w:r>
      <w:r w:rsidR="005469CB">
        <w:rPr>
          <w:rFonts w:ascii="Arial" w:hAnsi="Arial" w:cs="Arial"/>
          <w:sz w:val="24"/>
          <w:szCs w:val="24"/>
        </w:rPr>
        <w:t xml:space="preserve">. Also that </w:t>
      </w:r>
      <w:r w:rsidR="002A1DAD">
        <w:rPr>
          <w:rFonts w:ascii="Arial" w:hAnsi="Arial" w:cs="Arial"/>
          <w:sz w:val="24"/>
          <w:szCs w:val="24"/>
        </w:rPr>
        <w:t>any non-observance of the PAJA requirement not flagrant and gross</w:t>
      </w:r>
      <w:r w:rsidR="00022ECD">
        <w:rPr>
          <w:rFonts w:ascii="Arial" w:hAnsi="Arial" w:cs="Arial"/>
          <w:sz w:val="24"/>
          <w:szCs w:val="24"/>
        </w:rPr>
        <w:t xml:space="preserve"> and its </w:t>
      </w:r>
      <w:r w:rsidR="002A1DAD">
        <w:rPr>
          <w:rFonts w:ascii="Arial" w:hAnsi="Arial" w:cs="Arial"/>
          <w:sz w:val="24"/>
          <w:szCs w:val="24"/>
        </w:rPr>
        <w:t xml:space="preserve">explanation not vague and inadequate. </w:t>
      </w:r>
      <w:r w:rsidR="00370DBA">
        <w:rPr>
          <w:rFonts w:ascii="Arial" w:hAnsi="Arial" w:cs="Arial"/>
          <w:sz w:val="24"/>
          <w:szCs w:val="24"/>
        </w:rPr>
        <w:t xml:space="preserve">It ought to be permitted </w:t>
      </w:r>
      <w:r w:rsidR="00AA1879">
        <w:rPr>
          <w:rFonts w:ascii="Arial" w:hAnsi="Arial" w:cs="Arial"/>
          <w:sz w:val="24"/>
          <w:szCs w:val="24"/>
        </w:rPr>
        <w:t xml:space="preserve">to approach </w:t>
      </w:r>
      <w:r w:rsidR="00370DBA">
        <w:rPr>
          <w:rFonts w:ascii="Arial" w:hAnsi="Arial" w:cs="Arial"/>
          <w:sz w:val="24"/>
          <w:szCs w:val="24"/>
        </w:rPr>
        <w:t xml:space="preserve">the court </w:t>
      </w:r>
      <w:r w:rsidR="00AA1879">
        <w:rPr>
          <w:rFonts w:ascii="Arial" w:hAnsi="Arial" w:cs="Arial"/>
          <w:sz w:val="24"/>
          <w:szCs w:val="24"/>
        </w:rPr>
        <w:t xml:space="preserve">directly. </w:t>
      </w:r>
      <w:r w:rsidR="00EE1A9D">
        <w:rPr>
          <w:rFonts w:ascii="Arial" w:hAnsi="Arial" w:cs="Arial"/>
          <w:sz w:val="24"/>
          <w:szCs w:val="24"/>
        </w:rPr>
        <w:t xml:space="preserve">By doing so </w:t>
      </w:r>
      <w:r w:rsidR="00AA1879">
        <w:rPr>
          <w:rFonts w:ascii="Arial" w:hAnsi="Arial" w:cs="Arial"/>
          <w:sz w:val="24"/>
          <w:szCs w:val="24"/>
        </w:rPr>
        <w:t xml:space="preserve">the autonomy of the administrative process </w:t>
      </w:r>
      <w:r w:rsidR="00FD0428">
        <w:rPr>
          <w:rFonts w:ascii="Arial" w:hAnsi="Arial" w:cs="Arial"/>
          <w:sz w:val="24"/>
          <w:szCs w:val="24"/>
        </w:rPr>
        <w:t xml:space="preserve">will not be undermined </w:t>
      </w:r>
      <w:r w:rsidR="00AA1879">
        <w:rPr>
          <w:rFonts w:ascii="Arial" w:hAnsi="Arial" w:cs="Arial"/>
          <w:sz w:val="24"/>
          <w:szCs w:val="24"/>
        </w:rPr>
        <w:t>considering that the higher administrative body, the 2</w:t>
      </w:r>
      <w:r w:rsidR="00AA1879" w:rsidRPr="00AA1879">
        <w:rPr>
          <w:rFonts w:ascii="Arial" w:hAnsi="Arial" w:cs="Arial"/>
          <w:sz w:val="24"/>
          <w:szCs w:val="24"/>
          <w:vertAlign w:val="superscript"/>
        </w:rPr>
        <w:t>nd</w:t>
      </w:r>
      <w:r w:rsidR="00AA1879">
        <w:rPr>
          <w:rFonts w:ascii="Arial" w:hAnsi="Arial" w:cs="Arial"/>
          <w:sz w:val="24"/>
          <w:szCs w:val="24"/>
        </w:rPr>
        <w:t xml:space="preserve"> Respondent </w:t>
      </w:r>
      <w:r w:rsidR="00FD0428">
        <w:rPr>
          <w:rFonts w:ascii="Arial" w:hAnsi="Arial" w:cs="Arial"/>
          <w:sz w:val="24"/>
          <w:szCs w:val="24"/>
        </w:rPr>
        <w:t xml:space="preserve">was </w:t>
      </w:r>
      <w:r w:rsidR="00AA1879">
        <w:rPr>
          <w:rFonts w:ascii="Arial" w:hAnsi="Arial" w:cs="Arial"/>
          <w:sz w:val="24"/>
          <w:szCs w:val="24"/>
        </w:rPr>
        <w:t xml:space="preserve">given </w:t>
      </w:r>
      <w:r w:rsidR="00FD0428">
        <w:rPr>
          <w:rFonts w:ascii="Arial" w:hAnsi="Arial" w:cs="Arial"/>
          <w:sz w:val="24"/>
          <w:szCs w:val="24"/>
        </w:rPr>
        <w:t xml:space="preserve">an </w:t>
      </w:r>
      <w:r w:rsidR="00AA1879">
        <w:rPr>
          <w:rFonts w:ascii="Arial" w:hAnsi="Arial" w:cs="Arial"/>
          <w:sz w:val="24"/>
          <w:szCs w:val="24"/>
        </w:rPr>
        <w:t xml:space="preserve">opportunity to exhaust its own existing mechanism, </w:t>
      </w:r>
      <w:r w:rsidR="00FD0428">
        <w:rPr>
          <w:rFonts w:ascii="Arial" w:hAnsi="Arial" w:cs="Arial"/>
          <w:sz w:val="24"/>
          <w:szCs w:val="24"/>
        </w:rPr>
        <w:t xml:space="preserve">and </w:t>
      </w:r>
      <w:r w:rsidR="00AA1879">
        <w:rPr>
          <w:rFonts w:ascii="Arial" w:hAnsi="Arial" w:cs="Arial"/>
          <w:sz w:val="24"/>
          <w:szCs w:val="24"/>
        </w:rPr>
        <w:t xml:space="preserve">failed to make a decision. </w:t>
      </w:r>
      <w:r w:rsidR="00022ECD">
        <w:rPr>
          <w:rFonts w:ascii="Arial" w:hAnsi="Arial" w:cs="Arial"/>
          <w:sz w:val="24"/>
          <w:szCs w:val="24"/>
        </w:rPr>
        <w:t>In view of the facts and circumstances indicated, i</w:t>
      </w:r>
      <w:r w:rsidR="00393512">
        <w:rPr>
          <w:rFonts w:ascii="Arial" w:hAnsi="Arial" w:cs="Arial"/>
          <w:sz w:val="24"/>
          <w:szCs w:val="24"/>
        </w:rPr>
        <w:t xml:space="preserve">t </w:t>
      </w:r>
      <w:r w:rsidR="00022ECD">
        <w:rPr>
          <w:rFonts w:ascii="Arial" w:hAnsi="Arial" w:cs="Arial"/>
          <w:sz w:val="24"/>
          <w:szCs w:val="24"/>
        </w:rPr>
        <w:t xml:space="preserve">would be </w:t>
      </w:r>
      <w:r w:rsidR="00393512">
        <w:rPr>
          <w:rFonts w:ascii="Arial" w:hAnsi="Arial" w:cs="Arial"/>
          <w:sz w:val="24"/>
          <w:szCs w:val="24"/>
        </w:rPr>
        <w:t>in the interest of justice that DBCM be granted condonation</w:t>
      </w:r>
      <w:r w:rsidR="00EE1A9D">
        <w:rPr>
          <w:rFonts w:ascii="Arial" w:hAnsi="Arial" w:cs="Arial"/>
          <w:sz w:val="24"/>
          <w:szCs w:val="24"/>
        </w:rPr>
        <w:t xml:space="preserve">. It </w:t>
      </w:r>
      <w:r w:rsidR="00393512">
        <w:rPr>
          <w:rFonts w:ascii="Arial" w:hAnsi="Arial" w:cs="Arial"/>
          <w:sz w:val="24"/>
          <w:szCs w:val="24"/>
        </w:rPr>
        <w:t>cannot be in the interest of justice that the decisions of the 1</w:t>
      </w:r>
      <w:r w:rsidR="00393512" w:rsidRPr="00393512">
        <w:rPr>
          <w:rFonts w:ascii="Arial" w:hAnsi="Arial" w:cs="Arial"/>
          <w:sz w:val="24"/>
          <w:szCs w:val="24"/>
          <w:vertAlign w:val="superscript"/>
        </w:rPr>
        <w:t>st</w:t>
      </w:r>
      <w:r w:rsidR="00393512">
        <w:rPr>
          <w:rFonts w:ascii="Arial" w:hAnsi="Arial" w:cs="Arial"/>
          <w:sz w:val="24"/>
          <w:szCs w:val="24"/>
        </w:rPr>
        <w:t xml:space="preserve"> and 2</w:t>
      </w:r>
      <w:r w:rsidR="00393512" w:rsidRPr="00393512">
        <w:rPr>
          <w:rFonts w:ascii="Arial" w:hAnsi="Arial" w:cs="Arial"/>
          <w:sz w:val="24"/>
          <w:szCs w:val="24"/>
          <w:vertAlign w:val="superscript"/>
        </w:rPr>
        <w:t>nd</w:t>
      </w:r>
      <w:r w:rsidR="00393512">
        <w:rPr>
          <w:rFonts w:ascii="Arial" w:hAnsi="Arial" w:cs="Arial"/>
          <w:sz w:val="24"/>
          <w:szCs w:val="24"/>
        </w:rPr>
        <w:t xml:space="preserve"> Respondent</w:t>
      </w:r>
      <w:r w:rsidR="00873A6E">
        <w:rPr>
          <w:rFonts w:ascii="Arial" w:hAnsi="Arial" w:cs="Arial"/>
          <w:sz w:val="24"/>
          <w:szCs w:val="24"/>
        </w:rPr>
        <w:t xml:space="preserve">, which according to it are clearly unlawful </w:t>
      </w:r>
      <w:r w:rsidR="00393512">
        <w:rPr>
          <w:rFonts w:ascii="Arial" w:hAnsi="Arial" w:cs="Arial"/>
          <w:sz w:val="24"/>
          <w:szCs w:val="24"/>
        </w:rPr>
        <w:t>remain beyond challenge.</w:t>
      </w:r>
    </w:p>
    <w:p w14:paraId="2D38F60A" w14:textId="06F96D1A" w:rsidR="00873A6E" w:rsidRDefault="00393512" w:rsidP="00022ECD">
      <w:pPr>
        <w:tabs>
          <w:tab w:val="left" w:pos="567"/>
        </w:tabs>
        <w:spacing w:after="0" w:line="360" w:lineRule="auto"/>
        <w:ind w:left="567" w:hanging="567"/>
        <w:jc w:val="both"/>
        <w:rPr>
          <w:rFonts w:ascii="Arial" w:hAnsi="Arial" w:cs="Arial"/>
          <w:sz w:val="24"/>
          <w:szCs w:val="24"/>
        </w:rPr>
      </w:pPr>
      <w:r>
        <w:rPr>
          <w:rFonts w:ascii="Arial" w:hAnsi="Arial" w:cs="Arial"/>
          <w:sz w:val="24"/>
          <w:szCs w:val="24"/>
        </w:rPr>
        <w:t xml:space="preserve"> </w:t>
      </w:r>
    </w:p>
    <w:p w14:paraId="328BF31F" w14:textId="453814B5" w:rsidR="006D22C1" w:rsidRDefault="00873A6E" w:rsidP="00022ECD">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022ECD">
        <w:rPr>
          <w:rFonts w:ascii="Arial" w:hAnsi="Arial" w:cs="Arial"/>
          <w:sz w:val="24"/>
          <w:szCs w:val="24"/>
        </w:rPr>
        <w:t>[</w:t>
      </w:r>
      <w:r w:rsidR="003E64CC">
        <w:rPr>
          <w:rFonts w:ascii="Arial" w:hAnsi="Arial" w:cs="Arial"/>
          <w:sz w:val="24"/>
          <w:szCs w:val="24"/>
        </w:rPr>
        <w:t>38.4</w:t>
      </w:r>
      <w:r>
        <w:rPr>
          <w:rFonts w:ascii="Arial" w:hAnsi="Arial" w:cs="Arial"/>
          <w:sz w:val="24"/>
          <w:szCs w:val="24"/>
        </w:rPr>
        <w:t>]</w:t>
      </w:r>
      <w:r>
        <w:rPr>
          <w:rFonts w:ascii="Arial" w:hAnsi="Arial" w:cs="Arial"/>
          <w:sz w:val="24"/>
          <w:szCs w:val="24"/>
        </w:rPr>
        <w:tab/>
      </w:r>
      <w:r w:rsidR="003C57F5">
        <w:rPr>
          <w:rFonts w:ascii="Arial" w:hAnsi="Arial" w:cs="Arial"/>
          <w:sz w:val="24"/>
          <w:szCs w:val="24"/>
        </w:rPr>
        <w:t>DBCM</w:t>
      </w:r>
      <w:r>
        <w:rPr>
          <w:rFonts w:ascii="Arial" w:hAnsi="Arial" w:cs="Arial"/>
          <w:sz w:val="24"/>
          <w:szCs w:val="24"/>
        </w:rPr>
        <w:t xml:space="preserve"> </w:t>
      </w:r>
      <w:r w:rsidR="006D22C1">
        <w:rPr>
          <w:rFonts w:ascii="Arial" w:hAnsi="Arial" w:cs="Arial"/>
          <w:sz w:val="24"/>
          <w:szCs w:val="24"/>
        </w:rPr>
        <w:t xml:space="preserve">accordingly </w:t>
      </w:r>
      <w:r>
        <w:rPr>
          <w:rFonts w:ascii="Arial" w:hAnsi="Arial" w:cs="Arial"/>
          <w:sz w:val="24"/>
          <w:szCs w:val="24"/>
        </w:rPr>
        <w:t>submitted that all the aforementioned factors warran</w:t>
      </w:r>
      <w:r w:rsidR="00EC5D2D">
        <w:rPr>
          <w:rFonts w:ascii="Arial" w:hAnsi="Arial" w:cs="Arial"/>
          <w:sz w:val="24"/>
          <w:szCs w:val="24"/>
        </w:rPr>
        <w:t>t</w:t>
      </w:r>
      <w:r>
        <w:rPr>
          <w:rFonts w:ascii="Arial" w:hAnsi="Arial" w:cs="Arial"/>
          <w:sz w:val="24"/>
          <w:szCs w:val="24"/>
        </w:rPr>
        <w:t xml:space="preserve"> </w:t>
      </w:r>
      <w:r w:rsidR="006D22C1">
        <w:rPr>
          <w:rFonts w:ascii="Arial" w:hAnsi="Arial" w:cs="Arial"/>
          <w:sz w:val="24"/>
          <w:szCs w:val="24"/>
        </w:rPr>
        <w:t xml:space="preserve">a </w:t>
      </w:r>
      <w:r>
        <w:rPr>
          <w:rFonts w:ascii="Arial" w:hAnsi="Arial" w:cs="Arial"/>
          <w:sz w:val="24"/>
          <w:szCs w:val="24"/>
        </w:rPr>
        <w:t xml:space="preserve">finding that DBCM is exempted from the obligation to have exhausted the internal remedy of an appeal available to it and prays for such an exemption. </w:t>
      </w:r>
    </w:p>
    <w:p w14:paraId="35650367" w14:textId="77777777" w:rsidR="003C57F5" w:rsidRDefault="003C57F5" w:rsidP="00022ECD">
      <w:pPr>
        <w:tabs>
          <w:tab w:val="left" w:pos="567"/>
        </w:tabs>
        <w:spacing w:after="0" w:line="360" w:lineRule="auto"/>
        <w:jc w:val="both"/>
        <w:rPr>
          <w:rFonts w:ascii="Arial" w:hAnsi="Arial" w:cs="Arial"/>
          <w:b/>
          <w:sz w:val="24"/>
          <w:szCs w:val="24"/>
        </w:rPr>
      </w:pPr>
    </w:p>
    <w:p w14:paraId="6B924D53" w14:textId="7D295313" w:rsidR="006D22C1" w:rsidRPr="00F51138" w:rsidRDefault="006D22C1" w:rsidP="00AA1879">
      <w:pPr>
        <w:tabs>
          <w:tab w:val="left" w:pos="567"/>
        </w:tabs>
        <w:spacing w:after="0" w:line="360" w:lineRule="auto"/>
        <w:ind w:left="2160" w:hanging="2160"/>
        <w:jc w:val="both"/>
        <w:rPr>
          <w:rFonts w:ascii="Arial" w:hAnsi="Arial" w:cs="Arial"/>
          <w:b/>
          <w:sz w:val="24"/>
          <w:szCs w:val="24"/>
        </w:rPr>
      </w:pPr>
      <w:r w:rsidRPr="00F51138">
        <w:rPr>
          <w:rFonts w:ascii="Arial" w:hAnsi="Arial" w:cs="Arial"/>
          <w:b/>
          <w:sz w:val="24"/>
          <w:szCs w:val="24"/>
        </w:rPr>
        <w:t xml:space="preserve">Supplementary </w:t>
      </w:r>
    </w:p>
    <w:p w14:paraId="45A49687" w14:textId="77777777" w:rsidR="003C57F5" w:rsidRDefault="003C57F5" w:rsidP="005C711E">
      <w:pPr>
        <w:tabs>
          <w:tab w:val="left" w:pos="567"/>
        </w:tabs>
        <w:spacing w:after="0" w:line="360" w:lineRule="auto"/>
        <w:ind w:left="720"/>
        <w:jc w:val="both"/>
        <w:rPr>
          <w:rFonts w:ascii="Arial" w:hAnsi="Arial" w:cs="Arial"/>
          <w:sz w:val="24"/>
          <w:szCs w:val="24"/>
        </w:rPr>
      </w:pPr>
    </w:p>
    <w:p w14:paraId="0FA650F2" w14:textId="395520CD" w:rsidR="0021300F" w:rsidRDefault="00FD0428" w:rsidP="00FD0428">
      <w:pPr>
        <w:tabs>
          <w:tab w:val="left" w:pos="567"/>
        </w:tabs>
        <w:spacing w:after="0" w:line="360" w:lineRule="auto"/>
        <w:jc w:val="both"/>
        <w:rPr>
          <w:rFonts w:ascii="Arial" w:hAnsi="Arial" w:cs="Arial"/>
          <w:sz w:val="24"/>
          <w:szCs w:val="24"/>
        </w:rPr>
      </w:pPr>
      <w:r>
        <w:rPr>
          <w:rFonts w:ascii="Arial" w:hAnsi="Arial" w:cs="Arial"/>
          <w:sz w:val="24"/>
          <w:szCs w:val="24"/>
        </w:rPr>
        <w:t>[</w:t>
      </w:r>
      <w:r w:rsidR="003E64CC">
        <w:rPr>
          <w:rFonts w:ascii="Arial" w:hAnsi="Arial" w:cs="Arial"/>
          <w:sz w:val="24"/>
          <w:szCs w:val="24"/>
        </w:rPr>
        <w:t>39</w:t>
      </w:r>
      <w:r>
        <w:rPr>
          <w:rFonts w:ascii="Arial" w:hAnsi="Arial" w:cs="Arial"/>
          <w:sz w:val="24"/>
          <w:szCs w:val="24"/>
        </w:rPr>
        <w:t>]</w:t>
      </w:r>
      <w:r>
        <w:rPr>
          <w:rFonts w:ascii="Arial" w:hAnsi="Arial" w:cs="Arial"/>
          <w:sz w:val="24"/>
          <w:szCs w:val="24"/>
        </w:rPr>
        <w:tab/>
      </w:r>
      <w:r w:rsidR="006D22C1">
        <w:rPr>
          <w:rFonts w:ascii="Arial" w:hAnsi="Arial" w:cs="Arial"/>
          <w:sz w:val="24"/>
          <w:szCs w:val="24"/>
        </w:rPr>
        <w:t xml:space="preserve">In its supplementary Affidavit </w:t>
      </w:r>
      <w:r w:rsidR="007E13E3">
        <w:rPr>
          <w:rFonts w:ascii="Arial" w:hAnsi="Arial" w:cs="Arial"/>
          <w:sz w:val="24"/>
          <w:szCs w:val="24"/>
        </w:rPr>
        <w:t>DBCM</w:t>
      </w:r>
      <w:r w:rsidR="006D22C1">
        <w:rPr>
          <w:rFonts w:ascii="Arial" w:hAnsi="Arial" w:cs="Arial"/>
          <w:sz w:val="24"/>
          <w:szCs w:val="24"/>
        </w:rPr>
        <w:t xml:space="preserve"> pointed </w:t>
      </w:r>
      <w:r w:rsidR="005C711E">
        <w:rPr>
          <w:rFonts w:ascii="Arial" w:hAnsi="Arial" w:cs="Arial"/>
          <w:sz w:val="24"/>
          <w:szCs w:val="24"/>
        </w:rPr>
        <w:t>o</w:t>
      </w:r>
      <w:r w:rsidR="006D22C1">
        <w:rPr>
          <w:rFonts w:ascii="Arial" w:hAnsi="Arial" w:cs="Arial"/>
          <w:sz w:val="24"/>
          <w:szCs w:val="24"/>
        </w:rPr>
        <w:t>ut th</w:t>
      </w:r>
      <w:r w:rsidR="005C711E">
        <w:rPr>
          <w:rFonts w:ascii="Arial" w:hAnsi="Arial" w:cs="Arial"/>
          <w:sz w:val="24"/>
          <w:szCs w:val="24"/>
        </w:rPr>
        <w:t xml:space="preserve">at </w:t>
      </w:r>
      <w:r w:rsidR="006D22C1">
        <w:rPr>
          <w:rFonts w:ascii="Arial" w:hAnsi="Arial" w:cs="Arial"/>
          <w:sz w:val="24"/>
          <w:szCs w:val="24"/>
        </w:rPr>
        <w:t>the recor</w:t>
      </w:r>
      <w:r w:rsidR="005C711E">
        <w:rPr>
          <w:rFonts w:ascii="Arial" w:hAnsi="Arial" w:cs="Arial"/>
          <w:sz w:val="24"/>
          <w:szCs w:val="24"/>
        </w:rPr>
        <w:t>d</w:t>
      </w:r>
      <w:r w:rsidR="006D22C1">
        <w:rPr>
          <w:rFonts w:ascii="Arial" w:hAnsi="Arial" w:cs="Arial"/>
          <w:sz w:val="24"/>
          <w:szCs w:val="24"/>
        </w:rPr>
        <w:t xml:space="preserve"> </w:t>
      </w:r>
      <w:r>
        <w:rPr>
          <w:rFonts w:ascii="Arial" w:hAnsi="Arial" w:cs="Arial"/>
          <w:sz w:val="24"/>
          <w:szCs w:val="24"/>
        </w:rPr>
        <w:t xml:space="preserve">does not have the </w:t>
      </w:r>
      <w:r w:rsidR="005C711E">
        <w:rPr>
          <w:rFonts w:ascii="Arial" w:hAnsi="Arial" w:cs="Arial"/>
          <w:sz w:val="24"/>
          <w:szCs w:val="24"/>
        </w:rPr>
        <w:t xml:space="preserve">reasons </w:t>
      </w:r>
      <w:r w:rsidR="006D22C1">
        <w:rPr>
          <w:rFonts w:ascii="Arial" w:hAnsi="Arial" w:cs="Arial"/>
          <w:sz w:val="24"/>
          <w:szCs w:val="24"/>
        </w:rPr>
        <w:t xml:space="preserve">for refusal to grant the </w:t>
      </w:r>
      <w:r>
        <w:rPr>
          <w:rFonts w:ascii="Arial" w:hAnsi="Arial" w:cs="Arial"/>
          <w:sz w:val="24"/>
          <w:szCs w:val="24"/>
        </w:rPr>
        <w:t>C</w:t>
      </w:r>
      <w:r w:rsidR="006D22C1">
        <w:rPr>
          <w:rFonts w:ascii="Arial" w:hAnsi="Arial" w:cs="Arial"/>
          <w:sz w:val="24"/>
          <w:szCs w:val="24"/>
        </w:rPr>
        <w:t xml:space="preserve">losure Application </w:t>
      </w:r>
      <w:r w:rsidR="005C711E">
        <w:rPr>
          <w:rFonts w:ascii="Arial" w:hAnsi="Arial" w:cs="Arial"/>
          <w:sz w:val="24"/>
          <w:szCs w:val="24"/>
        </w:rPr>
        <w:t xml:space="preserve">and therefore </w:t>
      </w:r>
      <w:r w:rsidR="0031026D">
        <w:rPr>
          <w:rFonts w:ascii="Arial" w:hAnsi="Arial" w:cs="Arial"/>
          <w:sz w:val="24"/>
          <w:szCs w:val="24"/>
        </w:rPr>
        <w:t xml:space="preserve">it </w:t>
      </w:r>
      <w:r w:rsidR="005C711E">
        <w:rPr>
          <w:rFonts w:ascii="Arial" w:hAnsi="Arial" w:cs="Arial"/>
          <w:sz w:val="24"/>
          <w:szCs w:val="24"/>
        </w:rPr>
        <w:t>can be inferred that there were no reasons given</w:t>
      </w:r>
      <w:r w:rsidR="00A44FE6">
        <w:rPr>
          <w:rFonts w:ascii="Arial" w:hAnsi="Arial" w:cs="Arial"/>
          <w:sz w:val="24"/>
          <w:szCs w:val="24"/>
        </w:rPr>
        <w:t xml:space="preserve">. The decision for failure to furnish any reasons, </w:t>
      </w:r>
      <w:r w:rsidR="005C711E">
        <w:rPr>
          <w:rFonts w:ascii="Arial" w:hAnsi="Arial" w:cs="Arial"/>
          <w:sz w:val="24"/>
          <w:szCs w:val="24"/>
        </w:rPr>
        <w:t>by definition irrational. Only facts surrounding the closure application and recommendations post the 1</w:t>
      </w:r>
      <w:r w:rsidR="005C711E" w:rsidRPr="005C711E">
        <w:rPr>
          <w:rFonts w:ascii="Arial" w:hAnsi="Arial" w:cs="Arial"/>
          <w:sz w:val="24"/>
          <w:szCs w:val="24"/>
          <w:vertAlign w:val="superscript"/>
        </w:rPr>
        <w:t>st</w:t>
      </w:r>
      <w:r w:rsidR="005C711E">
        <w:rPr>
          <w:rFonts w:ascii="Arial" w:hAnsi="Arial" w:cs="Arial"/>
          <w:sz w:val="24"/>
          <w:szCs w:val="24"/>
        </w:rPr>
        <w:t xml:space="preserve"> Respondent’s decision </w:t>
      </w:r>
      <w:r w:rsidR="005C711E" w:rsidRPr="003C57F5">
        <w:rPr>
          <w:rFonts w:ascii="Arial" w:hAnsi="Arial" w:cs="Arial"/>
          <w:b/>
          <w:sz w:val="24"/>
          <w:szCs w:val="24"/>
        </w:rPr>
        <w:t>(</w:t>
      </w:r>
      <w:r w:rsidR="005C711E" w:rsidRPr="000D4DEB">
        <w:rPr>
          <w:rFonts w:ascii="Arial" w:hAnsi="Arial" w:cs="Arial"/>
          <w:sz w:val="24"/>
          <w:szCs w:val="24"/>
        </w:rPr>
        <w:t>which recommends the scientific study of the appropriate method to be followed on rehabilitation so that the principle of sustainable development is not compromised</w:t>
      </w:r>
      <w:r w:rsidR="00A44FE6" w:rsidRPr="000D4DEB">
        <w:rPr>
          <w:rFonts w:ascii="Arial" w:hAnsi="Arial" w:cs="Arial"/>
          <w:sz w:val="24"/>
          <w:szCs w:val="24"/>
        </w:rPr>
        <w:t>)</w:t>
      </w:r>
      <w:r w:rsidR="00A462EF" w:rsidRPr="000D4DEB">
        <w:rPr>
          <w:rFonts w:ascii="Arial" w:hAnsi="Arial" w:cs="Arial"/>
          <w:sz w:val="24"/>
          <w:szCs w:val="24"/>
        </w:rPr>
        <w:t xml:space="preserve"> w</w:t>
      </w:r>
      <w:r w:rsidR="007E13E3" w:rsidRPr="000D4DEB">
        <w:rPr>
          <w:rFonts w:ascii="Arial" w:hAnsi="Arial" w:cs="Arial"/>
          <w:sz w:val="24"/>
          <w:szCs w:val="24"/>
        </w:rPr>
        <w:t xml:space="preserve">ere </w:t>
      </w:r>
      <w:r w:rsidR="00A462EF" w:rsidRPr="000D4DEB">
        <w:rPr>
          <w:rFonts w:ascii="Arial" w:hAnsi="Arial" w:cs="Arial"/>
          <w:sz w:val="24"/>
          <w:szCs w:val="24"/>
        </w:rPr>
        <w:t>annexed</w:t>
      </w:r>
      <w:r w:rsidR="005C711E" w:rsidRPr="000D4DEB">
        <w:rPr>
          <w:rFonts w:ascii="Arial" w:hAnsi="Arial" w:cs="Arial"/>
          <w:sz w:val="24"/>
          <w:szCs w:val="24"/>
        </w:rPr>
        <w:t xml:space="preserve">. </w:t>
      </w:r>
      <w:r w:rsidR="007F627F">
        <w:rPr>
          <w:rFonts w:ascii="Arial" w:hAnsi="Arial" w:cs="Arial"/>
          <w:sz w:val="24"/>
          <w:szCs w:val="24"/>
        </w:rPr>
        <w:t>DBCM also argues that the 1</w:t>
      </w:r>
      <w:r w:rsidR="007F627F" w:rsidRPr="007F627F">
        <w:rPr>
          <w:rFonts w:ascii="Arial" w:hAnsi="Arial" w:cs="Arial"/>
          <w:sz w:val="24"/>
          <w:szCs w:val="24"/>
          <w:vertAlign w:val="superscript"/>
        </w:rPr>
        <w:t>st</w:t>
      </w:r>
      <w:r w:rsidR="007F627F">
        <w:rPr>
          <w:rFonts w:ascii="Arial" w:hAnsi="Arial" w:cs="Arial"/>
          <w:sz w:val="24"/>
          <w:szCs w:val="24"/>
        </w:rPr>
        <w:t xml:space="preserve"> Respondent referred to </w:t>
      </w:r>
      <w:r w:rsidR="00A44FE6">
        <w:rPr>
          <w:rFonts w:ascii="Arial" w:hAnsi="Arial" w:cs="Arial"/>
          <w:sz w:val="24"/>
          <w:szCs w:val="24"/>
        </w:rPr>
        <w:t xml:space="preserve">facts </w:t>
      </w:r>
      <w:r w:rsidR="007F627F">
        <w:rPr>
          <w:rFonts w:ascii="Arial" w:hAnsi="Arial" w:cs="Arial"/>
          <w:sz w:val="24"/>
          <w:szCs w:val="24"/>
        </w:rPr>
        <w:t>confined to issues of rehabilitation of the environment in terms of safety to humans and animals and do no go further than that</w:t>
      </w:r>
      <w:r w:rsidR="007E13E3">
        <w:rPr>
          <w:rFonts w:ascii="Arial" w:hAnsi="Arial" w:cs="Arial"/>
          <w:sz w:val="24"/>
          <w:szCs w:val="24"/>
        </w:rPr>
        <w:t xml:space="preserve">, </w:t>
      </w:r>
      <w:r w:rsidR="007F627F">
        <w:rPr>
          <w:rFonts w:ascii="Arial" w:hAnsi="Arial" w:cs="Arial"/>
          <w:sz w:val="24"/>
          <w:szCs w:val="24"/>
        </w:rPr>
        <w:t>therefore limited to those issues.</w:t>
      </w:r>
      <w:r w:rsidR="006D22C1">
        <w:rPr>
          <w:rFonts w:ascii="Arial" w:hAnsi="Arial" w:cs="Arial"/>
          <w:sz w:val="24"/>
          <w:szCs w:val="24"/>
        </w:rPr>
        <w:t xml:space="preserve">  </w:t>
      </w:r>
    </w:p>
    <w:p w14:paraId="4CF4D2C3" w14:textId="77777777" w:rsidR="0021300F" w:rsidRDefault="0021300F" w:rsidP="005C711E">
      <w:pPr>
        <w:tabs>
          <w:tab w:val="left" w:pos="567"/>
        </w:tabs>
        <w:spacing w:after="0" w:line="360" w:lineRule="auto"/>
        <w:ind w:left="720"/>
        <w:jc w:val="both"/>
        <w:rPr>
          <w:rFonts w:ascii="Arial" w:hAnsi="Arial" w:cs="Arial"/>
          <w:sz w:val="24"/>
          <w:szCs w:val="24"/>
        </w:rPr>
      </w:pPr>
    </w:p>
    <w:p w14:paraId="4EC6D126" w14:textId="17960A67" w:rsidR="00A462EF" w:rsidRDefault="0021300F" w:rsidP="00FD0428">
      <w:pPr>
        <w:tabs>
          <w:tab w:val="left" w:pos="567"/>
        </w:tabs>
        <w:spacing w:after="0" w:line="360" w:lineRule="auto"/>
        <w:jc w:val="both"/>
        <w:rPr>
          <w:rFonts w:ascii="Arial" w:hAnsi="Arial" w:cs="Arial"/>
          <w:sz w:val="24"/>
          <w:szCs w:val="24"/>
        </w:rPr>
      </w:pPr>
      <w:r>
        <w:rPr>
          <w:rFonts w:ascii="Arial" w:hAnsi="Arial" w:cs="Arial"/>
          <w:sz w:val="24"/>
          <w:szCs w:val="24"/>
        </w:rPr>
        <w:lastRenderedPageBreak/>
        <w:t>[</w:t>
      </w:r>
      <w:r w:rsidR="00FD0428">
        <w:rPr>
          <w:rFonts w:ascii="Arial" w:hAnsi="Arial" w:cs="Arial"/>
          <w:sz w:val="24"/>
          <w:szCs w:val="24"/>
        </w:rPr>
        <w:t>4</w:t>
      </w:r>
      <w:r w:rsidR="000D4DEB">
        <w:rPr>
          <w:rFonts w:ascii="Arial" w:hAnsi="Arial" w:cs="Arial"/>
          <w:sz w:val="24"/>
          <w:szCs w:val="24"/>
        </w:rPr>
        <w:t>0</w:t>
      </w:r>
      <w:r w:rsidR="00FD0428">
        <w:rPr>
          <w:rFonts w:ascii="Arial" w:hAnsi="Arial" w:cs="Arial"/>
          <w:sz w:val="24"/>
          <w:szCs w:val="24"/>
        </w:rPr>
        <w:t>]</w:t>
      </w:r>
      <w:r>
        <w:rPr>
          <w:rFonts w:ascii="Arial" w:hAnsi="Arial" w:cs="Arial"/>
          <w:sz w:val="24"/>
          <w:szCs w:val="24"/>
        </w:rPr>
        <w:tab/>
        <w:t xml:space="preserve"> </w:t>
      </w:r>
      <w:r w:rsidR="00AD0166">
        <w:rPr>
          <w:rFonts w:ascii="Arial" w:hAnsi="Arial" w:cs="Arial"/>
          <w:sz w:val="24"/>
          <w:szCs w:val="24"/>
        </w:rPr>
        <w:t>Furthermore, t</w:t>
      </w:r>
      <w:r w:rsidR="00A44FE6">
        <w:rPr>
          <w:rFonts w:ascii="Arial" w:hAnsi="Arial" w:cs="Arial"/>
          <w:sz w:val="24"/>
          <w:szCs w:val="24"/>
        </w:rPr>
        <w:t xml:space="preserve">he record </w:t>
      </w:r>
      <w:r w:rsidR="00AD0166">
        <w:rPr>
          <w:rFonts w:ascii="Arial" w:hAnsi="Arial" w:cs="Arial"/>
          <w:sz w:val="24"/>
          <w:szCs w:val="24"/>
        </w:rPr>
        <w:t xml:space="preserve">attached </w:t>
      </w:r>
      <w:r>
        <w:rPr>
          <w:rFonts w:ascii="Arial" w:hAnsi="Arial" w:cs="Arial"/>
          <w:sz w:val="24"/>
          <w:szCs w:val="24"/>
        </w:rPr>
        <w:t>a site inspection report of 26 May 2021 that indicat</w:t>
      </w:r>
      <w:r w:rsidR="00A44FE6">
        <w:rPr>
          <w:rFonts w:ascii="Arial" w:hAnsi="Arial" w:cs="Arial"/>
          <w:sz w:val="24"/>
          <w:szCs w:val="24"/>
        </w:rPr>
        <w:t xml:space="preserve">es that as </w:t>
      </w:r>
      <w:r>
        <w:rPr>
          <w:rFonts w:ascii="Arial" w:hAnsi="Arial" w:cs="Arial"/>
          <w:sz w:val="24"/>
          <w:szCs w:val="24"/>
        </w:rPr>
        <w:t>far as a month ago the DMRE made no findings of non-compliance in respect of the National Environment Management Waste Act 2004 of 2008 that there was nothing happening in relation to the air, soil, vegetation, noise and water and no community leaving in the vicinity. As a result</w:t>
      </w:r>
      <w:r w:rsidR="00F51138">
        <w:rPr>
          <w:rFonts w:ascii="Arial" w:hAnsi="Arial" w:cs="Arial"/>
          <w:sz w:val="24"/>
          <w:szCs w:val="24"/>
        </w:rPr>
        <w:t>,</w:t>
      </w:r>
      <w:r>
        <w:rPr>
          <w:rFonts w:ascii="Arial" w:hAnsi="Arial" w:cs="Arial"/>
          <w:sz w:val="24"/>
          <w:szCs w:val="24"/>
        </w:rPr>
        <w:t xml:space="preserve"> DBCM </w:t>
      </w:r>
      <w:r w:rsidR="00A462EF">
        <w:rPr>
          <w:rFonts w:ascii="Arial" w:hAnsi="Arial" w:cs="Arial"/>
          <w:sz w:val="24"/>
          <w:szCs w:val="24"/>
        </w:rPr>
        <w:t>added the lack of finding of no</w:t>
      </w:r>
      <w:r w:rsidR="0031026D">
        <w:rPr>
          <w:rFonts w:ascii="Arial" w:hAnsi="Arial" w:cs="Arial"/>
          <w:sz w:val="24"/>
          <w:szCs w:val="24"/>
        </w:rPr>
        <w:t>n</w:t>
      </w:r>
      <w:r w:rsidR="003C57F5">
        <w:rPr>
          <w:rFonts w:ascii="Arial" w:hAnsi="Arial" w:cs="Arial"/>
          <w:sz w:val="24"/>
          <w:szCs w:val="24"/>
        </w:rPr>
        <w:t>-</w:t>
      </w:r>
      <w:r w:rsidR="00A462EF">
        <w:rPr>
          <w:rFonts w:ascii="Arial" w:hAnsi="Arial" w:cs="Arial"/>
          <w:sz w:val="24"/>
          <w:szCs w:val="24"/>
        </w:rPr>
        <w:t xml:space="preserve"> compliance </w:t>
      </w:r>
      <w:r>
        <w:rPr>
          <w:rFonts w:ascii="Arial" w:hAnsi="Arial" w:cs="Arial"/>
          <w:sz w:val="24"/>
          <w:szCs w:val="24"/>
        </w:rPr>
        <w:t>as a further ground in support of its review application</w:t>
      </w:r>
      <w:r w:rsidR="00A462EF">
        <w:rPr>
          <w:rFonts w:ascii="Arial" w:hAnsi="Arial" w:cs="Arial"/>
          <w:sz w:val="24"/>
          <w:szCs w:val="24"/>
        </w:rPr>
        <w:t>. Also the failure to procure the scientific investigation to support his decision even though having identified a need for the investigation which could provide such a basis</w:t>
      </w:r>
      <w:r w:rsidR="00A44FE6">
        <w:rPr>
          <w:rFonts w:ascii="Arial" w:hAnsi="Arial" w:cs="Arial"/>
          <w:sz w:val="24"/>
          <w:szCs w:val="24"/>
        </w:rPr>
        <w:t xml:space="preserve"> made th</w:t>
      </w:r>
      <w:r w:rsidR="00A462EF">
        <w:rPr>
          <w:rFonts w:ascii="Arial" w:hAnsi="Arial" w:cs="Arial"/>
          <w:sz w:val="24"/>
          <w:szCs w:val="24"/>
        </w:rPr>
        <w:t>e decision irrational for lack of such a basis.</w:t>
      </w:r>
      <w:r w:rsidR="00A44FE6">
        <w:rPr>
          <w:rFonts w:ascii="Arial" w:hAnsi="Arial" w:cs="Arial"/>
          <w:sz w:val="24"/>
          <w:szCs w:val="24"/>
        </w:rPr>
        <w:t xml:space="preserve"> </w:t>
      </w:r>
      <w:r w:rsidR="00F51138">
        <w:rPr>
          <w:rFonts w:ascii="Arial" w:hAnsi="Arial" w:cs="Arial"/>
          <w:sz w:val="24"/>
          <w:szCs w:val="24"/>
        </w:rPr>
        <w:t xml:space="preserve">As a result, </w:t>
      </w:r>
      <w:r w:rsidR="005A1E04">
        <w:rPr>
          <w:rFonts w:ascii="Arial" w:hAnsi="Arial" w:cs="Arial"/>
          <w:sz w:val="24"/>
          <w:szCs w:val="24"/>
        </w:rPr>
        <w:t xml:space="preserve">it argued that </w:t>
      </w:r>
      <w:r w:rsidR="00A44FE6">
        <w:rPr>
          <w:rFonts w:ascii="Arial" w:hAnsi="Arial" w:cs="Arial"/>
          <w:sz w:val="24"/>
          <w:szCs w:val="24"/>
        </w:rPr>
        <w:t>a reasonable decision maker in the position of the 1</w:t>
      </w:r>
      <w:r w:rsidR="00A44FE6" w:rsidRPr="00A462EF">
        <w:rPr>
          <w:rFonts w:ascii="Arial" w:hAnsi="Arial" w:cs="Arial"/>
          <w:sz w:val="24"/>
          <w:szCs w:val="24"/>
          <w:vertAlign w:val="superscript"/>
        </w:rPr>
        <w:t>st</w:t>
      </w:r>
      <w:r w:rsidR="00A44FE6">
        <w:rPr>
          <w:rFonts w:ascii="Arial" w:hAnsi="Arial" w:cs="Arial"/>
          <w:sz w:val="24"/>
          <w:szCs w:val="24"/>
        </w:rPr>
        <w:t xml:space="preserve"> Respondent would have granted the closure application.       </w:t>
      </w:r>
    </w:p>
    <w:p w14:paraId="0AB1C75B" w14:textId="77777777" w:rsidR="00A44FE6" w:rsidRDefault="00A44FE6" w:rsidP="00A44FE6">
      <w:pPr>
        <w:tabs>
          <w:tab w:val="left" w:pos="567"/>
        </w:tabs>
        <w:spacing w:after="0" w:line="360" w:lineRule="auto"/>
        <w:jc w:val="both"/>
        <w:rPr>
          <w:rFonts w:ascii="Arial" w:hAnsi="Arial" w:cs="Arial"/>
          <w:sz w:val="24"/>
          <w:szCs w:val="24"/>
        </w:rPr>
      </w:pPr>
    </w:p>
    <w:p w14:paraId="31A2E971" w14:textId="25C40A3A" w:rsidR="00A44FE6" w:rsidRPr="0031026D" w:rsidRDefault="00F51138" w:rsidP="00A44FE6">
      <w:pPr>
        <w:tabs>
          <w:tab w:val="left" w:pos="567"/>
        </w:tabs>
        <w:spacing w:after="0" w:line="360" w:lineRule="auto"/>
        <w:jc w:val="both"/>
        <w:rPr>
          <w:rFonts w:ascii="Arial" w:hAnsi="Arial" w:cs="Arial"/>
          <w:b/>
          <w:sz w:val="24"/>
          <w:szCs w:val="24"/>
        </w:rPr>
      </w:pPr>
      <w:r w:rsidRPr="0031026D">
        <w:rPr>
          <w:rFonts w:ascii="Arial" w:hAnsi="Arial" w:cs="Arial"/>
          <w:b/>
          <w:sz w:val="24"/>
          <w:szCs w:val="24"/>
        </w:rPr>
        <w:t>Respondent s’ response</w:t>
      </w:r>
      <w:r w:rsidR="00A44FE6" w:rsidRPr="0031026D">
        <w:rPr>
          <w:rFonts w:ascii="Arial" w:hAnsi="Arial" w:cs="Arial"/>
          <w:b/>
          <w:sz w:val="24"/>
          <w:szCs w:val="24"/>
        </w:rPr>
        <w:t xml:space="preserve">  </w:t>
      </w:r>
    </w:p>
    <w:p w14:paraId="7D2F8779" w14:textId="77777777" w:rsidR="00A44FE6" w:rsidRDefault="00A44FE6" w:rsidP="00A44FE6">
      <w:pPr>
        <w:tabs>
          <w:tab w:val="left" w:pos="567"/>
        </w:tabs>
        <w:spacing w:after="0" w:line="360" w:lineRule="auto"/>
        <w:jc w:val="both"/>
        <w:rPr>
          <w:rFonts w:ascii="Arial" w:hAnsi="Arial" w:cs="Arial"/>
          <w:sz w:val="24"/>
          <w:szCs w:val="24"/>
        </w:rPr>
      </w:pPr>
    </w:p>
    <w:p w14:paraId="06BDEF3B" w14:textId="16F368F2" w:rsidR="007D115C" w:rsidRPr="007D115C" w:rsidRDefault="00A462EF" w:rsidP="007D115C">
      <w:pPr>
        <w:spacing w:after="0" w:line="360" w:lineRule="auto"/>
        <w:jc w:val="both"/>
        <w:rPr>
          <w:rFonts w:ascii="Arial" w:hAnsi="Arial" w:cs="Arial"/>
          <w:sz w:val="24"/>
          <w:szCs w:val="24"/>
        </w:rPr>
      </w:pPr>
      <w:r w:rsidRPr="007D115C">
        <w:rPr>
          <w:rFonts w:ascii="Arial" w:hAnsi="Arial" w:cs="Arial"/>
          <w:sz w:val="24"/>
          <w:szCs w:val="24"/>
        </w:rPr>
        <w:t>[</w:t>
      </w:r>
      <w:r w:rsidR="00EB031A">
        <w:rPr>
          <w:rFonts w:ascii="Arial" w:hAnsi="Arial" w:cs="Arial"/>
          <w:sz w:val="24"/>
          <w:szCs w:val="24"/>
        </w:rPr>
        <w:t>4</w:t>
      </w:r>
      <w:r w:rsidR="000D4DEB">
        <w:rPr>
          <w:rFonts w:ascii="Arial" w:hAnsi="Arial" w:cs="Arial"/>
          <w:sz w:val="24"/>
          <w:szCs w:val="24"/>
        </w:rPr>
        <w:t>1</w:t>
      </w:r>
      <w:r w:rsidRPr="007D115C">
        <w:rPr>
          <w:rFonts w:ascii="Arial" w:hAnsi="Arial" w:cs="Arial"/>
          <w:sz w:val="24"/>
          <w:szCs w:val="24"/>
        </w:rPr>
        <w:t>]</w:t>
      </w:r>
      <w:r w:rsidR="006D22C1" w:rsidRPr="007D115C">
        <w:rPr>
          <w:rFonts w:ascii="Arial" w:hAnsi="Arial" w:cs="Arial"/>
          <w:sz w:val="24"/>
          <w:szCs w:val="24"/>
        </w:rPr>
        <w:tab/>
      </w:r>
      <w:r w:rsidR="00AD0166">
        <w:rPr>
          <w:rFonts w:ascii="Arial" w:hAnsi="Arial" w:cs="Arial"/>
          <w:sz w:val="24"/>
          <w:szCs w:val="24"/>
        </w:rPr>
        <w:t>In response, t</w:t>
      </w:r>
      <w:r w:rsidR="00A44FE6" w:rsidRPr="007D115C">
        <w:rPr>
          <w:rFonts w:ascii="Arial" w:hAnsi="Arial" w:cs="Arial"/>
          <w:sz w:val="24"/>
          <w:szCs w:val="24"/>
        </w:rPr>
        <w:t>he Respondents filed an answering affidavit deposed to by the 1</w:t>
      </w:r>
      <w:r w:rsidR="00A44FE6" w:rsidRPr="007D115C">
        <w:rPr>
          <w:rFonts w:ascii="Arial" w:hAnsi="Arial" w:cs="Arial"/>
          <w:sz w:val="24"/>
          <w:szCs w:val="24"/>
          <w:vertAlign w:val="superscript"/>
        </w:rPr>
        <w:t>st</w:t>
      </w:r>
      <w:r w:rsidR="00A44FE6" w:rsidRPr="007D115C">
        <w:rPr>
          <w:rFonts w:ascii="Arial" w:hAnsi="Arial" w:cs="Arial"/>
          <w:sz w:val="24"/>
          <w:szCs w:val="24"/>
        </w:rPr>
        <w:t xml:space="preserve"> Respondent</w:t>
      </w:r>
      <w:r w:rsidR="00802369" w:rsidRPr="007D115C">
        <w:rPr>
          <w:rFonts w:ascii="Arial" w:hAnsi="Arial" w:cs="Arial"/>
          <w:sz w:val="24"/>
          <w:szCs w:val="24"/>
        </w:rPr>
        <w:t xml:space="preserve"> raising a point </w:t>
      </w:r>
      <w:r w:rsidR="00802369" w:rsidRPr="003471CB">
        <w:rPr>
          <w:rFonts w:ascii="Arial" w:hAnsi="Arial" w:cs="Arial"/>
          <w:i/>
          <w:sz w:val="24"/>
          <w:szCs w:val="24"/>
        </w:rPr>
        <w:t>in limine</w:t>
      </w:r>
      <w:r w:rsidR="00802369" w:rsidRPr="007D115C">
        <w:rPr>
          <w:rFonts w:ascii="Arial" w:hAnsi="Arial" w:cs="Arial"/>
          <w:sz w:val="24"/>
          <w:szCs w:val="24"/>
        </w:rPr>
        <w:t xml:space="preserve"> </w:t>
      </w:r>
      <w:r w:rsidR="00C45584" w:rsidRPr="007D115C">
        <w:rPr>
          <w:rFonts w:ascii="Arial" w:hAnsi="Arial" w:cs="Arial"/>
          <w:sz w:val="24"/>
          <w:szCs w:val="24"/>
        </w:rPr>
        <w:t xml:space="preserve">of non-joinder </w:t>
      </w:r>
      <w:r w:rsidR="00802369" w:rsidRPr="007D115C">
        <w:rPr>
          <w:rFonts w:ascii="Arial" w:hAnsi="Arial" w:cs="Arial"/>
          <w:sz w:val="24"/>
          <w:szCs w:val="24"/>
        </w:rPr>
        <w:t>to the Application</w:t>
      </w:r>
      <w:r w:rsidR="00C45584">
        <w:rPr>
          <w:rFonts w:ascii="Arial" w:hAnsi="Arial" w:cs="Arial"/>
          <w:sz w:val="24"/>
          <w:szCs w:val="24"/>
        </w:rPr>
        <w:t xml:space="preserve">. The </w:t>
      </w:r>
      <w:r w:rsidR="00802369" w:rsidRPr="007D115C">
        <w:rPr>
          <w:rFonts w:ascii="Arial" w:hAnsi="Arial" w:cs="Arial"/>
          <w:sz w:val="24"/>
          <w:szCs w:val="24"/>
        </w:rPr>
        <w:t xml:space="preserve">basis </w:t>
      </w:r>
      <w:r w:rsidR="00C45584">
        <w:rPr>
          <w:rFonts w:ascii="Arial" w:hAnsi="Arial" w:cs="Arial"/>
          <w:sz w:val="24"/>
          <w:szCs w:val="24"/>
        </w:rPr>
        <w:t xml:space="preserve">thereof being </w:t>
      </w:r>
      <w:r w:rsidR="00802369" w:rsidRPr="007D115C">
        <w:rPr>
          <w:rFonts w:ascii="Arial" w:hAnsi="Arial" w:cs="Arial"/>
          <w:sz w:val="24"/>
          <w:szCs w:val="24"/>
        </w:rPr>
        <w:t>that DBCM failed to join other Departments</w:t>
      </w:r>
      <w:r w:rsidR="00506778">
        <w:rPr>
          <w:rFonts w:ascii="Arial" w:hAnsi="Arial" w:cs="Arial"/>
          <w:sz w:val="24"/>
          <w:szCs w:val="24"/>
        </w:rPr>
        <w:t xml:space="preserve"> and </w:t>
      </w:r>
      <w:r w:rsidR="00802369" w:rsidRPr="007D115C">
        <w:rPr>
          <w:rFonts w:ascii="Arial" w:hAnsi="Arial" w:cs="Arial"/>
          <w:sz w:val="24"/>
          <w:szCs w:val="24"/>
        </w:rPr>
        <w:t xml:space="preserve">parties that have an interest </w:t>
      </w:r>
      <w:r w:rsidR="00506778">
        <w:rPr>
          <w:rFonts w:ascii="Arial" w:hAnsi="Arial" w:cs="Arial"/>
          <w:sz w:val="24"/>
          <w:szCs w:val="24"/>
        </w:rPr>
        <w:t xml:space="preserve">which </w:t>
      </w:r>
      <w:r w:rsidR="00802369" w:rsidRPr="007D115C">
        <w:rPr>
          <w:rFonts w:ascii="Arial" w:hAnsi="Arial" w:cs="Arial"/>
          <w:sz w:val="24"/>
          <w:szCs w:val="24"/>
        </w:rPr>
        <w:t xml:space="preserve">are to be affected </w:t>
      </w:r>
      <w:r w:rsidR="00C45584">
        <w:rPr>
          <w:rFonts w:ascii="Arial" w:hAnsi="Arial" w:cs="Arial"/>
          <w:sz w:val="24"/>
          <w:szCs w:val="24"/>
        </w:rPr>
        <w:t xml:space="preserve">by </w:t>
      </w:r>
      <w:r w:rsidR="00802369" w:rsidRPr="007D115C">
        <w:rPr>
          <w:rFonts w:ascii="Arial" w:hAnsi="Arial" w:cs="Arial"/>
          <w:sz w:val="24"/>
          <w:szCs w:val="24"/>
        </w:rPr>
        <w:t>the relief sought in the matter</w:t>
      </w:r>
      <w:r w:rsidR="00F51138">
        <w:rPr>
          <w:rFonts w:ascii="Arial" w:hAnsi="Arial" w:cs="Arial"/>
          <w:sz w:val="24"/>
          <w:szCs w:val="24"/>
        </w:rPr>
        <w:t xml:space="preserve"> reliant on </w:t>
      </w:r>
      <w:r w:rsidR="00FB4F3F" w:rsidRPr="007D115C">
        <w:rPr>
          <w:rFonts w:ascii="Arial" w:hAnsi="Arial" w:cs="Arial"/>
          <w:sz w:val="24"/>
          <w:szCs w:val="24"/>
        </w:rPr>
        <w:t>s 43 (5)</w:t>
      </w:r>
      <w:r w:rsidR="00A04FFF" w:rsidRPr="007D115C">
        <w:rPr>
          <w:rFonts w:ascii="Arial" w:hAnsi="Arial" w:cs="Arial"/>
          <w:sz w:val="24"/>
          <w:szCs w:val="24"/>
        </w:rPr>
        <w:t>,</w:t>
      </w:r>
      <w:r w:rsidR="00FB4F3F">
        <w:rPr>
          <w:rStyle w:val="FootnoteReference"/>
          <w:rFonts w:ascii="Arial" w:hAnsi="Arial" w:cs="Arial"/>
          <w:sz w:val="24"/>
          <w:szCs w:val="24"/>
        </w:rPr>
        <w:footnoteReference w:id="9"/>
      </w:r>
      <w:r w:rsidR="00FB4F3F" w:rsidRPr="007D115C">
        <w:rPr>
          <w:rFonts w:ascii="Arial" w:hAnsi="Arial" w:cs="Arial"/>
          <w:sz w:val="24"/>
          <w:szCs w:val="24"/>
        </w:rPr>
        <w:t xml:space="preserve"> </w:t>
      </w:r>
      <w:r w:rsidR="00A04FFF" w:rsidRPr="007D115C">
        <w:rPr>
          <w:rFonts w:ascii="Arial" w:hAnsi="Arial" w:cs="Arial"/>
          <w:sz w:val="24"/>
          <w:szCs w:val="24"/>
        </w:rPr>
        <w:t>43 (13)</w:t>
      </w:r>
      <w:r w:rsidR="00A04FFF">
        <w:rPr>
          <w:rStyle w:val="FootnoteReference"/>
          <w:rFonts w:ascii="Arial" w:hAnsi="Arial" w:cs="Arial"/>
          <w:sz w:val="24"/>
          <w:szCs w:val="24"/>
        </w:rPr>
        <w:footnoteReference w:id="10"/>
      </w:r>
      <w:r w:rsidR="00A04FFF" w:rsidRPr="007D115C">
        <w:rPr>
          <w:rFonts w:ascii="Arial" w:hAnsi="Arial" w:cs="Arial"/>
          <w:sz w:val="24"/>
          <w:szCs w:val="24"/>
        </w:rPr>
        <w:t xml:space="preserve"> </w:t>
      </w:r>
      <w:r w:rsidR="00CD4254" w:rsidRPr="007D115C">
        <w:rPr>
          <w:rFonts w:ascii="Arial" w:hAnsi="Arial" w:cs="Arial"/>
          <w:sz w:val="24"/>
          <w:szCs w:val="24"/>
        </w:rPr>
        <w:t>of the MPRDA a</w:t>
      </w:r>
      <w:r w:rsidR="00F51138">
        <w:rPr>
          <w:rFonts w:ascii="Arial" w:hAnsi="Arial" w:cs="Arial"/>
          <w:sz w:val="24"/>
          <w:szCs w:val="24"/>
        </w:rPr>
        <w:t xml:space="preserve">s </w:t>
      </w:r>
      <w:r w:rsidR="003471CB">
        <w:rPr>
          <w:rFonts w:ascii="Arial" w:hAnsi="Arial" w:cs="Arial"/>
          <w:sz w:val="24"/>
          <w:szCs w:val="24"/>
        </w:rPr>
        <w:t>a</w:t>
      </w:r>
      <w:r w:rsidR="00CD4254" w:rsidRPr="007D115C">
        <w:rPr>
          <w:rFonts w:ascii="Arial" w:hAnsi="Arial" w:cs="Arial"/>
          <w:sz w:val="24"/>
          <w:szCs w:val="24"/>
        </w:rPr>
        <w:t xml:space="preserve">mended in 2008 </w:t>
      </w:r>
      <w:r w:rsidR="00C45584">
        <w:rPr>
          <w:rFonts w:ascii="Arial" w:hAnsi="Arial" w:cs="Arial"/>
          <w:sz w:val="24"/>
          <w:szCs w:val="24"/>
        </w:rPr>
        <w:t xml:space="preserve">which </w:t>
      </w:r>
      <w:r w:rsidR="00EB031A">
        <w:rPr>
          <w:rFonts w:ascii="Arial" w:hAnsi="Arial" w:cs="Arial"/>
          <w:sz w:val="24"/>
          <w:szCs w:val="24"/>
        </w:rPr>
        <w:t xml:space="preserve">provisions </w:t>
      </w:r>
      <w:r w:rsidR="00C45584">
        <w:rPr>
          <w:rFonts w:ascii="Arial" w:hAnsi="Arial" w:cs="Arial"/>
          <w:sz w:val="24"/>
          <w:szCs w:val="24"/>
        </w:rPr>
        <w:t xml:space="preserve">came </w:t>
      </w:r>
      <w:r w:rsidR="00CD4254" w:rsidRPr="007D115C">
        <w:rPr>
          <w:rFonts w:ascii="Arial" w:hAnsi="Arial" w:cs="Arial"/>
          <w:sz w:val="24"/>
          <w:szCs w:val="24"/>
        </w:rPr>
        <w:t xml:space="preserve">into effect </w:t>
      </w:r>
      <w:r w:rsidR="003471CB">
        <w:rPr>
          <w:rFonts w:ascii="Arial" w:hAnsi="Arial" w:cs="Arial"/>
          <w:sz w:val="24"/>
          <w:szCs w:val="24"/>
        </w:rPr>
        <w:t>o</w:t>
      </w:r>
      <w:r w:rsidR="00CD4254" w:rsidRPr="007D115C">
        <w:rPr>
          <w:rFonts w:ascii="Arial" w:hAnsi="Arial" w:cs="Arial"/>
          <w:sz w:val="24"/>
          <w:szCs w:val="24"/>
        </w:rPr>
        <w:t xml:space="preserve">n </w:t>
      </w:r>
      <w:r w:rsidR="00A04FFF" w:rsidRPr="007D115C">
        <w:rPr>
          <w:rFonts w:ascii="Arial" w:hAnsi="Arial" w:cs="Arial"/>
          <w:sz w:val="24"/>
          <w:szCs w:val="24"/>
        </w:rPr>
        <w:t xml:space="preserve">7 June </w:t>
      </w:r>
      <w:r w:rsidR="00CD4254" w:rsidRPr="007D115C">
        <w:rPr>
          <w:rFonts w:ascii="Arial" w:hAnsi="Arial" w:cs="Arial"/>
          <w:sz w:val="24"/>
          <w:szCs w:val="24"/>
        </w:rPr>
        <w:t>2013</w:t>
      </w:r>
      <w:r w:rsidR="00EB031A">
        <w:rPr>
          <w:rFonts w:ascii="Arial" w:hAnsi="Arial" w:cs="Arial"/>
          <w:sz w:val="24"/>
          <w:szCs w:val="24"/>
        </w:rPr>
        <w:t>. I</w:t>
      </w:r>
      <w:r w:rsidR="003471CB">
        <w:rPr>
          <w:rFonts w:ascii="Arial" w:hAnsi="Arial" w:cs="Arial"/>
          <w:sz w:val="24"/>
          <w:szCs w:val="24"/>
        </w:rPr>
        <w:t xml:space="preserve">n terms of </w:t>
      </w:r>
      <w:r w:rsidR="00EB031A">
        <w:rPr>
          <w:rFonts w:ascii="Arial" w:hAnsi="Arial" w:cs="Arial"/>
          <w:sz w:val="24"/>
          <w:szCs w:val="24"/>
        </w:rPr>
        <w:t xml:space="preserve">the provisions the </w:t>
      </w:r>
      <w:r w:rsidR="00BE60E5" w:rsidRPr="007D115C">
        <w:rPr>
          <w:rFonts w:ascii="Arial" w:hAnsi="Arial" w:cs="Arial"/>
          <w:sz w:val="24"/>
          <w:szCs w:val="24"/>
        </w:rPr>
        <w:t xml:space="preserve">granting of the closure certificate </w:t>
      </w:r>
      <w:r w:rsidR="003471CB">
        <w:rPr>
          <w:rFonts w:ascii="Arial" w:hAnsi="Arial" w:cs="Arial"/>
          <w:sz w:val="24"/>
          <w:szCs w:val="24"/>
        </w:rPr>
        <w:t xml:space="preserve">is prohibited </w:t>
      </w:r>
      <w:r w:rsidR="00BE60E5" w:rsidRPr="007D115C">
        <w:rPr>
          <w:rFonts w:ascii="Arial" w:hAnsi="Arial" w:cs="Arial"/>
          <w:sz w:val="24"/>
          <w:szCs w:val="24"/>
        </w:rPr>
        <w:t xml:space="preserve">unless certain officials have in writing given their opinion or approval or acceptance of the environmental </w:t>
      </w:r>
      <w:r w:rsidR="007D115C" w:rsidRPr="007D115C">
        <w:rPr>
          <w:rFonts w:ascii="Arial" w:hAnsi="Arial" w:cs="Arial"/>
          <w:sz w:val="24"/>
          <w:szCs w:val="24"/>
        </w:rPr>
        <w:t xml:space="preserve">rehabilitation, confirming that the provisions pertaining to health and safety and management pollution to water resources, the pumping and treatment of extraneous water and compliance to the conditions of the environment authorisation have been addressed. </w:t>
      </w:r>
      <w:r w:rsidR="00C45584">
        <w:rPr>
          <w:rFonts w:ascii="Arial" w:hAnsi="Arial" w:cs="Arial"/>
          <w:sz w:val="24"/>
          <w:szCs w:val="24"/>
        </w:rPr>
        <w:t>Specifically</w:t>
      </w:r>
      <w:r w:rsidR="003471CB">
        <w:rPr>
          <w:rFonts w:ascii="Arial" w:hAnsi="Arial" w:cs="Arial"/>
          <w:sz w:val="24"/>
          <w:szCs w:val="24"/>
        </w:rPr>
        <w:t>,</w:t>
      </w:r>
      <w:r w:rsidR="00C45584">
        <w:rPr>
          <w:rFonts w:ascii="Arial" w:hAnsi="Arial" w:cs="Arial"/>
          <w:sz w:val="24"/>
          <w:szCs w:val="24"/>
        </w:rPr>
        <w:t xml:space="preserve"> in terms of </w:t>
      </w:r>
      <w:r w:rsidR="007D115C" w:rsidRPr="007D115C">
        <w:rPr>
          <w:rFonts w:ascii="Arial" w:hAnsi="Arial" w:cs="Arial"/>
          <w:sz w:val="24"/>
          <w:szCs w:val="24"/>
        </w:rPr>
        <w:t>s 43 (5)</w:t>
      </w:r>
      <w:r w:rsidR="00C45584">
        <w:rPr>
          <w:rFonts w:ascii="Arial" w:hAnsi="Arial" w:cs="Arial"/>
          <w:sz w:val="24"/>
          <w:szCs w:val="24"/>
        </w:rPr>
        <w:t>,</w:t>
      </w:r>
      <w:r w:rsidR="007D115C" w:rsidRPr="007D115C">
        <w:rPr>
          <w:rFonts w:ascii="Arial" w:hAnsi="Arial" w:cs="Arial"/>
          <w:sz w:val="24"/>
          <w:szCs w:val="24"/>
        </w:rPr>
        <w:t xml:space="preserve"> the Chief Inspector and each government department charged with the administration of any law which relates to any matter affecting the environment</w:t>
      </w:r>
      <w:r w:rsidR="0089506D">
        <w:rPr>
          <w:rFonts w:ascii="Arial" w:hAnsi="Arial" w:cs="Arial"/>
          <w:sz w:val="24"/>
          <w:szCs w:val="24"/>
        </w:rPr>
        <w:t xml:space="preserve"> should have </w:t>
      </w:r>
      <w:r w:rsidR="003C57F5">
        <w:rPr>
          <w:rFonts w:ascii="Arial" w:hAnsi="Arial" w:cs="Arial"/>
          <w:sz w:val="24"/>
          <w:szCs w:val="24"/>
        </w:rPr>
        <w:t xml:space="preserve">confirmed </w:t>
      </w:r>
      <w:r w:rsidR="0089506D">
        <w:rPr>
          <w:rFonts w:ascii="Arial" w:hAnsi="Arial" w:cs="Arial"/>
          <w:sz w:val="24"/>
          <w:szCs w:val="24"/>
        </w:rPr>
        <w:t xml:space="preserve">in a written report. </w:t>
      </w:r>
      <w:r w:rsidR="007D115C" w:rsidRPr="007D115C">
        <w:rPr>
          <w:rFonts w:ascii="Arial" w:hAnsi="Arial" w:cs="Arial"/>
          <w:sz w:val="24"/>
          <w:szCs w:val="24"/>
        </w:rPr>
        <w:t xml:space="preserve"> </w:t>
      </w:r>
    </w:p>
    <w:p w14:paraId="3A12CC7B" w14:textId="77777777" w:rsidR="0089506D" w:rsidRDefault="0089506D" w:rsidP="0089506D">
      <w:pPr>
        <w:tabs>
          <w:tab w:val="left" w:pos="0"/>
        </w:tabs>
        <w:spacing w:after="0" w:line="360" w:lineRule="auto"/>
        <w:jc w:val="both"/>
        <w:rPr>
          <w:rFonts w:ascii="Arial" w:hAnsi="Arial" w:cs="Arial"/>
          <w:sz w:val="24"/>
          <w:szCs w:val="24"/>
        </w:rPr>
      </w:pPr>
    </w:p>
    <w:p w14:paraId="69001747" w14:textId="4A69D415" w:rsidR="00B13575" w:rsidRDefault="00EB031A" w:rsidP="0089506D">
      <w:pPr>
        <w:tabs>
          <w:tab w:val="left" w:pos="0"/>
        </w:tabs>
        <w:spacing w:after="0" w:line="360" w:lineRule="auto"/>
        <w:jc w:val="both"/>
        <w:rPr>
          <w:rFonts w:ascii="Arial" w:hAnsi="Arial" w:cs="Arial"/>
          <w:sz w:val="24"/>
          <w:szCs w:val="24"/>
        </w:rPr>
      </w:pPr>
      <w:r>
        <w:rPr>
          <w:rFonts w:ascii="Arial" w:hAnsi="Arial" w:cs="Arial"/>
          <w:sz w:val="24"/>
          <w:szCs w:val="24"/>
        </w:rPr>
        <w:t>[4</w:t>
      </w:r>
      <w:r w:rsidR="000D4DEB">
        <w:rPr>
          <w:rFonts w:ascii="Arial" w:hAnsi="Arial" w:cs="Arial"/>
          <w:sz w:val="24"/>
          <w:szCs w:val="24"/>
        </w:rPr>
        <w:t>2</w:t>
      </w:r>
      <w:r w:rsidR="0089506D">
        <w:rPr>
          <w:rFonts w:ascii="Arial" w:hAnsi="Arial" w:cs="Arial"/>
          <w:sz w:val="24"/>
          <w:szCs w:val="24"/>
        </w:rPr>
        <w:t>]</w:t>
      </w:r>
      <w:r w:rsidR="0089506D">
        <w:rPr>
          <w:rFonts w:ascii="Arial" w:hAnsi="Arial" w:cs="Arial"/>
          <w:sz w:val="24"/>
          <w:szCs w:val="24"/>
        </w:rPr>
        <w:tab/>
      </w:r>
      <w:r w:rsidR="007D115C" w:rsidRPr="0089506D">
        <w:rPr>
          <w:rFonts w:ascii="Arial" w:hAnsi="Arial" w:cs="Arial"/>
          <w:sz w:val="24"/>
          <w:szCs w:val="24"/>
        </w:rPr>
        <w:t>The Respondent</w:t>
      </w:r>
      <w:r w:rsidR="003471CB">
        <w:rPr>
          <w:rFonts w:ascii="Arial" w:hAnsi="Arial" w:cs="Arial"/>
          <w:sz w:val="24"/>
          <w:szCs w:val="24"/>
        </w:rPr>
        <w:t>s</w:t>
      </w:r>
      <w:r w:rsidR="007D115C" w:rsidRPr="0089506D">
        <w:rPr>
          <w:rFonts w:ascii="Arial" w:hAnsi="Arial" w:cs="Arial"/>
          <w:sz w:val="24"/>
          <w:szCs w:val="24"/>
        </w:rPr>
        <w:t xml:space="preserve"> </w:t>
      </w:r>
      <w:r>
        <w:rPr>
          <w:rFonts w:ascii="Arial" w:hAnsi="Arial" w:cs="Arial"/>
          <w:sz w:val="24"/>
          <w:szCs w:val="24"/>
        </w:rPr>
        <w:t xml:space="preserve">also </w:t>
      </w:r>
      <w:r w:rsidR="007D115C" w:rsidRPr="0089506D">
        <w:rPr>
          <w:rFonts w:ascii="Arial" w:hAnsi="Arial" w:cs="Arial"/>
          <w:sz w:val="24"/>
          <w:szCs w:val="24"/>
        </w:rPr>
        <w:t>refer</w:t>
      </w:r>
      <w:r w:rsidR="003471CB">
        <w:rPr>
          <w:rFonts w:ascii="Arial" w:hAnsi="Arial" w:cs="Arial"/>
          <w:sz w:val="24"/>
          <w:szCs w:val="24"/>
        </w:rPr>
        <w:t>red</w:t>
      </w:r>
      <w:r w:rsidR="007D115C" w:rsidRPr="0089506D">
        <w:rPr>
          <w:rFonts w:ascii="Arial" w:hAnsi="Arial" w:cs="Arial"/>
          <w:sz w:val="24"/>
          <w:szCs w:val="24"/>
        </w:rPr>
        <w:t xml:space="preserve"> to </w:t>
      </w:r>
      <w:r w:rsidR="0089506D">
        <w:rPr>
          <w:rFonts w:ascii="Arial" w:hAnsi="Arial" w:cs="Arial"/>
          <w:sz w:val="24"/>
          <w:szCs w:val="24"/>
        </w:rPr>
        <w:t xml:space="preserve">s 2 (4) (g) of </w:t>
      </w:r>
      <w:r w:rsidR="007D115C" w:rsidRPr="0089506D">
        <w:rPr>
          <w:rFonts w:ascii="Arial" w:hAnsi="Arial" w:cs="Arial"/>
          <w:sz w:val="24"/>
          <w:szCs w:val="24"/>
        </w:rPr>
        <w:t xml:space="preserve">NEMA the overarching umbrella legislation for environment in the country </w:t>
      </w:r>
      <w:r w:rsidR="007B1FA6" w:rsidRPr="0089506D">
        <w:rPr>
          <w:rFonts w:ascii="Arial" w:hAnsi="Arial" w:cs="Arial"/>
          <w:sz w:val="24"/>
          <w:szCs w:val="24"/>
        </w:rPr>
        <w:t xml:space="preserve">that requires the decision to approve or reject the </w:t>
      </w:r>
      <w:r w:rsidR="00CD4254" w:rsidRPr="0089506D">
        <w:rPr>
          <w:rFonts w:ascii="Arial" w:hAnsi="Arial" w:cs="Arial"/>
          <w:sz w:val="24"/>
          <w:szCs w:val="24"/>
        </w:rPr>
        <w:t xml:space="preserve">Oaks Mine </w:t>
      </w:r>
      <w:r w:rsidR="00FA53E9" w:rsidRPr="0089506D">
        <w:rPr>
          <w:rFonts w:ascii="Arial" w:hAnsi="Arial" w:cs="Arial"/>
          <w:sz w:val="24"/>
          <w:szCs w:val="24"/>
        </w:rPr>
        <w:t>Closure</w:t>
      </w:r>
      <w:r w:rsidR="00CD4254" w:rsidRPr="0089506D">
        <w:rPr>
          <w:rFonts w:ascii="Arial" w:hAnsi="Arial" w:cs="Arial"/>
          <w:sz w:val="24"/>
          <w:szCs w:val="24"/>
        </w:rPr>
        <w:t xml:space="preserve"> </w:t>
      </w:r>
      <w:r w:rsidR="007B1FA6" w:rsidRPr="0089506D">
        <w:rPr>
          <w:rFonts w:ascii="Arial" w:hAnsi="Arial" w:cs="Arial"/>
          <w:sz w:val="24"/>
          <w:szCs w:val="24"/>
        </w:rPr>
        <w:t xml:space="preserve">Application and plan, to take into account </w:t>
      </w:r>
      <w:r w:rsidR="0089506D" w:rsidRPr="0089506D">
        <w:rPr>
          <w:rFonts w:ascii="Arial" w:hAnsi="Arial" w:cs="Arial"/>
          <w:sz w:val="24"/>
          <w:szCs w:val="24"/>
        </w:rPr>
        <w:t xml:space="preserve">the </w:t>
      </w:r>
      <w:r w:rsidR="007B1FA6" w:rsidRPr="0089506D">
        <w:rPr>
          <w:rFonts w:ascii="Arial" w:hAnsi="Arial" w:cs="Arial"/>
          <w:sz w:val="24"/>
          <w:szCs w:val="24"/>
        </w:rPr>
        <w:t>interest</w:t>
      </w:r>
      <w:r w:rsidR="0089506D" w:rsidRPr="0089506D">
        <w:rPr>
          <w:rFonts w:ascii="Arial" w:hAnsi="Arial" w:cs="Arial"/>
          <w:sz w:val="24"/>
          <w:szCs w:val="24"/>
        </w:rPr>
        <w:t xml:space="preserve"> and </w:t>
      </w:r>
      <w:r w:rsidR="0089506D">
        <w:rPr>
          <w:rFonts w:ascii="Arial" w:hAnsi="Arial" w:cs="Arial"/>
          <w:sz w:val="24"/>
          <w:szCs w:val="24"/>
        </w:rPr>
        <w:lastRenderedPageBreak/>
        <w:t xml:space="preserve">needs and values of all interested and </w:t>
      </w:r>
      <w:r w:rsidR="0089506D" w:rsidRPr="0089506D">
        <w:rPr>
          <w:rFonts w:ascii="Arial" w:hAnsi="Arial" w:cs="Arial"/>
          <w:sz w:val="24"/>
          <w:szCs w:val="24"/>
        </w:rPr>
        <w:t>affected parties</w:t>
      </w:r>
      <w:r w:rsidR="007B1FA6" w:rsidRPr="0089506D">
        <w:rPr>
          <w:rFonts w:ascii="Arial" w:hAnsi="Arial" w:cs="Arial"/>
          <w:sz w:val="24"/>
          <w:szCs w:val="24"/>
        </w:rPr>
        <w:t>.</w:t>
      </w:r>
      <w:r w:rsidR="0089506D">
        <w:rPr>
          <w:rFonts w:ascii="Arial" w:hAnsi="Arial" w:cs="Arial"/>
          <w:sz w:val="24"/>
          <w:szCs w:val="24"/>
        </w:rPr>
        <w:t xml:space="preserve"> </w:t>
      </w:r>
      <w:r w:rsidR="003471CB">
        <w:rPr>
          <w:rFonts w:ascii="Arial" w:hAnsi="Arial" w:cs="Arial"/>
          <w:sz w:val="24"/>
          <w:szCs w:val="24"/>
        </w:rPr>
        <w:t>Including</w:t>
      </w:r>
      <w:r w:rsidR="00C45584">
        <w:rPr>
          <w:rFonts w:ascii="Arial" w:hAnsi="Arial" w:cs="Arial"/>
          <w:sz w:val="24"/>
          <w:szCs w:val="24"/>
        </w:rPr>
        <w:t xml:space="preserve"> </w:t>
      </w:r>
      <w:r w:rsidR="0089506D">
        <w:rPr>
          <w:rFonts w:ascii="Arial" w:hAnsi="Arial" w:cs="Arial"/>
          <w:sz w:val="24"/>
          <w:szCs w:val="24"/>
        </w:rPr>
        <w:t>R</w:t>
      </w:r>
      <w:r w:rsidR="0089506D" w:rsidRPr="0089506D">
        <w:rPr>
          <w:rFonts w:ascii="Arial" w:hAnsi="Arial" w:cs="Arial"/>
          <w:sz w:val="24"/>
          <w:szCs w:val="24"/>
        </w:rPr>
        <w:t xml:space="preserve">egulation </w:t>
      </w:r>
      <w:r w:rsidR="0089506D">
        <w:rPr>
          <w:rFonts w:ascii="Arial" w:hAnsi="Arial" w:cs="Arial"/>
          <w:sz w:val="24"/>
          <w:szCs w:val="24"/>
        </w:rPr>
        <w:t xml:space="preserve">62 (j) of the MRPDA Regulations </w:t>
      </w:r>
      <w:r w:rsidR="003471CB">
        <w:rPr>
          <w:rFonts w:ascii="Arial" w:hAnsi="Arial" w:cs="Arial"/>
          <w:sz w:val="24"/>
          <w:szCs w:val="24"/>
        </w:rPr>
        <w:t xml:space="preserve">that </w:t>
      </w:r>
      <w:r w:rsidR="0089506D">
        <w:rPr>
          <w:rFonts w:ascii="Arial" w:hAnsi="Arial" w:cs="Arial"/>
          <w:sz w:val="24"/>
          <w:szCs w:val="24"/>
        </w:rPr>
        <w:t>provide</w:t>
      </w:r>
      <w:r w:rsidR="003471CB">
        <w:rPr>
          <w:rFonts w:ascii="Arial" w:hAnsi="Arial" w:cs="Arial"/>
          <w:sz w:val="24"/>
          <w:szCs w:val="24"/>
        </w:rPr>
        <w:t>s for th</w:t>
      </w:r>
      <w:r w:rsidR="0089506D">
        <w:rPr>
          <w:rFonts w:ascii="Arial" w:hAnsi="Arial" w:cs="Arial"/>
          <w:sz w:val="24"/>
          <w:szCs w:val="24"/>
        </w:rPr>
        <w:t xml:space="preserve">e Closure Application </w:t>
      </w:r>
      <w:r w:rsidR="003471CB">
        <w:rPr>
          <w:rFonts w:ascii="Arial" w:hAnsi="Arial" w:cs="Arial"/>
          <w:sz w:val="24"/>
          <w:szCs w:val="24"/>
        </w:rPr>
        <w:t>to</w:t>
      </w:r>
      <w:r w:rsidR="0089506D">
        <w:rPr>
          <w:rFonts w:ascii="Arial" w:hAnsi="Arial" w:cs="Arial"/>
          <w:sz w:val="24"/>
          <w:szCs w:val="24"/>
        </w:rPr>
        <w:t xml:space="preserve"> include amongst others a record of </w:t>
      </w:r>
      <w:r w:rsidR="00B13575">
        <w:rPr>
          <w:rFonts w:ascii="Arial" w:hAnsi="Arial" w:cs="Arial"/>
          <w:sz w:val="24"/>
          <w:szCs w:val="24"/>
        </w:rPr>
        <w:t>interested and affected persons consulted</w:t>
      </w:r>
      <w:r w:rsidR="0089506D">
        <w:rPr>
          <w:rFonts w:ascii="Arial" w:hAnsi="Arial" w:cs="Arial"/>
          <w:sz w:val="24"/>
          <w:szCs w:val="24"/>
        </w:rPr>
        <w:t xml:space="preserve"> </w:t>
      </w:r>
      <w:r w:rsidR="00B13575">
        <w:rPr>
          <w:rFonts w:ascii="Arial" w:hAnsi="Arial" w:cs="Arial"/>
          <w:sz w:val="24"/>
          <w:szCs w:val="24"/>
        </w:rPr>
        <w:t xml:space="preserve">and s 2 (4) (k) of NEMA </w:t>
      </w:r>
      <w:r w:rsidR="003471CB">
        <w:rPr>
          <w:rFonts w:ascii="Arial" w:hAnsi="Arial" w:cs="Arial"/>
          <w:sz w:val="24"/>
          <w:szCs w:val="24"/>
        </w:rPr>
        <w:t xml:space="preserve">that </w:t>
      </w:r>
      <w:r w:rsidR="00B13575">
        <w:rPr>
          <w:rFonts w:ascii="Arial" w:hAnsi="Arial" w:cs="Arial"/>
          <w:sz w:val="24"/>
          <w:szCs w:val="24"/>
        </w:rPr>
        <w:t xml:space="preserve">requires that the decision be taken in an open and transparent manner. </w:t>
      </w:r>
      <w:r w:rsidR="00C45584">
        <w:rPr>
          <w:rFonts w:ascii="Arial" w:hAnsi="Arial" w:cs="Arial"/>
          <w:sz w:val="24"/>
          <w:szCs w:val="24"/>
        </w:rPr>
        <w:t>Respondent also pointed out that DBCM has confirmed to have sold the property to a game farmer who would use it for game and stock farming</w:t>
      </w:r>
      <w:r w:rsidR="0022768E">
        <w:rPr>
          <w:rFonts w:ascii="Arial" w:hAnsi="Arial" w:cs="Arial"/>
          <w:sz w:val="24"/>
          <w:szCs w:val="24"/>
        </w:rPr>
        <w:t xml:space="preserve"> pointing out that </w:t>
      </w:r>
      <w:r w:rsidR="00B13575">
        <w:rPr>
          <w:rFonts w:ascii="Arial" w:hAnsi="Arial" w:cs="Arial"/>
          <w:sz w:val="24"/>
          <w:szCs w:val="24"/>
        </w:rPr>
        <w:t xml:space="preserve">s 33 (b) of the Constitution entitles everyone to procedurally fair administrative action where any of their rights or legitimate expectations is affected or threatened. </w:t>
      </w:r>
    </w:p>
    <w:p w14:paraId="2502AEEF" w14:textId="5C4F4B14" w:rsidR="0089506D" w:rsidRPr="0089506D" w:rsidRDefault="00B13575" w:rsidP="0089506D">
      <w:pPr>
        <w:tabs>
          <w:tab w:val="left" w:pos="0"/>
        </w:tabs>
        <w:spacing w:after="0" w:line="360" w:lineRule="auto"/>
        <w:jc w:val="both"/>
        <w:rPr>
          <w:rFonts w:ascii="Arial" w:hAnsi="Arial" w:cs="Arial"/>
          <w:i/>
          <w:iCs/>
          <w:sz w:val="24"/>
          <w:szCs w:val="24"/>
        </w:rPr>
      </w:pPr>
      <w:r>
        <w:rPr>
          <w:rFonts w:ascii="Arial" w:hAnsi="Arial" w:cs="Arial"/>
          <w:sz w:val="24"/>
          <w:szCs w:val="24"/>
        </w:rPr>
        <w:t xml:space="preserve"> </w:t>
      </w:r>
    </w:p>
    <w:p w14:paraId="6239A55B" w14:textId="29C95E88" w:rsidR="00BD75D5" w:rsidRDefault="00BD75D5" w:rsidP="00BD75D5">
      <w:pPr>
        <w:tabs>
          <w:tab w:val="left" w:pos="0"/>
        </w:tabs>
        <w:spacing w:after="0" w:line="360" w:lineRule="auto"/>
        <w:jc w:val="both"/>
        <w:rPr>
          <w:rFonts w:ascii="Arial" w:hAnsi="Arial" w:cs="Arial"/>
          <w:sz w:val="24"/>
          <w:szCs w:val="24"/>
        </w:rPr>
      </w:pPr>
      <w:r>
        <w:rPr>
          <w:rFonts w:ascii="Arial" w:hAnsi="Arial" w:cs="Arial"/>
          <w:sz w:val="24"/>
          <w:szCs w:val="24"/>
        </w:rPr>
        <w:t>[</w:t>
      </w:r>
      <w:r w:rsidR="00EB031A">
        <w:rPr>
          <w:rFonts w:ascii="Arial" w:hAnsi="Arial" w:cs="Arial"/>
          <w:sz w:val="24"/>
          <w:szCs w:val="24"/>
        </w:rPr>
        <w:t>4</w:t>
      </w:r>
      <w:r w:rsidR="000D4DEB">
        <w:rPr>
          <w:rFonts w:ascii="Arial" w:hAnsi="Arial" w:cs="Arial"/>
          <w:sz w:val="24"/>
          <w:szCs w:val="24"/>
        </w:rPr>
        <w:t>3</w:t>
      </w:r>
      <w:r>
        <w:rPr>
          <w:rFonts w:ascii="Arial" w:hAnsi="Arial" w:cs="Arial"/>
          <w:sz w:val="24"/>
          <w:szCs w:val="24"/>
        </w:rPr>
        <w:t>]</w:t>
      </w:r>
      <w:r>
        <w:rPr>
          <w:rFonts w:ascii="Arial" w:hAnsi="Arial" w:cs="Arial"/>
          <w:sz w:val="24"/>
          <w:szCs w:val="24"/>
        </w:rPr>
        <w:tab/>
      </w:r>
      <w:r w:rsidR="00EB031A">
        <w:rPr>
          <w:rFonts w:ascii="Arial" w:hAnsi="Arial" w:cs="Arial"/>
          <w:sz w:val="24"/>
          <w:szCs w:val="24"/>
        </w:rPr>
        <w:t>O</w:t>
      </w:r>
      <w:r w:rsidR="00C45584">
        <w:rPr>
          <w:rFonts w:ascii="Arial" w:hAnsi="Arial" w:cs="Arial"/>
          <w:sz w:val="24"/>
          <w:szCs w:val="24"/>
        </w:rPr>
        <w:t>n the issue of joinder</w:t>
      </w:r>
      <w:r w:rsidR="003C57F5">
        <w:rPr>
          <w:rFonts w:ascii="Arial" w:hAnsi="Arial" w:cs="Arial"/>
          <w:sz w:val="24"/>
          <w:szCs w:val="24"/>
        </w:rPr>
        <w:t>,</w:t>
      </w:r>
      <w:r w:rsidR="00C45584">
        <w:rPr>
          <w:rFonts w:ascii="Arial" w:hAnsi="Arial" w:cs="Arial"/>
          <w:sz w:val="24"/>
          <w:szCs w:val="24"/>
        </w:rPr>
        <w:t xml:space="preserve"> the </w:t>
      </w:r>
      <w:r w:rsidR="0022768E">
        <w:rPr>
          <w:rFonts w:ascii="Arial" w:hAnsi="Arial" w:cs="Arial"/>
          <w:sz w:val="24"/>
          <w:szCs w:val="24"/>
        </w:rPr>
        <w:t xml:space="preserve">DBCM is said to have </w:t>
      </w:r>
      <w:r w:rsidR="00FB4F3F" w:rsidRPr="00BD75D5">
        <w:rPr>
          <w:rFonts w:ascii="Arial" w:hAnsi="Arial" w:cs="Arial"/>
          <w:sz w:val="24"/>
          <w:szCs w:val="24"/>
        </w:rPr>
        <w:t>failed to join the Minister of Limpopo Economic Development, Environment and Tourism (MEC: LEDET), Department of Environmental Affairs, Minister of Water and Sanitation, Blouberg Local Municipality, Limpopo Heritage Resources Authority (LHRA), Chief Inspector of Mines</w:t>
      </w:r>
      <w:r w:rsidR="00C45584">
        <w:rPr>
          <w:rFonts w:ascii="Arial" w:hAnsi="Arial" w:cs="Arial"/>
          <w:sz w:val="24"/>
          <w:szCs w:val="24"/>
        </w:rPr>
        <w:t>. According to the R</w:t>
      </w:r>
      <w:r w:rsidR="00FB4F3F" w:rsidRPr="00BD75D5">
        <w:rPr>
          <w:rFonts w:ascii="Arial" w:hAnsi="Arial" w:cs="Arial"/>
          <w:sz w:val="24"/>
          <w:szCs w:val="24"/>
        </w:rPr>
        <w:t>espondent, given that the</w:t>
      </w:r>
      <w:r w:rsidR="0022768E">
        <w:rPr>
          <w:rFonts w:ascii="Arial" w:hAnsi="Arial" w:cs="Arial"/>
          <w:sz w:val="24"/>
          <w:szCs w:val="24"/>
        </w:rPr>
        <w:t xml:space="preserve"> parties not joined </w:t>
      </w:r>
      <w:r w:rsidR="00FB4F3F" w:rsidRPr="00BD75D5">
        <w:rPr>
          <w:rFonts w:ascii="Arial" w:hAnsi="Arial" w:cs="Arial"/>
          <w:sz w:val="24"/>
          <w:szCs w:val="24"/>
        </w:rPr>
        <w:t xml:space="preserve">have specialist expertise in their respective fields, these parties are directly and profoundly involved in this matter </w:t>
      </w:r>
      <w:r w:rsidR="0022768E">
        <w:rPr>
          <w:rFonts w:ascii="Arial" w:hAnsi="Arial" w:cs="Arial"/>
          <w:sz w:val="24"/>
          <w:szCs w:val="24"/>
        </w:rPr>
        <w:t xml:space="preserve">including </w:t>
      </w:r>
      <w:r w:rsidR="00FA53E9">
        <w:rPr>
          <w:rFonts w:ascii="Arial" w:hAnsi="Arial" w:cs="Arial"/>
          <w:sz w:val="24"/>
          <w:szCs w:val="24"/>
        </w:rPr>
        <w:t xml:space="preserve">the </w:t>
      </w:r>
      <w:r w:rsidR="00E4038F" w:rsidRPr="00BD75D5">
        <w:rPr>
          <w:rFonts w:ascii="Arial" w:hAnsi="Arial" w:cs="Arial"/>
          <w:sz w:val="24"/>
          <w:szCs w:val="24"/>
        </w:rPr>
        <w:t xml:space="preserve">adjacent landowners. </w:t>
      </w:r>
      <w:r w:rsidR="003C57F5">
        <w:rPr>
          <w:rFonts w:ascii="Arial" w:hAnsi="Arial" w:cs="Arial"/>
          <w:sz w:val="24"/>
          <w:szCs w:val="24"/>
        </w:rPr>
        <w:t>T</w:t>
      </w:r>
      <w:r w:rsidR="00FB4F3F" w:rsidRPr="00BD75D5">
        <w:rPr>
          <w:rFonts w:ascii="Arial" w:hAnsi="Arial" w:cs="Arial"/>
          <w:sz w:val="24"/>
          <w:szCs w:val="24"/>
        </w:rPr>
        <w:t xml:space="preserve">he </w:t>
      </w:r>
      <w:r w:rsidR="00FA53E9">
        <w:rPr>
          <w:rFonts w:ascii="Arial" w:hAnsi="Arial" w:cs="Arial"/>
          <w:sz w:val="24"/>
          <w:szCs w:val="24"/>
        </w:rPr>
        <w:t>R</w:t>
      </w:r>
      <w:r w:rsidR="00FB4F3F" w:rsidRPr="00BD75D5">
        <w:rPr>
          <w:rFonts w:ascii="Arial" w:hAnsi="Arial" w:cs="Arial"/>
          <w:sz w:val="24"/>
          <w:szCs w:val="24"/>
        </w:rPr>
        <w:t>espondent</w:t>
      </w:r>
      <w:r w:rsidR="00FA53E9">
        <w:rPr>
          <w:rFonts w:ascii="Arial" w:hAnsi="Arial" w:cs="Arial"/>
          <w:sz w:val="24"/>
          <w:szCs w:val="24"/>
        </w:rPr>
        <w:t>s</w:t>
      </w:r>
      <w:r w:rsidR="00FB4F3F" w:rsidRPr="00BD75D5">
        <w:rPr>
          <w:rFonts w:ascii="Arial" w:hAnsi="Arial" w:cs="Arial"/>
          <w:sz w:val="24"/>
          <w:szCs w:val="24"/>
        </w:rPr>
        <w:t xml:space="preserve"> therefore argue that </w:t>
      </w:r>
      <w:r w:rsidR="00E4038F" w:rsidRPr="00BD75D5">
        <w:rPr>
          <w:rFonts w:ascii="Arial" w:hAnsi="Arial" w:cs="Arial"/>
          <w:sz w:val="24"/>
          <w:szCs w:val="24"/>
        </w:rPr>
        <w:t xml:space="preserve">the non-joinder of these </w:t>
      </w:r>
      <w:r w:rsidR="00C45584">
        <w:rPr>
          <w:rFonts w:ascii="Arial" w:hAnsi="Arial" w:cs="Arial"/>
          <w:sz w:val="24"/>
          <w:szCs w:val="24"/>
        </w:rPr>
        <w:t xml:space="preserve">parties </w:t>
      </w:r>
      <w:r w:rsidR="00E4038F" w:rsidRPr="00BD75D5">
        <w:rPr>
          <w:rFonts w:ascii="Arial" w:hAnsi="Arial" w:cs="Arial"/>
          <w:sz w:val="24"/>
          <w:szCs w:val="24"/>
        </w:rPr>
        <w:t xml:space="preserve">is dispositive of the matter and therefore </w:t>
      </w:r>
      <w:r w:rsidR="00FB4F3F" w:rsidRPr="00BD75D5">
        <w:rPr>
          <w:rFonts w:ascii="Arial" w:hAnsi="Arial" w:cs="Arial"/>
          <w:sz w:val="24"/>
          <w:szCs w:val="24"/>
        </w:rPr>
        <w:t>the review application before this court should be dismissed.</w:t>
      </w:r>
    </w:p>
    <w:p w14:paraId="3774A190" w14:textId="77777777" w:rsidR="00C45584" w:rsidRDefault="00C45584" w:rsidP="00B5150F">
      <w:pPr>
        <w:tabs>
          <w:tab w:val="left" w:pos="0"/>
        </w:tabs>
        <w:spacing w:after="0" w:line="360" w:lineRule="auto"/>
        <w:jc w:val="both"/>
        <w:rPr>
          <w:rFonts w:ascii="Arial" w:hAnsi="Arial" w:cs="Arial"/>
          <w:b/>
          <w:sz w:val="24"/>
          <w:szCs w:val="24"/>
        </w:rPr>
      </w:pPr>
    </w:p>
    <w:p w14:paraId="136D519B" w14:textId="190705C7" w:rsidR="00C45584" w:rsidRPr="00C45584" w:rsidRDefault="0022768E" w:rsidP="00B5150F">
      <w:pPr>
        <w:tabs>
          <w:tab w:val="left" w:pos="0"/>
        </w:tabs>
        <w:spacing w:after="0" w:line="360" w:lineRule="auto"/>
        <w:jc w:val="both"/>
        <w:rPr>
          <w:rFonts w:ascii="Arial" w:hAnsi="Arial" w:cs="Arial"/>
          <w:b/>
          <w:sz w:val="24"/>
          <w:szCs w:val="24"/>
        </w:rPr>
      </w:pPr>
      <w:r>
        <w:rPr>
          <w:rFonts w:ascii="Arial" w:hAnsi="Arial" w:cs="Arial"/>
          <w:b/>
          <w:sz w:val="24"/>
          <w:szCs w:val="24"/>
        </w:rPr>
        <w:t>T</w:t>
      </w:r>
      <w:r w:rsidR="00C45584" w:rsidRPr="00C45584">
        <w:rPr>
          <w:rFonts w:ascii="Arial" w:hAnsi="Arial" w:cs="Arial"/>
          <w:b/>
          <w:sz w:val="24"/>
          <w:szCs w:val="24"/>
        </w:rPr>
        <w:t xml:space="preserve">he pit closure </w:t>
      </w:r>
    </w:p>
    <w:p w14:paraId="5F89A505" w14:textId="77777777" w:rsidR="00C45584" w:rsidRDefault="00C45584" w:rsidP="00B5150F">
      <w:pPr>
        <w:tabs>
          <w:tab w:val="left" w:pos="0"/>
        </w:tabs>
        <w:spacing w:after="0" w:line="360" w:lineRule="auto"/>
        <w:jc w:val="both"/>
        <w:rPr>
          <w:rFonts w:ascii="Arial" w:hAnsi="Arial" w:cs="Arial"/>
          <w:sz w:val="24"/>
          <w:szCs w:val="24"/>
        </w:rPr>
      </w:pPr>
    </w:p>
    <w:p w14:paraId="30A5100A" w14:textId="502D8A31" w:rsidR="00790F9F" w:rsidRDefault="00C45584" w:rsidP="00B5150F">
      <w:pPr>
        <w:tabs>
          <w:tab w:val="left" w:pos="0"/>
        </w:tabs>
        <w:spacing w:after="0" w:line="360" w:lineRule="auto"/>
        <w:jc w:val="both"/>
        <w:rPr>
          <w:rFonts w:ascii="Arial" w:hAnsi="Arial" w:cs="Arial"/>
          <w:sz w:val="24"/>
          <w:szCs w:val="24"/>
        </w:rPr>
      </w:pPr>
      <w:r>
        <w:rPr>
          <w:rFonts w:ascii="Arial" w:hAnsi="Arial" w:cs="Arial"/>
          <w:sz w:val="24"/>
          <w:szCs w:val="24"/>
        </w:rPr>
        <w:t>[</w:t>
      </w:r>
      <w:r w:rsidR="00E348BE">
        <w:rPr>
          <w:rFonts w:ascii="Arial" w:hAnsi="Arial" w:cs="Arial"/>
          <w:sz w:val="24"/>
          <w:szCs w:val="24"/>
        </w:rPr>
        <w:t>4</w:t>
      </w:r>
      <w:r w:rsidR="000D4DEB">
        <w:rPr>
          <w:rFonts w:ascii="Arial" w:hAnsi="Arial" w:cs="Arial"/>
          <w:sz w:val="24"/>
          <w:szCs w:val="24"/>
        </w:rPr>
        <w:t>4</w:t>
      </w:r>
      <w:r w:rsidR="00BD75D5">
        <w:rPr>
          <w:rFonts w:ascii="Arial" w:hAnsi="Arial" w:cs="Arial"/>
          <w:sz w:val="24"/>
          <w:szCs w:val="24"/>
        </w:rPr>
        <w:t xml:space="preserve">] </w:t>
      </w:r>
      <w:r>
        <w:rPr>
          <w:rFonts w:ascii="Arial" w:hAnsi="Arial" w:cs="Arial"/>
          <w:sz w:val="24"/>
          <w:szCs w:val="24"/>
        </w:rPr>
        <w:t xml:space="preserve">The </w:t>
      </w:r>
      <w:r w:rsidR="00BD75D5">
        <w:rPr>
          <w:rFonts w:ascii="Arial" w:hAnsi="Arial" w:cs="Arial"/>
          <w:sz w:val="24"/>
          <w:szCs w:val="24"/>
        </w:rPr>
        <w:t>Respondents disputes D</w:t>
      </w:r>
      <w:r>
        <w:rPr>
          <w:rFonts w:ascii="Arial" w:hAnsi="Arial" w:cs="Arial"/>
          <w:sz w:val="24"/>
          <w:szCs w:val="24"/>
        </w:rPr>
        <w:t>BCM’s</w:t>
      </w:r>
      <w:r w:rsidR="00BD75D5">
        <w:rPr>
          <w:rFonts w:ascii="Arial" w:hAnsi="Arial" w:cs="Arial"/>
          <w:sz w:val="24"/>
          <w:szCs w:val="24"/>
        </w:rPr>
        <w:t xml:space="preserve"> assertion that in terms of the </w:t>
      </w:r>
      <w:r>
        <w:rPr>
          <w:rFonts w:ascii="Arial" w:hAnsi="Arial" w:cs="Arial"/>
          <w:sz w:val="24"/>
          <w:szCs w:val="24"/>
        </w:rPr>
        <w:t xml:space="preserve">amended </w:t>
      </w:r>
      <w:r w:rsidR="00BD75D5">
        <w:rPr>
          <w:rFonts w:ascii="Arial" w:hAnsi="Arial" w:cs="Arial"/>
          <w:sz w:val="24"/>
          <w:szCs w:val="24"/>
        </w:rPr>
        <w:t>EMP of May</w:t>
      </w:r>
      <w:r w:rsidR="0022768E">
        <w:rPr>
          <w:rFonts w:ascii="Arial" w:hAnsi="Arial" w:cs="Arial"/>
          <w:sz w:val="24"/>
          <w:szCs w:val="24"/>
        </w:rPr>
        <w:t>/July</w:t>
      </w:r>
      <w:r w:rsidR="00BD75D5">
        <w:rPr>
          <w:rFonts w:ascii="Arial" w:hAnsi="Arial" w:cs="Arial"/>
          <w:sz w:val="24"/>
          <w:szCs w:val="24"/>
        </w:rPr>
        <w:t xml:space="preserve"> 2003 </w:t>
      </w:r>
      <w:r w:rsidR="00790F9F">
        <w:rPr>
          <w:rFonts w:ascii="Arial" w:hAnsi="Arial" w:cs="Arial"/>
          <w:sz w:val="24"/>
          <w:szCs w:val="24"/>
        </w:rPr>
        <w:t xml:space="preserve">(amended EMP) </w:t>
      </w:r>
      <w:r w:rsidR="00BD75D5">
        <w:rPr>
          <w:rFonts w:ascii="Arial" w:hAnsi="Arial" w:cs="Arial"/>
          <w:sz w:val="24"/>
          <w:szCs w:val="24"/>
        </w:rPr>
        <w:t>the pit at the Oaks Mine w</w:t>
      </w:r>
      <w:r>
        <w:rPr>
          <w:rFonts w:ascii="Arial" w:hAnsi="Arial" w:cs="Arial"/>
          <w:sz w:val="24"/>
          <w:szCs w:val="24"/>
        </w:rPr>
        <w:t xml:space="preserve">as to </w:t>
      </w:r>
      <w:r w:rsidR="00BD75D5">
        <w:rPr>
          <w:rFonts w:ascii="Arial" w:hAnsi="Arial" w:cs="Arial"/>
          <w:sz w:val="24"/>
          <w:szCs w:val="24"/>
        </w:rPr>
        <w:t xml:space="preserve">remain open after cessation of the mining operations, </w:t>
      </w:r>
      <w:r w:rsidR="00790F9F">
        <w:rPr>
          <w:rFonts w:ascii="Arial" w:hAnsi="Arial" w:cs="Arial"/>
          <w:sz w:val="24"/>
          <w:szCs w:val="24"/>
        </w:rPr>
        <w:t xml:space="preserve">as a result </w:t>
      </w:r>
      <w:r w:rsidR="00BD75D5">
        <w:rPr>
          <w:rFonts w:ascii="Arial" w:hAnsi="Arial" w:cs="Arial"/>
          <w:sz w:val="24"/>
          <w:szCs w:val="24"/>
        </w:rPr>
        <w:t xml:space="preserve">the Minister should have granted the </w:t>
      </w:r>
      <w:r w:rsidR="00790F9F">
        <w:rPr>
          <w:rFonts w:ascii="Arial" w:hAnsi="Arial" w:cs="Arial"/>
          <w:sz w:val="24"/>
          <w:szCs w:val="24"/>
        </w:rPr>
        <w:t xml:space="preserve">Oaks Mine the </w:t>
      </w:r>
      <w:r w:rsidR="00BD75D5">
        <w:rPr>
          <w:rFonts w:ascii="Arial" w:hAnsi="Arial" w:cs="Arial"/>
          <w:sz w:val="24"/>
          <w:szCs w:val="24"/>
        </w:rPr>
        <w:t xml:space="preserve">closure certificate in terms of s 43 </w:t>
      </w:r>
      <w:r w:rsidR="00B5150F">
        <w:rPr>
          <w:rFonts w:ascii="Arial" w:hAnsi="Arial" w:cs="Arial"/>
          <w:sz w:val="24"/>
          <w:szCs w:val="24"/>
        </w:rPr>
        <w:t xml:space="preserve">(3) </w:t>
      </w:r>
      <w:r w:rsidR="00BD75D5">
        <w:rPr>
          <w:rFonts w:ascii="Arial" w:hAnsi="Arial" w:cs="Arial"/>
          <w:sz w:val="24"/>
          <w:szCs w:val="24"/>
        </w:rPr>
        <w:t xml:space="preserve">of </w:t>
      </w:r>
      <w:r w:rsidR="00B5150F">
        <w:rPr>
          <w:rFonts w:ascii="Arial" w:hAnsi="Arial" w:cs="Arial"/>
          <w:sz w:val="24"/>
          <w:szCs w:val="24"/>
        </w:rPr>
        <w:t xml:space="preserve">the </w:t>
      </w:r>
      <w:r w:rsidR="00BD75D5">
        <w:rPr>
          <w:rFonts w:ascii="Arial" w:hAnsi="Arial" w:cs="Arial"/>
          <w:sz w:val="24"/>
          <w:szCs w:val="24"/>
        </w:rPr>
        <w:t>MPRDA</w:t>
      </w:r>
      <w:r w:rsidR="0058372C">
        <w:rPr>
          <w:rFonts w:ascii="Arial" w:hAnsi="Arial" w:cs="Arial"/>
          <w:sz w:val="24"/>
          <w:szCs w:val="24"/>
        </w:rPr>
        <w:t xml:space="preserve"> not as amended</w:t>
      </w:r>
      <w:r w:rsidR="00790F9F">
        <w:rPr>
          <w:rFonts w:ascii="Arial" w:hAnsi="Arial" w:cs="Arial"/>
          <w:sz w:val="24"/>
          <w:szCs w:val="24"/>
        </w:rPr>
        <w:t xml:space="preserve">. </w:t>
      </w:r>
    </w:p>
    <w:p w14:paraId="7B5451FD" w14:textId="77777777" w:rsidR="00790F9F" w:rsidRDefault="00790F9F" w:rsidP="00B5150F">
      <w:pPr>
        <w:tabs>
          <w:tab w:val="left" w:pos="0"/>
        </w:tabs>
        <w:spacing w:after="0" w:line="360" w:lineRule="auto"/>
        <w:jc w:val="both"/>
        <w:rPr>
          <w:rFonts w:ascii="Arial" w:hAnsi="Arial" w:cs="Arial"/>
          <w:sz w:val="24"/>
          <w:szCs w:val="24"/>
        </w:rPr>
      </w:pPr>
    </w:p>
    <w:p w14:paraId="558BE05A" w14:textId="017B54B2" w:rsidR="00B5150F" w:rsidRDefault="00B5150F"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E348BE">
        <w:rPr>
          <w:rFonts w:ascii="Arial" w:hAnsi="Arial" w:cs="Arial"/>
          <w:sz w:val="24"/>
          <w:szCs w:val="24"/>
        </w:rPr>
        <w:t>4</w:t>
      </w:r>
      <w:r w:rsidR="000D4DEB">
        <w:rPr>
          <w:rFonts w:ascii="Arial" w:hAnsi="Arial" w:cs="Arial"/>
          <w:sz w:val="24"/>
          <w:szCs w:val="24"/>
        </w:rPr>
        <w:t>5</w:t>
      </w:r>
      <w:r>
        <w:rPr>
          <w:rFonts w:ascii="Arial" w:hAnsi="Arial" w:cs="Arial"/>
          <w:sz w:val="24"/>
          <w:szCs w:val="24"/>
        </w:rPr>
        <w:t>]</w:t>
      </w:r>
      <w:r>
        <w:rPr>
          <w:rFonts w:ascii="Arial" w:hAnsi="Arial" w:cs="Arial"/>
          <w:sz w:val="24"/>
          <w:szCs w:val="24"/>
        </w:rPr>
        <w:tab/>
        <w:t>According to the Respondent</w:t>
      </w:r>
      <w:r w:rsidR="003C57F5">
        <w:rPr>
          <w:rFonts w:ascii="Arial" w:hAnsi="Arial" w:cs="Arial"/>
          <w:sz w:val="24"/>
          <w:szCs w:val="24"/>
        </w:rPr>
        <w:t>s</w:t>
      </w:r>
      <w:r>
        <w:rPr>
          <w:rFonts w:ascii="Arial" w:hAnsi="Arial" w:cs="Arial"/>
          <w:sz w:val="24"/>
          <w:szCs w:val="24"/>
        </w:rPr>
        <w:t xml:space="preserve"> the Oaks Mine </w:t>
      </w:r>
      <w:r w:rsidR="0022768E">
        <w:rPr>
          <w:rFonts w:ascii="Arial" w:hAnsi="Arial" w:cs="Arial"/>
          <w:sz w:val="24"/>
          <w:szCs w:val="24"/>
        </w:rPr>
        <w:t>amend</w:t>
      </w:r>
      <w:r w:rsidR="00E348BE">
        <w:rPr>
          <w:rFonts w:ascii="Arial" w:hAnsi="Arial" w:cs="Arial"/>
          <w:sz w:val="24"/>
          <w:szCs w:val="24"/>
        </w:rPr>
        <w:t>ed</w:t>
      </w:r>
      <w:r w:rsidR="0022768E">
        <w:rPr>
          <w:rFonts w:ascii="Arial" w:hAnsi="Arial" w:cs="Arial"/>
          <w:sz w:val="24"/>
          <w:szCs w:val="24"/>
        </w:rPr>
        <w:t xml:space="preserve"> </w:t>
      </w:r>
      <w:r>
        <w:rPr>
          <w:rFonts w:ascii="Arial" w:hAnsi="Arial" w:cs="Arial"/>
          <w:sz w:val="24"/>
          <w:szCs w:val="24"/>
        </w:rPr>
        <w:t xml:space="preserve">EMP of May 2003 was approved in terms of s 39 (2) on condition </w:t>
      </w:r>
      <w:r w:rsidR="0022768E">
        <w:rPr>
          <w:rFonts w:ascii="Arial" w:hAnsi="Arial" w:cs="Arial"/>
          <w:sz w:val="24"/>
          <w:szCs w:val="24"/>
        </w:rPr>
        <w:t>(</w:t>
      </w:r>
      <w:r>
        <w:rPr>
          <w:rFonts w:ascii="Arial" w:hAnsi="Arial" w:cs="Arial"/>
          <w:sz w:val="24"/>
          <w:szCs w:val="24"/>
        </w:rPr>
        <w:t xml:space="preserve">that </w:t>
      </w:r>
      <w:r w:rsidR="00FA53E9">
        <w:rPr>
          <w:rFonts w:ascii="Arial" w:hAnsi="Arial" w:cs="Arial"/>
          <w:sz w:val="24"/>
          <w:szCs w:val="24"/>
        </w:rPr>
        <w:t>is contained in the EMP</w:t>
      </w:r>
      <w:r w:rsidR="00E348BE">
        <w:rPr>
          <w:rFonts w:ascii="Arial" w:hAnsi="Arial" w:cs="Arial"/>
          <w:sz w:val="24"/>
          <w:szCs w:val="24"/>
        </w:rPr>
        <w:t>)</w:t>
      </w:r>
      <w:r w:rsidR="00FA53E9">
        <w:rPr>
          <w:rFonts w:ascii="Arial" w:hAnsi="Arial" w:cs="Arial"/>
          <w:sz w:val="24"/>
          <w:szCs w:val="24"/>
        </w:rPr>
        <w:t xml:space="preserve"> that DBCM</w:t>
      </w:r>
      <w:r w:rsidR="0022768E">
        <w:rPr>
          <w:rFonts w:ascii="Arial" w:hAnsi="Arial" w:cs="Arial"/>
          <w:sz w:val="24"/>
          <w:szCs w:val="24"/>
        </w:rPr>
        <w:t>,</w:t>
      </w:r>
      <w:r w:rsidR="00FA53E9">
        <w:rPr>
          <w:rFonts w:ascii="Arial" w:hAnsi="Arial" w:cs="Arial"/>
          <w:sz w:val="24"/>
          <w:szCs w:val="24"/>
        </w:rPr>
        <w:t xml:space="preserve"> as the holder of the old order mining right will notify and consult with all </w:t>
      </w:r>
      <w:r>
        <w:rPr>
          <w:rFonts w:ascii="Arial" w:hAnsi="Arial" w:cs="Arial"/>
          <w:sz w:val="24"/>
          <w:szCs w:val="24"/>
        </w:rPr>
        <w:t xml:space="preserve">the </w:t>
      </w:r>
      <w:r w:rsidR="00FA53E9">
        <w:rPr>
          <w:rFonts w:ascii="Arial" w:hAnsi="Arial" w:cs="Arial"/>
          <w:sz w:val="24"/>
          <w:szCs w:val="24"/>
        </w:rPr>
        <w:t>affected and interested parties as required in terms of s 2 (4) (f) and s 2 (4) (k) of NEMA</w:t>
      </w:r>
      <w:r w:rsidR="0022768E">
        <w:rPr>
          <w:rFonts w:ascii="Arial" w:hAnsi="Arial" w:cs="Arial"/>
          <w:sz w:val="24"/>
          <w:szCs w:val="24"/>
        </w:rPr>
        <w:t>,</w:t>
      </w:r>
      <w:r w:rsidR="00407359">
        <w:rPr>
          <w:rFonts w:ascii="Arial" w:hAnsi="Arial" w:cs="Arial"/>
          <w:sz w:val="24"/>
          <w:szCs w:val="24"/>
        </w:rPr>
        <w:t xml:space="preserve"> read with s 33 (b) of the Constitution. </w:t>
      </w:r>
      <w:r w:rsidR="00407359" w:rsidRPr="00E348BE">
        <w:rPr>
          <w:rFonts w:ascii="Arial" w:hAnsi="Arial" w:cs="Arial"/>
          <w:sz w:val="24"/>
          <w:szCs w:val="24"/>
        </w:rPr>
        <w:t>However</w:t>
      </w:r>
      <w:r w:rsidR="0022768E" w:rsidRPr="00E348BE">
        <w:rPr>
          <w:rFonts w:ascii="Arial" w:hAnsi="Arial" w:cs="Arial"/>
          <w:sz w:val="24"/>
          <w:szCs w:val="24"/>
        </w:rPr>
        <w:t>,</w:t>
      </w:r>
      <w:r w:rsidR="00407359" w:rsidRPr="00E348BE">
        <w:rPr>
          <w:rFonts w:ascii="Arial" w:hAnsi="Arial" w:cs="Arial"/>
          <w:sz w:val="24"/>
          <w:szCs w:val="24"/>
        </w:rPr>
        <w:t xml:space="preserve"> </w:t>
      </w:r>
      <w:r w:rsidR="00FA53E9" w:rsidRPr="00E348BE">
        <w:rPr>
          <w:rFonts w:ascii="Arial" w:hAnsi="Arial" w:cs="Arial"/>
          <w:sz w:val="24"/>
          <w:szCs w:val="24"/>
        </w:rPr>
        <w:t>DBCM</w:t>
      </w:r>
      <w:r w:rsidR="0022768E" w:rsidRPr="00E348BE">
        <w:rPr>
          <w:rFonts w:ascii="Arial" w:hAnsi="Arial" w:cs="Arial"/>
          <w:sz w:val="24"/>
          <w:szCs w:val="24"/>
        </w:rPr>
        <w:t>’s</w:t>
      </w:r>
      <w:r w:rsidR="00FA53E9" w:rsidRPr="00E348BE">
        <w:rPr>
          <w:rFonts w:ascii="Arial" w:hAnsi="Arial" w:cs="Arial"/>
          <w:sz w:val="24"/>
          <w:szCs w:val="24"/>
        </w:rPr>
        <w:t xml:space="preserve"> record of notification and consultation </w:t>
      </w:r>
      <w:r w:rsidR="00232DA3" w:rsidRPr="00E348BE">
        <w:rPr>
          <w:rFonts w:ascii="Arial" w:hAnsi="Arial" w:cs="Arial"/>
          <w:sz w:val="24"/>
          <w:szCs w:val="24"/>
        </w:rPr>
        <w:t xml:space="preserve">with the relevant persons </w:t>
      </w:r>
      <w:r w:rsidR="00CF42D1" w:rsidRPr="00E348BE">
        <w:rPr>
          <w:rFonts w:ascii="Arial" w:hAnsi="Arial" w:cs="Arial"/>
          <w:sz w:val="24"/>
          <w:szCs w:val="24"/>
        </w:rPr>
        <w:t xml:space="preserve">after the approval </w:t>
      </w:r>
      <w:r w:rsidR="00232DA3" w:rsidRPr="00E348BE">
        <w:rPr>
          <w:rFonts w:ascii="Arial" w:hAnsi="Arial" w:cs="Arial"/>
          <w:sz w:val="24"/>
          <w:szCs w:val="24"/>
        </w:rPr>
        <w:t>was never submitted to the Regional Manager notwithstanding the condition</w:t>
      </w:r>
      <w:r w:rsidR="00424769" w:rsidRPr="00E348BE">
        <w:rPr>
          <w:rFonts w:ascii="Arial" w:hAnsi="Arial" w:cs="Arial"/>
          <w:sz w:val="24"/>
          <w:szCs w:val="24"/>
        </w:rPr>
        <w:t xml:space="preserve"> of the amended EPM approval</w:t>
      </w:r>
      <w:r w:rsidR="00232DA3" w:rsidRPr="00E348BE">
        <w:rPr>
          <w:rFonts w:ascii="Arial" w:hAnsi="Arial" w:cs="Arial"/>
          <w:sz w:val="24"/>
          <w:szCs w:val="24"/>
        </w:rPr>
        <w:t xml:space="preserve">. </w:t>
      </w:r>
      <w:r w:rsidR="0022768E">
        <w:rPr>
          <w:rFonts w:ascii="Arial" w:hAnsi="Arial" w:cs="Arial"/>
          <w:sz w:val="24"/>
          <w:szCs w:val="24"/>
        </w:rPr>
        <w:t>T</w:t>
      </w:r>
      <w:r w:rsidR="00424769">
        <w:rPr>
          <w:rFonts w:ascii="Arial" w:hAnsi="Arial" w:cs="Arial"/>
          <w:sz w:val="24"/>
          <w:szCs w:val="24"/>
        </w:rPr>
        <w:t xml:space="preserve">he failure by DBCM to subject the amended EPM of May 2003 and the Oaks Mine Closure </w:t>
      </w:r>
      <w:r w:rsidR="00424769">
        <w:rPr>
          <w:rFonts w:ascii="Arial" w:hAnsi="Arial" w:cs="Arial"/>
          <w:sz w:val="24"/>
          <w:szCs w:val="24"/>
        </w:rPr>
        <w:lastRenderedPageBreak/>
        <w:t xml:space="preserve">Plan of 2008 to public processes as per statutory requirement is fatal </w:t>
      </w:r>
      <w:r w:rsidR="0022768E">
        <w:rPr>
          <w:rFonts w:ascii="Arial" w:hAnsi="Arial" w:cs="Arial"/>
          <w:sz w:val="24"/>
          <w:szCs w:val="24"/>
        </w:rPr>
        <w:t xml:space="preserve">and </w:t>
      </w:r>
      <w:r w:rsidR="00424769">
        <w:rPr>
          <w:rFonts w:ascii="Arial" w:hAnsi="Arial" w:cs="Arial"/>
          <w:sz w:val="24"/>
          <w:szCs w:val="24"/>
        </w:rPr>
        <w:t>its review application sho</w:t>
      </w:r>
      <w:r w:rsidR="00331436">
        <w:rPr>
          <w:rFonts w:ascii="Arial" w:hAnsi="Arial" w:cs="Arial"/>
          <w:sz w:val="24"/>
          <w:szCs w:val="24"/>
        </w:rPr>
        <w:t>u</w:t>
      </w:r>
      <w:r w:rsidR="00424769">
        <w:rPr>
          <w:rFonts w:ascii="Arial" w:hAnsi="Arial" w:cs="Arial"/>
          <w:sz w:val="24"/>
          <w:szCs w:val="24"/>
        </w:rPr>
        <w:t>ld be dismissed on th</w:t>
      </w:r>
      <w:r w:rsidR="00331436">
        <w:rPr>
          <w:rFonts w:ascii="Arial" w:hAnsi="Arial" w:cs="Arial"/>
          <w:sz w:val="24"/>
          <w:szCs w:val="24"/>
        </w:rPr>
        <w:t>at</w:t>
      </w:r>
      <w:r w:rsidR="00424769">
        <w:rPr>
          <w:rFonts w:ascii="Arial" w:hAnsi="Arial" w:cs="Arial"/>
          <w:sz w:val="24"/>
          <w:szCs w:val="24"/>
        </w:rPr>
        <w:t xml:space="preserve"> ground only.  </w:t>
      </w:r>
    </w:p>
    <w:p w14:paraId="6C73DF76" w14:textId="3DB8A59A" w:rsidR="00424769" w:rsidRDefault="00424769" w:rsidP="0051441B">
      <w:pPr>
        <w:tabs>
          <w:tab w:val="left" w:pos="567"/>
        </w:tabs>
        <w:spacing w:after="0" w:line="360" w:lineRule="auto"/>
        <w:jc w:val="both"/>
        <w:rPr>
          <w:rFonts w:ascii="Arial" w:hAnsi="Arial" w:cs="Arial"/>
          <w:sz w:val="24"/>
          <w:szCs w:val="24"/>
        </w:rPr>
      </w:pPr>
    </w:p>
    <w:p w14:paraId="6FB5E54D" w14:textId="526895F1" w:rsidR="00424769" w:rsidRDefault="00424769"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F75B6C">
        <w:rPr>
          <w:rFonts w:ascii="Arial" w:hAnsi="Arial" w:cs="Arial"/>
          <w:sz w:val="24"/>
          <w:szCs w:val="24"/>
        </w:rPr>
        <w:t>4</w:t>
      </w:r>
      <w:r w:rsidR="000D4DEB">
        <w:rPr>
          <w:rFonts w:ascii="Arial" w:hAnsi="Arial" w:cs="Arial"/>
          <w:sz w:val="24"/>
          <w:szCs w:val="24"/>
        </w:rPr>
        <w:t>6</w:t>
      </w:r>
      <w:r>
        <w:rPr>
          <w:rFonts w:ascii="Arial" w:hAnsi="Arial" w:cs="Arial"/>
          <w:sz w:val="24"/>
          <w:szCs w:val="24"/>
        </w:rPr>
        <w:t>]</w:t>
      </w:r>
      <w:r>
        <w:rPr>
          <w:rFonts w:ascii="Arial" w:hAnsi="Arial" w:cs="Arial"/>
          <w:sz w:val="24"/>
          <w:szCs w:val="24"/>
        </w:rPr>
        <w:tab/>
        <w:t xml:space="preserve"> </w:t>
      </w:r>
      <w:r w:rsidRPr="00020870">
        <w:rPr>
          <w:rFonts w:ascii="Arial" w:hAnsi="Arial" w:cs="Arial"/>
          <w:sz w:val="24"/>
          <w:szCs w:val="24"/>
        </w:rPr>
        <w:t>Furthermore</w:t>
      </w:r>
      <w:r w:rsidR="009F63A0" w:rsidRPr="00020870">
        <w:rPr>
          <w:rFonts w:ascii="Arial" w:hAnsi="Arial" w:cs="Arial"/>
          <w:sz w:val="24"/>
          <w:szCs w:val="24"/>
        </w:rPr>
        <w:t>,</w:t>
      </w:r>
      <w:r w:rsidRPr="00020870">
        <w:rPr>
          <w:rFonts w:ascii="Arial" w:hAnsi="Arial" w:cs="Arial"/>
          <w:sz w:val="24"/>
          <w:szCs w:val="24"/>
        </w:rPr>
        <w:t xml:space="preserve"> on or about 2005 after the MPRDA came into effect </w:t>
      </w:r>
      <w:r w:rsidR="009443EE" w:rsidRPr="00020870">
        <w:rPr>
          <w:rFonts w:ascii="Arial" w:hAnsi="Arial" w:cs="Arial"/>
          <w:sz w:val="24"/>
          <w:szCs w:val="24"/>
        </w:rPr>
        <w:t xml:space="preserve">in 2004, </w:t>
      </w:r>
      <w:r w:rsidRPr="00020870">
        <w:rPr>
          <w:rFonts w:ascii="Arial" w:hAnsi="Arial" w:cs="Arial"/>
          <w:sz w:val="24"/>
          <w:szCs w:val="24"/>
        </w:rPr>
        <w:t xml:space="preserve">the DMRE </w:t>
      </w:r>
      <w:r w:rsidR="00FB7F38" w:rsidRPr="00020870">
        <w:rPr>
          <w:rFonts w:ascii="Arial" w:hAnsi="Arial" w:cs="Arial"/>
          <w:sz w:val="24"/>
          <w:szCs w:val="24"/>
        </w:rPr>
        <w:t>published guidelines a</w:t>
      </w:r>
      <w:r w:rsidR="00296764" w:rsidRPr="00020870">
        <w:rPr>
          <w:rFonts w:ascii="Arial" w:hAnsi="Arial" w:cs="Arial"/>
          <w:sz w:val="24"/>
          <w:szCs w:val="24"/>
        </w:rPr>
        <w:t>s</w:t>
      </w:r>
      <w:r w:rsidR="00FB7F38" w:rsidRPr="00020870">
        <w:rPr>
          <w:rFonts w:ascii="Arial" w:hAnsi="Arial" w:cs="Arial"/>
          <w:sz w:val="24"/>
          <w:szCs w:val="24"/>
        </w:rPr>
        <w:t xml:space="preserve"> contemplated in Regulation 54 (1) of the MPRDA Regulations titled “the Guideline Document for the Evaluation of Quantum Closure Related Financial Provision provided by a mine (the 2005 guidelines) introduc</w:t>
      </w:r>
      <w:r w:rsidR="00CF42D1" w:rsidRPr="00020870">
        <w:rPr>
          <w:rFonts w:ascii="Arial" w:hAnsi="Arial" w:cs="Arial"/>
          <w:sz w:val="24"/>
          <w:szCs w:val="24"/>
        </w:rPr>
        <w:t xml:space="preserve">ing </w:t>
      </w:r>
      <w:r w:rsidR="009443EE" w:rsidRPr="00020870">
        <w:rPr>
          <w:rFonts w:ascii="Arial" w:hAnsi="Arial" w:cs="Arial"/>
          <w:sz w:val="24"/>
          <w:szCs w:val="24"/>
        </w:rPr>
        <w:t xml:space="preserve">guidance </w:t>
      </w:r>
      <w:r w:rsidR="00CF42D1" w:rsidRPr="00020870">
        <w:rPr>
          <w:rFonts w:ascii="Arial" w:hAnsi="Arial" w:cs="Arial"/>
          <w:sz w:val="24"/>
          <w:szCs w:val="24"/>
        </w:rPr>
        <w:t>to</w:t>
      </w:r>
      <w:r w:rsidR="009443EE" w:rsidRPr="00020870">
        <w:rPr>
          <w:rFonts w:ascii="Arial" w:hAnsi="Arial" w:cs="Arial"/>
          <w:sz w:val="24"/>
          <w:szCs w:val="24"/>
        </w:rPr>
        <w:t xml:space="preserve"> holders of </w:t>
      </w:r>
      <w:r w:rsidR="00FB7F38" w:rsidRPr="00020870">
        <w:rPr>
          <w:rFonts w:ascii="Arial" w:hAnsi="Arial" w:cs="Arial"/>
          <w:sz w:val="24"/>
          <w:szCs w:val="24"/>
        </w:rPr>
        <w:t xml:space="preserve">old order mining rights </w:t>
      </w:r>
      <w:r w:rsidR="009443EE" w:rsidRPr="00020870">
        <w:rPr>
          <w:rFonts w:ascii="Arial" w:hAnsi="Arial" w:cs="Arial"/>
          <w:sz w:val="24"/>
          <w:szCs w:val="24"/>
        </w:rPr>
        <w:t xml:space="preserve">on how </w:t>
      </w:r>
      <w:r w:rsidR="00FB7F38" w:rsidRPr="00020870">
        <w:rPr>
          <w:rFonts w:ascii="Arial" w:hAnsi="Arial" w:cs="Arial"/>
          <w:sz w:val="24"/>
          <w:szCs w:val="24"/>
        </w:rPr>
        <w:t xml:space="preserve">to comply with the stringent requirements of the new mining legislation (MPRDA). Section C </w:t>
      </w:r>
      <w:r w:rsidR="00CF42D1" w:rsidRPr="00020870">
        <w:rPr>
          <w:rFonts w:ascii="Arial" w:hAnsi="Arial" w:cs="Arial"/>
          <w:sz w:val="24"/>
          <w:szCs w:val="24"/>
        </w:rPr>
        <w:t xml:space="preserve">of the guidelines </w:t>
      </w:r>
      <w:r w:rsidR="00FB70EC" w:rsidRPr="00020870">
        <w:rPr>
          <w:rFonts w:ascii="Arial" w:hAnsi="Arial" w:cs="Arial"/>
          <w:sz w:val="24"/>
          <w:szCs w:val="24"/>
        </w:rPr>
        <w:t>on the Generally Accepted Closure Method provides that DBCM when rehabilitating the Oaks Mine must ensure that:</w:t>
      </w:r>
    </w:p>
    <w:p w14:paraId="22F2C338" w14:textId="77777777" w:rsidR="0031026D" w:rsidRDefault="0031026D" w:rsidP="0051441B">
      <w:pPr>
        <w:tabs>
          <w:tab w:val="left" w:pos="567"/>
        </w:tabs>
        <w:spacing w:after="0" w:line="360" w:lineRule="auto"/>
        <w:jc w:val="both"/>
        <w:rPr>
          <w:rFonts w:ascii="Arial" w:hAnsi="Arial" w:cs="Arial"/>
          <w:sz w:val="24"/>
          <w:szCs w:val="24"/>
        </w:rPr>
      </w:pPr>
    </w:p>
    <w:p w14:paraId="69FE3458" w14:textId="3C5723E2" w:rsidR="009443EE" w:rsidRPr="00020870" w:rsidRDefault="00FB70EC" w:rsidP="009443EE">
      <w:pPr>
        <w:tabs>
          <w:tab w:val="left" w:pos="567"/>
        </w:tabs>
        <w:spacing w:after="0" w:line="360" w:lineRule="auto"/>
        <w:ind w:left="720"/>
        <w:jc w:val="both"/>
        <w:rPr>
          <w:rFonts w:ascii="Arial" w:hAnsi="Arial" w:cs="Arial"/>
          <w:sz w:val="24"/>
          <w:szCs w:val="24"/>
        </w:rPr>
      </w:pPr>
      <w:r w:rsidRPr="00020870">
        <w:rPr>
          <w:rFonts w:ascii="Arial" w:hAnsi="Arial" w:cs="Arial"/>
          <w:sz w:val="24"/>
          <w:szCs w:val="24"/>
        </w:rPr>
        <w:t>[</w:t>
      </w:r>
      <w:r w:rsidR="00DC5702" w:rsidRPr="00020870">
        <w:rPr>
          <w:rFonts w:ascii="Arial" w:hAnsi="Arial" w:cs="Arial"/>
          <w:sz w:val="24"/>
          <w:szCs w:val="24"/>
        </w:rPr>
        <w:t>4</w:t>
      </w:r>
      <w:r w:rsidR="001063F6">
        <w:rPr>
          <w:rFonts w:ascii="Arial" w:hAnsi="Arial" w:cs="Arial"/>
          <w:sz w:val="24"/>
          <w:szCs w:val="24"/>
        </w:rPr>
        <w:t>6</w:t>
      </w:r>
      <w:r w:rsidRPr="00020870">
        <w:rPr>
          <w:rFonts w:ascii="Arial" w:hAnsi="Arial" w:cs="Arial"/>
          <w:sz w:val="24"/>
          <w:szCs w:val="24"/>
        </w:rPr>
        <w:t>.1] the excess material fr</w:t>
      </w:r>
      <w:r w:rsidR="009443EE" w:rsidRPr="00020870">
        <w:rPr>
          <w:rFonts w:ascii="Arial" w:hAnsi="Arial" w:cs="Arial"/>
          <w:sz w:val="24"/>
          <w:szCs w:val="24"/>
        </w:rPr>
        <w:t>o</w:t>
      </w:r>
      <w:r w:rsidRPr="00020870">
        <w:rPr>
          <w:rFonts w:ascii="Arial" w:hAnsi="Arial" w:cs="Arial"/>
          <w:sz w:val="24"/>
          <w:szCs w:val="24"/>
        </w:rPr>
        <w:t>m the open cast pit is deposited in close proximity to the pit for in filling of the open cast pit once the ore body has been removed</w:t>
      </w:r>
      <w:r w:rsidR="009443EE" w:rsidRPr="00020870">
        <w:rPr>
          <w:rFonts w:ascii="Arial" w:hAnsi="Arial" w:cs="Arial"/>
          <w:sz w:val="24"/>
          <w:szCs w:val="24"/>
        </w:rPr>
        <w:t>.</w:t>
      </w:r>
    </w:p>
    <w:p w14:paraId="7391FF1E" w14:textId="0DA0B9A2" w:rsidR="00FB70EC" w:rsidRPr="00020870" w:rsidRDefault="00FB70EC" w:rsidP="009443EE">
      <w:pPr>
        <w:tabs>
          <w:tab w:val="left" w:pos="567"/>
        </w:tabs>
        <w:spacing w:after="0" w:line="360" w:lineRule="auto"/>
        <w:ind w:left="720"/>
        <w:jc w:val="both"/>
        <w:rPr>
          <w:rFonts w:ascii="Arial" w:hAnsi="Arial" w:cs="Arial"/>
          <w:sz w:val="24"/>
          <w:szCs w:val="24"/>
        </w:rPr>
      </w:pPr>
      <w:r w:rsidRPr="00020870">
        <w:rPr>
          <w:rFonts w:ascii="Arial" w:hAnsi="Arial" w:cs="Arial"/>
          <w:sz w:val="24"/>
          <w:szCs w:val="24"/>
        </w:rPr>
        <w:t xml:space="preserve"> </w:t>
      </w:r>
    </w:p>
    <w:p w14:paraId="09BCF8A2" w14:textId="6EA3F9FB" w:rsidR="00FB70EC" w:rsidRDefault="00FB70EC" w:rsidP="009443EE">
      <w:pPr>
        <w:tabs>
          <w:tab w:val="left" w:pos="567"/>
        </w:tabs>
        <w:spacing w:after="0" w:line="360" w:lineRule="auto"/>
        <w:ind w:left="720"/>
        <w:jc w:val="both"/>
        <w:rPr>
          <w:rFonts w:ascii="Arial" w:hAnsi="Arial" w:cs="Arial"/>
          <w:sz w:val="24"/>
          <w:szCs w:val="24"/>
        </w:rPr>
      </w:pPr>
      <w:r w:rsidRPr="00020870">
        <w:rPr>
          <w:rFonts w:ascii="Arial" w:hAnsi="Arial" w:cs="Arial"/>
          <w:sz w:val="24"/>
          <w:szCs w:val="24"/>
        </w:rPr>
        <w:t>[</w:t>
      </w:r>
      <w:r w:rsidR="00DC5702" w:rsidRPr="00020870">
        <w:rPr>
          <w:rFonts w:ascii="Arial" w:hAnsi="Arial" w:cs="Arial"/>
          <w:sz w:val="24"/>
          <w:szCs w:val="24"/>
        </w:rPr>
        <w:t>4</w:t>
      </w:r>
      <w:r w:rsidR="001063F6">
        <w:rPr>
          <w:rFonts w:ascii="Arial" w:hAnsi="Arial" w:cs="Arial"/>
          <w:sz w:val="24"/>
          <w:szCs w:val="24"/>
        </w:rPr>
        <w:t>6</w:t>
      </w:r>
      <w:r w:rsidRPr="00020870">
        <w:rPr>
          <w:rFonts w:ascii="Arial" w:hAnsi="Arial" w:cs="Arial"/>
          <w:sz w:val="24"/>
          <w:szCs w:val="24"/>
        </w:rPr>
        <w:t>.2] the open cast pit perimeter wall must still be rendered safe for humans   and domestic animals.</w:t>
      </w:r>
      <w:r>
        <w:rPr>
          <w:rFonts w:ascii="Arial" w:hAnsi="Arial" w:cs="Arial"/>
          <w:sz w:val="24"/>
          <w:szCs w:val="24"/>
        </w:rPr>
        <w:t xml:space="preserve"> </w:t>
      </w:r>
    </w:p>
    <w:p w14:paraId="48587F3B" w14:textId="77777777" w:rsidR="001A5E69" w:rsidRDefault="001A5E69" w:rsidP="001A5E69">
      <w:pPr>
        <w:tabs>
          <w:tab w:val="left" w:pos="567"/>
        </w:tabs>
        <w:spacing w:after="0" w:line="360" w:lineRule="auto"/>
        <w:jc w:val="both"/>
        <w:rPr>
          <w:rFonts w:ascii="Arial" w:hAnsi="Arial" w:cs="Arial"/>
          <w:sz w:val="24"/>
          <w:szCs w:val="24"/>
        </w:rPr>
      </w:pPr>
    </w:p>
    <w:p w14:paraId="50607AE6" w14:textId="16248E45" w:rsidR="00F9004B" w:rsidRDefault="001A5E69" w:rsidP="001A5E69">
      <w:pPr>
        <w:tabs>
          <w:tab w:val="left" w:pos="567"/>
        </w:tabs>
        <w:spacing w:after="0" w:line="360" w:lineRule="auto"/>
        <w:jc w:val="both"/>
        <w:rPr>
          <w:rFonts w:ascii="Arial" w:hAnsi="Arial" w:cs="Arial"/>
          <w:sz w:val="24"/>
          <w:szCs w:val="24"/>
        </w:rPr>
      </w:pPr>
      <w:r>
        <w:rPr>
          <w:rFonts w:ascii="Arial" w:hAnsi="Arial" w:cs="Arial"/>
          <w:sz w:val="24"/>
          <w:szCs w:val="24"/>
        </w:rPr>
        <w:t>[</w:t>
      </w:r>
      <w:r w:rsidR="000D4DEB">
        <w:rPr>
          <w:rFonts w:ascii="Arial" w:hAnsi="Arial" w:cs="Arial"/>
          <w:sz w:val="24"/>
          <w:szCs w:val="24"/>
        </w:rPr>
        <w:t>47</w:t>
      </w:r>
      <w:r>
        <w:rPr>
          <w:rFonts w:ascii="Arial" w:hAnsi="Arial" w:cs="Arial"/>
          <w:sz w:val="24"/>
          <w:szCs w:val="24"/>
        </w:rPr>
        <w:t>]</w:t>
      </w:r>
      <w:r>
        <w:rPr>
          <w:rFonts w:ascii="Arial" w:hAnsi="Arial" w:cs="Arial"/>
          <w:sz w:val="24"/>
          <w:szCs w:val="24"/>
        </w:rPr>
        <w:tab/>
      </w:r>
      <w:r w:rsidR="00F9004B" w:rsidRPr="00020870">
        <w:rPr>
          <w:rFonts w:ascii="Arial" w:hAnsi="Arial" w:cs="Arial"/>
          <w:sz w:val="24"/>
          <w:szCs w:val="24"/>
        </w:rPr>
        <w:t xml:space="preserve">DBCM did not convert its amended EMP of May 2003 or amend it to comply with the 2005 guidelines introduced after MPRDA came into effect in </w:t>
      </w:r>
      <w:r w:rsidR="00131D06" w:rsidRPr="00020870">
        <w:rPr>
          <w:rFonts w:ascii="Arial" w:hAnsi="Arial" w:cs="Arial"/>
          <w:sz w:val="24"/>
          <w:szCs w:val="24"/>
        </w:rPr>
        <w:t>1 May 2004.</w:t>
      </w:r>
      <w:r w:rsidR="00131D06">
        <w:rPr>
          <w:rFonts w:ascii="Arial" w:hAnsi="Arial" w:cs="Arial"/>
          <w:sz w:val="24"/>
          <w:szCs w:val="24"/>
        </w:rPr>
        <w:t xml:space="preserve"> The amended EMP of May 2003 relied upon </w:t>
      </w:r>
      <w:r w:rsidR="00296764">
        <w:rPr>
          <w:rFonts w:ascii="Arial" w:hAnsi="Arial" w:cs="Arial"/>
          <w:sz w:val="24"/>
          <w:szCs w:val="24"/>
        </w:rPr>
        <w:t xml:space="preserve">was </w:t>
      </w:r>
      <w:r w:rsidR="00131D06">
        <w:rPr>
          <w:rFonts w:ascii="Arial" w:hAnsi="Arial" w:cs="Arial"/>
          <w:sz w:val="24"/>
          <w:szCs w:val="24"/>
        </w:rPr>
        <w:t>not accompanied by the record of notifications and consultation with all the interested and affected parties</w:t>
      </w:r>
      <w:r w:rsidR="00296764">
        <w:rPr>
          <w:rFonts w:ascii="Arial" w:hAnsi="Arial" w:cs="Arial"/>
          <w:sz w:val="24"/>
          <w:szCs w:val="24"/>
        </w:rPr>
        <w:t xml:space="preserve">. </w:t>
      </w:r>
      <w:r w:rsidR="00296764" w:rsidRPr="00020870">
        <w:rPr>
          <w:rFonts w:ascii="Arial" w:hAnsi="Arial" w:cs="Arial"/>
          <w:sz w:val="24"/>
          <w:szCs w:val="24"/>
        </w:rPr>
        <w:t xml:space="preserve">The DBCM’s </w:t>
      </w:r>
      <w:r w:rsidR="009443EE" w:rsidRPr="00020870">
        <w:rPr>
          <w:rFonts w:ascii="Arial" w:hAnsi="Arial" w:cs="Arial"/>
          <w:sz w:val="24"/>
          <w:szCs w:val="24"/>
        </w:rPr>
        <w:t xml:space="preserve">2003 </w:t>
      </w:r>
      <w:r w:rsidR="00CF42D1" w:rsidRPr="00020870">
        <w:rPr>
          <w:rFonts w:ascii="Arial" w:hAnsi="Arial" w:cs="Arial"/>
          <w:sz w:val="24"/>
          <w:szCs w:val="24"/>
        </w:rPr>
        <w:t xml:space="preserve">EMP therefore </w:t>
      </w:r>
      <w:r w:rsidR="00131D06" w:rsidRPr="00020870">
        <w:rPr>
          <w:rFonts w:ascii="Arial" w:hAnsi="Arial" w:cs="Arial"/>
          <w:sz w:val="24"/>
          <w:szCs w:val="24"/>
        </w:rPr>
        <w:t>ceased to exist by operation of the law</w:t>
      </w:r>
      <w:r w:rsidR="00CF42D1" w:rsidRPr="00020870">
        <w:rPr>
          <w:rFonts w:ascii="Arial" w:hAnsi="Arial" w:cs="Arial"/>
          <w:sz w:val="24"/>
          <w:szCs w:val="24"/>
        </w:rPr>
        <w:t xml:space="preserve"> on 30 April 2009</w:t>
      </w:r>
      <w:r w:rsidR="00131D06" w:rsidRPr="00020870">
        <w:rPr>
          <w:rFonts w:ascii="Arial" w:hAnsi="Arial" w:cs="Arial"/>
          <w:sz w:val="24"/>
          <w:szCs w:val="24"/>
        </w:rPr>
        <w:t>,</w:t>
      </w:r>
      <w:r w:rsidR="00131D06">
        <w:rPr>
          <w:rFonts w:ascii="Arial" w:hAnsi="Arial" w:cs="Arial"/>
          <w:sz w:val="24"/>
          <w:szCs w:val="24"/>
        </w:rPr>
        <w:t xml:space="preserve"> the cut </w:t>
      </w:r>
      <w:r w:rsidR="00296764">
        <w:rPr>
          <w:rFonts w:ascii="Arial" w:hAnsi="Arial" w:cs="Arial"/>
          <w:sz w:val="24"/>
          <w:szCs w:val="24"/>
        </w:rPr>
        <w:t>-</w:t>
      </w:r>
      <w:r w:rsidR="00131D06">
        <w:rPr>
          <w:rFonts w:ascii="Arial" w:hAnsi="Arial" w:cs="Arial"/>
          <w:sz w:val="24"/>
          <w:szCs w:val="24"/>
        </w:rPr>
        <w:t xml:space="preserve">off date for conversion of the Oaks Mine </w:t>
      </w:r>
      <w:r w:rsidR="00296764">
        <w:rPr>
          <w:rFonts w:ascii="Arial" w:hAnsi="Arial" w:cs="Arial"/>
          <w:sz w:val="24"/>
          <w:szCs w:val="24"/>
        </w:rPr>
        <w:t>o</w:t>
      </w:r>
      <w:r w:rsidR="00131D06">
        <w:rPr>
          <w:rFonts w:ascii="Arial" w:hAnsi="Arial" w:cs="Arial"/>
          <w:sz w:val="24"/>
          <w:szCs w:val="24"/>
        </w:rPr>
        <w:t xml:space="preserve">ld order mining rights and its EMP. DBCM failed to provide a reasonable explanation for its failure to lodge its amended EMP with the </w:t>
      </w:r>
      <w:r w:rsidR="006C375E">
        <w:rPr>
          <w:rFonts w:ascii="Arial" w:hAnsi="Arial" w:cs="Arial"/>
          <w:sz w:val="24"/>
          <w:szCs w:val="24"/>
        </w:rPr>
        <w:t>1</w:t>
      </w:r>
      <w:r w:rsidR="006C375E" w:rsidRPr="006C375E">
        <w:rPr>
          <w:rFonts w:ascii="Arial" w:hAnsi="Arial" w:cs="Arial"/>
          <w:sz w:val="24"/>
          <w:szCs w:val="24"/>
          <w:vertAlign w:val="superscript"/>
        </w:rPr>
        <w:t>st</w:t>
      </w:r>
      <w:r w:rsidR="006C375E">
        <w:rPr>
          <w:rFonts w:ascii="Arial" w:hAnsi="Arial" w:cs="Arial"/>
          <w:sz w:val="24"/>
          <w:szCs w:val="24"/>
        </w:rPr>
        <w:t xml:space="preserve"> Respondent as </w:t>
      </w:r>
      <w:r w:rsidR="00131D06">
        <w:rPr>
          <w:rFonts w:ascii="Arial" w:hAnsi="Arial" w:cs="Arial"/>
          <w:sz w:val="24"/>
          <w:szCs w:val="24"/>
        </w:rPr>
        <w:t xml:space="preserve">Regional Manager during the </w:t>
      </w:r>
      <w:r w:rsidR="00296764">
        <w:rPr>
          <w:rFonts w:ascii="Arial" w:hAnsi="Arial" w:cs="Arial"/>
          <w:sz w:val="24"/>
          <w:szCs w:val="24"/>
        </w:rPr>
        <w:t>t</w:t>
      </w:r>
      <w:r w:rsidR="00131D06">
        <w:rPr>
          <w:rFonts w:ascii="Arial" w:hAnsi="Arial" w:cs="Arial"/>
          <w:sz w:val="24"/>
          <w:szCs w:val="24"/>
        </w:rPr>
        <w:t xml:space="preserve">ransitional period </w:t>
      </w:r>
      <w:r w:rsidR="00296764">
        <w:rPr>
          <w:rFonts w:ascii="Arial" w:hAnsi="Arial" w:cs="Arial"/>
          <w:sz w:val="24"/>
          <w:szCs w:val="24"/>
        </w:rPr>
        <w:t xml:space="preserve">of the MPRDA or amend its EMP to comply with the 2005 Guidelines and the stringent requirements of the MPRDA. </w:t>
      </w:r>
      <w:r w:rsidR="00063902">
        <w:rPr>
          <w:rFonts w:ascii="Arial" w:hAnsi="Arial" w:cs="Arial"/>
          <w:sz w:val="24"/>
          <w:szCs w:val="24"/>
        </w:rPr>
        <w:t xml:space="preserve">The Respondents </w:t>
      </w:r>
      <w:r>
        <w:rPr>
          <w:rFonts w:ascii="Arial" w:hAnsi="Arial" w:cs="Arial"/>
          <w:sz w:val="24"/>
          <w:szCs w:val="24"/>
        </w:rPr>
        <w:t xml:space="preserve">argued </w:t>
      </w:r>
      <w:r w:rsidR="00063902">
        <w:rPr>
          <w:rFonts w:ascii="Arial" w:hAnsi="Arial" w:cs="Arial"/>
          <w:sz w:val="24"/>
          <w:szCs w:val="24"/>
        </w:rPr>
        <w:t xml:space="preserve">that </w:t>
      </w:r>
      <w:r w:rsidR="003C57F5">
        <w:rPr>
          <w:rFonts w:ascii="Arial" w:hAnsi="Arial" w:cs="Arial"/>
          <w:sz w:val="24"/>
          <w:szCs w:val="24"/>
        </w:rPr>
        <w:t>DBCM’s</w:t>
      </w:r>
      <w:r w:rsidR="00063902">
        <w:rPr>
          <w:rFonts w:ascii="Arial" w:hAnsi="Arial" w:cs="Arial"/>
          <w:sz w:val="24"/>
          <w:szCs w:val="24"/>
        </w:rPr>
        <w:t xml:space="preserve"> reliance </w:t>
      </w:r>
      <w:r w:rsidR="00CF42D1">
        <w:rPr>
          <w:rFonts w:ascii="Arial" w:hAnsi="Arial" w:cs="Arial"/>
          <w:sz w:val="24"/>
          <w:szCs w:val="24"/>
        </w:rPr>
        <w:t>on</w:t>
      </w:r>
      <w:r w:rsidR="00063902">
        <w:rPr>
          <w:rFonts w:ascii="Arial" w:hAnsi="Arial" w:cs="Arial"/>
          <w:sz w:val="24"/>
          <w:szCs w:val="24"/>
        </w:rPr>
        <w:t xml:space="preserve"> the old EMP of May 2003 issued under the repealed Mineral Act which fall short to the requirements of the Constitution, NEMA, MPRDA and 2005 guidelines is fatal to </w:t>
      </w:r>
      <w:r w:rsidR="0013441D">
        <w:rPr>
          <w:rFonts w:ascii="Arial" w:hAnsi="Arial" w:cs="Arial"/>
          <w:sz w:val="24"/>
          <w:szCs w:val="24"/>
        </w:rPr>
        <w:t>DBCM’s</w:t>
      </w:r>
      <w:r w:rsidR="00063902">
        <w:rPr>
          <w:rFonts w:ascii="Arial" w:hAnsi="Arial" w:cs="Arial"/>
          <w:sz w:val="24"/>
          <w:szCs w:val="24"/>
        </w:rPr>
        <w:t xml:space="preserve"> Application which must then be dismissed.  </w:t>
      </w:r>
    </w:p>
    <w:p w14:paraId="3282A53A" w14:textId="77777777" w:rsidR="00131D06" w:rsidRDefault="00131D06" w:rsidP="00FB70EC">
      <w:pPr>
        <w:tabs>
          <w:tab w:val="left" w:pos="567"/>
        </w:tabs>
        <w:spacing w:after="0" w:line="360" w:lineRule="auto"/>
        <w:ind w:left="567"/>
        <w:jc w:val="both"/>
        <w:rPr>
          <w:rFonts w:ascii="Arial" w:hAnsi="Arial" w:cs="Arial"/>
          <w:sz w:val="24"/>
          <w:szCs w:val="24"/>
        </w:rPr>
      </w:pPr>
    </w:p>
    <w:p w14:paraId="4D7BAB9B" w14:textId="6D9DB204" w:rsidR="00063902" w:rsidRDefault="000D4DEB" w:rsidP="001A5E69">
      <w:pPr>
        <w:tabs>
          <w:tab w:val="left" w:pos="567"/>
        </w:tabs>
        <w:spacing w:after="0" w:line="360" w:lineRule="auto"/>
        <w:jc w:val="both"/>
        <w:rPr>
          <w:rFonts w:ascii="Arial" w:hAnsi="Arial" w:cs="Arial"/>
          <w:sz w:val="24"/>
          <w:szCs w:val="24"/>
        </w:rPr>
      </w:pPr>
      <w:r>
        <w:rPr>
          <w:rFonts w:ascii="Arial" w:hAnsi="Arial" w:cs="Arial"/>
          <w:sz w:val="24"/>
          <w:szCs w:val="24"/>
        </w:rPr>
        <w:t>[48</w:t>
      </w:r>
      <w:r w:rsidR="001A5E69">
        <w:rPr>
          <w:rFonts w:ascii="Arial" w:hAnsi="Arial" w:cs="Arial"/>
          <w:sz w:val="24"/>
          <w:szCs w:val="24"/>
        </w:rPr>
        <w:t>]</w:t>
      </w:r>
      <w:r w:rsidR="001A5E69">
        <w:rPr>
          <w:rFonts w:ascii="Arial" w:hAnsi="Arial" w:cs="Arial"/>
          <w:sz w:val="24"/>
          <w:szCs w:val="24"/>
        </w:rPr>
        <w:tab/>
      </w:r>
      <w:r w:rsidR="00FB70EC" w:rsidRPr="00020870">
        <w:rPr>
          <w:rFonts w:ascii="Arial" w:hAnsi="Arial" w:cs="Arial"/>
          <w:sz w:val="24"/>
          <w:szCs w:val="24"/>
        </w:rPr>
        <w:t xml:space="preserve">During the transitional period the Minister or MDRE in terms of s 10 </w:t>
      </w:r>
      <w:r w:rsidR="00F9004B" w:rsidRPr="00020870">
        <w:rPr>
          <w:rFonts w:ascii="Arial" w:hAnsi="Arial" w:cs="Arial"/>
          <w:sz w:val="24"/>
          <w:szCs w:val="24"/>
        </w:rPr>
        <w:t>(2) of the MPRDA read with s 12 (5) (a) of the NEMA Amendment Act (NEMAA) was empowered</w:t>
      </w:r>
      <w:r w:rsidR="00F9004B" w:rsidRPr="0022274D">
        <w:rPr>
          <w:rFonts w:ascii="Arial" w:hAnsi="Arial" w:cs="Arial"/>
          <w:sz w:val="24"/>
          <w:szCs w:val="24"/>
          <w:highlight w:val="yellow"/>
        </w:rPr>
        <w:t xml:space="preserve"> </w:t>
      </w:r>
      <w:r w:rsidR="00F9004B" w:rsidRPr="00020870">
        <w:rPr>
          <w:rFonts w:ascii="Arial" w:hAnsi="Arial" w:cs="Arial"/>
          <w:sz w:val="24"/>
          <w:szCs w:val="24"/>
        </w:rPr>
        <w:lastRenderedPageBreak/>
        <w:t>to direct De Beers to upgrade the Oaks Mine EMP and to the action and address pollution, ecological degradation and damage to the environment.</w:t>
      </w:r>
      <w:r w:rsidR="00F9004B">
        <w:rPr>
          <w:rFonts w:ascii="Arial" w:hAnsi="Arial" w:cs="Arial"/>
          <w:sz w:val="24"/>
          <w:szCs w:val="24"/>
        </w:rPr>
        <w:t xml:space="preserve"> </w:t>
      </w:r>
      <w:r w:rsidR="00FB70EC">
        <w:rPr>
          <w:rFonts w:ascii="Arial" w:hAnsi="Arial" w:cs="Arial"/>
          <w:sz w:val="24"/>
          <w:szCs w:val="24"/>
        </w:rPr>
        <w:t xml:space="preserve"> </w:t>
      </w:r>
    </w:p>
    <w:p w14:paraId="05FA0362" w14:textId="77777777" w:rsidR="00063902" w:rsidRDefault="00063902" w:rsidP="00FB70EC">
      <w:pPr>
        <w:tabs>
          <w:tab w:val="left" w:pos="567"/>
        </w:tabs>
        <w:spacing w:after="0" w:line="360" w:lineRule="auto"/>
        <w:ind w:left="567"/>
        <w:jc w:val="both"/>
        <w:rPr>
          <w:rFonts w:ascii="Arial" w:hAnsi="Arial" w:cs="Arial"/>
          <w:sz w:val="24"/>
          <w:szCs w:val="24"/>
        </w:rPr>
      </w:pPr>
    </w:p>
    <w:p w14:paraId="50884217" w14:textId="20676DB4" w:rsidR="00DC5702" w:rsidRDefault="00063902" w:rsidP="001A5E69">
      <w:pPr>
        <w:tabs>
          <w:tab w:val="left" w:pos="567"/>
        </w:tabs>
        <w:spacing w:after="0" w:line="360" w:lineRule="auto"/>
        <w:jc w:val="both"/>
        <w:rPr>
          <w:rFonts w:ascii="Arial" w:hAnsi="Arial" w:cs="Arial"/>
          <w:sz w:val="24"/>
          <w:szCs w:val="24"/>
        </w:rPr>
      </w:pPr>
      <w:r>
        <w:rPr>
          <w:rFonts w:ascii="Arial" w:hAnsi="Arial" w:cs="Arial"/>
          <w:sz w:val="24"/>
          <w:szCs w:val="24"/>
        </w:rPr>
        <w:t>[</w:t>
      </w:r>
      <w:r w:rsidR="000D4DEB">
        <w:rPr>
          <w:rFonts w:ascii="Arial" w:hAnsi="Arial" w:cs="Arial"/>
          <w:sz w:val="24"/>
          <w:szCs w:val="24"/>
        </w:rPr>
        <w:t>49</w:t>
      </w:r>
      <w:r>
        <w:rPr>
          <w:rFonts w:ascii="Arial" w:hAnsi="Arial" w:cs="Arial"/>
          <w:sz w:val="24"/>
          <w:szCs w:val="24"/>
        </w:rPr>
        <w:t>]</w:t>
      </w:r>
      <w:r w:rsidR="000D4DEB">
        <w:rPr>
          <w:rFonts w:ascii="Arial" w:hAnsi="Arial" w:cs="Arial"/>
          <w:sz w:val="24"/>
          <w:szCs w:val="24"/>
        </w:rPr>
        <w:tab/>
      </w:r>
      <w:r w:rsidR="00535D85" w:rsidRPr="00DC5702">
        <w:rPr>
          <w:rFonts w:ascii="Arial" w:hAnsi="Arial" w:cs="Arial"/>
          <w:sz w:val="24"/>
          <w:szCs w:val="24"/>
        </w:rPr>
        <w:t xml:space="preserve">DBCM ignored the </w:t>
      </w:r>
      <w:r w:rsidRPr="00DC5702">
        <w:rPr>
          <w:rFonts w:ascii="Arial" w:hAnsi="Arial" w:cs="Arial"/>
          <w:sz w:val="24"/>
          <w:szCs w:val="24"/>
        </w:rPr>
        <w:t>administrative decision taken by the MDRE:  Sub directorate Mine, Health and Safety</w:t>
      </w:r>
      <w:r w:rsidR="00535D85" w:rsidRPr="00DC5702">
        <w:rPr>
          <w:rFonts w:ascii="Arial" w:hAnsi="Arial" w:cs="Arial"/>
          <w:sz w:val="24"/>
          <w:szCs w:val="24"/>
        </w:rPr>
        <w:t xml:space="preserve"> </w:t>
      </w:r>
      <w:r w:rsidRPr="00DC5702">
        <w:rPr>
          <w:rFonts w:ascii="Arial" w:hAnsi="Arial" w:cs="Arial"/>
          <w:sz w:val="24"/>
          <w:szCs w:val="24"/>
        </w:rPr>
        <w:t xml:space="preserve">after the inspection in 2008 </w:t>
      </w:r>
      <w:r w:rsidR="00535D85" w:rsidRPr="00DC5702">
        <w:rPr>
          <w:rFonts w:ascii="Arial" w:hAnsi="Arial" w:cs="Arial"/>
          <w:sz w:val="24"/>
          <w:szCs w:val="24"/>
        </w:rPr>
        <w:t>prior to DBCM cessation of the mining operations</w:t>
      </w:r>
      <w:r w:rsidR="005702E3" w:rsidRPr="00DC5702">
        <w:rPr>
          <w:rFonts w:ascii="Arial" w:hAnsi="Arial" w:cs="Arial"/>
          <w:sz w:val="24"/>
          <w:szCs w:val="24"/>
        </w:rPr>
        <w:t xml:space="preserve">, </w:t>
      </w:r>
      <w:r w:rsidR="001A5E69" w:rsidRPr="00DC5702">
        <w:rPr>
          <w:rFonts w:ascii="Arial" w:hAnsi="Arial" w:cs="Arial"/>
          <w:sz w:val="24"/>
          <w:szCs w:val="24"/>
        </w:rPr>
        <w:t>w</w:t>
      </w:r>
      <w:r w:rsidR="00535D85" w:rsidRPr="00DC5702">
        <w:rPr>
          <w:rFonts w:ascii="Arial" w:hAnsi="Arial" w:cs="Arial"/>
          <w:sz w:val="24"/>
          <w:szCs w:val="24"/>
        </w:rPr>
        <w:t>hen it issued the health and safety instructions against DBCM pursuant to s 55 (1) of MHSA</w:t>
      </w:r>
      <w:r w:rsidR="005702E3" w:rsidRPr="00DC5702">
        <w:rPr>
          <w:rFonts w:ascii="Arial" w:hAnsi="Arial" w:cs="Arial"/>
          <w:sz w:val="24"/>
          <w:szCs w:val="24"/>
        </w:rPr>
        <w:t xml:space="preserve"> which</w:t>
      </w:r>
      <w:r w:rsidR="005702E3">
        <w:rPr>
          <w:rFonts w:ascii="Arial" w:hAnsi="Arial" w:cs="Arial"/>
          <w:sz w:val="24"/>
          <w:szCs w:val="24"/>
        </w:rPr>
        <w:t xml:space="preserve"> when read with the decision to refuse a closure application pointed out, inter alia, that:</w:t>
      </w:r>
    </w:p>
    <w:p w14:paraId="1CA435A4" w14:textId="7F0A7DC7" w:rsidR="005702E3" w:rsidRDefault="005702E3" w:rsidP="001A5E69">
      <w:pPr>
        <w:tabs>
          <w:tab w:val="left" w:pos="567"/>
        </w:tabs>
        <w:spacing w:after="0" w:line="360" w:lineRule="auto"/>
        <w:jc w:val="both"/>
        <w:rPr>
          <w:rFonts w:ascii="Arial" w:hAnsi="Arial" w:cs="Arial"/>
          <w:sz w:val="24"/>
          <w:szCs w:val="24"/>
        </w:rPr>
      </w:pPr>
      <w:r>
        <w:rPr>
          <w:rFonts w:ascii="Arial" w:hAnsi="Arial" w:cs="Arial"/>
          <w:sz w:val="24"/>
          <w:szCs w:val="24"/>
        </w:rPr>
        <w:t xml:space="preserve"> </w:t>
      </w:r>
    </w:p>
    <w:p w14:paraId="7F065BB3" w14:textId="5C497830" w:rsidR="00FB70EC" w:rsidRDefault="001A5E69" w:rsidP="005702E3">
      <w:pPr>
        <w:tabs>
          <w:tab w:val="left" w:pos="567"/>
        </w:tabs>
        <w:spacing w:after="0" w:line="360" w:lineRule="auto"/>
        <w:ind w:left="1440" w:hanging="873"/>
        <w:jc w:val="both"/>
        <w:rPr>
          <w:rFonts w:ascii="Arial" w:hAnsi="Arial" w:cs="Arial"/>
          <w:sz w:val="24"/>
          <w:szCs w:val="24"/>
        </w:rPr>
      </w:pPr>
      <w:r>
        <w:rPr>
          <w:rFonts w:ascii="Arial" w:hAnsi="Arial" w:cs="Arial"/>
          <w:sz w:val="24"/>
          <w:szCs w:val="24"/>
        </w:rPr>
        <w:t>[</w:t>
      </w:r>
      <w:r w:rsidR="000D4DEB">
        <w:rPr>
          <w:rFonts w:ascii="Arial" w:hAnsi="Arial" w:cs="Arial"/>
          <w:sz w:val="24"/>
          <w:szCs w:val="24"/>
        </w:rPr>
        <w:t>49</w:t>
      </w:r>
      <w:r>
        <w:rPr>
          <w:rFonts w:ascii="Arial" w:hAnsi="Arial" w:cs="Arial"/>
          <w:sz w:val="24"/>
          <w:szCs w:val="24"/>
        </w:rPr>
        <w:t>.1</w:t>
      </w:r>
      <w:r w:rsidR="005702E3">
        <w:rPr>
          <w:rFonts w:ascii="Arial" w:hAnsi="Arial" w:cs="Arial"/>
          <w:sz w:val="24"/>
          <w:szCs w:val="24"/>
        </w:rPr>
        <w:t>]</w:t>
      </w:r>
      <w:r w:rsidR="005702E3">
        <w:rPr>
          <w:rFonts w:ascii="Arial" w:hAnsi="Arial" w:cs="Arial"/>
          <w:sz w:val="24"/>
          <w:szCs w:val="24"/>
        </w:rPr>
        <w:tab/>
      </w:r>
      <w:r w:rsidR="005702E3" w:rsidRPr="00DC5702">
        <w:rPr>
          <w:rFonts w:ascii="Arial" w:hAnsi="Arial" w:cs="Arial"/>
          <w:i/>
          <w:sz w:val="24"/>
          <w:szCs w:val="24"/>
        </w:rPr>
        <w:t>The “Oaks Mine open pit” will pose a high risk for scavenger and illegal mining.</w:t>
      </w:r>
      <w:r w:rsidR="005702E3">
        <w:rPr>
          <w:rFonts w:ascii="Arial" w:hAnsi="Arial" w:cs="Arial"/>
          <w:sz w:val="24"/>
          <w:szCs w:val="24"/>
        </w:rPr>
        <w:t xml:space="preserve">   </w:t>
      </w:r>
    </w:p>
    <w:p w14:paraId="5D8205D5" w14:textId="2D94B610" w:rsidR="00B5150F" w:rsidRDefault="001A5E69" w:rsidP="001A5E69">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w:t>
      </w:r>
      <w:r w:rsidR="000D4DEB">
        <w:rPr>
          <w:rFonts w:ascii="Arial" w:hAnsi="Arial" w:cs="Arial"/>
          <w:sz w:val="24"/>
          <w:szCs w:val="24"/>
        </w:rPr>
        <w:t>49</w:t>
      </w:r>
      <w:r>
        <w:rPr>
          <w:rFonts w:ascii="Arial" w:hAnsi="Arial" w:cs="Arial"/>
          <w:sz w:val="24"/>
          <w:szCs w:val="24"/>
        </w:rPr>
        <w:t>.2]</w:t>
      </w:r>
      <w:r>
        <w:rPr>
          <w:rFonts w:ascii="Arial" w:hAnsi="Arial" w:cs="Arial"/>
          <w:sz w:val="24"/>
          <w:szCs w:val="24"/>
        </w:rPr>
        <w:tab/>
      </w:r>
      <w:r w:rsidRPr="00DC5702">
        <w:rPr>
          <w:rFonts w:ascii="Arial" w:hAnsi="Arial" w:cs="Arial"/>
          <w:i/>
          <w:sz w:val="24"/>
          <w:szCs w:val="24"/>
        </w:rPr>
        <w:t>The practical plan for future land uses that would not encourage illegal mining or scavenging must be submitted to the DMRE</w:t>
      </w:r>
      <w:r w:rsidR="00DC5702">
        <w:rPr>
          <w:rFonts w:ascii="Arial" w:hAnsi="Arial" w:cs="Arial"/>
          <w:sz w:val="24"/>
          <w:szCs w:val="24"/>
        </w:rPr>
        <w:t>.</w:t>
      </w:r>
      <w:r>
        <w:rPr>
          <w:rFonts w:ascii="Arial" w:hAnsi="Arial" w:cs="Arial"/>
          <w:sz w:val="24"/>
          <w:szCs w:val="24"/>
        </w:rPr>
        <w:t xml:space="preserve"> </w:t>
      </w:r>
    </w:p>
    <w:p w14:paraId="168050EB" w14:textId="11700EDB" w:rsidR="001A5E69" w:rsidRDefault="000D4DEB" w:rsidP="001A5E69">
      <w:pPr>
        <w:tabs>
          <w:tab w:val="left" w:pos="567"/>
        </w:tabs>
        <w:spacing w:after="0" w:line="360" w:lineRule="auto"/>
        <w:ind w:left="567"/>
        <w:jc w:val="both"/>
        <w:rPr>
          <w:rFonts w:ascii="Arial" w:hAnsi="Arial" w:cs="Arial"/>
          <w:sz w:val="24"/>
          <w:szCs w:val="24"/>
        </w:rPr>
      </w:pPr>
      <w:r>
        <w:rPr>
          <w:rFonts w:ascii="Arial" w:hAnsi="Arial" w:cs="Arial"/>
          <w:sz w:val="24"/>
          <w:szCs w:val="24"/>
        </w:rPr>
        <w:t>[49</w:t>
      </w:r>
      <w:r w:rsidR="001A5E69">
        <w:rPr>
          <w:rFonts w:ascii="Arial" w:hAnsi="Arial" w:cs="Arial"/>
          <w:sz w:val="24"/>
          <w:szCs w:val="24"/>
        </w:rPr>
        <w:t xml:space="preserve">.3] </w:t>
      </w:r>
      <w:r w:rsidR="001A5E69">
        <w:rPr>
          <w:rFonts w:ascii="Arial" w:hAnsi="Arial" w:cs="Arial"/>
          <w:sz w:val="24"/>
          <w:szCs w:val="24"/>
        </w:rPr>
        <w:tab/>
      </w:r>
      <w:r w:rsidR="001A5E69" w:rsidRPr="00DC5702">
        <w:rPr>
          <w:rFonts w:ascii="Arial" w:hAnsi="Arial" w:cs="Arial"/>
          <w:i/>
          <w:sz w:val="24"/>
          <w:szCs w:val="24"/>
        </w:rPr>
        <w:t>All relevant and stakeholders must be thoroughly consulted for future land use including principal inspector of mines.</w:t>
      </w:r>
      <w:r w:rsidR="001A5E69">
        <w:rPr>
          <w:rFonts w:ascii="Arial" w:hAnsi="Arial" w:cs="Arial"/>
          <w:sz w:val="24"/>
          <w:szCs w:val="24"/>
        </w:rPr>
        <w:t xml:space="preserve"> </w:t>
      </w:r>
    </w:p>
    <w:p w14:paraId="5590E256" w14:textId="405D64F5" w:rsidR="009102CE" w:rsidRPr="00DC5702" w:rsidRDefault="000D4DEB" w:rsidP="001A5E69">
      <w:pPr>
        <w:tabs>
          <w:tab w:val="left" w:pos="567"/>
        </w:tabs>
        <w:spacing w:after="0" w:line="360" w:lineRule="auto"/>
        <w:ind w:left="567"/>
        <w:jc w:val="both"/>
        <w:rPr>
          <w:rFonts w:ascii="Arial" w:hAnsi="Arial" w:cs="Arial"/>
          <w:i/>
          <w:sz w:val="24"/>
          <w:szCs w:val="24"/>
        </w:rPr>
      </w:pPr>
      <w:r>
        <w:rPr>
          <w:rFonts w:ascii="Arial" w:hAnsi="Arial" w:cs="Arial"/>
          <w:sz w:val="24"/>
          <w:szCs w:val="24"/>
        </w:rPr>
        <w:t>[49</w:t>
      </w:r>
      <w:r w:rsidR="001A5E69">
        <w:rPr>
          <w:rFonts w:ascii="Arial" w:hAnsi="Arial" w:cs="Arial"/>
          <w:sz w:val="24"/>
          <w:szCs w:val="24"/>
        </w:rPr>
        <w:t>.4]</w:t>
      </w:r>
      <w:r w:rsidR="001A5E69">
        <w:rPr>
          <w:rFonts w:ascii="Arial" w:hAnsi="Arial" w:cs="Arial"/>
          <w:sz w:val="24"/>
          <w:szCs w:val="24"/>
        </w:rPr>
        <w:tab/>
        <w:t xml:space="preserve"> </w:t>
      </w:r>
      <w:r w:rsidR="001A5E69" w:rsidRPr="00DC5702">
        <w:rPr>
          <w:rFonts w:ascii="Arial" w:hAnsi="Arial" w:cs="Arial"/>
          <w:i/>
          <w:sz w:val="24"/>
          <w:szCs w:val="24"/>
        </w:rPr>
        <w:t>The department will not issue closure certificate until DBCM satisfies all the requirements of relevant legislations.</w:t>
      </w:r>
    </w:p>
    <w:p w14:paraId="36A77B72" w14:textId="2FE6C805" w:rsidR="009102CE" w:rsidRDefault="009102CE" w:rsidP="009102CE">
      <w:pPr>
        <w:tabs>
          <w:tab w:val="left" w:pos="567"/>
        </w:tabs>
        <w:spacing w:after="0" w:line="360" w:lineRule="auto"/>
        <w:jc w:val="both"/>
        <w:rPr>
          <w:rFonts w:ascii="Arial" w:hAnsi="Arial" w:cs="Arial"/>
          <w:sz w:val="24"/>
          <w:szCs w:val="24"/>
        </w:rPr>
      </w:pPr>
    </w:p>
    <w:p w14:paraId="1DA03EF9" w14:textId="33525BC3" w:rsidR="00C446E3" w:rsidRDefault="009102CE"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DC5702">
        <w:rPr>
          <w:rFonts w:ascii="Arial" w:hAnsi="Arial" w:cs="Arial"/>
          <w:sz w:val="24"/>
          <w:szCs w:val="24"/>
        </w:rPr>
        <w:t>5</w:t>
      </w:r>
      <w:r w:rsidR="000D4DEB">
        <w:rPr>
          <w:rFonts w:ascii="Arial" w:hAnsi="Arial" w:cs="Arial"/>
          <w:sz w:val="24"/>
          <w:szCs w:val="24"/>
        </w:rPr>
        <w:t>0</w:t>
      </w:r>
      <w:r>
        <w:rPr>
          <w:rFonts w:ascii="Arial" w:hAnsi="Arial" w:cs="Arial"/>
          <w:sz w:val="24"/>
          <w:szCs w:val="24"/>
        </w:rPr>
        <w:t xml:space="preserve">] </w:t>
      </w:r>
      <w:r w:rsidR="002536CF">
        <w:rPr>
          <w:rFonts w:ascii="Arial" w:hAnsi="Arial" w:cs="Arial"/>
          <w:sz w:val="24"/>
          <w:szCs w:val="24"/>
        </w:rPr>
        <w:tab/>
      </w:r>
      <w:r>
        <w:rPr>
          <w:rFonts w:ascii="Arial" w:hAnsi="Arial" w:cs="Arial"/>
          <w:sz w:val="24"/>
          <w:szCs w:val="24"/>
        </w:rPr>
        <w:t xml:space="preserve">DBCM never appealed </w:t>
      </w:r>
      <w:r w:rsidR="00071A86">
        <w:rPr>
          <w:rFonts w:ascii="Arial" w:hAnsi="Arial" w:cs="Arial"/>
          <w:sz w:val="24"/>
          <w:szCs w:val="24"/>
        </w:rPr>
        <w:t xml:space="preserve">the decision or instruction </w:t>
      </w:r>
      <w:r>
        <w:rPr>
          <w:rFonts w:ascii="Arial" w:hAnsi="Arial" w:cs="Arial"/>
          <w:sz w:val="24"/>
          <w:szCs w:val="24"/>
        </w:rPr>
        <w:t xml:space="preserve">to the Chief Inspector of Mines, the appeal authority in terms of s 57 (1) of the MHSA which </w:t>
      </w:r>
      <w:r w:rsidR="00071A86">
        <w:rPr>
          <w:rFonts w:ascii="Arial" w:hAnsi="Arial" w:cs="Arial"/>
          <w:sz w:val="24"/>
          <w:szCs w:val="24"/>
        </w:rPr>
        <w:t xml:space="preserve">decision therefore </w:t>
      </w:r>
      <w:r>
        <w:rPr>
          <w:rFonts w:ascii="Arial" w:hAnsi="Arial" w:cs="Arial"/>
          <w:sz w:val="24"/>
          <w:szCs w:val="24"/>
        </w:rPr>
        <w:t xml:space="preserve">remains binding </w:t>
      </w:r>
      <w:r w:rsidR="00071A86">
        <w:rPr>
          <w:rFonts w:ascii="Arial" w:hAnsi="Arial" w:cs="Arial"/>
          <w:sz w:val="24"/>
          <w:szCs w:val="24"/>
        </w:rPr>
        <w:t>until it is reviewed and set aside by the court. It has failed to provide an explanation for its failure to appeal the s 55</w:t>
      </w:r>
      <w:r w:rsidR="003C57F5">
        <w:rPr>
          <w:rFonts w:ascii="Arial" w:hAnsi="Arial" w:cs="Arial"/>
          <w:sz w:val="24"/>
          <w:szCs w:val="24"/>
        </w:rPr>
        <w:t xml:space="preserve"> (1) </w:t>
      </w:r>
      <w:r w:rsidR="00071A86">
        <w:rPr>
          <w:rFonts w:ascii="Arial" w:hAnsi="Arial" w:cs="Arial"/>
          <w:sz w:val="24"/>
          <w:szCs w:val="24"/>
        </w:rPr>
        <w:t>health and safety instructions or to apply for an exemption for exhausting internal remedies provided by MHSA. DBCM has in the meant</w:t>
      </w:r>
      <w:r w:rsidR="0095375C">
        <w:rPr>
          <w:rFonts w:ascii="Arial" w:hAnsi="Arial" w:cs="Arial"/>
          <w:sz w:val="24"/>
          <w:szCs w:val="24"/>
        </w:rPr>
        <w:t>i</w:t>
      </w:r>
      <w:r w:rsidR="00071A86">
        <w:rPr>
          <w:rFonts w:ascii="Arial" w:hAnsi="Arial" w:cs="Arial"/>
          <w:sz w:val="24"/>
          <w:szCs w:val="24"/>
        </w:rPr>
        <w:t xml:space="preserve">me sold the farm without </w:t>
      </w:r>
      <w:r w:rsidR="0095375C">
        <w:rPr>
          <w:rFonts w:ascii="Arial" w:hAnsi="Arial" w:cs="Arial"/>
          <w:sz w:val="24"/>
          <w:szCs w:val="24"/>
        </w:rPr>
        <w:t>an approved Inspector of Mines’</w:t>
      </w:r>
      <w:r w:rsidR="00071A86">
        <w:rPr>
          <w:rFonts w:ascii="Arial" w:hAnsi="Arial" w:cs="Arial"/>
          <w:sz w:val="24"/>
          <w:szCs w:val="24"/>
        </w:rPr>
        <w:t xml:space="preserve"> </w:t>
      </w:r>
      <w:r w:rsidR="0095375C">
        <w:rPr>
          <w:rFonts w:ascii="Arial" w:hAnsi="Arial" w:cs="Arial"/>
          <w:sz w:val="24"/>
          <w:szCs w:val="24"/>
        </w:rPr>
        <w:t xml:space="preserve">health and safety </w:t>
      </w:r>
      <w:r w:rsidR="0095375C" w:rsidRPr="000D4DEB">
        <w:rPr>
          <w:rFonts w:ascii="Arial" w:hAnsi="Arial" w:cs="Arial"/>
          <w:sz w:val="24"/>
          <w:szCs w:val="24"/>
        </w:rPr>
        <w:t xml:space="preserve">plan for the game farming and there is no application to the DMRE for transfer of environmental liabilities filed in terms of s 43 (3) from the DBCM to the game farmer. </w:t>
      </w:r>
      <w:r w:rsidR="00342631" w:rsidRPr="000D4DEB">
        <w:rPr>
          <w:rFonts w:ascii="Arial" w:hAnsi="Arial" w:cs="Arial"/>
          <w:sz w:val="24"/>
          <w:szCs w:val="24"/>
        </w:rPr>
        <w:t>DBCM’s failure to appeal is therefore submitted to be also fatal to the Application.</w:t>
      </w:r>
      <w:r w:rsidR="00342631">
        <w:rPr>
          <w:rFonts w:ascii="Arial" w:hAnsi="Arial" w:cs="Arial"/>
          <w:sz w:val="24"/>
          <w:szCs w:val="24"/>
        </w:rPr>
        <w:t xml:space="preserve">  </w:t>
      </w:r>
      <w:r w:rsidR="0095375C">
        <w:rPr>
          <w:rFonts w:ascii="Arial" w:hAnsi="Arial" w:cs="Arial"/>
          <w:sz w:val="24"/>
          <w:szCs w:val="24"/>
        </w:rPr>
        <w:t xml:space="preserve"> </w:t>
      </w:r>
      <w:r w:rsidR="00071A86">
        <w:rPr>
          <w:rFonts w:ascii="Arial" w:hAnsi="Arial" w:cs="Arial"/>
          <w:sz w:val="24"/>
          <w:szCs w:val="24"/>
        </w:rPr>
        <w:t xml:space="preserve">  </w:t>
      </w:r>
    </w:p>
    <w:p w14:paraId="20E1A8F3" w14:textId="77777777" w:rsidR="00342631" w:rsidRDefault="00342631" w:rsidP="0051441B">
      <w:pPr>
        <w:tabs>
          <w:tab w:val="left" w:pos="567"/>
        </w:tabs>
        <w:spacing w:after="0" w:line="360" w:lineRule="auto"/>
        <w:jc w:val="both"/>
        <w:rPr>
          <w:rFonts w:ascii="Arial" w:hAnsi="Arial" w:cs="Arial"/>
          <w:sz w:val="24"/>
          <w:szCs w:val="24"/>
        </w:rPr>
      </w:pPr>
    </w:p>
    <w:p w14:paraId="3B61F4FE" w14:textId="7A2A26DA" w:rsidR="00342631" w:rsidRDefault="00DC5702" w:rsidP="0051441B">
      <w:pPr>
        <w:tabs>
          <w:tab w:val="left" w:pos="567"/>
        </w:tabs>
        <w:spacing w:after="0" w:line="360" w:lineRule="auto"/>
        <w:jc w:val="both"/>
        <w:rPr>
          <w:rFonts w:ascii="Arial" w:hAnsi="Arial" w:cs="Arial"/>
          <w:sz w:val="24"/>
          <w:szCs w:val="24"/>
        </w:rPr>
      </w:pPr>
      <w:r>
        <w:rPr>
          <w:rFonts w:ascii="Arial" w:hAnsi="Arial" w:cs="Arial"/>
          <w:sz w:val="24"/>
          <w:szCs w:val="24"/>
        </w:rPr>
        <w:t>[5</w:t>
      </w:r>
      <w:r w:rsidR="000D4DEB">
        <w:rPr>
          <w:rFonts w:ascii="Arial" w:hAnsi="Arial" w:cs="Arial"/>
          <w:sz w:val="24"/>
          <w:szCs w:val="24"/>
        </w:rPr>
        <w:t>1</w:t>
      </w:r>
      <w:r w:rsidR="00342631">
        <w:rPr>
          <w:rFonts w:ascii="Arial" w:hAnsi="Arial" w:cs="Arial"/>
          <w:sz w:val="24"/>
          <w:szCs w:val="24"/>
        </w:rPr>
        <w:t xml:space="preserve">] </w:t>
      </w:r>
      <w:r w:rsidR="002536CF">
        <w:rPr>
          <w:rFonts w:ascii="Arial" w:hAnsi="Arial" w:cs="Arial"/>
          <w:sz w:val="24"/>
          <w:szCs w:val="24"/>
        </w:rPr>
        <w:tab/>
      </w:r>
      <w:r w:rsidR="00342631">
        <w:rPr>
          <w:rFonts w:ascii="Arial" w:hAnsi="Arial" w:cs="Arial"/>
          <w:sz w:val="24"/>
          <w:szCs w:val="24"/>
        </w:rPr>
        <w:t xml:space="preserve">The Respondent therefore argue that the DBCM’s </w:t>
      </w:r>
      <w:r w:rsidR="00F16380">
        <w:rPr>
          <w:rFonts w:ascii="Arial" w:hAnsi="Arial" w:cs="Arial"/>
          <w:sz w:val="24"/>
          <w:szCs w:val="24"/>
        </w:rPr>
        <w:t xml:space="preserve">contention </w:t>
      </w:r>
      <w:r w:rsidR="00342631">
        <w:rPr>
          <w:rFonts w:ascii="Arial" w:hAnsi="Arial" w:cs="Arial"/>
          <w:sz w:val="24"/>
          <w:szCs w:val="24"/>
        </w:rPr>
        <w:t xml:space="preserve">that in terms of </w:t>
      </w:r>
      <w:r w:rsidR="003C57F5">
        <w:rPr>
          <w:rFonts w:ascii="Arial" w:hAnsi="Arial" w:cs="Arial"/>
          <w:sz w:val="24"/>
          <w:szCs w:val="24"/>
        </w:rPr>
        <w:t>item</w:t>
      </w:r>
      <w:r w:rsidR="00342631">
        <w:rPr>
          <w:rFonts w:ascii="Arial" w:hAnsi="Arial" w:cs="Arial"/>
          <w:sz w:val="24"/>
          <w:szCs w:val="24"/>
        </w:rPr>
        <w:t xml:space="preserve"> 10 (1) of </w:t>
      </w:r>
      <w:r w:rsidR="003C57F5">
        <w:rPr>
          <w:rFonts w:ascii="Arial" w:hAnsi="Arial" w:cs="Arial"/>
          <w:sz w:val="24"/>
          <w:szCs w:val="24"/>
        </w:rPr>
        <w:t xml:space="preserve">Schedule </w:t>
      </w:r>
      <w:r w:rsidR="00342631">
        <w:rPr>
          <w:rFonts w:ascii="Arial" w:hAnsi="Arial" w:cs="Arial"/>
          <w:sz w:val="24"/>
          <w:szCs w:val="24"/>
        </w:rPr>
        <w:t>the MPRDA, the Oaks Mine amended EMP of 2003 approved in terms of s 39 (2) of the repealed Minerals Act continue</w:t>
      </w:r>
      <w:r w:rsidR="0022274D">
        <w:rPr>
          <w:rFonts w:ascii="Arial" w:hAnsi="Arial" w:cs="Arial"/>
          <w:sz w:val="24"/>
          <w:szCs w:val="24"/>
        </w:rPr>
        <w:t>d</w:t>
      </w:r>
      <w:r w:rsidR="00342631">
        <w:rPr>
          <w:rFonts w:ascii="Arial" w:hAnsi="Arial" w:cs="Arial"/>
          <w:sz w:val="24"/>
          <w:szCs w:val="24"/>
        </w:rPr>
        <w:t xml:space="preserve"> to remain in force when the MPRDA came into force on 1 May 2004 has no basis in fact and law in that: </w:t>
      </w:r>
    </w:p>
    <w:p w14:paraId="7DE11B6A" w14:textId="77777777" w:rsidR="00342631" w:rsidRDefault="00342631" w:rsidP="0051441B">
      <w:pPr>
        <w:tabs>
          <w:tab w:val="left" w:pos="567"/>
        </w:tabs>
        <w:spacing w:after="0" w:line="360" w:lineRule="auto"/>
        <w:jc w:val="both"/>
        <w:rPr>
          <w:rFonts w:ascii="Arial" w:hAnsi="Arial" w:cs="Arial"/>
          <w:sz w:val="24"/>
          <w:szCs w:val="24"/>
        </w:rPr>
      </w:pPr>
      <w:r>
        <w:rPr>
          <w:rFonts w:ascii="Arial" w:hAnsi="Arial" w:cs="Arial"/>
          <w:sz w:val="24"/>
          <w:szCs w:val="24"/>
        </w:rPr>
        <w:tab/>
      </w:r>
    </w:p>
    <w:p w14:paraId="3D58F9F3" w14:textId="1B90DCA5" w:rsidR="00342631" w:rsidRDefault="00342631" w:rsidP="00342631">
      <w:pPr>
        <w:tabs>
          <w:tab w:val="left" w:pos="567"/>
        </w:tabs>
        <w:spacing w:after="0" w:line="360" w:lineRule="auto"/>
        <w:ind w:left="567"/>
        <w:jc w:val="both"/>
        <w:rPr>
          <w:rFonts w:ascii="Arial" w:hAnsi="Arial" w:cs="Arial"/>
          <w:sz w:val="24"/>
          <w:szCs w:val="24"/>
        </w:rPr>
      </w:pPr>
      <w:r>
        <w:rPr>
          <w:rFonts w:ascii="Arial" w:hAnsi="Arial" w:cs="Arial"/>
          <w:sz w:val="24"/>
          <w:szCs w:val="24"/>
        </w:rPr>
        <w:lastRenderedPageBreak/>
        <w:tab/>
        <w:t>[</w:t>
      </w:r>
      <w:r w:rsidR="00DC5702">
        <w:rPr>
          <w:rFonts w:ascii="Arial" w:hAnsi="Arial" w:cs="Arial"/>
          <w:sz w:val="24"/>
          <w:szCs w:val="24"/>
        </w:rPr>
        <w:t>5</w:t>
      </w:r>
      <w:r w:rsidR="000D4DEB">
        <w:rPr>
          <w:rFonts w:ascii="Arial" w:hAnsi="Arial" w:cs="Arial"/>
          <w:sz w:val="24"/>
          <w:szCs w:val="24"/>
        </w:rPr>
        <w:t>1</w:t>
      </w:r>
      <w:r>
        <w:rPr>
          <w:rFonts w:ascii="Arial" w:hAnsi="Arial" w:cs="Arial"/>
          <w:sz w:val="24"/>
          <w:szCs w:val="24"/>
        </w:rPr>
        <w:t>.1] The amended EMP of 2003 was never subjected to the public participation process;</w:t>
      </w:r>
    </w:p>
    <w:p w14:paraId="550B0D6E" w14:textId="7CE6BC03" w:rsidR="00D67FAF" w:rsidRDefault="00342631" w:rsidP="002536CF">
      <w:pPr>
        <w:tabs>
          <w:tab w:val="left" w:pos="567"/>
        </w:tabs>
        <w:spacing w:after="0" w:line="360" w:lineRule="auto"/>
        <w:ind w:left="720"/>
        <w:jc w:val="both"/>
        <w:rPr>
          <w:rFonts w:ascii="Arial" w:hAnsi="Arial" w:cs="Arial"/>
          <w:sz w:val="24"/>
          <w:szCs w:val="24"/>
        </w:rPr>
      </w:pPr>
      <w:r>
        <w:rPr>
          <w:rFonts w:ascii="Arial" w:hAnsi="Arial" w:cs="Arial"/>
          <w:sz w:val="24"/>
          <w:szCs w:val="24"/>
        </w:rPr>
        <w:t>[</w:t>
      </w:r>
      <w:r w:rsidR="00DC5702">
        <w:rPr>
          <w:rFonts w:ascii="Arial" w:hAnsi="Arial" w:cs="Arial"/>
          <w:sz w:val="24"/>
          <w:szCs w:val="24"/>
        </w:rPr>
        <w:t>5</w:t>
      </w:r>
      <w:r w:rsidR="000D4DEB">
        <w:rPr>
          <w:rFonts w:ascii="Arial" w:hAnsi="Arial" w:cs="Arial"/>
          <w:sz w:val="24"/>
          <w:szCs w:val="24"/>
        </w:rPr>
        <w:t>1</w:t>
      </w:r>
      <w:r>
        <w:rPr>
          <w:rFonts w:ascii="Arial" w:hAnsi="Arial" w:cs="Arial"/>
          <w:sz w:val="24"/>
          <w:szCs w:val="24"/>
        </w:rPr>
        <w:t xml:space="preserve">.2]   </w:t>
      </w:r>
      <w:r w:rsidRPr="001D7610">
        <w:rPr>
          <w:rFonts w:ascii="Arial" w:hAnsi="Arial" w:cs="Arial"/>
          <w:b/>
          <w:sz w:val="24"/>
          <w:szCs w:val="24"/>
        </w:rPr>
        <w:t>The amended EMP was not lodge</w:t>
      </w:r>
      <w:r w:rsidR="00DA4B2F" w:rsidRPr="001D7610">
        <w:rPr>
          <w:rFonts w:ascii="Arial" w:hAnsi="Arial" w:cs="Arial"/>
          <w:b/>
          <w:sz w:val="24"/>
          <w:szCs w:val="24"/>
        </w:rPr>
        <w:t>d</w:t>
      </w:r>
      <w:r w:rsidRPr="001D7610">
        <w:rPr>
          <w:rFonts w:ascii="Arial" w:hAnsi="Arial" w:cs="Arial"/>
          <w:b/>
          <w:sz w:val="24"/>
          <w:szCs w:val="24"/>
        </w:rPr>
        <w:t xml:space="preserve"> with the Regional Manager in terms of s 7 </w:t>
      </w:r>
      <w:r w:rsidR="00D67FAF" w:rsidRPr="001D7610">
        <w:rPr>
          <w:rFonts w:ascii="Arial" w:hAnsi="Arial" w:cs="Arial"/>
          <w:b/>
          <w:sz w:val="24"/>
          <w:szCs w:val="24"/>
        </w:rPr>
        <w:t xml:space="preserve">(2) (j) </w:t>
      </w:r>
      <w:r w:rsidRPr="001D7610">
        <w:rPr>
          <w:rFonts w:ascii="Arial" w:hAnsi="Arial" w:cs="Arial"/>
          <w:b/>
          <w:sz w:val="24"/>
          <w:szCs w:val="24"/>
        </w:rPr>
        <w:t xml:space="preserve">of </w:t>
      </w:r>
      <w:r w:rsidR="00D67FAF" w:rsidRPr="001D7610">
        <w:rPr>
          <w:rFonts w:ascii="Arial" w:hAnsi="Arial" w:cs="Arial"/>
          <w:b/>
          <w:sz w:val="24"/>
          <w:szCs w:val="24"/>
        </w:rPr>
        <w:t xml:space="preserve">Schedule II of </w:t>
      </w:r>
      <w:r w:rsidRPr="001D7610">
        <w:rPr>
          <w:rFonts w:ascii="Arial" w:hAnsi="Arial" w:cs="Arial"/>
          <w:b/>
          <w:sz w:val="24"/>
          <w:szCs w:val="24"/>
        </w:rPr>
        <w:t xml:space="preserve">the MPRDA when </w:t>
      </w:r>
      <w:r w:rsidR="00DA4B2F" w:rsidRPr="001D7610">
        <w:rPr>
          <w:rFonts w:ascii="Arial" w:hAnsi="Arial" w:cs="Arial"/>
          <w:b/>
          <w:sz w:val="24"/>
          <w:szCs w:val="24"/>
        </w:rPr>
        <w:t xml:space="preserve">the latter Act </w:t>
      </w:r>
      <w:r w:rsidR="00D67FAF" w:rsidRPr="001D7610">
        <w:rPr>
          <w:rFonts w:ascii="Arial" w:hAnsi="Arial" w:cs="Arial"/>
          <w:b/>
          <w:sz w:val="24"/>
          <w:szCs w:val="24"/>
        </w:rPr>
        <w:t xml:space="preserve">came into effect or amended it to comply with the 2005 Guidelines and </w:t>
      </w:r>
      <w:r w:rsidRPr="001D7610">
        <w:rPr>
          <w:rFonts w:ascii="Arial" w:hAnsi="Arial" w:cs="Arial"/>
          <w:b/>
          <w:sz w:val="24"/>
          <w:szCs w:val="24"/>
        </w:rPr>
        <w:t>the</w:t>
      </w:r>
      <w:r w:rsidR="00D67FAF" w:rsidRPr="001D7610">
        <w:rPr>
          <w:rFonts w:ascii="Arial" w:hAnsi="Arial" w:cs="Arial"/>
          <w:b/>
          <w:sz w:val="24"/>
          <w:szCs w:val="24"/>
        </w:rPr>
        <w:t xml:space="preserve"> stringent requirements of the new MPRDA.</w:t>
      </w:r>
    </w:p>
    <w:p w14:paraId="10364457" w14:textId="77777777" w:rsidR="00DC5702" w:rsidRDefault="00DC5702" w:rsidP="002536CF">
      <w:pPr>
        <w:tabs>
          <w:tab w:val="left" w:pos="567"/>
        </w:tabs>
        <w:spacing w:after="0" w:line="360" w:lineRule="auto"/>
        <w:ind w:left="720"/>
        <w:jc w:val="both"/>
        <w:rPr>
          <w:rFonts w:ascii="Arial" w:hAnsi="Arial" w:cs="Arial"/>
          <w:sz w:val="24"/>
          <w:szCs w:val="24"/>
        </w:rPr>
      </w:pPr>
    </w:p>
    <w:p w14:paraId="609756FC" w14:textId="4A2919C1" w:rsidR="00C446E3" w:rsidRDefault="00D67FAF" w:rsidP="002536CF">
      <w:pPr>
        <w:tabs>
          <w:tab w:val="left" w:pos="567"/>
        </w:tabs>
        <w:spacing w:after="0" w:line="360" w:lineRule="auto"/>
        <w:ind w:left="720"/>
        <w:jc w:val="both"/>
        <w:rPr>
          <w:rFonts w:ascii="Arial" w:hAnsi="Arial" w:cs="Arial"/>
          <w:sz w:val="24"/>
          <w:szCs w:val="24"/>
        </w:rPr>
      </w:pPr>
      <w:r>
        <w:rPr>
          <w:rFonts w:ascii="Arial" w:hAnsi="Arial" w:cs="Arial"/>
          <w:sz w:val="24"/>
          <w:szCs w:val="24"/>
        </w:rPr>
        <w:t>[</w:t>
      </w:r>
      <w:r w:rsidR="00DC5702">
        <w:rPr>
          <w:rFonts w:ascii="Arial" w:hAnsi="Arial" w:cs="Arial"/>
          <w:sz w:val="24"/>
          <w:szCs w:val="24"/>
        </w:rPr>
        <w:t>5</w:t>
      </w:r>
      <w:r w:rsidR="000D4DEB">
        <w:rPr>
          <w:rFonts w:ascii="Arial" w:hAnsi="Arial" w:cs="Arial"/>
          <w:sz w:val="24"/>
          <w:szCs w:val="24"/>
        </w:rPr>
        <w:t>1</w:t>
      </w:r>
      <w:r>
        <w:rPr>
          <w:rFonts w:ascii="Arial" w:hAnsi="Arial" w:cs="Arial"/>
          <w:sz w:val="24"/>
          <w:szCs w:val="24"/>
        </w:rPr>
        <w:t>.3] The 2003 EMP ceased to exist by operation of the law</w:t>
      </w:r>
      <w:r w:rsidR="00DA4B2F" w:rsidRPr="00DA4B2F">
        <w:rPr>
          <w:rFonts w:ascii="Arial" w:hAnsi="Arial" w:cs="Arial"/>
          <w:sz w:val="24"/>
          <w:szCs w:val="24"/>
        </w:rPr>
        <w:t xml:space="preserve"> </w:t>
      </w:r>
      <w:r w:rsidR="00DA4B2F">
        <w:rPr>
          <w:rFonts w:ascii="Arial" w:hAnsi="Arial" w:cs="Arial"/>
          <w:sz w:val="24"/>
          <w:szCs w:val="24"/>
        </w:rPr>
        <w:t>on 30 April 2009</w:t>
      </w:r>
      <w:r>
        <w:rPr>
          <w:rFonts w:ascii="Arial" w:hAnsi="Arial" w:cs="Arial"/>
          <w:sz w:val="24"/>
          <w:szCs w:val="24"/>
        </w:rPr>
        <w:t xml:space="preserve">, the cut- off date for conversion of the Oaks Mine old order mining right and its EMPs.  </w:t>
      </w:r>
      <w:r w:rsidR="00DA4B2F">
        <w:rPr>
          <w:rFonts w:ascii="Arial" w:hAnsi="Arial" w:cs="Arial"/>
          <w:sz w:val="24"/>
          <w:szCs w:val="24"/>
        </w:rPr>
        <w:t>The Respondent argues that as a result DBCM’s reliance on the 2003  EMP</w:t>
      </w:r>
      <w:r>
        <w:rPr>
          <w:rFonts w:ascii="Arial" w:hAnsi="Arial" w:cs="Arial"/>
          <w:sz w:val="24"/>
          <w:szCs w:val="24"/>
        </w:rPr>
        <w:t xml:space="preserve"> </w:t>
      </w:r>
      <w:r w:rsidR="00DA4B2F">
        <w:rPr>
          <w:rFonts w:ascii="Arial" w:hAnsi="Arial" w:cs="Arial"/>
          <w:sz w:val="24"/>
          <w:szCs w:val="24"/>
        </w:rPr>
        <w:t xml:space="preserve">should be fatal to the review Application and </w:t>
      </w:r>
      <w:r w:rsidR="001D7610">
        <w:rPr>
          <w:rFonts w:ascii="Arial" w:hAnsi="Arial" w:cs="Arial"/>
          <w:sz w:val="24"/>
          <w:szCs w:val="24"/>
        </w:rPr>
        <w:t xml:space="preserve">it and </w:t>
      </w:r>
      <w:r w:rsidR="00DA4B2F">
        <w:rPr>
          <w:rFonts w:ascii="Arial" w:hAnsi="Arial" w:cs="Arial"/>
          <w:sz w:val="24"/>
          <w:szCs w:val="24"/>
        </w:rPr>
        <w:t>should be dismissed on th</w:t>
      </w:r>
      <w:r w:rsidR="00F16380">
        <w:rPr>
          <w:rFonts w:ascii="Arial" w:hAnsi="Arial" w:cs="Arial"/>
          <w:sz w:val="24"/>
          <w:szCs w:val="24"/>
        </w:rPr>
        <w:t>at</w:t>
      </w:r>
      <w:r w:rsidR="00DA4B2F">
        <w:rPr>
          <w:rFonts w:ascii="Arial" w:hAnsi="Arial" w:cs="Arial"/>
          <w:sz w:val="24"/>
          <w:szCs w:val="24"/>
        </w:rPr>
        <w:t xml:space="preserve"> ground alone. </w:t>
      </w:r>
      <w:r>
        <w:rPr>
          <w:rFonts w:ascii="Arial" w:hAnsi="Arial" w:cs="Arial"/>
          <w:sz w:val="24"/>
          <w:szCs w:val="24"/>
        </w:rPr>
        <w:t xml:space="preserve">  </w:t>
      </w:r>
      <w:r w:rsidR="00342631">
        <w:rPr>
          <w:rFonts w:ascii="Arial" w:hAnsi="Arial" w:cs="Arial"/>
          <w:sz w:val="24"/>
          <w:szCs w:val="24"/>
        </w:rPr>
        <w:t xml:space="preserve"> </w:t>
      </w:r>
    </w:p>
    <w:p w14:paraId="2DCA060A" w14:textId="77777777" w:rsidR="0013441D" w:rsidRDefault="0013441D" w:rsidP="0051441B">
      <w:pPr>
        <w:tabs>
          <w:tab w:val="left" w:pos="567"/>
        </w:tabs>
        <w:spacing w:after="0" w:line="360" w:lineRule="auto"/>
        <w:jc w:val="both"/>
        <w:rPr>
          <w:rFonts w:ascii="Arial" w:hAnsi="Arial" w:cs="Arial"/>
          <w:b/>
          <w:sz w:val="24"/>
          <w:szCs w:val="24"/>
        </w:rPr>
      </w:pPr>
    </w:p>
    <w:p w14:paraId="4AD7377A" w14:textId="679DDA3B" w:rsidR="00C446E3" w:rsidRPr="0013441D" w:rsidRDefault="00DA4B2F" w:rsidP="0051441B">
      <w:pPr>
        <w:tabs>
          <w:tab w:val="left" w:pos="567"/>
        </w:tabs>
        <w:spacing w:after="0" w:line="360" w:lineRule="auto"/>
        <w:jc w:val="both"/>
        <w:rPr>
          <w:rFonts w:ascii="Arial" w:hAnsi="Arial" w:cs="Arial"/>
          <w:b/>
          <w:sz w:val="24"/>
          <w:szCs w:val="24"/>
        </w:rPr>
      </w:pPr>
      <w:r w:rsidRPr="0013441D">
        <w:rPr>
          <w:rFonts w:ascii="Arial" w:hAnsi="Arial" w:cs="Arial"/>
          <w:b/>
          <w:sz w:val="24"/>
          <w:szCs w:val="24"/>
        </w:rPr>
        <w:t>Costs of backfilling the pit</w:t>
      </w:r>
    </w:p>
    <w:p w14:paraId="13B22205" w14:textId="77777777" w:rsidR="00DA4B2F" w:rsidRDefault="00DA4B2F" w:rsidP="0051441B">
      <w:pPr>
        <w:tabs>
          <w:tab w:val="left" w:pos="567"/>
        </w:tabs>
        <w:spacing w:after="0" w:line="360" w:lineRule="auto"/>
        <w:jc w:val="both"/>
        <w:rPr>
          <w:rFonts w:ascii="Arial" w:hAnsi="Arial" w:cs="Arial"/>
          <w:sz w:val="24"/>
          <w:szCs w:val="24"/>
        </w:rPr>
      </w:pPr>
    </w:p>
    <w:p w14:paraId="4E2BEB8F" w14:textId="23B0EEAB" w:rsidR="001C067C" w:rsidRDefault="00DA4B2F"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DC5702">
        <w:rPr>
          <w:rFonts w:ascii="Arial" w:hAnsi="Arial" w:cs="Arial"/>
          <w:sz w:val="24"/>
          <w:szCs w:val="24"/>
        </w:rPr>
        <w:t>5</w:t>
      </w:r>
      <w:r w:rsidR="000D4DEB">
        <w:rPr>
          <w:rFonts w:ascii="Arial" w:hAnsi="Arial" w:cs="Arial"/>
          <w:sz w:val="24"/>
          <w:szCs w:val="24"/>
        </w:rPr>
        <w:t>2</w:t>
      </w:r>
      <w:r>
        <w:rPr>
          <w:rFonts w:ascii="Arial" w:hAnsi="Arial" w:cs="Arial"/>
          <w:sz w:val="24"/>
          <w:szCs w:val="24"/>
        </w:rPr>
        <w:t>]</w:t>
      </w:r>
      <w:r>
        <w:rPr>
          <w:rFonts w:ascii="Arial" w:hAnsi="Arial" w:cs="Arial"/>
          <w:sz w:val="24"/>
          <w:szCs w:val="24"/>
        </w:rPr>
        <w:tab/>
      </w:r>
      <w:r w:rsidR="0013441D">
        <w:rPr>
          <w:rFonts w:ascii="Arial" w:hAnsi="Arial" w:cs="Arial"/>
          <w:sz w:val="24"/>
          <w:szCs w:val="24"/>
        </w:rPr>
        <w:t>The Respondent denies that t</w:t>
      </w:r>
      <w:r>
        <w:rPr>
          <w:rFonts w:ascii="Arial" w:hAnsi="Arial" w:cs="Arial"/>
          <w:sz w:val="24"/>
          <w:szCs w:val="24"/>
        </w:rPr>
        <w:t xml:space="preserve">he costs amount stated by DBCM </w:t>
      </w:r>
      <w:r w:rsidR="0013441D">
        <w:rPr>
          <w:rFonts w:ascii="Arial" w:hAnsi="Arial" w:cs="Arial"/>
          <w:sz w:val="24"/>
          <w:szCs w:val="24"/>
        </w:rPr>
        <w:t>to be est</w:t>
      </w:r>
      <w:r>
        <w:rPr>
          <w:rFonts w:ascii="Arial" w:hAnsi="Arial" w:cs="Arial"/>
          <w:sz w:val="24"/>
          <w:szCs w:val="24"/>
        </w:rPr>
        <w:t>imated at R100 Million for financial year 2014 and R206 Million for financial year 2019 and</w:t>
      </w:r>
      <w:r w:rsidR="004F0AED">
        <w:rPr>
          <w:rFonts w:ascii="Arial" w:hAnsi="Arial" w:cs="Arial"/>
          <w:sz w:val="24"/>
          <w:szCs w:val="24"/>
        </w:rPr>
        <w:t>,</w:t>
      </w:r>
      <w:r>
        <w:rPr>
          <w:rFonts w:ascii="Arial" w:hAnsi="Arial" w:cs="Arial"/>
          <w:sz w:val="24"/>
          <w:szCs w:val="24"/>
        </w:rPr>
        <w:t xml:space="preserve">  costs already incurred </w:t>
      </w:r>
      <w:r w:rsidR="001C067C">
        <w:rPr>
          <w:rFonts w:ascii="Arial" w:hAnsi="Arial" w:cs="Arial"/>
          <w:sz w:val="24"/>
          <w:szCs w:val="24"/>
        </w:rPr>
        <w:t xml:space="preserve">in rehabilitating the mine </w:t>
      </w:r>
      <w:r>
        <w:rPr>
          <w:rFonts w:ascii="Arial" w:hAnsi="Arial" w:cs="Arial"/>
          <w:sz w:val="24"/>
          <w:szCs w:val="24"/>
        </w:rPr>
        <w:t xml:space="preserve">to date </w:t>
      </w:r>
      <w:r w:rsidR="004F0AED">
        <w:rPr>
          <w:rFonts w:ascii="Arial" w:hAnsi="Arial" w:cs="Arial"/>
          <w:sz w:val="24"/>
          <w:szCs w:val="24"/>
        </w:rPr>
        <w:t xml:space="preserve">being </w:t>
      </w:r>
      <w:r>
        <w:rPr>
          <w:rFonts w:ascii="Arial" w:hAnsi="Arial" w:cs="Arial"/>
          <w:sz w:val="24"/>
          <w:szCs w:val="24"/>
        </w:rPr>
        <w:t>R</w:t>
      </w:r>
      <w:r w:rsidR="001C067C">
        <w:rPr>
          <w:rFonts w:ascii="Arial" w:hAnsi="Arial" w:cs="Arial"/>
          <w:sz w:val="24"/>
          <w:szCs w:val="24"/>
        </w:rPr>
        <w:t>1</w:t>
      </w:r>
      <w:r>
        <w:rPr>
          <w:rFonts w:ascii="Arial" w:hAnsi="Arial" w:cs="Arial"/>
          <w:sz w:val="24"/>
          <w:szCs w:val="24"/>
        </w:rPr>
        <w:t>2</w:t>
      </w:r>
      <w:r w:rsidR="001C067C">
        <w:rPr>
          <w:rFonts w:ascii="Arial" w:hAnsi="Arial" w:cs="Arial"/>
          <w:sz w:val="24"/>
          <w:szCs w:val="24"/>
        </w:rPr>
        <w:t>.3</w:t>
      </w:r>
      <w:r>
        <w:rPr>
          <w:rFonts w:ascii="Arial" w:hAnsi="Arial" w:cs="Arial"/>
          <w:sz w:val="24"/>
          <w:szCs w:val="24"/>
        </w:rPr>
        <w:t xml:space="preserve"> Million have </w:t>
      </w:r>
      <w:r w:rsidR="0013441D">
        <w:rPr>
          <w:rFonts w:ascii="Arial" w:hAnsi="Arial" w:cs="Arial"/>
          <w:sz w:val="24"/>
          <w:szCs w:val="24"/>
        </w:rPr>
        <w:t xml:space="preserve">any </w:t>
      </w:r>
      <w:r>
        <w:rPr>
          <w:rFonts w:ascii="Arial" w:hAnsi="Arial" w:cs="Arial"/>
          <w:sz w:val="24"/>
          <w:szCs w:val="24"/>
        </w:rPr>
        <w:t>basis in fact or law</w:t>
      </w:r>
      <w:r w:rsidR="004F0AED">
        <w:rPr>
          <w:rFonts w:ascii="Arial" w:hAnsi="Arial" w:cs="Arial"/>
          <w:sz w:val="24"/>
          <w:szCs w:val="24"/>
        </w:rPr>
        <w:t xml:space="preserve"> </w:t>
      </w:r>
      <w:r w:rsidR="0022274D">
        <w:rPr>
          <w:rFonts w:ascii="Arial" w:hAnsi="Arial" w:cs="Arial"/>
          <w:sz w:val="24"/>
          <w:szCs w:val="24"/>
        </w:rPr>
        <w:t xml:space="preserve">arguing </w:t>
      </w:r>
      <w:r w:rsidR="0013441D">
        <w:rPr>
          <w:rFonts w:ascii="Arial" w:hAnsi="Arial" w:cs="Arial"/>
          <w:sz w:val="24"/>
          <w:szCs w:val="24"/>
        </w:rPr>
        <w:t>that:</w:t>
      </w:r>
    </w:p>
    <w:p w14:paraId="501BAE69" w14:textId="77777777" w:rsidR="001C067C" w:rsidRDefault="001C067C" w:rsidP="0051441B">
      <w:pPr>
        <w:tabs>
          <w:tab w:val="left" w:pos="567"/>
        </w:tabs>
        <w:spacing w:after="0" w:line="360" w:lineRule="auto"/>
        <w:jc w:val="both"/>
        <w:rPr>
          <w:rFonts w:ascii="Arial" w:hAnsi="Arial" w:cs="Arial"/>
          <w:sz w:val="24"/>
          <w:szCs w:val="24"/>
        </w:rPr>
      </w:pPr>
      <w:r>
        <w:rPr>
          <w:rFonts w:ascii="Arial" w:hAnsi="Arial" w:cs="Arial"/>
          <w:sz w:val="24"/>
          <w:szCs w:val="24"/>
        </w:rPr>
        <w:tab/>
      </w:r>
    </w:p>
    <w:p w14:paraId="16E01CC0" w14:textId="4FE19B8C" w:rsidR="0010240A" w:rsidRDefault="00613370"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1C067C">
        <w:rPr>
          <w:rFonts w:ascii="Arial" w:hAnsi="Arial" w:cs="Arial"/>
          <w:sz w:val="24"/>
          <w:szCs w:val="24"/>
        </w:rPr>
        <w:t>[</w:t>
      </w:r>
      <w:r w:rsidR="00DC5702">
        <w:rPr>
          <w:rFonts w:ascii="Arial" w:hAnsi="Arial" w:cs="Arial"/>
          <w:sz w:val="24"/>
          <w:szCs w:val="24"/>
        </w:rPr>
        <w:t>5</w:t>
      </w:r>
      <w:r w:rsidR="000D4DEB">
        <w:rPr>
          <w:rFonts w:ascii="Arial" w:hAnsi="Arial" w:cs="Arial"/>
          <w:sz w:val="24"/>
          <w:szCs w:val="24"/>
        </w:rPr>
        <w:t>2</w:t>
      </w:r>
      <w:r w:rsidR="001C067C">
        <w:rPr>
          <w:rFonts w:ascii="Arial" w:hAnsi="Arial" w:cs="Arial"/>
          <w:sz w:val="24"/>
          <w:szCs w:val="24"/>
        </w:rPr>
        <w:t>.1]</w:t>
      </w:r>
      <w:r w:rsidR="001C067C">
        <w:rPr>
          <w:rFonts w:ascii="Arial" w:hAnsi="Arial" w:cs="Arial"/>
          <w:sz w:val="24"/>
          <w:szCs w:val="24"/>
        </w:rPr>
        <w:tab/>
        <w:t xml:space="preserve"> </w:t>
      </w:r>
      <w:r>
        <w:rPr>
          <w:rFonts w:ascii="Arial" w:hAnsi="Arial" w:cs="Arial"/>
          <w:sz w:val="24"/>
          <w:szCs w:val="24"/>
        </w:rPr>
        <w:t xml:space="preserve">DBCM </w:t>
      </w:r>
      <w:r w:rsidR="005A6F5E">
        <w:rPr>
          <w:rFonts w:ascii="Arial" w:hAnsi="Arial" w:cs="Arial"/>
          <w:sz w:val="24"/>
          <w:szCs w:val="24"/>
        </w:rPr>
        <w:t xml:space="preserve">was in terms of </w:t>
      </w:r>
      <w:r w:rsidR="003C57F5">
        <w:rPr>
          <w:rFonts w:ascii="Arial" w:hAnsi="Arial" w:cs="Arial"/>
          <w:sz w:val="24"/>
          <w:szCs w:val="24"/>
        </w:rPr>
        <w:t>item</w:t>
      </w:r>
      <w:r w:rsidR="005A6F5E">
        <w:rPr>
          <w:rFonts w:ascii="Arial" w:hAnsi="Arial" w:cs="Arial"/>
          <w:sz w:val="24"/>
          <w:szCs w:val="24"/>
        </w:rPr>
        <w:t xml:space="preserve"> 7 (2) (a) to (k) of </w:t>
      </w:r>
      <w:r w:rsidR="00823EB8">
        <w:rPr>
          <w:rFonts w:ascii="Arial" w:hAnsi="Arial" w:cs="Arial"/>
          <w:sz w:val="24"/>
          <w:szCs w:val="24"/>
        </w:rPr>
        <w:t xml:space="preserve">Schedule II of the MPRDA </w:t>
      </w:r>
      <w:r w:rsidR="005A6F5E">
        <w:rPr>
          <w:rFonts w:ascii="Arial" w:hAnsi="Arial" w:cs="Arial"/>
          <w:sz w:val="24"/>
          <w:szCs w:val="24"/>
        </w:rPr>
        <w:t xml:space="preserve"> required </w:t>
      </w:r>
      <w:r w:rsidR="001C067C">
        <w:rPr>
          <w:rFonts w:ascii="Arial" w:hAnsi="Arial" w:cs="Arial"/>
          <w:sz w:val="24"/>
          <w:szCs w:val="24"/>
        </w:rPr>
        <w:t xml:space="preserve">to submit documentary evidence </w:t>
      </w:r>
      <w:r>
        <w:rPr>
          <w:rFonts w:ascii="Arial" w:hAnsi="Arial" w:cs="Arial"/>
          <w:sz w:val="24"/>
          <w:szCs w:val="24"/>
        </w:rPr>
        <w:t>to prove its technical and financial ability to mitigate and rehabilitate the relevant environmental impact of its mining activities. It is also required in terms of s 28 to keep information and data in respect of mining</w:t>
      </w:r>
      <w:r w:rsidR="004D0827">
        <w:rPr>
          <w:rFonts w:ascii="Arial" w:hAnsi="Arial" w:cs="Arial"/>
          <w:sz w:val="24"/>
          <w:szCs w:val="24"/>
        </w:rPr>
        <w:t xml:space="preserve"> or </w:t>
      </w:r>
      <w:r>
        <w:rPr>
          <w:rFonts w:ascii="Arial" w:hAnsi="Arial" w:cs="Arial"/>
          <w:sz w:val="24"/>
          <w:szCs w:val="24"/>
        </w:rPr>
        <w:t xml:space="preserve">processing </w:t>
      </w:r>
      <w:r w:rsidR="004D0827">
        <w:rPr>
          <w:rFonts w:ascii="Arial" w:hAnsi="Arial" w:cs="Arial"/>
          <w:sz w:val="24"/>
          <w:szCs w:val="24"/>
        </w:rPr>
        <w:t xml:space="preserve">of minerals </w:t>
      </w:r>
      <w:r>
        <w:rPr>
          <w:rFonts w:ascii="Arial" w:hAnsi="Arial" w:cs="Arial"/>
          <w:sz w:val="24"/>
          <w:szCs w:val="24"/>
        </w:rPr>
        <w:t xml:space="preserve">and </w:t>
      </w:r>
      <w:r w:rsidR="004D0827">
        <w:rPr>
          <w:rFonts w:ascii="Arial" w:hAnsi="Arial" w:cs="Arial"/>
          <w:sz w:val="24"/>
          <w:szCs w:val="24"/>
        </w:rPr>
        <w:t xml:space="preserve">to submit </w:t>
      </w:r>
      <w:r w:rsidR="005A6F5E">
        <w:rPr>
          <w:rFonts w:ascii="Arial" w:hAnsi="Arial" w:cs="Arial"/>
          <w:sz w:val="24"/>
          <w:szCs w:val="24"/>
        </w:rPr>
        <w:t xml:space="preserve">the </w:t>
      </w:r>
      <w:r w:rsidR="004D0827">
        <w:rPr>
          <w:rFonts w:ascii="Arial" w:hAnsi="Arial" w:cs="Arial"/>
          <w:sz w:val="24"/>
          <w:szCs w:val="24"/>
        </w:rPr>
        <w:t xml:space="preserve">prescribed information to the Director General. </w:t>
      </w:r>
      <w:r w:rsidR="005A6F5E">
        <w:rPr>
          <w:rFonts w:ascii="Arial" w:hAnsi="Arial" w:cs="Arial"/>
          <w:sz w:val="24"/>
          <w:szCs w:val="24"/>
        </w:rPr>
        <w:t>The</w:t>
      </w:r>
      <w:r w:rsidR="00823EB8">
        <w:rPr>
          <w:rFonts w:ascii="Arial" w:hAnsi="Arial" w:cs="Arial"/>
          <w:sz w:val="24"/>
          <w:szCs w:val="24"/>
        </w:rPr>
        <w:t xml:space="preserve">re was no such </w:t>
      </w:r>
      <w:r w:rsidR="005A6F5E">
        <w:rPr>
          <w:rFonts w:ascii="Arial" w:hAnsi="Arial" w:cs="Arial"/>
          <w:sz w:val="24"/>
          <w:szCs w:val="24"/>
        </w:rPr>
        <w:t xml:space="preserve">disclosure of </w:t>
      </w:r>
      <w:r w:rsidR="00823EB8">
        <w:rPr>
          <w:rFonts w:ascii="Arial" w:hAnsi="Arial" w:cs="Arial"/>
          <w:sz w:val="24"/>
          <w:szCs w:val="24"/>
        </w:rPr>
        <w:t xml:space="preserve">the mentioned documentary evidence relating to its technical or </w:t>
      </w:r>
      <w:r w:rsidR="005A6F5E">
        <w:rPr>
          <w:rFonts w:ascii="Arial" w:hAnsi="Arial" w:cs="Arial"/>
          <w:sz w:val="24"/>
          <w:szCs w:val="24"/>
        </w:rPr>
        <w:t xml:space="preserve">financial </w:t>
      </w:r>
      <w:r w:rsidR="00823EB8">
        <w:rPr>
          <w:rFonts w:ascii="Arial" w:hAnsi="Arial" w:cs="Arial"/>
          <w:sz w:val="24"/>
          <w:szCs w:val="24"/>
        </w:rPr>
        <w:t xml:space="preserve">statements or submission of its reports from the period 2014-2019 </w:t>
      </w:r>
      <w:r w:rsidR="005A6F5E">
        <w:rPr>
          <w:rFonts w:ascii="Arial" w:hAnsi="Arial" w:cs="Arial"/>
          <w:sz w:val="24"/>
          <w:szCs w:val="24"/>
        </w:rPr>
        <w:t>as required in terms of s 7 (2) (a) to (k)</w:t>
      </w:r>
      <w:r w:rsidR="00823EB8">
        <w:rPr>
          <w:rFonts w:ascii="Arial" w:hAnsi="Arial" w:cs="Arial"/>
          <w:sz w:val="24"/>
          <w:szCs w:val="24"/>
        </w:rPr>
        <w:t xml:space="preserve">. Also </w:t>
      </w:r>
      <w:r w:rsidR="00EF7477">
        <w:rPr>
          <w:rFonts w:ascii="Arial" w:hAnsi="Arial" w:cs="Arial"/>
          <w:sz w:val="24"/>
          <w:szCs w:val="24"/>
        </w:rPr>
        <w:t xml:space="preserve">DBCM </w:t>
      </w:r>
      <w:r w:rsidR="00823EB8">
        <w:rPr>
          <w:rFonts w:ascii="Arial" w:hAnsi="Arial" w:cs="Arial"/>
          <w:sz w:val="24"/>
          <w:szCs w:val="24"/>
        </w:rPr>
        <w:t>faile</w:t>
      </w:r>
      <w:r w:rsidR="0014164F">
        <w:rPr>
          <w:rFonts w:ascii="Arial" w:hAnsi="Arial" w:cs="Arial"/>
          <w:sz w:val="24"/>
          <w:szCs w:val="24"/>
        </w:rPr>
        <w:t>d</w:t>
      </w:r>
      <w:r w:rsidR="00823EB8">
        <w:rPr>
          <w:rFonts w:ascii="Arial" w:hAnsi="Arial" w:cs="Arial"/>
          <w:sz w:val="24"/>
          <w:szCs w:val="24"/>
        </w:rPr>
        <w:t xml:space="preserve"> to submit a report on its </w:t>
      </w:r>
      <w:r w:rsidR="0014164F">
        <w:rPr>
          <w:rFonts w:ascii="Arial" w:hAnsi="Arial" w:cs="Arial"/>
          <w:sz w:val="24"/>
          <w:szCs w:val="24"/>
        </w:rPr>
        <w:t>mining and processing of minerals</w:t>
      </w:r>
      <w:r w:rsidR="005A6F5E">
        <w:rPr>
          <w:rFonts w:ascii="Arial" w:hAnsi="Arial" w:cs="Arial"/>
          <w:sz w:val="24"/>
          <w:szCs w:val="24"/>
        </w:rPr>
        <w:t xml:space="preserve"> </w:t>
      </w:r>
      <w:r w:rsidR="00823EB8">
        <w:rPr>
          <w:rFonts w:ascii="Arial" w:hAnsi="Arial" w:cs="Arial"/>
          <w:sz w:val="24"/>
          <w:szCs w:val="24"/>
        </w:rPr>
        <w:t xml:space="preserve">which the Respondent submit that it is fatal </w:t>
      </w:r>
      <w:r w:rsidR="005A6F5E">
        <w:rPr>
          <w:rFonts w:ascii="Arial" w:hAnsi="Arial" w:cs="Arial"/>
          <w:sz w:val="24"/>
          <w:szCs w:val="24"/>
        </w:rPr>
        <w:t>to DBCM’s review Application.</w:t>
      </w:r>
    </w:p>
    <w:p w14:paraId="6C9143B4" w14:textId="4B8DB831" w:rsidR="00DA4B2F" w:rsidRDefault="005A6F5E"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 xml:space="preserve"> </w:t>
      </w:r>
      <w:r w:rsidR="00613370">
        <w:rPr>
          <w:rFonts w:ascii="Arial" w:hAnsi="Arial" w:cs="Arial"/>
          <w:sz w:val="24"/>
          <w:szCs w:val="24"/>
        </w:rPr>
        <w:t xml:space="preserve"> </w:t>
      </w:r>
    </w:p>
    <w:p w14:paraId="45CD16B0" w14:textId="633961FA" w:rsidR="00EF7477" w:rsidRDefault="004F0AED" w:rsidP="001D7610">
      <w:pPr>
        <w:tabs>
          <w:tab w:val="left" w:pos="567"/>
        </w:tabs>
        <w:spacing w:after="0" w:line="360" w:lineRule="auto"/>
        <w:jc w:val="both"/>
        <w:rPr>
          <w:rFonts w:ascii="Arial" w:hAnsi="Arial" w:cs="Arial"/>
          <w:sz w:val="24"/>
          <w:szCs w:val="24"/>
        </w:rPr>
      </w:pPr>
      <w:r>
        <w:rPr>
          <w:rFonts w:ascii="Arial" w:hAnsi="Arial" w:cs="Arial"/>
          <w:sz w:val="24"/>
          <w:szCs w:val="24"/>
        </w:rPr>
        <w:t>[5</w:t>
      </w:r>
      <w:r w:rsidR="000D4DEB">
        <w:rPr>
          <w:rFonts w:ascii="Arial" w:hAnsi="Arial" w:cs="Arial"/>
          <w:sz w:val="24"/>
          <w:szCs w:val="24"/>
        </w:rPr>
        <w:t>3</w:t>
      </w:r>
      <w:r w:rsidR="00D452F2">
        <w:rPr>
          <w:rFonts w:ascii="Arial" w:hAnsi="Arial" w:cs="Arial"/>
          <w:sz w:val="24"/>
          <w:szCs w:val="24"/>
        </w:rPr>
        <w:t>]</w:t>
      </w:r>
      <w:r w:rsidR="00D452F2">
        <w:rPr>
          <w:rFonts w:ascii="Arial" w:hAnsi="Arial" w:cs="Arial"/>
          <w:sz w:val="24"/>
          <w:szCs w:val="24"/>
        </w:rPr>
        <w:tab/>
      </w:r>
      <w:r w:rsidR="00B73140">
        <w:rPr>
          <w:rFonts w:ascii="Arial" w:hAnsi="Arial" w:cs="Arial"/>
          <w:sz w:val="24"/>
          <w:szCs w:val="24"/>
        </w:rPr>
        <w:t xml:space="preserve">The failure by DBCM to </w:t>
      </w:r>
      <w:r w:rsidR="00977448">
        <w:rPr>
          <w:rFonts w:ascii="Arial" w:hAnsi="Arial" w:cs="Arial"/>
          <w:sz w:val="24"/>
          <w:szCs w:val="24"/>
        </w:rPr>
        <w:t xml:space="preserve">submit to the Regional Manager information underpinning the compromising or sale of the Oak mine to a farmer is considered also </w:t>
      </w:r>
      <w:r w:rsidR="00977448">
        <w:rPr>
          <w:rFonts w:ascii="Arial" w:hAnsi="Arial" w:cs="Arial"/>
          <w:sz w:val="24"/>
          <w:szCs w:val="24"/>
        </w:rPr>
        <w:lastRenderedPageBreak/>
        <w:t>fatal by the Respondent</w:t>
      </w:r>
      <w:r w:rsidR="00EF7477">
        <w:rPr>
          <w:rFonts w:ascii="Arial" w:hAnsi="Arial" w:cs="Arial"/>
          <w:sz w:val="24"/>
          <w:szCs w:val="24"/>
        </w:rPr>
        <w:t>s, including the failure to submit the following environmental information relating to the sale and closure:</w:t>
      </w:r>
    </w:p>
    <w:p w14:paraId="424199F0" w14:textId="77777777" w:rsidR="00EF7477" w:rsidRDefault="00EF7477" w:rsidP="00613370">
      <w:pPr>
        <w:tabs>
          <w:tab w:val="left" w:pos="567"/>
        </w:tabs>
        <w:spacing w:after="0" w:line="360" w:lineRule="auto"/>
        <w:ind w:left="567" w:hanging="567"/>
        <w:jc w:val="both"/>
        <w:rPr>
          <w:rFonts w:ascii="Arial" w:hAnsi="Arial" w:cs="Arial"/>
          <w:sz w:val="24"/>
          <w:szCs w:val="24"/>
        </w:rPr>
      </w:pPr>
    </w:p>
    <w:p w14:paraId="498C133D" w14:textId="0C14F543" w:rsidR="00EF7477" w:rsidRDefault="00EF7477"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w:t>
      </w:r>
      <w:r w:rsidR="0010240A">
        <w:rPr>
          <w:rFonts w:ascii="Arial" w:hAnsi="Arial" w:cs="Arial"/>
          <w:sz w:val="24"/>
          <w:szCs w:val="24"/>
        </w:rPr>
        <w:t>5</w:t>
      </w:r>
      <w:r w:rsidR="000D4DEB">
        <w:rPr>
          <w:rFonts w:ascii="Arial" w:hAnsi="Arial" w:cs="Arial"/>
          <w:sz w:val="24"/>
          <w:szCs w:val="24"/>
        </w:rPr>
        <w:t>3</w:t>
      </w:r>
      <w:r>
        <w:rPr>
          <w:rFonts w:ascii="Arial" w:hAnsi="Arial" w:cs="Arial"/>
          <w:sz w:val="24"/>
          <w:szCs w:val="24"/>
        </w:rPr>
        <w:t>.1]</w:t>
      </w:r>
      <w:r>
        <w:rPr>
          <w:rFonts w:ascii="Arial" w:hAnsi="Arial" w:cs="Arial"/>
          <w:sz w:val="24"/>
          <w:szCs w:val="24"/>
        </w:rPr>
        <w:tab/>
        <w:t xml:space="preserve"> </w:t>
      </w:r>
      <w:r w:rsidR="00977448">
        <w:rPr>
          <w:rFonts w:ascii="Arial" w:hAnsi="Arial" w:cs="Arial"/>
          <w:sz w:val="24"/>
          <w:szCs w:val="24"/>
        </w:rPr>
        <w:t xml:space="preserve"> </w:t>
      </w:r>
      <w:r w:rsidR="00B73140">
        <w:rPr>
          <w:rFonts w:ascii="Arial" w:hAnsi="Arial" w:cs="Arial"/>
          <w:sz w:val="24"/>
          <w:szCs w:val="24"/>
        </w:rPr>
        <w:t xml:space="preserve"> </w:t>
      </w:r>
      <w:r>
        <w:rPr>
          <w:rFonts w:ascii="Arial" w:hAnsi="Arial" w:cs="Arial"/>
          <w:sz w:val="24"/>
          <w:szCs w:val="24"/>
        </w:rPr>
        <w:t xml:space="preserve">The record of notification and consultation with the interested or affected parties on post closure land use; </w:t>
      </w:r>
    </w:p>
    <w:p w14:paraId="567D1A16" w14:textId="02174C17" w:rsidR="00EF7477" w:rsidRDefault="0010240A"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[5</w:t>
      </w:r>
      <w:r w:rsidR="000D4DEB">
        <w:rPr>
          <w:rFonts w:ascii="Arial" w:hAnsi="Arial" w:cs="Arial"/>
          <w:sz w:val="24"/>
          <w:szCs w:val="24"/>
        </w:rPr>
        <w:t>3</w:t>
      </w:r>
      <w:r w:rsidR="00EF7477">
        <w:rPr>
          <w:rFonts w:ascii="Arial" w:hAnsi="Arial" w:cs="Arial"/>
          <w:sz w:val="24"/>
          <w:szCs w:val="24"/>
        </w:rPr>
        <w:t>.2]</w:t>
      </w:r>
      <w:r w:rsidR="00EF7477">
        <w:rPr>
          <w:rFonts w:ascii="Arial" w:hAnsi="Arial" w:cs="Arial"/>
          <w:sz w:val="24"/>
          <w:szCs w:val="24"/>
        </w:rPr>
        <w:tab/>
        <w:t xml:space="preserve">The Application </w:t>
      </w:r>
      <w:r w:rsidR="000445CF">
        <w:rPr>
          <w:rFonts w:ascii="Arial" w:hAnsi="Arial" w:cs="Arial"/>
          <w:sz w:val="24"/>
          <w:szCs w:val="24"/>
        </w:rPr>
        <w:t xml:space="preserve">to the MEC </w:t>
      </w:r>
      <w:r w:rsidR="00EF7477">
        <w:rPr>
          <w:rFonts w:ascii="Arial" w:hAnsi="Arial" w:cs="Arial"/>
          <w:sz w:val="24"/>
          <w:szCs w:val="24"/>
        </w:rPr>
        <w:t xml:space="preserve">for the registration of the Oaks Farms properties as a game farm in terms of s 28 (1) of the Threatened or Protected Species Regulations and EMP/EIA in support of the Application; </w:t>
      </w:r>
    </w:p>
    <w:p w14:paraId="79A0059E" w14:textId="1600D97A" w:rsidR="00297CFE" w:rsidRDefault="0010240A"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[5</w:t>
      </w:r>
      <w:r w:rsidR="000D4DEB">
        <w:rPr>
          <w:rFonts w:ascii="Arial" w:hAnsi="Arial" w:cs="Arial"/>
          <w:sz w:val="24"/>
          <w:szCs w:val="24"/>
        </w:rPr>
        <w:t>3</w:t>
      </w:r>
      <w:r w:rsidR="00EF7477">
        <w:rPr>
          <w:rFonts w:ascii="Arial" w:hAnsi="Arial" w:cs="Arial"/>
          <w:sz w:val="24"/>
          <w:szCs w:val="24"/>
        </w:rPr>
        <w:t>.3]</w:t>
      </w:r>
      <w:r w:rsidR="00EF7477">
        <w:rPr>
          <w:rFonts w:ascii="Arial" w:hAnsi="Arial" w:cs="Arial"/>
          <w:sz w:val="24"/>
          <w:szCs w:val="24"/>
        </w:rPr>
        <w:tab/>
      </w:r>
      <w:r w:rsidR="003208F6">
        <w:rPr>
          <w:rFonts w:ascii="Arial" w:hAnsi="Arial" w:cs="Arial"/>
          <w:sz w:val="24"/>
          <w:szCs w:val="24"/>
        </w:rPr>
        <w:t>The rezoning Application of the Oaks Mine from a mining to a</w:t>
      </w:r>
      <w:r w:rsidR="000445CF">
        <w:rPr>
          <w:rFonts w:ascii="Arial" w:hAnsi="Arial" w:cs="Arial"/>
          <w:sz w:val="24"/>
          <w:szCs w:val="24"/>
        </w:rPr>
        <w:t>n</w:t>
      </w:r>
      <w:r w:rsidR="003208F6">
        <w:rPr>
          <w:rFonts w:ascii="Arial" w:hAnsi="Arial" w:cs="Arial"/>
          <w:sz w:val="24"/>
          <w:szCs w:val="24"/>
        </w:rPr>
        <w:t xml:space="preserve"> agricultural/game farming land use zone in terms of s 28 of SPLUMA read with Blouberg Local Municipality Spatial Development Framework and Land Use Scheme and the record of notification and consultation</w:t>
      </w:r>
      <w:r w:rsidR="00297CFE">
        <w:rPr>
          <w:rFonts w:ascii="Arial" w:hAnsi="Arial" w:cs="Arial"/>
          <w:sz w:val="24"/>
          <w:szCs w:val="24"/>
        </w:rPr>
        <w:t>. The sale agreement and registration of right of servitude over properties compromising the Oaks Mine previously used for mining operations</w:t>
      </w:r>
      <w:r w:rsidR="000445CF">
        <w:rPr>
          <w:rFonts w:ascii="Arial" w:hAnsi="Arial" w:cs="Arial"/>
          <w:sz w:val="24"/>
          <w:szCs w:val="24"/>
        </w:rPr>
        <w:t>;</w:t>
      </w:r>
    </w:p>
    <w:p w14:paraId="344D27E4" w14:textId="536D28F1" w:rsidR="003208F6" w:rsidRDefault="0010240A"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[5</w:t>
      </w:r>
      <w:r w:rsidR="000D4DEB">
        <w:rPr>
          <w:rFonts w:ascii="Arial" w:hAnsi="Arial" w:cs="Arial"/>
          <w:sz w:val="24"/>
          <w:szCs w:val="24"/>
        </w:rPr>
        <w:t>3</w:t>
      </w:r>
      <w:r w:rsidR="00297CFE">
        <w:rPr>
          <w:rFonts w:ascii="Arial" w:hAnsi="Arial" w:cs="Arial"/>
          <w:sz w:val="24"/>
          <w:szCs w:val="24"/>
        </w:rPr>
        <w:t xml:space="preserve">.4] an Application for transfer of environmental liabilities filed in terms of s 43 (3) </w:t>
      </w:r>
      <w:r w:rsidR="000445CF">
        <w:rPr>
          <w:rFonts w:ascii="Arial" w:hAnsi="Arial" w:cs="Arial"/>
          <w:sz w:val="24"/>
          <w:szCs w:val="24"/>
        </w:rPr>
        <w:t xml:space="preserve">from DBCM to the game farmer. </w:t>
      </w:r>
      <w:r w:rsidR="00297CFE">
        <w:rPr>
          <w:rFonts w:ascii="Arial" w:hAnsi="Arial" w:cs="Arial"/>
          <w:sz w:val="24"/>
          <w:szCs w:val="24"/>
        </w:rPr>
        <w:t xml:space="preserve"> </w:t>
      </w:r>
    </w:p>
    <w:p w14:paraId="2897BE02" w14:textId="6B52E7BE" w:rsidR="00297CFE" w:rsidRDefault="003208F6"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10240A">
        <w:rPr>
          <w:rFonts w:ascii="Arial" w:hAnsi="Arial" w:cs="Arial"/>
          <w:sz w:val="24"/>
          <w:szCs w:val="24"/>
        </w:rPr>
        <w:t>[5</w:t>
      </w:r>
      <w:r w:rsidR="000D4DEB">
        <w:rPr>
          <w:rFonts w:ascii="Arial" w:hAnsi="Arial" w:cs="Arial"/>
          <w:sz w:val="24"/>
          <w:szCs w:val="24"/>
        </w:rPr>
        <w:t>3</w:t>
      </w:r>
      <w:r>
        <w:rPr>
          <w:rFonts w:ascii="Arial" w:hAnsi="Arial" w:cs="Arial"/>
          <w:sz w:val="24"/>
          <w:szCs w:val="24"/>
        </w:rPr>
        <w:t>.</w:t>
      </w:r>
      <w:r w:rsidR="000445CF">
        <w:rPr>
          <w:rFonts w:ascii="Arial" w:hAnsi="Arial" w:cs="Arial"/>
          <w:sz w:val="24"/>
          <w:szCs w:val="24"/>
        </w:rPr>
        <w:t>5</w:t>
      </w:r>
      <w:r>
        <w:rPr>
          <w:rFonts w:ascii="Arial" w:hAnsi="Arial" w:cs="Arial"/>
          <w:sz w:val="24"/>
          <w:szCs w:val="24"/>
        </w:rPr>
        <w:t>] The Water Use License Application/cession or amendment and the EMP/EIA studies for the game farm. The Oaks Min</w:t>
      </w:r>
      <w:r w:rsidR="00297CFE">
        <w:rPr>
          <w:rFonts w:ascii="Arial" w:hAnsi="Arial" w:cs="Arial"/>
          <w:sz w:val="24"/>
          <w:szCs w:val="24"/>
        </w:rPr>
        <w:t xml:space="preserve">e and Health and Safety Plan or Risk Assessment studies approved by the Chief Inspector of Mines for game farming. </w:t>
      </w:r>
      <w:r>
        <w:rPr>
          <w:rFonts w:ascii="Arial" w:hAnsi="Arial" w:cs="Arial"/>
          <w:sz w:val="24"/>
          <w:szCs w:val="24"/>
        </w:rPr>
        <w:t xml:space="preserve"> </w:t>
      </w:r>
    </w:p>
    <w:p w14:paraId="53D5253B" w14:textId="4588F1AB" w:rsidR="0014164F" w:rsidRDefault="00297CFE" w:rsidP="0061337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10240A">
        <w:rPr>
          <w:rFonts w:ascii="Arial" w:hAnsi="Arial" w:cs="Arial"/>
          <w:sz w:val="24"/>
          <w:szCs w:val="24"/>
        </w:rPr>
        <w:t>[5</w:t>
      </w:r>
      <w:r w:rsidR="000D4DEB">
        <w:rPr>
          <w:rFonts w:ascii="Arial" w:hAnsi="Arial" w:cs="Arial"/>
          <w:sz w:val="24"/>
          <w:szCs w:val="24"/>
        </w:rPr>
        <w:t>3</w:t>
      </w:r>
      <w:r>
        <w:rPr>
          <w:rFonts w:ascii="Arial" w:hAnsi="Arial" w:cs="Arial"/>
          <w:sz w:val="24"/>
          <w:szCs w:val="24"/>
        </w:rPr>
        <w:t>.</w:t>
      </w:r>
      <w:r w:rsidR="000445CF">
        <w:rPr>
          <w:rFonts w:ascii="Arial" w:hAnsi="Arial" w:cs="Arial"/>
          <w:sz w:val="24"/>
          <w:szCs w:val="24"/>
        </w:rPr>
        <w:t>6</w:t>
      </w:r>
      <w:r>
        <w:rPr>
          <w:rFonts w:ascii="Arial" w:hAnsi="Arial" w:cs="Arial"/>
          <w:sz w:val="24"/>
          <w:szCs w:val="24"/>
        </w:rPr>
        <w:t>]</w:t>
      </w:r>
      <w:r>
        <w:rPr>
          <w:rFonts w:ascii="Arial" w:hAnsi="Arial" w:cs="Arial"/>
          <w:sz w:val="24"/>
          <w:szCs w:val="24"/>
        </w:rPr>
        <w:tab/>
        <w:t>The Heritage Assessmen</w:t>
      </w:r>
      <w:r w:rsidR="00A54311">
        <w:rPr>
          <w:rFonts w:ascii="Arial" w:hAnsi="Arial" w:cs="Arial"/>
          <w:sz w:val="24"/>
          <w:szCs w:val="24"/>
        </w:rPr>
        <w:t>t</w:t>
      </w:r>
      <w:r>
        <w:rPr>
          <w:rFonts w:ascii="Arial" w:hAnsi="Arial" w:cs="Arial"/>
          <w:sz w:val="24"/>
          <w:szCs w:val="24"/>
        </w:rPr>
        <w:t xml:space="preserve"> studies and Risk Plan approved by the LHRA and NHRA in respect of archaeology survey conducted over the Oaks Mine properties before the commencement of mining operation  </w:t>
      </w:r>
      <w:r w:rsidR="003208F6">
        <w:rPr>
          <w:rFonts w:ascii="Arial" w:hAnsi="Arial" w:cs="Arial"/>
          <w:sz w:val="24"/>
          <w:szCs w:val="24"/>
        </w:rPr>
        <w:t xml:space="preserve">   </w:t>
      </w:r>
      <w:r w:rsidR="00EF7477">
        <w:rPr>
          <w:rFonts w:ascii="Arial" w:hAnsi="Arial" w:cs="Arial"/>
          <w:sz w:val="24"/>
          <w:szCs w:val="24"/>
        </w:rPr>
        <w:t xml:space="preserve">    </w:t>
      </w:r>
    </w:p>
    <w:p w14:paraId="1C31D818" w14:textId="69A6458F" w:rsidR="00DA4B2F" w:rsidRDefault="00DA4B2F" w:rsidP="0051441B">
      <w:pPr>
        <w:tabs>
          <w:tab w:val="left" w:pos="567"/>
        </w:tabs>
        <w:spacing w:after="0" w:line="360" w:lineRule="auto"/>
        <w:jc w:val="both"/>
        <w:rPr>
          <w:rFonts w:ascii="Arial" w:hAnsi="Arial" w:cs="Arial"/>
          <w:sz w:val="24"/>
          <w:szCs w:val="24"/>
        </w:rPr>
      </w:pPr>
    </w:p>
    <w:p w14:paraId="2AC766CD" w14:textId="149CDD19" w:rsidR="000445CF" w:rsidRDefault="000445CF"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10240A">
        <w:rPr>
          <w:rFonts w:ascii="Arial" w:hAnsi="Arial" w:cs="Arial"/>
          <w:sz w:val="24"/>
          <w:szCs w:val="24"/>
        </w:rPr>
        <w:t>5</w:t>
      </w:r>
      <w:r w:rsidR="000D4DEB">
        <w:rPr>
          <w:rFonts w:ascii="Arial" w:hAnsi="Arial" w:cs="Arial"/>
          <w:sz w:val="24"/>
          <w:szCs w:val="24"/>
        </w:rPr>
        <w:t>4</w:t>
      </w:r>
      <w:r>
        <w:rPr>
          <w:rFonts w:ascii="Arial" w:hAnsi="Arial" w:cs="Arial"/>
          <w:sz w:val="24"/>
          <w:szCs w:val="24"/>
        </w:rPr>
        <w:t xml:space="preserve">] </w:t>
      </w:r>
      <w:r w:rsidR="00A54311">
        <w:rPr>
          <w:rFonts w:ascii="Arial" w:hAnsi="Arial" w:cs="Arial"/>
          <w:sz w:val="24"/>
          <w:szCs w:val="24"/>
        </w:rPr>
        <w:t>Furthermore, t</w:t>
      </w:r>
      <w:r>
        <w:rPr>
          <w:rFonts w:ascii="Arial" w:hAnsi="Arial" w:cs="Arial"/>
          <w:sz w:val="24"/>
          <w:szCs w:val="24"/>
        </w:rPr>
        <w:t xml:space="preserve">he Respondents argue that DBCM was granted an ample opportunity since 7 July 2011 </w:t>
      </w:r>
      <w:r w:rsidR="00892ACD">
        <w:rPr>
          <w:rFonts w:ascii="Arial" w:hAnsi="Arial" w:cs="Arial"/>
          <w:sz w:val="24"/>
          <w:szCs w:val="24"/>
        </w:rPr>
        <w:t>an</w:t>
      </w:r>
      <w:r w:rsidR="00A54311">
        <w:rPr>
          <w:rFonts w:ascii="Arial" w:hAnsi="Arial" w:cs="Arial"/>
          <w:sz w:val="24"/>
          <w:szCs w:val="24"/>
        </w:rPr>
        <w:t>d</w:t>
      </w:r>
      <w:r w:rsidR="00892ACD">
        <w:rPr>
          <w:rFonts w:ascii="Arial" w:hAnsi="Arial" w:cs="Arial"/>
          <w:sz w:val="24"/>
          <w:szCs w:val="24"/>
        </w:rPr>
        <w:t xml:space="preserve"> </w:t>
      </w:r>
      <w:r w:rsidR="00A54311">
        <w:rPr>
          <w:rFonts w:ascii="Arial" w:hAnsi="Arial" w:cs="Arial"/>
          <w:sz w:val="24"/>
          <w:szCs w:val="24"/>
        </w:rPr>
        <w:t xml:space="preserve">was </w:t>
      </w:r>
      <w:r w:rsidR="00892ACD">
        <w:rPr>
          <w:rFonts w:ascii="Arial" w:hAnsi="Arial" w:cs="Arial"/>
          <w:sz w:val="24"/>
          <w:szCs w:val="24"/>
        </w:rPr>
        <w:t>also sent a reminder in February 2016</w:t>
      </w:r>
      <w:r w:rsidR="00A54311" w:rsidRPr="00A54311">
        <w:rPr>
          <w:rFonts w:ascii="Arial" w:hAnsi="Arial" w:cs="Arial"/>
          <w:sz w:val="24"/>
          <w:szCs w:val="24"/>
        </w:rPr>
        <w:t xml:space="preserve"> </w:t>
      </w:r>
      <w:r w:rsidR="00A54311">
        <w:rPr>
          <w:rFonts w:ascii="Arial" w:hAnsi="Arial" w:cs="Arial"/>
          <w:sz w:val="24"/>
          <w:szCs w:val="24"/>
        </w:rPr>
        <w:t xml:space="preserve">to amend and submit a revised Closure Plan. </w:t>
      </w:r>
      <w:r w:rsidR="003A2CCE">
        <w:rPr>
          <w:rFonts w:ascii="Arial" w:hAnsi="Arial" w:cs="Arial"/>
          <w:sz w:val="24"/>
          <w:szCs w:val="24"/>
        </w:rPr>
        <w:t>The Application must therefore be dismissed as DBCM nevertheless failed:</w:t>
      </w:r>
      <w:r w:rsidR="00892ACD">
        <w:rPr>
          <w:rFonts w:ascii="Arial" w:hAnsi="Arial" w:cs="Arial"/>
          <w:sz w:val="24"/>
          <w:szCs w:val="24"/>
        </w:rPr>
        <w:t xml:space="preserve"> </w:t>
      </w:r>
    </w:p>
    <w:p w14:paraId="2D6CED67" w14:textId="77777777" w:rsidR="00604F53" w:rsidRDefault="00604F53" w:rsidP="0051441B">
      <w:pPr>
        <w:tabs>
          <w:tab w:val="left" w:pos="567"/>
        </w:tabs>
        <w:spacing w:after="0" w:line="360" w:lineRule="auto"/>
        <w:jc w:val="both"/>
        <w:rPr>
          <w:rFonts w:ascii="Arial" w:hAnsi="Arial" w:cs="Arial"/>
          <w:sz w:val="24"/>
          <w:szCs w:val="24"/>
        </w:rPr>
      </w:pPr>
      <w:r>
        <w:rPr>
          <w:rFonts w:ascii="Arial" w:hAnsi="Arial" w:cs="Arial"/>
          <w:sz w:val="24"/>
          <w:szCs w:val="24"/>
        </w:rPr>
        <w:tab/>
      </w:r>
    </w:p>
    <w:p w14:paraId="0FD0E1A0" w14:textId="7E6EC309" w:rsidR="00A54311" w:rsidRDefault="00604F53" w:rsidP="00604F53">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w:t>
      </w:r>
      <w:r w:rsidR="0010240A">
        <w:rPr>
          <w:rFonts w:ascii="Arial" w:hAnsi="Arial" w:cs="Arial"/>
          <w:sz w:val="24"/>
          <w:szCs w:val="24"/>
        </w:rPr>
        <w:t>5</w:t>
      </w:r>
      <w:r w:rsidR="000D4DEB">
        <w:rPr>
          <w:rFonts w:ascii="Arial" w:hAnsi="Arial" w:cs="Arial"/>
          <w:sz w:val="24"/>
          <w:szCs w:val="24"/>
        </w:rPr>
        <w:t>4</w:t>
      </w:r>
      <w:r>
        <w:rPr>
          <w:rFonts w:ascii="Arial" w:hAnsi="Arial" w:cs="Arial"/>
          <w:sz w:val="24"/>
          <w:szCs w:val="24"/>
        </w:rPr>
        <w:t>.1]</w:t>
      </w:r>
      <w:r>
        <w:rPr>
          <w:rFonts w:ascii="Arial" w:hAnsi="Arial" w:cs="Arial"/>
          <w:sz w:val="24"/>
          <w:szCs w:val="24"/>
        </w:rPr>
        <w:tab/>
        <w:t xml:space="preserve"> </w:t>
      </w:r>
      <w:r w:rsidR="00745218">
        <w:rPr>
          <w:rFonts w:ascii="Arial" w:hAnsi="Arial" w:cs="Arial"/>
          <w:sz w:val="24"/>
          <w:szCs w:val="24"/>
        </w:rPr>
        <w:t>T</w:t>
      </w:r>
      <w:r>
        <w:rPr>
          <w:rFonts w:ascii="Arial" w:hAnsi="Arial" w:cs="Arial"/>
          <w:sz w:val="24"/>
          <w:szCs w:val="24"/>
        </w:rPr>
        <w:t xml:space="preserve">o submit the amended or revised </w:t>
      </w:r>
      <w:r w:rsidR="00A54311">
        <w:rPr>
          <w:rFonts w:ascii="Arial" w:hAnsi="Arial" w:cs="Arial"/>
          <w:sz w:val="24"/>
          <w:szCs w:val="24"/>
        </w:rPr>
        <w:t>Closure plan indicating that Health and safety requirements to be complied with and report on its post closure land use consultation</w:t>
      </w:r>
      <w:r w:rsidR="001D7610">
        <w:rPr>
          <w:rFonts w:ascii="Arial" w:hAnsi="Arial" w:cs="Arial"/>
          <w:sz w:val="24"/>
          <w:szCs w:val="24"/>
        </w:rPr>
        <w:t>s</w:t>
      </w:r>
      <w:r w:rsidR="00A54311">
        <w:rPr>
          <w:rFonts w:ascii="Arial" w:hAnsi="Arial" w:cs="Arial"/>
          <w:sz w:val="24"/>
          <w:szCs w:val="24"/>
        </w:rPr>
        <w:t xml:space="preserve"> with interested and affected persons.</w:t>
      </w:r>
    </w:p>
    <w:p w14:paraId="2E716C1B" w14:textId="77777777" w:rsidR="00745218" w:rsidRDefault="00A54311" w:rsidP="00604F53">
      <w:pPr>
        <w:tabs>
          <w:tab w:val="left" w:pos="567"/>
        </w:tabs>
        <w:spacing w:after="0" w:line="360" w:lineRule="auto"/>
        <w:ind w:left="567"/>
        <w:jc w:val="both"/>
        <w:rPr>
          <w:rFonts w:ascii="Arial" w:hAnsi="Arial" w:cs="Arial"/>
          <w:sz w:val="24"/>
          <w:szCs w:val="24"/>
        </w:rPr>
      </w:pPr>
      <w:r>
        <w:rPr>
          <w:rFonts w:ascii="Arial" w:hAnsi="Arial" w:cs="Arial"/>
          <w:sz w:val="24"/>
          <w:szCs w:val="24"/>
        </w:rPr>
        <w:t xml:space="preserve"> </w:t>
      </w:r>
    </w:p>
    <w:p w14:paraId="5AF2021F" w14:textId="59E16E43" w:rsidR="003A2CCE" w:rsidRPr="00745218" w:rsidRDefault="0010240A" w:rsidP="00604F53">
      <w:pPr>
        <w:tabs>
          <w:tab w:val="left" w:pos="567"/>
        </w:tabs>
        <w:spacing w:after="0" w:line="360" w:lineRule="auto"/>
        <w:ind w:left="567"/>
        <w:jc w:val="both"/>
        <w:rPr>
          <w:rFonts w:ascii="Arial" w:hAnsi="Arial" w:cs="Arial"/>
          <w:sz w:val="24"/>
          <w:szCs w:val="24"/>
        </w:rPr>
      </w:pPr>
      <w:r>
        <w:rPr>
          <w:rFonts w:ascii="Arial" w:hAnsi="Arial" w:cs="Arial"/>
          <w:sz w:val="24"/>
          <w:szCs w:val="24"/>
        </w:rPr>
        <w:lastRenderedPageBreak/>
        <w:t>[5</w:t>
      </w:r>
      <w:r w:rsidR="000D4DEB">
        <w:rPr>
          <w:rFonts w:ascii="Arial" w:hAnsi="Arial" w:cs="Arial"/>
          <w:sz w:val="24"/>
          <w:szCs w:val="24"/>
        </w:rPr>
        <w:t>4</w:t>
      </w:r>
      <w:r w:rsidR="00604F53">
        <w:rPr>
          <w:rFonts w:ascii="Arial" w:hAnsi="Arial" w:cs="Arial"/>
          <w:sz w:val="24"/>
          <w:szCs w:val="24"/>
        </w:rPr>
        <w:t xml:space="preserve">.2] </w:t>
      </w:r>
      <w:r w:rsidR="00604F53" w:rsidRPr="00745218">
        <w:rPr>
          <w:rFonts w:ascii="Arial" w:hAnsi="Arial" w:cs="Arial"/>
          <w:sz w:val="24"/>
          <w:szCs w:val="24"/>
        </w:rPr>
        <w:t xml:space="preserve">To appeal </w:t>
      </w:r>
      <w:r w:rsidR="003A2CCE" w:rsidRPr="00745218">
        <w:rPr>
          <w:rFonts w:ascii="Arial" w:hAnsi="Arial" w:cs="Arial"/>
          <w:sz w:val="24"/>
          <w:szCs w:val="24"/>
        </w:rPr>
        <w:t xml:space="preserve">to the DG in terms of s 96 of the MPRDA, </w:t>
      </w:r>
      <w:r w:rsidR="00604F53" w:rsidRPr="00745218">
        <w:rPr>
          <w:rFonts w:ascii="Arial" w:hAnsi="Arial" w:cs="Arial"/>
          <w:sz w:val="24"/>
          <w:szCs w:val="24"/>
        </w:rPr>
        <w:t xml:space="preserve">the decisions of the First Respondent taken on July 2011, 10 November 2012 and 23 October 2018 </w:t>
      </w:r>
      <w:r w:rsidR="003A2CCE" w:rsidRPr="00745218">
        <w:rPr>
          <w:rFonts w:ascii="Arial" w:hAnsi="Arial" w:cs="Arial"/>
          <w:sz w:val="24"/>
          <w:szCs w:val="24"/>
        </w:rPr>
        <w:t xml:space="preserve">refusing to issue DBCM the Closure Certificate. </w:t>
      </w:r>
    </w:p>
    <w:p w14:paraId="484CD696" w14:textId="7473602A" w:rsidR="003A2CCE" w:rsidRDefault="0010240A" w:rsidP="00604F53">
      <w:pPr>
        <w:tabs>
          <w:tab w:val="left" w:pos="567"/>
        </w:tabs>
        <w:spacing w:after="0" w:line="360" w:lineRule="auto"/>
        <w:ind w:left="567"/>
        <w:jc w:val="both"/>
        <w:rPr>
          <w:rFonts w:ascii="Arial" w:hAnsi="Arial" w:cs="Arial"/>
          <w:sz w:val="24"/>
          <w:szCs w:val="24"/>
        </w:rPr>
      </w:pPr>
      <w:r>
        <w:rPr>
          <w:rFonts w:ascii="Arial" w:hAnsi="Arial" w:cs="Arial"/>
          <w:sz w:val="24"/>
          <w:szCs w:val="24"/>
        </w:rPr>
        <w:t>[5</w:t>
      </w:r>
      <w:r w:rsidR="000D4DEB">
        <w:rPr>
          <w:rFonts w:ascii="Arial" w:hAnsi="Arial" w:cs="Arial"/>
          <w:sz w:val="24"/>
          <w:szCs w:val="24"/>
        </w:rPr>
        <w:t>4</w:t>
      </w:r>
      <w:r w:rsidR="003A2CCE">
        <w:rPr>
          <w:rFonts w:ascii="Arial" w:hAnsi="Arial" w:cs="Arial"/>
          <w:sz w:val="24"/>
          <w:szCs w:val="24"/>
        </w:rPr>
        <w:t>.3]</w:t>
      </w:r>
      <w:r w:rsidR="003A2CCE">
        <w:rPr>
          <w:rFonts w:ascii="Arial" w:hAnsi="Arial" w:cs="Arial"/>
          <w:sz w:val="24"/>
          <w:szCs w:val="24"/>
        </w:rPr>
        <w:tab/>
        <w:t xml:space="preserve">To review the decision under PAJA within 180 days of becoming aware of the decisions. </w:t>
      </w:r>
    </w:p>
    <w:p w14:paraId="2E8FF1FD" w14:textId="6A521A18" w:rsidR="003A2CCE" w:rsidRDefault="003A2CCE" w:rsidP="003A2CCE">
      <w:pPr>
        <w:tabs>
          <w:tab w:val="left" w:pos="567"/>
        </w:tabs>
        <w:spacing w:after="0" w:line="360" w:lineRule="auto"/>
        <w:jc w:val="both"/>
        <w:rPr>
          <w:rFonts w:ascii="Arial" w:hAnsi="Arial" w:cs="Arial"/>
          <w:sz w:val="24"/>
          <w:szCs w:val="24"/>
        </w:rPr>
      </w:pPr>
    </w:p>
    <w:p w14:paraId="6ABFEFF2" w14:textId="002F05C9" w:rsidR="003A2CCE" w:rsidRPr="001D7610" w:rsidRDefault="003A2CCE" w:rsidP="003A2CCE">
      <w:pPr>
        <w:tabs>
          <w:tab w:val="left" w:pos="567"/>
        </w:tabs>
        <w:spacing w:after="0" w:line="360" w:lineRule="auto"/>
        <w:jc w:val="both"/>
        <w:rPr>
          <w:rFonts w:ascii="Arial" w:hAnsi="Arial" w:cs="Arial"/>
          <w:b/>
          <w:sz w:val="24"/>
          <w:szCs w:val="24"/>
        </w:rPr>
      </w:pPr>
      <w:r w:rsidRPr="001D7610">
        <w:rPr>
          <w:rFonts w:ascii="Arial" w:hAnsi="Arial" w:cs="Arial"/>
          <w:b/>
          <w:sz w:val="24"/>
          <w:szCs w:val="24"/>
        </w:rPr>
        <w:t>On the declaratory orders sought by DBCM</w:t>
      </w:r>
    </w:p>
    <w:p w14:paraId="0A1A6F65" w14:textId="77777777" w:rsidR="00CB538D" w:rsidRDefault="00CB538D" w:rsidP="003A2CCE">
      <w:pPr>
        <w:tabs>
          <w:tab w:val="left" w:pos="567"/>
        </w:tabs>
        <w:spacing w:after="0" w:line="360" w:lineRule="auto"/>
        <w:jc w:val="both"/>
        <w:rPr>
          <w:rFonts w:ascii="Arial" w:hAnsi="Arial" w:cs="Arial"/>
          <w:sz w:val="24"/>
          <w:szCs w:val="24"/>
        </w:rPr>
      </w:pPr>
    </w:p>
    <w:p w14:paraId="529491DA" w14:textId="4F9AC314" w:rsidR="004D4D67" w:rsidRDefault="003A2CCE" w:rsidP="003A2CCE">
      <w:pPr>
        <w:tabs>
          <w:tab w:val="left" w:pos="567"/>
        </w:tabs>
        <w:spacing w:after="0" w:line="360" w:lineRule="auto"/>
        <w:jc w:val="both"/>
        <w:rPr>
          <w:rFonts w:ascii="Arial" w:hAnsi="Arial" w:cs="Arial"/>
          <w:sz w:val="24"/>
          <w:szCs w:val="24"/>
        </w:rPr>
      </w:pPr>
      <w:r>
        <w:rPr>
          <w:rFonts w:ascii="Arial" w:hAnsi="Arial" w:cs="Arial"/>
          <w:sz w:val="24"/>
          <w:szCs w:val="24"/>
        </w:rPr>
        <w:t>[</w:t>
      </w:r>
      <w:r w:rsidR="00724E1D">
        <w:rPr>
          <w:rFonts w:ascii="Arial" w:hAnsi="Arial" w:cs="Arial"/>
          <w:sz w:val="24"/>
          <w:szCs w:val="24"/>
        </w:rPr>
        <w:t>5</w:t>
      </w:r>
      <w:r w:rsidR="000D4DEB">
        <w:rPr>
          <w:rFonts w:ascii="Arial" w:hAnsi="Arial" w:cs="Arial"/>
          <w:sz w:val="24"/>
          <w:szCs w:val="24"/>
        </w:rPr>
        <w:t>5</w:t>
      </w:r>
      <w:r>
        <w:rPr>
          <w:rFonts w:ascii="Arial" w:hAnsi="Arial" w:cs="Arial"/>
          <w:sz w:val="24"/>
          <w:szCs w:val="24"/>
        </w:rPr>
        <w:t>]</w:t>
      </w:r>
      <w:r>
        <w:rPr>
          <w:rFonts w:ascii="Arial" w:hAnsi="Arial" w:cs="Arial"/>
          <w:sz w:val="24"/>
          <w:szCs w:val="24"/>
        </w:rPr>
        <w:tab/>
        <w:t xml:space="preserve"> On </w:t>
      </w:r>
      <w:r w:rsidR="00CB538D">
        <w:rPr>
          <w:rFonts w:ascii="Arial" w:hAnsi="Arial" w:cs="Arial"/>
          <w:sz w:val="24"/>
          <w:szCs w:val="24"/>
        </w:rPr>
        <w:t xml:space="preserve">the </w:t>
      </w:r>
      <w:r w:rsidR="009C02F8">
        <w:rPr>
          <w:rFonts w:ascii="Arial" w:hAnsi="Arial" w:cs="Arial"/>
          <w:sz w:val="24"/>
          <w:szCs w:val="24"/>
        </w:rPr>
        <w:t xml:space="preserve">declaratory orders sought by </w:t>
      </w:r>
      <w:r w:rsidR="00CB538D">
        <w:rPr>
          <w:rFonts w:ascii="Arial" w:hAnsi="Arial" w:cs="Arial"/>
          <w:sz w:val="24"/>
          <w:szCs w:val="24"/>
        </w:rPr>
        <w:t>DBCM th</w:t>
      </w:r>
      <w:r w:rsidR="00724E1D">
        <w:rPr>
          <w:rFonts w:ascii="Arial" w:hAnsi="Arial" w:cs="Arial"/>
          <w:sz w:val="24"/>
          <w:szCs w:val="24"/>
        </w:rPr>
        <w:t>at</w:t>
      </w:r>
      <w:r w:rsidR="009C02F8">
        <w:rPr>
          <w:rFonts w:ascii="Arial" w:hAnsi="Arial" w:cs="Arial"/>
          <w:sz w:val="24"/>
          <w:szCs w:val="24"/>
        </w:rPr>
        <w:t xml:space="preserve"> </w:t>
      </w:r>
      <w:r w:rsidR="00CB538D">
        <w:rPr>
          <w:rFonts w:ascii="Arial" w:hAnsi="Arial" w:cs="Arial"/>
          <w:sz w:val="24"/>
          <w:szCs w:val="24"/>
        </w:rPr>
        <w:t xml:space="preserve">the old </w:t>
      </w:r>
      <w:r>
        <w:rPr>
          <w:rFonts w:ascii="Arial" w:hAnsi="Arial" w:cs="Arial"/>
          <w:sz w:val="24"/>
          <w:szCs w:val="24"/>
        </w:rPr>
        <w:t>s 43</w:t>
      </w:r>
      <w:r w:rsidR="00CB538D">
        <w:rPr>
          <w:rFonts w:ascii="Arial" w:hAnsi="Arial" w:cs="Arial"/>
          <w:sz w:val="24"/>
          <w:szCs w:val="24"/>
        </w:rPr>
        <w:t xml:space="preserve"> </w:t>
      </w:r>
      <w:r w:rsidR="0010240A">
        <w:rPr>
          <w:rFonts w:ascii="Arial" w:hAnsi="Arial" w:cs="Arial"/>
          <w:sz w:val="24"/>
          <w:szCs w:val="24"/>
        </w:rPr>
        <w:t xml:space="preserve">that </w:t>
      </w:r>
      <w:r w:rsidR="00CB538D">
        <w:rPr>
          <w:rFonts w:ascii="Arial" w:hAnsi="Arial" w:cs="Arial"/>
          <w:sz w:val="24"/>
          <w:szCs w:val="24"/>
        </w:rPr>
        <w:t>prevail</w:t>
      </w:r>
      <w:r w:rsidR="0010240A">
        <w:rPr>
          <w:rFonts w:ascii="Arial" w:hAnsi="Arial" w:cs="Arial"/>
          <w:sz w:val="24"/>
          <w:szCs w:val="24"/>
        </w:rPr>
        <w:t>ed on</w:t>
      </w:r>
      <w:r w:rsidR="00CB538D">
        <w:rPr>
          <w:rFonts w:ascii="Arial" w:hAnsi="Arial" w:cs="Arial"/>
          <w:sz w:val="24"/>
          <w:szCs w:val="24"/>
        </w:rPr>
        <w:t xml:space="preserve"> 3 November 2009 when it applied for Closure Certificate is applicable to the determination of its Closure Application </w:t>
      </w:r>
      <w:r w:rsidR="009C02F8">
        <w:rPr>
          <w:rFonts w:ascii="Arial" w:hAnsi="Arial" w:cs="Arial"/>
          <w:sz w:val="24"/>
          <w:szCs w:val="24"/>
        </w:rPr>
        <w:t>and Plan and therefore that it be declared that (</w:t>
      </w:r>
      <w:r w:rsidR="00724E1D">
        <w:rPr>
          <w:rFonts w:ascii="Arial" w:hAnsi="Arial" w:cs="Arial"/>
          <w:sz w:val="24"/>
          <w:szCs w:val="24"/>
        </w:rPr>
        <w:t>a</w:t>
      </w:r>
      <w:r w:rsidR="009C02F8">
        <w:rPr>
          <w:rFonts w:ascii="Arial" w:hAnsi="Arial" w:cs="Arial"/>
          <w:sz w:val="24"/>
          <w:szCs w:val="24"/>
        </w:rPr>
        <w:t>) it is not under any obligation to back fill the Oaks Mine open pit, and that (c) the decision that it does inconsistent with the principle of legality enshrined in the Constitution</w:t>
      </w:r>
      <w:r w:rsidR="004D4D67">
        <w:rPr>
          <w:rFonts w:ascii="Arial" w:hAnsi="Arial" w:cs="Arial"/>
          <w:sz w:val="24"/>
          <w:szCs w:val="24"/>
        </w:rPr>
        <w:t>, the Respondent</w:t>
      </w:r>
      <w:r w:rsidR="00724E1D">
        <w:rPr>
          <w:rFonts w:ascii="Arial" w:hAnsi="Arial" w:cs="Arial"/>
          <w:sz w:val="24"/>
          <w:szCs w:val="24"/>
        </w:rPr>
        <w:t>s</w:t>
      </w:r>
      <w:r w:rsidR="004D4D67">
        <w:rPr>
          <w:rFonts w:ascii="Arial" w:hAnsi="Arial" w:cs="Arial"/>
          <w:sz w:val="24"/>
          <w:szCs w:val="24"/>
        </w:rPr>
        <w:t xml:space="preserve"> argued that:</w:t>
      </w:r>
    </w:p>
    <w:p w14:paraId="1BBBB91F" w14:textId="77777777" w:rsidR="004D4D67" w:rsidRDefault="004D4D67" w:rsidP="003A2CCE">
      <w:pPr>
        <w:tabs>
          <w:tab w:val="left" w:pos="567"/>
        </w:tabs>
        <w:spacing w:after="0" w:line="360" w:lineRule="auto"/>
        <w:jc w:val="both"/>
        <w:rPr>
          <w:rFonts w:ascii="Arial" w:hAnsi="Arial" w:cs="Arial"/>
          <w:sz w:val="24"/>
          <w:szCs w:val="24"/>
        </w:rPr>
      </w:pPr>
    </w:p>
    <w:p w14:paraId="326BB8C7" w14:textId="2E6B64DC" w:rsidR="00572FDF" w:rsidRDefault="004D4D67" w:rsidP="004D4D67">
      <w:pPr>
        <w:tabs>
          <w:tab w:val="left" w:pos="567"/>
        </w:tabs>
        <w:spacing w:after="0" w:line="360" w:lineRule="auto"/>
        <w:ind w:left="567"/>
        <w:jc w:val="both"/>
        <w:rPr>
          <w:rFonts w:ascii="Arial" w:hAnsi="Arial" w:cs="Arial"/>
          <w:sz w:val="24"/>
          <w:szCs w:val="24"/>
        </w:rPr>
      </w:pPr>
      <w:r>
        <w:rPr>
          <w:rFonts w:ascii="Arial" w:hAnsi="Arial" w:cs="Arial"/>
          <w:sz w:val="24"/>
          <w:szCs w:val="24"/>
        </w:rPr>
        <w:t>[</w:t>
      </w:r>
      <w:r w:rsidR="00724E1D">
        <w:rPr>
          <w:rFonts w:ascii="Arial" w:hAnsi="Arial" w:cs="Arial"/>
          <w:sz w:val="24"/>
          <w:szCs w:val="24"/>
        </w:rPr>
        <w:t>5</w:t>
      </w:r>
      <w:r w:rsidR="000D4DEB">
        <w:rPr>
          <w:rFonts w:ascii="Arial" w:hAnsi="Arial" w:cs="Arial"/>
          <w:sz w:val="24"/>
          <w:szCs w:val="24"/>
        </w:rPr>
        <w:t>5</w:t>
      </w:r>
      <w:r>
        <w:rPr>
          <w:rFonts w:ascii="Arial" w:hAnsi="Arial" w:cs="Arial"/>
          <w:sz w:val="24"/>
          <w:szCs w:val="24"/>
        </w:rPr>
        <w:t>.1] The new</w:t>
      </w:r>
      <w:r w:rsidR="00246437">
        <w:rPr>
          <w:rFonts w:ascii="Arial" w:hAnsi="Arial" w:cs="Arial"/>
          <w:sz w:val="24"/>
          <w:szCs w:val="24"/>
        </w:rPr>
        <w:t xml:space="preserve"> </w:t>
      </w:r>
      <w:r>
        <w:rPr>
          <w:rFonts w:ascii="Arial" w:hAnsi="Arial" w:cs="Arial"/>
          <w:sz w:val="24"/>
          <w:szCs w:val="24"/>
        </w:rPr>
        <w:t>s</w:t>
      </w:r>
      <w:r w:rsidR="003C57F5">
        <w:rPr>
          <w:rFonts w:ascii="Arial" w:hAnsi="Arial" w:cs="Arial"/>
          <w:sz w:val="24"/>
          <w:szCs w:val="24"/>
        </w:rPr>
        <w:t xml:space="preserve"> </w:t>
      </w:r>
      <w:r>
        <w:rPr>
          <w:rFonts w:ascii="Arial" w:hAnsi="Arial" w:cs="Arial"/>
          <w:sz w:val="24"/>
          <w:szCs w:val="24"/>
        </w:rPr>
        <w:t xml:space="preserve">43 </w:t>
      </w:r>
      <w:r w:rsidR="001D7610">
        <w:rPr>
          <w:rFonts w:ascii="Arial" w:hAnsi="Arial" w:cs="Arial"/>
          <w:sz w:val="24"/>
          <w:szCs w:val="24"/>
        </w:rPr>
        <w:t xml:space="preserve">that </w:t>
      </w:r>
      <w:r>
        <w:rPr>
          <w:rFonts w:ascii="Arial" w:hAnsi="Arial" w:cs="Arial"/>
          <w:sz w:val="24"/>
          <w:szCs w:val="24"/>
        </w:rPr>
        <w:t>came into effect on 7 June 2013 although the amendment was in 2008</w:t>
      </w:r>
      <w:r w:rsidR="001D7610">
        <w:rPr>
          <w:rFonts w:ascii="Arial" w:hAnsi="Arial" w:cs="Arial"/>
          <w:sz w:val="24"/>
          <w:szCs w:val="24"/>
        </w:rPr>
        <w:t xml:space="preserve">, </w:t>
      </w:r>
      <w:r>
        <w:rPr>
          <w:rFonts w:ascii="Arial" w:hAnsi="Arial" w:cs="Arial"/>
          <w:sz w:val="24"/>
          <w:szCs w:val="24"/>
        </w:rPr>
        <w:t>provides that DBCM as the holder of the old order mining right is responsible for the environmental degradation and or pollution, notwithstanding the issuing of the closure certificate by the MDRE</w:t>
      </w:r>
      <w:r w:rsidRPr="004D4D67">
        <w:rPr>
          <w:rFonts w:ascii="Arial" w:hAnsi="Arial" w:cs="Arial"/>
          <w:i/>
          <w:sz w:val="24"/>
          <w:szCs w:val="24"/>
        </w:rPr>
        <w:t xml:space="preserve">. </w:t>
      </w:r>
      <w:r w:rsidR="00572FDF">
        <w:rPr>
          <w:rFonts w:ascii="Arial" w:hAnsi="Arial" w:cs="Arial"/>
          <w:sz w:val="24"/>
          <w:szCs w:val="24"/>
        </w:rPr>
        <w:t xml:space="preserve">As a result, DBCM’s contention that Oaks Mine </w:t>
      </w:r>
      <w:r w:rsidR="00572FDF" w:rsidRPr="00572FDF">
        <w:rPr>
          <w:rFonts w:ascii="Arial" w:hAnsi="Arial" w:cs="Arial"/>
          <w:sz w:val="24"/>
          <w:szCs w:val="24"/>
        </w:rPr>
        <w:t xml:space="preserve">operations under the repealed Minerals Act were conducted </w:t>
      </w:r>
      <w:r w:rsidR="00636071">
        <w:rPr>
          <w:rFonts w:ascii="Arial" w:hAnsi="Arial" w:cs="Arial"/>
          <w:sz w:val="24"/>
          <w:szCs w:val="24"/>
        </w:rPr>
        <w:t xml:space="preserve">in terms of the amended EMP and </w:t>
      </w:r>
      <w:r w:rsidR="001D7610">
        <w:rPr>
          <w:rFonts w:ascii="Arial" w:hAnsi="Arial" w:cs="Arial"/>
          <w:sz w:val="24"/>
          <w:szCs w:val="24"/>
        </w:rPr>
        <w:t xml:space="preserve">the </w:t>
      </w:r>
      <w:r w:rsidR="00636071">
        <w:rPr>
          <w:rFonts w:ascii="Arial" w:hAnsi="Arial" w:cs="Arial"/>
          <w:sz w:val="24"/>
          <w:szCs w:val="24"/>
        </w:rPr>
        <w:t xml:space="preserve">old s 43 has no merit. </w:t>
      </w:r>
      <w:r w:rsidR="00572FDF">
        <w:rPr>
          <w:rFonts w:ascii="Arial" w:hAnsi="Arial" w:cs="Arial"/>
          <w:sz w:val="24"/>
          <w:szCs w:val="24"/>
        </w:rPr>
        <w:t xml:space="preserve"> </w:t>
      </w:r>
    </w:p>
    <w:p w14:paraId="75BFB39F" w14:textId="77777777" w:rsidR="001D7610" w:rsidRDefault="001D7610" w:rsidP="004D4D67">
      <w:pPr>
        <w:tabs>
          <w:tab w:val="left" w:pos="567"/>
        </w:tabs>
        <w:spacing w:after="0" w:line="360" w:lineRule="auto"/>
        <w:ind w:left="567"/>
        <w:jc w:val="both"/>
        <w:rPr>
          <w:rFonts w:ascii="Arial" w:hAnsi="Arial" w:cs="Arial"/>
          <w:sz w:val="24"/>
          <w:szCs w:val="24"/>
        </w:rPr>
      </w:pPr>
    </w:p>
    <w:p w14:paraId="014F5C78" w14:textId="0D073CB6" w:rsidR="00A832BB" w:rsidRDefault="000D4DEB" w:rsidP="004D4D67">
      <w:pPr>
        <w:tabs>
          <w:tab w:val="left" w:pos="567"/>
        </w:tabs>
        <w:spacing w:after="0" w:line="360" w:lineRule="auto"/>
        <w:ind w:left="567"/>
        <w:jc w:val="both"/>
        <w:rPr>
          <w:rFonts w:ascii="Arial" w:hAnsi="Arial" w:cs="Arial"/>
          <w:sz w:val="24"/>
          <w:szCs w:val="24"/>
        </w:rPr>
      </w:pPr>
      <w:r>
        <w:rPr>
          <w:rFonts w:ascii="Arial" w:hAnsi="Arial" w:cs="Arial"/>
          <w:sz w:val="24"/>
          <w:szCs w:val="24"/>
        </w:rPr>
        <w:t>[55</w:t>
      </w:r>
      <w:r w:rsidR="00E06556">
        <w:rPr>
          <w:rFonts w:ascii="Arial" w:hAnsi="Arial" w:cs="Arial"/>
          <w:sz w:val="24"/>
          <w:szCs w:val="24"/>
        </w:rPr>
        <w:t>.</w:t>
      </w:r>
      <w:r w:rsidR="001D7610">
        <w:rPr>
          <w:rFonts w:ascii="Arial" w:hAnsi="Arial" w:cs="Arial"/>
          <w:sz w:val="24"/>
          <w:szCs w:val="24"/>
        </w:rPr>
        <w:t>2]</w:t>
      </w:r>
      <w:r w:rsidR="001D7610">
        <w:rPr>
          <w:rFonts w:ascii="Arial" w:hAnsi="Arial" w:cs="Arial"/>
          <w:sz w:val="24"/>
          <w:szCs w:val="24"/>
        </w:rPr>
        <w:tab/>
      </w:r>
      <w:r w:rsidR="00A86DDE" w:rsidRPr="00572FDF">
        <w:rPr>
          <w:rFonts w:ascii="Arial" w:hAnsi="Arial" w:cs="Arial"/>
          <w:sz w:val="24"/>
          <w:szCs w:val="24"/>
        </w:rPr>
        <w:t>DBCM</w:t>
      </w:r>
      <w:r w:rsidR="001D7610">
        <w:rPr>
          <w:rFonts w:ascii="Arial" w:hAnsi="Arial" w:cs="Arial"/>
          <w:sz w:val="24"/>
          <w:szCs w:val="24"/>
        </w:rPr>
        <w:t>’s</w:t>
      </w:r>
      <w:r w:rsidR="00A86DDE" w:rsidRPr="00572FDF">
        <w:rPr>
          <w:rFonts w:ascii="Arial" w:hAnsi="Arial" w:cs="Arial"/>
          <w:sz w:val="24"/>
          <w:szCs w:val="24"/>
        </w:rPr>
        <w:t xml:space="preserve"> </w:t>
      </w:r>
      <w:r w:rsidR="001D7610">
        <w:rPr>
          <w:rFonts w:ascii="Arial" w:hAnsi="Arial" w:cs="Arial"/>
          <w:sz w:val="24"/>
          <w:szCs w:val="24"/>
        </w:rPr>
        <w:t xml:space="preserve">seeking of a </w:t>
      </w:r>
      <w:r w:rsidR="00572FDF">
        <w:rPr>
          <w:rFonts w:ascii="Arial" w:hAnsi="Arial" w:cs="Arial"/>
          <w:sz w:val="24"/>
          <w:szCs w:val="24"/>
        </w:rPr>
        <w:t xml:space="preserve">declaratory order to the effect that the old provision of s 43 that was amended is applicable to the Oaks Mine closure Application and that there are no transitional arrangements in the section to usher in the procedural effect of the change is not only misconceived but </w:t>
      </w:r>
      <w:r w:rsidR="003C57F5">
        <w:rPr>
          <w:rFonts w:ascii="Arial" w:hAnsi="Arial" w:cs="Arial"/>
          <w:sz w:val="24"/>
          <w:szCs w:val="24"/>
        </w:rPr>
        <w:t xml:space="preserve">also amongst others, </w:t>
      </w:r>
      <w:r w:rsidR="00572FDF">
        <w:rPr>
          <w:rFonts w:ascii="Arial" w:hAnsi="Arial" w:cs="Arial"/>
          <w:sz w:val="24"/>
          <w:szCs w:val="24"/>
        </w:rPr>
        <w:t>hypothetical due to the following reason:</w:t>
      </w:r>
    </w:p>
    <w:p w14:paraId="7882E278" w14:textId="77777777" w:rsidR="001D7610" w:rsidRDefault="001D7610" w:rsidP="004D4D67">
      <w:pPr>
        <w:tabs>
          <w:tab w:val="left" w:pos="567"/>
        </w:tabs>
        <w:spacing w:after="0" w:line="360" w:lineRule="auto"/>
        <w:ind w:left="567"/>
        <w:jc w:val="both"/>
        <w:rPr>
          <w:rFonts w:ascii="Arial" w:hAnsi="Arial" w:cs="Arial"/>
          <w:sz w:val="24"/>
          <w:szCs w:val="24"/>
        </w:rPr>
      </w:pPr>
    </w:p>
    <w:p w14:paraId="4A6BAEDE" w14:textId="4E43580C" w:rsidR="001D7610" w:rsidRPr="008B3EF9" w:rsidRDefault="001D7610" w:rsidP="001157E0">
      <w:pPr>
        <w:tabs>
          <w:tab w:val="left" w:pos="567"/>
        </w:tabs>
        <w:spacing w:after="0" w:line="360" w:lineRule="auto"/>
        <w:ind w:left="1440" w:hanging="873"/>
        <w:jc w:val="both"/>
        <w:rPr>
          <w:rFonts w:ascii="Arial" w:hAnsi="Arial" w:cs="Arial"/>
          <w:sz w:val="24"/>
          <w:szCs w:val="24"/>
        </w:rPr>
      </w:pPr>
      <w:r>
        <w:rPr>
          <w:rFonts w:ascii="Arial" w:hAnsi="Arial" w:cs="Arial"/>
          <w:sz w:val="24"/>
          <w:szCs w:val="24"/>
        </w:rPr>
        <w:tab/>
      </w:r>
      <w:r w:rsidR="00A832BB">
        <w:rPr>
          <w:rFonts w:ascii="Arial" w:hAnsi="Arial" w:cs="Arial"/>
          <w:sz w:val="24"/>
          <w:szCs w:val="24"/>
        </w:rPr>
        <w:t>[</w:t>
      </w:r>
      <w:r w:rsidR="00E06556">
        <w:rPr>
          <w:rFonts w:ascii="Arial" w:hAnsi="Arial" w:cs="Arial"/>
          <w:sz w:val="24"/>
          <w:szCs w:val="24"/>
        </w:rPr>
        <w:t>5</w:t>
      </w:r>
      <w:r w:rsidR="000D4DEB">
        <w:rPr>
          <w:rFonts w:ascii="Arial" w:hAnsi="Arial" w:cs="Arial"/>
          <w:sz w:val="24"/>
          <w:szCs w:val="24"/>
        </w:rPr>
        <w:t>5</w:t>
      </w:r>
      <w:r w:rsidR="00A832BB">
        <w:rPr>
          <w:rFonts w:ascii="Arial" w:hAnsi="Arial" w:cs="Arial"/>
          <w:sz w:val="24"/>
          <w:szCs w:val="24"/>
        </w:rPr>
        <w:t>.</w:t>
      </w:r>
      <w:r>
        <w:rPr>
          <w:rFonts w:ascii="Arial" w:hAnsi="Arial" w:cs="Arial"/>
          <w:sz w:val="24"/>
          <w:szCs w:val="24"/>
        </w:rPr>
        <w:t>2.1</w:t>
      </w:r>
      <w:r w:rsidR="00A832BB">
        <w:rPr>
          <w:rFonts w:ascii="Arial" w:hAnsi="Arial" w:cs="Arial"/>
          <w:sz w:val="24"/>
          <w:szCs w:val="24"/>
        </w:rPr>
        <w:t>]</w:t>
      </w:r>
      <w:r w:rsidR="00A832BB">
        <w:rPr>
          <w:rFonts w:ascii="Arial" w:hAnsi="Arial" w:cs="Arial"/>
          <w:sz w:val="24"/>
          <w:szCs w:val="24"/>
        </w:rPr>
        <w:tab/>
      </w:r>
      <w:r w:rsidR="00572FDF" w:rsidRPr="008B3EF9">
        <w:rPr>
          <w:rFonts w:ascii="Arial" w:hAnsi="Arial" w:cs="Arial"/>
          <w:sz w:val="24"/>
          <w:szCs w:val="24"/>
        </w:rPr>
        <w:t xml:space="preserve">  </w:t>
      </w:r>
      <w:r w:rsidR="004E723A" w:rsidRPr="008B3EF9">
        <w:rPr>
          <w:rFonts w:ascii="Arial" w:hAnsi="Arial" w:cs="Arial"/>
          <w:sz w:val="24"/>
          <w:szCs w:val="24"/>
        </w:rPr>
        <w:t xml:space="preserve"> </w:t>
      </w:r>
      <w:r w:rsidR="001157E0" w:rsidRPr="008B3EF9">
        <w:rPr>
          <w:rFonts w:ascii="Arial" w:hAnsi="Arial" w:cs="Arial"/>
          <w:sz w:val="24"/>
          <w:szCs w:val="24"/>
        </w:rPr>
        <w:t>DBCM’s mining operations under the repealed Minerals Act regime w</w:t>
      </w:r>
      <w:r w:rsidR="00724E1D" w:rsidRPr="008B3EF9">
        <w:rPr>
          <w:rFonts w:ascii="Arial" w:hAnsi="Arial" w:cs="Arial"/>
          <w:sz w:val="24"/>
          <w:szCs w:val="24"/>
        </w:rPr>
        <w:t>ere co</w:t>
      </w:r>
      <w:r w:rsidR="001157E0" w:rsidRPr="008B3EF9">
        <w:rPr>
          <w:rFonts w:ascii="Arial" w:hAnsi="Arial" w:cs="Arial"/>
          <w:sz w:val="24"/>
          <w:szCs w:val="24"/>
        </w:rPr>
        <w:t xml:space="preserve">nducted subject to compliance with any other laws, the mining permit stating that: the permit does not exempt the holder from the requirements of any provision of any other law, which is what happened when the MPRDA came into effect on 1 </w:t>
      </w:r>
      <w:r w:rsidR="00B633CB" w:rsidRPr="008B3EF9">
        <w:rPr>
          <w:rFonts w:ascii="Arial" w:hAnsi="Arial" w:cs="Arial"/>
          <w:sz w:val="24"/>
          <w:szCs w:val="24"/>
        </w:rPr>
        <w:t xml:space="preserve">May 2004, the mining right is stated in its s 23 (6) to be </w:t>
      </w:r>
      <w:r w:rsidR="001157E0" w:rsidRPr="008B3EF9">
        <w:rPr>
          <w:rFonts w:ascii="Arial" w:hAnsi="Arial" w:cs="Arial"/>
          <w:sz w:val="24"/>
          <w:szCs w:val="24"/>
        </w:rPr>
        <w:t xml:space="preserve">subject to </w:t>
      </w:r>
      <w:r w:rsidR="00636071" w:rsidRPr="008B3EF9">
        <w:rPr>
          <w:rFonts w:ascii="Arial" w:hAnsi="Arial" w:cs="Arial"/>
          <w:sz w:val="24"/>
          <w:szCs w:val="24"/>
        </w:rPr>
        <w:t xml:space="preserve">the </w:t>
      </w:r>
      <w:r w:rsidR="00B633CB" w:rsidRPr="008B3EF9">
        <w:rPr>
          <w:rFonts w:ascii="Arial" w:hAnsi="Arial" w:cs="Arial"/>
          <w:sz w:val="24"/>
          <w:szCs w:val="24"/>
        </w:rPr>
        <w:t xml:space="preserve">Act and </w:t>
      </w:r>
      <w:r w:rsidR="001157E0" w:rsidRPr="008B3EF9">
        <w:rPr>
          <w:rFonts w:ascii="Arial" w:hAnsi="Arial" w:cs="Arial"/>
          <w:sz w:val="24"/>
          <w:szCs w:val="24"/>
        </w:rPr>
        <w:t xml:space="preserve">any relevant law </w:t>
      </w:r>
      <w:r w:rsidR="00B633CB" w:rsidRPr="008B3EF9">
        <w:rPr>
          <w:rFonts w:ascii="Arial" w:hAnsi="Arial" w:cs="Arial"/>
          <w:sz w:val="24"/>
          <w:szCs w:val="24"/>
        </w:rPr>
        <w:lastRenderedPageBreak/>
        <w:t>the terms and conditions stated in the rights.</w:t>
      </w:r>
      <w:r w:rsidRPr="008B3EF9">
        <w:rPr>
          <w:rFonts w:ascii="Arial" w:hAnsi="Arial" w:cs="Arial"/>
          <w:sz w:val="24"/>
          <w:szCs w:val="24"/>
        </w:rPr>
        <w:t xml:space="preserve"> </w:t>
      </w:r>
      <w:r w:rsidR="00B633CB" w:rsidRPr="008B3EF9">
        <w:rPr>
          <w:rFonts w:ascii="Arial" w:hAnsi="Arial" w:cs="Arial"/>
          <w:sz w:val="24"/>
          <w:szCs w:val="24"/>
        </w:rPr>
        <w:t xml:space="preserve">DBCM’S </w:t>
      </w:r>
      <w:r w:rsidR="00636071" w:rsidRPr="008B3EF9">
        <w:rPr>
          <w:rFonts w:ascii="Arial" w:hAnsi="Arial" w:cs="Arial"/>
          <w:sz w:val="24"/>
          <w:szCs w:val="24"/>
        </w:rPr>
        <w:t>c</w:t>
      </w:r>
      <w:r w:rsidR="00B633CB" w:rsidRPr="008B3EF9">
        <w:rPr>
          <w:rFonts w:ascii="Arial" w:hAnsi="Arial" w:cs="Arial"/>
          <w:sz w:val="24"/>
          <w:szCs w:val="24"/>
        </w:rPr>
        <w:t>ontention that the decision to refuse to grant the Closure certificate is inconsistent with the principle of legality lacks merit.</w:t>
      </w:r>
    </w:p>
    <w:p w14:paraId="2E5C4A6D" w14:textId="18DF5279" w:rsidR="00B633CB" w:rsidRDefault="00B633CB" w:rsidP="001157E0">
      <w:pPr>
        <w:tabs>
          <w:tab w:val="left" w:pos="567"/>
        </w:tabs>
        <w:spacing w:after="0" w:line="360" w:lineRule="auto"/>
        <w:ind w:left="1440" w:hanging="873"/>
        <w:jc w:val="both"/>
        <w:rPr>
          <w:rFonts w:ascii="Arial" w:hAnsi="Arial" w:cs="Arial"/>
          <w:sz w:val="24"/>
          <w:szCs w:val="24"/>
        </w:rPr>
      </w:pPr>
      <w:r>
        <w:rPr>
          <w:rFonts w:ascii="Arial" w:hAnsi="Arial" w:cs="Arial"/>
          <w:sz w:val="24"/>
          <w:szCs w:val="24"/>
        </w:rPr>
        <w:t xml:space="preserve"> </w:t>
      </w:r>
    </w:p>
    <w:p w14:paraId="716D4FF9" w14:textId="0F4EFA64" w:rsidR="004E50B1" w:rsidRPr="00572FDF" w:rsidRDefault="00E06556" w:rsidP="001D7610">
      <w:pPr>
        <w:tabs>
          <w:tab w:val="left" w:pos="567"/>
        </w:tabs>
        <w:spacing w:after="0" w:line="360" w:lineRule="auto"/>
        <w:ind w:left="562"/>
        <w:jc w:val="both"/>
        <w:rPr>
          <w:rFonts w:ascii="Arial" w:hAnsi="Arial" w:cs="Arial"/>
          <w:sz w:val="24"/>
          <w:szCs w:val="24"/>
        </w:rPr>
      </w:pPr>
      <w:r>
        <w:rPr>
          <w:rFonts w:ascii="Arial" w:hAnsi="Arial" w:cs="Arial"/>
          <w:sz w:val="24"/>
          <w:szCs w:val="24"/>
        </w:rPr>
        <w:t>[5</w:t>
      </w:r>
      <w:r w:rsidR="000D4DEB">
        <w:rPr>
          <w:rFonts w:ascii="Arial" w:hAnsi="Arial" w:cs="Arial"/>
          <w:sz w:val="24"/>
          <w:szCs w:val="24"/>
        </w:rPr>
        <w:t>5</w:t>
      </w:r>
      <w:r w:rsidR="00B633CB">
        <w:rPr>
          <w:rFonts w:ascii="Arial" w:hAnsi="Arial" w:cs="Arial"/>
          <w:sz w:val="24"/>
          <w:szCs w:val="24"/>
        </w:rPr>
        <w:t>.</w:t>
      </w:r>
      <w:r w:rsidR="001D7610">
        <w:rPr>
          <w:rFonts w:ascii="Arial" w:hAnsi="Arial" w:cs="Arial"/>
          <w:sz w:val="24"/>
          <w:szCs w:val="24"/>
        </w:rPr>
        <w:t>3</w:t>
      </w:r>
      <w:r w:rsidR="00B633CB">
        <w:rPr>
          <w:rFonts w:ascii="Arial" w:hAnsi="Arial" w:cs="Arial"/>
          <w:sz w:val="24"/>
          <w:szCs w:val="24"/>
        </w:rPr>
        <w:t>] The Respondent also dispute tha</w:t>
      </w:r>
      <w:r w:rsidR="00AF197A">
        <w:rPr>
          <w:rFonts w:ascii="Arial" w:hAnsi="Arial" w:cs="Arial"/>
          <w:sz w:val="24"/>
          <w:szCs w:val="24"/>
        </w:rPr>
        <w:t>t</w:t>
      </w:r>
      <w:r w:rsidR="00B633CB">
        <w:rPr>
          <w:rFonts w:ascii="Arial" w:hAnsi="Arial" w:cs="Arial"/>
          <w:sz w:val="24"/>
          <w:szCs w:val="24"/>
        </w:rPr>
        <w:t xml:space="preserve"> there was any ambiguity with the application of s 43 provisions</w:t>
      </w:r>
      <w:r w:rsidR="00636071">
        <w:rPr>
          <w:rFonts w:ascii="Arial" w:hAnsi="Arial" w:cs="Arial"/>
          <w:sz w:val="24"/>
          <w:szCs w:val="24"/>
        </w:rPr>
        <w:t xml:space="preserve"> as the amendment came into effect on 7 June 2013 when the Application for closure was in 2009. </w:t>
      </w:r>
      <w:r w:rsidR="00B633CB">
        <w:rPr>
          <w:rFonts w:ascii="Arial" w:hAnsi="Arial" w:cs="Arial"/>
          <w:sz w:val="24"/>
          <w:szCs w:val="24"/>
        </w:rPr>
        <w:t xml:space="preserve"> </w:t>
      </w:r>
      <w:r w:rsidR="004C67A3">
        <w:rPr>
          <w:rFonts w:ascii="Arial" w:hAnsi="Arial" w:cs="Arial"/>
          <w:sz w:val="24"/>
          <w:szCs w:val="24"/>
        </w:rPr>
        <w:t xml:space="preserve">Since </w:t>
      </w:r>
      <w:r w:rsidR="00636071">
        <w:rPr>
          <w:rFonts w:ascii="Arial" w:hAnsi="Arial" w:cs="Arial"/>
          <w:sz w:val="24"/>
          <w:szCs w:val="24"/>
        </w:rPr>
        <w:t xml:space="preserve">as early as 2008, there was no ambiguity and the intention of the legislature clear that DBCM as the holder of the old mining right would be responsible for environmental degradation and pollution </w:t>
      </w:r>
      <w:r w:rsidR="002D731F">
        <w:rPr>
          <w:rFonts w:ascii="Arial" w:hAnsi="Arial" w:cs="Arial"/>
          <w:sz w:val="24"/>
          <w:szCs w:val="24"/>
        </w:rPr>
        <w:t xml:space="preserve">notwithstanding the issuing of the Oaks Mine closure certificate. The Respondents therefore argue that inviting the court to </w:t>
      </w:r>
      <w:r w:rsidR="002C4EB4">
        <w:rPr>
          <w:rFonts w:ascii="Arial" w:hAnsi="Arial" w:cs="Arial"/>
          <w:sz w:val="24"/>
          <w:szCs w:val="24"/>
        </w:rPr>
        <w:t xml:space="preserve">make a declaratory order </w:t>
      </w:r>
      <w:r w:rsidR="002D731F">
        <w:rPr>
          <w:rFonts w:ascii="Arial" w:hAnsi="Arial" w:cs="Arial"/>
          <w:sz w:val="24"/>
          <w:szCs w:val="24"/>
        </w:rPr>
        <w:t>enforc</w:t>
      </w:r>
      <w:r w:rsidR="002C4EB4">
        <w:rPr>
          <w:rFonts w:ascii="Arial" w:hAnsi="Arial" w:cs="Arial"/>
          <w:sz w:val="24"/>
          <w:szCs w:val="24"/>
        </w:rPr>
        <w:t xml:space="preserve">ing </w:t>
      </w:r>
      <w:r w:rsidR="002D731F">
        <w:rPr>
          <w:rFonts w:ascii="Arial" w:hAnsi="Arial" w:cs="Arial"/>
          <w:sz w:val="24"/>
          <w:szCs w:val="24"/>
        </w:rPr>
        <w:t xml:space="preserve">an old repealed statute order </w:t>
      </w:r>
      <w:r w:rsidR="002C4EB4">
        <w:rPr>
          <w:rFonts w:ascii="Arial" w:hAnsi="Arial" w:cs="Arial"/>
          <w:sz w:val="24"/>
          <w:szCs w:val="24"/>
        </w:rPr>
        <w:t xml:space="preserve">amended in 2008 </w:t>
      </w:r>
      <w:r w:rsidR="003C57F5">
        <w:rPr>
          <w:rFonts w:ascii="Arial" w:hAnsi="Arial" w:cs="Arial"/>
          <w:sz w:val="24"/>
          <w:szCs w:val="24"/>
        </w:rPr>
        <w:t xml:space="preserve">(effective from 2013) </w:t>
      </w:r>
      <w:r w:rsidR="002C4EB4">
        <w:rPr>
          <w:rFonts w:ascii="Arial" w:hAnsi="Arial" w:cs="Arial"/>
          <w:sz w:val="24"/>
          <w:szCs w:val="24"/>
        </w:rPr>
        <w:t xml:space="preserve">is abstract, academic and hypothetical. </w:t>
      </w:r>
      <w:r w:rsidR="002C4EB4" w:rsidRPr="004D6B72">
        <w:rPr>
          <w:rFonts w:ascii="Arial" w:hAnsi="Arial" w:cs="Arial"/>
          <w:sz w:val="24"/>
          <w:szCs w:val="24"/>
        </w:rPr>
        <w:t xml:space="preserve">NEMA, the overarching umbrella legislation for environment in South Africa became a retrospective legislation and introduced s 28 (1A). DBCM </w:t>
      </w:r>
      <w:r w:rsidR="001D7610" w:rsidRPr="004D6B72">
        <w:rPr>
          <w:rFonts w:ascii="Arial" w:hAnsi="Arial" w:cs="Arial"/>
          <w:sz w:val="24"/>
          <w:szCs w:val="24"/>
        </w:rPr>
        <w:t xml:space="preserve">is therefore </w:t>
      </w:r>
      <w:r w:rsidR="002C4EB4" w:rsidRPr="004D6B72">
        <w:rPr>
          <w:rFonts w:ascii="Arial" w:hAnsi="Arial" w:cs="Arial"/>
          <w:sz w:val="24"/>
          <w:szCs w:val="24"/>
        </w:rPr>
        <w:t xml:space="preserve">retrospectively liable for </w:t>
      </w:r>
      <w:r w:rsidR="00E41E81" w:rsidRPr="004D6B72">
        <w:rPr>
          <w:rFonts w:ascii="Arial" w:hAnsi="Arial" w:cs="Arial"/>
          <w:sz w:val="24"/>
          <w:szCs w:val="24"/>
        </w:rPr>
        <w:t>environmental degradation or harm that occurred over the Oaks Mine properties, even before the commencement of NEMA</w:t>
      </w:r>
      <w:r w:rsidR="00667C46" w:rsidRPr="008B3EF9">
        <w:rPr>
          <w:rFonts w:ascii="Arial" w:hAnsi="Arial" w:cs="Arial"/>
          <w:sz w:val="24"/>
          <w:szCs w:val="24"/>
        </w:rPr>
        <w:t xml:space="preserve">. </w:t>
      </w:r>
      <w:r w:rsidR="00667C46" w:rsidRPr="004D6B72">
        <w:rPr>
          <w:rFonts w:ascii="Arial" w:hAnsi="Arial" w:cs="Arial"/>
          <w:sz w:val="24"/>
          <w:szCs w:val="24"/>
        </w:rPr>
        <w:t>Even though s 43 was not in force yet</w:t>
      </w:r>
      <w:r w:rsidR="00D03145" w:rsidRPr="004D6B72">
        <w:rPr>
          <w:rFonts w:ascii="Arial" w:hAnsi="Arial" w:cs="Arial"/>
          <w:sz w:val="24"/>
          <w:szCs w:val="24"/>
        </w:rPr>
        <w:t>,</w:t>
      </w:r>
      <w:r w:rsidR="00667C46" w:rsidRPr="004D6B72">
        <w:rPr>
          <w:rFonts w:ascii="Arial" w:hAnsi="Arial" w:cs="Arial"/>
          <w:sz w:val="24"/>
          <w:szCs w:val="24"/>
        </w:rPr>
        <w:t xml:space="preserve"> s 28 (1) </w:t>
      </w:r>
      <w:r w:rsidR="004C67A3" w:rsidRPr="004D6B72">
        <w:rPr>
          <w:rFonts w:ascii="Arial" w:hAnsi="Arial" w:cs="Arial"/>
          <w:sz w:val="24"/>
          <w:szCs w:val="24"/>
        </w:rPr>
        <w:t xml:space="preserve">and (A) </w:t>
      </w:r>
      <w:r w:rsidR="00667C46" w:rsidRPr="004D6B72">
        <w:rPr>
          <w:rFonts w:ascii="Arial" w:hAnsi="Arial" w:cs="Arial"/>
          <w:sz w:val="24"/>
          <w:szCs w:val="24"/>
        </w:rPr>
        <w:t>of NEMA was already applicable.</w:t>
      </w:r>
      <w:r w:rsidR="00667C46">
        <w:rPr>
          <w:rFonts w:ascii="Arial" w:hAnsi="Arial" w:cs="Arial"/>
          <w:sz w:val="24"/>
          <w:szCs w:val="24"/>
        </w:rPr>
        <w:t xml:space="preserve"> Respondents therefore </w:t>
      </w:r>
      <w:r w:rsidR="000B6F90">
        <w:rPr>
          <w:rFonts w:ascii="Arial" w:hAnsi="Arial" w:cs="Arial"/>
          <w:sz w:val="24"/>
          <w:szCs w:val="24"/>
        </w:rPr>
        <w:t xml:space="preserve">disputes </w:t>
      </w:r>
      <w:r w:rsidR="00667C46">
        <w:rPr>
          <w:rFonts w:ascii="Arial" w:hAnsi="Arial" w:cs="Arial"/>
          <w:sz w:val="24"/>
          <w:szCs w:val="24"/>
        </w:rPr>
        <w:t>the contention that there were no transitional arrangement</w:t>
      </w:r>
      <w:r w:rsidR="00D03145">
        <w:rPr>
          <w:rFonts w:ascii="Arial" w:hAnsi="Arial" w:cs="Arial"/>
          <w:sz w:val="24"/>
          <w:szCs w:val="24"/>
        </w:rPr>
        <w:t xml:space="preserve"> and submits that the declaratory order sought</w:t>
      </w:r>
      <w:r w:rsidR="003C57F5">
        <w:rPr>
          <w:rFonts w:ascii="Arial" w:hAnsi="Arial" w:cs="Arial"/>
          <w:sz w:val="24"/>
          <w:szCs w:val="24"/>
        </w:rPr>
        <w:t>,</w:t>
      </w:r>
      <w:r w:rsidR="00D03145">
        <w:rPr>
          <w:rFonts w:ascii="Arial" w:hAnsi="Arial" w:cs="Arial"/>
          <w:sz w:val="24"/>
          <w:szCs w:val="24"/>
        </w:rPr>
        <w:t xml:space="preserve"> that the old s 43 is applicable to DBCM closure Application filed in 2009 is abstract and a declaratory order </w:t>
      </w:r>
      <w:r w:rsidR="003C57F5">
        <w:rPr>
          <w:rFonts w:ascii="Arial" w:hAnsi="Arial" w:cs="Arial"/>
          <w:sz w:val="24"/>
          <w:szCs w:val="24"/>
        </w:rPr>
        <w:t xml:space="preserve">cannot be granted </w:t>
      </w:r>
      <w:r w:rsidR="00D03145">
        <w:rPr>
          <w:rFonts w:ascii="Arial" w:hAnsi="Arial" w:cs="Arial"/>
          <w:sz w:val="24"/>
          <w:szCs w:val="24"/>
        </w:rPr>
        <w:t>where the law is clear.</w:t>
      </w:r>
      <w:r w:rsidR="000B6F90">
        <w:rPr>
          <w:rFonts w:ascii="Arial" w:hAnsi="Arial" w:cs="Arial"/>
          <w:sz w:val="24"/>
          <w:szCs w:val="24"/>
        </w:rPr>
        <w:t xml:space="preserve"> </w:t>
      </w:r>
      <w:r w:rsidR="00DC3D5B">
        <w:rPr>
          <w:rFonts w:ascii="Arial" w:hAnsi="Arial" w:cs="Arial"/>
          <w:sz w:val="24"/>
          <w:szCs w:val="24"/>
        </w:rPr>
        <w:t xml:space="preserve"> </w:t>
      </w:r>
      <w:r w:rsidR="00667C46">
        <w:rPr>
          <w:rFonts w:ascii="Arial" w:hAnsi="Arial" w:cs="Arial"/>
          <w:sz w:val="24"/>
          <w:szCs w:val="24"/>
        </w:rPr>
        <w:t xml:space="preserve"> </w:t>
      </w:r>
      <w:r w:rsidR="00E41E81">
        <w:rPr>
          <w:rFonts w:ascii="Arial" w:hAnsi="Arial" w:cs="Arial"/>
          <w:sz w:val="24"/>
          <w:szCs w:val="24"/>
        </w:rPr>
        <w:t xml:space="preserve">  </w:t>
      </w:r>
      <w:r w:rsidR="002C4EB4">
        <w:rPr>
          <w:rFonts w:ascii="Arial" w:hAnsi="Arial" w:cs="Arial"/>
          <w:sz w:val="24"/>
          <w:szCs w:val="24"/>
        </w:rPr>
        <w:t xml:space="preserve"> </w:t>
      </w:r>
    </w:p>
    <w:p w14:paraId="01089D3F" w14:textId="77777777" w:rsidR="001D7610" w:rsidRDefault="00636071" w:rsidP="001D7610">
      <w:pPr>
        <w:tabs>
          <w:tab w:val="left" w:pos="567"/>
        </w:tabs>
        <w:spacing w:after="0" w:line="360" w:lineRule="auto"/>
        <w:jc w:val="both"/>
        <w:rPr>
          <w:rFonts w:ascii="Arial" w:hAnsi="Arial" w:cs="Arial"/>
          <w:sz w:val="24"/>
          <w:szCs w:val="24"/>
        </w:rPr>
      </w:pPr>
      <w:r>
        <w:rPr>
          <w:rFonts w:ascii="Arial" w:hAnsi="Arial" w:cs="Arial"/>
          <w:sz w:val="24"/>
          <w:szCs w:val="24"/>
        </w:rPr>
        <w:tab/>
      </w:r>
      <w:r w:rsidR="002C3D0B">
        <w:rPr>
          <w:rFonts w:ascii="Arial" w:hAnsi="Arial" w:cs="Arial"/>
          <w:sz w:val="24"/>
          <w:szCs w:val="24"/>
        </w:rPr>
        <w:tab/>
      </w:r>
    </w:p>
    <w:p w14:paraId="022D4B10" w14:textId="6DEF80B8" w:rsidR="00B237EB" w:rsidRDefault="001D7610" w:rsidP="001D7610">
      <w:pPr>
        <w:tabs>
          <w:tab w:val="left" w:pos="567"/>
        </w:tabs>
        <w:spacing w:after="0" w:line="360" w:lineRule="auto"/>
        <w:ind w:left="562" w:hanging="562"/>
        <w:jc w:val="both"/>
        <w:rPr>
          <w:rFonts w:ascii="Arial" w:hAnsi="Arial" w:cs="Arial"/>
          <w:sz w:val="24"/>
          <w:szCs w:val="24"/>
        </w:rPr>
      </w:pPr>
      <w:r>
        <w:rPr>
          <w:rFonts w:ascii="Arial" w:hAnsi="Arial" w:cs="Arial"/>
          <w:sz w:val="24"/>
          <w:szCs w:val="24"/>
        </w:rPr>
        <w:tab/>
        <w:t>[</w:t>
      </w:r>
      <w:r w:rsidR="00E06556">
        <w:rPr>
          <w:rFonts w:ascii="Arial" w:hAnsi="Arial" w:cs="Arial"/>
          <w:sz w:val="24"/>
          <w:szCs w:val="24"/>
        </w:rPr>
        <w:t>5</w:t>
      </w:r>
      <w:r w:rsidR="000D4DEB">
        <w:rPr>
          <w:rFonts w:ascii="Arial" w:hAnsi="Arial" w:cs="Arial"/>
          <w:sz w:val="24"/>
          <w:szCs w:val="24"/>
        </w:rPr>
        <w:t>5.4</w:t>
      </w:r>
      <w:r w:rsidR="00636071">
        <w:rPr>
          <w:rFonts w:ascii="Arial" w:hAnsi="Arial" w:cs="Arial"/>
          <w:sz w:val="24"/>
          <w:szCs w:val="24"/>
        </w:rPr>
        <w:t>]</w:t>
      </w:r>
      <w:r w:rsidR="00636071">
        <w:rPr>
          <w:rFonts w:ascii="Arial" w:hAnsi="Arial" w:cs="Arial"/>
          <w:sz w:val="24"/>
          <w:szCs w:val="24"/>
        </w:rPr>
        <w:tab/>
      </w:r>
      <w:r w:rsidR="0031509E">
        <w:rPr>
          <w:rFonts w:ascii="Arial" w:hAnsi="Arial" w:cs="Arial"/>
          <w:sz w:val="24"/>
          <w:szCs w:val="24"/>
        </w:rPr>
        <w:t xml:space="preserve">The </w:t>
      </w:r>
      <w:r w:rsidR="004C67A3">
        <w:rPr>
          <w:rFonts w:ascii="Arial" w:hAnsi="Arial" w:cs="Arial"/>
          <w:sz w:val="24"/>
          <w:szCs w:val="24"/>
        </w:rPr>
        <w:t xml:space="preserve">Respondents urged the </w:t>
      </w:r>
      <w:r w:rsidR="00505E96">
        <w:rPr>
          <w:rFonts w:ascii="Arial" w:hAnsi="Arial" w:cs="Arial"/>
          <w:sz w:val="24"/>
          <w:szCs w:val="24"/>
        </w:rPr>
        <w:t xml:space="preserve">court to refuse the order since the </w:t>
      </w:r>
      <w:r w:rsidR="0031509E">
        <w:rPr>
          <w:rFonts w:ascii="Arial" w:hAnsi="Arial" w:cs="Arial"/>
          <w:sz w:val="24"/>
          <w:szCs w:val="24"/>
        </w:rPr>
        <w:t>legal position on DBCM</w:t>
      </w:r>
      <w:r w:rsidR="00D03145">
        <w:rPr>
          <w:rFonts w:ascii="Arial" w:hAnsi="Arial" w:cs="Arial"/>
          <w:sz w:val="24"/>
          <w:szCs w:val="24"/>
        </w:rPr>
        <w:t xml:space="preserve">’s obligation </w:t>
      </w:r>
      <w:r w:rsidR="0031509E">
        <w:rPr>
          <w:rFonts w:ascii="Arial" w:hAnsi="Arial" w:cs="Arial"/>
          <w:sz w:val="24"/>
          <w:szCs w:val="24"/>
        </w:rPr>
        <w:t xml:space="preserve">to backfill the open pit </w:t>
      </w:r>
      <w:r w:rsidR="00D03145">
        <w:rPr>
          <w:rFonts w:ascii="Arial" w:hAnsi="Arial" w:cs="Arial"/>
          <w:sz w:val="24"/>
          <w:szCs w:val="24"/>
        </w:rPr>
        <w:t>and responsibility f</w:t>
      </w:r>
      <w:r w:rsidR="00505E96">
        <w:rPr>
          <w:rFonts w:ascii="Arial" w:hAnsi="Arial" w:cs="Arial"/>
          <w:sz w:val="24"/>
          <w:szCs w:val="24"/>
        </w:rPr>
        <w:t>or</w:t>
      </w:r>
      <w:r w:rsidR="00D03145">
        <w:rPr>
          <w:rFonts w:ascii="Arial" w:hAnsi="Arial" w:cs="Arial"/>
          <w:sz w:val="24"/>
          <w:szCs w:val="24"/>
        </w:rPr>
        <w:t xml:space="preserve"> environmental degradation or harm over the Oaks Mine has been clearly defined</w:t>
      </w:r>
      <w:r w:rsidR="00B237EB">
        <w:rPr>
          <w:rFonts w:ascii="Arial" w:hAnsi="Arial" w:cs="Arial"/>
          <w:sz w:val="24"/>
          <w:szCs w:val="24"/>
        </w:rPr>
        <w:t xml:space="preserve">, specifically </w:t>
      </w:r>
      <w:r w:rsidR="00D03145">
        <w:rPr>
          <w:rFonts w:ascii="Arial" w:hAnsi="Arial" w:cs="Arial"/>
          <w:sz w:val="24"/>
          <w:szCs w:val="24"/>
        </w:rPr>
        <w:t xml:space="preserve">in </w:t>
      </w:r>
      <w:r w:rsidR="00B237EB">
        <w:rPr>
          <w:rFonts w:ascii="Arial" w:hAnsi="Arial" w:cs="Arial"/>
          <w:sz w:val="24"/>
          <w:szCs w:val="24"/>
        </w:rPr>
        <w:t>the following</w:t>
      </w:r>
      <w:r w:rsidR="00D03145">
        <w:rPr>
          <w:rFonts w:ascii="Arial" w:hAnsi="Arial" w:cs="Arial"/>
          <w:sz w:val="24"/>
          <w:szCs w:val="24"/>
        </w:rPr>
        <w:t xml:space="preserve"> statutory provisions</w:t>
      </w:r>
      <w:r w:rsidR="00B237EB">
        <w:rPr>
          <w:rFonts w:ascii="Arial" w:hAnsi="Arial" w:cs="Arial"/>
          <w:sz w:val="24"/>
          <w:szCs w:val="24"/>
        </w:rPr>
        <w:t xml:space="preserve">: </w:t>
      </w:r>
    </w:p>
    <w:p w14:paraId="758D6970" w14:textId="77777777" w:rsidR="00B237EB" w:rsidRDefault="00B237EB" w:rsidP="002C3D0B">
      <w:pPr>
        <w:tabs>
          <w:tab w:val="left" w:pos="567"/>
        </w:tabs>
        <w:spacing w:after="0" w:line="360" w:lineRule="auto"/>
        <w:ind w:left="1440" w:hanging="1440"/>
        <w:jc w:val="both"/>
        <w:rPr>
          <w:rFonts w:ascii="Arial" w:hAnsi="Arial" w:cs="Arial"/>
          <w:sz w:val="24"/>
          <w:szCs w:val="24"/>
        </w:rPr>
      </w:pPr>
    </w:p>
    <w:p w14:paraId="3FC3A79D" w14:textId="48570A9A" w:rsidR="00707A6B" w:rsidRPr="00246437" w:rsidRDefault="000B6F90" w:rsidP="00EA2F91">
      <w:pPr>
        <w:tabs>
          <w:tab w:val="left" w:pos="567"/>
        </w:tabs>
        <w:spacing w:after="0" w:line="360" w:lineRule="auto"/>
        <w:ind w:left="2160" w:hanging="1440"/>
        <w:jc w:val="both"/>
        <w:rPr>
          <w:rFonts w:ascii="Arial" w:hAnsi="Arial" w:cs="Arial"/>
          <w:sz w:val="24"/>
          <w:szCs w:val="24"/>
        </w:rPr>
      </w:pPr>
      <w:r>
        <w:rPr>
          <w:rFonts w:ascii="Arial" w:hAnsi="Arial" w:cs="Arial"/>
          <w:sz w:val="24"/>
          <w:szCs w:val="24"/>
        </w:rPr>
        <w:tab/>
      </w:r>
      <w:r w:rsidR="005B201D">
        <w:rPr>
          <w:rFonts w:ascii="Arial" w:hAnsi="Arial" w:cs="Arial"/>
          <w:sz w:val="24"/>
          <w:szCs w:val="24"/>
        </w:rPr>
        <w:t>Section</w:t>
      </w:r>
      <w:r w:rsidR="00EA2F91" w:rsidRPr="00246437">
        <w:rPr>
          <w:rFonts w:ascii="Arial" w:hAnsi="Arial" w:cs="Arial"/>
          <w:b/>
          <w:sz w:val="24"/>
          <w:szCs w:val="24"/>
        </w:rPr>
        <w:t xml:space="preserve"> </w:t>
      </w:r>
      <w:r w:rsidR="005C669F" w:rsidRPr="008B3EF9">
        <w:rPr>
          <w:rFonts w:ascii="Arial" w:hAnsi="Arial" w:cs="Arial"/>
          <w:sz w:val="24"/>
          <w:szCs w:val="24"/>
        </w:rPr>
        <w:t>2 (4) (p) of NEMA</w:t>
      </w:r>
      <w:r w:rsidR="005C669F" w:rsidRPr="00246437">
        <w:rPr>
          <w:rFonts w:ascii="Arial" w:hAnsi="Arial" w:cs="Arial"/>
          <w:b/>
          <w:sz w:val="24"/>
          <w:szCs w:val="24"/>
        </w:rPr>
        <w:t xml:space="preserve"> (The </w:t>
      </w:r>
      <w:r w:rsidR="00D03145" w:rsidRPr="00246437">
        <w:rPr>
          <w:rFonts w:ascii="Arial" w:hAnsi="Arial" w:cs="Arial"/>
          <w:b/>
          <w:sz w:val="24"/>
          <w:szCs w:val="24"/>
        </w:rPr>
        <w:t>polluter</w:t>
      </w:r>
      <w:r w:rsidR="00EA2F91" w:rsidRPr="00246437">
        <w:rPr>
          <w:rFonts w:ascii="Arial" w:hAnsi="Arial" w:cs="Arial"/>
          <w:b/>
          <w:sz w:val="24"/>
          <w:szCs w:val="24"/>
        </w:rPr>
        <w:t xml:space="preserve"> </w:t>
      </w:r>
      <w:r w:rsidR="005C669F" w:rsidRPr="00246437">
        <w:rPr>
          <w:rFonts w:ascii="Arial" w:hAnsi="Arial" w:cs="Arial"/>
          <w:b/>
          <w:sz w:val="24"/>
          <w:szCs w:val="24"/>
        </w:rPr>
        <w:t>pay</w:t>
      </w:r>
      <w:r w:rsidR="00EA2F91" w:rsidRPr="00246437">
        <w:rPr>
          <w:rFonts w:ascii="Arial" w:hAnsi="Arial" w:cs="Arial"/>
          <w:b/>
          <w:sz w:val="24"/>
          <w:szCs w:val="24"/>
        </w:rPr>
        <w:t>s</w:t>
      </w:r>
      <w:r w:rsidR="005C669F" w:rsidRPr="00246437">
        <w:rPr>
          <w:rFonts w:ascii="Arial" w:hAnsi="Arial" w:cs="Arial"/>
          <w:b/>
          <w:sz w:val="24"/>
          <w:szCs w:val="24"/>
        </w:rPr>
        <w:t xml:space="preserve"> principle</w:t>
      </w:r>
      <w:r w:rsidR="001D7610" w:rsidRPr="00246437">
        <w:rPr>
          <w:rFonts w:ascii="Arial" w:hAnsi="Arial" w:cs="Arial"/>
          <w:b/>
          <w:sz w:val="24"/>
          <w:szCs w:val="24"/>
        </w:rPr>
        <w:t>)</w:t>
      </w:r>
      <w:r w:rsidR="00CD6A6E" w:rsidRPr="00246437">
        <w:rPr>
          <w:rFonts w:ascii="Arial" w:hAnsi="Arial" w:cs="Arial"/>
          <w:sz w:val="24"/>
          <w:szCs w:val="24"/>
        </w:rPr>
        <w:t xml:space="preserve"> </w:t>
      </w:r>
      <w:r w:rsidR="00EA2F91" w:rsidRPr="00246437">
        <w:rPr>
          <w:rFonts w:ascii="Arial" w:hAnsi="Arial" w:cs="Arial"/>
          <w:sz w:val="24"/>
          <w:szCs w:val="24"/>
        </w:rPr>
        <w:t xml:space="preserve">provides that:  </w:t>
      </w:r>
    </w:p>
    <w:p w14:paraId="51BACC60" w14:textId="2F18BE9C" w:rsidR="00707A6B" w:rsidRPr="00246437" w:rsidRDefault="00707A6B" w:rsidP="00EA2F91">
      <w:pPr>
        <w:tabs>
          <w:tab w:val="left" w:pos="567"/>
        </w:tabs>
        <w:spacing w:after="0" w:line="360" w:lineRule="auto"/>
        <w:ind w:left="2880" w:hanging="1440"/>
        <w:jc w:val="both"/>
        <w:rPr>
          <w:rFonts w:ascii="Arial" w:hAnsi="Arial" w:cs="Arial"/>
          <w:i/>
          <w:sz w:val="24"/>
          <w:szCs w:val="24"/>
        </w:rPr>
      </w:pPr>
      <w:r w:rsidRPr="00246437">
        <w:rPr>
          <w:rFonts w:ascii="Arial" w:hAnsi="Arial" w:cs="Arial"/>
          <w:sz w:val="24"/>
          <w:szCs w:val="24"/>
        </w:rPr>
        <w:tab/>
      </w:r>
      <w:r w:rsidR="00EA2F91" w:rsidRPr="00246437">
        <w:rPr>
          <w:rFonts w:ascii="Arial" w:hAnsi="Arial" w:cs="Arial"/>
          <w:i/>
          <w:sz w:val="24"/>
          <w:szCs w:val="24"/>
        </w:rPr>
        <w:t>“the cost of remedying pollution, environmental degradation, consequent adverse health effects</w:t>
      </w:r>
      <w:r w:rsidR="004420E9" w:rsidRPr="00246437">
        <w:rPr>
          <w:rFonts w:ascii="Arial" w:hAnsi="Arial" w:cs="Arial"/>
          <w:i/>
          <w:sz w:val="24"/>
          <w:szCs w:val="24"/>
        </w:rPr>
        <w:t xml:space="preserve"> and of preventing, controlling or minimising further pollution, </w:t>
      </w:r>
      <w:r w:rsidR="004420E9" w:rsidRPr="00246437">
        <w:rPr>
          <w:rFonts w:ascii="Arial" w:hAnsi="Arial" w:cs="Arial"/>
          <w:i/>
          <w:sz w:val="24"/>
          <w:szCs w:val="24"/>
        </w:rPr>
        <w:lastRenderedPageBreak/>
        <w:t>environmental damage or adverse health effects must be paid by th</w:t>
      </w:r>
      <w:r w:rsidR="00D03145" w:rsidRPr="00246437">
        <w:rPr>
          <w:rFonts w:ascii="Arial" w:hAnsi="Arial" w:cs="Arial"/>
          <w:i/>
          <w:sz w:val="24"/>
          <w:szCs w:val="24"/>
        </w:rPr>
        <w:t>o</w:t>
      </w:r>
      <w:r w:rsidR="004420E9" w:rsidRPr="00246437">
        <w:rPr>
          <w:rFonts w:ascii="Arial" w:hAnsi="Arial" w:cs="Arial"/>
          <w:i/>
          <w:sz w:val="24"/>
          <w:szCs w:val="24"/>
        </w:rPr>
        <w:t>se responsible for harming the environment.”</w:t>
      </w:r>
      <w:r w:rsidR="00EA2F91" w:rsidRPr="00246437">
        <w:rPr>
          <w:rFonts w:ascii="Arial" w:hAnsi="Arial" w:cs="Arial"/>
          <w:i/>
          <w:sz w:val="24"/>
          <w:szCs w:val="24"/>
        </w:rPr>
        <w:t xml:space="preserve">  </w:t>
      </w:r>
    </w:p>
    <w:p w14:paraId="78D35D6D" w14:textId="717735D2" w:rsidR="004420E9" w:rsidRPr="00246437" w:rsidRDefault="00707A6B" w:rsidP="00707A6B">
      <w:pPr>
        <w:tabs>
          <w:tab w:val="left" w:pos="567"/>
        </w:tabs>
        <w:spacing w:after="0" w:line="360" w:lineRule="auto"/>
        <w:ind w:left="2160" w:hanging="2160"/>
        <w:jc w:val="both"/>
        <w:rPr>
          <w:rFonts w:ascii="Arial" w:hAnsi="Arial" w:cs="Arial"/>
          <w:sz w:val="24"/>
          <w:szCs w:val="24"/>
        </w:rPr>
      </w:pPr>
      <w:r w:rsidRPr="00246437">
        <w:rPr>
          <w:rFonts w:ascii="Arial" w:hAnsi="Arial" w:cs="Arial"/>
          <w:sz w:val="24"/>
          <w:szCs w:val="24"/>
        </w:rPr>
        <w:tab/>
      </w:r>
      <w:r w:rsidRPr="00246437">
        <w:rPr>
          <w:rFonts w:ascii="Arial" w:hAnsi="Arial" w:cs="Arial"/>
          <w:sz w:val="24"/>
          <w:szCs w:val="24"/>
        </w:rPr>
        <w:tab/>
      </w:r>
      <w:r w:rsidR="000B6F90" w:rsidRPr="00246437">
        <w:rPr>
          <w:rFonts w:ascii="Arial" w:hAnsi="Arial" w:cs="Arial"/>
          <w:sz w:val="24"/>
          <w:szCs w:val="24"/>
        </w:rPr>
        <w:t>and</w:t>
      </w:r>
    </w:p>
    <w:p w14:paraId="79C7A8B4" w14:textId="77777777" w:rsidR="001D7610" w:rsidRPr="00246437" w:rsidRDefault="004420E9" w:rsidP="004420E9">
      <w:pPr>
        <w:tabs>
          <w:tab w:val="left" w:pos="567"/>
        </w:tabs>
        <w:spacing w:after="0" w:line="360" w:lineRule="auto"/>
        <w:ind w:left="2160" w:hanging="2160"/>
        <w:jc w:val="both"/>
        <w:rPr>
          <w:rFonts w:ascii="Arial" w:hAnsi="Arial" w:cs="Arial"/>
          <w:sz w:val="24"/>
          <w:szCs w:val="24"/>
        </w:rPr>
      </w:pPr>
      <w:r w:rsidRPr="00246437">
        <w:rPr>
          <w:rFonts w:ascii="Arial" w:hAnsi="Arial" w:cs="Arial"/>
          <w:sz w:val="24"/>
          <w:szCs w:val="24"/>
        </w:rPr>
        <w:tab/>
      </w:r>
      <w:r w:rsidRPr="00246437">
        <w:rPr>
          <w:rFonts w:ascii="Arial" w:hAnsi="Arial" w:cs="Arial"/>
          <w:sz w:val="24"/>
          <w:szCs w:val="24"/>
        </w:rPr>
        <w:tab/>
      </w:r>
    </w:p>
    <w:p w14:paraId="26E35950" w14:textId="5259E2A7" w:rsidR="001D7610" w:rsidRDefault="001D7610" w:rsidP="004420E9">
      <w:pPr>
        <w:tabs>
          <w:tab w:val="left" w:pos="567"/>
        </w:tabs>
        <w:spacing w:after="0" w:line="360" w:lineRule="auto"/>
        <w:ind w:left="2160" w:hanging="2160"/>
        <w:jc w:val="both"/>
        <w:rPr>
          <w:rFonts w:ascii="Arial" w:hAnsi="Arial" w:cs="Arial"/>
          <w:sz w:val="24"/>
          <w:szCs w:val="24"/>
        </w:rPr>
      </w:pPr>
      <w:r w:rsidRPr="00246437">
        <w:rPr>
          <w:rFonts w:ascii="Arial" w:hAnsi="Arial" w:cs="Arial"/>
          <w:sz w:val="24"/>
          <w:szCs w:val="24"/>
        </w:rPr>
        <w:tab/>
      </w:r>
      <w:r w:rsidRPr="00246437">
        <w:rPr>
          <w:rFonts w:ascii="Arial" w:hAnsi="Arial" w:cs="Arial"/>
          <w:sz w:val="24"/>
          <w:szCs w:val="24"/>
        </w:rPr>
        <w:tab/>
      </w:r>
      <w:r w:rsidR="004420E9" w:rsidRPr="00246437">
        <w:rPr>
          <w:rFonts w:ascii="Arial" w:hAnsi="Arial" w:cs="Arial"/>
          <w:sz w:val="24"/>
          <w:szCs w:val="24"/>
        </w:rPr>
        <w:t xml:space="preserve">Section </w:t>
      </w:r>
      <w:r w:rsidR="004420E9" w:rsidRPr="00571BC3">
        <w:rPr>
          <w:rFonts w:ascii="Arial" w:hAnsi="Arial" w:cs="Arial"/>
          <w:b/>
          <w:sz w:val="24"/>
          <w:szCs w:val="24"/>
        </w:rPr>
        <w:t>2</w:t>
      </w:r>
      <w:r w:rsidR="000B6F90" w:rsidRPr="00571BC3">
        <w:rPr>
          <w:rFonts w:ascii="Arial" w:hAnsi="Arial" w:cs="Arial"/>
          <w:b/>
          <w:sz w:val="24"/>
          <w:szCs w:val="24"/>
        </w:rPr>
        <w:t>8 (1)</w:t>
      </w:r>
      <w:r w:rsidR="004420E9" w:rsidRPr="00571BC3">
        <w:rPr>
          <w:rFonts w:ascii="Arial" w:hAnsi="Arial" w:cs="Arial"/>
          <w:b/>
          <w:sz w:val="24"/>
          <w:szCs w:val="24"/>
        </w:rPr>
        <w:t xml:space="preserve"> of N</w:t>
      </w:r>
      <w:r w:rsidR="000B6F90" w:rsidRPr="00571BC3">
        <w:rPr>
          <w:rFonts w:ascii="Arial" w:hAnsi="Arial" w:cs="Arial"/>
          <w:b/>
          <w:sz w:val="24"/>
          <w:szCs w:val="24"/>
        </w:rPr>
        <w:t>EMA</w:t>
      </w:r>
      <w:r w:rsidR="004420E9" w:rsidRPr="00246437">
        <w:rPr>
          <w:rFonts w:ascii="Arial" w:hAnsi="Arial" w:cs="Arial"/>
          <w:sz w:val="24"/>
          <w:szCs w:val="24"/>
        </w:rPr>
        <w:t xml:space="preserve"> requires that </w:t>
      </w:r>
      <w:r w:rsidR="00CD6A6E" w:rsidRPr="00246437">
        <w:rPr>
          <w:rFonts w:ascii="Arial" w:hAnsi="Arial" w:cs="Arial"/>
          <w:sz w:val="24"/>
          <w:szCs w:val="24"/>
        </w:rPr>
        <w:t>“</w:t>
      </w:r>
      <w:r w:rsidR="00BC412A" w:rsidRPr="004D6B72">
        <w:rPr>
          <w:rFonts w:ascii="Arial" w:hAnsi="Arial" w:cs="Arial"/>
          <w:i/>
          <w:sz w:val="24"/>
          <w:szCs w:val="24"/>
        </w:rPr>
        <w:t xml:space="preserve">Every person </w:t>
      </w:r>
      <w:r w:rsidR="004420E9" w:rsidRPr="004D6B72">
        <w:rPr>
          <w:rFonts w:ascii="Arial" w:hAnsi="Arial" w:cs="Arial"/>
          <w:i/>
          <w:sz w:val="24"/>
          <w:szCs w:val="24"/>
        </w:rPr>
        <w:t>who causes, has caused or may cause significant pollution or degradation of the environment must take reasonable measures to prevent such pollution</w:t>
      </w:r>
      <w:r w:rsidR="00EA2F91" w:rsidRPr="004D6B72">
        <w:rPr>
          <w:rFonts w:ascii="Arial" w:hAnsi="Arial" w:cs="Arial"/>
          <w:i/>
          <w:sz w:val="24"/>
          <w:szCs w:val="24"/>
        </w:rPr>
        <w:t xml:space="preserve"> </w:t>
      </w:r>
      <w:r w:rsidR="000B6F90" w:rsidRPr="004D6B72">
        <w:rPr>
          <w:rFonts w:ascii="Arial" w:hAnsi="Arial" w:cs="Arial"/>
          <w:i/>
          <w:sz w:val="24"/>
          <w:szCs w:val="24"/>
        </w:rPr>
        <w:t>or degradation from occurring, continuing or recurring or, in so far as it is authorised by law or cannot reasonably be avoided or stopped, to minimise and rectify such pollution</w:t>
      </w:r>
      <w:r w:rsidR="00CD6A6E" w:rsidRPr="004D6B72">
        <w:rPr>
          <w:rFonts w:ascii="Arial" w:hAnsi="Arial" w:cs="Arial"/>
          <w:i/>
          <w:sz w:val="24"/>
          <w:szCs w:val="24"/>
        </w:rPr>
        <w:t>,</w:t>
      </w:r>
      <w:r w:rsidR="000B6F90" w:rsidRPr="004D6B72">
        <w:rPr>
          <w:rFonts w:ascii="Arial" w:hAnsi="Arial" w:cs="Arial"/>
          <w:i/>
          <w:sz w:val="24"/>
          <w:szCs w:val="24"/>
        </w:rPr>
        <w:t xml:space="preserve"> degradation of the environment</w:t>
      </w:r>
      <w:r w:rsidR="00CD6A6E" w:rsidRPr="004D6B72">
        <w:rPr>
          <w:rFonts w:ascii="Arial" w:hAnsi="Arial" w:cs="Arial"/>
          <w:i/>
          <w:sz w:val="24"/>
          <w:szCs w:val="24"/>
        </w:rPr>
        <w:t>.</w:t>
      </w:r>
      <w:r w:rsidR="00E06556">
        <w:rPr>
          <w:rFonts w:ascii="Arial" w:hAnsi="Arial" w:cs="Arial"/>
          <w:i/>
          <w:sz w:val="24"/>
          <w:szCs w:val="24"/>
        </w:rPr>
        <w:t>”</w:t>
      </w:r>
    </w:p>
    <w:p w14:paraId="2BEB2CAF" w14:textId="53A5C3B9" w:rsidR="005B201D" w:rsidRDefault="005B201D" w:rsidP="004420E9">
      <w:pPr>
        <w:tabs>
          <w:tab w:val="left" w:pos="567"/>
        </w:tabs>
        <w:spacing w:after="0" w:line="360" w:lineRule="auto"/>
        <w:ind w:left="2160" w:hanging="2160"/>
        <w:jc w:val="both"/>
        <w:rPr>
          <w:rFonts w:ascii="Arial" w:hAnsi="Arial" w:cs="Arial"/>
          <w:sz w:val="24"/>
          <w:szCs w:val="24"/>
        </w:rPr>
      </w:pPr>
    </w:p>
    <w:p w14:paraId="24E4D26E" w14:textId="067E60B2" w:rsidR="00571BC3" w:rsidRPr="00E06556" w:rsidRDefault="005B201D" w:rsidP="004420E9">
      <w:pPr>
        <w:tabs>
          <w:tab w:val="left" w:pos="567"/>
        </w:tabs>
        <w:spacing w:after="0" w:line="360" w:lineRule="auto"/>
        <w:ind w:left="2160" w:hanging="2160"/>
        <w:jc w:val="both"/>
        <w:rPr>
          <w:rFonts w:ascii="Arial" w:hAnsi="Arial" w:cs="Arial"/>
          <w:i/>
          <w:sz w:val="24"/>
          <w:szCs w:val="24"/>
        </w:rPr>
      </w:pPr>
      <w:r>
        <w:rPr>
          <w:rFonts w:ascii="Arial" w:hAnsi="Arial" w:cs="Arial"/>
          <w:sz w:val="24"/>
          <w:szCs w:val="24"/>
        </w:rPr>
        <w:tab/>
      </w:r>
      <w:r>
        <w:rPr>
          <w:rFonts w:ascii="Arial" w:hAnsi="Arial" w:cs="Arial"/>
          <w:sz w:val="24"/>
          <w:szCs w:val="24"/>
        </w:rPr>
        <w:tab/>
        <w:t xml:space="preserve">Section </w:t>
      </w:r>
      <w:r w:rsidRPr="004D6B72">
        <w:rPr>
          <w:rFonts w:ascii="Arial" w:hAnsi="Arial" w:cs="Arial"/>
          <w:sz w:val="24"/>
          <w:szCs w:val="24"/>
        </w:rPr>
        <w:t>28 (1A)</w:t>
      </w:r>
      <w:r w:rsidR="00571BC3" w:rsidRPr="004D6B72">
        <w:rPr>
          <w:rFonts w:ascii="Arial" w:hAnsi="Arial" w:cs="Arial"/>
          <w:sz w:val="24"/>
          <w:szCs w:val="24"/>
        </w:rPr>
        <w:t xml:space="preserve"> on a</w:t>
      </w:r>
      <w:r w:rsidR="004D6B72" w:rsidRPr="004D6B72">
        <w:rPr>
          <w:rFonts w:ascii="Arial" w:hAnsi="Arial" w:cs="Arial"/>
          <w:sz w:val="24"/>
          <w:szCs w:val="24"/>
        </w:rPr>
        <w:t xml:space="preserve"> </w:t>
      </w:r>
      <w:r w:rsidR="00571BC3" w:rsidRPr="004D6B72">
        <w:rPr>
          <w:rFonts w:ascii="Arial" w:hAnsi="Arial" w:cs="Arial"/>
          <w:sz w:val="24"/>
          <w:szCs w:val="24"/>
        </w:rPr>
        <w:t>retention of liability states that</w:t>
      </w:r>
      <w:r>
        <w:rPr>
          <w:rFonts w:ascii="Arial" w:hAnsi="Arial" w:cs="Arial"/>
          <w:sz w:val="24"/>
          <w:szCs w:val="24"/>
        </w:rPr>
        <w:t xml:space="preserve">: Subsection </w:t>
      </w:r>
      <w:r w:rsidR="00571BC3">
        <w:rPr>
          <w:rFonts w:ascii="Arial" w:hAnsi="Arial" w:cs="Arial"/>
          <w:sz w:val="24"/>
          <w:szCs w:val="24"/>
        </w:rPr>
        <w:t xml:space="preserve">(1) </w:t>
      </w:r>
      <w:r w:rsidRPr="00E06556">
        <w:rPr>
          <w:rFonts w:ascii="Arial" w:hAnsi="Arial" w:cs="Arial"/>
          <w:i/>
          <w:sz w:val="24"/>
          <w:szCs w:val="24"/>
        </w:rPr>
        <w:t xml:space="preserve">also applies to a significant </w:t>
      </w:r>
      <w:r w:rsidR="00A11ABD" w:rsidRPr="00E06556">
        <w:rPr>
          <w:rFonts w:ascii="Arial" w:hAnsi="Arial" w:cs="Arial"/>
          <w:i/>
          <w:sz w:val="24"/>
          <w:szCs w:val="24"/>
        </w:rPr>
        <w:t>p</w:t>
      </w:r>
      <w:r w:rsidRPr="00E06556">
        <w:rPr>
          <w:rFonts w:ascii="Arial" w:hAnsi="Arial" w:cs="Arial"/>
          <w:i/>
          <w:sz w:val="24"/>
          <w:szCs w:val="24"/>
        </w:rPr>
        <w:t xml:space="preserve">ollution or degradation that; </w:t>
      </w:r>
    </w:p>
    <w:p w14:paraId="7A818852" w14:textId="77777777" w:rsidR="00571BC3" w:rsidRPr="00E06556" w:rsidRDefault="00571BC3" w:rsidP="004420E9">
      <w:pPr>
        <w:tabs>
          <w:tab w:val="left" w:pos="567"/>
        </w:tabs>
        <w:spacing w:after="0" w:line="360" w:lineRule="auto"/>
        <w:ind w:left="2160" w:hanging="2160"/>
        <w:jc w:val="both"/>
        <w:rPr>
          <w:rFonts w:ascii="Arial" w:hAnsi="Arial" w:cs="Arial"/>
          <w:i/>
          <w:sz w:val="24"/>
          <w:szCs w:val="24"/>
        </w:rPr>
      </w:pPr>
      <w:r w:rsidRPr="00E06556">
        <w:rPr>
          <w:rFonts w:ascii="Arial" w:hAnsi="Arial" w:cs="Arial"/>
          <w:i/>
          <w:sz w:val="24"/>
          <w:szCs w:val="24"/>
        </w:rPr>
        <w:tab/>
      </w:r>
      <w:r w:rsidRPr="00E06556">
        <w:rPr>
          <w:rFonts w:ascii="Arial" w:hAnsi="Arial" w:cs="Arial"/>
          <w:i/>
          <w:sz w:val="24"/>
          <w:szCs w:val="24"/>
        </w:rPr>
        <w:tab/>
      </w:r>
      <w:r w:rsidR="005B201D" w:rsidRPr="00E06556">
        <w:rPr>
          <w:rFonts w:ascii="Arial" w:hAnsi="Arial" w:cs="Arial"/>
          <w:i/>
          <w:sz w:val="24"/>
          <w:szCs w:val="24"/>
        </w:rPr>
        <w:t>(</w:t>
      </w:r>
      <w:r w:rsidR="00A11ABD" w:rsidRPr="00E06556">
        <w:rPr>
          <w:rFonts w:ascii="Arial" w:hAnsi="Arial" w:cs="Arial"/>
          <w:i/>
          <w:sz w:val="24"/>
          <w:szCs w:val="24"/>
        </w:rPr>
        <w:t>a</w:t>
      </w:r>
      <w:r w:rsidR="005B201D" w:rsidRPr="00E06556">
        <w:rPr>
          <w:rFonts w:ascii="Arial" w:hAnsi="Arial" w:cs="Arial"/>
          <w:i/>
          <w:sz w:val="24"/>
          <w:szCs w:val="24"/>
        </w:rPr>
        <w:t>)</w:t>
      </w:r>
      <w:r w:rsidR="00A11ABD" w:rsidRPr="00E06556">
        <w:rPr>
          <w:rFonts w:ascii="Arial" w:hAnsi="Arial" w:cs="Arial"/>
          <w:i/>
          <w:sz w:val="24"/>
          <w:szCs w:val="24"/>
        </w:rPr>
        <w:t xml:space="preserve"> </w:t>
      </w:r>
      <w:r w:rsidR="005B201D" w:rsidRPr="00E06556">
        <w:rPr>
          <w:rFonts w:ascii="Arial" w:hAnsi="Arial" w:cs="Arial"/>
          <w:i/>
          <w:sz w:val="24"/>
          <w:szCs w:val="24"/>
        </w:rPr>
        <w:t>occurred before the commencement of this Act</w:t>
      </w:r>
      <w:r w:rsidR="00A11ABD" w:rsidRPr="00E06556">
        <w:rPr>
          <w:rFonts w:ascii="Arial" w:hAnsi="Arial" w:cs="Arial"/>
          <w:i/>
          <w:sz w:val="24"/>
          <w:szCs w:val="24"/>
        </w:rPr>
        <w:t xml:space="preserve">; </w:t>
      </w:r>
    </w:p>
    <w:p w14:paraId="05E05729" w14:textId="77777777" w:rsidR="00571BC3" w:rsidRPr="00E06556" w:rsidRDefault="00571BC3" w:rsidP="004420E9">
      <w:pPr>
        <w:tabs>
          <w:tab w:val="left" w:pos="567"/>
        </w:tabs>
        <w:spacing w:after="0" w:line="360" w:lineRule="auto"/>
        <w:ind w:left="2160" w:hanging="2160"/>
        <w:jc w:val="both"/>
        <w:rPr>
          <w:rFonts w:ascii="Arial" w:hAnsi="Arial" w:cs="Arial"/>
          <w:i/>
          <w:sz w:val="24"/>
          <w:szCs w:val="24"/>
        </w:rPr>
      </w:pPr>
      <w:r w:rsidRPr="00E06556">
        <w:rPr>
          <w:rFonts w:ascii="Arial" w:hAnsi="Arial" w:cs="Arial"/>
          <w:i/>
          <w:sz w:val="24"/>
          <w:szCs w:val="24"/>
        </w:rPr>
        <w:tab/>
      </w:r>
      <w:r w:rsidRPr="00E06556">
        <w:rPr>
          <w:rFonts w:ascii="Arial" w:hAnsi="Arial" w:cs="Arial"/>
          <w:i/>
          <w:sz w:val="24"/>
          <w:szCs w:val="24"/>
        </w:rPr>
        <w:tab/>
      </w:r>
      <w:r w:rsidR="00A11ABD" w:rsidRPr="00E06556">
        <w:rPr>
          <w:rFonts w:ascii="Arial" w:hAnsi="Arial" w:cs="Arial"/>
          <w:i/>
          <w:sz w:val="24"/>
          <w:szCs w:val="24"/>
        </w:rPr>
        <w:t xml:space="preserve">(b) </w:t>
      </w:r>
      <w:r w:rsidR="005B201D" w:rsidRPr="00E06556">
        <w:rPr>
          <w:rFonts w:ascii="Arial" w:hAnsi="Arial" w:cs="Arial"/>
          <w:i/>
          <w:sz w:val="24"/>
          <w:szCs w:val="24"/>
        </w:rPr>
        <w:t>ar</w:t>
      </w:r>
      <w:r w:rsidR="00A11ABD" w:rsidRPr="00E06556">
        <w:rPr>
          <w:rFonts w:ascii="Arial" w:hAnsi="Arial" w:cs="Arial"/>
          <w:i/>
          <w:sz w:val="24"/>
          <w:szCs w:val="24"/>
        </w:rPr>
        <w:t>i</w:t>
      </w:r>
      <w:r w:rsidR="005B201D" w:rsidRPr="00E06556">
        <w:rPr>
          <w:rFonts w:ascii="Arial" w:hAnsi="Arial" w:cs="Arial"/>
          <w:i/>
          <w:sz w:val="24"/>
          <w:szCs w:val="24"/>
        </w:rPr>
        <w:t>se</w:t>
      </w:r>
      <w:r w:rsidR="00A11ABD" w:rsidRPr="00E06556">
        <w:rPr>
          <w:rFonts w:ascii="Arial" w:hAnsi="Arial" w:cs="Arial"/>
          <w:i/>
          <w:sz w:val="24"/>
          <w:szCs w:val="24"/>
        </w:rPr>
        <w:t>s</w:t>
      </w:r>
      <w:r w:rsidR="005B201D" w:rsidRPr="00E06556">
        <w:rPr>
          <w:rFonts w:ascii="Arial" w:hAnsi="Arial" w:cs="Arial"/>
          <w:i/>
          <w:sz w:val="24"/>
          <w:szCs w:val="24"/>
        </w:rPr>
        <w:t xml:space="preserve"> or is likely to arise at a different time from the actual activity that caused the contamination; </w:t>
      </w:r>
    </w:p>
    <w:p w14:paraId="19528446" w14:textId="40ACD08A" w:rsidR="005B201D" w:rsidRPr="00E06556" w:rsidRDefault="00571BC3" w:rsidP="004420E9">
      <w:pPr>
        <w:tabs>
          <w:tab w:val="left" w:pos="567"/>
        </w:tabs>
        <w:spacing w:after="0" w:line="360" w:lineRule="auto"/>
        <w:ind w:left="2160" w:hanging="2160"/>
        <w:jc w:val="both"/>
        <w:rPr>
          <w:rFonts w:ascii="Arial" w:hAnsi="Arial" w:cs="Arial"/>
          <w:i/>
          <w:sz w:val="24"/>
          <w:szCs w:val="24"/>
        </w:rPr>
      </w:pPr>
      <w:r w:rsidRPr="00E06556">
        <w:rPr>
          <w:rFonts w:ascii="Arial" w:hAnsi="Arial" w:cs="Arial"/>
          <w:i/>
          <w:sz w:val="24"/>
          <w:szCs w:val="24"/>
        </w:rPr>
        <w:tab/>
      </w:r>
      <w:r w:rsidRPr="00E06556">
        <w:rPr>
          <w:rFonts w:ascii="Arial" w:hAnsi="Arial" w:cs="Arial"/>
          <w:i/>
          <w:sz w:val="24"/>
          <w:szCs w:val="24"/>
        </w:rPr>
        <w:tab/>
      </w:r>
      <w:r w:rsidR="005B201D" w:rsidRPr="00E06556">
        <w:rPr>
          <w:rFonts w:ascii="Arial" w:hAnsi="Arial" w:cs="Arial"/>
          <w:i/>
          <w:sz w:val="24"/>
          <w:szCs w:val="24"/>
        </w:rPr>
        <w:t xml:space="preserve">(c) or arises through an activity </w:t>
      </w:r>
      <w:r w:rsidR="00A11ABD" w:rsidRPr="00E06556">
        <w:rPr>
          <w:rFonts w:ascii="Arial" w:hAnsi="Arial" w:cs="Arial"/>
          <w:i/>
          <w:sz w:val="24"/>
          <w:szCs w:val="24"/>
        </w:rPr>
        <w:t>of a person that results in a change to pre-existing contamination (</w:t>
      </w:r>
      <w:r w:rsidR="00A92FAD" w:rsidRPr="00E06556">
        <w:rPr>
          <w:rFonts w:ascii="Arial" w:hAnsi="Arial" w:cs="Arial"/>
          <w:i/>
          <w:sz w:val="24"/>
          <w:szCs w:val="24"/>
        </w:rPr>
        <w:t xml:space="preserve">subsection (1A) inserted by s 12 (a) of Act 14 of 2009 </w:t>
      </w:r>
      <w:r w:rsidR="00A11ABD" w:rsidRPr="00E06556">
        <w:rPr>
          <w:rFonts w:ascii="Arial" w:hAnsi="Arial" w:cs="Arial"/>
          <w:i/>
          <w:sz w:val="24"/>
          <w:szCs w:val="24"/>
        </w:rPr>
        <w:t xml:space="preserve">with effect from </w:t>
      </w:r>
      <w:r w:rsidR="00A92FAD" w:rsidRPr="00E06556">
        <w:rPr>
          <w:rFonts w:ascii="Arial" w:hAnsi="Arial" w:cs="Arial"/>
          <w:i/>
          <w:sz w:val="24"/>
          <w:szCs w:val="24"/>
        </w:rPr>
        <w:t xml:space="preserve">18 </w:t>
      </w:r>
      <w:r w:rsidR="00A11ABD" w:rsidRPr="00E06556">
        <w:rPr>
          <w:rFonts w:ascii="Arial" w:hAnsi="Arial" w:cs="Arial"/>
          <w:i/>
          <w:sz w:val="24"/>
          <w:szCs w:val="24"/>
        </w:rPr>
        <w:t>September 2009</w:t>
      </w:r>
      <w:r w:rsidR="005B201D" w:rsidRPr="00E06556">
        <w:rPr>
          <w:rFonts w:ascii="Arial" w:hAnsi="Arial" w:cs="Arial"/>
          <w:i/>
          <w:sz w:val="24"/>
          <w:szCs w:val="24"/>
        </w:rPr>
        <w:tab/>
      </w:r>
      <w:r w:rsidR="005B201D" w:rsidRPr="00E06556">
        <w:rPr>
          <w:rFonts w:ascii="Arial" w:hAnsi="Arial" w:cs="Arial"/>
          <w:i/>
          <w:sz w:val="24"/>
          <w:szCs w:val="24"/>
        </w:rPr>
        <w:tab/>
      </w:r>
    </w:p>
    <w:p w14:paraId="748B7554" w14:textId="77777777" w:rsidR="001D7610" w:rsidRDefault="00CD6A6E"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 xml:space="preserve">  </w:t>
      </w:r>
    </w:p>
    <w:p w14:paraId="7065E4A3" w14:textId="128B17C4" w:rsidR="00F61FBC" w:rsidRDefault="001D7610"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w:t>
      </w:r>
      <w:r w:rsidR="002F52A1">
        <w:rPr>
          <w:rFonts w:ascii="Arial" w:hAnsi="Arial" w:cs="Arial"/>
          <w:sz w:val="24"/>
          <w:szCs w:val="24"/>
        </w:rPr>
        <w:t>5</w:t>
      </w:r>
      <w:r w:rsidR="000D4DEB">
        <w:rPr>
          <w:rFonts w:ascii="Arial" w:hAnsi="Arial" w:cs="Arial"/>
          <w:sz w:val="24"/>
          <w:szCs w:val="24"/>
        </w:rPr>
        <w:t>5</w:t>
      </w:r>
      <w:r>
        <w:rPr>
          <w:rFonts w:ascii="Arial" w:hAnsi="Arial" w:cs="Arial"/>
          <w:sz w:val="24"/>
          <w:szCs w:val="24"/>
        </w:rPr>
        <w:t>.</w:t>
      </w:r>
      <w:r w:rsidR="000D4DEB">
        <w:rPr>
          <w:rFonts w:ascii="Arial" w:hAnsi="Arial" w:cs="Arial"/>
          <w:sz w:val="24"/>
          <w:szCs w:val="24"/>
        </w:rPr>
        <w:t>5</w:t>
      </w:r>
      <w:r>
        <w:rPr>
          <w:rFonts w:ascii="Arial" w:hAnsi="Arial" w:cs="Arial"/>
          <w:sz w:val="24"/>
          <w:szCs w:val="24"/>
        </w:rPr>
        <w:t>]</w:t>
      </w:r>
      <w:r>
        <w:rPr>
          <w:rFonts w:ascii="Arial" w:hAnsi="Arial" w:cs="Arial"/>
          <w:sz w:val="24"/>
          <w:szCs w:val="24"/>
        </w:rPr>
        <w:tab/>
      </w:r>
      <w:r w:rsidR="00CD6A6E">
        <w:rPr>
          <w:rFonts w:ascii="Arial" w:hAnsi="Arial" w:cs="Arial"/>
          <w:sz w:val="24"/>
          <w:szCs w:val="24"/>
        </w:rPr>
        <w:t xml:space="preserve">DBCM is therefore retrospectively liable for the environmental degradation or harm that happened to the Oaks Mine properties even before the commencement of NEMA. </w:t>
      </w:r>
      <w:r w:rsidR="0031509E">
        <w:rPr>
          <w:rFonts w:ascii="Arial" w:hAnsi="Arial" w:cs="Arial"/>
          <w:sz w:val="24"/>
          <w:szCs w:val="24"/>
        </w:rPr>
        <w:t>The law is clear that DBCM obligated to backfill the open pit and its responsibility is clear</w:t>
      </w:r>
      <w:r w:rsidR="00D03145">
        <w:rPr>
          <w:rFonts w:ascii="Arial" w:hAnsi="Arial" w:cs="Arial"/>
          <w:sz w:val="24"/>
          <w:szCs w:val="24"/>
        </w:rPr>
        <w:t>.</w:t>
      </w:r>
    </w:p>
    <w:p w14:paraId="197FB47A" w14:textId="77777777" w:rsidR="0031509E" w:rsidRDefault="000B6F90"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9E43C30" w14:textId="08485E5A" w:rsidR="001D7610" w:rsidRDefault="001D7610"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0B6F90">
        <w:rPr>
          <w:rFonts w:ascii="Arial" w:hAnsi="Arial" w:cs="Arial"/>
          <w:sz w:val="24"/>
          <w:szCs w:val="24"/>
        </w:rPr>
        <w:t>[</w:t>
      </w:r>
      <w:r w:rsidR="00A24862">
        <w:rPr>
          <w:rFonts w:ascii="Arial" w:hAnsi="Arial" w:cs="Arial"/>
          <w:sz w:val="24"/>
          <w:szCs w:val="24"/>
        </w:rPr>
        <w:t>5</w:t>
      </w:r>
      <w:r w:rsidR="000D4DEB">
        <w:rPr>
          <w:rFonts w:ascii="Arial" w:hAnsi="Arial" w:cs="Arial"/>
          <w:sz w:val="24"/>
          <w:szCs w:val="24"/>
        </w:rPr>
        <w:t>5</w:t>
      </w:r>
      <w:r w:rsidR="000B6F90">
        <w:rPr>
          <w:rFonts w:ascii="Arial" w:hAnsi="Arial" w:cs="Arial"/>
          <w:sz w:val="24"/>
          <w:szCs w:val="24"/>
        </w:rPr>
        <w:t>.</w:t>
      </w:r>
      <w:r w:rsidR="000D4DEB">
        <w:rPr>
          <w:rFonts w:ascii="Arial" w:hAnsi="Arial" w:cs="Arial"/>
          <w:sz w:val="24"/>
          <w:szCs w:val="24"/>
        </w:rPr>
        <w:t>6</w:t>
      </w:r>
      <w:r w:rsidR="000B6F90">
        <w:rPr>
          <w:rFonts w:ascii="Arial" w:hAnsi="Arial" w:cs="Arial"/>
          <w:sz w:val="24"/>
          <w:szCs w:val="24"/>
        </w:rPr>
        <w:t>]</w:t>
      </w:r>
      <w:r>
        <w:rPr>
          <w:rFonts w:ascii="Arial" w:hAnsi="Arial" w:cs="Arial"/>
          <w:sz w:val="24"/>
          <w:szCs w:val="24"/>
        </w:rPr>
        <w:tab/>
        <w:t>Furthermore</w:t>
      </w:r>
      <w:r w:rsidR="003C57F5">
        <w:rPr>
          <w:rFonts w:ascii="Arial" w:hAnsi="Arial" w:cs="Arial"/>
          <w:sz w:val="24"/>
          <w:szCs w:val="24"/>
        </w:rPr>
        <w:t>,</w:t>
      </w:r>
      <w:r>
        <w:rPr>
          <w:rFonts w:ascii="Arial" w:hAnsi="Arial" w:cs="Arial"/>
          <w:sz w:val="24"/>
          <w:szCs w:val="24"/>
        </w:rPr>
        <w:t xml:space="preserve"> the Respondents refer to the following section of NEMA to substantiate the fact of being the responsibility of DBCM to ameliorate the impact of mining on the environment:</w:t>
      </w:r>
    </w:p>
    <w:p w14:paraId="632AA128" w14:textId="77777777" w:rsidR="001D7610" w:rsidRDefault="001D7610"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33D36AF" w14:textId="6959C853" w:rsidR="000B6F90" w:rsidRPr="0031509E" w:rsidRDefault="001D7610"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sidR="00A24862">
        <w:rPr>
          <w:rFonts w:ascii="Arial" w:hAnsi="Arial" w:cs="Arial"/>
          <w:sz w:val="24"/>
          <w:szCs w:val="24"/>
        </w:rPr>
        <w:tab/>
        <w:t>[5</w:t>
      </w:r>
      <w:r w:rsidR="000D4DEB">
        <w:rPr>
          <w:rFonts w:ascii="Arial" w:hAnsi="Arial" w:cs="Arial"/>
          <w:sz w:val="24"/>
          <w:szCs w:val="24"/>
        </w:rPr>
        <w:t>5.6</w:t>
      </w:r>
      <w:r>
        <w:rPr>
          <w:rFonts w:ascii="Arial" w:hAnsi="Arial" w:cs="Arial"/>
          <w:sz w:val="24"/>
          <w:szCs w:val="24"/>
        </w:rPr>
        <w:t>.1]</w:t>
      </w:r>
      <w:r>
        <w:rPr>
          <w:rFonts w:ascii="Arial" w:hAnsi="Arial" w:cs="Arial"/>
          <w:sz w:val="24"/>
          <w:szCs w:val="24"/>
        </w:rPr>
        <w:tab/>
      </w:r>
      <w:r w:rsidR="0031509E" w:rsidRPr="0031509E">
        <w:rPr>
          <w:rFonts w:ascii="Arial" w:hAnsi="Arial" w:cs="Arial"/>
          <w:noProof/>
          <w:sz w:val="24"/>
          <w:szCs w:val="24"/>
        </w:rPr>
        <w:t xml:space="preserve">s 24 (N) (7) (f) </w:t>
      </w:r>
      <w:r w:rsidR="003C57F5">
        <w:rPr>
          <w:rFonts w:ascii="Arial" w:hAnsi="Arial" w:cs="Arial"/>
          <w:noProof/>
          <w:sz w:val="24"/>
          <w:szCs w:val="24"/>
        </w:rPr>
        <w:t xml:space="preserve">that </w:t>
      </w:r>
      <w:r w:rsidR="0031509E" w:rsidRPr="0031509E">
        <w:rPr>
          <w:rFonts w:ascii="Arial" w:hAnsi="Arial" w:cs="Arial"/>
          <w:noProof/>
          <w:sz w:val="24"/>
          <w:szCs w:val="24"/>
        </w:rPr>
        <w:t xml:space="preserve">states that “ </w:t>
      </w:r>
      <w:r w:rsidR="0031509E" w:rsidRPr="00A24862">
        <w:rPr>
          <w:rFonts w:ascii="Arial" w:hAnsi="Arial" w:cs="Arial"/>
          <w:i/>
          <w:noProof/>
          <w:sz w:val="24"/>
          <w:szCs w:val="24"/>
        </w:rPr>
        <w:t xml:space="preserve">a holder of a permit </w:t>
      </w:r>
      <w:r w:rsidR="00D03145" w:rsidRPr="00A24862">
        <w:rPr>
          <w:rFonts w:ascii="Arial" w:hAnsi="Arial" w:cs="Arial"/>
          <w:i/>
          <w:noProof/>
          <w:sz w:val="24"/>
          <w:szCs w:val="24"/>
        </w:rPr>
        <w:t xml:space="preserve">is </w:t>
      </w:r>
      <w:r w:rsidR="0031509E" w:rsidRPr="00A24862">
        <w:rPr>
          <w:rFonts w:ascii="Arial" w:hAnsi="Arial" w:cs="Arial"/>
          <w:i/>
          <w:noProof/>
          <w:sz w:val="24"/>
          <w:szCs w:val="24"/>
        </w:rPr>
        <w:t>responsible for any environmental damages, pollution, pumping and tr</w:t>
      </w:r>
      <w:r w:rsidR="00D03145" w:rsidRPr="00A24862">
        <w:rPr>
          <w:rFonts w:ascii="Arial" w:hAnsi="Arial" w:cs="Arial"/>
          <w:i/>
          <w:noProof/>
          <w:sz w:val="24"/>
          <w:szCs w:val="24"/>
        </w:rPr>
        <w:t>e</w:t>
      </w:r>
      <w:r w:rsidR="0031509E" w:rsidRPr="00A24862">
        <w:rPr>
          <w:rFonts w:ascii="Arial" w:hAnsi="Arial" w:cs="Arial"/>
          <w:i/>
          <w:noProof/>
          <w:sz w:val="24"/>
          <w:szCs w:val="24"/>
        </w:rPr>
        <w:t xml:space="preserve">atment of polluted or extraneous water or ecological </w:t>
      </w:r>
      <w:r w:rsidR="0031509E" w:rsidRPr="00A24862">
        <w:rPr>
          <w:rFonts w:ascii="Arial" w:hAnsi="Arial" w:cs="Arial"/>
          <w:i/>
          <w:noProof/>
          <w:sz w:val="24"/>
          <w:szCs w:val="24"/>
        </w:rPr>
        <w:lastRenderedPageBreak/>
        <w:t>degradation as a result of his or her operations to which such right, permit or environmental autho</w:t>
      </w:r>
      <w:r w:rsidR="003C57F5" w:rsidRPr="00A24862">
        <w:rPr>
          <w:rFonts w:ascii="Arial" w:hAnsi="Arial" w:cs="Arial"/>
          <w:i/>
          <w:noProof/>
          <w:sz w:val="24"/>
          <w:szCs w:val="24"/>
        </w:rPr>
        <w:t>r</w:t>
      </w:r>
      <w:r w:rsidR="0031509E" w:rsidRPr="00A24862">
        <w:rPr>
          <w:rFonts w:ascii="Arial" w:hAnsi="Arial" w:cs="Arial"/>
          <w:i/>
          <w:noProof/>
          <w:sz w:val="24"/>
          <w:szCs w:val="24"/>
        </w:rPr>
        <w:t>isation relates</w:t>
      </w:r>
      <w:r w:rsidR="0031509E" w:rsidRPr="0031509E">
        <w:rPr>
          <w:rFonts w:ascii="Arial" w:hAnsi="Arial" w:cs="Arial"/>
          <w:noProof/>
          <w:sz w:val="24"/>
          <w:szCs w:val="24"/>
        </w:rPr>
        <w:t xml:space="preserve">.” </w:t>
      </w:r>
      <w:r w:rsidR="000B6F90" w:rsidRPr="0031509E">
        <w:rPr>
          <w:rFonts w:ascii="Arial" w:hAnsi="Arial" w:cs="Arial"/>
          <w:sz w:val="24"/>
          <w:szCs w:val="24"/>
        </w:rPr>
        <w:tab/>
      </w:r>
    </w:p>
    <w:p w14:paraId="0FD6799D" w14:textId="77777777" w:rsidR="0031509E" w:rsidRDefault="0031509E" w:rsidP="0051441B">
      <w:pPr>
        <w:tabs>
          <w:tab w:val="left" w:pos="567"/>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B6666F1" w14:textId="2C85ED7A" w:rsidR="00F61FBC" w:rsidRDefault="0031509E" w:rsidP="00D03145">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00A24862">
        <w:rPr>
          <w:rFonts w:ascii="Arial" w:hAnsi="Arial" w:cs="Arial"/>
          <w:sz w:val="24"/>
          <w:szCs w:val="24"/>
        </w:rPr>
        <w:t>5</w:t>
      </w:r>
      <w:r w:rsidR="000D4DEB">
        <w:rPr>
          <w:rFonts w:ascii="Arial" w:hAnsi="Arial" w:cs="Arial"/>
          <w:sz w:val="24"/>
          <w:szCs w:val="24"/>
        </w:rPr>
        <w:t>5</w:t>
      </w:r>
      <w:r>
        <w:rPr>
          <w:rFonts w:ascii="Arial" w:hAnsi="Arial" w:cs="Arial"/>
          <w:sz w:val="24"/>
          <w:szCs w:val="24"/>
        </w:rPr>
        <w:t>.</w:t>
      </w:r>
      <w:r w:rsidR="000D4DEB">
        <w:rPr>
          <w:rFonts w:ascii="Arial" w:hAnsi="Arial" w:cs="Arial"/>
          <w:sz w:val="24"/>
          <w:szCs w:val="24"/>
        </w:rPr>
        <w:t>6</w:t>
      </w:r>
      <w:r>
        <w:rPr>
          <w:rFonts w:ascii="Arial" w:hAnsi="Arial" w:cs="Arial"/>
          <w:sz w:val="24"/>
          <w:szCs w:val="24"/>
        </w:rPr>
        <w:t>.</w:t>
      </w:r>
      <w:r w:rsidR="001D7610">
        <w:rPr>
          <w:rFonts w:ascii="Arial" w:hAnsi="Arial" w:cs="Arial"/>
          <w:sz w:val="24"/>
          <w:szCs w:val="24"/>
        </w:rPr>
        <w:t>2</w:t>
      </w:r>
      <w:r>
        <w:rPr>
          <w:rFonts w:ascii="Arial" w:hAnsi="Arial" w:cs="Arial"/>
          <w:sz w:val="24"/>
          <w:szCs w:val="24"/>
        </w:rPr>
        <w:t>]</w:t>
      </w:r>
      <w:r>
        <w:rPr>
          <w:rFonts w:ascii="Arial" w:hAnsi="Arial" w:cs="Arial"/>
          <w:sz w:val="24"/>
          <w:szCs w:val="24"/>
        </w:rPr>
        <w:tab/>
      </w:r>
      <w:r w:rsidR="004115E3">
        <w:rPr>
          <w:rFonts w:ascii="Arial" w:hAnsi="Arial" w:cs="Arial"/>
          <w:sz w:val="24"/>
          <w:szCs w:val="24"/>
        </w:rPr>
        <w:t xml:space="preserve">Section </w:t>
      </w:r>
      <w:r w:rsidR="00D03145">
        <w:rPr>
          <w:rFonts w:ascii="Arial" w:hAnsi="Arial" w:cs="Arial"/>
          <w:sz w:val="24"/>
          <w:szCs w:val="24"/>
        </w:rPr>
        <w:t>24 (N) (8) states that “</w:t>
      </w:r>
      <w:r w:rsidR="00D03145" w:rsidRPr="00E06556">
        <w:rPr>
          <w:rFonts w:ascii="Arial" w:hAnsi="Arial" w:cs="Arial"/>
          <w:i/>
          <w:sz w:val="24"/>
          <w:szCs w:val="24"/>
        </w:rPr>
        <w:t xml:space="preserve">notwithstanding the provisions of the South African Companies Act 71 of 2008, the directors of DBCM are jointly and severally liable for any negative impact on the environment whether advertently or inadvertently caused by the company or </w:t>
      </w:r>
      <w:r w:rsidR="004115E3" w:rsidRPr="00E06556">
        <w:rPr>
          <w:rFonts w:ascii="Arial" w:hAnsi="Arial" w:cs="Arial"/>
          <w:i/>
          <w:sz w:val="24"/>
          <w:szCs w:val="24"/>
        </w:rPr>
        <w:t xml:space="preserve">close </w:t>
      </w:r>
      <w:r w:rsidR="00D03145" w:rsidRPr="00E06556">
        <w:rPr>
          <w:rFonts w:ascii="Arial" w:hAnsi="Arial" w:cs="Arial"/>
          <w:i/>
          <w:sz w:val="24"/>
          <w:szCs w:val="24"/>
        </w:rPr>
        <w:t xml:space="preserve">corporation </w:t>
      </w:r>
      <w:r w:rsidR="004115E3" w:rsidRPr="00E06556">
        <w:rPr>
          <w:rFonts w:ascii="Arial" w:hAnsi="Arial" w:cs="Arial"/>
          <w:i/>
          <w:sz w:val="24"/>
          <w:szCs w:val="24"/>
        </w:rPr>
        <w:t xml:space="preserve">that </w:t>
      </w:r>
      <w:r w:rsidR="00D03145" w:rsidRPr="00E06556">
        <w:rPr>
          <w:rFonts w:ascii="Arial" w:hAnsi="Arial" w:cs="Arial"/>
          <w:i/>
          <w:sz w:val="24"/>
          <w:szCs w:val="24"/>
        </w:rPr>
        <w:t xml:space="preserve">they represent </w:t>
      </w:r>
      <w:r w:rsidR="004115E3" w:rsidRPr="00E06556">
        <w:rPr>
          <w:rFonts w:ascii="Arial" w:hAnsi="Arial" w:cs="Arial"/>
          <w:i/>
          <w:sz w:val="24"/>
          <w:szCs w:val="24"/>
        </w:rPr>
        <w:t>including damage, degradation or pollution</w:t>
      </w:r>
      <w:r w:rsidR="004115E3">
        <w:rPr>
          <w:rFonts w:ascii="Arial" w:hAnsi="Arial" w:cs="Arial"/>
          <w:sz w:val="24"/>
          <w:szCs w:val="24"/>
        </w:rPr>
        <w:t xml:space="preserve">.” </w:t>
      </w:r>
    </w:p>
    <w:p w14:paraId="7DD18CD3" w14:textId="0F0A5E33" w:rsidR="00F61FBC" w:rsidRDefault="00F61FBC" w:rsidP="0051441B">
      <w:pPr>
        <w:tabs>
          <w:tab w:val="left" w:pos="567"/>
        </w:tabs>
        <w:spacing w:after="0" w:line="360" w:lineRule="auto"/>
        <w:jc w:val="both"/>
        <w:rPr>
          <w:rFonts w:ascii="Arial" w:hAnsi="Arial" w:cs="Arial"/>
          <w:sz w:val="24"/>
          <w:szCs w:val="24"/>
        </w:rPr>
      </w:pPr>
    </w:p>
    <w:p w14:paraId="49D6EDA1" w14:textId="01981E6E" w:rsidR="00CD6A6E" w:rsidRDefault="004115E3"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00A24862">
        <w:rPr>
          <w:rFonts w:ascii="Arial" w:hAnsi="Arial" w:cs="Arial"/>
          <w:sz w:val="24"/>
          <w:szCs w:val="24"/>
        </w:rPr>
        <w:t>5</w:t>
      </w:r>
      <w:r w:rsidR="000D4DEB">
        <w:rPr>
          <w:rFonts w:ascii="Arial" w:hAnsi="Arial" w:cs="Arial"/>
          <w:sz w:val="24"/>
          <w:szCs w:val="24"/>
        </w:rPr>
        <w:t>5</w:t>
      </w:r>
      <w:r>
        <w:rPr>
          <w:rFonts w:ascii="Arial" w:hAnsi="Arial" w:cs="Arial"/>
          <w:sz w:val="24"/>
          <w:szCs w:val="24"/>
        </w:rPr>
        <w:t>.</w:t>
      </w:r>
      <w:r w:rsidR="000D4DEB">
        <w:rPr>
          <w:rFonts w:ascii="Arial" w:hAnsi="Arial" w:cs="Arial"/>
          <w:sz w:val="24"/>
          <w:szCs w:val="24"/>
        </w:rPr>
        <w:t>6</w:t>
      </w:r>
      <w:r>
        <w:rPr>
          <w:rFonts w:ascii="Arial" w:hAnsi="Arial" w:cs="Arial"/>
          <w:sz w:val="24"/>
          <w:szCs w:val="24"/>
        </w:rPr>
        <w:t>.</w:t>
      </w:r>
      <w:r w:rsidR="001D7610">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Section 38 (1) (d) of the MPRDA </w:t>
      </w:r>
      <w:r w:rsidR="001D7610">
        <w:rPr>
          <w:rFonts w:ascii="Arial" w:hAnsi="Arial" w:cs="Arial"/>
          <w:sz w:val="24"/>
          <w:szCs w:val="24"/>
        </w:rPr>
        <w:t xml:space="preserve">that </w:t>
      </w:r>
      <w:r>
        <w:rPr>
          <w:rFonts w:ascii="Arial" w:hAnsi="Arial" w:cs="Arial"/>
          <w:sz w:val="24"/>
          <w:szCs w:val="24"/>
        </w:rPr>
        <w:t xml:space="preserve">provide that De Beer as the holder of the old order mining right, must as far as it is reasonably practicable, rehabilitate the environment affected by mining operations to its natural or predetermined state or to a land use that conforms to the generally accepted principles of sustainable development. </w:t>
      </w:r>
    </w:p>
    <w:p w14:paraId="0E14B968" w14:textId="450F7429" w:rsidR="00CD6A6E" w:rsidRDefault="00CD6A6E" w:rsidP="004420E9">
      <w:pPr>
        <w:tabs>
          <w:tab w:val="left" w:pos="567"/>
        </w:tabs>
        <w:spacing w:after="0" w:line="360" w:lineRule="auto"/>
        <w:ind w:left="2160" w:hanging="2160"/>
        <w:jc w:val="both"/>
        <w:rPr>
          <w:rFonts w:ascii="Arial" w:hAnsi="Arial" w:cs="Arial"/>
          <w:sz w:val="24"/>
          <w:szCs w:val="24"/>
        </w:rPr>
      </w:pPr>
    </w:p>
    <w:p w14:paraId="7CE834F0" w14:textId="349156CF" w:rsidR="00000662" w:rsidRDefault="001D7610"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00A24862">
        <w:rPr>
          <w:rFonts w:ascii="Arial" w:hAnsi="Arial" w:cs="Arial"/>
          <w:sz w:val="24"/>
          <w:szCs w:val="24"/>
        </w:rPr>
        <w:t>5</w:t>
      </w:r>
      <w:r w:rsidR="000D4DEB">
        <w:rPr>
          <w:rFonts w:ascii="Arial" w:hAnsi="Arial" w:cs="Arial"/>
          <w:sz w:val="24"/>
          <w:szCs w:val="24"/>
        </w:rPr>
        <w:t>5.6</w:t>
      </w:r>
      <w:r>
        <w:rPr>
          <w:rFonts w:ascii="Arial" w:hAnsi="Arial" w:cs="Arial"/>
          <w:sz w:val="24"/>
          <w:szCs w:val="24"/>
        </w:rPr>
        <w:t>.4</w:t>
      </w:r>
      <w:r w:rsidR="00000662">
        <w:rPr>
          <w:rFonts w:ascii="Arial" w:hAnsi="Arial" w:cs="Arial"/>
          <w:sz w:val="24"/>
          <w:szCs w:val="24"/>
        </w:rPr>
        <w:t>]</w:t>
      </w:r>
      <w:r w:rsidR="00000662">
        <w:rPr>
          <w:rFonts w:ascii="Arial" w:hAnsi="Arial" w:cs="Arial"/>
          <w:sz w:val="24"/>
          <w:szCs w:val="24"/>
        </w:rPr>
        <w:tab/>
        <w:t>Section 12 (5) (a) of the NEMAA which came into effect on 01 May 2009 which give the Mineral Resources Minister powers to direct DBCM, the holder of old order rights to upgrade the Oaks Mine, to upgrade the Oaks Mine EMP and to take action and address pollution, adverse ecological degradation</w:t>
      </w:r>
      <w:r w:rsidR="00000662">
        <w:rPr>
          <w:rFonts w:ascii="Arial" w:hAnsi="Arial" w:cs="Arial"/>
          <w:sz w:val="24"/>
          <w:szCs w:val="24"/>
        </w:rPr>
        <w:tab/>
        <w:t xml:space="preserve"> or damage to the environment. </w:t>
      </w:r>
    </w:p>
    <w:p w14:paraId="3BDC5286" w14:textId="50E7F3B3" w:rsidR="00505E96" w:rsidRDefault="00505E96" w:rsidP="004420E9">
      <w:pPr>
        <w:tabs>
          <w:tab w:val="left" w:pos="567"/>
        </w:tabs>
        <w:spacing w:after="0" w:line="360" w:lineRule="auto"/>
        <w:ind w:left="2160" w:hanging="2160"/>
        <w:jc w:val="both"/>
        <w:rPr>
          <w:rFonts w:ascii="Arial" w:hAnsi="Arial" w:cs="Arial"/>
          <w:sz w:val="24"/>
          <w:szCs w:val="24"/>
        </w:rPr>
      </w:pPr>
      <w:r>
        <w:rPr>
          <w:rFonts w:ascii="Arial" w:hAnsi="Arial" w:cs="Arial"/>
          <w:sz w:val="24"/>
          <w:szCs w:val="24"/>
        </w:rPr>
        <w:tab/>
      </w:r>
    </w:p>
    <w:p w14:paraId="6EA8404F" w14:textId="26F04051" w:rsidR="00547E61" w:rsidRDefault="00505E96"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Pr="00A24862">
        <w:rPr>
          <w:rFonts w:ascii="Arial" w:hAnsi="Arial" w:cs="Arial"/>
          <w:sz w:val="24"/>
          <w:szCs w:val="24"/>
        </w:rPr>
        <w:t>[</w:t>
      </w:r>
      <w:r w:rsidR="00A24862" w:rsidRPr="00A24862">
        <w:rPr>
          <w:rFonts w:ascii="Arial" w:hAnsi="Arial" w:cs="Arial"/>
          <w:sz w:val="24"/>
          <w:szCs w:val="24"/>
        </w:rPr>
        <w:t>5</w:t>
      </w:r>
      <w:r w:rsidR="000D4DEB">
        <w:rPr>
          <w:rFonts w:ascii="Arial" w:hAnsi="Arial" w:cs="Arial"/>
          <w:sz w:val="24"/>
          <w:szCs w:val="24"/>
        </w:rPr>
        <w:t>6</w:t>
      </w:r>
      <w:r w:rsidRPr="00A24862">
        <w:rPr>
          <w:rFonts w:ascii="Arial" w:hAnsi="Arial" w:cs="Arial"/>
          <w:sz w:val="24"/>
          <w:szCs w:val="24"/>
        </w:rPr>
        <w:t>]</w:t>
      </w:r>
      <w:r>
        <w:rPr>
          <w:rFonts w:ascii="Arial" w:hAnsi="Arial" w:cs="Arial"/>
          <w:sz w:val="24"/>
          <w:szCs w:val="24"/>
        </w:rPr>
        <w:tab/>
        <w:t xml:space="preserve">The Respondent also argues that a declaratory order </w:t>
      </w:r>
      <w:r w:rsidR="003C57F5">
        <w:rPr>
          <w:rFonts w:ascii="Arial" w:hAnsi="Arial" w:cs="Arial"/>
          <w:sz w:val="24"/>
          <w:szCs w:val="24"/>
        </w:rPr>
        <w:t>on a</w:t>
      </w:r>
      <w:r>
        <w:rPr>
          <w:rFonts w:ascii="Arial" w:hAnsi="Arial" w:cs="Arial"/>
          <w:sz w:val="24"/>
          <w:szCs w:val="24"/>
        </w:rPr>
        <w:t xml:space="preserve"> point taken or raised </w:t>
      </w:r>
      <w:r w:rsidR="003C57F5">
        <w:rPr>
          <w:rFonts w:ascii="Arial" w:hAnsi="Arial" w:cs="Arial"/>
          <w:sz w:val="24"/>
          <w:szCs w:val="24"/>
        </w:rPr>
        <w:t xml:space="preserve">that </w:t>
      </w:r>
      <w:r>
        <w:rPr>
          <w:rFonts w:ascii="Arial" w:hAnsi="Arial" w:cs="Arial"/>
          <w:sz w:val="24"/>
          <w:szCs w:val="24"/>
        </w:rPr>
        <w:t>has already been decided by a competent court</w:t>
      </w:r>
      <w:r w:rsidR="003C57F5">
        <w:rPr>
          <w:rFonts w:ascii="Arial" w:hAnsi="Arial" w:cs="Arial"/>
          <w:sz w:val="24"/>
          <w:szCs w:val="24"/>
        </w:rPr>
        <w:t xml:space="preserve"> cannot be granted</w:t>
      </w:r>
      <w:r>
        <w:rPr>
          <w:rFonts w:ascii="Arial" w:hAnsi="Arial" w:cs="Arial"/>
          <w:sz w:val="24"/>
          <w:szCs w:val="24"/>
        </w:rPr>
        <w:t xml:space="preserve">. Reference is made to a fact that the Supreme Court of Appeal (SCA) has already decided that the directives or instructions already issued by the Regulatory </w:t>
      </w:r>
      <w:r w:rsidR="00F703BD">
        <w:rPr>
          <w:rFonts w:ascii="Arial" w:hAnsi="Arial" w:cs="Arial"/>
          <w:sz w:val="24"/>
          <w:szCs w:val="24"/>
        </w:rPr>
        <w:t xml:space="preserve">State Department </w:t>
      </w:r>
      <w:r w:rsidR="00F703BD" w:rsidRPr="00F703BD">
        <w:rPr>
          <w:rFonts w:ascii="Arial" w:hAnsi="Arial" w:cs="Arial"/>
          <w:i/>
          <w:sz w:val="24"/>
          <w:szCs w:val="24"/>
        </w:rPr>
        <w:t>in casu</w:t>
      </w:r>
      <w:r w:rsidR="00F703BD">
        <w:rPr>
          <w:rFonts w:ascii="Arial" w:hAnsi="Arial" w:cs="Arial"/>
          <w:sz w:val="24"/>
          <w:szCs w:val="24"/>
        </w:rPr>
        <w:t xml:space="preserve"> the DMRE, against the holder of a mining right persists even after the Oaks Mine properties are sold to the game farmer and </w:t>
      </w:r>
      <w:r w:rsidR="002F52A1">
        <w:rPr>
          <w:rFonts w:ascii="Arial" w:hAnsi="Arial" w:cs="Arial"/>
          <w:sz w:val="24"/>
          <w:szCs w:val="24"/>
        </w:rPr>
        <w:t xml:space="preserve">the </w:t>
      </w:r>
      <w:r w:rsidR="00F703BD">
        <w:rPr>
          <w:rFonts w:ascii="Arial" w:hAnsi="Arial" w:cs="Arial"/>
          <w:sz w:val="24"/>
          <w:szCs w:val="24"/>
        </w:rPr>
        <w:t xml:space="preserve">prior owner has lost its connection with the land. </w:t>
      </w:r>
      <w:r w:rsidR="00C47E6B">
        <w:rPr>
          <w:rFonts w:ascii="Arial" w:hAnsi="Arial" w:cs="Arial"/>
          <w:sz w:val="24"/>
          <w:szCs w:val="24"/>
        </w:rPr>
        <w:t>T</w:t>
      </w:r>
      <w:r w:rsidR="00F703BD">
        <w:rPr>
          <w:rFonts w:ascii="Arial" w:hAnsi="Arial" w:cs="Arial"/>
          <w:sz w:val="24"/>
          <w:szCs w:val="24"/>
        </w:rPr>
        <w:t xml:space="preserve">he order for a declaratory order must be refused. </w:t>
      </w:r>
    </w:p>
    <w:p w14:paraId="685EDE84" w14:textId="77777777" w:rsidR="00547E61" w:rsidRDefault="00547E61" w:rsidP="001D7610">
      <w:pPr>
        <w:tabs>
          <w:tab w:val="left" w:pos="567"/>
        </w:tabs>
        <w:spacing w:after="0" w:line="360" w:lineRule="auto"/>
        <w:jc w:val="both"/>
        <w:rPr>
          <w:rFonts w:ascii="Arial" w:hAnsi="Arial" w:cs="Arial"/>
          <w:sz w:val="24"/>
          <w:szCs w:val="24"/>
        </w:rPr>
      </w:pPr>
    </w:p>
    <w:p w14:paraId="538E50C8" w14:textId="18034DA5" w:rsidR="006C02E1" w:rsidRDefault="00547E61"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lastRenderedPageBreak/>
        <w:tab/>
        <w:t>[</w:t>
      </w:r>
      <w:r w:rsidR="000D4DEB">
        <w:rPr>
          <w:rFonts w:ascii="Arial" w:hAnsi="Arial" w:cs="Arial"/>
          <w:sz w:val="24"/>
          <w:szCs w:val="24"/>
        </w:rPr>
        <w:t>57</w:t>
      </w:r>
      <w:r>
        <w:rPr>
          <w:rFonts w:ascii="Arial" w:hAnsi="Arial" w:cs="Arial"/>
          <w:sz w:val="24"/>
          <w:szCs w:val="24"/>
        </w:rPr>
        <w:t>]</w:t>
      </w:r>
      <w:r>
        <w:rPr>
          <w:rFonts w:ascii="Arial" w:hAnsi="Arial" w:cs="Arial"/>
          <w:sz w:val="24"/>
          <w:szCs w:val="24"/>
        </w:rPr>
        <w:tab/>
        <w:t xml:space="preserve">The Respondents also argue that the declaratory order is too wide and purports to bind category of parties not all of whom are before court. A point already raised </w:t>
      </w:r>
      <w:r w:rsidRPr="00547E61">
        <w:rPr>
          <w:rFonts w:ascii="Arial" w:hAnsi="Arial" w:cs="Arial"/>
          <w:i/>
          <w:sz w:val="24"/>
          <w:szCs w:val="24"/>
        </w:rPr>
        <w:t>in limine</w:t>
      </w:r>
      <w:r>
        <w:rPr>
          <w:rFonts w:ascii="Arial" w:hAnsi="Arial" w:cs="Arial"/>
          <w:sz w:val="24"/>
          <w:szCs w:val="24"/>
        </w:rPr>
        <w:t xml:space="preserve">. The order also affects the constitutional mandate of the state regulatory </w:t>
      </w:r>
      <w:r w:rsidR="006C02E1">
        <w:rPr>
          <w:rFonts w:ascii="Arial" w:hAnsi="Arial" w:cs="Arial"/>
          <w:sz w:val="24"/>
          <w:szCs w:val="24"/>
        </w:rPr>
        <w:t xml:space="preserve">departments and rights of other interested and affected parties not joined in the proceedings. </w:t>
      </w:r>
    </w:p>
    <w:p w14:paraId="788D25EB" w14:textId="77777777" w:rsidR="001D7610" w:rsidRDefault="006C02E1" w:rsidP="001D7610">
      <w:pPr>
        <w:tabs>
          <w:tab w:val="left" w:pos="567"/>
        </w:tabs>
        <w:spacing w:after="0" w:line="360" w:lineRule="auto"/>
        <w:jc w:val="both"/>
        <w:rPr>
          <w:rFonts w:ascii="Arial" w:hAnsi="Arial" w:cs="Arial"/>
          <w:sz w:val="24"/>
          <w:szCs w:val="24"/>
        </w:rPr>
      </w:pPr>
      <w:r>
        <w:rPr>
          <w:rFonts w:ascii="Arial" w:hAnsi="Arial" w:cs="Arial"/>
          <w:sz w:val="24"/>
          <w:szCs w:val="24"/>
        </w:rPr>
        <w:tab/>
      </w:r>
    </w:p>
    <w:p w14:paraId="61BD513B" w14:textId="52D3E7C7" w:rsidR="00CD3919" w:rsidRDefault="001D7610"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6C02E1">
        <w:rPr>
          <w:rFonts w:ascii="Arial" w:hAnsi="Arial" w:cs="Arial"/>
          <w:sz w:val="24"/>
          <w:szCs w:val="24"/>
        </w:rPr>
        <w:t>[</w:t>
      </w:r>
      <w:r w:rsidR="000D4DEB">
        <w:rPr>
          <w:rFonts w:ascii="Arial" w:hAnsi="Arial" w:cs="Arial"/>
          <w:sz w:val="24"/>
          <w:szCs w:val="24"/>
        </w:rPr>
        <w:t>58</w:t>
      </w:r>
      <w:r w:rsidR="006C02E1" w:rsidRPr="00E3149B">
        <w:rPr>
          <w:rFonts w:ascii="Arial" w:hAnsi="Arial" w:cs="Arial"/>
          <w:sz w:val="24"/>
          <w:szCs w:val="24"/>
        </w:rPr>
        <w:t>]</w:t>
      </w:r>
      <w:r w:rsidR="006C02E1">
        <w:rPr>
          <w:rFonts w:ascii="Arial" w:hAnsi="Arial" w:cs="Arial"/>
          <w:sz w:val="24"/>
          <w:szCs w:val="24"/>
        </w:rPr>
        <w:t xml:space="preserve"> </w:t>
      </w:r>
      <w:r w:rsidR="006C02E1">
        <w:rPr>
          <w:rFonts w:ascii="Arial" w:hAnsi="Arial" w:cs="Arial"/>
          <w:sz w:val="24"/>
          <w:szCs w:val="24"/>
        </w:rPr>
        <w:tab/>
        <w:t xml:space="preserve">Since the property has been sold to a game farmer and there seems to be no Application for the transfer of environmental liabilities to the game farmer, filed pursuant to s 43 (3) of the MPRDA placed before the </w:t>
      </w:r>
      <w:r w:rsidR="00370DBA">
        <w:rPr>
          <w:rFonts w:ascii="Arial" w:hAnsi="Arial" w:cs="Arial"/>
          <w:sz w:val="24"/>
          <w:szCs w:val="24"/>
        </w:rPr>
        <w:t>1</w:t>
      </w:r>
      <w:r w:rsidR="00370DBA" w:rsidRPr="00370DBA">
        <w:rPr>
          <w:rFonts w:ascii="Arial" w:hAnsi="Arial" w:cs="Arial"/>
          <w:sz w:val="24"/>
          <w:szCs w:val="24"/>
          <w:vertAlign w:val="superscript"/>
        </w:rPr>
        <w:t>st</w:t>
      </w:r>
      <w:r w:rsidR="00370DBA">
        <w:rPr>
          <w:rFonts w:ascii="Arial" w:hAnsi="Arial" w:cs="Arial"/>
          <w:sz w:val="24"/>
          <w:szCs w:val="24"/>
        </w:rPr>
        <w:t xml:space="preserve"> Respondent </w:t>
      </w:r>
      <w:r w:rsidR="006C02E1">
        <w:rPr>
          <w:rFonts w:ascii="Arial" w:hAnsi="Arial" w:cs="Arial"/>
          <w:sz w:val="24"/>
          <w:szCs w:val="24"/>
        </w:rPr>
        <w:t>and this court.</w:t>
      </w:r>
      <w:r w:rsidR="00CD3919">
        <w:rPr>
          <w:rFonts w:ascii="Arial" w:hAnsi="Arial" w:cs="Arial"/>
          <w:sz w:val="24"/>
          <w:szCs w:val="24"/>
        </w:rPr>
        <w:t xml:space="preserve"> The Respondent</w:t>
      </w:r>
      <w:r w:rsidR="00370DBA">
        <w:rPr>
          <w:rFonts w:ascii="Arial" w:hAnsi="Arial" w:cs="Arial"/>
          <w:sz w:val="24"/>
          <w:szCs w:val="24"/>
        </w:rPr>
        <w:t>s</w:t>
      </w:r>
      <w:r w:rsidR="00CD3919">
        <w:rPr>
          <w:rFonts w:ascii="Arial" w:hAnsi="Arial" w:cs="Arial"/>
          <w:sz w:val="24"/>
          <w:szCs w:val="24"/>
        </w:rPr>
        <w:t xml:space="preserve"> argue</w:t>
      </w:r>
      <w:r w:rsidR="00370DBA">
        <w:rPr>
          <w:rFonts w:ascii="Arial" w:hAnsi="Arial" w:cs="Arial"/>
          <w:sz w:val="24"/>
          <w:szCs w:val="24"/>
        </w:rPr>
        <w:t>d</w:t>
      </w:r>
      <w:r w:rsidR="00CD3919">
        <w:rPr>
          <w:rFonts w:ascii="Arial" w:hAnsi="Arial" w:cs="Arial"/>
          <w:sz w:val="24"/>
          <w:szCs w:val="24"/>
        </w:rPr>
        <w:t xml:space="preserve"> that there is no tangible and justifiable advantage in relation to D</w:t>
      </w:r>
      <w:r>
        <w:rPr>
          <w:rFonts w:ascii="Arial" w:hAnsi="Arial" w:cs="Arial"/>
          <w:sz w:val="24"/>
          <w:szCs w:val="24"/>
        </w:rPr>
        <w:t>BCM’s</w:t>
      </w:r>
      <w:r w:rsidR="00CD3919">
        <w:rPr>
          <w:rFonts w:ascii="Arial" w:hAnsi="Arial" w:cs="Arial"/>
          <w:sz w:val="24"/>
          <w:szCs w:val="24"/>
        </w:rPr>
        <w:t xml:space="preserve"> position </w:t>
      </w:r>
      <w:r>
        <w:rPr>
          <w:rFonts w:ascii="Arial" w:hAnsi="Arial" w:cs="Arial"/>
          <w:sz w:val="24"/>
          <w:szCs w:val="24"/>
        </w:rPr>
        <w:t xml:space="preserve">that </w:t>
      </w:r>
      <w:r w:rsidR="00CD3919">
        <w:rPr>
          <w:rFonts w:ascii="Arial" w:hAnsi="Arial" w:cs="Arial"/>
          <w:sz w:val="24"/>
          <w:szCs w:val="24"/>
        </w:rPr>
        <w:t>appears to flow from the grant of the order.</w:t>
      </w:r>
    </w:p>
    <w:p w14:paraId="53B28E9B" w14:textId="24AED20F" w:rsidR="00CD3919" w:rsidRDefault="00CD3919" w:rsidP="001D7610">
      <w:pPr>
        <w:tabs>
          <w:tab w:val="left" w:pos="567"/>
        </w:tabs>
        <w:spacing w:after="0" w:line="360" w:lineRule="auto"/>
        <w:jc w:val="both"/>
        <w:rPr>
          <w:rFonts w:ascii="Arial" w:hAnsi="Arial" w:cs="Arial"/>
          <w:sz w:val="24"/>
          <w:szCs w:val="24"/>
        </w:rPr>
      </w:pPr>
      <w:r>
        <w:rPr>
          <w:rFonts w:ascii="Arial" w:hAnsi="Arial" w:cs="Arial"/>
          <w:sz w:val="24"/>
          <w:szCs w:val="24"/>
        </w:rPr>
        <w:t xml:space="preserve"> </w:t>
      </w:r>
    </w:p>
    <w:p w14:paraId="6D97477F" w14:textId="6A5B124D" w:rsidR="00ED49DB" w:rsidRDefault="00CD3919"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t>[</w:t>
      </w:r>
      <w:r w:rsidR="000D4DEB">
        <w:rPr>
          <w:rFonts w:ascii="Arial" w:hAnsi="Arial" w:cs="Arial"/>
          <w:sz w:val="24"/>
          <w:szCs w:val="24"/>
        </w:rPr>
        <w:t>59</w:t>
      </w:r>
      <w:r>
        <w:rPr>
          <w:rFonts w:ascii="Arial" w:hAnsi="Arial" w:cs="Arial"/>
          <w:sz w:val="24"/>
          <w:szCs w:val="24"/>
        </w:rPr>
        <w:t>]</w:t>
      </w:r>
      <w:r>
        <w:rPr>
          <w:rFonts w:ascii="Arial" w:hAnsi="Arial" w:cs="Arial"/>
          <w:sz w:val="24"/>
          <w:szCs w:val="24"/>
        </w:rPr>
        <w:tab/>
        <w:t xml:space="preserve">Furthermore the Respondents </w:t>
      </w:r>
      <w:r w:rsidR="00C47E6B">
        <w:rPr>
          <w:rFonts w:ascii="Arial" w:hAnsi="Arial" w:cs="Arial"/>
          <w:sz w:val="24"/>
          <w:szCs w:val="24"/>
        </w:rPr>
        <w:t xml:space="preserve">submit, </w:t>
      </w:r>
      <w:r>
        <w:rPr>
          <w:rFonts w:ascii="Arial" w:hAnsi="Arial" w:cs="Arial"/>
          <w:sz w:val="24"/>
          <w:szCs w:val="24"/>
        </w:rPr>
        <w:t xml:space="preserve">on the basis of </w:t>
      </w:r>
      <w:r w:rsidR="00ED49DB">
        <w:rPr>
          <w:rFonts w:ascii="Arial" w:hAnsi="Arial" w:cs="Arial"/>
          <w:sz w:val="24"/>
          <w:szCs w:val="24"/>
        </w:rPr>
        <w:t>DBCM’s</w:t>
      </w:r>
      <w:r>
        <w:rPr>
          <w:rFonts w:ascii="Arial" w:hAnsi="Arial" w:cs="Arial"/>
          <w:sz w:val="24"/>
          <w:szCs w:val="24"/>
        </w:rPr>
        <w:t xml:space="preserve"> substantial delay in bringing the Application for review and the internal appeal against the decision of the </w:t>
      </w:r>
      <w:r w:rsidR="00C47E6B">
        <w:rPr>
          <w:rFonts w:ascii="Arial" w:hAnsi="Arial" w:cs="Arial"/>
          <w:sz w:val="24"/>
          <w:szCs w:val="24"/>
        </w:rPr>
        <w:t>1</w:t>
      </w:r>
      <w:r w:rsidR="00C47E6B" w:rsidRPr="00C47E6B">
        <w:rPr>
          <w:rFonts w:ascii="Arial" w:hAnsi="Arial" w:cs="Arial"/>
          <w:sz w:val="24"/>
          <w:szCs w:val="24"/>
          <w:vertAlign w:val="superscript"/>
        </w:rPr>
        <w:t>st</w:t>
      </w:r>
      <w:r w:rsidR="00C47E6B">
        <w:rPr>
          <w:rFonts w:ascii="Arial" w:hAnsi="Arial" w:cs="Arial"/>
          <w:sz w:val="24"/>
          <w:szCs w:val="24"/>
        </w:rPr>
        <w:t xml:space="preserve"> Respondent</w:t>
      </w:r>
      <w:r w:rsidR="00ED49DB">
        <w:rPr>
          <w:rFonts w:ascii="Arial" w:hAnsi="Arial" w:cs="Arial"/>
          <w:sz w:val="24"/>
          <w:szCs w:val="24"/>
        </w:rPr>
        <w:t>’s</w:t>
      </w:r>
      <w:r>
        <w:rPr>
          <w:rFonts w:ascii="Arial" w:hAnsi="Arial" w:cs="Arial"/>
          <w:sz w:val="24"/>
          <w:szCs w:val="24"/>
        </w:rPr>
        <w:t xml:space="preserve"> refusal or failure to decide on the closure application</w:t>
      </w:r>
      <w:r w:rsidR="00ED49DB">
        <w:rPr>
          <w:rFonts w:ascii="Arial" w:hAnsi="Arial" w:cs="Arial"/>
          <w:sz w:val="24"/>
          <w:szCs w:val="24"/>
        </w:rPr>
        <w:t>,</w:t>
      </w:r>
      <w:r>
        <w:rPr>
          <w:rFonts w:ascii="Arial" w:hAnsi="Arial" w:cs="Arial"/>
          <w:sz w:val="24"/>
          <w:szCs w:val="24"/>
        </w:rPr>
        <w:t xml:space="preserve"> and with no reasona</w:t>
      </w:r>
      <w:r w:rsidR="00ED49DB">
        <w:rPr>
          <w:rFonts w:ascii="Arial" w:hAnsi="Arial" w:cs="Arial"/>
          <w:sz w:val="24"/>
          <w:szCs w:val="24"/>
        </w:rPr>
        <w:t>b</w:t>
      </w:r>
      <w:r>
        <w:rPr>
          <w:rFonts w:ascii="Arial" w:hAnsi="Arial" w:cs="Arial"/>
          <w:sz w:val="24"/>
          <w:szCs w:val="24"/>
        </w:rPr>
        <w:t>le explanation tendered</w:t>
      </w:r>
      <w:r w:rsidR="00C47E6B">
        <w:rPr>
          <w:rFonts w:ascii="Arial" w:hAnsi="Arial" w:cs="Arial"/>
          <w:sz w:val="24"/>
          <w:szCs w:val="24"/>
        </w:rPr>
        <w:t xml:space="preserve">, </w:t>
      </w:r>
      <w:r>
        <w:rPr>
          <w:rFonts w:ascii="Arial" w:hAnsi="Arial" w:cs="Arial"/>
          <w:sz w:val="24"/>
          <w:szCs w:val="24"/>
        </w:rPr>
        <w:t>the court should dismiss the Application and not gra</w:t>
      </w:r>
      <w:r w:rsidR="00ED49DB">
        <w:rPr>
          <w:rFonts w:ascii="Arial" w:hAnsi="Arial" w:cs="Arial"/>
          <w:sz w:val="24"/>
          <w:szCs w:val="24"/>
        </w:rPr>
        <w:t>n</w:t>
      </w:r>
      <w:r>
        <w:rPr>
          <w:rFonts w:ascii="Arial" w:hAnsi="Arial" w:cs="Arial"/>
          <w:sz w:val="24"/>
          <w:szCs w:val="24"/>
        </w:rPr>
        <w:t>t the declaratory order sought.</w:t>
      </w:r>
    </w:p>
    <w:p w14:paraId="204B97E0" w14:textId="0E65AC7F" w:rsidR="00ED49DB" w:rsidRDefault="00CD3919" w:rsidP="001D7610">
      <w:pPr>
        <w:tabs>
          <w:tab w:val="left" w:pos="567"/>
        </w:tabs>
        <w:spacing w:after="0" w:line="360" w:lineRule="auto"/>
        <w:jc w:val="both"/>
        <w:rPr>
          <w:rFonts w:ascii="Arial" w:hAnsi="Arial" w:cs="Arial"/>
          <w:sz w:val="24"/>
          <w:szCs w:val="24"/>
        </w:rPr>
      </w:pPr>
      <w:r>
        <w:rPr>
          <w:rFonts w:ascii="Arial" w:hAnsi="Arial" w:cs="Arial"/>
          <w:sz w:val="24"/>
          <w:szCs w:val="24"/>
        </w:rPr>
        <w:t xml:space="preserve">  </w:t>
      </w:r>
    </w:p>
    <w:p w14:paraId="6A7C620E" w14:textId="56CB79B4" w:rsidR="006C02E1" w:rsidRDefault="001D7610"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r w:rsidR="00E3149B">
        <w:rPr>
          <w:rFonts w:ascii="Arial" w:hAnsi="Arial" w:cs="Arial"/>
          <w:sz w:val="24"/>
          <w:szCs w:val="24"/>
        </w:rPr>
        <w:t>[</w:t>
      </w:r>
      <w:r w:rsidR="000D4DEB">
        <w:rPr>
          <w:rFonts w:ascii="Arial" w:hAnsi="Arial" w:cs="Arial"/>
          <w:sz w:val="24"/>
          <w:szCs w:val="24"/>
        </w:rPr>
        <w:t>60</w:t>
      </w:r>
      <w:r w:rsidR="00ED49DB">
        <w:rPr>
          <w:rFonts w:ascii="Arial" w:hAnsi="Arial" w:cs="Arial"/>
          <w:sz w:val="24"/>
          <w:szCs w:val="24"/>
        </w:rPr>
        <w:t>]</w:t>
      </w:r>
      <w:r w:rsidR="00ED49DB">
        <w:rPr>
          <w:rFonts w:ascii="Arial" w:hAnsi="Arial" w:cs="Arial"/>
          <w:sz w:val="24"/>
          <w:szCs w:val="24"/>
        </w:rPr>
        <w:tab/>
        <w:t>In addition the Respondents refer to the right enshrined in s 24 of the Constitution to a hea</w:t>
      </w:r>
      <w:r w:rsidR="00E46259">
        <w:rPr>
          <w:rFonts w:ascii="Arial" w:hAnsi="Arial" w:cs="Arial"/>
          <w:sz w:val="24"/>
          <w:szCs w:val="24"/>
        </w:rPr>
        <w:t>l</w:t>
      </w:r>
      <w:r w:rsidR="00ED49DB">
        <w:rPr>
          <w:rFonts w:ascii="Arial" w:hAnsi="Arial" w:cs="Arial"/>
          <w:sz w:val="24"/>
          <w:szCs w:val="24"/>
        </w:rPr>
        <w:t xml:space="preserve">thy environment and property rights of other interested and affected parties and s 24 constitutional mandate of </w:t>
      </w:r>
      <w:r w:rsidR="00E46259">
        <w:rPr>
          <w:rFonts w:ascii="Arial" w:hAnsi="Arial" w:cs="Arial"/>
          <w:sz w:val="24"/>
          <w:szCs w:val="24"/>
        </w:rPr>
        <w:t xml:space="preserve">relevant </w:t>
      </w:r>
      <w:r w:rsidR="00ED49DB">
        <w:rPr>
          <w:rFonts w:ascii="Arial" w:hAnsi="Arial" w:cs="Arial"/>
          <w:sz w:val="24"/>
          <w:szCs w:val="24"/>
        </w:rPr>
        <w:t>state</w:t>
      </w:r>
      <w:r w:rsidR="00E46259">
        <w:rPr>
          <w:rFonts w:ascii="Arial" w:hAnsi="Arial" w:cs="Arial"/>
          <w:sz w:val="24"/>
          <w:szCs w:val="24"/>
        </w:rPr>
        <w:t xml:space="preserve"> departments</w:t>
      </w:r>
      <w:r w:rsidR="00863213">
        <w:rPr>
          <w:rFonts w:ascii="Arial" w:hAnsi="Arial" w:cs="Arial"/>
          <w:sz w:val="24"/>
          <w:szCs w:val="24"/>
        </w:rPr>
        <w:t xml:space="preserve"> which DBCM failed to place before court. </w:t>
      </w:r>
      <w:r>
        <w:rPr>
          <w:rFonts w:ascii="Arial" w:hAnsi="Arial" w:cs="Arial"/>
          <w:sz w:val="24"/>
          <w:szCs w:val="24"/>
        </w:rPr>
        <w:t xml:space="preserve">Also s 33 of the Constitution that deals with the right to administrative decision read with s 2 (4) (f) of </w:t>
      </w:r>
      <w:r w:rsidR="0043543A">
        <w:rPr>
          <w:rFonts w:ascii="Arial" w:hAnsi="Arial" w:cs="Arial"/>
          <w:sz w:val="24"/>
          <w:szCs w:val="24"/>
        </w:rPr>
        <w:t>P</w:t>
      </w:r>
      <w:r>
        <w:rPr>
          <w:rFonts w:ascii="Arial" w:hAnsi="Arial" w:cs="Arial"/>
          <w:sz w:val="24"/>
          <w:szCs w:val="24"/>
        </w:rPr>
        <w:t xml:space="preserve">AJA that required that all the interested and affected persons affected by the impugned decision to approve the EMP Amendment of May 2003 must be notified. </w:t>
      </w:r>
      <w:r w:rsidR="00863213">
        <w:rPr>
          <w:rFonts w:ascii="Arial" w:hAnsi="Arial" w:cs="Arial"/>
          <w:sz w:val="24"/>
          <w:szCs w:val="24"/>
        </w:rPr>
        <w:t>They argue that the application is misguided and misconceived</w:t>
      </w:r>
      <w:r w:rsidR="00E46259">
        <w:rPr>
          <w:rFonts w:ascii="Arial" w:hAnsi="Arial" w:cs="Arial"/>
          <w:sz w:val="24"/>
          <w:szCs w:val="24"/>
        </w:rPr>
        <w:t xml:space="preserve">. </w:t>
      </w:r>
      <w:r w:rsidR="00ED49DB">
        <w:rPr>
          <w:rFonts w:ascii="Arial" w:hAnsi="Arial" w:cs="Arial"/>
          <w:sz w:val="24"/>
          <w:szCs w:val="24"/>
        </w:rPr>
        <w:t xml:space="preserve">   </w:t>
      </w:r>
      <w:r w:rsidR="006C02E1">
        <w:rPr>
          <w:rFonts w:ascii="Arial" w:hAnsi="Arial" w:cs="Arial"/>
          <w:sz w:val="24"/>
          <w:szCs w:val="24"/>
        </w:rPr>
        <w:t xml:space="preserve">   </w:t>
      </w:r>
    </w:p>
    <w:p w14:paraId="39F67442" w14:textId="77777777" w:rsidR="001D7610" w:rsidRDefault="001D7610" w:rsidP="001D7610">
      <w:pPr>
        <w:tabs>
          <w:tab w:val="left" w:pos="567"/>
        </w:tabs>
        <w:spacing w:after="0" w:line="360" w:lineRule="auto"/>
        <w:jc w:val="both"/>
        <w:rPr>
          <w:rFonts w:ascii="Arial" w:hAnsi="Arial" w:cs="Arial"/>
          <w:sz w:val="24"/>
          <w:szCs w:val="24"/>
        </w:rPr>
      </w:pPr>
    </w:p>
    <w:p w14:paraId="147FE2B7" w14:textId="39D0BB9F" w:rsidR="001E5DC9" w:rsidRDefault="006C02E1"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 xml:space="preserve">  </w:t>
      </w:r>
      <w:r w:rsidR="00547E61">
        <w:rPr>
          <w:rFonts w:ascii="Arial" w:hAnsi="Arial" w:cs="Arial"/>
          <w:sz w:val="24"/>
          <w:szCs w:val="24"/>
        </w:rPr>
        <w:t xml:space="preserve"> </w:t>
      </w:r>
      <w:r w:rsidR="001D7610">
        <w:rPr>
          <w:rFonts w:ascii="Arial" w:hAnsi="Arial" w:cs="Arial"/>
          <w:sz w:val="24"/>
          <w:szCs w:val="24"/>
        </w:rPr>
        <w:tab/>
      </w:r>
      <w:r w:rsidR="00E3149B">
        <w:rPr>
          <w:rFonts w:ascii="Arial" w:hAnsi="Arial" w:cs="Arial"/>
          <w:sz w:val="24"/>
          <w:szCs w:val="24"/>
        </w:rPr>
        <w:t>[</w:t>
      </w:r>
      <w:r w:rsidR="000D4DEB">
        <w:rPr>
          <w:rFonts w:ascii="Arial" w:hAnsi="Arial" w:cs="Arial"/>
          <w:sz w:val="24"/>
          <w:szCs w:val="24"/>
        </w:rPr>
        <w:t>61</w:t>
      </w:r>
      <w:r w:rsidR="00863213" w:rsidRPr="0043543A">
        <w:rPr>
          <w:rFonts w:ascii="Arial" w:hAnsi="Arial" w:cs="Arial"/>
          <w:sz w:val="24"/>
          <w:szCs w:val="24"/>
        </w:rPr>
        <w:t>]</w:t>
      </w:r>
      <w:r w:rsidR="00863213" w:rsidRPr="0043543A">
        <w:rPr>
          <w:rFonts w:ascii="Arial" w:hAnsi="Arial" w:cs="Arial"/>
          <w:sz w:val="24"/>
          <w:szCs w:val="24"/>
        </w:rPr>
        <w:tab/>
        <w:t>Furthermore reference is made to</w:t>
      </w:r>
      <w:r w:rsidR="001D7610" w:rsidRPr="0043543A">
        <w:rPr>
          <w:rFonts w:ascii="Arial" w:hAnsi="Arial" w:cs="Arial"/>
          <w:sz w:val="24"/>
          <w:szCs w:val="24"/>
        </w:rPr>
        <w:t xml:space="preserve"> </w:t>
      </w:r>
      <w:r w:rsidR="001E5DC9" w:rsidRPr="0043543A">
        <w:rPr>
          <w:rFonts w:ascii="Arial" w:hAnsi="Arial" w:cs="Arial"/>
          <w:sz w:val="24"/>
          <w:szCs w:val="24"/>
        </w:rPr>
        <w:t xml:space="preserve">Item 10 </w:t>
      </w:r>
      <w:r w:rsidR="001D7610" w:rsidRPr="0043543A">
        <w:rPr>
          <w:rFonts w:ascii="Arial" w:hAnsi="Arial" w:cs="Arial"/>
          <w:sz w:val="24"/>
          <w:szCs w:val="24"/>
        </w:rPr>
        <w:t xml:space="preserve">that </w:t>
      </w:r>
      <w:r w:rsidR="001E5DC9" w:rsidRPr="0043543A">
        <w:rPr>
          <w:rFonts w:ascii="Arial" w:hAnsi="Arial" w:cs="Arial"/>
          <w:sz w:val="24"/>
          <w:szCs w:val="24"/>
        </w:rPr>
        <w:t xml:space="preserve">contains provisions </w:t>
      </w:r>
      <w:r w:rsidR="001D7610" w:rsidRPr="0043543A">
        <w:rPr>
          <w:rFonts w:ascii="Arial" w:hAnsi="Arial" w:cs="Arial"/>
          <w:sz w:val="24"/>
          <w:szCs w:val="24"/>
        </w:rPr>
        <w:t xml:space="preserve">for </w:t>
      </w:r>
      <w:r w:rsidR="001E5DC9" w:rsidRPr="0043543A">
        <w:rPr>
          <w:rFonts w:ascii="Arial" w:hAnsi="Arial" w:cs="Arial"/>
          <w:sz w:val="24"/>
          <w:szCs w:val="24"/>
        </w:rPr>
        <w:t xml:space="preserve">the continuation of </w:t>
      </w:r>
      <w:r w:rsidR="001D7610" w:rsidRPr="0043543A">
        <w:rPr>
          <w:rFonts w:ascii="Arial" w:hAnsi="Arial" w:cs="Arial"/>
          <w:sz w:val="24"/>
          <w:szCs w:val="24"/>
        </w:rPr>
        <w:t xml:space="preserve">the approved EMP, </w:t>
      </w:r>
      <w:r w:rsidR="001E5DC9" w:rsidRPr="0043543A">
        <w:rPr>
          <w:rFonts w:ascii="Arial" w:hAnsi="Arial" w:cs="Arial"/>
          <w:sz w:val="24"/>
          <w:szCs w:val="24"/>
        </w:rPr>
        <w:t>Sub item (1) and (2)</w:t>
      </w:r>
      <w:r w:rsidR="001D7610" w:rsidRPr="0043543A">
        <w:rPr>
          <w:rFonts w:ascii="Arial" w:hAnsi="Arial" w:cs="Arial"/>
          <w:sz w:val="24"/>
          <w:szCs w:val="24"/>
        </w:rPr>
        <w:t>,</w:t>
      </w:r>
      <w:r w:rsidR="001E5DC9" w:rsidRPr="0043543A">
        <w:rPr>
          <w:rFonts w:ascii="Arial" w:hAnsi="Arial" w:cs="Arial"/>
          <w:sz w:val="24"/>
          <w:szCs w:val="24"/>
        </w:rPr>
        <w:t xml:space="preserve"> </w:t>
      </w:r>
      <w:r w:rsidR="001D7610" w:rsidRPr="0043543A">
        <w:rPr>
          <w:rFonts w:ascii="Arial" w:hAnsi="Arial" w:cs="Arial"/>
          <w:sz w:val="24"/>
          <w:szCs w:val="24"/>
        </w:rPr>
        <w:t xml:space="preserve">which are </w:t>
      </w:r>
      <w:r w:rsidR="001E5DC9" w:rsidRPr="0043543A">
        <w:rPr>
          <w:rFonts w:ascii="Arial" w:hAnsi="Arial" w:cs="Arial"/>
          <w:sz w:val="24"/>
          <w:szCs w:val="24"/>
        </w:rPr>
        <w:t>equally important to the consideration hereof. Sub item (1) states:</w:t>
      </w:r>
      <w:r w:rsidR="001E5DC9">
        <w:rPr>
          <w:rFonts w:ascii="Arial" w:hAnsi="Arial" w:cs="Arial"/>
          <w:sz w:val="24"/>
          <w:szCs w:val="24"/>
        </w:rPr>
        <w:t xml:space="preserve">  </w:t>
      </w:r>
    </w:p>
    <w:p w14:paraId="546CB794" w14:textId="77777777" w:rsidR="001E5DC9" w:rsidRDefault="001E5DC9" w:rsidP="004420E9">
      <w:pPr>
        <w:tabs>
          <w:tab w:val="left" w:pos="567"/>
        </w:tabs>
        <w:spacing w:after="0" w:line="360" w:lineRule="auto"/>
        <w:ind w:left="2160" w:hanging="2160"/>
        <w:jc w:val="both"/>
        <w:rPr>
          <w:rFonts w:ascii="Arial" w:hAnsi="Arial" w:cs="Arial"/>
          <w:sz w:val="24"/>
          <w:szCs w:val="24"/>
        </w:rPr>
      </w:pPr>
    </w:p>
    <w:p w14:paraId="49FFE6AD" w14:textId="56529281" w:rsidR="00505E96" w:rsidRDefault="001E5DC9" w:rsidP="001E5DC9">
      <w:pPr>
        <w:tabs>
          <w:tab w:val="left" w:pos="567"/>
        </w:tabs>
        <w:spacing w:after="0" w:line="360" w:lineRule="auto"/>
        <w:ind w:left="2880" w:hanging="2160"/>
        <w:jc w:val="both"/>
        <w:rPr>
          <w:rFonts w:ascii="Arial" w:hAnsi="Arial" w:cs="Arial"/>
          <w:sz w:val="24"/>
          <w:szCs w:val="24"/>
        </w:rPr>
      </w:pPr>
      <w:r>
        <w:rPr>
          <w:rFonts w:ascii="Arial" w:hAnsi="Arial" w:cs="Arial"/>
          <w:sz w:val="24"/>
          <w:szCs w:val="24"/>
        </w:rPr>
        <w:tab/>
        <w:t>“</w:t>
      </w:r>
      <w:r w:rsidR="00AD72B3">
        <w:rPr>
          <w:rFonts w:ascii="Arial" w:hAnsi="Arial" w:cs="Arial"/>
          <w:sz w:val="24"/>
          <w:szCs w:val="24"/>
        </w:rPr>
        <w:t xml:space="preserve">Any environmental management programme approved in terms of s 39 (1) of the Minerals Act and in force </w:t>
      </w:r>
      <w:r w:rsidR="00AD72B3">
        <w:rPr>
          <w:rFonts w:ascii="Arial" w:hAnsi="Arial" w:cs="Arial"/>
          <w:sz w:val="24"/>
          <w:szCs w:val="24"/>
        </w:rPr>
        <w:lastRenderedPageBreak/>
        <w:t>immediately before this Act took effect and any steps taken in respect of the relevant performance assessment and duty to monitor connected with that environmental management programme continues to remain in force when this Act come</w:t>
      </w:r>
      <w:r>
        <w:rPr>
          <w:rFonts w:ascii="Arial" w:hAnsi="Arial" w:cs="Arial"/>
          <w:sz w:val="24"/>
          <w:szCs w:val="24"/>
        </w:rPr>
        <w:t>s</w:t>
      </w:r>
      <w:r w:rsidR="00AD72B3">
        <w:rPr>
          <w:rFonts w:ascii="Arial" w:hAnsi="Arial" w:cs="Arial"/>
          <w:sz w:val="24"/>
          <w:szCs w:val="24"/>
        </w:rPr>
        <w:t xml:space="preserve"> into effect”</w:t>
      </w:r>
      <w:r w:rsidR="00AD72B3">
        <w:rPr>
          <w:rFonts w:ascii="Arial" w:hAnsi="Arial" w:cs="Arial"/>
          <w:sz w:val="24"/>
          <w:szCs w:val="24"/>
        </w:rPr>
        <w:tab/>
      </w:r>
    </w:p>
    <w:p w14:paraId="491A2CC5" w14:textId="77777777" w:rsidR="001E5DC9" w:rsidRDefault="00000662" w:rsidP="00000662">
      <w:pPr>
        <w:tabs>
          <w:tab w:val="left" w:pos="567"/>
          <w:tab w:val="left" w:pos="2120"/>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771A3538" w14:textId="725CA501" w:rsidR="00000662" w:rsidRDefault="001E5DC9" w:rsidP="00000662">
      <w:pPr>
        <w:tabs>
          <w:tab w:val="left" w:pos="567"/>
          <w:tab w:val="left" w:pos="2120"/>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Whilst sub item 2 states that:</w:t>
      </w:r>
    </w:p>
    <w:p w14:paraId="698BC2E8" w14:textId="77777777" w:rsidR="001E5DC9" w:rsidRDefault="001E5DC9" w:rsidP="001E5DC9">
      <w:pPr>
        <w:tabs>
          <w:tab w:val="left" w:pos="567"/>
          <w:tab w:val="left" w:pos="2120"/>
        </w:tabs>
        <w:spacing w:after="0" w:line="360" w:lineRule="auto"/>
        <w:ind w:left="288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05A3DD56" w14:textId="0D3AD162" w:rsidR="001E5DC9" w:rsidRDefault="0043543A" w:rsidP="001E5DC9">
      <w:pPr>
        <w:tabs>
          <w:tab w:val="left" w:pos="567"/>
          <w:tab w:val="left" w:pos="2120"/>
        </w:tabs>
        <w:spacing w:after="0" w:line="360" w:lineRule="auto"/>
        <w:ind w:left="2880" w:hanging="2160"/>
        <w:jc w:val="both"/>
        <w:rPr>
          <w:rFonts w:ascii="Arial" w:hAnsi="Arial" w:cs="Arial"/>
          <w:sz w:val="24"/>
          <w:szCs w:val="24"/>
        </w:rPr>
      </w:pPr>
      <w:r>
        <w:rPr>
          <w:rFonts w:ascii="Arial" w:hAnsi="Arial" w:cs="Arial"/>
          <w:sz w:val="24"/>
          <w:szCs w:val="24"/>
        </w:rPr>
        <w:tab/>
      </w:r>
      <w:r w:rsidR="001E5DC9">
        <w:rPr>
          <w:rFonts w:ascii="Arial" w:hAnsi="Arial" w:cs="Arial"/>
          <w:sz w:val="24"/>
          <w:szCs w:val="24"/>
        </w:rPr>
        <w:tab/>
      </w:r>
      <w:r w:rsidR="009B1BD9">
        <w:rPr>
          <w:rFonts w:ascii="Arial" w:hAnsi="Arial" w:cs="Arial"/>
          <w:sz w:val="24"/>
          <w:szCs w:val="24"/>
        </w:rPr>
        <w:t>“</w:t>
      </w:r>
      <w:r w:rsidR="001E5DC9">
        <w:rPr>
          <w:rFonts w:ascii="Arial" w:hAnsi="Arial" w:cs="Arial"/>
          <w:sz w:val="24"/>
          <w:szCs w:val="24"/>
        </w:rPr>
        <w:t>Sub item 1 does not prevent the Minister fr</w:t>
      </w:r>
      <w:r w:rsidR="009B1BD9">
        <w:rPr>
          <w:rFonts w:ascii="Arial" w:hAnsi="Arial" w:cs="Arial"/>
          <w:sz w:val="24"/>
          <w:szCs w:val="24"/>
        </w:rPr>
        <w:t>o</w:t>
      </w:r>
      <w:r w:rsidR="001E5DC9">
        <w:rPr>
          <w:rFonts w:ascii="Arial" w:hAnsi="Arial" w:cs="Arial"/>
          <w:sz w:val="24"/>
          <w:szCs w:val="24"/>
        </w:rPr>
        <w:t>m directing the amendment of an environmental management programme in order to bring it into line with the requirements of this Act”</w:t>
      </w:r>
      <w:r w:rsidR="001E5DC9">
        <w:rPr>
          <w:rFonts w:ascii="Arial" w:hAnsi="Arial" w:cs="Arial"/>
          <w:sz w:val="24"/>
          <w:szCs w:val="24"/>
        </w:rPr>
        <w:tab/>
        <w:t xml:space="preserve"> </w:t>
      </w:r>
    </w:p>
    <w:p w14:paraId="3C2866BA" w14:textId="5323B44E" w:rsidR="001E5DC9" w:rsidRDefault="001E5DC9" w:rsidP="00000662">
      <w:pPr>
        <w:tabs>
          <w:tab w:val="left" w:pos="567"/>
          <w:tab w:val="left" w:pos="2120"/>
        </w:tabs>
        <w:spacing w:after="0" w:line="360" w:lineRule="auto"/>
        <w:ind w:left="2160" w:hanging="2160"/>
        <w:jc w:val="both"/>
        <w:rPr>
          <w:rFonts w:ascii="Arial" w:hAnsi="Arial" w:cs="Arial"/>
          <w:sz w:val="24"/>
          <w:szCs w:val="24"/>
        </w:rPr>
      </w:pPr>
    </w:p>
    <w:p w14:paraId="271073AD" w14:textId="54378139" w:rsidR="004115E3" w:rsidRDefault="001D7610" w:rsidP="001D7610">
      <w:pPr>
        <w:tabs>
          <w:tab w:val="left" w:pos="567"/>
          <w:tab w:val="left" w:pos="2120"/>
        </w:tabs>
        <w:spacing w:after="0" w:line="360" w:lineRule="auto"/>
        <w:ind w:left="567" w:hanging="567"/>
        <w:jc w:val="both"/>
        <w:rPr>
          <w:rFonts w:ascii="Arial" w:hAnsi="Arial" w:cs="Arial"/>
          <w:sz w:val="24"/>
          <w:szCs w:val="24"/>
        </w:rPr>
      </w:pPr>
      <w:r>
        <w:rPr>
          <w:rFonts w:ascii="Arial" w:hAnsi="Arial" w:cs="Arial"/>
          <w:sz w:val="24"/>
          <w:szCs w:val="24"/>
        </w:rPr>
        <w:t>[</w:t>
      </w:r>
      <w:r w:rsidR="000D4DEB">
        <w:rPr>
          <w:rFonts w:ascii="Arial" w:hAnsi="Arial" w:cs="Arial"/>
          <w:sz w:val="24"/>
          <w:szCs w:val="24"/>
        </w:rPr>
        <w:t>62</w:t>
      </w:r>
      <w:r w:rsidR="00694D97">
        <w:rPr>
          <w:rFonts w:ascii="Arial" w:hAnsi="Arial" w:cs="Arial"/>
          <w:sz w:val="24"/>
          <w:szCs w:val="24"/>
        </w:rPr>
        <w:t>]    O</w:t>
      </w:r>
      <w:r w:rsidR="009B1BD9" w:rsidRPr="0043543A">
        <w:rPr>
          <w:rFonts w:ascii="Arial" w:hAnsi="Arial" w:cs="Arial"/>
          <w:sz w:val="24"/>
          <w:szCs w:val="24"/>
        </w:rPr>
        <w:t>n 30 April 2009</w:t>
      </w:r>
      <w:r w:rsidRPr="0043543A">
        <w:rPr>
          <w:rFonts w:ascii="Arial" w:hAnsi="Arial" w:cs="Arial"/>
          <w:sz w:val="24"/>
          <w:szCs w:val="24"/>
        </w:rPr>
        <w:t>,</w:t>
      </w:r>
      <w:r w:rsidR="009B1BD9" w:rsidRPr="0043543A">
        <w:rPr>
          <w:rFonts w:ascii="Arial" w:hAnsi="Arial" w:cs="Arial"/>
          <w:sz w:val="24"/>
          <w:szCs w:val="24"/>
        </w:rPr>
        <w:t xml:space="preserve"> the Oaks Mine </w:t>
      </w:r>
      <w:r w:rsidR="000D4DEB">
        <w:rPr>
          <w:rFonts w:ascii="Arial" w:hAnsi="Arial" w:cs="Arial"/>
          <w:sz w:val="24"/>
          <w:szCs w:val="24"/>
        </w:rPr>
        <w:t xml:space="preserve">amended </w:t>
      </w:r>
      <w:r w:rsidR="009B1BD9" w:rsidRPr="0043543A">
        <w:rPr>
          <w:rFonts w:ascii="Arial" w:hAnsi="Arial" w:cs="Arial"/>
          <w:sz w:val="24"/>
          <w:szCs w:val="24"/>
        </w:rPr>
        <w:t>EMP</w:t>
      </w:r>
      <w:r w:rsidR="000D4DEB">
        <w:rPr>
          <w:rFonts w:ascii="Arial" w:hAnsi="Arial" w:cs="Arial"/>
          <w:sz w:val="24"/>
          <w:szCs w:val="24"/>
        </w:rPr>
        <w:t>,</w:t>
      </w:r>
      <w:r w:rsidR="009B1BD9" w:rsidRPr="0043543A">
        <w:rPr>
          <w:rFonts w:ascii="Arial" w:hAnsi="Arial" w:cs="Arial"/>
          <w:sz w:val="24"/>
          <w:szCs w:val="24"/>
        </w:rPr>
        <w:t xml:space="preserve"> approved in terms of s 39 of the repealed Minerals Act, which was not converted in terms of item 7 (2) (j) of Schedule II to the MPRDA</w:t>
      </w:r>
      <w:r w:rsidRPr="0043543A">
        <w:rPr>
          <w:rFonts w:ascii="Arial" w:hAnsi="Arial" w:cs="Arial"/>
          <w:sz w:val="24"/>
          <w:szCs w:val="24"/>
        </w:rPr>
        <w:t xml:space="preserve">, </w:t>
      </w:r>
      <w:r w:rsidR="009B1BD9" w:rsidRPr="0043543A">
        <w:rPr>
          <w:rFonts w:ascii="Arial" w:hAnsi="Arial" w:cs="Arial"/>
          <w:sz w:val="24"/>
          <w:szCs w:val="24"/>
        </w:rPr>
        <w:t>ceased to exist by operation of law.</w:t>
      </w:r>
      <w:r w:rsidR="009B1BD9">
        <w:rPr>
          <w:rFonts w:ascii="Arial" w:hAnsi="Arial" w:cs="Arial"/>
          <w:sz w:val="24"/>
          <w:szCs w:val="24"/>
        </w:rPr>
        <w:t xml:space="preserve"> </w:t>
      </w:r>
      <w:r w:rsidR="00C84399">
        <w:rPr>
          <w:rFonts w:ascii="Arial" w:hAnsi="Arial" w:cs="Arial"/>
          <w:sz w:val="24"/>
          <w:szCs w:val="24"/>
        </w:rPr>
        <w:t xml:space="preserve">The Respondents </w:t>
      </w:r>
      <w:r>
        <w:rPr>
          <w:rFonts w:ascii="Arial" w:hAnsi="Arial" w:cs="Arial"/>
          <w:sz w:val="24"/>
          <w:szCs w:val="24"/>
        </w:rPr>
        <w:t xml:space="preserve">therefore </w:t>
      </w:r>
      <w:r w:rsidR="00C84399">
        <w:rPr>
          <w:rFonts w:ascii="Arial" w:hAnsi="Arial" w:cs="Arial"/>
          <w:sz w:val="24"/>
          <w:szCs w:val="24"/>
        </w:rPr>
        <w:t xml:space="preserve">deny that any provisions of the MPRDA were violated by the </w:t>
      </w:r>
      <w:r w:rsidR="00BE40F0">
        <w:rPr>
          <w:rFonts w:ascii="Arial" w:hAnsi="Arial" w:cs="Arial"/>
          <w:sz w:val="24"/>
          <w:szCs w:val="24"/>
        </w:rPr>
        <w:t>1</w:t>
      </w:r>
      <w:r w:rsidR="00BE40F0" w:rsidRPr="00BE40F0">
        <w:rPr>
          <w:rFonts w:ascii="Arial" w:hAnsi="Arial" w:cs="Arial"/>
          <w:sz w:val="24"/>
          <w:szCs w:val="24"/>
          <w:vertAlign w:val="superscript"/>
        </w:rPr>
        <w:t>st</w:t>
      </w:r>
      <w:r w:rsidR="00BE40F0">
        <w:rPr>
          <w:rFonts w:ascii="Arial" w:hAnsi="Arial" w:cs="Arial"/>
          <w:sz w:val="24"/>
          <w:szCs w:val="24"/>
        </w:rPr>
        <w:t xml:space="preserve"> Respondent</w:t>
      </w:r>
      <w:r w:rsidR="00C84399">
        <w:rPr>
          <w:rFonts w:ascii="Arial" w:hAnsi="Arial" w:cs="Arial"/>
          <w:sz w:val="24"/>
          <w:szCs w:val="24"/>
        </w:rPr>
        <w:t xml:space="preserve"> when the above decision was taken. </w:t>
      </w:r>
    </w:p>
    <w:p w14:paraId="5A7065D8" w14:textId="77777777" w:rsidR="001D7610" w:rsidRDefault="001D7610" w:rsidP="001D7610">
      <w:pPr>
        <w:tabs>
          <w:tab w:val="left" w:pos="567"/>
          <w:tab w:val="left" w:pos="2120"/>
        </w:tabs>
        <w:spacing w:after="0" w:line="360" w:lineRule="auto"/>
        <w:ind w:left="567" w:hanging="567"/>
        <w:jc w:val="both"/>
        <w:rPr>
          <w:rFonts w:ascii="Arial" w:hAnsi="Arial" w:cs="Arial"/>
          <w:sz w:val="24"/>
          <w:szCs w:val="24"/>
        </w:rPr>
      </w:pPr>
    </w:p>
    <w:p w14:paraId="60B95F49" w14:textId="3EC14DFB" w:rsidR="004420E9" w:rsidRDefault="004420E9" w:rsidP="001D7610">
      <w:pPr>
        <w:tabs>
          <w:tab w:val="left" w:pos="567"/>
        </w:tabs>
        <w:spacing w:after="0" w:line="360" w:lineRule="auto"/>
        <w:ind w:left="567" w:hanging="567"/>
        <w:jc w:val="both"/>
        <w:rPr>
          <w:rFonts w:ascii="Arial" w:hAnsi="Arial" w:cs="Arial"/>
          <w:sz w:val="24"/>
          <w:szCs w:val="24"/>
        </w:rPr>
      </w:pPr>
      <w:r>
        <w:rPr>
          <w:rFonts w:ascii="Arial" w:hAnsi="Arial" w:cs="Arial"/>
          <w:sz w:val="24"/>
          <w:szCs w:val="24"/>
        </w:rPr>
        <w:t>[</w:t>
      </w:r>
      <w:r w:rsidR="00694D97">
        <w:rPr>
          <w:rFonts w:ascii="Arial" w:hAnsi="Arial" w:cs="Arial"/>
          <w:sz w:val="24"/>
          <w:szCs w:val="24"/>
        </w:rPr>
        <w:t>6</w:t>
      </w:r>
      <w:r w:rsidR="000D4DEB">
        <w:rPr>
          <w:rFonts w:ascii="Arial" w:hAnsi="Arial" w:cs="Arial"/>
          <w:sz w:val="24"/>
          <w:szCs w:val="24"/>
        </w:rPr>
        <w:t>3</w:t>
      </w:r>
      <w:r w:rsidR="00694D97">
        <w:rPr>
          <w:rFonts w:ascii="Arial" w:hAnsi="Arial" w:cs="Arial"/>
          <w:sz w:val="24"/>
          <w:szCs w:val="24"/>
        </w:rPr>
        <w:t>]</w:t>
      </w:r>
      <w:r>
        <w:rPr>
          <w:rFonts w:ascii="Arial" w:hAnsi="Arial" w:cs="Arial"/>
          <w:sz w:val="24"/>
          <w:szCs w:val="24"/>
        </w:rPr>
        <w:t xml:space="preserve"> </w:t>
      </w:r>
      <w:r w:rsidR="001063F6">
        <w:rPr>
          <w:rFonts w:ascii="Arial" w:hAnsi="Arial" w:cs="Arial"/>
          <w:sz w:val="24"/>
          <w:szCs w:val="24"/>
        </w:rPr>
        <w:tab/>
      </w:r>
      <w:r w:rsidR="00EC687C">
        <w:rPr>
          <w:rFonts w:ascii="Arial" w:hAnsi="Arial" w:cs="Arial"/>
          <w:sz w:val="24"/>
          <w:szCs w:val="24"/>
        </w:rPr>
        <w:t xml:space="preserve">Also for the fact that the Oaks Mine were sold to a third party without a transfer of environmental liabilities </w:t>
      </w:r>
      <w:r w:rsidR="008F3B11">
        <w:rPr>
          <w:rFonts w:ascii="Arial" w:hAnsi="Arial" w:cs="Arial"/>
          <w:sz w:val="24"/>
          <w:szCs w:val="24"/>
        </w:rPr>
        <w:t>filed in terms of s 43 (3) of the MPRDA from DBCM to the game farmer, the 1</w:t>
      </w:r>
      <w:r w:rsidR="008F3B11" w:rsidRPr="008F3B11">
        <w:rPr>
          <w:rFonts w:ascii="Arial" w:hAnsi="Arial" w:cs="Arial"/>
          <w:sz w:val="24"/>
          <w:szCs w:val="24"/>
          <w:vertAlign w:val="superscript"/>
        </w:rPr>
        <w:t>st</w:t>
      </w:r>
      <w:r w:rsidR="008F3B11">
        <w:rPr>
          <w:rFonts w:ascii="Arial" w:hAnsi="Arial" w:cs="Arial"/>
          <w:sz w:val="24"/>
          <w:szCs w:val="24"/>
        </w:rPr>
        <w:t xml:space="preserve"> Respondent argue that its decision was lawful and procedurally fair.</w:t>
      </w:r>
    </w:p>
    <w:p w14:paraId="25CC958A" w14:textId="77777777" w:rsidR="00F61FBC" w:rsidRDefault="00F61FBC" w:rsidP="0051441B">
      <w:pPr>
        <w:tabs>
          <w:tab w:val="left" w:pos="567"/>
        </w:tabs>
        <w:spacing w:after="0" w:line="360" w:lineRule="auto"/>
        <w:jc w:val="both"/>
        <w:rPr>
          <w:rFonts w:ascii="Arial" w:hAnsi="Arial" w:cs="Arial"/>
          <w:sz w:val="24"/>
          <w:szCs w:val="24"/>
        </w:rPr>
      </w:pPr>
    </w:p>
    <w:p w14:paraId="2B72D2BF" w14:textId="542B3A80" w:rsidR="000547B5" w:rsidRPr="009A230B" w:rsidRDefault="000547B5" w:rsidP="0051441B">
      <w:pPr>
        <w:tabs>
          <w:tab w:val="left" w:pos="567"/>
        </w:tabs>
        <w:spacing w:after="0" w:line="360" w:lineRule="auto"/>
        <w:jc w:val="both"/>
        <w:rPr>
          <w:rFonts w:ascii="Arial" w:hAnsi="Arial" w:cs="Arial"/>
          <w:b/>
          <w:sz w:val="24"/>
          <w:szCs w:val="24"/>
        </w:rPr>
      </w:pPr>
      <w:r w:rsidRPr="009A230B">
        <w:rPr>
          <w:rFonts w:ascii="Arial" w:hAnsi="Arial" w:cs="Arial"/>
          <w:b/>
          <w:sz w:val="24"/>
          <w:szCs w:val="24"/>
        </w:rPr>
        <w:t xml:space="preserve">On </w:t>
      </w:r>
      <w:r w:rsidR="001D7610">
        <w:rPr>
          <w:rFonts w:ascii="Arial" w:hAnsi="Arial" w:cs="Arial"/>
          <w:b/>
          <w:sz w:val="24"/>
          <w:szCs w:val="24"/>
        </w:rPr>
        <w:t>DBCM’s</w:t>
      </w:r>
      <w:r w:rsidRPr="009A230B">
        <w:rPr>
          <w:rFonts w:ascii="Arial" w:hAnsi="Arial" w:cs="Arial"/>
          <w:b/>
          <w:sz w:val="24"/>
          <w:szCs w:val="24"/>
        </w:rPr>
        <w:t xml:space="preserve"> grounds of review </w:t>
      </w:r>
    </w:p>
    <w:p w14:paraId="661BAB88" w14:textId="77777777" w:rsidR="009A230B" w:rsidRDefault="000547B5" w:rsidP="0051441B">
      <w:pPr>
        <w:tabs>
          <w:tab w:val="left" w:pos="567"/>
        </w:tabs>
        <w:spacing w:after="0" w:line="360" w:lineRule="auto"/>
        <w:jc w:val="both"/>
        <w:rPr>
          <w:rFonts w:ascii="Arial" w:hAnsi="Arial" w:cs="Arial"/>
          <w:sz w:val="24"/>
          <w:szCs w:val="24"/>
        </w:rPr>
      </w:pPr>
      <w:r>
        <w:rPr>
          <w:rFonts w:ascii="Arial" w:hAnsi="Arial" w:cs="Arial"/>
          <w:sz w:val="24"/>
          <w:szCs w:val="24"/>
        </w:rPr>
        <w:tab/>
      </w:r>
    </w:p>
    <w:p w14:paraId="7A70FA86" w14:textId="09142D54" w:rsidR="000547B5" w:rsidRPr="001D7610" w:rsidRDefault="000547B5" w:rsidP="0051441B">
      <w:pPr>
        <w:tabs>
          <w:tab w:val="left" w:pos="567"/>
        </w:tabs>
        <w:spacing w:after="0" w:line="360" w:lineRule="auto"/>
        <w:jc w:val="both"/>
        <w:rPr>
          <w:rFonts w:ascii="Arial" w:hAnsi="Arial" w:cs="Arial"/>
          <w:b/>
          <w:sz w:val="24"/>
          <w:szCs w:val="24"/>
        </w:rPr>
      </w:pPr>
      <w:r w:rsidRPr="001D7610">
        <w:rPr>
          <w:rFonts w:ascii="Arial" w:hAnsi="Arial" w:cs="Arial"/>
          <w:b/>
          <w:sz w:val="24"/>
          <w:szCs w:val="24"/>
        </w:rPr>
        <w:t>Error in law</w:t>
      </w:r>
    </w:p>
    <w:p w14:paraId="3DAAF05B" w14:textId="5D382DD4" w:rsidR="000547B5" w:rsidRDefault="000547B5" w:rsidP="0051441B">
      <w:pPr>
        <w:tabs>
          <w:tab w:val="left" w:pos="567"/>
        </w:tabs>
        <w:spacing w:after="0" w:line="360" w:lineRule="auto"/>
        <w:jc w:val="both"/>
        <w:rPr>
          <w:rFonts w:ascii="Arial" w:hAnsi="Arial" w:cs="Arial"/>
          <w:sz w:val="24"/>
          <w:szCs w:val="24"/>
        </w:rPr>
      </w:pPr>
    </w:p>
    <w:p w14:paraId="2DDDE6E7" w14:textId="4A926DB9" w:rsidR="00336CD5" w:rsidRDefault="000D4DEB" w:rsidP="0051441B">
      <w:pPr>
        <w:tabs>
          <w:tab w:val="left" w:pos="567"/>
        </w:tabs>
        <w:spacing w:after="0" w:line="360" w:lineRule="auto"/>
        <w:jc w:val="both"/>
        <w:rPr>
          <w:rFonts w:ascii="Arial" w:hAnsi="Arial" w:cs="Arial"/>
          <w:sz w:val="24"/>
          <w:szCs w:val="24"/>
        </w:rPr>
      </w:pPr>
      <w:r>
        <w:rPr>
          <w:rFonts w:ascii="Arial" w:hAnsi="Arial" w:cs="Arial"/>
          <w:sz w:val="24"/>
          <w:szCs w:val="24"/>
        </w:rPr>
        <w:t>[64</w:t>
      </w:r>
      <w:r w:rsidR="000547B5">
        <w:rPr>
          <w:rFonts w:ascii="Arial" w:hAnsi="Arial" w:cs="Arial"/>
          <w:sz w:val="24"/>
          <w:szCs w:val="24"/>
        </w:rPr>
        <w:t>]</w:t>
      </w:r>
      <w:r w:rsidR="009A230B">
        <w:rPr>
          <w:rFonts w:ascii="Arial" w:hAnsi="Arial" w:cs="Arial"/>
          <w:sz w:val="24"/>
          <w:szCs w:val="24"/>
        </w:rPr>
        <w:tab/>
      </w:r>
      <w:r w:rsidR="000547B5">
        <w:rPr>
          <w:rFonts w:ascii="Arial" w:hAnsi="Arial" w:cs="Arial"/>
          <w:sz w:val="24"/>
          <w:szCs w:val="24"/>
        </w:rPr>
        <w:t xml:space="preserve"> On DBCM </w:t>
      </w:r>
      <w:r w:rsidR="009A230B">
        <w:rPr>
          <w:rFonts w:ascii="Arial" w:hAnsi="Arial" w:cs="Arial"/>
          <w:sz w:val="24"/>
          <w:szCs w:val="24"/>
        </w:rPr>
        <w:t>insistence o</w:t>
      </w:r>
      <w:r w:rsidR="000547B5">
        <w:rPr>
          <w:rFonts w:ascii="Arial" w:hAnsi="Arial" w:cs="Arial"/>
          <w:sz w:val="24"/>
          <w:szCs w:val="24"/>
        </w:rPr>
        <w:t xml:space="preserve">n the Application of </w:t>
      </w:r>
      <w:r w:rsidR="009A230B">
        <w:rPr>
          <w:rFonts w:ascii="Arial" w:hAnsi="Arial" w:cs="Arial"/>
          <w:sz w:val="24"/>
          <w:szCs w:val="24"/>
        </w:rPr>
        <w:t>the old s 43 to the amended EMP instead of the amended s 43 of MPRDA in relation to the backfilling of the open pit and the insistence that the amended EM</w:t>
      </w:r>
      <w:r w:rsidR="00BE40F0">
        <w:rPr>
          <w:rFonts w:ascii="Arial" w:hAnsi="Arial" w:cs="Arial"/>
          <w:sz w:val="24"/>
          <w:szCs w:val="24"/>
        </w:rPr>
        <w:t xml:space="preserve">P continues to be in force and that </w:t>
      </w:r>
      <w:r w:rsidR="006C0C4B">
        <w:rPr>
          <w:rFonts w:ascii="Arial" w:hAnsi="Arial" w:cs="Arial"/>
          <w:sz w:val="24"/>
          <w:szCs w:val="24"/>
        </w:rPr>
        <w:t>t</w:t>
      </w:r>
      <w:r w:rsidR="009A230B">
        <w:rPr>
          <w:rFonts w:ascii="Arial" w:hAnsi="Arial" w:cs="Arial"/>
          <w:sz w:val="24"/>
          <w:szCs w:val="24"/>
        </w:rPr>
        <w:t xml:space="preserve">he Closure Application in May 2009 </w:t>
      </w:r>
      <w:r w:rsidR="006C0C4B">
        <w:rPr>
          <w:rFonts w:ascii="Arial" w:hAnsi="Arial" w:cs="Arial"/>
          <w:sz w:val="24"/>
          <w:szCs w:val="24"/>
        </w:rPr>
        <w:t xml:space="preserve">is </w:t>
      </w:r>
      <w:r w:rsidR="009A230B">
        <w:rPr>
          <w:rFonts w:ascii="Arial" w:hAnsi="Arial" w:cs="Arial"/>
          <w:sz w:val="24"/>
          <w:szCs w:val="24"/>
        </w:rPr>
        <w:t xml:space="preserve">governed by s 43 as it stood </w:t>
      </w:r>
      <w:r w:rsidR="00336CD5">
        <w:rPr>
          <w:rFonts w:ascii="Arial" w:hAnsi="Arial" w:cs="Arial"/>
          <w:sz w:val="24"/>
          <w:szCs w:val="24"/>
        </w:rPr>
        <w:t>at the time of the amendment.</w:t>
      </w:r>
      <w:r w:rsidR="009A230B">
        <w:rPr>
          <w:rFonts w:ascii="Arial" w:hAnsi="Arial" w:cs="Arial"/>
          <w:sz w:val="24"/>
          <w:szCs w:val="24"/>
        </w:rPr>
        <w:t xml:space="preserve">  The Respondent argue</w:t>
      </w:r>
      <w:r w:rsidR="00336CD5">
        <w:rPr>
          <w:rFonts w:ascii="Arial" w:hAnsi="Arial" w:cs="Arial"/>
          <w:sz w:val="24"/>
          <w:szCs w:val="24"/>
        </w:rPr>
        <w:t>d</w:t>
      </w:r>
      <w:r w:rsidR="009A230B">
        <w:rPr>
          <w:rFonts w:ascii="Arial" w:hAnsi="Arial" w:cs="Arial"/>
          <w:sz w:val="24"/>
          <w:szCs w:val="24"/>
        </w:rPr>
        <w:t xml:space="preserve"> that as s 43 was amended in 2008 prior to </w:t>
      </w:r>
      <w:r w:rsidR="000A1D61">
        <w:rPr>
          <w:rFonts w:ascii="Arial" w:hAnsi="Arial" w:cs="Arial"/>
          <w:sz w:val="24"/>
          <w:szCs w:val="24"/>
        </w:rPr>
        <w:t xml:space="preserve">DBCM’s filing of </w:t>
      </w:r>
      <w:r w:rsidR="00336CD5">
        <w:rPr>
          <w:rFonts w:ascii="Arial" w:hAnsi="Arial" w:cs="Arial"/>
          <w:sz w:val="24"/>
          <w:szCs w:val="24"/>
        </w:rPr>
        <w:t xml:space="preserve">its </w:t>
      </w:r>
      <w:r w:rsidR="000A1D61">
        <w:rPr>
          <w:rFonts w:ascii="Arial" w:hAnsi="Arial" w:cs="Arial"/>
          <w:sz w:val="24"/>
          <w:szCs w:val="24"/>
        </w:rPr>
        <w:t xml:space="preserve">closure </w:t>
      </w:r>
      <w:r w:rsidR="009A230B">
        <w:rPr>
          <w:rFonts w:ascii="Arial" w:hAnsi="Arial" w:cs="Arial"/>
          <w:sz w:val="24"/>
          <w:szCs w:val="24"/>
        </w:rPr>
        <w:t>Application</w:t>
      </w:r>
      <w:r w:rsidR="000A1D61">
        <w:rPr>
          <w:rFonts w:ascii="Arial" w:hAnsi="Arial" w:cs="Arial"/>
          <w:sz w:val="24"/>
          <w:szCs w:val="24"/>
        </w:rPr>
        <w:t xml:space="preserve">, </w:t>
      </w:r>
      <w:r w:rsidR="00336CD5">
        <w:rPr>
          <w:rFonts w:ascii="Arial" w:hAnsi="Arial" w:cs="Arial"/>
          <w:sz w:val="24"/>
          <w:szCs w:val="24"/>
        </w:rPr>
        <w:t xml:space="preserve">the amended s 43 and s 23 (1) which introduced retrospectivity </w:t>
      </w:r>
      <w:r w:rsidR="00336CD5">
        <w:rPr>
          <w:rFonts w:ascii="Arial" w:hAnsi="Arial" w:cs="Arial"/>
          <w:sz w:val="24"/>
          <w:szCs w:val="24"/>
        </w:rPr>
        <w:lastRenderedPageBreak/>
        <w:t xml:space="preserve">was then applicable in the determination of </w:t>
      </w:r>
      <w:r w:rsidR="000A1D61">
        <w:rPr>
          <w:rFonts w:ascii="Arial" w:hAnsi="Arial" w:cs="Arial"/>
          <w:sz w:val="24"/>
          <w:szCs w:val="24"/>
        </w:rPr>
        <w:t>the Application</w:t>
      </w:r>
      <w:r w:rsidR="00336CD5">
        <w:rPr>
          <w:rFonts w:ascii="Arial" w:hAnsi="Arial" w:cs="Arial"/>
          <w:sz w:val="24"/>
          <w:szCs w:val="24"/>
        </w:rPr>
        <w:t xml:space="preserve">. </w:t>
      </w:r>
      <w:r w:rsidR="000A1D61">
        <w:rPr>
          <w:rFonts w:ascii="Arial" w:hAnsi="Arial" w:cs="Arial"/>
          <w:sz w:val="24"/>
          <w:szCs w:val="24"/>
        </w:rPr>
        <w:t xml:space="preserve"> </w:t>
      </w:r>
      <w:r w:rsidR="00336CD5">
        <w:rPr>
          <w:rFonts w:ascii="Arial" w:hAnsi="Arial" w:cs="Arial"/>
          <w:sz w:val="24"/>
          <w:szCs w:val="24"/>
        </w:rPr>
        <w:t>As a result</w:t>
      </w:r>
      <w:r w:rsidR="00CA28D4">
        <w:rPr>
          <w:rFonts w:ascii="Arial" w:hAnsi="Arial" w:cs="Arial"/>
          <w:sz w:val="24"/>
          <w:szCs w:val="24"/>
        </w:rPr>
        <w:t>,</w:t>
      </w:r>
      <w:r w:rsidR="00336CD5">
        <w:rPr>
          <w:rFonts w:ascii="Arial" w:hAnsi="Arial" w:cs="Arial"/>
          <w:sz w:val="24"/>
          <w:szCs w:val="24"/>
        </w:rPr>
        <w:t xml:space="preserve"> </w:t>
      </w:r>
      <w:r w:rsidR="00005007">
        <w:rPr>
          <w:rFonts w:ascii="Arial" w:hAnsi="Arial" w:cs="Arial"/>
          <w:sz w:val="24"/>
          <w:szCs w:val="24"/>
        </w:rPr>
        <w:t xml:space="preserve">DBCM knew as far back as </w:t>
      </w:r>
      <w:r w:rsidR="00D5423B">
        <w:rPr>
          <w:rFonts w:ascii="Arial" w:hAnsi="Arial" w:cs="Arial"/>
          <w:sz w:val="24"/>
          <w:szCs w:val="24"/>
        </w:rPr>
        <w:t>2008 that it would be liable for environmental degradatio</w:t>
      </w:r>
      <w:r w:rsidR="00336CD5">
        <w:rPr>
          <w:rFonts w:ascii="Arial" w:hAnsi="Arial" w:cs="Arial"/>
          <w:sz w:val="24"/>
          <w:szCs w:val="24"/>
        </w:rPr>
        <w:t xml:space="preserve">n and harm. </w:t>
      </w:r>
    </w:p>
    <w:p w14:paraId="79F2D319" w14:textId="77777777" w:rsidR="00CA28D4" w:rsidRDefault="00CA28D4" w:rsidP="0051441B">
      <w:pPr>
        <w:tabs>
          <w:tab w:val="left" w:pos="567"/>
        </w:tabs>
        <w:spacing w:after="0" w:line="360" w:lineRule="auto"/>
        <w:jc w:val="both"/>
        <w:rPr>
          <w:rFonts w:ascii="Arial" w:hAnsi="Arial" w:cs="Arial"/>
          <w:sz w:val="24"/>
          <w:szCs w:val="24"/>
        </w:rPr>
      </w:pPr>
    </w:p>
    <w:p w14:paraId="45473EA7" w14:textId="1C0A1409" w:rsidR="00BC7D6B" w:rsidRDefault="001D7610"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BF5FBB">
        <w:rPr>
          <w:rFonts w:ascii="Arial" w:hAnsi="Arial" w:cs="Arial"/>
          <w:sz w:val="24"/>
          <w:szCs w:val="24"/>
        </w:rPr>
        <w:t>65</w:t>
      </w:r>
      <w:r w:rsidR="00336CD5">
        <w:rPr>
          <w:rFonts w:ascii="Arial" w:hAnsi="Arial" w:cs="Arial"/>
          <w:sz w:val="24"/>
          <w:szCs w:val="24"/>
        </w:rPr>
        <w:t xml:space="preserve">] </w:t>
      </w:r>
      <w:r w:rsidR="003C57F5">
        <w:rPr>
          <w:rFonts w:ascii="Arial" w:hAnsi="Arial" w:cs="Arial"/>
          <w:sz w:val="24"/>
          <w:szCs w:val="24"/>
        </w:rPr>
        <w:tab/>
        <w:t>Fu</w:t>
      </w:r>
      <w:r w:rsidR="00336CD5">
        <w:rPr>
          <w:rFonts w:ascii="Arial" w:hAnsi="Arial" w:cs="Arial"/>
          <w:sz w:val="24"/>
          <w:szCs w:val="24"/>
        </w:rPr>
        <w:t>rther argue</w:t>
      </w:r>
      <w:r w:rsidR="003C57F5">
        <w:rPr>
          <w:rFonts w:ascii="Arial" w:hAnsi="Arial" w:cs="Arial"/>
          <w:sz w:val="24"/>
          <w:szCs w:val="24"/>
        </w:rPr>
        <w:t>d</w:t>
      </w:r>
      <w:r w:rsidR="00336CD5">
        <w:rPr>
          <w:rFonts w:ascii="Arial" w:hAnsi="Arial" w:cs="Arial"/>
          <w:sz w:val="24"/>
          <w:szCs w:val="24"/>
        </w:rPr>
        <w:t xml:space="preserve"> that the environmental information underpinning the sale of the property is not before court </w:t>
      </w:r>
      <w:r w:rsidR="00CA28D4">
        <w:rPr>
          <w:rFonts w:ascii="Arial" w:hAnsi="Arial" w:cs="Arial"/>
          <w:sz w:val="24"/>
          <w:szCs w:val="24"/>
        </w:rPr>
        <w:t xml:space="preserve">as a result the application must be dismissed. </w:t>
      </w:r>
    </w:p>
    <w:p w14:paraId="47248273" w14:textId="7A828EF1" w:rsidR="00BC7D6B" w:rsidRDefault="00BC7D6B" w:rsidP="0051441B">
      <w:pPr>
        <w:tabs>
          <w:tab w:val="left" w:pos="567"/>
        </w:tabs>
        <w:spacing w:after="0" w:line="360" w:lineRule="auto"/>
        <w:jc w:val="both"/>
        <w:rPr>
          <w:rFonts w:ascii="Arial" w:hAnsi="Arial" w:cs="Arial"/>
          <w:sz w:val="24"/>
          <w:szCs w:val="24"/>
        </w:rPr>
      </w:pPr>
    </w:p>
    <w:p w14:paraId="7DB2B6D3" w14:textId="0D3C4F39" w:rsidR="00BC7D6B" w:rsidRPr="00BC7D6B" w:rsidRDefault="00BC7D6B" w:rsidP="0051441B">
      <w:pPr>
        <w:tabs>
          <w:tab w:val="left" w:pos="567"/>
        </w:tabs>
        <w:spacing w:after="0" w:line="360" w:lineRule="auto"/>
        <w:jc w:val="both"/>
        <w:rPr>
          <w:rFonts w:ascii="Arial" w:hAnsi="Arial" w:cs="Arial"/>
          <w:b/>
          <w:sz w:val="24"/>
          <w:szCs w:val="24"/>
        </w:rPr>
      </w:pPr>
      <w:r w:rsidRPr="00BC7D6B">
        <w:rPr>
          <w:rFonts w:ascii="Arial" w:hAnsi="Arial" w:cs="Arial"/>
          <w:b/>
          <w:sz w:val="24"/>
          <w:szCs w:val="24"/>
        </w:rPr>
        <w:t>Relevant and irrelevant consideration</w:t>
      </w:r>
    </w:p>
    <w:p w14:paraId="720215A8" w14:textId="77777777" w:rsidR="00A94E9D" w:rsidRDefault="00A94E9D" w:rsidP="0051441B">
      <w:pPr>
        <w:tabs>
          <w:tab w:val="left" w:pos="567"/>
        </w:tabs>
        <w:spacing w:after="0" w:line="360" w:lineRule="auto"/>
        <w:jc w:val="both"/>
        <w:rPr>
          <w:rFonts w:ascii="Arial" w:hAnsi="Arial" w:cs="Arial"/>
          <w:sz w:val="24"/>
          <w:szCs w:val="24"/>
        </w:rPr>
      </w:pPr>
    </w:p>
    <w:p w14:paraId="1E11E6A0" w14:textId="214D28CD" w:rsidR="00AD3A75" w:rsidRDefault="001D7610" w:rsidP="0051441B">
      <w:pPr>
        <w:tabs>
          <w:tab w:val="left" w:pos="567"/>
        </w:tabs>
        <w:spacing w:after="0" w:line="360" w:lineRule="auto"/>
        <w:jc w:val="both"/>
        <w:rPr>
          <w:rFonts w:ascii="Arial" w:hAnsi="Arial" w:cs="Arial"/>
          <w:sz w:val="24"/>
          <w:szCs w:val="24"/>
        </w:rPr>
      </w:pPr>
      <w:r>
        <w:rPr>
          <w:rFonts w:ascii="Arial" w:hAnsi="Arial" w:cs="Arial"/>
          <w:sz w:val="24"/>
          <w:szCs w:val="24"/>
        </w:rPr>
        <w:t>[</w:t>
      </w:r>
      <w:r w:rsidR="00BF5FBB">
        <w:rPr>
          <w:rFonts w:ascii="Arial" w:hAnsi="Arial" w:cs="Arial"/>
          <w:sz w:val="24"/>
          <w:szCs w:val="24"/>
        </w:rPr>
        <w:t>66</w:t>
      </w:r>
      <w:r w:rsidR="00BC7D6B">
        <w:rPr>
          <w:rFonts w:ascii="Arial" w:hAnsi="Arial" w:cs="Arial"/>
          <w:sz w:val="24"/>
          <w:szCs w:val="24"/>
        </w:rPr>
        <w:t>]</w:t>
      </w:r>
      <w:r w:rsidR="00BC7D6B">
        <w:rPr>
          <w:rFonts w:ascii="Arial" w:hAnsi="Arial" w:cs="Arial"/>
          <w:sz w:val="24"/>
          <w:szCs w:val="24"/>
        </w:rPr>
        <w:tab/>
        <w:t xml:space="preserve">The </w:t>
      </w:r>
      <w:r>
        <w:rPr>
          <w:rFonts w:ascii="Arial" w:hAnsi="Arial" w:cs="Arial"/>
          <w:sz w:val="24"/>
          <w:szCs w:val="24"/>
        </w:rPr>
        <w:t xml:space="preserve">Respondents submits that DBCM’s </w:t>
      </w:r>
      <w:r w:rsidR="00BC7D6B">
        <w:rPr>
          <w:rFonts w:ascii="Arial" w:hAnsi="Arial" w:cs="Arial"/>
          <w:sz w:val="24"/>
          <w:szCs w:val="24"/>
        </w:rPr>
        <w:t xml:space="preserve">ground of review </w:t>
      </w:r>
      <w:r>
        <w:rPr>
          <w:rFonts w:ascii="Arial" w:hAnsi="Arial" w:cs="Arial"/>
          <w:sz w:val="24"/>
          <w:szCs w:val="24"/>
        </w:rPr>
        <w:t xml:space="preserve">based on </w:t>
      </w:r>
      <w:r w:rsidR="00BC7D6B">
        <w:rPr>
          <w:rFonts w:ascii="Arial" w:hAnsi="Arial" w:cs="Arial"/>
          <w:sz w:val="24"/>
          <w:szCs w:val="24"/>
        </w:rPr>
        <w:t xml:space="preserve">the </w:t>
      </w:r>
      <w:r>
        <w:rPr>
          <w:rFonts w:ascii="Arial" w:hAnsi="Arial" w:cs="Arial"/>
          <w:sz w:val="24"/>
          <w:szCs w:val="24"/>
        </w:rPr>
        <w:t xml:space="preserve">alleged </w:t>
      </w:r>
      <w:r w:rsidR="00BC7D6B">
        <w:rPr>
          <w:rFonts w:ascii="Arial" w:hAnsi="Arial" w:cs="Arial"/>
          <w:sz w:val="24"/>
          <w:szCs w:val="24"/>
        </w:rPr>
        <w:t xml:space="preserve">irrelevant and relevant consideration </w:t>
      </w:r>
      <w:r>
        <w:rPr>
          <w:rFonts w:ascii="Arial" w:hAnsi="Arial" w:cs="Arial"/>
          <w:sz w:val="24"/>
          <w:szCs w:val="24"/>
        </w:rPr>
        <w:t>by the 1</w:t>
      </w:r>
      <w:r w:rsidRPr="001D7610">
        <w:rPr>
          <w:rFonts w:ascii="Arial" w:hAnsi="Arial" w:cs="Arial"/>
          <w:sz w:val="24"/>
          <w:szCs w:val="24"/>
          <w:vertAlign w:val="superscript"/>
        </w:rPr>
        <w:t>st</w:t>
      </w:r>
      <w:r>
        <w:rPr>
          <w:rFonts w:ascii="Arial" w:hAnsi="Arial" w:cs="Arial"/>
          <w:sz w:val="24"/>
          <w:szCs w:val="24"/>
        </w:rPr>
        <w:t xml:space="preserve"> Respondent </w:t>
      </w:r>
      <w:r w:rsidR="00BC7D6B">
        <w:rPr>
          <w:rFonts w:ascii="Arial" w:hAnsi="Arial" w:cs="Arial"/>
          <w:sz w:val="24"/>
          <w:szCs w:val="24"/>
        </w:rPr>
        <w:t xml:space="preserve">in refusing the closure application are lacking </w:t>
      </w:r>
      <w:r>
        <w:rPr>
          <w:rFonts w:ascii="Arial" w:hAnsi="Arial" w:cs="Arial"/>
          <w:sz w:val="24"/>
          <w:szCs w:val="24"/>
        </w:rPr>
        <w:t xml:space="preserve">in </w:t>
      </w:r>
      <w:r w:rsidR="00BC7D6B">
        <w:rPr>
          <w:rFonts w:ascii="Arial" w:hAnsi="Arial" w:cs="Arial"/>
          <w:sz w:val="24"/>
          <w:szCs w:val="24"/>
        </w:rPr>
        <w:t xml:space="preserve">merit due to the fact that DBCM relies on an EMP that is in contravention of the Constitution, NEMA, MPRDA, and NWA, MHSA, NEMBA and HNRA and SPLUMA. </w:t>
      </w:r>
    </w:p>
    <w:p w14:paraId="76E43068" w14:textId="77777777" w:rsidR="001D7610" w:rsidRDefault="001D7610" w:rsidP="0051441B">
      <w:pPr>
        <w:tabs>
          <w:tab w:val="left" w:pos="567"/>
        </w:tabs>
        <w:spacing w:after="0" w:line="360" w:lineRule="auto"/>
        <w:jc w:val="both"/>
        <w:rPr>
          <w:rFonts w:ascii="Arial" w:hAnsi="Arial" w:cs="Arial"/>
          <w:sz w:val="24"/>
          <w:szCs w:val="24"/>
        </w:rPr>
      </w:pPr>
    </w:p>
    <w:p w14:paraId="12F8E8C0" w14:textId="30656100" w:rsidR="00AD3A75" w:rsidRDefault="00BF5FBB" w:rsidP="0051441B">
      <w:pPr>
        <w:tabs>
          <w:tab w:val="left" w:pos="567"/>
        </w:tabs>
        <w:spacing w:after="0" w:line="360" w:lineRule="auto"/>
        <w:jc w:val="both"/>
        <w:rPr>
          <w:rFonts w:ascii="Arial" w:hAnsi="Arial" w:cs="Arial"/>
          <w:sz w:val="24"/>
          <w:szCs w:val="24"/>
        </w:rPr>
      </w:pPr>
      <w:r>
        <w:rPr>
          <w:rFonts w:ascii="Arial" w:hAnsi="Arial" w:cs="Arial"/>
          <w:sz w:val="24"/>
          <w:szCs w:val="24"/>
        </w:rPr>
        <w:t>[67</w:t>
      </w:r>
      <w:r w:rsidR="00AD3A75">
        <w:rPr>
          <w:rFonts w:ascii="Arial" w:hAnsi="Arial" w:cs="Arial"/>
          <w:sz w:val="24"/>
          <w:szCs w:val="24"/>
        </w:rPr>
        <w:t xml:space="preserve">] </w:t>
      </w:r>
      <w:r w:rsidR="00AD3A75">
        <w:rPr>
          <w:rFonts w:ascii="Arial" w:hAnsi="Arial" w:cs="Arial"/>
          <w:sz w:val="24"/>
          <w:szCs w:val="24"/>
        </w:rPr>
        <w:tab/>
        <w:t xml:space="preserve">Also on the question of finances DBCM failed to file the necessary reports and information </w:t>
      </w:r>
      <w:r w:rsidR="00D5423B">
        <w:rPr>
          <w:rFonts w:ascii="Arial" w:hAnsi="Arial" w:cs="Arial"/>
          <w:sz w:val="24"/>
          <w:szCs w:val="24"/>
        </w:rPr>
        <w:t xml:space="preserve"> </w:t>
      </w:r>
    </w:p>
    <w:p w14:paraId="5E2FC5EF" w14:textId="77777777" w:rsidR="001D7610" w:rsidRDefault="001D7610" w:rsidP="0051441B">
      <w:pPr>
        <w:tabs>
          <w:tab w:val="left" w:pos="567"/>
        </w:tabs>
        <w:spacing w:after="0" w:line="360" w:lineRule="auto"/>
        <w:jc w:val="both"/>
        <w:rPr>
          <w:rFonts w:ascii="Arial" w:hAnsi="Arial" w:cs="Arial"/>
          <w:b/>
          <w:sz w:val="24"/>
          <w:szCs w:val="24"/>
        </w:rPr>
      </w:pPr>
    </w:p>
    <w:p w14:paraId="2A98B029" w14:textId="0657B213" w:rsidR="00AD3A75" w:rsidRPr="005E123B" w:rsidRDefault="00AD3A75" w:rsidP="0051441B">
      <w:pPr>
        <w:tabs>
          <w:tab w:val="left" w:pos="567"/>
        </w:tabs>
        <w:spacing w:after="0" w:line="360" w:lineRule="auto"/>
        <w:jc w:val="both"/>
        <w:rPr>
          <w:rFonts w:ascii="Arial" w:hAnsi="Arial" w:cs="Arial"/>
          <w:b/>
          <w:sz w:val="24"/>
          <w:szCs w:val="24"/>
        </w:rPr>
      </w:pPr>
      <w:r w:rsidRPr="005E123B">
        <w:rPr>
          <w:rFonts w:ascii="Arial" w:hAnsi="Arial" w:cs="Arial"/>
          <w:b/>
          <w:sz w:val="24"/>
          <w:szCs w:val="24"/>
        </w:rPr>
        <w:t xml:space="preserve">On the </w:t>
      </w:r>
      <w:r w:rsidR="001D7610">
        <w:rPr>
          <w:rFonts w:ascii="Arial" w:hAnsi="Arial" w:cs="Arial"/>
          <w:b/>
          <w:sz w:val="24"/>
          <w:szCs w:val="24"/>
        </w:rPr>
        <w:t>2</w:t>
      </w:r>
      <w:r w:rsidR="001D7610" w:rsidRPr="001D7610">
        <w:rPr>
          <w:rFonts w:ascii="Arial" w:hAnsi="Arial" w:cs="Arial"/>
          <w:b/>
          <w:sz w:val="24"/>
          <w:szCs w:val="24"/>
          <w:vertAlign w:val="superscript"/>
        </w:rPr>
        <w:t>nd</w:t>
      </w:r>
      <w:r w:rsidR="001D7610">
        <w:rPr>
          <w:rFonts w:ascii="Arial" w:hAnsi="Arial" w:cs="Arial"/>
          <w:b/>
          <w:sz w:val="24"/>
          <w:szCs w:val="24"/>
        </w:rPr>
        <w:t xml:space="preserve"> Respondent’s </w:t>
      </w:r>
      <w:r w:rsidRPr="005E123B">
        <w:rPr>
          <w:rFonts w:ascii="Arial" w:hAnsi="Arial" w:cs="Arial"/>
          <w:b/>
          <w:sz w:val="24"/>
          <w:szCs w:val="24"/>
        </w:rPr>
        <w:t xml:space="preserve">failure to decide the internal appeal </w:t>
      </w:r>
    </w:p>
    <w:p w14:paraId="280A3CF9" w14:textId="77777777" w:rsidR="001D7610" w:rsidRDefault="001D7610" w:rsidP="0051441B">
      <w:pPr>
        <w:tabs>
          <w:tab w:val="left" w:pos="567"/>
        </w:tabs>
        <w:spacing w:after="0" w:line="360" w:lineRule="auto"/>
        <w:jc w:val="both"/>
        <w:rPr>
          <w:rFonts w:ascii="Arial" w:hAnsi="Arial" w:cs="Arial"/>
          <w:sz w:val="24"/>
          <w:szCs w:val="24"/>
        </w:rPr>
      </w:pPr>
    </w:p>
    <w:p w14:paraId="666E996E" w14:textId="38467B99" w:rsidR="007800C3" w:rsidRDefault="00BF5FBB" w:rsidP="0051441B">
      <w:pPr>
        <w:tabs>
          <w:tab w:val="left" w:pos="567"/>
        </w:tabs>
        <w:spacing w:after="0" w:line="360" w:lineRule="auto"/>
        <w:jc w:val="both"/>
        <w:rPr>
          <w:rFonts w:ascii="Arial" w:hAnsi="Arial" w:cs="Arial"/>
          <w:sz w:val="24"/>
          <w:szCs w:val="24"/>
        </w:rPr>
      </w:pPr>
      <w:r>
        <w:rPr>
          <w:rFonts w:ascii="Arial" w:hAnsi="Arial" w:cs="Arial"/>
          <w:sz w:val="24"/>
          <w:szCs w:val="24"/>
        </w:rPr>
        <w:t>[68</w:t>
      </w:r>
      <w:r w:rsidR="00AD3A75">
        <w:rPr>
          <w:rFonts w:ascii="Arial" w:hAnsi="Arial" w:cs="Arial"/>
          <w:sz w:val="24"/>
          <w:szCs w:val="24"/>
        </w:rPr>
        <w:t>]</w:t>
      </w:r>
      <w:r w:rsidR="00AD3A75">
        <w:rPr>
          <w:rFonts w:ascii="Arial" w:hAnsi="Arial" w:cs="Arial"/>
          <w:sz w:val="24"/>
          <w:szCs w:val="24"/>
        </w:rPr>
        <w:tab/>
      </w:r>
      <w:r>
        <w:rPr>
          <w:rFonts w:ascii="Arial" w:hAnsi="Arial" w:cs="Arial"/>
          <w:sz w:val="24"/>
          <w:szCs w:val="24"/>
        </w:rPr>
        <w:t xml:space="preserve">On </w:t>
      </w:r>
      <w:r w:rsidR="00AD3A75">
        <w:rPr>
          <w:rFonts w:ascii="Arial" w:hAnsi="Arial" w:cs="Arial"/>
          <w:sz w:val="24"/>
          <w:szCs w:val="24"/>
        </w:rPr>
        <w:t>DBCM</w:t>
      </w:r>
      <w:r>
        <w:rPr>
          <w:rFonts w:ascii="Arial" w:hAnsi="Arial" w:cs="Arial"/>
          <w:sz w:val="24"/>
          <w:szCs w:val="24"/>
        </w:rPr>
        <w:t>’s</w:t>
      </w:r>
      <w:r w:rsidR="00AD3A75">
        <w:rPr>
          <w:rFonts w:ascii="Arial" w:hAnsi="Arial" w:cs="Arial"/>
          <w:sz w:val="24"/>
          <w:szCs w:val="24"/>
        </w:rPr>
        <w:t xml:space="preserve"> </w:t>
      </w:r>
      <w:r>
        <w:rPr>
          <w:rFonts w:ascii="Arial" w:hAnsi="Arial" w:cs="Arial"/>
          <w:sz w:val="24"/>
          <w:szCs w:val="24"/>
        </w:rPr>
        <w:t>allegation t</w:t>
      </w:r>
      <w:r w:rsidR="00AD3A75">
        <w:rPr>
          <w:rFonts w:ascii="Arial" w:hAnsi="Arial" w:cs="Arial"/>
          <w:sz w:val="24"/>
          <w:szCs w:val="24"/>
        </w:rPr>
        <w:t xml:space="preserve">hat </w:t>
      </w:r>
      <w:r w:rsidR="001D7610">
        <w:rPr>
          <w:rFonts w:ascii="Arial" w:hAnsi="Arial" w:cs="Arial"/>
          <w:sz w:val="24"/>
          <w:szCs w:val="24"/>
        </w:rPr>
        <w:t xml:space="preserve">6 months had lapsed since </w:t>
      </w:r>
      <w:r w:rsidR="00AD3A75">
        <w:rPr>
          <w:rFonts w:ascii="Arial" w:hAnsi="Arial" w:cs="Arial"/>
          <w:sz w:val="24"/>
          <w:szCs w:val="24"/>
        </w:rPr>
        <w:t>their internal appeal</w:t>
      </w:r>
      <w:r w:rsidR="009A230B">
        <w:rPr>
          <w:rFonts w:ascii="Arial" w:hAnsi="Arial" w:cs="Arial"/>
          <w:sz w:val="24"/>
          <w:szCs w:val="24"/>
        </w:rPr>
        <w:t xml:space="preserve"> </w:t>
      </w:r>
      <w:r w:rsidR="001D7610">
        <w:rPr>
          <w:rFonts w:ascii="Arial" w:hAnsi="Arial" w:cs="Arial"/>
          <w:sz w:val="24"/>
          <w:szCs w:val="24"/>
        </w:rPr>
        <w:t>against the 1</w:t>
      </w:r>
      <w:r w:rsidR="001D7610" w:rsidRPr="001D7610">
        <w:rPr>
          <w:rFonts w:ascii="Arial" w:hAnsi="Arial" w:cs="Arial"/>
          <w:sz w:val="24"/>
          <w:szCs w:val="24"/>
          <w:vertAlign w:val="superscript"/>
        </w:rPr>
        <w:t>st</w:t>
      </w:r>
      <w:r w:rsidR="001D7610">
        <w:rPr>
          <w:rFonts w:ascii="Arial" w:hAnsi="Arial" w:cs="Arial"/>
          <w:sz w:val="24"/>
          <w:szCs w:val="24"/>
        </w:rPr>
        <w:t xml:space="preserve"> Respondent’s failure to process the closure application was </w:t>
      </w:r>
      <w:r w:rsidR="00AD3A75">
        <w:rPr>
          <w:rFonts w:ascii="Arial" w:hAnsi="Arial" w:cs="Arial"/>
          <w:sz w:val="24"/>
          <w:szCs w:val="24"/>
        </w:rPr>
        <w:t>lodged on 20 July 2020</w:t>
      </w:r>
      <w:r>
        <w:rPr>
          <w:rFonts w:ascii="Arial" w:hAnsi="Arial" w:cs="Arial"/>
          <w:sz w:val="24"/>
          <w:szCs w:val="24"/>
        </w:rPr>
        <w:t>,</w:t>
      </w:r>
      <w:r w:rsidR="001D7610">
        <w:rPr>
          <w:rFonts w:ascii="Arial" w:hAnsi="Arial" w:cs="Arial"/>
          <w:sz w:val="24"/>
          <w:szCs w:val="24"/>
        </w:rPr>
        <w:t xml:space="preserve"> therefore</w:t>
      </w:r>
      <w:r w:rsidR="00BE40F0">
        <w:rPr>
          <w:rFonts w:ascii="Arial" w:hAnsi="Arial" w:cs="Arial"/>
          <w:sz w:val="24"/>
          <w:szCs w:val="24"/>
        </w:rPr>
        <w:t xml:space="preserve"> </w:t>
      </w:r>
      <w:r w:rsidR="001D7610">
        <w:rPr>
          <w:rFonts w:ascii="Arial" w:hAnsi="Arial" w:cs="Arial"/>
          <w:sz w:val="24"/>
          <w:szCs w:val="24"/>
        </w:rPr>
        <w:t>the Department</w:t>
      </w:r>
      <w:r w:rsidR="00BE40F0">
        <w:rPr>
          <w:rFonts w:ascii="Arial" w:hAnsi="Arial" w:cs="Arial"/>
          <w:sz w:val="24"/>
          <w:szCs w:val="24"/>
        </w:rPr>
        <w:t>’s delay</w:t>
      </w:r>
      <w:r w:rsidR="001D7610">
        <w:rPr>
          <w:rFonts w:ascii="Arial" w:hAnsi="Arial" w:cs="Arial"/>
          <w:sz w:val="24"/>
          <w:szCs w:val="24"/>
        </w:rPr>
        <w:t xml:space="preserve"> to respond </w:t>
      </w:r>
      <w:r w:rsidR="00BE40F0">
        <w:rPr>
          <w:rFonts w:ascii="Arial" w:hAnsi="Arial" w:cs="Arial"/>
          <w:sz w:val="24"/>
          <w:szCs w:val="24"/>
        </w:rPr>
        <w:t xml:space="preserve">is </w:t>
      </w:r>
      <w:r w:rsidR="005E123B">
        <w:rPr>
          <w:rFonts w:ascii="Arial" w:hAnsi="Arial" w:cs="Arial"/>
          <w:sz w:val="24"/>
          <w:szCs w:val="24"/>
        </w:rPr>
        <w:t>in contravention of PAJA and DBCM entitled to seek order for DMRE to make a decision</w:t>
      </w:r>
      <w:r w:rsidR="001D7610">
        <w:rPr>
          <w:rFonts w:ascii="Arial" w:hAnsi="Arial" w:cs="Arial"/>
          <w:sz w:val="24"/>
          <w:szCs w:val="24"/>
        </w:rPr>
        <w:t>.</w:t>
      </w:r>
      <w:r w:rsidR="00AD3A75">
        <w:rPr>
          <w:rFonts w:ascii="Arial" w:hAnsi="Arial" w:cs="Arial"/>
          <w:sz w:val="24"/>
          <w:szCs w:val="24"/>
        </w:rPr>
        <w:t xml:space="preserve"> Also that a period of 10 years has lapsed since DBCM had lodged its closure Application. </w:t>
      </w:r>
      <w:r w:rsidR="005E123B">
        <w:rPr>
          <w:rFonts w:ascii="Arial" w:hAnsi="Arial" w:cs="Arial"/>
          <w:sz w:val="24"/>
          <w:szCs w:val="24"/>
        </w:rPr>
        <w:t xml:space="preserve">The Respondent </w:t>
      </w:r>
      <w:r w:rsidR="001D7610">
        <w:rPr>
          <w:rFonts w:ascii="Arial" w:hAnsi="Arial" w:cs="Arial"/>
          <w:sz w:val="24"/>
          <w:szCs w:val="24"/>
        </w:rPr>
        <w:t xml:space="preserve">pointed out that </w:t>
      </w:r>
      <w:r w:rsidR="005E123B">
        <w:rPr>
          <w:rFonts w:ascii="Arial" w:hAnsi="Arial" w:cs="Arial"/>
          <w:sz w:val="24"/>
          <w:szCs w:val="24"/>
        </w:rPr>
        <w:t xml:space="preserve">DBCM was notified of the </w:t>
      </w:r>
      <w:r w:rsidR="0076095F">
        <w:rPr>
          <w:rFonts w:ascii="Arial" w:hAnsi="Arial" w:cs="Arial"/>
          <w:sz w:val="24"/>
          <w:szCs w:val="24"/>
        </w:rPr>
        <w:t>1</w:t>
      </w:r>
      <w:r w:rsidR="0076095F" w:rsidRPr="0076095F">
        <w:rPr>
          <w:rFonts w:ascii="Arial" w:hAnsi="Arial" w:cs="Arial"/>
          <w:sz w:val="24"/>
          <w:szCs w:val="24"/>
          <w:vertAlign w:val="superscript"/>
        </w:rPr>
        <w:t>st</w:t>
      </w:r>
      <w:r w:rsidR="0076095F">
        <w:rPr>
          <w:rFonts w:ascii="Arial" w:hAnsi="Arial" w:cs="Arial"/>
          <w:sz w:val="24"/>
          <w:szCs w:val="24"/>
        </w:rPr>
        <w:t xml:space="preserve"> Respondent’s </w:t>
      </w:r>
      <w:r w:rsidR="005E123B">
        <w:rPr>
          <w:rFonts w:ascii="Arial" w:hAnsi="Arial" w:cs="Arial"/>
          <w:sz w:val="24"/>
          <w:szCs w:val="24"/>
        </w:rPr>
        <w:t xml:space="preserve">response in July 2011 and November 2012 to dismiss its closure application and it failed to appeal the decision to the DG /DMRE in terms of s </w:t>
      </w:r>
      <w:r w:rsidR="00497B62">
        <w:rPr>
          <w:rFonts w:ascii="Arial" w:hAnsi="Arial" w:cs="Arial"/>
          <w:sz w:val="24"/>
          <w:szCs w:val="24"/>
        </w:rPr>
        <w:t>9</w:t>
      </w:r>
      <w:r w:rsidR="005E123B">
        <w:rPr>
          <w:rFonts w:ascii="Arial" w:hAnsi="Arial" w:cs="Arial"/>
          <w:sz w:val="24"/>
          <w:szCs w:val="24"/>
        </w:rPr>
        <w:t xml:space="preserve">6 </w:t>
      </w:r>
      <w:r w:rsidR="00497B62">
        <w:rPr>
          <w:rFonts w:ascii="Arial" w:hAnsi="Arial" w:cs="Arial"/>
          <w:sz w:val="24"/>
          <w:szCs w:val="24"/>
        </w:rPr>
        <w:t>of the MPRDA</w:t>
      </w:r>
      <w:r w:rsidR="005E123B">
        <w:rPr>
          <w:rFonts w:ascii="Arial" w:hAnsi="Arial" w:cs="Arial"/>
          <w:sz w:val="24"/>
          <w:szCs w:val="24"/>
        </w:rPr>
        <w:t xml:space="preserve"> </w:t>
      </w:r>
      <w:r w:rsidR="001D7610">
        <w:rPr>
          <w:rFonts w:ascii="Arial" w:hAnsi="Arial" w:cs="Arial"/>
          <w:sz w:val="24"/>
          <w:szCs w:val="24"/>
        </w:rPr>
        <w:t xml:space="preserve">or </w:t>
      </w:r>
      <w:r w:rsidR="005E123B">
        <w:rPr>
          <w:rFonts w:ascii="Arial" w:hAnsi="Arial" w:cs="Arial"/>
          <w:sz w:val="24"/>
          <w:szCs w:val="24"/>
        </w:rPr>
        <w:t xml:space="preserve">to respond since </w:t>
      </w:r>
      <w:r w:rsidR="007800C3">
        <w:rPr>
          <w:rFonts w:ascii="Arial" w:hAnsi="Arial" w:cs="Arial"/>
          <w:sz w:val="24"/>
          <w:szCs w:val="24"/>
        </w:rPr>
        <w:t xml:space="preserve">then </w:t>
      </w:r>
      <w:r w:rsidR="005E123B">
        <w:rPr>
          <w:rFonts w:ascii="Arial" w:hAnsi="Arial" w:cs="Arial"/>
          <w:sz w:val="24"/>
          <w:szCs w:val="24"/>
        </w:rPr>
        <w:t xml:space="preserve">until </w:t>
      </w:r>
      <w:r w:rsidR="007800C3">
        <w:rPr>
          <w:rFonts w:ascii="Arial" w:hAnsi="Arial" w:cs="Arial"/>
          <w:sz w:val="24"/>
          <w:szCs w:val="24"/>
        </w:rPr>
        <w:t xml:space="preserve">after </w:t>
      </w:r>
      <w:r w:rsidR="005E123B">
        <w:rPr>
          <w:rFonts w:ascii="Arial" w:hAnsi="Arial" w:cs="Arial"/>
          <w:sz w:val="24"/>
          <w:szCs w:val="24"/>
        </w:rPr>
        <w:t>201</w:t>
      </w:r>
      <w:r w:rsidR="007800C3">
        <w:rPr>
          <w:rFonts w:ascii="Arial" w:hAnsi="Arial" w:cs="Arial"/>
          <w:sz w:val="24"/>
          <w:szCs w:val="24"/>
        </w:rPr>
        <w:t xml:space="preserve">8. It also filed its review whilst its </w:t>
      </w:r>
      <w:r w:rsidR="009F0DB6">
        <w:rPr>
          <w:rFonts w:ascii="Arial" w:hAnsi="Arial" w:cs="Arial"/>
          <w:sz w:val="24"/>
          <w:szCs w:val="24"/>
        </w:rPr>
        <w:t>appeal</w:t>
      </w:r>
      <w:r w:rsidR="007800C3">
        <w:rPr>
          <w:rFonts w:ascii="Arial" w:hAnsi="Arial" w:cs="Arial"/>
          <w:sz w:val="24"/>
          <w:szCs w:val="24"/>
        </w:rPr>
        <w:t xml:space="preserve"> was still under consideration by the DG and for all these reasons the review should be dismissed.</w:t>
      </w:r>
    </w:p>
    <w:p w14:paraId="0E8B5ED0" w14:textId="77777777" w:rsidR="007800C3" w:rsidRDefault="007800C3" w:rsidP="0051441B">
      <w:pPr>
        <w:tabs>
          <w:tab w:val="left" w:pos="567"/>
        </w:tabs>
        <w:spacing w:after="0" w:line="360" w:lineRule="auto"/>
        <w:jc w:val="both"/>
        <w:rPr>
          <w:rFonts w:ascii="Arial" w:hAnsi="Arial" w:cs="Arial"/>
          <w:sz w:val="24"/>
          <w:szCs w:val="24"/>
        </w:rPr>
      </w:pPr>
    </w:p>
    <w:p w14:paraId="4F68A92B" w14:textId="41048748" w:rsidR="000547B5" w:rsidRPr="007800C3" w:rsidRDefault="007800C3" w:rsidP="0051441B">
      <w:pPr>
        <w:tabs>
          <w:tab w:val="left" w:pos="567"/>
        </w:tabs>
        <w:spacing w:after="0" w:line="360" w:lineRule="auto"/>
        <w:jc w:val="both"/>
        <w:rPr>
          <w:rFonts w:ascii="Arial" w:hAnsi="Arial" w:cs="Arial"/>
          <w:b/>
          <w:sz w:val="24"/>
          <w:szCs w:val="24"/>
        </w:rPr>
      </w:pPr>
      <w:r w:rsidRPr="007800C3">
        <w:rPr>
          <w:rFonts w:ascii="Arial" w:hAnsi="Arial" w:cs="Arial"/>
          <w:b/>
          <w:sz w:val="24"/>
          <w:szCs w:val="24"/>
        </w:rPr>
        <w:t xml:space="preserve">On the legality principle,   </w:t>
      </w:r>
    </w:p>
    <w:p w14:paraId="604F0BC6" w14:textId="77777777" w:rsidR="007800C3" w:rsidRDefault="007800C3" w:rsidP="007800C3">
      <w:pPr>
        <w:tabs>
          <w:tab w:val="left" w:pos="567"/>
        </w:tabs>
        <w:spacing w:after="0" w:line="360" w:lineRule="auto"/>
        <w:jc w:val="both"/>
        <w:rPr>
          <w:rFonts w:ascii="Arial" w:hAnsi="Arial" w:cs="Arial"/>
          <w:sz w:val="24"/>
          <w:szCs w:val="24"/>
        </w:rPr>
      </w:pPr>
    </w:p>
    <w:p w14:paraId="3A8F34D1" w14:textId="11784AE5" w:rsidR="000547B5" w:rsidRDefault="00BF5FBB" w:rsidP="007800C3">
      <w:pPr>
        <w:tabs>
          <w:tab w:val="left" w:pos="567"/>
        </w:tabs>
        <w:spacing w:after="0" w:line="360" w:lineRule="auto"/>
        <w:jc w:val="both"/>
        <w:rPr>
          <w:rFonts w:ascii="Arial" w:hAnsi="Arial" w:cs="Arial"/>
          <w:sz w:val="24"/>
          <w:szCs w:val="24"/>
        </w:rPr>
      </w:pPr>
      <w:r>
        <w:rPr>
          <w:rFonts w:ascii="Arial" w:hAnsi="Arial" w:cs="Arial"/>
          <w:sz w:val="24"/>
          <w:szCs w:val="24"/>
        </w:rPr>
        <w:lastRenderedPageBreak/>
        <w:t>[69</w:t>
      </w:r>
      <w:r w:rsidR="007800C3">
        <w:rPr>
          <w:rFonts w:ascii="Arial" w:hAnsi="Arial" w:cs="Arial"/>
          <w:sz w:val="24"/>
          <w:szCs w:val="24"/>
        </w:rPr>
        <w:t>]</w:t>
      </w:r>
      <w:r>
        <w:rPr>
          <w:rFonts w:ascii="Arial" w:hAnsi="Arial" w:cs="Arial"/>
          <w:sz w:val="24"/>
          <w:szCs w:val="24"/>
        </w:rPr>
        <w:tab/>
      </w:r>
      <w:r w:rsidR="007800C3">
        <w:rPr>
          <w:rFonts w:ascii="Arial" w:hAnsi="Arial" w:cs="Arial"/>
          <w:sz w:val="24"/>
          <w:szCs w:val="24"/>
        </w:rPr>
        <w:t xml:space="preserve"> The Respondent</w:t>
      </w:r>
      <w:r w:rsidR="009F0DB6">
        <w:rPr>
          <w:rFonts w:ascii="Arial" w:hAnsi="Arial" w:cs="Arial"/>
          <w:sz w:val="24"/>
          <w:szCs w:val="24"/>
        </w:rPr>
        <w:t>s</w:t>
      </w:r>
      <w:r w:rsidR="007800C3">
        <w:rPr>
          <w:rFonts w:ascii="Arial" w:hAnsi="Arial" w:cs="Arial"/>
          <w:sz w:val="24"/>
          <w:szCs w:val="24"/>
        </w:rPr>
        <w:t xml:space="preserve"> alleged that DBCM failed to make a case under the principle of legality as they contend the decision to refuse the Application was consistent with the principle of legality and the Constitution. </w:t>
      </w:r>
    </w:p>
    <w:p w14:paraId="4573CCB1" w14:textId="77777777" w:rsidR="007800C3" w:rsidRDefault="007800C3" w:rsidP="007800C3">
      <w:pPr>
        <w:tabs>
          <w:tab w:val="left" w:pos="567"/>
        </w:tabs>
        <w:spacing w:after="0" w:line="360" w:lineRule="auto"/>
        <w:jc w:val="both"/>
        <w:rPr>
          <w:rFonts w:ascii="Arial" w:hAnsi="Arial" w:cs="Arial"/>
          <w:sz w:val="24"/>
          <w:szCs w:val="24"/>
        </w:rPr>
      </w:pPr>
    </w:p>
    <w:p w14:paraId="5A6DDCC0" w14:textId="3A3C2648" w:rsidR="007800C3" w:rsidRPr="00A41AC7" w:rsidRDefault="007800C3" w:rsidP="007800C3">
      <w:pPr>
        <w:tabs>
          <w:tab w:val="left" w:pos="567"/>
        </w:tabs>
        <w:spacing w:after="0" w:line="360" w:lineRule="auto"/>
        <w:jc w:val="both"/>
        <w:rPr>
          <w:rFonts w:ascii="Arial" w:hAnsi="Arial" w:cs="Arial"/>
          <w:b/>
          <w:sz w:val="24"/>
          <w:szCs w:val="24"/>
        </w:rPr>
      </w:pPr>
      <w:r w:rsidRPr="00A41AC7">
        <w:rPr>
          <w:rFonts w:ascii="Arial" w:hAnsi="Arial" w:cs="Arial"/>
          <w:b/>
          <w:sz w:val="24"/>
          <w:szCs w:val="24"/>
        </w:rPr>
        <w:t>Compliance with internal remedies</w:t>
      </w:r>
    </w:p>
    <w:p w14:paraId="47C02003" w14:textId="77777777" w:rsidR="00EA267B" w:rsidRDefault="00EA267B" w:rsidP="007800C3">
      <w:pPr>
        <w:tabs>
          <w:tab w:val="left" w:pos="567"/>
        </w:tabs>
        <w:spacing w:after="0" w:line="360" w:lineRule="auto"/>
        <w:jc w:val="both"/>
        <w:rPr>
          <w:rFonts w:ascii="Arial" w:hAnsi="Arial" w:cs="Arial"/>
          <w:sz w:val="24"/>
          <w:szCs w:val="24"/>
        </w:rPr>
      </w:pPr>
    </w:p>
    <w:p w14:paraId="162AC018" w14:textId="1C3881DF" w:rsidR="007800C3" w:rsidRDefault="001D7610" w:rsidP="007800C3">
      <w:pPr>
        <w:tabs>
          <w:tab w:val="left" w:pos="567"/>
        </w:tabs>
        <w:spacing w:after="0" w:line="360" w:lineRule="auto"/>
        <w:jc w:val="both"/>
        <w:rPr>
          <w:rFonts w:ascii="Arial" w:hAnsi="Arial" w:cs="Arial"/>
          <w:sz w:val="24"/>
          <w:szCs w:val="24"/>
        </w:rPr>
      </w:pPr>
      <w:r>
        <w:rPr>
          <w:rFonts w:ascii="Arial" w:hAnsi="Arial" w:cs="Arial"/>
          <w:sz w:val="24"/>
          <w:szCs w:val="24"/>
        </w:rPr>
        <w:t>[</w:t>
      </w:r>
      <w:r w:rsidR="00BF5FBB">
        <w:rPr>
          <w:rFonts w:ascii="Arial" w:hAnsi="Arial" w:cs="Arial"/>
          <w:sz w:val="24"/>
          <w:szCs w:val="24"/>
        </w:rPr>
        <w:t>70</w:t>
      </w:r>
      <w:r w:rsidR="007800C3">
        <w:rPr>
          <w:rFonts w:ascii="Arial" w:hAnsi="Arial" w:cs="Arial"/>
          <w:sz w:val="24"/>
          <w:szCs w:val="24"/>
        </w:rPr>
        <w:t>]</w:t>
      </w:r>
      <w:r w:rsidR="007800C3">
        <w:rPr>
          <w:rFonts w:ascii="Arial" w:hAnsi="Arial" w:cs="Arial"/>
          <w:sz w:val="24"/>
          <w:szCs w:val="24"/>
        </w:rPr>
        <w:tab/>
      </w:r>
      <w:r w:rsidR="00A41AC7">
        <w:rPr>
          <w:rFonts w:ascii="Arial" w:hAnsi="Arial" w:cs="Arial"/>
          <w:sz w:val="24"/>
          <w:szCs w:val="24"/>
        </w:rPr>
        <w:t xml:space="preserve">The Respondent refutes the allegation that </w:t>
      </w:r>
      <w:r w:rsidR="003C57F5">
        <w:rPr>
          <w:rFonts w:ascii="Arial" w:hAnsi="Arial" w:cs="Arial"/>
          <w:sz w:val="24"/>
          <w:szCs w:val="24"/>
        </w:rPr>
        <w:t xml:space="preserve">DBCM took </w:t>
      </w:r>
      <w:r w:rsidR="00A41AC7">
        <w:rPr>
          <w:rFonts w:ascii="Arial" w:hAnsi="Arial" w:cs="Arial"/>
          <w:sz w:val="24"/>
          <w:szCs w:val="24"/>
        </w:rPr>
        <w:t>reasonable steps to exhaust the</w:t>
      </w:r>
      <w:r w:rsidR="001D05DB">
        <w:rPr>
          <w:rFonts w:ascii="Arial" w:hAnsi="Arial" w:cs="Arial"/>
          <w:sz w:val="24"/>
          <w:szCs w:val="24"/>
        </w:rPr>
        <w:t xml:space="preserve"> </w:t>
      </w:r>
      <w:r w:rsidR="00EA267B">
        <w:rPr>
          <w:rFonts w:ascii="Arial" w:hAnsi="Arial" w:cs="Arial"/>
          <w:sz w:val="24"/>
          <w:szCs w:val="24"/>
        </w:rPr>
        <w:t xml:space="preserve">s </w:t>
      </w:r>
      <w:r w:rsidR="001D05DB">
        <w:rPr>
          <w:rFonts w:ascii="Arial" w:hAnsi="Arial" w:cs="Arial"/>
          <w:sz w:val="24"/>
          <w:szCs w:val="24"/>
        </w:rPr>
        <w:t xml:space="preserve">96 </w:t>
      </w:r>
      <w:r w:rsidR="00A41AC7">
        <w:rPr>
          <w:rFonts w:ascii="Arial" w:hAnsi="Arial" w:cs="Arial"/>
          <w:sz w:val="24"/>
          <w:szCs w:val="24"/>
        </w:rPr>
        <w:t xml:space="preserve">internal </w:t>
      </w:r>
      <w:r w:rsidR="001D05DB">
        <w:rPr>
          <w:rFonts w:ascii="Arial" w:hAnsi="Arial" w:cs="Arial"/>
          <w:sz w:val="24"/>
          <w:szCs w:val="24"/>
        </w:rPr>
        <w:t xml:space="preserve">appeal </w:t>
      </w:r>
      <w:r w:rsidR="00A41AC7">
        <w:rPr>
          <w:rFonts w:ascii="Arial" w:hAnsi="Arial" w:cs="Arial"/>
          <w:sz w:val="24"/>
          <w:szCs w:val="24"/>
        </w:rPr>
        <w:t>remedies</w:t>
      </w:r>
      <w:r w:rsidR="00EA267B">
        <w:rPr>
          <w:rFonts w:ascii="Arial" w:hAnsi="Arial" w:cs="Arial"/>
          <w:sz w:val="24"/>
          <w:szCs w:val="24"/>
        </w:rPr>
        <w:t xml:space="preserve"> </w:t>
      </w:r>
      <w:r w:rsidR="001D05DB">
        <w:rPr>
          <w:rFonts w:ascii="Arial" w:hAnsi="Arial" w:cs="Arial"/>
          <w:sz w:val="24"/>
          <w:szCs w:val="24"/>
        </w:rPr>
        <w:t xml:space="preserve">of the MPRDA </w:t>
      </w:r>
      <w:r w:rsidR="00EA267B">
        <w:rPr>
          <w:rFonts w:ascii="Arial" w:hAnsi="Arial" w:cs="Arial"/>
          <w:sz w:val="24"/>
          <w:szCs w:val="24"/>
        </w:rPr>
        <w:t>and has been frustrated by</w:t>
      </w:r>
      <w:r w:rsidR="001D05DB">
        <w:rPr>
          <w:rFonts w:ascii="Arial" w:hAnsi="Arial" w:cs="Arial"/>
          <w:sz w:val="24"/>
          <w:szCs w:val="24"/>
        </w:rPr>
        <w:t xml:space="preserve"> the DMRE </w:t>
      </w:r>
      <w:r w:rsidR="00EA267B">
        <w:rPr>
          <w:rFonts w:ascii="Arial" w:hAnsi="Arial" w:cs="Arial"/>
          <w:sz w:val="24"/>
          <w:szCs w:val="24"/>
        </w:rPr>
        <w:t>del</w:t>
      </w:r>
      <w:r w:rsidR="001D05DB">
        <w:rPr>
          <w:rFonts w:ascii="Arial" w:hAnsi="Arial" w:cs="Arial"/>
          <w:sz w:val="24"/>
          <w:szCs w:val="24"/>
        </w:rPr>
        <w:t>aying the decision on the appeal</w:t>
      </w:r>
      <w:r w:rsidR="003942F7">
        <w:rPr>
          <w:rFonts w:ascii="Arial" w:hAnsi="Arial" w:cs="Arial"/>
          <w:sz w:val="24"/>
          <w:szCs w:val="24"/>
        </w:rPr>
        <w:t>,</w:t>
      </w:r>
      <w:r w:rsidR="00EA267B">
        <w:rPr>
          <w:rFonts w:ascii="Arial" w:hAnsi="Arial" w:cs="Arial"/>
          <w:sz w:val="24"/>
          <w:szCs w:val="24"/>
        </w:rPr>
        <w:t xml:space="preserve"> </w:t>
      </w:r>
      <w:r w:rsidR="001D05DB">
        <w:rPr>
          <w:rFonts w:ascii="Arial" w:hAnsi="Arial" w:cs="Arial"/>
          <w:sz w:val="24"/>
          <w:szCs w:val="24"/>
        </w:rPr>
        <w:t xml:space="preserve">therefore </w:t>
      </w:r>
      <w:r w:rsidR="00FC65FE">
        <w:rPr>
          <w:rFonts w:ascii="Arial" w:hAnsi="Arial" w:cs="Arial"/>
          <w:sz w:val="24"/>
          <w:szCs w:val="24"/>
        </w:rPr>
        <w:t xml:space="preserve">it would be in </w:t>
      </w:r>
      <w:r w:rsidR="00EA267B">
        <w:rPr>
          <w:rFonts w:ascii="Arial" w:hAnsi="Arial" w:cs="Arial"/>
          <w:sz w:val="24"/>
          <w:szCs w:val="24"/>
        </w:rPr>
        <w:t xml:space="preserve">the </w:t>
      </w:r>
      <w:r w:rsidR="001D05DB">
        <w:rPr>
          <w:rFonts w:ascii="Arial" w:hAnsi="Arial" w:cs="Arial"/>
          <w:sz w:val="24"/>
          <w:szCs w:val="24"/>
        </w:rPr>
        <w:t xml:space="preserve">interest of justice </w:t>
      </w:r>
      <w:r w:rsidR="00FC65FE">
        <w:rPr>
          <w:rFonts w:ascii="Arial" w:hAnsi="Arial" w:cs="Arial"/>
          <w:sz w:val="24"/>
          <w:szCs w:val="24"/>
        </w:rPr>
        <w:t xml:space="preserve">to grant </w:t>
      </w:r>
      <w:r w:rsidR="001D05DB">
        <w:rPr>
          <w:rFonts w:ascii="Arial" w:hAnsi="Arial" w:cs="Arial"/>
          <w:sz w:val="24"/>
          <w:szCs w:val="24"/>
        </w:rPr>
        <w:t xml:space="preserve">DBCM an exemption in terms of s 7 (2) </w:t>
      </w:r>
      <w:r w:rsidR="0076095F">
        <w:rPr>
          <w:rFonts w:ascii="Arial" w:hAnsi="Arial" w:cs="Arial"/>
          <w:sz w:val="24"/>
          <w:szCs w:val="24"/>
        </w:rPr>
        <w:t>(c)</w:t>
      </w:r>
      <w:r w:rsidR="001D05DB">
        <w:rPr>
          <w:rFonts w:ascii="Arial" w:hAnsi="Arial" w:cs="Arial"/>
          <w:sz w:val="24"/>
          <w:szCs w:val="24"/>
        </w:rPr>
        <w:t xml:space="preserve"> of PAJA. </w:t>
      </w:r>
      <w:r w:rsidR="001D05DB" w:rsidRPr="0060173D">
        <w:rPr>
          <w:rFonts w:ascii="Arial" w:hAnsi="Arial" w:cs="Arial"/>
          <w:sz w:val="24"/>
          <w:szCs w:val="24"/>
        </w:rPr>
        <w:t xml:space="preserve">The Respondents point out that DBCM had delayed responding to the refusal of its </w:t>
      </w:r>
      <w:r w:rsidR="00FC65FE" w:rsidRPr="0060173D">
        <w:rPr>
          <w:rFonts w:ascii="Arial" w:hAnsi="Arial" w:cs="Arial"/>
          <w:sz w:val="24"/>
          <w:szCs w:val="24"/>
        </w:rPr>
        <w:t xml:space="preserve">closure Application which decision was communicated to it on July 2011 and had to be reminded </w:t>
      </w:r>
      <w:r w:rsidRPr="0060173D">
        <w:rPr>
          <w:rFonts w:ascii="Arial" w:hAnsi="Arial" w:cs="Arial"/>
          <w:sz w:val="24"/>
          <w:szCs w:val="24"/>
        </w:rPr>
        <w:t>fr</w:t>
      </w:r>
      <w:r w:rsidR="003C57F5" w:rsidRPr="0060173D">
        <w:rPr>
          <w:rFonts w:ascii="Arial" w:hAnsi="Arial" w:cs="Arial"/>
          <w:sz w:val="24"/>
          <w:szCs w:val="24"/>
        </w:rPr>
        <w:t>o</w:t>
      </w:r>
      <w:r w:rsidRPr="0060173D">
        <w:rPr>
          <w:rFonts w:ascii="Arial" w:hAnsi="Arial" w:cs="Arial"/>
          <w:sz w:val="24"/>
          <w:szCs w:val="24"/>
        </w:rPr>
        <w:t xml:space="preserve">m then </w:t>
      </w:r>
      <w:r w:rsidR="00FC65FE" w:rsidRPr="0060173D">
        <w:rPr>
          <w:rFonts w:ascii="Arial" w:hAnsi="Arial" w:cs="Arial"/>
          <w:sz w:val="24"/>
          <w:szCs w:val="24"/>
        </w:rPr>
        <w:t xml:space="preserve">until 2018. </w:t>
      </w:r>
      <w:r w:rsidR="001D05DB" w:rsidRPr="0060173D">
        <w:rPr>
          <w:rFonts w:ascii="Arial" w:hAnsi="Arial" w:cs="Arial"/>
          <w:sz w:val="24"/>
          <w:szCs w:val="24"/>
        </w:rPr>
        <w:t>The internal appeal only filed in July 2020</w:t>
      </w:r>
      <w:r w:rsidR="00FC65FE" w:rsidRPr="0060173D">
        <w:rPr>
          <w:rFonts w:ascii="Arial" w:hAnsi="Arial" w:cs="Arial"/>
          <w:sz w:val="24"/>
          <w:szCs w:val="24"/>
        </w:rPr>
        <w:t xml:space="preserve">. </w:t>
      </w:r>
      <w:r w:rsidR="00F04836" w:rsidRPr="0060173D">
        <w:rPr>
          <w:rFonts w:ascii="Arial" w:hAnsi="Arial" w:cs="Arial"/>
          <w:sz w:val="24"/>
          <w:szCs w:val="24"/>
        </w:rPr>
        <w:t>It argued that th</w:t>
      </w:r>
      <w:r w:rsidR="00FC65FE" w:rsidRPr="0060173D">
        <w:rPr>
          <w:rFonts w:ascii="Arial" w:hAnsi="Arial" w:cs="Arial"/>
          <w:sz w:val="24"/>
          <w:szCs w:val="24"/>
        </w:rPr>
        <w:t xml:space="preserve">ere are therefore no prospects of success as the closure application </w:t>
      </w:r>
      <w:r w:rsidR="0060173D">
        <w:rPr>
          <w:rFonts w:ascii="Arial" w:hAnsi="Arial" w:cs="Arial"/>
          <w:sz w:val="24"/>
          <w:szCs w:val="24"/>
        </w:rPr>
        <w:t xml:space="preserve">also </w:t>
      </w:r>
      <w:r w:rsidR="00FC65FE" w:rsidRPr="0060173D">
        <w:rPr>
          <w:rFonts w:ascii="Arial" w:hAnsi="Arial" w:cs="Arial"/>
          <w:sz w:val="24"/>
          <w:szCs w:val="24"/>
        </w:rPr>
        <w:t xml:space="preserve">falls short of </w:t>
      </w:r>
      <w:r w:rsidR="00F04836" w:rsidRPr="0060173D">
        <w:rPr>
          <w:rFonts w:ascii="Arial" w:hAnsi="Arial" w:cs="Arial"/>
          <w:sz w:val="24"/>
          <w:szCs w:val="24"/>
        </w:rPr>
        <w:t>the requirements of the Constitution and the applicable law. It is therefore not in the interest of justice to grant DBCM an exemption from exhausting the internal remedies</w:t>
      </w:r>
      <w:r w:rsidR="00353DF8">
        <w:rPr>
          <w:rFonts w:ascii="Arial" w:hAnsi="Arial" w:cs="Arial"/>
          <w:sz w:val="24"/>
          <w:szCs w:val="24"/>
        </w:rPr>
        <w:t>.</w:t>
      </w:r>
    </w:p>
    <w:p w14:paraId="56215ACE" w14:textId="77777777" w:rsidR="0060173D" w:rsidRDefault="0060173D" w:rsidP="007800C3">
      <w:pPr>
        <w:tabs>
          <w:tab w:val="left" w:pos="567"/>
        </w:tabs>
        <w:spacing w:after="0" w:line="360" w:lineRule="auto"/>
        <w:jc w:val="both"/>
        <w:rPr>
          <w:rFonts w:ascii="Arial" w:hAnsi="Arial" w:cs="Arial"/>
          <w:sz w:val="24"/>
          <w:szCs w:val="24"/>
        </w:rPr>
      </w:pPr>
    </w:p>
    <w:p w14:paraId="625EAE67" w14:textId="504A86C7" w:rsidR="002F798E" w:rsidRPr="0060173D" w:rsidRDefault="0060173D" w:rsidP="007800C3">
      <w:pPr>
        <w:tabs>
          <w:tab w:val="left" w:pos="567"/>
        </w:tabs>
        <w:spacing w:after="0" w:line="360" w:lineRule="auto"/>
        <w:jc w:val="both"/>
        <w:rPr>
          <w:rFonts w:ascii="Arial" w:hAnsi="Arial" w:cs="Arial"/>
          <w:b/>
          <w:sz w:val="24"/>
          <w:szCs w:val="24"/>
        </w:rPr>
      </w:pPr>
      <w:r>
        <w:rPr>
          <w:rFonts w:ascii="Arial" w:hAnsi="Arial" w:cs="Arial"/>
          <w:sz w:val="24"/>
          <w:szCs w:val="24"/>
        </w:rPr>
        <w:t xml:space="preserve"> </w:t>
      </w:r>
      <w:r w:rsidRPr="0060173D">
        <w:rPr>
          <w:rFonts w:ascii="Arial" w:hAnsi="Arial" w:cs="Arial"/>
          <w:b/>
          <w:sz w:val="24"/>
          <w:szCs w:val="24"/>
        </w:rPr>
        <w:t>Applicant’s Reply</w:t>
      </w:r>
    </w:p>
    <w:p w14:paraId="37D89249" w14:textId="77777777" w:rsidR="0060173D" w:rsidRDefault="0060173D" w:rsidP="0051441B">
      <w:pPr>
        <w:tabs>
          <w:tab w:val="left" w:pos="567"/>
        </w:tabs>
        <w:spacing w:after="0" w:line="360" w:lineRule="auto"/>
        <w:jc w:val="both"/>
        <w:rPr>
          <w:rFonts w:ascii="Arial" w:hAnsi="Arial" w:cs="Arial"/>
          <w:sz w:val="24"/>
          <w:szCs w:val="24"/>
        </w:rPr>
      </w:pPr>
    </w:p>
    <w:p w14:paraId="3C08BC05" w14:textId="43AAA920" w:rsidR="00A55218" w:rsidRDefault="00BF5FBB" w:rsidP="0051441B">
      <w:pPr>
        <w:tabs>
          <w:tab w:val="left" w:pos="567"/>
        </w:tabs>
        <w:spacing w:after="0" w:line="360" w:lineRule="auto"/>
        <w:jc w:val="both"/>
        <w:rPr>
          <w:rFonts w:ascii="Arial" w:hAnsi="Arial" w:cs="Arial"/>
          <w:sz w:val="24"/>
          <w:szCs w:val="24"/>
        </w:rPr>
      </w:pPr>
      <w:r>
        <w:rPr>
          <w:rFonts w:ascii="Arial" w:hAnsi="Arial" w:cs="Arial"/>
          <w:sz w:val="24"/>
          <w:szCs w:val="24"/>
        </w:rPr>
        <w:t>[71</w:t>
      </w:r>
      <w:r w:rsidR="002F798E">
        <w:rPr>
          <w:rFonts w:ascii="Arial" w:hAnsi="Arial" w:cs="Arial"/>
          <w:sz w:val="24"/>
          <w:szCs w:val="24"/>
        </w:rPr>
        <w:t>]</w:t>
      </w:r>
      <w:r w:rsidR="002F798E">
        <w:rPr>
          <w:rFonts w:ascii="Arial" w:hAnsi="Arial" w:cs="Arial"/>
          <w:sz w:val="24"/>
          <w:szCs w:val="24"/>
        </w:rPr>
        <w:tab/>
      </w:r>
      <w:r w:rsidR="001D7610">
        <w:rPr>
          <w:rFonts w:ascii="Arial" w:hAnsi="Arial" w:cs="Arial"/>
          <w:sz w:val="24"/>
          <w:szCs w:val="24"/>
        </w:rPr>
        <w:t xml:space="preserve">In reply, </w:t>
      </w:r>
      <w:r w:rsidR="00F127F5">
        <w:rPr>
          <w:rFonts w:ascii="Arial" w:hAnsi="Arial" w:cs="Arial"/>
          <w:sz w:val="24"/>
          <w:szCs w:val="24"/>
        </w:rPr>
        <w:t>DBCM</w:t>
      </w:r>
      <w:r w:rsidR="002F798E">
        <w:rPr>
          <w:rFonts w:ascii="Arial" w:hAnsi="Arial" w:cs="Arial"/>
          <w:sz w:val="24"/>
          <w:szCs w:val="24"/>
        </w:rPr>
        <w:t xml:space="preserve"> </w:t>
      </w:r>
      <w:r w:rsidR="00D078D9">
        <w:rPr>
          <w:rFonts w:ascii="Arial" w:hAnsi="Arial" w:cs="Arial"/>
          <w:sz w:val="24"/>
          <w:szCs w:val="24"/>
        </w:rPr>
        <w:t>raise</w:t>
      </w:r>
      <w:r w:rsidR="003C57F5">
        <w:rPr>
          <w:rFonts w:ascii="Arial" w:hAnsi="Arial" w:cs="Arial"/>
          <w:sz w:val="24"/>
          <w:szCs w:val="24"/>
        </w:rPr>
        <w:t>d</w:t>
      </w:r>
      <w:r w:rsidR="00D078D9">
        <w:rPr>
          <w:rFonts w:ascii="Arial" w:hAnsi="Arial" w:cs="Arial"/>
          <w:sz w:val="24"/>
          <w:szCs w:val="24"/>
        </w:rPr>
        <w:t xml:space="preserve"> the issue of the 1</w:t>
      </w:r>
      <w:r w:rsidR="00D078D9" w:rsidRPr="00D078D9">
        <w:rPr>
          <w:rFonts w:ascii="Arial" w:hAnsi="Arial" w:cs="Arial"/>
          <w:sz w:val="24"/>
          <w:szCs w:val="24"/>
          <w:vertAlign w:val="superscript"/>
        </w:rPr>
        <w:t>st</w:t>
      </w:r>
      <w:r w:rsidR="00D078D9">
        <w:rPr>
          <w:rFonts w:ascii="Arial" w:hAnsi="Arial" w:cs="Arial"/>
          <w:sz w:val="24"/>
          <w:szCs w:val="24"/>
        </w:rPr>
        <w:t xml:space="preserve"> Respondent’s </w:t>
      </w:r>
      <w:r w:rsidR="00D078D9" w:rsidRPr="001D7610">
        <w:rPr>
          <w:rFonts w:ascii="Arial" w:hAnsi="Arial" w:cs="Arial"/>
          <w:i/>
          <w:sz w:val="24"/>
          <w:szCs w:val="24"/>
        </w:rPr>
        <w:t>locus standi</w:t>
      </w:r>
      <w:r w:rsidR="00D078D9">
        <w:rPr>
          <w:rFonts w:ascii="Arial" w:hAnsi="Arial" w:cs="Arial"/>
          <w:sz w:val="24"/>
          <w:szCs w:val="24"/>
        </w:rPr>
        <w:t xml:space="preserve"> to oppose the application and depose to an affidavit on behalf of the 2</w:t>
      </w:r>
      <w:r w:rsidR="00D078D9" w:rsidRPr="00D078D9">
        <w:rPr>
          <w:rFonts w:ascii="Arial" w:hAnsi="Arial" w:cs="Arial"/>
          <w:sz w:val="24"/>
          <w:szCs w:val="24"/>
          <w:vertAlign w:val="superscript"/>
        </w:rPr>
        <w:t>nd</w:t>
      </w:r>
      <w:r w:rsidR="00D078D9">
        <w:rPr>
          <w:rFonts w:ascii="Arial" w:hAnsi="Arial" w:cs="Arial"/>
          <w:sz w:val="24"/>
          <w:szCs w:val="24"/>
        </w:rPr>
        <w:t xml:space="preserve"> and 3</w:t>
      </w:r>
      <w:r w:rsidR="00D078D9" w:rsidRPr="00D078D9">
        <w:rPr>
          <w:rFonts w:ascii="Arial" w:hAnsi="Arial" w:cs="Arial"/>
          <w:sz w:val="24"/>
          <w:szCs w:val="24"/>
          <w:vertAlign w:val="superscript"/>
        </w:rPr>
        <w:t>rd</w:t>
      </w:r>
      <w:r w:rsidR="00D078D9">
        <w:rPr>
          <w:rFonts w:ascii="Arial" w:hAnsi="Arial" w:cs="Arial"/>
          <w:sz w:val="24"/>
          <w:szCs w:val="24"/>
        </w:rPr>
        <w:t xml:space="preserve"> Respondent, that is the Director General and the Minister. </w:t>
      </w:r>
      <w:r w:rsidR="00A55218">
        <w:rPr>
          <w:rFonts w:ascii="Arial" w:hAnsi="Arial" w:cs="Arial"/>
          <w:sz w:val="24"/>
          <w:szCs w:val="24"/>
        </w:rPr>
        <w:t>DBCM denie</w:t>
      </w:r>
      <w:r w:rsidR="003C57F5">
        <w:rPr>
          <w:rFonts w:ascii="Arial" w:hAnsi="Arial" w:cs="Arial"/>
          <w:sz w:val="24"/>
          <w:szCs w:val="24"/>
        </w:rPr>
        <w:t>d</w:t>
      </w:r>
      <w:r w:rsidR="00A55218">
        <w:rPr>
          <w:rFonts w:ascii="Arial" w:hAnsi="Arial" w:cs="Arial"/>
          <w:sz w:val="24"/>
          <w:szCs w:val="24"/>
        </w:rPr>
        <w:t xml:space="preserve"> that the 1</w:t>
      </w:r>
      <w:r w:rsidR="00A55218" w:rsidRPr="00A55218">
        <w:rPr>
          <w:rFonts w:ascii="Arial" w:hAnsi="Arial" w:cs="Arial"/>
          <w:sz w:val="24"/>
          <w:szCs w:val="24"/>
          <w:vertAlign w:val="superscript"/>
        </w:rPr>
        <w:t>st</w:t>
      </w:r>
      <w:r w:rsidR="00A55218">
        <w:rPr>
          <w:rFonts w:ascii="Arial" w:hAnsi="Arial" w:cs="Arial"/>
          <w:sz w:val="24"/>
          <w:szCs w:val="24"/>
        </w:rPr>
        <w:t xml:space="preserve"> Respondent has the requisite authority</w:t>
      </w:r>
      <w:r w:rsidR="001D7610">
        <w:rPr>
          <w:rFonts w:ascii="Arial" w:hAnsi="Arial" w:cs="Arial"/>
          <w:sz w:val="24"/>
          <w:szCs w:val="24"/>
        </w:rPr>
        <w:t xml:space="preserve">, more so </w:t>
      </w:r>
      <w:r w:rsidR="00A55218">
        <w:rPr>
          <w:rFonts w:ascii="Arial" w:hAnsi="Arial" w:cs="Arial"/>
          <w:sz w:val="24"/>
          <w:szCs w:val="24"/>
        </w:rPr>
        <w:t>b</w:t>
      </w:r>
      <w:r w:rsidR="001D7610">
        <w:rPr>
          <w:rFonts w:ascii="Arial" w:hAnsi="Arial" w:cs="Arial"/>
          <w:sz w:val="24"/>
          <w:szCs w:val="24"/>
        </w:rPr>
        <w:t>o</w:t>
      </w:r>
      <w:r w:rsidR="00A55218">
        <w:rPr>
          <w:rFonts w:ascii="Arial" w:hAnsi="Arial" w:cs="Arial"/>
          <w:sz w:val="24"/>
          <w:szCs w:val="24"/>
        </w:rPr>
        <w:t xml:space="preserve">th </w:t>
      </w:r>
      <w:r w:rsidR="001D7610">
        <w:rPr>
          <w:rFonts w:ascii="Arial" w:hAnsi="Arial" w:cs="Arial"/>
          <w:sz w:val="24"/>
          <w:szCs w:val="24"/>
        </w:rPr>
        <w:t xml:space="preserve">Respondents </w:t>
      </w:r>
      <w:r w:rsidR="00A55218">
        <w:rPr>
          <w:rFonts w:ascii="Arial" w:hAnsi="Arial" w:cs="Arial"/>
          <w:sz w:val="24"/>
          <w:szCs w:val="24"/>
        </w:rPr>
        <w:t>have failed to file Affidavits confirming 1</w:t>
      </w:r>
      <w:r w:rsidR="00A55218" w:rsidRPr="00A55218">
        <w:rPr>
          <w:rFonts w:ascii="Arial" w:hAnsi="Arial" w:cs="Arial"/>
          <w:sz w:val="24"/>
          <w:szCs w:val="24"/>
          <w:vertAlign w:val="superscript"/>
        </w:rPr>
        <w:t>st</w:t>
      </w:r>
      <w:r w:rsidR="00A55218">
        <w:rPr>
          <w:rFonts w:ascii="Arial" w:hAnsi="Arial" w:cs="Arial"/>
          <w:sz w:val="24"/>
          <w:szCs w:val="24"/>
        </w:rPr>
        <w:t xml:space="preserve"> Respondent</w:t>
      </w:r>
      <w:r w:rsidR="001D7610">
        <w:rPr>
          <w:rFonts w:ascii="Arial" w:hAnsi="Arial" w:cs="Arial"/>
          <w:sz w:val="24"/>
          <w:szCs w:val="24"/>
        </w:rPr>
        <w:t>’s</w:t>
      </w:r>
      <w:r w:rsidR="00A55218">
        <w:rPr>
          <w:rFonts w:ascii="Arial" w:hAnsi="Arial" w:cs="Arial"/>
          <w:sz w:val="24"/>
          <w:szCs w:val="24"/>
        </w:rPr>
        <w:t xml:space="preserve"> authority to depose to an Affidavit on their behalf and oppose the matter. </w:t>
      </w:r>
    </w:p>
    <w:p w14:paraId="3DBA6EFF" w14:textId="77777777" w:rsidR="00BE2599" w:rsidRDefault="00BE2599" w:rsidP="0051441B">
      <w:pPr>
        <w:tabs>
          <w:tab w:val="left" w:pos="567"/>
        </w:tabs>
        <w:spacing w:after="0" w:line="360" w:lineRule="auto"/>
        <w:jc w:val="both"/>
        <w:rPr>
          <w:rFonts w:ascii="Arial" w:hAnsi="Arial" w:cs="Arial"/>
          <w:sz w:val="24"/>
          <w:szCs w:val="24"/>
        </w:rPr>
      </w:pPr>
    </w:p>
    <w:p w14:paraId="4F28F1BA" w14:textId="2BE34E3C" w:rsidR="00274B83" w:rsidRPr="00B15076" w:rsidRDefault="00BF5FBB" w:rsidP="0051441B">
      <w:pPr>
        <w:tabs>
          <w:tab w:val="left" w:pos="567"/>
        </w:tabs>
        <w:spacing w:after="0" w:line="360" w:lineRule="auto"/>
        <w:jc w:val="both"/>
        <w:rPr>
          <w:rFonts w:ascii="Arial" w:hAnsi="Arial" w:cs="Arial"/>
          <w:sz w:val="24"/>
          <w:szCs w:val="24"/>
        </w:rPr>
      </w:pPr>
      <w:r>
        <w:rPr>
          <w:rFonts w:ascii="Arial" w:hAnsi="Arial" w:cs="Arial"/>
          <w:sz w:val="24"/>
          <w:szCs w:val="24"/>
        </w:rPr>
        <w:t>[72</w:t>
      </w:r>
      <w:r w:rsidR="00A55218" w:rsidRPr="00B15076">
        <w:rPr>
          <w:rFonts w:ascii="Arial" w:hAnsi="Arial" w:cs="Arial"/>
          <w:sz w:val="24"/>
          <w:szCs w:val="24"/>
        </w:rPr>
        <w:t xml:space="preserve">] </w:t>
      </w:r>
      <w:r w:rsidR="003C57F5" w:rsidRPr="00B15076">
        <w:rPr>
          <w:rFonts w:ascii="Arial" w:hAnsi="Arial" w:cs="Arial"/>
          <w:sz w:val="24"/>
          <w:szCs w:val="24"/>
        </w:rPr>
        <w:tab/>
        <w:t xml:space="preserve">On </w:t>
      </w:r>
      <w:r w:rsidR="00BE2599" w:rsidRPr="00B15076">
        <w:rPr>
          <w:rFonts w:ascii="Arial" w:hAnsi="Arial" w:cs="Arial"/>
          <w:sz w:val="24"/>
          <w:szCs w:val="24"/>
        </w:rPr>
        <w:t xml:space="preserve">non- joinder </w:t>
      </w:r>
      <w:r w:rsidR="003C57F5" w:rsidRPr="00B15076">
        <w:rPr>
          <w:rFonts w:ascii="Arial" w:hAnsi="Arial" w:cs="Arial"/>
          <w:sz w:val="24"/>
          <w:szCs w:val="24"/>
        </w:rPr>
        <w:t xml:space="preserve">DBCM </w:t>
      </w:r>
      <w:r w:rsidR="00BE2599" w:rsidRPr="00B15076">
        <w:rPr>
          <w:rFonts w:ascii="Arial" w:hAnsi="Arial" w:cs="Arial"/>
          <w:sz w:val="24"/>
          <w:szCs w:val="24"/>
        </w:rPr>
        <w:t>point</w:t>
      </w:r>
      <w:r w:rsidR="003C57F5" w:rsidRPr="00B15076">
        <w:rPr>
          <w:rFonts w:ascii="Arial" w:hAnsi="Arial" w:cs="Arial"/>
          <w:sz w:val="24"/>
          <w:szCs w:val="24"/>
        </w:rPr>
        <w:t xml:space="preserve">ed </w:t>
      </w:r>
      <w:r w:rsidR="00BE2599" w:rsidRPr="00B15076">
        <w:rPr>
          <w:rFonts w:ascii="Arial" w:hAnsi="Arial" w:cs="Arial"/>
          <w:sz w:val="24"/>
          <w:szCs w:val="24"/>
        </w:rPr>
        <w:t xml:space="preserve">out </w:t>
      </w:r>
      <w:r w:rsidR="003C57F5" w:rsidRPr="00B15076">
        <w:rPr>
          <w:rFonts w:ascii="Arial" w:hAnsi="Arial" w:cs="Arial"/>
          <w:sz w:val="24"/>
          <w:szCs w:val="24"/>
        </w:rPr>
        <w:t xml:space="preserve">that the issue </w:t>
      </w:r>
      <w:r w:rsidR="00BE2599" w:rsidRPr="00B15076">
        <w:rPr>
          <w:rFonts w:ascii="Arial" w:hAnsi="Arial" w:cs="Arial"/>
          <w:sz w:val="24"/>
          <w:szCs w:val="24"/>
        </w:rPr>
        <w:t>can only arise depending on the court’s decision on the declaratory</w:t>
      </w:r>
      <w:r w:rsidR="003C57F5" w:rsidRPr="00B15076">
        <w:rPr>
          <w:rFonts w:ascii="Arial" w:hAnsi="Arial" w:cs="Arial"/>
          <w:sz w:val="24"/>
          <w:szCs w:val="24"/>
        </w:rPr>
        <w:t xml:space="preserve"> order </w:t>
      </w:r>
      <w:r w:rsidR="00473E29" w:rsidRPr="00B15076">
        <w:rPr>
          <w:rFonts w:ascii="Arial" w:hAnsi="Arial" w:cs="Arial"/>
          <w:sz w:val="24"/>
          <w:szCs w:val="24"/>
        </w:rPr>
        <w:t xml:space="preserve">it is seeking, </w:t>
      </w:r>
      <w:r w:rsidR="000E14E9">
        <w:rPr>
          <w:rFonts w:ascii="Arial" w:hAnsi="Arial" w:cs="Arial"/>
          <w:sz w:val="24"/>
          <w:szCs w:val="24"/>
        </w:rPr>
        <w:t>regarding the a</w:t>
      </w:r>
      <w:r w:rsidR="00B15076" w:rsidRPr="00B15076">
        <w:rPr>
          <w:rFonts w:ascii="Arial" w:hAnsi="Arial" w:cs="Arial"/>
          <w:sz w:val="24"/>
          <w:szCs w:val="24"/>
        </w:rPr>
        <w:t xml:space="preserve">pplication </w:t>
      </w:r>
      <w:r w:rsidR="000E14E9">
        <w:rPr>
          <w:rFonts w:ascii="Arial" w:hAnsi="Arial" w:cs="Arial"/>
          <w:sz w:val="24"/>
          <w:szCs w:val="24"/>
        </w:rPr>
        <w:t xml:space="preserve">of the </w:t>
      </w:r>
      <w:r w:rsidR="000E14E9" w:rsidRPr="00B15076">
        <w:rPr>
          <w:rFonts w:ascii="Arial" w:hAnsi="Arial" w:cs="Arial"/>
          <w:sz w:val="24"/>
          <w:szCs w:val="24"/>
        </w:rPr>
        <w:t>MPRDA</w:t>
      </w:r>
      <w:r w:rsidR="000E14E9">
        <w:rPr>
          <w:rFonts w:ascii="Arial" w:hAnsi="Arial" w:cs="Arial"/>
          <w:sz w:val="24"/>
          <w:szCs w:val="24"/>
        </w:rPr>
        <w:t>’s</w:t>
      </w:r>
      <w:r w:rsidR="000E14E9" w:rsidRPr="00B15076">
        <w:rPr>
          <w:rFonts w:ascii="Arial" w:hAnsi="Arial" w:cs="Arial"/>
          <w:sz w:val="24"/>
          <w:szCs w:val="24"/>
        </w:rPr>
        <w:t xml:space="preserve"> </w:t>
      </w:r>
      <w:r w:rsidR="000E14E9">
        <w:rPr>
          <w:rFonts w:ascii="Arial" w:hAnsi="Arial" w:cs="Arial"/>
          <w:sz w:val="24"/>
          <w:szCs w:val="24"/>
        </w:rPr>
        <w:t xml:space="preserve">old s 43 to </w:t>
      </w:r>
      <w:r w:rsidR="000E14E9" w:rsidRPr="00B15076">
        <w:rPr>
          <w:rFonts w:ascii="Arial" w:hAnsi="Arial" w:cs="Arial"/>
          <w:sz w:val="24"/>
          <w:szCs w:val="24"/>
        </w:rPr>
        <w:t xml:space="preserve">its </w:t>
      </w:r>
      <w:r w:rsidR="000E14E9">
        <w:rPr>
          <w:rFonts w:ascii="Arial" w:hAnsi="Arial" w:cs="Arial"/>
          <w:sz w:val="24"/>
          <w:szCs w:val="24"/>
        </w:rPr>
        <w:t>C</w:t>
      </w:r>
      <w:r w:rsidR="000E14E9" w:rsidRPr="00B15076">
        <w:rPr>
          <w:rFonts w:ascii="Arial" w:hAnsi="Arial" w:cs="Arial"/>
          <w:sz w:val="24"/>
          <w:szCs w:val="24"/>
        </w:rPr>
        <w:t>losure</w:t>
      </w:r>
      <w:r w:rsidR="000E14E9">
        <w:rPr>
          <w:rFonts w:ascii="Arial" w:hAnsi="Arial" w:cs="Arial"/>
          <w:sz w:val="24"/>
          <w:szCs w:val="24"/>
        </w:rPr>
        <w:t xml:space="preserve"> Application.</w:t>
      </w:r>
      <w:r w:rsidR="00B15076">
        <w:rPr>
          <w:rFonts w:ascii="Arial" w:hAnsi="Arial" w:cs="Arial"/>
          <w:sz w:val="24"/>
          <w:szCs w:val="24"/>
        </w:rPr>
        <w:t xml:space="preserve"> </w:t>
      </w:r>
      <w:r w:rsidR="00E63C89" w:rsidRPr="00B15076">
        <w:rPr>
          <w:rFonts w:ascii="Arial" w:hAnsi="Arial" w:cs="Arial"/>
          <w:sz w:val="24"/>
          <w:szCs w:val="24"/>
        </w:rPr>
        <w:t>I</w:t>
      </w:r>
      <w:r w:rsidR="00BE2599" w:rsidRPr="00B15076">
        <w:rPr>
          <w:rFonts w:ascii="Arial" w:hAnsi="Arial" w:cs="Arial"/>
          <w:sz w:val="24"/>
          <w:szCs w:val="24"/>
        </w:rPr>
        <w:t xml:space="preserve">f the issue is decided in </w:t>
      </w:r>
      <w:r w:rsidR="00E63C89" w:rsidRPr="00B15076">
        <w:rPr>
          <w:rFonts w:ascii="Arial" w:hAnsi="Arial" w:cs="Arial"/>
          <w:sz w:val="24"/>
          <w:szCs w:val="24"/>
        </w:rPr>
        <w:t xml:space="preserve">DBCM’s </w:t>
      </w:r>
      <w:r w:rsidR="00BE2599" w:rsidRPr="00B15076">
        <w:rPr>
          <w:rFonts w:ascii="Arial" w:hAnsi="Arial" w:cs="Arial"/>
          <w:sz w:val="24"/>
          <w:szCs w:val="24"/>
        </w:rPr>
        <w:t xml:space="preserve">favour that its Application is to be determined in terms of the old s 43 then the issue of joinder will not arise, only if the court decide otherwise will there be a need to deliberate the </w:t>
      </w:r>
      <w:r w:rsidR="00274B83" w:rsidRPr="00B15076">
        <w:rPr>
          <w:rFonts w:ascii="Arial" w:hAnsi="Arial" w:cs="Arial"/>
          <w:sz w:val="24"/>
          <w:szCs w:val="24"/>
        </w:rPr>
        <w:t xml:space="preserve">non-joinder </w:t>
      </w:r>
      <w:r w:rsidR="00BE2599" w:rsidRPr="00B15076">
        <w:rPr>
          <w:rFonts w:ascii="Arial" w:hAnsi="Arial" w:cs="Arial"/>
          <w:sz w:val="24"/>
          <w:szCs w:val="24"/>
        </w:rPr>
        <w:t xml:space="preserve">point. </w:t>
      </w:r>
    </w:p>
    <w:p w14:paraId="04641CC4" w14:textId="77777777" w:rsidR="00274B83" w:rsidRDefault="00274B83" w:rsidP="0051441B">
      <w:pPr>
        <w:tabs>
          <w:tab w:val="left" w:pos="567"/>
        </w:tabs>
        <w:spacing w:after="0" w:line="360" w:lineRule="auto"/>
        <w:jc w:val="both"/>
        <w:rPr>
          <w:rFonts w:ascii="Arial" w:hAnsi="Arial" w:cs="Arial"/>
          <w:sz w:val="24"/>
          <w:szCs w:val="24"/>
        </w:rPr>
      </w:pPr>
    </w:p>
    <w:p w14:paraId="14AED201" w14:textId="55711801" w:rsidR="006C5FE3" w:rsidRPr="008A7728" w:rsidRDefault="00274B83" w:rsidP="0051441B">
      <w:pPr>
        <w:tabs>
          <w:tab w:val="left" w:pos="567"/>
        </w:tabs>
        <w:spacing w:after="0" w:line="360" w:lineRule="auto"/>
        <w:jc w:val="both"/>
        <w:rPr>
          <w:rFonts w:ascii="Arial" w:hAnsi="Arial" w:cs="Arial"/>
          <w:b/>
          <w:sz w:val="24"/>
          <w:szCs w:val="24"/>
        </w:rPr>
      </w:pPr>
      <w:r w:rsidRPr="008A7728">
        <w:rPr>
          <w:rFonts w:ascii="Arial" w:hAnsi="Arial" w:cs="Arial"/>
          <w:sz w:val="24"/>
          <w:szCs w:val="24"/>
        </w:rPr>
        <w:lastRenderedPageBreak/>
        <w:t>[</w:t>
      </w:r>
      <w:r w:rsidR="00BF5FBB">
        <w:rPr>
          <w:rFonts w:ascii="Arial" w:hAnsi="Arial" w:cs="Arial"/>
          <w:sz w:val="24"/>
          <w:szCs w:val="24"/>
        </w:rPr>
        <w:t>73</w:t>
      </w:r>
      <w:r w:rsidRPr="008A7728">
        <w:rPr>
          <w:rFonts w:ascii="Arial" w:hAnsi="Arial" w:cs="Arial"/>
          <w:sz w:val="24"/>
          <w:szCs w:val="24"/>
        </w:rPr>
        <w:t>]</w:t>
      </w:r>
      <w:r w:rsidRPr="008A7728">
        <w:rPr>
          <w:rFonts w:ascii="Arial" w:hAnsi="Arial" w:cs="Arial"/>
          <w:sz w:val="24"/>
          <w:szCs w:val="24"/>
        </w:rPr>
        <w:tab/>
        <w:t xml:space="preserve">It is </w:t>
      </w:r>
      <w:r w:rsidR="00336D6E">
        <w:rPr>
          <w:rFonts w:ascii="Arial" w:hAnsi="Arial" w:cs="Arial"/>
          <w:sz w:val="24"/>
          <w:szCs w:val="24"/>
        </w:rPr>
        <w:t xml:space="preserve">however </w:t>
      </w:r>
      <w:r w:rsidRPr="008A7728">
        <w:rPr>
          <w:rFonts w:ascii="Arial" w:hAnsi="Arial" w:cs="Arial"/>
          <w:sz w:val="24"/>
          <w:szCs w:val="24"/>
        </w:rPr>
        <w:t xml:space="preserve">the DBCM’s </w:t>
      </w:r>
      <w:r w:rsidR="008A7728" w:rsidRPr="008A7728">
        <w:rPr>
          <w:rFonts w:ascii="Arial" w:hAnsi="Arial" w:cs="Arial"/>
          <w:sz w:val="24"/>
          <w:szCs w:val="24"/>
        </w:rPr>
        <w:t xml:space="preserve">further </w:t>
      </w:r>
      <w:r w:rsidRPr="008A7728">
        <w:rPr>
          <w:rFonts w:ascii="Arial" w:hAnsi="Arial" w:cs="Arial"/>
          <w:sz w:val="24"/>
          <w:szCs w:val="24"/>
        </w:rPr>
        <w:t>submission that non</w:t>
      </w:r>
      <w:r w:rsidR="006C5FE3" w:rsidRPr="008A7728">
        <w:rPr>
          <w:rFonts w:ascii="Arial" w:hAnsi="Arial" w:cs="Arial"/>
          <w:sz w:val="24"/>
          <w:szCs w:val="24"/>
        </w:rPr>
        <w:t>e</w:t>
      </w:r>
      <w:r w:rsidRPr="008A7728">
        <w:rPr>
          <w:rFonts w:ascii="Arial" w:hAnsi="Arial" w:cs="Arial"/>
          <w:sz w:val="24"/>
          <w:szCs w:val="24"/>
        </w:rPr>
        <w:t xml:space="preserve"> of the parties referred to by the Respondent has an</w:t>
      </w:r>
      <w:r w:rsidR="008226EF" w:rsidRPr="008A7728">
        <w:rPr>
          <w:rFonts w:ascii="Arial" w:hAnsi="Arial" w:cs="Arial"/>
          <w:sz w:val="24"/>
          <w:szCs w:val="24"/>
        </w:rPr>
        <w:t xml:space="preserve">y direct and </w:t>
      </w:r>
      <w:r w:rsidR="008A7728">
        <w:rPr>
          <w:rFonts w:ascii="Arial" w:hAnsi="Arial" w:cs="Arial"/>
          <w:sz w:val="24"/>
          <w:szCs w:val="24"/>
        </w:rPr>
        <w:t xml:space="preserve">or </w:t>
      </w:r>
      <w:r w:rsidR="008226EF" w:rsidRPr="008A7728">
        <w:rPr>
          <w:rFonts w:ascii="Arial" w:hAnsi="Arial" w:cs="Arial"/>
          <w:sz w:val="24"/>
          <w:szCs w:val="24"/>
        </w:rPr>
        <w:t>legal in</w:t>
      </w:r>
      <w:r w:rsidRPr="008A7728">
        <w:rPr>
          <w:rFonts w:ascii="Arial" w:hAnsi="Arial" w:cs="Arial"/>
          <w:sz w:val="24"/>
          <w:szCs w:val="24"/>
        </w:rPr>
        <w:t xml:space="preserve">terest in the matter, </w:t>
      </w:r>
      <w:r w:rsidR="008A7728">
        <w:rPr>
          <w:rFonts w:ascii="Arial" w:hAnsi="Arial" w:cs="Arial"/>
          <w:sz w:val="24"/>
          <w:szCs w:val="24"/>
        </w:rPr>
        <w:t>neither is</w:t>
      </w:r>
      <w:r w:rsidRPr="008A7728">
        <w:rPr>
          <w:rFonts w:ascii="Arial" w:hAnsi="Arial" w:cs="Arial"/>
          <w:sz w:val="24"/>
          <w:szCs w:val="24"/>
        </w:rPr>
        <w:t xml:space="preserve"> the purchaser farmer, </w:t>
      </w:r>
      <w:r w:rsidR="008A7728">
        <w:rPr>
          <w:rFonts w:ascii="Arial" w:hAnsi="Arial" w:cs="Arial"/>
          <w:sz w:val="24"/>
          <w:szCs w:val="24"/>
        </w:rPr>
        <w:t>n</w:t>
      </w:r>
      <w:r w:rsidRPr="008A7728">
        <w:rPr>
          <w:rFonts w:ascii="Arial" w:hAnsi="Arial" w:cs="Arial"/>
          <w:sz w:val="24"/>
          <w:szCs w:val="24"/>
        </w:rPr>
        <w:t>or the Blouberg Municipality</w:t>
      </w:r>
      <w:r w:rsidR="008A7728">
        <w:rPr>
          <w:rFonts w:ascii="Arial" w:hAnsi="Arial" w:cs="Arial"/>
          <w:sz w:val="24"/>
          <w:szCs w:val="24"/>
        </w:rPr>
        <w:t>. T</w:t>
      </w:r>
      <w:r w:rsidR="006C5FE3" w:rsidRPr="008A7728">
        <w:rPr>
          <w:rFonts w:ascii="Arial" w:hAnsi="Arial" w:cs="Arial"/>
          <w:sz w:val="24"/>
          <w:szCs w:val="24"/>
        </w:rPr>
        <w:t xml:space="preserve">here are </w:t>
      </w:r>
      <w:r w:rsidR="008A7728">
        <w:rPr>
          <w:rFonts w:ascii="Arial" w:hAnsi="Arial" w:cs="Arial"/>
          <w:sz w:val="24"/>
          <w:szCs w:val="24"/>
        </w:rPr>
        <w:t xml:space="preserve">also </w:t>
      </w:r>
      <w:r w:rsidR="006C5FE3" w:rsidRPr="008A7728">
        <w:rPr>
          <w:rFonts w:ascii="Arial" w:hAnsi="Arial" w:cs="Arial"/>
          <w:sz w:val="24"/>
          <w:szCs w:val="24"/>
        </w:rPr>
        <w:t>no immediate neighbours</w:t>
      </w:r>
      <w:r w:rsidR="008226EF" w:rsidRPr="008A7728">
        <w:rPr>
          <w:rFonts w:ascii="Arial" w:hAnsi="Arial" w:cs="Arial"/>
          <w:sz w:val="24"/>
          <w:szCs w:val="24"/>
        </w:rPr>
        <w:t xml:space="preserve">. </w:t>
      </w:r>
      <w:r w:rsidR="008A7728">
        <w:rPr>
          <w:rFonts w:ascii="Arial" w:hAnsi="Arial" w:cs="Arial"/>
          <w:sz w:val="24"/>
          <w:szCs w:val="24"/>
        </w:rPr>
        <w:t>It pointed out that t</w:t>
      </w:r>
      <w:r w:rsidR="008226EF" w:rsidRPr="008A7728">
        <w:rPr>
          <w:rFonts w:ascii="Arial" w:hAnsi="Arial" w:cs="Arial"/>
          <w:sz w:val="24"/>
          <w:szCs w:val="24"/>
        </w:rPr>
        <w:t xml:space="preserve">he relief sought is the granting of the closure certificate of Oaks Mine which deals solely with the </w:t>
      </w:r>
      <w:r w:rsidR="006C5FE3" w:rsidRPr="008A7728">
        <w:rPr>
          <w:rFonts w:ascii="Arial" w:hAnsi="Arial" w:cs="Arial"/>
          <w:sz w:val="24"/>
          <w:szCs w:val="24"/>
        </w:rPr>
        <w:t>cessation of responsibilities under the MPRDA and none of the parties listed by the Respondent can be said to be affected by the relief sought and follows that they would not be interested.</w:t>
      </w:r>
      <w:r w:rsidR="008A7728">
        <w:rPr>
          <w:rFonts w:ascii="Arial" w:hAnsi="Arial" w:cs="Arial"/>
          <w:sz w:val="24"/>
          <w:szCs w:val="24"/>
        </w:rPr>
        <w:t xml:space="preserve">  </w:t>
      </w:r>
    </w:p>
    <w:p w14:paraId="35170329" w14:textId="77777777" w:rsidR="00E823FE" w:rsidRDefault="00E823FE" w:rsidP="0051441B">
      <w:pPr>
        <w:tabs>
          <w:tab w:val="left" w:pos="567"/>
        </w:tabs>
        <w:spacing w:after="0" w:line="360" w:lineRule="auto"/>
        <w:jc w:val="both"/>
        <w:rPr>
          <w:rFonts w:ascii="Arial" w:hAnsi="Arial" w:cs="Arial"/>
          <w:sz w:val="24"/>
          <w:szCs w:val="24"/>
        </w:rPr>
      </w:pPr>
    </w:p>
    <w:p w14:paraId="61EC3C89" w14:textId="59F457DD" w:rsidR="00F127F5" w:rsidRDefault="00BF5FBB" w:rsidP="00FA181B">
      <w:pPr>
        <w:tabs>
          <w:tab w:val="left" w:pos="567"/>
        </w:tabs>
        <w:spacing w:after="0" w:line="360" w:lineRule="auto"/>
        <w:jc w:val="both"/>
        <w:rPr>
          <w:rFonts w:ascii="Arial" w:hAnsi="Arial" w:cs="Arial"/>
          <w:sz w:val="24"/>
          <w:szCs w:val="24"/>
        </w:rPr>
      </w:pPr>
      <w:r>
        <w:rPr>
          <w:rFonts w:ascii="Arial" w:hAnsi="Arial" w:cs="Arial"/>
          <w:sz w:val="24"/>
          <w:szCs w:val="24"/>
        </w:rPr>
        <w:t>[74</w:t>
      </w:r>
      <w:r w:rsidR="006C5FE3">
        <w:rPr>
          <w:rFonts w:ascii="Arial" w:hAnsi="Arial" w:cs="Arial"/>
          <w:sz w:val="24"/>
          <w:szCs w:val="24"/>
        </w:rPr>
        <w:t>]</w:t>
      </w:r>
      <w:r w:rsidR="006C5FE3">
        <w:rPr>
          <w:rFonts w:ascii="Arial" w:hAnsi="Arial" w:cs="Arial"/>
          <w:sz w:val="24"/>
          <w:szCs w:val="24"/>
        </w:rPr>
        <w:tab/>
      </w:r>
      <w:r w:rsidR="003C57F5">
        <w:rPr>
          <w:rFonts w:ascii="Arial" w:hAnsi="Arial" w:cs="Arial"/>
          <w:sz w:val="24"/>
          <w:szCs w:val="24"/>
        </w:rPr>
        <w:tab/>
      </w:r>
      <w:r w:rsidR="008A7728">
        <w:rPr>
          <w:rFonts w:ascii="Arial" w:hAnsi="Arial" w:cs="Arial"/>
          <w:sz w:val="24"/>
          <w:szCs w:val="24"/>
        </w:rPr>
        <w:t>Addressing t</w:t>
      </w:r>
      <w:r w:rsidR="003C57F5">
        <w:rPr>
          <w:rFonts w:ascii="Arial" w:hAnsi="Arial" w:cs="Arial"/>
          <w:sz w:val="24"/>
          <w:szCs w:val="24"/>
        </w:rPr>
        <w:t xml:space="preserve">he record submitted </w:t>
      </w:r>
      <w:r w:rsidR="00124853">
        <w:rPr>
          <w:rFonts w:ascii="Arial" w:hAnsi="Arial" w:cs="Arial"/>
          <w:sz w:val="24"/>
          <w:szCs w:val="24"/>
        </w:rPr>
        <w:t xml:space="preserve">the </w:t>
      </w:r>
      <w:r w:rsidR="00FA181B">
        <w:rPr>
          <w:rFonts w:ascii="Arial" w:hAnsi="Arial" w:cs="Arial"/>
          <w:sz w:val="24"/>
          <w:szCs w:val="24"/>
        </w:rPr>
        <w:t xml:space="preserve">DBCM </w:t>
      </w:r>
      <w:r w:rsidR="003C57F5">
        <w:rPr>
          <w:rFonts w:ascii="Arial" w:hAnsi="Arial" w:cs="Arial"/>
          <w:sz w:val="24"/>
          <w:szCs w:val="24"/>
        </w:rPr>
        <w:t xml:space="preserve">stated that </w:t>
      </w:r>
      <w:r w:rsidR="006C5FE3">
        <w:rPr>
          <w:rFonts w:ascii="Arial" w:hAnsi="Arial" w:cs="Arial"/>
          <w:sz w:val="24"/>
          <w:szCs w:val="24"/>
        </w:rPr>
        <w:t xml:space="preserve">the </w:t>
      </w:r>
      <w:r w:rsidR="003C57F5">
        <w:rPr>
          <w:rFonts w:ascii="Arial" w:hAnsi="Arial" w:cs="Arial"/>
          <w:sz w:val="24"/>
          <w:szCs w:val="24"/>
        </w:rPr>
        <w:t>1</w:t>
      </w:r>
      <w:r w:rsidR="003C57F5" w:rsidRPr="003C57F5">
        <w:rPr>
          <w:rFonts w:ascii="Arial" w:hAnsi="Arial" w:cs="Arial"/>
          <w:sz w:val="24"/>
          <w:szCs w:val="24"/>
          <w:vertAlign w:val="superscript"/>
        </w:rPr>
        <w:t>st</w:t>
      </w:r>
      <w:r w:rsidR="003C57F5">
        <w:rPr>
          <w:rFonts w:ascii="Arial" w:hAnsi="Arial" w:cs="Arial"/>
          <w:sz w:val="24"/>
          <w:szCs w:val="24"/>
        </w:rPr>
        <w:t xml:space="preserve"> Respondent </w:t>
      </w:r>
      <w:r w:rsidR="006C5FE3">
        <w:rPr>
          <w:rFonts w:ascii="Arial" w:hAnsi="Arial" w:cs="Arial"/>
          <w:sz w:val="24"/>
          <w:szCs w:val="24"/>
        </w:rPr>
        <w:t>did not furnish reasons for his decision not to grant the closure certificate</w:t>
      </w:r>
      <w:r w:rsidR="003C57F5">
        <w:rPr>
          <w:rFonts w:ascii="Arial" w:hAnsi="Arial" w:cs="Arial"/>
          <w:sz w:val="24"/>
          <w:szCs w:val="24"/>
        </w:rPr>
        <w:t xml:space="preserve">, </w:t>
      </w:r>
      <w:r w:rsidR="006C5FE3">
        <w:rPr>
          <w:rFonts w:ascii="Arial" w:hAnsi="Arial" w:cs="Arial"/>
          <w:sz w:val="24"/>
          <w:szCs w:val="24"/>
        </w:rPr>
        <w:t>evidencing his contemporaneous consideration of the Application</w:t>
      </w:r>
      <w:r w:rsidR="00FA181B">
        <w:rPr>
          <w:rFonts w:ascii="Arial" w:hAnsi="Arial" w:cs="Arial"/>
          <w:sz w:val="24"/>
          <w:szCs w:val="24"/>
        </w:rPr>
        <w:t xml:space="preserve"> or </w:t>
      </w:r>
      <w:r w:rsidR="006C5FE3">
        <w:rPr>
          <w:rFonts w:ascii="Arial" w:hAnsi="Arial" w:cs="Arial"/>
          <w:sz w:val="24"/>
          <w:szCs w:val="24"/>
        </w:rPr>
        <w:t xml:space="preserve">a close and careful scrutiny of the </w:t>
      </w:r>
      <w:r w:rsidR="00E823FE">
        <w:rPr>
          <w:rFonts w:ascii="Arial" w:hAnsi="Arial" w:cs="Arial"/>
          <w:sz w:val="24"/>
          <w:szCs w:val="24"/>
        </w:rPr>
        <w:t>documents said to constitute the record of his decision</w:t>
      </w:r>
      <w:r w:rsidR="00FA181B">
        <w:rPr>
          <w:rFonts w:ascii="Arial" w:hAnsi="Arial" w:cs="Arial"/>
          <w:sz w:val="24"/>
          <w:szCs w:val="24"/>
        </w:rPr>
        <w:t>,</w:t>
      </w:r>
      <w:r w:rsidR="00E823FE">
        <w:rPr>
          <w:rFonts w:ascii="Arial" w:hAnsi="Arial" w:cs="Arial"/>
          <w:sz w:val="24"/>
          <w:szCs w:val="24"/>
        </w:rPr>
        <w:t xml:space="preserve"> which is irrational. </w:t>
      </w:r>
      <w:r w:rsidR="00124853">
        <w:rPr>
          <w:rFonts w:ascii="Arial" w:hAnsi="Arial" w:cs="Arial"/>
          <w:sz w:val="24"/>
          <w:szCs w:val="24"/>
        </w:rPr>
        <w:t>The document titled “Reasons for the decision” attached to the record gives the 2</w:t>
      </w:r>
      <w:r w:rsidR="00124853" w:rsidRPr="00764D6D">
        <w:rPr>
          <w:rFonts w:ascii="Arial" w:hAnsi="Arial" w:cs="Arial"/>
          <w:sz w:val="24"/>
          <w:szCs w:val="24"/>
          <w:vertAlign w:val="superscript"/>
        </w:rPr>
        <w:t>nd</w:t>
      </w:r>
      <w:r w:rsidR="00124853">
        <w:rPr>
          <w:rFonts w:ascii="Arial" w:hAnsi="Arial" w:cs="Arial"/>
          <w:sz w:val="24"/>
          <w:szCs w:val="24"/>
        </w:rPr>
        <w:t xml:space="preserve"> Respondent an overview of the facts relating to the Application and recommendations post the decision. </w:t>
      </w:r>
      <w:r w:rsidR="00E823FE">
        <w:rPr>
          <w:rFonts w:ascii="Arial" w:hAnsi="Arial" w:cs="Arial"/>
          <w:sz w:val="24"/>
          <w:szCs w:val="24"/>
        </w:rPr>
        <w:t xml:space="preserve">The picture painted by the record is that after receiving the well-motivated closure application and plan, the </w:t>
      </w:r>
      <w:r w:rsidR="00124853">
        <w:rPr>
          <w:rFonts w:ascii="Arial" w:hAnsi="Arial" w:cs="Arial"/>
          <w:sz w:val="24"/>
          <w:szCs w:val="24"/>
        </w:rPr>
        <w:t>1</w:t>
      </w:r>
      <w:r w:rsidR="00124853" w:rsidRPr="00124853">
        <w:rPr>
          <w:rFonts w:ascii="Arial" w:hAnsi="Arial" w:cs="Arial"/>
          <w:sz w:val="24"/>
          <w:szCs w:val="24"/>
          <w:vertAlign w:val="superscript"/>
        </w:rPr>
        <w:t>st</w:t>
      </w:r>
      <w:r w:rsidR="00124853">
        <w:rPr>
          <w:rFonts w:ascii="Arial" w:hAnsi="Arial" w:cs="Arial"/>
          <w:sz w:val="24"/>
          <w:szCs w:val="24"/>
        </w:rPr>
        <w:t xml:space="preserve"> Respondent </w:t>
      </w:r>
      <w:r w:rsidR="00E823FE">
        <w:rPr>
          <w:rFonts w:ascii="Arial" w:hAnsi="Arial" w:cs="Arial"/>
          <w:sz w:val="24"/>
          <w:szCs w:val="24"/>
        </w:rPr>
        <w:t xml:space="preserve">plucked </w:t>
      </w:r>
      <w:r w:rsidR="00764D6D">
        <w:rPr>
          <w:rFonts w:ascii="Arial" w:hAnsi="Arial" w:cs="Arial"/>
          <w:sz w:val="24"/>
          <w:szCs w:val="24"/>
        </w:rPr>
        <w:t xml:space="preserve">his decision </w:t>
      </w:r>
      <w:r w:rsidR="00E823FE">
        <w:rPr>
          <w:rFonts w:ascii="Arial" w:hAnsi="Arial" w:cs="Arial"/>
          <w:sz w:val="24"/>
          <w:szCs w:val="24"/>
        </w:rPr>
        <w:t xml:space="preserve">out of thin air. </w:t>
      </w:r>
      <w:r w:rsidR="00FA181B">
        <w:rPr>
          <w:rFonts w:ascii="Arial" w:hAnsi="Arial" w:cs="Arial"/>
          <w:sz w:val="24"/>
          <w:szCs w:val="24"/>
        </w:rPr>
        <w:t>T</w:t>
      </w:r>
      <w:r w:rsidR="00C37680">
        <w:rPr>
          <w:rFonts w:ascii="Arial" w:hAnsi="Arial" w:cs="Arial"/>
          <w:sz w:val="24"/>
          <w:szCs w:val="24"/>
        </w:rPr>
        <w:t>he reasons appear to have been constructed by the 1</w:t>
      </w:r>
      <w:r w:rsidR="00C37680" w:rsidRPr="00C37680">
        <w:rPr>
          <w:rFonts w:ascii="Arial" w:hAnsi="Arial" w:cs="Arial"/>
          <w:sz w:val="24"/>
          <w:szCs w:val="24"/>
          <w:vertAlign w:val="superscript"/>
        </w:rPr>
        <w:t>st</w:t>
      </w:r>
      <w:r w:rsidR="00C37680">
        <w:rPr>
          <w:rFonts w:ascii="Arial" w:hAnsi="Arial" w:cs="Arial"/>
          <w:sz w:val="24"/>
          <w:szCs w:val="24"/>
        </w:rPr>
        <w:t xml:space="preserve"> Respondent in his belated effort to respond to the review proceedings</w:t>
      </w:r>
      <w:r w:rsidR="00FA181B">
        <w:rPr>
          <w:rFonts w:ascii="Arial" w:hAnsi="Arial" w:cs="Arial"/>
          <w:sz w:val="24"/>
          <w:szCs w:val="24"/>
        </w:rPr>
        <w:t xml:space="preserve">, which </w:t>
      </w:r>
      <w:r w:rsidR="00C37680">
        <w:rPr>
          <w:rFonts w:ascii="Arial" w:hAnsi="Arial" w:cs="Arial"/>
          <w:sz w:val="24"/>
          <w:szCs w:val="24"/>
        </w:rPr>
        <w:t>undermin</w:t>
      </w:r>
      <w:r w:rsidR="00FA181B">
        <w:rPr>
          <w:rFonts w:ascii="Arial" w:hAnsi="Arial" w:cs="Arial"/>
          <w:sz w:val="24"/>
          <w:szCs w:val="24"/>
        </w:rPr>
        <w:t>es</w:t>
      </w:r>
      <w:r w:rsidR="00C37680">
        <w:rPr>
          <w:rFonts w:ascii="Arial" w:hAnsi="Arial" w:cs="Arial"/>
          <w:sz w:val="24"/>
          <w:szCs w:val="24"/>
        </w:rPr>
        <w:t xml:space="preserve"> the purpose of Rule 53 of the Uniform Rules of Court. There is no explanation of how the 1</w:t>
      </w:r>
      <w:r w:rsidR="00C37680" w:rsidRPr="00C37680">
        <w:rPr>
          <w:rFonts w:ascii="Arial" w:hAnsi="Arial" w:cs="Arial"/>
          <w:sz w:val="24"/>
          <w:szCs w:val="24"/>
          <w:vertAlign w:val="superscript"/>
        </w:rPr>
        <w:t>st</w:t>
      </w:r>
      <w:r w:rsidR="00C37680">
        <w:rPr>
          <w:rFonts w:ascii="Arial" w:hAnsi="Arial" w:cs="Arial"/>
          <w:sz w:val="24"/>
          <w:szCs w:val="24"/>
        </w:rPr>
        <w:t xml:space="preserve"> </w:t>
      </w:r>
      <w:r w:rsidR="00FA181B">
        <w:rPr>
          <w:rFonts w:ascii="Arial" w:hAnsi="Arial" w:cs="Arial"/>
          <w:sz w:val="24"/>
          <w:szCs w:val="24"/>
        </w:rPr>
        <w:t>R</w:t>
      </w:r>
      <w:r w:rsidR="00C37680">
        <w:rPr>
          <w:rFonts w:ascii="Arial" w:hAnsi="Arial" w:cs="Arial"/>
          <w:sz w:val="24"/>
          <w:szCs w:val="24"/>
        </w:rPr>
        <w:t xml:space="preserve">espondent evaluated the </w:t>
      </w:r>
      <w:r w:rsidR="00FA181B">
        <w:rPr>
          <w:rFonts w:ascii="Arial" w:hAnsi="Arial" w:cs="Arial"/>
          <w:sz w:val="24"/>
          <w:szCs w:val="24"/>
        </w:rPr>
        <w:t xml:space="preserve">facts and </w:t>
      </w:r>
      <w:r w:rsidR="00C37680">
        <w:rPr>
          <w:rFonts w:ascii="Arial" w:hAnsi="Arial" w:cs="Arial"/>
          <w:sz w:val="24"/>
          <w:szCs w:val="24"/>
        </w:rPr>
        <w:t xml:space="preserve">information </w:t>
      </w:r>
      <w:r w:rsidR="00FA181B">
        <w:rPr>
          <w:rFonts w:ascii="Arial" w:hAnsi="Arial" w:cs="Arial"/>
          <w:sz w:val="24"/>
          <w:szCs w:val="24"/>
        </w:rPr>
        <w:t xml:space="preserve">set out in the DBCM closure Application. </w:t>
      </w:r>
    </w:p>
    <w:p w14:paraId="1A86A8ED" w14:textId="52CFB3B7" w:rsidR="001D3098" w:rsidRDefault="001D3098" w:rsidP="00FA181B">
      <w:pPr>
        <w:tabs>
          <w:tab w:val="left" w:pos="567"/>
        </w:tabs>
        <w:spacing w:after="0" w:line="360" w:lineRule="auto"/>
        <w:jc w:val="both"/>
        <w:rPr>
          <w:rFonts w:ascii="Arial" w:hAnsi="Arial" w:cs="Arial"/>
          <w:sz w:val="24"/>
          <w:szCs w:val="24"/>
        </w:rPr>
      </w:pPr>
    </w:p>
    <w:p w14:paraId="1DF49C8F" w14:textId="135A120B" w:rsidR="001D7610" w:rsidRPr="00124853" w:rsidRDefault="00BF5FBB" w:rsidP="001D7610">
      <w:pPr>
        <w:tabs>
          <w:tab w:val="left" w:pos="567"/>
        </w:tabs>
        <w:spacing w:after="0" w:line="360" w:lineRule="auto"/>
        <w:jc w:val="both"/>
        <w:rPr>
          <w:rFonts w:ascii="Arial" w:hAnsi="Arial" w:cs="Arial"/>
          <w:sz w:val="24"/>
          <w:szCs w:val="24"/>
        </w:rPr>
      </w:pPr>
      <w:r>
        <w:rPr>
          <w:rFonts w:ascii="Arial" w:hAnsi="Arial" w:cs="Arial"/>
          <w:sz w:val="24"/>
          <w:szCs w:val="24"/>
        </w:rPr>
        <w:t>[75</w:t>
      </w:r>
      <w:r w:rsidR="001D3098">
        <w:rPr>
          <w:rFonts w:ascii="Arial" w:hAnsi="Arial" w:cs="Arial"/>
          <w:sz w:val="24"/>
          <w:szCs w:val="24"/>
        </w:rPr>
        <w:t>]</w:t>
      </w:r>
      <w:r w:rsidR="001D3098">
        <w:rPr>
          <w:rFonts w:ascii="Arial" w:hAnsi="Arial" w:cs="Arial"/>
          <w:sz w:val="24"/>
          <w:szCs w:val="24"/>
        </w:rPr>
        <w:tab/>
        <w:t xml:space="preserve"> Furthermore DBCM criticizes the 1</w:t>
      </w:r>
      <w:r w:rsidR="001D3098" w:rsidRPr="001D3098">
        <w:rPr>
          <w:rFonts w:ascii="Arial" w:hAnsi="Arial" w:cs="Arial"/>
          <w:sz w:val="24"/>
          <w:szCs w:val="24"/>
          <w:vertAlign w:val="superscript"/>
        </w:rPr>
        <w:t>st</w:t>
      </w:r>
      <w:r w:rsidR="001D3098">
        <w:rPr>
          <w:rFonts w:ascii="Arial" w:hAnsi="Arial" w:cs="Arial"/>
          <w:sz w:val="24"/>
          <w:szCs w:val="24"/>
        </w:rPr>
        <w:t xml:space="preserve"> Respondent </w:t>
      </w:r>
      <w:r w:rsidR="001D7610">
        <w:rPr>
          <w:rFonts w:ascii="Arial" w:hAnsi="Arial" w:cs="Arial"/>
          <w:sz w:val="24"/>
          <w:szCs w:val="24"/>
        </w:rPr>
        <w:t>f</w:t>
      </w:r>
      <w:r w:rsidR="003C57F5">
        <w:rPr>
          <w:rFonts w:ascii="Arial" w:hAnsi="Arial" w:cs="Arial"/>
          <w:sz w:val="24"/>
          <w:szCs w:val="24"/>
        </w:rPr>
        <w:t xml:space="preserve">or </w:t>
      </w:r>
      <w:r w:rsidR="001D3098">
        <w:rPr>
          <w:rFonts w:ascii="Arial" w:hAnsi="Arial" w:cs="Arial"/>
          <w:sz w:val="24"/>
          <w:szCs w:val="24"/>
        </w:rPr>
        <w:t xml:space="preserve">dealing with </w:t>
      </w:r>
      <w:r w:rsidR="001D7610">
        <w:rPr>
          <w:rFonts w:ascii="Arial" w:hAnsi="Arial" w:cs="Arial"/>
          <w:sz w:val="24"/>
          <w:szCs w:val="24"/>
        </w:rPr>
        <w:t xml:space="preserve">prior </w:t>
      </w:r>
      <w:r w:rsidR="001D3098">
        <w:rPr>
          <w:rFonts w:ascii="Arial" w:hAnsi="Arial" w:cs="Arial"/>
          <w:sz w:val="24"/>
          <w:szCs w:val="24"/>
        </w:rPr>
        <w:t xml:space="preserve">decisions that are outside </w:t>
      </w:r>
      <w:r w:rsidR="00861ED0">
        <w:rPr>
          <w:rFonts w:ascii="Arial" w:hAnsi="Arial" w:cs="Arial"/>
          <w:sz w:val="24"/>
          <w:szCs w:val="24"/>
        </w:rPr>
        <w:t xml:space="preserve">the decision of July 2020 that </w:t>
      </w:r>
      <w:r w:rsidR="001D3098">
        <w:rPr>
          <w:rFonts w:ascii="Arial" w:hAnsi="Arial" w:cs="Arial"/>
          <w:sz w:val="24"/>
          <w:szCs w:val="24"/>
        </w:rPr>
        <w:t xml:space="preserve">DBCM </w:t>
      </w:r>
      <w:r w:rsidR="001D7610">
        <w:rPr>
          <w:rFonts w:ascii="Arial" w:hAnsi="Arial" w:cs="Arial"/>
          <w:sz w:val="24"/>
          <w:szCs w:val="24"/>
        </w:rPr>
        <w:t xml:space="preserve">is </w:t>
      </w:r>
      <w:r w:rsidR="001D3098">
        <w:rPr>
          <w:rFonts w:ascii="Arial" w:hAnsi="Arial" w:cs="Arial"/>
          <w:sz w:val="24"/>
          <w:szCs w:val="24"/>
        </w:rPr>
        <w:t>complain</w:t>
      </w:r>
      <w:r w:rsidR="001D7610">
        <w:rPr>
          <w:rFonts w:ascii="Arial" w:hAnsi="Arial" w:cs="Arial"/>
          <w:sz w:val="24"/>
          <w:szCs w:val="24"/>
        </w:rPr>
        <w:t xml:space="preserve">ing </w:t>
      </w:r>
      <w:r w:rsidR="001D3098">
        <w:rPr>
          <w:rFonts w:ascii="Arial" w:hAnsi="Arial" w:cs="Arial"/>
          <w:sz w:val="24"/>
          <w:szCs w:val="24"/>
        </w:rPr>
        <w:t>about</w:t>
      </w:r>
      <w:r w:rsidR="00124853">
        <w:rPr>
          <w:rFonts w:ascii="Arial" w:hAnsi="Arial" w:cs="Arial"/>
          <w:sz w:val="24"/>
          <w:szCs w:val="24"/>
        </w:rPr>
        <w:t>,</w:t>
      </w:r>
      <w:r w:rsidR="001D3098">
        <w:rPr>
          <w:rFonts w:ascii="Arial" w:hAnsi="Arial" w:cs="Arial"/>
          <w:sz w:val="24"/>
          <w:szCs w:val="24"/>
        </w:rPr>
        <w:t xml:space="preserve"> </w:t>
      </w:r>
      <w:r w:rsidR="00124853">
        <w:rPr>
          <w:rFonts w:ascii="Arial" w:hAnsi="Arial" w:cs="Arial"/>
          <w:sz w:val="24"/>
          <w:szCs w:val="24"/>
        </w:rPr>
        <w:t xml:space="preserve">and </w:t>
      </w:r>
      <w:r w:rsidR="007D0EA1">
        <w:rPr>
          <w:rFonts w:ascii="Arial" w:hAnsi="Arial" w:cs="Arial"/>
          <w:sz w:val="24"/>
          <w:szCs w:val="24"/>
        </w:rPr>
        <w:t xml:space="preserve">has failed </w:t>
      </w:r>
      <w:r w:rsidR="001D3098">
        <w:rPr>
          <w:rFonts w:ascii="Arial" w:hAnsi="Arial" w:cs="Arial"/>
          <w:sz w:val="24"/>
          <w:szCs w:val="24"/>
        </w:rPr>
        <w:t>to show why th</w:t>
      </w:r>
      <w:r w:rsidR="00124853">
        <w:rPr>
          <w:rFonts w:ascii="Arial" w:hAnsi="Arial" w:cs="Arial"/>
          <w:sz w:val="24"/>
          <w:szCs w:val="24"/>
        </w:rPr>
        <w:t>at</w:t>
      </w:r>
      <w:r w:rsidR="001D3098">
        <w:rPr>
          <w:rFonts w:ascii="Arial" w:hAnsi="Arial" w:cs="Arial"/>
          <w:sz w:val="24"/>
          <w:szCs w:val="24"/>
        </w:rPr>
        <w:t xml:space="preserve"> decision is not capable of being reviewed and set aside. </w:t>
      </w:r>
      <w:r w:rsidR="001D7610" w:rsidRPr="00124853">
        <w:rPr>
          <w:rFonts w:ascii="Arial" w:hAnsi="Arial" w:cs="Arial"/>
          <w:sz w:val="24"/>
          <w:szCs w:val="24"/>
        </w:rPr>
        <w:t>A decision the Respondent does not deny that it</w:t>
      </w:r>
      <w:r w:rsidR="001D3098" w:rsidRPr="00124853">
        <w:rPr>
          <w:rFonts w:ascii="Arial" w:hAnsi="Arial" w:cs="Arial"/>
          <w:sz w:val="24"/>
          <w:szCs w:val="24"/>
        </w:rPr>
        <w:t xml:space="preserve"> is an administrative action</w:t>
      </w:r>
      <w:r w:rsidR="00947192" w:rsidRPr="00124853">
        <w:rPr>
          <w:rFonts w:ascii="Arial" w:hAnsi="Arial" w:cs="Arial"/>
          <w:sz w:val="24"/>
          <w:szCs w:val="24"/>
        </w:rPr>
        <w:t xml:space="preserve"> subject to challenge in terms of PAJA and </w:t>
      </w:r>
      <w:r w:rsidR="001D7610" w:rsidRPr="00124853">
        <w:rPr>
          <w:rFonts w:ascii="Arial" w:hAnsi="Arial" w:cs="Arial"/>
          <w:sz w:val="24"/>
          <w:szCs w:val="24"/>
        </w:rPr>
        <w:t>s</w:t>
      </w:r>
      <w:r w:rsidR="00947192" w:rsidRPr="00124853">
        <w:rPr>
          <w:rFonts w:ascii="Arial" w:hAnsi="Arial" w:cs="Arial"/>
          <w:sz w:val="24"/>
          <w:szCs w:val="24"/>
        </w:rPr>
        <w:t xml:space="preserve"> 1 (c) of the Constitution</w:t>
      </w:r>
      <w:r w:rsidR="001D7610" w:rsidRPr="00124853">
        <w:rPr>
          <w:rFonts w:ascii="Arial" w:hAnsi="Arial" w:cs="Arial"/>
          <w:sz w:val="24"/>
          <w:szCs w:val="24"/>
        </w:rPr>
        <w:t>, against which there has been no delay but a delay from the Respondent</w:t>
      </w:r>
      <w:r w:rsidR="00336D6E">
        <w:rPr>
          <w:rFonts w:ascii="Arial" w:hAnsi="Arial" w:cs="Arial"/>
          <w:sz w:val="24"/>
          <w:szCs w:val="24"/>
        </w:rPr>
        <w:t>s</w:t>
      </w:r>
      <w:r w:rsidR="001D7610" w:rsidRPr="00124853">
        <w:rPr>
          <w:rFonts w:ascii="Arial" w:hAnsi="Arial" w:cs="Arial"/>
          <w:sz w:val="24"/>
          <w:szCs w:val="24"/>
        </w:rPr>
        <w:t xml:space="preserve"> to decide the appeal.</w:t>
      </w:r>
    </w:p>
    <w:p w14:paraId="341035E9" w14:textId="77777777" w:rsidR="00A44FAA" w:rsidRDefault="00A44FAA" w:rsidP="00947192">
      <w:pPr>
        <w:tabs>
          <w:tab w:val="left" w:pos="567"/>
        </w:tabs>
        <w:spacing w:after="0" w:line="360" w:lineRule="auto"/>
        <w:jc w:val="both"/>
        <w:rPr>
          <w:rFonts w:ascii="Arial" w:hAnsi="Arial" w:cs="Arial"/>
          <w:sz w:val="24"/>
          <w:szCs w:val="24"/>
        </w:rPr>
      </w:pPr>
    </w:p>
    <w:p w14:paraId="7A3691E8" w14:textId="75875217" w:rsidR="008D738C" w:rsidRPr="00417D86" w:rsidRDefault="00BF5FBB" w:rsidP="00101B9F">
      <w:pPr>
        <w:tabs>
          <w:tab w:val="left" w:pos="567"/>
        </w:tabs>
        <w:spacing w:after="0" w:line="360" w:lineRule="auto"/>
        <w:jc w:val="both"/>
        <w:rPr>
          <w:rFonts w:ascii="Arial" w:hAnsi="Arial" w:cs="Arial"/>
          <w:b/>
          <w:color w:val="FF0000"/>
          <w:sz w:val="24"/>
          <w:szCs w:val="24"/>
        </w:rPr>
      </w:pPr>
      <w:r>
        <w:rPr>
          <w:rFonts w:ascii="Arial" w:hAnsi="Arial" w:cs="Arial"/>
          <w:sz w:val="24"/>
          <w:szCs w:val="24"/>
        </w:rPr>
        <w:t>[76</w:t>
      </w:r>
      <w:r w:rsidR="00A44FAA">
        <w:rPr>
          <w:rFonts w:ascii="Arial" w:hAnsi="Arial" w:cs="Arial"/>
          <w:sz w:val="24"/>
          <w:szCs w:val="24"/>
        </w:rPr>
        <w:t>]</w:t>
      </w:r>
      <w:r w:rsidR="00A44FAA">
        <w:rPr>
          <w:rFonts w:ascii="Arial" w:hAnsi="Arial" w:cs="Arial"/>
          <w:sz w:val="24"/>
          <w:szCs w:val="24"/>
        </w:rPr>
        <w:tab/>
        <w:t xml:space="preserve"> DBCM denies that the EMP for the establishment and operations of the Oaks Mine has </w:t>
      </w:r>
      <w:r w:rsidR="00A10BC9">
        <w:rPr>
          <w:rFonts w:ascii="Arial" w:hAnsi="Arial" w:cs="Arial"/>
          <w:sz w:val="24"/>
          <w:szCs w:val="24"/>
        </w:rPr>
        <w:t>anything</w:t>
      </w:r>
      <w:r w:rsidR="00A44FAA">
        <w:rPr>
          <w:rFonts w:ascii="Arial" w:hAnsi="Arial" w:cs="Arial"/>
          <w:sz w:val="24"/>
          <w:szCs w:val="24"/>
        </w:rPr>
        <w:t xml:space="preserve"> to do with whether to grant the closure </w:t>
      </w:r>
      <w:r w:rsidR="00A10BC9">
        <w:rPr>
          <w:rFonts w:ascii="Arial" w:hAnsi="Arial" w:cs="Arial"/>
          <w:sz w:val="24"/>
          <w:szCs w:val="24"/>
        </w:rPr>
        <w:t xml:space="preserve">certificate or not. According to DBCM the notification </w:t>
      </w:r>
      <w:r w:rsidR="0076095F">
        <w:rPr>
          <w:rFonts w:ascii="Arial" w:hAnsi="Arial" w:cs="Arial"/>
          <w:sz w:val="24"/>
          <w:szCs w:val="24"/>
        </w:rPr>
        <w:t xml:space="preserve">of </w:t>
      </w:r>
      <w:r w:rsidR="00A10BC9">
        <w:rPr>
          <w:rFonts w:ascii="Arial" w:hAnsi="Arial" w:cs="Arial"/>
          <w:sz w:val="24"/>
          <w:szCs w:val="24"/>
        </w:rPr>
        <w:t xml:space="preserve">the I and AP </w:t>
      </w:r>
      <w:r w:rsidR="003C57F5">
        <w:rPr>
          <w:rFonts w:ascii="Arial" w:hAnsi="Arial" w:cs="Arial"/>
          <w:sz w:val="24"/>
          <w:szCs w:val="24"/>
        </w:rPr>
        <w:t xml:space="preserve">(interested and affected parties) </w:t>
      </w:r>
      <w:r w:rsidR="00A10BC9">
        <w:rPr>
          <w:rFonts w:ascii="Arial" w:hAnsi="Arial" w:cs="Arial"/>
          <w:sz w:val="24"/>
          <w:szCs w:val="24"/>
        </w:rPr>
        <w:t xml:space="preserve">of the approval of the amended EMP </w:t>
      </w:r>
      <w:r w:rsidR="00101B9F">
        <w:rPr>
          <w:rFonts w:ascii="Arial" w:hAnsi="Arial" w:cs="Arial"/>
          <w:sz w:val="24"/>
          <w:szCs w:val="24"/>
        </w:rPr>
        <w:t xml:space="preserve">which approval was unconditional </w:t>
      </w:r>
      <w:r w:rsidR="00A10BC9">
        <w:rPr>
          <w:rFonts w:ascii="Arial" w:hAnsi="Arial" w:cs="Arial"/>
          <w:sz w:val="24"/>
          <w:szCs w:val="24"/>
        </w:rPr>
        <w:t>is clerical</w:t>
      </w:r>
      <w:r w:rsidR="00101B9F">
        <w:rPr>
          <w:rFonts w:ascii="Arial" w:hAnsi="Arial" w:cs="Arial"/>
          <w:sz w:val="24"/>
          <w:szCs w:val="24"/>
        </w:rPr>
        <w:t xml:space="preserve"> and</w:t>
      </w:r>
      <w:r w:rsidR="00A10BC9">
        <w:rPr>
          <w:rFonts w:ascii="Arial" w:hAnsi="Arial" w:cs="Arial"/>
          <w:sz w:val="24"/>
          <w:szCs w:val="24"/>
        </w:rPr>
        <w:t xml:space="preserve"> makes the 1</w:t>
      </w:r>
      <w:r w:rsidR="00A10BC9" w:rsidRPr="00A10BC9">
        <w:rPr>
          <w:rFonts w:ascii="Arial" w:hAnsi="Arial" w:cs="Arial"/>
          <w:sz w:val="24"/>
          <w:szCs w:val="24"/>
          <w:vertAlign w:val="superscript"/>
        </w:rPr>
        <w:t>st</w:t>
      </w:r>
      <w:r w:rsidR="00A10BC9">
        <w:rPr>
          <w:rFonts w:ascii="Arial" w:hAnsi="Arial" w:cs="Arial"/>
          <w:sz w:val="24"/>
          <w:szCs w:val="24"/>
        </w:rPr>
        <w:t xml:space="preserve"> Respondent’s contention baseless.</w:t>
      </w:r>
      <w:r w:rsidR="001D7610">
        <w:rPr>
          <w:rFonts w:ascii="Arial" w:hAnsi="Arial" w:cs="Arial"/>
          <w:sz w:val="24"/>
          <w:szCs w:val="24"/>
        </w:rPr>
        <w:t xml:space="preserve"> </w:t>
      </w:r>
      <w:r w:rsidR="003C57F5">
        <w:rPr>
          <w:rFonts w:ascii="Arial" w:hAnsi="Arial" w:cs="Arial"/>
          <w:sz w:val="24"/>
          <w:szCs w:val="24"/>
        </w:rPr>
        <w:t>A</w:t>
      </w:r>
      <w:r w:rsidR="00101B9F">
        <w:rPr>
          <w:rFonts w:ascii="Arial" w:hAnsi="Arial" w:cs="Arial"/>
          <w:sz w:val="24"/>
          <w:szCs w:val="24"/>
        </w:rPr>
        <w:t xml:space="preserve">s part of the decommissioning and closure </w:t>
      </w:r>
      <w:r w:rsidR="00101B9F">
        <w:rPr>
          <w:rFonts w:ascii="Arial" w:hAnsi="Arial" w:cs="Arial"/>
          <w:sz w:val="24"/>
          <w:szCs w:val="24"/>
        </w:rPr>
        <w:lastRenderedPageBreak/>
        <w:t xml:space="preserve">process that took place in 2009 it </w:t>
      </w:r>
      <w:r w:rsidR="00417D86">
        <w:rPr>
          <w:rFonts w:ascii="Arial" w:hAnsi="Arial" w:cs="Arial"/>
          <w:sz w:val="24"/>
          <w:szCs w:val="24"/>
        </w:rPr>
        <w:t xml:space="preserve">alleges to have taken </w:t>
      </w:r>
      <w:r w:rsidR="00101B9F">
        <w:rPr>
          <w:rFonts w:ascii="Arial" w:hAnsi="Arial" w:cs="Arial"/>
          <w:sz w:val="24"/>
          <w:szCs w:val="24"/>
        </w:rPr>
        <w:t xml:space="preserve">extensive consultations with </w:t>
      </w:r>
      <w:r w:rsidR="00417D86">
        <w:rPr>
          <w:rFonts w:ascii="Arial" w:hAnsi="Arial" w:cs="Arial"/>
          <w:sz w:val="24"/>
          <w:szCs w:val="24"/>
        </w:rPr>
        <w:t>various</w:t>
      </w:r>
      <w:r w:rsidR="00101B9F">
        <w:rPr>
          <w:rFonts w:ascii="Arial" w:hAnsi="Arial" w:cs="Arial"/>
          <w:sz w:val="24"/>
          <w:szCs w:val="24"/>
        </w:rPr>
        <w:t xml:space="preserve"> stakeholders including I and A</w:t>
      </w:r>
      <w:r w:rsidR="002473EF">
        <w:rPr>
          <w:rFonts w:ascii="Arial" w:hAnsi="Arial" w:cs="Arial"/>
          <w:sz w:val="24"/>
          <w:szCs w:val="24"/>
        </w:rPr>
        <w:t>P</w:t>
      </w:r>
      <w:r w:rsidR="00101B9F">
        <w:rPr>
          <w:rFonts w:ascii="Arial" w:hAnsi="Arial" w:cs="Arial"/>
          <w:sz w:val="24"/>
          <w:szCs w:val="24"/>
        </w:rPr>
        <w:t xml:space="preserve">. </w:t>
      </w:r>
      <w:r w:rsidR="008D738C">
        <w:rPr>
          <w:rFonts w:ascii="Arial" w:hAnsi="Arial" w:cs="Arial"/>
          <w:sz w:val="24"/>
          <w:szCs w:val="24"/>
        </w:rPr>
        <w:t xml:space="preserve">It also had regular meetings with local landowners in the areas including the owners of Oaks farms which surround the mine. </w:t>
      </w:r>
      <w:r w:rsidR="00417D86">
        <w:rPr>
          <w:rFonts w:ascii="Arial" w:hAnsi="Arial" w:cs="Arial"/>
          <w:sz w:val="24"/>
          <w:szCs w:val="24"/>
        </w:rPr>
        <w:t xml:space="preserve"> </w:t>
      </w:r>
      <w:r w:rsidR="008D738C">
        <w:rPr>
          <w:rFonts w:ascii="Arial" w:hAnsi="Arial" w:cs="Arial"/>
          <w:sz w:val="24"/>
          <w:szCs w:val="24"/>
        </w:rPr>
        <w:t xml:space="preserve">The evidence was supplied with the closure Application. One such evidence was in a report attached to the Application that is required in terms of Regulation 62 (j) of the MPRDA Regulation and the closure plan details the consultations DBCM conducted. </w:t>
      </w:r>
      <w:r w:rsidR="00417D86">
        <w:rPr>
          <w:rFonts w:ascii="Arial" w:hAnsi="Arial" w:cs="Arial"/>
          <w:sz w:val="24"/>
          <w:szCs w:val="24"/>
        </w:rPr>
        <w:t xml:space="preserve"> </w:t>
      </w:r>
    </w:p>
    <w:p w14:paraId="10409492" w14:textId="55787C87" w:rsidR="008D738C" w:rsidRDefault="008D738C" w:rsidP="00101B9F">
      <w:pPr>
        <w:tabs>
          <w:tab w:val="left" w:pos="567"/>
        </w:tabs>
        <w:spacing w:after="0" w:line="360" w:lineRule="auto"/>
        <w:jc w:val="both"/>
        <w:rPr>
          <w:rFonts w:ascii="Arial" w:hAnsi="Arial" w:cs="Arial"/>
          <w:sz w:val="24"/>
          <w:szCs w:val="24"/>
        </w:rPr>
      </w:pPr>
    </w:p>
    <w:p w14:paraId="3A4D8373" w14:textId="6E77279D" w:rsidR="009326EC" w:rsidRDefault="00BF5FBB" w:rsidP="00101B9F">
      <w:pPr>
        <w:tabs>
          <w:tab w:val="left" w:pos="567"/>
        </w:tabs>
        <w:spacing w:after="0" w:line="360" w:lineRule="auto"/>
        <w:jc w:val="both"/>
        <w:rPr>
          <w:rFonts w:ascii="Arial" w:hAnsi="Arial" w:cs="Arial"/>
          <w:sz w:val="24"/>
          <w:szCs w:val="24"/>
        </w:rPr>
      </w:pPr>
      <w:r>
        <w:rPr>
          <w:rFonts w:ascii="Arial" w:hAnsi="Arial" w:cs="Arial"/>
          <w:sz w:val="24"/>
          <w:szCs w:val="24"/>
        </w:rPr>
        <w:t>[7</w:t>
      </w:r>
      <w:r w:rsidR="001063F6">
        <w:rPr>
          <w:rFonts w:ascii="Arial" w:hAnsi="Arial" w:cs="Arial"/>
          <w:sz w:val="24"/>
          <w:szCs w:val="24"/>
        </w:rPr>
        <w:t>7</w:t>
      </w:r>
      <w:r w:rsidR="008D738C">
        <w:rPr>
          <w:rFonts w:ascii="Arial" w:hAnsi="Arial" w:cs="Arial"/>
          <w:sz w:val="24"/>
          <w:szCs w:val="24"/>
        </w:rPr>
        <w:t xml:space="preserve">] With regard to the Guidelines DBCM argued that they are </w:t>
      </w:r>
      <w:r w:rsidR="00954057">
        <w:rPr>
          <w:rFonts w:ascii="Arial" w:hAnsi="Arial" w:cs="Arial"/>
          <w:sz w:val="24"/>
          <w:szCs w:val="24"/>
        </w:rPr>
        <w:t xml:space="preserve">not </w:t>
      </w:r>
      <w:r w:rsidR="008D738C">
        <w:rPr>
          <w:rFonts w:ascii="Arial" w:hAnsi="Arial" w:cs="Arial"/>
          <w:sz w:val="24"/>
          <w:szCs w:val="24"/>
        </w:rPr>
        <w:t xml:space="preserve">peremptory </w:t>
      </w:r>
      <w:r w:rsidR="00954057">
        <w:rPr>
          <w:rFonts w:ascii="Arial" w:hAnsi="Arial" w:cs="Arial"/>
          <w:sz w:val="24"/>
          <w:szCs w:val="24"/>
        </w:rPr>
        <w:t xml:space="preserve">but merely directory in nature. They also cannot contradict the Oaks Mine EMP that was preserved by the transitional provisions of the MPRDA and did not provide for the backfilling of the open cast pit. The DBCM </w:t>
      </w:r>
      <w:r w:rsidR="009326EC">
        <w:rPr>
          <w:rFonts w:ascii="Arial" w:hAnsi="Arial" w:cs="Arial"/>
          <w:sz w:val="24"/>
          <w:szCs w:val="24"/>
        </w:rPr>
        <w:t xml:space="preserve">submit that it </w:t>
      </w:r>
      <w:r w:rsidR="00954057">
        <w:rPr>
          <w:rFonts w:ascii="Arial" w:hAnsi="Arial" w:cs="Arial"/>
          <w:sz w:val="24"/>
          <w:szCs w:val="24"/>
        </w:rPr>
        <w:t>was therefore not bound by the Guidelines</w:t>
      </w:r>
      <w:r w:rsidR="009326EC">
        <w:rPr>
          <w:rFonts w:ascii="Arial" w:hAnsi="Arial" w:cs="Arial"/>
          <w:sz w:val="24"/>
          <w:szCs w:val="24"/>
        </w:rPr>
        <w:t xml:space="preserve"> nor</w:t>
      </w:r>
      <w:r w:rsidR="001D7610">
        <w:rPr>
          <w:rFonts w:ascii="Arial" w:hAnsi="Arial" w:cs="Arial"/>
          <w:sz w:val="24"/>
          <w:szCs w:val="24"/>
        </w:rPr>
        <w:t xml:space="preserve"> </w:t>
      </w:r>
      <w:r w:rsidR="009326EC">
        <w:rPr>
          <w:rFonts w:ascii="Arial" w:hAnsi="Arial" w:cs="Arial"/>
          <w:sz w:val="24"/>
          <w:szCs w:val="24"/>
        </w:rPr>
        <w:t xml:space="preserve">obliged to convert or amend the Oaks Mine EMP in order to comply with the Guidelines. </w:t>
      </w:r>
    </w:p>
    <w:p w14:paraId="473B77AE" w14:textId="77777777" w:rsidR="00251F94" w:rsidRDefault="00251F94" w:rsidP="00101B9F">
      <w:pPr>
        <w:tabs>
          <w:tab w:val="left" w:pos="567"/>
        </w:tabs>
        <w:spacing w:after="0" w:line="360" w:lineRule="auto"/>
        <w:jc w:val="both"/>
        <w:rPr>
          <w:rFonts w:ascii="Arial" w:hAnsi="Arial" w:cs="Arial"/>
          <w:sz w:val="24"/>
          <w:szCs w:val="24"/>
        </w:rPr>
      </w:pPr>
    </w:p>
    <w:p w14:paraId="41D9395A" w14:textId="3EBE6ACE" w:rsidR="00FB7C28" w:rsidRDefault="001D7610" w:rsidP="00101B9F">
      <w:pPr>
        <w:tabs>
          <w:tab w:val="left" w:pos="567"/>
        </w:tabs>
        <w:spacing w:after="0" w:line="360" w:lineRule="auto"/>
        <w:jc w:val="both"/>
        <w:rPr>
          <w:rFonts w:ascii="Arial" w:hAnsi="Arial" w:cs="Arial"/>
          <w:sz w:val="24"/>
          <w:szCs w:val="24"/>
        </w:rPr>
      </w:pPr>
      <w:r>
        <w:rPr>
          <w:rFonts w:ascii="Arial" w:hAnsi="Arial" w:cs="Arial"/>
          <w:sz w:val="24"/>
          <w:szCs w:val="24"/>
        </w:rPr>
        <w:t>[</w:t>
      </w:r>
      <w:r w:rsidR="001063F6">
        <w:rPr>
          <w:rFonts w:ascii="Arial" w:hAnsi="Arial" w:cs="Arial"/>
          <w:sz w:val="24"/>
          <w:szCs w:val="24"/>
        </w:rPr>
        <w:t>78</w:t>
      </w:r>
      <w:r w:rsidR="009326EC">
        <w:rPr>
          <w:rFonts w:ascii="Arial" w:hAnsi="Arial" w:cs="Arial"/>
          <w:sz w:val="24"/>
          <w:szCs w:val="24"/>
        </w:rPr>
        <w:t xml:space="preserve">] </w:t>
      </w:r>
      <w:r w:rsidR="009326EC">
        <w:rPr>
          <w:rFonts w:ascii="Arial" w:hAnsi="Arial" w:cs="Arial"/>
          <w:sz w:val="24"/>
          <w:szCs w:val="24"/>
        </w:rPr>
        <w:tab/>
        <w:t>The DBCM denied th</w:t>
      </w:r>
      <w:r w:rsidR="00251F94">
        <w:rPr>
          <w:rFonts w:ascii="Arial" w:hAnsi="Arial" w:cs="Arial"/>
          <w:sz w:val="24"/>
          <w:szCs w:val="24"/>
        </w:rPr>
        <w:t>a</w:t>
      </w:r>
      <w:r w:rsidR="009326EC">
        <w:rPr>
          <w:rFonts w:ascii="Arial" w:hAnsi="Arial" w:cs="Arial"/>
          <w:sz w:val="24"/>
          <w:szCs w:val="24"/>
        </w:rPr>
        <w:t xml:space="preserve">t its </w:t>
      </w:r>
      <w:r w:rsidR="00060E9D">
        <w:rPr>
          <w:rFonts w:ascii="Arial" w:hAnsi="Arial" w:cs="Arial"/>
          <w:sz w:val="24"/>
          <w:szCs w:val="24"/>
        </w:rPr>
        <w:t xml:space="preserve">amended </w:t>
      </w:r>
      <w:r w:rsidR="009326EC">
        <w:rPr>
          <w:rFonts w:ascii="Arial" w:hAnsi="Arial" w:cs="Arial"/>
          <w:sz w:val="24"/>
          <w:szCs w:val="24"/>
        </w:rPr>
        <w:t>EMP seized to exist on May 2009</w:t>
      </w:r>
      <w:r w:rsidR="00251F94">
        <w:rPr>
          <w:rFonts w:ascii="Arial" w:hAnsi="Arial" w:cs="Arial"/>
          <w:sz w:val="24"/>
          <w:szCs w:val="24"/>
        </w:rPr>
        <w:t>, by operation of the law, the 1</w:t>
      </w:r>
      <w:r w:rsidR="00251F94" w:rsidRPr="00251F94">
        <w:rPr>
          <w:rFonts w:ascii="Arial" w:hAnsi="Arial" w:cs="Arial"/>
          <w:sz w:val="24"/>
          <w:szCs w:val="24"/>
          <w:vertAlign w:val="superscript"/>
        </w:rPr>
        <w:t>st</w:t>
      </w:r>
      <w:r w:rsidR="00251F94">
        <w:rPr>
          <w:rFonts w:ascii="Arial" w:hAnsi="Arial" w:cs="Arial"/>
          <w:sz w:val="24"/>
          <w:szCs w:val="24"/>
        </w:rPr>
        <w:t xml:space="preserve"> Respondent having failed to indicate which law and does not address </w:t>
      </w:r>
      <w:r w:rsidR="00251F94" w:rsidRPr="00B33FA6">
        <w:rPr>
          <w:rFonts w:ascii="Arial" w:hAnsi="Arial" w:cs="Arial"/>
          <w:sz w:val="24"/>
          <w:szCs w:val="24"/>
        </w:rPr>
        <w:t xml:space="preserve">DBCM’s contention that </w:t>
      </w:r>
      <w:r w:rsidR="00646B4E" w:rsidRPr="00B33FA6">
        <w:rPr>
          <w:rFonts w:ascii="Arial" w:hAnsi="Arial" w:cs="Arial"/>
          <w:sz w:val="24"/>
          <w:szCs w:val="24"/>
        </w:rPr>
        <w:t>although DBCM’s mining license was not converted into a new order and has since lapsed, the initial EMP and the amended EMP remain valid and enforceable in terms of s 10 (1)</w:t>
      </w:r>
      <w:r w:rsidR="00646B4E" w:rsidRPr="00B33FA6">
        <w:rPr>
          <w:rStyle w:val="FootnoteReference"/>
          <w:rFonts w:ascii="Arial" w:hAnsi="Arial" w:cs="Arial"/>
          <w:sz w:val="24"/>
          <w:szCs w:val="24"/>
        </w:rPr>
        <w:footnoteReference w:id="11"/>
      </w:r>
      <w:r w:rsidR="00646B4E" w:rsidRPr="00B33FA6">
        <w:rPr>
          <w:rFonts w:ascii="Arial" w:hAnsi="Arial" w:cs="Arial"/>
          <w:sz w:val="24"/>
          <w:szCs w:val="24"/>
        </w:rPr>
        <w:t xml:space="preserve"> of the Transitional arrangement in Schedule II of the MPRDA.</w:t>
      </w:r>
      <w:r w:rsidR="000B79DC" w:rsidRPr="00B33FA6">
        <w:rPr>
          <w:rFonts w:ascii="Arial" w:hAnsi="Arial" w:cs="Arial"/>
          <w:sz w:val="24"/>
          <w:szCs w:val="24"/>
        </w:rPr>
        <w:t xml:space="preserve"> The</w:t>
      </w:r>
      <w:r w:rsidR="000B79DC">
        <w:rPr>
          <w:rFonts w:ascii="Arial" w:hAnsi="Arial" w:cs="Arial"/>
          <w:sz w:val="24"/>
          <w:szCs w:val="24"/>
          <w:u w:val="single"/>
        </w:rPr>
        <w:t xml:space="preserve"> </w:t>
      </w:r>
      <w:r w:rsidR="00A57ABC">
        <w:rPr>
          <w:rFonts w:ascii="Arial" w:hAnsi="Arial" w:cs="Arial"/>
          <w:sz w:val="24"/>
          <w:szCs w:val="24"/>
        </w:rPr>
        <w:t xml:space="preserve">DCBM </w:t>
      </w:r>
      <w:r w:rsidR="000B79DC">
        <w:rPr>
          <w:rFonts w:ascii="Arial" w:hAnsi="Arial" w:cs="Arial"/>
          <w:sz w:val="24"/>
          <w:szCs w:val="24"/>
        </w:rPr>
        <w:t xml:space="preserve">therefore </w:t>
      </w:r>
      <w:r w:rsidR="00A57ABC">
        <w:rPr>
          <w:rFonts w:ascii="Arial" w:hAnsi="Arial" w:cs="Arial"/>
          <w:sz w:val="24"/>
          <w:szCs w:val="24"/>
        </w:rPr>
        <w:t>denies that it was obliged to lodge the EMP with the 1</w:t>
      </w:r>
      <w:r w:rsidR="00A57ABC" w:rsidRPr="00A57ABC">
        <w:rPr>
          <w:rFonts w:ascii="Arial" w:hAnsi="Arial" w:cs="Arial"/>
          <w:sz w:val="24"/>
          <w:szCs w:val="24"/>
          <w:vertAlign w:val="superscript"/>
        </w:rPr>
        <w:t>st</w:t>
      </w:r>
      <w:r w:rsidR="00A57ABC">
        <w:rPr>
          <w:rFonts w:ascii="Arial" w:hAnsi="Arial" w:cs="Arial"/>
          <w:sz w:val="24"/>
          <w:szCs w:val="24"/>
        </w:rPr>
        <w:t xml:space="preserve"> Respondent </w:t>
      </w:r>
      <w:r w:rsidR="00014316">
        <w:rPr>
          <w:rFonts w:ascii="Arial" w:hAnsi="Arial" w:cs="Arial"/>
          <w:sz w:val="24"/>
          <w:szCs w:val="24"/>
        </w:rPr>
        <w:t>during the transitional period of the MPRDA</w:t>
      </w:r>
      <w:r w:rsidR="000B79DC">
        <w:rPr>
          <w:rFonts w:ascii="Arial" w:hAnsi="Arial" w:cs="Arial"/>
          <w:sz w:val="24"/>
          <w:szCs w:val="24"/>
        </w:rPr>
        <w:t xml:space="preserve"> or </w:t>
      </w:r>
      <w:r w:rsidR="00014316">
        <w:rPr>
          <w:rFonts w:ascii="Arial" w:hAnsi="Arial" w:cs="Arial"/>
          <w:sz w:val="24"/>
          <w:szCs w:val="24"/>
        </w:rPr>
        <w:t xml:space="preserve">to amend its EMP to comply with the </w:t>
      </w:r>
      <w:r w:rsidR="000B79DC">
        <w:rPr>
          <w:rFonts w:ascii="Arial" w:hAnsi="Arial" w:cs="Arial"/>
          <w:sz w:val="24"/>
          <w:szCs w:val="24"/>
        </w:rPr>
        <w:t>G</w:t>
      </w:r>
      <w:r w:rsidR="00014316">
        <w:rPr>
          <w:rFonts w:ascii="Arial" w:hAnsi="Arial" w:cs="Arial"/>
          <w:sz w:val="24"/>
          <w:szCs w:val="24"/>
        </w:rPr>
        <w:t xml:space="preserve">uidelines. </w:t>
      </w:r>
      <w:r w:rsidR="000B79DC">
        <w:rPr>
          <w:rFonts w:ascii="Arial" w:hAnsi="Arial" w:cs="Arial"/>
          <w:sz w:val="24"/>
          <w:szCs w:val="24"/>
        </w:rPr>
        <w:t>As required by s 10 (1) the 3</w:t>
      </w:r>
      <w:r w:rsidR="000B79DC" w:rsidRPr="000B79DC">
        <w:rPr>
          <w:rFonts w:ascii="Arial" w:hAnsi="Arial" w:cs="Arial"/>
          <w:sz w:val="24"/>
          <w:szCs w:val="24"/>
          <w:vertAlign w:val="superscript"/>
        </w:rPr>
        <w:t>rd</w:t>
      </w:r>
      <w:r w:rsidR="000B79DC">
        <w:rPr>
          <w:rFonts w:ascii="Arial" w:hAnsi="Arial" w:cs="Arial"/>
          <w:sz w:val="24"/>
          <w:szCs w:val="24"/>
        </w:rPr>
        <w:t xml:space="preserve"> Respondent never directed DBCM to bring the EMP in line with the MPRDA or any applicable Guidelines</w:t>
      </w:r>
      <w:r w:rsidR="00FB7C28">
        <w:rPr>
          <w:rFonts w:ascii="Arial" w:hAnsi="Arial" w:cs="Arial"/>
          <w:sz w:val="24"/>
          <w:szCs w:val="24"/>
        </w:rPr>
        <w:t xml:space="preserve"> du</w:t>
      </w:r>
      <w:r>
        <w:rPr>
          <w:rFonts w:ascii="Arial" w:hAnsi="Arial" w:cs="Arial"/>
          <w:sz w:val="24"/>
          <w:szCs w:val="24"/>
        </w:rPr>
        <w:t>e</w:t>
      </w:r>
      <w:r w:rsidR="00FB7C28">
        <w:rPr>
          <w:rFonts w:ascii="Arial" w:hAnsi="Arial" w:cs="Arial"/>
          <w:sz w:val="24"/>
          <w:szCs w:val="24"/>
        </w:rPr>
        <w:t xml:space="preserve"> to the fact that the Oaks Mine stopped operation during the period which was allowed for conversion of the old order rights which opportunity DBCM did not utilise and instead elected to apply for a closure certificate. </w:t>
      </w:r>
    </w:p>
    <w:p w14:paraId="1DBB50A5" w14:textId="77777777" w:rsidR="00FB7C28" w:rsidRDefault="00FB7C28" w:rsidP="00101B9F">
      <w:pPr>
        <w:tabs>
          <w:tab w:val="left" w:pos="567"/>
        </w:tabs>
        <w:spacing w:after="0" w:line="360" w:lineRule="auto"/>
        <w:jc w:val="both"/>
        <w:rPr>
          <w:rFonts w:ascii="Arial" w:hAnsi="Arial" w:cs="Arial"/>
          <w:sz w:val="24"/>
          <w:szCs w:val="24"/>
        </w:rPr>
      </w:pPr>
    </w:p>
    <w:p w14:paraId="5158C75E" w14:textId="21FA83B7" w:rsidR="00FB7C28" w:rsidRDefault="001D7610" w:rsidP="00101B9F">
      <w:pPr>
        <w:tabs>
          <w:tab w:val="left" w:pos="567"/>
        </w:tabs>
        <w:spacing w:after="0" w:line="360" w:lineRule="auto"/>
        <w:jc w:val="both"/>
        <w:rPr>
          <w:rFonts w:ascii="Arial" w:hAnsi="Arial" w:cs="Arial"/>
          <w:sz w:val="24"/>
          <w:szCs w:val="24"/>
        </w:rPr>
      </w:pPr>
      <w:r>
        <w:rPr>
          <w:rFonts w:ascii="Arial" w:hAnsi="Arial" w:cs="Arial"/>
          <w:sz w:val="24"/>
          <w:szCs w:val="24"/>
        </w:rPr>
        <w:t>[</w:t>
      </w:r>
      <w:r w:rsidR="001063F6">
        <w:rPr>
          <w:rFonts w:ascii="Arial" w:hAnsi="Arial" w:cs="Arial"/>
          <w:sz w:val="24"/>
          <w:szCs w:val="24"/>
        </w:rPr>
        <w:t>79</w:t>
      </w:r>
      <w:r w:rsidR="00FB7C28">
        <w:rPr>
          <w:rFonts w:ascii="Arial" w:hAnsi="Arial" w:cs="Arial"/>
          <w:sz w:val="24"/>
          <w:szCs w:val="24"/>
        </w:rPr>
        <w:t xml:space="preserve">] </w:t>
      </w:r>
      <w:r>
        <w:rPr>
          <w:rFonts w:ascii="Arial" w:hAnsi="Arial" w:cs="Arial"/>
          <w:sz w:val="24"/>
          <w:szCs w:val="24"/>
        </w:rPr>
        <w:tab/>
      </w:r>
      <w:r w:rsidR="00FB7C28">
        <w:rPr>
          <w:rFonts w:ascii="Arial" w:hAnsi="Arial" w:cs="Arial"/>
          <w:sz w:val="24"/>
          <w:szCs w:val="24"/>
        </w:rPr>
        <w:t>DCBM dispute</w:t>
      </w:r>
      <w:r>
        <w:rPr>
          <w:rFonts w:ascii="Arial" w:hAnsi="Arial" w:cs="Arial"/>
          <w:sz w:val="24"/>
          <w:szCs w:val="24"/>
        </w:rPr>
        <w:t>s</w:t>
      </w:r>
      <w:r w:rsidR="00FB7C28">
        <w:rPr>
          <w:rFonts w:ascii="Arial" w:hAnsi="Arial" w:cs="Arial"/>
          <w:sz w:val="24"/>
          <w:szCs w:val="24"/>
        </w:rPr>
        <w:t xml:space="preserve"> that its reliance on the EMP falls short of the requirements of the MPRDA, Cons</w:t>
      </w:r>
      <w:r w:rsidR="004E5949">
        <w:rPr>
          <w:rFonts w:ascii="Arial" w:hAnsi="Arial" w:cs="Arial"/>
          <w:sz w:val="24"/>
          <w:szCs w:val="24"/>
        </w:rPr>
        <w:t>t</w:t>
      </w:r>
      <w:r w:rsidR="00FB7C28">
        <w:rPr>
          <w:rFonts w:ascii="Arial" w:hAnsi="Arial" w:cs="Arial"/>
          <w:sz w:val="24"/>
          <w:szCs w:val="24"/>
        </w:rPr>
        <w:t>itution, NEMA and the 2005 Guidelines</w:t>
      </w:r>
      <w:r w:rsidR="00E2135C">
        <w:rPr>
          <w:rFonts w:ascii="Arial" w:hAnsi="Arial" w:cs="Arial"/>
          <w:sz w:val="24"/>
          <w:szCs w:val="24"/>
        </w:rPr>
        <w:t xml:space="preserve"> and allege that the</w:t>
      </w:r>
      <w:r w:rsidR="00FB7C28">
        <w:rPr>
          <w:rFonts w:ascii="Arial" w:hAnsi="Arial" w:cs="Arial"/>
          <w:sz w:val="24"/>
          <w:szCs w:val="24"/>
        </w:rPr>
        <w:t xml:space="preserve"> EMP is </w:t>
      </w:r>
      <w:r w:rsidR="00FB7C28">
        <w:rPr>
          <w:rFonts w:ascii="Arial" w:hAnsi="Arial" w:cs="Arial"/>
          <w:sz w:val="24"/>
          <w:szCs w:val="24"/>
        </w:rPr>
        <w:lastRenderedPageBreak/>
        <w:t xml:space="preserve">simply preserved and </w:t>
      </w:r>
      <w:r w:rsidR="00B33FA6">
        <w:rPr>
          <w:rFonts w:ascii="Arial" w:hAnsi="Arial" w:cs="Arial"/>
          <w:sz w:val="24"/>
          <w:szCs w:val="24"/>
        </w:rPr>
        <w:t>un</w:t>
      </w:r>
      <w:r w:rsidR="00FB7C28">
        <w:rPr>
          <w:rFonts w:ascii="Arial" w:hAnsi="Arial" w:cs="Arial"/>
          <w:sz w:val="24"/>
          <w:szCs w:val="24"/>
        </w:rPr>
        <w:t xml:space="preserve">affected by </w:t>
      </w:r>
      <w:r w:rsidR="00DF2D53">
        <w:rPr>
          <w:rFonts w:ascii="Arial" w:hAnsi="Arial" w:cs="Arial"/>
          <w:sz w:val="24"/>
          <w:szCs w:val="24"/>
        </w:rPr>
        <w:t xml:space="preserve">both </w:t>
      </w:r>
      <w:r w:rsidR="00FB7C28">
        <w:rPr>
          <w:rFonts w:ascii="Arial" w:hAnsi="Arial" w:cs="Arial"/>
          <w:sz w:val="24"/>
          <w:szCs w:val="24"/>
        </w:rPr>
        <w:t>the enactment and subsequent amendment to the MPRDA.</w:t>
      </w:r>
    </w:p>
    <w:p w14:paraId="2FBDA2FA" w14:textId="77777777" w:rsidR="00B33FA6" w:rsidRDefault="00B33FA6" w:rsidP="00101B9F">
      <w:pPr>
        <w:tabs>
          <w:tab w:val="left" w:pos="567"/>
        </w:tabs>
        <w:spacing w:after="0" w:line="360" w:lineRule="auto"/>
        <w:jc w:val="both"/>
        <w:rPr>
          <w:rFonts w:ascii="Arial" w:hAnsi="Arial" w:cs="Arial"/>
          <w:sz w:val="24"/>
          <w:szCs w:val="24"/>
        </w:rPr>
      </w:pPr>
    </w:p>
    <w:p w14:paraId="7D10BC25" w14:textId="23ED5C53" w:rsidR="00AB6746" w:rsidRDefault="00FB7C28" w:rsidP="00101B9F">
      <w:pPr>
        <w:tabs>
          <w:tab w:val="left" w:pos="567"/>
        </w:tabs>
        <w:spacing w:after="0" w:line="360" w:lineRule="auto"/>
        <w:jc w:val="both"/>
        <w:rPr>
          <w:rFonts w:ascii="Arial" w:hAnsi="Arial" w:cs="Arial"/>
          <w:sz w:val="24"/>
          <w:szCs w:val="24"/>
        </w:rPr>
      </w:pPr>
      <w:r>
        <w:rPr>
          <w:rFonts w:ascii="Arial" w:hAnsi="Arial" w:cs="Arial"/>
          <w:sz w:val="24"/>
          <w:szCs w:val="24"/>
        </w:rPr>
        <w:t>[</w:t>
      </w:r>
      <w:r w:rsidR="001063F6">
        <w:rPr>
          <w:rFonts w:ascii="Arial" w:hAnsi="Arial" w:cs="Arial"/>
          <w:sz w:val="24"/>
          <w:szCs w:val="24"/>
        </w:rPr>
        <w:t>80</w:t>
      </w:r>
      <w:r>
        <w:rPr>
          <w:rFonts w:ascii="Arial" w:hAnsi="Arial" w:cs="Arial"/>
          <w:sz w:val="24"/>
          <w:szCs w:val="24"/>
        </w:rPr>
        <w:t>]</w:t>
      </w:r>
      <w:r>
        <w:rPr>
          <w:rFonts w:ascii="Arial" w:hAnsi="Arial" w:cs="Arial"/>
          <w:sz w:val="24"/>
          <w:szCs w:val="24"/>
        </w:rPr>
        <w:tab/>
        <w:t xml:space="preserve"> DBCM denie</w:t>
      </w:r>
      <w:r w:rsidR="00E2135C">
        <w:rPr>
          <w:rFonts w:ascii="Arial" w:hAnsi="Arial" w:cs="Arial"/>
          <w:sz w:val="24"/>
          <w:szCs w:val="24"/>
        </w:rPr>
        <w:t>d</w:t>
      </w:r>
      <w:r>
        <w:rPr>
          <w:rFonts w:ascii="Arial" w:hAnsi="Arial" w:cs="Arial"/>
          <w:sz w:val="24"/>
          <w:szCs w:val="24"/>
        </w:rPr>
        <w:t xml:space="preserve"> that the DMR: Sub Directorare MH</w:t>
      </w:r>
      <w:r w:rsidR="004E5949">
        <w:rPr>
          <w:rFonts w:ascii="Arial" w:hAnsi="Arial" w:cs="Arial"/>
          <w:sz w:val="24"/>
          <w:szCs w:val="24"/>
        </w:rPr>
        <w:t>S (DMRE) issued Health and Safety instructions in terms of s 55 of the Mine Health and Safety Act, 1996 (MHSA) to close the pit or that any purported instructions are subject to appeal. The purported instructions not attached to the 1</w:t>
      </w:r>
      <w:r w:rsidR="004E5949" w:rsidRPr="004E5949">
        <w:rPr>
          <w:rFonts w:ascii="Arial" w:hAnsi="Arial" w:cs="Arial"/>
          <w:sz w:val="24"/>
          <w:szCs w:val="24"/>
          <w:vertAlign w:val="superscript"/>
        </w:rPr>
        <w:t>st</w:t>
      </w:r>
      <w:r w:rsidR="004E5949">
        <w:rPr>
          <w:rFonts w:ascii="Arial" w:hAnsi="Arial" w:cs="Arial"/>
          <w:sz w:val="24"/>
          <w:szCs w:val="24"/>
        </w:rPr>
        <w:t xml:space="preserve"> Respondent’s affidavit. It also does not appear on the record of decision provided by the 1</w:t>
      </w:r>
      <w:r w:rsidR="004E5949" w:rsidRPr="004E5949">
        <w:rPr>
          <w:rFonts w:ascii="Arial" w:hAnsi="Arial" w:cs="Arial"/>
          <w:sz w:val="24"/>
          <w:szCs w:val="24"/>
          <w:vertAlign w:val="superscript"/>
        </w:rPr>
        <w:t>st</w:t>
      </w:r>
      <w:r w:rsidR="004E5949">
        <w:rPr>
          <w:rFonts w:ascii="Arial" w:hAnsi="Arial" w:cs="Arial"/>
          <w:sz w:val="24"/>
          <w:szCs w:val="24"/>
        </w:rPr>
        <w:t xml:space="preserve"> Respondent but only an internal memo of the DMRE dated 23 April 2019, signed 3 September 2020</w:t>
      </w:r>
      <w:r w:rsidR="00DF2D53">
        <w:rPr>
          <w:rFonts w:ascii="Arial" w:hAnsi="Arial" w:cs="Arial"/>
          <w:sz w:val="24"/>
          <w:szCs w:val="24"/>
        </w:rPr>
        <w:t>,</w:t>
      </w:r>
      <w:r w:rsidR="00AB6746">
        <w:rPr>
          <w:rFonts w:ascii="Arial" w:hAnsi="Arial" w:cs="Arial"/>
          <w:sz w:val="24"/>
          <w:szCs w:val="24"/>
        </w:rPr>
        <w:t xml:space="preserve"> that read:</w:t>
      </w:r>
    </w:p>
    <w:p w14:paraId="45A438F5" w14:textId="77777777" w:rsidR="00DF2D53" w:rsidRDefault="00DF2D53" w:rsidP="003C57F5">
      <w:pPr>
        <w:tabs>
          <w:tab w:val="left" w:pos="567"/>
        </w:tabs>
        <w:spacing w:after="0" w:line="360" w:lineRule="auto"/>
        <w:ind w:left="720"/>
        <w:jc w:val="both"/>
        <w:rPr>
          <w:rFonts w:ascii="Arial" w:hAnsi="Arial" w:cs="Arial"/>
          <w:sz w:val="24"/>
          <w:szCs w:val="24"/>
        </w:rPr>
      </w:pPr>
    </w:p>
    <w:p w14:paraId="1E3FAA15" w14:textId="24FC4DEA" w:rsidR="00AB6746" w:rsidRDefault="00AB6746" w:rsidP="00DF2D53">
      <w:pPr>
        <w:tabs>
          <w:tab w:val="left" w:pos="567"/>
        </w:tabs>
        <w:spacing w:after="0" w:line="360" w:lineRule="auto"/>
        <w:ind w:left="1440"/>
        <w:jc w:val="both"/>
        <w:rPr>
          <w:rFonts w:ascii="Arial" w:hAnsi="Arial" w:cs="Arial"/>
          <w:sz w:val="24"/>
          <w:szCs w:val="24"/>
        </w:rPr>
      </w:pPr>
      <w:r>
        <w:rPr>
          <w:rFonts w:ascii="Arial" w:hAnsi="Arial" w:cs="Arial"/>
          <w:sz w:val="24"/>
          <w:szCs w:val="24"/>
        </w:rPr>
        <w:t>“The sub Directorate Health and Safety made the following recommen</w:t>
      </w:r>
      <w:r w:rsidR="004F6CF8">
        <w:rPr>
          <w:rFonts w:ascii="Arial" w:hAnsi="Arial" w:cs="Arial"/>
          <w:sz w:val="24"/>
          <w:szCs w:val="24"/>
        </w:rPr>
        <w:t>d</w:t>
      </w:r>
      <w:r>
        <w:rPr>
          <w:rFonts w:ascii="Arial" w:hAnsi="Arial" w:cs="Arial"/>
          <w:sz w:val="24"/>
          <w:szCs w:val="24"/>
        </w:rPr>
        <w:t>ations that must be addressed before closure can be gra</w:t>
      </w:r>
      <w:r w:rsidR="004F6CF8">
        <w:rPr>
          <w:rFonts w:ascii="Arial" w:hAnsi="Arial" w:cs="Arial"/>
          <w:sz w:val="24"/>
          <w:szCs w:val="24"/>
        </w:rPr>
        <w:t>n</w:t>
      </w:r>
      <w:r>
        <w:rPr>
          <w:rFonts w:ascii="Arial" w:hAnsi="Arial" w:cs="Arial"/>
          <w:sz w:val="24"/>
          <w:szCs w:val="24"/>
        </w:rPr>
        <w:t xml:space="preserve">ted based on inspection conducted on 16 May 2008. </w:t>
      </w:r>
    </w:p>
    <w:p w14:paraId="0FA9E6A3" w14:textId="77777777" w:rsidR="00DF2D53" w:rsidRDefault="00DF2D53" w:rsidP="00AB6746">
      <w:pPr>
        <w:tabs>
          <w:tab w:val="left" w:pos="567"/>
        </w:tabs>
        <w:spacing w:after="0" w:line="360" w:lineRule="auto"/>
        <w:ind w:left="720"/>
        <w:jc w:val="both"/>
        <w:rPr>
          <w:rFonts w:ascii="Arial" w:hAnsi="Arial" w:cs="Arial"/>
          <w:sz w:val="24"/>
          <w:szCs w:val="24"/>
        </w:rPr>
      </w:pPr>
    </w:p>
    <w:p w14:paraId="24B1D7BD" w14:textId="09F7E700" w:rsidR="00AB6746" w:rsidRDefault="00AB6746" w:rsidP="00DF2D53">
      <w:pPr>
        <w:tabs>
          <w:tab w:val="left" w:pos="567"/>
        </w:tabs>
        <w:spacing w:after="0" w:line="360" w:lineRule="auto"/>
        <w:ind w:left="1440"/>
        <w:jc w:val="both"/>
        <w:rPr>
          <w:rFonts w:ascii="Arial" w:hAnsi="Arial" w:cs="Arial"/>
          <w:sz w:val="24"/>
          <w:szCs w:val="24"/>
        </w:rPr>
      </w:pPr>
      <w:r>
        <w:rPr>
          <w:rFonts w:ascii="Arial" w:hAnsi="Arial" w:cs="Arial"/>
          <w:sz w:val="24"/>
          <w:szCs w:val="24"/>
        </w:rPr>
        <w:t>1.</w:t>
      </w:r>
      <w:r w:rsidR="00DF2D53">
        <w:rPr>
          <w:rFonts w:ascii="Arial" w:hAnsi="Arial" w:cs="Arial"/>
          <w:sz w:val="24"/>
          <w:szCs w:val="24"/>
        </w:rPr>
        <w:tab/>
      </w:r>
      <w:r>
        <w:rPr>
          <w:rFonts w:ascii="Arial" w:hAnsi="Arial" w:cs="Arial"/>
          <w:sz w:val="24"/>
          <w:szCs w:val="24"/>
        </w:rPr>
        <w:t>The installation of a security fence outside the safety zone/back break of the pit</w:t>
      </w:r>
      <w:r w:rsidR="00FB7C28">
        <w:rPr>
          <w:rFonts w:ascii="Arial" w:hAnsi="Arial" w:cs="Arial"/>
          <w:sz w:val="24"/>
          <w:szCs w:val="24"/>
        </w:rPr>
        <w:t xml:space="preserve"> </w:t>
      </w:r>
    </w:p>
    <w:p w14:paraId="1DDDD685" w14:textId="70D79C30" w:rsidR="00AB6746" w:rsidRDefault="00DF2D53" w:rsidP="00AB6746">
      <w:pPr>
        <w:tabs>
          <w:tab w:val="left" w:pos="567"/>
        </w:tabs>
        <w:spacing w:after="0" w:line="360" w:lineRule="auto"/>
        <w:ind w:left="720"/>
        <w:jc w:val="both"/>
        <w:rPr>
          <w:rFonts w:ascii="Arial" w:hAnsi="Arial" w:cs="Arial"/>
          <w:sz w:val="24"/>
          <w:szCs w:val="24"/>
        </w:rPr>
      </w:pPr>
      <w:r>
        <w:rPr>
          <w:rFonts w:ascii="Arial" w:hAnsi="Arial" w:cs="Arial"/>
          <w:sz w:val="24"/>
          <w:szCs w:val="24"/>
        </w:rPr>
        <w:tab/>
      </w:r>
      <w:r w:rsidR="00AB6746">
        <w:rPr>
          <w:rFonts w:ascii="Arial" w:hAnsi="Arial" w:cs="Arial"/>
          <w:sz w:val="24"/>
          <w:szCs w:val="24"/>
        </w:rPr>
        <w:t>2.</w:t>
      </w:r>
      <w:r w:rsidR="00AB6746">
        <w:rPr>
          <w:rFonts w:ascii="Arial" w:hAnsi="Arial" w:cs="Arial"/>
          <w:sz w:val="24"/>
          <w:szCs w:val="24"/>
        </w:rPr>
        <w:tab/>
        <w:t>The construction of the berm-walls around the pit area</w:t>
      </w:r>
    </w:p>
    <w:p w14:paraId="0F782F9F" w14:textId="246F6D57" w:rsidR="00AB6746" w:rsidRDefault="00DF2D53" w:rsidP="005A4275">
      <w:pPr>
        <w:tabs>
          <w:tab w:val="left" w:pos="567"/>
        </w:tabs>
        <w:spacing w:after="0" w:line="360" w:lineRule="auto"/>
        <w:ind w:left="1440" w:hanging="720"/>
        <w:jc w:val="both"/>
        <w:rPr>
          <w:rFonts w:ascii="Arial" w:hAnsi="Arial" w:cs="Arial"/>
          <w:sz w:val="24"/>
          <w:szCs w:val="24"/>
        </w:rPr>
      </w:pPr>
      <w:r>
        <w:rPr>
          <w:rFonts w:ascii="Arial" w:hAnsi="Arial" w:cs="Arial"/>
          <w:sz w:val="24"/>
          <w:szCs w:val="24"/>
        </w:rPr>
        <w:tab/>
        <w:t>3.</w:t>
      </w:r>
      <w:r w:rsidR="00AB6746">
        <w:rPr>
          <w:rFonts w:ascii="Arial" w:hAnsi="Arial" w:cs="Arial"/>
          <w:sz w:val="24"/>
          <w:szCs w:val="24"/>
        </w:rPr>
        <w:t xml:space="preserve"> </w:t>
      </w:r>
      <w:r w:rsidR="00AB6746">
        <w:rPr>
          <w:rFonts w:ascii="Arial" w:hAnsi="Arial" w:cs="Arial"/>
          <w:sz w:val="24"/>
          <w:szCs w:val="24"/>
        </w:rPr>
        <w:tab/>
        <w:t xml:space="preserve">Covering of the kimberlite at the bottom of the pit with waste material. </w:t>
      </w:r>
      <w:r w:rsidR="00FB7C28">
        <w:rPr>
          <w:rFonts w:ascii="Arial" w:hAnsi="Arial" w:cs="Arial"/>
          <w:sz w:val="24"/>
          <w:szCs w:val="24"/>
        </w:rPr>
        <w:t xml:space="preserve"> </w:t>
      </w:r>
    </w:p>
    <w:p w14:paraId="5B1133EA" w14:textId="66C872C9" w:rsidR="0009037A" w:rsidRDefault="005A4275" w:rsidP="005A4275">
      <w:pPr>
        <w:tabs>
          <w:tab w:val="left" w:pos="567"/>
        </w:tabs>
        <w:spacing w:after="0" w:line="360" w:lineRule="auto"/>
        <w:ind w:left="1440" w:hanging="720"/>
        <w:jc w:val="both"/>
        <w:rPr>
          <w:rFonts w:ascii="Arial" w:hAnsi="Arial" w:cs="Arial"/>
          <w:sz w:val="24"/>
          <w:szCs w:val="24"/>
        </w:rPr>
      </w:pPr>
      <w:r>
        <w:rPr>
          <w:rFonts w:ascii="Arial" w:hAnsi="Arial" w:cs="Arial"/>
          <w:sz w:val="24"/>
          <w:szCs w:val="24"/>
        </w:rPr>
        <w:tab/>
      </w:r>
      <w:r w:rsidR="00AB6746">
        <w:rPr>
          <w:rFonts w:ascii="Arial" w:hAnsi="Arial" w:cs="Arial"/>
          <w:sz w:val="24"/>
          <w:szCs w:val="24"/>
        </w:rPr>
        <w:t xml:space="preserve">4. </w:t>
      </w:r>
      <w:r w:rsidR="00AB6746">
        <w:rPr>
          <w:rFonts w:ascii="Arial" w:hAnsi="Arial" w:cs="Arial"/>
          <w:sz w:val="24"/>
          <w:szCs w:val="24"/>
        </w:rPr>
        <w:tab/>
        <w:t xml:space="preserve">Storm water must be diverted away from the sheer zone on the western high wall and not allow </w:t>
      </w:r>
      <w:r w:rsidR="0009037A">
        <w:rPr>
          <w:rFonts w:ascii="Arial" w:hAnsi="Arial" w:cs="Arial"/>
          <w:sz w:val="24"/>
          <w:szCs w:val="24"/>
        </w:rPr>
        <w:t xml:space="preserve">any </w:t>
      </w:r>
      <w:r w:rsidR="00AB6746">
        <w:rPr>
          <w:rFonts w:ascii="Arial" w:hAnsi="Arial" w:cs="Arial"/>
          <w:sz w:val="24"/>
          <w:szCs w:val="24"/>
        </w:rPr>
        <w:t xml:space="preserve">water to </w:t>
      </w:r>
      <w:r w:rsidR="0009037A">
        <w:rPr>
          <w:rFonts w:ascii="Arial" w:hAnsi="Arial" w:cs="Arial"/>
          <w:sz w:val="24"/>
          <w:szCs w:val="24"/>
        </w:rPr>
        <w:t xml:space="preserve">accumulate on the vicinity of the pit. </w:t>
      </w:r>
    </w:p>
    <w:p w14:paraId="022969C3" w14:textId="77777777" w:rsidR="005A4275" w:rsidRDefault="005A4275" w:rsidP="00AB6746">
      <w:pPr>
        <w:tabs>
          <w:tab w:val="left" w:pos="567"/>
        </w:tabs>
        <w:spacing w:after="0" w:line="360" w:lineRule="auto"/>
        <w:ind w:left="720"/>
        <w:jc w:val="both"/>
        <w:rPr>
          <w:rFonts w:ascii="Arial" w:hAnsi="Arial" w:cs="Arial"/>
          <w:sz w:val="24"/>
          <w:szCs w:val="24"/>
        </w:rPr>
      </w:pPr>
    </w:p>
    <w:p w14:paraId="0A4E1CFD" w14:textId="0973C819" w:rsidR="008D738C" w:rsidRDefault="005A4275" w:rsidP="005A4275">
      <w:pPr>
        <w:tabs>
          <w:tab w:val="left" w:pos="567"/>
        </w:tabs>
        <w:spacing w:after="0" w:line="360" w:lineRule="auto"/>
        <w:ind w:left="1440" w:hanging="720"/>
        <w:jc w:val="both"/>
        <w:rPr>
          <w:rFonts w:ascii="Arial" w:hAnsi="Arial" w:cs="Arial"/>
          <w:sz w:val="24"/>
          <w:szCs w:val="24"/>
        </w:rPr>
      </w:pPr>
      <w:r>
        <w:rPr>
          <w:rFonts w:ascii="Arial" w:hAnsi="Arial" w:cs="Arial"/>
          <w:sz w:val="24"/>
          <w:szCs w:val="24"/>
        </w:rPr>
        <w:tab/>
      </w:r>
      <w:r w:rsidR="004F6CF8">
        <w:rPr>
          <w:rFonts w:ascii="Arial" w:hAnsi="Arial" w:cs="Arial"/>
          <w:sz w:val="24"/>
          <w:szCs w:val="24"/>
        </w:rPr>
        <w:t>5.</w:t>
      </w:r>
      <w:r w:rsidR="004F6CF8">
        <w:rPr>
          <w:rFonts w:ascii="Arial" w:hAnsi="Arial" w:cs="Arial"/>
          <w:sz w:val="24"/>
          <w:szCs w:val="24"/>
        </w:rPr>
        <w:tab/>
      </w:r>
      <w:r w:rsidR="0009037A">
        <w:rPr>
          <w:rFonts w:ascii="Arial" w:hAnsi="Arial" w:cs="Arial"/>
          <w:sz w:val="24"/>
          <w:szCs w:val="24"/>
        </w:rPr>
        <w:t>The chief inspector</w:t>
      </w:r>
      <w:r w:rsidR="004F6CF8">
        <w:rPr>
          <w:rFonts w:ascii="Arial" w:hAnsi="Arial" w:cs="Arial"/>
          <w:sz w:val="24"/>
          <w:szCs w:val="24"/>
        </w:rPr>
        <w:t xml:space="preserve">ate of Explosives must also be notified </w:t>
      </w:r>
      <w:r w:rsidR="0009037A">
        <w:rPr>
          <w:rFonts w:ascii="Arial" w:hAnsi="Arial" w:cs="Arial"/>
          <w:sz w:val="24"/>
          <w:szCs w:val="24"/>
        </w:rPr>
        <w:t>of the</w:t>
      </w:r>
      <w:r w:rsidR="004F6CF8">
        <w:rPr>
          <w:rFonts w:ascii="Arial" w:hAnsi="Arial" w:cs="Arial"/>
          <w:sz w:val="24"/>
          <w:szCs w:val="24"/>
        </w:rPr>
        <w:t xml:space="preserve"> closure intentions. </w:t>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r>
      <w:r w:rsidR="00FB7C28">
        <w:rPr>
          <w:rFonts w:ascii="Arial" w:hAnsi="Arial" w:cs="Arial"/>
          <w:sz w:val="24"/>
          <w:szCs w:val="24"/>
        </w:rPr>
        <w:tab/>
        <w:t xml:space="preserve"> </w:t>
      </w:r>
      <w:r w:rsidR="00251F94">
        <w:rPr>
          <w:rFonts w:ascii="Arial" w:hAnsi="Arial" w:cs="Arial"/>
          <w:sz w:val="24"/>
          <w:szCs w:val="24"/>
        </w:rPr>
        <w:t xml:space="preserve"> </w:t>
      </w:r>
      <w:r w:rsidR="009326EC">
        <w:rPr>
          <w:rFonts w:ascii="Arial" w:hAnsi="Arial" w:cs="Arial"/>
          <w:sz w:val="24"/>
          <w:szCs w:val="24"/>
        </w:rPr>
        <w:t xml:space="preserve"> </w:t>
      </w:r>
      <w:r w:rsidR="00954057">
        <w:rPr>
          <w:rFonts w:ascii="Arial" w:hAnsi="Arial" w:cs="Arial"/>
          <w:sz w:val="24"/>
          <w:szCs w:val="24"/>
        </w:rPr>
        <w:t xml:space="preserve">   </w:t>
      </w:r>
    </w:p>
    <w:p w14:paraId="343310E9" w14:textId="70FC2564" w:rsidR="00F5244D" w:rsidRDefault="001D7610" w:rsidP="00101B9F">
      <w:pPr>
        <w:tabs>
          <w:tab w:val="left" w:pos="567"/>
        </w:tabs>
        <w:spacing w:after="0" w:line="360" w:lineRule="auto"/>
        <w:jc w:val="both"/>
        <w:rPr>
          <w:rFonts w:ascii="Arial" w:hAnsi="Arial" w:cs="Arial"/>
          <w:sz w:val="24"/>
          <w:szCs w:val="24"/>
        </w:rPr>
      </w:pPr>
      <w:r>
        <w:rPr>
          <w:rFonts w:ascii="Arial" w:hAnsi="Arial" w:cs="Arial"/>
          <w:sz w:val="24"/>
          <w:szCs w:val="24"/>
        </w:rPr>
        <w:t>[</w:t>
      </w:r>
      <w:r w:rsidR="001063F6">
        <w:rPr>
          <w:rFonts w:ascii="Arial" w:hAnsi="Arial" w:cs="Arial"/>
          <w:sz w:val="24"/>
          <w:szCs w:val="24"/>
        </w:rPr>
        <w:t>81</w:t>
      </w:r>
      <w:r w:rsidR="004F6CF8">
        <w:rPr>
          <w:rFonts w:ascii="Arial" w:hAnsi="Arial" w:cs="Arial"/>
          <w:sz w:val="24"/>
          <w:szCs w:val="24"/>
        </w:rPr>
        <w:t>]</w:t>
      </w:r>
      <w:r w:rsidR="004F6CF8">
        <w:rPr>
          <w:rFonts w:ascii="Arial" w:hAnsi="Arial" w:cs="Arial"/>
          <w:sz w:val="24"/>
          <w:szCs w:val="24"/>
        </w:rPr>
        <w:tab/>
        <w:t>The DBCM allege</w:t>
      </w:r>
      <w:r w:rsidR="00C7000E">
        <w:rPr>
          <w:rFonts w:ascii="Arial" w:hAnsi="Arial" w:cs="Arial"/>
          <w:sz w:val="24"/>
          <w:szCs w:val="24"/>
        </w:rPr>
        <w:t>d</w:t>
      </w:r>
      <w:r w:rsidR="004F6CF8">
        <w:rPr>
          <w:rFonts w:ascii="Arial" w:hAnsi="Arial" w:cs="Arial"/>
          <w:sz w:val="24"/>
          <w:szCs w:val="24"/>
        </w:rPr>
        <w:t xml:space="preserve"> </w:t>
      </w:r>
      <w:r w:rsidR="00C7000E">
        <w:rPr>
          <w:rFonts w:ascii="Arial" w:hAnsi="Arial" w:cs="Arial"/>
          <w:sz w:val="24"/>
          <w:szCs w:val="24"/>
        </w:rPr>
        <w:t>in respect of the memo that it was an</w:t>
      </w:r>
      <w:r w:rsidR="004F6CF8">
        <w:rPr>
          <w:rFonts w:ascii="Arial" w:hAnsi="Arial" w:cs="Arial"/>
          <w:sz w:val="24"/>
          <w:szCs w:val="24"/>
        </w:rPr>
        <w:t xml:space="preserve"> internal memo with recommendations made by the DMRE to the Respondent’s Directorate that was processing the DBCM closure Application.</w:t>
      </w:r>
      <w:r w:rsidR="008D738C">
        <w:rPr>
          <w:rFonts w:ascii="Arial" w:hAnsi="Arial" w:cs="Arial"/>
          <w:sz w:val="24"/>
          <w:szCs w:val="24"/>
        </w:rPr>
        <w:t xml:space="preserve"> </w:t>
      </w:r>
      <w:r w:rsidR="004F6CF8">
        <w:rPr>
          <w:rFonts w:ascii="Arial" w:hAnsi="Arial" w:cs="Arial"/>
          <w:sz w:val="24"/>
          <w:szCs w:val="24"/>
        </w:rPr>
        <w:t xml:space="preserve">It never appealed such a purported or apparent instruction as it never received any formal instruction or the like in terms of the MHSA. </w:t>
      </w:r>
      <w:r w:rsidR="00590495">
        <w:rPr>
          <w:rFonts w:ascii="Arial" w:hAnsi="Arial" w:cs="Arial"/>
          <w:sz w:val="24"/>
          <w:szCs w:val="24"/>
        </w:rPr>
        <w:t>S</w:t>
      </w:r>
      <w:r w:rsidR="004F6CF8">
        <w:rPr>
          <w:rFonts w:ascii="Arial" w:hAnsi="Arial" w:cs="Arial"/>
          <w:sz w:val="24"/>
          <w:szCs w:val="24"/>
        </w:rPr>
        <w:t xml:space="preserve">uch instructions issued </w:t>
      </w:r>
      <w:r w:rsidR="00590495">
        <w:rPr>
          <w:rFonts w:ascii="Arial" w:hAnsi="Arial" w:cs="Arial"/>
          <w:sz w:val="24"/>
          <w:szCs w:val="24"/>
        </w:rPr>
        <w:t>pursuant</w:t>
      </w:r>
      <w:r w:rsidR="004F6CF8">
        <w:rPr>
          <w:rFonts w:ascii="Arial" w:hAnsi="Arial" w:cs="Arial"/>
          <w:sz w:val="24"/>
          <w:szCs w:val="24"/>
        </w:rPr>
        <w:t xml:space="preserve"> to s 55 of the MHSA </w:t>
      </w:r>
      <w:r w:rsidR="00590495">
        <w:rPr>
          <w:rFonts w:ascii="Arial" w:hAnsi="Arial" w:cs="Arial"/>
          <w:sz w:val="24"/>
          <w:szCs w:val="24"/>
        </w:rPr>
        <w:t xml:space="preserve">will typical include </w:t>
      </w:r>
      <w:r w:rsidR="004F6CF8">
        <w:rPr>
          <w:rFonts w:ascii="Arial" w:hAnsi="Arial" w:cs="Arial"/>
          <w:sz w:val="24"/>
          <w:szCs w:val="24"/>
        </w:rPr>
        <w:t xml:space="preserve">a due date </w:t>
      </w:r>
      <w:r w:rsidR="00590495">
        <w:rPr>
          <w:rFonts w:ascii="Arial" w:hAnsi="Arial" w:cs="Arial"/>
          <w:sz w:val="24"/>
          <w:szCs w:val="24"/>
        </w:rPr>
        <w:t xml:space="preserve">for compliance or appeal, failing which the DMRE will follow up with the recipient. </w:t>
      </w:r>
      <w:r w:rsidR="00F5244D">
        <w:rPr>
          <w:rFonts w:ascii="Arial" w:hAnsi="Arial" w:cs="Arial"/>
          <w:sz w:val="24"/>
          <w:szCs w:val="24"/>
        </w:rPr>
        <w:t xml:space="preserve"> </w:t>
      </w:r>
      <w:r>
        <w:rPr>
          <w:rFonts w:ascii="Arial" w:hAnsi="Arial" w:cs="Arial"/>
          <w:sz w:val="24"/>
          <w:szCs w:val="24"/>
        </w:rPr>
        <w:t>DBCM denie</w:t>
      </w:r>
      <w:r w:rsidR="00CA18A3">
        <w:rPr>
          <w:rFonts w:ascii="Arial" w:hAnsi="Arial" w:cs="Arial"/>
          <w:sz w:val="24"/>
          <w:szCs w:val="24"/>
        </w:rPr>
        <w:t>d</w:t>
      </w:r>
      <w:r>
        <w:rPr>
          <w:rFonts w:ascii="Arial" w:hAnsi="Arial" w:cs="Arial"/>
          <w:sz w:val="24"/>
          <w:szCs w:val="24"/>
        </w:rPr>
        <w:t xml:space="preserve"> </w:t>
      </w:r>
      <w:r w:rsidR="00F5244D">
        <w:rPr>
          <w:rFonts w:ascii="Arial" w:hAnsi="Arial" w:cs="Arial"/>
          <w:sz w:val="24"/>
          <w:szCs w:val="24"/>
        </w:rPr>
        <w:t>receiv</w:t>
      </w:r>
      <w:r>
        <w:rPr>
          <w:rFonts w:ascii="Arial" w:hAnsi="Arial" w:cs="Arial"/>
          <w:sz w:val="24"/>
          <w:szCs w:val="24"/>
        </w:rPr>
        <w:t xml:space="preserve">ing </w:t>
      </w:r>
      <w:r w:rsidR="00F5244D">
        <w:rPr>
          <w:rFonts w:ascii="Arial" w:hAnsi="Arial" w:cs="Arial"/>
          <w:sz w:val="24"/>
          <w:szCs w:val="24"/>
        </w:rPr>
        <w:t>any follow up correspondence fr</w:t>
      </w:r>
      <w:r>
        <w:rPr>
          <w:rFonts w:ascii="Arial" w:hAnsi="Arial" w:cs="Arial"/>
          <w:sz w:val="24"/>
          <w:szCs w:val="24"/>
        </w:rPr>
        <w:t>o</w:t>
      </w:r>
      <w:r w:rsidR="00F5244D">
        <w:rPr>
          <w:rFonts w:ascii="Arial" w:hAnsi="Arial" w:cs="Arial"/>
          <w:sz w:val="24"/>
          <w:szCs w:val="24"/>
        </w:rPr>
        <w:t xml:space="preserve">m the DMRE in relation to the apparent instruction for Oaks Mine. </w:t>
      </w:r>
      <w:r w:rsidR="00F5244D" w:rsidRPr="005A4275">
        <w:rPr>
          <w:rFonts w:ascii="Arial" w:hAnsi="Arial" w:cs="Arial"/>
          <w:sz w:val="24"/>
          <w:szCs w:val="24"/>
        </w:rPr>
        <w:t xml:space="preserve">It alleges that in any event the issues </w:t>
      </w:r>
      <w:r w:rsidR="00F5244D" w:rsidRPr="005A4275">
        <w:rPr>
          <w:rFonts w:ascii="Arial" w:hAnsi="Arial" w:cs="Arial"/>
          <w:sz w:val="24"/>
          <w:szCs w:val="24"/>
        </w:rPr>
        <w:lastRenderedPageBreak/>
        <w:t>purportedly raised in the instruction were for the first time addressed to DBCM by DMRE in the correspondence dated February 2016 based on a si</w:t>
      </w:r>
      <w:r w:rsidR="00007DF5">
        <w:rPr>
          <w:rFonts w:ascii="Arial" w:hAnsi="Arial" w:cs="Arial"/>
          <w:sz w:val="24"/>
          <w:szCs w:val="24"/>
        </w:rPr>
        <w:t>t</w:t>
      </w:r>
      <w:r w:rsidR="00F5244D" w:rsidRPr="005A4275">
        <w:rPr>
          <w:rFonts w:ascii="Arial" w:hAnsi="Arial" w:cs="Arial"/>
          <w:sz w:val="24"/>
          <w:szCs w:val="24"/>
        </w:rPr>
        <w:t>e inspection conducted on 7 November 2012.</w:t>
      </w:r>
      <w:r w:rsidR="005E65FC" w:rsidRPr="005A4275">
        <w:rPr>
          <w:rFonts w:ascii="Arial" w:hAnsi="Arial" w:cs="Arial"/>
          <w:sz w:val="24"/>
          <w:szCs w:val="24"/>
        </w:rPr>
        <w:t xml:space="preserve"> To which DBCM points out to have responded to the DMRE on 9 November 2017.</w:t>
      </w:r>
      <w:r w:rsidR="00007DF5">
        <w:rPr>
          <w:rFonts w:ascii="Arial" w:hAnsi="Arial" w:cs="Arial"/>
          <w:sz w:val="24"/>
          <w:szCs w:val="24"/>
        </w:rPr>
        <w:t xml:space="preserve"> </w:t>
      </w:r>
      <w:r w:rsidR="00F5244D">
        <w:rPr>
          <w:rFonts w:ascii="Arial" w:hAnsi="Arial" w:cs="Arial"/>
          <w:sz w:val="24"/>
          <w:szCs w:val="24"/>
        </w:rPr>
        <w:t xml:space="preserve">The comments </w:t>
      </w:r>
      <w:r w:rsidR="005E65FC">
        <w:rPr>
          <w:rFonts w:ascii="Arial" w:hAnsi="Arial" w:cs="Arial"/>
          <w:sz w:val="24"/>
          <w:szCs w:val="24"/>
        </w:rPr>
        <w:t>were t</w:t>
      </w:r>
      <w:r w:rsidR="00F5244D">
        <w:rPr>
          <w:rFonts w:ascii="Arial" w:hAnsi="Arial" w:cs="Arial"/>
          <w:sz w:val="24"/>
          <w:szCs w:val="24"/>
        </w:rPr>
        <w:t>hat:</w:t>
      </w:r>
    </w:p>
    <w:p w14:paraId="5AC09C75" w14:textId="77777777" w:rsidR="00F5244D" w:rsidRDefault="00F5244D" w:rsidP="00101B9F">
      <w:pPr>
        <w:tabs>
          <w:tab w:val="left" w:pos="567"/>
        </w:tabs>
        <w:spacing w:after="0" w:line="360" w:lineRule="auto"/>
        <w:jc w:val="both"/>
        <w:rPr>
          <w:rFonts w:ascii="Arial" w:hAnsi="Arial" w:cs="Arial"/>
          <w:sz w:val="24"/>
          <w:szCs w:val="24"/>
        </w:rPr>
      </w:pPr>
    </w:p>
    <w:p w14:paraId="168A4030" w14:textId="4925928C" w:rsidR="00101B9F" w:rsidRDefault="00F5244D" w:rsidP="00101B9F">
      <w:pPr>
        <w:tabs>
          <w:tab w:val="left" w:pos="567"/>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the open pit will pose a high risk for scavenging or illegal mining</w:t>
      </w:r>
    </w:p>
    <w:p w14:paraId="40CE438E" w14:textId="77777777" w:rsidR="00F5244D" w:rsidRDefault="00F5244D" w:rsidP="00F5244D">
      <w:pPr>
        <w:tabs>
          <w:tab w:val="left" w:pos="567"/>
        </w:tabs>
        <w:spacing w:after="0" w:line="360" w:lineRule="auto"/>
        <w:ind w:left="1440"/>
        <w:jc w:val="both"/>
        <w:rPr>
          <w:rFonts w:ascii="Arial" w:hAnsi="Arial" w:cs="Arial"/>
          <w:sz w:val="24"/>
          <w:szCs w:val="24"/>
        </w:rPr>
      </w:pPr>
      <w:r>
        <w:rPr>
          <w:rFonts w:ascii="Arial" w:hAnsi="Arial" w:cs="Arial"/>
          <w:sz w:val="24"/>
          <w:szCs w:val="24"/>
        </w:rPr>
        <w:t>2. The department would like to see a practical plan for future land use that would not encourage illegal mining or scavenging.</w:t>
      </w:r>
    </w:p>
    <w:p w14:paraId="078CAAC5" w14:textId="2A8E87BF" w:rsidR="00155EDB" w:rsidRDefault="00F5244D" w:rsidP="00F5244D">
      <w:pPr>
        <w:tabs>
          <w:tab w:val="left" w:pos="567"/>
        </w:tabs>
        <w:spacing w:after="0" w:line="360" w:lineRule="auto"/>
        <w:ind w:left="1440"/>
        <w:jc w:val="both"/>
        <w:rPr>
          <w:rFonts w:ascii="Arial" w:hAnsi="Arial" w:cs="Arial"/>
          <w:sz w:val="24"/>
          <w:szCs w:val="24"/>
        </w:rPr>
      </w:pPr>
      <w:r>
        <w:rPr>
          <w:rFonts w:ascii="Arial" w:hAnsi="Arial" w:cs="Arial"/>
          <w:sz w:val="24"/>
          <w:szCs w:val="24"/>
        </w:rPr>
        <w:t>3.</w:t>
      </w:r>
      <w:r>
        <w:rPr>
          <w:rFonts w:ascii="Arial" w:hAnsi="Arial" w:cs="Arial"/>
          <w:sz w:val="24"/>
          <w:szCs w:val="24"/>
        </w:rPr>
        <w:tab/>
        <w:t>DBCM must also make sure that all relevant stakeholders and interested and affected parties is thoroughly consulted.</w:t>
      </w:r>
      <w:r w:rsidR="00CA18A3">
        <w:rPr>
          <w:rFonts w:ascii="Arial" w:hAnsi="Arial" w:cs="Arial"/>
          <w:sz w:val="24"/>
          <w:szCs w:val="24"/>
        </w:rPr>
        <w:t>”</w:t>
      </w:r>
      <w:r>
        <w:rPr>
          <w:rFonts w:ascii="Arial" w:hAnsi="Arial" w:cs="Arial"/>
          <w:sz w:val="24"/>
          <w:szCs w:val="24"/>
        </w:rPr>
        <w:t xml:space="preserve"> </w:t>
      </w:r>
    </w:p>
    <w:p w14:paraId="4BABE456" w14:textId="77777777" w:rsidR="00155EDB" w:rsidRDefault="00155EDB" w:rsidP="00155EDB">
      <w:pPr>
        <w:tabs>
          <w:tab w:val="left" w:pos="567"/>
        </w:tabs>
        <w:spacing w:after="0" w:line="360" w:lineRule="auto"/>
        <w:jc w:val="both"/>
        <w:rPr>
          <w:rFonts w:ascii="Arial" w:hAnsi="Arial" w:cs="Arial"/>
          <w:sz w:val="24"/>
          <w:szCs w:val="24"/>
        </w:rPr>
      </w:pPr>
    </w:p>
    <w:p w14:paraId="4173E9B7" w14:textId="3B85ABE9" w:rsidR="00F5244D" w:rsidRDefault="001063F6" w:rsidP="00155EDB">
      <w:pPr>
        <w:tabs>
          <w:tab w:val="left" w:pos="567"/>
        </w:tabs>
        <w:spacing w:after="0"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Pr>
          <w:rFonts w:ascii="Arial" w:hAnsi="Arial" w:cs="Arial"/>
          <w:sz w:val="24"/>
          <w:szCs w:val="24"/>
        </w:rPr>
        <w:tab/>
      </w:r>
      <w:r w:rsidR="00155EDB">
        <w:rPr>
          <w:rFonts w:ascii="Arial" w:hAnsi="Arial" w:cs="Arial"/>
          <w:sz w:val="24"/>
          <w:szCs w:val="24"/>
        </w:rPr>
        <w:t xml:space="preserve">These are the same instructions </w:t>
      </w:r>
      <w:r w:rsidR="0043174A">
        <w:rPr>
          <w:rFonts w:ascii="Arial" w:hAnsi="Arial" w:cs="Arial"/>
          <w:sz w:val="24"/>
          <w:szCs w:val="24"/>
        </w:rPr>
        <w:t xml:space="preserve">of 7 July 2011 </w:t>
      </w:r>
      <w:r w:rsidR="00C62451">
        <w:rPr>
          <w:rFonts w:ascii="Arial" w:hAnsi="Arial" w:cs="Arial"/>
          <w:sz w:val="24"/>
          <w:szCs w:val="24"/>
        </w:rPr>
        <w:t>which w</w:t>
      </w:r>
      <w:r w:rsidR="00CA18A3">
        <w:rPr>
          <w:rFonts w:ascii="Arial" w:hAnsi="Arial" w:cs="Arial"/>
          <w:sz w:val="24"/>
          <w:szCs w:val="24"/>
        </w:rPr>
        <w:t>ere</w:t>
      </w:r>
      <w:r w:rsidR="00C62451">
        <w:rPr>
          <w:rFonts w:ascii="Arial" w:hAnsi="Arial" w:cs="Arial"/>
          <w:sz w:val="24"/>
          <w:szCs w:val="24"/>
        </w:rPr>
        <w:t xml:space="preserve"> </w:t>
      </w:r>
      <w:r w:rsidR="00E16C39">
        <w:rPr>
          <w:rFonts w:ascii="Arial" w:hAnsi="Arial" w:cs="Arial"/>
          <w:sz w:val="24"/>
          <w:szCs w:val="24"/>
        </w:rPr>
        <w:t xml:space="preserve">in </w:t>
      </w:r>
      <w:r w:rsidR="00C62451">
        <w:rPr>
          <w:rFonts w:ascii="Arial" w:hAnsi="Arial" w:cs="Arial"/>
          <w:sz w:val="24"/>
          <w:szCs w:val="24"/>
        </w:rPr>
        <w:t>a response by the 1</w:t>
      </w:r>
      <w:r w:rsidR="00C62451" w:rsidRPr="00FC3AE4">
        <w:rPr>
          <w:rFonts w:ascii="Arial" w:hAnsi="Arial" w:cs="Arial"/>
          <w:sz w:val="24"/>
          <w:szCs w:val="24"/>
          <w:vertAlign w:val="superscript"/>
        </w:rPr>
        <w:t>st</w:t>
      </w:r>
      <w:r w:rsidR="00C7000E">
        <w:rPr>
          <w:rFonts w:ascii="Arial" w:hAnsi="Arial" w:cs="Arial"/>
          <w:sz w:val="24"/>
          <w:szCs w:val="24"/>
        </w:rPr>
        <w:t xml:space="preserve"> Respondent (</w:t>
      </w:r>
      <w:r w:rsidR="00CA18A3" w:rsidRPr="00153072">
        <w:rPr>
          <w:rFonts w:ascii="Arial" w:hAnsi="Arial" w:cs="Arial"/>
          <w:sz w:val="24"/>
          <w:szCs w:val="24"/>
        </w:rPr>
        <w:t>1</w:t>
      </w:r>
      <w:r w:rsidR="00CA18A3" w:rsidRPr="00153072">
        <w:rPr>
          <w:rFonts w:ascii="Arial" w:hAnsi="Arial" w:cs="Arial"/>
          <w:sz w:val="24"/>
          <w:szCs w:val="24"/>
          <w:vertAlign w:val="superscript"/>
        </w:rPr>
        <w:t>st</w:t>
      </w:r>
      <w:r w:rsidR="00CA18A3" w:rsidRPr="00153072">
        <w:rPr>
          <w:rFonts w:ascii="Arial" w:hAnsi="Arial" w:cs="Arial"/>
          <w:sz w:val="24"/>
          <w:szCs w:val="24"/>
        </w:rPr>
        <w:t xml:space="preserve"> </w:t>
      </w:r>
      <w:r w:rsidR="00C7000E" w:rsidRPr="00153072">
        <w:rPr>
          <w:rFonts w:ascii="Arial" w:hAnsi="Arial" w:cs="Arial"/>
          <w:sz w:val="24"/>
          <w:szCs w:val="24"/>
        </w:rPr>
        <w:t>Decision</w:t>
      </w:r>
      <w:r w:rsidR="00C7000E">
        <w:rPr>
          <w:rFonts w:ascii="Arial" w:hAnsi="Arial" w:cs="Arial"/>
          <w:sz w:val="24"/>
          <w:szCs w:val="24"/>
        </w:rPr>
        <w:t>)</w:t>
      </w:r>
      <w:r w:rsidR="00C62451">
        <w:rPr>
          <w:rFonts w:ascii="Arial" w:hAnsi="Arial" w:cs="Arial"/>
          <w:sz w:val="24"/>
          <w:szCs w:val="24"/>
        </w:rPr>
        <w:t xml:space="preserve"> </w:t>
      </w:r>
      <w:r w:rsidR="00C7000E">
        <w:rPr>
          <w:rFonts w:ascii="Arial" w:hAnsi="Arial" w:cs="Arial"/>
          <w:sz w:val="24"/>
          <w:szCs w:val="24"/>
        </w:rPr>
        <w:t xml:space="preserve">to the closure application following a site inspection on 15 April 2011 </w:t>
      </w:r>
      <w:r w:rsidR="00155EDB">
        <w:rPr>
          <w:rFonts w:ascii="Arial" w:hAnsi="Arial" w:cs="Arial"/>
          <w:sz w:val="24"/>
          <w:szCs w:val="24"/>
        </w:rPr>
        <w:t xml:space="preserve">to which DBCM never </w:t>
      </w:r>
      <w:r w:rsidR="00C62451">
        <w:rPr>
          <w:rFonts w:ascii="Arial" w:hAnsi="Arial" w:cs="Arial"/>
          <w:sz w:val="24"/>
          <w:szCs w:val="24"/>
        </w:rPr>
        <w:t xml:space="preserve">appealed or </w:t>
      </w:r>
      <w:r w:rsidR="00155EDB">
        <w:rPr>
          <w:rFonts w:ascii="Arial" w:hAnsi="Arial" w:cs="Arial"/>
          <w:sz w:val="24"/>
          <w:szCs w:val="24"/>
        </w:rPr>
        <w:t xml:space="preserve">responded to </w:t>
      </w:r>
      <w:r w:rsidR="00FC3AE4">
        <w:rPr>
          <w:rFonts w:ascii="Arial" w:hAnsi="Arial" w:cs="Arial"/>
          <w:sz w:val="24"/>
          <w:szCs w:val="24"/>
        </w:rPr>
        <w:t xml:space="preserve">until </w:t>
      </w:r>
      <w:r w:rsidR="0043174A">
        <w:rPr>
          <w:rFonts w:ascii="Arial" w:hAnsi="Arial" w:cs="Arial"/>
          <w:sz w:val="24"/>
          <w:szCs w:val="24"/>
        </w:rPr>
        <w:t xml:space="preserve">2017 </w:t>
      </w:r>
      <w:r w:rsidR="00FC3AE4">
        <w:rPr>
          <w:rFonts w:ascii="Arial" w:hAnsi="Arial" w:cs="Arial"/>
          <w:sz w:val="24"/>
          <w:szCs w:val="24"/>
        </w:rPr>
        <w:t>a year after the second reminder</w:t>
      </w:r>
      <w:r w:rsidR="00C7000E">
        <w:rPr>
          <w:rFonts w:ascii="Arial" w:hAnsi="Arial" w:cs="Arial"/>
          <w:sz w:val="24"/>
          <w:szCs w:val="24"/>
        </w:rPr>
        <w:t xml:space="preserve"> was sent on February 2016 which also followed up a site inspection that took place on 7 November 2012.</w:t>
      </w:r>
      <w:r w:rsidR="00C62451">
        <w:rPr>
          <w:rFonts w:ascii="Arial" w:hAnsi="Arial" w:cs="Arial"/>
          <w:sz w:val="24"/>
          <w:szCs w:val="24"/>
        </w:rPr>
        <w:t xml:space="preserve"> </w:t>
      </w:r>
      <w:r w:rsidR="00FC3AE4">
        <w:rPr>
          <w:rFonts w:ascii="Arial" w:hAnsi="Arial" w:cs="Arial"/>
          <w:sz w:val="24"/>
          <w:szCs w:val="24"/>
        </w:rPr>
        <w:t xml:space="preserve">The DBCM has also agreed </w:t>
      </w:r>
      <w:r w:rsidR="00C7000E">
        <w:rPr>
          <w:rFonts w:ascii="Arial" w:hAnsi="Arial" w:cs="Arial"/>
          <w:sz w:val="24"/>
          <w:szCs w:val="24"/>
        </w:rPr>
        <w:t xml:space="preserve">in its Founding Affidavit </w:t>
      </w:r>
      <w:r w:rsidR="00FC3AE4">
        <w:rPr>
          <w:rFonts w:ascii="Arial" w:hAnsi="Arial" w:cs="Arial"/>
          <w:sz w:val="24"/>
          <w:szCs w:val="24"/>
        </w:rPr>
        <w:t>that the 1</w:t>
      </w:r>
      <w:r w:rsidR="00FC3AE4" w:rsidRPr="00FC3AE4">
        <w:rPr>
          <w:rFonts w:ascii="Arial" w:hAnsi="Arial" w:cs="Arial"/>
          <w:sz w:val="24"/>
          <w:szCs w:val="24"/>
          <w:vertAlign w:val="superscript"/>
        </w:rPr>
        <w:t>st</w:t>
      </w:r>
      <w:r w:rsidR="00FC3AE4">
        <w:rPr>
          <w:rFonts w:ascii="Arial" w:hAnsi="Arial" w:cs="Arial"/>
          <w:sz w:val="24"/>
          <w:szCs w:val="24"/>
        </w:rPr>
        <w:t xml:space="preserve"> Respondent’s constant refrain since the closure application was for the open pit to be backfilled</w:t>
      </w:r>
      <w:r w:rsidR="00E16C39">
        <w:rPr>
          <w:rFonts w:ascii="Arial" w:hAnsi="Arial" w:cs="Arial"/>
          <w:sz w:val="24"/>
          <w:szCs w:val="24"/>
        </w:rPr>
        <w:t xml:space="preserve"> and had attached the three responses from the 1</w:t>
      </w:r>
      <w:r w:rsidR="00E16C39" w:rsidRPr="00E16C39">
        <w:rPr>
          <w:rFonts w:ascii="Arial" w:hAnsi="Arial" w:cs="Arial"/>
          <w:sz w:val="24"/>
          <w:szCs w:val="24"/>
          <w:vertAlign w:val="superscript"/>
        </w:rPr>
        <w:t>st</w:t>
      </w:r>
      <w:r w:rsidR="00E16C39">
        <w:rPr>
          <w:rFonts w:ascii="Arial" w:hAnsi="Arial" w:cs="Arial"/>
          <w:sz w:val="24"/>
          <w:szCs w:val="24"/>
        </w:rPr>
        <w:t xml:space="preserve"> Respondent. </w:t>
      </w:r>
      <w:r w:rsidR="00F5244D">
        <w:rPr>
          <w:rFonts w:ascii="Arial" w:hAnsi="Arial" w:cs="Arial"/>
          <w:sz w:val="24"/>
          <w:szCs w:val="24"/>
        </w:rPr>
        <w:tab/>
      </w:r>
    </w:p>
    <w:p w14:paraId="2A9606CC" w14:textId="1AD33B4D" w:rsidR="00101B9F" w:rsidRDefault="00101B9F" w:rsidP="00101B9F">
      <w:pPr>
        <w:tabs>
          <w:tab w:val="left" w:pos="567"/>
        </w:tabs>
        <w:spacing w:after="0" w:line="360" w:lineRule="auto"/>
        <w:jc w:val="both"/>
        <w:rPr>
          <w:rFonts w:ascii="Arial" w:hAnsi="Arial" w:cs="Arial"/>
          <w:sz w:val="24"/>
          <w:szCs w:val="24"/>
        </w:rPr>
      </w:pPr>
    </w:p>
    <w:p w14:paraId="0E70A815" w14:textId="33CC74AC" w:rsidR="00457E89" w:rsidRPr="00551C98" w:rsidRDefault="00805043" w:rsidP="00551C98">
      <w:pPr>
        <w:tabs>
          <w:tab w:val="left" w:pos="0"/>
        </w:tabs>
        <w:spacing w:after="0" w:line="360" w:lineRule="auto"/>
        <w:jc w:val="both"/>
        <w:rPr>
          <w:rFonts w:ascii="Arial" w:hAnsi="Arial" w:cs="Arial"/>
          <w:iCs/>
          <w:sz w:val="24"/>
          <w:szCs w:val="24"/>
        </w:rPr>
      </w:pPr>
      <w:r>
        <w:rPr>
          <w:rFonts w:ascii="Arial" w:hAnsi="Arial" w:cs="Arial"/>
          <w:sz w:val="24"/>
          <w:szCs w:val="24"/>
        </w:rPr>
        <w:t>[83</w:t>
      </w:r>
      <w:r w:rsidR="005E65FC" w:rsidRPr="00551C98">
        <w:rPr>
          <w:rFonts w:ascii="Arial" w:hAnsi="Arial" w:cs="Arial"/>
          <w:sz w:val="24"/>
          <w:szCs w:val="24"/>
        </w:rPr>
        <w:t>]</w:t>
      </w:r>
      <w:r w:rsidR="003A17F7" w:rsidRPr="00551C98">
        <w:rPr>
          <w:rFonts w:ascii="Arial" w:hAnsi="Arial" w:cs="Arial"/>
          <w:sz w:val="24"/>
          <w:szCs w:val="24"/>
        </w:rPr>
        <w:tab/>
      </w:r>
      <w:r w:rsidR="00CA18A3">
        <w:rPr>
          <w:rFonts w:ascii="Arial" w:hAnsi="Arial" w:cs="Arial"/>
          <w:sz w:val="24"/>
          <w:szCs w:val="24"/>
        </w:rPr>
        <w:t>Further, DBCM d</w:t>
      </w:r>
      <w:r w:rsidR="005E65FC" w:rsidRPr="00551C98">
        <w:rPr>
          <w:rFonts w:ascii="Arial" w:hAnsi="Arial" w:cs="Arial"/>
          <w:sz w:val="24"/>
          <w:szCs w:val="24"/>
        </w:rPr>
        <w:t>enied that s 2 (4) (f-k) of NEMA imposes any obligation to the holder of a mining right but set out the national environmental management principles and factors which guide organs of state in decision making. Whilst s 7 (2) (j</w:t>
      </w:r>
      <w:r w:rsidR="007D0C41" w:rsidRPr="00551C98">
        <w:rPr>
          <w:rFonts w:ascii="Arial" w:hAnsi="Arial" w:cs="Arial"/>
          <w:sz w:val="24"/>
          <w:szCs w:val="24"/>
        </w:rPr>
        <w:t>) of Schedule II of the MPRDA is</w:t>
      </w:r>
      <w:r w:rsidR="005E65FC" w:rsidRPr="00551C98">
        <w:rPr>
          <w:rFonts w:ascii="Arial" w:hAnsi="Arial" w:cs="Arial"/>
          <w:sz w:val="24"/>
          <w:szCs w:val="24"/>
        </w:rPr>
        <w:t xml:space="preserve"> only applicable </w:t>
      </w:r>
      <w:r w:rsidR="007D0C41" w:rsidRPr="00551C98">
        <w:rPr>
          <w:rFonts w:ascii="Arial" w:hAnsi="Arial" w:cs="Arial"/>
          <w:sz w:val="24"/>
          <w:szCs w:val="24"/>
        </w:rPr>
        <w:t xml:space="preserve">in circumstances where an old order right is converted. In </w:t>
      </w:r>
      <w:r w:rsidR="00CC0B74">
        <w:rPr>
          <w:rFonts w:ascii="Arial" w:hAnsi="Arial" w:cs="Arial"/>
          <w:sz w:val="24"/>
          <w:szCs w:val="24"/>
        </w:rPr>
        <w:t>DBMC’s</w:t>
      </w:r>
      <w:r w:rsidR="007D0C41" w:rsidRPr="00551C98">
        <w:rPr>
          <w:rFonts w:ascii="Arial" w:hAnsi="Arial" w:cs="Arial"/>
          <w:sz w:val="24"/>
          <w:szCs w:val="24"/>
        </w:rPr>
        <w:t xml:space="preserve"> case the mining right l</w:t>
      </w:r>
      <w:r w:rsidR="007D0C41" w:rsidRPr="00551C98">
        <w:rPr>
          <w:rFonts w:ascii="Arial" w:hAnsi="Arial" w:cs="Arial"/>
          <w:iCs/>
          <w:sz w:val="24"/>
          <w:szCs w:val="24"/>
        </w:rPr>
        <w:t>apsed</w:t>
      </w:r>
      <w:r w:rsidR="00CA18A3">
        <w:rPr>
          <w:rFonts w:ascii="Arial" w:hAnsi="Arial" w:cs="Arial"/>
          <w:iCs/>
          <w:sz w:val="24"/>
          <w:szCs w:val="24"/>
        </w:rPr>
        <w:t>,</w:t>
      </w:r>
      <w:r w:rsidR="007D0C41" w:rsidRPr="00551C98">
        <w:rPr>
          <w:rFonts w:ascii="Arial" w:hAnsi="Arial" w:cs="Arial"/>
          <w:iCs/>
          <w:sz w:val="24"/>
          <w:szCs w:val="24"/>
        </w:rPr>
        <w:t xml:space="preserve"> </w:t>
      </w:r>
      <w:r w:rsidR="00CA18A3">
        <w:rPr>
          <w:rFonts w:ascii="Arial" w:hAnsi="Arial" w:cs="Arial"/>
          <w:iCs/>
          <w:sz w:val="24"/>
          <w:szCs w:val="24"/>
        </w:rPr>
        <w:t xml:space="preserve">therefore it insists that the lapsing of the right </w:t>
      </w:r>
      <w:r w:rsidR="007D0C41" w:rsidRPr="00551C98">
        <w:rPr>
          <w:rFonts w:ascii="Arial" w:hAnsi="Arial" w:cs="Arial"/>
          <w:iCs/>
          <w:sz w:val="24"/>
          <w:szCs w:val="24"/>
        </w:rPr>
        <w:t>did not put to an end the Oaks Mine EMP</w:t>
      </w:r>
      <w:r w:rsidR="00CA18A3">
        <w:rPr>
          <w:rFonts w:ascii="Arial" w:hAnsi="Arial" w:cs="Arial"/>
          <w:iCs/>
          <w:sz w:val="24"/>
          <w:szCs w:val="24"/>
        </w:rPr>
        <w:t xml:space="preserve"> which is </w:t>
      </w:r>
      <w:r w:rsidR="007D0C41" w:rsidRPr="00551C98">
        <w:rPr>
          <w:rFonts w:ascii="Arial" w:hAnsi="Arial" w:cs="Arial"/>
          <w:iCs/>
          <w:sz w:val="24"/>
          <w:szCs w:val="24"/>
        </w:rPr>
        <w:t xml:space="preserve">preserved in terms of s </w:t>
      </w:r>
      <w:r w:rsidR="00CA18A3">
        <w:rPr>
          <w:rFonts w:ascii="Arial" w:hAnsi="Arial" w:cs="Arial"/>
          <w:iCs/>
          <w:sz w:val="24"/>
          <w:szCs w:val="24"/>
        </w:rPr>
        <w:t xml:space="preserve">10 (1) of Schedule II of MPRDA and </w:t>
      </w:r>
      <w:r w:rsidR="007D0C41" w:rsidRPr="00551C98">
        <w:rPr>
          <w:rFonts w:ascii="Arial" w:hAnsi="Arial" w:cs="Arial"/>
          <w:iCs/>
          <w:sz w:val="24"/>
          <w:szCs w:val="24"/>
        </w:rPr>
        <w:t>not reliant on the conversion of an old order mine.</w:t>
      </w:r>
    </w:p>
    <w:p w14:paraId="02353FBF" w14:textId="18B03754" w:rsidR="00551C98" w:rsidRDefault="00551C98" w:rsidP="00551C98">
      <w:pPr>
        <w:tabs>
          <w:tab w:val="left" w:pos="0"/>
        </w:tabs>
        <w:spacing w:after="0" w:line="360" w:lineRule="auto"/>
        <w:jc w:val="both"/>
        <w:rPr>
          <w:rFonts w:ascii="Arial" w:hAnsi="Arial" w:cs="Arial"/>
          <w:iCs/>
          <w:sz w:val="24"/>
          <w:szCs w:val="24"/>
        </w:rPr>
      </w:pPr>
    </w:p>
    <w:p w14:paraId="240FD1F8" w14:textId="55831D32" w:rsidR="00AD03A4" w:rsidRPr="00551C98" w:rsidRDefault="001D7610" w:rsidP="00551C98">
      <w:pPr>
        <w:tabs>
          <w:tab w:val="left" w:pos="0"/>
        </w:tabs>
        <w:spacing w:after="0" w:line="360" w:lineRule="auto"/>
        <w:jc w:val="both"/>
        <w:rPr>
          <w:rFonts w:ascii="Arial" w:hAnsi="Arial" w:cs="Arial"/>
          <w:iCs/>
          <w:sz w:val="24"/>
          <w:szCs w:val="24"/>
        </w:rPr>
      </w:pPr>
      <w:r>
        <w:rPr>
          <w:rFonts w:ascii="Arial" w:hAnsi="Arial" w:cs="Arial"/>
          <w:iCs/>
          <w:sz w:val="24"/>
          <w:szCs w:val="24"/>
        </w:rPr>
        <w:t>[</w:t>
      </w:r>
      <w:r w:rsidR="001D57E0">
        <w:rPr>
          <w:rFonts w:ascii="Arial" w:hAnsi="Arial" w:cs="Arial"/>
          <w:iCs/>
          <w:sz w:val="24"/>
          <w:szCs w:val="24"/>
        </w:rPr>
        <w:t>84]</w:t>
      </w:r>
      <w:r w:rsidR="00457E89" w:rsidRPr="00551C98">
        <w:rPr>
          <w:rFonts w:ascii="Arial" w:hAnsi="Arial" w:cs="Arial"/>
          <w:iCs/>
          <w:sz w:val="24"/>
          <w:szCs w:val="24"/>
        </w:rPr>
        <w:t xml:space="preserve"> </w:t>
      </w:r>
      <w:r w:rsidR="003A17F7" w:rsidRPr="00551C98">
        <w:rPr>
          <w:rFonts w:ascii="Arial" w:hAnsi="Arial" w:cs="Arial"/>
          <w:iCs/>
          <w:sz w:val="24"/>
          <w:szCs w:val="24"/>
        </w:rPr>
        <w:tab/>
      </w:r>
      <w:r w:rsidR="00457E89" w:rsidRPr="00551C98">
        <w:rPr>
          <w:rFonts w:ascii="Arial" w:hAnsi="Arial" w:cs="Arial"/>
          <w:iCs/>
          <w:sz w:val="24"/>
          <w:szCs w:val="24"/>
        </w:rPr>
        <w:t>DBCM</w:t>
      </w:r>
      <w:r>
        <w:rPr>
          <w:rFonts w:ascii="Arial" w:hAnsi="Arial" w:cs="Arial"/>
          <w:iCs/>
          <w:sz w:val="24"/>
          <w:szCs w:val="24"/>
        </w:rPr>
        <w:t xml:space="preserve"> denies that it wa</w:t>
      </w:r>
      <w:r w:rsidR="00AD03A4" w:rsidRPr="00551C98">
        <w:rPr>
          <w:rFonts w:ascii="Arial" w:hAnsi="Arial" w:cs="Arial"/>
          <w:iCs/>
          <w:sz w:val="24"/>
          <w:szCs w:val="24"/>
        </w:rPr>
        <w:t>s</w:t>
      </w:r>
      <w:r>
        <w:rPr>
          <w:rFonts w:ascii="Arial" w:hAnsi="Arial" w:cs="Arial"/>
          <w:iCs/>
          <w:sz w:val="24"/>
          <w:szCs w:val="24"/>
        </w:rPr>
        <w:t xml:space="preserve"> </w:t>
      </w:r>
      <w:r w:rsidR="00AD03A4" w:rsidRPr="00551C98">
        <w:rPr>
          <w:rFonts w:ascii="Arial" w:hAnsi="Arial" w:cs="Arial"/>
          <w:iCs/>
          <w:sz w:val="24"/>
          <w:szCs w:val="24"/>
        </w:rPr>
        <w:t xml:space="preserve">ever called upon to submit its technical and financial ability to mitigate and rehabilitate the environmental impact of its mining activities. </w:t>
      </w:r>
      <w:r>
        <w:rPr>
          <w:rFonts w:ascii="Arial" w:hAnsi="Arial" w:cs="Arial"/>
          <w:iCs/>
          <w:sz w:val="24"/>
          <w:szCs w:val="24"/>
        </w:rPr>
        <w:t xml:space="preserve">Also that it </w:t>
      </w:r>
      <w:r w:rsidR="00AD03A4" w:rsidRPr="00551C98">
        <w:rPr>
          <w:rFonts w:ascii="Arial" w:hAnsi="Arial" w:cs="Arial"/>
          <w:iCs/>
          <w:sz w:val="24"/>
          <w:szCs w:val="24"/>
        </w:rPr>
        <w:t xml:space="preserve">had </w:t>
      </w:r>
      <w:r>
        <w:rPr>
          <w:rFonts w:ascii="Arial" w:hAnsi="Arial" w:cs="Arial"/>
          <w:iCs/>
          <w:sz w:val="24"/>
          <w:szCs w:val="24"/>
        </w:rPr>
        <w:t xml:space="preserve">an </w:t>
      </w:r>
      <w:r w:rsidR="00AD03A4" w:rsidRPr="00551C98">
        <w:rPr>
          <w:rFonts w:ascii="Arial" w:hAnsi="Arial" w:cs="Arial"/>
          <w:iCs/>
          <w:sz w:val="24"/>
          <w:szCs w:val="24"/>
        </w:rPr>
        <w:t>obligation to submit its audited f</w:t>
      </w:r>
      <w:r>
        <w:rPr>
          <w:rFonts w:ascii="Arial" w:hAnsi="Arial" w:cs="Arial"/>
          <w:iCs/>
          <w:sz w:val="24"/>
          <w:szCs w:val="24"/>
        </w:rPr>
        <w:t>inancial statements and the 1</w:t>
      </w:r>
      <w:r w:rsidRPr="001D7610">
        <w:rPr>
          <w:rFonts w:ascii="Arial" w:hAnsi="Arial" w:cs="Arial"/>
          <w:iCs/>
          <w:sz w:val="24"/>
          <w:szCs w:val="24"/>
          <w:vertAlign w:val="superscript"/>
        </w:rPr>
        <w:t>st</w:t>
      </w:r>
      <w:r>
        <w:rPr>
          <w:rFonts w:ascii="Arial" w:hAnsi="Arial" w:cs="Arial"/>
          <w:iCs/>
          <w:sz w:val="24"/>
          <w:szCs w:val="24"/>
        </w:rPr>
        <w:t xml:space="preserve"> </w:t>
      </w:r>
      <w:r w:rsidR="00AD03A4" w:rsidRPr="00551C98">
        <w:rPr>
          <w:rFonts w:ascii="Arial" w:hAnsi="Arial" w:cs="Arial"/>
          <w:iCs/>
          <w:sz w:val="24"/>
          <w:szCs w:val="24"/>
        </w:rPr>
        <w:t>Respondent does not establish the basis for such an obligation.</w:t>
      </w:r>
    </w:p>
    <w:p w14:paraId="53089EB5" w14:textId="77777777" w:rsidR="00AD03A4" w:rsidRDefault="00AD03A4" w:rsidP="003A17F7">
      <w:pPr>
        <w:pStyle w:val="ListParagraph"/>
        <w:tabs>
          <w:tab w:val="left" w:pos="0"/>
        </w:tabs>
        <w:spacing w:after="0" w:line="360" w:lineRule="auto"/>
        <w:jc w:val="both"/>
        <w:rPr>
          <w:rFonts w:ascii="Arial" w:hAnsi="Arial" w:cs="Arial"/>
          <w:iCs/>
          <w:sz w:val="24"/>
          <w:szCs w:val="24"/>
        </w:rPr>
      </w:pPr>
    </w:p>
    <w:p w14:paraId="3356AC4B" w14:textId="1FB4BA69" w:rsidR="0065091C" w:rsidRPr="00551C98" w:rsidRDefault="001D7610" w:rsidP="00551C98">
      <w:pPr>
        <w:tabs>
          <w:tab w:val="left" w:pos="0"/>
        </w:tabs>
        <w:spacing w:after="0" w:line="360" w:lineRule="auto"/>
        <w:jc w:val="both"/>
        <w:rPr>
          <w:rFonts w:ascii="Arial" w:hAnsi="Arial" w:cs="Arial"/>
          <w:iCs/>
          <w:sz w:val="24"/>
          <w:szCs w:val="24"/>
        </w:rPr>
      </w:pPr>
      <w:r>
        <w:rPr>
          <w:rFonts w:ascii="Arial" w:hAnsi="Arial" w:cs="Arial"/>
          <w:iCs/>
          <w:sz w:val="24"/>
          <w:szCs w:val="24"/>
        </w:rPr>
        <w:lastRenderedPageBreak/>
        <w:t>[</w:t>
      </w:r>
      <w:r w:rsidR="001D57E0">
        <w:rPr>
          <w:rFonts w:ascii="Arial" w:hAnsi="Arial" w:cs="Arial"/>
          <w:iCs/>
          <w:sz w:val="24"/>
          <w:szCs w:val="24"/>
        </w:rPr>
        <w:t>85</w:t>
      </w:r>
      <w:r w:rsidR="00AD03A4" w:rsidRPr="00551C98">
        <w:rPr>
          <w:rFonts w:ascii="Arial" w:hAnsi="Arial" w:cs="Arial"/>
          <w:iCs/>
          <w:sz w:val="24"/>
          <w:szCs w:val="24"/>
        </w:rPr>
        <w:t>]</w:t>
      </w:r>
      <w:r w:rsidR="00AD03A4" w:rsidRPr="00551C98">
        <w:rPr>
          <w:rFonts w:ascii="Arial" w:hAnsi="Arial" w:cs="Arial"/>
          <w:iCs/>
          <w:sz w:val="24"/>
          <w:szCs w:val="24"/>
        </w:rPr>
        <w:tab/>
      </w:r>
      <w:r w:rsidR="00287CC0">
        <w:rPr>
          <w:rFonts w:ascii="Arial" w:hAnsi="Arial" w:cs="Arial"/>
          <w:iCs/>
          <w:sz w:val="24"/>
          <w:szCs w:val="24"/>
        </w:rPr>
        <w:t xml:space="preserve">On </w:t>
      </w:r>
      <w:r w:rsidR="00E45F76" w:rsidRPr="00551C98">
        <w:rPr>
          <w:rFonts w:ascii="Arial" w:hAnsi="Arial" w:cs="Arial"/>
          <w:iCs/>
          <w:sz w:val="24"/>
          <w:szCs w:val="24"/>
        </w:rPr>
        <w:t>its failure to comply with s 7 (2) (a-k) of Schedule II of the MPRDA</w:t>
      </w:r>
      <w:r w:rsidR="00287CC0">
        <w:rPr>
          <w:rFonts w:ascii="Arial" w:hAnsi="Arial" w:cs="Arial"/>
          <w:iCs/>
          <w:sz w:val="24"/>
          <w:szCs w:val="24"/>
        </w:rPr>
        <w:t>,</w:t>
      </w:r>
      <w:r w:rsidR="00E45F76" w:rsidRPr="00551C98">
        <w:rPr>
          <w:rFonts w:ascii="Arial" w:hAnsi="Arial" w:cs="Arial"/>
          <w:iCs/>
          <w:sz w:val="24"/>
          <w:szCs w:val="24"/>
        </w:rPr>
        <w:t xml:space="preserve"> </w:t>
      </w:r>
      <w:r w:rsidR="00287CC0">
        <w:rPr>
          <w:rFonts w:ascii="Arial" w:hAnsi="Arial" w:cs="Arial"/>
          <w:iCs/>
          <w:sz w:val="24"/>
          <w:szCs w:val="24"/>
        </w:rPr>
        <w:t xml:space="preserve">DBCM denied that to be </w:t>
      </w:r>
      <w:r w:rsidR="00E45F76" w:rsidRPr="00551C98">
        <w:rPr>
          <w:rFonts w:ascii="Arial" w:hAnsi="Arial" w:cs="Arial"/>
          <w:iCs/>
          <w:sz w:val="24"/>
          <w:szCs w:val="24"/>
        </w:rPr>
        <w:t xml:space="preserve">fatal to its Application for closure and </w:t>
      </w:r>
      <w:r w:rsidR="00287CC0">
        <w:rPr>
          <w:rFonts w:ascii="Arial" w:hAnsi="Arial" w:cs="Arial"/>
          <w:iCs/>
          <w:sz w:val="24"/>
          <w:szCs w:val="24"/>
        </w:rPr>
        <w:t xml:space="preserve">argued that it is </w:t>
      </w:r>
      <w:r w:rsidR="00E45F76" w:rsidRPr="00551C98">
        <w:rPr>
          <w:rFonts w:ascii="Arial" w:hAnsi="Arial" w:cs="Arial"/>
          <w:iCs/>
          <w:sz w:val="24"/>
          <w:szCs w:val="24"/>
        </w:rPr>
        <w:t>not up to the Respondents to raise it as a hindrance to DBCM lodging a closure application. DBCM was obliged to apply for the certificate and the Respondent required to consider the Application properly</w:t>
      </w:r>
      <w:r w:rsidR="003C57F5">
        <w:rPr>
          <w:rFonts w:ascii="Arial" w:hAnsi="Arial" w:cs="Arial"/>
          <w:iCs/>
          <w:sz w:val="24"/>
          <w:szCs w:val="24"/>
        </w:rPr>
        <w:t>.</w:t>
      </w:r>
      <w:r w:rsidR="000408F9" w:rsidRPr="00551C98">
        <w:rPr>
          <w:rFonts w:ascii="Arial" w:hAnsi="Arial" w:cs="Arial"/>
          <w:iCs/>
          <w:sz w:val="24"/>
          <w:szCs w:val="24"/>
        </w:rPr>
        <w:t xml:space="preserve"> </w:t>
      </w:r>
    </w:p>
    <w:p w14:paraId="1E0003C9" w14:textId="77777777" w:rsidR="00A93A90" w:rsidRDefault="00A93A90" w:rsidP="003A17F7">
      <w:pPr>
        <w:pStyle w:val="ListParagraph"/>
        <w:tabs>
          <w:tab w:val="left" w:pos="0"/>
        </w:tabs>
        <w:spacing w:after="0" w:line="360" w:lineRule="auto"/>
        <w:jc w:val="both"/>
        <w:rPr>
          <w:rFonts w:ascii="Arial" w:hAnsi="Arial" w:cs="Arial"/>
          <w:iCs/>
          <w:sz w:val="24"/>
          <w:szCs w:val="24"/>
        </w:rPr>
      </w:pPr>
    </w:p>
    <w:p w14:paraId="31C75D86" w14:textId="6153B4D5" w:rsidR="000408F9" w:rsidRPr="00F47C78" w:rsidRDefault="001D7610" w:rsidP="00551C98">
      <w:pPr>
        <w:tabs>
          <w:tab w:val="left" w:pos="0"/>
        </w:tabs>
        <w:spacing w:after="0" w:line="360" w:lineRule="auto"/>
        <w:jc w:val="both"/>
        <w:rPr>
          <w:rFonts w:ascii="Arial" w:hAnsi="Arial" w:cs="Arial"/>
          <w:iCs/>
          <w:sz w:val="24"/>
          <w:szCs w:val="24"/>
        </w:rPr>
      </w:pPr>
      <w:r>
        <w:rPr>
          <w:rFonts w:ascii="Arial" w:hAnsi="Arial" w:cs="Arial"/>
          <w:iCs/>
          <w:sz w:val="24"/>
          <w:szCs w:val="24"/>
        </w:rPr>
        <w:t>[</w:t>
      </w:r>
      <w:r w:rsidR="001D57E0">
        <w:rPr>
          <w:rFonts w:ascii="Arial" w:hAnsi="Arial" w:cs="Arial"/>
          <w:iCs/>
          <w:sz w:val="24"/>
          <w:szCs w:val="24"/>
        </w:rPr>
        <w:t>86</w:t>
      </w:r>
      <w:r w:rsidR="0065091C" w:rsidRPr="00551C98">
        <w:rPr>
          <w:rFonts w:ascii="Arial" w:hAnsi="Arial" w:cs="Arial"/>
          <w:iCs/>
          <w:sz w:val="24"/>
          <w:szCs w:val="24"/>
        </w:rPr>
        <w:t>]</w:t>
      </w:r>
      <w:r w:rsidRPr="001D7610">
        <w:rPr>
          <w:rFonts w:ascii="Arial" w:hAnsi="Arial" w:cs="Arial"/>
          <w:b/>
          <w:iCs/>
          <w:sz w:val="24"/>
          <w:szCs w:val="24"/>
        </w:rPr>
        <w:tab/>
      </w:r>
      <w:r w:rsidR="001D57E0" w:rsidRPr="001D57E0">
        <w:rPr>
          <w:rFonts w:ascii="Arial" w:hAnsi="Arial" w:cs="Arial"/>
          <w:iCs/>
          <w:sz w:val="24"/>
          <w:szCs w:val="24"/>
        </w:rPr>
        <w:t>DBCM</w:t>
      </w:r>
      <w:r w:rsidR="001D57E0">
        <w:rPr>
          <w:rFonts w:ascii="Arial" w:hAnsi="Arial" w:cs="Arial"/>
          <w:b/>
          <w:iCs/>
          <w:sz w:val="24"/>
          <w:szCs w:val="24"/>
        </w:rPr>
        <w:t xml:space="preserve"> </w:t>
      </w:r>
      <w:r w:rsidR="0065091C" w:rsidRPr="00F47C78">
        <w:rPr>
          <w:rFonts w:ascii="Arial" w:hAnsi="Arial" w:cs="Arial"/>
          <w:iCs/>
          <w:sz w:val="24"/>
          <w:szCs w:val="24"/>
        </w:rPr>
        <w:t xml:space="preserve">alleged to have sent the Department of Economic Development, Environment and Tourism its preliminary closure plan and invited the Department to visit the site on 28 July 2008. The Department visited the site on 25 September 2008 thereafter DBCM </w:t>
      </w:r>
      <w:r w:rsidRPr="00F47C78">
        <w:rPr>
          <w:rFonts w:ascii="Arial" w:hAnsi="Arial" w:cs="Arial"/>
          <w:iCs/>
          <w:sz w:val="24"/>
          <w:szCs w:val="24"/>
        </w:rPr>
        <w:t xml:space="preserve">in 2009 </w:t>
      </w:r>
      <w:r w:rsidR="0065091C" w:rsidRPr="00F47C78">
        <w:rPr>
          <w:rFonts w:ascii="Arial" w:hAnsi="Arial" w:cs="Arial"/>
          <w:iCs/>
          <w:sz w:val="24"/>
          <w:szCs w:val="24"/>
        </w:rPr>
        <w:t>sent its final closure plan to the Department of Economic, Development, Environment and Tourism</w:t>
      </w:r>
      <w:r w:rsidR="00A93A90" w:rsidRPr="00F47C78">
        <w:rPr>
          <w:rFonts w:ascii="Arial" w:hAnsi="Arial" w:cs="Arial"/>
          <w:iCs/>
          <w:sz w:val="24"/>
          <w:szCs w:val="24"/>
        </w:rPr>
        <w:t>.</w:t>
      </w:r>
      <w:r w:rsidR="0065091C" w:rsidRPr="00F47C78">
        <w:rPr>
          <w:rFonts w:ascii="Arial" w:hAnsi="Arial" w:cs="Arial"/>
          <w:iCs/>
          <w:sz w:val="24"/>
          <w:szCs w:val="24"/>
        </w:rPr>
        <w:t xml:space="preserve">  </w:t>
      </w:r>
    </w:p>
    <w:p w14:paraId="5CDCA480" w14:textId="77777777" w:rsidR="000408F9" w:rsidRDefault="000408F9" w:rsidP="003A17F7">
      <w:pPr>
        <w:pStyle w:val="ListParagraph"/>
        <w:tabs>
          <w:tab w:val="left" w:pos="0"/>
        </w:tabs>
        <w:spacing w:after="0" w:line="360" w:lineRule="auto"/>
        <w:jc w:val="both"/>
        <w:rPr>
          <w:rFonts w:ascii="Arial" w:hAnsi="Arial" w:cs="Arial"/>
          <w:iCs/>
          <w:sz w:val="24"/>
          <w:szCs w:val="24"/>
        </w:rPr>
      </w:pPr>
    </w:p>
    <w:p w14:paraId="6EC005A5" w14:textId="72B66A09" w:rsidR="00A93A90" w:rsidRPr="00551C98" w:rsidRDefault="001D57E0" w:rsidP="00551C98">
      <w:pPr>
        <w:tabs>
          <w:tab w:val="left" w:pos="0"/>
        </w:tabs>
        <w:spacing w:after="0" w:line="360" w:lineRule="auto"/>
        <w:jc w:val="both"/>
        <w:rPr>
          <w:rFonts w:ascii="Arial" w:hAnsi="Arial" w:cs="Arial"/>
          <w:iCs/>
          <w:sz w:val="24"/>
          <w:szCs w:val="24"/>
        </w:rPr>
      </w:pPr>
      <w:r>
        <w:rPr>
          <w:rFonts w:ascii="Arial" w:hAnsi="Arial" w:cs="Arial"/>
          <w:iCs/>
          <w:sz w:val="24"/>
          <w:szCs w:val="24"/>
        </w:rPr>
        <w:t>[87</w:t>
      </w:r>
      <w:r w:rsidR="000408F9" w:rsidRPr="00551C98">
        <w:rPr>
          <w:rFonts w:ascii="Arial" w:hAnsi="Arial" w:cs="Arial"/>
          <w:iCs/>
          <w:sz w:val="24"/>
          <w:szCs w:val="24"/>
        </w:rPr>
        <w:t>]</w:t>
      </w:r>
      <w:r w:rsidR="001D7610">
        <w:rPr>
          <w:rFonts w:ascii="Arial" w:hAnsi="Arial" w:cs="Arial"/>
          <w:iCs/>
          <w:sz w:val="24"/>
          <w:szCs w:val="24"/>
        </w:rPr>
        <w:tab/>
      </w:r>
      <w:r w:rsidR="000408F9" w:rsidRPr="00551C98">
        <w:rPr>
          <w:rFonts w:ascii="Arial" w:hAnsi="Arial" w:cs="Arial"/>
          <w:iCs/>
          <w:sz w:val="24"/>
          <w:szCs w:val="24"/>
        </w:rPr>
        <w:t>Regarding the rezoning of the Oaks Mine to a gaming farm</w:t>
      </w:r>
      <w:r w:rsidR="001D7610">
        <w:rPr>
          <w:rFonts w:ascii="Arial" w:hAnsi="Arial" w:cs="Arial"/>
          <w:iCs/>
          <w:sz w:val="24"/>
          <w:szCs w:val="24"/>
        </w:rPr>
        <w:t>,</w:t>
      </w:r>
      <w:r w:rsidR="000408F9" w:rsidRPr="00551C98">
        <w:rPr>
          <w:rFonts w:ascii="Arial" w:hAnsi="Arial" w:cs="Arial"/>
          <w:iCs/>
          <w:sz w:val="24"/>
          <w:szCs w:val="24"/>
        </w:rPr>
        <w:t xml:space="preserve"> DBCM disputes that there was ever such a legal requirement.</w:t>
      </w:r>
      <w:r w:rsidR="0065091C" w:rsidRPr="00551C98">
        <w:rPr>
          <w:rFonts w:ascii="Arial" w:hAnsi="Arial" w:cs="Arial"/>
          <w:iCs/>
          <w:sz w:val="24"/>
          <w:szCs w:val="24"/>
        </w:rPr>
        <w:t xml:space="preserve"> </w:t>
      </w:r>
      <w:r w:rsidR="00A93A90" w:rsidRPr="00551C98">
        <w:rPr>
          <w:rFonts w:ascii="Arial" w:hAnsi="Arial" w:cs="Arial"/>
          <w:iCs/>
          <w:sz w:val="24"/>
          <w:szCs w:val="24"/>
        </w:rPr>
        <w:t>According to DBCM prior to its mining operations the land was zoned for agricultural use and its current use as a game farm agricultural</w:t>
      </w:r>
      <w:r w:rsidR="003C57F5">
        <w:rPr>
          <w:rFonts w:ascii="Arial" w:hAnsi="Arial" w:cs="Arial"/>
          <w:iCs/>
          <w:sz w:val="24"/>
          <w:szCs w:val="24"/>
        </w:rPr>
        <w:t>,</w:t>
      </w:r>
      <w:r w:rsidR="00A93A90" w:rsidRPr="00551C98">
        <w:rPr>
          <w:rFonts w:ascii="Arial" w:hAnsi="Arial" w:cs="Arial"/>
          <w:iCs/>
          <w:sz w:val="24"/>
          <w:szCs w:val="24"/>
        </w:rPr>
        <w:t xml:space="preserve"> therefore no need to rezone the land.  </w:t>
      </w:r>
    </w:p>
    <w:p w14:paraId="30F94789" w14:textId="77777777" w:rsidR="00A93A90" w:rsidRDefault="00A93A90" w:rsidP="003A17F7">
      <w:pPr>
        <w:pStyle w:val="ListParagraph"/>
        <w:tabs>
          <w:tab w:val="left" w:pos="0"/>
        </w:tabs>
        <w:spacing w:after="0" w:line="360" w:lineRule="auto"/>
        <w:jc w:val="both"/>
        <w:rPr>
          <w:rFonts w:ascii="Arial" w:hAnsi="Arial" w:cs="Arial"/>
          <w:iCs/>
          <w:sz w:val="24"/>
          <w:szCs w:val="24"/>
        </w:rPr>
      </w:pPr>
    </w:p>
    <w:p w14:paraId="54A32568" w14:textId="43D7CB92" w:rsidR="00875FD7" w:rsidRPr="00551C98" w:rsidRDefault="00A93A90" w:rsidP="00551C98">
      <w:pPr>
        <w:tabs>
          <w:tab w:val="left" w:pos="0"/>
        </w:tabs>
        <w:spacing w:after="0" w:line="360" w:lineRule="auto"/>
        <w:jc w:val="both"/>
        <w:rPr>
          <w:rFonts w:ascii="Arial" w:hAnsi="Arial" w:cs="Arial"/>
          <w:iCs/>
          <w:sz w:val="24"/>
          <w:szCs w:val="24"/>
        </w:rPr>
      </w:pPr>
      <w:r w:rsidRPr="00551C98">
        <w:rPr>
          <w:rFonts w:ascii="Arial" w:hAnsi="Arial" w:cs="Arial"/>
          <w:iCs/>
          <w:sz w:val="24"/>
          <w:szCs w:val="24"/>
        </w:rPr>
        <w:t>[</w:t>
      </w:r>
      <w:r w:rsidR="001D57E0">
        <w:rPr>
          <w:rFonts w:ascii="Arial" w:hAnsi="Arial" w:cs="Arial"/>
          <w:iCs/>
          <w:sz w:val="24"/>
          <w:szCs w:val="24"/>
        </w:rPr>
        <w:t>88</w:t>
      </w:r>
      <w:r w:rsidRPr="00551C98">
        <w:rPr>
          <w:rFonts w:ascii="Arial" w:hAnsi="Arial" w:cs="Arial"/>
          <w:iCs/>
          <w:sz w:val="24"/>
          <w:szCs w:val="24"/>
        </w:rPr>
        <w:t xml:space="preserve">] </w:t>
      </w:r>
      <w:r w:rsidR="001D7610">
        <w:rPr>
          <w:rFonts w:ascii="Arial" w:hAnsi="Arial" w:cs="Arial"/>
          <w:iCs/>
          <w:sz w:val="24"/>
          <w:szCs w:val="24"/>
        </w:rPr>
        <w:tab/>
      </w:r>
      <w:r w:rsidRPr="00551C98">
        <w:rPr>
          <w:rFonts w:ascii="Arial" w:hAnsi="Arial" w:cs="Arial"/>
          <w:iCs/>
          <w:sz w:val="24"/>
          <w:szCs w:val="24"/>
        </w:rPr>
        <w:t>On the water use licence application/cession or amendment and the EMP/EIA studies submitted for game farming</w:t>
      </w:r>
      <w:r w:rsidR="003C57F5">
        <w:rPr>
          <w:rFonts w:ascii="Arial" w:hAnsi="Arial" w:cs="Arial"/>
          <w:iCs/>
          <w:sz w:val="24"/>
          <w:szCs w:val="24"/>
        </w:rPr>
        <w:t>,</w:t>
      </w:r>
      <w:r w:rsidRPr="00551C98">
        <w:rPr>
          <w:rFonts w:ascii="Arial" w:hAnsi="Arial" w:cs="Arial"/>
          <w:iCs/>
          <w:sz w:val="24"/>
          <w:szCs w:val="24"/>
        </w:rPr>
        <w:t xml:space="preserve"> DBCM refutes such a requirement on the basis that Oaks Mine operated on a general water authorisation in terms of </w:t>
      </w:r>
      <w:r w:rsidR="00E02F89" w:rsidRPr="00551C98">
        <w:rPr>
          <w:rFonts w:ascii="Arial" w:hAnsi="Arial" w:cs="Arial"/>
          <w:iCs/>
          <w:sz w:val="24"/>
          <w:szCs w:val="24"/>
        </w:rPr>
        <w:t xml:space="preserve">National Water Act, 1998 and the game farmer is the relevant party responsible for holding any water use authorisation. </w:t>
      </w:r>
      <w:r w:rsidR="004375B6" w:rsidRPr="00551C98">
        <w:rPr>
          <w:rFonts w:ascii="Arial" w:hAnsi="Arial" w:cs="Arial"/>
          <w:iCs/>
          <w:sz w:val="24"/>
          <w:szCs w:val="24"/>
        </w:rPr>
        <w:t>DBCM denies that it is within the scope of the Chief Inspector of Mines’ duties to approve a health and safety plan for a game farm</w:t>
      </w:r>
      <w:r w:rsidR="00FE64EF" w:rsidRPr="00551C98">
        <w:rPr>
          <w:rFonts w:ascii="Arial" w:hAnsi="Arial" w:cs="Arial"/>
          <w:iCs/>
          <w:sz w:val="24"/>
          <w:szCs w:val="24"/>
        </w:rPr>
        <w:t xml:space="preserve"> but that of the </w:t>
      </w:r>
      <w:r w:rsidR="004375B6" w:rsidRPr="00551C98">
        <w:rPr>
          <w:rFonts w:ascii="Arial" w:hAnsi="Arial" w:cs="Arial"/>
          <w:iCs/>
          <w:sz w:val="24"/>
          <w:szCs w:val="24"/>
        </w:rPr>
        <w:t>DMRE</w:t>
      </w:r>
      <w:r w:rsidR="00FE64EF" w:rsidRPr="00551C98">
        <w:rPr>
          <w:rFonts w:ascii="Arial" w:hAnsi="Arial" w:cs="Arial"/>
          <w:iCs/>
          <w:sz w:val="24"/>
          <w:szCs w:val="24"/>
        </w:rPr>
        <w:t>,</w:t>
      </w:r>
      <w:r w:rsidR="004375B6" w:rsidRPr="00551C98">
        <w:rPr>
          <w:rFonts w:ascii="Arial" w:hAnsi="Arial" w:cs="Arial"/>
          <w:iCs/>
          <w:sz w:val="24"/>
          <w:szCs w:val="24"/>
        </w:rPr>
        <w:t xml:space="preserve"> who is responsible for ensuring and certifying that that the end land use is appropriate and acceptable.  </w:t>
      </w:r>
    </w:p>
    <w:p w14:paraId="5C81EA3B" w14:textId="084CDECB" w:rsidR="004375B6" w:rsidRDefault="004375B6" w:rsidP="003A17F7">
      <w:pPr>
        <w:pStyle w:val="ListParagraph"/>
        <w:tabs>
          <w:tab w:val="left" w:pos="0"/>
        </w:tabs>
        <w:spacing w:after="0" w:line="360" w:lineRule="auto"/>
        <w:jc w:val="both"/>
        <w:rPr>
          <w:rFonts w:ascii="Arial" w:hAnsi="Arial" w:cs="Arial"/>
          <w:iCs/>
          <w:sz w:val="24"/>
          <w:szCs w:val="24"/>
        </w:rPr>
      </w:pPr>
    </w:p>
    <w:p w14:paraId="080BCEF7" w14:textId="08841E8F" w:rsidR="004375B6" w:rsidRPr="00551C98" w:rsidRDefault="004375B6" w:rsidP="00551C98">
      <w:pPr>
        <w:tabs>
          <w:tab w:val="left" w:pos="0"/>
        </w:tabs>
        <w:spacing w:after="0" w:line="360" w:lineRule="auto"/>
        <w:jc w:val="both"/>
        <w:rPr>
          <w:rFonts w:ascii="Arial" w:hAnsi="Arial" w:cs="Arial"/>
          <w:iCs/>
          <w:sz w:val="24"/>
          <w:szCs w:val="24"/>
        </w:rPr>
      </w:pPr>
      <w:r w:rsidRPr="00551C98">
        <w:rPr>
          <w:rFonts w:ascii="Arial" w:hAnsi="Arial" w:cs="Arial"/>
          <w:iCs/>
          <w:sz w:val="24"/>
          <w:szCs w:val="24"/>
        </w:rPr>
        <w:t>[</w:t>
      </w:r>
      <w:r w:rsidR="001D57E0">
        <w:rPr>
          <w:rFonts w:ascii="Arial" w:hAnsi="Arial" w:cs="Arial"/>
          <w:iCs/>
          <w:sz w:val="24"/>
          <w:szCs w:val="24"/>
        </w:rPr>
        <w:t>89</w:t>
      </w:r>
      <w:r w:rsidRPr="00551C98">
        <w:rPr>
          <w:rFonts w:ascii="Arial" w:hAnsi="Arial" w:cs="Arial"/>
          <w:iCs/>
          <w:sz w:val="24"/>
          <w:szCs w:val="24"/>
        </w:rPr>
        <w:t xml:space="preserve">] In relation to the Heritage Assessment Studies/Risk Plan approved by the under NHRA in respect of </w:t>
      </w:r>
      <w:r w:rsidR="006B5D21" w:rsidRPr="00551C98">
        <w:rPr>
          <w:rFonts w:ascii="Arial" w:hAnsi="Arial" w:cs="Arial"/>
          <w:iCs/>
          <w:sz w:val="24"/>
          <w:szCs w:val="24"/>
        </w:rPr>
        <w:t>archaeology</w:t>
      </w:r>
      <w:r w:rsidRPr="00551C98">
        <w:rPr>
          <w:rFonts w:ascii="Arial" w:hAnsi="Arial" w:cs="Arial"/>
          <w:iCs/>
          <w:sz w:val="24"/>
          <w:szCs w:val="24"/>
        </w:rPr>
        <w:t xml:space="preserve"> survey conducted over the Oaks Mine properties before the commencement of the mining operations</w:t>
      </w:r>
      <w:r w:rsidR="00F23EBA" w:rsidRPr="00551C98">
        <w:rPr>
          <w:rFonts w:ascii="Arial" w:hAnsi="Arial" w:cs="Arial"/>
          <w:iCs/>
          <w:sz w:val="24"/>
          <w:szCs w:val="24"/>
        </w:rPr>
        <w:t>,</w:t>
      </w:r>
      <w:r w:rsidRPr="00551C98">
        <w:rPr>
          <w:rFonts w:ascii="Arial" w:hAnsi="Arial" w:cs="Arial"/>
          <w:iCs/>
          <w:sz w:val="24"/>
          <w:szCs w:val="24"/>
        </w:rPr>
        <w:t xml:space="preserve"> the DBCM points out that the Respondent conducted a heritage assessment as part of its 1998 </w:t>
      </w:r>
      <w:r w:rsidR="001D7610" w:rsidRPr="00551C98">
        <w:rPr>
          <w:rFonts w:ascii="Arial" w:hAnsi="Arial" w:cs="Arial"/>
          <w:iCs/>
          <w:sz w:val="24"/>
          <w:szCs w:val="24"/>
        </w:rPr>
        <w:t xml:space="preserve">EMP </w:t>
      </w:r>
      <w:r w:rsidR="001D7610" w:rsidRPr="00F47C78">
        <w:rPr>
          <w:rFonts w:ascii="Arial" w:hAnsi="Arial" w:cs="Arial"/>
          <w:iCs/>
          <w:sz w:val="24"/>
          <w:szCs w:val="24"/>
        </w:rPr>
        <w:t>and</w:t>
      </w:r>
      <w:r w:rsidR="00F23EBA" w:rsidRPr="00F47C78">
        <w:rPr>
          <w:rFonts w:ascii="Arial" w:hAnsi="Arial" w:cs="Arial"/>
          <w:iCs/>
          <w:sz w:val="24"/>
          <w:szCs w:val="24"/>
        </w:rPr>
        <w:t xml:space="preserve"> the 2003 EMP confirms that there are no heritage related risks in respect of Oaks Mine</w:t>
      </w:r>
      <w:r w:rsidR="00DE7198">
        <w:rPr>
          <w:rFonts w:ascii="Arial" w:hAnsi="Arial" w:cs="Arial"/>
          <w:iCs/>
          <w:sz w:val="24"/>
          <w:szCs w:val="24"/>
        </w:rPr>
        <w:t xml:space="preserve">. ( The report however indicate a Stone Age site that was discovered) </w:t>
      </w:r>
      <w:r w:rsidR="00F23EBA" w:rsidRPr="00551C98">
        <w:rPr>
          <w:rFonts w:ascii="Arial" w:hAnsi="Arial" w:cs="Arial"/>
          <w:iCs/>
          <w:sz w:val="24"/>
          <w:szCs w:val="24"/>
        </w:rPr>
        <w:t xml:space="preserve"> </w:t>
      </w:r>
    </w:p>
    <w:p w14:paraId="6B0F44B1" w14:textId="77777777" w:rsidR="00551C98" w:rsidRDefault="00551C98" w:rsidP="00551C98">
      <w:pPr>
        <w:tabs>
          <w:tab w:val="left" w:pos="0"/>
        </w:tabs>
        <w:spacing w:after="0" w:line="360" w:lineRule="auto"/>
        <w:jc w:val="both"/>
        <w:rPr>
          <w:rFonts w:ascii="Arial" w:hAnsi="Arial" w:cs="Arial"/>
          <w:iCs/>
          <w:sz w:val="24"/>
          <w:szCs w:val="24"/>
        </w:rPr>
      </w:pPr>
    </w:p>
    <w:p w14:paraId="4A391012" w14:textId="1E5061E9" w:rsidR="006B5D21" w:rsidRPr="00551C98" w:rsidRDefault="001D57E0" w:rsidP="00551C98">
      <w:pPr>
        <w:tabs>
          <w:tab w:val="left" w:pos="0"/>
        </w:tabs>
        <w:spacing w:after="0" w:line="360" w:lineRule="auto"/>
        <w:jc w:val="both"/>
        <w:rPr>
          <w:rFonts w:ascii="Arial" w:hAnsi="Arial" w:cs="Arial"/>
          <w:b/>
          <w:iCs/>
          <w:sz w:val="24"/>
          <w:szCs w:val="24"/>
        </w:rPr>
      </w:pPr>
      <w:r>
        <w:rPr>
          <w:rFonts w:ascii="Arial" w:hAnsi="Arial" w:cs="Arial"/>
          <w:iCs/>
          <w:sz w:val="24"/>
          <w:szCs w:val="24"/>
        </w:rPr>
        <w:lastRenderedPageBreak/>
        <w:t>[90</w:t>
      </w:r>
      <w:r w:rsidR="00F23EBA" w:rsidRPr="00551C98">
        <w:rPr>
          <w:rFonts w:ascii="Arial" w:hAnsi="Arial" w:cs="Arial"/>
          <w:iCs/>
          <w:sz w:val="24"/>
          <w:szCs w:val="24"/>
        </w:rPr>
        <w:t xml:space="preserve">] </w:t>
      </w:r>
      <w:r w:rsidR="00636B62">
        <w:rPr>
          <w:rFonts w:ascii="Arial" w:hAnsi="Arial" w:cs="Arial"/>
          <w:iCs/>
          <w:sz w:val="24"/>
          <w:szCs w:val="24"/>
        </w:rPr>
        <w:tab/>
      </w:r>
      <w:r w:rsidR="00F23EBA" w:rsidRPr="00F47C78">
        <w:rPr>
          <w:rFonts w:ascii="Arial" w:hAnsi="Arial" w:cs="Arial"/>
          <w:iCs/>
          <w:sz w:val="24"/>
          <w:szCs w:val="24"/>
        </w:rPr>
        <w:t xml:space="preserve">Furthermore the DBCM denied that there was </w:t>
      </w:r>
      <w:r w:rsidR="006B5D21" w:rsidRPr="00F47C78">
        <w:rPr>
          <w:rFonts w:ascii="Arial" w:hAnsi="Arial" w:cs="Arial"/>
          <w:iCs/>
          <w:sz w:val="24"/>
          <w:szCs w:val="24"/>
        </w:rPr>
        <w:t xml:space="preserve">any </w:t>
      </w:r>
      <w:r w:rsidR="00F23EBA" w:rsidRPr="00F47C78">
        <w:rPr>
          <w:rFonts w:ascii="Arial" w:hAnsi="Arial" w:cs="Arial"/>
          <w:iCs/>
          <w:sz w:val="24"/>
          <w:szCs w:val="24"/>
        </w:rPr>
        <w:t>legal obligation for it to provide the DMRE with the sale agreement of the properties to the game farmer. On the application for transfer of the environmental liabilities filed in terms of s 43 of the MPRDA from DBCM to the game farmer, DBCM denies any legal obligation to</w:t>
      </w:r>
      <w:r w:rsidR="006B5D21" w:rsidRPr="00F47C78">
        <w:rPr>
          <w:rFonts w:ascii="Arial" w:hAnsi="Arial" w:cs="Arial"/>
          <w:iCs/>
          <w:sz w:val="24"/>
          <w:szCs w:val="24"/>
        </w:rPr>
        <w:t xml:space="preserve"> </w:t>
      </w:r>
      <w:r w:rsidR="00FE64EF" w:rsidRPr="00F47C78">
        <w:rPr>
          <w:rFonts w:ascii="Arial" w:hAnsi="Arial" w:cs="Arial"/>
          <w:iCs/>
          <w:sz w:val="24"/>
          <w:szCs w:val="24"/>
        </w:rPr>
        <w:t>apply as alleged</w:t>
      </w:r>
      <w:r w:rsidR="006B5D21" w:rsidRPr="00F47C78">
        <w:rPr>
          <w:rFonts w:ascii="Arial" w:hAnsi="Arial" w:cs="Arial"/>
          <w:iCs/>
          <w:sz w:val="24"/>
          <w:szCs w:val="24"/>
        </w:rPr>
        <w:t>. Nevertheless</w:t>
      </w:r>
      <w:r w:rsidR="00FE64EF" w:rsidRPr="00F47C78">
        <w:rPr>
          <w:rFonts w:ascii="Arial" w:hAnsi="Arial" w:cs="Arial"/>
          <w:iCs/>
          <w:sz w:val="24"/>
          <w:szCs w:val="24"/>
        </w:rPr>
        <w:t>,</w:t>
      </w:r>
      <w:r w:rsidR="006B5D21" w:rsidRPr="00F47C78">
        <w:rPr>
          <w:rFonts w:ascii="Arial" w:hAnsi="Arial" w:cs="Arial"/>
          <w:iCs/>
          <w:sz w:val="24"/>
          <w:szCs w:val="24"/>
        </w:rPr>
        <w:t xml:space="preserve"> alleging that one of the purpose for applying for closure certificate is to transfer such environmental liabilities</w:t>
      </w:r>
      <w:r w:rsidR="006B5D21" w:rsidRPr="00551C98">
        <w:rPr>
          <w:rFonts w:ascii="Arial" w:hAnsi="Arial" w:cs="Arial"/>
          <w:b/>
          <w:iCs/>
          <w:sz w:val="24"/>
          <w:szCs w:val="24"/>
        </w:rPr>
        <w:t>.</w:t>
      </w:r>
    </w:p>
    <w:p w14:paraId="5A5E4806" w14:textId="77777777" w:rsidR="00551C98" w:rsidRDefault="00551C98" w:rsidP="00551C98">
      <w:pPr>
        <w:tabs>
          <w:tab w:val="left" w:pos="0"/>
        </w:tabs>
        <w:spacing w:after="0" w:line="360" w:lineRule="auto"/>
        <w:jc w:val="both"/>
        <w:rPr>
          <w:rFonts w:ascii="Arial" w:hAnsi="Arial" w:cs="Arial"/>
          <w:iCs/>
          <w:sz w:val="24"/>
          <w:szCs w:val="24"/>
        </w:rPr>
      </w:pPr>
    </w:p>
    <w:p w14:paraId="0B563F35" w14:textId="1E339212" w:rsidR="006B5D21" w:rsidRPr="00551C98" w:rsidRDefault="00636B62" w:rsidP="00551C98">
      <w:pPr>
        <w:tabs>
          <w:tab w:val="left" w:pos="0"/>
        </w:tabs>
        <w:spacing w:after="0" w:line="360" w:lineRule="auto"/>
        <w:jc w:val="both"/>
        <w:rPr>
          <w:rFonts w:ascii="Arial" w:hAnsi="Arial" w:cs="Arial"/>
          <w:iCs/>
          <w:sz w:val="24"/>
          <w:szCs w:val="24"/>
        </w:rPr>
      </w:pPr>
      <w:r>
        <w:rPr>
          <w:rFonts w:ascii="Arial" w:hAnsi="Arial" w:cs="Arial"/>
          <w:iCs/>
          <w:sz w:val="24"/>
          <w:szCs w:val="24"/>
        </w:rPr>
        <w:t>[91</w:t>
      </w:r>
      <w:r w:rsidR="006B5D21" w:rsidRPr="00551C98">
        <w:rPr>
          <w:rFonts w:ascii="Arial" w:hAnsi="Arial" w:cs="Arial"/>
          <w:iCs/>
          <w:sz w:val="24"/>
          <w:szCs w:val="24"/>
        </w:rPr>
        <w:t xml:space="preserve">] </w:t>
      </w:r>
      <w:r>
        <w:rPr>
          <w:rFonts w:ascii="Arial" w:hAnsi="Arial" w:cs="Arial"/>
          <w:iCs/>
          <w:sz w:val="24"/>
          <w:szCs w:val="24"/>
        </w:rPr>
        <w:tab/>
      </w:r>
      <w:r w:rsidR="006B5D21" w:rsidRPr="00551C98">
        <w:rPr>
          <w:rFonts w:ascii="Arial" w:hAnsi="Arial" w:cs="Arial"/>
          <w:iCs/>
          <w:sz w:val="24"/>
          <w:szCs w:val="24"/>
        </w:rPr>
        <w:t>DBCM denies that it was supposed to submit an amended closure plan and reiterate that the plan that it submitted was compliant with the law. Also denies that MPRDA was amended in 2008</w:t>
      </w:r>
      <w:r w:rsidR="003C57F5">
        <w:rPr>
          <w:rFonts w:ascii="Arial" w:hAnsi="Arial" w:cs="Arial"/>
          <w:iCs/>
          <w:sz w:val="24"/>
          <w:szCs w:val="24"/>
        </w:rPr>
        <w:t xml:space="preserve"> but </w:t>
      </w:r>
      <w:r w:rsidR="0075701D" w:rsidRPr="00551C98">
        <w:rPr>
          <w:rFonts w:ascii="Arial" w:hAnsi="Arial" w:cs="Arial"/>
          <w:iCs/>
          <w:sz w:val="24"/>
          <w:szCs w:val="24"/>
        </w:rPr>
        <w:t xml:space="preserve">that the amended s 43 of the MPRDA only came into effect in 2013 and that is after DBCM has lodged its closure Application. </w:t>
      </w:r>
      <w:r w:rsidR="002C049E" w:rsidRPr="00551C98">
        <w:rPr>
          <w:rFonts w:ascii="Arial" w:hAnsi="Arial" w:cs="Arial"/>
          <w:iCs/>
          <w:sz w:val="24"/>
          <w:szCs w:val="24"/>
        </w:rPr>
        <w:t>The relevant law applicable must exist at the time of consideration</w:t>
      </w:r>
      <w:r w:rsidR="005035B2" w:rsidRPr="00551C98">
        <w:rPr>
          <w:rFonts w:ascii="Arial" w:hAnsi="Arial" w:cs="Arial"/>
          <w:iCs/>
          <w:sz w:val="24"/>
          <w:szCs w:val="24"/>
        </w:rPr>
        <w:t xml:space="preserve"> of the Application, not to come into effect at some future date</w:t>
      </w:r>
      <w:r w:rsidR="003C57F5">
        <w:rPr>
          <w:rFonts w:ascii="Arial" w:hAnsi="Arial" w:cs="Arial"/>
          <w:iCs/>
          <w:sz w:val="24"/>
          <w:szCs w:val="24"/>
        </w:rPr>
        <w:t>, u</w:t>
      </w:r>
      <w:r w:rsidR="005035B2" w:rsidRPr="00551C98">
        <w:rPr>
          <w:rFonts w:ascii="Arial" w:hAnsi="Arial" w:cs="Arial"/>
          <w:iCs/>
          <w:sz w:val="24"/>
          <w:szCs w:val="24"/>
        </w:rPr>
        <w:t>nless the amending Act is stated to be applicable retrospectively.</w:t>
      </w:r>
      <w:r w:rsidR="0075701D" w:rsidRPr="00551C98">
        <w:rPr>
          <w:rFonts w:ascii="Arial" w:hAnsi="Arial" w:cs="Arial"/>
          <w:iCs/>
          <w:sz w:val="24"/>
          <w:szCs w:val="24"/>
        </w:rPr>
        <w:t xml:space="preserve"> </w:t>
      </w:r>
      <w:r w:rsidR="006B5D21" w:rsidRPr="00551C98">
        <w:rPr>
          <w:rFonts w:ascii="Arial" w:hAnsi="Arial" w:cs="Arial"/>
          <w:iCs/>
          <w:sz w:val="24"/>
          <w:szCs w:val="24"/>
        </w:rPr>
        <w:t xml:space="preserve"> </w:t>
      </w:r>
    </w:p>
    <w:p w14:paraId="3DA32F2C" w14:textId="77777777" w:rsidR="00551C98" w:rsidRDefault="00551C98" w:rsidP="00551C98">
      <w:pPr>
        <w:tabs>
          <w:tab w:val="left" w:pos="0"/>
        </w:tabs>
        <w:spacing w:after="0" w:line="360" w:lineRule="auto"/>
        <w:jc w:val="both"/>
        <w:rPr>
          <w:rFonts w:ascii="Arial" w:hAnsi="Arial" w:cs="Arial"/>
          <w:iCs/>
          <w:sz w:val="24"/>
          <w:szCs w:val="24"/>
        </w:rPr>
      </w:pPr>
    </w:p>
    <w:p w14:paraId="0E781DC9" w14:textId="5A817559" w:rsidR="00F23EBA" w:rsidRPr="00551C98" w:rsidRDefault="0031026D" w:rsidP="00551C98">
      <w:pPr>
        <w:tabs>
          <w:tab w:val="left" w:pos="0"/>
        </w:tabs>
        <w:spacing w:after="0" w:line="360" w:lineRule="auto"/>
        <w:jc w:val="both"/>
        <w:rPr>
          <w:rFonts w:ascii="Arial" w:hAnsi="Arial" w:cs="Arial"/>
          <w:iCs/>
          <w:sz w:val="24"/>
          <w:szCs w:val="24"/>
        </w:rPr>
      </w:pPr>
      <w:r>
        <w:rPr>
          <w:rFonts w:ascii="Arial" w:hAnsi="Arial" w:cs="Arial"/>
          <w:iCs/>
          <w:sz w:val="24"/>
          <w:szCs w:val="24"/>
        </w:rPr>
        <w:t>[</w:t>
      </w:r>
      <w:r w:rsidR="00636B62">
        <w:rPr>
          <w:rFonts w:ascii="Arial" w:hAnsi="Arial" w:cs="Arial"/>
          <w:iCs/>
          <w:sz w:val="24"/>
          <w:szCs w:val="24"/>
        </w:rPr>
        <w:t>92</w:t>
      </w:r>
      <w:r w:rsidR="006B5D21" w:rsidRPr="00551C98">
        <w:rPr>
          <w:rFonts w:ascii="Arial" w:hAnsi="Arial" w:cs="Arial"/>
          <w:iCs/>
          <w:sz w:val="24"/>
          <w:szCs w:val="24"/>
        </w:rPr>
        <w:t xml:space="preserve">] </w:t>
      </w:r>
      <w:r w:rsidR="00636B62">
        <w:rPr>
          <w:rFonts w:ascii="Arial" w:hAnsi="Arial" w:cs="Arial"/>
          <w:iCs/>
          <w:sz w:val="24"/>
          <w:szCs w:val="24"/>
        </w:rPr>
        <w:tab/>
      </w:r>
      <w:r w:rsidR="005035B2" w:rsidRPr="00551C98">
        <w:rPr>
          <w:rFonts w:ascii="Arial" w:hAnsi="Arial" w:cs="Arial"/>
          <w:iCs/>
          <w:sz w:val="24"/>
          <w:szCs w:val="24"/>
        </w:rPr>
        <w:t xml:space="preserve">With regard to s 28 (1A) of NEMA that is applicable </w:t>
      </w:r>
      <w:r w:rsidR="00514ACF">
        <w:rPr>
          <w:rFonts w:ascii="Arial" w:hAnsi="Arial" w:cs="Arial"/>
          <w:iCs/>
          <w:sz w:val="24"/>
          <w:szCs w:val="24"/>
        </w:rPr>
        <w:t xml:space="preserve">retrospectively </w:t>
      </w:r>
      <w:r w:rsidR="005035B2" w:rsidRPr="00551C98">
        <w:rPr>
          <w:rFonts w:ascii="Arial" w:hAnsi="Arial" w:cs="Arial"/>
          <w:iCs/>
          <w:sz w:val="24"/>
          <w:szCs w:val="24"/>
        </w:rPr>
        <w:t xml:space="preserve">to significant pollution or degradation. </w:t>
      </w:r>
      <w:r w:rsidR="00551C98" w:rsidRPr="00551C98">
        <w:rPr>
          <w:rFonts w:ascii="Arial" w:hAnsi="Arial" w:cs="Arial"/>
          <w:iCs/>
          <w:sz w:val="24"/>
          <w:szCs w:val="24"/>
        </w:rPr>
        <w:t xml:space="preserve">It </w:t>
      </w:r>
      <w:r w:rsidR="00514ACF">
        <w:rPr>
          <w:rFonts w:ascii="Arial" w:hAnsi="Arial" w:cs="Arial"/>
          <w:iCs/>
          <w:sz w:val="24"/>
          <w:szCs w:val="24"/>
        </w:rPr>
        <w:t xml:space="preserve">denied that it </w:t>
      </w:r>
      <w:r w:rsidR="00551C98" w:rsidRPr="00551C98">
        <w:rPr>
          <w:rFonts w:ascii="Arial" w:hAnsi="Arial" w:cs="Arial"/>
          <w:iCs/>
          <w:sz w:val="24"/>
          <w:szCs w:val="24"/>
        </w:rPr>
        <w:t xml:space="preserve">applicable to the determination of the closure                                                                                                                                                                                                                                                                                                                                                                                                                                                                                                                                                                                                                                                                                                                                                                                                                                                                                                                                                                                                                                                                                                                                                                                             application and the concept of </w:t>
      </w:r>
      <w:r w:rsidR="005035B2" w:rsidRPr="00551C98">
        <w:rPr>
          <w:rFonts w:ascii="Arial" w:hAnsi="Arial" w:cs="Arial"/>
          <w:iCs/>
          <w:sz w:val="24"/>
          <w:szCs w:val="24"/>
        </w:rPr>
        <w:t xml:space="preserve">rehabilitation as contemplated by s 43 of the MPRDA when DBCM lodged its closure application. Section 43 amendment was not in force when DBCM lodged its application </w:t>
      </w:r>
      <w:r w:rsidR="00551C98" w:rsidRPr="00551C98">
        <w:rPr>
          <w:rFonts w:ascii="Arial" w:hAnsi="Arial" w:cs="Arial"/>
          <w:iCs/>
          <w:sz w:val="24"/>
          <w:szCs w:val="24"/>
        </w:rPr>
        <w:t xml:space="preserve">on </w:t>
      </w:r>
      <w:r w:rsidR="005035B2" w:rsidRPr="00551C98">
        <w:rPr>
          <w:rFonts w:ascii="Arial" w:hAnsi="Arial" w:cs="Arial"/>
          <w:iCs/>
          <w:sz w:val="24"/>
          <w:szCs w:val="24"/>
        </w:rPr>
        <w:t xml:space="preserve">3 November 2009. </w:t>
      </w:r>
      <w:r w:rsidR="00551C98">
        <w:rPr>
          <w:rFonts w:ascii="Arial" w:hAnsi="Arial" w:cs="Arial"/>
          <w:iCs/>
          <w:sz w:val="24"/>
          <w:szCs w:val="24"/>
        </w:rPr>
        <w:t>Therefore</w:t>
      </w:r>
      <w:r w:rsidR="00B51D25">
        <w:rPr>
          <w:rFonts w:ascii="Arial" w:hAnsi="Arial" w:cs="Arial"/>
          <w:iCs/>
          <w:sz w:val="24"/>
          <w:szCs w:val="24"/>
        </w:rPr>
        <w:t>,</w:t>
      </w:r>
      <w:r w:rsidR="00551C98">
        <w:rPr>
          <w:rFonts w:ascii="Arial" w:hAnsi="Arial" w:cs="Arial"/>
          <w:iCs/>
          <w:sz w:val="24"/>
          <w:szCs w:val="24"/>
        </w:rPr>
        <w:t xml:space="preserve"> as an amending Act</w:t>
      </w:r>
      <w:r w:rsidR="00514ACF">
        <w:rPr>
          <w:rFonts w:ascii="Arial" w:hAnsi="Arial" w:cs="Arial"/>
          <w:iCs/>
          <w:sz w:val="24"/>
          <w:szCs w:val="24"/>
        </w:rPr>
        <w:t>,</w:t>
      </w:r>
      <w:r w:rsidR="00551C98">
        <w:rPr>
          <w:rFonts w:ascii="Arial" w:hAnsi="Arial" w:cs="Arial"/>
          <w:iCs/>
          <w:sz w:val="24"/>
          <w:szCs w:val="24"/>
        </w:rPr>
        <w:t xml:space="preserve"> it is to be applicable retrospectively if </w:t>
      </w:r>
      <w:r w:rsidR="00B51D25">
        <w:rPr>
          <w:rFonts w:ascii="Arial" w:hAnsi="Arial" w:cs="Arial"/>
          <w:iCs/>
          <w:sz w:val="24"/>
          <w:szCs w:val="24"/>
        </w:rPr>
        <w:t xml:space="preserve">stated to be retrospective in effect. </w:t>
      </w:r>
    </w:p>
    <w:p w14:paraId="20001B7C" w14:textId="77777777" w:rsidR="00551C98" w:rsidRDefault="00551C98" w:rsidP="00551C98">
      <w:pPr>
        <w:tabs>
          <w:tab w:val="left" w:pos="0"/>
        </w:tabs>
        <w:spacing w:after="0" w:line="360" w:lineRule="auto"/>
        <w:jc w:val="both"/>
        <w:rPr>
          <w:rFonts w:ascii="Arial" w:hAnsi="Arial" w:cs="Arial"/>
          <w:iCs/>
          <w:sz w:val="24"/>
          <w:szCs w:val="24"/>
        </w:rPr>
      </w:pPr>
    </w:p>
    <w:p w14:paraId="35909E23" w14:textId="42004678" w:rsidR="003A17F7" w:rsidRDefault="0031026D" w:rsidP="00B51D25">
      <w:pPr>
        <w:tabs>
          <w:tab w:val="left" w:pos="0"/>
        </w:tabs>
        <w:spacing w:after="0" w:line="360" w:lineRule="auto"/>
        <w:jc w:val="both"/>
        <w:rPr>
          <w:rFonts w:ascii="Arial" w:hAnsi="Arial" w:cs="Arial"/>
          <w:iCs/>
          <w:sz w:val="24"/>
          <w:szCs w:val="24"/>
        </w:rPr>
      </w:pPr>
      <w:r>
        <w:rPr>
          <w:rFonts w:ascii="Arial" w:hAnsi="Arial" w:cs="Arial"/>
          <w:iCs/>
          <w:sz w:val="24"/>
          <w:szCs w:val="24"/>
        </w:rPr>
        <w:t>[</w:t>
      </w:r>
      <w:r w:rsidR="00636B62">
        <w:rPr>
          <w:rFonts w:ascii="Arial" w:hAnsi="Arial" w:cs="Arial"/>
          <w:iCs/>
          <w:sz w:val="24"/>
          <w:szCs w:val="24"/>
        </w:rPr>
        <w:t>93</w:t>
      </w:r>
      <w:r w:rsidR="00551C98">
        <w:rPr>
          <w:rFonts w:ascii="Arial" w:hAnsi="Arial" w:cs="Arial"/>
          <w:iCs/>
          <w:sz w:val="24"/>
          <w:szCs w:val="24"/>
        </w:rPr>
        <w:t>]</w:t>
      </w:r>
      <w:r w:rsidR="00551C98">
        <w:rPr>
          <w:rFonts w:ascii="Arial" w:hAnsi="Arial" w:cs="Arial"/>
          <w:iCs/>
          <w:sz w:val="24"/>
          <w:szCs w:val="24"/>
        </w:rPr>
        <w:tab/>
      </w:r>
      <w:r w:rsidR="00F23EBA" w:rsidRPr="00551C98">
        <w:rPr>
          <w:rFonts w:ascii="Arial" w:hAnsi="Arial" w:cs="Arial"/>
          <w:iCs/>
          <w:sz w:val="24"/>
          <w:szCs w:val="24"/>
        </w:rPr>
        <w:t xml:space="preserve"> </w:t>
      </w:r>
      <w:r w:rsidR="00B51D25">
        <w:rPr>
          <w:rFonts w:ascii="Arial" w:hAnsi="Arial" w:cs="Arial"/>
          <w:iCs/>
          <w:sz w:val="24"/>
          <w:szCs w:val="24"/>
        </w:rPr>
        <w:t xml:space="preserve">DBCM in persistence with its stance also denies that the following statutes s 2 (4) (p), s 28, s 28 (1A), </w:t>
      </w:r>
      <w:r w:rsidR="001D7610">
        <w:rPr>
          <w:rFonts w:ascii="Arial" w:hAnsi="Arial" w:cs="Arial"/>
          <w:iCs/>
          <w:sz w:val="24"/>
          <w:szCs w:val="24"/>
        </w:rPr>
        <w:t>s</w:t>
      </w:r>
      <w:r w:rsidR="00B51D25">
        <w:rPr>
          <w:rFonts w:ascii="Arial" w:hAnsi="Arial" w:cs="Arial"/>
          <w:iCs/>
          <w:sz w:val="24"/>
          <w:szCs w:val="24"/>
        </w:rPr>
        <w:t xml:space="preserve"> 24 (N) (7)(f), s 24 N (8), s 24 (R) (1)</w:t>
      </w:r>
      <w:r w:rsidR="001D7610">
        <w:rPr>
          <w:rFonts w:ascii="Arial" w:hAnsi="Arial" w:cs="Arial"/>
          <w:iCs/>
          <w:sz w:val="24"/>
          <w:szCs w:val="24"/>
        </w:rPr>
        <w:t xml:space="preserve"> of NEMA</w:t>
      </w:r>
      <w:r w:rsidR="00ED5E65">
        <w:rPr>
          <w:rFonts w:ascii="Arial" w:hAnsi="Arial" w:cs="Arial"/>
          <w:iCs/>
          <w:sz w:val="24"/>
          <w:szCs w:val="24"/>
        </w:rPr>
        <w:t xml:space="preserve">, s 43 of MPRDA, S 19 OF NWA, s 12 (5) (a) of NEMAA, required DBCM to backfill the pit at the time that DBCM lodged its closure Application. Further that s 38 (10 (d) of the MPRDA that the Respondents further rely upon was repealed by s 31 of </w:t>
      </w:r>
      <w:r w:rsidR="001D7610">
        <w:rPr>
          <w:rFonts w:ascii="Arial" w:hAnsi="Arial" w:cs="Arial"/>
          <w:iCs/>
          <w:sz w:val="24"/>
          <w:szCs w:val="24"/>
        </w:rPr>
        <w:t xml:space="preserve"> </w:t>
      </w:r>
      <w:r w:rsidR="00ED5E65">
        <w:rPr>
          <w:rFonts w:ascii="Arial" w:hAnsi="Arial" w:cs="Arial"/>
          <w:iCs/>
          <w:sz w:val="24"/>
          <w:szCs w:val="24"/>
        </w:rPr>
        <w:t>Act 49 of 2008 which came into effect in 2013</w:t>
      </w:r>
      <w:r w:rsidR="007F6051">
        <w:rPr>
          <w:rFonts w:ascii="Arial" w:hAnsi="Arial" w:cs="Arial"/>
          <w:iCs/>
          <w:sz w:val="24"/>
          <w:szCs w:val="24"/>
        </w:rPr>
        <w:t xml:space="preserve">. It was applicable during the pre- amendment of the MPRDA.  </w:t>
      </w:r>
      <w:r w:rsidR="00ED5E65">
        <w:rPr>
          <w:rFonts w:ascii="Arial" w:hAnsi="Arial" w:cs="Arial"/>
          <w:iCs/>
          <w:sz w:val="24"/>
          <w:szCs w:val="24"/>
        </w:rPr>
        <w:t xml:space="preserve"> </w:t>
      </w:r>
    </w:p>
    <w:p w14:paraId="4DB6E243" w14:textId="54486C08" w:rsidR="00ED5E65" w:rsidRDefault="00ED5E65" w:rsidP="00B51D25">
      <w:pPr>
        <w:tabs>
          <w:tab w:val="left" w:pos="0"/>
        </w:tabs>
        <w:spacing w:after="0" w:line="360" w:lineRule="auto"/>
        <w:jc w:val="both"/>
        <w:rPr>
          <w:rFonts w:ascii="Arial" w:hAnsi="Arial" w:cs="Arial"/>
          <w:iCs/>
          <w:sz w:val="24"/>
          <w:szCs w:val="24"/>
        </w:rPr>
      </w:pPr>
    </w:p>
    <w:p w14:paraId="30B0DC01" w14:textId="5D6A19E8" w:rsidR="0034434C" w:rsidRDefault="0031026D" w:rsidP="00A32AB1">
      <w:pPr>
        <w:tabs>
          <w:tab w:val="left" w:pos="0"/>
        </w:tabs>
        <w:spacing w:after="0" w:line="360" w:lineRule="auto"/>
        <w:jc w:val="both"/>
        <w:rPr>
          <w:rFonts w:ascii="Arial" w:hAnsi="Arial" w:cs="Arial"/>
          <w:sz w:val="24"/>
          <w:szCs w:val="24"/>
        </w:rPr>
      </w:pPr>
      <w:r>
        <w:rPr>
          <w:rFonts w:ascii="Arial" w:hAnsi="Arial" w:cs="Arial"/>
          <w:iCs/>
          <w:sz w:val="24"/>
          <w:szCs w:val="24"/>
        </w:rPr>
        <w:t>[</w:t>
      </w:r>
      <w:r w:rsidR="00636B62">
        <w:rPr>
          <w:rFonts w:ascii="Arial" w:hAnsi="Arial" w:cs="Arial"/>
          <w:iCs/>
          <w:sz w:val="24"/>
          <w:szCs w:val="24"/>
        </w:rPr>
        <w:t>94</w:t>
      </w:r>
      <w:r w:rsidR="00ED5E65">
        <w:rPr>
          <w:rFonts w:ascii="Arial" w:hAnsi="Arial" w:cs="Arial"/>
          <w:iCs/>
          <w:sz w:val="24"/>
          <w:szCs w:val="24"/>
        </w:rPr>
        <w:t>]</w:t>
      </w:r>
      <w:r w:rsidR="00ED5E65">
        <w:rPr>
          <w:rFonts w:ascii="Arial" w:hAnsi="Arial" w:cs="Arial"/>
          <w:iCs/>
          <w:sz w:val="24"/>
          <w:szCs w:val="24"/>
        </w:rPr>
        <w:tab/>
      </w:r>
      <w:r w:rsidR="005C5845" w:rsidRPr="00636B62">
        <w:rPr>
          <w:rFonts w:ascii="Arial" w:hAnsi="Arial" w:cs="Arial"/>
          <w:iCs/>
          <w:sz w:val="24"/>
          <w:szCs w:val="24"/>
        </w:rPr>
        <w:t>DBCM</w:t>
      </w:r>
      <w:r w:rsidR="0034434C" w:rsidRPr="00636B62">
        <w:rPr>
          <w:rFonts w:ascii="Arial" w:hAnsi="Arial" w:cs="Arial"/>
          <w:iCs/>
          <w:sz w:val="24"/>
          <w:szCs w:val="24"/>
        </w:rPr>
        <w:t>,</w:t>
      </w:r>
      <w:r w:rsidR="005C5845" w:rsidRPr="00636B62">
        <w:rPr>
          <w:rFonts w:ascii="Arial" w:hAnsi="Arial" w:cs="Arial"/>
          <w:iCs/>
          <w:sz w:val="24"/>
          <w:szCs w:val="24"/>
        </w:rPr>
        <w:t xml:space="preserve"> </w:t>
      </w:r>
      <w:r w:rsidR="0034434C" w:rsidRPr="00636B62">
        <w:rPr>
          <w:rFonts w:ascii="Arial" w:hAnsi="Arial" w:cs="Arial"/>
          <w:iCs/>
          <w:sz w:val="24"/>
          <w:szCs w:val="24"/>
        </w:rPr>
        <w:t xml:space="preserve">based on the doctrine of subsidiary, </w:t>
      </w:r>
      <w:r w:rsidR="005C5845" w:rsidRPr="00636B62">
        <w:rPr>
          <w:rFonts w:ascii="Arial" w:hAnsi="Arial" w:cs="Arial"/>
          <w:iCs/>
          <w:sz w:val="24"/>
          <w:szCs w:val="24"/>
        </w:rPr>
        <w:t xml:space="preserve">contends the Respondents’ attempt to rely on the Constitution </w:t>
      </w:r>
      <w:r w:rsidR="0034434C" w:rsidRPr="00636B62">
        <w:rPr>
          <w:rFonts w:ascii="Arial" w:hAnsi="Arial" w:cs="Arial"/>
          <w:iCs/>
          <w:sz w:val="24"/>
          <w:szCs w:val="24"/>
        </w:rPr>
        <w:t>on the point of consultation</w:t>
      </w:r>
      <w:r w:rsidR="0034434C">
        <w:rPr>
          <w:rFonts w:ascii="Arial" w:hAnsi="Arial" w:cs="Arial"/>
          <w:iCs/>
          <w:sz w:val="24"/>
          <w:szCs w:val="24"/>
        </w:rPr>
        <w:t xml:space="preserve">, </w:t>
      </w:r>
      <w:r w:rsidR="005C5845">
        <w:rPr>
          <w:rFonts w:ascii="Arial" w:hAnsi="Arial" w:cs="Arial"/>
          <w:iCs/>
          <w:sz w:val="24"/>
          <w:szCs w:val="24"/>
        </w:rPr>
        <w:t xml:space="preserve">when there are statutes that governs the situation. </w:t>
      </w:r>
      <w:r w:rsidR="0034434C">
        <w:rPr>
          <w:rFonts w:ascii="Arial" w:hAnsi="Arial" w:cs="Arial"/>
          <w:iCs/>
          <w:sz w:val="24"/>
          <w:szCs w:val="24"/>
        </w:rPr>
        <w:t xml:space="preserve">Also argues that the lack of consultation is not relevant to the validity of the decision challenged by DBCM. </w:t>
      </w:r>
      <w:r w:rsidR="0034434C">
        <w:rPr>
          <w:rFonts w:ascii="Arial" w:hAnsi="Arial" w:cs="Arial"/>
          <w:sz w:val="24"/>
          <w:szCs w:val="24"/>
        </w:rPr>
        <w:t xml:space="preserve">The decision to approve the amended </w:t>
      </w:r>
      <w:r w:rsidR="0034434C">
        <w:rPr>
          <w:rFonts w:ascii="Arial" w:hAnsi="Arial" w:cs="Arial"/>
          <w:sz w:val="24"/>
          <w:szCs w:val="24"/>
        </w:rPr>
        <w:lastRenderedPageBreak/>
        <w:t xml:space="preserve">DBCM’S EMP has </w:t>
      </w:r>
      <w:r w:rsidR="00B30A6D">
        <w:rPr>
          <w:rFonts w:ascii="Arial" w:hAnsi="Arial" w:cs="Arial"/>
          <w:sz w:val="24"/>
          <w:szCs w:val="24"/>
        </w:rPr>
        <w:t xml:space="preserve">also </w:t>
      </w:r>
      <w:r w:rsidR="0034434C">
        <w:rPr>
          <w:rFonts w:ascii="Arial" w:hAnsi="Arial" w:cs="Arial"/>
          <w:sz w:val="24"/>
          <w:szCs w:val="24"/>
        </w:rPr>
        <w:t>not been challenged</w:t>
      </w:r>
      <w:r w:rsidR="0034434C">
        <w:rPr>
          <w:rFonts w:ascii="Arial" w:hAnsi="Arial" w:cs="Arial"/>
          <w:iCs/>
          <w:sz w:val="24"/>
          <w:szCs w:val="24"/>
        </w:rPr>
        <w:t xml:space="preserve"> </w:t>
      </w:r>
      <w:r w:rsidR="0034434C">
        <w:rPr>
          <w:rFonts w:ascii="Arial" w:hAnsi="Arial" w:cs="Arial"/>
          <w:sz w:val="24"/>
          <w:szCs w:val="24"/>
        </w:rPr>
        <w:t xml:space="preserve">in judicial proceedings and no factual allegation by the Respondents that it was ever challenged. </w:t>
      </w:r>
    </w:p>
    <w:p w14:paraId="61F08BC4" w14:textId="77777777" w:rsidR="0034434C" w:rsidRDefault="0034434C" w:rsidP="00A32AB1">
      <w:pPr>
        <w:tabs>
          <w:tab w:val="left" w:pos="0"/>
        </w:tabs>
        <w:spacing w:after="0" w:line="360" w:lineRule="auto"/>
        <w:jc w:val="both"/>
        <w:rPr>
          <w:rFonts w:ascii="Arial" w:hAnsi="Arial" w:cs="Arial"/>
          <w:sz w:val="24"/>
          <w:szCs w:val="24"/>
        </w:rPr>
      </w:pPr>
    </w:p>
    <w:p w14:paraId="3B4EB745" w14:textId="5176A3ED" w:rsidR="005C5845" w:rsidRDefault="0031026D" w:rsidP="00A32AB1">
      <w:pPr>
        <w:tabs>
          <w:tab w:val="left" w:pos="0"/>
        </w:tabs>
        <w:spacing w:after="0" w:line="360" w:lineRule="auto"/>
        <w:jc w:val="both"/>
        <w:rPr>
          <w:rFonts w:ascii="Arial" w:hAnsi="Arial" w:cs="Arial"/>
          <w:iCs/>
          <w:sz w:val="24"/>
          <w:szCs w:val="24"/>
        </w:rPr>
      </w:pPr>
      <w:r>
        <w:rPr>
          <w:rFonts w:ascii="Arial" w:hAnsi="Arial" w:cs="Arial"/>
          <w:sz w:val="24"/>
          <w:szCs w:val="24"/>
        </w:rPr>
        <w:t>[</w:t>
      </w:r>
      <w:r w:rsidR="00636B62">
        <w:rPr>
          <w:rFonts w:ascii="Arial" w:hAnsi="Arial" w:cs="Arial"/>
          <w:sz w:val="24"/>
          <w:szCs w:val="24"/>
        </w:rPr>
        <w:t>95</w:t>
      </w:r>
      <w:r w:rsidR="0034434C">
        <w:rPr>
          <w:rFonts w:ascii="Arial" w:hAnsi="Arial" w:cs="Arial"/>
          <w:sz w:val="24"/>
          <w:szCs w:val="24"/>
        </w:rPr>
        <w:t>]</w:t>
      </w:r>
      <w:r w:rsidR="0034434C">
        <w:rPr>
          <w:rFonts w:ascii="Arial" w:hAnsi="Arial" w:cs="Arial"/>
          <w:sz w:val="24"/>
          <w:szCs w:val="24"/>
        </w:rPr>
        <w:tab/>
        <w:t xml:space="preserve">DBCM contends that the Respondent’s reliance on the earlier decisions to allege delay on DBCM to lodge </w:t>
      </w:r>
      <w:r w:rsidR="00B30A6D">
        <w:rPr>
          <w:rFonts w:ascii="Arial" w:hAnsi="Arial" w:cs="Arial"/>
          <w:sz w:val="24"/>
          <w:szCs w:val="24"/>
        </w:rPr>
        <w:t xml:space="preserve">the </w:t>
      </w:r>
      <w:r w:rsidR="0034434C">
        <w:rPr>
          <w:rFonts w:ascii="Arial" w:hAnsi="Arial" w:cs="Arial"/>
          <w:sz w:val="24"/>
          <w:szCs w:val="24"/>
        </w:rPr>
        <w:t xml:space="preserve">appeal </w:t>
      </w:r>
      <w:r w:rsidR="00B30A6D">
        <w:rPr>
          <w:rFonts w:ascii="Arial" w:hAnsi="Arial" w:cs="Arial"/>
          <w:sz w:val="24"/>
          <w:szCs w:val="24"/>
        </w:rPr>
        <w:t xml:space="preserve">within the period provided by the MPRDA </w:t>
      </w:r>
      <w:r>
        <w:rPr>
          <w:rFonts w:ascii="Arial" w:hAnsi="Arial" w:cs="Arial"/>
          <w:sz w:val="24"/>
          <w:szCs w:val="24"/>
        </w:rPr>
        <w:t xml:space="preserve">(which is 30 days) </w:t>
      </w:r>
      <w:r w:rsidR="0034434C">
        <w:rPr>
          <w:rFonts w:ascii="Arial" w:hAnsi="Arial" w:cs="Arial"/>
          <w:sz w:val="24"/>
          <w:szCs w:val="24"/>
        </w:rPr>
        <w:t xml:space="preserve">is ineffectual as there was a decision made in </w:t>
      </w:r>
      <w:r w:rsidR="00757FAF">
        <w:rPr>
          <w:rFonts w:ascii="Arial" w:hAnsi="Arial" w:cs="Arial"/>
          <w:sz w:val="24"/>
          <w:szCs w:val="24"/>
        </w:rPr>
        <w:t xml:space="preserve">6 </w:t>
      </w:r>
      <w:r w:rsidR="0034434C">
        <w:rPr>
          <w:rFonts w:ascii="Arial" w:hAnsi="Arial" w:cs="Arial"/>
          <w:sz w:val="24"/>
          <w:szCs w:val="24"/>
        </w:rPr>
        <w:t>Ju</w:t>
      </w:r>
      <w:r w:rsidR="00B30A6D">
        <w:rPr>
          <w:rFonts w:ascii="Arial" w:hAnsi="Arial" w:cs="Arial"/>
          <w:sz w:val="24"/>
          <w:szCs w:val="24"/>
        </w:rPr>
        <w:t>ne</w:t>
      </w:r>
      <w:r w:rsidR="0034434C">
        <w:rPr>
          <w:rFonts w:ascii="Arial" w:hAnsi="Arial" w:cs="Arial"/>
          <w:sz w:val="24"/>
          <w:szCs w:val="24"/>
        </w:rPr>
        <w:t xml:space="preserve"> 2020</w:t>
      </w:r>
      <w:r w:rsidR="00B30A6D">
        <w:rPr>
          <w:rFonts w:ascii="Arial" w:hAnsi="Arial" w:cs="Arial"/>
          <w:sz w:val="24"/>
          <w:szCs w:val="24"/>
        </w:rPr>
        <w:t xml:space="preserve"> replacing the previous decisions, which </w:t>
      </w:r>
      <w:r w:rsidR="00DA6C48">
        <w:rPr>
          <w:rFonts w:ascii="Arial" w:hAnsi="Arial" w:cs="Arial"/>
          <w:sz w:val="24"/>
          <w:szCs w:val="24"/>
        </w:rPr>
        <w:t xml:space="preserve">is the decision that </w:t>
      </w:r>
      <w:r w:rsidR="00B30A6D">
        <w:rPr>
          <w:rFonts w:ascii="Arial" w:hAnsi="Arial" w:cs="Arial"/>
          <w:sz w:val="24"/>
          <w:szCs w:val="24"/>
        </w:rPr>
        <w:t xml:space="preserve">DBCM </w:t>
      </w:r>
      <w:r w:rsidR="00DA6C48">
        <w:rPr>
          <w:rFonts w:ascii="Arial" w:hAnsi="Arial" w:cs="Arial"/>
          <w:sz w:val="24"/>
          <w:szCs w:val="24"/>
        </w:rPr>
        <w:t xml:space="preserve">is </w:t>
      </w:r>
      <w:r w:rsidR="00B30A6D">
        <w:rPr>
          <w:rFonts w:ascii="Arial" w:hAnsi="Arial" w:cs="Arial"/>
          <w:sz w:val="24"/>
          <w:szCs w:val="24"/>
        </w:rPr>
        <w:t>challenging</w:t>
      </w:r>
      <w:r w:rsidR="00514ACF">
        <w:rPr>
          <w:rFonts w:ascii="Arial" w:hAnsi="Arial" w:cs="Arial"/>
          <w:sz w:val="24"/>
          <w:szCs w:val="24"/>
        </w:rPr>
        <w:t xml:space="preserve"> and </w:t>
      </w:r>
      <w:r w:rsidR="00B30A6D">
        <w:rPr>
          <w:rFonts w:ascii="Arial" w:hAnsi="Arial" w:cs="Arial"/>
          <w:sz w:val="24"/>
          <w:szCs w:val="24"/>
        </w:rPr>
        <w:t>the 2</w:t>
      </w:r>
      <w:r w:rsidR="00B30A6D" w:rsidRPr="00B30A6D">
        <w:rPr>
          <w:rFonts w:ascii="Arial" w:hAnsi="Arial" w:cs="Arial"/>
          <w:sz w:val="24"/>
          <w:szCs w:val="24"/>
          <w:vertAlign w:val="superscript"/>
        </w:rPr>
        <w:t>nd</w:t>
      </w:r>
      <w:r w:rsidR="00B30A6D">
        <w:rPr>
          <w:rFonts w:ascii="Arial" w:hAnsi="Arial" w:cs="Arial"/>
          <w:sz w:val="24"/>
          <w:szCs w:val="24"/>
        </w:rPr>
        <w:t xml:space="preserve"> Respondent’s failure to process the internal appeal.   </w:t>
      </w:r>
      <w:r w:rsidR="0034434C">
        <w:rPr>
          <w:rFonts w:ascii="Arial" w:hAnsi="Arial" w:cs="Arial"/>
          <w:sz w:val="24"/>
          <w:szCs w:val="24"/>
        </w:rPr>
        <w:t xml:space="preserve">   </w:t>
      </w:r>
    </w:p>
    <w:p w14:paraId="4FA41CB7" w14:textId="5B14437A" w:rsidR="005C5845" w:rsidRDefault="005C5845" w:rsidP="00A32AB1">
      <w:pPr>
        <w:tabs>
          <w:tab w:val="left" w:pos="0"/>
        </w:tabs>
        <w:spacing w:after="0" w:line="360" w:lineRule="auto"/>
        <w:jc w:val="both"/>
        <w:rPr>
          <w:rFonts w:ascii="Arial" w:hAnsi="Arial" w:cs="Arial"/>
          <w:iCs/>
          <w:sz w:val="24"/>
          <w:szCs w:val="24"/>
        </w:rPr>
      </w:pPr>
    </w:p>
    <w:p w14:paraId="336D7710" w14:textId="6204AC81" w:rsidR="0031026D" w:rsidRPr="0031026D" w:rsidRDefault="0031026D" w:rsidP="00A32AB1">
      <w:pPr>
        <w:tabs>
          <w:tab w:val="left" w:pos="0"/>
        </w:tabs>
        <w:spacing w:after="0" w:line="360" w:lineRule="auto"/>
        <w:jc w:val="both"/>
        <w:rPr>
          <w:rFonts w:ascii="Arial" w:hAnsi="Arial" w:cs="Arial"/>
          <w:b/>
          <w:iCs/>
          <w:sz w:val="24"/>
          <w:szCs w:val="24"/>
        </w:rPr>
      </w:pPr>
      <w:r w:rsidRPr="0031026D">
        <w:rPr>
          <w:rFonts w:ascii="Arial" w:hAnsi="Arial" w:cs="Arial"/>
          <w:b/>
          <w:iCs/>
          <w:sz w:val="24"/>
          <w:szCs w:val="24"/>
        </w:rPr>
        <w:t xml:space="preserve">Determinable Issues </w:t>
      </w:r>
    </w:p>
    <w:p w14:paraId="6B3116DE" w14:textId="2B869E29" w:rsidR="005C5845" w:rsidRDefault="005C5845" w:rsidP="00A32AB1">
      <w:pPr>
        <w:tabs>
          <w:tab w:val="left" w:pos="0"/>
        </w:tabs>
        <w:spacing w:after="0" w:line="360" w:lineRule="auto"/>
        <w:jc w:val="both"/>
        <w:rPr>
          <w:rFonts w:ascii="Arial" w:hAnsi="Arial" w:cs="Arial"/>
          <w:iCs/>
          <w:sz w:val="24"/>
          <w:szCs w:val="24"/>
        </w:rPr>
      </w:pPr>
    </w:p>
    <w:p w14:paraId="141BFAF0" w14:textId="0BAA691C" w:rsidR="0031026D" w:rsidRDefault="0031026D" w:rsidP="0031026D">
      <w:pPr>
        <w:tabs>
          <w:tab w:val="left" w:pos="0"/>
        </w:tabs>
        <w:spacing w:after="0" w:line="360" w:lineRule="auto"/>
        <w:jc w:val="both"/>
        <w:rPr>
          <w:rFonts w:ascii="Arial" w:hAnsi="Arial" w:cs="Arial"/>
          <w:iCs/>
          <w:sz w:val="24"/>
          <w:szCs w:val="24"/>
        </w:rPr>
      </w:pPr>
      <w:r>
        <w:rPr>
          <w:rFonts w:ascii="Arial" w:hAnsi="Arial" w:cs="Arial"/>
          <w:iCs/>
          <w:sz w:val="24"/>
          <w:szCs w:val="24"/>
        </w:rPr>
        <w:t>[</w:t>
      </w:r>
      <w:r w:rsidR="00E8780A">
        <w:rPr>
          <w:rFonts w:ascii="Arial" w:hAnsi="Arial" w:cs="Arial"/>
          <w:iCs/>
          <w:sz w:val="24"/>
          <w:szCs w:val="24"/>
        </w:rPr>
        <w:t>9</w:t>
      </w:r>
      <w:r w:rsidR="001063F6">
        <w:rPr>
          <w:rFonts w:ascii="Arial" w:hAnsi="Arial" w:cs="Arial"/>
          <w:iCs/>
          <w:sz w:val="24"/>
          <w:szCs w:val="24"/>
        </w:rPr>
        <w:t>6</w:t>
      </w:r>
      <w:r>
        <w:rPr>
          <w:rFonts w:ascii="Arial" w:hAnsi="Arial" w:cs="Arial"/>
          <w:iCs/>
          <w:sz w:val="24"/>
          <w:szCs w:val="24"/>
        </w:rPr>
        <w:t>]</w:t>
      </w:r>
      <w:r>
        <w:rPr>
          <w:rFonts w:ascii="Arial" w:hAnsi="Arial" w:cs="Arial"/>
          <w:iCs/>
          <w:sz w:val="24"/>
          <w:szCs w:val="24"/>
        </w:rPr>
        <w:tab/>
        <w:t>The</w:t>
      </w:r>
      <w:r w:rsidR="00AF14AC">
        <w:rPr>
          <w:rFonts w:ascii="Arial" w:hAnsi="Arial" w:cs="Arial"/>
          <w:iCs/>
          <w:sz w:val="24"/>
          <w:szCs w:val="24"/>
        </w:rPr>
        <w:t xml:space="preserve"> </w:t>
      </w:r>
      <w:r>
        <w:rPr>
          <w:rFonts w:ascii="Arial" w:hAnsi="Arial" w:cs="Arial"/>
          <w:iCs/>
          <w:sz w:val="24"/>
          <w:szCs w:val="24"/>
        </w:rPr>
        <w:t>issues to be determined arising from the various contestations raised by the parties are the following:</w:t>
      </w:r>
    </w:p>
    <w:p w14:paraId="0AEF7FD8" w14:textId="77777777" w:rsidR="0031026D" w:rsidRDefault="0031026D" w:rsidP="0031026D">
      <w:pPr>
        <w:tabs>
          <w:tab w:val="left" w:pos="0"/>
        </w:tabs>
        <w:spacing w:after="0" w:line="360" w:lineRule="auto"/>
        <w:ind w:left="1440" w:hanging="1440"/>
        <w:jc w:val="both"/>
        <w:rPr>
          <w:rFonts w:ascii="Arial" w:hAnsi="Arial" w:cs="Arial"/>
          <w:iCs/>
          <w:sz w:val="24"/>
          <w:szCs w:val="24"/>
        </w:rPr>
      </w:pPr>
      <w:r>
        <w:rPr>
          <w:rFonts w:ascii="Arial" w:hAnsi="Arial" w:cs="Arial"/>
          <w:iCs/>
          <w:sz w:val="24"/>
          <w:szCs w:val="24"/>
        </w:rPr>
        <w:tab/>
      </w:r>
    </w:p>
    <w:p w14:paraId="0E04F428" w14:textId="16383C6E" w:rsidR="0031026D" w:rsidRPr="00765E62" w:rsidRDefault="00765E62" w:rsidP="00765E62">
      <w:pPr>
        <w:tabs>
          <w:tab w:val="left" w:pos="0"/>
        </w:tabs>
        <w:spacing w:after="0" w:line="360" w:lineRule="auto"/>
        <w:ind w:left="1440"/>
        <w:jc w:val="both"/>
        <w:rPr>
          <w:rFonts w:ascii="Arial" w:hAnsi="Arial" w:cs="Arial"/>
          <w:iCs/>
          <w:sz w:val="24"/>
          <w:szCs w:val="24"/>
        </w:rPr>
      </w:pPr>
      <w:r w:rsidRPr="001D7610">
        <w:rPr>
          <w:rFonts w:ascii="Arial" w:hAnsi="Arial" w:cs="Arial"/>
          <w:iCs/>
          <w:sz w:val="24"/>
          <w:szCs w:val="24"/>
        </w:rPr>
        <w:t>(a)</w:t>
      </w:r>
      <w:r w:rsidRPr="001D7610">
        <w:rPr>
          <w:rFonts w:ascii="Arial" w:hAnsi="Arial" w:cs="Arial"/>
          <w:iCs/>
          <w:sz w:val="24"/>
          <w:szCs w:val="24"/>
        </w:rPr>
        <w:tab/>
      </w:r>
      <w:r w:rsidR="0031026D" w:rsidRPr="00765E62">
        <w:rPr>
          <w:rFonts w:ascii="Arial" w:hAnsi="Arial" w:cs="Arial"/>
          <w:iCs/>
          <w:sz w:val="24"/>
          <w:szCs w:val="24"/>
        </w:rPr>
        <w:t>Whether 1</w:t>
      </w:r>
      <w:r w:rsidR="0031026D" w:rsidRPr="00765E62">
        <w:rPr>
          <w:rFonts w:ascii="Arial" w:hAnsi="Arial" w:cs="Arial"/>
          <w:iCs/>
          <w:sz w:val="24"/>
          <w:szCs w:val="24"/>
          <w:vertAlign w:val="superscript"/>
        </w:rPr>
        <w:t>st</w:t>
      </w:r>
      <w:r w:rsidR="0031026D" w:rsidRPr="00765E62">
        <w:rPr>
          <w:rFonts w:ascii="Arial" w:hAnsi="Arial" w:cs="Arial"/>
          <w:iCs/>
          <w:sz w:val="24"/>
          <w:szCs w:val="24"/>
        </w:rPr>
        <w:t xml:space="preserve"> Respondent (or the Regional Manager) has the </w:t>
      </w:r>
      <w:r w:rsidR="00C74152" w:rsidRPr="00765E62">
        <w:rPr>
          <w:rFonts w:ascii="Arial" w:hAnsi="Arial" w:cs="Arial"/>
          <w:iCs/>
          <w:sz w:val="24"/>
          <w:szCs w:val="24"/>
        </w:rPr>
        <w:t xml:space="preserve">authority </w:t>
      </w:r>
      <w:r w:rsidR="0031026D" w:rsidRPr="00765E62">
        <w:rPr>
          <w:rFonts w:ascii="Arial" w:hAnsi="Arial" w:cs="Arial"/>
          <w:iCs/>
          <w:sz w:val="24"/>
          <w:szCs w:val="24"/>
        </w:rPr>
        <w:t>to depose to the answering affidavit and oppose the Application on behalf of the 2</w:t>
      </w:r>
      <w:r w:rsidR="0031026D" w:rsidRPr="00765E62">
        <w:rPr>
          <w:rFonts w:ascii="Arial" w:hAnsi="Arial" w:cs="Arial"/>
          <w:iCs/>
          <w:sz w:val="24"/>
          <w:szCs w:val="24"/>
          <w:vertAlign w:val="superscript"/>
        </w:rPr>
        <w:t>nd</w:t>
      </w:r>
      <w:r w:rsidR="0031026D" w:rsidRPr="00765E62">
        <w:rPr>
          <w:rFonts w:ascii="Arial" w:hAnsi="Arial" w:cs="Arial"/>
          <w:iCs/>
          <w:sz w:val="24"/>
          <w:szCs w:val="24"/>
        </w:rPr>
        <w:t xml:space="preserve"> </w:t>
      </w:r>
      <w:r w:rsidR="00757FAF" w:rsidRPr="00765E62">
        <w:rPr>
          <w:rFonts w:ascii="Arial" w:hAnsi="Arial" w:cs="Arial"/>
          <w:iCs/>
          <w:sz w:val="24"/>
          <w:szCs w:val="24"/>
        </w:rPr>
        <w:t>and 3</w:t>
      </w:r>
      <w:r w:rsidR="00757FAF" w:rsidRPr="00765E62">
        <w:rPr>
          <w:rFonts w:ascii="Arial" w:hAnsi="Arial" w:cs="Arial"/>
          <w:iCs/>
          <w:sz w:val="24"/>
          <w:szCs w:val="24"/>
          <w:vertAlign w:val="superscript"/>
        </w:rPr>
        <w:t>rd</w:t>
      </w:r>
      <w:r w:rsidR="00757FAF" w:rsidRPr="00765E62">
        <w:rPr>
          <w:rFonts w:ascii="Arial" w:hAnsi="Arial" w:cs="Arial"/>
          <w:iCs/>
          <w:sz w:val="24"/>
          <w:szCs w:val="24"/>
        </w:rPr>
        <w:t xml:space="preserve"> Respondent</w:t>
      </w:r>
      <w:r w:rsidR="0031026D" w:rsidRPr="00765E62">
        <w:rPr>
          <w:rFonts w:ascii="Arial" w:hAnsi="Arial" w:cs="Arial"/>
          <w:iCs/>
          <w:sz w:val="24"/>
          <w:szCs w:val="24"/>
        </w:rPr>
        <w:t xml:space="preserve">, </w:t>
      </w:r>
      <w:r w:rsidR="00757FAF" w:rsidRPr="00765E62">
        <w:rPr>
          <w:rFonts w:ascii="Arial" w:hAnsi="Arial" w:cs="Arial"/>
          <w:iCs/>
          <w:sz w:val="24"/>
          <w:szCs w:val="24"/>
        </w:rPr>
        <w:t>(</w:t>
      </w:r>
      <w:r w:rsidR="0031026D" w:rsidRPr="00765E62">
        <w:rPr>
          <w:rFonts w:ascii="Arial" w:hAnsi="Arial" w:cs="Arial"/>
          <w:iCs/>
          <w:sz w:val="24"/>
          <w:szCs w:val="24"/>
        </w:rPr>
        <w:t xml:space="preserve">the Director General </w:t>
      </w:r>
      <w:r w:rsidR="00757FAF" w:rsidRPr="00765E62">
        <w:rPr>
          <w:rFonts w:ascii="Arial" w:hAnsi="Arial" w:cs="Arial"/>
          <w:iCs/>
          <w:sz w:val="24"/>
          <w:szCs w:val="24"/>
        </w:rPr>
        <w:t xml:space="preserve">and the </w:t>
      </w:r>
      <w:r w:rsidR="0031026D" w:rsidRPr="00765E62">
        <w:rPr>
          <w:rFonts w:ascii="Arial" w:hAnsi="Arial" w:cs="Arial"/>
          <w:iCs/>
          <w:sz w:val="24"/>
          <w:szCs w:val="24"/>
        </w:rPr>
        <w:t>Minister);</w:t>
      </w:r>
    </w:p>
    <w:p w14:paraId="419AA4CD" w14:textId="72D5103E" w:rsidR="0031026D" w:rsidRDefault="0031026D" w:rsidP="0031026D">
      <w:pPr>
        <w:tabs>
          <w:tab w:val="left" w:pos="0"/>
        </w:tabs>
        <w:spacing w:after="0" w:line="360" w:lineRule="auto"/>
        <w:ind w:left="1440" w:hanging="1440"/>
        <w:jc w:val="both"/>
        <w:rPr>
          <w:rFonts w:ascii="Arial" w:hAnsi="Arial" w:cs="Arial"/>
          <w:iCs/>
          <w:sz w:val="24"/>
          <w:szCs w:val="24"/>
        </w:rPr>
      </w:pPr>
    </w:p>
    <w:p w14:paraId="037465F7" w14:textId="63C5640F" w:rsidR="00551C98" w:rsidRPr="00765E62" w:rsidRDefault="00765E62" w:rsidP="00765E62">
      <w:pPr>
        <w:tabs>
          <w:tab w:val="left" w:pos="0"/>
        </w:tabs>
        <w:spacing w:after="0" w:line="360" w:lineRule="auto"/>
        <w:ind w:left="180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31026D" w:rsidRPr="00765E62">
        <w:rPr>
          <w:rFonts w:ascii="Arial" w:hAnsi="Arial" w:cs="Arial"/>
          <w:iCs/>
          <w:sz w:val="24"/>
          <w:szCs w:val="24"/>
        </w:rPr>
        <w:tab/>
      </w:r>
      <w:r w:rsidR="00551C98" w:rsidRPr="00765E62">
        <w:rPr>
          <w:rFonts w:ascii="Arial" w:hAnsi="Arial" w:cs="Arial"/>
          <w:sz w:val="24"/>
          <w:szCs w:val="24"/>
        </w:rPr>
        <w:t>Whether there is non-joinder of other parties in the application</w:t>
      </w:r>
      <w:r w:rsidR="0031026D" w:rsidRPr="00765E62">
        <w:rPr>
          <w:rFonts w:ascii="Arial" w:hAnsi="Arial" w:cs="Arial"/>
          <w:sz w:val="24"/>
          <w:szCs w:val="24"/>
        </w:rPr>
        <w:t>;</w:t>
      </w:r>
    </w:p>
    <w:p w14:paraId="4769B913" w14:textId="77777777" w:rsidR="001D7610" w:rsidRPr="001D7610" w:rsidRDefault="001D7610" w:rsidP="001D7610">
      <w:pPr>
        <w:pStyle w:val="ListParagraph"/>
        <w:rPr>
          <w:rFonts w:ascii="Arial" w:hAnsi="Arial" w:cs="Arial"/>
          <w:sz w:val="24"/>
          <w:szCs w:val="24"/>
        </w:rPr>
      </w:pPr>
    </w:p>
    <w:p w14:paraId="1789FEA0" w14:textId="2D5D6BF4" w:rsidR="0031026D" w:rsidRDefault="00950E27" w:rsidP="00950E27">
      <w:pPr>
        <w:tabs>
          <w:tab w:val="left" w:pos="0"/>
        </w:tabs>
        <w:spacing w:after="0" w:line="360" w:lineRule="auto"/>
        <w:ind w:left="1440"/>
        <w:jc w:val="both"/>
      </w:pPr>
      <w:r>
        <w:rPr>
          <w:rFonts w:ascii="Arial" w:hAnsi="Arial" w:cs="Arial"/>
          <w:sz w:val="24"/>
          <w:szCs w:val="24"/>
        </w:rPr>
        <w:t>(c)</w:t>
      </w:r>
      <w:r w:rsidR="001D7610" w:rsidRPr="00950E27">
        <w:rPr>
          <w:rFonts w:ascii="Arial" w:hAnsi="Arial" w:cs="Arial"/>
          <w:sz w:val="24"/>
          <w:szCs w:val="24"/>
        </w:rPr>
        <w:t xml:space="preserve">      </w:t>
      </w:r>
      <w:r w:rsidR="0031026D" w:rsidRPr="00950E27">
        <w:rPr>
          <w:rFonts w:ascii="Arial" w:hAnsi="Arial" w:cs="Arial"/>
          <w:sz w:val="24"/>
          <w:szCs w:val="24"/>
        </w:rPr>
        <w:t xml:space="preserve">Whether </w:t>
      </w:r>
      <w:r w:rsidR="00514ACF">
        <w:rPr>
          <w:rFonts w:ascii="Arial" w:hAnsi="Arial" w:cs="Arial"/>
          <w:sz w:val="24"/>
          <w:szCs w:val="24"/>
        </w:rPr>
        <w:t xml:space="preserve">the </w:t>
      </w:r>
      <w:r w:rsidR="0031026D" w:rsidRPr="00950E27">
        <w:rPr>
          <w:rFonts w:ascii="Arial" w:hAnsi="Arial" w:cs="Arial"/>
          <w:sz w:val="24"/>
          <w:szCs w:val="24"/>
        </w:rPr>
        <w:t>amended section 43 of the MPRDA should be applied prospectively or retrospectively</w:t>
      </w:r>
      <w:r w:rsidR="00514ACF">
        <w:rPr>
          <w:rFonts w:ascii="Arial" w:hAnsi="Arial" w:cs="Arial"/>
          <w:sz w:val="24"/>
          <w:szCs w:val="24"/>
        </w:rPr>
        <w:t xml:space="preserve"> in considering DBCM’s closure Application</w:t>
      </w:r>
      <w:r w:rsidR="00D1249C">
        <w:rPr>
          <w:rFonts w:ascii="Arial" w:hAnsi="Arial" w:cs="Arial"/>
          <w:sz w:val="24"/>
          <w:szCs w:val="24"/>
        </w:rPr>
        <w:t>;</w:t>
      </w:r>
    </w:p>
    <w:p w14:paraId="5113BBFF" w14:textId="77777777" w:rsidR="0031026D" w:rsidRDefault="0031026D" w:rsidP="0031026D">
      <w:pPr>
        <w:tabs>
          <w:tab w:val="left" w:pos="0"/>
        </w:tabs>
        <w:spacing w:after="0" w:line="360" w:lineRule="auto"/>
        <w:ind w:left="1440" w:hanging="1440"/>
        <w:jc w:val="both"/>
        <w:rPr>
          <w:rFonts w:ascii="Arial" w:hAnsi="Arial" w:cs="Arial"/>
          <w:sz w:val="24"/>
          <w:szCs w:val="24"/>
        </w:rPr>
      </w:pPr>
    </w:p>
    <w:p w14:paraId="07E265B5" w14:textId="5D50B4B8" w:rsidR="0031026D" w:rsidRDefault="00AF14AC" w:rsidP="00AF14AC">
      <w:pPr>
        <w:tabs>
          <w:tab w:val="left" w:pos="0"/>
        </w:tabs>
        <w:spacing w:after="0" w:line="360" w:lineRule="auto"/>
        <w:ind w:left="1440" w:hanging="1440"/>
        <w:jc w:val="both"/>
        <w:rPr>
          <w:rFonts w:ascii="Arial" w:hAnsi="Arial" w:cs="Arial"/>
          <w:sz w:val="24"/>
          <w:szCs w:val="24"/>
        </w:rPr>
      </w:pPr>
      <w:r>
        <w:rPr>
          <w:rFonts w:ascii="Arial" w:hAnsi="Arial" w:cs="Arial"/>
          <w:sz w:val="24"/>
          <w:szCs w:val="24"/>
        </w:rPr>
        <w:tab/>
        <w:t xml:space="preserve">(d) </w:t>
      </w:r>
      <w:r w:rsidRPr="00AF14AC">
        <w:rPr>
          <w:rFonts w:ascii="Arial" w:hAnsi="Arial" w:cs="Arial"/>
          <w:sz w:val="24"/>
          <w:szCs w:val="24"/>
        </w:rPr>
        <w:t xml:space="preserve">  </w:t>
      </w:r>
      <w:r w:rsidR="0031026D" w:rsidRPr="00AF14AC">
        <w:rPr>
          <w:rFonts w:ascii="Arial" w:hAnsi="Arial" w:cs="Arial"/>
          <w:sz w:val="24"/>
          <w:szCs w:val="24"/>
        </w:rPr>
        <w:t xml:space="preserve">Whether the </w:t>
      </w:r>
      <w:r w:rsidR="00514ACF" w:rsidRPr="00AF14AC">
        <w:rPr>
          <w:rFonts w:ascii="Arial" w:hAnsi="Arial" w:cs="Arial"/>
          <w:sz w:val="24"/>
          <w:szCs w:val="24"/>
        </w:rPr>
        <w:t>DBCM</w:t>
      </w:r>
      <w:r w:rsidR="0031026D" w:rsidRPr="00AF14AC">
        <w:rPr>
          <w:rFonts w:ascii="Arial" w:hAnsi="Arial" w:cs="Arial"/>
          <w:sz w:val="24"/>
          <w:szCs w:val="24"/>
        </w:rPr>
        <w:t xml:space="preserve"> should first exhaust the internal remedies before approaching the court</w:t>
      </w:r>
      <w:r w:rsidR="00D1249C" w:rsidRPr="00AF14AC">
        <w:rPr>
          <w:rFonts w:ascii="Arial" w:hAnsi="Arial" w:cs="Arial"/>
          <w:sz w:val="24"/>
          <w:szCs w:val="24"/>
        </w:rPr>
        <w:t xml:space="preserve"> on review</w:t>
      </w:r>
      <w:r w:rsidR="003C57F5" w:rsidRPr="00AF14AC">
        <w:rPr>
          <w:rFonts w:ascii="Arial" w:hAnsi="Arial" w:cs="Arial"/>
          <w:sz w:val="24"/>
          <w:szCs w:val="24"/>
        </w:rPr>
        <w:t xml:space="preserve"> or there is justification (exceptional circumstances and/or in the interest of justice</w:t>
      </w:r>
      <w:r w:rsidR="00514ACF" w:rsidRPr="00AF14AC">
        <w:rPr>
          <w:rFonts w:ascii="Arial" w:hAnsi="Arial" w:cs="Arial"/>
          <w:sz w:val="24"/>
          <w:szCs w:val="24"/>
        </w:rPr>
        <w:t>)</w:t>
      </w:r>
      <w:r w:rsidR="003C57F5" w:rsidRPr="00AF14AC">
        <w:rPr>
          <w:rFonts w:ascii="Arial" w:hAnsi="Arial" w:cs="Arial"/>
          <w:sz w:val="24"/>
          <w:szCs w:val="24"/>
        </w:rPr>
        <w:t xml:space="preserve"> for </w:t>
      </w:r>
      <w:r w:rsidR="00757FAF">
        <w:rPr>
          <w:rFonts w:ascii="Arial" w:hAnsi="Arial" w:cs="Arial"/>
          <w:sz w:val="24"/>
          <w:szCs w:val="24"/>
        </w:rPr>
        <w:t xml:space="preserve">an exemption, </w:t>
      </w:r>
      <w:r w:rsidR="003C57F5" w:rsidRPr="00AF14AC">
        <w:rPr>
          <w:rFonts w:ascii="Arial" w:hAnsi="Arial" w:cs="Arial"/>
          <w:sz w:val="24"/>
          <w:szCs w:val="24"/>
        </w:rPr>
        <w:t>by passing the requirements of s 96.</w:t>
      </w:r>
    </w:p>
    <w:p w14:paraId="3865D267" w14:textId="77777777" w:rsidR="00AF14AC" w:rsidRPr="00AF14AC" w:rsidRDefault="00AF14AC" w:rsidP="00AF14AC">
      <w:pPr>
        <w:tabs>
          <w:tab w:val="left" w:pos="0"/>
        </w:tabs>
        <w:spacing w:after="0" w:line="360" w:lineRule="auto"/>
        <w:ind w:left="1440" w:hanging="1440"/>
        <w:jc w:val="both"/>
        <w:rPr>
          <w:rFonts w:ascii="Arial" w:hAnsi="Arial" w:cs="Arial"/>
          <w:sz w:val="24"/>
          <w:szCs w:val="24"/>
        </w:rPr>
      </w:pPr>
    </w:p>
    <w:p w14:paraId="19986892" w14:textId="7EDCAD7D" w:rsidR="00AF14AC" w:rsidRPr="00AF14AC" w:rsidRDefault="00AF14AC" w:rsidP="00757FAF">
      <w:pPr>
        <w:tabs>
          <w:tab w:val="left" w:pos="0"/>
        </w:tabs>
        <w:spacing w:after="0" w:line="360" w:lineRule="auto"/>
        <w:ind w:left="1440" w:hanging="1440"/>
        <w:jc w:val="both"/>
        <w:rPr>
          <w:rFonts w:ascii="Arial" w:hAnsi="Arial" w:cs="Arial"/>
          <w:sz w:val="24"/>
          <w:szCs w:val="24"/>
        </w:rPr>
      </w:pPr>
      <w:r>
        <w:rPr>
          <w:rFonts w:ascii="Arial" w:hAnsi="Arial" w:cs="Arial"/>
          <w:sz w:val="24"/>
          <w:szCs w:val="24"/>
        </w:rPr>
        <w:tab/>
        <w:t>(e)</w:t>
      </w:r>
      <w:r>
        <w:rPr>
          <w:rFonts w:ascii="Arial" w:hAnsi="Arial" w:cs="Arial"/>
          <w:sz w:val="24"/>
          <w:szCs w:val="24"/>
        </w:rPr>
        <w:tab/>
        <w:t xml:space="preserve">Depending on the finding on (d) determine </w:t>
      </w:r>
      <w:r w:rsidR="00757FAF">
        <w:rPr>
          <w:rFonts w:ascii="Arial" w:hAnsi="Arial" w:cs="Arial"/>
          <w:sz w:val="24"/>
          <w:szCs w:val="24"/>
        </w:rPr>
        <w:t>whether a case has been made for a</w:t>
      </w:r>
      <w:r>
        <w:rPr>
          <w:rFonts w:ascii="Arial" w:hAnsi="Arial" w:cs="Arial"/>
          <w:sz w:val="24"/>
          <w:szCs w:val="24"/>
        </w:rPr>
        <w:t xml:space="preserve"> review Application</w:t>
      </w:r>
      <w:r w:rsidR="00855C53">
        <w:rPr>
          <w:rFonts w:ascii="Arial" w:hAnsi="Arial" w:cs="Arial"/>
          <w:sz w:val="24"/>
          <w:szCs w:val="24"/>
        </w:rPr>
        <w:t>.</w:t>
      </w:r>
      <w:r>
        <w:rPr>
          <w:rFonts w:ascii="Arial" w:hAnsi="Arial" w:cs="Arial"/>
          <w:sz w:val="24"/>
          <w:szCs w:val="24"/>
        </w:rPr>
        <w:t xml:space="preserve"> </w:t>
      </w:r>
    </w:p>
    <w:p w14:paraId="708CF332" w14:textId="77777777" w:rsidR="0031026D" w:rsidRPr="00A32AB1" w:rsidRDefault="0031026D" w:rsidP="0031026D">
      <w:pPr>
        <w:pStyle w:val="ListParagraph"/>
        <w:tabs>
          <w:tab w:val="left" w:pos="567"/>
        </w:tabs>
        <w:spacing w:after="0" w:line="360" w:lineRule="auto"/>
        <w:ind w:left="2007"/>
        <w:jc w:val="both"/>
        <w:rPr>
          <w:rFonts w:ascii="Arial" w:hAnsi="Arial" w:cs="Arial"/>
          <w:sz w:val="24"/>
          <w:szCs w:val="24"/>
        </w:rPr>
      </w:pPr>
    </w:p>
    <w:p w14:paraId="05A6D774" w14:textId="26888A4F" w:rsidR="0037379C" w:rsidRPr="0031026D" w:rsidRDefault="0031026D" w:rsidP="00A32AB1">
      <w:pPr>
        <w:tabs>
          <w:tab w:val="left" w:pos="0"/>
        </w:tabs>
        <w:spacing w:after="0" w:line="360" w:lineRule="auto"/>
        <w:jc w:val="both"/>
        <w:rPr>
          <w:rFonts w:ascii="Arial" w:hAnsi="Arial" w:cs="Arial"/>
          <w:b/>
          <w:sz w:val="24"/>
          <w:szCs w:val="24"/>
        </w:rPr>
      </w:pPr>
      <w:r w:rsidRPr="0031026D">
        <w:rPr>
          <w:rFonts w:ascii="Arial" w:hAnsi="Arial" w:cs="Arial"/>
          <w:b/>
          <w:sz w:val="24"/>
          <w:szCs w:val="24"/>
        </w:rPr>
        <w:lastRenderedPageBreak/>
        <w:t>1</w:t>
      </w:r>
      <w:r w:rsidRPr="0031026D">
        <w:rPr>
          <w:rFonts w:ascii="Arial" w:hAnsi="Arial" w:cs="Arial"/>
          <w:b/>
          <w:sz w:val="24"/>
          <w:szCs w:val="24"/>
          <w:vertAlign w:val="superscript"/>
        </w:rPr>
        <w:t xml:space="preserve">st </w:t>
      </w:r>
      <w:r w:rsidRPr="0031026D">
        <w:rPr>
          <w:rFonts w:ascii="Arial" w:hAnsi="Arial" w:cs="Arial"/>
          <w:b/>
          <w:sz w:val="24"/>
          <w:szCs w:val="24"/>
        </w:rPr>
        <w:t>Responden</w:t>
      </w:r>
      <w:r>
        <w:rPr>
          <w:rFonts w:ascii="Arial" w:hAnsi="Arial" w:cs="Arial"/>
          <w:b/>
          <w:sz w:val="24"/>
          <w:szCs w:val="24"/>
        </w:rPr>
        <w:t>t</w:t>
      </w:r>
      <w:r w:rsidRPr="0031026D">
        <w:rPr>
          <w:rFonts w:ascii="Arial" w:hAnsi="Arial" w:cs="Arial"/>
          <w:b/>
          <w:sz w:val="24"/>
          <w:szCs w:val="24"/>
        </w:rPr>
        <w:t>’s l</w:t>
      </w:r>
      <w:r w:rsidR="00423412" w:rsidRPr="0031026D">
        <w:rPr>
          <w:rFonts w:ascii="Arial" w:hAnsi="Arial" w:cs="Arial"/>
          <w:b/>
          <w:sz w:val="24"/>
          <w:szCs w:val="24"/>
        </w:rPr>
        <w:t xml:space="preserve">ack of </w:t>
      </w:r>
      <w:r w:rsidRPr="0031026D">
        <w:rPr>
          <w:rFonts w:ascii="Arial" w:hAnsi="Arial" w:cs="Arial"/>
          <w:b/>
          <w:sz w:val="24"/>
          <w:szCs w:val="24"/>
        </w:rPr>
        <w:t>a</w:t>
      </w:r>
      <w:r w:rsidR="00423412" w:rsidRPr="0031026D">
        <w:rPr>
          <w:rFonts w:ascii="Arial" w:hAnsi="Arial" w:cs="Arial"/>
          <w:b/>
          <w:sz w:val="24"/>
          <w:szCs w:val="24"/>
        </w:rPr>
        <w:t>uthority</w:t>
      </w:r>
      <w:r w:rsidR="00551C98" w:rsidRPr="0031026D">
        <w:rPr>
          <w:rFonts w:ascii="Arial" w:hAnsi="Arial" w:cs="Arial"/>
          <w:b/>
          <w:sz w:val="24"/>
          <w:szCs w:val="24"/>
        </w:rPr>
        <w:t xml:space="preserve"> </w:t>
      </w:r>
    </w:p>
    <w:p w14:paraId="4E541A21" w14:textId="77777777" w:rsidR="0031026D" w:rsidRDefault="0031026D" w:rsidP="0031026D">
      <w:pPr>
        <w:pStyle w:val="ListParagraph"/>
        <w:tabs>
          <w:tab w:val="left" w:pos="0"/>
        </w:tabs>
        <w:spacing w:after="0" w:line="360" w:lineRule="auto"/>
        <w:ind w:left="0"/>
        <w:jc w:val="both"/>
        <w:rPr>
          <w:rFonts w:ascii="Arial" w:hAnsi="Arial" w:cs="Arial"/>
          <w:sz w:val="24"/>
          <w:szCs w:val="24"/>
        </w:rPr>
      </w:pPr>
    </w:p>
    <w:p w14:paraId="445A0C61" w14:textId="424E4DEE" w:rsidR="0031026D" w:rsidRDefault="0031026D" w:rsidP="0031026D">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w:t>
      </w:r>
      <w:r w:rsidR="00E8780A">
        <w:rPr>
          <w:rFonts w:ascii="Arial" w:hAnsi="Arial" w:cs="Arial"/>
          <w:sz w:val="24"/>
          <w:szCs w:val="24"/>
        </w:rPr>
        <w:t>9</w:t>
      </w:r>
      <w:r w:rsidR="00B050DD">
        <w:rPr>
          <w:rFonts w:ascii="Arial" w:hAnsi="Arial" w:cs="Arial"/>
          <w:sz w:val="24"/>
          <w:szCs w:val="24"/>
        </w:rPr>
        <w:t>7</w:t>
      </w:r>
      <w:r>
        <w:rPr>
          <w:rFonts w:ascii="Arial" w:hAnsi="Arial" w:cs="Arial"/>
          <w:sz w:val="24"/>
          <w:szCs w:val="24"/>
        </w:rPr>
        <w:t>]</w:t>
      </w:r>
      <w:r>
        <w:rPr>
          <w:rFonts w:ascii="Arial" w:hAnsi="Arial" w:cs="Arial"/>
          <w:sz w:val="24"/>
          <w:szCs w:val="24"/>
        </w:rPr>
        <w:tab/>
        <w:t>DBCM</w:t>
      </w:r>
      <w:r w:rsidR="00B52C97" w:rsidRPr="00B52C97">
        <w:rPr>
          <w:rFonts w:ascii="Arial" w:hAnsi="Arial" w:cs="Arial"/>
          <w:sz w:val="24"/>
          <w:szCs w:val="24"/>
        </w:rPr>
        <w:t xml:space="preserve"> </w:t>
      </w:r>
      <w:r w:rsidR="003C57F5">
        <w:rPr>
          <w:rFonts w:ascii="Arial" w:hAnsi="Arial" w:cs="Arial"/>
          <w:sz w:val="24"/>
          <w:szCs w:val="24"/>
        </w:rPr>
        <w:t xml:space="preserve">in its argument </w:t>
      </w:r>
      <w:r w:rsidR="00EE0DD8">
        <w:rPr>
          <w:rFonts w:ascii="Arial" w:hAnsi="Arial" w:cs="Arial"/>
          <w:sz w:val="24"/>
          <w:szCs w:val="24"/>
        </w:rPr>
        <w:t xml:space="preserve">referred to the provisions of </w:t>
      </w:r>
      <w:r w:rsidR="00D1249C">
        <w:rPr>
          <w:rFonts w:ascii="Arial" w:hAnsi="Arial" w:cs="Arial"/>
          <w:sz w:val="24"/>
          <w:szCs w:val="24"/>
        </w:rPr>
        <w:t>R</w:t>
      </w:r>
      <w:r w:rsidR="00B52C97" w:rsidRPr="00B52C97">
        <w:rPr>
          <w:rFonts w:ascii="Arial" w:hAnsi="Arial" w:cs="Arial"/>
          <w:sz w:val="24"/>
          <w:szCs w:val="24"/>
        </w:rPr>
        <w:t>ule 7(1) of the Uniform Rules of Court</w:t>
      </w:r>
      <w:r>
        <w:rPr>
          <w:rFonts w:ascii="Arial" w:hAnsi="Arial" w:cs="Arial"/>
          <w:sz w:val="24"/>
          <w:szCs w:val="24"/>
        </w:rPr>
        <w:t xml:space="preserve"> (Rules)</w:t>
      </w:r>
      <w:r w:rsidR="00B52C97" w:rsidRPr="00B52C97">
        <w:rPr>
          <w:rFonts w:ascii="Arial" w:hAnsi="Arial" w:cs="Arial"/>
          <w:sz w:val="24"/>
          <w:szCs w:val="24"/>
        </w:rPr>
        <w:t xml:space="preserve"> </w:t>
      </w:r>
      <w:r w:rsidR="00EE0DD8">
        <w:rPr>
          <w:rFonts w:ascii="Arial" w:hAnsi="Arial" w:cs="Arial"/>
          <w:sz w:val="24"/>
          <w:szCs w:val="24"/>
        </w:rPr>
        <w:t xml:space="preserve">in </w:t>
      </w:r>
      <w:r w:rsidR="00B52C97" w:rsidRPr="00B52C97">
        <w:rPr>
          <w:rFonts w:ascii="Arial" w:hAnsi="Arial" w:cs="Arial"/>
          <w:sz w:val="24"/>
          <w:szCs w:val="24"/>
        </w:rPr>
        <w:t>contend</w:t>
      </w:r>
      <w:r w:rsidR="00EE0DD8">
        <w:rPr>
          <w:rFonts w:ascii="Arial" w:hAnsi="Arial" w:cs="Arial"/>
          <w:sz w:val="24"/>
          <w:szCs w:val="24"/>
        </w:rPr>
        <w:t>ing</w:t>
      </w:r>
      <w:r w:rsidR="00B52C97" w:rsidRPr="00B52C97">
        <w:rPr>
          <w:rFonts w:ascii="Arial" w:hAnsi="Arial" w:cs="Arial"/>
          <w:sz w:val="24"/>
          <w:szCs w:val="24"/>
        </w:rPr>
        <w:t xml:space="preserve"> that the </w:t>
      </w:r>
      <w:r>
        <w:rPr>
          <w:rFonts w:ascii="Arial" w:hAnsi="Arial" w:cs="Arial"/>
          <w:sz w:val="24"/>
          <w:szCs w:val="24"/>
        </w:rPr>
        <w:t>1</w:t>
      </w:r>
      <w:r w:rsidRPr="0031026D">
        <w:rPr>
          <w:rFonts w:ascii="Arial" w:hAnsi="Arial" w:cs="Arial"/>
          <w:sz w:val="24"/>
          <w:szCs w:val="24"/>
          <w:vertAlign w:val="superscript"/>
        </w:rPr>
        <w:t>st</w:t>
      </w:r>
      <w:r>
        <w:rPr>
          <w:rFonts w:ascii="Arial" w:hAnsi="Arial" w:cs="Arial"/>
          <w:sz w:val="24"/>
          <w:szCs w:val="24"/>
        </w:rPr>
        <w:t xml:space="preserve"> R</w:t>
      </w:r>
      <w:r w:rsidR="00B52C97" w:rsidRPr="00B52C97">
        <w:rPr>
          <w:rFonts w:ascii="Arial" w:hAnsi="Arial" w:cs="Arial"/>
          <w:sz w:val="24"/>
          <w:szCs w:val="24"/>
        </w:rPr>
        <w:t xml:space="preserve">espondent does not have the </w:t>
      </w:r>
      <w:r w:rsidR="00B52C97" w:rsidRPr="00DB4D3C">
        <w:rPr>
          <w:rFonts w:ascii="Arial" w:hAnsi="Arial" w:cs="Arial"/>
          <w:i/>
          <w:sz w:val="24"/>
          <w:szCs w:val="24"/>
        </w:rPr>
        <w:t>locus standi</w:t>
      </w:r>
      <w:r w:rsidR="00B52C97" w:rsidRPr="00B52C97">
        <w:rPr>
          <w:rFonts w:ascii="Arial" w:hAnsi="Arial" w:cs="Arial"/>
          <w:sz w:val="24"/>
          <w:szCs w:val="24"/>
        </w:rPr>
        <w:t xml:space="preserve"> to depose to the answering affidavit and oppose the application on behalf of the </w:t>
      </w:r>
      <w:r w:rsidR="00D1249C">
        <w:rPr>
          <w:rFonts w:ascii="Arial" w:hAnsi="Arial" w:cs="Arial"/>
          <w:sz w:val="24"/>
          <w:szCs w:val="24"/>
        </w:rPr>
        <w:t>2</w:t>
      </w:r>
      <w:r w:rsidR="00D1249C" w:rsidRPr="00D1249C">
        <w:rPr>
          <w:rFonts w:ascii="Arial" w:hAnsi="Arial" w:cs="Arial"/>
          <w:sz w:val="24"/>
          <w:szCs w:val="24"/>
          <w:vertAlign w:val="superscript"/>
        </w:rPr>
        <w:t>nd</w:t>
      </w:r>
      <w:r w:rsidR="00B52C97" w:rsidRPr="00B52C97">
        <w:rPr>
          <w:rFonts w:ascii="Arial" w:hAnsi="Arial" w:cs="Arial"/>
          <w:sz w:val="24"/>
          <w:szCs w:val="24"/>
        </w:rPr>
        <w:t xml:space="preserve"> and </w:t>
      </w:r>
      <w:r w:rsidR="00D1249C">
        <w:rPr>
          <w:rFonts w:ascii="Arial" w:hAnsi="Arial" w:cs="Arial"/>
          <w:sz w:val="24"/>
          <w:szCs w:val="24"/>
        </w:rPr>
        <w:t>3</w:t>
      </w:r>
      <w:r w:rsidR="00D1249C" w:rsidRPr="00D1249C">
        <w:rPr>
          <w:rFonts w:ascii="Arial" w:hAnsi="Arial" w:cs="Arial"/>
          <w:sz w:val="24"/>
          <w:szCs w:val="24"/>
          <w:vertAlign w:val="superscript"/>
        </w:rPr>
        <w:t>rd</w:t>
      </w:r>
      <w:r w:rsidR="00D1249C">
        <w:rPr>
          <w:rFonts w:ascii="Arial" w:hAnsi="Arial" w:cs="Arial"/>
          <w:sz w:val="24"/>
          <w:szCs w:val="24"/>
        </w:rPr>
        <w:t xml:space="preserve"> Respondents.</w:t>
      </w:r>
      <w:r>
        <w:rPr>
          <w:rFonts w:ascii="Arial" w:hAnsi="Arial" w:cs="Arial"/>
          <w:sz w:val="24"/>
          <w:szCs w:val="24"/>
        </w:rPr>
        <w:t xml:space="preserve"> Rule 7 (1) </w:t>
      </w:r>
      <w:r w:rsidR="00D1249C">
        <w:rPr>
          <w:rFonts w:ascii="Arial" w:hAnsi="Arial" w:cs="Arial"/>
          <w:sz w:val="24"/>
          <w:szCs w:val="24"/>
        </w:rPr>
        <w:t xml:space="preserve">that is </w:t>
      </w:r>
      <w:r>
        <w:rPr>
          <w:rFonts w:ascii="Arial" w:hAnsi="Arial" w:cs="Arial"/>
          <w:sz w:val="24"/>
          <w:szCs w:val="24"/>
        </w:rPr>
        <w:t>titled “Power of Attorney” reads:</w:t>
      </w:r>
    </w:p>
    <w:p w14:paraId="4D99AE11" w14:textId="77777777" w:rsidR="0031026D" w:rsidRDefault="0031026D" w:rsidP="0031026D">
      <w:pPr>
        <w:pStyle w:val="ListParagraph"/>
        <w:tabs>
          <w:tab w:val="left" w:pos="0"/>
        </w:tabs>
        <w:spacing w:after="0" w:line="360" w:lineRule="auto"/>
        <w:ind w:left="1440"/>
        <w:jc w:val="both"/>
        <w:rPr>
          <w:rFonts w:ascii="Arial" w:hAnsi="Arial" w:cs="Arial"/>
          <w:sz w:val="24"/>
          <w:szCs w:val="24"/>
        </w:rPr>
      </w:pPr>
    </w:p>
    <w:p w14:paraId="1BB7B14C" w14:textId="35F995A3" w:rsidR="0031026D" w:rsidRPr="00765E62" w:rsidRDefault="00765E62" w:rsidP="00765E62">
      <w:pPr>
        <w:tabs>
          <w:tab w:val="left" w:pos="0"/>
        </w:tabs>
        <w:spacing w:after="0" w:line="360" w:lineRule="auto"/>
        <w:ind w:left="1080" w:hanging="360"/>
        <w:jc w:val="both"/>
        <w:rPr>
          <w:rFonts w:ascii="Arial" w:hAnsi="Arial" w:cs="Arial"/>
          <w:i/>
          <w:sz w:val="24"/>
          <w:szCs w:val="24"/>
        </w:rPr>
      </w:pPr>
      <w:r w:rsidRPr="00E8780A">
        <w:rPr>
          <w:rFonts w:ascii="Arial" w:hAnsi="Arial" w:cs="Arial"/>
          <w:i/>
          <w:sz w:val="24"/>
          <w:szCs w:val="24"/>
        </w:rPr>
        <w:t>(1)</w:t>
      </w:r>
      <w:r w:rsidRPr="00E8780A">
        <w:rPr>
          <w:rFonts w:ascii="Arial" w:hAnsi="Arial" w:cs="Arial"/>
          <w:i/>
          <w:sz w:val="24"/>
          <w:szCs w:val="24"/>
        </w:rPr>
        <w:tab/>
      </w:r>
      <w:r w:rsidR="0031026D" w:rsidRPr="00765E62">
        <w:rPr>
          <w:rFonts w:ascii="Arial" w:hAnsi="Arial" w:cs="Arial"/>
          <w:i/>
          <w:sz w:val="24"/>
          <w:szCs w:val="24"/>
        </w:rPr>
        <w:t>“</w:t>
      </w:r>
      <w:r w:rsidR="0031026D" w:rsidRPr="00765E62">
        <w:rPr>
          <w:rFonts w:ascii="Arial" w:hAnsi="Arial" w:cs="Arial"/>
          <w:i/>
          <w:iCs/>
          <w:sz w:val="24"/>
          <w:szCs w:val="24"/>
        </w:rPr>
        <w:t>Subject to the provisions of subrules (2) and (3) a power of attorney to act need not be filed, but t</w:t>
      </w:r>
      <w:r w:rsidR="0031026D" w:rsidRPr="00765E62">
        <w:rPr>
          <w:rFonts w:ascii="Arial" w:hAnsi="Arial" w:cs="Arial"/>
          <w:i/>
          <w:sz w:val="24"/>
          <w:szCs w:val="24"/>
        </w:rPr>
        <w:t xml:space="preserve">he authority of anyone acting on behalf of a party may, within 10 days after it has come to the notice of a party that such a person is so acting, or with the leave of the court on good cause shown at any time before judgment, be disputed, where after such a person may no longer act unless he satisfied the court that he is so authorised to act, and to enable him to do so the court may postpone the hearing of the action or application.” </w:t>
      </w:r>
    </w:p>
    <w:p w14:paraId="71197265" w14:textId="77777777" w:rsidR="0031026D" w:rsidRPr="0031026D" w:rsidRDefault="0031026D" w:rsidP="0031026D">
      <w:pPr>
        <w:tabs>
          <w:tab w:val="left" w:pos="0"/>
        </w:tabs>
        <w:spacing w:after="0" w:line="360" w:lineRule="auto"/>
        <w:ind w:left="1440"/>
        <w:jc w:val="both"/>
        <w:rPr>
          <w:rFonts w:ascii="Arial" w:hAnsi="Arial" w:cs="Arial"/>
          <w:sz w:val="24"/>
          <w:szCs w:val="24"/>
        </w:rPr>
      </w:pPr>
      <w:r w:rsidRPr="0031026D">
        <w:rPr>
          <w:rFonts w:ascii="Arial" w:hAnsi="Arial" w:cs="Arial"/>
          <w:sz w:val="24"/>
          <w:szCs w:val="24"/>
        </w:rPr>
        <w:t xml:space="preserve">    </w:t>
      </w:r>
    </w:p>
    <w:p w14:paraId="16DCE8E5" w14:textId="54D02507" w:rsidR="001A6BAF" w:rsidRDefault="0031026D" w:rsidP="0031026D">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w:t>
      </w:r>
      <w:r w:rsidR="00E8780A">
        <w:rPr>
          <w:rFonts w:ascii="Arial" w:hAnsi="Arial" w:cs="Arial"/>
          <w:sz w:val="24"/>
          <w:szCs w:val="24"/>
        </w:rPr>
        <w:t>9</w:t>
      </w:r>
      <w:r w:rsidR="00B050DD">
        <w:rPr>
          <w:rFonts w:ascii="Arial" w:hAnsi="Arial" w:cs="Arial"/>
          <w:sz w:val="24"/>
          <w:szCs w:val="24"/>
        </w:rPr>
        <w:t>8</w:t>
      </w:r>
      <w:r>
        <w:rPr>
          <w:rFonts w:ascii="Arial" w:hAnsi="Arial" w:cs="Arial"/>
          <w:sz w:val="24"/>
          <w:szCs w:val="24"/>
        </w:rPr>
        <w:t>]</w:t>
      </w:r>
      <w:r>
        <w:rPr>
          <w:rFonts w:ascii="Arial" w:hAnsi="Arial" w:cs="Arial"/>
          <w:sz w:val="24"/>
          <w:szCs w:val="24"/>
        </w:rPr>
        <w:tab/>
        <w:t xml:space="preserve">DMRE </w:t>
      </w:r>
      <w:r w:rsidR="00B52C97" w:rsidRPr="00B52C97">
        <w:rPr>
          <w:rFonts w:ascii="Arial" w:hAnsi="Arial" w:cs="Arial"/>
          <w:sz w:val="24"/>
          <w:szCs w:val="24"/>
        </w:rPr>
        <w:t xml:space="preserve">argue that </w:t>
      </w:r>
      <w:r>
        <w:rPr>
          <w:rFonts w:ascii="Arial" w:hAnsi="Arial" w:cs="Arial"/>
          <w:sz w:val="24"/>
          <w:szCs w:val="24"/>
        </w:rPr>
        <w:t>1</w:t>
      </w:r>
      <w:r w:rsidRPr="0031026D">
        <w:rPr>
          <w:rFonts w:ascii="Arial" w:hAnsi="Arial" w:cs="Arial"/>
          <w:sz w:val="24"/>
          <w:szCs w:val="24"/>
          <w:vertAlign w:val="superscript"/>
        </w:rPr>
        <w:t>st</w:t>
      </w:r>
      <w:r>
        <w:rPr>
          <w:rFonts w:ascii="Arial" w:hAnsi="Arial" w:cs="Arial"/>
          <w:sz w:val="24"/>
          <w:szCs w:val="24"/>
        </w:rPr>
        <w:t xml:space="preserve"> Respondent’s allegation that </w:t>
      </w:r>
      <w:r w:rsidR="00B52C97" w:rsidRPr="00B52C97">
        <w:rPr>
          <w:rFonts w:ascii="Arial" w:hAnsi="Arial" w:cs="Arial"/>
          <w:sz w:val="24"/>
          <w:szCs w:val="24"/>
        </w:rPr>
        <w:t>he has the authority</w:t>
      </w:r>
      <w:r>
        <w:rPr>
          <w:rFonts w:ascii="Arial" w:hAnsi="Arial" w:cs="Arial"/>
          <w:sz w:val="24"/>
          <w:szCs w:val="24"/>
        </w:rPr>
        <w:t xml:space="preserve"> is not </w:t>
      </w:r>
      <w:r w:rsidR="00B52C97" w:rsidRPr="00B52C97">
        <w:rPr>
          <w:rFonts w:ascii="Arial" w:hAnsi="Arial" w:cs="Arial"/>
          <w:sz w:val="24"/>
          <w:szCs w:val="24"/>
        </w:rPr>
        <w:t>confirm</w:t>
      </w:r>
      <w:r>
        <w:rPr>
          <w:rFonts w:ascii="Arial" w:hAnsi="Arial" w:cs="Arial"/>
          <w:sz w:val="24"/>
          <w:szCs w:val="24"/>
        </w:rPr>
        <w:t>ed by t</w:t>
      </w:r>
      <w:r w:rsidR="00B52C97" w:rsidRPr="00B52C97">
        <w:rPr>
          <w:rFonts w:ascii="Arial" w:hAnsi="Arial" w:cs="Arial"/>
          <w:sz w:val="24"/>
          <w:szCs w:val="24"/>
        </w:rPr>
        <w:t xml:space="preserve">he </w:t>
      </w:r>
      <w:r w:rsidR="00D1249C">
        <w:rPr>
          <w:rFonts w:ascii="Arial" w:hAnsi="Arial" w:cs="Arial"/>
          <w:sz w:val="24"/>
          <w:szCs w:val="24"/>
        </w:rPr>
        <w:t>2</w:t>
      </w:r>
      <w:r w:rsidR="00D1249C" w:rsidRPr="00D1249C">
        <w:rPr>
          <w:rFonts w:ascii="Arial" w:hAnsi="Arial" w:cs="Arial"/>
          <w:sz w:val="24"/>
          <w:szCs w:val="24"/>
          <w:vertAlign w:val="superscript"/>
        </w:rPr>
        <w:t>nd</w:t>
      </w:r>
      <w:r w:rsidR="00D1249C">
        <w:rPr>
          <w:rFonts w:ascii="Arial" w:hAnsi="Arial" w:cs="Arial"/>
          <w:sz w:val="24"/>
          <w:szCs w:val="24"/>
        </w:rPr>
        <w:t xml:space="preserve"> </w:t>
      </w:r>
      <w:r>
        <w:rPr>
          <w:rFonts w:ascii="Arial" w:hAnsi="Arial" w:cs="Arial"/>
          <w:sz w:val="24"/>
          <w:szCs w:val="24"/>
        </w:rPr>
        <w:t>and the</w:t>
      </w:r>
      <w:r w:rsidR="00D1249C">
        <w:rPr>
          <w:rFonts w:ascii="Arial" w:hAnsi="Arial" w:cs="Arial"/>
          <w:sz w:val="24"/>
          <w:szCs w:val="24"/>
        </w:rPr>
        <w:t xml:space="preserve"> 3</w:t>
      </w:r>
      <w:r w:rsidR="00D1249C" w:rsidRPr="00D1249C">
        <w:rPr>
          <w:rFonts w:ascii="Arial" w:hAnsi="Arial" w:cs="Arial"/>
          <w:sz w:val="24"/>
          <w:szCs w:val="24"/>
          <w:vertAlign w:val="superscript"/>
        </w:rPr>
        <w:t>rd</w:t>
      </w:r>
      <w:r w:rsidR="00D1249C">
        <w:rPr>
          <w:rFonts w:ascii="Arial" w:hAnsi="Arial" w:cs="Arial"/>
          <w:sz w:val="24"/>
          <w:szCs w:val="24"/>
        </w:rPr>
        <w:t xml:space="preserve"> Respondent</w:t>
      </w:r>
      <w:r>
        <w:rPr>
          <w:rFonts w:ascii="Arial" w:hAnsi="Arial" w:cs="Arial"/>
          <w:sz w:val="24"/>
          <w:szCs w:val="24"/>
        </w:rPr>
        <w:t xml:space="preserve"> nor is any </w:t>
      </w:r>
      <w:r w:rsidR="00B52C97" w:rsidRPr="00B52C97">
        <w:rPr>
          <w:rFonts w:ascii="Arial" w:hAnsi="Arial" w:cs="Arial"/>
          <w:sz w:val="24"/>
          <w:szCs w:val="24"/>
        </w:rPr>
        <w:t xml:space="preserve">evidence attached to prove the correctness of the allegation </w:t>
      </w:r>
      <w:r>
        <w:rPr>
          <w:rFonts w:ascii="Arial" w:hAnsi="Arial" w:cs="Arial"/>
          <w:sz w:val="24"/>
          <w:szCs w:val="24"/>
        </w:rPr>
        <w:t xml:space="preserve">or </w:t>
      </w:r>
      <w:r w:rsidR="00B52C97" w:rsidRPr="00B52C97">
        <w:rPr>
          <w:rFonts w:ascii="Arial" w:hAnsi="Arial" w:cs="Arial"/>
          <w:sz w:val="24"/>
          <w:szCs w:val="24"/>
        </w:rPr>
        <w:t xml:space="preserve">an explanation </w:t>
      </w:r>
      <w:r>
        <w:rPr>
          <w:rFonts w:ascii="Arial" w:hAnsi="Arial" w:cs="Arial"/>
          <w:sz w:val="24"/>
          <w:szCs w:val="24"/>
        </w:rPr>
        <w:t xml:space="preserve">given </w:t>
      </w:r>
      <w:r w:rsidR="00B52C97" w:rsidRPr="00B52C97">
        <w:rPr>
          <w:rFonts w:ascii="Arial" w:hAnsi="Arial" w:cs="Arial"/>
          <w:sz w:val="24"/>
          <w:szCs w:val="24"/>
        </w:rPr>
        <w:t xml:space="preserve">as to why evidence of </w:t>
      </w:r>
      <w:r w:rsidR="00D1249C">
        <w:rPr>
          <w:rFonts w:ascii="Arial" w:hAnsi="Arial" w:cs="Arial"/>
          <w:sz w:val="24"/>
          <w:szCs w:val="24"/>
        </w:rPr>
        <w:t xml:space="preserve">their </w:t>
      </w:r>
      <w:r w:rsidR="00B52C97" w:rsidRPr="00B52C97">
        <w:rPr>
          <w:rFonts w:ascii="Arial" w:hAnsi="Arial" w:cs="Arial"/>
          <w:sz w:val="24"/>
          <w:szCs w:val="24"/>
        </w:rPr>
        <w:t xml:space="preserve">authority is not provided. Consequently, the </w:t>
      </w:r>
      <w:r w:rsidR="00D1249C">
        <w:rPr>
          <w:rFonts w:ascii="Arial" w:hAnsi="Arial" w:cs="Arial"/>
          <w:sz w:val="24"/>
          <w:szCs w:val="24"/>
        </w:rPr>
        <w:t xml:space="preserve">DBCM </w:t>
      </w:r>
      <w:r w:rsidR="00B52C97" w:rsidRPr="00B52C97">
        <w:rPr>
          <w:rFonts w:ascii="Arial" w:hAnsi="Arial" w:cs="Arial"/>
          <w:sz w:val="24"/>
          <w:szCs w:val="24"/>
        </w:rPr>
        <w:t>submit</w:t>
      </w:r>
      <w:r w:rsidR="00E8780A">
        <w:rPr>
          <w:rFonts w:ascii="Arial" w:hAnsi="Arial" w:cs="Arial"/>
          <w:sz w:val="24"/>
          <w:szCs w:val="24"/>
        </w:rPr>
        <w:t xml:space="preserve">ted </w:t>
      </w:r>
      <w:r w:rsidR="00B52C97" w:rsidRPr="00B52C97">
        <w:rPr>
          <w:rFonts w:ascii="Arial" w:hAnsi="Arial" w:cs="Arial"/>
          <w:sz w:val="24"/>
          <w:szCs w:val="24"/>
        </w:rPr>
        <w:t xml:space="preserve">that </w:t>
      </w:r>
      <w:r>
        <w:rPr>
          <w:rFonts w:ascii="Arial" w:hAnsi="Arial" w:cs="Arial"/>
          <w:sz w:val="24"/>
          <w:szCs w:val="24"/>
        </w:rPr>
        <w:t xml:space="preserve">the </w:t>
      </w:r>
      <w:r w:rsidR="00D1249C">
        <w:rPr>
          <w:rFonts w:ascii="Arial" w:hAnsi="Arial" w:cs="Arial"/>
          <w:sz w:val="24"/>
          <w:szCs w:val="24"/>
        </w:rPr>
        <w:t>2</w:t>
      </w:r>
      <w:r w:rsidR="00D1249C" w:rsidRPr="00D1249C">
        <w:rPr>
          <w:rFonts w:ascii="Arial" w:hAnsi="Arial" w:cs="Arial"/>
          <w:sz w:val="24"/>
          <w:szCs w:val="24"/>
          <w:vertAlign w:val="superscript"/>
        </w:rPr>
        <w:t>nd</w:t>
      </w:r>
      <w:r w:rsidR="00D1249C">
        <w:rPr>
          <w:rFonts w:ascii="Arial" w:hAnsi="Arial" w:cs="Arial"/>
          <w:sz w:val="24"/>
          <w:szCs w:val="24"/>
        </w:rPr>
        <w:t xml:space="preserve"> and 3</w:t>
      </w:r>
      <w:r w:rsidR="00D1249C" w:rsidRPr="00D1249C">
        <w:rPr>
          <w:rFonts w:ascii="Arial" w:hAnsi="Arial" w:cs="Arial"/>
          <w:sz w:val="24"/>
          <w:szCs w:val="24"/>
          <w:vertAlign w:val="superscript"/>
        </w:rPr>
        <w:t>rd</w:t>
      </w:r>
      <w:r w:rsidR="00D1249C">
        <w:rPr>
          <w:rFonts w:ascii="Arial" w:hAnsi="Arial" w:cs="Arial"/>
          <w:sz w:val="24"/>
          <w:szCs w:val="24"/>
        </w:rPr>
        <w:t xml:space="preserve"> Respondents </w:t>
      </w:r>
      <w:r w:rsidR="00E8780A">
        <w:rPr>
          <w:rFonts w:ascii="Arial" w:hAnsi="Arial" w:cs="Arial"/>
          <w:sz w:val="24"/>
          <w:szCs w:val="24"/>
        </w:rPr>
        <w:t xml:space="preserve">seemed to have </w:t>
      </w:r>
      <w:r>
        <w:rPr>
          <w:rFonts w:ascii="Arial" w:hAnsi="Arial" w:cs="Arial"/>
          <w:sz w:val="24"/>
          <w:szCs w:val="24"/>
        </w:rPr>
        <w:t xml:space="preserve">decided not to enter into this debate and therefore </w:t>
      </w:r>
      <w:r w:rsidR="00B52C97" w:rsidRPr="00B52C97">
        <w:rPr>
          <w:rFonts w:ascii="Arial" w:hAnsi="Arial" w:cs="Arial"/>
          <w:sz w:val="24"/>
          <w:szCs w:val="24"/>
        </w:rPr>
        <w:t>not oppos</w:t>
      </w:r>
      <w:r>
        <w:rPr>
          <w:rFonts w:ascii="Arial" w:hAnsi="Arial" w:cs="Arial"/>
          <w:sz w:val="24"/>
          <w:szCs w:val="24"/>
        </w:rPr>
        <w:t xml:space="preserve">ing the Application. </w:t>
      </w:r>
    </w:p>
    <w:p w14:paraId="434E5942" w14:textId="3E89A9C4" w:rsidR="0031026D" w:rsidRDefault="0031026D" w:rsidP="0031026D">
      <w:pPr>
        <w:pStyle w:val="ListParagraph"/>
        <w:tabs>
          <w:tab w:val="left" w:pos="0"/>
        </w:tabs>
        <w:spacing w:after="0" w:line="360" w:lineRule="auto"/>
        <w:ind w:left="0"/>
        <w:jc w:val="both"/>
        <w:rPr>
          <w:rFonts w:ascii="Arial" w:hAnsi="Arial" w:cs="Arial"/>
          <w:sz w:val="24"/>
          <w:szCs w:val="24"/>
        </w:rPr>
      </w:pPr>
    </w:p>
    <w:p w14:paraId="2F1D3AEC" w14:textId="4A6A774A" w:rsidR="00423412" w:rsidRPr="0031026D" w:rsidRDefault="00B050DD" w:rsidP="0031026D">
      <w:pPr>
        <w:tabs>
          <w:tab w:val="left" w:pos="0"/>
        </w:tabs>
        <w:spacing w:after="0" w:line="360" w:lineRule="auto"/>
        <w:jc w:val="both"/>
        <w:rPr>
          <w:rFonts w:ascii="Arial" w:hAnsi="Arial" w:cs="Arial"/>
          <w:sz w:val="24"/>
          <w:szCs w:val="24"/>
        </w:rPr>
      </w:pPr>
      <w:r>
        <w:rPr>
          <w:rFonts w:ascii="Arial" w:hAnsi="Arial" w:cs="Arial"/>
          <w:sz w:val="24"/>
          <w:szCs w:val="24"/>
        </w:rPr>
        <w:t>[99</w:t>
      </w:r>
      <w:r w:rsidR="0031026D">
        <w:rPr>
          <w:rFonts w:ascii="Arial" w:hAnsi="Arial" w:cs="Arial"/>
          <w:sz w:val="24"/>
          <w:szCs w:val="24"/>
        </w:rPr>
        <w:t>]</w:t>
      </w:r>
      <w:r w:rsidR="0031026D">
        <w:rPr>
          <w:rFonts w:ascii="Arial" w:hAnsi="Arial" w:cs="Arial"/>
          <w:sz w:val="24"/>
          <w:szCs w:val="24"/>
        </w:rPr>
        <w:tab/>
      </w:r>
      <w:r w:rsidR="00B52C97" w:rsidRPr="0031026D">
        <w:rPr>
          <w:rFonts w:ascii="Arial" w:hAnsi="Arial" w:cs="Arial"/>
          <w:sz w:val="24"/>
          <w:szCs w:val="24"/>
        </w:rPr>
        <w:t xml:space="preserve">On the other hand, the </w:t>
      </w:r>
      <w:r w:rsidR="001D7610">
        <w:rPr>
          <w:rFonts w:ascii="Arial" w:hAnsi="Arial" w:cs="Arial"/>
          <w:sz w:val="24"/>
          <w:szCs w:val="24"/>
        </w:rPr>
        <w:t>1</w:t>
      </w:r>
      <w:r w:rsidR="001D7610" w:rsidRPr="001D7610">
        <w:rPr>
          <w:rFonts w:ascii="Arial" w:hAnsi="Arial" w:cs="Arial"/>
          <w:sz w:val="24"/>
          <w:szCs w:val="24"/>
          <w:vertAlign w:val="superscript"/>
        </w:rPr>
        <w:t>st</w:t>
      </w:r>
      <w:r w:rsidR="001D7610">
        <w:rPr>
          <w:rFonts w:ascii="Arial" w:hAnsi="Arial" w:cs="Arial"/>
          <w:sz w:val="24"/>
          <w:szCs w:val="24"/>
        </w:rPr>
        <w:t xml:space="preserve"> Respondent </w:t>
      </w:r>
      <w:r w:rsidR="00B52C97" w:rsidRPr="0031026D">
        <w:rPr>
          <w:rFonts w:ascii="Arial" w:hAnsi="Arial" w:cs="Arial"/>
          <w:sz w:val="24"/>
          <w:szCs w:val="24"/>
        </w:rPr>
        <w:t xml:space="preserve">challenges </w:t>
      </w:r>
      <w:r w:rsidR="001D7610">
        <w:rPr>
          <w:rFonts w:ascii="Arial" w:hAnsi="Arial" w:cs="Arial"/>
          <w:sz w:val="24"/>
          <w:szCs w:val="24"/>
        </w:rPr>
        <w:t>DBCM’s</w:t>
      </w:r>
      <w:r w:rsidR="00B52C97" w:rsidRPr="0031026D">
        <w:rPr>
          <w:rFonts w:ascii="Arial" w:hAnsi="Arial" w:cs="Arial"/>
          <w:sz w:val="24"/>
          <w:szCs w:val="24"/>
        </w:rPr>
        <w:t xml:space="preserve"> reliance on </w:t>
      </w:r>
      <w:r w:rsidR="00D1249C">
        <w:rPr>
          <w:rFonts w:ascii="Arial" w:hAnsi="Arial" w:cs="Arial"/>
          <w:sz w:val="24"/>
          <w:szCs w:val="24"/>
        </w:rPr>
        <w:t>R</w:t>
      </w:r>
      <w:r w:rsidR="00B52C97" w:rsidRPr="0031026D">
        <w:rPr>
          <w:rFonts w:ascii="Arial" w:hAnsi="Arial" w:cs="Arial"/>
          <w:sz w:val="24"/>
          <w:szCs w:val="24"/>
        </w:rPr>
        <w:t xml:space="preserve">ule 7(1) to </w:t>
      </w:r>
      <w:r w:rsidR="001D7610">
        <w:rPr>
          <w:rFonts w:ascii="Arial" w:hAnsi="Arial" w:cs="Arial"/>
          <w:sz w:val="24"/>
          <w:szCs w:val="24"/>
        </w:rPr>
        <w:t>dispute</w:t>
      </w:r>
      <w:r w:rsidR="00B52C97" w:rsidRPr="0031026D">
        <w:rPr>
          <w:rFonts w:ascii="Arial" w:hAnsi="Arial" w:cs="Arial"/>
          <w:sz w:val="24"/>
          <w:szCs w:val="24"/>
        </w:rPr>
        <w:t xml:space="preserve"> </w:t>
      </w:r>
      <w:r w:rsidR="001D7610">
        <w:rPr>
          <w:rFonts w:ascii="Arial" w:hAnsi="Arial" w:cs="Arial"/>
          <w:sz w:val="24"/>
          <w:szCs w:val="24"/>
        </w:rPr>
        <w:t xml:space="preserve">his </w:t>
      </w:r>
      <w:r w:rsidR="00B52C97" w:rsidRPr="0031026D">
        <w:rPr>
          <w:rFonts w:ascii="Arial" w:hAnsi="Arial" w:cs="Arial"/>
          <w:i/>
          <w:sz w:val="24"/>
          <w:szCs w:val="24"/>
        </w:rPr>
        <w:t>locus standi</w:t>
      </w:r>
      <w:r w:rsidR="00B52C97" w:rsidRPr="0031026D">
        <w:rPr>
          <w:rFonts w:ascii="Arial" w:hAnsi="Arial" w:cs="Arial"/>
          <w:sz w:val="24"/>
          <w:szCs w:val="24"/>
        </w:rPr>
        <w:t xml:space="preserve"> </w:t>
      </w:r>
      <w:r w:rsidR="001D7610">
        <w:rPr>
          <w:rFonts w:ascii="Arial" w:hAnsi="Arial" w:cs="Arial"/>
          <w:sz w:val="24"/>
          <w:szCs w:val="24"/>
        </w:rPr>
        <w:t xml:space="preserve">as </w:t>
      </w:r>
      <w:r w:rsidR="00B52C97" w:rsidRPr="0031026D">
        <w:rPr>
          <w:rFonts w:ascii="Arial" w:hAnsi="Arial" w:cs="Arial"/>
          <w:sz w:val="24"/>
          <w:szCs w:val="24"/>
        </w:rPr>
        <w:t>lack</w:t>
      </w:r>
      <w:r w:rsidR="001D7610">
        <w:rPr>
          <w:rFonts w:ascii="Arial" w:hAnsi="Arial" w:cs="Arial"/>
          <w:sz w:val="24"/>
          <w:szCs w:val="24"/>
        </w:rPr>
        <w:t xml:space="preserve">ing any </w:t>
      </w:r>
      <w:r w:rsidR="00B52C97" w:rsidRPr="0031026D">
        <w:rPr>
          <w:rFonts w:ascii="Arial" w:hAnsi="Arial" w:cs="Arial"/>
          <w:sz w:val="24"/>
          <w:szCs w:val="24"/>
        </w:rPr>
        <w:t xml:space="preserve">merit. </w:t>
      </w:r>
      <w:r w:rsidR="001D7610">
        <w:rPr>
          <w:rFonts w:ascii="Arial" w:hAnsi="Arial" w:cs="Arial"/>
          <w:sz w:val="24"/>
          <w:szCs w:val="24"/>
        </w:rPr>
        <w:t>It is submitted on behalf of the 1</w:t>
      </w:r>
      <w:r w:rsidR="001D7610" w:rsidRPr="001D7610">
        <w:rPr>
          <w:rFonts w:ascii="Arial" w:hAnsi="Arial" w:cs="Arial"/>
          <w:sz w:val="24"/>
          <w:szCs w:val="24"/>
          <w:vertAlign w:val="superscript"/>
        </w:rPr>
        <w:t>st</w:t>
      </w:r>
      <w:r w:rsidR="001D7610">
        <w:rPr>
          <w:rFonts w:ascii="Arial" w:hAnsi="Arial" w:cs="Arial"/>
          <w:sz w:val="24"/>
          <w:szCs w:val="24"/>
        </w:rPr>
        <w:t xml:space="preserve"> R</w:t>
      </w:r>
      <w:r w:rsidR="00B52C97" w:rsidRPr="0031026D">
        <w:rPr>
          <w:rFonts w:ascii="Arial" w:hAnsi="Arial" w:cs="Arial"/>
          <w:sz w:val="24"/>
          <w:szCs w:val="24"/>
        </w:rPr>
        <w:t xml:space="preserve">espondent </w:t>
      </w:r>
      <w:r w:rsidR="001D7610">
        <w:rPr>
          <w:rFonts w:ascii="Arial" w:hAnsi="Arial" w:cs="Arial"/>
          <w:sz w:val="24"/>
          <w:szCs w:val="24"/>
        </w:rPr>
        <w:t>that he</w:t>
      </w:r>
      <w:r w:rsidR="00B52C97" w:rsidRPr="0031026D">
        <w:rPr>
          <w:rFonts w:ascii="Arial" w:hAnsi="Arial" w:cs="Arial"/>
          <w:sz w:val="24"/>
          <w:szCs w:val="24"/>
        </w:rPr>
        <w:t xml:space="preserve">, on behalf of the </w:t>
      </w:r>
      <w:r w:rsidR="001D7610">
        <w:rPr>
          <w:rFonts w:ascii="Arial" w:hAnsi="Arial" w:cs="Arial"/>
          <w:sz w:val="24"/>
          <w:szCs w:val="24"/>
        </w:rPr>
        <w:t>2</w:t>
      </w:r>
      <w:r w:rsidR="001D7610" w:rsidRPr="001D7610">
        <w:rPr>
          <w:rFonts w:ascii="Arial" w:hAnsi="Arial" w:cs="Arial"/>
          <w:sz w:val="24"/>
          <w:szCs w:val="24"/>
          <w:vertAlign w:val="superscript"/>
        </w:rPr>
        <w:t>nd</w:t>
      </w:r>
      <w:r w:rsidR="001D7610">
        <w:rPr>
          <w:rFonts w:ascii="Arial" w:hAnsi="Arial" w:cs="Arial"/>
          <w:sz w:val="24"/>
          <w:szCs w:val="24"/>
        </w:rPr>
        <w:t xml:space="preserve"> and 3</w:t>
      </w:r>
      <w:r w:rsidR="001D7610" w:rsidRPr="001D7610">
        <w:rPr>
          <w:rFonts w:ascii="Arial" w:hAnsi="Arial" w:cs="Arial"/>
          <w:sz w:val="24"/>
          <w:szCs w:val="24"/>
          <w:vertAlign w:val="superscript"/>
        </w:rPr>
        <w:t>rd</w:t>
      </w:r>
      <w:r w:rsidR="001D7610">
        <w:rPr>
          <w:rFonts w:ascii="Arial" w:hAnsi="Arial" w:cs="Arial"/>
          <w:sz w:val="24"/>
          <w:szCs w:val="24"/>
        </w:rPr>
        <w:t xml:space="preserve"> </w:t>
      </w:r>
      <w:r w:rsidR="00B52C97" w:rsidRPr="0031026D">
        <w:rPr>
          <w:rFonts w:ascii="Arial" w:hAnsi="Arial" w:cs="Arial"/>
          <w:sz w:val="24"/>
          <w:szCs w:val="24"/>
        </w:rPr>
        <w:t xml:space="preserve">second </w:t>
      </w:r>
      <w:r w:rsidR="001D7610">
        <w:rPr>
          <w:rFonts w:ascii="Arial" w:hAnsi="Arial" w:cs="Arial"/>
          <w:sz w:val="24"/>
          <w:szCs w:val="24"/>
        </w:rPr>
        <w:t>R</w:t>
      </w:r>
      <w:r w:rsidR="00B52C97" w:rsidRPr="0031026D">
        <w:rPr>
          <w:rFonts w:ascii="Arial" w:hAnsi="Arial" w:cs="Arial"/>
          <w:sz w:val="24"/>
          <w:szCs w:val="24"/>
        </w:rPr>
        <w:t xml:space="preserve">espondents, is legally authorised to </w:t>
      </w:r>
      <w:r w:rsidR="001D7610">
        <w:rPr>
          <w:rFonts w:ascii="Arial" w:hAnsi="Arial" w:cs="Arial"/>
          <w:sz w:val="24"/>
          <w:szCs w:val="24"/>
        </w:rPr>
        <w:t>answer to DBCM’s allegations.</w:t>
      </w:r>
      <w:r w:rsidR="00B52C97" w:rsidRPr="0031026D">
        <w:rPr>
          <w:rFonts w:ascii="Arial" w:hAnsi="Arial" w:cs="Arial"/>
          <w:sz w:val="24"/>
          <w:szCs w:val="24"/>
        </w:rPr>
        <w:t xml:space="preserve"> This submission is premised on the fact that the </w:t>
      </w:r>
      <w:r w:rsidR="001D7610">
        <w:rPr>
          <w:rFonts w:ascii="Arial" w:hAnsi="Arial" w:cs="Arial"/>
          <w:sz w:val="24"/>
          <w:szCs w:val="24"/>
        </w:rPr>
        <w:t>1</w:t>
      </w:r>
      <w:r w:rsidR="001D7610" w:rsidRPr="001D7610">
        <w:rPr>
          <w:rFonts w:ascii="Arial" w:hAnsi="Arial" w:cs="Arial"/>
          <w:sz w:val="24"/>
          <w:szCs w:val="24"/>
          <w:vertAlign w:val="superscript"/>
        </w:rPr>
        <w:t>st</w:t>
      </w:r>
      <w:r w:rsidR="001D7610">
        <w:rPr>
          <w:rFonts w:ascii="Arial" w:hAnsi="Arial" w:cs="Arial"/>
          <w:sz w:val="24"/>
          <w:szCs w:val="24"/>
        </w:rPr>
        <w:t xml:space="preserve"> Respondent </w:t>
      </w:r>
      <w:r w:rsidR="00B52C97" w:rsidRPr="0031026D">
        <w:rPr>
          <w:rFonts w:ascii="Arial" w:hAnsi="Arial" w:cs="Arial"/>
          <w:sz w:val="24"/>
          <w:szCs w:val="24"/>
        </w:rPr>
        <w:t>accepted the Oaks Mine Closure application in terms of s</w:t>
      </w:r>
      <w:r w:rsidR="001D7610">
        <w:rPr>
          <w:rFonts w:ascii="Arial" w:hAnsi="Arial" w:cs="Arial"/>
          <w:sz w:val="24"/>
          <w:szCs w:val="24"/>
        </w:rPr>
        <w:t xml:space="preserve"> </w:t>
      </w:r>
      <w:r w:rsidR="00B52C97" w:rsidRPr="0031026D">
        <w:rPr>
          <w:rFonts w:ascii="Arial" w:hAnsi="Arial" w:cs="Arial"/>
          <w:sz w:val="24"/>
          <w:szCs w:val="24"/>
        </w:rPr>
        <w:t xml:space="preserve">43 of the MPRDA, rejected the application on 7 July 2011, 10 November 2012, 23 October 2018 and 06 June 2020.  </w:t>
      </w:r>
      <w:r w:rsidR="003C57F5" w:rsidRPr="0031026D">
        <w:rPr>
          <w:rFonts w:ascii="Arial" w:hAnsi="Arial" w:cs="Arial"/>
          <w:sz w:val="24"/>
          <w:szCs w:val="24"/>
        </w:rPr>
        <w:t>Besides</w:t>
      </w:r>
      <w:r w:rsidR="003C57F5">
        <w:rPr>
          <w:rFonts w:ascii="Arial" w:hAnsi="Arial" w:cs="Arial"/>
          <w:sz w:val="24"/>
          <w:szCs w:val="24"/>
        </w:rPr>
        <w:t>,</w:t>
      </w:r>
      <w:r w:rsidR="00B52C97" w:rsidRPr="0031026D">
        <w:rPr>
          <w:rFonts w:ascii="Arial" w:hAnsi="Arial" w:cs="Arial"/>
          <w:sz w:val="24"/>
          <w:szCs w:val="24"/>
        </w:rPr>
        <w:t xml:space="preserve"> the </w:t>
      </w:r>
      <w:r w:rsidR="001D7610">
        <w:rPr>
          <w:rFonts w:ascii="Arial" w:hAnsi="Arial" w:cs="Arial"/>
          <w:sz w:val="24"/>
          <w:szCs w:val="24"/>
        </w:rPr>
        <w:t>1</w:t>
      </w:r>
      <w:r w:rsidR="001D7610" w:rsidRPr="001D7610">
        <w:rPr>
          <w:rFonts w:ascii="Arial" w:hAnsi="Arial" w:cs="Arial"/>
          <w:sz w:val="24"/>
          <w:szCs w:val="24"/>
          <w:vertAlign w:val="superscript"/>
        </w:rPr>
        <w:t>st</w:t>
      </w:r>
      <w:r w:rsidR="001D7610">
        <w:rPr>
          <w:rFonts w:ascii="Arial" w:hAnsi="Arial" w:cs="Arial"/>
          <w:sz w:val="24"/>
          <w:szCs w:val="24"/>
        </w:rPr>
        <w:t xml:space="preserve"> Respondent’s</w:t>
      </w:r>
      <w:r w:rsidR="00B52C97" w:rsidRPr="0031026D">
        <w:rPr>
          <w:rFonts w:ascii="Arial" w:hAnsi="Arial" w:cs="Arial"/>
          <w:sz w:val="24"/>
          <w:szCs w:val="24"/>
        </w:rPr>
        <w:t xml:space="preserve"> decision is appealable to the </w:t>
      </w:r>
      <w:r w:rsidR="003C57F5">
        <w:rPr>
          <w:rFonts w:ascii="Arial" w:hAnsi="Arial" w:cs="Arial"/>
          <w:sz w:val="24"/>
          <w:szCs w:val="24"/>
        </w:rPr>
        <w:t>2</w:t>
      </w:r>
      <w:r w:rsidR="003C57F5" w:rsidRPr="003C57F5">
        <w:rPr>
          <w:rFonts w:ascii="Arial" w:hAnsi="Arial" w:cs="Arial"/>
          <w:sz w:val="24"/>
          <w:szCs w:val="24"/>
          <w:vertAlign w:val="superscript"/>
        </w:rPr>
        <w:t>nd</w:t>
      </w:r>
      <w:r w:rsidR="003C57F5">
        <w:rPr>
          <w:rFonts w:ascii="Arial" w:hAnsi="Arial" w:cs="Arial"/>
          <w:sz w:val="24"/>
          <w:szCs w:val="24"/>
        </w:rPr>
        <w:t xml:space="preserve"> </w:t>
      </w:r>
      <w:r w:rsidR="00D1249C">
        <w:rPr>
          <w:rFonts w:ascii="Arial" w:hAnsi="Arial" w:cs="Arial"/>
          <w:sz w:val="24"/>
          <w:szCs w:val="24"/>
        </w:rPr>
        <w:t xml:space="preserve">Respondent and thereafter to the </w:t>
      </w:r>
      <w:r w:rsidR="003C57F5">
        <w:rPr>
          <w:rFonts w:ascii="Arial" w:hAnsi="Arial" w:cs="Arial"/>
          <w:sz w:val="24"/>
          <w:szCs w:val="24"/>
        </w:rPr>
        <w:t>3</w:t>
      </w:r>
      <w:r w:rsidR="003C57F5" w:rsidRPr="003C57F5">
        <w:rPr>
          <w:rFonts w:ascii="Arial" w:hAnsi="Arial" w:cs="Arial"/>
          <w:sz w:val="24"/>
          <w:szCs w:val="24"/>
          <w:vertAlign w:val="superscript"/>
        </w:rPr>
        <w:t>rd</w:t>
      </w:r>
      <w:r w:rsidR="003C57F5">
        <w:rPr>
          <w:rFonts w:ascii="Arial" w:hAnsi="Arial" w:cs="Arial"/>
          <w:sz w:val="24"/>
          <w:szCs w:val="24"/>
        </w:rPr>
        <w:t xml:space="preserve"> </w:t>
      </w:r>
      <w:r w:rsidR="00D1249C">
        <w:rPr>
          <w:rFonts w:ascii="Arial" w:hAnsi="Arial" w:cs="Arial"/>
          <w:sz w:val="24"/>
          <w:szCs w:val="24"/>
        </w:rPr>
        <w:t xml:space="preserve">Respondent </w:t>
      </w:r>
      <w:r w:rsidR="00B52C97" w:rsidRPr="0031026D">
        <w:rPr>
          <w:rFonts w:ascii="Arial" w:hAnsi="Arial" w:cs="Arial"/>
          <w:sz w:val="24"/>
          <w:szCs w:val="24"/>
        </w:rPr>
        <w:t>in terms of section 96</w:t>
      </w:r>
      <w:r w:rsidR="00185781" w:rsidRPr="0031026D">
        <w:rPr>
          <w:rFonts w:ascii="Arial" w:hAnsi="Arial" w:cs="Arial"/>
          <w:sz w:val="24"/>
          <w:szCs w:val="24"/>
        </w:rPr>
        <w:t xml:space="preserve"> </w:t>
      </w:r>
      <w:r w:rsidR="00B52C97" w:rsidRPr="0031026D">
        <w:rPr>
          <w:rFonts w:ascii="Arial" w:hAnsi="Arial" w:cs="Arial"/>
          <w:sz w:val="24"/>
          <w:szCs w:val="24"/>
        </w:rPr>
        <w:t>(1) (a) and (b) of the MPRDA</w:t>
      </w:r>
      <w:r w:rsidR="001D7610">
        <w:rPr>
          <w:rFonts w:ascii="Arial" w:hAnsi="Arial" w:cs="Arial"/>
          <w:sz w:val="24"/>
          <w:szCs w:val="24"/>
        </w:rPr>
        <w:t>. H</w:t>
      </w:r>
      <w:r w:rsidR="00B52C97" w:rsidRPr="0031026D">
        <w:rPr>
          <w:rFonts w:ascii="Arial" w:hAnsi="Arial" w:cs="Arial"/>
          <w:sz w:val="24"/>
          <w:szCs w:val="24"/>
        </w:rPr>
        <w:t xml:space="preserve">e is cited as the </w:t>
      </w:r>
      <w:r w:rsidR="001D7610">
        <w:rPr>
          <w:rFonts w:ascii="Arial" w:hAnsi="Arial" w:cs="Arial"/>
          <w:sz w:val="24"/>
          <w:szCs w:val="24"/>
        </w:rPr>
        <w:t>1</w:t>
      </w:r>
      <w:r w:rsidR="001D7610">
        <w:rPr>
          <w:rFonts w:ascii="Arial" w:hAnsi="Arial" w:cs="Arial"/>
          <w:sz w:val="24"/>
          <w:szCs w:val="24"/>
          <w:vertAlign w:val="superscript"/>
        </w:rPr>
        <w:t xml:space="preserve">st </w:t>
      </w:r>
      <w:r w:rsidR="001D7610">
        <w:rPr>
          <w:rFonts w:ascii="Arial" w:hAnsi="Arial" w:cs="Arial"/>
          <w:sz w:val="24"/>
          <w:szCs w:val="24"/>
        </w:rPr>
        <w:t>R</w:t>
      </w:r>
      <w:r w:rsidR="00B52C97" w:rsidRPr="0031026D">
        <w:rPr>
          <w:rFonts w:ascii="Arial" w:hAnsi="Arial" w:cs="Arial"/>
          <w:sz w:val="24"/>
          <w:szCs w:val="24"/>
        </w:rPr>
        <w:t xml:space="preserve">espondent and </w:t>
      </w:r>
      <w:r w:rsidR="001D7610">
        <w:rPr>
          <w:rFonts w:ascii="Arial" w:hAnsi="Arial" w:cs="Arial"/>
          <w:sz w:val="24"/>
          <w:szCs w:val="24"/>
        </w:rPr>
        <w:t xml:space="preserve">DBCM </w:t>
      </w:r>
      <w:r w:rsidR="00B52C97" w:rsidRPr="0031026D">
        <w:rPr>
          <w:rFonts w:ascii="Arial" w:hAnsi="Arial" w:cs="Arial"/>
          <w:sz w:val="24"/>
          <w:szCs w:val="24"/>
        </w:rPr>
        <w:t>seeks to review and set aside his decision to refuse to issue Oaks Mine Closure certificate</w:t>
      </w:r>
      <w:r w:rsidR="00172FB7">
        <w:rPr>
          <w:rFonts w:ascii="Arial" w:hAnsi="Arial" w:cs="Arial"/>
          <w:sz w:val="24"/>
          <w:szCs w:val="24"/>
        </w:rPr>
        <w:t xml:space="preserve">. He </w:t>
      </w:r>
      <w:r w:rsidR="001D7610">
        <w:rPr>
          <w:rFonts w:ascii="Arial" w:hAnsi="Arial" w:cs="Arial"/>
          <w:sz w:val="24"/>
          <w:szCs w:val="24"/>
        </w:rPr>
        <w:t>a</w:t>
      </w:r>
      <w:r w:rsidR="00B52C97" w:rsidRPr="0031026D">
        <w:rPr>
          <w:rFonts w:ascii="Arial" w:hAnsi="Arial" w:cs="Arial"/>
          <w:sz w:val="24"/>
          <w:szCs w:val="24"/>
        </w:rPr>
        <w:t xml:space="preserve">ccordingly, </w:t>
      </w:r>
      <w:r w:rsidR="001D7610">
        <w:rPr>
          <w:rFonts w:ascii="Arial" w:hAnsi="Arial" w:cs="Arial"/>
          <w:sz w:val="24"/>
          <w:szCs w:val="24"/>
        </w:rPr>
        <w:lastRenderedPageBreak/>
        <w:t xml:space="preserve">argued </w:t>
      </w:r>
      <w:r w:rsidR="00B52C97" w:rsidRPr="0031026D">
        <w:rPr>
          <w:rFonts w:ascii="Arial" w:hAnsi="Arial" w:cs="Arial"/>
          <w:sz w:val="24"/>
          <w:szCs w:val="24"/>
        </w:rPr>
        <w:t xml:space="preserve">that </w:t>
      </w:r>
      <w:r w:rsidR="001D7610">
        <w:rPr>
          <w:rFonts w:ascii="Arial" w:hAnsi="Arial" w:cs="Arial"/>
          <w:sz w:val="24"/>
          <w:szCs w:val="24"/>
        </w:rPr>
        <w:t>DBCM’s</w:t>
      </w:r>
      <w:r w:rsidR="00B52C97" w:rsidRPr="0031026D">
        <w:rPr>
          <w:rFonts w:ascii="Arial" w:hAnsi="Arial" w:cs="Arial"/>
          <w:sz w:val="24"/>
          <w:szCs w:val="24"/>
        </w:rPr>
        <w:t xml:space="preserve"> argument o</w:t>
      </w:r>
      <w:r w:rsidR="001D7610">
        <w:rPr>
          <w:rFonts w:ascii="Arial" w:hAnsi="Arial" w:cs="Arial"/>
          <w:sz w:val="24"/>
          <w:szCs w:val="24"/>
        </w:rPr>
        <w:t>f</w:t>
      </w:r>
      <w:r w:rsidR="00B52C97" w:rsidRPr="0031026D">
        <w:rPr>
          <w:rFonts w:ascii="Arial" w:hAnsi="Arial" w:cs="Arial"/>
          <w:sz w:val="24"/>
          <w:szCs w:val="24"/>
        </w:rPr>
        <w:t xml:space="preserve"> lack of competence should be dismissed.</w:t>
      </w:r>
      <w:r w:rsidR="0037379C" w:rsidRPr="00A32AB1">
        <w:rPr>
          <w:rStyle w:val="FootnoteReference"/>
          <w:rFonts w:ascii="Arial" w:hAnsi="Arial" w:cs="Arial"/>
          <w:sz w:val="24"/>
          <w:szCs w:val="24"/>
        </w:rPr>
        <w:footnoteReference w:id="12"/>
      </w:r>
      <w:r w:rsidR="0037379C" w:rsidRPr="0031026D">
        <w:rPr>
          <w:rFonts w:ascii="Arial" w:hAnsi="Arial" w:cs="Arial"/>
          <w:sz w:val="24"/>
          <w:szCs w:val="24"/>
        </w:rPr>
        <w:t xml:space="preserve"> </w:t>
      </w:r>
      <w:r w:rsidR="001D7610">
        <w:rPr>
          <w:rFonts w:ascii="Arial" w:hAnsi="Arial" w:cs="Arial"/>
          <w:sz w:val="24"/>
          <w:szCs w:val="24"/>
        </w:rPr>
        <w:t xml:space="preserve">The submission </w:t>
      </w:r>
      <w:r w:rsidR="0031026D" w:rsidRPr="0031026D">
        <w:rPr>
          <w:rFonts w:ascii="Arial" w:hAnsi="Arial" w:cs="Arial"/>
          <w:sz w:val="24"/>
          <w:szCs w:val="24"/>
        </w:rPr>
        <w:t>is incontrovertible</w:t>
      </w:r>
      <w:r w:rsidR="00AF14AC">
        <w:rPr>
          <w:rFonts w:ascii="Arial" w:hAnsi="Arial" w:cs="Arial"/>
          <w:sz w:val="24"/>
          <w:szCs w:val="24"/>
        </w:rPr>
        <w:t xml:space="preserve"> as he is the person with the knowledge and can </w:t>
      </w:r>
      <w:r w:rsidR="00340FA9">
        <w:rPr>
          <w:rFonts w:ascii="Arial" w:hAnsi="Arial" w:cs="Arial"/>
          <w:sz w:val="24"/>
          <w:szCs w:val="24"/>
        </w:rPr>
        <w:t xml:space="preserve">knowingly </w:t>
      </w:r>
      <w:r w:rsidR="00AF14AC">
        <w:rPr>
          <w:rFonts w:ascii="Arial" w:hAnsi="Arial" w:cs="Arial"/>
          <w:sz w:val="24"/>
          <w:szCs w:val="24"/>
        </w:rPr>
        <w:t>attest to the facts</w:t>
      </w:r>
      <w:r w:rsidR="00340FA9">
        <w:rPr>
          <w:rFonts w:ascii="Arial" w:hAnsi="Arial" w:cs="Arial"/>
          <w:sz w:val="24"/>
          <w:szCs w:val="24"/>
        </w:rPr>
        <w:t xml:space="preserve"> of this matter. </w:t>
      </w:r>
      <w:r w:rsidR="00AF14AC">
        <w:rPr>
          <w:rFonts w:ascii="Arial" w:hAnsi="Arial" w:cs="Arial"/>
          <w:sz w:val="24"/>
          <w:szCs w:val="24"/>
        </w:rPr>
        <w:t xml:space="preserve"> </w:t>
      </w:r>
      <w:r w:rsidR="0031026D" w:rsidRPr="0031026D">
        <w:rPr>
          <w:rFonts w:ascii="Arial" w:hAnsi="Arial" w:cs="Arial"/>
          <w:sz w:val="24"/>
          <w:szCs w:val="24"/>
        </w:rPr>
        <w:t xml:space="preserve"> </w:t>
      </w:r>
    </w:p>
    <w:p w14:paraId="71E005EC" w14:textId="77777777" w:rsidR="008C44CD" w:rsidRPr="00A32AB1" w:rsidRDefault="008C44CD" w:rsidP="00A32AB1">
      <w:pPr>
        <w:pStyle w:val="ListParagraph"/>
        <w:spacing w:after="0" w:line="360" w:lineRule="auto"/>
        <w:rPr>
          <w:rFonts w:ascii="Arial" w:hAnsi="Arial" w:cs="Arial"/>
          <w:sz w:val="24"/>
          <w:szCs w:val="24"/>
        </w:rPr>
      </w:pPr>
    </w:p>
    <w:p w14:paraId="76393F41" w14:textId="6BE43B9F" w:rsidR="0031026D" w:rsidRDefault="00B050DD" w:rsidP="0031026D">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[100</w:t>
      </w:r>
      <w:r w:rsidR="0031026D">
        <w:rPr>
          <w:rFonts w:ascii="Arial" w:hAnsi="Arial" w:cs="Arial"/>
          <w:sz w:val="24"/>
          <w:szCs w:val="24"/>
        </w:rPr>
        <w:t>]</w:t>
      </w:r>
      <w:r w:rsidR="0031026D">
        <w:rPr>
          <w:rFonts w:ascii="Arial" w:hAnsi="Arial" w:cs="Arial"/>
          <w:sz w:val="24"/>
          <w:szCs w:val="24"/>
        </w:rPr>
        <w:tab/>
      </w:r>
      <w:r w:rsidR="001D7610">
        <w:rPr>
          <w:rFonts w:ascii="Arial" w:hAnsi="Arial" w:cs="Arial"/>
          <w:sz w:val="24"/>
          <w:szCs w:val="24"/>
        </w:rPr>
        <w:t>Furthermore, a</w:t>
      </w:r>
      <w:r w:rsidR="0031026D">
        <w:rPr>
          <w:rFonts w:ascii="Arial" w:hAnsi="Arial" w:cs="Arial"/>
          <w:sz w:val="24"/>
          <w:szCs w:val="24"/>
        </w:rPr>
        <w:t xml:space="preserve"> notice of intention to oppose was filed on behalf of the Respondents who are cited on the Notice as the 1</w:t>
      </w:r>
      <w:r w:rsidR="0031026D" w:rsidRPr="0031026D">
        <w:rPr>
          <w:rFonts w:ascii="Arial" w:hAnsi="Arial" w:cs="Arial"/>
          <w:sz w:val="24"/>
          <w:szCs w:val="24"/>
          <w:vertAlign w:val="superscript"/>
        </w:rPr>
        <w:t>st</w:t>
      </w:r>
      <w:r w:rsidR="0031026D">
        <w:rPr>
          <w:rFonts w:ascii="Arial" w:hAnsi="Arial" w:cs="Arial"/>
          <w:sz w:val="24"/>
          <w:szCs w:val="24"/>
        </w:rPr>
        <w:t>, 2</w:t>
      </w:r>
      <w:r w:rsidR="0031026D" w:rsidRPr="0031026D">
        <w:rPr>
          <w:rFonts w:ascii="Arial" w:hAnsi="Arial" w:cs="Arial"/>
          <w:sz w:val="24"/>
          <w:szCs w:val="24"/>
          <w:vertAlign w:val="superscript"/>
        </w:rPr>
        <w:t>nd</w:t>
      </w:r>
      <w:r w:rsidR="0031026D">
        <w:rPr>
          <w:rFonts w:ascii="Arial" w:hAnsi="Arial" w:cs="Arial"/>
          <w:sz w:val="24"/>
          <w:szCs w:val="24"/>
        </w:rPr>
        <w:t xml:space="preserve"> and 3</w:t>
      </w:r>
      <w:r w:rsidR="0031026D" w:rsidRPr="0031026D">
        <w:rPr>
          <w:rFonts w:ascii="Arial" w:hAnsi="Arial" w:cs="Arial"/>
          <w:sz w:val="24"/>
          <w:szCs w:val="24"/>
          <w:vertAlign w:val="superscript"/>
        </w:rPr>
        <w:t>rd</w:t>
      </w:r>
      <w:r w:rsidR="0031026D">
        <w:rPr>
          <w:rFonts w:ascii="Arial" w:hAnsi="Arial" w:cs="Arial"/>
          <w:sz w:val="24"/>
          <w:szCs w:val="24"/>
        </w:rPr>
        <w:t xml:space="preserve"> Respondents</w:t>
      </w:r>
      <w:r w:rsidR="001D7610">
        <w:rPr>
          <w:rFonts w:ascii="Arial" w:hAnsi="Arial" w:cs="Arial"/>
          <w:sz w:val="24"/>
          <w:szCs w:val="24"/>
        </w:rPr>
        <w:t>, t</w:t>
      </w:r>
      <w:r w:rsidR="0031026D">
        <w:rPr>
          <w:rFonts w:ascii="Arial" w:hAnsi="Arial" w:cs="Arial"/>
          <w:sz w:val="24"/>
          <w:szCs w:val="24"/>
        </w:rPr>
        <w:t>he 2</w:t>
      </w:r>
      <w:r w:rsidR="0031026D" w:rsidRPr="0031026D">
        <w:rPr>
          <w:rFonts w:ascii="Arial" w:hAnsi="Arial" w:cs="Arial"/>
          <w:sz w:val="24"/>
          <w:szCs w:val="24"/>
          <w:vertAlign w:val="superscript"/>
        </w:rPr>
        <w:t>nd</w:t>
      </w:r>
      <w:r w:rsidR="0031026D">
        <w:rPr>
          <w:rFonts w:ascii="Arial" w:hAnsi="Arial" w:cs="Arial"/>
          <w:sz w:val="24"/>
          <w:szCs w:val="24"/>
        </w:rPr>
        <w:t xml:space="preserve"> and 3</w:t>
      </w:r>
      <w:r w:rsidR="0031026D" w:rsidRPr="0031026D">
        <w:rPr>
          <w:rFonts w:ascii="Arial" w:hAnsi="Arial" w:cs="Arial"/>
          <w:sz w:val="24"/>
          <w:szCs w:val="24"/>
          <w:vertAlign w:val="superscript"/>
        </w:rPr>
        <w:t>rd</w:t>
      </w:r>
      <w:r w:rsidR="0031026D">
        <w:rPr>
          <w:rFonts w:ascii="Arial" w:hAnsi="Arial" w:cs="Arial"/>
          <w:sz w:val="24"/>
          <w:szCs w:val="24"/>
        </w:rPr>
        <w:t xml:space="preserve"> Respondent’s intention to oppose </w:t>
      </w:r>
      <w:r w:rsidR="001D7610">
        <w:rPr>
          <w:rFonts w:ascii="Arial" w:hAnsi="Arial" w:cs="Arial"/>
          <w:sz w:val="24"/>
          <w:szCs w:val="24"/>
        </w:rPr>
        <w:t xml:space="preserve">being </w:t>
      </w:r>
      <w:r w:rsidR="003C57F5">
        <w:rPr>
          <w:rFonts w:ascii="Arial" w:hAnsi="Arial" w:cs="Arial"/>
          <w:sz w:val="24"/>
          <w:szCs w:val="24"/>
        </w:rPr>
        <w:t xml:space="preserve">expressly </w:t>
      </w:r>
      <w:r w:rsidR="0031026D">
        <w:rPr>
          <w:rFonts w:ascii="Arial" w:hAnsi="Arial" w:cs="Arial"/>
          <w:sz w:val="24"/>
          <w:szCs w:val="24"/>
        </w:rPr>
        <w:t>indicat</w:t>
      </w:r>
      <w:r w:rsidR="00D1249C">
        <w:rPr>
          <w:rFonts w:ascii="Arial" w:hAnsi="Arial" w:cs="Arial"/>
          <w:sz w:val="24"/>
          <w:szCs w:val="24"/>
        </w:rPr>
        <w:t xml:space="preserve">ed </w:t>
      </w:r>
      <w:r w:rsidR="003C57F5">
        <w:rPr>
          <w:rFonts w:ascii="Arial" w:hAnsi="Arial" w:cs="Arial"/>
          <w:sz w:val="24"/>
          <w:szCs w:val="24"/>
        </w:rPr>
        <w:t xml:space="preserve">in </w:t>
      </w:r>
      <w:r w:rsidR="0031026D">
        <w:rPr>
          <w:rFonts w:ascii="Arial" w:hAnsi="Arial" w:cs="Arial"/>
          <w:sz w:val="24"/>
          <w:szCs w:val="24"/>
        </w:rPr>
        <w:t xml:space="preserve">the Notice to oppose. There is therefore no merit </w:t>
      </w:r>
      <w:r w:rsidR="00340FA9">
        <w:rPr>
          <w:rFonts w:ascii="Arial" w:hAnsi="Arial" w:cs="Arial"/>
          <w:sz w:val="24"/>
          <w:szCs w:val="24"/>
        </w:rPr>
        <w:t xml:space="preserve">for </w:t>
      </w:r>
      <w:r w:rsidR="0031026D">
        <w:rPr>
          <w:rFonts w:ascii="Arial" w:hAnsi="Arial" w:cs="Arial"/>
          <w:sz w:val="24"/>
          <w:szCs w:val="24"/>
        </w:rPr>
        <w:t>coming to a conclusion that the</w:t>
      </w:r>
      <w:r w:rsidR="0031026D" w:rsidRPr="0031026D">
        <w:rPr>
          <w:rFonts w:ascii="Arial" w:hAnsi="Arial" w:cs="Arial"/>
          <w:sz w:val="24"/>
          <w:szCs w:val="24"/>
        </w:rPr>
        <w:t xml:space="preserve"> </w:t>
      </w:r>
      <w:r w:rsidR="0031026D">
        <w:rPr>
          <w:rFonts w:ascii="Arial" w:hAnsi="Arial" w:cs="Arial"/>
          <w:sz w:val="24"/>
          <w:szCs w:val="24"/>
        </w:rPr>
        <w:t>2</w:t>
      </w:r>
      <w:r w:rsidR="0031026D" w:rsidRPr="0031026D">
        <w:rPr>
          <w:rFonts w:ascii="Arial" w:hAnsi="Arial" w:cs="Arial"/>
          <w:sz w:val="24"/>
          <w:szCs w:val="24"/>
          <w:vertAlign w:val="superscript"/>
        </w:rPr>
        <w:t>nd</w:t>
      </w:r>
      <w:r w:rsidR="0031026D">
        <w:rPr>
          <w:rFonts w:ascii="Arial" w:hAnsi="Arial" w:cs="Arial"/>
          <w:sz w:val="24"/>
          <w:szCs w:val="24"/>
        </w:rPr>
        <w:t xml:space="preserve"> </w:t>
      </w:r>
      <w:r w:rsidR="001D7610">
        <w:rPr>
          <w:rFonts w:ascii="Arial" w:hAnsi="Arial" w:cs="Arial"/>
          <w:sz w:val="24"/>
          <w:szCs w:val="24"/>
        </w:rPr>
        <w:t>and 3</w:t>
      </w:r>
      <w:r w:rsidR="001D7610" w:rsidRPr="001D7610">
        <w:rPr>
          <w:rFonts w:ascii="Arial" w:hAnsi="Arial" w:cs="Arial"/>
          <w:sz w:val="24"/>
          <w:szCs w:val="24"/>
          <w:vertAlign w:val="superscript"/>
        </w:rPr>
        <w:t>rd</w:t>
      </w:r>
      <w:r w:rsidR="001D7610">
        <w:rPr>
          <w:rFonts w:ascii="Arial" w:hAnsi="Arial" w:cs="Arial"/>
          <w:sz w:val="24"/>
          <w:szCs w:val="24"/>
        </w:rPr>
        <w:t xml:space="preserve"> </w:t>
      </w:r>
      <w:r w:rsidR="0031026D">
        <w:rPr>
          <w:rFonts w:ascii="Arial" w:hAnsi="Arial" w:cs="Arial"/>
          <w:sz w:val="24"/>
          <w:szCs w:val="24"/>
        </w:rPr>
        <w:t xml:space="preserve">Respondent decided not to enter into this debate and therefore are </w:t>
      </w:r>
      <w:r w:rsidR="0031026D" w:rsidRPr="00B52C97">
        <w:rPr>
          <w:rFonts w:ascii="Arial" w:hAnsi="Arial" w:cs="Arial"/>
          <w:sz w:val="24"/>
          <w:szCs w:val="24"/>
        </w:rPr>
        <w:t>not oppos</w:t>
      </w:r>
      <w:r w:rsidR="0031026D">
        <w:rPr>
          <w:rFonts w:ascii="Arial" w:hAnsi="Arial" w:cs="Arial"/>
          <w:sz w:val="24"/>
          <w:szCs w:val="24"/>
        </w:rPr>
        <w:t xml:space="preserve">ing the Application. </w:t>
      </w:r>
    </w:p>
    <w:p w14:paraId="28DB8DB7" w14:textId="77777777" w:rsidR="0031026D" w:rsidRDefault="0031026D" w:rsidP="0031026D">
      <w:pPr>
        <w:pStyle w:val="ListParagraph"/>
        <w:tabs>
          <w:tab w:val="left" w:pos="0"/>
        </w:tabs>
        <w:spacing w:after="0" w:line="360" w:lineRule="auto"/>
        <w:ind w:left="0"/>
        <w:jc w:val="both"/>
        <w:rPr>
          <w:rFonts w:ascii="Arial" w:hAnsi="Arial" w:cs="Arial"/>
          <w:sz w:val="24"/>
          <w:szCs w:val="24"/>
        </w:rPr>
      </w:pPr>
    </w:p>
    <w:p w14:paraId="15E502BF" w14:textId="4F832181" w:rsidR="00950E27" w:rsidRDefault="00B050DD" w:rsidP="00950E27">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[101</w:t>
      </w:r>
      <w:r w:rsidR="0031026D">
        <w:rPr>
          <w:rFonts w:ascii="Arial" w:hAnsi="Arial" w:cs="Arial"/>
          <w:sz w:val="24"/>
          <w:szCs w:val="24"/>
        </w:rPr>
        <w:t>]</w:t>
      </w:r>
      <w:r w:rsidR="0031026D">
        <w:rPr>
          <w:rFonts w:ascii="Arial" w:hAnsi="Arial" w:cs="Arial"/>
          <w:sz w:val="24"/>
          <w:szCs w:val="24"/>
        </w:rPr>
        <w:tab/>
      </w:r>
      <w:r w:rsidR="002A4A71" w:rsidRPr="00DB4D3C">
        <w:rPr>
          <w:rFonts w:ascii="Arial" w:hAnsi="Arial" w:cs="Arial"/>
          <w:sz w:val="24"/>
          <w:szCs w:val="24"/>
        </w:rPr>
        <w:t xml:space="preserve">The court in </w:t>
      </w:r>
      <w:r w:rsidR="002A4A71" w:rsidRPr="00DB4D3C">
        <w:rPr>
          <w:rFonts w:ascii="Arial" w:hAnsi="Arial" w:cs="Arial"/>
          <w:i/>
          <w:iCs/>
          <w:sz w:val="24"/>
          <w:szCs w:val="24"/>
        </w:rPr>
        <w:t>Unlawful Occupiers, School Site v City of Johannesburg</w:t>
      </w:r>
      <w:r w:rsidR="002A4A71">
        <w:rPr>
          <w:rStyle w:val="FootnoteReference"/>
          <w:rFonts w:ascii="Arial" w:hAnsi="Arial" w:cs="Arial"/>
          <w:i/>
          <w:iCs/>
          <w:sz w:val="24"/>
          <w:szCs w:val="24"/>
        </w:rPr>
        <w:footnoteReference w:id="13"/>
      </w:r>
      <w:r w:rsidR="002A4A71" w:rsidRPr="00DB4D3C">
        <w:rPr>
          <w:rFonts w:ascii="Arial" w:hAnsi="Arial" w:cs="Arial"/>
          <w:sz w:val="24"/>
          <w:szCs w:val="24"/>
        </w:rPr>
        <w:t xml:space="preserve"> held </w:t>
      </w:r>
      <w:r w:rsidR="00950E27">
        <w:rPr>
          <w:rFonts w:ascii="Arial" w:hAnsi="Arial" w:cs="Arial"/>
          <w:sz w:val="24"/>
          <w:szCs w:val="24"/>
        </w:rPr>
        <w:t>that:</w:t>
      </w:r>
    </w:p>
    <w:p w14:paraId="4106B203" w14:textId="1AFE595C" w:rsidR="00A1563F" w:rsidRDefault="002A4A71" w:rsidP="00950E27">
      <w:pPr>
        <w:pStyle w:val="ListParagraph"/>
        <w:tabs>
          <w:tab w:val="left" w:pos="0"/>
        </w:tabs>
        <w:spacing w:after="0" w:line="360" w:lineRule="auto"/>
        <w:jc w:val="both"/>
        <w:rPr>
          <w:rFonts w:ascii="Arial" w:hAnsi="Arial" w:cs="Arial"/>
          <w:i/>
          <w:iCs/>
        </w:rPr>
      </w:pPr>
      <w:r w:rsidRPr="00DB4D3C">
        <w:rPr>
          <w:rFonts w:ascii="Arial" w:hAnsi="Arial" w:cs="Arial"/>
          <w:sz w:val="24"/>
          <w:szCs w:val="24"/>
        </w:rPr>
        <w:t>“</w:t>
      </w:r>
      <w:r w:rsidRPr="00DB4D3C">
        <w:rPr>
          <w:rFonts w:ascii="Arial" w:hAnsi="Arial" w:cs="Arial"/>
          <w:i/>
          <w:iCs/>
        </w:rPr>
        <w:t>the remedy of a respondent who wished to challenge the authority of a person allegedly acting on behalf of the purported applicant was provided for in Rule 7(1) of the Uniform Rules of Court.</w:t>
      </w:r>
      <w:r w:rsidRPr="00DB4D3C">
        <w:rPr>
          <w:rFonts w:ascii="Arial" w:hAnsi="Arial" w:cs="Arial"/>
        </w:rPr>
        <w:t xml:space="preserve"> </w:t>
      </w:r>
      <w:r w:rsidRPr="00DB4D3C">
        <w:rPr>
          <w:rFonts w:ascii="Arial" w:hAnsi="Arial" w:cs="Arial"/>
          <w:i/>
          <w:iCs/>
        </w:rPr>
        <w:t>A party who wished to raise the issue of authority should not adopt the procedure of an argument based on no more than a textual analysis of the words used by the deponent in an attempt to prove his own authority. That method invariably resulted in a costly and wasteful investigation, which normally led to the conclusion that the applicant was indeed authorised.</w:t>
      </w:r>
      <w:r w:rsidRPr="00A32AB1">
        <w:rPr>
          <w:rStyle w:val="FootnoteReference"/>
          <w:rFonts w:ascii="Arial" w:hAnsi="Arial" w:cs="Arial"/>
          <w:i/>
          <w:iCs/>
        </w:rPr>
        <w:footnoteReference w:id="14"/>
      </w:r>
    </w:p>
    <w:p w14:paraId="4DBD0557" w14:textId="77777777" w:rsidR="002A4A71" w:rsidRPr="00DB4D3C" w:rsidRDefault="002A4A71" w:rsidP="00DB4D3C">
      <w:pPr>
        <w:pStyle w:val="ListParagraph"/>
        <w:tabs>
          <w:tab w:val="left" w:pos="0"/>
        </w:tabs>
        <w:spacing w:after="0" w:line="360" w:lineRule="auto"/>
        <w:ind w:left="0"/>
        <w:jc w:val="both"/>
        <w:rPr>
          <w:rFonts w:ascii="Arial" w:hAnsi="Arial" w:cs="Arial"/>
          <w:i/>
          <w:iCs/>
        </w:rPr>
      </w:pPr>
    </w:p>
    <w:p w14:paraId="471D7E27" w14:textId="09C87711" w:rsidR="005E6134" w:rsidRPr="005E6134" w:rsidRDefault="00B050DD" w:rsidP="0031026D">
      <w:pPr>
        <w:tabs>
          <w:tab w:val="left" w:pos="0"/>
        </w:tabs>
        <w:spacing w:after="0" w:line="360" w:lineRule="auto"/>
        <w:jc w:val="both"/>
        <w:rPr>
          <w:rFonts w:ascii="Arial" w:hAnsi="Arial" w:cs="Arial"/>
          <w:sz w:val="24"/>
          <w:szCs w:val="24"/>
        </w:rPr>
      </w:pPr>
      <w:r>
        <w:rPr>
          <w:rFonts w:ascii="Arial" w:hAnsi="Arial" w:cs="Arial"/>
          <w:color w:val="000000" w:themeColor="text1"/>
          <w:sz w:val="24"/>
          <w:szCs w:val="24"/>
        </w:rPr>
        <w:t>[102</w:t>
      </w:r>
      <w:r w:rsidR="0031026D">
        <w:rPr>
          <w:rFonts w:ascii="Arial" w:hAnsi="Arial" w:cs="Arial"/>
          <w:color w:val="000000" w:themeColor="text1"/>
          <w:sz w:val="24"/>
          <w:szCs w:val="24"/>
        </w:rPr>
        <w:t>]</w:t>
      </w:r>
      <w:r w:rsidR="0031026D">
        <w:rPr>
          <w:rFonts w:ascii="Arial" w:hAnsi="Arial" w:cs="Arial"/>
          <w:color w:val="000000" w:themeColor="text1"/>
          <w:sz w:val="24"/>
          <w:szCs w:val="24"/>
        </w:rPr>
        <w:tab/>
      </w:r>
      <w:r w:rsidR="005E6134">
        <w:rPr>
          <w:rFonts w:ascii="Arial" w:hAnsi="Arial" w:cs="Arial"/>
          <w:color w:val="000000" w:themeColor="text1"/>
          <w:sz w:val="24"/>
          <w:szCs w:val="24"/>
        </w:rPr>
        <w:t>DBCM has referred to Rule 7 of the Rules of the High Court and has seemed not to appreciate that i</w:t>
      </w:r>
      <w:r w:rsidR="00001CC9" w:rsidRPr="0031026D">
        <w:rPr>
          <w:rFonts w:ascii="Arial" w:hAnsi="Arial" w:cs="Arial"/>
          <w:color w:val="000000" w:themeColor="text1"/>
          <w:sz w:val="24"/>
          <w:szCs w:val="24"/>
        </w:rPr>
        <w:t>n determining the question</w:t>
      </w:r>
      <w:r w:rsidR="005A2A73" w:rsidRPr="0031026D">
        <w:rPr>
          <w:rFonts w:ascii="Arial" w:hAnsi="Arial" w:cs="Arial"/>
          <w:color w:val="000000" w:themeColor="text1"/>
          <w:sz w:val="24"/>
          <w:szCs w:val="24"/>
        </w:rPr>
        <w:t xml:space="preserve"> of</w:t>
      </w:r>
      <w:r w:rsidR="00001CC9" w:rsidRPr="0031026D">
        <w:rPr>
          <w:rFonts w:ascii="Arial" w:hAnsi="Arial" w:cs="Arial"/>
          <w:color w:val="000000" w:themeColor="text1"/>
          <w:sz w:val="24"/>
          <w:szCs w:val="24"/>
        </w:rPr>
        <w:t xml:space="preserve"> whether a person has been authorised to institute and prosecute motion proceedings, it is irrelevant whether such person was authorised to</w:t>
      </w:r>
      <w:r w:rsidR="00D4654A" w:rsidRPr="0031026D">
        <w:rPr>
          <w:rFonts w:ascii="Arial" w:hAnsi="Arial" w:cs="Arial"/>
          <w:color w:val="000000" w:themeColor="text1"/>
          <w:sz w:val="24"/>
          <w:szCs w:val="24"/>
        </w:rPr>
        <w:t> </w:t>
      </w:r>
      <w:r w:rsidR="00001CC9" w:rsidRPr="0031026D">
        <w:rPr>
          <w:rFonts w:ascii="Arial" w:hAnsi="Arial" w:cs="Arial"/>
          <w:color w:val="000000" w:themeColor="text1"/>
          <w:sz w:val="24"/>
          <w:szCs w:val="24"/>
        </w:rPr>
        <w:t>depose</w:t>
      </w:r>
      <w:r w:rsidR="00D4654A" w:rsidRPr="0031026D">
        <w:rPr>
          <w:rFonts w:ascii="Arial" w:hAnsi="Arial" w:cs="Arial"/>
          <w:color w:val="000000" w:themeColor="text1"/>
          <w:sz w:val="24"/>
          <w:szCs w:val="24"/>
        </w:rPr>
        <w:t> </w:t>
      </w:r>
      <w:r w:rsidR="00001CC9" w:rsidRPr="0031026D">
        <w:rPr>
          <w:rFonts w:ascii="Arial" w:hAnsi="Arial" w:cs="Arial"/>
          <w:color w:val="000000" w:themeColor="text1"/>
          <w:sz w:val="24"/>
          <w:szCs w:val="24"/>
        </w:rPr>
        <w:t>to</w:t>
      </w:r>
      <w:r w:rsidR="00D4654A" w:rsidRPr="0031026D">
        <w:rPr>
          <w:rFonts w:ascii="Arial" w:hAnsi="Arial" w:cs="Arial"/>
          <w:color w:val="000000" w:themeColor="text1"/>
          <w:sz w:val="24"/>
          <w:szCs w:val="24"/>
        </w:rPr>
        <w:t> </w:t>
      </w:r>
      <w:r w:rsidR="00001CC9" w:rsidRPr="0031026D">
        <w:rPr>
          <w:rFonts w:ascii="Arial" w:hAnsi="Arial" w:cs="Arial"/>
          <w:color w:val="000000" w:themeColor="text1"/>
          <w:sz w:val="24"/>
          <w:szCs w:val="24"/>
        </w:rPr>
        <w:t>the</w:t>
      </w:r>
      <w:r w:rsidR="00D4654A" w:rsidRPr="0031026D">
        <w:rPr>
          <w:rFonts w:ascii="Arial" w:hAnsi="Arial" w:cs="Arial"/>
          <w:color w:val="000000" w:themeColor="text1"/>
          <w:sz w:val="24"/>
          <w:szCs w:val="24"/>
        </w:rPr>
        <w:t> </w:t>
      </w:r>
      <w:r w:rsidR="00001CC9" w:rsidRPr="0031026D">
        <w:rPr>
          <w:rFonts w:ascii="Arial" w:hAnsi="Arial" w:cs="Arial"/>
          <w:color w:val="000000" w:themeColor="text1"/>
          <w:sz w:val="24"/>
          <w:szCs w:val="24"/>
        </w:rPr>
        <w:t>founding</w:t>
      </w:r>
      <w:r w:rsidR="00D4654A" w:rsidRPr="0031026D">
        <w:rPr>
          <w:rFonts w:ascii="Arial" w:hAnsi="Arial" w:cs="Arial"/>
          <w:color w:val="000000" w:themeColor="text1"/>
          <w:sz w:val="24"/>
          <w:szCs w:val="24"/>
        </w:rPr>
        <w:t> </w:t>
      </w:r>
      <w:r w:rsidR="00001CC9" w:rsidRPr="0031026D">
        <w:rPr>
          <w:rFonts w:ascii="Arial" w:hAnsi="Arial" w:cs="Arial"/>
          <w:color w:val="000000" w:themeColor="text1"/>
          <w:sz w:val="24"/>
          <w:szCs w:val="24"/>
        </w:rPr>
        <w:t>affidavit</w:t>
      </w:r>
      <w:r w:rsidR="001D7610">
        <w:rPr>
          <w:rFonts w:ascii="Arial" w:hAnsi="Arial" w:cs="Arial"/>
          <w:color w:val="000000" w:themeColor="text1"/>
          <w:sz w:val="24"/>
          <w:szCs w:val="24"/>
        </w:rPr>
        <w:t>.</w:t>
      </w:r>
      <w:r w:rsidR="003419A6" w:rsidRPr="00A32AB1">
        <w:rPr>
          <w:rStyle w:val="FootnoteReference"/>
          <w:rFonts w:ascii="Arial" w:hAnsi="Arial" w:cs="Arial"/>
          <w:color w:val="000000" w:themeColor="text1"/>
          <w:sz w:val="24"/>
          <w:szCs w:val="24"/>
        </w:rPr>
        <w:footnoteReference w:id="15"/>
      </w:r>
      <w:r w:rsidR="00FD5AE0">
        <w:rPr>
          <w:rFonts w:ascii="Arial" w:hAnsi="Arial" w:cs="Arial"/>
          <w:color w:val="000000" w:themeColor="text1"/>
          <w:sz w:val="24"/>
          <w:szCs w:val="24"/>
        </w:rPr>
        <w:t xml:space="preserve"> The deponent to an affidavit </w:t>
      </w:r>
      <w:r w:rsidR="00001CC9" w:rsidRPr="0031026D">
        <w:rPr>
          <w:rFonts w:ascii="Arial" w:hAnsi="Arial" w:cs="Arial"/>
          <w:color w:val="000000" w:themeColor="text1"/>
          <w:sz w:val="24"/>
          <w:szCs w:val="24"/>
        </w:rPr>
        <w:t>need not be authorised by the party concerned to depose to the affidavit</w:t>
      </w:r>
      <w:r w:rsidR="00001CC9" w:rsidRPr="0031026D">
        <w:rPr>
          <w:rFonts w:ascii="Arial" w:hAnsi="Arial" w:cs="Arial"/>
          <w:i/>
          <w:iCs/>
          <w:color w:val="000000" w:themeColor="text1"/>
        </w:rPr>
        <w:t>.</w:t>
      </w:r>
      <w:r w:rsidR="00001CC9" w:rsidRPr="00A32AB1">
        <w:rPr>
          <w:rStyle w:val="FootnoteReference"/>
          <w:rFonts w:ascii="Arial" w:hAnsi="Arial" w:cs="Arial"/>
          <w:i/>
          <w:iCs/>
          <w:color w:val="000000" w:themeColor="text1"/>
        </w:rPr>
        <w:footnoteReference w:id="16"/>
      </w:r>
      <w:r w:rsidR="005E6134">
        <w:rPr>
          <w:rFonts w:ascii="Arial" w:hAnsi="Arial" w:cs="Arial"/>
          <w:i/>
          <w:iCs/>
          <w:color w:val="000000" w:themeColor="text1"/>
        </w:rPr>
        <w:t xml:space="preserve"> In </w:t>
      </w:r>
      <w:r w:rsidR="00001CC9" w:rsidRPr="0031026D">
        <w:rPr>
          <w:rFonts w:ascii="Arial" w:hAnsi="Arial" w:cs="Arial"/>
          <w:i/>
          <w:iCs/>
          <w:color w:val="000000" w:themeColor="text1"/>
        </w:rPr>
        <w:t xml:space="preserve"> </w:t>
      </w:r>
      <w:r w:rsidR="005E6134" w:rsidRPr="005E6134">
        <w:rPr>
          <w:rFonts w:ascii="Arial" w:hAnsi="Arial" w:cs="Arial"/>
          <w:iCs/>
          <w:color w:val="000000" w:themeColor="text1"/>
          <w:sz w:val="24"/>
          <w:szCs w:val="24"/>
        </w:rPr>
        <w:t>Games</w:t>
      </w:r>
      <w:r w:rsidR="005E6134">
        <w:rPr>
          <w:rFonts w:ascii="Arial" w:hAnsi="Arial" w:cs="Arial"/>
          <w:iCs/>
          <w:color w:val="000000" w:themeColor="text1"/>
          <w:sz w:val="24"/>
          <w:szCs w:val="24"/>
        </w:rPr>
        <w:t>,</w:t>
      </w:r>
      <w:r w:rsidR="005E6134" w:rsidRPr="005E6134">
        <w:rPr>
          <w:rFonts w:ascii="Arial" w:hAnsi="Arial" w:cs="Arial"/>
          <w:iCs/>
          <w:color w:val="000000" w:themeColor="text1"/>
          <w:sz w:val="24"/>
          <w:szCs w:val="24"/>
        </w:rPr>
        <w:t xml:space="preserve"> who is an authority on the </w:t>
      </w:r>
      <w:r w:rsidR="00FD5AE0" w:rsidRPr="005E6134">
        <w:rPr>
          <w:rFonts w:ascii="Arial" w:hAnsi="Arial" w:cs="Arial"/>
          <w:sz w:val="24"/>
          <w:szCs w:val="24"/>
        </w:rPr>
        <w:t xml:space="preserve">question of </w:t>
      </w:r>
      <w:r w:rsidR="00FD5AE0" w:rsidRPr="005E6134">
        <w:rPr>
          <w:rFonts w:ascii="Arial" w:hAnsi="Arial" w:cs="Arial"/>
          <w:i/>
          <w:sz w:val="24"/>
          <w:szCs w:val="24"/>
        </w:rPr>
        <w:t>locus standi</w:t>
      </w:r>
      <w:r w:rsidR="00FD5AE0" w:rsidRPr="005E6134">
        <w:rPr>
          <w:rFonts w:ascii="Arial" w:hAnsi="Arial" w:cs="Arial"/>
          <w:sz w:val="24"/>
          <w:szCs w:val="24"/>
        </w:rPr>
        <w:t xml:space="preserve"> in relation to the signing of the founding affidavit</w:t>
      </w:r>
      <w:r w:rsidR="005E6134" w:rsidRPr="005E6134">
        <w:rPr>
          <w:rFonts w:ascii="Arial" w:hAnsi="Arial" w:cs="Arial"/>
          <w:sz w:val="24"/>
          <w:szCs w:val="24"/>
        </w:rPr>
        <w:t xml:space="preserve">, </w:t>
      </w:r>
      <w:r w:rsidR="00FD5AE0" w:rsidRPr="005E6134">
        <w:rPr>
          <w:rFonts w:ascii="Arial" w:hAnsi="Arial" w:cs="Arial"/>
          <w:sz w:val="24"/>
          <w:szCs w:val="24"/>
        </w:rPr>
        <w:t>the court held</w:t>
      </w:r>
      <w:r w:rsidR="005E6134" w:rsidRPr="005E6134">
        <w:rPr>
          <w:rFonts w:ascii="Arial" w:hAnsi="Arial" w:cs="Arial"/>
          <w:sz w:val="24"/>
          <w:szCs w:val="24"/>
        </w:rPr>
        <w:t xml:space="preserve"> that</w:t>
      </w:r>
      <w:r w:rsidR="00FD5AE0" w:rsidRPr="005E6134">
        <w:rPr>
          <w:rFonts w:ascii="Arial" w:hAnsi="Arial" w:cs="Arial"/>
          <w:sz w:val="24"/>
          <w:szCs w:val="24"/>
        </w:rPr>
        <w:t xml:space="preserve">: </w:t>
      </w:r>
    </w:p>
    <w:p w14:paraId="5DBC359C" w14:textId="77777777" w:rsidR="005E6134" w:rsidRDefault="005E6134" w:rsidP="0031026D">
      <w:pPr>
        <w:tabs>
          <w:tab w:val="left" w:pos="0"/>
        </w:tabs>
        <w:spacing w:after="0" w:line="360" w:lineRule="auto"/>
        <w:jc w:val="both"/>
      </w:pPr>
      <w:r>
        <w:tab/>
      </w:r>
    </w:p>
    <w:p w14:paraId="759FA46C" w14:textId="547AA0BD" w:rsidR="005E6134" w:rsidRDefault="00FD5AE0" w:rsidP="005E6134">
      <w:pPr>
        <w:tabs>
          <w:tab w:val="left" w:pos="0"/>
        </w:tabs>
        <w:spacing w:after="0" w:line="360" w:lineRule="auto"/>
        <w:ind w:left="720"/>
        <w:jc w:val="both"/>
        <w:rPr>
          <w:rFonts w:ascii="Arial" w:hAnsi="Arial" w:cs="Arial"/>
          <w:color w:val="000000" w:themeColor="text1"/>
          <w:sz w:val="24"/>
          <w:szCs w:val="24"/>
        </w:rPr>
      </w:pPr>
      <w:r w:rsidRPr="005E6134">
        <w:rPr>
          <w:rFonts w:ascii="Arial" w:hAnsi="Arial" w:cs="Arial"/>
          <w:i/>
        </w:rPr>
        <w:t xml:space="preserve">“[19] The deponent to an affidavit in motion proceedings need not be authorised by the party concerned to depose to the affidavit. It is the institution of the proceedings and </w:t>
      </w:r>
      <w:r w:rsidRPr="005E6134">
        <w:rPr>
          <w:rFonts w:ascii="Arial" w:hAnsi="Arial" w:cs="Arial"/>
          <w:i/>
        </w:rPr>
        <w:lastRenderedPageBreak/>
        <w:t>the prosecution thereof which must be authorised. In the present case the proceedings were instituted and prosecuted by a firm of attorneys purporting to act on behalf of the respondent. In an affidavit filed together with the notice of motion a Mr Kurz stated that he was a director in the firm of attorneys acting on behalf of the respondent and that such firm of attorneys was duly appointed to represent the respondent. That statement has not been challenged by the appellants. It must, therefore, be accepted that the institution of the proceedings were duly authorised. In any event, rule 7 provides a procedure to be followed by a respondent who wishes to challenge the authority of an attorney who instituted motion proceedings on behalf of an applicant. The appellants did not avail themselves of the procedure so provided.”</w:t>
      </w:r>
      <w:r w:rsidR="004444F8">
        <w:rPr>
          <w:rStyle w:val="FootnoteReference"/>
          <w:rFonts w:ascii="Arial" w:hAnsi="Arial" w:cs="Arial"/>
          <w:i/>
        </w:rPr>
        <w:footnoteReference w:id="17"/>
      </w:r>
    </w:p>
    <w:p w14:paraId="1DA2418D" w14:textId="77777777" w:rsidR="005E6134" w:rsidRDefault="005E6134" w:rsidP="005E6134">
      <w:pPr>
        <w:tabs>
          <w:tab w:val="left" w:pos="0"/>
        </w:tabs>
        <w:spacing w:after="0" w:line="360" w:lineRule="auto"/>
        <w:ind w:left="720"/>
        <w:jc w:val="both"/>
        <w:rPr>
          <w:rFonts w:ascii="Arial" w:hAnsi="Arial" w:cs="Arial"/>
          <w:color w:val="000000" w:themeColor="text1"/>
          <w:sz w:val="24"/>
          <w:szCs w:val="24"/>
        </w:rPr>
      </w:pPr>
    </w:p>
    <w:p w14:paraId="460527E8" w14:textId="069DAF1F" w:rsidR="002A4A71" w:rsidRPr="0031026D" w:rsidRDefault="00D4654A" w:rsidP="005E6134">
      <w:pPr>
        <w:tabs>
          <w:tab w:val="left" w:pos="0"/>
        </w:tabs>
        <w:spacing w:after="0" w:line="360" w:lineRule="auto"/>
        <w:jc w:val="both"/>
        <w:rPr>
          <w:rFonts w:ascii="Arial" w:hAnsi="Arial" w:cs="Arial"/>
          <w:i/>
          <w:iCs/>
          <w:sz w:val="24"/>
          <w:szCs w:val="24"/>
        </w:rPr>
      </w:pPr>
      <w:r w:rsidRPr="005E6134">
        <w:rPr>
          <w:rFonts w:ascii="Arial" w:hAnsi="Arial" w:cs="Arial"/>
          <w:color w:val="000000" w:themeColor="text1"/>
          <w:sz w:val="24"/>
          <w:szCs w:val="24"/>
        </w:rPr>
        <w:t xml:space="preserve"> </w:t>
      </w:r>
      <w:r w:rsidR="005E6134">
        <w:rPr>
          <w:rFonts w:ascii="Arial" w:hAnsi="Arial" w:cs="Arial"/>
          <w:color w:val="000000" w:themeColor="text1"/>
          <w:sz w:val="24"/>
          <w:szCs w:val="24"/>
        </w:rPr>
        <w:t>[103]</w:t>
      </w:r>
      <w:r w:rsidR="005E6134">
        <w:rPr>
          <w:rFonts w:ascii="Arial" w:hAnsi="Arial" w:cs="Arial"/>
          <w:color w:val="000000" w:themeColor="text1"/>
          <w:sz w:val="24"/>
          <w:szCs w:val="24"/>
        </w:rPr>
        <w:tab/>
      </w:r>
      <w:r w:rsidR="003419A6" w:rsidRPr="0031026D">
        <w:rPr>
          <w:rFonts w:ascii="Arial" w:hAnsi="Arial" w:cs="Arial"/>
          <w:color w:val="000000" w:themeColor="text1"/>
          <w:sz w:val="24"/>
          <w:szCs w:val="24"/>
        </w:rPr>
        <w:t>T</w:t>
      </w:r>
      <w:r w:rsidR="00DA11A2" w:rsidRPr="0031026D">
        <w:rPr>
          <w:rFonts w:ascii="Arial" w:hAnsi="Arial" w:cs="Arial"/>
          <w:color w:val="000000" w:themeColor="text1"/>
          <w:sz w:val="24"/>
          <w:szCs w:val="24"/>
        </w:rPr>
        <w:t xml:space="preserve">he </w:t>
      </w:r>
      <w:r w:rsidR="00DA11A2" w:rsidRPr="0031026D">
        <w:rPr>
          <w:rFonts w:ascii="Arial" w:hAnsi="Arial" w:cs="Arial"/>
          <w:sz w:val="24"/>
          <w:szCs w:val="24"/>
        </w:rPr>
        <w:t>Mineral and Petroleum Resources Development Act does</w:t>
      </w:r>
      <w:r w:rsidR="003633F4" w:rsidRPr="0031026D">
        <w:rPr>
          <w:rFonts w:ascii="Arial" w:hAnsi="Arial" w:cs="Arial"/>
          <w:sz w:val="24"/>
          <w:szCs w:val="24"/>
        </w:rPr>
        <w:t xml:space="preserve"> not</w:t>
      </w:r>
      <w:r w:rsidR="00DA11A2" w:rsidRPr="0031026D">
        <w:rPr>
          <w:rFonts w:ascii="Arial" w:hAnsi="Arial" w:cs="Arial"/>
          <w:sz w:val="24"/>
          <w:szCs w:val="24"/>
        </w:rPr>
        <w:t xml:space="preserve"> explicitly delegate to the Regional Manager the power to litigate.</w:t>
      </w:r>
      <w:r w:rsidRPr="0031026D">
        <w:rPr>
          <w:rFonts w:ascii="Arial" w:hAnsi="Arial" w:cs="Arial"/>
          <w:sz w:val="24"/>
          <w:szCs w:val="24"/>
        </w:rPr>
        <w:t xml:space="preserve"> </w:t>
      </w:r>
      <w:r w:rsidR="003419A6" w:rsidRPr="0031026D">
        <w:rPr>
          <w:rFonts w:ascii="Arial" w:hAnsi="Arial" w:cs="Arial"/>
          <w:sz w:val="24"/>
          <w:szCs w:val="24"/>
        </w:rPr>
        <w:t xml:space="preserve"> </w:t>
      </w:r>
      <w:r w:rsidR="004A570F" w:rsidRPr="0031026D">
        <w:rPr>
          <w:rFonts w:ascii="Arial" w:hAnsi="Arial" w:cs="Arial"/>
          <w:sz w:val="24"/>
          <w:szCs w:val="24"/>
        </w:rPr>
        <w:t xml:space="preserve">In </w:t>
      </w:r>
      <w:r w:rsidR="004A570F" w:rsidRPr="0031026D">
        <w:rPr>
          <w:rFonts w:ascii="Arial" w:hAnsi="Arial" w:cs="Arial"/>
          <w:i/>
          <w:iCs/>
          <w:color w:val="000000" w:themeColor="text1"/>
          <w:sz w:val="24"/>
          <w:szCs w:val="24"/>
        </w:rPr>
        <w:t>African Bank Ltd v Theron and</w:t>
      </w:r>
      <w:r w:rsidR="004A570F" w:rsidRPr="0031026D">
        <w:rPr>
          <w:rFonts w:ascii="Arial" w:hAnsi="Arial" w:cs="Arial"/>
          <w:color w:val="000000" w:themeColor="text1"/>
          <w:sz w:val="24"/>
          <w:szCs w:val="24"/>
        </w:rPr>
        <w:t xml:space="preserve"> </w:t>
      </w:r>
      <w:r w:rsidR="004A570F" w:rsidRPr="0031026D">
        <w:rPr>
          <w:rFonts w:ascii="Arial" w:hAnsi="Arial" w:cs="Arial"/>
          <w:i/>
          <w:color w:val="000000" w:themeColor="text1"/>
          <w:sz w:val="24"/>
          <w:szCs w:val="24"/>
        </w:rPr>
        <w:t>another</w:t>
      </w:r>
      <w:r w:rsidR="004A570F" w:rsidRPr="0031026D">
        <w:rPr>
          <w:rFonts w:ascii="Arial" w:hAnsi="Arial" w:cs="Arial"/>
          <w:color w:val="000000" w:themeColor="text1"/>
          <w:sz w:val="24"/>
          <w:szCs w:val="24"/>
        </w:rPr>
        <w:t>,</w:t>
      </w:r>
      <w:r w:rsidR="005A2A73">
        <w:rPr>
          <w:rStyle w:val="FootnoteReference"/>
          <w:rFonts w:ascii="Arial" w:hAnsi="Arial" w:cs="Arial"/>
          <w:color w:val="000000" w:themeColor="text1"/>
          <w:sz w:val="24"/>
          <w:szCs w:val="24"/>
        </w:rPr>
        <w:footnoteReference w:id="18"/>
      </w:r>
      <w:r w:rsidR="004A570F" w:rsidRPr="0031026D">
        <w:rPr>
          <w:rFonts w:ascii="Arial" w:hAnsi="Arial" w:cs="Arial"/>
          <w:color w:val="000000" w:themeColor="text1"/>
          <w:sz w:val="24"/>
          <w:szCs w:val="24"/>
        </w:rPr>
        <w:t xml:space="preserve"> the </w:t>
      </w:r>
      <w:r w:rsidR="0031026D" w:rsidRPr="0031026D">
        <w:rPr>
          <w:rFonts w:ascii="Arial" w:hAnsi="Arial" w:cs="Arial"/>
          <w:color w:val="000000" w:themeColor="text1"/>
          <w:sz w:val="24"/>
          <w:szCs w:val="24"/>
        </w:rPr>
        <w:t>R</w:t>
      </w:r>
      <w:r w:rsidR="004A570F" w:rsidRPr="0031026D">
        <w:rPr>
          <w:rFonts w:ascii="Arial" w:hAnsi="Arial" w:cs="Arial"/>
          <w:color w:val="000000" w:themeColor="text1"/>
          <w:sz w:val="24"/>
          <w:szCs w:val="24"/>
        </w:rPr>
        <w:t>espondents challenged the authority of the general manager to depose</w:t>
      </w:r>
      <w:r w:rsidR="00DA24A2" w:rsidRPr="0031026D">
        <w:rPr>
          <w:rFonts w:ascii="Arial" w:hAnsi="Arial" w:cs="Arial"/>
          <w:color w:val="000000" w:themeColor="text1"/>
          <w:sz w:val="24"/>
          <w:szCs w:val="24"/>
        </w:rPr>
        <w:t xml:space="preserve"> to the</w:t>
      </w:r>
      <w:r w:rsidR="004A570F" w:rsidRPr="0031026D">
        <w:rPr>
          <w:rFonts w:ascii="Arial" w:hAnsi="Arial" w:cs="Arial"/>
          <w:color w:val="000000" w:themeColor="text1"/>
          <w:sz w:val="24"/>
          <w:szCs w:val="24"/>
        </w:rPr>
        <w:t xml:space="preserve"> affidavit on behalf of the African Bank</w:t>
      </w:r>
      <w:r w:rsidR="00DA24A2" w:rsidRPr="0031026D">
        <w:rPr>
          <w:rFonts w:ascii="Arial" w:hAnsi="Arial" w:cs="Arial"/>
          <w:color w:val="000000" w:themeColor="text1"/>
          <w:sz w:val="24"/>
          <w:szCs w:val="24"/>
        </w:rPr>
        <w:t>. T</w:t>
      </w:r>
      <w:r w:rsidR="004A570F" w:rsidRPr="0031026D">
        <w:rPr>
          <w:rFonts w:ascii="Arial" w:hAnsi="Arial" w:cs="Arial"/>
          <w:color w:val="000000" w:themeColor="text1"/>
          <w:sz w:val="24"/>
          <w:szCs w:val="24"/>
        </w:rPr>
        <w:t xml:space="preserve">he court rejected the </w:t>
      </w:r>
      <w:r w:rsidR="001D7610">
        <w:rPr>
          <w:rFonts w:ascii="Arial" w:hAnsi="Arial" w:cs="Arial"/>
          <w:color w:val="000000" w:themeColor="text1"/>
          <w:sz w:val="24"/>
          <w:szCs w:val="24"/>
        </w:rPr>
        <w:t>R</w:t>
      </w:r>
      <w:r w:rsidR="004A570F" w:rsidRPr="0031026D">
        <w:rPr>
          <w:rFonts w:ascii="Arial" w:hAnsi="Arial" w:cs="Arial"/>
          <w:color w:val="000000" w:themeColor="text1"/>
          <w:sz w:val="24"/>
          <w:szCs w:val="24"/>
        </w:rPr>
        <w:t>espondent’s argument and held that</w:t>
      </w:r>
      <w:r w:rsidR="002A4A71" w:rsidRPr="0031026D">
        <w:rPr>
          <w:rFonts w:ascii="Arial" w:hAnsi="Arial" w:cs="Arial"/>
          <w:color w:val="000000" w:themeColor="text1"/>
          <w:sz w:val="24"/>
          <w:szCs w:val="24"/>
        </w:rPr>
        <w:t>:</w:t>
      </w:r>
    </w:p>
    <w:p w14:paraId="17D3D418" w14:textId="77777777" w:rsidR="0031026D" w:rsidRDefault="0031026D" w:rsidP="0031026D">
      <w:pPr>
        <w:tabs>
          <w:tab w:val="left" w:pos="284"/>
        </w:tabs>
        <w:spacing w:after="0" w:line="360" w:lineRule="auto"/>
        <w:jc w:val="both"/>
        <w:rPr>
          <w:rFonts w:ascii="Arial" w:hAnsi="Arial" w:cs="Arial"/>
          <w:color w:val="000000" w:themeColor="text1"/>
          <w:sz w:val="24"/>
          <w:szCs w:val="24"/>
        </w:rPr>
      </w:pPr>
    </w:p>
    <w:p w14:paraId="6921DD02" w14:textId="5C56315A" w:rsidR="00001CC9" w:rsidRPr="0031026D" w:rsidRDefault="004A570F" w:rsidP="003C57F5">
      <w:pPr>
        <w:tabs>
          <w:tab w:val="left" w:pos="284"/>
        </w:tabs>
        <w:spacing w:after="0" w:line="360" w:lineRule="auto"/>
        <w:ind w:left="1440"/>
        <w:jc w:val="both"/>
        <w:rPr>
          <w:rFonts w:ascii="Arial" w:hAnsi="Arial" w:cs="Arial"/>
          <w:i/>
          <w:iCs/>
          <w:sz w:val="24"/>
          <w:szCs w:val="24"/>
        </w:rPr>
      </w:pPr>
      <w:r w:rsidRPr="0031026D">
        <w:rPr>
          <w:rFonts w:ascii="Arial" w:hAnsi="Arial" w:cs="Arial"/>
          <w:color w:val="000000" w:themeColor="text1"/>
          <w:sz w:val="24"/>
          <w:szCs w:val="24"/>
        </w:rPr>
        <w:t>“</w:t>
      </w:r>
      <w:r w:rsidRPr="004444F8">
        <w:rPr>
          <w:rFonts w:ascii="Arial" w:hAnsi="Arial" w:cs="Arial"/>
          <w:i/>
          <w:iCs/>
          <w:color w:val="000000" w:themeColor="text1"/>
        </w:rPr>
        <w:t>where the challenge to an applicant’s authority to depose to the founding affidavit was weak, a minimum of evidence was sufficient to justify the inference that the applicant was properly before the court</w:t>
      </w:r>
      <w:r w:rsidRPr="004444F8">
        <w:rPr>
          <w:rFonts w:ascii="Arial" w:hAnsi="Arial" w:cs="Arial"/>
          <w:color w:val="000000" w:themeColor="text1"/>
        </w:rPr>
        <w:t>.</w:t>
      </w:r>
      <w:r w:rsidRPr="004444F8">
        <w:rPr>
          <w:rFonts w:ascii="Arial" w:hAnsi="Arial" w:cs="Arial"/>
          <w:color w:val="000000"/>
          <w:shd w:val="clear" w:color="auto" w:fill="FFFFFF"/>
        </w:rPr>
        <w:t xml:space="preserve"> </w:t>
      </w:r>
      <w:r w:rsidRPr="004444F8">
        <w:rPr>
          <w:rFonts w:ascii="Arial" w:hAnsi="Arial" w:cs="Arial"/>
          <w:i/>
          <w:iCs/>
          <w:color w:val="000000" w:themeColor="text1"/>
        </w:rPr>
        <w:t>One of the general powers of management was the power to litigate and to authorise litigation, a fortiori in the case of a juristic person. There was no need for the legislature to enumerate every power of management when it divested one person of all his managerial powers and conferred those powers on another. There could be no meaningful power to manage without the power to exercise the legal rights of the bank, if necessary, by recourse to the courts</w:t>
      </w:r>
      <w:r w:rsidRPr="004444F8">
        <w:rPr>
          <w:rFonts w:ascii="Arial" w:hAnsi="Arial" w:cs="Arial"/>
          <w:color w:val="000000" w:themeColor="text1"/>
        </w:rPr>
        <w:t>”.</w:t>
      </w:r>
      <w:r w:rsidRPr="004444F8">
        <w:rPr>
          <w:rStyle w:val="FootnoteReference"/>
          <w:rFonts w:ascii="Arial" w:hAnsi="Arial" w:cs="Arial"/>
          <w:color w:val="000000" w:themeColor="text1"/>
        </w:rPr>
        <w:footnoteReference w:id="19"/>
      </w:r>
    </w:p>
    <w:p w14:paraId="7962C471" w14:textId="77777777" w:rsidR="004A570F" w:rsidRPr="00A32AB1" w:rsidRDefault="004A570F" w:rsidP="00A32AB1">
      <w:pPr>
        <w:pStyle w:val="ListParagraph"/>
        <w:tabs>
          <w:tab w:val="left" w:pos="0"/>
        </w:tabs>
        <w:spacing w:after="0" w:line="360" w:lineRule="auto"/>
        <w:ind w:left="0"/>
        <w:jc w:val="both"/>
        <w:rPr>
          <w:rFonts w:ascii="Arial" w:hAnsi="Arial" w:cs="Arial"/>
          <w:i/>
          <w:iCs/>
          <w:sz w:val="24"/>
          <w:szCs w:val="24"/>
        </w:rPr>
      </w:pPr>
    </w:p>
    <w:p w14:paraId="5237F818" w14:textId="74DD8E65" w:rsidR="0031026D" w:rsidRPr="0031026D" w:rsidRDefault="00B050DD" w:rsidP="0031026D">
      <w:pPr>
        <w:tabs>
          <w:tab w:val="left" w:pos="0"/>
        </w:tabs>
        <w:spacing w:after="0" w:line="360" w:lineRule="auto"/>
        <w:jc w:val="both"/>
        <w:rPr>
          <w:rFonts w:ascii="Arial" w:hAnsi="Arial" w:cs="Arial"/>
          <w:color w:val="000000" w:themeColor="text1"/>
          <w:sz w:val="24"/>
          <w:szCs w:val="24"/>
        </w:rPr>
      </w:pPr>
      <w:r>
        <w:rPr>
          <w:rFonts w:ascii="Arial" w:hAnsi="Arial" w:cs="Arial"/>
          <w:sz w:val="24"/>
          <w:szCs w:val="24"/>
        </w:rPr>
        <w:t>[10</w:t>
      </w:r>
      <w:r w:rsidR="00287CC0">
        <w:rPr>
          <w:rFonts w:ascii="Arial" w:hAnsi="Arial" w:cs="Arial"/>
          <w:sz w:val="24"/>
          <w:szCs w:val="24"/>
        </w:rPr>
        <w:t>4</w:t>
      </w:r>
      <w:r w:rsidR="00E8780A">
        <w:rPr>
          <w:rFonts w:ascii="Arial" w:hAnsi="Arial" w:cs="Arial"/>
          <w:sz w:val="24"/>
          <w:szCs w:val="24"/>
        </w:rPr>
        <w:t>]</w:t>
      </w:r>
      <w:r w:rsidR="0031026D">
        <w:rPr>
          <w:rFonts w:ascii="Arial" w:hAnsi="Arial" w:cs="Arial"/>
          <w:sz w:val="24"/>
          <w:szCs w:val="24"/>
        </w:rPr>
        <w:tab/>
      </w:r>
      <w:r w:rsidR="0025312E" w:rsidRPr="0031026D">
        <w:rPr>
          <w:rFonts w:ascii="Arial" w:hAnsi="Arial" w:cs="Arial"/>
          <w:sz w:val="24"/>
          <w:szCs w:val="24"/>
        </w:rPr>
        <w:t xml:space="preserve">The </w:t>
      </w:r>
      <w:r w:rsidR="0031026D" w:rsidRPr="0031026D">
        <w:rPr>
          <w:rFonts w:ascii="Arial" w:hAnsi="Arial" w:cs="Arial"/>
          <w:sz w:val="24"/>
          <w:szCs w:val="24"/>
        </w:rPr>
        <w:t>1</w:t>
      </w:r>
      <w:r w:rsidR="0031026D" w:rsidRPr="0031026D">
        <w:rPr>
          <w:rFonts w:ascii="Arial" w:hAnsi="Arial" w:cs="Arial"/>
          <w:sz w:val="24"/>
          <w:szCs w:val="24"/>
          <w:vertAlign w:val="superscript"/>
        </w:rPr>
        <w:t>st</w:t>
      </w:r>
      <w:r w:rsidR="0031026D" w:rsidRPr="0031026D">
        <w:rPr>
          <w:rFonts w:ascii="Arial" w:hAnsi="Arial" w:cs="Arial"/>
          <w:sz w:val="24"/>
          <w:szCs w:val="24"/>
        </w:rPr>
        <w:t xml:space="preserve"> Respondent, as the Regional </w:t>
      </w:r>
      <w:r w:rsidR="00711BA1" w:rsidRPr="0031026D">
        <w:rPr>
          <w:rFonts w:ascii="Arial" w:hAnsi="Arial" w:cs="Arial"/>
          <w:sz w:val="24"/>
          <w:szCs w:val="24"/>
        </w:rPr>
        <w:t>M</w:t>
      </w:r>
      <w:r w:rsidR="0025312E" w:rsidRPr="0031026D">
        <w:rPr>
          <w:rFonts w:ascii="Arial" w:hAnsi="Arial" w:cs="Arial"/>
          <w:sz w:val="24"/>
          <w:szCs w:val="24"/>
        </w:rPr>
        <w:t>anager</w:t>
      </w:r>
      <w:r w:rsidR="0031026D" w:rsidRPr="0031026D">
        <w:rPr>
          <w:rFonts w:ascii="Arial" w:hAnsi="Arial" w:cs="Arial"/>
          <w:sz w:val="24"/>
          <w:szCs w:val="24"/>
        </w:rPr>
        <w:t xml:space="preserve">, </w:t>
      </w:r>
      <w:r w:rsidR="0025312E" w:rsidRPr="0031026D">
        <w:rPr>
          <w:rFonts w:ascii="Arial" w:hAnsi="Arial" w:cs="Arial"/>
          <w:sz w:val="24"/>
          <w:szCs w:val="24"/>
        </w:rPr>
        <w:t xml:space="preserve">says that he is fully authorised to respond to an answering </w:t>
      </w:r>
      <w:r w:rsidR="00DA24A2" w:rsidRPr="0031026D">
        <w:rPr>
          <w:rFonts w:ascii="Arial" w:hAnsi="Arial" w:cs="Arial"/>
          <w:sz w:val="24"/>
          <w:szCs w:val="24"/>
        </w:rPr>
        <w:t xml:space="preserve">affidavit on behalf of the </w:t>
      </w:r>
      <w:r w:rsidR="0031026D" w:rsidRPr="0031026D">
        <w:rPr>
          <w:rFonts w:ascii="Arial" w:hAnsi="Arial" w:cs="Arial"/>
          <w:sz w:val="24"/>
          <w:szCs w:val="24"/>
        </w:rPr>
        <w:t>2</w:t>
      </w:r>
      <w:r w:rsidR="0031026D" w:rsidRPr="0031026D">
        <w:rPr>
          <w:rFonts w:ascii="Arial" w:hAnsi="Arial" w:cs="Arial"/>
          <w:sz w:val="24"/>
          <w:szCs w:val="24"/>
          <w:vertAlign w:val="superscript"/>
        </w:rPr>
        <w:t>nd</w:t>
      </w:r>
      <w:r w:rsidR="0031026D" w:rsidRPr="0031026D">
        <w:rPr>
          <w:rFonts w:ascii="Arial" w:hAnsi="Arial" w:cs="Arial"/>
          <w:sz w:val="24"/>
          <w:szCs w:val="24"/>
        </w:rPr>
        <w:t xml:space="preserve"> and 3</w:t>
      </w:r>
      <w:r w:rsidR="0031026D" w:rsidRPr="0031026D">
        <w:rPr>
          <w:rFonts w:ascii="Arial" w:hAnsi="Arial" w:cs="Arial"/>
          <w:sz w:val="24"/>
          <w:szCs w:val="24"/>
          <w:vertAlign w:val="superscript"/>
        </w:rPr>
        <w:t>rd</w:t>
      </w:r>
      <w:r w:rsidR="0031026D" w:rsidRPr="0031026D">
        <w:rPr>
          <w:rFonts w:ascii="Arial" w:hAnsi="Arial" w:cs="Arial"/>
          <w:sz w:val="24"/>
          <w:szCs w:val="24"/>
        </w:rPr>
        <w:t xml:space="preserve"> R</w:t>
      </w:r>
      <w:r w:rsidR="00DA24A2" w:rsidRPr="0031026D">
        <w:rPr>
          <w:rFonts w:ascii="Arial" w:hAnsi="Arial" w:cs="Arial"/>
          <w:sz w:val="24"/>
          <w:szCs w:val="24"/>
        </w:rPr>
        <w:t>espondents</w:t>
      </w:r>
      <w:r w:rsidR="0025312E" w:rsidRPr="0031026D">
        <w:rPr>
          <w:rFonts w:ascii="Arial" w:hAnsi="Arial" w:cs="Arial"/>
          <w:sz w:val="24"/>
          <w:szCs w:val="24"/>
        </w:rPr>
        <w:t>.  According to the letter</w:t>
      </w:r>
      <w:r w:rsidR="00172FB7">
        <w:rPr>
          <w:rFonts w:ascii="Arial" w:hAnsi="Arial" w:cs="Arial"/>
          <w:sz w:val="24"/>
          <w:szCs w:val="24"/>
        </w:rPr>
        <w:t>s</w:t>
      </w:r>
      <w:r w:rsidR="0025312E" w:rsidRPr="0031026D">
        <w:rPr>
          <w:rFonts w:ascii="Arial" w:hAnsi="Arial" w:cs="Arial"/>
          <w:sz w:val="24"/>
          <w:szCs w:val="24"/>
        </w:rPr>
        <w:t xml:space="preserve"> referred to annex</w:t>
      </w:r>
      <w:r w:rsidR="0031026D" w:rsidRPr="0031026D">
        <w:rPr>
          <w:rFonts w:ascii="Arial" w:hAnsi="Arial" w:cs="Arial"/>
          <w:sz w:val="24"/>
          <w:szCs w:val="24"/>
        </w:rPr>
        <w:t>ed as</w:t>
      </w:r>
      <w:r w:rsidR="0025312E" w:rsidRPr="0031026D">
        <w:rPr>
          <w:rFonts w:ascii="Arial" w:hAnsi="Arial" w:cs="Arial"/>
          <w:sz w:val="24"/>
          <w:szCs w:val="24"/>
        </w:rPr>
        <w:t xml:space="preserve"> FA8, 12 and 13,</w:t>
      </w:r>
      <w:r w:rsidR="00DA24A2">
        <w:rPr>
          <w:rStyle w:val="FootnoteReference"/>
          <w:rFonts w:ascii="Arial" w:hAnsi="Arial" w:cs="Arial"/>
          <w:sz w:val="24"/>
          <w:szCs w:val="24"/>
        </w:rPr>
        <w:footnoteReference w:id="20"/>
      </w:r>
      <w:r w:rsidR="0025312E" w:rsidRPr="0031026D">
        <w:rPr>
          <w:rFonts w:ascii="Arial" w:hAnsi="Arial" w:cs="Arial"/>
          <w:sz w:val="24"/>
          <w:szCs w:val="24"/>
        </w:rPr>
        <w:t xml:space="preserve"> </w:t>
      </w:r>
      <w:r w:rsidR="00172FB7">
        <w:rPr>
          <w:rFonts w:ascii="Arial" w:hAnsi="Arial" w:cs="Arial"/>
          <w:sz w:val="24"/>
          <w:szCs w:val="24"/>
        </w:rPr>
        <w:t>the 1</w:t>
      </w:r>
      <w:r w:rsidR="00172FB7" w:rsidRPr="00172FB7">
        <w:rPr>
          <w:rFonts w:ascii="Arial" w:hAnsi="Arial" w:cs="Arial"/>
          <w:sz w:val="24"/>
          <w:szCs w:val="24"/>
          <w:vertAlign w:val="superscript"/>
        </w:rPr>
        <w:t>st</w:t>
      </w:r>
      <w:r w:rsidR="00172FB7">
        <w:rPr>
          <w:rFonts w:ascii="Arial" w:hAnsi="Arial" w:cs="Arial"/>
          <w:sz w:val="24"/>
          <w:szCs w:val="24"/>
        </w:rPr>
        <w:t xml:space="preserve"> Respondent</w:t>
      </w:r>
      <w:r w:rsidR="0031026D" w:rsidRPr="0031026D">
        <w:rPr>
          <w:rFonts w:ascii="Arial" w:hAnsi="Arial" w:cs="Arial"/>
          <w:sz w:val="24"/>
          <w:szCs w:val="24"/>
        </w:rPr>
        <w:t xml:space="preserve"> was, as a Regional Manager, directly involved in the matter and </w:t>
      </w:r>
      <w:r w:rsidR="0025312E" w:rsidRPr="0031026D">
        <w:rPr>
          <w:rFonts w:ascii="Arial" w:hAnsi="Arial" w:cs="Arial"/>
          <w:sz w:val="24"/>
          <w:szCs w:val="24"/>
        </w:rPr>
        <w:t>dealing with</w:t>
      </w:r>
      <w:r w:rsidR="0031026D" w:rsidRPr="0031026D">
        <w:rPr>
          <w:rFonts w:ascii="Arial" w:hAnsi="Arial" w:cs="Arial"/>
          <w:sz w:val="24"/>
          <w:szCs w:val="24"/>
        </w:rPr>
        <w:t xml:space="preserve"> DBCM</w:t>
      </w:r>
      <w:r w:rsidR="0025312E" w:rsidRPr="0031026D">
        <w:rPr>
          <w:rFonts w:ascii="Arial" w:hAnsi="Arial" w:cs="Arial"/>
          <w:sz w:val="24"/>
          <w:szCs w:val="24"/>
        </w:rPr>
        <w:t xml:space="preserve"> on a personal basis. </w:t>
      </w:r>
      <w:r w:rsidR="0031026D" w:rsidRPr="0031026D">
        <w:rPr>
          <w:rFonts w:ascii="Arial" w:hAnsi="Arial" w:cs="Arial"/>
          <w:sz w:val="24"/>
          <w:szCs w:val="24"/>
        </w:rPr>
        <w:t xml:space="preserve">It is therefore </w:t>
      </w:r>
      <w:r w:rsidR="0025312E" w:rsidRPr="0031026D">
        <w:rPr>
          <w:rFonts w:ascii="Arial" w:hAnsi="Arial" w:cs="Arial"/>
          <w:sz w:val="24"/>
          <w:szCs w:val="24"/>
        </w:rPr>
        <w:t xml:space="preserve">possible to draw inferences from those letters as </w:t>
      </w:r>
      <w:r w:rsidR="0025312E" w:rsidRPr="0031026D">
        <w:rPr>
          <w:rFonts w:ascii="Arial" w:hAnsi="Arial" w:cs="Arial"/>
          <w:sz w:val="24"/>
          <w:szCs w:val="24"/>
        </w:rPr>
        <w:lastRenderedPageBreak/>
        <w:t xml:space="preserve">explained in </w:t>
      </w:r>
      <w:r w:rsidR="0025312E" w:rsidRPr="0031026D">
        <w:rPr>
          <w:rFonts w:ascii="Arial" w:hAnsi="Arial" w:cs="Arial"/>
          <w:i/>
          <w:iCs/>
          <w:sz w:val="24"/>
          <w:szCs w:val="24"/>
        </w:rPr>
        <w:t>African Bank Ltd</w:t>
      </w:r>
      <w:r w:rsidR="0025312E" w:rsidRPr="0031026D">
        <w:rPr>
          <w:rFonts w:ascii="Arial" w:hAnsi="Arial" w:cs="Arial"/>
          <w:sz w:val="24"/>
          <w:szCs w:val="24"/>
        </w:rPr>
        <w:t xml:space="preserve"> that he has authority</w:t>
      </w:r>
      <w:r w:rsidR="000B5845">
        <w:rPr>
          <w:rFonts w:ascii="Arial" w:hAnsi="Arial" w:cs="Arial"/>
          <w:sz w:val="24"/>
          <w:szCs w:val="24"/>
        </w:rPr>
        <w:t>,</w:t>
      </w:r>
      <w:r w:rsidR="00711BA1" w:rsidRPr="0031026D">
        <w:rPr>
          <w:rFonts w:ascii="Arial" w:hAnsi="Arial" w:cs="Arial"/>
          <w:sz w:val="24"/>
          <w:szCs w:val="24"/>
        </w:rPr>
        <w:t xml:space="preserve"> </w:t>
      </w:r>
      <w:r w:rsidR="000B5845">
        <w:rPr>
          <w:rFonts w:ascii="Arial" w:hAnsi="Arial" w:cs="Arial"/>
          <w:sz w:val="24"/>
          <w:szCs w:val="24"/>
        </w:rPr>
        <w:t xml:space="preserve">due to his knowledge of the facts to </w:t>
      </w:r>
      <w:r w:rsidR="00711BA1" w:rsidRPr="0031026D">
        <w:rPr>
          <w:rFonts w:ascii="Arial" w:hAnsi="Arial" w:cs="Arial"/>
          <w:sz w:val="24"/>
          <w:szCs w:val="24"/>
        </w:rPr>
        <w:t>r</w:t>
      </w:r>
      <w:r w:rsidR="0025312E" w:rsidRPr="0031026D">
        <w:rPr>
          <w:rFonts w:ascii="Arial" w:hAnsi="Arial" w:cs="Arial"/>
          <w:sz w:val="24"/>
          <w:szCs w:val="24"/>
        </w:rPr>
        <w:t xml:space="preserve">eply and </w:t>
      </w:r>
      <w:r w:rsidR="00D1249C">
        <w:rPr>
          <w:rFonts w:ascii="Arial" w:hAnsi="Arial" w:cs="Arial"/>
          <w:sz w:val="24"/>
          <w:szCs w:val="24"/>
        </w:rPr>
        <w:t xml:space="preserve">do that </w:t>
      </w:r>
      <w:r w:rsidR="0025312E" w:rsidRPr="0031026D">
        <w:rPr>
          <w:rFonts w:ascii="Arial" w:hAnsi="Arial" w:cs="Arial"/>
          <w:sz w:val="24"/>
          <w:szCs w:val="24"/>
        </w:rPr>
        <w:t xml:space="preserve">on behalf of the </w:t>
      </w:r>
      <w:r w:rsidR="0031026D" w:rsidRPr="0031026D">
        <w:rPr>
          <w:rFonts w:ascii="Arial" w:hAnsi="Arial" w:cs="Arial"/>
          <w:sz w:val="24"/>
          <w:szCs w:val="24"/>
        </w:rPr>
        <w:t>2</w:t>
      </w:r>
      <w:r w:rsidR="0031026D" w:rsidRPr="0031026D">
        <w:rPr>
          <w:rFonts w:ascii="Arial" w:hAnsi="Arial" w:cs="Arial"/>
          <w:sz w:val="24"/>
          <w:szCs w:val="24"/>
          <w:vertAlign w:val="superscript"/>
        </w:rPr>
        <w:t>nd</w:t>
      </w:r>
      <w:r w:rsidR="0031026D" w:rsidRPr="0031026D">
        <w:rPr>
          <w:rFonts w:ascii="Arial" w:hAnsi="Arial" w:cs="Arial"/>
          <w:sz w:val="24"/>
          <w:szCs w:val="24"/>
        </w:rPr>
        <w:t xml:space="preserve"> </w:t>
      </w:r>
      <w:r w:rsidR="0025312E" w:rsidRPr="0031026D">
        <w:rPr>
          <w:rFonts w:ascii="Arial" w:hAnsi="Arial" w:cs="Arial"/>
          <w:sz w:val="24"/>
          <w:szCs w:val="24"/>
        </w:rPr>
        <w:t xml:space="preserve">and </w:t>
      </w:r>
      <w:r w:rsidR="0031026D" w:rsidRPr="0031026D">
        <w:rPr>
          <w:rFonts w:ascii="Arial" w:hAnsi="Arial" w:cs="Arial"/>
          <w:sz w:val="24"/>
          <w:szCs w:val="24"/>
        </w:rPr>
        <w:t>3</w:t>
      </w:r>
      <w:r w:rsidR="0031026D" w:rsidRPr="0031026D">
        <w:rPr>
          <w:rFonts w:ascii="Arial" w:hAnsi="Arial" w:cs="Arial"/>
          <w:sz w:val="24"/>
          <w:szCs w:val="24"/>
          <w:vertAlign w:val="superscript"/>
        </w:rPr>
        <w:t>rd</w:t>
      </w:r>
      <w:r w:rsidR="0031026D" w:rsidRPr="0031026D">
        <w:rPr>
          <w:rFonts w:ascii="Arial" w:hAnsi="Arial" w:cs="Arial"/>
          <w:sz w:val="24"/>
          <w:szCs w:val="24"/>
        </w:rPr>
        <w:t xml:space="preserve"> R</w:t>
      </w:r>
      <w:r w:rsidR="0025312E" w:rsidRPr="0031026D">
        <w:rPr>
          <w:rFonts w:ascii="Arial" w:hAnsi="Arial" w:cs="Arial"/>
          <w:sz w:val="24"/>
          <w:szCs w:val="24"/>
        </w:rPr>
        <w:t xml:space="preserve">espondents.  </w:t>
      </w:r>
    </w:p>
    <w:p w14:paraId="1F896C9B" w14:textId="77777777" w:rsidR="0031026D" w:rsidRPr="0031026D" w:rsidRDefault="0031026D" w:rsidP="0031026D">
      <w:pPr>
        <w:pStyle w:val="ListParagraph"/>
        <w:tabs>
          <w:tab w:val="left" w:pos="0"/>
        </w:tabs>
        <w:spacing w:after="0" w:line="360" w:lineRule="auto"/>
        <w:ind w:left="0"/>
        <w:jc w:val="both"/>
        <w:rPr>
          <w:rFonts w:ascii="Arial" w:hAnsi="Arial" w:cs="Arial"/>
          <w:color w:val="000000" w:themeColor="text1"/>
          <w:sz w:val="24"/>
          <w:szCs w:val="24"/>
        </w:rPr>
      </w:pPr>
    </w:p>
    <w:p w14:paraId="431BCC0C" w14:textId="26B4988A" w:rsidR="00001CC9" w:rsidRPr="0031026D" w:rsidRDefault="00287CC0" w:rsidP="0031026D">
      <w:pPr>
        <w:tabs>
          <w:tab w:val="left" w:pos="0"/>
        </w:tabs>
        <w:spacing w:after="0" w:line="360" w:lineRule="auto"/>
        <w:jc w:val="both"/>
        <w:rPr>
          <w:rFonts w:ascii="Arial" w:hAnsi="Arial" w:cs="Arial"/>
          <w:color w:val="000000" w:themeColor="text1"/>
          <w:sz w:val="24"/>
          <w:szCs w:val="24"/>
        </w:rPr>
      </w:pPr>
      <w:r>
        <w:rPr>
          <w:rFonts w:ascii="Arial" w:hAnsi="Arial" w:cs="Arial"/>
          <w:sz w:val="24"/>
          <w:szCs w:val="24"/>
        </w:rPr>
        <w:t>[105</w:t>
      </w:r>
      <w:r w:rsidR="00E8780A">
        <w:rPr>
          <w:rFonts w:ascii="Arial" w:hAnsi="Arial" w:cs="Arial"/>
          <w:sz w:val="24"/>
          <w:szCs w:val="24"/>
        </w:rPr>
        <w:t>]</w:t>
      </w:r>
      <w:r w:rsidR="0031026D">
        <w:rPr>
          <w:rFonts w:ascii="Arial" w:hAnsi="Arial" w:cs="Arial"/>
          <w:sz w:val="24"/>
          <w:szCs w:val="24"/>
        </w:rPr>
        <w:tab/>
      </w:r>
      <w:r w:rsidR="0031026D" w:rsidRPr="0031026D">
        <w:rPr>
          <w:rFonts w:ascii="Arial" w:hAnsi="Arial" w:cs="Arial"/>
          <w:sz w:val="24"/>
          <w:szCs w:val="24"/>
        </w:rPr>
        <w:t>A</w:t>
      </w:r>
      <w:r w:rsidR="0025312E" w:rsidRPr="0031026D">
        <w:rPr>
          <w:rFonts w:ascii="Arial" w:hAnsi="Arial" w:cs="Arial"/>
          <w:sz w:val="24"/>
          <w:szCs w:val="24"/>
        </w:rPr>
        <w:t xml:space="preserve">ccordingly, the argument </w:t>
      </w:r>
      <w:r w:rsidR="00711BA1" w:rsidRPr="0031026D">
        <w:rPr>
          <w:rFonts w:ascii="Arial" w:hAnsi="Arial" w:cs="Arial"/>
          <w:sz w:val="24"/>
          <w:szCs w:val="24"/>
        </w:rPr>
        <w:t>that</w:t>
      </w:r>
      <w:r w:rsidR="0025312E" w:rsidRPr="0031026D">
        <w:rPr>
          <w:rFonts w:ascii="Arial" w:hAnsi="Arial" w:cs="Arial"/>
          <w:sz w:val="24"/>
          <w:szCs w:val="24"/>
        </w:rPr>
        <w:t xml:space="preserve"> the first respondent has no </w:t>
      </w:r>
      <w:r w:rsidR="0031026D" w:rsidRPr="0031026D">
        <w:rPr>
          <w:rFonts w:ascii="Arial" w:hAnsi="Arial" w:cs="Arial"/>
          <w:sz w:val="24"/>
          <w:szCs w:val="24"/>
        </w:rPr>
        <w:t>authority to file an opposing affidavit on behalf of the Respondents has no merit.</w:t>
      </w:r>
    </w:p>
    <w:p w14:paraId="26E6D60A" w14:textId="77777777" w:rsidR="00894F5C" w:rsidRPr="00A32AB1" w:rsidRDefault="00894F5C" w:rsidP="00A32AB1">
      <w:pPr>
        <w:pStyle w:val="ListParagraph"/>
        <w:tabs>
          <w:tab w:val="left" w:pos="0"/>
        </w:tabs>
        <w:spacing w:after="0" w:line="360" w:lineRule="auto"/>
        <w:ind w:left="0"/>
        <w:jc w:val="both"/>
        <w:rPr>
          <w:rFonts w:ascii="Arial" w:hAnsi="Arial" w:cs="Arial"/>
          <w:color w:val="000000" w:themeColor="text1"/>
          <w:sz w:val="24"/>
          <w:szCs w:val="24"/>
        </w:rPr>
      </w:pPr>
    </w:p>
    <w:p w14:paraId="6349120C" w14:textId="22CE104A" w:rsidR="001173BB" w:rsidRPr="00950E27" w:rsidRDefault="00894F5C" w:rsidP="00A32AB1">
      <w:pPr>
        <w:tabs>
          <w:tab w:val="left" w:pos="0"/>
        </w:tabs>
        <w:spacing w:after="0" w:line="360" w:lineRule="auto"/>
        <w:jc w:val="both"/>
        <w:rPr>
          <w:rFonts w:ascii="Arial" w:hAnsi="Arial" w:cs="Arial"/>
          <w:b/>
          <w:sz w:val="24"/>
          <w:szCs w:val="24"/>
          <w:u w:val="single"/>
        </w:rPr>
      </w:pPr>
      <w:r w:rsidRPr="00950E27">
        <w:rPr>
          <w:rFonts w:ascii="Arial" w:hAnsi="Arial" w:cs="Arial"/>
          <w:b/>
          <w:sz w:val="24"/>
          <w:szCs w:val="24"/>
          <w:u w:val="single"/>
        </w:rPr>
        <w:t xml:space="preserve">Non-joinder </w:t>
      </w:r>
    </w:p>
    <w:p w14:paraId="10627806" w14:textId="77777777" w:rsidR="009C63DC" w:rsidRPr="00A32AB1" w:rsidRDefault="009C63DC" w:rsidP="00A32AB1">
      <w:pPr>
        <w:tabs>
          <w:tab w:val="left" w:pos="0"/>
        </w:tabs>
        <w:spacing w:after="0" w:line="360" w:lineRule="auto"/>
        <w:jc w:val="both"/>
        <w:rPr>
          <w:rFonts w:ascii="Arial" w:hAnsi="Arial" w:cs="Arial"/>
          <w:i/>
          <w:iCs/>
          <w:sz w:val="24"/>
          <w:szCs w:val="24"/>
          <w:u w:val="single"/>
        </w:rPr>
      </w:pPr>
    </w:p>
    <w:p w14:paraId="23AF3C89" w14:textId="50D64719" w:rsidR="00950E27" w:rsidRDefault="0031026D" w:rsidP="0031026D">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w:t>
      </w:r>
      <w:r w:rsidR="00287CC0">
        <w:rPr>
          <w:rFonts w:ascii="Arial" w:hAnsi="Arial" w:cs="Arial"/>
          <w:sz w:val="24"/>
          <w:szCs w:val="24"/>
        </w:rPr>
        <w:t>106</w:t>
      </w:r>
      <w:r>
        <w:rPr>
          <w:rFonts w:ascii="Arial" w:hAnsi="Arial" w:cs="Arial"/>
          <w:sz w:val="24"/>
          <w:szCs w:val="24"/>
        </w:rPr>
        <w:t>]</w:t>
      </w:r>
      <w:r>
        <w:rPr>
          <w:rFonts w:ascii="Arial" w:hAnsi="Arial" w:cs="Arial"/>
          <w:sz w:val="24"/>
          <w:szCs w:val="24"/>
        </w:rPr>
        <w:tab/>
      </w:r>
      <w:r w:rsidR="00950E27" w:rsidRPr="00950E27">
        <w:rPr>
          <w:rFonts w:ascii="Arial" w:hAnsi="Arial" w:cs="Arial"/>
          <w:sz w:val="24"/>
          <w:szCs w:val="24"/>
        </w:rPr>
        <w:t>According to the Respondents, given that they have specialist expertise in their respective fields, the following parties are directly and profoundly involved in this matter</w:t>
      </w:r>
      <w:r w:rsidR="00950E27">
        <w:rPr>
          <w:rFonts w:ascii="Arial" w:hAnsi="Arial" w:cs="Arial"/>
          <w:sz w:val="24"/>
          <w:szCs w:val="24"/>
        </w:rPr>
        <w:t xml:space="preserve">: </w:t>
      </w:r>
      <w:r w:rsidR="00950E27" w:rsidRPr="00950E27">
        <w:rPr>
          <w:rFonts w:ascii="Arial" w:hAnsi="Arial" w:cs="Arial"/>
          <w:sz w:val="24"/>
          <w:szCs w:val="24"/>
        </w:rPr>
        <w:t>T</w:t>
      </w:r>
      <w:r w:rsidR="0025312E" w:rsidRPr="00950E27">
        <w:rPr>
          <w:rFonts w:ascii="Arial" w:hAnsi="Arial" w:cs="Arial"/>
          <w:sz w:val="24"/>
          <w:szCs w:val="24"/>
        </w:rPr>
        <w:t>he</w:t>
      </w:r>
      <w:r w:rsidR="0025312E" w:rsidRPr="00DA24A2">
        <w:rPr>
          <w:rFonts w:ascii="Arial" w:hAnsi="Arial" w:cs="Arial"/>
          <w:sz w:val="24"/>
          <w:szCs w:val="24"/>
        </w:rPr>
        <w:t xml:space="preserve"> Minister of Limpopo Economic Development, Environment and Tourism (MEC: LEDET), Department of Environmental Affairs, Minister of Water and Sanitation, Blouberg Local Municipality, Limpopo Heritage Resources Authority (LHRA), Chief Inspector of Mines and adjacent landowners in the application before this court. </w:t>
      </w:r>
      <w:r w:rsidR="00950E27">
        <w:rPr>
          <w:rFonts w:ascii="Arial" w:hAnsi="Arial" w:cs="Arial"/>
          <w:sz w:val="24"/>
          <w:szCs w:val="24"/>
        </w:rPr>
        <w:t>With reference to the Bator Star</w:t>
      </w:r>
      <w:r w:rsidR="00950E27">
        <w:rPr>
          <w:rStyle w:val="FootnoteReference"/>
          <w:rFonts w:ascii="Arial" w:hAnsi="Arial" w:cs="Arial"/>
          <w:sz w:val="24"/>
          <w:szCs w:val="24"/>
        </w:rPr>
        <w:footnoteReference w:id="21"/>
      </w:r>
      <w:r w:rsidR="00950E27">
        <w:rPr>
          <w:rFonts w:ascii="Arial" w:hAnsi="Arial" w:cs="Arial"/>
          <w:sz w:val="24"/>
          <w:szCs w:val="24"/>
        </w:rPr>
        <w:t xml:space="preserve"> the Respondents advocates allowing the specific parties the autonomy to make findings in the area of their expertise. The CC in that matter held that “a decision that requires an equilibrium between a range of competing interests or considerations and which is to be taken by a person or an institution with specific expertise in that area must be shown respect by the courts.”  </w:t>
      </w:r>
    </w:p>
    <w:p w14:paraId="575BD3D6" w14:textId="1255B841" w:rsidR="00950E27" w:rsidRDefault="00950E27" w:rsidP="0031026D">
      <w:pPr>
        <w:pStyle w:val="ListParagraph"/>
        <w:tabs>
          <w:tab w:val="left" w:pos="0"/>
        </w:tabs>
        <w:spacing w:after="0" w:line="360" w:lineRule="auto"/>
        <w:ind w:left="0"/>
        <w:jc w:val="both"/>
        <w:rPr>
          <w:rFonts w:ascii="Arial" w:hAnsi="Arial" w:cs="Arial"/>
          <w:sz w:val="24"/>
          <w:szCs w:val="24"/>
        </w:rPr>
      </w:pPr>
    </w:p>
    <w:p w14:paraId="7D1A9C43" w14:textId="05DFD492" w:rsidR="001D7610" w:rsidRPr="0091061B" w:rsidRDefault="00E8780A" w:rsidP="0031026D">
      <w:pPr>
        <w:pStyle w:val="ListParagraph"/>
        <w:tabs>
          <w:tab w:val="left" w:pos="0"/>
        </w:tabs>
        <w:spacing w:after="0" w:line="360" w:lineRule="auto"/>
        <w:ind w:left="0"/>
        <w:jc w:val="both"/>
        <w:rPr>
          <w:rFonts w:ascii="Arial" w:hAnsi="Arial" w:cs="Arial"/>
          <w:i/>
          <w:iCs/>
          <w:sz w:val="24"/>
          <w:szCs w:val="24"/>
        </w:rPr>
      </w:pPr>
      <w:r>
        <w:rPr>
          <w:rFonts w:ascii="Arial" w:hAnsi="Arial" w:cs="Arial"/>
          <w:sz w:val="24"/>
          <w:szCs w:val="24"/>
        </w:rPr>
        <w:t>[10</w:t>
      </w:r>
      <w:r w:rsidR="00287CC0">
        <w:rPr>
          <w:rFonts w:ascii="Arial" w:hAnsi="Arial" w:cs="Arial"/>
          <w:sz w:val="24"/>
          <w:szCs w:val="24"/>
        </w:rPr>
        <w:t>7</w:t>
      </w:r>
      <w:r w:rsidR="00D1249C">
        <w:rPr>
          <w:rFonts w:ascii="Arial" w:hAnsi="Arial" w:cs="Arial"/>
          <w:sz w:val="24"/>
          <w:szCs w:val="24"/>
        </w:rPr>
        <w:t>]</w:t>
      </w:r>
      <w:r w:rsidR="00D1249C">
        <w:rPr>
          <w:rFonts w:ascii="Arial" w:hAnsi="Arial" w:cs="Arial"/>
          <w:sz w:val="24"/>
          <w:szCs w:val="24"/>
        </w:rPr>
        <w:tab/>
      </w:r>
      <w:r w:rsidR="00340FA9">
        <w:rPr>
          <w:rFonts w:ascii="Arial" w:hAnsi="Arial" w:cs="Arial"/>
          <w:sz w:val="24"/>
          <w:szCs w:val="24"/>
        </w:rPr>
        <w:t xml:space="preserve">In </w:t>
      </w:r>
      <w:r w:rsidR="00340FA9" w:rsidRPr="00EC76D3">
        <w:rPr>
          <w:rFonts w:ascii="Arial" w:hAnsi="Arial" w:cs="Arial"/>
          <w:i/>
          <w:sz w:val="24"/>
          <w:szCs w:val="24"/>
        </w:rPr>
        <w:t>casu,</w:t>
      </w:r>
      <w:r w:rsidR="00340FA9">
        <w:rPr>
          <w:rFonts w:ascii="Arial" w:hAnsi="Arial" w:cs="Arial"/>
          <w:sz w:val="24"/>
          <w:szCs w:val="24"/>
        </w:rPr>
        <w:t xml:space="preserve"> t</w:t>
      </w:r>
      <w:r w:rsidR="00950E27">
        <w:rPr>
          <w:rFonts w:ascii="Arial" w:hAnsi="Arial" w:cs="Arial"/>
          <w:sz w:val="24"/>
          <w:szCs w:val="24"/>
        </w:rPr>
        <w:t>he determining legislation being subsections 43 (5) and (12) of the MPRDA as it deals with the issuing of the Mine closure certificate</w:t>
      </w:r>
      <w:r w:rsidR="00340FA9">
        <w:rPr>
          <w:rFonts w:ascii="Arial" w:hAnsi="Arial" w:cs="Arial"/>
          <w:sz w:val="24"/>
          <w:szCs w:val="24"/>
        </w:rPr>
        <w:t>, th</w:t>
      </w:r>
      <w:r w:rsidR="0025312E" w:rsidRPr="00DA24A2">
        <w:rPr>
          <w:rFonts w:ascii="Arial" w:hAnsi="Arial" w:cs="Arial"/>
          <w:sz w:val="24"/>
          <w:szCs w:val="24"/>
        </w:rPr>
        <w:t xml:space="preserve">e </w:t>
      </w:r>
      <w:r w:rsidR="001D7610">
        <w:rPr>
          <w:rFonts w:ascii="Arial" w:hAnsi="Arial" w:cs="Arial"/>
          <w:sz w:val="24"/>
          <w:szCs w:val="24"/>
        </w:rPr>
        <w:t>R</w:t>
      </w:r>
      <w:r w:rsidR="00DA24A2" w:rsidRPr="00DA24A2">
        <w:rPr>
          <w:rFonts w:ascii="Arial" w:hAnsi="Arial" w:cs="Arial"/>
          <w:sz w:val="24"/>
          <w:szCs w:val="24"/>
        </w:rPr>
        <w:t>espondent</w:t>
      </w:r>
      <w:r w:rsidR="00D1249C">
        <w:rPr>
          <w:rFonts w:ascii="Arial" w:hAnsi="Arial" w:cs="Arial"/>
          <w:sz w:val="24"/>
          <w:szCs w:val="24"/>
        </w:rPr>
        <w:t>s</w:t>
      </w:r>
      <w:r w:rsidR="0025312E" w:rsidRPr="00DA24A2">
        <w:rPr>
          <w:rFonts w:ascii="Arial" w:hAnsi="Arial" w:cs="Arial"/>
          <w:sz w:val="24"/>
          <w:szCs w:val="24"/>
        </w:rPr>
        <w:t xml:space="preserve"> argue</w:t>
      </w:r>
      <w:r w:rsidR="00340FA9">
        <w:rPr>
          <w:rFonts w:ascii="Arial" w:hAnsi="Arial" w:cs="Arial"/>
          <w:sz w:val="24"/>
          <w:szCs w:val="24"/>
        </w:rPr>
        <w:t>d</w:t>
      </w:r>
      <w:r w:rsidR="0025312E" w:rsidRPr="00DA24A2">
        <w:rPr>
          <w:rFonts w:ascii="Arial" w:hAnsi="Arial" w:cs="Arial"/>
          <w:sz w:val="24"/>
          <w:szCs w:val="24"/>
        </w:rPr>
        <w:t xml:space="preserve"> that, on the ground of failure to join</w:t>
      </w:r>
      <w:r w:rsidR="00DA24A2" w:rsidRPr="00DA24A2">
        <w:rPr>
          <w:rFonts w:ascii="Arial" w:hAnsi="Arial" w:cs="Arial"/>
          <w:sz w:val="24"/>
          <w:szCs w:val="24"/>
        </w:rPr>
        <w:t xml:space="preserve"> these parties</w:t>
      </w:r>
      <w:r w:rsidR="0025312E" w:rsidRPr="00DA24A2">
        <w:rPr>
          <w:rFonts w:ascii="Arial" w:hAnsi="Arial" w:cs="Arial"/>
          <w:sz w:val="24"/>
          <w:szCs w:val="24"/>
        </w:rPr>
        <w:t xml:space="preserve">, the review application before this court should be dismissed. </w:t>
      </w:r>
      <w:r w:rsidR="001D7610">
        <w:rPr>
          <w:rFonts w:ascii="Arial" w:hAnsi="Arial" w:cs="Arial"/>
          <w:sz w:val="24"/>
          <w:szCs w:val="24"/>
        </w:rPr>
        <w:t xml:space="preserve">In terms of s 45 (3) (12) these parties are liable </w:t>
      </w:r>
      <w:r w:rsidR="00D1249C">
        <w:rPr>
          <w:rFonts w:ascii="Arial" w:hAnsi="Arial" w:cs="Arial"/>
          <w:sz w:val="24"/>
          <w:szCs w:val="24"/>
        </w:rPr>
        <w:t xml:space="preserve">for </w:t>
      </w:r>
      <w:r w:rsidR="001D7610">
        <w:rPr>
          <w:rFonts w:ascii="Arial" w:hAnsi="Arial" w:cs="Arial"/>
          <w:sz w:val="24"/>
          <w:szCs w:val="24"/>
        </w:rPr>
        <w:t xml:space="preserve">verification and expected to file reports in relation to the health and safety, rehabilitation of the environment, water and other relevant considerations prior the granting of the report. </w:t>
      </w:r>
    </w:p>
    <w:p w14:paraId="0CB993A0" w14:textId="77777777" w:rsidR="00950E27" w:rsidRDefault="00950E27" w:rsidP="0031026D">
      <w:pPr>
        <w:tabs>
          <w:tab w:val="left" w:pos="0"/>
        </w:tabs>
        <w:spacing w:after="0" w:line="360" w:lineRule="auto"/>
        <w:jc w:val="both"/>
        <w:rPr>
          <w:rFonts w:ascii="Arial" w:hAnsi="Arial" w:cs="Arial"/>
          <w:sz w:val="24"/>
          <w:szCs w:val="24"/>
        </w:rPr>
      </w:pPr>
    </w:p>
    <w:p w14:paraId="4543A3EA" w14:textId="088260B1" w:rsidR="0025312E" w:rsidRPr="0031026D" w:rsidRDefault="00287CC0" w:rsidP="0031026D">
      <w:pPr>
        <w:tabs>
          <w:tab w:val="left" w:pos="0"/>
        </w:tabs>
        <w:spacing w:after="0" w:line="360" w:lineRule="auto"/>
        <w:jc w:val="both"/>
        <w:rPr>
          <w:rFonts w:ascii="Arial" w:hAnsi="Arial" w:cs="Arial"/>
          <w:i/>
          <w:iCs/>
          <w:sz w:val="24"/>
          <w:szCs w:val="24"/>
        </w:rPr>
      </w:pPr>
      <w:r>
        <w:rPr>
          <w:rFonts w:ascii="Arial" w:hAnsi="Arial" w:cs="Arial"/>
          <w:sz w:val="24"/>
          <w:szCs w:val="24"/>
        </w:rPr>
        <w:t>[108</w:t>
      </w:r>
      <w:r w:rsidR="0031026D">
        <w:rPr>
          <w:rFonts w:ascii="Arial" w:hAnsi="Arial" w:cs="Arial"/>
          <w:sz w:val="24"/>
          <w:szCs w:val="24"/>
        </w:rPr>
        <w:t>]</w:t>
      </w:r>
      <w:r w:rsidR="0031026D">
        <w:rPr>
          <w:rFonts w:ascii="Arial" w:hAnsi="Arial" w:cs="Arial"/>
          <w:sz w:val="24"/>
          <w:szCs w:val="24"/>
        </w:rPr>
        <w:tab/>
      </w:r>
      <w:r w:rsidR="00DA24A2" w:rsidRPr="0031026D">
        <w:rPr>
          <w:rFonts w:ascii="Arial" w:hAnsi="Arial" w:cs="Arial"/>
          <w:sz w:val="24"/>
          <w:szCs w:val="24"/>
        </w:rPr>
        <w:t>In contrast</w:t>
      </w:r>
      <w:r w:rsidR="00EC76D3">
        <w:rPr>
          <w:rFonts w:ascii="Arial" w:hAnsi="Arial" w:cs="Arial"/>
          <w:sz w:val="24"/>
          <w:szCs w:val="24"/>
        </w:rPr>
        <w:t>,</w:t>
      </w:r>
      <w:r w:rsidR="00DA24A2" w:rsidRPr="0031026D">
        <w:rPr>
          <w:rFonts w:ascii="Arial" w:hAnsi="Arial" w:cs="Arial"/>
          <w:sz w:val="24"/>
          <w:szCs w:val="24"/>
        </w:rPr>
        <w:t xml:space="preserve"> </w:t>
      </w:r>
      <w:r w:rsidR="001D7610">
        <w:rPr>
          <w:rFonts w:ascii="Arial" w:hAnsi="Arial" w:cs="Arial"/>
          <w:sz w:val="24"/>
          <w:szCs w:val="24"/>
        </w:rPr>
        <w:t>DBCM</w:t>
      </w:r>
      <w:r w:rsidR="0025312E" w:rsidRPr="0031026D">
        <w:rPr>
          <w:rFonts w:ascii="Arial" w:hAnsi="Arial" w:cs="Arial"/>
          <w:sz w:val="24"/>
          <w:szCs w:val="24"/>
        </w:rPr>
        <w:t xml:space="preserve"> submit</w:t>
      </w:r>
      <w:r w:rsidR="003C57F5">
        <w:rPr>
          <w:rFonts w:ascii="Arial" w:hAnsi="Arial" w:cs="Arial"/>
          <w:sz w:val="24"/>
          <w:szCs w:val="24"/>
        </w:rPr>
        <w:t>ted</w:t>
      </w:r>
      <w:r w:rsidR="0025312E" w:rsidRPr="0031026D">
        <w:rPr>
          <w:rFonts w:ascii="Arial" w:hAnsi="Arial" w:cs="Arial"/>
          <w:sz w:val="24"/>
          <w:szCs w:val="24"/>
        </w:rPr>
        <w:t xml:space="preserve"> that, </w:t>
      </w:r>
      <w:r w:rsidR="00950E27">
        <w:rPr>
          <w:rFonts w:ascii="Arial" w:hAnsi="Arial" w:cs="Arial"/>
          <w:sz w:val="24"/>
          <w:szCs w:val="24"/>
        </w:rPr>
        <w:t xml:space="preserve">the </w:t>
      </w:r>
      <w:r w:rsidR="00950E27" w:rsidRPr="0031026D">
        <w:rPr>
          <w:rFonts w:ascii="Arial" w:hAnsi="Arial" w:cs="Arial"/>
          <w:sz w:val="24"/>
          <w:szCs w:val="24"/>
        </w:rPr>
        <w:t>argument of no</w:t>
      </w:r>
      <w:r w:rsidR="00950E27">
        <w:rPr>
          <w:rFonts w:ascii="Arial" w:hAnsi="Arial" w:cs="Arial"/>
          <w:sz w:val="24"/>
          <w:szCs w:val="24"/>
        </w:rPr>
        <w:t>n- joinder</w:t>
      </w:r>
      <w:r w:rsidR="00950E27" w:rsidRPr="0031026D">
        <w:rPr>
          <w:rFonts w:ascii="Arial" w:hAnsi="Arial" w:cs="Arial"/>
          <w:sz w:val="24"/>
          <w:szCs w:val="24"/>
        </w:rPr>
        <w:t xml:space="preserve"> should be rejected</w:t>
      </w:r>
      <w:r w:rsidR="00950E27">
        <w:rPr>
          <w:rFonts w:ascii="Arial" w:hAnsi="Arial" w:cs="Arial"/>
          <w:sz w:val="24"/>
          <w:szCs w:val="24"/>
        </w:rPr>
        <w:t xml:space="preserve"> as t</w:t>
      </w:r>
      <w:r w:rsidR="00950E27" w:rsidRPr="0031026D">
        <w:rPr>
          <w:rFonts w:ascii="Arial" w:hAnsi="Arial" w:cs="Arial"/>
          <w:sz w:val="24"/>
          <w:szCs w:val="24"/>
        </w:rPr>
        <w:t xml:space="preserve">he several ministers and other relevant parties </w:t>
      </w:r>
      <w:r w:rsidR="00950E27">
        <w:rPr>
          <w:rFonts w:ascii="Arial" w:hAnsi="Arial" w:cs="Arial"/>
          <w:sz w:val="24"/>
          <w:szCs w:val="24"/>
        </w:rPr>
        <w:t xml:space="preserve">mentioned </w:t>
      </w:r>
      <w:r w:rsidR="00950E27" w:rsidRPr="0031026D">
        <w:rPr>
          <w:rFonts w:ascii="Arial" w:hAnsi="Arial" w:cs="Arial"/>
          <w:sz w:val="24"/>
          <w:szCs w:val="24"/>
        </w:rPr>
        <w:t xml:space="preserve">by the </w:t>
      </w:r>
      <w:r w:rsidR="00950E27">
        <w:rPr>
          <w:rFonts w:ascii="Arial" w:hAnsi="Arial" w:cs="Arial"/>
          <w:sz w:val="24"/>
          <w:szCs w:val="24"/>
        </w:rPr>
        <w:t>Re</w:t>
      </w:r>
      <w:r w:rsidR="00950E27" w:rsidRPr="0031026D">
        <w:rPr>
          <w:rFonts w:ascii="Arial" w:hAnsi="Arial" w:cs="Arial"/>
          <w:sz w:val="24"/>
          <w:szCs w:val="24"/>
        </w:rPr>
        <w:t>spondents</w:t>
      </w:r>
      <w:r w:rsidR="00950E27">
        <w:rPr>
          <w:rFonts w:ascii="Arial" w:hAnsi="Arial" w:cs="Arial"/>
          <w:sz w:val="24"/>
          <w:szCs w:val="24"/>
        </w:rPr>
        <w:t xml:space="preserve"> </w:t>
      </w:r>
      <w:r w:rsidR="00950E27" w:rsidRPr="0031026D">
        <w:rPr>
          <w:rFonts w:ascii="Arial" w:hAnsi="Arial" w:cs="Arial"/>
          <w:sz w:val="24"/>
          <w:szCs w:val="24"/>
        </w:rPr>
        <w:t>are not required to participate in the present action</w:t>
      </w:r>
      <w:r w:rsidR="00950E27">
        <w:rPr>
          <w:rFonts w:ascii="Arial" w:hAnsi="Arial" w:cs="Arial"/>
          <w:sz w:val="24"/>
          <w:szCs w:val="24"/>
        </w:rPr>
        <w:t xml:space="preserve"> and </w:t>
      </w:r>
      <w:r w:rsidR="00950E27" w:rsidRPr="0031026D">
        <w:rPr>
          <w:rFonts w:ascii="Arial" w:hAnsi="Arial" w:cs="Arial"/>
          <w:sz w:val="24"/>
          <w:szCs w:val="24"/>
        </w:rPr>
        <w:t xml:space="preserve">not necessary to join </w:t>
      </w:r>
      <w:r w:rsidR="00950E27">
        <w:rPr>
          <w:rFonts w:ascii="Arial" w:hAnsi="Arial" w:cs="Arial"/>
          <w:sz w:val="24"/>
          <w:szCs w:val="24"/>
        </w:rPr>
        <w:t xml:space="preserve">them, </w:t>
      </w:r>
      <w:r w:rsidR="0025312E" w:rsidRPr="0031026D">
        <w:rPr>
          <w:rFonts w:ascii="Arial" w:hAnsi="Arial" w:cs="Arial"/>
          <w:sz w:val="24"/>
          <w:szCs w:val="24"/>
        </w:rPr>
        <w:t xml:space="preserve">because the relief sought in the application </w:t>
      </w:r>
      <w:r w:rsidR="00DA24A2" w:rsidRPr="0031026D">
        <w:rPr>
          <w:rFonts w:ascii="Arial" w:hAnsi="Arial" w:cs="Arial"/>
          <w:sz w:val="24"/>
          <w:szCs w:val="24"/>
        </w:rPr>
        <w:t xml:space="preserve">deals with the </w:t>
      </w:r>
      <w:r w:rsidR="001D7610">
        <w:rPr>
          <w:rFonts w:ascii="Arial" w:hAnsi="Arial" w:cs="Arial"/>
          <w:sz w:val="24"/>
          <w:szCs w:val="24"/>
        </w:rPr>
        <w:t>1</w:t>
      </w:r>
      <w:r w:rsidR="001D7610" w:rsidRPr="001D7610">
        <w:rPr>
          <w:rFonts w:ascii="Arial" w:hAnsi="Arial" w:cs="Arial"/>
          <w:sz w:val="24"/>
          <w:szCs w:val="24"/>
          <w:vertAlign w:val="superscript"/>
        </w:rPr>
        <w:t>st</w:t>
      </w:r>
      <w:r w:rsidR="001D7610">
        <w:rPr>
          <w:rFonts w:ascii="Arial" w:hAnsi="Arial" w:cs="Arial"/>
          <w:sz w:val="24"/>
          <w:szCs w:val="24"/>
        </w:rPr>
        <w:t xml:space="preserve"> </w:t>
      </w:r>
      <w:r w:rsidR="001D7610">
        <w:rPr>
          <w:rFonts w:ascii="Arial" w:hAnsi="Arial" w:cs="Arial"/>
          <w:sz w:val="24"/>
          <w:szCs w:val="24"/>
        </w:rPr>
        <w:lastRenderedPageBreak/>
        <w:t>R</w:t>
      </w:r>
      <w:r w:rsidR="00DA24A2" w:rsidRPr="0031026D">
        <w:rPr>
          <w:rFonts w:ascii="Arial" w:hAnsi="Arial" w:cs="Arial"/>
          <w:sz w:val="24"/>
          <w:szCs w:val="24"/>
        </w:rPr>
        <w:t xml:space="preserve">espondent’s decision to refuse to grant DBCM the closure certificate and the failure by the Minister to make a decision on the </w:t>
      </w:r>
      <w:r w:rsidR="001D7610">
        <w:rPr>
          <w:rFonts w:ascii="Arial" w:hAnsi="Arial" w:cs="Arial"/>
          <w:sz w:val="24"/>
          <w:szCs w:val="24"/>
        </w:rPr>
        <w:t xml:space="preserve">internal </w:t>
      </w:r>
      <w:r w:rsidR="00DA24A2" w:rsidRPr="0031026D">
        <w:rPr>
          <w:rFonts w:ascii="Arial" w:hAnsi="Arial" w:cs="Arial"/>
          <w:sz w:val="24"/>
          <w:szCs w:val="24"/>
        </w:rPr>
        <w:t>appeal</w:t>
      </w:r>
      <w:r w:rsidR="003C57F5">
        <w:rPr>
          <w:rFonts w:ascii="Arial" w:hAnsi="Arial" w:cs="Arial"/>
          <w:sz w:val="24"/>
          <w:szCs w:val="24"/>
        </w:rPr>
        <w:t>. However, the decision to grant a closure certificate cannot be made unless the parties mentioned have confirmed in writing that the c</w:t>
      </w:r>
      <w:r w:rsidR="00842D94">
        <w:rPr>
          <w:rFonts w:ascii="Arial" w:hAnsi="Arial" w:cs="Arial"/>
          <w:sz w:val="24"/>
          <w:szCs w:val="24"/>
        </w:rPr>
        <w:t xml:space="preserve">ertain related </w:t>
      </w:r>
      <w:r w:rsidR="003C57F5">
        <w:rPr>
          <w:rFonts w:ascii="Arial" w:hAnsi="Arial" w:cs="Arial"/>
          <w:sz w:val="24"/>
          <w:szCs w:val="24"/>
        </w:rPr>
        <w:t xml:space="preserve">issues have been addressed. </w:t>
      </w:r>
      <w:r w:rsidR="00842D94">
        <w:rPr>
          <w:rFonts w:ascii="Arial" w:hAnsi="Arial" w:cs="Arial"/>
          <w:sz w:val="24"/>
          <w:szCs w:val="24"/>
        </w:rPr>
        <w:t xml:space="preserve">There is also the issue of the game farmer </w:t>
      </w:r>
      <w:r w:rsidR="00172FB7">
        <w:rPr>
          <w:rFonts w:ascii="Arial" w:hAnsi="Arial" w:cs="Arial"/>
          <w:sz w:val="24"/>
          <w:szCs w:val="24"/>
        </w:rPr>
        <w:t xml:space="preserve">to whom DBCM is looking to cede the environmental liabilities. </w:t>
      </w:r>
      <w:r w:rsidR="00DA24A2" w:rsidRPr="0031026D">
        <w:rPr>
          <w:rFonts w:ascii="Arial" w:hAnsi="Arial" w:cs="Arial"/>
          <w:sz w:val="24"/>
          <w:szCs w:val="24"/>
        </w:rPr>
        <w:t xml:space="preserve"> </w:t>
      </w:r>
    </w:p>
    <w:p w14:paraId="44FD400B" w14:textId="77777777" w:rsidR="00DA24A2" w:rsidRPr="0025312E" w:rsidRDefault="00DA24A2" w:rsidP="00DA24A2">
      <w:pPr>
        <w:pStyle w:val="ListParagraph"/>
        <w:tabs>
          <w:tab w:val="left" w:pos="0"/>
        </w:tabs>
        <w:spacing w:after="0" w:line="360" w:lineRule="auto"/>
        <w:ind w:left="0"/>
        <w:jc w:val="both"/>
        <w:rPr>
          <w:rFonts w:ascii="Arial" w:hAnsi="Arial" w:cs="Arial"/>
          <w:i/>
          <w:iCs/>
          <w:sz w:val="24"/>
          <w:szCs w:val="24"/>
        </w:rPr>
      </w:pPr>
    </w:p>
    <w:p w14:paraId="4AFC1C83" w14:textId="08C420AB" w:rsidR="001D7610" w:rsidRDefault="001D7610" w:rsidP="001D7610">
      <w:pPr>
        <w:tabs>
          <w:tab w:val="left" w:pos="567"/>
        </w:tabs>
        <w:spacing w:after="0" w:line="360" w:lineRule="auto"/>
        <w:jc w:val="both"/>
        <w:rPr>
          <w:rFonts w:ascii="Arial" w:hAnsi="Arial" w:cs="Arial"/>
          <w:sz w:val="24"/>
          <w:szCs w:val="24"/>
        </w:rPr>
      </w:pPr>
      <w:r w:rsidRPr="001D7610">
        <w:rPr>
          <w:rFonts w:ascii="Arial" w:hAnsi="Arial" w:cs="Arial"/>
          <w:sz w:val="24"/>
          <w:szCs w:val="24"/>
        </w:rPr>
        <w:t>[</w:t>
      </w:r>
      <w:r w:rsidR="00287CC0">
        <w:rPr>
          <w:rFonts w:ascii="Arial" w:hAnsi="Arial" w:cs="Arial"/>
          <w:sz w:val="24"/>
          <w:szCs w:val="24"/>
        </w:rPr>
        <w:t>109</w:t>
      </w:r>
      <w:r w:rsidR="00E8780A">
        <w:rPr>
          <w:rFonts w:ascii="Arial" w:hAnsi="Arial" w:cs="Arial"/>
          <w:sz w:val="24"/>
          <w:szCs w:val="24"/>
        </w:rPr>
        <w:t>]</w:t>
      </w:r>
      <w:r w:rsidR="00E8780A">
        <w:rPr>
          <w:rFonts w:ascii="Arial" w:hAnsi="Arial" w:cs="Arial"/>
          <w:sz w:val="24"/>
          <w:szCs w:val="24"/>
        </w:rPr>
        <w:tab/>
      </w:r>
      <w:r w:rsidRPr="001D7610">
        <w:rPr>
          <w:rFonts w:ascii="Arial" w:hAnsi="Arial" w:cs="Arial"/>
          <w:sz w:val="24"/>
          <w:szCs w:val="24"/>
        </w:rPr>
        <w:tab/>
        <w:t xml:space="preserve">DBCM </w:t>
      </w:r>
      <w:r>
        <w:rPr>
          <w:rFonts w:ascii="Arial" w:hAnsi="Arial" w:cs="Arial"/>
          <w:sz w:val="24"/>
          <w:szCs w:val="24"/>
        </w:rPr>
        <w:t xml:space="preserve">has also </w:t>
      </w:r>
      <w:r w:rsidR="00950E27">
        <w:rPr>
          <w:rFonts w:ascii="Arial" w:hAnsi="Arial" w:cs="Arial"/>
          <w:sz w:val="24"/>
          <w:szCs w:val="24"/>
        </w:rPr>
        <w:t xml:space="preserve">argued </w:t>
      </w:r>
      <w:r w:rsidRPr="001D7610">
        <w:rPr>
          <w:rFonts w:ascii="Arial" w:hAnsi="Arial" w:cs="Arial"/>
          <w:sz w:val="24"/>
          <w:szCs w:val="24"/>
        </w:rPr>
        <w:t xml:space="preserve">that </w:t>
      </w:r>
      <w:r>
        <w:rPr>
          <w:rFonts w:ascii="Arial" w:hAnsi="Arial" w:cs="Arial"/>
          <w:sz w:val="24"/>
          <w:szCs w:val="24"/>
        </w:rPr>
        <w:t xml:space="preserve">the issue of non-joinder </w:t>
      </w:r>
      <w:r w:rsidRPr="001D7610">
        <w:rPr>
          <w:rFonts w:ascii="Arial" w:hAnsi="Arial" w:cs="Arial"/>
          <w:sz w:val="24"/>
          <w:szCs w:val="24"/>
        </w:rPr>
        <w:t>can only arise depending on what is the court’s decision on the declaratory</w:t>
      </w:r>
      <w:r>
        <w:rPr>
          <w:rFonts w:ascii="Arial" w:hAnsi="Arial" w:cs="Arial"/>
          <w:sz w:val="24"/>
          <w:szCs w:val="24"/>
        </w:rPr>
        <w:t xml:space="preserve"> </w:t>
      </w:r>
      <w:r w:rsidR="003C57F5">
        <w:rPr>
          <w:rFonts w:ascii="Arial" w:hAnsi="Arial" w:cs="Arial"/>
          <w:sz w:val="24"/>
          <w:szCs w:val="24"/>
        </w:rPr>
        <w:t>order sought</w:t>
      </w:r>
      <w:r>
        <w:rPr>
          <w:rFonts w:ascii="Arial" w:hAnsi="Arial" w:cs="Arial"/>
          <w:sz w:val="24"/>
          <w:szCs w:val="24"/>
        </w:rPr>
        <w:t xml:space="preserve">, which is that </w:t>
      </w:r>
      <w:r w:rsidRPr="001D7610">
        <w:rPr>
          <w:rFonts w:ascii="Arial" w:hAnsi="Arial" w:cs="Arial"/>
          <w:sz w:val="24"/>
          <w:szCs w:val="24"/>
        </w:rPr>
        <w:t>the application of the amended s 43 of MPRDA was not retrospective</w:t>
      </w:r>
      <w:r>
        <w:rPr>
          <w:rFonts w:ascii="Arial" w:hAnsi="Arial" w:cs="Arial"/>
          <w:sz w:val="24"/>
          <w:szCs w:val="24"/>
        </w:rPr>
        <w:t>.</w:t>
      </w:r>
      <w:r w:rsidRPr="001D7610">
        <w:rPr>
          <w:rFonts w:ascii="Arial" w:hAnsi="Arial" w:cs="Arial"/>
          <w:sz w:val="24"/>
          <w:szCs w:val="24"/>
        </w:rPr>
        <w:t xml:space="preserve"> If the issue is decided in DBCM’s favour that its Application is to be determined in terms of the old s 43</w:t>
      </w:r>
      <w:r w:rsidR="00BA34F5">
        <w:rPr>
          <w:rFonts w:ascii="Arial" w:hAnsi="Arial" w:cs="Arial"/>
          <w:sz w:val="24"/>
          <w:szCs w:val="24"/>
        </w:rPr>
        <w:t>,</w:t>
      </w:r>
      <w:r w:rsidRPr="001D7610">
        <w:rPr>
          <w:rFonts w:ascii="Arial" w:hAnsi="Arial" w:cs="Arial"/>
          <w:sz w:val="24"/>
          <w:szCs w:val="24"/>
        </w:rPr>
        <w:t xml:space="preserve"> then the issue of joinder will not arise, only if the court decide otherwise will there be a need to deliberate the non-joinder point. </w:t>
      </w:r>
    </w:p>
    <w:p w14:paraId="6511E3B9" w14:textId="334C49B1" w:rsidR="001D7610" w:rsidRDefault="001D7610" w:rsidP="001D7610">
      <w:pPr>
        <w:tabs>
          <w:tab w:val="left" w:pos="567"/>
        </w:tabs>
        <w:spacing w:after="0" w:line="360" w:lineRule="auto"/>
        <w:jc w:val="both"/>
        <w:rPr>
          <w:rFonts w:ascii="Arial" w:hAnsi="Arial" w:cs="Arial"/>
          <w:sz w:val="24"/>
          <w:szCs w:val="24"/>
        </w:rPr>
      </w:pPr>
    </w:p>
    <w:p w14:paraId="56698630" w14:textId="7EE62820" w:rsidR="00DD4F54" w:rsidRPr="0031026D" w:rsidRDefault="001D7610" w:rsidP="0031026D">
      <w:pPr>
        <w:tabs>
          <w:tab w:val="left" w:pos="0"/>
        </w:tabs>
        <w:spacing w:after="0" w:line="360" w:lineRule="auto"/>
        <w:jc w:val="both"/>
        <w:rPr>
          <w:rFonts w:ascii="Arial" w:hAnsi="Arial" w:cs="Arial"/>
          <w:sz w:val="24"/>
          <w:szCs w:val="24"/>
        </w:rPr>
      </w:pPr>
      <w:r>
        <w:rPr>
          <w:rFonts w:ascii="Arial" w:hAnsi="Arial" w:cs="Arial"/>
          <w:sz w:val="24"/>
          <w:szCs w:val="24"/>
        </w:rPr>
        <w:t>[</w:t>
      </w:r>
      <w:r w:rsidR="00287CC0">
        <w:rPr>
          <w:rFonts w:ascii="Arial" w:hAnsi="Arial" w:cs="Arial"/>
          <w:sz w:val="24"/>
          <w:szCs w:val="24"/>
        </w:rPr>
        <w:t>110</w:t>
      </w:r>
      <w:r>
        <w:rPr>
          <w:rFonts w:ascii="Arial" w:hAnsi="Arial" w:cs="Arial"/>
          <w:sz w:val="24"/>
          <w:szCs w:val="24"/>
        </w:rPr>
        <w:t>]</w:t>
      </w:r>
      <w:r>
        <w:rPr>
          <w:rFonts w:ascii="Arial" w:hAnsi="Arial" w:cs="Arial"/>
          <w:sz w:val="24"/>
          <w:szCs w:val="24"/>
        </w:rPr>
        <w:tab/>
      </w:r>
      <w:r w:rsidR="006F2EED" w:rsidRPr="0031026D">
        <w:rPr>
          <w:rFonts w:ascii="Arial" w:hAnsi="Arial" w:cs="Arial"/>
          <w:sz w:val="24"/>
          <w:szCs w:val="24"/>
        </w:rPr>
        <w:t>Joinder is a procedure by which multiple parties or multiple causes of action are joined together in a single action.  There are two forms of joinder of parties: joinder of convenience and joinder of necessity.</w:t>
      </w:r>
      <w:r w:rsidR="00A130EC" w:rsidRPr="0031026D">
        <w:rPr>
          <w:rFonts w:ascii="Arial" w:hAnsi="Arial" w:cs="Arial"/>
        </w:rPr>
        <w:t xml:space="preserve"> </w:t>
      </w:r>
      <w:r w:rsidR="00AA0C8A" w:rsidRPr="0031026D">
        <w:rPr>
          <w:rFonts w:ascii="Arial" w:hAnsi="Arial" w:cs="Arial"/>
        </w:rPr>
        <w:t xml:space="preserve"> </w:t>
      </w:r>
      <w:r w:rsidR="00A130EC" w:rsidRPr="0031026D">
        <w:rPr>
          <w:rFonts w:ascii="Arial" w:hAnsi="Arial" w:cs="Arial"/>
          <w:sz w:val="24"/>
          <w:szCs w:val="24"/>
        </w:rPr>
        <w:t>In order for the applicant to succeed with an application to join the respondent in necessity it should prove that the respondent has a direct and substantial interest in the subject matter of the pending litigation.</w:t>
      </w:r>
      <w:r w:rsidR="00FE71F9" w:rsidRPr="00A32AB1">
        <w:rPr>
          <w:rStyle w:val="FootnoteReference"/>
          <w:rFonts w:ascii="Arial" w:hAnsi="Arial" w:cs="Arial"/>
          <w:sz w:val="24"/>
          <w:szCs w:val="24"/>
        </w:rPr>
        <w:footnoteReference w:id="22"/>
      </w:r>
      <w:r w:rsidR="00FE71F9" w:rsidRPr="0031026D">
        <w:rPr>
          <w:rFonts w:ascii="Arial" w:hAnsi="Arial" w:cs="Arial"/>
          <w:sz w:val="24"/>
          <w:szCs w:val="24"/>
        </w:rPr>
        <w:t xml:space="preserve"> </w:t>
      </w:r>
      <w:r w:rsidR="00DD4F54" w:rsidRPr="0031026D">
        <w:rPr>
          <w:rFonts w:ascii="Arial" w:hAnsi="Arial" w:cs="Arial"/>
          <w:sz w:val="24"/>
          <w:szCs w:val="24"/>
        </w:rPr>
        <w:t xml:space="preserve"> </w:t>
      </w:r>
      <w:r w:rsidR="00E07B1F" w:rsidRPr="0031026D">
        <w:rPr>
          <w:rFonts w:ascii="Arial" w:hAnsi="Arial" w:cs="Arial"/>
          <w:sz w:val="24"/>
          <w:szCs w:val="24"/>
        </w:rPr>
        <w:t>A</w:t>
      </w:r>
      <w:r w:rsidR="00FE71F9" w:rsidRPr="0031026D">
        <w:rPr>
          <w:rFonts w:ascii="Arial" w:hAnsi="Arial" w:cs="Arial"/>
          <w:sz w:val="24"/>
          <w:szCs w:val="24"/>
        </w:rPr>
        <w:t xml:space="preserve"> </w:t>
      </w:r>
      <w:r w:rsidR="00DD4F54" w:rsidRPr="0031026D">
        <w:rPr>
          <w:rFonts w:ascii="Arial" w:hAnsi="Arial" w:cs="Arial"/>
          <w:color w:val="242121"/>
          <w:sz w:val="24"/>
          <w:szCs w:val="24"/>
          <w:shd w:val="clear" w:color="auto" w:fill="FFFFFF"/>
        </w:rPr>
        <w:t>party is joined of convenience because there is a legal tie between the party to be joined and the applicant, which on the ground of equity, the saving of costs, or the avoidance of multiplicity of actions, the Court will deem it in the interest of justice that the matters should be heard together</w:t>
      </w:r>
      <w:r w:rsidR="00FE71F9" w:rsidRPr="0031026D">
        <w:rPr>
          <w:rFonts w:ascii="Arial" w:hAnsi="Arial" w:cs="Arial"/>
          <w:color w:val="242121"/>
          <w:sz w:val="24"/>
          <w:szCs w:val="24"/>
          <w:shd w:val="clear" w:color="auto" w:fill="FFFFFF"/>
        </w:rPr>
        <w:t>.</w:t>
      </w:r>
      <w:r w:rsidR="00FE71F9" w:rsidRPr="00A32AB1">
        <w:rPr>
          <w:rStyle w:val="FootnoteReference"/>
          <w:rFonts w:ascii="Arial" w:hAnsi="Arial" w:cs="Arial"/>
          <w:color w:val="242121"/>
          <w:sz w:val="24"/>
          <w:szCs w:val="24"/>
          <w:shd w:val="clear" w:color="auto" w:fill="FFFFFF"/>
        </w:rPr>
        <w:footnoteReference w:id="23"/>
      </w:r>
    </w:p>
    <w:p w14:paraId="1FA75E7E" w14:textId="77777777" w:rsidR="00950E27" w:rsidRDefault="00950E27" w:rsidP="0031026D">
      <w:pPr>
        <w:tabs>
          <w:tab w:val="left" w:pos="0"/>
        </w:tabs>
        <w:spacing w:after="0" w:line="360" w:lineRule="auto"/>
        <w:jc w:val="both"/>
        <w:rPr>
          <w:rFonts w:ascii="Arial" w:hAnsi="Arial" w:cs="Arial"/>
          <w:sz w:val="24"/>
          <w:szCs w:val="24"/>
        </w:rPr>
      </w:pPr>
    </w:p>
    <w:p w14:paraId="3EABC8C8" w14:textId="3B1ED8EF" w:rsidR="00AF0295" w:rsidRPr="0031026D" w:rsidRDefault="00287CC0" w:rsidP="0031026D">
      <w:pPr>
        <w:tabs>
          <w:tab w:val="left" w:pos="0"/>
        </w:tabs>
        <w:spacing w:after="0" w:line="360" w:lineRule="auto"/>
        <w:jc w:val="both"/>
        <w:rPr>
          <w:rFonts w:ascii="Arial" w:hAnsi="Arial" w:cs="Arial"/>
          <w:sz w:val="24"/>
          <w:szCs w:val="24"/>
        </w:rPr>
      </w:pPr>
      <w:r>
        <w:rPr>
          <w:rFonts w:ascii="Arial" w:hAnsi="Arial" w:cs="Arial"/>
          <w:sz w:val="24"/>
          <w:szCs w:val="24"/>
        </w:rPr>
        <w:t>[111</w:t>
      </w:r>
      <w:r w:rsidR="00E8780A">
        <w:rPr>
          <w:rFonts w:ascii="Arial" w:hAnsi="Arial" w:cs="Arial"/>
          <w:sz w:val="24"/>
          <w:szCs w:val="24"/>
        </w:rPr>
        <w:t>]</w:t>
      </w:r>
      <w:r w:rsidR="0031026D">
        <w:rPr>
          <w:rFonts w:ascii="Arial" w:hAnsi="Arial" w:cs="Arial"/>
          <w:sz w:val="24"/>
          <w:szCs w:val="24"/>
        </w:rPr>
        <w:tab/>
      </w:r>
      <w:r w:rsidR="00AF0295" w:rsidRPr="0031026D">
        <w:rPr>
          <w:rFonts w:ascii="Arial" w:hAnsi="Arial" w:cs="Arial"/>
          <w:sz w:val="24"/>
          <w:szCs w:val="24"/>
        </w:rPr>
        <w:t xml:space="preserve">In </w:t>
      </w:r>
      <w:r w:rsidR="00AF0295" w:rsidRPr="0031026D">
        <w:rPr>
          <w:rFonts w:ascii="Arial" w:hAnsi="Arial" w:cs="Arial"/>
          <w:i/>
          <w:iCs/>
          <w:sz w:val="24"/>
          <w:szCs w:val="24"/>
        </w:rPr>
        <w:t>Judicial Service Commission and Another v Cape Bar Council and another</w:t>
      </w:r>
      <w:r w:rsidR="00AD6F3B">
        <w:rPr>
          <w:rStyle w:val="FootnoteReference"/>
          <w:rFonts w:ascii="Arial" w:hAnsi="Arial" w:cs="Arial"/>
          <w:i/>
          <w:iCs/>
          <w:sz w:val="24"/>
          <w:szCs w:val="24"/>
        </w:rPr>
        <w:footnoteReference w:id="24"/>
      </w:r>
      <w:r w:rsidR="00AD6F3B" w:rsidRPr="0031026D">
        <w:rPr>
          <w:rFonts w:ascii="Arial" w:hAnsi="Arial" w:cs="Arial"/>
          <w:i/>
          <w:iCs/>
          <w:sz w:val="24"/>
          <w:szCs w:val="24"/>
        </w:rPr>
        <w:t xml:space="preserve"> </w:t>
      </w:r>
      <w:r w:rsidR="00AF0295" w:rsidRPr="0031026D">
        <w:rPr>
          <w:rFonts w:ascii="Arial" w:hAnsi="Arial" w:cs="Arial"/>
          <w:iCs/>
          <w:sz w:val="24"/>
          <w:szCs w:val="24"/>
        </w:rPr>
        <w:t>the Court held that</w:t>
      </w:r>
      <w:r w:rsidR="00AF0295" w:rsidRPr="0031026D">
        <w:rPr>
          <w:rFonts w:ascii="Arial" w:hAnsi="Arial" w:cs="Arial"/>
          <w:sz w:val="24"/>
          <w:szCs w:val="24"/>
        </w:rPr>
        <w:t>:</w:t>
      </w:r>
    </w:p>
    <w:p w14:paraId="74A57CE1" w14:textId="77777777" w:rsidR="00875FD7" w:rsidRPr="00A32AB1" w:rsidRDefault="00875FD7" w:rsidP="00875FD7">
      <w:pPr>
        <w:pStyle w:val="ListParagraph"/>
        <w:tabs>
          <w:tab w:val="left" w:pos="0"/>
        </w:tabs>
        <w:spacing w:after="0" w:line="360" w:lineRule="auto"/>
        <w:ind w:left="0"/>
        <w:jc w:val="both"/>
        <w:rPr>
          <w:rFonts w:ascii="Arial" w:hAnsi="Arial" w:cs="Arial"/>
          <w:sz w:val="24"/>
          <w:szCs w:val="24"/>
        </w:rPr>
      </w:pPr>
    </w:p>
    <w:p w14:paraId="5F4281B0" w14:textId="495835EA" w:rsidR="00AF0295" w:rsidRPr="00A32AB1" w:rsidRDefault="00AF0295" w:rsidP="00950E27">
      <w:pPr>
        <w:pStyle w:val="ListParagraph"/>
        <w:tabs>
          <w:tab w:val="left" w:pos="284"/>
        </w:tabs>
        <w:spacing w:after="0" w:line="360" w:lineRule="auto"/>
        <w:jc w:val="both"/>
        <w:rPr>
          <w:rFonts w:ascii="Arial" w:hAnsi="Arial" w:cs="Arial"/>
          <w:i/>
          <w:iCs/>
        </w:rPr>
      </w:pPr>
      <w:r w:rsidRPr="00A32AB1">
        <w:rPr>
          <w:rFonts w:ascii="Arial" w:hAnsi="Arial" w:cs="Arial"/>
          <w:i/>
          <w:iCs/>
        </w:rPr>
        <w:t xml:space="preserve">“[12] </w:t>
      </w:r>
      <w:r w:rsidRPr="00950E27">
        <w:rPr>
          <w:rFonts w:ascii="Arial" w:hAnsi="Arial" w:cs="Arial"/>
          <w:i/>
          <w:iCs/>
          <w:u w:val="single"/>
        </w:rPr>
        <w:t>It has by now become settled law that the joinder of a party is only required as a matter of necessity – as opposed to a matter of convenience</w:t>
      </w:r>
      <w:r w:rsidRPr="00A32AB1">
        <w:rPr>
          <w:rFonts w:ascii="Arial" w:hAnsi="Arial" w:cs="Arial"/>
          <w:i/>
          <w:iCs/>
        </w:rPr>
        <w:t xml:space="preserve"> – if that party has a direct and substantial interest which may be affected prejudicially by the judgment of the court in the proceedings concerned (see e.g. Bowring NO v Vrededorp Properties </w:t>
      </w:r>
      <w:r w:rsidRPr="00A32AB1">
        <w:rPr>
          <w:rFonts w:ascii="Arial" w:hAnsi="Arial" w:cs="Arial"/>
          <w:i/>
          <w:iCs/>
        </w:rPr>
        <w:lastRenderedPageBreak/>
        <w:t>CC </w:t>
      </w:r>
      <w:hyperlink r:id="rId9" w:tooltip="View LawCiteRecord" w:history="1">
        <w:r w:rsidRPr="00A32AB1">
          <w:rPr>
            <w:rStyle w:val="Hyperlink"/>
            <w:rFonts w:ascii="Arial" w:hAnsi="Arial" w:cs="Arial"/>
            <w:i/>
            <w:iCs/>
            <w:color w:val="auto"/>
            <w:u w:val="none"/>
          </w:rPr>
          <w:t>2007 (5) SA 391</w:t>
        </w:r>
      </w:hyperlink>
      <w:r w:rsidRPr="00A32AB1">
        <w:rPr>
          <w:rFonts w:ascii="Arial" w:hAnsi="Arial" w:cs="Arial"/>
          <w:i/>
          <w:iCs/>
        </w:rPr>
        <w:t> (SCA)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w:t>
      </w:r>
      <w:r w:rsidRPr="00A32AB1">
        <w:rPr>
          <w:rStyle w:val="FootnoteReference"/>
          <w:rFonts w:ascii="Arial" w:hAnsi="Arial" w:cs="Arial"/>
          <w:i/>
          <w:iCs/>
        </w:rPr>
        <w:footnoteReference w:id="25"/>
      </w:r>
      <w:r w:rsidR="00950E27">
        <w:rPr>
          <w:rFonts w:ascii="Arial" w:hAnsi="Arial" w:cs="Arial"/>
          <w:i/>
          <w:iCs/>
        </w:rPr>
        <w:t>(my emphasis)</w:t>
      </w:r>
    </w:p>
    <w:p w14:paraId="5AE4797A" w14:textId="77777777" w:rsidR="00950E27" w:rsidRDefault="00950E27" w:rsidP="00950E27">
      <w:pPr>
        <w:pStyle w:val="ListParagraph"/>
        <w:tabs>
          <w:tab w:val="left" w:pos="0"/>
        </w:tabs>
        <w:spacing w:after="0" w:line="360" w:lineRule="auto"/>
        <w:ind w:left="0"/>
        <w:jc w:val="both"/>
        <w:rPr>
          <w:rFonts w:ascii="Arial" w:hAnsi="Arial" w:cs="Arial"/>
          <w:i/>
          <w:iCs/>
        </w:rPr>
      </w:pPr>
    </w:p>
    <w:p w14:paraId="1AAF0497" w14:textId="10C1C57B" w:rsidR="00875FD7" w:rsidRDefault="00950E27" w:rsidP="00950E27">
      <w:pPr>
        <w:pStyle w:val="ListParagraph"/>
        <w:tabs>
          <w:tab w:val="left" w:pos="0"/>
        </w:tabs>
        <w:spacing w:after="0" w:line="360" w:lineRule="auto"/>
        <w:ind w:left="0"/>
        <w:jc w:val="both"/>
        <w:rPr>
          <w:rFonts w:ascii="Arial" w:hAnsi="Arial" w:cs="Arial"/>
          <w:i/>
          <w:iCs/>
          <w:sz w:val="24"/>
          <w:szCs w:val="24"/>
          <w:u w:val="single"/>
        </w:rPr>
      </w:pPr>
      <w:r w:rsidRPr="00950E27">
        <w:rPr>
          <w:rFonts w:ascii="Arial" w:hAnsi="Arial" w:cs="Arial"/>
          <w:iCs/>
        </w:rPr>
        <w:t>[</w:t>
      </w:r>
      <w:r w:rsidR="00287CC0">
        <w:rPr>
          <w:rFonts w:ascii="Arial" w:hAnsi="Arial" w:cs="Arial"/>
          <w:iCs/>
        </w:rPr>
        <w:t>112</w:t>
      </w:r>
      <w:r w:rsidR="00B050DD">
        <w:rPr>
          <w:rFonts w:ascii="Arial" w:hAnsi="Arial" w:cs="Arial"/>
          <w:iCs/>
        </w:rPr>
        <w:t>]</w:t>
      </w:r>
      <w:r>
        <w:rPr>
          <w:rFonts w:ascii="Arial" w:hAnsi="Arial" w:cs="Arial"/>
          <w:i/>
          <w:iCs/>
        </w:rPr>
        <w:tab/>
      </w:r>
      <w:r w:rsidR="00EB13E4" w:rsidRPr="00A32AB1">
        <w:rPr>
          <w:rFonts w:ascii="Arial" w:hAnsi="Arial" w:cs="Arial"/>
          <w:sz w:val="24"/>
          <w:szCs w:val="24"/>
        </w:rPr>
        <w:t xml:space="preserve">In </w:t>
      </w:r>
      <w:r w:rsidR="00AD6F3B" w:rsidRPr="00AD6F3B">
        <w:rPr>
          <w:rFonts w:ascii="Arial" w:hAnsi="Arial" w:cs="Arial"/>
          <w:i/>
          <w:iCs/>
          <w:sz w:val="24"/>
          <w:szCs w:val="24"/>
        </w:rPr>
        <w:t>DE van Loggerenberg and E Bertelsmann Erasmus: Superior Court Practic</w:t>
      </w:r>
      <w:r w:rsidR="00AD6F3B">
        <w:rPr>
          <w:rFonts w:ascii="Arial" w:hAnsi="Arial" w:cs="Arial"/>
          <w:i/>
          <w:iCs/>
          <w:sz w:val="24"/>
          <w:szCs w:val="24"/>
        </w:rPr>
        <w:t xml:space="preserve">e </w:t>
      </w:r>
      <w:r w:rsidR="00EB13E4" w:rsidRPr="00A32AB1">
        <w:rPr>
          <w:rFonts w:ascii="Arial" w:hAnsi="Arial" w:cs="Arial"/>
          <w:i/>
          <w:iCs/>
          <w:sz w:val="24"/>
          <w:szCs w:val="24"/>
        </w:rPr>
        <w:t>Erasmus</w:t>
      </w:r>
      <w:r w:rsidR="00EB13E4" w:rsidRPr="00A32AB1">
        <w:rPr>
          <w:rFonts w:ascii="Arial" w:hAnsi="Arial" w:cs="Arial"/>
          <w:sz w:val="24"/>
          <w:szCs w:val="24"/>
        </w:rPr>
        <w:t xml:space="preserve">, in the commentary on Uniform Rule 10, the issue of non-joinder is discussed. </w:t>
      </w:r>
      <w:r w:rsidR="00F90D7B" w:rsidRPr="00A32AB1">
        <w:rPr>
          <w:rFonts w:ascii="Arial" w:hAnsi="Arial" w:cs="Arial"/>
          <w:sz w:val="24"/>
          <w:szCs w:val="24"/>
        </w:rPr>
        <w:t xml:space="preserve"> </w:t>
      </w:r>
      <w:r w:rsidR="00EB13E4" w:rsidRPr="00A32AB1">
        <w:rPr>
          <w:rFonts w:ascii="Arial" w:hAnsi="Arial" w:cs="Arial"/>
          <w:sz w:val="24"/>
          <w:szCs w:val="24"/>
        </w:rPr>
        <w:t>The following is stated:</w:t>
      </w:r>
    </w:p>
    <w:p w14:paraId="68BE7627" w14:textId="77777777" w:rsidR="00875FD7" w:rsidRPr="00875FD7" w:rsidRDefault="00875FD7" w:rsidP="00875FD7">
      <w:pPr>
        <w:pStyle w:val="ListParagraph"/>
        <w:tabs>
          <w:tab w:val="left" w:pos="0"/>
        </w:tabs>
        <w:spacing w:after="0" w:line="360" w:lineRule="auto"/>
        <w:ind w:left="0"/>
        <w:jc w:val="both"/>
        <w:rPr>
          <w:rFonts w:ascii="Arial" w:hAnsi="Arial" w:cs="Arial"/>
          <w:i/>
          <w:iCs/>
          <w:sz w:val="24"/>
          <w:szCs w:val="24"/>
          <w:u w:val="single"/>
        </w:rPr>
      </w:pPr>
    </w:p>
    <w:p w14:paraId="69DEFBC4" w14:textId="709C20CB" w:rsidR="001173BB" w:rsidRDefault="00EB13E4" w:rsidP="00D1249C">
      <w:pPr>
        <w:tabs>
          <w:tab w:val="left" w:pos="567"/>
        </w:tabs>
        <w:spacing w:after="0" w:line="360" w:lineRule="auto"/>
        <w:ind w:left="1440"/>
        <w:jc w:val="both"/>
        <w:rPr>
          <w:rFonts w:ascii="Arial" w:hAnsi="Arial" w:cs="Arial"/>
          <w:i/>
          <w:iCs/>
        </w:rPr>
      </w:pPr>
      <w:r w:rsidRPr="00A32AB1">
        <w:rPr>
          <w:rFonts w:ascii="Arial" w:hAnsi="Arial" w:cs="Arial"/>
          <w:i/>
          <w:iCs/>
        </w:rPr>
        <w:t>". . . the question as to whether all necessary parties had been joined does not depend upon the nature of the subject matter of the suit, but upon the manner in which, and the extent to which, the court's order may affect the interests of third parties. The test is whether or not a party has a 'direct and substantial interest' in the subject matter of the action, that is, a legal interest in the subject matter of the litigation which may be affected prejudicially by the judgment of the court. A mere financial interest is an indirect interest and may not require joinder of a person having such interest . . . The rule is that any person is a necessary party and should be joined if such person has a direct and substantial interest in any order the court might make, or if such an order cannot be sustained or carried into effect without prejudicing that party, unless the court is satisfied that he has waived his right to be joined."</w:t>
      </w:r>
      <w:r w:rsidR="00894F5C" w:rsidRPr="00A32AB1">
        <w:rPr>
          <w:rStyle w:val="FootnoteReference"/>
          <w:rFonts w:ascii="Arial" w:hAnsi="Arial" w:cs="Arial"/>
          <w:i/>
          <w:iCs/>
        </w:rPr>
        <w:footnoteReference w:id="26"/>
      </w:r>
    </w:p>
    <w:p w14:paraId="1E3C93C2" w14:textId="77777777" w:rsidR="00875FD7" w:rsidRPr="00A32AB1" w:rsidRDefault="00875FD7" w:rsidP="00875FD7">
      <w:pPr>
        <w:tabs>
          <w:tab w:val="left" w:pos="567"/>
        </w:tabs>
        <w:spacing w:after="0" w:line="360" w:lineRule="auto"/>
        <w:jc w:val="both"/>
        <w:rPr>
          <w:rFonts w:ascii="Arial" w:hAnsi="Arial" w:cs="Arial"/>
          <w:i/>
          <w:iCs/>
        </w:rPr>
      </w:pPr>
    </w:p>
    <w:p w14:paraId="307BC875" w14:textId="01A48B59" w:rsidR="00AF0295" w:rsidRPr="00950E27" w:rsidRDefault="00287CC0" w:rsidP="00950E27">
      <w:pPr>
        <w:tabs>
          <w:tab w:val="left" w:pos="0"/>
        </w:tabs>
        <w:spacing w:after="0" w:line="360" w:lineRule="auto"/>
        <w:jc w:val="both"/>
        <w:rPr>
          <w:rFonts w:ascii="Arial" w:hAnsi="Arial" w:cs="Arial"/>
          <w:sz w:val="24"/>
          <w:szCs w:val="24"/>
        </w:rPr>
      </w:pPr>
      <w:r>
        <w:rPr>
          <w:rFonts w:ascii="Arial" w:hAnsi="Arial" w:cs="Arial"/>
          <w:sz w:val="24"/>
          <w:szCs w:val="24"/>
        </w:rPr>
        <w:t>[113</w:t>
      </w:r>
      <w:r w:rsidR="00950E27">
        <w:rPr>
          <w:rFonts w:ascii="Arial" w:hAnsi="Arial" w:cs="Arial"/>
          <w:sz w:val="24"/>
          <w:szCs w:val="24"/>
        </w:rPr>
        <w:t>]</w:t>
      </w:r>
      <w:r w:rsidR="00950E27">
        <w:rPr>
          <w:rFonts w:ascii="Arial" w:hAnsi="Arial" w:cs="Arial"/>
          <w:sz w:val="24"/>
          <w:szCs w:val="24"/>
        </w:rPr>
        <w:tab/>
        <w:t>T</w:t>
      </w:r>
      <w:r w:rsidR="00D97ABB" w:rsidRPr="00950E27">
        <w:rPr>
          <w:rFonts w:ascii="Arial" w:hAnsi="Arial" w:cs="Arial"/>
          <w:sz w:val="24"/>
          <w:szCs w:val="24"/>
        </w:rPr>
        <w:t xml:space="preserve">he Court in </w:t>
      </w:r>
      <w:r w:rsidR="00D97ABB" w:rsidRPr="00950E27">
        <w:rPr>
          <w:rFonts w:ascii="Arial" w:hAnsi="Arial" w:cs="Arial"/>
          <w:i/>
          <w:iCs/>
          <w:sz w:val="24"/>
          <w:szCs w:val="24"/>
        </w:rPr>
        <w:t>Gordon</w:t>
      </w:r>
      <w:r w:rsidR="00D97ABB" w:rsidRPr="00950E27">
        <w:rPr>
          <w:rFonts w:ascii="Arial" w:hAnsi="Arial" w:cs="Arial"/>
          <w:b/>
          <w:bCs/>
          <w:i/>
          <w:iCs/>
          <w:sz w:val="24"/>
          <w:szCs w:val="24"/>
        </w:rPr>
        <w:t> </w:t>
      </w:r>
      <w:r w:rsidR="00D97ABB" w:rsidRPr="00950E27">
        <w:rPr>
          <w:rFonts w:ascii="Arial" w:hAnsi="Arial" w:cs="Arial"/>
          <w:i/>
          <w:iCs/>
          <w:sz w:val="24"/>
          <w:szCs w:val="24"/>
        </w:rPr>
        <w:t>v</w:t>
      </w:r>
      <w:r w:rsidR="00D97ABB" w:rsidRPr="00950E27">
        <w:rPr>
          <w:rFonts w:ascii="Arial" w:hAnsi="Arial" w:cs="Arial"/>
          <w:b/>
          <w:bCs/>
          <w:i/>
          <w:iCs/>
          <w:sz w:val="24"/>
          <w:szCs w:val="24"/>
        </w:rPr>
        <w:t> </w:t>
      </w:r>
      <w:r w:rsidR="00D97ABB" w:rsidRPr="00950E27">
        <w:rPr>
          <w:rFonts w:ascii="Arial" w:hAnsi="Arial" w:cs="Arial"/>
          <w:i/>
          <w:iCs/>
          <w:sz w:val="24"/>
          <w:szCs w:val="24"/>
        </w:rPr>
        <w:t>Department</w:t>
      </w:r>
      <w:r w:rsidR="00D97ABB" w:rsidRPr="00950E27">
        <w:rPr>
          <w:rFonts w:ascii="Arial" w:hAnsi="Arial" w:cs="Arial"/>
          <w:b/>
          <w:bCs/>
          <w:i/>
          <w:iCs/>
          <w:sz w:val="24"/>
          <w:szCs w:val="24"/>
        </w:rPr>
        <w:t> </w:t>
      </w:r>
      <w:r w:rsidR="00D97ABB" w:rsidRPr="00950E27">
        <w:rPr>
          <w:rFonts w:ascii="Arial" w:hAnsi="Arial" w:cs="Arial"/>
          <w:i/>
          <w:iCs/>
          <w:sz w:val="24"/>
          <w:szCs w:val="24"/>
        </w:rPr>
        <w:t>of</w:t>
      </w:r>
      <w:r w:rsidR="00D97ABB" w:rsidRPr="00950E27">
        <w:rPr>
          <w:rFonts w:ascii="Arial" w:hAnsi="Arial" w:cs="Arial"/>
          <w:b/>
          <w:bCs/>
          <w:i/>
          <w:iCs/>
          <w:sz w:val="24"/>
          <w:szCs w:val="24"/>
        </w:rPr>
        <w:t> </w:t>
      </w:r>
      <w:r w:rsidR="00D97ABB" w:rsidRPr="00950E27">
        <w:rPr>
          <w:rFonts w:ascii="Arial" w:hAnsi="Arial" w:cs="Arial"/>
          <w:i/>
          <w:iCs/>
          <w:sz w:val="24"/>
          <w:szCs w:val="24"/>
        </w:rPr>
        <w:t>Health</w:t>
      </w:r>
      <w:r w:rsidR="00D97ABB" w:rsidRPr="00950E27">
        <w:rPr>
          <w:rFonts w:ascii="Arial" w:hAnsi="Arial" w:cs="Arial"/>
          <w:b/>
          <w:bCs/>
          <w:i/>
          <w:iCs/>
          <w:sz w:val="24"/>
          <w:szCs w:val="24"/>
        </w:rPr>
        <w:t>: </w:t>
      </w:r>
      <w:r w:rsidR="00D97ABB" w:rsidRPr="00950E27">
        <w:rPr>
          <w:rFonts w:ascii="Arial" w:hAnsi="Arial" w:cs="Arial"/>
          <w:i/>
          <w:iCs/>
          <w:sz w:val="24"/>
          <w:szCs w:val="24"/>
        </w:rPr>
        <w:t>KwaZulu</w:t>
      </w:r>
      <w:r w:rsidR="00D97ABB" w:rsidRPr="00950E27">
        <w:rPr>
          <w:rFonts w:ascii="Arial" w:hAnsi="Arial" w:cs="Arial"/>
          <w:b/>
          <w:bCs/>
          <w:i/>
          <w:iCs/>
          <w:sz w:val="24"/>
          <w:szCs w:val="24"/>
        </w:rPr>
        <w:t> –</w:t>
      </w:r>
      <w:r w:rsidR="00D97ABB" w:rsidRPr="00950E27">
        <w:rPr>
          <w:rFonts w:ascii="Arial" w:hAnsi="Arial" w:cs="Arial"/>
          <w:i/>
          <w:iCs/>
          <w:sz w:val="24"/>
          <w:szCs w:val="24"/>
        </w:rPr>
        <w:t>Nata</w:t>
      </w:r>
      <w:r w:rsidR="00AD6F3B">
        <w:rPr>
          <w:rStyle w:val="FootnoteReference"/>
          <w:rFonts w:ascii="Arial" w:hAnsi="Arial" w:cs="Arial"/>
          <w:i/>
          <w:iCs/>
          <w:sz w:val="24"/>
          <w:szCs w:val="24"/>
        </w:rPr>
        <w:footnoteReference w:id="27"/>
      </w:r>
      <w:r w:rsidR="00D97ABB" w:rsidRPr="00950E27">
        <w:rPr>
          <w:rFonts w:ascii="Arial" w:hAnsi="Arial" w:cs="Arial"/>
          <w:i/>
          <w:iCs/>
          <w:sz w:val="24"/>
          <w:szCs w:val="24"/>
        </w:rPr>
        <w:t>l</w:t>
      </w:r>
      <w:r w:rsidR="00D97ABB" w:rsidRPr="00950E27">
        <w:rPr>
          <w:rFonts w:ascii="Arial" w:hAnsi="Arial" w:cs="Arial"/>
          <w:b/>
          <w:bCs/>
          <w:sz w:val="24"/>
          <w:szCs w:val="24"/>
        </w:rPr>
        <w:t> </w:t>
      </w:r>
      <w:r w:rsidR="00D97ABB" w:rsidRPr="00950E27">
        <w:rPr>
          <w:rFonts w:ascii="Arial" w:hAnsi="Arial" w:cs="Arial"/>
          <w:sz w:val="24"/>
          <w:szCs w:val="24"/>
        </w:rPr>
        <w:t xml:space="preserve"> held that</w:t>
      </w:r>
      <w:r w:rsidR="00D4654A" w:rsidRPr="00950E27">
        <w:rPr>
          <w:rFonts w:ascii="Arial" w:hAnsi="Arial" w:cs="Arial"/>
          <w:sz w:val="24"/>
          <w:szCs w:val="24"/>
        </w:rPr>
        <w:t xml:space="preserve"> </w:t>
      </w:r>
      <w:r w:rsidR="00D97ABB" w:rsidRPr="00950E27">
        <w:rPr>
          <w:rFonts w:ascii="Arial" w:hAnsi="Arial" w:cs="Arial"/>
          <w:sz w:val="24"/>
          <w:szCs w:val="24"/>
        </w:rPr>
        <w:t>“</w:t>
      </w:r>
      <w:r w:rsidR="001421A5" w:rsidRPr="00950E27">
        <w:rPr>
          <w:rFonts w:ascii="Arial" w:hAnsi="Arial" w:cs="Arial"/>
          <w:i/>
          <w:iCs/>
        </w:rPr>
        <w:t xml:space="preserve">If an order or judgment </w:t>
      </w:r>
      <w:r w:rsidR="00D83465">
        <w:rPr>
          <w:rFonts w:ascii="Arial" w:hAnsi="Arial" w:cs="Arial"/>
          <w:i/>
          <w:iCs/>
        </w:rPr>
        <w:t xml:space="preserve">sought </w:t>
      </w:r>
      <w:r w:rsidR="001421A5" w:rsidRPr="00950E27">
        <w:rPr>
          <w:rFonts w:ascii="Arial" w:hAnsi="Arial" w:cs="Arial"/>
          <w:i/>
          <w:iCs/>
        </w:rPr>
        <w:t>cannot be sustained without necessarily prejudicing the interest of third parties that had not been joined, then those third parties have a legal interest in the matter and must be joined.</w:t>
      </w:r>
      <w:r w:rsidR="00AB13B3" w:rsidRPr="00950E27">
        <w:rPr>
          <w:rFonts w:ascii="Arial" w:hAnsi="Arial" w:cs="Arial"/>
          <w:i/>
          <w:iCs/>
        </w:rPr>
        <w:t>”</w:t>
      </w:r>
      <w:r w:rsidR="001421A5" w:rsidRPr="00A32AB1">
        <w:rPr>
          <w:rStyle w:val="FootnoteReference"/>
          <w:rFonts w:ascii="Arial" w:hAnsi="Arial" w:cs="Arial"/>
          <w:sz w:val="24"/>
          <w:szCs w:val="24"/>
        </w:rPr>
        <w:footnoteReference w:id="28"/>
      </w:r>
      <w:r w:rsidR="00D4654A" w:rsidRPr="00950E27">
        <w:rPr>
          <w:rFonts w:ascii="Arial" w:hAnsi="Arial" w:cs="Arial"/>
          <w:sz w:val="24"/>
          <w:szCs w:val="24"/>
        </w:rPr>
        <w:t xml:space="preserve"> </w:t>
      </w:r>
      <w:r w:rsidR="00F90D7B" w:rsidRPr="00950E27">
        <w:rPr>
          <w:rFonts w:ascii="Arial" w:hAnsi="Arial" w:cs="Arial"/>
          <w:sz w:val="24"/>
          <w:szCs w:val="24"/>
        </w:rPr>
        <w:t xml:space="preserve"> </w:t>
      </w:r>
      <w:r w:rsidR="00D97ABB" w:rsidRPr="00950E27">
        <w:rPr>
          <w:rFonts w:ascii="Arial" w:hAnsi="Arial" w:cs="Arial"/>
          <w:sz w:val="24"/>
          <w:szCs w:val="24"/>
        </w:rPr>
        <w:t xml:space="preserve">In the </w:t>
      </w:r>
      <w:r w:rsidR="00D97ABB" w:rsidRPr="00950E27">
        <w:rPr>
          <w:rFonts w:ascii="Arial" w:hAnsi="Arial" w:cs="Arial"/>
          <w:i/>
          <w:iCs/>
          <w:sz w:val="24"/>
          <w:szCs w:val="24"/>
        </w:rPr>
        <w:t xml:space="preserve">Minister of Finance v Afri Business NCP </w:t>
      </w:r>
      <w:r w:rsidR="00D97ABB" w:rsidRPr="00950E27">
        <w:rPr>
          <w:rFonts w:ascii="Arial" w:hAnsi="Arial" w:cs="Arial"/>
          <w:sz w:val="24"/>
          <w:szCs w:val="24"/>
        </w:rPr>
        <w:t xml:space="preserve"> </w:t>
      </w:r>
      <w:r w:rsidR="0016598A" w:rsidRPr="00950E27">
        <w:rPr>
          <w:rFonts w:ascii="Arial" w:hAnsi="Arial" w:cs="Arial"/>
          <w:sz w:val="24"/>
          <w:szCs w:val="24"/>
        </w:rPr>
        <w:t>the court stated that “</w:t>
      </w:r>
      <w:r w:rsidR="002974AF" w:rsidRPr="00950E27">
        <w:rPr>
          <w:rFonts w:ascii="Arial" w:hAnsi="Arial" w:cs="Arial"/>
          <w:i/>
          <w:iCs/>
        </w:rPr>
        <w:t>A person is regarded as having a direct  and substantial interest in an order if that order would directly affect that person’s rights or interests. The interest must generally be a legal interest in the subject matter of the litigation and not merely a financial interest.</w:t>
      </w:r>
      <w:r w:rsidR="00D97ABB" w:rsidRPr="00950E27">
        <w:rPr>
          <w:rFonts w:ascii="Arial" w:hAnsi="Arial" w:cs="Arial"/>
          <w:sz w:val="24"/>
          <w:szCs w:val="24"/>
        </w:rPr>
        <w:t>”</w:t>
      </w:r>
      <w:r w:rsidR="002974AF" w:rsidRPr="00A32AB1">
        <w:rPr>
          <w:rStyle w:val="FootnoteReference"/>
          <w:rFonts w:ascii="Arial" w:hAnsi="Arial" w:cs="Arial"/>
          <w:sz w:val="24"/>
          <w:szCs w:val="24"/>
        </w:rPr>
        <w:footnoteReference w:id="29"/>
      </w:r>
      <w:r w:rsidR="00F90D7B" w:rsidRPr="00950E27">
        <w:rPr>
          <w:rFonts w:ascii="Arial" w:hAnsi="Arial" w:cs="Arial"/>
          <w:sz w:val="24"/>
          <w:szCs w:val="24"/>
        </w:rPr>
        <w:t xml:space="preserve">  </w:t>
      </w:r>
      <w:r w:rsidR="002974AF" w:rsidRPr="00950E27">
        <w:rPr>
          <w:rFonts w:ascii="Arial" w:hAnsi="Arial" w:cs="Arial"/>
          <w:sz w:val="24"/>
          <w:szCs w:val="24"/>
        </w:rPr>
        <w:t>The word “interest”</w:t>
      </w:r>
      <w:r w:rsidR="000A1C72" w:rsidRPr="00950E27">
        <w:rPr>
          <w:rFonts w:ascii="Arial" w:hAnsi="Arial" w:cs="Arial"/>
          <w:sz w:val="24"/>
          <w:szCs w:val="24"/>
        </w:rPr>
        <w:t xml:space="preserve"> </w:t>
      </w:r>
      <w:r w:rsidR="002974AF" w:rsidRPr="00950E27">
        <w:rPr>
          <w:rFonts w:ascii="Arial" w:hAnsi="Arial" w:cs="Arial"/>
          <w:sz w:val="24"/>
          <w:szCs w:val="24"/>
        </w:rPr>
        <w:t xml:space="preserve">has been interpreted to mean a direct and substantial interest which a person </w:t>
      </w:r>
      <w:r w:rsidR="002974AF" w:rsidRPr="00950E27">
        <w:rPr>
          <w:rFonts w:ascii="Arial" w:hAnsi="Arial" w:cs="Arial"/>
          <w:sz w:val="24"/>
          <w:szCs w:val="24"/>
        </w:rPr>
        <w:lastRenderedPageBreak/>
        <w:t>is required to have in the subject matter before he</w:t>
      </w:r>
      <w:r w:rsidR="000A1C72" w:rsidRPr="00950E27">
        <w:rPr>
          <w:rFonts w:ascii="Arial" w:hAnsi="Arial" w:cs="Arial"/>
          <w:sz w:val="24"/>
          <w:szCs w:val="24"/>
        </w:rPr>
        <w:t xml:space="preserve"> or </w:t>
      </w:r>
      <w:r w:rsidR="002974AF" w:rsidRPr="00950E27">
        <w:rPr>
          <w:rFonts w:ascii="Arial" w:hAnsi="Arial" w:cs="Arial"/>
          <w:sz w:val="24"/>
          <w:szCs w:val="24"/>
        </w:rPr>
        <w:t xml:space="preserve">she can be said to have </w:t>
      </w:r>
      <w:r w:rsidR="002974AF" w:rsidRPr="00950E27">
        <w:rPr>
          <w:rFonts w:ascii="Arial" w:hAnsi="Arial" w:cs="Arial"/>
          <w:i/>
          <w:iCs/>
          <w:sz w:val="24"/>
          <w:szCs w:val="24"/>
        </w:rPr>
        <w:t xml:space="preserve">locus standi </w:t>
      </w:r>
      <w:r w:rsidR="002974AF" w:rsidRPr="00950E27">
        <w:rPr>
          <w:rFonts w:ascii="Arial" w:hAnsi="Arial" w:cs="Arial"/>
          <w:sz w:val="24"/>
          <w:szCs w:val="24"/>
        </w:rPr>
        <w:t>in such a matter or before such a person may be joined or be allowed to be joined in proceedings.</w:t>
      </w:r>
      <w:r w:rsidR="00D97ABB" w:rsidRPr="00A32AB1">
        <w:rPr>
          <w:rStyle w:val="FootnoteReference"/>
          <w:rFonts w:ascii="Arial" w:hAnsi="Arial" w:cs="Arial"/>
          <w:sz w:val="24"/>
          <w:szCs w:val="24"/>
        </w:rPr>
        <w:footnoteReference w:id="30"/>
      </w:r>
      <w:r w:rsidR="002974AF" w:rsidRPr="00950E27">
        <w:rPr>
          <w:rFonts w:ascii="Arial" w:hAnsi="Arial" w:cs="Arial"/>
          <w:sz w:val="24"/>
          <w:szCs w:val="24"/>
        </w:rPr>
        <w:t xml:space="preserve"> </w:t>
      </w:r>
      <w:r w:rsidR="000A1C72" w:rsidRPr="00950E27">
        <w:rPr>
          <w:rFonts w:ascii="Arial" w:hAnsi="Arial" w:cs="Arial"/>
          <w:sz w:val="24"/>
          <w:szCs w:val="24"/>
        </w:rPr>
        <w:t xml:space="preserve"> </w:t>
      </w:r>
    </w:p>
    <w:p w14:paraId="4E84BCB5" w14:textId="77777777" w:rsidR="00950E27" w:rsidRDefault="00950E27" w:rsidP="00950E27">
      <w:pPr>
        <w:pStyle w:val="ListParagraph"/>
        <w:tabs>
          <w:tab w:val="left" w:pos="0"/>
        </w:tabs>
        <w:spacing w:after="0" w:line="360" w:lineRule="auto"/>
        <w:ind w:left="0"/>
        <w:jc w:val="both"/>
        <w:rPr>
          <w:rFonts w:ascii="Arial" w:hAnsi="Arial" w:cs="Arial"/>
          <w:sz w:val="24"/>
          <w:szCs w:val="24"/>
        </w:rPr>
      </w:pPr>
    </w:p>
    <w:p w14:paraId="7F0224B4" w14:textId="478B3432" w:rsidR="0016598A" w:rsidRDefault="00950E27" w:rsidP="00950E27">
      <w:pPr>
        <w:pStyle w:val="ListParagraph"/>
        <w:tabs>
          <w:tab w:val="left" w:pos="0"/>
        </w:tabs>
        <w:spacing w:after="0" w:line="360" w:lineRule="auto"/>
        <w:ind w:left="0"/>
        <w:jc w:val="both"/>
        <w:rPr>
          <w:rFonts w:ascii="Arial" w:hAnsi="Arial" w:cs="Arial"/>
          <w:sz w:val="24"/>
          <w:szCs w:val="24"/>
          <w:shd w:val="clear" w:color="auto" w:fill="FFFFFF"/>
        </w:rPr>
      </w:pPr>
      <w:r>
        <w:rPr>
          <w:rFonts w:ascii="Arial" w:hAnsi="Arial" w:cs="Arial"/>
          <w:sz w:val="24"/>
          <w:szCs w:val="24"/>
        </w:rPr>
        <w:t>[</w:t>
      </w:r>
      <w:r w:rsidR="00287CC0">
        <w:rPr>
          <w:rFonts w:ascii="Arial" w:hAnsi="Arial" w:cs="Arial"/>
          <w:sz w:val="24"/>
          <w:szCs w:val="24"/>
        </w:rPr>
        <w:t>114</w:t>
      </w:r>
      <w:r w:rsidR="00E8780A">
        <w:rPr>
          <w:rFonts w:ascii="Arial" w:hAnsi="Arial" w:cs="Arial"/>
          <w:sz w:val="24"/>
          <w:szCs w:val="24"/>
        </w:rPr>
        <w:t>]</w:t>
      </w:r>
      <w:r w:rsidR="00E8780A">
        <w:rPr>
          <w:rFonts w:ascii="Arial" w:hAnsi="Arial" w:cs="Arial"/>
          <w:sz w:val="24"/>
          <w:szCs w:val="24"/>
        </w:rPr>
        <w:tab/>
      </w:r>
      <w:r>
        <w:rPr>
          <w:rFonts w:ascii="Arial" w:hAnsi="Arial" w:cs="Arial"/>
          <w:sz w:val="24"/>
          <w:szCs w:val="24"/>
        </w:rPr>
        <w:t xml:space="preserve">The important fact </w:t>
      </w:r>
      <w:r w:rsidR="006B70B6">
        <w:rPr>
          <w:rFonts w:ascii="Arial" w:hAnsi="Arial" w:cs="Arial"/>
          <w:sz w:val="24"/>
          <w:szCs w:val="24"/>
        </w:rPr>
        <w:t>t</w:t>
      </w:r>
      <w:r>
        <w:rPr>
          <w:rFonts w:ascii="Arial" w:hAnsi="Arial" w:cs="Arial"/>
          <w:sz w:val="24"/>
          <w:szCs w:val="24"/>
        </w:rPr>
        <w:t>o this contestation is that according to DBCM the joinder of the mentioned parties is not relevant to the relief it seeks in this Application, which is an order challenging the 1</w:t>
      </w:r>
      <w:r w:rsidRPr="001D7610">
        <w:rPr>
          <w:rFonts w:ascii="Arial" w:hAnsi="Arial" w:cs="Arial"/>
          <w:sz w:val="24"/>
          <w:szCs w:val="24"/>
          <w:vertAlign w:val="superscript"/>
        </w:rPr>
        <w:t>st</w:t>
      </w:r>
      <w:r>
        <w:rPr>
          <w:rFonts w:ascii="Arial" w:hAnsi="Arial" w:cs="Arial"/>
          <w:sz w:val="24"/>
          <w:szCs w:val="24"/>
        </w:rPr>
        <w:t xml:space="preserve"> Respondent’s failure/refusal to grant its Application for a closure certificate and or 2</w:t>
      </w:r>
      <w:r w:rsidRPr="001D7610">
        <w:rPr>
          <w:rFonts w:ascii="Arial" w:hAnsi="Arial" w:cs="Arial"/>
          <w:sz w:val="24"/>
          <w:szCs w:val="24"/>
          <w:vertAlign w:val="superscript"/>
        </w:rPr>
        <w:t>nd</w:t>
      </w:r>
      <w:r>
        <w:rPr>
          <w:rFonts w:ascii="Arial" w:hAnsi="Arial" w:cs="Arial"/>
          <w:sz w:val="24"/>
          <w:szCs w:val="24"/>
        </w:rPr>
        <w:t xml:space="preserve"> Respondent’s failure to decide on its appeal. However, the process that the Applicant is required to comply with, prior to being issued with a closure certificate is </w:t>
      </w:r>
      <w:r w:rsidR="00D1249C">
        <w:rPr>
          <w:rFonts w:ascii="Arial" w:hAnsi="Arial" w:cs="Arial"/>
          <w:sz w:val="24"/>
          <w:szCs w:val="24"/>
        </w:rPr>
        <w:t>relevant and impacts on the relief sought.</w:t>
      </w:r>
      <w:r>
        <w:rPr>
          <w:rFonts w:ascii="Arial" w:hAnsi="Arial" w:cs="Arial"/>
          <w:sz w:val="24"/>
          <w:szCs w:val="24"/>
        </w:rPr>
        <w:t xml:space="preserve"> </w:t>
      </w:r>
      <w:r w:rsidR="00A94F54">
        <w:rPr>
          <w:rFonts w:ascii="Arial" w:hAnsi="Arial" w:cs="Arial"/>
          <w:sz w:val="24"/>
          <w:szCs w:val="24"/>
        </w:rPr>
        <w:t>DBCM has confirmed that</w:t>
      </w:r>
      <w:r w:rsidR="00A94F54" w:rsidRPr="00F47C78">
        <w:rPr>
          <w:rFonts w:ascii="Arial" w:hAnsi="Arial" w:cs="Arial"/>
          <w:iCs/>
          <w:sz w:val="24"/>
          <w:szCs w:val="24"/>
        </w:rPr>
        <w:t xml:space="preserve"> one of the purpose for applying for closure certificate is to transfer </w:t>
      </w:r>
      <w:r w:rsidR="00A94F54">
        <w:rPr>
          <w:rFonts w:ascii="Arial" w:hAnsi="Arial" w:cs="Arial"/>
          <w:iCs/>
          <w:sz w:val="24"/>
          <w:szCs w:val="24"/>
        </w:rPr>
        <w:t xml:space="preserve">the </w:t>
      </w:r>
      <w:r w:rsidR="00A94F54" w:rsidRPr="00F47C78">
        <w:rPr>
          <w:rFonts w:ascii="Arial" w:hAnsi="Arial" w:cs="Arial"/>
          <w:iCs/>
          <w:sz w:val="24"/>
          <w:szCs w:val="24"/>
        </w:rPr>
        <w:t>environmental liabilities</w:t>
      </w:r>
      <w:r w:rsidR="00BA34F5">
        <w:rPr>
          <w:rFonts w:ascii="Arial" w:hAnsi="Arial" w:cs="Arial"/>
          <w:iCs/>
          <w:sz w:val="24"/>
          <w:szCs w:val="24"/>
        </w:rPr>
        <w:t xml:space="preserve"> to the game farmer</w:t>
      </w:r>
      <w:r w:rsidR="00A94F54">
        <w:rPr>
          <w:rFonts w:ascii="Arial" w:hAnsi="Arial" w:cs="Arial"/>
          <w:iCs/>
          <w:sz w:val="24"/>
          <w:szCs w:val="24"/>
        </w:rPr>
        <w:t>.</w:t>
      </w:r>
      <w:r w:rsidR="00A94F54">
        <w:rPr>
          <w:rFonts w:ascii="Arial" w:hAnsi="Arial" w:cs="Arial"/>
          <w:sz w:val="24"/>
          <w:szCs w:val="24"/>
        </w:rPr>
        <w:t xml:space="preserve"> As a result</w:t>
      </w:r>
      <w:r w:rsidR="006B70B6">
        <w:rPr>
          <w:rFonts w:ascii="Arial" w:hAnsi="Arial" w:cs="Arial"/>
          <w:sz w:val="24"/>
          <w:szCs w:val="24"/>
        </w:rPr>
        <w:t>,</w:t>
      </w:r>
      <w:r w:rsidR="00A94F54">
        <w:rPr>
          <w:rFonts w:ascii="Arial" w:hAnsi="Arial" w:cs="Arial"/>
          <w:sz w:val="24"/>
          <w:szCs w:val="24"/>
        </w:rPr>
        <w:t xml:space="preserve"> t</w:t>
      </w:r>
      <w:r>
        <w:rPr>
          <w:rFonts w:ascii="Arial" w:hAnsi="Arial" w:cs="Arial"/>
          <w:sz w:val="24"/>
          <w:szCs w:val="24"/>
        </w:rPr>
        <w:t>he relevanc</w:t>
      </w:r>
      <w:r w:rsidR="00A94F54">
        <w:rPr>
          <w:rFonts w:ascii="Arial" w:hAnsi="Arial" w:cs="Arial"/>
          <w:sz w:val="24"/>
          <w:szCs w:val="24"/>
        </w:rPr>
        <w:t xml:space="preserve">e </w:t>
      </w:r>
      <w:r>
        <w:rPr>
          <w:rFonts w:ascii="Arial" w:hAnsi="Arial" w:cs="Arial"/>
          <w:sz w:val="24"/>
          <w:szCs w:val="24"/>
        </w:rPr>
        <w:t xml:space="preserve">of the issue of non- joinder </w:t>
      </w:r>
      <w:r w:rsidR="00A94F54">
        <w:rPr>
          <w:rFonts w:ascii="Arial" w:hAnsi="Arial" w:cs="Arial"/>
          <w:sz w:val="24"/>
          <w:szCs w:val="24"/>
        </w:rPr>
        <w:t xml:space="preserve">would be </w:t>
      </w:r>
      <w:r>
        <w:rPr>
          <w:rFonts w:ascii="Arial" w:hAnsi="Arial" w:cs="Arial"/>
          <w:sz w:val="24"/>
          <w:szCs w:val="24"/>
        </w:rPr>
        <w:t xml:space="preserve">determinable and apparent when considering the legislation that </w:t>
      </w:r>
      <w:r w:rsidRPr="001D7610">
        <w:rPr>
          <w:rFonts w:ascii="Arial" w:hAnsi="Arial" w:cs="Arial"/>
          <w:sz w:val="24"/>
          <w:szCs w:val="24"/>
          <w:shd w:val="clear" w:color="auto" w:fill="FFFFFF"/>
        </w:rPr>
        <w:t>outlin</w:t>
      </w:r>
      <w:r>
        <w:rPr>
          <w:rFonts w:ascii="Arial" w:hAnsi="Arial" w:cs="Arial"/>
          <w:sz w:val="24"/>
          <w:szCs w:val="24"/>
          <w:shd w:val="clear" w:color="auto" w:fill="FFFFFF"/>
        </w:rPr>
        <w:t>es</w:t>
      </w:r>
      <w:r w:rsidRPr="001D7610">
        <w:rPr>
          <w:rFonts w:ascii="Arial" w:hAnsi="Arial" w:cs="Arial"/>
          <w:sz w:val="24"/>
          <w:szCs w:val="24"/>
          <w:shd w:val="clear" w:color="auto" w:fill="FFFFFF"/>
        </w:rPr>
        <w:t xml:space="preserve"> </w:t>
      </w:r>
      <w:r>
        <w:rPr>
          <w:rFonts w:ascii="Arial" w:hAnsi="Arial" w:cs="Arial"/>
          <w:sz w:val="24"/>
          <w:szCs w:val="24"/>
          <w:shd w:val="clear" w:color="auto" w:fill="FFFFFF"/>
        </w:rPr>
        <w:t xml:space="preserve">the </w:t>
      </w:r>
      <w:r w:rsidRPr="001D7610">
        <w:rPr>
          <w:rFonts w:ascii="Arial" w:hAnsi="Arial" w:cs="Arial"/>
          <w:sz w:val="24"/>
          <w:szCs w:val="24"/>
          <w:shd w:val="clear" w:color="auto" w:fill="FFFFFF"/>
        </w:rPr>
        <w:t xml:space="preserve">requirements </w:t>
      </w:r>
      <w:r w:rsidR="00BA34F5">
        <w:rPr>
          <w:rFonts w:ascii="Arial" w:hAnsi="Arial" w:cs="Arial"/>
          <w:sz w:val="24"/>
          <w:szCs w:val="24"/>
          <w:shd w:val="clear" w:color="auto" w:fill="FFFFFF"/>
        </w:rPr>
        <w:t xml:space="preserve">an </w:t>
      </w:r>
      <w:r>
        <w:rPr>
          <w:rFonts w:ascii="Arial" w:hAnsi="Arial" w:cs="Arial"/>
          <w:sz w:val="24"/>
          <w:szCs w:val="24"/>
          <w:shd w:val="clear" w:color="auto" w:fill="FFFFFF"/>
        </w:rPr>
        <w:t xml:space="preserve">Application for an closure has to meet prior to the granting of the closure certificate. </w:t>
      </w:r>
    </w:p>
    <w:p w14:paraId="7DD4AF40" w14:textId="77777777" w:rsidR="00950E27" w:rsidRPr="00A32AB1" w:rsidRDefault="00950E27" w:rsidP="00950E27">
      <w:pPr>
        <w:pStyle w:val="ListParagraph"/>
        <w:tabs>
          <w:tab w:val="left" w:pos="0"/>
        </w:tabs>
        <w:spacing w:after="0" w:line="360" w:lineRule="auto"/>
        <w:ind w:left="0"/>
        <w:jc w:val="both"/>
        <w:rPr>
          <w:rFonts w:ascii="Arial" w:hAnsi="Arial" w:cs="Arial"/>
          <w:sz w:val="24"/>
          <w:szCs w:val="24"/>
        </w:rPr>
      </w:pPr>
    </w:p>
    <w:p w14:paraId="5406F60C" w14:textId="35BF4C14" w:rsidR="00F6651B" w:rsidRDefault="00287CC0" w:rsidP="00BA34F5">
      <w:pPr>
        <w:tabs>
          <w:tab w:val="left" w:pos="0"/>
        </w:tabs>
        <w:spacing w:after="0" w:line="360" w:lineRule="auto"/>
        <w:jc w:val="both"/>
        <w:rPr>
          <w:rFonts w:ascii="Arial" w:hAnsi="Arial" w:cs="Arial"/>
          <w:sz w:val="24"/>
          <w:szCs w:val="24"/>
        </w:rPr>
      </w:pPr>
      <w:r>
        <w:rPr>
          <w:rFonts w:ascii="Arial" w:hAnsi="Arial" w:cs="Arial"/>
          <w:sz w:val="24"/>
          <w:szCs w:val="24"/>
        </w:rPr>
        <w:t>[115</w:t>
      </w:r>
      <w:r w:rsidR="00E8780A">
        <w:rPr>
          <w:rFonts w:ascii="Arial" w:hAnsi="Arial" w:cs="Arial"/>
          <w:sz w:val="24"/>
          <w:szCs w:val="24"/>
        </w:rPr>
        <w:t>]</w:t>
      </w:r>
      <w:r w:rsidR="00950E27">
        <w:rPr>
          <w:rFonts w:ascii="Arial" w:hAnsi="Arial" w:cs="Arial"/>
          <w:sz w:val="24"/>
          <w:szCs w:val="24"/>
        </w:rPr>
        <w:tab/>
        <w:t>As a result</w:t>
      </w:r>
      <w:r w:rsidR="00FD07EC" w:rsidRPr="00950E27">
        <w:rPr>
          <w:rFonts w:ascii="Arial" w:hAnsi="Arial" w:cs="Arial"/>
          <w:sz w:val="24"/>
          <w:szCs w:val="24"/>
        </w:rPr>
        <w:t xml:space="preserve">, </w:t>
      </w:r>
      <w:r w:rsidR="00950E27" w:rsidRPr="00950E27">
        <w:rPr>
          <w:rFonts w:ascii="Arial" w:hAnsi="Arial" w:cs="Arial"/>
          <w:i/>
          <w:sz w:val="24"/>
          <w:szCs w:val="24"/>
        </w:rPr>
        <w:t>prima facie</w:t>
      </w:r>
      <w:r w:rsidR="00950E27" w:rsidRPr="00950E27">
        <w:rPr>
          <w:rFonts w:ascii="Arial" w:hAnsi="Arial" w:cs="Arial"/>
          <w:sz w:val="24"/>
          <w:szCs w:val="24"/>
        </w:rPr>
        <w:t xml:space="preserve"> </w:t>
      </w:r>
      <w:r w:rsidR="00FD07EC" w:rsidRPr="00950E27">
        <w:rPr>
          <w:rFonts w:ascii="Arial" w:hAnsi="Arial" w:cs="Arial"/>
          <w:sz w:val="24"/>
          <w:szCs w:val="24"/>
        </w:rPr>
        <w:t xml:space="preserve">I am of the view that </w:t>
      </w:r>
      <w:r w:rsidR="0016598A" w:rsidRPr="00950E27">
        <w:rPr>
          <w:rFonts w:ascii="Arial" w:hAnsi="Arial" w:cs="Arial"/>
          <w:sz w:val="24"/>
          <w:szCs w:val="24"/>
        </w:rPr>
        <w:t>indeed</w:t>
      </w:r>
      <w:r w:rsidR="00FD07EC" w:rsidRPr="00950E27">
        <w:rPr>
          <w:rFonts w:ascii="Arial" w:hAnsi="Arial" w:cs="Arial"/>
          <w:sz w:val="24"/>
          <w:szCs w:val="24"/>
        </w:rPr>
        <w:t xml:space="preserve"> </w:t>
      </w:r>
      <w:r w:rsidR="00221A19">
        <w:rPr>
          <w:rFonts w:ascii="Arial" w:hAnsi="Arial" w:cs="Arial"/>
          <w:sz w:val="24"/>
          <w:szCs w:val="24"/>
        </w:rPr>
        <w:t xml:space="preserve">some of </w:t>
      </w:r>
      <w:r w:rsidR="00FD07EC" w:rsidRPr="00950E27">
        <w:rPr>
          <w:rFonts w:ascii="Arial" w:hAnsi="Arial" w:cs="Arial"/>
          <w:sz w:val="24"/>
          <w:szCs w:val="24"/>
        </w:rPr>
        <w:t xml:space="preserve">the parties </w:t>
      </w:r>
      <w:r w:rsidR="003C57F5">
        <w:rPr>
          <w:rFonts w:ascii="Arial" w:hAnsi="Arial" w:cs="Arial"/>
          <w:sz w:val="24"/>
          <w:szCs w:val="24"/>
        </w:rPr>
        <w:t xml:space="preserve">mentioned </w:t>
      </w:r>
      <w:r w:rsidR="00FD07EC" w:rsidRPr="00950E27">
        <w:rPr>
          <w:rFonts w:ascii="Arial" w:hAnsi="Arial" w:cs="Arial"/>
          <w:sz w:val="24"/>
          <w:szCs w:val="24"/>
        </w:rPr>
        <w:t xml:space="preserve">by the </w:t>
      </w:r>
      <w:r w:rsidR="003C57F5">
        <w:rPr>
          <w:rFonts w:ascii="Arial" w:hAnsi="Arial" w:cs="Arial"/>
          <w:sz w:val="24"/>
          <w:szCs w:val="24"/>
        </w:rPr>
        <w:t>R</w:t>
      </w:r>
      <w:r w:rsidR="00FD07EC" w:rsidRPr="00950E27">
        <w:rPr>
          <w:rFonts w:ascii="Arial" w:hAnsi="Arial" w:cs="Arial"/>
          <w:sz w:val="24"/>
          <w:szCs w:val="24"/>
        </w:rPr>
        <w:t>espondent</w:t>
      </w:r>
      <w:r w:rsidR="00D83465">
        <w:rPr>
          <w:rFonts w:ascii="Arial" w:hAnsi="Arial" w:cs="Arial"/>
          <w:sz w:val="24"/>
          <w:szCs w:val="24"/>
        </w:rPr>
        <w:t>s</w:t>
      </w:r>
      <w:r w:rsidR="00FD07EC" w:rsidRPr="00950E27">
        <w:rPr>
          <w:rFonts w:ascii="Arial" w:hAnsi="Arial" w:cs="Arial"/>
          <w:sz w:val="24"/>
          <w:szCs w:val="24"/>
        </w:rPr>
        <w:t xml:space="preserve"> have </w:t>
      </w:r>
      <w:r w:rsidR="006C02C0">
        <w:rPr>
          <w:rFonts w:ascii="Arial" w:hAnsi="Arial" w:cs="Arial"/>
          <w:sz w:val="24"/>
          <w:szCs w:val="24"/>
        </w:rPr>
        <w:t xml:space="preserve">a </w:t>
      </w:r>
      <w:r w:rsidR="003C57F5">
        <w:rPr>
          <w:rFonts w:ascii="Arial" w:hAnsi="Arial" w:cs="Arial"/>
          <w:sz w:val="24"/>
          <w:szCs w:val="24"/>
        </w:rPr>
        <w:t xml:space="preserve">pivotal </w:t>
      </w:r>
      <w:r w:rsidR="00221A19">
        <w:rPr>
          <w:rFonts w:ascii="Arial" w:hAnsi="Arial" w:cs="Arial"/>
          <w:sz w:val="24"/>
          <w:szCs w:val="24"/>
        </w:rPr>
        <w:t xml:space="preserve">role and a </w:t>
      </w:r>
      <w:r w:rsidR="00D83465">
        <w:rPr>
          <w:rFonts w:ascii="Arial" w:hAnsi="Arial" w:cs="Arial"/>
          <w:sz w:val="24"/>
          <w:szCs w:val="24"/>
        </w:rPr>
        <w:t xml:space="preserve">substantial </w:t>
      </w:r>
      <w:r w:rsidR="00FD07EC" w:rsidRPr="00950E27">
        <w:rPr>
          <w:rFonts w:ascii="Arial" w:hAnsi="Arial" w:cs="Arial"/>
          <w:sz w:val="24"/>
          <w:szCs w:val="24"/>
        </w:rPr>
        <w:t xml:space="preserve">interest </w:t>
      </w:r>
      <w:r w:rsidR="00BA34F5">
        <w:rPr>
          <w:rFonts w:ascii="Arial" w:hAnsi="Arial" w:cs="Arial"/>
          <w:sz w:val="24"/>
          <w:szCs w:val="24"/>
        </w:rPr>
        <w:t>that will be adversely affected by part of the orders sought.</w:t>
      </w:r>
      <w:r w:rsidR="00A94F54">
        <w:rPr>
          <w:rFonts w:ascii="Arial" w:hAnsi="Arial" w:cs="Arial"/>
          <w:b/>
          <w:iCs/>
          <w:sz w:val="24"/>
          <w:szCs w:val="24"/>
        </w:rPr>
        <w:t xml:space="preserve"> </w:t>
      </w:r>
      <w:r w:rsidR="00D83465">
        <w:rPr>
          <w:rFonts w:ascii="Arial" w:hAnsi="Arial" w:cs="Arial"/>
          <w:sz w:val="24"/>
          <w:szCs w:val="24"/>
        </w:rPr>
        <w:t>H</w:t>
      </w:r>
      <w:r w:rsidR="00FD07EC" w:rsidRPr="00950E27">
        <w:rPr>
          <w:rFonts w:ascii="Arial" w:hAnsi="Arial" w:cs="Arial"/>
          <w:sz w:val="24"/>
          <w:szCs w:val="24"/>
        </w:rPr>
        <w:t xml:space="preserve">owever, it is not necessary to </w:t>
      </w:r>
      <w:r w:rsidR="00950E27" w:rsidRPr="00950E27">
        <w:rPr>
          <w:rFonts w:ascii="Arial" w:hAnsi="Arial" w:cs="Arial"/>
          <w:sz w:val="24"/>
          <w:szCs w:val="24"/>
        </w:rPr>
        <w:t xml:space="preserve">confirm at this early stage </w:t>
      </w:r>
      <w:r w:rsidR="00950E27">
        <w:rPr>
          <w:rFonts w:ascii="Arial" w:hAnsi="Arial" w:cs="Arial"/>
          <w:sz w:val="24"/>
          <w:szCs w:val="24"/>
        </w:rPr>
        <w:t>whether their non-</w:t>
      </w:r>
      <w:r w:rsidR="00FD07EC" w:rsidRPr="00950E27">
        <w:rPr>
          <w:rFonts w:ascii="Arial" w:hAnsi="Arial" w:cs="Arial"/>
          <w:sz w:val="24"/>
          <w:szCs w:val="24"/>
        </w:rPr>
        <w:t>join</w:t>
      </w:r>
      <w:r w:rsidR="00950E27" w:rsidRPr="00950E27">
        <w:rPr>
          <w:rFonts w:ascii="Arial" w:hAnsi="Arial" w:cs="Arial"/>
          <w:sz w:val="24"/>
          <w:szCs w:val="24"/>
        </w:rPr>
        <w:t xml:space="preserve">der </w:t>
      </w:r>
      <w:r w:rsidR="00950E27">
        <w:rPr>
          <w:rFonts w:ascii="Arial" w:hAnsi="Arial" w:cs="Arial"/>
          <w:sz w:val="24"/>
          <w:szCs w:val="24"/>
        </w:rPr>
        <w:t>fatal to</w:t>
      </w:r>
      <w:r w:rsidR="00950E27" w:rsidRPr="00950E27">
        <w:rPr>
          <w:rFonts w:ascii="Arial" w:hAnsi="Arial" w:cs="Arial"/>
          <w:sz w:val="24"/>
          <w:szCs w:val="24"/>
        </w:rPr>
        <w:t xml:space="preserve"> the application </w:t>
      </w:r>
      <w:r w:rsidR="00FD07EC" w:rsidRPr="00950E27">
        <w:rPr>
          <w:rFonts w:ascii="Arial" w:hAnsi="Arial" w:cs="Arial"/>
          <w:sz w:val="24"/>
          <w:szCs w:val="24"/>
        </w:rPr>
        <w:t>because in as much as some were</w:t>
      </w:r>
      <w:r w:rsidR="00950E27">
        <w:rPr>
          <w:rFonts w:ascii="Arial" w:hAnsi="Arial" w:cs="Arial"/>
          <w:sz w:val="24"/>
          <w:szCs w:val="24"/>
        </w:rPr>
        <w:t xml:space="preserve"> to be</w:t>
      </w:r>
      <w:r w:rsidR="00FD07EC" w:rsidRPr="00950E27">
        <w:rPr>
          <w:rFonts w:ascii="Arial" w:hAnsi="Arial" w:cs="Arial"/>
          <w:sz w:val="24"/>
          <w:szCs w:val="24"/>
        </w:rPr>
        <w:t xml:space="preserve"> involved in the events leading to the application for closure certificate</w:t>
      </w:r>
      <w:r w:rsidR="00950E27">
        <w:rPr>
          <w:rFonts w:ascii="Arial" w:hAnsi="Arial" w:cs="Arial"/>
          <w:sz w:val="24"/>
          <w:szCs w:val="24"/>
        </w:rPr>
        <w:t xml:space="preserve"> and others being apparent stakeholders</w:t>
      </w:r>
      <w:r w:rsidR="00FD07EC" w:rsidRPr="00950E27">
        <w:rPr>
          <w:rFonts w:ascii="Arial" w:hAnsi="Arial" w:cs="Arial"/>
          <w:sz w:val="24"/>
          <w:szCs w:val="24"/>
        </w:rPr>
        <w:t xml:space="preserve">, this application is </w:t>
      </w:r>
      <w:r w:rsidR="00D83465">
        <w:rPr>
          <w:rFonts w:ascii="Arial" w:hAnsi="Arial" w:cs="Arial"/>
          <w:sz w:val="24"/>
          <w:szCs w:val="24"/>
        </w:rPr>
        <w:t xml:space="preserve">for </w:t>
      </w:r>
      <w:r w:rsidR="00FD07EC" w:rsidRPr="00950E27">
        <w:rPr>
          <w:rFonts w:ascii="Arial" w:hAnsi="Arial" w:cs="Arial"/>
          <w:sz w:val="24"/>
          <w:szCs w:val="24"/>
        </w:rPr>
        <w:t xml:space="preserve">a review of the decisions by the cited </w:t>
      </w:r>
      <w:r w:rsidR="00950E27">
        <w:rPr>
          <w:rFonts w:ascii="Arial" w:hAnsi="Arial" w:cs="Arial"/>
          <w:sz w:val="24"/>
          <w:szCs w:val="24"/>
        </w:rPr>
        <w:t>R</w:t>
      </w:r>
      <w:r w:rsidR="00FD07EC" w:rsidRPr="00950E27">
        <w:rPr>
          <w:rFonts w:ascii="Arial" w:hAnsi="Arial" w:cs="Arial"/>
          <w:sz w:val="24"/>
          <w:szCs w:val="24"/>
        </w:rPr>
        <w:t>espondents</w:t>
      </w:r>
      <w:r w:rsidR="006C02C0">
        <w:rPr>
          <w:rFonts w:ascii="Arial" w:hAnsi="Arial" w:cs="Arial"/>
          <w:sz w:val="24"/>
          <w:szCs w:val="24"/>
        </w:rPr>
        <w:t>. T</w:t>
      </w:r>
      <w:r w:rsidR="00950E27">
        <w:rPr>
          <w:rFonts w:ascii="Arial" w:hAnsi="Arial" w:cs="Arial"/>
          <w:sz w:val="24"/>
          <w:szCs w:val="24"/>
        </w:rPr>
        <w:t xml:space="preserve">he legislation </w:t>
      </w:r>
      <w:r w:rsidR="003C57F5">
        <w:rPr>
          <w:rFonts w:ascii="Arial" w:hAnsi="Arial" w:cs="Arial"/>
          <w:sz w:val="24"/>
          <w:szCs w:val="24"/>
        </w:rPr>
        <w:t xml:space="preserve">and the process </w:t>
      </w:r>
      <w:r w:rsidR="006C02C0">
        <w:rPr>
          <w:rFonts w:ascii="Arial" w:hAnsi="Arial" w:cs="Arial"/>
          <w:sz w:val="24"/>
          <w:szCs w:val="24"/>
        </w:rPr>
        <w:t xml:space="preserve">applicable is </w:t>
      </w:r>
      <w:r w:rsidR="00950E27">
        <w:rPr>
          <w:rFonts w:ascii="Arial" w:hAnsi="Arial" w:cs="Arial"/>
          <w:sz w:val="24"/>
          <w:szCs w:val="24"/>
        </w:rPr>
        <w:t xml:space="preserve">in contention </w:t>
      </w:r>
      <w:r w:rsidR="006B70B6">
        <w:rPr>
          <w:rFonts w:ascii="Arial" w:hAnsi="Arial" w:cs="Arial"/>
          <w:sz w:val="24"/>
          <w:szCs w:val="24"/>
        </w:rPr>
        <w:t xml:space="preserve">and </w:t>
      </w:r>
      <w:r w:rsidR="00950E27">
        <w:rPr>
          <w:rFonts w:ascii="Arial" w:hAnsi="Arial" w:cs="Arial"/>
          <w:sz w:val="24"/>
          <w:szCs w:val="24"/>
        </w:rPr>
        <w:t xml:space="preserve">still has to be determined, which will then give </w:t>
      </w:r>
      <w:r w:rsidR="00BA34F5">
        <w:rPr>
          <w:rFonts w:ascii="Arial" w:hAnsi="Arial" w:cs="Arial"/>
          <w:sz w:val="24"/>
          <w:szCs w:val="24"/>
        </w:rPr>
        <w:t xml:space="preserve">a complete </w:t>
      </w:r>
      <w:r w:rsidR="00950E27">
        <w:rPr>
          <w:rFonts w:ascii="Arial" w:hAnsi="Arial" w:cs="Arial"/>
          <w:sz w:val="24"/>
          <w:szCs w:val="24"/>
        </w:rPr>
        <w:t>perspective to the issue of non-joinder.</w:t>
      </w:r>
    </w:p>
    <w:p w14:paraId="7745231C" w14:textId="77777777" w:rsidR="00514ACF" w:rsidRDefault="00514ACF" w:rsidP="00A92FAD">
      <w:pPr>
        <w:tabs>
          <w:tab w:val="left" w:pos="567"/>
        </w:tabs>
        <w:spacing w:after="0" w:line="360" w:lineRule="auto"/>
        <w:ind w:left="567" w:hanging="567"/>
        <w:jc w:val="both"/>
        <w:rPr>
          <w:rFonts w:ascii="Arial" w:hAnsi="Arial" w:cs="Arial"/>
          <w:sz w:val="24"/>
          <w:szCs w:val="24"/>
        </w:rPr>
      </w:pPr>
    </w:p>
    <w:p w14:paraId="2B9D5451" w14:textId="66E586A8" w:rsidR="00A92FAD" w:rsidRDefault="00287CC0" w:rsidP="00BA34F5">
      <w:pPr>
        <w:tabs>
          <w:tab w:val="left" w:pos="567"/>
        </w:tabs>
        <w:spacing w:after="0" w:line="360" w:lineRule="auto"/>
        <w:jc w:val="both"/>
        <w:rPr>
          <w:rFonts w:ascii="Arial" w:hAnsi="Arial" w:cs="Arial"/>
          <w:sz w:val="24"/>
          <w:szCs w:val="24"/>
        </w:rPr>
      </w:pPr>
      <w:r>
        <w:rPr>
          <w:rFonts w:ascii="Arial" w:hAnsi="Arial" w:cs="Arial"/>
          <w:sz w:val="24"/>
          <w:szCs w:val="24"/>
        </w:rPr>
        <w:t>[116</w:t>
      </w:r>
      <w:r w:rsidR="00E8780A">
        <w:rPr>
          <w:rFonts w:ascii="Arial" w:hAnsi="Arial" w:cs="Arial"/>
          <w:sz w:val="24"/>
          <w:szCs w:val="24"/>
        </w:rPr>
        <w:t>]</w:t>
      </w:r>
      <w:r w:rsidR="00E8780A">
        <w:rPr>
          <w:rFonts w:ascii="Arial" w:hAnsi="Arial" w:cs="Arial"/>
          <w:sz w:val="24"/>
          <w:szCs w:val="24"/>
        </w:rPr>
        <w:tab/>
      </w:r>
      <w:r w:rsidR="00E8780A">
        <w:rPr>
          <w:rFonts w:ascii="Arial" w:hAnsi="Arial" w:cs="Arial"/>
          <w:sz w:val="24"/>
          <w:szCs w:val="24"/>
        </w:rPr>
        <w:tab/>
      </w:r>
      <w:r w:rsidR="00A92FAD">
        <w:rPr>
          <w:rFonts w:ascii="Arial" w:hAnsi="Arial" w:cs="Arial"/>
          <w:sz w:val="24"/>
          <w:szCs w:val="24"/>
        </w:rPr>
        <w:t>The Respondent</w:t>
      </w:r>
      <w:r w:rsidR="00BA34F5">
        <w:rPr>
          <w:rFonts w:ascii="Arial" w:hAnsi="Arial" w:cs="Arial"/>
          <w:sz w:val="24"/>
          <w:szCs w:val="24"/>
        </w:rPr>
        <w:t>s</w:t>
      </w:r>
      <w:r w:rsidR="00A92FAD">
        <w:rPr>
          <w:rFonts w:ascii="Arial" w:hAnsi="Arial" w:cs="Arial"/>
          <w:sz w:val="24"/>
          <w:szCs w:val="24"/>
        </w:rPr>
        <w:t xml:space="preserve"> also argue</w:t>
      </w:r>
      <w:r w:rsidR="00BA34F5">
        <w:rPr>
          <w:rFonts w:ascii="Arial" w:hAnsi="Arial" w:cs="Arial"/>
          <w:sz w:val="24"/>
          <w:szCs w:val="24"/>
        </w:rPr>
        <w:t>d</w:t>
      </w:r>
      <w:r w:rsidR="00A92FAD">
        <w:rPr>
          <w:rFonts w:ascii="Arial" w:hAnsi="Arial" w:cs="Arial"/>
          <w:sz w:val="24"/>
          <w:szCs w:val="24"/>
        </w:rPr>
        <w:t xml:space="preserve"> that a declaratory o</w:t>
      </w:r>
      <w:r w:rsidR="00BA34F5">
        <w:rPr>
          <w:rFonts w:ascii="Arial" w:hAnsi="Arial" w:cs="Arial"/>
          <w:sz w:val="24"/>
          <w:szCs w:val="24"/>
        </w:rPr>
        <w:t xml:space="preserve">rder on a point taken or raised </w:t>
      </w:r>
      <w:r w:rsidR="00A92FAD">
        <w:rPr>
          <w:rFonts w:ascii="Arial" w:hAnsi="Arial" w:cs="Arial"/>
          <w:sz w:val="24"/>
          <w:szCs w:val="24"/>
        </w:rPr>
        <w:t xml:space="preserve">that has already been decided by a competent court cannot be granted. Reference is made to a fact that the Supreme Court of Appeal (SCA) has already decided that </w:t>
      </w:r>
      <w:r w:rsidR="005D7DE6">
        <w:rPr>
          <w:rFonts w:ascii="Arial" w:hAnsi="Arial" w:cs="Arial"/>
          <w:sz w:val="24"/>
          <w:szCs w:val="24"/>
        </w:rPr>
        <w:t>d</w:t>
      </w:r>
      <w:r w:rsidR="00A92FAD">
        <w:rPr>
          <w:rFonts w:ascii="Arial" w:hAnsi="Arial" w:cs="Arial"/>
          <w:sz w:val="24"/>
          <w:szCs w:val="24"/>
        </w:rPr>
        <w:t xml:space="preserve">irectives or instructions already issued by the Regulatory State Department </w:t>
      </w:r>
      <w:r w:rsidR="00A92FAD" w:rsidRPr="00F703BD">
        <w:rPr>
          <w:rFonts w:ascii="Arial" w:hAnsi="Arial" w:cs="Arial"/>
          <w:i/>
          <w:sz w:val="24"/>
          <w:szCs w:val="24"/>
        </w:rPr>
        <w:t>in casu</w:t>
      </w:r>
      <w:r w:rsidR="00A92FAD">
        <w:rPr>
          <w:rFonts w:ascii="Arial" w:hAnsi="Arial" w:cs="Arial"/>
          <w:sz w:val="24"/>
          <w:szCs w:val="24"/>
        </w:rPr>
        <w:t xml:space="preserve"> the DMRE, against the holder of a mining right persists even after </w:t>
      </w:r>
      <w:r w:rsidR="00A92FAD">
        <w:rPr>
          <w:rFonts w:ascii="Arial" w:hAnsi="Arial" w:cs="Arial"/>
          <w:sz w:val="24"/>
          <w:szCs w:val="24"/>
        </w:rPr>
        <w:lastRenderedPageBreak/>
        <w:t xml:space="preserve">the Oaks Mine properties are sold to the game farmer and that prior owner has lost its connection with the land. The order for a declaratory order must be refused. </w:t>
      </w:r>
    </w:p>
    <w:p w14:paraId="2DB1F9EF" w14:textId="77777777" w:rsidR="00950E27" w:rsidRDefault="00950E27" w:rsidP="00A32AB1">
      <w:pPr>
        <w:pStyle w:val="ListParagraph"/>
        <w:tabs>
          <w:tab w:val="left" w:pos="0"/>
        </w:tabs>
        <w:spacing w:after="0" w:line="360" w:lineRule="auto"/>
        <w:ind w:left="0"/>
        <w:jc w:val="both"/>
        <w:rPr>
          <w:rFonts w:ascii="Arial" w:hAnsi="Arial" w:cs="Arial"/>
          <w:sz w:val="24"/>
          <w:szCs w:val="24"/>
          <w:u w:val="single"/>
        </w:rPr>
      </w:pPr>
    </w:p>
    <w:p w14:paraId="10636974" w14:textId="32B9088F" w:rsidR="00AF2783" w:rsidRPr="00950E27" w:rsidRDefault="00950E27" w:rsidP="00A32AB1">
      <w:pPr>
        <w:pStyle w:val="ListParagraph"/>
        <w:tabs>
          <w:tab w:val="left" w:pos="0"/>
        </w:tabs>
        <w:spacing w:after="0" w:line="360" w:lineRule="auto"/>
        <w:ind w:left="0"/>
        <w:jc w:val="both"/>
        <w:rPr>
          <w:rFonts w:ascii="Arial" w:hAnsi="Arial" w:cs="Arial"/>
          <w:b/>
          <w:sz w:val="24"/>
          <w:szCs w:val="24"/>
        </w:rPr>
      </w:pPr>
      <w:r w:rsidRPr="00950E27">
        <w:rPr>
          <w:rFonts w:ascii="Arial" w:hAnsi="Arial" w:cs="Arial"/>
          <w:b/>
          <w:sz w:val="24"/>
          <w:szCs w:val="24"/>
        </w:rPr>
        <w:t xml:space="preserve">The application of </w:t>
      </w:r>
      <w:r w:rsidR="00747C36" w:rsidRPr="00950E27">
        <w:rPr>
          <w:rFonts w:ascii="Arial" w:hAnsi="Arial" w:cs="Arial"/>
          <w:b/>
          <w:sz w:val="24"/>
          <w:szCs w:val="24"/>
        </w:rPr>
        <w:t xml:space="preserve">s 43 of the Mineral and Petroleum Resources Development Act (MPRDA) </w:t>
      </w:r>
      <w:r w:rsidRPr="00950E27">
        <w:rPr>
          <w:rFonts w:ascii="Arial" w:hAnsi="Arial" w:cs="Arial"/>
          <w:b/>
          <w:sz w:val="24"/>
          <w:szCs w:val="24"/>
        </w:rPr>
        <w:t xml:space="preserve">(whether it </w:t>
      </w:r>
      <w:r w:rsidR="00747C36" w:rsidRPr="00950E27">
        <w:rPr>
          <w:rFonts w:ascii="Arial" w:hAnsi="Arial" w:cs="Arial"/>
          <w:b/>
          <w:sz w:val="24"/>
          <w:szCs w:val="24"/>
        </w:rPr>
        <w:t>should be p</w:t>
      </w:r>
      <w:r w:rsidR="00D1249C">
        <w:rPr>
          <w:rFonts w:ascii="Arial" w:hAnsi="Arial" w:cs="Arial"/>
          <w:b/>
          <w:sz w:val="24"/>
          <w:szCs w:val="24"/>
        </w:rPr>
        <w:t xml:space="preserve">rospective or </w:t>
      </w:r>
      <w:r w:rsidR="002C3169">
        <w:rPr>
          <w:rFonts w:ascii="Arial" w:hAnsi="Arial" w:cs="Arial"/>
          <w:b/>
          <w:sz w:val="24"/>
          <w:szCs w:val="24"/>
        </w:rPr>
        <w:t>retrospectively)</w:t>
      </w:r>
      <w:r w:rsidR="00D1249C">
        <w:rPr>
          <w:rFonts w:ascii="Arial" w:hAnsi="Arial" w:cs="Arial"/>
          <w:b/>
          <w:sz w:val="24"/>
          <w:szCs w:val="24"/>
        </w:rPr>
        <w:t>.</w:t>
      </w:r>
      <w:r w:rsidR="00747C36" w:rsidRPr="00950E27">
        <w:rPr>
          <w:rFonts w:ascii="Arial" w:hAnsi="Arial" w:cs="Arial"/>
          <w:b/>
          <w:sz w:val="24"/>
          <w:szCs w:val="24"/>
        </w:rPr>
        <w:t xml:space="preserve">  </w:t>
      </w:r>
    </w:p>
    <w:p w14:paraId="68A785B7" w14:textId="77777777" w:rsidR="00B33391" w:rsidRPr="00A32AB1" w:rsidRDefault="00B33391" w:rsidP="00A32AB1">
      <w:pPr>
        <w:pStyle w:val="ListParagraph"/>
        <w:tabs>
          <w:tab w:val="left" w:pos="0"/>
        </w:tabs>
        <w:spacing w:after="0" w:line="360" w:lineRule="auto"/>
        <w:ind w:left="0"/>
        <w:jc w:val="both"/>
        <w:rPr>
          <w:rFonts w:ascii="Arial" w:hAnsi="Arial" w:cs="Arial"/>
          <w:i/>
          <w:iCs/>
          <w:sz w:val="24"/>
          <w:szCs w:val="24"/>
        </w:rPr>
      </w:pPr>
    </w:p>
    <w:p w14:paraId="25FE8C93" w14:textId="7105A29A" w:rsidR="00E5649C" w:rsidRDefault="00950E27" w:rsidP="00950E27">
      <w:pPr>
        <w:tabs>
          <w:tab w:val="left" w:pos="0"/>
        </w:tabs>
        <w:spacing w:after="0" w:line="360" w:lineRule="auto"/>
        <w:jc w:val="both"/>
        <w:rPr>
          <w:rFonts w:ascii="Arial" w:hAnsi="Arial" w:cs="Arial"/>
          <w:sz w:val="24"/>
          <w:szCs w:val="24"/>
        </w:rPr>
      </w:pPr>
      <w:r>
        <w:rPr>
          <w:rFonts w:ascii="Arial" w:hAnsi="Arial" w:cs="Arial"/>
          <w:sz w:val="24"/>
          <w:szCs w:val="24"/>
        </w:rPr>
        <w:t>[</w:t>
      </w:r>
      <w:r w:rsidR="00287CC0">
        <w:rPr>
          <w:rFonts w:ascii="Arial" w:hAnsi="Arial" w:cs="Arial"/>
          <w:sz w:val="24"/>
          <w:szCs w:val="24"/>
        </w:rPr>
        <w:t>117</w:t>
      </w:r>
      <w:r>
        <w:rPr>
          <w:rFonts w:ascii="Arial" w:hAnsi="Arial" w:cs="Arial"/>
          <w:sz w:val="24"/>
          <w:szCs w:val="24"/>
        </w:rPr>
        <w:t>]</w:t>
      </w:r>
      <w:r>
        <w:rPr>
          <w:rFonts w:ascii="Arial" w:hAnsi="Arial" w:cs="Arial"/>
          <w:sz w:val="24"/>
          <w:szCs w:val="24"/>
        </w:rPr>
        <w:tab/>
      </w:r>
      <w:r w:rsidRPr="00950E27">
        <w:rPr>
          <w:rFonts w:ascii="Arial" w:hAnsi="Arial" w:cs="Arial"/>
          <w:sz w:val="24"/>
          <w:szCs w:val="24"/>
        </w:rPr>
        <w:t>DBCM’s</w:t>
      </w:r>
      <w:r w:rsidR="0025312E" w:rsidRPr="00950E27">
        <w:rPr>
          <w:rFonts w:ascii="Arial" w:hAnsi="Arial" w:cs="Arial"/>
          <w:sz w:val="24"/>
          <w:szCs w:val="24"/>
        </w:rPr>
        <w:t xml:space="preserve"> </w:t>
      </w:r>
      <w:r w:rsidRPr="00950E27">
        <w:rPr>
          <w:rFonts w:ascii="Arial" w:hAnsi="Arial" w:cs="Arial"/>
          <w:sz w:val="24"/>
          <w:szCs w:val="24"/>
        </w:rPr>
        <w:t xml:space="preserve">first </w:t>
      </w:r>
      <w:r>
        <w:rPr>
          <w:rFonts w:ascii="Arial" w:hAnsi="Arial" w:cs="Arial"/>
          <w:sz w:val="24"/>
          <w:szCs w:val="24"/>
        </w:rPr>
        <w:t xml:space="preserve">EMP was approved on 24 June 1998 </w:t>
      </w:r>
      <w:r w:rsidRPr="00950E27">
        <w:rPr>
          <w:rFonts w:ascii="Arial" w:hAnsi="Arial" w:cs="Arial"/>
          <w:sz w:val="24"/>
          <w:szCs w:val="24"/>
        </w:rPr>
        <w:t xml:space="preserve">and </w:t>
      </w:r>
      <w:r>
        <w:rPr>
          <w:rFonts w:ascii="Arial" w:hAnsi="Arial" w:cs="Arial"/>
          <w:sz w:val="24"/>
          <w:szCs w:val="24"/>
        </w:rPr>
        <w:t xml:space="preserve">subsequently an </w:t>
      </w:r>
      <w:r w:rsidRPr="00950E27">
        <w:rPr>
          <w:rFonts w:ascii="Arial" w:hAnsi="Arial" w:cs="Arial"/>
          <w:sz w:val="24"/>
          <w:szCs w:val="24"/>
        </w:rPr>
        <w:t>amended EMP approved in 2003,</w:t>
      </w:r>
      <w:r w:rsidR="0025312E" w:rsidRPr="00950E27">
        <w:rPr>
          <w:rFonts w:ascii="Arial" w:hAnsi="Arial" w:cs="Arial"/>
          <w:sz w:val="24"/>
          <w:szCs w:val="24"/>
        </w:rPr>
        <w:t xml:space="preserve"> </w:t>
      </w:r>
      <w:r>
        <w:rPr>
          <w:rFonts w:ascii="Arial" w:hAnsi="Arial" w:cs="Arial"/>
          <w:sz w:val="24"/>
          <w:szCs w:val="24"/>
        </w:rPr>
        <w:t xml:space="preserve">a year </w:t>
      </w:r>
      <w:r w:rsidR="0025312E" w:rsidRPr="00950E27">
        <w:rPr>
          <w:rFonts w:ascii="Arial" w:hAnsi="Arial" w:cs="Arial"/>
          <w:sz w:val="24"/>
          <w:szCs w:val="24"/>
        </w:rPr>
        <w:t xml:space="preserve">prior to 1 May 2004, </w:t>
      </w:r>
      <w:r w:rsidRPr="00950E27">
        <w:rPr>
          <w:rFonts w:ascii="Arial" w:hAnsi="Arial" w:cs="Arial"/>
          <w:sz w:val="24"/>
          <w:szCs w:val="24"/>
        </w:rPr>
        <w:t xml:space="preserve">the date of </w:t>
      </w:r>
      <w:r w:rsidR="0025312E" w:rsidRPr="00950E27">
        <w:rPr>
          <w:rFonts w:ascii="Arial" w:hAnsi="Arial" w:cs="Arial"/>
          <w:sz w:val="24"/>
          <w:szCs w:val="24"/>
        </w:rPr>
        <w:t>the commencement of the MPRDA</w:t>
      </w:r>
      <w:r w:rsidRPr="00950E27">
        <w:rPr>
          <w:rFonts w:ascii="Arial" w:hAnsi="Arial" w:cs="Arial"/>
          <w:sz w:val="24"/>
          <w:szCs w:val="24"/>
        </w:rPr>
        <w:t>.</w:t>
      </w:r>
      <w:r w:rsidR="0025312E" w:rsidRPr="00950E27">
        <w:rPr>
          <w:rFonts w:ascii="Arial" w:hAnsi="Arial" w:cs="Arial"/>
          <w:sz w:val="24"/>
          <w:szCs w:val="24"/>
        </w:rPr>
        <w:t xml:space="preserve"> </w:t>
      </w:r>
      <w:r>
        <w:rPr>
          <w:rFonts w:ascii="Arial" w:hAnsi="Arial" w:cs="Arial"/>
          <w:sz w:val="24"/>
          <w:szCs w:val="24"/>
        </w:rPr>
        <w:t xml:space="preserve">At </w:t>
      </w:r>
      <w:r w:rsidRPr="00950E27">
        <w:rPr>
          <w:rFonts w:ascii="Arial" w:hAnsi="Arial" w:cs="Arial"/>
          <w:sz w:val="24"/>
          <w:szCs w:val="24"/>
        </w:rPr>
        <w:t>the time</w:t>
      </w:r>
      <w:r w:rsidR="0025312E" w:rsidRPr="00950E27">
        <w:rPr>
          <w:rFonts w:ascii="Arial" w:hAnsi="Arial" w:cs="Arial"/>
          <w:sz w:val="24"/>
          <w:szCs w:val="24"/>
        </w:rPr>
        <w:t xml:space="preserve">, section 39 of the Mining Act was the relevant legal framework </w:t>
      </w:r>
      <w:r w:rsidRPr="00950E27">
        <w:rPr>
          <w:rFonts w:ascii="Arial" w:hAnsi="Arial" w:cs="Arial"/>
          <w:sz w:val="24"/>
          <w:szCs w:val="24"/>
        </w:rPr>
        <w:t xml:space="preserve">governing the approval of </w:t>
      </w:r>
      <w:r w:rsidR="0025312E" w:rsidRPr="00950E27">
        <w:rPr>
          <w:rFonts w:ascii="Arial" w:hAnsi="Arial" w:cs="Arial"/>
          <w:sz w:val="24"/>
          <w:szCs w:val="24"/>
        </w:rPr>
        <w:t xml:space="preserve">the </w:t>
      </w:r>
      <w:r w:rsidRPr="00950E27">
        <w:rPr>
          <w:rFonts w:ascii="Arial" w:hAnsi="Arial" w:cs="Arial"/>
          <w:sz w:val="24"/>
          <w:szCs w:val="24"/>
        </w:rPr>
        <w:t xml:space="preserve">amended </w:t>
      </w:r>
      <w:r w:rsidR="0025312E" w:rsidRPr="00950E27">
        <w:rPr>
          <w:rFonts w:ascii="Arial" w:hAnsi="Arial" w:cs="Arial"/>
          <w:sz w:val="24"/>
          <w:szCs w:val="24"/>
        </w:rPr>
        <w:t>EMPs</w:t>
      </w:r>
      <w:r w:rsidR="002C3169">
        <w:rPr>
          <w:rFonts w:ascii="Arial" w:hAnsi="Arial" w:cs="Arial"/>
          <w:sz w:val="24"/>
          <w:szCs w:val="24"/>
        </w:rPr>
        <w:t>.</w:t>
      </w:r>
      <w:r w:rsidR="0025312E" w:rsidRPr="00950E27">
        <w:rPr>
          <w:rFonts w:ascii="Arial" w:hAnsi="Arial" w:cs="Arial"/>
          <w:sz w:val="24"/>
          <w:szCs w:val="24"/>
        </w:rPr>
        <w:t xml:space="preserve"> </w:t>
      </w:r>
      <w:r w:rsidR="00087F2B" w:rsidRPr="00950E27">
        <w:rPr>
          <w:rFonts w:ascii="Arial" w:hAnsi="Arial" w:cs="Arial"/>
          <w:sz w:val="24"/>
          <w:szCs w:val="24"/>
        </w:rPr>
        <w:t>T</w:t>
      </w:r>
      <w:r w:rsidR="0025312E" w:rsidRPr="00950E27">
        <w:rPr>
          <w:rFonts w:ascii="Arial" w:hAnsi="Arial" w:cs="Arial"/>
          <w:sz w:val="24"/>
          <w:szCs w:val="24"/>
        </w:rPr>
        <w:t xml:space="preserve">he current legal framework is now laid down in </w:t>
      </w:r>
      <w:r w:rsidR="0091061B" w:rsidRPr="00950E27">
        <w:rPr>
          <w:rFonts w:ascii="Arial" w:hAnsi="Arial" w:cs="Arial"/>
          <w:sz w:val="24"/>
          <w:szCs w:val="24"/>
        </w:rPr>
        <w:t>s</w:t>
      </w:r>
      <w:r>
        <w:rPr>
          <w:rFonts w:ascii="Arial" w:hAnsi="Arial" w:cs="Arial"/>
          <w:sz w:val="24"/>
          <w:szCs w:val="24"/>
        </w:rPr>
        <w:t xml:space="preserve"> </w:t>
      </w:r>
      <w:r w:rsidR="0025312E" w:rsidRPr="00950E27">
        <w:rPr>
          <w:rFonts w:ascii="Arial" w:hAnsi="Arial" w:cs="Arial"/>
          <w:sz w:val="24"/>
          <w:szCs w:val="24"/>
        </w:rPr>
        <w:t xml:space="preserve">43 of the </w:t>
      </w:r>
      <w:r w:rsidR="002C3169">
        <w:rPr>
          <w:rFonts w:ascii="Arial" w:hAnsi="Arial" w:cs="Arial"/>
          <w:sz w:val="24"/>
          <w:szCs w:val="24"/>
        </w:rPr>
        <w:t xml:space="preserve">amended </w:t>
      </w:r>
      <w:r w:rsidR="0025312E" w:rsidRPr="00950E27">
        <w:rPr>
          <w:rFonts w:ascii="Arial" w:hAnsi="Arial" w:cs="Arial"/>
          <w:sz w:val="24"/>
          <w:szCs w:val="24"/>
        </w:rPr>
        <w:t>MPRDA.</w:t>
      </w:r>
      <w:r w:rsidR="00A519FF" w:rsidRPr="00950E27">
        <w:rPr>
          <w:rFonts w:ascii="Arial" w:hAnsi="Arial" w:cs="Arial"/>
          <w:sz w:val="24"/>
          <w:szCs w:val="24"/>
        </w:rPr>
        <w:t xml:space="preserve"> </w:t>
      </w:r>
      <w:r>
        <w:rPr>
          <w:rFonts w:ascii="Arial" w:hAnsi="Arial" w:cs="Arial"/>
          <w:sz w:val="24"/>
          <w:szCs w:val="24"/>
        </w:rPr>
        <w:t xml:space="preserve">It is common cause that </w:t>
      </w:r>
      <w:r w:rsidRPr="00950E27">
        <w:rPr>
          <w:rFonts w:ascii="Arial" w:hAnsi="Arial" w:cs="Arial"/>
          <w:sz w:val="24"/>
          <w:szCs w:val="24"/>
        </w:rPr>
        <w:t>1</w:t>
      </w:r>
      <w:r w:rsidRPr="00950E27">
        <w:rPr>
          <w:rFonts w:ascii="Arial" w:hAnsi="Arial" w:cs="Arial"/>
          <w:sz w:val="24"/>
          <w:szCs w:val="24"/>
          <w:vertAlign w:val="superscript"/>
        </w:rPr>
        <w:t>st</w:t>
      </w:r>
      <w:r w:rsidRPr="00950E27">
        <w:rPr>
          <w:rFonts w:ascii="Arial" w:hAnsi="Arial" w:cs="Arial"/>
          <w:sz w:val="24"/>
          <w:szCs w:val="24"/>
        </w:rPr>
        <w:t xml:space="preserve"> Respondent refused to grant the closure certificate and insisted that the open pit be closed as part of the rehabilitation plan in line with s 43 as amended</w:t>
      </w:r>
      <w:r>
        <w:rPr>
          <w:rFonts w:ascii="Arial" w:hAnsi="Arial" w:cs="Arial"/>
          <w:sz w:val="24"/>
          <w:szCs w:val="24"/>
        </w:rPr>
        <w:t xml:space="preserve">, which however is </w:t>
      </w:r>
      <w:r w:rsidRPr="00950E27">
        <w:rPr>
          <w:rFonts w:ascii="Arial" w:hAnsi="Arial" w:cs="Arial"/>
          <w:sz w:val="24"/>
          <w:szCs w:val="24"/>
        </w:rPr>
        <w:t xml:space="preserve">not in </w:t>
      </w:r>
      <w:r w:rsidR="00D1249C">
        <w:rPr>
          <w:rFonts w:ascii="Arial" w:hAnsi="Arial" w:cs="Arial"/>
          <w:sz w:val="24"/>
          <w:szCs w:val="24"/>
        </w:rPr>
        <w:t>accordance</w:t>
      </w:r>
      <w:r w:rsidRPr="00950E27">
        <w:rPr>
          <w:rFonts w:ascii="Arial" w:hAnsi="Arial" w:cs="Arial"/>
          <w:sz w:val="24"/>
          <w:szCs w:val="24"/>
        </w:rPr>
        <w:t xml:space="preserve"> with the rehabilitation plan as per </w:t>
      </w:r>
      <w:r w:rsidR="002C3169">
        <w:rPr>
          <w:rFonts w:ascii="Arial" w:hAnsi="Arial" w:cs="Arial"/>
          <w:sz w:val="24"/>
          <w:szCs w:val="24"/>
        </w:rPr>
        <w:t xml:space="preserve">DBCM’s </w:t>
      </w:r>
      <w:r w:rsidRPr="00950E27">
        <w:rPr>
          <w:rFonts w:ascii="Arial" w:hAnsi="Arial" w:cs="Arial"/>
          <w:sz w:val="24"/>
          <w:szCs w:val="24"/>
        </w:rPr>
        <w:t xml:space="preserve">amended EMP </w:t>
      </w:r>
      <w:r w:rsidR="003C57F5">
        <w:rPr>
          <w:rFonts w:ascii="Arial" w:hAnsi="Arial" w:cs="Arial"/>
          <w:sz w:val="24"/>
          <w:szCs w:val="24"/>
        </w:rPr>
        <w:t xml:space="preserve">that was </w:t>
      </w:r>
      <w:r w:rsidRPr="00950E27">
        <w:rPr>
          <w:rFonts w:ascii="Arial" w:hAnsi="Arial" w:cs="Arial"/>
          <w:sz w:val="24"/>
          <w:szCs w:val="24"/>
        </w:rPr>
        <w:t xml:space="preserve">approved in terms of section 39 of the </w:t>
      </w:r>
      <w:r w:rsidR="003C57F5">
        <w:rPr>
          <w:rFonts w:ascii="Arial" w:hAnsi="Arial" w:cs="Arial"/>
          <w:sz w:val="24"/>
          <w:szCs w:val="24"/>
        </w:rPr>
        <w:t xml:space="preserve">repealed </w:t>
      </w:r>
      <w:r w:rsidRPr="00950E27">
        <w:rPr>
          <w:rFonts w:ascii="Arial" w:hAnsi="Arial" w:cs="Arial"/>
          <w:sz w:val="24"/>
          <w:szCs w:val="24"/>
        </w:rPr>
        <w:t>Minerals Act. The</w:t>
      </w:r>
      <w:r>
        <w:rPr>
          <w:rFonts w:ascii="Arial" w:hAnsi="Arial" w:cs="Arial"/>
          <w:sz w:val="24"/>
          <w:szCs w:val="24"/>
        </w:rPr>
        <w:t xml:space="preserve"> 1</w:t>
      </w:r>
      <w:r w:rsidRPr="00950E27">
        <w:rPr>
          <w:rFonts w:ascii="Arial" w:hAnsi="Arial" w:cs="Arial"/>
          <w:sz w:val="24"/>
          <w:szCs w:val="24"/>
          <w:vertAlign w:val="superscript"/>
        </w:rPr>
        <w:t>st</w:t>
      </w:r>
      <w:r>
        <w:rPr>
          <w:rFonts w:ascii="Arial" w:hAnsi="Arial" w:cs="Arial"/>
          <w:sz w:val="24"/>
          <w:szCs w:val="24"/>
        </w:rPr>
        <w:t xml:space="preserve"> Respondent applied the amended s 43 </w:t>
      </w:r>
      <w:r w:rsidRPr="00950E27">
        <w:rPr>
          <w:rFonts w:ascii="Arial" w:hAnsi="Arial" w:cs="Arial"/>
          <w:sz w:val="24"/>
          <w:szCs w:val="24"/>
        </w:rPr>
        <w:t>of the MPRDA retrospective</w:t>
      </w:r>
      <w:r>
        <w:rPr>
          <w:rFonts w:ascii="Arial" w:hAnsi="Arial" w:cs="Arial"/>
          <w:sz w:val="24"/>
          <w:szCs w:val="24"/>
        </w:rPr>
        <w:t xml:space="preserve">ly, since the </w:t>
      </w:r>
      <w:r w:rsidR="002C1538">
        <w:rPr>
          <w:rFonts w:ascii="Arial" w:hAnsi="Arial" w:cs="Arial"/>
          <w:sz w:val="24"/>
          <w:szCs w:val="24"/>
        </w:rPr>
        <w:t xml:space="preserve">Act came into effect in 2013 when the </w:t>
      </w:r>
      <w:r>
        <w:rPr>
          <w:rFonts w:ascii="Arial" w:hAnsi="Arial" w:cs="Arial"/>
          <w:sz w:val="24"/>
          <w:szCs w:val="24"/>
        </w:rPr>
        <w:t>Application was submitted on November 2009</w:t>
      </w:r>
      <w:r w:rsidRPr="00950E27">
        <w:rPr>
          <w:rFonts w:ascii="Arial" w:hAnsi="Arial" w:cs="Arial"/>
          <w:sz w:val="24"/>
          <w:szCs w:val="24"/>
        </w:rPr>
        <w:t>.</w:t>
      </w:r>
    </w:p>
    <w:p w14:paraId="25315D5B" w14:textId="77777777" w:rsidR="00E5649C" w:rsidRDefault="00E5649C" w:rsidP="00950E27">
      <w:pPr>
        <w:tabs>
          <w:tab w:val="left" w:pos="0"/>
        </w:tabs>
        <w:spacing w:after="0" w:line="360" w:lineRule="auto"/>
        <w:jc w:val="both"/>
        <w:rPr>
          <w:rFonts w:ascii="Arial" w:hAnsi="Arial" w:cs="Arial"/>
          <w:sz w:val="24"/>
          <w:szCs w:val="24"/>
        </w:rPr>
      </w:pPr>
    </w:p>
    <w:p w14:paraId="08A811A7" w14:textId="2B8BBCAD" w:rsidR="003977C3" w:rsidRDefault="00287CC0" w:rsidP="00950E27">
      <w:pPr>
        <w:tabs>
          <w:tab w:val="left" w:pos="0"/>
        </w:tabs>
        <w:spacing w:after="0" w:line="360" w:lineRule="auto"/>
        <w:jc w:val="both"/>
        <w:rPr>
          <w:rFonts w:ascii="Arial" w:hAnsi="Arial" w:cs="Arial"/>
          <w:sz w:val="24"/>
          <w:szCs w:val="24"/>
        </w:rPr>
      </w:pPr>
      <w:r>
        <w:rPr>
          <w:rFonts w:ascii="Arial" w:hAnsi="Arial" w:cs="Arial"/>
          <w:sz w:val="24"/>
          <w:szCs w:val="24"/>
        </w:rPr>
        <w:t>[118</w:t>
      </w:r>
      <w:r w:rsidR="00D30E81">
        <w:rPr>
          <w:rFonts w:ascii="Arial" w:hAnsi="Arial" w:cs="Arial"/>
          <w:sz w:val="24"/>
          <w:szCs w:val="24"/>
        </w:rPr>
        <w:t>]</w:t>
      </w:r>
      <w:r w:rsidR="00E5649C">
        <w:rPr>
          <w:rFonts w:ascii="Arial" w:hAnsi="Arial" w:cs="Arial"/>
          <w:sz w:val="24"/>
          <w:szCs w:val="24"/>
        </w:rPr>
        <w:tab/>
      </w:r>
      <w:r w:rsidR="00950E27" w:rsidRPr="001C4180">
        <w:rPr>
          <w:rFonts w:ascii="Arial" w:hAnsi="Arial" w:cs="Arial"/>
          <w:sz w:val="24"/>
          <w:szCs w:val="24"/>
        </w:rPr>
        <w:t>DBCM argue</w:t>
      </w:r>
      <w:r w:rsidR="003C57F5" w:rsidRPr="001C4180">
        <w:rPr>
          <w:rFonts w:ascii="Arial" w:hAnsi="Arial" w:cs="Arial"/>
          <w:sz w:val="24"/>
          <w:szCs w:val="24"/>
        </w:rPr>
        <w:t>d</w:t>
      </w:r>
      <w:r w:rsidR="00950E27" w:rsidRPr="001C4180">
        <w:rPr>
          <w:rFonts w:ascii="Arial" w:hAnsi="Arial" w:cs="Arial"/>
          <w:sz w:val="24"/>
          <w:szCs w:val="24"/>
        </w:rPr>
        <w:t xml:space="preserve"> that the mining license ha</w:t>
      </w:r>
      <w:r w:rsidR="002C1538" w:rsidRPr="001C4180">
        <w:rPr>
          <w:rFonts w:ascii="Arial" w:hAnsi="Arial" w:cs="Arial"/>
          <w:sz w:val="24"/>
          <w:szCs w:val="24"/>
        </w:rPr>
        <w:t>d</w:t>
      </w:r>
      <w:r w:rsidR="00950E27" w:rsidRPr="001C4180">
        <w:rPr>
          <w:rFonts w:ascii="Arial" w:hAnsi="Arial" w:cs="Arial"/>
          <w:sz w:val="24"/>
          <w:szCs w:val="24"/>
        </w:rPr>
        <w:t xml:space="preserve"> </w:t>
      </w:r>
      <w:r w:rsidR="003C57F5" w:rsidRPr="001C4180">
        <w:rPr>
          <w:rFonts w:ascii="Arial" w:hAnsi="Arial" w:cs="Arial"/>
          <w:sz w:val="24"/>
          <w:szCs w:val="24"/>
        </w:rPr>
        <w:t xml:space="preserve">by </w:t>
      </w:r>
      <w:r w:rsidR="00D1249C" w:rsidRPr="001C4180">
        <w:rPr>
          <w:rFonts w:ascii="Arial" w:hAnsi="Arial" w:cs="Arial"/>
          <w:sz w:val="24"/>
          <w:szCs w:val="24"/>
        </w:rPr>
        <w:t xml:space="preserve">then </w:t>
      </w:r>
      <w:r w:rsidR="00950E27" w:rsidRPr="001C4180">
        <w:rPr>
          <w:rFonts w:ascii="Arial" w:hAnsi="Arial" w:cs="Arial"/>
          <w:sz w:val="24"/>
          <w:szCs w:val="24"/>
        </w:rPr>
        <w:t xml:space="preserve">lapsed as it was not converted to the new order right and s 39 </w:t>
      </w:r>
      <w:r w:rsidR="00D1249C" w:rsidRPr="001C4180">
        <w:rPr>
          <w:rFonts w:ascii="Arial" w:hAnsi="Arial" w:cs="Arial"/>
          <w:sz w:val="24"/>
          <w:szCs w:val="24"/>
        </w:rPr>
        <w:t xml:space="preserve">of the repealed </w:t>
      </w:r>
      <w:r w:rsidR="001C4180">
        <w:rPr>
          <w:rFonts w:ascii="Arial" w:hAnsi="Arial" w:cs="Arial"/>
          <w:sz w:val="24"/>
          <w:szCs w:val="24"/>
        </w:rPr>
        <w:t xml:space="preserve">Mining Act </w:t>
      </w:r>
      <w:r w:rsidR="00950E27" w:rsidRPr="001C4180">
        <w:rPr>
          <w:rFonts w:ascii="Arial" w:hAnsi="Arial" w:cs="Arial"/>
          <w:sz w:val="24"/>
          <w:szCs w:val="24"/>
        </w:rPr>
        <w:t xml:space="preserve">should </w:t>
      </w:r>
      <w:r w:rsidR="00E5649C">
        <w:rPr>
          <w:rFonts w:ascii="Arial" w:hAnsi="Arial" w:cs="Arial"/>
          <w:sz w:val="24"/>
          <w:szCs w:val="24"/>
        </w:rPr>
        <w:t xml:space="preserve">therefore </w:t>
      </w:r>
      <w:r w:rsidR="00950E27" w:rsidRPr="001C4180">
        <w:rPr>
          <w:rFonts w:ascii="Arial" w:hAnsi="Arial" w:cs="Arial"/>
          <w:sz w:val="24"/>
          <w:szCs w:val="24"/>
        </w:rPr>
        <w:t>be the applicable framework</w:t>
      </w:r>
      <w:r w:rsidR="00950E27" w:rsidRPr="00950E27">
        <w:rPr>
          <w:rFonts w:ascii="Arial" w:hAnsi="Arial" w:cs="Arial"/>
          <w:sz w:val="24"/>
          <w:szCs w:val="24"/>
        </w:rPr>
        <w:t xml:space="preserve">. </w:t>
      </w:r>
      <w:r w:rsidR="00950E27" w:rsidRPr="001C4180">
        <w:rPr>
          <w:rFonts w:ascii="Arial" w:hAnsi="Arial" w:cs="Arial"/>
          <w:sz w:val="24"/>
          <w:szCs w:val="24"/>
        </w:rPr>
        <w:t>The initial and 2003 Amended EMP, remained valid and enforceable in accordance with item 10 of the transitional arrangements in schedule II of the MPRDA.</w:t>
      </w:r>
      <w:r w:rsidR="00950E27" w:rsidRPr="00950E27">
        <w:rPr>
          <w:rFonts w:ascii="Arial" w:hAnsi="Arial" w:cs="Arial"/>
          <w:sz w:val="24"/>
          <w:szCs w:val="24"/>
        </w:rPr>
        <w:t xml:space="preserve"> </w:t>
      </w:r>
      <w:r w:rsidR="00E5649C">
        <w:rPr>
          <w:rFonts w:ascii="Arial" w:hAnsi="Arial" w:cs="Arial"/>
          <w:sz w:val="24"/>
          <w:szCs w:val="24"/>
        </w:rPr>
        <w:t>As a result t</w:t>
      </w:r>
      <w:r w:rsidR="0025312E" w:rsidRPr="00950E27">
        <w:rPr>
          <w:rFonts w:ascii="Arial" w:hAnsi="Arial" w:cs="Arial"/>
          <w:sz w:val="24"/>
          <w:szCs w:val="24"/>
        </w:rPr>
        <w:t xml:space="preserve">he </w:t>
      </w:r>
      <w:r w:rsidR="00950E27">
        <w:rPr>
          <w:rFonts w:ascii="Arial" w:hAnsi="Arial" w:cs="Arial"/>
          <w:sz w:val="24"/>
          <w:szCs w:val="24"/>
        </w:rPr>
        <w:t>1</w:t>
      </w:r>
      <w:r w:rsidR="00950E27" w:rsidRPr="00950E27">
        <w:rPr>
          <w:rFonts w:ascii="Arial" w:hAnsi="Arial" w:cs="Arial"/>
          <w:sz w:val="24"/>
          <w:szCs w:val="24"/>
          <w:vertAlign w:val="superscript"/>
        </w:rPr>
        <w:t>st</w:t>
      </w:r>
      <w:r w:rsidR="00950E27">
        <w:rPr>
          <w:rFonts w:ascii="Arial" w:hAnsi="Arial" w:cs="Arial"/>
          <w:sz w:val="24"/>
          <w:szCs w:val="24"/>
        </w:rPr>
        <w:t xml:space="preserve"> R</w:t>
      </w:r>
      <w:r w:rsidR="0025312E" w:rsidRPr="00950E27">
        <w:rPr>
          <w:rFonts w:ascii="Arial" w:hAnsi="Arial" w:cs="Arial"/>
          <w:sz w:val="24"/>
          <w:szCs w:val="24"/>
        </w:rPr>
        <w:t>espondent incorrect assum</w:t>
      </w:r>
      <w:r w:rsidR="00E5649C">
        <w:rPr>
          <w:rFonts w:ascii="Arial" w:hAnsi="Arial" w:cs="Arial"/>
          <w:sz w:val="24"/>
          <w:szCs w:val="24"/>
        </w:rPr>
        <w:t>ption</w:t>
      </w:r>
      <w:r w:rsidR="0025312E" w:rsidRPr="00950E27">
        <w:rPr>
          <w:rFonts w:ascii="Arial" w:hAnsi="Arial" w:cs="Arial"/>
          <w:sz w:val="24"/>
          <w:szCs w:val="24"/>
        </w:rPr>
        <w:t xml:space="preserve"> that the changes contained in </w:t>
      </w:r>
      <w:r w:rsidR="0091061B" w:rsidRPr="00950E27">
        <w:rPr>
          <w:rFonts w:ascii="Arial" w:hAnsi="Arial" w:cs="Arial"/>
          <w:sz w:val="24"/>
          <w:szCs w:val="24"/>
        </w:rPr>
        <w:t>s</w:t>
      </w:r>
      <w:r w:rsidR="0025312E" w:rsidRPr="00950E27">
        <w:rPr>
          <w:rFonts w:ascii="Arial" w:hAnsi="Arial" w:cs="Arial"/>
          <w:sz w:val="24"/>
          <w:szCs w:val="24"/>
        </w:rPr>
        <w:t>ection 43 applied retro</w:t>
      </w:r>
      <w:r w:rsidR="00DA24A2" w:rsidRPr="00950E27">
        <w:rPr>
          <w:rFonts w:ascii="Arial" w:hAnsi="Arial" w:cs="Arial"/>
          <w:sz w:val="24"/>
          <w:szCs w:val="24"/>
        </w:rPr>
        <w:t>spectively</w:t>
      </w:r>
      <w:r w:rsidR="00E5649C">
        <w:rPr>
          <w:rFonts w:ascii="Arial" w:hAnsi="Arial" w:cs="Arial"/>
          <w:sz w:val="24"/>
          <w:szCs w:val="24"/>
        </w:rPr>
        <w:t xml:space="preserve"> h</w:t>
      </w:r>
      <w:r w:rsidR="00950E27">
        <w:rPr>
          <w:rFonts w:ascii="Arial" w:hAnsi="Arial" w:cs="Arial"/>
          <w:sz w:val="24"/>
          <w:szCs w:val="24"/>
        </w:rPr>
        <w:t xml:space="preserve">as led to </w:t>
      </w:r>
      <w:r w:rsidR="00D1249C">
        <w:rPr>
          <w:rFonts w:ascii="Arial" w:hAnsi="Arial" w:cs="Arial"/>
          <w:sz w:val="24"/>
          <w:szCs w:val="24"/>
        </w:rPr>
        <w:t xml:space="preserve">a material error of law and </w:t>
      </w:r>
      <w:r w:rsidR="00950E27">
        <w:rPr>
          <w:rFonts w:ascii="Arial" w:hAnsi="Arial" w:cs="Arial"/>
          <w:sz w:val="24"/>
          <w:szCs w:val="24"/>
        </w:rPr>
        <w:t xml:space="preserve">incorrect </w:t>
      </w:r>
      <w:r w:rsidR="0025312E" w:rsidRPr="00950E27">
        <w:rPr>
          <w:rFonts w:ascii="Arial" w:hAnsi="Arial" w:cs="Arial"/>
          <w:sz w:val="24"/>
          <w:szCs w:val="24"/>
        </w:rPr>
        <w:t>decision</w:t>
      </w:r>
      <w:r w:rsidR="00E5649C">
        <w:rPr>
          <w:rFonts w:ascii="Arial" w:hAnsi="Arial" w:cs="Arial"/>
          <w:sz w:val="24"/>
          <w:szCs w:val="24"/>
        </w:rPr>
        <w:t>.</w:t>
      </w:r>
    </w:p>
    <w:p w14:paraId="53FFE909" w14:textId="77777777" w:rsidR="00950E27" w:rsidRPr="00A32AB1" w:rsidRDefault="00950E27" w:rsidP="00950E27">
      <w:pPr>
        <w:tabs>
          <w:tab w:val="left" w:pos="0"/>
        </w:tabs>
        <w:spacing w:after="0" w:line="360" w:lineRule="auto"/>
        <w:jc w:val="both"/>
        <w:rPr>
          <w:rFonts w:ascii="Arial" w:hAnsi="Arial" w:cs="Arial"/>
          <w:sz w:val="24"/>
          <w:szCs w:val="24"/>
        </w:rPr>
      </w:pPr>
    </w:p>
    <w:p w14:paraId="1EB4C156" w14:textId="7668DF35" w:rsidR="003977C3" w:rsidRPr="00A32AB1" w:rsidRDefault="00287CC0" w:rsidP="00950E27">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[119</w:t>
      </w:r>
      <w:r w:rsidR="00950E27">
        <w:rPr>
          <w:rFonts w:ascii="Arial" w:hAnsi="Arial" w:cs="Arial"/>
          <w:sz w:val="24"/>
          <w:szCs w:val="24"/>
        </w:rPr>
        <w:t>]</w:t>
      </w:r>
      <w:r w:rsidR="00950E27">
        <w:rPr>
          <w:rFonts w:ascii="Arial" w:hAnsi="Arial" w:cs="Arial"/>
          <w:sz w:val="24"/>
          <w:szCs w:val="24"/>
        </w:rPr>
        <w:tab/>
      </w:r>
      <w:r w:rsidR="0091061B">
        <w:rPr>
          <w:rFonts w:ascii="Arial" w:hAnsi="Arial" w:cs="Arial"/>
          <w:sz w:val="24"/>
          <w:szCs w:val="24"/>
        </w:rPr>
        <w:t>On the other hand</w:t>
      </w:r>
      <w:r w:rsidR="009A5D84" w:rsidRPr="009A5D84">
        <w:rPr>
          <w:rFonts w:ascii="Arial" w:hAnsi="Arial" w:cs="Arial"/>
          <w:sz w:val="24"/>
          <w:szCs w:val="24"/>
        </w:rPr>
        <w:t xml:space="preserve">, the </w:t>
      </w:r>
      <w:r w:rsidR="00950E27">
        <w:rPr>
          <w:rFonts w:ascii="Arial" w:hAnsi="Arial" w:cs="Arial"/>
          <w:sz w:val="24"/>
          <w:szCs w:val="24"/>
        </w:rPr>
        <w:t>1</w:t>
      </w:r>
      <w:r w:rsidR="00950E27" w:rsidRPr="00950E27">
        <w:rPr>
          <w:rFonts w:ascii="Arial" w:hAnsi="Arial" w:cs="Arial"/>
          <w:sz w:val="24"/>
          <w:szCs w:val="24"/>
          <w:vertAlign w:val="superscript"/>
        </w:rPr>
        <w:t>st</w:t>
      </w:r>
      <w:r w:rsidR="00950E27">
        <w:rPr>
          <w:rFonts w:ascii="Arial" w:hAnsi="Arial" w:cs="Arial"/>
          <w:sz w:val="24"/>
          <w:szCs w:val="24"/>
        </w:rPr>
        <w:t xml:space="preserve"> Re</w:t>
      </w:r>
      <w:r w:rsidR="009A5D84" w:rsidRPr="009A5D84">
        <w:rPr>
          <w:rFonts w:ascii="Arial" w:hAnsi="Arial" w:cs="Arial"/>
          <w:sz w:val="24"/>
          <w:szCs w:val="24"/>
        </w:rPr>
        <w:t>spondent</w:t>
      </w:r>
      <w:r w:rsidR="00D1249C">
        <w:rPr>
          <w:rFonts w:ascii="Arial" w:hAnsi="Arial" w:cs="Arial"/>
          <w:sz w:val="24"/>
          <w:szCs w:val="24"/>
        </w:rPr>
        <w:t xml:space="preserve"> denie</w:t>
      </w:r>
      <w:r w:rsidR="003C57F5">
        <w:rPr>
          <w:rFonts w:ascii="Arial" w:hAnsi="Arial" w:cs="Arial"/>
          <w:sz w:val="24"/>
          <w:szCs w:val="24"/>
        </w:rPr>
        <w:t>d</w:t>
      </w:r>
      <w:r w:rsidR="00D1249C">
        <w:rPr>
          <w:rFonts w:ascii="Arial" w:hAnsi="Arial" w:cs="Arial"/>
          <w:sz w:val="24"/>
          <w:szCs w:val="24"/>
        </w:rPr>
        <w:t xml:space="preserve"> </w:t>
      </w:r>
      <w:r w:rsidR="009A5D84" w:rsidRPr="009A5D84">
        <w:rPr>
          <w:rFonts w:ascii="Arial" w:hAnsi="Arial" w:cs="Arial"/>
          <w:sz w:val="24"/>
          <w:szCs w:val="24"/>
        </w:rPr>
        <w:t xml:space="preserve">that there was </w:t>
      </w:r>
      <w:r w:rsidR="003C57F5">
        <w:rPr>
          <w:rFonts w:ascii="Arial" w:hAnsi="Arial" w:cs="Arial"/>
          <w:sz w:val="24"/>
          <w:szCs w:val="24"/>
        </w:rPr>
        <w:t xml:space="preserve">any </w:t>
      </w:r>
      <w:r w:rsidR="009A5D84" w:rsidRPr="009A5D84">
        <w:rPr>
          <w:rFonts w:ascii="Arial" w:hAnsi="Arial" w:cs="Arial"/>
          <w:sz w:val="24"/>
          <w:szCs w:val="24"/>
        </w:rPr>
        <w:t xml:space="preserve">material error of law as to </w:t>
      </w:r>
      <w:r w:rsidR="003C57F5">
        <w:rPr>
          <w:rFonts w:ascii="Arial" w:hAnsi="Arial" w:cs="Arial"/>
          <w:sz w:val="24"/>
          <w:szCs w:val="24"/>
        </w:rPr>
        <w:t xml:space="preserve">his </w:t>
      </w:r>
      <w:r w:rsidR="009A5D84" w:rsidRPr="009A5D84">
        <w:rPr>
          <w:rFonts w:ascii="Arial" w:hAnsi="Arial" w:cs="Arial"/>
          <w:sz w:val="24"/>
          <w:szCs w:val="24"/>
        </w:rPr>
        <w:t>decision</w:t>
      </w:r>
      <w:r w:rsidR="003C57F5">
        <w:rPr>
          <w:rFonts w:ascii="Arial" w:hAnsi="Arial" w:cs="Arial"/>
          <w:sz w:val="24"/>
          <w:szCs w:val="24"/>
        </w:rPr>
        <w:t xml:space="preserve">, submitting that </w:t>
      </w:r>
      <w:r w:rsidR="00950E27" w:rsidRPr="009A5D84">
        <w:rPr>
          <w:rFonts w:ascii="Arial" w:hAnsi="Arial" w:cs="Arial"/>
          <w:sz w:val="24"/>
          <w:szCs w:val="24"/>
        </w:rPr>
        <w:t>NEMA</w:t>
      </w:r>
      <w:r w:rsidR="00D1249C">
        <w:rPr>
          <w:rStyle w:val="FootnoteReference"/>
          <w:rFonts w:ascii="Arial" w:hAnsi="Arial" w:cs="Arial"/>
          <w:sz w:val="24"/>
          <w:szCs w:val="24"/>
        </w:rPr>
        <w:footnoteReference w:id="31"/>
      </w:r>
      <w:r w:rsidR="00D1249C">
        <w:rPr>
          <w:rFonts w:ascii="Arial" w:hAnsi="Arial" w:cs="Arial"/>
          <w:sz w:val="24"/>
          <w:szCs w:val="24"/>
        </w:rPr>
        <w:t xml:space="preserve"> was applicable as well as the</w:t>
      </w:r>
      <w:r w:rsidR="00950E27">
        <w:rPr>
          <w:rFonts w:ascii="Arial" w:hAnsi="Arial" w:cs="Arial"/>
          <w:sz w:val="24"/>
          <w:szCs w:val="24"/>
        </w:rPr>
        <w:t xml:space="preserve"> </w:t>
      </w:r>
      <w:r w:rsidR="00E5649C">
        <w:rPr>
          <w:rFonts w:ascii="Arial" w:hAnsi="Arial" w:cs="Arial"/>
          <w:sz w:val="24"/>
          <w:szCs w:val="24"/>
        </w:rPr>
        <w:t xml:space="preserve">amended </w:t>
      </w:r>
      <w:r w:rsidR="00950E27">
        <w:rPr>
          <w:rFonts w:ascii="Arial" w:hAnsi="Arial" w:cs="Arial"/>
          <w:sz w:val="24"/>
          <w:szCs w:val="24"/>
        </w:rPr>
        <w:t>MPRDA</w:t>
      </w:r>
      <w:r w:rsidR="00950E27" w:rsidRPr="009A5D84">
        <w:rPr>
          <w:rFonts w:ascii="Arial" w:hAnsi="Arial" w:cs="Arial"/>
          <w:sz w:val="24"/>
          <w:szCs w:val="24"/>
        </w:rPr>
        <w:t xml:space="preserve"> </w:t>
      </w:r>
      <w:r w:rsidR="00D1249C">
        <w:rPr>
          <w:rFonts w:ascii="Arial" w:hAnsi="Arial" w:cs="Arial"/>
          <w:sz w:val="24"/>
          <w:szCs w:val="24"/>
        </w:rPr>
        <w:t xml:space="preserve">which </w:t>
      </w:r>
      <w:r w:rsidR="00950E27" w:rsidRPr="009A5D84">
        <w:rPr>
          <w:rFonts w:ascii="Arial" w:hAnsi="Arial" w:cs="Arial"/>
          <w:sz w:val="24"/>
          <w:szCs w:val="24"/>
        </w:rPr>
        <w:t>has a retr</w:t>
      </w:r>
      <w:r w:rsidR="00950E27">
        <w:rPr>
          <w:rFonts w:ascii="Arial" w:hAnsi="Arial" w:cs="Arial"/>
          <w:sz w:val="24"/>
          <w:szCs w:val="24"/>
        </w:rPr>
        <w:t>ospe</w:t>
      </w:r>
      <w:r w:rsidR="00950E27" w:rsidRPr="009A5D84">
        <w:rPr>
          <w:rFonts w:ascii="Arial" w:hAnsi="Arial" w:cs="Arial"/>
          <w:sz w:val="24"/>
          <w:szCs w:val="24"/>
        </w:rPr>
        <w:t>ctive effect</w:t>
      </w:r>
      <w:r w:rsidR="003C57F5">
        <w:rPr>
          <w:rFonts w:ascii="Arial" w:hAnsi="Arial" w:cs="Arial"/>
          <w:sz w:val="24"/>
          <w:szCs w:val="24"/>
        </w:rPr>
        <w:t xml:space="preserve">. Further </w:t>
      </w:r>
      <w:r w:rsidR="00950E27" w:rsidRPr="009A5D84">
        <w:rPr>
          <w:rFonts w:ascii="Arial" w:hAnsi="Arial" w:cs="Arial"/>
          <w:sz w:val="24"/>
          <w:szCs w:val="24"/>
        </w:rPr>
        <w:t xml:space="preserve">that </w:t>
      </w:r>
      <w:r w:rsidR="00D1249C">
        <w:rPr>
          <w:rFonts w:ascii="Arial" w:hAnsi="Arial" w:cs="Arial"/>
          <w:sz w:val="24"/>
          <w:szCs w:val="24"/>
        </w:rPr>
        <w:t xml:space="preserve">DBCM </w:t>
      </w:r>
      <w:r w:rsidR="00950E27" w:rsidRPr="009A5D84">
        <w:rPr>
          <w:rFonts w:ascii="Arial" w:hAnsi="Arial" w:cs="Arial"/>
          <w:sz w:val="24"/>
          <w:szCs w:val="24"/>
        </w:rPr>
        <w:t xml:space="preserve">is subject to the principles of duty of care and the obligation of </w:t>
      </w:r>
      <w:r w:rsidR="00E5649C">
        <w:rPr>
          <w:rFonts w:ascii="Arial" w:hAnsi="Arial" w:cs="Arial"/>
          <w:sz w:val="24"/>
          <w:szCs w:val="24"/>
        </w:rPr>
        <w:t>‘</w:t>
      </w:r>
      <w:r w:rsidR="00950E27" w:rsidRPr="009A5D84">
        <w:rPr>
          <w:rFonts w:ascii="Arial" w:hAnsi="Arial" w:cs="Arial"/>
          <w:sz w:val="24"/>
          <w:szCs w:val="24"/>
        </w:rPr>
        <w:t>the polluter to pay</w:t>
      </w:r>
      <w:r w:rsidR="00E5649C">
        <w:rPr>
          <w:rFonts w:ascii="Arial" w:hAnsi="Arial" w:cs="Arial"/>
          <w:sz w:val="24"/>
          <w:szCs w:val="24"/>
        </w:rPr>
        <w:t>”</w:t>
      </w:r>
      <w:r w:rsidR="003C57F5">
        <w:rPr>
          <w:rFonts w:ascii="Arial" w:hAnsi="Arial" w:cs="Arial"/>
          <w:sz w:val="24"/>
          <w:szCs w:val="24"/>
        </w:rPr>
        <w:t xml:space="preserve"> in NEMA.</w:t>
      </w:r>
      <w:r w:rsidR="00950E27" w:rsidRPr="009A5D84">
        <w:rPr>
          <w:rFonts w:ascii="Arial" w:hAnsi="Arial" w:cs="Arial"/>
          <w:sz w:val="24"/>
          <w:szCs w:val="24"/>
        </w:rPr>
        <w:t xml:space="preserve"> </w:t>
      </w:r>
      <w:r w:rsidR="003C57F5">
        <w:rPr>
          <w:rFonts w:ascii="Arial" w:hAnsi="Arial" w:cs="Arial"/>
          <w:sz w:val="24"/>
          <w:szCs w:val="24"/>
        </w:rPr>
        <w:t>The</w:t>
      </w:r>
      <w:r w:rsidR="00E5649C">
        <w:rPr>
          <w:rFonts w:ascii="Arial" w:hAnsi="Arial" w:cs="Arial"/>
          <w:sz w:val="24"/>
          <w:szCs w:val="24"/>
        </w:rPr>
        <w:t xml:space="preserve"> Respondents </w:t>
      </w:r>
      <w:r w:rsidR="00950E27" w:rsidRPr="009A5D84">
        <w:rPr>
          <w:rFonts w:ascii="Arial" w:hAnsi="Arial" w:cs="Arial"/>
          <w:sz w:val="24"/>
          <w:szCs w:val="24"/>
        </w:rPr>
        <w:t>argue</w:t>
      </w:r>
      <w:r w:rsidR="003C57F5">
        <w:rPr>
          <w:rFonts w:ascii="Arial" w:hAnsi="Arial" w:cs="Arial"/>
          <w:sz w:val="24"/>
          <w:szCs w:val="24"/>
        </w:rPr>
        <w:t>d</w:t>
      </w:r>
      <w:r w:rsidR="00950E27" w:rsidRPr="009A5D84">
        <w:rPr>
          <w:rFonts w:ascii="Arial" w:hAnsi="Arial" w:cs="Arial"/>
          <w:sz w:val="24"/>
          <w:szCs w:val="24"/>
        </w:rPr>
        <w:t xml:space="preserve"> that the court should apply s 43 of the MPRDA and s 24R</w:t>
      </w:r>
      <w:r w:rsidR="00950E27">
        <w:rPr>
          <w:rFonts w:ascii="Arial" w:hAnsi="Arial" w:cs="Arial"/>
          <w:sz w:val="24"/>
          <w:szCs w:val="24"/>
        </w:rPr>
        <w:t xml:space="preserve"> (</w:t>
      </w:r>
      <w:r w:rsidR="00950E27" w:rsidRPr="009A5D84">
        <w:rPr>
          <w:rFonts w:ascii="Arial" w:hAnsi="Arial" w:cs="Arial"/>
          <w:sz w:val="24"/>
          <w:szCs w:val="24"/>
        </w:rPr>
        <w:t>1</w:t>
      </w:r>
      <w:r w:rsidR="00950E27">
        <w:rPr>
          <w:rFonts w:ascii="Arial" w:hAnsi="Arial" w:cs="Arial"/>
          <w:sz w:val="24"/>
          <w:szCs w:val="24"/>
        </w:rPr>
        <w:t>)</w:t>
      </w:r>
      <w:r w:rsidR="00950E27" w:rsidRPr="009A5D84">
        <w:rPr>
          <w:rFonts w:ascii="Arial" w:hAnsi="Arial" w:cs="Arial"/>
          <w:sz w:val="24"/>
          <w:szCs w:val="24"/>
        </w:rPr>
        <w:t xml:space="preserve"> NEMA in connection with an application for closure.</w:t>
      </w:r>
      <w:r w:rsidR="00950E27">
        <w:rPr>
          <w:rFonts w:ascii="Arial" w:hAnsi="Arial" w:cs="Arial"/>
          <w:sz w:val="24"/>
          <w:szCs w:val="24"/>
        </w:rPr>
        <w:t xml:space="preserve"> </w:t>
      </w:r>
      <w:r w:rsidR="009A5D84" w:rsidRPr="009A5D84">
        <w:rPr>
          <w:rFonts w:ascii="Arial" w:hAnsi="Arial" w:cs="Arial"/>
          <w:sz w:val="24"/>
          <w:szCs w:val="24"/>
        </w:rPr>
        <w:t xml:space="preserve">The </w:t>
      </w:r>
      <w:r w:rsidR="00950E27">
        <w:rPr>
          <w:rFonts w:ascii="Arial" w:hAnsi="Arial" w:cs="Arial"/>
          <w:sz w:val="24"/>
          <w:szCs w:val="24"/>
        </w:rPr>
        <w:t>1</w:t>
      </w:r>
      <w:r w:rsidR="00950E27" w:rsidRPr="00950E27">
        <w:rPr>
          <w:rFonts w:ascii="Arial" w:hAnsi="Arial" w:cs="Arial"/>
          <w:sz w:val="24"/>
          <w:szCs w:val="24"/>
          <w:vertAlign w:val="superscript"/>
        </w:rPr>
        <w:t>st</w:t>
      </w:r>
      <w:r w:rsidR="00950E27">
        <w:rPr>
          <w:rFonts w:ascii="Arial" w:hAnsi="Arial" w:cs="Arial"/>
          <w:sz w:val="24"/>
          <w:szCs w:val="24"/>
        </w:rPr>
        <w:t xml:space="preserve"> R</w:t>
      </w:r>
      <w:r w:rsidR="00DA24A2">
        <w:rPr>
          <w:rFonts w:ascii="Arial" w:hAnsi="Arial" w:cs="Arial"/>
          <w:sz w:val="24"/>
          <w:szCs w:val="24"/>
        </w:rPr>
        <w:t xml:space="preserve">espondent </w:t>
      </w:r>
      <w:r w:rsidR="00E5649C">
        <w:rPr>
          <w:rFonts w:ascii="Arial" w:hAnsi="Arial" w:cs="Arial"/>
          <w:sz w:val="24"/>
          <w:szCs w:val="24"/>
        </w:rPr>
        <w:t xml:space="preserve">insisted </w:t>
      </w:r>
      <w:r w:rsidR="009A5D84" w:rsidRPr="009A5D84">
        <w:rPr>
          <w:rFonts w:ascii="Arial" w:hAnsi="Arial" w:cs="Arial"/>
          <w:sz w:val="24"/>
          <w:szCs w:val="24"/>
        </w:rPr>
        <w:t xml:space="preserve">that, </w:t>
      </w:r>
      <w:r w:rsidR="009A5D84" w:rsidRPr="009A5D84">
        <w:rPr>
          <w:rFonts w:ascii="Arial" w:hAnsi="Arial" w:cs="Arial"/>
          <w:sz w:val="24"/>
          <w:szCs w:val="24"/>
        </w:rPr>
        <w:lastRenderedPageBreak/>
        <w:t xml:space="preserve">even if the mine has been bought by a game farmer, </w:t>
      </w:r>
      <w:r w:rsidR="00950E27" w:rsidRPr="009A5D84">
        <w:rPr>
          <w:rFonts w:ascii="Arial" w:hAnsi="Arial" w:cs="Arial"/>
          <w:sz w:val="24"/>
          <w:szCs w:val="24"/>
        </w:rPr>
        <w:t xml:space="preserve">DBCM </w:t>
      </w:r>
      <w:r w:rsidR="00950E27">
        <w:rPr>
          <w:rFonts w:ascii="Arial" w:hAnsi="Arial" w:cs="Arial"/>
          <w:sz w:val="24"/>
          <w:szCs w:val="24"/>
        </w:rPr>
        <w:t xml:space="preserve">remains </w:t>
      </w:r>
      <w:r w:rsidR="00950E27" w:rsidRPr="009A5D84">
        <w:rPr>
          <w:rFonts w:ascii="Arial" w:hAnsi="Arial" w:cs="Arial"/>
          <w:sz w:val="24"/>
          <w:szCs w:val="24"/>
        </w:rPr>
        <w:t xml:space="preserve">liable for environmental pollution or </w:t>
      </w:r>
      <w:r w:rsidR="00E5649C">
        <w:rPr>
          <w:rFonts w:ascii="Arial" w:hAnsi="Arial" w:cs="Arial"/>
          <w:sz w:val="24"/>
          <w:szCs w:val="24"/>
        </w:rPr>
        <w:t xml:space="preserve">degradation plus </w:t>
      </w:r>
      <w:r w:rsidR="00950E27" w:rsidRPr="009A5D84">
        <w:rPr>
          <w:rFonts w:ascii="Arial" w:hAnsi="Arial" w:cs="Arial"/>
          <w:sz w:val="24"/>
          <w:szCs w:val="24"/>
        </w:rPr>
        <w:t>loss of biodiversity</w:t>
      </w:r>
      <w:r w:rsidR="00E5649C">
        <w:rPr>
          <w:rFonts w:ascii="Arial" w:hAnsi="Arial" w:cs="Arial"/>
          <w:sz w:val="24"/>
          <w:szCs w:val="24"/>
        </w:rPr>
        <w:t>.</w:t>
      </w:r>
    </w:p>
    <w:p w14:paraId="0029EFF6" w14:textId="77777777" w:rsidR="00B33391" w:rsidRPr="00A32AB1" w:rsidRDefault="00B33391" w:rsidP="00A32AB1">
      <w:pPr>
        <w:pStyle w:val="ListParagraph"/>
        <w:spacing w:after="0" w:line="360" w:lineRule="auto"/>
        <w:rPr>
          <w:rFonts w:ascii="Arial" w:hAnsi="Arial" w:cs="Arial"/>
          <w:sz w:val="24"/>
          <w:szCs w:val="24"/>
        </w:rPr>
      </w:pPr>
    </w:p>
    <w:p w14:paraId="75AA6894" w14:textId="19CCA227" w:rsidR="00B33391" w:rsidRPr="00A32AB1" w:rsidRDefault="00287CC0" w:rsidP="00950E27">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[120</w:t>
      </w:r>
      <w:r w:rsidR="00950E27">
        <w:rPr>
          <w:rFonts w:ascii="Arial" w:hAnsi="Arial" w:cs="Arial"/>
          <w:sz w:val="24"/>
          <w:szCs w:val="24"/>
        </w:rPr>
        <w:t>]</w:t>
      </w:r>
      <w:r w:rsidR="00950E27">
        <w:rPr>
          <w:rFonts w:ascii="Arial" w:hAnsi="Arial" w:cs="Arial"/>
          <w:sz w:val="24"/>
          <w:szCs w:val="24"/>
        </w:rPr>
        <w:tab/>
      </w:r>
      <w:r w:rsidR="00B33391" w:rsidRPr="00A32AB1">
        <w:rPr>
          <w:rFonts w:ascii="Arial" w:hAnsi="Arial" w:cs="Arial"/>
          <w:sz w:val="24"/>
          <w:szCs w:val="24"/>
        </w:rPr>
        <w:t>Section 38 of the Minerals Act</w:t>
      </w:r>
      <w:r w:rsidR="004F2EDC" w:rsidRPr="00A32AB1">
        <w:rPr>
          <w:rFonts w:ascii="Arial" w:hAnsi="Arial" w:cs="Arial"/>
          <w:sz w:val="24"/>
          <w:szCs w:val="24"/>
        </w:rPr>
        <w:t xml:space="preserve"> </w:t>
      </w:r>
      <w:r w:rsidR="00950E27">
        <w:rPr>
          <w:rFonts w:ascii="Arial" w:hAnsi="Arial" w:cs="Arial"/>
          <w:sz w:val="24"/>
          <w:szCs w:val="24"/>
        </w:rPr>
        <w:t>on the “</w:t>
      </w:r>
      <w:r w:rsidR="004F2EDC" w:rsidRPr="00A32AB1">
        <w:rPr>
          <w:rFonts w:ascii="Arial" w:hAnsi="Arial" w:cs="Arial"/>
          <w:sz w:val="24"/>
          <w:szCs w:val="24"/>
        </w:rPr>
        <w:t>Rehabilitation of the Surface</w:t>
      </w:r>
      <w:r w:rsidR="00875FD7">
        <w:rPr>
          <w:rFonts w:ascii="Arial" w:hAnsi="Arial" w:cs="Arial"/>
          <w:sz w:val="24"/>
          <w:szCs w:val="24"/>
        </w:rPr>
        <w:t xml:space="preserve"> of the</w:t>
      </w:r>
      <w:r w:rsidR="004F2EDC" w:rsidRPr="00A32AB1">
        <w:rPr>
          <w:rFonts w:ascii="Arial" w:hAnsi="Arial" w:cs="Arial"/>
          <w:sz w:val="24"/>
          <w:szCs w:val="24"/>
        </w:rPr>
        <w:t xml:space="preserve"> Land” provided</w:t>
      </w:r>
      <w:r w:rsidR="00B33391" w:rsidRPr="00A32AB1">
        <w:rPr>
          <w:rFonts w:ascii="Arial" w:hAnsi="Arial" w:cs="Arial"/>
          <w:sz w:val="24"/>
          <w:szCs w:val="24"/>
        </w:rPr>
        <w:t xml:space="preserve"> that:</w:t>
      </w:r>
    </w:p>
    <w:p w14:paraId="572A3C18" w14:textId="77777777" w:rsidR="001561A2" w:rsidRPr="00A32AB1" w:rsidRDefault="001561A2" w:rsidP="00A32AB1">
      <w:pPr>
        <w:pStyle w:val="ListParagraph"/>
        <w:tabs>
          <w:tab w:val="left" w:pos="284"/>
        </w:tabs>
        <w:spacing w:after="0" w:line="360" w:lineRule="auto"/>
        <w:ind w:left="284"/>
        <w:jc w:val="both"/>
        <w:rPr>
          <w:rFonts w:ascii="Arial" w:hAnsi="Arial" w:cs="Arial"/>
          <w:sz w:val="24"/>
          <w:szCs w:val="24"/>
        </w:rPr>
      </w:pPr>
    </w:p>
    <w:p w14:paraId="257AED21" w14:textId="24FA4F90" w:rsidR="00B33391" w:rsidRPr="00A32AB1" w:rsidRDefault="00B33391" w:rsidP="00950E27">
      <w:pPr>
        <w:pStyle w:val="ListParagraph"/>
        <w:tabs>
          <w:tab w:val="left" w:pos="567"/>
        </w:tabs>
        <w:spacing w:after="0" w:line="360" w:lineRule="auto"/>
        <w:ind w:left="1440"/>
        <w:jc w:val="both"/>
        <w:rPr>
          <w:rFonts w:ascii="Arial" w:hAnsi="Arial" w:cs="Arial"/>
          <w:i/>
          <w:iCs/>
        </w:rPr>
      </w:pPr>
      <w:r w:rsidRPr="00A32AB1">
        <w:rPr>
          <w:rFonts w:ascii="Arial" w:hAnsi="Arial" w:cs="Arial"/>
          <w:sz w:val="24"/>
          <w:szCs w:val="24"/>
        </w:rPr>
        <w:t>“</w:t>
      </w:r>
      <w:r w:rsidRPr="00A32AB1">
        <w:rPr>
          <w:rFonts w:ascii="Arial" w:hAnsi="Arial" w:cs="Arial"/>
          <w:i/>
          <w:iCs/>
        </w:rPr>
        <w:t>The Rehabilitation of the surface of the land concerned in prospecting or mining shall be carried out by the holder of the prospecting permit or mining authorisation concerned-</w:t>
      </w:r>
    </w:p>
    <w:p w14:paraId="19CC3538" w14:textId="33C6B150" w:rsidR="004B6008" w:rsidRPr="00950E27" w:rsidRDefault="00950E27" w:rsidP="00950E27">
      <w:pPr>
        <w:tabs>
          <w:tab w:val="left" w:pos="0"/>
          <w:tab w:val="left" w:pos="567"/>
        </w:tabs>
        <w:spacing w:after="0" w:line="360" w:lineRule="auto"/>
        <w:ind w:left="1539"/>
        <w:jc w:val="both"/>
        <w:rPr>
          <w:rFonts w:ascii="Arial" w:hAnsi="Arial" w:cs="Arial"/>
          <w:i/>
          <w:iCs/>
        </w:rPr>
      </w:pPr>
      <w:r>
        <w:rPr>
          <w:rFonts w:ascii="Arial" w:hAnsi="Arial" w:cs="Arial"/>
          <w:i/>
          <w:iCs/>
        </w:rPr>
        <w:t>(a)</w:t>
      </w:r>
      <w:r w:rsidRPr="00950E27">
        <w:rPr>
          <w:rFonts w:ascii="Arial" w:hAnsi="Arial" w:cs="Arial"/>
          <w:i/>
          <w:iCs/>
        </w:rPr>
        <w:t xml:space="preserve"> </w:t>
      </w:r>
      <w:r w:rsidRPr="00950E27">
        <w:rPr>
          <w:rFonts w:ascii="Arial" w:hAnsi="Arial" w:cs="Arial"/>
          <w:i/>
          <w:iCs/>
        </w:rPr>
        <w:tab/>
      </w:r>
      <w:r w:rsidR="00B33391" w:rsidRPr="00950E27">
        <w:rPr>
          <w:rFonts w:ascii="Arial" w:hAnsi="Arial" w:cs="Arial"/>
          <w:i/>
          <w:iCs/>
        </w:rPr>
        <w:t>“in accordance with the rehabilitation programme approved in terms of section</w:t>
      </w:r>
      <w:r w:rsidR="004B6008" w:rsidRPr="00950E27">
        <w:rPr>
          <w:rFonts w:ascii="Arial" w:hAnsi="Arial" w:cs="Arial"/>
          <w:i/>
          <w:iCs/>
        </w:rPr>
        <w:t xml:space="preserve"> </w:t>
      </w:r>
      <w:r w:rsidR="00B33391" w:rsidRPr="00950E27">
        <w:rPr>
          <w:rFonts w:ascii="Arial" w:hAnsi="Arial" w:cs="Arial"/>
          <w:i/>
          <w:iCs/>
        </w:rPr>
        <w:t>39 if any:</w:t>
      </w:r>
    </w:p>
    <w:p w14:paraId="12DAC6AA" w14:textId="4FC33298" w:rsidR="004B6008" w:rsidRDefault="00950E27" w:rsidP="00950E27">
      <w:pPr>
        <w:pStyle w:val="ListParagraph"/>
        <w:tabs>
          <w:tab w:val="left" w:pos="0"/>
          <w:tab w:val="left" w:pos="567"/>
        </w:tabs>
        <w:spacing w:after="0" w:line="360" w:lineRule="auto"/>
        <w:ind w:left="1134"/>
        <w:jc w:val="both"/>
        <w:rPr>
          <w:rFonts w:ascii="Arial" w:hAnsi="Arial" w:cs="Arial"/>
          <w:i/>
          <w:iCs/>
        </w:rPr>
      </w:pPr>
      <w:r>
        <w:rPr>
          <w:rFonts w:ascii="Arial" w:hAnsi="Arial" w:cs="Arial"/>
          <w:i/>
          <w:iCs/>
        </w:rPr>
        <w:tab/>
        <w:t>(b)</w:t>
      </w:r>
      <w:r>
        <w:rPr>
          <w:rFonts w:ascii="Arial" w:hAnsi="Arial" w:cs="Arial"/>
          <w:i/>
          <w:iCs/>
        </w:rPr>
        <w:tab/>
      </w:r>
      <w:r w:rsidR="00B33391" w:rsidRPr="004B6008">
        <w:rPr>
          <w:rFonts w:ascii="Arial" w:hAnsi="Arial" w:cs="Arial"/>
          <w:i/>
          <w:iCs/>
        </w:rPr>
        <w:t>as an integral part of the prospecting or mining operations concerned</w:t>
      </w:r>
    </w:p>
    <w:p w14:paraId="22D6F0D4" w14:textId="42AD5D7A" w:rsidR="00B33391" w:rsidRPr="00950E27" w:rsidRDefault="00B33391" w:rsidP="00950E27">
      <w:pPr>
        <w:tabs>
          <w:tab w:val="left" w:pos="0"/>
          <w:tab w:val="left" w:pos="567"/>
        </w:tabs>
        <w:spacing w:after="0" w:line="360" w:lineRule="auto"/>
        <w:ind w:left="1440"/>
        <w:jc w:val="both"/>
        <w:rPr>
          <w:rFonts w:ascii="Arial" w:hAnsi="Arial" w:cs="Arial"/>
          <w:i/>
          <w:iCs/>
        </w:rPr>
      </w:pPr>
      <w:r w:rsidRPr="00950E27">
        <w:rPr>
          <w:rFonts w:ascii="Arial" w:hAnsi="Arial" w:cs="Arial"/>
          <w:i/>
          <w:iCs/>
        </w:rPr>
        <w:t>simultaneously with such operations, unless determined otherwise in writing by the regional director and</w:t>
      </w:r>
      <w:r w:rsidR="004B6008" w:rsidRPr="00950E27">
        <w:rPr>
          <w:rFonts w:ascii="Arial" w:hAnsi="Arial" w:cs="Arial"/>
          <w:i/>
          <w:iCs/>
        </w:rPr>
        <w:t xml:space="preserve"> </w:t>
      </w:r>
      <w:r w:rsidRPr="00950E27">
        <w:rPr>
          <w:rFonts w:ascii="Arial" w:hAnsi="Arial" w:cs="Arial"/>
          <w:i/>
          <w:iCs/>
        </w:rPr>
        <w:t>to the satisfaction of the regional director concerned”.</w:t>
      </w:r>
    </w:p>
    <w:p w14:paraId="1713688C" w14:textId="77777777" w:rsidR="00026730" w:rsidRPr="00A32AB1" w:rsidRDefault="00026730" w:rsidP="004B6008">
      <w:pPr>
        <w:tabs>
          <w:tab w:val="left" w:pos="0"/>
          <w:tab w:val="left" w:pos="567"/>
        </w:tabs>
        <w:spacing w:after="0" w:line="360" w:lineRule="auto"/>
        <w:ind w:left="567"/>
        <w:jc w:val="both"/>
        <w:rPr>
          <w:rFonts w:ascii="Arial" w:hAnsi="Arial" w:cs="Arial"/>
        </w:rPr>
      </w:pPr>
    </w:p>
    <w:p w14:paraId="035EEE31" w14:textId="2BE67837" w:rsidR="00026730" w:rsidRDefault="00287CC0" w:rsidP="00950E27">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[121</w:t>
      </w:r>
      <w:r w:rsidR="00D30E81">
        <w:rPr>
          <w:rFonts w:ascii="Arial" w:hAnsi="Arial" w:cs="Arial"/>
          <w:sz w:val="24"/>
          <w:szCs w:val="24"/>
        </w:rPr>
        <w:t>]</w:t>
      </w:r>
      <w:r w:rsidR="00950E27">
        <w:rPr>
          <w:rFonts w:ascii="Arial" w:hAnsi="Arial" w:cs="Arial"/>
          <w:sz w:val="24"/>
          <w:szCs w:val="24"/>
        </w:rPr>
        <w:tab/>
      </w:r>
      <w:r w:rsidR="001561A2" w:rsidRPr="00A32AB1">
        <w:rPr>
          <w:rFonts w:ascii="Arial" w:hAnsi="Arial" w:cs="Arial"/>
          <w:sz w:val="24"/>
          <w:szCs w:val="24"/>
        </w:rPr>
        <w:t>In addition, s</w:t>
      </w:r>
      <w:r w:rsidR="00026730" w:rsidRPr="00A32AB1">
        <w:rPr>
          <w:rFonts w:ascii="Arial" w:hAnsi="Arial" w:cs="Arial"/>
          <w:sz w:val="24"/>
          <w:szCs w:val="24"/>
        </w:rPr>
        <w:t>ection 39</w:t>
      </w:r>
      <w:r w:rsidR="004F2EDC" w:rsidRPr="00A32AB1">
        <w:rPr>
          <w:rFonts w:ascii="Arial" w:hAnsi="Arial" w:cs="Arial"/>
          <w:sz w:val="24"/>
          <w:szCs w:val="24"/>
        </w:rPr>
        <w:t xml:space="preserve"> of the Minerals Act</w:t>
      </w:r>
      <w:r w:rsidR="00026730" w:rsidRPr="00A32AB1">
        <w:rPr>
          <w:rFonts w:ascii="Arial" w:hAnsi="Arial" w:cs="Arial"/>
          <w:sz w:val="24"/>
          <w:szCs w:val="24"/>
        </w:rPr>
        <w:t xml:space="preserve"> titled </w:t>
      </w:r>
      <w:r w:rsidR="004F2EDC" w:rsidRPr="00A32AB1">
        <w:rPr>
          <w:rFonts w:ascii="Arial" w:hAnsi="Arial" w:cs="Arial"/>
          <w:sz w:val="24"/>
          <w:szCs w:val="24"/>
        </w:rPr>
        <w:t>“L</w:t>
      </w:r>
      <w:r w:rsidR="00026730" w:rsidRPr="00A32AB1">
        <w:rPr>
          <w:rFonts w:ascii="Arial" w:hAnsi="Arial" w:cs="Arial"/>
          <w:sz w:val="24"/>
          <w:szCs w:val="24"/>
        </w:rPr>
        <w:t xml:space="preserve">ayout </w:t>
      </w:r>
      <w:r w:rsidR="004F2EDC" w:rsidRPr="00A32AB1">
        <w:rPr>
          <w:rFonts w:ascii="Arial" w:hAnsi="Arial" w:cs="Arial"/>
          <w:sz w:val="24"/>
          <w:szCs w:val="24"/>
        </w:rPr>
        <w:t>P</w:t>
      </w:r>
      <w:r w:rsidR="00026730" w:rsidRPr="00A32AB1">
        <w:rPr>
          <w:rFonts w:ascii="Arial" w:hAnsi="Arial" w:cs="Arial"/>
          <w:sz w:val="24"/>
          <w:szCs w:val="24"/>
        </w:rPr>
        <w:t xml:space="preserve">lan and </w:t>
      </w:r>
      <w:r w:rsidR="004F2EDC" w:rsidRPr="00A32AB1">
        <w:rPr>
          <w:rFonts w:ascii="Arial" w:hAnsi="Arial" w:cs="Arial"/>
          <w:sz w:val="24"/>
          <w:szCs w:val="24"/>
        </w:rPr>
        <w:t>R</w:t>
      </w:r>
      <w:r w:rsidR="00026730" w:rsidRPr="00A32AB1">
        <w:rPr>
          <w:rFonts w:ascii="Arial" w:hAnsi="Arial" w:cs="Arial"/>
          <w:sz w:val="24"/>
          <w:szCs w:val="24"/>
        </w:rPr>
        <w:t xml:space="preserve">ehabilitation </w:t>
      </w:r>
      <w:r w:rsidR="004F2EDC" w:rsidRPr="00A32AB1">
        <w:rPr>
          <w:rFonts w:ascii="Arial" w:hAnsi="Arial" w:cs="Arial"/>
          <w:sz w:val="24"/>
          <w:szCs w:val="24"/>
        </w:rPr>
        <w:t>P</w:t>
      </w:r>
      <w:r w:rsidR="00026730" w:rsidRPr="00A32AB1">
        <w:rPr>
          <w:rFonts w:ascii="Arial" w:hAnsi="Arial" w:cs="Arial"/>
          <w:sz w:val="24"/>
          <w:szCs w:val="24"/>
        </w:rPr>
        <w:t>rogramme</w:t>
      </w:r>
      <w:r w:rsidR="004F2EDC" w:rsidRPr="00A32AB1">
        <w:rPr>
          <w:rFonts w:ascii="Arial" w:hAnsi="Arial" w:cs="Arial"/>
          <w:sz w:val="24"/>
          <w:szCs w:val="24"/>
        </w:rPr>
        <w:t>”</w:t>
      </w:r>
      <w:r w:rsidR="00026730" w:rsidRPr="00A32AB1">
        <w:rPr>
          <w:rFonts w:ascii="Arial" w:hAnsi="Arial" w:cs="Arial"/>
          <w:sz w:val="24"/>
          <w:szCs w:val="24"/>
        </w:rPr>
        <w:t xml:space="preserve"> </w:t>
      </w:r>
      <w:r w:rsidR="001561A2" w:rsidRPr="00A32AB1">
        <w:rPr>
          <w:rFonts w:ascii="Arial" w:hAnsi="Arial" w:cs="Arial"/>
          <w:sz w:val="24"/>
          <w:szCs w:val="24"/>
        </w:rPr>
        <w:t>stated that</w:t>
      </w:r>
      <w:r w:rsidR="00026730" w:rsidRPr="00A32AB1">
        <w:rPr>
          <w:rFonts w:ascii="Arial" w:hAnsi="Arial" w:cs="Arial"/>
          <w:sz w:val="24"/>
          <w:szCs w:val="24"/>
        </w:rPr>
        <w:t>:</w:t>
      </w:r>
    </w:p>
    <w:p w14:paraId="1E368956" w14:textId="77777777" w:rsidR="00875FD7" w:rsidRPr="00A32AB1" w:rsidRDefault="00875FD7" w:rsidP="00875FD7">
      <w:pPr>
        <w:pStyle w:val="ListParagraph"/>
        <w:tabs>
          <w:tab w:val="left" w:pos="0"/>
        </w:tabs>
        <w:spacing w:after="0" w:line="360" w:lineRule="auto"/>
        <w:ind w:left="0"/>
        <w:jc w:val="both"/>
        <w:rPr>
          <w:rFonts w:ascii="Arial" w:hAnsi="Arial" w:cs="Arial"/>
          <w:sz w:val="24"/>
          <w:szCs w:val="24"/>
        </w:rPr>
      </w:pPr>
    </w:p>
    <w:p w14:paraId="390F5A6E" w14:textId="1D8F665C" w:rsidR="00026730" w:rsidRPr="00950E27" w:rsidRDefault="00D1249C" w:rsidP="00D1249C">
      <w:pPr>
        <w:pStyle w:val="ListParagraph"/>
        <w:tabs>
          <w:tab w:val="left" w:pos="0"/>
        </w:tabs>
        <w:spacing w:after="0" w:line="360" w:lineRule="auto"/>
        <w:ind w:left="1440" w:hanging="436"/>
        <w:jc w:val="both"/>
        <w:rPr>
          <w:rFonts w:ascii="Arial" w:hAnsi="Arial" w:cs="Arial"/>
          <w:i/>
          <w:iCs/>
        </w:rPr>
      </w:pPr>
      <w:r>
        <w:rPr>
          <w:rFonts w:ascii="Arial" w:hAnsi="Arial" w:cs="Arial"/>
          <w:i/>
          <w:iCs/>
        </w:rPr>
        <w:tab/>
        <w:t>(1)</w:t>
      </w:r>
      <w:r>
        <w:rPr>
          <w:rFonts w:ascii="Arial" w:hAnsi="Arial" w:cs="Arial"/>
          <w:i/>
          <w:iCs/>
        </w:rPr>
        <w:tab/>
      </w:r>
      <w:r w:rsidR="00026730" w:rsidRPr="00950E27">
        <w:rPr>
          <w:rFonts w:ascii="Arial" w:hAnsi="Arial" w:cs="Arial"/>
          <w:i/>
          <w:iCs/>
        </w:rPr>
        <w:t>A layout plan and rehabilitation programme in respect of the surface of land concerned in any prospecting or mining operations or such intended operations shall be submitted by the holder of the prospecting permit or mining authorisation concerned to the regional director concerned for his approval before any such operations are co</w:t>
      </w:r>
      <w:r w:rsidR="007B1266">
        <w:rPr>
          <w:rFonts w:ascii="Arial" w:hAnsi="Arial" w:cs="Arial"/>
          <w:i/>
          <w:iCs/>
        </w:rPr>
        <w:t>mmenced</w:t>
      </w:r>
      <w:r w:rsidR="00875FD7" w:rsidRPr="00950E27">
        <w:rPr>
          <w:rFonts w:ascii="Arial" w:hAnsi="Arial" w:cs="Arial"/>
          <w:i/>
          <w:iCs/>
        </w:rPr>
        <w:t>,</w:t>
      </w:r>
    </w:p>
    <w:p w14:paraId="0070B29E" w14:textId="7384E4D0" w:rsidR="004F2EDC" w:rsidRPr="00A32AB1" w:rsidRDefault="00D1249C" w:rsidP="00D1249C">
      <w:pPr>
        <w:pStyle w:val="ListParagraph"/>
        <w:tabs>
          <w:tab w:val="left" w:pos="0"/>
        </w:tabs>
        <w:spacing w:after="0" w:line="360" w:lineRule="auto"/>
        <w:ind w:left="1440" w:hanging="436"/>
        <w:jc w:val="both"/>
        <w:rPr>
          <w:rFonts w:ascii="Arial" w:hAnsi="Arial" w:cs="Arial"/>
          <w:i/>
          <w:iCs/>
        </w:rPr>
      </w:pPr>
      <w:r>
        <w:rPr>
          <w:rFonts w:ascii="Arial" w:hAnsi="Arial" w:cs="Arial"/>
          <w:i/>
          <w:iCs/>
        </w:rPr>
        <w:tab/>
        <w:t>(2)</w:t>
      </w:r>
      <w:r>
        <w:rPr>
          <w:rFonts w:ascii="Arial" w:hAnsi="Arial" w:cs="Arial"/>
          <w:i/>
          <w:iCs/>
        </w:rPr>
        <w:tab/>
      </w:r>
      <w:r w:rsidR="004F2EDC" w:rsidRPr="00A32AB1">
        <w:rPr>
          <w:rFonts w:ascii="Arial" w:hAnsi="Arial" w:cs="Arial"/>
          <w:i/>
          <w:iCs/>
        </w:rPr>
        <w:t xml:space="preserve">The regional director may on application in writing and subject to such conditions as may be determined by him, exempt the holder of any prospecting permit </w:t>
      </w:r>
      <w:r w:rsidR="00950E27">
        <w:rPr>
          <w:rFonts w:ascii="Arial" w:hAnsi="Arial" w:cs="Arial"/>
          <w:i/>
          <w:iCs/>
        </w:rPr>
        <w:t>o</w:t>
      </w:r>
      <w:r w:rsidR="004F2EDC" w:rsidRPr="00A32AB1">
        <w:rPr>
          <w:rFonts w:ascii="Arial" w:hAnsi="Arial" w:cs="Arial"/>
          <w:i/>
          <w:iCs/>
        </w:rPr>
        <w:t>r mining authorization fr</w:t>
      </w:r>
      <w:r w:rsidR="00950E27">
        <w:rPr>
          <w:rFonts w:ascii="Arial" w:hAnsi="Arial" w:cs="Arial"/>
          <w:i/>
          <w:iCs/>
        </w:rPr>
        <w:t>o</w:t>
      </w:r>
      <w:r w:rsidR="004F2EDC" w:rsidRPr="00A32AB1">
        <w:rPr>
          <w:rFonts w:ascii="Arial" w:hAnsi="Arial" w:cs="Arial"/>
          <w:i/>
          <w:iCs/>
        </w:rPr>
        <w:t>m one or more of the provisions of subsection (1) or approve of an amended layout plan or rehabilitation programme</w:t>
      </w:r>
      <w:r w:rsidR="00875FD7">
        <w:rPr>
          <w:rFonts w:ascii="Arial" w:hAnsi="Arial" w:cs="Arial"/>
          <w:i/>
          <w:iCs/>
        </w:rPr>
        <w:t>,</w:t>
      </w:r>
    </w:p>
    <w:p w14:paraId="61FAFAE4" w14:textId="4741C9D9" w:rsidR="004F2EDC" w:rsidRPr="00A32AB1" w:rsidRDefault="00D1249C" w:rsidP="00D1249C">
      <w:pPr>
        <w:pStyle w:val="ListParagraph"/>
        <w:tabs>
          <w:tab w:val="left" w:pos="0"/>
        </w:tabs>
        <w:spacing w:after="0" w:line="360" w:lineRule="auto"/>
        <w:ind w:left="1440" w:hanging="436"/>
        <w:jc w:val="both"/>
        <w:rPr>
          <w:rFonts w:ascii="Arial" w:hAnsi="Arial" w:cs="Arial"/>
          <w:i/>
          <w:iCs/>
        </w:rPr>
      </w:pPr>
      <w:r>
        <w:rPr>
          <w:rFonts w:ascii="Arial" w:hAnsi="Arial" w:cs="Arial"/>
          <w:i/>
          <w:iCs/>
        </w:rPr>
        <w:tab/>
        <w:t>(3)</w:t>
      </w:r>
      <w:r>
        <w:rPr>
          <w:rFonts w:ascii="Arial" w:hAnsi="Arial" w:cs="Arial"/>
          <w:i/>
          <w:iCs/>
        </w:rPr>
        <w:tab/>
      </w:r>
      <w:r w:rsidR="004F2EDC" w:rsidRPr="00A32AB1">
        <w:rPr>
          <w:rFonts w:ascii="Arial" w:hAnsi="Arial" w:cs="Arial"/>
          <w:i/>
          <w:iCs/>
        </w:rPr>
        <w:t xml:space="preserve">Before the regional director approves any </w:t>
      </w:r>
      <w:r w:rsidR="001561A2" w:rsidRPr="00A32AB1">
        <w:rPr>
          <w:rFonts w:ascii="Arial" w:hAnsi="Arial" w:cs="Arial"/>
          <w:i/>
          <w:iCs/>
        </w:rPr>
        <w:t>layout,</w:t>
      </w:r>
      <w:r w:rsidR="004F2EDC" w:rsidRPr="00A32AB1">
        <w:rPr>
          <w:rFonts w:ascii="Arial" w:hAnsi="Arial" w:cs="Arial"/>
          <w:i/>
          <w:iCs/>
        </w:rPr>
        <w:t xml:space="preserve"> plan and rehabilitation programme referred to in subsection (1) or any amended plan or rehabilitation programme referred to in subsection (2) or grants any exemption under subsection (2), he shall consult as to that with the officers designated for that purpose by the Minister of Agriculture and the Minister of Environment Affairs, respectively.</w:t>
      </w:r>
    </w:p>
    <w:p w14:paraId="27B943F2" w14:textId="77777777" w:rsidR="001561A2" w:rsidRPr="00A32AB1" w:rsidRDefault="001561A2" w:rsidP="00A32AB1">
      <w:pPr>
        <w:pStyle w:val="ListParagraph"/>
        <w:tabs>
          <w:tab w:val="left" w:pos="0"/>
        </w:tabs>
        <w:spacing w:after="0" w:line="360" w:lineRule="auto"/>
        <w:ind w:left="1004"/>
        <w:jc w:val="both"/>
        <w:rPr>
          <w:rFonts w:ascii="Arial" w:hAnsi="Arial" w:cs="Arial"/>
          <w:i/>
          <w:iCs/>
        </w:rPr>
      </w:pPr>
    </w:p>
    <w:p w14:paraId="39684912" w14:textId="066C26EF" w:rsidR="00A32AB1" w:rsidRPr="00A32AB1" w:rsidRDefault="00950E27" w:rsidP="00950E27">
      <w:pPr>
        <w:pStyle w:val="normaltext"/>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D30E81">
        <w:rPr>
          <w:rFonts w:ascii="Arial" w:hAnsi="Arial" w:cs="Arial"/>
          <w:color w:val="000000"/>
        </w:rPr>
        <w:t>12</w:t>
      </w:r>
      <w:r w:rsidR="00287CC0">
        <w:rPr>
          <w:rFonts w:ascii="Arial" w:hAnsi="Arial" w:cs="Arial"/>
          <w:color w:val="000000"/>
        </w:rPr>
        <w:t>2</w:t>
      </w:r>
      <w:r>
        <w:rPr>
          <w:rFonts w:ascii="Arial" w:hAnsi="Arial" w:cs="Arial"/>
          <w:color w:val="000000"/>
        </w:rPr>
        <w:t>]</w:t>
      </w:r>
      <w:r>
        <w:rPr>
          <w:rFonts w:ascii="Arial" w:hAnsi="Arial" w:cs="Arial"/>
          <w:color w:val="000000"/>
        </w:rPr>
        <w:tab/>
      </w:r>
      <w:r w:rsidR="00875FD7">
        <w:rPr>
          <w:rFonts w:ascii="Arial" w:hAnsi="Arial" w:cs="Arial"/>
          <w:color w:val="000000"/>
        </w:rPr>
        <w:t>O</w:t>
      </w:r>
      <w:r w:rsidR="00A32AB1" w:rsidRPr="00A32AB1">
        <w:rPr>
          <w:rFonts w:ascii="Arial" w:hAnsi="Arial" w:cs="Arial"/>
          <w:color w:val="000000"/>
        </w:rPr>
        <w:t>n 1 May 2004</w:t>
      </w:r>
      <w:r w:rsidR="00875FD7">
        <w:rPr>
          <w:rFonts w:ascii="Arial" w:hAnsi="Arial" w:cs="Arial"/>
          <w:color w:val="000000"/>
        </w:rPr>
        <w:t xml:space="preserve"> the MPDRA came into effect</w:t>
      </w:r>
      <w:r w:rsidR="00534E40">
        <w:rPr>
          <w:rFonts w:ascii="Arial" w:hAnsi="Arial" w:cs="Arial"/>
          <w:color w:val="000000"/>
        </w:rPr>
        <w:t>,</w:t>
      </w:r>
      <w:r w:rsidR="00875FD7">
        <w:rPr>
          <w:rFonts w:ascii="Arial" w:hAnsi="Arial" w:cs="Arial"/>
          <w:color w:val="000000"/>
        </w:rPr>
        <w:t xml:space="preserve"> replacing the Minerals Act</w:t>
      </w:r>
      <w:r w:rsidR="00A32AB1" w:rsidRPr="00A32AB1">
        <w:rPr>
          <w:rFonts w:ascii="Arial" w:hAnsi="Arial" w:cs="Arial"/>
          <w:color w:val="000000"/>
        </w:rPr>
        <w:t xml:space="preserve">. </w:t>
      </w:r>
      <w:r w:rsidR="00D1249C">
        <w:rPr>
          <w:rFonts w:ascii="Arial" w:hAnsi="Arial" w:cs="Arial"/>
          <w:color w:val="000000"/>
        </w:rPr>
        <w:t xml:space="preserve"> So therefore at the time DBCM submitted its closure plan, s</w:t>
      </w:r>
      <w:r w:rsidR="00C05244" w:rsidRPr="00A32AB1">
        <w:rPr>
          <w:rFonts w:ascii="Arial" w:hAnsi="Arial" w:cs="Arial"/>
          <w:color w:val="000000"/>
        </w:rPr>
        <w:t xml:space="preserve"> 43</w:t>
      </w:r>
      <w:r w:rsidR="0055453B" w:rsidRPr="00A32AB1">
        <w:rPr>
          <w:rFonts w:ascii="Arial" w:hAnsi="Arial" w:cs="Arial"/>
          <w:color w:val="000000"/>
        </w:rPr>
        <w:t xml:space="preserve"> of the MPRDA</w:t>
      </w:r>
      <w:r w:rsidR="00C05244" w:rsidRPr="00A32AB1">
        <w:rPr>
          <w:rFonts w:ascii="Arial" w:hAnsi="Arial" w:cs="Arial"/>
          <w:color w:val="000000"/>
        </w:rPr>
        <w:t xml:space="preserve"> </w:t>
      </w:r>
      <w:r w:rsidR="00D1249C">
        <w:rPr>
          <w:rFonts w:ascii="Arial" w:hAnsi="Arial" w:cs="Arial"/>
          <w:color w:val="000000"/>
        </w:rPr>
        <w:t xml:space="preserve">was </w:t>
      </w:r>
      <w:r>
        <w:rPr>
          <w:rFonts w:ascii="Arial" w:hAnsi="Arial" w:cs="Arial"/>
          <w:color w:val="000000"/>
        </w:rPr>
        <w:t xml:space="preserve">the </w:t>
      </w:r>
      <w:r>
        <w:rPr>
          <w:rFonts w:ascii="Arial" w:hAnsi="Arial" w:cs="Arial"/>
          <w:color w:val="000000"/>
        </w:rPr>
        <w:lastRenderedPageBreak/>
        <w:t xml:space="preserve">provision that </w:t>
      </w:r>
      <w:r w:rsidR="00D1249C">
        <w:rPr>
          <w:rFonts w:ascii="Arial" w:hAnsi="Arial" w:cs="Arial"/>
          <w:color w:val="000000"/>
        </w:rPr>
        <w:t>then</w:t>
      </w:r>
      <w:r>
        <w:rPr>
          <w:rFonts w:ascii="Arial" w:hAnsi="Arial" w:cs="Arial"/>
          <w:color w:val="000000"/>
        </w:rPr>
        <w:t xml:space="preserve"> dealt </w:t>
      </w:r>
      <w:r w:rsidR="00C05244" w:rsidRPr="00A32AB1">
        <w:rPr>
          <w:rFonts w:ascii="Arial" w:hAnsi="Arial" w:cs="Arial"/>
          <w:color w:val="000000"/>
        </w:rPr>
        <w:t xml:space="preserve">with mine closure. Subsection (1) </w:t>
      </w:r>
      <w:r w:rsidR="003C57F5">
        <w:rPr>
          <w:rFonts w:ascii="Arial" w:hAnsi="Arial" w:cs="Arial"/>
          <w:color w:val="000000"/>
        </w:rPr>
        <w:t xml:space="preserve">thereof </w:t>
      </w:r>
      <w:r w:rsidR="00C05244" w:rsidRPr="00A32AB1">
        <w:rPr>
          <w:rFonts w:ascii="Arial" w:hAnsi="Arial" w:cs="Arial"/>
          <w:color w:val="000000"/>
        </w:rPr>
        <w:t>states that the holder of a mining permit:</w:t>
      </w:r>
    </w:p>
    <w:p w14:paraId="466B4CB6" w14:textId="77777777" w:rsidR="00A32AB1" w:rsidRPr="00A32AB1" w:rsidRDefault="00A32AB1" w:rsidP="00A32AB1">
      <w:pPr>
        <w:pStyle w:val="normaltext"/>
        <w:shd w:val="clear" w:color="auto" w:fill="FFFFFF"/>
        <w:spacing w:before="0" w:beforeAutospacing="0" w:after="0" w:afterAutospacing="0" w:line="360" w:lineRule="auto"/>
        <w:jc w:val="both"/>
        <w:rPr>
          <w:rFonts w:ascii="Arial" w:hAnsi="Arial" w:cs="Arial"/>
          <w:color w:val="000000"/>
        </w:rPr>
      </w:pPr>
    </w:p>
    <w:p w14:paraId="2EC55E5B" w14:textId="77FF0B9E" w:rsidR="00875FD7" w:rsidRDefault="00C05244" w:rsidP="00950E27">
      <w:pPr>
        <w:pStyle w:val="blockquote-x"/>
        <w:shd w:val="clear" w:color="auto" w:fill="FFFFFF"/>
        <w:spacing w:before="0" w:beforeAutospacing="0" w:after="0" w:afterAutospacing="0" w:line="360" w:lineRule="auto"/>
        <w:ind w:left="1440"/>
        <w:jc w:val="both"/>
        <w:rPr>
          <w:rFonts w:ascii="Arial" w:hAnsi="Arial" w:cs="Arial"/>
          <w:i/>
          <w:iCs/>
          <w:color w:val="000000"/>
          <w:sz w:val="22"/>
          <w:szCs w:val="22"/>
        </w:rPr>
      </w:pPr>
      <w:r w:rsidRPr="00A32AB1">
        <w:rPr>
          <w:rFonts w:ascii="Arial" w:hAnsi="Arial" w:cs="Arial"/>
          <w:i/>
          <w:iCs/>
          <w:color w:val="000000"/>
          <w:sz w:val="22"/>
          <w:szCs w:val="22"/>
        </w:rPr>
        <w:t>"remains responsible for any environmental liability, pollution, ecological degradation, the pumping and treatment of extraneous water, compliance to the conditions of the environmental authorisation and the management and sustainable closure thereof, until the Minister has issued a</w:t>
      </w:r>
      <w:r w:rsidR="00950E27">
        <w:rPr>
          <w:rFonts w:ascii="Arial" w:hAnsi="Arial" w:cs="Arial"/>
          <w:i/>
          <w:iCs/>
          <w:color w:val="000000"/>
          <w:sz w:val="22"/>
          <w:szCs w:val="22"/>
        </w:rPr>
        <w:t>n</w:t>
      </w:r>
      <w:r w:rsidRPr="00A32AB1">
        <w:rPr>
          <w:rFonts w:ascii="Arial" w:hAnsi="Arial" w:cs="Arial"/>
          <w:i/>
          <w:iCs/>
          <w:color w:val="000000"/>
          <w:sz w:val="22"/>
          <w:szCs w:val="22"/>
        </w:rPr>
        <w:t xml:space="preserve"> closure certificate in terms of this Act to the holder or owner concerned"</w:t>
      </w:r>
      <w:r w:rsidR="00F057C5" w:rsidRPr="00A32AB1">
        <w:rPr>
          <w:rFonts w:ascii="Arial" w:hAnsi="Arial" w:cs="Arial"/>
          <w:i/>
          <w:iCs/>
          <w:color w:val="000000"/>
          <w:sz w:val="22"/>
          <w:szCs w:val="22"/>
        </w:rPr>
        <w:t>.</w:t>
      </w:r>
    </w:p>
    <w:p w14:paraId="0E6DB525" w14:textId="7A203BB4" w:rsidR="00D1249C" w:rsidRDefault="00D1249C" w:rsidP="00950E27">
      <w:pPr>
        <w:pStyle w:val="blockquote-x"/>
        <w:shd w:val="clear" w:color="auto" w:fill="FFFFFF"/>
        <w:spacing w:before="0" w:beforeAutospacing="0" w:after="0" w:afterAutospacing="0" w:line="360" w:lineRule="auto"/>
        <w:ind w:left="1440"/>
        <w:jc w:val="both"/>
        <w:rPr>
          <w:rFonts w:ascii="Arial" w:hAnsi="Arial" w:cs="Arial"/>
          <w:i/>
          <w:iCs/>
          <w:color w:val="000000"/>
          <w:sz w:val="22"/>
          <w:szCs w:val="22"/>
        </w:rPr>
      </w:pPr>
    </w:p>
    <w:p w14:paraId="005F4858" w14:textId="4BB77307" w:rsidR="00043FA3" w:rsidRDefault="00950E27" w:rsidP="00875FD7">
      <w:pPr>
        <w:pStyle w:val="normaltext"/>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D30E81">
        <w:rPr>
          <w:rFonts w:ascii="Arial" w:hAnsi="Arial" w:cs="Arial"/>
          <w:color w:val="000000"/>
        </w:rPr>
        <w:t>12</w:t>
      </w:r>
      <w:r w:rsidR="00287CC0">
        <w:rPr>
          <w:rFonts w:ascii="Arial" w:hAnsi="Arial" w:cs="Arial"/>
          <w:color w:val="000000"/>
        </w:rPr>
        <w:t>3</w:t>
      </w:r>
      <w:r>
        <w:rPr>
          <w:rFonts w:ascii="Arial" w:hAnsi="Arial" w:cs="Arial"/>
          <w:color w:val="000000"/>
        </w:rPr>
        <w:t>]</w:t>
      </w:r>
      <w:r>
        <w:rPr>
          <w:rFonts w:ascii="Arial" w:hAnsi="Arial" w:cs="Arial"/>
          <w:color w:val="000000"/>
        </w:rPr>
        <w:tab/>
        <w:t>The</w:t>
      </w:r>
      <w:r w:rsidR="00C05244" w:rsidRPr="00A32AB1">
        <w:rPr>
          <w:rFonts w:ascii="Arial" w:hAnsi="Arial" w:cs="Arial"/>
          <w:color w:val="000000"/>
        </w:rPr>
        <w:t xml:space="preserve"> section imposes an obligation upon the holder of a mining </w:t>
      </w:r>
      <w:r w:rsidR="00D1249C">
        <w:rPr>
          <w:rFonts w:ascii="Arial" w:hAnsi="Arial" w:cs="Arial"/>
          <w:color w:val="000000"/>
        </w:rPr>
        <w:t xml:space="preserve">right for rectification of any adverse impact on the environment as a result of the mining operations until </w:t>
      </w:r>
      <w:r w:rsidR="00C05244" w:rsidRPr="00A32AB1">
        <w:rPr>
          <w:rFonts w:ascii="Arial" w:hAnsi="Arial" w:cs="Arial"/>
          <w:color w:val="000000"/>
        </w:rPr>
        <w:t xml:space="preserve">a closure certificate </w:t>
      </w:r>
      <w:r w:rsidR="00D1249C">
        <w:rPr>
          <w:rFonts w:ascii="Arial" w:hAnsi="Arial" w:cs="Arial"/>
          <w:color w:val="000000"/>
        </w:rPr>
        <w:t xml:space="preserve">is issued. </w:t>
      </w:r>
      <w:r w:rsidR="00C05244" w:rsidRPr="00A32AB1">
        <w:rPr>
          <w:rFonts w:ascii="Arial" w:hAnsi="Arial" w:cs="Arial"/>
          <w:color w:val="000000"/>
        </w:rPr>
        <w:t>The</w:t>
      </w:r>
      <w:r w:rsidR="00D1249C">
        <w:rPr>
          <w:rFonts w:ascii="Arial" w:hAnsi="Arial" w:cs="Arial"/>
          <w:color w:val="000000"/>
        </w:rPr>
        <w:t xml:space="preserve"> obligations remain</w:t>
      </w:r>
      <w:r w:rsidR="003C57F5">
        <w:rPr>
          <w:rFonts w:ascii="Arial" w:hAnsi="Arial" w:cs="Arial"/>
          <w:color w:val="000000"/>
        </w:rPr>
        <w:t>ing</w:t>
      </w:r>
      <w:r w:rsidR="00D1249C">
        <w:rPr>
          <w:rFonts w:ascii="Arial" w:hAnsi="Arial" w:cs="Arial"/>
          <w:color w:val="000000"/>
        </w:rPr>
        <w:t xml:space="preserve"> even after </w:t>
      </w:r>
      <w:r w:rsidR="00C05244" w:rsidRPr="00A32AB1">
        <w:rPr>
          <w:rFonts w:ascii="Arial" w:hAnsi="Arial" w:cs="Arial"/>
          <w:color w:val="000000"/>
        </w:rPr>
        <w:t>the cessation of mining op</w:t>
      </w:r>
      <w:r w:rsidR="00043FA3" w:rsidRPr="00A32AB1">
        <w:rPr>
          <w:rFonts w:ascii="Arial" w:hAnsi="Arial" w:cs="Arial"/>
          <w:color w:val="000000"/>
        </w:rPr>
        <w:t>e</w:t>
      </w:r>
      <w:r w:rsidR="00C05244" w:rsidRPr="00A32AB1">
        <w:rPr>
          <w:rFonts w:ascii="Arial" w:hAnsi="Arial" w:cs="Arial"/>
          <w:color w:val="000000"/>
        </w:rPr>
        <w:t xml:space="preserve">rations. It </w:t>
      </w:r>
      <w:r w:rsidR="00D1249C">
        <w:rPr>
          <w:rFonts w:ascii="Arial" w:hAnsi="Arial" w:cs="Arial"/>
          <w:color w:val="000000"/>
        </w:rPr>
        <w:t>further provides in subsection (2), (3) and (4) f</w:t>
      </w:r>
      <w:r w:rsidR="00C05244" w:rsidRPr="00A32AB1">
        <w:rPr>
          <w:rFonts w:ascii="Arial" w:hAnsi="Arial" w:cs="Arial"/>
          <w:color w:val="000000"/>
        </w:rPr>
        <w:t xml:space="preserve">or a set of procedures to be followed, and the submission of information, plans, and reports as required by the MPRDA and NEMA.  </w:t>
      </w:r>
      <w:r w:rsidR="00D1249C">
        <w:rPr>
          <w:rFonts w:ascii="Arial" w:hAnsi="Arial" w:cs="Arial"/>
          <w:color w:val="000000"/>
        </w:rPr>
        <w:t xml:space="preserve">The holder therefore required to </w:t>
      </w:r>
      <w:r w:rsidR="00D1249C" w:rsidRPr="00A32AB1">
        <w:rPr>
          <w:rFonts w:ascii="Arial" w:hAnsi="Arial" w:cs="Arial"/>
          <w:color w:val="000000"/>
        </w:rPr>
        <w:t>plan for, manage, and implement such procedures and requirements at mine closure as may be prescribed.</w:t>
      </w:r>
      <w:r w:rsidR="00D1249C">
        <w:rPr>
          <w:rFonts w:ascii="Arial" w:hAnsi="Arial" w:cs="Arial"/>
          <w:color w:val="000000"/>
        </w:rPr>
        <w:t xml:space="preserve"> </w:t>
      </w:r>
      <w:r w:rsidR="00D1249C" w:rsidRPr="00A32AB1">
        <w:rPr>
          <w:rFonts w:ascii="Arial" w:hAnsi="Arial" w:cs="Arial"/>
          <w:color w:val="000000"/>
        </w:rPr>
        <w:t>Regulation 57 specifies what is required upon submission of an application for a closure certificate. This includes a closure plan and an environmental risk report in terms of Regulation 62.</w:t>
      </w:r>
      <w:r w:rsidR="00D1249C" w:rsidRPr="00A32AB1">
        <w:rPr>
          <w:rStyle w:val="FootnoteReference"/>
          <w:rFonts w:ascii="Arial" w:hAnsi="Arial" w:cs="Arial"/>
          <w:color w:val="000000"/>
        </w:rPr>
        <w:footnoteReference w:id="32"/>
      </w:r>
      <w:r w:rsidR="00D1249C" w:rsidRPr="00A32AB1">
        <w:rPr>
          <w:rFonts w:ascii="Arial" w:hAnsi="Arial" w:cs="Arial"/>
          <w:color w:val="000000"/>
        </w:rPr>
        <w:t xml:space="preserve">  </w:t>
      </w:r>
      <w:r w:rsidR="00C05244" w:rsidRPr="00A32AB1">
        <w:rPr>
          <w:rFonts w:ascii="Arial" w:hAnsi="Arial" w:cs="Arial"/>
          <w:color w:val="000000"/>
        </w:rPr>
        <w:t>Section 43(</w:t>
      </w:r>
      <w:r>
        <w:rPr>
          <w:rFonts w:ascii="Arial" w:hAnsi="Arial" w:cs="Arial"/>
          <w:color w:val="000000"/>
        </w:rPr>
        <w:t>5</w:t>
      </w:r>
      <w:r w:rsidR="00C05244" w:rsidRPr="00A32AB1">
        <w:rPr>
          <w:rFonts w:ascii="Arial" w:hAnsi="Arial" w:cs="Arial"/>
          <w:color w:val="000000"/>
        </w:rPr>
        <w:t xml:space="preserve">) requires that the holder of a mining permit </w:t>
      </w:r>
      <w:r>
        <w:rPr>
          <w:rFonts w:ascii="Arial" w:hAnsi="Arial" w:cs="Arial"/>
          <w:color w:val="000000"/>
        </w:rPr>
        <w:t xml:space="preserve">be issued with a closure certificate subject to confirmation in writing by the Chief Inspector and the Department of Water Affairs and Forestry that the provisions pertaining to health and safety and management of potential pollution to water resources have been addressed. </w:t>
      </w:r>
      <w:r w:rsidR="002F74A8" w:rsidRPr="00A32AB1">
        <w:rPr>
          <w:rFonts w:ascii="Arial" w:hAnsi="Arial" w:cs="Arial"/>
          <w:color w:val="000000"/>
        </w:rPr>
        <w:t>Further, s</w:t>
      </w:r>
      <w:r w:rsidR="00043FA3" w:rsidRPr="00A32AB1">
        <w:rPr>
          <w:rFonts w:ascii="Arial" w:hAnsi="Arial" w:cs="Arial"/>
          <w:color w:val="000000"/>
        </w:rPr>
        <w:t xml:space="preserve">ection 43 (5) </w:t>
      </w:r>
      <w:r w:rsidR="002F74A8" w:rsidRPr="00A32AB1">
        <w:rPr>
          <w:rFonts w:ascii="Arial" w:hAnsi="Arial" w:cs="Arial"/>
          <w:color w:val="000000"/>
        </w:rPr>
        <w:t xml:space="preserve">of the MPRDA </w:t>
      </w:r>
      <w:r w:rsidR="00043FA3" w:rsidRPr="00A32AB1">
        <w:rPr>
          <w:rFonts w:ascii="Arial" w:hAnsi="Arial" w:cs="Arial"/>
          <w:color w:val="000000"/>
        </w:rPr>
        <w:t>states that</w:t>
      </w:r>
      <w:r w:rsidR="002F74A8" w:rsidRPr="00A32AB1">
        <w:rPr>
          <w:rFonts w:ascii="Arial" w:hAnsi="Arial" w:cs="Arial"/>
          <w:color w:val="000000"/>
        </w:rPr>
        <w:t>:</w:t>
      </w:r>
    </w:p>
    <w:p w14:paraId="74E9FD87" w14:textId="77777777" w:rsidR="004B6008" w:rsidRPr="00A32AB1" w:rsidRDefault="004B6008" w:rsidP="00875FD7">
      <w:pPr>
        <w:pStyle w:val="normaltext"/>
        <w:shd w:val="clear" w:color="auto" w:fill="FFFFFF"/>
        <w:spacing w:before="0" w:beforeAutospacing="0" w:after="0" w:afterAutospacing="0" w:line="360" w:lineRule="auto"/>
        <w:jc w:val="both"/>
        <w:rPr>
          <w:rFonts w:ascii="Arial" w:hAnsi="Arial" w:cs="Arial"/>
          <w:color w:val="000000"/>
        </w:rPr>
      </w:pPr>
    </w:p>
    <w:p w14:paraId="0754FEF8" w14:textId="6C3C33D6" w:rsidR="00AF2783" w:rsidRDefault="00C05244" w:rsidP="00950E27">
      <w:pPr>
        <w:pStyle w:val="blockquote-x"/>
        <w:shd w:val="clear" w:color="auto" w:fill="FFFFFF"/>
        <w:spacing w:before="0" w:beforeAutospacing="0" w:after="0" w:afterAutospacing="0" w:line="360" w:lineRule="auto"/>
        <w:ind w:left="1440"/>
        <w:jc w:val="both"/>
        <w:rPr>
          <w:rFonts w:ascii="Arial" w:hAnsi="Arial" w:cs="Arial"/>
          <w:i/>
          <w:iCs/>
          <w:color w:val="000000"/>
          <w:sz w:val="22"/>
          <w:szCs w:val="22"/>
        </w:rPr>
      </w:pPr>
      <w:r w:rsidRPr="00A32AB1">
        <w:rPr>
          <w:rFonts w:ascii="Arial" w:hAnsi="Arial" w:cs="Arial"/>
          <w:i/>
          <w:iCs/>
          <w:color w:val="000000"/>
          <w:sz w:val="22"/>
          <w:szCs w:val="22"/>
        </w:rPr>
        <w:t>"No closure certificate may be issued unless the Chief Inspector and each government department charged with the administration of any law which relates to any matter affecting the environment have confirmed in writing that the provisions pertaining to health and safety and management [of] pollution to water resources, the pumping and treatment of extraneous water and compliance to the conditions of the environmental authorisation have been addressed</w:t>
      </w:r>
      <w:r w:rsidR="00875FD7">
        <w:rPr>
          <w:rFonts w:ascii="Arial" w:hAnsi="Arial" w:cs="Arial"/>
          <w:i/>
          <w:iCs/>
          <w:color w:val="000000"/>
          <w:sz w:val="22"/>
          <w:szCs w:val="22"/>
        </w:rPr>
        <w:t>”.</w:t>
      </w:r>
    </w:p>
    <w:p w14:paraId="3D320D73" w14:textId="77777777" w:rsidR="00A32AB1" w:rsidRPr="00A32AB1" w:rsidRDefault="00A32AB1" w:rsidP="00A32AB1">
      <w:pPr>
        <w:pStyle w:val="blockquote-x"/>
        <w:shd w:val="clear" w:color="auto" w:fill="FFFFFF"/>
        <w:spacing w:before="0" w:beforeAutospacing="0" w:after="0" w:afterAutospacing="0" w:line="360" w:lineRule="auto"/>
        <w:jc w:val="both"/>
        <w:rPr>
          <w:rFonts w:ascii="Arial" w:hAnsi="Arial" w:cs="Arial"/>
          <w:i/>
          <w:iCs/>
          <w:color w:val="000000"/>
          <w:sz w:val="22"/>
          <w:szCs w:val="22"/>
        </w:rPr>
      </w:pPr>
    </w:p>
    <w:p w14:paraId="09208BAC" w14:textId="47D4AE4E" w:rsidR="00950E27" w:rsidRDefault="00950E27" w:rsidP="00950E27">
      <w:pPr>
        <w:pStyle w:val="blockquote-x"/>
        <w:shd w:val="clear" w:color="auto" w:fill="FFFFFF"/>
        <w:spacing w:before="0" w:beforeAutospacing="0" w:after="0" w:afterAutospacing="0" w:line="360" w:lineRule="auto"/>
        <w:ind w:right="-46"/>
        <w:jc w:val="both"/>
        <w:rPr>
          <w:rFonts w:ascii="Arial" w:hAnsi="Arial" w:cs="Arial"/>
        </w:rPr>
      </w:pPr>
      <w:r w:rsidRPr="00950E27">
        <w:rPr>
          <w:rFonts w:ascii="Arial" w:hAnsi="Arial" w:cs="Arial"/>
          <w:iCs/>
          <w:color w:val="000000"/>
          <w:sz w:val="22"/>
          <w:szCs w:val="22"/>
        </w:rPr>
        <w:lastRenderedPageBreak/>
        <w:t>[</w:t>
      </w:r>
      <w:r w:rsidR="00287CC0">
        <w:rPr>
          <w:rFonts w:ascii="Arial" w:hAnsi="Arial" w:cs="Arial"/>
          <w:iCs/>
          <w:color w:val="000000"/>
          <w:sz w:val="22"/>
          <w:szCs w:val="22"/>
        </w:rPr>
        <w:t>124</w:t>
      </w:r>
      <w:r w:rsidRPr="00950E27">
        <w:rPr>
          <w:rFonts w:ascii="Arial" w:hAnsi="Arial" w:cs="Arial"/>
          <w:iCs/>
          <w:color w:val="000000"/>
          <w:sz w:val="22"/>
          <w:szCs w:val="22"/>
        </w:rPr>
        <w:t>]</w:t>
      </w:r>
      <w:r w:rsidRPr="00950E27">
        <w:rPr>
          <w:rFonts w:ascii="Arial" w:hAnsi="Arial" w:cs="Arial"/>
          <w:iCs/>
          <w:color w:val="000000"/>
          <w:sz w:val="22"/>
          <w:szCs w:val="22"/>
        </w:rPr>
        <w:tab/>
      </w:r>
      <w:r w:rsidR="00D1249C">
        <w:rPr>
          <w:rFonts w:ascii="Arial" w:hAnsi="Arial" w:cs="Arial"/>
          <w:iCs/>
          <w:color w:val="000000"/>
          <w:sz w:val="22"/>
          <w:szCs w:val="22"/>
        </w:rPr>
        <w:t xml:space="preserve">In as far as </w:t>
      </w:r>
      <w:r>
        <w:rPr>
          <w:rFonts w:ascii="Arial" w:hAnsi="Arial" w:cs="Arial"/>
          <w:iCs/>
          <w:color w:val="000000"/>
          <w:sz w:val="22"/>
          <w:szCs w:val="22"/>
        </w:rPr>
        <w:t xml:space="preserve">DBCM’s amended EPM </w:t>
      </w:r>
      <w:r w:rsidR="00D1249C">
        <w:rPr>
          <w:rFonts w:ascii="Arial" w:hAnsi="Arial" w:cs="Arial"/>
          <w:iCs/>
          <w:color w:val="000000"/>
          <w:sz w:val="22"/>
          <w:szCs w:val="22"/>
        </w:rPr>
        <w:t xml:space="preserve">is concerned, it </w:t>
      </w:r>
      <w:r>
        <w:rPr>
          <w:rFonts w:ascii="Arial" w:hAnsi="Arial" w:cs="Arial"/>
          <w:iCs/>
          <w:color w:val="000000"/>
          <w:sz w:val="22"/>
          <w:szCs w:val="22"/>
        </w:rPr>
        <w:t xml:space="preserve">was already approved when the MPRDA came into </w:t>
      </w:r>
      <w:r w:rsidR="003C57F5">
        <w:rPr>
          <w:rFonts w:ascii="Arial" w:hAnsi="Arial" w:cs="Arial"/>
          <w:iCs/>
          <w:color w:val="000000"/>
          <w:sz w:val="22"/>
          <w:szCs w:val="22"/>
        </w:rPr>
        <w:t>effect in 2004</w:t>
      </w:r>
      <w:r w:rsidR="00D1249C">
        <w:rPr>
          <w:rFonts w:ascii="Arial" w:hAnsi="Arial" w:cs="Arial"/>
          <w:iCs/>
          <w:color w:val="000000"/>
          <w:sz w:val="22"/>
          <w:szCs w:val="22"/>
        </w:rPr>
        <w:t>,</w:t>
      </w:r>
      <w:r>
        <w:rPr>
          <w:rFonts w:ascii="Arial" w:hAnsi="Arial" w:cs="Arial"/>
          <w:iCs/>
          <w:color w:val="000000"/>
          <w:sz w:val="22"/>
          <w:szCs w:val="22"/>
        </w:rPr>
        <w:t xml:space="preserve"> therefore </w:t>
      </w:r>
      <w:r w:rsidR="003C57F5">
        <w:rPr>
          <w:rFonts w:ascii="Arial" w:hAnsi="Arial" w:cs="Arial"/>
          <w:iCs/>
          <w:color w:val="000000"/>
          <w:sz w:val="22"/>
          <w:szCs w:val="22"/>
        </w:rPr>
        <w:t xml:space="preserve">post 2004 prior closure, </w:t>
      </w:r>
      <w:r w:rsidR="00D1249C">
        <w:rPr>
          <w:rFonts w:ascii="Arial" w:hAnsi="Arial" w:cs="Arial"/>
          <w:iCs/>
          <w:color w:val="000000"/>
          <w:sz w:val="22"/>
          <w:szCs w:val="22"/>
        </w:rPr>
        <w:t xml:space="preserve">it was </w:t>
      </w:r>
      <w:r>
        <w:rPr>
          <w:rFonts w:ascii="Arial" w:hAnsi="Arial" w:cs="Arial"/>
          <w:iCs/>
          <w:color w:val="000000"/>
          <w:sz w:val="22"/>
          <w:szCs w:val="22"/>
        </w:rPr>
        <w:t>to be dealt with in accordance with i</w:t>
      </w:r>
      <w:r w:rsidRPr="00950E27">
        <w:rPr>
          <w:rFonts w:ascii="Arial" w:hAnsi="Arial" w:cs="Arial"/>
        </w:rPr>
        <w:t xml:space="preserve">tem 10 </w:t>
      </w:r>
      <w:r>
        <w:rPr>
          <w:rFonts w:ascii="Arial" w:hAnsi="Arial" w:cs="Arial"/>
        </w:rPr>
        <w:t>in</w:t>
      </w:r>
      <w:r w:rsidRPr="00950E27">
        <w:rPr>
          <w:rFonts w:ascii="Arial" w:hAnsi="Arial" w:cs="Arial"/>
        </w:rPr>
        <w:t xml:space="preserve"> schedule II of the </w:t>
      </w:r>
      <w:r>
        <w:rPr>
          <w:rFonts w:ascii="Arial" w:hAnsi="Arial" w:cs="Arial"/>
        </w:rPr>
        <w:t>T</w:t>
      </w:r>
      <w:r w:rsidRPr="00950E27">
        <w:rPr>
          <w:rFonts w:ascii="Arial" w:hAnsi="Arial" w:cs="Arial"/>
        </w:rPr>
        <w:t xml:space="preserve">ransitional </w:t>
      </w:r>
      <w:r>
        <w:rPr>
          <w:rFonts w:ascii="Arial" w:hAnsi="Arial" w:cs="Arial"/>
        </w:rPr>
        <w:t>A</w:t>
      </w:r>
      <w:r w:rsidRPr="00950E27">
        <w:rPr>
          <w:rFonts w:ascii="Arial" w:hAnsi="Arial" w:cs="Arial"/>
        </w:rPr>
        <w:t>rrangements</w:t>
      </w:r>
      <w:r w:rsidRPr="00950E27">
        <w:rPr>
          <w:rFonts w:ascii="Arial" w:hAnsi="Arial" w:cs="Arial"/>
          <w:b/>
        </w:rPr>
        <w:t xml:space="preserve"> </w:t>
      </w:r>
      <w:r w:rsidRPr="00950E27">
        <w:rPr>
          <w:rFonts w:ascii="Arial" w:hAnsi="Arial" w:cs="Arial"/>
        </w:rPr>
        <w:t>MPRDA</w:t>
      </w:r>
      <w:r>
        <w:rPr>
          <w:rFonts w:ascii="Arial" w:hAnsi="Arial" w:cs="Arial"/>
        </w:rPr>
        <w:t xml:space="preserve"> that reads: </w:t>
      </w:r>
    </w:p>
    <w:p w14:paraId="496ABD0C" w14:textId="77777777" w:rsidR="00D1249C" w:rsidRDefault="00D1249C" w:rsidP="00950E27">
      <w:pPr>
        <w:pStyle w:val="blockquote-x"/>
        <w:shd w:val="clear" w:color="auto" w:fill="FFFFFF"/>
        <w:spacing w:before="0" w:beforeAutospacing="0" w:after="0" w:afterAutospacing="0" w:line="360" w:lineRule="auto"/>
        <w:ind w:right="-46"/>
        <w:jc w:val="both"/>
        <w:rPr>
          <w:rFonts w:ascii="Arial" w:hAnsi="Arial" w:cs="Arial"/>
        </w:rPr>
      </w:pPr>
    </w:p>
    <w:p w14:paraId="28919DBE" w14:textId="190E8D46" w:rsidR="00950E27" w:rsidRPr="00950E27" w:rsidRDefault="00950E27" w:rsidP="00950E27">
      <w:pPr>
        <w:pStyle w:val="blockquote-x"/>
        <w:shd w:val="clear" w:color="auto" w:fill="FFFFFF"/>
        <w:spacing w:before="0" w:beforeAutospacing="0" w:after="0" w:afterAutospacing="0" w:line="360" w:lineRule="auto"/>
        <w:ind w:right="-46"/>
        <w:jc w:val="both"/>
        <w:rPr>
          <w:rFonts w:ascii="Arial" w:hAnsi="Arial" w:cs="Arial"/>
          <w:sz w:val="22"/>
          <w:szCs w:val="22"/>
        </w:rPr>
      </w:pPr>
      <w:r>
        <w:rPr>
          <w:rFonts w:ascii="Arial" w:hAnsi="Arial" w:cs="Arial"/>
        </w:rPr>
        <w:tab/>
      </w:r>
      <w:r w:rsidRPr="00950E27">
        <w:rPr>
          <w:rFonts w:ascii="Arial" w:hAnsi="Arial" w:cs="Arial"/>
          <w:sz w:val="22"/>
          <w:szCs w:val="22"/>
        </w:rPr>
        <w:t>10</w:t>
      </w:r>
      <w:r>
        <w:rPr>
          <w:rFonts w:ascii="Arial" w:hAnsi="Arial" w:cs="Arial"/>
          <w:sz w:val="22"/>
          <w:szCs w:val="22"/>
        </w:rPr>
        <w:t>.</w:t>
      </w:r>
      <w:r>
        <w:rPr>
          <w:rFonts w:ascii="Arial" w:hAnsi="Arial" w:cs="Arial"/>
          <w:sz w:val="22"/>
          <w:szCs w:val="22"/>
        </w:rPr>
        <w:tab/>
      </w:r>
      <w:r w:rsidRPr="00950E27">
        <w:rPr>
          <w:rFonts w:ascii="Arial" w:hAnsi="Arial" w:cs="Arial"/>
          <w:b/>
          <w:sz w:val="22"/>
          <w:szCs w:val="22"/>
        </w:rPr>
        <w:t>Continuation of approved environmental management programme</w:t>
      </w:r>
      <w:r w:rsidRPr="00950E27">
        <w:rPr>
          <w:rFonts w:ascii="Arial" w:hAnsi="Arial" w:cs="Arial"/>
          <w:sz w:val="22"/>
          <w:szCs w:val="22"/>
        </w:rPr>
        <w:t xml:space="preserve"> </w:t>
      </w:r>
    </w:p>
    <w:p w14:paraId="4D0A7074" w14:textId="77777777" w:rsidR="00950E27" w:rsidRPr="00950E27" w:rsidRDefault="00950E27" w:rsidP="00D1249C">
      <w:pPr>
        <w:pStyle w:val="blockquote-x"/>
        <w:shd w:val="clear" w:color="auto" w:fill="FFFFFF"/>
        <w:spacing w:before="0" w:beforeAutospacing="0" w:after="0" w:afterAutospacing="0" w:line="360" w:lineRule="auto"/>
        <w:ind w:left="1440" w:right="-46"/>
        <w:jc w:val="both"/>
        <w:rPr>
          <w:rFonts w:ascii="Arial" w:hAnsi="Arial" w:cs="Arial"/>
          <w:i/>
          <w:sz w:val="22"/>
          <w:szCs w:val="22"/>
        </w:rPr>
      </w:pPr>
      <w:r w:rsidRPr="00950E27">
        <w:rPr>
          <w:rFonts w:ascii="Arial" w:hAnsi="Arial" w:cs="Arial"/>
          <w:i/>
          <w:sz w:val="22"/>
          <w:szCs w:val="22"/>
        </w:rPr>
        <w:t>(1) Any environmental management programme approved in terms of section 39 (1) of the Minerals Act and in force immediately before this Act took effect and any steps taken in respect of the relevant performance assessment and duty to monitor connected with that environmental management programme continues to remain in force when this Act comes into effect.</w:t>
      </w:r>
    </w:p>
    <w:p w14:paraId="381D31FA" w14:textId="77777777" w:rsidR="00950E27" w:rsidRPr="00950E27" w:rsidRDefault="00950E27" w:rsidP="00D1249C">
      <w:pPr>
        <w:pStyle w:val="blockquote-x"/>
        <w:shd w:val="clear" w:color="auto" w:fill="FFFFFF"/>
        <w:spacing w:before="0" w:beforeAutospacing="0" w:after="0" w:afterAutospacing="0" w:line="360" w:lineRule="auto"/>
        <w:ind w:left="1440" w:right="-46"/>
        <w:jc w:val="both"/>
        <w:rPr>
          <w:rFonts w:ascii="Arial" w:hAnsi="Arial" w:cs="Arial"/>
          <w:i/>
          <w:sz w:val="22"/>
          <w:szCs w:val="22"/>
          <w:u w:val="single"/>
        </w:rPr>
      </w:pPr>
      <w:r w:rsidRPr="00950E27">
        <w:rPr>
          <w:rFonts w:ascii="Arial" w:hAnsi="Arial" w:cs="Arial"/>
          <w:i/>
          <w:sz w:val="22"/>
          <w:szCs w:val="22"/>
        </w:rPr>
        <w:t>(2</w:t>
      </w:r>
      <w:r w:rsidRPr="00950E27">
        <w:rPr>
          <w:rFonts w:ascii="Arial" w:hAnsi="Arial" w:cs="Arial"/>
          <w:i/>
          <w:sz w:val="22"/>
          <w:szCs w:val="22"/>
          <w:u w:val="single"/>
        </w:rPr>
        <w:t xml:space="preserve">) Subitem (1) does not prevent the Minister from directing the amendment of an environmental management programme in order to bring it into line with the requirements of this Act. </w:t>
      </w:r>
    </w:p>
    <w:p w14:paraId="0A4EB4FC" w14:textId="174B2027" w:rsidR="00950E27" w:rsidRPr="00950E27" w:rsidRDefault="00950E27" w:rsidP="00D1249C">
      <w:pPr>
        <w:pStyle w:val="blockquote-x"/>
        <w:shd w:val="clear" w:color="auto" w:fill="FFFFFF"/>
        <w:spacing w:before="0" w:beforeAutospacing="0" w:after="0" w:afterAutospacing="0" w:line="360" w:lineRule="auto"/>
        <w:ind w:left="1440" w:right="-46"/>
        <w:jc w:val="both"/>
        <w:rPr>
          <w:rFonts w:ascii="Arial" w:hAnsi="Arial" w:cs="Arial"/>
          <w:i/>
          <w:sz w:val="22"/>
          <w:szCs w:val="22"/>
        </w:rPr>
      </w:pPr>
      <w:r w:rsidRPr="00950E27">
        <w:rPr>
          <w:rFonts w:ascii="Arial" w:hAnsi="Arial" w:cs="Arial"/>
          <w:i/>
          <w:sz w:val="22"/>
          <w:szCs w:val="22"/>
        </w:rPr>
        <w:t>(3) Any person exempted in terms of section 39 (2) (a) of the Minerals Act before this Act took effect and whose exemption does not otherwise remain in force in terms of this Act must apply for an exemption in terms of this Act within one year from the date on which this Act took effect, otherwise the exemption lapses.</w:t>
      </w:r>
    </w:p>
    <w:p w14:paraId="1A680960" w14:textId="77777777" w:rsidR="00D1249C" w:rsidRDefault="00950E27" w:rsidP="00D1249C">
      <w:pPr>
        <w:pStyle w:val="blockquote-x"/>
        <w:shd w:val="clear" w:color="auto" w:fill="FFFFFF"/>
        <w:spacing w:before="0" w:beforeAutospacing="0" w:after="0" w:afterAutospacing="0" w:line="360" w:lineRule="auto"/>
        <w:ind w:left="1440" w:right="-46"/>
        <w:jc w:val="both"/>
        <w:rPr>
          <w:rFonts w:ascii="Arial" w:hAnsi="Arial" w:cs="Arial"/>
          <w:i/>
          <w:sz w:val="22"/>
          <w:szCs w:val="22"/>
          <w:u w:val="single"/>
        </w:rPr>
      </w:pPr>
      <w:r w:rsidRPr="00950E27">
        <w:rPr>
          <w:rFonts w:ascii="Arial" w:hAnsi="Arial" w:cs="Arial"/>
          <w:i/>
          <w:sz w:val="22"/>
          <w:szCs w:val="22"/>
        </w:rPr>
        <w:t>(4</w:t>
      </w:r>
      <w:r w:rsidRPr="00950E27">
        <w:rPr>
          <w:rFonts w:ascii="Arial" w:hAnsi="Arial" w:cs="Arial"/>
          <w:i/>
          <w:sz w:val="22"/>
          <w:szCs w:val="22"/>
          <w:u w:val="single"/>
        </w:rPr>
        <w:t xml:space="preserve">) If the holder of an old order prospecting right or old order right mining right or the owner of previous works ceases the relevant prospecting or mining operation works, the holder must apply for a closure certificate in terms of section 43.                                                               </w:t>
      </w:r>
    </w:p>
    <w:p w14:paraId="088C39A8" w14:textId="18D40F9F" w:rsidR="00950E27" w:rsidRPr="00950E27" w:rsidRDefault="00950E27" w:rsidP="00D1249C">
      <w:pPr>
        <w:pStyle w:val="blockquote-x"/>
        <w:shd w:val="clear" w:color="auto" w:fill="FFFFFF"/>
        <w:spacing w:before="0" w:beforeAutospacing="0" w:after="0" w:afterAutospacing="0" w:line="360" w:lineRule="auto"/>
        <w:ind w:left="1440" w:right="-46"/>
        <w:jc w:val="both"/>
        <w:rPr>
          <w:rFonts w:ascii="Arial" w:hAnsi="Arial" w:cs="Arial"/>
          <w:i/>
          <w:sz w:val="22"/>
          <w:szCs w:val="22"/>
        </w:rPr>
      </w:pPr>
      <w:r w:rsidRPr="00950E27">
        <w:rPr>
          <w:rFonts w:ascii="Arial" w:hAnsi="Arial" w:cs="Arial"/>
          <w:i/>
          <w:sz w:val="22"/>
          <w:szCs w:val="22"/>
          <w:u w:val="single"/>
        </w:rPr>
        <w:t>[Subitem (4) substituted by s. 86 (a) of Act 49 of 2008 (wef 1 May 2004).]</w:t>
      </w:r>
    </w:p>
    <w:p w14:paraId="4C074263" w14:textId="77777777" w:rsidR="00950E27" w:rsidRDefault="00950E27" w:rsidP="00950E27">
      <w:pPr>
        <w:pStyle w:val="blockquote-x"/>
        <w:shd w:val="clear" w:color="auto" w:fill="FFFFFF"/>
        <w:spacing w:before="0" w:beforeAutospacing="0" w:after="0" w:afterAutospacing="0" w:line="360" w:lineRule="auto"/>
        <w:ind w:left="720" w:right="-46"/>
        <w:jc w:val="both"/>
        <w:rPr>
          <w:rFonts w:ascii="Arial" w:hAnsi="Arial" w:cs="Arial"/>
          <w:i/>
          <w:sz w:val="22"/>
          <w:szCs w:val="22"/>
        </w:rPr>
      </w:pPr>
    </w:p>
    <w:p w14:paraId="63291834" w14:textId="015243FF" w:rsidR="00950E27" w:rsidRPr="00950E27" w:rsidRDefault="00950E27" w:rsidP="00D1249C">
      <w:pPr>
        <w:pStyle w:val="blockquote-x"/>
        <w:shd w:val="clear" w:color="auto" w:fill="FFFFFF"/>
        <w:spacing w:before="0" w:beforeAutospacing="0" w:after="0" w:afterAutospacing="0" w:line="360" w:lineRule="auto"/>
        <w:ind w:left="1440" w:right="-46"/>
        <w:jc w:val="both"/>
        <w:rPr>
          <w:rFonts w:ascii="Arial" w:hAnsi="Arial" w:cs="Arial"/>
          <w:i/>
          <w:sz w:val="22"/>
          <w:szCs w:val="22"/>
        </w:rPr>
      </w:pPr>
      <w:r w:rsidRPr="00950E27">
        <w:rPr>
          <w:rFonts w:ascii="Arial" w:hAnsi="Arial" w:cs="Arial"/>
          <w:i/>
          <w:sz w:val="22"/>
          <w:szCs w:val="22"/>
        </w:rPr>
        <w:t xml:space="preserve">(5) Sections 38, 41 (2) and 45 apply to a holder of an old order prospecting right or old order mining right. [Subitem (5) substituted by s. 86 (a) of Act 49 of 2008 (wef 1 May 2004).] </w:t>
      </w:r>
    </w:p>
    <w:p w14:paraId="74250B00" w14:textId="77777777" w:rsidR="00950E27" w:rsidRDefault="00950E27" w:rsidP="00950E27">
      <w:pPr>
        <w:pStyle w:val="blockquote-x"/>
        <w:shd w:val="clear" w:color="auto" w:fill="FFFFFF"/>
        <w:spacing w:before="0" w:beforeAutospacing="0" w:after="0" w:afterAutospacing="0" w:line="360" w:lineRule="auto"/>
        <w:ind w:left="720" w:right="-46"/>
        <w:jc w:val="both"/>
        <w:rPr>
          <w:rFonts w:ascii="Arial" w:hAnsi="Arial" w:cs="Arial"/>
          <w:i/>
          <w:sz w:val="22"/>
          <w:szCs w:val="22"/>
        </w:rPr>
      </w:pPr>
    </w:p>
    <w:p w14:paraId="10B7A624" w14:textId="51AB8112" w:rsidR="00950E27" w:rsidRDefault="00950E27" w:rsidP="00ED0018">
      <w:pPr>
        <w:pStyle w:val="blockquote-x"/>
        <w:shd w:val="clear" w:color="auto" w:fill="FFFFFF"/>
        <w:spacing w:before="0" w:beforeAutospacing="0" w:after="0" w:afterAutospacing="0" w:line="360" w:lineRule="auto"/>
        <w:ind w:left="1440" w:right="-46"/>
        <w:jc w:val="both"/>
        <w:rPr>
          <w:rFonts w:ascii="Arial" w:hAnsi="Arial" w:cs="Arial"/>
          <w:sz w:val="22"/>
          <w:szCs w:val="22"/>
        </w:rPr>
      </w:pPr>
      <w:r w:rsidRPr="00950E27">
        <w:rPr>
          <w:rFonts w:ascii="Arial" w:hAnsi="Arial" w:cs="Arial"/>
          <w:i/>
          <w:sz w:val="22"/>
          <w:szCs w:val="22"/>
        </w:rPr>
        <w:t xml:space="preserve">(6) If no application for a certificate contemplated in section 12 of the Minerals Act has been made, the holder referred to in that section, who remains liable for complying with the relevant provision of that Act, must apply for a closure certificate in terms of section </w:t>
      </w:r>
      <w:r w:rsidRPr="00950E27">
        <w:rPr>
          <w:rFonts w:ascii="Arial" w:hAnsi="Arial" w:cs="Arial"/>
          <w:sz w:val="22"/>
          <w:szCs w:val="22"/>
        </w:rPr>
        <w:t>43</w:t>
      </w:r>
    </w:p>
    <w:p w14:paraId="00B507B3" w14:textId="77777777" w:rsidR="00950E27" w:rsidRPr="00950E27" w:rsidRDefault="00950E27" w:rsidP="00950E27">
      <w:pPr>
        <w:pStyle w:val="blockquote-x"/>
        <w:shd w:val="clear" w:color="auto" w:fill="FFFFFF"/>
        <w:spacing w:before="0" w:beforeAutospacing="0" w:after="0" w:afterAutospacing="0" w:line="360" w:lineRule="auto"/>
        <w:ind w:left="720" w:right="-46"/>
        <w:jc w:val="both"/>
        <w:rPr>
          <w:rFonts w:ascii="Arial" w:hAnsi="Arial" w:cs="Arial"/>
          <w:sz w:val="22"/>
          <w:szCs w:val="22"/>
        </w:rPr>
      </w:pPr>
    </w:p>
    <w:p w14:paraId="15127EE6" w14:textId="28CBCA18" w:rsidR="00950E27" w:rsidRPr="00D1249C" w:rsidRDefault="00287CC0" w:rsidP="00950E27">
      <w:pPr>
        <w:pStyle w:val="blockquote-x"/>
        <w:shd w:val="clear" w:color="auto" w:fill="FFFFFF"/>
        <w:spacing w:before="0" w:beforeAutospacing="0" w:after="0" w:afterAutospacing="0" w:line="360" w:lineRule="auto"/>
        <w:ind w:right="-46"/>
        <w:jc w:val="both"/>
        <w:rPr>
          <w:rFonts w:ascii="Arial" w:hAnsi="Arial" w:cs="Arial"/>
        </w:rPr>
      </w:pPr>
      <w:r>
        <w:rPr>
          <w:rFonts w:ascii="Arial" w:hAnsi="Arial" w:cs="Arial"/>
        </w:rPr>
        <w:t>[125</w:t>
      </w:r>
      <w:r w:rsidR="00D30E81">
        <w:rPr>
          <w:rFonts w:ascii="Arial" w:hAnsi="Arial" w:cs="Arial"/>
        </w:rPr>
        <w:t>]</w:t>
      </w:r>
      <w:r w:rsidR="00950E27" w:rsidRPr="00D1249C">
        <w:rPr>
          <w:rFonts w:ascii="Arial" w:hAnsi="Arial" w:cs="Arial"/>
        </w:rPr>
        <w:tab/>
        <w:t xml:space="preserve">It is noteworthy that in terms of item 10 (4), the holder of an old mining right is required to apply for a closure certificate in terms of s 43 </w:t>
      </w:r>
      <w:r w:rsidR="001F1E55">
        <w:rPr>
          <w:rFonts w:ascii="Arial" w:hAnsi="Arial" w:cs="Arial"/>
        </w:rPr>
        <w:t xml:space="preserve">(amended in 2008) </w:t>
      </w:r>
      <w:r w:rsidR="00950E27" w:rsidRPr="00D1249C">
        <w:rPr>
          <w:rFonts w:ascii="Arial" w:hAnsi="Arial" w:cs="Arial"/>
        </w:rPr>
        <w:t xml:space="preserve">when he </w:t>
      </w:r>
      <w:r w:rsidR="00950E27" w:rsidRPr="00D1249C">
        <w:rPr>
          <w:rFonts w:ascii="Arial" w:hAnsi="Arial" w:cs="Arial"/>
        </w:rPr>
        <w:lastRenderedPageBreak/>
        <w:t>ceases the mining operation works</w:t>
      </w:r>
      <w:r w:rsidR="003C57F5">
        <w:rPr>
          <w:rFonts w:ascii="Arial" w:hAnsi="Arial" w:cs="Arial"/>
        </w:rPr>
        <w:t xml:space="preserve">. </w:t>
      </w:r>
      <w:r w:rsidR="00583891">
        <w:rPr>
          <w:rFonts w:ascii="Arial" w:hAnsi="Arial" w:cs="Arial"/>
        </w:rPr>
        <w:t xml:space="preserve">Section 43 </w:t>
      </w:r>
      <w:r w:rsidR="00AA68C6">
        <w:rPr>
          <w:rFonts w:ascii="Arial" w:hAnsi="Arial" w:cs="Arial"/>
        </w:rPr>
        <w:t xml:space="preserve">makes provision </w:t>
      </w:r>
      <w:r w:rsidR="00583891">
        <w:rPr>
          <w:rFonts w:ascii="Arial" w:hAnsi="Arial" w:cs="Arial"/>
        </w:rPr>
        <w:t xml:space="preserve">for previous holders of an old older right, owners of works that have ceased to exist </w:t>
      </w:r>
      <w:r w:rsidR="00AA68C6">
        <w:rPr>
          <w:rFonts w:ascii="Arial" w:hAnsi="Arial" w:cs="Arial"/>
        </w:rPr>
        <w:t xml:space="preserve">to </w:t>
      </w:r>
      <w:r w:rsidR="00583891">
        <w:rPr>
          <w:rFonts w:ascii="Arial" w:hAnsi="Arial" w:cs="Arial"/>
        </w:rPr>
        <w:t xml:space="preserve">remain responsible for environmental liabilities. </w:t>
      </w:r>
      <w:r w:rsidR="00D1249C" w:rsidRPr="00D1249C">
        <w:rPr>
          <w:rFonts w:ascii="Arial" w:hAnsi="Arial" w:cs="Arial"/>
        </w:rPr>
        <w:t xml:space="preserve">The holder </w:t>
      </w:r>
      <w:r w:rsidR="00950E27" w:rsidRPr="00D1249C">
        <w:rPr>
          <w:rFonts w:ascii="Arial" w:hAnsi="Arial" w:cs="Arial"/>
        </w:rPr>
        <w:t xml:space="preserve">therefore cannot be expected to apply in terms of </w:t>
      </w:r>
      <w:r w:rsidR="00AA68C6">
        <w:rPr>
          <w:rFonts w:ascii="Arial" w:hAnsi="Arial" w:cs="Arial"/>
        </w:rPr>
        <w:t>the existing s</w:t>
      </w:r>
      <w:r w:rsidR="00950E27" w:rsidRPr="00D1249C">
        <w:rPr>
          <w:rFonts w:ascii="Arial" w:hAnsi="Arial" w:cs="Arial"/>
        </w:rPr>
        <w:t xml:space="preserve"> 43 for a closure certificate but have his application considered in terms of a different regime. Clearly the Application will be considered in terms of the </w:t>
      </w:r>
      <w:r w:rsidR="003C57F5">
        <w:rPr>
          <w:rFonts w:ascii="Arial" w:hAnsi="Arial" w:cs="Arial"/>
        </w:rPr>
        <w:t xml:space="preserve">applicable law </w:t>
      </w:r>
      <w:r w:rsidR="00837778">
        <w:rPr>
          <w:rFonts w:ascii="Arial" w:hAnsi="Arial" w:cs="Arial"/>
        </w:rPr>
        <w:t xml:space="preserve">that is </w:t>
      </w:r>
      <w:r w:rsidR="00FA25C1">
        <w:rPr>
          <w:rFonts w:ascii="Arial" w:hAnsi="Arial" w:cs="Arial"/>
        </w:rPr>
        <w:t>consistent with its purpose.</w:t>
      </w:r>
      <w:r w:rsidR="00950E27" w:rsidRPr="00D1249C">
        <w:rPr>
          <w:rFonts w:ascii="Arial" w:hAnsi="Arial" w:cs="Arial"/>
        </w:rPr>
        <w:t xml:space="preserve"> And purposively so, seeing how </w:t>
      </w:r>
      <w:r w:rsidR="00AA68C6">
        <w:rPr>
          <w:rFonts w:ascii="Arial" w:hAnsi="Arial" w:cs="Arial"/>
        </w:rPr>
        <w:t xml:space="preserve">crucial </w:t>
      </w:r>
      <w:r w:rsidR="00950E27" w:rsidRPr="00D1249C">
        <w:rPr>
          <w:rFonts w:ascii="Arial" w:hAnsi="Arial" w:cs="Arial"/>
        </w:rPr>
        <w:t xml:space="preserve">it is that the holder fulfil his obligations in relation to rectifying the </w:t>
      </w:r>
      <w:r w:rsidR="00D1249C" w:rsidRPr="00D1249C">
        <w:rPr>
          <w:rFonts w:ascii="Arial" w:hAnsi="Arial" w:cs="Arial"/>
        </w:rPr>
        <w:t xml:space="preserve">adverse </w:t>
      </w:r>
      <w:r w:rsidR="00950E27" w:rsidRPr="00D1249C">
        <w:rPr>
          <w:rFonts w:ascii="Arial" w:hAnsi="Arial" w:cs="Arial"/>
        </w:rPr>
        <w:t>impact to the environment</w:t>
      </w:r>
      <w:r w:rsidR="00FA25C1">
        <w:rPr>
          <w:rFonts w:ascii="Arial" w:hAnsi="Arial" w:cs="Arial"/>
        </w:rPr>
        <w:t xml:space="preserve"> and the land c</w:t>
      </w:r>
      <w:r w:rsidR="00950E27" w:rsidRPr="00D1249C">
        <w:rPr>
          <w:rFonts w:ascii="Arial" w:hAnsi="Arial" w:cs="Arial"/>
        </w:rPr>
        <w:t xml:space="preserve">aused by the </w:t>
      </w:r>
      <w:r w:rsidR="00D1249C">
        <w:rPr>
          <w:rFonts w:ascii="Arial" w:hAnsi="Arial" w:cs="Arial"/>
        </w:rPr>
        <w:t xml:space="preserve">mining </w:t>
      </w:r>
      <w:r w:rsidR="00950E27" w:rsidRPr="00D1249C">
        <w:rPr>
          <w:rFonts w:ascii="Arial" w:hAnsi="Arial" w:cs="Arial"/>
        </w:rPr>
        <w:t xml:space="preserve">operations, </w:t>
      </w:r>
      <w:r w:rsidR="00D1249C">
        <w:rPr>
          <w:rFonts w:ascii="Arial" w:hAnsi="Arial" w:cs="Arial"/>
        </w:rPr>
        <w:t>especially as</w:t>
      </w:r>
      <w:r w:rsidR="00950E27" w:rsidRPr="00D1249C">
        <w:rPr>
          <w:rFonts w:ascii="Arial" w:hAnsi="Arial" w:cs="Arial"/>
        </w:rPr>
        <w:t xml:space="preserve"> such liability is not extinguished by the lapse of the right or ce</w:t>
      </w:r>
      <w:r w:rsidR="00D1249C" w:rsidRPr="00D1249C">
        <w:rPr>
          <w:rFonts w:ascii="Arial" w:hAnsi="Arial" w:cs="Arial"/>
        </w:rPr>
        <w:t>s</w:t>
      </w:r>
      <w:r w:rsidR="00950E27" w:rsidRPr="00D1249C">
        <w:rPr>
          <w:rFonts w:ascii="Arial" w:hAnsi="Arial" w:cs="Arial"/>
        </w:rPr>
        <w:t xml:space="preserve">sation of operations. </w:t>
      </w:r>
      <w:r w:rsidR="00D1249C" w:rsidRPr="00D1249C">
        <w:rPr>
          <w:rFonts w:ascii="Arial" w:hAnsi="Arial" w:cs="Arial"/>
        </w:rPr>
        <w:t>Moreover</w:t>
      </w:r>
      <w:r w:rsidR="00D1249C">
        <w:rPr>
          <w:rFonts w:ascii="Arial" w:hAnsi="Arial" w:cs="Arial"/>
        </w:rPr>
        <w:t>,</w:t>
      </w:r>
      <w:r w:rsidR="00D1249C" w:rsidRPr="00D1249C">
        <w:rPr>
          <w:rFonts w:ascii="Arial" w:hAnsi="Arial" w:cs="Arial"/>
        </w:rPr>
        <w:t xml:space="preserve"> the Minister is empowered and not prevented from directing the amendment of an environmental management programme </w:t>
      </w:r>
      <w:r w:rsidR="00D1249C">
        <w:rPr>
          <w:rFonts w:ascii="Arial" w:hAnsi="Arial" w:cs="Arial"/>
        </w:rPr>
        <w:t xml:space="preserve">that has so remained </w:t>
      </w:r>
      <w:r w:rsidR="00D1249C" w:rsidRPr="00D1249C">
        <w:rPr>
          <w:rFonts w:ascii="Arial" w:hAnsi="Arial" w:cs="Arial"/>
        </w:rPr>
        <w:t>per s 39 of the Mineral Act</w:t>
      </w:r>
      <w:r w:rsidR="00D1249C">
        <w:rPr>
          <w:rFonts w:ascii="Arial" w:hAnsi="Arial" w:cs="Arial"/>
        </w:rPr>
        <w:t>,</w:t>
      </w:r>
      <w:r w:rsidR="00D1249C" w:rsidRPr="00D1249C">
        <w:rPr>
          <w:rFonts w:ascii="Arial" w:hAnsi="Arial" w:cs="Arial"/>
        </w:rPr>
        <w:t xml:space="preserve"> in order to bring it into line with the requirements of the MPRDA</w:t>
      </w:r>
      <w:r w:rsidR="00837778">
        <w:rPr>
          <w:rFonts w:ascii="Arial" w:hAnsi="Arial" w:cs="Arial"/>
        </w:rPr>
        <w:t xml:space="preserve"> of NEMA</w:t>
      </w:r>
      <w:r w:rsidR="00D1249C">
        <w:rPr>
          <w:rFonts w:ascii="Arial" w:hAnsi="Arial" w:cs="Arial"/>
        </w:rPr>
        <w:t>.</w:t>
      </w:r>
      <w:r w:rsidR="00EC0E0D">
        <w:rPr>
          <w:rFonts w:ascii="Arial" w:hAnsi="Arial" w:cs="Arial"/>
        </w:rPr>
        <w:t xml:space="preserve"> </w:t>
      </w:r>
      <w:r w:rsidR="00D1249C">
        <w:rPr>
          <w:rFonts w:ascii="Arial" w:hAnsi="Arial" w:cs="Arial"/>
        </w:rPr>
        <w:t xml:space="preserve">The </w:t>
      </w:r>
      <w:r w:rsidR="00EC0E0D">
        <w:rPr>
          <w:rFonts w:ascii="Arial" w:hAnsi="Arial" w:cs="Arial"/>
        </w:rPr>
        <w:t xml:space="preserve">fact that the </w:t>
      </w:r>
      <w:r w:rsidR="00D1249C">
        <w:rPr>
          <w:rFonts w:ascii="Arial" w:hAnsi="Arial" w:cs="Arial"/>
        </w:rPr>
        <w:t xml:space="preserve">closure application was in 2009 </w:t>
      </w:r>
      <w:r w:rsidR="00EC0E0D">
        <w:rPr>
          <w:rFonts w:ascii="Arial" w:hAnsi="Arial" w:cs="Arial"/>
        </w:rPr>
        <w:t>is of no</w:t>
      </w:r>
      <w:r w:rsidR="00D1249C">
        <w:rPr>
          <w:rFonts w:ascii="Arial" w:hAnsi="Arial" w:cs="Arial"/>
        </w:rPr>
        <w:t xml:space="preserve"> assistance to DBCM.</w:t>
      </w:r>
      <w:r w:rsidR="00D1249C" w:rsidRPr="00D1249C">
        <w:rPr>
          <w:rFonts w:ascii="Arial" w:hAnsi="Arial" w:cs="Arial"/>
        </w:rPr>
        <w:t xml:space="preserve"> </w:t>
      </w:r>
      <w:r w:rsidR="00950E27" w:rsidRPr="00D1249C">
        <w:rPr>
          <w:rFonts w:ascii="Arial" w:hAnsi="Arial" w:cs="Arial"/>
        </w:rPr>
        <w:t xml:space="preserve">  </w:t>
      </w:r>
    </w:p>
    <w:p w14:paraId="2539BA5E" w14:textId="77777777" w:rsidR="00950E27" w:rsidRPr="00950E27" w:rsidRDefault="00950E27" w:rsidP="00950E27">
      <w:pPr>
        <w:pStyle w:val="blockquote-x"/>
        <w:shd w:val="clear" w:color="auto" w:fill="FFFFFF"/>
        <w:spacing w:before="0" w:beforeAutospacing="0" w:after="0" w:afterAutospacing="0" w:line="360" w:lineRule="auto"/>
        <w:ind w:right="-46"/>
        <w:jc w:val="both"/>
        <w:rPr>
          <w:rFonts w:ascii="Arial" w:hAnsi="Arial" w:cs="Arial"/>
          <w:i/>
          <w:iCs/>
          <w:color w:val="000000"/>
          <w:sz w:val="22"/>
          <w:szCs w:val="22"/>
        </w:rPr>
      </w:pPr>
    </w:p>
    <w:p w14:paraId="450B6ABF" w14:textId="662148FA" w:rsidR="00087F2B" w:rsidRPr="00DB4D3C" w:rsidRDefault="00950E27" w:rsidP="00950E27">
      <w:pPr>
        <w:pStyle w:val="blockquote-x"/>
        <w:shd w:val="clear" w:color="auto" w:fill="FFFFFF"/>
        <w:spacing w:before="0" w:beforeAutospacing="0" w:after="0" w:afterAutospacing="0" w:line="360" w:lineRule="auto"/>
        <w:ind w:right="-46"/>
        <w:jc w:val="both"/>
        <w:rPr>
          <w:rFonts w:ascii="Arial" w:hAnsi="Arial" w:cs="Arial"/>
          <w:i/>
          <w:iCs/>
          <w:color w:val="000000"/>
          <w:sz w:val="22"/>
          <w:szCs w:val="22"/>
        </w:rPr>
      </w:pPr>
      <w:r>
        <w:rPr>
          <w:rFonts w:ascii="Arial" w:hAnsi="Arial" w:cs="Arial"/>
          <w:color w:val="000000"/>
        </w:rPr>
        <w:t>[</w:t>
      </w:r>
      <w:r w:rsidR="00287CC0">
        <w:rPr>
          <w:rFonts w:ascii="Arial" w:hAnsi="Arial" w:cs="Arial"/>
          <w:color w:val="000000"/>
        </w:rPr>
        <w:t>126</w:t>
      </w:r>
      <w:r>
        <w:rPr>
          <w:rFonts w:ascii="Arial" w:hAnsi="Arial" w:cs="Arial"/>
          <w:color w:val="000000"/>
        </w:rPr>
        <w:t>]</w:t>
      </w:r>
      <w:r>
        <w:rPr>
          <w:rFonts w:ascii="Arial" w:hAnsi="Arial" w:cs="Arial"/>
          <w:color w:val="000000"/>
        </w:rPr>
        <w:tab/>
      </w:r>
      <w:r w:rsidR="0055453B" w:rsidRPr="00A32AB1">
        <w:rPr>
          <w:rFonts w:ascii="Arial" w:hAnsi="Arial" w:cs="Arial"/>
          <w:color w:val="000000"/>
        </w:rPr>
        <w:t>The court in</w:t>
      </w:r>
      <w:r w:rsidR="0055453B" w:rsidRPr="00A32AB1">
        <w:rPr>
          <w:rFonts w:ascii="Arial" w:hAnsi="Arial" w:cs="Arial"/>
        </w:rPr>
        <w:t xml:space="preserve"> </w:t>
      </w:r>
      <w:bookmarkStart w:id="9" w:name="_Hlk141607114"/>
      <w:r w:rsidR="0055453B" w:rsidRPr="00A32AB1">
        <w:rPr>
          <w:rFonts w:ascii="Arial" w:hAnsi="Arial" w:cs="Arial"/>
          <w:i/>
          <w:iCs/>
          <w:color w:val="000000"/>
        </w:rPr>
        <w:t>Ezulwini Mining Company (Pty) Ltd</w:t>
      </w:r>
      <w:bookmarkEnd w:id="9"/>
      <w:r w:rsidR="0055453B" w:rsidRPr="00A32AB1">
        <w:rPr>
          <w:rFonts w:ascii="Arial" w:hAnsi="Arial" w:cs="Arial"/>
          <w:i/>
          <w:iCs/>
          <w:color w:val="000000"/>
        </w:rPr>
        <w:t xml:space="preserve"> v Minister of Mineral Resources and Energy and Others </w:t>
      </w:r>
      <w:r w:rsidR="0055453B" w:rsidRPr="00A32AB1">
        <w:rPr>
          <w:rFonts w:ascii="Arial" w:hAnsi="Arial" w:cs="Arial"/>
          <w:color w:val="000000"/>
        </w:rPr>
        <w:t>held that</w:t>
      </w:r>
      <w:r>
        <w:rPr>
          <w:rFonts w:ascii="Arial" w:hAnsi="Arial" w:cs="Arial"/>
          <w:color w:val="000000"/>
        </w:rPr>
        <w:t>-</w:t>
      </w:r>
    </w:p>
    <w:p w14:paraId="06972217" w14:textId="77777777" w:rsidR="00950E27" w:rsidRDefault="0055453B" w:rsidP="00DB4D3C">
      <w:pPr>
        <w:pStyle w:val="blockquote-x"/>
        <w:shd w:val="clear" w:color="auto" w:fill="FFFFFF"/>
        <w:spacing w:before="0" w:beforeAutospacing="0" w:after="0" w:afterAutospacing="0" w:line="360" w:lineRule="auto"/>
        <w:ind w:left="284" w:right="-46"/>
        <w:jc w:val="both"/>
        <w:rPr>
          <w:rFonts w:ascii="Arial" w:hAnsi="Arial" w:cs="Arial"/>
          <w:color w:val="000000"/>
        </w:rPr>
      </w:pPr>
      <w:r w:rsidRPr="00A32AB1">
        <w:rPr>
          <w:rFonts w:ascii="Arial" w:hAnsi="Arial" w:cs="Arial"/>
          <w:color w:val="000000"/>
        </w:rPr>
        <w:t xml:space="preserve"> </w:t>
      </w:r>
    </w:p>
    <w:p w14:paraId="44CE7C7D" w14:textId="236C2368" w:rsidR="0055453B" w:rsidRDefault="0055453B" w:rsidP="00950E27">
      <w:pPr>
        <w:pStyle w:val="blockquote-x"/>
        <w:shd w:val="clear" w:color="auto" w:fill="FFFFFF"/>
        <w:spacing w:before="0" w:beforeAutospacing="0" w:after="0" w:afterAutospacing="0" w:line="360" w:lineRule="auto"/>
        <w:ind w:left="1440" w:right="-46"/>
        <w:jc w:val="both"/>
        <w:rPr>
          <w:rFonts w:ascii="Arial" w:hAnsi="Arial" w:cs="Arial"/>
          <w:i/>
          <w:iCs/>
          <w:color w:val="000000"/>
          <w:sz w:val="22"/>
          <w:szCs w:val="22"/>
        </w:rPr>
      </w:pPr>
      <w:r w:rsidRPr="00A32AB1">
        <w:rPr>
          <w:rFonts w:ascii="Arial" w:hAnsi="Arial" w:cs="Arial"/>
          <w:color w:val="000000"/>
        </w:rPr>
        <w:t>“</w:t>
      </w:r>
      <w:r w:rsidRPr="00A32AB1">
        <w:rPr>
          <w:rFonts w:ascii="Arial" w:hAnsi="Arial" w:cs="Arial"/>
          <w:i/>
          <w:iCs/>
          <w:color w:val="000000"/>
          <w:sz w:val="22"/>
          <w:szCs w:val="22"/>
        </w:rPr>
        <w:t>The legislative purpose is to ensure that environmental impacts, whether positive or negative, are identified, assessed, and managed. In the case of mining activity this includes the impacts and consequences of all aspects of mining</w:t>
      </w:r>
      <w:r w:rsidRPr="00A32AB1">
        <w:rPr>
          <w:rFonts w:ascii="Arial" w:hAnsi="Arial" w:cs="Arial"/>
        </w:rPr>
        <w:t xml:space="preserve"> </w:t>
      </w:r>
      <w:r w:rsidRPr="00A32AB1">
        <w:rPr>
          <w:rFonts w:ascii="Arial" w:hAnsi="Arial" w:cs="Arial"/>
          <w:i/>
          <w:iCs/>
          <w:color w:val="000000"/>
          <w:sz w:val="22"/>
          <w:szCs w:val="22"/>
        </w:rPr>
        <w:t>operations. It is to achieve this purpose that the cessation of mining operations and the closure of a mine is extensively regulated”.</w:t>
      </w:r>
      <w:r w:rsidRPr="00A32AB1">
        <w:rPr>
          <w:rStyle w:val="FootnoteReference"/>
          <w:rFonts w:ascii="Arial" w:hAnsi="Arial" w:cs="Arial"/>
          <w:i/>
          <w:iCs/>
          <w:color w:val="000000"/>
          <w:sz w:val="22"/>
          <w:szCs w:val="22"/>
        </w:rPr>
        <w:footnoteReference w:id="33"/>
      </w:r>
      <w:r w:rsidRPr="00A32AB1">
        <w:rPr>
          <w:rFonts w:ascii="Arial" w:hAnsi="Arial" w:cs="Arial"/>
          <w:i/>
          <w:iCs/>
          <w:color w:val="000000"/>
          <w:sz w:val="22"/>
          <w:szCs w:val="22"/>
        </w:rPr>
        <w:t xml:space="preserve"> The word "responsible" in its ordinary meaning means "having an obligation to do something", or "having control over something or someone". It also means, being the cause of something, or having to account for or be answerable for something or to someone. It covers a broader ambit than the word "liable". The latter, in its ordinary sense, connotes that which is obligated</w:t>
      </w:r>
      <w:r w:rsidRPr="00A32AB1">
        <w:rPr>
          <w:rFonts w:ascii="Arial" w:eastAsiaTheme="minorHAnsi" w:hAnsi="Arial" w:cs="Arial"/>
          <w:color w:val="000000"/>
          <w:kern w:val="2"/>
          <w:sz w:val="18"/>
          <w:szCs w:val="18"/>
          <w:shd w:val="clear" w:color="auto" w:fill="FFFFFF"/>
          <w:lang w:eastAsia="en-US"/>
          <w14:ligatures w14:val="standardContextual"/>
        </w:rPr>
        <w:t xml:space="preserve"> </w:t>
      </w:r>
      <w:r w:rsidRPr="00A32AB1">
        <w:rPr>
          <w:rFonts w:ascii="Arial" w:hAnsi="Arial" w:cs="Arial"/>
          <w:i/>
          <w:iCs/>
          <w:color w:val="000000"/>
          <w:sz w:val="22"/>
          <w:szCs w:val="22"/>
        </w:rPr>
        <w:t>by law</w:t>
      </w:r>
      <w:r w:rsidR="00983402" w:rsidRPr="00A32AB1">
        <w:rPr>
          <w:rFonts w:ascii="Arial" w:hAnsi="Arial" w:cs="Arial"/>
          <w:i/>
          <w:iCs/>
          <w:color w:val="000000"/>
          <w:sz w:val="22"/>
          <w:szCs w:val="22"/>
        </w:rPr>
        <w:t>”</w:t>
      </w:r>
      <w:r w:rsidRPr="00A32AB1">
        <w:rPr>
          <w:rFonts w:ascii="Arial" w:hAnsi="Arial" w:cs="Arial"/>
          <w:i/>
          <w:iCs/>
          <w:color w:val="000000"/>
          <w:sz w:val="22"/>
          <w:szCs w:val="22"/>
        </w:rPr>
        <w:t>.</w:t>
      </w:r>
      <w:r w:rsidR="00983402" w:rsidRPr="00A32AB1">
        <w:rPr>
          <w:rStyle w:val="FootnoteReference"/>
          <w:rFonts w:ascii="Arial" w:hAnsi="Arial" w:cs="Arial"/>
          <w:i/>
          <w:iCs/>
          <w:color w:val="000000"/>
          <w:sz w:val="22"/>
          <w:szCs w:val="22"/>
        </w:rPr>
        <w:footnoteReference w:id="34"/>
      </w:r>
    </w:p>
    <w:p w14:paraId="642659F7" w14:textId="77777777" w:rsidR="00A32AB1" w:rsidRPr="00A32AB1" w:rsidRDefault="00A32AB1" w:rsidP="00A32AB1">
      <w:pPr>
        <w:pStyle w:val="blockquote-x"/>
        <w:shd w:val="clear" w:color="auto" w:fill="FFFFFF"/>
        <w:spacing w:before="0" w:beforeAutospacing="0" w:after="0" w:afterAutospacing="0" w:line="360" w:lineRule="auto"/>
        <w:ind w:right="-46"/>
        <w:jc w:val="both"/>
        <w:rPr>
          <w:rFonts w:ascii="Arial" w:hAnsi="Arial" w:cs="Arial"/>
          <w:i/>
          <w:iCs/>
          <w:color w:val="000000"/>
          <w:sz w:val="22"/>
          <w:szCs w:val="22"/>
        </w:rPr>
      </w:pPr>
    </w:p>
    <w:p w14:paraId="165220F2" w14:textId="5D6C4199" w:rsidR="0055453B" w:rsidRDefault="00950E27" w:rsidP="00950E27">
      <w:pPr>
        <w:pStyle w:val="normaltext"/>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287CC0">
        <w:rPr>
          <w:rFonts w:ascii="Arial" w:hAnsi="Arial" w:cs="Arial"/>
          <w:color w:val="000000"/>
        </w:rPr>
        <w:t>127</w:t>
      </w:r>
      <w:r>
        <w:rPr>
          <w:rFonts w:ascii="Arial" w:hAnsi="Arial" w:cs="Arial"/>
          <w:color w:val="000000"/>
        </w:rPr>
        <w:t>]</w:t>
      </w:r>
      <w:r>
        <w:rPr>
          <w:rFonts w:ascii="Arial" w:hAnsi="Arial" w:cs="Arial"/>
          <w:color w:val="000000"/>
        </w:rPr>
        <w:tab/>
      </w:r>
      <w:r w:rsidR="0055453B" w:rsidRPr="00A32AB1">
        <w:rPr>
          <w:rFonts w:ascii="Arial" w:hAnsi="Arial" w:cs="Arial"/>
          <w:color w:val="000000"/>
        </w:rPr>
        <w:t>Section 24R of NEMA has as its heading "Mine closure on environmental authorisation". It provides:</w:t>
      </w:r>
    </w:p>
    <w:p w14:paraId="20E14061" w14:textId="77777777" w:rsidR="00A32AB1" w:rsidRPr="00A32AB1" w:rsidRDefault="00A32AB1" w:rsidP="00A32AB1">
      <w:pPr>
        <w:pStyle w:val="normaltext"/>
        <w:shd w:val="clear" w:color="auto" w:fill="FFFFFF"/>
        <w:spacing w:before="0" w:beforeAutospacing="0" w:after="0" w:afterAutospacing="0" w:line="360" w:lineRule="auto"/>
        <w:jc w:val="both"/>
        <w:rPr>
          <w:rFonts w:ascii="Arial" w:hAnsi="Arial" w:cs="Arial"/>
          <w:color w:val="000000"/>
        </w:rPr>
      </w:pPr>
    </w:p>
    <w:p w14:paraId="4B008E1A" w14:textId="7F682FDA" w:rsidR="0055453B" w:rsidRDefault="00765E62" w:rsidP="00765E62">
      <w:pPr>
        <w:pStyle w:val="blockquotetab"/>
        <w:shd w:val="clear" w:color="auto" w:fill="FFFFFF"/>
        <w:spacing w:before="0" w:beforeAutospacing="0" w:after="0" w:afterAutospacing="0" w:line="360" w:lineRule="auto"/>
        <w:ind w:left="1644" w:hanging="360"/>
        <w:jc w:val="both"/>
        <w:rPr>
          <w:rFonts w:ascii="Arial" w:hAnsi="Arial" w:cs="Arial"/>
          <w:i/>
          <w:iCs/>
          <w:color w:val="000000"/>
          <w:sz w:val="22"/>
          <w:szCs w:val="22"/>
        </w:rPr>
      </w:pPr>
      <w:r>
        <w:rPr>
          <w:rFonts w:ascii="Arial" w:hAnsi="Arial" w:cs="Arial"/>
          <w:i/>
          <w:iCs/>
          <w:color w:val="000000"/>
          <w:sz w:val="22"/>
          <w:szCs w:val="22"/>
        </w:rPr>
        <w:t>(1)</w:t>
      </w:r>
      <w:r>
        <w:rPr>
          <w:rFonts w:ascii="Arial" w:hAnsi="Arial" w:cs="Arial"/>
          <w:i/>
          <w:iCs/>
          <w:color w:val="000000"/>
          <w:sz w:val="22"/>
          <w:szCs w:val="22"/>
        </w:rPr>
        <w:tab/>
      </w:r>
      <w:r w:rsidR="0055453B" w:rsidRPr="00A32AB1">
        <w:rPr>
          <w:rFonts w:ascii="Arial" w:hAnsi="Arial" w:cs="Arial"/>
          <w:i/>
          <w:iCs/>
          <w:color w:val="000000"/>
          <w:sz w:val="22"/>
          <w:szCs w:val="22"/>
        </w:rPr>
        <w:t xml:space="preserve">Every holder, holder of an old order right and owner of works remain responsible for any environmental liability, pollution or ecological </w:t>
      </w:r>
      <w:r w:rsidR="0055453B" w:rsidRPr="00A32AB1">
        <w:rPr>
          <w:rFonts w:ascii="Arial" w:hAnsi="Arial" w:cs="Arial"/>
          <w:i/>
          <w:iCs/>
          <w:color w:val="000000"/>
          <w:sz w:val="22"/>
          <w:szCs w:val="22"/>
        </w:rPr>
        <w:lastRenderedPageBreak/>
        <w:t>degradation, the pumping and treatment of polluted or extraneous water, the management and sustainable closure thereof notwithstanding the issuing of a closure certificate by the Minister responsible for mineral resources in terms of the [MPRDA] to the holder or owner concerned</w:t>
      </w:r>
      <w:r w:rsidR="002F74A8" w:rsidRPr="00A32AB1">
        <w:rPr>
          <w:rFonts w:ascii="Arial" w:hAnsi="Arial" w:cs="Arial"/>
          <w:i/>
          <w:iCs/>
          <w:color w:val="000000"/>
          <w:sz w:val="22"/>
          <w:szCs w:val="22"/>
        </w:rPr>
        <w:t>”</w:t>
      </w:r>
      <w:r w:rsidR="0055453B" w:rsidRPr="00A32AB1">
        <w:rPr>
          <w:rFonts w:ascii="Arial" w:hAnsi="Arial" w:cs="Arial"/>
          <w:i/>
          <w:iCs/>
          <w:color w:val="000000"/>
          <w:sz w:val="22"/>
          <w:szCs w:val="22"/>
        </w:rPr>
        <w:t>.</w:t>
      </w:r>
      <w:r w:rsidR="002F74A8" w:rsidRPr="00A32AB1">
        <w:rPr>
          <w:rStyle w:val="FootnoteReference"/>
          <w:rFonts w:ascii="Arial" w:hAnsi="Arial" w:cs="Arial"/>
          <w:i/>
          <w:iCs/>
          <w:color w:val="000000"/>
          <w:sz w:val="22"/>
          <w:szCs w:val="22"/>
        </w:rPr>
        <w:footnoteReference w:id="35"/>
      </w:r>
    </w:p>
    <w:p w14:paraId="3D374923" w14:textId="77777777" w:rsidR="00950E27" w:rsidRPr="00A32AB1" w:rsidRDefault="00950E27" w:rsidP="00950E27">
      <w:pPr>
        <w:pStyle w:val="blockquotetab"/>
        <w:shd w:val="clear" w:color="auto" w:fill="FFFFFF"/>
        <w:spacing w:before="0" w:beforeAutospacing="0" w:after="0" w:afterAutospacing="0" w:line="360" w:lineRule="auto"/>
        <w:ind w:left="1644"/>
        <w:jc w:val="both"/>
        <w:rPr>
          <w:rFonts w:ascii="Arial" w:hAnsi="Arial" w:cs="Arial"/>
          <w:i/>
          <w:iCs/>
          <w:color w:val="000000"/>
          <w:sz w:val="22"/>
          <w:szCs w:val="22"/>
        </w:rPr>
      </w:pPr>
    </w:p>
    <w:p w14:paraId="054C69F4" w14:textId="39189711" w:rsidR="00983402" w:rsidRDefault="00765E62" w:rsidP="00765E62">
      <w:pPr>
        <w:pStyle w:val="blockquotetab"/>
        <w:shd w:val="clear" w:color="auto" w:fill="FFFFFF"/>
        <w:spacing w:before="0" w:beforeAutospacing="0" w:after="0" w:afterAutospacing="0" w:line="360" w:lineRule="auto"/>
        <w:ind w:left="1644" w:hanging="360"/>
        <w:jc w:val="both"/>
        <w:rPr>
          <w:rFonts w:ascii="Arial" w:hAnsi="Arial" w:cs="Arial"/>
          <w:i/>
          <w:iCs/>
          <w:color w:val="000000"/>
          <w:sz w:val="22"/>
          <w:szCs w:val="22"/>
        </w:rPr>
      </w:pPr>
      <w:r>
        <w:rPr>
          <w:rFonts w:ascii="Arial" w:hAnsi="Arial" w:cs="Arial"/>
          <w:i/>
          <w:iCs/>
          <w:color w:val="000000"/>
          <w:sz w:val="22"/>
          <w:szCs w:val="22"/>
        </w:rPr>
        <w:t>(2)</w:t>
      </w:r>
      <w:r>
        <w:rPr>
          <w:rFonts w:ascii="Arial" w:hAnsi="Arial" w:cs="Arial"/>
          <w:i/>
          <w:iCs/>
          <w:color w:val="000000"/>
          <w:sz w:val="22"/>
          <w:szCs w:val="22"/>
        </w:rPr>
        <w:tab/>
      </w:r>
      <w:r w:rsidR="0055453B" w:rsidRPr="00A32AB1">
        <w:rPr>
          <w:rFonts w:ascii="Arial" w:hAnsi="Arial" w:cs="Arial"/>
          <w:i/>
          <w:iCs/>
          <w:color w:val="000000"/>
          <w:sz w:val="22"/>
          <w:szCs w:val="22"/>
        </w:rPr>
        <w:t xml:space="preserve">When the Minister . . . issues a closure certificate, he or she must return such portion of the financial provision contemplated in section 24P as the Minister may deem appropriate to the holder </w:t>
      </w:r>
      <w:r w:rsidR="00983402" w:rsidRPr="00A32AB1">
        <w:rPr>
          <w:rFonts w:ascii="Arial" w:hAnsi="Arial" w:cs="Arial"/>
          <w:i/>
          <w:iCs/>
          <w:color w:val="000000"/>
          <w:sz w:val="22"/>
          <w:szCs w:val="22"/>
        </w:rPr>
        <w:t>concerned but</w:t>
      </w:r>
      <w:r w:rsidR="0055453B" w:rsidRPr="00A32AB1">
        <w:rPr>
          <w:rFonts w:ascii="Arial" w:hAnsi="Arial" w:cs="Arial"/>
          <w:i/>
          <w:iCs/>
          <w:color w:val="000000"/>
          <w:sz w:val="22"/>
          <w:szCs w:val="22"/>
        </w:rPr>
        <w:t xml:space="preserve"> may retain a portion of such financial provision referred to in subsection (1</w:t>
      </w:r>
      <w:r w:rsidR="0055453B" w:rsidRPr="00950E27">
        <w:rPr>
          <w:rFonts w:ascii="Arial" w:hAnsi="Arial" w:cs="Arial"/>
          <w:i/>
          <w:iCs/>
          <w:color w:val="000000"/>
          <w:sz w:val="22"/>
          <w:szCs w:val="22"/>
          <w:u w:val="single"/>
        </w:rPr>
        <w:t>) for any latent, residual or any other environmental [impact</w:t>
      </w:r>
      <w:r w:rsidR="0055453B" w:rsidRPr="00A32AB1">
        <w:rPr>
          <w:rFonts w:ascii="Arial" w:hAnsi="Arial" w:cs="Arial"/>
          <w:i/>
          <w:iCs/>
          <w:color w:val="000000"/>
          <w:sz w:val="22"/>
          <w:szCs w:val="22"/>
        </w:rPr>
        <w:t>], including the pumping of polluted or extraneous water, for a prescribed period after issuing a closure certificate"</w:t>
      </w:r>
      <w:r w:rsidR="00875FD7">
        <w:rPr>
          <w:rFonts w:ascii="Arial" w:hAnsi="Arial" w:cs="Arial"/>
          <w:i/>
          <w:iCs/>
          <w:color w:val="000000"/>
          <w:sz w:val="22"/>
          <w:szCs w:val="22"/>
        </w:rPr>
        <w:t>.</w:t>
      </w:r>
    </w:p>
    <w:p w14:paraId="5D5E89A8" w14:textId="77777777" w:rsidR="00D1249C" w:rsidRDefault="00D1249C" w:rsidP="00950E27">
      <w:pPr>
        <w:pStyle w:val="blockquotetab"/>
        <w:shd w:val="clear" w:color="auto" w:fill="FFFFFF"/>
        <w:spacing w:before="0" w:beforeAutospacing="0" w:after="0" w:afterAutospacing="0" w:line="360" w:lineRule="auto"/>
        <w:jc w:val="both"/>
        <w:rPr>
          <w:rFonts w:ascii="Arial" w:hAnsi="Arial" w:cs="Arial"/>
          <w:iCs/>
          <w:color w:val="000000"/>
          <w:sz w:val="22"/>
          <w:szCs w:val="22"/>
        </w:rPr>
      </w:pPr>
    </w:p>
    <w:p w14:paraId="6D722F21" w14:textId="301EB373" w:rsidR="00A32AB1" w:rsidRPr="00D1249C" w:rsidRDefault="00950E27" w:rsidP="00950E27">
      <w:pPr>
        <w:pStyle w:val="blockquotetab"/>
        <w:shd w:val="clear" w:color="auto" w:fill="FFFFFF"/>
        <w:spacing w:before="0" w:beforeAutospacing="0" w:after="0" w:afterAutospacing="0" w:line="360" w:lineRule="auto"/>
        <w:jc w:val="both"/>
        <w:rPr>
          <w:rFonts w:ascii="Arial" w:hAnsi="Arial" w:cs="Arial"/>
          <w:iCs/>
          <w:color w:val="000000"/>
        </w:rPr>
      </w:pPr>
      <w:r w:rsidRPr="00D1249C">
        <w:rPr>
          <w:rFonts w:ascii="Arial" w:hAnsi="Arial" w:cs="Arial"/>
          <w:iCs/>
          <w:color w:val="000000"/>
        </w:rPr>
        <w:t>[</w:t>
      </w:r>
      <w:r w:rsidR="00287CC0">
        <w:rPr>
          <w:rFonts w:ascii="Arial" w:hAnsi="Arial" w:cs="Arial"/>
          <w:iCs/>
          <w:color w:val="000000"/>
        </w:rPr>
        <w:t>128</w:t>
      </w:r>
      <w:r w:rsidRPr="00D1249C">
        <w:rPr>
          <w:rFonts w:ascii="Arial" w:hAnsi="Arial" w:cs="Arial"/>
          <w:iCs/>
          <w:color w:val="000000"/>
        </w:rPr>
        <w:t>]</w:t>
      </w:r>
      <w:r w:rsidRPr="00D1249C">
        <w:rPr>
          <w:rFonts w:ascii="Arial" w:hAnsi="Arial" w:cs="Arial"/>
          <w:iCs/>
          <w:color w:val="000000"/>
        </w:rPr>
        <w:tab/>
        <w:t>On the face of it, s 24 R</w:t>
      </w:r>
      <w:r w:rsidR="00D1249C">
        <w:rPr>
          <w:rFonts w:ascii="Arial" w:hAnsi="Arial" w:cs="Arial"/>
          <w:iCs/>
          <w:color w:val="000000"/>
        </w:rPr>
        <w:t xml:space="preserve"> </w:t>
      </w:r>
      <w:r w:rsidRPr="00D1249C">
        <w:rPr>
          <w:rFonts w:ascii="Arial" w:hAnsi="Arial" w:cs="Arial"/>
          <w:iCs/>
          <w:color w:val="000000"/>
        </w:rPr>
        <w:t>(1) of NEMA extends responsibility beyond issuing of a closure certificate when compared with MPRDA s 43 (1). This section addresses the post closure situation and the financial provisions set out in s 24 P of NEMA</w:t>
      </w:r>
      <w:r w:rsidR="00D1249C">
        <w:rPr>
          <w:rFonts w:ascii="Arial" w:hAnsi="Arial" w:cs="Arial"/>
          <w:iCs/>
          <w:color w:val="000000"/>
        </w:rPr>
        <w:t xml:space="preserve">, especially s 24P (5) that requires the holder to maintain and retain the financial provision from which a portion as may be required to rehabilitate the closed mining operation in respect of latent or residual adverse environmental impacts may be retained. The requirement remains in force notwithstanding the issuing of the closure certificate.  </w:t>
      </w:r>
      <w:r w:rsidRPr="00D1249C">
        <w:rPr>
          <w:rFonts w:ascii="Arial" w:hAnsi="Arial" w:cs="Arial"/>
          <w:iCs/>
          <w:color w:val="000000"/>
        </w:rPr>
        <w:t>It is based on the principle of “pol</w:t>
      </w:r>
      <w:r w:rsidR="003C57F5">
        <w:rPr>
          <w:rFonts w:ascii="Arial" w:hAnsi="Arial" w:cs="Arial"/>
          <w:iCs/>
          <w:color w:val="000000"/>
        </w:rPr>
        <w:t>l</w:t>
      </w:r>
      <w:r w:rsidRPr="00D1249C">
        <w:rPr>
          <w:rFonts w:ascii="Arial" w:hAnsi="Arial" w:cs="Arial"/>
          <w:iCs/>
          <w:color w:val="000000"/>
        </w:rPr>
        <w:t>utter pays” as defined in s 2 (4) of NEMA.</w:t>
      </w:r>
      <w:r w:rsidRPr="00D1249C">
        <w:rPr>
          <w:rStyle w:val="FootnoteReference"/>
          <w:rFonts w:ascii="Arial" w:hAnsi="Arial" w:cs="Arial"/>
          <w:color w:val="000000"/>
        </w:rPr>
        <w:footnoteReference w:id="36"/>
      </w:r>
      <w:r w:rsidRPr="00D1249C">
        <w:rPr>
          <w:rFonts w:ascii="Arial" w:hAnsi="Arial" w:cs="Arial"/>
          <w:iCs/>
          <w:color w:val="000000"/>
        </w:rPr>
        <w:t xml:space="preserve"> </w:t>
      </w:r>
    </w:p>
    <w:p w14:paraId="7A631E52" w14:textId="77777777" w:rsidR="00950E27" w:rsidRDefault="00950E27" w:rsidP="00A32AB1">
      <w:pPr>
        <w:pStyle w:val="blockquotetab"/>
        <w:shd w:val="clear" w:color="auto" w:fill="FFFFFF"/>
        <w:spacing w:before="0" w:beforeAutospacing="0" w:after="0" w:afterAutospacing="0" w:line="360" w:lineRule="auto"/>
        <w:jc w:val="both"/>
        <w:rPr>
          <w:rFonts w:ascii="Arial" w:hAnsi="Arial" w:cs="Arial"/>
          <w:color w:val="000000"/>
        </w:rPr>
      </w:pPr>
    </w:p>
    <w:p w14:paraId="638154CD" w14:textId="5F5316D4" w:rsidR="00F44377" w:rsidRDefault="00287CC0" w:rsidP="00950E27">
      <w:pPr>
        <w:pStyle w:val="blockquoteta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[129</w:t>
      </w:r>
      <w:r w:rsidR="00F5124C">
        <w:rPr>
          <w:rFonts w:ascii="Arial" w:hAnsi="Arial" w:cs="Arial"/>
          <w:color w:val="000000"/>
        </w:rPr>
        <w:t>]</w:t>
      </w:r>
      <w:r w:rsidR="00950E27">
        <w:rPr>
          <w:rFonts w:ascii="Arial" w:hAnsi="Arial" w:cs="Arial"/>
          <w:color w:val="000000"/>
        </w:rPr>
        <w:tab/>
      </w:r>
      <w:r w:rsidR="00F44377" w:rsidRPr="00A32AB1">
        <w:rPr>
          <w:rFonts w:ascii="Arial" w:hAnsi="Arial" w:cs="Arial"/>
          <w:color w:val="000000"/>
        </w:rPr>
        <w:t>In</w:t>
      </w:r>
      <w:r w:rsidR="00F44377" w:rsidRPr="00A32AB1">
        <w:rPr>
          <w:rFonts w:ascii="Arial" w:hAnsi="Arial" w:cs="Arial"/>
        </w:rPr>
        <w:t xml:space="preserve"> </w:t>
      </w:r>
      <w:r w:rsidR="00F44377" w:rsidRPr="00A32AB1">
        <w:rPr>
          <w:rFonts w:ascii="Arial" w:hAnsi="Arial" w:cs="Arial"/>
          <w:i/>
          <w:iCs/>
          <w:color w:val="000000"/>
        </w:rPr>
        <w:t>Bareki NO and another v Gencor Ltd and others</w:t>
      </w:r>
      <w:r w:rsidR="00F44377" w:rsidRPr="00A32AB1">
        <w:rPr>
          <w:rFonts w:ascii="Arial" w:hAnsi="Arial" w:cs="Arial"/>
          <w:color w:val="000000"/>
        </w:rPr>
        <w:t xml:space="preserve"> the court had to decide whether NEMA applied retrospectively, the court held that:</w:t>
      </w:r>
    </w:p>
    <w:p w14:paraId="480B5C0A" w14:textId="77777777" w:rsidR="004B6008" w:rsidRPr="00A32AB1" w:rsidRDefault="004B6008" w:rsidP="004B6008">
      <w:pPr>
        <w:pStyle w:val="blockquotetab"/>
        <w:shd w:val="clear" w:color="auto" w:fill="FFFFFF"/>
        <w:spacing w:before="0" w:beforeAutospacing="0" w:after="0" w:afterAutospacing="0" w:line="360" w:lineRule="auto"/>
        <w:jc w:val="both"/>
        <w:rPr>
          <w:rFonts w:ascii="Arial" w:hAnsi="Arial" w:cs="Arial"/>
          <w:color w:val="000000"/>
        </w:rPr>
      </w:pPr>
    </w:p>
    <w:p w14:paraId="7CD1DD0E" w14:textId="79C40AAF" w:rsidR="00F44377" w:rsidRPr="00A32AB1" w:rsidRDefault="00F44377" w:rsidP="00D1249C">
      <w:pPr>
        <w:pStyle w:val="blockquotetab"/>
        <w:shd w:val="clear" w:color="auto" w:fill="FFFFFF"/>
        <w:spacing w:before="0" w:beforeAutospacing="0" w:after="0" w:afterAutospacing="0" w:line="360" w:lineRule="auto"/>
        <w:ind w:left="1440"/>
        <w:jc w:val="both"/>
        <w:rPr>
          <w:rFonts w:ascii="Arial" w:hAnsi="Arial" w:cs="Arial"/>
          <w:i/>
          <w:iCs/>
          <w:color w:val="000000"/>
          <w:sz w:val="22"/>
          <w:szCs w:val="22"/>
        </w:rPr>
      </w:pPr>
      <w:r w:rsidRPr="00A32AB1">
        <w:rPr>
          <w:rFonts w:ascii="Arial" w:hAnsi="Arial" w:cs="Arial"/>
          <w:i/>
          <w:iCs/>
          <w:color w:val="000000"/>
          <w:sz w:val="22"/>
          <w:szCs w:val="22"/>
        </w:rPr>
        <w:t>“at common law the </w:t>
      </w:r>
      <w:bookmarkStart w:id="10" w:name="_Hlk141714299"/>
      <w:r w:rsidRPr="00A32AB1">
        <w:rPr>
          <w:rFonts w:ascii="Arial" w:hAnsi="Arial" w:cs="Arial"/>
          <w:i/>
          <w:iCs/>
          <w:color w:val="000000"/>
          <w:sz w:val="22"/>
          <w:szCs w:val="22"/>
        </w:rPr>
        <w:t>prima facie rule of construction is that a statute should not be interpreted as having retrospective effect</w:t>
      </w:r>
      <w:bookmarkEnd w:id="10"/>
      <w:r w:rsidRPr="00A32AB1">
        <w:rPr>
          <w:rFonts w:ascii="Arial" w:hAnsi="Arial" w:cs="Arial"/>
          <w:i/>
          <w:iCs/>
          <w:color w:val="000000"/>
          <w:sz w:val="22"/>
          <w:szCs w:val="22"/>
        </w:rPr>
        <w:t>. That presumption against retrospectivity may be rebutted, either expressly or by necessary implication, by provisions or indications to the contrary in the enactment under consideration”</w:t>
      </w:r>
      <w:r w:rsidRPr="00A32AB1">
        <w:rPr>
          <w:rFonts w:ascii="Arial" w:hAnsi="Arial" w:cs="Arial"/>
          <w:color w:val="000000"/>
        </w:rPr>
        <w:t>.</w:t>
      </w:r>
      <w:r w:rsidRPr="00A32AB1">
        <w:rPr>
          <w:rStyle w:val="FootnoteReference"/>
          <w:rFonts w:ascii="Arial" w:hAnsi="Arial" w:cs="Arial"/>
          <w:color w:val="000000"/>
        </w:rPr>
        <w:footnoteReference w:id="37"/>
      </w:r>
      <w:r w:rsidRPr="00A32AB1">
        <w:rPr>
          <w:rFonts w:ascii="Arial" w:eastAsiaTheme="minorHAnsi" w:hAnsi="Arial" w:cs="Arial"/>
          <w:color w:val="000000"/>
          <w:kern w:val="2"/>
          <w:sz w:val="18"/>
          <w:szCs w:val="18"/>
          <w:shd w:val="clear" w:color="auto" w:fill="FFFFFF"/>
          <w:lang w:eastAsia="en-US"/>
          <w14:ligatures w14:val="standardContextual"/>
        </w:rPr>
        <w:t xml:space="preserve"> </w:t>
      </w:r>
      <w:r w:rsidRPr="00A32AB1">
        <w:rPr>
          <w:rFonts w:ascii="Arial" w:hAnsi="Arial" w:cs="Arial"/>
          <w:i/>
          <w:iCs/>
          <w:color w:val="000000"/>
          <w:sz w:val="22"/>
          <w:szCs w:val="22"/>
        </w:rPr>
        <w:t>The basis of the presumption is “elementary considerations of fairness (which) dictate that individuals should have an opportunity to know what the law is and to conform their conduct accordingly”</w:t>
      </w:r>
      <w:r w:rsidR="00F057C5" w:rsidRPr="00A32AB1">
        <w:rPr>
          <w:rStyle w:val="FootnoteReference"/>
          <w:rFonts w:ascii="Arial" w:hAnsi="Arial" w:cs="Arial"/>
          <w:i/>
          <w:iCs/>
          <w:color w:val="000000"/>
          <w:sz w:val="22"/>
          <w:szCs w:val="22"/>
        </w:rPr>
        <w:footnoteReference w:id="38"/>
      </w:r>
    </w:p>
    <w:p w14:paraId="2EE58F57" w14:textId="77777777" w:rsidR="005E33D2" w:rsidRPr="00A32AB1" w:rsidRDefault="005E33D2" w:rsidP="00A32AB1">
      <w:pPr>
        <w:pStyle w:val="blockquotetab"/>
        <w:shd w:val="clear" w:color="auto" w:fill="FFFFFF"/>
        <w:spacing w:before="0" w:beforeAutospacing="0" w:after="0" w:afterAutospacing="0" w:line="360" w:lineRule="auto"/>
        <w:ind w:left="284"/>
        <w:jc w:val="both"/>
        <w:rPr>
          <w:rFonts w:ascii="Arial" w:hAnsi="Arial" w:cs="Arial"/>
          <w:i/>
          <w:iCs/>
          <w:color w:val="000000"/>
          <w:sz w:val="22"/>
          <w:szCs w:val="22"/>
        </w:rPr>
      </w:pPr>
    </w:p>
    <w:p w14:paraId="5F901C03" w14:textId="6B9DA57D" w:rsidR="009707E6" w:rsidRDefault="00950E27" w:rsidP="00950E27">
      <w:pPr>
        <w:pStyle w:val="blockquoteta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287CC0">
        <w:rPr>
          <w:rFonts w:ascii="Arial" w:hAnsi="Arial" w:cs="Arial"/>
          <w:color w:val="000000"/>
        </w:rPr>
        <w:t>130</w:t>
      </w:r>
      <w:r>
        <w:rPr>
          <w:rFonts w:ascii="Arial" w:hAnsi="Arial" w:cs="Arial"/>
          <w:color w:val="000000"/>
        </w:rPr>
        <w:t>]</w:t>
      </w:r>
      <w:r>
        <w:rPr>
          <w:rFonts w:ascii="Arial" w:hAnsi="Arial" w:cs="Arial"/>
          <w:color w:val="000000"/>
        </w:rPr>
        <w:tab/>
      </w:r>
      <w:r w:rsidR="005E33D2" w:rsidRPr="00A32AB1">
        <w:rPr>
          <w:rFonts w:ascii="Arial" w:hAnsi="Arial" w:cs="Arial"/>
          <w:color w:val="000000"/>
        </w:rPr>
        <w:t>In</w:t>
      </w:r>
      <w:r w:rsidR="009707E6" w:rsidRPr="00A32AB1">
        <w:rPr>
          <w:rFonts w:ascii="Arial" w:eastAsiaTheme="minorHAnsi" w:hAnsi="Arial" w:cs="Arial"/>
          <w:i/>
          <w:iCs/>
          <w:kern w:val="2"/>
          <w:sz w:val="22"/>
          <w:szCs w:val="22"/>
          <w:lang w:eastAsia="en-US"/>
          <w14:ligatures w14:val="standardContextual"/>
        </w:rPr>
        <w:t xml:space="preserve"> </w:t>
      </w:r>
      <w:r w:rsidR="009707E6" w:rsidRPr="00A32AB1">
        <w:rPr>
          <w:rFonts w:ascii="Arial" w:hAnsi="Arial" w:cs="Arial"/>
          <w:i/>
          <w:iCs/>
          <w:color w:val="000000"/>
        </w:rPr>
        <w:t xml:space="preserve">S v Mhlungu &amp; </w:t>
      </w:r>
      <w:r>
        <w:rPr>
          <w:rFonts w:ascii="Arial" w:hAnsi="Arial" w:cs="Arial"/>
          <w:i/>
          <w:iCs/>
          <w:color w:val="000000"/>
        </w:rPr>
        <w:t>O</w:t>
      </w:r>
      <w:r w:rsidR="009707E6" w:rsidRPr="00A32AB1">
        <w:rPr>
          <w:rFonts w:ascii="Arial" w:hAnsi="Arial" w:cs="Arial"/>
          <w:i/>
          <w:iCs/>
          <w:color w:val="000000"/>
        </w:rPr>
        <w:t>thers</w:t>
      </w:r>
      <w:r>
        <w:rPr>
          <w:rStyle w:val="FootnoteReference"/>
          <w:rFonts w:ascii="Arial" w:hAnsi="Arial" w:cs="Arial"/>
          <w:i/>
          <w:iCs/>
          <w:color w:val="000000"/>
        </w:rPr>
        <w:footnoteReference w:id="39"/>
      </w:r>
      <w:r w:rsidR="005E33D2" w:rsidRPr="00A32AB1">
        <w:rPr>
          <w:rFonts w:ascii="Arial" w:hAnsi="Arial" w:cs="Arial"/>
          <w:color w:val="000000"/>
        </w:rPr>
        <w:t xml:space="preserve"> the court </w:t>
      </w:r>
      <w:r w:rsidR="00334094">
        <w:rPr>
          <w:rFonts w:ascii="Arial" w:hAnsi="Arial" w:cs="Arial"/>
          <w:color w:val="000000"/>
        </w:rPr>
        <w:t xml:space="preserve">held </w:t>
      </w:r>
      <w:r w:rsidR="005E33D2" w:rsidRPr="00A32AB1">
        <w:rPr>
          <w:rFonts w:ascii="Arial" w:hAnsi="Arial" w:cs="Arial"/>
          <w:color w:val="000000"/>
        </w:rPr>
        <w:t>that</w:t>
      </w:r>
      <w:r w:rsidR="00334094">
        <w:rPr>
          <w:rFonts w:ascii="Arial" w:hAnsi="Arial" w:cs="Arial"/>
          <w:color w:val="000000"/>
        </w:rPr>
        <w:t>:</w:t>
      </w:r>
    </w:p>
    <w:p w14:paraId="7BB65BBA" w14:textId="77777777" w:rsidR="00875FD7" w:rsidRPr="00875FD7" w:rsidRDefault="00875FD7" w:rsidP="00875FD7">
      <w:pPr>
        <w:pStyle w:val="blockquotetab"/>
        <w:shd w:val="clear" w:color="auto" w:fill="FFFFFF"/>
        <w:spacing w:before="0" w:beforeAutospacing="0" w:after="0" w:afterAutospacing="0" w:line="360" w:lineRule="auto"/>
        <w:jc w:val="both"/>
        <w:rPr>
          <w:rFonts w:ascii="Arial" w:hAnsi="Arial" w:cs="Arial"/>
          <w:color w:val="000000"/>
        </w:rPr>
      </w:pPr>
    </w:p>
    <w:p w14:paraId="40EB8756" w14:textId="2EC76063" w:rsidR="00D1249C" w:rsidRDefault="00950E27"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Pr>
          <w:rFonts w:ascii="Arial" w:hAnsi="Arial" w:cs="Arial"/>
          <w:i/>
          <w:iCs/>
          <w:color w:val="000000"/>
          <w:sz w:val="22"/>
          <w:szCs w:val="22"/>
        </w:rPr>
        <w:t>[65]</w:t>
      </w:r>
      <w:r>
        <w:rPr>
          <w:rFonts w:ascii="Arial" w:hAnsi="Arial" w:cs="Arial"/>
          <w:i/>
          <w:iCs/>
          <w:color w:val="000000"/>
          <w:sz w:val="22"/>
          <w:szCs w:val="22"/>
        </w:rPr>
        <w:tab/>
      </w:r>
      <w:r w:rsidR="005E33D2" w:rsidRPr="00A32AB1">
        <w:rPr>
          <w:rFonts w:ascii="Arial" w:hAnsi="Arial" w:cs="Arial"/>
          <w:i/>
          <w:iCs/>
          <w:color w:val="000000"/>
          <w:sz w:val="22"/>
          <w:szCs w:val="22"/>
        </w:rPr>
        <w:t>First, there is a strong presumption that new legislation is not intended to be</w:t>
      </w:r>
      <w:r w:rsidR="009707E6" w:rsidRPr="00A32AB1">
        <w:rPr>
          <w:rFonts w:ascii="Arial" w:hAnsi="Arial" w:cs="Arial"/>
          <w:i/>
          <w:iCs/>
          <w:color w:val="000000"/>
          <w:sz w:val="22"/>
          <w:szCs w:val="22"/>
        </w:rPr>
        <w:t xml:space="preserve"> </w:t>
      </w:r>
      <w:r w:rsidR="005E33D2" w:rsidRPr="00A32AB1">
        <w:rPr>
          <w:rFonts w:ascii="Arial" w:hAnsi="Arial" w:cs="Arial"/>
          <w:i/>
          <w:iCs/>
          <w:color w:val="000000"/>
          <w:sz w:val="22"/>
          <w:szCs w:val="22"/>
        </w:rPr>
        <w:t>retroactive. By retroactive legislation is meant legislation which invalidates what was previously valid, or vice versa, namely which affects</w:t>
      </w:r>
      <w:r w:rsidR="00D1249C">
        <w:rPr>
          <w:rFonts w:ascii="Arial" w:hAnsi="Arial" w:cs="Arial"/>
          <w:i/>
          <w:iCs/>
          <w:color w:val="000000"/>
          <w:sz w:val="22"/>
          <w:szCs w:val="22"/>
        </w:rPr>
        <w:t xml:space="preserve"> transactions completed before the new statute came into operation. </w:t>
      </w:r>
      <w:r w:rsidR="005E33D2" w:rsidRPr="00A32AB1">
        <w:rPr>
          <w:rFonts w:ascii="Arial" w:hAnsi="Arial" w:cs="Arial"/>
          <w:i/>
          <w:iCs/>
          <w:color w:val="000000"/>
          <w:sz w:val="22"/>
          <w:szCs w:val="22"/>
        </w:rPr>
        <w:t>See Van</w:t>
      </w:r>
      <w:r w:rsidR="009707E6" w:rsidRPr="00A32AB1">
        <w:rPr>
          <w:rFonts w:ascii="Arial" w:hAnsi="Arial" w:cs="Arial"/>
          <w:i/>
          <w:iCs/>
          <w:color w:val="000000"/>
          <w:sz w:val="22"/>
          <w:szCs w:val="22"/>
        </w:rPr>
        <w:t> </w:t>
      </w:r>
      <w:r w:rsidR="005E33D2" w:rsidRPr="00A32AB1">
        <w:rPr>
          <w:rFonts w:ascii="Arial" w:hAnsi="Arial" w:cs="Arial"/>
          <w:i/>
          <w:iCs/>
          <w:color w:val="000000"/>
          <w:sz w:val="22"/>
          <w:szCs w:val="22"/>
        </w:rPr>
        <w:t>Lear</w:t>
      </w:r>
      <w:r w:rsidR="009707E6" w:rsidRPr="00A32AB1">
        <w:rPr>
          <w:rFonts w:ascii="Arial" w:hAnsi="Arial" w:cs="Arial"/>
          <w:i/>
          <w:iCs/>
          <w:color w:val="000000"/>
          <w:sz w:val="22"/>
          <w:szCs w:val="22"/>
        </w:rPr>
        <w:t> </w:t>
      </w:r>
      <w:r w:rsidR="005E33D2" w:rsidRPr="00A32AB1">
        <w:rPr>
          <w:rFonts w:ascii="Arial" w:hAnsi="Arial" w:cs="Arial"/>
          <w:i/>
          <w:iCs/>
          <w:color w:val="000000"/>
          <w:sz w:val="22"/>
          <w:szCs w:val="22"/>
        </w:rPr>
        <w:t>v</w:t>
      </w:r>
      <w:r w:rsidR="009707E6" w:rsidRPr="00A32AB1">
        <w:rPr>
          <w:rFonts w:ascii="Arial" w:hAnsi="Arial" w:cs="Arial"/>
          <w:i/>
          <w:iCs/>
          <w:color w:val="000000"/>
          <w:sz w:val="22"/>
          <w:szCs w:val="22"/>
        </w:rPr>
        <w:t> </w:t>
      </w:r>
      <w:r w:rsidR="005E33D2" w:rsidRPr="00A32AB1">
        <w:rPr>
          <w:rFonts w:ascii="Arial" w:hAnsi="Arial" w:cs="Arial"/>
          <w:i/>
          <w:iCs/>
          <w:color w:val="000000"/>
          <w:sz w:val="22"/>
          <w:szCs w:val="22"/>
        </w:rPr>
        <w:t>Van</w:t>
      </w:r>
      <w:r w:rsidR="009707E6" w:rsidRPr="00A32AB1">
        <w:rPr>
          <w:rFonts w:ascii="Arial" w:hAnsi="Arial" w:cs="Arial"/>
          <w:i/>
          <w:iCs/>
          <w:color w:val="000000"/>
          <w:sz w:val="22"/>
          <w:szCs w:val="22"/>
        </w:rPr>
        <w:t> </w:t>
      </w:r>
      <w:r w:rsidR="005E33D2" w:rsidRPr="00A32AB1">
        <w:rPr>
          <w:rFonts w:ascii="Arial" w:hAnsi="Arial" w:cs="Arial"/>
          <w:i/>
          <w:iCs/>
          <w:color w:val="000000"/>
          <w:sz w:val="22"/>
          <w:szCs w:val="22"/>
        </w:rPr>
        <w:t>Lear 1979 (3) SA 1162 (W)</w:t>
      </w:r>
      <w:r>
        <w:rPr>
          <w:rFonts w:ascii="Arial" w:hAnsi="Arial" w:cs="Arial"/>
          <w:i/>
          <w:iCs/>
          <w:color w:val="000000"/>
          <w:sz w:val="22"/>
          <w:szCs w:val="22"/>
        </w:rPr>
        <w:t>.</w:t>
      </w:r>
      <w:r w:rsidR="005E33D2" w:rsidRPr="00A32AB1">
        <w:rPr>
          <w:rFonts w:ascii="Arial" w:hAnsi="Arial" w:cs="Arial"/>
          <w:i/>
          <w:iCs/>
          <w:color w:val="000000"/>
          <w:sz w:val="22"/>
          <w:szCs w:val="22"/>
        </w:rPr>
        <w:t xml:space="preserve"> It is legislation which enacts that “as at a past date the law shall be taken to ha</w:t>
      </w:r>
      <w:r w:rsidR="00D1249C">
        <w:rPr>
          <w:rFonts w:ascii="Arial" w:hAnsi="Arial" w:cs="Arial"/>
          <w:i/>
          <w:iCs/>
          <w:color w:val="000000"/>
          <w:sz w:val="22"/>
          <w:szCs w:val="22"/>
        </w:rPr>
        <w:t xml:space="preserve">ve been that which it was not”. </w:t>
      </w:r>
      <w:r w:rsidR="005E33D2" w:rsidRPr="00A32AB1">
        <w:rPr>
          <w:rFonts w:ascii="Arial" w:hAnsi="Arial" w:cs="Arial"/>
          <w:i/>
          <w:iCs/>
          <w:color w:val="000000"/>
          <w:sz w:val="22"/>
          <w:szCs w:val="22"/>
        </w:rPr>
        <w:t>See Shewan Tomes &amp; Co Ltd v Commissioner of Customs and Excise 1955 (4) SA 305 (A) at 311H per Schreiner ACJ. There is also a presumption against reading legislation as being retrospective in</w:t>
      </w:r>
      <w:r w:rsidR="005E33D2" w:rsidRPr="00A32AB1">
        <w:rPr>
          <w:rFonts w:ascii="Arial" w:hAnsi="Arial" w:cs="Arial"/>
          <w:i/>
          <w:iCs/>
          <w:sz w:val="22"/>
          <w:szCs w:val="22"/>
        </w:rPr>
        <w:t xml:space="preserve"> </w:t>
      </w:r>
      <w:r w:rsidR="005E33D2" w:rsidRPr="00A32AB1">
        <w:rPr>
          <w:rFonts w:ascii="Arial" w:hAnsi="Arial" w:cs="Arial"/>
          <w:i/>
          <w:iCs/>
          <w:color w:val="000000"/>
          <w:sz w:val="22"/>
          <w:szCs w:val="22"/>
        </w:rPr>
        <w:t>the sense that, while it takes effect only from its date of commencement, it impairs existing rights and</w:t>
      </w:r>
      <w:r>
        <w:rPr>
          <w:rFonts w:ascii="Arial" w:hAnsi="Arial" w:cs="Arial"/>
          <w:i/>
          <w:iCs/>
          <w:color w:val="000000"/>
          <w:sz w:val="22"/>
          <w:szCs w:val="22"/>
        </w:rPr>
        <w:t xml:space="preserve"> obligations by for example in validating current contracts or impairing</w:t>
      </w:r>
      <w:r w:rsidR="00D1249C">
        <w:rPr>
          <w:rFonts w:ascii="Arial" w:hAnsi="Arial" w:cs="Arial"/>
          <w:i/>
          <w:iCs/>
          <w:color w:val="000000"/>
          <w:sz w:val="22"/>
          <w:szCs w:val="22"/>
        </w:rPr>
        <w:t xml:space="preserve"> existing property rights. </w:t>
      </w:r>
      <w:r w:rsidR="00D1249C" w:rsidRPr="00A32AB1">
        <w:rPr>
          <w:rFonts w:ascii="Arial" w:hAnsi="Arial" w:cs="Arial"/>
          <w:i/>
          <w:iCs/>
          <w:color w:val="000000"/>
          <w:sz w:val="22"/>
          <w:szCs w:val="22"/>
        </w:rPr>
        <w:t>See</w:t>
      </w:r>
      <w:r w:rsidR="00D1249C">
        <w:rPr>
          <w:rFonts w:ascii="Arial" w:hAnsi="Arial" w:cs="Arial"/>
          <w:i/>
          <w:iCs/>
          <w:color w:val="000000"/>
          <w:sz w:val="22"/>
          <w:szCs w:val="22"/>
        </w:rPr>
        <w:t xml:space="preserve">; Cape Town Municipality v F Robb &amp; Co Ltd 1966 </w:t>
      </w:r>
      <w:r w:rsidR="00D1249C" w:rsidRPr="00A32AB1">
        <w:rPr>
          <w:rFonts w:ascii="Arial" w:hAnsi="Arial" w:cs="Arial"/>
          <w:i/>
          <w:iCs/>
          <w:color w:val="000000"/>
          <w:sz w:val="22"/>
          <w:szCs w:val="22"/>
        </w:rPr>
        <w:t> </w:t>
      </w:r>
    </w:p>
    <w:p w14:paraId="5DBE683B" w14:textId="1323A643" w:rsidR="005E33D2" w:rsidRPr="00A32AB1" w:rsidRDefault="00D1249C"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Pr>
          <w:rFonts w:ascii="Arial" w:hAnsi="Arial" w:cs="Arial"/>
          <w:i/>
          <w:iCs/>
          <w:color w:val="000000"/>
          <w:sz w:val="22"/>
          <w:szCs w:val="22"/>
        </w:rPr>
        <w:t xml:space="preserve">(4) </w:t>
      </w:r>
      <w:r w:rsidR="005E33D2" w:rsidRPr="00A32AB1">
        <w:rPr>
          <w:rFonts w:ascii="Arial" w:hAnsi="Arial" w:cs="Arial"/>
          <w:i/>
          <w:iCs/>
          <w:color w:val="000000"/>
          <w:sz w:val="22"/>
          <w:szCs w:val="22"/>
        </w:rPr>
        <w:t>SA 345 (C)</w:t>
      </w:r>
      <w:r>
        <w:rPr>
          <w:rFonts w:ascii="Arial" w:hAnsi="Arial" w:cs="Arial"/>
          <w:i/>
          <w:iCs/>
          <w:color w:val="000000"/>
          <w:sz w:val="22"/>
          <w:szCs w:val="22"/>
        </w:rPr>
        <w:t xml:space="preserve"> </w:t>
      </w:r>
      <w:r w:rsidR="005E33D2" w:rsidRPr="00A32AB1">
        <w:rPr>
          <w:rFonts w:ascii="Arial" w:hAnsi="Arial" w:cs="Arial"/>
          <w:i/>
          <w:iCs/>
          <w:color w:val="000000"/>
          <w:sz w:val="22"/>
          <w:szCs w:val="22"/>
        </w:rPr>
        <w:t>at 351 per Corbett J. The general rule therefore is that a statute is as far as possible to be construed as operating only on facts which come into existence after its passing.</w:t>
      </w:r>
    </w:p>
    <w:p w14:paraId="3384736C" w14:textId="77777777" w:rsidR="00D1249C" w:rsidRDefault="00D1249C"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p>
    <w:p w14:paraId="3B8DBD60" w14:textId="4D7F9BAF" w:rsidR="005E33D2" w:rsidRPr="00A32AB1" w:rsidRDefault="005E33D2"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sidRPr="00A32AB1">
        <w:rPr>
          <w:rFonts w:ascii="Arial" w:hAnsi="Arial" w:cs="Arial"/>
          <w:i/>
          <w:iCs/>
          <w:color w:val="000000"/>
          <w:sz w:val="22"/>
          <w:szCs w:val="22"/>
        </w:rPr>
        <w:t>[66]</w:t>
      </w:r>
      <w:r w:rsidR="009707E6" w:rsidRPr="00A32AB1">
        <w:rPr>
          <w:rFonts w:ascii="Arial" w:hAnsi="Arial" w:cs="Arial"/>
          <w:i/>
          <w:iCs/>
          <w:color w:val="000000"/>
          <w:sz w:val="22"/>
          <w:szCs w:val="22"/>
        </w:rPr>
        <w:t xml:space="preserve"> </w:t>
      </w:r>
      <w:r w:rsidR="00D1249C">
        <w:rPr>
          <w:rFonts w:ascii="Arial" w:hAnsi="Arial" w:cs="Arial"/>
          <w:i/>
          <w:iCs/>
          <w:color w:val="000000"/>
          <w:sz w:val="22"/>
          <w:szCs w:val="22"/>
        </w:rPr>
        <w:tab/>
      </w:r>
      <w:r w:rsidRPr="00A32AB1">
        <w:rPr>
          <w:rFonts w:ascii="Arial" w:hAnsi="Arial" w:cs="Arial"/>
          <w:i/>
          <w:iCs/>
          <w:color w:val="000000"/>
          <w:sz w:val="22"/>
          <w:szCs w:val="22"/>
        </w:rPr>
        <w:t>There is a different presumption where a new law effects changes in procedure. It is presumed that such a law will apply to every case subsequently tried “no matter when such case began or when the cause of action arose” – Curtis v Johannesburg Municipality 1906 TS 308 at 312. It is, however, not always easy to decide whether a new statutory provision is purely procedural or whether it also affects substantive rights. Rather than categorising new provisions in this way, it has been suggested, one should simply ask whether or not they would affect vested rights if applied retrospectively. See Yew Bon Tew v Kenderaan Bas Mara (1983) 1 AC 553 (PC) at 563; Industrial Council for Furniture Manufacturing Industry, Natal v Minister of Manpower and Another 1984 (2) SA 238 (D) at 242.</w:t>
      </w:r>
    </w:p>
    <w:p w14:paraId="11F5115E" w14:textId="77777777" w:rsidR="009707E6" w:rsidRPr="00A32AB1" w:rsidRDefault="009707E6" w:rsidP="00A32AB1">
      <w:pPr>
        <w:pStyle w:val="n10pt-1"/>
        <w:shd w:val="clear" w:color="auto" w:fill="FFFFFF"/>
        <w:spacing w:before="0" w:beforeAutospacing="0" w:after="0" w:afterAutospacing="0" w:line="360" w:lineRule="auto"/>
        <w:ind w:left="284"/>
        <w:rPr>
          <w:rFonts w:ascii="Arial" w:hAnsi="Arial" w:cs="Arial"/>
          <w:i/>
          <w:iCs/>
          <w:color w:val="000000"/>
          <w:sz w:val="22"/>
          <w:szCs w:val="22"/>
        </w:rPr>
      </w:pPr>
    </w:p>
    <w:p w14:paraId="6D6E8819" w14:textId="5ED5B492" w:rsidR="0081157E" w:rsidRPr="00A32AB1" w:rsidRDefault="005E33D2"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sidRPr="00A32AB1">
        <w:rPr>
          <w:rFonts w:ascii="Arial" w:hAnsi="Arial" w:cs="Arial"/>
          <w:i/>
          <w:iCs/>
          <w:color w:val="000000"/>
          <w:sz w:val="22"/>
          <w:szCs w:val="22"/>
        </w:rPr>
        <w:t>[67]</w:t>
      </w:r>
      <w:r w:rsidR="00950E27">
        <w:rPr>
          <w:rFonts w:ascii="Arial" w:hAnsi="Arial" w:cs="Arial"/>
          <w:i/>
          <w:iCs/>
          <w:color w:val="000000"/>
          <w:sz w:val="22"/>
          <w:szCs w:val="22"/>
        </w:rPr>
        <w:t xml:space="preserve"> </w:t>
      </w:r>
      <w:r w:rsidR="00D1249C">
        <w:rPr>
          <w:rFonts w:ascii="Arial" w:hAnsi="Arial" w:cs="Arial"/>
          <w:i/>
          <w:iCs/>
          <w:color w:val="000000"/>
          <w:sz w:val="22"/>
          <w:szCs w:val="22"/>
        </w:rPr>
        <w:tab/>
      </w:r>
      <w:r w:rsidRPr="00A32AB1">
        <w:rPr>
          <w:rFonts w:ascii="Arial" w:hAnsi="Arial" w:cs="Arial"/>
          <w:i/>
          <w:iCs/>
          <w:color w:val="000000"/>
          <w:sz w:val="22"/>
          <w:szCs w:val="22"/>
        </w:rPr>
        <w:t xml:space="preserve">There is still another well-established rule of construction namely, that even if a new statute is intended to </w:t>
      </w:r>
      <w:r w:rsidR="009707E6" w:rsidRPr="00A32AB1">
        <w:rPr>
          <w:rFonts w:ascii="Arial" w:hAnsi="Arial" w:cs="Arial"/>
          <w:i/>
          <w:iCs/>
          <w:color w:val="000000"/>
          <w:sz w:val="22"/>
          <w:szCs w:val="22"/>
        </w:rPr>
        <w:t>be retrospective i</w:t>
      </w:r>
      <w:r w:rsidRPr="00A32AB1">
        <w:rPr>
          <w:rFonts w:ascii="Arial" w:hAnsi="Arial" w:cs="Arial"/>
          <w:i/>
          <w:iCs/>
          <w:color w:val="000000"/>
          <w:sz w:val="22"/>
          <w:szCs w:val="22"/>
        </w:rPr>
        <w:t xml:space="preserve">n so far as it affects vested rights and obligations, it is nonetheless presumed not to affect matters which are the subject of pending legal proceedings. </w:t>
      </w:r>
      <w:r w:rsidR="009707E6" w:rsidRPr="00A32AB1">
        <w:rPr>
          <w:rFonts w:ascii="Arial" w:hAnsi="Arial" w:cs="Arial"/>
          <w:i/>
          <w:iCs/>
          <w:color w:val="000000"/>
          <w:sz w:val="22"/>
          <w:szCs w:val="22"/>
        </w:rPr>
        <w:t xml:space="preserve">See Bell v Voorsitter van die </w:t>
      </w:r>
      <w:r w:rsidR="009707E6" w:rsidRPr="00A32AB1">
        <w:rPr>
          <w:rFonts w:ascii="Arial" w:hAnsi="Arial" w:cs="Arial"/>
          <w:i/>
          <w:iCs/>
          <w:color w:val="000000"/>
          <w:sz w:val="22"/>
          <w:szCs w:val="22"/>
        </w:rPr>
        <w:lastRenderedPageBreak/>
        <w:t>Rasklassifikasieraad en Andere 1968 (2) SA 678 (A); Bellairs v Hodnett and Another 1978 (1) SA 1109 (A) at 1148.”</w:t>
      </w:r>
    </w:p>
    <w:p w14:paraId="6806E499" w14:textId="77777777" w:rsidR="009707E6" w:rsidRPr="00A32AB1" w:rsidRDefault="009707E6" w:rsidP="00A32AB1">
      <w:pPr>
        <w:pStyle w:val="n10pt-1"/>
        <w:shd w:val="clear" w:color="auto" w:fill="FFFFFF"/>
        <w:spacing w:before="0" w:beforeAutospacing="0" w:after="0" w:afterAutospacing="0" w:line="360" w:lineRule="auto"/>
        <w:jc w:val="both"/>
        <w:rPr>
          <w:rFonts w:ascii="Arial" w:hAnsi="Arial" w:cs="Arial"/>
          <w:i/>
          <w:iCs/>
          <w:color w:val="000000"/>
        </w:rPr>
      </w:pPr>
    </w:p>
    <w:p w14:paraId="1ACB088B" w14:textId="794BA99C" w:rsidR="00782D92" w:rsidRDefault="00950E27" w:rsidP="00950E27">
      <w:pPr>
        <w:pStyle w:val="n10pt-1"/>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545655">
        <w:rPr>
          <w:rFonts w:ascii="Arial" w:hAnsi="Arial" w:cs="Arial"/>
          <w:color w:val="000000"/>
        </w:rPr>
        <w:t>1</w:t>
      </w:r>
      <w:r w:rsidR="00287CC0">
        <w:rPr>
          <w:rFonts w:ascii="Arial" w:hAnsi="Arial" w:cs="Arial"/>
          <w:color w:val="000000"/>
        </w:rPr>
        <w:t>31</w:t>
      </w:r>
      <w:r>
        <w:rPr>
          <w:rFonts w:ascii="Arial" w:hAnsi="Arial" w:cs="Arial"/>
          <w:color w:val="000000"/>
        </w:rPr>
        <w:t>]</w:t>
      </w:r>
      <w:r>
        <w:rPr>
          <w:rFonts w:ascii="Arial" w:hAnsi="Arial" w:cs="Arial"/>
          <w:color w:val="000000"/>
        </w:rPr>
        <w:tab/>
      </w:r>
      <w:r w:rsidR="003C57F5">
        <w:rPr>
          <w:rFonts w:ascii="Arial" w:hAnsi="Arial" w:cs="Arial"/>
          <w:color w:val="000000"/>
        </w:rPr>
        <w:t>In this matter there were no legal proceedings pending, however apparent was that if the legislation is not applied retrospectively it will affect vested rights and not be in sync with the</w:t>
      </w:r>
      <w:r w:rsidR="0072694E">
        <w:rPr>
          <w:rFonts w:ascii="Arial" w:hAnsi="Arial" w:cs="Arial"/>
          <w:color w:val="000000"/>
        </w:rPr>
        <w:t>ir</w:t>
      </w:r>
      <w:r w:rsidR="003C57F5">
        <w:rPr>
          <w:rFonts w:ascii="Arial" w:hAnsi="Arial" w:cs="Arial"/>
          <w:color w:val="000000"/>
        </w:rPr>
        <w:t xml:space="preserve"> intended purpose. </w:t>
      </w:r>
      <w:r>
        <w:rPr>
          <w:rFonts w:ascii="Arial" w:hAnsi="Arial" w:cs="Arial"/>
          <w:color w:val="000000"/>
        </w:rPr>
        <w:t>F</w:t>
      </w:r>
      <w:r w:rsidR="009707E6" w:rsidRPr="00A32AB1">
        <w:rPr>
          <w:rFonts w:ascii="Arial" w:hAnsi="Arial" w:cs="Arial"/>
          <w:color w:val="000000"/>
        </w:rPr>
        <w:t>urthermore,</w:t>
      </w:r>
      <w:r w:rsidR="000A5C2B" w:rsidRPr="00A32AB1">
        <w:rPr>
          <w:rFonts w:ascii="Arial" w:hAnsi="Arial" w:cs="Arial"/>
          <w:color w:val="000000"/>
        </w:rPr>
        <w:t xml:space="preserve"> in</w:t>
      </w:r>
      <w:r w:rsidR="00782D92" w:rsidRPr="00A32AB1">
        <w:rPr>
          <w:rFonts w:ascii="Arial" w:hAnsi="Arial" w:cs="Arial"/>
        </w:rPr>
        <w:t xml:space="preserve"> </w:t>
      </w:r>
      <w:r w:rsidR="00782D92" w:rsidRPr="00A32AB1">
        <w:rPr>
          <w:rFonts w:ascii="Arial" w:hAnsi="Arial" w:cs="Arial"/>
          <w:i/>
          <w:iCs/>
          <w:color w:val="000000"/>
        </w:rPr>
        <w:t>Kaknis v ABSA Bank Limited; Kaknis v MAN Financial Services SA (Pty) Limited</w:t>
      </w:r>
      <w:r w:rsidR="00782D92" w:rsidRPr="00A32AB1">
        <w:rPr>
          <w:rFonts w:ascii="Arial" w:hAnsi="Arial" w:cs="Arial"/>
          <w:color w:val="000000"/>
        </w:rPr>
        <w:t>,</w:t>
      </w:r>
      <w:r w:rsidRPr="00950E27">
        <w:rPr>
          <w:rStyle w:val="FootnoteReference"/>
          <w:rFonts w:ascii="Arial" w:hAnsi="Arial" w:cs="Arial"/>
          <w:i/>
          <w:iCs/>
          <w:color w:val="000000"/>
          <w:sz w:val="22"/>
          <w:szCs w:val="22"/>
        </w:rPr>
        <w:t xml:space="preserve"> </w:t>
      </w:r>
      <w:r w:rsidR="00782D92" w:rsidRPr="00A32AB1">
        <w:rPr>
          <w:rFonts w:ascii="Arial" w:hAnsi="Arial" w:cs="Arial"/>
          <w:color w:val="000000"/>
        </w:rPr>
        <w:t>the court held that</w:t>
      </w:r>
      <w:r w:rsidR="00D1249C">
        <w:rPr>
          <w:rFonts w:ascii="Arial" w:hAnsi="Arial" w:cs="Arial"/>
          <w:color w:val="000000"/>
        </w:rPr>
        <w:t>-</w:t>
      </w:r>
      <w:r w:rsidR="00782D92" w:rsidRPr="00A32AB1">
        <w:rPr>
          <w:rFonts w:ascii="Arial" w:hAnsi="Arial" w:cs="Arial"/>
          <w:color w:val="000000"/>
        </w:rPr>
        <w:t xml:space="preserve"> </w:t>
      </w:r>
    </w:p>
    <w:p w14:paraId="674E9F9A" w14:textId="77777777" w:rsidR="00875FD7" w:rsidRPr="00A32AB1" w:rsidRDefault="00875FD7" w:rsidP="00875FD7">
      <w:pPr>
        <w:pStyle w:val="n10pt-1"/>
        <w:shd w:val="clear" w:color="auto" w:fill="FFFFFF"/>
        <w:spacing w:before="0" w:beforeAutospacing="0" w:after="0" w:afterAutospacing="0" w:line="360" w:lineRule="auto"/>
        <w:jc w:val="both"/>
        <w:rPr>
          <w:rFonts w:ascii="Arial" w:hAnsi="Arial" w:cs="Arial"/>
          <w:color w:val="000000"/>
        </w:rPr>
      </w:pPr>
    </w:p>
    <w:p w14:paraId="1FFA9C8C" w14:textId="136DAC57" w:rsidR="009707E6" w:rsidRDefault="00782D92" w:rsidP="00D1249C">
      <w:pPr>
        <w:pStyle w:val="n10pt-1"/>
        <w:shd w:val="clear" w:color="auto" w:fill="FFFFFF"/>
        <w:spacing w:before="0" w:beforeAutospacing="0" w:after="0" w:afterAutospacing="0" w:line="360" w:lineRule="auto"/>
        <w:ind w:left="1440"/>
        <w:jc w:val="both"/>
        <w:rPr>
          <w:rFonts w:ascii="Arial" w:hAnsi="Arial" w:cs="Arial"/>
          <w:i/>
          <w:iCs/>
          <w:color w:val="000000"/>
          <w:sz w:val="20"/>
          <w:szCs w:val="20"/>
        </w:rPr>
      </w:pPr>
      <w:r w:rsidRPr="00A32AB1">
        <w:rPr>
          <w:rFonts w:ascii="Arial" w:hAnsi="Arial" w:cs="Arial"/>
          <w:i/>
          <w:iCs/>
          <w:color w:val="000000"/>
          <w:sz w:val="22"/>
          <w:szCs w:val="22"/>
        </w:rPr>
        <w:t>“t</w:t>
      </w:r>
      <w:r w:rsidR="000A5C2B" w:rsidRPr="00A32AB1">
        <w:rPr>
          <w:rFonts w:ascii="Arial" w:hAnsi="Arial" w:cs="Arial"/>
          <w:i/>
          <w:iCs/>
          <w:color w:val="000000"/>
          <w:sz w:val="22"/>
          <w:szCs w:val="22"/>
        </w:rPr>
        <w:t>he reasoning behind the presumption against the retrospective application of legislation is premised upon the unwillingness of the courts to inhibit vested rights. In the pivotal authority in this respect Innes CJ stated in the case of Curtis v Johannesburg Municipality</w:t>
      </w:r>
      <w:r w:rsidR="00275CCB" w:rsidRPr="00A32AB1">
        <w:rPr>
          <w:rFonts w:ascii="Arial" w:hAnsi="Arial" w:cs="Arial"/>
          <w:i/>
          <w:iCs/>
          <w:color w:val="000000"/>
          <w:sz w:val="22"/>
          <w:szCs w:val="22"/>
        </w:rPr>
        <w:t xml:space="preserve"> </w:t>
      </w:r>
      <w:r w:rsidR="000A5C2B" w:rsidRPr="00A32AB1">
        <w:rPr>
          <w:rFonts w:ascii="Arial" w:hAnsi="Arial" w:cs="Arial"/>
          <w:i/>
          <w:iCs/>
          <w:color w:val="000000"/>
          <w:sz w:val="22"/>
          <w:szCs w:val="22"/>
        </w:rPr>
        <w:t>1906 TS 308</w:t>
      </w:r>
      <w:r w:rsidR="000A5C2B" w:rsidRPr="00A32AB1">
        <w:rPr>
          <w:rFonts w:ascii="Arial" w:hAnsi="Arial" w:cs="Arial"/>
          <w:color w:val="000000"/>
        </w:rPr>
        <w:t xml:space="preserve">: </w:t>
      </w:r>
      <w:r w:rsidR="000A5C2B" w:rsidRPr="00A32AB1">
        <w:rPr>
          <w:rFonts w:ascii="Arial" w:hAnsi="Arial" w:cs="Arial"/>
          <w:i/>
          <w:iCs/>
          <w:color w:val="000000"/>
          <w:sz w:val="20"/>
          <w:szCs w:val="20"/>
        </w:rPr>
        <w:t>“the general rule is that, in the absence of express provision to the contrary, statutes should be considered as affecting future matters only; and more especially that they should if possible be so interpreted so as not to take away rights actually vested at the time of their promulgation”</w:t>
      </w:r>
      <w:r w:rsidRPr="00A32AB1">
        <w:rPr>
          <w:rFonts w:ascii="Arial" w:hAnsi="Arial" w:cs="Arial"/>
          <w:i/>
          <w:iCs/>
          <w:color w:val="000000"/>
          <w:sz w:val="20"/>
          <w:szCs w:val="20"/>
        </w:rPr>
        <w:t>.</w:t>
      </w:r>
      <w:r w:rsidRPr="00A32AB1">
        <w:rPr>
          <w:rStyle w:val="FootnoteReference"/>
          <w:rFonts w:ascii="Arial" w:hAnsi="Arial" w:cs="Arial"/>
          <w:i/>
          <w:iCs/>
          <w:color w:val="000000"/>
          <w:sz w:val="20"/>
          <w:szCs w:val="20"/>
        </w:rPr>
        <w:footnoteReference w:id="40"/>
      </w:r>
    </w:p>
    <w:p w14:paraId="171370EF" w14:textId="77162FF1" w:rsidR="00A32AB1" w:rsidRPr="00DA7F3F" w:rsidRDefault="00A32AB1" w:rsidP="004B6008">
      <w:pPr>
        <w:pStyle w:val="n10pt-1"/>
        <w:shd w:val="clear" w:color="auto" w:fill="FFFFFF"/>
        <w:spacing w:before="0" w:beforeAutospacing="0" w:after="0" w:afterAutospacing="0" w:line="360" w:lineRule="auto"/>
        <w:jc w:val="both"/>
        <w:rPr>
          <w:rFonts w:ascii="Arial" w:hAnsi="Arial" w:cs="Arial"/>
          <w:color w:val="000000"/>
        </w:rPr>
      </w:pPr>
    </w:p>
    <w:p w14:paraId="319B9BF5" w14:textId="407EA691" w:rsidR="003C4B46" w:rsidRPr="003C4B46" w:rsidRDefault="00950E27" w:rsidP="001B5AFD">
      <w:pPr>
        <w:pStyle w:val="n10pt-1"/>
        <w:shd w:val="clear" w:color="auto" w:fill="FFFFFF"/>
        <w:spacing w:before="0" w:beforeAutospacing="0" w:after="0" w:afterAutospacing="0" w:line="360" w:lineRule="auto"/>
        <w:jc w:val="both"/>
        <w:rPr>
          <w:rFonts w:ascii="Arial" w:hAnsi="Arial" w:cs="Arial"/>
          <w:sz w:val="20"/>
          <w:szCs w:val="20"/>
        </w:rPr>
      </w:pPr>
      <w:r>
        <w:rPr>
          <w:rFonts w:ascii="Arial" w:hAnsi="Arial" w:cs="Arial"/>
          <w:color w:val="000000"/>
        </w:rPr>
        <w:t>[</w:t>
      </w:r>
      <w:r w:rsidR="00545655">
        <w:rPr>
          <w:rFonts w:ascii="Arial" w:hAnsi="Arial" w:cs="Arial"/>
          <w:color w:val="000000"/>
        </w:rPr>
        <w:t>13</w:t>
      </w:r>
      <w:r w:rsidR="00287CC0">
        <w:rPr>
          <w:rFonts w:ascii="Arial" w:hAnsi="Arial" w:cs="Arial"/>
          <w:color w:val="000000"/>
        </w:rPr>
        <w:t>2</w:t>
      </w:r>
      <w:r>
        <w:rPr>
          <w:rFonts w:ascii="Arial" w:hAnsi="Arial" w:cs="Arial"/>
          <w:color w:val="000000"/>
        </w:rPr>
        <w:t>]</w:t>
      </w:r>
      <w:r>
        <w:rPr>
          <w:rFonts w:ascii="Arial" w:hAnsi="Arial" w:cs="Arial"/>
          <w:color w:val="000000"/>
        </w:rPr>
        <w:tab/>
      </w:r>
      <w:r w:rsidR="004B6008" w:rsidRPr="00DA7F3F">
        <w:rPr>
          <w:rFonts w:ascii="Arial" w:hAnsi="Arial" w:cs="Arial"/>
          <w:color w:val="000000"/>
        </w:rPr>
        <w:t xml:space="preserve">In light of the above, </w:t>
      </w:r>
      <w:r w:rsidR="00C50B72">
        <w:rPr>
          <w:rFonts w:ascii="Arial" w:hAnsi="Arial" w:cs="Arial"/>
          <w:color w:val="000000"/>
        </w:rPr>
        <w:t xml:space="preserve">one should note that the purpose of </w:t>
      </w:r>
      <w:r w:rsidR="004B6008" w:rsidRPr="00DA7F3F">
        <w:rPr>
          <w:rFonts w:ascii="Arial" w:hAnsi="Arial" w:cs="Arial"/>
          <w:color w:val="000000"/>
        </w:rPr>
        <w:t xml:space="preserve">s 43 of the MPRDA </w:t>
      </w:r>
      <w:r w:rsidR="001E15C4">
        <w:rPr>
          <w:rFonts w:ascii="Arial" w:hAnsi="Arial" w:cs="Arial"/>
          <w:color w:val="000000"/>
        </w:rPr>
        <w:t xml:space="preserve">is </w:t>
      </w:r>
      <w:r w:rsidR="00DA7F3F" w:rsidRPr="00DA7F3F">
        <w:rPr>
          <w:rFonts w:ascii="Arial" w:hAnsi="Arial" w:cs="Arial"/>
          <w:color w:val="000000"/>
        </w:rPr>
        <w:t>to ensure that environmental impacts, whether positive or negative, are identified, assessed, and managed</w:t>
      </w:r>
      <w:r>
        <w:rPr>
          <w:rFonts w:ascii="Arial" w:hAnsi="Arial" w:cs="Arial"/>
          <w:color w:val="000000"/>
        </w:rPr>
        <w:t xml:space="preserve"> by the persons who are legally responsible.</w:t>
      </w:r>
      <w:r w:rsidR="00C50B72">
        <w:rPr>
          <w:rFonts w:ascii="Arial" w:hAnsi="Arial" w:cs="Arial"/>
          <w:color w:val="000000"/>
        </w:rPr>
        <w:t xml:space="preserve"> This purpose should be read hand in hand with </w:t>
      </w:r>
      <w:r w:rsidR="00611E2C">
        <w:rPr>
          <w:rFonts w:ascii="Arial" w:hAnsi="Arial" w:cs="Arial"/>
          <w:color w:val="000000"/>
        </w:rPr>
        <w:t xml:space="preserve">s 2 </w:t>
      </w:r>
      <w:r w:rsidR="00C50B72">
        <w:rPr>
          <w:rFonts w:ascii="Arial" w:hAnsi="Arial" w:cs="Arial"/>
          <w:color w:val="000000"/>
        </w:rPr>
        <w:t>NEMA principles applying retrospectively. Applying the legislation only prospectively would lead to a situation where environmental statute</w:t>
      </w:r>
      <w:r>
        <w:rPr>
          <w:rFonts w:ascii="Arial" w:hAnsi="Arial" w:cs="Arial"/>
          <w:color w:val="000000"/>
        </w:rPr>
        <w:t>s</w:t>
      </w:r>
      <w:r w:rsidR="00C50B72">
        <w:rPr>
          <w:rFonts w:ascii="Arial" w:hAnsi="Arial" w:cs="Arial"/>
          <w:color w:val="000000"/>
        </w:rPr>
        <w:t xml:space="preserve"> are conflicting. For instance, NEMA contains duty of care and polluter pays principles. </w:t>
      </w:r>
      <w:r w:rsidR="003C57F5">
        <w:rPr>
          <w:rFonts w:ascii="Arial" w:hAnsi="Arial" w:cs="Arial"/>
          <w:color w:val="000000"/>
        </w:rPr>
        <w:t xml:space="preserve">Accordingly, s 2p (6) of NEMA requires the holder, as far as practicable to rehabilitate the environment affected by the prospecting or mining operations to its natural or predetermined state or to the land use that conforms to the generally excepted principle of sustainable development. </w:t>
      </w:r>
      <w:r w:rsidR="00C50B72">
        <w:rPr>
          <w:rFonts w:ascii="Arial" w:hAnsi="Arial" w:cs="Arial"/>
          <w:color w:val="000000"/>
        </w:rPr>
        <w:t>These principles apply retrospectively</w:t>
      </w:r>
      <w:r w:rsidR="001E15C4">
        <w:rPr>
          <w:rFonts w:ascii="Arial" w:hAnsi="Arial" w:cs="Arial"/>
          <w:color w:val="000000"/>
        </w:rPr>
        <w:t xml:space="preserve"> and </w:t>
      </w:r>
      <w:r w:rsidR="00C50B72">
        <w:rPr>
          <w:rFonts w:ascii="Arial" w:hAnsi="Arial" w:cs="Arial"/>
          <w:color w:val="000000"/>
        </w:rPr>
        <w:t>s</w:t>
      </w:r>
      <w:r>
        <w:rPr>
          <w:rFonts w:ascii="Arial" w:hAnsi="Arial" w:cs="Arial"/>
          <w:color w:val="000000"/>
        </w:rPr>
        <w:t xml:space="preserve"> </w:t>
      </w:r>
      <w:r w:rsidR="00C50B72">
        <w:rPr>
          <w:rFonts w:ascii="Arial" w:hAnsi="Arial" w:cs="Arial"/>
          <w:color w:val="000000"/>
        </w:rPr>
        <w:t>43</w:t>
      </w:r>
      <w:r w:rsidR="001E15C4">
        <w:rPr>
          <w:rFonts w:ascii="Arial" w:hAnsi="Arial" w:cs="Arial"/>
          <w:color w:val="000000"/>
        </w:rPr>
        <w:t xml:space="preserve"> </w:t>
      </w:r>
      <w:r w:rsidR="003C57F5">
        <w:rPr>
          <w:rFonts w:ascii="Arial" w:hAnsi="Arial" w:cs="Arial"/>
          <w:color w:val="000000"/>
        </w:rPr>
        <w:t xml:space="preserve">and other sections </w:t>
      </w:r>
      <w:r w:rsidR="001E15C4">
        <w:rPr>
          <w:rFonts w:ascii="Arial" w:hAnsi="Arial" w:cs="Arial"/>
          <w:color w:val="000000"/>
        </w:rPr>
        <w:t>of the MPDRA</w:t>
      </w:r>
      <w:r w:rsidR="00C50B72">
        <w:rPr>
          <w:rFonts w:ascii="Arial" w:hAnsi="Arial" w:cs="Arial"/>
          <w:color w:val="000000"/>
        </w:rPr>
        <w:t xml:space="preserve"> gives effect to </w:t>
      </w:r>
      <w:r w:rsidR="003C57F5">
        <w:rPr>
          <w:rFonts w:ascii="Arial" w:hAnsi="Arial" w:cs="Arial"/>
          <w:color w:val="000000"/>
        </w:rPr>
        <w:t xml:space="preserve">such </w:t>
      </w:r>
      <w:r w:rsidR="00C50B72">
        <w:rPr>
          <w:rFonts w:ascii="Arial" w:hAnsi="Arial" w:cs="Arial"/>
          <w:color w:val="000000"/>
        </w:rPr>
        <w:t>provisions</w:t>
      </w:r>
      <w:r w:rsidR="001E15C4">
        <w:rPr>
          <w:rFonts w:ascii="Arial" w:hAnsi="Arial" w:cs="Arial"/>
          <w:color w:val="000000"/>
        </w:rPr>
        <w:t>.</w:t>
      </w:r>
      <w:r w:rsidR="00C50B72">
        <w:rPr>
          <w:rFonts w:ascii="Arial" w:hAnsi="Arial" w:cs="Arial"/>
          <w:color w:val="000000"/>
        </w:rPr>
        <w:t xml:space="preserve"> </w:t>
      </w:r>
      <w:r w:rsidR="001E15C4">
        <w:rPr>
          <w:rFonts w:ascii="Arial" w:hAnsi="Arial" w:cs="Arial"/>
          <w:color w:val="000000"/>
        </w:rPr>
        <w:t>I</w:t>
      </w:r>
      <w:r w:rsidR="00C50B72">
        <w:rPr>
          <w:rFonts w:ascii="Arial" w:hAnsi="Arial" w:cs="Arial"/>
          <w:color w:val="000000"/>
        </w:rPr>
        <w:t xml:space="preserve">f </w:t>
      </w:r>
      <w:r w:rsidR="001E15C4">
        <w:rPr>
          <w:rFonts w:ascii="Arial" w:hAnsi="Arial" w:cs="Arial"/>
          <w:color w:val="000000"/>
        </w:rPr>
        <w:t xml:space="preserve">s 43 </w:t>
      </w:r>
      <w:r w:rsidR="00C50B72">
        <w:rPr>
          <w:rFonts w:ascii="Arial" w:hAnsi="Arial" w:cs="Arial"/>
          <w:color w:val="000000"/>
        </w:rPr>
        <w:t xml:space="preserve">is only applied prospectively, </w:t>
      </w:r>
      <w:r>
        <w:rPr>
          <w:rFonts w:ascii="Arial" w:hAnsi="Arial" w:cs="Arial"/>
          <w:color w:val="000000"/>
        </w:rPr>
        <w:t>it would not be in s</w:t>
      </w:r>
      <w:r w:rsidR="003C57F5">
        <w:rPr>
          <w:rFonts w:ascii="Arial" w:hAnsi="Arial" w:cs="Arial"/>
          <w:color w:val="000000"/>
        </w:rPr>
        <w:t>y</w:t>
      </w:r>
      <w:r>
        <w:rPr>
          <w:rFonts w:ascii="Arial" w:hAnsi="Arial" w:cs="Arial"/>
          <w:color w:val="000000"/>
        </w:rPr>
        <w:t xml:space="preserve">nc with </w:t>
      </w:r>
      <w:r w:rsidR="00C50B72">
        <w:rPr>
          <w:rFonts w:ascii="Arial" w:hAnsi="Arial" w:cs="Arial"/>
          <w:color w:val="000000"/>
        </w:rPr>
        <w:t xml:space="preserve">NEMA provisions </w:t>
      </w:r>
      <w:r>
        <w:rPr>
          <w:rFonts w:ascii="Arial" w:hAnsi="Arial" w:cs="Arial"/>
          <w:color w:val="000000"/>
        </w:rPr>
        <w:t xml:space="preserve">that </w:t>
      </w:r>
      <w:r w:rsidR="00C50B72">
        <w:rPr>
          <w:rFonts w:ascii="Arial" w:hAnsi="Arial" w:cs="Arial"/>
          <w:color w:val="000000"/>
        </w:rPr>
        <w:t>apply</w:t>
      </w:r>
      <w:r>
        <w:rPr>
          <w:rFonts w:ascii="Arial" w:hAnsi="Arial" w:cs="Arial"/>
          <w:color w:val="000000"/>
        </w:rPr>
        <w:t xml:space="preserve"> </w:t>
      </w:r>
      <w:r w:rsidR="00C50B72">
        <w:rPr>
          <w:rFonts w:ascii="Arial" w:hAnsi="Arial" w:cs="Arial"/>
          <w:color w:val="000000"/>
        </w:rPr>
        <w:t>retrospectively</w:t>
      </w:r>
      <w:r>
        <w:rPr>
          <w:rFonts w:ascii="Arial" w:hAnsi="Arial" w:cs="Arial"/>
          <w:color w:val="000000"/>
        </w:rPr>
        <w:t>.</w:t>
      </w:r>
      <w:r w:rsidR="00C50B72">
        <w:rPr>
          <w:rFonts w:ascii="Arial" w:hAnsi="Arial" w:cs="Arial"/>
          <w:color w:val="000000"/>
        </w:rPr>
        <w:t xml:space="preserve"> </w:t>
      </w:r>
      <w:r>
        <w:rPr>
          <w:rFonts w:ascii="Arial" w:hAnsi="Arial" w:cs="Arial"/>
          <w:color w:val="000000"/>
        </w:rPr>
        <w:t xml:space="preserve">DBCM’s </w:t>
      </w:r>
      <w:r w:rsidR="001E15C4">
        <w:rPr>
          <w:rFonts w:ascii="Arial" w:hAnsi="Arial" w:cs="Arial"/>
          <w:color w:val="000000"/>
        </w:rPr>
        <w:t>claim</w:t>
      </w:r>
      <w:r w:rsidR="00C50B72">
        <w:rPr>
          <w:rFonts w:ascii="Arial" w:hAnsi="Arial" w:cs="Arial"/>
          <w:color w:val="000000"/>
        </w:rPr>
        <w:t xml:space="preserve"> that s</w:t>
      </w:r>
      <w:r>
        <w:rPr>
          <w:rFonts w:ascii="Arial" w:hAnsi="Arial" w:cs="Arial"/>
          <w:color w:val="000000"/>
        </w:rPr>
        <w:t xml:space="preserve"> </w:t>
      </w:r>
      <w:r w:rsidR="00C50B72">
        <w:rPr>
          <w:rFonts w:ascii="Arial" w:hAnsi="Arial" w:cs="Arial"/>
          <w:color w:val="000000"/>
        </w:rPr>
        <w:t xml:space="preserve">43 was incorrectly applied </w:t>
      </w:r>
      <w:r>
        <w:rPr>
          <w:rFonts w:ascii="Arial" w:hAnsi="Arial" w:cs="Arial"/>
          <w:color w:val="000000"/>
        </w:rPr>
        <w:t xml:space="preserve">is </w:t>
      </w:r>
      <w:r w:rsidR="003C57F5">
        <w:rPr>
          <w:rFonts w:ascii="Arial" w:hAnsi="Arial" w:cs="Arial"/>
          <w:color w:val="000000"/>
        </w:rPr>
        <w:t>mi</w:t>
      </w:r>
      <w:r>
        <w:rPr>
          <w:rFonts w:ascii="Arial" w:hAnsi="Arial" w:cs="Arial"/>
          <w:color w:val="000000"/>
        </w:rPr>
        <w:t>sguided</w:t>
      </w:r>
      <w:r w:rsidR="00C50B72">
        <w:rPr>
          <w:rFonts w:ascii="Arial" w:hAnsi="Arial" w:cs="Arial"/>
          <w:color w:val="000000"/>
        </w:rPr>
        <w:t>.</w:t>
      </w:r>
      <w:r>
        <w:rPr>
          <w:rFonts w:ascii="Arial" w:hAnsi="Arial" w:cs="Arial"/>
          <w:color w:val="000000"/>
        </w:rPr>
        <w:t xml:space="preserve"> </w:t>
      </w:r>
      <w:r w:rsidR="00C50B72">
        <w:rPr>
          <w:rFonts w:ascii="Arial" w:hAnsi="Arial" w:cs="Arial"/>
          <w:color w:val="000000"/>
        </w:rPr>
        <w:t>After</w:t>
      </w:r>
      <w:r>
        <w:rPr>
          <w:rFonts w:ascii="Arial" w:hAnsi="Arial" w:cs="Arial"/>
          <w:color w:val="000000"/>
        </w:rPr>
        <w:t xml:space="preserve"> </w:t>
      </w:r>
      <w:r w:rsidR="00C50B72">
        <w:rPr>
          <w:rFonts w:ascii="Arial" w:hAnsi="Arial" w:cs="Arial"/>
          <w:color w:val="000000"/>
        </w:rPr>
        <w:t>all</w:t>
      </w:r>
      <w:r w:rsidR="003C57F5">
        <w:rPr>
          <w:rFonts w:ascii="Arial" w:hAnsi="Arial" w:cs="Arial"/>
          <w:color w:val="000000"/>
        </w:rPr>
        <w:t>, as it has been alluded</w:t>
      </w:r>
      <w:r w:rsidR="003C4B46">
        <w:rPr>
          <w:rFonts w:ascii="Arial" w:hAnsi="Arial" w:cs="Arial"/>
          <w:color w:val="000000"/>
        </w:rPr>
        <w:t>,</w:t>
      </w:r>
      <w:r w:rsidR="003C57F5">
        <w:rPr>
          <w:rFonts w:ascii="Arial" w:hAnsi="Arial" w:cs="Arial"/>
          <w:color w:val="000000"/>
        </w:rPr>
        <w:t xml:space="preserve"> rehabilitation of the environment is an ongoing process that remains post the cessation of operation and or closure certificate and the law is there to make sure that such a responsibility is realised.</w:t>
      </w:r>
      <w:r>
        <w:rPr>
          <w:rFonts w:ascii="Arial" w:hAnsi="Arial" w:cs="Arial"/>
          <w:color w:val="000000"/>
        </w:rPr>
        <w:t xml:space="preserve"> </w:t>
      </w:r>
      <w:r w:rsidR="002A0B86" w:rsidRPr="002A0B86">
        <w:rPr>
          <w:rFonts w:ascii="Arial" w:hAnsi="Arial" w:cs="Arial"/>
          <w:color w:val="242121"/>
          <w:shd w:val="clear" w:color="auto" w:fill="FFFFFF"/>
        </w:rPr>
        <w:t xml:space="preserve">Section 43 (5) </w:t>
      </w:r>
      <w:r w:rsidR="002A0B86" w:rsidRPr="002A0B86">
        <w:rPr>
          <w:rFonts w:ascii="Arial" w:hAnsi="Arial" w:cs="Arial"/>
          <w:color w:val="242121"/>
          <w:shd w:val="clear" w:color="auto" w:fill="FFFFFF"/>
        </w:rPr>
        <w:lastRenderedPageBreak/>
        <w:t>prohibits the issuing of closure certificate unless environmental issues have been addressed.</w:t>
      </w:r>
      <w:r w:rsidR="002A0B86">
        <w:rPr>
          <w:color w:val="242121"/>
          <w:sz w:val="27"/>
          <w:szCs w:val="27"/>
          <w:shd w:val="clear" w:color="auto" w:fill="FFFFFF"/>
        </w:rPr>
        <w:t xml:space="preserve"> </w:t>
      </w:r>
      <w:r>
        <w:rPr>
          <w:rFonts w:ascii="Arial" w:hAnsi="Arial" w:cs="Arial"/>
          <w:color w:val="000000"/>
        </w:rPr>
        <w:t>Moreover, as it can be argued that although it</w:t>
      </w:r>
      <w:r w:rsidR="001E15C4">
        <w:rPr>
          <w:rFonts w:ascii="Arial" w:hAnsi="Arial" w:cs="Arial"/>
          <w:color w:val="000000"/>
        </w:rPr>
        <w:t xml:space="preserve"> is a </w:t>
      </w:r>
      <w:r w:rsidR="001E15C4" w:rsidRPr="001E15C4">
        <w:rPr>
          <w:rFonts w:ascii="Arial" w:hAnsi="Arial" w:cs="Arial"/>
          <w:color w:val="000000"/>
        </w:rPr>
        <w:t>prima facie rule that a statute should not be interpreted as having retrospective effect</w:t>
      </w:r>
      <w:r w:rsidR="001E15C4">
        <w:rPr>
          <w:rFonts w:ascii="Arial" w:hAnsi="Arial" w:cs="Arial"/>
          <w:color w:val="000000"/>
        </w:rPr>
        <w:t>, it is not a strict rule.</w:t>
      </w:r>
      <w:r w:rsidR="009406A4" w:rsidRPr="009406A4">
        <w:rPr>
          <w:color w:val="242121"/>
          <w:sz w:val="27"/>
          <w:szCs w:val="27"/>
          <w:shd w:val="clear" w:color="auto" w:fill="FFFFFF"/>
        </w:rPr>
        <w:t xml:space="preserve"> </w:t>
      </w:r>
      <w:r w:rsidR="003C4B46" w:rsidRPr="003C4B46">
        <w:rPr>
          <w:rFonts w:ascii="Arial" w:hAnsi="Arial" w:cs="Arial"/>
          <w:color w:val="242121"/>
          <w:shd w:val="clear" w:color="auto" w:fill="FFFFFF"/>
        </w:rPr>
        <w:t>A statute is either valid or ‘of no force and effect to the extent of its inconsistency’.</w:t>
      </w:r>
      <w:r w:rsidR="003C4B46">
        <w:rPr>
          <w:rFonts w:ascii="Arial" w:hAnsi="Arial" w:cs="Arial"/>
          <w:color w:val="242121"/>
          <w:shd w:val="clear" w:color="auto" w:fill="FFFFFF"/>
        </w:rPr>
        <w:t xml:space="preserve"> T</w:t>
      </w:r>
      <w:r w:rsidR="003C4B46" w:rsidRPr="003C4B46">
        <w:rPr>
          <w:rFonts w:ascii="Arial" w:hAnsi="Arial" w:cs="Arial"/>
          <w:color w:val="242121"/>
          <w:shd w:val="clear" w:color="auto" w:fill="FFFFFF"/>
        </w:rPr>
        <w:t>he subjective positions in which parties find themselves cannot have a bearing on the status of the provisions of a statute under attack</w:t>
      </w:r>
      <w:r w:rsidR="003C4B46" w:rsidRPr="003C4B46">
        <w:rPr>
          <w:rFonts w:ascii="Arial" w:hAnsi="Arial" w:cs="Arial"/>
          <w:shd w:val="clear" w:color="auto" w:fill="FFFFFF"/>
        </w:rPr>
        <w:t>.</w:t>
      </w:r>
      <w:r w:rsidR="003C4B46">
        <w:rPr>
          <w:rStyle w:val="FootnoteReference"/>
          <w:rFonts w:ascii="Arial" w:hAnsi="Arial" w:cs="Arial"/>
          <w:shd w:val="clear" w:color="auto" w:fill="FFFFFF"/>
        </w:rPr>
        <w:footnoteReference w:id="41"/>
      </w:r>
      <w:r w:rsidR="003C4B46" w:rsidRPr="003C4B46">
        <w:rPr>
          <w:rFonts w:ascii="Arial" w:hAnsi="Arial" w:cs="Arial"/>
          <w:shd w:val="clear" w:color="auto" w:fill="FFFFFF"/>
        </w:rPr>
        <w:t>”</w:t>
      </w:r>
      <w:r w:rsidR="003C4B46" w:rsidRPr="003C4B46">
        <w:rPr>
          <w:rFonts w:ascii="Arial" w:hAnsi="Arial" w:cs="Arial"/>
          <w:i/>
          <w:iCs/>
          <w:shd w:val="clear" w:color="auto" w:fill="FFFFFF"/>
        </w:rPr>
        <w:t xml:space="preserve"> </w:t>
      </w:r>
    </w:p>
    <w:p w14:paraId="0DE7F80A" w14:textId="77777777" w:rsidR="003C4B46" w:rsidRDefault="003C4B46" w:rsidP="00545655">
      <w:pPr>
        <w:pStyle w:val="n10pt-1"/>
        <w:shd w:val="clear" w:color="auto" w:fill="FFFFFF"/>
        <w:spacing w:before="0" w:beforeAutospacing="0" w:after="0" w:afterAutospacing="0" w:line="360" w:lineRule="auto"/>
        <w:jc w:val="both"/>
        <w:rPr>
          <w:rFonts w:ascii="Arial" w:hAnsi="Arial" w:cs="Arial"/>
        </w:rPr>
      </w:pPr>
    </w:p>
    <w:p w14:paraId="18E1966D" w14:textId="24FEE2DB" w:rsidR="00020870" w:rsidRDefault="00287CC0" w:rsidP="00020870">
      <w:pPr>
        <w:tabs>
          <w:tab w:val="left" w:pos="567"/>
        </w:tabs>
        <w:spacing w:after="0" w:line="360" w:lineRule="auto"/>
        <w:jc w:val="both"/>
        <w:rPr>
          <w:rFonts w:ascii="Arial" w:hAnsi="Arial" w:cs="Arial"/>
          <w:sz w:val="24"/>
          <w:szCs w:val="24"/>
        </w:rPr>
      </w:pPr>
      <w:r>
        <w:rPr>
          <w:rFonts w:ascii="Arial" w:hAnsi="Arial" w:cs="Arial"/>
          <w:sz w:val="24"/>
          <w:szCs w:val="24"/>
        </w:rPr>
        <w:t>[133</w:t>
      </w:r>
      <w:r w:rsidR="00545655" w:rsidRPr="001C4057">
        <w:rPr>
          <w:rFonts w:ascii="Arial" w:hAnsi="Arial" w:cs="Arial"/>
          <w:sz w:val="24"/>
          <w:szCs w:val="24"/>
        </w:rPr>
        <w:t>]</w:t>
      </w:r>
      <w:r w:rsidR="001C4057">
        <w:rPr>
          <w:rFonts w:ascii="Arial" w:hAnsi="Arial" w:cs="Arial"/>
          <w:sz w:val="24"/>
          <w:szCs w:val="24"/>
        </w:rPr>
        <w:tab/>
      </w:r>
      <w:r w:rsidR="00545655" w:rsidRPr="001C4057">
        <w:rPr>
          <w:rFonts w:ascii="Arial" w:hAnsi="Arial" w:cs="Arial"/>
          <w:sz w:val="24"/>
          <w:szCs w:val="24"/>
        </w:rPr>
        <w:tab/>
      </w:r>
      <w:r w:rsidR="00ED341C" w:rsidRPr="001C4057">
        <w:rPr>
          <w:rFonts w:ascii="Arial" w:hAnsi="Arial" w:cs="Arial"/>
          <w:sz w:val="24"/>
          <w:szCs w:val="24"/>
        </w:rPr>
        <w:t xml:space="preserve">With regard to the Guidelines, DBCM </w:t>
      </w:r>
      <w:r w:rsidR="003C4B46" w:rsidRPr="001C4057">
        <w:rPr>
          <w:rFonts w:ascii="Arial" w:hAnsi="Arial" w:cs="Arial"/>
          <w:sz w:val="24"/>
          <w:szCs w:val="24"/>
        </w:rPr>
        <w:t xml:space="preserve">had argued that </w:t>
      </w:r>
      <w:r w:rsidR="00ED341C" w:rsidRPr="001C4057">
        <w:rPr>
          <w:rFonts w:ascii="Arial" w:hAnsi="Arial" w:cs="Arial"/>
          <w:sz w:val="24"/>
          <w:szCs w:val="24"/>
        </w:rPr>
        <w:t xml:space="preserve">their application </w:t>
      </w:r>
      <w:r w:rsidR="003C4B46" w:rsidRPr="001C4057">
        <w:rPr>
          <w:rFonts w:ascii="Arial" w:hAnsi="Arial" w:cs="Arial"/>
          <w:sz w:val="24"/>
          <w:szCs w:val="24"/>
        </w:rPr>
        <w:t xml:space="preserve">is </w:t>
      </w:r>
      <w:r w:rsidR="00ED341C" w:rsidRPr="001C4057">
        <w:rPr>
          <w:rFonts w:ascii="Arial" w:hAnsi="Arial" w:cs="Arial"/>
          <w:sz w:val="24"/>
          <w:szCs w:val="24"/>
        </w:rPr>
        <w:t xml:space="preserve">not peremptory but merely directory in nature. </w:t>
      </w:r>
      <w:r w:rsidR="001B5AFD" w:rsidRPr="001C4057">
        <w:rPr>
          <w:rFonts w:ascii="Arial" w:hAnsi="Arial" w:cs="Arial"/>
          <w:sz w:val="24"/>
          <w:szCs w:val="24"/>
        </w:rPr>
        <w:t xml:space="preserve">DMRE published </w:t>
      </w:r>
      <w:r w:rsidR="001C4057">
        <w:rPr>
          <w:rFonts w:ascii="Arial" w:hAnsi="Arial" w:cs="Arial"/>
          <w:sz w:val="24"/>
          <w:szCs w:val="24"/>
        </w:rPr>
        <w:t xml:space="preserve">the </w:t>
      </w:r>
      <w:r w:rsidR="00020870" w:rsidRPr="001C4057">
        <w:rPr>
          <w:rFonts w:ascii="Arial" w:hAnsi="Arial" w:cs="Arial"/>
          <w:sz w:val="24"/>
          <w:szCs w:val="24"/>
        </w:rPr>
        <w:t>guidelines as contemplated in</w:t>
      </w:r>
      <w:r w:rsidR="00020870" w:rsidRPr="00020870">
        <w:rPr>
          <w:rFonts w:ascii="Arial" w:hAnsi="Arial" w:cs="Arial"/>
          <w:sz w:val="24"/>
          <w:szCs w:val="24"/>
        </w:rPr>
        <w:t xml:space="preserve"> Regulation 54 (1) of the MPRDA Regulations titled “the Guideline Document for the Evaluation of Quantum Closure Related Financial Provision provided by a mine (the 2005 guidelines)</w:t>
      </w:r>
      <w:r w:rsidR="001C4057">
        <w:rPr>
          <w:rFonts w:ascii="Arial" w:hAnsi="Arial" w:cs="Arial"/>
          <w:sz w:val="24"/>
          <w:szCs w:val="24"/>
        </w:rPr>
        <w:t xml:space="preserve">. </w:t>
      </w:r>
      <w:r w:rsidR="005107B1" w:rsidRPr="001C4057">
        <w:rPr>
          <w:rFonts w:ascii="Arial" w:hAnsi="Arial" w:cs="Arial"/>
          <w:sz w:val="24"/>
          <w:szCs w:val="24"/>
        </w:rPr>
        <w:t xml:space="preserve">The purpose of their issuing was to make sure that, the rehabilitation of the environment is aimed at and in line with the restoration of the environment or land to its pre- mining production potential. </w:t>
      </w:r>
      <w:r w:rsidR="001C4057">
        <w:rPr>
          <w:rFonts w:ascii="Arial" w:hAnsi="Arial" w:cs="Arial"/>
          <w:sz w:val="24"/>
          <w:szCs w:val="24"/>
        </w:rPr>
        <w:t>The guidelines</w:t>
      </w:r>
      <w:r w:rsidR="00020870" w:rsidRPr="00020870">
        <w:rPr>
          <w:rFonts w:ascii="Arial" w:hAnsi="Arial" w:cs="Arial"/>
          <w:sz w:val="24"/>
          <w:szCs w:val="24"/>
        </w:rPr>
        <w:t xml:space="preserve"> introduc</w:t>
      </w:r>
      <w:r w:rsidR="001C4057">
        <w:rPr>
          <w:rFonts w:ascii="Arial" w:hAnsi="Arial" w:cs="Arial"/>
          <w:sz w:val="24"/>
          <w:szCs w:val="24"/>
        </w:rPr>
        <w:t>ed</w:t>
      </w:r>
      <w:r w:rsidR="00020870" w:rsidRPr="00020870">
        <w:rPr>
          <w:rFonts w:ascii="Arial" w:hAnsi="Arial" w:cs="Arial"/>
          <w:sz w:val="24"/>
          <w:szCs w:val="24"/>
        </w:rPr>
        <w:t xml:space="preserve"> to holders of old order mining rights </w:t>
      </w:r>
      <w:r w:rsidR="001C4057" w:rsidRPr="00020870">
        <w:rPr>
          <w:rFonts w:ascii="Arial" w:hAnsi="Arial" w:cs="Arial"/>
          <w:sz w:val="24"/>
          <w:szCs w:val="24"/>
        </w:rPr>
        <w:t xml:space="preserve">guidance </w:t>
      </w:r>
      <w:r w:rsidR="00020870" w:rsidRPr="00020870">
        <w:rPr>
          <w:rFonts w:ascii="Arial" w:hAnsi="Arial" w:cs="Arial"/>
          <w:sz w:val="24"/>
          <w:szCs w:val="24"/>
        </w:rPr>
        <w:t>on how to comply with the stringent requirements of the new mining legislation (MPRDA)</w:t>
      </w:r>
      <w:r w:rsidR="005107B1">
        <w:rPr>
          <w:rFonts w:ascii="Arial" w:hAnsi="Arial" w:cs="Arial"/>
          <w:sz w:val="24"/>
          <w:szCs w:val="24"/>
        </w:rPr>
        <w:t xml:space="preserve"> to achieve this goal. </w:t>
      </w:r>
      <w:r w:rsidR="001C4057">
        <w:rPr>
          <w:rFonts w:ascii="Arial" w:hAnsi="Arial" w:cs="Arial"/>
          <w:sz w:val="24"/>
          <w:szCs w:val="24"/>
        </w:rPr>
        <w:t>DBCM</w:t>
      </w:r>
      <w:r w:rsidR="001B5AFD">
        <w:rPr>
          <w:rFonts w:ascii="Arial" w:hAnsi="Arial" w:cs="Arial"/>
          <w:sz w:val="24"/>
          <w:szCs w:val="24"/>
        </w:rPr>
        <w:t xml:space="preserve"> was directly affected by these guidelines introduced in 2005</w:t>
      </w:r>
      <w:r w:rsidR="001C4057">
        <w:rPr>
          <w:rFonts w:ascii="Arial" w:hAnsi="Arial" w:cs="Arial"/>
          <w:sz w:val="24"/>
          <w:szCs w:val="24"/>
        </w:rPr>
        <w:t xml:space="preserve"> as an operator of an open cast pit</w:t>
      </w:r>
      <w:r w:rsidR="001B5AFD">
        <w:rPr>
          <w:rFonts w:ascii="Arial" w:hAnsi="Arial" w:cs="Arial"/>
          <w:sz w:val="24"/>
          <w:szCs w:val="24"/>
        </w:rPr>
        <w:t xml:space="preserve">. </w:t>
      </w:r>
      <w:r w:rsidR="00020870" w:rsidRPr="00020870">
        <w:rPr>
          <w:rFonts w:ascii="Arial" w:hAnsi="Arial" w:cs="Arial"/>
          <w:sz w:val="24"/>
          <w:szCs w:val="24"/>
        </w:rPr>
        <w:t>Section C of the guidelines on the Generally Accepted Closure Method provides that DBCM when rehabilitating the Oaks Mine must ensure that:</w:t>
      </w:r>
    </w:p>
    <w:p w14:paraId="2154996F" w14:textId="77777777" w:rsidR="00020870" w:rsidRDefault="00020870" w:rsidP="00020870">
      <w:pPr>
        <w:tabs>
          <w:tab w:val="left" w:pos="567"/>
        </w:tabs>
        <w:spacing w:after="0" w:line="360" w:lineRule="auto"/>
        <w:jc w:val="both"/>
        <w:rPr>
          <w:rFonts w:ascii="Arial" w:hAnsi="Arial" w:cs="Arial"/>
          <w:sz w:val="24"/>
          <w:szCs w:val="24"/>
        </w:rPr>
      </w:pPr>
    </w:p>
    <w:p w14:paraId="458EF5E4" w14:textId="485095E0" w:rsidR="00020870" w:rsidRPr="00020870" w:rsidRDefault="00020870" w:rsidP="00020870">
      <w:pPr>
        <w:tabs>
          <w:tab w:val="left" w:pos="567"/>
        </w:tabs>
        <w:spacing w:after="0" w:line="360" w:lineRule="auto"/>
        <w:ind w:left="720"/>
        <w:jc w:val="both"/>
        <w:rPr>
          <w:rFonts w:ascii="Arial" w:hAnsi="Arial" w:cs="Arial"/>
          <w:sz w:val="24"/>
          <w:szCs w:val="24"/>
        </w:rPr>
      </w:pPr>
      <w:r w:rsidRPr="00020870">
        <w:rPr>
          <w:rFonts w:ascii="Arial" w:hAnsi="Arial" w:cs="Arial"/>
          <w:sz w:val="24"/>
          <w:szCs w:val="24"/>
        </w:rPr>
        <w:t>[</w:t>
      </w:r>
      <w:r w:rsidR="00B050DD">
        <w:rPr>
          <w:rFonts w:ascii="Arial" w:hAnsi="Arial" w:cs="Arial"/>
          <w:sz w:val="24"/>
          <w:szCs w:val="24"/>
        </w:rPr>
        <w:t>13</w:t>
      </w:r>
      <w:r w:rsidR="00287CC0">
        <w:rPr>
          <w:rFonts w:ascii="Arial" w:hAnsi="Arial" w:cs="Arial"/>
          <w:sz w:val="24"/>
          <w:szCs w:val="24"/>
        </w:rPr>
        <w:t>3</w:t>
      </w:r>
      <w:r w:rsidRPr="00020870">
        <w:rPr>
          <w:rFonts w:ascii="Arial" w:hAnsi="Arial" w:cs="Arial"/>
          <w:sz w:val="24"/>
          <w:szCs w:val="24"/>
        </w:rPr>
        <w:t>.1] the excess material from the open cast pit is deposited in close proximity to the pit for in filling of the open cast pit once the ore body has been removed.</w:t>
      </w:r>
    </w:p>
    <w:p w14:paraId="187BF902" w14:textId="77777777" w:rsidR="00020870" w:rsidRPr="00020870" w:rsidRDefault="00020870" w:rsidP="00020870">
      <w:pPr>
        <w:tabs>
          <w:tab w:val="left" w:pos="567"/>
        </w:tabs>
        <w:spacing w:after="0" w:line="360" w:lineRule="auto"/>
        <w:ind w:left="720"/>
        <w:jc w:val="both"/>
        <w:rPr>
          <w:rFonts w:ascii="Arial" w:hAnsi="Arial" w:cs="Arial"/>
          <w:sz w:val="24"/>
          <w:szCs w:val="24"/>
        </w:rPr>
      </w:pPr>
      <w:r w:rsidRPr="00020870">
        <w:rPr>
          <w:rFonts w:ascii="Arial" w:hAnsi="Arial" w:cs="Arial"/>
          <w:sz w:val="24"/>
          <w:szCs w:val="24"/>
        </w:rPr>
        <w:t xml:space="preserve"> </w:t>
      </w:r>
    </w:p>
    <w:p w14:paraId="095196F1" w14:textId="16E7EEBA" w:rsidR="003C4B46" w:rsidRDefault="00020870" w:rsidP="001B5AFD">
      <w:pPr>
        <w:pStyle w:val="n10pt-1"/>
        <w:shd w:val="clear" w:color="auto" w:fill="FFFFFF"/>
        <w:spacing w:before="0" w:beforeAutospacing="0" w:after="0" w:afterAutospacing="0" w:line="360" w:lineRule="auto"/>
        <w:ind w:left="720"/>
        <w:jc w:val="both"/>
        <w:rPr>
          <w:rFonts w:ascii="Arial" w:hAnsi="Arial" w:cs="Arial"/>
          <w:b/>
        </w:rPr>
      </w:pPr>
      <w:r w:rsidRPr="00020870">
        <w:rPr>
          <w:rFonts w:ascii="Arial" w:hAnsi="Arial" w:cs="Arial"/>
        </w:rPr>
        <w:t>[</w:t>
      </w:r>
      <w:r w:rsidR="00B050DD">
        <w:rPr>
          <w:rFonts w:ascii="Arial" w:hAnsi="Arial" w:cs="Arial"/>
        </w:rPr>
        <w:t>13</w:t>
      </w:r>
      <w:r w:rsidR="00287CC0">
        <w:rPr>
          <w:rFonts w:ascii="Arial" w:hAnsi="Arial" w:cs="Arial"/>
        </w:rPr>
        <w:t>3</w:t>
      </w:r>
      <w:r w:rsidRPr="00020870">
        <w:rPr>
          <w:rFonts w:ascii="Arial" w:hAnsi="Arial" w:cs="Arial"/>
        </w:rPr>
        <w:t>.2] the open cast pit perimeter wall must still be rendered safe for humans   and domestic animals.</w:t>
      </w:r>
    </w:p>
    <w:p w14:paraId="7A353CB9" w14:textId="77777777" w:rsidR="001B5AFD" w:rsidRDefault="001B5AFD" w:rsidP="00A32AB1">
      <w:pPr>
        <w:pStyle w:val="blockquote-x"/>
        <w:shd w:val="clear" w:color="auto" w:fill="FFFFFF"/>
        <w:spacing w:before="0" w:beforeAutospacing="0" w:after="0" w:afterAutospacing="0" w:line="360" w:lineRule="auto"/>
        <w:ind w:right="-46"/>
        <w:jc w:val="both"/>
        <w:rPr>
          <w:rFonts w:ascii="Arial" w:hAnsi="Arial" w:cs="Arial"/>
          <w:b/>
        </w:rPr>
      </w:pPr>
    </w:p>
    <w:p w14:paraId="36DFEC22" w14:textId="1A99C32B" w:rsidR="005107B1" w:rsidRDefault="005107B1" w:rsidP="00A32AB1">
      <w:pPr>
        <w:pStyle w:val="blockquote-x"/>
        <w:shd w:val="clear" w:color="auto" w:fill="FFFFFF"/>
        <w:spacing w:before="0" w:beforeAutospacing="0" w:after="0" w:afterAutospacing="0" w:line="360" w:lineRule="auto"/>
        <w:ind w:right="-46"/>
        <w:jc w:val="both"/>
        <w:rPr>
          <w:rFonts w:ascii="Arial" w:hAnsi="Arial" w:cs="Arial"/>
        </w:rPr>
      </w:pPr>
      <w:r w:rsidRPr="005107B1">
        <w:rPr>
          <w:rFonts w:ascii="Arial" w:hAnsi="Arial" w:cs="Arial"/>
        </w:rPr>
        <w:t>[13</w:t>
      </w:r>
      <w:r w:rsidR="00287CC0">
        <w:rPr>
          <w:rFonts w:ascii="Arial" w:hAnsi="Arial" w:cs="Arial"/>
        </w:rPr>
        <w:t>4</w:t>
      </w:r>
      <w:r w:rsidRPr="005107B1">
        <w:rPr>
          <w:rFonts w:ascii="Arial" w:hAnsi="Arial" w:cs="Arial"/>
        </w:rPr>
        <w:t>] This is in line with</w:t>
      </w:r>
      <w:r>
        <w:rPr>
          <w:rFonts w:ascii="Arial" w:hAnsi="Arial" w:cs="Arial"/>
        </w:rPr>
        <w:t xml:space="preserve"> s 37 of </w:t>
      </w:r>
      <w:r w:rsidR="009337A1">
        <w:rPr>
          <w:rFonts w:ascii="Arial" w:hAnsi="Arial" w:cs="Arial"/>
        </w:rPr>
        <w:t xml:space="preserve">the MRPDA provisions that confirms that the </w:t>
      </w:r>
      <w:r w:rsidRPr="005107B1">
        <w:rPr>
          <w:rFonts w:ascii="Arial" w:hAnsi="Arial" w:cs="Arial"/>
        </w:rPr>
        <w:t xml:space="preserve">environmental management principles </w:t>
      </w:r>
      <w:r>
        <w:rPr>
          <w:rFonts w:ascii="Arial" w:hAnsi="Arial" w:cs="Arial"/>
        </w:rPr>
        <w:t xml:space="preserve">as </w:t>
      </w:r>
      <w:r w:rsidR="009337A1">
        <w:rPr>
          <w:rFonts w:ascii="Arial" w:hAnsi="Arial" w:cs="Arial"/>
        </w:rPr>
        <w:t xml:space="preserve">set out in s 2 of NEMA, apply to all prospecting and mining operations as the case may be and any matter of activity relating to such operation. Also serving as guidelines for the interpretation, </w:t>
      </w:r>
      <w:r w:rsidR="009337A1">
        <w:rPr>
          <w:rFonts w:ascii="Arial" w:hAnsi="Arial" w:cs="Arial"/>
        </w:rPr>
        <w:lastRenderedPageBreak/>
        <w:t>adm</w:t>
      </w:r>
      <w:r w:rsidR="00716162">
        <w:rPr>
          <w:rFonts w:ascii="Arial" w:hAnsi="Arial" w:cs="Arial"/>
        </w:rPr>
        <w:t>i</w:t>
      </w:r>
      <w:r w:rsidR="009337A1">
        <w:rPr>
          <w:rFonts w:ascii="Arial" w:hAnsi="Arial" w:cs="Arial"/>
        </w:rPr>
        <w:t>nistr</w:t>
      </w:r>
      <w:r w:rsidR="00716162">
        <w:rPr>
          <w:rFonts w:ascii="Arial" w:hAnsi="Arial" w:cs="Arial"/>
        </w:rPr>
        <w:t>a</w:t>
      </w:r>
      <w:r w:rsidR="009337A1">
        <w:rPr>
          <w:rFonts w:ascii="Arial" w:hAnsi="Arial" w:cs="Arial"/>
        </w:rPr>
        <w:t xml:space="preserve">tion and implementation of environmental requirement of this Act. </w:t>
      </w:r>
      <w:r w:rsidR="00716162">
        <w:rPr>
          <w:rFonts w:ascii="Arial" w:hAnsi="Arial" w:cs="Arial"/>
        </w:rPr>
        <w:t>Lastly it is to be noted that also s 37 (2) provides that:</w:t>
      </w:r>
    </w:p>
    <w:p w14:paraId="64B2191D" w14:textId="7D4411F0" w:rsidR="00716162" w:rsidRDefault="00716162" w:rsidP="00A32AB1">
      <w:pPr>
        <w:pStyle w:val="blockquote-x"/>
        <w:shd w:val="clear" w:color="auto" w:fill="FFFFFF"/>
        <w:spacing w:before="0" w:beforeAutospacing="0" w:after="0" w:afterAutospacing="0" w:line="360" w:lineRule="auto"/>
        <w:ind w:right="-46"/>
        <w:jc w:val="both"/>
        <w:rPr>
          <w:rFonts w:ascii="Arial" w:hAnsi="Arial" w:cs="Arial"/>
        </w:rPr>
      </w:pPr>
      <w:r>
        <w:rPr>
          <w:rFonts w:ascii="Arial" w:hAnsi="Arial" w:cs="Arial"/>
        </w:rPr>
        <w:tab/>
      </w:r>
    </w:p>
    <w:p w14:paraId="4C7F943D" w14:textId="04C2AFB3" w:rsidR="005107B1" w:rsidRDefault="00716162" w:rsidP="00716162">
      <w:pPr>
        <w:pStyle w:val="blockquote-x"/>
        <w:shd w:val="clear" w:color="auto" w:fill="FFFFFF"/>
        <w:spacing w:before="0" w:beforeAutospacing="0" w:after="0" w:afterAutospacing="0" w:line="360" w:lineRule="auto"/>
        <w:ind w:left="1440" w:right="-46"/>
        <w:jc w:val="both"/>
        <w:rPr>
          <w:rFonts w:ascii="Arial" w:hAnsi="Arial" w:cs="Arial"/>
          <w:b/>
        </w:rPr>
      </w:pPr>
      <w:r>
        <w:rPr>
          <w:rFonts w:ascii="Arial" w:hAnsi="Arial" w:cs="Arial"/>
        </w:rPr>
        <w:t>“</w:t>
      </w:r>
      <w:r w:rsidRPr="004B09FF">
        <w:rPr>
          <w:rFonts w:ascii="Arial" w:hAnsi="Arial" w:cs="Arial"/>
          <w:i/>
        </w:rPr>
        <w:t xml:space="preserve">Any prospecting or mining operation must be conducted in accordance with generally accepted principles of sustainable development by </w:t>
      </w:r>
      <w:r w:rsidR="004B09FF" w:rsidRPr="004B09FF">
        <w:rPr>
          <w:rFonts w:ascii="Arial" w:hAnsi="Arial" w:cs="Arial"/>
          <w:i/>
        </w:rPr>
        <w:t>integra</w:t>
      </w:r>
      <w:r w:rsidR="004B09FF">
        <w:rPr>
          <w:rFonts w:ascii="Arial" w:hAnsi="Arial" w:cs="Arial"/>
          <w:i/>
        </w:rPr>
        <w:t>t</w:t>
      </w:r>
      <w:r w:rsidR="004B09FF" w:rsidRPr="004B09FF">
        <w:rPr>
          <w:rFonts w:ascii="Arial" w:hAnsi="Arial" w:cs="Arial"/>
          <w:i/>
        </w:rPr>
        <w:t>ing</w:t>
      </w:r>
      <w:r w:rsidRPr="004B09FF">
        <w:rPr>
          <w:rFonts w:ascii="Arial" w:hAnsi="Arial" w:cs="Arial"/>
          <w:i/>
        </w:rPr>
        <w:t xml:space="preserve"> socio economic and environmental factors into the planning and</w:t>
      </w:r>
      <w:r w:rsidR="004B09FF">
        <w:rPr>
          <w:rFonts w:ascii="Arial" w:hAnsi="Arial" w:cs="Arial"/>
          <w:i/>
        </w:rPr>
        <w:t xml:space="preserve"> </w:t>
      </w:r>
      <w:r w:rsidRPr="004B09FF">
        <w:rPr>
          <w:rFonts w:ascii="Arial" w:hAnsi="Arial" w:cs="Arial"/>
          <w:i/>
        </w:rPr>
        <w:t>implementation of prospecting and mining projec</w:t>
      </w:r>
      <w:r w:rsidR="004B09FF">
        <w:rPr>
          <w:rFonts w:ascii="Arial" w:hAnsi="Arial" w:cs="Arial"/>
          <w:i/>
        </w:rPr>
        <w:t>t</w:t>
      </w:r>
      <w:r w:rsidRPr="004B09FF">
        <w:rPr>
          <w:rFonts w:ascii="Arial" w:hAnsi="Arial" w:cs="Arial"/>
          <w:i/>
        </w:rPr>
        <w:t>s in order to ensure that exploitation of mineral resources serves present and future generations.</w:t>
      </w:r>
      <w:r w:rsidR="004B09FF" w:rsidRPr="004B09FF">
        <w:rPr>
          <w:rFonts w:ascii="Arial" w:hAnsi="Arial" w:cs="Arial"/>
          <w:i/>
        </w:rPr>
        <w:t>”</w:t>
      </w:r>
    </w:p>
    <w:p w14:paraId="0B52371A" w14:textId="77777777" w:rsidR="005107B1" w:rsidRDefault="005107B1" w:rsidP="00A32AB1">
      <w:pPr>
        <w:pStyle w:val="blockquote-x"/>
        <w:shd w:val="clear" w:color="auto" w:fill="FFFFFF"/>
        <w:spacing w:before="0" w:beforeAutospacing="0" w:after="0" w:afterAutospacing="0" w:line="360" w:lineRule="auto"/>
        <w:ind w:right="-46"/>
        <w:jc w:val="both"/>
        <w:rPr>
          <w:rFonts w:ascii="Arial" w:hAnsi="Arial" w:cs="Arial"/>
          <w:b/>
        </w:rPr>
      </w:pPr>
    </w:p>
    <w:p w14:paraId="2CFCBE78" w14:textId="3F54E4F2" w:rsidR="0055453B" w:rsidRPr="00240D3F" w:rsidRDefault="005107B1" w:rsidP="00A32AB1">
      <w:pPr>
        <w:pStyle w:val="blockquote-x"/>
        <w:shd w:val="clear" w:color="auto" w:fill="FFFFFF"/>
        <w:spacing w:before="0" w:beforeAutospacing="0" w:after="0" w:afterAutospacing="0" w:line="360" w:lineRule="auto"/>
        <w:ind w:right="-46"/>
        <w:jc w:val="both"/>
        <w:rPr>
          <w:rFonts w:ascii="Arial" w:hAnsi="Arial" w:cs="Arial"/>
          <w:b/>
          <w:color w:val="FF0000"/>
        </w:rPr>
      </w:pPr>
      <w:r>
        <w:rPr>
          <w:rFonts w:ascii="Arial" w:hAnsi="Arial" w:cs="Arial"/>
          <w:b/>
        </w:rPr>
        <w:t xml:space="preserve"> </w:t>
      </w:r>
      <w:r w:rsidR="00782D92" w:rsidRPr="00BD5588">
        <w:rPr>
          <w:rFonts w:ascii="Arial" w:hAnsi="Arial" w:cs="Arial"/>
          <w:b/>
        </w:rPr>
        <w:t>Whether the applicant should first exhaust the internal remedies before approaching the court</w:t>
      </w:r>
      <w:r w:rsidR="00782D92" w:rsidRPr="00240D3F">
        <w:rPr>
          <w:rFonts w:ascii="Arial" w:hAnsi="Arial" w:cs="Arial"/>
          <w:b/>
          <w:color w:val="FF0000"/>
        </w:rPr>
        <w:t>.</w:t>
      </w:r>
      <w:r w:rsidR="00240D3F" w:rsidRPr="00240D3F">
        <w:rPr>
          <w:rFonts w:ascii="Verdana" w:hAnsi="Verdana"/>
          <w:i/>
          <w:iCs/>
          <w:color w:val="FF0000"/>
          <w:sz w:val="27"/>
          <w:szCs w:val="27"/>
          <w:shd w:val="clear" w:color="auto" w:fill="FFFFFF"/>
        </w:rPr>
        <w:t xml:space="preserve"> </w:t>
      </w:r>
    </w:p>
    <w:p w14:paraId="415261B4" w14:textId="77777777" w:rsidR="003C57F5" w:rsidRPr="00950E27" w:rsidRDefault="003C57F5" w:rsidP="00A32AB1">
      <w:pPr>
        <w:pStyle w:val="blockquote-x"/>
        <w:shd w:val="clear" w:color="auto" w:fill="FFFFFF"/>
        <w:spacing w:before="0" w:beforeAutospacing="0" w:after="0" w:afterAutospacing="0" w:line="360" w:lineRule="auto"/>
        <w:ind w:right="-46"/>
        <w:jc w:val="both"/>
        <w:rPr>
          <w:rFonts w:ascii="Arial" w:hAnsi="Arial" w:cs="Arial"/>
          <w:b/>
          <w:color w:val="000000"/>
        </w:rPr>
      </w:pPr>
    </w:p>
    <w:p w14:paraId="712DB178" w14:textId="01E8B4F0" w:rsidR="0031026D" w:rsidRPr="00950E27" w:rsidRDefault="00950E27" w:rsidP="00D57DE5">
      <w:pPr>
        <w:pStyle w:val="ListParagraph"/>
        <w:spacing w:after="0" w:line="360" w:lineRule="auto"/>
        <w:ind w:left="0"/>
        <w:jc w:val="both"/>
        <w:rPr>
          <w:rFonts w:ascii="Arial" w:hAnsi="Arial" w:cs="Arial"/>
          <w:sz w:val="24"/>
          <w:szCs w:val="24"/>
        </w:rPr>
      </w:pPr>
      <w:r>
        <w:rPr>
          <w:rFonts w:ascii="Arial" w:hAnsi="Arial" w:cs="Arial"/>
          <w:iCs/>
          <w:sz w:val="24"/>
          <w:szCs w:val="24"/>
        </w:rPr>
        <w:t>[1</w:t>
      </w:r>
      <w:r w:rsidR="003C4B46">
        <w:rPr>
          <w:rFonts w:ascii="Arial" w:hAnsi="Arial" w:cs="Arial"/>
          <w:iCs/>
          <w:sz w:val="24"/>
          <w:szCs w:val="24"/>
        </w:rPr>
        <w:t>3</w:t>
      </w:r>
      <w:r w:rsidR="00287CC0">
        <w:rPr>
          <w:rFonts w:ascii="Arial" w:hAnsi="Arial" w:cs="Arial"/>
          <w:iCs/>
          <w:sz w:val="24"/>
          <w:szCs w:val="24"/>
        </w:rPr>
        <w:t>5</w:t>
      </w:r>
      <w:r>
        <w:rPr>
          <w:rFonts w:ascii="Arial" w:hAnsi="Arial" w:cs="Arial"/>
          <w:iCs/>
          <w:sz w:val="24"/>
          <w:szCs w:val="24"/>
        </w:rPr>
        <w:t>]</w:t>
      </w:r>
      <w:r>
        <w:rPr>
          <w:rFonts w:ascii="Arial" w:hAnsi="Arial" w:cs="Arial"/>
          <w:iCs/>
          <w:sz w:val="24"/>
          <w:szCs w:val="24"/>
        </w:rPr>
        <w:tab/>
      </w:r>
      <w:r w:rsidR="000850C2">
        <w:rPr>
          <w:rFonts w:ascii="Arial" w:hAnsi="Arial" w:cs="Arial"/>
          <w:iCs/>
          <w:sz w:val="24"/>
          <w:szCs w:val="24"/>
        </w:rPr>
        <w:t>It being common cause that this is an administrative decision, s</w:t>
      </w:r>
      <w:r w:rsidR="000850C2" w:rsidRPr="00DB4D3C">
        <w:rPr>
          <w:rFonts w:ascii="Arial" w:hAnsi="Arial" w:cs="Arial"/>
          <w:iCs/>
          <w:sz w:val="24"/>
          <w:szCs w:val="24"/>
        </w:rPr>
        <w:t xml:space="preserve"> 96</w:t>
      </w:r>
      <w:r w:rsidR="000850C2">
        <w:rPr>
          <w:rStyle w:val="FootnoteReference"/>
          <w:rFonts w:ascii="Arial" w:hAnsi="Arial" w:cs="Arial"/>
          <w:iCs/>
          <w:sz w:val="24"/>
          <w:szCs w:val="24"/>
        </w:rPr>
        <w:footnoteReference w:id="42"/>
      </w:r>
      <w:r w:rsidR="000850C2" w:rsidRPr="00DB4D3C">
        <w:rPr>
          <w:rFonts w:ascii="Arial" w:hAnsi="Arial" w:cs="Arial"/>
          <w:iCs/>
          <w:sz w:val="24"/>
          <w:szCs w:val="24"/>
        </w:rPr>
        <w:t xml:space="preserve"> of the MPRDA provides for the internal process and access</w:t>
      </w:r>
      <w:r w:rsidR="000850C2">
        <w:rPr>
          <w:rFonts w:ascii="Arial" w:hAnsi="Arial" w:cs="Arial"/>
          <w:iCs/>
          <w:sz w:val="24"/>
          <w:szCs w:val="24"/>
        </w:rPr>
        <w:t xml:space="preserve"> to</w:t>
      </w:r>
      <w:r w:rsidR="000850C2" w:rsidRPr="00DB4D3C">
        <w:rPr>
          <w:rFonts w:ascii="Arial" w:hAnsi="Arial" w:cs="Arial"/>
          <w:iCs/>
          <w:sz w:val="24"/>
          <w:szCs w:val="24"/>
        </w:rPr>
        <w:t xml:space="preserve"> courts</w:t>
      </w:r>
      <w:r w:rsidR="000850C2">
        <w:rPr>
          <w:rFonts w:ascii="Arial" w:hAnsi="Arial" w:cs="Arial"/>
          <w:iCs/>
          <w:sz w:val="24"/>
          <w:szCs w:val="24"/>
        </w:rPr>
        <w:t>.</w:t>
      </w:r>
      <w:r w:rsidR="000850C2" w:rsidRPr="00950E27">
        <w:rPr>
          <w:rFonts w:ascii="Arial" w:hAnsi="Arial" w:cs="Arial"/>
          <w:sz w:val="24"/>
          <w:szCs w:val="24"/>
        </w:rPr>
        <w:t xml:space="preserve"> </w:t>
      </w:r>
      <w:r w:rsidR="0031026D" w:rsidRPr="00950E27">
        <w:rPr>
          <w:rFonts w:ascii="Arial" w:hAnsi="Arial" w:cs="Arial"/>
          <w:sz w:val="24"/>
          <w:szCs w:val="24"/>
        </w:rPr>
        <w:t>Section 96(1) confers a right of appeal to either the Minister or the D</w:t>
      </w:r>
      <w:r w:rsidR="009144D6">
        <w:rPr>
          <w:rFonts w:ascii="Arial" w:hAnsi="Arial" w:cs="Arial"/>
          <w:sz w:val="24"/>
          <w:szCs w:val="24"/>
        </w:rPr>
        <w:t xml:space="preserve">irector </w:t>
      </w:r>
      <w:r w:rsidR="0031026D" w:rsidRPr="00950E27">
        <w:rPr>
          <w:rFonts w:ascii="Arial" w:hAnsi="Arial" w:cs="Arial"/>
          <w:sz w:val="24"/>
          <w:szCs w:val="24"/>
        </w:rPr>
        <w:t>G</w:t>
      </w:r>
      <w:r w:rsidR="009144D6">
        <w:rPr>
          <w:rFonts w:ascii="Arial" w:hAnsi="Arial" w:cs="Arial"/>
          <w:sz w:val="24"/>
          <w:szCs w:val="24"/>
        </w:rPr>
        <w:t>eneral</w:t>
      </w:r>
      <w:r w:rsidR="0031026D" w:rsidRPr="00950E27">
        <w:rPr>
          <w:rFonts w:ascii="Arial" w:hAnsi="Arial" w:cs="Arial"/>
          <w:sz w:val="24"/>
          <w:szCs w:val="24"/>
        </w:rPr>
        <w:t xml:space="preserve">, as the case may be, upon any person whose rights or legitimate expectations have been materially and adversely affected, or who is aggrieved by any administrative decision made in terms of the MPRDA. Then section 96(3) precludes any person from </w:t>
      </w:r>
      <w:r w:rsidRPr="00950E27">
        <w:rPr>
          <w:rFonts w:ascii="Arial" w:hAnsi="Arial" w:cs="Arial"/>
          <w:sz w:val="24"/>
          <w:szCs w:val="24"/>
        </w:rPr>
        <w:t>applying to court for the review of an administrative decision contemplated in section 96(1), until that person has exhausted his or her remedies in terms of that subsection.</w:t>
      </w:r>
      <w:r w:rsidR="0031026D" w:rsidRPr="00950E27">
        <w:rPr>
          <w:rFonts w:ascii="Arial" w:hAnsi="Arial" w:cs="Arial"/>
          <w:sz w:val="24"/>
          <w:szCs w:val="24"/>
        </w:rPr>
        <w:t xml:space="preserve"> </w:t>
      </w:r>
    </w:p>
    <w:p w14:paraId="5B659D09" w14:textId="77777777" w:rsidR="0031026D" w:rsidRPr="00950E27" w:rsidRDefault="0031026D" w:rsidP="00305D83">
      <w:pPr>
        <w:spacing w:after="0" w:line="360" w:lineRule="auto"/>
        <w:jc w:val="both"/>
        <w:rPr>
          <w:rFonts w:ascii="Arial" w:hAnsi="Arial" w:cs="Arial"/>
          <w:sz w:val="24"/>
          <w:szCs w:val="24"/>
        </w:rPr>
      </w:pPr>
    </w:p>
    <w:p w14:paraId="4E84ADE2" w14:textId="34F793CB" w:rsidR="0031026D" w:rsidRPr="00950E27" w:rsidRDefault="00287CC0" w:rsidP="000850C2">
      <w:pPr>
        <w:pStyle w:val="ListParagraph"/>
        <w:spacing w:after="0" w:line="360" w:lineRule="auto"/>
        <w:ind w:left="0"/>
        <w:jc w:val="both"/>
        <w:rPr>
          <w:rFonts w:ascii="Arial" w:hAnsi="Arial" w:cs="Arial"/>
          <w:sz w:val="24"/>
          <w:szCs w:val="24"/>
        </w:rPr>
      </w:pPr>
      <w:r>
        <w:rPr>
          <w:rFonts w:ascii="Arial" w:hAnsi="Arial" w:cs="Arial"/>
          <w:sz w:val="24"/>
          <w:szCs w:val="24"/>
        </w:rPr>
        <w:t>[136</w:t>
      </w:r>
      <w:r w:rsidR="0031026D" w:rsidRPr="00950E27">
        <w:rPr>
          <w:rFonts w:ascii="Arial" w:hAnsi="Arial" w:cs="Arial"/>
          <w:sz w:val="24"/>
          <w:szCs w:val="24"/>
        </w:rPr>
        <w:t>]</w:t>
      </w:r>
      <w:r w:rsidR="00950E27">
        <w:rPr>
          <w:rFonts w:ascii="Arial" w:hAnsi="Arial" w:cs="Arial"/>
          <w:sz w:val="24"/>
          <w:szCs w:val="24"/>
        </w:rPr>
        <w:tab/>
      </w:r>
      <w:r w:rsidR="0031026D" w:rsidRPr="00950E27">
        <w:rPr>
          <w:rFonts w:ascii="Arial" w:hAnsi="Arial" w:cs="Arial"/>
          <w:sz w:val="24"/>
          <w:szCs w:val="24"/>
        </w:rPr>
        <w:t>Section 96(4)</w:t>
      </w:r>
      <w:r w:rsidR="000850C2">
        <w:rPr>
          <w:rStyle w:val="FootnoteReference"/>
          <w:rFonts w:ascii="Arial" w:hAnsi="Arial" w:cs="Arial"/>
          <w:sz w:val="24"/>
          <w:szCs w:val="24"/>
        </w:rPr>
        <w:footnoteReference w:id="43"/>
      </w:r>
      <w:r w:rsidR="000850C2">
        <w:rPr>
          <w:rFonts w:ascii="Arial" w:hAnsi="Arial" w:cs="Arial"/>
          <w:sz w:val="24"/>
          <w:szCs w:val="24"/>
        </w:rPr>
        <w:t xml:space="preserve"> </w:t>
      </w:r>
      <w:r w:rsidR="0031026D" w:rsidRPr="00950E27">
        <w:rPr>
          <w:rFonts w:ascii="Arial" w:hAnsi="Arial" w:cs="Arial"/>
          <w:sz w:val="24"/>
          <w:szCs w:val="24"/>
        </w:rPr>
        <w:t xml:space="preserve">provides that sections 6, 7(1) and 8 of PAJA apply to any court proceedings contemplated in section 96. </w:t>
      </w:r>
      <w:r w:rsidR="003C57F5" w:rsidRPr="00950E27">
        <w:rPr>
          <w:rFonts w:ascii="Arial" w:hAnsi="Arial" w:cs="Arial"/>
          <w:sz w:val="24"/>
          <w:szCs w:val="24"/>
        </w:rPr>
        <w:t xml:space="preserve">Section 6(1) of PAJA makes provision for any person to institute review proceedings in respect of administrative action. Section 6(2) and (3) sets out the grounds upon which an administrative decision may be reviewed. </w:t>
      </w:r>
      <w:r w:rsidR="0031026D" w:rsidRPr="00950E27">
        <w:rPr>
          <w:rFonts w:ascii="Arial" w:hAnsi="Arial" w:cs="Arial"/>
          <w:sz w:val="24"/>
          <w:szCs w:val="24"/>
        </w:rPr>
        <w:t xml:space="preserve">Section 96(4) does not expressly say that section 7(2) also applies to any court proceedings contemplated in section 96. However, section 7(1)(a), to which section 96(4) refers, includes the words ―subject to subsection 2(c) and, therefore, incorporates by reference the provisions of section 7(2)(c). </w:t>
      </w:r>
      <w:r w:rsidR="0031026D" w:rsidRPr="000850C2">
        <w:rPr>
          <w:rFonts w:ascii="Arial" w:hAnsi="Arial" w:cs="Arial"/>
          <w:sz w:val="24"/>
          <w:szCs w:val="24"/>
        </w:rPr>
        <w:t xml:space="preserve">section 7(2)(c) applies to </w:t>
      </w:r>
      <w:r w:rsidR="0031026D" w:rsidRPr="000850C2">
        <w:rPr>
          <w:rFonts w:ascii="Arial" w:hAnsi="Arial" w:cs="Arial"/>
          <w:sz w:val="24"/>
          <w:szCs w:val="24"/>
        </w:rPr>
        <w:lastRenderedPageBreak/>
        <w:t>section 96 because of the reference to section 7(1)</w:t>
      </w:r>
      <w:r w:rsidR="000850C2">
        <w:rPr>
          <w:rFonts w:ascii="Arial" w:hAnsi="Arial" w:cs="Arial"/>
          <w:sz w:val="24"/>
          <w:szCs w:val="24"/>
        </w:rPr>
        <w:t>.</w:t>
      </w:r>
      <w:r w:rsidR="003C57F5" w:rsidRPr="003C57F5">
        <w:rPr>
          <w:rFonts w:ascii="Arial" w:hAnsi="Arial" w:cs="Arial"/>
          <w:sz w:val="24"/>
          <w:szCs w:val="24"/>
        </w:rPr>
        <w:t xml:space="preserve"> Section 8 of the PAJA empowers a court to make a just and equitable order in proceedings for judicial review.</w:t>
      </w:r>
    </w:p>
    <w:p w14:paraId="7E5DFAB7" w14:textId="77777777" w:rsidR="00950E27" w:rsidRDefault="00950E27" w:rsidP="00305D83">
      <w:pPr>
        <w:spacing w:after="0" w:line="360" w:lineRule="auto"/>
        <w:jc w:val="both"/>
        <w:rPr>
          <w:rFonts w:ascii="Arial" w:hAnsi="Arial" w:cs="Arial"/>
          <w:sz w:val="24"/>
          <w:szCs w:val="24"/>
        </w:rPr>
      </w:pPr>
    </w:p>
    <w:p w14:paraId="638EA87D" w14:textId="40D566A7" w:rsidR="0031026D" w:rsidRPr="003C57F5" w:rsidRDefault="0031026D" w:rsidP="00305D83">
      <w:pPr>
        <w:spacing w:after="0" w:line="360" w:lineRule="auto"/>
        <w:jc w:val="both"/>
        <w:rPr>
          <w:rFonts w:ascii="Arial" w:hAnsi="Arial" w:cs="Arial"/>
        </w:rPr>
      </w:pPr>
      <w:r w:rsidRPr="00950E27">
        <w:rPr>
          <w:rFonts w:ascii="Arial" w:hAnsi="Arial" w:cs="Arial"/>
          <w:sz w:val="24"/>
          <w:szCs w:val="24"/>
        </w:rPr>
        <w:t>[</w:t>
      </w:r>
      <w:r w:rsidR="00950E27">
        <w:rPr>
          <w:rFonts w:ascii="Arial" w:hAnsi="Arial" w:cs="Arial"/>
          <w:sz w:val="24"/>
          <w:szCs w:val="24"/>
        </w:rPr>
        <w:t>1</w:t>
      </w:r>
      <w:r w:rsidR="003C4B46">
        <w:rPr>
          <w:rFonts w:ascii="Arial" w:hAnsi="Arial" w:cs="Arial"/>
          <w:sz w:val="24"/>
          <w:szCs w:val="24"/>
        </w:rPr>
        <w:t>3</w:t>
      </w:r>
      <w:r w:rsidR="00287CC0">
        <w:rPr>
          <w:rFonts w:ascii="Arial" w:hAnsi="Arial" w:cs="Arial"/>
          <w:sz w:val="24"/>
          <w:szCs w:val="24"/>
        </w:rPr>
        <w:t>7</w:t>
      </w:r>
      <w:r w:rsidR="00950E27">
        <w:rPr>
          <w:rFonts w:ascii="Arial" w:hAnsi="Arial" w:cs="Arial"/>
          <w:sz w:val="24"/>
          <w:szCs w:val="24"/>
        </w:rPr>
        <w:t>]</w:t>
      </w:r>
      <w:r w:rsidRPr="00950E27">
        <w:rPr>
          <w:rFonts w:ascii="Arial" w:hAnsi="Arial" w:cs="Arial"/>
          <w:sz w:val="24"/>
          <w:szCs w:val="24"/>
        </w:rPr>
        <w:t xml:space="preserve"> </w:t>
      </w:r>
      <w:r w:rsidRPr="003C57F5">
        <w:rPr>
          <w:rFonts w:ascii="Arial" w:hAnsi="Arial" w:cs="Arial"/>
        </w:rPr>
        <w:t xml:space="preserve">Section 7(1) </w:t>
      </w:r>
      <w:r w:rsidR="003C57F5" w:rsidRPr="003C57F5">
        <w:rPr>
          <w:rFonts w:ascii="Arial" w:hAnsi="Arial" w:cs="Arial"/>
        </w:rPr>
        <w:t xml:space="preserve">of PAJA </w:t>
      </w:r>
      <w:r w:rsidRPr="003C57F5">
        <w:rPr>
          <w:rFonts w:ascii="Arial" w:hAnsi="Arial" w:cs="Arial"/>
        </w:rPr>
        <w:t>reads as follows: ―</w:t>
      </w:r>
    </w:p>
    <w:p w14:paraId="75AA6DA9" w14:textId="77777777" w:rsidR="003C57F5" w:rsidRPr="003C57F5" w:rsidRDefault="003C57F5" w:rsidP="003C57F5">
      <w:pPr>
        <w:spacing w:after="0" w:line="360" w:lineRule="auto"/>
        <w:ind w:firstLine="720"/>
        <w:jc w:val="both"/>
        <w:rPr>
          <w:rFonts w:ascii="Arial" w:hAnsi="Arial" w:cs="Arial"/>
        </w:rPr>
      </w:pPr>
    </w:p>
    <w:p w14:paraId="3B9531A9" w14:textId="40E6E9F7" w:rsidR="0031026D" w:rsidRPr="003C4B46" w:rsidRDefault="0031026D" w:rsidP="003C57F5">
      <w:pPr>
        <w:spacing w:after="0" w:line="360" w:lineRule="auto"/>
        <w:ind w:left="720"/>
        <w:jc w:val="both"/>
        <w:rPr>
          <w:rFonts w:ascii="Arial" w:hAnsi="Arial" w:cs="Arial"/>
          <w:i/>
        </w:rPr>
      </w:pPr>
      <w:r w:rsidRPr="003C57F5">
        <w:rPr>
          <w:rFonts w:ascii="Arial" w:hAnsi="Arial" w:cs="Arial"/>
        </w:rPr>
        <w:t>(</w:t>
      </w:r>
      <w:r w:rsidRPr="003C4B46">
        <w:rPr>
          <w:rFonts w:ascii="Arial" w:hAnsi="Arial" w:cs="Arial"/>
          <w:i/>
        </w:rPr>
        <w:t xml:space="preserve">1) Any proceedings for judicial review in terms of section 6(1) must be instituted without unreasonable delay and not later than 180 days after the date— </w:t>
      </w:r>
    </w:p>
    <w:p w14:paraId="27DDCFC7" w14:textId="77777777" w:rsidR="003C57F5" w:rsidRPr="003C4B46" w:rsidRDefault="003C57F5" w:rsidP="0031026D">
      <w:pPr>
        <w:spacing w:after="0" w:line="360" w:lineRule="auto"/>
        <w:ind w:left="1440"/>
        <w:jc w:val="both"/>
        <w:rPr>
          <w:rFonts w:ascii="Arial" w:hAnsi="Arial" w:cs="Arial"/>
          <w:i/>
        </w:rPr>
      </w:pPr>
    </w:p>
    <w:p w14:paraId="094E61A8" w14:textId="2B9FADDD" w:rsidR="0031026D" w:rsidRPr="003C4B46" w:rsidRDefault="0031026D" w:rsidP="0031026D">
      <w:pPr>
        <w:spacing w:after="0" w:line="360" w:lineRule="auto"/>
        <w:ind w:left="1440"/>
        <w:jc w:val="both"/>
        <w:rPr>
          <w:rFonts w:ascii="Arial" w:hAnsi="Arial" w:cs="Arial"/>
          <w:i/>
        </w:rPr>
      </w:pPr>
      <w:r w:rsidRPr="003C4B46">
        <w:rPr>
          <w:rFonts w:ascii="Arial" w:hAnsi="Arial" w:cs="Arial"/>
          <w:i/>
        </w:rPr>
        <w:t xml:space="preserve">(a) subject to subsection (2)(c), on which any proceedings instituted in terms of internal remedies as contemplated in subsection (2)(a) have been concluded; </w:t>
      </w:r>
    </w:p>
    <w:p w14:paraId="17E542E8" w14:textId="77777777" w:rsidR="0031026D" w:rsidRPr="003C4B46" w:rsidRDefault="0031026D" w:rsidP="0031026D">
      <w:pPr>
        <w:spacing w:after="0" w:line="360" w:lineRule="auto"/>
        <w:ind w:left="1440"/>
        <w:jc w:val="both"/>
        <w:rPr>
          <w:rFonts w:ascii="Arial" w:hAnsi="Arial" w:cs="Arial"/>
          <w:i/>
        </w:rPr>
      </w:pPr>
      <w:r w:rsidRPr="003C4B46">
        <w:rPr>
          <w:rFonts w:ascii="Arial" w:hAnsi="Arial" w:cs="Arial"/>
          <w:i/>
        </w:rPr>
        <w:t>(b) where no such remedies exist, on which the person concerned was informed of the administrative action, became aware of the action and the reasons for it or might reasonably have been expected to have become aware of the action and the reasons.</w:t>
      </w:r>
    </w:p>
    <w:p w14:paraId="33BD1031" w14:textId="77777777" w:rsidR="000A2F55" w:rsidRPr="000A2F55" w:rsidRDefault="000A2F55" w:rsidP="000A2F55">
      <w:pPr>
        <w:pStyle w:val="ListParagraph"/>
        <w:spacing w:after="0" w:line="360" w:lineRule="auto"/>
        <w:ind w:left="284"/>
        <w:jc w:val="both"/>
        <w:rPr>
          <w:rFonts w:ascii="Arial" w:hAnsi="Arial" w:cs="Arial"/>
          <w:i/>
          <w:iCs/>
          <w:sz w:val="24"/>
          <w:szCs w:val="24"/>
        </w:rPr>
      </w:pPr>
    </w:p>
    <w:p w14:paraId="509C5E73" w14:textId="5023EC15" w:rsidR="00782D92" w:rsidRPr="003C57F5" w:rsidRDefault="003C57F5" w:rsidP="003C57F5">
      <w:pPr>
        <w:spacing w:after="0" w:line="360" w:lineRule="auto"/>
        <w:jc w:val="both"/>
        <w:rPr>
          <w:rFonts w:ascii="Arial" w:hAnsi="Arial" w:cs="Arial"/>
          <w:i/>
          <w:iCs/>
          <w:sz w:val="24"/>
          <w:szCs w:val="24"/>
        </w:rPr>
      </w:pPr>
      <w:r>
        <w:rPr>
          <w:rFonts w:ascii="Arial" w:hAnsi="Arial" w:cs="Arial"/>
          <w:sz w:val="24"/>
          <w:szCs w:val="24"/>
        </w:rPr>
        <w:t>[13</w:t>
      </w:r>
      <w:r w:rsidR="00287CC0">
        <w:rPr>
          <w:rFonts w:ascii="Arial" w:hAnsi="Arial" w:cs="Arial"/>
          <w:sz w:val="24"/>
          <w:szCs w:val="24"/>
        </w:rPr>
        <w:t>8</w:t>
      </w:r>
      <w:r>
        <w:rPr>
          <w:rFonts w:ascii="Arial" w:hAnsi="Arial" w:cs="Arial"/>
          <w:sz w:val="24"/>
          <w:szCs w:val="24"/>
        </w:rPr>
        <w:t>]</w:t>
      </w:r>
      <w:r>
        <w:rPr>
          <w:rFonts w:ascii="Arial" w:hAnsi="Arial" w:cs="Arial"/>
          <w:sz w:val="24"/>
          <w:szCs w:val="24"/>
        </w:rPr>
        <w:tab/>
      </w:r>
      <w:r w:rsidR="00782D92" w:rsidRPr="003C57F5">
        <w:rPr>
          <w:rFonts w:ascii="Arial" w:hAnsi="Arial" w:cs="Arial"/>
          <w:sz w:val="24"/>
          <w:szCs w:val="24"/>
        </w:rPr>
        <w:t>Section 7(2) of PAJA</w:t>
      </w:r>
      <w:r w:rsidR="00275CCB" w:rsidRPr="003C57F5">
        <w:rPr>
          <w:rFonts w:ascii="Arial" w:hAnsi="Arial" w:cs="Arial"/>
          <w:sz w:val="24"/>
          <w:szCs w:val="24"/>
        </w:rPr>
        <w:t xml:space="preserve"> </w:t>
      </w:r>
      <w:r w:rsidR="00782D92" w:rsidRPr="003C57F5">
        <w:rPr>
          <w:rFonts w:ascii="Arial" w:hAnsi="Arial" w:cs="Arial"/>
          <w:sz w:val="24"/>
          <w:szCs w:val="24"/>
        </w:rPr>
        <w:t>creates an obligation upon applicants to exhaust all internal remedies before a court or tribunal may review any administrative action.  The section reads:</w:t>
      </w:r>
    </w:p>
    <w:p w14:paraId="50739C2F" w14:textId="77777777" w:rsidR="00A32AB1" w:rsidRPr="00A32AB1" w:rsidRDefault="00A32AB1" w:rsidP="00A32AB1">
      <w:pPr>
        <w:pStyle w:val="ListParagraph"/>
        <w:spacing w:after="0" w:line="360" w:lineRule="auto"/>
        <w:ind w:left="0"/>
        <w:jc w:val="both"/>
        <w:rPr>
          <w:rFonts w:ascii="Arial" w:hAnsi="Arial" w:cs="Arial"/>
          <w:i/>
          <w:iCs/>
          <w:sz w:val="24"/>
          <w:szCs w:val="24"/>
        </w:rPr>
      </w:pPr>
    </w:p>
    <w:p w14:paraId="19E03A6C" w14:textId="13D558F0" w:rsidR="00782D92" w:rsidRPr="00A32AB1" w:rsidRDefault="00782D92" w:rsidP="003C57F5">
      <w:pPr>
        <w:pStyle w:val="ListParagraph"/>
        <w:spacing w:after="0" w:line="360" w:lineRule="auto"/>
        <w:ind w:left="1440"/>
        <w:jc w:val="both"/>
        <w:rPr>
          <w:rFonts w:ascii="Arial" w:hAnsi="Arial" w:cs="Arial"/>
          <w:i/>
          <w:iCs/>
        </w:rPr>
      </w:pPr>
      <w:r w:rsidRPr="00A32AB1">
        <w:rPr>
          <w:rFonts w:ascii="Arial" w:hAnsi="Arial" w:cs="Arial"/>
          <w:i/>
          <w:iCs/>
        </w:rPr>
        <w:t xml:space="preserve">“(a) </w:t>
      </w:r>
      <w:r w:rsidR="003C57F5">
        <w:rPr>
          <w:rFonts w:ascii="Arial" w:hAnsi="Arial" w:cs="Arial"/>
          <w:i/>
          <w:iCs/>
        </w:rPr>
        <w:tab/>
      </w:r>
      <w:r w:rsidRPr="00A32AB1">
        <w:rPr>
          <w:rFonts w:ascii="Arial" w:hAnsi="Arial" w:cs="Arial"/>
          <w:i/>
          <w:iCs/>
        </w:rPr>
        <w:t>Subject to paragraph (c), no court or tribunal shall review an administrative action in terms of this Act unless any internal remedy provided for in any other law has first been exhausted.</w:t>
      </w:r>
    </w:p>
    <w:p w14:paraId="4A2DF024" w14:textId="6861E354" w:rsidR="00782D92" w:rsidRPr="00A32AB1" w:rsidRDefault="00782D92" w:rsidP="003C57F5">
      <w:pPr>
        <w:pStyle w:val="ListParagraph"/>
        <w:spacing w:after="0" w:line="360" w:lineRule="auto"/>
        <w:ind w:left="1440"/>
        <w:jc w:val="both"/>
        <w:rPr>
          <w:rFonts w:ascii="Arial" w:hAnsi="Arial" w:cs="Arial"/>
          <w:i/>
          <w:iCs/>
        </w:rPr>
      </w:pPr>
      <w:r w:rsidRPr="00A32AB1">
        <w:rPr>
          <w:rFonts w:ascii="Arial" w:hAnsi="Arial" w:cs="Arial"/>
          <w:i/>
          <w:iCs/>
        </w:rPr>
        <w:t xml:space="preserve">(b) </w:t>
      </w:r>
      <w:r w:rsidR="003C57F5">
        <w:rPr>
          <w:rFonts w:ascii="Arial" w:hAnsi="Arial" w:cs="Arial"/>
          <w:i/>
          <w:iCs/>
        </w:rPr>
        <w:tab/>
      </w:r>
      <w:r w:rsidRPr="00A32AB1">
        <w:rPr>
          <w:rFonts w:ascii="Arial" w:hAnsi="Arial" w:cs="Arial"/>
          <w:i/>
          <w:iCs/>
        </w:rPr>
        <w:t>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this Act.</w:t>
      </w:r>
    </w:p>
    <w:p w14:paraId="1ABAFFC7" w14:textId="4CB96886" w:rsidR="00782D92" w:rsidRDefault="00782D92" w:rsidP="003C57F5">
      <w:pPr>
        <w:pStyle w:val="ListParagraph"/>
        <w:spacing w:after="0" w:line="360" w:lineRule="auto"/>
        <w:ind w:left="1440"/>
        <w:jc w:val="both"/>
        <w:rPr>
          <w:rFonts w:ascii="Arial" w:hAnsi="Arial" w:cs="Arial"/>
          <w:i/>
          <w:iCs/>
        </w:rPr>
      </w:pPr>
      <w:r w:rsidRPr="00A32AB1">
        <w:rPr>
          <w:rFonts w:ascii="Arial" w:hAnsi="Arial" w:cs="Arial"/>
          <w:i/>
          <w:iCs/>
        </w:rPr>
        <w:t xml:space="preserve">c) </w:t>
      </w:r>
      <w:r w:rsidR="003C57F5">
        <w:rPr>
          <w:rFonts w:ascii="Arial" w:hAnsi="Arial" w:cs="Arial"/>
          <w:i/>
          <w:iCs/>
        </w:rPr>
        <w:tab/>
        <w:t>A</w:t>
      </w:r>
      <w:r w:rsidRPr="00A32AB1">
        <w:rPr>
          <w:rFonts w:ascii="Arial" w:hAnsi="Arial" w:cs="Arial"/>
          <w:i/>
          <w:iCs/>
        </w:rPr>
        <w:t xml:space="preserve"> court or tribunal may, in exceptional circumstances and on application by the person concerned, exempt such person from the obligation to exhaust any internal remedy if the court or tribunal deems it in the interest of justice.”</w:t>
      </w:r>
      <w:r w:rsidR="00275CCB" w:rsidRPr="00A32AB1">
        <w:rPr>
          <w:rStyle w:val="FootnoteReference"/>
          <w:rFonts w:ascii="Arial" w:hAnsi="Arial" w:cs="Arial"/>
          <w:i/>
          <w:iCs/>
        </w:rPr>
        <w:footnoteReference w:id="44"/>
      </w:r>
    </w:p>
    <w:p w14:paraId="3DFD1991" w14:textId="77777777" w:rsidR="00950E27" w:rsidRDefault="00950E27" w:rsidP="00950E27">
      <w:pPr>
        <w:spacing w:after="0" w:line="360" w:lineRule="auto"/>
        <w:jc w:val="both"/>
        <w:rPr>
          <w:rFonts w:ascii="Arial" w:hAnsi="Arial" w:cs="Arial"/>
          <w:sz w:val="24"/>
          <w:szCs w:val="24"/>
        </w:rPr>
      </w:pPr>
    </w:p>
    <w:p w14:paraId="1CFC0167" w14:textId="3ECD58B2" w:rsidR="00950E27" w:rsidRPr="00950E27" w:rsidRDefault="003C57F5" w:rsidP="00950E27">
      <w:pPr>
        <w:spacing w:after="0" w:line="360" w:lineRule="auto"/>
        <w:jc w:val="both"/>
        <w:rPr>
          <w:rFonts w:ascii="Arial" w:hAnsi="Arial" w:cs="Arial"/>
          <w:sz w:val="24"/>
          <w:szCs w:val="24"/>
        </w:rPr>
      </w:pPr>
      <w:r>
        <w:rPr>
          <w:rFonts w:ascii="Arial" w:hAnsi="Arial" w:cs="Arial"/>
          <w:sz w:val="24"/>
          <w:szCs w:val="24"/>
        </w:rPr>
        <w:t>[1</w:t>
      </w:r>
      <w:r w:rsidR="003C4B46">
        <w:rPr>
          <w:rFonts w:ascii="Arial" w:hAnsi="Arial" w:cs="Arial"/>
          <w:sz w:val="24"/>
          <w:szCs w:val="24"/>
        </w:rPr>
        <w:t>3</w:t>
      </w:r>
      <w:r w:rsidR="00287CC0">
        <w:rPr>
          <w:rFonts w:ascii="Arial" w:hAnsi="Arial" w:cs="Arial"/>
          <w:sz w:val="24"/>
          <w:szCs w:val="24"/>
        </w:rPr>
        <w:t>9</w:t>
      </w:r>
      <w:r>
        <w:rPr>
          <w:rFonts w:ascii="Arial" w:hAnsi="Arial" w:cs="Arial"/>
          <w:sz w:val="24"/>
          <w:szCs w:val="24"/>
        </w:rPr>
        <w:t>]</w:t>
      </w:r>
      <w:r>
        <w:rPr>
          <w:rFonts w:ascii="Arial" w:hAnsi="Arial" w:cs="Arial"/>
          <w:sz w:val="24"/>
          <w:szCs w:val="24"/>
        </w:rPr>
        <w:tab/>
      </w:r>
      <w:r w:rsidR="00950E27" w:rsidRPr="00950E27">
        <w:rPr>
          <w:rFonts w:ascii="Arial" w:hAnsi="Arial" w:cs="Arial"/>
          <w:sz w:val="24"/>
          <w:szCs w:val="24"/>
        </w:rPr>
        <w:t xml:space="preserve">Therefore 7 (2) precludes a court from reviewing any administrative action in terms of the PAJA </w:t>
      </w:r>
      <w:r w:rsidR="004D7FD5">
        <w:rPr>
          <w:rFonts w:ascii="Arial" w:hAnsi="Arial" w:cs="Arial"/>
          <w:sz w:val="24"/>
          <w:szCs w:val="24"/>
        </w:rPr>
        <w:t xml:space="preserve">lest </w:t>
      </w:r>
      <w:r w:rsidR="00950E27" w:rsidRPr="00950E27">
        <w:rPr>
          <w:rFonts w:ascii="Arial" w:hAnsi="Arial" w:cs="Arial"/>
          <w:sz w:val="24"/>
          <w:szCs w:val="24"/>
        </w:rPr>
        <w:t>any internal remedy provided for in any other law has first been exhausted, unless there are exceptional circumstances upon which the court deems it to be in the interest of justice.</w:t>
      </w:r>
      <w:r w:rsidR="0072694E">
        <w:rPr>
          <w:rFonts w:ascii="Arial" w:hAnsi="Arial" w:cs="Arial"/>
          <w:sz w:val="24"/>
          <w:szCs w:val="24"/>
        </w:rPr>
        <w:t xml:space="preserve"> In this matter DBCM had not exhausted the internal </w:t>
      </w:r>
      <w:r w:rsidR="0072694E">
        <w:rPr>
          <w:rFonts w:ascii="Arial" w:hAnsi="Arial" w:cs="Arial"/>
          <w:sz w:val="24"/>
          <w:szCs w:val="24"/>
        </w:rPr>
        <w:lastRenderedPageBreak/>
        <w:t>remedies available. The appeal against the 1</w:t>
      </w:r>
      <w:r w:rsidR="0072694E" w:rsidRPr="0072694E">
        <w:rPr>
          <w:rFonts w:ascii="Arial" w:hAnsi="Arial" w:cs="Arial"/>
          <w:sz w:val="24"/>
          <w:szCs w:val="24"/>
          <w:vertAlign w:val="superscript"/>
        </w:rPr>
        <w:t>st</w:t>
      </w:r>
      <w:r w:rsidR="0072694E">
        <w:rPr>
          <w:rFonts w:ascii="Arial" w:hAnsi="Arial" w:cs="Arial"/>
          <w:sz w:val="24"/>
          <w:szCs w:val="24"/>
        </w:rPr>
        <w:t xml:space="preserve"> Respondent’s decision is still pending before the 2</w:t>
      </w:r>
      <w:r w:rsidR="0072694E" w:rsidRPr="0072694E">
        <w:rPr>
          <w:rFonts w:ascii="Arial" w:hAnsi="Arial" w:cs="Arial"/>
          <w:sz w:val="24"/>
          <w:szCs w:val="24"/>
          <w:vertAlign w:val="superscript"/>
        </w:rPr>
        <w:t>nd</w:t>
      </w:r>
      <w:r w:rsidR="0072694E">
        <w:rPr>
          <w:rFonts w:ascii="Arial" w:hAnsi="Arial" w:cs="Arial"/>
          <w:sz w:val="24"/>
          <w:szCs w:val="24"/>
        </w:rPr>
        <w:t xml:space="preserve"> Respondent. </w:t>
      </w:r>
    </w:p>
    <w:p w14:paraId="2C1DC3AD" w14:textId="77777777" w:rsidR="00305D83" w:rsidRPr="00305D83" w:rsidRDefault="00305D83" w:rsidP="00305D83">
      <w:pPr>
        <w:pStyle w:val="ListParagraph"/>
        <w:spacing w:after="0" w:line="360" w:lineRule="auto"/>
        <w:ind w:left="0"/>
        <w:jc w:val="both"/>
        <w:rPr>
          <w:rFonts w:ascii="Arial" w:hAnsi="Arial" w:cs="Arial"/>
          <w:color w:val="C00000"/>
          <w:sz w:val="24"/>
          <w:szCs w:val="24"/>
        </w:rPr>
      </w:pPr>
    </w:p>
    <w:p w14:paraId="12F33835" w14:textId="3942F0D6" w:rsidR="00782D92" w:rsidRDefault="00287CC0" w:rsidP="003C57F5">
      <w:pPr>
        <w:pStyle w:val="ListParagraph"/>
        <w:spacing w:after="0" w:line="360" w:lineRule="auto"/>
        <w:ind w:left="0"/>
        <w:jc w:val="both"/>
        <w:rPr>
          <w:rFonts w:ascii="Arial" w:hAnsi="Arial" w:cs="Arial"/>
          <w:sz w:val="24"/>
          <w:szCs w:val="24"/>
        </w:rPr>
      </w:pPr>
      <w:r>
        <w:rPr>
          <w:rFonts w:ascii="Arial" w:hAnsi="Arial" w:cs="Arial"/>
          <w:sz w:val="24"/>
          <w:szCs w:val="24"/>
        </w:rPr>
        <w:t>[140</w:t>
      </w:r>
      <w:r w:rsidR="003C57F5">
        <w:rPr>
          <w:rFonts w:ascii="Arial" w:hAnsi="Arial" w:cs="Arial"/>
          <w:sz w:val="24"/>
          <w:szCs w:val="24"/>
        </w:rPr>
        <w:t>]</w:t>
      </w:r>
      <w:r w:rsidR="003C57F5">
        <w:rPr>
          <w:rFonts w:ascii="Arial" w:hAnsi="Arial" w:cs="Arial"/>
          <w:sz w:val="24"/>
          <w:szCs w:val="24"/>
        </w:rPr>
        <w:tab/>
      </w:r>
      <w:r w:rsidR="004D7FD5">
        <w:rPr>
          <w:rFonts w:ascii="Arial" w:hAnsi="Arial" w:cs="Arial"/>
          <w:sz w:val="24"/>
          <w:szCs w:val="24"/>
        </w:rPr>
        <w:t xml:space="preserve">The court in </w:t>
      </w:r>
      <w:r w:rsidR="00782D92" w:rsidRPr="00A32AB1">
        <w:rPr>
          <w:rFonts w:ascii="Arial" w:hAnsi="Arial" w:cs="Arial"/>
          <w:i/>
          <w:iCs/>
          <w:sz w:val="24"/>
          <w:szCs w:val="24"/>
        </w:rPr>
        <w:t>Koyabe v Minister for Home Affairs (Lawyers for Human Rights as amicus curiae)</w:t>
      </w:r>
      <w:r w:rsidR="00782D92" w:rsidRPr="00A32AB1">
        <w:rPr>
          <w:rFonts w:ascii="Arial" w:hAnsi="Arial" w:cs="Arial"/>
          <w:sz w:val="24"/>
          <w:szCs w:val="24"/>
        </w:rPr>
        <w:t xml:space="preserve"> encouraged the exhaustion of internal remedies before approaching the court</w:t>
      </w:r>
      <w:r w:rsidR="00FA0FA0">
        <w:rPr>
          <w:rFonts w:ascii="Arial" w:hAnsi="Arial" w:cs="Arial"/>
          <w:sz w:val="24"/>
          <w:szCs w:val="24"/>
        </w:rPr>
        <w:t xml:space="preserve">, stating as follows in </w:t>
      </w:r>
      <w:r w:rsidR="00782D92" w:rsidRPr="00A32AB1">
        <w:rPr>
          <w:rFonts w:ascii="Arial" w:hAnsi="Arial" w:cs="Arial"/>
          <w:sz w:val="24"/>
          <w:szCs w:val="24"/>
        </w:rPr>
        <w:t>paragraph 37 and 38</w:t>
      </w:r>
      <w:r w:rsidR="00FA0FA0">
        <w:rPr>
          <w:rFonts w:ascii="Arial" w:hAnsi="Arial" w:cs="Arial"/>
          <w:sz w:val="24"/>
          <w:szCs w:val="24"/>
        </w:rPr>
        <w:t>,</w:t>
      </w:r>
      <w:r w:rsidR="00782D92" w:rsidRPr="00A32AB1">
        <w:rPr>
          <w:rFonts w:ascii="Arial" w:hAnsi="Arial" w:cs="Arial"/>
          <w:sz w:val="24"/>
          <w:szCs w:val="24"/>
        </w:rPr>
        <w:t xml:space="preserve"> that:</w:t>
      </w:r>
    </w:p>
    <w:p w14:paraId="2F5165A3" w14:textId="77777777" w:rsidR="00305D83" w:rsidRPr="00A32AB1" w:rsidRDefault="00305D83" w:rsidP="00305D83">
      <w:pPr>
        <w:pStyle w:val="ListParagraph"/>
        <w:spacing w:after="0" w:line="360" w:lineRule="auto"/>
        <w:ind w:left="0"/>
        <w:jc w:val="both"/>
        <w:rPr>
          <w:rFonts w:ascii="Arial" w:hAnsi="Arial" w:cs="Arial"/>
          <w:sz w:val="24"/>
          <w:szCs w:val="24"/>
        </w:rPr>
      </w:pPr>
    </w:p>
    <w:p w14:paraId="17C0049A" w14:textId="5CD439E7" w:rsidR="00782D92" w:rsidRPr="00A32AB1" w:rsidRDefault="00305D83" w:rsidP="003C57F5">
      <w:pPr>
        <w:pStyle w:val="ListParagraph"/>
        <w:spacing w:after="0" w:line="360" w:lineRule="auto"/>
        <w:ind w:left="1440"/>
        <w:jc w:val="both"/>
        <w:rPr>
          <w:rFonts w:ascii="Arial" w:hAnsi="Arial" w:cs="Arial"/>
          <w:i/>
          <w:iCs/>
        </w:rPr>
      </w:pPr>
      <w:r w:rsidRPr="00305D83">
        <w:rPr>
          <w:rFonts w:ascii="Arial" w:hAnsi="Arial" w:cs="Arial"/>
          <w:i/>
          <w:iCs/>
        </w:rPr>
        <w:t>“Internal remedies are designed to provide immediate and cost-effective relief, giving the executive the opportunity to utilise its own mechanisms, rectifying irregularities first, before aggrieved parties resort to litigation. Although courts play a vital role in providing litigants with access to justice, the importance of more readily available and cost-effective internal remedies cannot be gainsaid.</w:t>
      </w:r>
    </w:p>
    <w:p w14:paraId="3C7D3607" w14:textId="09BF0822" w:rsidR="00782D92" w:rsidRDefault="00782D92" w:rsidP="003C57F5">
      <w:pPr>
        <w:pStyle w:val="ListParagraph"/>
        <w:spacing w:after="0" w:line="360" w:lineRule="auto"/>
        <w:ind w:left="1440"/>
        <w:jc w:val="both"/>
        <w:rPr>
          <w:rFonts w:ascii="Arial" w:hAnsi="Arial" w:cs="Arial"/>
          <w:i/>
          <w:iCs/>
        </w:rPr>
      </w:pPr>
      <w:r w:rsidRPr="00A32AB1">
        <w:rPr>
          <w:rFonts w:ascii="Arial" w:hAnsi="Arial" w:cs="Arial"/>
          <w:i/>
          <w:iCs/>
        </w:rPr>
        <w:t>First, approaching a court before the higher administrative body is given the opportunity to exhaust its own existing mechanisms undermines the autonomy of the administrative process. It renders the judicial process premature, effectively usurping the executive role and function. The scope of administrative action extends over a wide range of circumstances, and the crafting of specialist administrative procedures suited to the particular administrative action in question enhances procedural fairness as enshrined in our Constitution”.</w:t>
      </w:r>
      <w:r w:rsidR="00275CCB" w:rsidRPr="00A32AB1">
        <w:rPr>
          <w:rStyle w:val="FootnoteReference"/>
          <w:rFonts w:ascii="Arial" w:hAnsi="Arial" w:cs="Arial"/>
          <w:i/>
          <w:iCs/>
        </w:rPr>
        <w:footnoteReference w:id="45"/>
      </w:r>
      <w:r w:rsidR="003C57F5" w:rsidRPr="003C57F5">
        <w:rPr>
          <w:rFonts w:ascii="Verdana" w:hAnsi="Verdana"/>
          <w:color w:val="242121"/>
          <w:shd w:val="clear" w:color="auto" w:fill="FFFFFF"/>
        </w:rPr>
        <w:t xml:space="preserve"> </w:t>
      </w:r>
      <w:r w:rsidR="003C57F5" w:rsidRPr="0072694E">
        <w:rPr>
          <w:rFonts w:ascii="Arial" w:hAnsi="Arial" w:cs="Arial"/>
          <w:i/>
          <w:color w:val="242121"/>
          <w:shd w:val="clear" w:color="auto" w:fill="FFFFFF"/>
        </w:rPr>
        <w:t>Thus, the need to allow executive agencies to utilise their own fair procedures is crucial in administrative action.”</w:t>
      </w:r>
    </w:p>
    <w:p w14:paraId="4B887371" w14:textId="77777777" w:rsidR="00AE6A83" w:rsidRDefault="00AE6A83" w:rsidP="00305D83">
      <w:pPr>
        <w:pStyle w:val="ListParagraph"/>
        <w:spacing w:after="0" w:line="360" w:lineRule="auto"/>
        <w:ind w:left="284"/>
        <w:jc w:val="both"/>
        <w:rPr>
          <w:rFonts w:ascii="Arial" w:hAnsi="Arial" w:cs="Arial"/>
          <w:i/>
          <w:iCs/>
        </w:rPr>
      </w:pPr>
    </w:p>
    <w:p w14:paraId="6151AC5F" w14:textId="7D3E7275" w:rsidR="0072694E" w:rsidRPr="0072694E" w:rsidRDefault="0072694E" w:rsidP="0072694E">
      <w:pPr>
        <w:spacing w:after="0" w:line="360" w:lineRule="auto"/>
        <w:jc w:val="both"/>
        <w:rPr>
          <w:rFonts w:ascii="Arial" w:hAnsi="Arial" w:cs="Arial"/>
          <w:sz w:val="24"/>
          <w:szCs w:val="24"/>
        </w:rPr>
      </w:pPr>
      <w:r>
        <w:rPr>
          <w:rFonts w:ascii="Arial" w:hAnsi="Arial" w:cs="Arial"/>
          <w:color w:val="242121"/>
          <w:sz w:val="24"/>
          <w:szCs w:val="24"/>
          <w:shd w:val="clear" w:color="auto" w:fill="FFFFFF"/>
        </w:rPr>
        <w:t>[1</w:t>
      </w:r>
      <w:r w:rsidR="00B050DD">
        <w:rPr>
          <w:rFonts w:ascii="Arial" w:hAnsi="Arial" w:cs="Arial"/>
          <w:color w:val="242121"/>
          <w:sz w:val="24"/>
          <w:szCs w:val="24"/>
          <w:shd w:val="clear" w:color="auto" w:fill="FFFFFF"/>
        </w:rPr>
        <w:t>4</w:t>
      </w:r>
      <w:r w:rsidR="00287CC0">
        <w:rPr>
          <w:rFonts w:ascii="Arial" w:hAnsi="Arial" w:cs="Arial"/>
          <w:color w:val="242121"/>
          <w:sz w:val="24"/>
          <w:szCs w:val="24"/>
          <w:shd w:val="clear" w:color="auto" w:fill="FFFFFF"/>
        </w:rPr>
        <w:t>1</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3C57F5">
        <w:rPr>
          <w:rFonts w:ascii="Arial" w:hAnsi="Arial" w:cs="Arial"/>
          <w:color w:val="242121"/>
          <w:sz w:val="24"/>
          <w:szCs w:val="24"/>
          <w:shd w:val="clear" w:color="auto" w:fill="FFFFFF"/>
        </w:rPr>
        <w:t>It is in the context of the fundamental constitutional value requiring a democratic system of government to ensure accountability, responsiveness and openness,</w:t>
      </w:r>
      <w:r w:rsidRPr="003C57F5">
        <w:rPr>
          <w:rStyle w:val="FootnoteReference"/>
          <w:rFonts w:ascii="Arial" w:hAnsi="Arial" w:cs="Arial"/>
          <w:color w:val="242121"/>
          <w:sz w:val="24"/>
          <w:szCs w:val="24"/>
          <w:shd w:val="clear" w:color="auto" w:fill="FFFFFF"/>
        </w:rPr>
        <w:footnoteReference w:id="46"/>
      </w:r>
      <w:r w:rsidRPr="003C57F5">
        <w:rPr>
          <w:rFonts w:ascii="Arial" w:hAnsi="Arial" w:cs="Arial"/>
          <w:color w:val="242121"/>
          <w:sz w:val="24"/>
          <w:szCs w:val="24"/>
          <w:shd w:val="clear" w:color="auto" w:fill="FFFFFF"/>
        </w:rPr>
        <w:t> and the basic values and principles governing public administration</w:t>
      </w:r>
      <w:r w:rsidRPr="003C57F5">
        <w:rPr>
          <w:rStyle w:val="FootnoteReference"/>
          <w:rFonts w:ascii="Arial" w:hAnsi="Arial" w:cs="Arial"/>
          <w:color w:val="242121"/>
          <w:sz w:val="24"/>
          <w:szCs w:val="24"/>
          <w:shd w:val="clear" w:color="auto" w:fill="FFFFFF"/>
        </w:rPr>
        <w:footnoteReference w:id="47"/>
      </w:r>
      <w:r w:rsidRPr="003C57F5">
        <w:rPr>
          <w:rFonts w:ascii="Arial" w:hAnsi="Arial" w:cs="Arial"/>
          <w:color w:val="242121"/>
          <w:sz w:val="24"/>
          <w:szCs w:val="24"/>
          <w:shd w:val="clear" w:color="auto" w:fill="FFFFFF"/>
        </w:rPr>
        <w:t> that the issue of delegation and internal appeals and remedies should be assessed.</w:t>
      </w:r>
      <w:r w:rsidRPr="003C57F5">
        <w:rPr>
          <w:rStyle w:val="FootnoteReference"/>
          <w:rFonts w:ascii="Arial" w:hAnsi="Arial" w:cs="Arial"/>
          <w:color w:val="242121"/>
          <w:sz w:val="24"/>
          <w:szCs w:val="24"/>
          <w:shd w:val="clear" w:color="auto" w:fill="FFFFFF"/>
        </w:rPr>
        <w:footnoteReference w:id="48"/>
      </w:r>
      <w:r w:rsidRPr="003C57F5">
        <w:rPr>
          <w:rFonts w:ascii="Arial" w:hAnsi="Arial" w:cs="Arial"/>
          <w:color w:val="242121"/>
          <w:sz w:val="24"/>
          <w:szCs w:val="24"/>
          <w:shd w:val="clear" w:color="auto" w:fill="FFFFFF"/>
        </w:rPr>
        <w:t> Those values and principles are enhanced by an internal appeal process.</w:t>
      </w:r>
      <w:r w:rsidRPr="003C57F5">
        <w:rPr>
          <w:rStyle w:val="FootnoteReference"/>
          <w:rFonts w:ascii="Arial" w:hAnsi="Arial" w:cs="Arial"/>
          <w:color w:val="242121"/>
          <w:shd w:val="clear" w:color="auto" w:fill="FFFFFF"/>
        </w:rPr>
        <w:t xml:space="preserve"> </w:t>
      </w:r>
      <w:r w:rsidRPr="003C57F5">
        <w:rPr>
          <w:rStyle w:val="FootnoteReference"/>
          <w:rFonts w:ascii="Arial" w:hAnsi="Arial" w:cs="Arial"/>
          <w:color w:val="242121"/>
          <w:sz w:val="24"/>
          <w:szCs w:val="24"/>
          <w:shd w:val="clear" w:color="auto" w:fill="FFFFFF"/>
        </w:rPr>
        <w:footnoteReference w:id="49"/>
      </w:r>
      <w:r>
        <w:rPr>
          <w:rFonts w:ascii="Arial" w:hAnsi="Arial" w:cs="Arial"/>
          <w:color w:val="242121"/>
          <w:shd w:val="clear" w:color="auto" w:fill="FFFFFF"/>
        </w:rPr>
        <w:t xml:space="preserve"> C</w:t>
      </w:r>
      <w:r w:rsidRPr="0072694E">
        <w:rPr>
          <w:rFonts w:ascii="Arial" w:hAnsi="Arial" w:cs="Arial"/>
          <w:sz w:val="24"/>
          <w:szCs w:val="24"/>
        </w:rPr>
        <w:t xml:space="preserve">omity between the </w:t>
      </w:r>
      <w:r w:rsidRPr="0072694E">
        <w:rPr>
          <w:rFonts w:ascii="Arial" w:hAnsi="Arial" w:cs="Arial"/>
          <w:sz w:val="24"/>
          <w:szCs w:val="24"/>
        </w:rPr>
        <w:lastRenderedPageBreak/>
        <w:t>arms of government enjoins courts to respect the efforts of other arms of government in fulfilling constitutional rights</w:t>
      </w:r>
      <w:r>
        <w:rPr>
          <w:rFonts w:ascii="Arial" w:hAnsi="Arial" w:cs="Arial"/>
          <w:sz w:val="24"/>
          <w:szCs w:val="24"/>
        </w:rPr>
        <w:t>.</w:t>
      </w:r>
    </w:p>
    <w:p w14:paraId="19584CC1" w14:textId="77777777" w:rsidR="0072694E" w:rsidRDefault="0072694E" w:rsidP="003C57F5">
      <w:pPr>
        <w:spacing w:after="0" w:line="360" w:lineRule="auto"/>
        <w:jc w:val="both"/>
        <w:rPr>
          <w:rFonts w:ascii="Arial" w:hAnsi="Arial" w:cs="Arial"/>
          <w:sz w:val="24"/>
          <w:szCs w:val="24"/>
        </w:rPr>
      </w:pPr>
    </w:p>
    <w:p w14:paraId="6A633F64" w14:textId="437FECA2" w:rsidR="003C57F5" w:rsidRPr="003C57F5" w:rsidRDefault="00287CC0" w:rsidP="003C57F5">
      <w:pPr>
        <w:spacing w:after="0" w:line="360" w:lineRule="auto"/>
        <w:jc w:val="both"/>
        <w:rPr>
          <w:rFonts w:ascii="Arial" w:hAnsi="Arial" w:cs="Arial"/>
          <w:sz w:val="24"/>
          <w:szCs w:val="24"/>
        </w:rPr>
      </w:pPr>
      <w:r>
        <w:rPr>
          <w:rFonts w:ascii="Arial" w:hAnsi="Arial" w:cs="Arial"/>
          <w:sz w:val="24"/>
          <w:szCs w:val="24"/>
        </w:rPr>
        <w:t>[142</w:t>
      </w:r>
      <w:r w:rsidR="003C57F5">
        <w:rPr>
          <w:rFonts w:ascii="Arial" w:hAnsi="Arial" w:cs="Arial"/>
          <w:sz w:val="24"/>
          <w:szCs w:val="24"/>
        </w:rPr>
        <w:t>]</w:t>
      </w:r>
      <w:r w:rsidR="003C57F5">
        <w:rPr>
          <w:rFonts w:ascii="Arial" w:hAnsi="Arial" w:cs="Arial"/>
          <w:sz w:val="24"/>
          <w:szCs w:val="24"/>
        </w:rPr>
        <w:tab/>
      </w:r>
      <w:r w:rsidR="003C57F5" w:rsidRPr="003C57F5">
        <w:rPr>
          <w:rFonts w:ascii="Arial" w:hAnsi="Arial" w:cs="Arial"/>
          <w:sz w:val="24"/>
          <w:szCs w:val="24"/>
        </w:rPr>
        <w:t xml:space="preserve">The court in </w:t>
      </w:r>
      <w:r w:rsidR="003C57F5" w:rsidRPr="003C57F5">
        <w:rPr>
          <w:rFonts w:ascii="Arial" w:hAnsi="Arial" w:cs="Arial"/>
          <w:i/>
          <w:iCs/>
          <w:sz w:val="24"/>
          <w:szCs w:val="24"/>
        </w:rPr>
        <w:t>Dengetenge Holdings (Pty) Ltd v Southern Sphere Mining and Development Company Ltd and others</w:t>
      </w:r>
      <w:r w:rsidR="003C57F5">
        <w:rPr>
          <w:rStyle w:val="FootnoteReference"/>
          <w:rFonts w:ascii="Arial" w:hAnsi="Arial" w:cs="Arial"/>
          <w:i/>
          <w:iCs/>
          <w:sz w:val="24"/>
          <w:szCs w:val="24"/>
        </w:rPr>
        <w:footnoteReference w:id="50"/>
      </w:r>
      <w:r w:rsidR="003C57F5" w:rsidRPr="003C57F5">
        <w:rPr>
          <w:rFonts w:ascii="Arial" w:hAnsi="Arial" w:cs="Arial"/>
          <w:i/>
          <w:iCs/>
          <w:sz w:val="24"/>
          <w:szCs w:val="24"/>
        </w:rPr>
        <w:t xml:space="preserve"> </w:t>
      </w:r>
      <w:r w:rsidR="003C57F5" w:rsidRPr="003C57F5">
        <w:rPr>
          <w:rFonts w:ascii="Arial" w:hAnsi="Arial" w:cs="Arial"/>
          <w:sz w:val="24"/>
          <w:szCs w:val="24"/>
        </w:rPr>
        <w:t>held that:</w:t>
      </w:r>
    </w:p>
    <w:p w14:paraId="7C83DE54" w14:textId="77777777" w:rsidR="003C57F5" w:rsidRDefault="003C57F5" w:rsidP="003C57F5">
      <w:pPr>
        <w:pStyle w:val="n10pt-1"/>
        <w:shd w:val="clear" w:color="auto" w:fill="FFFFFF"/>
        <w:spacing w:before="0" w:beforeAutospacing="0" w:after="0" w:afterAutospacing="0" w:line="360" w:lineRule="auto"/>
        <w:ind w:left="567"/>
        <w:jc w:val="both"/>
        <w:rPr>
          <w:rFonts w:ascii="Arial" w:hAnsi="Arial" w:cs="Arial"/>
          <w:i/>
          <w:iCs/>
          <w:color w:val="000000"/>
          <w:sz w:val="22"/>
          <w:szCs w:val="22"/>
        </w:rPr>
      </w:pPr>
    </w:p>
    <w:p w14:paraId="6B458B1E" w14:textId="69F53825" w:rsidR="001557C4" w:rsidRPr="001557C4" w:rsidRDefault="003C57F5" w:rsidP="003C57F5">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Pr>
          <w:rFonts w:ascii="Arial" w:hAnsi="Arial" w:cs="Arial"/>
          <w:i/>
          <w:iCs/>
          <w:color w:val="000000"/>
          <w:sz w:val="22"/>
          <w:szCs w:val="22"/>
        </w:rPr>
        <w:t>[115]</w:t>
      </w:r>
      <w:r>
        <w:rPr>
          <w:rFonts w:ascii="Arial" w:hAnsi="Arial" w:cs="Arial"/>
          <w:i/>
          <w:iCs/>
          <w:color w:val="000000"/>
          <w:sz w:val="22"/>
          <w:szCs w:val="22"/>
        </w:rPr>
        <w:tab/>
      </w:r>
      <w:r w:rsidRPr="00DB4D3C">
        <w:rPr>
          <w:rFonts w:ascii="Arial" w:hAnsi="Arial" w:cs="Arial"/>
          <w:i/>
          <w:iCs/>
          <w:color w:val="000000"/>
          <w:sz w:val="22"/>
          <w:szCs w:val="22"/>
        </w:rPr>
        <w:t xml:space="preserve">At common law, a party aggrieved by an administrative decision was not generally obliged to exhaust internal remedies before approaching a court </w:t>
      </w:r>
      <w:r w:rsidR="00AE6A83" w:rsidRPr="00DB4D3C">
        <w:rPr>
          <w:rFonts w:ascii="Arial" w:hAnsi="Arial" w:cs="Arial"/>
          <w:i/>
          <w:iCs/>
          <w:color w:val="000000"/>
          <w:sz w:val="22"/>
          <w:szCs w:val="22"/>
        </w:rPr>
        <w:t>provided for, the choice was that of the aggrieved party either to pursue those remedies before going to a court of law or to proceed straight to seek the review of the offending decision in court. The promulgation of PAJA has changed all this. It is now compulsory for an aggrieved party to exhaust internal remedies before approaching a court for review unless such party is exempted from this duty by a competent court.</w:t>
      </w:r>
    </w:p>
    <w:p w14:paraId="2C62BC08" w14:textId="77777777" w:rsidR="001557C4" w:rsidRPr="001557C4" w:rsidRDefault="001557C4" w:rsidP="00DB4D3C">
      <w:pPr>
        <w:pStyle w:val="n10pt-1"/>
        <w:shd w:val="clear" w:color="auto" w:fill="FFFFFF"/>
        <w:spacing w:before="0" w:beforeAutospacing="0" w:after="0" w:afterAutospacing="0" w:line="360" w:lineRule="auto"/>
        <w:ind w:left="284"/>
        <w:jc w:val="both"/>
        <w:rPr>
          <w:rFonts w:ascii="Arial" w:hAnsi="Arial" w:cs="Arial"/>
          <w:i/>
          <w:iCs/>
          <w:color w:val="000000"/>
          <w:sz w:val="22"/>
          <w:szCs w:val="22"/>
        </w:rPr>
      </w:pPr>
    </w:p>
    <w:p w14:paraId="72C741A0" w14:textId="11023698" w:rsidR="001557C4" w:rsidRPr="00DB4D3C" w:rsidRDefault="00D1249C"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Pr>
          <w:rFonts w:ascii="Arial" w:hAnsi="Arial" w:cs="Arial"/>
          <w:i/>
          <w:iCs/>
          <w:color w:val="000000"/>
          <w:sz w:val="22"/>
          <w:szCs w:val="22"/>
        </w:rPr>
        <w:t>[116]</w:t>
      </w:r>
      <w:r>
        <w:rPr>
          <w:rFonts w:ascii="Arial" w:hAnsi="Arial" w:cs="Arial"/>
          <w:i/>
          <w:iCs/>
          <w:color w:val="000000"/>
          <w:sz w:val="22"/>
          <w:szCs w:val="22"/>
        </w:rPr>
        <w:tab/>
      </w:r>
      <w:r w:rsidR="00AE6A83" w:rsidRPr="00DB4D3C">
        <w:rPr>
          <w:rFonts w:ascii="Arial" w:hAnsi="Arial" w:cs="Arial"/>
          <w:i/>
          <w:iCs/>
          <w:color w:val="000000"/>
          <w:sz w:val="22"/>
          <w:szCs w:val="22"/>
        </w:rPr>
        <w:t>The exemption is granted by a court, on application by the aggrieved party. For an application for an exemption to succeed, the applicant must establish</w:t>
      </w:r>
      <w:r>
        <w:rPr>
          <w:rFonts w:ascii="Arial" w:hAnsi="Arial" w:cs="Arial"/>
          <w:i/>
          <w:iCs/>
          <w:color w:val="000000"/>
          <w:sz w:val="22"/>
          <w:szCs w:val="22"/>
        </w:rPr>
        <w:t xml:space="preserve"> </w:t>
      </w:r>
      <w:r w:rsidR="00AE6A83" w:rsidRPr="00DB4D3C">
        <w:rPr>
          <w:rFonts w:ascii="Arial" w:hAnsi="Arial" w:cs="Arial"/>
          <w:i/>
          <w:iCs/>
          <w:color w:val="000000"/>
          <w:sz w:val="22"/>
          <w:szCs w:val="22"/>
        </w:rPr>
        <w:t>“exceptional circumstances”.</w:t>
      </w:r>
      <w:r>
        <w:rPr>
          <w:rFonts w:ascii="Arial" w:hAnsi="Arial" w:cs="Arial"/>
          <w:i/>
          <w:iCs/>
          <w:color w:val="000000"/>
          <w:sz w:val="22"/>
          <w:szCs w:val="22"/>
        </w:rPr>
        <w:t xml:space="preserve"> </w:t>
      </w:r>
      <w:r w:rsidR="00AE6A83" w:rsidRPr="00DB4D3C">
        <w:rPr>
          <w:rFonts w:ascii="Arial" w:hAnsi="Arial" w:cs="Arial"/>
          <w:i/>
          <w:iCs/>
          <w:color w:val="000000"/>
          <w:sz w:val="22"/>
          <w:szCs w:val="22"/>
        </w:rPr>
        <w:t>Once such circumstances are established, it is within the discretion of the court to grant an exemption. Absent an exemption, the applicant is obliged to exhaust internal remedies before instituting an application for review. A review application that is launched before exhausting internal remedies is taken to be premature and the court to which it is brought is precluded from reviewing the challenged administrative action until the domestic remedies are exhausted or unless an exemption is granted. Differently put, the duty to exhaust internal remedies defers the exercise of the court’s review jurisdiction for as long as the duty is not discharged.</w:t>
      </w:r>
    </w:p>
    <w:p w14:paraId="107BA720" w14:textId="33AAE69D" w:rsidR="001557C4" w:rsidRPr="00DB4D3C" w:rsidRDefault="00D1249C" w:rsidP="00D1249C">
      <w:pPr>
        <w:pStyle w:val="n10pt-1"/>
        <w:shd w:val="clear" w:color="auto" w:fill="FFFFFF"/>
        <w:spacing w:before="0" w:beforeAutospacing="0" w:after="0" w:afterAutospacing="0" w:line="360" w:lineRule="auto"/>
        <w:ind w:left="1440"/>
        <w:jc w:val="both"/>
        <w:rPr>
          <w:rFonts w:ascii="Arial" w:hAnsi="Arial" w:cs="Arial"/>
          <w:i/>
          <w:iCs/>
          <w:color w:val="000000"/>
          <w:sz w:val="22"/>
          <w:szCs w:val="22"/>
        </w:rPr>
      </w:pPr>
      <w:r>
        <w:rPr>
          <w:rFonts w:ascii="Arial" w:hAnsi="Arial" w:cs="Arial"/>
          <w:i/>
          <w:iCs/>
          <w:color w:val="000000"/>
          <w:sz w:val="22"/>
          <w:szCs w:val="22"/>
        </w:rPr>
        <w:t>[134]</w:t>
      </w:r>
      <w:r>
        <w:rPr>
          <w:rFonts w:ascii="Arial" w:hAnsi="Arial" w:cs="Arial"/>
          <w:i/>
          <w:iCs/>
          <w:color w:val="000000"/>
          <w:sz w:val="22"/>
          <w:szCs w:val="22"/>
        </w:rPr>
        <w:tab/>
      </w:r>
      <w:r w:rsidR="00807911" w:rsidRPr="00807911">
        <w:rPr>
          <w:rFonts w:ascii="Arial" w:hAnsi="Arial" w:cs="Arial"/>
          <w:i/>
          <w:iCs/>
          <w:color w:val="000000"/>
          <w:sz w:val="22"/>
          <w:szCs w:val="22"/>
        </w:rPr>
        <w:t>The question that arises is what should be done in the peculiar circumstances of this case. Ordinarily, if the court before which the review proceedings are brought is not satisfied that internal remedies have been exhausted, it must refuse to entertain the review until those remedies are exhausted or an exemption has been granted to the applicant. Here the High Court did not insist that section 96 of the MPRDA and section 7 of PAJA be complied with, probably because Dengetenge had withdrawn its opposition to the application</w:t>
      </w:r>
      <w:r w:rsidR="001E15C4">
        <w:rPr>
          <w:rFonts w:ascii="Arial" w:hAnsi="Arial" w:cs="Arial"/>
          <w:i/>
          <w:iCs/>
          <w:color w:val="000000"/>
          <w:sz w:val="22"/>
          <w:szCs w:val="22"/>
        </w:rPr>
        <w:t>”.</w:t>
      </w:r>
      <w:r w:rsidR="001E15C4">
        <w:rPr>
          <w:rStyle w:val="FootnoteReference"/>
          <w:rFonts w:ascii="Arial" w:hAnsi="Arial" w:cs="Arial"/>
          <w:i/>
          <w:iCs/>
          <w:color w:val="000000"/>
          <w:sz w:val="22"/>
          <w:szCs w:val="22"/>
        </w:rPr>
        <w:footnoteReference w:id="51"/>
      </w:r>
    </w:p>
    <w:p w14:paraId="3C9121C8" w14:textId="77777777" w:rsidR="003058F4" w:rsidRPr="001557C4" w:rsidRDefault="003058F4" w:rsidP="00DB4D3C">
      <w:pPr>
        <w:spacing w:after="0" w:line="360" w:lineRule="auto"/>
        <w:ind w:left="284"/>
        <w:jc w:val="both"/>
        <w:rPr>
          <w:rFonts w:ascii="Arial" w:hAnsi="Arial" w:cs="Arial"/>
          <w:i/>
          <w:iCs/>
        </w:rPr>
      </w:pPr>
    </w:p>
    <w:p w14:paraId="08ABDD9F" w14:textId="0B40F998" w:rsidR="003058F4" w:rsidRPr="003C57F5" w:rsidRDefault="003C57F5" w:rsidP="009144D6">
      <w:pPr>
        <w:spacing w:after="0" w:line="360" w:lineRule="auto"/>
        <w:jc w:val="both"/>
        <w:rPr>
          <w:rFonts w:ascii="Arial" w:hAnsi="Arial" w:cs="Arial"/>
          <w:sz w:val="24"/>
          <w:szCs w:val="24"/>
        </w:rPr>
      </w:pPr>
      <w:r>
        <w:rPr>
          <w:rFonts w:ascii="Arial" w:hAnsi="Arial" w:cs="Arial"/>
          <w:sz w:val="24"/>
          <w:szCs w:val="24"/>
        </w:rPr>
        <w:t>[1</w:t>
      </w:r>
      <w:r w:rsidR="003C4B46">
        <w:rPr>
          <w:rFonts w:ascii="Arial" w:hAnsi="Arial" w:cs="Arial"/>
          <w:sz w:val="24"/>
          <w:szCs w:val="24"/>
        </w:rPr>
        <w:t>4</w:t>
      </w:r>
      <w:r w:rsidR="00287CC0">
        <w:rPr>
          <w:rFonts w:ascii="Arial" w:hAnsi="Arial" w:cs="Arial"/>
          <w:sz w:val="24"/>
          <w:szCs w:val="24"/>
        </w:rPr>
        <w:t>3</w:t>
      </w:r>
      <w:r>
        <w:rPr>
          <w:rFonts w:ascii="Arial" w:hAnsi="Arial" w:cs="Arial"/>
          <w:sz w:val="24"/>
          <w:szCs w:val="24"/>
        </w:rPr>
        <w:t>]</w:t>
      </w:r>
      <w:r>
        <w:rPr>
          <w:rFonts w:ascii="Arial" w:hAnsi="Arial" w:cs="Arial"/>
          <w:sz w:val="24"/>
          <w:szCs w:val="24"/>
        </w:rPr>
        <w:tab/>
        <w:t>F</w:t>
      </w:r>
      <w:r w:rsidR="003058F4" w:rsidRPr="003C57F5">
        <w:rPr>
          <w:rFonts w:ascii="Arial" w:hAnsi="Arial" w:cs="Arial"/>
          <w:sz w:val="24"/>
          <w:szCs w:val="24"/>
        </w:rPr>
        <w:t xml:space="preserve">urthermore, one should </w:t>
      </w:r>
      <w:r w:rsidR="00D1249C" w:rsidRPr="003C57F5">
        <w:rPr>
          <w:rFonts w:ascii="Arial" w:hAnsi="Arial" w:cs="Arial"/>
          <w:sz w:val="24"/>
          <w:szCs w:val="24"/>
        </w:rPr>
        <w:t xml:space="preserve">be mindful </w:t>
      </w:r>
      <w:r w:rsidR="003058F4" w:rsidRPr="003C57F5">
        <w:rPr>
          <w:rFonts w:ascii="Arial" w:hAnsi="Arial" w:cs="Arial"/>
          <w:sz w:val="24"/>
          <w:szCs w:val="24"/>
        </w:rPr>
        <w:t>that in certain circumstances as provided by section 8</w:t>
      </w:r>
      <w:r w:rsidR="00D1249C" w:rsidRPr="003C57F5">
        <w:rPr>
          <w:rFonts w:ascii="Arial" w:hAnsi="Arial" w:cs="Arial"/>
          <w:sz w:val="24"/>
          <w:szCs w:val="24"/>
        </w:rPr>
        <w:t xml:space="preserve"> </w:t>
      </w:r>
      <w:r w:rsidR="003058F4" w:rsidRPr="003C57F5">
        <w:rPr>
          <w:rFonts w:ascii="Arial" w:hAnsi="Arial" w:cs="Arial"/>
          <w:sz w:val="24"/>
          <w:szCs w:val="24"/>
        </w:rPr>
        <w:t>(1) of PAJA</w:t>
      </w:r>
      <w:r w:rsidR="009C63DC" w:rsidRPr="003C57F5">
        <w:rPr>
          <w:rFonts w:ascii="Arial" w:hAnsi="Arial" w:cs="Arial"/>
          <w:sz w:val="24"/>
          <w:szCs w:val="24"/>
        </w:rPr>
        <w:t>,</w:t>
      </w:r>
      <w:r w:rsidR="003058F4">
        <w:rPr>
          <w:rStyle w:val="FootnoteReference"/>
          <w:rFonts w:ascii="Arial" w:hAnsi="Arial" w:cs="Arial"/>
          <w:sz w:val="24"/>
          <w:szCs w:val="24"/>
        </w:rPr>
        <w:footnoteReference w:id="52"/>
      </w:r>
      <w:r w:rsidR="003058F4" w:rsidRPr="003C57F5">
        <w:rPr>
          <w:rFonts w:ascii="Arial" w:hAnsi="Arial" w:cs="Arial"/>
          <w:sz w:val="24"/>
          <w:szCs w:val="24"/>
        </w:rPr>
        <w:t xml:space="preserve"> a court can overrule the decision made by the decision maker. This section reads as follows:</w:t>
      </w:r>
    </w:p>
    <w:p w14:paraId="4461DB2D" w14:textId="335C652C" w:rsidR="003058F4" w:rsidRPr="00A20B8C" w:rsidRDefault="003058F4" w:rsidP="00D1249C">
      <w:pPr>
        <w:spacing w:after="0" w:line="360" w:lineRule="auto"/>
        <w:ind w:left="1440"/>
        <w:jc w:val="both"/>
        <w:rPr>
          <w:rFonts w:ascii="Arial" w:hAnsi="Arial" w:cs="Arial"/>
          <w:i/>
          <w:iCs/>
        </w:rPr>
      </w:pPr>
      <w:r w:rsidRPr="00A20B8C">
        <w:rPr>
          <w:rFonts w:ascii="Arial" w:hAnsi="Arial" w:cs="Arial"/>
          <w:i/>
          <w:iCs/>
        </w:rPr>
        <w:t>"(1) The court or tribunal, in proceedings for judicial review in terms of section 6</w:t>
      </w:r>
      <w:r w:rsidR="00D1249C">
        <w:rPr>
          <w:rFonts w:ascii="Arial" w:hAnsi="Arial" w:cs="Arial"/>
          <w:i/>
          <w:iCs/>
        </w:rPr>
        <w:t xml:space="preserve"> </w:t>
      </w:r>
      <w:r w:rsidRPr="00A20B8C">
        <w:rPr>
          <w:rFonts w:ascii="Arial" w:hAnsi="Arial" w:cs="Arial"/>
          <w:i/>
          <w:iCs/>
        </w:rPr>
        <w:t>(1), may grant any order that is just and equitable, including orders:</w:t>
      </w:r>
    </w:p>
    <w:p w14:paraId="792232F2" w14:textId="77777777" w:rsidR="003058F4" w:rsidRPr="00A20B8C" w:rsidRDefault="003058F4" w:rsidP="00D1249C">
      <w:pPr>
        <w:spacing w:after="0" w:line="360" w:lineRule="auto"/>
        <w:ind w:left="2007" w:firstLine="153"/>
        <w:jc w:val="both"/>
        <w:rPr>
          <w:rFonts w:ascii="Arial" w:hAnsi="Arial" w:cs="Arial"/>
          <w:i/>
          <w:iCs/>
        </w:rPr>
      </w:pPr>
      <w:r w:rsidRPr="00A20B8C">
        <w:rPr>
          <w:rFonts w:ascii="Arial" w:hAnsi="Arial" w:cs="Arial"/>
          <w:i/>
          <w:iCs/>
        </w:rPr>
        <w:t>(a) directing the administrator ­</w:t>
      </w:r>
    </w:p>
    <w:p w14:paraId="300979CE" w14:textId="77777777" w:rsidR="003058F4" w:rsidRPr="00A20B8C" w:rsidRDefault="003058F4" w:rsidP="00D1249C">
      <w:pPr>
        <w:spacing w:after="0" w:line="360" w:lineRule="auto"/>
        <w:ind w:left="2160" w:firstLine="720"/>
        <w:jc w:val="both"/>
        <w:rPr>
          <w:rFonts w:ascii="Arial" w:hAnsi="Arial" w:cs="Arial"/>
          <w:i/>
          <w:iCs/>
        </w:rPr>
      </w:pPr>
      <w:r w:rsidRPr="00A20B8C">
        <w:rPr>
          <w:rFonts w:ascii="Arial" w:hAnsi="Arial" w:cs="Arial"/>
          <w:i/>
          <w:iCs/>
        </w:rPr>
        <w:t>(i) to give reasons; or</w:t>
      </w:r>
    </w:p>
    <w:p w14:paraId="7692B278" w14:textId="77777777" w:rsidR="003058F4" w:rsidRPr="00A20B8C" w:rsidRDefault="003058F4" w:rsidP="00D1249C">
      <w:pPr>
        <w:spacing w:after="0" w:line="360" w:lineRule="auto"/>
        <w:ind w:left="2291" w:firstLine="589"/>
        <w:jc w:val="both"/>
        <w:rPr>
          <w:rFonts w:ascii="Arial" w:hAnsi="Arial" w:cs="Arial"/>
          <w:i/>
          <w:iCs/>
        </w:rPr>
      </w:pPr>
      <w:r w:rsidRPr="00A20B8C">
        <w:rPr>
          <w:rFonts w:ascii="Arial" w:hAnsi="Arial" w:cs="Arial"/>
          <w:i/>
          <w:iCs/>
        </w:rPr>
        <w:t>(ii) to act in the manner the court or tribunal requires.</w:t>
      </w:r>
    </w:p>
    <w:p w14:paraId="74D58F3D" w14:textId="77777777" w:rsidR="003058F4" w:rsidRPr="00A20B8C" w:rsidRDefault="003058F4" w:rsidP="00D1249C">
      <w:pPr>
        <w:spacing w:after="0" w:line="360" w:lineRule="auto"/>
        <w:ind w:left="2007" w:firstLine="153"/>
        <w:jc w:val="both"/>
        <w:rPr>
          <w:rFonts w:ascii="Arial" w:hAnsi="Arial" w:cs="Arial"/>
          <w:i/>
          <w:iCs/>
        </w:rPr>
      </w:pPr>
      <w:r w:rsidRPr="00A20B8C">
        <w:rPr>
          <w:rFonts w:ascii="Arial" w:hAnsi="Arial" w:cs="Arial"/>
          <w:i/>
          <w:iCs/>
        </w:rPr>
        <w:t>(b) prohibiting the administrator from acting in a particular manner;</w:t>
      </w:r>
    </w:p>
    <w:p w14:paraId="3FE51BDC" w14:textId="77777777" w:rsidR="003058F4" w:rsidRPr="00A20B8C" w:rsidRDefault="003058F4" w:rsidP="00D1249C">
      <w:pPr>
        <w:spacing w:after="0" w:line="360" w:lineRule="auto"/>
        <w:ind w:left="1854" w:firstLine="306"/>
        <w:jc w:val="both"/>
        <w:rPr>
          <w:rFonts w:ascii="Arial" w:hAnsi="Arial" w:cs="Arial"/>
          <w:i/>
          <w:iCs/>
        </w:rPr>
      </w:pPr>
      <w:r w:rsidRPr="00A20B8C">
        <w:rPr>
          <w:rFonts w:ascii="Arial" w:hAnsi="Arial" w:cs="Arial"/>
          <w:i/>
          <w:iCs/>
        </w:rPr>
        <w:t>(c) setting aside the administrative action and ­</w:t>
      </w:r>
    </w:p>
    <w:p w14:paraId="536A94C6" w14:textId="77777777" w:rsidR="003058F4" w:rsidRPr="00A20B8C" w:rsidRDefault="003058F4" w:rsidP="00D1249C">
      <w:pPr>
        <w:spacing w:after="0" w:line="360" w:lineRule="auto"/>
        <w:ind w:left="2574"/>
        <w:jc w:val="both"/>
        <w:rPr>
          <w:rFonts w:ascii="Arial" w:hAnsi="Arial" w:cs="Arial"/>
          <w:i/>
          <w:iCs/>
        </w:rPr>
      </w:pPr>
      <w:r w:rsidRPr="00A20B8C">
        <w:rPr>
          <w:rFonts w:ascii="Arial" w:hAnsi="Arial" w:cs="Arial"/>
          <w:i/>
          <w:iCs/>
        </w:rPr>
        <w:t>(i) remitting the matter for reconsideration by the administrator, with or without directions; or</w:t>
      </w:r>
    </w:p>
    <w:p w14:paraId="3ADA3F34" w14:textId="77777777" w:rsidR="003058F4" w:rsidRPr="00A20B8C" w:rsidRDefault="003058F4" w:rsidP="00D1249C">
      <w:pPr>
        <w:spacing w:after="0" w:line="360" w:lineRule="auto"/>
        <w:ind w:left="1985" w:firstLine="589"/>
        <w:jc w:val="both"/>
        <w:rPr>
          <w:rFonts w:ascii="Arial" w:hAnsi="Arial" w:cs="Arial"/>
          <w:i/>
          <w:iCs/>
        </w:rPr>
      </w:pPr>
      <w:r w:rsidRPr="00A20B8C">
        <w:rPr>
          <w:rFonts w:ascii="Arial" w:hAnsi="Arial" w:cs="Arial"/>
          <w:i/>
          <w:iCs/>
        </w:rPr>
        <w:t>(ii) in exceptional cases ­</w:t>
      </w:r>
    </w:p>
    <w:p w14:paraId="61B78E79" w14:textId="77777777" w:rsidR="003058F4" w:rsidRPr="00A20B8C" w:rsidRDefault="003058F4" w:rsidP="00D1249C">
      <w:pPr>
        <w:spacing w:after="0" w:line="360" w:lineRule="auto"/>
        <w:ind w:left="2880"/>
        <w:jc w:val="both"/>
        <w:rPr>
          <w:rFonts w:ascii="Arial" w:hAnsi="Arial" w:cs="Arial"/>
          <w:i/>
          <w:iCs/>
        </w:rPr>
      </w:pPr>
      <w:r w:rsidRPr="00A20B8C">
        <w:rPr>
          <w:rFonts w:ascii="Arial" w:hAnsi="Arial" w:cs="Arial"/>
          <w:i/>
          <w:iCs/>
        </w:rPr>
        <w:t>(aa) substituting or varying the administrative action or correcting a defect resulting from the</w:t>
      </w:r>
      <w:r>
        <w:rPr>
          <w:rFonts w:ascii="Arial" w:hAnsi="Arial" w:cs="Arial"/>
          <w:i/>
          <w:iCs/>
        </w:rPr>
        <w:t xml:space="preserve"> </w:t>
      </w:r>
      <w:r w:rsidRPr="00A20B8C">
        <w:rPr>
          <w:rFonts w:ascii="Arial" w:hAnsi="Arial" w:cs="Arial"/>
          <w:i/>
          <w:iCs/>
        </w:rPr>
        <w:t>administrative action; or</w:t>
      </w:r>
    </w:p>
    <w:p w14:paraId="59E196F7" w14:textId="77777777" w:rsidR="003058F4" w:rsidRDefault="003058F4" w:rsidP="00D1249C">
      <w:pPr>
        <w:spacing w:after="0" w:line="360" w:lineRule="auto"/>
        <w:ind w:left="2880"/>
        <w:jc w:val="both"/>
        <w:rPr>
          <w:rFonts w:ascii="Arial" w:hAnsi="Arial" w:cs="Arial"/>
          <w:i/>
          <w:iCs/>
        </w:rPr>
      </w:pPr>
      <w:r w:rsidRPr="00A20B8C">
        <w:rPr>
          <w:rFonts w:ascii="Arial" w:hAnsi="Arial" w:cs="Arial"/>
          <w:i/>
          <w:iCs/>
        </w:rPr>
        <w:t>(bb) directing the administrator or any other party to the proceedings to pay compensation”.</w:t>
      </w:r>
    </w:p>
    <w:p w14:paraId="3E6967DC" w14:textId="77777777" w:rsidR="003058F4" w:rsidRPr="00A20B8C" w:rsidRDefault="003058F4" w:rsidP="003058F4">
      <w:pPr>
        <w:spacing w:after="0" w:line="360" w:lineRule="auto"/>
        <w:ind w:left="1418"/>
        <w:jc w:val="both"/>
        <w:rPr>
          <w:rFonts w:ascii="Arial" w:hAnsi="Arial" w:cs="Arial"/>
          <w:i/>
          <w:iCs/>
        </w:rPr>
      </w:pPr>
    </w:p>
    <w:p w14:paraId="6CC22C80" w14:textId="70F43B6D" w:rsidR="003058F4" w:rsidRPr="003C57F5" w:rsidRDefault="003C57F5" w:rsidP="003C57F5">
      <w:pPr>
        <w:spacing w:after="0" w:line="360" w:lineRule="auto"/>
        <w:jc w:val="both"/>
        <w:rPr>
          <w:rFonts w:ascii="Arial" w:hAnsi="Arial" w:cs="Arial"/>
          <w:sz w:val="24"/>
          <w:szCs w:val="24"/>
        </w:rPr>
      </w:pPr>
      <w:r>
        <w:rPr>
          <w:rFonts w:ascii="Arial" w:hAnsi="Arial" w:cs="Arial"/>
          <w:sz w:val="24"/>
          <w:szCs w:val="24"/>
        </w:rPr>
        <w:t>[1</w:t>
      </w:r>
      <w:r w:rsidR="003C4B46">
        <w:rPr>
          <w:rFonts w:ascii="Arial" w:hAnsi="Arial" w:cs="Arial"/>
          <w:sz w:val="24"/>
          <w:szCs w:val="24"/>
        </w:rPr>
        <w:t>4</w:t>
      </w:r>
      <w:r w:rsidR="00287CC0">
        <w:rPr>
          <w:rFonts w:ascii="Arial" w:hAnsi="Arial" w:cs="Arial"/>
          <w:sz w:val="24"/>
          <w:szCs w:val="24"/>
        </w:rPr>
        <w:t>4</w:t>
      </w:r>
      <w:r>
        <w:rPr>
          <w:rFonts w:ascii="Arial" w:hAnsi="Arial" w:cs="Arial"/>
          <w:sz w:val="24"/>
          <w:szCs w:val="24"/>
        </w:rPr>
        <w:t>]</w:t>
      </w:r>
      <w:r>
        <w:rPr>
          <w:rFonts w:ascii="Arial" w:hAnsi="Arial" w:cs="Arial"/>
          <w:sz w:val="24"/>
          <w:szCs w:val="24"/>
        </w:rPr>
        <w:tab/>
      </w:r>
      <w:r w:rsidR="003058F4" w:rsidRPr="003C57F5">
        <w:rPr>
          <w:rFonts w:ascii="Arial" w:hAnsi="Arial" w:cs="Arial"/>
          <w:sz w:val="24"/>
          <w:szCs w:val="24"/>
        </w:rPr>
        <w:t xml:space="preserve">The court in </w:t>
      </w:r>
      <w:r w:rsidR="003058F4" w:rsidRPr="003C57F5">
        <w:rPr>
          <w:rFonts w:ascii="Arial" w:hAnsi="Arial" w:cs="Arial"/>
          <w:i/>
          <w:iCs/>
          <w:sz w:val="24"/>
          <w:szCs w:val="24"/>
        </w:rPr>
        <w:t>Trencon Construction (Pty) Ltd v Industrial Development Corporation of South Africa Ltd &amp; another</w:t>
      </w:r>
      <w:r w:rsidR="003058F4">
        <w:rPr>
          <w:rStyle w:val="FootnoteReference"/>
          <w:rFonts w:ascii="Arial" w:hAnsi="Arial" w:cs="Arial"/>
          <w:i/>
          <w:iCs/>
          <w:sz w:val="24"/>
          <w:szCs w:val="24"/>
        </w:rPr>
        <w:footnoteReference w:id="53"/>
      </w:r>
      <w:r w:rsidR="003058F4" w:rsidRPr="003C57F5">
        <w:rPr>
          <w:rFonts w:ascii="Arial" w:hAnsi="Arial" w:cs="Arial"/>
          <w:i/>
          <w:iCs/>
          <w:sz w:val="24"/>
          <w:szCs w:val="24"/>
        </w:rPr>
        <w:t xml:space="preserve"> </w:t>
      </w:r>
      <w:r w:rsidR="003058F4" w:rsidRPr="003C57F5">
        <w:rPr>
          <w:rFonts w:ascii="Arial" w:hAnsi="Arial" w:cs="Arial"/>
          <w:sz w:val="24"/>
          <w:szCs w:val="24"/>
        </w:rPr>
        <w:t xml:space="preserve">sets out the test to be applied in determining whether the Court may make a substitution order and step into the shoes of an RSDO.  In paragraph 47 to 50 the court </w:t>
      </w:r>
      <w:r w:rsidR="003058F4" w:rsidRPr="003C57F5">
        <w:rPr>
          <w:rFonts w:ascii="Arial" w:hAnsi="Arial" w:cs="Arial"/>
          <w:i/>
          <w:iCs/>
          <w:sz w:val="24"/>
          <w:szCs w:val="24"/>
        </w:rPr>
        <w:t xml:space="preserve"> </w:t>
      </w:r>
      <w:r w:rsidR="003058F4" w:rsidRPr="003C57F5">
        <w:rPr>
          <w:rFonts w:ascii="Arial" w:hAnsi="Arial" w:cs="Arial"/>
          <w:sz w:val="24"/>
          <w:szCs w:val="24"/>
        </w:rPr>
        <w:t>stated that:</w:t>
      </w:r>
      <w:r w:rsidR="003058F4">
        <w:rPr>
          <w:rStyle w:val="FootnoteReference"/>
          <w:rFonts w:ascii="Arial" w:hAnsi="Arial" w:cs="Arial"/>
          <w:sz w:val="24"/>
          <w:szCs w:val="24"/>
        </w:rPr>
        <w:footnoteReference w:id="54"/>
      </w:r>
    </w:p>
    <w:p w14:paraId="5C6B69B2" w14:textId="77777777" w:rsidR="009C63DC" w:rsidRPr="006A62B6" w:rsidRDefault="009C63DC" w:rsidP="009C63DC">
      <w:pPr>
        <w:pStyle w:val="ListParagraph"/>
        <w:spacing w:after="0" w:line="360" w:lineRule="auto"/>
        <w:ind w:left="0"/>
        <w:jc w:val="both"/>
        <w:rPr>
          <w:rFonts w:ascii="Arial" w:hAnsi="Arial" w:cs="Arial"/>
          <w:sz w:val="24"/>
          <w:szCs w:val="24"/>
        </w:rPr>
      </w:pPr>
    </w:p>
    <w:p w14:paraId="4BFF76C8" w14:textId="378C1473" w:rsidR="003058F4" w:rsidRPr="003058F4" w:rsidRDefault="003058F4" w:rsidP="00D1249C">
      <w:pPr>
        <w:spacing w:after="0" w:line="360" w:lineRule="auto"/>
        <w:ind w:left="1156"/>
        <w:jc w:val="both"/>
        <w:rPr>
          <w:rFonts w:ascii="Arial" w:hAnsi="Arial" w:cs="Arial"/>
          <w:i/>
          <w:iCs/>
        </w:rPr>
      </w:pPr>
      <w:r>
        <w:rPr>
          <w:rFonts w:ascii="Arial" w:hAnsi="Arial" w:cs="Arial"/>
          <w:i/>
          <w:iCs/>
        </w:rPr>
        <w:t>“G</w:t>
      </w:r>
      <w:r w:rsidRPr="00BB7324">
        <w:rPr>
          <w:rFonts w:ascii="Arial" w:hAnsi="Arial" w:cs="Arial"/>
          <w:i/>
          <w:iCs/>
        </w:rPr>
        <w:t>iven the doctrine of separation of powers, in conducting this enquiry there are certain factors that should inevitably hold greater weight.</w:t>
      </w:r>
      <w:r>
        <w:rPr>
          <w:rFonts w:ascii="Arial" w:hAnsi="Arial" w:cs="Arial"/>
          <w:i/>
          <w:iCs/>
        </w:rPr>
        <w:t xml:space="preserve"> </w:t>
      </w:r>
      <w:r w:rsidRPr="00BB7324">
        <w:rPr>
          <w:rFonts w:ascii="Arial" w:hAnsi="Arial" w:cs="Arial"/>
          <w:i/>
          <w:iCs/>
        </w:rPr>
        <w:t xml:space="preserve">The first is whether a </w:t>
      </w:r>
      <w:bookmarkStart w:id="11" w:name="_Hlk137090349"/>
      <w:r w:rsidRPr="00BB7324">
        <w:rPr>
          <w:rFonts w:ascii="Arial" w:hAnsi="Arial" w:cs="Arial"/>
          <w:i/>
          <w:iCs/>
        </w:rPr>
        <w:t>court is in as good a position as the administrator to make the decision</w:t>
      </w:r>
      <w:bookmarkEnd w:id="11"/>
      <w:r w:rsidRPr="00BB7324">
        <w:rPr>
          <w:rFonts w:ascii="Arial" w:hAnsi="Arial" w:cs="Arial"/>
          <w:i/>
          <w:iCs/>
        </w:rPr>
        <w:t>.</w:t>
      </w:r>
      <w:r w:rsidR="007218B9">
        <w:rPr>
          <w:rFonts w:ascii="Arial" w:hAnsi="Arial" w:cs="Arial"/>
          <w:i/>
          <w:iCs/>
        </w:rPr>
        <w:t xml:space="preserve"> </w:t>
      </w:r>
      <w:r w:rsidRPr="00BB7324">
        <w:rPr>
          <w:rFonts w:ascii="Arial" w:hAnsi="Arial" w:cs="Arial"/>
          <w:i/>
          <w:iCs/>
        </w:rPr>
        <w:t xml:space="preserve">The second is whether the decision of </w:t>
      </w:r>
      <w:bookmarkStart w:id="12" w:name="_Hlk137090379"/>
      <w:r w:rsidRPr="00BB7324">
        <w:rPr>
          <w:rFonts w:ascii="Arial" w:hAnsi="Arial" w:cs="Arial"/>
          <w:i/>
          <w:iCs/>
        </w:rPr>
        <w:t>an administrator is a foregone conclusion</w:t>
      </w:r>
      <w:bookmarkEnd w:id="12"/>
      <w:r w:rsidRPr="00BB7324">
        <w:rPr>
          <w:rFonts w:ascii="Arial" w:hAnsi="Arial" w:cs="Arial"/>
          <w:i/>
          <w:iCs/>
        </w:rPr>
        <w:t>.</w:t>
      </w:r>
      <w:r w:rsidR="007218B9">
        <w:rPr>
          <w:rFonts w:ascii="Arial" w:hAnsi="Arial" w:cs="Arial"/>
          <w:i/>
          <w:iCs/>
        </w:rPr>
        <w:t xml:space="preserve"> </w:t>
      </w:r>
      <w:r w:rsidRPr="00BB7324">
        <w:rPr>
          <w:rFonts w:ascii="Arial" w:hAnsi="Arial" w:cs="Arial"/>
          <w:i/>
          <w:iCs/>
        </w:rPr>
        <w:t>These two factors must be considered cumulatively.</w:t>
      </w:r>
      <w:r>
        <w:rPr>
          <w:rFonts w:ascii="Arial" w:hAnsi="Arial" w:cs="Arial"/>
          <w:i/>
          <w:iCs/>
        </w:rPr>
        <w:t xml:space="preserve"> </w:t>
      </w:r>
      <w:r w:rsidRPr="00BB7324">
        <w:rPr>
          <w:rFonts w:ascii="Arial" w:hAnsi="Arial" w:cs="Arial"/>
          <w:i/>
          <w:iCs/>
        </w:rPr>
        <w:t xml:space="preserve">Thereafter, a court should still consider other relevant factors. These may include </w:t>
      </w:r>
      <w:bookmarkStart w:id="13" w:name="_Hlk137090425"/>
      <w:r w:rsidRPr="00BB7324">
        <w:rPr>
          <w:rFonts w:ascii="Arial" w:hAnsi="Arial" w:cs="Arial"/>
          <w:i/>
          <w:iCs/>
        </w:rPr>
        <w:t>delay, bias or the incompetence of an administrator</w:t>
      </w:r>
      <w:bookmarkEnd w:id="13"/>
      <w:r w:rsidRPr="00BB7324">
        <w:rPr>
          <w:rFonts w:ascii="Arial" w:hAnsi="Arial" w:cs="Arial"/>
          <w:i/>
          <w:iCs/>
        </w:rPr>
        <w:t xml:space="preserve">. </w:t>
      </w:r>
      <w:r w:rsidRPr="003942F7">
        <w:rPr>
          <w:rFonts w:ascii="Arial" w:hAnsi="Arial" w:cs="Arial"/>
          <w:i/>
          <w:iCs/>
          <w:u w:val="single"/>
        </w:rPr>
        <w:t>The ultimate consideration is whether a substitution order is just and equitable</w:t>
      </w:r>
      <w:r w:rsidRPr="00BB7324">
        <w:rPr>
          <w:rFonts w:ascii="Arial" w:hAnsi="Arial" w:cs="Arial"/>
          <w:i/>
          <w:iCs/>
        </w:rPr>
        <w:t>. This will involve a consideration of fairness to all implicated parties.</w:t>
      </w:r>
      <w:r w:rsidR="007218B9">
        <w:rPr>
          <w:rFonts w:ascii="Arial" w:hAnsi="Arial" w:cs="Arial"/>
          <w:i/>
          <w:iCs/>
        </w:rPr>
        <w:t xml:space="preserve"> </w:t>
      </w:r>
      <w:r w:rsidRPr="00BB7324">
        <w:rPr>
          <w:rFonts w:ascii="Arial" w:hAnsi="Arial" w:cs="Arial"/>
          <w:i/>
          <w:iCs/>
        </w:rPr>
        <w:t xml:space="preserve">It is prudent to emphasise that the exceptional </w:t>
      </w:r>
      <w:r w:rsidRPr="00BB7324">
        <w:rPr>
          <w:rFonts w:ascii="Arial" w:hAnsi="Arial" w:cs="Arial"/>
          <w:i/>
          <w:iCs/>
        </w:rPr>
        <w:lastRenderedPageBreak/>
        <w:t>circumstances enquiry requires an examination of each matter on a case-by-case basis that accounts for all relevant facts and circumstances.</w:t>
      </w:r>
    </w:p>
    <w:p w14:paraId="4AF94016" w14:textId="13F947DD" w:rsidR="009C63DC" w:rsidRDefault="003058F4" w:rsidP="00D1249C">
      <w:pPr>
        <w:spacing w:after="0" w:line="360" w:lineRule="auto"/>
        <w:ind w:left="1156"/>
        <w:jc w:val="both"/>
        <w:rPr>
          <w:rFonts w:ascii="Arial" w:hAnsi="Arial" w:cs="Arial"/>
          <w:i/>
          <w:iCs/>
        </w:rPr>
      </w:pPr>
      <w:r w:rsidRPr="003C57F5">
        <w:rPr>
          <w:rFonts w:ascii="Arial" w:hAnsi="Arial" w:cs="Arial"/>
          <w:i/>
          <w:iCs/>
        </w:rPr>
        <w:t xml:space="preserve">A court will not be in as good a position as the administrator where the application of </w:t>
      </w:r>
      <w:bookmarkStart w:id="14" w:name="_Hlk137090776"/>
      <w:r w:rsidRPr="003C57F5">
        <w:rPr>
          <w:rFonts w:ascii="Arial" w:hAnsi="Arial" w:cs="Arial"/>
          <w:i/>
          <w:iCs/>
        </w:rPr>
        <w:t>the administrator’s expertise is still required</w:t>
      </w:r>
      <w:bookmarkEnd w:id="14"/>
      <w:r w:rsidRPr="003C57F5">
        <w:rPr>
          <w:rFonts w:ascii="Arial" w:hAnsi="Arial" w:cs="Arial"/>
          <w:i/>
          <w:iCs/>
        </w:rPr>
        <w:t xml:space="preserve">, and a court does not have all the pertinent information before it. </w:t>
      </w:r>
      <w:r w:rsidRPr="006A62B6">
        <w:rPr>
          <w:rFonts w:ascii="Arial" w:hAnsi="Arial" w:cs="Arial"/>
          <w:i/>
          <w:iCs/>
        </w:rPr>
        <w:t>This would depend on the facts of each case</w:t>
      </w:r>
      <w:r>
        <w:rPr>
          <w:rFonts w:ascii="Arial" w:hAnsi="Arial" w:cs="Arial"/>
          <w:i/>
          <w:iCs/>
        </w:rPr>
        <w:t>.</w:t>
      </w:r>
    </w:p>
    <w:p w14:paraId="5E04221B" w14:textId="0BE0D287" w:rsidR="003058F4" w:rsidRPr="002A1C19" w:rsidRDefault="003058F4" w:rsidP="00D1249C">
      <w:pPr>
        <w:spacing w:after="0" w:line="360" w:lineRule="auto"/>
        <w:ind w:left="1156"/>
        <w:jc w:val="both"/>
        <w:rPr>
          <w:rFonts w:ascii="Arial" w:hAnsi="Arial" w:cs="Arial"/>
          <w:i/>
          <w:iCs/>
        </w:rPr>
      </w:pPr>
      <w:r w:rsidRPr="006A62B6">
        <w:rPr>
          <w:rFonts w:ascii="Arial" w:hAnsi="Arial" w:cs="Arial"/>
          <w:i/>
          <w:iCs/>
        </w:rPr>
        <w:t>Once a court has established that it is in as good a position as the administrator, it is competent to enquire into whether the decision of the administrator is a foregone conclusion.</w:t>
      </w:r>
      <w:r>
        <w:rPr>
          <w:rFonts w:ascii="Arial" w:hAnsi="Arial" w:cs="Arial"/>
          <w:i/>
          <w:iCs/>
        </w:rPr>
        <w:t xml:space="preserve"> </w:t>
      </w:r>
      <w:r w:rsidRPr="006A62B6">
        <w:rPr>
          <w:rFonts w:ascii="Arial" w:hAnsi="Arial" w:cs="Arial"/>
          <w:i/>
          <w:iCs/>
        </w:rPr>
        <w:t xml:space="preserve"> A foregone conclusion exists where there is only one proper outcome of the exercise of an administrator’s discretion and </w:t>
      </w:r>
      <w:r>
        <w:rPr>
          <w:rFonts w:ascii="Arial" w:hAnsi="Arial" w:cs="Arial"/>
          <w:i/>
          <w:iCs/>
        </w:rPr>
        <w:t>‘</w:t>
      </w:r>
      <w:r w:rsidRPr="006A62B6">
        <w:rPr>
          <w:rFonts w:ascii="Arial" w:hAnsi="Arial" w:cs="Arial"/>
          <w:i/>
          <w:iCs/>
        </w:rPr>
        <w:t xml:space="preserve">it would merely be a waste of </w:t>
      </w:r>
      <w:bookmarkStart w:id="15" w:name="_Hlk137091126"/>
      <w:r w:rsidRPr="006A62B6">
        <w:rPr>
          <w:rFonts w:ascii="Arial" w:hAnsi="Arial" w:cs="Arial"/>
          <w:i/>
          <w:iCs/>
        </w:rPr>
        <w:t>time to order the [administrator] to reconsider the matter</w:t>
      </w:r>
      <w:bookmarkEnd w:id="15"/>
      <w:r>
        <w:rPr>
          <w:rFonts w:ascii="Arial" w:hAnsi="Arial" w:cs="Arial"/>
          <w:i/>
          <w:iCs/>
        </w:rPr>
        <w:t>’</w:t>
      </w:r>
      <w:r w:rsidRPr="006A62B6">
        <w:rPr>
          <w:rFonts w:ascii="Arial" w:hAnsi="Arial" w:cs="Arial"/>
          <w:i/>
          <w:iCs/>
        </w:rPr>
        <w:t>.</w:t>
      </w:r>
      <w:r>
        <w:rPr>
          <w:rFonts w:ascii="Arial" w:hAnsi="Arial" w:cs="Arial"/>
          <w:i/>
          <w:iCs/>
        </w:rPr>
        <w:t xml:space="preserve"> </w:t>
      </w:r>
      <w:r w:rsidRPr="006A62B6">
        <w:rPr>
          <w:rFonts w:ascii="Arial" w:hAnsi="Arial" w:cs="Arial"/>
          <w:i/>
          <w:iCs/>
        </w:rPr>
        <w:t xml:space="preserve"> Indubitably, </w:t>
      </w:r>
      <w:r w:rsidRPr="002A1C19">
        <w:rPr>
          <w:rFonts w:ascii="Arial" w:hAnsi="Arial" w:cs="Arial"/>
          <w:i/>
          <w:iCs/>
        </w:rPr>
        <w:t>where the administrator has not adequately applied its unique expertise and experience to the matter, it may be difficult for a court to find that an administrator would have reached a particular decision and that the decision is a foregone conclusion.</w:t>
      </w:r>
    </w:p>
    <w:p w14:paraId="01DCDC5E" w14:textId="513082D6" w:rsidR="003058F4" w:rsidRPr="002A1C19" w:rsidRDefault="003058F4" w:rsidP="00D1249C">
      <w:pPr>
        <w:spacing w:after="0" w:line="360" w:lineRule="auto"/>
        <w:ind w:left="1156"/>
        <w:jc w:val="both"/>
        <w:rPr>
          <w:rFonts w:ascii="Arial" w:hAnsi="Arial" w:cs="Arial"/>
          <w:i/>
          <w:iCs/>
        </w:rPr>
      </w:pPr>
      <w:r>
        <w:rPr>
          <w:rFonts w:ascii="Arial" w:hAnsi="Arial" w:cs="Arial"/>
          <w:i/>
          <w:iCs/>
        </w:rPr>
        <w:t>E</w:t>
      </w:r>
      <w:r w:rsidRPr="009B7660">
        <w:rPr>
          <w:rFonts w:ascii="Arial" w:hAnsi="Arial" w:cs="Arial"/>
          <w:i/>
          <w:iCs/>
        </w:rPr>
        <w:t xml:space="preserve">ven where the administrator has applied its skills and expertise and a court has l the relevant information before it, </w:t>
      </w:r>
      <w:r w:rsidRPr="002A1C19">
        <w:rPr>
          <w:rFonts w:ascii="Arial" w:hAnsi="Arial" w:cs="Arial"/>
          <w:i/>
          <w:iCs/>
        </w:rPr>
        <w:t>the nature of the decision may dictate that a court defer to the administrator</w:t>
      </w:r>
      <w:r w:rsidRPr="003C57F5">
        <w:rPr>
          <w:rFonts w:ascii="Arial" w:hAnsi="Arial" w:cs="Arial"/>
          <w:b/>
          <w:i/>
          <w:iCs/>
        </w:rPr>
        <w:t>”.</w:t>
      </w:r>
      <w:r w:rsidRPr="003C57F5">
        <w:rPr>
          <w:rStyle w:val="FootnoteReference"/>
          <w:rFonts w:ascii="Arial" w:hAnsi="Arial" w:cs="Arial"/>
          <w:b/>
          <w:i/>
          <w:iCs/>
        </w:rPr>
        <w:footnoteReference w:id="55"/>
      </w:r>
      <w:r w:rsidR="002A1C19">
        <w:rPr>
          <w:rFonts w:ascii="Arial" w:hAnsi="Arial" w:cs="Arial"/>
          <w:b/>
          <w:i/>
          <w:iCs/>
        </w:rPr>
        <w:t xml:space="preserve"> </w:t>
      </w:r>
      <w:r w:rsidR="002A1C19" w:rsidRPr="002A1C19">
        <w:rPr>
          <w:rFonts w:ascii="Arial" w:hAnsi="Arial" w:cs="Arial"/>
          <w:i/>
          <w:iCs/>
        </w:rPr>
        <w:t>(my emphasis)</w:t>
      </w:r>
    </w:p>
    <w:p w14:paraId="33147619" w14:textId="77777777" w:rsidR="003058F4" w:rsidRDefault="003058F4" w:rsidP="003058F4">
      <w:pPr>
        <w:spacing w:after="0" w:line="360" w:lineRule="auto"/>
        <w:ind w:left="426"/>
        <w:jc w:val="both"/>
        <w:rPr>
          <w:rFonts w:ascii="Arial" w:hAnsi="Arial" w:cs="Arial"/>
          <w:i/>
          <w:iCs/>
        </w:rPr>
      </w:pPr>
    </w:p>
    <w:p w14:paraId="2C78EB52" w14:textId="27A75DAB" w:rsidR="00D1249C" w:rsidRDefault="003C57F5" w:rsidP="003C57F5">
      <w:pPr>
        <w:pStyle w:val="blockquote-x"/>
        <w:shd w:val="clear" w:color="auto" w:fill="FFFFFF"/>
        <w:spacing w:before="0" w:beforeAutospacing="0" w:after="0" w:afterAutospacing="0" w:line="360" w:lineRule="auto"/>
        <w:ind w:right="567"/>
        <w:jc w:val="both"/>
        <w:rPr>
          <w:rFonts w:ascii="Arial" w:hAnsi="Arial" w:cs="Arial"/>
        </w:rPr>
      </w:pPr>
      <w:r>
        <w:rPr>
          <w:rFonts w:ascii="Arial" w:hAnsi="Arial" w:cs="Arial"/>
        </w:rPr>
        <w:t>[1</w:t>
      </w:r>
      <w:r w:rsidR="00287CC0">
        <w:rPr>
          <w:rFonts w:ascii="Arial" w:hAnsi="Arial" w:cs="Arial"/>
        </w:rPr>
        <w:t>45</w:t>
      </w:r>
      <w:r w:rsidR="00890F6E">
        <w:rPr>
          <w:rFonts w:ascii="Arial" w:hAnsi="Arial" w:cs="Arial"/>
        </w:rPr>
        <w:t>]</w:t>
      </w:r>
      <w:r w:rsidR="00890F6E">
        <w:rPr>
          <w:rFonts w:ascii="Arial" w:hAnsi="Arial" w:cs="Arial"/>
        </w:rPr>
        <w:tab/>
      </w:r>
      <w:r w:rsidR="00807911" w:rsidRPr="00D1249C">
        <w:rPr>
          <w:rFonts w:ascii="Arial" w:hAnsi="Arial" w:cs="Arial"/>
        </w:rPr>
        <w:t xml:space="preserve">It is common cause that DBCM sought the review of the </w:t>
      </w:r>
      <w:r w:rsidR="007F432B">
        <w:rPr>
          <w:rFonts w:ascii="Arial" w:hAnsi="Arial" w:cs="Arial"/>
        </w:rPr>
        <w:t>decision</w:t>
      </w:r>
      <w:r w:rsidR="008A5515">
        <w:rPr>
          <w:rFonts w:ascii="Arial" w:hAnsi="Arial" w:cs="Arial"/>
        </w:rPr>
        <w:t>s</w:t>
      </w:r>
      <w:r w:rsidR="007F432B">
        <w:rPr>
          <w:rFonts w:ascii="Arial" w:hAnsi="Arial" w:cs="Arial"/>
        </w:rPr>
        <w:t xml:space="preserve"> </w:t>
      </w:r>
      <w:r w:rsidR="00807911" w:rsidRPr="00D1249C">
        <w:rPr>
          <w:rFonts w:ascii="Arial" w:hAnsi="Arial" w:cs="Arial"/>
        </w:rPr>
        <w:t>taken in terms of the MPRDA.</w:t>
      </w:r>
      <w:r w:rsidR="008A5515">
        <w:rPr>
          <w:rFonts w:ascii="Arial" w:hAnsi="Arial" w:cs="Arial"/>
        </w:rPr>
        <w:t xml:space="preserve"> </w:t>
      </w:r>
      <w:r w:rsidR="00807911" w:rsidRPr="00D1249C">
        <w:rPr>
          <w:rFonts w:ascii="Arial" w:hAnsi="Arial" w:cs="Arial"/>
        </w:rPr>
        <w:t>Therefore, subject to an internal appeal</w:t>
      </w:r>
      <w:r w:rsidR="008A5515" w:rsidRPr="008A5515">
        <w:rPr>
          <w:rFonts w:ascii="Arial" w:hAnsi="Arial" w:cs="Arial"/>
        </w:rPr>
        <w:t xml:space="preserve"> </w:t>
      </w:r>
      <w:r w:rsidR="008A5515" w:rsidRPr="00D1249C">
        <w:rPr>
          <w:rFonts w:ascii="Arial" w:hAnsi="Arial" w:cs="Arial"/>
        </w:rPr>
        <w:t>in accordance with s 96(1)</w:t>
      </w:r>
      <w:r w:rsidR="008A5515">
        <w:rPr>
          <w:rFonts w:ascii="Arial" w:hAnsi="Arial" w:cs="Arial"/>
        </w:rPr>
        <w:t>.</w:t>
      </w:r>
      <w:r w:rsidR="008A5515" w:rsidRPr="00D1249C">
        <w:rPr>
          <w:rFonts w:ascii="Arial" w:hAnsi="Arial" w:cs="Arial"/>
        </w:rPr>
        <w:t xml:space="preserve"> </w:t>
      </w:r>
      <w:r w:rsidR="00807911" w:rsidRPr="00D1249C">
        <w:rPr>
          <w:rFonts w:ascii="Arial" w:hAnsi="Arial" w:cs="Arial"/>
        </w:rPr>
        <w:t xml:space="preserve">Even if s 96(3) did not exist, the duty to exhaust domestic remedies would have been triggered by the mere provision of the internal appeal. </w:t>
      </w:r>
      <w:r w:rsidRPr="00D1249C">
        <w:rPr>
          <w:rFonts w:ascii="Arial" w:hAnsi="Arial" w:cs="Arial"/>
        </w:rPr>
        <w:t xml:space="preserve">Applying the above principles in </w:t>
      </w:r>
      <w:r w:rsidRPr="007F432B">
        <w:rPr>
          <w:rFonts w:ascii="Arial" w:hAnsi="Arial" w:cs="Arial"/>
          <w:i/>
        </w:rPr>
        <w:t>casu,</w:t>
      </w:r>
      <w:r w:rsidRPr="00D1249C">
        <w:rPr>
          <w:rFonts w:ascii="Arial" w:hAnsi="Arial" w:cs="Arial"/>
        </w:rPr>
        <w:t xml:space="preserve"> the case</w:t>
      </w:r>
      <w:r>
        <w:rPr>
          <w:rFonts w:ascii="Arial" w:hAnsi="Arial" w:cs="Arial"/>
        </w:rPr>
        <w:t xml:space="preserve"> </w:t>
      </w:r>
      <w:r w:rsidRPr="00D1249C">
        <w:rPr>
          <w:rFonts w:ascii="Arial" w:hAnsi="Arial" w:cs="Arial"/>
        </w:rPr>
        <w:t xml:space="preserve">law and </w:t>
      </w:r>
      <w:r w:rsidR="007F432B">
        <w:rPr>
          <w:rFonts w:ascii="Arial" w:hAnsi="Arial" w:cs="Arial"/>
        </w:rPr>
        <w:t xml:space="preserve">the </w:t>
      </w:r>
      <w:r w:rsidRPr="00D1249C">
        <w:rPr>
          <w:rFonts w:ascii="Arial" w:hAnsi="Arial" w:cs="Arial"/>
        </w:rPr>
        <w:t xml:space="preserve">provisions </w:t>
      </w:r>
      <w:r w:rsidR="007F432B">
        <w:rPr>
          <w:rFonts w:ascii="Arial" w:hAnsi="Arial" w:cs="Arial"/>
        </w:rPr>
        <w:t xml:space="preserve">of </w:t>
      </w:r>
      <w:r w:rsidRPr="00D1249C">
        <w:rPr>
          <w:rFonts w:ascii="Arial" w:hAnsi="Arial" w:cs="Arial"/>
        </w:rPr>
        <w:t>s 96 (1) of the MPRDA and s</w:t>
      </w:r>
      <w:r>
        <w:rPr>
          <w:rFonts w:ascii="Arial" w:hAnsi="Arial" w:cs="Arial"/>
        </w:rPr>
        <w:t xml:space="preserve"> </w:t>
      </w:r>
      <w:r w:rsidRPr="00D1249C">
        <w:rPr>
          <w:rFonts w:ascii="Arial" w:hAnsi="Arial" w:cs="Arial"/>
        </w:rPr>
        <w:t>7 of PAJA</w:t>
      </w:r>
      <w:r w:rsidR="00277B65">
        <w:rPr>
          <w:rFonts w:ascii="Arial" w:hAnsi="Arial" w:cs="Arial"/>
        </w:rPr>
        <w:t>,</w:t>
      </w:r>
      <w:r w:rsidRPr="00D1249C">
        <w:rPr>
          <w:rFonts w:ascii="Verdana" w:eastAsiaTheme="minorHAnsi" w:hAnsi="Verdana" w:cstheme="minorBidi"/>
          <w:color w:val="000000"/>
          <w:kern w:val="2"/>
          <w:sz w:val="18"/>
          <w:szCs w:val="18"/>
          <w:shd w:val="clear" w:color="auto" w:fill="FFFFFF"/>
          <w:lang w:eastAsia="en-US"/>
          <w14:ligatures w14:val="standardContextual"/>
        </w:rPr>
        <w:t xml:space="preserve"> </w:t>
      </w:r>
      <w:r w:rsidRPr="00D1249C">
        <w:rPr>
          <w:rFonts w:ascii="Arial" w:hAnsi="Arial" w:cs="Arial"/>
        </w:rPr>
        <w:t xml:space="preserve">DBCM </w:t>
      </w:r>
      <w:r w:rsidR="00277B65">
        <w:rPr>
          <w:rFonts w:ascii="Arial" w:hAnsi="Arial" w:cs="Arial"/>
        </w:rPr>
        <w:t xml:space="preserve">is </w:t>
      </w:r>
      <w:r w:rsidR="00277B65" w:rsidRPr="00D1249C">
        <w:rPr>
          <w:rFonts w:ascii="Arial" w:hAnsi="Arial" w:cs="Arial"/>
        </w:rPr>
        <w:t>forbid</w:t>
      </w:r>
      <w:r w:rsidR="00277B65">
        <w:rPr>
          <w:rFonts w:ascii="Arial" w:hAnsi="Arial" w:cs="Arial"/>
        </w:rPr>
        <w:t>den</w:t>
      </w:r>
      <w:r w:rsidR="00277B65" w:rsidRPr="00D1249C">
        <w:rPr>
          <w:rFonts w:ascii="Arial" w:hAnsi="Arial" w:cs="Arial"/>
        </w:rPr>
        <w:t xml:space="preserve"> </w:t>
      </w:r>
      <w:r w:rsidRPr="00D1249C">
        <w:rPr>
          <w:rFonts w:ascii="Arial" w:hAnsi="Arial" w:cs="Arial"/>
        </w:rPr>
        <w:t>from applying for the review of decisions taken in terms of the MPRDA until the internal remedies</w:t>
      </w:r>
      <w:r w:rsidR="00277B65" w:rsidRPr="00277B65">
        <w:rPr>
          <w:rFonts w:ascii="Arial" w:hAnsi="Arial" w:cs="Arial"/>
        </w:rPr>
        <w:t xml:space="preserve"> </w:t>
      </w:r>
      <w:r w:rsidR="00277B65">
        <w:rPr>
          <w:rFonts w:ascii="Arial" w:hAnsi="Arial" w:cs="Arial"/>
        </w:rPr>
        <w:t xml:space="preserve">have been </w:t>
      </w:r>
      <w:r w:rsidR="00277B65" w:rsidRPr="00D1249C">
        <w:rPr>
          <w:rFonts w:ascii="Arial" w:hAnsi="Arial" w:cs="Arial"/>
        </w:rPr>
        <w:t>e exhausted</w:t>
      </w:r>
      <w:r w:rsidRPr="00D1249C">
        <w:rPr>
          <w:rFonts w:ascii="Arial" w:hAnsi="Arial" w:cs="Arial"/>
        </w:rPr>
        <w:t>.</w:t>
      </w:r>
      <w:r w:rsidRPr="003C57F5">
        <w:rPr>
          <w:rFonts w:ascii="Arial" w:eastAsiaTheme="minorHAnsi" w:hAnsi="Arial" w:cs="Arial"/>
          <w:color w:val="242121"/>
          <w:kern w:val="2"/>
          <w:shd w:val="clear" w:color="auto" w:fill="FFFFFF"/>
          <w:lang w:eastAsia="en-US"/>
          <w14:ligatures w14:val="standardContextual"/>
        </w:rPr>
        <w:t xml:space="preserve"> </w:t>
      </w:r>
      <w:r w:rsidR="009144D6">
        <w:rPr>
          <w:rFonts w:ascii="Arial" w:eastAsiaTheme="minorHAnsi" w:hAnsi="Arial" w:cs="Arial"/>
          <w:color w:val="242121"/>
          <w:kern w:val="2"/>
          <w:shd w:val="clear" w:color="auto" w:fill="FFFFFF"/>
          <w:lang w:eastAsia="en-US"/>
          <w14:ligatures w14:val="standardContextual"/>
        </w:rPr>
        <w:t>In casu, a</w:t>
      </w:r>
      <w:r w:rsidRPr="003C57F5">
        <w:rPr>
          <w:rFonts w:ascii="Arial" w:eastAsiaTheme="minorHAnsi" w:hAnsi="Arial" w:cs="Arial"/>
          <w:color w:val="242121"/>
          <w:kern w:val="2"/>
          <w:shd w:val="clear" w:color="auto" w:fill="FFFFFF"/>
          <w:lang w:eastAsia="en-US"/>
          <w14:ligatures w14:val="standardContextual"/>
        </w:rPr>
        <w:t xml:space="preserve">n internal appeal in terms of section 96 </w:t>
      </w:r>
      <w:r w:rsidR="007F432B">
        <w:rPr>
          <w:rFonts w:ascii="Arial" w:eastAsiaTheme="minorHAnsi" w:hAnsi="Arial" w:cs="Arial"/>
          <w:color w:val="242121"/>
          <w:kern w:val="2"/>
          <w:shd w:val="clear" w:color="auto" w:fill="FFFFFF"/>
          <w:lang w:eastAsia="en-US"/>
          <w14:ligatures w14:val="standardContextual"/>
        </w:rPr>
        <w:t>is pending</w:t>
      </w:r>
      <w:r w:rsidR="009144D6">
        <w:rPr>
          <w:rFonts w:ascii="Arial" w:eastAsiaTheme="minorHAnsi" w:hAnsi="Arial" w:cs="Arial"/>
          <w:color w:val="242121"/>
          <w:kern w:val="2"/>
          <w:shd w:val="clear" w:color="auto" w:fill="FFFFFF"/>
          <w:lang w:eastAsia="en-US"/>
          <w14:ligatures w14:val="standardContextual"/>
        </w:rPr>
        <w:t>.</w:t>
      </w:r>
    </w:p>
    <w:p w14:paraId="30274BAD" w14:textId="77777777" w:rsidR="00D1249C" w:rsidRDefault="00D1249C" w:rsidP="00D1249C">
      <w:pPr>
        <w:pStyle w:val="blockquote-x"/>
        <w:shd w:val="clear" w:color="auto" w:fill="FFFFFF"/>
        <w:spacing w:before="0" w:beforeAutospacing="0" w:after="0" w:afterAutospacing="0" w:line="360" w:lineRule="auto"/>
        <w:ind w:right="567"/>
        <w:jc w:val="both"/>
        <w:rPr>
          <w:rFonts w:ascii="Arial" w:hAnsi="Arial" w:cs="Arial"/>
        </w:rPr>
      </w:pPr>
    </w:p>
    <w:p w14:paraId="6E2F81D8" w14:textId="0DFF8575" w:rsidR="00D1249C" w:rsidRPr="00890F6E" w:rsidRDefault="00287CC0" w:rsidP="003C57F5">
      <w:pPr>
        <w:pStyle w:val="blockquote-x"/>
        <w:shd w:val="clear" w:color="auto" w:fill="FFFFFF"/>
        <w:spacing w:before="0" w:beforeAutospacing="0" w:after="0" w:afterAutospacing="0" w:line="360" w:lineRule="auto"/>
        <w:ind w:right="567"/>
        <w:jc w:val="both"/>
        <w:rPr>
          <w:rFonts w:ascii="Arial" w:hAnsi="Arial" w:cs="Arial"/>
        </w:rPr>
      </w:pPr>
      <w:r>
        <w:rPr>
          <w:rFonts w:ascii="Arial" w:hAnsi="Arial" w:cs="Arial"/>
        </w:rPr>
        <w:t>[146</w:t>
      </w:r>
      <w:r w:rsidR="003C57F5">
        <w:rPr>
          <w:rFonts w:ascii="Arial" w:hAnsi="Arial" w:cs="Arial"/>
        </w:rPr>
        <w:t>]</w:t>
      </w:r>
      <w:r w:rsidR="003C57F5">
        <w:rPr>
          <w:rFonts w:ascii="Arial" w:hAnsi="Arial" w:cs="Arial"/>
        </w:rPr>
        <w:tab/>
      </w:r>
      <w:r w:rsidR="00D1249C" w:rsidRPr="00D1249C">
        <w:rPr>
          <w:rFonts w:ascii="Arial" w:hAnsi="Arial" w:cs="Arial"/>
        </w:rPr>
        <w:t xml:space="preserve">DBCM had argued that </w:t>
      </w:r>
      <w:r w:rsidR="00D1249C">
        <w:rPr>
          <w:rFonts w:ascii="Arial" w:hAnsi="Arial" w:cs="Arial"/>
        </w:rPr>
        <w:t>there are exceptional circumstances which on consideration by the court should be found to be in the interest of justice that the court hears the review. DBCM complain</w:t>
      </w:r>
      <w:r w:rsidR="003C57F5">
        <w:rPr>
          <w:rFonts w:ascii="Arial" w:hAnsi="Arial" w:cs="Arial"/>
        </w:rPr>
        <w:t>ed</w:t>
      </w:r>
      <w:r w:rsidR="00D1249C">
        <w:rPr>
          <w:rFonts w:ascii="Arial" w:hAnsi="Arial" w:cs="Arial"/>
        </w:rPr>
        <w:t xml:space="preserve"> about the delay that the DRME has taken to decide the appeal</w:t>
      </w:r>
      <w:r w:rsidR="003C57F5">
        <w:rPr>
          <w:rFonts w:ascii="Arial" w:hAnsi="Arial" w:cs="Arial"/>
        </w:rPr>
        <w:t xml:space="preserve"> and therefore plead that it should be </w:t>
      </w:r>
      <w:r w:rsidR="00D1249C">
        <w:rPr>
          <w:rFonts w:ascii="Arial" w:hAnsi="Arial" w:cs="Arial"/>
        </w:rPr>
        <w:t>exempted</w:t>
      </w:r>
      <w:r w:rsidR="003C57F5">
        <w:rPr>
          <w:rFonts w:ascii="Arial" w:hAnsi="Arial" w:cs="Arial"/>
        </w:rPr>
        <w:t>.</w:t>
      </w:r>
      <w:r w:rsidR="00D1249C">
        <w:rPr>
          <w:rFonts w:ascii="Arial" w:hAnsi="Arial" w:cs="Arial"/>
        </w:rPr>
        <w:t xml:space="preserve"> </w:t>
      </w:r>
      <w:r w:rsidR="003C57F5">
        <w:rPr>
          <w:rFonts w:ascii="Arial" w:hAnsi="Arial" w:cs="Arial"/>
        </w:rPr>
        <w:t xml:space="preserve">Delay is just one of the factors to be considered. In the instance where </w:t>
      </w:r>
      <w:r w:rsidR="003C57F5" w:rsidRPr="00795E63">
        <w:rPr>
          <w:rFonts w:ascii="Arial" w:hAnsi="Arial" w:cs="Arial"/>
          <w:i/>
          <w:iCs/>
        </w:rPr>
        <w:t xml:space="preserve">the decision </w:t>
      </w:r>
      <w:r w:rsidR="003C57F5" w:rsidRPr="00890F6E">
        <w:rPr>
          <w:rFonts w:ascii="Arial" w:hAnsi="Arial" w:cs="Arial"/>
          <w:iCs/>
        </w:rPr>
        <w:t xml:space="preserve">maker has not adequately applied its unique expertise and experience to the matter, it may be difficult for a court to find that a particular decision </w:t>
      </w:r>
      <w:r w:rsidR="00795E63" w:rsidRPr="00890F6E">
        <w:rPr>
          <w:rFonts w:ascii="Arial" w:hAnsi="Arial" w:cs="Arial"/>
          <w:iCs/>
        </w:rPr>
        <w:t xml:space="preserve">would have </w:t>
      </w:r>
      <w:r w:rsidR="00795E63" w:rsidRPr="00890F6E">
        <w:rPr>
          <w:rFonts w:ascii="Arial" w:hAnsi="Arial" w:cs="Arial"/>
          <w:iCs/>
        </w:rPr>
        <w:lastRenderedPageBreak/>
        <w:t xml:space="preserve">been reached which </w:t>
      </w:r>
      <w:r w:rsidR="003C57F5" w:rsidRPr="00890F6E">
        <w:rPr>
          <w:rFonts w:ascii="Arial" w:hAnsi="Arial" w:cs="Arial"/>
          <w:iCs/>
        </w:rPr>
        <w:t>decision is a foregone conclusion</w:t>
      </w:r>
      <w:r w:rsidR="00927FBB" w:rsidRPr="00890F6E">
        <w:rPr>
          <w:rFonts w:ascii="Arial" w:hAnsi="Arial" w:cs="Arial"/>
          <w:iCs/>
        </w:rPr>
        <w:t xml:space="preserve">. It would be prudent to let the </w:t>
      </w:r>
      <w:r w:rsidR="00164EBC" w:rsidRPr="00890F6E">
        <w:rPr>
          <w:rFonts w:ascii="Arial" w:hAnsi="Arial" w:cs="Arial"/>
          <w:iCs/>
        </w:rPr>
        <w:t>administrative process be finalised</w:t>
      </w:r>
      <w:r w:rsidR="009144D6">
        <w:rPr>
          <w:rFonts w:ascii="Arial" w:hAnsi="Arial" w:cs="Arial"/>
          <w:iCs/>
        </w:rPr>
        <w:t xml:space="preserve"> safeguarded by a proper order directing the process</w:t>
      </w:r>
      <w:r w:rsidR="00164EBC" w:rsidRPr="00890F6E">
        <w:rPr>
          <w:rFonts w:ascii="Arial" w:hAnsi="Arial" w:cs="Arial"/>
          <w:iCs/>
        </w:rPr>
        <w:t xml:space="preserve">. </w:t>
      </w:r>
      <w:r w:rsidR="003C57F5" w:rsidRPr="00890F6E">
        <w:rPr>
          <w:rFonts w:ascii="Arial" w:hAnsi="Arial" w:cs="Arial"/>
        </w:rPr>
        <w:t xml:space="preserve"> </w:t>
      </w:r>
    </w:p>
    <w:p w14:paraId="506A71E8" w14:textId="5541FAD9" w:rsidR="00D1249C" w:rsidRPr="00D1249C" w:rsidRDefault="00D1249C" w:rsidP="00D1249C">
      <w:pPr>
        <w:pStyle w:val="blockquote-x"/>
        <w:shd w:val="clear" w:color="auto" w:fill="FFFFFF"/>
        <w:spacing w:before="0" w:beforeAutospacing="0" w:after="0" w:afterAutospacing="0" w:line="360" w:lineRule="auto"/>
        <w:ind w:right="567"/>
        <w:jc w:val="both"/>
        <w:rPr>
          <w:rFonts w:ascii="Arial" w:hAnsi="Arial" w:cs="Arial"/>
        </w:rPr>
      </w:pPr>
    </w:p>
    <w:p w14:paraId="44D2E877" w14:textId="1A51B275" w:rsidR="004A3147" w:rsidRDefault="00D1249C" w:rsidP="00D1249C">
      <w:pPr>
        <w:pStyle w:val="blockquote-x"/>
        <w:shd w:val="clear" w:color="auto" w:fill="FFFFFF"/>
        <w:spacing w:before="0" w:beforeAutospacing="0" w:after="0" w:afterAutospacing="0" w:line="360" w:lineRule="auto"/>
        <w:ind w:right="567"/>
        <w:jc w:val="both"/>
        <w:rPr>
          <w:rFonts w:ascii="Arial" w:hAnsi="Arial" w:cs="Arial"/>
        </w:rPr>
      </w:pPr>
      <w:r>
        <w:rPr>
          <w:rFonts w:ascii="Arial" w:hAnsi="Arial" w:cs="Arial"/>
        </w:rPr>
        <w:t>[</w:t>
      </w:r>
      <w:r w:rsidR="00287CC0">
        <w:rPr>
          <w:rFonts w:ascii="Arial" w:hAnsi="Arial" w:cs="Arial"/>
        </w:rPr>
        <w:t>147</w:t>
      </w:r>
      <w:r>
        <w:rPr>
          <w:rFonts w:ascii="Arial" w:hAnsi="Arial" w:cs="Arial"/>
        </w:rPr>
        <w:t>]</w:t>
      </w:r>
      <w:r>
        <w:rPr>
          <w:rFonts w:ascii="Arial" w:hAnsi="Arial" w:cs="Arial"/>
        </w:rPr>
        <w:tab/>
        <w:t>Furthermore</w:t>
      </w:r>
      <w:r w:rsidR="00890F6E">
        <w:rPr>
          <w:rFonts w:ascii="Arial" w:hAnsi="Arial" w:cs="Arial"/>
        </w:rPr>
        <w:t>,</w:t>
      </w:r>
      <w:r>
        <w:rPr>
          <w:rFonts w:ascii="Arial" w:hAnsi="Arial" w:cs="Arial"/>
        </w:rPr>
        <w:t xml:space="preserve"> DBCM</w:t>
      </w:r>
      <w:r w:rsidR="003C57F5">
        <w:rPr>
          <w:rFonts w:ascii="Arial" w:hAnsi="Arial" w:cs="Arial"/>
        </w:rPr>
        <w:t>’s</w:t>
      </w:r>
      <w:r>
        <w:rPr>
          <w:rFonts w:ascii="Arial" w:hAnsi="Arial" w:cs="Arial"/>
        </w:rPr>
        <w:t xml:space="preserve"> complain about delays</w:t>
      </w:r>
      <w:r w:rsidR="003C57F5">
        <w:rPr>
          <w:rFonts w:ascii="Arial" w:hAnsi="Arial" w:cs="Arial"/>
        </w:rPr>
        <w:t xml:space="preserve"> is clouded by the fact that it </w:t>
      </w:r>
      <w:r w:rsidR="00164EBC">
        <w:rPr>
          <w:rFonts w:ascii="Arial" w:hAnsi="Arial" w:cs="Arial"/>
        </w:rPr>
        <w:t xml:space="preserve">is the one that has </w:t>
      </w:r>
      <w:r w:rsidR="003C57F5">
        <w:rPr>
          <w:rFonts w:ascii="Arial" w:hAnsi="Arial" w:cs="Arial"/>
        </w:rPr>
        <w:t>extremely delayed in responding to the decision of the 1</w:t>
      </w:r>
      <w:r w:rsidR="003C57F5" w:rsidRPr="003C57F5">
        <w:rPr>
          <w:rFonts w:ascii="Arial" w:hAnsi="Arial" w:cs="Arial"/>
          <w:vertAlign w:val="superscript"/>
        </w:rPr>
        <w:t>st</w:t>
      </w:r>
      <w:r w:rsidR="003C57F5">
        <w:rPr>
          <w:rFonts w:ascii="Arial" w:hAnsi="Arial" w:cs="Arial"/>
        </w:rPr>
        <w:t xml:space="preserve"> Respondent. The 1</w:t>
      </w:r>
      <w:r w:rsidR="001A2526">
        <w:rPr>
          <w:rFonts w:ascii="Arial" w:hAnsi="Arial" w:cs="Arial"/>
        </w:rPr>
        <w:t>0</w:t>
      </w:r>
      <w:r w:rsidR="003C57F5">
        <w:rPr>
          <w:rFonts w:ascii="Arial" w:hAnsi="Arial" w:cs="Arial"/>
        </w:rPr>
        <w:t xml:space="preserve"> years that DBCM has mentioned </w:t>
      </w:r>
      <w:r w:rsidR="00BB117F">
        <w:rPr>
          <w:rFonts w:ascii="Arial" w:hAnsi="Arial" w:cs="Arial"/>
        </w:rPr>
        <w:t xml:space="preserve">came </w:t>
      </w:r>
      <w:r w:rsidR="003C57F5">
        <w:rPr>
          <w:rFonts w:ascii="Arial" w:hAnsi="Arial" w:cs="Arial"/>
        </w:rPr>
        <w:t xml:space="preserve">about because of </w:t>
      </w:r>
      <w:r w:rsidR="00795E63">
        <w:rPr>
          <w:rFonts w:ascii="Arial" w:hAnsi="Arial" w:cs="Arial"/>
        </w:rPr>
        <w:t>its</w:t>
      </w:r>
      <w:r w:rsidR="003C57F5">
        <w:rPr>
          <w:rFonts w:ascii="Arial" w:hAnsi="Arial" w:cs="Arial"/>
        </w:rPr>
        <w:t xml:space="preserve"> unexplaine</w:t>
      </w:r>
      <w:r w:rsidR="001A2526">
        <w:rPr>
          <w:rFonts w:ascii="Arial" w:hAnsi="Arial" w:cs="Arial"/>
        </w:rPr>
        <w:t xml:space="preserve">d period of 6 years of silence that followed </w:t>
      </w:r>
      <w:r w:rsidR="003C57F5">
        <w:rPr>
          <w:rFonts w:ascii="Arial" w:hAnsi="Arial" w:cs="Arial"/>
        </w:rPr>
        <w:t>the first decision of the 1</w:t>
      </w:r>
      <w:r w:rsidR="003C57F5" w:rsidRPr="003C57F5">
        <w:rPr>
          <w:rFonts w:ascii="Arial" w:hAnsi="Arial" w:cs="Arial"/>
          <w:vertAlign w:val="superscript"/>
        </w:rPr>
        <w:t>st</w:t>
      </w:r>
      <w:r w:rsidR="003C57F5">
        <w:rPr>
          <w:rFonts w:ascii="Arial" w:hAnsi="Arial" w:cs="Arial"/>
        </w:rPr>
        <w:t xml:space="preserve"> Respondent on 7 July 2011. The decision</w:t>
      </w:r>
      <w:r w:rsidR="00BB117F">
        <w:rPr>
          <w:rFonts w:ascii="Arial" w:hAnsi="Arial" w:cs="Arial"/>
        </w:rPr>
        <w:t xml:space="preserve">, with </w:t>
      </w:r>
      <w:r w:rsidR="003C4923">
        <w:rPr>
          <w:rFonts w:ascii="Arial" w:hAnsi="Arial" w:cs="Arial"/>
        </w:rPr>
        <w:t xml:space="preserve">a </w:t>
      </w:r>
      <w:r w:rsidR="00BB117F">
        <w:rPr>
          <w:rFonts w:ascii="Arial" w:hAnsi="Arial" w:cs="Arial"/>
        </w:rPr>
        <w:t xml:space="preserve">comment or instruction on the </w:t>
      </w:r>
      <w:r w:rsidR="00277B65">
        <w:rPr>
          <w:rFonts w:ascii="Arial" w:hAnsi="Arial" w:cs="Arial"/>
        </w:rPr>
        <w:t>flaws of th</w:t>
      </w:r>
      <w:r w:rsidR="00BB117F">
        <w:rPr>
          <w:rFonts w:ascii="Arial" w:hAnsi="Arial" w:cs="Arial"/>
        </w:rPr>
        <w:t>e application,</w:t>
      </w:r>
      <w:r w:rsidR="003C57F5">
        <w:rPr>
          <w:rFonts w:ascii="Arial" w:hAnsi="Arial" w:cs="Arial"/>
        </w:rPr>
        <w:t xml:space="preserve"> followed an assessment of the operations by the Mine and Health Directorate on May 2008</w:t>
      </w:r>
      <w:r w:rsidR="00BB117F">
        <w:rPr>
          <w:rFonts w:ascii="Arial" w:hAnsi="Arial" w:cs="Arial"/>
        </w:rPr>
        <w:t xml:space="preserve">, </w:t>
      </w:r>
      <w:r w:rsidR="003C57F5">
        <w:rPr>
          <w:rFonts w:ascii="Arial" w:hAnsi="Arial" w:cs="Arial"/>
        </w:rPr>
        <w:t xml:space="preserve">a closure plan assessment and site inspection on 15 April 2011. DBCM </w:t>
      </w:r>
      <w:r w:rsidR="00890F6E">
        <w:rPr>
          <w:rFonts w:ascii="Arial" w:hAnsi="Arial" w:cs="Arial"/>
        </w:rPr>
        <w:t>did not respond</w:t>
      </w:r>
      <w:r w:rsidR="003C57F5">
        <w:rPr>
          <w:rFonts w:ascii="Arial" w:hAnsi="Arial" w:cs="Arial"/>
        </w:rPr>
        <w:t xml:space="preserve"> </w:t>
      </w:r>
      <w:r w:rsidR="001A2526">
        <w:rPr>
          <w:rFonts w:ascii="Arial" w:hAnsi="Arial" w:cs="Arial"/>
        </w:rPr>
        <w:t xml:space="preserve">or </w:t>
      </w:r>
      <w:r w:rsidR="003C57F5">
        <w:rPr>
          <w:rFonts w:ascii="Arial" w:hAnsi="Arial" w:cs="Arial"/>
        </w:rPr>
        <w:t>indicate any difficult</w:t>
      </w:r>
      <w:r w:rsidR="00890F6E">
        <w:rPr>
          <w:rFonts w:ascii="Arial" w:hAnsi="Arial" w:cs="Arial"/>
        </w:rPr>
        <w:t xml:space="preserve">ies </w:t>
      </w:r>
      <w:r w:rsidR="00AA7CD6">
        <w:rPr>
          <w:rFonts w:ascii="Arial" w:hAnsi="Arial" w:cs="Arial"/>
        </w:rPr>
        <w:t xml:space="preserve">with </w:t>
      </w:r>
      <w:r w:rsidR="001A2526">
        <w:rPr>
          <w:rFonts w:ascii="Arial" w:hAnsi="Arial" w:cs="Arial"/>
        </w:rPr>
        <w:t>attending to the</w:t>
      </w:r>
      <w:r w:rsidR="00BB117F">
        <w:rPr>
          <w:rFonts w:ascii="Arial" w:hAnsi="Arial" w:cs="Arial"/>
        </w:rPr>
        <w:t xml:space="preserve"> </w:t>
      </w:r>
      <w:r w:rsidR="00AA7CD6">
        <w:rPr>
          <w:rFonts w:ascii="Arial" w:hAnsi="Arial" w:cs="Arial"/>
        </w:rPr>
        <w:t xml:space="preserve">mentioned </w:t>
      </w:r>
      <w:r w:rsidR="00BB117F">
        <w:rPr>
          <w:rFonts w:ascii="Arial" w:hAnsi="Arial" w:cs="Arial"/>
        </w:rPr>
        <w:t>flaws</w:t>
      </w:r>
      <w:r w:rsidR="003C57F5">
        <w:rPr>
          <w:rFonts w:ascii="Arial" w:hAnsi="Arial" w:cs="Arial"/>
        </w:rPr>
        <w:t xml:space="preserve">. </w:t>
      </w:r>
      <w:r w:rsidR="00AA7CD6">
        <w:rPr>
          <w:rFonts w:ascii="Arial" w:hAnsi="Arial" w:cs="Arial"/>
        </w:rPr>
        <w:t xml:space="preserve">A further </w:t>
      </w:r>
      <w:r w:rsidR="003C57F5">
        <w:rPr>
          <w:rFonts w:ascii="Arial" w:hAnsi="Arial" w:cs="Arial"/>
        </w:rPr>
        <w:t xml:space="preserve">site inspection </w:t>
      </w:r>
      <w:r w:rsidR="001A2526">
        <w:rPr>
          <w:rFonts w:ascii="Arial" w:hAnsi="Arial" w:cs="Arial"/>
        </w:rPr>
        <w:t xml:space="preserve">took place in 2012 </w:t>
      </w:r>
      <w:r w:rsidR="00F44D7D">
        <w:rPr>
          <w:rFonts w:ascii="Arial" w:hAnsi="Arial" w:cs="Arial"/>
        </w:rPr>
        <w:t xml:space="preserve">and </w:t>
      </w:r>
      <w:r w:rsidR="003C57F5">
        <w:rPr>
          <w:rFonts w:ascii="Arial" w:hAnsi="Arial" w:cs="Arial"/>
        </w:rPr>
        <w:t>correspondence</w:t>
      </w:r>
      <w:r w:rsidR="00F44D7D">
        <w:rPr>
          <w:rFonts w:ascii="Arial" w:hAnsi="Arial" w:cs="Arial"/>
        </w:rPr>
        <w:t xml:space="preserve"> </w:t>
      </w:r>
      <w:r w:rsidR="001A2526">
        <w:rPr>
          <w:rFonts w:ascii="Arial" w:hAnsi="Arial" w:cs="Arial"/>
        </w:rPr>
        <w:t xml:space="preserve">sent to </w:t>
      </w:r>
      <w:r w:rsidR="003C57F5">
        <w:rPr>
          <w:rFonts w:ascii="Arial" w:hAnsi="Arial" w:cs="Arial"/>
        </w:rPr>
        <w:t>DBCM</w:t>
      </w:r>
      <w:r w:rsidR="00F44D7D">
        <w:rPr>
          <w:rFonts w:ascii="Arial" w:hAnsi="Arial" w:cs="Arial"/>
        </w:rPr>
        <w:t xml:space="preserve"> thereafter </w:t>
      </w:r>
      <w:r w:rsidR="00546BE4">
        <w:rPr>
          <w:rFonts w:ascii="Arial" w:hAnsi="Arial" w:cs="Arial"/>
        </w:rPr>
        <w:t>was a</w:t>
      </w:r>
      <w:r w:rsidR="001A2526">
        <w:rPr>
          <w:rFonts w:ascii="Arial" w:hAnsi="Arial" w:cs="Arial"/>
        </w:rPr>
        <w:t xml:space="preserve">lso </w:t>
      </w:r>
      <w:r w:rsidR="003942F7">
        <w:rPr>
          <w:rFonts w:ascii="Arial" w:hAnsi="Arial" w:cs="Arial"/>
        </w:rPr>
        <w:t>ignored</w:t>
      </w:r>
      <w:r w:rsidR="00F44D7D">
        <w:rPr>
          <w:rFonts w:ascii="Arial" w:hAnsi="Arial" w:cs="Arial"/>
        </w:rPr>
        <w:t xml:space="preserve">. </w:t>
      </w:r>
      <w:r w:rsidR="00546BE4">
        <w:rPr>
          <w:rFonts w:ascii="Arial" w:hAnsi="Arial" w:cs="Arial"/>
        </w:rPr>
        <w:t xml:space="preserve">On 5 November 2017, more than 5 years later DBCM replied. </w:t>
      </w:r>
      <w:r w:rsidR="003C57F5">
        <w:rPr>
          <w:rFonts w:ascii="Arial" w:hAnsi="Arial" w:cs="Arial"/>
        </w:rPr>
        <w:t>1</w:t>
      </w:r>
      <w:r w:rsidR="003C57F5" w:rsidRPr="003C57F5">
        <w:rPr>
          <w:rFonts w:ascii="Arial" w:hAnsi="Arial" w:cs="Arial"/>
          <w:vertAlign w:val="superscript"/>
        </w:rPr>
        <w:t>st</w:t>
      </w:r>
      <w:r w:rsidR="003C57F5">
        <w:rPr>
          <w:rFonts w:ascii="Arial" w:hAnsi="Arial" w:cs="Arial"/>
        </w:rPr>
        <w:t xml:space="preserve"> Respondent </w:t>
      </w:r>
      <w:r w:rsidR="00CE0463">
        <w:rPr>
          <w:rFonts w:ascii="Arial" w:hAnsi="Arial" w:cs="Arial"/>
        </w:rPr>
        <w:t xml:space="preserve">responded </w:t>
      </w:r>
      <w:r w:rsidR="008A73DB">
        <w:rPr>
          <w:rFonts w:ascii="Arial" w:hAnsi="Arial" w:cs="Arial"/>
        </w:rPr>
        <w:t xml:space="preserve">to the reply </w:t>
      </w:r>
      <w:r w:rsidR="00CE0463">
        <w:rPr>
          <w:rFonts w:ascii="Arial" w:hAnsi="Arial" w:cs="Arial"/>
        </w:rPr>
        <w:t>by October 2018,</w:t>
      </w:r>
      <w:r w:rsidR="003C57F5">
        <w:rPr>
          <w:rFonts w:ascii="Arial" w:hAnsi="Arial" w:cs="Arial"/>
        </w:rPr>
        <w:t xml:space="preserve"> rejecting </w:t>
      </w:r>
      <w:r w:rsidR="008A73DB">
        <w:rPr>
          <w:rFonts w:ascii="Arial" w:hAnsi="Arial" w:cs="Arial"/>
        </w:rPr>
        <w:t xml:space="preserve">for the third time </w:t>
      </w:r>
      <w:r w:rsidR="003C57F5">
        <w:rPr>
          <w:rFonts w:ascii="Arial" w:hAnsi="Arial" w:cs="Arial"/>
        </w:rPr>
        <w:t xml:space="preserve">the closure plan and </w:t>
      </w:r>
      <w:r w:rsidR="00A927C8">
        <w:rPr>
          <w:rFonts w:ascii="Arial" w:hAnsi="Arial" w:cs="Arial"/>
        </w:rPr>
        <w:t>not granting the</w:t>
      </w:r>
      <w:r w:rsidR="003C57F5">
        <w:rPr>
          <w:rFonts w:ascii="Arial" w:hAnsi="Arial" w:cs="Arial"/>
        </w:rPr>
        <w:t xml:space="preserve"> closure certificate. DBCM submitted an update on the environmental assessment </w:t>
      </w:r>
      <w:r w:rsidR="008A73DB">
        <w:rPr>
          <w:rFonts w:ascii="Arial" w:hAnsi="Arial" w:cs="Arial"/>
        </w:rPr>
        <w:t xml:space="preserve"> only on 25 May 2020 </w:t>
      </w:r>
      <w:r w:rsidR="003C57F5">
        <w:rPr>
          <w:rFonts w:ascii="Arial" w:hAnsi="Arial" w:cs="Arial"/>
        </w:rPr>
        <w:t xml:space="preserve">since </w:t>
      </w:r>
      <w:r w:rsidR="008A73DB">
        <w:rPr>
          <w:rFonts w:ascii="Arial" w:hAnsi="Arial" w:cs="Arial"/>
        </w:rPr>
        <w:t xml:space="preserve">the </w:t>
      </w:r>
      <w:r w:rsidR="003C57F5">
        <w:rPr>
          <w:rFonts w:ascii="Arial" w:hAnsi="Arial" w:cs="Arial"/>
        </w:rPr>
        <w:t>rejection of its closure plan</w:t>
      </w:r>
      <w:r w:rsidR="0072694E">
        <w:rPr>
          <w:rFonts w:ascii="Arial" w:hAnsi="Arial" w:cs="Arial"/>
        </w:rPr>
        <w:t xml:space="preserve"> 9 years </w:t>
      </w:r>
      <w:r w:rsidR="00CE0463">
        <w:rPr>
          <w:rFonts w:ascii="Arial" w:hAnsi="Arial" w:cs="Arial"/>
        </w:rPr>
        <w:t>ago</w:t>
      </w:r>
      <w:r w:rsidR="004A3147">
        <w:rPr>
          <w:rFonts w:ascii="Arial" w:hAnsi="Arial" w:cs="Arial"/>
        </w:rPr>
        <w:t>.</w:t>
      </w:r>
      <w:r w:rsidR="00CE0463">
        <w:rPr>
          <w:rFonts w:ascii="Arial" w:hAnsi="Arial" w:cs="Arial"/>
        </w:rPr>
        <w:t xml:space="preserve"> </w:t>
      </w:r>
      <w:r w:rsidR="00AA7CD6">
        <w:rPr>
          <w:rFonts w:ascii="Arial" w:hAnsi="Arial" w:cs="Arial"/>
        </w:rPr>
        <w:t>T</w:t>
      </w:r>
      <w:r w:rsidR="003C57F5">
        <w:rPr>
          <w:rFonts w:ascii="Arial" w:hAnsi="Arial" w:cs="Arial"/>
        </w:rPr>
        <w:t>he 1</w:t>
      </w:r>
      <w:r w:rsidR="003C57F5" w:rsidRPr="003C57F5">
        <w:rPr>
          <w:rFonts w:ascii="Arial" w:hAnsi="Arial" w:cs="Arial"/>
          <w:vertAlign w:val="superscript"/>
        </w:rPr>
        <w:t>st</w:t>
      </w:r>
      <w:r w:rsidR="003C57F5">
        <w:rPr>
          <w:rFonts w:ascii="Arial" w:hAnsi="Arial" w:cs="Arial"/>
        </w:rPr>
        <w:t xml:space="preserve"> Respondent </w:t>
      </w:r>
      <w:r w:rsidR="00AA7CD6">
        <w:rPr>
          <w:rFonts w:ascii="Arial" w:hAnsi="Arial" w:cs="Arial"/>
        </w:rPr>
        <w:t xml:space="preserve">was given less than a month to convey its decision </w:t>
      </w:r>
      <w:r w:rsidR="008A73DB">
        <w:rPr>
          <w:rFonts w:ascii="Arial" w:hAnsi="Arial" w:cs="Arial"/>
        </w:rPr>
        <w:t xml:space="preserve">to the amended proposal </w:t>
      </w:r>
      <w:r w:rsidR="004A3147">
        <w:rPr>
          <w:rFonts w:ascii="Arial" w:hAnsi="Arial" w:cs="Arial"/>
        </w:rPr>
        <w:t>which it did by</w:t>
      </w:r>
      <w:r w:rsidR="0072694E">
        <w:rPr>
          <w:rFonts w:ascii="Arial" w:hAnsi="Arial" w:cs="Arial"/>
        </w:rPr>
        <w:t xml:space="preserve"> 6 Ju</w:t>
      </w:r>
      <w:r w:rsidR="00C82390">
        <w:rPr>
          <w:rFonts w:ascii="Arial" w:hAnsi="Arial" w:cs="Arial"/>
        </w:rPr>
        <w:t>ne</w:t>
      </w:r>
      <w:r w:rsidR="0072694E">
        <w:rPr>
          <w:rFonts w:ascii="Arial" w:hAnsi="Arial" w:cs="Arial"/>
        </w:rPr>
        <w:t xml:space="preserve"> 2020</w:t>
      </w:r>
      <w:r w:rsidR="003C57F5">
        <w:rPr>
          <w:rFonts w:ascii="Arial" w:hAnsi="Arial" w:cs="Arial"/>
        </w:rPr>
        <w:t xml:space="preserve">. </w:t>
      </w:r>
      <w:r w:rsidR="008A73DB">
        <w:rPr>
          <w:rFonts w:ascii="Arial" w:hAnsi="Arial" w:cs="Arial"/>
        </w:rPr>
        <w:t xml:space="preserve"> </w:t>
      </w:r>
    </w:p>
    <w:p w14:paraId="1D161084" w14:textId="77777777" w:rsidR="004A3147" w:rsidRDefault="004A3147" w:rsidP="00D1249C">
      <w:pPr>
        <w:pStyle w:val="blockquote-x"/>
        <w:shd w:val="clear" w:color="auto" w:fill="FFFFFF"/>
        <w:spacing w:before="0" w:beforeAutospacing="0" w:after="0" w:afterAutospacing="0" w:line="360" w:lineRule="auto"/>
        <w:ind w:right="567"/>
        <w:jc w:val="both"/>
        <w:rPr>
          <w:rFonts w:ascii="Arial" w:hAnsi="Arial" w:cs="Arial"/>
        </w:rPr>
      </w:pPr>
    </w:p>
    <w:p w14:paraId="0F3493DA" w14:textId="5E38190C" w:rsidR="00D1249C" w:rsidRPr="00A12967" w:rsidRDefault="004A3147" w:rsidP="004B3905">
      <w:pPr>
        <w:spacing w:after="0" w:line="360" w:lineRule="auto"/>
        <w:jc w:val="both"/>
        <w:rPr>
          <w:rFonts w:ascii="Arial" w:hAnsi="Arial" w:cs="Arial"/>
          <w:i/>
          <w:iCs/>
        </w:rPr>
      </w:pPr>
      <w:r w:rsidRPr="00357787">
        <w:rPr>
          <w:rFonts w:ascii="Arial" w:hAnsi="Arial" w:cs="Arial"/>
          <w:sz w:val="24"/>
          <w:szCs w:val="24"/>
        </w:rPr>
        <w:t>[1</w:t>
      </w:r>
      <w:r w:rsidR="00287CC0">
        <w:rPr>
          <w:rFonts w:ascii="Arial" w:hAnsi="Arial" w:cs="Arial"/>
          <w:sz w:val="24"/>
          <w:szCs w:val="24"/>
        </w:rPr>
        <w:t>48</w:t>
      </w:r>
      <w:r w:rsidRPr="00357787">
        <w:rPr>
          <w:rFonts w:ascii="Arial" w:hAnsi="Arial" w:cs="Arial"/>
          <w:sz w:val="24"/>
          <w:szCs w:val="24"/>
        </w:rPr>
        <w:t>]</w:t>
      </w:r>
      <w:r w:rsidRPr="00357787">
        <w:rPr>
          <w:rFonts w:ascii="Arial" w:hAnsi="Arial" w:cs="Arial"/>
          <w:sz w:val="24"/>
          <w:szCs w:val="24"/>
        </w:rPr>
        <w:tab/>
        <w:t xml:space="preserve">On the internal appeal lodged on 21 July 2020, the </w:t>
      </w:r>
      <w:r w:rsidR="003C57F5" w:rsidRPr="00357787">
        <w:rPr>
          <w:rFonts w:ascii="Arial" w:hAnsi="Arial" w:cs="Arial"/>
          <w:sz w:val="24"/>
          <w:szCs w:val="24"/>
        </w:rPr>
        <w:t xml:space="preserve">DBCM </w:t>
      </w:r>
      <w:r w:rsidRPr="00357787">
        <w:rPr>
          <w:rFonts w:ascii="Arial" w:hAnsi="Arial" w:cs="Arial"/>
          <w:sz w:val="24"/>
          <w:szCs w:val="24"/>
        </w:rPr>
        <w:t>alleged that 2</w:t>
      </w:r>
      <w:r w:rsidRPr="00357787">
        <w:rPr>
          <w:rFonts w:ascii="Arial" w:hAnsi="Arial" w:cs="Arial"/>
          <w:sz w:val="24"/>
          <w:szCs w:val="24"/>
          <w:vertAlign w:val="superscript"/>
        </w:rPr>
        <w:t>nd</w:t>
      </w:r>
      <w:r w:rsidRPr="00357787">
        <w:rPr>
          <w:rFonts w:ascii="Arial" w:hAnsi="Arial" w:cs="Arial"/>
          <w:sz w:val="24"/>
          <w:szCs w:val="24"/>
        </w:rPr>
        <w:t xml:space="preserve"> Respondent acted contrary to the DMRE statutory obligations as set out in s 6 of the MPRDA namely that “</w:t>
      </w:r>
      <w:r>
        <w:rPr>
          <w:rFonts w:ascii="Arial" w:hAnsi="Arial" w:cs="Arial"/>
          <w:sz w:val="24"/>
          <w:szCs w:val="24"/>
        </w:rPr>
        <w:t>…any administrative process conducted or decision taken, in terms of this Act must be within a reasonable time or in accordance with the principle of lawfulness, reasonableness and procedural fairness.</w:t>
      </w:r>
      <w:r w:rsidR="00357787">
        <w:rPr>
          <w:rFonts w:ascii="Arial" w:hAnsi="Arial" w:cs="Arial"/>
          <w:sz w:val="24"/>
          <w:szCs w:val="24"/>
        </w:rPr>
        <w:t xml:space="preserve"> The allegation being that 6 months passed with 2</w:t>
      </w:r>
      <w:r w:rsidR="00357787" w:rsidRPr="00357787">
        <w:rPr>
          <w:rFonts w:ascii="Arial" w:hAnsi="Arial" w:cs="Arial"/>
          <w:sz w:val="24"/>
          <w:szCs w:val="24"/>
          <w:vertAlign w:val="superscript"/>
        </w:rPr>
        <w:t>nd</w:t>
      </w:r>
      <w:r w:rsidR="00357787">
        <w:rPr>
          <w:rFonts w:ascii="Arial" w:hAnsi="Arial" w:cs="Arial"/>
          <w:sz w:val="24"/>
          <w:szCs w:val="24"/>
        </w:rPr>
        <w:t xml:space="preserve"> Respondent failing to take a decision on the appeal. </w:t>
      </w:r>
      <w:r w:rsidR="004B3905">
        <w:rPr>
          <w:rFonts w:ascii="Arial" w:hAnsi="Arial" w:cs="Arial"/>
          <w:sz w:val="24"/>
          <w:szCs w:val="24"/>
        </w:rPr>
        <w:t xml:space="preserve"> However</w:t>
      </w:r>
      <w:r w:rsidR="00357787">
        <w:rPr>
          <w:rFonts w:ascii="Arial" w:hAnsi="Arial" w:cs="Arial"/>
          <w:sz w:val="24"/>
          <w:szCs w:val="24"/>
        </w:rPr>
        <w:t>,</w:t>
      </w:r>
      <w:r w:rsidR="004B3905">
        <w:rPr>
          <w:rFonts w:ascii="Arial" w:hAnsi="Arial" w:cs="Arial"/>
          <w:sz w:val="24"/>
          <w:szCs w:val="24"/>
        </w:rPr>
        <w:t xml:space="preserve"> </w:t>
      </w:r>
      <w:r w:rsidR="003C57F5">
        <w:rPr>
          <w:rFonts w:ascii="Arial" w:hAnsi="Arial" w:cs="Arial"/>
        </w:rPr>
        <w:t xml:space="preserve">by 5 August </w:t>
      </w:r>
      <w:r w:rsidR="003C4923">
        <w:rPr>
          <w:rFonts w:ascii="Arial" w:hAnsi="Arial" w:cs="Arial"/>
        </w:rPr>
        <w:t xml:space="preserve">2020 </w:t>
      </w:r>
      <w:r w:rsidR="003C57F5">
        <w:rPr>
          <w:rFonts w:ascii="Arial" w:hAnsi="Arial" w:cs="Arial"/>
        </w:rPr>
        <w:t>the 1</w:t>
      </w:r>
      <w:r w:rsidR="003C57F5" w:rsidRPr="003C57F5">
        <w:rPr>
          <w:rFonts w:ascii="Arial" w:hAnsi="Arial" w:cs="Arial"/>
          <w:vertAlign w:val="superscript"/>
        </w:rPr>
        <w:t>st</w:t>
      </w:r>
      <w:r w:rsidR="003C57F5">
        <w:rPr>
          <w:rFonts w:ascii="Arial" w:hAnsi="Arial" w:cs="Arial"/>
        </w:rPr>
        <w:t xml:space="preserve"> Respondent filed </w:t>
      </w:r>
      <w:r w:rsidR="004B3905">
        <w:rPr>
          <w:rFonts w:ascii="Arial" w:hAnsi="Arial" w:cs="Arial"/>
        </w:rPr>
        <w:t xml:space="preserve">its </w:t>
      </w:r>
      <w:r w:rsidR="003C57F5">
        <w:rPr>
          <w:rFonts w:ascii="Arial" w:hAnsi="Arial" w:cs="Arial"/>
        </w:rPr>
        <w:t>submissions</w:t>
      </w:r>
      <w:r w:rsidR="00B565F9">
        <w:rPr>
          <w:rFonts w:ascii="Arial" w:hAnsi="Arial" w:cs="Arial"/>
        </w:rPr>
        <w:t xml:space="preserve"> on the matter</w:t>
      </w:r>
      <w:r w:rsidR="003C57F5">
        <w:rPr>
          <w:rFonts w:ascii="Arial" w:hAnsi="Arial" w:cs="Arial"/>
        </w:rPr>
        <w:t>. On 15 October 2020, the 2</w:t>
      </w:r>
      <w:r w:rsidR="003C57F5" w:rsidRPr="003C57F5">
        <w:rPr>
          <w:rFonts w:ascii="Arial" w:hAnsi="Arial" w:cs="Arial"/>
          <w:vertAlign w:val="superscript"/>
        </w:rPr>
        <w:t>nd</w:t>
      </w:r>
      <w:r w:rsidR="003C57F5">
        <w:rPr>
          <w:rFonts w:ascii="Arial" w:hAnsi="Arial" w:cs="Arial"/>
        </w:rPr>
        <w:t xml:space="preserve"> Respondent confirmed receipt of </w:t>
      </w:r>
      <w:r w:rsidR="00B565F9">
        <w:rPr>
          <w:rFonts w:ascii="Arial" w:hAnsi="Arial" w:cs="Arial"/>
        </w:rPr>
        <w:t xml:space="preserve">the </w:t>
      </w:r>
      <w:r w:rsidR="003C57F5">
        <w:rPr>
          <w:rFonts w:ascii="Arial" w:hAnsi="Arial" w:cs="Arial"/>
        </w:rPr>
        <w:t>appe</w:t>
      </w:r>
      <w:r w:rsidR="00B565F9">
        <w:rPr>
          <w:rFonts w:ascii="Arial" w:hAnsi="Arial" w:cs="Arial"/>
        </w:rPr>
        <w:t>al and it</w:t>
      </w:r>
      <w:r w:rsidR="003C57F5">
        <w:rPr>
          <w:rFonts w:ascii="Arial" w:hAnsi="Arial" w:cs="Arial"/>
        </w:rPr>
        <w:t xml:space="preserve"> being </w:t>
      </w:r>
      <w:r w:rsidR="00B565F9">
        <w:rPr>
          <w:rFonts w:ascii="Arial" w:hAnsi="Arial" w:cs="Arial"/>
        </w:rPr>
        <w:t xml:space="preserve">under </w:t>
      </w:r>
      <w:r w:rsidR="003C57F5">
        <w:rPr>
          <w:rFonts w:ascii="Arial" w:hAnsi="Arial" w:cs="Arial"/>
        </w:rPr>
        <w:t>consider</w:t>
      </w:r>
      <w:r w:rsidR="00B565F9">
        <w:rPr>
          <w:rFonts w:ascii="Arial" w:hAnsi="Arial" w:cs="Arial"/>
        </w:rPr>
        <w:t>ation</w:t>
      </w:r>
      <w:r w:rsidR="003C57F5">
        <w:rPr>
          <w:rFonts w:ascii="Arial" w:hAnsi="Arial" w:cs="Arial"/>
        </w:rPr>
        <w:t xml:space="preserve">. </w:t>
      </w:r>
      <w:r w:rsidR="00357787">
        <w:rPr>
          <w:rFonts w:ascii="Arial" w:hAnsi="Arial" w:cs="Arial"/>
        </w:rPr>
        <w:t xml:space="preserve">By the time DBCM launched its review application </w:t>
      </w:r>
      <w:r w:rsidR="00DD59B4">
        <w:rPr>
          <w:rFonts w:ascii="Arial" w:hAnsi="Arial" w:cs="Arial"/>
        </w:rPr>
        <w:t xml:space="preserve">on </w:t>
      </w:r>
      <w:r w:rsidR="00357787">
        <w:rPr>
          <w:rFonts w:ascii="Arial" w:hAnsi="Arial" w:cs="Arial"/>
        </w:rPr>
        <w:t xml:space="preserve">18 December 2020, a period of 4 months has passed. </w:t>
      </w:r>
      <w:r w:rsidR="004B3905">
        <w:rPr>
          <w:rFonts w:ascii="Arial" w:hAnsi="Arial" w:cs="Arial"/>
        </w:rPr>
        <w:t xml:space="preserve">In view of </w:t>
      </w:r>
      <w:r w:rsidR="00C8489A">
        <w:rPr>
          <w:rFonts w:ascii="Arial" w:hAnsi="Arial" w:cs="Arial"/>
        </w:rPr>
        <w:t xml:space="preserve">the </w:t>
      </w:r>
      <w:r w:rsidR="004B3905">
        <w:rPr>
          <w:rFonts w:ascii="Arial" w:hAnsi="Arial" w:cs="Arial"/>
        </w:rPr>
        <w:t>circumstances of this matter</w:t>
      </w:r>
      <w:r w:rsidR="00C8489A">
        <w:rPr>
          <w:rFonts w:ascii="Arial" w:hAnsi="Arial" w:cs="Arial"/>
        </w:rPr>
        <w:t xml:space="preserve">, </w:t>
      </w:r>
      <w:r w:rsidR="00357787">
        <w:rPr>
          <w:rFonts w:ascii="Arial" w:hAnsi="Arial" w:cs="Arial"/>
        </w:rPr>
        <w:t>whereupon the proceedings are to be in accordance with the principle of lawfulness, reasonable</w:t>
      </w:r>
      <w:r w:rsidR="00C8489A">
        <w:rPr>
          <w:rFonts w:ascii="Arial" w:hAnsi="Arial" w:cs="Arial"/>
        </w:rPr>
        <w:t>ness</w:t>
      </w:r>
      <w:r w:rsidR="00357787">
        <w:rPr>
          <w:rFonts w:ascii="Arial" w:hAnsi="Arial" w:cs="Arial"/>
        </w:rPr>
        <w:t xml:space="preserve"> and procedural fairness</w:t>
      </w:r>
      <w:r w:rsidR="00C8489A">
        <w:rPr>
          <w:rFonts w:ascii="Arial" w:hAnsi="Arial" w:cs="Arial"/>
        </w:rPr>
        <w:t xml:space="preserve"> and </w:t>
      </w:r>
      <w:r w:rsidR="00DD59B4">
        <w:rPr>
          <w:rFonts w:ascii="Arial" w:hAnsi="Arial" w:cs="Arial"/>
        </w:rPr>
        <w:t xml:space="preserve">also in considering </w:t>
      </w:r>
      <w:r w:rsidR="00C8489A">
        <w:rPr>
          <w:rFonts w:ascii="Arial" w:hAnsi="Arial" w:cs="Arial"/>
        </w:rPr>
        <w:t xml:space="preserve">the past conduct of DBCM in the matter, </w:t>
      </w:r>
      <w:r w:rsidR="00357787">
        <w:rPr>
          <w:rFonts w:ascii="Arial" w:hAnsi="Arial" w:cs="Arial"/>
        </w:rPr>
        <w:t>the</w:t>
      </w:r>
      <w:r w:rsidR="00C8489A">
        <w:rPr>
          <w:rFonts w:ascii="Arial" w:hAnsi="Arial" w:cs="Arial"/>
        </w:rPr>
        <w:t>r</w:t>
      </w:r>
      <w:r w:rsidR="00357787">
        <w:rPr>
          <w:rFonts w:ascii="Arial" w:hAnsi="Arial" w:cs="Arial"/>
        </w:rPr>
        <w:t xml:space="preserve">e </w:t>
      </w:r>
      <w:r w:rsidR="00DD59B4">
        <w:rPr>
          <w:rFonts w:ascii="Arial" w:hAnsi="Arial" w:cs="Arial"/>
        </w:rPr>
        <w:t xml:space="preserve">is no merit for a conclusion that the there was an unreasonable delay in dealing with the internal appeal.  </w:t>
      </w:r>
    </w:p>
    <w:p w14:paraId="37523FA1" w14:textId="77777777" w:rsidR="0079182D" w:rsidRDefault="0079182D" w:rsidP="002A5070">
      <w:pPr>
        <w:pStyle w:val="blockquote-x"/>
        <w:shd w:val="clear" w:color="auto" w:fill="FFFFFF"/>
        <w:spacing w:before="0" w:beforeAutospacing="0" w:after="0" w:afterAutospacing="0" w:line="360" w:lineRule="auto"/>
        <w:ind w:right="567"/>
        <w:jc w:val="both"/>
        <w:rPr>
          <w:rFonts w:ascii="Arial" w:hAnsi="Arial" w:cs="Arial"/>
        </w:rPr>
      </w:pPr>
    </w:p>
    <w:p w14:paraId="1C025B72" w14:textId="60736061" w:rsidR="002A5070" w:rsidRPr="002A5070" w:rsidRDefault="00287CC0" w:rsidP="002A5070">
      <w:pPr>
        <w:pStyle w:val="blockquote-x"/>
        <w:shd w:val="clear" w:color="auto" w:fill="FFFFFF"/>
        <w:spacing w:before="0" w:beforeAutospacing="0" w:after="0" w:afterAutospacing="0" w:line="360" w:lineRule="auto"/>
        <w:ind w:right="567"/>
        <w:jc w:val="both"/>
        <w:rPr>
          <w:rFonts w:ascii="Arial" w:hAnsi="Arial" w:cs="Arial"/>
          <w:i/>
          <w:iCs/>
        </w:rPr>
      </w:pPr>
      <w:r>
        <w:rPr>
          <w:rFonts w:ascii="Arial" w:hAnsi="Arial" w:cs="Arial"/>
        </w:rPr>
        <w:t>[149</w:t>
      </w:r>
      <w:r w:rsidR="003C4923">
        <w:rPr>
          <w:rFonts w:ascii="Arial" w:hAnsi="Arial" w:cs="Arial"/>
        </w:rPr>
        <w:t>]</w:t>
      </w:r>
      <w:r w:rsidR="003C4923">
        <w:rPr>
          <w:rFonts w:ascii="Arial" w:hAnsi="Arial" w:cs="Arial"/>
        </w:rPr>
        <w:tab/>
        <w:t xml:space="preserve"> </w:t>
      </w:r>
      <w:r w:rsidR="00FB4832">
        <w:rPr>
          <w:rFonts w:ascii="Arial" w:hAnsi="Arial" w:cs="Arial"/>
        </w:rPr>
        <w:t>In addition DBCM argued that it had good prospects of success in respect of the review application which is an important fact to consider in determining whether it should be exempted from the obligation to exhaust internal remedies in the interest of justice. And any non-observance of the PAJA requirement not flagrant and gross.</w:t>
      </w:r>
      <w:r w:rsidR="00A76FBE">
        <w:rPr>
          <w:rFonts w:ascii="Arial" w:hAnsi="Arial" w:cs="Arial"/>
        </w:rPr>
        <w:t xml:space="preserve"> </w:t>
      </w:r>
      <w:r w:rsidR="00D950B1">
        <w:rPr>
          <w:rFonts w:ascii="Arial" w:hAnsi="Arial" w:cs="Arial"/>
        </w:rPr>
        <w:t>Th</w:t>
      </w:r>
      <w:r w:rsidR="00A76FBE">
        <w:rPr>
          <w:rFonts w:ascii="Arial" w:hAnsi="Arial" w:cs="Arial"/>
        </w:rPr>
        <w:t xml:space="preserve">e </w:t>
      </w:r>
      <w:r w:rsidR="002A5070" w:rsidRPr="002A5070">
        <w:rPr>
          <w:rFonts w:ascii="Arial" w:hAnsi="Arial" w:cs="Arial"/>
        </w:rPr>
        <w:t xml:space="preserve">prospects of success </w:t>
      </w:r>
      <w:r w:rsidR="00A76FBE">
        <w:rPr>
          <w:rFonts w:ascii="Arial" w:hAnsi="Arial" w:cs="Arial"/>
        </w:rPr>
        <w:t xml:space="preserve">are not that easily determinable especially where </w:t>
      </w:r>
      <w:r w:rsidR="00D950B1">
        <w:rPr>
          <w:rFonts w:ascii="Arial" w:hAnsi="Arial" w:cs="Arial"/>
        </w:rPr>
        <w:t xml:space="preserve">the </w:t>
      </w:r>
      <w:r w:rsidR="00D950B1" w:rsidRPr="002A5070">
        <w:rPr>
          <w:rFonts w:ascii="Arial" w:hAnsi="Arial" w:cs="Arial"/>
        </w:rPr>
        <w:t xml:space="preserve">closure application </w:t>
      </w:r>
      <w:r w:rsidR="00D950B1">
        <w:rPr>
          <w:rFonts w:ascii="Arial" w:hAnsi="Arial" w:cs="Arial"/>
        </w:rPr>
        <w:t xml:space="preserve">seemingly </w:t>
      </w:r>
      <w:r w:rsidR="00D950B1" w:rsidRPr="002A5070">
        <w:rPr>
          <w:rFonts w:ascii="Arial" w:hAnsi="Arial" w:cs="Arial"/>
        </w:rPr>
        <w:t>falls short of the requirements of the applicable law</w:t>
      </w:r>
      <w:r w:rsidR="00D950B1">
        <w:rPr>
          <w:rFonts w:ascii="Arial" w:hAnsi="Arial" w:cs="Arial"/>
        </w:rPr>
        <w:t xml:space="preserve"> and processes, and </w:t>
      </w:r>
      <w:r w:rsidR="00A76FBE">
        <w:rPr>
          <w:rFonts w:ascii="Arial" w:hAnsi="Arial" w:cs="Arial"/>
        </w:rPr>
        <w:t>the</w:t>
      </w:r>
      <w:r w:rsidR="00D950B1">
        <w:rPr>
          <w:rFonts w:ascii="Arial" w:hAnsi="Arial" w:cs="Arial"/>
        </w:rPr>
        <w:t xml:space="preserve"> merits not dealt with fully. The issues canvassed do not indicate an outright prospects of success in the matter. </w:t>
      </w:r>
      <w:r w:rsidR="00FB4832">
        <w:rPr>
          <w:rFonts w:ascii="Arial" w:hAnsi="Arial" w:cs="Arial"/>
        </w:rPr>
        <w:t>I therefore do not agree with DBCM that a finding that DBCM is exempted from the obligation to exhaust the internal remedy available to it</w:t>
      </w:r>
      <w:r w:rsidR="00BC3DAD" w:rsidRPr="00BC3DAD">
        <w:rPr>
          <w:rFonts w:ascii="Arial" w:hAnsi="Arial" w:cs="Arial"/>
        </w:rPr>
        <w:t xml:space="preserve"> </w:t>
      </w:r>
      <w:r w:rsidR="00BC3DAD">
        <w:rPr>
          <w:rFonts w:ascii="Arial" w:hAnsi="Arial" w:cs="Arial"/>
        </w:rPr>
        <w:t>is warranted</w:t>
      </w:r>
      <w:r w:rsidR="00FB4832">
        <w:rPr>
          <w:rFonts w:ascii="Arial" w:hAnsi="Arial" w:cs="Arial"/>
        </w:rPr>
        <w:t>.</w:t>
      </w:r>
    </w:p>
    <w:p w14:paraId="578DBAA9" w14:textId="1AF1D8F8" w:rsidR="006D0C3F" w:rsidRPr="002A5070" w:rsidRDefault="006D0C3F" w:rsidP="003C57F5">
      <w:pPr>
        <w:pStyle w:val="blockquote-x"/>
        <w:shd w:val="clear" w:color="auto" w:fill="FFFFFF"/>
        <w:spacing w:before="0" w:beforeAutospacing="0" w:after="0" w:afterAutospacing="0" w:line="360" w:lineRule="auto"/>
        <w:ind w:right="567"/>
        <w:jc w:val="both"/>
        <w:rPr>
          <w:rFonts w:ascii="Arial" w:hAnsi="Arial" w:cs="Arial"/>
        </w:rPr>
      </w:pPr>
    </w:p>
    <w:p w14:paraId="3F0DFBDE" w14:textId="07DC3538" w:rsidR="005B0026" w:rsidRDefault="00287CC0"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[150</w:t>
      </w:r>
      <w:r w:rsidR="003C57F5">
        <w:rPr>
          <w:rFonts w:ascii="Arial" w:hAnsi="Arial" w:cs="Arial"/>
          <w:color w:val="000000"/>
        </w:rPr>
        <w:t>]</w:t>
      </w:r>
      <w:r w:rsidR="003C57F5">
        <w:rPr>
          <w:rFonts w:ascii="Arial" w:hAnsi="Arial" w:cs="Arial"/>
          <w:color w:val="000000"/>
        </w:rPr>
        <w:tab/>
      </w:r>
      <w:r w:rsidR="00D90EA5" w:rsidRPr="00D90EA5">
        <w:rPr>
          <w:rFonts w:ascii="Arial" w:hAnsi="Arial" w:cs="Arial"/>
          <w:color w:val="000000"/>
        </w:rPr>
        <w:t xml:space="preserve"> I</w:t>
      </w:r>
      <w:r w:rsidR="005B0026">
        <w:rPr>
          <w:rFonts w:ascii="Arial" w:hAnsi="Arial" w:cs="Arial"/>
          <w:color w:val="000000"/>
        </w:rPr>
        <w:t xml:space="preserve"> am of the view that</w:t>
      </w:r>
      <w:r w:rsidR="00D90EA5" w:rsidRPr="00D90EA5">
        <w:rPr>
          <w:rFonts w:ascii="Arial" w:hAnsi="Arial" w:cs="Arial"/>
          <w:color w:val="000000"/>
        </w:rPr>
        <w:t>,</w:t>
      </w:r>
      <w:r w:rsidR="001557C4" w:rsidRPr="001557C4">
        <w:rPr>
          <w:rFonts w:ascii="Arial" w:hAnsi="Arial" w:cs="Arial"/>
          <w:color w:val="000000"/>
        </w:rPr>
        <w:t xml:space="preserve"> </w:t>
      </w:r>
      <w:r w:rsidR="001557C4">
        <w:rPr>
          <w:rFonts w:ascii="Arial" w:hAnsi="Arial" w:cs="Arial"/>
          <w:color w:val="000000"/>
        </w:rPr>
        <w:t xml:space="preserve">the failure to have exhausted internal remedies is a structural impediment to the determination of the substantive questions posed by the review. </w:t>
      </w:r>
      <w:r w:rsidR="005D02C4" w:rsidRPr="002A5070">
        <w:rPr>
          <w:rFonts w:ascii="Arial" w:hAnsi="Arial" w:cs="Arial"/>
        </w:rPr>
        <w:t xml:space="preserve">This </w:t>
      </w:r>
      <w:r w:rsidR="005D02C4">
        <w:rPr>
          <w:rFonts w:ascii="Arial" w:hAnsi="Arial" w:cs="Arial"/>
        </w:rPr>
        <w:t>being c</w:t>
      </w:r>
      <w:r w:rsidR="005D02C4" w:rsidRPr="002A5070">
        <w:rPr>
          <w:rFonts w:ascii="Arial" w:hAnsi="Arial" w:cs="Arial"/>
        </w:rPr>
        <w:t xml:space="preserve">onstructed </w:t>
      </w:r>
      <w:r w:rsidR="005D02C4">
        <w:rPr>
          <w:rFonts w:ascii="Arial" w:hAnsi="Arial" w:cs="Arial"/>
        </w:rPr>
        <w:t>with a</w:t>
      </w:r>
      <w:r w:rsidR="005D02C4" w:rsidRPr="002A5070">
        <w:rPr>
          <w:rFonts w:ascii="Arial" w:hAnsi="Arial" w:cs="Arial"/>
        </w:rPr>
        <w:t xml:space="preserve"> recognition that a court faced with a failure to take a decision will not be in a position to assess the merits on the basis of rationality or reasonableness, because no decision exist which can be subjected to scrutiny and review on those grounds</w:t>
      </w:r>
      <w:r w:rsidR="005D02C4">
        <w:rPr>
          <w:rFonts w:ascii="Arial" w:hAnsi="Arial" w:cs="Arial"/>
        </w:rPr>
        <w:t xml:space="preserve">. </w:t>
      </w:r>
      <w:r w:rsidR="00B04F11">
        <w:rPr>
          <w:rFonts w:ascii="Arial" w:hAnsi="Arial" w:cs="Arial"/>
          <w:color w:val="000000"/>
        </w:rPr>
        <w:t>F</w:t>
      </w:r>
      <w:r w:rsidR="005B0026">
        <w:rPr>
          <w:rFonts w:ascii="Arial" w:hAnsi="Arial" w:cs="Arial"/>
          <w:color w:val="000000"/>
        </w:rPr>
        <w:t xml:space="preserve">or that </w:t>
      </w:r>
      <w:r w:rsidR="00B04F11">
        <w:rPr>
          <w:rFonts w:ascii="Arial" w:hAnsi="Arial" w:cs="Arial"/>
          <w:color w:val="000000"/>
        </w:rPr>
        <w:t>reason,</w:t>
      </w:r>
      <w:r w:rsidR="005B0026">
        <w:rPr>
          <w:rFonts w:ascii="Arial" w:hAnsi="Arial" w:cs="Arial"/>
          <w:color w:val="000000"/>
        </w:rPr>
        <w:t xml:space="preserve"> </w:t>
      </w:r>
      <w:r w:rsidR="00B04F11">
        <w:rPr>
          <w:rFonts w:ascii="Arial" w:hAnsi="Arial" w:cs="Arial"/>
          <w:color w:val="000000"/>
        </w:rPr>
        <w:t xml:space="preserve">it would </w:t>
      </w:r>
      <w:r w:rsidR="005B0026">
        <w:rPr>
          <w:rFonts w:ascii="Arial" w:hAnsi="Arial" w:cs="Arial"/>
          <w:color w:val="000000"/>
        </w:rPr>
        <w:t xml:space="preserve">be prudent for the matter to </w:t>
      </w:r>
      <w:r w:rsidR="00D90EA5" w:rsidRPr="00D90EA5">
        <w:rPr>
          <w:rFonts w:ascii="Arial" w:hAnsi="Arial" w:cs="Arial"/>
          <w:color w:val="000000"/>
        </w:rPr>
        <w:t>be returned to the</w:t>
      </w:r>
      <w:r w:rsidR="005B0026">
        <w:rPr>
          <w:rFonts w:ascii="Arial" w:hAnsi="Arial" w:cs="Arial"/>
          <w:color w:val="000000"/>
        </w:rPr>
        <w:t xml:space="preserve"> 3</w:t>
      </w:r>
      <w:r w:rsidR="005B0026" w:rsidRPr="005B0026">
        <w:rPr>
          <w:rFonts w:ascii="Arial" w:hAnsi="Arial" w:cs="Arial"/>
          <w:color w:val="000000"/>
          <w:vertAlign w:val="superscript"/>
        </w:rPr>
        <w:t>rd</w:t>
      </w:r>
      <w:r w:rsidR="005B0026">
        <w:rPr>
          <w:rFonts w:ascii="Arial" w:hAnsi="Arial" w:cs="Arial"/>
          <w:color w:val="000000"/>
        </w:rPr>
        <w:t xml:space="preserve"> Respondent </w:t>
      </w:r>
      <w:r w:rsidR="00D90EA5" w:rsidRPr="00D90EA5">
        <w:rPr>
          <w:rFonts w:ascii="Arial" w:hAnsi="Arial" w:cs="Arial"/>
          <w:color w:val="000000"/>
        </w:rPr>
        <w:t xml:space="preserve">to </w:t>
      </w:r>
      <w:r w:rsidR="00D90EA5">
        <w:rPr>
          <w:rFonts w:ascii="Arial" w:hAnsi="Arial" w:cs="Arial"/>
          <w:color w:val="000000"/>
        </w:rPr>
        <w:t>make a decision</w:t>
      </w:r>
      <w:r w:rsidR="00D90EA5" w:rsidRPr="00D90EA5">
        <w:rPr>
          <w:rFonts w:ascii="Arial" w:hAnsi="Arial" w:cs="Arial"/>
          <w:color w:val="000000"/>
        </w:rPr>
        <w:t xml:space="preserve"> o</w:t>
      </w:r>
      <w:r w:rsidR="00D90EA5">
        <w:rPr>
          <w:rFonts w:ascii="Arial" w:hAnsi="Arial" w:cs="Arial"/>
          <w:color w:val="000000"/>
        </w:rPr>
        <w:t>n</w:t>
      </w:r>
      <w:r w:rsidR="00D90EA5" w:rsidRPr="00D90EA5">
        <w:rPr>
          <w:rFonts w:ascii="Arial" w:hAnsi="Arial" w:cs="Arial"/>
          <w:color w:val="000000"/>
        </w:rPr>
        <w:t xml:space="preserve"> the appeal lodged by DBCM. </w:t>
      </w:r>
    </w:p>
    <w:p w14:paraId="4E662801" w14:textId="77777777" w:rsidR="005B0026" w:rsidRDefault="005B0026" w:rsidP="003C57F5">
      <w:pPr>
        <w:pStyle w:val="blockquote-x"/>
        <w:shd w:val="clear" w:color="auto" w:fill="FFFFFF"/>
        <w:spacing w:before="0" w:beforeAutospacing="0" w:after="0" w:afterAutospacing="0" w:line="360" w:lineRule="auto"/>
        <w:ind w:right="567"/>
        <w:jc w:val="both"/>
        <w:rPr>
          <w:rFonts w:ascii="Arial" w:hAnsi="Arial" w:cs="Arial"/>
          <w:color w:val="000000"/>
        </w:rPr>
      </w:pPr>
    </w:p>
    <w:p w14:paraId="3CDEA99D" w14:textId="18088C39" w:rsidR="007218B9" w:rsidRDefault="00B050DD" w:rsidP="001E0A9D">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[1</w:t>
      </w:r>
      <w:r w:rsidR="00287CC0">
        <w:rPr>
          <w:rFonts w:ascii="Arial" w:hAnsi="Arial" w:cs="Arial"/>
          <w:color w:val="000000"/>
        </w:rPr>
        <w:t>51</w:t>
      </w:r>
      <w:r w:rsidR="005B0026">
        <w:rPr>
          <w:rFonts w:ascii="Arial" w:hAnsi="Arial" w:cs="Arial"/>
          <w:color w:val="000000"/>
        </w:rPr>
        <w:t>]</w:t>
      </w:r>
      <w:r w:rsidR="005B0026">
        <w:rPr>
          <w:rFonts w:ascii="Arial" w:hAnsi="Arial" w:cs="Arial"/>
          <w:color w:val="000000"/>
        </w:rPr>
        <w:tab/>
      </w:r>
      <w:r w:rsidR="00D90EA5" w:rsidRPr="00D90EA5">
        <w:rPr>
          <w:rFonts w:ascii="Arial" w:hAnsi="Arial" w:cs="Arial"/>
          <w:color w:val="000000"/>
        </w:rPr>
        <w:t>In relation to the application of MPRDA</w:t>
      </w:r>
      <w:r w:rsidR="005D02C4">
        <w:rPr>
          <w:rFonts w:ascii="Arial" w:hAnsi="Arial" w:cs="Arial"/>
          <w:color w:val="000000"/>
        </w:rPr>
        <w:t>’s</w:t>
      </w:r>
      <w:r w:rsidR="00D90EA5" w:rsidRPr="00D90EA5">
        <w:rPr>
          <w:rFonts w:ascii="Arial" w:hAnsi="Arial" w:cs="Arial"/>
          <w:color w:val="000000"/>
        </w:rPr>
        <w:t xml:space="preserve"> </w:t>
      </w:r>
      <w:r w:rsidR="00D90EA5">
        <w:rPr>
          <w:rFonts w:ascii="Arial" w:hAnsi="Arial" w:cs="Arial"/>
          <w:color w:val="000000"/>
        </w:rPr>
        <w:t>s</w:t>
      </w:r>
      <w:r w:rsidR="00D90EA5" w:rsidRPr="00D90EA5">
        <w:rPr>
          <w:rFonts w:ascii="Arial" w:hAnsi="Arial" w:cs="Arial"/>
          <w:color w:val="000000"/>
        </w:rPr>
        <w:t xml:space="preserve">ection 43, </w:t>
      </w:r>
      <w:r w:rsidR="005B0026">
        <w:rPr>
          <w:rFonts w:ascii="Arial" w:hAnsi="Arial" w:cs="Arial"/>
          <w:color w:val="000000"/>
        </w:rPr>
        <w:t>it</w:t>
      </w:r>
      <w:r w:rsidR="00D90EA5" w:rsidRPr="00D90EA5">
        <w:rPr>
          <w:rFonts w:ascii="Arial" w:hAnsi="Arial" w:cs="Arial"/>
          <w:color w:val="000000"/>
        </w:rPr>
        <w:t xml:space="preserve"> </w:t>
      </w:r>
      <w:r w:rsidR="005B0026">
        <w:rPr>
          <w:rFonts w:ascii="Arial" w:hAnsi="Arial" w:cs="Arial"/>
          <w:color w:val="000000"/>
        </w:rPr>
        <w:t xml:space="preserve">is instructive </w:t>
      </w:r>
      <w:r w:rsidR="00D90EA5" w:rsidRPr="00D90EA5">
        <w:rPr>
          <w:rFonts w:ascii="Arial" w:hAnsi="Arial" w:cs="Arial"/>
          <w:color w:val="000000"/>
        </w:rPr>
        <w:t>that even if this provision has been applied pro</w:t>
      </w:r>
      <w:r w:rsidR="00D90EA5">
        <w:rPr>
          <w:rFonts w:ascii="Arial" w:hAnsi="Arial" w:cs="Arial"/>
          <w:color w:val="000000"/>
        </w:rPr>
        <w:t>spectively</w:t>
      </w:r>
      <w:r w:rsidR="00D90EA5" w:rsidRPr="00D90EA5">
        <w:rPr>
          <w:rFonts w:ascii="Arial" w:hAnsi="Arial" w:cs="Arial"/>
          <w:color w:val="000000"/>
        </w:rPr>
        <w:t>, NEMA continue</w:t>
      </w:r>
      <w:r w:rsidR="00DB4D3C">
        <w:rPr>
          <w:rFonts w:ascii="Arial" w:hAnsi="Arial" w:cs="Arial"/>
          <w:color w:val="000000"/>
        </w:rPr>
        <w:t>s</w:t>
      </w:r>
      <w:r w:rsidR="00D90EA5" w:rsidRPr="00D90EA5">
        <w:rPr>
          <w:rFonts w:ascii="Arial" w:hAnsi="Arial" w:cs="Arial"/>
          <w:color w:val="000000"/>
        </w:rPr>
        <w:t xml:space="preserve"> to apply retro</w:t>
      </w:r>
      <w:r w:rsidR="00D90EA5">
        <w:rPr>
          <w:rFonts w:ascii="Arial" w:hAnsi="Arial" w:cs="Arial"/>
          <w:color w:val="000000"/>
        </w:rPr>
        <w:t>spe</w:t>
      </w:r>
      <w:r w:rsidR="00D90EA5" w:rsidRPr="00D90EA5">
        <w:rPr>
          <w:rFonts w:ascii="Arial" w:hAnsi="Arial" w:cs="Arial"/>
          <w:color w:val="000000"/>
        </w:rPr>
        <w:t>ctively</w:t>
      </w:r>
      <w:r w:rsidR="00D90EA5">
        <w:rPr>
          <w:rFonts w:ascii="Arial" w:hAnsi="Arial" w:cs="Arial"/>
          <w:color w:val="000000"/>
        </w:rPr>
        <w:t xml:space="preserve">. This implies that the principles of duty of care and polluter pays still applies to </w:t>
      </w:r>
      <w:r w:rsidR="00A12967">
        <w:rPr>
          <w:rFonts w:ascii="Arial" w:hAnsi="Arial" w:cs="Arial"/>
          <w:color w:val="000000"/>
        </w:rPr>
        <w:t>DBCM</w:t>
      </w:r>
      <w:r w:rsidR="00D90EA5">
        <w:rPr>
          <w:rFonts w:ascii="Arial" w:hAnsi="Arial" w:cs="Arial"/>
          <w:color w:val="000000"/>
        </w:rPr>
        <w:t>.</w:t>
      </w:r>
      <w:r w:rsidR="001E0A9D" w:rsidRPr="001E0A9D">
        <w:rPr>
          <w:rFonts w:ascii="Arial" w:hAnsi="Arial" w:cs="Arial"/>
          <w:color w:val="000000"/>
        </w:rPr>
        <w:t xml:space="preserve"> </w:t>
      </w:r>
      <w:r w:rsidR="001E0A9D">
        <w:rPr>
          <w:rFonts w:ascii="Arial" w:hAnsi="Arial" w:cs="Arial"/>
          <w:color w:val="000000"/>
        </w:rPr>
        <w:t xml:space="preserve">It therefore would be realisable by the Application of s 43 as amended. There should therefore be compliance in terms of </w:t>
      </w:r>
      <w:r w:rsidR="00B565F9">
        <w:rPr>
          <w:rFonts w:ascii="Arial" w:hAnsi="Arial" w:cs="Arial"/>
          <w:color w:val="000000"/>
        </w:rPr>
        <w:t xml:space="preserve">the new </w:t>
      </w:r>
      <w:r w:rsidR="001E0A9D">
        <w:rPr>
          <w:rFonts w:ascii="Arial" w:hAnsi="Arial" w:cs="Arial"/>
          <w:color w:val="000000"/>
        </w:rPr>
        <w:t>s 43 (3) and 15</w:t>
      </w:r>
      <w:r w:rsidR="001C4057">
        <w:rPr>
          <w:rFonts w:ascii="Arial" w:hAnsi="Arial" w:cs="Arial"/>
          <w:color w:val="000000"/>
        </w:rPr>
        <w:t>.</w:t>
      </w:r>
      <w:r w:rsidR="001E0A9D">
        <w:rPr>
          <w:rFonts w:ascii="Arial" w:hAnsi="Arial" w:cs="Arial"/>
          <w:color w:val="000000"/>
        </w:rPr>
        <w:t xml:space="preserve"> </w:t>
      </w:r>
    </w:p>
    <w:p w14:paraId="5B2E6D3B" w14:textId="5A7EF840" w:rsidR="005D02C4" w:rsidRDefault="005D02C4" w:rsidP="00DB4D3C">
      <w:pPr>
        <w:pStyle w:val="blockquote-x"/>
        <w:shd w:val="clear" w:color="auto" w:fill="FFFFFF"/>
        <w:spacing w:before="0" w:beforeAutospacing="0" w:after="0" w:afterAutospacing="0" w:line="360" w:lineRule="auto"/>
        <w:ind w:right="567"/>
        <w:jc w:val="both"/>
        <w:rPr>
          <w:rFonts w:ascii="Arial" w:hAnsi="Arial" w:cs="Arial"/>
        </w:rPr>
      </w:pPr>
    </w:p>
    <w:p w14:paraId="54068BC9" w14:textId="5AD89AF6" w:rsidR="00FB6FC0" w:rsidRPr="00B050DD" w:rsidRDefault="00FB6FC0" w:rsidP="00DB4D3C">
      <w:pPr>
        <w:pStyle w:val="blockquote-x"/>
        <w:shd w:val="clear" w:color="auto" w:fill="FFFFFF"/>
        <w:spacing w:before="0" w:beforeAutospacing="0" w:after="0" w:afterAutospacing="0" w:line="360" w:lineRule="auto"/>
        <w:ind w:right="567"/>
        <w:jc w:val="both"/>
        <w:rPr>
          <w:rFonts w:ascii="Arial" w:hAnsi="Arial" w:cs="Arial"/>
          <w:b/>
        </w:rPr>
      </w:pPr>
      <w:r w:rsidRPr="00B050DD">
        <w:rPr>
          <w:rFonts w:ascii="Arial" w:hAnsi="Arial" w:cs="Arial"/>
          <w:b/>
        </w:rPr>
        <w:t>Costs</w:t>
      </w:r>
    </w:p>
    <w:p w14:paraId="42BDA430" w14:textId="77777777" w:rsidR="00FB6FC0" w:rsidRDefault="00FB6FC0" w:rsidP="00DB4D3C">
      <w:pPr>
        <w:pStyle w:val="blockquote-x"/>
        <w:shd w:val="clear" w:color="auto" w:fill="FFFFFF"/>
        <w:spacing w:before="0" w:beforeAutospacing="0" w:after="0" w:afterAutospacing="0" w:line="360" w:lineRule="auto"/>
        <w:ind w:right="567"/>
        <w:jc w:val="both"/>
        <w:rPr>
          <w:rFonts w:ascii="Arial" w:hAnsi="Arial" w:cs="Arial"/>
        </w:rPr>
      </w:pPr>
    </w:p>
    <w:p w14:paraId="4D3434FD" w14:textId="720637B8" w:rsidR="00F85762" w:rsidRPr="00F85762" w:rsidRDefault="00BC3DAD" w:rsidP="00A11A29">
      <w:pPr>
        <w:pStyle w:val="blockquote-x"/>
        <w:shd w:val="clear" w:color="auto" w:fill="FFFFFF"/>
        <w:spacing w:before="0" w:beforeAutospacing="0" w:after="0" w:afterAutospacing="0" w:line="360" w:lineRule="auto"/>
        <w:ind w:right="567"/>
        <w:jc w:val="both"/>
        <w:rPr>
          <w:rFonts w:ascii="Arial" w:eastAsiaTheme="minorHAnsi" w:hAnsi="Arial" w:cs="Arial"/>
          <w:color w:val="242121"/>
          <w:kern w:val="2"/>
          <w:shd w:val="clear" w:color="auto" w:fill="FFFFFF"/>
          <w:lang w:eastAsia="en-US"/>
          <w14:ligatures w14:val="standardContextual"/>
        </w:rPr>
      </w:pPr>
      <w:r>
        <w:rPr>
          <w:rFonts w:ascii="Arial" w:hAnsi="Arial" w:cs="Arial"/>
          <w:color w:val="000000"/>
        </w:rPr>
        <w:t>[1</w:t>
      </w:r>
      <w:r w:rsidR="00287CC0">
        <w:rPr>
          <w:rFonts w:ascii="Arial" w:hAnsi="Arial" w:cs="Arial"/>
          <w:color w:val="000000"/>
        </w:rPr>
        <w:t>52</w:t>
      </w:r>
      <w:r>
        <w:rPr>
          <w:rFonts w:ascii="Arial" w:hAnsi="Arial" w:cs="Arial"/>
          <w:color w:val="000000"/>
        </w:rPr>
        <w:t>]</w:t>
      </w:r>
      <w:r>
        <w:rPr>
          <w:rFonts w:ascii="Arial" w:hAnsi="Arial" w:cs="Arial"/>
          <w:color w:val="000000"/>
        </w:rPr>
        <w:tab/>
      </w:r>
      <w:r w:rsidR="001C4057">
        <w:rPr>
          <w:rFonts w:ascii="Arial" w:hAnsi="Arial" w:cs="Arial"/>
          <w:color w:val="000000"/>
        </w:rPr>
        <w:t>I</w:t>
      </w:r>
      <w:r w:rsidR="00E6573A">
        <w:rPr>
          <w:rFonts w:ascii="Arial" w:hAnsi="Arial" w:cs="Arial"/>
          <w:color w:val="000000"/>
        </w:rPr>
        <w:t xml:space="preserve">n litigation, the general principle for costs is that costs follow the event.    In that regard the losing party is to pay the costs of the winning party. </w:t>
      </w:r>
      <w:r w:rsidR="00864E8F" w:rsidRPr="00864E8F">
        <w:rPr>
          <w:rFonts w:ascii="Arial" w:eastAsiaTheme="minorHAnsi" w:hAnsi="Arial" w:cs="Arial"/>
          <w:color w:val="242121"/>
          <w:kern w:val="2"/>
          <w:shd w:val="clear" w:color="auto" w:fill="FFFFFF"/>
          <w:lang w:eastAsia="en-US"/>
          <w14:ligatures w14:val="standardContextual"/>
        </w:rPr>
        <w:t>The guiding principle is that ‘…</w:t>
      </w:r>
      <w:r w:rsidR="00864E8F" w:rsidRPr="00864E8F">
        <w:rPr>
          <w:rFonts w:ascii="Arial" w:eastAsiaTheme="minorHAnsi" w:hAnsi="Arial" w:cs="Arial"/>
          <w:i/>
          <w:iCs/>
          <w:color w:val="242121"/>
          <w:kern w:val="2"/>
          <w:sz w:val="22"/>
          <w:szCs w:val="22"/>
          <w:shd w:val="clear" w:color="auto" w:fill="FFFFFF"/>
          <w:lang w:eastAsia="en-US"/>
          <w14:ligatures w14:val="standardContextual"/>
        </w:rPr>
        <w:t xml:space="preserve">costs are awarded to a successful party in order to indemnify him for the expense to which he has been put through having been unjustly compelled either </w:t>
      </w:r>
      <w:r w:rsidR="00864E8F" w:rsidRPr="00864E8F">
        <w:rPr>
          <w:rFonts w:ascii="Arial" w:eastAsiaTheme="minorHAnsi" w:hAnsi="Arial" w:cs="Arial"/>
          <w:i/>
          <w:iCs/>
          <w:color w:val="242121"/>
          <w:kern w:val="2"/>
          <w:sz w:val="22"/>
          <w:szCs w:val="22"/>
          <w:shd w:val="clear" w:color="auto" w:fill="FFFFFF"/>
          <w:lang w:eastAsia="en-US"/>
          <w14:ligatures w14:val="standardContextual"/>
        </w:rPr>
        <w:lastRenderedPageBreak/>
        <w:t>to initiate or to defend litigation, as the case may be</w:t>
      </w:r>
      <w:r w:rsidR="00864E8F">
        <w:rPr>
          <w:rFonts w:ascii="Arial" w:eastAsiaTheme="minorHAnsi" w:hAnsi="Arial" w:cs="Arial"/>
          <w:i/>
          <w:iCs/>
          <w:color w:val="242121"/>
          <w:kern w:val="2"/>
          <w:sz w:val="22"/>
          <w:szCs w:val="22"/>
          <w:shd w:val="clear" w:color="auto" w:fill="FFFFFF"/>
          <w:lang w:eastAsia="en-US"/>
          <w14:ligatures w14:val="standardContextual"/>
        </w:rPr>
        <w:t>.</w:t>
      </w:r>
      <w:r w:rsidR="00864E8F" w:rsidRPr="00864E8F">
        <w:rPr>
          <w:rFonts w:ascii="Arial" w:eastAsiaTheme="minorHAnsi" w:hAnsi="Arial" w:cs="Arial"/>
          <w:i/>
          <w:iCs/>
          <w:color w:val="242121"/>
          <w:kern w:val="2"/>
          <w:sz w:val="22"/>
          <w:szCs w:val="22"/>
          <w:shd w:val="clear" w:color="auto" w:fill="FFFFFF"/>
          <w:lang w:eastAsia="en-US"/>
          <w14:ligatures w14:val="standardContextual"/>
        </w:rPr>
        <w:t xml:space="preserve"> Owing to the unnecessary operation of taxation, such an award is seldom a complete indemnity; but that does not affect the principle on which it is based</w:t>
      </w:r>
      <w:r w:rsidR="00864E8F" w:rsidRPr="00864E8F">
        <w:rPr>
          <w:rFonts w:ascii="Arial" w:eastAsiaTheme="minorHAnsi" w:hAnsi="Arial" w:cs="Arial"/>
          <w:i/>
          <w:iCs/>
          <w:color w:val="242121"/>
          <w:kern w:val="2"/>
          <w:shd w:val="clear" w:color="auto" w:fill="FFFFFF"/>
          <w:lang w:eastAsia="en-US"/>
          <w14:ligatures w14:val="standardContextual"/>
        </w:rPr>
        <w:t>.’</w:t>
      </w:r>
      <w:r w:rsidR="00864E8F">
        <w:rPr>
          <w:rStyle w:val="FootnoteReference"/>
          <w:rFonts w:ascii="Arial" w:eastAsiaTheme="minorHAnsi" w:hAnsi="Arial" w:cs="Arial"/>
          <w:i/>
          <w:iCs/>
          <w:color w:val="242121"/>
          <w:kern w:val="2"/>
          <w:shd w:val="clear" w:color="auto" w:fill="FFFFFF"/>
          <w:lang w:eastAsia="en-US"/>
          <w14:ligatures w14:val="standardContextual"/>
        </w:rPr>
        <w:footnoteReference w:id="56"/>
      </w:r>
      <w:r w:rsidR="001C4057">
        <w:rPr>
          <w:rFonts w:ascii="Arial" w:hAnsi="Arial" w:cs="Arial"/>
          <w:color w:val="000000"/>
        </w:rPr>
        <w:t xml:space="preserve"> </w:t>
      </w:r>
      <w:r w:rsidR="00F85762" w:rsidRPr="00F85762">
        <w:rPr>
          <w:rFonts w:ascii="Arial" w:hAnsi="Arial" w:cs="Arial"/>
          <w:color w:val="000000"/>
        </w:rPr>
        <w:t xml:space="preserve">In </w:t>
      </w:r>
      <w:r w:rsidR="00F85762" w:rsidRPr="00F85762">
        <w:rPr>
          <w:rFonts w:ascii="Arial" w:eastAsiaTheme="minorHAnsi" w:hAnsi="Arial" w:cs="Arial"/>
          <w:i/>
          <w:iCs/>
          <w:color w:val="242121"/>
          <w:kern w:val="2"/>
          <w:shd w:val="clear" w:color="auto" w:fill="FFFFFF"/>
          <w:lang w:eastAsia="en-US"/>
          <w14:ligatures w14:val="standardContextual"/>
        </w:rPr>
        <w:t>Fusion Hotel and Entertainment Centre CC v eThekwini Municipality and Another</w:t>
      </w:r>
      <w:r w:rsidR="0006745B" w:rsidRPr="0006745B">
        <w:rPr>
          <w:rStyle w:val="FootnoteReference"/>
          <w:rFonts w:asciiTheme="minorHAnsi" w:eastAsiaTheme="minorHAnsi" w:hAnsiTheme="minorHAnsi" w:cstheme="minorHAnsi"/>
          <w:i/>
          <w:iCs/>
          <w:color w:val="242121"/>
          <w:kern w:val="2"/>
          <w:sz w:val="20"/>
          <w:szCs w:val="20"/>
          <w:shd w:val="clear" w:color="auto" w:fill="FFFFFF"/>
          <w:lang w:eastAsia="en-US"/>
          <w14:ligatures w14:val="standardContextual"/>
        </w:rPr>
        <w:footnoteReference w:id="57"/>
      </w:r>
      <w:r w:rsidR="00F85762" w:rsidRPr="0006745B">
        <w:rPr>
          <w:rFonts w:asciiTheme="minorHAnsi" w:eastAsiaTheme="minorHAnsi" w:hAnsiTheme="minorHAnsi" w:cstheme="minorHAnsi"/>
          <w:i/>
          <w:iCs/>
          <w:color w:val="242121"/>
          <w:kern w:val="2"/>
          <w:sz w:val="20"/>
          <w:szCs w:val="20"/>
          <w:shd w:val="clear" w:color="auto" w:fill="FFFFFF"/>
          <w:lang w:eastAsia="en-US"/>
          <w14:ligatures w14:val="standardContextual"/>
        </w:rPr>
        <w:t> </w:t>
      </w:r>
      <w:r w:rsidR="00F85762" w:rsidRPr="00F85762">
        <w:rPr>
          <w:rFonts w:ascii="Arial" w:eastAsiaTheme="minorHAnsi" w:hAnsi="Arial" w:cs="Arial"/>
          <w:color w:val="242121"/>
          <w:kern w:val="2"/>
          <w:shd w:val="clear" w:color="auto" w:fill="FFFFFF"/>
          <w:lang w:eastAsia="en-US"/>
          <w14:ligatures w14:val="standardContextual"/>
        </w:rPr>
        <w:t xml:space="preserve"> the following was stated in respect of costs where merits were not fully decided, that:</w:t>
      </w:r>
    </w:p>
    <w:p w14:paraId="2A58F109" w14:textId="77777777" w:rsidR="00F85762" w:rsidRDefault="00F85762" w:rsidP="00A11A29">
      <w:pPr>
        <w:pStyle w:val="blockquote-x"/>
        <w:shd w:val="clear" w:color="auto" w:fill="FFFFFF"/>
        <w:spacing w:before="0" w:beforeAutospacing="0" w:after="0" w:afterAutospacing="0" w:line="360" w:lineRule="auto"/>
        <w:ind w:right="567"/>
        <w:jc w:val="both"/>
        <w:rPr>
          <w:rFonts w:ascii="Arial" w:eastAsiaTheme="minorHAnsi" w:hAnsi="Arial" w:cs="Arial"/>
          <w:color w:val="242121"/>
          <w:kern w:val="2"/>
          <w:sz w:val="27"/>
          <w:szCs w:val="27"/>
          <w:shd w:val="clear" w:color="auto" w:fill="FFFFFF"/>
          <w:lang w:eastAsia="en-US"/>
          <w14:ligatures w14:val="standardContextual"/>
        </w:rPr>
      </w:pPr>
    </w:p>
    <w:p w14:paraId="75260161" w14:textId="5A0D8427" w:rsidR="00864E8F" w:rsidRDefault="00F85762" w:rsidP="00F85762">
      <w:pPr>
        <w:pStyle w:val="blockquote-x"/>
        <w:shd w:val="clear" w:color="auto" w:fill="FFFFFF"/>
        <w:spacing w:before="0" w:beforeAutospacing="0" w:after="0" w:afterAutospacing="0" w:line="360" w:lineRule="auto"/>
        <w:ind w:left="1440" w:right="567"/>
        <w:jc w:val="both"/>
        <w:rPr>
          <w:rFonts w:ascii="Arial" w:eastAsiaTheme="minorHAnsi" w:hAnsi="Arial" w:cs="Arial"/>
          <w:i/>
          <w:iCs/>
          <w:color w:val="242121"/>
          <w:kern w:val="2"/>
          <w:sz w:val="22"/>
          <w:szCs w:val="22"/>
          <w:shd w:val="clear" w:color="auto" w:fill="FFFFFF"/>
          <w:lang w:eastAsia="en-US"/>
          <w14:ligatures w14:val="standardContextual"/>
        </w:rPr>
      </w:pPr>
      <w:r w:rsidRPr="00F85762">
        <w:rPr>
          <w:rFonts w:ascii="Arial" w:eastAsiaTheme="minorHAnsi" w:hAnsi="Arial" w:cs="Arial"/>
          <w:color w:val="242121"/>
          <w:kern w:val="2"/>
          <w:sz w:val="22"/>
          <w:szCs w:val="22"/>
          <w:shd w:val="clear" w:color="auto" w:fill="FFFFFF"/>
          <w:lang w:eastAsia="en-US"/>
          <w14:ligatures w14:val="standardContextual"/>
        </w:rPr>
        <w:t>‘</w:t>
      </w:r>
      <w:r w:rsidRPr="00F85762">
        <w:rPr>
          <w:rFonts w:ascii="Arial" w:eastAsiaTheme="minorHAnsi" w:hAnsi="Arial" w:cs="Arial"/>
          <w:i/>
          <w:iCs/>
          <w:color w:val="242121"/>
          <w:kern w:val="2"/>
          <w:sz w:val="22"/>
          <w:szCs w:val="22"/>
          <w:shd w:val="clear" w:color="auto" w:fill="FFFFFF"/>
          <w:lang w:eastAsia="en-US"/>
          <w14:ligatures w14:val="standardContextual"/>
        </w:rPr>
        <w:t>[12] It is common cause that in this matter the issues at hand remained undecided and the merits were not considered. When the issues are left undecided, the court has a discretion whether to direct each party to pay its own costs or make a specific order as to costs. A decision on costs can on its own, in my view, be made irrespective of the non-consideration of the merits. I am stating this on the basis that an award for costs is to indemnify the successful litigant for the expense to which he was put through to challenge or defend the case, as the case may be…’</w:t>
      </w:r>
    </w:p>
    <w:p w14:paraId="18B20AE0" w14:textId="4C5BDE67" w:rsidR="0006745B" w:rsidRDefault="0006745B" w:rsidP="0006745B">
      <w:pPr>
        <w:pStyle w:val="blockquote-x"/>
        <w:shd w:val="clear" w:color="auto" w:fill="FFFFFF"/>
        <w:spacing w:before="0" w:beforeAutospacing="0" w:after="0" w:afterAutospacing="0" w:line="360" w:lineRule="auto"/>
        <w:ind w:right="567"/>
        <w:jc w:val="both"/>
        <w:rPr>
          <w:rFonts w:ascii="Arial" w:eastAsiaTheme="minorHAnsi" w:hAnsi="Arial" w:cs="Arial"/>
          <w:i/>
          <w:iCs/>
          <w:color w:val="242121"/>
          <w:kern w:val="2"/>
          <w:sz w:val="22"/>
          <w:szCs w:val="22"/>
          <w:shd w:val="clear" w:color="auto" w:fill="FFFFFF"/>
          <w:lang w:eastAsia="en-US"/>
          <w14:ligatures w14:val="standardContextual"/>
        </w:rPr>
      </w:pPr>
    </w:p>
    <w:p w14:paraId="00551C88" w14:textId="199FD56D" w:rsidR="000C5448" w:rsidRDefault="0006745B" w:rsidP="0006745B">
      <w:pPr>
        <w:pStyle w:val="blockquote-x"/>
        <w:shd w:val="clear" w:color="auto" w:fill="FFFFFF"/>
        <w:spacing w:before="0" w:beforeAutospacing="0" w:after="0" w:afterAutospacing="0" w:line="360" w:lineRule="auto"/>
        <w:ind w:right="567"/>
        <w:jc w:val="both"/>
        <w:rPr>
          <w:rFonts w:ascii="Arial" w:eastAsiaTheme="minorHAnsi" w:hAnsi="Arial" w:cs="Arial"/>
          <w:i/>
          <w:iCs/>
          <w:color w:val="242121"/>
          <w:kern w:val="2"/>
          <w:sz w:val="22"/>
          <w:szCs w:val="22"/>
          <w:shd w:val="clear" w:color="auto" w:fill="FFFFFF"/>
          <w:lang w:eastAsia="en-US"/>
          <w14:ligatures w14:val="standardContextual"/>
        </w:rPr>
      </w:pPr>
      <w:r w:rsidRPr="002A5DAD">
        <w:rPr>
          <w:rFonts w:ascii="Arial" w:eastAsiaTheme="minorHAnsi" w:hAnsi="Arial" w:cs="Arial"/>
          <w:iCs/>
          <w:color w:val="242121"/>
          <w:kern w:val="2"/>
          <w:shd w:val="clear" w:color="auto" w:fill="FFFFFF"/>
          <w:lang w:eastAsia="en-US"/>
          <w14:ligatures w14:val="standardContextual"/>
        </w:rPr>
        <w:t>[15</w:t>
      </w:r>
      <w:r w:rsidR="00287CC0">
        <w:rPr>
          <w:rFonts w:ascii="Arial" w:eastAsiaTheme="minorHAnsi" w:hAnsi="Arial" w:cs="Arial"/>
          <w:iCs/>
          <w:color w:val="242121"/>
          <w:kern w:val="2"/>
          <w:shd w:val="clear" w:color="auto" w:fill="FFFFFF"/>
          <w:lang w:eastAsia="en-US"/>
          <w14:ligatures w14:val="standardContextual"/>
        </w:rPr>
        <w:t>3</w:t>
      </w:r>
      <w:r w:rsidRPr="002A5DAD">
        <w:rPr>
          <w:rFonts w:ascii="Arial" w:eastAsiaTheme="minorHAnsi" w:hAnsi="Arial" w:cs="Arial"/>
          <w:iCs/>
          <w:color w:val="242121"/>
          <w:kern w:val="2"/>
          <w:shd w:val="clear" w:color="auto" w:fill="FFFFFF"/>
          <w:lang w:eastAsia="en-US"/>
          <w14:ligatures w14:val="standardContextual"/>
        </w:rPr>
        <w:t>]</w:t>
      </w:r>
      <w:r w:rsidRPr="002A5DAD">
        <w:rPr>
          <w:rFonts w:ascii="Arial" w:eastAsiaTheme="minorHAnsi" w:hAnsi="Arial" w:cs="Arial"/>
          <w:iCs/>
          <w:color w:val="242121"/>
          <w:kern w:val="2"/>
          <w:shd w:val="clear" w:color="auto" w:fill="FFFFFF"/>
          <w:lang w:eastAsia="en-US"/>
          <w14:ligatures w14:val="standardContextual"/>
        </w:rPr>
        <w:tab/>
      </w:r>
      <w:r w:rsidR="000C5448" w:rsidRPr="002A5DAD">
        <w:rPr>
          <w:rFonts w:ascii="Arial" w:eastAsiaTheme="minorHAnsi" w:hAnsi="Arial" w:cs="Arial"/>
          <w:iCs/>
          <w:color w:val="242121"/>
          <w:kern w:val="2"/>
          <w:shd w:val="clear" w:color="auto" w:fill="FFFFFF"/>
          <w:lang w:eastAsia="en-US"/>
          <w14:ligatures w14:val="standardContextual"/>
        </w:rPr>
        <w:t>It</w:t>
      </w:r>
      <w:r w:rsidR="000C5448" w:rsidRPr="002A5DAD">
        <w:rPr>
          <w:rFonts w:ascii="Arial" w:eastAsiaTheme="minorHAnsi" w:hAnsi="Arial" w:cs="Arial"/>
          <w:i/>
          <w:iCs/>
          <w:color w:val="242121"/>
          <w:kern w:val="2"/>
          <w:shd w:val="clear" w:color="auto" w:fill="FFFFFF"/>
          <w:lang w:eastAsia="en-US"/>
          <w14:ligatures w14:val="standardContextual"/>
        </w:rPr>
        <w:t xml:space="preserve"> </w:t>
      </w:r>
      <w:r w:rsidR="000C5448" w:rsidRPr="002A5DAD">
        <w:rPr>
          <w:rFonts w:ascii="Arial" w:eastAsiaTheme="minorHAnsi" w:hAnsi="Arial" w:cs="Arial"/>
          <w:iCs/>
          <w:color w:val="242121"/>
          <w:kern w:val="2"/>
          <w:shd w:val="clear" w:color="auto" w:fill="FFFFFF"/>
          <w:lang w:eastAsia="en-US"/>
          <w14:ligatures w14:val="standardContextual"/>
        </w:rPr>
        <w:t>is also the basic principle that the award of costs is in the discretion of the court.</w:t>
      </w:r>
      <w:r w:rsidR="00CD1EFD">
        <w:rPr>
          <w:rFonts w:ascii="Arial" w:eastAsiaTheme="minorHAnsi" w:hAnsi="Arial" w:cs="Arial"/>
          <w:iCs/>
          <w:color w:val="242121"/>
          <w:kern w:val="2"/>
          <w:shd w:val="clear" w:color="auto" w:fill="FFFFFF"/>
          <w:lang w:eastAsia="en-US"/>
          <w14:ligatures w14:val="standardContextual"/>
        </w:rPr>
        <w:t xml:space="preserve"> </w:t>
      </w:r>
      <w:r w:rsidR="00CD1EFD" w:rsidRPr="00CD1EFD">
        <w:rPr>
          <w:rFonts w:ascii="Arial" w:eastAsiaTheme="minorHAnsi" w:hAnsi="Arial" w:cs="Arial"/>
          <w:iCs/>
          <w:color w:val="242121"/>
          <w:kern w:val="2"/>
          <w:sz w:val="22"/>
          <w:szCs w:val="22"/>
          <w:shd w:val="clear" w:color="auto" w:fill="FFFFFF"/>
          <w:lang w:eastAsia="en-US"/>
          <w14:ligatures w14:val="standardContextual"/>
        </w:rPr>
        <w:t>I</w:t>
      </w:r>
      <w:r w:rsidR="002A5DAD" w:rsidRPr="00CD1EFD">
        <w:rPr>
          <w:rFonts w:ascii="Arial" w:hAnsi="Arial" w:cs="Arial"/>
          <w:color w:val="242121"/>
          <w:shd w:val="clear" w:color="auto" w:fill="FFFFFF"/>
        </w:rPr>
        <w:t>n</w:t>
      </w:r>
      <w:r w:rsidR="002A5DAD">
        <w:rPr>
          <w:rFonts w:ascii="Arial" w:hAnsi="Arial" w:cs="Arial"/>
          <w:color w:val="242121"/>
          <w:shd w:val="clear" w:color="auto" w:fill="FFFFFF"/>
        </w:rPr>
        <w:t> </w:t>
      </w:r>
      <w:r w:rsidR="00CD1EFD" w:rsidRPr="000C5448">
        <w:rPr>
          <w:rFonts w:ascii="Arial" w:eastAsiaTheme="minorHAnsi" w:hAnsi="Arial" w:cs="Arial"/>
          <w:bCs/>
          <w:i/>
          <w:iCs/>
          <w:color w:val="242121"/>
          <w:kern w:val="2"/>
          <w:sz w:val="22"/>
          <w:szCs w:val="22"/>
          <w:shd w:val="clear" w:color="auto" w:fill="FFFFFF"/>
          <w:lang w:eastAsia="en-US"/>
          <w14:ligatures w14:val="standardContextual"/>
        </w:rPr>
        <w:t>Ferreira v Levin NO</w:t>
      </w:r>
      <w:r w:rsidR="00CD1EFD">
        <w:rPr>
          <w:rStyle w:val="FootnoteReference"/>
          <w:rFonts w:ascii="Arial" w:eastAsiaTheme="minorHAnsi" w:hAnsi="Arial" w:cs="Arial"/>
          <w:bCs/>
          <w:i/>
          <w:iCs/>
          <w:color w:val="242121"/>
          <w:kern w:val="2"/>
          <w:sz w:val="22"/>
          <w:szCs w:val="22"/>
          <w:shd w:val="clear" w:color="auto" w:fill="FFFFFF"/>
          <w:lang w:eastAsia="en-US"/>
          <w14:ligatures w14:val="standardContextual"/>
        </w:rPr>
        <w:footnoteReference w:id="58"/>
      </w:r>
      <w:r w:rsidR="00CD1EFD" w:rsidRPr="000C5448">
        <w:rPr>
          <w:rFonts w:ascii="Arial" w:eastAsiaTheme="minorHAnsi" w:hAnsi="Arial" w:cs="Arial"/>
          <w:bCs/>
          <w:i/>
          <w:iCs/>
          <w:color w:val="242121"/>
          <w:kern w:val="2"/>
          <w:sz w:val="22"/>
          <w:szCs w:val="22"/>
          <w:shd w:val="clear" w:color="auto" w:fill="FFFFFF"/>
          <w:lang w:eastAsia="en-US"/>
          <w14:ligatures w14:val="standardContextual"/>
        </w:rPr>
        <w:t xml:space="preserve"> and Others</w:t>
      </w:r>
      <w:r w:rsidR="00CD1EFD">
        <w:rPr>
          <w:rFonts w:ascii="Arial" w:hAnsi="Arial" w:cs="Arial"/>
          <w:b/>
          <w:bCs/>
          <w:i/>
          <w:iCs/>
          <w:color w:val="242121"/>
          <w:shd w:val="clear" w:color="auto" w:fill="FFFFFF"/>
        </w:rPr>
        <w:t xml:space="preserve"> </w:t>
      </w:r>
      <w:r w:rsidR="002A5DAD">
        <w:rPr>
          <w:rFonts w:ascii="Arial" w:hAnsi="Arial" w:cs="Arial"/>
          <w:color w:val="242121"/>
          <w:shd w:val="clear" w:color="auto" w:fill="FFFFFF"/>
        </w:rPr>
        <w:t>the Constitutional Court stated the basic rules to be the following</w:t>
      </w:r>
      <w:r w:rsidR="000C5448" w:rsidRPr="000C5448">
        <w:rPr>
          <w:rFonts w:ascii="Arial" w:eastAsiaTheme="minorHAnsi" w:hAnsi="Arial" w:cs="Arial"/>
          <w:color w:val="242121"/>
          <w:kern w:val="2"/>
          <w:sz w:val="22"/>
          <w:szCs w:val="22"/>
          <w:shd w:val="clear" w:color="auto" w:fill="FFFFFF"/>
          <w:lang w:eastAsia="en-US"/>
          <w14:ligatures w14:val="standardContextual"/>
        </w:rPr>
        <w:t> :</w:t>
      </w:r>
      <w:r w:rsidR="000C5448">
        <w:rPr>
          <w:rFonts w:ascii="Arial" w:eastAsiaTheme="minorHAnsi" w:hAnsi="Arial" w:cs="Arial"/>
          <w:i/>
          <w:iCs/>
          <w:color w:val="242121"/>
          <w:kern w:val="2"/>
          <w:sz w:val="22"/>
          <w:szCs w:val="22"/>
          <w:shd w:val="clear" w:color="auto" w:fill="FFFFFF"/>
          <w:lang w:eastAsia="en-US"/>
          <w14:ligatures w14:val="standardContextual"/>
        </w:rPr>
        <w:t xml:space="preserve">  </w:t>
      </w:r>
    </w:p>
    <w:p w14:paraId="55633A13" w14:textId="77777777" w:rsidR="00CD1EFD" w:rsidRDefault="00CD1EFD" w:rsidP="002A5DAD">
      <w:pPr>
        <w:pStyle w:val="blockquote-x"/>
        <w:shd w:val="clear" w:color="auto" w:fill="FFFFFF"/>
        <w:spacing w:before="0" w:beforeAutospacing="0" w:after="0" w:afterAutospacing="0" w:line="360" w:lineRule="auto"/>
        <w:ind w:left="720" w:right="567"/>
        <w:jc w:val="both"/>
        <w:rPr>
          <w:rFonts w:ascii="Arial" w:hAnsi="Arial" w:cs="Arial"/>
          <w:i/>
          <w:iCs/>
          <w:color w:val="242121"/>
          <w:sz w:val="22"/>
          <w:szCs w:val="22"/>
          <w:shd w:val="clear" w:color="auto" w:fill="FFFFFF"/>
        </w:rPr>
      </w:pPr>
    </w:p>
    <w:p w14:paraId="16037AFA" w14:textId="16F879BE" w:rsidR="000C5448" w:rsidRPr="002A5DAD" w:rsidRDefault="002A5DAD" w:rsidP="002A5DAD">
      <w:pPr>
        <w:pStyle w:val="blockquote-x"/>
        <w:shd w:val="clear" w:color="auto" w:fill="FFFFFF"/>
        <w:spacing w:before="0" w:beforeAutospacing="0" w:after="0" w:afterAutospacing="0" w:line="360" w:lineRule="auto"/>
        <w:ind w:left="720" w:right="567"/>
        <w:jc w:val="both"/>
        <w:rPr>
          <w:rFonts w:ascii="Arial" w:eastAsiaTheme="minorHAnsi" w:hAnsi="Arial" w:cs="Arial"/>
          <w:i/>
          <w:iCs/>
          <w:color w:val="242121"/>
          <w:kern w:val="2"/>
          <w:sz w:val="22"/>
          <w:szCs w:val="22"/>
          <w:shd w:val="clear" w:color="auto" w:fill="FFFFFF"/>
          <w:lang w:eastAsia="en-US"/>
          <w14:ligatures w14:val="standardContextual"/>
        </w:rPr>
      </w:pPr>
      <w:r w:rsidRPr="002A5DAD">
        <w:rPr>
          <w:rFonts w:ascii="Arial" w:hAnsi="Arial" w:cs="Arial"/>
          <w:i/>
          <w:iCs/>
          <w:color w:val="242121"/>
          <w:sz w:val="22"/>
          <w:szCs w:val="22"/>
          <w:shd w:val="clear" w:color="auto" w:fill="FFFFFF"/>
        </w:rPr>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litigants and the nature of proceedings.’</w:t>
      </w:r>
    </w:p>
    <w:p w14:paraId="0F1237F6" w14:textId="77777777" w:rsidR="00CD1EFD" w:rsidRDefault="00CD1EFD" w:rsidP="0006745B">
      <w:pPr>
        <w:pStyle w:val="blockquote-x"/>
        <w:shd w:val="clear" w:color="auto" w:fill="FFFFFF"/>
        <w:spacing w:before="0" w:beforeAutospacing="0" w:after="0" w:afterAutospacing="0" w:line="360" w:lineRule="auto"/>
        <w:ind w:right="567"/>
        <w:jc w:val="both"/>
        <w:rPr>
          <w:rFonts w:ascii="Arial" w:eastAsiaTheme="minorHAnsi" w:hAnsi="Arial" w:cs="Arial"/>
          <w:i/>
          <w:iCs/>
          <w:color w:val="242121"/>
          <w:kern w:val="2"/>
          <w:sz w:val="22"/>
          <w:szCs w:val="22"/>
          <w:shd w:val="clear" w:color="auto" w:fill="FFFFFF"/>
          <w:lang w:eastAsia="en-US"/>
          <w14:ligatures w14:val="standardContextual"/>
        </w:rPr>
      </w:pPr>
    </w:p>
    <w:p w14:paraId="7B6FF1F3" w14:textId="7455590D" w:rsidR="0006745B" w:rsidRPr="00CD1EFD" w:rsidRDefault="00CD1EFD" w:rsidP="0006745B">
      <w:pPr>
        <w:pStyle w:val="blockquote-x"/>
        <w:shd w:val="clear" w:color="auto" w:fill="FFFFFF"/>
        <w:spacing w:before="0" w:beforeAutospacing="0" w:after="0" w:afterAutospacing="0" w:line="360" w:lineRule="auto"/>
        <w:ind w:right="567"/>
        <w:jc w:val="both"/>
        <w:rPr>
          <w:rFonts w:ascii="Arial" w:hAnsi="Arial" w:cs="Arial"/>
          <w:color w:val="000000"/>
        </w:rPr>
      </w:pPr>
      <w:r w:rsidRPr="00CD1EFD">
        <w:rPr>
          <w:rFonts w:ascii="Arial" w:eastAsiaTheme="minorHAnsi" w:hAnsi="Arial" w:cs="Arial"/>
          <w:iCs/>
          <w:color w:val="242121"/>
          <w:kern w:val="2"/>
          <w:shd w:val="clear" w:color="auto" w:fill="FFFFFF"/>
          <w:lang w:eastAsia="en-US"/>
          <w14:ligatures w14:val="standardContextual"/>
        </w:rPr>
        <w:lastRenderedPageBreak/>
        <w:t>[1</w:t>
      </w:r>
      <w:r w:rsidR="00287CC0">
        <w:rPr>
          <w:rFonts w:ascii="Arial" w:eastAsiaTheme="minorHAnsi" w:hAnsi="Arial" w:cs="Arial"/>
          <w:iCs/>
          <w:color w:val="242121"/>
          <w:kern w:val="2"/>
          <w:shd w:val="clear" w:color="auto" w:fill="FFFFFF"/>
          <w:lang w:eastAsia="en-US"/>
          <w14:ligatures w14:val="standardContextual"/>
        </w:rPr>
        <w:t>54</w:t>
      </w:r>
      <w:r w:rsidRPr="00CD1EFD">
        <w:rPr>
          <w:rFonts w:ascii="Arial" w:eastAsiaTheme="minorHAnsi" w:hAnsi="Arial" w:cs="Arial"/>
          <w:iCs/>
          <w:color w:val="242121"/>
          <w:kern w:val="2"/>
          <w:shd w:val="clear" w:color="auto" w:fill="FFFFFF"/>
          <w:lang w:eastAsia="en-US"/>
          <w14:ligatures w14:val="standardContextual"/>
        </w:rPr>
        <w:t>]</w:t>
      </w:r>
      <w:r w:rsidRPr="00CD1EFD">
        <w:rPr>
          <w:rFonts w:ascii="Arial" w:eastAsiaTheme="minorHAnsi" w:hAnsi="Arial" w:cs="Arial"/>
          <w:iCs/>
          <w:color w:val="242121"/>
          <w:kern w:val="2"/>
          <w:shd w:val="clear" w:color="auto" w:fill="FFFFFF"/>
          <w:lang w:eastAsia="en-US"/>
          <w14:ligatures w14:val="standardContextual"/>
        </w:rPr>
        <w:tab/>
      </w:r>
      <w:r w:rsidR="00B7329F" w:rsidRPr="00CD1EFD">
        <w:rPr>
          <w:rFonts w:ascii="Arial" w:eastAsiaTheme="minorHAnsi" w:hAnsi="Arial" w:cs="Arial"/>
          <w:iCs/>
          <w:color w:val="242121"/>
          <w:kern w:val="2"/>
          <w:shd w:val="clear" w:color="auto" w:fill="FFFFFF"/>
          <w:lang w:eastAsia="en-US"/>
          <w14:ligatures w14:val="standardContextual"/>
        </w:rPr>
        <w:t xml:space="preserve">The Applicant has not been successful in Prayers </w:t>
      </w:r>
      <w:r w:rsidR="00C116F4">
        <w:rPr>
          <w:rFonts w:ascii="Arial" w:eastAsiaTheme="minorHAnsi" w:hAnsi="Arial" w:cs="Arial"/>
          <w:iCs/>
          <w:color w:val="242121"/>
          <w:kern w:val="2"/>
          <w:shd w:val="clear" w:color="auto" w:fill="FFFFFF"/>
          <w:lang w:eastAsia="en-US"/>
          <w14:ligatures w14:val="standardContextual"/>
        </w:rPr>
        <w:t>2.1 to 2.6 o</w:t>
      </w:r>
      <w:r w:rsidR="00B7329F" w:rsidRPr="00CD1EFD">
        <w:rPr>
          <w:rFonts w:ascii="Arial" w:eastAsiaTheme="minorHAnsi" w:hAnsi="Arial" w:cs="Arial"/>
          <w:iCs/>
          <w:color w:val="242121"/>
          <w:kern w:val="2"/>
          <w:shd w:val="clear" w:color="auto" w:fill="FFFFFF"/>
          <w:lang w:eastAsia="en-US"/>
          <w14:ligatures w14:val="standardContextual"/>
        </w:rPr>
        <w:t xml:space="preserve">f its Notice of Motion and </w:t>
      </w:r>
      <w:r w:rsidR="009023C6" w:rsidRPr="00CD1EFD">
        <w:rPr>
          <w:rFonts w:ascii="Arial" w:eastAsiaTheme="minorHAnsi" w:hAnsi="Arial" w:cs="Arial"/>
          <w:iCs/>
          <w:color w:val="242121"/>
          <w:kern w:val="2"/>
          <w:shd w:val="clear" w:color="auto" w:fill="FFFFFF"/>
          <w:lang w:eastAsia="en-US"/>
          <w14:ligatures w14:val="standardContextual"/>
        </w:rPr>
        <w:t xml:space="preserve">on </w:t>
      </w:r>
      <w:r w:rsidR="00B7329F" w:rsidRPr="00CD1EFD">
        <w:rPr>
          <w:rFonts w:ascii="Arial" w:eastAsiaTheme="minorHAnsi" w:hAnsi="Arial" w:cs="Arial"/>
          <w:iCs/>
          <w:color w:val="242121"/>
          <w:kern w:val="2"/>
          <w:shd w:val="clear" w:color="auto" w:fill="FFFFFF"/>
          <w:lang w:eastAsia="en-US"/>
          <w14:ligatures w14:val="standardContextual"/>
        </w:rPr>
        <w:t xml:space="preserve">the point </w:t>
      </w:r>
      <w:r w:rsidR="00B7329F" w:rsidRPr="00CD1EFD">
        <w:rPr>
          <w:rFonts w:ascii="Arial" w:eastAsiaTheme="minorHAnsi" w:hAnsi="Arial" w:cs="Arial"/>
          <w:i/>
          <w:iCs/>
          <w:color w:val="242121"/>
          <w:kern w:val="2"/>
          <w:shd w:val="clear" w:color="auto" w:fill="FFFFFF"/>
          <w:lang w:eastAsia="en-US"/>
          <w14:ligatures w14:val="standardContextual"/>
        </w:rPr>
        <w:t>in limine</w:t>
      </w:r>
      <w:r w:rsidR="00B7329F" w:rsidRPr="00CD1EFD">
        <w:rPr>
          <w:rFonts w:ascii="Arial" w:eastAsiaTheme="minorHAnsi" w:hAnsi="Arial" w:cs="Arial"/>
          <w:iCs/>
          <w:color w:val="242121"/>
          <w:kern w:val="2"/>
          <w:shd w:val="clear" w:color="auto" w:fill="FFFFFF"/>
          <w:lang w:eastAsia="en-US"/>
          <w14:ligatures w14:val="standardContextual"/>
        </w:rPr>
        <w:t xml:space="preserve"> it raised </w:t>
      </w:r>
      <w:r w:rsidR="009023C6" w:rsidRPr="00CD1EFD">
        <w:rPr>
          <w:rFonts w:ascii="Arial" w:eastAsiaTheme="minorHAnsi" w:hAnsi="Arial" w:cs="Arial"/>
          <w:iCs/>
          <w:color w:val="242121"/>
          <w:kern w:val="2"/>
          <w:shd w:val="clear" w:color="auto" w:fill="FFFFFF"/>
          <w:lang w:eastAsia="en-US"/>
          <w14:ligatures w14:val="standardContextual"/>
        </w:rPr>
        <w:t>except for the order directing t</w:t>
      </w:r>
      <w:r w:rsidR="002E11B0">
        <w:rPr>
          <w:rFonts w:ascii="Arial" w:eastAsiaTheme="minorHAnsi" w:hAnsi="Arial" w:cs="Arial"/>
          <w:iCs/>
          <w:color w:val="242121"/>
          <w:kern w:val="2"/>
          <w:shd w:val="clear" w:color="auto" w:fill="FFFFFF"/>
          <w:lang w:eastAsia="en-US"/>
          <w14:ligatures w14:val="standardContextual"/>
        </w:rPr>
        <w:t xml:space="preserve">he appeal, </w:t>
      </w:r>
      <w:r w:rsidR="002E11B0" w:rsidRPr="00CD1EFD">
        <w:rPr>
          <w:rFonts w:ascii="Arial" w:eastAsiaTheme="minorHAnsi" w:hAnsi="Arial" w:cs="Arial"/>
          <w:iCs/>
          <w:color w:val="242121"/>
          <w:kern w:val="2"/>
          <w:shd w:val="clear" w:color="auto" w:fill="FFFFFF"/>
          <w:lang w:eastAsia="en-US"/>
          <w14:ligatures w14:val="standardContextual"/>
        </w:rPr>
        <w:t>if the matter is sent back for exhaustion of internal remedies</w:t>
      </w:r>
      <w:r w:rsidR="002E11B0">
        <w:rPr>
          <w:rFonts w:ascii="Arial" w:eastAsiaTheme="minorHAnsi" w:hAnsi="Arial" w:cs="Arial"/>
          <w:iCs/>
          <w:color w:val="242121"/>
          <w:kern w:val="2"/>
          <w:shd w:val="clear" w:color="auto" w:fill="FFFFFF"/>
          <w:lang w:eastAsia="en-US"/>
          <w14:ligatures w14:val="standardContextual"/>
        </w:rPr>
        <w:t>, to be decided by t</w:t>
      </w:r>
      <w:r w:rsidR="002E11B0" w:rsidRPr="00CD1EFD">
        <w:rPr>
          <w:rFonts w:ascii="Arial" w:eastAsiaTheme="minorHAnsi" w:hAnsi="Arial" w:cs="Arial"/>
          <w:iCs/>
          <w:color w:val="242121"/>
          <w:kern w:val="2"/>
          <w:shd w:val="clear" w:color="auto" w:fill="FFFFFF"/>
          <w:lang w:eastAsia="en-US"/>
          <w14:ligatures w14:val="standardContextual"/>
        </w:rPr>
        <w:t>he 3</w:t>
      </w:r>
      <w:r w:rsidR="002E11B0" w:rsidRPr="00CD1EFD">
        <w:rPr>
          <w:rFonts w:ascii="Arial" w:eastAsiaTheme="minorHAnsi" w:hAnsi="Arial" w:cs="Arial"/>
          <w:iCs/>
          <w:color w:val="242121"/>
          <w:kern w:val="2"/>
          <w:shd w:val="clear" w:color="auto" w:fill="FFFFFF"/>
          <w:vertAlign w:val="superscript"/>
          <w:lang w:eastAsia="en-US"/>
          <w14:ligatures w14:val="standardContextual"/>
        </w:rPr>
        <w:t>rd</w:t>
      </w:r>
      <w:r w:rsidR="002E11B0" w:rsidRPr="00CD1EFD">
        <w:rPr>
          <w:rFonts w:ascii="Arial" w:eastAsiaTheme="minorHAnsi" w:hAnsi="Arial" w:cs="Arial"/>
          <w:iCs/>
          <w:color w:val="242121"/>
          <w:kern w:val="2"/>
          <w:shd w:val="clear" w:color="auto" w:fill="FFFFFF"/>
          <w:lang w:eastAsia="en-US"/>
          <w14:ligatures w14:val="standardContextual"/>
        </w:rPr>
        <w:t xml:space="preserve"> Respondent</w:t>
      </w:r>
      <w:r w:rsidR="002E11B0">
        <w:rPr>
          <w:rFonts w:ascii="Arial" w:eastAsiaTheme="minorHAnsi" w:hAnsi="Arial" w:cs="Arial"/>
          <w:iCs/>
          <w:color w:val="242121"/>
          <w:kern w:val="2"/>
          <w:shd w:val="clear" w:color="auto" w:fill="FFFFFF"/>
          <w:lang w:eastAsia="en-US"/>
          <w14:ligatures w14:val="standardContextual"/>
        </w:rPr>
        <w:t xml:space="preserve"> and </w:t>
      </w:r>
      <w:r w:rsidR="009023C6" w:rsidRPr="00CD1EFD">
        <w:rPr>
          <w:rFonts w:ascii="Arial" w:eastAsiaTheme="minorHAnsi" w:hAnsi="Arial" w:cs="Arial"/>
          <w:iCs/>
          <w:color w:val="242121"/>
          <w:kern w:val="2"/>
          <w:shd w:val="clear" w:color="auto" w:fill="FFFFFF"/>
          <w:lang w:eastAsia="en-US"/>
          <w14:ligatures w14:val="standardContextual"/>
        </w:rPr>
        <w:t>within a certain period. Even though the merits have not been fully decided, the Applicant has for all intense and purposes not succeeded in its Application and therefore has to carry the costs.</w:t>
      </w:r>
      <w:r w:rsidR="000C5448" w:rsidRPr="00CD1EFD">
        <w:rPr>
          <w:rFonts w:ascii="Arial" w:eastAsiaTheme="minorHAnsi" w:hAnsi="Arial" w:cs="Arial"/>
          <w:iCs/>
          <w:color w:val="242121"/>
          <w:kern w:val="2"/>
          <w:shd w:val="clear" w:color="auto" w:fill="FFFFFF"/>
          <w:lang w:eastAsia="en-US"/>
          <w14:ligatures w14:val="standardContextual"/>
        </w:rPr>
        <w:t xml:space="preserve"> </w:t>
      </w:r>
    </w:p>
    <w:p w14:paraId="5DDF64D8" w14:textId="77777777" w:rsidR="00A11A29" w:rsidRDefault="00A11A29" w:rsidP="00DB4D3C">
      <w:pPr>
        <w:pStyle w:val="blockquote-x"/>
        <w:shd w:val="clear" w:color="auto" w:fill="FFFFFF"/>
        <w:spacing w:before="0" w:beforeAutospacing="0" w:after="0" w:afterAutospacing="0" w:line="360" w:lineRule="auto"/>
        <w:ind w:right="567"/>
        <w:jc w:val="both"/>
        <w:rPr>
          <w:rFonts w:ascii="Arial" w:hAnsi="Arial" w:cs="Arial"/>
          <w:color w:val="000000"/>
        </w:rPr>
      </w:pPr>
    </w:p>
    <w:p w14:paraId="0711EA86" w14:textId="42C1D112" w:rsidR="003C57F5" w:rsidRDefault="003C57F5" w:rsidP="00DB4D3C">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It is therefore ordered</w:t>
      </w:r>
      <w:r w:rsidR="00010FD6">
        <w:rPr>
          <w:rFonts w:ascii="Arial" w:hAnsi="Arial" w:cs="Arial"/>
          <w:color w:val="000000"/>
        </w:rPr>
        <w:t xml:space="preserve"> that:</w:t>
      </w:r>
    </w:p>
    <w:p w14:paraId="73DDBD76" w14:textId="6A1A1464" w:rsidR="003C57F5" w:rsidRDefault="003C57F5" w:rsidP="00DB4D3C">
      <w:pPr>
        <w:pStyle w:val="blockquote-x"/>
        <w:shd w:val="clear" w:color="auto" w:fill="FFFFFF"/>
        <w:spacing w:before="0" w:beforeAutospacing="0" w:after="0" w:afterAutospacing="0" w:line="360" w:lineRule="auto"/>
        <w:ind w:right="567"/>
        <w:jc w:val="both"/>
        <w:rPr>
          <w:rFonts w:ascii="Arial" w:hAnsi="Arial" w:cs="Arial"/>
          <w:color w:val="000000"/>
        </w:rPr>
      </w:pPr>
    </w:p>
    <w:p w14:paraId="5246F301" w14:textId="7E35E203" w:rsidR="002A5DAD" w:rsidRPr="00765E62" w:rsidRDefault="00765E62" w:rsidP="00765E62">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C57F5" w:rsidRPr="00765E62">
        <w:rPr>
          <w:rFonts w:ascii="Arial" w:hAnsi="Arial" w:cs="Arial"/>
          <w:color w:val="000000"/>
          <w:sz w:val="24"/>
          <w:szCs w:val="24"/>
        </w:rPr>
        <w:t xml:space="preserve">The </w:t>
      </w:r>
      <w:r w:rsidR="00CD1EFD" w:rsidRPr="00765E62">
        <w:rPr>
          <w:rFonts w:ascii="Arial" w:hAnsi="Arial" w:cs="Arial"/>
          <w:color w:val="000000"/>
          <w:sz w:val="24"/>
          <w:szCs w:val="24"/>
        </w:rPr>
        <w:t xml:space="preserve">Applicant </w:t>
      </w:r>
      <w:r w:rsidR="006468EE" w:rsidRPr="00765E62">
        <w:rPr>
          <w:rFonts w:ascii="Arial" w:hAnsi="Arial" w:cs="Arial"/>
          <w:color w:val="000000"/>
          <w:sz w:val="24"/>
          <w:szCs w:val="24"/>
        </w:rPr>
        <w:t xml:space="preserve">is ordered </w:t>
      </w:r>
      <w:r w:rsidR="00CD1EFD" w:rsidRPr="00765E62">
        <w:rPr>
          <w:rFonts w:ascii="Arial" w:hAnsi="Arial" w:cs="Arial"/>
          <w:color w:val="000000"/>
          <w:sz w:val="24"/>
          <w:szCs w:val="24"/>
        </w:rPr>
        <w:t xml:space="preserve">to exhaust the internal remedies, </w:t>
      </w:r>
      <w:r w:rsidR="006468EE" w:rsidRPr="00765E62">
        <w:rPr>
          <w:rFonts w:ascii="Arial" w:hAnsi="Arial" w:cs="Arial"/>
          <w:color w:val="000000"/>
          <w:sz w:val="24"/>
          <w:szCs w:val="24"/>
        </w:rPr>
        <w:t>and the matter is sent back to the 3</w:t>
      </w:r>
      <w:r w:rsidR="006468EE" w:rsidRPr="00765E62">
        <w:rPr>
          <w:rFonts w:ascii="Arial" w:hAnsi="Arial" w:cs="Arial"/>
          <w:color w:val="000000"/>
          <w:sz w:val="24"/>
          <w:szCs w:val="24"/>
          <w:vertAlign w:val="superscript"/>
        </w:rPr>
        <w:t>rd</w:t>
      </w:r>
      <w:r w:rsidR="006468EE" w:rsidRPr="00765E62">
        <w:rPr>
          <w:rFonts w:ascii="Arial" w:hAnsi="Arial" w:cs="Arial"/>
          <w:color w:val="000000"/>
          <w:sz w:val="24"/>
          <w:szCs w:val="24"/>
        </w:rPr>
        <w:t xml:space="preserve"> Respondent </w:t>
      </w:r>
      <w:r w:rsidR="00CD1EFD" w:rsidRPr="00765E62">
        <w:rPr>
          <w:rFonts w:ascii="Arial" w:hAnsi="Arial" w:cs="Arial"/>
          <w:color w:val="000000"/>
          <w:sz w:val="24"/>
          <w:szCs w:val="24"/>
        </w:rPr>
        <w:t>who i</w:t>
      </w:r>
      <w:r w:rsidR="00BC3DAD" w:rsidRPr="00765E62">
        <w:rPr>
          <w:rFonts w:ascii="Arial" w:hAnsi="Arial" w:cs="Arial"/>
          <w:color w:val="000000"/>
          <w:sz w:val="24"/>
          <w:szCs w:val="24"/>
        </w:rPr>
        <w:t xml:space="preserve">s </w:t>
      </w:r>
      <w:r w:rsidR="006468EE" w:rsidRPr="00765E62">
        <w:rPr>
          <w:rFonts w:ascii="Arial" w:hAnsi="Arial" w:cs="Arial"/>
          <w:color w:val="000000"/>
          <w:sz w:val="24"/>
          <w:szCs w:val="24"/>
        </w:rPr>
        <w:t xml:space="preserve">directed </w:t>
      </w:r>
      <w:r w:rsidR="00010FD6" w:rsidRPr="00765E62">
        <w:rPr>
          <w:rFonts w:ascii="Arial" w:hAnsi="Arial" w:cs="Arial"/>
          <w:sz w:val="24"/>
          <w:szCs w:val="24"/>
        </w:rPr>
        <w:t xml:space="preserve">to consider </w:t>
      </w:r>
      <w:r w:rsidR="007B0BF3" w:rsidRPr="00765E62">
        <w:rPr>
          <w:rFonts w:ascii="Arial" w:hAnsi="Arial" w:cs="Arial"/>
          <w:sz w:val="24"/>
          <w:szCs w:val="24"/>
        </w:rPr>
        <w:t xml:space="preserve">and decide </w:t>
      </w:r>
      <w:r w:rsidR="00BC3DAD" w:rsidRPr="00765E62">
        <w:rPr>
          <w:rFonts w:ascii="Arial" w:hAnsi="Arial" w:cs="Arial"/>
          <w:sz w:val="24"/>
          <w:szCs w:val="24"/>
        </w:rPr>
        <w:t>Applicant’s</w:t>
      </w:r>
      <w:r w:rsidR="00010FD6" w:rsidRPr="00765E62">
        <w:rPr>
          <w:rFonts w:ascii="Arial" w:hAnsi="Arial" w:cs="Arial"/>
          <w:sz w:val="24"/>
          <w:szCs w:val="24"/>
        </w:rPr>
        <w:t xml:space="preserve"> internal appeal within 30 days of the grant of this order, having regard to this Court’s judgement and to communicate his decision to DBCM within 10 days of it being taken;</w:t>
      </w:r>
    </w:p>
    <w:p w14:paraId="439A0982" w14:textId="78FE63C8" w:rsidR="00010FD6" w:rsidRPr="00010FD6" w:rsidRDefault="00010FD6" w:rsidP="002A5DAD">
      <w:pPr>
        <w:pStyle w:val="ListParagraph"/>
        <w:spacing w:after="0" w:line="360" w:lineRule="auto"/>
        <w:jc w:val="both"/>
        <w:rPr>
          <w:rFonts w:ascii="Arial" w:hAnsi="Arial" w:cs="Arial"/>
          <w:sz w:val="24"/>
          <w:szCs w:val="24"/>
        </w:rPr>
      </w:pPr>
      <w:r w:rsidRPr="00010FD6">
        <w:rPr>
          <w:rFonts w:ascii="Arial" w:hAnsi="Arial" w:cs="Arial"/>
          <w:sz w:val="24"/>
          <w:szCs w:val="24"/>
        </w:rPr>
        <w:t xml:space="preserve"> </w:t>
      </w:r>
    </w:p>
    <w:p w14:paraId="613C15BD" w14:textId="56B9CD2E" w:rsidR="00FB6FC0" w:rsidRDefault="00765E62" w:rsidP="00765E62">
      <w:pPr>
        <w:pStyle w:val="blockquote-x"/>
        <w:shd w:val="clear" w:color="auto" w:fill="FFFFFF"/>
        <w:spacing w:before="0" w:beforeAutospacing="0" w:after="0" w:afterAutospacing="0" w:line="360" w:lineRule="auto"/>
        <w:ind w:left="720" w:right="567" w:hanging="360"/>
        <w:jc w:val="both"/>
        <w:rPr>
          <w:rFonts w:ascii="Arial" w:hAnsi="Arial" w:cs="Arial"/>
          <w:color w:val="000000"/>
        </w:rPr>
      </w:pPr>
      <w:r>
        <w:rPr>
          <w:rFonts w:ascii="Arial" w:hAnsi="Arial" w:cs="Arial"/>
          <w:color w:val="000000"/>
        </w:rPr>
        <w:t>2.</w:t>
      </w:r>
      <w:r>
        <w:rPr>
          <w:rFonts w:ascii="Arial" w:hAnsi="Arial" w:cs="Arial"/>
          <w:color w:val="000000"/>
        </w:rPr>
        <w:tab/>
      </w:r>
      <w:r w:rsidR="00010FD6">
        <w:rPr>
          <w:rFonts w:ascii="Arial" w:hAnsi="Arial" w:cs="Arial"/>
          <w:color w:val="000000"/>
        </w:rPr>
        <w:t xml:space="preserve">The decision on the Appeal is to be taken in line with the </w:t>
      </w:r>
      <w:r w:rsidR="00781B5F">
        <w:rPr>
          <w:rFonts w:ascii="Arial" w:hAnsi="Arial" w:cs="Arial"/>
          <w:color w:val="000000"/>
        </w:rPr>
        <w:t xml:space="preserve">legislative framework </w:t>
      </w:r>
      <w:r w:rsidR="00EE5033">
        <w:rPr>
          <w:rFonts w:ascii="Arial" w:hAnsi="Arial" w:cs="Arial"/>
          <w:color w:val="000000"/>
        </w:rPr>
        <w:t>applicable</w:t>
      </w:r>
      <w:r w:rsidR="000C5448">
        <w:rPr>
          <w:rFonts w:ascii="Arial" w:hAnsi="Arial" w:cs="Arial"/>
          <w:color w:val="000000"/>
        </w:rPr>
        <w:t xml:space="preserve"> in respect of the C</w:t>
      </w:r>
      <w:r w:rsidR="00010FD6">
        <w:rPr>
          <w:rFonts w:ascii="Arial" w:hAnsi="Arial" w:cs="Arial"/>
          <w:color w:val="000000"/>
        </w:rPr>
        <w:t xml:space="preserve">losure </w:t>
      </w:r>
      <w:r w:rsidR="000C5448">
        <w:rPr>
          <w:rFonts w:ascii="Arial" w:hAnsi="Arial" w:cs="Arial"/>
          <w:color w:val="000000"/>
        </w:rPr>
        <w:t>A</w:t>
      </w:r>
      <w:r w:rsidR="00010FD6">
        <w:rPr>
          <w:rFonts w:ascii="Arial" w:hAnsi="Arial" w:cs="Arial"/>
          <w:color w:val="000000"/>
        </w:rPr>
        <w:t>pplication</w:t>
      </w:r>
      <w:r w:rsidR="000C5448">
        <w:rPr>
          <w:rFonts w:ascii="Arial" w:hAnsi="Arial" w:cs="Arial"/>
          <w:color w:val="000000"/>
        </w:rPr>
        <w:t>s</w:t>
      </w:r>
      <w:r w:rsidR="00010FD6">
        <w:rPr>
          <w:rFonts w:ascii="Arial" w:hAnsi="Arial" w:cs="Arial"/>
          <w:color w:val="000000"/>
        </w:rPr>
        <w:t xml:space="preserve"> </w:t>
      </w:r>
      <w:r w:rsidR="00182537">
        <w:rPr>
          <w:rFonts w:ascii="Arial" w:hAnsi="Arial" w:cs="Arial"/>
          <w:color w:val="000000"/>
        </w:rPr>
        <w:t>as</w:t>
      </w:r>
      <w:r w:rsidR="00EE5033">
        <w:rPr>
          <w:rFonts w:ascii="Arial" w:hAnsi="Arial" w:cs="Arial"/>
          <w:color w:val="000000"/>
        </w:rPr>
        <w:t xml:space="preserve"> </w:t>
      </w:r>
      <w:r w:rsidR="003F639D">
        <w:rPr>
          <w:rFonts w:ascii="Arial" w:hAnsi="Arial" w:cs="Arial"/>
          <w:color w:val="000000"/>
        </w:rPr>
        <w:t xml:space="preserve">it </w:t>
      </w:r>
      <w:r w:rsidR="00EE60FF">
        <w:rPr>
          <w:rFonts w:ascii="Arial" w:hAnsi="Arial" w:cs="Arial"/>
          <w:color w:val="000000"/>
        </w:rPr>
        <w:t xml:space="preserve">presently </w:t>
      </w:r>
      <w:r w:rsidR="007B0BF3">
        <w:rPr>
          <w:rFonts w:ascii="Arial" w:hAnsi="Arial" w:cs="Arial"/>
          <w:color w:val="000000"/>
        </w:rPr>
        <w:t>exist</w:t>
      </w:r>
      <w:r w:rsidR="003F639D">
        <w:rPr>
          <w:rFonts w:ascii="Arial" w:hAnsi="Arial" w:cs="Arial"/>
          <w:color w:val="000000"/>
        </w:rPr>
        <w:t>s</w:t>
      </w:r>
      <w:r w:rsidR="007B0BF3">
        <w:rPr>
          <w:rFonts w:ascii="Arial" w:hAnsi="Arial" w:cs="Arial"/>
          <w:color w:val="000000"/>
        </w:rPr>
        <w:t xml:space="preserve"> </w:t>
      </w:r>
      <w:r w:rsidR="00EE5033">
        <w:rPr>
          <w:rFonts w:ascii="Arial" w:hAnsi="Arial" w:cs="Arial"/>
          <w:color w:val="000000"/>
        </w:rPr>
        <w:t xml:space="preserve">(that is </w:t>
      </w:r>
      <w:r w:rsidR="00182537">
        <w:rPr>
          <w:rFonts w:ascii="Arial" w:hAnsi="Arial" w:cs="Arial"/>
          <w:color w:val="000000"/>
        </w:rPr>
        <w:t>per s 43 of the amended MPRDA</w:t>
      </w:r>
      <w:r w:rsidR="00EE5033">
        <w:rPr>
          <w:rFonts w:ascii="Arial" w:hAnsi="Arial" w:cs="Arial"/>
          <w:color w:val="000000"/>
        </w:rPr>
        <w:t>)</w:t>
      </w:r>
      <w:r w:rsidR="00FB6FC0">
        <w:rPr>
          <w:rFonts w:ascii="Arial" w:hAnsi="Arial" w:cs="Arial"/>
          <w:color w:val="000000"/>
        </w:rPr>
        <w:t>.</w:t>
      </w:r>
    </w:p>
    <w:p w14:paraId="1BB21EFC" w14:textId="1B119210" w:rsidR="000C5448" w:rsidRDefault="000C5448" w:rsidP="000C5448">
      <w:pPr>
        <w:pStyle w:val="blockquote-x"/>
        <w:shd w:val="clear" w:color="auto" w:fill="FFFFFF"/>
        <w:spacing w:before="0" w:beforeAutospacing="0" w:after="0" w:afterAutospacing="0" w:line="360" w:lineRule="auto"/>
        <w:ind w:left="360" w:right="567"/>
        <w:jc w:val="both"/>
        <w:rPr>
          <w:rFonts w:ascii="Arial" w:hAnsi="Arial" w:cs="Arial"/>
          <w:color w:val="000000"/>
        </w:rPr>
      </w:pPr>
    </w:p>
    <w:p w14:paraId="0C1D393F" w14:textId="28E79131" w:rsidR="000C5448" w:rsidRDefault="00765E62" w:rsidP="00765E62">
      <w:pPr>
        <w:pStyle w:val="blockquote-x"/>
        <w:shd w:val="clear" w:color="auto" w:fill="FFFFFF"/>
        <w:spacing w:before="0" w:beforeAutospacing="0" w:after="0" w:afterAutospacing="0" w:line="360" w:lineRule="auto"/>
        <w:ind w:left="720" w:right="567" w:hanging="360"/>
        <w:jc w:val="both"/>
        <w:rPr>
          <w:rFonts w:ascii="Arial" w:hAnsi="Arial" w:cs="Arial"/>
          <w:color w:val="000000"/>
        </w:rPr>
      </w:pPr>
      <w:r>
        <w:rPr>
          <w:rFonts w:ascii="Arial" w:hAnsi="Arial" w:cs="Arial"/>
          <w:color w:val="000000"/>
        </w:rPr>
        <w:t>3.</w:t>
      </w:r>
      <w:r>
        <w:rPr>
          <w:rFonts w:ascii="Arial" w:hAnsi="Arial" w:cs="Arial"/>
          <w:color w:val="000000"/>
        </w:rPr>
        <w:tab/>
      </w:r>
      <w:r w:rsidR="000C5448">
        <w:rPr>
          <w:rFonts w:ascii="Arial" w:hAnsi="Arial" w:cs="Arial"/>
          <w:color w:val="000000"/>
        </w:rPr>
        <w:t>The Applicant to pay the costs</w:t>
      </w:r>
      <w:r w:rsidR="00C116F4">
        <w:rPr>
          <w:rFonts w:ascii="Arial" w:hAnsi="Arial" w:cs="Arial"/>
          <w:color w:val="000000"/>
        </w:rPr>
        <w:t xml:space="preserve"> of the Application including the costs of two Counsel</w:t>
      </w:r>
      <w:r w:rsidR="005E5C0A">
        <w:rPr>
          <w:rFonts w:ascii="Arial" w:hAnsi="Arial" w:cs="Arial"/>
          <w:color w:val="000000"/>
        </w:rPr>
        <w:t xml:space="preserve">. </w:t>
      </w:r>
      <w:r w:rsidR="00C116F4">
        <w:rPr>
          <w:rFonts w:ascii="Arial" w:hAnsi="Arial" w:cs="Arial"/>
          <w:color w:val="000000"/>
        </w:rPr>
        <w:t xml:space="preserve"> </w:t>
      </w:r>
      <w:r w:rsidR="000C5448">
        <w:rPr>
          <w:rFonts w:ascii="Arial" w:hAnsi="Arial" w:cs="Arial"/>
          <w:color w:val="000000"/>
        </w:rPr>
        <w:t xml:space="preserve"> </w:t>
      </w:r>
    </w:p>
    <w:p w14:paraId="350F360B" w14:textId="77777777" w:rsidR="000C5448" w:rsidRDefault="000C5448" w:rsidP="000C5448">
      <w:pPr>
        <w:pStyle w:val="blockquote-x"/>
        <w:shd w:val="clear" w:color="auto" w:fill="FFFFFF"/>
        <w:spacing w:before="0" w:beforeAutospacing="0" w:after="0" w:afterAutospacing="0" w:line="360" w:lineRule="auto"/>
        <w:ind w:left="720" w:right="567"/>
        <w:jc w:val="both"/>
        <w:rPr>
          <w:rFonts w:ascii="Arial" w:hAnsi="Arial" w:cs="Arial"/>
          <w:color w:val="000000"/>
        </w:rPr>
      </w:pPr>
    </w:p>
    <w:p w14:paraId="170E0406" w14:textId="7450F1FB" w:rsidR="003C57F5" w:rsidRPr="00FB6FC0" w:rsidRDefault="00182537" w:rsidP="000C5448">
      <w:pPr>
        <w:pStyle w:val="blockquote-x"/>
        <w:shd w:val="clear" w:color="auto" w:fill="FFFFFF"/>
        <w:spacing w:before="0" w:beforeAutospacing="0" w:after="0" w:afterAutospacing="0" w:line="360" w:lineRule="auto"/>
        <w:ind w:right="567"/>
        <w:jc w:val="both"/>
        <w:rPr>
          <w:rFonts w:ascii="Arial" w:hAnsi="Arial" w:cs="Arial"/>
          <w:color w:val="000000"/>
        </w:rPr>
      </w:pPr>
      <w:r w:rsidRPr="00FB6FC0">
        <w:rPr>
          <w:rFonts w:ascii="Arial" w:hAnsi="Arial" w:cs="Arial"/>
          <w:color w:val="000000"/>
        </w:rPr>
        <w:t xml:space="preserve"> </w:t>
      </w:r>
    </w:p>
    <w:p w14:paraId="75055B7E" w14:textId="77777777" w:rsidR="003C57F5" w:rsidRDefault="003C57F5" w:rsidP="003C57F5">
      <w:pPr>
        <w:pStyle w:val="blockquote-x"/>
        <w:shd w:val="clear" w:color="auto" w:fill="FFFFFF"/>
        <w:spacing w:before="0" w:beforeAutospacing="0" w:after="0" w:afterAutospacing="0" w:line="360" w:lineRule="auto"/>
        <w:ind w:left="5760" w:right="567"/>
        <w:jc w:val="both"/>
        <w:rPr>
          <w:rFonts w:ascii="Arial" w:hAnsi="Arial" w:cs="Arial"/>
          <w:color w:val="000000"/>
        </w:rPr>
      </w:pPr>
    </w:p>
    <w:p w14:paraId="43F391A1" w14:textId="77777777" w:rsidR="003C57F5" w:rsidRDefault="003C57F5" w:rsidP="003C57F5">
      <w:pPr>
        <w:pStyle w:val="blockquote-x"/>
        <w:shd w:val="clear" w:color="auto" w:fill="FFFFFF"/>
        <w:spacing w:before="0" w:beforeAutospacing="0" w:after="0" w:afterAutospacing="0" w:line="360" w:lineRule="auto"/>
        <w:ind w:left="5760" w:right="567"/>
        <w:jc w:val="both"/>
        <w:rPr>
          <w:rFonts w:ascii="Arial" w:hAnsi="Arial" w:cs="Arial"/>
          <w:color w:val="000000"/>
        </w:rPr>
      </w:pPr>
    </w:p>
    <w:p w14:paraId="6E7B607D" w14:textId="666D33F7" w:rsidR="003C57F5" w:rsidRDefault="003C57F5" w:rsidP="003C57F5">
      <w:pPr>
        <w:pStyle w:val="blockquote-x"/>
        <w:shd w:val="clear" w:color="auto" w:fill="FFFFFF"/>
        <w:spacing w:before="0" w:beforeAutospacing="0" w:after="0" w:afterAutospacing="0" w:line="360" w:lineRule="auto"/>
        <w:ind w:left="5040" w:right="567" w:firstLine="720"/>
        <w:jc w:val="both"/>
        <w:rPr>
          <w:rFonts w:ascii="Arial" w:hAnsi="Arial" w:cs="Arial"/>
          <w:color w:val="000000"/>
        </w:rPr>
      </w:pPr>
      <w:r>
        <w:rPr>
          <w:rFonts w:ascii="Arial" w:hAnsi="Arial" w:cs="Arial"/>
          <w:color w:val="000000"/>
        </w:rPr>
        <w:t>____________________</w:t>
      </w:r>
    </w:p>
    <w:p w14:paraId="03C2CBD2" w14:textId="77777777" w:rsidR="003C57F5" w:rsidRPr="003C57F5" w:rsidRDefault="003C57F5" w:rsidP="003C57F5">
      <w:pPr>
        <w:pStyle w:val="blockquote-x"/>
        <w:shd w:val="clear" w:color="auto" w:fill="FFFFFF"/>
        <w:spacing w:before="0" w:beforeAutospacing="0" w:after="0" w:afterAutospacing="0" w:line="360" w:lineRule="auto"/>
        <w:ind w:left="5040" w:right="567" w:firstLine="720"/>
        <w:jc w:val="both"/>
        <w:rPr>
          <w:rFonts w:ascii="Arial" w:hAnsi="Arial" w:cs="Arial"/>
          <w:b/>
          <w:color w:val="000000"/>
        </w:rPr>
      </w:pPr>
      <w:r w:rsidRPr="003C57F5">
        <w:rPr>
          <w:rFonts w:ascii="Arial" w:hAnsi="Arial" w:cs="Arial"/>
          <w:b/>
          <w:color w:val="000000"/>
        </w:rPr>
        <w:t>N V Khumalo</w:t>
      </w:r>
    </w:p>
    <w:p w14:paraId="075BD152" w14:textId="77777777" w:rsidR="003C57F5" w:rsidRPr="003C57F5" w:rsidRDefault="003C57F5" w:rsidP="003C57F5">
      <w:pPr>
        <w:pStyle w:val="blockquote-x"/>
        <w:shd w:val="clear" w:color="auto" w:fill="FFFFFF"/>
        <w:spacing w:before="0" w:beforeAutospacing="0" w:after="0" w:afterAutospacing="0" w:line="360" w:lineRule="auto"/>
        <w:ind w:left="5040" w:right="567" w:firstLine="720"/>
        <w:jc w:val="both"/>
        <w:rPr>
          <w:rFonts w:ascii="Arial" w:hAnsi="Arial" w:cs="Arial"/>
          <w:b/>
          <w:color w:val="000000"/>
        </w:rPr>
      </w:pPr>
      <w:r w:rsidRPr="003C57F5">
        <w:rPr>
          <w:rFonts w:ascii="Arial" w:hAnsi="Arial" w:cs="Arial"/>
          <w:b/>
          <w:color w:val="000000"/>
        </w:rPr>
        <w:t>Judge of the High Court</w:t>
      </w:r>
    </w:p>
    <w:p w14:paraId="424F5311" w14:textId="164FB6DB" w:rsidR="003C57F5" w:rsidRPr="003C57F5" w:rsidRDefault="003C57F5" w:rsidP="003C57F5">
      <w:pPr>
        <w:pStyle w:val="blockquote-x"/>
        <w:shd w:val="clear" w:color="auto" w:fill="FFFFFF"/>
        <w:spacing w:before="0" w:beforeAutospacing="0" w:after="0" w:afterAutospacing="0" w:line="360" w:lineRule="auto"/>
        <w:ind w:left="4320" w:right="567" w:firstLine="720"/>
        <w:jc w:val="both"/>
        <w:rPr>
          <w:rFonts w:ascii="Arial" w:hAnsi="Arial" w:cs="Arial"/>
          <w:b/>
          <w:color w:val="000000"/>
        </w:rPr>
      </w:pPr>
      <w:r>
        <w:rPr>
          <w:rFonts w:ascii="Arial" w:hAnsi="Arial" w:cs="Arial"/>
          <w:b/>
          <w:color w:val="000000"/>
        </w:rPr>
        <w:t xml:space="preserve">      </w:t>
      </w:r>
      <w:r w:rsidRPr="003C57F5">
        <w:rPr>
          <w:rFonts w:ascii="Arial" w:hAnsi="Arial" w:cs="Arial"/>
          <w:b/>
          <w:color w:val="000000"/>
        </w:rPr>
        <w:t xml:space="preserve">Gauteng Division, Pretoria </w:t>
      </w:r>
    </w:p>
    <w:p w14:paraId="77B40DE3"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p>
    <w:p w14:paraId="6C45CF52" w14:textId="19AB7596"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 xml:space="preserve">For the Applicant: </w:t>
      </w:r>
      <w:r>
        <w:rPr>
          <w:rFonts w:ascii="Arial" w:hAnsi="Arial" w:cs="Arial"/>
          <w:color w:val="000000"/>
        </w:rPr>
        <w:tab/>
      </w:r>
      <w:r>
        <w:rPr>
          <w:rFonts w:ascii="Arial" w:hAnsi="Arial" w:cs="Arial"/>
          <w:color w:val="000000"/>
        </w:rPr>
        <w:tab/>
        <w:t xml:space="preserve">Loxton S C </w:t>
      </w:r>
    </w:p>
    <w:p w14:paraId="45DCA5B1"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 J Daniell</w:t>
      </w:r>
    </w:p>
    <w:p w14:paraId="61CABF60" w14:textId="1D4F3340"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0" w:history="1">
        <w:r w:rsidRPr="00A4129B">
          <w:rPr>
            <w:rStyle w:val="Hyperlink"/>
            <w:rFonts w:ascii="Arial" w:hAnsi="Arial" w:cs="Arial"/>
          </w:rPr>
          <w:t>loxton@counsel.co.za</w:t>
        </w:r>
      </w:hyperlink>
      <w:r>
        <w:rPr>
          <w:rFonts w:ascii="Arial" w:hAnsi="Arial" w:cs="Arial"/>
          <w:color w:val="000000"/>
        </w:rPr>
        <w:t xml:space="preserve"> / </w:t>
      </w:r>
      <w:hyperlink r:id="rId11" w:history="1">
        <w:r w:rsidRPr="00A4129B">
          <w:rPr>
            <w:rStyle w:val="Hyperlink"/>
            <w:rFonts w:ascii="Arial" w:hAnsi="Arial" w:cs="Arial"/>
          </w:rPr>
          <w:t>pjd@counsel.co.za</w:t>
        </w:r>
      </w:hyperlink>
      <w:r>
        <w:rPr>
          <w:rFonts w:ascii="Arial" w:hAnsi="Arial" w:cs="Arial"/>
          <w:color w:val="000000"/>
        </w:rPr>
        <w:t xml:space="preserve">  </w:t>
      </w:r>
    </w:p>
    <w:p w14:paraId="7E767189"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 xml:space="preserve">Instructed by: </w:t>
      </w:r>
      <w:r>
        <w:rPr>
          <w:rFonts w:ascii="Arial" w:hAnsi="Arial" w:cs="Arial"/>
          <w:color w:val="000000"/>
        </w:rPr>
        <w:tab/>
      </w:r>
      <w:r>
        <w:rPr>
          <w:rFonts w:ascii="Arial" w:hAnsi="Arial" w:cs="Arial"/>
          <w:color w:val="000000"/>
        </w:rPr>
        <w:tab/>
        <w:t>Bowmans</w:t>
      </w:r>
    </w:p>
    <w:p w14:paraId="45667B48" w14:textId="7EB096DB"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hyperlink r:id="rId12" w:history="1">
        <w:r w:rsidRPr="00A4129B">
          <w:rPr>
            <w:rStyle w:val="Hyperlink"/>
            <w:rFonts w:ascii="Arial" w:hAnsi="Arial" w:cs="Arial"/>
          </w:rPr>
          <w:t>wandisile.mandlana@bowmanslaw.com</w:t>
        </w:r>
      </w:hyperlink>
    </w:p>
    <w:p w14:paraId="6326D611" w14:textId="211EBE26"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3" w:history="1">
        <w:r w:rsidRPr="00A4129B">
          <w:rPr>
            <w:rStyle w:val="Hyperlink"/>
            <w:rFonts w:ascii="Arial" w:hAnsi="Arial" w:cs="Arial"/>
          </w:rPr>
          <w:t>kabelwa.chisaka@bowmnslaw.com</w:t>
        </w:r>
      </w:hyperlink>
      <w:r>
        <w:rPr>
          <w:rFonts w:ascii="Arial" w:hAnsi="Arial" w:cs="Arial"/>
          <w:color w:val="000000"/>
        </w:rPr>
        <w:t xml:space="preserve"> </w:t>
      </w:r>
    </w:p>
    <w:p w14:paraId="776529A2" w14:textId="4A2A78FC"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p>
    <w:p w14:paraId="5A704964" w14:textId="65D51BC8"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p>
    <w:p w14:paraId="382496B5" w14:textId="5D17532B"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 xml:space="preserve">For the Respondents: </w:t>
      </w:r>
      <w:r>
        <w:rPr>
          <w:rFonts w:ascii="Arial" w:hAnsi="Arial" w:cs="Arial"/>
          <w:color w:val="000000"/>
        </w:rPr>
        <w:tab/>
        <w:t>L Gumbi SC</w:t>
      </w:r>
    </w:p>
    <w:p w14:paraId="62DE7C0D" w14:textId="1FABF79D"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Sthando Kunene</w:t>
      </w:r>
    </w:p>
    <w:p w14:paraId="2347125C" w14:textId="6FEF95F6"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4" w:history="1">
        <w:r w:rsidRPr="00A4129B">
          <w:rPr>
            <w:rStyle w:val="Hyperlink"/>
            <w:rFonts w:ascii="Arial" w:hAnsi="Arial" w:cs="Arial"/>
          </w:rPr>
          <w:t>advgumbi@gmail.com</w:t>
        </w:r>
      </w:hyperlink>
      <w:r>
        <w:rPr>
          <w:rFonts w:ascii="Arial" w:hAnsi="Arial" w:cs="Arial"/>
          <w:color w:val="000000"/>
        </w:rPr>
        <w:t xml:space="preserve"> / </w:t>
      </w:r>
      <w:hyperlink r:id="rId15" w:history="1">
        <w:r w:rsidRPr="00A4129B">
          <w:rPr>
            <w:rStyle w:val="Hyperlink"/>
            <w:rFonts w:ascii="Arial" w:hAnsi="Arial" w:cs="Arial"/>
          </w:rPr>
          <w:t>kunene@counsel.co.za</w:t>
        </w:r>
      </w:hyperlink>
      <w:r>
        <w:rPr>
          <w:rFonts w:ascii="Arial" w:hAnsi="Arial" w:cs="Arial"/>
          <w:color w:val="000000"/>
        </w:rPr>
        <w:t xml:space="preserve"> </w:t>
      </w:r>
    </w:p>
    <w:p w14:paraId="3BA33984" w14:textId="77777777"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Instructed by:</w:t>
      </w:r>
      <w:r>
        <w:rPr>
          <w:rFonts w:ascii="Arial" w:hAnsi="Arial" w:cs="Arial"/>
          <w:color w:val="000000"/>
        </w:rPr>
        <w:tab/>
      </w:r>
      <w:r>
        <w:rPr>
          <w:rFonts w:ascii="Arial" w:hAnsi="Arial" w:cs="Arial"/>
          <w:color w:val="000000"/>
        </w:rPr>
        <w:tab/>
        <w:t xml:space="preserve">The State Attorney Pretoria </w:t>
      </w:r>
    </w:p>
    <w:p w14:paraId="725249AE" w14:textId="774BDE1D"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6" w:history="1">
        <w:r w:rsidRPr="00A4129B">
          <w:rPr>
            <w:rStyle w:val="Hyperlink"/>
            <w:rFonts w:ascii="Arial" w:hAnsi="Arial" w:cs="Arial"/>
          </w:rPr>
          <w:t>siMathebula@justice.gov.za</w:t>
        </w:r>
      </w:hyperlink>
    </w:p>
    <w:p w14:paraId="3B97C5B0" w14:textId="51A2EC5B" w:rsidR="003C57F5" w:rsidRDefault="003C57F5" w:rsidP="003C57F5">
      <w:pPr>
        <w:pStyle w:val="blockquote-x"/>
        <w:shd w:val="clear" w:color="auto" w:fill="FFFFFF"/>
        <w:spacing w:before="0" w:beforeAutospacing="0" w:after="0" w:afterAutospacing="0" w:line="360" w:lineRule="auto"/>
        <w:ind w:right="567"/>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14:paraId="058D2B68" w14:textId="5CBF5C3F" w:rsidR="003C57F5" w:rsidRDefault="003C57F5" w:rsidP="003C57F5">
      <w:pPr>
        <w:pStyle w:val="blockquote-x"/>
        <w:shd w:val="clear" w:color="auto" w:fill="FFFFFF"/>
        <w:spacing w:before="0" w:beforeAutospacing="0" w:after="0" w:afterAutospacing="0" w:line="360" w:lineRule="auto"/>
        <w:ind w:left="6480" w:right="567"/>
        <w:jc w:val="both"/>
        <w:rPr>
          <w:rFonts w:ascii="Arial" w:hAnsi="Arial" w:cs="Arial"/>
          <w:color w:val="000000"/>
        </w:rPr>
      </w:pPr>
    </w:p>
    <w:sectPr w:rsidR="003C57F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909F" w14:textId="77777777" w:rsidR="00DF1FFC" w:rsidRDefault="00DF1FFC" w:rsidP="002F0ABA">
      <w:pPr>
        <w:spacing w:after="0" w:line="240" w:lineRule="auto"/>
      </w:pPr>
      <w:r>
        <w:separator/>
      </w:r>
    </w:p>
  </w:endnote>
  <w:endnote w:type="continuationSeparator" w:id="0">
    <w:p w14:paraId="15D00591" w14:textId="77777777" w:rsidR="00DF1FFC" w:rsidRDefault="00DF1FFC" w:rsidP="002F0ABA">
      <w:pPr>
        <w:spacing w:after="0" w:line="240" w:lineRule="auto"/>
      </w:pPr>
      <w:r>
        <w:continuationSeparator/>
      </w:r>
    </w:p>
  </w:endnote>
  <w:endnote w:type="continuationNotice" w:id="1">
    <w:p w14:paraId="049F6DCE" w14:textId="77777777" w:rsidR="00DF1FFC" w:rsidRDefault="00DF1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186367"/>
      <w:docPartObj>
        <w:docPartGallery w:val="Page Numbers (Bottom of Page)"/>
        <w:docPartUnique/>
      </w:docPartObj>
    </w:sdtPr>
    <w:sdtEndPr>
      <w:rPr>
        <w:color w:val="7F7F7F" w:themeColor="background1" w:themeShade="7F"/>
        <w:spacing w:val="60"/>
      </w:rPr>
    </w:sdtEndPr>
    <w:sdtContent>
      <w:p w14:paraId="03034127" w14:textId="3AE7F0AA" w:rsidR="002A5DAD" w:rsidRDefault="002A5D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5E62" w:rsidRPr="00765E62">
          <w:rPr>
            <w:b/>
            <w:bCs/>
            <w:noProof/>
          </w:rPr>
          <w:t>2</w:t>
        </w:r>
        <w:r>
          <w:rPr>
            <w:b/>
            <w:bCs/>
            <w:noProof/>
          </w:rPr>
          <w:fldChar w:fldCharType="end"/>
        </w:r>
        <w:r>
          <w:rPr>
            <w:b/>
            <w:bCs/>
          </w:rPr>
          <w:t xml:space="preserve"> | </w:t>
        </w:r>
        <w:r>
          <w:rPr>
            <w:color w:val="7F7F7F" w:themeColor="background1" w:themeShade="7F"/>
            <w:spacing w:val="60"/>
          </w:rPr>
          <w:t>Page</w:t>
        </w:r>
      </w:p>
    </w:sdtContent>
  </w:sdt>
  <w:p w14:paraId="6AAD94BB" w14:textId="77777777" w:rsidR="002A5DAD" w:rsidRDefault="002A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87F9" w14:textId="77777777" w:rsidR="00DF1FFC" w:rsidRDefault="00DF1FFC" w:rsidP="002F0ABA">
      <w:pPr>
        <w:spacing w:after="0" w:line="240" w:lineRule="auto"/>
      </w:pPr>
      <w:r>
        <w:separator/>
      </w:r>
    </w:p>
  </w:footnote>
  <w:footnote w:type="continuationSeparator" w:id="0">
    <w:p w14:paraId="20E2711C" w14:textId="77777777" w:rsidR="00DF1FFC" w:rsidRDefault="00DF1FFC" w:rsidP="002F0ABA">
      <w:pPr>
        <w:spacing w:after="0" w:line="240" w:lineRule="auto"/>
      </w:pPr>
      <w:r>
        <w:continuationSeparator/>
      </w:r>
    </w:p>
  </w:footnote>
  <w:footnote w:type="continuationNotice" w:id="1">
    <w:p w14:paraId="44782E32" w14:textId="77777777" w:rsidR="00DF1FFC" w:rsidRDefault="00DF1FFC">
      <w:pPr>
        <w:spacing w:after="0" w:line="240" w:lineRule="auto"/>
      </w:pPr>
    </w:p>
  </w:footnote>
  <w:footnote w:id="2">
    <w:p w14:paraId="1290E7DB" w14:textId="77777777" w:rsidR="002A5DAD" w:rsidRPr="001E15C4" w:rsidRDefault="002A5DAD" w:rsidP="00C56E6B">
      <w:pPr>
        <w:pStyle w:val="FootnoteText"/>
        <w:rPr>
          <w:rFonts w:ascii="Arial" w:hAnsi="Arial" w:cs="Arial"/>
        </w:rPr>
      </w:pPr>
      <w:r w:rsidRPr="000A1C72">
        <w:rPr>
          <w:rStyle w:val="FootnoteReference"/>
          <w:rFonts w:ascii="Arial" w:hAnsi="Arial" w:cs="Arial"/>
        </w:rPr>
        <w:footnoteRef/>
      </w:r>
      <w:r w:rsidRPr="000A1C72">
        <w:rPr>
          <w:rFonts w:ascii="Arial" w:hAnsi="Arial" w:cs="Arial"/>
        </w:rPr>
        <w:t xml:space="preserve"> </w:t>
      </w:r>
      <w:r w:rsidRPr="001E15C4">
        <w:rPr>
          <w:rFonts w:ascii="Arial" w:hAnsi="Arial" w:cs="Arial"/>
        </w:rPr>
        <w:t xml:space="preserve">Ezulwini Mining Company (Pty) Ltd v Minister of Mineral Resources and Energy and others 2023 JDR 1815 (SCA). </w:t>
      </w:r>
    </w:p>
  </w:footnote>
  <w:footnote w:id="3">
    <w:p w14:paraId="346474CA" w14:textId="552BA5FC" w:rsidR="002A5DAD" w:rsidRPr="001E15C4" w:rsidRDefault="002A5DAD" w:rsidP="003531EF">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 xml:space="preserve">Ibid </w:t>
      </w:r>
      <w:r w:rsidRPr="001E15C4">
        <w:rPr>
          <w:rFonts w:ascii="Arial" w:hAnsi="Arial" w:cs="Arial"/>
        </w:rPr>
        <w:t>at section 2 (h) of the Mineral and Petroleum Resources Development Act</w:t>
      </w:r>
      <w:r>
        <w:rPr>
          <w:rFonts w:ascii="Arial" w:hAnsi="Arial" w:cs="Arial"/>
        </w:rPr>
        <w:t xml:space="preserve"> 28 OF 2000</w:t>
      </w:r>
      <w:r w:rsidRPr="001E15C4">
        <w:rPr>
          <w:rFonts w:ascii="Arial" w:hAnsi="Arial" w:cs="Arial"/>
        </w:rPr>
        <w:t xml:space="preserve">. </w:t>
      </w:r>
    </w:p>
  </w:footnote>
  <w:footnote w:id="4">
    <w:p w14:paraId="65519A8A" w14:textId="1ED25A76" w:rsidR="002A5DAD" w:rsidRPr="007B4301" w:rsidRDefault="002A5DAD" w:rsidP="007B4301">
      <w:pPr>
        <w:pStyle w:val="FootnoteText"/>
        <w:rPr>
          <w:lang w:val="en-US"/>
        </w:rPr>
      </w:pPr>
      <w:r>
        <w:rPr>
          <w:rStyle w:val="FootnoteReference"/>
        </w:rPr>
        <w:footnoteRef/>
      </w:r>
      <w:r>
        <w:t xml:space="preserve"> </w:t>
      </w:r>
      <w:r>
        <w:rPr>
          <w:lang w:val="en-US"/>
        </w:rPr>
        <w:t xml:space="preserve">Item 10 (1) in Schedule II states that </w:t>
      </w:r>
      <w:r w:rsidRPr="007B4301">
        <w:rPr>
          <w:rFonts w:cstheme="minorHAnsi"/>
          <w:sz w:val="24"/>
          <w:szCs w:val="24"/>
        </w:rPr>
        <w:t>“</w:t>
      </w:r>
      <w:r w:rsidRPr="007B4301">
        <w:rPr>
          <w:rFonts w:cstheme="minorHAnsi"/>
        </w:rPr>
        <w:t>any environmental management programme approved in terms of s 39 (1) of the Minerals Act and in force immediately before the MPRDA took effect and any steps in respect of the relevant performance assessment and duty to monitor connected with the environmental management programme continues to remain in force when [the MPRDA] comes into effect</w:t>
      </w:r>
      <w:r w:rsidR="006D169A">
        <w:rPr>
          <w:rFonts w:cstheme="minorHAnsi"/>
        </w:rPr>
        <w:t>.”</w:t>
      </w:r>
      <w:r>
        <w:rPr>
          <w:rFonts w:ascii="Arial" w:hAnsi="Arial" w:cs="Arial"/>
          <w:sz w:val="24"/>
          <w:szCs w:val="24"/>
        </w:rPr>
        <w:t xml:space="preserve"> </w:t>
      </w:r>
      <w:r>
        <w:rPr>
          <w:lang w:val="en-US"/>
        </w:rPr>
        <w:t xml:space="preserve"> </w:t>
      </w:r>
    </w:p>
  </w:footnote>
  <w:footnote w:id="5">
    <w:p w14:paraId="5522A908" w14:textId="3DF864B2" w:rsidR="002A5DAD" w:rsidRPr="00F752F2" w:rsidRDefault="002A5DAD">
      <w:pPr>
        <w:pStyle w:val="FootnoteText"/>
        <w:rPr>
          <w:lang w:val="en-US"/>
        </w:rPr>
      </w:pPr>
      <w:r>
        <w:rPr>
          <w:rStyle w:val="FootnoteReference"/>
        </w:rPr>
        <w:footnoteRef/>
      </w:r>
      <w:r>
        <w:t xml:space="preserve"> Section 43 (3) reads: “The holder of a prospecting right, mining right, retention permit or mining permit or the person contemplated in subsection (2), as the case may be, must apply for a closure certificate upon- (a) the lapsing, abandonment or cancellation of the right or permit in question; (b) cessation of the prospecting or mining operation; (c) the relinquishment of any portion of the prospecting of the land to which a right, permit or permission relate; or (d) completion of the prescribed closing plan to which a right, permit or permission relate.”</w:t>
      </w:r>
    </w:p>
  </w:footnote>
  <w:footnote w:id="6">
    <w:p w14:paraId="06A5716D" w14:textId="77777777" w:rsidR="002A5DAD" w:rsidRDefault="002A5DAD" w:rsidP="0065781F">
      <w:pPr>
        <w:spacing w:after="0" w:line="240" w:lineRule="atLeast"/>
        <w:jc w:val="both"/>
        <w:rPr>
          <w:rFonts w:ascii="Arial" w:hAnsi="Arial" w:cs="Arial"/>
          <w:sz w:val="24"/>
          <w:szCs w:val="24"/>
        </w:rPr>
      </w:pPr>
      <w:r>
        <w:rPr>
          <w:rStyle w:val="FootnoteReference"/>
        </w:rPr>
        <w:footnoteRef/>
      </w:r>
      <w:r>
        <w:t xml:space="preserve"> </w:t>
      </w:r>
      <w:r w:rsidRPr="0065781F">
        <w:rPr>
          <w:sz w:val="20"/>
          <w:szCs w:val="20"/>
        </w:rPr>
        <w:t>Section 24R (1) of NEMA, introduced on 08 December 2014, provides that: “(1) Every holder, holder of an old order right and owner of works remains responsible for any environmental liability, pollution or ecological degradation, the pumping and treatment of polluted or extraneous water, the management and sustainable closure thereof, notwithstanding the issuing of a closure certificate by the Minister responsible for mineral resources in terms of the Mineral and Petroleum Resources Development Act 2002, to the holder or owner concerned.”</w:t>
      </w:r>
      <w:r>
        <w:t xml:space="preserve"> </w:t>
      </w:r>
    </w:p>
    <w:p w14:paraId="13FD0BBC" w14:textId="77777777" w:rsidR="002A5DAD" w:rsidRPr="00A54129" w:rsidRDefault="002A5DAD" w:rsidP="002E540E">
      <w:pPr>
        <w:pStyle w:val="FootnoteText"/>
        <w:rPr>
          <w:lang w:val="en-US"/>
        </w:rPr>
      </w:pPr>
    </w:p>
  </w:footnote>
  <w:footnote w:id="7">
    <w:p w14:paraId="08D548B9" w14:textId="190D7B88" w:rsidR="002A5DAD" w:rsidRDefault="002A5DAD">
      <w:pPr>
        <w:pStyle w:val="FootnoteText"/>
      </w:pPr>
      <w:r w:rsidRPr="00A94E9D">
        <w:rPr>
          <w:rStyle w:val="FootnoteReference"/>
        </w:rPr>
        <w:footnoteRef/>
      </w:r>
      <w:r w:rsidRPr="00A94E9D">
        <w:t xml:space="preserve"> S 96</w:t>
      </w:r>
      <w:r>
        <w:t xml:space="preserve"> reads: </w:t>
      </w:r>
    </w:p>
    <w:p w14:paraId="716FD654" w14:textId="54E5A419" w:rsidR="002A5DAD" w:rsidRDefault="002A5DAD">
      <w:pPr>
        <w:pStyle w:val="FootnoteText"/>
      </w:pPr>
      <w:r>
        <w:t xml:space="preserve">“Internal appeal process and access to courts </w:t>
      </w:r>
    </w:p>
    <w:p w14:paraId="5332D46E" w14:textId="77777777" w:rsidR="002A5DAD" w:rsidRDefault="002A5DAD" w:rsidP="00EE21B7">
      <w:pPr>
        <w:pStyle w:val="FootnoteText"/>
        <w:ind w:left="720"/>
      </w:pPr>
      <w:r>
        <w:t xml:space="preserve">(1) Any person whose rights or legitimate expectations have been materially and adversely affected or who is aggrieved by any administrative decision in terms of this Act may appeal within 30 days becoming aware of such administrative decision in the prescribed manner to- </w:t>
      </w:r>
    </w:p>
    <w:p w14:paraId="5A6F151A" w14:textId="77777777" w:rsidR="002A5DAD" w:rsidRDefault="002A5DAD" w:rsidP="00EE21B7">
      <w:pPr>
        <w:pStyle w:val="FootnoteText"/>
        <w:ind w:left="1440"/>
      </w:pPr>
      <w:r>
        <w:t xml:space="preserve">(a) the Director-General, if it is an administrative decision by a Regional Manager or any officer to whom the power has been delegated or a duty has been assigned by or under this Act; </w:t>
      </w:r>
    </w:p>
    <w:p w14:paraId="31CC9135" w14:textId="77777777" w:rsidR="002A5DAD" w:rsidRDefault="002A5DAD" w:rsidP="00EE21B7">
      <w:pPr>
        <w:pStyle w:val="FootnoteText"/>
        <w:ind w:left="720" w:firstLine="720"/>
      </w:pPr>
      <w:r>
        <w:t xml:space="preserve">(b) the Minister, if it is an administrative decision that was taken by the Director-General or the designated agency. [Subs. (1) substituted by s. 68 of Act 49/2008 w.e.f. 7 June 2013] </w:t>
      </w:r>
    </w:p>
    <w:p w14:paraId="6DDA77A6" w14:textId="13178FF7" w:rsidR="002A5DAD" w:rsidRDefault="002A5DAD" w:rsidP="00EE21B7">
      <w:pPr>
        <w:pStyle w:val="FootnoteText"/>
        <w:ind w:firstLine="720"/>
      </w:pPr>
      <w:r>
        <w:t>[…]</w:t>
      </w:r>
      <w:r>
        <w:tab/>
        <w:t xml:space="preserve"> </w:t>
      </w:r>
    </w:p>
    <w:p w14:paraId="6BD1EF3C" w14:textId="77777777" w:rsidR="002A5DAD" w:rsidRDefault="002A5DAD" w:rsidP="00EE21B7">
      <w:pPr>
        <w:pStyle w:val="FootnoteText"/>
        <w:ind w:left="720"/>
      </w:pPr>
      <w:r>
        <w:t xml:space="preserve">(3) No person may apply to the court for the review of an administrative decision contemplated in subsection (1) until that person has exhausted his or her remedies in terms of that subsection. </w:t>
      </w:r>
    </w:p>
    <w:p w14:paraId="201E4C5E" w14:textId="76419996" w:rsidR="002A5DAD" w:rsidRPr="00C01D4B" w:rsidRDefault="002A5DAD" w:rsidP="00EE21B7">
      <w:pPr>
        <w:pStyle w:val="FootnoteText"/>
        <w:ind w:left="720"/>
        <w:rPr>
          <w:lang w:val="en-US"/>
        </w:rPr>
      </w:pPr>
      <w:r>
        <w:t>(4) Sections 6, 7(1) and 8 of the Promotion of Administrative Justice Act, 2000 (Act No 3 of 2000), apply to any court proceedings contemplated in this section”</w:t>
      </w:r>
    </w:p>
  </w:footnote>
  <w:footnote w:id="8">
    <w:p w14:paraId="7F4EA406" w14:textId="3B2A0029" w:rsidR="002A5DAD" w:rsidRDefault="002A5DAD">
      <w:pPr>
        <w:pStyle w:val="FootnoteText"/>
      </w:pPr>
      <w:r>
        <w:rPr>
          <w:rStyle w:val="FootnoteReference"/>
        </w:rPr>
        <w:footnoteRef/>
      </w:r>
      <w:r>
        <w:t xml:space="preserve"> 7.</w:t>
      </w:r>
      <w:r>
        <w:tab/>
        <w:t>Procedure for judicial review</w:t>
      </w:r>
    </w:p>
    <w:p w14:paraId="4241FBDF" w14:textId="01DCA253" w:rsidR="002A5DAD" w:rsidRDefault="002A5DAD" w:rsidP="00C36A45">
      <w:pPr>
        <w:pStyle w:val="FootnoteText"/>
        <w:ind w:left="720"/>
      </w:pPr>
      <w:r>
        <w:t xml:space="preserve">(1) Any proceedings for judicial review in terms of section 6(1) must be instituted without unreasonable delay and not later than 180 days after the date- </w:t>
      </w:r>
    </w:p>
    <w:p w14:paraId="6D90B7DF" w14:textId="77777777" w:rsidR="002A5DAD" w:rsidRDefault="002A5DAD" w:rsidP="00C36A45">
      <w:pPr>
        <w:pStyle w:val="FootnoteText"/>
        <w:ind w:left="1440"/>
      </w:pPr>
      <w:r>
        <w:t xml:space="preserve">(a) subject to subsection (2)(c), on which any proceedings instituted in terms of internal remedies as contemplated in subsection (2)(a) have been concluded; or </w:t>
      </w:r>
    </w:p>
    <w:p w14:paraId="0ACFCE24" w14:textId="77777777" w:rsidR="002A5DAD" w:rsidRDefault="002A5DAD" w:rsidP="00C36A45">
      <w:pPr>
        <w:pStyle w:val="FootnoteText"/>
        <w:ind w:left="1440"/>
      </w:pPr>
      <w:r>
        <w:t xml:space="preserve">(b) where no such remedies exist, on which the person concerned was informed of the administrative action, became aware of the action and the reasons for it or might reasonably have been expected to have become aware of the action and the reasons. </w:t>
      </w:r>
    </w:p>
    <w:p w14:paraId="38193B3D" w14:textId="77777777" w:rsidR="002A5DAD" w:rsidRDefault="002A5DAD" w:rsidP="00C36A45">
      <w:pPr>
        <w:pStyle w:val="FootnoteText"/>
        <w:ind w:firstLine="720"/>
      </w:pPr>
      <w:r>
        <w:t xml:space="preserve">(2) </w:t>
      </w:r>
    </w:p>
    <w:p w14:paraId="1E91F138" w14:textId="77777777" w:rsidR="002A5DAD" w:rsidRDefault="002A5DAD" w:rsidP="00C36A45">
      <w:pPr>
        <w:pStyle w:val="FootnoteText"/>
        <w:ind w:left="1440"/>
      </w:pPr>
      <w:r>
        <w:t xml:space="preserve">(a) Subject to paragraph (c), no court or tribunal shall review an administrative action in terms of this Act unless any internal remedy provided for in any other law has first been exhausted. </w:t>
      </w:r>
    </w:p>
    <w:p w14:paraId="17155F2B" w14:textId="77777777" w:rsidR="002A5DAD" w:rsidRDefault="002A5DAD" w:rsidP="00C36A45">
      <w:pPr>
        <w:pStyle w:val="FootnoteText"/>
        <w:ind w:left="1440"/>
      </w:pPr>
      <w:r>
        <w:t xml:space="preserve">(b) 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this Act. </w:t>
      </w:r>
    </w:p>
    <w:p w14:paraId="4EB4CA36" w14:textId="46611FFF" w:rsidR="002A5DAD" w:rsidRPr="003911D5" w:rsidRDefault="002A5DAD" w:rsidP="00C36A45">
      <w:pPr>
        <w:pStyle w:val="FootnoteText"/>
        <w:ind w:left="1440"/>
        <w:rPr>
          <w:lang w:val="en-US"/>
        </w:rPr>
      </w:pPr>
      <w:r>
        <w:t xml:space="preserve">(c) </w:t>
      </w:r>
      <w:r w:rsidRPr="0031026D">
        <w:rPr>
          <w:i/>
        </w:rPr>
        <w:t>A court or tribunal may, in exceptional circumstances and on application by the person concerned, exempt such person from the obligation to exhaust any internal remedy if the court or tribunal deems it in the interest of justice</w:t>
      </w:r>
      <w:r>
        <w:t>.</w:t>
      </w:r>
    </w:p>
  </w:footnote>
  <w:footnote w:id="9">
    <w:p w14:paraId="73F01761" w14:textId="2044EBA8" w:rsidR="002A5DAD" w:rsidRPr="00FB4F3F" w:rsidRDefault="002A5DAD">
      <w:pPr>
        <w:pStyle w:val="FootnoteText"/>
        <w:rPr>
          <w:lang w:val="en-US"/>
        </w:rPr>
      </w:pPr>
      <w:r>
        <w:rPr>
          <w:rStyle w:val="FootnoteReference"/>
        </w:rPr>
        <w:footnoteRef/>
      </w:r>
      <w:r>
        <w:t xml:space="preserve"> Supra on page 17</w:t>
      </w:r>
      <w:r>
        <w:rPr>
          <w:lang w:val="en-US"/>
        </w:rPr>
        <w:t xml:space="preserve"> para</w:t>
      </w:r>
    </w:p>
  </w:footnote>
  <w:footnote w:id="10">
    <w:p w14:paraId="07559A69" w14:textId="2088B3F2" w:rsidR="002A5DAD" w:rsidRPr="00A04FFF" w:rsidRDefault="002A5DAD">
      <w:pPr>
        <w:pStyle w:val="FootnoteText"/>
        <w:rPr>
          <w:lang w:val="en-US"/>
        </w:rPr>
      </w:pPr>
      <w:r>
        <w:rPr>
          <w:rStyle w:val="FootnoteReference"/>
        </w:rPr>
        <w:footnoteRef/>
      </w:r>
      <w:r>
        <w:t xml:space="preserve"> </w:t>
      </w:r>
      <w:r>
        <w:rPr>
          <w:lang w:val="en-US"/>
        </w:rPr>
        <w:t>Supra on page 19 para</w:t>
      </w:r>
    </w:p>
  </w:footnote>
  <w:footnote w:id="11">
    <w:p w14:paraId="5CC81542" w14:textId="02D453BA" w:rsidR="002A5DAD" w:rsidRDefault="002A5DAD">
      <w:pPr>
        <w:pStyle w:val="FootnoteText"/>
      </w:pPr>
      <w:r>
        <w:rPr>
          <w:rStyle w:val="FootnoteReference"/>
        </w:rPr>
        <w:footnoteRef/>
      </w:r>
      <w:r>
        <w:t xml:space="preserve"> S 10 (a) reads: </w:t>
      </w:r>
    </w:p>
    <w:p w14:paraId="4566EA89" w14:textId="3F8579DC" w:rsidR="002A5DAD" w:rsidRPr="00646B4E" w:rsidRDefault="002A5DAD">
      <w:pPr>
        <w:pStyle w:val="FootnoteText"/>
        <w:rPr>
          <w:lang w:val="en-US"/>
        </w:rPr>
      </w:pPr>
      <w:r>
        <w:tab/>
        <w:t xml:space="preserve">“Any environmental management programme approved in terms of s 39 (1) of the Minerals Act and in force immediately before [the MPRDA] took effect and before any steps taken in relation to the relevant performance assessment and duty to monitor connected with the relevant environmental management programme </w:t>
      </w:r>
      <w:r w:rsidRPr="00A57ABC">
        <w:t>continues to remain in force when [the MPRDA] c</w:t>
      </w:r>
      <w:r>
        <w:t>omes</w:t>
      </w:r>
      <w:r w:rsidRPr="00A57ABC">
        <w:t xml:space="preserve"> into effect</w:t>
      </w:r>
      <w:r>
        <w:t xml:space="preserve">.” </w:t>
      </w:r>
      <w:r>
        <w:tab/>
      </w:r>
    </w:p>
  </w:footnote>
  <w:footnote w:id="12">
    <w:p w14:paraId="4C5D1FBC" w14:textId="25B5FECD"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Ibid</w:t>
      </w:r>
      <w:r w:rsidRPr="001E15C4">
        <w:rPr>
          <w:rFonts w:ascii="Arial" w:hAnsi="Arial" w:cs="Arial"/>
        </w:rPr>
        <w:t xml:space="preserve"> at 0-100-101.</w:t>
      </w:r>
    </w:p>
  </w:footnote>
  <w:footnote w:id="13">
    <w:p w14:paraId="5E0C91AF" w14:textId="7252B95B" w:rsidR="002A5DAD" w:rsidRPr="001E15C4" w:rsidRDefault="002A5DAD" w:rsidP="002A4A71">
      <w:pPr>
        <w:pStyle w:val="FootnoteText"/>
        <w:rPr>
          <w:rFonts w:ascii="Arial" w:hAnsi="Arial" w:cs="Arial"/>
          <w:lang w:val="en-US"/>
        </w:rPr>
      </w:pPr>
      <w:r w:rsidRPr="001E15C4">
        <w:rPr>
          <w:rStyle w:val="FootnoteReference"/>
          <w:rFonts w:ascii="Arial" w:hAnsi="Arial" w:cs="Arial"/>
        </w:rPr>
        <w:footnoteRef/>
      </w:r>
      <w:r w:rsidRPr="001E15C4">
        <w:rPr>
          <w:rFonts w:ascii="Arial" w:hAnsi="Arial" w:cs="Arial"/>
        </w:rPr>
        <w:t xml:space="preserve"> 2005 (4) SA 199 (SCA).</w:t>
      </w:r>
    </w:p>
  </w:footnote>
  <w:footnote w:id="14">
    <w:p w14:paraId="233DDA7E" w14:textId="77777777" w:rsidR="002A5DAD" w:rsidRPr="001E15C4" w:rsidRDefault="002A5DAD" w:rsidP="002A4A71">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rPr>
        <w:t xml:space="preserve">Ibid </w:t>
      </w:r>
      <w:r w:rsidRPr="001E15C4">
        <w:rPr>
          <w:rFonts w:ascii="Arial" w:hAnsi="Arial" w:cs="Arial"/>
        </w:rPr>
        <w:t>at 200B-C.</w:t>
      </w:r>
    </w:p>
  </w:footnote>
  <w:footnote w:id="15">
    <w:p w14:paraId="32FD8BEB" w14:textId="4A4EAB33" w:rsidR="002A5DAD" w:rsidRPr="001E15C4" w:rsidRDefault="002A5DAD" w:rsidP="004444F8">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Ga</w:t>
      </w:r>
      <w:r w:rsidR="005E6134">
        <w:rPr>
          <w:rFonts w:ascii="Arial" w:hAnsi="Arial" w:cs="Arial"/>
          <w:i/>
          <w:iCs/>
        </w:rPr>
        <w:t>m</w:t>
      </w:r>
      <w:r w:rsidRPr="001E15C4">
        <w:rPr>
          <w:rFonts w:ascii="Arial" w:hAnsi="Arial" w:cs="Arial"/>
          <w:i/>
          <w:iCs/>
        </w:rPr>
        <w:t>es and Another v Telecom Namibia Ltd</w:t>
      </w:r>
      <w:r w:rsidRPr="001E15C4">
        <w:rPr>
          <w:rFonts w:ascii="Arial" w:hAnsi="Arial" w:cs="Arial"/>
        </w:rPr>
        <w:t xml:space="preserve"> 2004 (3) SA 615 (SA) </w:t>
      </w:r>
    </w:p>
  </w:footnote>
  <w:footnote w:id="16">
    <w:p w14:paraId="6793EB4A" w14:textId="00631940"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Ibid</w:t>
      </w:r>
      <w:r>
        <w:rPr>
          <w:rFonts w:ascii="Arial" w:hAnsi="Arial" w:cs="Arial"/>
          <w:i/>
          <w:iCs/>
        </w:rPr>
        <w:t xml:space="preserve"> par 19.</w:t>
      </w:r>
    </w:p>
  </w:footnote>
  <w:footnote w:id="17">
    <w:p w14:paraId="7F75636C" w14:textId="75789FE0" w:rsidR="004444F8" w:rsidRPr="004444F8" w:rsidRDefault="004444F8" w:rsidP="004444F8">
      <w:pPr>
        <w:pStyle w:val="FootnoteText"/>
        <w:rPr>
          <w:lang w:val="en-US"/>
        </w:rPr>
      </w:pPr>
      <w:r>
        <w:rPr>
          <w:rStyle w:val="FootnoteReference"/>
        </w:rPr>
        <w:footnoteRef/>
      </w:r>
      <w:r>
        <w:t xml:space="preserve"> at paragraph [19].</w:t>
      </w:r>
    </w:p>
  </w:footnote>
  <w:footnote w:id="18">
    <w:p w14:paraId="37D21D27" w14:textId="16872A3E" w:rsidR="002A5DAD" w:rsidRPr="001E15C4" w:rsidRDefault="002A5DAD" w:rsidP="005A2A73">
      <w:pPr>
        <w:pStyle w:val="FootnoteText"/>
        <w:rPr>
          <w:rFonts w:ascii="Arial" w:hAnsi="Arial" w:cs="Arial"/>
          <w:lang w:val="en-US"/>
        </w:rPr>
      </w:pPr>
      <w:r w:rsidRPr="001E15C4">
        <w:rPr>
          <w:rStyle w:val="FootnoteReference"/>
          <w:rFonts w:ascii="Arial" w:hAnsi="Arial" w:cs="Arial"/>
        </w:rPr>
        <w:footnoteRef/>
      </w:r>
      <w:r w:rsidRPr="001E15C4">
        <w:rPr>
          <w:rFonts w:ascii="Arial" w:hAnsi="Arial" w:cs="Arial"/>
        </w:rPr>
        <w:t xml:space="preserve"> 1996 (4) All SA 156 (SE)</w:t>
      </w:r>
    </w:p>
  </w:footnote>
  <w:footnote w:id="19">
    <w:p w14:paraId="44D01512" w14:textId="247B9345" w:rsidR="002A5DAD" w:rsidRPr="001E15C4" w:rsidRDefault="002A5DAD">
      <w:pPr>
        <w:pStyle w:val="FootnoteText"/>
        <w:rPr>
          <w:rFonts w:ascii="Arial" w:hAnsi="Arial" w:cs="Arial"/>
        </w:rPr>
      </w:pPr>
      <w:r w:rsidRPr="001E15C4">
        <w:rPr>
          <w:rStyle w:val="FootnoteReference"/>
          <w:rFonts w:ascii="Arial" w:hAnsi="Arial" w:cs="Arial"/>
        </w:rPr>
        <w:footnoteRef/>
      </w:r>
      <w:r>
        <w:rPr>
          <w:rFonts w:ascii="Arial" w:hAnsi="Arial" w:cs="Arial"/>
          <w:i/>
        </w:rPr>
        <w:t>I</w:t>
      </w:r>
      <w:r w:rsidRPr="001E15C4">
        <w:rPr>
          <w:rFonts w:ascii="Arial" w:hAnsi="Arial" w:cs="Arial"/>
          <w:i/>
        </w:rPr>
        <w:t>bid at</w:t>
      </w:r>
      <w:r w:rsidRPr="001E15C4">
        <w:rPr>
          <w:rFonts w:ascii="Arial" w:hAnsi="Arial" w:cs="Arial"/>
        </w:rPr>
        <w:t xml:space="preserve"> 159.</w:t>
      </w:r>
    </w:p>
  </w:footnote>
  <w:footnote w:id="20">
    <w:p w14:paraId="480B123B" w14:textId="4A45C295"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Caselines 000-a10, 14 and 15.</w:t>
      </w:r>
    </w:p>
  </w:footnote>
  <w:footnote w:id="21">
    <w:p w14:paraId="2B0BC1DB" w14:textId="139E421B" w:rsidR="002A5DAD" w:rsidRPr="00950E27" w:rsidRDefault="002A5DAD">
      <w:pPr>
        <w:pStyle w:val="FootnoteText"/>
        <w:rPr>
          <w:lang w:val="en-US"/>
        </w:rPr>
      </w:pPr>
      <w:r>
        <w:rPr>
          <w:rStyle w:val="FootnoteReference"/>
        </w:rPr>
        <w:footnoteRef/>
      </w:r>
      <w:r>
        <w:t xml:space="preserve"> </w:t>
      </w:r>
      <w:r w:rsidRPr="00950E27">
        <w:rPr>
          <w:i/>
          <w:lang w:val="en-US"/>
        </w:rPr>
        <w:t>Bator Star Fishing (Pty) Ltd v Minister of Environmental Affairs and Tourism 2004 (4) SA 490 (CC)</w:t>
      </w:r>
    </w:p>
  </w:footnote>
  <w:footnote w:id="22">
    <w:p w14:paraId="019AB3D6" w14:textId="3A5D7FCF"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Ronnie Dennison Agencies (Pty) Ltd t/a Water Africa SA v SABS Commercial Soc</w:t>
      </w:r>
      <w:r w:rsidRPr="001E15C4">
        <w:rPr>
          <w:rFonts w:ascii="Arial" w:hAnsi="Arial" w:cs="Arial"/>
        </w:rPr>
        <w:t xml:space="preserve"> Ltd  [2014] ZAGPPHC 998.</w:t>
      </w:r>
    </w:p>
  </w:footnote>
  <w:footnote w:id="23">
    <w:p w14:paraId="74A09D1D" w14:textId="7B61CA97"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Rabinovich and Others NNO v Med: Equity Insurance Co. Ltd</w:t>
      </w:r>
      <w:r w:rsidRPr="001E15C4">
        <w:rPr>
          <w:rFonts w:ascii="Arial" w:hAnsi="Arial" w:cs="Arial"/>
        </w:rPr>
        <w:t> 1980(3) SA 415 (W) at 419 E.</w:t>
      </w:r>
    </w:p>
  </w:footnote>
  <w:footnote w:id="24">
    <w:p w14:paraId="62366B68" w14:textId="68EDF386"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2013 (1) SA 170 (SCA</w:t>
      </w:r>
    </w:p>
  </w:footnote>
  <w:footnote w:id="25">
    <w:p w14:paraId="15BBDCD2" w14:textId="525E6FD7"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B77A4B">
        <w:rPr>
          <w:rFonts w:ascii="Arial" w:hAnsi="Arial" w:cs="Arial"/>
          <w:i/>
          <w:iCs/>
        </w:rPr>
        <w:t>Ibid</w:t>
      </w:r>
      <w:r w:rsidRPr="001E15C4">
        <w:rPr>
          <w:rFonts w:ascii="Arial" w:hAnsi="Arial" w:cs="Arial"/>
        </w:rPr>
        <w:t xml:space="preserve"> at par [12]. </w:t>
      </w:r>
    </w:p>
  </w:footnote>
  <w:footnote w:id="26">
    <w:p w14:paraId="33B56092" w14:textId="751B2DB0"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(RS 19, 2022) at D1-124–D1-126.</w:t>
      </w:r>
    </w:p>
  </w:footnote>
  <w:footnote w:id="27">
    <w:p w14:paraId="2ED1E518" w14:textId="2C7C7783" w:rsidR="002A5DAD" w:rsidRPr="00C95F75" w:rsidRDefault="002A5DAD" w:rsidP="00C95F75">
      <w:pPr>
        <w:pStyle w:val="Heading2"/>
        <w:shd w:val="clear" w:color="auto" w:fill="FFFFFF"/>
        <w:spacing w:before="240" w:after="180" w:line="288" w:lineRule="atLeast"/>
        <w:rPr>
          <w:rFonts w:ascii="Arial" w:eastAsia="Times New Roman" w:hAnsi="Arial" w:cs="Arial"/>
          <w:color w:val="64473A"/>
          <w:kern w:val="0"/>
          <w:sz w:val="20"/>
          <w:szCs w:val="20"/>
          <w:lang w:val="en-US"/>
          <w14:ligatures w14:val="none"/>
        </w:rPr>
      </w:pPr>
      <w:r w:rsidRPr="00C95F75">
        <w:rPr>
          <w:rStyle w:val="FootnoteReference"/>
          <w:rFonts w:ascii="Arial" w:hAnsi="Arial" w:cs="Arial"/>
          <w:color w:val="auto"/>
          <w:sz w:val="20"/>
          <w:szCs w:val="20"/>
        </w:rPr>
        <w:footnoteRef/>
      </w:r>
      <w:r w:rsidRPr="00C95F75">
        <w:rPr>
          <w:rFonts w:ascii="Arial" w:hAnsi="Arial" w:cs="Arial"/>
          <w:color w:val="auto"/>
          <w:sz w:val="20"/>
          <w:szCs w:val="20"/>
        </w:rPr>
        <w:t xml:space="preserve"> 2008 (6) SA 522 (SCA)</w:t>
      </w:r>
      <w:r>
        <w:rPr>
          <w:rFonts w:ascii="Arial" w:hAnsi="Arial" w:cs="Arial"/>
          <w:color w:val="auto"/>
          <w:sz w:val="20"/>
          <w:szCs w:val="20"/>
        </w:rPr>
        <w:t>;</w:t>
      </w:r>
      <w:r w:rsidRPr="00C95F75">
        <w:rPr>
          <w:rFonts w:ascii="Arial" w:eastAsia="Times New Roman" w:hAnsi="Arial" w:cs="Arial"/>
          <w:color w:val="auto"/>
          <w:kern w:val="0"/>
          <w:sz w:val="20"/>
          <w:szCs w:val="20"/>
          <w:lang w:val="en-US"/>
          <w14:ligatures w14:val="none"/>
        </w:rPr>
        <w:t xml:space="preserve"> [2009] 1 All SA 39 (SCA)</w:t>
      </w:r>
    </w:p>
  </w:footnote>
  <w:footnote w:id="28">
    <w:p w14:paraId="64BB2ABF" w14:textId="1D103827"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i/>
          <w:iCs/>
        </w:rPr>
        <w:t xml:space="preserve"> </w:t>
      </w:r>
      <w:bookmarkStart w:id="2" w:name="_Hlk141511856"/>
      <w:r w:rsidRPr="001E15C4">
        <w:rPr>
          <w:rFonts w:ascii="Arial" w:hAnsi="Arial" w:cs="Arial"/>
          <w:i/>
          <w:iCs/>
        </w:rPr>
        <w:t>Ibid</w:t>
      </w:r>
      <w:r w:rsidRPr="001E15C4">
        <w:rPr>
          <w:rFonts w:ascii="Arial" w:hAnsi="Arial" w:cs="Arial"/>
        </w:rPr>
        <w:t xml:space="preserve"> at </w:t>
      </w:r>
      <w:bookmarkStart w:id="3" w:name="LPHit2"/>
      <w:bookmarkStart w:id="4" w:name="LPHit3"/>
      <w:bookmarkStart w:id="5" w:name="LPHit4"/>
      <w:bookmarkStart w:id="6" w:name="LPHit5"/>
      <w:bookmarkStart w:id="7" w:name="LPHit6"/>
      <w:bookmarkStart w:id="8" w:name="LPHit7"/>
      <w:bookmarkEnd w:id="2"/>
      <w:bookmarkEnd w:id="3"/>
      <w:bookmarkEnd w:id="4"/>
      <w:bookmarkEnd w:id="5"/>
      <w:bookmarkEnd w:id="6"/>
      <w:bookmarkEnd w:id="7"/>
      <w:bookmarkEnd w:id="8"/>
      <w:r w:rsidRPr="001E15C4">
        <w:rPr>
          <w:rFonts w:ascii="Arial" w:hAnsi="Arial" w:cs="Arial"/>
        </w:rPr>
        <w:t xml:space="preserve"> para 9.</w:t>
      </w:r>
    </w:p>
  </w:footnote>
  <w:footnote w:id="29">
    <w:p w14:paraId="0679009C" w14:textId="689F09CE"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2022 (4) SA 362 (CC) para 23.</w:t>
      </w:r>
    </w:p>
  </w:footnote>
  <w:footnote w:id="30">
    <w:p w14:paraId="1D2E13D4" w14:textId="29DAF872"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Lebea v Menye and Another 2023 (3) BCLR 257 (CC) para 30.</w:t>
      </w:r>
    </w:p>
  </w:footnote>
  <w:footnote w:id="31">
    <w:p w14:paraId="2247F004" w14:textId="2F53349E" w:rsidR="002A5DAD" w:rsidRPr="00D1249C" w:rsidRDefault="002A5DAD">
      <w:pPr>
        <w:pStyle w:val="FootnoteText"/>
        <w:rPr>
          <w:lang w:val="en-US"/>
        </w:rPr>
      </w:pPr>
      <w:r>
        <w:rPr>
          <w:rStyle w:val="FootnoteReference"/>
        </w:rPr>
        <w:footnoteRef/>
      </w:r>
      <w:r>
        <w:t xml:space="preserve"> Act 107 of 1998, c</w:t>
      </w:r>
      <w:r>
        <w:rPr>
          <w:lang w:val="en-US"/>
        </w:rPr>
        <w:t>ame into operation on 29 January 1999</w:t>
      </w:r>
    </w:p>
  </w:footnote>
  <w:footnote w:id="32">
    <w:p w14:paraId="47C8FF2C" w14:textId="77777777" w:rsidR="002A5DAD" w:rsidRPr="001E15C4" w:rsidRDefault="002A5DAD" w:rsidP="00D1249C">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Mineral and Petroleum Resources Development Regulations, GNR 446 in </w:t>
      </w:r>
      <w:r w:rsidRPr="001E15C4">
        <w:rPr>
          <w:rFonts w:ascii="Arial" w:hAnsi="Arial" w:cs="Arial"/>
          <w:i/>
          <w:iCs/>
        </w:rPr>
        <w:t>GG</w:t>
      </w:r>
      <w:r>
        <w:rPr>
          <w:rFonts w:ascii="Arial" w:hAnsi="Arial" w:cs="Arial"/>
        </w:rPr>
        <w:t> 38855 (3 June 2015)</w:t>
      </w:r>
    </w:p>
  </w:footnote>
  <w:footnote w:id="33">
    <w:p w14:paraId="5C6E0876" w14:textId="56940908"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2023 JDR 1815 (SCA) at 29.</w:t>
      </w:r>
    </w:p>
  </w:footnote>
  <w:footnote w:id="34">
    <w:p w14:paraId="35CCEC7C" w14:textId="137D3DE4"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 xml:space="preserve">Ibid </w:t>
      </w:r>
      <w:r w:rsidRPr="001E15C4">
        <w:rPr>
          <w:rFonts w:ascii="Arial" w:hAnsi="Arial" w:cs="Arial"/>
        </w:rPr>
        <w:t>at 34.</w:t>
      </w:r>
    </w:p>
  </w:footnote>
  <w:footnote w:id="35">
    <w:p w14:paraId="7212D6AC" w14:textId="2AE384B0"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Supra</w:t>
      </w:r>
      <w:r w:rsidRPr="001E15C4">
        <w:rPr>
          <w:rFonts w:ascii="Arial" w:hAnsi="Arial" w:cs="Arial"/>
        </w:rPr>
        <w:t xml:space="preserve"> note 22 above.</w:t>
      </w:r>
    </w:p>
  </w:footnote>
  <w:footnote w:id="36">
    <w:p w14:paraId="61957182" w14:textId="77777777" w:rsidR="002A5DAD" w:rsidRPr="001E15C4" w:rsidRDefault="002A5DAD" w:rsidP="00950E27">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 xml:space="preserve">Ezulwini Mining Company (Pty) Ltd supra </w:t>
      </w:r>
      <w:r w:rsidRPr="001E15C4">
        <w:rPr>
          <w:rFonts w:ascii="Arial" w:hAnsi="Arial" w:cs="Arial"/>
        </w:rPr>
        <w:t xml:space="preserve">note 24 above at 45. </w:t>
      </w:r>
    </w:p>
  </w:footnote>
  <w:footnote w:id="37">
    <w:p w14:paraId="14DF71C9" w14:textId="037D521E"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2006 (1) SA 432 (T) at 438.</w:t>
      </w:r>
    </w:p>
  </w:footnote>
  <w:footnote w:id="38">
    <w:p w14:paraId="70DAC7D8" w14:textId="0C43B737"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Ibid</w:t>
      </w:r>
      <w:r w:rsidRPr="001E15C4">
        <w:rPr>
          <w:rFonts w:ascii="Arial" w:hAnsi="Arial" w:cs="Arial"/>
        </w:rPr>
        <w:t xml:space="preserve"> at 439.</w:t>
      </w:r>
    </w:p>
  </w:footnote>
  <w:footnote w:id="39">
    <w:p w14:paraId="3849BB09" w14:textId="5FCCE057" w:rsidR="002A5DAD" w:rsidRPr="00950E27" w:rsidRDefault="002A5DAD">
      <w:pPr>
        <w:pStyle w:val="FootnoteText"/>
        <w:rPr>
          <w:lang w:val="en-US"/>
        </w:rPr>
      </w:pPr>
      <w:r>
        <w:rPr>
          <w:rStyle w:val="FootnoteReference"/>
        </w:rPr>
        <w:footnoteRef/>
      </w:r>
      <w:r>
        <w:t xml:space="preserve"> </w:t>
      </w:r>
      <w:r w:rsidRPr="00950E27">
        <w:rPr>
          <w:rFonts w:ascii="Arial" w:hAnsi="Arial" w:cs="Arial"/>
        </w:rPr>
        <w:t>1995 (3) SA 867 (SCA); 1995 (7) BCLR 793 CC</w:t>
      </w:r>
    </w:p>
  </w:footnote>
  <w:footnote w:id="40">
    <w:p w14:paraId="62DE7894" w14:textId="69626BFB"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2017 (2) All SA 1 (SCA) para 12.</w:t>
      </w:r>
    </w:p>
  </w:footnote>
  <w:footnote w:id="41">
    <w:p w14:paraId="1B1E6E6C" w14:textId="69447A39" w:rsidR="002A5DAD" w:rsidRPr="003C4B46" w:rsidRDefault="002A5DAD">
      <w:pPr>
        <w:pStyle w:val="FootnoteText"/>
        <w:rPr>
          <w:rFonts w:cstheme="minorHAnsi"/>
          <w:lang w:val="en-US"/>
        </w:rPr>
      </w:pPr>
      <w:r>
        <w:rPr>
          <w:rStyle w:val="FootnoteReference"/>
        </w:rPr>
        <w:footnoteRef/>
      </w:r>
      <w:r>
        <w:t xml:space="preserve"> </w:t>
      </w:r>
      <w:r w:rsidRPr="003C4B46">
        <w:rPr>
          <w:rFonts w:cstheme="minorHAnsi"/>
          <w:i/>
          <w:iCs/>
          <w:shd w:val="clear" w:color="auto" w:fill="FFFFFF"/>
        </w:rPr>
        <w:t>Ferreira v Levin N.O.; Vryenhoek v Powell N.O. </w:t>
      </w:r>
      <w:r w:rsidRPr="003C4B46">
        <w:rPr>
          <w:rFonts w:cstheme="minorHAnsi"/>
          <w:shd w:val="clear" w:color="auto" w:fill="FFFFFF"/>
        </w:rPr>
        <w:t>[1995] ZACC 13; 1996 (1) SA 984 (CC); 1996 (1) BCLR 1 (CC). par 26</w:t>
      </w:r>
    </w:p>
  </w:footnote>
  <w:footnote w:id="42">
    <w:p w14:paraId="6737A9C0" w14:textId="77777777" w:rsidR="002A5DAD" w:rsidRPr="00BD5588" w:rsidRDefault="002A5DAD" w:rsidP="000850C2">
      <w:pPr>
        <w:pStyle w:val="FootnoteText"/>
        <w:rPr>
          <w:lang w:val="en-US"/>
        </w:rPr>
      </w:pPr>
      <w:r>
        <w:rPr>
          <w:rStyle w:val="FootnoteReference"/>
        </w:rPr>
        <w:footnoteRef/>
      </w:r>
      <w:r>
        <w:t xml:space="preserve"> </w:t>
      </w:r>
      <w:r>
        <w:rPr>
          <w:lang w:val="en-US"/>
        </w:rPr>
        <w:t>See Ibid 6 on page 23</w:t>
      </w:r>
    </w:p>
  </w:footnote>
  <w:footnote w:id="43">
    <w:p w14:paraId="1E205D07" w14:textId="188DA07D" w:rsidR="002A5DAD" w:rsidRPr="000850C2" w:rsidRDefault="002A5DAD" w:rsidP="000850C2">
      <w:pPr>
        <w:spacing w:after="0" w:line="360" w:lineRule="auto"/>
        <w:jc w:val="both"/>
        <w:rPr>
          <w:rFonts w:ascii="Arial" w:hAnsi="Arial" w:cs="Arial"/>
          <w:i/>
          <w:iCs/>
          <w:sz w:val="20"/>
          <w:szCs w:val="20"/>
        </w:rPr>
      </w:pPr>
      <w:r>
        <w:rPr>
          <w:rStyle w:val="FootnoteReference"/>
        </w:rPr>
        <w:footnoteRef/>
      </w:r>
      <w:r>
        <w:t xml:space="preserve"> </w:t>
      </w:r>
      <w:r>
        <w:rPr>
          <w:rFonts w:ascii="Arial" w:hAnsi="Arial" w:cs="Arial"/>
          <w:i/>
          <w:iCs/>
        </w:rPr>
        <w:t xml:space="preserve"> </w:t>
      </w:r>
      <w:r w:rsidRPr="000850C2">
        <w:rPr>
          <w:rFonts w:ascii="Arial" w:hAnsi="Arial" w:cs="Arial"/>
          <w:iCs/>
          <w:sz w:val="20"/>
          <w:szCs w:val="20"/>
        </w:rPr>
        <w:t>The section reads</w:t>
      </w:r>
      <w:r>
        <w:rPr>
          <w:rFonts w:ascii="Arial" w:hAnsi="Arial" w:cs="Arial"/>
          <w:i/>
          <w:iCs/>
        </w:rPr>
        <w:t xml:space="preserve"> </w:t>
      </w:r>
      <w:r w:rsidRPr="000850C2">
        <w:rPr>
          <w:rFonts w:ascii="Arial" w:hAnsi="Arial" w:cs="Arial"/>
          <w:i/>
          <w:iCs/>
          <w:sz w:val="20"/>
          <w:szCs w:val="20"/>
        </w:rPr>
        <w:t>(4)</w:t>
      </w:r>
      <w:r w:rsidRPr="000850C2">
        <w:rPr>
          <w:rFonts w:ascii="Arial" w:hAnsi="Arial" w:cs="Arial"/>
          <w:i/>
          <w:iCs/>
          <w:sz w:val="20"/>
          <w:szCs w:val="20"/>
        </w:rPr>
        <w:tab/>
        <w:t>Sections 6. 7(1) and 8 of the Promotion of Administrative Justice Act, 2000 (Act No. 3 of 2000), apply to any court proceedings contemplated in this section.</w:t>
      </w:r>
    </w:p>
    <w:p w14:paraId="02CBA8CE" w14:textId="57A453EF" w:rsidR="002A5DAD" w:rsidRPr="000850C2" w:rsidRDefault="002A5DAD">
      <w:pPr>
        <w:pStyle w:val="FootnoteText"/>
        <w:rPr>
          <w:lang w:val="en-US"/>
        </w:rPr>
      </w:pPr>
    </w:p>
  </w:footnote>
  <w:footnote w:id="44">
    <w:p w14:paraId="6617930A" w14:textId="5C19AD46"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Act 3 of 2000.</w:t>
      </w:r>
    </w:p>
  </w:footnote>
  <w:footnote w:id="45">
    <w:p w14:paraId="3E9A19F3" w14:textId="1E0BFEAD" w:rsidR="002A5DAD" w:rsidRPr="003C57F5"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Pr>
          <w:rFonts w:ascii="Arial" w:hAnsi="Arial" w:cs="Arial"/>
        </w:rPr>
        <w:t>[</w:t>
      </w:r>
      <w:r w:rsidRPr="001E15C4">
        <w:rPr>
          <w:rFonts w:ascii="Arial" w:hAnsi="Arial" w:cs="Arial"/>
        </w:rPr>
        <w:t>2009] ZACC 23 para 3</w:t>
      </w:r>
      <w:r>
        <w:rPr>
          <w:rFonts w:ascii="Arial" w:hAnsi="Arial" w:cs="Arial"/>
        </w:rPr>
        <w:t>7</w:t>
      </w:r>
      <w:r w:rsidRPr="001E15C4">
        <w:rPr>
          <w:rFonts w:ascii="Arial" w:hAnsi="Arial" w:cs="Arial"/>
        </w:rPr>
        <w:t>–3</w:t>
      </w:r>
      <w:r>
        <w:rPr>
          <w:rFonts w:ascii="Arial" w:hAnsi="Arial" w:cs="Arial"/>
        </w:rPr>
        <w:t xml:space="preserve">8; </w:t>
      </w:r>
      <w:hyperlink r:id="rId1" w:tooltip="View LawCiteRecord" w:history="1">
        <w:r w:rsidRPr="003C57F5">
          <w:rPr>
            <w:rFonts w:ascii="Arial" w:hAnsi="Arial" w:cs="Arial"/>
            <w:bCs/>
            <w:shd w:val="clear" w:color="auto" w:fill="FFFFFF"/>
          </w:rPr>
          <w:t>2009 (12) BCLR 1192</w:t>
        </w:r>
      </w:hyperlink>
      <w:r w:rsidRPr="003C57F5">
        <w:rPr>
          <w:rFonts w:ascii="Arial" w:hAnsi="Arial" w:cs="Arial"/>
          <w:shd w:val="clear" w:color="auto" w:fill="FFFFFF"/>
        </w:rPr>
        <w:t> </w:t>
      </w:r>
      <w:r w:rsidRPr="003C57F5">
        <w:rPr>
          <w:rFonts w:ascii="Arial" w:hAnsi="Arial" w:cs="Arial"/>
          <w:color w:val="242121"/>
          <w:shd w:val="clear" w:color="auto" w:fill="FFFFFF"/>
        </w:rPr>
        <w:t>(CC) par 35-36</w:t>
      </w:r>
      <w:r>
        <w:rPr>
          <w:rFonts w:ascii="Arial" w:hAnsi="Arial" w:cs="Arial"/>
          <w:color w:val="242121"/>
          <w:shd w:val="clear" w:color="auto" w:fill="FFFFFF"/>
        </w:rPr>
        <w:t>.</w:t>
      </w:r>
    </w:p>
  </w:footnote>
  <w:footnote w:id="46">
    <w:p w14:paraId="482A7545" w14:textId="77777777" w:rsidR="002A5DAD" w:rsidRPr="003C57F5" w:rsidRDefault="002A5DAD" w:rsidP="0072694E">
      <w:pPr>
        <w:pStyle w:val="FootnoteText"/>
        <w:rPr>
          <w:rFonts w:ascii="Arial" w:hAnsi="Arial" w:cs="Arial"/>
          <w:lang w:val="en-US"/>
        </w:rPr>
      </w:pPr>
      <w:r>
        <w:rPr>
          <w:rStyle w:val="FootnoteReference"/>
        </w:rPr>
        <w:footnoteRef/>
      </w:r>
      <w:r>
        <w:t xml:space="preserve"> </w:t>
      </w:r>
      <w:r w:rsidRPr="003C57F5">
        <w:rPr>
          <w:rFonts w:ascii="Arial" w:hAnsi="Arial" w:cs="Arial"/>
        </w:rPr>
        <w:t>S</w:t>
      </w:r>
      <w:r w:rsidRPr="003C57F5">
        <w:rPr>
          <w:rFonts w:ascii="Arial" w:hAnsi="Arial" w:cs="Arial"/>
          <w:color w:val="242121"/>
          <w:shd w:val="clear" w:color="auto" w:fill="FFFFFF"/>
        </w:rPr>
        <w:t>1(d) of the Constitution</w:t>
      </w:r>
    </w:p>
  </w:footnote>
  <w:footnote w:id="47">
    <w:p w14:paraId="1FE1AE29" w14:textId="77777777" w:rsidR="002A5DAD" w:rsidRPr="003C57F5" w:rsidRDefault="002A5DAD" w:rsidP="0072694E">
      <w:pPr>
        <w:pStyle w:val="FootnoteText"/>
        <w:rPr>
          <w:rFonts w:ascii="Arial" w:hAnsi="Arial" w:cs="Arial"/>
          <w:lang w:val="en-US"/>
        </w:rPr>
      </w:pPr>
      <w:r w:rsidRPr="003C57F5">
        <w:rPr>
          <w:rStyle w:val="FootnoteReference"/>
          <w:rFonts w:ascii="Arial" w:hAnsi="Arial" w:cs="Arial"/>
        </w:rPr>
        <w:footnoteRef/>
      </w:r>
      <w:r w:rsidRPr="003C57F5">
        <w:rPr>
          <w:rFonts w:ascii="Arial" w:hAnsi="Arial" w:cs="Arial"/>
        </w:rPr>
        <w:t xml:space="preserve"> </w:t>
      </w:r>
      <w:r w:rsidRPr="003C57F5">
        <w:rPr>
          <w:rFonts w:ascii="Arial" w:hAnsi="Arial" w:cs="Arial"/>
          <w:lang w:val="en-US"/>
        </w:rPr>
        <w:t xml:space="preserve">S195 of the Constitution.  </w:t>
      </w:r>
      <w:r>
        <w:rPr>
          <w:rFonts w:ascii="Arial" w:hAnsi="Arial" w:cs="Arial"/>
          <w:lang w:val="en-US"/>
        </w:rPr>
        <w:t xml:space="preserve">In </w:t>
      </w:r>
    </w:p>
  </w:footnote>
  <w:footnote w:id="48">
    <w:p w14:paraId="2FE3296C" w14:textId="77777777" w:rsidR="002A5DAD" w:rsidRPr="003C57F5" w:rsidRDefault="002A5DAD" w:rsidP="0072694E">
      <w:pPr>
        <w:pStyle w:val="FootnoteText"/>
        <w:rPr>
          <w:lang w:val="en-US"/>
        </w:rPr>
      </w:pPr>
      <w:r>
        <w:rPr>
          <w:rStyle w:val="FootnoteReference"/>
        </w:rPr>
        <w:footnoteRef/>
      </w:r>
      <w:r>
        <w:t xml:space="preserve"> </w:t>
      </w:r>
      <w:r w:rsidRPr="003C57F5">
        <w:rPr>
          <w:rFonts w:ascii="Arial" w:hAnsi="Arial" w:cs="Arial"/>
          <w:color w:val="242121"/>
          <w:shd w:val="clear" w:color="auto" w:fill="FFFFFF"/>
        </w:rPr>
        <w:t>Compare Elliott et al (eds) </w:t>
      </w:r>
      <w:r w:rsidRPr="003C57F5">
        <w:rPr>
          <w:rFonts w:ascii="Arial" w:hAnsi="Arial" w:cs="Arial"/>
          <w:i/>
          <w:iCs/>
          <w:color w:val="242121"/>
          <w:shd w:val="clear" w:color="auto" w:fill="FFFFFF"/>
        </w:rPr>
        <w:t>Administrative Law: Text and Materials</w:t>
      </w:r>
      <w:r w:rsidRPr="003C57F5">
        <w:rPr>
          <w:rFonts w:ascii="Arial" w:hAnsi="Arial" w:cs="Arial"/>
          <w:color w:val="242121"/>
          <w:shd w:val="clear" w:color="auto" w:fill="FFFFFF"/>
        </w:rPr>
        <w:t> 3ed (Oxford University Press, Oxford 2005) 162-6.</w:t>
      </w:r>
    </w:p>
  </w:footnote>
  <w:footnote w:id="49">
    <w:p w14:paraId="38B8D57F" w14:textId="77777777" w:rsidR="002A5DAD" w:rsidRPr="003C57F5" w:rsidRDefault="002A5DAD" w:rsidP="0072694E">
      <w:pPr>
        <w:pStyle w:val="Heading2"/>
        <w:shd w:val="clear" w:color="auto" w:fill="FFFFFF"/>
        <w:spacing w:before="240" w:after="180" w:line="288" w:lineRule="atLeast"/>
        <w:rPr>
          <w:rFonts w:ascii="Arial" w:eastAsia="Times New Roman" w:hAnsi="Arial" w:cs="Arial"/>
          <w:color w:val="auto"/>
          <w:kern w:val="0"/>
          <w:sz w:val="20"/>
          <w:szCs w:val="20"/>
          <w:lang w:val="en-US"/>
          <w14:ligatures w14:val="none"/>
        </w:rPr>
      </w:pPr>
      <w:r w:rsidRPr="003C57F5">
        <w:rPr>
          <w:rStyle w:val="FootnoteReference"/>
          <w:rFonts w:ascii="Arial" w:hAnsi="Arial" w:cs="Arial"/>
          <w:color w:val="auto"/>
          <w:sz w:val="20"/>
          <w:szCs w:val="20"/>
        </w:rPr>
        <w:footnoteRef/>
      </w:r>
      <w:r>
        <w:t xml:space="preserve"> </w:t>
      </w:r>
      <w:r w:rsidRPr="003C57F5">
        <w:rPr>
          <w:rFonts w:ascii="Arial" w:eastAsia="Times New Roman" w:hAnsi="Arial" w:cs="Arial"/>
          <w:color w:val="auto"/>
          <w:kern w:val="0"/>
          <w:sz w:val="20"/>
          <w:szCs w:val="20"/>
          <w:lang w:val="en-US"/>
          <w14:ligatures w14:val="none"/>
        </w:rPr>
        <w:t>2011 (4) SA 113 (CC); 2011 (3) BCLR 229 (CC)</w:t>
      </w:r>
    </w:p>
    <w:p w14:paraId="25E34AFF" w14:textId="77777777" w:rsidR="002A5DAD" w:rsidRPr="003C57F5" w:rsidRDefault="002A5DAD" w:rsidP="0072694E">
      <w:pPr>
        <w:pStyle w:val="FootnoteText"/>
        <w:rPr>
          <w:lang w:val="en-US"/>
        </w:rPr>
      </w:pPr>
    </w:p>
  </w:footnote>
  <w:footnote w:id="50">
    <w:p w14:paraId="7F77D88D" w14:textId="77777777" w:rsidR="002A5DAD" w:rsidRPr="001E15C4" w:rsidRDefault="002A5DAD" w:rsidP="003C57F5">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2014 (3) BCLR 265 (CC).</w:t>
      </w:r>
    </w:p>
  </w:footnote>
  <w:footnote w:id="51">
    <w:p w14:paraId="3747683E" w14:textId="05E30406"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iCs/>
        </w:rPr>
        <w:t>Ibid</w:t>
      </w:r>
      <w:r w:rsidRPr="001E15C4">
        <w:rPr>
          <w:rFonts w:ascii="Arial" w:hAnsi="Arial" w:cs="Arial"/>
        </w:rPr>
        <w:t xml:space="preserve"> at 115, 116 &amp; 134.</w:t>
      </w:r>
    </w:p>
  </w:footnote>
  <w:footnote w:id="52">
    <w:p w14:paraId="10FEBBFF" w14:textId="22E29E85" w:rsidR="002A5DAD" w:rsidRPr="001E15C4" w:rsidRDefault="002A5DAD" w:rsidP="003058F4">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Note 29 above.</w:t>
      </w:r>
    </w:p>
  </w:footnote>
  <w:footnote w:id="53">
    <w:p w14:paraId="177EE1CF" w14:textId="77777777" w:rsidR="002A5DAD" w:rsidRPr="001E15C4" w:rsidRDefault="002A5DAD" w:rsidP="003058F4">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2015 (5) SA 245 (CC) para 47.</w:t>
      </w:r>
    </w:p>
  </w:footnote>
  <w:footnote w:id="54">
    <w:p w14:paraId="79A98734" w14:textId="77777777" w:rsidR="002A5DAD" w:rsidRPr="001E15C4" w:rsidRDefault="002A5DAD" w:rsidP="003058F4">
      <w:pPr>
        <w:pStyle w:val="FootnoteText"/>
        <w:rPr>
          <w:rFonts w:ascii="Arial" w:hAnsi="Arial" w:cs="Arial"/>
          <w:lang w:val="en-GB"/>
        </w:rPr>
      </w:pPr>
      <w:r w:rsidRPr="001E15C4">
        <w:rPr>
          <w:rStyle w:val="FootnoteReference"/>
          <w:rFonts w:ascii="Arial" w:hAnsi="Arial" w:cs="Arial"/>
        </w:rPr>
        <w:footnoteRef/>
      </w:r>
      <w:r w:rsidRPr="001E15C4">
        <w:rPr>
          <w:rFonts w:ascii="Arial" w:hAnsi="Arial" w:cs="Arial"/>
        </w:rPr>
        <w:t xml:space="preserve"> </w:t>
      </w:r>
      <w:r w:rsidRPr="001E15C4">
        <w:rPr>
          <w:rFonts w:ascii="Arial" w:hAnsi="Arial" w:cs="Arial"/>
          <w:i/>
          <w:lang w:val="en-GB"/>
        </w:rPr>
        <w:t>Ibid</w:t>
      </w:r>
      <w:r w:rsidRPr="001E15C4">
        <w:rPr>
          <w:rFonts w:ascii="Arial" w:hAnsi="Arial" w:cs="Arial"/>
          <w:lang w:val="en-GB"/>
        </w:rPr>
        <w:t xml:space="preserve"> at para 47-50.  </w:t>
      </w:r>
    </w:p>
  </w:footnote>
  <w:footnote w:id="55">
    <w:p w14:paraId="4EE004B8" w14:textId="2C08F8A1" w:rsidR="002A5DAD" w:rsidRPr="001E15C4" w:rsidRDefault="002A5DAD">
      <w:pPr>
        <w:pStyle w:val="FootnoteText"/>
        <w:rPr>
          <w:rFonts w:ascii="Arial" w:hAnsi="Arial" w:cs="Arial"/>
        </w:rPr>
      </w:pPr>
      <w:r w:rsidRPr="001E15C4">
        <w:rPr>
          <w:rStyle w:val="FootnoteReference"/>
          <w:rFonts w:ascii="Arial" w:hAnsi="Arial" w:cs="Arial"/>
        </w:rPr>
        <w:footnoteRef/>
      </w:r>
      <w:r w:rsidRPr="001E15C4">
        <w:rPr>
          <w:rFonts w:ascii="Arial" w:hAnsi="Arial" w:cs="Arial"/>
        </w:rPr>
        <w:t xml:space="preserve"> 2015 (5) SA 245 (CC) para 47-50.</w:t>
      </w:r>
    </w:p>
  </w:footnote>
  <w:footnote w:id="56">
    <w:p w14:paraId="77D4E6EA" w14:textId="37D1D460" w:rsidR="002A5DAD" w:rsidRPr="00864E8F" w:rsidRDefault="002A5DAD">
      <w:pPr>
        <w:pStyle w:val="FootnoteText"/>
        <w:rPr>
          <w:rFonts w:cstheme="minorHAnsi"/>
          <w:lang w:val="en-US"/>
        </w:rPr>
      </w:pPr>
      <w:r>
        <w:rPr>
          <w:rStyle w:val="FootnoteReference"/>
        </w:rPr>
        <w:footnoteRef/>
      </w:r>
      <w:r>
        <w:t xml:space="preserve"> </w:t>
      </w:r>
      <w:r w:rsidRPr="00864E8F">
        <w:rPr>
          <w:rFonts w:cstheme="minorHAnsi"/>
          <w:i/>
          <w:iCs/>
          <w:color w:val="242121"/>
          <w:shd w:val="clear" w:color="auto" w:fill="FFFFFF"/>
        </w:rPr>
        <w:t>Agriculture Research Council v SA  Stud Book and Animal Improvement Association and Others</w:t>
      </w:r>
      <w:r w:rsidRPr="00864E8F">
        <w:rPr>
          <w:rFonts w:cstheme="minorHAnsi"/>
          <w:color w:val="242121"/>
          <w:shd w:val="clear" w:color="auto" w:fill="FFFFFF"/>
        </w:rPr>
        <w:t>; In re: </w:t>
      </w:r>
      <w:r w:rsidRPr="00864E8F">
        <w:rPr>
          <w:rFonts w:cstheme="minorHAnsi"/>
          <w:i/>
          <w:iCs/>
          <w:color w:val="242121"/>
          <w:shd w:val="clear" w:color="auto" w:fill="FFFFFF"/>
        </w:rPr>
        <w:t>Anton Piller and Interdict Proceedings</w:t>
      </w:r>
      <w:r w:rsidRPr="00864E8F">
        <w:rPr>
          <w:rFonts w:cstheme="minorHAnsi"/>
          <w:color w:val="242121"/>
          <w:shd w:val="clear" w:color="auto" w:fill="FFFFFF"/>
        </w:rPr>
        <w:t> </w:t>
      </w:r>
      <w:hyperlink r:id="rId2" w:tooltip="View LawCiteRecord" w:history="1">
        <w:r w:rsidRPr="00864E8F">
          <w:rPr>
            <w:rFonts w:cstheme="minorHAnsi"/>
            <w:bCs/>
            <w:shd w:val="clear" w:color="auto" w:fill="FFFFFF"/>
          </w:rPr>
          <w:t>[2016] JOL 34325</w:t>
        </w:r>
      </w:hyperlink>
      <w:r w:rsidRPr="00864E8F">
        <w:rPr>
          <w:rFonts w:cstheme="minorHAnsi"/>
          <w:shd w:val="clear" w:color="auto" w:fill="FFFFFF"/>
        </w:rPr>
        <w:t> </w:t>
      </w:r>
      <w:r w:rsidRPr="00864E8F">
        <w:rPr>
          <w:rFonts w:cstheme="minorHAnsi"/>
          <w:color w:val="242121"/>
          <w:shd w:val="clear" w:color="auto" w:fill="FFFFFF"/>
        </w:rPr>
        <w:t>(FB) par 1 and 2</w:t>
      </w:r>
      <w:r>
        <w:rPr>
          <w:rFonts w:cstheme="minorHAnsi"/>
          <w:color w:val="242121"/>
          <w:shd w:val="clear" w:color="auto" w:fill="FFFFFF"/>
        </w:rPr>
        <w:t>.</w:t>
      </w:r>
    </w:p>
  </w:footnote>
  <w:footnote w:id="57">
    <w:p w14:paraId="05B8892B" w14:textId="2B73425B" w:rsidR="002A5DAD" w:rsidRPr="0006745B" w:rsidRDefault="002A5DAD">
      <w:pPr>
        <w:pStyle w:val="FootnoteText"/>
        <w:rPr>
          <w:lang w:val="en-US"/>
        </w:rPr>
      </w:pPr>
      <w:r>
        <w:rPr>
          <w:rStyle w:val="FootnoteReference"/>
        </w:rPr>
        <w:footnoteRef/>
      </w:r>
      <w:r>
        <w:t xml:space="preserve"> </w:t>
      </w:r>
      <w:hyperlink r:id="rId3" w:tooltip="View LawCiteRecord" w:history="1">
        <w:r w:rsidRPr="000C5448">
          <w:rPr>
            <w:rFonts w:cstheme="minorHAnsi"/>
            <w:bCs/>
            <w:shd w:val="clear" w:color="auto" w:fill="FFFFFF"/>
          </w:rPr>
          <w:t>[2015] JOL 32690</w:t>
        </w:r>
      </w:hyperlink>
      <w:r w:rsidRPr="000C5448">
        <w:rPr>
          <w:rFonts w:cstheme="minorHAnsi"/>
          <w:shd w:val="clear" w:color="auto" w:fill="FFFFFF"/>
        </w:rPr>
        <w:t> (KZD)</w:t>
      </w:r>
    </w:p>
  </w:footnote>
  <w:footnote w:id="58">
    <w:p w14:paraId="286D97D9" w14:textId="77777777" w:rsidR="00CD1EFD" w:rsidRPr="000C5448" w:rsidRDefault="00CD1EFD" w:rsidP="00CD1EFD">
      <w:pPr>
        <w:pStyle w:val="FootnoteText"/>
        <w:rPr>
          <w:lang w:val="en-US"/>
        </w:rPr>
      </w:pPr>
      <w:r>
        <w:rPr>
          <w:rStyle w:val="FootnoteReference"/>
        </w:rPr>
        <w:footnoteRef/>
      </w:r>
      <w:hyperlink r:id="rId4" w:tooltip="View LawCiteRecord" w:history="1">
        <w:r w:rsidRPr="000C5448">
          <w:rPr>
            <w:rFonts w:cstheme="minorHAnsi"/>
            <w:bCs/>
            <w:shd w:val="clear" w:color="auto" w:fill="FFFFFF"/>
          </w:rPr>
          <w:t>1996 (2) SA 621</w:t>
        </w:r>
      </w:hyperlink>
      <w:r w:rsidRPr="000C5448">
        <w:rPr>
          <w:rFonts w:cstheme="minorHAnsi"/>
          <w:shd w:val="clear" w:color="auto" w:fill="FFFFFF"/>
        </w:rPr>
        <w:t> </w:t>
      </w:r>
      <w:r w:rsidRPr="000C5448">
        <w:rPr>
          <w:rFonts w:ascii="Arial" w:hAnsi="Arial" w:cs="Arial"/>
          <w:color w:val="242121"/>
          <w:sz w:val="18"/>
          <w:szCs w:val="18"/>
          <w:shd w:val="clear" w:color="auto" w:fill="FFFFFF"/>
        </w:rPr>
        <w:t>(CC) at 624B—C (par [3]).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768"/>
    <w:multiLevelType w:val="hybridMultilevel"/>
    <w:tmpl w:val="AB9E6B20"/>
    <w:lvl w:ilvl="0" w:tplc="78CE09E6">
      <w:start w:val="1"/>
      <w:numFmt w:val="decimal"/>
      <w:lvlText w:val="(%1)"/>
      <w:lvlJc w:val="left"/>
      <w:pPr>
        <w:ind w:left="2650" w:hanging="36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1">
    <w:nsid w:val="06412C52"/>
    <w:multiLevelType w:val="hybridMultilevel"/>
    <w:tmpl w:val="223A6DA4"/>
    <w:lvl w:ilvl="0" w:tplc="B4F6EC30">
      <w:start w:val="1"/>
      <w:numFmt w:val="decimal"/>
      <w:lvlText w:val="(%1)"/>
      <w:lvlJc w:val="left"/>
      <w:pPr>
        <w:ind w:left="1644" w:hanging="360"/>
      </w:pPr>
      <w:rPr>
        <w:rFonts w:ascii="Arial" w:eastAsia="Times New Roman" w:hAnsi="Arial" w:cs="Arial"/>
      </w:rPr>
    </w:lvl>
    <w:lvl w:ilvl="1" w:tplc="1C090019">
      <w:start w:val="1"/>
      <w:numFmt w:val="lowerLetter"/>
      <w:lvlText w:val="%2."/>
      <w:lvlJc w:val="left"/>
      <w:pPr>
        <w:ind w:left="2364" w:hanging="360"/>
      </w:pPr>
    </w:lvl>
    <w:lvl w:ilvl="2" w:tplc="1C09001B" w:tentative="1">
      <w:start w:val="1"/>
      <w:numFmt w:val="lowerRoman"/>
      <w:lvlText w:val="%3."/>
      <w:lvlJc w:val="right"/>
      <w:pPr>
        <w:ind w:left="3084" w:hanging="180"/>
      </w:pPr>
    </w:lvl>
    <w:lvl w:ilvl="3" w:tplc="1C09000F" w:tentative="1">
      <w:start w:val="1"/>
      <w:numFmt w:val="decimal"/>
      <w:lvlText w:val="%4."/>
      <w:lvlJc w:val="left"/>
      <w:pPr>
        <w:ind w:left="3804" w:hanging="360"/>
      </w:pPr>
    </w:lvl>
    <w:lvl w:ilvl="4" w:tplc="1C090019" w:tentative="1">
      <w:start w:val="1"/>
      <w:numFmt w:val="lowerLetter"/>
      <w:lvlText w:val="%5."/>
      <w:lvlJc w:val="left"/>
      <w:pPr>
        <w:ind w:left="4524" w:hanging="360"/>
      </w:pPr>
    </w:lvl>
    <w:lvl w:ilvl="5" w:tplc="1C09001B" w:tentative="1">
      <w:start w:val="1"/>
      <w:numFmt w:val="lowerRoman"/>
      <w:lvlText w:val="%6."/>
      <w:lvlJc w:val="right"/>
      <w:pPr>
        <w:ind w:left="5244" w:hanging="180"/>
      </w:pPr>
    </w:lvl>
    <w:lvl w:ilvl="6" w:tplc="1C09000F" w:tentative="1">
      <w:start w:val="1"/>
      <w:numFmt w:val="decimal"/>
      <w:lvlText w:val="%7."/>
      <w:lvlJc w:val="left"/>
      <w:pPr>
        <w:ind w:left="5964" w:hanging="360"/>
      </w:pPr>
    </w:lvl>
    <w:lvl w:ilvl="7" w:tplc="1C090019" w:tentative="1">
      <w:start w:val="1"/>
      <w:numFmt w:val="lowerLetter"/>
      <w:lvlText w:val="%8."/>
      <w:lvlJc w:val="left"/>
      <w:pPr>
        <w:ind w:left="6684" w:hanging="360"/>
      </w:pPr>
    </w:lvl>
    <w:lvl w:ilvl="8" w:tplc="1C09001B" w:tentative="1">
      <w:start w:val="1"/>
      <w:numFmt w:val="lowerRoman"/>
      <w:lvlText w:val="%9."/>
      <w:lvlJc w:val="right"/>
      <w:pPr>
        <w:ind w:left="7404" w:hanging="180"/>
      </w:pPr>
    </w:lvl>
  </w:abstractNum>
  <w:abstractNum w:abstractNumId="2">
    <w:nsid w:val="08EE419C"/>
    <w:multiLevelType w:val="hybridMultilevel"/>
    <w:tmpl w:val="25D48C2E"/>
    <w:lvl w:ilvl="0" w:tplc="2CCE2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7754E9"/>
    <w:multiLevelType w:val="hybridMultilevel"/>
    <w:tmpl w:val="58A2BB9C"/>
    <w:lvl w:ilvl="0" w:tplc="FB78BB68">
      <w:start w:val="4"/>
      <w:numFmt w:val="decimal"/>
      <w:lvlText w:val="[%1]"/>
      <w:lvlJc w:val="left"/>
      <w:pPr>
        <w:ind w:left="1287"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nsid w:val="0BE27E33"/>
    <w:multiLevelType w:val="hybridMultilevel"/>
    <w:tmpl w:val="6C2A0072"/>
    <w:lvl w:ilvl="0" w:tplc="A6101F6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D573AFF"/>
    <w:multiLevelType w:val="hybridMultilevel"/>
    <w:tmpl w:val="13B442DC"/>
    <w:lvl w:ilvl="0" w:tplc="3FE496FA">
      <w:start w:val="1"/>
      <w:numFmt w:val="upperRoman"/>
      <w:lvlText w:val="%1."/>
      <w:lvlJc w:val="right"/>
      <w:pPr>
        <w:ind w:left="1287" w:hanging="360"/>
      </w:pPr>
      <w:rPr>
        <w:sz w:val="18"/>
        <w:szCs w:val="18"/>
      </w:rPr>
    </w:lvl>
    <w:lvl w:ilvl="1" w:tplc="1C090019">
      <w:start w:val="1"/>
      <w:numFmt w:val="lowerLetter"/>
      <w:lvlText w:val="%2."/>
      <w:lvlJc w:val="left"/>
      <w:pPr>
        <w:ind w:left="1620"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24975E5A"/>
    <w:multiLevelType w:val="hybridMultilevel"/>
    <w:tmpl w:val="440E5A08"/>
    <w:lvl w:ilvl="0" w:tplc="3306F942">
      <w:start w:val="1"/>
      <w:numFmt w:val="decimal"/>
      <w:lvlText w:val="[%1]"/>
      <w:lvlJc w:val="left"/>
      <w:pPr>
        <w:ind w:left="990"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2E3C68"/>
    <w:multiLevelType w:val="hybridMultilevel"/>
    <w:tmpl w:val="5FCC8382"/>
    <w:lvl w:ilvl="0" w:tplc="570E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93514"/>
    <w:multiLevelType w:val="hybridMultilevel"/>
    <w:tmpl w:val="F6A022DE"/>
    <w:lvl w:ilvl="0" w:tplc="1ED2BA8C">
      <w:start w:val="115"/>
      <w:numFmt w:val="decimal"/>
      <w:lvlText w:val="[%1]"/>
      <w:lvlJc w:val="left"/>
      <w:pPr>
        <w:ind w:left="1245" w:hanging="360"/>
      </w:pPr>
      <w:rPr>
        <w:rFonts w:hint="default"/>
      </w:rPr>
    </w:lvl>
    <w:lvl w:ilvl="1" w:tplc="1C090019" w:tentative="1">
      <w:start w:val="1"/>
      <w:numFmt w:val="lowerLetter"/>
      <w:lvlText w:val="%2."/>
      <w:lvlJc w:val="left"/>
      <w:pPr>
        <w:ind w:left="1398" w:hanging="360"/>
      </w:pPr>
    </w:lvl>
    <w:lvl w:ilvl="2" w:tplc="1C09001B" w:tentative="1">
      <w:start w:val="1"/>
      <w:numFmt w:val="lowerRoman"/>
      <w:lvlText w:val="%3."/>
      <w:lvlJc w:val="right"/>
      <w:pPr>
        <w:ind w:left="2118" w:hanging="180"/>
      </w:pPr>
    </w:lvl>
    <w:lvl w:ilvl="3" w:tplc="1C09000F" w:tentative="1">
      <w:start w:val="1"/>
      <w:numFmt w:val="decimal"/>
      <w:lvlText w:val="%4."/>
      <w:lvlJc w:val="left"/>
      <w:pPr>
        <w:ind w:left="2838" w:hanging="360"/>
      </w:pPr>
    </w:lvl>
    <w:lvl w:ilvl="4" w:tplc="1C090019" w:tentative="1">
      <w:start w:val="1"/>
      <w:numFmt w:val="lowerLetter"/>
      <w:lvlText w:val="%5."/>
      <w:lvlJc w:val="left"/>
      <w:pPr>
        <w:ind w:left="3558" w:hanging="360"/>
      </w:pPr>
    </w:lvl>
    <w:lvl w:ilvl="5" w:tplc="1C09001B" w:tentative="1">
      <w:start w:val="1"/>
      <w:numFmt w:val="lowerRoman"/>
      <w:lvlText w:val="%6."/>
      <w:lvlJc w:val="right"/>
      <w:pPr>
        <w:ind w:left="4278" w:hanging="180"/>
      </w:pPr>
    </w:lvl>
    <w:lvl w:ilvl="6" w:tplc="1C09000F" w:tentative="1">
      <w:start w:val="1"/>
      <w:numFmt w:val="decimal"/>
      <w:lvlText w:val="%7."/>
      <w:lvlJc w:val="left"/>
      <w:pPr>
        <w:ind w:left="4998" w:hanging="360"/>
      </w:pPr>
    </w:lvl>
    <w:lvl w:ilvl="7" w:tplc="1C090019" w:tentative="1">
      <w:start w:val="1"/>
      <w:numFmt w:val="lowerLetter"/>
      <w:lvlText w:val="%8."/>
      <w:lvlJc w:val="left"/>
      <w:pPr>
        <w:ind w:left="5718" w:hanging="360"/>
      </w:pPr>
    </w:lvl>
    <w:lvl w:ilvl="8" w:tplc="1C09001B" w:tentative="1">
      <w:start w:val="1"/>
      <w:numFmt w:val="lowerRoman"/>
      <w:lvlText w:val="%9."/>
      <w:lvlJc w:val="right"/>
      <w:pPr>
        <w:ind w:left="6438" w:hanging="180"/>
      </w:pPr>
    </w:lvl>
  </w:abstractNum>
  <w:abstractNum w:abstractNumId="10">
    <w:nsid w:val="2E313D35"/>
    <w:multiLevelType w:val="hybridMultilevel"/>
    <w:tmpl w:val="F7E80236"/>
    <w:lvl w:ilvl="0" w:tplc="78CE09E6">
      <w:start w:val="1"/>
      <w:numFmt w:val="decimal"/>
      <w:lvlText w:val="(%1)"/>
      <w:lvlJc w:val="left"/>
      <w:pPr>
        <w:ind w:left="2650" w:hanging="36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11">
    <w:nsid w:val="345B3326"/>
    <w:multiLevelType w:val="hybridMultilevel"/>
    <w:tmpl w:val="F7783B7C"/>
    <w:lvl w:ilvl="0" w:tplc="9D741892">
      <w:start w:val="1"/>
      <w:numFmt w:val="lowerLetter"/>
      <w:lvlText w:val="(%1)"/>
      <w:lvlJc w:val="left"/>
      <w:pPr>
        <w:ind w:left="2511" w:hanging="360"/>
      </w:pPr>
      <w:rPr>
        <w:rFonts w:hint="default"/>
      </w:rPr>
    </w:lvl>
    <w:lvl w:ilvl="1" w:tplc="1C090019" w:tentative="1">
      <w:start w:val="1"/>
      <w:numFmt w:val="lowerLetter"/>
      <w:lvlText w:val="%2."/>
      <w:lvlJc w:val="left"/>
      <w:pPr>
        <w:ind w:left="3231" w:hanging="360"/>
      </w:pPr>
    </w:lvl>
    <w:lvl w:ilvl="2" w:tplc="1C09001B" w:tentative="1">
      <w:start w:val="1"/>
      <w:numFmt w:val="lowerRoman"/>
      <w:lvlText w:val="%3."/>
      <w:lvlJc w:val="right"/>
      <w:pPr>
        <w:ind w:left="3951" w:hanging="180"/>
      </w:pPr>
    </w:lvl>
    <w:lvl w:ilvl="3" w:tplc="1C09000F" w:tentative="1">
      <w:start w:val="1"/>
      <w:numFmt w:val="decimal"/>
      <w:lvlText w:val="%4."/>
      <w:lvlJc w:val="left"/>
      <w:pPr>
        <w:ind w:left="4671" w:hanging="360"/>
      </w:pPr>
    </w:lvl>
    <w:lvl w:ilvl="4" w:tplc="1C090019" w:tentative="1">
      <w:start w:val="1"/>
      <w:numFmt w:val="lowerLetter"/>
      <w:lvlText w:val="%5."/>
      <w:lvlJc w:val="left"/>
      <w:pPr>
        <w:ind w:left="5391" w:hanging="360"/>
      </w:pPr>
    </w:lvl>
    <w:lvl w:ilvl="5" w:tplc="1C09001B" w:tentative="1">
      <w:start w:val="1"/>
      <w:numFmt w:val="lowerRoman"/>
      <w:lvlText w:val="%6."/>
      <w:lvlJc w:val="right"/>
      <w:pPr>
        <w:ind w:left="6111" w:hanging="180"/>
      </w:pPr>
    </w:lvl>
    <w:lvl w:ilvl="6" w:tplc="1C09000F" w:tentative="1">
      <w:start w:val="1"/>
      <w:numFmt w:val="decimal"/>
      <w:lvlText w:val="%7."/>
      <w:lvlJc w:val="left"/>
      <w:pPr>
        <w:ind w:left="6831" w:hanging="360"/>
      </w:pPr>
    </w:lvl>
    <w:lvl w:ilvl="7" w:tplc="1C090019" w:tentative="1">
      <w:start w:val="1"/>
      <w:numFmt w:val="lowerLetter"/>
      <w:lvlText w:val="%8."/>
      <w:lvlJc w:val="left"/>
      <w:pPr>
        <w:ind w:left="7551" w:hanging="360"/>
      </w:pPr>
    </w:lvl>
    <w:lvl w:ilvl="8" w:tplc="1C09001B" w:tentative="1">
      <w:start w:val="1"/>
      <w:numFmt w:val="lowerRoman"/>
      <w:lvlText w:val="%9."/>
      <w:lvlJc w:val="right"/>
      <w:pPr>
        <w:ind w:left="8271" w:hanging="180"/>
      </w:pPr>
    </w:lvl>
  </w:abstractNum>
  <w:abstractNum w:abstractNumId="12">
    <w:nsid w:val="3D8E241F"/>
    <w:multiLevelType w:val="hybridMultilevel"/>
    <w:tmpl w:val="A182A264"/>
    <w:lvl w:ilvl="0" w:tplc="6AB41994">
      <w:start w:val="1"/>
      <w:numFmt w:val="lowerLetter"/>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13">
    <w:nsid w:val="42B551C6"/>
    <w:multiLevelType w:val="hybridMultilevel"/>
    <w:tmpl w:val="C5F615D2"/>
    <w:lvl w:ilvl="0" w:tplc="85BCFA4C">
      <w:start w:val="1"/>
      <w:numFmt w:val="decimal"/>
      <w:lvlText w:val="(%1)"/>
      <w:lvlJc w:val="left"/>
      <w:pPr>
        <w:ind w:left="1004" w:hanging="360"/>
      </w:pPr>
      <w:rPr>
        <w:rFonts w:ascii="Arial" w:eastAsiaTheme="minorHAnsi"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4">
    <w:nsid w:val="475A19DA"/>
    <w:multiLevelType w:val="hybridMultilevel"/>
    <w:tmpl w:val="0D302DB6"/>
    <w:lvl w:ilvl="0" w:tplc="9D741892">
      <w:start w:val="1"/>
      <w:numFmt w:val="lowerLetter"/>
      <w:lvlText w:val="(%1)"/>
      <w:lvlJc w:val="left"/>
      <w:pPr>
        <w:ind w:left="939" w:hanging="360"/>
      </w:pPr>
      <w:rPr>
        <w:rFonts w:hint="default"/>
      </w:rPr>
    </w:lvl>
    <w:lvl w:ilvl="1" w:tplc="1C090019" w:tentative="1">
      <w:start w:val="1"/>
      <w:numFmt w:val="lowerLetter"/>
      <w:lvlText w:val="%2."/>
      <w:lvlJc w:val="left"/>
      <w:pPr>
        <w:ind w:left="1659" w:hanging="360"/>
      </w:pPr>
    </w:lvl>
    <w:lvl w:ilvl="2" w:tplc="1C09001B" w:tentative="1">
      <w:start w:val="1"/>
      <w:numFmt w:val="lowerRoman"/>
      <w:lvlText w:val="%3."/>
      <w:lvlJc w:val="right"/>
      <w:pPr>
        <w:ind w:left="2379" w:hanging="180"/>
      </w:pPr>
    </w:lvl>
    <w:lvl w:ilvl="3" w:tplc="1C09000F" w:tentative="1">
      <w:start w:val="1"/>
      <w:numFmt w:val="decimal"/>
      <w:lvlText w:val="%4."/>
      <w:lvlJc w:val="left"/>
      <w:pPr>
        <w:ind w:left="3099" w:hanging="360"/>
      </w:pPr>
    </w:lvl>
    <w:lvl w:ilvl="4" w:tplc="1C090019" w:tentative="1">
      <w:start w:val="1"/>
      <w:numFmt w:val="lowerLetter"/>
      <w:lvlText w:val="%5."/>
      <w:lvlJc w:val="left"/>
      <w:pPr>
        <w:ind w:left="3819" w:hanging="360"/>
      </w:pPr>
    </w:lvl>
    <w:lvl w:ilvl="5" w:tplc="1C09001B" w:tentative="1">
      <w:start w:val="1"/>
      <w:numFmt w:val="lowerRoman"/>
      <w:lvlText w:val="%6."/>
      <w:lvlJc w:val="right"/>
      <w:pPr>
        <w:ind w:left="4539" w:hanging="180"/>
      </w:pPr>
    </w:lvl>
    <w:lvl w:ilvl="6" w:tplc="1C09000F" w:tentative="1">
      <w:start w:val="1"/>
      <w:numFmt w:val="decimal"/>
      <w:lvlText w:val="%7."/>
      <w:lvlJc w:val="left"/>
      <w:pPr>
        <w:ind w:left="5259" w:hanging="360"/>
      </w:pPr>
    </w:lvl>
    <w:lvl w:ilvl="7" w:tplc="1C090019" w:tentative="1">
      <w:start w:val="1"/>
      <w:numFmt w:val="lowerLetter"/>
      <w:lvlText w:val="%8."/>
      <w:lvlJc w:val="left"/>
      <w:pPr>
        <w:ind w:left="5979" w:hanging="360"/>
      </w:pPr>
    </w:lvl>
    <w:lvl w:ilvl="8" w:tplc="1C09001B" w:tentative="1">
      <w:start w:val="1"/>
      <w:numFmt w:val="lowerRoman"/>
      <w:lvlText w:val="%9."/>
      <w:lvlJc w:val="right"/>
      <w:pPr>
        <w:ind w:left="6699" w:hanging="180"/>
      </w:pPr>
    </w:lvl>
  </w:abstractNum>
  <w:abstractNum w:abstractNumId="15">
    <w:nsid w:val="48662644"/>
    <w:multiLevelType w:val="hybridMultilevel"/>
    <w:tmpl w:val="4F329728"/>
    <w:lvl w:ilvl="0" w:tplc="2F564B62">
      <w:start w:val="2"/>
      <w:numFmt w:val="decimal"/>
      <w:lvlText w:val="(%1)"/>
      <w:lvlJc w:val="left"/>
      <w:pPr>
        <w:ind w:left="1723" w:hanging="360"/>
      </w:pPr>
      <w:rPr>
        <w:rFonts w:hint="default"/>
      </w:r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16">
    <w:nsid w:val="49562ECF"/>
    <w:multiLevelType w:val="hybridMultilevel"/>
    <w:tmpl w:val="63BC9C8C"/>
    <w:lvl w:ilvl="0" w:tplc="3FE496FA">
      <w:start w:val="1"/>
      <w:numFmt w:val="upperRoman"/>
      <w:lvlText w:val="%1."/>
      <w:lvlJc w:val="right"/>
      <w:pPr>
        <w:ind w:left="1287" w:hanging="360"/>
      </w:pPr>
      <w:rPr>
        <w:sz w:val="18"/>
        <w:szCs w:val="18"/>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5515439C"/>
    <w:multiLevelType w:val="hybridMultilevel"/>
    <w:tmpl w:val="FD0A1380"/>
    <w:lvl w:ilvl="0" w:tplc="ED92991C">
      <w:start w:val="26"/>
      <w:numFmt w:val="decimal"/>
      <w:lvlText w:val="[%1]"/>
      <w:lvlJc w:val="left"/>
      <w:pPr>
        <w:ind w:left="1287"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7E8207A"/>
    <w:multiLevelType w:val="hybridMultilevel"/>
    <w:tmpl w:val="562C4DD0"/>
    <w:lvl w:ilvl="0" w:tplc="7298BDB8">
      <w:start w:val="24"/>
      <w:numFmt w:val="decimal"/>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D0455E"/>
    <w:multiLevelType w:val="hybridMultilevel"/>
    <w:tmpl w:val="B0401C7E"/>
    <w:lvl w:ilvl="0" w:tplc="BF467BC0">
      <w:start w:val="134"/>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7C1952"/>
    <w:multiLevelType w:val="hybridMultilevel"/>
    <w:tmpl w:val="4364D76E"/>
    <w:lvl w:ilvl="0" w:tplc="22FA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644AB"/>
    <w:multiLevelType w:val="hybridMultilevel"/>
    <w:tmpl w:val="FA2606C8"/>
    <w:lvl w:ilvl="0" w:tplc="27069DD8">
      <w:start w:val="1"/>
      <w:numFmt w:val="decimal"/>
      <w:lvlText w:val="(%1)"/>
      <w:lvlJc w:val="left"/>
      <w:pPr>
        <w:ind w:left="1039" w:hanging="396"/>
      </w:pPr>
      <w:rPr>
        <w:rFonts w:hint="default"/>
      </w:r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2">
    <w:nsid w:val="6CDB6686"/>
    <w:multiLevelType w:val="hybridMultilevel"/>
    <w:tmpl w:val="236A17B2"/>
    <w:lvl w:ilvl="0" w:tplc="76B6C3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FA671FA"/>
    <w:multiLevelType w:val="hybridMultilevel"/>
    <w:tmpl w:val="B97EC7DE"/>
    <w:lvl w:ilvl="0" w:tplc="8A2078B2">
      <w:start w:val="65"/>
      <w:numFmt w:val="decimal"/>
      <w:lvlText w:val="[%1]"/>
      <w:lvlJc w:val="left"/>
      <w:pPr>
        <w:ind w:left="3031" w:hanging="360"/>
      </w:pPr>
      <w:rPr>
        <w:rFonts w:hint="default"/>
      </w:rPr>
    </w:lvl>
    <w:lvl w:ilvl="1" w:tplc="1C090019" w:tentative="1">
      <w:start w:val="1"/>
      <w:numFmt w:val="lowerLetter"/>
      <w:lvlText w:val="%2."/>
      <w:lvlJc w:val="left"/>
      <w:pPr>
        <w:ind w:left="3184" w:hanging="360"/>
      </w:pPr>
    </w:lvl>
    <w:lvl w:ilvl="2" w:tplc="1C09001B" w:tentative="1">
      <w:start w:val="1"/>
      <w:numFmt w:val="lowerRoman"/>
      <w:lvlText w:val="%3."/>
      <w:lvlJc w:val="right"/>
      <w:pPr>
        <w:ind w:left="3904" w:hanging="180"/>
      </w:pPr>
    </w:lvl>
    <w:lvl w:ilvl="3" w:tplc="1C09000F" w:tentative="1">
      <w:start w:val="1"/>
      <w:numFmt w:val="decimal"/>
      <w:lvlText w:val="%4."/>
      <w:lvlJc w:val="left"/>
      <w:pPr>
        <w:ind w:left="4624" w:hanging="360"/>
      </w:pPr>
    </w:lvl>
    <w:lvl w:ilvl="4" w:tplc="1C090019" w:tentative="1">
      <w:start w:val="1"/>
      <w:numFmt w:val="lowerLetter"/>
      <w:lvlText w:val="%5."/>
      <w:lvlJc w:val="left"/>
      <w:pPr>
        <w:ind w:left="5344" w:hanging="360"/>
      </w:pPr>
    </w:lvl>
    <w:lvl w:ilvl="5" w:tplc="1C09001B" w:tentative="1">
      <w:start w:val="1"/>
      <w:numFmt w:val="lowerRoman"/>
      <w:lvlText w:val="%6."/>
      <w:lvlJc w:val="right"/>
      <w:pPr>
        <w:ind w:left="6064" w:hanging="180"/>
      </w:pPr>
    </w:lvl>
    <w:lvl w:ilvl="6" w:tplc="1C09000F" w:tentative="1">
      <w:start w:val="1"/>
      <w:numFmt w:val="decimal"/>
      <w:lvlText w:val="%7."/>
      <w:lvlJc w:val="left"/>
      <w:pPr>
        <w:ind w:left="6784" w:hanging="360"/>
      </w:pPr>
    </w:lvl>
    <w:lvl w:ilvl="7" w:tplc="1C090019" w:tentative="1">
      <w:start w:val="1"/>
      <w:numFmt w:val="lowerLetter"/>
      <w:lvlText w:val="%8."/>
      <w:lvlJc w:val="left"/>
      <w:pPr>
        <w:ind w:left="7504" w:hanging="360"/>
      </w:pPr>
    </w:lvl>
    <w:lvl w:ilvl="8" w:tplc="1C09001B" w:tentative="1">
      <w:start w:val="1"/>
      <w:numFmt w:val="lowerRoman"/>
      <w:lvlText w:val="%9."/>
      <w:lvlJc w:val="right"/>
      <w:pPr>
        <w:ind w:left="8224" w:hanging="180"/>
      </w:pPr>
    </w:lvl>
  </w:abstractNum>
  <w:abstractNum w:abstractNumId="24">
    <w:nsid w:val="7C6E52DC"/>
    <w:multiLevelType w:val="hybridMultilevel"/>
    <w:tmpl w:val="4204DF38"/>
    <w:lvl w:ilvl="0" w:tplc="839A2052">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7"/>
  </w:num>
  <w:num w:numId="2">
    <w:abstractNumId w:val="6"/>
  </w:num>
  <w:num w:numId="3">
    <w:abstractNumId w:val="1"/>
  </w:num>
  <w:num w:numId="4">
    <w:abstractNumId w:val="23"/>
  </w:num>
  <w:num w:numId="5">
    <w:abstractNumId w:val="13"/>
  </w:num>
  <w:num w:numId="6">
    <w:abstractNumId w:val="11"/>
  </w:num>
  <w:num w:numId="7">
    <w:abstractNumId w:val="21"/>
  </w:num>
  <w:num w:numId="8">
    <w:abstractNumId w:val="14"/>
  </w:num>
  <w:num w:numId="9">
    <w:abstractNumId w:val="15"/>
  </w:num>
  <w:num w:numId="10">
    <w:abstractNumId w:val="9"/>
  </w:num>
  <w:num w:numId="11">
    <w:abstractNumId w:val="19"/>
  </w:num>
  <w:num w:numId="12">
    <w:abstractNumId w:val="3"/>
  </w:num>
  <w:num w:numId="13">
    <w:abstractNumId w:val="18"/>
  </w:num>
  <w:num w:numId="14">
    <w:abstractNumId w:val="17"/>
  </w:num>
  <w:num w:numId="15">
    <w:abstractNumId w:val="5"/>
  </w:num>
  <w:num w:numId="16">
    <w:abstractNumId w:val="0"/>
  </w:num>
  <w:num w:numId="17">
    <w:abstractNumId w:val="12"/>
  </w:num>
  <w:num w:numId="18">
    <w:abstractNumId w:val="10"/>
  </w:num>
  <w:num w:numId="19">
    <w:abstractNumId w:val="16"/>
  </w:num>
  <w:num w:numId="20">
    <w:abstractNumId w:val="24"/>
  </w:num>
  <w:num w:numId="21">
    <w:abstractNumId w:val="2"/>
  </w:num>
  <w:num w:numId="22">
    <w:abstractNumId w:val="8"/>
  </w:num>
  <w:num w:numId="23">
    <w:abstractNumId w:val="22"/>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5D"/>
    <w:rsid w:val="00000662"/>
    <w:rsid w:val="00001040"/>
    <w:rsid w:val="00001CC9"/>
    <w:rsid w:val="000022AE"/>
    <w:rsid w:val="00004662"/>
    <w:rsid w:val="00004D19"/>
    <w:rsid w:val="00005007"/>
    <w:rsid w:val="00007DF5"/>
    <w:rsid w:val="00010A6C"/>
    <w:rsid w:val="00010FD6"/>
    <w:rsid w:val="00011323"/>
    <w:rsid w:val="00011D31"/>
    <w:rsid w:val="00013EDF"/>
    <w:rsid w:val="00014316"/>
    <w:rsid w:val="00014835"/>
    <w:rsid w:val="00015299"/>
    <w:rsid w:val="00015B77"/>
    <w:rsid w:val="0001634C"/>
    <w:rsid w:val="000177C4"/>
    <w:rsid w:val="00020870"/>
    <w:rsid w:val="00020E3C"/>
    <w:rsid w:val="00022ECD"/>
    <w:rsid w:val="0002365D"/>
    <w:rsid w:val="00025F99"/>
    <w:rsid w:val="00026730"/>
    <w:rsid w:val="00031230"/>
    <w:rsid w:val="00032148"/>
    <w:rsid w:val="00035710"/>
    <w:rsid w:val="00037AB6"/>
    <w:rsid w:val="000408F9"/>
    <w:rsid w:val="00041111"/>
    <w:rsid w:val="000411EC"/>
    <w:rsid w:val="00043FA3"/>
    <w:rsid w:val="000445CF"/>
    <w:rsid w:val="00051015"/>
    <w:rsid w:val="00053E37"/>
    <w:rsid w:val="000547B5"/>
    <w:rsid w:val="0005542E"/>
    <w:rsid w:val="000572FA"/>
    <w:rsid w:val="00060E9D"/>
    <w:rsid w:val="000613A8"/>
    <w:rsid w:val="00063902"/>
    <w:rsid w:val="0006745B"/>
    <w:rsid w:val="00071A86"/>
    <w:rsid w:val="00075497"/>
    <w:rsid w:val="0007679D"/>
    <w:rsid w:val="00077AB1"/>
    <w:rsid w:val="00077D1C"/>
    <w:rsid w:val="000800E8"/>
    <w:rsid w:val="000850C2"/>
    <w:rsid w:val="00085B06"/>
    <w:rsid w:val="0008676A"/>
    <w:rsid w:val="00087F2B"/>
    <w:rsid w:val="0009037A"/>
    <w:rsid w:val="0009211E"/>
    <w:rsid w:val="000A1C72"/>
    <w:rsid w:val="000A1D61"/>
    <w:rsid w:val="000A2F55"/>
    <w:rsid w:val="000A3250"/>
    <w:rsid w:val="000A5C2B"/>
    <w:rsid w:val="000B3BF2"/>
    <w:rsid w:val="000B4552"/>
    <w:rsid w:val="000B5845"/>
    <w:rsid w:val="000B6C5D"/>
    <w:rsid w:val="000B6F90"/>
    <w:rsid w:val="000B79DC"/>
    <w:rsid w:val="000C1831"/>
    <w:rsid w:val="000C3062"/>
    <w:rsid w:val="000C5448"/>
    <w:rsid w:val="000C79A2"/>
    <w:rsid w:val="000D28F4"/>
    <w:rsid w:val="000D4DEB"/>
    <w:rsid w:val="000D78E0"/>
    <w:rsid w:val="000D7CD4"/>
    <w:rsid w:val="000E14E9"/>
    <w:rsid w:val="000E516D"/>
    <w:rsid w:val="000E6682"/>
    <w:rsid w:val="000E755D"/>
    <w:rsid w:val="000F76C2"/>
    <w:rsid w:val="000F7F03"/>
    <w:rsid w:val="00101B9F"/>
    <w:rsid w:val="0010240A"/>
    <w:rsid w:val="00103423"/>
    <w:rsid w:val="00104E9D"/>
    <w:rsid w:val="001063F6"/>
    <w:rsid w:val="00112EE1"/>
    <w:rsid w:val="001157E0"/>
    <w:rsid w:val="001173BB"/>
    <w:rsid w:val="00124853"/>
    <w:rsid w:val="00125226"/>
    <w:rsid w:val="001270EA"/>
    <w:rsid w:val="00131754"/>
    <w:rsid w:val="00131D06"/>
    <w:rsid w:val="0013441D"/>
    <w:rsid w:val="001356BA"/>
    <w:rsid w:val="00135F5D"/>
    <w:rsid w:val="00140BA1"/>
    <w:rsid w:val="00140F60"/>
    <w:rsid w:val="0014164F"/>
    <w:rsid w:val="001421A5"/>
    <w:rsid w:val="00151311"/>
    <w:rsid w:val="00151635"/>
    <w:rsid w:val="00153072"/>
    <w:rsid w:val="001557C4"/>
    <w:rsid w:val="00155EDB"/>
    <w:rsid w:val="001561A2"/>
    <w:rsid w:val="00156643"/>
    <w:rsid w:val="00157492"/>
    <w:rsid w:val="00164EBC"/>
    <w:rsid w:val="0016598A"/>
    <w:rsid w:val="00172FB7"/>
    <w:rsid w:val="00173BCD"/>
    <w:rsid w:val="00182537"/>
    <w:rsid w:val="00185781"/>
    <w:rsid w:val="00191EBC"/>
    <w:rsid w:val="00191F76"/>
    <w:rsid w:val="00194986"/>
    <w:rsid w:val="00194E21"/>
    <w:rsid w:val="00196A0F"/>
    <w:rsid w:val="001A2526"/>
    <w:rsid w:val="001A3F93"/>
    <w:rsid w:val="001A57D7"/>
    <w:rsid w:val="001A5E69"/>
    <w:rsid w:val="001A6BAF"/>
    <w:rsid w:val="001B5AFD"/>
    <w:rsid w:val="001B5CEB"/>
    <w:rsid w:val="001B6165"/>
    <w:rsid w:val="001B657C"/>
    <w:rsid w:val="001B6D69"/>
    <w:rsid w:val="001C067C"/>
    <w:rsid w:val="001C4057"/>
    <w:rsid w:val="001C4180"/>
    <w:rsid w:val="001C42ED"/>
    <w:rsid w:val="001D05DB"/>
    <w:rsid w:val="001D3098"/>
    <w:rsid w:val="001D3469"/>
    <w:rsid w:val="001D41BF"/>
    <w:rsid w:val="001D57E0"/>
    <w:rsid w:val="001D62FB"/>
    <w:rsid w:val="001D6670"/>
    <w:rsid w:val="001D7610"/>
    <w:rsid w:val="001E0A9D"/>
    <w:rsid w:val="001E15C4"/>
    <w:rsid w:val="001E2FD3"/>
    <w:rsid w:val="001E4582"/>
    <w:rsid w:val="001E4938"/>
    <w:rsid w:val="001E5297"/>
    <w:rsid w:val="001E5DC9"/>
    <w:rsid w:val="001F1064"/>
    <w:rsid w:val="001F1E55"/>
    <w:rsid w:val="001F6F79"/>
    <w:rsid w:val="002000CF"/>
    <w:rsid w:val="0020651A"/>
    <w:rsid w:val="0021300F"/>
    <w:rsid w:val="002158A6"/>
    <w:rsid w:val="00215B33"/>
    <w:rsid w:val="0022151E"/>
    <w:rsid w:val="00221847"/>
    <w:rsid w:val="00221A19"/>
    <w:rsid w:val="0022274D"/>
    <w:rsid w:val="0022768E"/>
    <w:rsid w:val="002324FD"/>
    <w:rsid w:val="00232BF8"/>
    <w:rsid w:val="00232DA3"/>
    <w:rsid w:val="00237CF4"/>
    <w:rsid w:val="00237E45"/>
    <w:rsid w:val="00240D3F"/>
    <w:rsid w:val="00241EEC"/>
    <w:rsid w:val="00244209"/>
    <w:rsid w:val="00246437"/>
    <w:rsid w:val="00247176"/>
    <w:rsid w:val="002473EF"/>
    <w:rsid w:val="0025057D"/>
    <w:rsid w:val="00251F94"/>
    <w:rsid w:val="0025312E"/>
    <w:rsid w:val="002536CF"/>
    <w:rsid w:val="00254B62"/>
    <w:rsid w:val="00264858"/>
    <w:rsid w:val="0027426D"/>
    <w:rsid w:val="00274387"/>
    <w:rsid w:val="00274B83"/>
    <w:rsid w:val="00275CCB"/>
    <w:rsid w:val="00277B65"/>
    <w:rsid w:val="00281CBD"/>
    <w:rsid w:val="00285F6B"/>
    <w:rsid w:val="00287CC0"/>
    <w:rsid w:val="0029087B"/>
    <w:rsid w:val="00292728"/>
    <w:rsid w:val="00293ACB"/>
    <w:rsid w:val="00293D8A"/>
    <w:rsid w:val="00294B93"/>
    <w:rsid w:val="00296764"/>
    <w:rsid w:val="002974AF"/>
    <w:rsid w:val="00297CFE"/>
    <w:rsid w:val="002A0B86"/>
    <w:rsid w:val="002A1C19"/>
    <w:rsid w:val="002A1DAD"/>
    <w:rsid w:val="002A4A71"/>
    <w:rsid w:val="002A5070"/>
    <w:rsid w:val="002A5DAD"/>
    <w:rsid w:val="002B7B78"/>
    <w:rsid w:val="002C049E"/>
    <w:rsid w:val="002C1538"/>
    <w:rsid w:val="002C3169"/>
    <w:rsid w:val="002C3D0B"/>
    <w:rsid w:val="002C4EB4"/>
    <w:rsid w:val="002C5E28"/>
    <w:rsid w:val="002D5923"/>
    <w:rsid w:val="002D6221"/>
    <w:rsid w:val="002D731F"/>
    <w:rsid w:val="002E11B0"/>
    <w:rsid w:val="002E1FAC"/>
    <w:rsid w:val="002E540E"/>
    <w:rsid w:val="002F0ABA"/>
    <w:rsid w:val="002F17FF"/>
    <w:rsid w:val="002F52A1"/>
    <w:rsid w:val="002F56BB"/>
    <w:rsid w:val="002F68CA"/>
    <w:rsid w:val="002F74A8"/>
    <w:rsid w:val="002F798E"/>
    <w:rsid w:val="003018D7"/>
    <w:rsid w:val="003058F4"/>
    <w:rsid w:val="00305D83"/>
    <w:rsid w:val="0031026D"/>
    <w:rsid w:val="0031509E"/>
    <w:rsid w:val="003208F6"/>
    <w:rsid w:val="00324420"/>
    <w:rsid w:val="00331436"/>
    <w:rsid w:val="00331DA6"/>
    <w:rsid w:val="00333EBD"/>
    <w:rsid w:val="00334094"/>
    <w:rsid w:val="00336CD5"/>
    <w:rsid w:val="00336D6E"/>
    <w:rsid w:val="00340FA9"/>
    <w:rsid w:val="003419A6"/>
    <w:rsid w:val="00341F45"/>
    <w:rsid w:val="00342631"/>
    <w:rsid w:val="0034434C"/>
    <w:rsid w:val="003459D4"/>
    <w:rsid w:val="00346E0A"/>
    <w:rsid w:val="003471CB"/>
    <w:rsid w:val="003531EF"/>
    <w:rsid w:val="00353DF8"/>
    <w:rsid w:val="00354E2D"/>
    <w:rsid w:val="00357787"/>
    <w:rsid w:val="0036103E"/>
    <w:rsid w:val="00362198"/>
    <w:rsid w:val="003633F4"/>
    <w:rsid w:val="003636D0"/>
    <w:rsid w:val="0036565E"/>
    <w:rsid w:val="00366351"/>
    <w:rsid w:val="00370DBA"/>
    <w:rsid w:val="00371CD5"/>
    <w:rsid w:val="0037379C"/>
    <w:rsid w:val="0037487F"/>
    <w:rsid w:val="00375E14"/>
    <w:rsid w:val="00381F21"/>
    <w:rsid w:val="00383B1C"/>
    <w:rsid w:val="00383D36"/>
    <w:rsid w:val="003911D5"/>
    <w:rsid w:val="00393512"/>
    <w:rsid w:val="00393993"/>
    <w:rsid w:val="003942F7"/>
    <w:rsid w:val="0039522A"/>
    <w:rsid w:val="003977C3"/>
    <w:rsid w:val="003A0954"/>
    <w:rsid w:val="003A17F7"/>
    <w:rsid w:val="003A2400"/>
    <w:rsid w:val="003A2CCE"/>
    <w:rsid w:val="003A5863"/>
    <w:rsid w:val="003B0F0C"/>
    <w:rsid w:val="003B4F66"/>
    <w:rsid w:val="003C4923"/>
    <w:rsid w:val="003C4B46"/>
    <w:rsid w:val="003C57F5"/>
    <w:rsid w:val="003C5985"/>
    <w:rsid w:val="003C6A99"/>
    <w:rsid w:val="003C7547"/>
    <w:rsid w:val="003D6AEE"/>
    <w:rsid w:val="003D6B31"/>
    <w:rsid w:val="003E18A6"/>
    <w:rsid w:val="003E2336"/>
    <w:rsid w:val="003E6404"/>
    <w:rsid w:val="003E64CC"/>
    <w:rsid w:val="003E6A95"/>
    <w:rsid w:val="003E77C0"/>
    <w:rsid w:val="003F639D"/>
    <w:rsid w:val="00401FFE"/>
    <w:rsid w:val="00406C22"/>
    <w:rsid w:val="00407359"/>
    <w:rsid w:val="00407ACE"/>
    <w:rsid w:val="004115E3"/>
    <w:rsid w:val="004153EE"/>
    <w:rsid w:val="0041788A"/>
    <w:rsid w:val="00417D86"/>
    <w:rsid w:val="00423412"/>
    <w:rsid w:val="00424769"/>
    <w:rsid w:val="00426204"/>
    <w:rsid w:val="00427181"/>
    <w:rsid w:val="0043174A"/>
    <w:rsid w:val="004327F2"/>
    <w:rsid w:val="0043543A"/>
    <w:rsid w:val="00435C3F"/>
    <w:rsid w:val="00437319"/>
    <w:rsid w:val="004375B6"/>
    <w:rsid w:val="004420E9"/>
    <w:rsid w:val="0044328D"/>
    <w:rsid w:val="00443930"/>
    <w:rsid w:val="004444F8"/>
    <w:rsid w:val="00444576"/>
    <w:rsid w:val="0044791F"/>
    <w:rsid w:val="00447B66"/>
    <w:rsid w:val="00453CE6"/>
    <w:rsid w:val="00456955"/>
    <w:rsid w:val="004579F4"/>
    <w:rsid w:val="00457E89"/>
    <w:rsid w:val="00467E6D"/>
    <w:rsid w:val="004713A6"/>
    <w:rsid w:val="00471938"/>
    <w:rsid w:val="00473B21"/>
    <w:rsid w:val="00473E29"/>
    <w:rsid w:val="004772CF"/>
    <w:rsid w:val="004815A1"/>
    <w:rsid w:val="0048267E"/>
    <w:rsid w:val="00483BD8"/>
    <w:rsid w:val="00484EFA"/>
    <w:rsid w:val="00485904"/>
    <w:rsid w:val="004870A7"/>
    <w:rsid w:val="004876B3"/>
    <w:rsid w:val="00487C69"/>
    <w:rsid w:val="00495938"/>
    <w:rsid w:val="00497B62"/>
    <w:rsid w:val="004A3147"/>
    <w:rsid w:val="004A570F"/>
    <w:rsid w:val="004A5D3E"/>
    <w:rsid w:val="004B09FF"/>
    <w:rsid w:val="004B2F42"/>
    <w:rsid w:val="004B3905"/>
    <w:rsid w:val="004B57F2"/>
    <w:rsid w:val="004B6008"/>
    <w:rsid w:val="004B6635"/>
    <w:rsid w:val="004C1481"/>
    <w:rsid w:val="004C300B"/>
    <w:rsid w:val="004C571C"/>
    <w:rsid w:val="004C67A3"/>
    <w:rsid w:val="004D0827"/>
    <w:rsid w:val="004D0D98"/>
    <w:rsid w:val="004D0E77"/>
    <w:rsid w:val="004D292F"/>
    <w:rsid w:val="004D4D67"/>
    <w:rsid w:val="004D6B72"/>
    <w:rsid w:val="004D7FD5"/>
    <w:rsid w:val="004E1E5A"/>
    <w:rsid w:val="004E27C7"/>
    <w:rsid w:val="004E50B1"/>
    <w:rsid w:val="004E5701"/>
    <w:rsid w:val="004E5949"/>
    <w:rsid w:val="004E723A"/>
    <w:rsid w:val="004F0AED"/>
    <w:rsid w:val="004F2EDC"/>
    <w:rsid w:val="004F3901"/>
    <w:rsid w:val="004F6CF8"/>
    <w:rsid w:val="004F6DE3"/>
    <w:rsid w:val="004F76ED"/>
    <w:rsid w:val="00501BEC"/>
    <w:rsid w:val="00502B12"/>
    <w:rsid w:val="00503576"/>
    <w:rsid w:val="005035B2"/>
    <w:rsid w:val="00505E96"/>
    <w:rsid w:val="00506778"/>
    <w:rsid w:val="0050724D"/>
    <w:rsid w:val="00510220"/>
    <w:rsid w:val="005107B1"/>
    <w:rsid w:val="005113AA"/>
    <w:rsid w:val="00512152"/>
    <w:rsid w:val="0051441B"/>
    <w:rsid w:val="00514ACF"/>
    <w:rsid w:val="00514E9E"/>
    <w:rsid w:val="00520FEC"/>
    <w:rsid w:val="0052181C"/>
    <w:rsid w:val="00522D4D"/>
    <w:rsid w:val="00523568"/>
    <w:rsid w:val="00523E69"/>
    <w:rsid w:val="0053207E"/>
    <w:rsid w:val="00534E40"/>
    <w:rsid w:val="00535D85"/>
    <w:rsid w:val="005422B3"/>
    <w:rsid w:val="00545655"/>
    <w:rsid w:val="00546329"/>
    <w:rsid w:val="005469CB"/>
    <w:rsid w:val="00546BE4"/>
    <w:rsid w:val="00547E61"/>
    <w:rsid w:val="00551C98"/>
    <w:rsid w:val="0055453B"/>
    <w:rsid w:val="00554E7D"/>
    <w:rsid w:val="0055652B"/>
    <w:rsid w:val="005574E8"/>
    <w:rsid w:val="00557BEF"/>
    <w:rsid w:val="005614DF"/>
    <w:rsid w:val="00561C64"/>
    <w:rsid w:val="00565A80"/>
    <w:rsid w:val="005702E3"/>
    <w:rsid w:val="00570CDD"/>
    <w:rsid w:val="00571BC3"/>
    <w:rsid w:val="005729C1"/>
    <w:rsid w:val="00572FDF"/>
    <w:rsid w:val="005737E0"/>
    <w:rsid w:val="00574290"/>
    <w:rsid w:val="005816B2"/>
    <w:rsid w:val="00581760"/>
    <w:rsid w:val="0058372C"/>
    <w:rsid w:val="00583891"/>
    <w:rsid w:val="00590495"/>
    <w:rsid w:val="00590579"/>
    <w:rsid w:val="005930C8"/>
    <w:rsid w:val="0059547C"/>
    <w:rsid w:val="0059732D"/>
    <w:rsid w:val="005A189B"/>
    <w:rsid w:val="005A1E04"/>
    <w:rsid w:val="005A2A73"/>
    <w:rsid w:val="005A4275"/>
    <w:rsid w:val="005A6F5E"/>
    <w:rsid w:val="005B0026"/>
    <w:rsid w:val="005B201D"/>
    <w:rsid w:val="005B2026"/>
    <w:rsid w:val="005B3CFA"/>
    <w:rsid w:val="005C2334"/>
    <w:rsid w:val="005C2A3D"/>
    <w:rsid w:val="005C365B"/>
    <w:rsid w:val="005C5845"/>
    <w:rsid w:val="005C669F"/>
    <w:rsid w:val="005C6E28"/>
    <w:rsid w:val="005C711E"/>
    <w:rsid w:val="005D02C4"/>
    <w:rsid w:val="005D2853"/>
    <w:rsid w:val="005D2A8C"/>
    <w:rsid w:val="005D7DE6"/>
    <w:rsid w:val="005E0EA8"/>
    <w:rsid w:val="005E123B"/>
    <w:rsid w:val="005E2AF3"/>
    <w:rsid w:val="005E33D2"/>
    <w:rsid w:val="005E4DD7"/>
    <w:rsid w:val="005E5C0A"/>
    <w:rsid w:val="005E6134"/>
    <w:rsid w:val="005E65FC"/>
    <w:rsid w:val="005F5C35"/>
    <w:rsid w:val="0060173D"/>
    <w:rsid w:val="00604F53"/>
    <w:rsid w:val="0060720B"/>
    <w:rsid w:val="00611E2C"/>
    <w:rsid w:val="00612E9B"/>
    <w:rsid w:val="00613370"/>
    <w:rsid w:val="00613C34"/>
    <w:rsid w:val="00614F45"/>
    <w:rsid w:val="00631C0F"/>
    <w:rsid w:val="00636071"/>
    <w:rsid w:val="00636176"/>
    <w:rsid w:val="00636B62"/>
    <w:rsid w:val="00641F29"/>
    <w:rsid w:val="006468EE"/>
    <w:rsid w:val="00646B4E"/>
    <w:rsid w:val="0065091C"/>
    <w:rsid w:val="00652654"/>
    <w:rsid w:val="00655982"/>
    <w:rsid w:val="0065781F"/>
    <w:rsid w:val="00661285"/>
    <w:rsid w:val="00661FC8"/>
    <w:rsid w:val="006642E5"/>
    <w:rsid w:val="00665BFD"/>
    <w:rsid w:val="00667979"/>
    <w:rsid w:val="00667C46"/>
    <w:rsid w:val="00677598"/>
    <w:rsid w:val="00681694"/>
    <w:rsid w:val="00682C09"/>
    <w:rsid w:val="00682C7A"/>
    <w:rsid w:val="006839FD"/>
    <w:rsid w:val="0069020D"/>
    <w:rsid w:val="006949B7"/>
    <w:rsid w:val="00694B71"/>
    <w:rsid w:val="00694D97"/>
    <w:rsid w:val="006B5D21"/>
    <w:rsid w:val="006B5DDC"/>
    <w:rsid w:val="006B639F"/>
    <w:rsid w:val="006B6EDB"/>
    <w:rsid w:val="006B70B6"/>
    <w:rsid w:val="006C02C0"/>
    <w:rsid w:val="006C02E1"/>
    <w:rsid w:val="006C0C4B"/>
    <w:rsid w:val="006C375E"/>
    <w:rsid w:val="006C38EF"/>
    <w:rsid w:val="006C5FE3"/>
    <w:rsid w:val="006D0C3F"/>
    <w:rsid w:val="006D1004"/>
    <w:rsid w:val="006D169A"/>
    <w:rsid w:val="006D22C1"/>
    <w:rsid w:val="006D4725"/>
    <w:rsid w:val="006E427B"/>
    <w:rsid w:val="006F0B22"/>
    <w:rsid w:val="006F0C3E"/>
    <w:rsid w:val="006F15D9"/>
    <w:rsid w:val="006F2EED"/>
    <w:rsid w:val="006F45BD"/>
    <w:rsid w:val="006F6360"/>
    <w:rsid w:val="006F68FF"/>
    <w:rsid w:val="006F74A8"/>
    <w:rsid w:val="00700672"/>
    <w:rsid w:val="00701B64"/>
    <w:rsid w:val="00702ADD"/>
    <w:rsid w:val="007046C5"/>
    <w:rsid w:val="00704F36"/>
    <w:rsid w:val="00707A6B"/>
    <w:rsid w:val="00707AFC"/>
    <w:rsid w:val="00711BA1"/>
    <w:rsid w:val="00716162"/>
    <w:rsid w:val="007218B9"/>
    <w:rsid w:val="007233EA"/>
    <w:rsid w:val="007243C1"/>
    <w:rsid w:val="00724CB4"/>
    <w:rsid w:val="00724E1D"/>
    <w:rsid w:val="0072694E"/>
    <w:rsid w:val="00726F0D"/>
    <w:rsid w:val="007336FC"/>
    <w:rsid w:val="00740F70"/>
    <w:rsid w:val="00745218"/>
    <w:rsid w:val="00746ED1"/>
    <w:rsid w:val="00747C36"/>
    <w:rsid w:val="00756BAF"/>
    <w:rsid w:val="0075701D"/>
    <w:rsid w:val="00757FAF"/>
    <w:rsid w:val="0076095F"/>
    <w:rsid w:val="007625BB"/>
    <w:rsid w:val="00764D6D"/>
    <w:rsid w:val="00765E62"/>
    <w:rsid w:val="007664B1"/>
    <w:rsid w:val="00770D05"/>
    <w:rsid w:val="00771B51"/>
    <w:rsid w:val="00772A52"/>
    <w:rsid w:val="00776168"/>
    <w:rsid w:val="0078001A"/>
    <w:rsid w:val="007800C3"/>
    <w:rsid w:val="00781B5F"/>
    <w:rsid w:val="00782D92"/>
    <w:rsid w:val="00790F9F"/>
    <w:rsid w:val="007917F4"/>
    <w:rsid w:val="0079182D"/>
    <w:rsid w:val="00795E63"/>
    <w:rsid w:val="007971A0"/>
    <w:rsid w:val="0079762D"/>
    <w:rsid w:val="007A1088"/>
    <w:rsid w:val="007A58C2"/>
    <w:rsid w:val="007B0BF3"/>
    <w:rsid w:val="007B1266"/>
    <w:rsid w:val="007B1FA6"/>
    <w:rsid w:val="007B4301"/>
    <w:rsid w:val="007B5986"/>
    <w:rsid w:val="007C3A2D"/>
    <w:rsid w:val="007C4BA9"/>
    <w:rsid w:val="007C5521"/>
    <w:rsid w:val="007D0C41"/>
    <w:rsid w:val="007D0EA1"/>
    <w:rsid w:val="007D115C"/>
    <w:rsid w:val="007D1222"/>
    <w:rsid w:val="007D1671"/>
    <w:rsid w:val="007D36E6"/>
    <w:rsid w:val="007D4637"/>
    <w:rsid w:val="007E13E3"/>
    <w:rsid w:val="007E1621"/>
    <w:rsid w:val="007E1E5D"/>
    <w:rsid w:val="007F432B"/>
    <w:rsid w:val="007F6051"/>
    <w:rsid w:val="007F627F"/>
    <w:rsid w:val="00800FDE"/>
    <w:rsid w:val="00802369"/>
    <w:rsid w:val="00804B7A"/>
    <w:rsid w:val="00805043"/>
    <w:rsid w:val="00807686"/>
    <w:rsid w:val="00807911"/>
    <w:rsid w:val="0081157E"/>
    <w:rsid w:val="00813713"/>
    <w:rsid w:val="008212F5"/>
    <w:rsid w:val="00822048"/>
    <w:rsid w:val="008226EF"/>
    <w:rsid w:val="00823EB8"/>
    <w:rsid w:val="0082713F"/>
    <w:rsid w:val="0083003B"/>
    <w:rsid w:val="00831EE0"/>
    <w:rsid w:val="00837778"/>
    <w:rsid w:val="008407AE"/>
    <w:rsid w:val="00842D94"/>
    <w:rsid w:val="00855C53"/>
    <w:rsid w:val="00860263"/>
    <w:rsid w:val="00861ED0"/>
    <w:rsid w:val="00863213"/>
    <w:rsid w:val="008642B3"/>
    <w:rsid w:val="00864431"/>
    <w:rsid w:val="00864E8F"/>
    <w:rsid w:val="008652BD"/>
    <w:rsid w:val="00873A6E"/>
    <w:rsid w:val="00874113"/>
    <w:rsid w:val="00875FD7"/>
    <w:rsid w:val="00876CAA"/>
    <w:rsid w:val="008770D4"/>
    <w:rsid w:val="008804BC"/>
    <w:rsid w:val="0088092B"/>
    <w:rsid w:val="00890F6E"/>
    <w:rsid w:val="008916D5"/>
    <w:rsid w:val="00892ACD"/>
    <w:rsid w:val="00894F5C"/>
    <w:rsid w:val="0089506D"/>
    <w:rsid w:val="00895900"/>
    <w:rsid w:val="008A3203"/>
    <w:rsid w:val="008A4042"/>
    <w:rsid w:val="008A409B"/>
    <w:rsid w:val="008A5515"/>
    <w:rsid w:val="008A5A6A"/>
    <w:rsid w:val="008A606D"/>
    <w:rsid w:val="008A73DB"/>
    <w:rsid w:val="008A7728"/>
    <w:rsid w:val="008B1759"/>
    <w:rsid w:val="008B3EF9"/>
    <w:rsid w:val="008B43CB"/>
    <w:rsid w:val="008C1AD8"/>
    <w:rsid w:val="008C44CD"/>
    <w:rsid w:val="008D0F9F"/>
    <w:rsid w:val="008D5E6C"/>
    <w:rsid w:val="008D738C"/>
    <w:rsid w:val="008E3694"/>
    <w:rsid w:val="008F3B11"/>
    <w:rsid w:val="008F4325"/>
    <w:rsid w:val="008F4615"/>
    <w:rsid w:val="008F6EE4"/>
    <w:rsid w:val="008F71D9"/>
    <w:rsid w:val="008F7B51"/>
    <w:rsid w:val="00900E72"/>
    <w:rsid w:val="009023C6"/>
    <w:rsid w:val="00905438"/>
    <w:rsid w:val="00906996"/>
    <w:rsid w:val="009102CE"/>
    <w:rsid w:val="0091061B"/>
    <w:rsid w:val="00910D52"/>
    <w:rsid w:val="009133C1"/>
    <w:rsid w:val="009144D6"/>
    <w:rsid w:val="009155D6"/>
    <w:rsid w:val="00915993"/>
    <w:rsid w:val="0092050A"/>
    <w:rsid w:val="009243FF"/>
    <w:rsid w:val="00925D7E"/>
    <w:rsid w:val="009267B2"/>
    <w:rsid w:val="00927FBB"/>
    <w:rsid w:val="009326EC"/>
    <w:rsid w:val="00933475"/>
    <w:rsid w:val="009337A1"/>
    <w:rsid w:val="009354F4"/>
    <w:rsid w:val="00935912"/>
    <w:rsid w:val="009406A4"/>
    <w:rsid w:val="0094380B"/>
    <w:rsid w:val="0094388C"/>
    <w:rsid w:val="009443EE"/>
    <w:rsid w:val="00944BB9"/>
    <w:rsid w:val="00947192"/>
    <w:rsid w:val="00947D0C"/>
    <w:rsid w:val="00950E27"/>
    <w:rsid w:val="00951942"/>
    <w:rsid w:val="00952BEA"/>
    <w:rsid w:val="00953648"/>
    <w:rsid w:val="0095375C"/>
    <w:rsid w:val="00954057"/>
    <w:rsid w:val="00962829"/>
    <w:rsid w:val="009707E6"/>
    <w:rsid w:val="0097219F"/>
    <w:rsid w:val="009743C8"/>
    <w:rsid w:val="00977448"/>
    <w:rsid w:val="00983402"/>
    <w:rsid w:val="009838B2"/>
    <w:rsid w:val="009871B7"/>
    <w:rsid w:val="009873CA"/>
    <w:rsid w:val="00987622"/>
    <w:rsid w:val="00987F13"/>
    <w:rsid w:val="00990F76"/>
    <w:rsid w:val="00995326"/>
    <w:rsid w:val="009A1E1F"/>
    <w:rsid w:val="009A230B"/>
    <w:rsid w:val="009A5472"/>
    <w:rsid w:val="009A5D84"/>
    <w:rsid w:val="009A7E2E"/>
    <w:rsid w:val="009B02E0"/>
    <w:rsid w:val="009B1BD9"/>
    <w:rsid w:val="009B4368"/>
    <w:rsid w:val="009C02F8"/>
    <w:rsid w:val="009C2112"/>
    <w:rsid w:val="009C3878"/>
    <w:rsid w:val="009C63DC"/>
    <w:rsid w:val="009C7A2F"/>
    <w:rsid w:val="009E1832"/>
    <w:rsid w:val="009E2260"/>
    <w:rsid w:val="009E5323"/>
    <w:rsid w:val="009F0DB6"/>
    <w:rsid w:val="009F63A0"/>
    <w:rsid w:val="00A016C8"/>
    <w:rsid w:val="00A0187E"/>
    <w:rsid w:val="00A02F94"/>
    <w:rsid w:val="00A0300F"/>
    <w:rsid w:val="00A04FFF"/>
    <w:rsid w:val="00A0504C"/>
    <w:rsid w:val="00A07887"/>
    <w:rsid w:val="00A10BC9"/>
    <w:rsid w:val="00A11A29"/>
    <w:rsid w:val="00A11A2C"/>
    <w:rsid w:val="00A11ABD"/>
    <w:rsid w:val="00A12967"/>
    <w:rsid w:val="00A13081"/>
    <w:rsid w:val="00A130EC"/>
    <w:rsid w:val="00A1563F"/>
    <w:rsid w:val="00A20E30"/>
    <w:rsid w:val="00A21FE4"/>
    <w:rsid w:val="00A23247"/>
    <w:rsid w:val="00A237B9"/>
    <w:rsid w:val="00A24862"/>
    <w:rsid w:val="00A25D3E"/>
    <w:rsid w:val="00A309FC"/>
    <w:rsid w:val="00A315F8"/>
    <w:rsid w:val="00A32AB1"/>
    <w:rsid w:val="00A41AC7"/>
    <w:rsid w:val="00A44FAA"/>
    <w:rsid w:val="00A44FE6"/>
    <w:rsid w:val="00A462EF"/>
    <w:rsid w:val="00A46F81"/>
    <w:rsid w:val="00A50FDE"/>
    <w:rsid w:val="00A519FF"/>
    <w:rsid w:val="00A54129"/>
    <w:rsid w:val="00A54311"/>
    <w:rsid w:val="00A55218"/>
    <w:rsid w:val="00A57167"/>
    <w:rsid w:val="00A57ABC"/>
    <w:rsid w:val="00A61DDB"/>
    <w:rsid w:val="00A73F40"/>
    <w:rsid w:val="00A7618F"/>
    <w:rsid w:val="00A76FBE"/>
    <w:rsid w:val="00A77836"/>
    <w:rsid w:val="00A8028E"/>
    <w:rsid w:val="00A832BB"/>
    <w:rsid w:val="00A86DDE"/>
    <w:rsid w:val="00A87E6F"/>
    <w:rsid w:val="00A9198D"/>
    <w:rsid w:val="00A927C8"/>
    <w:rsid w:val="00A92FAD"/>
    <w:rsid w:val="00A93A90"/>
    <w:rsid w:val="00A94E9D"/>
    <w:rsid w:val="00A94F54"/>
    <w:rsid w:val="00AA0C8A"/>
    <w:rsid w:val="00AA1879"/>
    <w:rsid w:val="00AA5093"/>
    <w:rsid w:val="00AA68C6"/>
    <w:rsid w:val="00AA72D1"/>
    <w:rsid w:val="00AA7CD6"/>
    <w:rsid w:val="00AB13B3"/>
    <w:rsid w:val="00AB218F"/>
    <w:rsid w:val="00AB594B"/>
    <w:rsid w:val="00AB6746"/>
    <w:rsid w:val="00AB6CE6"/>
    <w:rsid w:val="00AB769D"/>
    <w:rsid w:val="00AC14E8"/>
    <w:rsid w:val="00AC575F"/>
    <w:rsid w:val="00AC7EF4"/>
    <w:rsid w:val="00AD0166"/>
    <w:rsid w:val="00AD0217"/>
    <w:rsid w:val="00AD03A4"/>
    <w:rsid w:val="00AD3A75"/>
    <w:rsid w:val="00AD4A51"/>
    <w:rsid w:val="00AD5AE9"/>
    <w:rsid w:val="00AD6F3B"/>
    <w:rsid w:val="00AD72B3"/>
    <w:rsid w:val="00AD7974"/>
    <w:rsid w:val="00AE1B42"/>
    <w:rsid w:val="00AE47C9"/>
    <w:rsid w:val="00AE6A83"/>
    <w:rsid w:val="00AF0295"/>
    <w:rsid w:val="00AF14AC"/>
    <w:rsid w:val="00AF197A"/>
    <w:rsid w:val="00AF2783"/>
    <w:rsid w:val="00B02707"/>
    <w:rsid w:val="00B03043"/>
    <w:rsid w:val="00B04D0A"/>
    <w:rsid w:val="00B04F11"/>
    <w:rsid w:val="00B050DD"/>
    <w:rsid w:val="00B06FA2"/>
    <w:rsid w:val="00B10D57"/>
    <w:rsid w:val="00B10F0B"/>
    <w:rsid w:val="00B12CBA"/>
    <w:rsid w:val="00B13575"/>
    <w:rsid w:val="00B1421C"/>
    <w:rsid w:val="00B1455E"/>
    <w:rsid w:val="00B15076"/>
    <w:rsid w:val="00B20190"/>
    <w:rsid w:val="00B237EB"/>
    <w:rsid w:val="00B27496"/>
    <w:rsid w:val="00B30A6D"/>
    <w:rsid w:val="00B33391"/>
    <w:rsid w:val="00B33FA6"/>
    <w:rsid w:val="00B34FC7"/>
    <w:rsid w:val="00B37203"/>
    <w:rsid w:val="00B46C42"/>
    <w:rsid w:val="00B5150F"/>
    <w:rsid w:val="00B51D25"/>
    <w:rsid w:val="00B52C97"/>
    <w:rsid w:val="00B565F9"/>
    <w:rsid w:val="00B633CB"/>
    <w:rsid w:val="00B6521F"/>
    <w:rsid w:val="00B65AE3"/>
    <w:rsid w:val="00B6767B"/>
    <w:rsid w:val="00B700D6"/>
    <w:rsid w:val="00B7015D"/>
    <w:rsid w:val="00B71B39"/>
    <w:rsid w:val="00B73140"/>
    <w:rsid w:val="00B7329F"/>
    <w:rsid w:val="00B73E50"/>
    <w:rsid w:val="00B759F4"/>
    <w:rsid w:val="00B75F52"/>
    <w:rsid w:val="00B77A4B"/>
    <w:rsid w:val="00B81E86"/>
    <w:rsid w:val="00B8537E"/>
    <w:rsid w:val="00B90DEB"/>
    <w:rsid w:val="00B9296E"/>
    <w:rsid w:val="00B95DC0"/>
    <w:rsid w:val="00B973BE"/>
    <w:rsid w:val="00BA22DD"/>
    <w:rsid w:val="00BA34F5"/>
    <w:rsid w:val="00BA3B69"/>
    <w:rsid w:val="00BB0AB0"/>
    <w:rsid w:val="00BB117F"/>
    <w:rsid w:val="00BB4A61"/>
    <w:rsid w:val="00BC3DAD"/>
    <w:rsid w:val="00BC412A"/>
    <w:rsid w:val="00BC497B"/>
    <w:rsid w:val="00BC5505"/>
    <w:rsid w:val="00BC62B5"/>
    <w:rsid w:val="00BC7D6B"/>
    <w:rsid w:val="00BD5588"/>
    <w:rsid w:val="00BD75D5"/>
    <w:rsid w:val="00BE1D2C"/>
    <w:rsid w:val="00BE2599"/>
    <w:rsid w:val="00BE40F0"/>
    <w:rsid w:val="00BE60E5"/>
    <w:rsid w:val="00BF263B"/>
    <w:rsid w:val="00BF5FBB"/>
    <w:rsid w:val="00C00AEF"/>
    <w:rsid w:val="00C01D4B"/>
    <w:rsid w:val="00C03C48"/>
    <w:rsid w:val="00C04A21"/>
    <w:rsid w:val="00C05244"/>
    <w:rsid w:val="00C116F4"/>
    <w:rsid w:val="00C1176D"/>
    <w:rsid w:val="00C1347D"/>
    <w:rsid w:val="00C21EE5"/>
    <w:rsid w:val="00C2342C"/>
    <w:rsid w:val="00C24039"/>
    <w:rsid w:val="00C24384"/>
    <w:rsid w:val="00C26343"/>
    <w:rsid w:val="00C32DE8"/>
    <w:rsid w:val="00C36A45"/>
    <w:rsid w:val="00C37680"/>
    <w:rsid w:val="00C446E3"/>
    <w:rsid w:val="00C45584"/>
    <w:rsid w:val="00C47E6B"/>
    <w:rsid w:val="00C50B72"/>
    <w:rsid w:val="00C5312B"/>
    <w:rsid w:val="00C55F5C"/>
    <w:rsid w:val="00C56E6B"/>
    <w:rsid w:val="00C62451"/>
    <w:rsid w:val="00C666AB"/>
    <w:rsid w:val="00C67ADC"/>
    <w:rsid w:val="00C7000E"/>
    <w:rsid w:val="00C72886"/>
    <w:rsid w:val="00C73995"/>
    <w:rsid w:val="00C74152"/>
    <w:rsid w:val="00C74AE5"/>
    <w:rsid w:val="00C7577B"/>
    <w:rsid w:val="00C77496"/>
    <w:rsid w:val="00C80A05"/>
    <w:rsid w:val="00C82390"/>
    <w:rsid w:val="00C8316B"/>
    <w:rsid w:val="00C84399"/>
    <w:rsid w:val="00C84692"/>
    <w:rsid w:val="00C8489A"/>
    <w:rsid w:val="00C84A1B"/>
    <w:rsid w:val="00C862D2"/>
    <w:rsid w:val="00C95F75"/>
    <w:rsid w:val="00CA18A3"/>
    <w:rsid w:val="00CA28D4"/>
    <w:rsid w:val="00CA591D"/>
    <w:rsid w:val="00CB0199"/>
    <w:rsid w:val="00CB0F5F"/>
    <w:rsid w:val="00CB12EC"/>
    <w:rsid w:val="00CB16D3"/>
    <w:rsid w:val="00CB2634"/>
    <w:rsid w:val="00CB29A6"/>
    <w:rsid w:val="00CB538D"/>
    <w:rsid w:val="00CC0B74"/>
    <w:rsid w:val="00CC4AAD"/>
    <w:rsid w:val="00CC7E64"/>
    <w:rsid w:val="00CD1EFD"/>
    <w:rsid w:val="00CD3919"/>
    <w:rsid w:val="00CD3EA8"/>
    <w:rsid w:val="00CD4254"/>
    <w:rsid w:val="00CD6A6E"/>
    <w:rsid w:val="00CE0463"/>
    <w:rsid w:val="00CE7237"/>
    <w:rsid w:val="00CF42D1"/>
    <w:rsid w:val="00D03145"/>
    <w:rsid w:val="00D03525"/>
    <w:rsid w:val="00D06B0E"/>
    <w:rsid w:val="00D078D9"/>
    <w:rsid w:val="00D07FEA"/>
    <w:rsid w:val="00D1249C"/>
    <w:rsid w:val="00D12FBA"/>
    <w:rsid w:val="00D15943"/>
    <w:rsid w:val="00D15C55"/>
    <w:rsid w:val="00D24D72"/>
    <w:rsid w:val="00D2506C"/>
    <w:rsid w:val="00D25954"/>
    <w:rsid w:val="00D26711"/>
    <w:rsid w:val="00D30E81"/>
    <w:rsid w:val="00D34AC3"/>
    <w:rsid w:val="00D41145"/>
    <w:rsid w:val="00D419F8"/>
    <w:rsid w:val="00D4432F"/>
    <w:rsid w:val="00D451FF"/>
    <w:rsid w:val="00D452F2"/>
    <w:rsid w:val="00D4654A"/>
    <w:rsid w:val="00D53C75"/>
    <w:rsid w:val="00D5423B"/>
    <w:rsid w:val="00D57DE5"/>
    <w:rsid w:val="00D66BEA"/>
    <w:rsid w:val="00D67FAF"/>
    <w:rsid w:val="00D74786"/>
    <w:rsid w:val="00D769B6"/>
    <w:rsid w:val="00D809E3"/>
    <w:rsid w:val="00D8209A"/>
    <w:rsid w:val="00D82DDE"/>
    <w:rsid w:val="00D83465"/>
    <w:rsid w:val="00D90EA5"/>
    <w:rsid w:val="00D950B1"/>
    <w:rsid w:val="00D9659F"/>
    <w:rsid w:val="00D97ABB"/>
    <w:rsid w:val="00DA11A2"/>
    <w:rsid w:val="00DA24A2"/>
    <w:rsid w:val="00DA4B2F"/>
    <w:rsid w:val="00DA5B77"/>
    <w:rsid w:val="00DA6B4D"/>
    <w:rsid w:val="00DA6C48"/>
    <w:rsid w:val="00DA7F3F"/>
    <w:rsid w:val="00DB4D3C"/>
    <w:rsid w:val="00DC0116"/>
    <w:rsid w:val="00DC242C"/>
    <w:rsid w:val="00DC3D5B"/>
    <w:rsid w:val="00DC5702"/>
    <w:rsid w:val="00DC5DCD"/>
    <w:rsid w:val="00DD10E0"/>
    <w:rsid w:val="00DD1E78"/>
    <w:rsid w:val="00DD25AF"/>
    <w:rsid w:val="00DD27FB"/>
    <w:rsid w:val="00DD4F54"/>
    <w:rsid w:val="00DD59B4"/>
    <w:rsid w:val="00DD65CB"/>
    <w:rsid w:val="00DD6CE3"/>
    <w:rsid w:val="00DE2CF9"/>
    <w:rsid w:val="00DE2FF9"/>
    <w:rsid w:val="00DE64FF"/>
    <w:rsid w:val="00DE7198"/>
    <w:rsid w:val="00DF1FFC"/>
    <w:rsid w:val="00DF2D53"/>
    <w:rsid w:val="00DF5925"/>
    <w:rsid w:val="00DF62A8"/>
    <w:rsid w:val="00E00DC7"/>
    <w:rsid w:val="00E0192A"/>
    <w:rsid w:val="00E02F89"/>
    <w:rsid w:val="00E0300F"/>
    <w:rsid w:val="00E06556"/>
    <w:rsid w:val="00E07B1F"/>
    <w:rsid w:val="00E12124"/>
    <w:rsid w:val="00E16C39"/>
    <w:rsid w:val="00E1728C"/>
    <w:rsid w:val="00E2135C"/>
    <w:rsid w:val="00E3149B"/>
    <w:rsid w:val="00E348BE"/>
    <w:rsid w:val="00E371A6"/>
    <w:rsid w:val="00E4038F"/>
    <w:rsid w:val="00E41E81"/>
    <w:rsid w:val="00E4280D"/>
    <w:rsid w:val="00E45871"/>
    <w:rsid w:val="00E45F76"/>
    <w:rsid w:val="00E46259"/>
    <w:rsid w:val="00E50F96"/>
    <w:rsid w:val="00E51004"/>
    <w:rsid w:val="00E51EF6"/>
    <w:rsid w:val="00E5497B"/>
    <w:rsid w:val="00E55C19"/>
    <w:rsid w:val="00E5649C"/>
    <w:rsid w:val="00E575BF"/>
    <w:rsid w:val="00E6165E"/>
    <w:rsid w:val="00E63A21"/>
    <w:rsid w:val="00E63C89"/>
    <w:rsid w:val="00E6573A"/>
    <w:rsid w:val="00E719B1"/>
    <w:rsid w:val="00E71CDF"/>
    <w:rsid w:val="00E74225"/>
    <w:rsid w:val="00E76447"/>
    <w:rsid w:val="00E76E16"/>
    <w:rsid w:val="00E80A3B"/>
    <w:rsid w:val="00E823FE"/>
    <w:rsid w:val="00E876B4"/>
    <w:rsid w:val="00E8780A"/>
    <w:rsid w:val="00E9328D"/>
    <w:rsid w:val="00E96EC1"/>
    <w:rsid w:val="00EA267B"/>
    <w:rsid w:val="00EA2F91"/>
    <w:rsid w:val="00EA4F32"/>
    <w:rsid w:val="00EB031A"/>
    <w:rsid w:val="00EB13E4"/>
    <w:rsid w:val="00EC0E0D"/>
    <w:rsid w:val="00EC1C0B"/>
    <w:rsid w:val="00EC1DAA"/>
    <w:rsid w:val="00EC5D2D"/>
    <w:rsid w:val="00EC687C"/>
    <w:rsid w:val="00EC7136"/>
    <w:rsid w:val="00EC76D3"/>
    <w:rsid w:val="00EC7731"/>
    <w:rsid w:val="00ED0018"/>
    <w:rsid w:val="00ED2E2C"/>
    <w:rsid w:val="00ED341C"/>
    <w:rsid w:val="00ED34B8"/>
    <w:rsid w:val="00ED49DB"/>
    <w:rsid w:val="00ED5E65"/>
    <w:rsid w:val="00EE0601"/>
    <w:rsid w:val="00EE0DD8"/>
    <w:rsid w:val="00EE1A9D"/>
    <w:rsid w:val="00EE21B7"/>
    <w:rsid w:val="00EE5033"/>
    <w:rsid w:val="00EE60FF"/>
    <w:rsid w:val="00EE6775"/>
    <w:rsid w:val="00EF53E9"/>
    <w:rsid w:val="00EF7477"/>
    <w:rsid w:val="00F04836"/>
    <w:rsid w:val="00F057C5"/>
    <w:rsid w:val="00F0640B"/>
    <w:rsid w:val="00F07998"/>
    <w:rsid w:val="00F07D76"/>
    <w:rsid w:val="00F127F5"/>
    <w:rsid w:val="00F16380"/>
    <w:rsid w:val="00F17B3C"/>
    <w:rsid w:val="00F20041"/>
    <w:rsid w:val="00F20293"/>
    <w:rsid w:val="00F236B0"/>
    <w:rsid w:val="00F23EBA"/>
    <w:rsid w:val="00F24EFA"/>
    <w:rsid w:val="00F25EA2"/>
    <w:rsid w:val="00F30B61"/>
    <w:rsid w:val="00F30E85"/>
    <w:rsid w:val="00F31FEF"/>
    <w:rsid w:val="00F325AA"/>
    <w:rsid w:val="00F32627"/>
    <w:rsid w:val="00F35815"/>
    <w:rsid w:val="00F3586A"/>
    <w:rsid w:val="00F43A87"/>
    <w:rsid w:val="00F44377"/>
    <w:rsid w:val="00F44D7D"/>
    <w:rsid w:val="00F47C78"/>
    <w:rsid w:val="00F500C3"/>
    <w:rsid w:val="00F51138"/>
    <w:rsid w:val="00F5124C"/>
    <w:rsid w:val="00F5244D"/>
    <w:rsid w:val="00F52E97"/>
    <w:rsid w:val="00F57A04"/>
    <w:rsid w:val="00F61FBC"/>
    <w:rsid w:val="00F6651B"/>
    <w:rsid w:val="00F66782"/>
    <w:rsid w:val="00F703BD"/>
    <w:rsid w:val="00F71EE9"/>
    <w:rsid w:val="00F7296C"/>
    <w:rsid w:val="00F752F2"/>
    <w:rsid w:val="00F75530"/>
    <w:rsid w:val="00F75B6C"/>
    <w:rsid w:val="00F765BC"/>
    <w:rsid w:val="00F81674"/>
    <w:rsid w:val="00F847DF"/>
    <w:rsid w:val="00F85762"/>
    <w:rsid w:val="00F876D7"/>
    <w:rsid w:val="00F8778F"/>
    <w:rsid w:val="00F9004B"/>
    <w:rsid w:val="00F90D7B"/>
    <w:rsid w:val="00F94687"/>
    <w:rsid w:val="00F94F6F"/>
    <w:rsid w:val="00FA0C8F"/>
    <w:rsid w:val="00FA0FA0"/>
    <w:rsid w:val="00FA181B"/>
    <w:rsid w:val="00FA25C1"/>
    <w:rsid w:val="00FA4B4F"/>
    <w:rsid w:val="00FA53E9"/>
    <w:rsid w:val="00FA79CA"/>
    <w:rsid w:val="00FB095A"/>
    <w:rsid w:val="00FB4832"/>
    <w:rsid w:val="00FB4F3F"/>
    <w:rsid w:val="00FB6FC0"/>
    <w:rsid w:val="00FB70EC"/>
    <w:rsid w:val="00FB7B85"/>
    <w:rsid w:val="00FB7C28"/>
    <w:rsid w:val="00FB7F38"/>
    <w:rsid w:val="00FC3AE4"/>
    <w:rsid w:val="00FC65FE"/>
    <w:rsid w:val="00FD0428"/>
    <w:rsid w:val="00FD07EC"/>
    <w:rsid w:val="00FD5AE0"/>
    <w:rsid w:val="00FD62EB"/>
    <w:rsid w:val="00FD6809"/>
    <w:rsid w:val="00FE290B"/>
    <w:rsid w:val="00FE64EF"/>
    <w:rsid w:val="00FE71F9"/>
    <w:rsid w:val="00FF1634"/>
    <w:rsid w:val="00FF239B"/>
    <w:rsid w:val="00FF2C87"/>
    <w:rsid w:val="00FF75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48B2"/>
  <w15:docId w15:val="{D877D81A-89E9-4DBC-9E64-F133E2D9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5D"/>
    <w:rPr>
      <w:color w:val="0563C1" w:themeColor="hyperlink"/>
      <w:u w:val="single"/>
    </w:rPr>
  </w:style>
  <w:style w:type="paragraph" w:styleId="ListParagraph">
    <w:name w:val="List Paragraph"/>
    <w:basedOn w:val="Normal"/>
    <w:uiPriority w:val="34"/>
    <w:qFormat/>
    <w:rsid w:val="007E1E5D"/>
    <w:pPr>
      <w:ind w:left="720"/>
      <w:contextualSpacing/>
    </w:pPr>
  </w:style>
  <w:style w:type="character" w:customStyle="1" w:styleId="Heading1Char">
    <w:name w:val="Heading 1 Char"/>
    <w:basedOn w:val="DefaultParagraphFont"/>
    <w:link w:val="Heading1"/>
    <w:uiPriority w:val="9"/>
    <w:rsid w:val="007E1E5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F0ABA"/>
    <w:pPr>
      <w:spacing w:after="0" w:line="240" w:lineRule="auto"/>
    </w:pPr>
    <w:rPr>
      <w:sz w:val="20"/>
      <w:szCs w:val="20"/>
    </w:rPr>
  </w:style>
  <w:style w:type="character" w:customStyle="1" w:styleId="FootnoteTextChar">
    <w:name w:val="Footnote Text Char"/>
    <w:basedOn w:val="DefaultParagraphFont"/>
    <w:link w:val="FootnoteText"/>
    <w:uiPriority w:val="99"/>
    <w:rsid w:val="002F0ABA"/>
    <w:rPr>
      <w:sz w:val="20"/>
      <w:szCs w:val="20"/>
    </w:rPr>
  </w:style>
  <w:style w:type="character" w:styleId="FootnoteReference">
    <w:name w:val="footnote reference"/>
    <w:basedOn w:val="DefaultParagraphFont"/>
    <w:uiPriority w:val="99"/>
    <w:semiHidden/>
    <w:unhideWhenUsed/>
    <w:rsid w:val="002F0ABA"/>
    <w:rPr>
      <w:vertAlign w:val="superscript"/>
    </w:rPr>
  </w:style>
  <w:style w:type="paragraph" w:styleId="Header">
    <w:name w:val="header"/>
    <w:basedOn w:val="Normal"/>
    <w:link w:val="HeaderChar"/>
    <w:uiPriority w:val="99"/>
    <w:unhideWhenUsed/>
    <w:rsid w:val="00CB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9A6"/>
  </w:style>
  <w:style w:type="paragraph" w:styleId="Footer">
    <w:name w:val="footer"/>
    <w:basedOn w:val="Normal"/>
    <w:link w:val="FooterChar"/>
    <w:uiPriority w:val="99"/>
    <w:unhideWhenUsed/>
    <w:rsid w:val="00CB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9A6"/>
  </w:style>
  <w:style w:type="character" w:customStyle="1" w:styleId="UnresolvedMention1">
    <w:name w:val="Unresolved Mention1"/>
    <w:basedOn w:val="DefaultParagraphFont"/>
    <w:uiPriority w:val="99"/>
    <w:semiHidden/>
    <w:unhideWhenUsed/>
    <w:rsid w:val="00F71EE9"/>
    <w:rPr>
      <w:color w:val="605E5C"/>
      <w:shd w:val="clear" w:color="auto" w:fill="E1DFDD"/>
    </w:rPr>
  </w:style>
  <w:style w:type="character" w:customStyle="1" w:styleId="Heading2Char">
    <w:name w:val="Heading 2 Char"/>
    <w:basedOn w:val="DefaultParagraphFont"/>
    <w:link w:val="Heading2"/>
    <w:uiPriority w:val="9"/>
    <w:rsid w:val="002974A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47C36"/>
    <w:rPr>
      <w:sz w:val="16"/>
      <w:szCs w:val="16"/>
    </w:rPr>
  </w:style>
  <w:style w:type="paragraph" w:styleId="CommentText">
    <w:name w:val="annotation text"/>
    <w:basedOn w:val="Normal"/>
    <w:link w:val="CommentTextChar"/>
    <w:uiPriority w:val="99"/>
    <w:unhideWhenUsed/>
    <w:rsid w:val="00747C36"/>
    <w:pPr>
      <w:spacing w:line="240" w:lineRule="auto"/>
    </w:pPr>
    <w:rPr>
      <w:sz w:val="20"/>
      <w:szCs w:val="20"/>
    </w:rPr>
  </w:style>
  <w:style w:type="character" w:customStyle="1" w:styleId="CommentTextChar">
    <w:name w:val="Comment Text Char"/>
    <w:basedOn w:val="DefaultParagraphFont"/>
    <w:link w:val="CommentText"/>
    <w:uiPriority w:val="99"/>
    <w:rsid w:val="00747C36"/>
    <w:rPr>
      <w:sz w:val="20"/>
      <w:szCs w:val="20"/>
    </w:rPr>
  </w:style>
  <w:style w:type="paragraph" w:styleId="CommentSubject">
    <w:name w:val="annotation subject"/>
    <w:basedOn w:val="CommentText"/>
    <w:next w:val="CommentText"/>
    <w:link w:val="CommentSubjectChar"/>
    <w:uiPriority w:val="99"/>
    <w:semiHidden/>
    <w:unhideWhenUsed/>
    <w:rsid w:val="00747C36"/>
    <w:rPr>
      <w:b/>
      <w:bCs/>
    </w:rPr>
  </w:style>
  <w:style w:type="character" w:customStyle="1" w:styleId="CommentSubjectChar">
    <w:name w:val="Comment Subject Char"/>
    <w:basedOn w:val="CommentTextChar"/>
    <w:link w:val="CommentSubject"/>
    <w:uiPriority w:val="99"/>
    <w:semiHidden/>
    <w:rsid w:val="00747C36"/>
    <w:rPr>
      <w:b/>
      <w:bCs/>
      <w:sz w:val="20"/>
      <w:szCs w:val="20"/>
    </w:rPr>
  </w:style>
  <w:style w:type="paragraph" w:styleId="NormalWeb">
    <w:name w:val="Normal (Web)"/>
    <w:basedOn w:val="Normal"/>
    <w:uiPriority w:val="99"/>
    <w:semiHidden/>
    <w:unhideWhenUsed/>
    <w:rsid w:val="00AF0295"/>
    <w:rPr>
      <w:rFonts w:ascii="Times New Roman" w:hAnsi="Times New Roman" w:cs="Times New Roman"/>
      <w:sz w:val="24"/>
      <w:szCs w:val="24"/>
    </w:rPr>
  </w:style>
  <w:style w:type="paragraph" w:customStyle="1" w:styleId="normaltext">
    <w:name w:val="normaltext"/>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blockquote-x">
    <w:name w:val="blockquote-x"/>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arunninghead">
    <w:name w:val="arunninghead"/>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footnote-link">
    <w:name w:val="footnote-link"/>
    <w:basedOn w:val="DefaultParagraphFont"/>
    <w:rsid w:val="00C05244"/>
  </w:style>
  <w:style w:type="paragraph" w:customStyle="1" w:styleId="blockquotetab">
    <w:name w:val="blockquotetab"/>
    <w:basedOn w:val="Normal"/>
    <w:rsid w:val="00C0524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n10pt-1">
    <w:name w:val="n10pt-1"/>
    <w:basedOn w:val="Normal"/>
    <w:rsid w:val="005E33D2"/>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lphit">
    <w:name w:val="lphit"/>
    <w:basedOn w:val="DefaultParagraphFont"/>
    <w:rsid w:val="005E33D2"/>
  </w:style>
  <w:style w:type="paragraph" w:styleId="BalloonText">
    <w:name w:val="Balloon Text"/>
    <w:basedOn w:val="Normal"/>
    <w:link w:val="BalloonTextChar"/>
    <w:uiPriority w:val="99"/>
    <w:semiHidden/>
    <w:unhideWhenUsed/>
    <w:rsid w:val="0019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BC"/>
    <w:rPr>
      <w:rFonts w:ascii="Segoe UI" w:hAnsi="Segoe UI" w:cs="Segoe UI"/>
      <w:sz w:val="18"/>
      <w:szCs w:val="18"/>
    </w:rPr>
  </w:style>
  <w:style w:type="paragraph" w:styleId="Revision">
    <w:name w:val="Revision"/>
    <w:hidden/>
    <w:uiPriority w:val="99"/>
    <w:semiHidden/>
    <w:rsid w:val="002A4A71"/>
    <w:pPr>
      <w:spacing w:after="0" w:line="240" w:lineRule="auto"/>
    </w:pPr>
  </w:style>
  <w:style w:type="character" w:styleId="Strong">
    <w:name w:val="Strong"/>
    <w:basedOn w:val="DefaultParagraphFont"/>
    <w:uiPriority w:val="22"/>
    <w:qFormat/>
    <w:rsid w:val="001D7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504">
      <w:bodyDiv w:val="1"/>
      <w:marLeft w:val="0"/>
      <w:marRight w:val="0"/>
      <w:marTop w:val="0"/>
      <w:marBottom w:val="0"/>
      <w:divBdr>
        <w:top w:val="none" w:sz="0" w:space="0" w:color="auto"/>
        <w:left w:val="none" w:sz="0" w:space="0" w:color="auto"/>
        <w:bottom w:val="none" w:sz="0" w:space="0" w:color="auto"/>
        <w:right w:val="none" w:sz="0" w:space="0" w:color="auto"/>
      </w:divBdr>
    </w:div>
    <w:div w:id="51006592">
      <w:bodyDiv w:val="1"/>
      <w:marLeft w:val="0"/>
      <w:marRight w:val="0"/>
      <w:marTop w:val="0"/>
      <w:marBottom w:val="0"/>
      <w:divBdr>
        <w:top w:val="none" w:sz="0" w:space="0" w:color="auto"/>
        <w:left w:val="none" w:sz="0" w:space="0" w:color="auto"/>
        <w:bottom w:val="none" w:sz="0" w:space="0" w:color="auto"/>
        <w:right w:val="none" w:sz="0" w:space="0" w:color="auto"/>
      </w:divBdr>
    </w:div>
    <w:div w:id="254092364">
      <w:bodyDiv w:val="1"/>
      <w:marLeft w:val="0"/>
      <w:marRight w:val="0"/>
      <w:marTop w:val="0"/>
      <w:marBottom w:val="0"/>
      <w:divBdr>
        <w:top w:val="none" w:sz="0" w:space="0" w:color="auto"/>
        <w:left w:val="none" w:sz="0" w:space="0" w:color="auto"/>
        <w:bottom w:val="none" w:sz="0" w:space="0" w:color="auto"/>
        <w:right w:val="none" w:sz="0" w:space="0" w:color="auto"/>
      </w:divBdr>
    </w:div>
    <w:div w:id="348914740">
      <w:bodyDiv w:val="1"/>
      <w:marLeft w:val="0"/>
      <w:marRight w:val="0"/>
      <w:marTop w:val="0"/>
      <w:marBottom w:val="0"/>
      <w:divBdr>
        <w:top w:val="none" w:sz="0" w:space="0" w:color="auto"/>
        <w:left w:val="none" w:sz="0" w:space="0" w:color="auto"/>
        <w:bottom w:val="none" w:sz="0" w:space="0" w:color="auto"/>
        <w:right w:val="none" w:sz="0" w:space="0" w:color="auto"/>
      </w:divBdr>
    </w:div>
    <w:div w:id="352150472">
      <w:bodyDiv w:val="1"/>
      <w:marLeft w:val="0"/>
      <w:marRight w:val="0"/>
      <w:marTop w:val="0"/>
      <w:marBottom w:val="0"/>
      <w:divBdr>
        <w:top w:val="none" w:sz="0" w:space="0" w:color="auto"/>
        <w:left w:val="none" w:sz="0" w:space="0" w:color="auto"/>
        <w:bottom w:val="none" w:sz="0" w:space="0" w:color="auto"/>
        <w:right w:val="none" w:sz="0" w:space="0" w:color="auto"/>
      </w:divBdr>
    </w:div>
    <w:div w:id="452484776">
      <w:bodyDiv w:val="1"/>
      <w:marLeft w:val="0"/>
      <w:marRight w:val="0"/>
      <w:marTop w:val="0"/>
      <w:marBottom w:val="0"/>
      <w:divBdr>
        <w:top w:val="none" w:sz="0" w:space="0" w:color="auto"/>
        <w:left w:val="none" w:sz="0" w:space="0" w:color="auto"/>
        <w:bottom w:val="none" w:sz="0" w:space="0" w:color="auto"/>
        <w:right w:val="none" w:sz="0" w:space="0" w:color="auto"/>
      </w:divBdr>
    </w:div>
    <w:div w:id="519244261">
      <w:bodyDiv w:val="1"/>
      <w:marLeft w:val="0"/>
      <w:marRight w:val="0"/>
      <w:marTop w:val="0"/>
      <w:marBottom w:val="0"/>
      <w:divBdr>
        <w:top w:val="none" w:sz="0" w:space="0" w:color="auto"/>
        <w:left w:val="none" w:sz="0" w:space="0" w:color="auto"/>
        <w:bottom w:val="none" w:sz="0" w:space="0" w:color="auto"/>
        <w:right w:val="none" w:sz="0" w:space="0" w:color="auto"/>
      </w:divBdr>
    </w:div>
    <w:div w:id="527137992">
      <w:bodyDiv w:val="1"/>
      <w:marLeft w:val="0"/>
      <w:marRight w:val="0"/>
      <w:marTop w:val="0"/>
      <w:marBottom w:val="0"/>
      <w:divBdr>
        <w:top w:val="none" w:sz="0" w:space="0" w:color="auto"/>
        <w:left w:val="none" w:sz="0" w:space="0" w:color="auto"/>
        <w:bottom w:val="none" w:sz="0" w:space="0" w:color="auto"/>
        <w:right w:val="none" w:sz="0" w:space="0" w:color="auto"/>
      </w:divBdr>
    </w:div>
    <w:div w:id="779960162">
      <w:bodyDiv w:val="1"/>
      <w:marLeft w:val="0"/>
      <w:marRight w:val="0"/>
      <w:marTop w:val="0"/>
      <w:marBottom w:val="0"/>
      <w:divBdr>
        <w:top w:val="none" w:sz="0" w:space="0" w:color="auto"/>
        <w:left w:val="none" w:sz="0" w:space="0" w:color="auto"/>
        <w:bottom w:val="none" w:sz="0" w:space="0" w:color="auto"/>
        <w:right w:val="none" w:sz="0" w:space="0" w:color="auto"/>
      </w:divBdr>
    </w:div>
    <w:div w:id="862522054">
      <w:bodyDiv w:val="1"/>
      <w:marLeft w:val="0"/>
      <w:marRight w:val="0"/>
      <w:marTop w:val="0"/>
      <w:marBottom w:val="0"/>
      <w:divBdr>
        <w:top w:val="none" w:sz="0" w:space="0" w:color="auto"/>
        <w:left w:val="none" w:sz="0" w:space="0" w:color="auto"/>
        <w:bottom w:val="none" w:sz="0" w:space="0" w:color="auto"/>
        <w:right w:val="none" w:sz="0" w:space="0" w:color="auto"/>
      </w:divBdr>
    </w:div>
    <w:div w:id="934285601">
      <w:bodyDiv w:val="1"/>
      <w:marLeft w:val="0"/>
      <w:marRight w:val="0"/>
      <w:marTop w:val="0"/>
      <w:marBottom w:val="0"/>
      <w:divBdr>
        <w:top w:val="none" w:sz="0" w:space="0" w:color="auto"/>
        <w:left w:val="none" w:sz="0" w:space="0" w:color="auto"/>
        <w:bottom w:val="none" w:sz="0" w:space="0" w:color="auto"/>
        <w:right w:val="none" w:sz="0" w:space="0" w:color="auto"/>
      </w:divBdr>
    </w:div>
    <w:div w:id="958102511">
      <w:bodyDiv w:val="1"/>
      <w:marLeft w:val="0"/>
      <w:marRight w:val="0"/>
      <w:marTop w:val="0"/>
      <w:marBottom w:val="0"/>
      <w:divBdr>
        <w:top w:val="none" w:sz="0" w:space="0" w:color="auto"/>
        <w:left w:val="none" w:sz="0" w:space="0" w:color="auto"/>
        <w:bottom w:val="none" w:sz="0" w:space="0" w:color="auto"/>
        <w:right w:val="none" w:sz="0" w:space="0" w:color="auto"/>
      </w:divBdr>
      <w:divsChild>
        <w:div w:id="66615541">
          <w:marLeft w:val="0"/>
          <w:marRight w:val="0"/>
          <w:marTop w:val="180"/>
          <w:marBottom w:val="60"/>
          <w:divBdr>
            <w:top w:val="single" w:sz="8" w:space="1" w:color="808080"/>
            <w:left w:val="none" w:sz="0" w:space="0" w:color="auto"/>
            <w:bottom w:val="none" w:sz="0" w:space="0" w:color="auto"/>
            <w:right w:val="none" w:sz="0" w:space="0" w:color="auto"/>
          </w:divBdr>
        </w:div>
        <w:div w:id="684479807">
          <w:marLeft w:val="0"/>
          <w:marRight w:val="0"/>
          <w:marTop w:val="120"/>
          <w:marBottom w:val="0"/>
          <w:divBdr>
            <w:top w:val="none" w:sz="0" w:space="0" w:color="auto"/>
            <w:left w:val="none" w:sz="0" w:space="0" w:color="auto"/>
            <w:bottom w:val="none" w:sz="0" w:space="0" w:color="auto"/>
            <w:right w:val="none" w:sz="0" w:space="0" w:color="auto"/>
          </w:divBdr>
        </w:div>
        <w:div w:id="1762020186">
          <w:marLeft w:val="0"/>
          <w:marRight w:val="0"/>
          <w:marTop w:val="120"/>
          <w:marBottom w:val="0"/>
          <w:divBdr>
            <w:top w:val="none" w:sz="0" w:space="0" w:color="auto"/>
            <w:left w:val="none" w:sz="0" w:space="0" w:color="auto"/>
            <w:bottom w:val="none" w:sz="0" w:space="0" w:color="auto"/>
            <w:right w:val="none" w:sz="0" w:space="0" w:color="auto"/>
          </w:divBdr>
        </w:div>
        <w:div w:id="1764497239">
          <w:marLeft w:val="0"/>
          <w:marRight w:val="0"/>
          <w:marTop w:val="180"/>
          <w:marBottom w:val="60"/>
          <w:divBdr>
            <w:top w:val="single" w:sz="8" w:space="1" w:color="808080"/>
            <w:left w:val="none" w:sz="0" w:space="0" w:color="auto"/>
            <w:bottom w:val="none" w:sz="0" w:space="0" w:color="auto"/>
            <w:right w:val="none" w:sz="0" w:space="0" w:color="auto"/>
          </w:divBdr>
        </w:div>
        <w:div w:id="2057923309">
          <w:marLeft w:val="0"/>
          <w:marRight w:val="0"/>
          <w:marTop w:val="120"/>
          <w:marBottom w:val="0"/>
          <w:divBdr>
            <w:top w:val="none" w:sz="0" w:space="0" w:color="auto"/>
            <w:left w:val="none" w:sz="0" w:space="0" w:color="auto"/>
            <w:bottom w:val="none" w:sz="0" w:space="0" w:color="auto"/>
            <w:right w:val="none" w:sz="0" w:space="0" w:color="auto"/>
          </w:divBdr>
        </w:div>
      </w:divsChild>
    </w:div>
    <w:div w:id="1033844575">
      <w:bodyDiv w:val="1"/>
      <w:marLeft w:val="0"/>
      <w:marRight w:val="0"/>
      <w:marTop w:val="0"/>
      <w:marBottom w:val="0"/>
      <w:divBdr>
        <w:top w:val="none" w:sz="0" w:space="0" w:color="auto"/>
        <w:left w:val="none" w:sz="0" w:space="0" w:color="auto"/>
        <w:bottom w:val="none" w:sz="0" w:space="0" w:color="auto"/>
        <w:right w:val="none" w:sz="0" w:space="0" w:color="auto"/>
      </w:divBdr>
    </w:div>
    <w:div w:id="1110050763">
      <w:bodyDiv w:val="1"/>
      <w:marLeft w:val="0"/>
      <w:marRight w:val="0"/>
      <w:marTop w:val="0"/>
      <w:marBottom w:val="0"/>
      <w:divBdr>
        <w:top w:val="none" w:sz="0" w:space="0" w:color="auto"/>
        <w:left w:val="none" w:sz="0" w:space="0" w:color="auto"/>
        <w:bottom w:val="none" w:sz="0" w:space="0" w:color="auto"/>
        <w:right w:val="none" w:sz="0" w:space="0" w:color="auto"/>
      </w:divBdr>
    </w:div>
    <w:div w:id="1195002197">
      <w:bodyDiv w:val="1"/>
      <w:marLeft w:val="0"/>
      <w:marRight w:val="0"/>
      <w:marTop w:val="0"/>
      <w:marBottom w:val="0"/>
      <w:divBdr>
        <w:top w:val="none" w:sz="0" w:space="0" w:color="auto"/>
        <w:left w:val="none" w:sz="0" w:space="0" w:color="auto"/>
        <w:bottom w:val="none" w:sz="0" w:space="0" w:color="auto"/>
        <w:right w:val="none" w:sz="0" w:space="0" w:color="auto"/>
      </w:divBdr>
    </w:div>
    <w:div w:id="1317565974">
      <w:bodyDiv w:val="1"/>
      <w:marLeft w:val="0"/>
      <w:marRight w:val="0"/>
      <w:marTop w:val="0"/>
      <w:marBottom w:val="0"/>
      <w:divBdr>
        <w:top w:val="none" w:sz="0" w:space="0" w:color="auto"/>
        <w:left w:val="none" w:sz="0" w:space="0" w:color="auto"/>
        <w:bottom w:val="none" w:sz="0" w:space="0" w:color="auto"/>
        <w:right w:val="none" w:sz="0" w:space="0" w:color="auto"/>
      </w:divBdr>
    </w:div>
    <w:div w:id="1386173782">
      <w:bodyDiv w:val="1"/>
      <w:marLeft w:val="0"/>
      <w:marRight w:val="0"/>
      <w:marTop w:val="0"/>
      <w:marBottom w:val="0"/>
      <w:divBdr>
        <w:top w:val="none" w:sz="0" w:space="0" w:color="auto"/>
        <w:left w:val="none" w:sz="0" w:space="0" w:color="auto"/>
        <w:bottom w:val="none" w:sz="0" w:space="0" w:color="auto"/>
        <w:right w:val="none" w:sz="0" w:space="0" w:color="auto"/>
      </w:divBdr>
    </w:div>
    <w:div w:id="1431504673">
      <w:bodyDiv w:val="1"/>
      <w:marLeft w:val="0"/>
      <w:marRight w:val="0"/>
      <w:marTop w:val="0"/>
      <w:marBottom w:val="0"/>
      <w:divBdr>
        <w:top w:val="none" w:sz="0" w:space="0" w:color="auto"/>
        <w:left w:val="none" w:sz="0" w:space="0" w:color="auto"/>
        <w:bottom w:val="none" w:sz="0" w:space="0" w:color="auto"/>
        <w:right w:val="none" w:sz="0" w:space="0" w:color="auto"/>
      </w:divBdr>
    </w:div>
    <w:div w:id="1514223669">
      <w:bodyDiv w:val="1"/>
      <w:marLeft w:val="0"/>
      <w:marRight w:val="0"/>
      <w:marTop w:val="0"/>
      <w:marBottom w:val="0"/>
      <w:divBdr>
        <w:top w:val="none" w:sz="0" w:space="0" w:color="auto"/>
        <w:left w:val="none" w:sz="0" w:space="0" w:color="auto"/>
        <w:bottom w:val="none" w:sz="0" w:space="0" w:color="auto"/>
        <w:right w:val="none" w:sz="0" w:space="0" w:color="auto"/>
      </w:divBdr>
    </w:div>
    <w:div w:id="1605190632">
      <w:bodyDiv w:val="1"/>
      <w:marLeft w:val="0"/>
      <w:marRight w:val="0"/>
      <w:marTop w:val="0"/>
      <w:marBottom w:val="0"/>
      <w:divBdr>
        <w:top w:val="none" w:sz="0" w:space="0" w:color="auto"/>
        <w:left w:val="none" w:sz="0" w:space="0" w:color="auto"/>
        <w:bottom w:val="none" w:sz="0" w:space="0" w:color="auto"/>
        <w:right w:val="none" w:sz="0" w:space="0" w:color="auto"/>
      </w:divBdr>
    </w:div>
    <w:div w:id="1770540711">
      <w:bodyDiv w:val="1"/>
      <w:marLeft w:val="0"/>
      <w:marRight w:val="0"/>
      <w:marTop w:val="0"/>
      <w:marBottom w:val="0"/>
      <w:divBdr>
        <w:top w:val="none" w:sz="0" w:space="0" w:color="auto"/>
        <w:left w:val="none" w:sz="0" w:space="0" w:color="auto"/>
        <w:bottom w:val="none" w:sz="0" w:space="0" w:color="auto"/>
        <w:right w:val="none" w:sz="0" w:space="0" w:color="auto"/>
      </w:divBdr>
    </w:div>
    <w:div w:id="1905022674">
      <w:bodyDiv w:val="1"/>
      <w:marLeft w:val="0"/>
      <w:marRight w:val="0"/>
      <w:marTop w:val="0"/>
      <w:marBottom w:val="0"/>
      <w:divBdr>
        <w:top w:val="none" w:sz="0" w:space="0" w:color="auto"/>
        <w:left w:val="none" w:sz="0" w:space="0" w:color="auto"/>
        <w:bottom w:val="none" w:sz="0" w:space="0" w:color="auto"/>
        <w:right w:val="none" w:sz="0" w:space="0" w:color="auto"/>
      </w:divBdr>
    </w:div>
    <w:div w:id="1988394057">
      <w:bodyDiv w:val="1"/>
      <w:marLeft w:val="0"/>
      <w:marRight w:val="0"/>
      <w:marTop w:val="0"/>
      <w:marBottom w:val="0"/>
      <w:divBdr>
        <w:top w:val="none" w:sz="0" w:space="0" w:color="auto"/>
        <w:left w:val="none" w:sz="0" w:space="0" w:color="auto"/>
        <w:bottom w:val="none" w:sz="0" w:space="0" w:color="auto"/>
        <w:right w:val="none" w:sz="0" w:space="0" w:color="auto"/>
      </w:divBdr>
    </w:div>
    <w:div w:id="2023817493">
      <w:bodyDiv w:val="1"/>
      <w:marLeft w:val="0"/>
      <w:marRight w:val="0"/>
      <w:marTop w:val="0"/>
      <w:marBottom w:val="0"/>
      <w:divBdr>
        <w:top w:val="none" w:sz="0" w:space="0" w:color="auto"/>
        <w:left w:val="none" w:sz="0" w:space="0" w:color="auto"/>
        <w:bottom w:val="none" w:sz="0" w:space="0" w:color="auto"/>
        <w:right w:val="none" w:sz="0" w:space="0" w:color="auto"/>
      </w:divBdr>
    </w:div>
    <w:div w:id="207018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belwa.chisaka@bowmnsla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ndisile.mandlana@bowmanslaw.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Mathebula@justice.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d@counsel.co.za" TargetMode="External"/><Relationship Id="rId5" Type="http://schemas.openxmlformats.org/officeDocument/2006/relationships/webSettings" Target="webSettings.xml"/><Relationship Id="rId15" Type="http://schemas.openxmlformats.org/officeDocument/2006/relationships/hyperlink" Target="mailto:kunene@counsel.co.za" TargetMode="External"/><Relationship Id="rId10" Type="http://schemas.openxmlformats.org/officeDocument/2006/relationships/hyperlink" Target="mailto:loxton@counsel.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cgi-bin/LawCite?cit=2007%20%285%29%20SA%20391" TargetMode="External"/><Relationship Id="rId14" Type="http://schemas.openxmlformats.org/officeDocument/2006/relationships/hyperlink" Target="mailto:advgumbi@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5b2015%5d%20JOL%2032690" TargetMode="External"/><Relationship Id="rId2" Type="http://schemas.openxmlformats.org/officeDocument/2006/relationships/hyperlink" Target="http://www.saflii.org/cgi-bin/LawCite?cit=%5b2016%5d%20JOL%2034325" TargetMode="External"/><Relationship Id="rId1" Type="http://schemas.openxmlformats.org/officeDocument/2006/relationships/hyperlink" Target="http://www.saflii.org/cgi-bin/LawCite?cit=2009%20%2812%29%20BCLR%201192" TargetMode="External"/><Relationship Id="rId4" Type="http://schemas.openxmlformats.org/officeDocument/2006/relationships/hyperlink" Target="http://www.saflii.org/cgi-bin/LawCite?cit=1996%20%282%29%20SA%2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CC6E-7906-4797-BD2A-1E2DA626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22208</Words>
  <Characters>126586</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Adalis Ndlovu</dc:creator>
  <cp:keywords/>
  <dc:description/>
  <cp:lastModifiedBy>Mokone</cp:lastModifiedBy>
  <cp:revision>3</cp:revision>
  <cp:lastPrinted>2023-09-04T16:07:00Z</cp:lastPrinted>
  <dcterms:created xsi:type="dcterms:W3CDTF">2023-09-11T08:02:00Z</dcterms:created>
  <dcterms:modified xsi:type="dcterms:W3CDTF">2023-09-11T08:03:00Z</dcterms:modified>
</cp:coreProperties>
</file>