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3C97EBED" w14:textId="77777777" w:rsidR="00BA0C0C" w:rsidRDefault="00BA0C0C" w:rsidP="00C82197">
      <w:pPr>
        <w:pStyle w:val="Title"/>
        <w:rPr>
          <w:sz w:val="24"/>
          <w:szCs w:val="24"/>
        </w:rPr>
      </w:pP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700E8B1F" w:rsidR="00C82197" w:rsidRDefault="00C82197" w:rsidP="00C82197">
      <w:pPr>
        <w:pStyle w:val="Title"/>
        <w:rPr>
          <w:sz w:val="24"/>
          <w:szCs w:val="24"/>
        </w:rPr>
      </w:pPr>
      <w:r>
        <w:rPr>
          <w:sz w:val="24"/>
          <w:szCs w:val="24"/>
        </w:rPr>
        <w:t>(</w:t>
      </w:r>
      <w:r w:rsidR="00B16DB4">
        <w:rPr>
          <w:sz w:val="24"/>
          <w:szCs w:val="24"/>
        </w:rPr>
        <w:t xml:space="preserve">GAUTENG DIVISION, </w:t>
      </w:r>
      <w:r w:rsidR="00160549">
        <w:rPr>
          <w:sz w:val="24"/>
          <w:szCs w:val="24"/>
        </w:rPr>
        <w:t>PRETORIA</w:t>
      </w:r>
      <w:r>
        <w:rPr>
          <w:sz w:val="24"/>
          <w:szCs w:val="24"/>
        </w:rPr>
        <w:t>)</w:t>
      </w:r>
    </w:p>
    <w:p w14:paraId="66EA89AB" w14:textId="77777777" w:rsidR="00BA0C0C" w:rsidRPr="003B7BDC" w:rsidRDefault="00BA0C0C" w:rsidP="00BA0C0C">
      <w:pPr>
        <w:pStyle w:val="Title"/>
        <w:jc w:val="left"/>
        <w:rPr>
          <w:sz w:val="24"/>
          <w:szCs w:val="24"/>
        </w:rPr>
      </w:pP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41209318" w:rsidR="00A12D4A" w:rsidRDefault="000E0339" w:rsidP="000E033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12D4A">
                              <w:rPr>
                                <w:rFonts w:ascii="Century Gothic" w:hAnsi="Century Gothic"/>
                                <w:sz w:val="20"/>
                                <w:szCs w:val="20"/>
                              </w:rPr>
                              <w:t>REPORTABLE:  NO</w:t>
                            </w:r>
                          </w:p>
                          <w:p w14:paraId="300C0173" w14:textId="5313FEBE" w:rsidR="00A12D4A" w:rsidRDefault="000E0339" w:rsidP="000E0339">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12D4A">
                              <w:rPr>
                                <w:rFonts w:ascii="Century Gothic" w:hAnsi="Century Gothic"/>
                                <w:sz w:val="20"/>
                                <w:szCs w:val="20"/>
                              </w:rPr>
                              <w:t>OF INTEREST TO OTHER JUDGES: NO</w:t>
                            </w:r>
                          </w:p>
                          <w:p w14:paraId="57A058C4" w14:textId="02F6D9F3" w:rsidR="00A12D4A" w:rsidRDefault="000E0339" w:rsidP="000E0339">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A12D4A">
                              <w:rPr>
                                <w:rFonts w:ascii="Century Gothic" w:hAnsi="Century Gothic"/>
                                <w:sz w:val="20"/>
                                <w:szCs w:val="20"/>
                              </w:rPr>
                              <w:t>REVISED</w:t>
                            </w:r>
                            <w:r w:rsidR="00717182">
                              <w:rPr>
                                <w:rFonts w:ascii="Century Gothic" w:hAnsi="Century Gothic"/>
                                <w:sz w:val="20"/>
                                <w:szCs w:val="20"/>
                              </w:rPr>
                              <w:t>: NO</w:t>
                            </w:r>
                            <w:r w:rsidR="00A12D4A">
                              <w:rPr>
                                <w:rFonts w:ascii="Century Gothic" w:hAnsi="Century Gothic"/>
                                <w:sz w:val="20"/>
                                <w:szCs w:val="20"/>
                              </w:rPr>
                              <w:t xml:space="preserve">  </w:t>
                            </w:r>
                          </w:p>
                          <w:p w14:paraId="00DE972E" w14:textId="78FC0D28" w:rsidR="00A12D4A" w:rsidRDefault="00A12D4A" w:rsidP="006D4C73">
                            <w:pPr>
                              <w:rPr>
                                <w:rFonts w:ascii="Century Gothic" w:hAnsi="Century Gothic"/>
                                <w:b/>
                                <w:noProof/>
                                <w:sz w:val="18"/>
                                <w:szCs w:val="18"/>
                              </w:rPr>
                            </w:pPr>
                            <w:r>
                              <w:rPr>
                                <w:rFonts w:ascii="Century Gothic" w:hAnsi="Century Gothic"/>
                                <w:b/>
                                <w:sz w:val="18"/>
                                <w:szCs w:val="18"/>
                              </w:rPr>
                              <w:t xml:space="preserve"> </w:t>
                            </w:r>
                          </w:p>
                          <w:p w14:paraId="146A7CA7" w14:textId="028234BB" w:rsidR="00A12D4A" w:rsidRDefault="00A12D4A" w:rsidP="006D4C73">
                            <w:pPr>
                              <w:rPr>
                                <w:rFonts w:ascii="Century Gothic" w:hAnsi="Century Gothic"/>
                                <w:sz w:val="18"/>
                                <w:szCs w:val="18"/>
                              </w:rPr>
                            </w:pPr>
                            <w:r>
                              <w:rPr>
                                <w:rFonts w:ascii="Century Gothic" w:hAnsi="Century Gothic"/>
                                <w:b/>
                                <w:sz w:val="18"/>
                                <w:szCs w:val="18"/>
                              </w:rPr>
                              <w:t xml:space="preserve">   </w:t>
                            </w:r>
                          </w:p>
                          <w:p w14:paraId="543CD2BB" w14:textId="3108D261" w:rsidR="00A12D4A" w:rsidRDefault="00A12D4A"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FE2229">
                              <w:rPr>
                                <w:rFonts w:ascii="Century Gothic" w:hAnsi="Century Gothic"/>
                                <w:sz w:val="18"/>
                                <w:szCs w:val="18"/>
                              </w:rPr>
                              <w:t>8</w:t>
                            </w:r>
                            <w:r w:rsidR="00866292">
                              <w:rPr>
                                <w:rFonts w:ascii="Century Gothic" w:hAnsi="Century Gothic"/>
                                <w:sz w:val="18"/>
                                <w:szCs w:val="18"/>
                              </w:rPr>
                              <w:t xml:space="preserve"> September</w:t>
                            </w:r>
                            <w:r>
                              <w:rPr>
                                <w:rFonts w:ascii="Century Gothic" w:hAnsi="Century Gothic"/>
                                <w:sz w:val="18"/>
                                <w:szCs w:val="18"/>
                              </w:rPr>
                              <w:t xml:space="preserve"> 2023</w:t>
                            </w:r>
                          </w:p>
                          <w:p w14:paraId="3C6D3563" w14:textId="74310877" w:rsidR="00A12D4A" w:rsidRPr="0046498E" w:rsidRDefault="00A12D4A" w:rsidP="00920556">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">
                <v:textbox>
                  <w:txbxContent>
                    <w:p w14:paraId="56D477FD" w14:textId="41209318" w:rsidR="00A12D4A" w:rsidRDefault="000E0339" w:rsidP="000E033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12D4A">
                        <w:rPr>
                          <w:rFonts w:ascii="Century Gothic" w:hAnsi="Century Gothic"/>
                          <w:sz w:val="20"/>
                          <w:szCs w:val="20"/>
                        </w:rPr>
                        <w:t>REPORTABLE:  NO</w:t>
                      </w:r>
                    </w:p>
                    <w:p w14:paraId="300C0173" w14:textId="5313FEBE" w:rsidR="00A12D4A" w:rsidRDefault="000E0339" w:rsidP="000E0339">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12D4A">
                        <w:rPr>
                          <w:rFonts w:ascii="Century Gothic" w:hAnsi="Century Gothic"/>
                          <w:sz w:val="20"/>
                          <w:szCs w:val="20"/>
                        </w:rPr>
                        <w:t>OF INTEREST TO OTHER JUDGES: NO</w:t>
                      </w:r>
                    </w:p>
                    <w:p w14:paraId="57A058C4" w14:textId="02F6D9F3" w:rsidR="00A12D4A" w:rsidRDefault="000E0339" w:rsidP="000E0339">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A12D4A">
                        <w:rPr>
                          <w:rFonts w:ascii="Century Gothic" w:hAnsi="Century Gothic"/>
                          <w:sz w:val="20"/>
                          <w:szCs w:val="20"/>
                        </w:rPr>
                        <w:t>REVISED</w:t>
                      </w:r>
                      <w:r w:rsidR="00717182">
                        <w:rPr>
                          <w:rFonts w:ascii="Century Gothic" w:hAnsi="Century Gothic"/>
                          <w:sz w:val="20"/>
                          <w:szCs w:val="20"/>
                        </w:rPr>
                        <w:t>: NO</w:t>
                      </w:r>
                      <w:r w:rsidR="00A12D4A">
                        <w:rPr>
                          <w:rFonts w:ascii="Century Gothic" w:hAnsi="Century Gothic"/>
                          <w:sz w:val="20"/>
                          <w:szCs w:val="20"/>
                        </w:rPr>
                        <w:t xml:space="preserve">  </w:t>
                      </w:r>
                    </w:p>
                    <w:p w14:paraId="00DE972E" w14:textId="78FC0D28" w:rsidR="00A12D4A" w:rsidRDefault="00A12D4A" w:rsidP="006D4C73">
                      <w:pPr>
                        <w:rPr>
                          <w:rFonts w:ascii="Century Gothic" w:hAnsi="Century Gothic"/>
                          <w:b/>
                          <w:noProof/>
                          <w:sz w:val="18"/>
                          <w:szCs w:val="18"/>
                        </w:rPr>
                      </w:pPr>
                      <w:r>
                        <w:rPr>
                          <w:rFonts w:ascii="Century Gothic" w:hAnsi="Century Gothic"/>
                          <w:b/>
                          <w:sz w:val="18"/>
                          <w:szCs w:val="18"/>
                        </w:rPr>
                        <w:t xml:space="preserve"> </w:t>
                      </w:r>
                    </w:p>
                    <w:p w14:paraId="146A7CA7" w14:textId="028234BB" w:rsidR="00A12D4A" w:rsidRDefault="00A12D4A" w:rsidP="006D4C73">
                      <w:pPr>
                        <w:rPr>
                          <w:rFonts w:ascii="Century Gothic" w:hAnsi="Century Gothic"/>
                          <w:sz w:val="18"/>
                          <w:szCs w:val="18"/>
                        </w:rPr>
                      </w:pPr>
                      <w:r>
                        <w:rPr>
                          <w:rFonts w:ascii="Century Gothic" w:hAnsi="Century Gothic"/>
                          <w:b/>
                          <w:sz w:val="18"/>
                          <w:szCs w:val="18"/>
                        </w:rPr>
                        <w:t xml:space="preserve">   </w:t>
                      </w:r>
                    </w:p>
                    <w:p w14:paraId="543CD2BB" w14:textId="3108D261" w:rsidR="00A12D4A" w:rsidRDefault="00A12D4A"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FE2229">
                        <w:rPr>
                          <w:rFonts w:ascii="Century Gothic" w:hAnsi="Century Gothic"/>
                          <w:sz w:val="18"/>
                          <w:szCs w:val="18"/>
                        </w:rPr>
                        <w:t>8</w:t>
                      </w:r>
                      <w:r w:rsidR="00866292">
                        <w:rPr>
                          <w:rFonts w:ascii="Century Gothic" w:hAnsi="Century Gothic"/>
                          <w:sz w:val="18"/>
                          <w:szCs w:val="18"/>
                        </w:rPr>
                        <w:t xml:space="preserve"> September</w:t>
                      </w:r>
                      <w:r>
                        <w:rPr>
                          <w:rFonts w:ascii="Century Gothic" w:hAnsi="Century Gothic"/>
                          <w:sz w:val="18"/>
                          <w:szCs w:val="18"/>
                        </w:rPr>
                        <w:t xml:space="preserve"> 2023</w:t>
                      </w:r>
                    </w:p>
                    <w:p w14:paraId="3C6D3563" w14:textId="74310877" w:rsidR="00A12D4A" w:rsidRPr="0046498E" w:rsidRDefault="00A12D4A" w:rsidP="00920556">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D20F5DF" w14:textId="6D9CD6F1" w:rsidR="00BA0C0C" w:rsidRPr="00BA0C0C" w:rsidRDefault="00C82197" w:rsidP="00BA0C0C">
      <w:pPr>
        <w:pStyle w:val="Heading4"/>
        <w:tabs>
          <w:tab w:val="right" w:pos="8646"/>
        </w:tabs>
        <w:jc w:val="left"/>
        <w:rPr>
          <w:b w:val="0"/>
          <w:sz w:val="24"/>
          <w:szCs w:val="24"/>
        </w:rPr>
      </w:pPr>
      <w:r>
        <w:rPr>
          <w:b w:val="0"/>
        </w:rPr>
        <w:t xml:space="preserve">                                                 </w:t>
      </w:r>
      <w:r>
        <w:rPr>
          <w:b w:val="0"/>
          <w:sz w:val="24"/>
          <w:szCs w:val="24"/>
        </w:rPr>
        <w:t xml:space="preserve">    </w:t>
      </w:r>
    </w:p>
    <w:p w14:paraId="6FB8DF45" w14:textId="42B53BE1" w:rsidR="00BA0C0C" w:rsidRPr="00BA0C0C" w:rsidRDefault="00FA0C61" w:rsidP="00BA0C0C">
      <w:pPr>
        <w:keepNext/>
        <w:spacing w:line="360" w:lineRule="auto"/>
        <w:jc w:val="right"/>
        <w:outlineLvl w:val="0"/>
        <w:rPr>
          <w:rFonts w:ascii="Arial" w:hAnsi="Arial" w:cs="Arial"/>
          <w:b/>
          <w:bCs/>
          <w:lang w:val="en-US"/>
        </w:rPr>
      </w:pPr>
      <w:r w:rsidRPr="0094712D">
        <w:rPr>
          <w:rFonts w:ascii="Arial" w:hAnsi="Arial" w:cs="Arial"/>
          <w:lang w:val="en-US"/>
        </w:rPr>
        <w:t>Case No.</w:t>
      </w:r>
      <w:r w:rsidR="00D261C3" w:rsidRPr="0094712D">
        <w:rPr>
          <w:rFonts w:ascii="Arial" w:hAnsi="Arial" w:cs="Arial"/>
          <w:b/>
          <w:bCs/>
          <w:lang w:val="en-US"/>
        </w:rPr>
        <w:t xml:space="preserve"> </w:t>
      </w:r>
      <w:r w:rsidR="00160549">
        <w:rPr>
          <w:rFonts w:ascii="Arial" w:hAnsi="Arial" w:cs="Arial"/>
          <w:lang w:val="en-US"/>
        </w:rPr>
        <w:t>23/075060</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7EDFDE18" w:rsidR="00D261C3" w:rsidRDefault="00DD1898" w:rsidP="00D261C3">
      <w:pPr>
        <w:tabs>
          <w:tab w:val="right" w:pos="8646"/>
        </w:tabs>
        <w:rPr>
          <w:rFonts w:ascii="Arial" w:hAnsi="Arial"/>
        </w:rPr>
      </w:pPr>
      <w:r>
        <w:rPr>
          <w:rFonts w:ascii="Arial" w:hAnsi="Arial"/>
          <w:b/>
        </w:rPr>
        <w:t>ALTRON TMT (PTY) LTD</w:t>
      </w:r>
      <w:r w:rsidR="00D7474F">
        <w:rPr>
          <w:rFonts w:ascii="Arial" w:hAnsi="Arial"/>
        </w:rPr>
        <w:tab/>
      </w:r>
      <w:r w:rsidR="00160549">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3B9E96F2" w:rsidR="00D261C3" w:rsidRPr="00DD1898" w:rsidRDefault="00160549" w:rsidP="00D261C3">
      <w:pPr>
        <w:tabs>
          <w:tab w:val="right" w:pos="8646"/>
        </w:tabs>
        <w:rPr>
          <w:rFonts w:ascii="Arial" w:hAnsi="Arial"/>
          <w:b/>
        </w:rPr>
      </w:pPr>
      <w:r>
        <w:rPr>
          <w:rFonts w:ascii="Arial" w:hAnsi="Arial"/>
          <w:b/>
        </w:rPr>
        <w:t>CITY OF TSHWANE METROPOLITAN MUNICIPALITY</w:t>
      </w:r>
      <w:r w:rsidR="001F28EE">
        <w:rPr>
          <w:rFonts w:ascii="Arial" w:hAnsi="Arial"/>
          <w:b/>
        </w:rPr>
        <w:tab/>
      </w:r>
      <w:r w:rsidR="00DD1898" w:rsidRPr="00DD1898">
        <w:rPr>
          <w:rFonts w:ascii="Arial" w:hAnsi="Arial"/>
          <w:bCs/>
        </w:rPr>
        <w:t>First</w:t>
      </w:r>
      <w:r w:rsidR="00DD1898">
        <w:rPr>
          <w:rFonts w:ascii="Arial" w:hAnsi="Arial"/>
          <w:b/>
        </w:rPr>
        <w:t xml:space="preserve"> </w:t>
      </w:r>
      <w:r w:rsidR="00F901AD">
        <w:rPr>
          <w:rFonts w:ascii="Arial" w:hAnsi="Arial"/>
          <w:bCs/>
        </w:rPr>
        <w:t>Respondent</w:t>
      </w:r>
    </w:p>
    <w:p w14:paraId="0E0DA2FD" w14:textId="77777777" w:rsidR="00544A2E" w:rsidRDefault="00544A2E" w:rsidP="00D261C3">
      <w:pPr>
        <w:pBdr>
          <w:bottom w:val="single" w:sz="12" w:space="1" w:color="auto"/>
        </w:pBdr>
        <w:rPr>
          <w:rFonts w:ascii="Arial" w:hAnsi="Arial"/>
        </w:rPr>
      </w:pPr>
    </w:p>
    <w:p w14:paraId="6C669D59" w14:textId="24D56A7D" w:rsidR="00DD1898" w:rsidRDefault="00DD1898" w:rsidP="00D261C3">
      <w:pPr>
        <w:pBdr>
          <w:bottom w:val="single" w:sz="12" w:space="1" w:color="auto"/>
        </w:pBdr>
        <w:rPr>
          <w:rFonts w:ascii="Arial" w:hAnsi="Arial"/>
        </w:rPr>
      </w:pPr>
      <w:r w:rsidRPr="00DD1898">
        <w:rPr>
          <w:rFonts w:ascii="Arial" w:hAnsi="Arial"/>
          <w:b/>
          <w:bCs/>
        </w:rPr>
        <w:t>BRILLIANT TELECOMMUNICATIONS (PTY) LTD</w:t>
      </w:r>
      <w:r>
        <w:rPr>
          <w:rFonts w:ascii="Arial" w:hAnsi="Arial"/>
        </w:rPr>
        <w:tab/>
      </w:r>
      <w:r>
        <w:rPr>
          <w:rFonts w:ascii="Arial" w:hAnsi="Arial"/>
        </w:rPr>
        <w:tab/>
        <w:t>Second Respondent</w:t>
      </w:r>
    </w:p>
    <w:p w14:paraId="6AD88534" w14:textId="77777777" w:rsidR="00DD1898" w:rsidRDefault="00DD1898" w:rsidP="00D261C3">
      <w:pPr>
        <w:pBdr>
          <w:bottom w:val="single" w:sz="12" w:space="1" w:color="auto"/>
        </w:pBdr>
        <w:rPr>
          <w:rFonts w:ascii="Arial" w:hAnsi="Arial"/>
        </w:rPr>
      </w:pPr>
    </w:p>
    <w:p w14:paraId="7FB564B0" w14:textId="79780800" w:rsidR="00DD1898" w:rsidRDefault="00DD1898" w:rsidP="00D261C3">
      <w:pPr>
        <w:pBdr>
          <w:bottom w:val="single" w:sz="12" w:space="1" w:color="auto"/>
        </w:pBdr>
        <w:rPr>
          <w:rFonts w:ascii="Arial" w:hAnsi="Arial"/>
        </w:rPr>
      </w:pPr>
      <w:r w:rsidRPr="00DD1898">
        <w:rPr>
          <w:rFonts w:ascii="Arial" w:hAnsi="Arial"/>
          <w:b/>
          <w:bCs/>
        </w:rPr>
        <w:t>CBX TECH (PTY) LTD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Third Respondent</w:t>
      </w:r>
    </w:p>
    <w:p w14:paraId="2EB07A6D" w14:textId="77777777" w:rsidR="00866292" w:rsidRPr="00D261C3" w:rsidRDefault="0086629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7C7B5E0" w14:textId="77777777" w:rsidR="00BA0C0C" w:rsidRDefault="00BA0C0C" w:rsidP="00A746DF">
      <w:pPr>
        <w:spacing w:line="360" w:lineRule="auto"/>
        <w:contextualSpacing/>
        <w:jc w:val="both"/>
        <w:rPr>
          <w:rFonts w:ascii="Arial" w:eastAsia="Calibri" w:hAnsi="Arial" w:cs="Arial"/>
          <w:b/>
          <w:bCs/>
          <w:color w:val="000000" w:themeColor="text1"/>
          <w:u w:val="single"/>
        </w:rPr>
      </w:pPr>
    </w:p>
    <w:p w14:paraId="15DC96D1" w14:textId="25780029" w:rsidR="00C82197" w:rsidRDefault="00160549" w:rsidP="00BA0C0C">
      <w:pPr>
        <w:spacing w:line="360" w:lineRule="auto"/>
        <w:contextualSpacing/>
        <w:jc w:val="both"/>
        <w:rPr>
          <w:rFonts w:ascii="Arial" w:eastAsia="Calibri" w:hAnsi="Arial" w:cs="Arial"/>
          <w:b/>
          <w:bCs/>
          <w:color w:val="000000" w:themeColor="text1"/>
          <w:u w:val="single"/>
        </w:rPr>
      </w:pPr>
      <w:r>
        <w:rPr>
          <w:rFonts w:ascii="Arial" w:eastAsia="Calibri" w:hAnsi="Arial" w:cs="Arial"/>
          <w:b/>
          <w:bCs/>
          <w:color w:val="000000" w:themeColor="text1"/>
          <w:u w:val="single"/>
        </w:rPr>
        <w:t>DE VOS AJ</w:t>
      </w:r>
      <w:r w:rsidR="00B92B28">
        <w:rPr>
          <w:rFonts w:ascii="Arial" w:eastAsia="Calibri" w:hAnsi="Arial" w:cs="Arial"/>
          <w:b/>
          <w:bCs/>
          <w:color w:val="000000" w:themeColor="text1"/>
          <w:u w:val="single"/>
        </w:rPr>
        <w:t>:</w:t>
      </w:r>
    </w:p>
    <w:p w14:paraId="492BB130" w14:textId="77777777" w:rsidR="00920556" w:rsidRDefault="00920556" w:rsidP="00BA0C0C">
      <w:pPr>
        <w:spacing w:line="360" w:lineRule="auto"/>
        <w:contextualSpacing/>
        <w:jc w:val="both"/>
        <w:rPr>
          <w:rFonts w:ascii="Arial" w:eastAsia="Calibri" w:hAnsi="Arial" w:cs="Arial"/>
          <w:b/>
          <w:bCs/>
          <w:color w:val="000000" w:themeColor="text1"/>
        </w:rPr>
      </w:pPr>
    </w:p>
    <w:p w14:paraId="3C4F79AD" w14:textId="0150E1C5" w:rsidR="00BA0C0C" w:rsidRPr="00920556" w:rsidRDefault="00920556" w:rsidP="00920556">
      <w:pPr>
        <w:pStyle w:val="Paragraph12pt"/>
        <w:rPr>
          <w:b/>
        </w:rPr>
      </w:pPr>
      <w:r>
        <w:rPr>
          <w:b/>
        </w:rPr>
        <w:t>Introduction</w:t>
      </w:r>
    </w:p>
    <w:p w14:paraId="08374F41" w14:textId="7A82B215" w:rsidR="00A41604" w:rsidRDefault="000E0339" w:rsidP="000E0339">
      <w:pPr>
        <w:pStyle w:val="Paragraph12pt"/>
        <w:tabs>
          <w:tab w:val="left" w:pos="851"/>
        </w:tabs>
        <w:ind w:left="851" w:hanging="851"/>
      </w:pPr>
      <w:r>
        <w:rPr>
          <w:rFonts w:cs="Arial"/>
          <w:color w:val="000000"/>
          <w:szCs w:val="24"/>
        </w:rPr>
        <w:lastRenderedPageBreak/>
        <w:t>1</w:t>
      </w:r>
      <w:r>
        <w:rPr>
          <w:rFonts w:cs="Arial"/>
          <w:color w:val="000000"/>
          <w:szCs w:val="24"/>
        </w:rPr>
        <w:tab/>
      </w:r>
      <w:r w:rsidR="00A41604">
        <w:t xml:space="preserve">The </w:t>
      </w:r>
      <w:r w:rsidR="00835002">
        <w:t>Court must decide if a successful tenderer can object to the disclosure of portions of the Rule 53 record</w:t>
      </w:r>
      <w:r w:rsidR="00524F2B">
        <w:t>, on confidentiality grounds,</w:t>
      </w:r>
      <w:r w:rsidR="00835002">
        <w:t xml:space="preserve"> in the context of a tender review.  </w:t>
      </w:r>
    </w:p>
    <w:p w14:paraId="633762F2" w14:textId="17CEFB12" w:rsidR="004B28DB" w:rsidRDefault="000E0339" w:rsidP="000E0339">
      <w:pPr>
        <w:pStyle w:val="Paragraph12pt"/>
        <w:tabs>
          <w:tab w:val="left" w:pos="851"/>
        </w:tabs>
        <w:ind w:left="851" w:hanging="851"/>
      </w:pPr>
      <w:r>
        <w:rPr>
          <w:rFonts w:cs="Arial"/>
          <w:color w:val="000000"/>
          <w:szCs w:val="24"/>
        </w:rPr>
        <w:t>2</w:t>
      </w:r>
      <w:r>
        <w:rPr>
          <w:rFonts w:cs="Arial"/>
          <w:color w:val="000000"/>
          <w:szCs w:val="24"/>
        </w:rPr>
        <w:tab/>
      </w:r>
      <w:r w:rsidR="00A41604">
        <w:t xml:space="preserve">The City awarded a tender to the second respondent for R 585 million. The </w:t>
      </w:r>
      <w:r w:rsidR="00835002">
        <w:t>second respondent’s</w:t>
      </w:r>
      <w:r w:rsidR="00A41604">
        <w:t xml:space="preserve"> bidding price was R 74 million. </w:t>
      </w:r>
      <w:r w:rsidR="00835002">
        <w:t xml:space="preserve">There is a </w:t>
      </w:r>
      <w:r w:rsidR="00866292">
        <w:t xml:space="preserve">R 510 million </w:t>
      </w:r>
      <w:r w:rsidR="00FE2229">
        <w:t>difference</w:t>
      </w:r>
      <w:r w:rsidR="00524F2B">
        <w:t xml:space="preserve"> at play</w:t>
      </w:r>
      <w:r w:rsidR="00835002">
        <w:t xml:space="preserve">. </w:t>
      </w:r>
      <w:r w:rsidR="00A41604">
        <w:t xml:space="preserve">The applicant, </w:t>
      </w:r>
      <w:r w:rsidR="00FE2229">
        <w:t>as</w:t>
      </w:r>
      <w:r w:rsidR="00A41604">
        <w:t xml:space="preserve"> unsuccessful tenderer, has launched a review </w:t>
      </w:r>
      <w:r w:rsidR="00866292">
        <w:t>of</w:t>
      </w:r>
      <w:r w:rsidR="00A41604">
        <w:t xml:space="preserve"> the award of the tender. </w:t>
      </w:r>
      <w:r w:rsidR="00835002">
        <w:t xml:space="preserve">It </w:t>
      </w:r>
      <w:r w:rsidR="00524F2B">
        <w:t>is as a matter of process entitled to a Rule 53 record, but</w:t>
      </w:r>
      <w:r w:rsidR="00835002">
        <w:t xml:space="preserve"> has been denied the full record </w:t>
      </w:r>
      <w:r w:rsidR="00866292">
        <w:t>as the second respondent</w:t>
      </w:r>
      <w:r w:rsidR="00FB5991">
        <w:t xml:space="preserve">’s confidentiality claim. </w:t>
      </w:r>
      <w:r w:rsidR="00866292">
        <w:t xml:space="preserve"> </w:t>
      </w:r>
    </w:p>
    <w:p w14:paraId="281DE99E" w14:textId="42DF9E76" w:rsidR="00835002" w:rsidRDefault="000E0339" w:rsidP="000E0339">
      <w:pPr>
        <w:pStyle w:val="Paragraph12pt"/>
        <w:tabs>
          <w:tab w:val="left" w:pos="851"/>
        </w:tabs>
        <w:ind w:left="851" w:hanging="851"/>
      </w:pPr>
      <w:r>
        <w:rPr>
          <w:rFonts w:cs="Arial"/>
          <w:color w:val="000000"/>
          <w:szCs w:val="24"/>
        </w:rPr>
        <w:t>3</w:t>
      </w:r>
      <w:r>
        <w:rPr>
          <w:rFonts w:cs="Arial"/>
          <w:color w:val="000000"/>
          <w:szCs w:val="24"/>
        </w:rPr>
        <w:tab/>
      </w:r>
      <w:r w:rsidR="00835002">
        <w:t>The case engages section 34 of the Constitution. Without the record the applicant has to litigate in the dark</w:t>
      </w:r>
      <w:r w:rsidR="00FB5991">
        <w:t xml:space="preserve">. </w:t>
      </w:r>
      <w:r w:rsidR="00835002">
        <w:t xml:space="preserve">The record </w:t>
      </w:r>
      <w:r w:rsidR="00FB5991">
        <w:t>allows of a levelling</w:t>
      </w:r>
      <w:r w:rsidR="00835002">
        <w:t xml:space="preserve"> the inequality of arms between the reviewer and the decision-maker. It serves the purpose of shining a light on the reasons for the decision.  Without the record both the litigants and the Court are disadvantaged in their task to interrogate the decision.</w:t>
      </w:r>
      <w:r w:rsidR="00835002">
        <w:rPr>
          <w:rStyle w:val="FootnoteReference"/>
        </w:rPr>
        <w:footnoteReference w:id="1"/>
      </w:r>
    </w:p>
    <w:p w14:paraId="4B887E84" w14:textId="10164EF4" w:rsidR="004B28DB" w:rsidRDefault="000E0339" w:rsidP="000E0339">
      <w:pPr>
        <w:pStyle w:val="Paragraph12pt"/>
        <w:tabs>
          <w:tab w:val="left" w:pos="851"/>
        </w:tabs>
        <w:ind w:left="851" w:hanging="851"/>
      </w:pPr>
      <w:r>
        <w:rPr>
          <w:rFonts w:cs="Arial"/>
          <w:color w:val="000000"/>
          <w:szCs w:val="24"/>
        </w:rPr>
        <w:t>4</w:t>
      </w:r>
      <w:r>
        <w:rPr>
          <w:rFonts w:cs="Arial"/>
          <w:color w:val="000000"/>
          <w:szCs w:val="24"/>
        </w:rPr>
        <w:tab/>
      </w:r>
      <w:r w:rsidR="00835002">
        <w:t xml:space="preserve">The </w:t>
      </w:r>
      <w:r w:rsidR="00FB5991">
        <w:t xml:space="preserve">case also engages section 217 (1) of the Constitution.  </w:t>
      </w:r>
      <w:r w:rsidR="00835002">
        <w:t xml:space="preserve">Section </w:t>
      </w:r>
      <w:r w:rsidR="004B28DB">
        <w:t xml:space="preserve">217(1) of the Constitution requires that awards must be made in </w:t>
      </w:r>
      <w:r w:rsidR="004B28DB" w:rsidRPr="00FA227A">
        <w:t>accordance with a system that is fair, equitable, transparent, competitive and cost-effective</w:t>
      </w:r>
      <w:r w:rsidR="004B28DB">
        <w:t xml:space="preserve">.  </w:t>
      </w:r>
      <w:r w:rsidR="004B28DB" w:rsidRPr="00DE66DC">
        <w:t xml:space="preserve">The </w:t>
      </w:r>
      <w:r w:rsidR="00524F2B">
        <w:t>Constitution requires</w:t>
      </w:r>
      <w:r w:rsidR="004B28DB" w:rsidRPr="00DE66DC">
        <w:t xml:space="preserve"> that tender awards must be done in a transparent manner.</w:t>
      </w:r>
    </w:p>
    <w:p w14:paraId="5ED7F498" w14:textId="7AF47AC2" w:rsidR="00524F2B" w:rsidRDefault="000E0339" w:rsidP="000E0339">
      <w:pPr>
        <w:pStyle w:val="Paragraph12pt"/>
        <w:tabs>
          <w:tab w:val="left" w:pos="851"/>
        </w:tabs>
        <w:ind w:left="851" w:hanging="851"/>
      </w:pPr>
      <w:r>
        <w:rPr>
          <w:rFonts w:cs="Arial"/>
          <w:color w:val="000000"/>
          <w:szCs w:val="24"/>
        </w:rPr>
        <w:t>5</w:t>
      </w:r>
      <w:r>
        <w:rPr>
          <w:rFonts w:cs="Arial"/>
          <w:color w:val="000000"/>
          <w:szCs w:val="24"/>
        </w:rPr>
        <w:tab/>
      </w:r>
      <w:r w:rsidR="00DE66DC">
        <w:t xml:space="preserve">The </w:t>
      </w:r>
      <w:r w:rsidR="00524F2B">
        <w:t xml:space="preserve">second respondent claims that portions of the record contains trade secrets. The second respondent does not want its competitors to gain access </w:t>
      </w:r>
      <w:r w:rsidR="00524F2B">
        <w:lastRenderedPageBreak/>
        <w:t xml:space="preserve">to these trade secrets.  It ranks the applicant as a competitor.  </w:t>
      </w:r>
      <w:r w:rsidR="00FE2229">
        <w:t>There is little to gainsay that they are competitors.  The second respondent’s</w:t>
      </w:r>
      <w:r w:rsidR="00524F2B">
        <w:t xml:space="preserve"> position is that it has delineated what is confidential and what is not and has already disclosed the non-confidential </w:t>
      </w:r>
      <w:r w:rsidR="00FE2229">
        <w:t>documents</w:t>
      </w:r>
      <w:r w:rsidR="00524F2B">
        <w:t>.</w:t>
      </w:r>
    </w:p>
    <w:p w14:paraId="5CDB8A83" w14:textId="555D64E5" w:rsidR="00D114AC" w:rsidRDefault="000E0339" w:rsidP="000E0339">
      <w:pPr>
        <w:pStyle w:val="Paragraph12pt"/>
        <w:tabs>
          <w:tab w:val="left" w:pos="851"/>
        </w:tabs>
        <w:ind w:left="851" w:hanging="851"/>
      </w:pPr>
      <w:r>
        <w:rPr>
          <w:rFonts w:cs="Arial"/>
          <w:color w:val="000000"/>
          <w:szCs w:val="24"/>
        </w:rPr>
        <w:t>6</w:t>
      </w:r>
      <w:r>
        <w:rPr>
          <w:rFonts w:cs="Arial"/>
          <w:color w:val="000000"/>
          <w:szCs w:val="24"/>
        </w:rPr>
        <w:tab/>
      </w:r>
      <w:r w:rsidR="00D114AC">
        <w:t xml:space="preserve">The </w:t>
      </w:r>
      <w:r w:rsidR="00B54DDA">
        <w:t>affidavits</w:t>
      </w:r>
      <w:r w:rsidR="004B28DB">
        <w:t>, in the confidentiality application before this Court,</w:t>
      </w:r>
      <w:r w:rsidR="00B54DDA">
        <w:t xml:space="preserve"> run to over 600 pages. </w:t>
      </w:r>
      <w:r w:rsidR="00D114AC">
        <w:t>The confidential papers</w:t>
      </w:r>
      <w:r w:rsidR="00DE66DC">
        <w:t xml:space="preserve">, which the case turns on, </w:t>
      </w:r>
      <w:r w:rsidR="00D114AC">
        <w:t xml:space="preserve"> themselves are 7 lever arch files. </w:t>
      </w:r>
      <w:r w:rsidR="00B54DDA">
        <w:t>The bundle is in excess of 7 000 pages.</w:t>
      </w:r>
      <w:r w:rsidR="00D114AC">
        <w:t xml:space="preserve"> </w:t>
      </w:r>
      <w:r w:rsidR="006D042B">
        <w:t xml:space="preserve">The case was heard in the urgent Court on 18 August 2023.  </w:t>
      </w:r>
      <w:r w:rsidR="004F1BF5">
        <w:t xml:space="preserve">Argument required more than one day. </w:t>
      </w:r>
      <w:r w:rsidR="00D114AC">
        <w:t>The parties agreed to a</w:t>
      </w:r>
      <w:r w:rsidR="00110F2A">
        <w:t xml:space="preserve"> holding order that would operate until submissions </w:t>
      </w:r>
      <w:r w:rsidR="00A43F93">
        <w:t xml:space="preserve">could be concluded </w:t>
      </w:r>
      <w:r w:rsidR="00110F2A">
        <w:t>on 1 September 2023.</w:t>
      </w:r>
      <w:r w:rsidR="00B54DDA">
        <w:t xml:space="preserve"> </w:t>
      </w:r>
      <w:r w:rsidR="00110F2A">
        <w:t>On 1 September 2023 this Court extended the operation of the interim order until the hand down of this judgment</w:t>
      </w:r>
      <w:r w:rsidR="00D114AC">
        <w:t>.</w:t>
      </w:r>
    </w:p>
    <w:p w14:paraId="1DCEC355" w14:textId="3CF31AF1" w:rsidR="002656A2" w:rsidRDefault="000E0339" w:rsidP="000E0339">
      <w:pPr>
        <w:pStyle w:val="Paragraph12pt"/>
        <w:tabs>
          <w:tab w:val="left" w:pos="851"/>
        </w:tabs>
        <w:ind w:left="851" w:hanging="851"/>
      </w:pPr>
      <w:r>
        <w:rPr>
          <w:rFonts w:cs="Arial"/>
          <w:color w:val="000000"/>
          <w:szCs w:val="24"/>
        </w:rPr>
        <w:t>7</w:t>
      </w:r>
      <w:r>
        <w:rPr>
          <w:rFonts w:cs="Arial"/>
          <w:color w:val="000000"/>
          <w:szCs w:val="24"/>
        </w:rPr>
        <w:tab/>
      </w:r>
      <w:r w:rsidR="00A41604">
        <w:t>The interim order permitted the Court an opportunity to consider the matter whilst protecting the second respondent’s confidentiality</w:t>
      </w:r>
      <w:r w:rsidR="006D042B">
        <w:t xml:space="preserve"> claim in the interim. The proceedings were conducted in camera and the confidential documents provided to the Court </w:t>
      </w:r>
      <w:r w:rsidR="00A43F93">
        <w:t xml:space="preserve">only </w:t>
      </w:r>
      <w:r w:rsidR="006D042B">
        <w:t>in hardcopy</w:t>
      </w:r>
      <w:r w:rsidR="00355B5F">
        <w:t>.</w:t>
      </w:r>
    </w:p>
    <w:p w14:paraId="5D5BFF96" w14:textId="1870DDA1" w:rsidR="006D042B" w:rsidRDefault="000E0339" w:rsidP="000E0339">
      <w:pPr>
        <w:pStyle w:val="Paragraph12pt"/>
        <w:tabs>
          <w:tab w:val="left" w:pos="851"/>
        </w:tabs>
        <w:ind w:left="851" w:hanging="851"/>
      </w:pPr>
      <w:r>
        <w:rPr>
          <w:rFonts w:cs="Arial"/>
          <w:color w:val="000000"/>
          <w:szCs w:val="24"/>
        </w:rPr>
        <w:t>8</w:t>
      </w:r>
      <w:r>
        <w:rPr>
          <w:rFonts w:cs="Arial"/>
          <w:color w:val="000000"/>
          <w:szCs w:val="24"/>
        </w:rPr>
        <w:tab/>
      </w:r>
      <w:r w:rsidR="006D042B">
        <w:t>The cas</w:t>
      </w:r>
      <w:r w:rsidR="00BD681F">
        <w:t>e must be considered in the context of the tender and the review.</w:t>
      </w:r>
    </w:p>
    <w:p w14:paraId="4F60D109" w14:textId="36ACA589" w:rsidR="002656A2" w:rsidRPr="002656A2" w:rsidRDefault="002656A2" w:rsidP="002656A2">
      <w:pPr>
        <w:pStyle w:val="Paragraph12pt"/>
        <w:rPr>
          <w:b/>
          <w:bCs/>
        </w:rPr>
      </w:pPr>
      <w:r w:rsidRPr="002656A2">
        <w:rPr>
          <w:b/>
          <w:bCs/>
        </w:rPr>
        <w:t>The tender</w:t>
      </w:r>
    </w:p>
    <w:p w14:paraId="6D8D62EB" w14:textId="1A1450EA" w:rsidR="00110F2A" w:rsidRDefault="000E0339" w:rsidP="000E0339">
      <w:pPr>
        <w:pStyle w:val="Paragraph12pt"/>
        <w:tabs>
          <w:tab w:val="left" w:pos="851"/>
        </w:tabs>
        <w:ind w:left="851" w:hanging="851"/>
      </w:pPr>
      <w:r>
        <w:rPr>
          <w:rFonts w:cs="Arial"/>
          <w:color w:val="000000"/>
          <w:szCs w:val="24"/>
        </w:rPr>
        <w:t>9</w:t>
      </w:r>
      <w:r>
        <w:rPr>
          <w:rFonts w:cs="Arial"/>
          <w:color w:val="000000"/>
          <w:szCs w:val="24"/>
        </w:rPr>
        <w:tab/>
      </w:r>
      <w:r w:rsidR="00D114AC">
        <w:t xml:space="preserve">The tender concerns the </w:t>
      </w:r>
      <w:r w:rsidR="00110F2A">
        <w:t>operation</w:t>
      </w:r>
      <w:r w:rsidR="00D114AC">
        <w:t xml:space="preserve"> and maint</w:t>
      </w:r>
      <w:r w:rsidR="00110F2A">
        <w:t>e</w:t>
      </w:r>
      <w:r w:rsidR="00D114AC">
        <w:t>n</w:t>
      </w:r>
      <w:r w:rsidR="00110F2A">
        <w:t>ance</w:t>
      </w:r>
      <w:r w:rsidR="00D114AC">
        <w:t xml:space="preserve"> </w:t>
      </w:r>
      <w:r w:rsidR="00110F2A">
        <w:t xml:space="preserve">of </w:t>
      </w:r>
      <w:r w:rsidR="00D114AC">
        <w:t xml:space="preserve">the City’s Information and Communication Technology (“ICT”) corporate network equipment and the expansion of the existing ICT network.  The successful bidder was to provide hardware, equipment and support services to ensure the reliable functioning and </w:t>
      </w:r>
      <w:r w:rsidR="00DE66DC">
        <w:t xml:space="preserve">ensure </w:t>
      </w:r>
      <w:r w:rsidR="00D114AC">
        <w:t>City’s ICT services</w:t>
      </w:r>
      <w:r w:rsidR="00DE66DC">
        <w:t xml:space="preserve"> had sufficient capacity</w:t>
      </w:r>
      <w:r w:rsidR="00D114AC">
        <w:t xml:space="preserve">. </w:t>
      </w:r>
    </w:p>
    <w:p w14:paraId="54D97AE4" w14:textId="3B99E5DE" w:rsidR="00534781" w:rsidRDefault="000E0339" w:rsidP="000E0339">
      <w:pPr>
        <w:pStyle w:val="Paragraph12pt"/>
        <w:tabs>
          <w:tab w:val="left" w:pos="851"/>
        </w:tabs>
        <w:ind w:left="851" w:hanging="851"/>
      </w:pPr>
      <w:r>
        <w:rPr>
          <w:rFonts w:cs="Arial"/>
          <w:color w:val="000000"/>
          <w:szCs w:val="24"/>
        </w:rPr>
        <w:lastRenderedPageBreak/>
        <w:t>10</w:t>
      </w:r>
      <w:r>
        <w:rPr>
          <w:rFonts w:cs="Arial"/>
          <w:color w:val="000000"/>
          <w:szCs w:val="24"/>
        </w:rPr>
        <w:tab/>
      </w:r>
      <w:r w:rsidR="00D114AC">
        <w:t>The tender reaches into the data system, the telephone system and the entire I</w:t>
      </w:r>
      <w:r w:rsidR="00110F2A">
        <w:t>C</w:t>
      </w:r>
      <w:r w:rsidR="00D114AC">
        <w:t>T system for the City. The tender affects 12 000 data users and 14 000 voice users</w:t>
      </w:r>
      <w:r w:rsidR="00110F2A">
        <w:t>. These systems run in</w:t>
      </w:r>
      <w:r w:rsidR="00D114AC">
        <w:t xml:space="preserve"> approximately 370 buildings</w:t>
      </w:r>
      <w:r w:rsidR="00110F2A">
        <w:t xml:space="preserve"> and covers the area from</w:t>
      </w:r>
      <w:r w:rsidR="00D114AC">
        <w:t xml:space="preserve"> Bronkhorst</w:t>
      </w:r>
      <w:r w:rsidR="00110F2A">
        <w:t>s</w:t>
      </w:r>
      <w:r w:rsidR="00D114AC">
        <w:t>pruit to Hammanskraal, and from Midrand to the Carousel.</w:t>
      </w:r>
      <w:r w:rsidR="00110F2A">
        <w:t xml:space="preserve"> </w:t>
      </w:r>
    </w:p>
    <w:p w14:paraId="7B83F57D" w14:textId="567E0530" w:rsidR="00110F2A" w:rsidRDefault="000E0339" w:rsidP="000E0339">
      <w:pPr>
        <w:pStyle w:val="Paragraph12pt"/>
        <w:tabs>
          <w:tab w:val="left" w:pos="851"/>
        </w:tabs>
        <w:ind w:left="851" w:hanging="851"/>
      </w:pPr>
      <w:r>
        <w:rPr>
          <w:rFonts w:cs="Arial"/>
          <w:color w:val="000000"/>
          <w:szCs w:val="24"/>
        </w:rPr>
        <w:t>11</w:t>
      </w:r>
      <w:r>
        <w:rPr>
          <w:rFonts w:cs="Arial"/>
          <w:color w:val="000000"/>
          <w:szCs w:val="24"/>
        </w:rPr>
        <w:tab/>
      </w:r>
      <w:r w:rsidR="00110F2A">
        <w:t>The services covered in the tender are integral to the functioning of the City.  T</w:t>
      </w:r>
      <w:r w:rsidR="00D114AC">
        <w:t>hose dire</w:t>
      </w:r>
      <w:r w:rsidR="00110F2A">
        <w:t>c</w:t>
      </w:r>
      <w:r w:rsidR="00D114AC">
        <w:t>t</w:t>
      </w:r>
      <w:r w:rsidR="00110F2A">
        <w:t>l</w:t>
      </w:r>
      <w:r w:rsidR="00D114AC">
        <w:t xml:space="preserve">y affected by the ICT network services </w:t>
      </w:r>
      <w:r w:rsidR="00110F2A">
        <w:t xml:space="preserve">include </w:t>
      </w:r>
      <w:r w:rsidR="00D114AC">
        <w:t>the</w:t>
      </w:r>
      <w:r w:rsidR="00110F2A">
        <w:t xml:space="preserve"> </w:t>
      </w:r>
      <w:r w:rsidR="00D114AC">
        <w:t>Office</w:t>
      </w:r>
      <w:r w:rsidR="00110F2A">
        <w:t xml:space="preserve"> </w:t>
      </w:r>
      <w:r w:rsidR="00D114AC">
        <w:t xml:space="preserve">of the Executive Mayor, </w:t>
      </w:r>
      <w:r w:rsidR="00A43F93">
        <w:t xml:space="preserve">the </w:t>
      </w:r>
      <w:r w:rsidR="00D114AC">
        <w:t xml:space="preserve">Office of the Speaker, </w:t>
      </w:r>
      <w:r w:rsidR="00A43F93">
        <w:t xml:space="preserve">the </w:t>
      </w:r>
      <w:r w:rsidR="00D114AC">
        <w:t xml:space="preserve">Office of </w:t>
      </w:r>
      <w:r w:rsidR="00110F2A">
        <w:t>t</w:t>
      </w:r>
      <w:r w:rsidR="00D114AC">
        <w:t xml:space="preserve">he City manager, all </w:t>
      </w:r>
      <w:r w:rsidR="00110F2A">
        <w:t xml:space="preserve">political </w:t>
      </w:r>
      <w:r w:rsidR="00D114AC">
        <w:t xml:space="preserve">office bearers, </w:t>
      </w:r>
      <w:r w:rsidR="00A43F93">
        <w:t xml:space="preserve">the </w:t>
      </w:r>
      <w:r w:rsidR="00D114AC">
        <w:t xml:space="preserve">Chief Operating Officer, </w:t>
      </w:r>
      <w:r w:rsidR="00A43F93">
        <w:t xml:space="preserve">the </w:t>
      </w:r>
      <w:r w:rsidR="00D114AC">
        <w:t xml:space="preserve">Chief Financial Officer, </w:t>
      </w:r>
      <w:r w:rsidR="00A43F93">
        <w:t xml:space="preserve">the </w:t>
      </w:r>
      <w:r w:rsidR="00D114AC">
        <w:t xml:space="preserve">Group Heads, </w:t>
      </w:r>
      <w:r w:rsidR="00A43F93">
        <w:t xml:space="preserve">the </w:t>
      </w:r>
      <w:r w:rsidR="00D114AC">
        <w:t xml:space="preserve">Divisional Heads, </w:t>
      </w:r>
      <w:r w:rsidR="00A43F93">
        <w:t xml:space="preserve">the </w:t>
      </w:r>
      <w:r w:rsidR="00D114AC">
        <w:t xml:space="preserve">Directors, </w:t>
      </w:r>
      <w:r w:rsidR="00A43F93">
        <w:t xml:space="preserve">the </w:t>
      </w:r>
      <w:r w:rsidR="00D114AC">
        <w:t>Deput</w:t>
      </w:r>
      <w:r w:rsidR="00110F2A">
        <w:t>y</w:t>
      </w:r>
      <w:r w:rsidR="00D114AC">
        <w:t xml:space="preserve"> Directors and all personnel reporting </w:t>
      </w:r>
      <w:r w:rsidR="00110F2A">
        <w:t>to</w:t>
      </w:r>
      <w:r w:rsidR="00D114AC">
        <w:t xml:space="preserve"> the Deputy Director.  </w:t>
      </w:r>
    </w:p>
    <w:p w14:paraId="1B16EDA4" w14:textId="17C75E6C" w:rsidR="00A43F93" w:rsidRDefault="000E0339" w:rsidP="000E0339">
      <w:pPr>
        <w:pStyle w:val="Paragraph12pt"/>
        <w:tabs>
          <w:tab w:val="left" w:pos="851"/>
        </w:tabs>
        <w:ind w:left="851" w:hanging="851"/>
      </w:pPr>
      <w:r>
        <w:rPr>
          <w:rFonts w:cs="Arial"/>
          <w:color w:val="000000"/>
          <w:szCs w:val="24"/>
        </w:rPr>
        <w:t>12</w:t>
      </w:r>
      <w:r>
        <w:rPr>
          <w:rFonts w:cs="Arial"/>
          <w:color w:val="000000"/>
          <w:szCs w:val="24"/>
        </w:rPr>
        <w:tab/>
      </w:r>
      <w:r w:rsidR="00D114AC">
        <w:t>Inclusive in this, is the City</w:t>
      </w:r>
      <w:r w:rsidR="00110F2A">
        <w:t xml:space="preserve">’s </w:t>
      </w:r>
      <w:r w:rsidR="00D114AC">
        <w:t xml:space="preserve">emergency call centres. The ambulance, hospital, fire brigade and rescue departments all run on these systems.  </w:t>
      </w:r>
      <w:r w:rsidR="004F1BF5">
        <w:t xml:space="preserve">The </w:t>
      </w:r>
      <w:r w:rsidR="00A43F93">
        <w:t xml:space="preserve">tender </w:t>
      </w:r>
      <w:r w:rsidR="00355B5F">
        <w:t>also cover</w:t>
      </w:r>
      <w:r w:rsidR="00A43F93">
        <w:t>s</w:t>
      </w:r>
      <w:r w:rsidR="00355B5F">
        <w:t xml:space="preserve"> the</w:t>
      </w:r>
      <w:r w:rsidR="00D114AC">
        <w:t xml:space="preserve"> call centres that deal with general municipal services such as domestic bins, electricity, bus </w:t>
      </w:r>
      <w:r w:rsidR="00110F2A">
        <w:t>services</w:t>
      </w:r>
      <w:r w:rsidR="00D114AC">
        <w:t xml:space="preserve">, </w:t>
      </w:r>
      <w:r w:rsidR="00110F2A">
        <w:t>sewerage</w:t>
      </w:r>
      <w:r w:rsidR="00D114AC">
        <w:t xml:space="preserve"> potholes traffic fines, faulty traffic light, water leaks, </w:t>
      </w:r>
      <w:r w:rsidR="00110F2A">
        <w:t>meter</w:t>
      </w:r>
      <w:r w:rsidR="00D114AC">
        <w:t xml:space="preserve"> readings, faulty street lights, water problems and billing issues.  </w:t>
      </w:r>
      <w:r w:rsidR="00534781">
        <w:t xml:space="preserve">If these systems do not work, then the public cannot, for example, call a hospital or the fire brigade.  </w:t>
      </w:r>
    </w:p>
    <w:p w14:paraId="2E3E7511" w14:textId="6930FF84" w:rsidR="00534781" w:rsidRDefault="000E0339" w:rsidP="000E0339">
      <w:pPr>
        <w:pStyle w:val="Paragraph12pt"/>
        <w:tabs>
          <w:tab w:val="left" w:pos="851"/>
        </w:tabs>
        <w:ind w:left="851" w:hanging="851"/>
      </w:pPr>
      <w:r>
        <w:rPr>
          <w:rFonts w:cs="Arial"/>
          <w:color w:val="000000"/>
          <w:szCs w:val="24"/>
        </w:rPr>
        <w:t>13</w:t>
      </w:r>
      <w:r>
        <w:rPr>
          <w:rFonts w:cs="Arial"/>
          <w:color w:val="000000"/>
          <w:szCs w:val="24"/>
        </w:rPr>
        <w:tab/>
      </w:r>
      <w:r w:rsidR="00355B5F">
        <w:t>The systems underpin the acute and every day needs of those that engage with the City</w:t>
      </w:r>
      <w:r w:rsidR="00A43F93">
        <w:t xml:space="preserve"> and runs the gam</w:t>
      </w:r>
      <w:r w:rsidR="001E02F2">
        <w:t>ut</w:t>
      </w:r>
      <w:r w:rsidR="00A43F93">
        <w:t xml:space="preserve"> from the Office of the Mayor to those starting out their careers within the City.</w:t>
      </w:r>
    </w:p>
    <w:p w14:paraId="72DF5112" w14:textId="240EDC95" w:rsidR="002656A2" w:rsidRDefault="000E0339" w:rsidP="000E0339">
      <w:pPr>
        <w:pStyle w:val="Paragraph12pt"/>
        <w:tabs>
          <w:tab w:val="left" w:pos="851"/>
        </w:tabs>
        <w:ind w:left="851" w:hanging="851"/>
      </w:pPr>
      <w:r>
        <w:rPr>
          <w:rFonts w:cs="Arial"/>
          <w:color w:val="000000"/>
          <w:szCs w:val="24"/>
        </w:rPr>
        <w:t>14</w:t>
      </w:r>
      <w:r>
        <w:rPr>
          <w:rFonts w:cs="Arial"/>
          <w:color w:val="000000"/>
          <w:szCs w:val="24"/>
        </w:rPr>
        <w:tab/>
      </w:r>
      <w:r w:rsidR="00A43F93">
        <w:t xml:space="preserve">The applicant and second respondent responded to the invitation to bid.  </w:t>
      </w:r>
      <w:r w:rsidR="00110F2A">
        <w:t>The City awarded the tender to the second respondent</w:t>
      </w:r>
      <w:r w:rsidR="00355B5F">
        <w:t xml:space="preserve">. </w:t>
      </w:r>
    </w:p>
    <w:p w14:paraId="4D59922F" w14:textId="77777777" w:rsidR="002656A2" w:rsidRPr="002656A2" w:rsidRDefault="002656A2" w:rsidP="002656A2">
      <w:pPr>
        <w:pStyle w:val="Paragraph12pt"/>
        <w:rPr>
          <w:b/>
          <w:bCs/>
        </w:rPr>
      </w:pPr>
      <w:r w:rsidRPr="002656A2">
        <w:rPr>
          <w:b/>
          <w:bCs/>
        </w:rPr>
        <w:t>The review</w:t>
      </w:r>
    </w:p>
    <w:p w14:paraId="6F8415DA" w14:textId="5A4F020F" w:rsidR="00DE66DC" w:rsidRDefault="000E0339" w:rsidP="000E0339">
      <w:pPr>
        <w:pStyle w:val="Paragraph12pt"/>
        <w:tabs>
          <w:tab w:val="left" w:pos="851"/>
        </w:tabs>
        <w:ind w:left="851" w:hanging="851"/>
      </w:pPr>
      <w:r>
        <w:rPr>
          <w:rFonts w:cs="Arial"/>
          <w:color w:val="000000"/>
          <w:szCs w:val="24"/>
        </w:rPr>
        <w:lastRenderedPageBreak/>
        <w:t>15</w:t>
      </w:r>
      <w:r>
        <w:rPr>
          <w:rFonts w:cs="Arial"/>
          <w:color w:val="000000"/>
          <w:szCs w:val="24"/>
        </w:rPr>
        <w:tab/>
      </w:r>
      <w:r w:rsidR="00A05E00">
        <w:t xml:space="preserve">The applicant’s </w:t>
      </w:r>
      <w:r w:rsidR="00A43F93">
        <w:t>focus, is naturally on the R 510 difference between original bid price and the bid price as awarded.  However, the applicant has also raised other questions in these proceedings. The applicant identifies that one</w:t>
      </w:r>
      <w:r w:rsidR="00DE66DC">
        <w:t xml:space="preserve"> of the mandatory conditions of tender is that the bidder had to hold two valid licenses from ICASA (Individual Electronic Communications Service License and an Individual Electronic Communications Network Service License). The applicant has subpoenaed ICASA for a list of license holders. </w:t>
      </w:r>
      <w:r w:rsidR="00A43F93">
        <w:t xml:space="preserve">ICASA’s response to the subpoena shows that there is no license registered which reflects the second respondent’s company number. </w:t>
      </w:r>
      <w:r w:rsidR="00DE66DC">
        <w:t xml:space="preserve">The second respondent is listed as a license holder – but under a different company registration number. In other words there is a license which </w:t>
      </w:r>
      <w:r w:rsidR="00A43F93">
        <w:t xml:space="preserve">reflects </w:t>
      </w:r>
      <w:r w:rsidR="00DE66DC">
        <w:t xml:space="preserve">the second respondent’s name, but when the registration number is investigated – it belongs to a different company. </w:t>
      </w:r>
    </w:p>
    <w:p w14:paraId="13C44CF0" w14:textId="296D1F1A" w:rsidR="007F5078" w:rsidRDefault="000E0339" w:rsidP="000E0339">
      <w:pPr>
        <w:pStyle w:val="Paragraph12pt"/>
        <w:tabs>
          <w:tab w:val="left" w:pos="851"/>
        </w:tabs>
        <w:ind w:left="851" w:hanging="851"/>
      </w:pPr>
      <w:r>
        <w:rPr>
          <w:rFonts w:cs="Arial"/>
          <w:color w:val="000000"/>
          <w:szCs w:val="24"/>
        </w:rPr>
        <w:t>16</w:t>
      </w:r>
      <w:r>
        <w:rPr>
          <w:rFonts w:cs="Arial"/>
          <w:color w:val="000000"/>
          <w:szCs w:val="24"/>
        </w:rPr>
        <w:tab/>
      </w:r>
      <w:r w:rsidR="00A05E00">
        <w:t>In addition, t</w:t>
      </w:r>
      <w:r w:rsidR="007F5078">
        <w:t>he City stated in its bid document that it had invested heavily in the Alcatel-Lucent and Huawei range of products and equipment</w:t>
      </w:r>
      <w:r w:rsidR="00A43F93">
        <w:t>. To</w:t>
      </w:r>
      <w:r w:rsidR="007F5078">
        <w:t xml:space="preserve"> protect </w:t>
      </w:r>
      <w:r w:rsidR="00355B5F">
        <w:t>t</w:t>
      </w:r>
      <w:r w:rsidR="007F5078">
        <w:t xml:space="preserve">he </w:t>
      </w:r>
      <w:r w:rsidR="00A43F93">
        <w:t xml:space="preserve">City’s </w:t>
      </w:r>
      <w:r w:rsidR="007F5078">
        <w:t>investment the successful bidder “must be able to maintain the current Alcatel Productions on the corporate network</w:t>
      </w:r>
      <w:r w:rsidR="00BD681F">
        <w:t>”</w:t>
      </w:r>
      <w:r w:rsidR="007F5078">
        <w:t xml:space="preserve">.  The tender documents stated that “any vendor must have the highest possible partnership with the Original Equipment Manufacturer of the proposed equipment”.  </w:t>
      </w:r>
      <w:r w:rsidR="00FB5991">
        <w:t>Practically, t</w:t>
      </w:r>
      <w:r w:rsidR="007F5078">
        <w:t xml:space="preserve">he successful bidder cannot procure products, warranties, support services or software from Alcatel—Lucent or Huawai (being the </w:t>
      </w:r>
      <w:r w:rsidR="00BD681F">
        <w:t xml:space="preserve">Original Equipment Manufacturer </w:t>
      </w:r>
      <w:r w:rsidR="007F5078">
        <w:t xml:space="preserve">OEMs) without a partnership agreement in place with these two.  </w:t>
      </w:r>
    </w:p>
    <w:p w14:paraId="16C3C5B3" w14:textId="062DE314" w:rsidR="00DE66DC" w:rsidRDefault="000E0339" w:rsidP="000E0339">
      <w:pPr>
        <w:pStyle w:val="Paragraph12pt"/>
        <w:tabs>
          <w:tab w:val="left" w:pos="851"/>
        </w:tabs>
        <w:ind w:left="851" w:hanging="851"/>
      </w:pPr>
      <w:r>
        <w:rPr>
          <w:rFonts w:cs="Arial"/>
          <w:color w:val="000000"/>
          <w:szCs w:val="24"/>
        </w:rPr>
        <w:t>17</w:t>
      </w:r>
      <w:r>
        <w:rPr>
          <w:rFonts w:cs="Arial"/>
          <w:color w:val="000000"/>
          <w:szCs w:val="24"/>
        </w:rPr>
        <w:tab/>
      </w:r>
      <w:r w:rsidR="007F5078">
        <w:t xml:space="preserve">The applicant has been provided with a letter </w:t>
      </w:r>
      <w:r w:rsidR="00355B5F">
        <w:t xml:space="preserve">from </w:t>
      </w:r>
      <w:r w:rsidR="00C865AC">
        <w:t>Pinnacle – who is the sole distributed of Alcatel-Lucent products</w:t>
      </w:r>
      <w:r w:rsidR="00355B5F">
        <w:t xml:space="preserve"> </w:t>
      </w:r>
      <w:r w:rsidR="00FB5991">
        <w:t xml:space="preserve">- </w:t>
      </w:r>
      <w:r w:rsidR="00DE66DC">
        <w:t>confirm</w:t>
      </w:r>
      <w:r w:rsidR="00C865AC">
        <w:t>ing</w:t>
      </w:r>
      <w:r w:rsidR="00DE66DC">
        <w:t xml:space="preserve"> that the second respondent </w:t>
      </w:r>
      <w:r w:rsidR="00DE66DC">
        <w:lastRenderedPageBreak/>
        <w:t>was not a</w:t>
      </w:r>
      <w:r w:rsidR="007F5078">
        <w:t xml:space="preserve">n </w:t>
      </w:r>
      <w:r w:rsidR="00DE66DC">
        <w:t>Alcatel</w:t>
      </w:r>
      <w:r w:rsidR="00C865AC">
        <w:t>-</w:t>
      </w:r>
      <w:r w:rsidR="00DE66DC">
        <w:t xml:space="preserve">Lucent partner at the time when pricing for the Tshwane tender was provided.  The applicant contends that this letter indicates that the second respondent was not an accredited partner of Alcatel-Lucent at the time of the bid, </w:t>
      </w:r>
      <w:r w:rsidR="00355B5F">
        <w:t>and</w:t>
      </w:r>
      <w:r w:rsidR="00DE66DC">
        <w:t xml:space="preserve"> it failed to satisfy a minimum mandatory condition of tender and it ought to be haven disqualified from the tender evaluation process. </w:t>
      </w:r>
    </w:p>
    <w:p w14:paraId="77616F74" w14:textId="14EA939E" w:rsidR="004F1BF5" w:rsidRDefault="000E0339" w:rsidP="000E0339">
      <w:pPr>
        <w:pStyle w:val="Paragraph12pt"/>
        <w:tabs>
          <w:tab w:val="left" w:pos="851"/>
        </w:tabs>
        <w:ind w:left="851" w:hanging="851"/>
      </w:pPr>
      <w:r>
        <w:rPr>
          <w:rFonts w:cs="Arial"/>
          <w:color w:val="000000"/>
          <w:szCs w:val="24"/>
        </w:rPr>
        <w:t>18</w:t>
      </w:r>
      <w:r>
        <w:rPr>
          <w:rFonts w:cs="Arial"/>
          <w:color w:val="000000"/>
          <w:szCs w:val="24"/>
        </w:rPr>
        <w:tab/>
      </w:r>
      <w:r w:rsidR="00A05E00">
        <w:t>After launching the review</w:t>
      </w:r>
      <w:r w:rsidR="00A43F93">
        <w:t>,</w:t>
      </w:r>
      <w:r w:rsidR="00A05E00">
        <w:t xml:space="preserve"> the applicant </w:t>
      </w:r>
      <w:r w:rsidR="007F5078">
        <w:t xml:space="preserve">awaited the filing of the Rule 53 record. </w:t>
      </w:r>
      <w:r w:rsidR="0040302B">
        <w:t xml:space="preserve">The City did not </w:t>
      </w:r>
      <w:r w:rsidR="004F1BF5">
        <w:t>provide</w:t>
      </w:r>
      <w:r w:rsidR="0040302B">
        <w:t xml:space="preserve"> the record in time. The applicant had </w:t>
      </w:r>
      <w:r w:rsidR="00110F2A">
        <w:t xml:space="preserve">to launch </w:t>
      </w:r>
      <w:r w:rsidR="00B54DDA">
        <w:t>an</w:t>
      </w:r>
      <w:r w:rsidR="00110F2A">
        <w:t xml:space="preserve"> urgent application to compel the production of the Rule 53 record.  From that</w:t>
      </w:r>
      <w:r w:rsidR="00B54DDA">
        <w:t>, first urgent</w:t>
      </w:r>
      <w:r w:rsidR="00110F2A">
        <w:t xml:space="preserve"> application</w:t>
      </w:r>
      <w:r w:rsidR="00B54DDA">
        <w:t>,</w:t>
      </w:r>
      <w:r w:rsidR="00110F2A">
        <w:t xml:space="preserve"> it emerged that the </w:t>
      </w:r>
      <w:r w:rsidR="0040302B">
        <w:t xml:space="preserve">delay was caused by the </w:t>
      </w:r>
      <w:r w:rsidR="00110F2A">
        <w:t>second respondent</w:t>
      </w:r>
      <w:r w:rsidR="0040302B">
        <w:t xml:space="preserve">’s objection to the disclosure of certain parts of the record as they contain confidential information. In response to the second respondent’s classification of the documents as confidential, the </w:t>
      </w:r>
      <w:r w:rsidR="004F1BF5">
        <w:t>parties entered into a confidentiality agreement.</w:t>
      </w:r>
    </w:p>
    <w:p w14:paraId="72B9F368" w14:textId="58ECF11C" w:rsidR="004F1BF5" w:rsidRDefault="000E0339" w:rsidP="000E0339">
      <w:pPr>
        <w:pStyle w:val="Paragraph12pt"/>
        <w:tabs>
          <w:tab w:val="left" w:pos="851"/>
        </w:tabs>
        <w:ind w:left="851" w:hanging="851"/>
      </w:pPr>
      <w:r>
        <w:rPr>
          <w:rFonts w:cs="Arial"/>
          <w:color w:val="000000"/>
          <w:szCs w:val="24"/>
        </w:rPr>
        <w:t>19</w:t>
      </w:r>
      <w:r>
        <w:rPr>
          <w:rFonts w:cs="Arial"/>
          <w:color w:val="000000"/>
          <w:szCs w:val="24"/>
        </w:rPr>
        <w:tab/>
      </w:r>
      <w:r w:rsidR="00FB5991">
        <w:t>The parties complied with the confidentiality required in that</w:t>
      </w:r>
      <w:r w:rsidR="00A43F93">
        <w:t xml:space="preserve"> the </w:t>
      </w:r>
      <w:r w:rsidR="004F1BF5">
        <w:t xml:space="preserve">second respondent </w:t>
      </w:r>
      <w:r w:rsidR="00A43F93">
        <w:t>identifie</w:t>
      </w:r>
      <w:r w:rsidR="00FB5991">
        <w:t>d</w:t>
      </w:r>
      <w:r w:rsidR="004F1BF5">
        <w:t xml:space="preserve"> the documents it regards as confidential</w:t>
      </w:r>
      <w:r w:rsidR="00FB5991">
        <w:t>, t</w:t>
      </w:r>
      <w:r w:rsidR="004F1BF5">
        <w:t xml:space="preserve">he applicant’s legal representatives </w:t>
      </w:r>
      <w:r w:rsidR="00A43F93">
        <w:t>were</w:t>
      </w:r>
      <w:r w:rsidR="004F1BF5">
        <w:t xml:space="preserve"> given access to the confidential documents</w:t>
      </w:r>
      <w:r w:rsidR="00A43F93">
        <w:t xml:space="preserve"> and remain </w:t>
      </w:r>
      <w:r w:rsidR="004F1BF5">
        <w:t xml:space="preserve">contractually prohibited from disclosing these documents to their client.  The applicant’s legal representatives </w:t>
      </w:r>
      <w:r w:rsidR="00A43F93">
        <w:t>were</w:t>
      </w:r>
      <w:r w:rsidR="004F1BF5">
        <w:t xml:space="preserve"> then given an opportunity to challenge the second respondent’s classification of these documents as confidential. </w:t>
      </w:r>
      <w:r w:rsidR="00A43F93">
        <w:t xml:space="preserve">It is this challenge  which serves before this Court. </w:t>
      </w:r>
      <w:r w:rsidR="004F1BF5">
        <w:t xml:space="preserve"> </w:t>
      </w:r>
    </w:p>
    <w:p w14:paraId="1BE45884" w14:textId="3543AC49" w:rsidR="00A05E00" w:rsidRPr="00A05E00" w:rsidRDefault="00A05E00" w:rsidP="00A05E00">
      <w:pPr>
        <w:pStyle w:val="Paragraph12pt"/>
        <w:rPr>
          <w:b/>
          <w:bCs/>
        </w:rPr>
      </w:pPr>
      <w:r w:rsidRPr="00A05E00">
        <w:rPr>
          <w:b/>
          <w:bCs/>
        </w:rPr>
        <w:t xml:space="preserve">Merits of the confidentiality claim </w:t>
      </w:r>
    </w:p>
    <w:p w14:paraId="6245A346" w14:textId="1341A894" w:rsidR="008B721F" w:rsidRDefault="000E0339" w:rsidP="000E0339">
      <w:pPr>
        <w:pStyle w:val="Paragraph12pt"/>
        <w:tabs>
          <w:tab w:val="left" w:pos="851"/>
        </w:tabs>
        <w:ind w:left="851" w:hanging="851"/>
      </w:pPr>
      <w:r>
        <w:rPr>
          <w:rFonts w:cs="Arial"/>
          <w:color w:val="000000"/>
          <w:szCs w:val="24"/>
        </w:rPr>
        <w:t>20</w:t>
      </w:r>
      <w:r>
        <w:rPr>
          <w:rFonts w:cs="Arial"/>
          <w:color w:val="000000"/>
          <w:szCs w:val="24"/>
        </w:rPr>
        <w:tab/>
      </w:r>
      <w:r w:rsidR="008B721F">
        <w:t xml:space="preserve">The second respondent claims confidentiality over three sets of documents: its price </w:t>
      </w:r>
      <w:r w:rsidR="00C865AC">
        <w:t>schedule</w:t>
      </w:r>
      <w:r w:rsidR="008B721F">
        <w:t xml:space="preserve">, the CV’s of its key personnel and certain annexures to the Service Level Agreement. </w:t>
      </w:r>
    </w:p>
    <w:p w14:paraId="2A7FB7E8" w14:textId="0B4850AD" w:rsidR="008B721F" w:rsidRPr="008B721F" w:rsidRDefault="008B721F" w:rsidP="00355B5F">
      <w:pPr>
        <w:pStyle w:val="Paragraph12pt"/>
        <w:rPr>
          <w:i/>
          <w:iCs/>
          <w:u w:val="single"/>
        </w:rPr>
      </w:pPr>
      <w:r w:rsidRPr="008B721F">
        <w:rPr>
          <w:i/>
          <w:iCs/>
          <w:u w:val="single"/>
        </w:rPr>
        <w:lastRenderedPageBreak/>
        <w:t>Price Schedule</w:t>
      </w:r>
    </w:p>
    <w:p w14:paraId="30175774" w14:textId="2D4D8DB2" w:rsidR="00F23D69" w:rsidRDefault="000E0339" w:rsidP="000E0339">
      <w:pPr>
        <w:pStyle w:val="Paragraph12pt"/>
        <w:tabs>
          <w:tab w:val="left" w:pos="851"/>
        </w:tabs>
        <w:ind w:left="851" w:hanging="851"/>
      </w:pPr>
      <w:r>
        <w:rPr>
          <w:rFonts w:cs="Arial"/>
          <w:color w:val="000000"/>
          <w:szCs w:val="24"/>
        </w:rPr>
        <w:t>21</w:t>
      </w:r>
      <w:r>
        <w:rPr>
          <w:rFonts w:cs="Arial"/>
          <w:color w:val="000000"/>
          <w:szCs w:val="24"/>
        </w:rPr>
        <w:tab/>
      </w:r>
      <w:r w:rsidR="00F23D69">
        <w:t>The second respondent must support its objection to the production of the documents and provide the grounds for its objection.</w:t>
      </w:r>
      <w:r w:rsidR="00F23D69">
        <w:rPr>
          <w:rStyle w:val="FootnoteReference"/>
        </w:rPr>
        <w:footnoteReference w:id="2"/>
      </w:r>
      <w:r w:rsidR="00F23D69">
        <w:t xml:space="preserve">  In order to sustain a claim of confidentiality the second respondent must </w:t>
      </w:r>
      <w:r w:rsidR="00F23D69" w:rsidRPr="00C7230A">
        <w:t>indicate which documents contain confidential information, the nature of such information and the legal basis on which the right to confidentiality is asserted.</w:t>
      </w:r>
      <w:r w:rsidR="00F23D69">
        <w:rPr>
          <w:rStyle w:val="FootnoteReference"/>
        </w:rPr>
        <w:footnoteReference w:id="3"/>
      </w:r>
      <w:r w:rsidR="00F23D69" w:rsidRPr="00C7230A">
        <w:t xml:space="preserve"> </w:t>
      </w:r>
    </w:p>
    <w:p w14:paraId="0A82D99B" w14:textId="5864C7B0" w:rsidR="00F23D69" w:rsidRDefault="000E0339" w:rsidP="000E0339">
      <w:pPr>
        <w:pStyle w:val="Paragraph12pt"/>
        <w:tabs>
          <w:tab w:val="left" w:pos="851"/>
        </w:tabs>
        <w:ind w:left="851" w:hanging="851"/>
      </w:pPr>
      <w:r>
        <w:rPr>
          <w:rFonts w:cs="Arial"/>
          <w:color w:val="000000"/>
          <w:szCs w:val="24"/>
        </w:rPr>
        <w:t>22</w:t>
      </w:r>
      <w:r>
        <w:rPr>
          <w:rFonts w:cs="Arial"/>
          <w:color w:val="000000"/>
          <w:szCs w:val="24"/>
        </w:rPr>
        <w:tab/>
      </w:r>
      <w:r w:rsidR="00F23D69">
        <w:t>Confidentiality is determined with reference to the nature of the information</w:t>
      </w:r>
      <w:r w:rsidR="00F23D69">
        <w:rPr>
          <w:rStyle w:val="FootnoteReference"/>
        </w:rPr>
        <w:footnoteReference w:id="4"/>
      </w:r>
      <w:r w:rsidR="00F23D69">
        <w:t xml:space="preserve"> and a fact-specific claim to confidentiality needs to be sustained.</w:t>
      </w:r>
      <w:r w:rsidR="00F23D69">
        <w:rPr>
          <w:rStyle w:val="FootnoteReference"/>
        </w:rPr>
        <w:footnoteReference w:id="5"/>
      </w:r>
      <w:r w:rsidR="00F23D69">
        <w:t xml:space="preserve">  The second respondent has to show clear evidence of trade secrets.</w:t>
      </w:r>
      <w:r w:rsidR="00F23D69">
        <w:rPr>
          <w:rStyle w:val="FootnoteReference"/>
        </w:rPr>
        <w:footnoteReference w:id="6"/>
      </w:r>
      <w:r w:rsidR="00F23D69">
        <w:t xml:space="preserve"> </w:t>
      </w:r>
    </w:p>
    <w:p w14:paraId="4DCC465B" w14:textId="558E8A84" w:rsidR="00FB5991" w:rsidRDefault="000E0339" w:rsidP="000E0339">
      <w:pPr>
        <w:pStyle w:val="Paragraph12pt"/>
        <w:tabs>
          <w:tab w:val="left" w:pos="851"/>
        </w:tabs>
        <w:ind w:left="851" w:hanging="851"/>
      </w:pPr>
      <w:r>
        <w:rPr>
          <w:rFonts w:cs="Arial"/>
          <w:color w:val="000000"/>
          <w:szCs w:val="24"/>
        </w:rPr>
        <w:t>23</w:t>
      </w:r>
      <w:r>
        <w:rPr>
          <w:rFonts w:cs="Arial"/>
          <w:color w:val="000000"/>
          <w:szCs w:val="24"/>
        </w:rPr>
        <w:tab/>
      </w:r>
      <w:r w:rsidR="00FB5991">
        <w:t xml:space="preserve">The Court has not been told </w:t>
      </w:r>
      <w:r w:rsidR="00FB5991" w:rsidRPr="008B721F">
        <w:t xml:space="preserve">how the final prices included in </w:t>
      </w:r>
      <w:r w:rsidR="00FB5991">
        <w:t>the second respondent’s</w:t>
      </w:r>
      <w:r w:rsidR="00FB5991" w:rsidRPr="008B721F">
        <w:t xml:space="preserve"> Price Schedule </w:t>
      </w:r>
      <w:r w:rsidR="00FB5991">
        <w:t>is confidential, a trade secret or even how a competitor can</w:t>
      </w:r>
      <w:r w:rsidR="00FB5991" w:rsidRPr="008B721F">
        <w:t xml:space="preserve"> gain a competitive advant</w:t>
      </w:r>
      <w:r w:rsidR="00FB5991">
        <w:t>age from gaining access to these documents</w:t>
      </w:r>
      <w:r w:rsidR="00FB5991" w:rsidRPr="008B721F">
        <w:t xml:space="preserve">. </w:t>
      </w:r>
      <w:r w:rsidR="00FB5991">
        <w:t xml:space="preserve">The second respondent has not set out the basis and grounds for the confidentiality of these documents. It has presented the Court with conclusions it has drawn that the documents are confidential without providing the basis for this conclusion. </w:t>
      </w:r>
    </w:p>
    <w:p w14:paraId="192BA0F2" w14:textId="7010F4DC" w:rsidR="00F23D69" w:rsidRDefault="000E0339" w:rsidP="000E0339">
      <w:pPr>
        <w:pStyle w:val="Paragraph12pt"/>
        <w:tabs>
          <w:tab w:val="left" w:pos="851"/>
        </w:tabs>
        <w:ind w:left="851" w:hanging="851"/>
      </w:pPr>
      <w:r>
        <w:rPr>
          <w:rFonts w:cs="Arial"/>
          <w:color w:val="000000"/>
          <w:szCs w:val="24"/>
        </w:rPr>
        <w:t>24</w:t>
      </w:r>
      <w:r>
        <w:rPr>
          <w:rFonts w:cs="Arial"/>
          <w:color w:val="000000"/>
          <w:szCs w:val="24"/>
        </w:rPr>
        <w:tab/>
      </w:r>
      <w:r w:rsidR="00F23D69" w:rsidRPr="008B721F">
        <w:t xml:space="preserve">The second respondent’s Price Schedule shows the final price for each item. The Price Schedule does not reveal the pricing formula, discounts, cost price or profit margins. The prices are specific to this bid. </w:t>
      </w:r>
      <w:r w:rsidR="00F23D69">
        <w:t xml:space="preserve">The advantage to other </w:t>
      </w:r>
      <w:r w:rsidR="00F23D69">
        <w:lastRenderedPageBreak/>
        <w:t>competitors to have access to this information has passed. The tender has been awarded, and no one can alter their bid to match these prices. These prices are of relevance only to the review application.</w:t>
      </w:r>
      <w:r w:rsidR="00F23D69" w:rsidRPr="008B721F">
        <w:t xml:space="preserve"> </w:t>
      </w:r>
    </w:p>
    <w:p w14:paraId="6D935BC8" w14:textId="4BE3751F" w:rsidR="00FB5991" w:rsidRPr="008B721F" w:rsidRDefault="000E0339" w:rsidP="000E0339">
      <w:pPr>
        <w:pStyle w:val="Paragraph12pt"/>
        <w:tabs>
          <w:tab w:val="left" w:pos="851"/>
        </w:tabs>
        <w:ind w:left="851" w:hanging="851"/>
      </w:pPr>
      <w:r w:rsidRPr="008B721F">
        <w:rPr>
          <w:rFonts w:cs="Arial"/>
          <w:color w:val="000000"/>
          <w:szCs w:val="24"/>
        </w:rPr>
        <w:t>25</w:t>
      </w:r>
      <w:r w:rsidRPr="008B721F">
        <w:rPr>
          <w:rFonts w:cs="Arial"/>
          <w:color w:val="000000"/>
          <w:szCs w:val="24"/>
        </w:rPr>
        <w:tab/>
      </w:r>
      <w:r w:rsidR="00FB5991">
        <w:t>The Court concludes that these documents are not confidential.</w:t>
      </w:r>
    </w:p>
    <w:p w14:paraId="30B3A070" w14:textId="5C7CBAD7" w:rsidR="00864ABE" w:rsidRPr="00864ABE" w:rsidRDefault="00864ABE" w:rsidP="00355B5F">
      <w:pPr>
        <w:pStyle w:val="Paragraph12pt"/>
        <w:rPr>
          <w:i/>
          <w:iCs/>
          <w:u w:val="single"/>
        </w:rPr>
      </w:pPr>
      <w:r w:rsidRPr="00864ABE">
        <w:rPr>
          <w:i/>
          <w:iCs/>
          <w:u w:val="single"/>
        </w:rPr>
        <w:t>CVs of the key personnel</w:t>
      </w:r>
    </w:p>
    <w:p w14:paraId="570C562F" w14:textId="32002DA2" w:rsidR="00864ABE" w:rsidRPr="00864ABE" w:rsidRDefault="000E0339" w:rsidP="000E0339">
      <w:pPr>
        <w:pStyle w:val="Paragraph12pt"/>
        <w:tabs>
          <w:tab w:val="left" w:pos="851"/>
        </w:tabs>
        <w:ind w:left="851" w:hanging="851"/>
      </w:pPr>
      <w:r w:rsidRPr="00864ABE">
        <w:rPr>
          <w:rFonts w:cs="Arial"/>
          <w:color w:val="000000"/>
          <w:szCs w:val="24"/>
        </w:rPr>
        <w:t>26</w:t>
      </w:r>
      <w:r w:rsidRPr="00864ABE">
        <w:rPr>
          <w:rFonts w:cs="Arial"/>
          <w:color w:val="000000"/>
          <w:szCs w:val="24"/>
        </w:rPr>
        <w:tab/>
      </w:r>
      <w:r w:rsidR="00864ABE">
        <w:t>The applicant claims that the CVs of</w:t>
      </w:r>
      <w:r w:rsidR="00864ABE" w:rsidRPr="00864ABE">
        <w:t xml:space="preserve"> the second respondent’s key personnel are relevant to whether the second respondent satisfied the minimum mandatory requirements relevant to personnel and whether the second respondent satisfied the functionality criteria. A maximum of 35/100 points could be allocated to the evaluation of key personnel under the functionality stage of the tender evaluation. </w:t>
      </w:r>
    </w:p>
    <w:p w14:paraId="342AF70D" w14:textId="147D9D17" w:rsidR="00A2609F" w:rsidRDefault="000E0339" w:rsidP="000E0339">
      <w:pPr>
        <w:pStyle w:val="Paragraph12pt"/>
        <w:tabs>
          <w:tab w:val="left" w:pos="851"/>
        </w:tabs>
        <w:ind w:left="851" w:hanging="851"/>
      </w:pPr>
      <w:r>
        <w:rPr>
          <w:rFonts w:cs="Arial"/>
          <w:color w:val="000000"/>
          <w:szCs w:val="24"/>
        </w:rPr>
        <w:t>27</w:t>
      </w:r>
      <w:r>
        <w:rPr>
          <w:rFonts w:cs="Arial"/>
          <w:color w:val="000000"/>
          <w:szCs w:val="24"/>
        </w:rPr>
        <w:tab/>
      </w:r>
      <w:r w:rsidR="00864ABE">
        <w:t>The second respondent wishes the</w:t>
      </w:r>
      <w:r w:rsidR="002E4F35">
        <w:t xml:space="preserve"> CVs of its key personnel</w:t>
      </w:r>
      <w:r w:rsidR="00864ABE">
        <w:t xml:space="preserve"> to remain confidential as it fears that the applicant may poach its personnel. This does not mean the CVs are confidential</w:t>
      </w:r>
      <w:r w:rsidR="00A2609F">
        <w:t xml:space="preserve">. </w:t>
      </w:r>
      <w:r w:rsidR="00C865AC">
        <w:t xml:space="preserve">The second respondent’s case is not that the nature or content of the CVs are confidential.  </w:t>
      </w:r>
      <w:r w:rsidR="00A2609F">
        <w:t>In any event, the</w:t>
      </w:r>
      <w:r w:rsidR="00864ABE">
        <w:t xml:space="preserve"> second respondent has other avenues to protect against this perceived harm.  No facts have been pleaded to support the second respondent’s apprehension of harm in this regard.  </w:t>
      </w:r>
    </w:p>
    <w:p w14:paraId="0F533DF7" w14:textId="5F13C51C" w:rsidR="00864ABE" w:rsidRDefault="000E0339" w:rsidP="000E0339">
      <w:pPr>
        <w:pStyle w:val="Paragraph12pt"/>
        <w:tabs>
          <w:tab w:val="left" w:pos="851"/>
        </w:tabs>
        <w:ind w:left="851" w:hanging="851"/>
      </w:pPr>
      <w:r>
        <w:rPr>
          <w:rFonts w:cs="Arial"/>
          <w:color w:val="000000"/>
          <w:szCs w:val="24"/>
        </w:rPr>
        <w:t>28</w:t>
      </w:r>
      <w:r>
        <w:rPr>
          <w:rFonts w:cs="Arial"/>
          <w:color w:val="000000"/>
          <w:szCs w:val="24"/>
        </w:rPr>
        <w:tab/>
      </w:r>
      <w:r w:rsidR="005873AB">
        <w:t xml:space="preserve">The Court is however mindful that </w:t>
      </w:r>
      <w:r w:rsidR="00C865AC">
        <w:t xml:space="preserve">the CVs contains </w:t>
      </w:r>
      <w:r w:rsidR="005873AB">
        <w:t xml:space="preserve">the cellphone numbers and home addresses of the personnel. These can be redacted to protect the confidentiality of the personnel.  </w:t>
      </w:r>
      <w:r w:rsidR="00F23D69">
        <w:t xml:space="preserve">The applicant happily conceded that these can be redacted as it is not the personal details of these CVs that they are </w:t>
      </w:r>
      <w:r w:rsidR="00F23D69">
        <w:lastRenderedPageBreak/>
        <w:t>interested in, but rather whether their accreditations and qualifications meet the tender specifications.</w:t>
      </w:r>
    </w:p>
    <w:p w14:paraId="2F9F3654" w14:textId="566440B8" w:rsidR="00F23D69" w:rsidRDefault="000E0339" w:rsidP="000E0339">
      <w:pPr>
        <w:pStyle w:val="Paragraph12pt"/>
        <w:tabs>
          <w:tab w:val="left" w:pos="851"/>
        </w:tabs>
        <w:ind w:left="851" w:hanging="851"/>
      </w:pPr>
      <w:r>
        <w:rPr>
          <w:rFonts w:cs="Arial"/>
          <w:color w:val="000000"/>
          <w:szCs w:val="24"/>
        </w:rPr>
        <w:t>29</w:t>
      </w:r>
      <w:r>
        <w:rPr>
          <w:rFonts w:cs="Arial"/>
          <w:color w:val="000000"/>
          <w:szCs w:val="24"/>
        </w:rPr>
        <w:tab/>
      </w:r>
      <w:r w:rsidR="00F23D69">
        <w:t xml:space="preserve">The Court notes that this is not the first time that the tender prices and CVs of personnel were sought to be excluded from a tender review.  In </w:t>
      </w:r>
      <w:r w:rsidR="00F23D69" w:rsidRPr="00F23D69">
        <w:rPr>
          <w:i/>
          <w:iCs/>
        </w:rPr>
        <w:t>ABBM v Transnet</w:t>
      </w:r>
      <w:r w:rsidR="00F23D69">
        <w:rPr>
          <w:rStyle w:val="FootnoteReference"/>
        </w:rPr>
        <w:footnoteReference w:id="7"/>
      </w:r>
      <w:r w:rsidR="00F23D69" w:rsidRPr="008B721F">
        <w:t xml:space="preserve"> </w:t>
      </w:r>
      <w:r w:rsidR="00F23D69">
        <w:t xml:space="preserve">the Court dismissed the contention that </w:t>
      </w:r>
      <w:r w:rsidR="00AF30A7">
        <w:t xml:space="preserve">a </w:t>
      </w:r>
      <w:r w:rsidR="008B721F" w:rsidRPr="008B721F">
        <w:t xml:space="preserve">part of the tender document such as the tender price and the tenderer’s experience and expertise </w:t>
      </w:r>
      <w:r w:rsidR="00AF30A7">
        <w:t>are confidential purely because the successful tenderer claims so</w:t>
      </w:r>
      <w:r w:rsidR="008B721F" w:rsidRPr="008B721F">
        <w:t>.</w:t>
      </w:r>
    </w:p>
    <w:p w14:paraId="57D6ED92" w14:textId="5D7B1868" w:rsidR="00F23D69" w:rsidRDefault="000E0339" w:rsidP="000E0339">
      <w:pPr>
        <w:pStyle w:val="Paragraph12pt"/>
        <w:tabs>
          <w:tab w:val="left" w:pos="851"/>
        </w:tabs>
        <w:ind w:left="851" w:hanging="851"/>
      </w:pPr>
      <w:r>
        <w:rPr>
          <w:rFonts w:cs="Arial"/>
          <w:color w:val="000000"/>
          <w:szCs w:val="24"/>
        </w:rPr>
        <w:t>30</w:t>
      </w:r>
      <w:r>
        <w:rPr>
          <w:rFonts w:cs="Arial"/>
          <w:color w:val="000000"/>
          <w:szCs w:val="24"/>
        </w:rPr>
        <w:tab/>
      </w:r>
      <w:r w:rsidR="00F23D69">
        <w:t>It would</w:t>
      </w:r>
      <w:r w:rsidR="00F23D69" w:rsidRPr="00AF30A7">
        <w:t xml:space="preserve"> be counter</w:t>
      </w:r>
      <w:r w:rsidR="00F23D69" w:rsidRPr="00AF30A7">
        <w:softHyphen/>
        <w:t xml:space="preserve">productive and contrary to the Constitution to allow </w:t>
      </w:r>
      <w:r w:rsidR="00F23D69">
        <w:t>a successful bidder</w:t>
      </w:r>
      <w:r w:rsidR="00F23D69" w:rsidRPr="00AF30A7">
        <w:t xml:space="preserve"> to hide behind an unsubstantiated claim </w:t>
      </w:r>
      <w:r w:rsidR="00F23D69">
        <w:t>of</w:t>
      </w:r>
      <w:r w:rsidR="00F23D69" w:rsidRPr="00AF30A7">
        <w:t xml:space="preserve"> confidentiality</w:t>
      </w:r>
      <w:r w:rsidR="00F23D69">
        <w:t xml:space="preserve"> on issues that are directly relevant to determining the merits of the review. </w:t>
      </w:r>
    </w:p>
    <w:p w14:paraId="52A8C91A" w14:textId="3CB3EC40" w:rsidR="00A2609F" w:rsidRDefault="000E0339" w:rsidP="000E0339">
      <w:pPr>
        <w:pStyle w:val="Paragraph12pt"/>
        <w:tabs>
          <w:tab w:val="left" w:pos="851"/>
        </w:tabs>
        <w:ind w:left="851" w:hanging="851"/>
      </w:pPr>
      <w:r>
        <w:rPr>
          <w:rFonts w:cs="Arial"/>
          <w:color w:val="000000"/>
          <w:szCs w:val="24"/>
        </w:rPr>
        <w:t>31</w:t>
      </w:r>
      <w:r>
        <w:rPr>
          <w:rFonts w:cs="Arial"/>
          <w:color w:val="000000"/>
          <w:szCs w:val="24"/>
        </w:rPr>
        <w:tab/>
      </w:r>
      <w:r w:rsidR="00AF30A7">
        <w:t xml:space="preserve">The Court rejects the notion that the pricing schedule and CVs of the key personnel enjoy a claim to confidentiality, </w:t>
      </w:r>
      <w:r w:rsidR="00F23D69">
        <w:t>particularly as no</w:t>
      </w:r>
      <w:r w:rsidR="00AF30A7">
        <w:t xml:space="preserve"> clear basis ha</w:t>
      </w:r>
      <w:r w:rsidR="00F23D69">
        <w:t>s</w:t>
      </w:r>
      <w:r w:rsidR="00AF30A7">
        <w:t xml:space="preserve"> be</w:t>
      </w:r>
      <w:r w:rsidR="002E4F35">
        <w:t>en provided</w:t>
      </w:r>
      <w:r w:rsidR="00AF30A7">
        <w:t xml:space="preserve"> for this claim. </w:t>
      </w:r>
      <w:r w:rsidR="00A2609F">
        <w:t xml:space="preserve">The </w:t>
      </w:r>
      <w:r w:rsidR="00AF30A7">
        <w:t xml:space="preserve">second respondent’s attempt to </w:t>
      </w:r>
      <w:r w:rsidR="00A2609F">
        <w:t>categoris</w:t>
      </w:r>
      <w:r w:rsidR="002E4F35">
        <w:t>e</w:t>
      </w:r>
      <w:r w:rsidR="00A2609F">
        <w:t xml:space="preserve"> </w:t>
      </w:r>
      <w:r w:rsidR="002E4F35">
        <w:t>these documents</w:t>
      </w:r>
      <w:r w:rsidR="00A2609F">
        <w:t xml:space="preserve">, in general as confidential, is at odds with the more nuanced tests of </w:t>
      </w:r>
      <w:r w:rsidR="00AF30A7">
        <w:t>our courts that require a basis be provided for the claim of confidentiality</w:t>
      </w:r>
      <w:r w:rsidR="00A2609F">
        <w:t xml:space="preserve">.  </w:t>
      </w:r>
    </w:p>
    <w:p w14:paraId="5CC93A52" w14:textId="70998078" w:rsidR="005873AB" w:rsidRPr="005873AB" w:rsidRDefault="005873AB" w:rsidP="00A2609F">
      <w:pPr>
        <w:pStyle w:val="Paragraph12pt"/>
        <w:rPr>
          <w:i/>
          <w:iCs/>
          <w:u w:val="single"/>
        </w:rPr>
      </w:pPr>
      <w:r w:rsidRPr="005873AB">
        <w:rPr>
          <w:i/>
          <w:iCs/>
          <w:u w:val="single"/>
        </w:rPr>
        <w:t>Service Level Agreement</w:t>
      </w:r>
    </w:p>
    <w:p w14:paraId="26BF4DCD" w14:textId="726235B9" w:rsidR="00866292" w:rsidRDefault="000E0339" w:rsidP="000E0339">
      <w:pPr>
        <w:pStyle w:val="Paragraph12pt"/>
        <w:tabs>
          <w:tab w:val="left" w:pos="851"/>
        </w:tabs>
        <w:ind w:left="851" w:hanging="851"/>
      </w:pPr>
      <w:r>
        <w:rPr>
          <w:rFonts w:cs="Arial"/>
          <w:color w:val="000000"/>
          <w:szCs w:val="24"/>
        </w:rPr>
        <w:t>32</w:t>
      </w:r>
      <w:r>
        <w:rPr>
          <w:rFonts w:cs="Arial"/>
          <w:color w:val="000000"/>
          <w:szCs w:val="24"/>
        </w:rPr>
        <w:tab/>
      </w:r>
      <w:r w:rsidR="005873AB">
        <w:t>The second respondent</w:t>
      </w:r>
      <w:r w:rsidR="00866292">
        <w:t xml:space="preserve"> objects to the disclosure of the</w:t>
      </w:r>
      <w:r w:rsidR="00CA76F4">
        <w:t xml:space="preserve"> Service Level Agreement</w:t>
      </w:r>
      <w:r w:rsidR="00866292">
        <w:t xml:space="preserve"> on the basis that they were concluded after the award of the tender and is </w:t>
      </w:r>
      <w:r w:rsidR="005331C5">
        <w:t xml:space="preserve">therefore </w:t>
      </w:r>
      <w:r w:rsidR="00866292">
        <w:t xml:space="preserve">not part of the Rule 53 record.  </w:t>
      </w:r>
    </w:p>
    <w:p w14:paraId="52C26347" w14:textId="236B9C91" w:rsidR="00866292" w:rsidRDefault="000E0339" w:rsidP="000E0339">
      <w:pPr>
        <w:pStyle w:val="Paragraph12pt"/>
        <w:tabs>
          <w:tab w:val="left" w:pos="851"/>
        </w:tabs>
        <w:ind w:left="851" w:hanging="851"/>
      </w:pPr>
      <w:r>
        <w:rPr>
          <w:rFonts w:cs="Arial"/>
          <w:color w:val="000000"/>
          <w:szCs w:val="24"/>
        </w:rPr>
        <w:lastRenderedPageBreak/>
        <w:t>33</w:t>
      </w:r>
      <w:r>
        <w:rPr>
          <w:rFonts w:cs="Arial"/>
          <w:color w:val="000000"/>
          <w:szCs w:val="24"/>
        </w:rPr>
        <w:tab/>
      </w:r>
      <w:r w:rsidR="005331C5">
        <w:t>The parties have entered into a confidentiality agreement. The confidentiality agreement permits a Court to consider the confidentiality of specific documents. If the Court releases the document from the confidentiality agreement – ie it is no longer covered by the agreement</w:t>
      </w:r>
      <w:r w:rsidR="002E4F35">
        <w:t xml:space="preserve"> -</w:t>
      </w:r>
      <w:r w:rsidR="005331C5">
        <w:t xml:space="preserve"> then it must be released to the applicant. The Service Level Agreement forms part of the documents which a Court may release from confidentiality. The applicant therefore has a contractual right, in terms of the confidentiality agreement to request </w:t>
      </w:r>
      <w:r w:rsidR="002E4F35">
        <w:t xml:space="preserve">the Court to </w:t>
      </w:r>
      <w:r w:rsidR="005331C5">
        <w:t xml:space="preserve">release the Service Level Agreement from the confidentiality agreement.  </w:t>
      </w:r>
    </w:p>
    <w:p w14:paraId="1F3E67BB" w14:textId="7588FD55" w:rsidR="002E4F35" w:rsidRDefault="000E0339" w:rsidP="000E0339">
      <w:pPr>
        <w:pStyle w:val="Paragraph12pt"/>
        <w:tabs>
          <w:tab w:val="left" w:pos="851"/>
        </w:tabs>
        <w:ind w:left="851" w:hanging="851"/>
      </w:pPr>
      <w:r>
        <w:rPr>
          <w:rFonts w:cs="Arial"/>
          <w:color w:val="000000"/>
          <w:szCs w:val="24"/>
        </w:rPr>
        <w:t>34</w:t>
      </w:r>
      <w:r>
        <w:rPr>
          <w:rFonts w:cs="Arial"/>
          <w:color w:val="000000"/>
          <w:szCs w:val="24"/>
        </w:rPr>
        <w:tab/>
      </w:r>
      <w:r w:rsidR="002E4F35">
        <w:t>The second respondent has provided no basis on which it can claim that the annexures to the Service Level Agreement, or the agreement itself is confidential.</w:t>
      </w:r>
    </w:p>
    <w:p w14:paraId="6D1E1B48" w14:textId="2A1EAABE" w:rsidR="00CA76F4" w:rsidRDefault="000E0339" w:rsidP="000E0339">
      <w:pPr>
        <w:pStyle w:val="Paragraph12pt"/>
        <w:tabs>
          <w:tab w:val="left" w:pos="851"/>
        </w:tabs>
        <w:ind w:left="851" w:hanging="851"/>
      </w:pPr>
      <w:r>
        <w:rPr>
          <w:rFonts w:cs="Arial"/>
          <w:color w:val="000000"/>
          <w:szCs w:val="24"/>
        </w:rPr>
        <w:t>35</w:t>
      </w:r>
      <w:r>
        <w:rPr>
          <w:rFonts w:cs="Arial"/>
          <w:color w:val="000000"/>
          <w:szCs w:val="24"/>
        </w:rPr>
        <w:tab/>
      </w:r>
      <w:r w:rsidR="00CA76F4">
        <w:t>As with the other documents, the second respondent had to lay a foundation and provide the Court with a clear basis on which these documents are confidential.  The second respondent has pleaded a conclusion that the documents are confidential without telling the Court what the basis for the confidentiality is.  This is insufficient to sustain a claim of confidentiality.</w:t>
      </w:r>
    </w:p>
    <w:p w14:paraId="6B7848B8" w14:textId="4E4D732E" w:rsidR="002656A2" w:rsidRDefault="00751E6E" w:rsidP="00751E6E">
      <w:pPr>
        <w:pStyle w:val="Paragraph12pt"/>
        <w:rPr>
          <w:b/>
          <w:bCs/>
        </w:rPr>
      </w:pPr>
      <w:r w:rsidRPr="00751E6E">
        <w:rPr>
          <w:b/>
          <w:bCs/>
        </w:rPr>
        <w:t>Urgency</w:t>
      </w:r>
    </w:p>
    <w:p w14:paraId="126EBC87" w14:textId="24D568B5" w:rsidR="00A05E00" w:rsidRDefault="000E0339" w:rsidP="000E0339">
      <w:pPr>
        <w:pStyle w:val="Paragraph12pt"/>
        <w:tabs>
          <w:tab w:val="left" w:pos="851"/>
        </w:tabs>
        <w:ind w:left="851" w:hanging="851"/>
      </w:pPr>
      <w:r>
        <w:rPr>
          <w:rFonts w:cs="Arial"/>
          <w:color w:val="000000"/>
          <w:szCs w:val="24"/>
        </w:rPr>
        <w:t>36</w:t>
      </w:r>
      <w:r>
        <w:rPr>
          <w:rFonts w:cs="Arial"/>
          <w:color w:val="000000"/>
          <w:szCs w:val="24"/>
        </w:rPr>
        <w:tab/>
      </w:r>
      <w:r w:rsidR="00F36AE6">
        <w:t xml:space="preserve">The applicant had to justify its urgent approach to this Court.  </w:t>
      </w:r>
      <w:r w:rsidR="00A05E00">
        <w:t xml:space="preserve">The applicant relied on its rights to fair administrative action, access to courts, the broader public interest in the lawfulness of tender awards, the absence of any substantial redress in due course and that it had treated the matter as one of urgency from the outset.  </w:t>
      </w:r>
    </w:p>
    <w:p w14:paraId="0F5E6BD1" w14:textId="1F47E97F" w:rsidR="00DE5E87" w:rsidRDefault="000E0339" w:rsidP="000E0339">
      <w:pPr>
        <w:pStyle w:val="Paragraph12pt"/>
        <w:tabs>
          <w:tab w:val="left" w:pos="851"/>
        </w:tabs>
        <w:ind w:left="851" w:hanging="851"/>
      </w:pPr>
      <w:r>
        <w:rPr>
          <w:rFonts w:cs="Arial"/>
          <w:color w:val="000000"/>
          <w:szCs w:val="24"/>
        </w:rPr>
        <w:lastRenderedPageBreak/>
        <w:t>37</w:t>
      </w:r>
      <w:r>
        <w:rPr>
          <w:rFonts w:cs="Arial"/>
          <w:color w:val="000000"/>
          <w:szCs w:val="24"/>
        </w:rPr>
        <w:tab/>
      </w:r>
      <w:r w:rsidR="00DE5E87">
        <w:t xml:space="preserve">The applicant submits that if this matter were heard in the ordinary course, there is a real likelihood that the 36 month lifespan of the contract would come to its end prior to Court being able to scrutinise the application.  </w:t>
      </w:r>
    </w:p>
    <w:p w14:paraId="7F498735" w14:textId="78097E87" w:rsidR="00DE5E87" w:rsidRDefault="000E0339" w:rsidP="000E0339">
      <w:pPr>
        <w:pStyle w:val="Paragraph12pt"/>
        <w:tabs>
          <w:tab w:val="left" w:pos="851"/>
        </w:tabs>
        <w:ind w:left="851" w:hanging="851"/>
      </w:pPr>
      <w:r>
        <w:rPr>
          <w:rFonts w:cs="Arial"/>
          <w:color w:val="000000"/>
          <w:szCs w:val="24"/>
        </w:rPr>
        <w:t>38</w:t>
      </w:r>
      <w:r>
        <w:rPr>
          <w:rFonts w:cs="Arial"/>
          <w:color w:val="000000"/>
          <w:szCs w:val="24"/>
        </w:rPr>
        <w:tab/>
      </w:r>
      <w:r w:rsidR="00EE1972">
        <w:t>The</w:t>
      </w:r>
      <w:r w:rsidR="00A05E00">
        <w:t xml:space="preserve"> </w:t>
      </w:r>
      <w:r w:rsidR="00B91120">
        <w:t>nature of tender reviews are that</w:t>
      </w:r>
      <w:r w:rsidR="00EE1972">
        <w:t>,</w:t>
      </w:r>
      <w:r w:rsidR="00B91120">
        <w:t xml:space="preserve"> often</w:t>
      </w:r>
      <w:r w:rsidR="00EE1972">
        <w:t>,</w:t>
      </w:r>
      <w:r w:rsidR="00B91120">
        <w:t xml:space="preserve"> the contract is served to completion before the review proceedings are finalised.  The practical impact is that often these cases, even if successful, result in no real effective relief for a successful litigant. </w:t>
      </w:r>
      <w:r w:rsidR="00A05E00">
        <w:t>Despite</w:t>
      </w:r>
      <w:r w:rsidR="00B91120">
        <w:t xml:space="preserve"> the success of a review, the effluxion of time means that an invalid administrative act must be permitted to stand.</w:t>
      </w:r>
      <w:r w:rsidR="00B91120" w:rsidRPr="001A7F0B">
        <w:rPr>
          <w:lang w:val="en-GB"/>
        </w:rPr>
        <w:t xml:space="preserve"> Consequently</w:t>
      </w:r>
      <w:r w:rsidR="00B91120" w:rsidRPr="007F5078">
        <w:rPr>
          <w:lang w:val="en-GB"/>
        </w:rPr>
        <w:t>,</w:t>
      </w:r>
      <w:r w:rsidR="00B91120" w:rsidRPr="001A7F0B">
        <w:rPr>
          <w:lang w:val="en-GB"/>
        </w:rPr>
        <w:t xml:space="preserve"> the scope of granting an effective relief to vindicate the infringed rights becomes drastically reduced. </w:t>
      </w:r>
      <w:r w:rsidR="00B91120" w:rsidRPr="007F5078">
        <w:rPr>
          <w:lang w:val="en-GB"/>
        </w:rPr>
        <w:t xml:space="preserve">The </w:t>
      </w:r>
      <w:r w:rsidR="00F242D3">
        <w:rPr>
          <w:lang w:val="en-GB"/>
        </w:rPr>
        <w:t xml:space="preserve">Supreme </w:t>
      </w:r>
      <w:r w:rsidR="00B91120" w:rsidRPr="007F5078">
        <w:rPr>
          <w:lang w:val="en-GB"/>
        </w:rPr>
        <w:t xml:space="preserve">Court </w:t>
      </w:r>
      <w:r w:rsidR="00F242D3">
        <w:rPr>
          <w:lang w:val="en-GB"/>
        </w:rPr>
        <w:t xml:space="preserve">of Appeal has </w:t>
      </w:r>
      <w:r w:rsidR="00B91120" w:rsidRPr="007F5078">
        <w:rPr>
          <w:lang w:val="en-GB"/>
        </w:rPr>
        <w:t>held that “</w:t>
      </w:r>
      <w:r w:rsidR="00F242D3">
        <w:rPr>
          <w:lang w:val="en-GB"/>
        </w:rPr>
        <w:t>i</w:t>
      </w:r>
      <w:r w:rsidR="00B91120" w:rsidRPr="001A7F0B">
        <w:rPr>
          <w:lang w:val="en-GB"/>
        </w:rPr>
        <w:t>t may help if the High Court, to the extent possible, gives priority to these matters.</w:t>
      </w:r>
      <w:r w:rsidR="00B91120" w:rsidRPr="007F5078">
        <w:rPr>
          <w:lang w:val="en-GB"/>
        </w:rPr>
        <w:t>”</w:t>
      </w:r>
      <w:r w:rsidR="00F242D3">
        <w:rPr>
          <w:rStyle w:val="FootnoteReference"/>
          <w:lang w:val="en-GB"/>
        </w:rPr>
        <w:footnoteReference w:id="8"/>
      </w:r>
      <w:r w:rsidR="00F242D3">
        <w:t xml:space="preserve">  </w:t>
      </w:r>
    </w:p>
    <w:p w14:paraId="68CE3486" w14:textId="2873A83A" w:rsidR="00EE1972" w:rsidRDefault="000E0339" w:rsidP="000E0339">
      <w:pPr>
        <w:pStyle w:val="Paragraph12pt"/>
        <w:tabs>
          <w:tab w:val="left" w:pos="851"/>
        </w:tabs>
        <w:ind w:left="851" w:hanging="851"/>
      </w:pPr>
      <w:r>
        <w:rPr>
          <w:rFonts w:cs="Arial"/>
          <w:color w:val="000000"/>
          <w:szCs w:val="24"/>
        </w:rPr>
        <w:t>39</w:t>
      </w:r>
      <w:r>
        <w:rPr>
          <w:rFonts w:cs="Arial"/>
          <w:color w:val="000000"/>
          <w:szCs w:val="24"/>
        </w:rPr>
        <w:tab/>
      </w:r>
      <w:r w:rsidR="00EE1972">
        <w:t xml:space="preserve">In this particular case, it was possible for the High Court to give priority to this matter. The parties were well prepared, had delineated the issues and concise and helpful written submissions were provided.  In addition, the parties were amenable to enter into a holding order which permitted the Court to return to finalise the hearing of the matter.  </w:t>
      </w:r>
      <w:r w:rsidR="00DE5E87">
        <w:t>The Court’s roll had largely been alleviated by the time the matter was heard.  The Court was also able to obtain the necessary support and approvals from the Court for the matter to be heard over two days.  These factors, combined, are rare and permitted the Court to hear the matter.  They rarely all exist</w:t>
      </w:r>
      <w:r w:rsidR="002E4F35">
        <w:t xml:space="preserve"> simultaneously</w:t>
      </w:r>
      <w:r w:rsidR="00DE5E87">
        <w:t xml:space="preserve"> in a burdened urgent roll. </w:t>
      </w:r>
      <w:r w:rsidR="00DE5E87">
        <w:lastRenderedPageBreak/>
        <w:t>The Court does not find, in general, that these types of matters must be heard on an urgent basis</w:t>
      </w:r>
      <w:r w:rsidR="002E4F35">
        <w:t>.</w:t>
      </w:r>
    </w:p>
    <w:p w14:paraId="4EB34B48" w14:textId="2DDD9396" w:rsidR="00B91120" w:rsidRDefault="000E0339" w:rsidP="000E0339">
      <w:pPr>
        <w:pStyle w:val="Paragraph12pt"/>
        <w:tabs>
          <w:tab w:val="left" w:pos="851"/>
        </w:tabs>
        <w:ind w:left="851" w:hanging="851"/>
      </w:pPr>
      <w:r>
        <w:rPr>
          <w:rFonts w:cs="Arial"/>
          <w:color w:val="000000"/>
          <w:szCs w:val="24"/>
        </w:rPr>
        <w:t>40</w:t>
      </w:r>
      <w:r>
        <w:rPr>
          <w:rFonts w:cs="Arial"/>
          <w:color w:val="000000"/>
          <w:szCs w:val="24"/>
        </w:rPr>
        <w:tab/>
      </w:r>
      <w:r w:rsidR="00DE5E87">
        <w:t>The applicant further submits that the room for substantial redress in due course, if any, is limited. The applicant relies on the judgments</w:t>
      </w:r>
      <w:r w:rsidR="00DE5E87">
        <w:rPr>
          <w:rFonts w:cs="Arial"/>
          <w:color w:val="242121"/>
        </w:rPr>
        <w:t xml:space="preserve"> i</w:t>
      </w:r>
      <w:r w:rsidR="00B91120" w:rsidRPr="00E938CA">
        <w:rPr>
          <w:rFonts w:cs="Arial"/>
          <w:color w:val="242121"/>
        </w:rPr>
        <w:t>n</w:t>
      </w:r>
      <w:r w:rsidR="00B91120" w:rsidRPr="00E938CA">
        <w:rPr>
          <w:rStyle w:val="apple-converted-space"/>
          <w:rFonts w:cs="Arial"/>
          <w:color w:val="242121"/>
        </w:rPr>
        <w:t> </w:t>
      </w:r>
      <w:r w:rsidR="00B91120" w:rsidRPr="00E938CA">
        <w:rPr>
          <w:rFonts w:cs="Arial"/>
          <w:i/>
          <w:iCs/>
          <w:color w:val="242121"/>
        </w:rPr>
        <w:t>Steenkamp</w:t>
      </w:r>
      <w:r w:rsidR="00B91120">
        <w:rPr>
          <w:rStyle w:val="FootnoteReference"/>
          <w:rFonts w:cs="Arial"/>
          <w:color w:val="242121"/>
        </w:rPr>
        <w:footnoteReference w:id="9"/>
      </w:r>
      <w:r w:rsidR="00B91120" w:rsidRPr="00E938CA">
        <w:rPr>
          <w:rFonts w:cs="Arial"/>
          <w:color w:val="242121"/>
        </w:rPr>
        <w:t xml:space="preserve"> </w:t>
      </w:r>
      <w:r w:rsidR="00DE5E87">
        <w:rPr>
          <w:rFonts w:cs="Arial"/>
          <w:color w:val="242121"/>
        </w:rPr>
        <w:t xml:space="preserve">and </w:t>
      </w:r>
      <w:r w:rsidR="00B91120" w:rsidRPr="00513DA8">
        <w:rPr>
          <w:i/>
          <w:iCs/>
        </w:rPr>
        <w:t>Pipeline</w:t>
      </w:r>
      <w:r w:rsidR="00B91120">
        <w:rPr>
          <w:rStyle w:val="FootnoteReference"/>
        </w:rPr>
        <w:footnoteReference w:id="10"/>
      </w:r>
      <w:r w:rsidR="00B91120">
        <w:t xml:space="preserve"> </w:t>
      </w:r>
      <w:r w:rsidR="00DE5E87">
        <w:t xml:space="preserve">which considered together indicate the limited scope for a successful tendered to obtain monetary relief in the normal course. </w:t>
      </w:r>
      <w:r w:rsidR="0092525E">
        <w:t xml:space="preserve">The applicant contends, based on these cases, that </w:t>
      </w:r>
      <w:r w:rsidR="00B91120">
        <w:t>an unsuccessful bidder has no claim in delict for pure economic loss</w:t>
      </w:r>
      <w:r w:rsidR="00EE1972">
        <w:t>,</w:t>
      </w:r>
      <w:r w:rsidR="00B91120">
        <w:t xml:space="preserve"> limited room to claim damages</w:t>
      </w:r>
      <w:r w:rsidR="00F242D3">
        <w:t xml:space="preserve">, </w:t>
      </w:r>
      <w:r w:rsidR="0092525E">
        <w:t xml:space="preserve">and </w:t>
      </w:r>
      <w:r w:rsidR="00F242D3">
        <w:t xml:space="preserve">potentially </w:t>
      </w:r>
      <w:r w:rsidR="00EE1972">
        <w:t xml:space="preserve">can </w:t>
      </w:r>
      <w:r w:rsidR="00F242D3">
        <w:t xml:space="preserve">only </w:t>
      </w:r>
      <w:r w:rsidR="00EE1972">
        <w:t xml:space="preserve">claim compensatory relief </w:t>
      </w:r>
      <w:r w:rsidR="00F242D3">
        <w:t xml:space="preserve">in exceptional circumstances.  </w:t>
      </w:r>
    </w:p>
    <w:p w14:paraId="21B0483D" w14:textId="2B8D7918" w:rsidR="00F242D3" w:rsidRDefault="000E0339" w:rsidP="000E0339">
      <w:pPr>
        <w:pStyle w:val="Paragraph12pt"/>
        <w:tabs>
          <w:tab w:val="left" w:pos="851"/>
        </w:tabs>
        <w:ind w:left="851" w:hanging="851"/>
      </w:pPr>
      <w:r>
        <w:rPr>
          <w:rFonts w:cs="Arial"/>
          <w:color w:val="000000"/>
          <w:szCs w:val="24"/>
        </w:rPr>
        <w:t>41</w:t>
      </w:r>
      <w:r>
        <w:rPr>
          <w:rFonts w:cs="Arial"/>
          <w:color w:val="000000"/>
          <w:szCs w:val="24"/>
        </w:rPr>
        <w:tab/>
      </w:r>
      <w:r w:rsidR="00F242D3">
        <w:t>Substantial redress in the normal course is therefore, at least, severely limited by the pragmatic nature of tender reviews of a short duration contracts and the remedies available to an unsuccessful bidder to claim their losses.</w:t>
      </w:r>
    </w:p>
    <w:p w14:paraId="243AAC40" w14:textId="316C8740" w:rsidR="005464C6" w:rsidRDefault="000E0339" w:rsidP="000E0339">
      <w:pPr>
        <w:pStyle w:val="Paragraph12pt"/>
        <w:tabs>
          <w:tab w:val="left" w:pos="851"/>
        </w:tabs>
        <w:ind w:left="851" w:hanging="851"/>
      </w:pPr>
      <w:r>
        <w:rPr>
          <w:rFonts w:cs="Arial"/>
          <w:color w:val="000000"/>
          <w:szCs w:val="24"/>
        </w:rPr>
        <w:t>42</w:t>
      </w:r>
      <w:r>
        <w:rPr>
          <w:rFonts w:cs="Arial"/>
          <w:color w:val="000000"/>
          <w:szCs w:val="24"/>
        </w:rPr>
        <w:tab/>
      </w:r>
      <w:r w:rsidR="00F242D3">
        <w:t xml:space="preserve">In addition, the Court </w:t>
      </w:r>
      <w:r w:rsidR="007F5078">
        <w:t xml:space="preserve">considers that </w:t>
      </w:r>
      <w:r w:rsidR="00F242D3">
        <w:t xml:space="preserve">the case engages </w:t>
      </w:r>
      <w:r w:rsidR="007F5078">
        <w:t xml:space="preserve">section 217 of the Constitution which seeks to ensure transparency in tender awards.  </w:t>
      </w:r>
      <w:r w:rsidR="005464C6">
        <w:t xml:space="preserve">In order </w:t>
      </w:r>
      <w:r w:rsidR="007531C6">
        <w:t>to</w:t>
      </w:r>
      <w:r w:rsidR="005464C6">
        <w:t xml:space="preserve"> test the legality of the exercise o</w:t>
      </w:r>
      <w:r w:rsidR="007531C6">
        <w:t>f</w:t>
      </w:r>
      <w:r w:rsidR="005464C6">
        <w:t xml:space="preserve"> public power, tho</w:t>
      </w:r>
      <w:r w:rsidR="007531C6">
        <w:t>roughly</w:t>
      </w:r>
      <w:r w:rsidR="005464C6">
        <w:t xml:space="preserve">, is by affording </w:t>
      </w:r>
      <w:r w:rsidR="007531C6">
        <w:t>t</w:t>
      </w:r>
      <w:r w:rsidR="005464C6">
        <w:t xml:space="preserve">he applicant access to all material relevant to the </w:t>
      </w:r>
      <w:r w:rsidR="007531C6">
        <w:t>exercise</w:t>
      </w:r>
      <w:r w:rsidR="005464C6">
        <w:t xml:space="preserve"> of that powe</w:t>
      </w:r>
      <w:r w:rsidR="007531C6">
        <w:t>r</w:t>
      </w:r>
      <w:r w:rsidR="005464C6">
        <w:t xml:space="preserve">. If </w:t>
      </w:r>
      <w:r w:rsidR="007531C6">
        <w:t>not</w:t>
      </w:r>
      <w:r w:rsidR="005464C6">
        <w:t xml:space="preserve">, there is a </w:t>
      </w:r>
      <w:r w:rsidR="007531C6">
        <w:t>risk</w:t>
      </w:r>
      <w:r w:rsidR="005464C6">
        <w:t xml:space="preserve"> that withhold</w:t>
      </w:r>
      <w:r w:rsidR="00F242D3">
        <w:t>ing</w:t>
      </w:r>
      <w:r w:rsidR="005464C6">
        <w:t xml:space="preserve"> </w:t>
      </w:r>
      <w:r w:rsidR="007531C6">
        <w:t>information</w:t>
      </w:r>
      <w:r w:rsidR="00F242D3">
        <w:t xml:space="preserve"> will permit</w:t>
      </w:r>
      <w:r w:rsidR="005464C6">
        <w:t xml:space="preserve"> possible </w:t>
      </w:r>
      <w:r w:rsidR="007531C6">
        <w:t>irregularities</w:t>
      </w:r>
      <w:r w:rsidR="005464C6">
        <w:t xml:space="preserve"> </w:t>
      </w:r>
      <w:r w:rsidR="00F242D3">
        <w:t xml:space="preserve">to </w:t>
      </w:r>
      <w:r w:rsidR="005464C6">
        <w:t>remain uncovered and therefore insulated f</w:t>
      </w:r>
      <w:r w:rsidR="007531C6">
        <w:t>r</w:t>
      </w:r>
      <w:r w:rsidR="005464C6">
        <w:t>om scrutiny.  This wou</w:t>
      </w:r>
      <w:r w:rsidR="007531C6">
        <w:t>l</w:t>
      </w:r>
      <w:r w:rsidR="005464C6">
        <w:t xml:space="preserve">d </w:t>
      </w:r>
      <w:r w:rsidR="007F5078">
        <w:t>limit the effectiveness of</w:t>
      </w:r>
      <w:r w:rsidR="005464C6">
        <w:t xml:space="preserve"> the right to review</w:t>
      </w:r>
      <w:r w:rsidR="00F242D3">
        <w:t xml:space="preserve"> and be </w:t>
      </w:r>
      <w:r w:rsidR="005464C6">
        <w:t xml:space="preserve">at variance with the rule of law, the </w:t>
      </w:r>
      <w:r w:rsidR="007531C6">
        <w:t>values</w:t>
      </w:r>
      <w:r w:rsidR="005464C6">
        <w:t xml:space="preserve"> o</w:t>
      </w:r>
      <w:r w:rsidR="007531C6">
        <w:t>f accountability</w:t>
      </w:r>
      <w:r w:rsidR="005464C6">
        <w:t xml:space="preserve"> and openness.  </w:t>
      </w:r>
    </w:p>
    <w:p w14:paraId="75EF7757" w14:textId="70DB8AE6" w:rsidR="007531C6" w:rsidRDefault="000E0339" w:rsidP="000E0339">
      <w:pPr>
        <w:pStyle w:val="Paragraph12pt"/>
        <w:tabs>
          <w:tab w:val="left" w:pos="851"/>
        </w:tabs>
        <w:ind w:left="851" w:hanging="851"/>
      </w:pPr>
      <w:r>
        <w:rPr>
          <w:rFonts w:cs="Arial"/>
          <w:color w:val="000000"/>
          <w:szCs w:val="24"/>
        </w:rPr>
        <w:lastRenderedPageBreak/>
        <w:t>43</w:t>
      </w:r>
      <w:r>
        <w:rPr>
          <w:rFonts w:cs="Arial"/>
          <w:color w:val="000000"/>
          <w:szCs w:val="24"/>
        </w:rPr>
        <w:tab/>
      </w:r>
      <w:r w:rsidR="007531C6">
        <w:t>Aside from the importance of section 217</w:t>
      </w:r>
      <w:r w:rsidR="002E4F35">
        <w:t>,</w:t>
      </w:r>
      <w:r w:rsidR="007531C6">
        <w:t xml:space="preserve"> </w:t>
      </w:r>
      <w:r w:rsidR="007F5078">
        <w:t xml:space="preserve">it weighs with the Court that there is a compelling public interest at risk in the matter. </w:t>
      </w:r>
      <w:r w:rsidR="007531C6">
        <w:t>The services which are to be provide by the second respondent are integral to the functioning of the City.  This may be true for most litigation concerning tender reviews.  What is compelling about the particular facts of this case is that it is the second respondent’s version that it cannot conduct business anymore.  The reason for this is that the second respondent relies on Alcatel-Lucent, an international company, to comply with the tender. Alcatel-Lucent has however taken the view that it will no longer provide any services to the second respondent</w:t>
      </w:r>
      <w:r w:rsidR="000A4B39">
        <w:t xml:space="preserve"> until this review is </w:t>
      </w:r>
      <w:r w:rsidR="002E4F35">
        <w:t>finalised</w:t>
      </w:r>
      <w:r w:rsidR="007531C6">
        <w:t>.  The second respondent therefore has to serv</w:t>
      </w:r>
      <w:r w:rsidR="002E4F35">
        <w:t>ice</w:t>
      </w:r>
      <w:r w:rsidR="007531C6">
        <w:t xml:space="preserve"> a tender without the </w:t>
      </w:r>
      <w:r w:rsidR="000A4B39">
        <w:t>necessary support to give effect to the tender.  Th</w:t>
      </w:r>
      <w:r w:rsidR="0092525E">
        <w:t>e Court must consider the common cause impact of a delay on the litigation on the practical implementation of the tender.</w:t>
      </w:r>
      <w:r w:rsidR="00DE5E87">
        <w:t xml:space="preserve">  </w:t>
      </w:r>
    </w:p>
    <w:p w14:paraId="50DF4A0C" w14:textId="681E637C" w:rsidR="00FE2229" w:rsidRDefault="000E0339" w:rsidP="000E0339">
      <w:pPr>
        <w:pStyle w:val="Paragraph12pt"/>
        <w:tabs>
          <w:tab w:val="left" w:pos="851"/>
        </w:tabs>
        <w:ind w:left="851" w:hanging="851"/>
      </w:pPr>
      <w:r>
        <w:rPr>
          <w:rFonts w:cs="Arial"/>
          <w:color w:val="000000"/>
          <w:szCs w:val="24"/>
        </w:rPr>
        <w:t>44</w:t>
      </w:r>
      <w:r>
        <w:rPr>
          <w:rFonts w:cs="Arial"/>
          <w:color w:val="000000"/>
          <w:szCs w:val="24"/>
        </w:rPr>
        <w:tab/>
      </w:r>
      <w:r w:rsidR="000A4B39">
        <w:t xml:space="preserve">The second respondent opposes the urgency on the basis that the applicant has taken a casual stroll to urgent court and has not treated the matter with the requisite urgency. The facts do not support this opposition. The chronology, which will unnecessarily burden these </w:t>
      </w:r>
      <w:r w:rsidR="004D5D44">
        <w:t>reasons</w:t>
      </w:r>
      <w:r w:rsidR="000A4B39">
        <w:t xml:space="preserve">, </w:t>
      </w:r>
      <w:r w:rsidR="0092525E">
        <w:t xml:space="preserve">shows that the applicant had to repeatedly request and demand that the second respondent identify which documents are confidential so that it can consider its position. The founding affidavit is filled with letters, one after the other, requesting the second respondent to delineate which documents are confidential and which are not.  The second respondent delayed identifying which documents are confidential.  </w:t>
      </w:r>
      <w:r w:rsidR="00FE2229">
        <w:t xml:space="preserve">Then, the second respondent started releasing </w:t>
      </w:r>
      <w:r w:rsidR="000A4B39">
        <w:t xml:space="preserve">the documents in dribs and drabs.  </w:t>
      </w:r>
      <w:r w:rsidR="00FE2229">
        <w:t>The delay is caused by the second respondent not responding with any level of urgency to the applicant’s requests.</w:t>
      </w:r>
    </w:p>
    <w:p w14:paraId="09C4221F" w14:textId="326BAED1" w:rsidR="000A4B39" w:rsidRDefault="000E0339" w:rsidP="000E0339">
      <w:pPr>
        <w:pStyle w:val="Paragraph12pt"/>
        <w:tabs>
          <w:tab w:val="left" w:pos="851"/>
        </w:tabs>
        <w:ind w:left="851" w:hanging="851"/>
      </w:pPr>
      <w:r>
        <w:rPr>
          <w:rFonts w:cs="Arial"/>
          <w:color w:val="000000"/>
          <w:szCs w:val="24"/>
        </w:rPr>
        <w:lastRenderedPageBreak/>
        <w:t>45</w:t>
      </w:r>
      <w:r>
        <w:rPr>
          <w:rFonts w:cs="Arial"/>
          <w:color w:val="000000"/>
          <w:szCs w:val="24"/>
        </w:rPr>
        <w:tab/>
      </w:r>
      <w:r w:rsidR="00FE2229">
        <w:t>Whilst the</w:t>
      </w:r>
      <w:r w:rsidR="000A4B39">
        <w:t xml:space="preserve"> confidentiality agreement was signed in June, it was only </w:t>
      </w:r>
      <w:r w:rsidR="0092525E">
        <w:t>in July</w:t>
      </w:r>
      <w:r w:rsidR="000A4B39">
        <w:t xml:space="preserve"> </w:t>
      </w:r>
      <w:r w:rsidR="0092525E">
        <w:t>2023</w:t>
      </w:r>
      <w:r w:rsidR="000A4B39">
        <w:t xml:space="preserve"> that the second respondent marked the documents as confidential. It was only </w:t>
      </w:r>
      <w:r w:rsidR="004D5D44">
        <w:t>t</w:t>
      </w:r>
      <w:r w:rsidR="000A4B39">
        <w:t xml:space="preserve">hen the applicant could know what documents had been carved out </w:t>
      </w:r>
      <w:r w:rsidR="002E4F35">
        <w:t xml:space="preserve">so </w:t>
      </w:r>
      <w:r w:rsidR="000A4B39">
        <w:t xml:space="preserve">that it could launch these proceedings. </w:t>
      </w:r>
      <w:r w:rsidR="0092525E">
        <w:t xml:space="preserve">The parties then sought to resolve the issue through communications and it was only on 27 July 2023 that it was apparent that that engagement would not yield a fruitful result.  </w:t>
      </w:r>
      <w:r w:rsidR="004D5D44">
        <w:t xml:space="preserve">The application was </w:t>
      </w:r>
      <w:r w:rsidR="0092525E">
        <w:t>then launched within a couple of days</w:t>
      </w:r>
      <w:r w:rsidR="002E4F35">
        <w:t xml:space="preserve">. </w:t>
      </w:r>
      <w:r w:rsidR="004D5D44">
        <w:t xml:space="preserve">  </w:t>
      </w:r>
      <w:r w:rsidR="000A4B39">
        <w:t>The second respondent was provided a week to respond.  The Court is not persuaded that the applicant has delayed the institution of these proceedings.</w:t>
      </w:r>
    </w:p>
    <w:p w14:paraId="62EBE443" w14:textId="1AF7E07C" w:rsidR="00513DA8" w:rsidRDefault="000E0339" w:rsidP="000E0339">
      <w:pPr>
        <w:pStyle w:val="Paragraph12pt"/>
        <w:tabs>
          <w:tab w:val="left" w:pos="851"/>
        </w:tabs>
        <w:ind w:left="851" w:hanging="851"/>
      </w:pPr>
      <w:r>
        <w:rPr>
          <w:rFonts w:cs="Arial"/>
          <w:color w:val="000000"/>
          <w:szCs w:val="24"/>
        </w:rPr>
        <w:t>46</w:t>
      </w:r>
      <w:r>
        <w:rPr>
          <w:rFonts w:cs="Arial"/>
          <w:color w:val="000000"/>
          <w:szCs w:val="24"/>
        </w:rPr>
        <w:tab/>
      </w:r>
      <w:r w:rsidR="00513DA8">
        <w:t xml:space="preserve">The application raises issues of public importance, the particular facts indicates a concern regarding the </w:t>
      </w:r>
      <w:r w:rsidR="00C7230A">
        <w:t>implementation</w:t>
      </w:r>
      <w:r w:rsidR="00513DA8">
        <w:t xml:space="preserve"> of the tender, the applicant has </w:t>
      </w:r>
      <w:r w:rsidR="00C7230A">
        <w:t>not</w:t>
      </w:r>
      <w:r w:rsidR="00513DA8">
        <w:t xml:space="preserve"> delayed the </w:t>
      </w:r>
      <w:r w:rsidR="00C7230A">
        <w:t>in</w:t>
      </w:r>
      <w:r w:rsidR="002E4F35">
        <w:t>stitu</w:t>
      </w:r>
      <w:r w:rsidR="00C7230A">
        <w:t>tion</w:t>
      </w:r>
      <w:r w:rsidR="00513DA8">
        <w:t xml:space="preserve"> of these proceedings and there is </w:t>
      </w:r>
      <w:r w:rsidR="00C7230A">
        <w:t>limited</w:t>
      </w:r>
      <w:r w:rsidR="00513DA8">
        <w:t xml:space="preserve"> recour</w:t>
      </w:r>
      <w:r w:rsidR="00C7230A">
        <w:t>se for the applicant in the ordinary course</w:t>
      </w:r>
      <w:r w:rsidR="00513DA8">
        <w:t xml:space="preserve">.  It weighs with the court that </w:t>
      </w:r>
      <w:r w:rsidR="00C7230A">
        <w:t>t</w:t>
      </w:r>
      <w:r w:rsidR="00513DA8">
        <w:t xml:space="preserve">he longer it takes </w:t>
      </w:r>
      <w:r w:rsidR="00FE2229">
        <w:t>for</w:t>
      </w:r>
      <w:r w:rsidR="00513DA8">
        <w:t xml:space="preserve"> the matter to be properly argued, the more advanced the </w:t>
      </w:r>
      <w:r w:rsidR="00C7230A">
        <w:t>implementation of the tender</w:t>
      </w:r>
      <w:r w:rsidR="00513DA8">
        <w:t xml:space="preserve"> become</w:t>
      </w:r>
      <w:r w:rsidR="00C7230A">
        <w:t xml:space="preserve">s and the harder </w:t>
      </w:r>
      <w:r w:rsidR="00513DA8">
        <w:t>it will be for the review court to be able to consi</w:t>
      </w:r>
      <w:r w:rsidR="00C7230A">
        <w:t>d</w:t>
      </w:r>
      <w:r w:rsidR="00513DA8">
        <w:t xml:space="preserve">er an effective remedy in the event the review is upheld.  </w:t>
      </w:r>
    </w:p>
    <w:p w14:paraId="70430BB6" w14:textId="556B931F" w:rsidR="002D0300" w:rsidRDefault="000E0339" w:rsidP="000E0339">
      <w:pPr>
        <w:pStyle w:val="Paragraph12pt"/>
        <w:tabs>
          <w:tab w:val="left" w:pos="851"/>
        </w:tabs>
        <w:ind w:left="851" w:hanging="851"/>
      </w:pPr>
      <w:r>
        <w:rPr>
          <w:rFonts w:cs="Arial"/>
          <w:color w:val="000000"/>
          <w:szCs w:val="24"/>
        </w:rPr>
        <w:t>47</w:t>
      </w:r>
      <w:r>
        <w:rPr>
          <w:rFonts w:cs="Arial"/>
          <w:color w:val="000000"/>
          <w:szCs w:val="24"/>
        </w:rPr>
        <w:tab/>
      </w:r>
      <w:r w:rsidR="00513DA8">
        <w:t xml:space="preserve">For all </w:t>
      </w:r>
      <w:r w:rsidR="00B14E5B">
        <w:t xml:space="preserve">these reasons, the </w:t>
      </w:r>
      <w:r w:rsidR="00C21D2E">
        <w:t>applicants</w:t>
      </w:r>
      <w:r w:rsidR="00251D94">
        <w:t xml:space="preserve"> have satisfied the test for an urgent audience.</w:t>
      </w:r>
    </w:p>
    <w:p w14:paraId="5E0A71C2" w14:textId="77777777" w:rsidR="002D0300" w:rsidRPr="002D0300" w:rsidRDefault="002D0300" w:rsidP="002D0300">
      <w:pPr>
        <w:pStyle w:val="Paragraph12pt"/>
        <w:rPr>
          <w:b/>
          <w:bCs/>
        </w:rPr>
      </w:pPr>
      <w:r w:rsidRPr="002D0300">
        <w:rPr>
          <w:b/>
          <w:bCs/>
        </w:rPr>
        <w:t>Costs</w:t>
      </w:r>
    </w:p>
    <w:p w14:paraId="195DAA4C" w14:textId="53288B0F" w:rsidR="002D0300" w:rsidRPr="00097BFE" w:rsidRDefault="000E0339" w:rsidP="000E0339">
      <w:pPr>
        <w:pStyle w:val="Paragraph12pt"/>
        <w:tabs>
          <w:tab w:val="left" w:pos="851"/>
        </w:tabs>
        <w:ind w:left="851" w:hanging="851"/>
      </w:pPr>
      <w:r w:rsidRPr="00097BFE">
        <w:rPr>
          <w:rFonts w:cs="Arial"/>
          <w:color w:val="000000"/>
          <w:szCs w:val="24"/>
        </w:rPr>
        <w:t>48</w:t>
      </w:r>
      <w:r w:rsidRPr="00097BFE">
        <w:rPr>
          <w:rFonts w:cs="Arial"/>
          <w:color w:val="000000"/>
          <w:szCs w:val="24"/>
        </w:rPr>
        <w:tab/>
      </w:r>
      <w:r w:rsidR="002D0300">
        <w:rPr>
          <w:rFonts w:ascii="ArialMT" w:hAnsi="ArialMT"/>
        </w:rPr>
        <w:t>The applicant has been successful in its application</w:t>
      </w:r>
      <w:r w:rsidR="00A84970">
        <w:rPr>
          <w:rFonts w:ascii="ArialMT" w:hAnsi="ArialMT"/>
        </w:rPr>
        <w:t>.</w:t>
      </w:r>
      <w:r w:rsidR="002D0300">
        <w:rPr>
          <w:rFonts w:ascii="ArialMT" w:hAnsi="ArialMT"/>
        </w:rPr>
        <w:t xml:space="preserve"> </w:t>
      </w:r>
      <w:r w:rsidR="00A84970">
        <w:rPr>
          <w:rFonts w:ascii="ArialMT" w:hAnsi="ArialMT"/>
        </w:rPr>
        <w:t>O</w:t>
      </w:r>
      <w:r w:rsidR="002D0300">
        <w:rPr>
          <w:rFonts w:ascii="ArialMT" w:hAnsi="ArialMT"/>
        </w:rPr>
        <w:t xml:space="preserve">n this basis alone it is entitled to its costs.  The applicant’s litigation was motivated by its rights to access to court and just administrative action.  </w:t>
      </w:r>
      <w:r w:rsidR="00097BFE">
        <w:rPr>
          <w:rFonts w:ascii="ArialMT" w:hAnsi="ArialMT"/>
        </w:rPr>
        <w:t xml:space="preserve">As it was litigating to vindicate constitutional rights it is entitled to its costs on this basis also. </w:t>
      </w:r>
    </w:p>
    <w:p w14:paraId="742B47FE" w14:textId="034397F0" w:rsidR="00097BFE" w:rsidRPr="002D0300" w:rsidRDefault="000E0339" w:rsidP="000E0339">
      <w:pPr>
        <w:pStyle w:val="Paragraph12pt"/>
        <w:tabs>
          <w:tab w:val="left" w:pos="851"/>
        </w:tabs>
        <w:ind w:left="851" w:hanging="851"/>
      </w:pPr>
      <w:r w:rsidRPr="002D0300">
        <w:rPr>
          <w:rFonts w:cs="Arial"/>
          <w:color w:val="000000"/>
          <w:szCs w:val="24"/>
        </w:rPr>
        <w:lastRenderedPageBreak/>
        <w:t>49</w:t>
      </w:r>
      <w:r w:rsidRPr="002D0300">
        <w:rPr>
          <w:rFonts w:cs="Arial"/>
          <w:color w:val="000000"/>
          <w:szCs w:val="24"/>
        </w:rPr>
        <w:tab/>
      </w:r>
      <w:r w:rsidR="00097BFE">
        <w:rPr>
          <w:rFonts w:ascii="ArialMT" w:hAnsi="ArialMT"/>
        </w:rPr>
        <w:t>The applicant has asked for a punitive costs order. The factors that are relevant in this regard are that</w:t>
      </w:r>
      <w:r w:rsidR="00097BFE">
        <w:t xml:space="preserve"> </w:t>
      </w:r>
      <w:r w:rsidR="00097BFE">
        <w:rPr>
          <w:rFonts w:ascii="ArialMT" w:hAnsi="ArialMT"/>
        </w:rPr>
        <w:t xml:space="preserve">the applicant had to institute these proceedings before the second respondent released portions of the bid that it had previously marked as confidential.  These portions were only released on 16 August 2023.  </w:t>
      </w:r>
      <w:r w:rsidR="00FE2229">
        <w:rPr>
          <w:rFonts w:ascii="ArialMT" w:hAnsi="ArialMT"/>
        </w:rPr>
        <w:t>In addition, s</w:t>
      </w:r>
      <w:r w:rsidR="00097BFE" w:rsidRPr="002D0300">
        <w:rPr>
          <w:rFonts w:ascii="ArialMT" w:hAnsi="ArialMT"/>
        </w:rPr>
        <w:t xml:space="preserve">ignificant portions of the second respondent’s bid that were not confidential were marked as confidential on 4 July 2023. These non-confidential portions of the bid were only released from the confidentiality agreement on 16 August 2023 after the applicant instituted this application, and two days before the hearing on 18 August 2023. These documents should never have been marked confidential. </w:t>
      </w:r>
      <w:r w:rsidR="00097BFE">
        <w:rPr>
          <w:rFonts w:ascii="ArialMT" w:hAnsi="ArialMT"/>
        </w:rPr>
        <w:t xml:space="preserve">The applicant was justified in launching these proceedings. </w:t>
      </w:r>
    </w:p>
    <w:p w14:paraId="2A28C8EC" w14:textId="363DFDEF" w:rsidR="00097BFE" w:rsidRDefault="000E0339" w:rsidP="000E0339">
      <w:pPr>
        <w:pStyle w:val="Paragraph12pt"/>
        <w:tabs>
          <w:tab w:val="left" w:pos="851"/>
        </w:tabs>
        <w:ind w:left="851" w:hanging="851"/>
      </w:pPr>
      <w:r>
        <w:rPr>
          <w:rFonts w:cs="Arial"/>
          <w:color w:val="000000"/>
          <w:szCs w:val="24"/>
        </w:rPr>
        <w:t>50</w:t>
      </w:r>
      <w:r>
        <w:rPr>
          <w:rFonts w:cs="Arial"/>
          <w:color w:val="000000"/>
          <w:szCs w:val="24"/>
        </w:rPr>
        <w:tab/>
      </w:r>
      <w:r w:rsidR="00097BFE">
        <w:t>The applicant further contends that:</w:t>
      </w:r>
    </w:p>
    <w:p w14:paraId="5B20E3E1" w14:textId="407A7DEF" w:rsidR="00097BFE" w:rsidRPr="00097BFE" w:rsidRDefault="000E0339" w:rsidP="000E0339">
      <w:pPr>
        <w:pStyle w:val="Paragraph12pt"/>
        <w:tabs>
          <w:tab w:val="left" w:pos="1814"/>
        </w:tabs>
        <w:ind w:left="1814" w:hanging="963"/>
      </w:pPr>
      <w:r w:rsidRPr="00097BFE">
        <w:t>50.1</w:t>
      </w:r>
      <w:r w:rsidRPr="00097BFE">
        <w:tab/>
      </w:r>
      <w:r w:rsidR="00866292" w:rsidRPr="00097BFE">
        <w:rPr>
          <w:rFonts w:ascii="ArialMT" w:hAnsi="ArialMT"/>
        </w:rPr>
        <w:t>The second respondent claimed confidentiality over documents that did not contain any information relating to the second respondent, for example, the Price Schedule that was not completed by the second respondent</w:t>
      </w:r>
      <w:r w:rsidR="0092525E">
        <w:rPr>
          <w:rFonts w:ascii="ArialMT" w:hAnsi="ArialMT"/>
        </w:rPr>
        <w:t xml:space="preserve">.  </w:t>
      </w:r>
    </w:p>
    <w:p w14:paraId="47200A06" w14:textId="79DD7911" w:rsidR="00097BFE" w:rsidRPr="00097BFE" w:rsidRDefault="000E0339" w:rsidP="000E0339">
      <w:pPr>
        <w:pStyle w:val="Paragraph12pt"/>
        <w:tabs>
          <w:tab w:val="left" w:pos="1814"/>
        </w:tabs>
        <w:ind w:left="1814" w:hanging="963"/>
      </w:pPr>
      <w:r w:rsidRPr="00097BFE">
        <w:t>50.2</w:t>
      </w:r>
      <w:r w:rsidRPr="00097BFE">
        <w:tab/>
      </w:r>
      <w:r w:rsidR="00866292" w:rsidRPr="00097BFE">
        <w:rPr>
          <w:rFonts w:ascii="ArialMT" w:hAnsi="ArialMT"/>
        </w:rPr>
        <w:t xml:space="preserve">The second respondent refused to provide the applicant’s counsel, attorney and expert with copies of the documents marked as confidential in terms of a confidentiality agreement. Copies of the documents marked as confidential were only provided to the applicant’s legal team and expert on 18 August 2023. This was in breach of the confidentiality agreement and caused significant delays and prejudice to the applicant in the prosecution of the review. </w:t>
      </w:r>
    </w:p>
    <w:p w14:paraId="6B9D60B8" w14:textId="6F21AC57" w:rsidR="00866292" w:rsidRDefault="000E0339" w:rsidP="000E0339">
      <w:pPr>
        <w:pStyle w:val="Paragraph12pt"/>
        <w:tabs>
          <w:tab w:val="left" w:pos="851"/>
        </w:tabs>
        <w:ind w:left="851" w:hanging="851"/>
      </w:pPr>
      <w:r>
        <w:rPr>
          <w:rFonts w:cs="Arial"/>
          <w:color w:val="000000"/>
          <w:szCs w:val="24"/>
        </w:rPr>
        <w:lastRenderedPageBreak/>
        <w:t>51</w:t>
      </w:r>
      <w:r>
        <w:rPr>
          <w:rFonts w:cs="Arial"/>
          <w:color w:val="000000"/>
          <w:szCs w:val="24"/>
        </w:rPr>
        <w:tab/>
      </w:r>
      <w:r w:rsidR="0092525E">
        <w:rPr>
          <w:rFonts w:ascii="ArialMT" w:hAnsi="ArialMT"/>
        </w:rPr>
        <w:t xml:space="preserve">The Court weighs that the second respondent delayed to mark the documents, missed its own imposed deadlines and then marked documents confidential only to release them after these proceedings were launched. It further weighs with the Court that the second respondent claimed confidentiality over documents where it failed to provide a factual basis for this claim. </w:t>
      </w:r>
      <w:r w:rsidR="00866292" w:rsidRPr="00097BFE">
        <w:rPr>
          <w:rFonts w:ascii="ArialMT" w:hAnsi="ArialMT"/>
        </w:rPr>
        <w:t>The Court express</w:t>
      </w:r>
      <w:r w:rsidR="00097BFE">
        <w:rPr>
          <w:rFonts w:ascii="ArialMT" w:hAnsi="ArialMT"/>
        </w:rPr>
        <w:t>es</w:t>
      </w:r>
      <w:r w:rsidR="00866292" w:rsidRPr="00097BFE">
        <w:rPr>
          <w:rFonts w:ascii="ArialMT" w:hAnsi="ArialMT"/>
        </w:rPr>
        <w:t xml:space="preserve"> its displeasure with the second respondent’s conduct in this application by awarding costs on a punitive scale. </w:t>
      </w:r>
    </w:p>
    <w:p w14:paraId="294B2227" w14:textId="1CC2015D" w:rsidR="00FB083C" w:rsidRPr="00FB083C" w:rsidRDefault="00FB083C" w:rsidP="00FB083C">
      <w:pPr>
        <w:pStyle w:val="Paragraph12pt"/>
        <w:rPr>
          <w:b/>
        </w:rPr>
      </w:pPr>
      <w:r w:rsidRPr="00FB083C">
        <w:rPr>
          <w:b/>
          <w:lang w:val="en-GB"/>
        </w:rPr>
        <w:t>Order</w:t>
      </w:r>
    </w:p>
    <w:p w14:paraId="1A985C96" w14:textId="67096983" w:rsidR="00097BFE" w:rsidRDefault="000E0339" w:rsidP="000E0339">
      <w:pPr>
        <w:pStyle w:val="Paragraph12pt"/>
        <w:tabs>
          <w:tab w:val="left" w:pos="851"/>
        </w:tabs>
        <w:ind w:left="851" w:hanging="851"/>
      </w:pPr>
      <w:r>
        <w:rPr>
          <w:rFonts w:cs="Arial"/>
          <w:color w:val="000000"/>
          <w:szCs w:val="24"/>
        </w:rPr>
        <w:t>52</w:t>
      </w:r>
      <w:r>
        <w:rPr>
          <w:rFonts w:cs="Arial"/>
          <w:color w:val="000000"/>
          <w:szCs w:val="24"/>
        </w:rPr>
        <w:tab/>
      </w:r>
      <w:r w:rsidR="00356173">
        <w:t>The following order is made:</w:t>
      </w:r>
    </w:p>
    <w:p w14:paraId="481AEFAD" w14:textId="1AD135CB" w:rsidR="00920556" w:rsidRDefault="000E0339" w:rsidP="000E0339">
      <w:pPr>
        <w:pStyle w:val="Paragraph12pt"/>
        <w:tabs>
          <w:tab w:val="left" w:pos="1814"/>
        </w:tabs>
        <w:ind w:left="1814" w:hanging="963"/>
      </w:pPr>
      <w:r>
        <w:t>52.1</w:t>
      </w:r>
      <w:r>
        <w:tab/>
      </w:r>
      <w:r w:rsidR="00356173">
        <w:t>The</w:t>
      </w:r>
      <w:r w:rsidR="009D6B0F">
        <w:t xml:space="preserve"> forms and service provided for in the Uniform Rules of Court </w:t>
      </w:r>
      <w:r w:rsidR="00356173">
        <w:t>are dispensed with and the application is</w:t>
      </w:r>
      <w:r w:rsidR="009D6B0F">
        <w:t xml:space="preserve"> heard on an urgent basis in terms of Uniform Rule 6(12)(a).</w:t>
      </w:r>
    </w:p>
    <w:p w14:paraId="617AD46C" w14:textId="650C1011" w:rsidR="0060750A" w:rsidRDefault="000E0339" w:rsidP="000E0339">
      <w:pPr>
        <w:pStyle w:val="Paragraph12pt"/>
        <w:tabs>
          <w:tab w:val="left" w:pos="1814"/>
        </w:tabs>
        <w:ind w:left="1814" w:hanging="963"/>
      </w:pPr>
      <w:r>
        <w:t>52.2</w:t>
      </w:r>
      <w:r>
        <w:tab/>
      </w:r>
      <w:r w:rsidR="00356173">
        <w:t xml:space="preserve">The </w:t>
      </w:r>
      <w:r w:rsidR="0060750A">
        <w:t xml:space="preserve">second </w:t>
      </w:r>
      <w:r w:rsidR="004A116E">
        <w:t>respondent’s</w:t>
      </w:r>
      <w:r w:rsidR="0060750A">
        <w:t xml:space="preserve"> claims of confidentiality over the documents that form the subject of the confidentiality agreement</w:t>
      </w:r>
      <w:r w:rsidR="00356173">
        <w:t xml:space="preserve"> is set aside, specifically</w:t>
      </w:r>
    </w:p>
    <w:p w14:paraId="53BD2499" w14:textId="2966BA76" w:rsidR="0060750A" w:rsidRDefault="000E0339" w:rsidP="000E0339">
      <w:pPr>
        <w:pStyle w:val="Paragraph12pt"/>
        <w:tabs>
          <w:tab w:val="left" w:pos="2835"/>
        </w:tabs>
        <w:ind w:left="2835" w:hanging="1417"/>
      </w:pPr>
      <w:r>
        <w:t>52.2.1</w:t>
      </w:r>
      <w:r>
        <w:tab/>
      </w:r>
      <w:r w:rsidR="0060750A">
        <w:t xml:space="preserve">The </w:t>
      </w:r>
      <w:r w:rsidR="004A116E">
        <w:t>portions of the</w:t>
      </w:r>
      <w:r w:rsidR="00CA76F4">
        <w:t xml:space="preserve"> second</w:t>
      </w:r>
      <w:r w:rsidR="004A116E">
        <w:t xml:space="preserve"> respondent’s bid marked confidential.</w:t>
      </w:r>
    </w:p>
    <w:p w14:paraId="7848E1B7" w14:textId="43442C5D" w:rsidR="0060750A" w:rsidRDefault="000E0339" w:rsidP="000E0339">
      <w:pPr>
        <w:pStyle w:val="Paragraph12pt"/>
        <w:tabs>
          <w:tab w:val="left" w:pos="2835"/>
        </w:tabs>
        <w:ind w:left="2835" w:hanging="1417"/>
      </w:pPr>
      <w:r>
        <w:t>52.2.2</w:t>
      </w:r>
      <w:r>
        <w:tab/>
      </w:r>
      <w:r w:rsidR="004A116E">
        <w:t>The price schedule attached to the letter of award.</w:t>
      </w:r>
    </w:p>
    <w:p w14:paraId="5A72452B" w14:textId="3A6802E7" w:rsidR="004A116E" w:rsidRDefault="000E0339" w:rsidP="000E0339">
      <w:pPr>
        <w:pStyle w:val="Paragraph12pt"/>
        <w:tabs>
          <w:tab w:val="left" w:pos="2835"/>
        </w:tabs>
        <w:ind w:left="2835" w:hanging="1417"/>
      </w:pPr>
      <w:r>
        <w:t>52.2.3</w:t>
      </w:r>
      <w:r>
        <w:tab/>
      </w:r>
      <w:r w:rsidR="004A116E">
        <w:t>The Service Level Agreement concluded between the first and the second respondents. The second respondent is directed to provide the annexures to this agreement.</w:t>
      </w:r>
    </w:p>
    <w:p w14:paraId="290EC595" w14:textId="10D0EEDB" w:rsidR="004A116E" w:rsidRDefault="000E0339" w:rsidP="000E0339">
      <w:pPr>
        <w:pStyle w:val="Paragraph12pt"/>
        <w:tabs>
          <w:tab w:val="left" w:pos="2835"/>
        </w:tabs>
        <w:ind w:left="2835" w:hanging="1417"/>
      </w:pPr>
      <w:r>
        <w:lastRenderedPageBreak/>
        <w:t>52.2.4</w:t>
      </w:r>
      <w:r>
        <w:tab/>
      </w:r>
      <w:r w:rsidR="00356173">
        <w:t>The d</w:t>
      </w:r>
      <w:r w:rsidR="004A116E">
        <w:t>ocuments withheld from the BEC Report consisting of CV’s of the second respondent’s key personnel.</w:t>
      </w:r>
    </w:p>
    <w:p w14:paraId="11A2A220" w14:textId="507E1AA4" w:rsidR="004A116E" w:rsidRDefault="000E0339" w:rsidP="000E0339">
      <w:pPr>
        <w:pStyle w:val="Paragraph12pt"/>
        <w:tabs>
          <w:tab w:val="left" w:pos="1814"/>
        </w:tabs>
        <w:ind w:left="1814" w:hanging="963"/>
      </w:pPr>
      <w:r>
        <w:t>52.3</w:t>
      </w:r>
      <w:r>
        <w:tab/>
      </w:r>
      <w:r w:rsidR="00356173">
        <w:t>The Court directs</w:t>
      </w:r>
      <w:r w:rsidR="004A116E">
        <w:t xml:space="preserve"> the first respondent to deliver the documents that have been released from the confidentiality agreement as part of the record and to upload the documents to caselines and made available to the applicant.</w:t>
      </w:r>
    </w:p>
    <w:p w14:paraId="6CA56829" w14:textId="76F2824F" w:rsidR="004A116E" w:rsidRDefault="000E0339" w:rsidP="000E0339">
      <w:pPr>
        <w:pStyle w:val="Paragraph12pt"/>
        <w:tabs>
          <w:tab w:val="left" w:pos="1814"/>
        </w:tabs>
        <w:ind w:left="1814" w:hanging="963"/>
      </w:pPr>
      <w:r>
        <w:t>52</w:t>
      </w:r>
      <w:bookmarkStart w:id="0" w:name="_GoBack"/>
      <w:bookmarkEnd w:id="0"/>
      <w:r>
        <w:t>.4</w:t>
      </w:r>
      <w:r>
        <w:tab/>
      </w:r>
      <w:r w:rsidR="004A116E">
        <w:t>The second respondent is to pay the costs of this application on an attorney and client scale.</w:t>
      </w:r>
    </w:p>
    <w:p w14:paraId="015426F3" w14:textId="56BB9FE9" w:rsidR="00097BFE" w:rsidRDefault="000E0339" w:rsidP="000E0339">
      <w:pPr>
        <w:pStyle w:val="Paragraph12pt"/>
        <w:tabs>
          <w:tab w:val="left" w:pos="1814"/>
        </w:tabs>
        <w:ind w:left="1814" w:hanging="963"/>
      </w:pPr>
      <w:r>
        <w:t>52.5</w:t>
      </w:r>
      <w:r>
        <w:tab/>
      </w:r>
      <w:r w:rsidR="00097BFE">
        <w:t xml:space="preserve">The numbers, addresses and other private information of the key personnel must be redacted in the Court file which appears on caselines.  </w:t>
      </w:r>
    </w:p>
    <w:p w14:paraId="2FFE60A2" w14:textId="782B75DD" w:rsidR="00FE593E" w:rsidRDefault="004E79E3" w:rsidP="004E79E3">
      <w:pPr>
        <w:pStyle w:val="Paragraph12pt"/>
        <w:spacing w:after="0" w:line="240" w:lineRule="auto"/>
        <w:ind w:left="7200"/>
      </w:pPr>
      <w:r>
        <w:rPr>
          <w:noProof/>
          <w:lang w:val="en-US" w:eastAsia="en-US"/>
        </w:rPr>
        <w:drawing>
          <wp:inline distT="0" distB="0" distL="0" distR="0" wp14:anchorId="3655948D" wp14:editId="7F8123AF">
            <wp:extent cx="1211805" cy="737870"/>
            <wp:effectExtent l="0" t="0" r="0" b="0"/>
            <wp:docPr id="14722909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290995" name="Picture 1472290995"/>
                    <pic:cNvPicPr/>
                  </pic:nvPicPr>
                  <pic:blipFill>
                    <a:blip r:embed="rId9">
                      <a:alphaModFix/>
                      <a:extLst>
                        <a:ext uri="{BEBA8EAE-BF5A-486C-A8C5-ECC9F3942E4B}">
                          <a14:imgProps xmlns:a14="http://schemas.microsoft.com/office/drawing/2010/main">
                            <a14:imgLayer r:embed="rId10">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25264" cy="746066"/>
                    </a:xfrm>
                    <a:prstGeom prst="rect">
                      <a:avLst/>
                    </a:prstGeom>
                  </pic:spPr>
                </pic:pic>
              </a:graphicData>
            </a:graphic>
          </wp:inline>
        </w:drawing>
      </w:r>
      <w:r>
        <w:fldChar w:fldCharType="begin"/>
      </w:r>
      <w:r>
        <w:instrText xml:space="preserve"> INCLUDEPICTURE "cid:FB16774C-1179-4D46-B13C-0188050C6C88" \* MERGEFORMATINET </w:instrText>
      </w:r>
      <w:r>
        <w:fldChar w:fldCharType="separate"/>
      </w:r>
      <w:r>
        <w:rPr>
          <w:noProof/>
          <w:lang w:val="en-US" w:eastAsia="en-US"/>
        </w:rPr>
        <mc:AlternateContent>
          <mc:Choice Requires="wps">
            <w:drawing>
              <wp:inline distT="0" distB="0" distL="0" distR="0" wp14:anchorId="41AF6E34" wp14:editId="3EF3396A">
                <wp:extent cx="302895" cy="302895"/>
                <wp:effectExtent l="0" t="0" r="0" b="0"/>
                <wp:docPr id="765271781" name="Rectangle 1" descr="eSi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13CD7" id="Rectangle 1" o:spid="_x0000_s1026" alt="eSig.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r>
        <w:fldChar w:fldCharType="end"/>
      </w:r>
      <w:r w:rsidRPr="004E79E3">
        <w:t xml:space="preserve"> </w:t>
      </w:r>
      <w:r>
        <w:fldChar w:fldCharType="begin"/>
      </w:r>
      <w:r>
        <w:instrText xml:space="preserve"> INCLUDEPICTURE "cid:FB16774C-1179-4D46-B13C-0188050C6C88" \* MERGEFORMATINET </w:instrText>
      </w:r>
      <w:r>
        <w:fldChar w:fldCharType="separate"/>
      </w:r>
      <w:r>
        <w:rPr>
          <w:noProof/>
          <w:lang w:val="en-US" w:eastAsia="en-US"/>
        </w:rPr>
        <mc:AlternateContent>
          <mc:Choice Requires="wps">
            <w:drawing>
              <wp:inline distT="0" distB="0" distL="0" distR="0" wp14:anchorId="23B6E724" wp14:editId="6042F4FC">
                <wp:extent cx="302895" cy="302895"/>
                <wp:effectExtent l="0" t="0" r="0" b="0"/>
                <wp:docPr id="947330577" name="Rectangle 2" descr="eSi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6B1D2D" id="Rectangle 2" o:spid="_x0000_s1026" alt="eSig.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r>
        <w:fldChar w:fldCharType="end"/>
      </w:r>
      <w:r w:rsidRPr="004E79E3">
        <w:t xml:space="preserve"> </w:t>
      </w:r>
      <w:r>
        <w:fldChar w:fldCharType="begin"/>
      </w:r>
      <w:r>
        <w:instrText xml:space="preserve"> INCLUDEPICTURE "cid:FB16774C-1179-4D46-B13C-0188050C6C88" \* MERGEFORMATINET </w:instrText>
      </w:r>
      <w:r>
        <w:fldChar w:fldCharType="separate"/>
      </w:r>
      <w:r>
        <w:rPr>
          <w:noProof/>
          <w:lang w:val="en-US" w:eastAsia="en-US"/>
        </w:rPr>
        <mc:AlternateContent>
          <mc:Choice Requires="wps">
            <w:drawing>
              <wp:inline distT="0" distB="0" distL="0" distR="0" wp14:anchorId="10D6FBB7" wp14:editId="494B6481">
                <wp:extent cx="302895" cy="302895"/>
                <wp:effectExtent l="0" t="0" r="0" b="0"/>
                <wp:docPr id="404090430" name="Rectangle 3" descr="eSi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63429" id="Rectangle 3" o:spid="_x0000_s1026" alt="eSig.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r>
        <w:fldChar w:fldCharType="end"/>
      </w:r>
    </w:p>
    <w:p w14:paraId="16F1CDB0" w14:textId="037884B3" w:rsidR="00FE593E" w:rsidRPr="00FE593E" w:rsidRDefault="004E79E3" w:rsidP="006B6CE8">
      <w:pPr>
        <w:pStyle w:val="Paragraph12pt"/>
        <w:spacing w:after="0" w:line="240" w:lineRule="auto"/>
        <w:jc w:val="right"/>
        <w:rPr>
          <w:b/>
          <w:bCs/>
        </w:rPr>
      </w:pPr>
      <w:r>
        <w:rPr>
          <w:b/>
          <w:bCs/>
        </w:rPr>
        <w:t>I DE VOS</w:t>
      </w:r>
    </w:p>
    <w:p w14:paraId="519159CC" w14:textId="5AE0BFFD" w:rsidR="00A00DAC" w:rsidRDefault="004E79E3" w:rsidP="00BA0C0C">
      <w:pPr>
        <w:pStyle w:val="Paragraph12pt"/>
        <w:spacing w:after="0" w:line="240" w:lineRule="auto"/>
        <w:jc w:val="right"/>
      </w:pPr>
      <w:r>
        <w:t xml:space="preserve">Acting </w:t>
      </w:r>
      <w:r w:rsidR="00FE593E" w:rsidRPr="00FE593E">
        <w:t>Judge of the High Court</w:t>
      </w:r>
    </w:p>
    <w:p w14:paraId="1AF4E6A8" w14:textId="77777777" w:rsidR="00A51101" w:rsidRDefault="00A51101" w:rsidP="00BA0C0C">
      <w:pPr>
        <w:pStyle w:val="Paragraph12pt"/>
        <w:spacing w:after="0" w:line="240" w:lineRule="auto"/>
        <w:jc w:val="right"/>
      </w:pPr>
    </w:p>
    <w:p w14:paraId="540D0176" w14:textId="458E732E" w:rsidR="00A51101" w:rsidRDefault="00A51101" w:rsidP="00A51101">
      <w:pPr>
        <w:pStyle w:val="Paragraph12pt"/>
        <w:spacing w:after="0" w:line="240" w:lineRule="auto"/>
      </w:pPr>
      <w:r w:rsidRPr="00973E9F">
        <w:t xml:space="preserve">This judgment was prepared by </w:t>
      </w:r>
      <w:r w:rsidR="004A116E">
        <w:t>Irene de Vos</w:t>
      </w:r>
      <w:r w:rsidRPr="00973E9F">
        <w:t>. It is handed down electronically by circulation to the parties or their legal representatives by email, by uploading it to the electronic file of this matter on Caselines, and by publication of the judgment to the South African Legal Information Institute. The dat</w:t>
      </w:r>
      <w:r>
        <w:t xml:space="preserve">e </w:t>
      </w:r>
      <w:r w:rsidR="00DF7C7F">
        <w:t>for hand-down is deemed to be 15</w:t>
      </w:r>
      <w:r>
        <w:t xml:space="preserve"> August </w:t>
      </w:r>
      <w:r w:rsidRPr="00973E9F">
        <w:t>2023.</w:t>
      </w:r>
    </w:p>
    <w:p w14:paraId="30DB356B" w14:textId="77777777" w:rsidR="00F11CA0" w:rsidRDefault="00F11CA0" w:rsidP="00973E9F">
      <w:pPr>
        <w:pStyle w:val="Paragraph12pt"/>
        <w:spacing w:after="0" w:line="240" w:lineRule="auto"/>
      </w:pPr>
    </w:p>
    <w:p w14:paraId="21605095" w14:textId="509DF633" w:rsidR="000315F7" w:rsidRDefault="0051403A" w:rsidP="004F6A2D">
      <w:pPr>
        <w:pStyle w:val="Paragraph12pt"/>
        <w:spacing w:after="0" w:line="240" w:lineRule="auto"/>
        <w:ind w:left="3600" w:hanging="3600"/>
        <w:jc w:val="left"/>
      </w:pPr>
      <w:r>
        <w:t>HEARD ON:</w:t>
      </w:r>
      <w:r>
        <w:tab/>
      </w:r>
      <w:r w:rsidR="004E79E3">
        <w:t>1</w:t>
      </w:r>
      <w:r w:rsidR="0060750A">
        <w:t>8</w:t>
      </w:r>
      <w:r w:rsidR="00104CBB">
        <w:t xml:space="preserve"> </w:t>
      </w:r>
      <w:r w:rsidR="00C61E71">
        <w:t>August</w:t>
      </w:r>
      <w:r w:rsidR="00104CBB">
        <w:t xml:space="preserve"> 2023</w:t>
      </w:r>
      <w:r w:rsidR="0060750A">
        <w:t xml:space="preserve"> and 1 September 2023</w:t>
      </w:r>
    </w:p>
    <w:p w14:paraId="27A5F16E" w14:textId="77777777" w:rsidR="00B06BF0" w:rsidRDefault="00B06BF0" w:rsidP="00A31389">
      <w:pPr>
        <w:pStyle w:val="Paragraph12pt"/>
        <w:spacing w:after="0" w:line="240" w:lineRule="auto"/>
        <w:jc w:val="left"/>
      </w:pPr>
    </w:p>
    <w:p w14:paraId="3E05798E" w14:textId="04AD256D" w:rsidR="00B06BF0" w:rsidRDefault="00104CBB" w:rsidP="00A31389">
      <w:pPr>
        <w:pStyle w:val="Paragraph12pt"/>
        <w:spacing w:after="0" w:line="240" w:lineRule="auto"/>
        <w:jc w:val="left"/>
      </w:pPr>
      <w:r>
        <w:t>DECIDED ON</w:t>
      </w:r>
      <w:r w:rsidR="00B06BF0">
        <w:t>:</w:t>
      </w:r>
      <w:r w:rsidR="00B06BF0">
        <w:tab/>
      </w:r>
      <w:r w:rsidR="00B06BF0">
        <w:tab/>
      </w:r>
      <w:r w:rsidR="00B06BF0">
        <w:tab/>
      </w:r>
      <w:r w:rsidR="00936729">
        <w:t>8</w:t>
      </w:r>
      <w:r w:rsidR="0060750A">
        <w:t xml:space="preserve"> September</w:t>
      </w:r>
      <w:r w:rsidR="00B06BF0">
        <w:t xml:space="preserve"> 2023</w:t>
      </w:r>
    </w:p>
    <w:p w14:paraId="28EFB408" w14:textId="77777777" w:rsidR="00A31389" w:rsidRDefault="00A31389" w:rsidP="00A31389">
      <w:pPr>
        <w:pStyle w:val="Paragraph12pt"/>
        <w:spacing w:after="0" w:line="240" w:lineRule="auto"/>
        <w:jc w:val="left"/>
      </w:pPr>
    </w:p>
    <w:p w14:paraId="253BCC30" w14:textId="05E5A6BF" w:rsidR="00A31389" w:rsidRDefault="0051403A" w:rsidP="00900A71">
      <w:pPr>
        <w:pStyle w:val="Paragraph12pt"/>
        <w:spacing w:after="0" w:line="240" w:lineRule="auto"/>
        <w:jc w:val="left"/>
      </w:pPr>
      <w:r>
        <w:t>For the</w:t>
      </w:r>
      <w:r w:rsidR="00226B2D">
        <w:t xml:space="preserve"> </w:t>
      </w:r>
      <w:r w:rsidR="004E79E3">
        <w:t>Applicant</w:t>
      </w:r>
      <w:r>
        <w:t xml:space="preserve">: </w:t>
      </w:r>
      <w:r>
        <w:tab/>
      </w:r>
      <w:r>
        <w:tab/>
      </w:r>
      <w:r>
        <w:tab/>
      </w:r>
      <w:r w:rsidR="0060750A">
        <w:t>T Prinsloo</w:t>
      </w:r>
    </w:p>
    <w:p w14:paraId="40CBF14C" w14:textId="18879061" w:rsidR="00C00F8A" w:rsidRDefault="001F4149" w:rsidP="00B06BF0">
      <w:pPr>
        <w:pStyle w:val="Paragraph12pt"/>
        <w:spacing w:after="0" w:line="240" w:lineRule="auto"/>
        <w:jc w:val="left"/>
      </w:pPr>
      <w:r>
        <w:tab/>
      </w:r>
      <w:r>
        <w:tab/>
      </w:r>
      <w:r>
        <w:tab/>
      </w:r>
      <w:r>
        <w:tab/>
      </w:r>
      <w:r>
        <w:tab/>
      </w:r>
      <w:r w:rsidR="0060750A">
        <w:t>Instructed</w:t>
      </w:r>
      <w:r w:rsidR="004E79E3">
        <w:t xml:space="preserve"> by </w:t>
      </w:r>
      <w:r w:rsidR="0060750A">
        <w:t>Lowndes Dlamini Inc</w:t>
      </w:r>
    </w:p>
    <w:p w14:paraId="4B3EBF8B" w14:textId="77777777" w:rsidR="000F77C7" w:rsidRDefault="000F77C7" w:rsidP="00B06BF0">
      <w:pPr>
        <w:pStyle w:val="Paragraph12pt"/>
        <w:spacing w:after="0" w:line="240" w:lineRule="auto"/>
        <w:jc w:val="left"/>
      </w:pPr>
    </w:p>
    <w:p w14:paraId="1434F59F" w14:textId="2A1A434E" w:rsidR="00C61E71" w:rsidRDefault="000F77C7" w:rsidP="00B06BF0">
      <w:pPr>
        <w:pStyle w:val="Paragraph12pt"/>
        <w:spacing w:after="0" w:line="240" w:lineRule="auto"/>
        <w:jc w:val="left"/>
      </w:pPr>
      <w:r>
        <w:t>For the</w:t>
      </w:r>
      <w:r w:rsidR="00C61E71">
        <w:t xml:space="preserve"> </w:t>
      </w:r>
      <w:r w:rsidR="0060750A">
        <w:t xml:space="preserve">First </w:t>
      </w:r>
      <w:r w:rsidR="001A3CEE">
        <w:t>Respondent</w:t>
      </w:r>
      <w:r w:rsidR="004F54C9">
        <w:t>:</w:t>
      </w:r>
      <w:r w:rsidR="001A3CEE">
        <w:tab/>
      </w:r>
      <w:r w:rsidR="00C61E71">
        <w:tab/>
      </w:r>
      <w:r w:rsidR="0060750A">
        <w:t>Z Matebese SC</w:t>
      </w:r>
    </w:p>
    <w:p w14:paraId="6156808C" w14:textId="0D758550" w:rsidR="000F77C7" w:rsidRDefault="001A3CEE" w:rsidP="00B06BF0">
      <w:pPr>
        <w:pStyle w:val="Paragraph12pt"/>
        <w:spacing w:after="0" w:line="240" w:lineRule="auto"/>
        <w:jc w:val="left"/>
      </w:pPr>
      <w:r>
        <w:tab/>
      </w:r>
      <w:r>
        <w:tab/>
      </w:r>
      <w:r>
        <w:tab/>
      </w:r>
      <w:r w:rsidR="000F77C7">
        <w:tab/>
      </w:r>
      <w:r w:rsidR="00C61E71">
        <w:tab/>
        <w:t xml:space="preserve">Instructed by </w:t>
      </w:r>
      <w:r w:rsidR="0060750A">
        <w:t>Mahumani Incorporated</w:t>
      </w:r>
    </w:p>
    <w:p w14:paraId="2DD22FBF" w14:textId="77777777" w:rsidR="0060750A" w:rsidRDefault="0060750A" w:rsidP="00B06BF0">
      <w:pPr>
        <w:pStyle w:val="Paragraph12pt"/>
        <w:spacing w:after="0" w:line="240" w:lineRule="auto"/>
        <w:jc w:val="left"/>
      </w:pPr>
    </w:p>
    <w:p w14:paraId="53E597A5" w14:textId="3BABEF13" w:rsidR="0060750A" w:rsidRDefault="0060750A" w:rsidP="00B06BF0">
      <w:pPr>
        <w:pStyle w:val="Paragraph12pt"/>
        <w:spacing w:after="0" w:line="240" w:lineRule="auto"/>
        <w:jc w:val="left"/>
      </w:pPr>
      <w:r>
        <w:lastRenderedPageBreak/>
        <w:t>For the Second Respondent:</w:t>
      </w:r>
      <w:r>
        <w:tab/>
        <w:t>TJ Machaba SC</w:t>
      </w:r>
    </w:p>
    <w:p w14:paraId="5B39C40B" w14:textId="33BF681E" w:rsidR="0060750A" w:rsidRDefault="0060750A" w:rsidP="0060750A">
      <w:pPr>
        <w:pStyle w:val="Paragraph12pt"/>
        <w:spacing w:after="0" w:line="240" w:lineRule="auto"/>
        <w:ind w:left="3600"/>
        <w:jc w:val="left"/>
      </w:pPr>
      <w:r>
        <w:t>Instructed by Kekana Hlatshwayo Radebe Attorneys</w:t>
      </w:r>
    </w:p>
    <w:p w14:paraId="5FA8DD9A" w14:textId="77777777" w:rsidR="0060750A" w:rsidRDefault="0060750A" w:rsidP="00B06BF0">
      <w:pPr>
        <w:pStyle w:val="Paragraph12pt"/>
        <w:spacing w:after="0" w:line="240" w:lineRule="auto"/>
        <w:jc w:val="left"/>
      </w:pPr>
    </w:p>
    <w:p w14:paraId="790FED10" w14:textId="31E18531" w:rsidR="0060750A" w:rsidRDefault="0060750A" w:rsidP="00B06BF0">
      <w:pPr>
        <w:pStyle w:val="Paragraph12pt"/>
        <w:spacing w:after="0" w:line="240" w:lineRule="auto"/>
        <w:jc w:val="left"/>
      </w:pPr>
      <w:r>
        <w:t>For the Third Respondent:</w:t>
      </w:r>
      <w:r>
        <w:tab/>
      </w:r>
      <w:r>
        <w:tab/>
        <w:t>Kruger Attorneys.</w:t>
      </w:r>
    </w:p>
    <w:p w14:paraId="5B080E7F" w14:textId="298E3273" w:rsidR="00384742" w:rsidRPr="00B06BF0" w:rsidRDefault="00384742" w:rsidP="00384742">
      <w:pPr>
        <w:pStyle w:val="Paragraph12pt"/>
        <w:rPr>
          <w:lang w:val="en-GB"/>
        </w:rPr>
      </w:pPr>
    </w:p>
    <w:p w14:paraId="19D00031" w14:textId="050D30BE" w:rsidR="000F77C7" w:rsidRPr="00B06BF0" w:rsidRDefault="000F77C7" w:rsidP="00B06BF0">
      <w:pPr>
        <w:pStyle w:val="Paragraph12pt"/>
        <w:spacing w:after="0" w:line="240" w:lineRule="auto"/>
        <w:jc w:val="left"/>
        <w:rPr>
          <w:lang w:val="en-GB"/>
        </w:rPr>
      </w:pPr>
    </w:p>
    <w:sectPr w:rsidR="000F77C7" w:rsidRPr="00B06BF0" w:rsidSect="007416C3">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489C0" w14:textId="77777777" w:rsidR="0021586A" w:rsidRDefault="0021586A" w:rsidP="00023136">
      <w:r>
        <w:separator/>
      </w:r>
    </w:p>
  </w:endnote>
  <w:endnote w:type="continuationSeparator" w:id="0">
    <w:p w14:paraId="5E92E9B4" w14:textId="77777777" w:rsidR="0021586A" w:rsidRDefault="0021586A"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6B0C1655" w:rsidR="00A12D4A" w:rsidRPr="00E34C05" w:rsidRDefault="00A12D4A">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0E0339">
          <w:rPr>
            <w:noProof/>
            <w:sz w:val="24"/>
            <w:szCs w:val="24"/>
          </w:rPr>
          <w:t>17</w:t>
        </w:r>
        <w:r w:rsidRPr="00E34C05">
          <w:rPr>
            <w:noProof/>
            <w:sz w:val="24"/>
            <w:szCs w:val="24"/>
          </w:rPr>
          <w:fldChar w:fldCharType="end"/>
        </w:r>
      </w:p>
    </w:sdtContent>
  </w:sdt>
  <w:p w14:paraId="2DCAAB9C" w14:textId="77777777" w:rsidR="00A12D4A" w:rsidRDefault="00A12D4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456E0" w14:textId="77777777" w:rsidR="0021586A" w:rsidRDefault="0021586A" w:rsidP="00023136">
      <w:r>
        <w:separator/>
      </w:r>
    </w:p>
  </w:footnote>
  <w:footnote w:type="continuationSeparator" w:id="0">
    <w:p w14:paraId="305643EA" w14:textId="77777777" w:rsidR="0021586A" w:rsidRDefault="0021586A" w:rsidP="00023136">
      <w:r>
        <w:continuationSeparator/>
      </w:r>
    </w:p>
  </w:footnote>
  <w:footnote w:id="1">
    <w:p w14:paraId="04A98D0B" w14:textId="1BC26816" w:rsidR="00835002" w:rsidRPr="00835002" w:rsidRDefault="00835002">
      <w:pPr>
        <w:pStyle w:val="FootnoteText"/>
        <w:rPr>
          <w:lang w:val="en-US"/>
        </w:rPr>
      </w:pPr>
      <w:r>
        <w:rPr>
          <w:rStyle w:val="FootnoteReference"/>
        </w:rPr>
        <w:footnoteRef/>
      </w:r>
      <w:r>
        <w:t xml:space="preserve"> </w:t>
      </w:r>
      <w:r w:rsidR="00FB5991" w:rsidRPr="00FB5991">
        <w:rPr>
          <w:lang w:val="en-ZA"/>
        </w:rPr>
        <w:t>Helen Suzman Foundation v Judicial Service Commission</w:t>
      </w:r>
      <w:r w:rsidR="00FB5991" w:rsidRPr="00FB5991">
        <w:rPr>
          <w:b/>
          <w:bCs/>
          <w:i/>
          <w:iCs/>
          <w:lang w:val="en-ZA"/>
        </w:rPr>
        <w:t xml:space="preserve"> </w:t>
      </w:r>
      <w:r w:rsidR="00FB5991" w:rsidRPr="00FB5991">
        <w:rPr>
          <w:lang w:val="en-ZA"/>
        </w:rPr>
        <w:t xml:space="preserve">2018 (4) SA 1 (CC) </w:t>
      </w:r>
      <w:r w:rsidR="00FB5991">
        <w:rPr>
          <w:lang w:val="en-ZA"/>
        </w:rPr>
        <w:t xml:space="preserve">paras </w:t>
      </w:r>
      <w:r>
        <w:rPr>
          <w:lang w:val="en-US"/>
        </w:rPr>
        <w:t>16 - 19</w:t>
      </w:r>
    </w:p>
  </w:footnote>
  <w:footnote w:id="2">
    <w:p w14:paraId="58E2C854" w14:textId="77777777" w:rsidR="00F23D69" w:rsidRPr="00F23193" w:rsidRDefault="00F23D69" w:rsidP="00F23D69">
      <w:pPr>
        <w:pStyle w:val="FootnoteText"/>
        <w:rPr>
          <w:color w:val="000000" w:themeColor="text1"/>
          <w:lang w:val="en-ZA"/>
        </w:rPr>
      </w:pPr>
      <w:r w:rsidRPr="00F23193">
        <w:rPr>
          <w:rStyle w:val="FootnoteReference"/>
          <w:color w:val="000000" w:themeColor="text1"/>
        </w:rPr>
        <w:footnoteRef/>
      </w:r>
      <w:r w:rsidRPr="00F23193">
        <w:rPr>
          <w:color w:val="000000" w:themeColor="text1"/>
        </w:rPr>
        <w:t xml:space="preserve"> C</w:t>
      </w:r>
      <w:r w:rsidRPr="00F23193">
        <w:rPr>
          <w:color w:val="000000" w:themeColor="text1"/>
          <w:lang w:val="en-ZA"/>
        </w:rPr>
        <w:t xml:space="preserve">rown Cork &amp; Seal Inc and Another v Rheem South Africa (Pty) Ltd and Others 1980 (3) SA 1093 (W), at 1101F </w:t>
      </w:r>
    </w:p>
  </w:footnote>
  <w:footnote w:id="3">
    <w:p w14:paraId="0F2C2120" w14:textId="77777777" w:rsidR="00F23D69" w:rsidRPr="00F23193" w:rsidRDefault="00F23D69" w:rsidP="00F23D69">
      <w:pPr>
        <w:pStyle w:val="FootnoteText"/>
        <w:rPr>
          <w:color w:val="000000" w:themeColor="text1"/>
          <w:lang w:val="en-ZA"/>
        </w:rPr>
      </w:pPr>
      <w:r w:rsidRPr="00F23193">
        <w:rPr>
          <w:rStyle w:val="FootnoteReference"/>
          <w:color w:val="000000" w:themeColor="text1"/>
        </w:rPr>
        <w:footnoteRef/>
      </w:r>
      <w:r w:rsidRPr="00F23193">
        <w:rPr>
          <w:color w:val="000000" w:themeColor="text1"/>
        </w:rPr>
        <w:t xml:space="preserve"> </w:t>
      </w:r>
      <w:r w:rsidRPr="00F23193">
        <w:rPr>
          <w:color w:val="000000" w:themeColor="text1"/>
          <w:lang w:val="en-ZA"/>
        </w:rPr>
        <w:t xml:space="preserve">Tulip Diamonds FZE v Minister of Justice and Constitutional Development and others 2012 (4) SA All SA 401 SCA </w:t>
      </w:r>
      <w:r>
        <w:rPr>
          <w:color w:val="000000" w:themeColor="text1"/>
          <w:lang w:val="en-ZA"/>
        </w:rPr>
        <w:t xml:space="preserve">para </w:t>
      </w:r>
      <w:r w:rsidRPr="00F23193">
        <w:rPr>
          <w:color w:val="000000" w:themeColor="text1"/>
          <w:lang w:val="en-ZA"/>
        </w:rPr>
        <w:t>15</w:t>
      </w:r>
    </w:p>
  </w:footnote>
  <w:footnote w:id="4">
    <w:p w14:paraId="2AFF7D9A" w14:textId="087138C5" w:rsidR="00F23D69" w:rsidRPr="00F23193" w:rsidRDefault="00F23D69" w:rsidP="00F23D69">
      <w:pPr>
        <w:pStyle w:val="FootnoteText"/>
        <w:rPr>
          <w:color w:val="000000" w:themeColor="text1"/>
          <w:lang w:val="en-ZA"/>
        </w:rPr>
      </w:pPr>
      <w:r w:rsidRPr="00F23193">
        <w:rPr>
          <w:rStyle w:val="FootnoteReference"/>
          <w:color w:val="000000" w:themeColor="text1"/>
        </w:rPr>
        <w:footnoteRef/>
      </w:r>
      <w:r w:rsidRPr="00F23193">
        <w:rPr>
          <w:color w:val="000000" w:themeColor="text1"/>
        </w:rPr>
        <w:t xml:space="preserve"> </w:t>
      </w:r>
      <w:r w:rsidRPr="00C865AC">
        <w:rPr>
          <w:color w:val="000000" w:themeColor="text1"/>
          <w:lang w:val="en-ZA"/>
        </w:rPr>
        <w:t>Helen Suzman Foundation v Judicial Service Commission</w:t>
      </w:r>
      <w:r w:rsidRPr="00C865AC">
        <w:rPr>
          <w:b/>
          <w:bCs/>
          <w:i/>
          <w:iCs/>
          <w:color w:val="000000" w:themeColor="text1"/>
          <w:lang w:val="en-ZA"/>
        </w:rPr>
        <w:t xml:space="preserve"> </w:t>
      </w:r>
      <w:r w:rsidRPr="00C865AC">
        <w:rPr>
          <w:color w:val="000000" w:themeColor="text1"/>
          <w:lang w:val="en-ZA"/>
        </w:rPr>
        <w:t>2018 (4) SA 1 (CC</w:t>
      </w:r>
      <w:r w:rsidR="00FB5991">
        <w:rPr>
          <w:color w:val="000000" w:themeColor="text1"/>
          <w:lang w:val="en-ZA"/>
        </w:rPr>
        <w:t>)</w:t>
      </w:r>
      <w:r w:rsidRPr="00C865AC">
        <w:rPr>
          <w:color w:val="000000" w:themeColor="text1"/>
          <w:lang w:val="en-ZA"/>
        </w:rPr>
        <w:t xml:space="preserve"> </w:t>
      </w:r>
      <w:r>
        <w:rPr>
          <w:color w:val="000000" w:themeColor="text1"/>
          <w:lang w:val="en-ZA"/>
        </w:rPr>
        <w:t>(“</w:t>
      </w:r>
      <w:r w:rsidRPr="00F23193">
        <w:rPr>
          <w:color w:val="000000" w:themeColor="text1"/>
          <w:lang w:val="en-ZA"/>
        </w:rPr>
        <w:t>Helen Suzman Foundation</w:t>
      </w:r>
      <w:r>
        <w:rPr>
          <w:color w:val="000000" w:themeColor="text1"/>
          <w:lang w:val="en-ZA"/>
        </w:rPr>
        <w:t>”)</w:t>
      </w:r>
      <w:r w:rsidRPr="00F23193">
        <w:rPr>
          <w:color w:val="000000" w:themeColor="text1"/>
          <w:lang w:val="en-ZA"/>
        </w:rPr>
        <w:t xml:space="preserve"> </w:t>
      </w:r>
      <w:r>
        <w:rPr>
          <w:color w:val="000000" w:themeColor="text1"/>
          <w:lang w:val="en-ZA"/>
        </w:rPr>
        <w:t xml:space="preserve">para </w:t>
      </w:r>
      <w:r w:rsidRPr="00F23193">
        <w:rPr>
          <w:color w:val="000000" w:themeColor="text1"/>
          <w:lang w:val="en-ZA"/>
        </w:rPr>
        <w:t xml:space="preserve">63 </w:t>
      </w:r>
    </w:p>
  </w:footnote>
  <w:footnote w:id="5">
    <w:p w14:paraId="26824088" w14:textId="77777777" w:rsidR="00F23D69" w:rsidRPr="00F23193" w:rsidRDefault="00F23D69" w:rsidP="00F23D69">
      <w:pPr>
        <w:pStyle w:val="FootnoteText"/>
        <w:rPr>
          <w:color w:val="000000" w:themeColor="text1"/>
          <w:lang w:val="en-ZA"/>
        </w:rPr>
      </w:pPr>
      <w:r w:rsidRPr="00F23193">
        <w:rPr>
          <w:rStyle w:val="FootnoteReference"/>
          <w:color w:val="000000" w:themeColor="text1"/>
        </w:rPr>
        <w:footnoteRef/>
      </w:r>
      <w:r w:rsidRPr="00F23193">
        <w:rPr>
          <w:color w:val="000000" w:themeColor="text1"/>
        </w:rPr>
        <w:t xml:space="preserve"> </w:t>
      </w:r>
      <w:r w:rsidRPr="00F23193">
        <w:rPr>
          <w:color w:val="000000" w:themeColor="text1"/>
          <w:lang w:val="en-ZA"/>
        </w:rPr>
        <w:t>Helen Suzman Foundation</w:t>
      </w:r>
      <w:r>
        <w:rPr>
          <w:color w:val="000000" w:themeColor="text1"/>
          <w:lang w:val="en-ZA"/>
        </w:rPr>
        <w:t xml:space="preserve"> para</w:t>
      </w:r>
      <w:r w:rsidRPr="00F23193">
        <w:rPr>
          <w:color w:val="000000" w:themeColor="text1"/>
          <w:lang w:val="en-ZA"/>
        </w:rPr>
        <w:t xml:space="preserve"> 76</w:t>
      </w:r>
    </w:p>
  </w:footnote>
  <w:footnote w:id="6">
    <w:p w14:paraId="6DF27519" w14:textId="77777777" w:rsidR="00F23D69" w:rsidRPr="00F23193" w:rsidRDefault="00F23D69" w:rsidP="00F23D69">
      <w:pPr>
        <w:pStyle w:val="FootnoteText"/>
        <w:rPr>
          <w:color w:val="000000" w:themeColor="text1"/>
          <w:lang w:val="en-ZA"/>
        </w:rPr>
      </w:pPr>
      <w:r w:rsidRPr="00F23193">
        <w:rPr>
          <w:rStyle w:val="FootnoteReference"/>
          <w:color w:val="000000" w:themeColor="text1"/>
        </w:rPr>
        <w:footnoteRef/>
      </w:r>
      <w:r w:rsidRPr="00F23193">
        <w:rPr>
          <w:color w:val="000000" w:themeColor="text1"/>
        </w:rPr>
        <w:t xml:space="preserve"> </w:t>
      </w:r>
      <w:r w:rsidRPr="00F23193">
        <w:rPr>
          <w:color w:val="000000" w:themeColor="text1"/>
          <w:lang w:val="en-ZA"/>
        </w:rPr>
        <w:t xml:space="preserve">Afrisun Mpumalanga (Pty) Ltd v Kunene NO and Others 1999 (2) SA 599 (T) at 628 F – J </w:t>
      </w:r>
    </w:p>
  </w:footnote>
  <w:footnote w:id="7">
    <w:p w14:paraId="769FA5FF" w14:textId="77777777" w:rsidR="00F23D69" w:rsidRPr="00AF30A7" w:rsidRDefault="00F23D69" w:rsidP="00F23D69">
      <w:pPr>
        <w:pStyle w:val="FootnoteText"/>
        <w:rPr>
          <w:lang w:val="en-US"/>
        </w:rPr>
      </w:pPr>
      <w:r>
        <w:rPr>
          <w:rStyle w:val="FootnoteReference"/>
        </w:rPr>
        <w:footnoteRef/>
      </w:r>
      <w:r>
        <w:t xml:space="preserve"> </w:t>
      </w:r>
      <w:r w:rsidRPr="008B721F">
        <w:rPr>
          <w:rFonts w:ascii="Arial" w:hAnsi="Arial"/>
          <w:i/>
          <w:iCs/>
          <w:lang w:val="en-ZA" w:eastAsia="ja-JP"/>
        </w:rPr>
        <w:t>ABBM Printing &amp; Publishing (Pty) Ltd v Transnet Ltd</w:t>
      </w:r>
      <w:r>
        <w:rPr>
          <w:rFonts w:ascii="Arial" w:hAnsi="Arial"/>
          <w:i/>
          <w:iCs/>
          <w:lang w:val="en-ZA" w:eastAsia="ja-JP"/>
        </w:rPr>
        <w:t xml:space="preserve"> </w:t>
      </w:r>
      <w:r w:rsidRPr="008B721F">
        <w:rPr>
          <w:color w:val="000000" w:themeColor="text1"/>
          <w:lang w:val="en-ZA"/>
        </w:rPr>
        <w:t>1998 (2) SA 109 (W) at 24.</w:t>
      </w:r>
    </w:p>
  </w:footnote>
  <w:footnote w:id="8">
    <w:p w14:paraId="085154EE" w14:textId="4597B7B6" w:rsidR="00F242D3" w:rsidRPr="00EE1972" w:rsidRDefault="00F242D3">
      <w:pPr>
        <w:pStyle w:val="FootnoteText"/>
        <w:rPr>
          <w:color w:val="000000" w:themeColor="text1"/>
          <w:lang w:val="en-ZA"/>
        </w:rPr>
      </w:pPr>
      <w:r w:rsidRPr="00F23193">
        <w:rPr>
          <w:rStyle w:val="FootnoteReference"/>
          <w:color w:val="000000" w:themeColor="text1"/>
        </w:rPr>
        <w:footnoteRef/>
      </w:r>
      <w:r w:rsidRPr="00F23193">
        <w:rPr>
          <w:color w:val="000000" w:themeColor="text1"/>
        </w:rPr>
        <w:t xml:space="preserve"> </w:t>
      </w:r>
      <w:r w:rsidR="00EE1972" w:rsidRPr="00EE1972">
        <w:rPr>
          <w:color w:val="000000" w:themeColor="text1"/>
          <w:lang w:val="en-ZA"/>
        </w:rPr>
        <w:t>Millennium Waste Management (Pty) Ltd. v Chairperson of the Tender Board: Limpopo Province and Others (31/2007) [2007] ZASCA 165; [2007] SCA 165 (RSA); [2008] 2 All SA 145; 2008 (2) SA 481; 2008 (5) BCLR 508; 2008 (2) SA 481 (SCA) (29 November 2007)</w:t>
      </w:r>
    </w:p>
  </w:footnote>
  <w:footnote w:id="9">
    <w:p w14:paraId="0E684085" w14:textId="4741B24D" w:rsidR="00B91120" w:rsidRPr="00F23193" w:rsidRDefault="00B91120" w:rsidP="00B91120">
      <w:pPr>
        <w:pStyle w:val="FootnoteText"/>
        <w:rPr>
          <w:color w:val="000000" w:themeColor="text1"/>
        </w:rPr>
      </w:pPr>
      <w:r w:rsidRPr="00F23193">
        <w:rPr>
          <w:rStyle w:val="FootnoteReference"/>
          <w:color w:val="000000" w:themeColor="text1"/>
        </w:rPr>
        <w:footnoteRef/>
      </w:r>
      <w:r w:rsidRPr="00F23193">
        <w:rPr>
          <w:color w:val="000000" w:themeColor="text1"/>
        </w:rPr>
        <w:t xml:space="preserve"> Steenkamp N.O. v Provincial Tender Board of the Eastern Cape </w:t>
      </w:r>
      <w:hyperlink r:id="rId1" w:tooltip="View Case" w:history="1">
        <w:r w:rsidRPr="00F23193">
          <w:rPr>
            <w:rStyle w:val="Hyperlink"/>
            <w:b w:val="0"/>
            <w:bCs w:val="0"/>
            <w:color w:val="000000" w:themeColor="text1"/>
            <w:u w:val="none"/>
          </w:rPr>
          <w:t>[2005] ZASCA 120</w:t>
        </w:r>
      </w:hyperlink>
      <w:r w:rsidRPr="00F23193">
        <w:rPr>
          <w:color w:val="000000" w:themeColor="text1"/>
        </w:rPr>
        <w:t> at para 33</w:t>
      </w:r>
    </w:p>
  </w:footnote>
  <w:footnote w:id="10">
    <w:p w14:paraId="555676CC" w14:textId="3A75A320" w:rsidR="00B91120" w:rsidRPr="00EE1972" w:rsidRDefault="00B91120" w:rsidP="00B91120">
      <w:pPr>
        <w:pStyle w:val="FootnoteText"/>
        <w:rPr>
          <w:color w:val="000000" w:themeColor="text1"/>
          <w:lang w:val="en-ZA"/>
        </w:rPr>
      </w:pPr>
      <w:r w:rsidRPr="00F23193">
        <w:rPr>
          <w:rStyle w:val="FootnoteReference"/>
          <w:color w:val="000000" w:themeColor="text1"/>
        </w:rPr>
        <w:footnoteRef/>
      </w:r>
      <w:r w:rsidRPr="00F23193">
        <w:rPr>
          <w:color w:val="000000" w:themeColor="text1"/>
        </w:rPr>
        <w:t xml:space="preserve"> </w:t>
      </w:r>
      <w:r w:rsidRPr="00F23193">
        <w:rPr>
          <w:color w:val="000000" w:themeColor="text1"/>
          <w:lang w:val="en-ZA"/>
        </w:rPr>
        <w:t xml:space="preserve">Esorfranki Pipelines (Pty) Ltd v Mopani District Municipality (CCT 222/21) [2022] ZACC 41; 2023 (2) BCLR 149 (CC); 2023 (2) SA 31 (CC) </w:t>
      </w:r>
      <w:r w:rsidR="00EE1972">
        <w:rPr>
          <w:color w:val="000000" w:themeColor="text1"/>
          <w:lang w:val="en-ZA"/>
        </w:rPr>
        <w:t>(“Pipeline”)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4">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3"/>
  </w:num>
  <w:num w:numId="2">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14FA"/>
    <w:rsid w:val="0001207E"/>
    <w:rsid w:val="000142F6"/>
    <w:rsid w:val="000175D2"/>
    <w:rsid w:val="000227EB"/>
    <w:rsid w:val="00022A59"/>
    <w:rsid w:val="00023136"/>
    <w:rsid w:val="000242E6"/>
    <w:rsid w:val="00025BD3"/>
    <w:rsid w:val="00025CAF"/>
    <w:rsid w:val="000271F7"/>
    <w:rsid w:val="0002756E"/>
    <w:rsid w:val="0002759A"/>
    <w:rsid w:val="000315F7"/>
    <w:rsid w:val="00031ED4"/>
    <w:rsid w:val="00032CF6"/>
    <w:rsid w:val="00032FF8"/>
    <w:rsid w:val="0003308F"/>
    <w:rsid w:val="00035C84"/>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303F"/>
    <w:rsid w:val="000649FE"/>
    <w:rsid w:val="000739D3"/>
    <w:rsid w:val="00073EA4"/>
    <w:rsid w:val="00076364"/>
    <w:rsid w:val="000777D8"/>
    <w:rsid w:val="000813D1"/>
    <w:rsid w:val="000814E5"/>
    <w:rsid w:val="00081A58"/>
    <w:rsid w:val="000827F8"/>
    <w:rsid w:val="00082D7A"/>
    <w:rsid w:val="0008326D"/>
    <w:rsid w:val="000834C6"/>
    <w:rsid w:val="00084C3D"/>
    <w:rsid w:val="00084ED7"/>
    <w:rsid w:val="00085056"/>
    <w:rsid w:val="00086307"/>
    <w:rsid w:val="00086B11"/>
    <w:rsid w:val="00090691"/>
    <w:rsid w:val="000907F6"/>
    <w:rsid w:val="00091FC7"/>
    <w:rsid w:val="00092644"/>
    <w:rsid w:val="00094A3E"/>
    <w:rsid w:val="000952FD"/>
    <w:rsid w:val="0009673F"/>
    <w:rsid w:val="00097961"/>
    <w:rsid w:val="00097BFE"/>
    <w:rsid w:val="000A002D"/>
    <w:rsid w:val="000A108F"/>
    <w:rsid w:val="000A17A7"/>
    <w:rsid w:val="000A2F1E"/>
    <w:rsid w:val="000A346F"/>
    <w:rsid w:val="000A4B39"/>
    <w:rsid w:val="000A5C36"/>
    <w:rsid w:val="000A5D41"/>
    <w:rsid w:val="000A63B7"/>
    <w:rsid w:val="000A67F2"/>
    <w:rsid w:val="000A6CCE"/>
    <w:rsid w:val="000A6CD2"/>
    <w:rsid w:val="000A6DE9"/>
    <w:rsid w:val="000A7A01"/>
    <w:rsid w:val="000A7E6C"/>
    <w:rsid w:val="000B0260"/>
    <w:rsid w:val="000B0F27"/>
    <w:rsid w:val="000B1A09"/>
    <w:rsid w:val="000B23EA"/>
    <w:rsid w:val="000B2FAA"/>
    <w:rsid w:val="000B433A"/>
    <w:rsid w:val="000B6B3F"/>
    <w:rsid w:val="000C0419"/>
    <w:rsid w:val="000C111B"/>
    <w:rsid w:val="000C520A"/>
    <w:rsid w:val="000C7667"/>
    <w:rsid w:val="000C78B4"/>
    <w:rsid w:val="000D0125"/>
    <w:rsid w:val="000D0844"/>
    <w:rsid w:val="000D1822"/>
    <w:rsid w:val="000D4AB1"/>
    <w:rsid w:val="000D54BF"/>
    <w:rsid w:val="000D5856"/>
    <w:rsid w:val="000D716E"/>
    <w:rsid w:val="000D7679"/>
    <w:rsid w:val="000E0339"/>
    <w:rsid w:val="000E0FCE"/>
    <w:rsid w:val="000E118F"/>
    <w:rsid w:val="000E15F1"/>
    <w:rsid w:val="000E2B7C"/>
    <w:rsid w:val="000E3412"/>
    <w:rsid w:val="000E799F"/>
    <w:rsid w:val="000F0A27"/>
    <w:rsid w:val="000F1501"/>
    <w:rsid w:val="000F3365"/>
    <w:rsid w:val="000F4D80"/>
    <w:rsid w:val="000F4FA4"/>
    <w:rsid w:val="000F592A"/>
    <w:rsid w:val="000F77C7"/>
    <w:rsid w:val="00102D51"/>
    <w:rsid w:val="0010320B"/>
    <w:rsid w:val="00104200"/>
    <w:rsid w:val="001048E9"/>
    <w:rsid w:val="001049AD"/>
    <w:rsid w:val="00104CBB"/>
    <w:rsid w:val="001052DD"/>
    <w:rsid w:val="00105EBE"/>
    <w:rsid w:val="00110F2A"/>
    <w:rsid w:val="00112426"/>
    <w:rsid w:val="0011340A"/>
    <w:rsid w:val="00117216"/>
    <w:rsid w:val="0012007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E50"/>
    <w:rsid w:val="001446DD"/>
    <w:rsid w:val="0014691E"/>
    <w:rsid w:val="00147C5C"/>
    <w:rsid w:val="00147CF8"/>
    <w:rsid w:val="001505EB"/>
    <w:rsid w:val="00150CA8"/>
    <w:rsid w:val="0015187C"/>
    <w:rsid w:val="00154598"/>
    <w:rsid w:val="001559B6"/>
    <w:rsid w:val="00156C9A"/>
    <w:rsid w:val="00157307"/>
    <w:rsid w:val="00157DC4"/>
    <w:rsid w:val="0016022C"/>
    <w:rsid w:val="00160549"/>
    <w:rsid w:val="00160B29"/>
    <w:rsid w:val="001619C7"/>
    <w:rsid w:val="0016237E"/>
    <w:rsid w:val="001625E9"/>
    <w:rsid w:val="00166B77"/>
    <w:rsid w:val="00166BF8"/>
    <w:rsid w:val="00167627"/>
    <w:rsid w:val="00167FFD"/>
    <w:rsid w:val="0017083E"/>
    <w:rsid w:val="00170977"/>
    <w:rsid w:val="00174EB2"/>
    <w:rsid w:val="0017523E"/>
    <w:rsid w:val="00175BBE"/>
    <w:rsid w:val="0017623F"/>
    <w:rsid w:val="00176D1F"/>
    <w:rsid w:val="00177EE4"/>
    <w:rsid w:val="00181A11"/>
    <w:rsid w:val="00183089"/>
    <w:rsid w:val="00183346"/>
    <w:rsid w:val="0018353F"/>
    <w:rsid w:val="00183D43"/>
    <w:rsid w:val="00185028"/>
    <w:rsid w:val="00186C6C"/>
    <w:rsid w:val="00186FF2"/>
    <w:rsid w:val="0019057E"/>
    <w:rsid w:val="00193C5C"/>
    <w:rsid w:val="001951AD"/>
    <w:rsid w:val="001A07D0"/>
    <w:rsid w:val="001A143C"/>
    <w:rsid w:val="001A16EA"/>
    <w:rsid w:val="001A1D01"/>
    <w:rsid w:val="001A3CEE"/>
    <w:rsid w:val="001A462C"/>
    <w:rsid w:val="001A4DA6"/>
    <w:rsid w:val="001A532C"/>
    <w:rsid w:val="001A6922"/>
    <w:rsid w:val="001A6B9E"/>
    <w:rsid w:val="001A7F0B"/>
    <w:rsid w:val="001B011B"/>
    <w:rsid w:val="001B05DE"/>
    <w:rsid w:val="001B08F3"/>
    <w:rsid w:val="001B0CD4"/>
    <w:rsid w:val="001B29BB"/>
    <w:rsid w:val="001B50EB"/>
    <w:rsid w:val="001B595B"/>
    <w:rsid w:val="001B5F23"/>
    <w:rsid w:val="001B6DB3"/>
    <w:rsid w:val="001C0737"/>
    <w:rsid w:val="001C0CE2"/>
    <w:rsid w:val="001C2122"/>
    <w:rsid w:val="001C30FF"/>
    <w:rsid w:val="001C324E"/>
    <w:rsid w:val="001C3CEE"/>
    <w:rsid w:val="001C4DBE"/>
    <w:rsid w:val="001C4F4C"/>
    <w:rsid w:val="001C63A0"/>
    <w:rsid w:val="001D248E"/>
    <w:rsid w:val="001D2DAF"/>
    <w:rsid w:val="001D351D"/>
    <w:rsid w:val="001D5041"/>
    <w:rsid w:val="001D54BC"/>
    <w:rsid w:val="001E02F2"/>
    <w:rsid w:val="001E0372"/>
    <w:rsid w:val="001E0C36"/>
    <w:rsid w:val="001E1A23"/>
    <w:rsid w:val="001E3C28"/>
    <w:rsid w:val="001E4132"/>
    <w:rsid w:val="001E4400"/>
    <w:rsid w:val="001E450F"/>
    <w:rsid w:val="001E4520"/>
    <w:rsid w:val="001E4F79"/>
    <w:rsid w:val="001E5F6A"/>
    <w:rsid w:val="001E699D"/>
    <w:rsid w:val="001E7CC4"/>
    <w:rsid w:val="001F0ED5"/>
    <w:rsid w:val="001F2896"/>
    <w:rsid w:val="001F28EE"/>
    <w:rsid w:val="001F3A43"/>
    <w:rsid w:val="001F4149"/>
    <w:rsid w:val="001F4842"/>
    <w:rsid w:val="001F6B3A"/>
    <w:rsid w:val="001F727F"/>
    <w:rsid w:val="001F799C"/>
    <w:rsid w:val="00204A99"/>
    <w:rsid w:val="00204F2B"/>
    <w:rsid w:val="002055DF"/>
    <w:rsid w:val="00207C68"/>
    <w:rsid w:val="002115A6"/>
    <w:rsid w:val="002115E1"/>
    <w:rsid w:val="002115F6"/>
    <w:rsid w:val="00213078"/>
    <w:rsid w:val="0021586A"/>
    <w:rsid w:val="00215B41"/>
    <w:rsid w:val="00217A4E"/>
    <w:rsid w:val="00220654"/>
    <w:rsid w:val="0022152D"/>
    <w:rsid w:val="002224EA"/>
    <w:rsid w:val="00224200"/>
    <w:rsid w:val="00225614"/>
    <w:rsid w:val="00225EF9"/>
    <w:rsid w:val="00226B2D"/>
    <w:rsid w:val="00226CB5"/>
    <w:rsid w:val="00235ED1"/>
    <w:rsid w:val="002377F5"/>
    <w:rsid w:val="00237B58"/>
    <w:rsid w:val="00241005"/>
    <w:rsid w:val="002420C3"/>
    <w:rsid w:val="00242C0C"/>
    <w:rsid w:val="00244DB2"/>
    <w:rsid w:val="002457FF"/>
    <w:rsid w:val="00246AB3"/>
    <w:rsid w:val="00246AC7"/>
    <w:rsid w:val="00247F5A"/>
    <w:rsid w:val="00251CBA"/>
    <w:rsid w:val="00251D94"/>
    <w:rsid w:val="0025235A"/>
    <w:rsid w:val="002523B1"/>
    <w:rsid w:val="002539AA"/>
    <w:rsid w:val="00254775"/>
    <w:rsid w:val="002552E0"/>
    <w:rsid w:val="00255A2A"/>
    <w:rsid w:val="002564F7"/>
    <w:rsid w:val="002566CB"/>
    <w:rsid w:val="00257617"/>
    <w:rsid w:val="00257ED1"/>
    <w:rsid w:val="002656A2"/>
    <w:rsid w:val="002704AE"/>
    <w:rsid w:val="00271ACD"/>
    <w:rsid w:val="002739CC"/>
    <w:rsid w:val="0027676E"/>
    <w:rsid w:val="002769E1"/>
    <w:rsid w:val="00277049"/>
    <w:rsid w:val="00277325"/>
    <w:rsid w:val="00281207"/>
    <w:rsid w:val="00281E6E"/>
    <w:rsid w:val="0028361E"/>
    <w:rsid w:val="00283797"/>
    <w:rsid w:val="00283D24"/>
    <w:rsid w:val="0028424E"/>
    <w:rsid w:val="00290383"/>
    <w:rsid w:val="00290C1B"/>
    <w:rsid w:val="00291174"/>
    <w:rsid w:val="00291B14"/>
    <w:rsid w:val="00292C2F"/>
    <w:rsid w:val="002937B0"/>
    <w:rsid w:val="00294B0B"/>
    <w:rsid w:val="00295341"/>
    <w:rsid w:val="0029536E"/>
    <w:rsid w:val="002A30D3"/>
    <w:rsid w:val="002A33F4"/>
    <w:rsid w:val="002A35B8"/>
    <w:rsid w:val="002A6607"/>
    <w:rsid w:val="002B021B"/>
    <w:rsid w:val="002B0351"/>
    <w:rsid w:val="002B30C6"/>
    <w:rsid w:val="002B3669"/>
    <w:rsid w:val="002B4772"/>
    <w:rsid w:val="002B485D"/>
    <w:rsid w:val="002B4A76"/>
    <w:rsid w:val="002B6285"/>
    <w:rsid w:val="002B6DE9"/>
    <w:rsid w:val="002C0728"/>
    <w:rsid w:val="002C14FA"/>
    <w:rsid w:val="002C16B4"/>
    <w:rsid w:val="002C1A93"/>
    <w:rsid w:val="002C2A8D"/>
    <w:rsid w:val="002C4C5A"/>
    <w:rsid w:val="002C58DD"/>
    <w:rsid w:val="002C5ACA"/>
    <w:rsid w:val="002C6C6E"/>
    <w:rsid w:val="002D0141"/>
    <w:rsid w:val="002D0300"/>
    <w:rsid w:val="002D1911"/>
    <w:rsid w:val="002D40B5"/>
    <w:rsid w:val="002D4B37"/>
    <w:rsid w:val="002D5667"/>
    <w:rsid w:val="002D701F"/>
    <w:rsid w:val="002D7817"/>
    <w:rsid w:val="002E2969"/>
    <w:rsid w:val="002E2B97"/>
    <w:rsid w:val="002E3F5D"/>
    <w:rsid w:val="002E4F35"/>
    <w:rsid w:val="002E5C39"/>
    <w:rsid w:val="002E62BD"/>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5097"/>
    <w:rsid w:val="003059D9"/>
    <w:rsid w:val="003100CB"/>
    <w:rsid w:val="00310523"/>
    <w:rsid w:val="00310B7B"/>
    <w:rsid w:val="00312F1C"/>
    <w:rsid w:val="003130AF"/>
    <w:rsid w:val="0031589B"/>
    <w:rsid w:val="0031632A"/>
    <w:rsid w:val="003178C5"/>
    <w:rsid w:val="00321A27"/>
    <w:rsid w:val="003239E3"/>
    <w:rsid w:val="00323CC5"/>
    <w:rsid w:val="00324ABF"/>
    <w:rsid w:val="003257D4"/>
    <w:rsid w:val="00330567"/>
    <w:rsid w:val="00331120"/>
    <w:rsid w:val="00331296"/>
    <w:rsid w:val="00331601"/>
    <w:rsid w:val="00335B03"/>
    <w:rsid w:val="00335D2C"/>
    <w:rsid w:val="00336589"/>
    <w:rsid w:val="00336644"/>
    <w:rsid w:val="00336D7B"/>
    <w:rsid w:val="00336EBA"/>
    <w:rsid w:val="003379AB"/>
    <w:rsid w:val="003422F0"/>
    <w:rsid w:val="00342A82"/>
    <w:rsid w:val="003441A3"/>
    <w:rsid w:val="0034660F"/>
    <w:rsid w:val="00351249"/>
    <w:rsid w:val="0035321B"/>
    <w:rsid w:val="003537AA"/>
    <w:rsid w:val="00353A14"/>
    <w:rsid w:val="00354471"/>
    <w:rsid w:val="003553D9"/>
    <w:rsid w:val="003554E6"/>
    <w:rsid w:val="00355802"/>
    <w:rsid w:val="00355B5F"/>
    <w:rsid w:val="00355CE6"/>
    <w:rsid w:val="00355D85"/>
    <w:rsid w:val="00356173"/>
    <w:rsid w:val="00357647"/>
    <w:rsid w:val="00360569"/>
    <w:rsid w:val="003610CA"/>
    <w:rsid w:val="00361B23"/>
    <w:rsid w:val="00364F74"/>
    <w:rsid w:val="00366969"/>
    <w:rsid w:val="00371110"/>
    <w:rsid w:val="00371284"/>
    <w:rsid w:val="00372C1E"/>
    <w:rsid w:val="00375125"/>
    <w:rsid w:val="0037538A"/>
    <w:rsid w:val="00376473"/>
    <w:rsid w:val="00377ADF"/>
    <w:rsid w:val="00377BF0"/>
    <w:rsid w:val="00377C65"/>
    <w:rsid w:val="00380795"/>
    <w:rsid w:val="00381046"/>
    <w:rsid w:val="0038112D"/>
    <w:rsid w:val="00381FD3"/>
    <w:rsid w:val="00382F43"/>
    <w:rsid w:val="0038320D"/>
    <w:rsid w:val="003834BD"/>
    <w:rsid w:val="00384742"/>
    <w:rsid w:val="003857A0"/>
    <w:rsid w:val="00385CE3"/>
    <w:rsid w:val="00385EB8"/>
    <w:rsid w:val="0038727F"/>
    <w:rsid w:val="0038751A"/>
    <w:rsid w:val="00387983"/>
    <w:rsid w:val="003900FB"/>
    <w:rsid w:val="003908EC"/>
    <w:rsid w:val="00392862"/>
    <w:rsid w:val="00392DB5"/>
    <w:rsid w:val="00393310"/>
    <w:rsid w:val="00393838"/>
    <w:rsid w:val="003966CC"/>
    <w:rsid w:val="00396EED"/>
    <w:rsid w:val="00396FC9"/>
    <w:rsid w:val="00397185"/>
    <w:rsid w:val="003A12FA"/>
    <w:rsid w:val="003A6A44"/>
    <w:rsid w:val="003A6D47"/>
    <w:rsid w:val="003B1DBF"/>
    <w:rsid w:val="003B2A56"/>
    <w:rsid w:val="003B3858"/>
    <w:rsid w:val="003B58F0"/>
    <w:rsid w:val="003C0ED3"/>
    <w:rsid w:val="003C16CF"/>
    <w:rsid w:val="003C3125"/>
    <w:rsid w:val="003C499A"/>
    <w:rsid w:val="003C5B1A"/>
    <w:rsid w:val="003C5BCF"/>
    <w:rsid w:val="003C7B79"/>
    <w:rsid w:val="003C7F90"/>
    <w:rsid w:val="003D1021"/>
    <w:rsid w:val="003D1CC4"/>
    <w:rsid w:val="003D3CB5"/>
    <w:rsid w:val="003D413C"/>
    <w:rsid w:val="003D4D89"/>
    <w:rsid w:val="003D54F8"/>
    <w:rsid w:val="003D6095"/>
    <w:rsid w:val="003D7413"/>
    <w:rsid w:val="003E0BF9"/>
    <w:rsid w:val="003E1C14"/>
    <w:rsid w:val="003E3D71"/>
    <w:rsid w:val="003E447A"/>
    <w:rsid w:val="003E4CA1"/>
    <w:rsid w:val="003E4F7C"/>
    <w:rsid w:val="003E53E5"/>
    <w:rsid w:val="003E6414"/>
    <w:rsid w:val="003E6E82"/>
    <w:rsid w:val="003F1DB2"/>
    <w:rsid w:val="003F2743"/>
    <w:rsid w:val="003F3E0D"/>
    <w:rsid w:val="003F4D3A"/>
    <w:rsid w:val="003F65F3"/>
    <w:rsid w:val="003F73A7"/>
    <w:rsid w:val="003F75BB"/>
    <w:rsid w:val="0040019C"/>
    <w:rsid w:val="0040054A"/>
    <w:rsid w:val="00401BA1"/>
    <w:rsid w:val="004025B7"/>
    <w:rsid w:val="0040302B"/>
    <w:rsid w:val="00403723"/>
    <w:rsid w:val="00403FFC"/>
    <w:rsid w:val="004042FF"/>
    <w:rsid w:val="0040638F"/>
    <w:rsid w:val="00406492"/>
    <w:rsid w:val="00406682"/>
    <w:rsid w:val="0041099B"/>
    <w:rsid w:val="00413484"/>
    <w:rsid w:val="00413820"/>
    <w:rsid w:val="00413CCA"/>
    <w:rsid w:val="00414A43"/>
    <w:rsid w:val="004154E2"/>
    <w:rsid w:val="00416719"/>
    <w:rsid w:val="0042093E"/>
    <w:rsid w:val="00421357"/>
    <w:rsid w:val="0042272B"/>
    <w:rsid w:val="0042290C"/>
    <w:rsid w:val="00423481"/>
    <w:rsid w:val="00424137"/>
    <w:rsid w:val="004244E1"/>
    <w:rsid w:val="00426F8B"/>
    <w:rsid w:val="00431651"/>
    <w:rsid w:val="00433EBD"/>
    <w:rsid w:val="004405D8"/>
    <w:rsid w:val="00440BFC"/>
    <w:rsid w:val="0044115D"/>
    <w:rsid w:val="004415B7"/>
    <w:rsid w:val="004419F5"/>
    <w:rsid w:val="00442213"/>
    <w:rsid w:val="0044241E"/>
    <w:rsid w:val="00442E62"/>
    <w:rsid w:val="00443F19"/>
    <w:rsid w:val="00444593"/>
    <w:rsid w:val="00444CE8"/>
    <w:rsid w:val="00445BDD"/>
    <w:rsid w:val="00451274"/>
    <w:rsid w:val="0045186E"/>
    <w:rsid w:val="00451E8D"/>
    <w:rsid w:val="00453B1F"/>
    <w:rsid w:val="00453DDF"/>
    <w:rsid w:val="00454560"/>
    <w:rsid w:val="00456455"/>
    <w:rsid w:val="0046049B"/>
    <w:rsid w:val="00462885"/>
    <w:rsid w:val="0046498E"/>
    <w:rsid w:val="004656AB"/>
    <w:rsid w:val="00466803"/>
    <w:rsid w:val="00467186"/>
    <w:rsid w:val="004701EE"/>
    <w:rsid w:val="00470703"/>
    <w:rsid w:val="00472029"/>
    <w:rsid w:val="004728FC"/>
    <w:rsid w:val="00472A46"/>
    <w:rsid w:val="00473766"/>
    <w:rsid w:val="00473C00"/>
    <w:rsid w:val="004740CD"/>
    <w:rsid w:val="00474D78"/>
    <w:rsid w:val="00475201"/>
    <w:rsid w:val="00477028"/>
    <w:rsid w:val="00477127"/>
    <w:rsid w:val="0048014C"/>
    <w:rsid w:val="00485754"/>
    <w:rsid w:val="00486242"/>
    <w:rsid w:val="00490019"/>
    <w:rsid w:val="004914A5"/>
    <w:rsid w:val="00491A30"/>
    <w:rsid w:val="00492262"/>
    <w:rsid w:val="00493F3D"/>
    <w:rsid w:val="004945EF"/>
    <w:rsid w:val="00494D5A"/>
    <w:rsid w:val="00496DF0"/>
    <w:rsid w:val="0049771D"/>
    <w:rsid w:val="00497AFE"/>
    <w:rsid w:val="004A0F5D"/>
    <w:rsid w:val="004A105A"/>
    <w:rsid w:val="004A116E"/>
    <w:rsid w:val="004A2C32"/>
    <w:rsid w:val="004A2C8C"/>
    <w:rsid w:val="004A3209"/>
    <w:rsid w:val="004A32DC"/>
    <w:rsid w:val="004A4575"/>
    <w:rsid w:val="004A487D"/>
    <w:rsid w:val="004A6AAA"/>
    <w:rsid w:val="004B0356"/>
    <w:rsid w:val="004B0906"/>
    <w:rsid w:val="004B1002"/>
    <w:rsid w:val="004B28DB"/>
    <w:rsid w:val="004B36F4"/>
    <w:rsid w:val="004B5424"/>
    <w:rsid w:val="004B615F"/>
    <w:rsid w:val="004B631C"/>
    <w:rsid w:val="004B6C09"/>
    <w:rsid w:val="004B72E9"/>
    <w:rsid w:val="004C0A7B"/>
    <w:rsid w:val="004C318D"/>
    <w:rsid w:val="004C7405"/>
    <w:rsid w:val="004D0A7F"/>
    <w:rsid w:val="004D37DE"/>
    <w:rsid w:val="004D5A6B"/>
    <w:rsid w:val="004D5D44"/>
    <w:rsid w:val="004D7372"/>
    <w:rsid w:val="004E02F6"/>
    <w:rsid w:val="004E435D"/>
    <w:rsid w:val="004E4AF7"/>
    <w:rsid w:val="004E79E3"/>
    <w:rsid w:val="004F17B7"/>
    <w:rsid w:val="004F1BF5"/>
    <w:rsid w:val="004F1F85"/>
    <w:rsid w:val="004F2C17"/>
    <w:rsid w:val="004F351A"/>
    <w:rsid w:val="004F4F7E"/>
    <w:rsid w:val="004F54C9"/>
    <w:rsid w:val="004F5837"/>
    <w:rsid w:val="004F5B65"/>
    <w:rsid w:val="004F6614"/>
    <w:rsid w:val="004F6A2D"/>
    <w:rsid w:val="004F6B70"/>
    <w:rsid w:val="005000FC"/>
    <w:rsid w:val="0050027D"/>
    <w:rsid w:val="00500760"/>
    <w:rsid w:val="00500E41"/>
    <w:rsid w:val="00501FED"/>
    <w:rsid w:val="00502297"/>
    <w:rsid w:val="00502403"/>
    <w:rsid w:val="00503094"/>
    <w:rsid w:val="00505088"/>
    <w:rsid w:val="00513DA8"/>
    <w:rsid w:val="0051403A"/>
    <w:rsid w:val="005152CE"/>
    <w:rsid w:val="00515D76"/>
    <w:rsid w:val="00520C15"/>
    <w:rsid w:val="00522768"/>
    <w:rsid w:val="00522C54"/>
    <w:rsid w:val="00523907"/>
    <w:rsid w:val="005240A6"/>
    <w:rsid w:val="00524A8D"/>
    <w:rsid w:val="00524F2B"/>
    <w:rsid w:val="00526D55"/>
    <w:rsid w:val="005271E9"/>
    <w:rsid w:val="00527861"/>
    <w:rsid w:val="00531F76"/>
    <w:rsid w:val="005331C5"/>
    <w:rsid w:val="00533AFF"/>
    <w:rsid w:val="005342E1"/>
    <w:rsid w:val="00534781"/>
    <w:rsid w:val="00534EEF"/>
    <w:rsid w:val="00534FF1"/>
    <w:rsid w:val="005357B8"/>
    <w:rsid w:val="0053646E"/>
    <w:rsid w:val="005425DC"/>
    <w:rsid w:val="00542E2F"/>
    <w:rsid w:val="00544704"/>
    <w:rsid w:val="00544A2E"/>
    <w:rsid w:val="005457EA"/>
    <w:rsid w:val="00545F51"/>
    <w:rsid w:val="005461E8"/>
    <w:rsid w:val="005464C6"/>
    <w:rsid w:val="0055038F"/>
    <w:rsid w:val="00551283"/>
    <w:rsid w:val="00553141"/>
    <w:rsid w:val="00553322"/>
    <w:rsid w:val="005537EC"/>
    <w:rsid w:val="005539D4"/>
    <w:rsid w:val="0055516E"/>
    <w:rsid w:val="00555925"/>
    <w:rsid w:val="0055620E"/>
    <w:rsid w:val="00557A6D"/>
    <w:rsid w:val="00557C67"/>
    <w:rsid w:val="005607C0"/>
    <w:rsid w:val="00561119"/>
    <w:rsid w:val="00561816"/>
    <w:rsid w:val="00562C44"/>
    <w:rsid w:val="0056353E"/>
    <w:rsid w:val="00563CAD"/>
    <w:rsid w:val="0056532E"/>
    <w:rsid w:val="00567057"/>
    <w:rsid w:val="005672F3"/>
    <w:rsid w:val="0057137B"/>
    <w:rsid w:val="0057332F"/>
    <w:rsid w:val="00576C1A"/>
    <w:rsid w:val="005772DE"/>
    <w:rsid w:val="0058158A"/>
    <w:rsid w:val="00581DDF"/>
    <w:rsid w:val="00582AC3"/>
    <w:rsid w:val="0058373C"/>
    <w:rsid w:val="00583C1D"/>
    <w:rsid w:val="00584DDB"/>
    <w:rsid w:val="00585A9C"/>
    <w:rsid w:val="00586068"/>
    <w:rsid w:val="005861E0"/>
    <w:rsid w:val="005867B9"/>
    <w:rsid w:val="0058697E"/>
    <w:rsid w:val="00586C2D"/>
    <w:rsid w:val="005873AB"/>
    <w:rsid w:val="00587A48"/>
    <w:rsid w:val="00587D3E"/>
    <w:rsid w:val="005901C0"/>
    <w:rsid w:val="005906E6"/>
    <w:rsid w:val="00590BC1"/>
    <w:rsid w:val="00591864"/>
    <w:rsid w:val="00592870"/>
    <w:rsid w:val="00593432"/>
    <w:rsid w:val="00594DE5"/>
    <w:rsid w:val="0059713B"/>
    <w:rsid w:val="0059721F"/>
    <w:rsid w:val="005A032A"/>
    <w:rsid w:val="005A0910"/>
    <w:rsid w:val="005A2316"/>
    <w:rsid w:val="005A4B43"/>
    <w:rsid w:val="005A6E16"/>
    <w:rsid w:val="005A6F5A"/>
    <w:rsid w:val="005A7F6E"/>
    <w:rsid w:val="005B06DE"/>
    <w:rsid w:val="005B3125"/>
    <w:rsid w:val="005B3FB7"/>
    <w:rsid w:val="005B43A5"/>
    <w:rsid w:val="005B577C"/>
    <w:rsid w:val="005B6074"/>
    <w:rsid w:val="005B7564"/>
    <w:rsid w:val="005B7F63"/>
    <w:rsid w:val="005C36D6"/>
    <w:rsid w:val="005C3847"/>
    <w:rsid w:val="005C429C"/>
    <w:rsid w:val="005C4A01"/>
    <w:rsid w:val="005C73B3"/>
    <w:rsid w:val="005C7429"/>
    <w:rsid w:val="005D0973"/>
    <w:rsid w:val="005D170D"/>
    <w:rsid w:val="005D2223"/>
    <w:rsid w:val="005D2E79"/>
    <w:rsid w:val="005D2EA5"/>
    <w:rsid w:val="005D4360"/>
    <w:rsid w:val="005D4A9F"/>
    <w:rsid w:val="005D6269"/>
    <w:rsid w:val="005D7499"/>
    <w:rsid w:val="005D758A"/>
    <w:rsid w:val="005E108F"/>
    <w:rsid w:val="005E1572"/>
    <w:rsid w:val="005E3A9A"/>
    <w:rsid w:val="005E3B15"/>
    <w:rsid w:val="005E4E43"/>
    <w:rsid w:val="005E661B"/>
    <w:rsid w:val="005F0D75"/>
    <w:rsid w:val="005F207D"/>
    <w:rsid w:val="005F33BD"/>
    <w:rsid w:val="005F383B"/>
    <w:rsid w:val="005F3907"/>
    <w:rsid w:val="005F3BD6"/>
    <w:rsid w:val="005F4947"/>
    <w:rsid w:val="005F5290"/>
    <w:rsid w:val="005F5F74"/>
    <w:rsid w:val="005F6B9E"/>
    <w:rsid w:val="0060137B"/>
    <w:rsid w:val="00601D93"/>
    <w:rsid w:val="0060226C"/>
    <w:rsid w:val="00602762"/>
    <w:rsid w:val="006029D8"/>
    <w:rsid w:val="00606A42"/>
    <w:rsid w:val="0060750A"/>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553"/>
    <w:rsid w:val="00622C6A"/>
    <w:rsid w:val="00623177"/>
    <w:rsid w:val="00623E41"/>
    <w:rsid w:val="006243C2"/>
    <w:rsid w:val="00626069"/>
    <w:rsid w:val="00627EA9"/>
    <w:rsid w:val="0063031C"/>
    <w:rsid w:val="00636146"/>
    <w:rsid w:val="00636596"/>
    <w:rsid w:val="006368E3"/>
    <w:rsid w:val="006402A6"/>
    <w:rsid w:val="00640A3B"/>
    <w:rsid w:val="006414D1"/>
    <w:rsid w:val="006454F7"/>
    <w:rsid w:val="00645C75"/>
    <w:rsid w:val="006478AB"/>
    <w:rsid w:val="0065107D"/>
    <w:rsid w:val="00651D8A"/>
    <w:rsid w:val="006520E4"/>
    <w:rsid w:val="00655D46"/>
    <w:rsid w:val="00656231"/>
    <w:rsid w:val="00656306"/>
    <w:rsid w:val="0065650F"/>
    <w:rsid w:val="0065689A"/>
    <w:rsid w:val="00657395"/>
    <w:rsid w:val="00657EEC"/>
    <w:rsid w:val="0066135C"/>
    <w:rsid w:val="006644DC"/>
    <w:rsid w:val="006649BB"/>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A4E7F"/>
    <w:rsid w:val="006B0082"/>
    <w:rsid w:val="006B0801"/>
    <w:rsid w:val="006B0C30"/>
    <w:rsid w:val="006B0DF2"/>
    <w:rsid w:val="006B0E86"/>
    <w:rsid w:val="006B0ED5"/>
    <w:rsid w:val="006B1FFC"/>
    <w:rsid w:val="006B3475"/>
    <w:rsid w:val="006B367A"/>
    <w:rsid w:val="006B590D"/>
    <w:rsid w:val="006B6CE8"/>
    <w:rsid w:val="006C54B6"/>
    <w:rsid w:val="006C5589"/>
    <w:rsid w:val="006C5F7B"/>
    <w:rsid w:val="006D042B"/>
    <w:rsid w:val="006D08BA"/>
    <w:rsid w:val="006D3FDA"/>
    <w:rsid w:val="006D4C73"/>
    <w:rsid w:val="006D4EE0"/>
    <w:rsid w:val="006D5834"/>
    <w:rsid w:val="006D5AF1"/>
    <w:rsid w:val="006D6155"/>
    <w:rsid w:val="006D6598"/>
    <w:rsid w:val="006D6652"/>
    <w:rsid w:val="006D7DF0"/>
    <w:rsid w:val="006E026B"/>
    <w:rsid w:val="006E1EE3"/>
    <w:rsid w:val="006F0178"/>
    <w:rsid w:val="006F2997"/>
    <w:rsid w:val="006F2EC1"/>
    <w:rsid w:val="006F4F6A"/>
    <w:rsid w:val="006F5477"/>
    <w:rsid w:val="007002E9"/>
    <w:rsid w:val="00701B6F"/>
    <w:rsid w:val="00702A45"/>
    <w:rsid w:val="00702F3D"/>
    <w:rsid w:val="0070606A"/>
    <w:rsid w:val="00707B54"/>
    <w:rsid w:val="00711265"/>
    <w:rsid w:val="00711F5C"/>
    <w:rsid w:val="00716726"/>
    <w:rsid w:val="00717182"/>
    <w:rsid w:val="00717B12"/>
    <w:rsid w:val="00717EF5"/>
    <w:rsid w:val="0072092A"/>
    <w:rsid w:val="00720B37"/>
    <w:rsid w:val="00720F65"/>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517F4"/>
    <w:rsid w:val="00751A42"/>
    <w:rsid w:val="00751E09"/>
    <w:rsid w:val="00751E6E"/>
    <w:rsid w:val="007531C6"/>
    <w:rsid w:val="0075333F"/>
    <w:rsid w:val="007540F4"/>
    <w:rsid w:val="007543B2"/>
    <w:rsid w:val="00754D03"/>
    <w:rsid w:val="00755AE8"/>
    <w:rsid w:val="00760570"/>
    <w:rsid w:val="00763191"/>
    <w:rsid w:val="0076589A"/>
    <w:rsid w:val="0076756F"/>
    <w:rsid w:val="0077312E"/>
    <w:rsid w:val="007734E2"/>
    <w:rsid w:val="007759ED"/>
    <w:rsid w:val="00780BBC"/>
    <w:rsid w:val="00782AA7"/>
    <w:rsid w:val="007843FF"/>
    <w:rsid w:val="007846C9"/>
    <w:rsid w:val="0078645E"/>
    <w:rsid w:val="00786C3D"/>
    <w:rsid w:val="00787314"/>
    <w:rsid w:val="00790C6D"/>
    <w:rsid w:val="007910FE"/>
    <w:rsid w:val="00791B77"/>
    <w:rsid w:val="00792A54"/>
    <w:rsid w:val="00792AB6"/>
    <w:rsid w:val="00793610"/>
    <w:rsid w:val="0079395A"/>
    <w:rsid w:val="007944E8"/>
    <w:rsid w:val="007958BB"/>
    <w:rsid w:val="00795D36"/>
    <w:rsid w:val="0079693B"/>
    <w:rsid w:val="0079776C"/>
    <w:rsid w:val="00797A78"/>
    <w:rsid w:val="007A1D31"/>
    <w:rsid w:val="007A287F"/>
    <w:rsid w:val="007A4AC2"/>
    <w:rsid w:val="007A6F2B"/>
    <w:rsid w:val="007B09C5"/>
    <w:rsid w:val="007B1EBD"/>
    <w:rsid w:val="007B5277"/>
    <w:rsid w:val="007B5296"/>
    <w:rsid w:val="007B5EE5"/>
    <w:rsid w:val="007B683A"/>
    <w:rsid w:val="007B6CAD"/>
    <w:rsid w:val="007C0693"/>
    <w:rsid w:val="007C0887"/>
    <w:rsid w:val="007C182F"/>
    <w:rsid w:val="007C2104"/>
    <w:rsid w:val="007C6957"/>
    <w:rsid w:val="007C7EA4"/>
    <w:rsid w:val="007D016A"/>
    <w:rsid w:val="007D02BB"/>
    <w:rsid w:val="007D1939"/>
    <w:rsid w:val="007D29D7"/>
    <w:rsid w:val="007D53AE"/>
    <w:rsid w:val="007D57A4"/>
    <w:rsid w:val="007D5890"/>
    <w:rsid w:val="007D62F3"/>
    <w:rsid w:val="007D647E"/>
    <w:rsid w:val="007D68BE"/>
    <w:rsid w:val="007D7015"/>
    <w:rsid w:val="007D782F"/>
    <w:rsid w:val="007E3C22"/>
    <w:rsid w:val="007E435A"/>
    <w:rsid w:val="007E44CE"/>
    <w:rsid w:val="007E49DE"/>
    <w:rsid w:val="007E500D"/>
    <w:rsid w:val="007E54D1"/>
    <w:rsid w:val="007E5B9A"/>
    <w:rsid w:val="007E66CB"/>
    <w:rsid w:val="007E6915"/>
    <w:rsid w:val="007E74BD"/>
    <w:rsid w:val="007F0DF6"/>
    <w:rsid w:val="007F1345"/>
    <w:rsid w:val="007F1736"/>
    <w:rsid w:val="007F2F6C"/>
    <w:rsid w:val="007F3DEC"/>
    <w:rsid w:val="007F4887"/>
    <w:rsid w:val="007F48CC"/>
    <w:rsid w:val="007F5078"/>
    <w:rsid w:val="007F623D"/>
    <w:rsid w:val="007F6AE7"/>
    <w:rsid w:val="007F7122"/>
    <w:rsid w:val="0080019C"/>
    <w:rsid w:val="00800694"/>
    <w:rsid w:val="00800EBB"/>
    <w:rsid w:val="00800F69"/>
    <w:rsid w:val="008010E8"/>
    <w:rsid w:val="008023C4"/>
    <w:rsid w:val="0080314D"/>
    <w:rsid w:val="008050E5"/>
    <w:rsid w:val="0080570F"/>
    <w:rsid w:val="00806946"/>
    <w:rsid w:val="00806985"/>
    <w:rsid w:val="0081435E"/>
    <w:rsid w:val="008162BC"/>
    <w:rsid w:val="00817F36"/>
    <w:rsid w:val="008210A5"/>
    <w:rsid w:val="00821CB9"/>
    <w:rsid w:val="0082202A"/>
    <w:rsid w:val="00822C4A"/>
    <w:rsid w:val="008231D9"/>
    <w:rsid w:val="00827EA0"/>
    <w:rsid w:val="0083030A"/>
    <w:rsid w:val="00831D7F"/>
    <w:rsid w:val="00833258"/>
    <w:rsid w:val="00833771"/>
    <w:rsid w:val="00833C05"/>
    <w:rsid w:val="0083486F"/>
    <w:rsid w:val="00835002"/>
    <w:rsid w:val="00835262"/>
    <w:rsid w:val="00835443"/>
    <w:rsid w:val="00835C68"/>
    <w:rsid w:val="00835EF7"/>
    <w:rsid w:val="008361F6"/>
    <w:rsid w:val="00836320"/>
    <w:rsid w:val="00837070"/>
    <w:rsid w:val="0084045A"/>
    <w:rsid w:val="0084094A"/>
    <w:rsid w:val="00841418"/>
    <w:rsid w:val="00841AD4"/>
    <w:rsid w:val="00842C7D"/>
    <w:rsid w:val="00844F54"/>
    <w:rsid w:val="00845722"/>
    <w:rsid w:val="00846418"/>
    <w:rsid w:val="00846425"/>
    <w:rsid w:val="00846EB8"/>
    <w:rsid w:val="0085245B"/>
    <w:rsid w:val="00852A7C"/>
    <w:rsid w:val="00854F39"/>
    <w:rsid w:val="00857DE5"/>
    <w:rsid w:val="008601DB"/>
    <w:rsid w:val="008604BF"/>
    <w:rsid w:val="0086140B"/>
    <w:rsid w:val="00861518"/>
    <w:rsid w:val="0086193A"/>
    <w:rsid w:val="00862400"/>
    <w:rsid w:val="00862CD3"/>
    <w:rsid w:val="00862F42"/>
    <w:rsid w:val="008630E7"/>
    <w:rsid w:val="00864ABE"/>
    <w:rsid w:val="00865FF4"/>
    <w:rsid w:val="00866292"/>
    <w:rsid w:val="00866B56"/>
    <w:rsid w:val="00866C7F"/>
    <w:rsid w:val="0087282C"/>
    <w:rsid w:val="00872C4B"/>
    <w:rsid w:val="008735D2"/>
    <w:rsid w:val="008741FA"/>
    <w:rsid w:val="00874CAA"/>
    <w:rsid w:val="00875E25"/>
    <w:rsid w:val="00875ED9"/>
    <w:rsid w:val="00877096"/>
    <w:rsid w:val="008822F2"/>
    <w:rsid w:val="0088311A"/>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4C2B"/>
    <w:rsid w:val="008B721F"/>
    <w:rsid w:val="008B7385"/>
    <w:rsid w:val="008B7929"/>
    <w:rsid w:val="008C0C5D"/>
    <w:rsid w:val="008C134E"/>
    <w:rsid w:val="008C14C9"/>
    <w:rsid w:val="008C32EC"/>
    <w:rsid w:val="008C3766"/>
    <w:rsid w:val="008C6275"/>
    <w:rsid w:val="008D2775"/>
    <w:rsid w:val="008D2B4C"/>
    <w:rsid w:val="008D35F4"/>
    <w:rsid w:val="008D3C4E"/>
    <w:rsid w:val="008D3D6B"/>
    <w:rsid w:val="008D46C8"/>
    <w:rsid w:val="008E02B5"/>
    <w:rsid w:val="008E1853"/>
    <w:rsid w:val="008E38E8"/>
    <w:rsid w:val="008E3D27"/>
    <w:rsid w:val="008E3E12"/>
    <w:rsid w:val="008E6042"/>
    <w:rsid w:val="008E6DA3"/>
    <w:rsid w:val="008E734E"/>
    <w:rsid w:val="008E73E3"/>
    <w:rsid w:val="008E74D3"/>
    <w:rsid w:val="008E7A4A"/>
    <w:rsid w:val="008E7A6A"/>
    <w:rsid w:val="008E7C59"/>
    <w:rsid w:val="008E7DEC"/>
    <w:rsid w:val="008E7F77"/>
    <w:rsid w:val="008F0F8B"/>
    <w:rsid w:val="008F14E6"/>
    <w:rsid w:val="008F1DB7"/>
    <w:rsid w:val="008F253D"/>
    <w:rsid w:val="008F263C"/>
    <w:rsid w:val="008F2EA6"/>
    <w:rsid w:val="008F4486"/>
    <w:rsid w:val="008F75AE"/>
    <w:rsid w:val="00900A71"/>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556"/>
    <w:rsid w:val="00920778"/>
    <w:rsid w:val="00920DC1"/>
    <w:rsid w:val="00921FEB"/>
    <w:rsid w:val="00922321"/>
    <w:rsid w:val="009229D4"/>
    <w:rsid w:val="0092525E"/>
    <w:rsid w:val="00925406"/>
    <w:rsid w:val="00925A62"/>
    <w:rsid w:val="00926422"/>
    <w:rsid w:val="009267EE"/>
    <w:rsid w:val="009268FB"/>
    <w:rsid w:val="00930618"/>
    <w:rsid w:val="00933D47"/>
    <w:rsid w:val="00936729"/>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98"/>
    <w:rsid w:val="00955B3E"/>
    <w:rsid w:val="009563AF"/>
    <w:rsid w:val="00956CEB"/>
    <w:rsid w:val="009570AD"/>
    <w:rsid w:val="009606C5"/>
    <w:rsid w:val="00961DDA"/>
    <w:rsid w:val="009626AA"/>
    <w:rsid w:val="00962C71"/>
    <w:rsid w:val="009634BE"/>
    <w:rsid w:val="009668EE"/>
    <w:rsid w:val="0097001B"/>
    <w:rsid w:val="00970902"/>
    <w:rsid w:val="00970C48"/>
    <w:rsid w:val="00970FB0"/>
    <w:rsid w:val="009710E6"/>
    <w:rsid w:val="00971E3F"/>
    <w:rsid w:val="009735FF"/>
    <w:rsid w:val="00973E9F"/>
    <w:rsid w:val="00980FA6"/>
    <w:rsid w:val="009811E9"/>
    <w:rsid w:val="00983207"/>
    <w:rsid w:val="00983D90"/>
    <w:rsid w:val="00984F1D"/>
    <w:rsid w:val="009855BD"/>
    <w:rsid w:val="00985C74"/>
    <w:rsid w:val="0098747C"/>
    <w:rsid w:val="00990090"/>
    <w:rsid w:val="00990143"/>
    <w:rsid w:val="00993527"/>
    <w:rsid w:val="009969EB"/>
    <w:rsid w:val="009A0487"/>
    <w:rsid w:val="009A194C"/>
    <w:rsid w:val="009A2626"/>
    <w:rsid w:val="009A3D72"/>
    <w:rsid w:val="009A43BF"/>
    <w:rsid w:val="009A4E92"/>
    <w:rsid w:val="009B10C5"/>
    <w:rsid w:val="009B2916"/>
    <w:rsid w:val="009B3638"/>
    <w:rsid w:val="009B3F8C"/>
    <w:rsid w:val="009B5239"/>
    <w:rsid w:val="009B77CA"/>
    <w:rsid w:val="009C01E8"/>
    <w:rsid w:val="009C5F46"/>
    <w:rsid w:val="009C6209"/>
    <w:rsid w:val="009C6A0C"/>
    <w:rsid w:val="009C6A7E"/>
    <w:rsid w:val="009C70E6"/>
    <w:rsid w:val="009D1B25"/>
    <w:rsid w:val="009D1F6B"/>
    <w:rsid w:val="009D277B"/>
    <w:rsid w:val="009D3680"/>
    <w:rsid w:val="009D3D53"/>
    <w:rsid w:val="009D4303"/>
    <w:rsid w:val="009D4331"/>
    <w:rsid w:val="009D5A8E"/>
    <w:rsid w:val="009D629D"/>
    <w:rsid w:val="009D6B0F"/>
    <w:rsid w:val="009D7040"/>
    <w:rsid w:val="009E0560"/>
    <w:rsid w:val="009E08BF"/>
    <w:rsid w:val="009E1568"/>
    <w:rsid w:val="009E5532"/>
    <w:rsid w:val="009E5EF1"/>
    <w:rsid w:val="009E65B8"/>
    <w:rsid w:val="009E7D4F"/>
    <w:rsid w:val="009F0548"/>
    <w:rsid w:val="009F1CE6"/>
    <w:rsid w:val="009F4620"/>
    <w:rsid w:val="009F4872"/>
    <w:rsid w:val="009F6E29"/>
    <w:rsid w:val="009F6F21"/>
    <w:rsid w:val="00A004E2"/>
    <w:rsid w:val="00A0093D"/>
    <w:rsid w:val="00A00DAC"/>
    <w:rsid w:val="00A01416"/>
    <w:rsid w:val="00A0142A"/>
    <w:rsid w:val="00A02B2D"/>
    <w:rsid w:val="00A054F1"/>
    <w:rsid w:val="00A05E00"/>
    <w:rsid w:val="00A06130"/>
    <w:rsid w:val="00A069C9"/>
    <w:rsid w:val="00A12D4A"/>
    <w:rsid w:val="00A139DC"/>
    <w:rsid w:val="00A15B8D"/>
    <w:rsid w:val="00A15D6A"/>
    <w:rsid w:val="00A1786A"/>
    <w:rsid w:val="00A2166C"/>
    <w:rsid w:val="00A23587"/>
    <w:rsid w:val="00A2403C"/>
    <w:rsid w:val="00A24C2A"/>
    <w:rsid w:val="00A252E9"/>
    <w:rsid w:val="00A2609F"/>
    <w:rsid w:val="00A26727"/>
    <w:rsid w:val="00A304E7"/>
    <w:rsid w:val="00A3119C"/>
    <w:rsid w:val="00A31389"/>
    <w:rsid w:val="00A32E29"/>
    <w:rsid w:val="00A40C93"/>
    <w:rsid w:val="00A41604"/>
    <w:rsid w:val="00A423C7"/>
    <w:rsid w:val="00A4269B"/>
    <w:rsid w:val="00A42AD7"/>
    <w:rsid w:val="00A42FCC"/>
    <w:rsid w:val="00A43B07"/>
    <w:rsid w:val="00A43DBC"/>
    <w:rsid w:val="00A43F93"/>
    <w:rsid w:val="00A44BA6"/>
    <w:rsid w:val="00A4512F"/>
    <w:rsid w:val="00A455C0"/>
    <w:rsid w:val="00A45B89"/>
    <w:rsid w:val="00A51101"/>
    <w:rsid w:val="00A517DE"/>
    <w:rsid w:val="00A5410E"/>
    <w:rsid w:val="00A56307"/>
    <w:rsid w:val="00A56920"/>
    <w:rsid w:val="00A56B65"/>
    <w:rsid w:val="00A578D2"/>
    <w:rsid w:val="00A64B7B"/>
    <w:rsid w:val="00A67A51"/>
    <w:rsid w:val="00A67BF0"/>
    <w:rsid w:val="00A70D8F"/>
    <w:rsid w:val="00A70F50"/>
    <w:rsid w:val="00A746DF"/>
    <w:rsid w:val="00A74A02"/>
    <w:rsid w:val="00A74A8A"/>
    <w:rsid w:val="00A75587"/>
    <w:rsid w:val="00A760AA"/>
    <w:rsid w:val="00A76795"/>
    <w:rsid w:val="00A80B07"/>
    <w:rsid w:val="00A825C7"/>
    <w:rsid w:val="00A83DD8"/>
    <w:rsid w:val="00A84970"/>
    <w:rsid w:val="00A84C18"/>
    <w:rsid w:val="00A850AC"/>
    <w:rsid w:val="00A8547C"/>
    <w:rsid w:val="00A90553"/>
    <w:rsid w:val="00A910D5"/>
    <w:rsid w:val="00A92AC1"/>
    <w:rsid w:val="00A93498"/>
    <w:rsid w:val="00A93C9C"/>
    <w:rsid w:val="00A93CDE"/>
    <w:rsid w:val="00A948EC"/>
    <w:rsid w:val="00A96E5D"/>
    <w:rsid w:val="00AA00C9"/>
    <w:rsid w:val="00AA1B11"/>
    <w:rsid w:val="00AA4035"/>
    <w:rsid w:val="00AA47A0"/>
    <w:rsid w:val="00AA4A11"/>
    <w:rsid w:val="00AA4B84"/>
    <w:rsid w:val="00AA6575"/>
    <w:rsid w:val="00AA68D5"/>
    <w:rsid w:val="00AA7F56"/>
    <w:rsid w:val="00AB0BE5"/>
    <w:rsid w:val="00AB31FE"/>
    <w:rsid w:val="00AB321F"/>
    <w:rsid w:val="00AB4344"/>
    <w:rsid w:val="00AB6440"/>
    <w:rsid w:val="00AB673E"/>
    <w:rsid w:val="00AB7D63"/>
    <w:rsid w:val="00AC1BE1"/>
    <w:rsid w:val="00AC1D1B"/>
    <w:rsid w:val="00AC64A8"/>
    <w:rsid w:val="00AD06EB"/>
    <w:rsid w:val="00AD1A65"/>
    <w:rsid w:val="00AD2906"/>
    <w:rsid w:val="00AD31A7"/>
    <w:rsid w:val="00AD3DE5"/>
    <w:rsid w:val="00AD4280"/>
    <w:rsid w:val="00AD4747"/>
    <w:rsid w:val="00AD6331"/>
    <w:rsid w:val="00AE060F"/>
    <w:rsid w:val="00AE0C6B"/>
    <w:rsid w:val="00AE1599"/>
    <w:rsid w:val="00AE21FF"/>
    <w:rsid w:val="00AE2AE0"/>
    <w:rsid w:val="00AE4B81"/>
    <w:rsid w:val="00AE546D"/>
    <w:rsid w:val="00AE57DE"/>
    <w:rsid w:val="00AE69F7"/>
    <w:rsid w:val="00AE7456"/>
    <w:rsid w:val="00AF0322"/>
    <w:rsid w:val="00AF07D8"/>
    <w:rsid w:val="00AF0847"/>
    <w:rsid w:val="00AF106C"/>
    <w:rsid w:val="00AF1812"/>
    <w:rsid w:val="00AF2C07"/>
    <w:rsid w:val="00AF30A7"/>
    <w:rsid w:val="00AF316D"/>
    <w:rsid w:val="00AF3F82"/>
    <w:rsid w:val="00AF4A12"/>
    <w:rsid w:val="00AF4CB2"/>
    <w:rsid w:val="00AF537A"/>
    <w:rsid w:val="00AF739D"/>
    <w:rsid w:val="00AF76DD"/>
    <w:rsid w:val="00B00409"/>
    <w:rsid w:val="00B02891"/>
    <w:rsid w:val="00B02F42"/>
    <w:rsid w:val="00B0332F"/>
    <w:rsid w:val="00B03855"/>
    <w:rsid w:val="00B0514D"/>
    <w:rsid w:val="00B05AED"/>
    <w:rsid w:val="00B06BF0"/>
    <w:rsid w:val="00B0739C"/>
    <w:rsid w:val="00B110E1"/>
    <w:rsid w:val="00B1127F"/>
    <w:rsid w:val="00B11691"/>
    <w:rsid w:val="00B12559"/>
    <w:rsid w:val="00B1288D"/>
    <w:rsid w:val="00B12B1E"/>
    <w:rsid w:val="00B13FEC"/>
    <w:rsid w:val="00B14E5B"/>
    <w:rsid w:val="00B14F85"/>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1D7"/>
    <w:rsid w:val="00B51390"/>
    <w:rsid w:val="00B52C78"/>
    <w:rsid w:val="00B54367"/>
    <w:rsid w:val="00B54DDA"/>
    <w:rsid w:val="00B54E78"/>
    <w:rsid w:val="00B56037"/>
    <w:rsid w:val="00B56188"/>
    <w:rsid w:val="00B568A2"/>
    <w:rsid w:val="00B577D1"/>
    <w:rsid w:val="00B62A9A"/>
    <w:rsid w:val="00B63217"/>
    <w:rsid w:val="00B63551"/>
    <w:rsid w:val="00B667C4"/>
    <w:rsid w:val="00B67971"/>
    <w:rsid w:val="00B70059"/>
    <w:rsid w:val="00B70EC8"/>
    <w:rsid w:val="00B74DF6"/>
    <w:rsid w:val="00B75125"/>
    <w:rsid w:val="00B77551"/>
    <w:rsid w:val="00B80948"/>
    <w:rsid w:val="00B83CA4"/>
    <w:rsid w:val="00B85517"/>
    <w:rsid w:val="00B9033C"/>
    <w:rsid w:val="00B90D01"/>
    <w:rsid w:val="00B91120"/>
    <w:rsid w:val="00B92B28"/>
    <w:rsid w:val="00B934CE"/>
    <w:rsid w:val="00B93BD3"/>
    <w:rsid w:val="00B93BD9"/>
    <w:rsid w:val="00B93E36"/>
    <w:rsid w:val="00B94BE4"/>
    <w:rsid w:val="00B94DA4"/>
    <w:rsid w:val="00B9532E"/>
    <w:rsid w:val="00B95BF2"/>
    <w:rsid w:val="00B96F28"/>
    <w:rsid w:val="00B9737E"/>
    <w:rsid w:val="00BA0987"/>
    <w:rsid w:val="00BA0C0C"/>
    <w:rsid w:val="00BA4860"/>
    <w:rsid w:val="00BA4D4E"/>
    <w:rsid w:val="00BA4ED8"/>
    <w:rsid w:val="00BA74A1"/>
    <w:rsid w:val="00BA7A07"/>
    <w:rsid w:val="00BA7B84"/>
    <w:rsid w:val="00BA7FE0"/>
    <w:rsid w:val="00BB0A10"/>
    <w:rsid w:val="00BB0AB1"/>
    <w:rsid w:val="00BB10E0"/>
    <w:rsid w:val="00BB1871"/>
    <w:rsid w:val="00BB277F"/>
    <w:rsid w:val="00BB2936"/>
    <w:rsid w:val="00BB30E7"/>
    <w:rsid w:val="00BB36D2"/>
    <w:rsid w:val="00BB3F72"/>
    <w:rsid w:val="00BB4D83"/>
    <w:rsid w:val="00BB5682"/>
    <w:rsid w:val="00BB572D"/>
    <w:rsid w:val="00BB5B8B"/>
    <w:rsid w:val="00BB6378"/>
    <w:rsid w:val="00BC1E9B"/>
    <w:rsid w:val="00BC2520"/>
    <w:rsid w:val="00BC35EB"/>
    <w:rsid w:val="00BC3DEB"/>
    <w:rsid w:val="00BC5867"/>
    <w:rsid w:val="00BC5A8D"/>
    <w:rsid w:val="00BC68D9"/>
    <w:rsid w:val="00BC7BA1"/>
    <w:rsid w:val="00BC7FA5"/>
    <w:rsid w:val="00BD03B3"/>
    <w:rsid w:val="00BD0FD8"/>
    <w:rsid w:val="00BD2183"/>
    <w:rsid w:val="00BD50A8"/>
    <w:rsid w:val="00BD681F"/>
    <w:rsid w:val="00BD7083"/>
    <w:rsid w:val="00BD712F"/>
    <w:rsid w:val="00BE1868"/>
    <w:rsid w:val="00BE2ADD"/>
    <w:rsid w:val="00BE3CB0"/>
    <w:rsid w:val="00BE40B7"/>
    <w:rsid w:val="00BE6DA1"/>
    <w:rsid w:val="00BE76EF"/>
    <w:rsid w:val="00BF14AB"/>
    <w:rsid w:val="00BF245D"/>
    <w:rsid w:val="00BF2D91"/>
    <w:rsid w:val="00BF37A0"/>
    <w:rsid w:val="00BF666F"/>
    <w:rsid w:val="00C00ED7"/>
    <w:rsid w:val="00C00F8A"/>
    <w:rsid w:val="00C02878"/>
    <w:rsid w:val="00C02B96"/>
    <w:rsid w:val="00C0480B"/>
    <w:rsid w:val="00C04A6C"/>
    <w:rsid w:val="00C0605D"/>
    <w:rsid w:val="00C10321"/>
    <w:rsid w:val="00C11FA6"/>
    <w:rsid w:val="00C142AB"/>
    <w:rsid w:val="00C1467F"/>
    <w:rsid w:val="00C15596"/>
    <w:rsid w:val="00C15A80"/>
    <w:rsid w:val="00C16AD3"/>
    <w:rsid w:val="00C173CA"/>
    <w:rsid w:val="00C20CC8"/>
    <w:rsid w:val="00C21428"/>
    <w:rsid w:val="00C21B44"/>
    <w:rsid w:val="00C21D2E"/>
    <w:rsid w:val="00C24059"/>
    <w:rsid w:val="00C25F74"/>
    <w:rsid w:val="00C2609F"/>
    <w:rsid w:val="00C26372"/>
    <w:rsid w:val="00C2709A"/>
    <w:rsid w:val="00C30C15"/>
    <w:rsid w:val="00C32013"/>
    <w:rsid w:val="00C3204F"/>
    <w:rsid w:val="00C32B32"/>
    <w:rsid w:val="00C32C91"/>
    <w:rsid w:val="00C34842"/>
    <w:rsid w:val="00C35E38"/>
    <w:rsid w:val="00C3796E"/>
    <w:rsid w:val="00C40F21"/>
    <w:rsid w:val="00C414CB"/>
    <w:rsid w:val="00C45553"/>
    <w:rsid w:val="00C471C1"/>
    <w:rsid w:val="00C53BE7"/>
    <w:rsid w:val="00C54F90"/>
    <w:rsid w:val="00C57C38"/>
    <w:rsid w:val="00C61B1F"/>
    <w:rsid w:val="00C61E71"/>
    <w:rsid w:val="00C62EE5"/>
    <w:rsid w:val="00C6570F"/>
    <w:rsid w:val="00C670E9"/>
    <w:rsid w:val="00C67196"/>
    <w:rsid w:val="00C67440"/>
    <w:rsid w:val="00C70405"/>
    <w:rsid w:val="00C709C4"/>
    <w:rsid w:val="00C71314"/>
    <w:rsid w:val="00C7153F"/>
    <w:rsid w:val="00C7230A"/>
    <w:rsid w:val="00C73727"/>
    <w:rsid w:val="00C76221"/>
    <w:rsid w:val="00C80708"/>
    <w:rsid w:val="00C80FD9"/>
    <w:rsid w:val="00C81706"/>
    <w:rsid w:val="00C82197"/>
    <w:rsid w:val="00C850CB"/>
    <w:rsid w:val="00C851E7"/>
    <w:rsid w:val="00C85731"/>
    <w:rsid w:val="00C865AC"/>
    <w:rsid w:val="00C86E08"/>
    <w:rsid w:val="00C90BA1"/>
    <w:rsid w:val="00C92DF1"/>
    <w:rsid w:val="00C92DFC"/>
    <w:rsid w:val="00C93224"/>
    <w:rsid w:val="00C96147"/>
    <w:rsid w:val="00C96F60"/>
    <w:rsid w:val="00CA08EC"/>
    <w:rsid w:val="00CA15BD"/>
    <w:rsid w:val="00CA195F"/>
    <w:rsid w:val="00CA4C81"/>
    <w:rsid w:val="00CA524E"/>
    <w:rsid w:val="00CA670F"/>
    <w:rsid w:val="00CA76F4"/>
    <w:rsid w:val="00CA7E0F"/>
    <w:rsid w:val="00CB2319"/>
    <w:rsid w:val="00CB279F"/>
    <w:rsid w:val="00CB2917"/>
    <w:rsid w:val="00CB349A"/>
    <w:rsid w:val="00CB5563"/>
    <w:rsid w:val="00CB5B82"/>
    <w:rsid w:val="00CB5BB3"/>
    <w:rsid w:val="00CB7B58"/>
    <w:rsid w:val="00CB7B8D"/>
    <w:rsid w:val="00CC0657"/>
    <w:rsid w:val="00CC2AA7"/>
    <w:rsid w:val="00CC3546"/>
    <w:rsid w:val="00CC3598"/>
    <w:rsid w:val="00CC489C"/>
    <w:rsid w:val="00CC6AC5"/>
    <w:rsid w:val="00CD1091"/>
    <w:rsid w:val="00CD16CE"/>
    <w:rsid w:val="00CD218D"/>
    <w:rsid w:val="00CD2D41"/>
    <w:rsid w:val="00CD3AAC"/>
    <w:rsid w:val="00CD4C07"/>
    <w:rsid w:val="00CD62D1"/>
    <w:rsid w:val="00CD6941"/>
    <w:rsid w:val="00CE04DA"/>
    <w:rsid w:val="00CE066A"/>
    <w:rsid w:val="00CE0C3B"/>
    <w:rsid w:val="00CE2896"/>
    <w:rsid w:val="00CE57E8"/>
    <w:rsid w:val="00CE7694"/>
    <w:rsid w:val="00CF0005"/>
    <w:rsid w:val="00CF09F1"/>
    <w:rsid w:val="00CF2941"/>
    <w:rsid w:val="00CF362F"/>
    <w:rsid w:val="00CF3632"/>
    <w:rsid w:val="00CF4547"/>
    <w:rsid w:val="00CF66B7"/>
    <w:rsid w:val="00CF76B6"/>
    <w:rsid w:val="00CF7D82"/>
    <w:rsid w:val="00CF7E2E"/>
    <w:rsid w:val="00D001DF"/>
    <w:rsid w:val="00D01AE5"/>
    <w:rsid w:val="00D026CD"/>
    <w:rsid w:val="00D04512"/>
    <w:rsid w:val="00D0461D"/>
    <w:rsid w:val="00D047EB"/>
    <w:rsid w:val="00D04F00"/>
    <w:rsid w:val="00D05EB3"/>
    <w:rsid w:val="00D070B7"/>
    <w:rsid w:val="00D072D9"/>
    <w:rsid w:val="00D101DC"/>
    <w:rsid w:val="00D114AC"/>
    <w:rsid w:val="00D12313"/>
    <w:rsid w:val="00D12AB0"/>
    <w:rsid w:val="00D13041"/>
    <w:rsid w:val="00D14278"/>
    <w:rsid w:val="00D1447F"/>
    <w:rsid w:val="00D164DE"/>
    <w:rsid w:val="00D16588"/>
    <w:rsid w:val="00D169FA"/>
    <w:rsid w:val="00D20BAE"/>
    <w:rsid w:val="00D21C4D"/>
    <w:rsid w:val="00D2373F"/>
    <w:rsid w:val="00D2495A"/>
    <w:rsid w:val="00D24C29"/>
    <w:rsid w:val="00D25B16"/>
    <w:rsid w:val="00D261C3"/>
    <w:rsid w:val="00D26B90"/>
    <w:rsid w:val="00D26EB0"/>
    <w:rsid w:val="00D31C0E"/>
    <w:rsid w:val="00D328DC"/>
    <w:rsid w:val="00D33899"/>
    <w:rsid w:val="00D349EE"/>
    <w:rsid w:val="00D36A21"/>
    <w:rsid w:val="00D37AB6"/>
    <w:rsid w:val="00D402FC"/>
    <w:rsid w:val="00D43135"/>
    <w:rsid w:val="00D5173A"/>
    <w:rsid w:val="00D5212B"/>
    <w:rsid w:val="00D53629"/>
    <w:rsid w:val="00D56BD2"/>
    <w:rsid w:val="00D62B7C"/>
    <w:rsid w:val="00D62F55"/>
    <w:rsid w:val="00D648EA"/>
    <w:rsid w:val="00D6496D"/>
    <w:rsid w:val="00D65DDB"/>
    <w:rsid w:val="00D67153"/>
    <w:rsid w:val="00D67E23"/>
    <w:rsid w:val="00D70241"/>
    <w:rsid w:val="00D70920"/>
    <w:rsid w:val="00D70C62"/>
    <w:rsid w:val="00D71E5E"/>
    <w:rsid w:val="00D725E0"/>
    <w:rsid w:val="00D7474F"/>
    <w:rsid w:val="00D747FF"/>
    <w:rsid w:val="00D7559B"/>
    <w:rsid w:val="00D76077"/>
    <w:rsid w:val="00D76220"/>
    <w:rsid w:val="00D762ED"/>
    <w:rsid w:val="00D76554"/>
    <w:rsid w:val="00D76C62"/>
    <w:rsid w:val="00D76C73"/>
    <w:rsid w:val="00D809A9"/>
    <w:rsid w:val="00D80C52"/>
    <w:rsid w:val="00D81284"/>
    <w:rsid w:val="00D8192D"/>
    <w:rsid w:val="00D819EF"/>
    <w:rsid w:val="00D81A61"/>
    <w:rsid w:val="00D831DD"/>
    <w:rsid w:val="00D83677"/>
    <w:rsid w:val="00D83EBD"/>
    <w:rsid w:val="00D84DA7"/>
    <w:rsid w:val="00D84E09"/>
    <w:rsid w:val="00D8506C"/>
    <w:rsid w:val="00D85110"/>
    <w:rsid w:val="00D87B09"/>
    <w:rsid w:val="00D87FE0"/>
    <w:rsid w:val="00D906B2"/>
    <w:rsid w:val="00D9115E"/>
    <w:rsid w:val="00D93531"/>
    <w:rsid w:val="00D94595"/>
    <w:rsid w:val="00D956E1"/>
    <w:rsid w:val="00D95F56"/>
    <w:rsid w:val="00D9606E"/>
    <w:rsid w:val="00D9678D"/>
    <w:rsid w:val="00D97B78"/>
    <w:rsid w:val="00D97FD0"/>
    <w:rsid w:val="00DA2200"/>
    <w:rsid w:val="00DA56E9"/>
    <w:rsid w:val="00DB0D8C"/>
    <w:rsid w:val="00DB0F30"/>
    <w:rsid w:val="00DB1749"/>
    <w:rsid w:val="00DB200D"/>
    <w:rsid w:val="00DB314B"/>
    <w:rsid w:val="00DB4519"/>
    <w:rsid w:val="00DB4710"/>
    <w:rsid w:val="00DB495C"/>
    <w:rsid w:val="00DB5220"/>
    <w:rsid w:val="00DB535E"/>
    <w:rsid w:val="00DB76B8"/>
    <w:rsid w:val="00DC1B7D"/>
    <w:rsid w:val="00DC22F7"/>
    <w:rsid w:val="00DC369C"/>
    <w:rsid w:val="00DC3A74"/>
    <w:rsid w:val="00DC3C53"/>
    <w:rsid w:val="00DC4667"/>
    <w:rsid w:val="00DC5125"/>
    <w:rsid w:val="00DD0E55"/>
    <w:rsid w:val="00DD1898"/>
    <w:rsid w:val="00DD250C"/>
    <w:rsid w:val="00DD2524"/>
    <w:rsid w:val="00DD3864"/>
    <w:rsid w:val="00DD5F98"/>
    <w:rsid w:val="00DD70EA"/>
    <w:rsid w:val="00DD7321"/>
    <w:rsid w:val="00DD7E93"/>
    <w:rsid w:val="00DE0006"/>
    <w:rsid w:val="00DE0275"/>
    <w:rsid w:val="00DE069C"/>
    <w:rsid w:val="00DE08A8"/>
    <w:rsid w:val="00DE55B4"/>
    <w:rsid w:val="00DE5E87"/>
    <w:rsid w:val="00DE60BE"/>
    <w:rsid w:val="00DE66DC"/>
    <w:rsid w:val="00DE7272"/>
    <w:rsid w:val="00DE77C4"/>
    <w:rsid w:val="00DE7D66"/>
    <w:rsid w:val="00DF0563"/>
    <w:rsid w:val="00DF12E5"/>
    <w:rsid w:val="00DF1B16"/>
    <w:rsid w:val="00DF3F5A"/>
    <w:rsid w:val="00DF55AB"/>
    <w:rsid w:val="00DF61C7"/>
    <w:rsid w:val="00DF6A2C"/>
    <w:rsid w:val="00DF70AF"/>
    <w:rsid w:val="00DF7C7F"/>
    <w:rsid w:val="00E00072"/>
    <w:rsid w:val="00E000D7"/>
    <w:rsid w:val="00E0123E"/>
    <w:rsid w:val="00E014A2"/>
    <w:rsid w:val="00E01B06"/>
    <w:rsid w:val="00E02C74"/>
    <w:rsid w:val="00E05DEB"/>
    <w:rsid w:val="00E062CE"/>
    <w:rsid w:val="00E0650B"/>
    <w:rsid w:val="00E0666C"/>
    <w:rsid w:val="00E06E9E"/>
    <w:rsid w:val="00E104C0"/>
    <w:rsid w:val="00E1079B"/>
    <w:rsid w:val="00E13F69"/>
    <w:rsid w:val="00E14983"/>
    <w:rsid w:val="00E14DCD"/>
    <w:rsid w:val="00E15639"/>
    <w:rsid w:val="00E1626C"/>
    <w:rsid w:val="00E17181"/>
    <w:rsid w:val="00E20B3E"/>
    <w:rsid w:val="00E20C71"/>
    <w:rsid w:val="00E2362C"/>
    <w:rsid w:val="00E2388C"/>
    <w:rsid w:val="00E24F4C"/>
    <w:rsid w:val="00E25526"/>
    <w:rsid w:val="00E25BFC"/>
    <w:rsid w:val="00E3043C"/>
    <w:rsid w:val="00E30570"/>
    <w:rsid w:val="00E31181"/>
    <w:rsid w:val="00E31E70"/>
    <w:rsid w:val="00E337FD"/>
    <w:rsid w:val="00E34C05"/>
    <w:rsid w:val="00E35C79"/>
    <w:rsid w:val="00E362B0"/>
    <w:rsid w:val="00E36B48"/>
    <w:rsid w:val="00E40159"/>
    <w:rsid w:val="00E42E9C"/>
    <w:rsid w:val="00E434FE"/>
    <w:rsid w:val="00E469B4"/>
    <w:rsid w:val="00E46DD6"/>
    <w:rsid w:val="00E46EA0"/>
    <w:rsid w:val="00E47A33"/>
    <w:rsid w:val="00E50F24"/>
    <w:rsid w:val="00E52D10"/>
    <w:rsid w:val="00E5504F"/>
    <w:rsid w:val="00E60EB5"/>
    <w:rsid w:val="00E62B5B"/>
    <w:rsid w:val="00E66D95"/>
    <w:rsid w:val="00E67D87"/>
    <w:rsid w:val="00E70467"/>
    <w:rsid w:val="00E71468"/>
    <w:rsid w:val="00E7203C"/>
    <w:rsid w:val="00E7367D"/>
    <w:rsid w:val="00E74645"/>
    <w:rsid w:val="00E76643"/>
    <w:rsid w:val="00E76854"/>
    <w:rsid w:val="00E76C98"/>
    <w:rsid w:val="00E80CF5"/>
    <w:rsid w:val="00E831B2"/>
    <w:rsid w:val="00E83E1E"/>
    <w:rsid w:val="00E83E8E"/>
    <w:rsid w:val="00E83EDD"/>
    <w:rsid w:val="00E8577A"/>
    <w:rsid w:val="00E86DD7"/>
    <w:rsid w:val="00E871FD"/>
    <w:rsid w:val="00E9302A"/>
    <w:rsid w:val="00E9353D"/>
    <w:rsid w:val="00E938CA"/>
    <w:rsid w:val="00E93A1D"/>
    <w:rsid w:val="00E93C50"/>
    <w:rsid w:val="00E94F50"/>
    <w:rsid w:val="00E95A89"/>
    <w:rsid w:val="00E96FC2"/>
    <w:rsid w:val="00E97A76"/>
    <w:rsid w:val="00E97B90"/>
    <w:rsid w:val="00EA0F27"/>
    <w:rsid w:val="00EA36A7"/>
    <w:rsid w:val="00EA6D62"/>
    <w:rsid w:val="00EA7284"/>
    <w:rsid w:val="00EA74AF"/>
    <w:rsid w:val="00EA76F1"/>
    <w:rsid w:val="00EB07E9"/>
    <w:rsid w:val="00EB2FF4"/>
    <w:rsid w:val="00EB3E67"/>
    <w:rsid w:val="00EB44CC"/>
    <w:rsid w:val="00EC1695"/>
    <w:rsid w:val="00EC1D90"/>
    <w:rsid w:val="00EC21CF"/>
    <w:rsid w:val="00EC386A"/>
    <w:rsid w:val="00EC4DDE"/>
    <w:rsid w:val="00EC4F0A"/>
    <w:rsid w:val="00EC579E"/>
    <w:rsid w:val="00EC700B"/>
    <w:rsid w:val="00ED0136"/>
    <w:rsid w:val="00ED0DA9"/>
    <w:rsid w:val="00ED3275"/>
    <w:rsid w:val="00ED329F"/>
    <w:rsid w:val="00ED4529"/>
    <w:rsid w:val="00ED6B80"/>
    <w:rsid w:val="00EE1972"/>
    <w:rsid w:val="00EE2F5F"/>
    <w:rsid w:val="00EE33C5"/>
    <w:rsid w:val="00EE3528"/>
    <w:rsid w:val="00EE4245"/>
    <w:rsid w:val="00EE4A48"/>
    <w:rsid w:val="00EE6D64"/>
    <w:rsid w:val="00EE7782"/>
    <w:rsid w:val="00EF5E2A"/>
    <w:rsid w:val="00EF64B1"/>
    <w:rsid w:val="00EF6548"/>
    <w:rsid w:val="00EF71A8"/>
    <w:rsid w:val="00EF7510"/>
    <w:rsid w:val="00F00D98"/>
    <w:rsid w:val="00F017D9"/>
    <w:rsid w:val="00F01BC4"/>
    <w:rsid w:val="00F02574"/>
    <w:rsid w:val="00F02C61"/>
    <w:rsid w:val="00F05966"/>
    <w:rsid w:val="00F05E3C"/>
    <w:rsid w:val="00F06CF1"/>
    <w:rsid w:val="00F06FE9"/>
    <w:rsid w:val="00F07248"/>
    <w:rsid w:val="00F07B0D"/>
    <w:rsid w:val="00F07C34"/>
    <w:rsid w:val="00F10664"/>
    <w:rsid w:val="00F11CA0"/>
    <w:rsid w:val="00F12C0F"/>
    <w:rsid w:val="00F1367B"/>
    <w:rsid w:val="00F146B3"/>
    <w:rsid w:val="00F14C98"/>
    <w:rsid w:val="00F23193"/>
    <w:rsid w:val="00F23D69"/>
    <w:rsid w:val="00F241AE"/>
    <w:rsid w:val="00F242D3"/>
    <w:rsid w:val="00F24423"/>
    <w:rsid w:val="00F24680"/>
    <w:rsid w:val="00F25FA6"/>
    <w:rsid w:val="00F2730E"/>
    <w:rsid w:val="00F311C0"/>
    <w:rsid w:val="00F31375"/>
    <w:rsid w:val="00F31F4A"/>
    <w:rsid w:val="00F335BE"/>
    <w:rsid w:val="00F34E44"/>
    <w:rsid w:val="00F36AE6"/>
    <w:rsid w:val="00F373D4"/>
    <w:rsid w:val="00F37861"/>
    <w:rsid w:val="00F42672"/>
    <w:rsid w:val="00F42DB7"/>
    <w:rsid w:val="00F44A9F"/>
    <w:rsid w:val="00F474A5"/>
    <w:rsid w:val="00F47DCF"/>
    <w:rsid w:val="00F510D8"/>
    <w:rsid w:val="00F528DD"/>
    <w:rsid w:val="00F57E0A"/>
    <w:rsid w:val="00F60713"/>
    <w:rsid w:val="00F60E5D"/>
    <w:rsid w:val="00F61938"/>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386"/>
    <w:rsid w:val="00F84FD8"/>
    <w:rsid w:val="00F8617A"/>
    <w:rsid w:val="00F86C8F"/>
    <w:rsid w:val="00F86D9B"/>
    <w:rsid w:val="00F901AD"/>
    <w:rsid w:val="00F904BB"/>
    <w:rsid w:val="00F9173C"/>
    <w:rsid w:val="00F91C33"/>
    <w:rsid w:val="00F97379"/>
    <w:rsid w:val="00F97E5B"/>
    <w:rsid w:val="00FA0C61"/>
    <w:rsid w:val="00FA170C"/>
    <w:rsid w:val="00FA227A"/>
    <w:rsid w:val="00FA3DB8"/>
    <w:rsid w:val="00FA42CC"/>
    <w:rsid w:val="00FA4357"/>
    <w:rsid w:val="00FA51DC"/>
    <w:rsid w:val="00FB083C"/>
    <w:rsid w:val="00FB1ED9"/>
    <w:rsid w:val="00FB20EE"/>
    <w:rsid w:val="00FB3154"/>
    <w:rsid w:val="00FB42BD"/>
    <w:rsid w:val="00FB5991"/>
    <w:rsid w:val="00FB6614"/>
    <w:rsid w:val="00FB6A47"/>
    <w:rsid w:val="00FB6BBA"/>
    <w:rsid w:val="00FC27CC"/>
    <w:rsid w:val="00FC2AEC"/>
    <w:rsid w:val="00FC4772"/>
    <w:rsid w:val="00FC58E0"/>
    <w:rsid w:val="00FC6173"/>
    <w:rsid w:val="00FC61A7"/>
    <w:rsid w:val="00FC6303"/>
    <w:rsid w:val="00FC6EE9"/>
    <w:rsid w:val="00FC7C35"/>
    <w:rsid w:val="00FD1A59"/>
    <w:rsid w:val="00FD201E"/>
    <w:rsid w:val="00FD2AD0"/>
    <w:rsid w:val="00FD42CD"/>
    <w:rsid w:val="00FD4871"/>
    <w:rsid w:val="00FD5DB5"/>
    <w:rsid w:val="00FE2229"/>
    <w:rsid w:val="00FE339D"/>
    <w:rsid w:val="00FE4935"/>
    <w:rsid w:val="00FE593E"/>
    <w:rsid w:val="00FE596A"/>
    <w:rsid w:val="00FE652F"/>
    <w:rsid w:val="00FE72B1"/>
    <w:rsid w:val="00FF0A16"/>
    <w:rsid w:val="00FF1607"/>
    <w:rsid w:val="00FF168A"/>
    <w:rsid w:val="00FF267A"/>
    <w:rsid w:val="00FF2B93"/>
    <w:rsid w:val="00FF3263"/>
    <w:rsid w:val="00FF32BC"/>
    <w:rsid w:val="00FF333E"/>
    <w:rsid w:val="00FF430C"/>
    <w:rsid w:val="00FF47E5"/>
    <w:rsid w:val="00FF50FE"/>
    <w:rsid w:val="00FF680C"/>
    <w:rsid w:val="00FF7320"/>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E8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2"/>
      </w:numPr>
      <w:autoSpaceDE w:val="0"/>
      <w:autoSpaceDN w:val="0"/>
      <w:adjustRightInd w:val="0"/>
      <w:outlineLvl w:val="0"/>
    </w:pPr>
    <w:rPr>
      <w:lang w:val="en-US"/>
    </w:rPr>
  </w:style>
  <w:style w:type="paragraph" w:customStyle="1" w:styleId="WLGLevel1">
    <w:name w:val="WLGLevel1"/>
    <w:basedOn w:val="Normal"/>
    <w:rsid w:val="00C82197"/>
    <w:pPr>
      <w:numPr>
        <w:numId w:val="3"/>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3"/>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3"/>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3"/>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3"/>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4"/>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5"/>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UnresolvedMention">
    <w:name w:val="Unresolved Mention"/>
    <w:basedOn w:val="DefaultParagraphFont"/>
    <w:uiPriority w:val="99"/>
    <w:semiHidden/>
    <w:unhideWhenUsed/>
    <w:rsid w:val="00FD201E"/>
    <w:rPr>
      <w:color w:val="605E5C"/>
      <w:shd w:val="clear" w:color="auto" w:fill="E1DFDD"/>
    </w:rPr>
  </w:style>
  <w:style w:type="character" w:customStyle="1" w:styleId="apple-converted-space">
    <w:name w:val="apple-converted-space"/>
    <w:basedOn w:val="DefaultParagraphFont"/>
    <w:rsid w:val="009D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861">
      <w:bodyDiv w:val="1"/>
      <w:marLeft w:val="0"/>
      <w:marRight w:val="0"/>
      <w:marTop w:val="0"/>
      <w:marBottom w:val="0"/>
      <w:divBdr>
        <w:top w:val="none" w:sz="0" w:space="0" w:color="auto"/>
        <w:left w:val="none" w:sz="0" w:space="0" w:color="auto"/>
        <w:bottom w:val="none" w:sz="0" w:space="0" w:color="auto"/>
        <w:right w:val="none" w:sz="0" w:space="0" w:color="auto"/>
      </w:divBdr>
      <w:divsChild>
        <w:div w:id="1854954953">
          <w:marLeft w:val="0"/>
          <w:marRight w:val="0"/>
          <w:marTop w:val="0"/>
          <w:marBottom w:val="0"/>
          <w:divBdr>
            <w:top w:val="none" w:sz="0" w:space="0" w:color="auto"/>
            <w:left w:val="none" w:sz="0" w:space="0" w:color="auto"/>
            <w:bottom w:val="none" w:sz="0" w:space="0" w:color="auto"/>
            <w:right w:val="none" w:sz="0" w:space="0" w:color="auto"/>
          </w:divBdr>
          <w:divsChild>
            <w:div w:id="1872643181">
              <w:marLeft w:val="0"/>
              <w:marRight w:val="0"/>
              <w:marTop w:val="0"/>
              <w:marBottom w:val="0"/>
              <w:divBdr>
                <w:top w:val="none" w:sz="0" w:space="0" w:color="auto"/>
                <w:left w:val="none" w:sz="0" w:space="0" w:color="auto"/>
                <w:bottom w:val="none" w:sz="0" w:space="0" w:color="auto"/>
                <w:right w:val="none" w:sz="0" w:space="0" w:color="auto"/>
              </w:divBdr>
              <w:divsChild>
                <w:div w:id="259879850">
                  <w:marLeft w:val="0"/>
                  <w:marRight w:val="0"/>
                  <w:marTop w:val="0"/>
                  <w:marBottom w:val="0"/>
                  <w:divBdr>
                    <w:top w:val="none" w:sz="0" w:space="0" w:color="auto"/>
                    <w:left w:val="none" w:sz="0" w:space="0" w:color="auto"/>
                    <w:bottom w:val="none" w:sz="0" w:space="0" w:color="auto"/>
                    <w:right w:val="none" w:sz="0" w:space="0" w:color="auto"/>
                  </w:divBdr>
                </w:div>
              </w:divsChild>
            </w:div>
            <w:div w:id="942416264">
              <w:marLeft w:val="0"/>
              <w:marRight w:val="0"/>
              <w:marTop w:val="0"/>
              <w:marBottom w:val="0"/>
              <w:divBdr>
                <w:top w:val="none" w:sz="0" w:space="0" w:color="auto"/>
                <w:left w:val="none" w:sz="0" w:space="0" w:color="auto"/>
                <w:bottom w:val="none" w:sz="0" w:space="0" w:color="auto"/>
                <w:right w:val="none" w:sz="0" w:space="0" w:color="auto"/>
              </w:divBdr>
              <w:divsChild>
                <w:div w:id="5328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99011">
          <w:marLeft w:val="0"/>
          <w:marRight w:val="0"/>
          <w:marTop w:val="0"/>
          <w:marBottom w:val="0"/>
          <w:divBdr>
            <w:top w:val="none" w:sz="0" w:space="0" w:color="auto"/>
            <w:left w:val="none" w:sz="0" w:space="0" w:color="auto"/>
            <w:bottom w:val="none" w:sz="0" w:space="0" w:color="auto"/>
            <w:right w:val="none" w:sz="0" w:space="0" w:color="auto"/>
          </w:divBdr>
          <w:divsChild>
            <w:div w:id="1059015366">
              <w:marLeft w:val="0"/>
              <w:marRight w:val="0"/>
              <w:marTop w:val="0"/>
              <w:marBottom w:val="0"/>
              <w:divBdr>
                <w:top w:val="none" w:sz="0" w:space="0" w:color="auto"/>
                <w:left w:val="none" w:sz="0" w:space="0" w:color="auto"/>
                <w:bottom w:val="none" w:sz="0" w:space="0" w:color="auto"/>
                <w:right w:val="none" w:sz="0" w:space="0" w:color="auto"/>
              </w:divBdr>
              <w:divsChild>
                <w:div w:id="14634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9362">
      <w:bodyDiv w:val="1"/>
      <w:marLeft w:val="0"/>
      <w:marRight w:val="0"/>
      <w:marTop w:val="0"/>
      <w:marBottom w:val="0"/>
      <w:divBdr>
        <w:top w:val="none" w:sz="0" w:space="0" w:color="auto"/>
        <w:left w:val="none" w:sz="0" w:space="0" w:color="auto"/>
        <w:bottom w:val="none" w:sz="0" w:space="0" w:color="auto"/>
        <w:right w:val="none" w:sz="0" w:space="0" w:color="auto"/>
      </w:divBdr>
      <w:divsChild>
        <w:div w:id="822551157">
          <w:marLeft w:val="0"/>
          <w:marRight w:val="0"/>
          <w:marTop w:val="0"/>
          <w:marBottom w:val="0"/>
          <w:divBdr>
            <w:top w:val="none" w:sz="0" w:space="0" w:color="auto"/>
            <w:left w:val="none" w:sz="0" w:space="0" w:color="auto"/>
            <w:bottom w:val="none" w:sz="0" w:space="0" w:color="auto"/>
            <w:right w:val="none" w:sz="0" w:space="0" w:color="auto"/>
          </w:divBdr>
          <w:divsChild>
            <w:div w:id="1200820677">
              <w:marLeft w:val="0"/>
              <w:marRight w:val="0"/>
              <w:marTop w:val="0"/>
              <w:marBottom w:val="0"/>
              <w:divBdr>
                <w:top w:val="none" w:sz="0" w:space="0" w:color="auto"/>
                <w:left w:val="none" w:sz="0" w:space="0" w:color="auto"/>
                <w:bottom w:val="none" w:sz="0" w:space="0" w:color="auto"/>
                <w:right w:val="none" w:sz="0" w:space="0" w:color="auto"/>
              </w:divBdr>
              <w:divsChild>
                <w:div w:id="1472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88815999">
      <w:bodyDiv w:val="1"/>
      <w:marLeft w:val="0"/>
      <w:marRight w:val="0"/>
      <w:marTop w:val="0"/>
      <w:marBottom w:val="0"/>
      <w:divBdr>
        <w:top w:val="none" w:sz="0" w:space="0" w:color="auto"/>
        <w:left w:val="none" w:sz="0" w:space="0" w:color="auto"/>
        <w:bottom w:val="none" w:sz="0" w:space="0" w:color="auto"/>
        <w:right w:val="none" w:sz="0" w:space="0" w:color="auto"/>
      </w:divBdr>
    </w:div>
    <w:div w:id="156314062">
      <w:bodyDiv w:val="1"/>
      <w:marLeft w:val="0"/>
      <w:marRight w:val="0"/>
      <w:marTop w:val="0"/>
      <w:marBottom w:val="0"/>
      <w:divBdr>
        <w:top w:val="none" w:sz="0" w:space="0" w:color="auto"/>
        <w:left w:val="none" w:sz="0" w:space="0" w:color="auto"/>
        <w:bottom w:val="none" w:sz="0" w:space="0" w:color="auto"/>
        <w:right w:val="none" w:sz="0" w:space="0" w:color="auto"/>
      </w:divBdr>
      <w:divsChild>
        <w:div w:id="1291325134">
          <w:marLeft w:val="0"/>
          <w:marRight w:val="0"/>
          <w:marTop w:val="0"/>
          <w:marBottom w:val="0"/>
          <w:divBdr>
            <w:top w:val="none" w:sz="0" w:space="0" w:color="auto"/>
            <w:left w:val="none" w:sz="0" w:space="0" w:color="auto"/>
            <w:bottom w:val="none" w:sz="0" w:space="0" w:color="auto"/>
            <w:right w:val="none" w:sz="0" w:space="0" w:color="auto"/>
          </w:divBdr>
          <w:divsChild>
            <w:div w:id="450246008">
              <w:marLeft w:val="0"/>
              <w:marRight w:val="0"/>
              <w:marTop w:val="0"/>
              <w:marBottom w:val="0"/>
              <w:divBdr>
                <w:top w:val="none" w:sz="0" w:space="0" w:color="auto"/>
                <w:left w:val="none" w:sz="0" w:space="0" w:color="auto"/>
                <w:bottom w:val="none" w:sz="0" w:space="0" w:color="auto"/>
                <w:right w:val="none" w:sz="0" w:space="0" w:color="auto"/>
              </w:divBdr>
              <w:divsChild>
                <w:div w:id="6545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13684622">
      <w:bodyDiv w:val="1"/>
      <w:marLeft w:val="0"/>
      <w:marRight w:val="0"/>
      <w:marTop w:val="0"/>
      <w:marBottom w:val="0"/>
      <w:divBdr>
        <w:top w:val="none" w:sz="0" w:space="0" w:color="auto"/>
        <w:left w:val="none" w:sz="0" w:space="0" w:color="auto"/>
        <w:bottom w:val="none" w:sz="0" w:space="0" w:color="auto"/>
        <w:right w:val="none" w:sz="0" w:space="0" w:color="auto"/>
      </w:divBdr>
      <w:divsChild>
        <w:div w:id="1992633047">
          <w:marLeft w:val="0"/>
          <w:marRight w:val="0"/>
          <w:marTop w:val="0"/>
          <w:marBottom w:val="0"/>
          <w:divBdr>
            <w:top w:val="none" w:sz="0" w:space="0" w:color="auto"/>
            <w:left w:val="none" w:sz="0" w:space="0" w:color="auto"/>
            <w:bottom w:val="none" w:sz="0" w:space="0" w:color="auto"/>
            <w:right w:val="none" w:sz="0" w:space="0" w:color="auto"/>
          </w:divBdr>
          <w:divsChild>
            <w:div w:id="1895504490">
              <w:marLeft w:val="0"/>
              <w:marRight w:val="0"/>
              <w:marTop w:val="0"/>
              <w:marBottom w:val="0"/>
              <w:divBdr>
                <w:top w:val="none" w:sz="0" w:space="0" w:color="auto"/>
                <w:left w:val="none" w:sz="0" w:space="0" w:color="auto"/>
                <w:bottom w:val="none" w:sz="0" w:space="0" w:color="auto"/>
                <w:right w:val="none" w:sz="0" w:space="0" w:color="auto"/>
              </w:divBdr>
              <w:divsChild>
                <w:div w:id="678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96906">
      <w:bodyDiv w:val="1"/>
      <w:marLeft w:val="0"/>
      <w:marRight w:val="0"/>
      <w:marTop w:val="0"/>
      <w:marBottom w:val="0"/>
      <w:divBdr>
        <w:top w:val="none" w:sz="0" w:space="0" w:color="auto"/>
        <w:left w:val="none" w:sz="0" w:space="0" w:color="auto"/>
        <w:bottom w:val="none" w:sz="0" w:space="0" w:color="auto"/>
        <w:right w:val="none" w:sz="0" w:space="0" w:color="auto"/>
      </w:divBdr>
      <w:divsChild>
        <w:div w:id="1540043388">
          <w:marLeft w:val="0"/>
          <w:marRight w:val="0"/>
          <w:marTop w:val="0"/>
          <w:marBottom w:val="0"/>
          <w:divBdr>
            <w:top w:val="none" w:sz="0" w:space="0" w:color="auto"/>
            <w:left w:val="none" w:sz="0" w:space="0" w:color="auto"/>
            <w:bottom w:val="none" w:sz="0" w:space="0" w:color="auto"/>
            <w:right w:val="none" w:sz="0" w:space="0" w:color="auto"/>
          </w:divBdr>
          <w:divsChild>
            <w:div w:id="585111710">
              <w:marLeft w:val="0"/>
              <w:marRight w:val="0"/>
              <w:marTop w:val="0"/>
              <w:marBottom w:val="0"/>
              <w:divBdr>
                <w:top w:val="none" w:sz="0" w:space="0" w:color="auto"/>
                <w:left w:val="none" w:sz="0" w:space="0" w:color="auto"/>
                <w:bottom w:val="none" w:sz="0" w:space="0" w:color="auto"/>
                <w:right w:val="none" w:sz="0" w:space="0" w:color="auto"/>
              </w:divBdr>
              <w:divsChild>
                <w:div w:id="1672640731">
                  <w:marLeft w:val="0"/>
                  <w:marRight w:val="0"/>
                  <w:marTop w:val="0"/>
                  <w:marBottom w:val="0"/>
                  <w:divBdr>
                    <w:top w:val="none" w:sz="0" w:space="0" w:color="auto"/>
                    <w:left w:val="none" w:sz="0" w:space="0" w:color="auto"/>
                    <w:bottom w:val="none" w:sz="0" w:space="0" w:color="auto"/>
                    <w:right w:val="none" w:sz="0" w:space="0" w:color="auto"/>
                  </w:divBdr>
                </w:div>
              </w:divsChild>
            </w:div>
            <w:div w:id="390229596">
              <w:marLeft w:val="0"/>
              <w:marRight w:val="0"/>
              <w:marTop w:val="0"/>
              <w:marBottom w:val="0"/>
              <w:divBdr>
                <w:top w:val="none" w:sz="0" w:space="0" w:color="auto"/>
                <w:left w:val="none" w:sz="0" w:space="0" w:color="auto"/>
                <w:bottom w:val="none" w:sz="0" w:space="0" w:color="auto"/>
                <w:right w:val="none" w:sz="0" w:space="0" w:color="auto"/>
              </w:divBdr>
              <w:divsChild>
                <w:div w:id="1090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51083">
          <w:marLeft w:val="0"/>
          <w:marRight w:val="0"/>
          <w:marTop w:val="0"/>
          <w:marBottom w:val="0"/>
          <w:divBdr>
            <w:top w:val="none" w:sz="0" w:space="0" w:color="auto"/>
            <w:left w:val="none" w:sz="0" w:space="0" w:color="auto"/>
            <w:bottom w:val="none" w:sz="0" w:space="0" w:color="auto"/>
            <w:right w:val="none" w:sz="0" w:space="0" w:color="auto"/>
          </w:divBdr>
          <w:divsChild>
            <w:div w:id="927882394">
              <w:marLeft w:val="0"/>
              <w:marRight w:val="0"/>
              <w:marTop w:val="0"/>
              <w:marBottom w:val="0"/>
              <w:divBdr>
                <w:top w:val="none" w:sz="0" w:space="0" w:color="auto"/>
                <w:left w:val="none" w:sz="0" w:space="0" w:color="auto"/>
                <w:bottom w:val="none" w:sz="0" w:space="0" w:color="auto"/>
                <w:right w:val="none" w:sz="0" w:space="0" w:color="auto"/>
              </w:divBdr>
              <w:divsChild>
                <w:div w:id="974028080">
                  <w:marLeft w:val="0"/>
                  <w:marRight w:val="0"/>
                  <w:marTop w:val="0"/>
                  <w:marBottom w:val="0"/>
                  <w:divBdr>
                    <w:top w:val="none" w:sz="0" w:space="0" w:color="auto"/>
                    <w:left w:val="none" w:sz="0" w:space="0" w:color="auto"/>
                    <w:bottom w:val="none" w:sz="0" w:space="0" w:color="auto"/>
                    <w:right w:val="none" w:sz="0" w:space="0" w:color="auto"/>
                  </w:divBdr>
                </w:div>
              </w:divsChild>
            </w:div>
            <w:div w:id="2070029141">
              <w:marLeft w:val="0"/>
              <w:marRight w:val="0"/>
              <w:marTop w:val="0"/>
              <w:marBottom w:val="0"/>
              <w:divBdr>
                <w:top w:val="none" w:sz="0" w:space="0" w:color="auto"/>
                <w:left w:val="none" w:sz="0" w:space="0" w:color="auto"/>
                <w:bottom w:val="none" w:sz="0" w:space="0" w:color="auto"/>
                <w:right w:val="none" w:sz="0" w:space="0" w:color="auto"/>
              </w:divBdr>
              <w:divsChild>
                <w:div w:id="5501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48733">
          <w:marLeft w:val="0"/>
          <w:marRight w:val="0"/>
          <w:marTop w:val="0"/>
          <w:marBottom w:val="0"/>
          <w:divBdr>
            <w:top w:val="none" w:sz="0" w:space="0" w:color="auto"/>
            <w:left w:val="none" w:sz="0" w:space="0" w:color="auto"/>
            <w:bottom w:val="none" w:sz="0" w:space="0" w:color="auto"/>
            <w:right w:val="none" w:sz="0" w:space="0" w:color="auto"/>
          </w:divBdr>
          <w:divsChild>
            <w:div w:id="1866751492">
              <w:marLeft w:val="0"/>
              <w:marRight w:val="0"/>
              <w:marTop w:val="0"/>
              <w:marBottom w:val="0"/>
              <w:divBdr>
                <w:top w:val="none" w:sz="0" w:space="0" w:color="auto"/>
                <w:left w:val="none" w:sz="0" w:space="0" w:color="auto"/>
                <w:bottom w:val="none" w:sz="0" w:space="0" w:color="auto"/>
                <w:right w:val="none" w:sz="0" w:space="0" w:color="auto"/>
              </w:divBdr>
              <w:divsChild>
                <w:div w:id="1787196477">
                  <w:marLeft w:val="0"/>
                  <w:marRight w:val="0"/>
                  <w:marTop w:val="0"/>
                  <w:marBottom w:val="0"/>
                  <w:divBdr>
                    <w:top w:val="none" w:sz="0" w:space="0" w:color="auto"/>
                    <w:left w:val="none" w:sz="0" w:space="0" w:color="auto"/>
                    <w:bottom w:val="none" w:sz="0" w:space="0" w:color="auto"/>
                    <w:right w:val="none" w:sz="0" w:space="0" w:color="auto"/>
                  </w:divBdr>
                </w:div>
              </w:divsChild>
            </w:div>
            <w:div w:id="113837674">
              <w:marLeft w:val="0"/>
              <w:marRight w:val="0"/>
              <w:marTop w:val="0"/>
              <w:marBottom w:val="0"/>
              <w:divBdr>
                <w:top w:val="none" w:sz="0" w:space="0" w:color="auto"/>
                <w:left w:val="none" w:sz="0" w:space="0" w:color="auto"/>
                <w:bottom w:val="none" w:sz="0" w:space="0" w:color="auto"/>
                <w:right w:val="none" w:sz="0" w:space="0" w:color="auto"/>
              </w:divBdr>
              <w:divsChild>
                <w:div w:id="14188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4420">
          <w:marLeft w:val="0"/>
          <w:marRight w:val="0"/>
          <w:marTop w:val="0"/>
          <w:marBottom w:val="0"/>
          <w:divBdr>
            <w:top w:val="none" w:sz="0" w:space="0" w:color="auto"/>
            <w:left w:val="none" w:sz="0" w:space="0" w:color="auto"/>
            <w:bottom w:val="none" w:sz="0" w:space="0" w:color="auto"/>
            <w:right w:val="none" w:sz="0" w:space="0" w:color="auto"/>
          </w:divBdr>
          <w:divsChild>
            <w:div w:id="505752442">
              <w:marLeft w:val="0"/>
              <w:marRight w:val="0"/>
              <w:marTop w:val="0"/>
              <w:marBottom w:val="0"/>
              <w:divBdr>
                <w:top w:val="none" w:sz="0" w:space="0" w:color="auto"/>
                <w:left w:val="none" w:sz="0" w:space="0" w:color="auto"/>
                <w:bottom w:val="none" w:sz="0" w:space="0" w:color="auto"/>
                <w:right w:val="none" w:sz="0" w:space="0" w:color="auto"/>
              </w:divBdr>
              <w:divsChild>
                <w:div w:id="1885292807">
                  <w:marLeft w:val="0"/>
                  <w:marRight w:val="0"/>
                  <w:marTop w:val="0"/>
                  <w:marBottom w:val="0"/>
                  <w:divBdr>
                    <w:top w:val="none" w:sz="0" w:space="0" w:color="auto"/>
                    <w:left w:val="none" w:sz="0" w:space="0" w:color="auto"/>
                    <w:bottom w:val="none" w:sz="0" w:space="0" w:color="auto"/>
                    <w:right w:val="none" w:sz="0" w:space="0" w:color="auto"/>
                  </w:divBdr>
                </w:div>
              </w:divsChild>
            </w:div>
            <w:div w:id="405423483">
              <w:marLeft w:val="0"/>
              <w:marRight w:val="0"/>
              <w:marTop w:val="0"/>
              <w:marBottom w:val="0"/>
              <w:divBdr>
                <w:top w:val="none" w:sz="0" w:space="0" w:color="auto"/>
                <w:left w:val="none" w:sz="0" w:space="0" w:color="auto"/>
                <w:bottom w:val="none" w:sz="0" w:space="0" w:color="auto"/>
                <w:right w:val="none" w:sz="0" w:space="0" w:color="auto"/>
              </w:divBdr>
              <w:divsChild>
                <w:div w:id="19784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9215">
          <w:marLeft w:val="0"/>
          <w:marRight w:val="0"/>
          <w:marTop w:val="0"/>
          <w:marBottom w:val="0"/>
          <w:divBdr>
            <w:top w:val="none" w:sz="0" w:space="0" w:color="auto"/>
            <w:left w:val="none" w:sz="0" w:space="0" w:color="auto"/>
            <w:bottom w:val="none" w:sz="0" w:space="0" w:color="auto"/>
            <w:right w:val="none" w:sz="0" w:space="0" w:color="auto"/>
          </w:divBdr>
          <w:divsChild>
            <w:div w:id="1736009716">
              <w:marLeft w:val="0"/>
              <w:marRight w:val="0"/>
              <w:marTop w:val="0"/>
              <w:marBottom w:val="0"/>
              <w:divBdr>
                <w:top w:val="none" w:sz="0" w:space="0" w:color="auto"/>
                <w:left w:val="none" w:sz="0" w:space="0" w:color="auto"/>
                <w:bottom w:val="none" w:sz="0" w:space="0" w:color="auto"/>
                <w:right w:val="none" w:sz="0" w:space="0" w:color="auto"/>
              </w:divBdr>
              <w:divsChild>
                <w:div w:id="2506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21288951">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60333684">
      <w:bodyDiv w:val="1"/>
      <w:marLeft w:val="0"/>
      <w:marRight w:val="0"/>
      <w:marTop w:val="0"/>
      <w:marBottom w:val="0"/>
      <w:divBdr>
        <w:top w:val="none" w:sz="0" w:space="0" w:color="auto"/>
        <w:left w:val="none" w:sz="0" w:space="0" w:color="auto"/>
        <w:bottom w:val="none" w:sz="0" w:space="0" w:color="auto"/>
        <w:right w:val="none" w:sz="0" w:space="0" w:color="auto"/>
      </w:divBdr>
      <w:divsChild>
        <w:div w:id="1583220687">
          <w:marLeft w:val="0"/>
          <w:marRight w:val="0"/>
          <w:marTop w:val="0"/>
          <w:marBottom w:val="0"/>
          <w:divBdr>
            <w:top w:val="none" w:sz="0" w:space="0" w:color="auto"/>
            <w:left w:val="none" w:sz="0" w:space="0" w:color="auto"/>
            <w:bottom w:val="none" w:sz="0" w:space="0" w:color="auto"/>
            <w:right w:val="none" w:sz="0" w:space="0" w:color="auto"/>
          </w:divBdr>
          <w:divsChild>
            <w:div w:id="877275355">
              <w:marLeft w:val="0"/>
              <w:marRight w:val="0"/>
              <w:marTop w:val="0"/>
              <w:marBottom w:val="0"/>
              <w:divBdr>
                <w:top w:val="none" w:sz="0" w:space="0" w:color="auto"/>
                <w:left w:val="none" w:sz="0" w:space="0" w:color="auto"/>
                <w:bottom w:val="none" w:sz="0" w:space="0" w:color="auto"/>
                <w:right w:val="none" w:sz="0" w:space="0" w:color="auto"/>
              </w:divBdr>
              <w:divsChild>
                <w:div w:id="1840852202">
                  <w:marLeft w:val="0"/>
                  <w:marRight w:val="0"/>
                  <w:marTop w:val="0"/>
                  <w:marBottom w:val="0"/>
                  <w:divBdr>
                    <w:top w:val="none" w:sz="0" w:space="0" w:color="auto"/>
                    <w:left w:val="none" w:sz="0" w:space="0" w:color="auto"/>
                    <w:bottom w:val="none" w:sz="0" w:space="0" w:color="auto"/>
                    <w:right w:val="none" w:sz="0" w:space="0" w:color="auto"/>
                  </w:divBdr>
                  <w:divsChild>
                    <w:div w:id="10947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22730976">
      <w:bodyDiv w:val="1"/>
      <w:marLeft w:val="0"/>
      <w:marRight w:val="0"/>
      <w:marTop w:val="0"/>
      <w:marBottom w:val="0"/>
      <w:divBdr>
        <w:top w:val="none" w:sz="0" w:space="0" w:color="auto"/>
        <w:left w:val="none" w:sz="0" w:space="0" w:color="auto"/>
        <w:bottom w:val="none" w:sz="0" w:space="0" w:color="auto"/>
        <w:right w:val="none" w:sz="0" w:space="0" w:color="auto"/>
      </w:divBdr>
      <w:divsChild>
        <w:div w:id="1773239239">
          <w:marLeft w:val="0"/>
          <w:marRight w:val="0"/>
          <w:marTop w:val="0"/>
          <w:marBottom w:val="0"/>
          <w:divBdr>
            <w:top w:val="none" w:sz="0" w:space="0" w:color="auto"/>
            <w:left w:val="none" w:sz="0" w:space="0" w:color="auto"/>
            <w:bottom w:val="none" w:sz="0" w:space="0" w:color="auto"/>
            <w:right w:val="none" w:sz="0" w:space="0" w:color="auto"/>
          </w:divBdr>
          <w:divsChild>
            <w:div w:id="1138570181">
              <w:marLeft w:val="0"/>
              <w:marRight w:val="0"/>
              <w:marTop w:val="0"/>
              <w:marBottom w:val="0"/>
              <w:divBdr>
                <w:top w:val="none" w:sz="0" w:space="0" w:color="auto"/>
                <w:left w:val="none" w:sz="0" w:space="0" w:color="auto"/>
                <w:bottom w:val="none" w:sz="0" w:space="0" w:color="auto"/>
                <w:right w:val="none" w:sz="0" w:space="0" w:color="auto"/>
              </w:divBdr>
              <w:divsChild>
                <w:div w:id="107622185">
                  <w:marLeft w:val="0"/>
                  <w:marRight w:val="0"/>
                  <w:marTop w:val="0"/>
                  <w:marBottom w:val="0"/>
                  <w:divBdr>
                    <w:top w:val="none" w:sz="0" w:space="0" w:color="auto"/>
                    <w:left w:val="none" w:sz="0" w:space="0" w:color="auto"/>
                    <w:bottom w:val="none" w:sz="0" w:space="0" w:color="auto"/>
                    <w:right w:val="none" w:sz="0" w:space="0" w:color="auto"/>
                  </w:divBdr>
                </w:div>
              </w:divsChild>
            </w:div>
            <w:div w:id="317156646">
              <w:marLeft w:val="0"/>
              <w:marRight w:val="0"/>
              <w:marTop w:val="0"/>
              <w:marBottom w:val="0"/>
              <w:divBdr>
                <w:top w:val="none" w:sz="0" w:space="0" w:color="auto"/>
                <w:left w:val="none" w:sz="0" w:space="0" w:color="auto"/>
                <w:bottom w:val="none" w:sz="0" w:space="0" w:color="auto"/>
                <w:right w:val="none" w:sz="0" w:space="0" w:color="auto"/>
              </w:divBdr>
              <w:divsChild>
                <w:div w:id="4790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5100">
          <w:marLeft w:val="0"/>
          <w:marRight w:val="0"/>
          <w:marTop w:val="0"/>
          <w:marBottom w:val="0"/>
          <w:divBdr>
            <w:top w:val="none" w:sz="0" w:space="0" w:color="auto"/>
            <w:left w:val="none" w:sz="0" w:space="0" w:color="auto"/>
            <w:bottom w:val="none" w:sz="0" w:space="0" w:color="auto"/>
            <w:right w:val="none" w:sz="0" w:space="0" w:color="auto"/>
          </w:divBdr>
          <w:divsChild>
            <w:div w:id="417753599">
              <w:marLeft w:val="0"/>
              <w:marRight w:val="0"/>
              <w:marTop w:val="0"/>
              <w:marBottom w:val="0"/>
              <w:divBdr>
                <w:top w:val="none" w:sz="0" w:space="0" w:color="auto"/>
                <w:left w:val="none" w:sz="0" w:space="0" w:color="auto"/>
                <w:bottom w:val="none" w:sz="0" w:space="0" w:color="auto"/>
                <w:right w:val="none" w:sz="0" w:space="0" w:color="auto"/>
              </w:divBdr>
              <w:divsChild>
                <w:div w:id="1473518451">
                  <w:marLeft w:val="0"/>
                  <w:marRight w:val="0"/>
                  <w:marTop w:val="0"/>
                  <w:marBottom w:val="0"/>
                  <w:divBdr>
                    <w:top w:val="none" w:sz="0" w:space="0" w:color="auto"/>
                    <w:left w:val="none" w:sz="0" w:space="0" w:color="auto"/>
                    <w:bottom w:val="none" w:sz="0" w:space="0" w:color="auto"/>
                    <w:right w:val="none" w:sz="0" w:space="0" w:color="auto"/>
                  </w:divBdr>
                </w:div>
              </w:divsChild>
            </w:div>
            <w:div w:id="1168713678">
              <w:marLeft w:val="0"/>
              <w:marRight w:val="0"/>
              <w:marTop w:val="0"/>
              <w:marBottom w:val="0"/>
              <w:divBdr>
                <w:top w:val="none" w:sz="0" w:space="0" w:color="auto"/>
                <w:left w:val="none" w:sz="0" w:space="0" w:color="auto"/>
                <w:bottom w:val="none" w:sz="0" w:space="0" w:color="auto"/>
                <w:right w:val="none" w:sz="0" w:space="0" w:color="auto"/>
              </w:divBdr>
              <w:divsChild>
                <w:div w:id="1623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3015">
          <w:marLeft w:val="0"/>
          <w:marRight w:val="0"/>
          <w:marTop w:val="0"/>
          <w:marBottom w:val="0"/>
          <w:divBdr>
            <w:top w:val="none" w:sz="0" w:space="0" w:color="auto"/>
            <w:left w:val="none" w:sz="0" w:space="0" w:color="auto"/>
            <w:bottom w:val="none" w:sz="0" w:space="0" w:color="auto"/>
            <w:right w:val="none" w:sz="0" w:space="0" w:color="auto"/>
          </w:divBdr>
          <w:divsChild>
            <w:div w:id="1818494014">
              <w:marLeft w:val="0"/>
              <w:marRight w:val="0"/>
              <w:marTop w:val="0"/>
              <w:marBottom w:val="0"/>
              <w:divBdr>
                <w:top w:val="none" w:sz="0" w:space="0" w:color="auto"/>
                <w:left w:val="none" w:sz="0" w:space="0" w:color="auto"/>
                <w:bottom w:val="none" w:sz="0" w:space="0" w:color="auto"/>
                <w:right w:val="none" w:sz="0" w:space="0" w:color="auto"/>
              </w:divBdr>
              <w:divsChild>
                <w:div w:id="15622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2093158">
      <w:bodyDiv w:val="1"/>
      <w:marLeft w:val="0"/>
      <w:marRight w:val="0"/>
      <w:marTop w:val="0"/>
      <w:marBottom w:val="0"/>
      <w:divBdr>
        <w:top w:val="none" w:sz="0" w:space="0" w:color="auto"/>
        <w:left w:val="none" w:sz="0" w:space="0" w:color="auto"/>
        <w:bottom w:val="none" w:sz="0" w:space="0" w:color="auto"/>
        <w:right w:val="none" w:sz="0" w:space="0" w:color="auto"/>
      </w:divBdr>
      <w:divsChild>
        <w:div w:id="1491678029">
          <w:marLeft w:val="0"/>
          <w:marRight w:val="0"/>
          <w:marTop w:val="0"/>
          <w:marBottom w:val="0"/>
          <w:divBdr>
            <w:top w:val="none" w:sz="0" w:space="0" w:color="auto"/>
            <w:left w:val="none" w:sz="0" w:space="0" w:color="auto"/>
            <w:bottom w:val="none" w:sz="0" w:space="0" w:color="auto"/>
            <w:right w:val="none" w:sz="0" w:space="0" w:color="auto"/>
          </w:divBdr>
          <w:divsChild>
            <w:div w:id="111829421">
              <w:marLeft w:val="0"/>
              <w:marRight w:val="0"/>
              <w:marTop w:val="0"/>
              <w:marBottom w:val="0"/>
              <w:divBdr>
                <w:top w:val="none" w:sz="0" w:space="0" w:color="auto"/>
                <w:left w:val="none" w:sz="0" w:space="0" w:color="auto"/>
                <w:bottom w:val="none" w:sz="0" w:space="0" w:color="auto"/>
                <w:right w:val="none" w:sz="0" w:space="0" w:color="auto"/>
              </w:divBdr>
              <w:divsChild>
                <w:div w:id="5285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8792">
      <w:bodyDiv w:val="1"/>
      <w:marLeft w:val="0"/>
      <w:marRight w:val="0"/>
      <w:marTop w:val="0"/>
      <w:marBottom w:val="0"/>
      <w:divBdr>
        <w:top w:val="none" w:sz="0" w:space="0" w:color="auto"/>
        <w:left w:val="none" w:sz="0" w:space="0" w:color="auto"/>
        <w:bottom w:val="none" w:sz="0" w:space="0" w:color="auto"/>
        <w:right w:val="none" w:sz="0" w:space="0" w:color="auto"/>
      </w:divBdr>
      <w:divsChild>
        <w:div w:id="276641995">
          <w:marLeft w:val="0"/>
          <w:marRight w:val="0"/>
          <w:marTop w:val="0"/>
          <w:marBottom w:val="0"/>
          <w:divBdr>
            <w:top w:val="none" w:sz="0" w:space="0" w:color="auto"/>
            <w:left w:val="none" w:sz="0" w:space="0" w:color="auto"/>
            <w:bottom w:val="none" w:sz="0" w:space="0" w:color="auto"/>
            <w:right w:val="none" w:sz="0" w:space="0" w:color="auto"/>
          </w:divBdr>
          <w:divsChild>
            <w:div w:id="1630285822">
              <w:marLeft w:val="0"/>
              <w:marRight w:val="0"/>
              <w:marTop w:val="0"/>
              <w:marBottom w:val="0"/>
              <w:divBdr>
                <w:top w:val="none" w:sz="0" w:space="0" w:color="auto"/>
                <w:left w:val="none" w:sz="0" w:space="0" w:color="auto"/>
                <w:bottom w:val="none" w:sz="0" w:space="0" w:color="auto"/>
                <w:right w:val="none" w:sz="0" w:space="0" w:color="auto"/>
              </w:divBdr>
              <w:divsChild>
                <w:div w:id="812261170">
                  <w:marLeft w:val="0"/>
                  <w:marRight w:val="0"/>
                  <w:marTop w:val="0"/>
                  <w:marBottom w:val="0"/>
                  <w:divBdr>
                    <w:top w:val="none" w:sz="0" w:space="0" w:color="auto"/>
                    <w:left w:val="none" w:sz="0" w:space="0" w:color="auto"/>
                    <w:bottom w:val="none" w:sz="0" w:space="0" w:color="auto"/>
                    <w:right w:val="none" w:sz="0" w:space="0" w:color="auto"/>
                  </w:divBdr>
                </w:div>
              </w:divsChild>
            </w:div>
            <w:div w:id="1695572004">
              <w:marLeft w:val="0"/>
              <w:marRight w:val="0"/>
              <w:marTop w:val="0"/>
              <w:marBottom w:val="0"/>
              <w:divBdr>
                <w:top w:val="none" w:sz="0" w:space="0" w:color="auto"/>
                <w:left w:val="none" w:sz="0" w:space="0" w:color="auto"/>
                <w:bottom w:val="none" w:sz="0" w:space="0" w:color="auto"/>
                <w:right w:val="none" w:sz="0" w:space="0" w:color="auto"/>
              </w:divBdr>
              <w:divsChild>
                <w:div w:id="770395434">
                  <w:marLeft w:val="0"/>
                  <w:marRight w:val="0"/>
                  <w:marTop w:val="0"/>
                  <w:marBottom w:val="0"/>
                  <w:divBdr>
                    <w:top w:val="none" w:sz="0" w:space="0" w:color="auto"/>
                    <w:left w:val="none" w:sz="0" w:space="0" w:color="auto"/>
                    <w:bottom w:val="none" w:sz="0" w:space="0" w:color="auto"/>
                    <w:right w:val="none" w:sz="0" w:space="0" w:color="auto"/>
                  </w:divBdr>
                </w:div>
              </w:divsChild>
            </w:div>
            <w:div w:id="24648072">
              <w:marLeft w:val="0"/>
              <w:marRight w:val="0"/>
              <w:marTop w:val="0"/>
              <w:marBottom w:val="0"/>
              <w:divBdr>
                <w:top w:val="none" w:sz="0" w:space="0" w:color="auto"/>
                <w:left w:val="none" w:sz="0" w:space="0" w:color="auto"/>
                <w:bottom w:val="none" w:sz="0" w:space="0" w:color="auto"/>
                <w:right w:val="none" w:sz="0" w:space="0" w:color="auto"/>
              </w:divBdr>
              <w:divsChild>
                <w:div w:id="14613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7411">
          <w:marLeft w:val="0"/>
          <w:marRight w:val="0"/>
          <w:marTop w:val="0"/>
          <w:marBottom w:val="0"/>
          <w:divBdr>
            <w:top w:val="none" w:sz="0" w:space="0" w:color="auto"/>
            <w:left w:val="none" w:sz="0" w:space="0" w:color="auto"/>
            <w:bottom w:val="none" w:sz="0" w:space="0" w:color="auto"/>
            <w:right w:val="none" w:sz="0" w:space="0" w:color="auto"/>
          </w:divBdr>
          <w:divsChild>
            <w:div w:id="1596357552">
              <w:marLeft w:val="0"/>
              <w:marRight w:val="0"/>
              <w:marTop w:val="0"/>
              <w:marBottom w:val="0"/>
              <w:divBdr>
                <w:top w:val="none" w:sz="0" w:space="0" w:color="auto"/>
                <w:left w:val="none" w:sz="0" w:space="0" w:color="auto"/>
                <w:bottom w:val="none" w:sz="0" w:space="0" w:color="auto"/>
                <w:right w:val="none" w:sz="0" w:space="0" w:color="auto"/>
              </w:divBdr>
              <w:divsChild>
                <w:div w:id="14326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4813">
      <w:bodyDiv w:val="1"/>
      <w:marLeft w:val="0"/>
      <w:marRight w:val="0"/>
      <w:marTop w:val="0"/>
      <w:marBottom w:val="0"/>
      <w:divBdr>
        <w:top w:val="none" w:sz="0" w:space="0" w:color="auto"/>
        <w:left w:val="none" w:sz="0" w:space="0" w:color="auto"/>
        <w:bottom w:val="none" w:sz="0" w:space="0" w:color="auto"/>
        <w:right w:val="none" w:sz="0" w:space="0" w:color="auto"/>
      </w:divBdr>
      <w:divsChild>
        <w:div w:id="1262449840">
          <w:marLeft w:val="0"/>
          <w:marRight w:val="0"/>
          <w:marTop w:val="0"/>
          <w:marBottom w:val="0"/>
          <w:divBdr>
            <w:top w:val="none" w:sz="0" w:space="0" w:color="auto"/>
            <w:left w:val="none" w:sz="0" w:space="0" w:color="auto"/>
            <w:bottom w:val="none" w:sz="0" w:space="0" w:color="auto"/>
            <w:right w:val="none" w:sz="0" w:space="0" w:color="auto"/>
          </w:divBdr>
          <w:divsChild>
            <w:div w:id="56780933">
              <w:marLeft w:val="0"/>
              <w:marRight w:val="0"/>
              <w:marTop w:val="0"/>
              <w:marBottom w:val="0"/>
              <w:divBdr>
                <w:top w:val="none" w:sz="0" w:space="0" w:color="auto"/>
                <w:left w:val="none" w:sz="0" w:space="0" w:color="auto"/>
                <w:bottom w:val="none" w:sz="0" w:space="0" w:color="auto"/>
                <w:right w:val="none" w:sz="0" w:space="0" w:color="auto"/>
              </w:divBdr>
              <w:divsChild>
                <w:div w:id="14734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4175">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146581727">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3778">
      <w:bodyDiv w:val="1"/>
      <w:marLeft w:val="0"/>
      <w:marRight w:val="0"/>
      <w:marTop w:val="0"/>
      <w:marBottom w:val="0"/>
      <w:divBdr>
        <w:top w:val="none" w:sz="0" w:space="0" w:color="auto"/>
        <w:left w:val="none" w:sz="0" w:space="0" w:color="auto"/>
        <w:bottom w:val="none" w:sz="0" w:space="0" w:color="auto"/>
        <w:right w:val="none" w:sz="0" w:space="0" w:color="auto"/>
      </w:divBdr>
    </w:div>
    <w:div w:id="1272080948">
      <w:bodyDiv w:val="1"/>
      <w:marLeft w:val="0"/>
      <w:marRight w:val="0"/>
      <w:marTop w:val="0"/>
      <w:marBottom w:val="0"/>
      <w:divBdr>
        <w:top w:val="none" w:sz="0" w:space="0" w:color="auto"/>
        <w:left w:val="none" w:sz="0" w:space="0" w:color="auto"/>
        <w:bottom w:val="none" w:sz="0" w:space="0" w:color="auto"/>
        <w:right w:val="none" w:sz="0" w:space="0" w:color="auto"/>
      </w:divBdr>
      <w:divsChild>
        <w:div w:id="1450473510">
          <w:marLeft w:val="0"/>
          <w:marRight w:val="0"/>
          <w:marTop w:val="0"/>
          <w:marBottom w:val="0"/>
          <w:divBdr>
            <w:top w:val="none" w:sz="0" w:space="0" w:color="auto"/>
            <w:left w:val="none" w:sz="0" w:space="0" w:color="auto"/>
            <w:bottom w:val="none" w:sz="0" w:space="0" w:color="auto"/>
            <w:right w:val="none" w:sz="0" w:space="0" w:color="auto"/>
          </w:divBdr>
          <w:divsChild>
            <w:div w:id="1075783932">
              <w:marLeft w:val="0"/>
              <w:marRight w:val="0"/>
              <w:marTop w:val="0"/>
              <w:marBottom w:val="0"/>
              <w:divBdr>
                <w:top w:val="none" w:sz="0" w:space="0" w:color="auto"/>
                <w:left w:val="none" w:sz="0" w:space="0" w:color="auto"/>
                <w:bottom w:val="none" w:sz="0" w:space="0" w:color="auto"/>
                <w:right w:val="none" w:sz="0" w:space="0" w:color="auto"/>
              </w:divBdr>
              <w:divsChild>
                <w:div w:id="916327576">
                  <w:marLeft w:val="0"/>
                  <w:marRight w:val="0"/>
                  <w:marTop w:val="0"/>
                  <w:marBottom w:val="0"/>
                  <w:divBdr>
                    <w:top w:val="none" w:sz="0" w:space="0" w:color="auto"/>
                    <w:left w:val="none" w:sz="0" w:space="0" w:color="auto"/>
                    <w:bottom w:val="none" w:sz="0" w:space="0" w:color="auto"/>
                    <w:right w:val="none" w:sz="0" w:space="0" w:color="auto"/>
                  </w:divBdr>
                </w:div>
              </w:divsChild>
            </w:div>
            <w:div w:id="1311058659">
              <w:marLeft w:val="0"/>
              <w:marRight w:val="0"/>
              <w:marTop w:val="0"/>
              <w:marBottom w:val="0"/>
              <w:divBdr>
                <w:top w:val="none" w:sz="0" w:space="0" w:color="auto"/>
                <w:left w:val="none" w:sz="0" w:space="0" w:color="auto"/>
                <w:bottom w:val="none" w:sz="0" w:space="0" w:color="auto"/>
                <w:right w:val="none" w:sz="0" w:space="0" w:color="auto"/>
              </w:divBdr>
              <w:divsChild>
                <w:div w:id="15032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6423">
          <w:marLeft w:val="0"/>
          <w:marRight w:val="0"/>
          <w:marTop w:val="0"/>
          <w:marBottom w:val="0"/>
          <w:divBdr>
            <w:top w:val="none" w:sz="0" w:space="0" w:color="auto"/>
            <w:left w:val="none" w:sz="0" w:space="0" w:color="auto"/>
            <w:bottom w:val="none" w:sz="0" w:space="0" w:color="auto"/>
            <w:right w:val="none" w:sz="0" w:space="0" w:color="auto"/>
          </w:divBdr>
          <w:divsChild>
            <w:div w:id="686058636">
              <w:marLeft w:val="0"/>
              <w:marRight w:val="0"/>
              <w:marTop w:val="0"/>
              <w:marBottom w:val="0"/>
              <w:divBdr>
                <w:top w:val="none" w:sz="0" w:space="0" w:color="auto"/>
                <w:left w:val="none" w:sz="0" w:space="0" w:color="auto"/>
                <w:bottom w:val="none" w:sz="0" w:space="0" w:color="auto"/>
                <w:right w:val="none" w:sz="0" w:space="0" w:color="auto"/>
              </w:divBdr>
              <w:divsChild>
                <w:div w:id="1270625838">
                  <w:marLeft w:val="0"/>
                  <w:marRight w:val="0"/>
                  <w:marTop w:val="0"/>
                  <w:marBottom w:val="0"/>
                  <w:divBdr>
                    <w:top w:val="none" w:sz="0" w:space="0" w:color="auto"/>
                    <w:left w:val="none" w:sz="0" w:space="0" w:color="auto"/>
                    <w:bottom w:val="none" w:sz="0" w:space="0" w:color="auto"/>
                    <w:right w:val="none" w:sz="0" w:space="0" w:color="auto"/>
                  </w:divBdr>
                </w:div>
              </w:divsChild>
            </w:div>
            <w:div w:id="111677014">
              <w:marLeft w:val="0"/>
              <w:marRight w:val="0"/>
              <w:marTop w:val="0"/>
              <w:marBottom w:val="0"/>
              <w:divBdr>
                <w:top w:val="none" w:sz="0" w:space="0" w:color="auto"/>
                <w:left w:val="none" w:sz="0" w:space="0" w:color="auto"/>
                <w:bottom w:val="none" w:sz="0" w:space="0" w:color="auto"/>
                <w:right w:val="none" w:sz="0" w:space="0" w:color="auto"/>
              </w:divBdr>
              <w:divsChild>
                <w:div w:id="13725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6494">
          <w:marLeft w:val="0"/>
          <w:marRight w:val="0"/>
          <w:marTop w:val="0"/>
          <w:marBottom w:val="0"/>
          <w:divBdr>
            <w:top w:val="none" w:sz="0" w:space="0" w:color="auto"/>
            <w:left w:val="none" w:sz="0" w:space="0" w:color="auto"/>
            <w:bottom w:val="none" w:sz="0" w:space="0" w:color="auto"/>
            <w:right w:val="none" w:sz="0" w:space="0" w:color="auto"/>
          </w:divBdr>
          <w:divsChild>
            <w:div w:id="1276866444">
              <w:marLeft w:val="0"/>
              <w:marRight w:val="0"/>
              <w:marTop w:val="0"/>
              <w:marBottom w:val="0"/>
              <w:divBdr>
                <w:top w:val="none" w:sz="0" w:space="0" w:color="auto"/>
                <w:left w:val="none" w:sz="0" w:space="0" w:color="auto"/>
                <w:bottom w:val="none" w:sz="0" w:space="0" w:color="auto"/>
                <w:right w:val="none" w:sz="0" w:space="0" w:color="auto"/>
              </w:divBdr>
              <w:divsChild>
                <w:div w:id="7326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498576186">
      <w:bodyDiv w:val="1"/>
      <w:marLeft w:val="0"/>
      <w:marRight w:val="0"/>
      <w:marTop w:val="0"/>
      <w:marBottom w:val="0"/>
      <w:divBdr>
        <w:top w:val="none" w:sz="0" w:space="0" w:color="auto"/>
        <w:left w:val="none" w:sz="0" w:space="0" w:color="auto"/>
        <w:bottom w:val="none" w:sz="0" w:space="0" w:color="auto"/>
        <w:right w:val="none" w:sz="0" w:space="0" w:color="auto"/>
      </w:divBdr>
    </w:div>
    <w:div w:id="1527526928">
      <w:bodyDiv w:val="1"/>
      <w:marLeft w:val="0"/>
      <w:marRight w:val="0"/>
      <w:marTop w:val="0"/>
      <w:marBottom w:val="0"/>
      <w:divBdr>
        <w:top w:val="none" w:sz="0" w:space="0" w:color="auto"/>
        <w:left w:val="none" w:sz="0" w:space="0" w:color="auto"/>
        <w:bottom w:val="none" w:sz="0" w:space="0" w:color="auto"/>
        <w:right w:val="none" w:sz="0" w:space="0" w:color="auto"/>
      </w:divBdr>
      <w:divsChild>
        <w:div w:id="1692534787">
          <w:marLeft w:val="0"/>
          <w:marRight w:val="0"/>
          <w:marTop w:val="0"/>
          <w:marBottom w:val="0"/>
          <w:divBdr>
            <w:top w:val="none" w:sz="0" w:space="0" w:color="auto"/>
            <w:left w:val="none" w:sz="0" w:space="0" w:color="auto"/>
            <w:bottom w:val="none" w:sz="0" w:space="0" w:color="auto"/>
            <w:right w:val="none" w:sz="0" w:space="0" w:color="auto"/>
          </w:divBdr>
          <w:divsChild>
            <w:div w:id="1853179658">
              <w:marLeft w:val="0"/>
              <w:marRight w:val="0"/>
              <w:marTop w:val="0"/>
              <w:marBottom w:val="0"/>
              <w:divBdr>
                <w:top w:val="none" w:sz="0" w:space="0" w:color="auto"/>
                <w:left w:val="none" w:sz="0" w:space="0" w:color="auto"/>
                <w:bottom w:val="none" w:sz="0" w:space="0" w:color="auto"/>
                <w:right w:val="none" w:sz="0" w:space="0" w:color="auto"/>
              </w:divBdr>
              <w:divsChild>
                <w:div w:id="1310017417">
                  <w:marLeft w:val="0"/>
                  <w:marRight w:val="0"/>
                  <w:marTop w:val="0"/>
                  <w:marBottom w:val="0"/>
                  <w:divBdr>
                    <w:top w:val="none" w:sz="0" w:space="0" w:color="auto"/>
                    <w:left w:val="none" w:sz="0" w:space="0" w:color="auto"/>
                    <w:bottom w:val="none" w:sz="0" w:space="0" w:color="auto"/>
                    <w:right w:val="none" w:sz="0" w:space="0" w:color="auto"/>
                  </w:divBdr>
                  <w:divsChild>
                    <w:div w:id="20346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40630506">
      <w:bodyDiv w:val="1"/>
      <w:marLeft w:val="0"/>
      <w:marRight w:val="0"/>
      <w:marTop w:val="0"/>
      <w:marBottom w:val="0"/>
      <w:divBdr>
        <w:top w:val="none" w:sz="0" w:space="0" w:color="auto"/>
        <w:left w:val="none" w:sz="0" w:space="0" w:color="auto"/>
        <w:bottom w:val="none" w:sz="0" w:space="0" w:color="auto"/>
        <w:right w:val="none" w:sz="0" w:space="0" w:color="auto"/>
      </w:divBdr>
      <w:divsChild>
        <w:div w:id="1368069685">
          <w:marLeft w:val="0"/>
          <w:marRight w:val="0"/>
          <w:marTop w:val="0"/>
          <w:marBottom w:val="0"/>
          <w:divBdr>
            <w:top w:val="none" w:sz="0" w:space="0" w:color="auto"/>
            <w:left w:val="none" w:sz="0" w:space="0" w:color="auto"/>
            <w:bottom w:val="none" w:sz="0" w:space="0" w:color="auto"/>
            <w:right w:val="none" w:sz="0" w:space="0" w:color="auto"/>
          </w:divBdr>
          <w:divsChild>
            <w:div w:id="1435319671">
              <w:marLeft w:val="0"/>
              <w:marRight w:val="0"/>
              <w:marTop w:val="0"/>
              <w:marBottom w:val="0"/>
              <w:divBdr>
                <w:top w:val="none" w:sz="0" w:space="0" w:color="auto"/>
                <w:left w:val="none" w:sz="0" w:space="0" w:color="auto"/>
                <w:bottom w:val="none" w:sz="0" w:space="0" w:color="auto"/>
                <w:right w:val="none" w:sz="0" w:space="0" w:color="auto"/>
              </w:divBdr>
              <w:divsChild>
                <w:div w:id="1123697864">
                  <w:marLeft w:val="0"/>
                  <w:marRight w:val="0"/>
                  <w:marTop w:val="0"/>
                  <w:marBottom w:val="0"/>
                  <w:divBdr>
                    <w:top w:val="none" w:sz="0" w:space="0" w:color="auto"/>
                    <w:left w:val="none" w:sz="0" w:space="0" w:color="auto"/>
                    <w:bottom w:val="none" w:sz="0" w:space="0" w:color="auto"/>
                    <w:right w:val="none" w:sz="0" w:space="0" w:color="auto"/>
                  </w:divBdr>
                </w:div>
              </w:divsChild>
            </w:div>
            <w:div w:id="262883962">
              <w:marLeft w:val="0"/>
              <w:marRight w:val="0"/>
              <w:marTop w:val="0"/>
              <w:marBottom w:val="0"/>
              <w:divBdr>
                <w:top w:val="none" w:sz="0" w:space="0" w:color="auto"/>
                <w:left w:val="none" w:sz="0" w:space="0" w:color="auto"/>
                <w:bottom w:val="none" w:sz="0" w:space="0" w:color="auto"/>
                <w:right w:val="none" w:sz="0" w:space="0" w:color="auto"/>
              </w:divBdr>
              <w:divsChild>
                <w:div w:id="57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5070">
          <w:marLeft w:val="0"/>
          <w:marRight w:val="0"/>
          <w:marTop w:val="0"/>
          <w:marBottom w:val="0"/>
          <w:divBdr>
            <w:top w:val="none" w:sz="0" w:space="0" w:color="auto"/>
            <w:left w:val="none" w:sz="0" w:space="0" w:color="auto"/>
            <w:bottom w:val="none" w:sz="0" w:space="0" w:color="auto"/>
            <w:right w:val="none" w:sz="0" w:space="0" w:color="auto"/>
          </w:divBdr>
          <w:divsChild>
            <w:div w:id="641882320">
              <w:marLeft w:val="0"/>
              <w:marRight w:val="0"/>
              <w:marTop w:val="0"/>
              <w:marBottom w:val="0"/>
              <w:divBdr>
                <w:top w:val="none" w:sz="0" w:space="0" w:color="auto"/>
                <w:left w:val="none" w:sz="0" w:space="0" w:color="auto"/>
                <w:bottom w:val="none" w:sz="0" w:space="0" w:color="auto"/>
                <w:right w:val="none" w:sz="0" w:space="0" w:color="auto"/>
              </w:divBdr>
              <w:divsChild>
                <w:div w:id="19613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642728977">
      <w:bodyDiv w:val="1"/>
      <w:marLeft w:val="0"/>
      <w:marRight w:val="0"/>
      <w:marTop w:val="0"/>
      <w:marBottom w:val="0"/>
      <w:divBdr>
        <w:top w:val="none" w:sz="0" w:space="0" w:color="auto"/>
        <w:left w:val="none" w:sz="0" w:space="0" w:color="auto"/>
        <w:bottom w:val="none" w:sz="0" w:space="0" w:color="auto"/>
        <w:right w:val="none" w:sz="0" w:space="0" w:color="auto"/>
      </w:divBdr>
      <w:divsChild>
        <w:div w:id="1246574975">
          <w:marLeft w:val="0"/>
          <w:marRight w:val="0"/>
          <w:marTop w:val="0"/>
          <w:marBottom w:val="0"/>
          <w:divBdr>
            <w:top w:val="none" w:sz="0" w:space="0" w:color="auto"/>
            <w:left w:val="none" w:sz="0" w:space="0" w:color="auto"/>
            <w:bottom w:val="none" w:sz="0" w:space="0" w:color="auto"/>
            <w:right w:val="none" w:sz="0" w:space="0" w:color="auto"/>
          </w:divBdr>
          <w:divsChild>
            <w:div w:id="1657032768">
              <w:marLeft w:val="0"/>
              <w:marRight w:val="0"/>
              <w:marTop w:val="0"/>
              <w:marBottom w:val="0"/>
              <w:divBdr>
                <w:top w:val="none" w:sz="0" w:space="0" w:color="auto"/>
                <w:left w:val="none" w:sz="0" w:space="0" w:color="auto"/>
                <w:bottom w:val="none" w:sz="0" w:space="0" w:color="auto"/>
                <w:right w:val="none" w:sz="0" w:space="0" w:color="auto"/>
              </w:divBdr>
              <w:divsChild>
                <w:div w:id="18685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8044">
      <w:bodyDiv w:val="1"/>
      <w:marLeft w:val="0"/>
      <w:marRight w:val="0"/>
      <w:marTop w:val="0"/>
      <w:marBottom w:val="0"/>
      <w:divBdr>
        <w:top w:val="none" w:sz="0" w:space="0" w:color="auto"/>
        <w:left w:val="none" w:sz="0" w:space="0" w:color="auto"/>
        <w:bottom w:val="none" w:sz="0" w:space="0" w:color="auto"/>
        <w:right w:val="none" w:sz="0" w:space="0" w:color="auto"/>
      </w:divBdr>
    </w:div>
    <w:div w:id="1717661700">
      <w:bodyDiv w:val="1"/>
      <w:marLeft w:val="0"/>
      <w:marRight w:val="0"/>
      <w:marTop w:val="0"/>
      <w:marBottom w:val="0"/>
      <w:divBdr>
        <w:top w:val="none" w:sz="0" w:space="0" w:color="auto"/>
        <w:left w:val="none" w:sz="0" w:space="0" w:color="auto"/>
        <w:bottom w:val="none" w:sz="0" w:space="0" w:color="auto"/>
        <w:right w:val="none" w:sz="0" w:space="0" w:color="auto"/>
      </w:divBdr>
      <w:divsChild>
        <w:div w:id="2015574036">
          <w:marLeft w:val="0"/>
          <w:marRight w:val="0"/>
          <w:marTop w:val="0"/>
          <w:marBottom w:val="0"/>
          <w:divBdr>
            <w:top w:val="none" w:sz="0" w:space="0" w:color="auto"/>
            <w:left w:val="none" w:sz="0" w:space="0" w:color="auto"/>
            <w:bottom w:val="none" w:sz="0" w:space="0" w:color="auto"/>
            <w:right w:val="none" w:sz="0" w:space="0" w:color="auto"/>
          </w:divBdr>
          <w:divsChild>
            <w:div w:id="545219824">
              <w:marLeft w:val="0"/>
              <w:marRight w:val="0"/>
              <w:marTop w:val="0"/>
              <w:marBottom w:val="0"/>
              <w:divBdr>
                <w:top w:val="none" w:sz="0" w:space="0" w:color="auto"/>
                <w:left w:val="none" w:sz="0" w:space="0" w:color="auto"/>
                <w:bottom w:val="none" w:sz="0" w:space="0" w:color="auto"/>
                <w:right w:val="none" w:sz="0" w:space="0" w:color="auto"/>
              </w:divBdr>
              <w:divsChild>
                <w:div w:id="1190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9608">
      <w:bodyDiv w:val="1"/>
      <w:marLeft w:val="0"/>
      <w:marRight w:val="0"/>
      <w:marTop w:val="0"/>
      <w:marBottom w:val="0"/>
      <w:divBdr>
        <w:top w:val="none" w:sz="0" w:space="0" w:color="auto"/>
        <w:left w:val="none" w:sz="0" w:space="0" w:color="auto"/>
        <w:bottom w:val="none" w:sz="0" w:space="0" w:color="auto"/>
        <w:right w:val="none" w:sz="0" w:space="0" w:color="auto"/>
      </w:divBdr>
      <w:divsChild>
        <w:div w:id="1502313590">
          <w:marLeft w:val="0"/>
          <w:marRight w:val="0"/>
          <w:marTop w:val="0"/>
          <w:marBottom w:val="0"/>
          <w:divBdr>
            <w:top w:val="none" w:sz="0" w:space="0" w:color="auto"/>
            <w:left w:val="none" w:sz="0" w:space="0" w:color="auto"/>
            <w:bottom w:val="none" w:sz="0" w:space="0" w:color="auto"/>
            <w:right w:val="none" w:sz="0" w:space="0" w:color="auto"/>
          </w:divBdr>
          <w:divsChild>
            <w:div w:id="997460501">
              <w:marLeft w:val="0"/>
              <w:marRight w:val="0"/>
              <w:marTop w:val="0"/>
              <w:marBottom w:val="0"/>
              <w:divBdr>
                <w:top w:val="none" w:sz="0" w:space="0" w:color="auto"/>
                <w:left w:val="none" w:sz="0" w:space="0" w:color="auto"/>
                <w:bottom w:val="none" w:sz="0" w:space="0" w:color="auto"/>
                <w:right w:val="none" w:sz="0" w:space="0" w:color="auto"/>
              </w:divBdr>
              <w:divsChild>
                <w:div w:id="13678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875776004">
      <w:bodyDiv w:val="1"/>
      <w:marLeft w:val="0"/>
      <w:marRight w:val="0"/>
      <w:marTop w:val="0"/>
      <w:marBottom w:val="0"/>
      <w:divBdr>
        <w:top w:val="none" w:sz="0" w:space="0" w:color="auto"/>
        <w:left w:val="none" w:sz="0" w:space="0" w:color="auto"/>
        <w:bottom w:val="none" w:sz="0" w:space="0" w:color="auto"/>
        <w:right w:val="none" w:sz="0" w:space="0" w:color="auto"/>
      </w:divBdr>
      <w:divsChild>
        <w:div w:id="95954552">
          <w:marLeft w:val="0"/>
          <w:marRight w:val="0"/>
          <w:marTop w:val="0"/>
          <w:marBottom w:val="0"/>
          <w:divBdr>
            <w:top w:val="none" w:sz="0" w:space="0" w:color="auto"/>
            <w:left w:val="none" w:sz="0" w:space="0" w:color="auto"/>
            <w:bottom w:val="none" w:sz="0" w:space="0" w:color="auto"/>
            <w:right w:val="none" w:sz="0" w:space="0" w:color="auto"/>
          </w:divBdr>
          <w:divsChild>
            <w:div w:id="827525284">
              <w:marLeft w:val="0"/>
              <w:marRight w:val="0"/>
              <w:marTop w:val="0"/>
              <w:marBottom w:val="0"/>
              <w:divBdr>
                <w:top w:val="none" w:sz="0" w:space="0" w:color="auto"/>
                <w:left w:val="none" w:sz="0" w:space="0" w:color="auto"/>
                <w:bottom w:val="none" w:sz="0" w:space="0" w:color="auto"/>
                <w:right w:val="none" w:sz="0" w:space="0" w:color="auto"/>
              </w:divBdr>
              <w:divsChild>
                <w:div w:id="227542354">
                  <w:marLeft w:val="0"/>
                  <w:marRight w:val="0"/>
                  <w:marTop w:val="0"/>
                  <w:marBottom w:val="0"/>
                  <w:divBdr>
                    <w:top w:val="none" w:sz="0" w:space="0" w:color="auto"/>
                    <w:left w:val="none" w:sz="0" w:space="0" w:color="auto"/>
                    <w:bottom w:val="none" w:sz="0" w:space="0" w:color="auto"/>
                    <w:right w:val="none" w:sz="0" w:space="0" w:color="auto"/>
                  </w:divBdr>
                  <w:divsChild>
                    <w:div w:id="547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752">
      <w:bodyDiv w:val="1"/>
      <w:marLeft w:val="0"/>
      <w:marRight w:val="0"/>
      <w:marTop w:val="0"/>
      <w:marBottom w:val="0"/>
      <w:divBdr>
        <w:top w:val="none" w:sz="0" w:space="0" w:color="auto"/>
        <w:left w:val="none" w:sz="0" w:space="0" w:color="auto"/>
        <w:bottom w:val="none" w:sz="0" w:space="0" w:color="auto"/>
        <w:right w:val="none" w:sz="0" w:space="0" w:color="auto"/>
      </w:divBdr>
      <w:divsChild>
        <w:div w:id="824007357">
          <w:marLeft w:val="0"/>
          <w:marRight w:val="0"/>
          <w:marTop w:val="0"/>
          <w:marBottom w:val="0"/>
          <w:divBdr>
            <w:top w:val="none" w:sz="0" w:space="0" w:color="auto"/>
            <w:left w:val="none" w:sz="0" w:space="0" w:color="auto"/>
            <w:bottom w:val="none" w:sz="0" w:space="0" w:color="auto"/>
            <w:right w:val="none" w:sz="0" w:space="0" w:color="auto"/>
          </w:divBdr>
          <w:divsChild>
            <w:div w:id="1574468521">
              <w:marLeft w:val="0"/>
              <w:marRight w:val="0"/>
              <w:marTop w:val="0"/>
              <w:marBottom w:val="0"/>
              <w:divBdr>
                <w:top w:val="none" w:sz="0" w:space="0" w:color="auto"/>
                <w:left w:val="none" w:sz="0" w:space="0" w:color="auto"/>
                <w:bottom w:val="none" w:sz="0" w:space="0" w:color="auto"/>
                <w:right w:val="none" w:sz="0" w:space="0" w:color="auto"/>
              </w:divBdr>
              <w:divsChild>
                <w:div w:id="862207473">
                  <w:marLeft w:val="0"/>
                  <w:marRight w:val="0"/>
                  <w:marTop w:val="0"/>
                  <w:marBottom w:val="0"/>
                  <w:divBdr>
                    <w:top w:val="none" w:sz="0" w:space="0" w:color="auto"/>
                    <w:left w:val="none" w:sz="0" w:space="0" w:color="auto"/>
                    <w:bottom w:val="none" w:sz="0" w:space="0" w:color="auto"/>
                    <w:right w:val="none" w:sz="0" w:space="0" w:color="auto"/>
                  </w:divBdr>
                </w:div>
              </w:divsChild>
            </w:div>
            <w:div w:id="1195998488">
              <w:marLeft w:val="0"/>
              <w:marRight w:val="0"/>
              <w:marTop w:val="0"/>
              <w:marBottom w:val="0"/>
              <w:divBdr>
                <w:top w:val="none" w:sz="0" w:space="0" w:color="auto"/>
                <w:left w:val="none" w:sz="0" w:space="0" w:color="auto"/>
                <w:bottom w:val="none" w:sz="0" w:space="0" w:color="auto"/>
                <w:right w:val="none" w:sz="0" w:space="0" w:color="auto"/>
              </w:divBdr>
              <w:divsChild>
                <w:div w:id="10245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8432">
          <w:marLeft w:val="0"/>
          <w:marRight w:val="0"/>
          <w:marTop w:val="0"/>
          <w:marBottom w:val="0"/>
          <w:divBdr>
            <w:top w:val="none" w:sz="0" w:space="0" w:color="auto"/>
            <w:left w:val="none" w:sz="0" w:space="0" w:color="auto"/>
            <w:bottom w:val="none" w:sz="0" w:space="0" w:color="auto"/>
            <w:right w:val="none" w:sz="0" w:space="0" w:color="auto"/>
          </w:divBdr>
          <w:divsChild>
            <w:div w:id="617028616">
              <w:marLeft w:val="0"/>
              <w:marRight w:val="0"/>
              <w:marTop w:val="0"/>
              <w:marBottom w:val="0"/>
              <w:divBdr>
                <w:top w:val="none" w:sz="0" w:space="0" w:color="auto"/>
                <w:left w:val="none" w:sz="0" w:space="0" w:color="auto"/>
                <w:bottom w:val="none" w:sz="0" w:space="0" w:color="auto"/>
                <w:right w:val="none" w:sz="0" w:space="0" w:color="auto"/>
              </w:divBdr>
              <w:divsChild>
                <w:div w:id="995458198">
                  <w:marLeft w:val="0"/>
                  <w:marRight w:val="0"/>
                  <w:marTop w:val="0"/>
                  <w:marBottom w:val="0"/>
                  <w:divBdr>
                    <w:top w:val="none" w:sz="0" w:space="0" w:color="auto"/>
                    <w:left w:val="none" w:sz="0" w:space="0" w:color="auto"/>
                    <w:bottom w:val="none" w:sz="0" w:space="0" w:color="auto"/>
                    <w:right w:val="none" w:sz="0" w:space="0" w:color="auto"/>
                  </w:divBdr>
                </w:div>
              </w:divsChild>
            </w:div>
            <w:div w:id="1071074811">
              <w:marLeft w:val="0"/>
              <w:marRight w:val="0"/>
              <w:marTop w:val="0"/>
              <w:marBottom w:val="0"/>
              <w:divBdr>
                <w:top w:val="none" w:sz="0" w:space="0" w:color="auto"/>
                <w:left w:val="none" w:sz="0" w:space="0" w:color="auto"/>
                <w:bottom w:val="none" w:sz="0" w:space="0" w:color="auto"/>
                <w:right w:val="none" w:sz="0" w:space="0" w:color="auto"/>
              </w:divBdr>
              <w:divsChild>
                <w:div w:id="16687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0926">
          <w:marLeft w:val="0"/>
          <w:marRight w:val="0"/>
          <w:marTop w:val="0"/>
          <w:marBottom w:val="0"/>
          <w:divBdr>
            <w:top w:val="none" w:sz="0" w:space="0" w:color="auto"/>
            <w:left w:val="none" w:sz="0" w:space="0" w:color="auto"/>
            <w:bottom w:val="none" w:sz="0" w:space="0" w:color="auto"/>
            <w:right w:val="none" w:sz="0" w:space="0" w:color="auto"/>
          </w:divBdr>
          <w:divsChild>
            <w:div w:id="926424146">
              <w:marLeft w:val="0"/>
              <w:marRight w:val="0"/>
              <w:marTop w:val="0"/>
              <w:marBottom w:val="0"/>
              <w:divBdr>
                <w:top w:val="none" w:sz="0" w:space="0" w:color="auto"/>
                <w:left w:val="none" w:sz="0" w:space="0" w:color="auto"/>
                <w:bottom w:val="none" w:sz="0" w:space="0" w:color="auto"/>
                <w:right w:val="none" w:sz="0" w:space="0" w:color="auto"/>
              </w:divBdr>
              <w:divsChild>
                <w:div w:id="1518040477">
                  <w:marLeft w:val="0"/>
                  <w:marRight w:val="0"/>
                  <w:marTop w:val="0"/>
                  <w:marBottom w:val="0"/>
                  <w:divBdr>
                    <w:top w:val="none" w:sz="0" w:space="0" w:color="auto"/>
                    <w:left w:val="none" w:sz="0" w:space="0" w:color="auto"/>
                    <w:bottom w:val="none" w:sz="0" w:space="0" w:color="auto"/>
                    <w:right w:val="none" w:sz="0" w:space="0" w:color="auto"/>
                  </w:divBdr>
                </w:div>
              </w:divsChild>
            </w:div>
            <w:div w:id="383607926">
              <w:marLeft w:val="0"/>
              <w:marRight w:val="0"/>
              <w:marTop w:val="0"/>
              <w:marBottom w:val="0"/>
              <w:divBdr>
                <w:top w:val="none" w:sz="0" w:space="0" w:color="auto"/>
                <w:left w:val="none" w:sz="0" w:space="0" w:color="auto"/>
                <w:bottom w:val="none" w:sz="0" w:space="0" w:color="auto"/>
                <w:right w:val="none" w:sz="0" w:space="0" w:color="auto"/>
              </w:divBdr>
              <w:divsChild>
                <w:div w:id="3994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96">
          <w:marLeft w:val="0"/>
          <w:marRight w:val="0"/>
          <w:marTop w:val="0"/>
          <w:marBottom w:val="0"/>
          <w:divBdr>
            <w:top w:val="none" w:sz="0" w:space="0" w:color="auto"/>
            <w:left w:val="none" w:sz="0" w:space="0" w:color="auto"/>
            <w:bottom w:val="none" w:sz="0" w:space="0" w:color="auto"/>
            <w:right w:val="none" w:sz="0" w:space="0" w:color="auto"/>
          </w:divBdr>
          <w:divsChild>
            <w:div w:id="2085646250">
              <w:marLeft w:val="0"/>
              <w:marRight w:val="0"/>
              <w:marTop w:val="0"/>
              <w:marBottom w:val="0"/>
              <w:divBdr>
                <w:top w:val="none" w:sz="0" w:space="0" w:color="auto"/>
                <w:left w:val="none" w:sz="0" w:space="0" w:color="auto"/>
                <w:bottom w:val="none" w:sz="0" w:space="0" w:color="auto"/>
                <w:right w:val="none" w:sz="0" w:space="0" w:color="auto"/>
              </w:divBdr>
              <w:divsChild>
                <w:div w:id="1843858049">
                  <w:marLeft w:val="0"/>
                  <w:marRight w:val="0"/>
                  <w:marTop w:val="0"/>
                  <w:marBottom w:val="0"/>
                  <w:divBdr>
                    <w:top w:val="none" w:sz="0" w:space="0" w:color="auto"/>
                    <w:left w:val="none" w:sz="0" w:space="0" w:color="auto"/>
                    <w:bottom w:val="none" w:sz="0" w:space="0" w:color="auto"/>
                    <w:right w:val="none" w:sz="0" w:space="0" w:color="auto"/>
                  </w:divBdr>
                </w:div>
              </w:divsChild>
            </w:div>
            <w:div w:id="565143602">
              <w:marLeft w:val="0"/>
              <w:marRight w:val="0"/>
              <w:marTop w:val="0"/>
              <w:marBottom w:val="0"/>
              <w:divBdr>
                <w:top w:val="none" w:sz="0" w:space="0" w:color="auto"/>
                <w:left w:val="none" w:sz="0" w:space="0" w:color="auto"/>
                <w:bottom w:val="none" w:sz="0" w:space="0" w:color="auto"/>
                <w:right w:val="none" w:sz="0" w:space="0" w:color="auto"/>
              </w:divBdr>
              <w:divsChild>
                <w:div w:id="18817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8272">
          <w:marLeft w:val="0"/>
          <w:marRight w:val="0"/>
          <w:marTop w:val="0"/>
          <w:marBottom w:val="0"/>
          <w:divBdr>
            <w:top w:val="none" w:sz="0" w:space="0" w:color="auto"/>
            <w:left w:val="none" w:sz="0" w:space="0" w:color="auto"/>
            <w:bottom w:val="none" w:sz="0" w:space="0" w:color="auto"/>
            <w:right w:val="none" w:sz="0" w:space="0" w:color="auto"/>
          </w:divBdr>
          <w:divsChild>
            <w:div w:id="580141010">
              <w:marLeft w:val="0"/>
              <w:marRight w:val="0"/>
              <w:marTop w:val="0"/>
              <w:marBottom w:val="0"/>
              <w:divBdr>
                <w:top w:val="none" w:sz="0" w:space="0" w:color="auto"/>
                <w:left w:val="none" w:sz="0" w:space="0" w:color="auto"/>
                <w:bottom w:val="none" w:sz="0" w:space="0" w:color="auto"/>
                <w:right w:val="none" w:sz="0" w:space="0" w:color="auto"/>
              </w:divBdr>
              <w:divsChild>
                <w:div w:id="3847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3054641">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ases/ZASCA/2005/1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4753-25C1-4D68-BB7F-10CF79C8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2023-08-15T05:44:00Z</cp:lastPrinted>
  <dcterms:created xsi:type="dcterms:W3CDTF">2023-09-18T10:26:00Z</dcterms:created>
  <dcterms:modified xsi:type="dcterms:W3CDTF">2023-09-18T10:29:00Z</dcterms:modified>
</cp:coreProperties>
</file>