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8FE1E" w14:textId="77777777" w:rsidR="00421948" w:rsidRDefault="00421948" w:rsidP="00421948">
      <w:pPr>
        <w:pStyle w:val="BodyText"/>
        <w:kinsoku w:val="0"/>
        <w:overflowPunct w:val="0"/>
        <w:spacing w:line="360" w:lineRule="auto"/>
        <w:ind w:right="23"/>
        <w:jc w:val="center"/>
        <w:rPr>
          <w:b/>
          <w:bCs/>
          <w:color w:val="000000" w:themeColor="text1"/>
          <w:sz w:val="24"/>
          <w:szCs w:val="24"/>
        </w:rPr>
      </w:pPr>
      <w:r>
        <w:rPr>
          <w:noProof/>
          <w:lang w:val="en-US" w:eastAsia="en-US"/>
        </w:rPr>
        <w:drawing>
          <wp:anchor distT="0" distB="0" distL="114300" distR="114300" simplePos="0" relativeHeight="251662336" behindDoc="1" locked="0" layoutInCell="1" allowOverlap="1" wp14:anchorId="72DE34CE" wp14:editId="519CC570">
            <wp:simplePos x="0" y="0"/>
            <wp:positionH relativeFrom="column">
              <wp:posOffset>2044065</wp:posOffset>
            </wp:positionH>
            <wp:positionV relativeFrom="paragraph">
              <wp:posOffset>135255</wp:posOffset>
            </wp:positionV>
            <wp:extent cx="1125220" cy="1125220"/>
            <wp:effectExtent l="0" t="0" r="0" b="0"/>
            <wp:wrapTight wrapText="bothSides">
              <wp:wrapPolygon edited="0">
                <wp:start x="0" y="0"/>
                <wp:lineTo x="0" y="21210"/>
                <wp:lineTo x="21210" y="21210"/>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pic:spPr>
                </pic:pic>
              </a:graphicData>
            </a:graphic>
            <wp14:sizeRelH relativeFrom="page">
              <wp14:pctWidth>0</wp14:pctWidth>
            </wp14:sizeRelH>
            <wp14:sizeRelV relativeFrom="page">
              <wp14:pctHeight>0</wp14:pctHeight>
            </wp14:sizeRelV>
          </wp:anchor>
        </w:drawing>
      </w:r>
    </w:p>
    <w:p w14:paraId="7789AD58" w14:textId="77777777" w:rsidR="00421948" w:rsidRDefault="00421948" w:rsidP="00421948">
      <w:pPr>
        <w:pStyle w:val="BodyText"/>
        <w:kinsoku w:val="0"/>
        <w:overflowPunct w:val="0"/>
        <w:spacing w:line="360" w:lineRule="auto"/>
        <w:ind w:right="23"/>
        <w:jc w:val="center"/>
        <w:rPr>
          <w:b/>
          <w:bCs/>
          <w:color w:val="000000" w:themeColor="text1"/>
          <w:sz w:val="24"/>
          <w:szCs w:val="24"/>
        </w:rPr>
      </w:pPr>
    </w:p>
    <w:p w14:paraId="77CC111C" w14:textId="77777777" w:rsidR="00421948" w:rsidRDefault="00421948" w:rsidP="00421948">
      <w:pPr>
        <w:pStyle w:val="BodyText"/>
        <w:kinsoku w:val="0"/>
        <w:overflowPunct w:val="0"/>
        <w:spacing w:line="360" w:lineRule="auto"/>
        <w:ind w:right="23"/>
        <w:jc w:val="center"/>
        <w:rPr>
          <w:b/>
          <w:bCs/>
          <w:color w:val="000000" w:themeColor="text1"/>
          <w:sz w:val="24"/>
          <w:szCs w:val="24"/>
        </w:rPr>
      </w:pPr>
    </w:p>
    <w:p w14:paraId="6AB96105" w14:textId="77777777" w:rsidR="00421948" w:rsidRDefault="00421948" w:rsidP="00421948">
      <w:pPr>
        <w:pStyle w:val="BodyText"/>
        <w:kinsoku w:val="0"/>
        <w:overflowPunct w:val="0"/>
        <w:spacing w:line="360" w:lineRule="auto"/>
        <w:ind w:right="23"/>
        <w:jc w:val="center"/>
        <w:rPr>
          <w:b/>
          <w:bCs/>
          <w:color w:val="000000" w:themeColor="text1"/>
          <w:sz w:val="24"/>
          <w:szCs w:val="24"/>
        </w:rPr>
      </w:pPr>
    </w:p>
    <w:p w14:paraId="64CBF4C6" w14:textId="77777777" w:rsidR="00421948" w:rsidRDefault="00421948" w:rsidP="00421948">
      <w:pPr>
        <w:pStyle w:val="BodyText"/>
        <w:kinsoku w:val="0"/>
        <w:overflowPunct w:val="0"/>
        <w:spacing w:line="360" w:lineRule="auto"/>
        <w:ind w:right="23"/>
        <w:jc w:val="center"/>
        <w:rPr>
          <w:b/>
          <w:bCs/>
          <w:color w:val="000000" w:themeColor="text1"/>
          <w:sz w:val="24"/>
          <w:szCs w:val="24"/>
        </w:rPr>
      </w:pPr>
    </w:p>
    <w:p w14:paraId="7F7A48B6" w14:textId="77777777" w:rsidR="00421948" w:rsidRDefault="00421948" w:rsidP="00421948">
      <w:pPr>
        <w:tabs>
          <w:tab w:val="left" w:pos="2403"/>
        </w:tabs>
        <w:kinsoku w:val="0"/>
        <w:overflowPunct w:val="0"/>
        <w:spacing w:before="74" w:line="290" w:lineRule="auto"/>
        <w:ind w:right="194"/>
        <w:rPr>
          <w:rFonts w:ascii="Times New Roman" w:hAnsi="Times New Roman" w:cs="Times New Roman"/>
          <w:w w:val="105"/>
        </w:rPr>
      </w:pPr>
    </w:p>
    <w:p w14:paraId="114466D4" w14:textId="77777777" w:rsidR="00421948" w:rsidRDefault="00421948" w:rsidP="00421948">
      <w:pPr>
        <w:tabs>
          <w:tab w:val="left" w:pos="2403"/>
        </w:tabs>
        <w:kinsoku w:val="0"/>
        <w:overflowPunct w:val="0"/>
        <w:spacing w:before="74" w:line="290" w:lineRule="auto"/>
        <w:ind w:right="194"/>
        <w:jc w:val="center"/>
        <w:rPr>
          <w:rFonts w:ascii="Times New Roman" w:hAnsi="Times New Roman" w:cs="Times New Roman"/>
          <w:w w:val="105"/>
        </w:rPr>
      </w:pPr>
      <w:r>
        <w:rPr>
          <w:rFonts w:ascii="Times New Roman" w:hAnsi="Times New Roman" w:cs="Times New Roman"/>
          <w:w w:val="105"/>
        </w:rPr>
        <w:t>IN THE HIGH COURT OF SOUTH AFRICA</w:t>
      </w:r>
    </w:p>
    <w:p w14:paraId="08299E79" w14:textId="0675BA5A" w:rsidR="00421948" w:rsidRDefault="008A1D31" w:rsidP="00421948">
      <w:pPr>
        <w:tabs>
          <w:tab w:val="left" w:pos="2403"/>
        </w:tabs>
        <w:kinsoku w:val="0"/>
        <w:overflowPunct w:val="0"/>
        <w:spacing w:before="74" w:line="290" w:lineRule="auto"/>
        <w:ind w:right="194"/>
        <w:jc w:val="center"/>
        <w:rPr>
          <w:rFonts w:ascii="Times New Roman" w:hAnsi="Times New Roman" w:cs="Times New Roman"/>
          <w:w w:val="105"/>
        </w:rPr>
      </w:pPr>
      <w:r>
        <w:rPr>
          <w:rFonts w:ascii="Times New Roman" w:hAnsi="Times New Roman" w:cs="Times New Roman"/>
          <w:w w:val="105"/>
        </w:rPr>
        <w:t>GAUTENG</w:t>
      </w:r>
      <w:r w:rsidR="00421948">
        <w:rPr>
          <w:rFonts w:ascii="Times New Roman" w:hAnsi="Times New Roman" w:cs="Times New Roman"/>
          <w:w w:val="105"/>
        </w:rPr>
        <w:t xml:space="preserve"> DIVISON</w:t>
      </w:r>
      <w:r>
        <w:rPr>
          <w:rFonts w:ascii="Times New Roman" w:hAnsi="Times New Roman" w:cs="Times New Roman"/>
          <w:w w:val="105"/>
        </w:rPr>
        <w:t>, PRETORIA</w:t>
      </w:r>
    </w:p>
    <w:p w14:paraId="0CC088D2" w14:textId="2FE241DD" w:rsidR="00421948" w:rsidRDefault="00421948" w:rsidP="008A1D31">
      <w:pPr>
        <w:pStyle w:val="BodyText"/>
        <w:kinsoku w:val="0"/>
        <w:overflowPunct w:val="0"/>
        <w:spacing w:before="25" w:line="360" w:lineRule="auto"/>
        <w:ind w:right="23"/>
        <w:rPr>
          <w:b/>
          <w:bCs/>
          <w:color w:val="000000" w:themeColor="text1"/>
          <w:sz w:val="24"/>
          <w:szCs w:val="24"/>
        </w:rPr>
      </w:pPr>
    </w:p>
    <w:p w14:paraId="514D8CF2" w14:textId="1E2E130A" w:rsidR="00421948" w:rsidRDefault="00421948" w:rsidP="00421948">
      <w:pPr>
        <w:pStyle w:val="BodyText"/>
        <w:kinsoku w:val="0"/>
        <w:overflowPunct w:val="0"/>
        <w:spacing w:before="25" w:line="360" w:lineRule="auto"/>
        <w:ind w:left="5040" w:right="23" w:firstLine="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CASE NO.: </w:t>
      </w:r>
      <w:r w:rsidR="00FC2E00">
        <w:rPr>
          <w:rFonts w:ascii="Times New Roman" w:hAnsi="Times New Roman" w:cs="Times New Roman"/>
          <w:b/>
          <w:bCs/>
          <w:color w:val="000000" w:themeColor="text1"/>
          <w:sz w:val="24"/>
          <w:szCs w:val="24"/>
        </w:rPr>
        <w:t>16642</w:t>
      </w:r>
      <w:r>
        <w:rPr>
          <w:rFonts w:ascii="Times New Roman" w:hAnsi="Times New Roman" w:cs="Times New Roman"/>
          <w:b/>
          <w:bCs/>
          <w:color w:val="000000" w:themeColor="text1"/>
          <w:sz w:val="24"/>
          <w:szCs w:val="24"/>
        </w:rPr>
        <w:t>/20</w:t>
      </w:r>
      <w:r w:rsidR="00B90BDE">
        <w:rPr>
          <w:rFonts w:ascii="Times New Roman" w:hAnsi="Times New Roman" w:cs="Times New Roman"/>
          <w:b/>
          <w:bCs/>
          <w:color w:val="000000" w:themeColor="text1"/>
          <w:sz w:val="24"/>
          <w:szCs w:val="24"/>
        </w:rPr>
        <w:t>2</w:t>
      </w:r>
      <w:r w:rsidR="00FC2E00">
        <w:rPr>
          <w:rFonts w:ascii="Times New Roman" w:hAnsi="Times New Roman" w:cs="Times New Roman"/>
          <w:b/>
          <w:bCs/>
          <w:color w:val="000000" w:themeColor="text1"/>
          <w:sz w:val="24"/>
          <w:szCs w:val="24"/>
        </w:rPr>
        <w:t>2</w:t>
      </w:r>
    </w:p>
    <w:p w14:paraId="272503A5" w14:textId="46C3987C" w:rsidR="00421948" w:rsidRDefault="008A1D31" w:rsidP="00421948">
      <w:pPr>
        <w:pStyle w:val="BodyText"/>
        <w:kinsoku w:val="0"/>
        <w:overflowPunct w:val="0"/>
        <w:spacing w:before="25" w:line="360" w:lineRule="auto"/>
        <w:ind w:right="23"/>
        <w:jc w:val="both"/>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val="en-US" w:eastAsia="en-US"/>
        </w:rPr>
        <w:drawing>
          <wp:inline distT="0" distB="0" distL="0" distR="0" wp14:anchorId="2DC50C67" wp14:editId="4DE78AC5">
            <wp:extent cx="2780030" cy="11220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5209A1B7" w14:textId="77777777" w:rsidR="00421948" w:rsidRDefault="00421948" w:rsidP="00421948">
      <w:pPr>
        <w:pStyle w:val="BodyText"/>
        <w:kinsoku w:val="0"/>
        <w:overflowPunct w:val="0"/>
        <w:spacing w:line="360" w:lineRule="auto"/>
        <w:jc w:val="both"/>
        <w:rPr>
          <w:rFonts w:ascii="Times New Roman" w:hAnsi="Times New Roman" w:cs="Times New Roman"/>
          <w:b/>
          <w:bCs/>
          <w:color w:val="000000" w:themeColor="text1"/>
          <w:sz w:val="24"/>
          <w:szCs w:val="24"/>
        </w:rPr>
      </w:pPr>
    </w:p>
    <w:p w14:paraId="568DBBFA" w14:textId="77777777" w:rsidR="00421948" w:rsidRDefault="00421948" w:rsidP="00421948">
      <w:pPr>
        <w:pStyle w:val="BodyText"/>
        <w:kinsoku w:val="0"/>
        <w:overflowPunct w:val="0"/>
        <w:spacing w:before="12"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matter between:</w:t>
      </w:r>
    </w:p>
    <w:p w14:paraId="16713F23" w14:textId="77777777" w:rsidR="00421948" w:rsidRDefault="00421948" w:rsidP="00421948">
      <w:pPr>
        <w:pStyle w:val="BodyText"/>
        <w:kinsoku w:val="0"/>
        <w:overflowPunct w:val="0"/>
        <w:spacing w:before="8" w:line="360" w:lineRule="auto"/>
        <w:jc w:val="both"/>
        <w:rPr>
          <w:rFonts w:ascii="Times New Roman" w:hAnsi="Times New Roman" w:cs="Times New Roman"/>
          <w:color w:val="000000" w:themeColor="text1"/>
          <w:sz w:val="24"/>
          <w:szCs w:val="24"/>
        </w:rPr>
      </w:pPr>
    </w:p>
    <w:p w14:paraId="118FE8FA" w14:textId="62E5F166" w:rsidR="00421948" w:rsidRDefault="00FC2E00" w:rsidP="00421948">
      <w:pPr>
        <w:pStyle w:val="BodyText"/>
        <w:kinsoku w:val="0"/>
        <w:overflowPunct w:val="0"/>
        <w:spacing w:before="93" w:line="360" w:lineRule="auto"/>
        <w:jc w:val="both"/>
        <w:rPr>
          <w:rFonts w:ascii="Times New Roman" w:hAnsi="Times New Roman" w:cs="Times New Roman"/>
          <w:color w:val="000000" w:themeColor="text1"/>
          <w:sz w:val="24"/>
          <w:szCs w:val="24"/>
        </w:rPr>
      </w:pPr>
      <w:bookmarkStart w:id="0" w:name="_GoBack"/>
      <w:r>
        <w:rPr>
          <w:rFonts w:ascii="Times New Roman" w:hAnsi="Times New Roman" w:cs="Times New Roman"/>
          <w:b/>
          <w:bCs/>
          <w:color w:val="000000" w:themeColor="text1"/>
          <w:sz w:val="24"/>
          <w:szCs w:val="24"/>
        </w:rPr>
        <w:t xml:space="preserve">RAIL REFURB CC </w:t>
      </w:r>
      <w:bookmarkEnd w:id="0"/>
      <w:r>
        <w:rPr>
          <w:rFonts w:ascii="Times New Roman" w:hAnsi="Times New Roman" w:cs="Times New Roman"/>
          <w:b/>
          <w:bCs/>
          <w:color w:val="000000" w:themeColor="text1"/>
          <w:sz w:val="24"/>
          <w:szCs w:val="24"/>
        </w:rPr>
        <w:tab/>
      </w:r>
      <w:r w:rsidR="00D95339">
        <w:rPr>
          <w:rFonts w:ascii="Times New Roman" w:hAnsi="Times New Roman" w:cs="Times New Roman"/>
          <w:b/>
          <w:bCs/>
          <w:color w:val="000000" w:themeColor="text1"/>
          <w:sz w:val="24"/>
          <w:szCs w:val="24"/>
        </w:rPr>
        <w:tab/>
      </w:r>
      <w:r w:rsidR="00D95339">
        <w:rPr>
          <w:rFonts w:ascii="Times New Roman" w:hAnsi="Times New Roman" w:cs="Times New Roman"/>
          <w:b/>
          <w:bCs/>
          <w:color w:val="000000" w:themeColor="text1"/>
          <w:sz w:val="24"/>
          <w:szCs w:val="24"/>
        </w:rPr>
        <w:tab/>
      </w:r>
      <w:r w:rsidR="00B90BDE">
        <w:rPr>
          <w:rFonts w:ascii="Times New Roman" w:hAnsi="Times New Roman" w:cs="Times New Roman"/>
          <w:b/>
          <w:bCs/>
          <w:color w:val="000000" w:themeColor="text1"/>
          <w:sz w:val="24"/>
          <w:szCs w:val="24"/>
        </w:rPr>
        <w:t xml:space="preserve"> </w:t>
      </w:r>
      <w:r w:rsidR="00421948">
        <w:rPr>
          <w:rFonts w:ascii="Times New Roman" w:hAnsi="Times New Roman" w:cs="Times New Roman"/>
          <w:b/>
          <w:bCs/>
          <w:color w:val="000000" w:themeColor="text1"/>
          <w:sz w:val="24"/>
          <w:szCs w:val="24"/>
        </w:rPr>
        <w:tab/>
      </w:r>
      <w:r w:rsidR="00421948">
        <w:rPr>
          <w:rFonts w:ascii="Times New Roman" w:hAnsi="Times New Roman" w:cs="Times New Roman"/>
          <w:b/>
          <w:bCs/>
          <w:color w:val="000000" w:themeColor="text1"/>
          <w:sz w:val="24"/>
          <w:szCs w:val="24"/>
        </w:rPr>
        <w:tab/>
      </w:r>
      <w:r w:rsidR="00421948">
        <w:rPr>
          <w:rFonts w:ascii="Times New Roman" w:hAnsi="Times New Roman" w:cs="Times New Roman"/>
          <w:b/>
          <w:bCs/>
          <w:color w:val="000000" w:themeColor="text1"/>
          <w:sz w:val="24"/>
          <w:szCs w:val="24"/>
        </w:rPr>
        <w:tab/>
      </w:r>
      <w:r w:rsidR="00421948">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ab/>
      </w:r>
      <w:r w:rsidR="00421948">
        <w:rPr>
          <w:rFonts w:ascii="Times New Roman" w:hAnsi="Times New Roman" w:cs="Times New Roman"/>
          <w:color w:val="000000" w:themeColor="text1"/>
          <w:sz w:val="24"/>
          <w:szCs w:val="24"/>
        </w:rPr>
        <w:t>Applicant</w:t>
      </w:r>
    </w:p>
    <w:p w14:paraId="0D54507C" w14:textId="5B6BD9E7" w:rsidR="00421948" w:rsidRDefault="00421948" w:rsidP="00421948">
      <w:pPr>
        <w:pStyle w:val="BodyText"/>
        <w:kinsoku w:val="0"/>
        <w:overflowPunct w:val="0"/>
        <w:spacing w:before="9" w:line="360" w:lineRule="auto"/>
        <w:jc w:val="both"/>
        <w:rPr>
          <w:rFonts w:ascii="Times New Roman" w:hAnsi="Times New Roman" w:cs="Times New Roman"/>
          <w:color w:val="000000" w:themeColor="text1"/>
          <w:sz w:val="24"/>
          <w:szCs w:val="24"/>
        </w:rPr>
      </w:pPr>
    </w:p>
    <w:p w14:paraId="76A06316" w14:textId="77777777" w:rsidR="00421948" w:rsidRDefault="00421948" w:rsidP="00421948">
      <w:pPr>
        <w:pStyle w:val="BodyText"/>
        <w:kinsoku w:val="0"/>
        <w:overflowPunct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w:t>
      </w:r>
    </w:p>
    <w:p w14:paraId="02062C1F" w14:textId="77777777" w:rsidR="00421948" w:rsidRDefault="00421948" w:rsidP="00421948">
      <w:pPr>
        <w:pStyle w:val="BodyText"/>
        <w:kinsoku w:val="0"/>
        <w:overflowPunct w:val="0"/>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p>
    <w:p w14:paraId="41D74EBE" w14:textId="7E9CC0A9" w:rsidR="00421948" w:rsidRDefault="00FC2E00" w:rsidP="00421948">
      <w:pPr>
        <w:pStyle w:val="BodyText"/>
        <w:kinsoku w:val="0"/>
        <w:overflowPunct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SOUTH AFRICAN NATIONAL</w:t>
      </w:r>
      <w:r w:rsidR="00D95339">
        <w:rPr>
          <w:rFonts w:ascii="Times New Roman" w:hAnsi="Times New Roman" w:cs="Times New Roman"/>
          <w:b/>
          <w:color w:val="000000" w:themeColor="text1"/>
          <w:sz w:val="24"/>
          <w:szCs w:val="24"/>
        </w:rPr>
        <w:tab/>
      </w:r>
      <w:r w:rsidR="00421948">
        <w:rPr>
          <w:rFonts w:ascii="Times New Roman" w:hAnsi="Times New Roman" w:cs="Times New Roman"/>
          <w:b/>
          <w:color w:val="000000" w:themeColor="text1"/>
          <w:sz w:val="24"/>
          <w:szCs w:val="24"/>
        </w:rPr>
        <w:tab/>
      </w:r>
      <w:r w:rsidR="00B90BDE">
        <w:rPr>
          <w:rFonts w:ascii="Times New Roman" w:hAnsi="Times New Roman" w:cs="Times New Roman"/>
          <w:b/>
          <w:color w:val="000000" w:themeColor="text1"/>
          <w:sz w:val="24"/>
          <w:szCs w:val="24"/>
        </w:rPr>
        <w:tab/>
      </w:r>
      <w:r w:rsidR="0042194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21948">
        <w:rPr>
          <w:rFonts w:ascii="Times New Roman" w:hAnsi="Times New Roman" w:cs="Times New Roman"/>
          <w:color w:val="000000"/>
          <w:sz w:val="24"/>
          <w:szCs w:val="24"/>
        </w:rPr>
        <w:t>Respondent</w:t>
      </w:r>
    </w:p>
    <w:p w14:paraId="4960B725" w14:textId="59AECDED" w:rsidR="00D95339" w:rsidRDefault="00FC2E00" w:rsidP="00421948">
      <w:pPr>
        <w:pStyle w:val="BodyText"/>
        <w:kinsoku w:val="0"/>
        <w:overflowPunct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ROADS AGENCY</w:t>
      </w:r>
    </w:p>
    <w:p w14:paraId="7BF4B2AD" w14:textId="77777777" w:rsidR="00421948" w:rsidRDefault="00421948" w:rsidP="00421948">
      <w:pPr>
        <w:pStyle w:val="BodyText"/>
        <w:kinsoku w:val="0"/>
        <w:overflowPunct w:val="0"/>
        <w:spacing w:line="360" w:lineRule="auto"/>
        <w:jc w:val="both"/>
        <w:rPr>
          <w:rFonts w:ascii="Times New Roman" w:hAnsi="Times New Roman" w:cs="Times New Roman"/>
          <w:b/>
          <w:color w:val="000000" w:themeColor="text1"/>
          <w:sz w:val="24"/>
          <w:szCs w:val="24"/>
        </w:rPr>
      </w:pPr>
    </w:p>
    <w:p w14:paraId="1B918285" w14:textId="77777777" w:rsidR="00421948" w:rsidRDefault="00421948" w:rsidP="00421948">
      <w:pPr>
        <w:pStyle w:val="BodyText"/>
        <w:kinsoku w:val="0"/>
        <w:overflowPunct w:val="0"/>
        <w:spacing w:line="360" w:lineRule="auto"/>
        <w:jc w:val="both"/>
        <w:rPr>
          <w:rFonts w:ascii="Times New Roman" w:hAnsi="Times New Roman" w:cs="Times New Roman"/>
          <w:color w:val="000000" w:themeColor="text1"/>
          <w:sz w:val="24"/>
          <w:szCs w:val="24"/>
        </w:rPr>
      </w:pPr>
      <w:r>
        <w:rPr>
          <w:noProof/>
          <w:lang w:val="en-US" w:eastAsia="en-US"/>
        </w:rPr>
        <mc:AlternateContent>
          <mc:Choice Requires="wps">
            <w:drawing>
              <wp:anchor distT="0" distB="0" distL="0" distR="0" simplePos="0" relativeHeight="251659264" behindDoc="0" locked="0" layoutInCell="0" allowOverlap="1" wp14:anchorId="064F2FC9" wp14:editId="26E8DA2F">
                <wp:simplePos x="0" y="0"/>
                <wp:positionH relativeFrom="page">
                  <wp:posOffset>880745</wp:posOffset>
                </wp:positionH>
                <wp:positionV relativeFrom="paragraph">
                  <wp:posOffset>190500</wp:posOffset>
                </wp:positionV>
                <wp:extent cx="5529580" cy="12700"/>
                <wp:effectExtent l="13970" t="9525" r="952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1270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polyline w14:anchorId="2516E5AD"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35pt,15pt,504.7pt,15pt"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" o:allowincell="f" filled="f" strokecolor="#676767" strokeweight=".23811mm">
                <v:path arrowok="t" o:connecttype="custom" o:connectlocs="0,0;5528945,0" o:connectangles="0,0"/>
                <w10:wrap type="topAndBottom" anchorx="page"/>
              </v:polyline>
            </w:pict>
          </mc:Fallback>
        </mc:AlternateContent>
      </w:r>
    </w:p>
    <w:p w14:paraId="3848F68B" w14:textId="77777777" w:rsidR="00421948" w:rsidRDefault="00421948" w:rsidP="00421948">
      <w:pPr>
        <w:pStyle w:val="BodyText"/>
        <w:kinsoku w:val="0"/>
        <w:overflowPunct w:val="0"/>
        <w:spacing w:before="5" w:line="360" w:lineRule="auto"/>
        <w:jc w:val="both"/>
        <w:rPr>
          <w:rFonts w:ascii="Times New Roman" w:hAnsi="Times New Roman" w:cs="Times New Roman"/>
          <w:color w:val="000000" w:themeColor="text1"/>
          <w:sz w:val="24"/>
          <w:szCs w:val="24"/>
        </w:rPr>
      </w:pPr>
    </w:p>
    <w:p w14:paraId="6226FE3F" w14:textId="77777777" w:rsidR="00421948" w:rsidRDefault="00421948" w:rsidP="00421948">
      <w:pPr>
        <w:pStyle w:val="Heading1"/>
        <w:kinsoku w:val="0"/>
        <w:overflowPunct w:val="0"/>
        <w:spacing w:line="360" w:lineRule="auto"/>
        <w:ind w:left="0"/>
        <w:rPr>
          <w:rFonts w:ascii="Times New Roman" w:eastAsiaTheme="minorEastAsia" w:hAnsi="Times New Roman" w:cs="Times New Roman"/>
          <w:color w:val="000000" w:themeColor="text1"/>
          <w:sz w:val="24"/>
          <w:szCs w:val="24"/>
        </w:rPr>
      </w:pPr>
      <w:r>
        <w:rPr>
          <w:rFonts w:eastAsiaTheme="minorEastAsia"/>
          <w:noProof/>
          <w:lang w:val="en-US" w:eastAsia="en-US"/>
        </w:rPr>
        <mc:AlternateContent>
          <mc:Choice Requires="wps">
            <w:drawing>
              <wp:anchor distT="0" distB="0" distL="0" distR="0" simplePos="0" relativeHeight="251660288" behindDoc="0" locked="0" layoutInCell="0" allowOverlap="1" wp14:anchorId="4E06FE56" wp14:editId="7D580B18">
                <wp:simplePos x="0" y="0"/>
                <wp:positionH relativeFrom="page">
                  <wp:posOffset>928370</wp:posOffset>
                </wp:positionH>
                <wp:positionV relativeFrom="paragraph">
                  <wp:posOffset>368935</wp:posOffset>
                </wp:positionV>
                <wp:extent cx="5529580" cy="12700"/>
                <wp:effectExtent l="13970" t="6985" r="952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1270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polyline w14:anchorId="66474E1A" id="Freeform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1pt,29.05pt,508.45pt,29.05pt"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" o:allowincell="f" filled="f" strokecolor="#606060" strokeweight=".23811mm">
                <v:path arrowok="t" o:connecttype="custom" o:connectlocs="0,0;5528945,0" o:connectangles="0,0"/>
                <w10:wrap type="topAndBottom" anchorx="page"/>
              </v:polyline>
            </w:pict>
          </mc:Fallback>
        </mc:AlternateContent>
      </w:r>
      <w:r>
        <w:rPr>
          <w:rFonts w:ascii="Times New Roman" w:eastAsiaTheme="minorEastAsia" w:hAnsi="Times New Roman" w:cs="Times New Roman"/>
          <w:color w:val="000000" w:themeColor="text1"/>
          <w:sz w:val="24"/>
          <w:szCs w:val="24"/>
        </w:rPr>
        <w:t>JUDGEMENT</w:t>
      </w:r>
    </w:p>
    <w:p w14:paraId="0CF4A93B" w14:textId="77777777" w:rsidR="00421948" w:rsidRPr="00ED4E28" w:rsidRDefault="00421948" w:rsidP="00421948"/>
    <w:p w14:paraId="210CF6F4" w14:textId="77777777" w:rsidR="00421948" w:rsidRDefault="00421948" w:rsidP="00421948">
      <w:pPr>
        <w:pStyle w:val="BodyText"/>
        <w:kinsoku w:val="0"/>
        <w:overflowPunct w:val="0"/>
        <w:spacing w:before="4" w:line="360" w:lineRule="auto"/>
        <w:jc w:val="both"/>
        <w:rPr>
          <w:rFonts w:ascii="Times New Roman" w:hAnsi="Times New Roman" w:cs="Times New Roman"/>
          <w:b/>
          <w:bCs/>
          <w:color w:val="000000" w:themeColor="text1"/>
          <w:sz w:val="24"/>
          <w:szCs w:val="24"/>
        </w:rPr>
      </w:pPr>
    </w:p>
    <w:p w14:paraId="096AC32A" w14:textId="1C5F173E" w:rsidR="00421948" w:rsidRDefault="00421948" w:rsidP="0047758D">
      <w:pPr>
        <w:pStyle w:val="BodyText"/>
        <w:kinsoku w:val="0"/>
        <w:overflowPunct w:val="0"/>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SARDIWALLA J:</w:t>
      </w:r>
    </w:p>
    <w:p w14:paraId="070B5EB3" w14:textId="77777777" w:rsidR="008A1D31" w:rsidRDefault="008A1D31" w:rsidP="0047758D">
      <w:pPr>
        <w:pStyle w:val="BodyText"/>
        <w:kinsoku w:val="0"/>
        <w:overflowPunct w:val="0"/>
        <w:spacing w:line="360" w:lineRule="auto"/>
        <w:jc w:val="both"/>
        <w:rPr>
          <w:rFonts w:ascii="Times New Roman" w:hAnsi="Times New Roman" w:cs="Times New Roman"/>
          <w:b/>
          <w:bCs/>
          <w:color w:val="000000" w:themeColor="text1"/>
          <w:sz w:val="24"/>
          <w:szCs w:val="24"/>
        </w:rPr>
      </w:pPr>
    </w:p>
    <w:p w14:paraId="5FCDD189" w14:textId="77777777" w:rsidR="00421948" w:rsidRDefault="00421948" w:rsidP="0047758D">
      <w:pPr>
        <w:pStyle w:val="BodyText"/>
        <w:kinsoku w:val="0"/>
        <w:overflowPunct w:val="0"/>
        <w:spacing w:line="360" w:lineRule="auto"/>
        <w:jc w:val="both"/>
        <w:rPr>
          <w:rFonts w:ascii="Times New Roman" w:hAnsi="Times New Roman" w:cs="Times New Roman"/>
          <w:b/>
          <w:bCs/>
          <w:color w:val="000000" w:themeColor="text1"/>
          <w:sz w:val="24"/>
          <w:szCs w:val="24"/>
        </w:rPr>
      </w:pPr>
    </w:p>
    <w:p w14:paraId="75EC6635" w14:textId="0A4892C2" w:rsidR="00421948" w:rsidRDefault="00421948"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lastRenderedPageBreak/>
        <w:t xml:space="preserve">[1] </w:t>
      </w:r>
      <w:r>
        <w:rPr>
          <w:rFonts w:ascii="Times New Roman" w:hAnsi="Times New Roman" w:cs="Times New Roman"/>
          <w:color w:val="000000"/>
        </w:rPr>
        <w:tab/>
        <w:t xml:space="preserve">This is an </w:t>
      </w:r>
      <w:r w:rsidR="00330BD2">
        <w:rPr>
          <w:rFonts w:ascii="Times New Roman" w:hAnsi="Times New Roman" w:cs="Times New Roman"/>
          <w:color w:val="000000"/>
        </w:rPr>
        <w:t xml:space="preserve">opposed </w:t>
      </w:r>
      <w:r>
        <w:rPr>
          <w:rFonts w:ascii="Times New Roman" w:hAnsi="Times New Roman" w:cs="Times New Roman"/>
          <w:color w:val="000000"/>
        </w:rPr>
        <w:t xml:space="preserve">urgent application </w:t>
      </w:r>
      <w:r>
        <w:rPr>
          <w:rFonts w:ascii="Times New Roman" w:hAnsi="Times New Roman" w:cs="Times New Roman"/>
          <w:snapToGrid w:val="0"/>
        </w:rPr>
        <w:t>in terms of the provisions of Rule 6(12)(a) of the Uniform Rules of Court</w:t>
      </w:r>
      <w:r>
        <w:rPr>
          <w:rFonts w:ascii="Times New Roman" w:hAnsi="Times New Roman" w:cs="Times New Roman"/>
          <w:color w:val="000000"/>
        </w:rPr>
        <w:t xml:space="preserve"> </w:t>
      </w:r>
      <w:r w:rsidR="00714685">
        <w:rPr>
          <w:rFonts w:ascii="Times New Roman" w:hAnsi="Times New Roman" w:cs="Times New Roman"/>
          <w:color w:val="000000"/>
        </w:rPr>
        <w:t xml:space="preserve">for interim relief </w:t>
      </w:r>
      <w:r w:rsidR="002226A6">
        <w:rPr>
          <w:rFonts w:ascii="Times New Roman" w:hAnsi="Times New Roman" w:cs="Times New Roman"/>
          <w:color w:val="000000"/>
        </w:rPr>
        <w:t xml:space="preserve">to </w:t>
      </w:r>
      <w:r w:rsidR="00FC2E00">
        <w:rPr>
          <w:rFonts w:ascii="Times New Roman" w:hAnsi="Times New Roman" w:cs="Times New Roman"/>
          <w:color w:val="000000"/>
        </w:rPr>
        <w:t xml:space="preserve">suspend the legal consequences of the respondent’s alleged unlawful termination of two contracts entered into between the parties. </w:t>
      </w:r>
    </w:p>
    <w:p w14:paraId="0919FF9C" w14:textId="77777777" w:rsidR="00421948" w:rsidRDefault="00421948" w:rsidP="008A1D31">
      <w:pPr>
        <w:kinsoku w:val="0"/>
        <w:overflowPunct w:val="0"/>
        <w:spacing w:line="360" w:lineRule="auto"/>
        <w:ind w:right="23"/>
        <w:jc w:val="both"/>
        <w:rPr>
          <w:rFonts w:ascii="Times New Roman" w:hAnsi="Times New Roman" w:cs="Times New Roman"/>
          <w:color w:val="000000"/>
        </w:rPr>
      </w:pPr>
    </w:p>
    <w:p w14:paraId="7B7B5203" w14:textId="13F54B24" w:rsidR="00F73398" w:rsidRPr="008A1D31" w:rsidRDefault="00421948"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The </w:t>
      </w:r>
      <w:r w:rsidR="00B90BDE">
        <w:rPr>
          <w:rFonts w:ascii="Times New Roman" w:hAnsi="Times New Roman" w:cs="Times New Roman"/>
          <w:color w:val="000000"/>
        </w:rPr>
        <w:t>A</w:t>
      </w:r>
      <w:r>
        <w:rPr>
          <w:rFonts w:ascii="Times New Roman" w:hAnsi="Times New Roman" w:cs="Times New Roman"/>
          <w:color w:val="000000"/>
        </w:rPr>
        <w:t>pplicant</w:t>
      </w:r>
      <w:r w:rsidR="00F73398">
        <w:rPr>
          <w:rFonts w:ascii="Times New Roman" w:hAnsi="Times New Roman" w:cs="Times New Roman"/>
          <w:color w:val="000000"/>
        </w:rPr>
        <w:t xml:space="preserve"> sought the following relief:</w:t>
      </w:r>
    </w:p>
    <w:p w14:paraId="0527B0B1" w14:textId="77777777" w:rsidR="00984802" w:rsidRPr="00984802" w:rsidRDefault="00F73398" w:rsidP="008A1D31">
      <w:pPr>
        <w:kinsoku w:val="0"/>
        <w:overflowPunct w:val="0"/>
        <w:spacing w:line="360" w:lineRule="auto"/>
        <w:ind w:left="720" w:right="23" w:hanging="720"/>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ab/>
        <w:t>“</w:t>
      </w:r>
      <w:r w:rsidR="00984802" w:rsidRPr="00984802">
        <w:rPr>
          <w:rFonts w:ascii="Times New Roman" w:hAnsi="Times New Roman" w:cs="Times New Roman"/>
          <w:color w:val="000000"/>
          <w:sz w:val="22"/>
          <w:szCs w:val="22"/>
        </w:rPr>
        <w:t>1. Condoning the parties’ truncation of time periods for filing of papers, to the extent necessary.</w:t>
      </w:r>
    </w:p>
    <w:p w14:paraId="6C9AC22A" w14:textId="0817B4C1" w:rsidR="00984802" w:rsidRPr="00984802"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2. Suspending the legal validity of the decision of the respondent to issue termination notices to the applicant in respect of Contact SANRAL N.002-057-2021/1 and Contact SANRAL N.002-078-2021/1 (“the Contracts”) pending the finalisation of any action and/or judicial review proceedings launched by the plaintiff against the respondent in respect of the Contracts (“the main action”).</w:t>
      </w:r>
    </w:p>
    <w:p w14:paraId="4EA56B5F" w14:textId="77777777" w:rsidR="00984802" w:rsidRPr="00984802"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3. Directing any and all proceedings to be instituted as part of the main action referred to in paragraph 2, above, shall be served and filed within 20 (twenty) days of the date of this order, failing which the order in paragraph 2, above, will cease to have effect.</w:t>
      </w:r>
    </w:p>
    <w:p w14:paraId="3616C58D" w14:textId="77777777" w:rsidR="00984802" w:rsidRPr="00984802"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4. Directing that the interim suspension provided for in paragraph 2, above, will not affect the respondent's ability to employ alternative service provision for the Contracts in terms of the Public Procurement Management Act No. 1 of 1996.</w:t>
      </w:r>
    </w:p>
    <w:p w14:paraId="5DFEF781" w14:textId="77777777" w:rsidR="00984802" w:rsidRPr="00984802"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5. To the extent necessary, directing that this matter referred to the Judge President of the Division for the purposes of special allocation.</w:t>
      </w:r>
    </w:p>
    <w:p w14:paraId="3E11F856" w14:textId="5E8E39CC" w:rsidR="00984802" w:rsidRPr="00984802"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6. Ordering that the costs of this application -</w:t>
      </w:r>
    </w:p>
    <w:p w14:paraId="3CA0E734" w14:textId="77777777" w:rsidR="00984802" w:rsidRPr="00984802"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a. if opposed, shall be granted against any such party seeking to oppose this application;</w:t>
      </w:r>
    </w:p>
    <w:p w14:paraId="72E01F33" w14:textId="77777777" w:rsidR="00984802" w:rsidRPr="00984802"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b. if not opposed, directing that costs shall be costs in the cause of the main action.</w:t>
      </w:r>
    </w:p>
    <w:p w14:paraId="418BD87D" w14:textId="1D32E41C" w:rsidR="009B3D8F" w:rsidRPr="00714685" w:rsidRDefault="00984802" w:rsidP="008A1D31">
      <w:pPr>
        <w:kinsoku w:val="0"/>
        <w:overflowPunct w:val="0"/>
        <w:spacing w:line="360" w:lineRule="auto"/>
        <w:ind w:left="720" w:right="23"/>
        <w:jc w:val="both"/>
        <w:rPr>
          <w:rFonts w:ascii="Times New Roman" w:hAnsi="Times New Roman" w:cs="Times New Roman"/>
          <w:color w:val="000000"/>
          <w:sz w:val="22"/>
          <w:szCs w:val="22"/>
        </w:rPr>
      </w:pPr>
      <w:r w:rsidRPr="00984802">
        <w:rPr>
          <w:rFonts w:ascii="Times New Roman" w:hAnsi="Times New Roman" w:cs="Times New Roman"/>
          <w:color w:val="000000"/>
          <w:sz w:val="22"/>
          <w:szCs w:val="22"/>
        </w:rPr>
        <w:t>7. Further and / or alternative relief.</w:t>
      </w:r>
      <w:r w:rsidR="009B3D8F" w:rsidRPr="00984802">
        <w:rPr>
          <w:rFonts w:ascii="Times New Roman" w:hAnsi="Times New Roman" w:cs="Times New Roman"/>
          <w:color w:val="000000"/>
          <w:sz w:val="22"/>
          <w:szCs w:val="22"/>
        </w:rPr>
        <w:t xml:space="preserve">” </w:t>
      </w:r>
    </w:p>
    <w:p w14:paraId="625012B9" w14:textId="77777777" w:rsidR="00EA2EA9" w:rsidRDefault="00EA2EA9" w:rsidP="008A1D31">
      <w:pPr>
        <w:kinsoku w:val="0"/>
        <w:overflowPunct w:val="0"/>
        <w:spacing w:line="360" w:lineRule="auto"/>
        <w:ind w:left="720" w:right="23" w:hanging="720"/>
        <w:jc w:val="both"/>
        <w:rPr>
          <w:rFonts w:ascii="Times New Roman" w:hAnsi="Times New Roman" w:cs="Times New Roman"/>
          <w:color w:val="000000"/>
        </w:rPr>
      </w:pPr>
    </w:p>
    <w:p w14:paraId="5190AB2E" w14:textId="2B7E8060" w:rsidR="00421948" w:rsidRDefault="00421948" w:rsidP="008A1D31">
      <w:pPr>
        <w:pStyle w:val="BodyText"/>
        <w:kinsoku w:val="0"/>
        <w:overflowPunct w:val="0"/>
        <w:spacing w:line="36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Background to the Application:</w:t>
      </w:r>
    </w:p>
    <w:p w14:paraId="2F0FAF74" w14:textId="77777777" w:rsidR="008A1D31" w:rsidRPr="008A1D31" w:rsidRDefault="008A1D31" w:rsidP="008A1D31">
      <w:pPr>
        <w:pStyle w:val="BodyText"/>
        <w:kinsoku w:val="0"/>
        <w:overflowPunct w:val="0"/>
        <w:spacing w:line="360" w:lineRule="auto"/>
        <w:jc w:val="both"/>
        <w:rPr>
          <w:rFonts w:ascii="Times New Roman" w:hAnsi="Times New Roman" w:cs="Times New Roman"/>
          <w:b/>
          <w:bCs/>
          <w:color w:val="000000"/>
          <w:sz w:val="24"/>
          <w:szCs w:val="24"/>
          <w:u w:val="single"/>
        </w:rPr>
      </w:pPr>
    </w:p>
    <w:p w14:paraId="6F6CB46B" w14:textId="2F358A08" w:rsidR="000B26D4" w:rsidRDefault="00421948" w:rsidP="008A1D31">
      <w:pPr>
        <w:pStyle w:val="BodyText"/>
        <w:kinsoku w:val="0"/>
        <w:overflowPunct w:val="0"/>
        <w:spacing w:line="360" w:lineRule="auto"/>
        <w:ind w:left="709" w:right="57"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sidR="009B3D8F">
        <w:rPr>
          <w:rFonts w:ascii="Times New Roman" w:hAnsi="Times New Roman" w:cs="Times New Roman"/>
          <w:color w:val="000000"/>
          <w:sz w:val="24"/>
          <w:szCs w:val="24"/>
        </w:rPr>
        <w:t>The following are the material facts of the matter:</w:t>
      </w:r>
    </w:p>
    <w:p w14:paraId="3B0D9E8D" w14:textId="37154185" w:rsidR="000B26D4"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CF4ABA" w:rsidRPr="00CF4ABA">
        <w:rPr>
          <w:rFonts w:ascii="Times New Roman" w:hAnsi="Times New Roman" w:cs="Times New Roman"/>
          <w:color w:val="000000"/>
          <w:sz w:val="24"/>
          <w:szCs w:val="24"/>
        </w:rPr>
        <w:t>Rail Refurb commenced work on two road maintenance contracts with</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 xml:space="preserve">SANRAL's Western Region </w:t>
      </w:r>
      <w:r w:rsidR="005A37F8">
        <w:rPr>
          <w:rFonts w:ascii="Times New Roman" w:hAnsi="Times New Roman" w:cs="Times New Roman"/>
          <w:color w:val="000000"/>
          <w:sz w:val="24"/>
          <w:szCs w:val="24"/>
        </w:rPr>
        <w:t>on 16</w:t>
      </w:r>
      <w:r w:rsidR="00CF4ABA" w:rsidRPr="00CF4ABA">
        <w:rPr>
          <w:rFonts w:ascii="Times New Roman" w:hAnsi="Times New Roman" w:cs="Times New Roman"/>
          <w:color w:val="000000"/>
          <w:sz w:val="24"/>
          <w:szCs w:val="24"/>
        </w:rPr>
        <w:t xml:space="preserve"> August 2021. The contracts included the repair</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 xml:space="preserve">and replacement of pavement asphalt on various public roads, which </w:t>
      </w:r>
      <w:r>
        <w:rPr>
          <w:rFonts w:ascii="Times New Roman" w:hAnsi="Times New Roman" w:cs="Times New Roman"/>
          <w:color w:val="000000"/>
          <w:sz w:val="24"/>
          <w:szCs w:val="24"/>
        </w:rPr>
        <w:t>included</w:t>
      </w:r>
      <w:r w:rsidR="00CF4ABA" w:rsidRPr="00CF4ABA">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removal of old / reclaimed asphalt from the road surface.</w:t>
      </w:r>
      <w:r w:rsidR="00DB1137">
        <w:rPr>
          <w:rFonts w:ascii="Times New Roman" w:hAnsi="Times New Roman" w:cs="Times New Roman"/>
          <w:color w:val="000000"/>
          <w:sz w:val="24"/>
          <w:szCs w:val="24"/>
        </w:rPr>
        <w:t xml:space="preserve"> </w:t>
      </w:r>
    </w:p>
    <w:p w14:paraId="4D04F9B6" w14:textId="00C6EFCE" w:rsidR="000B26D4"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CF4ABA" w:rsidRPr="00CF4ABA">
        <w:rPr>
          <w:rFonts w:ascii="Times New Roman" w:hAnsi="Times New Roman" w:cs="Times New Roman"/>
          <w:color w:val="000000"/>
          <w:sz w:val="24"/>
          <w:szCs w:val="24"/>
        </w:rPr>
        <w:t>The reclaimed asphalt, also referred to as “milled material’ contain</w:t>
      </w:r>
      <w:r>
        <w:rPr>
          <w:rFonts w:ascii="Times New Roman" w:hAnsi="Times New Roman" w:cs="Times New Roman"/>
          <w:color w:val="000000"/>
          <w:sz w:val="24"/>
          <w:szCs w:val="24"/>
        </w:rPr>
        <w:t>ed</w:t>
      </w:r>
      <w:r w:rsidR="00CF4ABA" w:rsidRPr="00CF4ABA">
        <w:rPr>
          <w:rFonts w:ascii="Times New Roman" w:hAnsi="Times New Roman" w:cs="Times New Roman"/>
          <w:color w:val="000000"/>
          <w:sz w:val="24"/>
          <w:szCs w:val="24"/>
        </w:rPr>
        <w:t xml:space="preserve"> bitumen.</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Bituminous material, including asphalt, is designated as hazardous waste</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under National Environmental and Waste Management legislation and</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 xml:space="preserve">regulations. As a </w:t>
      </w:r>
      <w:r w:rsidR="00CF4ABA" w:rsidRPr="00CF4ABA">
        <w:rPr>
          <w:rFonts w:ascii="Times New Roman" w:hAnsi="Times New Roman" w:cs="Times New Roman"/>
          <w:color w:val="000000"/>
          <w:sz w:val="24"/>
          <w:szCs w:val="24"/>
        </w:rPr>
        <w:lastRenderedPageBreak/>
        <w:t>result, certain prohibitions and obligations are placed</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on its stockpiling, disposal or recycling</w:t>
      </w:r>
      <w:r>
        <w:rPr>
          <w:rFonts w:ascii="Times New Roman" w:hAnsi="Times New Roman" w:cs="Times New Roman"/>
          <w:color w:val="000000"/>
          <w:sz w:val="24"/>
          <w:szCs w:val="24"/>
        </w:rPr>
        <w:t xml:space="preserve">. </w:t>
      </w:r>
    </w:p>
    <w:p w14:paraId="75A7428B" w14:textId="72190C04" w:rsidR="000B26D4" w:rsidRPr="00CF4ABA"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It is common cause that the respondent dos not hold </w:t>
      </w:r>
      <w:r w:rsidRPr="00CF4ABA">
        <w:rPr>
          <w:rFonts w:ascii="Times New Roman" w:hAnsi="Times New Roman" w:cs="Times New Roman"/>
          <w:color w:val="000000"/>
          <w:sz w:val="24"/>
          <w:szCs w:val="24"/>
        </w:rPr>
        <w:t>a Ministerial exemption from the</w:t>
      </w:r>
      <w:r>
        <w:rPr>
          <w:rFonts w:ascii="Times New Roman" w:hAnsi="Times New Roman" w:cs="Times New Roman"/>
          <w:color w:val="000000"/>
          <w:sz w:val="24"/>
          <w:szCs w:val="24"/>
        </w:rPr>
        <w:t xml:space="preserve"> </w:t>
      </w:r>
      <w:r w:rsidRPr="00CF4ABA">
        <w:rPr>
          <w:rFonts w:ascii="Times New Roman" w:hAnsi="Times New Roman" w:cs="Times New Roman"/>
          <w:color w:val="000000"/>
          <w:sz w:val="24"/>
          <w:szCs w:val="24"/>
        </w:rPr>
        <w:t>regulations regarding the handling of hazardous waste material (section</w:t>
      </w:r>
      <w:r>
        <w:rPr>
          <w:rFonts w:ascii="Times New Roman" w:hAnsi="Times New Roman" w:cs="Times New Roman"/>
          <w:color w:val="000000"/>
          <w:sz w:val="24"/>
          <w:szCs w:val="24"/>
        </w:rPr>
        <w:t xml:space="preserve"> </w:t>
      </w:r>
      <w:r w:rsidRPr="00CF4ABA">
        <w:rPr>
          <w:rFonts w:ascii="Times New Roman" w:hAnsi="Times New Roman" w:cs="Times New Roman"/>
          <w:color w:val="000000"/>
          <w:sz w:val="24"/>
          <w:szCs w:val="24"/>
        </w:rPr>
        <w:t>74 of the National Environmental Management: Waste Act No. 59 of</w:t>
      </w:r>
    </w:p>
    <w:p w14:paraId="5709F2A0" w14:textId="77777777" w:rsidR="000B26D4"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sidRPr="00CF4ABA">
        <w:rPr>
          <w:rFonts w:ascii="Times New Roman" w:hAnsi="Times New Roman" w:cs="Times New Roman"/>
          <w:color w:val="000000"/>
          <w:sz w:val="24"/>
          <w:szCs w:val="24"/>
        </w:rPr>
        <w:t>2008).</w:t>
      </w:r>
    </w:p>
    <w:p w14:paraId="171F2A7F" w14:textId="77777777" w:rsidR="000B26D4"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CF4ABA" w:rsidRPr="00CF4ABA">
        <w:rPr>
          <w:rFonts w:ascii="Times New Roman" w:hAnsi="Times New Roman" w:cs="Times New Roman"/>
          <w:color w:val="000000"/>
          <w:sz w:val="24"/>
          <w:szCs w:val="24"/>
        </w:rPr>
        <w:t>Rail Refurb and SANRAL'’s Engineers, Q&amp;A Consulting,</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disagreed as to the appropriate handling of the reclaimed asphalt. Rail Refurb informed</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SANRAL on multiple occasions that the stockpiling of the material had to be done</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at designated waste management facilities in terms of the Waste Management</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Act. Rail Refurb suggested two sites, AECI Much Asphalt George and AECI</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Much Asphalt Port Elizabeth. It also requested SANRAL to specify other</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designated locations that met the requirements of the Waste Act and regulations.</w:t>
      </w:r>
    </w:p>
    <w:p w14:paraId="53526A77" w14:textId="6D9F03BA" w:rsidR="000B26D4"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CF4ABA" w:rsidRPr="00CF4ABA">
        <w:rPr>
          <w:rFonts w:ascii="Times New Roman" w:hAnsi="Times New Roman" w:cs="Times New Roman"/>
          <w:color w:val="000000"/>
          <w:sz w:val="24"/>
          <w:szCs w:val="24"/>
        </w:rPr>
        <w:t xml:space="preserve">The Engineers and SANRAL </w:t>
      </w:r>
      <w:r>
        <w:rPr>
          <w:rFonts w:ascii="Times New Roman" w:hAnsi="Times New Roman" w:cs="Times New Roman"/>
          <w:color w:val="000000"/>
          <w:sz w:val="24"/>
          <w:szCs w:val="24"/>
        </w:rPr>
        <w:t>according to the RAIL REFURB i</w:t>
      </w:r>
      <w:r w:rsidR="00CF4ABA" w:rsidRPr="00CF4ABA">
        <w:rPr>
          <w:rFonts w:ascii="Times New Roman" w:hAnsi="Times New Roman" w:cs="Times New Roman"/>
          <w:color w:val="000000"/>
          <w:sz w:val="24"/>
          <w:szCs w:val="24"/>
        </w:rPr>
        <w:t>nitially</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engaged in site meetings on the common assumption that the material</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should be treated as hazardous waste. However, later, while continuing to</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acknowledge bituminous material constituted hazardous waste, the</w:t>
      </w:r>
      <w:r>
        <w:rPr>
          <w:rFonts w:ascii="Times New Roman" w:hAnsi="Times New Roman" w:cs="Times New Roman"/>
          <w:color w:val="000000"/>
          <w:sz w:val="24"/>
          <w:szCs w:val="24"/>
        </w:rPr>
        <w:t xml:space="preserve"> engineers </w:t>
      </w:r>
      <w:r w:rsidR="00CF4ABA" w:rsidRPr="00CF4ABA">
        <w:rPr>
          <w:rFonts w:ascii="Times New Roman" w:hAnsi="Times New Roman" w:cs="Times New Roman"/>
          <w:color w:val="000000"/>
          <w:sz w:val="24"/>
          <w:szCs w:val="24"/>
        </w:rPr>
        <w:t>proclaimed</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that they did not consider the reclaimed asphalt in this instance to be hazardous</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waste</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 xml:space="preserve"> They instructed</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that it be stockpiled at any location identified by themselves and not transported</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to designated waste management facilities. This included instructions to</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stockpile on rest areas along the roadside and on private farm land.</w:t>
      </w:r>
    </w:p>
    <w:p w14:paraId="0D3FE0EA" w14:textId="77777777" w:rsidR="000B26D4"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CF4ABA" w:rsidRPr="00CF4ABA">
        <w:rPr>
          <w:rFonts w:ascii="Times New Roman" w:hAnsi="Times New Roman" w:cs="Times New Roman"/>
          <w:color w:val="000000"/>
          <w:sz w:val="24"/>
          <w:szCs w:val="24"/>
        </w:rPr>
        <w:t>Rail Refurb informed SANRAL that these instructions were not only in breach of</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both SANRAL and Rail Refurb’s environmental obligations but were also in</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breach of the contracts</w:t>
      </w:r>
      <w:r>
        <w:rPr>
          <w:rFonts w:ascii="Times New Roman" w:hAnsi="Times New Roman" w:cs="Times New Roman"/>
          <w:color w:val="000000"/>
          <w:sz w:val="24"/>
          <w:szCs w:val="24"/>
        </w:rPr>
        <w:t xml:space="preserve"> in </w:t>
      </w:r>
      <w:r w:rsidR="00CF4ABA" w:rsidRPr="00CF4ABA">
        <w:rPr>
          <w:rFonts w:ascii="Times New Roman" w:hAnsi="Times New Roman" w:cs="Times New Roman"/>
          <w:color w:val="000000"/>
          <w:sz w:val="24"/>
          <w:szCs w:val="24"/>
        </w:rPr>
        <w:t>that its pricing of rates</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for the contracts relied on cross-subsidisation of certain complementary rates.</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These rates were determined based on the work set out in the contract data</w:t>
      </w:r>
      <w:r>
        <w:rPr>
          <w:rFonts w:ascii="Times New Roman" w:hAnsi="Times New Roman" w:cs="Times New Roman"/>
          <w:color w:val="000000"/>
          <w:sz w:val="24"/>
          <w:szCs w:val="24"/>
        </w:rPr>
        <w:t xml:space="preserve">. </w:t>
      </w:r>
    </w:p>
    <w:p w14:paraId="22A3A5A5" w14:textId="77777777" w:rsidR="006D5C59" w:rsidRDefault="000B26D4"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CF4ABA" w:rsidRPr="00CF4ABA">
        <w:rPr>
          <w:rFonts w:ascii="Times New Roman" w:hAnsi="Times New Roman" w:cs="Times New Roman"/>
          <w:color w:val="000000"/>
          <w:sz w:val="24"/>
          <w:szCs w:val="24"/>
        </w:rPr>
        <w:t>Rail Refurb instituted complaint procedures as provided for in the provisions of</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contract and sought to engage SANRAL on this issue</w:t>
      </w:r>
      <w:r w:rsidR="006D5C59">
        <w:rPr>
          <w:rFonts w:ascii="Times New Roman" w:hAnsi="Times New Roman" w:cs="Times New Roman"/>
          <w:color w:val="000000"/>
          <w:sz w:val="24"/>
          <w:szCs w:val="24"/>
        </w:rPr>
        <w:t>.</w:t>
      </w:r>
    </w:p>
    <w:p w14:paraId="558DD38F" w14:textId="77777777" w:rsidR="006D5C59" w:rsidRDefault="006D5C59"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r w:rsidR="00CF4ABA" w:rsidRPr="00CF4ABA">
        <w:rPr>
          <w:rFonts w:ascii="Times New Roman" w:hAnsi="Times New Roman" w:cs="Times New Roman"/>
          <w:color w:val="000000"/>
          <w:sz w:val="24"/>
          <w:szCs w:val="24"/>
        </w:rPr>
        <w:t>SANRAL meanwhile sought to terminate the contracts</w:t>
      </w:r>
      <w:r>
        <w:rPr>
          <w:rFonts w:ascii="Times New Roman" w:hAnsi="Times New Roman" w:cs="Times New Roman"/>
          <w:color w:val="000000"/>
          <w:sz w:val="24"/>
          <w:szCs w:val="24"/>
        </w:rPr>
        <w:t xml:space="preserve"> on </w:t>
      </w:r>
      <w:r w:rsidR="00CF4ABA" w:rsidRPr="00CF4ABA">
        <w:rPr>
          <w:rFonts w:ascii="Times New Roman" w:hAnsi="Times New Roman" w:cs="Times New Roman"/>
          <w:color w:val="000000"/>
          <w:sz w:val="24"/>
          <w:szCs w:val="24"/>
        </w:rPr>
        <w:t xml:space="preserve">four purported grounds for termination, </w:t>
      </w:r>
      <w:r>
        <w:rPr>
          <w:rFonts w:ascii="Times New Roman" w:hAnsi="Times New Roman" w:cs="Times New Roman"/>
          <w:color w:val="000000"/>
          <w:sz w:val="24"/>
          <w:szCs w:val="24"/>
        </w:rPr>
        <w:t xml:space="preserve">that </w:t>
      </w:r>
      <w:r w:rsidR="00CF4ABA" w:rsidRPr="00CF4ABA">
        <w:rPr>
          <w:rFonts w:ascii="Times New Roman" w:hAnsi="Times New Roman" w:cs="Times New Roman"/>
          <w:color w:val="000000"/>
          <w:sz w:val="24"/>
          <w:szCs w:val="24"/>
        </w:rPr>
        <w:t>arise directly from the stockpiling dispute, namely, (a) Rail Refurb’s</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alleged non-compliance with the Engineer's instructions; (b) its alleged failure to</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provide a breakdown of its rates; and (c) its alleged failure to have sub-</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 xml:space="preserve">contracting teams on site all stem from this impasse. </w:t>
      </w:r>
    </w:p>
    <w:p w14:paraId="669A85C9" w14:textId="77777777" w:rsidR="006D5C59" w:rsidRDefault="006D5C59"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CF4ABA" w:rsidRPr="00CF4ABA">
        <w:rPr>
          <w:rFonts w:ascii="Times New Roman" w:hAnsi="Times New Roman" w:cs="Times New Roman"/>
          <w:color w:val="000000"/>
          <w:sz w:val="24"/>
          <w:szCs w:val="24"/>
        </w:rPr>
        <w:t>It is common cause that SANRAL expects that its contracts are carried out i</w:t>
      </w:r>
      <w:r>
        <w:rPr>
          <w:rFonts w:ascii="Times New Roman" w:hAnsi="Times New Roman" w:cs="Times New Roman"/>
          <w:color w:val="000000"/>
          <w:sz w:val="24"/>
          <w:szCs w:val="24"/>
        </w:rPr>
        <w:t xml:space="preserve">n </w:t>
      </w:r>
      <w:r w:rsidR="00CF4ABA" w:rsidRPr="00CF4ABA">
        <w:rPr>
          <w:rFonts w:ascii="Times New Roman" w:hAnsi="Times New Roman" w:cs="Times New Roman"/>
          <w:color w:val="000000"/>
          <w:sz w:val="24"/>
          <w:szCs w:val="24"/>
        </w:rPr>
        <w:lastRenderedPageBreak/>
        <w:t>compliance with environmental regulations.</w:t>
      </w:r>
    </w:p>
    <w:p w14:paraId="547AF311" w14:textId="218C37E0" w:rsidR="00CF4ABA" w:rsidRPr="008A1D31" w:rsidRDefault="006D5C59"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The parties </w:t>
      </w:r>
      <w:r w:rsidR="00CF4ABA" w:rsidRPr="00CF4ABA">
        <w:rPr>
          <w:rFonts w:ascii="Times New Roman" w:hAnsi="Times New Roman" w:cs="Times New Roman"/>
          <w:color w:val="000000"/>
          <w:sz w:val="24"/>
          <w:szCs w:val="24"/>
        </w:rPr>
        <w:t xml:space="preserve">agreed </w:t>
      </w:r>
      <w:r>
        <w:rPr>
          <w:rFonts w:ascii="Times New Roman" w:hAnsi="Times New Roman" w:cs="Times New Roman"/>
          <w:color w:val="000000"/>
          <w:sz w:val="24"/>
          <w:szCs w:val="24"/>
        </w:rPr>
        <w:t xml:space="preserve">that </w:t>
      </w:r>
      <w:r w:rsidR="00CF4ABA" w:rsidRPr="00CF4ABA">
        <w:rPr>
          <w:rFonts w:ascii="Times New Roman" w:hAnsi="Times New Roman" w:cs="Times New Roman"/>
          <w:color w:val="000000"/>
          <w:sz w:val="24"/>
          <w:szCs w:val="24"/>
        </w:rPr>
        <w:t xml:space="preserve">Rail Refurb </w:t>
      </w:r>
      <w:r>
        <w:rPr>
          <w:rFonts w:ascii="Times New Roman" w:hAnsi="Times New Roman" w:cs="Times New Roman"/>
          <w:color w:val="000000"/>
          <w:sz w:val="24"/>
          <w:szCs w:val="24"/>
        </w:rPr>
        <w:t xml:space="preserve">would </w:t>
      </w:r>
      <w:r w:rsidR="00CF4ABA" w:rsidRPr="00CF4ABA">
        <w:rPr>
          <w:rFonts w:ascii="Times New Roman" w:hAnsi="Times New Roman" w:cs="Times New Roman"/>
          <w:color w:val="000000"/>
          <w:sz w:val="24"/>
          <w:szCs w:val="24"/>
        </w:rPr>
        <w:t xml:space="preserve"> provide support for the</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classification of the asphalt and the proper manner for its disposal. Rail Refurb</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obtained a report by GIBB (“the expert report”) to this effect. The expert report's</w:t>
      </w:r>
      <w:r>
        <w:rPr>
          <w:rFonts w:ascii="Times New Roman" w:hAnsi="Times New Roman" w:cs="Times New Roman"/>
          <w:color w:val="000000"/>
          <w:sz w:val="24"/>
          <w:szCs w:val="24"/>
        </w:rPr>
        <w:t xml:space="preserve"> </w:t>
      </w:r>
      <w:r w:rsidR="00CF4ABA" w:rsidRPr="00CF4ABA">
        <w:rPr>
          <w:rFonts w:ascii="Times New Roman" w:hAnsi="Times New Roman" w:cs="Times New Roman"/>
          <w:color w:val="000000"/>
          <w:sz w:val="24"/>
          <w:szCs w:val="24"/>
        </w:rPr>
        <w:t xml:space="preserve">conclusion and recommendations </w:t>
      </w:r>
      <w:r>
        <w:rPr>
          <w:rFonts w:ascii="Times New Roman" w:hAnsi="Times New Roman" w:cs="Times New Roman"/>
          <w:color w:val="000000"/>
          <w:sz w:val="24"/>
          <w:szCs w:val="24"/>
        </w:rPr>
        <w:t>were</w:t>
      </w:r>
      <w:r w:rsidR="00CF4ABA" w:rsidRPr="00CF4ABA">
        <w:rPr>
          <w:rFonts w:ascii="Times New Roman" w:hAnsi="Times New Roman" w:cs="Times New Roman"/>
          <w:color w:val="000000"/>
          <w:sz w:val="24"/>
          <w:szCs w:val="24"/>
        </w:rPr>
        <w:t xml:space="preserve"> as follows:</w:t>
      </w:r>
    </w:p>
    <w:p w14:paraId="0BCBADB1" w14:textId="3B295A8F" w:rsidR="00CF4ABA" w:rsidRPr="008A1D31" w:rsidRDefault="00CF4ABA" w:rsidP="008A1D31">
      <w:pPr>
        <w:pStyle w:val="BodyText"/>
        <w:kinsoku w:val="0"/>
        <w:overflowPunct w:val="0"/>
        <w:spacing w:line="360" w:lineRule="auto"/>
        <w:ind w:left="709" w:right="57"/>
        <w:jc w:val="both"/>
        <w:rPr>
          <w:rFonts w:ascii="Times New Roman" w:hAnsi="Times New Roman" w:cs="Times New Roman"/>
          <w:i/>
          <w:color w:val="000000"/>
          <w:sz w:val="22"/>
          <w:szCs w:val="22"/>
        </w:rPr>
      </w:pPr>
      <w:r w:rsidRPr="008A1D31">
        <w:rPr>
          <w:rFonts w:ascii="Times New Roman" w:hAnsi="Times New Roman" w:cs="Times New Roman"/>
          <w:i/>
          <w:color w:val="000000"/>
          <w:sz w:val="22"/>
          <w:szCs w:val="22"/>
        </w:rPr>
        <w:t>“Asphalt is classified as hazardous waste in terms of the National Environmental</w:t>
      </w:r>
      <w:r w:rsidR="006D5C59" w:rsidRPr="008A1D31">
        <w:rPr>
          <w:rFonts w:ascii="Times New Roman" w:hAnsi="Times New Roman" w:cs="Times New Roman"/>
          <w:i/>
          <w:color w:val="000000"/>
          <w:sz w:val="22"/>
          <w:szCs w:val="22"/>
        </w:rPr>
        <w:tab/>
      </w:r>
    </w:p>
    <w:p w14:paraId="1FD322F7" w14:textId="77777777" w:rsidR="00CF4ABA" w:rsidRPr="008A1D31" w:rsidRDefault="00CF4ABA" w:rsidP="008A1D31">
      <w:pPr>
        <w:pStyle w:val="BodyText"/>
        <w:kinsoku w:val="0"/>
        <w:overflowPunct w:val="0"/>
        <w:spacing w:line="360" w:lineRule="auto"/>
        <w:ind w:left="709" w:right="57"/>
        <w:jc w:val="both"/>
        <w:rPr>
          <w:rFonts w:ascii="Times New Roman" w:hAnsi="Times New Roman" w:cs="Times New Roman"/>
          <w:i/>
          <w:color w:val="000000"/>
          <w:sz w:val="22"/>
          <w:szCs w:val="22"/>
        </w:rPr>
      </w:pPr>
      <w:r w:rsidRPr="008A1D31">
        <w:rPr>
          <w:rFonts w:ascii="Times New Roman" w:hAnsi="Times New Roman" w:cs="Times New Roman"/>
          <w:i/>
          <w:color w:val="000000"/>
          <w:sz w:val="22"/>
          <w:szCs w:val="22"/>
        </w:rPr>
        <w:t>Management: Waste Amendment Act (Act 26 of 2014) and the National Waste</w:t>
      </w:r>
    </w:p>
    <w:p w14:paraId="006FBB8F" w14:textId="68BC914E" w:rsidR="006D5C59" w:rsidRPr="008A1D31" w:rsidRDefault="00CF4ABA" w:rsidP="008A1D31">
      <w:pPr>
        <w:pStyle w:val="BodyText"/>
        <w:kinsoku w:val="0"/>
        <w:overflowPunct w:val="0"/>
        <w:spacing w:line="360" w:lineRule="auto"/>
        <w:ind w:left="709" w:right="57"/>
        <w:jc w:val="both"/>
        <w:rPr>
          <w:rFonts w:ascii="Times New Roman" w:hAnsi="Times New Roman" w:cs="Times New Roman"/>
          <w:i/>
          <w:color w:val="000000"/>
          <w:sz w:val="22"/>
          <w:szCs w:val="22"/>
        </w:rPr>
      </w:pPr>
      <w:r w:rsidRPr="008A1D31">
        <w:rPr>
          <w:rFonts w:ascii="Times New Roman" w:hAnsi="Times New Roman" w:cs="Times New Roman"/>
          <w:i/>
          <w:color w:val="000000"/>
          <w:sz w:val="22"/>
          <w:szCs w:val="22"/>
        </w:rPr>
        <w:t>Information Regulations (GNR 625 of 2012). As such is needs to be managed in</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accordance to legislated related to hazardous waste.</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The stockpile area used for asphalt would need to be registered with DEADP if</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it has the capacity to store in excess of 80m3 of asphalt. If the stockpile area is</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below this threshold it would not need to be registered. The duty of care principal</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would still need to be applied and the asphalt would need be stored in a manner</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that does not result in pollution or environmental degradation.</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Recycling of asphalt is favoured over disposal in terms of the waste management</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hierarchy. It is therefore recommended that Rail Refurb transports the asphalt to</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Much Asphalt for recycling. Rail Refurb would need to ensure that Much Asphal</w:t>
      </w:r>
      <w:r w:rsidR="006D5C59" w:rsidRPr="008A1D31">
        <w:rPr>
          <w:rFonts w:ascii="Times New Roman" w:hAnsi="Times New Roman" w:cs="Times New Roman"/>
          <w:i/>
          <w:color w:val="000000"/>
          <w:sz w:val="22"/>
          <w:szCs w:val="22"/>
        </w:rPr>
        <w:t xml:space="preserve">t </w:t>
      </w:r>
      <w:r w:rsidRPr="008A1D31">
        <w:rPr>
          <w:rFonts w:ascii="Times New Roman" w:hAnsi="Times New Roman" w:cs="Times New Roman"/>
          <w:i/>
          <w:color w:val="000000"/>
          <w:sz w:val="22"/>
          <w:szCs w:val="22"/>
        </w:rPr>
        <w:t>has the correct permits, registrations or license in place to allow them to recycle</w:t>
      </w:r>
      <w:r w:rsidR="006D5C59" w:rsidRPr="008A1D31">
        <w:rPr>
          <w:rFonts w:ascii="Times New Roman" w:hAnsi="Times New Roman" w:cs="Times New Roman"/>
          <w:i/>
          <w:color w:val="000000"/>
          <w:sz w:val="22"/>
          <w:szCs w:val="22"/>
        </w:rPr>
        <w:t xml:space="preserve"> </w:t>
      </w:r>
      <w:r w:rsidRPr="008A1D31">
        <w:rPr>
          <w:rFonts w:ascii="Times New Roman" w:hAnsi="Times New Roman" w:cs="Times New Roman"/>
          <w:i/>
          <w:color w:val="000000"/>
          <w:sz w:val="22"/>
          <w:szCs w:val="22"/>
        </w:rPr>
        <w:t>asphalt. The existing permit appears to be limited to waste disposal activities.”</w:t>
      </w:r>
    </w:p>
    <w:p w14:paraId="39C8E240" w14:textId="72C3D195" w:rsidR="006D5C59" w:rsidRDefault="006D5C59" w:rsidP="008A1D31">
      <w:pPr>
        <w:pStyle w:val="BodyText"/>
        <w:kinsoku w:val="0"/>
        <w:overflowPunct w:val="0"/>
        <w:spacing w:line="360" w:lineRule="auto"/>
        <w:ind w:left="709" w:right="5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3.11 </w:t>
      </w:r>
      <w:r w:rsidR="00CF4ABA" w:rsidRPr="00CF4ABA">
        <w:rPr>
          <w:rFonts w:ascii="Times New Roman" w:hAnsi="Times New Roman" w:cs="Times New Roman"/>
          <w:color w:val="000000"/>
          <w:sz w:val="24"/>
          <w:szCs w:val="24"/>
        </w:rPr>
        <w:t>On 8 November 2021, in the first notice in terms of 15.1 of FIDIC, SANRAL state</w:t>
      </w:r>
      <w:r>
        <w:rPr>
          <w:rFonts w:ascii="Times New Roman" w:hAnsi="Times New Roman" w:cs="Times New Roman"/>
          <w:color w:val="000000"/>
          <w:sz w:val="24"/>
          <w:szCs w:val="24"/>
        </w:rPr>
        <w:t>d</w:t>
      </w:r>
      <w:r>
        <w:rPr>
          <w:rFonts w:ascii="Times New Roman" w:hAnsi="Times New Roman" w:cs="Times New Roman"/>
          <w:color w:val="000000"/>
          <w:sz w:val="22"/>
          <w:szCs w:val="22"/>
        </w:rPr>
        <w:t xml:space="preserve"> </w:t>
      </w:r>
      <w:r w:rsidR="00CF4ABA" w:rsidRPr="00CF4ABA">
        <w:rPr>
          <w:rFonts w:ascii="Times New Roman" w:hAnsi="Times New Roman" w:cs="Times New Roman"/>
          <w:color w:val="000000"/>
          <w:sz w:val="24"/>
          <w:szCs w:val="24"/>
        </w:rPr>
        <w:t>that Rail Refurb must “formally disclose all appointed subcontractors and submit</w:t>
      </w:r>
      <w:r w:rsidR="00B077D3">
        <w:rPr>
          <w:rFonts w:ascii="Times New Roman" w:hAnsi="Times New Roman" w:cs="Times New Roman"/>
          <w:color w:val="000000"/>
          <w:sz w:val="24"/>
          <w:szCs w:val="24"/>
        </w:rPr>
        <w:t xml:space="preserve">ted </w:t>
      </w:r>
      <w:r w:rsidR="00CF4ABA" w:rsidRPr="00CF4ABA">
        <w:rPr>
          <w:rFonts w:ascii="Times New Roman" w:hAnsi="Times New Roman" w:cs="Times New Roman"/>
          <w:color w:val="000000"/>
          <w:sz w:val="24"/>
          <w:szCs w:val="24"/>
        </w:rPr>
        <w:t>the required documentation as per the Contract".</w:t>
      </w:r>
    </w:p>
    <w:p w14:paraId="5C1D13CF" w14:textId="256FF3C5" w:rsidR="00CF4ABA" w:rsidRDefault="006D5C59" w:rsidP="008A1D31">
      <w:pPr>
        <w:pStyle w:val="BodyText"/>
        <w:kinsoku w:val="0"/>
        <w:overflowPunct w:val="0"/>
        <w:spacing w:line="360" w:lineRule="auto"/>
        <w:ind w:left="709" w:right="57"/>
        <w:jc w:val="both"/>
        <w:rPr>
          <w:rFonts w:ascii="Times New Roman" w:hAnsi="Times New Roman" w:cs="Times New Roman"/>
          <w:color w:val="000000"/>
          <w:sz w:val="24"/>
          <w:szCs w:val="24"/>
        </w:rPr>
      </w:pPr>
      <w:r>
        <w:rPr>
          <w:rFonts w:ascii="Times New Roman" w:hAnsi="Times New Roman" w:cs="Times New Roman"/>
          <w:color w:val="000000"/>
          <w:sz w:val="22"/>
          <w:szCs w:val="22"/>
        </w:rPr>
        <w:t xml:space="preserve">3.12 </w:t>
      </w:r>
      <w:r w:rsidR="00B077D3">
        <w:rPr>
          <w:rFonts w:ascii="Times New Roman" w:hAnsi="Times New Roman" w:cs="Times New Roman"/>
          <w:color w:val="000000"/>
          <w:sz w:val="24"/>
          <w:szCs w:val="24"/>
        </w:rPr>
        <w:t xml:space="preserve">Various notices followed </w:t>
      </w:r>
      <w:r w:rsidR="005A37F8">
        <w:rPr>
          <w:rFonts w:ascii="Times New Roman" w:hAnsi="Times New Roman" w:cs="Times New Roman"/>
          <w:color w:val="000000"/>
          <w:sz w:val="24"/>
          <w:szCs w:val="24"/>
        </w:rPr>
        <w:t xml:space="preserve">and correspondences </w:t>
      </w:r>
      <w:r w:rsidR="00095002">
        <w:rPr>
          <w:rFonts w:ascii="Times New Roman" w:hAnsi="Times New Roman" w:cs="Times New Roman"/>
          <w:color w:val="000000"/>
          <w:sz w:val="24"/>
          <w:szCs w:val="24"/>
        </w:rPr>
        <w:t>during this period and</w:t>
      </w:r>
      <w:r w:rsidR="00B077D3">
        <w:rPr>
          <w:rFonts w:ascii="Times New Roman" w:hAnsi="Times New Roman" w:cs="Times New Roman"/>
          <w:color w:val="000000"/>
          <w:sz w:val="24"/>
          <w:szCs w:val="24"/>
        </w:rPr>
        <w:t xml:space="preserve"> on 9 February 2022, SANRAL issued noticed of termination on the purported basis of RAIL REFURB’s non-compliance with the terms of the contract. </w:t>
      </w:r>
    </w:p>
    <w:p w14:paraId="1C4DD8A1" w14:textId="1DB9867F" w:rsidR="005A37F8" w:rsidRPr="00B077D3" w:rsidRDefault="005A37F8" w:rsidP="008A1D31">
      <w:pPr>
        <w:pStyle w:val="BodyText"/>
        <w:kinsoku w:val="0"/>
        <w:overflowPunct w:val="0"/>
        <w:spacing w:line="360" w:lineRule="auto"/>
        <w:ind w:left="709" w:right="57"/>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3.13 This application was launched on 17 March 2022. </w:t>
      </w:r>
    </w:p>
    <w:p w14:paraId="628DDA44" w14:textId="77777777" w:rsidR="00CF4ABA" w:rsidRPr="00CF4ABA" w:rsidRDefault="00CF4ABA" w:rsidP="008A1D31">
      <w:pPr>
        <w:pStyle w:val="BodyText"/>
        <w:kinsoku w:val="0"/>
        <w:overflowPunct w:val="0"/>
        <w:spacing w:line="360" w:lineRule="auto"/>
        <w:ind w:left="709" w:right="57" w:hanging="709"/>
        <w:jc w:val="both"/>
        <w:rPr>
          <w:rFonts w:ascii="Times New Roman" w:hAnsi="Times New Roman" w:cs="Times New Roman"/>
          <w:color w:val="000000"/>
          <w:sz w:val="24"/>
          <w:szCs w:val="24"/>
        </w:rPr>
      </w:pPr>
    </w:p>
    <w:p w14:paraId="34EB2ECE" w14:textId="1BE559AE" w:rsidR="00EA2EA9" w:rsidRDefault="00EA2EA9"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The Respondent filed a notice of opposition</w:t>
      </w:r>
      <w:r w:rsidR="007C6D51">
        <w:rPr>
          <w:rFonts w:ascii="Times New Roman" w:hAnsi="Times New Roman" w:cs="Times New Roman"/>
          <w:color w:val="000000"/>
        </w:rPr>
        <w:t xml:space="preserve">. </w:t>
      </w:r>
      <w:r>
        <w:rPr>
          <w:rFonts w:ascii="Times New Roman" w:hAnsi="Times New Roman" w:cs="Times New Roman"/>
          <w:color w:val="000000"/>
        </w:rPr>
        <w:t xml:space="preserve"> </w:t>
      </w:r>
      <w:r w:rsidR="005A37F8">
        <w:rPr>
          <w:rFonts w:ascii="Times New Roman" w:hAnsi="Times New Roman" w:cs="Times New Roman"/>
          <w:color w:val="000000"/>
        </w:rPr>
        <w:t xml:space="preserve">However, the respondent filed its answering affidavit </w:t>
      </w:r>
      <w:r w:rsidR="00345FFA">
        <w:rPr>
          <w:rFonts w:ascii="Times New Roman" w:hAnsi="Times New Roman" w:cs="Times New Roman"/>
          <w:color w:val="000000"/>
        </w:rPr>
        <w:t xml:space="preserve">and supplementary answering affidavit </w:t>
      </w:r>
      <w:r w:rsidR="005A37F8">
        <w:rPr>
          <w:rFonts w:ascii="Times New Roman" w:hAnsi="Times New Roman" w:cs="Times New Roman"/>
          <w:color w:val="000000"/>
        </w:rPr>
        <w:t>5 weeks late and sought condonation</w:t>
      </w:r>
      <w:r w:rsidR="00345FFA">
        <w:rPr>
          <w:rFonts w:ascii="Times New Roman" w:hAnsi="Times New Roman" w:cs="Times New Roman"/>
          <w:color w:val="000000"/>
        </w:rPr>
        <w:t xml:space="preserve"> in respect of both</w:t>
      </w:r>
      <w:r w:rsidR="005A37F8">
        <w:rPr>
          <w:rFonts w:ascii="Times New Roman" w:hAnsi="Times New Roman" w:cs="Times New Roman"/>
          <w:color w:val="000000"/>
        </w:rPr>
        <w:t xml:space="preserve">. </w:t>
      </w:r>
      <w:r w:rsidR="007C6D51">
        <w:rPr>
          <w:rFonts w:ascii="Times New Roman" w:hAnsi="Times New Roman" w:cs="Times New Roman"/>
          <w:color w:val="000000"/>
        </w:rPr>
        <w:t>The</w:t>
      </w:r>
      <w:r w:rsidR="005A37F8">
        <w:rPr>
          <w:rFonts w:ascii="Times New Roman" w:hAnsi="Times New Roman" w:cs="Times New Roman"/>
          <w:color w:val="000000"/>
        </w:rPr>
        <w:t xml:space="preserve"> applicant opposed the condonation stating that the reasons for the late filing were inadequate and that the matter should be heard unopposed. </w:t>
      </w:r>
      <w:r w:rsidR="009F460C">
        <w:rPr>
          <w:rFonts w:ascii="Times New Roman" w:hAnsi="Times New Roman" w:cs="Times New Roman"/>
          <w:color w:val="000000"/>
        </w:rPr>
        <w:t xml:space="preserve">The matter was heard on the unopposed motion court roll. </w:t>
      </w:r>
    </w:p>
    <w:p w14:paraId="48AE1D1C" w14:textId="77777777" w:rsidR="009F460C" w:rsidRDefault="009F460C" w:rsidP="008A1D31">
      <w:pPr>
        <w:kinsoku w:val="0"/>
        <w:overflowPunct w:val="0"/>
        <w:spacing w:line="360" w:lineRule="auto"/>
        <w:ind w:right="23"/>
        <w:jc w:val="both"/>
        <w:rPr>
          <w:rFonts w:ascii="Times New Roman" w:hAnsi="Times New Roman" w:cs="Times New Roman"/>
          <w:color w:val="000000"/>
        </w:rPr>
      </w:pPr>
    </w:p>
    <w:p w14:paraId="5FEFDC7D" w14:textId="6FB92E93" w:rsidR="00216B84" w:rsidRDefault="00216B84"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The applicant also sought leave to file a further affidavit as evidence in the main application. </w:t>
      </w:r>
    </w:p>
    <w:p w14:paraId="083B3ED4" w14:textId="43DED827" w:rsidR="00344CA1" w:rsidRDefault="009B3D8F" w:rsidP="008A1D31">
      <w:pPr>
        <w:pStyle w:val="BodyText"/>
        <w:kinsoku w:val="0"/>
        <w:overflowPunct w:val="0"/>
        <w:spacing w:line="360" w:lineRule="auto"/>
        <w:ind w:left="709" w:right="57"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5717261C" w14:textId="77777777" w:rsidR="008A1D31" w:rsidRDefault="008A1D31" w:rsidP="008A1D31">
      <w:pPr>
        <w:pStyle w:val="BodyText"/>
        <w:kinsoku w:val="0"/>
        <w:overflowPunct w:val="0"/>
        <w:spacing w:line="360" w:lineRule="auto"/>
        <w:ind w:left="709" w:right="57" w:hanging="709"/>
        <w:jc w:val="both"/>
        <w:rPr>
          <w:rFonts w:ascii="Times New Roman" w:hAnsi="Times New Roman" w:cs="Times New Roman"/>
          <w:color w:val="000000"/>
          <w:sz w:val="24"/>
          <w:szCs w:val="24"/>
        </w:rPr>
      </w:pPr>
    </w:p>
    <w:p w14:paraId="5820EE3E" w14:textId="77777777" w:rsidR="00421948" w:rsidRDefault="00421948" w:rsidP="008A1D31">
      <w:pPr>
        <w:spacing w:line="360" w:lineRule="auto"/>
        <w:ind w:right="78"/>
        <w:jc w:val="both"/>
        <w:rPr>
          <w:rFonts w:ascii="Times New Roman" w:hAnsi="Times New Roman" w:cs="Times New Roman"/>
          <w:b/>
          <w:u w:val="single"/>
        </w:rPr>
      </w:pPr>
      <w:r>
        <w:rPr>
          <w:rFonts w:ascii="Times New Roman" w:hAnsi="Times New Roman" w:cs="Times New Roman"/>
          <w:b/>
          <w:u w:val="single"/>
        </w:rPr>
        <w:lastRenderedPageBreak/>
        <w:t>Applicant’s Argument</w:t>
      </w:r>
    </w:p>
    <w:p w14:paraId="0260B51E" w14:textId="77777777" w:rsidR="00421948" w:rsidRDefault="00421948" w:rsidP="008A1D31">
      <w:pPr>
        <w:spacing w:line="360" w:lineRule="auto"/>
        <w:ind w:right="78"/>
        <w:jc w:val="both"/>
        <w:rPr>
          <w:rFonts w:ascii="Times New Roman" w:hAnsi="Times New Roman" w:cs="Times New Roman"/>
        </w:rPr>
      </w:pPr>
    </w:p>
    <w:p w14:paraId="11A42186" w14:textId="4C249A5A" w:rsidR="007C6D51" w:rsidRDefault="00421948" w:rsidP="008A1D31">
      <w:pPr>
        <w:spacing w:line="360" w:lineRule="auto"/>
        <w:ind w:right="78"/>
        <w:jc w:val="both"/>
        <w:rPr>
          <w:rFonts w:ascii="Times New Roman" w:hAnsi="Times New Roman" w:cs="Times New Roman"/>
        </w:rPr>
      </w:pPr>
      <w:r>
        <w:rPr>
          <w:rFonts w:ascii="Times New Roman" w:hAnsi="Times New Roman" w:cs="Times New Roman"/>
        </w:rPr>
        <w:t>[</w:t>
      </w:r>
      <w:r w:rsidR="00216B84">
        <w:rPr>
          <w:rFonts w:ascii="Times New Roman" w:hAnsi="Times New Roman" w:cs="Times New Roman"/>
        </w:rPr>
        <w:t>6</w:t>
      </w:r>
      <w:r>
        <w:rPr>
          <w:rFonts w:ascii="Times New Roman" w:hAnsi="Times New Roman" w:cs="Times New Roman"/>
        </w:rPr>
        <w:t xml:space="preserve">]     </w:t>
      </w:r>
      <w:r w:rsidR="0047758D">
        <w:rPr>
          <w:rFonts w:ascii="Times New Roman" w:hAnsi="Times New Roman" w:cs="Times New Roman"/>
        </w:rPr>
        <w:tab/>
      </w:r>
      <w:r>
        <w:rPr>
          <w:rFonts w:ascii="Times New Roman" w:hAnsi="Times New Roman" w:cs="Times New Roman"/>
        </w:rPr>
        <w:t>The</w:t>
      </w:r>
      <w:r w:rsidR="0047758D">
        <w:rPr>
          <w:rFonts w:ascii="Times New Roman" w:hAnsi="Times New Roman" w:cs="Times New Roman"/>
        </w:rPr>
        <w:t xml:space="preserve"> A</w:t>
      </w:r>
      <w:r>
        <w:rPr>
          <w:rFonts w:ascii="Times New Roman" w:hAnsi="Times New Roman" w:cs="Times New Roman"/>
        </w:rPr>
        <w:t xml:space="preserve">pplicant </w:t>
      </w:r>
      <w:r w:rsidR="0047758D">
        <w:rPr>
          <w:rFonts w:ascii="Times New Roman" w:hAnsi="Times New Roman" w:cs="Times New Roman"/>
        </w:rPr>
        <w:t xml:space="preserve">contends </w:t>
      </w:r>
      <w:r w:rsidR="00095002">
        <w:rPr>
          <w:rFonts w:ascii="Times New Roman" w:hAnsi="Times New Roman" w:cs="Times New Roman"/>
        </w:rPr>
        <w:t xml:space="preserve">the respondent unlawfully terminated the two contracts and that the termination has consequences not only in respect of non-performance for those two contracts but also for the applicant’s ability to tender for future contracts. The reporting of the non-performances triggers reporting to the CIDB and National Treasury in which the applicant risks being blacklisted from further public contracts. Therefore until the illegalities are established in the appropriate litigation proceedings the applicants ability to tender for work is unfairly prejudiced.  It is on this basis that the applicant applies for the suspension order until the main proceedings are finalised. </w:t>
      </w:r>
    </w:p>
    <w:p w14:paraId="29914BB6" w14:textId="77777777" w:rsidR="00095002" w:rsidRDefault="00095002" w:rsidP="008A1D31">
      <w:pPr>
        <w:spacing w:line="360" w:lineRule="auto"/>
        <w:ind w:right="78"/>
        <w:jc w:val="both"/>
        <w:rPr>
          <w:rFonts w:ascii="Times New Roman" w:hAnsi="Times New Roman" w:cs="Times New Roman"/>
        </w:rPr>
      </w:pPr>
    </w:p>
    <w:p w14:paraId="0CDC535E" w14:textId="07431D7E" w:rsidR="00A26FDC" w:rsidRDefault="007C6D51" w:rsidP="008A1D31">
      <w:pPr>
        <w:spacing w:line="360" w:lineRule="auto"/>
        <w:ind w:right="78"/>
        <w:jc w:val="both"/>
        <w:rPr>
          <w:rFonts w:ascii="Times New Roman" w:hAnsi="Times New Roman" w:cs="Times New Roman"/>
        </w:rPr>
      </w:pPr>
      <w:r>
        <w:rPr>
          <w:rFonts w:ascii="Times New Roman" w:hAnsi="Times New Roman" w:cs="Times New Roman"/>
        </w:rPr>
        <w:t>[</w:t>
      </w:r>
      <w:r w:rsidR="00216B84">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344CA1">
        <w:rPr>
          <w:rFonts w:ascii="Times New Roman" w:hAnsi="Times New Roman" w:cs="Times New Roman"/>
        </w:rPr>
        <w:t>The Applicant</w:t>
      </w:r>
      <w:r w:rsidR="00095002">
        <w:rPr>
          <w:rFonts w:ascii="Times New Roman" w:hAnsi="Times New Roman" w:cs="Times New Roman"/>
        </w:rPr>
        <w:t xml:space="preserve"> submits that this would be just and equitable for the following reasons: </w:t>
      </w:r>
    </w:p>
    <w:p w14:paraId="5D41DED3" w14:textId="1F1AB53C" w:rsidR="00A26FDC" w:rsidRDefault="00216B84" w:rsidP="008A1D31">
      <w:pPr>
        <w:spacing w:line="360" w:lineRule="auto"/>
        <w:ind w:left="720" w:right="78"/>
        <w:jc w:val="both"/>
        <w:rPr>
          <w:rFonts w:ascii="Times New Roman" w:hAnsi="Times New Roman" w:cs="Times New Roman"/>
        </w:rPr>
      </w:pPr>
      <w:r>
        <w:rPr>
          <w:rFonts w:ascii="Times New Roman" w:hAnsi="Times New Roman" w:cs="Times New Roman"/>
        </w:rPr>
        <w:t>7</w:t>
      </w:r>
      <w:r w:rsidR="00A26FDC" w:rsidRPr="00A26FDC">
        <w:rPr>
          <w:rFonts w:ascii="Times New Roman" w:hAnsi="Times New Roman" w:cs="Times New Roman"/>
        </w:rPr>
        <w:t>.1. The contracts would remain cancelled, and SANRAL would therefore be</w:t>
      </w:r>
      <w:r w:rsidR="00A26FDC">
        <w:rPr>
          <w:rFonts w:ascii="Times New Roman" w:hAnsi="Times New Roman" w:cs="Times New Roman"/>
        </w:rPr>
        <w:t xml:space="preserve"> </w:t>
      </w:r>
      <w:r w:rsidR="00A26FDC" w:rsidRPr="00A26FDC">
        <w:rPr>
          <w:rFonts w:ascii="Times New Roman" w:hAnsi="Times New Roman" w:cs="Times New Roman"/>
        </w:rPr>
        <w:t>free to ensure the remaining work is completed within the prescripts of</w:t>
      </w:r>
      <w:r w:rsidR="00A26FDC">
        <w:rPr>
          <w:rFonts w:ascii="Times New Roman" w:hAnsi="Times New Roman" w:cs="Times New Roman"/>
        </w:rPr>
        <w:t xml:space="preserve"> </w:t>
      </w:r>
      <w:r w:rsidR="00A26FDC" w:rsidRPr="00A26FDC">
        <w:rPr>
          <w:rFonts w:ascii="Times New Roman" w:hAnsi="Times New Roman" w:cs="Times New Roman"/>
        </w:rPr>
        <w:t>applicable public service provisions.</w:t>
      </w:r>
    </w:p>
    <w:p w14:paraId="1083CFCB" w14:textId="5CABED00" w:rsidR="00A26FDC" w:rsidRDefault="00216B84" w:rsidP="008A1D31">
      <w:pPr>
        <w:spacing w:line="360" w:lineRule="auto"/>
        <w:ind w:left="720" w:right="78"/>
        <w:jc w:val="both"/>
        <w:rPr>
          <w:rFonts w:ascii="Times New Roman" w:hAnsi="Times New Roman" w:cs="Times New Roman"/>
        </w:rPr>
      </w:pPr>
      <w:r>
        <w:rPr>
          <w:rFonts w:ascii="Times New Roman" w:hAnsi="Times New Roman" w:cs="Times New Roman"/>
        </w:rPr>
        <w:t>7</w:t>
      </w:r>
      <w:r w:rsidR="00A26FDC" w:rsidRPr="00A26FDC">
        <w:rPr>
          <w:rFonts w:ascii="Times New Roman" w:hAnsi="Times New Roman" w:cs="Times New Roman"/>
        </w:rPr>
        <w:t>.2. It is only the legal basis for the purported termination — or the lack</w:t>
      </w:r>
      <w:r w:rsidR="00A26FDC">
        <w:rPr>
          <w:rFonts w:ascii="Times New Roman" w:hAnsi="Times New Roman" w:cs="Times New Roman"/>
        </w:rPr>
        <w:t xml:space="preserve"> </w:t>
      </w:r>
      <w:r w:rsidR="00A26FDC" w:rsidRPr="00A26FDC">
        <w:rPr>
          <w:rFonts w:ascii="Times New Roman" w:hAnsi="Times New Roman" w:cs="Times New Roman"/>
        </w:rPr>
        <w:t>thereof — that would await final determination. A court will decide in due</w:t>
      </w:r>
      <w:r w:rsidR="00A26FDC">
        <w:rPr>
          <w:rFonts w:ascii="Times New Roman" w:hAnsi="Times New Roman" w:cs="Times New Roman"/>
        </w:rPr>
        <w:t xml:space="preserve"> </w:t>
      </w:r>
      <w:r w:rsidR="00A26FDC" w:rsidRPr="00A26FDC">
        <w:rPr>
          <w:rFonts w:ascii="Times New Roman" w:hAnsi="Times New Roman" w:cs="Times New Roman"/>
        </w:rPr>
        <w:t>course if it is a result of SANRAL's breach and subsequent repudiation,</w:t>
      </w:r>
      <w:r w:rsidR="00A26FDC">
        <w:rPr>
          <w:rFonts w:ascii="Times New Roman" w:hAnsi="Times New Roman" w:cs="Times New Roman"/>
        </w:rPr>
        <w:t xml:space="preserve"> </w:t>
      </w:r>
      <w:r w:rsidR="00A26FDC" w:rsidRPr="00A26FDC">
        <w:rPr>
          <w:rFonts w:ascii="Times New Roman" w:hAnsi="Times New Roman" w:cs="Times New Roman"/>
        </w:rPr>
        <w:t>as alleged by Rail Refurb, or if it is due to Rail Refurb’s non-performance</w:t>
      </w:r>
      <w:r w:rsidR="00A26FDC">
        <w:rPr>
          <w:rFonts w:ascii="Times New Roman" w:hAnsi="Times New Roman" w:cs="Times New Roman"/>
        </w:rPr>
        <w:t xml:space="preserve"> </w:t>
      </w:r>
      <w:r w:rsidR="00A26FDC" w:rsidRPr="00A26FDC">
        <w:rPr>
          <w:rFonts w:ascii="Times New Roman" w:hAnsi="Times New Roman" w:cs="Times New Roman"/>
        </w:rPr>
        <w:t>as alleged by SANRAL.</w:t>
      </w:r>
    </w:p>
    <w:p w14:paraId="5E929192" w14:textId="5D11FC1C" w:rsidR="00A26FDC" w:rsidRDefault="00216B84" w:rsidP="008A1D31">
      <w:pPr>
        <w:spacing w:line="360" w:lineRule="auto"/>
        <w:ind w:left="720" w:right="78"/>
        <w:jc w:val="both"/>
        <w:rPr>
          <w:rFonts w:ascii="Times New Roman" w:hAnsi="Times New Roman" w:cs="Times New Roman"/>
        </w:rPr>
      </w:pPr>
      <w:r>
        <w:rPr>
          <w:rFonts w:ascii="Times New Roman" w:hAnsi="Times New Roman" w:cs="Times New Roman"/>
        </w:rPr>
        <w:t>7</w:t>
      </w:r>
      <w:r w:rsidR="00A26FDC" w:rsidRPr="00A26FDC">
        <w:rPr>
          <w:rFonts w:ascii="Times New Roman" w:hAnsi="Times New Roman" w:cs="Times New Roman"/>
        </w:rPr>
        <w:t>.3. Rail Refurb’s challenge to SANRAL’s cancellation and reporting and</w:t>
      </w:r>
      <w:r w:rsidR="00A26FDC">
        <w:rPr>
          <w:rFonts w:ascii="Times New Roman" w:hAnsi="Times New Roman" w:cs="Times New Roman"/>
        </w:rPr>
        <w:t xml:space="preserve"> </w:t>
      </w:r>
      <w:r w:rsidR="00A26FDC" w:rsidRPr="00A26FDC">
        <w:rPr>
          <w:rFonts w:ascii="Times New Roman" w:hAnsi="Times New Roman" w:cs="Times New Roman"/>
        </w:rPr>
        <w:t>restriction decisions can run to completion through litigation and any</w:t>
      </w:r>
      <w:r w:rsidR="00A26FDC">
        <w:rPr>
          <w:rFonts w:ascii="Times New Roman" w:hAnsi="Times New Roman" w:cs="Times New Roman"/>
        </w:rPr>
        <w:t xml:space="preserve"> </w:t>
      </w:r>
      <w:r w:rsidR="00A26FDC" w:rsidRPr="00A26FDC">
        <w:rPr>
          <w:rFonts w:ascii="Times New Roman" w:hAnsi="Times New Roman" w:cs="Times New Roman"/>
        </w:rPr>
        <w:t>separate procedural channels provided for under SANRAL'’s internal</w:t>
      </w:r>
      <w:r w:rsidR="00A26FDC">
        <w:rPr>
          <w:rFonts w:ascii="Times New Roman" w:hAnsi="Times New Roman" w:cs="Times New Roman"/>
        </w:rPr>
        <w:t xml:space="preserve"> </w:t>
      </w:r>
      <w:r w:rsidR="00A26FDC" w:rsidRPr="00A26FDC">
        <w:rPr>
          <w:rFonts w:ascii="Times New Roman" w:hAnsi="Times New Roman" w:cs="Times New Roman"/>
        </w:rPr>
        <w:t>processes.</w:t>
      </w:r>
    </w:p>
    <w:p w14:paraId="439D8A8B" w14:textId="581746E8" w:rsidR="00A26FDC" w:rsidRPr="00A26FDC" w:rsidRDefault="00216B84" w:rsidP="008A1D31">
      <w:pPr>
        <w:spacing w:line="360" w:lineRule="auto"/>
        <w:ind w:left="720" w:right="78"/>
        <w:jc w:val="both"/>
        <w:rPr>
          <w:rFonts w:ascii="Times New Roman" w:hAnsi="Times New Roman" w:cs="Times New Roman"/>
        </w:rPr>
      </w:pPr>
      <w:r>
        <w:rPr>
          <w:rFonts w:ascii="Times New Roman" w:hAnsi="Times New Roman" w:cs="Times New Roman"/>
        </w:rPr>
        <w:t>7</w:t>
      </w:r>
      <w:r w:rsidR="00A26FDC" w:rsidRPr="00A26FDC">
        <w:rPr>
          <w:rFonts w:ascii="Times New Roman" w:hAnsi="Times New Roman" w:cs="Times New Roman"/>
        </w:rPr>
        <w:t>.4. In the interim, Rail Refurb is protected from the harsh and possibly</w:t>
      </w:r>
      <w:r w:rsidR="00A26FDC">
        <w:rPr>
          <w:rFonts w:ascii="Times New Roman" w:hAnsi="Times New Roman" w:cs="Times New Roman"/>
        </w:rPr>
        <w:t xml:space="preserve"> </w:t>
      </w:r>
      <w:r w:rsidR="00A26FDC" w:rsidRPr="00A26FDC">
        <w:rPr>
          <w:rFonts w:ascii="Times New Roman" w:hAnsi="Times New Roman" w:cs="Times New Roman"/>
        </w:rPr>
        <w:t>business ruining position it will otherwise encounter, until it is vindicated</w:t>
      </w:r>
      <w:r w:rsidR="00A26FDC">
        <w:rPr>
          <w:rFonts w:ascii="Times New Roman" w:hAnsi="Times New Roman" w:cs="Times New Roman"/>
        </w:rPr>
        <w:t xml:space="preserve"> or if it is vindicated </w:t>
      </w:r>
      <w:r w:rsidR="00A26FDC" w:rsidRPr="00A26FDC">
        <w:rPr>
          <w:rFonts w:ascii="Times New Roman" w:hAnsi="Times New Roman" w:cs="Times New Roman"/>
        </w:rPr>
        <w:t>in respect of the contracts at issue.</w:t>
      </w:r>
    </w:p>
    <w:p w14:paraId="0DD8DBA7" w14:textId="77777777" w:rsidR="00A26FDC" w:rsidRPr="00A26FDC" w:rsidRDefault="00A26FDC" w:rsidP="008A1D31">
      <w:pPr>
        <w:spacing w:line="360" w:lineRule="auto"/>
        <w:ind w:right="78"/>
        <w:jc w:val="both"/>
        <w:rPr>
          <w:rFonts w:ascii="Times New Roman" w:hAnsi="Times New Roman" w:cs="Times New Roman"/>
        </w:rPr>
      </w:pPr>
    </w:p>
    <w:p w14:paraId="4316BB72" w14:textId="1ED17DEE" w:rsidR="00095002" w:rsidRDefault="00A26FDC" w:rsidP="008A1D31">
      <w:pPr>
        <w:spacing w:line="360" w:lineRule="auto"/>
        <w:ind w:right="78"/>
        <w:jc w:val="both"/>
        <w:rPr>
          <w:rFonts w:ascii="Times New Roman" w:hAnsi="Times New Roman" w:cs="Times New Roman"/>
        </w:rPr>
      </w:pPr>
      <w:r>
        <w:rPr>
          <w:rFonts w:ascii="Times New Roman" w:hAnsi="Times New Roman" w:cs="Times New Roman"/>
        </w:rPr>
        <w:t>[</w:t>
      </w:r>
      <w:r w:rsidR="00216B84">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rPr>
        <w:tab/>
        <w:t>The applicant</w:t>
      </w:r>
      <w:r w:rsidRPr="00A26FDC">
        <w:rPr>
          <w:rFonts w:ascii="Times New Roman" w:hAnsi="Times New Roman" w:cs="Times New Roman"/>
        </w:rPr>
        <w:t xml:space="preserve"> submit</w:t>
      </w:r>
      <w:r>
        <w:rPr>
          <w:rFonts w:ascii="Times New Roman" w:hAnsi="Times New Roman" w:cs="Times New Roman"/>
        </w:rPr>
        <w:t>ted</w:t>
      </w:r>
      <w:r w:rsidRPr="00A26FDC">
        <w:rPr>
          <w:rFonts w:ascii="Times New Roman" w:hAnsi="Times New Roman" w:cs="Times New Roman"/>
        </w:rPr>
        <w:t xml:space="preserve"> that Rail Refurb’s vindication in due course has strong prospects of</w:t>
      </w:r>
      <w:r>
        <w:rPr>
          <w:rFonts w:ascii="Times New Roman" w:hAnsi="Times New Roman" w:cs="Times New Roman"/>
        </w:rPr>
        <w:t xml:space="preserve"> </w:t>
      </w:r>
      <w:r w:rsidRPr="00A26FDC">
        <w:rPr>
          <w:rFonts w:ascii="Times New Roman" w:hAnsi="Times New Roman" w:cs="Times New Roman"/>
        </w:rPr>
        <w:t>success</w:t>
      </w:r>
      <w:r>
        <w:rPr>
          <w:rFonts w:ascii="Times New Roman" w:hAnsi="Times New Roman" w:cs="Times New Roman"/>
        </w:rPr>
        <w:t xml:space="preserve"> and if the</w:t>
      </w:r>
      <w:r w:rsidRPr="00A26FDC">
        <w:rPr>
          <w:rFonts w:ascii="Times New Roman" w:hAnsi="Times New Roman" w:cs="Times New Roman"/>
        </w:rPr>
        <w:t xml:space="preserve"> interim remedy</w:t>
      </w:r>
      <w:r>
        <w:rPr>
          <w:rFonts w:ascii="Times New Roman" w:hAnsi="Times New Roman" w:cs="Times New Roman"/>
        </w:rPr>
        <w:t xml:space="preserve"> is not granted and it is blacklisted then it would have already been substantially prejudiced by being forced to give up its entitlement to compete in years’ worth of work and potential tenders. This prejudice cannot be remedied once the litigation is finalised. </w:t>
      </w:r>
    </w:p>
    <w:p w14:paraId="70E98EF5" w14:textId="77777777" w:rsidR="00A26FDC" w:rsidRDefault="00A26FDC" w:rsidP="008A1D31">
      <w:pPr>
        <w:spacing w:line="360" w:lineRule="auto"/>
        <w:ind w:right="78"/>
        <w:jc w:val="both"/>
        <w:rPr>
          <w:rFonts w:ascii="Times New Roman" w:hAnsi="Times New Roman" w:cs="Times New Roman"/>
        </w:rPr>
      </w:pPr>
    </w:p>
    <w:p w14:paraId="4A3913DD" w14:textId="49040EF8" w:rsidR="00421948" w:rsidRDefault="00A26FDC" w:rsidP="008A1D31">
      <w:pPr>
        <w:spacing w:line="360" w:lineRule="auto"/>
        <w:ind w:right="78"/>
        <w:jc w:val="both"/>
        <w:rPr>
          <w:rFonts w:ascii="Times New Roman" w:hAnsi="Times New Roman" w:cs="Times New Roman"/>
        </w:rPr>
      </w:pPr>
      <w:r>
        <w:rPr>
          <w:rFonts w:ascii="Times New Roman" w:hAnsi="Times New Roman" w:cs="Times New Roman"/>
        </w:rPr>
        <w:t>[</w:t>
      </w:r>
      <w:r w:rsidR="00216B84">
        <w:rPr>
          <w:rFonts w:ascii="Times New Roman" w:hAnsi="Times New Roman" w:cs="Times New Roman"/>
        </w:rPr>
        <w:t>9</w:t>
      </w:r>
      <w:r>
        <w:rPr>
          <w:rFonts w:ascii="Times New Roman" w:hAnsi="Times New Roman" w:cs="Times New Roman"/>
        </w:rPr>
        <w:t>]</w:t>
      </w:r>
      <w:r>
        <w:rPr>
          <w:rFonts w:ascii="Times New Roman" w:hAnsi="Times New Roman" w:cs="Times New Roman"/>
        </w:rPr>
        <w:tab/>
        <w:t xml:space="preserve">On 8 August 2022 the applicant filed a further affidavit and application to submit further evidence as in the correspondences exchanged regarding the respondents </w:t>
      </w:r>
      <w:r w:rsidR="00345FFA">
        <w:rPr>
          <w:rFonts w:ascii="Times New Roman" w:hAnsi="Times New Roman" w:cs="Times New Roman"/>
        </w:rPr>
        <w:t>“</w:t>
      </w:r>
      <w:r>
        <w:rPr>
          <w:rFonts w:ascii="Times New Roman" w:hAnsi="Times New Roman" w:cs="Times New Roman"/>
        </w:rPr>
        <w:t xml:space="preserve">internal </w:t>
      </w:r>
      <w:r>
        <w:rPr>
          <w:rFonts w:ascii="Times New Roman" w:hAnsi="Times New Roman" w:cs="Times New Roman"/>
        </w:rPr>
        <w:lastRenderedPageBreak/>
        <w:t>restriction</w:t>
      </w:r>
      <w:r w:rsidR="00345FFA">
        <w:rPr>
          <w:rFonts w:ascii="Times New Roman" w:hAnsi="Times New Roman" w:cs="Times New Roman"/>
        </w:rPr>
        <w:t>”</w:t>
      </w:r>
      <w:r>
        <w:rPr>
          <w:rFonts w:ascii="Times New Roman" w:hAnsi="Times New Roman" w:cs="Times New Roman"/>
        </w:rPr>
        <w:t xml:space="preserve"> or </w:t>
      </w:r>
      <w:r w:rsidR="00345FFA">
        <w:rPr>
          <w:rFonts w:ascii="Times New Roman" w:hAnsi="Times New Roman" w:cs="Times New Roman"/>
        </w:rPr>
        <w:t>“</w:t>
      </w:r>
      <w:r>
        <w:rPr>
          <w:rFonts w:ascii="Times New Roman" w:hAnsi="Times New Roman" w:cs="Times New Roman"/>
        </w:rPr>
        <w:t>separate process</w:t>
      </w:r>
      <w:r w:rsidR="00345FFA">
        <w:rPr>
          <w:rFonts w:ascii="Times New Roman" w:hAnsi="Times New Roman" w:cs="Times New Roman"/>
        </w:rPr>
        <w:t>”</w:t>
      </w:r>
      <w:r>
        <w:rPr>
          <w:rFonts w:ascii="Times New Roman" w:hAnsi="Times New Roman" w:cs="Times New Roman"/>
        </w:rPr>
        <w:t xml:space="preserve"> the applicant was notified of the respondents intention to ban the applicant from tendering for the respondent’s contracts for a period of 10 years. That three months after the applicant submitted its response to the separate process it is yet to receive a response. </w:t>
      </w:r>
      <w:r w:rsidR="00345FFA">
        <w:rPr>
          <w:rFonts w:ascii="Times New Roman" w:hAnsi="Times New Roman" w:cs="Times New Roman"/>
        </w:rPr>
        <w:t xml:space="preserve">Therefore there is no assurance that the applicant will be notified before the internal restriction is put in place or when this will occur and therefore the threat of blacklisting remains a real and imminent threat. The order for suspension remains the only just and equitable remedy in the circumstance. </w:t>
      </w:r>
    </w:p>
    <w:p w14:paraId="37ACE210" w14:textId="7E69511B" w:rsidR="00345FFA" w:rsidRDefault="00345FFA" w:rsidP="008A1D31">
      <w:pPr>
        <w:spacing w:line="360" w:lineRule="auto"/>
        <w:ind w:right="78"/>
        <w:jc w:val="both"/>
        <w:rPr>
          <w:rFonts w:ascii="Times New Roman" w:hAnsi="Times New Roman" w:cs="Times New Roman"/>
        </w:rPr>
      </w:pPr>
    </w:p>
    <w:p w14:paraId="1ED30D4B" w14:textId="01727E7F" w:rsidR="00216B84" w:rsidRDefault="00345FFA" w:rsidP="008A1D31">
      <w:pPr>
        <w:spacing w:line="360" w:lineRule="auto"/>
        <w:ind w:right="78"/>
        <w:jc w:val="both"/>
        <w:rPr>
          <w:rFonts w:ascii="Times New Roman" w:hAnsi="Times New Roman" w:cs="Times New Roman"/>
        </w:rPr>
      </w:pPr>
      <w:r>
        <w:rPr>
          <w:rFonts w:ascii="Times New Roman" w:hAnsi="Times New Roman" w:cs="Times New Roman"/>
        </w:rPr>
        <w:t>[</w:t>
      </w:r>
      <w:r w:rsidR="00216B84">
        <w:rPr>
          <w:rFonts w:ascii="Times New Roman" w:hAnsi="Times New Roman" w:cs="Times New Roman"/>
        </w:rPr>
        <w:t>10</w:t>
      </w:r>
      <w:r>
        <w:rPr>
          <w:rFonts w:ascii="Times New Roman" w:hAnsi="Times New Roman" w:cs="Times New Roman"/>
        </w:rPr>
        <w:t>]</w:t>
      </w:r>
      <w:r>
        <w:rPr>
          <w:rFonts w:ascii="Times New Roman" w:hAnsi="Times New Roman" w:cs="Times New Roman"/>
        </w:rPr>
        <w:tab/>
        <w:t xml:space="preserve">In support of the relief for suspension the applicant relied </w:t>
      </w:r>
      <w:r w:rsidRPr="008A1D31">
        <w:rPr>
          <w:rFonts w:ascii="Times New Roman" w:hAnsi="Times New Roman" w:cs="Times New Roman"/>
          <w:b/>
        </w:rPr>
        <w:t>on EFF v Gordhan</w:t>
      </w:r>
      <w:r w:rsidR="00216B84">
        <w:rPr>
          <w:rFonts w:ascii="Times New Roman" w:hAnsi="Times New Roman" w:cs="Times New Roman"/>
        </w:rPr>
        <w:t xml:space="preserve"> where </w:t>
      </w:r>
      <w:r>
        <w:rPr>
          <w:rFonts w:ascii="Times New Roman" w:hAnsi="Times New Roman" w:cs="Times New Roman"/>
        </w:rPr>
        <w:t xml:space="preserve">the Constitutional Court </w:t>
      </w:r>
      <w:r w:rsidR="00216B84">
        <w:rPr>
          <w:rFonts w:ascii="Times New Roman" w:hAnsi="Times New Roman" w:cs="Times New Roman"/>
        </w:rPr>
        <w:t>confirmed the d</w:t>
      </w:r>
      <w:r>
        <w:rPr>
          <w:rFonts w:ascii="Times New Roman" w:hAnsi="Times New Roman" w:cs="Times New Roman"/>
        </w:rPr>
        <w:t xml:space="preserve">ecision </w:t>
      </w:r>
      <w:r w:rsidR="00216B84">
        <w:rPr>
          <w:rFonts w:ascii="Times New Roman" w:hAnsi="Times New Roman" w:cs="Times New Roman"/>
        </w:rPr>
        <w:t>of</w:t>
      </w:r>
      <w:r>
        <w:rPr>
          <w:rFonts w:ascii="Times New Roman" w:hAnsi="Times New Roman" w:cs="Times New Roman"/>
        </w:rPr>
        <w:t xml:space="preserve"> Potterill J which suspended the remedial action of the Public Protector’s pending review application against the Public protector’s report.  </w:t>
      </w:r>
      <w:r w:rsidR="00216B84">
        <w:rPr>
          <w:rFonts w:ascii="Times New Roman" w:hAnsi="Times New Roman" w:cs="Times New Roman"/>
        </w:rPr>
        <w:t>The court held the following:</w:t>
      </w:r>
    </w:p>
    <w:p w14:paraId="4FCB6479" w14:textId="5F6773D1" w:rsidR="00216B84" w:rsidRPr="008A1D31" w:rsidRDefault="00216B84" w:rsidP="008A1D31">
      <w:pPr>
        <w:spacing w:line="360" w:lineRule="auto"/>
        <w:ind w:left="720" w:right="78"/>
        <w:jc w:val="both"/>
        <w:rPr>
          <w:rFonts w:ascii="Times New Roman" w:hAnsi="Times New Roman" w:cs="Times New Roman"/>
          <w:i/>
          <w:sz w:val="22"/>
          <w:szCs w:val="22"/>
        </w:rPr>
      </w:pPr>
      <w:r w:rsidRPr="008A1D31">
        <w:rPr>
          <w:rFonts w:ascii="Times New Roman" w:hAnsi="Times New Roman" w:cs="Times New Roman"/>
          <w:i/>
          <w:sz w:val="22"/>
          <w:szCs w:val="22"/>
        </w:rPr>
        <w:t>“[114] The power to suspend the operation of the Public Protector’s remedial action is sourced from section 172(1)(b) of the Constitution.  If in a matter like the present, it is considered just and equitable to suspend a remedial action pending a determination of the review in which the validity of the remedial action is impugned, a court may grant the suspension.  Guidance for issuing the suspension is derived from considerations of justice and equity.</w:t>
      </w:r>
    </w:p>
    <w:p w14:paraId="48DA6201" w14:textId="338F2957" w:rsidR="00216B84" w:rsidRPr="008A1D31" w:rsidRDefault="00216B84" w:rsidP="008A1D31">
      <w:pPr>
        <w:spacing w:line="360" w:lineRule="auto"/>
        <w:ind w:left="720" w:right="78"/>
        <w:jc w:val="both"/>
        <w:rPr>
          <w:rFonts w:ascii="Times New Roman" w:hAnsi="Times New Roman" w:cs="Times New Roman"/>
          <w:i/>
          <w:sz w:val="22"/>
          <w:szCs w:val="22"/>
        </w:rPr>
      </w:pPr>
      <w:r w:rsidRPr="008A1D31">
        <w:rPr>
          <w:rFonts w:ascii="Times New Roman" w:hAnsi="Times New Roman" w:cs="Times New Roman"/>
          <w:i/>
          <w:sz w:val="22"/>
          <w:szCs w:val="22"/>
        </w:rPr>
        <w:t>[115] A determination of a just and equitable order of necessity requires a careful consideration of interests of parties on both sides of the litigation.  The order must be fair and just when all relevant factors are taken into account.  What is just and equitable in a given case, depends on the facts of that particular case.  This sort of enquiry entails a flexible approach in pursuit of justice and equity in every matter.”</w:t>
      </w:r>
      <w:r w:rsidRPr="008A1D31">
        <w:rPr>
          <w:rStyle w:val="FootnoteReference"/>
          <w:i/>
          <w:sz w:val="22"/>
          <w:szCs w:val="22"/>
        </w:rPr>
        <w:footnoteReference w:id="1"/>
      </w:r>
    </w:p>
    <w:p w14:paraId="7CEE975A" w14:textId="77777777" w:rsidR="00216B84" w:rsidRPr="00216B84" w:rsidRDefault="00216B84" w:rsidP="008A1D31">
      <w:pPr>
        <w:spacing w:line="360" w:lineRule="auto"/>
        <w:ind w:right="78"/>
        <w:jc w:val="both"/>
        <w:rPr>
          <w:rFonts w:ascii="Times New Roman" w:hAnsi="Times New Roman" w:cs="Times New Roman"/>
          <w:sz w:val="22"/>
          <w:szCs w:val="22"/>
        </w:rPr>
      </w:pPr>
    </w:p>
    <w:p w14:paraId="0ABBD6D0" w14:textId="4F699B30" w:rsidR="00421948" w:rsidRDefault="00216B84" w:rsidP="008A1D31">
      <w:pPr>
        <w:spacing w:line="360" w:lineRule="auto"/>
        <w:ind w:right="78"/>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 Therefore the order of suspension is discretionary and flexible and whilst it will consider more than reparable or irreparable harm and that the granting of the remedy is not dependent declaring that the respondent’s conduct was unlawful. There is no prejudice to the respondent. </w:t>
      </w:r>
      <w:r w:rsidR="00082EB1">
        <w:rPr>
          <w:rFonts w:ascii="Times New Roman" w:hAnsi="Times New Roman" w:cs="Times New Roman"/>
        </w:rPr>
        <w:t xml:space="preserve">That it is common cause that the applicant faces prejudice as a consequence of the termination and therefore there is no other motive than to protect its rights. What this court needs to determine is whether the remedy is just and equitable and if it has the power to grant that remedy. </w:t>
      </w:r>
    </w:p>
    <w:p w14:paraId="217366CB" w14:textId="77777777" w:rsidR="008A1D31" w:rsidRDefault="008A1D31" w:rsidP="008A1D31">
      <w:pPr>
        <w:spacing w:line="360" w:lineRule="auto"/>
        <w:ind w:right="78"/>
        <w:jc w:val="both"/>
        <w:rPr>
          <w:rFonts w:ascii="Times New Roman" w:hAnsi="Times New Roman" w:cs="Times New Roman"/>
        </w:rPr>
      </w:pPr>
    </w:p>
    <w:p w14:paraId="79DE5A50" w14:textId="623BA3B9" w:rsidR="00082EB1" w:rsidRDefault="00082EB1" w:rsidP="008A1D31">
      <w:pPr>
        <w:spacing w:line="360" w:lineRule="auto"/>
        <w:ind w:right="78"/>
        <w:jc w:val="both"/>
        <w:rPr>
          <w:rFonts w:ascii="Times New Roman" w:hAnsi="Times New Roman" w:cs="Times New Roman"/>
        </w:rPr>
      </w:pPr>
    </w:p>
    <w:p w14:paraId="3311C358" w14:textId="42320755" w:rsidR="00EA3A22" w:rsidRDefault="00082EB1" w:rsidP="008A1D31">
      <w:pPr>
        <w:spacing w:line="360" w:lineRule="auto"/>
        <w:ind w:right="78"/>
        <w:jc w:val="both"/>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rPr>
        <w:tab/>
        <w:t>Regarding the issue of cross-sub</w:t>
      </w:r>
      <w:r w:rsidR="00EA3A22">
        <w:rPr>
          <w:rFonts w:ascii="Times New Roman" w:hAnsi="Times New Roman" w:cs="Times New Roman"/>
        </w:rPr>
        <w:t xml:space="preserve">sidisation the applicant denied the allegations and stated that this method has been used before on other sites and there has not been an issue. That the real issues is not the low rates or the applicant’s unwillingness to work on low rates bit rather whether the engineer can instruct the applicant to do anything the engineer chooses.  </w:t>
      </w:r>
    </w:p>
    <w:p w14:paraId="2DE76B42" w14:textId="77777777" w:rsidR="00EA3A22" w:rsidRDefault="00EA3A22" w:rsidP="008A1D31">
      <w:pPr>
        <w:spacing w:line="360" w:lineRule="auto"/>
        <w:ind w:right="78"/>
        <w:jc w:val="both"/>
        <w:rPr>
          <w:rFonts w:ascii="Times New Roman" w:hAnsi="Times New Roman" w:cs="Times New Roman"/>
        </w:rPr>
      </w:pPr>
    </w:p>
    <w:p w14:paraId="1450295D" w14:textId="4FF8383B" w:rsidR="00EA3A22" w:rsidRDefault="00EA3A22" w:rsidP="008A1D31">
      <w:pPr>
        <w:spacing w:line="360" w:lineRule="auto"/>
        <w:ind w:right="78"/>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The applicant submits that the remedy of the action for damages is misconstrued by the respondent in that it is confusing reparable harm of the contractual damages in respect of the two contracts and irreparable harm in respect of future tenders which is not remedied with contractual damages. </w:t>
      </w:r>
      <w:r>
        <w:rPr>
          <w:rFonts w:ascii="Times New Roman" w:hAnsi="Times New Roman" w:cs="Times New Roman"/>
        </w:rPr>
        <w:tab/>
      </w:r>
      <w:r w:rsidR="00DF545C">
        <w:rPr>
          <w:rFonts w:ascii="Times New Roman" w:hAnsi="Times New Roman" w:cs="Times New Roman"/>
        </w:rPr>
        <w:t xml:space="preserve">The reasons for the late filing which also related to the internal restriction process as alleged is still no answer for the late filing and should not be accepted. Lastly that the internal restriction process triggered only substantiates the prejudice that the applicant faces if the remedy is not granted. </w:t>
      </w:r>
    </w:p>
    <w:p w14:paraId="7B299FA8" w14:textId="77777777" w:rsidR="00EA3A22" w:rsidRPr="00EA3A22" w:rsidRDefault="00EA3A22" w:rsidP="008A1D31">
      <w:pPr>
        <w:spacing w:line="360" w:lineRule="auto"/>
        <w:ind w:right="78"/>
        <w:jc w:val="both"/>
        <w:rPr>
          <w:rFonts w:ascii="Times New Roman" w:hAnsi="Times New Roman" w:cs="Times New Roman"/>
        </w:rPr>
      </w:pPr>
    </w:p>
    <w:p w14:paraId="632C8EA6" w14:textId="01C99DDD" w:rsidR="00421948" w:rsidRDefault="00421948" w:rsidP="008A1D31">
      <w:pPr>
        <w:spacing w:line="360" w:lineRule="auto"/>
        <w:ind w:right="5296"/>
        <w:jc w:val="both"/>
        <w:rPr>
          <w:rFonts w:ascii="Times New Roman" w:hAnsi="Times New Roman" w:cs="Times New Roman"/>
          <w:b/>
          <w:u w:val="single"/>
        </w:rPr>
      </w:pPr>
      <w:r>
        <w:rPr>
          <w:rFonts w:ascii="Times New Roman" w:hAnsi="Times New Roman" w:cs="Times New Roman"/>
          <w:b/>
          <w:u w:val="single"/>
        </w:rPr>
        <w:t>Respondent’s Argument</w:t>
      </w:r>
    </w:p>
    <w:p w14:paraId="3F697323" w14:textId="4DE914A3" w:rsidR="00421948" w:rsidRDefault="00421948" w:rsidP="008A1D31">
      <w:pPr>
        <w:spacing w:line="360" w:lineRule="auto"/>
        <w:ind w:right="5296"/>
        <w:jc w:val="both"/>
        <w:rPr>
          <w:rFonts w:eastAsia="Times New Roman"/>
          <w:b/>
        </w:rPr>
      </w:pPr>
    </w:p>
    <w:p w14:paraId="222F202F" w14:textId="02EED8F9" w:rsidR="009F460C" w:rsidRDefault="00421948"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t>[</w:t>
      </w:r>
      <w:r w:rsidR="00216B84">
        <w:rPr>
          <w:rFonts w:ascii="Times New Roman" w:hAnsi="Times New Roman" w:cs="Times New Roman"/>
          <w:color w:val="000000"/>
        </w:rPr>
        <w:t>1</w:t>
      </w:r>
      <w:r w:rsidR="00EA3A22">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ab/>
      </w:r>
      <w:r w:rsidR="00216B84">
        <w:rPr>
          <w:rFonts w:ascii="Times New Roman" w:hAnsi="Times New Roman" w:cs="Times New Roman"/>
          <w:color w:val="000000"/>
        </w:rPr>
        <w:t>The r</w:t>
      </w:r>
      <w:r w:rsidR="00E6242F">
        <w:rPr>
          <w:rFonts w:ascii="Times New Roman" w:hAnsi="Times New Roman" w:cs="Times New Roman"/>
          <w:color w:val="000000"/>
        </w:rPr>
        <w:t xml:space="preserve">espondent did not </w:t>
      </w:r>
      <w:r w:rsidR="00216B84">
        <w:rPr>
          <w:rFonts w:ascii="Times New Roman" w:hAnsi="Times New Roman" w:cs="Times New Roman"/>
          <w:color w:val="000000"/>
        </w:rPr>
        <w:t xml:space="preserve">heads of argument but did </w:t>
      </w:r>
      <w:r w:rsidR="00E6242F">
        <w:rPr>
          <w:rFonts w:ascii="Times New Roman" w:hAnsi="Times New Roman" w:cs="Times New Roman"/>
          <w:color w:val="000000"/>
        </w:rPr>
        <w:t>file an answering affidavit</w:t>
      </w:r>
      <w:r w:rsidR="00216B84">
        <w:rPr>
          <w:rFonts w:ascii="Times New Roman" w:hAnsi="Times New Roman" w:cs="Times New Roman"/>
          <w:color w:val="000000"/>
        </w:rPr>
        <w:t xml:space="preserve"> and supplementary answering affidavit albeit 5 weeks late.</w:t>
      </w:r>
      <w:r w:rsidR="003F5115">
        <w:rPr>
          <w:rFonts w:ascii="Times New Roman" w:hAnsi="Times New Roman" w:cs="Times New Roman"/>
          <w:color w:val="000000"/>
        </w:rPr>
        <w:t xml:space="preserve"> </w:t>
      </w:r>
      <w:r w:rsidR="009F460C">
        <w:rPr>
          <w:rFonts w:ascii="Times New Roman" w:hAnsi="Times New Roman" w:cs="Times New Roman"/>
          <w:color w:val="000000"/>
        </w:rPr>
        <w:t>The opposed the application for the following reasons:</w:t>
      </w:r>
    </w:p>
    <w:p w14:paraId="62B1BDEB" w14:textId="7D35ED3D" w:rsidR="009F460C" w:rsidRDefault="009F460C" w:rsidP="008A1D31">
      <w:pPr>
        <w:kinsoku w:val="0"/>
        <w:overflowPunct w:val="0"/>
        <w:spacing w:line="360" w:lineRule="auto"/>
        <w:ind w:left="720" w:right="23"/>
        <w:jc w:val="both"/>
        <w:rPr>
          <w:rFonts w:ascii="Times New Roman" w:hAnsi="Times New Roman" w:cs="Times New Roman"/>
          <w:color w:val="000000"/>
        </w:rPr>
      </w:pPr>
      <w:r>
        <w:rPr>
          <w:rFonts w:ascii="Times New Roman" w:hAnsi="Times New Roman" w:cs="Times New Roman"/>
          <w:color w:val="000000"/>
        </w:rPr>
        <w:t>1</w:t>
      </w:r>
      <w:r w:rsidR="00EA3A22">
        <w:rPr>
          <w:rFonts w:ascii="Times New Roman" w:hAnsi="Times New Roman" w:cs="Times New Roman"/>
          <w:color w:val="000000"/>
        </w:rPr>
        <w:t>4</w:t>
      </w:r>
      <w:r>
        <w:rPr>
          <w:rFonts w:ascii="Times New Roman" w:hAnsi="Times New Roman" w:cs="Times New Roman"/>
          <w:color w:val="000000"/>
        </w:rPr>
        <w:t>.1. the founding affidavit does not set out a factual and legal basis for the relief sought in prayer 2 of the Notice of Motion;</w:t>
      </w:r>
    </w:p>
    <w:p w14:paraId="2452A9B0" w14:textId="2BEDE00E" w:rsidR="009F460C" w:rsidRDefault="009F460C"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tab/>
        <w:t>1</w:t>
      </w:r>
      <w:r w:rsidR="00EA3A22">
        <w:rPr>
          <w:rFonts w:ascii="Times New Roman" w:hAnsi="Times New Roman" w:cs="Times New Roman"/>
          <w:color w:val="000000"/>
        </w:rPr>
        <w:t>4</w:t>
      </w:r>
      <w:r>
        <w:rPr>
          <w:rFonts w:ascii="Times New Roman" w:hAnsi="Times New Roman" w:cs="Times New Roman"/>
          <w:color w:val="000000"/>
        </w:rPr>
        <w:t>.2. there is no basis of the relief sought as a whole;</w:t>
      </w:r>
    </w:p>
    <w:p w14:paraId="216BBC4C" w14:textId="6344C48D" w:rsidR="009F460C" w:rsidRDefault="009F460C" w:rsidP="008A1D31">
      <w:pPr>
        <w:kinsoku w:val="0"/>
        <w:overflowPunct w:val="0"/>
        <w:spacing w:line="360" w:lineRule="auto"/>
        <w:ind w:left="720" w:right="23"/>
        <w:jc w:val="both"/>
        <w:rPr>
          <w:rFonts w:ascii="Times New Roman" w:hAnsi="Times New Roman" w:cs="Times New Roman"/>
          <w:color w:val="000000"/>
        </w:rPr>
      </w:pPr>
      <w:r>
        <w:rPr>
          <w:rFonts w:ascii="Times New Roman" w:hAnsi="Times New Roman" w:cs="Times New Roman"/>
          <w:color w:val="000000"/>
        </w:rPr>
        <w:t>1</w:t>
      </w:r>
      <w:r w:rsidR="00EA3A22">
        <w:rPr>
          <w:rFonts w:ascii="Times New Roman" w:hAnsi="Times New Roman" w:cs="Times New Roman"/>
          <w:color w:val="000000"/>
        </w:rPr>
        <w:t>4</w:t>
      </w:r>
      <w:r>
        <w:rPr>
          <w:rFonts w:ascii="Times New Roman" w:hAnsi="Times New Roman" w:cs="Times New Roman"/>
          <w:color w:val="000000"/>
        </w:rPr>
        <w:t>.3. the applicant is attempting to interdict proceedings that have its own procedural fairness steps;</w:t>
      </w:r>
    </w:p>
    <w:p w14:paraId="19DAB2E6" w14:textId="78E46AB9" w:rsidR="009F460C" w:rsidRDefault="009F460C"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tab/>
        <w:t>1</w:t>
      </w:r>
      <w:r w:rsidR="00EA3A22">
        <w:rPr>
          <w:rFonts w:ascii="Times New Roman" w:hAnsi="Times New Roman" w:cs="Times New Roman"/>
          <w:color w:val="000000"/>
        </w:rPr>
        <w:t>4</w:t>
      </w:r>
      <w:r>
        <w:rPr>
          <w:rFonts w:ascii="Times New Roman" w:hAnsi="Times New Roman" w:cs="Times New Roman"/>
          <w:color w:val="000000"/>
        </w:rPr>
        <w:t xml:space="preserve">.4. the applicant has failed to establish a reasonable apprehension of harm; </w:t>
      </w:r>
    </w:p>
    <w:p w14:paraId="645DFB3D" w14:textId="28221B07" w:rsidR="009F460C" w:rsidRDefault="009F460C"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color w:val="000000"/>
        </w:rPr>
        <w:tab/>
        <w:t>1</w:t>
      </w:r>
      <w:r w:rsidR="00EA3A22">
        <w:rPr>
          <w:rFonts w:ascii="Times New Roman" w:hAnsi="Times New Roman" w:cs="Times New Roman"/>
          <w:color w:val="000000"/>
        </w:rPr>
        <w:t>4</w:t>
      </w:r>
      <w:r>
        <w:rPr>
          <w:rFonts w:ascii="Times New Roman" w:hAnsi="Times New Roman" w:cs="Times New Roman"/>
          <w:color w:val="000000"/>
        </w:rPr>
        <w:t xml:space="preserve">.5. the relief interdicts the exercise of a statutory power by another arm of state; and </w:t>
      </w:r>
    </w:p>
    <w:p w14:paraId="7E0006C8" w14:textId="5386D358" w:rsidR="009F460C" w:rsidRDefault="009F460C" w:rsidP="008A1D31">
      <w:pPr>
        <w:kinsoku w:val="0"/>
        <w:overflowPunct w:val="0"/>
        <w:spacing w:line="360" w:lineRule="auto"/>
        <w:ind w:left="720" w:right="23"/>
        <w:jc w:val="both"/>
        <w:rPr>
          <w:rFonts w:ascii="Times New Roman" w:hAnsi="Times New Roman" w:cs="Times New Roman"/>
          <w:color w:val="000000"/>
        </w:rPr>
      </w:pPr>
      <w:r>
        <w:rPr>
          <w:rFonts w:ascii="Times New Roman" w:hAnsi="Times New Roman" w:cs="Times New Roman"/>
          <w:color w:val="000000"/>
        </w:rPr>
        <w:t>1</w:t>
      </w:r>
      <w:r w:rsidR="00EA3A22">
        <w:rPr>
          <w:rFonts w:ascii="Times New Roman" w:hAnsi="Times New Roman" w:cs="Times New Roman"/>
          <w:color w:val="000000"/>
        </w:rPr>
        <w:t>4</w:t>
      </w:r>
      <w:r>
        <w:rPr>
          <w:rFonts w:ascii="Times New Roman" w:hAnsi="Times New Roman" w:cs="Times New Roman"/>
          <w:color w:val="000000"/>
        </w:rPr>
        <w:t xml:space="preserve">.6. the applicant is seeking a court-sanction for its abandonment of its obligations under a lawful contract. </w:t>
      </w:r>
    </w:p>
    <w:p w14:paraId="42C9C90D" w14:textId="77777777" w:rsidR="00480D6E" w:rsidRDefault="00480D6E" w:rsidP="008A1D31">
      <w:pPr>
        <w:kinsoku w:val="0"/>
        <w:overflowPunct w:val="0"/>
        <w:spacing w:line="360" w:lineRule="auto"/>
        <w:ind w:left="720" w:right="23" w:hanging="720"/>
        <w:jc w:val="both"/>
        <w:rPr>
          <w:rFonts w:ascii="Times New Roman" w:hAnsi="Times New Roman" w:cs="Times New Roman"/>
        </w:rPr>
      </w:pPr>
    </w:p>
    <w:p w14:paraId="7CB30B7E" w14:textId="5D90FBBF" w:rsidR="003F5115" w:rsidRDefault="003F5115" w:rsidP="008A1D31">
      <w:pPr>
        <w:spacing w:line="360" w:lineRule="auto"/>
        <w:ind w:right="78"/>
        <w:jc w:val="both"/>
        <w:rPr>
          <w:rFonts w:ascii="Times New Roman" w:hAnsi="Times New Roman" w:cs="Times New Roman"/>
        </w:rPr>
      </w:pPr>
      <w:r>
        <w:rPr>
          <w:rFonts w:ascii="Times New Roman" w:hAnsi="Times New Roman" w:cs="Times New Roman"/>
        </w:rPr>
        <w:t>[</w:t>
      </w:r>
      <w:r w:rsidR="009F460C">
        <w:rPr>
          <w:rFonts w:ascii="Times New Roman" w:hAnsi="Times New Roman" w:cs="Times New Roman"/>
        </w:rPr>
        <w:t>1</w:t>
      </w:r>
      <w:r w:rsidR="00EA3A22">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ab/>
        <w:t>Th</w:t>
      </w:r>
      <w:r w:rsidR="009F460C">
        <w:rPr>
          <w:rFonts w:ascii="Times New Roman" w:hAnsi="Times New Roman" w:cs="Times New Roman"/>
        </w:rPr>
        <w:t xml:space="preserve">at whilst the applicant alleges that it had commenced work on 16 August 2021 that by 9 February 2022 it had failed to appoint a key </w:t>
      </w:r>
      <w:r w:rsidR="00521D60">
        <w:rPr>
          <w:rFonts w:ascii="Times New Roman" w:hAnsi="Times New Roman" w:cs="Times New Roman"/>
        </w:rPr>
        <w:t xml:space="preserve">person who was required to assist the applicant and the respondent in achieving its goals. That despite notices from the engineer that it failed to remedy the breach on two occasions and on this basis the respondent exercised its rights to terminate. </w:t>
      </w:r>
      <w:r>
        <w:rPr>
          <w:rFonts w:ascii="Times New Roman" w:hAnsi="Times New Roman" w:cs="Times New Roman"/>
        </w:rPr>
        <w:t xml:space="preserve"> </w:t>
      </w:r>
    </w:p>
    <w:p w14:paraId="40E32E83" w14:textId="667C219E" w:rsidR="00521D60" w:rsidRDefault="00521D60" w:rsidP="008A1D31">
      <w:pPr>
        <w:spacing w:line="360" w:lineRule="auto"/>
        <w:ind w:right="78"/>
        <w:jc w:val="both"/>
        <w:rPr>
          <w:rFonts w:ascii="Times New Roman" w:hAnsi="Times New Roman" w:cs="Times New Roman"/>
        </w:rPr>
      </w:pPr>
    </w:p>
    <w:p w14:paraId="154192E5" w14:textId="6A905914" w:rsidR="00521D60" w:rsidRDefault="00521D60" w:rsidP="008A1D31">
      <w:pPr>
        <w:spacing w:line="360" w:lineRule="auto"/>
        <w:ind w:right="78"/>
        <w:jc w:val="both"/>
        <w:rPr>
          <w:rFonts w:ascii="Times New Roman" w:hAnsi="Times New Roman" w:cs="Times New Roman"/>
        </w:rPr>
      </w:pPr>
      <w:r>
        <w:rPr>
          <w:rFonts w:ascii="Times New Roman" w:hAnsi="Times New Roman" w:cs="Times New Roman"/>
        </w:rPr>
        <w:lastRenderedPageBreak/>
        <w:t>[1</w:t>
      </w:r>
      <w:r w:rsidR="00EA3A22">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In addition the applicant failed to also submit a breakdown of its rates as requested by the engineer and simply fobbed off the engineer and the respondent. Further to this the applicant failed to submit its subcontracting arrangements to the engineer and disregarded the instruction of the engineer regarding the stockpiling of milled material. Upon enquiries there is no evidence that the respondent’s suggestion to the stockpiling issue required the applicant to be in breach of any statute. That in any event it seemed that the applicant’s contention was not that the engineer lacked the power  to give this instruction but that the instruction was not a viable option for the applicant. </w:t>
      </w:r>
      <w:r w:rsidR="00082EB1">
        <w:rPr>
          <w:rFonts w:ascii="Times New Roman" w:hAnsi="Times New Roman" w:cs="Times New Roman"/>
        </w:rPr>
        <w:t xml:space="preserve">The expert report conclusion does not state that the instruction was unlawful nor could the expert reach such a conclusion. </w:t>
      </w:r>
    </w:p>
    <w:p w14:paraId="0142F7D1" w14:textId="77777777" w:rsidR="00521D60" w:rsidRDefault="00521D60" w:rsidP="008A1D31">
      <w:pPr>
        <w:spacing w:line="360" w:lineRule="auto"/>
        <w:ind w:right="78"/>
        <w:jc w:val="both"/>
        <w:rPr>
          <w:rFonts w:ascii="Times New Roman" w:hAnsi="Times New Roman" w:cs="Times New Roman"/>
        </w:rPr>
      </w:pPr>
    </w:p>
    <w:p w14:paraId="432295EC" w14:textId="31C59FF0" w:rsidR="00521D60" w:rsidRDefault="00521D60" w:rsidP="008A1D31">
      <w:pPr>
        <w:spacing w:line="360" w:lineRule="auto"/>
        <w:ind w:right="78"/>
        <w:jc w:val="both"/>
        <w:rPr>
          <w:rFonts w:ascii="Times New Roman" w:hAnsi="Times New Roman" w:cs="Times New Roman"/>
        </w:rPr>
      </w:pPr>
      <w:r>
        <w:rPr>
          <w:rFonts w:ascii="Times New Roman" w:hAnsi="Times New Roman" w:cs="Times New Roman"/>
        </w:rPr>
        <w:t>[1</w:t>
      </w:r>
      <w:r w:rsidR="00EA3A22">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The respondent alleged that the true motive was that the applicant </w:t>
      </w:r>
      <w:r w:rsidR="00082EB1">
        <w:rPr>
          <w:rFonts w:ascii="Times New Roman" w:hAnsi="Times New Roman" w:cs="Times New Roman"/>
        </w:rPr>
        <w:t>realised</w:t>
      </w:r>
      <w:r>
        <w:rPr>
          <w:rFonts w:ascii="Times New Roman" w:hAnsi="Times New Roman" w:cs="Times New Roman"/>
        </w:rPr>
        <w:t xml:space="preserve"> that it had </w:t>
      </w:r>
      <w:r w:rsidR="00082EB1">
        <w:rPr>
          <w:rFonts w:ascii="Times New Roman" w:hAnsi="Times New Roman" w:cs="Times New Roman"/>
        </w:rPr>
        <w:t xml:space="preserve">under-priced certain activities and hoped to strong-arm the respondent in either agreeing to haul the milled material or to re-negotiate the terms of the contract including rates payable to it. </w:t>
      </w:r>
      <w:r w:rsidR="00711C8E">
        <w:rPr>
          <w:rFonts w:ascii="Times New Roman" w:hAnsi="Times New Roman" w:cs="Times New Roman"/>
        </w:rPr>
        <w:t xml:space="preserve">For this reason the respondent alleged the applicant had not yet instituted review proceedings and that in any event the applicant had instituted a claim for damages and this application should be dismissed for this reason alone as the applicant has an alternate remedy.  </w:t>
      </w:r>
    </w:p>
    <w:p w14:paraId="55F24700" w14:textId="77777777" w:rsidR="00711C8E" w:rsidRDefault="00711C8E" w:rsidP="008A1D31">
      <w:pPr>
        <w:spacing w:line="360" w:lineRule="auto"/>
        <w:ind w:right="78"/>
        <w:jc w:val="both"/>
        <w:rPr>
          <w:rFonts w:ascii="Times New Roman" w:hAnsi="Times New Roman" w:cs="Times New Roman"/>
        </w:rPr>
      </w:pPr>
    </w:p>
    <w:p w14:paraId="4809E1E4" w14:textId="77777777" w:rsidR="00DF545C" w:rsidRDefault="00EA3A22" w:rsidP="008A1D31">
      <w:pPr>
        <w:spacing w:line="360" w:lineRule="auto"/>
        <w:ind w:right="78"/>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The respondent attacked the filing of the additional affidavit into evidence alleging that the applicant was attempting to impugn the process which it had participated in and this constitutes an abuse of process. </w:t>
      </w:r>
      <w:r w:rsidR="00DF545C">
        <w:rPr>
          <w:rFonts w:ascii="Times New Roman" w:hAnsi="Times New Roman" w:cs="Times New Roman"/>
        </w:rPr>
        <w:t>More so as the applicant did not seek to interdict that process. The respondent submits that it is well within its rights in terms of policies to impose internal restrictions.</w:t>
      </w:r>
    </w:p>
    <w:p w14:paraId="7E71D471" w14:textId="77777777" w:rsidR="00DF545C" w:rsidRDefault="00DF545C" w:rsidP="008A1D31">
      <w:pPr>
        <w:spacing w:line="360" w:lineRule="auto"/>
        <w:ind w:right="78"/>
        <w:jc w:val="both"/>
        <w:rPr>
          <w:rFonts w:ascii="Times New Roman" w:hAnsi="Times New Roman" w:cs="Times New Roman"/>
        </w:rPr>
      </w:pPr>
    </w:p>
    <w:p w14:paraId="3C7FAC87" w14:textId="54C44C42" w:rsidR="00EA3A22" w:rsidRDefault="00DF545C" w:rsidP="008A1D31">
      <w:pPr>
        <w:spacing w:line="360" w:lineRule="auto"/>
        <w:ind w:right="78"/>
        <w:jc w:val="both"/>
        <w:rPr>
          <w:rFonts w:ascii="Times New Roman" w:hAnsi="Times New Roman" w:cs="Times New Roman"/>
          <w:b/>
          <w:u w:val="single"/>
        </w:rPr>
      </w:pPr>
      <w:r>
        <w:rPr>
          <w:rFonts w:ascii="Times New Roman" w:hAnsi="Times New Roman" w:cs="Times New Roman"/>
        </w:rPr>
        <w:t>[19]</w:t>
      </w:r>
      <w:r>
        <w:rPr>
          <w:rFonts w:ascii="Times New Roman" w:hAnsi="Times New Roman" w:cs="Times New Roman"/>
        </w:rPr>
        <w:tab/>
        <w:t xml:space="preserve">In respect of the condonation the respondent submits that there is no prejudice to the matter from the delaying in filing the papers late and that the interests of justice favour the condonation sought by the respondent in that fair adjudication can only be achieved if all the relevant facts are presented to the courts. </w:t>
      </w:r>
    </w:p>
    <w:p w14:paraId="60B3B82D" w14:textId="4A15ADFE" w:rsidR="00521D60" w:rsidRDefault="00521D60" w:rsidP="008A1D31">
      <w:pPr>
        <w:spacing w:line="360" w:lineRule="auto"/>
        <w:jc w:val="both"/>
        <w:rPr>
          <w:rFonts w:ascii="Times New Roman" w:hAnsi="Times New Roman" w:cs="Times New Roman"/>
        </w:rPr>
      </w:pPr>
    </w:p>
    <w:p w14:paraId="269CF24C" w14:textId="77777777" w:rsidR="0047758D" w:rsidRPr="0047758D" w:rsidRDefault="0047758D" w:rsidP="008A1D31">
      <w:pPr>
        <w:spacing w:line="360" w:lineRule="auto"/>
        <w:rPr>
          <w:rFonts w:ascii="Times New Roman" w:eastAsia="Times New Roman" w:hAnsi="Times New Roman" w:cs="Times New Roman"/>
          <w:b/>
          <w:bCs/>
          <w:iCs/>
          <w:u w:val="single"/>
          <w:lang w:eastAsia="en-GB"/>
        </w:rPr>
      </w:pPr>
      <w:r w:rsidRPr="0047758D">
        <w:rPr>
          <w:rFonts w:ascii="Times New Roman" w:eastAsia="Times New Roman" w:hAnsi="Times New Roman" w:cs="Times New Roman"/>
          <w:b/>
          <w:bCs/>
          <w:iCs/>
          <w:u w:val="single"/>
          <w:lang w:eastAsia="en-GB"/>
        </w:rPr>
        <w:t>Urgency</w:t>
      </w:r>
    </w:p>
    <w:p w14:paraId="19DDFA52" w14:textId="1521D8C3" w:rsidR="00504D70" w:rsidRPr="00504D70" w:rsidRDefault="0047758D" w:rsidP="008A1D31">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eastAsia="en-GB"/>
        </w:rPr>
        <w:t>[</w:t>
      </w:r>
      <w:r w:rsidR="00711C8E">
        <w:rPr>
          <w:rFonts w:ascii="Times New Roman" w:eastAsia="Times New Roman" w:hAnsi="Times New Roman" w:cs="Times New Roman"/>
          <w:lang w:eastAsia="en-GB"/>
        </w:rPr>
        <w:t>20</w:t>
      </w:r>
      <w:r w:rsidRPr="001C3425">
        <w:rPr>
          <w:rFonts w:ascii="Times New Roman" w:eastAsia="Times New Roman" w:hAnsi="Times New Roman" w:cs="Times New Roman"/>
          <w:lang w:eastAsia="en-GB"/>
        </w:rPr>
        <w:t>]</w:t>
      </w:r>
      <w:r w:rsidRPr="001C3425">
        <w:rPr>
          <w:rFonts w:ascii="Times New Roman" w:eastAsia="Times New Roman" w:hAnsi="Times New Roman" w:cs="Times New Roman"/>
          <w:lang w:eastAsia="en-GB"/>
        </w:rPr>
        <w:tab/>
      </w:r>
      <w:r w:rsidRPr="001C3425">
        <w:rPr>
          <w:rFonts w:ascii="Times New Roman" w:hAnsi="Times New Roman" w:cs="Times New Roman"/>
        </w:rPr>
        <w:t xml:space="preserve">The general principles applicable in establishing urgency are dealt with in Rule 6(12) of the Uniform Rules of this Court. </w:t>
      </w:r>
      <w:r w:rsidRPr="001C3425">
        <w:rPr>
          <w:rFonts w:ascii="Times New Roman" w:eastAsia="Times New Roman" w:hAnsi="Times New Roman" w:cs="Times New Roman"/>
          <w:lang w:val="en-GB"/>
        </w:rPr>
        <w:t xml:space="preserve">The importance of these provisions is that the procedure set out in Rule 6(12) is not there for the mere taking.  Notshe AJ said in </w:t>
      </w:r>
      <w:r w:rsidRPr="0047758D">
        <w:rPr>
          <w:rFonts w:ascii="Times New Roman" w:eastAsia="Times New Roman" w:hAnsi="Times New Roman" w:cs="Times New Roman"/>
          <w:b/>
          <w:bCs/>
          <w:iCs/>
          <w:lang w:val="en-GB"/>
        </w:rPr>
        <w:t xml:space="preserve">East Rock Trading 7 </w:t>
      </w:r>
      <w:r w:rsidRPr="0047758D">
        <w:rPr>
          <w:rFonts w:ascii="Times New Roman" w:eastAsia="Times New Roman" w:hAnsi="Times New Roman" w:cs="Times New Roman"/>
          <w:b/>
          <w:bCs/>
          <w:iCs/>
          <w:lang w:val="en-GB"/>
        </w:rPr>
        <w:lastRenderedPageBreak/>
        <w:t xml:space="preserve">(Pty) Ltd and Another v Eagle Valley Granite (Pty) Ltd and Others </w:t>
      </w:r>
      <w:r>
        <w:rPr>
          <w:rStyle w:val="FootnoteReference"/>
          <w:rFonts w:eastAsia="Times New Roman"/>
          <w:b/>
          <w:bCs/>
          <w:iCs/>
          <w:lang w:val="en-GB"/>
        </w:rPr>
        <w:footnoteReference w:id="2"/>
      </w:r>
      <w:r w:rsidRPr="001C3425">
        <w:rPr>
          <w:rFonts w:ascii="Times New Roman" w:eastAsia="Times New Roman" w:hAnsi="Times New Roman" w:cs="Times New Roman"/>
          <w:lang w:val="en-GB"/>
        </w:rPr>
        <w:t>in paras 6 and 7 as follows:</w:t>
      </w:r>
    </w:p>
    <w:p w14:paraId="445DB7D2" w14:textId="6E58EA1B" w:rsidR="0047758D" w:rsidRPr="008A1D31" w:rsidRDefault="008A1D31" w:rsidP="008A1D31">
      <w:pPr>
        <w:shd w:val="clear" w:color="auto" w:fill="FFFFFF"/>
        <w:spacing w:line="360" w:lineRule="auto"/>
        <w:ind w:left="720" w:hanging="153"/>
        <w:jc w:val="both"/>
        <w:rPr>
          <w:rFonts w:ascii="Times New Roman" w:eastAsia="Times New Roman" w:hAnsi="Times New Roman" w:cs="Times New Roman"/>
          <w:i/>
          <w:iCs/>
          <w:sz w:val="22"/>
          <w:szCs w:val="22"/>
          <w:lang w:val="en-US"/>
        </w:rPr>
      </w:pPr>
      <w:r>
        <w:rPr>
          <w:rFonts w:ascii="Times New Roman" w:eastAsia="Times New Roman" w:hAnsi="Times New Roman" w:cs="Times New Roman"/>
          <w:i/>
          <w:iCs/>
          <w:sz w:val="22"/>
          <w:szCs w:val="22"/>
          <w:lang w:val="en-US"/>
        </w:rPr>
        <w:t>“</w:t>
      </w:r>
      <w:r w:rsidR="0047758D" w:rsidRPr="008A1D31">
        <w:rPr>
          <w:rFonts w:ascii="Times New Roman" w:eastAsia="Times New Roman" w:hAnsi="Times New Roman" w:cs="Times New Roman"/>
          <w:i/>
          <w:iCs/>
          <w:color w:val="242121"/>
          <w:sz w:val="22"/>
          <w:szCs w:val="22"/>
          <w:lang w:val="en-GB"/>
        </w:rPr>
        <w:t xml:space="preserve">[6] The import thereof is that 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 </w:t>
      </w:r>
    </w:p>
    <w:p w14:paraId="5A61BEBE" w14:textId="085A9C09" w:rsidR="0047758D" w:rsidRDefault="0047758D" w:rsidP="008A1D31">
      <w:pPr>
        <w:shd w:val="clear" w:color="auto" w:fill="FFFFFF"/>
        <w:spacing w:line="360" w:lineRule="auto"/>
        <w:ind w:left="720"/>
        <w:jc w:val="both"/>
        <w:rPr>
          <w:rFonts w:ascii="Times New Roman" w:eastAsia="Times New Roman" w:hAnsi="Times New Roman" w:cs="Times New Roman"/>
          <w:i/>
          <w:iCs/>
          <w:color w:val="242121"/>
          <w:sz w:val="22"/>
          <w:szCs w:val="22"/>
          <w:lang w:val="en-GB"/>
        </w:rPr>
      </w:pPr>
      <w:r w:rsidRPr="008A1D31">
        <w:rPr>
          <w:rFonts w:ascii="Times New Roman" w:eastAsia="Times New Roman" w:hAnsi="Times New Roman" w:cs="Times New Roman"/>
          <w:i/>
          <w:iCs/>
          <w:color w:val="242121"/>
          <w:sz w:val="22"/>
          <w:szCs w:val="22"/>
          <w:lang w:val="en-GB"/>
        </w:rPr>
        <w:t>[7] 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obtain substantial redress in an application in due course will be determined by the facts of each case. An applicant must make out his case in that regard.</w:t>
      </w:r>
      <w:r w:rsidR="00504D70" w:rsidRPr="008A1D31">
        <w:rPr>
          <w:rFonts w:ascii="Times New Roman" w:eastAsia="Times New Roman" w:hAnsi="Times New Roman" w:cs="Times New Roman"/>
          <w:i/>
          <w:iCs/>
          <w:color w:val="242121"/>
          <w:sz w:val="22"/>
          <w:szCs w:val="22"/>
          <w:lang w:val="en-GB"/>
        </w:rPr>
        <w:t>”</w:t>
      </w:r>
    </w:p>
    <w:p w14:paraId="1720C5B6" w14:textId="77777777" w:rsidR="008A1D31" w:rsidRPr="008A1D31" w:rsidRDefault="008A1D31" w:rsidP="008A1D31">
      <w:pPr>
        <w:shd w:val="clear" w:color="auto" w:fill="FFFFFF"/>
        <w:spacing w:line="360" w:lineRule="auto"/>
        <w:ind w:left="720"/>
        <w:jc w:val="both"/>
        <w:rPr>
          <w:rFonts w:ascii="Times New Roman" w:eastAsia="Times New Roman" w:hAnsi="Times New Roman" w:cs="Times New Roman"/>
          <w:i/>
          <w:iCs/>
          <w:sz w:val="22"/>
          <w:szCs w:val="22"/>
          <w:lang w:val="en-US"/>
        </w:rPr>
      </w:pPr>
    </w:p>
    <w:p w14:paraId="61445E7F" w14:textId="528374C2" w:rsidR="00504D70" w:rsidRDefault="00504D70" w:rsidP="008A1D31">
      <w:pPr>
        <w:shd w:val="clear" w:color="auto" w:fill="FFFFFF"/>
        <w:spacing w:line="360" w:lineRule="auto"/>
        <w:jc w:val="both"/>
        <w:rPr>
          <w:rFonts w:ascii="Times New Roman" w:hAnsi="Times New Roman" w:cs="Times New Roman"/>
          <w:bCs/>
        </w:rPr>
      </w:pPr>
      <w:r w:rsidRPr="00504D70">
        <w:rPr>
          <w:rFonts w:ascii="Times New Roman" w:hAnsi="Times New Roman" w:cs="Times New Roman"/>
          <w:bCs/>
        </w:rPr>
        <w:t>[</w:t>
      </w:r>
      <w:r w:rsidR="00711C8E">
        <w:rPr>
          <w:rFonts w:ascii="Times New Roman" w:hAnsi="Times New Roman" w:cs="Times New Roman"/>
          <w:bCs/>
        </w:rPr>
        <w:t>21</w:t>
      </w:r>
      <w:r w:rsidRPr="00504D70">
        <w:rPr>
          <w:rFonts w:ascii="Times New Roman" w:hAnsi="Times New Roman" w:cs="Times New Roman"/>
          <w:bCs/>
        </w:rPr>
        <w:t>]</w:t>
      </w:r>
      <w:r w:rsidRPr="00504D70">
        <w:rPr>
          <w:rFonts w:ascii="Times New Roman" w:hAnsi="Times New Roman" w:cs="Times New Roman"/>
          <w:bCs/>
        </w:rPr>
        <w:tab/>
        <w:t>Urgent applications must be brought in accordance with the provisions of rule 6(12) of the Uniform Rules of Court, with due regard to the guidelines set out in cases such as </w:t>
      </w:r>
      <w:r w:rsidRPr="00504D70">
        <w:rPr>
          <w:rFonts w:ascii="Times New Roman" w:hAnsi="Times New Roman" w:cs="Times New Roman"/>
          <w:b/>
        </w:rPr>
        <w:t>Die Republikeinse Publikasies (Edms) Bpk vs Afrikaanse Pers Publikasies (Edms) Bpk</w:t>
      </w:r>
      <w:r w:rsidRPr="00504D70">
        <w:rPr>
          <w:rFonts w:ascii="Times New Roman" w:hAnsi="Times New Roman" w:cs="Times New Roman"/>
          <w:bCs/>
          <w:i/>
          <w:iCs/>
          <w:vertAlign w:val="superscript"/>
        </w:rPr>
        <w:footnoteReference w:id="3"/>
      </w:r>
      <w:r w:rsidRPr="00504D70">
        <w:rPr>
          <w:rFonts w:ascii="Times New Roman" w:hAnsi="Times New Roman" w:cs="Times New Roman"/>
          <w:bCs/>
          <w:i/>
          <w:iCs/>
        </w:rPr>
        <w:t> </w:t>
      </w:r>
      <w:r w:rsidRPr="00504D70">
        <w:rPr>
          <w:rFonts w:ascii="Times New Roman" w:hAnsi="Times New Roman" w:cs="Times New Roman"/>
          <w:bCs/>
        </w:rPr>
        <w:t> as well as a well-known case of </w:t>
      </w:r>
      <w:r w:rsidRPr="00504D70">
        <w:rPr>
          <w:rFonts w:ascii="Times New Roman" w:hAnsi="Times New Roman" w:cs="Times New Roman"/>
          <w:b/>
        </w:rPr>
        <w:t>Luna Meubelvervaardigers (Edms) Bpk v Makin and Another</w:t>
      </w:r>
      <w:r w:rsidRPr="00504D70">
        <w:rPr>
          <w:rFonts w:ascii="Times New Roman" w:hAnsi="Times New Roman" w:cs="Times New Roman"/>
          <w:bCs/>
          <w:i/>
          <w:iCs/>
          <w:vertAlign w:val="superscript"/>
        </w:rPr>
        <w:footnoteReference w:id="4"/>
      </w:r>
      <w:r w:rsidRPr="00504D70">
        <w:rPr>
          <w:rFonts w:ascii="Times New Roman" w:hAnsi="Times New Roman" w:cs="Times New Roman"/>
          <w:bCs/>
        </w:rPr>
        <w:t>.</w:t>
      </w:r>
    </w:p>
    <w:p w14:paraId="18231F4E" w14:textId="77777777" w:rsidR="008A1D31" w:rsidRPr="00504D70" w:rsidRDefault="008A1D31" w:rsidP="008A1D31">
      <w:pPr>
        <w:shd w:val="clear" w:color="auto" w:fill="FFFFFF"/>
        <w:spacing w:line="360" w:lineRule="auto"/>
        <w:jc w:val="both"/>
        <w:rPr>
          <w:rFonts w:ascii="Times New Roman" w:hAnsi="Times New Roman" w:cs="Times New Roman"/>
          <w:bCs/>
        </w:rPr>
      </w:pPr>
    </w:p>
    <w:p w14:paraId="0E6DD54F" w14:textId="5A6DAABB" w:rsidR="0047758D" w:rsidRDefault="00504D70" w:rsidP="008A1D31">
      <w:pPr>
        <w:shd w:val="clear" w:color="auto" w:fill="FFFFFF"/>
        <w:spacing w:line="360" w:lineRule="auto"/>
        <w:jc w:val="both"/>
        <w:rPr>
          <w:rFonts w:ascii="Times New Roman" w:hAnsi="Times New Roman" w:cs="Times New Roman"/>
          <w:color w:val="000000"/>
        </w:rPr>
      </w:pPr>
      <w:r>
        <w:rPr>
          <w:rFonts w:ascii="Times New Roman" w:hAnsi="Times New Roman" w:cs="Times New Roman"/>
        </w:rPr>
        <w:t>[</w:t>
      </w:r>
      <w:r w:rsidR="00711C8E">
        <w:rPr>
          <w:rFonts w:ascii="Times New Roman" w:hAnsi="Times New Roman" w:cs="Times New Roman"/>
        </w:rPr>
        <w:t>22</w:t>
      </w:r>
      <w:r>
        <w:rPr>
          <w:rFonts w:ascii="Times New Roman" w:hAnsi="Times New Roman" w:cs="Times New Roman"/>
        </w:rPr>
        <w:t>]</w:t>
      </w:r>
      <w:r>
        <w:rPr>
          <w:rFonts w:ascii="Times New Roman" w:hAnsi="Times New Roman" w:cs="Times New Roman"/>
        </w:rPr>
        <w:tab/>
      </w:r>
      <w:r w:rsidR="0047758D" w:rsidRPr="001C3425">
        <w:rPr>
          <w:rFonts w:ascii="Times New Roman" w:hAnsi="Times New Roman" w:cs="Times New Roman"/>
        </w:rPr>
        <w:t xml:space="preserve">This leaves the requirement of the </w:t>
      </w:r>
      <w:r w:rsidR="00711C8E">
        <w:rPr>
          <w:rFonts w:ascii="Times New Roman" w:hAnsi="Times New Roman" w:cs="Times New Roman"/>
        </w:rPr>
        <w:t>a</w:t>
      </w:r>
      <w:r w:rsidR="0047758D" w:rsidRPr="001C3425">
        <w:rPr>
          <w:rFonts w:ascii="Times New Roman" w:hAnsi="Times New Roman" w:cs="Times New Roman"/>
        </w:rPr>
        <w:t xml:space="preserve">pplicant’s ability to obtain proper substantive redress in due course, for consideration. Obviously, and where a matter is struck from the roll for want of urgency, then the merits of the application remains undetermined. It follows that the application can still be considered and granted by a Court in the ordinary course. But I understand that in this case, there is a unique consideration. Considering the undeniable realities of litigating in the ordinary course, by the </w:t>
      </w:r>
      <w:r w:rsidR="00480D6E">
        <w:rPr>
          <w:rFonts w:ascii="Times New Roman" w:hAnsi="Times New Roman" w:cs="Times New Roman"/>
        </w:rPr>
        <w:t xml:space="preserve">time the </w:t>
      </w:r>
      <w:r w:rsidR="00711C8E">
        <w:rPr>
          <w:rFonts w:ascii="Times New Roman" w:hAnsi="Times New Roman" w:cs="Times New Roman"/>
        </w:rPr>
        <w:t xml:space="preserve">action for damages and the </w:t>
      </w:r>
      <w:r w:rsidR="003F5115">
        <w:rPr>
          <w:rFonts w:ascii="Times New Roman" w:hAnsi="Times New Roman" w:cs="Times New Roman"/>
        </w:rPr>
        <w:t>review application is determined</w:t>
      </w:r>
      <w:r>
        <w:rPr>
          <w:rFonts w:ascii="Times New Roman" w:hAnsi="Times New Roman" w:cs="Times New Roman"/>
        </w:rPr>
        <w:t xml:space="preserve"> the </w:t>
      </w:r>
      <w:r w:rsidR="00711C8E">
        <w:rPr>
          <w:rFonts w:ascii="Times New Roman" w:hAnsi="Times New Roman" w:cs="Times New Roman"/>
        </w:rPr>
        <w:t xml:space="preserve">applicant would have been blacklisted for years and would be </w:t>
      </w:r>
      <w:r w:rsidR="00711C8E">
        <w:rPr>
          <w:rFonts w:ascii="Times New Roman" w:hAnsi="Times New Roman" w:cs="Times New Roman"/>
        </w:rPr>
        <w:lastRenderedPageBreak/>
        <w:t xml:space="preserve">unable to apply for potential public tenders which an action for damages would not eb able to remedy. </w:t>
      </w:r>
      <w:r w:rsidR="0047758D" w:rsidRPr="001C3425">
        <w:rPr>
          <w:rFonts w:ascii="Times New Roman" w:hAnsi="Times New Roman" w:cs="Times New Roman"/>
        </w:rPr>
        <w:t xml:space="preserve">The </w:t>
      </w:r>
      <w:r w:rsidR="00711C8E">
        <w:rPr>
          <w:rFonts w:ascii="Times New Roman" w:hAnsi="Times New Roman" w:cs="Times New Roman"/>
        </w:rPr>
        <w:t>a</w:t>
      </w:r>
      <w:r w:rsidR="0047758D" w:rsidRPr="001C3425">
        <w:rPr>
          <w:rFonts w:ascii="Times New Roman" w:hAnsi="Times New Roman" w:cs="Times New Roman"/>
        </w:rPr>
        <w:t>pplicant</w:t>
      </w:r>
      <w:r w:rsidR="00711C8E">
        <w:rPr>
          <w:rFonts w:ascii="Times New Roman" w:hAnsi="Times New Roman" w:cs="Times New Roman"/>
        </w:rPr>
        <w:t xml:space="preserve"> in my view, </w:t>
      </w:r>
      <w:r w:rsidR="0047758D" w:rsidRPr="001C3425">
        <w:rPr>
          <w:rFonts w:ascii="Times New Roman" w:hAnsi="Times New Roman" w:cs="Times New Roman"/>
        </w:rPr>
        <w:t xml:space="preserve"> </w:t>
      </w:r>
      <w:r w:rsidR="00711C8E">
        <w:rPr>
          <w:rFonts w:ascii="Times New Roman" w:hAnsi="Times New Roman" w:cs="Times New Roman"/>
        </w:rPr>
        <w:t>is</w:t>
      </w:r>
      <w:r w:rsidR="0047758D" w:rsidRPr="001C3425">
        <w:rPr>
          <w:rFonts w:ascii="Times New Roman" w:hAnsi="Times New Roman" w:cs="Times New Roman"/>
        </w:rPr>
        <w:t xml:space="preserve"> therefore not able to obtain substantive redress in the ordinary course. However even if the application failed on urgency, it is possible, in appropriate circumstances, to even dispose of the matter on the merits, where a matter is regarded as not being urgent, instead of striking the matter from the roll. The Court in </w:t>
      </w:r>
      <w:r w:rsidR="0047758D" w:rsidRPr="0047758D">
        <w:rPr>
          <w:rFonts w:ascii="Times New Roman" w:hAnsi="Times New Roman" w:cs="Times New Roman"/>
          <w:b/>
          <w:iCs/>
        </w:rPr>
        <w:t>February v Envirochem CC and Another</w:t>
      </w:r>
      <w:r w:rsidR="0047758D" w:rsidRPr="001C3425">
        <w:rPr>
          <w:rStyle w:val="FootnoteReference"/>
        </w:rPr>
        <w:footnoteReference w:id="5"/>
      </w:r>
      <w:r w:rsidR="0047758D" w:rsidRPr="001C3425">
        <w:rPr>
          <w:rFonts w:ascii="Times New Roman" w:hAnsi="Times New Roman" w:cs="Times New Roman"/>
        </w:rPr>
        <w:t xml:space="preserve"> dealt with this kind of consideration, and even though the Court accepted that urgency was not established, the Court nonetheless proceeded to dismiss the matter in the interest of </w:t>
      </w:r>
      <w:r w:rsidR="0047758D" w:rsidRPr="001C3425">
        <w:rPr>
          <w:rFonts w:ascii="Times New Roman" w:hAnsi="Times New Roman" w:cs="Times New Roman"/>
          <w:color w:val="000000"/>
        </w:rPr>
        <w:t xml:space="preserve">finality and so the matter should be dealt with once and for all. </w:t>
      </w:r>
    </w:p>
    <w:p w14:paraId="3C3BAF8F" w14:textId="77777777" w:rsidR="008A1D31" w:rsidRPr="0047758D" w:rsidRDefault="008A1D31" w:rsidP="008A1D31">
      <w:pPr>
        <w:shd w:val="clear" w:color="auto" w:fill="FFFFFF"/>
        <w:spacing w:line="360" w:lineRule="auto"/>
        <w:jc w:val="both"/>
        <w:rPr>
          <w:rFonts w:ascii="Times New Roman" w:eastAsia="Times New Roman" w:hAnsi="Times New Roman" w:cs="Times New Roman"/>
          <w:lang w:val="en-US"/>
        </w:rPr>
      </w:pPr>
    </w:p>
    <w:p w14:paraId="3D00E86E" w14:textId="2EF262AC" w:rsidR="00FD5D95" w:rsidRDefault="00FD5D95" w:rsidP="008A1D31">
      <w:pPr>
        <w:spacing w:line="360" w:lineRule="auto"/>
        <w:ind w:left="720" w:hanging="720"/>
        <w:jc w:val="both"/>
        <w:rPr>
          <w:rFonts w:ascii="Times New Roman" w:hAnsi="Times New Roman" w:cs="Times New Roman"/>
          <w:b/>
          <w:snapToGrid w:val="0"/>
          <w:u w:val="single"/>
          <w:lang w:val="en-GB"/>
        </w:rPr>
      </w:pPr>
      <w:r w:rsidRPr="00FD5D95">
        <w:rPr>
          <w:rFonts w:ascii="Times New Roman" w:hAnsi="Times New Roman" w:cs="Times New Roman"/>
          <w:b/>
          <w:snapToGrid w:val="0"/>
          <w:u w:val="single"/>
          <w:lang w:val="en-GB"/>
        </w:rPr>
        <w:t>Condonation</w:t>
      </w:r>
    </w:p>
    <w:p w14:paraId="23C02EF0" w14:textId="77777777" w:rsidR="008A1D31" w:rsidRPr="00FD5D95" w:rsidRDefault="008A1D31" w:rsidP="008A1D31">
      <w:pPr>
        <w:spacing w:line="360" w:lineRule="auto"/>
        <w:ind w:left="720" w:hanging="720"/>
        <w:jc w:val="both"/>
        <w:rPr>
          <w:rFonts w:ascii="Times New Roman" w:hAnsi="Times New Roman" w:cs="Times New Roman"/>
          <w:b/>
          <w:snapToGrid w:val="0"/>
          <w:u w:val="single"/>
          <w:lang w:val="en-GB"/>
        </w:rPr>
      </w:pPr>
    </w:p>
    <w:p w14:paraId="2E0B90D6" w14:textId="7F9BD577" w:rsidR="00FD5D95" w:rsidRDefault="00FD5D95" w:rsidP="008A1D31">
      <w:pPr>
        <w:spacing w:line="360" w:lineRule="auto"/>
        <w:jc w:val="both"/>
        <w:rPr>
          <w:rFonts w:ascii="Times New Roman" w:hAnsi="Times New Roman" w:cs="Times New Roman"/>
          <w:bCs/>
          <w:snapToGrid w:val="0"/>
          <w:lang w:val="en-GB"/>
        </w:rPr>
      </w:pPr>
      <w:r w:rsidRPr="00FD5D95">
        <w:rPr>
          <w:rFonts w:ascii="Times New Roman" w:hAnsi="Times New Roman" w:cs="Times New Roman"/>
          <w:bCs/>
          <w:snapToGrid w:val="0"/>
          <w:lang w:val="en-GB"/>
        </w:rPr>
        <w:t>[</w:t>
      </w:r>
      <w:r>
        <w:rPr>
          <w:rFonts w:ascii="Times New Roman" w:hAnsi="Times New Roman" w:cs="Times New Roman"/>
          <w:bCs/>
          <w:snapToGrid w:val="0"/>
          <w:lang w:val="en-GB"/>
        </w:rPr>
        <w:t>23</w:t>
      </w:r>
      <w:r w:rsidRPr="00FD5D95">
        <w:rPr>
          <w:rFonts w:ascii="Times New Roman" w:hAnsi="Times New Roman" w:cs="Times New Roman"/>
          <w:bCs/>
          <w:snapToGrid w:val="0"/>
          <w:lang w:val="en-GB"/>
        </w:rPr>
        <w:t xml:space="preserve">] </w:t>
      </w:r>
      <w:r w:rsidRPr="00FD5D95">
        <w:rPr>
          <w:rFonts w:ascii="Times New Roman" w:hAnsi="Times New Roman" w:cs="Times New Roman"/>
          <w:bCs/>
          <w:snapToGrid w:val="0"/>
          <w:lang w:val="en-GB"/>
        </w:rPr>
        <w:tab/>
        <w:t xml:space="preserve">Condonation is not a mere formality and is not to be had “merely for the asking”. What is required is an explanation not only of the delay in the timeous prosecution but also the delay in seeking condonation for non-compliance. The applicant must show that he did not </w:t>
      </w:r>
      <w:r w:rsidR="008A1D31" w:rsidRPr="00FD5D95">
        <w:rPr>
          <w:rFonts w:ascii="Times New Roman" w:hAnsi="Times New Roman" w:cs="Times New Roman"/>
          <w:bCs/>
          <w:snapToGrid w:val="0"/>
          <w:lang w:val="en-GB"/>
        </w:rPr>
        <w:t>wilfully</w:t>
      </w:r>
      <w:r w:rsidRPr="00FD5D95">
        <w:rPr>
          <w:rFonts w:ascii="Times New Roman" w:hAnsi="Times New Roman" w:cs="Times New Roman"/>
          <w:bCs/>
          <w:snapToGrid w:val="0"/>
          <w:lang w:val="en-GB"/>
        </w:rPr>
        <w:t xml:space="preserve"> disregard the timeframes provided for in the Rules of Court. He is obliged to satisfy the court that there is sufficient or good cause for excusing him from compliance.</w:t>
      </w:r>
    </w:p>
    <w:p w14:paraId="185941AD" w14:textId="77777777" w:rsidR="008A1D31" w:rsidRPr="00FD5D95" w:rsidRDefault="008A1D31" w:rsidP="008A1D31">
      <w:pPr>
        <w:spacing w:line="360" w:lineRule="auto"/>
        <w:jc w:val="both"/>
        <w:rPr>
          <w:rFonts w:ascii="Times New Roman" w:hAnsi="Times New Roman" w:cs="Times New Roman"/>
          <w:bCs/>
          <w:snapToGrid w:val="0"/>
          <w:lang w:val="en-GB"/>
        </w:rPr>
      </w:pPr>
    </w:p>
    <w:p w14:paraId="0CC01B37" w14:textId="49838E5E" w:rsidR="00FD5D95" w:rsidRDefault="00FD5D95" w:rsidP="008A1D31">
      <w:pPr>
        <w:spacing w:line="360" w:lineRule="auto"/>
        <w:jc w:val="both"/>
        <w:rPr>
          <w:rFonts w:ascii="Times New Roman" w:hAnsi="Times New Roman" w:cs="Times New Roman"/>
          <w:bCs/>
          <w:snapToGrid w:val="0"/>
          <w:lang w:val="en-GB"/>
        </w:rPr>
      </w:pPr>
      <w:r w:rsidRPr="00FD5D95">
        <w:rPr>
          <w:rFonts w:ascii="Times New Roman" w:hAnsi="Times New Roman" w:cs="Times New Roman"/>
          <w:bCs/>
          <w:snapToGrid w:val="0"/>
          <w:lang w:val="en-GB"/>
        </w:rPr>
        <w:t>[</w:t>
      </w:r>
      <w:r>
        <w:rPr>
          <w:rFonts w:ascii="Times New Roman" w:hAnsi="Times New Roman" w:cs="Times New Roman"/>
          <w:bCs/>
          <w:snapToGrid w:val="0"/>
          <w:lang w:val="en-GB"/>
        </w:rPr>
        <w:t>24</w:t>
      </w:r>
      <w:r w:rsidRPr="00FD5D95">
        <w:rPr>
          <w:rFonts w:ascii="Times New Roman" w:hAnsi="Times New Roman" w:cs="Times New Roman"/>
          <w:bCs/>
          <w:snapToGrid w:val="0"/>
          <w:lang w:val="en-GB"/>
        </w:rPr>
        <w:t>]</w:t>
      </w:r>
      <w:r w:rsidRPr="00FD5D95">
        <w:rPr>
          <w:rFonts w:ascii="Times New Roman" w:hAnsi="Times New Roman" w:cs="Times New Roman"/>
          <w:bCs/>
          <w:snapToGrid w:val="0"/>
          <w:lang w:val="en-GB"/>
        </w:rPr>
        <w:tab/>
        <w:t xml:space="preserve">Condonation may be refused where there has been a flagrant breach of the rules especially where no adequate explanation is proffered. The applicant should convince the court to exercise its discretion in his favour. </w:t>
      </w:r>
    </w:p>
    <w:p w14:paraId="56F9792C" w14:textId="77777777" w:rsidR="008A1D31" w:rsidRPr="00FD5D95" w:rsidRDefault="008A1D31" w:rsidP="008A1D31">
      <w:pPr>
        <w:spacing w:line="360" w:lineRule="auto"/>
        <w:jc w:val="both"/>
        <w:rPr>
          <w:rFonts w:ascii="Times New Roman" w:hAnsi="Times New Roman" w:cs="Times New Roman"/>
          <w:bCs/>
          <w:snapToGrid w:val="0"/>
          <w:lang w:val="en-GB"/>
        </w:rPr>
      </w:pPr>
    </w:p>
    <w:p w14:paraId="40E0CCAB" w14:textId="0615D0FC" w:rsidR="00FD5D95" w:rsidRDefault="00FD5D95" w:rsidP="008A1D31">
      <w:pPr>
        <w:spacing w:line="360" w:lineRule="auto"/>
        <w:jc w:val="both"/>
        <w:rPr>
          <w:rFonts w:ascii="Times New Roman" w:hAnsi="Times New Roman" w:cs="Times New Roman"/>
          <w:bCs/>
          <w:snapToGrid w:val="0"/>
          <w:lang w:val="en-GB"/>
        </w:rPr>
      </w:pPr>
      <w:r w:rsidRPr="00FD5D95">
        <w:rPr>
          <w:rFonts w:ascii="Times New Roman" w:hAnsi="Times New Roman" w:cs="Times New Roman"/>
          <w:bCs/>
          <w:snapToGrid w:val="0"/>
          <w:lang w:val="en-GB"/>
        </w:rPr>
        <w:t>[</w:t>
      </w:r>
      <w:r>
        <w:rPr>
          <w:rFonts w:ascii="Times New Roman" w:hAnsi="Times New Roman" w:cs="Times New Roman"/>
          <w:bCs/>
          <w:snapToGrid w:val="0"/>
          <w:lang w:val="en-GB"/>
        </w:rPr>
        <w:t>25</w:t>
      </w:r>
      <w:r w:rsidRPr="00FD5D95">
        <w:rPr>
          <w:rFonts w:ascii="Times New Roman" w:hAnsi="Times New Roman" w:cs="Times New Roman"/>
          <w:bCs/>
          <w:snapToGrid w:val="0"/>
          <w:lang w:val="en-GB"/>
        </w:rPr>
        <w:t>]</w:t>
      </w:r>
      <w:r w:rsidRPr="00FD5D95">
        <w:rPr>
          <w:rFonts w:ascii="Times New Roman" w:hAnsi="Times New Roman" w:cs="Times New Roman"/>
          <w:bCs/>
          <w:snapToGrid w:val="0"/>
          <w:lang w:val="en-GB"/>
        </w:rPr>
        <w:tab/>
        <w:t>An application for condonation should be brought without delay and as soon as possible once an applicant realizes that he has not complied with a rule of court. And it is not to say where non-compliance was due entirely to the neglect of the applicant’s attorney, condonation will be granted.</w:t>
      </w:r>
    </w:p>
    <w:p w14:paraId="0DFF1929" w14:textId="77777777" w:rsidR="008A1D31" w:rsidRPr="00FD5D95" w:rsidRDefault="008A1D31" w:rsidP="008A1D31">
      <w:pPr>
        <w:spacing w:line="360" w:lineRule="auto"/>
        <w:jc w:val="both"/>
        <w:rPr>
          <w:rFonts w:ascii="Times New Roman" w:hAnsi="Times New Roman" w:cs="Times New Roman"/>
          <w:bCs/>
          <w:snapToGrid w:val="0"/>
          <w:lang w:val="en-GB"/>
        </w:rPr>
      </w:pPr>
    </w:p>
    <w:p w14:paraId="20ED7910" w14:textId="6A794C54" w:rsidR="00393BAE" w:rsidRDefault="00FD5D95" w:rsidP="008A1D31">
      <w:pPr>
        <w:spacing w:line="360" w:lineRule="auto"/>
        <w:jc w:val="both"/>
        <w:rPr>
          <w:rFonts w:ascii="Times New Roman" w:hAnsi="Times New Roman" w:cs="Times New Roman"/>
          <w:bCs/>
          <w:snapToGrid w:val="0"/>
          <w:lang w:val="en-GB"/>
        </w:rPr>
      </w:pPr>
      <w:r w:rsidRPr="00FD5D95">
        <w:rPr>
          <w:rFonts w:ascii="Times New Roman" w:hAnsi="Times New Roman" w:cs="Times New Roman"/>
          <w:bCs/>
          <w:snapToGrid w:val="0"/>
          <w:lang w:val="en-GB"/>
        </w:rPr>
        <w:t>[</w:t>
      </w:r>
      <w:r>
        <w:rPr>
          <w:rFonts w:ascii="Times New Roman" w:hAnsi="Times New Roman" w:cs="Times New Roman"/>
          <w:bCs/>
          <w:snapToGrid w:val="0"/>
          <w:lang w:val="en-GB"/>
        </w:rPr>
        <w:t>26</w:t>
      </w:r>
      <w:r w:rsidRPr="00FD5D95">
        <w:rPr>
          <w:rFonts w:ascii="Times New Roman" w:hAnsi="Times New Roman" w:cs="Times New Roman"/>
          <w:bCs/>
          <w:snapToGrid w:val="0"/>
          <w:lang w:val="en-GB"/>
        </w:rPr>
        <w:t>]</w:t>
      </w:r>
      <w:r w:rsidRPr="00FD5D95">
        <w:rPr>
          <w:rFonts w:ascii="Times New Roman" w:hAnsi="Times New Roman" w:cs="Times New Roman"/>
          <w:bCs/>
          <w:snapToGrid w:val="0"/>
          <w:lang w:val="en-GB"/>
        </w:rPr>
        <w:tab/>
        <w:t xml:space="preserve">In the recent </w:t>
      </w:r>
      <w:r w:rsidR="00393BAE" w:rsidRPr="00393BAE">
        <w:rPr>
          <w:rFonts w:ascii="Times New Roman" w:hAnsi="Times New Roman"/>
          <w:b/>
          <w:bCs/>
          <w:snapToGrid w:val="0"/>
        </w:rPr>
        <w:t>Mulaudzi v Old Mutual Life Insurance Company (South Africa) Limited and Others, National Director of Public Prosecutions and Another v Mulaudzi</w:t>
      </w:r>
      <w:r w:rsidR="00393BAE">
        <w:rPr>
          <w:rStyle w:val="FootnoteReference"/>
          <w:b/>
          <w:bCs/>
          <w:snapToGrid w:val="0"/>
        </w:rPr>
        <w:footnoteReference w:id="6"/>
      </w:r>
      <w:r w:rsidR="00393BAE" w:rsidRPr="00393BAE">
        <w:rPr>
          <w:rFonts w:ascii="Times New Roman" w:hAnsi="Times New Roman" w:cs="Times New Roman"/>
          <w:bCs/>
          <w:snapToGrid w:val="0"/>
          <w:lang w:val="en-GB"/>
        </w:rPr>
        <w:t xml:space="preserve"> </w:t>
      </w:r>
      <w:r w:rsidR="00393BAE" w:rsidRPr="00FD5D95">
        <w:rPr>
          <w:rFonts w:ascii="Times New Roman" w:hAnsi="Times New Roman" w:cs="Times New Roman"/>
          <w:bCs/>
          <w:snapToGrid w:val="0"/>
          <w:lang w:val="en-GB"/>
        </w:rPr>
        <w:t>case the Supreme Court of Appeal set out the factors to take into account when considering an application for condonation</w:t>
      </w:r>
      <w:r w:rsidR="00393BAE">
        <w:rPr>
          <w:rFonts w:ascii="Times New Roman" w:hAnsi="Times New Roman" w:cs="Times New Roman"/>
          <w:bCs/>
          <w:snapToGrid w:val="0"/>
          <w:lang w:val="en-GB"/>
        </w:rPr>
        <w:t xml:space="preserve"> at para 26</w:t>
      </w:r>
      <w:r w:rsidR="00393BAE" w:rsidRPr="00FD5D95">
        <w:rPr>
          <w:rFonts w:ascii="Times New Roman" w:hAnsi="Times New Roman" w:cs="Times New Roman"/>
          <w:bCs/>
          <w:snapToGrid w:val="0"/>
          <w:lang w:val="en-GB"/>
        </w:rPr>
        <w:t xml:space="preserve">: </w:t>
      </w:r>
    </w:p>
    <w:tbl>
      <w:tblPr>
        <w:tblW w:w="18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00"/>
      </w:tblGrid>
      <w:tr w:rsidR="00393BAE" w:rsidRPr="00393BAE" w14:paraId="20804565" w14:textId="77777777" w:rsidTr="00061012">
        <w:trPr>
          <w:tblCellSpacing w:w="15" w:type="dxa"/>
        </w:trPr>
        <w:tc>
          <w:tcPr>
            <w:tcW w:w="0" w:type="auto"/>
            <w:shd w:val="clear" w:color="auto" w:fill="FFFFFF"/>
            <w:tcMar>
              <w:top w:w="72" w:type="dxa"/>
              <w:left w:w="120" w:type="dxa"/>
              <w:bottom w:w="72" w:type="dxa"/>
              <w:right w:w="120" w:type="dxa"/>
            </w:tcMar>
            <w:hideMark/>
          </w:tcPr>
          <w:p w14:paraId="16283B86" w14:textId="77777777" w:rsidR="00393BAE" w:rsidRPr="00393BAE" w:rsidRDefault="00393BAE" w:rsidP="008A1D31">
            <w:pPr>
              <w:spacing w:line="360" w:lineRule="auto"/>
              <w:jc w:val="both"/>
              <w:rPr>
                <w:rFonts w:ascii="Times New Roman" w:hAnsi="Times New Roman" w:cs="Times New Roman"/>
                <w:b/>
                <w:snapToGrid w:val="0"/>
              </w:rPr>
            </w:pPr>
          </w:p>
        </w:tc>
      </w:tr>
    </w:tbl>
    <w:p w14:paraId="59358D5F" w14:textId="7C268D82" w:rsidR="00393BAE" w:rsidRDefault="00393BAE" w:rsidP="008A1D31">
      <w:pPr>
        <w:spacing w:line="360" w:lineRule="auto"/>
        <w:ind w:left="720"/>
        <w:jc w:val="both"/>
        <w:rPr>
          <w:rFonts w:ascii="Times New Roman" w:hAnsi="Times New Roman" w:cs="Times New Roman"/>
          <w:bCs/>
          <w:i/>
          <w:snapToGrid w:val="0"/>
          <w:sz w:val="22"/>
          <w:szCs w:val="22"/>
          <w:lang w:val="en-GB"/>
        </w:rPr>
      </w:pPr>
      <w:r w:rsidRPr="008A1D31">
        <w:rPr>
          <w:rFonts w:ascii="Times New Roman" w:hAnsi="Times New Roman" w:cs="Times New Roman"/>
          <w:bCs/>
          <w:i/>
          <w:snapToGrid w:val="0"/>
          <w:sz w:val="22"/>
          <w:szCs w:val="22"/>
          <w:lang w:val="en-GB"/>
        </w:rPr>
        <w:lastRenderedPageBreak/>
        <w:t>“A full, detailed and accurate account of the causes of the delay and their effects must be furnished so as to enable the Court to understand clearly the reasons and to assess the responsibility. Factors which usually weigh with this court in considering an application for condonation include the degree of non-compliance, the explanation therefor, the importance of the case, a respondent’s interest in the finality of the judgment of the court below, the convenience of this court and the avoidance of unnecessary delay in the administration of justice.”</w:t>
      </w:r>
    </w:p>
    <w:p w14:paraId="6E0FB0E8" w14:textId="77777777" w:rsidR="008A1D31" w:rsidRPr="008A1D31" w:rsidRDefault="008A1D31" w:rsidP="008A1D31">
      <w:pPr>
        <w:spacing w:line="360" w:lineRule="auto"/>
        <w:ind w:left="720"/>
        <w:jc w:val="both"/>
        <w:rPr>
          <w:rFonts w:ascii="Times New Roman" w:hAnsi="Times New Roman" w:cs="Times New Roman"/>
          <w:bCs/>
          <w:i/>
          <w:snapToGrid w:val="0"/>
          <w:sz w:val="22"/>
          <w:szCs w:val="22"/>
          <w:lang w:val="en-GB"/>
        </w:rPr>
      </w:pPr>
    </w:p>
    <w:p w14:paraId="7EC9A25C" w14:textId="6C7CB423" w:rsidR="00FD5D95" w:rsidRPr="00FD5D95" w:rsidRDefault="00FD5D95" w:rsidP="008A1D31">
      <w:pPr>
        <w:spacing w:line="360" w:lineRule="auto"/>
        <w:jc w:val="both"/>
        <w:rPr>
          <w:rFonts w:ascii="Times New Roman" w:hAnsi="Times New Roman" w:cs="Times New Roman"/>
          <w:bCs/>
          <w:snapToGrid w:val="0"/>
          <w:sz w:val="22"/>
          <w:szCs w:val="22"/>
          <w:lang w:val="en-GB"/>
        </w:rPr>
      </w:pPr>
      <w:r w:rsidRPr="00FD5D95">
        <w:rPr>
          <w:rFonts w:ascii="Times New Roman" w:hAnsi="Times New Roman" w:cs="Times New Roman"/>
          <w:bCs/>
          <w:snapToGrid w:val="0"/>
          <w:lang w:val="en-GB"/>
        </w:rPr>
        <w:t>[</w:t>
      </w:r>
      <w:r w:rsidR="00393BAE">
        <w:rPr>
          <w:rFonts w:ascii="Times New Roman" w:hAnsi="Times New Roman" w:cs="Times New Roman"/>
          <w:bCs/>
          <w:snapToGrid w:val="0"/>
          <w:lang w:val="en-GB"/>
        </w:rPr>
        <w:t>27</w:t>
      </w:r>
      <w:r w:rsidRPr="00FD5D95">
        <w:rPr>
          <w:rFonts w:ascii="Times New Roman" w:hAnsi="Times New Roman" w:cs="Times New Roman"/>
          <w:bCs/>
          <w:snapToGrid w:val="0"/>
          <w:lang w:val="en-GB"/>
        </w:rPr>
        <w:t xml:space="preserve">] </w:t>
      </w:r>
      <w:r w:rsidRPr="00FD5D95">
        <w:rPr>
          <w:rFonts w:ascii="Times New Roman" w:hAnsi="Times New Roman" w:cs="Times New Roman"/>
          <w:bCs/>
          <w:snapToGrid w:val="0"/>
          <w:lang w:val="en-GB"/>
        </w:rPr>
        <w:tab/>
        <w:t xml:space="preserve">In the earlier case of </w:t>
      </w:r>
      <w:r w:rsidRPr="00FD5D95">
        <w:rPr>
          <w:rFonts w:ascii="Times New Roman" w:hAnsi="Times New Roman" w:cs="Times New Roman"/>
          <w:b/>
          <w:snapToGrid w:val="0"/>
          <w:lang w:val="en-GB"/>
        </w:rPr>
        <w:t>Melan</w:t>
      </w:r>
      <w:r w:rsidR="00393BAE">
        <w:rPr>
          <w:rFonts w:ascii="Times New Roman" w:hAnsi="Times New Roman" w:cs="Times New Roman"/>
          <w:b/>
          <w:snapToGrid w:val="0"/>
          <w:lang w:val="en-GB"/>
        </w:rPr>
        <w:t>i</w:t>
      </w:r>
      <w:r w:rsidRPr="00FD5D95">
        <w:rPr>
          <w:rFonts w:ascii="Times New Roman" w:hAnsi="Times New Roman" w:cs="Times New Roman"/>
          <w:b/>
          <w:snapToGrid w:val="0"/>
          <w:lang w:val="en-GB"/>
        </w:rPr>
        <w:t>e v Santam Insurance Co Lt</w:t>
      </w:r>
      <w:r w:rsidR="00393BAE">
        <w:rPr>
          <w:rFonts w:ascii="Times New Roman" w:hAnsi="Times New Roman" w:cs="Times New Roman"/>
          <w:b/>
          <w:snapToGrid w:val="0"/>
          <w:lang w:val="en-GB"/>
        </w:rPr>
        <w:t>d</w:t>
      </w:r>
      <w:r w:rsidR="00393BAE">
        <w:rPr>
          <w:rStyle w:val="FootnoteReference"/>
          <w:b/>
          <w:snapToGrid w:val="0"/>
          <w:lang w:val="en-GB"/>
        </w:rPr>
        <w:footnoteReference w:id="7"/>
      </w:r>
      <w:r w:rsidRPr="00FD5D95">
        <w:rPr>
          <w:rFonts w:ascii="Times New Roman" w:hAnsi="Times New Roman" w:cs="Times New Roman"/>
          <w:bCs/>
          <w:i/>
          <w:iCs/>
          <w:snapToGrid w:val="0"/>
          <w:lang w:val="en-GB"/>
        </w:rPr>
        <w:t xml:space="preserve"> </w:t>
      </w:r>
      <w:r w:rsidRPr="00FD5D95">
        <w:rPr>
          <w:rFonts w:ascii="Times New Roman" w:hAnsi="Times New Roman" w:cs="Times New Roman"/>
          <w:bCs/>
          <w:snapToGrid w:val="0"/>
          <w:lang w:val="en-GB"/>
        </w:rPr>
        <w:t>the then Appellate Division explained the broad approach to be adopted in such an enquiry:</w:t>
      </w:r>
    </w:p>
    <w:p w14:paraId="6709F18B" w14:textId="3B39D39A" w:rsidR="00FD5D95" w:rsidRDefault="00393BAE" w:rsidP="008A1D31">
      <w:pPr>
        <w:spacing w:line="360" w:lineRule="auto"/>
        <w:ind w:left="720"/>
        <w:jc w:val="both"/>
        <w:rPr>
          <w:rFonts w:ascii="Times New Roman" w:hAnsi="Times New Roman" w:cs="Times New Roman"/>
          <w:bCs/>
          <w:i/>
          <w:snapToGrid w:val="0"/>
          <w:sz w:val="22"/>
          <w:szCs w:val="22"/>
          <w:lang w:val="en-GB"/>
        </w:rPr>
      </w:pPr>
      <w:r w:rsidRPr="008A1D31">
        <w:rPr>
          <w:rFonts w:ascii="Times New Roman" w:hAnsi="Times New Roman" w:cs="Times New Roman"/>
          <w:bCs/>
          <w:i/>
          <w:snapToGrid w:val="0"/>
          <w:sz w:val="22"/>
          <w:szCs w:val="22"/>
          <w:lang w:val="en-GB"/>
        </w:rPr>
        <w:t>“</w:t>
      </w:r>
      <w:r w:rsidR="00FD5D95" w:rsidRPr="008A1D31">
        <w:rPr>
          <w:rFonts w:ascii="Times New Roman" w:hAnsi="Times New Roman" w:cs="Times New Roman"/>
          <w:bCs/>
          <w:i/>
          <w:snapToGrid w:val="0"/>
          <w:sz w:val="22"/>
          <w:szCs w:val="22"/>
          <w:lang w:val="en-GB"/>
        </w:rPr>
        <w:t>In deciding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facts are interrelated; they are not individually decisive, for that would be a piecemeal approach incompatible with a true discretion, save of course that if there are no prospects of success there would be no point in granting condonation. Any attempt to formulate a rule of thumb would only serve to harden the arteries of what should be a flexible discretion. What is needed is an objective conspectus of all the facts. Thus a slight delay and a good explanation may help to compensate for prospects of success which are not strong. Or the importance of the issue and strong prospects of success may tend to compensate for a long delay. And the respondent’s interest in finality must not be overlooked.</w:t>
      </w:r>
      <w:r w:rsidRPr="008A1D31">
        <w:rPr>
          <w:rFonts w:ascii="Times New Roman" w:hAnsi="Times New Roman" w:cs="Times New Roman"/>
          <w:bCs/>
          <w:i/>
          <w:snapToGrid w:val="0"/>
          <w:sz w:val="22"/>
          <w:szCs w:val="22"/>
          <w:lang w:val="en-GB"/>
        </w:rPr>
        <w:t>”</w:t>
      </w:r>
    </w:p>
    <w:p w14:paraId="3477984F" w14:textId="77777777" w:rsidR="008A1D31" w:rsidRPr="008A1D31" w:rsidRDefault="008A1D31" w:rsidP="008A1D31">
      <w:pPr>
        <w:spacing w:line="360" w:lineRule="auto"/>
        <w:ind w:left="720"/>
        <w:jc w:val="both"/>
        <w:rPr>
          <w:rFonts w:ascii="Times New Roman" w:hAnsi="Times New Roman" w:cs="Times New Roman"/>
          <w:bCs/>
          <w:i/>
          <w:snapToGrid w:val="0"/>
          <w:sz w:val="22"/>
          <w:szCs w:val="22"/>
          <w:lang w:val="en-GB"/>
        </w:rPr>
      </w:pPr>
    </w:p>
    <w:p w14:paraId="59686091" w14:textId="76C84630" w:rsidR="00421948" w:rsidRDefault="00421948" w:rsidP="008A1D31">
      <w:pPr>
        <w:spacing w:line="360" w:lineRule="auto"/>
        <w:ind w:left="720" w:hanging="720"/>
        <w:jc w:val="both"/>
        <w:rPr>
          <w:rFonts w:ascii="Times New Roman" w:hAnsi="Times New Roman" w:cs="Times New Roman"/>
          <w:b/>
          <w:snapToGrid w:val="0"/>
          <w:u w:val="single"/>
        </w:rPr>
      </w:pPr>
      <w:r>
        <w:rPr>
          <w:rFonts w:ascii="Times New Roman" w:hAnsi="Times New Roman" w:cs="Times New Roman"/>
          <w:b/>
          <w:snapToGrid w:val="0"/>
          <w:u w:val="single"/>
        </w:rPr>
        <w:t>Interim Interdict</w:t>
      </w:r>
    </w:p>
    <w:p w14:paraId="7C399E23" w14:textId="77777777" w:rsidR="008A1D31" w:rsidRDefault="008A1D31" w:rsidP="008A1D31">
      <w:pPr>
        <w:spacing w:line="360" w:lineRule="auto"/>
        <w:ind w:left="720" w:hanging="720"/>
        <w:jc w:val="both"/>
        <w:rPr>
          <w:rFonts w:ascii="Times New Roman" w:hAnsi="Times New Roman" w:cs="Times New Roman"/>
          <w:snapToGrid w:val="0"/>
        </w:rPr>
      </w:pPr>
    </w:p>
    <w:p w14:paraId="7A6A7E66" w14:textId="7D59624A" w:rsidR="00421948" w:rsidRDefault="00421948" w:rsidP="008A1D31">
      <w:pPr>
        <w:spacing w:line="360" w:lineRule="auto"/>
        <w:jc w:val="both"/>
        <w:rPr>
          <w:rFonts w:ascii="Times New Roman" w:hAnsi="Times New Roman" w:cs="Times New Roman"/>
          <w:snapToGrid w:val="0"/>
        </w:rPr>
      </w:pPr>
      <w:r>
        <w:rPr>
          <w:rFonts w:ascii="Times New Roman" w:hAnsi="Times New Roman" w:cs="Times New Roman"/>
          <w:snapToGrid w:val="0"/>
        </w:rPr>
        <w:t>[</w:t>
      </w:r>
      <w:r w:rsidR="00711C8E">
        <w:rPr>
          <w:rFonts w:ascii="Times New Roman" w:hAnsi="Times New Roman" w:cs="Times New Roman"/>
          <w:snapToGrid w:val="0"/>
        </w:rPr>
        <w:t>2</w:t>
      </w:r>
      <w:r w:rsidR="00393BAE">
        <w:rPr>
          <w:rFonts w:ascii="Times New Roman" w:hAnsi="Times New Roman" w:cs="Times New Roman"/>
          <w:snapToGrid w:val="0"/>
        </w:rPr>
        <w:t>8</w:t>
      </w:r>
      <w:r>
        <w:rPr>
          <w:rFonts w:ascii="Times New Roman" w:hAnsi="Times New Roman" w:cs="Times New Roman"/>
          <w:snapToGrid w:val="0"/>
        </w:rPr>
        <w:t>]</w:t>
      </w:r>
      <w:r>
        <w:rPr>
          <w:rFonts w:ascii="Times New Roman" w:hAnsi="Times New Roman" w:cs="Times New Roman"/>
          <w:snapToGrid w:val="0"/>
        </w:rPr>
        <w:tab/>
        <w:t>A request for an interim interdict is a court order preserving or restoring the status quo pending the determination of rights of the parties. It is important to emphasize that an interim interdict does not involve a final determination of these rights and does not affect their final determination. In this regard the Constitutional Court said the following:</w:t>
      </w:r>
      <w:r>
        <w:rPr>
          <w:rStyle w:val="FootnoteReference"/>
        </w:rPr>
        <w:footnoteReference w:id="8"/>
      </w:r>
      <w:r>
        <w:rPr>
          <w:rFonts w:ascii="Times New Roman" w:hAnsi="Times New Roman" w:cs="Times New Roman"/>
          <w:b/>
          <w:snapToGrid w:val="0"/>
        </w:rPr>
        <w:t xml:space="preserve"> </w:t>
      </w:r>
    </w:p>
    <w:p w14:paraId="6280012B" w14:textId="77777777" w:rsidR="00421948" w:rsidRPr="008A1D31" w:rsidRDefault="00421948" w:rsidP="008A1D31">
      <w:pPr>
        <w:spacing w:line="360" w:lineRule="auto"/>
        <w:ind w:left="720"/>
        <w:jc w:val="both"/>
        <w:rPr>
          <w:rFonts w:ascii="Times New Roman" w:hAnsi="Times New Roman" w:cs="Times New Roman"/>
          <w:i/>
          <w:snapToGrid w:val="0"/>
          <w:sz w:val="22"/>
          <w:szCs w:val="22"/>
        </w:rPr>
      </w:pPr>
      <w:r w:rsidRPr="008A1D31">
        <w:rPr>
          <w:rFonts w:ascii="Times New Roman" w:hAnsi="Times New Roman" w:cs="Times New Roman"/>
          <w:i/>
          <w:snapToGrid w:val="0"/>
          <w:sz w:val="22"/>
          <w:szCs w:val="22"/>
        </w:rPr>
        <w:t xml:space="preserve">“An interim interdict is by definition 'a court order preserving or restoring the status quo pending the final determination of the rights of the parties. It does not involve a final determination of these rights and does not affect their final determination.' The dispute in an application for an interim interdict is therefore not the same as that in the main application to which the interim interdict relates. In an application for an interim interdict the dispute is </w:t>
      </w:r>
      <w:r w:rsidRPr="008A1D31">
        <w:rPr>
          <w:rFonts w:ascii="Times New Roman" w:hAnsi="Times New Roman" w:cs="Times New Roman"/>
          <w:i/>
          <w:snapToGrid w:val="0"/>
          <w:sz w:val="22"/>
          <w:szCs w:val="22"/>
        </w:rPr>
        <w:lastRenderedPageBreak/>
        <w:t>whether, applying the relevant legal requirements, the status quo should be preserved or restored pending the decision of the main dispute. At common law, a court's jurisdiction to entertain an application for an interim interdict depends on whether it has jurisdiction to preserve or restore the status quo.”</w:t>
      </w:r>
      <w:r w:rsidRPr="008A1D31">
        <w:rPr>
          <w:rStyle w:val="FootnoteReference"/>
          <w:i/>
          <w:sz w:val="22"/>
          <w:szCs w:val="22"/>
        </w:rPr>
        <w:footnoteReference w:id="9"/>
      </w:r>
    </w:p>
    <w:p w14:paraId="63B9C109" w14:textId="77777777" w:rsidR="00421948" w:rsidRDefault="00421948" w:rsidP="008A1D31">
      <w:pPr>
        <w:spacing w:line="360" w:lineRule="auto"/>
        <w:ind w:left="720"/>
        <w:jc w:val="both"/>
        <w:rPr>
          <w:rFonts w:ascii="Times New Roman" w:hAnsi="Times New Roman" w:cs="Times New Roman"/>
          <w:snapToGrid w:val="0"/>
        </w:rPr>
      </w:pPr>
    </w:p>
    <w:p w14:paraId="1DCE2A83" w14:textId="5060ADC8" w:rsidR="00393BAE" w:rsidRPr="008A1D31" w:rsidRDefault="00421948" w:rsidP="008A1D31">
      <w:pPr>
        <w:spacing w:line="360" w:lineRule="auto"/>
        <w:jc w:val="both"/>
        <w:rPr>
          <w:rFonts w:ascii="Times New Roman" w:hAnsi="Times New Roman" w:cs="Times New Roman"/>
          <w:bCs/>
          <w:snapToGrid w:val="0"/>
        </w:rPr>
      </w:pPr>
      <w:r>
        <w:rPr>
          <w:rFonts w:ascii="Times New Roman" w:hAnsi="Times New Roman" w:cs="Times New Roman"/>
          <w:snapToGrid w:val="0"/>
        </w:rPr>
        <w:t>[</w:t>
      </w:r>
      <w:r w:rsidR="00711C8E">
        <w:rPr>
          <w:rFonts w:ascii="Times New Roman" w:hAnsi="Times New Roman" w:cs="Times New Roman"/>
          <w:snapToGrid w:val="0"/>
        </w:rPr>
        <w:t>2</w:t>
      </w:r>
      <w:r w:rsidR="00393BAE">
        <w:rPr>
          <w:rFonts w:ascii="Times New Roman" w:hAnsi="Times New Roman" w:cs="Times New Roman"/>
          <w:snapToGrid w:val="0"/>
        </w:rPr>
        <w:t>9</w:t>
      </w:r>
      <w:r>
        <w:rPr>
          <w:rFonts w:ascii="Times New Roman" w:hAnsi="Times New Roman" w:cs="Times New Roman"/>
          <w:snapToGrid w:val="0"/>
        </w:rPr>
        <w:t>]</w:t>
      </w:r>
      <w:r>
        <w:rPr>
          <w:rFonts w:ascii="Times New Roman" w:hAnsi="Times New Roman" w:cs="Times New Roman"/>
          <w:snapToGrid w:val="0"/>
        </w:rPr>
        <w:tab/>
        <w:t xml:space="preserve">The requirements for the granting of an interim interdict are the following: a </w:t>
      </w:r>
      <w:r>
        <w:rPr>
          <w:rFonts w:ascii="Times New Roman" w:hAnsi="Times New Roman" w:cs="Times New Roman"/>
          <w:i/>
          <w:snapToGrid w:val="0"/>
        </w:rPr>
        <w:t xml:space="preserve">prima facie </w:t>
      </w:r>
      <w:r>
        <w:rPr>
          <w:rFonts w:ascii="Times New Roman" w:hAnsi="Times New Roman" w:cs="Times New Roman"/>
          <w:snapToGrid w:val="0"/>
        </w:rPr>
        <w:t>right, a well-grounded apprehension of irreparable harm if the interim relief is not granted and the ultimate relief is eventually granted, that the balance of convenience favours the granting of an interim relief, and that the applicant has no other satisfactory remedy.</w:t>
      </w:r>
      <w:r>
        <w:rPr>
          <w:rStyle w:val="FootnoteReference"/>
        </w:rPr>
        <w:footnoteReference w:id="10"/>
      </w:r>
      <w:r>
        <w:rPr>
          <w:rFonts w:ascii="Times New Roman" w:hAnsi="Times New Roman" w:cs="Times New Roman"/>
          <w:b/>
          <w:snapToGrid w:val="0"/>
        </w:rPr>
        <w:t xml:space="preserve"> </w:t>
      </w:r>
      <w:r w:rsidRPr="00C52E8F">
        <w:rPr>
          <w:rFonts w:ascii="Times New Roman" w:hAnsi="Times New Roman" w:cs="Times New Roman"/>
          <w:bCs/>
          <w:snapToGrid w:val="0"/>
        </w:rPr>
        <w:t>In this regard Holmes JA</w:t>
      </w:r>
      <w:r w:rsidRPr="00C52E8F">
        <w:rPr>
          <w:rStyle w:val="FootnoteReference"/>
          <w:bCs/>
        </w:rPr>
        <w:footnoteReference w:id="11"/>
      </w:r>
      <w:r w:rsidRPr="00C52E8F">
        <w:rPr>
          <w:rFonts w:ascii="Times New Roman" w:hAnsi="Times New Roman" w:cs="Times New Roman"/>
          <w:bCs/>
          <w:snapToGrid w:val="0"/>
        </w:rPr>
        <w:t xml:space="preserve"> said the following:</w:t>
      </w:r>
    </w:p>
    <w:p w14:paraId="6F727869" w14:textId="77777777" w:rsidR="00421948" w:rsidRPr="008A1D31" w:rsidRDefault="00421948" w:rsidP="008A1D31">
      <w:pPr>
        <w:spacing w:line="360" w:lineRule="auto"/>
        <w:ind w:left="720"/>
        <w:jc w:val="both"/>
        <w:rPr>
          <w:rFonts w:ascii="Times New Roman" w:hAnsi="Times New Roman" w:cs="Times New Roman"/>
          <w:b/>
          <w:i/>
          <w:iCs/>
          <w:snapToGrid w:val="0"/>
          <w:sz w:val="22"/>
          <w:szCs w:val="22"/>
        </w:rPr>
      </w:pPr>
      <w:r w:rsidRPr="008A1D31">
        <w:rPr>
          <w:rFonts w:ascii="Times New Roman" w:hAnsi="Times New Roman" w:cs="Times New Roman"/>
          <w:b/>
          <w:i/>
          <w:iCs/>
          <w:snapToGrid w:val="0"/>
          <w:sz w:val="22"/>
          <w:szCs w:val="22"/>
        </w:rPr>
        <w:t>“</w:t>
      </w:r>
      <w:r w:rsidRPr="008A1D31">
        <w:rPr>
          <w:rFonts w:ascii="Times New Roman" w:hAnsi="Times New Roman" w:cs="Times New Roman"/>
          <w:i/>
          <w:iCs/>
          <w:snapToGrid w:val="0"/>
          <w:sz w:val="22"/>
          <w:szCs w:val="22"/>
        </w:rPr>
        <w:t>The granting of an interim interdict pending an action is an extraordinary remedy within the discretion of the Court. Where the right which it is sought to protect is not clear, the Court's approach in the matter of an interim interdict was lucidly laid down by INNES, J.A., in Setlogelo v Setlogelo, 1914 AD 221 at p. 227. In general the requisites are –</w:t>
      </w:r>
    </w:p>
    <w:p w14:paraId="15824211" w14:textId="77777777" w:rsidR="00421948" w:rsidRPr="008A1D31" w:rsidRDefault="00421948" w:rsidP="008A1D31">
      <w:pPr>
        <w:spacing w:line="360" w:lineRule="auto"/>
        <w:ind w:left="1440" w:hanging="720"/>
        <w:jc w:val="both"/>
        <w:rPr>
          <w:rFonts w:ascii="Times New Roman" w:hAnsi="Times New Roman" w:cs="Times New Roman"/>
          <w:b/>
          <w:i/>
          <w:iCs/>
          <w:snapToGrid w:val="0"/>
          <w:sz w:val="22"/>
          <w:szCs w:val="22"/>
        </w:rPr>
      </w:pPr>
      <w:r w:rsidRPr="008A1D31">
        <w:rPr>
          <w:rFonts w:ascii="Times New Roman" w:hAnsi="Times New Roman" w:cs="Times New Roman"/>
          <w:i/>
          <w:iCs/>
          <w:snapToGrid w:val="0"/>
          <w:sz w:val="22"/>
          <w:szCs w:val="22"/>
        </w:rPr>
        <w:t>(a)</w:t>
      </w:r>
      <w:r w:rsidRPr="008A1D31">
        <w:rPr>
          <w:rFonts w:ascii="Times New Roman" w:hAnsi="Times New Roman" w:cs="Times New Roman"/>
          <w:i/>
          <w:iCs/>
          <w:snapToGrid w:val="0"/>
          <w:sz w:val="22"/>
          <w:szCs w:val="22"/>
        </w:rPr>
        <w:tab/>
        <w:t>a right which, 'though prima facie established, is open to some doubt';</w:t>
      </w:r>
    </w:p>
    <w:p w14:paraId="412D4BA2" w14:textId="7507DCF2" w:rsidR="00421948" w:rsidRPr="008A1D31" w:rsidRDefault="00421948" w:rsidP="008A1D31">
      <w:pPr>
        <w:spacing w:line="360" w:lineRule="auto"/>
        <w:ind w:left="1440" w:hanging="720"/>
        <w:jc w:val="both"/>
        <w:rPr>
          <w:rFonts w:ascii="Times New Roman" w:hAnsi="Times New Roman" w:cs="Times New Roman"/>
          <w:b/>
          <w:i/>
          <w:iCs/>
          <w:snapToGrid w:val="0"/>
          <w:sz w:val="22"/>
          <w:szCs w:val="22"/>
        </w:rPr>
      </w:pPr>
      <w:r w:rsidRPr="008A1D31">
        <w:rPr>
          <w:rFonts w:ascii="Times New Roman" w:hAnsi="Times New Roman" w:cs="Times New Roman"/>
          <w:i/>
          <w:iCs/>
          <w:snapToGrid w:val="0"/>
          <w:sz w:val="22"/>
          <w:szCs w:val="22"/>
        </w:rPr>
        <w:t>(b)</w:t>
      </w:r>
      <w:r w:rsidRPr="008A1D31">
        <w:rPr>
          <w:rFonts w:ascii="Times New Roman" w:hAnsi="Times New Roman" w:cs="Times New Roman"/>
          <w:i/>
          <w:iCs/>
          <w:snapToGrid w:val="0"/>
          <w:sz w:val="22"/>
          <w:szCs w:val="22"/>
        </w:rPr>
        <w:tab/>
        <w:t xml:space="preserve">a </w:t>
      </w:r>
      <w:r w:rsidR="0047758D" w:rsidRPr="008A1D31">
        <w:rPr>
          <w:rFonts w:ascii="Times New Roman" w:hAnsi="Times New Roman" w:cs="Times New Roman"/>
          <w:i/>
          <w:iCs/>
          <w:snapToGrid w:val="0"/>
          <w:sz w:val="22"/>
          <w:szCs w:val="22"/>
        </w:rPr>
        <w:t>well-grounded</w:t>
      </w:r>
      <w:r w:rsidRPr="008A1D31">
        <w:rPr>
          <w:rFonts w:ascii="Times New Roman" w:hAnsi="Times New Roman" w:cs="Times New Roman"/>
          <w:i/>
          <w:iCs/>
          <w:snapToGrid w:val="0"/>
          <w:sz w:val="22"/>
          <w:szCs w:val="22"/>
        </w:rPr>
        <w:t xml:space="preserve"> apprehension of irreparable injury;</w:t>
      </w:r>
    </w:p>
    <w:p w14:paraId="01BB6E4E" w14:textId="77777777" w:rsidR="00421948" w:rsidRPr="008A1D31" w:rsidRDefault="00421948" w:rsidP="008A1D31">
      <w:pPr>
        <w:spacing w:line="360" w:lineRule="auto"/>
        <w:ind w:left="720"/>
        <w:jc w:val="both"/>
        <w:rPr>
          <w:rFonts w:ascii="Times New Roman" w:hAnsi="Times New Roman" w:cs="Times New Roman"/>
          <w:b/>
          <w:i/>
          <w:iCs/>
          <w:snapToGrid w:val="0"/>
          <w:sz w:val="22"/>
          <w:szCs w:val="22"/>
        </w:rPr>
      </w:pPr>
      <w:r w:rsidRPr="008A1D31">
        <w:rPr>
          <w:rFonts w:ascii="Times New Roman" w:hAnsi="Times New Roman" w:cs="Times New Roman"/>
          <w:i/>
          <w:iCs/>
          <w:snapToGrid w:val="0"/>
          <w:sz w:val="22"/>
          <w:szCs w:val="22"/>
        </w:rPr>
        <w:t>(c)</w:t>
      </w:r>
      <w:r w:rsidRPr="008A1D31">
        <w:rPr>
          <w:rFonts w:ascii="Times New Roman" w:hAnsi="Times New Roman" w:cs="Times New Roman"/>
          <w:i/>
          <w:iCs/>
          <w:snapToGrid w:val="0"/>
          <w:sz w:val="22"/>
          <w:szCs w:val="22"/>
        </w:rPr>
        <w:tab/>
        <w:t>the absence of ordinary remedy.</w:t>
      </w:r>
    </w:p>
    <w:p w14:paraId="0E8361C2" w14:textId="77777777" w:rsidR="00421948" w:rsidRPr="008A1D31" w:rsidRDefault="00421948" w:rsidP="008A1D31">
      <w:pPr>
        <w:spacing w:line="360" w:lineRule="auto"/>
        <w:ind w:left="720"/>
        <w:jc w:val="both"/>
        <w:rPr>
          <w:rFonts w:ascii="Times New Roman" w:hAnsi="Times New Roman" w:cs="Times New Roman"/>
          <w:i/>
          <w:iCs/>
          <w:snapToGrid w:val="0"/>
          <w:sz w:val="22"/>
          <w:szCs w:val="22"/>
        </w:rPr>
      </w:pPr>
      <w:r w:rsidRPr="008A1D31">
        <w:rPr>
          <w:rFonts w:ascii="Times New Roman" w:hAnsi="Times New Roman" w:cs="Times New Roman"/>
          <w:i/>
          <w:iCs/>
          <w:snapToGrid w:val="0"/>
          <w:sz w:val="22"/>
          <w:szCs w:val="22"/>
        </w:rPr>
        <w:t xml:space="preserve">In exercising its discretion the Court weighs, inter alia, the prejudice to the applicant, if the interdict is withheld, against the prejudice to the respondent if it is granted. This is sometimes called the balance of convenience. 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 see Olympic Passenger Service (Pty.) Ltd. v Ramlagan, 1957 (2) SA 382 (D) at p. 383D - G. Viewed in that light, the reference to a right which, 'though prima facie established, is open to some doubt' is apt, flexible and practical, and needs no further elaboration.” </w:t>
      </w:r>
    </w:p>
    <w:p w14:paraId="614A0487" w14:textId="77777777" w:rsidR="00421948" w:rsidRDefault="00421948" w:rsidP="008A1D31">
      <w:pPr>
        <w:spacing w:line="360" w:lineRule="auto"/>
        <w:jc w:val="both"/>
        <w:rPr>
          <w:rFonts w:ascii="Times New Roman" w:hAnsi="Times New Roman" w:cs="Times New Roman"/>
          <w:snapToGrid w:val="0"/>
        </w:rPr>
      </w:pPr>
    </w:p>
    <w:p w14:paraId="6F9C9099" w14:textId="40EA4996" w:rsidR="00421948" w:rsidRPr="00480D6E" w:rsidRDefault="00421948" w:rsidP="008A1D31">
      <w:pPr>
        <w:spacing w:line="360" w:lineRule="auto"/>
        <w:jc w:val="both"/>
        <w:rPr>
          <w:rFonts w:ascii="Times New Roman" w:hAnsi="Times New Roman" w:cs="Times New Roman"/>
          <w:iCs/>
          <w:snapToGrid w:val="0"/>
          <w:sz w:val="22"/>
          <w:szCs w:val="22"/>
        </w:rPr>
      </w:pPr>
      <w:r>
        <w:rPr>
          <w:rFonts w:ascii="Times New Roman" w:hAnsi="Times New Roman" w:cs="Times New Roman"/>
          <w:snapToGrid w:val="0"/>
        </w:rPr>
        <w:t>[</w:t>
      </w:r>
      <w:r w:rsidR="00393BAE">
        <w:rPr>
          <w:rFonts w:ascii="Times New Roman" w:hAnsi="Times New Roman" w:cs="Times New Roman"/>
          <w:snapToGrid w:val="0"/>
        </w:rPr>
        <w:t>30</w:t>
      </w:r>
      <w:r w:rsidR="0047758D">
        <w:rPr>
          <w:rFonts w:ascii="Times New Roman" w:hAnsi="Times New Roman" w:cs="Times New Roman"/>
          <w:snapToGrid w:val="0"/>
        </w:rPr>
        <w:t>]</w:t>
      </w:r>
      <w:r>
        <w:rPr>
          <w:rFonts w:ascii="Times New Roman" w:hAnsi="Times New Roman" w:cs="Times New Roman"/>
          <w:snapToGrid w:val="0"/>
        </w:rPr>
        <w:tab/>
        <w:t xml:space="preserve">Where the right is clear </w:t>
      </w:r>
      <w:r w:rsidRPr="00480D6E">
        <w:rPr>
          <w:rFonts w:ascii="Times New Roman" w:hAnsi="Times New Roman" w:cs="Times New Roman"/>
          <w:iCs/>
          <w:snapToGrid w:val="0"/>
          <w:sz w:val="22"/>
          <w:szCs w:val="22"/>
        </w:rPr>
        <w:t>“… the remaining questions are whether the applicant has also shown:</w:t>
      </w:r>
    </w:p>
    <w:p w14:paraId="64642A73" w14:textId="77777777" w:rsidR="00421948" w:rsidRPr="00480D6E" w:rsidRDefault="00421948" w:rsidP="008A1D31">
      <w:pPr>
        <w:spacing w:line="360" w:lineRule="auto"/>
        <w:ind w:left="720" w:hanging="720"/>
        <w:jc w:val="both"/>
        <w:rPr>
          <w:rFonts w:ascii="Times New Roman" w:hAnsi="Times New Roman" w:cs="Times New Roman"/>
          <w:b/>
          <w:iCs/>
          <w:snapToGrid w:val="0"/>
          <w:sz w:val="22"/>
          <w:szCs w:val="22"/>
        </w:rPr>
      </w:pPr>
      <w:r w:rsidRPr="00480D6E">
        <w:rPr>
          <w:rFonts w:ascii="Times New Roman" w:hAnsi="Times New Roman" w:cs="Times New Roman"/>
          <w:iCs/>
          <w:snapToGrid w:val="0"/>
          <w:sz w:val="22"/>
          <w:szCs w:val="22"/>
        </w:rPr>
        <w:tab/>
        <w:t>(a)</w:t>
      </w:r>
      <w:r w:rsidRPr="00480D6E">
        <w:rPr>
          <w:rFonts w:ascii="Times New Roman" w:hAnsi="Times New Roman" w:cs="Times New Roman"/>
          <w:iCs/>
          <w:snapToGrid w:val="0"/>
          <w:sz w:val="22"/>
          <w:szCs w:val="22"/>
        </w:rPr>
        <w:tab/>
        <w:t>an infringement of his right by the respondent; or a well-grounded apprehension of such an infringement;</w:t>
      </w:r>
    </w:p>
    <w:p w14:paraId="71BD7B21" w14:textId="77777777" w:rsidR="00421948" w:rsidRPr="00480D6E" w:rsidRDefault="00421948" w:rsidP="008A1D31">
      <w:pPr>
        <w:spacing w:line="360" w:lineRule="auto"/>
        <w:ind w:left="720" w:hanging="720"/>
        <w:jc w:val="both"/>
        <w:rPr>
          <w:rFonts w:ascii="Times New Roman" w:hAnsi="Times New Roman" w:cs="Times New Roman"/>
          <w:b/>
          <w:iCs/>
          <w:snapToGrid w:val="0"/>
          <w:sz w:val="22"/>
          <w:szCs w:val="22"/>
        </w:rPr>
      </w:pPr>
      <w:r w:rsidRPr="00480D6E">
        <w:rPr>
          <w:rFonts w:ascii="Times New Roman" w:hAnsi="Times New Roman" w:cs="Times New Roman"/>
          <w:iCs/>
          <w:snapToGrid w:val="0"/>
          <w:sz w:val="22"/>
          <w:szCs w:val="22"/>
        </w:rPr>
        <w:lastRenderedPageBreak/>
        <w:tab/>
        <w:t>(b)</w:t>
      </w:r>
      <w:r w:rsidRPr="00480D6E">
        <w:rPr>
          <w:rFonts w:ascii="Times New Roman" w:hAnsi="Times New Roman" w:cs="Times New Roman"/>
          <w:iCs/>
          <w:snapToGrid w:val="0"/>
          <w:sz w:val="22"/>
          <w:szCs w:val="22"/>
        </w:rPr>
        <w:tab/>
        <w:t>the absence of any other satisfactory remedy;</w:t>
      </w:r>
    </w:p>
    <w:p w14:paraId="0D299CC6" w14:textId="5A2EBF8A" w:rsidR="00421948" w:rsidRDefault="00421948" w:rsidP="008A1D31">
      <w:pPr>
        <w:spacing w:line="360" w:lineRule="auto"/>
        <w:ind w:left="720"/>
        <w:jc w:val="both"/>
        <w:rPr>
          <w:rFonts w:ascii="Times New Roman" w:hAnsi="Times New Roman" w:cs="Times New Roman"/>
          <w:b/>
          <w:i/>
          <w:snapToGrid w:val="0"/>
          <w:sz w:val="22"/>
          <w:szCs w:val="22"/>
        </w:rPr>
      </w:pPr>
      <w:r w:rsidRPr="00480D6E">
        <w:rPr>
          <w:rFonts w:ascii="Times New Roman" w:hAnsi="Times New Roman" w:cs="Times New Roman"/>
          <w:iCs/>
          <w:snapToGrid w:val="0"/>
          <w:sz w:val="22"/>
          <w:szCs w:val="22"/>
        </w:rPr>
        <w:t>(c)</w:t>
      </w:r>
      <w:r w:rsidRPr="00480D6E">
        <w:rPr>
          <w:rFonts w:ascii="Times New Roman" w:hAnsi="Times New Roman" w:cs="Times New Roman"/>
          <w:iCs/>
          <w:snapToGrid w:val="0"/>
          <w:sz w:val="22"/>
          <w:szCs w:val="22"/>
        </w:rPr>
        <w:tab/>
        <w:t>that the balance of convenience favours the granting of an interlocutory interdict.”</w:t>
      </w:r>
      <w:r w:rsidRPr="00480D6E">
        <w:rPr>
          <w:rStyle w:val="FootnoteReference"/>
          <w:iCs/>
          <w:sz w:val="22"/>
          <w:szCs w:val="22"/>
        </w:rPr>
        <w:footnoteReference w:id="12"/>
      </w:r>
      <w:r w:rsidRPr="00480D6E">
        <w:rPr>
          <w:rFonts w:ascii="Times New Roman" w:hAnsi="Times New Roman" w:cs="Times New Roman"/>
          <w:b/>
          <w:i/>
          <w:snapToGrid w:val="0"/>
          <w:sz w:val="22"/>
          <w:szCs w:val="22"/>
        </w:rPr>
        <w:t xml:space="preserve"> </w:t>
      </w:r>
    </w:p>
    <w:p w14:paraId="4E7700C7" w14:textId="77777777" w:rsidR="008A1D31" w:rsidRPr="00480D6E" w:rsidRDefault="008A1D31" w:rsidP="008A1D31">
      <w:pPr>
        <w:spacing w:line="360" w:lineRule="auto"/>
        <w:ind w:left="720"/>
        <w:jc w:val="both"/>
        <w:rPr>
          <w:rFonts w:ascii="Times New Roman" w:hAnsi="Times New Roman" w:cs="Times New Roman"/>
          <w:snapToGrid w:val="0"/>
          <w:sz w:val="22"/>
          <w:szCs w:val="22"/>
        </w:rPr>
      </w:pPr>
    </w:p>
    <w:p w14:paraId="1F2983EC" w14:textId="6981A894" w:rsidR="002949D9" w:rsidRPr="008A1D31" w:rsidRDefault="00421948" w:rsidP="008A1D31">
      <w:pPr>
        <w:kinsoku w:val="0"/>
        <w:overflowPunct w:val="0"/>
        <w:spacing w:line="360" w:lineRule="auto"/>
        <w:ind w:right="23"/>
        <w:jc w:val="both"/>
        <w:rPr>
          <w:rFonts w:ascii="Times New Roman" w:hAnsi="Times New Roman" w:cs="Times New Roman"/>
          <w:color w:val="000000"/>
        </w:rPr>
      </w:pPr>
      <w:r>
        <w:rPr>
          <w:rFonts w:ascii="Times New Roman" w:hAnsi="Times New Roman" w:cs="Times New Roman"/>
          <w:snapToGrid w:val="0"/>
        </w:rPr>
        <w:t>[</w:t>
      </w:r>
      <w:r w:rsidR="00393BAE">
        <w:rPr>
          <w:rFonts w:ascii="Times New Roman" w:hAnsi="Times New Roman" w:cs="Times New Roman"/>
          <w:snapToGrid w:val="0"/>
        </w:rPr>
        <w:t>31</w:t>
      </w:r>
      <w:r>
        <w:rPr>
          <w:rFonts w:ascii="Times New Roman" w:hAnsi="Times New Roman" w:cs="Times New Roman"/>
          <w:snapToGrid w:val="0"/>
        </w:rPr>
        <w:t xml:space="preserve">] </w:t>
      </w:r>
      <w:r>
        <w:rPr>
          <w:rFonts w:ascii="Times New Roman" w:hAnsi="Times New Roman" w:cs="Times New Roman"/>
          <w:snapToGrid w:val="0"/>
        </w:rPr>
        <w:tab/>
        <w:t xml:space="preserve">In this case the </w:t>
      </w:r>
      <w:r w:rsidR="00480D6E">
        <w:rPr>
          <w:rFonts w:ascii="Times New Roman" w:hAnsi="Times New Roman" w:cs="Times New Roman"/>
          <w:snapToGrid w:val="0"/>
        </w:rPr>
        <w:t>A</w:t>
      </w:r>
      <w:r>
        <w:rPr>
          <w:rFonts w:ascii="Times New Roman" w:hAnsi="Times New Roman" w:cs="Times New Roman"/>
          <w:snapToGrid w:val="0"/>
        </w:rPr>
        <w:t>pplicant seek</w:t>
      </w:r>
      <w:r w:rsidR="00393BAE">
        <w:rPr>
          <w:rFonts w:ascii="Times New Roman" w:hAnsi="Times New Roman" w:cs="Times New Roman"/>
          <w:snapToGrid w:val="0"/>
        </w:rPr>
        <w:t>s</w:t>
      </w:r>
      <w:r>
        <w:rPr>
          <w:rFonts w:ascii="Times New Roman" w:hAnsi="Times New Roman" w:cs="Times New Roman"/>
          <w:snapToGrid w:val="0"/>
        </w:rPr>
        <w:t xml:space="preserve"> a</w:t>
      </w:r>
      <w:r w:rsidR="002949D9">
        <w:rPr>
          <w:rFonts w:ascii="Times New Roman" w:hAnsi="Times New Roman" w:cs="Times New Roman"/>
          <w:snapToGrid w:val="0"/>
        </w:rPr>
        <w:t xml:space="preserve">n interdict suspending </w:t>
      </w:r>
      <w:r w:rsidR="002949D9">
        <w:rPr>
          <w:rFonts w:ascii="Times New Roman" w:hAnsi="Times New Roman" w:cs="Times New Roman"/>
          <w:color w:val="000000"/>
        </w:rPr>
        <w:t>the legal consequences of the respondent’s alleged unlawful termination of two contracts entered into between the parties</w:t>
      </w:r>
      <w:r>
        <w:rPr>
          <w:rFonts w:ascii="Times New Roman" w:hAnsi="Times New Roman" w:cs="Times New Roman"/>
          <w:snapToGrid w:val="0"/>
        </w:rPr>
        <w:t xml:space="preserve">.. The question therefore is whether </w:t>
      </w:r>
      <w:r w:rsidR="00504D70">
        <w:rPr>
          <w:rFonts w:ascii="Times New Roman" w:hAnsi="Times New Roman" w:cs="Times New Roman"/>
          <w:snapToGrid w:val="0"/>
        </w:rPr>
        <w:t xml:space="preserve">the </w:t>
      </w:r>
      <w:r w:rsidR="002949D9">
        <w:rPr>
          <w:rFonts w:ascii="Times New Roman" w:hAnsi="Times New Roman" w:cs="Times New Roman"/>
          <w:snapToGrid w:val="0"/>
        </w:rPr>
        <w:t>a</w:t>
      </w:r>
      <w:r w:rsidR="00504D70">
        <w:rPr>
          <w:rFonts w:ascii="Times New Roman" w:hAnsi="Times New Roman" w:cs="Times New Roman"/>
          <w:snapToGrid w:val="0"/>
        </w:rPr>
        <w:t>pplicant</w:t>
      </w:r>
      <w:r>
        <w:rPr>
          <w:rFonts w:ascii="Times New Roman" w:hAnsi="Times New Roman" w:cs="Times New Roman"/>
          <w:snapToGrid w:val="0"/>
        </w:rPr>
        <w:t xml:space="preserve"> ha</w:t>
      </w:r>
      <w:r w:rsidR="002949D9">
        <w:rPr>
          <w:rFonts w:ascii="Times New Roman" w:hAnsi="Times New Roman" w:cs="Times New Roman"/>
          <w:snapToGrid w:val="0"/>
        </w:rPr>
        <w:t>s</w:t>
      </w:r>
      <w:r>
        <w:rPr>
          <w:rFonts w:ascii="Times New Roman" w:hAnsi="Times New Roman" w:cs="Times New Roman"/>
          <w:snapToGrid w:val="0"/>
        </w:rPr>
        <w:t xml:space="preserve"> established a </w:t>
      </w:r>
      <w:r w:rsidRPr="00792D28">
        <w:rPr>
          <w:rFonts w:ascii="Times New Roman" w:hAnsi="Times New Roman" w:cs="Times New Roman"/>
          <w:i/>
          <w:snapToGrid w:val="0"/>
        </w:rPr>
        <w:t>prima facie</w:t>
      </w:r>
      <w:r>
        <w:rPr>
          <w:rFonts w:ascii="Times New Roman" w:hAnsi="Times New Roman" w:cs="Times New Roman"/>
          <w:snapToGrid w:val="0"/>
        </w:rPr>
        <w:t xml:space="preserve"> right. The approach to be adopted in considering whether an applicant has established a </w:t>
      </w:r>
      <w:r w:rsidRPr="00792D28">
        <w:rPr>
          <w:rFonts w:ascii="Times New Roman" w:hAnsi="Times New Roman" w:cs="Times New Roman"/>
          <w:i/>
          <w:snapToGrid w:val="0"/>
        </w:rPr>
        <w:t>prima facie</w:t>
      </w:r>
      <w:r>
        <w:rPr>
          <w:rFonts w:ascii="Times New Roman" w:hAnsi="Times New Roman" w:cs="Times New Roman"/>
          <w:snapToGrid w:val="0"/>
        </w:rPr>
        <w:t xml:space="preserve"> right has been stated to be the following:</w:t>
      </w:r>
      <w:r>
        <w:rPr>
          <w:rStyle w:val="FootnoteReference"/>
        </w:rPr>
        <w:footnoteReference w:id="13"/>
      </w:r>
    </w:p>
    <w:p w14:paraId="483E8ADE" w14:textId="469C18D6" w:rsidR="0047758D" w:rsidRDefault="00421948" w:rsidP="008A1D31">
      <w:pPr>
        <w:spacing w:line="360" w:lineRule="auto"/>
        <w:ind w:left="720"/>
        <w:jc w:val="both"/>
        <w:rPr>
          <w:rFonts w:ascii="Times New Roman" w:hAnsi="Times New Roman" w:cs="Times New Roman"/>
          <w:b/>
          <w:i/>
          <w:snapToGrid w:val="0"/>
          <w:sz w:val="22"/>
          <w:szCs w:val="22"/>
        </w:rPr>
      </w:pPr>
      <w:r w:rsidRPr="008A1D31">
        <w:rPr>
          <w:rFonts w:ascii="Times New Roman" w:hAnsi="Times New Roman" w:cs="Times New Roman"/>
          <w:i/>
          <w:sz w:val="22"/>
          <w:szCs w:val="22"/>
        </w:rPr>
        <w:t>“The accepted test for a prima facie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w:t>
      </w:r>
      <w:r w:rsidRPr="008A1D31">
        <w:rPr>
          <w:rStyle w:val="FootnoteReference"/>
          <w:i/>
          <w:sz w:val="22"/>
          <w:szCs w:val="22"/>
        </w:rPr>
        <w:footnoteReference w:id="14"/>
      </w:r>
      <w:r w:rsidRPr="008A1D31">
        <w:rPr>
          <w:rFonts w:ascii="Times New Roman" w:hAnsi="Times New Roman" w:cs="Times New Roman"/>
          <w:b/>
          <w:i/>
          <w:snapToGrid w:val="0"/>
          <w:sz w:val="22"/>
          <w:szCs w:val="22"/>
        </w:rPr>
        <w:t xml:space="preserve"> </w:t>
      </w:r>
    </w:p>
    <w:p w14:paraId="6D71ACCC" w14:textId="77777777" w:rsidR="008A1D31" w:rsidRPr="008A1D31" w:rsidRDefault="008A1D31" w:rsidP="008A1D31">
      <w:pPr>
        <w:spacing w:line="360" w:lineRule="auto"/>
        <w:ind w:left="720"/>
        <w:jc w:val="both"/>
        <w:rPr>
          <w:rFonts w:ascii="Times New Roman" w:hAnsi="Times New Roman" w:cs="Times New Roman"/>
          <w:i/>
          <w:sz w:val="22"/>
          <w:szCs w:val="22"/>
        </w:rPr>
      </w:pPr>
    </w:p>
    <w:p w14:paraId="1F4950C3" w14:textId="5C4AF031" w:rsidR="00421948" w:rsidRDefault="00421948" w:rsidP="008A1D31">
      <w:pPr>
        <w:spacing w:line="360" w:lineRule="auto"/>
        <w:jc w:val="both"/>
        <w:rPr>
          <w:rFonts w:ascii="Times New Roman" w:hAnsi="Times New Roman" w:cs="Times New Roman"/>
          <w:b/>
          <w:snapToGrid w:val="0"/>
          <w:u w:val="single"/>
        </w:rPr>
      </w:pPr>
      <w:r>
        <w:rPr>
          <w:rFonts w:ascii="Times New Roman" w:hAnsi="Times New Roman" w:cs="Times New Roman"/>
          <w:b/>
          <w:snapToGrid w:val="0"/>
          <w:u w:val="single"/>
        </w:rPr>
        <w:t xml:space="preserve">Analysis and findings </w:t>
      </w:r>
    </w:p>
    <w:p w14:paraId="41ED7007" w14:textId="77777777" w:rsidR="008A1D31" w:rsidRDefault="008A1D31" w:rsidP="008A1D31">
      <w:pPr>
        <w:spacing w:line="360" w:lineRule="auto"/>
        <w:jc w:val="both"/>
        <w:rPr>
          <w:rFonts w:ascii="Times New Roman" w:hAnsi="Times New Roman" w:cs="Times New Roman"/>
          <w:b/>
          <w:snapToGrid w:val="0"/>
          <w:u w:val="single"/>
        </w:rPr>
      </w:pPr>
    </w:p>
    <w:p w14:paraId="31BBD9D7" w14:textId="00ABFEF3" w:rsidR="00FD5D95" w:rsidRDefault="00421948" w:rsidP="008A1D31">
      <w:pPr>
        <w:spacing w:line="360" w:lineRule="auto"/>
        <w:ind w:left="57"/>
        <w:jc w:val="both"/>
        <w:rPr>
          <w:rFonts w:ascii="Times New Roman" w:hAnsi="Times New Roman" w:cs="Times New Roman"/>
          <w:snapToGrid w:val="0"/>
        </w:rPr>
      </w:pPr>
      <w:r>
        <w:rPr>
          <w:rFonts w:ascii="Times New Roman" w:hAnsi="Times New Roman" w:cs="Times New Roman"/>
          <w:snapToGrid w:val="0"/>
        </w:rPr>
        <w:t>[</w:t>
      </w:r>
      <w:r w:rsidR="00393BAE">
        <w:rPr>
          <w:rFonts w:ascii="Times New Roman" w:hAnsi="Times New Roman" w:cs="Times New Roman"/>
          <w:snapToGrid w:val="0"/>
        </w:rPr>
        <w:t>32</w:t>
      </w:r>
      <w:r>
        <w:rPr>
          <w:rFonts w:ascii="Times New Roman" w:hAnsi="Times New Roman" w:cs="Times New Roman"/>
          <w:snapToGrid w:val="0"/>
        </w:rPr>
        <w:t xml:space="preserve">] </w:t>
      </w:r>
      <w:r>
        <w:rPr>
          <w:rFonts w:ascii="Times New Roman" w:hAnsi="Times New Roman" w:cs="Times New Roman"/>
          <w:snapToGrid w:val="0"/>
        </w:rPr>
        <w:tab/>
        <w:t xml:space="preserve">It is common cause that the </w:t>
      </w:r>
      <w:r w:rsidR="002949D9">
        <w:rPr>
          <w:rFonts w:ascii="Times New Roman" w:hAnsi="Times New Roman" w:cs="Times New Roman"/>
          <w:snapToGrid w:val="0"/>
        </w:rPr>
        <w:t>r</w:t>
      </w:r>
      <w:r>
        <w:rPr>
          <w:rFonts w:ascii="Times New Roman" w:hAnsi="Times New Roman" w:cs="Times New Roman"/>
          <w:snapToGrid w:val="0"/>
        </w:rPr>
        <w:t>espondent</w:t>
      </w:r>
      <w:r w:rsidR="002949D9">
        <w:rPr>
          <w:rFonts w:ascii="Times New Roman" w:hAnsi="Times New Roman" w:cs="Times New Roman"/>
          <w:snapToGrid w:val="0"/>
        </w:rPr>
        <w:t xml:space="preserve"> ha</w:t>
      </w:r>
      <w:r w:rsidR="00C52E8F">
        <w:rPr>
          <w:rFonts w:ascii="Times New Roman" w:hAnsi="Times New Roman" w:cs="Times New Roman"/>
          <w:snapToGrid w:val="0"/>
        </w:rPr>
        <w:t>s</w:t>
      </w:r>
      <w:r w:rsidR="002949D9">
        <w:rPr>
          <w:rFonts w:ascii="Times New Roman" w:hAnsi="Times New Roman" w:cs="Times New Roman"/>
          <w:snapToGrid w:val="0"/>
        </w:rPr>
        <w:t xml:space="preserve"> </w:t>
      </w:r>
      <w:r w:rsidR="002E7296">
        <w:rPr>
          <w:rFonts w:ascii="Times New Roman" w:hAnsi="Times New Roman" w:cs="Times New Roman"/>
          <w:snapToGrid w:val="0"/>
        </w:rPr>
        <w:t>notified</w:t>
      </w:r>
      <w:r w:rsidR="002949D9">
        <w:rPr>
          <w:rFonts w:ascii="Times New Roman" w:hAnsi="Times New Roman" w:cs="Times New Roman"/>
          <w:snapToGrid w:val="0"/>
        </w:rPr>
        <w:t xml:space="preserve"> the applicant of its intention to ban the applicant from future contracts with the respondent and that this also </w:t>
      </w:r>
      <w:r w:rsidR="002E7296">
        <w:rPr>
          <w:rFonts w:ascii="Times New Roman" w:hAnsi="Times New Roman" w:cs="Times New Roman"/>
          <w:snapToGrid w:val="0"/>
        </w:rPr>
        <w:t>prejudices</w:t>
      </w:r>
      <w:r w:rsidR="002949D9">
        <w:rPr>
          <w:rFonts w:ascii="Times New Roman" w:hAnsi="Times New Roman" w:cs="Times New Roman"/>
          <w:snapToGrid w:val="0"/>
        </w:rPr>
        <w:t xml:space="preserve"> the applicant from applying for other potential tenders</w:t>
      </w:r>
      <w:r w:rsidR="002E7296">
        <w:rPr>
          <w:rFonts w:ascii="Times New Roman" w:hAnsi="Times New Roman" w:cs="Times New Roman"/>
          <w:snapToGrid w:val="0"/>
        </w:rPr>
        <w:t xml:space="preserve"> in terms of the reporting to the CIDB and National Treasury</w:t>
      </w:r>
      <w:r w:rsidR="002949D9">
        <w:rPr>
          <w:rFonts w:ascii="Times New Roman" w:hAnsi="Times New Roman" w:cs="Times New Roman"/>
          <w:snapToGrid w:val="0"/>
        </w:rPr>
        <w:t xml:space="preserve">. This will </w:t>
      </w:r>
      <w:r>
        <w:rPr>
          <w:rFonts w:ascii="Times New Roman" w:hAnsi="Times New Roman" w:cs="Times New Roman"/>
          <w:snapToGrid w:val="0"/>
        </w:rPr>
        <w:t xml:space="preserve">directly </w:t>
      </w:r>
      <w:r w:rsidR="00047397">
        <w:rPr>
          <w:rFonts w:ascii="Times New Roman" w:hAnsi="Times New Roman" w:cs="Times New Roman"/>
          <w:snapToGrid w:val="0"/>
        </w:rPr>
        <w:t xml:space="preserve">and adversely </w:t>
      </w:r>
      <w:r>
        <w:rPr>
          <w:rFonts w:ascii="Times New Roman" w:hAnsi="Times New Roman" w:cs="Times New Roman"/>
          <w:snapToGrid w:val="0"/>
        </w:rPr>
        <w:t xml:space="preserve">affects the </w:t>
      </w:r>
      <w:r w:rsidR="002949D9">
        <w:rPr>
          <w:rFonts w:ascii="Times New Roman" w:hAnsi="Times New Roman" w:cs="Times New Roman"/>
          <w:snapToGrid w:val="0"/>
        </w:rPr>
        <w:t>a</w:t>
      </w:r>
      <w:r>
        <w:rPr>
          <w:rFonts w:ascii="Times New Roman" w:hAnsi="Times New Roman" w:cs="Times New Roman"/>
          <w:snapToGrid w:val="0"/>
        </w:rPr>
        <w:t>pplicant’s  rights</w:t>
      </w:r>
      <w:r w:rsidR="002949D9">
        <w:rPr>
          <w:rFonts w:ascii="Times New Roman" w:hAnsi="Times New Roman" w:cs="Times New Roman"/>
          <w:snapToGrid w:val="0"/>
        </w:rPr>
        <w:t xml:space="preserve"> to participate in future tender processes</w:t>
      </w:r>
      <w:r w:rsidR="00047397">
        <w:rPr>
          <w:rFonts w:ascii="Times New Roman" w:hAnsi="Times New Roman" w:cs="Times New Roman"/>
          <w:snapToGrid w:val="0"/>
        </w:rPr>
        <w:t xml:space="preserve">. </w:t>
      </w:r>
      <w:r w:rsidR="002E7296">
        <w:rPr>
          <w:rFonts w:ascii="Times New Roman" w:hAnsi="Times New Roman" w:cs="Times New Roman"/>
          <w:snapToGrid w:val="0"/>
        </w:rPr>
        <w:t>In my view, t</w:t>
      </w:r>
      <w:r w:rsidR="0047758D">
        <w:rPr>
          <w:rFonts w:ascii="Times New Roman" w:hAnsi="Times New Roman" w:cs="Times New Roman"/>
          <w:snapToGrid w:val="0"/>
        </w:rPr>
        <w:t xml:space="preserve">he </w:t>
      </w:r>
      <w:r w:rsidR="002949D9">
        <w:rPr>
          <w:rFonts w:ascii="Times New Roman" w:hAnsi="Times New Roman" w:cs="Times New Roman"/>
          <w:snapToGrid w:val="0"/>
        </w:rPr>
        <w:t>r</w:t>
      </w:r>
      <w:r w:rsidR="0047758D">
        <w:rPr>
          <w:rFonts w:ascii="Times New Roman" w:hAnsi="Times New Roman" w:cs="Times New Roman"/>
          <w:snapToGrid w:val="0"/>
        </w:rPr>
        <w:t xml:space="preserve">espondent </w:t>
      </w:r>
      <w:r w:rsidR="00047397">
        <w:rPr>
          <w:rFonts w:ascii="Times New Roman" w:hAnsi="Times New Roman" w:cs="Times New Roman"/>
          <w:snapToGrid w:val="0"/>
        </w:rPr>
        <w:t>ha</w:t>
      </w:r>
      <w:r w:rsidR="002E7296">
        <w:rPr>
          <w:rFonts w:ascii="Times New Roman" w:hAnsi="Times New Roman" w:cs="Times New Roman"/>
          <w:snapToGrid w:val="0"/>
        </w:rPr>
        <w:t>s</w:t>
      </w:r>
      <w:r w:rsidR="00047397">
        <w:rPr>
          <w:rFonts w:ascii="Times New Roman" w:hAnsi="Times New Roman" w:cs="Times New Roman"/>
          <w:snapToGrid w:val="0"/>
        </w:rPr>
        <w:t xml:space="preserve"> offered</w:t>
      </w:r>
      <w:r w:rsidR="0047758D">
        <w:rPr>
          <w:rFonts w:ascii="Times New Roman" w:hAnsi="Times New Roman" w:cs="Times New Roman"/>
          <w:snapToGrid w:val="0"/>
        </w:rPr>
        <w:t xml:space="preserve"> </w:t>
      </w:r>
      <w:r w:rsidR="002E7296">
        <w:rPr>
          <w:rFonts w:ascii="Times New Roman" w:hAnsi="Times New Roman" w:cs="Times New Roman"/>
          <w:snapToGrid w:val="0"/>
        </w:rPr>
        <w:t>a</w:t>
      </w:r>
      <w:r w:rsidR="0047758D">
        <w:rPr>
          <w:rFonts w:ascii="Times New Roman" w:hAnsi="Times New Roman" w:cs="Times New Roman"/>
          <w:snapToGrid w:val="0"/>
        </w:rPr>
        <w:t xml:space="preserve"> </w:t>
      </w:r>
      <w:r w:rsidR="002949D9">
        <w:rPr>
          <w:rFonts w:ascii="Times New Roman" w:hAnsi="Times New Roman" w:cs="Times New Roman"/>
          <w:snapToGrid w:val="0"/>
        </w:rPr>
        <w:t xml:space="preserve">reasonable </w:t>
      </w:r>
      <w:r w:rsidR="0047758D">
        <w:rPr>
          <w:rFonts w:ascii="Times New Roman" w:hAnsi="Times New Roman" w:cs="Times New Roman"/>
          <w:snapToGrid w:val="0"/>
        </w:rPr>
        <w:t xml:space="preserve">explanation to this Court for </w:t>
      </w:r>
      <w:r w:rsidR="002949D9">
        <w:rPr>
          <w:rFonts w:ascii="Times New Roman" w:hAnsi="Times New Roman" w:cs="Times New Roman"/>
          <w:snapToGrid w:val="0"/>
        </w:rPr>
        <w:t xml:space="preserve">its late filing of both answering affidavits but </w:t>
      </w:r>
      <w:r w:rsidR="002E7296">
        <w:rPr>
          <w:rFonts w:ascii="Times New Roman" w:hAnsi="Times New Roman" w:cs="Times New Roman"/>
          <w:snapToGrid w:val="0"/>
        </w:rPr>
        <w:t xml:space="preserve">I believe that </w:t>
      </w:r>
      <w:r w:rsidR="002949D9">
        <w:rPr>
          <w:rFonts w:ascii="Times New Roman" w:hAnsi="Times New Roman" w:cs="Times New Roman"/>
          <w:snapToGrid w:val="0"/>
        </w:rPr>
        <w:t xml:space="preserve">the interests of justice </w:t>
      </w:r>
      <w:r w:rsidR="002E7296">
        <w:rPr>
          <w:rFonts w:ascii="Times New Roman" w:hAnsi="Times New Roman" w:cs="Times New Roman"/>
          <w:snapToGrid w:val="0"/>
        </w:rPr>
        <w:t xml:space="preserve">require me </w:t>
      </w:r>
      <w:r w:rsidR="002949D9">
        <w:rPr>
          <w:rFonts w:ascii="Times New Roman" w:hAnsi="Times New Roman" w:cs="Times New Roman"/>
          <w:snapToGrid w:val="0"/>
        </w:rPr>
        <w:t>to accept the condonation simply to ensure that all re</w:t>
      </w:r>
      <w:r w:rsidR="002E7296">
        <w:rPr>
          <w:rFonts w:ascii="Times New Roman" w:hAnsi="Times New Roman" w:cs="Times New Roman"/>
          <w:snapToGrid w:val="0"/>
        </w:rPr>
        <w:t>l</w:t>
      </w:r>
      <w:r w:rsidR="002949D9">
        <w:rPr>
          <w:rFonts w:ascii="Times New Roman" w:hAnsi="Times New Roman" w:cs="Times New Roman"/>
          <w:snapToGrid w:val="0"/>
        </w:rPr>
        <w:t xml:space="preserve">evant facts are taken into account in determining whether the relief sought is just and equitable in the circumstances. </w:t>
      </w:r>
    </w:p>
    <w:p w14:paraId="61605045" w14:textId="77777777" w:rsidR="008A1D31" w:rsidRDefault="008A1D31" w:rsidP="008A1D31">
      <w:pPr>
        <w:spacing w:line="360" w:lineRule="auto"/>
        <w:ind w:left="57"/>
        <w:jc w:val="both"/>
        <w:rPr>
          <w:rFonts w:ascii="Times New Roman" w:hAnsi="Times New Roman" w:cs="Times New Roman"/>
          <w:snapToGrid w:val="0"/>
        </w:rPr>
      </w:pPr>
    </w:p>
    <w:p w14:paraId="7E5A9520" w14:textId="6244F2A0" w:rsidR="00480D6E" w:rsidRDefault="00FD5D95" w:rsidP="008A1D31">
      <w:pPr>
        <w:spacing w:line="360" w:lineRule="auto"/>
        <w:ind w:left="57"/>
        <w:jc w:val="both"/>
        <w:rPr>
          <w:rFonts w:ascii="Times New Roman" w:hAnsi="Times New Roman" w:cs="Times New Roman"/>
          <w:snapToGrid w:val="0"/>
        </w:rPr>
      </w:pPr>
      <w:r>
        <w:rPr>
          <w:rFonts w:ascii="Times New Roman" w:hAnsi="Times New Roman" w:cs="Times New Roman"/>
          <w:snapToGrid w:val="0"/>
        </w:rPr>
        <w:t>[</w:t>
      </w:r>
      <w:r w:rsidR="00393BAE">
        <w:rPr>
          <w:rFonts w:ascii="Times New Roman" w:hAnsi="Times New Roman" w:cs="Times New Roman"/>
          <w:snapToGrid w:val="0"/>
        </w:rPr>
        <w:t>33</w:t>
      </w:r>
      <w:r>
        <w:rPr>
          <w:rFonts w:ascii="Times New Roman" w:hAnsi="Times New Roman" w:cs="Times New Roman"/>
          <w:snapToGrid w:val="0"/>
        </w:rPr>
        <w:t>]</w:t>
      </w:r>
      <w:r>
        <w:rPr>
          <w:rFonts w:ascii="Times New Roman" w:hAnsi="Times New Roman" w:cs="Times New Roman"/>
          <w:snapToGrid w:val="0"/>
        </w:rPr>
        <w:tab/>
      </w:r>
      <w:r w:rsidR="002949D9">
        <w:rPr>
          <w:rFonts w:ascii="Times New Roman" w:hAnsi="Times New Roman" w:cs="Times New Roman"/>
          <w:snapToGrid w:val="0"/>
        </w:rPr>
        <w:t xml:space="preserve">The respondent admits that it has instituted internal restriction procedures against the applicant. The harm therefore is no longer apprehensible it is now imminent. Whilst the expert report does not provide conclusive evidence </w:t>
      </w:r>
      <w:r>
        <w:rPr>
          <w:rFonts w:ascii="Times New Roman" w:hAnsi="Times New Roman" w:cs="Times New Roman"/>
          <w:snapToGrid w:val="0"/>
        </w:rPr>
        <w:t xml:space="preserve">or clarity </w:t>
      </w:r>
      <w:r w:rsidR="002949D9">
        <w:rPr>
          <w:rFonts w:ascii="Times New Roman" w:hAnsi="Times New Roman" w:cs="Times New Roman"/>
          <w:snapToGrid w:val="0"/>
        </w:rPr>
        <w:t xml:space="preserve">as to whether the instruction by the engineer was lawful or not, the respondent has not tendered any proof to explain that </w:t>
      </w:r>
      <w:r>
        <w:rPr>
          <w:rFonts w:ascii="Times New Roman" w:hAnsi="Times New Roman" w:cs="Times New Roman"/>
          <w:snapToGrid w:val="0"/>
        </w:rPr>
        <w:t xml:space="preserve">the </w:t>
      </w:r>
      <w:r>
        <w:rPr>
          <w:rFonts w:ascii="Times New Roman" w:hAnsi="Times New Roman" w:cs="Times New Roman"/>
          <w:snapToGrid w:val="0"/>
        </w:rPr>
        <w:lastRenderedPageBreak/>
        <w:t xml:space="preserve">instruction </w:t>
      </w:r>
      <w:r w:rsidR="002949D9">
        <w:rPr>
          <w:rFonts w:ascii="Times New Roman" w:hAnsi="Times New Roman" w:cs="Times New Roman"/>
          <w:snapToGrid w:val="0"/>
        </w:rPr>
        <w:t>was in fact lawful and within its rights to do so and therefore not in breach of any legislation. This is any event is the dispute to be determined in the review proceedings</w:t>
      </w:r>
      <w:r>
        <w:rPr>
          <w:rFonts w:ascii="Times New Roman" w:hAnsi="Times New Roman" w:cs="Times New Roman"/>
          <w:snapToGrid w:val="0"/>
        </w:rPr>
        <w:t xml:space="preserve"> and the action for damages</w:t>
      </w:r>
      <w:r w:rsidR="002949D9">
        <w:rPr>
          <w:rFonts w:ascii="Times New Roman" w:hAnsi="Times New Roman" w:cs="Times New Roman"/>
          <w:snapToGrid w:val="0"/>
        </w:rPr>
        <w:t xml:space="preserve">.   </w:t>
      </w:r>
    </w:p>
    <w:p w14:paraId="0A1CD964" w14:textId="77777777" w:rsidR="008A1D31" w:rsidRDefault="008A1D31" w:rsidP="008A1D31">
      <w:pPr>
        <w:spacing w:line="360" w:lineRule="auto"/>
        <w:ind w:left="57"/>
        <w:jc w:val="both"/>
        <w:rPr>
          <w:rFonts w:ascii="Times New Roman" w:hAnsi="Times New Roman" w:cs="Times New Roman"/>
          <w:snapToGrid w:val="0"/>
        </w:rPr>
      </w:pPr>
    </w:p>
    <w:p w14:paraId="5AAC0275" w14:textId="09810B98" w:rsidR="00421948" w:rsidRDefault="00480D6E" w:rsidP="008A1D31">
      <w:pPr>
        <w:spacing w:line="360" w:lineRule="auto"/>
        <w:ind w:left="57"/>
        <w:jc w:val="both"/>
        <w:rPr>
          <w:rFonts w:ascii="Times New Roman" w:hAnsi="Times New Roman" w:cs="Times New Roman"/>
          <w:snapToGrid w:val="0"/>
        </w:rPr>
      </w:pPr>
      <w:r>
        <w:rPr>
          <w:rFonts w:ascii="Times New Roman" w:hAnsi="Times New Roman" w:cs="Times New Roman"/>
          <w:snapToGrid w:val="0"/>
        </w:rPr>
        <w:t>[</w:t>
      </w:r>
      <w:r w:rsidR="00393BAE">
        <w:rPr>
          <w:rFonts w:ascii="Times New Roman" w:hAnsi="Times New Roman" w:cs="Times New Roman"/>
          <w:snapToGrid w:val="0"/>
        </w:rPr>
        <w:t>34</w:t>
      </w:r>
      <w:r>
        <w:rPr>
          <w:rFonts w:ascii="Times New Roman" w:hAnsi="Times New Roman" w:cs="Times New Roman"/>
          <w:snapToGrid w:val="0"/>
        </w:rPr>
        <w:t>]</w:t>
      </w:r>
      <w:r>
        <w:rPr>
          <w:rFonts w:ascii="Times New Roman" w:hAnsi="Times New Roman" w:cs="Times New Roman"/>
          <w:snapToGrid w:val="0"/>
        </w:rPr>
        <w:tab/>
      </w:r>
      <w:r w:rsidR="00421948">
        <w:rPr>
          <w:rFonts w:ascii="Times New Roman" w:hAnsi="Times New Roman" w:cs="Times New Roman"/>
          <w:snapToGrid w:val="0"/>
        </w:rPr>
        <w:t xml:space="preserve">The </w:t>
      </w:r>
      <w:r w:rsidR="00393BAE">
        <w:rPr>
          <w:rFonts w:ascii="Times New Roman" w:hAnsi="Times New Roman" w:cs="Times New Roman"/>
          <w:snapToGrid w:val="0"/>
        </w:rPr>
        <w:t>r</w:t>
      </w:r>
      <w:r w:rsidR="00421948">
        <w:rPr>
          <w:rFonts w:ascii="Times New Roman" w:hAnsi="Times New Roman" w:cs="Times New Roman"/>
          <w:snapToGrid w:val="0"/>
        </w:rPr>
        <w:t xml:space="preserve">espondent although clearly entitled to conduct </w:t>
      </w:r>
      <w:r w:rsidR="0047758D">
        <w:rPr>
          <w:rFonts w:ascii="Times New Roman" w:hAnsi="Times New Roman" w:cs="Times New Roman"/>
          <w:snapToGrid w:val="0"/>
        </w:rPr>
        <w:t>its administrative functions</w:t>
      </w:r>
      <w:r w:rsidR="002949D9">
        <w:rPr>
          <w:rFonts w:ascii="Times New Roman" w:hAnsi="Times New Roman" w:cs="Times New Roman"/>
          <w:snapToGrid w:val="0"/>
        </w:rPr>
        <w:t xml:space="preserve"> in respect of its internal procedures</w:t>
      </w:r>
      <w:r w:rsidR="00421948">
        <w:rPr>
          <w:rFonts w:ascii="Times New Roman" w:hAnsi="Times New Roman" w:cs="Times New Roman"/>
          <w:snapToGrid w:val="0"/>
        </w:rPr>
        <w:t>,</w:t>
      </w:r>
      <w:r w:rsidR="0047758D">
        <w:rPr>
          <w:rFonts w:ascii="Times New Roman" w:hAnsi="Times New Roman" w:cs="Times New Roman"/>
          <w:snapToGrid w:val="0"/>
        </w:rPr>
        <w:t xml:space="preserve"> in terms of the principles of natural justice</w:t>
      </w:r>
      <w:r w:rsidR="00421948">
        <w:rPr>
          <w:rFonts w:ascii="Times New Roman" w:hAnsi="Times New Roman" w:cs="Times New Roman"/>
          <w:snapToGrid w:val="0"/>
        </w:rPr>
        <w:t xml:space="preserve"> is also </w:t>
      </w:r>
      <w:r w:rsidR="0047758D">
        <w:rPr>
          <w:rFonts w:ascii="Times New Roman" w:hAnsi="Times New Roman" w:cs="Times New Roman"/>
          <w:snapToGrid w:val="0"/>
        </w:rPr>
        <w:t xml:space="preserve">expected to </w:t>
      </w:r>
      <w:r w:rsidR="00421948">
        <w:rPr>
          <w:rFonts w:ascii="Times New Roman" w:hAnsi="Times New Roman" w:cs="Times New Roman"/>
          <w:snapToGrid w:val="0"/>
        </w:rPr>
        <w:t>interact with a person or institute whose rights may be adversely affected</w:t>
      </w:r>
      <w:r w:rsidR="00047397">
        <w:rPr>
          <w:rFonts w:ascii="Times New Roman" w:hAnsi="Times New Roman" w:cs="Times New Roman"/>
          <w:snapToGrid w:val="0"/>
        </w:rPr>
        <w:t xml:space="preserve"> by its decisions</w:t>
      </w:r>
      <w:r w:rsidR="00421948">
        <w:rPr>
          <w:rFonts w:ascii="Times New Roman" w:hAnsi="Times New Roman" w:cs="Times New Roman"/>
          <w:snapToGrid w:val="0"/>
        </w:rPr>
        <w:t xml:space="preserve">. In the present matter </w:t>
      </w:r>
      <w:r w:rsidR="0047758D">
        <w:rPr>
          <w:rFonts w:ascii="Times New Roman" w:hAnsi="Times New Roman" w:cs="Times New Roman"/>
          <w:snapToGrid w:val="0"/>
        </w:rPr>
        <w:t xml:space="preserve">the </w:t>
      </w:r>
      <w:r w:rsidR="002E7296">
        <w:rPr>
          <w:rFonts w:ascii="Times New Roman" w:hAnsi="Times New Roman" w:cs="Times New Roman"/>
          <w:snapToGrid w:val="0"/>
        </w:rPr>
        <w:t>r</w:t>
      </w:r>
      <w:r w:rsidR="0047758D">
        <w:rPr>
          <w:rFonts w:ascii="Times New Roman" w:hAnsi="Times New Roman" w:cs="Times New Roman"/>
          <w:snapToGrid w:val="0"/>
        </w:rPr>
        <w:t>espondent</w:t>
      </w:r>
      <w:r w:rsidR="002E7296">
        <w:rPr>
          <w:rFonts w:ascii="Times New Roman" w:hAnsi="Times New Roman" w:cs="Times New Roman"/>
          <w:snapToGrid w:val="0"/>
        </w:rPr>
        <w:t xml:space="preserve"> has not denied that the applicant has not received a response to its submissions on the internal restriction process or when it endeavours to finalise that process </w:t>
      </w:r>
      <w:r w:rsidR="0047758D">
        <w:rPr>
          <w:rFonts w:ascii="Times New Roman" w:hAnsi="Times New Roman" w:cs="Times New Roman"/>
          <w:snapToGrid w:val="0"/>
        </w:rPr>
        <w:t xml:space="preserve">leaving the </w:t>
      </w:r>
      <w:r w:rsidR="002E7296">
        <w:rPr>
          <w:rFonts w:ascii="Times New Roman" w:hAnsi="Times New Roman" w:cs="Times New Roman"/>
          <w:snapToGrid w:val="0"/>
        </w:rPr>
        <w:t>a</w:t>
      </w:r>
      <w:r w:rsidR="0047758D">
        <w:rPr>
          <w:rFonts w:ascii="Times New Roman" w:hAnsi="Times New Roman" w:cs="Times New Roman"/>
          <w:snapToGrid w:val="0"/>
        </w:rPr>
        <w:t>pplicant with no alternative but to approach this Court for relief</w:t>
      </w:r>
      <w:r w:rsidR="00FD5D95">
        <w:rPr>
          <w:rFonts w:ascii="Times New Roman" w:hAnsi="Times New Roman" w:cs="Times New Roman"/>
          <w:snapToGrid w:val="0"/>
        </w:rPr>
        <w:t xml:space="preserve"> in the interim</w:t>
      </w:r>
      <w:r w:rsidR="0047758D">
        <w:rPr>
          <w:rFonts w:ascii="Times New Roman" w:hAnsi="Times New Roman" w:cs="Times New Roman"/>
          <w:snapToGrid w:val="0"/>
        </w:rPr>
        <w:t xml:space="preserve">. </w:t>
      </w:r>
      <w:r w:rsidR="00421948">
        <w:rPr>
          <w:rFonts w:ascii="Times New Roman" w:hAnsi="Times New Roman" w:cs="Times New Roman"/>
          <w:snapToGrid w:val="0"/>
        </w:rPr>
        <w:t xml:space="preserve">I am satisfied that the </w:t>
      </w:r>
      <w:r w:rsidR="00047397">
        <w:rPr>
          <w:rFonts w:ascii="Times New Roman" w:hAnsi="Times New Roman" w:cs="Times New Roman"/>
          <w:snapToGrid w:val="0"/>
        </w:rPr>
        <w:t>A</w:t>
      </w:r>
      <w:r w:rsidR="00421948">
        <w:rPr>
          <w:rFonts w:ascii="Times New Roman" w:hAnsi="Times New Roman" w:cs="Times New Roman"/>
          <w:snapToGrid w:val="0"/>
        </w:rPr>
        <w:t>pplicant</w:t>
      </w:r>
      <w:r w:rsidR="00047397">
        <w:rPr>
          <w:rFonts w:ascii="Times New Roman" w:hAnsi="Times New Roman" w:cs="Times New Roman"/>
          <w:snapToGrid w:val="0"/>
        </w:rPr>
        <w:t>s</w:t>
      </w:r>
      <w:r w:rsidR="00421948">
        <w:rPr>
          <w:rFonts w:ascii="Times New Roman" w:hAnsi="Times New Roman" w:cs="Times New Roman"/>
          <w:snapToGrid w:val="0"/>
        </w:rPr>
        <w:t xml:space="preserve"> ha</w:t>
      </w:r>
      <w:r>
        <w:rPr>
          <w:rFonts w:ascii="Times New Roman" w:hAnsi="Times New Roman" w:cs="Times New Roman"/>
          <w:snapToGrid w:val="0"/>
        </w:rPr>
        <w:t>ve established</w:t>
      </w:r>
      <w:r w:rsidR="00421948">
        <w:rPr>
          <w:rFonts w:ascii="Times New Roman" w:hAnsi="Times New Roman" w:cs="Times New Roman"/>
          <w:snapToGrid w:val="0"/>
        </w:rPr>
        <w:t xml:space="preserve"> a </w:t>
      </w:r>
      <w:r w:rsidR="00421948">
        <w:rPr>
          <w:rFonts w:ascii="Times New Roman" w:hAnsi="Times New Roman" w:cs="Times New Roman"/>
          <w:i/>
          <w:snapToGrid w:val="0"/>
        </w:rPr>
        <w:t xml:space="preserve">prima facie </w:t>
      </w:r>
      <w:r w:rsidR="00421948">
        <w:rPr>
          <w:rFonts w:ascii="Times New Roman" w:hAnsi="Times New Roman" w:cs="Times New Roman"/>
          <w:snapToGrid w:val="0"/>
        </w:rPr>
        <w:t xml:space="preserve">right more particularly to challenge </w:t>
      </w:r>
      <w:r w:rsidR="00047397">
        <w:rPr>
          <w:rFonts w:ascii="Times New Roman" w:hAnsi="Times New Roman" w:cs="Times New Roman"/>
          <w:snapToGrid w:val="0"/>
        </w:rPr>
        <w:t xml:space="preserve">the </w:t>
      </w:r>
      <w:r w:rsidR="002E7296">
        <w:rPr>
          <w:rFonts w:ascii="Times New Roman" w:hAnsi="Times New Roman" w:cs="Times New Roman"/>
          <w:snapToGrid w:val="0"/>
        </w:rPr>
        <w:t xml:space="preserve">lawfulness of the termination of the contracts. </w:t>
      </w:r>
    </w:p>
    <w:p w14:paraId="36A680F7" w14:textId="77777777" w:rsidR="008A1D31" w:rsidRDefault="008A1D31" w:rsidP="008A1D31">
      <w:pPr>
        <w:spacing w:line="360" w:lineRule="auto"/>
        <w:ind w:left="57"/>
        <w:jc w:val="both"/>
        <w:rPr>
          <w:rFonts w:ascii="Times New Roman" w:hAnsi="Times New Roman" w:cs="Times New Roman"/>
          <w:snapToGrid w:val="0"/>
        </w:rPr>
      </w:pPr>
    </w:p>
    <w:p w14:paraId="13E7367F" w14:textId="1903837D" w:rsidR="00421948" w:rsidRDefault="00421948" w:rsidP="008A1D31">
      <w:pPr>
        <w:spacing w:line="360" w:lineRule="auto"/>
        <w:ind w:left="57"/>
        <w:jc w:val="both"/>
        <w:rPr>
          <w:rFonts w:ascii="Times New Roman" w:hAnsi="Times New Roman" w:cs="Times New Roman"/>
          <w:snapToGrid w:val="0"/>
        </w:rPr>
      </w:pPr>
      <w:r>
        <w:rPr>
          <w:rFonts w:ascii="Times New Roman" w:hAnsi="Times New Roman" w:cs="Times New Roman"/>
          <w:snapToGrid w:val="0"/>
        </w:rPr>
        <w:t>[</w:t>
      </w:r>
      <w:r w:rsidR="00393BAE">
        <w:rPr>
          <w:rFonts w:ascii="Times New Roman" w:hAnsi="Times New Roman" w:cs="Times New Roman"/>
          <w:snapToGrid w:val="0"/>
        </w:rPr>
        <w:t>35</w:t>
      </w:r>
      <w:r>
        <w:rPr>
          <w:rFonts w:ascii="Times New Roman" w:hAnsi="Times New Roman" w:cs="Times New Roman"/>
          <w:snapToGrid w:val="0"/>
        </w:rPr>
        <w:t>]</w:t>
      </w:r>
      <w:r>
        <w:rPr>
          <w:rFonts w:ascii="Times New Roman" w:hAnsi="Times New Roman" w:cs="Times New Roman"/>
          <w:snapToGrid w:val="0"/>
        </w:rPr>
        <w:tab/>
        <w:t xml:space="preserve">It cannot be disputed that the </w:t>
      </w:r>
      <w:r w:rsidR="002E7296">
        <w:rPr>
          <w:rFonts w:ascii="Times New Roman" w:hAnsi="Times New Roman" w:cs="Times New Roman"/>
          <w:snapToGrid w:val="0"/>
        </w:rPr>
        <w:t>r</w:t>
      </w:r>
      <w:r>
        <w:rPr>
          <w:rFonts w:ascii="Times New Roman" w:hAnsi="Times New Roman" w:cs="Times New Roman"/>
          <w:snapToGrid w:val="0"/>
        </w:rPr>
        <w:t xml:space="preserve">espondent’s </w:t>
      </w:r>
      <w:r w:rsidR="002E7296">
        <w:rPr>
          <w:rFonts w:ascii="Times New Roman" w:hAnsi="Times New Roman" w:cs="Times New Roman"/>
          <w:snapToGrid w:val="0"/>
        </w:rPr>
        <w:t>ban</w:t>
      </w:r>
      <w:r w:rsidR="00047397">
        <w:rPr>
          <w:rFonts w:ascii="Times New Roman" w:hAnsi="Times New Roman" w:cs="Times New Roman"/>
          <w:snapToGrid w:val="0"/>
        </w:rPr>
        <w:t xml:space="preserve"> </w:t>
      </w:r>
      <w:r>
        <w:rPr>
          <w:rFonts w:ascii="Times New Roman" w:hAnsi="Times New Roman" w:cs="Times New Roman"/>
          <w:snapToGrid w:val="0"/>
        </w:rPr>
        <w:t>threaten</w:t>
      </w:r>
      <w:r w:rsidR="00047397">
        <w:rPr>
          <w:rFonts w:ascii="Times New Roman" w:hAnsi="Times New Roman" w:cs="Times New Roman"/>
          <w:snapToGrid w:val="0"/>
        </w:rPr>
        <w:t>s</w:t>
      </w:r>
      <w:r>
        <w:rPr>
          <w:rFonts w:ascii="Times New Roman" w:hAnsi="Times New Roman" w:cs="Times New Roman"/>
          <w:snapToGrid w:val="0"/>
        </w:rPr>
        <w:t xml:space="preserve"> the </w:t>
      </w:r>
      <w:r w:rsidR="002E7296">
        <w:rPr>
          <w:rFonts w:ascii="Times New Roman" w:hAnsi="Times New Roman" w:cs="Times New Roman"/>
          <w:snapToGrid w:val="0"/>
        </w:rPr>
        <w:t>a</w:t>
      </w:r>
      <w:r>
        <w:rPr>
          <w:rFonts w:ascii="Times New Roman" w:hAnsi="Times New Roman" w:cs="Times New Roman"/>
          <w:snapToGrid w:val="0"/>
        </w:rPr>
        <w:t>pplicant’s aforesaid right to natural justice</w:t>
      </w:r>
      <w:r w:rsidR="00480D6E">
        <w:rPr>
          <w:rFonts w:ascii="Times New Roman" w:hAnsi="Times New Roman" w:cs="Times New Roman"/>
          <w:snapToGrid w:val="0"/>
        </w:rPr>
        <w:t xml:space="preserve">, </w:t>
      </w:r>
      <w:r>
        <w:rPr>
          <w:rFonts w:ascii="Times New Roman" w:hAnsi="Times New Roman" w:cs="Times New Roman"/>
          <w:snapToGrid w:val="0"/>
        </w:rPr>
        <w:t>fair procedures</w:t>
      </w:r>
      <w:r w:rsidR="00047397">
        <w:rPr>
          <w:rFonts w:ascii="Times New Roman" w:hAnsi="Times New Roman" w:cs="Times New Roman"/>
          <w:snapToGrid w:val="0"/>
        </w:rPr>
        <w:t xml:space="preserve"> and will prejudice the </w:t>
      </w:r>
      <w:r w:rsidR="002E7296">
        <w:rPr>
          <w:rFonts w:ascii="Times New Roman" w:hAnsi="Times New Roman" w:cs="Times New Roman"/>
          <w:snapToGrid w:val="0"/>
        </w:rPr>
        <w:t>a</w:t>
      </w:r>
      <w:r w:rsidR="00047397">
        <w:rPr>
          <w:rFonts w:ascii="Times New Roman" w:hAnsi="Times New Roman" w:cs="Times New Roman"/>
          <w:snapToGrid w:val="0"/>
        </w:rPr>
        <w:t>pplicants</w:t>
      </w:r>
      <w:r>
        <w:rPr>
          <w:rFonts w:ascii="Times New Roman" w:hAnsi="Times New Roman" w:cs="Times New Roman"/>
          <w:snapToGrid w:val="0"/>
        </w:rPr>
        <w:t xml:space="preserve">. It cannot be denied that if the </w:t>
      </w:r>
      <w:r w:rsidR="002E7296">
        <w:rPr>
          <w:rFonts w:ascii="Times New Roman" w:hAnsi="Times New Roman" w:cs="Times New Roman"/>
          <w:snapToGrid w:val="0"/>
        </w:rPr>
        <w:t>a</w:t>
      </w:r>
      <w:r>
        <w:rPr>
          <w:rFonts w:ascii="Times New Roman" w:hAnsi="Times New Roman" w:cs="Times New Roman"/>
          <w:snapToGrid w:val="0"/>
        </w:rPr>
        <w:t xml:space="preserve">pplicant </w:t>
      </w:r>
      <w:r w:rsidR="002E7296">
        <w:rPr>
          <w:rFonts w:ascii="Times New Roman" w:hAnsi="Times New Roman" w:cs="Times New Roman"/>
          <w:snapToGrid w:val="0"/>
        </w:rPr>
        <w:t>is</w:t>
      </w:r>
      <w:r>
        <w:rPr>
          <w:rFonts w:ascii="Times New Roman" w:hAnsi="Times New Roman" w:cs="Times New Roman"/>
          <w:snapToGrid w:val="0"/>
        </w:rPr>
        <w:t xml:space="preserve"> not granted the relief that it seeks that the </w:t>
      </w:r>
      <w:r w:rsidR="002E7296">
        <w:rPr>
          <w:rFonts w:ascii="Times New Roman" w:hAnsi="Times New Roman" w:cs="Times New Roman"/>
          <w:snapToGrid w:val="0"/>
        </w:rPr>
        <w:t>a</w:t>
      </w:r>
      <w:r>
        <w:rPr>
          <w:rFonts w:ascii="Times New Roman" w:hAnsi="Times New Roman" w:cs="Times New Roman"/>
          <w:snapToGrid w:val="0"/>
        </w:rPr>
        <w:t xml:space="preserve">pplicant will </w:t>
      </w:r>
      <w:r w:rsidR="002E7296">
        <w:rPr>
          <w:rFonts w:ascii="Times New Roman" w:hAnsi="Times New Roman" w:cs="Times New Roman"/>
          <w:snapToGrid w:val="0"/>
        </w:rPr>
        <w:t xml:space="preserve">not </w:t>
      </w:r>
      <w:r>
        <w:rPr>
          <w:rFonts w:ascii="Times New Roman" w:hAnsi="Times New Roman" w:cs="Times New Roman"/>
          <w:snapToGrid w:val="0"/>
        </w:rPr>
        <w:t xml:space="preserve">suffer irreparable harm. </w:t>
      </w:r>
      <w:r w:rsidR="0047758D">
        <w:rPr>
          <w:rFonts w:ascii="Times New Roman" w:hAnsi="Times New Roman" w:cs="Times New Roman"/>
          <w:snapToGrid w:val="0"/>
        </w:rPr>
        <w:t xml:space="preserve">The </w:t>
      </w:r>
      <w:r w:rsidR="002E7296">
        <w:rPr>
          <w:rFonts w:ascii="Times New Roman" w:hAnsi="Times New Roman" w:cs="Times New Roman"/>
          <w:snapToGrid w:val="0"/>
        </w:rPr>
        <w:t>r</w:t>
      </w:r>
      <w:r w:rsidR="0047758D">
        <w:rPr>
          <w:rFonts w:ascii="Times New Roman" w:hAnsi="Times New Roman" w:cs="Times New Roman"/>
          <w:snapToGrid w:val="0"/>
        </w:rPr>
        <w:t>espondent ha</w:t>
      </w:r>
      <w:r w:rsidR="002E7296">
        <w:rPr>
          <w:rFonts w:ascii="Times New Roman" w:hAnsi="Times New Roman" w:cs="Times New Roman"/>
          <w:snapToGrid w:val="0"/>
        </w:rPr>
        <w:t>s</w:t>
      </w:r>
      <w:r w:rsidR="0047758D">
        <w:rPr>
          <w:rFonts w:ascii="Times New Roman" w:hAnsi="Times New Roman" w:cs="Times New Roman"/>
          <w:snapToGrid w:val="0"/>
        </w:rPr>
        <w:t xml:space="preserve"> failed to set out what prejudice</w:t>
      </w:r>
      <w:r w:rsidR="00047397">
        <w:rPr>
          <w:rFonts w:ascii="Times New Roman" w:hAnsi="Times New Roman" w:cs="Times New Roman"/>
          <w:snapToGrid w:val="0"/>
        </w:rPr>
        <w:t>,</w:t>
      </w:r>
      <w:r w:rsidR="0047758D">
        <w:rPr>
          <w:rFonts w:ascii="Times New Roman" w:hAnsi="Times New Roman" w:cs="Times New Roman"/>
          <w:snapToGrid w:val="0"/>
        </w:rPr>
        <w:t xml:space="preserve"> if any</w:t>
      </w:r>
      <w:r w:rsidR="00047397">
        <w:rPr>
          <w:rFonts w:ascii="Times New Roman" w:hAnsi="Times New Roman" w:cs="Times New Roman"/>
          <w:snapToGrid w:val="0"/>
        </w:rPr>
        <w:t>,</w:t>
      </w:r>
      <w:r w:rsidR="0047758D">
        <w:rPr>
          <w:rFonts w:ascii="Times New Roman" w:hAnsi="Times New Roman" w:cs="Times New Roman"/>
          <w:snapToGrid w:val="0"/>
        </w:rPr>
        <w:t xml:space="preserve"> </w:t>
      </w:r>
      <w:r w:rsidR="002E7296">
        <w:rPr>
          <w:rFonts w:ascii="Times New Roman" w:hAnsi="Times New Roman" w:cs="Times New Roman"/>
          <w:snapToGrid w:val="0"/>
        </w:rPr>
        <w:t>it</w:t>
      </w:r>
      <w:r w:rsidR="0047758D">
        <w:rPr>
          <w:rFonts w:ascii="Times New Roman" w:hAnsi="Times New Roman" w:cs="Times New Roman"/>
          <w:snapToGrid w:val="0"/>
        </w:rPr>
        <w:t xml:space="preserve"> will suffer and therefore this Court must accept that there is no prejudice to be suffered by the </w:t>
      </w:r>
      <w:r w:rsidR="002E7296">
        <w:rPr>
          <w:rFonts w:ascii="Times New Roman" w:hAnsi="Times New Roman" w:cs="Times New Roman"/>
          <w:snapToGrid w:val="0"/>
        </w:rPr>
        <w:t>r</w:t>
      </w:r>
      <w:r w:rsidR="0047758D">
        <w:rPr>
          <w:rFonts w:ascii="Times New Roman" w:hAnsi="Times New Roman" w:cs="Times New Roman"/>
          <w:snapToGrid w:val="0"/>
        </w:rPr>
        <w:t>espondent</w:t>
      </w:r>
      <w:r w:rsidR="00047397">
        <w:rPr>
          <w:rFonts w:ascii="Times New Roman" w:hAnsi="Times New Roman" w:cs="Times New Roman"/>
          <w:snapToGrid w:val="0"/>
        </w:rPr>
        <w:t>s</w:t>
      </w:r>
      <w:r w:rsidR="0047758D">
        <w:rPr>
          <w:rFonts w:ascii="Times New Roman" w:hAnsi="Times New Roman" w:cs="Times New Roman"/>
          <w:snapToGrid w:val="0"/>
        </w:rPr>
        <w:t>.</w:t>
      </w:r>
      <w:r w:rsidR="002E7296">
        <w:rPr>
          <w:rFonts w:ascii="Times New Roman" w:hAnsi="Times New Roman" w:cs="Times New Roman"/>
          <w:snapToGrid w:val="0"/>
        </w:rPr>
        <w:t xml:space="preserve"> This especially so as the contract remains terminated and the respondent is able to appoint another contractor to complete the work. </w:t>
      </w:r>
      <w:r w:rsidR="0047758D">
        <w:rPr>
          <w:rFonts w:ascii="Times New Roman" w:hAnsi="Times New Roman" w:cs="Times New Roman"/>
          <w:snapToGrid w:val="0"/>
        </w:rPr>
        <w:t xml:space="preserve"> </w:t>
      </w:r>
      <w:r>
        <w:rPr>
          <w:rFonts w:ascii="Times New Roman" w:hAnsi="Times New Roman" w:cs="Times New Roman"/>
          <w:snapToGrid w:val="0"/>
        </w:rPr>
        <w:t xml:space="preserve">I am therefore satisfied that the balance of convenience favours the </w:t>
      </w:r>
      <w:r w:rsidR="002E7296">
        <w:rPr>
          <w:rFonts w:ascii="Times New Roman" w:hAnsi="Times New Roman" w:cs="Times New Roman"/>
          <w:snapToGrid w:val="0"/>
        </w:rPr>
        <w:t>a</w:t>
      </w:r>
      <w:r>
        <w:rPr>
          <w:rFonts w:ascii="Times New Roman" w:hAnsi="Times New Roman" w:cs="Times New Roman"/>
          <w:snapToGrid w:val="0"/>
        </w:rPr>
        <w:t>pplicant.</w:t>
      </w:r>
    </w:p>
    <w:p w14:paraId="36D820B6" w14:textId="77777777" w:rsidR="008A1D31" w:rsidRDefault="008A1D31" w:rsidP="008A1D31">
      <w:pPr>
        <w:spacing w:line="360" w:lineRule="auto"/>
        <w:ind w:left="57"/>
        <w:jc w:val="both"/>
        <w:rPr>
          <w:rFonts w:ascii="Times New Roman" w:hAnsi="Times New Roman" w:cs="Times New Roman"/>
          <w:snapToGrid w:val="0"/>
        </w:rPr>
      </w:pPr>
    </w:p>
    <w:p w14:paraId="35ACF3D7" w14:textId="2227AC50" w:rsidR="00C52E8F" w:rsidRDefault="00421948" w:rsidP="008A1D31">
      <w:pPr>
        <w:spacing w:line="360" w:lineRule="auto"/>
        <w:ind w:left="57"/>
        <w:jc w:val="both"/>
        <w:rPr>
          <w:rFonts w:ascii="Times New Roman" w:hAnsi="Times New Roman" w:cs="Times New Roman"/>
          <w:snapToGrid w:val="0"/>
        </w:rPr>
      </w:pPr>
      <w:r>
        <w:rPr>
          <w:rFonts w:ascii="Times New Roman" w:hAnsi="Times New Roman" w:cs="Times New Roman"/>
          <w:snapToGrid w:val="0"/>
        </w:rPr>
        <w:t>[</w:t>
      </w:r>
      <w:r w:rsidR="00393BAE">
        <w:rPr>
          <w:rFonts w:ascii="Times New Roman" w:hAnsi="Times New Roman" w:cs="Times New Roman"/>
          <w:snapToGrid w:val="0"/>
        </w:rPr>
        <w:t>36</w:t>
      </w:r>
      <w:r>
        <w:rPr>
          <w:rFonts w:ascii="Times New Roman" w:hAnsi="Times New Roman" w:cs="Times New Roman"/>
          <w:snapToGrid w:val="0"/>
        </w:rPr>
        <w:t xml:space="preserve">] </w:t>
      </w:r>
      <w:r>
        <w:rPr>
          <w:rFonts w:ascii="Times New Roman" w:hAnsi="Times New Roman" w:cs="Times New Roman"/>
          <w:snapToGrid w:val="0"/>
        </w:rPr>
        <w:tab/>
      </w:r>
      <w:r w:rsidR="00C52E8F">
        <w:rPr>
          <w:rFonts w:ascii="Times New Roman" w:hAnsi="Times New Roman" w:cs="Times New Roman"/>
          <w:snapToGrid w:val="0"/>
        </w:rPr>
        <w:t xml:space="preserve">Notably the respondent did not oppose the filing of the further affidavit as evidence by the applicant and in fact conceded that the facts were true although it stated that this was not material to the issue that this Court had to determine in respect of the relief sought. I disagree as the applicant indicated that this evidence was necessary for the main application and in </w:t>
      </w:r>
      <w:r w:rsidR="00F47CC2">
        <w:rPr>
          <w:rFonts w:ascii="Times New Roman" w:hAnsi="Times New Roman" w:cs="Times New Roman"/>
          <w:snapToGrid w:val="0"/>
        </w:rPr>
        <w:t>my</w:t>
      </w:r>
      <w:r w:rsidR="00C52E8F">
        <w:rPr>
          <w:rFonts w:ascii="Times New Roman" w:hAnsi="Times New Roman" w:cs="Times New Roman"/>
          <w:snapToGrid w:val="0"/>
        </w:rPr>
        <w:t xml:space="preserve"> </w:t>
      </w:r>
      <w:r w:rsidR="00F47CC2">
        <w:rPr>
          <w:rFonts w:ascii="Times New Roman" w:hAnsi="Times New Roman" w:cs="Times New Roman"/>
          <w:snapToGrid w:val="0"/>
        </w:rPr>
        <w:t xml:space="preserve">view </w:t>
      </w:r>
      <w:r w:rsidR="00C52E8F">
        <w:rPr>
          <w:rFonts w:ascii="Times New Roman" w:hAnsi="Times New Roman" w:cs="Times New Roman"/>
          <w:snapToGrid w:val="0"/>
        </w:rPr>
        <w:t xml:space="preserve">confirmed the apprehension of the prejudice indicated by the applicant. </w:t>
      </w:r>
    </w:p>
    <w:p w14:paraId="670A40B1" w14:textId="77777777" w:rsidR="008A1D31" w:rsidRDefault="008A1D31" w:rsidP="008A1D31">
      <w:pPr>
        <w:spacing w:line="360" w:lineRule="auto"/>
        <w:ind w:left="57"/>
        <w:jc w:val="both"/>
        <w:rPr>
          <w:rFonts w:ascii="Times New Roman" w:hAnsi="Times New Roman" w:cs="Times New Roman"/>
          <w:snapToGrid w:val="0"/>
        </w:rPr>
      </w:pPr>
    </w:p>
    <w:p w14:paraId="28226082" w14:textId="24D72A95" w:rsidR="00421948" w:rsidRDefault="00C52E8F" w:rsidP="008A1D31">
      <w:pPr>
        <w:spacing w:line="360" w:lineRule="auto"/>
        <w:ind w:left="57"/>
        <w:jc w:val="both"/>
        <w:rPr>
          <w:rFonts w:ascii="Times New Roman" w:hAnsi="Times New Roman" w:cs="Times New Roman"/>
          <w:snapToGrid w:val="0"/>
        </w:rPr>
      </w:pPr>
      <w:r>
        <w:rPr>
          <w:rFonts w:ascii="Times New Roman" w:hAnsi="Times New Roman" w:cs="Times New Roman"/>
          <w:snapToGrid w:val="0"/>
        </w:rPr>
        <w:t>[37]</w:t>
      </w:r>
      <w:r>
        <w:rPr>
          <w:rFonts w:ascii="Times New Roman" w:hAnsi="Times New Roman" w:cs="Times New Roman"/>
          <w:snapToGrid w:val="0"/>
        </w:rPr>
        <w:tab/>
        <w:t xml:space="preserve">It is also important to note that the proceedings that the applicant seeks to institute is to review the decision by the respondent. </w:t>
      </w:r>
      <w:r w:rsidR="002E7296">
        <w:rPr>
          <w:rFonts w:ascii="Times New Roman" w:hAnsi="Times New Roman" w:cs="Times New Roman"/>
          <w:snapToGrid w:val="0"/>
        </w:rPr>
        <w:t>T</w:t>
      </w:r>
      <w:r w:rsidR="00421948">
        <w:rPr>
          <w:rFonts w:ascii="Times New Roman" w:hAnsi="Times New Roman" w:cs="Times New Roman"/>
          <w:snapToGrid w:val="0"/>
        </w:rPr>
        <w:t xml:space="preserve">he </w:t>
      </w:r>
      <w:r w:rsidR="002E7296">
        <w:rPr>
          <w:rFonts w:ascii="Times New Roman" w:hAnsi="Times New Roman" w:cs="Times New Roman"/>
          <w:snapToGrid w:val="0"/>
        </w:rPr>
        <w:t>a</w:t>
      </w:r>
      <w:r w:rsidR="00421948">
        <w:rPr>
          <w:rFonts w:ascii="Times New Roman" w:hAnsi="Times New Roman" w:cs="Times New Roman"/>
          <w:snapToGrid w:val="0"/>
        </w:rPr>
        <w:t xml:space="preserve">pplicant will be granted the opportunity to </w:t>
      </w:r>
      <w:r w:rsidR="0047758D">
        <w:rPr>
          <w:rFonts w:ascii="Times New Roman" w:hAnsi="Times New Roman" w:cs="Times New Roman"/>
          <w:snapToGrid w:val="0"/>
        </w:rPr>
        <w:t xml:space="preserve">clarify </w:t>
      </w:r>
      <w:r w:rsidR="002E7296">
        <w:rPr>
          <w:rFonts w:ascii="Times New Roman" w:hAnsi="Times New Roman" w:cs="Times New Roman"/>
          <w:snapToGrid w:val="0"/>
        </w:rPr>
        <w:t xml:space="preserve">whether </w:t>
      </w:r>
      <w:r w:rsidR="0047758D">
        <w:rPr>
          <w:rFonts w:ascii="Times New Roman" w:hAnsi="Times New Roman" w:cs="Times New Roman"/>
          <w:snapToGrid w:val="0"/>
        </w:rPr>
        <w:t xml:space="preserve">the </w:t>
      </w:r>
      <w:r w:rsidR="002E7296">
        <w:rPr>
          <w:rFonts w:ascii="Times New Roman" w:hAnsi="Times New Roman" w:cs="Times New Roman"/>
          <w:snapToGrid w:val="0"/>
        </w:rPr>
        <w:t xml:space="preserve">instruction by the engineer was lawful or not </w:t>
      </w:r>
      <w:r w:rsidR="00FD5D95">
        <w:rPr>
          <w:rFonts w:ascii="Times New Roman" w:hAnsi="Times New Roman" w:cs="Times New Roman"/>
          <w:snapToGrid w:val="0"/>
        </w:rPr>
        <w:t>h</w:t>
      </w:r>
      <w:r w:rsidR="00421948">
        <w:rPr>
          <w:rFonts w:ascii="Times New Roman" w:hAnsi="Times New Roman" w:cs="Times New Roman"/>
          <w:snapToGrid w:val="0"/>
        </w:rPr>
        <w:t>owever</w:t>
      </w:r>
      <w:r w:rsidR="00FD5D95">
        <w:rPr>
          <w:rFonts w:ascii="Times New Roman" w:hAnsi="Times New Roman" w:cs="Times New Roman"/>
          <w:snapToGrid w:val="0"/>
        </w:rPr>
        <w:t>,</w:t>
      </w:r>
      <w:r w:rsidR="00421948">
        <w:rPr>
          <w:rFonts w:ascii="Times New Roman" w:hAnsi="Times New Roman" w:cs="Times New Roman"/>
          <w:snapToGrid w:val="0"/>
        </w:rPr>
        <w:t xml:space="preserve"> should the interdict not be granted the damage to the </w:t>
      </w:r>
      <w:r w:rsidR="002E7296">
        <w:rPr>
          <w:rFonts w:ascii="Times New Roman" w:hAnsi="Times New Roman" w:cs="Times New Roman"/>
          <w:snapToGrid w:val="0"/>
        </w:rPr>
        <w:t>a</w:t>
      </w:r>
      <w:r w:rsidR="00421948">
        <w:rPr>
          <w:rFonts w:ascii="Times New Roman" w:hAnsi="Times New Roman" w:cs="Times New Roman"/>
          <w:snapToGrid w:val="0"/>
        </w:rPr>
        <w:t>pplicant</w:t>
      </w:r>
      <w:r w:rsidR="002E7296">
        <w:rPr>
          <w:rFonts w:ascii="Times New Roman" w:hAnsi="Times New Roman" w:cs="Times New Roman"/>
          <w:snapToGrid w:val="0"/>
        </w:rPr>
        <w:t>’</w:t>
      </w:r>
      <w:r w:rsidR="00421948">
        <w:rPr>
          <w:rFonts w:ascii="Times New Roman" w:hAnsi="Times New Roman" w:cs="Times New Roman"/>
          <w:snapToGrid w:val="0"/>
        </w:rPr>
        <w:t xml:space="preserve">s </w:t>
      </w:r>
      <w:r w:rsidR="002E7296">
        <w:rPr>
          <w:rFonts w:ascii="Times New Roman" w:hAnsi="Times New Roman" w:cs="Times New Roman"/>
          <w:snapToGrid w:val="0"/>
        </w:rPr>
        <w:t xml:space="preserve">ability to participate in tender processes which would have expired and the potential to successfully obtain those contracts </w:t>
      </w:r>
      <w:r w:rsidR="00421948">
        <w:rPr>
          <w:rFonts w:ascii="Times New Roman" w:hAnsi="Times New Roman" w:cs="Times New Roman"/>
          <w:snapToGrid w:val="0"/>
        </w:rPr>
        <w:t xml:space="preserve">would be irreversible. </w:t>
      </w:r>
      <w:r w:rsidR="002E7296">
        <w:rPr>
          <w:rFonts w:ascii="Times New Roman" w:hAnsi="Times New Roman" w:cs="Times New Roman"/>
          <w:snapToGrid w:val="0"/>
        </w:rPr>
        <w:t xml:space="preserve">I agree with the </w:t>
      </w:r>
      <w:r w:rsidR="00FD5D95" w:rsidRPr="00FD5D95">
        <w:rPr>
          <w:rFonts w:ascii="Times New Roman" w:hAnsi="Times New Roman" w:cs="Times New Roman"/>
          <w:i/>
          <w:iCs/>
          <w:snapToGrid w:val="0"/>
        </w:rPr>
        <w:t>dicta</w:t>
      </w:r>
      <w:r w:rsidR="00FD5D95">
        <w:rPr>
          <w:rFonts w:ascii="Times New Roman" w:hAnsi="Times New Roman" w:cs="Times New Roman"/>
          <w:snapToGrid w:val="0"/>
        </w:rPr>
        <w:t xml:space="preserve"> in </w:t>
      </w:r>
      <w:r w:rsidR="00FD5D95" w:rsidRPr="00C52E8F">
        <w:rPr>
          <w:rFonts w:ascii="Times New Roman" w:hAnsi="Times New Roman" w:cs="Times New Roman"/>
          <w:b/>
          <w:bCs/>
          <w:snapToGrid w:val="0"/>
        </w:rPr>
        <w:t xml:space="preserve">EFF v Gordhan </w:t>
      </w:r>
      <w:r w:rsidR="00FD5D95" w:rsidRPr="00C52E8F">
        <w:rPr>
          <w:rFonts w:ascii="Times New Roman" w:hAnsi="Times New Roman" w:cs="Times New Roman"/>
          <w:i/>
          <w:iCs/>
          <w:snapToGrid w:val="0"/>
        </w:rPr>
        <w:t>supra</w:t>
      </w:r>
      <w:r w:rsidR="00FD5D95" w:rsidRPr="00C52E8F">
        <w:rPr>
          <w:rFonts w:ascii="Times New Roman" w:hAnsi="Times New Roman" w:cs="Times New Roman"/>
          <w:b/>
          <w:bCs/>
          <w:snapToGrid w:val="0"/>
        </w:rPr>
        <w:t xml:space="preserve"> </w:t>
      </w:r>
      <w:r w:rsidR="00FD5D95">
        <w:rPr>
          <w:rFonts w:ascii="Times New Roman" w:hAnsi="Times New Roman" w:cs="Times New Roman"/>
          <w:snapToGrid w:val="0"/>
        </w:rPr>
        <w:t xml:space="preserve">having regard to the principles of equity and </w:t>
      </w:r>
      <w:r w:rsidR="00FD5D95">
        <w:rPr>
          <w:rFonts w:ascii="Times New Roman" w:hAnsi="Times New Roman" w:cs="Times New Roman"/>
          <w:snapToGrid w:val="0"/>
        </w:rPr>
        <w:lastRenderedPageBreak/>
        <w:t xml:space="preserve">justice </w:t>
      </w:r>
      <w:r w:rsidR="00286393">
        <w:rPr>
          <w:rFonts w:ascii="Times New Roman" w:hAnsi="Times New Roman" w:cs="Times New Roman"/>
          <w:snapToGrid w:val="0"/>
        </w:rPr>
        <w:t>I cannot find that there any prospects against the suspension especially none provided by the respondent. I</w:t>
      </w:r>
      <w:r w:rsidR="00FD5D95">
        <w:rPr>
          <w:rFonts w:ascii="Times New Roman" w:hAnsi="Times New Roman" w:cs="Times New Roman"/>
          <w:snapToGrid w:val="0"/>
        </w:rPr>
        <w:t xml:space="preserve">t would be </w:t>
      </w:r>
      <w:r w:rsidR="00FD5D95" w:rsidRPr="00216B84">
        <w:rPr>
          <w:rFonts w:ascii="Times New Roman" w:hAnsi="Times New Roman" w:cs="Times New Roman"/>
          <w:snapToGrid w:val="0"/>
        </w:rPr>
        <w:t xml:space="preserve">considered just and equitable to suspend a </w:t>
      </w:r>
      <w:r w:rsidR="00FD5D95">
        <w:rPr>
          <w:rFonts w:ascii="Times New Roman" w:hAnsi="Times New Roman" w:cs="Times New Roman"/>
          <w:snapToGrid w:val="0"/>
        </w:rPr>
        <w:t xml:space="preserve">consequences of the contracts </w:t>
      </w:r>
      <w:r w:rsidR="00FD5D95" w:rsidRPr="00216B84">
        <w:rPr>
          <w:rFonts w:ascii="Times New Roman" w:hAnsi="Times New Roman" w:cs="Times New Roman"/>
          <w:snapToGrid w:val="0"/>
        </w:rPr>
        <w:t xml:space="preserve">pending a determination of the review in which the validity of </w:t>
      </w:r>
      <w:r w:rsidR="00FD5D95">
        <w:rPr>
          <w:rFonts w:ascii="Times New Roman" w:hAnsi="Times New Roman" w:cs="Times New Roman"/>
          <w:snapToGrid w:val="0"/>
        </w:rPr>
        <w:t>the lawfulness of the termination of the contracts and there</w:t>
      </w:r>
      <w:r w:rsidR="00286393">
        <w:rPr>
          <w:rFonts w:ascii="Times New Roman" w:hAnsi="Times New Roman" w:cs="Times New Roman"/>
          <w:snapToGrid w:val="0"/>
        </w:rPr>
        <w:t>for</w:t>
      </w:r>
      <w:r w:rsidR="00F47CC2">
        <w:rPr>
          <w:rFonts w:ascii="Times New Roman" w:hAnsi="Times New Roman" w:cs="Times New Roman"/>
          <w:snapToGrid w:val="0"/>
        </w:rPr>
        <w:t>e that this Court has the power in terms of section 172(1)(b) of the Constitution</w:t>
      </w:r>
      <w:r w:rsidR="00286393">
        <w:rPr>
          <w:rFonts w:ascii="Times New Roman" w:hAnsi="Times New Roman" w:cs="Times New Roman"/>
          <w:snapToGrid w:val="0"/>
        </w:rPr>
        <w:t xml:space="preserve"> </w:t>
      </w:r>
      <w:r w:rsidR="00F47CC2">
        <w:rPr>
          <w:rFonts w:ascii="Times New Roman" w:hAnsi="Times New Roman" w:cs="Times New Roman"/>
          <w:snapToGrid w:val="0"/>
        </w:rPr>
        <w:t>to</w:t>
      </w:r>
      <w:r w:rsidR="00FD5D95" w:rsidRPr="00216B84">
        <w:rPr>
          <w:rFonts w:ascii="Times New Roman" w:hAnsi="Times New Roman" w:cs="Times New Roman"/>
          <w:snapToGrid w:val="0"/>
        </w:rPr>
        <w:t xml:space="preserve"> grant the suspension.</w:t>
      </w:r>
      <w:r w:rsidR="00FD5D95">
        <w:rPr>
          <w:rFonts w:ascii="Times New Roman" w:hAnsi="Times New Roman" w:cs="Times New Roman"/>
          <w:snapToGrid w:val="0"/>
        </w:rPr>
        <w:t xml:space="preserve"> </w:t>
      </w:r>
      <w:r w:rsidR="00421948">
        <w:rPr>
          <w:rFonts w:ascii="Times New Roman" w:hAnsi="Times New Roman" w:cs="Times New Roman"/>
          <w:snapToGrid w:val="0"/>
        </w:rPr>
        <w:t xml:space="preserve">The </w:t>
      </w:r>
      <w:r w:rsidR="002E7296">
        <w:rPr>
          <w:rFonts w:ascii="Times New Roman" w:hAnsi="Times New Roman" w:cs="Times New Roman"/>
          <w:snapToGrid w:val="0"/>
        </w:rPr>
        <w:t>a</w:t>
      </w:r>
      <w:r w:rsidR="00421948">
        <w:rPr>
          <w:rFonts w:ascii="Times New Roman" w:hAnsi="Times New Roman" w:cs="Times New Roman"/>
          <w:snapToGrid w:val="0"/>
        </w:rPr>
        <w:t xml:space="preserve">pplicant will suffer prejudice if the interim interdict is not granted to which I am satisfied that there is no alternate remedy. </w:t>
      </w:r>
    </w:p>
    <w:p w14:paraId="6D89518B" w14:textId="77777777" w:rsidR="008A1D31" w:rsidRPr="00792D28" w:rsidRDefault="008A1D31" w:rsidP="008A1D31">
      <w:pPr>
        <w:spacing w:line="360" w:lineRule="auto"/>
        <w:ind w:left="57"/>
        <w:jc w:val="both"/>
        <w:rPr>
          <w:rFonts w:ascii="Times New Roman" w:hAnsi="Times New Roman" w:cs="Times New Roman"/>
          <w:snapToGrid w:val="0"/>
        </w:rPr>
      </w:pPr>
    </w:p>
    <w:p w14:paraId="49DD21CF" w14:textId="2737446B" w:rsidR="00421948" w:rsidRPr="008A1D31" w:rsidRDefault="00421948" w:rsidP="008A1D31">
      <w:pPr>
        <w:pStyle w:val="BodyText"/>
        <w:kinsoku w:val="0"/>
        <w:overflowPunct w:val="0"/>
        <w:spacing w:line="360" w:lineRule="auto"/>
        <w:rPr>
          <w:rFonts w:ascii="Times New Roman" w:hAnsi="Times New Roman" w:cs="Times New Roman"/>
          <w:b/>
          <w:color w:val="000000" w:themeColor="text1"/>
          <w:sz w:val="24"/>
          <w:szCs w:val="24"/>
        </w:rPr>
      </w:pPr>
      <w:r w:rsidRPr="008A1D31">
        <w:rPr>
          <w:rFonts w:ascii="Times New Roman" w:hAnsi="Times New Roman" w:cs="Times New Roman"/>
          <w:b/>
          <w:color w:val="000000" w:themeColor="text1"/>
          <w:sz w:val="24"/>
          <w:szCs w:val="24"/>
        </w:rPr>
        <w:t>[</w:t>
      </w:r>
      <w:r w:rsidR="00393BAE" w:rsidRPr="008A1D31">
        <w:rPr>
          <w:rFonts w:ascii="Times New Roman" w:hAnsi="Times New Roman" w:cs="Times New Roman"/>
          <w:b/>
          <w:color w:val="000000" w:themeColor="text1"/>
          <w:sz w:val="24"/>
          <w:szCs w:val="24"/>
        </w:rPr>
        <w:t>3</w:t>
      </w:r>
      <w:r w:rsidR="00C52E8F" w:rsidRPr="008A1D31">
        <w:rPr>
          <w:rFonts w:ascii="Times New Roman" w:hAnsi="Times New Roman" w:cs="Times New Roman"/>
          <w:b/>
          <w:color w:val="000000" w:themeColor="text1"/>
          <w:sz w:val="24"/>
          <w:szCs w:val="24"/>
        </w:rPr>
        <w:t>8</w:t>
      </w:r>
      <w:r w:rsidRPr="008A1D31">
        <w:rPr>
          <w:rFonts w:ascii="Times New Roman" w:hAnsi="Times New Roman" w:cs="Times New Roman"/>
          <w:b/>
          <w:color w:val="000000" w:themeColor="text1"/>
          <w:sz w:val="24"/>
          <w:szCs w:val="24"/>
        </w:rPr>
        <w:t>]</w:t>
      </w:r>
      <w:r w:rsidRPr="008A1D31">
        <w:rPr>
          <w:rFonts w:ascii="Times New Roman" w:hAnsi="Times New Roman" w:cs="Times New Roman"/>
          <w:b/>
          <w:color w:val="000000" w:themeColor="text1"/>
          <w:sz w:val="24"/>
          <w:szCs w:val="24"/>
        </w:rPr>
        <w:tab/>
        <w:t>Accordingly, the following order is made:</w:t>
      </w:r>
    </w:p>
    <w:p w14:paraId="1BC65E32" w14:textId="77777777" w:rsidR="00F47CC2" w:rsidRPr="008A1D31" w:rsidRDefault="00C52E8F" w:rsidP="008A1D31">
      <w:pPr>
        <w:kinsoku w:val="0"/>
        <w:overflowPunct w:val="0"/>
        <w:spacing w:line="360" w:lineRule="auto"/>
        <w:ind w:left="720" w:right="23" w:hanging="720"/>
        <w:jc w:val="both"/>
        <w:rPr>
          <w:rFonts w:ascii="Times New Roman" w:hAnsi="Times New Roman" w:cs="Times New Roman"/>
          <w:b/>
          <w:color w:val="000000"/>
        </w:rPr>
      </w:pPr>
      <w:r w:rsidRPr="008A1D31">
        <w:rPr>
          <w:rFonts w:ascii="Times New Roman" w:hAnsi="Times New Roman" w:cs="Times New Roman"/>
          <w:b/>
          <w:color w:val="000000"/>
        </w:rPr>
        <w:t>1. The parties truncation of the time periods for the late filing of papers set out in the Uniform</w:t>
      </w:r>
    </w:p>
    <w:p w14:paraId="504C397A" w14:textId="583F99B6" w:rsidR="00C52E8F" w:rsidRPr="008A1D31" w:rsidRDefault="00C52E8F" w:rsidP="008A1D31">
      <w:pPr>
        <w:kinsoku w:val="0"/>
        <w:overflowPunct w:val="0"/>
        <w:spacing w:line="360" w:lineRule="auto"/>
        <w:ind w:left="720" w:right="23" w:hanging="720"/>
        <w:jc w:val="both"/>
        <w:rPr>
          <w:rFonts w:ascii="Times New Roman" w:hAnsi="Times New Roman" w:cs="Times New Roman"/>
          <w:b/>
          <w:color w:val="000000"/>
        </w:rPr>
      </w:pPr>
      <w:r w:rsidRPr="008A1D31">
        <w:rPr>
          <w:rFonts w:ascii="Times New Roman" w:hAnsi="Times New Roman" w:cs="Times New Roman"/>
          <w:b/>
          <w:color w:val="000000"/>
        </w:rPr>
        <w:t>Rules of</w:t>
      </w:r>
      <w:r w:rsidR="00F47CC2" w:rsidRPr="008A1D31">
        <w:rPr>
          <w:rFonts w:ascii="Times New Roman" w:hAnsi="Times New Roman" w:cs="Times New Roman"/>
          <w:b/>
          <w:color w:val="000000"/>
        </w:rPr>
        <w:t xml:space="preserve"> </w:t>
      </w:r>
      <w:r w:rsidRPr="008A1D31">
        <w:rPr>
          <w:rFonts w:ascii="Times New Roman" w:hAnsi="Times New Roman" w:cs="Times New Roman"/>
          <w:b/>
          <w:color w:val="000000"/>
        </w:rPr>
        <w:t xml:space="preserve">Court </w:t>
      </w:r>
      <w:r w:rsidR="00286393" w:rsidRPr="008A1D31">
        <w:rPr>
          <w:rFonts w:ascii="Times New Roman" w:hAnsi="Times New Roman" w:cs="Times New Roman"/>
          <w:b/>
          <w:color w:val="000000"/>
        </w:rPr>
        <w:t xml:space="preserve">are condoned. </w:t>
      </w:r>
    </w:p>
    <w:p w14:paraId="4F17ACA4" w14:textId="4956F872" w:rsidR="00286393" w:rsidRPr="008A1D31" w:rsidRDefault="00C52E8F" w:rsidP="008A1D31">
      <w:pPr>
        <w:kinsoku w:val="0"/>
        <w:overflowPunct w:val="0"/>
        <w:spacing w:line="360" w:lineRule="auto"/>
        <w:ind w:right="23"/>
        <w:jc w:val="both"/>
        <w:rPr>
          <w:rFonts w:ascii="Times New Roman" w:hAnsi="Times New Roman" w:cs="Times New Roman"/>
          <w:b/>
          <w:color w:val="000000"/>
        </w:rPr>
      </w:pPr>
      <w:r w:rsidRPr="008A1D31">
        <w:rPr>
          <w:rFonts w:ascii="Times New Roman" w:hAnsi="Times New Roman" w:cs="Times New Roman"/>
          <w:b/>
          <w:color w:val="000000"/>
        </w:rPr>
        <w:t>2.</w:t>
      </w:r>
      <w:r w:rsidR="00286393" w:rsidRPr="008A1D31">
        <w:rPr>
          <w:rFonts w:ascii="Times New Roman" w:hAnsi="Times New Roman" w:cs="Times New Roman"/>
          <w:b/>
          <w:color w:val="000000"/>
        </w:rPr>
        <w:t xml:space="preserve"> The application seeking leave to file a further affidavit (“the leave application”)</w:t>
      </w:r>
      <w:r w:rsidRPr="008A1D31">
        <w:rPr>
          <w:rFonts w:ascii="Times New Roman" w:hAnsi="Times New Roman" w:cs="Times New Roman"/>
          <w:b/>
          <w:color w:val="000000"/>
        </w:rPr>
        <w:t xml:space="preserve"> </w:t>
      </w:r>
      <w:r w:rsidR="00286393" w:rsidRPr="008A1D31">
        <w:rPr>
          <w:rFonts w:ascii="Times New Roman" w:hAnsi="Times New Roman" w:cs="Times New Roman"/>
          <w:b/>
          <w:color w:val="000000"/>
        </w:rPr>
        <w:t xml:space="preserve">is granted and the affidavits and corresponding annexures in the leave application are admitted into evidence in the main application. </w:t>
      </w:r>
    </w:p>
    <w:p w14:paraId="7410B4A5" w14:textId="77777777" w:rsidR="00286393" w:rsidRPr="008A1D31" w:rsidRDefault="00286393" w:rsidP="008A1D31">
      <w:pPr>
        <w:kinsoku w:val="0"/>
        <w:overflowPunct w:val="0"/>
        <w:spacing w:line="360" w:lineRule="auto"/>
        <w:ind w:right="23"/>
        <w:jc w:val="both"/>
        <w:rPr>
          <w:rFonts w:ascii="Times New Roman" w:hAnsi="Times New Roman" w:cs="Times New Roman"/>
          <w:b/>
          <w:color w:val="000000"/>
        </w:rPr>
      </w:pPr>
      <w:r w:rsidRPr="008A1D31">
        <w:rPr>
          <w:rFonts w:ascii="Times New Roman" w:hAnsi="Times New Roman" w:cs="Times New Roman"/>
          <w:b/>
          <w:color w:val="000000"/>
        </w:rPr>
        <w:t>3. It is directed that-</w:t>
      </w:r>
    </w:p>
    <w:p w14:paraId="1745CC73" w14:textId="5E895164" w:rsidR="00C52E8F" w:rsidRPr="008A1D31" w:rsidRDefault="00286393" w:rsidP="008A1D31">
      <w:pPr>
        <w:kinsoku w:val="0"/>
        <w:overflowPunct w:val="0"/>
        <w:spacing w:line="360" w:lineRule="auto"/>
        <w:ind w:left="720" w:right="23"/>
        <w:jc w:val="both"/>
        <w:rPr>
          <w:rFonts w:ascii="Times New Roman" w:hAnsi="Times New Roman" w:cs="Times New Roman"/>
          <w:b/>
          <w:color w:val="000000"/>
        </w:rPr>
      </w:pPr>
      <w:r w:rsidRPr="008A1D31">
        <w:rPr>
          <w:rFonts w:ascii="Times New Roman" w:hAnsi="Times New Roman" w:cs="Times New Roman"/>
          <w:b/>
          <w:color w:val="000000"/>
        </w:rPr>
        <w:t xml:space="preserve">3.1 subject to paragraph 3.2 below, </w:t>
      </w:r>
      <w:r w:rsidR="00C52E8F" w:rsidRPr="008A1D31">
        <w:rPr>
          <w:rFonts w:ascii="Times New Roman" w:hAnsi="Times New Roman" w:cs="Times New Roman"/>
          <w:b/>
          <w:color w:val="000000"/>
        </w:rPr>
        <w:t xml:space="preserve">the legal validity of the decision of the respondent to issue termination notices to the applicant in respect of Contact SANRAL N.002-057-2021/1 and Contact SANRAL N.002-078-2021/1 (“the Contracts”) </w:t>
      </w:r>
      <w:r w:rsidRPr="008A1D31">
        <w:rPr>
          <w:rFonts w:ascii="Times New Roman" w:hAnsi="Times New Roman" w:cs="Times New Roman"/>
          <w:b/>
          <w:color w:val="000000"/>
        </w:rPr>
        <w:t xml:space="preserve">is hereby suspended, </w:t>
      </w:r>
      <w:r w:rsidR="00C52E8F" w:rsidRPr="008A1D31">
        <w:rPr>
          <w:rFonts w:ascii="Times New Roman" w:hAnsi="Times New Roman" w:cs="Times New Roman"/>
          <w:b/>
          <w:color w:val="000000"/>
        </w:rPr>
        <w:t>pending the finalisation of any action and/or judicial review proceedings launched by the plaintiff against the respondent in respect of the Contracts (“the main action”)</w:t>
      </w:r>
      <w:r w:rsidRPr="008A1D31">
        <w:rPr>
          <w:rFonts w:ascii="Times New Roman" w:hAnsi="Times New Roman" w:cs="Times New Roman"/>
          <w:b/>
          <w:color w:val="000000"/>
        </w:rPr>
        <w:t xml:space="preserve"> in Part B of the applicant’s application; and </w:t>
      </w:r>
    </w:p>
    <w:p w14:paraId="1AAA7636" w14:textId="77777777" w:rsidR="00F47CC2" w:rsidRPr="008A1D31" w:rsidRDefault="00F47CC2" w:rsidP="008A1D31">
      <w:pPr>
        <w:kinsoku w:val="0"/>
        <w:overflowPunct w:val="0"/>
        <w:spacing w:line="360" w:lineRule="auto"/>
        <w:ind w:left="720" w:right="23"/>
        <w:jc w:val="both"/>
        <w:rPr>
          <w:rFonts w:ascii="Times New Roman" w:hAnsi="Times New Roman" w:cs="Times New Roman"/>
          <w:b/>
          <w:color w:val="000000"/>
        </w:rPr>
      </w:pPr>
    </w:p>
    <w:p w14:paraId="2A0EEFF1" w14:textId="6D10055B" w:rsidR="00286393" w:rsidRPr="008A1D31" w:rsidRDefault="00C52E8F" w:rsidP="008A1D31">
      <w:pPr>
        <w:kinsoku w:val="0"/>
        <w:overflowPunct w:val="0"/>
        <w:spacing w:line="360" w:lineRule="auto"/>
        <w:ind w:left="720" w:right="23"/>
        <w:jc w:val="both"/>
        <w:rPr>
          <w:rFonts w:ascii="Times New Roman" w:hAnsi="Times New Roman" w:cs="Times New Roman"/>
          <w:b/>
          <w:color w:val="000000"/>
        </w:rPr>
      </w:pPr>
      <w:r w:rsidRPr="008A1D31">
        <w:rPr>
          <w:rFonts w:ascii="Times New Roman" w:hAnsi="Times New Roman" w:cs="Times New Roman"/>
          <w:b/>
          <w:color w:val="000000"/>
        </w:rPr>
        <w:t>3.</w:t>
      </w:r>
      <w:r w:rsidR="00286393" w:rsidRPr="008A1D31">
        <w:rPr>
          <w:rFonts w:ascii="Times New Roman" w:hAnsi="Times New Roman" w:cs="Times New Roman"/>
          <w:b/>
          <w:color w:val="000000"/>
        </w:rPr>
        <w:t>2 The interim suspension provided for in paragraph 3.1 above, will not affect the respondent’s ability to employ alternative service provision for the contracts term of the Public Procurement Management Act No.1 of 1999.</w:t>
      </w:r>
      <w:r w:rsidRPr="008A1D31">
        <w:rPr>
          <w:rFonts w:ascii="Times New Roman" w:hAnsi="Times New Roman" w:cs="Times New Roman"/>
          <w:b/>
          <w:color w:val="000000"/>
        </w:rPr>
        <w:t xml:space="preserve"> </w:t>
      </w:r>
    </w:p>
    <w:p w14:paraId="192484E6" w14:textId="77777777" w:rsidR="00286393" w:rsidRPr="008A1D31" w:rsidRDefault="00286393" w:rsidP="008A1D31">
      <w:pPr>
        <w:kinsoku w:val="0"/>
        <w:overflowPunct w:val="0"/>
        <w:spacing w:line="360" w:lineRule="auto"/>
        <w:ind w:left="720" w:right="23"/>
        <w:jc w:val="both"/>
        <w:rPr>
          <w:rFonts w:ascii="Times New Roman" w:hAnsi="Times New Roman" w:cs="Times New Roman"/>
          <w:b/>
          <w:color w:val="000000"/>
        </w:rPr>
      </w:pPr>
    </w:p>
    <w:p w14:paraId="6BC1040F" w14:textId="65B9C2A3" w:rsidR="00C52E8F" w:rsidRPr="008A1D31" w:rsidRDefault="00286393" w:rsidP="008A1D31">
      <w:pPr>
        <w:kinsoku w:val="0"/>
        <w:overflowPunct w:val="0"/>
        <w:spacing w:line="360" w:lineRule="auto"/>
        <w:ind w:right="23"/>
        <w:jc w:val="both"/>
        <w:rPr>
          <w:rFonts w:ascii="Times New Roman" w:hAnsi="Times New Roman" w:cs="Times New Roman"/>
          <w:b/>
          <w:color w:val="000000"/>
        </w:rPr>
      </w:pPr>
      <w:r w:rsidRPr="008A1D31">
        <w:rPr>
          <w:rFonts w:ascii="Times New Roman" w:hAnsi="Times New Roman" w:cs="Times New Roman"/>
          <w:b/>
          <w:color w:val="000000"/>
        </w:rPr>
        <w:t>4. A</w:t>
      </w:r>
      <w:r w:rsidR="00C52E8F" w:rsidRPr="008A1D31">
        <w:rPr>
          <w:rFonts w:ascii="Times New Roman" w:hAnsi="Times New Roman" w:cs="Times New Roman"/>
          <w:b/>
          <w:color w:val="000000"/>
        </w:rPr>
        <w:t xml:space="preserve">ny and all proceedings to be instituted as part of the main action referred to in paragraph </w:t>
      </w:r>
      <w:r w:rsidRPr="008A1D31">
        <w:rPr>
          <w:rFonts w:ascii="Times New Roman" w:hAnsi="Times New Roman" w:cs="Times New Roman"/>
          <w:b/>
          <w:color w:val="000000"/>
        </w:rPr>
        <w:t>3.1</w:t>
      </w:r>
      <w:r w:rsidR="00C52E8F" w:rsidRPr="008A1D31">
        <w:rPr>
          <w:rFonts w:ascii="Times New Roman" w:hAnsi="Times New Roman" w:cs="Times New Roman"/>
          <w:b/>
          <w:color w:val="000000"/>
        </w:rPr>
        <w:t>, above</w:t>
      </w:r>
      <w:r w:rsidRPr="008A1D31">
        <w:rPr>
          <w:rFonts w:ascii="Times New Roman" w:hAnsi="Times New Roman" w:cs="Times New Roman"/>
          <w:b/>
          <w:color w:val="000000"/>
        </w:rPr>
        <w:t>, are hereby directed to be</w:t>
      </w:r>
      <w:r w:rsidR="00C52E8F" w:rsidRPr="008A1D31">
        <w:rPr>
          <w:rFonts w:ascii="Times New Roman" w:hAnsi="Times New Roman" w:cs="Times New Roman"/>
          <w:b/>
          <w:color w:val="000000"/>
        </w:rPr>
        <w:t xml:space="preserve"> served and filed within 20 (twenty) days of the date of this order, failing which the order in paragraph </w:t>
      </w:r>
      <w:r w:rsidRPr="008A1D31">
        <w:rPr>
          <w:rFonts w:ascii="Times New Roman" w:hAnsi="Times New Roman" w:cs="Times New Roman"/>
          <w:b/>
          <w:color w:val="000000"/>
        </w:rPr>
        <w:t>3.1</w:t>
      </w:r>
      <w:r w:rsidR="00C52E8F" w:rsidRPr="008A1D31">
        <w:rPr>
          <w:rFonts w:ascii="Times New Roman" w:hAnsi="Times New Roman" w:cs="Times New Roman"/>
          <w:b/>
          <w:color w:val="000000"/>
        </w:rPr>
        <w:t>, above, will cease to have effect.</w:t>
      </w:r>
    </w:p>
    <w:p w14:paraId="66C59AB3" w14:textId="1885BCBA" w:rsidR="00F47CC2" w:rsidRPr="008A1D31" w:rsidRDefault="00F47CC2" w:rsidP="008A1D31">
      <w:pPr>
        <w:kinsoku w:val="0"/>
        <w:overflowPunct w:val="0"/>
        <w:spacing w:line="360" w:lineRule="auto"/>
        <w:ind w:right="23"/>
        <w:jc w:val="both"/>
        <w:rPr>
          <w:rFonts w:ascii="Times New Roman" w:hAnsi="Times New Roman" w:cs="Times New Roman"/>
          <w:b/>
          <w:color w:val="000000"/>
        </w:rPr>
      </w:pPr>
      <w:r w:rsidRPr="008A1D31">
        <w:rPr>
          <w:rFonts w:ascii="Times New Roman" w:hAnsi="Times New Roman" w:cs="Times New Roman"/>
          <w:b/>
          <w:color w:val="000000"/>
        </w:rPr>
        <w:t>5. The respondent to pay the costs of this application, and the cost of the leave application, including the costs of two counsel.</w:t>
      </w:r>
    </w:p>
    <w:p w14:paraId="15109182" w14:textId="445F9C13" w:rsidR="00C52E8F" w:rsidRPr="008A1D31" w:rsidRDefault="00C52E8F" w:rsidP="00C52E8F">
      <w:pPr>
        <w:kinsoku w:val="0"/>
        <w:overflowPunct w:val="0"/>
        <w:spacing w:before="92" w:line="360" w:lineRule="auto"/>
        <w:ind w:left="720" w:right="23"/>
        <w:jc w:val="both"/>
        <w:rPr>
          <w:rFonts w:ascii="Times New Roman" w:hAnsi="Times New Roman" w:cs="Times New Roman"/>
          <w:b/>
          <w:color w:val="000000"/>
        </w:rPr>
      </w:pPr>
      <w:r w:rsidRPr="008A1D31">
        <w:rPr>
          <w:rFonts w:ascii="Times New Roman" w:hAnsi="Times New Roman" w:cs="Times New Roman"/>
          <w:b/>
          <w:color w:val="000000"/>
        </w:rPr>
        <w:lastRenderedPageBreak/>
        <w:t xml:space="preserve"> </w:t>
      </w:r>
    </w:p>
    <w:p w14:paraId="37AAD602" w14:textId="77777777" w:rsidR="00C52E8F" w:rsidRPr="008A1D31" w:rsidRDefault="00C52E8F" w:rsidP="00C52E8F">
      <w:pPr>
        <w:kinsoku w:val="0"/>
        <w:overflowPunct w:val="0"/>
        <w:spacing w:before="92" w:line="360" w:lineRule="auto"/>
        <w:ind w:left="720" w:right="23" w:hanging="720"/>
        <w:jc w:val="both"/>
        <w:rPr>
          <w:rFonts w:ascii="Times New Roman" w:hAnsi="Times New Roman" w:cs="Times New Roman"/>
          <w:b/>
          <w:color w:val="000000"/>
        </w:rPr>
      </w:pPr>
    </w:p>
    <w:p w14:paraId="5ED37B86" w14:textId="77777777" w:rsidR="008A1D31" w:rsidRDefault="008A1D31" w:rsidP="00421948">
      <w:pPr>
        <w:pStyle w:val="BodyText"/>
        <w:kinsoku w:val="0"/>
        <w:overflowPunct w:val="0"/>
        <w:spacing w:before="2" w:line="360" w:lineRule="auto"/>
        <w:jc w:val="right"/>
        <w:rPr>
          <w:rFonts w:ascii="Times New Roman" w:hAnsi="Times New Roman" w:cs="Times New Roman"/>
          <w:color w:val="000000" w:themeColor="text1"/>
          <w:sz w:val="24"/>
          <w:szCs w:val="24"/>
        </w:rPr>
      </w:pPr>
    </w:p>
    <w:p w14:paraId="1B598494" w14:textId="05366C42" w:rsidR="00FA2CBF" w:rsidRDefault="00FA2CBF"/>
    <w:p w14:paraId="13E3D541" w14:textId="2E5B38D9" w:rsidR="00E63344" w:rsidRDefault="00E63344"/>
    <w:p w14:paraId="7CA0A4D6" w14:textId="2DD29B84" w:rsidR="00E63344" w:rsidRDefault="00E63344">
      <w:r>
        <w:t>________________</w:t>
      </w:r>
    </w:p>
    <w:p w14:paraId="03A4F4EB" w14:textId="0C393374" w:rsidR="00E63344" w:rsidRPr="00E63344" w:rsidRDefault="00E63344">
      <w:pPr>
        <w:rPr>
          <w:b/>
        </w:rPr>
      </w:pPr>
      <w:r w:rsidRPr="00E63344">
        <w:rPr>
          <w:b/>
        </w:rPr>
        <w:t xml:space="preserve">SARDIWALLA J </w:t>
      </w:r>
    </w:p>
    <w:p w14:paraId="09779833" w14:textId="3B3D2E9D" w:rsidR="00E63344" w:rsidRPr="00E63344" w:rsidRDefault="00E63344">
      <w:pPr>
        <w:rPr>
          <w:b/>
        </w:rPr>
      </w:pPr>
      <w:r w:rsidRPr="00E63344">
        <w:rPr>
          <w:b/>
        </w:rPr>
        <w:t xml:space="preserve">JUDGE OF THE HIGH COURT </w:t>
      </w:r>
    </w:p>
    <w:p w14:paraId="3532106E" w14:textId="4B6FB6E0" w:rsidR="00E63344" w:rsidRDefault="00E63344"/>
    <w:p w14:paraId="17C7835F" w14:textId="456126D9" w:rsidR="00E63344" w:rsidRDefault="00E63344"/>
    <w:p w14:paraId="3B1C281A" w14:textId="5C3A4181" w:rsidR="00E63344" w:rsidRDefault="00E63344"/>
    <w:p w14:paraId="41EFDFC9" w14:textId="77777777" w:rsidR="00E63344" w:rsidRDefault="00E63344"/>
    <w:p w14:paraId="3122F066" w14:textId="676C75EC" w:rsidR="0047758D" w:rsidRPr="008B48B7" w:rsidRDefault="0047758D">
      <w:pPr>
        <w:rPr>
          <w:rFonts w:ascii="Times" w:hAnsi="Times"/>
        </w:rPr>
      </w:pPr>
      <w:r w:rsidRPr="008B48B7">
        <w:rPr>
          <w:rFonts w:ascii="Times" w:hAnsi="Times"/>
        </w:rPr>
        <w:t>Appearances:</w:t>
      </w:r>
    </w:p>
    <w:p w14:paraId="46F4D9FE" w14:textId="3A5BB765" w:rsidR="0047758D" w:rsidRPr="008B48B7" w:rsidRDefault="0047758D">
      <w:pPr>
        <w:rPr>
          <w:rFonts w:ascii="Times" w:hAnsi="Times"/>
        </w:rPr>
      </w:pPr>
    </w:p>
    <w:p w14:paraId="6B977A86" w14:textId="6FA01E90" w:rsidR="0047758D" w:rsidRDefault="0047758D">
      <w:pPr>
        <w:rPr>
          <w:rFonts w:ascii="Times" w:hAnsi="Times"/>
        </w:rPr>
      </w:pPr>
      <w:r w:rsidRPr="008B48B7">
        <w:rPr>
          <w:rFonts w:ascii="Times" w:hAnsi="Times"/>
        </w:rPr>
        <w:t>For the Applicant:</w:t>
      </w:r>
      <w:r w:rsidRPr="008B48B7">
        <w:rPr>
          <w:rFonts w:ascii="Times" w:hAnsi="Times"/>
        </w:rPr>
        <w:tab/>
      </w:r>
      <w:r w:rsidR="008B48B7">
        <w:rPr>
          <w:rFonts w:ascii="Times" w:hAnsi="Times"/>
        </w:rPr>
        <w:t xml:space="preserve">Adv </w:t>
      </w:r>
      <w:r w:rsidR="00F47CC2">
        <w:rPr>
          <w:rFonts w:ascii="Times" w:hAnsi="Times"/>
        </w:rPr>
        <w:t>M</w:t>
      </w:r>
      <w:r w:rsidR="00E63344">
        <w:rPr>
          <w:rFonts w:ascii="Times" w:hAnsi="Times"/>
        </w:rPr>
        <w:t xml:space="preserve"> </w:t>
      </w:r>
      <w:r w:rsidR="00F47CC2">
        <w:rPr>
          <w:rFonts w:ascii="Times" w:hAnsi="Times"/>
        </w:rPr>
        <w:t>D Stubbs</w:t>
      </w:r>
    </w:p>
    <w:p w14:paraId="4D8690E2" w14:textId="65E7FC6D" w:rsidR="00F47CC2" w:rsidRPr="008B48B7" w:rsidRDefault="00E63344">
      <w:pPr>
        <w:rPr>
          <w:rFonts w:ascii="Times" w:hAnsi="Times"/>
        </w:rPr>
      </w:pPr>
      <w:r>
        <w:rPr>
          <w:rFonts w:ascii="Times" w:hAnsi="Times"/>
        </w:rPr>
        <w:tab/>
      </w:r>
      <w:r>
        <w:rPr>
          <w:rFonts w:ascii="Times" w:hAnsi="Times"/>
        </w:rPr>
        <w:tab/>
      </w:r>
      <w:r>
        <w:rPr>
          <w:rFonts w:ascii="Times" w:hAnsi="Times"/>
        </w:rPr>
        <w:tab/>
        <w:t>Adv I. K</w:t>
      </w:r>
      <w:r w:rsidR="00F47CC2">
        <w:rPr>
          <w:rFonts w:ascii="Times" w:hAnsi="Times"/>
        </w:rPr>
        <w:t>entridge</w:t>
      </w:r>
    </w:p>
    <w:p w14:paraId="45337A7F" w14:textId="5E5F2CFD" w:rsidR="0047758D" w:rsidRDefault="0047758D">
      <w:pPr>
        <w:rPr>
          <w:rFonts w:ascii="Times" w:hAnsi="Times"/>
        </w:rPr>
      </w:pPr>
      <w:r w:rsidRPr="008B48B7">
        <w:rPr>
          <w:rFonts w:ascii="Times" w:hAnsi="Times"/>
        </w:rPr>
        <w:t>Instructed by:</w:t>
      </w:r>
      <w:r w:rsidRPr="008B48B7">
        <w:rPr>
          <w:rFonts w:ascii="Times" w:hAnsi="Times"/>
        </w:rPr>
        <w:tab/>
      </w:r>
      <w:r w:rsidRPr="008B48B7">
        <w:rPr>
          <w:rFonts w:ascii="Times" w:hAnsi="Times"/>
        </w:rPr>
        <w:tab/>
      </w:r>
      <w:r w:rsidR="00F47CC2">
        <w:rPr>
          <w:rFonts w:ascii="Times" w:hAnsi="Times"/>
        </w:rPr>
        <w:t xml:space="preserve">Zimri attorneys </w:t>
      </w:r>
    </w:p>
    <w:p w14:paraId="044DE12C" w14:textId="77777777" w:rsidR="00E63344" w:rsidRPr="008B48B7" w:rsidRDefault="00E63344">
      <w:pPr>
        <w:rPr>
          <w:rFonts w:ascii="Times" w:hAnsi="Times"/>
        </w:rPr>
      </w:pPr>
    </w:p>
    <w:p w14:paraId="43597404" w14:textId="59C4857F" w:rsidR="0047758D" w:rsidRPr="008B48B7" w:rsidRDefault="0047758D">
      <w:pPr>
        <w:rPr>
          <w:rFonts w:ascii="Times" w:hAnsi="Times"/>
        </w:rPr>
      </w:pPr>
    </w:p>
    <w:p w14:paraId="63423898" w14:textId="4F9F6369" w:rsidR="0047758D" w:rsidRPr="008B48B7" w:rsidRDefault="0047758D">
      <w:pPr>
        <w:rPr>
          <w:rFonts w:ascii="Times" w:hAnsi="Times"/>
        </w:rPr>
      </w:pPr>
      <w:r w:rsidRPr="008B48B7">
        <w:rPr>
          <w:rFonts w:ascii="Times" w:hAnsi="Times"/>
        </w:rPr>
        <w:t>For the Respondent:</w:t>
      </w:r>
      <w:r w:rsidR="00E63344">
        <w:rPr>
          <w:rFonts w:ascii="Times" w:hAnsi="Times"/>
        </w:rPr>
        <w:tab/>
        <w:t>Adv. N January</w:t>
      </w:r>
      <w:r w:rsidRPr="008B48B7">
        <w:rPr>
          <w:rFonts w:ascii="Times" w:hAnsi="Times"/>
        </w:rPr>
        <w:tab/>
      </w:r>
    </w:p>
    <w:p w14:paraId="2AACD235" w14:textId="2A33E969" w:rsidR="0047758D" w:rsidRPr="008B48B7" w:rsidRDefault="0047758D">
      <w:pPr>
        <w:rPr>
          <w:rFonts w:ascii="Times" w:hAnsi="Times"/>
        </w:rPr>
      </w:pPr>
      <w:r w:rsidRPr="008B48B7">
        <w:rPr>
          <w:rFonts w:ascii="Times" w:hAnsi="Times"/>
        </w:rPr>
        <w:t xml:space="preserve">Instructed by: </w:t>
      </w:r>
      <w:r w:rsidRPr="008B48B7">
        <w:rPr>
          <w:rFonts w:ascii="Times" w:hAnsi="Times"/>
        </w:rPr>
        <w:tab/>
      </w:r>
      <w:r w:rsidRPr="008B48B7">
        <w:rPr>
          <w:rFonts w:ascii="Times" w:hAnsi="Times"/>
        </w:rPr>
        <w:tab/>
      </w:r>
      <w:r w:rsidR="00F47CC2">
        <w:rPr>
          <w:rFonts w:ascii="Times" w:hAnsi="Times"/>
        </w:rPr>
        <w:t xml:space="preserve">Dube N attorneys Inc. </w:t>
      </w:r>
    </w:p>
    <w:sectPr w:rsidR="0047758D" w:rsidRPr="008B48B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A11E" w14:textId="77777777" w:rsidR="009D402E" w:rsidRDefault="009D402E" w:rsidP="00421948">
      <w:r>
        <w:separator/>
      </w:r>
    </w:p>
  </w:endnote>
  <w:endnote w:type="continuationSeparator" w:id="0">
    <w:p w14:paraId="6A4758EB" w14:textId="77777777" w:rsidR="009D402E" w:rsidRDefault="009D402E" w:rsidP="0042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7281330"/>
      <w:docPartObj>
        <w:docPartGallery w:val="Page Numbers (Bottom of Page)"/>
        <w:docPartUnique/>
      </w:docPartObj>
    </w:sdtPr>
    <w:sdtEndPr>
      <w:rPr>
        <w:rStyle w:val="PageNumber"/>
      </w:rPr>
    </w:sdtEndPr>
    <w:sdtContent>
      <w:p w14:paraId="76530F3D" w14:textId="24774BBD" w:rsidR="00DE25C3" w:rsidRDefault="00DE25C3" w:rsidP="006919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827F1B" w14:textId="77777777" w:rsidR="00DE25C3" w:rsidRDefault="00DE25C3" w:rsidP="00DE25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0725984"/>
      <w:docPartObj>
        <w:docPartGallery w:val="Page Numbers (Bottom of Page)"/>
        <w:docPartUnique/>
      </w:docPartObj>
    </w:sdtPr>
    <w:sdtEndPr>
      <w:rPr>
        <w:rStyle w:val="PageNumber"/>
      </w:rPr>
    </w:sdtEndPr>
    <w:sdtContent>
      <w:p w14:paraId="3B840EED" w14:textId="47399F86" w:rsidR="00DE25C3" w:rsidRDefault="00DE25C3" w:rsidP="006919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64C8">
          <w:rPr>
            <w:rStyle w:val="PageNumber"/>
            <w:noProof/>
          </w:rPr>
          <w:t>2</w:t>
        </w:r>
        <w:r>
          <w:rPr>
            <w:rStyle w:val="PageNumber"/>
          </w:rPr>
          <w:fldChar w:fldCharType="end"/>
        </w:r>
      </w:p>
    </w:sdtContent>
  </w:sdt>
  <w:p w14:paraId="612DF7B0" w14:textId="77777777" w:rsidR="00DE25C3" w:rsidRDefault="00DE25C3" w:rsidP="00DE25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E992" w14:textId="77777777" w:rsidR="009D402E" w:rsidRDefault="009D402E" w:rsidP="00421948">
      <w:r>
        <w:separator/>
      </w:r>
    </w:p>
  </w:footnote>
  <w:footnote w:type="continuationSeparator" w:id="0">
    <w:p w14:paraId="7C590771" w14:textId="77777777" w:rsidR="009D402E" w:rsidRDefault="009D402E" w:rsidP="00421948">
      <w:r>
        <w:continuationSeparator/>
      </w:r>
    </w:p>
  </w:footnote>
  <w:footnote w:id="1">
    <w:p w14:paraId="1631B411" w14:textId="50ED5B93" w:rsidR="00216B84" w:rsidRPr="00C52E8F" w:rsidRDefault="00216B84">
      <w:pPr>
        <w:pStyle w:val="FootnoteText"/>
        <w:rPr>
          <w:rFonts w:asciiTheme="majorHAnsi" w:hAnsiTheme="majorHAnsi" w:cstheme="majorHAnsi"/>
          <w:lang w:val="en-US"/>
        </w:rPr>
      </w:pPr>
      <w:r>
        <w:rPr>
          <w:rStyle w:val="FootnoteReference"/>
        </w:rPr>
        <w:footnoteRef/>
      </w:r>
      <w:r>
        <w:t xml:space="preserve"> </w:t>
      </w:r>
      <w:r w:rsidRPr="00C52E8F">
        <w:rPr>
          <w:rFonts w:asciiTheme="majorHAnsi" w:hAnsiTheme="majorHAnsi" w:cstheme="majorHAnsi"/>
          <w:lang w:val="en-US"/>
        </w:rPr>
        <w:t>Economic Freedom Fighters v Gordhan and others 2020 (6) SA 325 (CC) at paras 114 and 115</w:t>
      </w:r>
    </w:p>
  </w:footnote>
  <w:footnote w:id="2">
    <w:p w14:paraId="17CC65CE" w14:textId="66B9A8B4" w:rsidR="0047758D" w:rsidRPr="00C52E8F" w:rsidRDefault="0047758D">
      <w:pPr>
        <w:pStyle w:val="FootnoteText"/>
        <w:rPr>
          <w:rFonts w:asciiTheme="majorHAnsi" w:hAnsiTheme="majorHAnsi" w:cstheme="majorHAnsi"/>
          <w:lang w:val="en-US"/>
        </w:rPr>
      </w:pPr>
      <w:r w:rsidRPr="00C52E8F">
        <w:rPr>
          <w:rStyle w:val="FootnoteReference"/>
          <w:rFonts w:asciiTheme="majorHAnsi" w:hAnsiTheme="majorHAnsi" w:cstheme="majorHAnsi"/>
        </w:rPr>
        <w:footnoteRef/>
      </w:r>
      <w:r w:rsidRPr="00C52E8F">
        <w:rPr>
          <w:rFonts w:asciiTheme="majorHAnsi" w:hAnsiTheme="majorHAnsi" w:cstheme="majorHAnsi"/>
        </w:rPr>
        <w:t xml:space="preserve"> </w:t>
      </w:r>
      <w:r w:rsidRPr="00C52E8F">
        <w:rPr>
          <w:rFonts w:asciiTheme="majorHAnsi" w:eastAsia="Times New Roman" w:hAnsiTheme="majorHAnsi" w:cstheme="majorHAnsi"/>
          <w:lang w:val="en-GB"/>
        </w:rPr>
        <w:t>(11/33767) [2011] ZAGPJHC 196 (23 September 2011)</w:t>
      </w:r>
    </w:p>
  </w:footnote>
  <w:footnote w:id="3">
    <w:p w14:paraId="76964B2A" w14:textId="77777777" w:rsidR="00504D70" w:rsidRPr="00C52E8F" w:rsidRDefault="00504D70" w:rsidP="00504D70">
      <w:pPr>
        <w:pStyle w:val="FootnoteText"/>
        <w:rPr>
          <w:rFonts w:asciiTheme="majorHAnsi" w:hAnsiTheme="majorHAnsi" w:cstheme="majorHAnsi"/>
          <w:lang w:val="en-US"/>
        </w:rPr>
      </w:pPr>
      <w:r w:rsidRPr="00C52E8F">
        <w:rPr>
          <w:rStyle w:val="FootnoteReference"/>
          <w:rFonts w:asciiTheme="majorHAnsi" w:hAnsiTheme="majorHAnsi" w:cstheme="majorHAnsi"/>
        </w:rPr>
        <w:footnoteRef/>
      </w:r>
      <w:r w:rsidRPr="00C52E8F">
        <w:rPr>
          <w:rFonts w:asciiTheme="majorHAnsi" w:hAnsiTheme="majorHAnsi" w:cstheme="majorHAnsi"/>
        </w:rPr>
        <w:t xml:space="preserve"> </w:t>
      </w:r>
      <w:r w:rsidRPr="00C52E8F">
        <w:rPr>
          <w:rFonts w:asciiTheme="majorHAnsi" w:hAnsiTheme="majorHAnsi" w:cstheme="majorHAnsi"/>
          <w:color w:val="242121"/>
          <w:shd w:val="clear" w:color="auto" w:fill="FFFFFF"/>
        </w:rPr>
        <w:t>1972(1) SA 773 (A) at para 782A - G</w:t>
      </w:r>
    </w:p>
  </w:footnote>
  <w:footnote w:id="4">
    <w:p w14:paraId="7ECE7135" w14:textId="77777777" w:rsidR="00504D70" w:rsidRPr="00C52E8F" w:rsidRDefault="00504D70" w:rsidP="00504D70">
      <w:pPr>
        <w:pStyle w:val="NormalWeb"/>
        <w:shd w:val="clear" w:color="auto" w:fill="FFFFFF"/>
        <w:spacing w:before="144" w:line="360" w:lineRule="atLeast"/>
        <w:rPr>
          <w:rFonts w:asciiTheme="majorHAnsi" w:hAnsiTheme="majorHAnsi" w:cstheme="majorHAnsi"/>
          <w:color w:val="242121"/>
          <w:sz w:val="20"/>
          <w:szCs w:val="20"/>
        </w:rPr>
      </w:pPr>
      <w:r w:rsidRPr="00C52E8F">
        <w:rPr>
          <w:rStyle w:val="FootnoteReference"/>
          <w:rFonts w:asciiTheme="majorHAnsi" w:hAnsiTheme="majorHAnsi" w:cstheme="majorHAnsi"/>
          <w:sz w:val="20"/>
          <w:szCs w:val="20"/>
        </w:rPr>
        <w:footnoteRef/>
      </w:r>
      <w:r w:rsidRPr="00C52E8F">
        <w:rPr>
          <w:rFonts w:asciiTheme="majorHAnsi" w:hAnsiTheme="majorHAnsi" w:cstheme="majorHAnsi"/>
          <w:sz w:val="20"/>
          <w:szCs w:val="20"/>
        </w:rPr>
        <w:t xml:space="preserve"> </w:t>
      </w:r>
      <w:r w:rsidRPr="00C52E8F">
        <w:rPr>
          <w:rFonts w:asciiTheme="majorHAnsi" w:hAnsiTheme="majorHAnsi" w:cstheme="majorHAnsi"/>
          <w:color w:val="242121"/>
          <w:sz w:val="20"/>
          <w:szCs w:val="20"/>
        </w:rPr>
        <w:t>1977(4) SA 135 (W), see further also Sikwe vs SA Mutual Fire and General Insurance </w:t>
      </w:r>
      <w:hyperlink r:id="rId1" w:tooltip="View LawCiteRecord" w:history="1">
        <w:r w:rsidRPr="00C52E8F">
          <w:rPr>
            <w:rStyle w:val="Hyperlink"/>
            <w:rFonts w:asciiTheme="majorHAnsi" w:hAnsiTheme="majorHAnsi" w:cstheme="majorHAnsi"/>
            <w:color w:val="0B4B0B"/>
            <w:sz w:val="20"/>
            <w:szCs w:val="20"/>
            <w:u w:val="none"/>
          </w:rPr>
          <w:t>1977 (3) SA 438</w:t>
        </w:r>
      </w:hyperlink>
      <w:r w:rsidRPr="00C52E8F">
        <w:rPr>
          <w:rFonts w:asciiTheme="majorHAnsi" w:hAnsiTheme="majorHAnsi" w:cstheme="majorHAnsi"/>
          <w:color w:val="242121"/>
          <w:sz w:val="20"/>
          <w:szCs w:val="20"/>
        </w:rPr>
        <w:t> (W) at 440G - 441A.</w:t>
      </w:r>
    </w:p>
    <w:p w14:paraId="50D9EE45" w14:textId="77777777" w:rsidR="00504D70" w:rsidRPr="00C52E8F" w:rsidRDefault="00504D70" w:rsidP="00504D70">
      <w:pPr>
        <w:pStyle w:val="FootnoteText"/>
        <w:rPr>
          <w:rFonts w:asciiTheme="majorHAnsi" w:hAnsiTheme="majorHAnsi" w:cstheme="majorHAnsi"/>
          <w:lang w:val="en-US"/>
        </w:rPr>
      </w:pPr>
    </w:p>
  </w:footnote>
  <w:footnote w:id="5">
    <w:p w14:paraId="7CDF8DC6" w14:textId="77777777" w:rsidR="0047758D" w:rsidRPr="00C52E8F" w:rsidRDefault="0047758D" w:rsidP="0047758D">
      <w:pPr>
        <w:pStyle w:val="FootnoteText"/>
        <w:jc w:val="both"/>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rPr>
        <w:t xml:space="preserve"> (2013) 34 ILJ 135 (LC) at para 17. See also Bumatech (supra) at para 33; Bethape v Public Servants Association and Others [2016] ZALCJHB 573 (9 September 2016) at para 53.</w:t>
      </w:r>
    </w:p>
  </w:footnote>
  <w:footnote w:id="6">
    <w:p w14:paraId="2D44F1D0" w14:textId="09FA1420" w:rsidR="00393BAE" w:rsidRPr="00C52E8F" w:rsidRDefault="00393BAE">
      <w:pPr>
        <w:pStyle w:val="FootnoteText"/>
        <w:rPr>
          <w:rFonts w:asciiTheme="majorHAnsi" w:hAnsiTheme="majorHAnsi" w:cstheme="majorHAnsi"/>
          <w:lang w:val="en-US"/>
        </w:rPr>
      </w:pPr>
      <w:r w:rsidRPr="00C52E8F">
        <w:rPr>
          <w:rStyle w:val="FootnoteReference"/>
          <w:rFonts w:asciiTheme="majorHAnsi" w:hAnsiTheme="majorHAnsi" w:cstheme="majorHAnsi"/>
        </w:rPr>
        <w:footnoteRef/>
      </w:r>
      <w:r w:rsidRPr="00C52E8F">
        <w:rPr>
          <w:rFonts w:asciiTheme="majorHAnsi" w:hAnsiTheme="majorHAnsi" w:cstheme="majorHAnsi"/>
        </w:rPr>
        <w:t xml:space="preserve"> (98/2016, 210/2015) [2017] ZASCA 88; [2017] 3 All SA 520 (SCA); 2017 (6) SA 90 (SCA) (6 June 2017)</w:t>
      </w:r>
    </w:p>
  </w:footnote>
  <w:footnote w:id="7">
    <w:p w14:paraId="221DCA85" w14:textId="123092CE" w:rsidR="00393BAE" w:rsidRPr="00C52E8F" w:rsidRDefault="00393BAE">
      <w:pPr>
        <w:pStyle w:val="FootnoteText"/>
        <w:rPr>
          <w:rFonts w:asciiTheme="majorHAnsi" w:hAnsiTheme="majorHAnsi" w:cstheme="majorHAnsi"/>
          <w:lang w:val="en-US"/>
        </w:rPr>
      </w:pPr>
      <w:r w:rsidRPr="00C52E8F">
        <w:rPr>
          <w:rStyle w:val="FootnoteReference"/>
          <w:rFonts w:asciiTheme="majorHAnsi" w:hAnsiTheme="majorHAnsi" w:cstheme="majorHAnsi"/>
        </w:rPr>
        <w:footnoteRef/>
      </w:r>
      <w:r w:rsidRPr="00C52E8F">
        <w:rPr>
          <w:rFonts w:asciiTheme="majorHAnsi" w:hAnsiTheme="majorHAnsi" w:cstheme="majorHAnsi"/>
        </w:rPr>
        <w:t xml:space="preserve"> </w:t>
      </w:r>
      <w:r w:rsidRPr="00C52E8F">
        <w:rPr>
          <w:rFonts w:asciiTheme="majorHAnsi" w:hAnsiTheme="majorHAnsi" w:cstheme="majorHAnsi"/>
          <w:lang w:val="en-US"/>
        </w:rPr>
        <w:t>1962(4) SA 531 (A)</w:t>
      </w:r>
    </w:p>
  </w:footnote>
  <w:footnote w:id="8">
    <w:p w14:paraId="72851893" w14:textId="77777777" w:rsidR="00421948" w:rsidRPr="00C52E8F" w:rsidRDefault="00421948" w:rsidP="00421948">
      <w:pPr>
        <w:pStyle w:val="FootnoteText"/>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rPr>
        <w:t xml:space="preserve"> In National Gambling Board v Premier, Kwa-Zulu Natal and Others 2002(2) SA 715 CC</w:t>
      </w:r>
    </w:p>
  </w:footnote>
  <w:footnote w:id="9">
    <w:p w14:paraId="770CB436" w14:textId="77777777" w:rsidR="00421948" w:rsidRPr="00C52E8F" w:rsidRDefault="00421948" w:rsidP="00421948">
      <w:pPr>
        <w:pStyle w:val="FootnoteText"/>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rPr>
        <w:t xml:space="preserve"> At 730 - 731[49]</w:t>
      </w:r>
    </w:p>
  </w:footnote>
  <w:footnote w:id="10">
    <w:p w14:paraId="3D6A82B7" w14:textId="77777777" w:rsidR="00421948" w:rsidRPr="00C52E8F" w:rsidRDefault="00421948" w:rsidP="00421948">
      <w:pPr>
        <w:pStyle w:val="FootnoteText"/>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rPr>
        <w:t xml:space="preserve"> See: Eriksen Motors (Welkom) Ltd v Protea Motors Warrenton and Another 1973(3)SA 685 (A)</w:t>
      </w:r>
    </w:p>
    <w:p w14:paraId="3A256D23" w14:textId="77777777" w:rsidR="00421948" w:rsidRPr="00C52E8F" w:rsidRDefault="00421948" w:rsidP="00421948">
      <w:pPr>
        <w:pStyle w:val="FootnoteText"/>
        <w:rPr>
          <w:rFonts w:asciiTheme="majorHAnsi" w:hAnsiTheme="majorHAnsi" w:cstheme="majorHAnsi"/>
        </w:rPr>
      </w:pPr>
      <w:r w:rsidRPr="00C52E8F">
        <w:rPr>
          <w:rFonts w:asciiTheme="majorHAnsi" w:hAnsiTheme="majorHAnsi" w:cstheme="majorHAnsi"/>
          <w:snapToGrid w:val="0"/>
        </w:rPr>
        <w:t>Knox D Arcy Ltd v Jamison and Other 1996(4) SA 348 (A) at 361</w:t>
      </w:r>
    </w:p>
  </w:footnote>
  <w:footnote w:id="11">
    <w:p w14:paraId="48D8BC91" w14:textId="77777777" w:rsidR="00421948" w:rsidRPr="00C52E8F" w:rsidRDefault="00421948" w:rsidP="00421948">
      <w:pPr>
        <w:pStyle w:val="FootnoteText"/>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snapToGrid w:val="0"/>
        </w:rPr>
        <w:t xml:space="preserve"> In Eriksen Motors (Welkom) Ltd v Protea Motors Warrenton and Another, supra, at 691.</w:t>
      </w:r>
    </w:p>
  </w:footnote>
  <w:footnote w:id="12">
    <w:p w14:paraId="3DC6F33F" w14:textId="77777777" w:rsidR="00421948" w:rsidRPr="00C52E8F" w:rsidRDefault="00421948" w:rsidP="00421948">
      <w:pPr>
        <w:pStyle w:val="FootnoteText"/>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rPr>
        <w:t xml:space="preserve"> Knox D'Arcy Ltd and Others v Jamieson and Others 1995 (2) SA 579 (W) at 592 – 593.</w:t>
      </w:r>
    </w:p>
  </w:footnote>
  <w:footnote w:id="13">
    <w:p w14:paraId="146E994C" w14:textId="77777777" w:rsidR="00421948" w:rsidRPr="00C52E8F" w:rsidRDefault="00421948" w:rsidP="00421948">
      <w:pPr>
        <w:pStyle w:val="FootnoteText"/>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rPr>
        <w:t xml:space="preserve"> In Simon NO v Air Operations of Europe AB and Others 1999 (1) SA 217 (SCA).</w:t>
      </w:r>
    </w:p>
  </w:footnote>
  <w:footnote w:id="14">
    <w:p w14:paraId="71FBB12D" w14:textId="77777777" w:rsidR="00421948" w:rsidRPr="00C52E8F" w:rsidRDefault="00421948" w:rsidP="00421948">
      <w:pPr>
        <w:pStyle w:val="FootnoteText"/>
        <w:rPr>
          <w:rFonts w:asciiTheme="majorHAnsi" w:hAnsiTheme="majorHAnsi" w:cstheme="majorHAnsi"/>
        </w:rPr>
      </w:pPr>
      <w:r w:rsidRPr="00C52E8F">
        <w:rPr>
          <w:rStyle w:val="FootnoteReference"/>
          <w:rFonts w:asciiTheme="majorHAnsi" w:hAnsiTheme="majorHAnsi" w:cstheme="majorHAnsi"/>
        </w:rPr>
        <w:footnoteRef/>
      </w:r>
      <w:r w:rsidRPr="00C52E8F">
        <w:rPr>
          <w:rFonts w:asciiTheme="majorHAnsi" w:hAnsiTheme="majorHAnsi" w:cstheme="majorHAnsi"/>
        </w:rPr>
        <w:t xml:space="preserve"> At 228;</w:t>
      </w:r>
    </w:p>
    <w:p w14:paraId="5FC910DE" w14:textId="77777777" w:rsidR="00421948" w:rsidRPr="00C52E8F" w:rsidRDefault="00421948" w:rsidP="00421948">
      <w:pPr>
        <w:pStyle w:val="FootnoteText"/>
        <w:rPr>
          <w:rFonts w:asciiTheme="majorHAnsi" w:hAnsiTheme="majorHAnsi" w:cstheme="majorHAnsi"/>
        </w:rPr>
      </w:pPr>
      <w:r w:rsidRPr="00C52E8F">
        <w:rPr>
          <w:rFonts w:asciiTheme="majorHAnsi" w:hAnsiTheme="majorHAnsi" w:cstheme="majorHAnsi"/>
        </w:rPr>
        <w:t>See also Webster v Mitchell 1948 (1) SA 1186 (W) at 1189,</w:t>
      </w:r>
    </w:p>
    <w:p w14:paraId="3F9908DD" w14:textId="77777777" w:rsidR="00421948" w:rsidRPr="00C52E8F" w:rsidRDefault="00421948" w:rsidP="00421948">
      <w:pPr>
        <w:pStyle w:val="FootnoteText"/>
        <w:ind w:left="720"/>
        <w:rPr>
          <w:rFonts w:asciiTheme="majorHAnsi" w:hAnsiTheme="majorHAnsi" w:cstheme="majorHAnsi"/>
        </w:rPr>
      </w:pPr>
      <w:r w:rsidRPr="00C52E8F">
        <w:rPr>
          <w:rFonts w:asciiTheme="majorHAnsi" w:hAnsiTheme="majorHAnsi" w:cstheme="majorHAnsi"/>
        </w:rPr>
        <w:t>Manong &amp; Associates (Pty) LTD v Minister of Public Works and Another 2010 (2) SA 167 (SCA) at 180.</w:t>
      </w:r>
    </w:p>
    <w:p w14:paraId="6CF5D58F" w14:textId="77777777" w:rsidR="00421948" w:rsidRPr="0047758D" w:rsidRDefault="00421948" w:rsidP="00421948">
      <w:pPr>
        <w:pStyle w:val="FootnoteText"/>
        <w:ind w:left="720"/>
        <w:rPr>
          <w:rFonts w:ascii="Times" w:hAnsi="Tim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16F59"/>
    <w:multiLevelType w:val="multilevel"/>
    <w:tmpl w:val="B8B45696"/>
    <w:lvl w:ilvl="0">
      <w:start w:val="1"/>
      <w:numFmt w:val="decimal"/>
      <w:lvlText w:val="%1."/>
      <w:lvlJc w:val="left"/>
      <w:pPr>
        <w:ind w:left="1425" w:hanging="360"/>
      </w:pPr>
      <w:rPr>
        <w:rFonts w:ascii="Times New Roman" w:eastAsiaTheme="minorEastAsia" w:hAnsi="Times New Roman" w:cs="Times New Roman"/>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385" w:hanging="1440"/>
      </w:pPr>
      <w:rPr>
        <w:rFonts w:hint="default"/>
      </w:rPr>
    </w:lvl>
  </w:abstractNum>
  <w:abstractNum w:abstractNumId="1">
    <w:nsid w:val="48844313"/>
    <w:multiLevelType w:val="multilevel"/>
    <w:tmpl w:val="E3F6027E"/>
    <w:lvl w:ilvl="0">
      <w:start w:val="1"/>
      <w:numFmt w:val="decimal"/>
      <w:lvlText w:val="%1."/>
      <w:lvlJc w:val="left"/>
      <w:pPr>
        <w:ind w:left="1069" w:hanging="360"/>
      </w:pPr>
      <w:rPr>
        <w:rFonts w:cs="Times New Roman"/>
      </w:rPr>
    </w:lvl>
    <w:lvl w:ilvl="1">
      <w:start w:val="1"/>
      <w:numFmt w:val="decimal"/>
      <w:isLgl/>
      <w:lvlText w:val="%1.%2"/>
      <w:lvlJc w:val="left"/>
      <w:pPr>
        <w:ind w:left="1459" w:hanging="39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509" w:hanging="72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589" w:hanging="1080"/>
      </w:pPr>
      <w:rPr>
        <w:rFonts w:cs="Times New Roman"/>
      </w:rPr>
    </w:lvl>
    <w:lvl w:ilvl="6">
      <w:start w:val="1"/>
      <w:numFmt w:val="decimal"/>
      <w:isLgl/>
      <w:lvlText w:val="%1.%2.%3.%4.%5.%6.%7"/>
      <w:lvlJc w:val="left"/>
      <w:pPr>
        <w:ind w:left="4309" w:hanging="1440"/>
      </w:pPr>
      <w:rPr>
        <w:rFonts w:cs="Times New Roman"/>
      </w:rPr>
    </w:lvl>
    <w:lvl w:ilvl="7">
      <w:start w:val="1"/>
      <w:numFmt w:val="decimal"/>
      <w:isLgl/>
      <w:lvlText w:val="%1.%2.%3.%4.%5.%6.%7.%8"/>
      <w:lvlJc w:val="left"/>
      <w:pPr>
        <w:ind w:left="4669" w:hanging="1440"/>
      </w:pPr>
      <w:rPr>
        <w:rFonts w:cs="Times New Roman"/>
      </w:rPr>
    </w:lvl>
    <w:lvl w:ilvl="8">
      <w:start w:val="1"/>
      <w:numFmt w:val="decimal"/>
      <w:isLgl/>
      <w:lvlText w:val="%1.%2.%3.%4.%5.%6.%7.%8.%9"/>
      <w:lvlJc w:val="left"/>
      <w:pPr>
        <w:ind w:left="5389" w:hanging="1800"/>
      </w:pPr>
      <w:rPr>
        <w:rFonts w:cs="Times New Roman"/>
      </w:rPr>
    </w:lvl>
  </w:abstractNum>
  <w:abstractNum w:abstractNumId="2">
    <w:nsid w:val="56D5732A"/>
    <w:multiLevelType w:val="multilevel"/>
    <w:tmpl w:val="B8B45696"/>
    <w:lvl w:ilvl="0">
      <w:start w:val="1"/>
      <w:numFmt w:val="decimal"/>
      <w:lvlText w:val="%1."/>
      <w:lvlJc w:val="left"/>
      <w:pPr>
        <w:ind w:left="1425" w:hanging="360"/>
      </w:pPr>
      <w:rPr>
        <w:rFonts w:ascii="Times New Roman" w:eastAsiaTheme="minorEastAsia" w:hAnsi="Times New Roman" w:cs="Times New Roman"/>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385" w:hanging="1440"/>
      </w:pPr>
      <w:rPr>
        <w:rFonts w:hint="default"/>
      </w:rPr>
    </w:lvl>
  </w:abstractNum>
  <w:abstractNum w:abstractNumId="3">
    <w:nsid w:val="609A4E38"/>
    <w:multiLevelType w:val="hybridMultilevel"/>
    <w:tmpl w:val="FD4A8470"/>
    <w:lvl w:ilvl="0" w:tplc="08090003">
      <w:start w:val="1"/>
      <w:numFmt w:val="bullet"/>
      <w:lvlText w:val="o"/>
      <w:lvlJc w:val="left"/>
      <w:pPr>
        <w:ind w:left="3600" w:hanging="360"/>
      </w:pPr>
      <w:rPr>
        <w:rFonts w:ascii="Courier New" w:hAnsi="Courier New"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7DA73876"/>
    <w:multiLevelType w:val="hybridMultilevel"/>
    <w:tmpl w:val="01ACA5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48"/>
    <w:rsid w:val="00047397"/>
    <w:rsid w:val="00082EB1"/>
    <w:rsid w:val="00095002"/>
    <w:rsid w:val="000B26D4"/>
    <w:rsid w:val="000F24EB"/>
    <w:rsid w:val="00115E27"/>
    <w:rsid w:val="00161C8C"/>
    <w:rsid w:val="00216B84"/>
    <w:rsid w:val="002226A6"/>
    <w:rsid w:val="00247349"/>
    <w:rsid w:val="0026106C"/>
    <w:rsid w:val="00286393"/>
    <w:rsid w:val="002949D9"/>
    <w:rsid w:val="002C11AC"/>
    <w:rsid w:val="002C4A59"/>
    <w:rsid w:val="002E7296"/>
    <w:rsid w:val="00330BD2"/>
    <w:rsid w:val="00344CA1"/>
    <w:rsid w:val="00345FFA"/>
    <w:rsid w:val="003808D2"/>
    <w:rsid w:val="003864C8"/>
    <w:rsid w:val="00393BAE"/>
    <w:rsid w:val="003F5115"/>
    <w:rsid w:val="00421948"/>
    <w:rsid w:val="0047098C"/>
    <w:rsid w:val="0047758D"/>
    <w:rsid w:val="00480D6E"/>
    <w:rsid w:val="004E78C1"/>
    <w:rsid w:val="00504D70"/>
    <w:rsid w:val="00521D60"/>
    <w:rsid w:val="005A37F8"/>
    <w:rsid w:val="005E6D07"/>
    <w:rsid w:val="00601695"/>
    <w:rsid w:val="006D5C59"/>
    <w:rsid w:val="006E319A"/>
    <w:rsid w:val="006E77AA"/>
    <w:rsid w:val="006F625B"/>
    <w:rsid w:val="00711C8E"/>
    <w:rsid w:val="00714685"/>
    <w:rsid w:val="00747847"/>
    <w:rsid w:val="007C6D51"/>
    <w:rsid w:val="007E0D7C"/>
    <w:rsid w:val="008A1D31"/>
    <w:rsid w:val="008B48B7"/>
    <w:rsid w:val="00984802"/>
    <w:rsid w:val="009B3D8F"/>
    <w:rsid w:val="009D402E"/>
    <w:rsid w:val="009F460C"/>
    <w:rsid w:val="00A26FDC"/>
    <w:rsid w:val="00B077D3"/>
    <w:rsid w:val="00B90BDE"/>
    <w:rsid w:val="00BA4752"/>
    <w:rsid w:val="00C52E8F"/>
    <w:rsid w:val="00CF4ABA"/>
    <w:rsid w:val="00D95339"/>
    <w:rsid w:val="00DB1137"/>
    <w:rsid w:val="00DE25C3"/>
    <w:rsid w:val="00DF545C"/>
    <w:rsid w:val="00E6242F"/>
    <w:rsid w:val="00E63344"/>
    <w:rsid w:val="00EA2EA9"/>
    <w:rsid w:val="00EA3A22"/>
    <w:rsid w:val="00F47CC2"/>
    <w:rsid w:val="00F63D48"/>
    <w:rsid w:val="00F73398"/>
    <w:rsid w:val="00FA2CBF"/>
    <w:rsid w:val="00FC2E00"/>
    <w:rsid w:val="00FD5D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8AB4"/>
  <w15:chartTrackingRefBased/>
  <w15:docId w15:val="{48486C82-5F8A-6249-86FC-31AF2E56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1948"/>
    <w:pPr>
      <w:widowControl w:val="0"/>
      <w:autoSpaceDE w:val="0"/>
      <w:autoSpaceDN w:val="0"/>
      <w:adjustRightInd w:val="0"/>
    </w:pPr>
    <w:rPr>
      <w:rFonts w:ascii="Arial" w:eastAsiaTheme="minorEastAsia" w:hAnsi="Arial" w:cs="Arial"/>
      <w:lang w:eastAsia="en-ZA"/>
    </w:rPr>
  </w:style>
  <w:style w:type="paragraph" w:styleId="Heading1">
    <w:name w:val="heading 1"/>
    <w:basedOn w:val="Normal"/>
    <w:next w:val="Normal"/>
    <w:link w:val="Heading1Char"/>
    <w:uiPriority w:val="1"/>
    <w:qFormat/>
    <w:rsid w:val="00421948"/>
    <w:pPr>
      <w:ind w:left="2848"/>
      <w:jc w:val="center"/>
      <w:outlineLvl w:val="0"/>
    </w:pPr>
    <w:rPr>
      <w:rFonts w:eastAsia="Times New Roman"/>
      <w:b/>
      <w:bCs/>
      <w:sz w:val="23"/>
      <w:szCs w:val="23"/>
    </w:rPr>
  </w:style>
  <w:style w:type="paragraph" w:styleId="Heading2">
    <w:name w:val="heading 2"/>
    <w:basedOn w:val="Normal"/>
    <w:next w:val="Normal"/>
    <w:link w:val="Heading2Char"/>
    <w:uiPriority w:val="9"/>
    <w:semiHidden/>
    <w:unhideWhenUsed/>
    <w:qFormat/>
    <w:rsid w:val="00421948"/>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1948"/>
    <w:rPr>
      <w:rFonts w:ascii="Arial" w:eastAsia="Times New Roman" w:hAnsi="Arial" w:cs="Arial"/>
      <w:b/>
      <w:bCs/>
      <w:sz w:val="23"/>
      <w:szCs w:val="23"/>
      <w:lang w:eastAsia="en-ZA"/>
    </w:rPr>
  </w:style>
  <w:style w:type="character" w:customStyle="1" w:styleId="Heading2Char">
    <w:name w:val="Heading 2 Char"/>
    <w:basedOn w:val="DefaultParagraphFont"/>
    <w:link w:val="Heading2"/>
    <w:uiPriority w:val="9"/>
    <w:semiHidden/>
    <w:rsid w:val="00421948"/>
    <w:rPr>
      <w:rFonts w:asciiTheme="majorHAnsi" w:eastAsiaTheme="majorEastAsia" w:hAnsiTheme="majorHAnsi" w:cs="Times New Roman"/>
      <w:b/>
      <w:bCs/>
      <w:i/>
      <w:iCs/>
      <w:sz w:val="28"/>
      <w:szCs w:val="28"/>
      <w:lang w:eastAsia="en-ZA"/>
    </w:rPr>
  </w:style>
  <w:style w:type="character" w:styleId="Hyperlink">
    <w:name w:val="Hyperlink"/>
    <w:basedOn w:val="DefaultParagraphFont"/>
    <w:uiPriority w:val="99"/>
    <w:unhideWhenUsed/>
    <w:rsid w:val="00421948"/>
    <w:rPr>
      <w:rFonts w:ascii="Times New Roman" w:hAnsi="Times New Roman" w:cs="Times New Roman" w:hint="default"/>
      <w:color w:val="000000"/>
      <w:u w:val="single"/>
    </w:rPr>
  </w:style>
  <w:style w:type="paragraph" w:styleId="FootnoteText">
    <w:name w:val="footnote text"/>
    <w:aliases w:val="Char Char Char,Char Char Char Char Char Char,Char Char Char Char Char Char Char,Char Char Char Char Char Char Char Char Char Char Char,Char Char Char Char Char,Footnote Text Char Char Char,Footnote Text Char Char,Footnote Text Char1"/>
    <w:basedOn w:val="Normal"/>
    <w:link w:val="FootnoteTextChar"/>
    <w:uiPriority w:val="99"/>
    <w:unhideWhenUsed/>
    <w:qFormat/>
    <w:rsid w:val="00421948"/>
    <w:rPr>
      <w:sz w:val="20"/>
      <w:szCs w:val="20"/>
    </w:rPr>
  </w:style>
  <w:style w:type="character" w:customStyle="1" w:styleId="FootnoteTextChar">
    <w:name w:val="Footnote Text Char"/>
    <w:aliases w:val="Char Char Char Char,Char Char Char Char Char Char Char1,Char Char Char Char Char Char Char Char,Char Char Char Char Char Char Char Char Char Char Char Char,Char Char Char Char Char Char1,Footnote Text Char Char Char Char"/>
    <w:basedOn w:val="DefaultParagraphFont"/>
    <w:link w:val="FootnoteText"/>
    <w:uiPriority w:val="99"/>
    <w:rsid w:val="00421948"/>
    <w:rPr>
      <w:rFonts w:ascii="Arial" w:eastAsiaTheme="minorEastAsia" w:hAnsi="Arial" w:cs="Arial"/>
      <w:sz w:val="20"/>
      <w:szCs w:val="20"/>
      <w:lang w:eastAsia="en-ZA"/>
    </w:rPr>
  </w:style>
  <w:style w:type="paragraph" w:styleId="BodyText">
    <w:name w:val="Body Text"/>
    <w:basedOn w:val="Normal"/>
    <w:link w:val="BodyTextChar"/>
    <w:uiPriority w:val="1"/>
    <w:unhideWhenUsed/>
    <w:qFormat/>
    <w:rsid w:val="00421948"/>
    <w:rPr>
      <w:sz w:val="23"/>
      <w:szCs w:val="23"/>
    </w:rPr>
  </w:style>
  <w:style w:type="character" w:customStyle="1" w:styleId="BodyTextChar">
    <w:name w:val="Body Text Char"/>
    <w:basedOn w:val="DefaultParagraphFont"/>
    <w:link w:val="BodyText"/>
    <w:uiPriority w:val="1"/>
    <w:rsid w:val="00421948"/>
    <w:rPr>
      <w:rFonts w:ascii="Arial" w:eastAsiaTheme="minorEastAsia" w:hAnsi="Arial" w:cs="Arial"/>
      <w:sz w:val="23"/>
      <w:szCs w:val="23"/>
      <w:lang w:eastAsia="en-ZA"/>
    </w:rPr>
  </w:style>
  <w:style w:type="paragraph" w:styleId="ListParagraph">
    <w:name w:val="List Paragraph"/>
    <w:basedOn w:val="Normal"/>
    <w:uiPriority w:val="34"/>
    <w:qFormat/>
    <w:rsid w:val="00421948"/>
    <w:pPr>
      <w:ind w:left="1222" w:hanging="648"/>
      <w:jc w:val="both"/>
    </w:pPr>
  </w:style>
  <w:style w:type="character" w:styleId="FootnoteReference">
    <w:name w:val="footnote reference"/>
    <w:aliases w:val="(NECG) Footnote Reference,Footnotes refss,Footnote Reference + Superscript,Appel note de bas de page,Ref,de nota al pie,註腳內容"/>
    <w:basedOn w:val="DefaultParagraphFont"/>
    <w:uiPriority w:val="99"/>
    <w:unhideWhenUsed/>
    <w:rsid w:val="00421948"/>
    <w:rPr>
      <w:rFonts w:ascii="Times New Roman" w:hAnsi="Times New Roman" w:cs="Times New Roman" w:hint="default"/>
      <w:vertAlign w:val="superscript"/>
    </w:rPr>
  </w:style>
  <w:style w:type="paragraph" w:styleId="NormalWeb">
    <w:name w:val="Normal (Web)"/>
    <w:basedOn w:val="Normal"/>
    <w:uiPriority w:val="99"/>
    <w:semiHidden/>
    <w:unhideWhenUsed/>
    <w:rsid w:val="00504D70"/>
    <w:rPr>
      <w:rFonts w:ascii="Times New Roman" w:hAnsi="Times New Roman" w:cs="Times New Roman"/>
    </w:rPr>
  </w:style>
  <w:style w:type="character" w:customStyle="1" w:styleId="UnresolvedMention">
    <w:name w:val="Unresolved Mention"/>
    <w:basedOn w:val="DefaultParagraphFont"/>
    <w:uiPriority w:val="99"/>
    <w:semiHidden/>
    <w:unhideWhenUsed/>
    <w:rsid w:val="00216B84"/>
    <w:rPr>
      <w:color w:val="605E5C"/>
      <w:shd w:val="clear" w:color="auto" w:fill="E1DFDD"/>
    </w:rPr>
  </w:style>
  <w:style w:type="paragraph" w:styleId="Footer">
    <w:name w:val="footer"/>
    <w:basedOn w:val="Normal"/>
    <w:link w:val="FooterChar"/>
    <w:uiPriority w:val="99"/>
    <w:unhideWhenUsed/>
    <w:rsid w:val="00DE25C3"/>
    <w:pPr>
      <w:tabs>
        <w:tab w:val="center" w:pos="4513"/>
        <w:tab w:val="right" w:pos="9026"/>
      </w:tabs>
    </w:pPr>
  </w:style>
  <w:style w:type="character" w:customStyle="1" w:styleId="FooterChar">
    <w:name w:val="Footer Char"/>
    <w:basedOn w:val="DefaultParagraphFont"/>
    <w:link w:val="Footer"/>
    <w:uiPriority w:val="99"/>
    <w:rsid w:val="00DE25C3"/>
    <w:rPr>
      <w:rFonts w:ascii="Arial" w:eastAsiaTheme="minorEastAsia" w:hAnsi="Arial" w:cs="Arial"/>
      <w:lang w:eastAsia="en-ZA"/>
    </w:rPr>
  </w:style>
  <w:style w:type="character" w:styleId="PageNumber">
    <w:name w:val="page number"/>
    <w:basedOn w:val="DefaultParagraphFont"/>
    <w:uiPriority w:val="99"/>
    <w:semiHidden/>
    <w:unhideWhenUsed/>
    <w:rsid w:val="00DE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4666">
      <w:bodyDiv w:val="1"/>
      <w:marLeft w:val="0"/>
      <w:marRight w:val="0"/>
      <w:marTop w:val="0"/>
      <w:marBottom w:val="0"/>
      <w:divBdr>
        <w:top w:val="none" w:sz="0" w:space="0" w:color="auto"/>
        <w:left w:val="none" w:sz="0" w:space="0" w:color="auto"/>
        <w:bottom w:val="none" w:sz="0" w:space="0" w:color="auto"/>
        <w:right w:val="none" w:sz="0" w:space="0" w:color="auto"/>
      </w:divBdr>
    </w:div>
    <w:div w:id="664893271">
      <w:bodyDiv w:val="1"/>
      <w:marLeft w:val="0"/>
      <w:marRight w:val="0"/>
      <w:marTop w:val="0"/>
      <w:marBottom w:val="0"/>
      <w:divBdr>
        <w:top w:val="none" w:sz="0" w:space="0" w:color="auto"/>
        <w:left w:val="none" w:sz="0" w:space="0" w:color="auto"/>
        <w:bottom w:val="none" w:sz="0" w:space="0" w:color="auto"/>
        <w:right w:val="none" w:sz="0" w:space="0" w:color="auto"/>
      </w:divBdr>
    </w:div>
    <w:div w:id="1497182419">
      <w:bodyDiv w:val="1"/>
      <w:marLeft w:val="0"/>
      <w:marRight w:val="0"/>
      <w:marTop w:val="0"/>
      <w:marBottom w:val="0"/>
      <w:divBdr>
        <w:top w:val="none" w:sz="0" w:space="0" w:color="auto"/>
        <w:left w:val="none" w:sz="0" w:space="0" w:color="auto"/>
        <w:bottom w:val="none" w:sz="0" w:space="0" w:color="auto"/>
        <w:right w:val="none" w:sz="0" w:space="0" w:color="auto"/>
      </w:divBdr>
    </w:div>
    <w:div w:id="20753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77%20%283%29%20SA%20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5" ma:contentTypeDescription="Create a new document." ma:contentTypeScope="" ma:versionID="65d812d08d539ebb0c9cc2dfa18ed06d">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8cebd3b5e9f4197805d018a973c0571c"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BDA8-89F0-4451-8E8C-62C4D8750C1D}">
  <ds:schemaRefs>
    <ds:schemaRef ds:uri="http://schemas.microsoft.com/office/2006/metadata/properties"/>
    <ds:schemaRef ds:uri="http://schemas.microsoft.com/office/infopath/2007/PartnerControls"/>
    <ds:schemaRef ds:uri="9a8c8779-930c-4391-8d7e-c331a9365f6c"/>
  </ds:schemaRefs>
</ds:datastoreItem>
</file>

<file path=customXml/itemProps2.xml><?xml version="1.0" encoding="utf-8"?>
<ds:datastoreItem xmlns:ds="http://schemas.openxmlformats.org/officeDocument/2006/customXml" ds:itemID="{412FF9D9-AE17-4A5D-9E81-C6C0E76352D0}">
  <ds:schemaRefs>
    <ds:schemaRef ds:uri="http://schemas.microsoft.com/sharepoint/v3/contenttype/forms"/>
  </ds:schemaRefs>
</ds:datastoreItem>
</file>

<file path=customXml/itemProps3.xml><?xml version="1.0" encoding="utf-8"?>
<ds:datastoreItem xmlns:ds="http://schemas.openxmlformats.org/officeDocument/2006/customXml" ds:itemID="{11C233C6-15ED-447B-911D-7A0A199E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D2D66-92AB-4507-AF55-1995032C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4993</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Mokone</cp:lastModifiedBy>
  <cp:revision>2</cp:revision>
  <dcterms:created xsi:type="dcterms:W3CDTF">2023-09-18T10:38:00Z</dcterms:created>
  <dcterms:modified xsi:type="dcterms:W3CDTF">2023-09-18T10:38:00Z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