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D65BA49"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F7194B">
        <w:rPr>
          <w:rFonts w:ascii="Arial" w:eastAsia="Times New Roman" w:hAnsi="Arial" w:cs="Arial"/>
          <w:sz w:val="28"/>
          <w:szCs w:val="28"/>
          <w:lang w:eastAsia="en-GB"/>
        </w:rPr>
        <w:t>38204/2022</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E12B0E" w:rsidRDefault="00E12B0E" w:rsidP="00ED2FC5">
                            <w:pPr>
                              <w:jc w:val="center"/>
                              <w:rPr>
                                <w:rFonts w:ascii="Century Gothic" w:hAnsi="Century Gothic"/>
                                <w:b/>
                                <w:sz w:val="20"/>
                                <w:szCs w:val="20"/>
                              </w:rPr>
                            </w:pPr>
                          </w:p>
                          <w:p w14:paraId="2B4C2A7A" w14:textId="2E241D93" w:rsidR="00E12B0E" w:rsidRDefault="001F08B3" w:rsidP="001F08B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12B0E">
                              <w:rPr>
                                <w:rFonts w:ascii="Century Gothic" w:hAnsi="Century Gothic"/>
                                <w:sz w:val="20"/>
                                <w:szCs w:val="20"/>
                              </w:rPr>
                              <w:t>REPORTABLE: YES/NO</w:t>
                            </w:r>
                          </w:p>
                          <w:p w14:paraId="240656F9" w14:textId="05411DE2" w:rsidR="00E12B0E" w:rsidRDefault="001F08B3" w:rsidP="001F08B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12B0E">
                              <w:rPr>
                                <w:rFonts w:ascii="Century Gothic" w:hAnsi="Century Gothic"/>
                                <w:sz w:val="20"/>
                                <w:szCs w:val="20"/>
                              </w:rPr>
                              <w:t>OF INTEREST TO OTHER JUDGES: NO</w:t>
                            </w:r>
                          </w:p>
                          <w:p w14:paraId="22436154" w14:textId="44F4FAAA" w:rsidR="00E12B0E" w:rsidRDefault="001F08B3" w:rsidP="001F08B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12B0E">
                              <w:rPr>
                                <w:rFonts w:ascii="Century Gothic" w:hAnsi="Century Gothic"/>
                                <w:sz w:val="20"/>
                                <w:szCs w:val="20"/>
                              </w:rPr>
                              <w:t>REVISED: NO</w:t>
                            </w:r>
                          </w:p>
                          <w:p w14:paraId="3DE114B7" w14:textId="77777777" w:rsidR="00E12B0E" w:rsidRDefault="00E12B0E"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B7DBCEB" w:rsidR="00E12B0E" w:rsidRDefault="00E12B0E"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 March 2023</w:t>
                            </w:r>
                            <w:r>
                              <w:rPr>
                                <w:rFonts w:ascii="Century Gothic" w:hAnsi="Century Gothic"/>
                                <w:sz w:val="20"/>
                                <w:szCs w:val="20"/>
                              </w:rPr>
                              <w:tab/>
                              <w:t xml:space="preserve"> E van der Schyff</w:t>
                            </w:r>
                          </w:p>
                          <w:p w14:paraId="1F64CB6E" w14:textId="77777777" w:rsidR="00E12B0E" w:rsidRDefault="00E12B0E"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E12B0E" w:rsidRDefault="00E12B0E" w:rsidP="00ED2FC5">
                      <w:pPr>
                        <w:jc w:val="center"/>
                        <w:rPr>
                          <w:rFonts w:ascii="Century Gothic" w:hAnsi="Century Gothic"/>
                          <w:b/>
                          <w:sz w:val="20"/>
                          <w:szCs w:val="20"/>
                        </w:rPr>
                      </w:pPr>
                    </w:p>
                    <w:p w14:paraId="2B4C2A7A" w14:textId="2E241D93" w:rsidR="00E12B0E" w:rsidRDefault="001F08B3" w:rsidP="001F08B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12B0E">
                        <w:rPr>
                          <w:rFonts w:ascii="Century Gothic" w:hAnsi="Century Gothic"/>
                          <w:sz w:val="20"/>
                          <w:szCs w:val="20"/>
                        </w:rPr>
                        <w:t>REPORTABLE: YES/NO</w:t>
                      </w:r>
                    </w:p>
                    <w:p w14:paraId="240656F9" w14:textId="05411DE2" w:rsidR="00E12B0E" w:rsidRDefault="001F08B3" w:rsidP="001F08B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12B0E">
                        <w:rPr>
                          <w:rFonts w:ascii="Century Gothic" w:hAnsi="Century Gothic"/>
                          <w:sz w:val="20"/>
                          <w:szCs w:val="20"/>
                        </w:rPr>
                        <w:t>OF INTEREST TO OTHER JUDGES: NO</w:t>
                      </w:r>
                    </w:p>
                    <w:p w14:paraId="22436154" w14:textId="44F4FAAA" w:rsidR="00E12B0E" w:rsidRDefault="001F08B3" w:rsidP="001F08B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12B0E">
                        <w:rPr>
                          <w:rFonts w:ascii="Century Gothic" w:hAnsi="Century Gothic"/>
                          <w:sz w:val="20"/>
                          <w:szCs w:val="20"/>
                        </w:rPr>
                        <w:t>REVISED: NO</w:t>
                      </w:r>
                    </w:p>
                    <w:p w14:paraId="3DE114B7" w14:textId="77777777" w:rsidR="00E12B0E" w:rsidRDefault="00E12B0E"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B7DBCEB" w:rsidR="00E12B0E" w:rsidRDefault="00E12B0E"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 March 2023</w:t>
                      </w:r>
                      <w:r>
                        <w:rPr>
                          <w:rFonts w:ascii="Century Gothic" w:hAnsi="Century Gothic"/>
                          <w:sz w:val="20"/>
                          <w:szCs w:val="20"/>
                        </w:rPr>
                        <w:tab/>
                        <w:t xml:space="preserve"> E van der Schyff</w:t>
                      </w:r>
                    </w:p>
                    <w:p w14:paraId="1F64CB6E" w14:textId="77777777" w:rsidR="00E12B0E" w:rsidRDefault="00E12B0E"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22346CB5"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03B14A0" w14:textId="5BFD43A9" w:rsidR="00273774"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Jose Luis Rodriques Baptista </w:t>
      </w:r>
      <w:r w:rsidRPr="00E12B0E">
        <w:rPr>
          <w:rFonts w:ascii="Arial" w:hAnsi="Arial" w:cs="Arial"/>
          <w:i/>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t>First Applicant</w:t>
      </w:r>
    </w:p>
    <w:p w14:paraId="7C147B19" w14:textId="4E213C93" w:rsidR="00F7194B"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Jaco van Rooyen </w:t>
      </w:r>
      <w:r w:rsidRPr="00E12B0E">
        <w:rPr>
          <w:rFonts w:ascii="Arial" w:hAnsi="Arial" w:cs="Arial"/>
          <w:i/>
          <w:sz w:val="24"/>
          <w:szCs w:val="24"/>
        </w:rPr>
        <w:t>N.O.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Second Applicant</w:t>
      </w:r>
    </w:p>
    <w:p w14:paraId="5B1F9CC3" w14:textId="7FC4213E" w:rsidR="00F7194B" w:rsidRDefault="00F7194B" w:rsidP="00F7194B">
      <w:pPr>
        <w:tabs>
          <w:tab w:val="left" w:pos="4917"/>
        </w:tabs>
        <w:spacing w:before="120" w:after="0" w:line="240" w:lineRule="auto"/>
        <w:rPr>
          <w:rFonts w:ascii="Arial" w:hAnsi="Arial" w:cs="Arial"/>
          <w:sz w:val="24"/>
          <w:szCs w:val="24"/>
        </w:rPr>
      </w:pPr>
      <w:r>
        <w:rPr>
          <w:rFonts w:ascii="Arial" w:hAnsi="Arial" w:cs="Arial"/>
          <w:sz w:val="24"/>
          <w:szCs w:val="24"/>
        </w:rPr>
        <w:t>Jorge Mendo</w:t>
      </w:r>
      <w:r w:rsidR="00E12B0E">
        <w:rPr>
          <w:rFonts w:ascii="Arial" w:hAnsi="Arial" w:cs="Arial"/>
          <w:sz w:val="24"/>
          <w:szCs w:val="24"/>
        </w:rPr>
        <w:t>n</w:t>
      </w:r>
      <w:r>
        <w:rPr>
          <w:rFonts w:ascii="Arial" w:hAnsi="Arial" w:cs="Arial"/>
          <w:sz w:val="24"/>
          <w:szCs w:val="24"/>
        </w:rPr>
        <w:t>c</w:t>
      </w:r>
      <w:r w:rsidR="00E12B0E">
        <w:rPr>
          <w:rFonts w:ascii="Arial" w:hAnsi="Arial" w:cs="Arial"/>
          <w:sz w:val="24"/>
          <w:szCs w:val="24"/>
        </w:rPr>
        <w:t>a</w:t>
      </w:r>
      <w:r>
        <w:rPr>
          <w:rFonts w:ascii="Arial" w:hAnsi="Arial" w:cs="Arial"/>
          <w:sz w:val="24"/>
          <w:szCs w:val="24"/>
        </w:rPr>
        <w:t xml:space="preserve"> Velos</w:t>
      </w:r>
      <w:r w:rsidR="00E12B0E">
        <w:rPr>
          <w:rFonts w:ascii="Arial" w:hAnsi="Arial" w:cs="Arial"/>
          <w:sz w:val="24"/>
          <w:szCs w:val="24"/>
        </w:rPr>
        <w:t>a</w:t>
      </w:r>
      <w:r>
        <w:rPr>
          <w:rFonts w:ascii="Arial" w:hAnsi="Arial" w:cs="Arial"/>
          <w:sz w:val="24"/>
          <w:szCs w:val="24"/>
        </w:rPr>
        <w:t xml:space="preserve"> </w:t>
      </w:r>
      <w:r w:rsidRPr="00E12B0E">
        <w:rPr>
          <w:rFonts w:ascii="Arial" w:hAnsi="Arial" w:cs="Arial"/>
          <w:i/>
          <w:sz w:val="24"/>
          <w:szCs w:val="24"/>
        </w:rPr>
        <w:t>N.O.</w:t>
      </w:r>
      <w:r>
        <w:rPr>
          <w:rFonts w:ascii="Arial" w:hAnsi="Arial" w:cs="Arial"/>
          <w:sz w:val="24"/>
          <w:szCs w:val="24"/>
        </w:rPr>
        <w:t xml:space="preserve"> of the Best Trust</w:t>
      </w:r>
    </w:p>
    <w:p w14:paraId="7689758C" w14:textId="087F9152" w:rsidR="00F7194B"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Company (JHB) (Pty) Ltd</w:t>
      </w:r>
      <w:r>
        <w:rPr>
          <w:rFonts w:ascii="Arial" w:hAnsi="Arial" w:cs="Arial"/>
          <w:sz w:val="24"/>
          <w:szCs w:val="24"/>
        </w:rPr>
        <w:tab/>
      </w:r>
      <w:r>
        <w:rPr>
          <w:rFonts w:ascii="Arial" w:hAnsi="Arial" w:cs="Arial"/>
          <w:sz w:val="24"/>
          <w:szCs w:val="24"/>
        </w:rPr>
        <w:tab/>
      </w:r>
      <w:r>
        <w:rPr>
          <w:rFonts w:ascii="Arial" w:hAnsi="Arial" w:cs="Arial"/>
          <w:sz w:val="24"/>
          <w:szCs w:val="24"/>
        </w:rPr>
        <w:tab/>
        <w:t>Third Applicant</w:t>
      </w:r>
    </w:p>
    <w:p w14:paraId="20F6997C" w14:textId="490BFDC7" w:rsidR="00F7194B"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03366E6D" w14:textId="0E7F4C16" w:rsidR="00F7194B"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Quickstep </w:t>
      </w:r>
      <w:r w:rsidR="00E12B0E">
        <w:rPr>
          <w:rFonts w:ascii="Arial" w:hAnsi="Arial" w:cs="Arial"/>
          <w:sz w:val="24"/>
          <w:szCs w:val="24"/>
        </w:rPr>
        <w:t>6</w:t>
      </w:r>
      <w:r>
        <w:rPr>
          <w:rFonts w:ascii="Arial" w:hAnsi="Arial" w:cs="Arial"/>
          <w:sz w:val="24"/>
          <w:szCs w:val="24"/>
        </w:rPr>
        <w:t>84 (Pty) Ltd</w:t>
      </w:r>
      <w:r>
        <w:rPr>
          <w:rFonts w:ascii="Arial" w:hAnsi="Arial" w:cs="Arial"/>
          <w:sz w:val="24"/>
          <w:szCs w:val="24"/>
        </w:rPr>
        <w:tab/>
      </w:r>
      <w:r>
        <w:rPr>
          <w:rFonts w:ascii="Arial" w:hAnsi="Arial" w:cs="Arial"/>
          <w:sz w:val="24"/>
          <w:szCs w:val="24"/>
        </w:rPr>
        <w:tab/>
      </w:r>
      <w:r>
        <w:rPr>
          <w:rFonts w:ascii="Arial" w:hAnsi="Arial" w:cs="Arial"/>
          <w:sz w:val="24"/>
          <w:szCs w:val="24"/>
        </w:rPr>
        <w:tab/>
        <w:t>First Respondent</w:t>
      </w:r>
    </w:p>
    <w:p w14:paraId="3271AACE" w14:textId="4C49BD2C" w:rsidR="00F7194B"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Edward Eduman Milne</w:t>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43EB16ED" w14:textId="7D2A4A24" w:rsidR="00F7194B" w:rsidRDefault="00F7194B" w:rsidP="009C6780">
      <w:pPr>
        <w:tabs>
          <w:tab w:val="left" w:pos="4917"/>
        </w:tabs>
        <w:spacing w:before="120" w:after="120" w:line="360" w:lineRule="auto"/>
        <w:rPr>
          <w:rFonts w:ascii="Arial" w:hAnsi="Arial" w:cs="Arial"/>
          <w:sz w:val="24"/>
          <w:szCs w:val="24"/>
        </w:rPr>
      </w:pPr>
      <w:r>
        <w:rPr>
          <w:rFonts w:ascii="Arial" w:hAnsi="Arial" w:cs="Arial"/>
          <w:sz w:val="24"/>
          <w:szCs w:val="24"/>
        </w:rPr>
        <w:t>Paul Heslop</w:t>
      </w:r>
      <w:r>
        <w:rPr>
          <w:rFonts w:ascii="Arial" w:hAnsi="Arial" w:cs="Arial"/>
          <w:sz w:val="24"/>
          <w:szCs w:val="24"/>
        </w:rPr>
        <w:tab/>
      </w:r>
      <w:r>
        <w:rPr>
          <w:rFonts w:ascii="Arial" w:hAnsi="Arial" w:cs="Arial"/>
          <w:sz w:val="24"/>
          <w:szCs w:val="24"/>
        </w:rPr>
        <w:tab/>
      </w:r>
      <w:r>
        <w:rPr>
          <w:rFonts w:ascii="Arial" w:hAnsi="Arial" w:cs="Arial"/>
          <w:sz w:val="24"/>
          <w:szCs w:val="24"/>
        </w:rPr>
        <w:tab/>
        <w:t>Third Respondent</w:t>
      </w:r>
    </w:p>
    <w:p w14:paraId="5A6B34FF" w14:textId="7438A30E" w:rsidR="00F7194B" w:rsidRDefault="00AE4CAD" w:rsidP="009C6780">
      <w:pPr>
        <w:tabs>
          <w:tab w:val="left" w:pos="4917"/>
        </w:tabs>
        <w:spacing w:before="120" w:after="120" w:line="360" w:lineRule="auto"/>
        <w:rPr>
          <w:rFonts w:ascii="Arial" w:hAnsi="Arial" w:cs="Arial"/>
          <w:sz w:val="24"/>
          <w:szCs w:val="24"/>
        </w:rPr>
      </w:pPr>
      <w:r>
        <w:rPr>
          <w:rFonts w:ascii="Arial" w:hAnsi="Arial" w:cs="Arial"/>
          <w:sz w:val="24"/>
          <w:szCs w:val="24"/>
        </w:rPr>
        <w:t>Adriaa</w:t>
      </w:r>
      <w:r w:rsidR="00F7194B">
        <w:rPr>
          <w:rFonts w:ascii="Arial" w:hAnsi="Arial" w:cs="Arial"/>
          <w:sz w:val="24"/>
          <w:szCs w:val="24"/>
        </w:rPr>
        <w:t>n Combrinck</w:t>
      </w:r>
      <w:r w:rsidR="00F7194B">
        <w:rPr>
          <w:rFonts w:ascii="Arial" w:hAnsi="Arial" w:cs="Arial"/>
          <w:sz w:val="24"/>
          <w:szCs w:val="24"/>
        </w:rPr>
        <w:tab/>
      </w:r>
      <w:r w:rsidR="00F7194B">
        <w:rPr>
          <w:rFonts w:ascii="Arial" w:hAnsi="Arial" w:cs="Arial"/>
          <w:sz w:val="24"/>
          <w:szCs w:val="24"/>
        </w:rPr>
        <w:tab/>
      </w:r>
      <w:r w:rsidR="00F7194B">
        <w:rPr>
          <w:rFonts w:ascii="Arial" w:hAnsi="Arial" w:cs="Arial"/>
          <w:sz w:val="24"/>
          <w:szCs w:val="24"/>
        </w:rPr>
        <w:tab/>
        <w:t>Fourth Respondent</w:t>
      </w:r>
    </w:p>
    <w:p w14:paraId="59AA76E9" w14:textId="6EF73FEC" w:rsidR="00F9064E" w:rsidRDefault="00F7194B" w:rsidP="00F7194B">
      <w:pPr>
        <w:tabs>
          <w:tab w:val="left" w:pos="4917"/>
        </w:tabs>
        <w:spacing w:before="120" w:after="120" w:line="360" w:lineRule="auto"/>
        <w:rPr>
          <w:rFonts w:ascii="Arial" w:hAnsi="Arial" w:cs="Arial"/>
          <w:sz w:val="24"/>
          <w:szCs w:val="24"/>
        </w:rPr>
      </w:pPr>
      <w:r>
        <w:rPr>
          <w:rFonts w:ascii="Arial" w:hAnsi="Arial" w:cs="Arial"/>
          <w:sz w:val="24"/>
          <w:szCs w:val="24"/>
        </w:rPr>
        <w:t>Christopher Riley</w:t>
      </w:r>
      <w:r>
        <w:rPr>
          <w:rFonts w:ascii="Arial" w:hAnsi="Arial" w:cs="Arial"/>
          <w:sz w:val="24"/>
          <w:szCs w:val="24"/>
        </w:rPr>
        <w:tab/>
      </w:r>
      <w:r>
        <w:rPr>
          <w:rFonts w:ascii="Arial" w:hAnsi="Arial" w:cs="Arial"/>
          <w:sz w:val="24"/>
          <w:szCs w:val="24"/>
        </w:rPr>
        <w:tab/>
      </w:r>
      <w:r>
        <w:rPr>
          <w:rFonts w:ascii="Arial" w:hAnsi="Arial" w:cs="Arial"/>
          <w:sz w:val="24"/>
          <w:szCs w:val="24"/>
        </w:rPr>
        <w:tab/>
        <w:t>Fifth Respondent</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594CAFAD" w14:textId="20FBF359" w:rsidR="008E70C8" w:rsidRDefault="00D17DE3" w:rsidP="00273774">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CB360FD" w14:textId="77777777" w:rsidR="00273774" w:rsidRPr="00273774" w:rsidRDefault="00273774" w:rsidP="00273774">
      <w:pPr>
        <w:pStyle w:val="ListParagraph"/>
        <w:tabs>
          <w:tab w:val="left" w:pos="4917"/>
        </w:tabs>
        <w:spacing w:before="120" w:after="120" w:line="360" w:lineRule="auto"/>
        <w:ind w:left="0"/>
        <w:jc w:val="both"/>
        <w:rPr>
          <w:rFonts w:ascii="Arial" w:hAnsi="Arial" w:cs="Arial"/>
          <w:b/>
          <w:sz w:val="24"/>
          <w:szCs w:val="24"/>
        </w:rPr>
      </w:pPr>
    </w:p>
    <w:p w14:paraId="4A9CDAA2" w14:textId="14EC368A" w:rsidR="0022692F"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54854" w:rsidRPr="001F08B3">
        <w:rPr>
          <w:rFonts w:ascii="Arial" w:hAnsi="Arial" w:cs="Arial"/>
          <w:sz w:val="24"/>
          <w:szCs w:val="24"/>
        </w:rPr>
        <w:t xml:space="preserve">In July 2022 the applicants, </w:t>
      </w:r>
      <w:r w:rsidR="00F7194B" w:rsidRPr="001F08B3">
        <w:rPr>
          <w:rFonts w:ascii="Arial" w:hAnsi="Arial" w:cs="Arial"/>
          <w:sz w:val="24"/>
          <w:szCs w:val="24"/>
        </w:rPr>
        <w:t>as the trustees of the LLL One Trust (the Trust)</w:t>
      </w:r>
      <w:r w:rsidR="00A54854" w:rsidRPr="001F08B3">
        <w:rPr>
          <w:rFonts w:ascii="Arial" w:hAnsi="Arial" w:cs="Arial"/>
          <w:sz w:val="24"/>
          <w:szCs w:val="24"/>
        </w:rPr>
        <w:t>,</w:t>
      </w:r>
      <w:r w:rsidR="00F7194B" w:rsidRPr="001F08B3">
        <w:rPr>
          <w:rFonts w:ascii="Arial" w:hAnsi="Arial" w:cs="Arial"/>
          <w:sz w:val="24"/>
          <w:szCs w:val="24"/>
        </w:rPr>
        <w:t xml:space="preserve"> issued an urgent application seeking an order that a meeting of the first respondent’s shareholders which took place on 24 May 2022 be declared unlawful and invalid</w:t>
      </w:r>
      <w:r w:rsidR="005C4A56" w:rsidRPr="001F08B3">
        <w:rPr>
          <w:rFonts w:ascii="Arial" w:hAnsi="Arial" w:cs="Arial"/>
          <w:sz w:val="24"/>
          <w:szCs w:val="24"/>
        </w:rPr>
        <w:t>, and that the resolutions adopted at the meeting be declared of no force and effect.</w:t>
      </w:r>
    </w:p>
    <w:p w14:paraId="551F1A2B" w14:textId="77777777" w:rsidR="005C4A56" w:rsidRDefault="005C4A56" w:rsidP="005C4A56">
      <w:pPr>
        <w:pStyle w:val="ListParagraph"/>
        <w:tabs>
          <w:tab w:val="left" w:pos="4917"/>
        </w:tabs>
        <w:spacing w:before="120" w:after="120" w:line="360" w:lineRule="auto"/>
        <w:jc w:val="both"/>
        <w:rPr>
          <w:rFonts w:ascii="Arial" w:hAnsi="Arial" w:cs="Arial"/>
          <w:sz w:val="24"/>
          <w:szCs w:val="24"/>
        </w:rPr>
      </w:pPr>
    </w:p>
    <w:p w14:paraId="4DAD3466" w14:textId="126EDB90" w:rsidR="005C4A56"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C4A56" w:rsidRPr="001F08B3">
        <w:rPr>
          <w:rFonts w:ascii="Arial" w:hAnsi="Arial" w:cs="Arial"/>
          <w:sz w:val="24"/>
          <w:szCs w:val="24"/>
        </w:rPr>
        <w:t>The respondents’ answering papers were voluminous</w:t>
      </w:r>
      <w:r w:rsidR="00E12B0E" w:rsidRPr="001F08B3">
        <w:rPr>
          <w:rFonts w:ascii="Arial" w:hAnsi="Arial" w:cs="Arial"/>
          <w:sz w:val="24"/>
          <w:szCs w:val="24"/>
        </w:rPr>
        <w:t>,</w:t>
      </w:r>
      <w:r w:rsidR="005C4A56" w:rsidRPr="001F08B3">
        <w:rPr>
          <w:rFonts w:ascii="Arial" w:hAnsi="Arial" w:cs="Arial"/>
          <w:sz w:val="24"/>
          <w:szCs w:val="24"/>
        </w:rPr>
        <w:t xml:space="preserve"> and the Deputy Judge President referred the application to be heard </w:t>
      </w:r>
      <w:r w:rsidR="00A54854" w:rsidRPr="001F08B3">
        <w:rPr>
          <w:rFonts w:ascii="Arial" w:hAnsi="Arial" w:cs="Arial"/>
          <w:sz w:val="24"/>
          <w:szCs w:val="24"/>
        </w:rPr>
        <w:t xml:space="preserve">as a special motion </w:t>
      </w:r>
      <w:r w:rsidR="005C4A56" w:rsidRPr="001F08B3">
        <w:rPr>
          <w:rFonts w:ascii="Arial" w:hAnsi="Arial" w:cs="Arial"/>
          <w:sz w:val="24"/>
          <w:szCs w:val="24"/>
        </w:rPr>
        <w:t>on the third court roll.</w:t>
      </w:r>
    </w:p>
    <w:p w14:paraId="0D0B444A" w14:textId="77777777" w:rsidR="002B308E" w:rsidRPr="002B308E" w:rsidRDefault="002B308E" w:rsidP="002B308E">
      <w:pPr>
        <w:pStyle w:val="ListParagraph"/>
        <w:rPr>
          <w:rFonts w:ascii="Arial" w:hAnsi="Arial" w:cs="Arial"/>
          <w:sz w:val="24"/>
          <w:szCs w:val="24"/>
        </w:rPr>
      </w:pPr>
    </w:p>
    <w:p w14:paraId="5470E870" w14:textId="238CED28" w:rsidR="002B308E" w:rsidRPr="002B308E" w:rsidRDefault="002B308E" w:rsidP="002B308E">
      <w:pPr>
        <w:tabs>
          <w:tab w:val="left" w:pos="4917"/>
        </w:tabs>
        <w:spacing w:before="120" w:after="120" w:line="360" w:lineRule="auto"/>
        <w:jc w:val="both"/>
        <w:rPr>
          <w:rFonts w:ascii="Arial" w:hAnsi="Arial" w:cs="Arial"/>
          <w:b/>
          <w:sz w:val="24"/>
          <w:szCs w:val="24"/>
        </w:rPr>
      </w:pPr>
      <w:r>
        <w:rPr>
          <w:rFonts w:ascii="Arial" w:hAnsi="Arial" w:cs="Arial"/>
          <w:b/>
          <w:sz w:val="24"/>
          <w:szCs w:val="24"/>
        </w:rPr>
        <w:t>Background</w:t>
      </w:r>
    </w:p>
    <w:p w14:paraId="0A1EC1F8" w14:textId="77777777" w:rsidR="00EB4818" w:rsidRPr="00EB4818" w:rsidRDefault="00EB4818" w:rsidP="00EB4818">
      <w:pPr>
        <w:pStyle w:val="ListParagraph"/>
        <w:rPr>
          <w:rFonts w:ascii="Arial" w:hAnsi="Arial" w:cs="Arial"/>
          <w:sz w:val="24"/>
          <w:szCs w:val="24"/>
        </w:rPr>
      </w:pPr>
    </w:p>
    <w:p w14:paraId="444EBC07" w14:textId="10E85E0A" w:rsidR="00AE4CAD"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3]</w:t>
      </w:r>
      <w:r>
        <w:rPr>
          <w:rFonts w:ascii="Arial" w:hAnsi="Arial" w:cs="Arial"/>
          <w:sz w:val="24"/>
          <w:szCs w:val="24"/>
        </w:rPr>
        <w:tab/>
      </w:r>
      <w:r w:rsidR="00EB4818" w:rsidRPr="001F08B3">
        <w:rPr>
          <w:rFonts w:ascii="Arial" w:hAnsi="Arial" w:cs="Arial"/>
          <w:sz w:val="24"/>
          <w:szCs w:val="24"/>
        </w:rPr>
        <w:t>The applicants contend that th</w:t>
      </w:r>
      <w:r w:rsidR="00A54854" w:rsidRPr="001F08B3">
        <w:rPr>
          <w:rFonts w:ascii="Arial" w:hAnsi="Arial" w:cs="Arial"/>
          <w:sz w:val="24"/>
          <w:szCs w:val="24"/>
        </w:rPr>
        <w:t>e impugned shareholders meeting of 24 April 2022,</w:t>
      </w:r>
      <w:r w:rsidR="00EB4818" w:rsidRPr="001F08B3">
        <w:rPr>
          <w:rFonts w:ascii="Arial" w:hAnsi="Arial" w:cs="Arial"/>
          <w:sz w:val="24"/>
          <w:szCs w:val="24"/>
        </w:rPr>
        <w:t xml:space="preserve"> although purported to be a shareholders’ meeting, was invalid</w:t>
      </w:r>
      <w:r w:rsidR="00AE4CAD" w:rsidRPr="001F08B3">
        <w:rPr>
          <w:rFonts w:ascii="Arial" w:hAnsi="Arial" w:cs="Arial"/>
          <w:sz w:val="24"/>
          <w:szCs w:val="24"/>
        </w:rPr>
        <w:t xml:space="preserve"> for the following reasons:</w:t>
      </w:r>
    </w:p>
    <w:p w14:paraId="6A956CCA" w14:textId="77777777" w:rsidR="00AE4CAD" w:rsidRPr="00AE4CAD" w:rsidRDefault="00AE4CAD" w:rsidP="00AE4CAD">
      <w:pPr>
        <w:pStyle w:val="ListParagraph"/>
        <w:rPr>
          <w:rFonts w:ascii="Arial" w:hAnsi="Arial" w:cs="Arial"/>
          <w:sz w:val="24"/>
          <w:szCs w:val="24"/>
        </w:rPr>
      </w:pPr>
    </w:p>
    <w:p w14:paraId="464D86F5" w14:textId="1CC999D9" w:rsidR="00AE4CAD" w:rsidRPr="001F08B3" w:rsidRDefault="001F08B3" w:rsidP="001F08B3">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AE4CAD" w:rsidRPr="001F08B3">
        <w:rPr>
          <w:rFonts w:ascii="Arial" w:hAnsi="Arial" w:cs="Arial"/>
          <w:sz w:val="24"/>
          <w:szCs w:val="24"/>
        </w:rPr>
        <w:t>the duty of convening a shareholders’ meeting lies with the board of directors and not with the shareholders, at the time of the dispatch of the notice of the shareholders’ meeting set down for 24 May 2022, Quikstep’s board was constituted by the applicant, Ian Peach, Lynne Hardy</w:t>
      </w:r>
      <w:r w:rsidR="00E12B0E" w:rsidRPr="001F08B3">
        <w:rPr>
          <w:rFonts w:ascii="Arial" w:hAnsi="Arial" w:cs="Arial"/>
          <w:sz w:val="24"/>
          <w:szCs w:val="24"/>
        </w:rPr>
        <w:t>,</w:t>
      </w:r>
      <w:r w:rsidR="00AE4CAD" w:rsidRPr="001F08B3">
        <w:rPr>
          <w:rFonts w:ascii="Arial" w:hAnsi="Arial" w:cs="Arial"/>
          <w:sz w:val="24"/>
          <w:szCs w:val="24"/>
        </w:rPr>
        <w:t xml:space="preserve"> and the 5</w:t>
      </w:r>
      <w:r w:rsidR="00AE4CAD" w:rsidRPr="001F08B3">
        <w:rPr>
          <w:rFonts w:ascii="Arial" w:hAnsi="Arial" w:cs="Arial"/>
          <w:sz w:val="24"/>
          <w:szCs w:val="24"/>
          <w:vertAlign w:val="superscript"/>
        </w:rPr>
        <w:t>th</w:t>
      </w:r>
      <w:r w:rsidR="00A54854" w:rsidRPr="001F08B3">
        <w:rPr>
          <w:rFonts w:ascii="Arial" w:hAnsi="Arial" w:cs="Arial"/>
          <w:sz w:val="24"/>
          <w:szCs w:val="24"/>
        </w:rPr>
        <w:t xml:space="preserve"> respondent;</w:t>
      </w:r>
    </w:p>
    <w:p w14:paraId="558BE593" w14:textId="77777777" w:rsidR="00E12B0E" w:rsidRDefault="00E12B0E" w:rsidP="00E12B0E">
      <w:pPr>
        <w:pStyle w:val="ListParagraph"/>
        <w:tabs>
          <w:tab w:val="left" w:pos="4917"/>
        </w:tabs>
        <w:spacing w:before="120" w:after="120" w:line="360" w:lineRule="auto"/>
        <w:ind w:left="1440"/>
        <w:jc w:val="both"/>
        <w:rPr>
          <w:rFonts w:ascii="Arial" w:hAnsi="Arial" w:cs="Arial"/>
          <w:sz w:val="24"/>
          <w:szCs w:val="24"/>
        </w:rPr>
      </w:pPr>
    </w:p>
    <w:p w14:paraId="22EB5B2E" w14:textId="5649BB53" w:rsidR="00A54854" w:rsidRPr="001F08B3" w:rsidRDefault="001F08B3" w:rsidP="001F08B3">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E4CAD" w:rsidRPr="001F08B3">
        <w:rPr>
          <w:rFonts w:ascii="Arial" w:hAnsi="Arial" w:cs="Arial"/>
          <w:sz w:val="24"/>
          <w:szCs w:val="24"/>
        </w:rPr>
        <w:t>the notice of the meeting was dispatched one day short of</w:t>
      </w:r>
      <w:r w:rsidR="00A54854" w:rsidRPr="001F08B3">
        <w:rPr>
          <w:rFonts w:ascii="Arial" w:hAnsi="Arial" w:cs="Arial"/>
          <w:sz w:val="24"/>
          <w:szCs w:val="24"/>
        </w:rPr>
        <w:t xml:space="preserve"> the required three-week notice;</w:t>
      </w:r>
    </w:p>
    <w:p w14:paraId="7BF2BA34" w14:textId="77777777" w:rsidR="00E12B0E" w:rsidRPr="00E12B0E" w:rsidRDefault="00E12B0E" w:rsidP="00E12B0E">
      <w:pPr>
        <w:pStyle w:val="ListParagraph"/>
        <w:rPr>
          <w:rFonts w:ascii="Arial" w:hAnsi="Arial" w:cs="Arial"/>
          <w:sz w:val="24"/>
          <w:szCs w:val="24"/>
        </w:rPr>
      </w:pPr>
    </w:p>
    <w:p w14:paraId="1A5613D4" w14:textId="0673E449" w:rsidR="00A54854" w:rsidRPr="001F08B3" w:rsidRDefault="001F08B3" w:rsidP="001F08B3">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r>
      <w:r w:rsidR="00A54854" w:rsidRPr="001F08B3">
        <w:rPr>
          <w:rFonts w:ascii="Arial" w:hAnsi="Arial" w:cs="Arial"/>
          <w:sz w:val="24"/>
          <w:szCs w:val="24"/>
        </w:rPr>
        <w:t>neither of the second to fifth respondent</w:t>
      </w:r>
      <w:r w:rsidR="00E12B0E" w:rsidRPr="001F08B3">
        <w:rPr>
          <w:rFonts w:ascii="Arial" w:hAnsi="Arial" w:cs="Arial"/>
          <w:sz w:val="24"/>
          <w:szCs w:val="24"/>
        </w:rPr>
        <w:t>s was</w:t>
      </w:r>
      <w:r w:rsidR="00A54854" w:rsidRPr="001F08B3">
        <w:rPr>
          <w:rFonts w:ascii="Arial" w:hAnsi="Arial" w:cs="Arial"/>
          <w:sz w:val="24"/>
          <w:szCs w:val="24"/>
        </w:rPr>
        <w:t xml:space="preserve"> </w:t>
      </w:r>
      <w:r w:rsidR="00FE0A10" w:rsidRPr="001F08B3">
        <w:rPr>
          <w:rFonts w:ascii="Arial" w:hAnsi="Arial" w:cs="Arial"/>
          <w:sz w:val="24"/>
          <w:szCs w:val="24"/>
        </w:rPr>
        <w:t xml:space="preserve">a </w:t>
      </w:r>
      <w:r w:rsidR="00A54854" w:rsidRPr="001F08B3">
        <w:rPr>
          <w:rFonts w:ascii="Arial" w:hAnsi="Arial" w:cs="Arial"/>
          <w:sz w:val="24"/>
          <w:szCs w:val="24"/>
        </w:rPr>
        <w:t>share</w:t>
      </w:r>
      <w:r w:rsidR="00FE0A10" w:rsidRPr="001F08B3">
        <w:rPr>
          <w:rFonts w:ascii="Arial" w:hAnsi="Arial" w:cs="Arial"/>
          <w:sz w:val="24"/>
          <w:szCs w:val="24"/>
        </w:rPr>
        <w:t>holder</w:t>
      </w:r>
      <w:r w:rsidR="00E12B0E" w:rsidRPr="001F08B3">
        <w:rPr>
          <w:rFonts w:ascii="Arial" w:hAnsi="Arial" w:cs="Arial"/>
          <w:sz w:val="24"/>
          <w:szCs w:val="24"/>
        </w:rPr>
        <w:t xml:space="preserve"> of the first respondent (Q</w:t>
      </w:r>
      <w:r w:rsidR="00A54854" w:rsidRPr="001F08B3">
        <w:rPr>
          <w:rFonts w:ascii="Arial" w:hAnsi="Arial" w:cs="Arial"/>
          <w:sz w:val="24"/>
          <w:szCs w:val="24"/>
        </w:rPr>
        <w:t>ui</w:t>
      </w:r>
      <w:r w:rsidR="00FE0A10" w:rsidRPr="001F08B3">
        <w:rPr>
          <w:rFonts w:ascii="Arial" w:hAnsi="Arial" w:cs="Arial"/>
          <w:sz w:val="24"/>
          <w:szCs w:val="24"/>
        </w:rPr>
        <w:t>c</w:t>
      </w:r>
      <w:r w:rsidR="00A54854" w:rsidRPr="001F08B3">
        <w:rPr>
          <w:rFonts w:ascii="Arial" w:hAnsi="Arial" w:cs="Arial"/>
          <w:sz w:val="24"/>
          <w:szCs w:val="24"/>
        </w:rPr>
        <w:t>kstep) and thus not allowed to vote in favour of the resolutions passed.</w:t>
      </w:r>
    </w:p>
    <w:p w14:paraId="61FFBF71" w14:textId="77777777" w:rsidR="005C4A56" w:rsidRPr="005C4A56" w:rsidRDefault="005C4A56" w:rsidP="005C4A56">
      <w:pPr>
        <w:pStyle w:val="ListParagraph"/>
        <w:rPr>
          <w:rFonts w:ascii="Arial" w:hAnsi="Arial" w:cs="Arial"/>
          <w:sz w:val="24"/>
          <w:szCs w:val="24"/>
        </w:rPr>
      </w:pPr>
    </w:p>
    <w:p w14:paraId="6F94BD3C" w14:textId="0ECBD83D" w:rsidR="005C4A56"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C4A56" w:rsidRPr="001F08B3">
        <w:rPr>
          <w:rFonts w:ascii="Arial" w:hAnsi="Arial" w:cs="Arial"/>
          <w:sz w:val="24"/>
          <w:szCs w:val="24"/>
        </w:rPr>
        <w:t>The respondents deny that this matter is indeed urgent. The urgency question has, in my view, become redundant and moot due to the effluxion of time. The applicatio</w:t>
      </w:r>
      <w:r w:rsidR="00FE0A10" w:rsidRPr="001F08B3">
        <w:rPr>
          <w:rFonts w:ascii="Arial" w:hAnsi="Arial" w:cs="Arial"/>
          <w:sz w:val="24"/>
          <w:szCs w:val="24"/>
        </w:rPr>
        <w:t>n is currently enrolled as a special motion</w:t>
      </w:r>
      <w:r w:rsidR="005C4A56" w:rsidRPr="001F08B3">
        <w:rPr>
          <w:rFonts w:ascii="Arial" w:hAnsi="Arial" w:cs="Arial"/>
          <w:sz w:val="24"/>
          <w:szCs w:val="24"/>
        </w:rPr>
        <w:t xml:space="preserve"> and stands to be dealt with. Neither party can </w:t>
      </w:r>
      <w:r w:rsidR="009426EB" w:rsidRPr="001F08B3">
        <w:rPr>
          <w:rFonts w:ascii="Arial" w:hAnsi="Arial" w:cs="Arial"/>
          <w:sz w:val="24"/>
          <w:szCs w:val="24"/>
        </w:rPr>
        <w:t>state that they did not have sufficient time to place all the relevant information before the court because they were pressed for time to prepare</w:t>
      </w:r>
      <w:r w:rsidR="005C4A56" w:rsidRPr="001F08B3">
        <w:rPr>
          <w:rFonts w:ascii="Arial" w:hAnsi="Arial" w:cs="Arial"/>
          <w:sz w:val="24"/>
          <w:szCs w:val="24"/>
        </w:rPr>
        <w:t xml:space="preserve"> their respective cases. More than eight months have passed since the application was issued.</w:t>
      </w:r>
      <w:r w:rsidR="00A54854" w:rsidRPr="001F08B3">
        <w:rPr>
          <w:rFonts w:ascii="Arial" w:hAnsi="Arial" w:cs="Arial"/>
          <w:sz w:val="24"/>
          <w:szCs w:val="24"/>
        </w:rPr>
        <w:t xml:space="preserve"> The issue of the initial urgency is only relevant in so far as liability for the wasted costs, reserved in the urgent court, is to be determined.</w:t>
      </w:r>
    </w:p>
    <w:p w14:paraId="60836114" w14:textId="7C8F80AC" w:rsidR="002B308E" w:rsidRDefault="002B308E" w:rsidP="002B308E">
      <w:pPr>
        <w:tabs>
          <w:tab w:val="left" w:pos="4917"/>
        </w:tabs>
        <w:spacing w:before="120" w:after="120" w:line="360" w:lineRule="auto"/>
        <w:jc w:val="both"/>
        <w:rPr>
          <w:rFonts w:ascii="Arial" w:hAnsi="Arial" w:cs="Arial"/>
          <w:sz w:val="24"/>
          <w:szCs w:val="24"/>
        </w:rPr>
      </w:pPr>
    </w:p>
    <w:p w14:paraId="2848300F" w14:textId="4BE5246F" w:rsidR="002B308E" w:rsidRPr="002B308E" w:rsidRDefault="002B308E" w:rsidP="002B308E">
      <w:pPr>
        <w:tabs>
          <w:tab w:val="left" w:pos="4917"/>
        </w:tabs>
        <w:spacing w:before="120" w:after="120" w:line="360" w:lineRule="auto"/>
        <w:jc w:val="both"/>
        <w:rPr>
          <w:rFonts w:ascii="Arial" w:hAnsi="Arial" w:cs="Arial"/>
          <w:b/>
          <w:i/>
          <w:sz w:val="24"/>
          <w:szCs w:val="24"/>
        </w:rPr>
      </w:pPr>
      <w:r>
        <w:rPr>
          <w:rFonts w:ascii="Arial" w:hAnsi="Arial" w:cs="Arial"/>
          <w:b/>
          <w:sz w:val="24"/>
          <w:szCs w:val="24"/>
        </w:rPr>
        <w:t xml:space="preserve">Point </w:t>
      </w:r>
      <w:r>
        <w:rPr>
          <w:rFonts w:ascii="Arial" w:hAnsi="Arial" w:cs="Arial"/>
          <w:b/>
          <w:i/>
          <w:sz w:val="24"/>
          <w:szCs w:val="24"/>
        </w:rPr>
        <w:t>in limine</w:t>
      </w:r>
    </w:p>
    <w:p w14:paraId="1EED754C" w14:textId="77777777" w:rsidR="005C4A56" w:rsidRPr="005C4A56" w:rsidRDefault="005C4A56" w:rsidP="005C4A56">
      <w:pPr>
        <w:pStyle w:val="ListParagraph"/>
        <w:rPr>
          <w:rFonts w:ascii="Arial" w:hAnsi="Arial" w:cs="Arial"/>
          <w:sz w:val="24"/>
          <w:szCs w:val="24"/>
        </w:rPr>
      </w:pPr>
    </w:p>
    <w:p w14:paraId="053B9974" w14:textId="539AD998" w:rsidR="005C4A56"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C4A56" w:rsidRPr="001F08B3">
        <w:rPr>
          <w:rFonts w:ascii="Arial" w:hAnsi="Arial" w:cs="Arial"/>
          <w:sz w:val="24"/>
          <w:szCs w:val="24"/>
        </w:rPr>
        <w:t xml:space="preserve">The respondents raised a </w:t>
      </w:r>
      <w:r w:rsidR="005C4A56" w:rsidRPr="001F08B3">
        <w:rPr>
          <w:rFonts w:ascii="Arial" w:hAnsi="Arial" w:cs="Arial"/>
          <w:i/>
          <w:sz w:val="24"/>
          <w:szCs w:val="24"/>
        </w:rPr>
        <w:t>point in limine</w:t>
      </w:r>
      <w:r w:rsidR="005C4A56" w:rsidRPr="001F08B3">
        <w:rPr>
          <w:rFonts w:ascii="Arial" w:hAnsi="Arial" w:cs="Arial"/>
          <w:sz w:val="24"/>
          <w:szCs w:val="24"/>
        </w:rPr>
        <w:t>. They submit that the application is fatally defective owing to the fact that the applicants have not cited or joined all the shareholders who were either present or represented at the impugned shareholders’ meeting of 24 May 2022</w:t>
      </w:r>
      <w:r w:rsidR="00EB4818" w:rsidRPr="001F08B3">
        <w:rPr>
          <w:rFonts w:ascii="Arial" w:hAnsi="Arial" w:cs="Arial"/>
          <w:sz w:val="24"/>
          <w:szCs w:val="24"/>
        </w:rPr>
        <w:t xml:space="preserve"> (the meeting)</w:t>
      </w:r>
      <w:r w:rsidR="00A54854" w:rsidRPr="001F08B3">
        <w:rPr>
          <w:rFonts w:ascii="Arial" w:hAnsi="Arial" w:cs="Arial"/>
          <w:sz w:val="24"/>
          <w:szCs w:val="24"/>
        </w:rPr>
        <w:t xml:space="preserve">, or all the directors who were appointed </w:t>
      </w:r>
      <w:r w:rsidR="005C4A56" w:rsidRPr="001F08B3">
        <w:rPr>
          <w:rFonts w:ascii="Arial" w:hAnsi="Arial" w:cs="Arial"/>
          <w:sz w:val="24"/>
          <w:szCs w:val="24"/>
        </w:rPr>
        <w:t>at the said meeting.</w:t>
      </w:r>
    </w:p>
    <w:p w14:paraId="507F9780" w14:textId="77777777" w:rsidR="00AE4CAD" w:rsidRPr="00AE4CAD" w:rsidRDefault="00AE4CAD" w:rsidP="00AE4CAD">
      <w:pPr>
        <w:pStyle w:val="ListParagraph"/>
        <w:rPr>
          <w:rFonts w:ascii="Arial" w:hAnsi="Arial" w:cs="Arial"/>
          <w:sz w:val="24"/>
          <w:szCs w:val="24"/>
        </w:rPr>
      </w:pPr>
    </w:p>
    <w:p w14:paraId="4A00609E" w14:textId="3BBBE45F" w:rsidR="005C4A56"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AE4CAD" w:rsidRPr="001F08B3">
        <w:rPr>
          <w:rFonts w:ascii="Arial" w:hAnsi="Arial" w:cs="Arial"/>
          <w:sz w:val="24"/>
          <w:szCs w:val="24"/>
        </w:rPr>
        <w:t xml:space="preserve">The minutes of the meeting reflect that </w:t>
      </w:r>
      <w:r w:rsidR="00AA16AA" w:rsidRPr="001F08B3">
        <w:rPr>
          <w:rFonts w:ascii="Arial" w:hAnsi="Arial" w:cs="Arial"/>
          <w:sz w:val="24"/>
          <w:szCs w:val="24"/>
        </w:rPr>
        <w:t>shareholders provided proxies to other shareholders or unrelated individuals to vote their shareholding in favour of the resolutions. The minutes reflect that ten individuals participated in the meeting either in person or through TEAMS. Fourteen shareholders were either present or represented. Of these, only three are cited as respondents to this application.</w:t>
      </w:r>
      <w:r w:rsidR="00486511" w:rsidRPr="001F08B3">
        <w:rPr>
          <w:rFonts w:ascii="Arial" w:hAnsi="Arial" w:cs="Arial"/>
          <w:sz w:val="24"/>
          <w:szCs w:val="24"/>
        </w:rPr>
        <w:t xml:space="preserve"> The respondents contend that the shareholders ‘overwhelmingly passed the resolutions to remove the first applicant, Peach and Harding as directors and to appoint the second to fifth respondents</w:t>
      </w:r>
      <w:r w:rsidR="00A54854" w:rsidRPr="001F08B3">
        <w:rPr>
          <w:rFonts w:ascii="Arial" w:hAnsi="Arial" w:cs="Arial"/>
          <w:sz w:val="24"/>
          <w:szCs w:val="24"/>
        </w:rPr>
        <w:t>, together with two other individuals who are not cited,</w:t>
      </w:r>
      <w:r w:rsidR="00486511" w:rsidRPr="001F08B3">
        <w:rPr>
          <w:rFonts w:ascii="Arial" w:hAnsi="Arial" w:cs="Arial"/>
          <w:sz w:val="24"/>
          <w:szCs w:val="24"/>
        </w:rPr>
        <w:t xml:space="preserve"> as the new directors of Quickstep. As such, the shareholders who have not been cited in this application have a direct and material interest in the outcome of the relief </w:t>
      </w:r>
      <w:r w:rsidR="00486511" w:rsidRPr="001F08B3">
        <w:rPr>
          <w:rFonts w:ascii="Arial" w:hAnsi="Arial" w:cs="Arial"/>
          <w:sz w:val="24"/>
          <w:szCs w:val="24"/>
        </w:rPr>
        <w:lastRenderedPageBreak/>
        <w:t>sought by the applicant. In failing to cite those shareholders</w:t>
      </w:r>
      <w:r w:rsidR="009F097F" w:rsidRPr="001F08B3">
        <w:rPr>
          <w:rFonts w:ascii="Arial" w:hAnsi="Arial" w:cs="Arial"/>
          <w:sz w:val="24"/>
          <w:szCs w:val="24"/>
        </w:rPr>
        <w:t>,</w:t>
      </w:r>
      <w:r w:rsidR="00486511" w:rsidRPr="001F08B3">
        <w:rPr>
          <w:rFonts w:ascii="Arial" w:hAnsi="Arial" w:cs="Arial"/>
          <w:sz w:val="24"/>
          <w:szCs w:val="24"/>
        </w:rPr>
        <w:t xml:space="preserve"> the application is fatally defective and stands to be dismissed with costs.</w:t>
      </w:r>
      <w:r w:rsidR="00AA16AA" w:rsidRPr="001F08B3">
        <w:rPr>
          <w:rFonts w:ascii="Arial" w:hAnsi="Arial" w:cs="Arial"/>
          <w:sz w:val="24"/>
          <w:szCs w:val="24"/>
        </w:rPr>
        <w:t xml:space="preserve"> </w:t>
      </w:r>
    </w:p>
    <w:p w14:paraId="3AA4CEC8" w14:textId="77777777" w:rsidR="00AA16AA" w:rsidRPr="00AA16AA" w:rsidRDefault="00AA16AA" w:rsidP="00AA16AA">
      <w:pPr>
        <w:pStyle w:val="ListParagraph"/>
        <w:rPr>
          <w:rFonts w:ascii="Arial" w:hAnsi="Arial" w:cs="Arial"/>
          <w:sz w:val="24"/>
          <w:szCs w:val="24"/>
        </w:rPr>
      </w:pPr>
    </w:p>
    <w:p w14:paraId="69C02897" w14:textId="54BE16C6" w:rsidR="005C4A56"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5C4A56" w:rsidRPr="001F08B3">
        <w:rPr>
          <w:rFonts w:ascii="Arial" w:hAnsi="Arial" w:cs="Arial"/>
          <w:sz w:val="24"/>
          <w:szCs w:val="24"/>
        </w:rPr>
        <w:t xml:space="preserve">The applicants contend that </w:t>
      </w:r>
      <w:r w:rsidR="00486511" w:rsidRPr="001F08B3">
        <w:rPr>
          <w:rFonts w:ascii="Arial" w:hAnsi="Arial" w:cs="Arial"/>
          <w:sz w:val="24"/>
          <w:szCs w:val="24"/>
        </w:rPr>
        <w:t>the proposition of non-joinder is misconceived. N</w:t>
      </w:r>
      <w:r w:rsidR="005C4A56" w:rsidRPr="001F08B3">
        <w:rPr>
          <w:rFonts w:ascii="Arial" w:hAnsi="Arial" w:cs="Arial"/>
          <w:sz w:val="24"/>
          <w:szCs w:val="24"/>
        </w:rPr>
        <w:t>one of the shareholders present or represented at the meeting</w:t>
      </w:r>
      <w:r w:rsidR="00EB4818" w:rsidRPr="001F08B3">
        <w:rPr>
          <w:rFonts w:ascii="Arial" w:hAnsi="Arial" w:cs="Arial"/>
          <w:sz w:val="24"/>
          <w:szCs w:val="24"/>
        </w:rPr>
        <w:t xml:space="preserve"> who are not cited has a ‘direct and material interest’ in the su</w:t>
      </w:r>
      <w:r w:rsidR="00486511" w:rsidRPr="001F08B3">
        <w:rPr>
          <w:rFonts w:ascii="Arial" w:hAnsi="Arial" w:cs="Arial"/>
          <w:sz w:val="24"/>
          <w:szCs w:val="24"/>
        </w:rPr>
        <w:t>bject matter of the application, ‘being a legal interest which may be affected prejudicially by the judgment of this court.’ The applicants contend that the issue in this application is the right of the opposing respondents, as shareholders in Quickstep, to have called for and or convened the impugned shareholder’s meeting. The applicants explain that the notice of the special general meeting is signed by the second to fifth respondents and it is their right as shareholders, or shareholders’ representatives</w:t>
      </w:r>
      <w:r w:rsidR="00085DC8" w:rsidRPr="001F08B3">
        <w:rPr>
          <w:rFonts w:ascii="Arial" w:hAnsi="Arial" w:cs="Arial"/>
          <w:sz w:val="24"/>
          <w:szCs w:val="24"/>
        </w:rPr>
        <w:t xml:space="preserve"> to convene the impugned meeting that is challenged. It is their alleged failure to comply with the prescripts of ss 61 and 62 of the Companies Act 71 of 2008 (the CA) which gave rise to this application.</w:t>
      </w:r>
      <w:r w:rsidR="00A54854" w:rsidRPr="001F08B3">
        <w:rPr>
          <w:rFonts w:ascii="Arial" w:hAnsi="Arial" w:cs="Arial"/>
          <w:sz w:val="24"/>
          <w:szCs w:val="24"/>
        </w:rPr>
        <w:t xml:space="preserve"> The consequence of the </w:t>
      </w:r>
      <w:r w:rsidR="009F097F" w:rsidRPr="001F08B3">
        <w:rPr>
          <w:rFonts w:ascii="Arial" w:hAnsi="Arial" w:cs="Arial"/>
          <w:sz w:val="24"/>
          <w:szCs w:val="24"/>
        </w:rPr>
        <w:t>second to</w:t>
      </w:r>
      <w:r w:rsidR="00A54854" w:rsidRPr="001F08B3">
        <w:rPr>
          <w:rFonts w:ascii="Arial" w:hAnsi="Arial" w:cs="Arial"/>
          <w:sz w:val="24"/>
          <w:szCs w:val="24"/>
        </w:rPr>
        <w:t xml:space="preserve"> fifth respondents’ chosen </w:t>
      </w:r>
      <w:r w:rsidR="00A54854" w:rsidRPr="001F08B3">
        <w:rPr>
          <w:rFonts w:ascii="Arial" w:hAnsi="Arial" w:cs="Arial"/>
          <w:i/>
          <w:sz w:val="24"/>
          <w:szCs w:val="24"/>
        </w:rPr>
        <w:t>modus operandi</w:t>
      </w:r>
      <w:r w:rsidR="00A54854" w:rsidRPr="001F08B3">
        <w:rPr>
          <w:rFonts w:ascii="Arial" w:hAnsi="Arial" w:cs="Arial"/>
          <w:sz w:val="24"/>
          <w:szCs w:val="24"/>
        </w:rPr>
        <w:t xml:space="preserve">, the </w:t>
      </w:r>
      <w:r w:rsidR="009F097F" w:rsidRPr="001F08B3">
        <w:rPr>
          <w:rFonts w:ascii="Arial" w:hAnsi="Arial" w:cs="Arial"/>
          <w:sz w:val="24"/>
          <w:szCs w:val="24"/>
        </w:rPr>
        <w:t>applicants’ argument</w:t>
      </w:r>
      <w:r w:rsidR="00A54854" w:rsidRPr="001F08B3">
        <w:rPr>
          <w:rFonts w:ascii="Arial" w:hAnsi="Arial" w:cs="Arial"/>
          <w:sz w:val="24"/>
          <w:szCs w:val="24"/>
        </w:rPr>
        <w:t xml:space="preserve"> goes, is that as a matter of law, the shareholders’ meeting that occurred is invalid </w:t>
      </w:r>
      <w:r w:rsidR="009F097F" w:rsidRPr="001F08B3">
        <w:rPr>
          <w:rFonts w:ascii="Arial" w:hAnsi="Arial" w:cs="Arial"/>
          <w:sz w:val="24"/>
          <w:szCs w:val="24"/>
        </w:rPr>
        <w:t xml:space="preserve">because it was not convened by the board of directors, and short notice, </w:t>
      </w:r>
      <w:r w:rsidR="00A54854" w:rsidRPr="001F08B3">
        <w:rPr>
          <w:rFonts w:ascii="Arial" w:hAnsi="Arial" w:cs="Arial"/>
          <w:sz w:val="24"/>
          <w:szCs w:val="24"/>
        </w:rPr>
        <w:t>and nothing any of the</w:t>
      </w:r>
      <w:r w:rsidR="00746669" w:rsidRPr="001F08B3">
        <w:rPr>
          <w:rFonts w:ascii="Arial" w:hAnsi="Arial" w:cs="Arial"/>
          <w:sz w:val="24"/>
          <w:szCs w:val="24"/>
        </w:rPr>
        <w:t xml:space="preserve"> non-cited shareholders c</w:t>
      </w:r>
      <w:r w:rsidR="00A54854" w:rsidRPr="001F08B3">
        <w:rPr>
          <w:rFonts w:ascii="Arial" w:hAnsi="Arial" w:cs="Arial"/>
          <w:sz w:val="24"/>
          <w:szCs w:val="24"/>
        </w:rPr>
        <w:t xml:space="preserve">an put before this court can change this reality. In addition, counsel for the applicants submitted that the shareholder’s right to call for a shareholders’ </w:t>
      </w:r>
      <w:r w:rsidR="00746669" w:rsidRPr="001F08B3">
        <w:rPr>
          <w:rFonts w:ascii="Arial" w:hAnsi="Arial" w:cs="Arial"/>
          <w:sz w:val="24"/>
          <w:szCs w:val="24"/>
        </w:rPr>
        <w:t>meeting, and their right to remove the first respondent’s directors by an ordinary resolution adopted at a properly convened shareholder’s meeting, are not prejudicially affected by the relief sought in this application.</w:t>
      </w:r>
    </w:p>
    <w:p w14:paraId="48EA9AF5" w14:textId="2D39FE7F" w:rsidR="0022692F" w:rsidRDefault="0022692F" w:rsidP="0022692F">
      <w:pPr>
        <w:pStyle w:val="ListParagraph"/>
        <w:tabs>
          <w:tab w:val="left" w:pos="4917"/>
        </w:tabs>
        <w:spacing w:before="120" w:after="120" w:line="360" w:lineRule="auto"/>
        <w:jc w:val="both"/>
        <w:rPr>
          <w:rFonts w:ascii="Arial" w:hAnsi="Arial" w:cs="Arial"/>
          <w:sz w:val="24"/>
          <w:szCs w:val="24"/>
        </w:rPr>
      </w:pPr>
    </w:p>
    <w:p w14:paraId="3E3B258F" w14:textId="2C19EC9D" w:rsidR="0022692F"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085DC8" w:rsidRPr="001F08B3">
        <w:rPr>
          <w:rFonts w:ascii="Arial" w:hAnsi="Arial" w:cs="Arial"/>
          <w:sz w:val="24"/>
          <w:szCs w:val="24"/>
        </w:rPr>
        <w:t xml:space="preserve">In order to consider the point </w:t>
      </w:r>
      <w:r w:rsidR="00085DC8" w:rsidRPr="001F08B3">
        <w:rPr>
          <w:rFonts w:ascii="Arial" w:hAnsi="Arial" w:cs="Arial"/>
          <w:i/>
          <w:sz w:val="24"/>
          <w:szCs w:val="24"/>
        </w:rPr>
        <w:t>in limine</w:t>
      </w:r>
      <w:r w:rsidR="00085DC8" w:rsidRPr="001F08B3">
        <w:rPr>
          <w:rFonts w:ascii="Arial" w:hAnsi="Arial" w:cs="Arial"/>
          <w:sz w:val="24"/>
          <w:szCs w:val="24"/>
        </w:rPr>
        <w:t>, it is necessary to determine the meaning of ‘direct and material interest’ in the context of joinder applications. Is it the circumstances that gave rise to the litigation in q</w:t>
      </w:r>
      <w:r w:rsidR="00674838" w:rsidRPr="001F08B3">
        <w:rPr>
          <w:rFonts w:ascii="Arial" w:hAnsi="Arial" w:cs="Arial"/>
          <w:sz w:val="24"/>
          <w:szCs w:val="24"/>
        </w:rPr>
        <w:t xml:space="preserve">uestion, or the consequence </w:t>
      </w:r>
      <w:r w:rsidR="00085DC8" w:rsidRPr="001F08B3">
        <w:rPr>
          <w:rFonts w:ascii="Arial" w:hAnsi="Arial" w:cs="Arial"/>
          <w:sz w:val="24"/>
          <w:szCs w:val="24"/>
        </w:rPr>
        <w:t>of the relief sought, if granted, that determines whether a party can be said to have a direct and substantial interest in the litigation that requires it to be a party to the proceedings?</w:t>
      </w:r>
    </w:p>
    <w:p w14:paraId="5150F99C" w14:textId="77777777" w:rsidR="00085DC8" w:rsidRPr="00085DC8" w:rsidRDefault="00085DC8" w:rsidP="00085DC8">
      <w:pPr>
        <w:pStyle w:val="ListParagraph"/>
        <w:rPr>
          <w:rFonts w:ascii="Arial" w:hAnsi="Arial" w:cs="Arial"/>
          <w:sz w:val="24"/>
          <w:szCs w:val="24"/>
        </w:rPr>
      </w:pPr>
    </w:p>
    <w:p w14:paraId="20013A99" w14:textId="6483DAF8" w:rsidR="0015668A" w:rsidRPr="001F08B3" w:rsidRDefault="001F08B3" w:rsidP="001F08B3">
      <w:pPr>
        <w:tabs>
          <w:tab w:val="left" w:pos="4917"/>
        </w:tabs>
        <w:spacing w:before="120" w:after="120" w:line="360" w:lineRule="auto"/>
        <w:ind w:left="720" w:hanging="720"/>
        <w:jc w:val="both"/>
        <w:rPr>
          <w:rFonts w:ascii="Arial" w:hAnsi="Arial" w:cs="Arial"/>
          <w:sz w:val="24"/>
          <w:szCs w:val="24"/>
        </w:rPr>
      </w:pPr>
      <w:r w:rsidRPr="0015668A">
        <w:rPr>
          <w:rFonts w:ascii="Arial" w:hAnsi="Arial" w:cs="Arial"/>
          <w:sz w:val="24"/>
          <w:szCs w:val="24"/>
        </w:rPr>
        <w:lastRenderedPageBreak/>
        <w:t>[9]</w:t>
      </w:r>
      <w:r w:rsidRPr="0015668A">
        <w:rPr>
          <w:rFonts w:ascii="Arial" w:hAnsi="Arial" w:cs="Arial"/>
          <w:sz w:val="24"/>
          <w:szCs w:val="24"/>
        </w:rPr>
        <w:tab/>
      </w:r>
      <w:r w:rsidR="0015668A" w:rsidRPr="001F08B3">
        <w:rPr>
          <w:rFonts w:ascii="Arial" w:hAnsi="Arial" w:cs="Arial"/>
          <w:sz w:val="24"/>
          <w:szCs w:val="24"/>
        </w:rPr>
        <w:t xml:space="preserve">In </w:t>
      </w:r>
      <w:r w:rsidR="0015668A" w:rsidRPr="001F08B3">
        <w:rPr>
          <w:rFonts w:ascii="Arial" w:hAnsi="Arial" w:cs="Arial"/>
          <w:i/>
          <w:sz w:val="24"/>
          <w:szCs w:val="24"/>
        </w:rPr>
        <w:t>Amalgamated Engineering Union v Minister of Labour</w:t>
      </w:r>
      <w:r w:rsidR="00674838" w:rsidRPr="001F08B3">
        <w:rPr>
          <w:rFonts w:ascii="Arial" w:hAnsi="Arial" w:cs="Arial"/>
          <w:i/>
          <w:sz w:val="24"/>
          <w:szCs w:val="24"/>
        </w:rPr>
        <w:t>,</w:t>
      </w:r>
      <w:r w:rsidR="0015668A" w:rsidRPr="0015668A">
        <w:rPr>
          <w:rStyle w:val="FootnoteReference"/>
          <w:rFonts w:ascii="Arial" w:hAnsi="Arial" w:cs="Arial"/>
          <w:i/>
          <w:sz w:val="24"/>
          <w:szCs w:val="24"/>
        </w:rPr>
        <w:footnoteReference w:id="1"/>
      </w:r>
      <w:r w:rsidR="0015668A" w:rsidRPr="001F08B3">
        <w:rPr>
          <w:rFonts w:ascii="Arial" w:hAnsi="Arial" w:cs="Arial"/>
          <w:i/>
          <w:sz w:val="24"/>
          <w:szCs w:val="24"/>
        </w:rPr>
        <w:t xml:space="preserve"> </w:t>
      </w:r>
      <w:r w:rsidR="0015668A" w:rsidRPr="001F08B3">
        <w:rPr>
          <w:rFonts w:ascii="Arial" w:hAnsi="Arial" w:cs="Arial"/>
          <w:color w:val="242121"/>
          <w:sz w:val="24"/>
          <w:szCs w:val="24"/>
          <w:shd w:val="clear" w:color="auto" w:fill="FFFFFF"/>
        </w:rPr>
        <w:t>it was held that:</w:t>
      </w:r>
    </w:p>
    <w:p w14:paraId="73AF3069" w14:textId="77777777" w:rsidR="0015668A" w:rsidRPr="0015668A" w:rsidRDefault="0015668A" w:rsidP="0015668A">
      <w:pPr>
        <w:pStyle w:val="ListParagraph"/>
        <w:rPr>
          <w:rFonts w:ascii="Arial" w:hAnsi="Arial" w:cs="Arial"/>
          <w:color w:val="242121"/>
          <w:sz w:val="24"/>
          <w:szCs w:val="24"/>
          <w:shd w:val="clear" w:color="auto" w:fill="FFFFFF"/>
        </w:rPr>
      </w:pPr>
    </w:p>
    <w:p w14:paraId="4C8B1813" w14:textId="0027F497" w:rsidR="00085DC8" w:rsidRPr="0015668A" w:rsidRDefault="0015668A" w:rsidP="0015668A">
      <w:pPr>
        <w:pStyle w:val="ListParagraph"/>
        <w:tabs>
          <w:tab w:val="left" w:pos="4917"/>
        </w:tabs>
        <w:spacing w:before="120" w:after="120" w:line="360" w:lineRule="auto"/>
        <w:ind w:left="864" w:right="864"/>
        <w:jc w:val="both"/>
        <w:rPr>
          <w:rFonts w:ascii="Arial" w:hAnsi="Arial" w:cs="Arial"/>
          <w:sz w:val="24"/>
          <w:szCs w:val="24"/>
        </w:rPr>
      </w:pPr>
      <w:r w:rsidRPr="0015668A">
        <w:rPr>
          <w:rFonts w:ascii="Arial" w:hAnsi="Arial" w:cs="Arial"/>
          <w:color w:val="242121"/>
          <w:sz w:val="24"/>
          <w:szCs w:val="24"/>
          <w:shd w:val="clear" w:color="auto" w:fill="FFFFFF"/>
        </w:rPr>
        <w:t xml:space="preserve"> ‘the question of joinder should . . . not depend on the nature of the subject matter . . . but . . . on the manner in which, and the extent to which, the court’s order may affect the interests of third parties</w:t>
      </w:r>
      <w:r w:rsidR="009426EB">
        <w:rPr>
          <w:rFonts w:ascii="Arial" w:hAnsi="Arial" w:cs="Arial"/>
          <w:color w:val="242121"/>
          <w:sz w:val="24"/>
          <w:szCs w:val="24"/>
          <w:shd w:val="clear" w:color="auto" w:fill="FFFFFF"/>
        </w:rPr>
        <w:t>.</w:t>
      </w:r>
      <w:r w:rsidRPr="0015668A">
        <w:rPr>
          <w:rFonts w:ascii="Arial" w:hAnsi="Arial" w:cs="Arial"/>
          <w:color w:val="242121"/>
          <w:sz w:val="24"/>
          <w:szCs w:val="24"/>
          <w:shd w:val="clear" w:color="auto" w:fill="FFFFFF"/>
        </w:rPr>
        <w:t>’</w:t>
      </w:r>
    </w:p>
    <w:p w14:paraId="634F9EC1" w14:textId="77777777" w:rsidR="0015668A" w:rsidRPr="0015668A" w:rsidRDefault="0015668A" w:rsidP="0015668A">
      <w:pPr>
        <w:pStyle w:val="ListParagraph"/>
        <w:tabs>
          <w:tab w:val="left" w:pos="4917"/>
        </w:tabs>
        <w:spacing w:before="120" w:after="120" w:line="360" w:lineRule="auto"/>
        <w:jc w:val="both"/>
        <w:rPr>
          <w:rFonts w:ascii="Arial" w:hAnsi="Arial" w:cs="Arial"/>
          <w:sz w:val="24"/>
          <w:szCs w:val="24"/>
        </w:rPr>
      </w:pPr>
    </w:p>
    <w:p w14:paraId="2B1FA78A" w14:textId="63177CD8" w:rsidR="0022692F" w:rsidRPr="0015668A" w:rsidRDefault="0015668A" w:rsidP="00AD0E7D">
      <w:pPr>
        <w:pStyle w:val="ListParagraph"/>
        <w:tabs>
          <w:tab w:val="left" w:pos="4917"/>
        </w:tabs>
        <w:spacing w:before="120" w:after="120" w:line="360" w:lineRule="auto"/>
        <w:jc w:val="both"/>
        <w:rPr>
          <w:rFonts w:ascii="Arial" w:hAnsi="Arial" w:cs="Arial"/>
          <w:sz w:val="24"/>
          <w:szCs w:val="24"/>
        </w:rPr>
      </w:pPr>
      <w:r w:rsidRPr="0015668A">
        <w:rPr>
          <w:rFonts w:ascii="Arial" w:hAnsi="Arial" w:cs="Arial"/>
          <w:color w:val="242121"/>
          <w:sz w:val="24"/>
          <w:szCs w:val="24"/>
          <w:shd w:val="clear" w:color="auto" w:fill="FFFFFF"/>
        </w:rPr>
        <w:t>This has been found to mean that if the order or ‘judgment sought cannot be sustained and carried into effect without necessarily prejudicing the interests’ of a party or parties not joined in the proceedings, then that party or parties have a legal interest in the matter and must be joined.</w:t>
      </w:r>
      <w:r>
        <w:rPr>
          <w:rStyle w:val="FootnoteReference"/>
          <w:rFonts w:ascii="Arial" w:hAnsi="Arial" w:cs="Arial"/>
          <w:color w:val="242121"/>
          <w:sz w:val="24"/>
          <w:szCs w:val="24"/>
          <w:shd w:val="clear" w:color="auto" w:fill="FFFFFF"/>
        </w:rPr>
        <w:footnoteReference w:id="2"/>
      </w:r>
      <w:r w:rsidR="007C5D94">
        <w:rPr>
          <w:rFonts w:ascii="Arial" w:hAnsi="Arial" w:cs="Arial"/>
          <w:color w:val="242121"/>
          <w:sz w:val="24"/>
          <w:szCs w:val="24"/>
          <w:shd w:val="clear" w:color="auto" w:fill="FFFFFF"/>
        </w:rPr>
        <w:t xml:space="preserve"> In this </w:t>
      </w:r>
      <w:r w:rsidR="006E1C45">
        <w:rPr>
          <w:rFonts w:ascii="Arial" w:hAnsi="Arial" w:cs="Arial"/>
          <w:color w:val="242121"/>
          <w:sz w:val="24"/>
          <w:szCs w:val="24"/>
          <w:shd w:val="clear" w:color="auto" w:fill="FFFFFF"/>
        </w:rPr>
        <w:t>context</w:t>
      </w:r>
      <w:r w:rsidR="00746669">
        <w:rPr>
          <w:rFonts w:ascii="Arial" w:hAnsi="Arial" w:cs="Arial"/>
          <w:color w:val="242121"/>
          <w:sz w:val="24"/>
          <w:szCs w:val="24"/>
          <w:shd w:val="clear" w:color="auto" w:fill="FFFFFF"/>
        </w:rPr>
        <w:t>,</w:t>
      </w:r>
      <w:r w:rsidR="006E1C45">
        <w:rPr>
          <w:rFonts w:ascii="Arial" w:hAnsi="Arial" w:cs="Arial"/>
          <w:color w:val="242121"/>
          <w:sz w:val="24"/>
          <w:szCs w:val="24"/>
          <w:shd w:val="clear" w:color="auto" w:fill="FFFFFF"/>
        </w:rPr>
        <w:t xml:space="preserve"> the question is thus whether the order can be carried into effect without profoundly and substantially affecting the non-joined shareholders’ interests.</w:t>
      </w:r>
      <w:r w:rsidR="006E1C45">
        <w:rPr>
          <w:rStyle w:val="FootnoteReference"/>
          <w:rFonts w:ascii="Arial" w:hAnsi="Arial" w:cs="Arial"/>
          <w:color w:val="242121"/>
          <w:sz w:val="24"/>
          <w:szCs w:val="24"/>
          <w:shd w:val="clear" w:color="auto" w:fill="FFFFFF"/>
        </w:rPr>
        <w:footnoteReference w:id="3"/>
      </w:r>
      <w:r w:rsidR="00A4202B">
        <w:rPr>
          <w:rFonts w:ascii="Arial" w:hAnsi="Arial" w:cs="Arial"/>
          <w:color w:val="242121"/>
          <w:sz w:val="24"/>
          <w:szCs w:val="24"/>
          <w:shd w:val="clear" w:color="auto" w:fill="FFFFFF"/>
        </w:rPr>
        <w:t xml:space="preserve"> </w:t>
      </w:r>
      <w:r w:rsidR="00AD0E7D">
        <w:rPr>
          <w:rFonts w:ascii="Arial" w:hAnsi="Arial" w:cs="Arial"/>
          <w:sz w:val="24"/>
          <w:szCs w:val="24"/>
        </w:rPr>
        <w:t xml:space="preserve">The question </w:t>
      </w:r>
      <w:r w:rsidR="007B3DDC">
        <w:rPr>
          <w:rFonts w:ascii="Arial" w:hAnsi="Arial" w:cs="Arial"/>
          <w:sz w:val="24"/>
          <w:szCs w:val="24"/>
        </w:rPr>
        <w:t xml:space="preserve">of </w:t>
      </w:r>
      <w:r w:rsidR="00AD0E7D">
        <w:rPr>
          <w:rFonts w:ascii="Arial" w:hAnsi="Arial" w:cs="Arial"/>
          <w:sz w:val="24"/>
          <w:szCs w:val="24"/>
        </w:rPr>
        <w:t>whether the potentially affected interest is a direct and substantial interest that constitutes a legal interest needs to be determined on a case and context-specific basis.</w:t>
      </w:r>
      <w:r w:rsidR="00AD0E7D">
        <w:rPr>
          <w:rStyle w:val="FootnoteReference"/>
          <w:rFonts w:ascii="Arial" w:hAnsi="Arial" w:cs="Arial"/>
          <w:sz w:val="24"/>
          <w:szCs w:val="24"/>
        </w:rPr>
        <w:footnoteReference w:id="4"/>
      </w:r>
    </w:p>
    <w:p w14:paraId="05A3D1F7" w14:textId="77777777" w:rsidR="0022692F" w:rsidRPr="0022692F" w:rsidRDefault="0022692F" w:rsidP="0022692F">
      <w:pPr>
        <w:pStyle w:val="ListParagraph"/>
        <w:rPr>
          <w:rFonts w:ascii="Arial" w:hAnsi="Arial" w:cs="Arial"/>
          <w:sz w:val="24"/>
          <w:szCs w:val="24"/>
        </w:rPr>
      </w:pPr>
    </w:p>
    <w:p w14:paraId="71DFF90E" w14:textId="139C154F" w:rsidR="00F20B5F"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F7DCA" w:rsidRPr="001F08B3">
        <w:rPr>
          <w:rFonts w:ascii="Arial" w:hAnsi="Arial" w:cs="Arial"/>
          <w:sz w:val="24"/>
          <w:szCs w:val="24"/>
        </w:rPr>
        <w:t xml:space="preserve">In </w:t>
      </w:r>
      <w:r w:rsidR="009F7DCA" w:rsidRPr="001F08B3">
        <w:rPr>
          <w:rFonts w:ascii="Arial" w:hAnsi="Arial" w:cs="Arial"/>
          <w:i/>
          <w:sz w:val="24"/>
          <w:szCs w:val="24"/>
        </w:rPr>
        <w:t>Siyakhula Sonke Empowerment Corporation (Pty) Ltd and Another v Redpath  Mining (South Africa) (Pty) Ltd and Another</w:t>
      </w:r>
      <w:r w:rsidR="00F20B5F" w:rsidRPr="001F08B3">
        <w:rPr>
          <w:rFonts w:ascii="Arial" w:hAnsi="Arial" w:cs="Arial"/>
          <w:i/>
          <w:sz w:val="24"/>
          <w:szCs w:val="24"/>
        </w:rPr>
        <w:t>,</w:t>
      </w:r>
      <w:r w:rsidR="009F7DCA">
        <w:rPr>
          <w:rStyle w:val="FootnoteReference"/>
          <w:rFonts w:ascii="Arial" w:hAnsi="Arial" w:cs="Arial"/>
          <w:i/>
          <w:sz w:val="24"/>
          <w:szCs w:val="24"/>
        </w:rPr>
        <w:footnoteReference w:id="5"/>
      </w:r>
      <w:r w:rsidR="00A4202B" w:rsidRPr="001F08B3">
        <w:rPr>
          <w:rFonts w:ascii="Arial" w:hAnsi="Arial" w:cs="Arial"/>
          <w:sz w:val="24"/>
          <w:szCs w:val="24"/>
        </w:rPr>
        <w:t xml:space="preserve"> </w:t>
      </w:r>
      <w:r w:rsidR="009F7DCA" w:rsidRPr="001F08B3">
        <w:rPr>
          <w:rFonts w:ascii="Arial" w:hAnsi="Arial" w:cs="Arial"/>
          <w:sz w:val="24"/>
          <w:szCs w:val="24"/>
        </w:rPr>
        <w:t>the applicants sought an order in the urgent court that a shareholders’ meeting of the first respondent scheduled for 20 April 2022 be interdicted from taking place</w:t>
      </w:r>
      <w:r w:rsidR="00A4202B" w:rsidRPr="001F08B3">
        <w:rPr>
          <w:rFonts w:ascii="Arial" w:hAnsi="Arial" w:cs="Arial"/>
          <w:sz w:val="24"/>
          <w:szCs w:val="24"/>
        </w:rPr>
        <w:t xml:space="preserve">. The applicant only cited two of three shareholders as respondents in the application. Moorcroft AJ held that the failure to cite the third shareholder was fatal to the application. He held, </w:t>
      </w:r>
      <w:r w:rsidR="00A4202B" w:rsidRPr="001F08B3">
        <w:rPr>
          <w:rFonts w:ascii="Arial" w:hAnsi="Arial" w:cs="Arial"/>
          <w:i/>
          <w:sz w:val="24"/>
          <w:szCs w:val="24"/>
        </w:rPr>
        <w:t>inter alia</w:t>
      </w:r>
      <w:r w:rsidR="00A4202B" w:rsidRPr="001F08B3">
        <w:rPr>
          <w:rFonts w:ascii="Arial" w:hAnsi="Arial" w:cs="Arial"/>
          <w:sz w:val="24"/>
          <w:szCs w:val="24"/>
        </w:rPr>
        <w:t>, that the right to receive proper notice of shareholder’s meetings is a statutory right and gives rise to a legal interest. ‘A shareholder entitled to receive notice must be joined in an application such as the present one to interdict the meeting that it is entitled to attend. This is not a mere financial interest.’</w:t>
      </w:r>
      <w:r w:rsidR="00A4202B">
        <w:rPr>
          <w:rStyle w:val="FootnoteReference"/>
          <w:rFonts w:ascii="Arial" w:hAnsi="Arial" w:cs="Arial"/>
          <w:sz w:val="24"/>
          <w:szCs w:val="24"/>
        </w:rPr>
        <w:footnoteReference w:id="6"/>
      </w:r>
      <w:r w:rsidR="001B78A4" w:rsidRPr="001F08B3">
        <w:rPr>
          <w:rFonts w:ascii="Arial" w:hAnsi="Arial" w:cs="Arial"/>
          <w:sz w:val="24"/>
          <w:szCs w:val="24"/>
        </w:rPr>
        <w:t xml:space="preserve"> </w:t>
      </w:r>
      <w:r w:rsidR="00F20B5F" w:rsidRPr="001F08B3">
        <w:rPr>
          <w:rFonts w:ascii="Arial" w:hAnsi="Arial" w:cs="Arial"/>
          <w:sz w:val="24"/>
          <w:szCs w:val="24"/>
        </w:rPr>
        <w:t xml:space="preserve"> Moorcroft AJ further said:</w:t>
      </w:r>
    </w:p>
    <w:p w14:paraId="3957E5B9" w14:textId="3A7BA3E0" w:rsidR="00F20B5F" w:rsidRPr="00F20B5F" w:rsidRDefault="00F20B5F" w:rsidP="00F20B5F">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lastRenderedPageBreak/>
        <w:t xml:space="preserve">‘Ignoring the express provisions of the Act referred to above for a moment it </w:t>
      </w:r>
      <w:r>
        <w:rPr>
          <w:rFonts w:ascii="Arial" w:hAnsi="Arial" w:cs="Arial"/>
          <w:i/>
          <w:sz w:val="24"/>
          <w:szCs w:val="24"/>
        </w:rPr>
        <w:t>can in any event hardly be argued that a shareholder is not an interested party in a Court application to prevent a meeting of shareholders’.</w:t>
      </w:r>
      <w:r>
        <w:rPr>
          <w:rFonts w:ascii="Arial" w:hAnsi="Arial" w:cs="Arial"/>
          <w:sz w:val="24"/>
          <w:szCs w:val="24"/>
        </w:rPr>
        <w:t xml:space="preserve"> (My emphasis)</w:t>
      </w:r>
    </w:p>
    <w:p w14:paraId="2E9C068E" w14:textId="77777777" w:rsidR="00F20B5F" w:rsidRDefault="00F20B5F" w:rsidP="00F20B5F">
      <w:pPr>
        <w:pStyle w:val="ListParagraph"/>
        <w:tabs>
          <w:tab w:val="left" w:pos="4917"/>
        </w:tabs>
        <w:spacing w:before="120" w:after="120" w:line="360" w:lineRule="auto"/>
        <w:jc w:val="both"/>
        <w:rPr>
          <w:rFonts w:ascii="Arial" w:hAnsi="Arial" w:cs="Arial"/>
          <w:sz w:val="24"/>
          <w:szCs w:val="24"/>
        </w:rPr>
      </w:pPr>
    </w:p>
    <w:p w14:paraId="3F1BEE4C" w14:textId="1132BA36" w:rsidR="007B3DDC" w:rsidRDefault="003407CD" w:rsidP="00F20B5F">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The converse is also true. If</w:t>
      </w:r>
      <w:r w:rsidR="00F20B5F">
        <w:rPr>
          <w:rFonts w:ascii="Arial" w:hAnsi="Arial" w:cs="Arial"/>
          <w:sz w:val="24"/>
          <w:szCs w:val="24"/>
        </w:rPr>
        <w:t xml:space="preserve"> </w:t>
      </w:r>
      <w:r w:rsidR="001B78A4">
        <w:rPr>
          <w:rFonts w:ascii="Arial" w:hAnsi="Arial" w:cs="Arial"/>
          <w:sz w:val="24"/>
          <w:szCs w:val="24"/>
        </w:rPr>
        <w:t>a shareholder who is entitled to attend shareholders’ meetings has a legal interest in meetings that it is entitled to attend, such shareholder likewise has an interest in litigation where the validity of a sh</w:t>
      </w:r>
      <w:r>
        <w:rPr>
          <w:rFonts w:ascii="Arial" w:hAnsi="Arial" w:cs="Arial"/>
          <w:sz w:val="24"/>
          <w:szCs w:val="24"/>
        </w:rPr>
        <w:t>areholder’s meeting it attended</w:t>
      </w:r>
      <w:r w:rsidR="00F20B5F">
        <w:rPr>
          <w:rFonts w:ascii="Arial" w:hAnsi="Arial" w:cs="Arial"/>
          <w:sz w:val="24"/>
          <w:szCs w:val="24"/>
        </w:rPr>
        <w:t xml:space="preserve">, </w:t>
      </w:r>
      <w:r w:rsidR="001B78A4">
        <w:rPr>
          <w:rFonts w:ascii="Arial" w:hAnsi="Arial" w:cs="Arial"/>
          <w:sz w:val="24"/>
          <w:szCs w:val="24"/>
        </w:rPr>
        <w:t>is contested, ir</w:t>
      </w:r>
      <w:r>
        <w:rPr>
          <w:rFonts w:ascii="Arial" w:hAnsi="Arial" w:cs="Arial"/>
          <w:sz w:val="24"/>
          <w:szCs w:val="24"/>
        </w:rPr>
        <w:t>respective of the reason for such</w:t>
      </w:r>
      <w:r w:rsidR="001B78A4">
        <w:rPr>
          <w:rFonts w:ascii="Arial" w:hAnsi="Arial" w:cs="Arial"/>
          <w:sz w:val="24"/>
          <w:szCs w:val="24"/>
        </w:rPr>
        <w:t xml:space="preserve"> contestation.</w:t>
      </w:r>
      <w:r w:rsidR="007B3DDC">
        <w:rPr>
          <w:rFonts w:ascii="Arial" w:hAnsi="Arial" w:cs="Arial"/>
          <w:sz w:val="24"/>
          <w:szCs w:val="24"/>
        </w:rPr>
        <w:t xml:space="preserve"> </w:t>
      </w:r>
    </w:p>
    <w:p w14:paraId="499D8470" w14:textId="6CB05E22" w:rsidR="007B3DDC" w:rsidRPr="00A27C97" w:rsidRDefault="001F08B3" w:rsidP="001F08B3">
      <w:pPr>
        <w:pStyle w:val="com-para3"/>
        <w:tabs>
          <w:tab w:val="left" w:pos="4917"/>
        </w:tabs>
        <w:spacing w:before="120" w:after="120" w:line="360" w:lineRule="auto"/>
        <w:ind w:left="720" w:hanging="720"/>
        <w:jc w:val="both"/>
        <w:rPr>
          <w:rFonts w:ascii="Arial" w:hAnsi="Arial" w:cs="Arial"/>
        </w:rPr>
      </w:pPr>
      <w:r w:rsidRPr="00A27C97">
        <w:rPr>
          <w:rFonts w:ascii="Arial" w:hAnsi="Arial" w:cs="Arial"/>
        </w:rPr>
        <w:t>[11]</w:t>
      </w:r>
      <w:r w:rsidRPr="00A27C97">
        <w:rPr>
          <w:rFonts w:ascii="Arial" w:hAnsi="Arial" w:cs="Arial"/>
        </w:rPr>
        <w:tab/>
      </w:r>
      <w:r w:rsidR="007B3DDC">
        <w:rPr>
          <w:rFonts w:ascii="Arial" w:hAnsi="Arial" w:cs="Arial"/>
        </w:rPr>
        <w:t xml:space="preserve">The learned authors of Hennochsberg on the Companies Act 71 of 2008 </w:t>
      </w:r>
      <w:r w:rsidR="00A27C97">
        <w:rPr>
          <w:rFonts w:ascii="Arial" w:hAnsi="Arial" w:cs="Arial"/>
        </w:rPr>
        <w:t xml:space="preserve">in their commentary of s 61 of the </w:t>
      </w:r>
      <w:r w:rsidR="00E12B0E">
        <w:rPr>
          <w:rFonts w:ascii="Arial" w:hAnsi="Arial" w:cs="Arial"/>
        </w:rPr>
        <w:t>Companies</w:t>
      </w:r>
      <w:r w:rsidR="00A27C97">
        <w:rPr>
          <w:rFonts w:ascii="Arial" w:hAnsi="Arial" w:cs="Arial"/>
        </w:rPr>
        <w:t xml:space="preserve"> Act, </w:t>
      </w:r>
      <w:r w:rsidR="00E12B0E">
        <w:rPr>
          <w:rFonts w:ascii="Arial" w:hAnsi="Arial" w:cs="Arial"/>
        </w:rPr>
        <w:t>explain</w:t>
      </w:r>
      <w:r w:rsidR="009426EB">
        <w:rPr>
          <w:rFonts w:ascii="Arial" w:hAnsi="Arial" w:cs="Arial"/>
        </w:rPr>
        <w:t>ed</w:t>
      </w:r>
      <w:r w:rsidR="007B3DDC">
        <w:rPr>
          <w:rFonts w:ascii="Arial" w:hAnsi="Arial" w:cs="Arial"/>
        </w:rPr>
        <w:t xml:space="preserve"> with reference to caselaw that </w:t>
      </w:r>
      <w:r w:rsidR="007B3DDC" w:rsidRPr="00A27C97">
        <w:rPr>
          <w:rFonts w:ascii="Arial" w:hAnsi="Arial" w:cs="Arial"/>
        </w:rPr>
        <w:t>‘</w:t>
      </w:r>
      <w:r w:rsidR="007B3DDC" w:rsidRPr="00A27C97">
        <w:rPr>
          <w:rFonts w:ascii="Arial" w:hAnsi="Arial" w:cs="Arial"/>
          <w:color w:val="000000"/>
        </w:rPr>
        <w:t>General meetings are ordinarily convened by the directors, and a majority shareholder cannot usurp this power’.</w:t>
      </w:r>
      <w:r w:rsidR="00A27C97">
        <w:rPr>
          <w:rFonts w:ascii="Arial" w:hAnsi="Arial" w:cs="Arial"/>
          <w:color w:val="000000"/>
        </w:rPr>
        <w:t xml:space="preserve"> </w:t>
      </w:r>
      <w:r w:rsidR="00A27C97" w:rsidRPr="00A27C97">
        <w:rPr>
          <w:rFonts w:ascii="Arial" w:hAnsi="Arial" w:cs="Arial"/>
          <w:color w:val="000000"/>
        </w:rPr>
        <w:t xml:space="preserve">In </w:t>
      </w:r>
      <w:r w:rsidR="00A27C97" w:rsidRPr="00A27C97">
        <w:rPr>
          <w:rFonts w:ascii="Arial" w:hAnsi="Arial" w:cs="Arial"/>
          <w:i/>
          <w:iCs/>
          <w:color w:val="000000"/>
        </w:rPr>
        <w:t>Heatherview Estate Extension 24 Home Owners Association (NPC) v Mahlatse Trading Enterprise CC and 101 Others</w:t>
      </w:r>
      <w:r w:rsidR="00A27C97">
        <w:rPr>
          <w:rFonts w:ascii="Arial" w:hAnsi="Arial" w:cs="Arial"/>
          <w:i/>
          <w:iCs/>
          <w:color w:val="000000"/>
        </w:rPr>
        <w:t>,</w:t>
      </w:r>
      <w:r w:rsidR="00A27C97" w:rsidRPr="00A27C97">
        <w:rPr>
          <w:rStyle w:val="FootnoteReference"/>
          <w:rFonts w:ascii="Arial" w:hAnsi="Arial" w:cs="Arial"/>
          <w:i/>
          <w:iCs/>
          <w:color w:val="000000"/>
        </w:rPr>
        <w:footnoteReference w:id="7"/>
      </w:r>
      <w:r w:rsidR="00A27C97">
        <w:rPr>
          <w:rFonts w:ascii="Arial" w:hAnsi="Arial" w:cs="Arial"/>
          <w:iCs/>
          <w:color w:val="000000"/>
        </w:rPr>
        <w:t>one of the authorities relied on by the learned authors, Ranchod J, however, contextualizes the order he came to when he said:</w:t>
      </w:r>
      <w:r w:rsidR="00A27C97">
        <w:rPr>
          <w:rStyle w:val="FootnoteReference"/>
          <w:rFonts w:ascii="Arial" w:hAnsi="Arial" w:cs="Arial"/>
          <w:iCs/>
          <w:color w:val="000000"/>
        </w:rPr>
        <w:footnoteReference w:id="8"/>
      </w:r>
    </w:p>
    <w:p w14:paraId="1D052E68" w14:textId="62277BEE" w:rsidR="00A27C97" w:rsidRDefault="00A27C97" w:rsidP="00A27C97">
      <w:pPr>
        <w:pStyle w:val="com-para3"/>
        <w:tabs>
          <w:tab w:val="left" w:pos="4917"/>
        </w:tabs>
        <w:spacing w:line="360" w:lineRule="auto"/>
        <w:ind w:left="1008" w:right="1008"/>
        <w:jc w:val="both"/>
        <w:rPr>
          <w:rFonts w:ascii="Arial" w:hAnsi="Arial" w:cs="Arial"/>
        </w:rPr>
      </w:pPr>
      <w:r>
        <w:rPr>
          <w:rFonts w:ascii="Arial" w:hAnsi="Arial" w:cs="Arial"/>
          <w:iCs/>
          <w:color w:val="000000"/>
        </w:rPr>
        <w:t>‘It is not the respondents’ case that they are empowered by the MOI (or the AOA for that matter) or any rules of the applicant to convene a shareholder’s meeting.’</w:t>
      </w:r>
    </w:p>
    <w:p w14:paraId="2498799E" w14:textId="28EED00D" w:rsidR="00A27C97"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27C97" w:rsidRPr="001F08B3">
        <w:rPr>
          <w:rFonts w:ascii="Arial" w:hAnsi="Arial" w:cs="Arial"/>
          <w:sz w:val="24"/>
          <w:szCs w:val="24"/>
        </w:rPr>
        <w:t xml:space="preserve">In </w:t>
      </w:r>
      <w:r w:rsidR="00A27C97" w:rsidRPr="001F08B3">
        <w:rPr>
          <w:rFonts w:ascii="Arial" w:hAnsi="Arial" w:cs="Arial"/>
          <w:i/>
          <w:sz w:val="24"/>
          <w:szCs w:val="24"/>
        </w:rPr>
        <w:t>casu,</w:t>
      </w:r>
      <w:r w:rsidR="00A27C97" w:rsidRPr="001F08B3">
        <w:rPr>
          <w:rFonts w:ascii="Arial" w:hAnsi="Arial" w:cs="Arial"/>
          <w:sz w:val="24"/>
          <w:szCs w:val="24"/>
        </w:rPr>
        <w:t xml:space="preserve"> the second to fifth respondents specifically claim that the first respondent’s Memorandum of Incorporation (MOI) provides for shareholders’ meetings to be convened by shareholders. All the shareholders of the first respondent have a direct and substantial interest in proceedings wherein the provisions of t</w:t>
      </w:r>
      <w:r w:rsidR="00215B93" w:rsidRPr="001F08B3">
        <w:rPr>
          <w:rFonts w:ascii="Arial" w:hAnsi="Arial" w:cs="Arial"/>
          <w:sz w:val="24"/>
          <w:szCs w:val="24"/>
        </w:rPr>
        <w:t>he first respondent’s MOI stand</w:t>
      </w:r>
      <w:r w:rsidR="00A27C97" w:rsidRPr="001F08B3">
        <w:rPr>
          <w:rFonts w:ascii="Arial" w:hAnsi="Arial" w:cs="Arial"/>
          <w:sz w:val="24"/>
          <w:szCs w:val="24"/>
        </w:rPr>
        <w:t xml:space="preserve"> to be interpreted.</w:t>
      </w:r>
      <w:r w:rsidR="00990E13" w:rsidRPr="001F08B3">
        <w:rPr>
          <w:rFonts w:ascii="Arial" w:hAnsi="Arial" w:cs="Arial"/>
          <w:sz w:val="24"/>
          <w:szCs w:val="24"/>
        </w:rPr>
        <w:t xml:space="preserve"> The legal question as to whether the MOI does in fact provide for shareholders not only to call a meeting, but to convene a meeting in the existing statutory regulatory context is a question that cannot be considered without providing all the shareholders with the opportunity to participate in the proceedings.</w:t>
      </w:r>
    </w:p>
    <w:p w14:paraId="61DCEE80" w14:textId="77777777" w:rsidR="00A27C97" w:rsidRDefault="00A27C97" w:rsidP="00A27C97">
      <w:pPr>
        <w:pStyle w:val="ListParagraph"/>
        <w:tabs>
          <w:tab w:val="left" w:pos="4917"/>
        </w:tabs>
        <w:spacing w:before="120" w:after="120" w:line="360" w:lineRule="auto"/>
        <w:jc w:val="both"/>
        <w:rPr>
          <w:rFonts w:ascii="Arial" w:hAnsi="Arial" w:cs="Arial"/>
          <w:sz w:val="24"/>
          <w:szCs w:val="24"/>
        </w:rPr>
      </w:pPr>
    </w:p>
    <w:p w14:paraId="471C7731" w14:textId="12C98EAD" w:rsidR="0022692F" w:rsidRPr="001F08B3" w:rsidRDefault="001F08B3" w:rsidP="001F08B3">
      <w:pPr>
        <w:tabs>
          <w:tab w:val="left" w:pos="4917"/>
        </w:tabs>
        <w:spacing w:before="120" w:after="120" w:line="360" w:lineRule="auto"/>
        <w:ind w:left="720" w:hanging="720"/>
        <w:jc w:val="both"/>
        <w:rPr>
          <w:rFonts w:ascii="Arial" w:hAnsi="Arial" w:cs="Arial"/>
          <w:sz w:val="24"/>
          <w:szCs w:val="24"/>
        </w:rPr>
      </w:pPr>
      <w:r w:rsidRPr="00BD257A">
        <w:rPr>
          <w:rFonts w:ascii="Arial" w:hAnsi="Arial" w:cs="Arial"/>
          <w:sz w:val="24"/>
          <w:szCs w:val="24"/>
        </w:rPr>
        <w:t>[13]</w:t>
      </w:r>
      <w:r w:rsidRPr="00BD257A">
        <w:rPr>
          <w:rFonts w:ascii="Arial" w:hAnsi="Arial" w:cs="Arial"/>
          <w:sz w:val="24"/>
          <w:szCs w:val="24"/>
        </w:rPr>
        <w:tab/>
      </w:r>
      <w:r w:rsidR="001B78A4" w:rsidRPr="001F08B3">
        <w:rPr>
          <w:rFonts w:ascii="Arial" w:hAnsi="Arial" w:cs="Arial"/>
          <w:sz w:val="24"/>
          <w:szCs w:val="24"/>
        </w:rPr>
        <w:t xml:space="preserve">In </w:t>
      </w:r>
      <w:r w:rsidR="001B78A4" w:rsidRPr="001F08B3">
        <w:rPr>
          <w:rFonts w:ascii="Arial" w:hAnsi="Arial" w:cs="Arial"/>
          <w:i/>
          <w:sz w:val="24"/>
          <w:szCs w:val="24"/>
        </w:rPr>
        <w:t>Makanda and Others v Mosotho and Others,</w:t>
      </w:r>
      <w:r w:rsidR="001B78A4">
        <w:rPr>
          <w:rStyle w:val="FootnoteReference"/>
          <w:rFonts w:ascii="Arial" w:hAnsi="Arial" w:cs="Arial"/>
          <w:i/>
          <w:sz w:val="24"/>
          <w:szCs w:val="24"/>
        </w:rPr>
        <w:footnoteReference w:id="9"/>
      </w:r>
      <w:r w:rsidR="001B78A4" w:rsidRPr="001F08B3">
        <w:rPr>
          <w:rFonts w:ascii="Arial" w:hAnsi="Arial" w:cs="Arial"/>
          <w:i/>
          <w:sz w:val="24"/>
          <w:szCs w:val="24"/>
        </w:rPr>
        <w:t xml:space="preserve"> </w:t>
      </w:r>
      <w:r w:rsidR="001B78A4" w:rsidRPr="001F08B3">
        <w:rPr>
          <w:rFonts w:ascii="Arial" w:hAnsi="Arial" w:cs="Arial"/>
          <w:sz w:val="24"/>
          <w:szCs w:val="24"/>
        </w:rPr>
        <w:t>an application to declare the first to fourth respond</w:t>
      </w:r>
      <w:r w:rsidR="007B3DDC" w:rsidRPr="001F08B3">
        <w:rPr>
          <w:rFonts w:ascii="Arial" w:hAnsi="Arial" w:cs="Arial"/>
          <w:sz w:val="24"/>
          <w:szCs w:val="24"/>
        </w:rPr>
        <w:t>ents delinquent directors, the c</w:t>
      </w:r>
      <w:r w:rsidR="001B78A4" w:rsidRPr="001F08B3">
        <w:rPr>
          <w:rFonts w:ascii="Arial" w:hAnsi="Arial" w:cs="Arial"/>
          <w:sz w:val="24"/>
          <w:szCs w:val="24"/>
        </w:rPr>
        <w:t xml:space="preserve">ourt expressed the view that </w:t>
      </w:r>
      <w:r w:rsidR="001223F7" w:rsidRPr="001F08B3">
        <w:rPr>
          <w:rFonts w:ascii="Arial" w:hAnsi="Arial" w:cs="Arial"/>
          <w:sz w:val="24"/>
          <w:szCs w:val="24"/>
        </w:rPr>
        <w:t>the shareholders of a company have a substantial interest in the tenure of the directors ‘simply because they appoint them’. If the shareholders have a direct interest in the appointment of directors, they have an interest when they are declared delinquent or placed under probation.</w:t>
      </w:r>
      <w:r w:rsidR="00130854" w:rsidRPr="001F08B3">
        <w:rPr>
          <w:rFonts w:ascii="Arial" w:hAnsi="Arial" w:cs="Arial"/>
          <w:sz w:val="24"/>
          <w:szCs w:val="24"/>
        </w:rPr>
        <w:t xml:space="preserve"> </w:t>
      </w:r>
      <w:r w:rsidR="00F20B5F" w:rsidRPr="001F08B3">
        <w:rPr>
          <w:rFonts w:ascii="Arial" w:hAnsi="Arial" w:cs="Arial"/>
          <w:sz w:val="24"/>
          <w:szCs w:val="24"/>
        </w:rPr>
        <w:t>I am of the view that s</w:t>
      </w:r>
      <w:r w:rsidR="00130854" w:rsidRPr="001F08B3">
        <w:rPr>
          <w:rFonts w:ascii="Arial" w:hAnsi="Arial" w:cs="Arial"/>
          <w:sz w:val="24"/>
          <w:szCs w:val="24"/>
        </w:rPr>
        <w:t xml:space="preserve">hareholders likewise </w:t>
      </w:r>
      <w:r w:rsidR="007B3DDC" w:rsidRPr="001F08B3">
        <w:rPr>
          <w:rFonts w:ascii="Arial" w:hAnsi="Arial" w:cs="Arial"/>
          <w:sz w:val="24"/>
          <w:szCs w:val="24"/>
        </w:rPr>
        <w:t>have</w:t>
      </w:r>
      <w:r w:rsidR="00130854" w:rsidRPr="001F08B3">
        <w:rPr>
          <w:rFonts w:ascii="Arial" w:hAnsi="Arial" w:cs="Arial"/>
          <w:sz w:val="24"/>
          <w:szCs w:val="24"/>
        </w:rPr>
        <w:t xml:space="preserve"> an interest in proceedings wherein the validity of a meeting where it was decided to remove and replace the company’s directors</w:t>
      </w:r>
      <w:r w:rsidR="007B3DDC" w:rsidRPr="001F08B3">
        <w:rPr>
          <w:rFonts w:ascii="Arial" w:hAnsi="Arial" w:cs="Arial"/>
          <w:sz w:val="24"/>
          <w:szCs w:val="24"/>
        </w:rPr>
        <w:t>,</w:t>
      </w:r>
      <w:r w:rsidR="00130854" w:rsidRPr="001F08B3">
        <w:rPr>
          <w:rFonts w:ascii="Arial" w:hAnsi="Arial" w:cs="Arial"/>
          <w:sz w:val="24"/>
          <w:szCs w:val="24"/>
        </w:rPr>
        <w:t xml:space="preserve"> </w:t>
      </w:r>
      <w:r w:rsidR="00BD257A" w:rsidRPr="001F08B3">
        <w:rPr>
          <w:rFonts w:ascii="Arial" w:hAnsi="Arial" w:cs="Arial"/>
          <w:sz w:val="24"/>
          <w:szCs w:val="24"/>
        </w:rPr>
        <w:t>is</w:t>
      </w:r>
      <w:r w:rsidR="00130854" w:rsidRPr="001F08B3">
        <w:rPr>
          <w:rFonts w:ascii="Arial" w:hAnsi="Arial" w:cs="Arial"/>
          <w:sz w:val="24"/>
          <w:szCs w:val="24"/>
        </w:rPr>
        <w:t xml:space="preserve"> contested. </w:t>
      </w:r>
      <w:r w:rsidR="001B78A4" w:rsidRPr="001F08B3">
        <w:rPr>
          <w:rFonts w:ascii="Arial" w:hAnsi="Arial" w:cs="Arial"/>
          <w:i/>
          <w:sz w:val="24"/>
          <w:szCs w:val="24"/>
        </w:rPr>
        <w:t xml:space="preserve"> </w:t>
      </w:r>
    </w:p>
    <w:p w14:paraId="6E95F8A3" w14:textId="77777777" w:rsidR="00BD257A" w:rsidRPr="00BD257A" w:rsidRDefault="00BD257A" w:rsidP="00BD257A">
      <w:pPr>
        <w:pStyle w:val="ListParagraph"/>
        <w:rPr>
          <w:rFonts w:ascii="Arial" w:hAnsi="Arial" w:cs="Arial"/>
          <w:sz w:val="24"/>
          <w:szCs w:val="24"/>
        </w:rPr>
      </w:pPr>
    </w:p>
    <w:p w14:paraId="156CFA61" w14:textId="4F8D88D5" w:rsidR="0022692F"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A0DDE" w:rsidRPr="001F08B3">
        <w:rPr>
          <w:rFonts w:ascii="Arial" w:hAnsi="Arial" w:cs="Arial"/>
          <w:sz w:val="24"/>
          <w:szCs w:val="24"/>
        </w:rPr>
        <w:t xml:space="preserve">It is trite that the main duty of shareholders is to pass resolutions by voting in their </w:t>
      </w:r>
      <w:r w:rsidR="007176B3" w:rsidRPr="001F08B3">
        <w:rPr>
          <w:rFonts w:ascii="Arial" w:hAnsi="Arial" w:cs="Arial"/>
          <w:sz w:val="24"/>
          <w:szCs w:val="24"/>
        </w:rPr>
        <w:t>shareholders’</w:t>
      </w:r>
      <w:r w:rsidR="009A0DDE" w:rsidRPr="001F08B3">
        <w:rPr>
          <w:rFonts w:ascii="Arial" w:hAnsi="Arial" w:cs="Arial"/>
          <w:sz w:val="24"/>
          <w:szCs w:val="24"/>
        </w:rPr>
        <w:t xml:space="preserve"> capacity. This duty is important because it allows the shareholders to exercise their ultimate control over the company and how it is managed.</w:t>
      </w:r>
      <w:r w:rsidR="008E32A1" w:rsidRPr="001F08B3">
        <w:rPr>
          <w:rFonts w:ascii="Arial" w:hAnsi="Arial" w:cs="Arial"/>
          <w:sz w:val="24"/>
          <w:szCs w:val="24"/>
        </w:rPr>
        <w:t xml:space="preserve"> Any litig</w:t>
      </w:r>
      <w:r w:rsidR="009F097F" w:rsidRPr="001F08B3">
        <w:rPr>
          <w:rFonts w:ascii="Arial" w:hAnsi="Arial" w:cs="Arial"/>
          <w:sz w:val="24"/>
          <w:szCs w:val="24"/>
        </w:rPr>
        <w:t xml:space="preserve">ation aimed at invalidating and setting aside </w:t>
      </w:r>
      <w:r w:rsidR="008E32A1" w:rsidRPr="001F08B3">
        <w:rPr>
          <w:rFonts w:ascii="Arial" w:hAnsi="Arial" w:cs="Arial"/>
          <w:sz w:val="24"/>
          <w:szCs w:val="24"/>
        </w:rPr>
        <w:t xml:space="preserve">decisions taken by shareholders has the potential to be prejudicial to each </w:t>
      </w:r>
      <w:r w:rsidR="0091518A" w:rsidRPr="001F08B3">
        <w:rPr>
          <w:rFonts w:ascii="Arial" w:hAnsi="Arial" w:cs="Arial"/>
          <w:sz w:val="24"/>
          <w:szCs w:val="24"/>
        </w:rPr>
        <w:t>shareholder’s</w:t>
      </w:r>
      <w:r w:rsidR="008E32A1" w:rsidRPr="001F08B3">
        <w:rPr>
          <w:rFonts w:ascii="Arial" w:hAnsi="Arial" w:cs="Arial"/>
          <w:sz w:val="24"/>
          <w:szCs w:val="24"/>
        </w:rPr>
        <w:t xml:space="preserve"> right to manage the company, and as a result</w:t>
      </w:r>
      <w:r w:rsidR="009F097F" w:rsidRPr="001F08B3">
        <w:rPr>
          <w:rFonts w:ascii="Arial" w:hAnsi="Arial" w:cs="Arial"/>
          <w:sz w:val="24"/>
          <w:szCs w:val="24"/>
        </w:rPr>
        <w:t>,</w:t>
      </w:r>
      <w:r w:rsidR="008E32A1" w:rsidRPr="001F08B3">
        <w:rPr>
          <w:rFonts w:ascii="Arial" w:hAnsi="Arial" w:cs="Arial"/>
          <w:sz w:val="24"/>
          <w:szCs w:val="24"/>
        </w:rPr>
        <w:t xml:space="preserve"> each shareholder who participated at the impugned meeting has a direct and substantial interest in the outcome of the litigation and is a necessary party to the proceedings.</w:t>
      </w:r>
      <w:r w:rsidR="008242E4" w:rsidRPr="001F08B3">
        <w:rPr>
          <w:rFonts w:ascii="Arial" w:hAnsi="Arial" w:cs="Arial"/>
          <w:sz w:val="24"/>
          <w:szCs w:val="24"/>
        </w:rPr>
        <w:t xml:space="preserve"> I am of the view that any of the shareholders who attended and participated in the impugned shareholders’ meeting will be able to appeal a decision that the meeting is declared to be unlawful and invalid and that any resolutions adopted at the meeting are declared to be of no force and effect and set aside, because they have a direct and substantial interest in the company’s affairs as determined at the meeting, wherein they participated. The basis for such a declaration of invalidity, if it exists, is of no consequence for the determination as to whether the shareholders have a direct and substantial interest in the litigati</w:t>
      </w:r>
      <w:r w:rsidR="009F097F" w:rsidRPr="001F08B3">
        <w:rPr>
          <w:rFonts w:ascii="Arial" w:hAnsi="Arial" w:cs="Arial"/>
          <w:sz w:val="24"/>
          <w:szCs w:val="24"/>
        </w:rPr>
        <w:t xml:space="preserve">on. As a result, the point </w:t>
      </w:r>
      <w:r w:rsidR="009F097F" w:rsidRPr="001F08B3">
        <w:rPr>
          <w:rFonts w:ascii="Arial" w:hAnsi="Arial" w:cs="Arial"/>
          <w:i/>
          <w:sz w:val="24"/>
          <w:szCs w:val="24"/>
        </w:rPr>
        <w:t xml:space="preserve">in limine, of non-joinder </w:t>
      </w:r>
      <w:r w:rsidR="009F097F" w:rsidRPr="001F08B3">
        <w:rPr>
          <w:rFonts w:ascii="Arial" w:hAnsi="Arial" w:cs="Arial"/>
          <w:sz w:val="24"/>
          <w:szCs w:val="24"/>
        </w:rPr>
        <w:t>stands to be upheld.</w:t>
      </w:r>
    </w:p>
    <w:p w14:paraId="4ABE4384" w14:textId="77777777" w:rsidR="00215B93" w:rsidRDefault="00215B93" w:rsidP="00215B93">
      <w:pPr>
        <w:pStyle w:val="ListParagraph"/>
        <w:tabs>
          <w:tab w:val="left" w:pos="4917"/>
        </w:tabs>
        <w:spacing w:before="120" w:after="120" w:line="360" w:lineRule="auto"/>
        <w:jc w:val="both"/>
        <w:rPr>
          <w:rFonts w:ascii="Arial" w:hAnsi="Arial" w:cs="Arial"/>
          <w:sz w:val="24"/>
          <w:szCs w:val="24"/>
        </w:rPr>
      </w:pPr>
    </w:p>
    <w:p w14:paraId="591A8F0B" w14:textId="16143821" w:rsidR="00215B93"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15B93" w:rsidRPr="001F08B3">
        <w:rPr>
          <w:rFonts w:ascii="Arial" w:hAnsi="Arial" w:cs="Arial"/>
          <w:sz w:val="24"/>
          <w:szCs w:val="24"/>
        </w:rPr>
        <w:t xml:space="preserve">I am, however, not of the view that the application is fatally defective for reason of non-joinder. The application can merely not proceed in the absence of all the </w:t>
      </w:r>
      <w:r w:rsidR="00215B93" w:rsidRPr="001F08B3">
        <w:rPr>
          <w:rFonts w:ascii="Arial" w:hAnsi="Arial" w:cs="Arial"/>
          <w:sz w:val="24"/>
          <w:szCs w:val="24"/>
        </w:rPr>
        <w:lastRenderedPageBreak/>
        <w:t>shareholders and purported shareholders who participated in the shareholders’ meeting of 24 May 2022. These shareholders stand to be joined to the proceedings.</w:t>
      </w:r>
    </w:p>
    <w:p w14:paraId="36086E2B" w14:textId="77777777" w:rsidR="002C374B" w:rsidRDefault="002C374B" w:rsidP="002C374B">
      <w:pPr>
        <w:pStyle w:val="ListParagraph"/>
        <w:tabs>
          <w:tab w:val="left" w:pos="4917"/>
        </w:tabs>
        <w:spacing w:before="120" w:after="120" w:line="360" w:lineRule="auto"/>
        <w:jc w:val="both"/>
        <w:rPr>
          <w:rFonts w:ascii="Arial" w:hAnsi="Arial" w:cs="Arial"/>
          <w:sz w:val="24"/>
          <w:szCs w:val="24"/>
        </w:rPr>
      </w:pPr>
    </w:p>
    <w:p w14:paraId="73C36A5E" w14:textId="743CA061" w:rsidR="0022692F"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90E13" w:rsidRPr="001F08B3">
        <w:rPr>
          <w:rFonts w:ascii="Arial" w:hAnsi="Arial" w:cs="Arial"/>
          <w:sz w:val="24"/>
          <w:szCs w:val="24"/>
        </w:rPr>
        <w:t>The t</w:t>
      </w:r>
      <w:r w:rsidR="002C374B" w:rsidRPr="001F08B3">
        <w:rPr>
          <w:rFonts w:ascii="Arial" w:hAnsi="Arial" w:cs="Arial"/>
          <w:sz w:val="24"/>
          <w:szCs w:val="24"/>
        </w:rPr>
        <w:t xml:space="preserve">wo </w:t>
      </w:r>
      <w:r w:rsidR="00990E13" w:rsidRPr="001F08B3">
        <w:rPr>
          <w:rFonts w:ascii="Arial" w:hAnsi="Arial" w:cs="Arial"/>
          <w:sz w:val="24"/>
          <w:szCs w:val="24"/>
        </w:rPr>
        <w:t xml:space="preserve">non-shareholding </w:t>
      </w:r>
      <w:r w:rsidR="002C374B" w:rsidRPr="001F08B3">
        <w:rPr>
          <w:rFonts w:ascii="Arial" w:hAnsi="Arial" w:cs="Arial"/>
          <w:sz w:val="24"/>
          <w:szCs w:val="24"/>
        </w:rPr>
        <w:t xml:space="preserve">directors who </w:t>
      </w:r>
      <w:r w:rsidR="007E1C5D" w:rsidRPr="001F08B3">
        <w:rPr>
          <w:rFonts w:ascii="Arial" w:hAnsi="Arial" w:cs="Arial"/>
          <w:sz w:val="24"/>
          <w:szCs w:val="24"/>
        </w:rPr>
        <w:t xml:space="preserve">are not cited </w:t>
      </w:r>
      <w:r w:rsidR="00990E13" w:rsidRPr="001F08B3">
        <w:rPr>
          <w:rFonts w:ascii="Arial" w:hAnsi="Arial" w:cs="Arial"/>
          <w:sz w:val="24"/>
          <w:szCs w:val="24"/>
        </w:rPr>
        <w:t>also have a direct and substantial legal interest in the proceedings as their directorship is intrinsically linked to the validity of the impugned meeting</w:t>
      </w:r>
    </w:p>
    <w:p w14:paraId="36C018CD" w14:textId="77777777" w:rsidR="00990E13" w:rsidRPr="00990E13" w:rsidRDefault="00990E13" w:rsidP="00990E13">
      <w:pPr>
        <w:pStyle w:val="ListParagraph"/>
        <w:rPr>
          <w:rFonts w:ascii="Arial" w:hAnsi="Arial" w:cs="Arial"/>
          <w:sz w:val="24"/>
          <w:szCs w:val="24"/>
        </w:rPr>
      </w:pPr>
    </w:p>
    <w:p w14:paraId="3718327F" w14:textId="28B1486A" w:rsidR="0022692F" w:rsidRPr="001F08B3" w:rsidRDefault="001F08B3" w:rsidP="001F08B3">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A50E5" w:rsidRPr="001F08B3">
        <w:rPr>
          <w:rFonts w:ascii="Arial" w:hAnsi="Arial" w:cs="Arial"/>
          <w:sz w:val="24"/>
          <w:szCs w:val="24"/>
        </w:rPr>
        <w:t xml:space="preserve">There is no reason why costs should not follow the result. The applicants were forewarned of the </w:t>
      </w:r>
      <w:r w:rsidR="004A50E5" w:rsidRPr="001F08B3">
        <w:rPr>
          <w:rFonts w:ascii="Arial" w:hAnsi="Arial" w:cs="Arial"/>
          <w:i/>
          <w:sz w:val="24"/>
          <w:szCs w:val="24"/>
        </w:rPr>
        <w:t>point in limine</w:t>
      </w:r>
      <w:r w:rsidR="004A50E5" w:rsidRPr="001F08B3">
        <w:rPr>
          <w:rFonts w:ascii="Arial" w:hAnsi="Arial" w:cs="Arial"/>
          <w:sz w:val="24"/>
          <w:szCs w:val="24"/>
        </w:rPr>
        <w:t xml:space="preserve"> and did not attempt to ensure that all the parties were invited to the table.</w:t>
      </w:r>
      <w:r w:rsidR="009F097F" w:rsidRPr="001F08B3">
        <w:rPr>
          <w:rFonts w:ascii="Arial" w:hAnsi="Arial" w:cs="Arial"/>
          <w:sz w:val="24"/>
          <w:szCs w:val="24"/>
        </w:rPr>
        <w:t xml:space="preserve"> The applicants are thus liable for the wasted costs. As for </w:t>
      </w:r>
      <w:r w:rsidR="00990E13" w:rsidRPr="001F08B3">
        <w:rPr>
          <w:rFonts w:ascii="Arial" w:hAnsi="Arial" w:cs="Arial"/>
          <w:sz w:val="24"/>
          <w:szCs w:val="24"/>
        </w:rPr>
        <w:t>the wasted costs relating to the urgent court proceedings</w:t>
      </w:r>
      <w:r w:rsidR="00215B93" w:rsidRPr="001F08B3">
        <w:rPr>
          <w:rFonts w:ascii="Arial" w:hAnsi="Arial" w:cs="Arial"/>
          <w:sz w:val="24"/>
          <w:szCs w:val="24"/>
        </w:rPr>
        <w:t>, the parties submitted that these costs were reserved. I am of the view that the court</w:t>
      </w:r>
      <w:r w:rsidR="00240308" w:rsidRPr="001F08B3">
        <w:rPr>
          <w:rFonts w:ascii="Arial" w:hAnsi="Arial" w:cs="Arial"/>
          <w:sz w:val="24"/>
          <w:szCs w:val="24"/>
        </w:rPr>
        <w:t xml:space="preserve"> </w:t>
      </w:r>
      <w:r w:rsidR="00215B93" w:rsidRPr="001F08B3">
        <w:rPr>
          <w:rFonts w:ascii="Arial" w:hAnsi="Arial" w:cs="Arial"/>
          <w:sz w:val="24"/>
          <w:szCs w:val="24"/>
        </w:rPr>
        <w:t xml:space="preserve">that will finally determine the application, </w:t>
      </w:r>
      <w:r w:rsidR="00240308" w:rsidRPr="001F08B3">
        <w:rPr>
          <w:rFonts w:ascii="Arial" w:hAnsi="Arial" w:cs="Arial"/>
          <w:sz w:val="24"/>
          <w:szCs w:val="24"/>
        </w:rPr>
        <w:t xml:space="preserve">is the appropriate court to determine liability for the wasted costs </w:t>
      </w:r>
      <w:r w:rsidR="00990E13" w:rsidRPr="001F08B3">
        <w:rPr>
          <w:rFonts w:ascii="Arial" w:hAnsi="Arial" w:cs="Arial"/>
          <w:sz w:val="24"/>
          <w:szCs w:val="24"/>
        </w:rPr>
        <w:t>incurred in regard to</w:t>
      </w:r>
      <w:r w:rsidR="00240308" w:rsidRPr="001F08B3">
        <w:rPr>
          <w:rFonts w:ascii="Arial" w:hAnsi="Arial" w:cs="Arial"/>
          <w:sz w:val="24"/>
          <w:szCs w:val="24"/>
        </w:rPr>
        <w:t xml:space="preserve"> the urgent court proceedings.</w:t>
      </w:r>
    </w:p>
    <w:p w14:paraId="3B8CC142" w14:textId="77777777" w:rsidR="0022692F" w:rsidRPr="0022692F" w:rsidRDefault="0022692F" w:rsidP="0022692F">
      <w:pPr>
        <w:pStyle w:val="ListParagraph"/>
        <w:rPr>
          <w:rFonts w:ascii="Arial" w:hAnsi="Arial" w:cs="Arial"/>
          <w:sz w:val="24"/>
          <w:szCs w:val="24"/>
        </w:rPr>
      </w:pPr>
    </w:p>
    <w:p w14:paraId="4A184967" w14:textId="77777777" w:rsidR="00670F17" w:rsidRPr="00670F17" w:rsidRDefault="00670F17" w:rsidP="00670F17">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623BA75B"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3B774BD6" w14:textId="72C81B07"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4A50E5" w:rsidRPr="001F08B3">
        <w:rPr>
          <w:rFonts w:ascii="Arial" w:hAnsi="Arial" w:cs="Arial"/>
          <w:b/>
          <w:sz w:val="24"/>
          <w:szCs w:val="24"/>
        </w:rPr>
        <w:t xml:space="preserve">The point </w:t>
      </w:r>
      <w:r w:rsidR="004A50E5" w:rsidRPr="001F08B3">
        <w:rPr>
          <w:rFonts w:ascii="Arial" w:hAnsi="Arial" w:cs="Arial"/>
          <w:b/>
          <w:i/>
          <w:sz w:val="24"/>
          <w:szCs w:val="24"/>
        </w:rPr>
        <w:t>in limine</w:t>
      </w:r>
      <w:r w:rsidR="004A50E5" w:rsidRPr="001F08B3">
        <w:rPr>
          <w:rFonts w:ascii="Arial" w:hAnsi="Arial" w:cs="Arial"/>
          <w:b/>
          <w:sz w:val="24"/>
          <w:szCs w:val="24"/>
        </w:rPr>
        <w:t xml:space="preserve"> </w:t>
      </w:r>
      <w:r w:rsidR="00240308" w:rsidRPr="001F08B3">
        <w:rPr>
          <w:rFonts w:ascii="Arial" w:hAnsi="Arial" w:cs="Arial"/>
          <w:b/>
          <w:sz w:val="24"/>
          <w:szCs w:val="24"/>
        </w:rPr>
        <w:t>regarding non</w:t>
      </w:r>
      <w:r w:rsidR="00990E13" w:rsidRPr="001F08B3">
        <w:rPr>
          <w:rFonts w:ascii="Arial" w:hAnsi="Arial" w:cs="Arial"/>
          <w:b/>
          <w:sz w:val="24"/>
          <w:szCs w:val="24"/>
        </w:rPr>
        <w:t>-joinder</w:t>
      </w:r>
      <w:r w:rsidR="00240308" w:rsidRPr="001F08B3">
        <w:rPr>
          <w:rFonts w:ascii="Arial" w:hAnsi="Arial" w:cs="Arial"/>
          <w:b/>
          <w:sz w:val="24"/>
          <w:szCs w:val="24"/>
        </w:rPr>
        <w:t xml:space="preserve"> </w:t>
      </w:r>
      <w:r w:rsidR="004A50E5" w:rsidRPr="001F08B3">
        <w:rPr>
          <w:rFonts w:ascii="Arial" w:hAnsi="Arial" w:cs="Arial"/>
          <w:b/>
          <w:sz w:val="24"/>
          <w:szCs w:val="24"/>
        </w:rPr>
        <w:t>is upheld;</w:t>
      </w:r>
    </w:p>
    <w:p w14:paraId="728D1E70" w14:textId="3D78ED85"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990E13" w:rsidRPr="001F08B3">
        <w:rPr>
          <w:rFonts w:ascii="Arial" w:hAnsi="Arial" w:cs="Arial"/>
          <w:b/>
          <w:sz w:val="24"/>
          <w:szCs w:val="24"/>
        </w:rPr>
        <w:t xml:space="preserve">All the shareholders and </w:t>
      </w:r>
      <w:r w:rsidR="004A50E5" w:rsidRPr="001F08B3">
        <w:rPr>
          <w:rFonts w:ascii="Arial" w:hAnsi="Arial" w:cs="Arial"/>
          <w:b/>
          <w:sz w:val="24"/>
          <w:szCs w:val="24"/>
        </w:rPr>
        <w:t xml:space="preserve">purported shareholders </w:t>
      </w:r>
      <w:r w:rsidR="00990E13" w:rsidRPr="001F08B3">
        <w:rPr>
          <w:rFonts w:ascii="Arial" w:hAnsi="Arial" w:cs="Arial"/>
          <w:b/>
          <w:sz w:val="24"/>
          <w:szCs w:val="24"/>
        </w:rPr>
        <w:t xml:space="preserve">of the first respondent who are not currently cited as respondents, and the directors purportedly elected at the meeting of 24 May 2022, </w:t>
      </w:r>
      <w:r w:rsidR="004A50E5" w:rsidRPr="001F08B3">
        <w:rPr>
          <w:rFonts w:ascii="Arial" w:hAnsi="Arial" w:cs="Arial"/>
          <w:b/>
          <w:sz w:val="24"/>
          <w:szCs w:val="24"/>
        </w:rPr>
        <w:t>mus</w:t>
      </w:r>
      <w:r w:rsidR="00240308" w:rsidRPr="001F08B3">
        <w:rPr>
          <w:rFonts w:ascii="Arial" w:hAnsi="Arial" w:cs="Arial"/>
          <w:b/>
          <w:sz w:val="24"/>
          <w:szCs w:val="24"/>
        </w:rPr>
        <w:t>t be joined as respondents to the</w:t>
      </w:r>
      <w:r w:rsidR="004A50E5" w:rsidRPr="001F08B3">
        <w:rPr>
          <w:rFonts w:ascii="Arial" w:hAnsi="Arial" w:cs="Arial"/>
          <w:b/>
          <w:sz w:val="24"/>
          <w:szCs w:val="24"/>
        </w:rPr>
        <w:t xml:space="preserve"> application;</w:t>
      </w:r>
    </w:p>
    <w:p w14:paraId="3CD2421A" w14:textId="318FE331"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4A50E5" w:rsidRPr="001F08B3">
        <w:rPr>
          <w:rFonts w:ascii="Arial" w:hAnsi="Arial" w:cs="Arial"/>
          <w:b/>
          <w:sz w:val="24"/>
          <w:szCs w:val="24"/>
        </w:rPr>
        <w:t>A</w:t>
      </w:r>
      <w:r w:rsidR="009426EB" w:rsidRPr="001F08B3">
        <w:rPr>
          <w:rFonts w:ascii="Arial" w:hAnsi="Arial" w:cs="Arial"/>
          <w:b/>
          <w:sz w:val="24"/>
          <w:szCs w:val="24"/>
        </w:rPr>
        <w:t>l</w:t>
      </w:r>
      <w:r w:rsidR="004A50E5" w:rsidRPr="001F08B3">
        <w:rPr>
          <w:rFonts w:ascii="Arial" w:hAnsi="Arial" w:cs="Arial"/>
          <w:b/>
          <w:sz w:val="24"/>
          <w:szCs w:val="24"/>
        </w:rPr>
        <w:t>l papers filed of record are to be serv</w:t>
      </w:r>
      <w:r w:rsidR="00240308" w:rsidRPr="001F08B3">
        <w:rPr>
          <w:rFonts w:ascii="Arial" w:hAnsi="Arial" w:cs="Arial"/>
          <w:b/>
          <w:sz w:val="24"/>
          <w:szCs w:val="24"/>
        </w:rPr>
        <w:t>ed upon the said shareholders and</w:t>
      </w:r>
      <w:r w:rsidR="004A50E5" w:rsidRPr="001F08B3">
        <w:rPr>
          <w:rFonts w:ascii="Arial" w:hAnsi="Arial" w:cs="Arial"/>
          <w:b/>
          <w:sz w:val="24"/>
          <w:szCs w:val="24"/>
        </w:rPr>
        <w:t xml:space="preserve"> purported shareholders</w:t>
      </w:r>
      <w:r w:rsidR="00990E13" w:rsidRPr="001F08B3">
        <w:rPr>
          <w:rFonts w:ascii="Arial" w:hAnsi="Arial" w:cs="Arial"/>
          <w:b/>
          <w:sz w:val="24"/>
          <w:szCs w:val="24"/>
        </w:rPr>
        <w:t xml:space="preserve"> and directors</w:t>
      </w:r>
      <w:r w:rsidR="004A50E5" w:rsidRPr="001F08B3">
        <w:rPr>
          <w:rFonts w:ascii="Arial" w:hAnsi="Arial" w:cs="Arial"/>
          <w:b/>
          <w:sz w:val="24"/>
          <w:szCs w:val="24"/>
        </w:rPr>
        <w:t xml:space="preserve"> within 15 days of the date of this order;</w:t>
      </w:r>
    </w:p>
    <w:p w14:paraId="4643809F" w14:textId="4579B184"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4A50E5" w:rsidRPr="001F08B3">
        <w:rPr>
          <w:rFonts w:ascii="Arial" w:hAnsi="Arial" w:cs="Arial"/>
          <w:b/>
          <w:sz w:val="24"/>
          <w:szCs w:val="24"/>
        </w:rPr>
        <w:t>The joined respondents are afforded 15 days from the date of service of the papers within which to deliver a notice of intention to oppose;</w:t>
      </w:r>
    </w:p>
    <w:p w14:paraId="0EBC392C" w14:textId="7E4AF07C"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4A50E5" w:rsidRPr="001F08B3">
        <w:rPr>
          <w:rFonts w:ascii="Arial" w:hAnsi="Arial" w:cs="Arial"/>
          <w:b/>
          <w:sz w:val="24"/>
          <w:szCs w:val="24"/>
        </w:rPr>
        <w:t>Answering affidavits</w:t>
      </w:r>
      <w:r w:rsidR="002B308E" w:rsidRPr="001F08B3">
        <w:rPr>
          <w:rFonts w:ascii="Arial" w:hAnsi="Arial" w:cs="Arial"/>
          <w:b/>
          <w:sz w:val="24"/>
          <w:szCs w:val="24"/>
        </w:rPr>
        <w:t xml:space="preserve"> must be filed within one month</w:t>
      </w:r>
      <w:r w:rsidR="004A50E5" w:rsidRPr="001F08B3">
        <w:rPr>
          <w:rFonts w:ascii="Arial" w:hAnsi="Arial" w:cs="Arial"/>
          <w:b/>
          <w:sz w:val="24"/>
          <w:szCs w:val="24"/>
        </w:rPr>
        <w:t xml:space="preserve"> of notifying the applicants of the intention to oppose;</w:t>
      </w:r>
    </w:p>
    <w:p w14:paraId="4FCB9F75" w14:textId="0C369A44"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r>
      <w:r w:rsidR="004A50E5" w:rsidRPr="001F08B3">
        <w:rPr>
          <w:rFonts w:ascii="Arial" w:hAnsi="Arial" w:cs="Arial"/>
          <w:b/>
          <w:sz w:val="24"/>
          <w:szCs w:val="24"/>
        </w:rPr>
        <w:t xml:space="preserve">The applicants and </w:t>
      </w:r>
      <w:r w:rsidR="00240308" w:rsidRPr="001F08B3">
        <w:rPr>
          <w:rFonts w:ascii="Arial" w:hAnsi="Arial" w:cs="Arial"/>
          <w:b/>
          <w:sz w:val="24"/>
          <w:szCs w:val="24"/>
        </w:rPr>
        <w:t xml:space="preserve">the </w:t>
      </w:r>
      <w:r w:rsidR="004A50E5" w:rsidRPr="001F08B3">
        <w:rPr>
          <w:rFonts w:ascii="Arial" w:hAnsi="Arial" w:cs="Arial"/>
          <w:b/>
          <w:sz w:val="24"/>
          <w:szCs w:val="24"/>
        </w:rPr>
        <w:t>first to fifth respondents may file replying affidavits to the answering affidavits of the joined respondents within 15 days of receipt of the answering affidavits;</w:t>
      </w:r>
    </w:p>
    <w:p w14:paraId="3526659B" w14:textId="3DFDF973" w:rsidR="004A50E5" w:rsidRPr="001F08B3" w:rsidRDefault="001F08B3" w:rsidP="001F08B3">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4A50E5" w:rsidRPr="001F08B3">
        <w:rPr>
          <w:rFonts w:ascii="Arial" w:hAnsi="Arial" w:cs="Arial"/>
          <w:b/>
          <w:sz w:val="24"/>
          <w:szCs w:val="24"/>
        </w:rPr>
        <w:t>The applicant</w:t>
      </w:r>
      <w:r w:rsidR="00470A85" w:rsidRPr="001F08B3">
        <w:rPr>
          <w:rFonts w:ascii="Arial" w:hAnsi="Arial" w:cs="Arial"/>
          <w:b/>
          <w:sz w:val="24"/>
          <w:szCs w:val="24"/>
        </w:rPr>
        <w:t>s, jointly and severally, one to pay the other to be absolv</w:t>
      </w:r>
      <w:r w:rsidR="00240308" w:rsidRPr="001F08B3">
        <w:rPr>
          <w:rFonts w:ascii="Arial" w:hAnsi="Arial" w:cs="Arial"/>
          <w:b/>
          <w:sz w:val="24"/>
          <w:szCs w:val="24"/>
        </w:rPr>
        <w:t>ed, are to pay the wasted costs of this special motion.</w:t>
      </w:r>
    </w:p>
    <w:p w14:paraId="1A966874" w14:textId="77777777" w:rsidR="00240308" w:rsidRPr="004A50E5" w:rsidRDefault="00240308" w:rsidP="00240308">
      <w:pPr>
        <w:pStyle w:val="ListParagraph"/>
        <w:tabs>
          <w:tab w:val="left" w:pos="4917"/>
        </w:tabs>
        <w:spacing w:before="120" w:after="120" w:line="360" w:lineRule="auto"/>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2ACB00FF"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240308">
        <w:rPr>
          <w:rFonts w:ascii="Arial" w:hAnsi="Arial" w:cs="Arial"/>
          <w:sz w:val="24"/>
          <w:szCs w:val="24"/>
        </w:rPr>
        <w:t>s</w:t>
      </w:r>
      <w:r w:rsidR="004716A2">
        <w:rPr>
          <w:rFonts w:ascii="Arial" w:hAnsi="Arial" w:cs="Arial"/>
          <w:sz w:val="24"/>
          <w:szCs w:val="24"/>
        </w:rPr>
        <w:t>:</w:t>
      </w:r>
      <w:r w:rsidR="00240308">
        <w:rPr>
          <w:rFonts w:ascii="Arial" w:hAnsi="Arial" w:cs="Arial"/>
          <w:sz w:val="24"/>
          <w:szCs w:val="24"/>
        </w:rPr>
        <w:tab/>
        <w:t>Adv. A. R. G. Mundell SC</w:t>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48D43D9B"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240308">
        <w:rPr>
          <w:rFonts w:ascii="Arial" w:hAnsi="Arial" w:cs="Arial"/>
          <w:sz w:val="24"/>
          <w:szCs w:val="24"/>
        </w:rPr>
        <w:t>AC Schmidt Inc.</w:t>
      </w:r>
      <w:r w:rsidR="00377FDC">
        <w:rPr>
          <w:rFonts w:ascii="Arial" w:hAnsi="Arial" w:cs="Arial"/>
          <w:sz w:val="24"/>
          <w:szCs w:val="24"/>
        </w:rPr>
        <w:tab/>
      </w:r>
    </w:p>
    <w:p w14:paraId="44D1AFCD" w14:textId="5FFDA47A"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240308">
        <w:rPr>
          <w:rFonts w:ascii="Arial" w:hAnsi="Arial" w:cs="Arial"/>
          <w:sz w:val="24"/>
          <w:szCs w:val="24"/>
        </w:rPr>
        <w:t xml:space="preserve">second to fifth </w:t>
      </w:r>
      <w:r w:rsidR="00E12B0E">
        <w:rPr>
          <w:rFonts w:ascii="Arial" w:hAnsi="Arial" w:cs="Arial"/>
          <w:sz w:val="24"/>
          <w:szCs w:val="24"/>
        </w:rPr>
        <w:t>respondents</w:t>
      </w:r>
      <w:r w:rsidR="00377FDC">
        <w:rPr>
          <w:rFonts w:ascii="Arial" w:hAnsi="Arial" w:cs="Arial"/>
          <w:sz w:val="24"/>
          <w:szCs w:val="24"/>
        </w:rPr>
        <w:t>:</w:t>
      </w:r>
      <w:r w:rsidR="00240308">
        <w:rPr>
          <w:rFonts w:ascii="Arial" w:hAnsi="Arial" w:cs="Arial"/>
          <w:sz w:val="24"/>
          <w:szCs w:val="24"/>
        </w:rPr>
        <w:tab/>
        <w:t>Adv. A. N. Kruger</w:t>
      </w:r>
      <w:r w:rsidR="0022692F">
        <w:rPr>
          <w:rFonts w:ascii="Arial" w:hAnsi="Arial" w:cs="Arial"/>
          <w:sz w:val="24"/>
          <w:szCs w:val="24"/>
        </w:rPr>
        <w:tab/>
      </w:r>
    </w:p>
    <w:p w14:paraId="67876EBF" w14:textId="02A4F4FD"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240308">
        <w:rPr>
          <w:rFonts w:ascii="Arial" w:hAnsi="Arial" w:cs="Arial"/>
          <w:sz w:val="24"/>
          <w:szCs w:val="24"/>
        </w:rPr>
        <w:tab/>
        <w:t>Frese Gurovich Attorneys</w:t>
      </w:r>
      <w:r>
        <w:rPr>
          <w:rFonts w:ascii="Arial" w:hAnsi="Arial" w:cs="Arial"/>
          <w:sz w:val="24"/>
          <w:szCs w:val="24"/>
        </w:rPr>
        <w:tab/>
      </w:r>
      <w:r w:rsidR="00377FDC">
        <w:rPr>
          <w:rFonts w:ascii="Arial" w:hAnsi="Arial" w:cs="Arial"/>
          <w:sz w:val="24"/>
          <w:szCs w:val="24"/>
        </w:rPr>
        <w:tab/>
      </w:r>
    </w:p>
    <w:p w14:paraId="60737477" w14:textId="50EC5822"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22692F">
        <w:rPr>
          <w:rFonts w:ascii="Arial" w:hAnsi="Arial" w:cs="Arial"/>
          <w:sz w:val="24"/>
          <w:szCs w:val="24"/>
        </w:rPr>
        <w:tab/>
      </w:r>
      <w:r w:rsidR="00240308">
        <w:rPr>
          <w:rFonts w:ascii="Arial" w:hAnsi="Arial" w:cs="Arial"/>
          <w:sz w:val="24"/>
          <w:szCs w:val="24"/>
        </w:rPr>
        <w:t>28 February 2023</w:t>
      </w:r>
    </w:p>
    <w:p w14:paraId="7AD85C85" w14:textId="2D41ED6C"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240308">
        <w:rPr>
          <w:rFonts w:ascii="Arial" w:hAnsi="Arial" w:cs="Arial"/>
          <w:sz w:val="24"/>
          <w:szCs w:val="24"/>
        </w:rPr>
        <w:t>1 March 2023</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8552" w14:textId="77777777" w:rsidR="00DF7D12" w:rsidRDefault="00DF7D12">
      <w:pPr>
        <w:spacing w:after="0" w:line="240" w:lineRule="auto"/>
      </w:pPr>
      <w:r>
        <w:separator/>
      </w:r>
    </w:p>
  </w:endnote>
  <w:endnote w:type="continuationSeparator" w:id="0">
    <w:p w14:paraId="0F1CCDAF" w14:textId="77777777" w:rsidR="00DF7D12" w:rsidRDefault="00DF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2A8398C5" w:rsidR="00E12B0E" w:rsidRDefault="00E12B0E">
        <w:pPr>
          <w:pStyle w:val="Footer"/>
          <w:jc w:val="center"/>
        </w:pPr>
        <w:r>
          <w:fldChar w:fldCharType="begin"/>
        </w:r>
        <w:r>
          <w:instrText xml:space="preserve"> PAGE   \* MERGEFORMAT </w:instrText>
        </w:r>
        <w:r>
          <w:fldChar w:fldCharType="separate"/>
        </w:r>
        <w:r w:rsidR="001F08B3">
          <w:rPr>
            <w:noProof/>
          </w:rPr>
          <w:t>2</w:t>
        </w:r>
        <w:r>
          <w:rPr>
            <w:noProof/>
          </w:rPr>
          <w:fldChar w:fldCharType="end"/>
        </w:r>
      </w:p>
    </w:sdtContent>
  </w:sdt>
  <w:p w14:paraId="53EAF7CA" w14:textId="77777777" w:rsidR="00E12B0E" w:rsidRDefault="00E1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0C78" w14:textId="77777777" w:rsidR="00DF7D12" w:rsidRDefault="00DF7D12">
      <w:pPr>
        <w:spacing w:after="0" w:line="240" w:lineRule="auto"/>
      </w:pPr>
      <w:r>
        <w:separator/>
      </w:r>
    </w:p>
  </w:footnote>
  <w:footnote w:type="continuationSeparator" w:id="0">
    <w:p w14:paraId="473B2208" w14:textId="77777777" w:rsidR="00DF7D12" w:rsidRDefault="00DF7D12">
      <w:pPr>
        <w:spacing w:after="0" w:line="240" w:lineRule="auto"/>
      </w:pPr>
      <w:r>
        <w:continuationSeparator/>
      </w:r>
    </w:p>
  </w:footnote>
  <w:footnote w:id="1">
    <w:p w14:paraId="1DBFB72A" w14:textId="7B0D1F7D"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sz w:val="22"/>
          <w:szCs w:val="22"/>
          <w:lang w:val="en-GB"/>
        </w:rPr>
        <w:t>1949 (3) SA 637 (A) 657.</w:t>
      </w:r>
    </w:p>
  </w:footnote>
  <w:footnote w:id="2">
    <w:p w14:paraId="17C210DD" w14:textId="1D1A581F"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i/>
          <w:sz w:val="22"/>
          <w:szCs w:val="22"/>
          <w:lang w:val="en-GB"/>
        </w:rPr>
        <w:t>Gordon v Department of Health: Kwazulu-Natal</w:t>
      </w:r>
      <w:r w:rsidRPr="00A27C97">
        <w:rPr>
          <w:rFonts w:ascii="Arial" w:hAnsi="Arial" w:cs="Arial"/>
          <w:sz w:val="22"/>
          <w:szCs w:val="22"/>
          <w:lang w:val="en-GB"/>
        </w:rPr>
        <w:t xml:space="preserve"> 2008 (6) SA 522 (SCA) at para [9].</w:t>
      </w:r>
    </w:p>
  </w:footnote>
  <w:footnote w:id="3">
    <w:p w14:paraId="161E9215" w14:textId="20E31FBC"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sz w:val="22"/>
          <w:szCs w:val="22"/>
          <w:lang w:val="en-GB"/>
        </w:rPr>
        <w:t>Ibid.</w:t>
      </w:r>
    </w:p>
  </w:footnote>
  <w:footnote w:id="4">
    <w:p w14:paraId="4C24F176" w14:textId="6842E74F"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i/>
          <w:sz w:val="22"/>
          <w:szCs w:val="22"/>
          <w:lang w:val="en-GB"/>
        </w:rPr>
        <w:t>Minerals Council South Africa v Minister of Mineral Resources and Another</w:t>
      </w:r>
      <w:r w:rsidRPr="00A27C97">
        <w:rPr>
          <w:rFonts w:ascii="Arial" w:hAnsi="Arial" w:cs="Arial"/>
          <w:sz w:val="22"/>
          <w:szCs w:val="22"/>
          <w:lang w:val="en-GB"/>
        </w:rPr>
        <w:t xml:space="preserve"> (20341/19) [2020] ZAGPJHC 171 (30 June 2020) at para [10].</w:t>
      </w:r>
    </w:p>
  </w:footnote>
  <w:footnote w:id="5">
    <w:p w14:paraId="0098C915" w14:textId="3295C0D7"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sz w:val="22"/>
          <w:szCs w:val="22"/>
          <w:lang w:val="en-GB"/>
        </w:rPr>
        <w:t>(2022/650) [2022] ZAGPJHC 283 (25 April 2022).</w:t>
      </w:r>
    </w:p>
  </w:footnote>
  <w:footnote w:id="6">
    <w:p w14:paraId="249C2C72" w14:textId="67798E17"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sz w:val="22"/>
          <w:szCs w:val="22"/>
          <w:lang w:val="en-GB"/>
        </w:rPr>
        <w:t>Supra, para [3].</w:t>
      </w:r>
    </w:p>
  </w:footnote>
  <w:footnote w:id="7">
    <w:p w14:paraId="2870CB5A" w14:textId="151FAB45" w:rsidR="00E12B0E" w:rsidRPr="00A27C97" w:rsidRDefault="00E12B0E" w:rsidP="00A27C97">
      <w:pPr>
        <w:pStyle w:val="com-parafullout"/>
        <w:spacing w:before="120" w:beforeAutospacing="0" w:after="0" w:afterAutospacing="0"/>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color w:val="000000"/>
          <w:sz w:val="22"/>
          <w:szCs w:val="22"/>
        </w:rPr>
        <w:t>[2019] JOL 44922 (GP) para [20].</w:t>
      </w:r>
    </w:p>
  </w:footnote>
  <w:footnote w:id="8">
    <w:p w14:paraId="3ADC29E5" w14:textId="7D08D289" w:rsidR="00E12B0E" w:rsidRPr="00A27C97" w:rsidRDefault="00E12B0E" w:rsidP="00A27C97">
      <w:pPr>
        <w:pStyle w:val="FootnoteText"/>
        <w:spacing w:before="120"/>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sz w:val="22"/>
          <w:szCs w:val="22"/>
          <w:lang w:val="en-GB"/>
        </w:rPr>
        <w:t>Supra, para [19].</w:t>
      </w:r>
    </w:p>
  </w:footnote>
  <w:footnote w:id="9">
    <w:p w14:paraId="238ECE9F" w14:textId="008EEB8A" w:rsidR="00E12B0E" w:rsidRPr="00A27C97" w:rsidRDefault="00E12B0E" w:rsidP="00A27C97">
      <w:pPr>
        <w:pStyle w:val="FootnoteText"/>
        <w:spacing w:before="120"/>
        <w:jc w:val="both"/>
        <w:rPr>
          <w:rFonts w:ascii="Arial" w:hAnsi="Arial" w:cs="Arial"/>
          <w:sz w:val="22"/>
          <w:szCs w:val="22"/>
          <w:lang w:val="en-GB"/>
        </w:rPr>
      </w:pPr>
      <w:r w:rsidRPr="00A27C97">
        <w:rPr>
          <w:rStyle w:val="FootnoteReference"/>
          <w:rFonts w:ascii="Arial" w:hAnsi="Arial" w:cs="Arial"/>
          <w:sz w:val="22"/>
          <w:szCs w:val="22"/>
        </w:rPr>
        <w:footnoteRef/>
      </w:r>
      <w:r w:rsidRPr="00A27C97">
        <w:rPr>
          <w:rFonts w:ascii="Arial" w:hAnsi="Arial" w:cs="Arial"/>
          <w:sz w:val="22"/>
          <w:szCs w:val="22"/>
        </w:rPr>
        <w:t xml:space="preserve"> </w:t>
      </w:r>
      <w:r w:rsidRPr="00A27C97">
        <w:rPr>
          <w:rFonts w:ascii="Arial" w:hAnsi="Arial" w:cs="Arial"/>
          <w:sz w:val="22"/>
          <w:szCs w:val="22"/>
          <w:lang w:val="en-GB"/>
        </w:rPr>
        <w:t>(4153/2016) [2018] ZAFSHC 7 (9 February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439FFCF9" w:rsidR="00E12B0E" w:rsidRDefault="00E12B0E">
        <w:pPr>
          <w:pStyle w:val="Header"/>
          <w:jc w:val="center"/>
        </w:pPr>
        <w:r>
          <w:fldChar w:fldCharType="begin"/>
        </w:r>
        <w:r>
          <w:instrText xml:space="preserve"> PAGE   \* MERGEFORMAT </w:instrText>
        </w:r>
        <w:r>
          <w:fldChar w:fldCharType="separate"/>
        </w:r>
        <w:r w:rsidR="001F08B3">
          <w:rPr>
            <w:noProof/>
          </w:rPr>
          <w:t>2</w:t>
        </w:r>
        <w:r>
          <w:rPr>
            <w:noProof/>
          </w:rPr>
          <w:fldChar w:fldCharType="end"/>
        </w:r>
      </w:p>
    </w:sdtContent>
  </w:sdt>
  <w:p w14:paraId="281D55A2" w14:textId="77777777" w:rsidR="00E12B0E" w:rsidRDefault="00E1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51A1015"/>
    <w:multiLevelType w:val="hybridMultilevel"/>
    <w:tmpl w:val="0506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9">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5"/>
  </w:num>
  <w:num w:numId="4">
    <w:abstractNumId w:val="38"/>
  </w:num>
  <w:num w:numId="5">
    <w:abstractNumId w:val="4"/>
  </w:num>
  <w:num w:numId="6">
    <w:abstractNumId w:val="23"/>
  </w:num>
  <w:num w:numId="7">
    <w:abstractNumId w:val="4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1"/>
  </w:num>
  <w:num w:numId="12">
    <w:abstractNumId w:val="19"/>
  </w:num>
  <w:num w:numId="13">
    <w:abstractNumId w:val="16"/>
  </w:num>
  <w:num w:numId="14">
    <w:abstractNumId w:val="37"/>
  </w:num>
  <w:num w:numId="15">
    <w:abstractNumId w:val="33"/>
  </w:num>
  <w:num w:numId="16">
    <w:abstractNumId w:val="8"/>
  </w:num>
  <w:num w:numId="17">
    <w:abstractNumId w:val="35"/>
  </w:num>
  <w:num w:numId="18">
    <w:abstractNumId w:val="18"/>
  </w:num>
  <w:num w:numId="19">
    <w:abstractNumId w:val="10"/>
  </w:num>
  <w:num w:numId="20">
    <w:abstractNumId w:val="9"/>
  </w:num>
  <w:num w:numId="21">
    <w:abstractNumId w:val="5"/>
  </w:num>
  <w:num w:numId="22">
    <w:abstractNumId w:val="32"/>
  </w:num>
  <w:num w:numId="23">
    <w:abstractNumId w:val="24"/>
  </w:num>
  <w:num w:numId="24">
    <w:abstractNumId w:val="26"/>
  </w:num>
  <w:num w:numId="25">
    <w:abstractNumId w:val="43"/>
  </w:num>
  <w:num w:numId="26">
    <w:abstractNumId w:val="34"/>
  </w:num>
  <w:num w:numId="27">
    <w:abstractNumId w:val="40"/>
  </w:num>
  <w:num w:numId="28">
    <w:abstractNumId w:val="36"/>
  </w:num>
  <w:num w:numId="29">
    <w:abstractNumId w:val="21"/>
  </w:num>
  <w:num w:numId="30">
    <w:abstractNumId w:val="7"/>
  </w:num>
  <w:num w:numId="31">
    <w:abstractNumId w:val="31"/>
  </w:num>
  <w:num w:numId="32">
    <w:abstractNumId w:val="13"/>
  </w:num>
  <w:num w:numId="33">
    <w:abstractNumId w:val="15"/>
  </w:num>
  <w:num w:numId="34">
    <w:abstractNumId w:val="30"/>
  </w:num>
  <w:num w:numId="35">
    <w:abstractNumId w:val="22"/>
  </w:num>
  <w:num w:numId="36">
    <w:abstractNumId w:val="14"/>
  </w:num>
  <w:num w:numId="37">
    <w:abstractNumId w:val="39"/>
  </w:num>
  <w:num w:numId="38">
    <w:abstractNumId w:val="6"/>
  </w:num>
  <w:num w:numId="39">
    <w:abstractNumId w:val="1"/>
  </w:num>
  <w:num w:numId="40">
    <w:abstractNumId w:val="12"/>
  </w:num>
  <w:num w:numId="41">
    <w:abstractNumId w:val="2"/>
  </w:num>
  <w:num w:numId="42">
    <w:abstractNumId w:val="0"/>
  </w:num>
  <w:num w:numId="43">
    <w:abstractNumId w:val="29"/>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sFAGzDOSA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3A38"/>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5DC8"/>
    <w:rsid w:val="00087A9C"/>
    <w:rsid w:val="00090049"/>
    <w:rsid w:val="00090328"/>
    <w:rsid w:val="0009046E"/>
    <w:rsid w:val="00091185"/>
    <w:rsid w:val="00091A89"/>
    <w:rsid w:val="00092153"/>
    <w:rsid w:val="0009232A"/>
    <w:rsid w:val="00093D47"/>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3F7"/>
    <w:rsid w:val="00122D3B"/>
    <w:rsid w:val="00123AF6"/>
    <w:rsid w:val="00124C87"/>
    <w:rsid w:val="0012537E"/>
    <w:rsid w:val="00125917"/>
    <w:rsid w:val="00125A23"/>
    <w:rsid w:val="00125E7E"/>
    <w:rsid w:val="00126105"/>
    <w:rsid w:val="00126196"/>
    <w:rsid w:val="0012642B"/>
    <w:rsid w:val="001277ED"/>
    <w:rsid w:val="00127F08"/>
    <w:rsid w:val="00127F3D"/>
    <w:rsid w:val="00130854"/>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668A"/>
    <w:rsid w:val="0015765D"/>
    <w:rsid w:val="00157C7A"/>
    <w:rsid w:val="00157E11"/>
    <w:rsid w:val="0016057B"/>
    <w:rsid w:val="0016180C"/>
    <w:rsid w:val="00162779"/>
    <w:rsid w:val="00162C52"/>
    <w:rsid w:val="00162C6B"/>
    <w:rsid w:val="00164075"/>
    <w:rsid w:val="00164B19"/>
    <w:rsid w:val="001664B3"/>
    <w:rsid w:val="00166CC5"/>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8A4"/>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120"/>
    <w:rsid w:val="001D6772"/>
    <w:rsid w:val="001D7577"/>
    <w:rsid w:val="001D779C"/>
    <w:rsid w:val="001E1B80"/>
    <w:rsid w:val="001E2B6C"/>
    <w:rsid w:val="001E39CE"/>
    <w:rsid w:val="001E4659"/>
    <w:rsid w:val="001E4C5C"/>
    <w:rsid w:val="001E571B"/>
    <w:rsid w:val="001E59B4"/>
    <w:rsid w:val="001E6423"/>
    <w:rsid w:val="001F08B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5B93"/>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0308"/>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774"/>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08E"/>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374B"/>
    <w:rsid w:val="002C4DB8"/>
    <w:rsid w:val="002C54C6"/>
    <w:rsid w:val="002C5CE4"/>
    <w:rsid w:val="002C6618"/>
    <w:rsid w:val="002C68FE"/>
    <w:rsid w:val="002C6B8F"/>
    <w:rsid w:val="002C7851"/>
    <w:rsid w:val="002C7989"/>
    <w:rsid w:val="002D0838"/>
    <w:rsid w:val="002D1306"/>
    <w:rsid w:val="002D1539"/>
    <w:rsid w:val="002D3182"/>
    <w:rsid w:val="002D33EE"/>
    <w:rsid w:val="002D50D6"/>
    <w:rsid w:val="002D6F91"/>
    <w:rsid w:val="002D7236"/>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07CD"/>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092F"/>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A85"/>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235"/>
    <w:rsid w:val="0048256F"/>
    <w:rsid w:val="0048293C"/>
    <w:rsid w:val="00483B29"/>
    <w:rsid w:val="00483D1F"/>
    <w:rsid w:val="004857C3"/>
    <w:rsid w:val="00485E4F"/>
    <w:rsid w:val="00486511"/>
    <w:rsid w:val="0048672B"/>
    <w:rsid w:val="00486E33"/>
    <w:rsid w:val="004908ED"/>
    <w:rsid w:val="00490C49"/>
    <w:rsid w:val="00490D13"/>
    <w:rsid w:val="00490EC0"/>
    <w:rsid w:val="004913CF"/>
    <w:rsid w:val="0049255B"/>
    <w:rsid w:val="00492898"/>
    <w:rsid w:val="00492C00"/>
    <w:rsid w:val="004930FB"/>
    <w:rsid w:val="004952B8"/>
    <w:rsid w:val="00495F16"/>
    <w:rsid w:val="0049637A"/>
    <w:rsid w:val="004A1EEA"/>
    <w:rsid w:val="004A2146"/>
    <w:rsid w:val="004A2AE2"/>
    <w:rsid w:val="004A30F4"/>
    <w:rsid w:val="004A3A6D"/>
    <w:rsid w:val="004A50E5"/>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4A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838"/>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4F"/>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1C45"/>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6B3"/>
    <w:rsid w:val="00717B90"/>
    <w:rsid w:val="00717E81"/>
    <w:rsid w:val="00720275"/>
    <w:rsid w:val="00720BDF"/>
    <w:rsid w:val="00721B8C"/>
    <w:rsid w:val="00721C66"/>
    <w:rsid w:val="00721ECE"/>
    <w:rsid w:val="007222BE"/>
    <w:rsid w:val="0072308C"/>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46669"/>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3DDC"/>
    <w:rsid w:val="007B43EC"/>
    <w:rsid w:val="007B4DB6"/>
    <w:rsid w:val="007B59D4"/>
    <w:rsid w:val="007B5A1C"/>
    <w:rsid w:val="007B5A90"/>
    <w:rsid w:val="007B705F"/>
    <w:rsid w:val="007B7149"/>
    <w:rsid w:val="007B7733"/>
    <w:rsid w:val="007B7E77"/>
    <w:rsid w:val="007C2260"/>
    <w:rsid w:val="007C26FB"/>
    <w:rsid w:val="007C356E"/>
    <w:rsid w:val="007C4C2B"/>
    <w:rsid w:val="007C5D94"/>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1C5D"/>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2E4"/>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302"/>
    <w:rsid w:val="008D69E1"/>
    <w:rsid w:val="008D6C1E"/>
    <w:rsid w:val="008D7513"/>
    <w:rsid w:val="008E24EC"/>
    <w:rsid w:val="008E32A1"/>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11C"/>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518A"/>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6EB"/>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0E13"/>
    <w:rsid w:val="009910E1"/>
    <w:rsid w:val="00994782"/>
    <w:rsid w:val="00996241"/>
    <w:rsid w:val="009A0084"/>
    <w:rsid w:val="009A0DDE"/>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097F"/>
    <w:rsid w:val="009F12A8"/>
    <w:rsid w:val="009F14EF"/>
    <w:rsid w:val="009F3121"/>
    <w:rsid w:val="009F397E"/>
    <w:rsid w:val="009F39A1"/>
    <w:rsid w:val="009F3A0B"/>
    <w:rsid w:val="009F3C64"/>
    <w:rsid w:val="009F5B19"/>
    <w:rsid w:val="009F71D8"/>
    <w:rsid w:val="009F7DCA"/>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27C97"/>
    <w:rsid w:val="00A301D8"/>
    <w:rsid w:val="00A315F2"/>
    <w:rsid w:val="00A31D30"/>
    <w:rsid w:val="00A32731"/>
    <w:rsid w:val="00A3289F"/>
    <w:rsid w:val="00A32CD7"/>
    <w:rsid w:val="00A33FA1"/>
    <w:rsid w:val="00A3441D"/>
    <w:rsid w:val="00A355FB"/>
    <w:rsid w:val="00A35ADC"/>
    <w:rsid w:val="00A35D9C"/>
    <w:rsid w:val="00A37B40"/>
    <w:rsid w:val="00A4202B"/>
    <w:rsid w:val="00A42BDA"/>
    <w:rsid w:val="00A42E39"/>
    <w:rsid w:val="00A4466D"/>
    <w:rsid w:val="00A4588D"/>
    <w:rsid w:val="00A4604E"/>
    <w:rsid w:val="00A52163"/>
    <w:rsid w:val="00A524CA"/>
    <w:rsid w:val="00A526E7"/>
    <w:rsid w:val="00A53641"/>
    <w:rsid w:val="00A54854"/>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6AA"/>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4F17"/>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0E7D"/>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4CAD"/>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274"/>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57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53A8"/>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123"/>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432C"/>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260A"/>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12"/>
    <w:rsid w:val="00DF7DFD"/>
    <w:rsid w:val="00E00518"/>
    <w:rsid w:val="00E025AB"/>
    <w:rsid w:val="00E03FA1"/>
    <w:rsid w:val="00E04F26"/>
    <w:rsid w:val="00E056A1"/>
    <w:rsid w:val="00E05843"/>
    <w:rsid w:val="00E05D25"/>
    <w:rsid w:val="00E0620A"/>
    <w:rsid w:val="00E10F1F"/>
    <w:rsid w:val="00E11039"/>
    <w:rsid w:val="00E12670"/>
    <w:rsid w:val="00E12B0E"/>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1D5"/>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818"/>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5E28"/>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33"/>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1775A"/>
    <w:rsid w:val="00F2022E"/>
    <w:rsid w:val="00F2035F"/>
    <w:rsid w:val="00F209E2"/>
    <w:rsid w:val="00F20B5F"/>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194B"/>
    <w:rsid w:val="00F730AB"/>
    <w:rsid w:val="00F736D6"/>
    <w:rsid w:val="00F73DCE"/>
    <w:rsid w:val="00F74774"/>
    <w:rsid w:val="00F752AD"/>
    <w:rsid w:val="00F753F6"/>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2C7"/>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A10"/>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paragraph" w:customStyle="1" w:styleId="com-para3">
    <w:name w:val="com-para3"/>
    <w:basedOn w:val="Normal"/>
    <w:rsid w:val="007B3D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parafullout">
    <w:name w:val="com-parafullout"/>
    <w:basedOn w:val="Normal"/>
    <w:rsid w:val="00A27C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391536217">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AE51-168F-4820-BC2E-63A88825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2023-03-01T06:23:00Z</cp:lastPrinted>
  <dcterms:created xsi:type="dcterms:W3CDTF">2023-03-07T08:35:00Z</dcterms:created>
  <dcterms:modified xsi:type="dcterms:W3CDTF">2023-03-07T08:37:00Z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