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51F53382">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1A71DF04" w:rsidR="00665539" w:rsidRDefault="00780D06" w:rsidP="00FC3DC3">
      <w:pPr>
        <w:spacing w:after="0" w:line="240" w:lineRule="auto"/>
        <w:ind w:left="472" w:hangingChars="236" w:hanging="472"/>
        <w:jc w:val="right"/>
        <w:rPr>
          <w:rFonts w:ascii="Arial" w:eastAsia="Times New Roman" w:hAnsi="Arial" w:cs="Arial"/>
          <w:sz w:val="28"/>
          <w:szCs w:val="28"/>
          <w:lang w:eastAsia="en-GB"/>
        </w:rPr>
      </w:pPr>
      <w:r w:rsidRPr="00A51C92">
        <w:rPr>
          <w:noProof/>
          <w:sz w:val="20"/>
          <w:szCs w:val="20"/>
          <w:lang w:val="en-US"/>
        </w:rPr>
        <mc:AlternateContent>
          <mc:Choice Requires="wps">
            <w:drawing>
              <wp:anchor distT="0" distB="0" distL="114300" distR="114300" simplePos="0" relativeHeight="251659264" behindDoc="0" locked="0" layoutInCell="1" allowOverlap="1" wp14:anchorId="082C1287" wp14:editId="6270BF90">
                <wp:simplePos x="0" y="0"/>
                <wp:positionH relativeFrom="margin">
                  <wp:posOffset>-177800</wp:posOffset>
                </wp:positionH>
                <wp:positionV relativeFrom="paragraph">
                  <wp:posOffset>167005</wp:posOffset>
                </wp:positionV>
                <wp:extent cx="3232785" cy="2139950"/>
                <wp:effectExtent l="0" t="0" r="5715" b="0"/>
                <wp:wrapNone/>
                <wp:docPr id="3112665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2139950"/>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53066A14" w:rsidR="00494B3B" w:rsidRDefault="00494B3B" w:rsidP="00AF6DDF">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REPORTABLE: </w:t>
                            </w:r>
                            <w:r w:rsidR="00106DC7">
                              <w:rPr>
                                <w:rFonts w:ascii="Century Gothic" w:hAnsi="Century Gothic"/>
                                <w:sz w:val="20"/>
                                <w:szCs w:val="20"/>
                              </w:rPr>
                              <w:t>YES/</w:t>
                            </w:r>
                            <w:r w:rsidRPr="00106DC7">
                              <w:rPr>
                                <w:rFonts w:ascii="Century Gothic" w:hAnsi="Century Gothic"/>
                                <w:sz w:val="20"/>
                                <w:szCs w:val="20"/>
                              </w:rPr>
                              <w:t>NO</w:t>
                            </w:r>
                          </w:p>
                          <w:p w14:paraId="240656F9" w14:textId="31F60B70" w:rsidR="00494B3B" w:rsidRDefault="00494B3B" w:rsidP="00AF6DD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w:t>
                            </w:r>
                            <w:r w:rsidRPr="00106DC7">
                              <w:rPr>
                                <w:rFonts w:ascii="Century Gothic" w:hAnsi="Century Gothic"/>
                                <w:sz w:val="20"/>
                                <w:szCs w:val="20"/>
                              </w:rPr>
                              <w:t xml:space="preserve"> </w:t>
                            </w:r>
                            <w:r w:rsidR="002B3DF0" w:rsidRPr="00106DC7">
                              <w:rPr>
                                <w:rFonts w:ascii="Century Gothic" w:hAnsi="Century Gothic"/>
                                <w:sz w:val="20"/>
                                <w:szCs w:val="20"/>
                              </w:rPr>
                              <w:t>YES</w:t>
                            </w:r>
                            <w:r w:rsidR="00106DC7" w:rsidRPr="00106DC7">
                              <w:rPr>
                                <w:rFonts w:ascii="Century Gothic" w:hAnsi="Century Gothic"/>
                                <w:sz w:val="20"/>
                                <w:szCs w:val="20"/>
                              </w:rPr>
                              <w:t>/NO</w:t>
                            </w:r>
                          </w:p>
                          <w:p w14:paraId="22436154" w14:textId="0EE5A21A" w:rsidR="00494B3B" w:rsidRDefault="00494B3B" w:rsidP="00AF6DDF">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w:t>
                            </w:r>
                            <w:r w:rsidRPr="00106DC7">
                              <w:rPr>
                                <w:rFonts w:ascii="Century Gothic" w:hAnsi="Century Gothic"/>
                                <w:sz w:val="20"/>
                                <w:szCs w:val="20"/>
                              </w:rPr>
                              <w:t>NO</w:t>
                            </w:r>
                            <w:r w:rsidR="00502311" w:rsidRPr="00106DC7">
                              <w:rPr>
                                <w:noProof/>
                              </w:rPr>
                              <w:t xml:space="preserve"> </w:t>
                            </w:r>
                            <w:r w:rsidR="00502311">
                              <w:rPr>
                                <w:noProof/>
                                <w:lang w:val="en-US"/>
                              </w:rPr>
                              <w:drawing>
                                <wp:inline distT="0" distB="0" distL="0" distR="0" wp14:anchorId="63DDFA3E" wp14:editId="519E4935">
                                  <wp:extent cx="1581150" cy="565150"/>
                                  <wp:effectExtent l="0" t="0" r="0" b="6350"/>
                                  <wp:docPr id="1517343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343298" name=""/>
                                          <pic:cNvPicPr/>
                                        </pic:nvPicPr>
                                        <pic:blipFill>
                                          <a:blip r:embed="rId10"/>
                                          <a:stretch>
                                            <a:fillRect/>
                                          </a:stretch>
                                        </pic:blipFill>
                                        <pic:spPr>
                                          <a:xfrm>
                                            <a:off x="0" y="0"/>
                                            <a:ext cx="1581150" cy="565150"/>
                                          </a:xfrm>
                                          <a:prstGeom prst="rect">
                                            <a:avLst/>
                                          </a:prstGeom>
                                        </pic:spPr>
                                      </pic:pic>
                                    </a:graphicData>
                                  </a:graphic>
                                </wp:inline>
                              </w:drawing>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31DE9C3F" w14:textId="31A0D299" w:rsidR="00A01CDD"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745439">
                              <w:rPr>
                                <w:rFonts w:ascii="Century Gothic" w:hAnsi="Century Gothic"/>
                                <w:sz w:val="20"/>
                                <w:szCs w:val="20"/>
                              </w:rPr>
                              <w:t>11</w:t>
                            </w:r>
                            <w:r w:rsidR="00A01CDD">
                              <w:rPr>
                                <w:rFonts w:ascii="Century Gothic" w:hAnsi="Century Gothic"/>
                                <w:sz w:val="20"/>
                                <w:szCs w:val="20"/>
                              </w:rPr>
                              <w:t xml:space="preserve"> September</w:t>
                            </w:r>
                            <w:r w:rsidR="00962ADE">
                              <w:rPr>
                                <w:rFonts w:ascii="Century Gothic" w:hAnsi="Century Gothic"/>
                                <w:sz w:val="20"/>
                                <w:szCs w:val="20"/>
                              </w:rPr>
                              <w:t xml:space="preserve"> 2023</w:t>
                            </w:r>
                            <w:r w:rsidR="00494B3B">
                              <w:rPr>
                                <w:rFonts w:ascii="Century Gothic" w:hAnsi="Century Gothic"/>
                                <w:sz w:val="20"/>
                                <w:szCs w:val="20"/>
                              </w:rPr>
                              <w:tab/>
                            </w:r>
                          </w:p>
                          <w:p w14:paraId="7EE48239" w14:textId="03B2293A" w:rsidR="00494B3B" w:rsidRDefault="00A01CDD" w:rsidP="00ED2FC5">
                            <w:pPr>
                              <w:spacing w:after="0" w:line="240" w:lineRule="auto"/>
                              <w:ind w:firstLine="180"/>
                              <w:rPr>
                                <w:rFonts w:ascii="Century Gothic" w:hAnsi="Century Gothic"/>
                                <w:sz w:val="20"/>
                                <w:szCs w:val="20"/>
                              </w:rPr>
                            </w:pPr>
                            <w:r>
                              <w:rPr>
                                <w:rFonts w:ascii="Century Gothic" w:hAnsi="Century Gothic"/>
                                <w:sz w:val="20"/>
                                <w:szCs w:val="20"/>
                              </w:rPr>
                              <w:t xml:space="preserve">Acting Judge </w:t>
                            </w:r>
                            <w:r w:rsidR="00105042">
                              <w:rPr>
                                <w:rFonts w:ascii="Century Gothic" w:hAnsi="Century Gothic"/>
                                <w:sz w:val="20"/>
                                <w:szCs w:val="20"/>
                              </w:rPr>
                              <w:t>FHH Kehrhahn</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082C1287" id="_x0000_t202" coordsize="21600,21600" o:spt="202" path="m,l,21600r21600,l21600,xe">
                <v:stroke joinstyle="miter"/>
                <v:path gradientshapeok="t" o:connecttype="rect"/>
              </v:shapetype>
              <v:shape id="Text Box 1" o:spid="_x0000_s1026" type="#_x0000_t202" style="position:absolute;left:0;text-align:left;margin-left:-14pt;margin-top:13.15pt;width:254.55pt;height:1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">
                <v:textbox>
                  <w:txbxContent>
                    <w:p w14:paraId="397DD474" w14:textId="77777777" w:rsidR="00494B3B" w:rsidRDefault="00494B3B" w:rsidP="00ED2FC5">
                      <w:pPr>
                        <w:jc w:val="center"/>
                        <w:rPr>
                          <w:rFonts w:ascii="Century Gothic" w:hAnsi="Century Gothic"/>
                          <w:b/>
                          <w:sz w:val="20"/>
                          <w:szCs w:val="20"/>
                        </w:rPr>
                      </w:pPr>
                    </w:p>
                    <w:p w14:paraId="2B4C2A7A" w14:textId="53066A14" w:rsidR="00494B3B" w:rsidRDefault="00494B3B" w:rsidP="00ED2FC5">
                      <w:pPr>
                        <w:numPr>
                          <w:ilvl w:val="0"/>
                          <w:numId w:val="8"/>
                        </w:numPr>
                        <w:spacing w:after="0" w:line="240" w:lineRule="auto"/>
                        <w:rPr>
                          <w:rFonts w:ascii="Century Gothic" w:hAnsi="Century Gothic"/>
                          <w:sz w:val="20"/>
                          <w:szCs w:val="20"/>
                        </w:rPr>
                      </w:pPr>
                      <w:r>
                        <w:rPr>
                          <w:rFonts w:ascii="Century Gothic" w:hAnsi="Century Gothic"/>
                          <w:sz w:val="20"/>
                          <w:szCs w:val="20"/>
                        </w:rPr>
                        <w:t xml:space="preserve">REPORTABLE: </w:t>
                      </w:r>
                      <w:r w:rsidR="00106DC7">
                        <w:rPr>
                          <w:rFonts w:ascii="Century Gothic" w:hAnsi="Century Gothic"/>
                          <w:sz w:val="20"/>
                          <w:szCs w:val="20"/>
                        </w:rPr>
                        <w:t>YES/</w:t>
                      </w:r>
                      <w:r w:rsidRPr="00106DC7">
                        <w:rPr>
                          <w:rFonts w:ascii="Century Gothic" w:hAnsi="Century Gothic"/>
                          <w:sz w:val="20"/>
                          <w:szCs w:val="20"/>
                        </w:rPr>
                        <w:t>NO</w:t>
                      </w:r>
                    </w:p>
                    <w:p w14:paraId="240656F9" w14:textId="31F60B70" w:rsidR="00494B3B" w:rsidRDefault="00494B3B"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w:t>
                      </w:r>
                      <w:r w:rsidRPr="00106DC7">
                        <w:rPr>
                          <w:rFonts w:ascii="Century Gothic" w:hAnsi="Century Gothic"/>
                          <w:sz w:val="20"/>
                          <w:szCs w:val="20"/>
                        </w:rPr>
                        <w:t xml:space="preserve"> </w:t>
                      </w:r>
                      <w:r w:rsidR="002B3DF0" w:rsidRPr="00106DC7">
                        <w:rPr>
                          <w:rFonts w:ascii="Century Gothic" w:hAnsi="Century Gothic"/>
                          <w:sz w:val="20"/>
                          <w:szCs w:val="20"/>
                        </w:rPr>
                        <w:t>YES</w:t>
                      </w:r>
                      <w:r w:rsidR="00106DC7" w:rsidRPr="00106DC7">
                        <w:rPr>
                          <w:rFonts w:ascii="Century Gothic" w:hAnsi="Century Gothic"/>
                          <w:sz w:val="20"/>
                          <w:szCs w:val="20"/>
                        </w:rPr>
                        <w:t>/NO</w:t>
                      </w:r>
                    </w:p>
                    <w:p w14:paraId="22436154" w14:textId="0EE5A21A" w:rsidR="00494B3B" w:rsidRDefault="00494B3B" w:rsidP="00ED2FC5">
                      <w:pPr>
                        <w:numPr>
                          <w:ilvl w:val="0"/>
                          <w:numId w:val="8"/>
                        </w:numPr>
                        <w:spacing w:after="0" w:line="240" w:lineRule="auto"/>
                        <w:rPr>
                          <w:rFonts w:ascii="Century Gothic" w:hAnsi="Century Gothic"/>
                          <w:sz w:val="20"/>
                          <w:szCs w:val="20"/>
                        </w:rPr>
                      </w:pPr>
                      <w:r>
                        <w:rPr>
                          <w:rFonts w:ascii="Century Gothic" w:hAnsi="Century Gothic"/>
                          <w:sz w:val="20"/>
                          <w:szCs w:val="20"/>
                        </w:rPr>
                        <w:t xml:space="preserve">REVISED: </w:t>
                      </w:r>
                      <w:r w:rsidRPr="00106DC7">
                        <w:rPr>
                          <w:rFonts w:ascii="Century Gothic" w:hAnsi="Century Gothic"/>
                          <w:sz w:val="20"/>
                          <w:szCs w:val="20"/>
                        </w:rPr>
                        <w:t>NO</w:t>
                      </w:r>
                      <w:r w:rsidR="00502311" w:rsidRPr="00106DC7">
                        <w:rPr>
                          <w:noProof/>
                        </w:rPr>
                        <w:t xml:space="preserve"> </w:t>
                      </w:r>
                      <w:r w:rsidR="00502311">
                        <w:rPr>
                          <w:noProof/>
                        </w:rPr>
                        <w:drawing>
                          <wp:inline distT="0" distB="0" distL="0" distR="0" wp14:anchorId="63DDFA3E" wp14:editId="519E4935">
                            <wp:extent cx="1581150" cy="565150"/>
                            <wp:effectExtent l="0" t="0" r="0" b="6350"/>
                            <wp:docPr id="1517343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343298" name=""/>
                                    <pic:cNvPicPr/>
                                  </pic:nvPicPr>
                                  <pic:blipFill>
                                    <a:blip r:embed="rId11"/>
                                    <a:stretch>
                                      <a:fillRect/>
                                    </a:stretch>
                                  </pic:blipFill>
                                  <pic:spPr>
                                    <a:xfrm>
                                      <a:off x="0" y="0"/>
                                      <a:ext cx="1581150" cy="565150"/>
                                    </a:xfrm>
                                    <a:prstGeom prst="rect">
                                      <a:avLst/>
                                    </a:prstGeom>
                                  </pic:spPr>
                                </pic:pic>
                              </a:graphicData>
                            </a:graphic>
                          </wp:inline>
                        </w:drawing>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31DE9C3F" w14:textId="31A0D299" w:rsidR="00A01CDD"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745439">
                        <w:rPr>
                          <w:rFonts w:ascii="Century Gothic" w:hAnsi="Century Gothic"/>
                          <w:sz w:val="20"/>
                          <w:szCs w:val="20"/>
                        </w:rPr>
                        <w:t>11</w:t>
                      </w:r>
                      <w:r w:rsidR="00A01CDD">
                        <w:rPr>
                          <w:rFonts w:ascii="Century Gothic" w:hAnsi="Century Gothic"/>
                          <w:sz w:val="20"/>
                          <w:szCs w:val="20"/>
                        </w:rPr>
                        <w:t xml:space="preserve"> September</w:t>
                      </w:r>
                      <w:r w:rsidR="00962ADE">
                        <w:rPr>
                          <w:rFonts w:ascii="Century Gothic" w:hAnsi="Century Gothic"/>
                          <w:sz w:val="20"/>
                          <w:szCs w:val="20"/>
                        </w:rPr>
                        <w:t xml:space="preserve"> 2023</w:t>
                      </w:r>
                      <w:r w:rsidR="00494B3B">
                        <w:rPr>
                          <w:rFonts w:ascii="Century Gothic" w:hAnsi="Century Gothic"/>
                          <w:sz w:val="20"/>
                          <w:szCs w:val="20"/>
                        </w:rPr>
                        <w:tab/>
                      </w:r>
                    </w:p>
                    <w:p w14:paraId="7EE48239" w14:textId="03B2293A" w:rsidR="00494B3B" w:rsidRDefault="00A01CDD" w:rsidP="00ED2FC5">
                      <w:pPr>
                        <w:spacing w:after="0" w:line="240" w:lineRule="auto"/>
                        <w:ind w:firstLine="180"/>
                        <w:rPr>
                          <w:rFonts w:ascii="Century Gothic" w:hAnsi="Century Gothic"/>
                          <w:sz w:val="20"/>
                          <w:szCs w:val="20"/>
                        </w:rPr>
                      </w:pPr>
                      <w:r>
                        <w:rPr>
                          <w:rFonts w:ascii="Century Gothic" w:hAnsi="Century Gothic"/>
                          <w:sz w:val="20"/>
                          <w:szCs w:val="20"/>
                        </w:rPr>
                        <w:t xml:space="preserve">Acting Judge </w:t>
                      </w:r>
                      <w:r w:rsidR="00105042">
                        <w:rPr>
                          <w:rFonts w:ascii="Century Gothic" w:hAnsi="Century Gothic"/>
                          <w:sz w:val="20"/>
                          <w:szCs w:val="20"/>
                        </w:rPr>
                        <w:t>FHH Kehrhahn</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sidRPr="00A51C92">
        <w:rPr>
          <w:rFonts w:ascii="Arial" w:eastAsia="Times New Roman" w:hAnsi="Arial" w:cs="Arial"/>
          <w:sz w:val="24"/>
          <w:szCs w:val="24"/>
          <w:lang w:eastAsia="en-GB"/>
        </w:rPr>
        <w:t>CASE NO:</w:t>
      </w:r>
      <w:r w:rsidR="00DE3835" w:rsidRPr="00A51C92">
        <w:rPr>
          <w:rFonts w:ascii="Arial" w:eastAsia="Times New Roman" w:hAnsi="Arial" w:cs="Arial"/>
          <w:sz w:val="24"/>
          <w:szCs w:val="24"/>
          <w:lang w:eastAsia="en-GB"/>
        </w:rPr>
        <w:t xml:space="preserve"> </w:t>
      </w:r>
      <w:r w:rsidR="00D913D1" w:rsidRPr="00A51C92">
        <w:rPr>
          <w:rFonts w:ascii="Arial" w:eastAsia="Times New Roman" w:hAnsi="Arial" w:cs="Arial"/>
          <w:sz w:val="24"/>
          <w:szCs w:val="24"/>
          <w:lang w:eastAsia="en-GB"/>
        </w:rPr>
        <w:t>85369/2019</w:t>
      </w:r>
    </w:p>
    <w:p w14:paraId="633CC936" w14:textId="15892C9E"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760ED147" w:rsidR="00C160A1" w:rsidRPr="003151F4" w:rsidRDefault="00C160A1" w:rsidP="00C160A1">
      <w:pPr>
        <w:spacing w:before="120" w:after="120" w:line="360" w:lineRule="auto"/>
        <w:jc w:val="center"/>
        <w:rPr>
          <w:rFonts w:ascii="Arial" w:hAnsi="Arial" w:cs="Arial"/>
          <w:sz w:val="24"/>
          <w:szCs w:val="24"/>
        </w:rPr>
      </w:pP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474DF364" w14:textId="77777777" w:rsidR="00105042" w:rsidRPr="00105042" w:rsidRDefault="00105042" w:rsidP="00105042">
      <w:pPr>
        <w:spacing w:after="0" w:line="480" w:lineRule="auto"/>
        <w:jc w:val="right"/>
        <w:rPr>
          <w:rFonts w:ascii="Arial" w:eastAsia="Times New Roman" w:hAnsi="Arial" w:cs="Times New Roman"/>
          <w:bCs/>
          <w:sz w:val="24"/>
          <w:szCs w:val="24"/>
        </w:rPr>
      </w:pPr>
    </w:p>
    <w:p w14:paraId="147F2D34" w14:textId="77777777" w:rsidR="00105042" w:rsidRPr="00105042" w:rsidRDefault="00105042" w:rsidP="00105042">
      <w:pPr>
        <w:spacing w:after="0" w:line="480" w:lineRule="auto"/>
        <w:rPr>
          <w:rFonts w:ascii="Arial" w:eastAsia="Times New Roman" w:hAnsi="Arial" w:cs="Times New Roman"/>
          <w:sz w:val="24"/>
          <w:szCs w:val="24"/>
        </w:rPr>
      </w:pPr>
      <w:r w:rsidRPr="00105042">
        <w:rPr>
          <w:rFonts w:ascii="Arial" w:eastAsia="Times New Roman" w:hAnsi="Arial" w:cs="Times New Roman"/>
          <w:sz w:val="24"/>
          <w:szCs w:val="24"/>
        </w:rPr>
        <w:t>In the matter between:</w:t>
      </w:r>
    </w:p>
    <w:p w14:paraId="6DF5F09D" w14:textId="77777777" w:rsidR="00105042" w:rsidRPr="00105042" w:rsidRDefault="00105042" w:rsidP="00105042">
      <w:pPr>
        <w:spacing w:after="0" w:line="480" w:lineRule="auto"/>
        <w:jc w:val="both"/>
        <w:rPr>
          <w:rFonts w:ascii="Arial" w:eastAsia="Times New Roman" w:hAnsi="Arial" w:cs="Times New Roman"/>
          <w:sz w:val="24"/>
          <w:szCs w:val="24"/>
          <w:lang w:val="en-GB"/>
        </w:rPr>
      </w:pPr>
    </w:p>
    <w:p w14:paraId="0F1CB73E" w14:textId="485A150B" w:rsidR="00105042" w:rsidRPr="00105042" w:rsidRDefault="00D913D1" w:rsidP="00105042">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MOLAUDIKGOTLA KINGSLEY MATHAMELO</w:t>
      </w:r>
      <w:r w:rsidR="00105042" w:rsidRPr="00105042">
        <w:rPr>
          <w:rFonts w:ascii="Arial" w:eastAsia="Times New Roman" w:hAnsi="Arial" w:cs="Arial"/>
          <w:sz w:val="24"/>
          <w:szCs w:val="24"/>
          <w:lang w:val="en-GB"/>
        </w:rPr>
        <w:tab/>
      </w:r>
      <w:r w:rsidR="00105042" w:rsidRPr="00105042">
        <w:rPr>
          <w:rFonts w:ascii="Arial" w:eastAsia="Times New Roman" w:hAnsi="Arial" w:cs="Arial"/>
          <w:sz w:val="24"/>
          <w:szCs w:val="24"/>
          <w:lang w:val="en-GB"/>
        </w:rPr>
        <w:tab/>
      </w:r>
      <w:r w:rsidR="00105042" w:rsidRPr="00105042">
        <w:rPr>
          <w:rFonts w:ascii="Arial" w:eastAsia="Times New Roman" w:hAnsi="Arial" w:cs="Arial"/>
          <w:sz w:val="24"/>
          <w:szCs w:val="24"/>
          <w:lang w:val="en-GB"/>
        </w:rPr>
        <w:tab/>
      </w:r>
      <w:r w:rsidR="00105042" w:rsidRPr="00105042">
        <w:rPr>
          <w:rFonts w:ascii="Arial" w:eastAsia="Times New Roman" w:hAnsi="Arial" w:cs="Arial"/>
          <w:sz w:val="24"/>
          <w:szCs w:val="24"/>
          <w:lang w:val="en-GB"/>
        </w:rPr>
        <w:tab/>
        <w:t>Plaintiff</w:t>
      </w:r>
    </w:p>
    <w:p w14:paraId="5BAE70E8" w14:textId="77777777" w:rsidR="00105042" w:rsidRPr="00105042" w:rsidRDefault="00105042" w:rsidP="00105042">
      <w:pPr>
        <w:spacing w:after="0" w:line="240" w:lineRule="auto"/>
        <w:rPr>
          <w:rFonts w:ascii="Arial" w:eastAsia="Times New Roman" w:hAnsi="Arial" w:cs="Arial"/>
          <w:sz w:val="24"/>
          <w:szCs w:val="24"/>
          <w:lang w:val="en-GB"/>
        </w:rPr>
      </w:pPr>
    </w:p>
    <w:p w14:paraId="4E2E54A3" w14:textId="77777777" w:rsidR="00105042" w:rsidRPr="00105042" w:rsidRDefault="00105042" w:rsidP="00105042">
      <w:pPr>
        <w:spacing w:after="0" w:line="240" w:lineRule="auto"/>
        <w:rPr>
          <w:rFonts w:ascii="Arial" w:eastAsia="Times New Roman" w:hAnsi="Arial" w:cs="Arial"/>
          <w:sz w:val="24"/>
          <w:szCs w:val="24"/>
          <w:lang w:val="en-GB"/>
        </w:rPr>
      </w:pPr>
    </w:p>
    <w:p w14:paraId="6271E1AE" w14:textId="77777777" w:rsidR="00105042" w:rsidRPr="00105042" w:rsidRDefault="00105042" w:rsidP="00105042">
      <w:pPr>
        <w:spacing w:after="0" w:line="240" w:lineRule="auto"/>
        <w:rPr>
          <w:rFonts w:ascii="Arial" w:eastAsia="Times New Roman" w:hAnsi="Arial" w:cs="Arial"/>
          <w:sz w:val="24"/>
          <w:szCs w:val="24"/>
          <w:lang w:val="en-GB"/>
        </w:rPr>
      </w:pPr>
      <w:r w:rsidRPr="00105042">
        <w:rPr>
          <w:rFonts w:ascii="Arial" w:eastAsia="Times New Roman" w:hAnsi="Arial" w:cs="Arial"/>
          <w:sz w:val="24"/>
          <w:szCs w:val="24"/>
          <w:lang w:val="en-GB"/>
        </w:rPr>
        <w:t>and</w:t>
      </w:r>
    </w:p>
    <w:p w14:paraId="45EBC2B4" w14:textId="77777777" w:rsidR="00105042" w:rsidRPr="00105042" w:rsidRDefault="00105042" w:rsidP="00105042">
      <w:pPr>
        <w:spacing w:after="0" w:line="240" w:lineRule="auto"/>
        <w:rPr>
          <w:rFonts w:ascii="Arial" w:eastAsia="Times New Roman" w:hAnsi="Arial" w:cs="Arial"/>
          <w:sz w:val="24"/>
          <w:szCs w:val="24"/>
          <w:lang w:val="en-GB"/>
        </w:rPr>
      </w:pPr>
    </w:p>
    <w:p w14:paraId="00993BDA" w14:textId="77777777" w:rsidR="00105042" w:rsidRPr="00105042" w:rsidRDefault="00105042" w:rsidP="00105042">
      <w:pPr>
        <w:spacing w:after="0" w:line="240" w:lineRule="auto"/>
        <w:rPr>
          <w:rFonts w:ascii="Arial" w:eastAsia="Times New Roman" w:hAnsi="Arial" w:cs="Arial"/>
          <w:sz w:val="24"/>
          <w:szCs w:val="24"/>
          <w:lang w:val="en-GB"/>
        </w:rPr>
      </w:pPr>
    </w:p>
    <w:p w14:paraId="1199C01D" w14:textId="77777777" w:rsidR="00105042" w:rsidRPr="00105042" w:rsidRDefault="00105042" w:rsidP="00105042">
      <w:pPr>
        <w:spacing w:after="0" w:line="240" w:lineRule="auto"/>
        <w:rPr>
          <w:rFonts w:ascii="Arial" w:eastAsia="Times New Roman" w:hAnsi="Arial" w:cs="Arial"/>
          <w:sz w:val="24"/>
          <w:szCs w:val="24"/>
          <w:lang w:val="en-GB"/>
        </w:rPr>
      </w:pPr>
      <w:r w:rsidRPr="00105042">
        <w:rPr>
          <w:rFonts w:ascii="Arial" w:eastAsia="Times New Roman" w:hAnsi="Arial" w:cs="Arial"/>
          <w:sz w:val="24"/>
          <w:szCs w:val="24"/>
          <w:lang w:val="en-GB"/>
        </w:rPr>
        <w:t>THE ROAD ACCIDENT FUND</w:t>
      </w:r>
      <w:r w:rsidRPr="00105042">
        <w:rPr>
          <w:rFonts w:ascii="Arial" w:eastAsia="Times New Roman" w:hAnsi="Arial" w:cs="Arial"/>
          <w:sz w:val="24"/>
          <w:szCs w:val="24"/>
          <w:lang w:val="en-GB"/>
        </w:rPr>
        <w:tab/>
      </w:r>
      <w:r w:rsidRPr="00105042">
        <w:rPr>
          <w:rFonts w:ascii="Arial" w:eastAsia="Times New Roman" w:hAnsi="Arial" w:cs="Arial"/>
          <w:sz w:val="24"/>
          <w:szCs w:val="24"/>
          <w:lang w:val="en-GB"/>
        </w:rPr>
        <w:tab/>
      </w:r>
      <w:r w:rsidRPr="00105042">
        <w:rPr>
          <w:rFonts w:ascii="Arial" w:eastAsia="Times New Roman" w:hAnsi="Arial" w:cs="Arial"/>
          <w:sz w:val="24"/>
          <w:szCs w:val="24"/>
          <w:lang w:val="en-GB"/>
        </w:rPr>
        <w:tab/>
      </w:r>
      <w:r w:rsidRPr="00105042">
        <w:rPr>
          <w:rFonts w:ascii="Arial" w:eastAsia="Times New Roman" w:hAnsi="Arial" w:cs="Arial"/>
          <w:sz w:val="24"/>
          <w:szCs w:val="24"/>
          <w:lang w:val="en-GB"/>
        </w:rPr>
        <w:tab/>
      </w:r>
      <w:r w:rsidRPr="00105042">
        <w:rPr>
          <w:rFonts w:ascii="Arial" w:eastAsia="Times New Roman" w:hAnsi="Arial" w:cs="Arial"/>
          <w:sz w:val="24"/>
          <w:szCs w:val="24"/>
          <w:lang w:val="en-GB"/>
        </w:rPr>
        <w:tab/>
      </w:r>
      <w:r w:rsidRPr="00105042">
        <w:rPr>
          <w:rFonts w:ascii="Arial" w:eastAsia="Times New Roman" w:hAnsi="Arial" w:cs="Arial"/>
          <w:sz w:val="24"/>
          <w:szCs w:val="24"/>
          <w:lang w:val="en-GB"/>
        </w:rPr>
        <w:tab/>
        <w:t>Defendant</w:t>
      </w:r>
    </w:p>
    <w:p w14:paraId="526BC891" w14:textId="77777777" w:rsidR="00105042" w:rsidRPr="00105042" w:rsidRDefault="00105042" w:rsidP="00105042">
      <w:pPr>
        <w:spacing w:after="0" w:line="240" w:lineRule="auto"/>
        <w:rPr>
          <w:rFonts w:ascii="Arial" w:eastAsia="Times New Roman" w:hAnsi="Arial" w:cs="Arial"/>
          <w:sz w:val="24"/>
          <w:szCs w:val="24"/>
          <w:lang w:val="en-GB"/>
        </w:rPr>
      </w:pPr>
    </w:p>
    <w:p w14:paraId="1865275F" w14:textId="77777777" w:rsidR="00105042" w:rsidRPr="00105042" w:rsidRDefault="00105042" w:rsidP="00105042">
      <w:pPr>
        <w:spacing w:after="0" w:line="480" w:lineRule="auto"/>
        <w:rPr>
          <w:rFonts w:ascii="Arial" w:eastAsia="Times New Roman" w:hAnsi="Arial" w:cs="Times New Roman"/>
          <w:b/>
          <w:bCs/>
          <w:sz w:val="24"/>
          <w:szCs w:val="24"/>
          <w:lang w:val="en-GB"/>
        </w:rPr>
      </w:pPr>
    </w:p>
    <w:p w14:paraId="7BA4349C" w14:textId="77777777" w:rsidR="00105042" w:rsidRPr="00105042" w:rsidRDefault="00105042" w:rsidP="00105042">
      <w:pPr>
        <w:spacing w:after="0" w:line="480" w:lineRule="auto"/>
        <w:rPr>
          <w:rFonts w:ascii="Arial" w:eastAsia="Times New Roman" w:hAnsi="Arial" w:cs="Times New Roman"/>
          <w:sz w:val="24"/>
          <w:szCs w:val="24"/>
          <w:lang w:val="en-GB"/>
        </w:rPr>
      </w:pPr>
      <w:r w:rsidRPr="00105042">
        <w:rPr>
          <w:rFonts w:ascii="Arial" w:eastAsia="Times New Roman" w:hAnsi="Arial" w:cs="Times New Roman"/>
          <w:b/>
          <w:bCs/>
          <w:sz w:val="24"/>
          <w:szCs w:val="24"/>
          <w:lang w:val="en-GB"/>
        </w:rPr>
        <w:t>Coram</w:t>
      </w:r>
      <w:r w:rsidRPr="00105042">
        <w:rPr>
          <w:rFonts w:ascii="Arial" w:eastAsia="Times New Roman" w:hAnsi="Arial" w:cs="Times New Roman"/>
          <w:sz w:val="24"/>
          <w:szCs w:val="24"/>
          <w:lang w:val="en-GB"/>
        </w:rPr>
        <w:t>:</w:t>
      </w:r>
      <w:r w:rsidRPr="00105042">
        <w:rPr>
          <w:rFonts w:ascii="Arial" w:eastAsia="Times New Roman" w:hAnsi="Arial" w:cs="Times New Roman"/>
          <w:sz w:val="24"/>
          <w:szCs w:val="24"/>
          <w:lang w:val="en-GB"/>
        </w:rPr>
        <w:tab/>
      </w:r>
      <w:r w:rsidRPr="00105042">
        <w:rPr>
          <w:rFonts w:ascii="Arial" w:eastAsia="Times New Roman" w:hAnsi="Arial" w:cs="Times New Roman"/>
          <w:sz w:val="24"/>
          <w:szCs w:val="24"/>
          <w:lang w:val="en-GB"/>
        </w:rPr>
        <w:tab/>
        <w:t>FHH KEHRHAHN (AJ)</w:t>
      </w:r>
    </w:p>
    <w:p w14:paraId="6583415A" w14:textId="77777777" w:rsidR="00105042" w:rsidRPr="00105042" w:rsidRDefault="00105042" w:rsidP="00105042">
      <w:pPr>
        <w:spacing w:after="0" w:line="480" w:lineRule="auto"/>
        <w:rPr>
          <w:rFonts w:ascii="Arial" w:eastAsia="Times New Roman" w:hAnsi="Arial" w:cs="Times New Roman"/>
          <w:sz w:val="24"/>
          <w:szCs w:val="24"/>
          <w:lang w:val="en-GB"/>
        </w:rPr>
      </w:pPr>
    </w:p>
    <w:p w14:paraId="77F18FE2" w14:textId="64E44EA4" w:rsidR="00105042" w:rsidRPr="00105042" w:rsidRDefault="00105042" w:rsidP="00A01CDD">
      <w:pPr>
        <w:spacing w:after="0" w:line="480" w:lineRule="auto"/>
        <w:rPr>
          <w:rFonts w:ascii="Arial" w:eastAsia="Times New Roman" w:hAnsi="Arial" w:cs="Times New Roman"/>
          <w:sz w:val="24"/>
          <w:szCs w:val="24"/>
          <w:lang w:val="en-GB"/>
        </w:rPr>
      </w:pPr>
      <w:r w:rsidRPr="00105042">
        <w:rPr>
          <w:rFonts w:ascii="Arial" w:eastAsia="Times New Roman" w:hAnsi="Arial" w:cs="Times New Roman"/>
          <w:b/>
          <w:bCs/>
          <w:sz w:val="24"/>
          <w:szCs w:val="24"/>
          <w:lang w:val="en-GB"/>
        </w:rPr>
        <w:t>Heard</w:t>
      </w:r>
      <w:r w:rsidRPr="00105042">
        <w:rPr>
          <w:rFonts w:ascii="Arial" w:eastAsia="Times New Roman" w:hAnsi="Arial" w:cs="Times New Roman"/>
          <w:sz w:val="24"/>
          <w:szCs w:val="24"/>
          <w:lang w:val="en-GB"/>
        </w:rPr>
        <w:t>:</w:t>
      </w:r>
      <w:r w:rsidRPr="00105042">
        <w:rPr>
          <w:rFonts w:ascii="Arial" w:eastAsia="Times New Roman" w:hAnsi="Arial" w:cs="Times New Roman"/>
          <w:sz w:val="24"/>
          <w:szCs w:val="24"/>
          <w:lang w:val="en-GB"/>
        </w:rPr>
        <w:tab/>
      </w:r>
      <w:r w:rsidRPr="00105042">
        <w:rPr>
          <w:rFonts w:ascii="Arial" w:eastAsia="Times New Roman" w:hAnsi="Arial" w:cs="Times New Roman"/>
          <w:sz w:val="24"/>
          <w:szCs w:val="24"/>
          <w:lang w:val="en-GB"/>
        </w:rPr>
        <w:tab/>
      </w:r>
      <w:r w:rsidR="00D913D1">
        <w:rPr>
          <w:rFonts w:ascii="Arial" w:eastAsia="Times New Roman" w:hAnsi="Arial" w:cs="Times New Roman"/>
          <w:sz w:val="24"/>
          <w:szCs w:val="24"/>
          <w:lang w:val="en-GB"/>
        </w:rPr>
        <w:t>20</w:t>
      </w:r>
      <w:r w:rsidRPr="00105042">
        <w:rPr>
          <w:rFonts w:ascii="Arial" w:eastAsia="Times New Roman" w:hAnsi="Arial" w:cs="Times New Roman"/>
          <w:sz w:val="24"/>
          <w:szCs w:val="24"/>
          <w:lang w:val="en-GB"/>
        </w:rPr>
        <w:t xml:space="preserve"> June 2023</w:t>
      </w:r>
      <w:r w:rsidRPr="00105042">
        <w:rPr>
          <w:rFonts w:ascii="Arial" w:eastAsia="Times New Roman" w:hAnsi="Arial" w:cs="Times New Roman"/>
          <w:sz w:val="24"/>
          <w:szCs w:val="24"/>
          <w:lang w:val="en-GB"/>
        </w:rPr>
        <w:tab/>
      </w:r>
      <w:r w:rsidRPr="00105042">
        <w:rPr>
          <w:rFonts w:ascii="Arial" w:eastAsia="Times New Roman" w:hAnsi="Arial" w:cs="Times New Roman"/>
          <w:sz w:val="24"/>
          <w:szCs w:val="24"/>
          <w:lang w:val="en-GB"/>
        </w:rPr>
        <w:tab/>
      </w:r>
    </w:p>
    <w:p w14:paraId="37F54D73" w14:textId="69E02693" w:rsidR="00105042" w:rsidRPr="00105042" w:rsidRDefault="00105042" w:rsidP="00105042">
      <w:pPr>
        <w:keepNext/>
        <w:pBdr>
          <w:bottom w:val="single" w:sz="12" w:space="1" w:color="auto"/>
        </w:pBdr>
        <w:tabs>
          <w:tab w:val="center" w:pos="4680"/>
        </w:tabs>
        <w:spacing w:after="0" w:line="480" w:lineRule="auto"/>
        <w:outlineLvl w:val="0"/>
        <w:rPr>
          <w:rFonts w:ascii="Arial" w:eastAsia="Times New Roman" w:hAnsi="Arial" w:cs="Times New Roman"/>
          <w:b/>
          <w:bCs/>
          <w:sz w:val="24"/>
          <w:szCs w:val="24"/>
          <w:u w:val="single"/>
          <w:lang w:val="en-GB"/>
        </w:rPr>
      </w:pPr>
    </w:p>
    <w:p w14:paraId="58A8FB22" w14:textId="77777777" w:rsidR="00105042" w:rsidRPr="00105042" w:rsidRDefault="00105042" w:rsidP="00105042">
      <w:pPr>
        <w:rPr>
          <w:lang w:val="en-GB"/>
        </w:rPr>
      </w:pPr>
    </w:p>
    <w:p w14:paraId="65B736B1" w14:textId="77777777" w:rsidR="00105042" w:rsidRPr="00105042" w:rsidRDefault="00105042" w:rsidP="00105042">
      <w:pPr>
        <w:pBdr>
          <w:bottom w:val="single" w:sz="12" w:space="1" w:color="auto"/>
        </w:pBdr>
        <w:jc w:val="center"/>
        <w:rPr>
          <w:rFonts w:asciiTheme="minorBidi" w:hAnsiTheme="minorBidi"/>
          <w:b/>
          <w:bCs/>
          <w:sz w:val="24"/>
          <w:szCs w:val="24"/>
          <w:lang w:val="en-GB"/>
        </w:rPr>
      </w:pPr>
      <w:r w:rsidRPr="00105042">
        <w:rPr>
          <w:rFonts w:asciiTheme="minorBidi" w:hAnsiTheme="minorBidi"/>
          <w:b/>
          <w:bCs/>
          <w:sz w:val="24"/>
          <w:szCs w:val="24"/>
          <w:lang w:val="en-GB"/>
        </w:rPr>
        <w:t>ORDER</w:t>
      </w:r>
    </w:p>
    <w:p w14:paraId="40BA215B" w14:textId="77777777" w:rsidR="00105042" w:rsidRPr="00105042" w:rsidRDefault="00105042" w:rsidP="00105042">
      <w:pPr>
        <w:pBdr>
          <w:bottom w:val="single" w:sz="12" w:space="1" w:color="auto"/>
        </w:pBdr>
        <w:rPr>
          <w:lang w:val="en-GB"/>
        </w:rPr>
      </w:pPr>
    </w:p>
    <w:p w14:paraId="3F9E7FF8" w14:textId="77777777" w:rsidR="00105042" w:rsidRPr="00105042" w:rsidRDefault="00105042" w:rsidP="00105042">
      <w:pPr>
        <w:rPr>
          <w:lang w:val="en-GB"/>
        </w:rPr>
      </w:pPr>
    </w:p>
    <w:p w14:paraId="1E22919B" w14:textId="535C40FB" w:rsidR="00105042" w:rsidRPr="009F1B50" w:rsidRDefault="00E168A7" w:rsidP="00AF6DDF">
      <w:pPr>
        <w:numPr>
          <w:ilvl w:val="0"/>
          <w:numId w:val="2"/>
        </w:numPr>
        <w:spacing w:after="0" w:line="480" w:lineRule="auto"/>
        <w:contextualSpacing/>
        <w:jc w:val="both"/>
        <w:rPr>
          <w:rFonts w:ascii="Arial" w:eastAsia="Times New Roman" w:hAnsi="Arial" w:cs="Times New Roman"/>
          <w:sz w:val="24"/>
          <w:szCs w:val="24"/>
          <w:lang w:val="en-GB"/>
        </w:rPr>
      </w:pPr>
      <w:bookmarkStart w:id="0" w:name="_Hlk145014069"/>
      <w:r w:rsidRPr="009F1B50">
        <w:rPr>
          <w:rFonts w:ascii="Arial" w:eastAsia="Times New Roman" w:hAnsi="Arial" w:cs="Times New Roman"/>
          <w:sz w:val="24"/>
          <w:szCs w:val="24"/>
          <w:lang w:val="en-GB"/>
        </w:rPr>
        <w:t xml:space="preserve">The Defendant is ordered to pay 100% of the Plaintiff’s proven or agreed damages. </w:t>
      </w:r>
    </w:p>
    <w:p w14:paraId="341FDA02" w14:textId="69FB9A5B" w:rsidR="00E168A7" w:rsidRDefault="00E168A7" w:rsidP="00AF6DDF">
      <w:pPr>
        <w:numPr>
          <w:ilvl w:val="0"/>
          <w:numId w:val="2"/>
        </w:numPr>
        <w:spacing w:after="0" w:line="480" w:lineRule="auto"/>
        <w:contextualSpacing/>
        <w:jc w:val="both"/>
        <w:rPr>
          <w:rFonts w:ascii="Arial" w:eastAsia="Times New Roman" w:hAnsi="Arial" w:cs="Times New Roman"/>
          <w:sz w:val="24"/>
          <w:szCs w:val="24"/>
          <w:lang w:val="en-GB"/>
        </w:rPr>
      </w:pPr>
      <w:r w:rsidRPr="00A82B3F">
        <w:rPr>
          <w:rFonts w:ascii="Arial" w:eastAsia="Times New Roman" w:hAnsi="Arial" w:cs="Times New Roman"/>
          <w:sz w:val="24"/>
          <w:szCs w:val="24"/>
          <w:lang w:val="en-GB"/>
        </w:rPr>
        <w:t>The Defendant is ordered to provide the Plaintiff, within 10 days of this order, with a section 17(4)(a) undertaking</w:t>
      </w:r>
      <w:r w:rsidR="00A82B3F">
        <w:rPr>
          <w:rFonts w:ascii="Arial" w:eastAsia="Times New Roman" w:hAnsi="Arial" w:cs="Times New Roman"/>
          <w:sz w:val="24"/>
          <w:szCs w:val="24"/>
          <w:lang w:val="en-GB"/>
        </w:rPr>
        <w:t>, which adopts the word</w:t>
      </w:r>
      <w:r w:rsidR="00745439">
        <w:rPr>
          <w:rFonts w:ascii="Arial" w:eastAsia="Times New Roman" w:hAnsi="Arial" w:cs="Times New Roman"/>
          <w:sz w:val="24"/>
          <w:szCs w:val="24"/>
          <w:lang w:val="en-GB"/>
        </w:rPr>
        <w:t>ing</w:t>
      </w:r>
      <w:r w:rsidR="00A82B3F">
        <w:rPr>
          <w:rFonts w:ascii="Arial" w:eastAsia="Times New Roman" w:hAnsi="Arial" w:cs="Times New Roman"/>
          <w:sz w:val="24"/>
          <w:szCs w:val="24"/>
          <w:lang w:val="en-GB"/>
        </w:rPr>
        <w:t xml:space="preserve"> </w:t>
      </w:r>
      <w:r w:rsidR="00745439">
        <w:rPr>
          <w:rFonts w:ascii="Arial" w:eastAsia="Times New Roman" w:hAnsi="Arial" w:cs="Times New Roman"/>
          <w:sz w:val="24"/>
          <w:szCs w:val="24"/>
          <w:lang w:val="en-GB"/>
        </w:rPr>
        <w:t>of</w:t>
      </w:r>
      <w:r w:rsidR="00A82B3F">
        <w:rPr>
          <w:rFonts w:ascii="Arial" w:eastAsia="Times New Roman" w:hAnsi="Arial" w:cs="Times New Roman"/>
          <w:sz w:val="24"/>
          <w:szCs w:val="24"/>
          <w:lang w:val="en-GB"/>
        </w:rPr>
        <w:t xml:space="preserve"> </w:t>
      </w:r>
      <w:r w:rsidR="00745439">
        <w:rPr>
          <w:rFonts w:ascii="Arial" w:eastAsia="Times New Roman" w:hAnsi="Arial" w:cs="Times New Roman"/>
          <w:sz w:val="24"/>
          <w:szCs w:val="24"/>
          <w:lang w:val="en-GB"/>
        </w:rPr>
        <w:t>s</w:t>
      </w:r>
      <w:r w:rsidR="00A82B3F">
        <w:rPr>
          <w:rFonts w:ascii="Arial" w:eastAsia="Times New Roman" w:hAnsi="Arial" w:cs="Times New Roman"/>
          <w:sz w:val="24"/>
          <w:szCs w:val="24"/>
          <w:lang w:val="en-GB"/>
        </w:rPr>
        <w:t xml:space="preserve">17(4)(a) </w:t>
      </w:r>
      <w:r w:rsidR="00745439">
        <w:rPr>
          <w:rFonts w:ascii="Arial" w:eastAsia="Times New Roman" w:hAnsi="Arial" w:cs="Times New Roman"/>
          <w:sz w:val="24"/>
          <w:szCs w:val="24"/>
          <w:lang w:val="en-GB"/>
        </w:rPr>
        <w:t>o</w:t>
      </w:r>
      <w:r w:rsidR="00A82B3F">
        <w:rPr>
          <w:rFonts w:ascii="Arial" w:eastAsia="Times New Roman" w:hAnsi="Arial" w:cs="Times New Roman"/>
          <w:sz w:val="24"/>
          <w:szCs w:val="24"/>
          <w:lang w:val="en-GB"/>
        </w:rPr>
        <w:t>f</w:t>
      </w:r>
      <w:r w:rsidRPr="00A82B3F">
        <w:rPr>
          <w:rFonts w:ascii="Arial" w:eastAsia="Times New Roman" w:hAnsi="Arial" w:cs="Times New Roman"/>
          <w:sz w:val="24"/>
          <w:szCs w:val="24"/>
          <w:lang w:val="en-GB"/>
        </w:rPr>
        <w:t xml:space="preserve"> </w:t>
      </w:r>
      <w:r w:rsidR="00745439">
        <w:rPr>
          <w:rFonts w:ascii="Arial" w:eastAsia="Times New Roman" w:hAnsi="Arial" w:cs="Times New Roman"/>
          <w:sz w:val="24"/>
          <w:szCs w:val="24"/>
          <w:lang w:val="en-GB"/>
        </w:rPr>
        <w:t xml:space="preserve">the </w:t>
      </w:r>
      <w:r w:rsidRPr="00A82B3F">
        <w:rPr>
          <w:rFonts w:ascii="Arial" w:eastAsia="Times New Roman" w:hAnsi="Arial" w:cs="Times New Roman"/>
          <w:sz w:val="24"/>
          <w:szCs w:val="24"/>
          <w:lang w:val="en-GB"/>
        </w:rPr>
        <w:t xml:space="preserve">Road Accident Fund Act 56 of 1996 (as amended). </w:t>
      </w:r>
    </w:p>
    <w:p w14:paraId="6FA4A447" w14:textId="333AB1D8" w:rsidR="00090181" w:rsidRDefault="00106DC7" w:rsidP="00AF6DDF">
      <w:pPr>
        <w:numPr>
          <w:ilvl w:val="0"/>
          <w:numId w:val="2"/>
        </w:numPr>
        <w:spacing w:after="0" w:line="480" w:lineRule="auto"/>
        <w:contextualSpacing/>
        <w:jc w:val="both"/>
        <w:rPr>
          <w:rFonts w:ascii="Arial" w:eastAsia="Times New Roman" w:hAnsi="Arial" w:cs="Times New Roman"/>
          <w:sz w:val="24"/>
          <w:szCs w:val="24"/>
          <w:lang w:val="en-GB"/>
        </w:rPr>
      </w:pPr>
      <w:r>
        <w:rPr>
          <w:rFonts w:ascii="Arial" w:eastAsia="Times New Roman" w:hAnsi="Arial" w:cs="Times New Roman"/>
          <w:sz w:val="24"/>
          <w:szCs w:val="24"/>
          <w:lang w:val="en-GB"/>
        </w:rPr>
        <w:t>The Plaintiff’s claim for past and future loss of income is dismissed.</w:t>
      </w:r>
    </w:p>
    <w:p w14:paraId="13D83670" w14:textId="441F935A" w:rsidR="00090181" w:rsidRPr="00A82B3F" w:rsidRDefault="00090181" w:rsidP="00AF6DDF">
      <w:pPr>
        <w:numPr>
          <w:ilvl w:val="0"/>
          <w:numId w:val="2"/>
        </w:numPr>
        <w:spacing w:after="0" w:line="480" w:lineRule="auto"/>
        <w:contextualSpacing/>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The Plaintiff’s claim for general damages is postponed </w:t>
      </w:r>
      <w:r w:rsidRPr="00090181">
        <w:rPr>
          <w:rFonts w:ascii="Arial" w:eastAsia="Times New Roman" w:hAnsi="Arial" w:cs="Times New Roman"/>
          <w:i/>
          <w:iCs/>
          <w:sz w:val="24"/>
          <w:szCs w:val="24"/>
          <w:lang w:val="en-GB"/>
        </w:rPr>
        <w:t>sine die</w:t>
      </w:r>
      <w:r>
        <w:rPr>
          <w:rFonts w:ascii="Arial" w:eastAsia="Times New Roman" w:hAnsi="Arial" w:cs="Times New Roman"/>
          <w:sz w:val="24"/>
          <w:szCs w:val="24"/>
          <w:lang w:val="en-GB"/>
        </w:rPr>
        <w:t>.</w:t>
      </w:r>
    </w:p>
    <w:p w14:paraId="30284477" w14:textId="7C24DA93" w:rsidR="00E168A7" w:rsidRPr="00090181" w:rsidRDefault="00E168A7" w:rsidP="00AF6DDF">
      <w:pPr>
        <w:numPr>
          <w:ilvl w:val="0"/>
          <w:numId w:val="2"/>
        </w:numPr>
        <w:spacing w:after="0" w:line="480" w:lineRule="auto"/>
        <w:contextualSpacing/>
        <w:jc w:val="both"/>
        <w:rPr>
          <w:rFonts w:ascii="Arial" w:eastAsia="Times New Roman" w:hAnsi="Arial" w:cs="Times New Roman"/>
          <w:sz w:val="24"/>
          <w:szCs w:val="24"/>
          <w:lang w:val="en-GB"/>
        </w:rPr>
      </w:pPr>
      <w:r w:rsidRPr="00090181">
        <w:rPr>
          <w:rFonts w:ascii="Arial" w:eastAsia="Times New Roman" w:hAnsi="Arial" w:cs="Times New Roman"/>
          <w:sz w:val="24"/>
          <w:szCs w:val="24"/>
          <w:lang w:val="en-GB"/>
        </w:rPr>
        <w:t xml:space="preserve">The Defendant is ordered to pay the Plaintiff’s party and party High Court costs, including the cost of experts employed and the cost of counsel. </w:t>
      </w:r>
    </w:p>
    <w:bookmarkEnd w:id="0"/>
    <w:p w14:paraId="2F38AD85" w14:textId="77777777" w:rsidR="00105042" w:rsidRPr="00105042" w:rsidRDefault="00105042" w:rsidP="00105042">
      <w:pPr>
        <w:keepNext/>
        <w:pBdr>
          <w:bottom w:val="single" w:sz="12" w:space="1" w:color="auto"/>
        </w:pBdr>
        <w:tabs>
          <w:tab w:val="center" w:pos="4680"/>
        </w:tabs>
        <w:spacing w:after="0" w:line="480" w:lineRule="auto"/>
        <w:outlineLvl w:val="0"/>
        <w:rPr>
          <w:rFonts w:ascii="Arial" w:eastAsia="Times New Roman" w:hAnsi="Arial" w:cs="Times New Roman"/>
          <w:b/>
          <w:bCs/>
          <w:sz w:val="24"/>
          <w:szCs w:val="24"/>
          <w:u w:val="single"/>
          <w:lang w:val="en-GB"/>
        </w:rPr>
      </w:pPr>
    </w:p>
    <w:p w14:paraId="2C65825D" w14:textId="77777777" w:rsidR="00105042" w:rsidRPr="00105042" w:rsidRDefault="00105042" w:rsidP="00105042">
      <w:pPr>
        <w:rPr>
          <w:lang w:val="en-GB"/>
        </w:rPr>
      </w:pPr>
    </w:p>
    <w:p w14:paraId="4D46E25B" w14:textId="77777777" w:rsidR="00105042" w:rsidRPr="00105042" w:rsidRDefault="00105042" w:rsidP="00105042">
      <w:pPr>
        <w:pBdr>
          <w:bottom w:val="single" w:sz="12" w:space="1" w:color="auto"/>
        </w:pBdr>
        <w:jc w:val="center"/>
        <w:rPr>
          <w:rFonts w:asciiTheme="minorBidi" w:hAnsiTheme="minorBidi"/>
          <w:b/>
          <w:bCs/>
          <w:sz w:val="24"/>
          <w:szCs w:val="24"/>
          <w:lang w:val="en-GB"/>
        </w:rPr>
      </w:pPr>
      <w:r w:rsidRPr="00105042">
        <w:rPr>
          <w:rFonts w:asciiTheme="minorBidi" w:hAnsiTheme="minorBidi"/>
          <w:b/>
          <w:bCs/>
          <w:sz w:val="24"/>
          <w:szCs w:val="24"/>
          <w:lang w:val="en-GB"/>
        </w:rPr>
        <w:t>JUDGEMENT</w:t>
      </w:r>
    </w:p>
    <w:p w14:paraId="33669C38" w14:textId="77777777" w:rsidR="00105042" w:rsidRPr="00105042" w:rsidRDefault="00105042" w:rsidP="00105042">
      <w:pPr>
        <w:pBdr>
          <w:bottom w:val="single" w:sz="12" w:space="1" w:color="auto"/>
        </w:pBdr>
        <w:rPr>
          <w:lang w:val="en-GB"/>
        </w:rPr>
      </w:pPr>
    </w:p>
    <w:p w14:paraId="0283DE0C" w14:textId="77777777" w:rsidR="00105042" w:rsidRPr="00105042" w:rsidRDefault="00105042" w:rsidP="00105042">
      <w:pPr>
        <w:rPr>
          <w:lang w:val="en-GB"/>
        </w:rPr>
      </w:pPr>
    </w:p>
    <w:p w14:paraId="0ECE1C7F" w14:textId="03FAC05D" w:rsidR="00105042" w:rsidRDefault="00105042" w:rsidP="00E168A7">
      <w:pPr>
        <w:rPr>
          <w:rFonts w:asciiTheme="minorBidi" w:hAnsiTheme="minorBidi"/>
          <w:b/>
          <w:bCs/>
          <w:sz w:val="24"/>
          <w:szCs w:val="24"/>
          <w:lang w:val="en-GB"/>
        </w:rPr>
      </w:pPr>
      <w:r w:rsidRPr="00105042">
        <w:rPr>
          <w:rFonts w:asciiTheme="minorBidi" w:hAnsiTheme="minorBidi"/>
          <w:b/>
          <w:bCs/>
          <w:sz w:val="24"/>
          <w:szCs w:val="24"/>
          <w:lang w:val="en-GB"/>
        </w:rPr>
        <w:t>Coram:</w:t>
      </w:r>
      <w:r w:rsidRPr="00105042">
        <w:rPr>
          <w:rFonts w:asciiTheme="minorBidi" w:hAnsiTheme="minorBidi"/>
          <w:b/>
          <w:bCs/>
          <w:sz w:val="24"/>
          <w:szCs w:val="24"/>
          <w:lang w:val="en-GB"/>
        </w:rPr>
        <w:tab/>
        <w:t>KEHRHAHN AJ</w:t>
      </w:r>
    </w:p>
    <w:p w14:paraId="2BF1F04D" w14:textId="77777777" w:rsidR="00A01CDD" w:rsidRPr="00E168A7" w:rsidRDefault="00A01CDD" w:rsidP="00E168A7">
      <w:pPr>
        <w:rPr>
          <w:rFonts w:asciiTheme="minorBidi" w:hAnsiTheme="minorBidi"/>
          <w:b/>
          <w:bCs/>
          <w:sz w:val="24"/>
          <w:szCs w:val="24"/>
          <w:lang w:val="en-GB"/>
        </w:rPr>
      </w:pPr>
    </w:p>
    <w:p w14:paraId="1427DCAD" w14:textId="6B0D09F8" w:rsidR="00105042" w:rsidRPr="00745439" w:rsidRDefault="00105042" w:rsidP="00745439">
      <w:pPr>
        <w:spacing w:line="480" w:lineRule="auto"/>
        <w:rPr>
          <w:rFonts w:ascii="Arial" w:eastAsia="Times New Roman" w:hAnsi="Arial" w:cs="Times New Roman"/>
          <w:b/>
          <w:bCs/>
          <w:sz w:val="24"/>
          <w:szCs w:val="24"/>
          <w:lang w:val="en-GB"/>
        </w:rPr>
      </w:pPr>
      <w:r w:rsidRPr="00105042">
        <w:rPr>
          <w:rFonts w:asciiTheme="minorBidi" w:hAnsiTheme="minorBidi"/>
          <w:b/>
          <w:bCs/>
          <w:sz w:val="24"/>
          <w:szCs w:val="24"/>
          <w:lang w:val="en-GB"/>
        </w:rPr>
        <w:t>Introduction</w:t>
      </w:r>
      <w:r w:rsidR="00745439">
        <w:rPr>
          <w:rFonts w:asciiTheme="minorBidi" w:hAnsiTheme="minorBidi"/>
          <w:b/>
          <w:bCs/>
          <w:sz w:val="24"/>
          <w:szCs w:val="24"/>
          <w:lang w:val="en-GB"/>
        </w:rPr>
        <w:t xml:space="preserve">: </w:t>
      </w:r>
      <w:r w:rsidR="00745439" w:rsidRPr="00105042">
        <w:rPr>
          <w:rFonts w:ascii="Arial" w:eastAsia="Times New Roman" w:hAnsi="Arial" w:cs="Times New Roman"/>
          <w:b/>
          <w:bCs/>
          <w:sz w:val="24"/>
          <w:szCs w:val="24"/>
          <w:lang w:val="en-GB"/>
        </w:rPr>
        <w:t>The Defendant’s default</w:t>
      </w:r>
    </w:p>
    <w:p w14:paraId="58499696" w14:textId="44E3A53E" w:rsidR="00105042" w:rsidRPr="00745439" w:rsidRDefault="00105042" w:rsidP="00AF6DDF">
      <w:pPr>
        <w:pStyle w:val="ListParagraph"/>
        <w:numPr>
          <w:ilvl w:val="0"/>
          <w:numId w:val="3"/>
        </w:numPr>
        <w:spacing w:after="0" w:line="480" w:lineRule="auto"/>
        <w:jc w:val="both"/>
        <w:rPr>
          <w:rFonts w:ascii="Arial" w:eastAsia="Times New Roman" w:hAnsi="Arial" w:cs="Times New Roman"/>
          <w:sz w:val="24"/>
          <w:szCs w:val="24"/>
          <w:lang w:val="en-GB"/>
        </w:rPr>
      </w:pPr>
      <w:r w:rsidRPr="00745439">
        <w:rPr>
          <w:rFonts w:ascii="Arial" w:eastAsia="Times New Roman" w:hAnsi="Arial" w:cs="Times New Roman"/>
          <w:sz w:val="24"/>
          <w:szCs w:val="24"/>
          <w:lang w:val="en-GB"/>
        </w:rPr>
        <w:t xml:space="preserve">The Plaintiff instituted action against the Defendant in terms of section 17 of the Road Accident Fund Act 56 of 1996, as amended </w:t>
      </w:r>
      <w:r w:rsidRPr="00745439">
        <w:rPr>
          <w:rFonts w:ascii="Arial" w:eastAsia="Calibri" w:hAnsi="Arial" w:cs="Arial"/>
          <w:sz w:val="24"/>
          <w:szCs w:val="24"/>
          <w:lang w:val="en-US"/>
        </w:rPr>
        <w:t>(‘the Act’)</w:t>
      </w:r>
      <w:r w:rsidRPr="00745439">
        <w:rPr>
          <w:rFonts w:ascii="Arial" w:eastAsia="Times New Roman" w:hAnsi="Arial" w:cs="Times New Roman"/>
          <w:sz w:val="24"/>
          <w:szCs w:val="24"/>
          <w:lang w:val="en-GB"/>
        </w:rPr>
        <w:t>, pursuant to injuries suffered by the Plaintiff in a motor vehicle accident</w:t>
      </w:r>
      <w:r w:rsidR="002B3DF0" w:rsidRPr="00745439">
        <w:rPr>
          <w:rFonts w:ascii="Arial" w:eastAsia="Times New Roman" w:hAnsi="Arial" w:cs="Times New Roman"/>
          <w:sz w:val="24"/>
          <w:szCs w:val="24"/>
          <w:lang w:val="en-GB"/>
        </w:rPr>
        <w:t>.</w:t>
      </w:r>
    </w:p>
    <w:p w14:paraId="1A22EC1C" w14:textId="77777777" w:rsidR="00105042" w:rsidRPr="00105042" w:rsidRDefault="00105042" w:rsidP="00105042">
      <w:pPr>
        <w:spacing w:after="0" w:line="480" w:lineRule="auto"/>
        <w:ind w:left="720"/>
        <w:contextualSpacing/>
        <w:jc w:val="both"/>
        <w:rPr>
          <w:rFonts w:ascii="Arial" w:eastAsia="Times New Roman" w:hAnsi="Arial" w:cs="Times New Roman"/>
          <w:sz w:val="24"/>
          <w:szCs w:val="24"/>
          <w:lang w:val="en-GB"/>
        </w:rPr>
      </w:pPr>
    </w:p>
    <w:p w14:paraId="4EA3A007" w14:textId="3D8232BD" w:rsidR="00105042" w:rsidRPr="00EF71AF" w:rsidRDefault="00105042" w:rsidP="00AF6DDF">
      <w:pPr>
        <w:numPr>
          <w:ilvl w:val="0"/>
          <w:numId w:val="3"/>
        </w:numPr>
        <w:spacing w:line="480" w:lineRule="auto"/>
        <w:contextualSpacing/>
        <w:jc w:val="both"/>
        <w:rPr>
          <w:rFonts w:ascii="Arial" w:eastAsia="Times New Roman" w:hAnsi="Arial" w:cs="Arial"/>
          <w:sz w:val="24"/>
          <w:szCs w:val="24"/>
          <w:lang w:eastAsia="en-ZA"/>
        </w:rPr>
      </w:pPr>
      <w:r w:rsidRPr="00105042">
        <w:rPr>
          <w:rFonts w:ascii="Arial" w:eastAsia="Calibri" w:hAnsi="Arial" w:cs="Arial"/>
          <w:bCs/>
          <w:sz w:val="24"/>
          <w:szCs w:val="24"/>
          <w:lang w:val="en-US"/>
        </w:rPr>
        <w:lastRenderedPageBreak/>
        <w:t>The Defendant</w:t>
      </w:r>
      <w:r w:rsidR="006C63B1">
        <w:rPr>
          <w:rFonts w:ascii="Arial" w:eastAsia="Calibri" w:hAnsi="Arial" w:cs="Arial"/>
          <w:bCs/>
          <w:sz w:val="24"/>
          <w:szCs w:val="24"/>
          <w:lang w:val="en-US"/>
        </w:rPr>
        <w:t xml:space="preserve">, </w:t>
      </w:r>
      <w:r w:rsidRPr="00105042">
        <w:rPr>
          <w:rFonts w:ascii="Arial" w:eastAsia="Calibri" w:hAnsi="Arial" w:cs="Arial"/>
          <w:bCs/>
          <w:sz w:val="24"/>
          <w:szCs w:val="24"/>
          <w:lang w:val="en-US"/>
        </w:rPr>
        <w:t>the Road Accident Fund</w:t>
      </w:r>
      <w:r w:rsidRPr="00105042">
        <w:rPr>
          <w:rFonts w:ascii="Arial" w:eastAsia="Calibri" w:hAnsi="Arial" w:cs="Arial"/>
          <w:b/>
          <w:sz w:val="24"/>
          <w:szCs w:val="24"/>
          <w:lang w:val="en-US"/>
        </w:rPr>
        <w:t xml:space="preserve">, </w:t>
      </w:r>
      <w:r w:rsidRPr="00105042">
        <w:rPr>
          <w:rFonts w:ascii="Arial" w:eastAsia="Calibri" w:hAnsi="Arial" w:cs="Arial"/>
          <w:sz w:val="24"/>
          <w:szCs w:val="24"/>
          <w:lang w:val="en-US"/>
        </w:rPr>
        <w:t>a juristic person established in terms of the Act</w:t>
      </w:r>
      <w:r w:rsidR="006C63B1">
        <w:rPr>
          <w:rFonts w:ascii="Arial" w:eastAsia="Calibri" w:hAnsi="Arial" w:cs="Arial"/>
          <w:sz w:val="24"/>
          <w:szCs w:val="24"/>
          <w:lang w:val="en-US"/>
        </w:rPr>
        <w:t xml:space="preserve">, failed to defend the action despite proper </w:t>
      </w:r>
      <w:r w:rsidR="006866D9">
        <w:rPr>
          <w:rFonts w:ascii="Arial" w:eastAsia="Calibri" w:hAnsi="Arial" w:cs="Arial"/>
          <w:sz w:val="24"/>
          <w:szCs w:val="24"/>
          <w:lang w:val="en-US"/>
        </w:rPr>
        <w:t>service</w:t>
      </w:r>
      <w:r w:rsidR="006C63B1">
        <w:rPr>
          <w:rFonts w:ascii="Arial" w:eastAsia="Calibri" w:hAnsi="Arial" w:cs="Arial"/>
          <w:sz w:val="24"/>
          <w:szCs w:val="24"/>
          <w:lang w:val="en-US"/>
        </w:rPr>
        <w:t xml:space="preserve"> of the summons.</w:t>
      </w:r>
    </w:p>
    <w:p w14:paraId="7940E724" w14:textId="77777777" w:rsidR="00EF71AF" w:rsidRDefault="00EF71AF" w:rsidP="00EF71AF">
      <w:pPr>
        <w:pStyle w:val="ListParagraph"/>
        <w:rPr>
          <w:rFonts w:ascii="Arial" w:eastAsia="Times New Roman" w:hAnsi="Arial" w:cs="Arial"/>
          <w:sz w:val="24"/>
          <w:szCs w:val="24"/>
          <w:lang w:eastAsia="en-ZA"/>
        </w:rPr>
      </w:pPr>
    </w:p>
    <w:p w14:paraId="4AE61F05" w14:textId="68E8B1C8" w:rsidR="00EF71AF" w:rsidRPr="00D913D1" w:rsidRDefault="00EF71AF" w:rsidP="00AF6DDF">
      <w:pPr>
        <w:numPr>
          <w:ilvl w:val="0"/>
          <w:numId w:val="3"/>
        </w:numPr>
        <w:spacing w:line="480" w:lineRule="auto"/>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I refer to the parties as the Plaintiff and </w:t>
      </w:r>
      <w:r w:rsidR="00A51C92">
        <w:rPr>
          <w:rFonts w:ascii="Arial" w:eastAsia="Times New Roman" w:hAnsi="Arial" w:cs="Arial"/>
          <w:sz w:val="24"/>
          <w:szCs w:val="24"/>
          <w:lang w:eastAsia="en-ZA"/>
        </w:rPr>
        <w:t xml:space="preserve">the </w:t>
      </w:r>
      <w:r>
        <w:rPr>
          <w:rFonts w:ascii="Arial" w:eastAsia="Times New Roman" w:hAnsi="Arial" w:cs="Arial"/>
          <w:sz w:val="24"/>
          <w:szCs w:val="24"/>
          <w:lang w:eastAsia="en-ZA"/>
        </w:rPr>
        <w:t xml:space="preserve">Defendant, as they are in the main action. </w:t>
      </w:r>
    </w:p>
    <w:p w14:paraId="198389C7" w14:textId="77777777" w:rsidR="00D913D1" w:rsidRPr="00105042" w:rsidRDefault="00D913D1" w:rsidP="00D913D1">
      <w:pPr>
        <w:spacing w:line="480" w:lineRule="auto"/>
        <w:contextualSpacing/>
        <w:jc w:val="both"/>
        <w:rPr>
          <w:rFonts w:ascii="Arial" w:eastAsia="Times New Roman" w:hAnsi="Arial" w:cs="Arial"/>
          <w:sz w:val="24"/>
          <w:szCs w:val="24"/>
          <w:lang w:eastAsia="en-ZA"/>
        </w:rPr>
      </w:pPr>
    </w:p>
    <w:p w14:paraId="66AC36B8" w14:textId="50D87E04" w:rsidR="006C63B1" w:rsidRDefault="006C63B1" w:rsidP="00AF6DDF">
      <w:pPr>
        <w:numPr>
          <w:ilvl w:val="0"/>
          <w:numId w:val="3"/>
        </w:numPr>
        <w:spacing w:after="0" w:line="480" w:lineRule="auto"/>
        <w:contextualSpacing/>
        <w:jc w:val="both"/>
        <w:rPr>
          <w:rFonts w:ascii="Arial" w:eastAsia="Times New Roman" w:hAnsi="Arial" w:cs="Times New Roman"/>
          <w:sz w:val="24"/>
          <w:szCs w:val="24"/>
          <w:lang w:val="en-GB"/>
        </w:rPr>
      </w:pPr>
      <w:r>
        <w:rPr>
          <w:rFonts w:ascii="Arial" w:eastAsia="Times New Roman" w:hAnsi="Arial" w:cs="Times New Roman"/>
          <w:sz w:val="24"/>
          <w:szCs w:val="24"/>
          <w:lang w:val="en-GB"/>
        </w:rPr>
        <w:t>The matter came before me on the default judgement trial roll. The Plaintiff applied for default judgment by way of a substantive application in terms of Rule 31</w:t>
      </w:r>
      <w:r w:rsidR="00435314">
        <w:rPr>
          <w:rFonts w:ascii="Arial" w:eastAsia="Times New Roman" w:hAnsi="Arial" w:cs="Times New Roman"/>
          <w:sz w:val="24"/>
          <w:szCs w:val="24"/>
          <w:lang w:val="en-GB"/>
        </w:rPr>
        <w:t xml:space="preserve">(2)(a). </w:t>
      </w:r>
      <w:r>
        <w:rPr>
          <w:rFonts w:ascii="Arial" w:eastAsia="Times New Roman" w:hAnsi="Arial" w:cs="Times New Roman"/>
          <w:sz w:val="24"/>
          <w:szCs w:val="24"/>
          <w:lang w:val="en-GB"/>
        </w:rPr>
        <w:t>In the Notice of Motion</w:t>
      </w:r>
      <w:r w:rsidR="00A01CDD">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the Plaintiff, who is the Applicant in the </w:t>
      </w:r>
      <w:r w:rsidR="006866D9">
        <w:rPr>
          <w:rFonts w:ascii="Arial" w:eastAsia="Times New Roman" w:hAnsi="Arial" w:cs="Times New Roman"/>
          <w:sz w:val="24"/>
          <w:szCs w:val="24"/>
          <w:lang w:val="en-GB"/>
        </w:rPr>
        <w:t xml:space="preserve">default judgement </w:t>
      </w:r>
      <w:r>
        <w:rPr>
          <w:rFonts w:ascii="Arial" w:eastAsia="Times New Roman" w:hAnsi="Arial" w:cs="Times New Roman"/>
          <w:sz w:val="24"/>
          <w:szCs w:val="24"/>
          <w:lang w:val="en-GB"/>
        </w:rPr>
        <w:t>application, seeks R7 000</w:t>
      </w:r>
      <w:r w:rsidR="006866D9">
        <w:rPr>
          <w:rFonts w:ascii="Arial" w:eastAsia="Times New Roman" w:hAnsi="Arial" w:cs="Times New Roman"/>
          <w:sz w:val="24"/>
          <w:szCs w:val="24"/>
          <w:lang w:val="en-GB"/>
        </w:rPr>
        <w:t> </w:t>
      </w:r>
      <w:r>
        <w:rPr>
          <w:rFonts w:ascii="Arial" w:eastAsia="Times New Roman" w:hAnsi="Arial" w:cs="Times New Roman"/>
          <w:sz w:val="24"/>
          <w:szCs w:val="24"/>
          <w:lang w:val="en-GB"/>
        </w:rPr>
        <w:t>000</w:t>
      </w:r>
      <w:r w:rsidR="006866D9">
        <w:rPr>
          <w:rFonts w:ascii="Arial" w:eastAsia="Times New Roman" w:hAnsi="Arial" w:cs="Times New Roman"/>
          <w:sz w:val="24"/>
          <w:szCs w:val="24"/>
          <w:lang w:val="en-GB"/>
        </w:rPr>
        <w:t>.00</w:t>
      </w:r>
      <w:r w:rsidR="00435314">
        <w:rPr>
          <w:rFonts w:ascii="Arial" w:eastAsia="Times New Roman" w:hAnsi="Arial" w:cs="Times New Roman"/>
          <w:sz w:val="24"/>
          <w:szCs w:val="24"/>
          <w:lang w:val="en-GB"/>
        </w:rPr>
        <w:t xml:space="preserve"> in damages</w:t>
      </w:r>
      <w:r>
        <w:rPr>
          <w:rFonts w:ascii="Arial" w:eastAsia="Times New Roman" w:hAnsi="Arial" w:cs="Times New Roman"/>
          <w:sz w:val="24"/>
          <w:szCs w:val="24"/>
          <w:lang w:val="en-GB"/>
        </w:rPr>
        <w:t xml:space="preserve"> and a section 17(4)(a) undertaking in terms of the Road Accident Fund Act 56 of 1996, as amended. </w:t>
      </w:r>
      <w:r w:rsidR="00700AFF">
        <w:rPr>
          <w:rFonts w:ascii="Arial" w:eastAsia="Times New Roman" w:hAnsi="Arial" w:cs="Times New Roman"/>
          <w:sz w:val="24"/>
          <w:szCs w:val="24"/>
          <w:lang w:val="en-GB"/>
        </w:rPr>
        <w:t xml:space="preserve">In the Plaintiff’s Rule 28 </w:t>
      </w:r>
      <w:r w:rsidR="00745439">
        <w:rPr>
          <w:rFonts w:ascii="Arial" w:eastAsia="Times New Roman" w:hAnsi="Arial" w:cs="Times New Roman"/>
          <w:sz w:val="24"/>
          <w:szCs w:val="24"/>
          <w:lang w:val="en-GB"/>
        </w:rPr>
        <w:t>n</w:t>
      </w:r>
      <w:r w:rsidR="00700AFF">
        <w:rPr>
          <w:rFonts w:ascii="Arial" w:eastAsia="Times New Roman" w:hAnsi="Arial" w:cs="Times New Roman"/>
          <w:sz w:val="24"/>
          <w:szCs w:val="24"/>
          <w:lang w:val="en-GB"/>
        </w:rPr>
        <w:t xml:space="preserve">otice </w:t>
      </w:r>
      <w:r w:rsidR="002B3DF0">
        <w:rPr>
          <w:rFonts w:ascii="Arial" w:eastAsia="Times New Roman" w:hAnsi="Arial" w:cs="Times New Roman"/>
          <w:sz w:val="24"/>
          <w:szCs w:val="24"/>
          <w:lang w:val="en-GB"/>
        </w:rPr>
        <w:t xml:space="preserve">of </w:t>
      </w:r>
      <w:r w:rsidR="00745439">
        <w:rPr>
          <w:rFonts w:ascii="Arial" w:eastAsia="Times New Roman" w:hAnsi="Arial" w:cs="Times New Roman"/>
          <w:sz w:val="24"/>
          <w:szCs w:val="24"/>
          <w:lang w:val="en-GB"/>
        </w:rPr>
        <w:t>i</w:t>
      </w:r>
      <w:r w:rsidR="002B3DF0">
        <w:rPr>
          <w:rFonts w:ascii="Arial" w:eastAsia="Times New Roman" w:hAnsi="Arial" w:cs="Times New Roman"/>
          <w:sz w:val="24"/>
          <w:szCs w:val="24"/>
          <w:lang w:val="en-GB"/>
        </w:rPr>
        <w:t xml:space="preserve">ntention </w:t>
      </w:r>
      <w:r w:rsidR="00700AFF">
        <w:rPr>
          <w:rFonts w:ascii="Arial" w:eastAsia="Times New Roman" w:hAnsi="Arial" w:cs="Times New Roman"/>
          <w:sz w:val="24"/>
          <w:szCs w:val="24"/>
          <w:lang w:val="en-GB"/>
        </w:rPr>
        <w:t xml:space="preserve">to </w:t>
      </w:r>
      <w:r w:rsidR="00745439">
        <w:rPr>
          <w:rFonts w:ascii="Arial" w:eastAsia="Times New Roman" w:hAnsi="Arial" w:cs="Times New Roman"/>
          <w:sz w:val="24"/>
          <w:szCs w:val="24"/>
          <w:lang w:val="en-GB"/>
        </w:rPr>
        <w:t>a</w:t>
      </w:r>
      <w:r w:rsidR="00700AFF">
        <w:rPr>
          <w:rFonts w:ascii="Arial" w:eastAsia="Times New Roman" w:hAnsi="Arial" w:cs="Times New Roman"/>
          <w:sz w:val="24"/>
          <w:szCs w:val="24"/>
          <w:lang w:val="en-GB"/>
        </w:rPr>
        <w:t xml:space="preserve">mend, an amount of R6 037 602 is claimed. </w:t>
      </w:r>
    </w:p>
    <w:p w14:paraId="621C3E0E" w14:textId="77777777" w:rsidR="002B3DF0" w:rsidRPr="00745439" w:rsidRDefault="002B3DF0" w:rsidP="00745439">
      <w:pPr>
        <w:rPr>
          <w:rFonts w:ascii="Arial" w:eastAsia="Times New Roman" w:hAnsi="Arial" w:cs="Times New Roman"/>
          <w:sz w:val="24"/>
          <w:szCs w:val="24"/>
          <w:lang w:val="en-GB"/>
        </w:rPr>
      </w:pPr>
    </w:p>
    <w:p w14:paraId="6EA3AF23" w14:textId="7CC5FACD" w:rsidR="002B3DF0" w:rsidRDefault="002B3DF0" w:rsidP="00AF6DDF">
      <w:pPr>
        <w:numPr>
          <w:ilvl w:val="0"/>
          <w:numId w:val="3"/>
        </w:numPr>
        <w:spacing w:after="0" w:line="480" w:lineRule="auto"/>
        <w:contextualSpacing/>
        <w:jc w:val="both"/>
        <w:rPr>
          <w:rFonts w:ascii="Arial" w:eastAsia="Times New Roman" w:hAnsi="Arial" w:cs="Times New Roman"/>
          <w:sz w:val="24"/>
          <w:szCs w:val="24"/>
          <w:lang w:val="en-GB"/>
        </w:rPr>
      </w:pPr>
      <w:r>
        <w:rPr>
          <w:rFonts w:ascii="Arial" w:eastAsia="Times New Roman" w:hAnsi="Arial" w:cs="Times New Roman"/>
          <w:sz w:val="24"/>
          <w:szCs w:val="24"/>
          <w:lang w:val="en-GB"/>
        </w:rPr>
        <w:t>The evidence was presented by way of an affidavit as contemplated by Rule 38(2).</w:t>
      </w:r>
      <w:r w:rsidR="006A366E">
        <w:rPr>
          <w:rFonts w:ascii="Arial" w:eastAsia="Times New Roman" w:hAnsi="Arial" w:cs="Times New Roman"/>
          <w:sz w:val="24"/>
          <w:szCs w:val="24"/>
          <w:lang w:val="en-GB"/>
        </w:rPr>
        <w:t xml:space="preserve"> The only evidence was the founding affidavit in the default judgement application, deposed to by the Plaintiff and the expert affidavits. </w:t>
      </w:r>
    </w:p>
    <w:p w14:paraId="3D01A343" w14:textId="77777777" w:rsidR="00216A94" w:rsidRPr="002B3DF0" w:rsidRDefault="00216A94" w:rsidP="002B3DF0">
      <w:pPr>
        <w:rPr>
          <w:rFonts w:ascii="Arial" w:eastAsia="Times New Roman" w:hAnsi="Arial" w:cs="Times New Roman"/>
          <w:sz w:val="24"/>
          <w:szCs w:val="24"/>
          <w:lang w:val="en-GB"/>
        </w:rPr>
      </w:pPr>
    </w:p>
    <w:p w14:paraId="65B9A87A" w14:textId="6D3FDE38" w:rsidR="00E168A7" w:rsidRDefault="00216A94" w:rsidP="00AF6DDF">
      <w:pPr>
        <w:numPr>
          <w:ilvl w:val="0"/>
          <w:numId w:val="3"/>
        </w:numPr>
        <w:spacing w:after="0" w:line="480" w:lineRule="auto"/>
        <w:contextualSpacing/>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I deal next with the merits of the Plaintiff’s case. </w:t>
      </w:r>
    </w:p>
    <w:p w14:paraId="4D558312" w14:textId="77777777" w:rsidR="00745439" w:rsidRPr="00745439" w:rsidRDefault="00745439" w:rsidP="00745439">
      <w:pPr>
        <w:spacing w:after="0" w:line="480" w:lineRule="auto"/>
        <w:contextualSpacing/>
        <w:jc w:val="both"/>
        <w:rPr>
          <w:rFonts w:ascii="Arial" w:eastAsia="Times New Roman" w:hAnsi="Arial" w:cs="Times New Roman"/>
          <w:sz w:val="24"/>
          <w:szCs w:val="24"/>
          <w:lang w:val="en-GB"/>
        </w:rPr>
      </w:pPr>
    </w:p>
    <w:p w14:paraId="7761C0DE" w14:textId="4E98132E" w:rsidR="00A3216D" w:rsidRPr="00A3216D" w:rsidRDefault="00C92E59" w:rsidP="00435314">
      <w:pPr>
        <w:spacing w:line="480" w:lineRule="auto"/>
        <w:contextualSpacing/>
        <w:jc w:val="both"/>
        <w:rPr>
          <w:rFonts w:ascii="Arial" w:eastAsia="Times New Roman" w:hAnsi="Arial" w:cs="Times New Roman"/>
          <w:b/>
          <w:bCs/>
          <w:sz w:val="24"/>
          <w:szCs w:val="24"/>
          <w:lang w:val="en-GB"/>
        </w:rPr>
      </w:pPr>
      <w:r>
        <w:rPr>
          <w:rFonts w:ascii="Arial" w:eastAsia="Times New Roman" w:hAnsi="Arial" w:cs="Times New Roman"/>
          <w:b/>
          <w:bCs/>
          <w:sz w:val="24"/>
          <w:szCs w:val="24"/>
          <w:lang w:val="en-GB"/>
        </w:rPr>
        <w:t>N</w:t>
      </w:r>
      <w:r w:rsidR="00A3216D" w:rsidRPr="00A3216D">
        <w:rPr>
          <w:rFonts w:ascii="Arial" w:eastAsia="Times New Roman" w:hAnsi="Arial" w:cs="Times New Roman"/>
          <w:b/>
          <w:bCs/>
          <w:sz w:val="24"/>
          <w:szCs w:val="24"/>
          <w:lang w:val="en-GB"/>
        </w:rPr>
        <w:t>egligence</w:t>
      </w:r>
    </w:p>
    <w:p w14:paraId="5564C294" w14:textId="72C88033" w:rsidR="006866D9" w:rsidRDefault="00435314" w:rsidP="00AF6DDF">
      <w:pPr>
        <w:numPr>
          <w:ilvl w:val="0"/>
          <w:numId w:val="3"/>
        </w:numPr>
        <w:spacing w:after="0" w:line="480" w:lineRule="auto"/>
        <w:contextualSpacing/>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As for the negligence on the part of the insured driver, </w:t>
      </w:r>
      <w:r w:rsidR="00F212BC">
        <w:rPr>
          <w:rFonts w:ascii="Arial" w:eastAsia="Times New Roman" w:hAnsi="Arial" w:cs="Times New Roman"/>
          <w:sz w:val="24"/>
          <w:szCs w:val="24"/>
          <w:lang w:val="en-GB"/>
        </w:rPr>
        <w:t>the Plaintiff relied on his affidavit</w:t>
      </w:r>
      <w:r w:rsidR="00745439">
        <w:rPr>
          <w:rFonts w:ascii="Arial" w:eastAsia="Times New Roman" w:hAnsi="Arial" w:cs="Times New Roman"/>
          <w:sz w:val="24"/>
          <w:szCs w:val="24"/>
          <w:lang w:val="en-GB"/>
        </w:rPr>
        <w:t>, submitted in compliance with</w:t>
      </w:r>
      <w:r w:rsidR="00745439" w:rsidRPr="00745439">
        <w:rPr>
          <w:rFonts w:ascii="Arial" w:eastAsia="Times New Roman" w:hAnsi="Arial" w:cs="Times New Roman"/>
          <w:sz w:val="24"/>
          <w:szCs w:val="24"/>
          <w:lang w:val="en-GB"/>
        </w:rPr>
        <w:t xml:space="preserve"> </w:t>
      </w:r>
      <w:r w:rsidR="00745439">
        <w:rPr>
          <w:rFonts w:ascii="Arial" w:eastAsia="Times New Roman" w:hAnsi="Arial" w:cs="Times New Roman"/>
          <w:sz w:val="24"/>
          <w:szCs w:val="24"/>
          <w:lang w:val="en-GB"/>
        </w:rPr>
        <w:t>section 19(f) of the Act</w:t>
      </w:r>
      <w:r w:rsidR="006A366E">
        <w:rPr>
          <w:rFonts w:ascii="Arial" w:eastAsia="Times New Roman" w:hAnsi="Arial" w:cs="Times New Roman"/>
          <w:sz w:val="24"/>
          <w:szCs w:val="24"/>
          <w:lang w:val="en-GB"/>
        </w:rPr>
        <w:t xml:space="preserve"> and the founding affidavit</w:t>
      </w:r>
      <w:r w:rsidR="00F212BC">
        <w:rPr>
          <w:rFonts w:ascii="Arial" w:eastAsia="Times New Roman" w:hAnsi="Arial" w:cs="Times New Roman"/>
          <w:sz w:val="24"/>
          <w:szCs w:val="24"/>
          <w:lang w:val="en-GB"/>
        </w:rPr>
        <w:t xml:space="preserve">. </w:t>
      </w:r>
      <w:r w:rsidR="00216A94">
        <w:rPr>
          <w:rFonts w:ascii="Arial" w:eastAsia="Times New Roman" w:hAnsi="Arial" w:cs="Times New Roman"/>
          <w:sz w:val="24"/>
          <w:szCs w:val="24"/>
          <w:lang w:val="en-GB"/>
        </w:rPr>
        <w:t>From th</w:t>
      </w:r>
      <w:r w:rsidR="006A366E">
        <w:rPr>
          <w:rFonts w:ascii="Arial" w:eastAsia="Times New Roman" w:hAnsi="Arial" w:cs="Times New Roman"/>
          <w:sz w:val="24"/>
          <w:szCs w:val="24"/>
          <w:lang w:val="en-GB"/>
        </w:rPr>
        <w:t>ese</w:t>
      </w:r>
      <w:r w:rsidR="00216A94">
        <w:rPr>
          <w:rFonts w:ascii="Arial" w:eastAsia="Times New Roman" w:hAnsi="Arial" w:cs="Times New Roman"/>
          <w:sz w:val="24"/>
          <w:szCs w:val="24"/>
          <w:lang w:val="en-GB"/>
        </w:rPr>
        <w:t xml:space="preserve"> affidavit</w:t>
      </w:r>
      <w:r w:rsidR="006A366E">
        <w:rPr>
          <w:rFonts w:ascii="Arial" w:eastAsia="Times New Roman" w:hAnsi="Arial" w:cs="Times New Roman"/>
          <w:sz w:val="24"/>
          <w:szCs w:val="24"/>
          <w:lang w:val="en-GB"/>
        </w:rPr>
        <w:t>s</w:t>
      </w:r>
      <w:r w:rsidR="00216A94">
        <w:rPr>
          <w:rFonts w:ascii="Arial" w:eastAsia="Times New Roman" w:hAnsi="Arial" w:cs="Times New Roman"/>
          <w:sz w:val="24"/>
          <w:szCs w:val="24"/>
          <w:lang w:val="en-GB"/>
        </w:rPr>
        <w:t xml:space="preserve"> i</w:t>
      </w:r>
      <w:r w:rsidR="00F0079A">
        <w:rPr>
          <w:rFonts w:ascii="Arial" w:eastAsia="Times New Roman" w:hAnsi="Arial" w:cs="Times New Roman"/>
          <w:sz w:val="24"/>
          <w:szCs w:val="24"/>
          <w:lang w:val="en-GB"/>
        </w:rPr>
        <w:t>t</w:t>
      </w:r>
      <w:r w:rsidR="00216A94">
        <w:rPr>
          <w:rFonts w:ascii="Arial" w:eastAsia="Times New Roman" w:hAnsi="Arial" w:cs="Times New Roman"/>
          <w:sz w:val="24"/>
          <w:szCs w:val="24"/>
          <w:lang w:val="en-GB"/>
        </w:rPr>
        <w:t xml:space="preserve"> is apparent that the</w:t>
      </w:r>
      <w:r>
        <w:rPr>
          <w:rFonts w:ascii="Arial" w:eastAsia="Times New Roman" w:hAnsi="Arial" w:cs="Times New Roman"/>
          <w:sz w:val="24"/>
          <w:szCs w:val="24"/>
          <w:lang w:val="en-GB"/>
        </w:rPr>
        <w:t xml:space="preserve"> Plaintiff was a passenger in a vehicle </w:t>
      </w:r>
      <w:r w:rsidR="00216A94">
        <w:rPr>
          <w:rFonts w:ascii="Arial" w:eastAsia="Times New Roman" w:hAnsi="Arial" w:cs="Times New Roman"/>
          <w:sz w:val="24"/>
          <w:szCs w:val="24"/>
          <w:lang w:val="en-GB"/>
        </w:rPr>
        <w:t xml:space="preserve">with registration numbers </w:t>
      </w:r>
      <w:r>
        <w:rPr>
          <w:rFonts w:ascii="Arial" w:eastAsia="Times New Roman" w:hAnsi="Arial" w:cs="Times New Roman"/>
          <w:sz w:val="24"/>
          <w:szCs w:val="24"/>
          <w:lang w:val="en-GB"/>
        </w:rPr>
        <w:t>DB 94 RD GP</w:t>
      </w:r>
      <w:r w:rsidR="00745439">
        <w:rPr>
          <w:rFonts w:ascii="Arial" w:eastAsia="Times New Roman" w:hAnsi="Arial" w:cs="Times New Roman"/>
          <w:sz w:val="24"/>
          <w:szCs w:val="24"/>
          <w:lang w:val="en-GB"/>
        </w:rPr>
        <w:t xml:space="preserve"> (the insured vehicle)</w:t>
      </w:r>
      <w:r w:rsidR="00216A94">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driven</w:t>
      </w:r>
      <w:r w:rsidR="00216A94">
        <w:rPr>
          <w:rFonts w:ascii="Arial" w:eastAsia="Times New Roman" w:hAnsi="Arial" w:cs="Times New Roman"/>
          <w:sz w:val="24"/>
          <w:szCs w:val="24"/>
          <w:lang w:val="en-GB"/>
        </w:rPr>
        <w:t xml:space="preserve"> at the time</w:t>
      </w:r>
      <w:r>
        <w:rPr>
          <w:rFonts w:ascii="Arial" w:eastAsia="Times New Roman" w:hAnsi="Arial" w:cs="Times New Roman"/>
          <w:sz w:val="24"/>
          <w:szCs w:val="24"/>
          <w:lang w:val="en-GB"/>
        </w:rPr>
        <w:t xml:space="preserve"> by Ms Lindiwe Car</w:t>
      </w:r>
      <w:r w:rsidR="00A3216D">
        <w:rPr>
          <w:rFonts w:ascii="Arial" w:eastAsia="Times New Roman" w:hAnsi="Arial" w:cs="Times New Roman"/>
          <w:sz w:val="24"/>
          <w:szCs w:val="24"/>
          <w:lang w:val="en-GB"/>
        </w:rPr>
        <w:t>o</w:t>
      </w:r>
      <w:r>
        <w:rPr>
          <w:rFonts w:ascii="Arial" w:eastAsia="Times New Roman" w:hAnsi="Arial" w:cs="Times New Roman"/>
          <w:sz w:val="24"/>
          <w:szCs w:val="24"/>
          <w:lang w:val="en-GB"/>
        </w:rPr>
        <w:t xml:space="preserve">l Lekgetho on the Augrabis road, Brakpan. The driver swerved out </w:t>
      </w:r>
      <w:r w:rsidR="00A3216D">
        <w:rPr>
          <w:rFonts w:ascii="Arial" w:eastAsia="Times New Roman" w:hAnsi="Arial" w:cs="Times New Roman"/>
          <w:sz w:val="24"/>
          <w:szCs w:val="24"/>
          <w:lang w:val="en-GB"/>
        </w:rPr>
        <w:t>when she saw a pedestrian ‘</w:t>
      </w:r>
      <w:r w:rsidR="00A3216D" w:rsidRPr="00216A94">
        <w:rPr>
          <w:rFonts w:ascii="Arial" w:eastAsia="Times New Roman" w:hAnsi="Arial" w:cs="Times New Roman"/>
          <w:i/>
          <w:iCs/>
          <w:sz w:val="24"/>
          <w:szCs w:val="24"/>
          <w:lang w:val="en-GB"/>
        </w:rPr>
        <w:t>trying</w:t>
      </w:r>
      <w:r w:rsidR="00A3216D">
        <w:rPr>
          <w:rFonts w:ascii="Arial" w:eastAsia="Times New Roman" w:hAnsi="Arial" w:cs="Times New Roman"/>
          <w:sz w:val="24"/>
          <w:szCs w:val="24"/>
          <w:lang w:val="en-GB"/>
        </w:rPr>
        <w:t>’ to cross the road</w:t>
      </w:r>
      <w:r w:rsidR="00745439">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w:t>
      </w:r>
      <w:r w:rsidR="00745439">
        <w:rPr>
          <w:rFonts w:ascii="Arial" w:eastAsia="Times New Roman" w:hAnsi="Arial" w:cs="Times New Roman"/>
          <w:sz w:val="24"/>
          <w:szCs w:val="24"/>
          <w:lang w:val="en-GB"/>
        </w:rPr>
        <w:t>S</w:t>
      </w:r>
      <w:r w:rsidR="00216A94">
        <w:rPr>
          <w:rFonts w:ascii="Arial" w:eastAsia="Times New Roman" w:hAnsi="Arial" w:cs="Times New Roman"/>
          <w:sz w:val="24"/>
          <w:szCs w:val="24"/>
          <w:lang w:val="en-GB"/>
        </w:rPr>
        <w:t xml:space="preserve">he </w:t>
      </w:r>
      <w:r>
        <w:rPr>
          <w:rFonts w:ascii="Arial" w:eastAsia="Times New Roman" w:hAnsi="Arial" w:cs="Times New Roman"/>
          <w:sz w:val="24"/>
          <w:szCs w:val="24"/>
          <w:lang w:val="en-GB"/>
        </w:rPr>
        <w:t xml:space="preserve">lost control of the vehicle and the </w:t>
      </w:r>
      <w:r>
        <w:rPr>
          <w:rFonts w:ascii="Arial" w:eastAsia="Times New Roman" w:hAnsi="Arial" w:cs="Times New Roman"/>
          <w:sz w:val="24"/>
          <w:szCs w:val="24"/>
          <w:lang w:val="en-GB"/>
        </w:rPr>
        <w:lastRenderedPageBreak/>
        <w:t>vehicle overturned.</w:t>
      </w:r>
      <w:r w:rsidR="00A3216D">
        <w:rPr>
          <w:rFonts w:ascii="Arial" w:eastAsia="Times New Roman" w:hAnsi="Arial" w:cs="Times New Roman"/>
          <w:sz w:val="24"/>
          <w:szCs w:val="24"/>
          <w:lang w:val="en-GB"/>
        </w:rPr>
        <w:t xml:space="preserve"> </w:t>
      </w:r>
      <w:r w:rsidR="006866D9">
        <w:rPr>
          <w:rFonts w:ascii="Arial" w:eastAsia="Times New Roman" w:hAnsi="Arial" w:cs="Times New Roman"/>
          <w:sz w:val="24"/>
          <w:szCs w:val="24"/>
          <w:lang w:val="en-GB"/>
        </w:rPr>
        <w:t xml:space="preserve">The driver of the vehicle then crashed into a tree. </w:t>
      </w:r>
      <w:r w:rsidR="00A3216D">
        <w:rPr>
          <w:rFonts w:ascii="Arial" w:eastAsia="Times New Roman" w:hAnsi="Arial" w:cs="Times New Roman"/>
          <w:sz w:val="24"/>
          <w:szCs w:val="24"/>
          <w:lang w:val="en-GB"/>
        </w:rPr>
        <w:t xml:space="preserve">The accident occurred at night in an area lit be streetlights. </w:t>
      </w:r>
    </w:p>
    <w:p w14:paraId="5B45DA8D" w14:textId="77777777" w:rsidR="006866D9" w:rsidRDefault="006866D9" w:rsidP="006866D9">
      <w:pPr>
        <w:spacing w:after="0" w:line="480" w:lineRule="auto"/>
        <w:ind w:left="360"/>
        <w:contextualSpacing/>
        <w:jc w:val="both"/>
        <w:rPr>
          <w:rFonts w:ascii="Arial" w:eastAsia="Times New Roman" w:hAnsi="Arial" w:cs="Times New Roman"/>
          <w:sz w:val="24"/>
          <w:szCs w:val="24"/>
          <w:lang w:val="en-GB"/>
        </w:rPr>
      </w:pPr>
    </w:p>
    <w:p w14:paraId="39E2CAFE" w14:textId="28BD8368" w:rsidR="006866D9" w:rsidRPr="006866D9" w:rsidRDefault="00F212BC" w:rsidP="00AF6DDF">
      <w:pPr>
        <w:numPr>
          <w:ilvl w:val="0"/>
          <w:numId w:val="3"/>
        </w:numPr>
        <w:spacing w:after="0" w:line="480" w:lineRule="auto"/>
        <w:contextualSpacing/>
        <w:jc w:val="both"/>
        <w:rPr>
          <w:rFonts w:ascii="Arial" w:eastAsia="Times New Roman" w:hAnsi="Arial" w:cs="Times New Roman"/>
          <w:sz w:val="24"/>
          <w:szCs w:val="24"/>
          <w:lang w:val="en-GB"/>
        </w:rPr>
      </w:pPr>
      <w:r>
        <w:rPr>
          <w:rFonts w:ascii="Arial" w:eastAsia="Times New Roman" w:hAnsi="Arial" w:cs="Times New Roman"/>
          <w:sz w:val="24"/>
          <w:szCs w:val="24"/>
          <w:lang w:val="en-GB"/>
        </w:rPr>
        <w:t>T</w:t>
      </w:r>
      <w:r w:rsidR="00700AFF">
        <w:rPr>
          <w:rFonts w:ascii="Arial" w:eastAsia="Times New Roman" w:hAnsi="Arial" w:cs="Times New Roman"/>
          <w:sz w:val="24"/>
          <w:szCs w:val="24"/>
          <w:lang w:val="en-GB"/>
        </w:rPr>
        <w:t xml:space="preserve">he question </w:t>
      </w:r>
      <w:r>
        <w:rPr>
          <w:rFonts w:ascii="Arial" w:eastAsia="Times New Roman" w:hAnsi="Arial" w:cs="Times New Roman"/>
          <w:sz w:val="24"/>
          <w:szCs w:val="24"/>
          <w:lang w:val="en-GB"/>
        </w:rPr>
        <w:t>is</w:t>
      </w:r>
      <w:r w:rsidR="00700AFF">
        <w:rPr>
          <w:rFonts w:ascii="Arial" w:eastAsia="Times New Roman" w:hAnsi="Arial" w:cs="Times New Roman"/>
          <w:sz w:val="24"/>
          <w:szCs w:val="24"/>
          <w:lang w:val="en-GB"/>
        </w:rPr>
        <w:t xml:space="preserve"> whether the driver of the vehicle drove negligently in some way. </w:t>
      </w:r>
      <w:r w:rsidR="006866D9" w:rsidRPr="006866D9">
        <w:rPr>
          <w:rFonts w:ascii="Arial" w:eastAsia="Times New Roman" w:hAnsi="Arial" w:cs="Times New Roman"/>
          <w:sz w:val="24"/>
          <w:szCs w:val="24"/>
          <w:lang w:val="en-GB"/>
        </w:rPr>
        <w:t>The slightest degree of negligence is sufficient to satisfy the requirements of negligence under section 17(1) of the Act and consequently to render the RAF liable</w:t>
      </w:r>
      <w:r w:rsidR="00216A94">
        <w:rPr>
          <w:rFonts w:ascii="Arial" w:eastAsia="Times New Roman" w:hAnsi="Arial" w:cs="Times New Roman"/>
          <w:sz w:val="24"/>
          <w:szCs w:val="24"/>
          <w:lang w:val="en-GB"/>
        </w:rPr>
        <w:t>.</w:t>
      </w:r>
      <w:r w:rsidR="00216A94">
        <w:rPr>
          <w:rStyle w:val="FootnoteReference"/>
          <w:rFonts w:ascii="Arial" w:eastAsia="Times New Roman" w:hAnsi="Arial" w:cs="Times New Roman"/>
          <w:sz w:val="24"/>
          <w:szCs w:val="24"/>
          <w:lang w:val="en-GB"/>
        </w:rPr>
        <w:footnoteReference w:id="1"/>
      </w:r>
    </w:p>
    <w:p w14:paraId="4C924D89" w14:textId="77777777" w:rsidR="006866D9" w:rsidRDefault="006866D9" w:rsidP="006866D9">
      <w:pPr>
        <w:pStyle w:val="ListParagraph"/>
        <w:rPr>
          <w:rFonts w:ascii="Arial" w:eastAsia="Times New Roman" w:hAnsi="Arial" w:cs="Times New Roman"/>
          <w:sz w:val="24"/>
          <w:szCs w:val="24"/>
          <w:lang w:val="en-GB"/>
        </w:rPr>
      </w:pPr>
    </w:p>
    <w:p w14:paraId="2F0E7317" w14:textId="77777777" w:rsidR="004866AD" w:rsidRDefault="00700AFF" w:rsidP="00AF6DDF">
      <w:pPr>
        <w:numPr>
          <w:ilvl w:val="0"/>
          <w:numId w:val="3"/>
        </w:numPr>
        <w:spacing w:after="0" w:line="480" w:lineRule="auto"/>
        <w:contextualSpacing/>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The insured vehicle, travelling on Augrabis street, </w:t>
      </w:r>
      <w:r w:rsidR="00216A94">
        <w:rPr>
          <w:rFonts w:ascii="Arial" w:eastAsia="Times New Roman" w:hAnsi="Arial" w:cs="Times New Roman"/>
          <w:sz w:val="24"/>
          <w:szCs w:val="24"/>
          <w:lang w:val="en-GB"/>
        </w:rPr>
        <w:t xml:space="preserve">in </w:t>
      </w:r>
      <w:r>
        <w:rPr>
          <w:rFonts w:ascii="Arial" w:eastAsia="Times New Roman" w:hAnsi="Arial" w:cs="Times New Roman"/>
          <w:sz w:val="24"/>
          <w:szCs w:val="24"/>
          <w:lang w:val="en-GB"/>
        </w:rPr>
        <w:t xml:space="preserve">a residential area, had enough momentum to capsize, move off the road surface and to collide into a tree. </w:t>
      </w:r>
      <w:r w:rsidR="00F212BC">
        <w:rPr>
          <w:rFonts w:ascii="Arial" w:eastAsia="Times New Roman" w:hAnsi="Arial" w:cs="Times New Roman"/>
          <w:sz w:val="24"/>
          <w:szCs w:val="24"/>
          <w:lang w:val="en-GB"/>
        </w:rPr>
        <w:t>It is reasonable to draw the inference</w:t>
      </w:r>
      <w:r w:rsidR="00F0079A">
        <w:rPr>
          <w:rStyle w:val="FootnoteReference"/>
          <w:rFonts w:ascii="Arial" w:eastAsia="Times New Roman" w:hAnsi="Arial" w:cs="Times New Roman"/>
          <w:sz w:val="24"/>
          <w:szCs w:val="24"/>
          <w:lang w:val="en-GB"/>
        </w:rPr>
        <w:footnoteReference w:id="2"/>
      </w:r>
      <w:r w:rsidR="00216A94">
        <w:rPr>
          <w:rFonts w:ascii="Arial" w:eastAsia="Times New Roman" w:hAnsi="Arial" w:cs="Times New Roman"/>
          <w:sz w:val="24"/>
          <w:szCs w:val="24"/>
          <w:lang w:val="en-GB"/>
        </w:rPr>
        <w:t xml:space="preserve"> from the proven facts</w:t>
      </w:r>
      <w:r w:rsidR="00745439">
        <w:rPr>
          <w:rFonts w:ascii="Arial" w:eastAsia="Times New Roman" w:hAnsi="Arial" w:cs="Times New Roman"/>
          <w:sz w:val="24"/>
          <w:szCs w:val="24"/>
          <w:lang w:val="en-GB"/>
        </w:rPr>
        <w:t>,</w:t>
      </w:r>
      <w:r w:rsidR="00F0079A">
        <w:rPr>
          <w:rFonts w:ascii="Arial" w:eastAsia="Times New Roman" w:hAnsi="Arial" w:cs="Times New Roman"/>
          <w:sz w:val="24"/>
          <w:szCs w:val="24"/>
          <w:lang w:val="en-GB"/>
        </w:rPr>
        <w:t xml:space="preserve"> and it is plausible</w:t>
      </w:r>
      <w:r w:rsidR="00745439">
        <w:rPr>
          <w:rFonts w:ascii="Arial" w:eastAsia="Times New Roman" w:hAnsi="Arial" w:cs="Times New Roman"/>
          <w:sz w:val="24"/>
          <w:szCs w:val="24"/>
          <w:lang w:val="en-GB"/>
        </w:rPr>
        <w:t>,</w:t>
      </w:r>
      <w:r w:rsidR="00F212BC">
        <w:rPr>
          <w:rFonts w:ascii="Arial" w:eastAsia="Times New Roman" w:hAnsi="Arial" w:cs="Times New Roman"/>
          <w:sz w:val="24"/>
          <w:szCs w:val="24"/>
          <w:lang w:val="en-GB"/>
        </w:rPr>
        <w:t xml:space="preserve"> </w:t>
      </w:r>
      <w:r w:rsidR="006B0EB0">
        <w:rPr>
          <w:rFonts w:ascii="Arial" w:eastAsia="Times New Roman" w:hAnsi="Arial" w:cs="Times New Roman"/>
          <w:sz w:val="24"/>
          <w:szCs w:val="24"/>
          <w:lang w:val="en-GB"/>
        </w:rPr>
        <w:t>that t</w:t>
      </w:r>
      <w:r>
        <w:rPr>
          <w:rFonts w:ascii="Arial" w:eastAsia="Times New Roman" w:hAnsi="Arial" w:cs="Times New Roman"/>
          <w:sz w:val="24"/>
          <w:szCs w:val="24"/>
          <w:lang w:val="en-GB"/>
        </w:rPr>
        <w:t>he driver drove too fast</w:t>
      </w:r>
      <w:r w:rsidR="00F212BC">
        <w:rPr>
          <w:rFonts w:ascii="Arial" w:eastAsia="Times New Roman" w:hAnsi="Arial" w:cs="Times New Roman"/>
          <w:sz w:val="24"/>
          <w:szCs w:val="24"/>
          <w:lang w:val="en-GB"/>
        </w:rPr>
        <w:t xml:space="preserve"> in a residential area</w:t>
      </w:r>
      <w:r>
        <w:rPr>
          <w:rFonts w:ascii="Arial" w:eastAsia="Times New Roman" w:hAnsi="Arial" w:cs="Times New Roman"/>
          <w:sz w:val="24"/>
          <w:szCs w:val="24"/>
          <w:lang w:val="en-GB"/>
        </w:rPr>
        <w:t xml:space="preserve"> and did not keep a proper lookout given the prevailing circumstances.</w:t>
      </w:r>
      <w:r w:rsidR="00F0079A">
        <w:rPr>
          <w:rStyle w:val="FootnoteReference"/>
          <w:rFonts w:ascii="Arial" w:eastAsia="Times New Roman" w:hAnsi="Arial" w:cs="Times New Roman"/>
          <w:sz w:val="24"/>
          <w:szCs w:val="24"/>
          <w:lang w:val="en-GB"/>
        </w:rPr>
        <w:footnoteReference w:id="3"/>
      </w:r>
      <w:r>
        <w:rPr>
          <w:rFonts w:ascii="Arial" w:eastAsia="Times New Roman" w:hAnsi="Arial" w:cs="Times New Roman"/>
          <w:sz w:val="24"/>
          <w:szCs w:val="24"/>
          <w:lang w:val="en-GB"/>
        </w:rPr>
        <w:t xml:space="preserve"> </w:t>
      </w:r>
    </w:p>
    <w:p w14:paraId="58620DA6" w14:textId="77777777" w:rsidR="004866AD" w:rsidRDefault="004866AD" w:rsidP="004866AD">
      <w:pPr>
        <w:pStyle w:val="ListParagraph"/>
        <w:rPr>
          <w:rFonts w:ascii="Arial" w:eastAsia="Times New Roman" w:hAnsi="Arial" w:cs="Times New Roman"/>
          <w:sz w:val="24"/>
          <w:szCs w:val="24"/>
          <w:lang w:val="en-GB"/>
        </w:rPr>
      </w:pPr>
    </w:p>
    <w:p w14:paraId="21629A13" w14:textId="13D96C98" w:rsidR="00105042" w:rsidRPr="004866AD" w:rsidRDefault="004866AD" w:rsidP="00AF6DDF">
      <w:pPr>
        <w:numPr>
          <w:ilvl w:val="0"/>
          <w:numId w:val="3"/>
        </w:numPr>
        <w:spacing w:after="0" w:line="480" w:lineRule="auto"/>
        <w:contextualSpacing/>
        <w:jc w:val="both"/>
        <w:rPr>
          <w:rFonts w:ascii="Arial" w:eastAsia="Times New Roman" w:hAnsi="Arial" w:cs="Times New Roman"/>
          <w:sz w:val="24"/>
          <w:szCs w:val="24"/>
          <w:lang w:val="en-GB"/>
        </w:rPr>
      </w:pPr>
      <w:r>
        <w:rPr>
          <w:rFonts w:ascii="Arial" w:eastAsia="Calibri" w:hAnsi="Arial" w:cs="Arial"/>
          <w:sz w:val="24"/>
          <w:szCs w:val="24"/>
        </w:rPr>
        <w:lastRenderedPageBreak/>
        <w:t>The Plaintiff’s claim being a</w:t>
      </w:r>
      <w:r w:rsidRPr="00C92E59">
        <w:rPr>
          <w:rFonts w:ascii="Arial" w:eastAsia="Calibri" w:hAnsi="Arial" w:cs="Arial"/>
          <w:sz w:val="24"/>
          <w:szCs w:val="24"/>
        </w:rPr>
        <w:t xml:space="preserve"> passenger claim, it is axiomatic that a modicum of negligence on the part of the insured driver (the proverbial 1%) will suffice to render the Defendant liable for 100% of the Plaintiff’s proven or agreed damages.</w:t>
      </w:r>
      <w:r w:rsidRPr="00C92E59">
        <w:rPr>
          <w:rFonts w:ascii="Arial" w:eastAsia="Calibri" w:hAnsi="Arial" w:cs="Arial"/>
          <w:sz w:val="24"/>
          <w:szCs w:val="24"/>
          <w:vertAlign w:val="superscript"/>
        </w:rPr>
        <w:footnoteReference w:id="4"/>
      </w:r>
      <w:r w:rsidRPr="00C92E59">
        <w:rPr>
          <w:rFonts w:ascii="Arial" w:eastAsia="Calibri" w:hAnsi="Arial" w:cs="Arial"/>
          <w:sz w:val="24"/>
          <w:szCs w:val="24"/>
        </w:rPr>
        <w:t xml:space="preserve">  </w:t>
      </w:r>
      <w:r>
        <w:rPr>
          <w:rFonts w:ascii="Arial" w:eastAsia="Times New Roman" w:hAnsi="Arial" w:cs="Times New Roman"/>
          <w:sz w:val="24"/>
          <w:szCs w:val="24"/>
          <w:lang w:val="en-GB"/>
        </w:rPr>
        <w:t xml:space="preserve"> </w:t>
      </w:r>
      <w:r w:rsidR="00745439" w:rsidRPr="004866AD">
        <w:rPr>
          <w:rFonts w:ascii="Arial" w:eastAsia="Times New Roman" w:hAnsi="Arial" w:cs="Times New Roman"/>
          <w:sz w:val="24"/>
          <w:szCs w:val="24"/>
          <w:lang w:val="en-GB"/>
        </w:rPr>
        <w:t>The insured driver</w:t>
      </w:r>
      <w:r w:rsidR="00700AFF" w:rsidRPr="004866AD">
        <w:rPr>
          <w:rFonts w:ascii="Arial" w:eastAsia="Times New Roman" w:hAnsi="Arial" w:cs="Times New Roman"/>
          <w:sz w:val="24"/>
          <w:szCs w:val="24"/>
          <w:lang w:val="en-GB"/>
        </w:rPr>
        <w:t xml:space="preserve"> </w:t>
      </w:r>
      <w:r w:rsidR="004E0E9C" w:rsidRPr="004866AD">
        <w:rPr>
          <w:rFonts w:ascii="Arial" w:eastAsia="Times New Roman" w:hAnsi="Arial" w:cs="Times New Roman"/>
          <w:sz w:val="24"/>
          <w:szCs w:val="24"/>
          <w:lang w:val="en-GB"/>
        </w:rPr>
        <w:t xml:space="preserve">was at least 1% negligent and I find that the Defendant is liable for 100% of the Plaintiff’s proven damages. </w:t>
      </w:r>
    </w:p>
    <w:p w14:paraId="6317AF35" w14:textId="77777777" w:rsidR="00F212BC" w:rsidRPr="00E168A7" w:rsidRDefault="00F212BC" w:rsidP="00F212BC">
      <w:pPr>
        <w:spacing w:after="0" w:line="480" w:lineRule="auto"/>
        <w:contextualSpacing/>
        <w:jc w:val="both"/>
        <w:rPr>
          <w:rFonts w:ascii="Arial" w:eastAsia="Times New Roman" w:hAnsi="Arial" w:cs="Times New Roman"/>
          <w:sz w:val="24"/>
          <w:szCs w:val="24"/>
          <w:lang w:val="en-GB"/>
        </w:rPr>
      </w:pPr>
    </w:p>
    <w:p w14:paraId="0170DA24" w14:textId="0507C823" w:rsidR="002A44F2" w:rsidRDefault="00105042" w:rsidP="00AF6DDF">
      <w:pPr>
        <w:pStyle w:val="ListParagraph"/>
        <w:numPr>
          <w:ilvl w:val="0"/>
          <w:numId w:val="3"/>
        </w:numPr>
        <w:spacing w:after="0" w:line="480" w:lineRule="auto"/>
        <w:jc w:val="both"/>
        <w:rPr>
          <w:rFonts w:ascii="Arial" w:eastAsia="Times New Roman" w:hAnsi="Arial" w:cs="Times New Roman"/>
          <w:sz w:val="24"/>
          <w:szCs w:val="24"/>
          <w:lang w:val="en-GB"/>
        </w:rPr>
      </w:pPr>
      <w:r w:rsidRPr="004E0E9C">
        <w:rPr>
          <w:rFonts w:ascii="Arial" w:eastAsia="Times New Roman" w:hAnsi="Arial" w:cs="Times New Roman"/>
          <w:sz w:val="24"/>
          <w:szCs w:val="24"/>
          <w:lang w:val="en-GB"/>
        </w:rPr>
        <w:t xml:space="preserve">The remaining </w:t>
      </w:r>
      <w:r w:rsidR="004E0E9C" w:rsidRPr="004E0E9C">
        <w:rPr>
          <w:rFonts w:ascii="Arial" w:eastAsia="Times New Roman" w:hAnsi="Arial" w:cs="Times New Roman"/>
          <w:sz w:val="24"/>
          <w:szCs w:val="24"/>
          <w:lang w:val="en-GB"/>
        </w:rPr>
        <w:t>issue is the quantification of the damages</w:t>
      </w:r>
      <w:r w:rsidR="004E0E9C">
        <w:rPr>
          <w:rFonts w:ascii="Arial" w:eastAsia="Times New Roman" w:hAnsi="Arial" w:cs="Times New Roman"/>
          <w:sz w:val="24"/>
          <w:szCs w:val="24"/>
          <w:lang w:val="en-GB"/>
        </w:rPr>
        <w:t>.</w:t>
      </w:r>
      <w:r w:rsidR="002A44F2">
        <w:rPr>
          <w:rFonts w:ascii="Arial" w:eastAsia="Times New Roman" w:hAnsi="Arial" w:cs="Times New Roman"/>
          <w:sz w:val="24"/>
          <w:szCs w:val="24"/>
          <w:lang w:val="en-GB"/>
        </w:rPr>
        <w:t xml:space="preserve"> The Plaintiff persist</w:t>
      </w:r>
      <w:r w:rsidR="00A51C92">
        <w:rPr>
          <w:rFonts w:ascii="Arial" w:eastAsia="Times New Roman" w:hAnsi="Arial" w:cs="Times New Roman"/>
          <w:sz w:val="24"/>
          <w:szCs w:val="24"/>
          <w:lang w:val="en-GB"/>
        </w:rPr>
        <w:t>s</w:t>
      </w:r>
      <w:r w:rsidR="002A44F2">
        <w:rPr>
          <w:rFonts w:ascii="Arial" w:eastAsia="Times New Roman" w:hAnsi="Arial" w:cs="Times New Roman"/>
          <w:sz w:val="24"/>
          <w:szCs w:val="24"/>
          <w:lang w:val="en-GB"/>
        </w:rPr>
        <w:t xml:space="preserve"> with the claim for general damages, loss of income and future medical expenses. </w:t>
      </w:r>
      <w:r w:rsidR="0021187C">
        <w:rPr>
          <w:rFonts w:ascii="Arial" w:eastAsia="Times New Roman" w:hAnsi="Arial" w:cs="Times New Roman"/>
          <w:sz w:val="24"/>
          <w:szCs w:val="24"/>
          <w:lang w:val="en-GB"/>
        </w:rPr>
        <w:t xml:space="preserve">The Plaintiff relies on expert evidence. The experts filed affidavits which elevated their reports to evidence before the court. The first issue that I must consider </w:t>
      </w:r>
      <w:r w:rsidR="00A51C92">
        <w:rPr>
          <w:rFonts w:ascii="Arial" w:eastAsia="Times New Roman" w:hAnsi="Arial" w:cs="Times New Roman"/>
          <w:sz w:val="24"/>
          <w:szCs w:val="24"/>
          <w:lang w:val="en-GB"/>
        </w:rPr>
        <w:t xml:space="preserve">is </w:t>
      </w:r>
      <w:r w:rsidR="0021187C">
        <w:rPr>
          <w:rFonts w:ascii="Arial" w:eastAsia="Times New Roman" w:hAnsi="Arial" w:cs="Times New Roman"/>
          <w:sz w:val="24"/>
          <w:szCs w:val="24"/>
          <w:lang w:val="en-GB"/>
        </w:rPr>
        <w:t>if Judge Vally (J) introduced a new admissibility requirement for expert evidence</w:t>
      </w:r>
      <w:r w:rsidR="006A366E">
        <w:rPr>
          <w:rFonts w:ascii="Arial" w:eastAsia="Times New Roman" w:hAnsi="Arial" w:cs="Times New Roman"/>
          <w:sz w:val="24"/>
          <w:szCs w:val="24"/>
          <w:lang w:val="en-GB"/>
        </w:rPr>
        <w:t xml:space="preserve"> in </w:t>
      </w:r>
      <w:r w:rsidR="006A366E" w:rsidRPr="006A366E">
        <w:rPr>
          <w:rFonts w:ascii="Arial" w:eastAsia="Times New Roman" w:hAnsi="Arial" w:cs="Times New Roman"/>
          <w:i/>
          <w:iCs/>
          <w:sz w:val="24"/>
          <w:szCs w:val="24"/>
          <w:lang w:val="en-GB"/>
        </w:rPr>
        <w:t>Twine and Another v Naidoo and another</w:t>
      </w:r>
      <w:r w:rsidR="006A366E">
        <w:rPr>
          <w:rFonts w:ascii="Arial" w:eastAsia="Times New Roman" w:hAnsi="Arial" w:cs="Times New Roman"/>
          <w:i/>
          <w:iCs/>
          <w:sz w:val="24"/>
          <w:szCs w:val="24"/>
          <w:lang w:val="en-GB"/>
        </w:rPr>
        <w:t>.</w:t>
      </w:r>
      <w:r w:rsidR="006A366E" w:rsidRPr="006A366E">
        <w:rPr>
          <w:rFonts w:ascii="Arial" w:eastAsia="Times New Roman" w:hAnsi="Arial" w:cs="Times New Roman"/>
          <w:sz w:val="24"/>
          <w:szCs w:val="24"/>
          <w:vertAlign w:val="superscript"/>
          <w:lang w:val="en-GB"/>
        </w:rPr>
        <w:footnoteReference w:id="5"/>
      </w:r>
    </w:p>
    <w:p w14:paraId="77CE72C3" w14:textId="77777777" w:rsidR="0021187C" w:rsidRPr="00106DC7" w:rsidRDefault="0021187C" w:rsidP="00106DC7">
      <w:pPr>
        <w:spacing w:after="0" w:line="480" w:lineRule="auto"/>
        <w:jc w:val="both"/>
        <w:rPr>
          <w:rFonts w:ascii="Arial" w:eastAsia="Times New Roman" w:hAnsi="Arial" w:cs="Times New Roman"/>
          <w:sz w:val="24"/>
          <w:szCs w:val="24"/>
          <w:lang w:val="en-GB"/>
        </w:rPr>
      </w:pPr>
    </w:p>
    <w:p w14:paraId="171C9656" w14:textId="77777777" w:rsidR="0021187C" w:rsidRPr="00931E08" w:rsidRDefault="0021187C" w:rsidP="0021187C">
      <w:pPr>
        <w:spacing w:after="0" w:line="480" w:lineRule="auto"/>
        <w:jc w:val="both"/>
        <w:rPr>
          <w:rFonts w:ascii="Arial" w:eastAsia="Times New Roman" w:hAnsi="Arial" w:cs="Times New Roman"/>
          <w:b/>
          <w:bCs/>
          <w:i/>
          <w:iCs/>
          <w:sz w:val="24"/>
          <w:szCs w:val="24"/>
          <w:lang w:val="en-GB"/>
        </w:rPr>
      </w:pPr>
      <w:r w:rsidRPr="00931E08">
        <w:rPr>
          <w:rFonts w:ascii="Arial" w:eastAsia="Times New Roman" w:hAnsi="Arial" w:cs="Times New Roman"/>
          <w:b/>
          <w:bCs/>
          <w:i/>
          <w:iCs/>
          <w:sz w:val="24"/>
          <w:szCs w:val="24"/>
          <w:lang w:val="en-GB"/>
        </w:rPr>
        <w:t>A new admissibility requirement?</w:t>
      </w:r>
    </w:p>
    <w:p w14:paraId="45D21D8A" w14:textId="780C531F" w:rsidR="0021187C" w:rsidRDefault="0021187C"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Expert evidence had always been admitted if the evidence </w:t>
      </w:r>
      <w:r w:rsidR="006A366E">
        <w:rPr>
          <w:rFonts w:ascii="Arial" w:eastAsia="Times New Roman" w:hAnsi="Arial" w:cs="Times New Roman"/>
          <w:sz w:val="24"/>
          <w:szCs w:val="24"/>
          <w:lang w:val="en-GB"/>
        </w:rPr>
        <w:t xml:space="preserve">to be so admitted </w:t>
      </w:r>
      <w:r>
        <w:rPr>
          <w:rFonts w:ascii="Arial" w:eastAsia="Times New Roman" w:hAnsi="Arial" w:cs="Times New Roman"/>
          <w:sz w:val="24"/>
          <w:szCs w:val="24"/>
          <w:lang w:val="en-GB"/>
        </w:rPr>
        <w:t>is relevant</w:t>
      </w:r>
      <w:r w:rsidR="006A366E">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w:t>
      </w:r>
      <w:r w:rsidR="006A366E">
        <w:rPr>
          <w:rFonts w:ascii="Arial" w:eastAsia="Times New Roman" w:hAnsi="Arial" w:cs="Times New Roman"/>
          <w:sz w:val="24"/>
          <w:szCs w:val="24"/>
          <w:lang w:val="en-GB"/>
        </w:rPr>
        <w:t>Expert</w:t>
      </w:r>
      <w:r>
        <w:rPr>
          <w:rFonts w:ascii="Arial" w:eastAsia="Times New Roman" w:hAnsi="Arial" w:cs="Times New Roman"/>
          <w:sz w:val="24"/>
          <w:szCs w:val="24"/>
          <w:lang w:val="en-GB"/>
        </w:rPr>
        <w:t xml:space="preserve"> evidence is relevant where expert</w:t>
      </w:r>
      <w:r w:rsidR="006A366E">
        <w:rPr>
          <w:rFonts w:ascii="Arial" w:eastAsia="Times New Roman" w:hAnsi="Arial" w:cs="Times New Roman"/>
          <w:sz w:val="24"/>
          <w:szCs w:val="24"/>
          <w:lang w:val="en-GB"/>
        </w:rPr>
        <w:t xml:space="preserve"> witnesses</w:t>
      </w:r>
      <w:r>
        <w:rPr>
          <w:rFonts w:ascii="Arial" w:eastAsia="Times New Roman" w:hAnsi="Arial" w:cs="Times New Roman"/>
          <w:sz w:val="24"/>
          <w:szCs w:val="24"/>
          <w:lang w:val="en-GB"/>
        </w:rPr>
        <w:t>, by virtue of the nature of the dispute, are in a better position tha</w:t>
      </w:r>
      <w:r w:rsidR="00A51C92">
        <w:rPr>
          <w:rFonts w:ascii="Arial" w:eastAsia="Times New Roman" w:hAnsi="Arial" w:cs="Times New Roman"/>
          <w:sz w:val="24"/>
          <w:szCs w:val="24"/>
          <w:lang w:val="en-GB"/>
        </w:rPr>
        <w:t>n</w:t>
      </w:r>
      <w:r>
        <w:rPr>
          <w:rFonts w:ascii="Arial" w:eastAsia="Times New Roman" w:hAnsi="Arial" w:cs="Times New Roman"/>
          <w:sz w:val="24"/>
          <w:szCs w:val="24"/>
          <w:lang w:val="en-GB"/>
        </w:rPr>
        <w:t xml:space="preserve"> the court to draw competent and reasoned inferences from the facts.</w:t>
      </w:r>
      <w:r>
        <w:rPr>
          <w:rStyle w:val="FootnoteReference"/>
          <w:rFonts w:ascii="Arial" w:eastAsia="Times New Roman" w:hAnsi="Arial" w:cs="Times New Roman"/>
          <w:sz w:val="24"/>
          <w:szCs w:val="24"/>
          <w:lang w:val="en-GB"/>
        </w:rPr>
        <w:footnoteReference w:id="6"/>
      </w:r>
      <w:r>
        <w:rPr>
          <w:rFonts w:ascii="Arial" w:eastAsia="Times New Roman" w:hAnsi="Arial" w:cs="Times New Roman"/>
          <w:sz w:val="24"/>
          <w:szCs w:val="24"/>
          <w:lang w:val="en-GB"/>
        </w:rPr>
        <w:t xml:space="preserve"> </w:t>
      </w:r>
    </w:p>
    <w:p w14:paraId="6D5CAF89" w14:textId="352E7B1C" w:rsidR="0021187C" w:rsidRDefault="0021187C" w:rsidP="0021187C">
      <w:pPr>
        <w:pStyle w:val="ListParagraph"/>
        <w:spacing w:after="0" w:line="480" w:lineRule="auto"/>
        <w:ind w:left="360"/>
        <w:jc w:val="both"/>
        <w:rPr>
          <w:rFonts w:ascii="Arial" w:eastAsia="Times New Roman" w:hAnsi="Arial" w:cs="Times New Roman"/>
          <w:sz w:val="24"/>
          <w:szCs w:val="24"/>
          <w:lang w:val="en-GB"/>
        </w:rPr>
      </w:pPr>
    </w:p>
    <w:p w14:paraId="09CECE2A" w14:textId="646B970E" w:rsidR="008E15E8" w:rsidRDefault="0021187C"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lastRenderedPageBreak/>
        <w:t xml:space="preserve">In </w:t>
      </w:r>
      <w:r w:rsidR="00773B1D">
        <w:rPr>
          <w:rFonts w:ascii="Arial" w:eastAsia="Times New Roman" w:hAnsi="Arial" w:cs="Times New Roman"/>
          <w:sz w:val="24"/>
          <w:szCs w:val="24"/>
          <w:lang w:val="en-GB"/>
        </w:rPr>
        <w:t>most American states</w:t>
      </w:r>
      <w:r w:rsidR="008E15E8">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more than mere relevan</w:t>
      </w:r>
      <w:r w:rsidR="008E15E8">
        <w:rPr>
          <w:rFonts w:ascii="Arial" w:eastAsia="Times New Roman" w:hAnsi="Arial" w:cs="Times New Roman"/>
          <w:sz w:val="24"/>
          <w:szCs w:val="24"/>
          <w:lang w:val="en-GB"/>
        </w:rPr>
        <w:t>ce</w:t>
      </w:r>
      <w:r>
        <w:rPr>
          <w:rFonts w:ascii="Arial" w:eastAsia="Times New Roman" w:hAnsi="Arial" w:cs="Times New Roman"/>
          <w:sz w:val="24"/>
          <w:szCs w:val="24"/>
          <w:lang w:val="en-GB"/>
        </w:rPr>
        <w:t xml:space="preserve"> is </w:t>
      </w:r>
      <w:r w:rsidR="008E15E8">
        <w:rPr>
          <w:rFonts w:ascii="Arial" w:eastAsia="Times New Roman" w:hAnsi="Arial" w:cs="Times New Roman"/>
          <w:sz w:val="24"/>
          <w:szCs w:val="24"/>
          <w:lang w:val="en-GB"/>
        </w:rPr>
        <w:t>necessary</w:t>
      </w:r>
      <w:r>
        <w:rPr>
          <w:rFonts w:ascii="Arial" w:eastAsia="Times New Roman" w:hAnsi="Arial" w:cs="Times New Roman"/>
          <w:sz w:val="24"/>
          <w:szCs w:val="24"/>
          <w:lang w:val="en-GB"/>
        </w:rPr>
        <w:t xml:space="preserve"> for expert evidence to be admitted. </w:t>
      </w:r>
      <w:r w:rsidR="008E15E8">
        <w:rPr>
          <w:rFonts w:ascii="Arial" w:eastAsia="Times New Roman" w:hAnsi="Arial" w:cs="Times New Roman"/>
          <w:sz w:val="24"/>
          <w:szCs w:val="24"/>
          <w:lang w:val="en-GB"/>
        </w:rPr>
        <w:t>The expert e</w:t>
      </w:r>
      <w:r>
        <w:rPr>
          <w:rFonts w:ascii="Arial" w:eastAsia="Times New Roman" w:hAnsi="Arial" w:cs="Times New Roman"/>
          <w:sz w:val="24"/>
          <w:szCs w:val="24"/>
          <w:lang w:val="en-GB"/>
        </w:rPr>
        <w:t xml:space="preserve">vidence must </w:t>
      </w:r>
      <w:r w:rsidR="008E15E8">
        <w:rPr>
          <w:rFonts w:ascii="Arial" w:eastAsia="Times New Roman" w:hAnsi="Arial" w:cs="Times New Roman"/>
          <w:sz w:val="24"/>
          <w:szCs w:val="24"/>
          <w:lang w:val="en-GB"/>
        </w:rPr>
        <w:t xml:space="preserve">additionally </w:t>
      </w:r>
      <w:r>
        <w:rPr>
          <w:rFonts w:ascii="Arial" w:eastAsia="Times New Roman" w:hAnsi="Arial" w:cs="Times New Roman"/>
          <w:sz w:val="24"/>
          <w:szCs w:val="24"/>
          <w:lang w:val="en-GB"/>
        </w:rPr>
        <w:t>be reliable.</w:t>
      </w:r>
      <w:r w:rsidR="008E15E8">
        <w:rPr>
          <w:rStyle w:val="FootnoteReference"/>
          <w:rFonts w:ascii="Arial" w:eastAsia="Times New Roman" w:hAnsi="Arial" w:cs="Times New Roman"/>
          <w:sz w:val="24"/>
          <w:szCs w:val="24"/>
          <w:lang w:val="en-GB"/>
        </w:rPr>
        <w:footnoteReference w:id="7"/>
      </w:r>
      <w:r w:rsidR="008E15E8">
        <w:rPr>
          <w:rFonts w:ascii="Arial" w:eastAsia="Times New Roman" w:hAnsi="Arial" w:cs="Times New Roman"/>
          <w:sz w:val="24"/>
          <w:szCs w:val="24"/>
          <w:lang w:val="en-GB"/>
        </w:rPr>
        <w:t xml:space="preserve"> Reliability of the expert evidence is tested in that the court considers:</w:t>
      </w:r>
      <w:r w:rsidR="008E15E8">
        <w:rPr>
          <w:rStyle w:val="FootnoteReference"/>
          <w:rFonts w:ascii="Arial" w:eastAsia="Times New Roman" w:hAnsi="Arial" w:cs="Times New Roman"/>
          <w:sz w:val="24"/>
          <w:szCs w:val="24"/>
          <w:lang w:val="en-GB"/>
        </w:rPr>
        <w:footnoteReference w:id="8"/>
      </w:r>
    </w:p>
    <w:p w14:paraId="5DC7D6D4" w14:textId="77777777" w:rsidR="008E15E8" w:rsidRPr="008E15E8" w:rsidRDefault="008E15E8" w:rsidP="008E15E8">
      <w:pPr>
        <w:pStyle w:val="ListParagraph"/>
        <w:rPr>
          <w:rFonts w:ascii="Open Sans" w:eastAsia="Times New Roman" w:hAnsi="Open Sans" w:cs="Open Sans"/>
          <w:color w:val="333333"/>
          <w:sz w:val="24"/>
          <w:szCs w:val="24"/>
          <w:lang w:eastAsia="en-ZA"/>
        </w:rPr>
      </w:pPr>
    </w:p>
    <w:p w14:paraId="0F313E8A" w14:textId="54CC1C11" w:rsidR="008E15E8" w:rsidRPr="008E15E8" w:rsidRDefault="008E15E8" w:rsidP="00AF6DDF">
      <w:pPr>
        <w:pStyle w:val="ListParagraph"/>
        <w:numPr>
          <w:ilvl w:val="1"/>
          <w:numId w:val="3"/>
        </w:numPr>
        <w:spacing w:after="0" w:line="480" w:lineRule="auto"/>
        <w:ind w:left="1134" w:hanging="708"/>
        <w:jc w:val="both"/>
        <w:rPr>
          <w:rFonts w:asciiTheme="minorBidi" w:eastAsia="Times New Roman" w:hAnsiTheme="minorBidi"/>
          <w:sz w:val="24"/>
          <w:szCs w:val="24"/>
          <w:lang w:val="en-GB"/>
        </w:rPr>
      </w:pPr>
      <w:r w:rsidRPr="008E15E8">
        <w:rPr>
          <w:rFonts w:asciiTheme="minorBidi" w:eastAsia="Times New Roman" w:hAnsiTheme="minorBidi"/>
          <w:sz w:val="24"/>
          <w:szCs w:val="24"/>
          <w:lang w:eastAsia="en-ZA"/>
        </w:rPr>
        <w:t>Whether the technique or theory in question can be</w:t>
      </w:r>
      <w:r>
        <w:rPr>
          <w:rFonts w:asciiTheme="minorBidi" w:eastAsia="Times New Roman" w:hAnsiTheme="minorBidi"/>
          <w:sz w:val="24"/>
          <w:szCs w:val="24"/>
          <w:lang w:eastAsia="en-ZA"/>
        </w:rPr>
        <w:t xml:space="preserve"> </w:t>
      </w:r>
      <w:r w:rsidRPr="008E15E8">
        <w:rPr>
          <w:rFonts w:asciiTheme="minorBidi" w:eastAsia="Times New Roman" w:hAnsiTheme="minorBidi"/>
          <w:sz w:val="24"/>
          <w:szCs w:val="24"/>
          <w:lang w:eastAsia="en-ZA"/>
        </w:rPr>
        <w:t>and has been tested</w:t>
      </w:r>
      <w:r w:rsidR="006A366E">
        <w:rPr>
          <w:rFonts w:asciiTheme="minorBidi" w:eastAsia="Times New Roman" w:hAnsiTheme="minorBidi"/>
          <w:sz w:val="24"/>
          <w:szCs w:val="24"/>
          <w:lang w:eastAsia="en-ZA"/>
        </w:rPr>
        <w:t>.</w:t>
      </w:r>
    </w:p>
    <w:p w14:paraId="64C35C79" w14:textId="61C5D47A" w:rsidR="008E15E8" w:rsidRPr="008E15E8" w:rsidRDefault="008E15E8" w:rsidP="00AF6DDF">
      <w:pPr>
        <w:pStyle w:val="ListParagraph"/>
        <w:numPr>
          <w:ilvl w:val="1"/>
          <w:numId w:val="3"/>
        </w:numPr>
        <w:spacing w:after="0" w:line="480" w:lineRule="auto"/>
        <w:ind w:left="1134" w:hanging="708"/>
        <w:jc w:val="both"/>
        <w:rPr>
          <w:rFonts w:asciiTheme="minorBidi" w:eastAsia="Times New Roman" w:hAnsiTheme="minorBidi"/>
          <w:sz w:val="24"/>
          <w:szCs w:val="24"/>
          <w:lang w:val="en-GB"/>
        </w:rPr>
      </w:pPr>
      <w:r w:rsidRPr="008E15E8">
        <w:rPr>
          <w:rFonts w:asciiTheme="minorBidi" w:eastAsia="Times New Roman" w:hAnsiTheme="minorBidi"/>
          <w:sz w:val="24"/>
          <w:szCs w:val="24"/>
          <w:lang w:eastAsia="en-ZA"/>
        </w:rPr>
        <w:t>Whether it has been subjected to publication and peer review</w:t>
      </w:r>
      <w:r w:rsidR="006A366E">
        <w:rPr>
          <w:rFonts w:asciiTheme="minorBidi" w:eastAsia="Times New Roman" w:hAnsiTheme="minorBidi"/>
          <w:sz w:val="24"/>
          <w:szCs w:val="24"/>
          <w:lang w:eastAsia="en-ZA"/>
        </w:rPr>
        <w:t>.</w:t>
      </w:r>
    </w:p>
    <w:p w14:paraId="6BE05B4C" w14:textId="14DDC6B2" w:rsidR="008E15E8" w:rsidRPr="008E15E8" w:rsidRDefault="008E15E8" w:rsidP="00AF6DDF">
      <w:pPr>
        <w:pStyle w:val="ListParagraph"/>
        <w:numPr>
          <w:ilvl w:val="1"/>
          <w:numId w:val="3"/>
        </w:numPr>
        <w:spacing w:after="0" w:line="480" w:lineRule="auto"/>
        <w:ind w:left="1134" w:hanging="708"/>
        <w:jc w:val="both"/>
        <w:rPr>
          <w:rFonts w:asciiTheme="minorBidi" w:eastAsia="Times New Roman" w:hAnsiTheme="minorBidi"/>
          <w:sz w:val="24"/>
          <w:szCs w:val="24"/>
          <w:lang w:val="en-GB"/>
        </w:rPr>
      </w:pPr>
      <w:r w:rsidRPr="008E15E8">
        <w:rPr>
          <w:rFonts w:asciiTheme="minorBidi" w:eastAsia="Times New Roman" w:hAnsiTheme="minorBidi"/>
          <w:sz w:val="24"/>
          <w:szCs w:val="24"/>
          <w:lang w:eastAsia="en-ZA"/>
        </w:rPr>
        <w:t>Its known or potential error rate</w:t>
      </w:r>
      <w:r w:rsidR="006A366E">
        <w:rPr>
          <w:rFonts w:asciiTheme="minorBidi" w:eastAsia="Times New Roman" w:hAnsiTheme="minorBidi"/>
          <w:sz w:val="24"/>
          <w:szCs w:val="24"/>
          <w:lang w:eastAsia="en-ZA"/>
        </w:rPr>
        <w:t>.</w:t>
      </w:r>
    </w:p>
    <w:p w14:paraId="1FCD7EC7" w14:textId="77777777" w:rsidR="008E15E8" w:rsidRPr="008E15E8" w:rsidRDefault="008E15E8" w:rsidP="00AF6DDF">
      <w:pPr>
        <w:pStyle w:val="ListParagraph"/>
        <w:numPr>
          <w:ilvl w:val="1"/>
          <w:numId w:val="3"/>
        </w:numPr>
        <w:spacing w:after="0" w:line="480" w:lineRule="auto"/>
        <w:ind w:left="1134" w:hanging="708"/>
        <w:jc w:val="both"/>
        <w:rPr>
          <w:rFonts w:asciiTheme="minorBidi" w:eastAsia="Times New Roman" w:hAnsiTheme="minorBidi"/>
          <w:sz w:val="24"/>
          <w:szCs w:val="24"/>
          <w:lang w:val="en-GB"/>
        </w:rPr>
      </w:pPr>
      <w:r w:rsidRPr="008E15E8">
        <w:rPr>
          <w:rFonts w:asciiTheme="minorBidi" w:eastAsia="Times New Roman" w:hAnsiTheme="minorBidi"/>
          <w:sz w:val="24"/>
          <w:szCs w:val="24"/>
          <w:lang w:eastAsia="en-ZA"/>
        </w:rPr>
        <w:t>The existence and maintenance of standards controlling its operation; and </w:t>
      </w:r>
    </w:p>
    <w:p w14:paraId="4E8CEDA5" w14:textId="24C4751C" w:rsidR="008E15E8" w:rsidRPr="008E15E8" w:rsidRDefault="008E15E8" w:rsidP="00AF6DDF">
      <w:pPr>
        <w:pStyle w:val="ListParagraph"/>
        <w:numPr>
          <w:ilvl w:val="1"/>
          <w:numId w:val="3"/>
        </w:numPr>
        <w:spacing w:after="0" w:line="480" w:lineRule="auto"/>
        <w:ind w:left="1134" w:hanging="708"/>
        <w:jc w:val="both"/>
        <w:rPr>
          <w:rFonts w:asciiTheme="minorBidi" w:eastAsia="Times New Roman" w:hAnsiTheme="minorBidi"/>
          <w:sz w:val="24"/>
          <w:szCs w:val="24"/>
          <w:lang w:val="en-GB"/>
        </w:rPr>
      </w:pPr>
      <w:r w:rsidRPr="008E15E8">
        <w:rPr>
          <w:rFonts w:asciiTheme="minorBidi" w:eastAsia="Times New Roman" w:hAnsiTheme="minorBidi"/>
          <w:sz w:val="24"/>
          <w:szCs w:val="24"/>
          <w:lang w:eastAsia="en-ZA"/>
        </w:rPr>
        <w:t>Whether it has attracted widespread acceptance within a relevant scientific community.</w:t>
      </w:r>
    </w:p>
    <w:p w14:paraId="6667E9DA" w14:textId="77777777" w:rsidR="0021187C" w:rsidRPr="00106DC7" w:rsidRDefault="0021187C" w:rsidP="00106DC7">
      <w:pPr>
        <w:spacing w:after="0" w:line="480" w:lineRule="auto"/>
        <w:jc w:val="both"/>
        <w:rPr>
          <w:rFonts w:ascii="Arial" w:eastAsia="Times New Roman" w:hAnsi="Arial" w:cs="Times New Roman"/>
          <w:sz w:val="24"/>
          <w:szCs w:val="24"/>
          <w:lang w:val="en-GB"/>
        </w:rPr>
      </w:pPr>
    </w:p>
    <w:p w14:paraId="6A2CA569" w14:textId="5450605F" w:rsidR="0021187C" w:rsidRPr="00773B1D" w:rsidRDefault="0021187C"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Judge Vally (J) in </w:t>
      </w:r>
      <w:bookmarkStart w:id="1" w:name="_Hlk145303458"/>
      <w:r w:rsidRPr="0089309F">
        <w:rPr>
          <w:rFonts w:ascii="Arial" w:eastAsia="Times New Roman" w:hAnsi="Arial" w:cs="Times New Roman"/>
          <w:i/>
          <w:iCs/>
          <w:sz w:val="24"/>
          <w:szCs w:val="24"/>
          <w:lang w:val="en-GB"/>
        </w:rPr>
        <w:t>Twine and Another v Naid</w:t>
      </w:r>
      <w:r w:rsidR="00106DC7">
        <w:rPr>
          <w:rFonts w:ascii="Arial" w:eastAsia="Times New Roman" w:hAnsi="Arial" w:cs="Times New Roman"/>
          <w:i/>
          <w:iCs/>
          <w:sz w:val="24"/>
          <w:szCs w:val="24"/>
          <w:lang w:val="en-GB"/>
        </w:rPr>
        <w:t>o</w:t>
      </w:r>
      <w:r w:rsidRPr="0089309F">
        <w:rPr>
          <w:rFonts w:ascii="Arial" w:eastAsia="Times New Roman" w:hAnsi="Arial" w:cs="Times New Roman"/>
          <w:i/>
          <w:iCs/>
          <w:sz w:val="24"/>
          <w:szCs w:val="24"/>
          <w:lang w:val="en-GB"/>
        </w:rPr>
        <w:t>o and another</w:t>
      </w:r>
      <w:r>
        <w:rPr>
          <w:rStyle w:val="FootnoteReference"/>
          <w:rFonts w:ascii="Arial" w:eastAsia="Times New Roman" w:hAnsi="Arial" w:cs="Times New Roman"/>
          <w:sz w:val="24"/>
          <w:szCs w:val="24"/>
          <w:lang w:val="en-GB"/>
        </w:rPr>
        <w:footnoteReference w:id="9"/>
      </w:r>
      <w:r>
        <w:rPr>
          <w:rFonts w:ascii="Arial" w:eastAsia="Times New Roman" w:hAnsi="Arial" w:cs="Times New Roman"/>
          <w:sz w:val="24"/>
          <w:szCs w:val="24"/>
          <w:lang w:val="en-GB"/>
        </w:rPr>
        <w:t xml:space="preserve"> </w:t>
      </w:r>
      <w:bookmarkEnd w:id="1"/>
      <w:r>
        <w:rPr>
          <w:rFonts w:ascii="Arial" w:eastAsia="Times New Roman" w:hAnsi="Arial" w:cs="Times New Roman"/>
          <w:sz w:val="24"/>
          <w:szCs w:val="24"/>
          <w:lang w:val="en-GB"/>
        </w:rPr>
        <w:t xml:space="preserve">held that expert evidence must be relevant AND reliable for it to be admissible. The impression is created </w:t>
      </w:r>
      <w:r w:rsidR="00773B1D">
        <w:rPr>
          <w:rFonts w:ascii="Arial" w:eastAsia="Times New Roman" w:hAnsi="Arial" w:cs="Times New Roman"/>
          <w:sz w:val="24"/>
          <w:szCs w:val="24"/>
          <w:lang w:val="en-GB"/>
        </w:rPr>
        <w:t xml:space="preserve">that </w:t>
      </w:r>
      <w:r>
        <w:rPr>
          <w:rFonts w:ascii="Arial" w:eastAsia="Times New Roman" w:hAnsi="Arial" w:cs="Times New Roman"/>
          <w:sz w:val="24"/>
          <w:szCs w:val="24"/>
          <w:lang w:val="en-GB"/>
        </w:rPr>
        <w:t>a further admissibility requirement</w:t>
      </w:r>
      <w:r w:rsidR="00773B1D">
        <w:rPr>
          <w:rFonts w:ascii="Arial" w:eastAsia="Times New Roman" w:hAnsi="Arial" w:cs="Times New Roman"/>
          <w:sz w:val="24"/>
          <w:szCs w:val="24"/>
          <w:lang w:val="en-GB"/>
        </w:rPr>
        <w:t xml:space="preserve"> had been established</w:t>
      </w:r>
      <w:r>
        <w:rPr>
          <w:rFonts w:ascii="Arial" w:eastAsia="Times New Roman" w:hAnsi="Arial" w:cs="Times New Roman"/>
          <w:sz w:val="24"/>
          <w:szCs w:val="24"/>
          <w:lang w:val="en-GB"/>
        </w:rPr>
        <w:t xml:space="preserve">, specifically that it must be shown that the opinion is </w:t>
      </w:r>
      <w:r w:rsidR="008E15E8">
        <w:rPr>
          <w:rFonts w:ascii="Arial" w:eastAsia="Times New Roman" w:hAnsi="Arial" w:cs="Times New Roman"/>
          <w:sz w:val="24"/>
          <w:szCs w:val="24"/>
          <w:lang w:val="en-GB"/>
        </w:rPr>
        <w:t>reliable</w:t>
      </w:r>
      <w:r>
        <w:rPr>
          <w:rFonts w:ascii="Arial" w:eastAsia="Times New Roman" w:hAnsi="Arial" w:cs="Times New Roman"/>
          <w:sz w:val="24"/>
          <w:szCs w:val="24"/>
          <w:lang w:val="en-GB"/>
        </w:rPr>
        <w:t xml:space="preserve">. At para 18(q) of the judgement, </w:t>
      </w:r>
      <w:r w:rsidR="008E15E8">
        <w:rPr>
          <w:rFonts w:ascii="Arial" w:eastAsia="Times New Roman" w:hAnsi="Arial" w:cs="Times New Roman"/>
          <w:sz w:val="24"/>
          <w:szCs w:val="24"/>
          <w:lang w:val="en-GB"/>
        </w:rPr>
        <w:t>judge</w:t>
      </w:r>
      <w:r>
        <w:rPr>
          <w:rFonts w:ascii="Arial" w:eastAsia="Times New Roman" w:hAnsi="Arial" w:cs="Times New Roman"/>
          <w:sz w:val="24"/>
          <w:szCs w:val="24"/>
          <w:lang w:val="en-GB"/>
        </w:rPr>
        <w:t xml:space="preserve"> Vally (J), under the heading of established principles with regard to the ‘</w:t>
      </w:r>
      <w:r w:rsidRPr="00931E08">
        <w:rPr>
          <w:rFonts w:ascii="Arial" w:eastAsia="Times New Roman" w:hAnsi="Arial" w:cs="Times New Roman"/>
          <w:i/>
          <w:iCs/>
          <w:sz w:val="24"/>
          <w:szCs w:val="24"/>
          <w:lang w:val="en-GB"/>
        </w:rPr>
        <w:t>basic principles involved in the admission of expert evidence</w:t>
      </w:r>
      <w:r>
        <w:rPr>
          <w:rFonts w:ascii="Arial" w:eastAsia="Times New Roman" w:hAnsi="Arial" w:cs="Times New Roman"/>
          <w:sz w:val="24"/>
          <w:szCs w:val="24"/>
          <w:lang w:val="en-GB"/>
        </w:rPr>
        <w:t>’ and the ‘</w:t>
      </w:r>
      <w:r w:rsidRPr="00931E08">
        <w:rPr>
          <w:rFonts w:ascii="Arial" w:eastAsia="Times New Roman" w:hAnsi="Arial" w:cs="Times New Roman"/>
          <w:i/>
          <w:iCs/>
          <w:sz w:val="24"/>
          <w:szCs w:val="24"/>
          <w:lang w:val="en-GB"/>
        </w:rPr>
        <w:t>requirements with regard to expert witnesses</w:t>
      </w:r>
      <w:r>
        <w:rPr>
          <w:rFonts w:ascii="Arial" w:eastAsia="Times New Roman" w:hAnsi="Arial" w:cs="Times New Roman"/>
          <w:sz w:val="24"/>
          <w:szCs w:val="24"/>
          <w:lang w:val="en-GB"/>
        </w:rPr>
        <w:t xml:space="preserve">’, deal with the American Supreme Court case of </w:t>
      </w:r>
      <w:r w:rsidRPr="00B3465D">
        <w:rPr>
          <w:rFonts w:ascii="Arial" w:eastAsia="Times New Roman" w:hAnsi="Arial" w:cs="Times New Roman"/>
          <w:i/>
          <w:iCs/>
          <w:sz w:val="24"/>
          <w:szCs w:val="24"/>
          <w:lang w:val="en-GB"/>
        </w:rPr>
        <w:t>Daubert</w:t>
      </w:r>
      <w:r>
        <w:rPr>
          <w:rStyle w:val="FootnoteReference"/>
          <w:rFonts w:ascii="Arial" w:eastAsia="Times New Roman" w:hAnsi="Arial" w:cs="Times New Roman"/>
          <w:i/>
          <w:iCs/>
          <w:sz w:val="24"/>
          <w:szCs w:val="24"/>
          <w:lang w:val="en-GB"/>
        </w:rPr>
        <w:footnoteReference w:id="10"/>
      </w:r>
      <w:r>
        <w:rPr>
          <w:rFonts w:ascii="Arial" w:eastAsia="Times New Roman" w:hAnsi="Arial" w:cs="Times New Roman"/>
          <w:sz w:val="24"/>
          <w:szCs w:val="24"/>
          <w:lang w:val="en-GB"/>
        </w:rPr>
        <w:t xml:space="preserve"> which goes to the reliability and the falsi</w:t>
      </w:r>
      <w:r w:rsidR="00773B1D">
        <w:rPr>
          <w:rFonts w:ascii="Arial" w:eastAsia="Times New Roman" w:hAnsi="Arial" w:cs="Times New Roman"/>
          <w:sz w:val="24"/>
          <w:szCs w:val="24"/>
          <w:lang w:val="en-GB"/>
        </w:rPr>
        <w:t>fi</w:t>
      </w:r>
      <w:r>
        <w:rPr>
          <w:rFonts w:ascii="Arial" w:eastAsia="Times New Roman" w:hAnsi="Arial" w:cs="Times New Roman"/>
          <w:sz w:val="24"/>
          <w:szCs w:val="24"/>
          <w:lang w:val="en-GB"/>
        </w:rPr>
        <w:t xml:space="preserve">ability of expert evidence.  At para 18(t) the court considered </w:t>
      </w:r>
      <w:r w:rsidR="00A51C92">
        <w:rPr>
          <w:rFonts w:ascii="Arial" w:eastAsia="Times New Roman" w:hAnsi="Arial" w:cs="Times New Roman"/>
          <w:sz w:val="24"/>
          <w:szCs w:val="24"/>
          <w:lang w:val="en-GB"/>
        </w:rPr>
        <w:t xml:space="preserve">if </w:t>
      </w:r>
      <w:r>
        <w:rPr>
          <w:rFonts w:ascii="Arial" w:eastAsia="Times New Roman" w:hAnsi="Arial" w:cs="Times New Roman"/>
          <w:sz w:val="24"/>
          <w:szCs w:val="24"/>
          <w:lang w:val="en-GB"/>
        </w:rPr>
        <w:t xml:space="preserve">the court must not admit junky science as held in the American case of </w:t>
      </w:r>
      <w:r w:rsidRPr="00090181">
        <w:rPr>
          <w:rFonts w:ascii="Arial" w:eastAsia="Times New Roman" w:hAnsi="Arial" w:cs="Times New Roman"/>
          <w:i/>
          <w:iCs/>
          <w:sz w:val="24"/>
          <w:szCs w:val="24"/>
          <w:lang w:val="en-GB"/>
        </w:rPr>
        <w:t xml:space="preserve">Kumbo Tire Co v Carmichael </w:t>
      </w:r>
      <w:r>
        <w:rPr>
          <w:rFonts w:ascii="Arial" w:eastAsia="Times New Roman" w:hAnsi="Arial" w:cs="Times New Roman"/>
          <w:sz w:val="24"/>
          <w:szCs w:val="24"/>
          <w:lang w:val="en-GB"/>
        </w:rPr>
        <w:t xml:space="preserve">[1999] USSC 19. </w:t>
      </w:r>
    </w:p>
    <w:p w14:paraId="183E278F" w14:textId="500F60AB" w:rsidR="0021187C" w:rsidRDefault="0021187C"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lastRenderedPageBreak/>
        <w:t xml:space="preserve">In my view the above </w:t>
      </w:r>
      <w:r w:rsidRPr="006F0848">
        <w:rPr>
          <w:rFonts w:ascii="Arial" w:eastAsia="Times New Roman" w:hAnsi="Arial" w:cs="Times New Roman"/>
          <w:i/>
          <w:iCs/>
          <w:sz w:val="24"/>
          <w:szCs w:val="24"/>
          <w:lang w:val="en-GB"/>
        </w:rPr>
        <w:t>dicta</w:t>
      </w:r>
      <w:r>
        <w:rPr>
          <w:rFonts w:ascii="Arial" w:eastAsia="Times New Roman" w:hAnsi="Arial" w:cs="Times New Roman"/>
          <w:sz w:val="24"/>
          <w:szCs w:val="24"/>
          <w:lang w:val="en-GB"/>
        </w:rPr>
        <w:t xml:space="preserve"> is not authority that an additional test for the admissibility test was established by the court, namely that the expert evidence must be reliable.</w:t>
      </w:r>
      <w:r w:rsidR="006F0848">
        <w:rPr>
          <w:rFonts w:ascii="Arial" w:eastAsia="Times New Roman" w:hAnsi="Arial" w:cs="Times New Roman"/>
          <w:sz w:val="24"/>
          <w:szCs w:val="24"/>
          <w:lang w:val="en-GB"/>
        </w:rPr>
        <w:t xml:space="preserve"> This is clear from a reading of the judgement as a whole and the fact that the court merely set</w:t>
      </w:r>
      <w:r w:rsidR="00A51C92">
        <w:rPr>
          <w:rFonts w:ascii="Arial" w:eastAsia="Times New Roman" w:hAnsi="Arial" w:cs="Times New Roman"/>
          <w:sz w:val="24"/>
          <w:szCs w:val="24"/>
          <w:lang w:val="en-GB"/>
        </w:rPr>
        <w:t>s</w:t>
      </w:r>
      <w:r w:rsidR="006F0848">
        <w:rPr>
          <w:rFonts w:ascii="Arial" w:eastAsia="Times New Roman" w:hAnsi="Arial" w:cs="Times New Roman"/>
          <w:sz w:val="24"/>
          <w:szCs w:val="24"/>
          <w:lang w:val="en-GB"/>
        </w:rPr>
        <w:t xml:space="preserve"> out existing and established principles.</w:t>
      </w:r>
      <w:r>
        <w:rPr>
          <w:rFonts w:ascii="Arial" w:eastAsia="Times New Roman" w:hAnsi="Arial" w:cs="Times New Roman"/>
          <w:sz w:val="24"/>
          <w:szCs w:val="24"/>
          <w:lang w:val="en-GB"/>
        </w:rPr>
        <w:t xml:space="preserve"> To be admissible, the expert opinion must be relevant</w:t>
      </w:r>
      <w:r w:rsidR="006F0848">
        <w:rPr>
          <w:rFonts w:ascii="Arial" w:eastAsia="Times New Roman" w:hAnsi="Arial" w:cs="Times New Roman"/>
          <w:sz w:val="24"/>
          <w:szCs w:val="24"/>
          <w:lang w:val="en-GB"/>
        </w:rPr>
        <w:t xml:space="preserve"> and any doubt as to the reliability of the evidence must go to the weight that the court is to attach to the evidence</w:t>
      </w:r>
      <w:r>
        <w:rPr>
          <w:rFonts w:ascii="Arial" w:eastAsia="Times New Roman" w:hAnsi="Arial" w:cs="Times New Roman"/>
          <w:sz w:val="24"/>
          <w:szCs w:val="24"/>
          <w:lang w:val="en-GB"/>
        </w:rPr>
        <w:t>.</w:t>
      </w:r>
    </w:p>
    <w:p w14:paraId="2E92A899" w14:textId="77777777" w:rsidR="006F0848" w:rsidRPr="006F0848" w:rsidRDefault="006F0848" w:rsidP="006F0848">
      <w:pPr>
        <w:pStyle w:val="ListParagraph"/>
        <w:rPr>
          <w:rFonts w:ascii="Arial" w:eastAsia="Times New Roman" w:hAnsi="Arial" w:cs="Times New Roman"/>
          <w:sz w:val="24"/>
          <w:szCs w:val="24"/>
          <w:lang w:val="en-GB"/>
        </w:rPr>
      </w:pPr>
    </w:p>
    <w:p w14:paraId="271D6AB0" w14:textId="67C6C3AA" w:rsidR="006F0848" w:rsidRPr="006F0848" w:rsidRDefault="006F0848"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I now turn to the first head of damages, general damages.</w:t>
      </w:r>
    </w:p>
    <w:p w14:paraId="56EC8171" w14:textId="77777777" w:rsidR="006B0EB0" w:rsidRDefault="006B0EB0" w:rsidP="00E168A7">
      <w:pPr>
        <w:spacing w:after="0" w:line="480" w:lineRule="auto"/>
        <w:jc w:val="both"/>
        <w:rPr>
          <w:rFonts w:ascii="Arial" w:eastAsia="Times New Roman" w:hAnsi="Arial" w:cs="Times New Roman"/>
          <w:sz w:val="24"/>
          <w:szCs w:val="24"/>
          <w:lang w:val="en-GB"/>
        </w:rPr>
      </w:pPr>
    </w:p>
    <w:p w14:paraId="25974189" w14:textId="40E19FF0" w:rsidR="00E168A7" w:rsidRPr="00E168A7" w:rsidRDefault="00E168A7" w:rsidP="00E168A7">
      <w:pPr>
        <w:spacing w:after="0" w:line="480" w:lineRule="auto"/>
        <w:jc w:val="both"/>
        <w:rPr>
          <w:rFonts w:ascii="Arial" w:eastAsia="Times New Roman" w:hAnsi="Arial" w:cs="Times New Roman"/>
          <w:b/>
          <w:bCs/>
          <w:sz w:val="24"/>
          <w:szCs w:val="24"/>
          <w:lang w:val="en-GB"/>
        </w:rPr>
      </w:pPr>
      <w:r w:rsidRPr="00E168A7">
        <w:rPr>
          <w:rFonts w:ascii="Arial" w:eastAsia="Times New Roman" w:hAnsi="Arial" w:cs="Times New Roman"/>
          <w:b/>
          <w:bCs/>
          <w:sz w:val="24"/>
          <w:szCs w:val="24"/>
          <w:lang w:val="en-GB"/>
        </w:rPr>
        <w:t>General damages</w:t>
      </w:r>
    </w:p>
    <w:p w14:paraId="7D4C7F26" w14:textId="27CCBA6A" w:rsidR="000044D9" w:rsidRPr="00F6012A" w:rsidRDefault="000044D9"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The Plaintiff suffered numerous injuries, some more serious than others. Ju</w:t>
      </w:r>
      <w:r w:rsidR="00A82B3F">
        <w:rPr>
          <w:rFonts w:ascii="Arial" w:eastAsia="Times New Roman" w:hAnsi="Arial" w:cs="Times New Roman"/>
          <w:sz w:val="24"/>
          <w:szCs w:val="24"/>
          <w:lang w:val="en-GB"/>
        </w:rPr>
        <w:t>dge</w:t>
      </w:r>
      <w:r>
        <w:rPr>
          <w:rFonts w:ascii="Arial" w:eastAsia="Times New Roman" w:hAnsi="Arial" w:cs="Times New Roman"/>
          <w:sz w:val="24"/>
          <w:szCs w:val="24"/>
          <w:lang w:val="en-GB"/>
        </w:rPr>
        <w:t xml:space="preserve"> Sardiwalla J, </w:t>
      </w:r>
      <w:r w:rsidR="00A82B3F">
        <w:rPr>
          <w:rFonts w:ascii="Arial" w:eastAsia="Times New Roman" w:hAnsi="Arial" w:cs="Times New Roman"/>
          <w:sz w:val="24"/>
          <w:szCs w:val="24"/>
          <w:lang w:val="en-GB"/>
        </w:rPr>
        <w:t xml:space="preserve">in this division, </w:t>
      </w:r>
      <w:r>
        <w:rPr>
          <w:rFonts w:ascii="Arial" w:eastAsia="Times New Roman" w:hAnsi="Arial" w:cs="Times New Roman"/>
          <w:sz w:val="24"/>
          <w:szCs w:val="24"/>
          <w:lang w:val="en-GB"/>
        </w:rPr>
        <w:t xml:space="preserve">on 6 December 2018, in the matter of </w:t>
      </w:r>
      <w:r w:rsidRPr="000044D9">
        <w:rPr>
          <w:rFonts w:ascii="Arial" w:eastAsia="Times New Roman" w:hAnsi="Arial" w:cs="Times New Roman"/>
          <w:i/>
          <w:iCs/>
          <w:sz w:val="24"/>
          <w:szCs w:val="24"/>
          <w:lang w:val="en-GB"/>
        </w:rPr>
        <w:t>Vusi Petros Skosana v Road Accident Fund</w:t>
      </w:r>
      <w:r>
        <w:rPr>
          <w:rFonts w:ascii="Arial" w:eastAsia="Times New Roman" w:hAnsi="Arial" w:cs="Times New Roman"/>
          <w:sz w:val="24"/>
          <w:szCs w:val="24"/>
          <w:lang w:val="en-GB"/>
        </w:rPr>
        <w:t xml:space="preserve"> (3204/2015), correctly in my view, made the following declaration:</w:t>
      </w:r>
    </w:p>
    <w:p w14:paraId="4319F724" w14:textId="540B4F7D" w:rsidR="000044D9" w:rsidRDefault="000044D9" w:rsidP="00A82B3F">
      <w:pPr>
        <w:pStyle w:val="ListParagraph"/>
        <w:spacing w:after="0" w:line="480" w:lineRule="auto"/>
        <w:ind w:left="1440"/>
        <w:jc w:val="both"/>
        <w:rPr>
          <w:rFonts w:ascii="Arial" w:eastAsia="Times New Roman" w:hAnsi="Arial" w:cs="Times New Roman"/>
          <w:i/>
          <w:iCs/>
          <w:sz w:val="24"/>
          <w:szCs w:val="24"/>
          <w:lang w:val="en-GB"/>
        </w:rPr>
      </w:pPr>
      <w:r w:rsidRPr="009A378C">
        <w:rPr>
          <w:rFonts w:ascii="Arial" w:eastAsia="Times New Roman" w:hAnsi="Arial" w:cs="Times New Roman"/>
          <w:i/>
          <w:iCs/>
          <w:sz w:val="20"/>
          <w:szCs w:val="20"/>
          <w:lang w:val="en-GB"/>
        </w:rPr>
        <w:t>‘It is declared that, as there exists a serious injury in terms of Act 56 of 1996 and the Regulations promulgated thereon, the Plaintiff is entitled to general/ non-pecuniary damages for all his accident related injuries and sequelae and not solely in respect of that serious injury’.</w:t>
      </w:r>
      <w:r w:rsidRPr="009A378C">
        <w:rPr>
          <w:rFonts w:ascii="Arial" w:eastAsia="Times New Roman" w:hAnsi="Arial" w:cs="Times New Roman"/>
          <w:i/>
          <w:iCs/>
          <w:sz w:val="24"/>
          <w:szCs w:val="24"/>
          <w:lang w:val="en-GB"/>
        </w:rPr>
        <w:t xml:space="preserve"> </w:t>
      </w:r>
    </w:p>
    <w:p w14:paraId="2924AF7F" w14:textId="77777777" w:rsidR="00A82B3F" w:rsidRPr="00A82B3F" w:rsidRDefault="00A82B3F" w:rsidP="00A82B3F">
      <w:pPr>
        <w:pStyle w:val="ListParagraph"/>
        <w:spacing w:after="0" w:line="480" w:lineRule="auto"/>
        <w:ind w:left="1440"/>
        <w:jc w:val="both"/>
        <w:rPr>
          <w:rFonts w:ascii="Arial" w:eastAsia="Times New Roman" w:hAnsi="Arial" w:cs="Times New Roman"/>
          <w:i/>
          <w:iCs/>
          <w:sz w:val="24"/>
          <w:szCs w:val="24"/>
          <w:lang w:val="en-GB"/>
        </w:rPr>
      </w:pPr>
    </w:p>
    <w:p w14:paraId="6073F06F" w14:textId="22BA4FD5" w:rsidR="009F1B50" w:rsidRDefault="002A44F2" w:rsidP="00AF6DDF">
      <w:pPr>
        <w:pStyle w:val="ListParagraph"/>
        <w:numPr>
          <w:ilvl w:val="0"/>
          <w:numId w:val="3"/>
        </w:numPr>
        <w:spacing w:after="0" w:line="480" w:lineRule="auto"/>
        <w:jc w:val="both"/>
        <w:rPr>
          <w:rFonts w:ascii="Arial" w:hAnsi="Arial"/>
          <w:sz w:val="24"/>
          <w:szCs w:val="24"/>
        </w:rPr>
      </w:pPr>
      <w:r>
        <w:rPr>
          <w:rFonts w:ascii="Arial" w:eastAsia="Times New Roman" w:hAnsi="Arial" w:cs="Times New Roman"/>
          <w:sz w:val="24"/>
          <w:szCs w:val="24"/>
          <w:lang w:val="en-GB"/>
        </w:rPr>
        <w:t>The Defendant had not yet made a decision on the seriousness of the injuries</w:t>
      </w:r>
      <w:r w:rsidR="000044D9">
        <w:rPr>
          <w:rFonts w:ascii="Arial" w:eastAsia="Times New Roman" w:hAnsi="Arial" w:cs="Times New Roman"/>
          <w:sz w:val="24"/>
          <w:szCs w:val="24"/>
          <w:lang w:val="en-GB"/>
        </w:rPr>
        <w:t>, singularly or collectively,</w:t>
      </w:r>
      <w:r>
        <w:rPr>
          <w:rFonts w:ascii="Arial" w:eastAsia="Times New Roman" w:hAnsi="Arial" w:cs="Times New Roman"/>
          <w:sz w:val="24"/>
          <w:szCs w:val="24"/>
          <w:lang w:val="en-GB"/>
        </w:rPr>
        <w:t xml:space="preserve"> and given this lack of a decision, I have no jurisdiction to</w:t>
      </w:r>
      <w:r w:rsidR="009C49DA">
        <w:rPr>
          <w:rFonts w:ascii="Arial" w:eastAsia="Times New Roman" w:hAnsi="Arial" w:cs="Times New Roman"/>
          <w:sz w:val="24"/>
          <w:szCs w:val="24"/>
          <w:lang w:val="en-GB"/>
        </w:rPr>
        <w:t xml:space="preserve"> make an award</w:t>
      </w:r>
      <w:r>
        <w:rPr>
          <w:rFonts w:ascii="Arial" w:eastAsia="Times New Roman" w:hAnsi="Arial" w:cs="Times New Roman"/>
          <w:sz w:val="24"/>
          <w:szCs w:val="24"/>
          <w:lang w:val="en-GB"/>
        </w:rPr>
        <w:t xml:space="preserve"> </w:t>
      </w:r>
      <w:r w:rsidR="009C49DA">
        <w:rPr>
          <w:rFonts w:ascii="Arial" w:eastAsia="Times New Roman" w:hAnsi="Arial" w:cs="Times New Roman"/>
          <w:sz w:val="24"/>
          <w:szCs w:val="24"/>
          <w:lang w:val="en-GB"/>
        </w:rPr>
        <w:lastRenderedPageBreak/>
        <w:t>in respect of</w:t>
      </w:r>
      <w:r>
        <w:rPr>
          <w:rFonts w:ascii="Arial" w:eastAsia="Times New Roman" w:hAnsi="Arial" w:cs="Times New Roman"/>
          <w:sz w:val="24"/>
          <w:szCs w:val="24"/>
          <w:lang w:val="en-GB"/>
        </w:rPr>
        <w:t xml:space="preserve"> the general damages</w:t>
      </w:r>
      <w:r>
        <w:rPr>
          <w:rFonts w:ascii="Arial" w:hAnsi="Arial"/>
          <w:sz w:val="24"/>
          <w:szCs w:val="24"/>
        </w:rPr>
        <w:t>.</w:t>
      </w:r>
      <w:r w:rsidR="00F212BC">
        <w:rPr>
          <w:rStyle w:val="FootnoteReference"/>
          <w:rFonts w:ascii="Arial" w:hAnsi="Arial"/>
          <w:sz w:val="24"/>
          <w:szCs w:val="24"/>
        </w:rPr>
        <w:footnoteReference w:id="11"/>
      </w:r>
      <w:r>
        <w:rPr>
          <w:rFonts w:ascii="Arial" w:hAnsi="Arial"/>
          <w:sz w:val="24"/>
          <w:szCs w:val="24"/>
        </w:rPr>
        <w:t xml:space="preserve"> </w:t>
      </w:r>
      <w:r w:rsidR="00F6012A">
        <w:rPr>
          <w:rFonts w:ascii="Arial" w:hAnsi="Arial"/>
          <w:sz w:val="24"/>
          <w:szCs w:val="24"/>
        </w:rPr>
        <w:t xml:space="preserve">This head of damage is accordingly postponed </w:t>
      </w:r>
      <w:r w:rsidR="00F6012A" w:rsidRPr="00F6012A">
        <w:rPr>
          <w:rFonts w:ascii="Arial" w:hAnsi="Arial"/>
          <w:i/>
          <w:iCs/>
          <w:sz w:val="24"/>
          <w:szCs w:val="24"/>
        </w:rPr>
        <w:t>sine die</w:t>
      </w:r>
      <w:r w:rsidR="00F6012A">
        <w:rPr>
          <w:rFonts w:ascii="Arial" w:hAnsi="Arial"/>
          <w:sz w:val="24"/>
          <w:szCs w:val="24"/>
        </w:rPr>
        <w:t>.</w:t>
      </w:r>
    </w:p>
    <w:p w14:paraId="4111DD60" w14:textId="4B535208" w:rsidR="00A82B3F" w:rsidRDefault="00A82B3F" w:rsidP="00A82B3F">
      <w:pPr>
        <w:pStyle w:val="ListParagraph"/>
        <w:spacing w:after="0" w:line="480" w:lineRule="auto"/>
        <w:ind w:left="360"/>
        <w:jc w:val="both"/>
        <w:rPr>
          <w:rFonts w:ascii="Arial" w:hAnsi="Arial"/>
          <w:sz w:val="24"/>
          <w:szCs w:val="24"/>
        </w:rPr>
      </w:pPr>
    </w:p>
    <w:p w14:paraId="7CB9C2D5" w14:textId="7311D6C2" w:rsidR="00A82B3F" w:rsidRDefault="00A82B3F" w:rsidP="00AF6DDF">
      <w:pPr>
        <w:pStyle w:val="ListParagraph"/>
        <w:numPr>
          <w:ilvl w:val="0"/>
          <w:numId w:val="3"/>
        </w:numPr>
        <w:spacing w:after="0" w:line="480" w:lineRule="auto"/>
        <w:jc w:val="both"/>
        <w:rPr>
          <w:rFonts w:ascii="Arial" w:hAnsi="Arial"/>
          <w:sz w:val="24"/>
          <w:szCs w:val="24"/>
        </w:rPr>
      </w:pPr>
      <w:r>
        <w:rPr>
          <w:rFonts w:ascii="Arial" w:hAnsi="Arial"/>
          <w:sz w:val="24"/>
          <w:szCs w:val="24"/>
        </w:rPr>
        <w:t xml:space="preserve">I will now consider the Plaintiff’s claim for future medical expenses. </w:t>
      </w:r>
    </w:p>
    <w:p w14:paraId="449F31B9" w14:textId="77777777" w:rsidR="00C92E59" w:rsidRPr="009F1B50" w:rsidRDefault="00C92E59" w:rsidP="00C92E59">
      <w:pPr>
        <w:pStyle w:val="ListParagraph"/>
        <w:spacing w:after="0" w:line="480" w:lineRule="auto"/>
        <w:ind w:left="360"/>
        <w:jc w:val="both"/>
        <w:rPr>
          <w:rFonts w:ascii="Arial" w:hAnsi="Arial"/>
          <w:sz w:val="24"/>
          <w:szCs w:val="24"/>
        </w:rPr>
      </w:pPr>
    </w:p>
    <w:p w14:paraId="7973D1E5" w14:textId="39109860" w:rsidR="00E168A7" w:rsidRPr="009F1B50" w:rsidRDefault="00E168A7" w:rsidP="009F1B50">
      <w:pPr>
        <w:spacing w:after="0" w:line="480" w:lineRule="auto"/>
        <w:jc w:val="both"/>
        <w:rPr>
          <w:rFonts w:ascii="Arial" w:hAnsi="Arial"/>
          <w:sz w:val="24"/>
          <w:szCs w:val="24"/>
        </w:rPr>
      </w:pPr>
      <w:r w:rsidRPr="009F1B50">
        <w:rPr>
          <w:rFonts w:ascii="Arial" w:hAnsi="Arial"/>
          <w:b/>
          <w:bCs/>
          <w:sz w:val="24"/>
          <w:szCs w:val="24"/>
        </w:rPr>
        <w:t>Future medical expenses</w:t>
      </w:r>
    </w:p>
    <w:p w14:paraId="519AB6B4" w14:textId="1D62E685" w:rsidR="00F6012A" w:rsidRPr="00F6012A" w:rsidRDefault="009C49DA" w:rsidP="00AF6DDF">
      <w:pPr>
        <w:pStyle w:val="ListParagraph"/>
        <w:numPr>
          <w:ilvl w:val="0"/>
          <w:numId w:val="3"/>
        </w:numPr>
        <w:spacing w:after="0" w:line="480" w:lineRule="auto"/>
        <w:jc w:val="both"/>
        <w:rPr>
          <w:rFonts w:ascii="Arial" w:hAnsi="Arial"/>
          <w:sz w:val="24"/>
          <w:szCs w:val="24"/>
        </w:rPr>
      </w:pPr>
      <w:r w:rsidRPr="009C49DA">
        <w:rPr>
          <w:rFonts w:ascii="Arial" w:eastAsia="Times New Roman" w:hAnsi="Arial" w:cs="Times New Roman"/>
          <w:sz w:val="24"/>
          <w:szCs w:val="24"/>
          <w:lang w:val="en-GB"/>
        </w:rPr>
        <w:t xml:space="preserve">As for the claim for future medical expenses, </w:t>
      </w:r>
      <w:r w:rsidRPr="009C49DA">
        <w:rPr>
          <w:rFonts w:ascii="Arial" w:eastAsia="Calibri" w:hAnsi="Arial" w:cs="Arial"/>
          <w:sz w:val="24"/>
          <w:szCs w:val="24"/>
        </w:rPr>
        <w:t>recoverable are those future costs which are reasonable required to remedy a condition occasioned by the collision or ameliorate it.</w:t>
      </w:r>
      <w:r w:rsidRPr="009C49DA">
        <w:rPr>
          <w:rFonts w:ascii="Calibri" w:hAnsi="Calibri"/>
          <w:vertAlign w:val="superscript"/>
        </w:rPr>
        <w:footnoteReference w:id="12"/>
      </w:r>
      <w:r w:rsidRPr="009C49DA">
        <w:rPr>
          <w:rFonts w:ascii="Arial" w:eastAsia="Calibri" w:hAnsi="Arial" w:cs="Arial"/>
          <w:sz w:val="24"/>
          <w:szCs w:val="24"/>
        </w:rPr>
        <w:t xml:space="preserve"> </w:t>
      </w:r>
      <w:r>
        <w:rPr>
          <w:rFonts w:ascii="Arial" w:eastAsia="Calibri" w:hAnsi="Arial" w:cs="Arial"/>
          <w:sz w:val="24"/>
          <w:szCs w:val="24"/>
        </w:rPr>
        <w:t>The expert</w:t>
      </w:r>
      <w:r w:rsidR="00773B1D">
        <w:rPr>
          <w:rFonts w:ascii="Arial" w:eastAsia="Calibri" w:hAnsi="Arial" w:cs="Arial"/>
          <w:sz w:val="24"/>
          <w:szCs w:val="24"/>
        </w:rPr>
        <w:t xml:space="preserve"> reports which is before the court</w:t>
      </w:r>
      <w:r>
        <w:rPr>
          <w:rFonts w:ascii="Arial" w:eastAsia="Calibri" w:hAnsi="Arial" w:cs="Arial"/>
          <w:sz w:val="24"/>
          <w:szCs w:val="24"/>
        </w:rPr>
        <w:t xml:space="preserve"> anticipate future medical expenses as a direct result of the accident. </w:t>
      </w:r>
    </w:p>
    <w:p w14:paraId="68315B95" w14:textId="77777777" w:rsidR="00F6012A" w:rsidRPr="00F6012A" w:rsidRDefault="00F6012A" w:rsidP="00F6012A">
      <w:pPr>
        <w:pStyle w:val="ListParagraph"/>
        <w:spacing w:after="0" w:line="480" w:lineRule="auto"/>
        <w:jc w:val="both"/>
        <w:rPr>
          <w:rFonts w:ascii="Arial" w:hAnsi="Arial"/>
          <w:sz w:val="24"/>
          <w:szCs w:val="24"/>
        </w:rPr>
      </w:pPr>
    </w:p>
    <w:p w14:paraId="681BBEDA" w14:textId="09AF5A38" w:rsidR="006B0EB0" w:rsidRPr="009F1B50" w:rsidRDefault="006B0EB0" w:rsidP="00AF6DDF">
      <w:pPr>
        <w:pStyle w:val="ListParagraph"/>
        <w:numPr>
          <w:ilvl w:val="0"/>
          <w:numId w:val="3"/>
        </w:numPr>
        <w:spacing w:after="0" w:line="480" w:lineRule="auto"/>
        <w:jc w:val="both"/>
        <w:rPr>
          <w:rFonts w:ascii="Arial" w:hAnsi="Arial"/>
          <w:sz w:val="24"/>
          <w:szCs w:val="24"/>
        </w:rPr>
      </w:pPr>
      <w:r>
        <w:rPr>
          <w:rFonts w:ascii="Arial" w:eastAsia="Calibri" w:hAnsi="Arial" w:cs="Arial"/>
          <w:sz w:val="24"/>
          <w:szCs w:val="24"/>
        </w:rPr>
        <w:t>Before a full court of this division, t</w:t>
      </w:r>
      <w:r w:rsidR="009C49DA" w:rsidRPr="009C49DA">
        <w:rPr>
          <w:rFonts w:ascii="Arial" w:eastAsia="Times New Roman" w:hAnsi="Arial" w:cs="Times New Roman"/>
          <w:sz w:val="24"/>
          <w:szCs w:val="24"/>
          <w:lang w:val="en-GB"/>
        </w:rPr>
        <w:t xml:space="preserve">he Defendant </w:t>
      </w:r>
      <w:r w:rsidR="00F6012A">
        <w:rPr>
          <w:rFonts w:ascii="Arial" w:eastAsia="Times New Roman" w:hAnsi="Arial" w:cs="Times New Roman"/>
          <w:sz w:val="24"/>
          <w:szCs w:val="24"/>
          <w:lang w:val="en-GB"/>
        </w:rPr>
        <w:t xml:space="preserve">placed on record that it </w:t>
      </w:r>
      <w:r w:rsidR="009C49DA" w:rsidRPr="009C49DA">
        <w:rPr>
          <w:rFonts w:ascii="Arial" w:eastAsia="Times New Roman" w:hAnsi="Arial" w:cs="Times New Roman"/>
          <w:sz w:val="24"/>
          <w:szCs w:val="24"/>
          <w:lang w:val="en-GB"/>
        </w:rPr>
        <w:t>ha</w:t>
      </w:r>
      <w:r w:rsidR="00F6012A">
        <w:rPr>
          <w:rFonts w:ascii="Arial" w:eastAsia="Times New Roman" w:hAnsi="Arial" w:cs="Times New Roman"/>
          <w:sz w:val="24"/>
          <w:szCs w:val="24"/>
          <w:lang w:val="en-GB"/>
        </w:rPr>
        <w:t>d</w:t>
      </w:r>
      <w:r w:rsidR="009C49DA" w:rsidRPr="009C49DA">
        <w:rPr>
          <w:rFonts w:ascii="Arial" w:eastAsia="Times New Roman" w:hAnsi="Arial" w:cs="Times New Roman"/>
          <w:sz w:val="24"/>
          <w:szCs w:val="24"/>
          <w:lang w:val="en-GB"/>
        </w:rPr>
        <w:t xml:space="preserve"> made a blanket election to </w:t>
      </w:r>
      <w:r w:rsidR="00A82B3F">
        <w:rPr>
          <w:rFonts w:ascii="Arial" w:eastAsia="Times New Roman" w:hAnsi="Arial" w:cs="Times New Roman"/>
          <w:sz w:val="24"/>
          <w:szCs w:val="24"/>
          <w:lang w:val="en-GB"/>
        </w:rPr>
        <w:t>compensate claims for future medical expenses by way of</w:t>
      </w:r>
      <w:r w:rsidR="009C49DA" w:rsidRPr="009C49DA">
        <w:rPr>
          <w:rFonts w:ascii="Arial" w:eastAsia="Times New Roman" w:hAnsi="Arial" w:cs="Times New Roman"/>
          <w:sz w:val="24"/>
          <w:szCs w:val="24"/>
          <w:lang w:val="en-GB"/>
        </w:rPr>
        <w:t xml:space="preserve"> a section 17(4)(a) undertaking in terms of the Road Accident Fund Act 56 of 1996</w:t>
      </w:r>
      <w:r w:rsidR="009F1B50">
        <w:rPr>
          <w:rFonts w:ascii="Arial" w:eastAsia="Times New Roman" w:hAnsi="Arial" w:cs="Times New Roman"/>
          <w:sz w:val="24"/>
          <w:szCs w:val="24"/>
          <w:lang w:val="en-GB"/>
        </w:rPr>
        <w:t>.</w:t>
      </w:r>
      <w:r w:rsidR="009F1B50">
        <w:rPr>
          <w:rStyle w:val="FootnoteReference"/>
          <w:rFonts w:ascii="Arial" w:eastAsia="Times New Roman" w:hAnsi="Arial" w:cs="Times New Roman"/>
          <w:sz w:val="24"/>
          <w:szCs w:val="24"/>
          <w:lang w:val="en-GB"/>
        </w:rPr>
        <w:footnoteReference w:id="13"/>
      </w:r>
      <w:r w:rsidR="00F6012A">
        <w:rPr>
          <w:rFonts w:ascii="Arial" w:eastAsia="Times New Roman" w:hAnsi="Arial" w:cs="Times New Roman"/>
          <w:sz w:val="24"/>
          <w:szCs w:val="24"/>
          <w:lang w:val="en-GB"/>
        </w:rPr>
        <w:t xml:space="preserve"> </w:t>
      </w:r>
    </w:p>
    <w:p w14:paraId="2D2F1AF4" w14:textId="20B4F5EB" w:rsidR="009F1B50" w:rsidRPr="009F1B50" w:rsidRDefault="009F1B50" w:rsidP="009F1B50">
      <w:pPr>
        <w:pStyle w:val="ListParagraph"/>
        <w:spacing w:after="0" w:line="480" w:lineRule="auto"/>
        <w:ind w:left="360"/>
        <w:jc w:val="both"/>
        <w:rPr>
          <w:rFonts w:ascii="Arial" w:hAnsi="Arial"/>
          <w:sz w:val="24"/>
          <w:szCs w:val="24"/>
        </w:rPr>
      </w:pPr>
    </w:p>
    <w:p w14:paraId="2CDEF3E7" w14:textId="34F644F8" w:rsidR="009F1B50" w:rsidRDefault="00F6012A" w:rsidP="00AF6DDF">
      <w:pPr>
        <w:pStyle w:val="ListParagraph"/>
        <w:numPr>
          <w:ilvl w:val="0"/>
          <w:numId w:val="3"/>
        </w:numPr>
        <w:spacing w:after="0" w:line="480" w:lineRule="auto"/>
        <w:jc w:val="both"/>
        <w:rPr>
          <w:rFonts w:ascii="Arial" w:hAnsi="Arial"/>
          <w:sz w:val="24"/>
          <w:szCs w:val="24"/>
        </w:rPr>
      </w:pPr>
      <w:r>
        <w:rPr>
          <w:rFonts w:ascii="Arial" w:hAnsi="Arial"/>
          <w:sz w:val="24"/>
          <w:szCs w:val="24"/>
        </w:rPr>
        <w:t xml:space="preserve">As for the wording or content of this undertaking, it must follow the wording of the Act. </w:t>
      </w:r>
      <w:r w:rsidR="009F1B50">
        <w:rPr>
          <w:rFonts w:ascii="Arial" w:hAnsi="Arial"/>
          <w:sz w:val="24"/>
          <w:szCs w:val="24"/>
        </w:rPr>
        <w:t xml:space="preserve">The SCA in </w:t>
      </w:r>
      <w:r w:rsidR="009F1B50" w:rsidRPr="009F1B50">
        <w:rPr>
          <w:rFonts w:ascii="Arial" w:hAnsi="Arial"/>
          <w:i/>
          <w:iCs/>
          <w:sz w:val="24"/>
          <w:szCs w:val="24"/>
        </w:rPr>
        <w:t>Katz</w:t>
      </w:r>
      <w:r w:rsidR="009F1B50">
        <w:rPr>
          <w:rStyle w:val="FootnoteReference"/>
          <w:rFonts w:ascii="Arial" w:hAnsi="Arial"/>
          <w:i/>
          <w:iCs/>
          <w:sz w:val="24"/>
          <w:szCs w:val="24"/>
        </w:rPr>
        <w:footnoteReference w:id="14"/>
      </w:r>
      <w:r w:rsidR="009F1B50">
        <w:rPr>
          <w:rFonts w:ascii="Arial" w:hAnsi="Arial"/>
          <w:sz w:val="24"/>
          <w:szCs w:val="24"/>
        </w:rPr>
        <w:t xml:space="preserve"> held that:</w:t>
      </w:r>
    </w:p>
    <w:p w14:paraId="52C35184" w14:textId="77777777" w:rsidR="009F1B50" w:rsidRPr="009F1B50" w:rsidRDefault="009F1B50" w:rsidP="009F1B50">
      <w:pPr>
        <w:pStyle w:val="ListParagraph"/>
        <w:rPr>
          <w:rFonts w:ascii="Arial" w:hAnsi="Arial"/>
          <w:sz w:val="24"/>
          <w:szCs w:val="24"/>
        </w:rPr>
      </w:pPr>
    </w:p>
    <w:p w14:paraId="290AB0C2" w14:textId="107BDA28" w:rsidR="004E0E9C" w:rsidRDefault="00A82B3F" w:rsidP="00106DC7">
      <w:pPr>
        <w:pStyle w:val="ListParagraph"/>
        <w:spacing w:after="0" w:line="480" w:lineRule="auto"/>
        <w:ind w:left="1440"/>
        <w:jc w:val="both"/>
        <w:rPr>
          <w:rFonts w:ascii="Arial" w:hAnsi="Arial"/>
          <w:i/>
          <w:iCs/>
          <w:sz w:val="20"/>
          <w:szCs w:val="20"/>
        </w:rPr>
      </w:pPr>
      <w:r>
        <w:rPr>
          <w:rFonts w:ascii="Arial" w:hAnsi="Arial"/>
          <w:i/>
          <w:iCs/>
          <w:sz w:val="20"/>
          <w:szCs w:val="20"/>
        </w:rPr>
        <w:lastRenderedPageBreak/>
        <w:t>‘…</w:t>
      </w:r>
      <w:r w:rsidR="009F1B50" w:rsidRPr="009F1B50">
        <w:rPr>
          <w:rFonts w:ascii="Arial" w:hAnsi="Arial"/>
          <w:i/>
          <w:iCs/>
          <w:sz w:val="20"/>
          <w:szCs w:val="20"/>
        </w:rPr>
        <w:t xml:space="preserve">without such consent, the trial </w:t>
      </w:r>
      <w:r w:rsidR="009F1B50">
        <w:rPr>
          <w:rFonts w:ascii="Arial" w:hAnsi="Arial"/>
          <w:i/>
          <w:iCs/>
          <w:sz w:val="20"/>
          <w:szCs w:val="20"/>
        </w:rPr>
        <w:t>c</w:t>
      </w:r>
      <w:r w:rsidR="009F1B50" w:rsidRPr="009F1B50">
        <w:rPr>
          <w:rFonts w:ascii="Arial" w:hAnsi="Arial"/>
          <w:i/>
          <w:iCs/>
          <w:sz w:val="20"/>
          <w:szCs w:val="20"/>
        </w:rPr>
        <w:t>ourt cannot direct that the undertaking should specify or detail any particular kind of hospital accommodation, treatment, services, or goods covered by those categories. Any elaboration of that kind could well give rise to lengthy and expensive disputes between the parties at the trial, and, in any event, may still necessitate speculation or guesswork by the trial Court about what hospitalisation, treatment, etc will become necessary in the future</w:t>
      </w:r>
      <w:r w:rsidR="009F1B50">
        <w:rPr>
          <w:rFonts w:ascii="Arial" w:hAnsi="Arial"/>
          <w:i/>
          <w:iCs/>
          <w:sz w:val="20"/>
          <w:szCs w:val="20"/>
        </w:rPr>
        <w:t>.</w:t>
      </w:r>
    </w:p>
    <w:p w14:paraId="7FC4C061" w14:textId="77777777" w:rsidR="00773B1D" w:rsidRPr="00106DC7" w:rsidRDefault="00773B1D" w:rsidP="00106DC7">
      <w:pPr>
        <w:pStyle w:val="ListParagraph"/>
        <w:spacing w:after="0" w:line="480" w:lineRule="auto"/>
        <w:ind w:left="1440"/>
        <w:jc w:val="both"/>
        <w:rPr>
          <w:rFonts w:ascii="Arial" w:hAnsi="Arial"/>
          <w:sz w:val="20"/>
          <w:szCs w:val="20"/>
        </w:rPr>
      </w:pPr>
    </w:p>
    <w:p w14:paraId="1B19D25F" w14:textId="305610B4" w:rsidR="00A51C92" w:rsidRPr="00773B1D" w:rsidRDefault="00F212BC"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The Defendant must provide the Plaintiff with a section 17(4)(a) undertaking</w:t>
      </w:r>
      <w:r w:rsidR="009F1B50">
        <w:rPr>
          <w:rFonts w:ascii="Arial" w:eastAsia="Times New Roman" w:hAnsi="Arial" w:cs="Times New Roman"/>
          <w:sz w:val="24"/>
          <w:szCs w:val="24"/>
          <w:lang w:val="en-GB"/>
        </w:rPr>
        <w:t xml:space="preserve"> which adopts the wor</w:t>
      </w:r>
      <w:r w:rsidR="00A82B3F">
        <w:rPr>
          <w:rFonts w:ascii="Arial" w:eastAsia="Times New Roman" w:hAnsi="Arial" w:cs="Times New Roman"/>
          <w:sz w:val="24"/>
          <w:szCs w:val="24"/>
          <w:lang w:val="en-GB"/>
        </w:rPr>
        <w:t>d</w:t>
      </w:r>
      <w:r w:rsidR="009F1B50">
        <w:rPr>
          <w:rFonts w:ascii="Arial" w:eastAsia="Times New Roman" w:hAnsi="Arial" w:cs="Times New Roman"/>
          <w:sz w:val="24"/>
          <w:szCs w:val="24"/>
          <w:lang w:val="en-GB"/>
        </w:rPr>
        <w:t>ing of section 17(4)(a)</w:t>
      </w:r>
      <w:r>
        <w:rPr>
          <w:rFonts w:ascii="Arial" w:eastAsia="Times New Roman" w:hAnsi="Arial" w:cs="Times New Roman"/>
          <w:sz w:val="24"/>
          <w:szCs w:val="24"/>
          <w:lang w:val="en-GB"/>
        </w:rPr>
        <w:t xml:space="preserve">. </w:t>
      </w:r>
      <w:r w:rsidR="009F1B50">
        <w:rPr>
          <w:rFonts w:ascii="Arial" w:eastAsia="Times New Roman" w:hAnsi="Arial" w:cs="Times New Roman"/>
          <w:sz w:val="24"/>
          <w:szCs w:val="24"/>
          <w:lang w:val="en-GB"/>
        </w:rPr>
        <w:t>This order is in line with the declaratory order issued by</w:t>
      </w:r>
      <w:r w:rsidR="00A82B3F">
        <w:rPr>
          <w:rFonts w:ascii="Arial" w:eastAsia="Times New Roman" w:hAnsi="Arial" w:cs="Times New Roman"/>
          <w:sz w:val="24"/>
          <w:szCs w:val="24"/>
          <w:lang w:val="en-GB"/>
        </w:rPr>
        <w:t xml:space="preserve"> Judge</w:t>
      </w:r>
      <w:r w:rsidR="009F1B50">
        <w:rPr>
          <w:rFonts w:ascii="Arial" w:eastAsia="Times New Roman" w:hAnsi="Arial" w:cs="Times New Roman"/>
          <w:sz w:val="24"/>
          <w:szCs w:val="24"/>
          <w:lang w:val="en-GB"/>
        </w:rPr>
        <w:t xml:space="preserve"> Van der Westhuizen </w:t>
      </w:r>
      <w:r w:rsidR="00A82B3F">
        <w:rPr>
          <w:rFonts w:ascii="Arial" w:eastAsia="Times New Roman" w:hAnsi="Arial" w:cs="Times New Roman"/>
          <w:sz w:val="24"/>
          <w:szCs w:val="24"/>
          <w:lang w:val="en-GB"/>
        </w:rPr>
        <w:t>J</w:t>
      </w:r>
      <w:r w:rsidR="009F1B50">
        <w:rPr>
          <w:rFonts w:ascii="Arial" w:eastAsia="Times New Roman" w:hAnsi="Arial" w:cs="Times New Roman"/>
          <w:sz w:val="24"/>
          <w:szCs w:val="24"/>
          <w:lang w:val="en-GB"/>
        </w:rPr>
        <w:t xml:space="preserve"> to the following effect:</w:t>
      </w:r>
      <w:r w:rsidR="009F1B50">
        <w:rPr>
          <w:rStyle w:val="FootnoteReference"/>
          <w:rFonts w:ascii="Arial" w:eastAsia="Times New Roman" w:hAnsi="Arial" w:cs="Times New Roman"/>
          <w:sz w:val="24"/>
          <w:szCs w:val="24"/>
          <w:lang w:val="en-GB"/>
        </w:rPr>
        <w:footnoteReference w:id="15"/>
      </w:r>
    </w:p>
    <w:p w14:paraId="19E07191" w14:textId="7B7EC9F8" w:rsidR="009F1B50" w:rsidRPr="00E30858" w:rsidRDefault="00E30858" w:rsidP="00A82B3F">
      <w:pPr>
        <w:pStyle w:val="ListParagraph"/>
        <w:spacing w:after="0" w:line="480" w:lineRule="auto"/>
        <w:ind w:left="1440"/>
        <w:jc w:val="both"/>
        <w:rPr>
          <w:rFonts w:ascii="Arial" w:eastAsia="Times New Roman" w:hAnsi="Arial" w:cs="Times New Roman"/>
          <w:i/>
          <w:iCs/>
          <w:sz w:val="20"/>
          <w:szCs w:val="20"/>
          <w:lang w:val="en-GB"/>
        </w:rPr>
      </w:pPr>
      <w:r w:rsidRPr="00E30858">
        <w:rPr>
          <w:rFonts w:ascii="Arial" w:eastAsia="Times New Roman" w:hAnsi="Arial" w:cs="Times New Roman"/>
          <w:i/>
          <w:iCs/>
          <w:sz w:val="20"/>
          <w:szCs w:val="20"/>
          <w:lang w:val="en-GB"/>
        </w:rPr>
        <w:t>‘It is declared that Respondent, when invo</w:t>
      </w:r>
      <w:r w:rsidR="00A82B3F">
        <w:rPr>
          <w:rFonts w:ascii="Arial" w:eastAsia="Times New Roman" w:hAnsi="Arial" w:cs="Times New Roman"/>
          <w:i/>
          <w:iCs/>
          <w:sz w:val="20"/>
          <w:szCs w:val="20"/>
          <w:lang w:val="en-GB"/>
        </w:rPr>
        <w:t>k</w:t>
      </w:r>
      <w:r w:rsidRPr="00E30858">
        <w:rPr>
          <w:rFonts w:ascii="Arial" w:eastAsia="Times New Roman" w:hAnsi="Arial" w:cs="Times New Roman"/>
          <w:i/>
          <w:iCs/>
          <w:sz w:val="20"/>
          <w:szCs w:val="20"/>
          <w:lang w:val="en-GB"/>
        </w:rPr>
        <w:t>ing section 17(4)(a) of the Road Accident Fund Act 56 of 1996 as amended, and electing to compensate a road accident victim with an undertaking, that such undertaking should adapt the wording of section 17(4)(a) and must be free from any limitations, caveats, restrictions and specifications…’</w:t>
      </w:r>
    </w:p>
    <w:p w14:paraId="3258C2A4" w14:textId="77777777" w:rsidR="00A51C92" w:rsidRPr="00A51C92" w:rsidRDefault="00A51C92" w:rsidP="00A51C92">
      <w:pPr>
        <w:spacing w:after="0" w:line="480" w:lineRule="auto"/>
        <w:jc w:val="both"/>
        <w:rPr>
          <w:rFonts w:ascii="Arial" w:eastAsia="Times New Roman" w:hAnsi="Arial" w:cs="Times New Roman"/>
          <w:sz w:val="24"/>
          <w:szCs w:val="24"/>
          <w:lang w:val="en-GB"/>
        </w:rPr>
      </w:pPr>
    </w:p>
    <w:p w14:paraId="372B2552" w14:textId="0A5F8723" w:rsidR="009F1B50" w:rsidRPr="00F6012A" w:rsidRDefault="009C49DA"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I turn now to the loss of earnings.</w:t>
      </w:r>
      <w:r w:rsidR="004E0E9C" w:rsidRPr="004E0E9C">
        <w:rPr>
          <w:rFonts w:ascii="Arial" w:eastAsia="Times New Roman" w:hAnsi="Arial" w:cs="Times New Roman"/>
          <w:sz w:val="24"/>
          <w:szCs w:val="24"/>
          <w:lang w:val="en-GB"/>
        </w:rPr>
        <w:t xml:space="preserve"> </w:t>
      </w:r>
    </w:p>
    <w:p w14:paraId="205C6549" w14:textId="77777777" w:rsidR="00E168A7" w:rsidRPr="00E168A7" w:rsidRDefault="00E168A7" w:rsidP="00E168A7">
      <w:pPr>
        <w:pStyle w:val="ListParagraph"/>
        <w:rPr>
          <w:rFonts w:ascii="Arial" w:eastAsia="Times New Roman" w:hAnsi="Arial" w:cs="Times New Roman"/>
          <w:sz w:val="24"/>
          <w:szCs w:val="24"/>
          <w:lang w:val="en-GB"/>
        </w:rPr>
      </w:pPr>
    </w:p>
    <w:p w14:paraId="53907583" w14:textId="0D01C975" w:rsidR="00372B85" w:rsidRPr="00E30858" w:rsidRDefault="00E168A7" w:rsidP="00E30858">
      <w:pPr>
        <w:spacing w:after="0" w:line="480" w:lineRule="auto"/>
        <w:jc w:val="both"/>
        <w:rPr>
          <w:rFonts w:ascii="Arial" w:eastAsia="Times New Roman" w:hAnsi="Arial" w:cs="Times New Roman"/>
          <w:b/>
          <w:bCs/>
          <w:sz w:val="24"/>
          <w:szCs w:val="24"/>
          <w:lang w:val="en-GB"/>
        </w:rPr>
      </w:pPr>
      <w:r w:rsidRPr="00E168A7">
        <w:rPr>
          <w:rFonts w:ascii="Arial" w:eastAsia="Times New Roman" w:hAnsi="Arial" w:cs="Times New Roman"/>
          <w:b/>
          <w:bCs/>
          <w:sz w:val="24"/>
          <w:szCs w:val="24"/>
          <w:lang w:val="en-GB"/>
        </w:rPr>
        <w:t>Loss of earnings</w:t>
      </w:r>
    </w:p>
    <w:p w14:paraId="46DA8AB4" w14:textId="56A7AD66" w:rsidR="00E34749" w:rsidRDefault="00E34749"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The Plaintiff was about 49 years old at the time of the accident and is currently 53 years of age. </w:t>
      </w:r>
      <w:r w:rsidR="00F6012A">
        <w:rPr>
          <w:rFonts w:ascii="Arial" w:eastAsia="Times New Roman" w:hAnsi="Arial" w:cs="Times New Roman"/>
          <w:sz w:val="24"/>
          <w:szCs w:val="24"/>
          <w:lang w:val="en-GB"/>
        </w:rPr>
        <w:t xml:space="preserve">The nub of the contention </w:t>
      </w:r>
      <w:r w:rsidR="00F6012A" w:rsidRPr="00F6012A">
        <w:rPr>
          <w:rFonts w:ascii="Arial" w:eastAsia="Times New Roman" w:hAnsi="Arial" w:cs="Times New Roman"/>
          <w:i/>
          <w:iCs/>
          <w:sz w:val="24"/>
          <w:szCs w:val="24"/>
          <w:lang w:val="en-GB"/>
        </w:rPr>
        <w:t xml:space="preserve">in casu </w:t>
      </w:r>
      <w:r w:rsidR="00F6012A">
        <w:rPr>
          <w:rFonts w:ascii="Arial" w:eastAsia="Times New Roman" w:hAnsi="Arial" w:cs="Times New Roman"/>
          <w:sz w:val="24"/>
          <w:szCs w:val="24"/>
          <w:lang w:val="en-GB"/>
        </w:rPr>
        <w:t>is the Plaintiff’s lack of factual evidence.</w:t>
      </w:r>
      <w:r w:rsidR="00C45D2F">
        <w:rPr>
          <w:rFonts w:ascii="Arial" w:eastAsia="Times New Roman" w:hAnsi="Arial" w:cs="Times New Roman"/>
          <w:sz w:val="24"/>
          <w:szCs w:val="24"/>
          <w:lang w:val="en-GB"/>
        </w:rPr>
        <w:t xml:space="preserve"> The court was given only inadmissible hearsay evidence</w:t>
      </w:r>
      <w:r w:rsidR="00071300">
        <w:rPr>
          <w:rFonts w:ascii="Arial" w:eastAsia="Times New Roman" w:hAnsi="Arial" w:cs="Times New Roman"/>
          <w:sz w:val="24"/>
          <w:szCs w:val="24"/>
          <w:lang w:val="en-GB"/>
        </w:rPr>
        <w:t xml:space="preserve"> plagued by unexplained discrepancies</w:t>
      </w:r>
      <w:r w:rsidR="00C45D2F">
        <w:rPr>
          <w:rFonts w:ascii="Arial" w:eastAsia="Times New Roman" w:hAnsi="Arial" w:cs="Times New Roman"/>
          <w:sz w:val="24"/>
          <w:szCs w:val="24"/>
          <w:lang w:val="en-GB"/>
        </w:rPr>
        <w:t xml:space="preserve"> </w:t>
      </w:r>
      <w:r w:rsidR="00071300">
        <w:rPr>
          <w:rFonts w:ascii="Arial" w:eastAsia="Times New Roman" w:hAnsi="Arial" w:cs="Times New Roman"/>
          <w:sz w:val="24"/>
          <w:szCs w:val="24"/>
          <w:lang w:val="en-GB"/>
        </w:rPr>
        <w:t xml:space="preserve">and inconsistencies. The court </w:t>
      </w:r>
      <w:r w:rsidR="00C45D2F">
        <w:rPr>
          <w:rFonts w:ascii="Arial" w:eastAsia="Times New Roman" w:hAnsi="Arial" w:cs="Times New Roman"/>
          <w:sz w:val="24"/>
          <w:szCs w:val="24"/>
          <w:lang w:val="en-GB"/>
        </w:rPr>
        <w:t xml:space="preserve">was expected to make bricks with straw. I raised </w:t>
      </w:r>
      <w:r w:rsidR="00071300">
        <w:rPr>
          <w:rFonts w:ascii="Arial" w:eastAsia="Times New Roman" w:hAnsi="Arial" w:cs="Times New Roman"/>
          <w:sz w:val="24"/>
          <w:szCs w:val="24"/>
          <w:lang w:val="en-GB"/>
        </w:rPr>
        <w:t>the lack of evidence, specifically regarding the income,</w:t>
      </w:r>
      <w:r w:rsidR="00C45D2F">
        <w:rPr>
          <w:rFonts w:ascii="Arial" w:eastAsia="Times New Roman" w:hAnsi="Arial" w:cs="Times New Roman"/>
          <w:sz w:val="24"/>
          <w:szCs w:val="24"/>
          <w:lang w:val="en-GB"/>
        </w:rPr>
        <w:t xml:space="preserve"> with counsel for the Plaintiff</w:t>
      </w:r>
      <w:r w:rsidR="00071300">
        <w:rPr>
          <w:rFonts w:ascii="Arial" w:eastAsia="Times New Roman" w:hAnsi="Arial" w:cs="Times New Roman"/>
          <w:sz w:val="24"/>
          <w:szCs w:val="24"/>
          <w:lang w:val="en-GB"/>
        </w:rPr>
        <w:t>,</w:t>
      </w:r>
      <w:r w:rsidR="00C45D2F">
        <w:rPr>
          <w:rFonts w:ascii="Arial" w:eastAsia="Times New Roman" w:hAnsi="Arial" w:cs="Times New Roman"/>
          <w:sz w:val="24"/>
          <w:szCs w:val="24"/>
          <w:lang w:val="en-GB"/>
        </w:rPr>
        <w:t xml:space="preserve"> who </w:t>
      </w:r>
      <w:r w:rsidR="00071300">
        <w:rPr>
          <w:rFonts w:ascii="Arial" w:eastAsia="Times New Roman" w:hAnsi="Arial" w:cs="Times New Roman"/>
          <w:sz w:val="24"/>
          <w:szCs w:val="24"/>
          <w:lang w:val="en-GB"/>
        </w:rPr>
        <w:t xml:space="preserve">submitted </w:t>
      </w:r>
      <w:r w:rsidR="00A51C92">
        <w:rPr>
          <w:rFonts w:ascii="Arial" w:eastAsia="Times New Roman" w:hAnsi="Arial" w:cs="Times New Roman"/>
          <w:sz w:val="24"/>
          <w:szCs w:val="24"/>
          <w:lang w:val="en-GB"/>
        </w:rPr>
        <w:t>to</w:t>
      </w:r>
      <w:r w:rsidR="00C45D2F">
        <w:rPr>
          <w:rFonts w:ascii="Arial" w:eastAsia="Times New Roman" w:hAnsi="Arial" w:cs="Times New Roman"/>
          <w:sz w:val="24"/>
          <w:szCs w:val="24"/>
          <w:lang w:val="en-GB"/>
        </w:rPr>
        <w:t xml:space="preserve"> the court that the court must do the best it can to determine </w:t>
      </w:r>
      <w:r w:rsidR="00C45D2F">
        <w:rPr>
          <w:rFonts w:ascii="Arial" w:eastAsia="Times New Roman" w:hAnsi="Arial" w:cs="Times New Roman"/>
          <w:sz w:val="24"/>
          <w:szCs w:val="24"/>
          <w:lang w:val="en-GB"/>
        </w:rPr>
        <w:lastRenderedPageBreak/>
        <w:t xml:space="preserve">a figure on the loss of income on the available evidence and proposed that a significant contingency be deducted. </w:t>
      </w:r>
      <w:r w:rsidR="00C44C1C">
        <w:rPr>
          <w:rFonts w:ascii="Arial" w:eastAsia="Times New Roman" w:hAnsi="Arial" w:cs="Times New Roman"/>
          <w:sz w:val="24"/>
          <w:szCs w:val="24"/>
          <w:lang w:val="en-GB"/>
        </w:rPr>
        <w:t>Counsel suggested I reduce the claim for past loss by 25%</w:t>
      </w:r>
      <w:r w:rsidR="00CB2854">
        <w:rPr>
          <w:rFonts w:ascii="Arial" w:eastAsia="Times New Roman" w:hAnsi="Arial" w:cs="Times New Roman"/>
          <w:sz w:val="24"/>
          <w:szCs w:val="24"/>
          <w:lang w:val="en-GB"/>
        </w:rPr>
        <w:t xml:space="preserve"> (uninjured scenario)</w:t>
      </w:r>
      <w:r w:rsidR="00C44C1C">
        <w:rPr>
          <w:rFonts w:ascii="Arial" w:eastAsia="Times New Roman" w:hAnsi="Arial" w:cs="Times New Roman"/>
          <w:sz w:val="24"/>
          <w:szCs w:val="24"/>
          <w:lang w:val="en-GB"/>
        </w:rPr>
        <w:t xml:space="preserve"> and the claim for future loss by 50% (uninjured scenario). These are significant contingencies given the age of the Plaintiff</w:t>
      </w:r>
      <w:r w:rsidR="00773B1D">
        <w:rPr>
          <w:rFonts w:ascii="Arial" w:eastAsia="Times New Roman" w:hAnsi="Arial" w:cs="Times New Roman"/>
          <w:sz w:val="24"/>
          <w:szCs w:val="24"/>
          <w:lang w:val="en-GB"/>
        </w:rPr>
        <w:t>.</w:t>
      </w:r>
      <w:r w:rsidR="00C44C1C">
        <w:rPr>
          <w:rFonts w:ascii="Arial" w:eastAsia="Times New Roman" w:hAnsi="Arial" w:cs="Times New Roman"/>
          <w:sz w:val="24"/>
          <w:szCs w:val="24"/>
          <w:lang w:val="en-GB"/>
        </w:rPr>
        <w:t xml:space="preserve"> </w:t>
      </w:r>
    </w:p>
    <w:p w14:paraId="1989A568" w14:textId="251D7219" w:rsidR="009F79E8" w:rsidRDefault="009F79E8" w:rsidP="009F79E8">
      <w:pPr>
        <w:pStyle w:val="ListParagraph"/>
        <w:spacing w:after="0" w:line="480" w:lineRule="auto"/>
        <w:ind w:left="360"/>
        <w:jc w:val="both"/>
        <w:rPr>
          <w:rFonts w:ascii="Arial" w:eastAsia="Times New Roman" w:hAnsi="Arial" w:cs="Times New Roman"/>
          <w:sz w:val="24"/>
          <w:szCs w:val="24"/>
          <w:lang w:val="en-GB"/>
        </w:rPr>
      </w:pPr>
    </w:p>
    <w:p w14:paraId="21D9A1B9" w14:textId="26A79603" w:rsidR="009F79E8" w:rsidRPr="00C44C1C" w:rsidRDefault="009F79E8"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After I reserved judgement, the Plaintiff uploaded onto Case Lines a notice in terms of Rule 35(9) attaching bank statements for 2020, 2021 and 2022. These bank statements have not been placed in evidence and does not assist the Plaintiff at all. No basis had been laid for its admission into evidence.</w:t>
      </w:r>
    </w:p>
    <w:p w14:paraId="7F7338CA" w14:textId="29743761" w:rsidR="00C45D2F" w:rsidRDefault="00C45D2F" w:rsidP="00C45D2F">
      <w:pPr>
        <w:pStyle w:val="ListParagraph"/>
        <w:spacing w:after="0" w:line="480" w:lineRule="auto"/>
        <w:jc w:val="both"/>
        <w:rPr>
          <w:rFonts w:ascii="Arial" w:eastAsia="Times New Roman" w:hAnsi="Arial" w:cs="Times New Roman"/>
          <w:sz w:val="24"/>
          <w:szCs w:val="24"/>
          <w:lang w:val="en-GB"/>
        </w:rPr>
      </w:pPr>
    </w:p>
    <w:p w14:paraId="403638E9" w14:textId="63B4C960" w:rsidR="00C45D2F" w:rsidRPr="00C45D2F" w:rsidRDefault="00C45D2F" w:rsidP="00AF6DDF">
      <w:pPr>
        <w:pStyle w:val="ListParagraph"/>
        <w:numPr>
          <w:ilvl w:val="0"/>
          <w:numId w:val="3"/>
        </w:numPr>
        <w:spacing w:after="0" w:line="480" w:lineRule="auto"/>
        <w:jc w:val="both"/>
        <w:rPr>
          <w:rFonts w:ascii="Arial" w:eastAsia="Times New Roman" w:hAnsi="Arial" w:cs="Times New Roman"/>
          <w:sz w:val="24"/>
          <w:szCs w:val="24"/>
          <w:lang w:val="en-GB"/>
        </w:rPr>
      </w:pPr>
      <w:r w:rsidRPr="00C45D2F">
        <w:rPr>
          <w:rFonts w:ascii="Arial" w:eastAsia="Times New Roman" w:hAnsi="Arial" w:cs="Times New Roman"/>
          <w:sz w:val="24"/>
          <w:szCs w:val="24"/>
          <w:lang w:val="en-GB"/>
        </w:rPr>
        <w:t>This submission</w:t>
      </w:r>
      <w:r w:rsidR="00773B1D">
        <w:rPr>
          <w:rFonts w:ascii="Arial" w:eastAsia="Times New Roman" w:hAnsi="Arial" w:cs="Times New Roman"/>
          <w:sz w:val="24"/>
          <w:szCs w:val="24"/>
          <w:lang w:val="en-GB"/>
        </w:rPr>
        <w:t>, that I should do the best I can on the available evidence,</w:t>
      </w:r>
      <w:r w:rsidRPr="00C45D2F">
        <w:rPr>
          <w:rFonts w:ascii="Arial" w:eastAsia="Times New Roman" w:hAnsi="Arial" w:cs="Times New Roman"/>
          <w:sz w:val="24"/>
          <w:szCs w:val="24"/>
          <w:lang w:val="en-GB"/>
        </w:rPr>
        <w:t xml:space="preserve"> </w:t>
      </w:r>
      <w:r w:rsidR="00773B1D">
        <w:rPr>
          <w:rFonts w:ascii="Arial" w:eastAsia="Times New Roman" w:hAnsi="Arial" w:cs="Times New Roman"/>
          <w:sz w:val="24"/>
          <w:szCs w:val="24"/>
          <w:lang w:val="en-GB"/>
        </w:rPr>
        <w:t xml:space="preserve">to make an award, </w:t>
      </w:r>
      <w:r w:rsidRPr="00C45D2F">
        <w:rPr>
          <w:rFonts w:ascii="Arial" w:eastAsia="Times New Roman" w:hAnsi="Arial" w:cs="Times New Roman"/>
          <w:sz w:val="24"/>
          <w:szCs w:val="24"/>
          <w:lang w:val="en-GB"/>
        </w:rPr>
        <w:t xml:space="preserve">is indeed in line with the case law, but this can only be the case </w:t>
      </w:r>
      <w:r w:rsidR="00A51C92">
        <w:rPr>
          <w:rFonts w:ascii="Arial" w:eastAsia="Times New Roman" w:hAnsi="Arial" w:cs="Times New Roman"/>
          <w:sz w:val="24"/>
          <w:szCs w:val="24"/>
          <w:lang w:val="en-GB"/>
        </w:rPr>
        <w:t>i</w:t>
      </w:r>
      <w:r w:rsidRPr="00C45D2F">
        <w:rPr>
          <w:rFonts w:ascii="Arial" w:eastAsia="Times New Roman" w:hAnsi="Arial" w:cs="Times New Roman"/>
          <w:sz w:val="24"/>
          <w:szCs w:val="24"/>
          <w:lang w:val="en-GB"/>
        </w:rPr>
        <w:t xml:space="preserve">f the Plaintiff presented </w:t>
      </w:r>
      <w:r w:rsidR="00773B1D">
        <w:rPr>
          <w:rFonts w:ascii="Arial" w:eastAsia="Times New Roman" w:hAnsi="Arial" w:cs="Times New Roman"/>
          <w:sz w:val="24"/>
          <w:szCs w:val="24"/>
          <w:lang w:val="en-GB"/>
        </w:rPr>
        <w:t>all available</w:t>
      </w:r>
      <w:r w:rsidR="00071300">
        <w:rPr>
          <w:rFonts w:ascii="Arial" w:eastAsia="Times New Roman" w:hAnsi="Arial" w:cs="Times New Roman"/>
          <w:sz w:val="24"/>
          <w:szCs w:val="24"/>
          <w:lang w:val="en-GB"/>
        </w:rPr>
        <w:t xml:space="preserve"> </w:t>
      </w:r>
      <w:r w:rsidRPr="00C45D2F">
        <w:rPr>
          <w:rFonts w:ascii="Arial" w:eastAsia="Times New Roman" w:hAnsi="Arial" w:cs="Times New Roman"/>
          <w:sz w:val="24"/>
          <w:szCs w:val="24"/>
        </w:rPr>
        <w:t>evidence</w:t>
      </w:r>
      <w:r w:rsidR="00773B1D">
        <w:rPr>
          <w:rFonts w:ascii="Arial" w:eastAsia="Times New Roman" w:hAnsi="Arial" w:cs="Times New Roman"/>
          <w:sz w:val="24"/>
          <w:szCs w:val="24"/>
        </w:rPr>
        <w:t xml:space="preserve"> and my decision is then</w:t>
      </w:r>
      <w:r w:rsidRPr="00C45D2F">
        <w:rPr>
          <w:rFonts w:ascii="Arial" w:eastAsia="Times New Roman" w:hAnsi="Arial" w:cs="Times New Roman"/>
          <w:sz w:val="24"/>
          <w:szCs w:val="24"/>
        </w:rPr>
        <w:t xml:space="preserve"> based on reliable facts</w:t>
      </w:r>
      <w:r>
        <w:rPr>
          <w:rFonts w:ascii="Arial" w:eastAsia="Times New Roman" w:hAnsi="Arial" w:cs="Times New Roman"/>
          <w:sz w:val="24"/>
          <w:szCs w:val="24"/>
        </w:rPr>
        <w:t>.</w:t>
      </w:r>
      <w:r>
        <w:rPr>
          <w:rStyle w:val="FootnoteReference"/>
          <w:rFonts w:ascii="Arial" w:eastAsia="Times New Roman" w:hAnsi="Arial" w:cs="Times New Roman"/>
          <w:sz w:val="24"/>
          <w:szCs w:val="24"/>
        </w:rPr>
        <w:footnoteReference w:id="16"/>
      </w:r>
      <w:r>
        <w:rPr>
          <w:rFonts w:ascii="Arial" w:eastAsia="Times New Roman" w:hAnsi="Arial" w:cs="Times New Roman"/>
          <w:sz w:val="24"/>
          <w:szCs w:val="24"/>
        </w:rPr>
        <w:t xml:space="preserve"> </w:t>
      </w:r>
      <w:r w:rsidRPr="00C45D2F">
        <w:rPr>
          <w:rFonts w:ascii="Arial" w:eastAsia="Times New Roman" w:hAnsi="Arial" w:cs="Times New Roman"/>
          <w:sz w:val="24"/>
          <w:szCs w:val="24"/>
        </w:rPr>
        <w:t>Only if it is clear that a</w:t>
      </w:r>
      <w:r w:rsidR="00071300">
        <w:rPr>
          <w:rFonts w:ascii="Arial" w:eastAsia="Times New Roman" w:hAnsi="Arial" w:cs="Times New Roman"/>
          <w:sz w:val="24"/>
          <w:szCs w:val="24"/>
        </w:rPr>
        <w:t>n actual</w:t>
      </w:r>
      <w:r w:rsidRPr="00C45D2F">
        <w:rPr>
          <w:rFonts w:ascii="Arial" w:eastAsia="Times New Roman" w:hAnsi="Arial" w:cs="Times New Roman"/>
          <w:sz w:val="24"/>
          <w:szCs w:val="24"/>
        </w:rPr>
        <w:t xml:space="preserve"> loss has been suffered, a fair award can be made</w:t>
      </w:r>
      <w:r w:rsidR="00BC37AC">
        <w:rPr>
          <w:rFonts w:ascii="Arial" w:eastAsia="Times New Roman" w:hAnsi="Arial" w:cs="Times New Roman"/>
          <w:sz w:val="24"/>
          <w:szCs w:val="24"/>
        </w:rPr>
        <w:t xml:space="preserve">, even </w:t>
      </w:r>
      <w:r w:rsidRPr="00C45D2F">
        <w:rPr>
          <w:rFonts w:ascii="Arial" w:eastAsia="Times New Roman" w:hAnsi="Arial" w:cs="Times New Roman"/>
          <w:sz w:val="24"/>
          <w:szCs w:val="24"/>
        </w:rPr>
        <w:t xml:space="preserve">in the absence of proper financial records, but </w:t>
      </w:r>
      <w:r w:rsidR="00CB2854">
        <w:rPr>
          <w:rFonts w:ascii="Arial" w:eastAsia="Times New Roman" w:hAnsi="Arial" w:cs="Times New Roman"/>
          <w:sz w:val="24"/>
          <w:szCs w:val="24"/>
        </w:rPr>
        <w:t xml:space="preserve">then only </w:t>
      </w:r>
      <w:r w:rsidRPr="00C45D2F">
        <w:rPr>
          <w:rFonts w:ascii="Arial" w:eastAsia="Times New Roman" w:hAnsi="Arial" w:cs="Times New Roman"/>
          <w:sz w:val="24"/>
          <w:szCs w:val="24"/>
        </w:rPr>
        <w:t>with regard to other reliable facts</w:t>
      </w:r>
      <w:r>
        <w:rPr>
          <w:rFonts w:ascii="Arial" w:eastAsia="Times New Roman" w:hAnsi="Arial" w:cs="Times New Roman"/>
          <w:sz w:val="24"/>
          <w:szCs w:val="24"/>
        </w:rPr>
        <w:t>.</w:t>
      </w:r>
      <w:r>
        <w:rPr>
          <w:rStyle w:val="FootnoteReference"/>
          <w:rFonts w:ascii="Arial" w:eastAsia="Times New Roman" w:hAnsi="Arial" w:cs="Times New Roman"/>
          <w:sz w:val="24"/>
          <w:szCs w:val="24"/>
        </w:rPr>
        <w:footnoteReference w:id="17"/>
      </w:r>
      <w:r>
        <w:rPr>
          <w:rFonts w:ascii="Arial" w:eastAsia="Times New Roman" w:hAnsi="Arial" w:cs="Times New Roman"/>
          <w:sz w:val="24"/>
          <w:szCs w:val="24"/>
        </w:rPr>
        <w:t xml:space="preserve"> </w:t>
      </w:r>
      <w:r w:rsidR="00BC37AC">
        <w:rPr>
          <w:rFonts w:ascii="Arial" w:eastAsia="Times New Roman" w:hAnsi="Arial" w:cs="Times New Roman"/>
          <w:sz w:val="24"/>
          <w:szCs w:val="24"/>
        </w:rPr>
        <w:t xml:space="preserve">In this case I had absolutely no facts at all, let alone </w:t>
      </w:r>
      <w:r w:rsidR="00BC37AC" w:rsidRPr="00CB2854">
        <w:rPr>
          <w:rFonts w:ascii="Arial" w:eastAsia="Times New Roman" w:hAnsi="Arial" w:cs="Times New Roman"/>
          <w:i/>
          <w:iCs/>
          <w:sz w:val="24"/>
          <w:szCs w:val="24"/>
        </w:rPr>
        <w:t>some</w:t>
      </w:r>
      <w:r w:rsidR="00BC37AC">
        <w:rPr>
          <w:rFonts w:ascii="Arial" w:eastAsia="Times New Roman" w:hAnsi="Arial" w:cs="Times New Roman"/>
          <w:sz w:val="24"/>
          <w:szCs w:val="24"/>
        </w:rPr>
        <w:t xml:space="preserve"> reliable facts, but </w:t>
      </w:r>
      <w:r w:rsidR="00071300">
        <w:rPr>
          <w:rFonts w:ascii="Arial" w:eastAsia="Times New Roman" w:hAnsi="Arial" w:cs="Times New Roman"/>
          <w:sz w:val="24"/>
          <w:szCs w:val="24"/>
        </w:rPr>
        <w:t>I return to this later.</w:t>
      </w:r>
    </w:p>
    <w:p w14:paraId="6ADD2DB4" w14:textId="0101E18B" w:rsidR="00E34749" w:rsidRPr="00C45D2F" w:rsidRDefault="00C45D2F" w:rsidP="00C45D2F">
      <w:pPr>
        <w:spacing w:after="0" w:line="480" w:lineRule="auto"/>
        <w:jc w:val="both"/>
        <w:rPr>
          <w:rFonts w:ascii="Arial" w:eastAsia="Times New Roman" w:hAnsi="Arial" w:cs="Times New Roman"/>
          <w:sz w:val="24"/>
          <w:szCs w:val="24"/>
          <w:lang w:val="en-GB"/>
        </w:rPr>
      </w:pPr>
      <w:r w:rsidRPr="00C45D2F">
        <w:rPr>
          <w:rFonts w:ascii="Arial" w:eastAsia="Times New Roman" w:hAnsi="Arial" w:cs="Times New Roman"/>
          <w:sz w:val="24"/>
          <w:szCs w:val="24"/>
        </w:rPr>
        <w:t xml:space="preserve"> </w:t>
      </w:r>
    </w:p>
    <w:p w14:paraId="470CC731" w14:textId="2B71C307" w:rsidR="00372B85" w:rsidRDefault="00372B85"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Dr Kumbirai (</w:t>
      </w:r>
      <w:r w:rsidR="00E30858">
        <w:rPr>
          <w:rFonts w:ascii="Arial" w:eastAsia="Times New Roman" w:hAnsi="Arial" w:cs="Times New Roman"/>
          <w:sz w:val="24"/>
          <w:szCs w:val="24"/>
          <w:lang w:val="en-GB"/>
        </w:rPr>
        <w:t>O</w:t>
      </w:r>
      <w:r>
        <w:rPr>
          <w:rFonts w:ascii="Arial" w:eastAsia="Times New Roman" w:hAnsi="Arial" w:cs="Times New Roman"/>
          <w:sz w:val="24"/>
          <w:szCs w:val="24"/>
          <w:lang w:val="en-GB"/>
        </w:rPr>
        <w:t xml:space="preserve">rthopaedic Surgeon) diagnosed the Plaintiff with a left proximal femur fracture </w:t>
      </w:r>
      <w:r w:rsidRPr="00376C06">
        <w:rPr>
          <w:rFonts w:ascii="Arial" w:eastAsia="Times New Roman" w:hAnsi="Arial" w:cs="Times New Roman"/>
          <w:sz w:val="24"/>
          <w:szCs w:val="24"/>
          <w:lang w:val="en-GB"/>
        </w:rPr>
        <w:t xml:space="preserve">with detachment from the femoral neck and </w:t>
      </w:r>
      <w:r w:rsidR="00071300">
        <w:rPr>
          <w:rFonts w:ascii="Arial" w:eastAsia="Times New Roman" w:hAnsi="Arial" w:cs="Times New Roman"/>
          <w:sz w:val="24"/>
          <w:szCs w:val="24"/>
          <w:lang w:val="en-GB"/>
        </w:rPr>
        <w:t xml:space="preserve">a </w:t>
      </w:r>
      <w:r w:rsidRPr="00376C06">
        <w:rPr>
          <w:rFonts w:ascii="Arial" w:eastAsia="Times New Roman" w:hAnsi="Arial" w:cs="Times New Roman"/>
          <w:sz w:val="24"/>
          <w:szCs w:val="24"/>
          <w:lang w:val="en-GB"/>
        </w:rPr>
        <w:t>supero</w:t>
      </w:r>
      <w:r>
        <w:rPr>
          <w:rFonts w:ascii="Arial" w:eastAsia="Times New Roman" w:hAnsi="Arial" w:cs="Times New Roman"/>
          <w:sz w:val="24"/>
          <w:szCs w:val="24"/>
          <w:lang w:val="en-GB"/>
        </w:rPr>
        <w:t>-</w:t>
      </w:r>
      <w:r w:rsidRPr="00376C06">
        <w:rPr>
          <w:rFonts w:ascii="Arial" w:eastAsia="Times New Roman" w:hAnsi="Arial" w:cs="Times New Roman"/>
          <w:sz w:val="24"/>
          <w:szCs w:val="24"/>
          <w:lang w:val="en-GB"/>
        </w:rPr>
        <w:t xml:space="preserve">lateral displacement. </w:t>
      </w:r>
      <w:r>
        <w:rPr>
          <w:rFonts w:ascii="Arial" w:eastAsia="Times New Roman" w:hAnsi="Arial" w:cs="Times New Roman"/>
          <w:sz w:val="24"/>
          <w:szCs w:val="24"/>
          <w:lang w:val="en-GB"/>
        </w:rPr>
        <w:t>The Plaintiff</w:t>
      </w:r>
      <w:r w:rsidRPr="00376C06">
        <w:rPr>
          <w:rFonts w:ascii="Arial" w:eastAsia="Times New Roman" w:hAnsi="Arial" w:cs="Times New Roman"/>
          <w:sz w:val="24"/>
          <w:szCs w:val="24"/>
          <w:lang w:val="en-GB"/>
        </w:rPr>
        <w:t xml:space="preserve"> also suffered blunt abdominal trauma. </w:t>
      </w:r>
      <w:r>
        <w:rPr>
          <w:rFonts w:ascii="Arial" w:eastAsia="Times New Roman" w:hAnsi="Arial" w:cs="Times New Roman"/>
          <w:sz w:val="24"/>
          <w:szCs w:val="24"/>
          <w:lang w:val="en-GB"/>
        </w:rPr>
        <w:t>He</w:t>
      </w:r>
      <w:r w:rsidRPr="00376C06">
        <w:rPr>
          <w:rFonts w:ascii="Arial" w:eastAsia="Times New Roman" w:hAnsi="Arial" w:cs="Times New Roman"/>
          <w:sz w:val="24"/>
          <w:szCs w:val="24"/>
          <w:lang w:val="en-GB"/>
        </w:rPr>
        <w:t xml:space="preserve"> was admitted to the Sunshine </w:t>
      </w:r>
      <w:r w:rsidRPr="00376C06">
        <w:rPr>
          <w:rFonts w:ascii="Arial" w:eastAsia="Times New Roman" w:hAnsi="Arial" w:cs="Times New Roman"/>
          <w:sz w:val="24"/>
          <w:szCs w:val="24"/>
          <w:lang w:val="en-GB"/>
        </w:rPr>
        <w:lastRenderedPageBreak/>
        <w:t>Hospital. The left femur fracture was treated with traction and he underwent a surgical open reduction and internal fixation and a bone</w:t>
      </w:r>
      <w:r w:rsidR="00B97E20">
        <w:rPr>
          <w:rFonts w:ascii="Arial" w:eastAsia="Times New Roman" w:hAnsi="Arial" w:cs="Times New Roman"/>
          <w:sz w:val="24"/>
          <w:szCs w:val="24"/>
          <w:lang w:val="en-GB"/>
        </w:rPr>
        <w:t xml:space="preserve"> graft</w:t>
      </w:r>
      <w:r w:rsidRPr="00376C06">
        <w:rPr>
          <w:rFonts w:ascii="Arial" w:eastAsia="Times New Roman" w:hAnsi="Arial" w:cs="Times New Roman"/>
          <w:sz w:val="24"/>
          <w:szCs w:val="24"/>
          <w:lang w:val="en-GB"/>
        </w:rPr>
        <w:t xml:space="preserve"> of the left femur. He was further treated with physiotherapy</w:t>
      </w:r>
      <w:r w:rsidR="00E30858">
        <w:rPr>
          <w:rFonts w:ascii="Arial" w:eastAsia="Times New Roman" w:hAnsi="Arial" w:cs="Times New Roman"/>
          <w:sz w:val="24"/>
          <w:szCs w:val="24"/>
          <w:lang w:val="en-GB"/>
        </w:rPr>
        <w:t>. The Plaintiff was hospitalized for about 5 days.</w:t>
      </w:r>
    </w:p>
    <w:p w14:paraId="2147362B" w14:textId="77777777" w:rsidR="00372B85" w:rsidRPr="00372B85" w:rsidRDefault="00372B85" w:rsidP="00372B85">
      <w:pPr>
        <w:spacing w:after="0" w:line="480" w:lineRule="auto"/>
        <w:jc w:val="both"/>
        <w:rPr>
          <w:rFonts w:ascii="Arial" w:eastAsia="Times New Roman" w:hAnsi="Arial" w:cs="Times New Roman"/>
          <w:sz w:val="24"/>
          <w:szCs w:val="24"/>
          <w:lang w:val="en-GB"/>
        </w:rPr>
      </w:pPr>
    </w:p>
    <w:p w14:paraId="2B5AFF4B" w14:textId="56F8783C" w:rsidR="00372B85" w:rsidRDefault="00372B85"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Dr Kumbirai diagnosed</w:t>
      </w:r>
      <w:r w:rsidR="006917A6">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additionally to the above injuries, a soft tissue right shoulder injury.</w:t>
      </w:r>
      <w:r w:rsidR="00B87EC5" w:rsidRPr="00B87EC5">
        <w:rPr>
          <w:rFonts w:ascii="Arial" w:eastAsia="Times New Roman" w:hAnsi="Arial" w:cs="Times New Roman"/>
          <w:sz w:val="24"/>
          <w:szCs w:val="24"/>
          <w:lang w:val="en-GB"/>
        </w:rPr>
        <w:t xml:space="preserve"> </w:t>
      </w:r>
      <w:r w:rsidR="00B87EC5">
        <w:rPr>
          <w:rFonts w:ascii="Arial" w:eastAsia="Times New Roman" w:hAnsi="Arial" w:cs="Times New Roman"/>
          <w:sz w:val="24"/>
          <w:szCs w:val="24"/>
          <w:lang w:val="en-GB"/>
        </w:rPr>
        <w:t xml:space="preserve">Dr Kumbirai </w:t>
      </w:r>
      <w:r w:rsidR="00E30858">
        <w:rPr>
          <w:rFonts w:ascii="Arial" w:eastAsia="Times New Roman" w:hAnsi="Arial" w:cs="Times New Roman"/>
          <w:sz w:val="24"/>
          <w:szCs w:val="24"/>
          <w:lang w:val="en-GB"/>
        </w:rPr>
        <w:t>reported</w:t>
      </w:r>
      <w:r w:rsidR="00B87EC5">
        <w:rPr>
          <w:rFonts w:ascii="Arial" w:eastAsia="Times New Roman" w:hAnsi="Arial" w:cs="Times New Roman"/>
          <w:sz w:val="24"/>
          <w:szCs w:val="24"/>
          <w:lang w:val="en-GB"/>
        </w:rPr>
        <w:t xml:space="preserve"> that the Plaintiff has a 10 cm scar on the left buttock and a 2cm scar on the left thigh where the left femur fracture was treated with an intramedullary nail but recent x-rays revealed that the fracture united with the femur </w:t>
      </w:r>
      <w:r w:rsidR="00E30858">
        <w:rPr>
          <w:rFonts w:ascii="Arial" w:eastAsia="Times New Roman" w:hAnsi="Arial" w:cs="Times New Roman"/>
          <w:sz w:val="24"/>
          <w:szCs w:val="24"/>
          <w:lang w:val="en-GB"/>
        </w:rPr>
        <w:t>n</w:t>
      </w:r>
      <w:r w:rsidR="00B87EC5">
        <w:rPr>
          <w:rFonts w:ascii="Arial" w:eastAsia="Times New Roman" w:hAnsi="Arial" w:cs="Times New Roman"/>
          <w:sz w:val="24"/>
          <w:szCs w:val="24"/>
          <w:lang w:val="en-GB"/>
        </w:rPr>
        <w:t xml:space="preserve">ail still in situ. Dr Kumbirai is of the opinion that the Plaintiff’s Whole Person Impairment </w:t>
      </w:r>
      <w:r w:rsidR="006917A6">
        <w:rPr>
          <w:rFonts w:ascii="Arial" w:eastAsia="Times New Roman" w:hAnsi="Arial" w:cs="Times New Roman"/>
          <w:sz w:val="24"/>
          <w:szCs w:val="24"/>
          <w:lang w:val="en-GB"/>
        </w:rPr>
        <w:t xml:space="preserve">(WPI) </w:t>
      </w:r>
      <w:r w:rsidR="00B87EC5">
        <w:rPr>
          <w:rFonts w:ascii="Arial" w:eastAsia="Times New Roman" w:hAnsi="Arial" w:cs="Times New Roman"/>
          <w:sz w:val="24"/>
          <w:szCs w:val="24"/>
          <w:lang w:val="en-GB"/>
        </w:rPr>
        <w:t xml:space="preserve">is </w:t>
      </w:r>
      <w:r w:rsidR="00071300">
        <w:rPr>
          <w:rFonts w:ascii="Arial" w:eastAsia="Times New Roman" w:hAnsi="Arial" w:cs="Times New Roman"/>
          <w:sz w:val="24"/>
          <w:szCs w:val="24"/>
          <w:lang w:val="en-GB"/>
        </w:rPr>
        <w:t xml:space="preserve">only </w:t>
      </w:r>
      <w:r w:rsidR="00B87EC5">
        <w:rPr>
          <w:rFonts w:ascii="Arial" w:eastAsia="Times New Roman" w:hAnsi="Arial" w:cs="Times New Roman"/>
          <w:sz w:val="24"/>
          <w:szCs w:val="24"/>
          <w:lang w:val="en-GB"/>
        </w:rPr>
        <w:t>3%.</w:t>
      </w:r>
    </w:p>
    <w:p w14:paraId="48A52CBA" w14:textId="77777777" w:rsidR="00B87EC5" w:rsidRPr="00B87EC5" w:rsidRDefault="00B87EC5" w:rsidP="00B87EC5">
      <w:pPr>
        <w:pStyle w:val="ListParagraph"/>
        <w:rPr>
          <w:rFonts w:ascii="Arial" w:eastAsia="Times New Roman" w:hAnsi="Arial" w:cs="Times New Roman"/>
          <w:sz w:val="24"/>
          <w:szCs w:val="24"/>
          <w:lang w:val="en-GB"/>
        </w:rPr>
      </w:pPr>
    </w:p>
    <w:p w14:paraId="16DD649C" w14:textId="07C4FA4C" w:rsidR="008E304A" w:rsidRDefault="00B87EC5" w:rsidP="00AF6DDF">
      <w:pPr>
        <w:pStyle w:val="ListParagraph"/>
        <w:numPr>
          <w:ilvl w:val="0"/>
          <w:numId w:val="3"/>
        </w:numPr>
        <w:spacing w:after="0" w:line="480" w:lineRule="auto"/>
        <w:jc w:val="both"/>
        <w:rPr>
          <w:rFonts w:ascii="Arial" w:eastAsia="Times New Roman" w:hAnsi="Arial" w:cs="Times New Roman"/>
          <w:sz w:val="24"/>
          <w:szCs w:val="24"/>
          <w:lang w:val="en-GB"/>
        </w:rPr>
      </w:pPr>
      <w:r w:rsidRPr="00E30858">
        <w:rPr>
          <w:rFonts w:ascii="Arial" w:eastAsia="Times New Roman" w:hAnsi="Arial" w:cs="Times New Roman"/>
          <w:sz w:val="24"/>
          <w:szCs w:val="24"/>
          <w:lang w:val="en-GB"/>
        </w:rPr>
        <w:t>The only surgery which Dr Kumbirai anticipates in the future is for the removal of the implants</w:t>
      </w:r>
      <w:r w:rsidR="00071300">
        <w:rPr>
          <w:rFonts w:ascii="Arial" w:eastAsia="Times New Roman" w:hAnsi="Arial" w:cs="Times New Roman"/>
          <w:sz w:val="24"/>
          <w:szCs w:val="24"/>
          <w:lang w:val="en-GB"/>
        </w:rPr>
        <w:t xml:space="preserve">, and this will only be necessary </w:t>
      </w:r>
      <w:r w:rsidRPr="00E30858">
        <w:rPr>
          <w:rFonts w:ascii="Arial" w:eastAsia="Times New Roman" w:hAnsi="Arial" w:cs="Times New Roman"/>
          <w:sz w:val="24"/>
          <w:szCs w:val="24"/>
          <w:lang w:val="en-GB"/>
        </w:rPr>
        <w:t xml:space="preserve">to prevent the metalware from acting as a focus for sepsis, </w:t>
      </w:r>
      <w:r w:rsidR="00071300">
        <w:rPr>
          <w:rFonts w:ascii="Arial" w:eastAsia="Times New Roman" w:hAnsi="Arial" w:cs="Times New Roman"/>
          <w:sz w:val="24"/>
          <w:szCs w:val="24"/>
          <w:lang w:val="en-GB"/>
        </w:rPr>
        <w:t xml:space="preserve">in the event that </w:t>
      </w:r>
      <w:r w:rsidRPr="00E30858">
        <w:rPr>
          <w:rFonts w:ascii="Arial" w:eastAsia="Times New Roman" w:hAnsi="Arial" w:cs="Times New Roman"/>
          <w:sz w:val="24"/>
          <w:szCs w:val="24"/>
          <w:lang w:val="en-GB"/>
        </w:rPr>
        <w:t xml:space="preserve">the Plaintiff become immune-compromised. </w:t>
      </w:r>
    </w:p>
    <w:p w14:paraId="73BE081D" w14:textId="77777777" w:rsidR="00A82B3F" w:rsidRPr="003644E7" w:rsidRDefault="00A82B3F" w:rsidP="003644E7">
      <w:pPr>
        <w:spacing w:after="0" w:line="480" w:lineRule="auto"/>
        <w:jc w:val="both"/>
        <w:rPr>
          <w:rFonts w:ascii="Arial" w:eastAsia="Times New Roman" w:hAnsi="Arial" w:cs="Times New Roman"/>
          <w:sz w:val="24"/>
          <w:szCs w:val="24"/>
          <w:lang w:val="en-GB"/>
        </w:rPr>
      </w:pPr>
    </w:p>
    <w:p w14:paraId="1B6F2EF2" w14:textId="6DBD40FD" w:rsidR="008E304A" w:rsidRDefault="008E304A"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Dr Selahle (</w:t>
      </w:r>
      <w:r w:rsidR="003268AC">
        <w:rPr>
          <w:rFonts w:ascii="Arial" w:eastAsia="Times New Roman" w:hAnsi="Arial" w:cs="Times New Roman"/>
          <w:sz w:val="24"/>
          <w:szCs w:val="24"/>
          <w:lang w:val="en-GB"/>
        </w:rPr>
        <w:t>P</w:t>
      </w:r>
      <w:r>
        <w:rPr>
          <w:rFonts w:ascii="Arial" w:eastAsia="Times New Roman" w:hAnsi="Arial" w:cs="Times New Roman"/>
          <w:sz w:val="24"/>
          <w:szCs w:val="24"/>
          <w:lang w:val="en-GB"/>
        </w:rPr>
        <w:t xml:space="preserve">lastic </w:t>
      </w:r>
      <w:r w:rsidR="003268AC">
        <w:rPr>
          <w:rFonts w:ascii="Arial" w:eastAsia="Times New Roman" w:hAnsi="Arial" w:cs="Times New Roman"/>
          <w:sz w:val="24"/>
          <w:szCs w:val="24"/>
          <w:lang w:val="en-GB"/>
        </w:rPr>
        <w:t>S</w:t>
      </w:r>
      <w:r>
        <w:rPr>
          <w:rFonts w:ascii="Arial" w:eastAsia="Times New Roman" w:hAnsi="Arial" w:cs="Times New Roman"/>
          <w:sz w:val="24"/>
          <w:szCs w:val="24"/>
          <w:lang w:val="en-GB"/>
        </w:rPr>
        <w:t>urgeon) reported</w:t>
      </w:r>
      <w:r w:rsidR="006917A6">
        <w:rPr>
          <w:rFonts w:ascii="Arial" w:eastAsia="Times New Roman" w:hAnsi="Arial" w:cs="Times New Roman"/>
          <w:sz w:val="24"/>
          <w:szCs w:val="24"/>
          <w:lang w:val="en-GB"/>
        </w:rPr>
        <w:t xml:space="preserve"> </w:t>
      </w:r>
      <w:r>
        <w:rPr>
          <w:rFonts w:ascii="Arial" w:eastAsia="Times New Roman" w:hAnsi="Arial" w:cs="Times New Roman"/>
          <w:sz w:val="24"/>
          <w:szCs w:val="24"/>
          <w:lang w:val="en-GB"/>
        </w:rPr>
        <w:t>scar</w:t>
      </w:r>
      <w:r w:rsidR="00E30858">
        <w:rPr>
          <w:rFonts w:ascii="Arial" w:eastAsia="Times New Roman" w:hAnsi="Arial" w:cs="Times New Roman"/>
          <w:sz w:val="24"/>
          <w:szCs w:val="24"/>
          <w:lang w:val="en-GB"/>
        </w:rPr>
        <w:t>ring</w:t>
      </w:r>
      <w:r>
        <w:rPr>
          <w:rFonts w:ascii="Arial" w:eastAsia="Times New Roman" w:hAnsi="Arial" w:cs="Times New Roman"/>
          <w:sz w:val="24"/>
          <w:szCs w:val="24"/>
          <w:lang w:val="en-GB"/>
        </w:rPr>
        <w:t xml:space="preserve"> of 3.5cm to the scalp, 6cm to the forehead, 1.5cm to the nose and forehead and a 19cm scar of the left thigh. Dr Segwapa (</w:t>
      </w:r>
      <w:r w:rsidR="003268AC">
        <w:rPr>
          <w:rFonts w:ascii="Arial" w:eastAsia="Times New Roman" w:hAnsi="Arial" w:cs="Times New Roman"/>
          <w:sz w:val="24"/>
          <w:szCs w:val="24"/>
          <w:lang w:val="en-GB"/>
        </w:rPr>
        <w:t>N</w:t>
      </w:r>
      <w:r>
        <w:rPr>
          <w:rFonts w:ascii="Arial" w:eastAsia="Times New Roman" w:hAnsi="Arial" w:cs="Times New Roman"/>
          <w:sz w:val="24"/>
          <w:szCs w:val="24"/>
          <w:lang w:val="en-GB"/>
        </w:rPr>
        <w:t xml:space="preserve">euro </w:t>
      </w:r>
      <w:r w:rsidR="003268AC">
        <w:rPr>
          <w:rFonts w:ascii="Arial" w:eastAsia="Times New Roman" w:hAnsi="Arial" w:cs="Times New Roman"/>
          <w:sz w:val="24"/>
          <w:szCs w:val="24"/>
          <w:lang w:val="en-GB"/>
        </w:rPr>
        <w:t>S</w:t>
      </w:r>
      <w:r>
        <w:rPr>
          <w:rFonts w:ascii="Arial" w:eastAsia="Times New Roman" w:hAnsi="Arial" w:cs="Times New Roman"/>
          <w:sz w:val="24"/>
          <w:szCs w:val="24"/>
          <w:lang w:val="en-GB"/>
        </w:rPr>
        <w:t>urgeon) diagnosed a mild brain injury with headaches</w:t>
      </w:r>
      <w:r w:rsidR="00E30858">
        <w:rPr>
          <w:rFonts w:ascii="Arial" w:eastAsia="Times New Roman" w:hAnsi="Arial" w:cs="Times New Roman"/>
          <w:sz w:val="24"/>
          <w:szCs w:val="24"/>
          <w:lang w:val="en-GB"/>
        </w:rPr>
        <w:t xml:space="preserve"> and</w:t>
      </w:r>
      <w:r>
        <w:rPr>
          <w:rFonts w:ascii="Arial" w:eastAsia="Times New Roman" w:hAnsi="Arial" w:cs="Times New Roman"/>
          <w:sz w:val="24"/>
          <w:szCs w:val="24"/>
          <w:lang w:val="en-GB"/>
        </w:rPr>
        <w:t xml:space="preserve"> memory problems.</w:t>
      </w:r>
      <w:r w:rsidR="007073C4">
        <w:rPr>
          <w:rFonts w:ascii="Arial" w:eastAsia="Times New Roman" w:hAnsi="Arial" w:cs="Times New Roman"/>
          <w:sz w:val="24"/>
          <w:szCs w:val="24"/>
          <w:lang w:val="en-GB"/>
        </w:rPr>
        <w:t xml:space="preserve"> The Plaintiff’s case had several contentions and I deal with them in turn next.</w:t>
      </w:r>
    </w:p>
    <w:p w14:paraId="3891691C" w14:textId="77777777" w:rsidR="00E34749" w:rsidRPr="00E34749" w:rsidRDefault="00E34749" w:rsidP="00E34749">
      <w:pPr>
        <w:pStyle w:val="ListParagraph"/>
        <w:rPr>
          <w:rFonts w:ascii="Arial" w:eastAsia="Times New Roman" w:hAnsi="Arial" w:cs="Times New Roman"/>
          <w:sz w:val="24"/>
          <w:szCs w:val="24"/>
          <w:lang w:val="en-GB"/>
        </w:rPr>
      </w:pPr>
    </w:p>
    <w:p w14:paraId="0A458049" w14:textId="77777777" w:rsidR="00C44C1C" w:rsidRDefault="00C44C1C" w:rsidP="00E34749">
      <w:pPr>
        <w:pStyle w:val="ListParagraph"/>
        <w:spacing w:after="0" w:line="480" w:lineRule="auto"/>
        <w:ind w:left="360"/>
        <w:jc w:val="both"/>
        <w:rPr>
          <w:rFonts w:ascii="Arial" w:eastAsia="Times New Roman" w:hAnsi="Arial" w:cs="Times New Roman"/>
          <w:sz w:val="24"/>
          <w:szCs w:val="24"/>
          <w:lang w:val="en-GB"/>
        </w:rPr>
      </w:pPr>
    </w:p>
    <w:p w14:paraId="62DC0907" w14:textId="141EFFC8" w:rsidR="003717D2" w:rsidRPr="00E34749" w:rsidRDefault="00E34749" w:rsidP="00666BFC">
      <w:pPr>
        <w:rPr>
          <w:rFonts w:ascii="Arial" w:eastAsia="Times New Roman" w:hAnsi="Arial" w:cs="Times New Roman"/>
          <w:i/>
          <w:iCs/>
          <w:sz w:val="24"/>
          <w:szCs w:val="24"/>
          <w:u w:val="single"/>
          <w:lang w:val="en-GB"/>
        </w:rPr>
      </w:pPr>
      <w:r w:rsidRPr="00E34749">
        <w:rPr>
          <w:rFonts w:ascii="Arial" w:eastAsia="Times New Roman" w:hAnsi="Arial" w:cs="Times New Roman"/>
          <w:i/>
          <w:iCs/>
          <w:sz w:val="24"/>
          <w:szCs w:val="24"/>
          <w:u w:val="single"/>
          <w:lang w:val="en-GB"/>
        </w:rPr>
        <w:t>No factual evidence</w:t>
      </w:r>
    </w:p>
    <w:p w14:paraId="2E6FF23A" w14:textId="03A82672" w:rsidR="00821777" w:rsidRPr="003B4753" w:rsidRDefault="003717D2"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Dr Kumbirai</w:t>
      </w:r>
      <w:r w:rsidR="00666BFC">
        <w:rPr>
          <w:rFonts w:ascii="Arial" w:eastAsia="Times New Roman" w:hAnsi="Arial" w:cs="Times New Roman"/>
          <w:sz w:val="24"/>
          <w:szCs w:val="24"/>
          <w:lang w:val="en-GB"/>
        </w:rPr>
        <w:t>, in his report,</w:t>
      </w:r>
      <w:r>
        <w:rPr>
          <w:rFonts w:ascii="Arial" w:eastAsia="Times New Roman" w:hAnsi="Arial" w:cs="Times New Roman"/>
          <w:sz w:val="24"/>
          <w:szCs w:val="24"/>
          <w:lang w:val="en-GB"/>
        </w:rPr>
        <w:t xml:space="preserve"> </w:t>
      </w:r>
      <w:r w:rsidR="00666BFC">
        <w:rPr>
          <w:rFonts w:ascii="Arial" w:eastAsia="Times New Roman" w:hAnsi="Arial" w:cs="Times New Roman"/>
          <w:sz w:val="24"/>
          <w:szCs w:val="24"/>
          <w:lang w:val="en-GB"/>
        </w:rPr>
        <w:t>relies</w:t>
      </w:r>
      <w:r>
        <w:rPr>
          <w:rFonts w:ascii="Arial" w:eastAsia="Times New Roman" w:hAnsi="Arial" w:cs="Times New Roman"/>
          <w:sz w:val="24"/>
          <w:szCs w:val="24"/>
          <w:lang w:val="en-GB"/>
        </w:rPr>
        <w:t xml:space="preserve"> on factual information, obviously solicited from the Plaintiff or the Plaintiff’s legal representatives</w:t>
      </w:r>
      <w:r w:rsidR="00E30858">
        <w:rPr>
          <w:rFonts w:ascii="Arial" w:eastAsia="Times New Roman" w:hAnsi="Arial" w:cs="Times New Roman"/>
          <w:sz w:val="24"/>
          <w:szCs w:val="24"/>
          <w:lang w:val="en-GB"/>
        </w:rPr>
        <w:t>, specifically that</w:t>
      </w:r>
      <w:r>
        <w:rPr>
          <w:rFonts w:ascii="Arial" w:eastAsia="Times New Roman" w:hAnsi="Arial" w:cs="Times New Roman"/>
          <w:sz w:val="24"/>
          <w:szCs w:val="24"/>
          <w:lang w:val="en-GB"/>
        </w:rPr>
        <w:t xml:space="preserve"> the Plaintiff was </w:t>
      </w:r>
      <w:r w:rsidR="00E30858">
        <w:rPr>
          <w:rFonts w:ascii="Arial" w:eastAsia="Times New Roman" w:hAnsi="Arial" w:cs="Times New Roman"/>
          <w:sz w:val="24"/>
          <w:szCs w:val="24"/>
          <w:lang w:val="en-GB"/>
        </w:rPr>
        <w:t xml:space="preserve">the </w:t>
      </w:r>
      <w:r>
        <w:rPr>
          <w:rFonts w:ascii="Arial" w:eastAsia="Times New Roman" w:hAnsi="Arial" w:cs="Times New Roman"/>
          <w:sz w:val="24"/>
          <w:szCs w:val="24"/>
          <w:lang w:val="en-GB"/>
        </w:rPr>
        <w:t xml:space="preserve">self-employed owner of Pholo Human Capital and Bonang Trading and Development, a Human Relations and Training Company. Dr Kumbirai </w:t>
      </w:r>
      <w:r w:rsidR="00E30858">
        <w:rPr>
          <w:rFonts w:ascii="Arial" w:eastAsia="Times New Roman" w:hAnsi="Arial" w:cs="Times New Roman"/>
          <w:sz w:val="24"/>
          <w:szCs w:val="24"/>
          <w:lang w:val="en-GB"/>
        </w:rPr>
        <w:t xml:space="preserve">further relies on the allegation </w:t>
      </w:r>
      <w:r w:rsidR="00E30858">
        <w:rPr>
          <w:rFonts w:ascii="Arial" w:eastAsia="Times New Roman" w:hAnsi="Arial" w:cs="Times New Roman"/>
          <w:sz w:val="24"/>
          <w:szCs w:val="24"/>
          <w:lang w:val="en-GB"/>
        </w:rPr>
        <w:lastRenderedPageBreak/>
        <w:t xml:space="preserve">that </w:t>
      </w:r>
      <w:r>
        <w:rPr>
          <w:rFonts w:ascii="Arial" w:eastAsia="Times New Roman" w:hAnsi="Arial" w:cs="Times New Roman"/>
          <w:sz w:val="24"/>
          <w:szCs w:val="24"/>
          <w:lang w:val="en-GB"/>
        </w:rPr>
        <w:t xml:space="preserve">the Plaintiff’s highest level of education </w:t>
      </w:r>
      <w:r w:rsidR="00E30858">
        <w:rPr>
          <w:rFonts w:ascii="Arial" w:eastAsia="Times New Roman" w:hAnsi="Arial" w:cs="Times New Roman"/>
          <w:sz w:val="24"/>
          <w:szCs w:val="24"/>
          <w:lang w:val="en-GB"/>
        </w:rPr>
        <w:t>i</w:t>
      </w:r>
      <w:r>
        <w:rPr>
          <w:rFonts w:ascii="Arial" w:eastAsia="Times New Roman" w:hAnsi="Arial" w:cs="Times New Roman"/>
          <w:sz w:val="24"/>
          <w:szCs w:val="24"/>
          <w:lang w:val="en-GB"/>
        </w:rPr>
        <w:t>s an MBA (Masters in Business</w:t>
      </w:r>
      <w:r w:rsidR="00666BFC">
        <w:rPr>
          <w:rFonts w:ascii="Arial" w:eastAsia="Times New Roman" w:hAnsi="Arial" w:cs="Times New Roman"/>
          <w:sz w:val="24"/>
          <w:szCs w:val="24"/>
          <w:lang w:val="en-GB"/>
        </w:rPr>
        <w:t xml:space="preserve"> </w:t>
      </w:r>
      <w:r>
        <w:rPr>
          <w:rFonts w:ascii="Arial" w:eastAsia="Times New Roman" w:hAnsi="Arial" w:cs="Times New Roman"/>
          <w:sz w:val="24"/>
          <w:szCs w:val="24"/>
          <w:lang w:val="en-GB"/>
        </w:rPr>
        <w:t>Administration). Dr Kumbirai was informed that the Plaintiff is now unemployed as the company closed down. Dr Kumbirai is mute on the reasons for the alleged closing of the business</w:t>
      </w:r>
      <w:r w:rsidR="00666BFC">
        <w:rPr>
          <w:rFonts w:ascii="Arial" w:eastAsia="Times New Roman" w:hAnsi="Arial" w:cs="Times New Roman"/>
          <w:sz w:val="24"/>
          <w:szCs w:val="24"/>
          <w:lang w:val="en-GB"/>
        </w:rPr>
        <w:t xml:space="preserve"> or businesses.</w:t>
      </w:r>
    </w:p>
    <w:p w14:paraId="10E45AE7" w14:textId="64A6A383" w:rsidR="006917A6" w:rsidRDefault="00821777" w:rsidP="00AF6DDF">
      <w:pPr>
        <w:pStyle w:val="ListParagraph"/>
        <w:numPr>
          <w:ilvl w:val="0"/>
          <w:numId w:val="3"/>
        </w:numPr>
        <w:spacing w:after="0" w:line="480" w:lineRule="auto"/>
        <w:jc w:val="both"/>
        <w:rPr>
          <w:rFonts w:ascii="Arial" w:eastAsia="Times New Roman" w:hAnsi="Arial" w:cs="Times New Roman"/>
          <w:sz w:val="24"/>
          <w:szCs w:val="24"/>
          <w:lang w:val="en-GB"/>
        </w:rPr>
      </w:pPr>
      <w:r w:rsidRPr="00821777">
        <w:rPr>
          <w:rFonts w:ascii="Arial" w:eastAsia="Times New Roman" w:hAnsi="Arial" w:cs="Times New Roman"/>
          <w:sz w:val="24"/>
          <w:szCs w:val="24"/>
          <w:lang w:val="en-GB"/>
        </w:rPr>
        <w:t>Similarly, Dr Maluleke-Baloyi (</w:t>
      </w:r>
      <w:r w:rsidR="003268AC">
        <w:rPr>
          <w:rFonts w:ascii="Arial" w:eastAsia="Times New Roman" w:hAnsi="Arial" w:cs="Times New Roman"/>
          <w:sz w:val="24"/>
          <w:szCs w:val="24"/>
          <w:lang w:val="en-GB"/>
        </w:rPr>
        <w:t>P</w:t>
      </w:r>
      <w:r w:rsidRPr="00821777">
        <w:rPr>
          <w:rFonts w:ascii="Arial" w:eastAsia="Times New Roman" w:hAnsi="Arial" w:cs="Times New Roman"/>
          <w:sz w:val="24"/>
          <w:szCs w:val="24"/>
          <w:lang w:val="en-GB"/>
        </w:rPr>
        <w:t>hysiotherapist) submit</w:t>
      </w:r>
      <w:r w:rsidR="003268AC">
        <w:rPr>
          <w:rFonts w:ascii="Arial" w:eastAsia="Times New Roman" w:hAnsi="Arial" w:cs="Times New Roman"/>
          <w:sz w:val="24"/>
          <w:szCs w:val="24"/>
          <w:lang w:val="en-GB"/>
        </w:rPr>
        <w:t>ted</w:t>
      </w:r>
      <w:r w:rsidRPr="00821777">
        <w:rPr>
          <w:rFonts w:ascii="Arial" w:eastAsia="Times New Roman" w:hAnsi="Arial" w:cs="Times New Roman"/>
          <w:sz w:val="24"/>
          <w:szCs w:val="24"/>
          <w:lang w:val="en-GB"/>
        </w:rPr>
        <w:t xml:space="preserve"> that the Plaintiff additionally have a Grade 12</w:t>
      </w:r>
      <w:r w:rsidR="006917A6">
        <w:rPr>
          <w:rFonts w:ascii="Arial" w:eastAsia="Times New Roman" w:hAnsi="Arial" w:cs="Times New Roman"/>
          <w:sz w:val="24"/>
          <w:szCs w:val="24"/>
          <w:lang w:val="en-GB"/>
        </w:rPr>
        <w:t xml:space="preserve"> level of education</w:t>
      </w:r>
      <w:r w:rsidRPr="00821777">
        <w:rPr>
          <w:rFonts w:ascii="Arial" w:eastAsia="Times New Roman" w:hAnsi="Arial" w:cs="Times New Roman"/>
          <w:sz w:val="24"/>
          <w:szCs w:val="24"/>
          <w:lang w:val="en-GB"/>
        </w:rPr>
        <w:t xml:space="preserve">, a BsC in </w:t>
      </w:r>
      <w:r>
        <w:rPr>
          <w:rFonts w:ascii="Arial" w:eastAsia="Times New Roman" w:hAnsi="Arial" w:cs="Times New Roman"/>
          <w:sz w:val="24"/>
          <w:szCs w:val="24"/>
          <w:lang w:val="en-GB"/>
        </w:rPr>
        <w:t>M</w:t>
      </w:r>
      <w:r w:rsidRPr="00821777">
        <w:rPr>
          <w:rFonts w:ascii="Arial" w:eastAsia="Times New Roman" w:hAnsi="Arial" w:cs="Times New Roman"/>
          <w:sz w:val="24"/>
          <w:szCs w:val="24"/>
          <w:lang w:val="en-GB"/>
        </w:rPr>
        <w:t xml:space="preserve">athematics and </w:t>
      </w:r>
      <w:r>
        <w:rPr>
          <w:rFonts w:ascii="Arial" w:eastAsia="Times New Roman" w:hAnsi="Arial" w:cs="Times New Roman"/>
          <w:sz w:val="24"/>
          <w:szCs w:val="24"/>
          <w:lang w:val="en-GB"/>
        </w:rPr>
        <w:t>S</w:t>
      </w:r>
      <w:r w:rsidRPr="00821777">
        <w:rPr>
          <w:rFonts w:ascii="Arial" w:eastAsia="Times New Roman" w:hAnsi="Arial" w:cs="Times New Roman"/>
          <w:sz w:val="24"/>
          <w:szCs w:val="24"/>
          <w:lang w:val="en-GB"/>
        </w:rPr>
        <w:t xml:space="preserve">tatistics and a National Diploma in Police Administration. </w:t>
      </w:r>
    </w:p>
    <w:p w14:paraId="1A6FED9C" w14:textId="77777777" w:rsidR="00BB03B0" w:rsidRPr="00BB03B0" w:rsidRDefault="00BB03B0" w:rsidP="00BB03B0">
      <w:pPr>
        <w:pStyle w:val="ListParagraph"/>
        <w:rPr>
          <w:rFonts w:ascii="Arial" w:eastAsia="Times New Roman" w:hAnsi="Arial" w:cs="Times New Roman"/>
          <w:sz w:val="24"/>
          <w:szCs w:val="24"/>
          <w:lang w:val="en-GB"/>
        </w:rPr>
      </w:pPr>
    </w:p>
    <w:p w14:paraId="2773A439" w14:textId="446728B0" w:rsidR="00BB03B0" w:rsidRPr="00BB03B0" w:rsidRDefault="00BB03B0"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Dr Maluleke-Baloyi (</w:t>
      </w:r>
      <w:r w:rsidR="003268AC">
        <w:rPr>
          <w:rFonts w:ascii="Arial" w:eastAsia="Times New Roman" w:hAnsi="Arial" w:cs="Times New Roman"/>
          <w:sz w:val="24"/>
          <w:szCs w:val="24"/>
          <w:lang w:val="en-GB"/>
        </w:rPr>
        <w:t>P</w:t>
      </w:r>
      <w:r>
        <w:rPr>
          <w:rFonts w:ascii="Arial" w:eastAsia="Times New Roman" w:hAnsi="Arial" w:cs="Times New Roman"/>
          <w:sz w:val="24"/>
          <w:szCs w:val="24"/>
          <w:lang w:val="en-GB"/>
        </w:rPr>
        <w:t xml:space="preserve">hysiotherapist) </w:t>
      </w:r>
      <w:r w:rsidR="00071300">
        <w:rPr>
          <w:rFonts w:ascii="Arial" w:eastAsia="Times New Roman" w:hAnsi="Arial" w:cs="Times New Roman"/>
          <w:sz w:val="24"/>
          <w:szCs w:val="24"/>
          <w:lang w:val="en-GB"/>
        </w:rPr>
        <w:t>further</w:t>
      </w:r>
      <w:r>
        <w:rPr>
          <w:rFonts w:ascii="Arial" w:eastAsia="Times New Roman" w:hAnsi="Arial" w:cs="Times New Roman"/>
          <w:sz w:val="24"/>
          <w:szCs w:val="24"/>
          <w:lang w:val="en-GB"/>
        </w:rPr>
        <w:t xml:space="preserve"> sets out the Plaintiff’s work history. She reports that the Plaintiff was working for the Silverton SAPS from 1991-1995. He moved to National Intelligence in 1999 to 2000 and commenced with Pholo Holdings as an executive director (training facilitator) in 2002 until January 2019, when he met with the accident. His monthly ‘</w:t>
      </w:r>
      <w:r w:rsidRPr="00BB03B0">
        <w:rPr>
          <w:rFonts w:ascii="Arial" w:eastAsia="Times New Roman" w:hAnsi="Arial" w:cs="Times New Roman"/>
          <w:i/>
          <w:iCs/>
          <w:sz w:val="24"/>
          <w:szCs w:val="24"/>
          <w:lang w:val="en-GB"/>
        </w:rPr>
        <w:t>stipend</w:t>
      </w:r>
      <w:r>
        <w:rPr>
          <w:rFonts w:ascii="Arial" w:eastAsia="Times New Roman" w:hAnsi="Arial" w:cs="Times New Roman"/>
          <w:sz w:val="24"/>
          <w:szCs w:val="24"/>
          <w:lang w:val="en-GB"/>
        </w:rPr>
        <w:t xml:space="preserve">’ was R40 000 (which would amount to R480 000/annum). </w:t>
      </w:r>
      <w:r w:rsidR="00071300">
        <w:rPr>
          <w:rFonts w:ascii="Arial" w:eastAsia="Times New Roman" w:hAnsi="Arial" w:cs="Times New Roman"/>
          <w:sz w:val="24"/>
          <w:szCs w:val="24"/>
          <w:lang w:val="en-GB"/>
        </w:rPr>
        <w:t>I pause to point out that t</w:t>
      </w:r>
      <w:r>
        <w:rPr>
          <w:rFonts w:ascii="Arial" w:eastAsia="Times New Roman" w:hAnsi="Arial" w:cs="Times New Roman"/>
          <w:sz w:val="24"/>
          <w:szCs w:val="24"/>
          <w:lang w:val="en-GB"/>
        </w:rPr>
        <w:t>his income in contradicted by Mr Oscar Sechudi (</w:t>
      </w:r>
      <w:r w:rsidR="003268AC">
        <w:rPr>
          <w:rFonts w:ascii="Arial" w:eastAsia="Times New Roman" w:hAnsi="Arial" w:cs="Times New Roman"/>
          <w:sz w:val="24"/>
          <w:szCs w:val="24"/>
          <w:lang w:val="en-GB"/>
        </w:rPr>
        <w:t>I</w:t>
      </w:r>
      <w:r>
        <w:rPr>
          <w:rFonts w:ascii="Arial" w:eastAsia="Times New Roman" w:hAnsi="Arial" w:cs="Times New Roman"/>
          <w:sz w:val="24"/>
          <w:szCs w:val="24"/>
          <w:lang w:val="en-GB"/>
        </w:rPr>
        <w:t xml:space="preserve">ndustrial </w:t>
      </w:r>
      <w:r w:rsidR="003268AC">
        <w:rPr>
          <w:rFonts w:ascii="Arial" w:eastAsia="Times New Roman" w:hAnsi="Arial" w:cs="Times New Roman"/>
          <w:sz w:val="24"/>
          <w:szCs w:val="24"/>
          <w:lang w:val="en-GB"/>
        </w:rPr>
        <w:t>P</w:t>
      </w:r>
      <w:r>
        <w:rPr>
          <w:rFonts w:ascii="Arial" w:eastAsia="Times New Roman" w:hAnsi="Arial" w:cs="Times New Roman"/>
          <w:sz w:val="24"/>
          <w:szCs w:val="24"/>
          <w:lang w:val="en-GB"/>
        </w:rPr>
        <w:t>sychologist) who alleges that the Plaintiff earned R320 000/a</w:t>
      </w:r>
      <w:r w:rsidR="00071300">
        <w:rPr>
          <w:rFonts w:ascii="Arial" w:eastAsia="Times New Roman" w:hAnsi="Arial" w:cs="Times New Roman"/>
          <w:sz w:val="24"/>
          <w:szCs w:val="24"/>
          <w:lang w:val="en-GB"/>
        </w:rPr>
        <w:t>nnum</w:t>
      </w:r>
      <w:r>
        <w:rPr>
          <w:rFonts w:ascii="Arial" w:eastAsia="Times New Roman" w:hAnsi="Arial" w:cs="Times New Roman"/>
          <w:sz w:val="24"/>
          <w:szCs w:val="24"/>
          <w:lang w:val="en-GB"/>
        </w:rPr>
        <w:t>.</w:t>
      </w:r>
    </w:p>
    <w:p w14:paraId="23801561" w14:textId="77777777" w:rsidR="006917A6" w:rsidRPr="006917A6" w:rsidRDefault="006917A6" w:rsidP="006917A6">
      <w:pPr>
        <w:pStyle w:val="ListParagraph"/>
        <w:rPr>
          <w:rFonts w:ascii="Arial" w:eastAsia="Times New Roman" w:hAnsi="Arial" w:cs="Times New Roman"/>
          <w:sz w:val="24"/>
          <w:szCs w:val="24"/>
          <w:lang w:val="en-GB"/>
        </w:rPr>
      </w:pPr>
    </w:p>
    <w:p w14:paraId="1D252E79" w14:textId="2ABC1E9F" w:rsidR="00633367" w:rsidRDefault="006917A6" w:rsidP="00AF6DDF">
      <w:pPr>
        <w:pStyle w:val="ListParagraph"/>
        <w:numPr>
          <w:ilvl w:val="0"/>
          <w:numId w:val="3"/>
        </w:numPr>
        <w:spacing w:after="0" w:line="480" w:lineRule="auto"/>
        <w:jc w:val="both"/>
        <w:rPr>
          <w:rFonts w:ascii="Arial" w:eastAsia="Times New Roman" w:hAnsi="Arial" w:cs="Times New Roman"/>
          <w:sz w:val="24"/>
          <w:szCs w:val="24"/>
          <w:lang w:val="en-GB"/>
        </w:rPr>
      </w:pPr>
      <w:r w:rsidRPr="00071300">
        <w:rPr>
          <w:rFonts w:ascii="Arial" w:eastAsia="Times New Roman" w:hAnsi="Arial" w:cs="Times New Roman"/>
          <w:sz w:val="24"/>
          <w:szCs w:val="24"/>
          <w:lang w:val="en-GB"/>
        </w:rPr>
        <w:t>None of these factual allegations, or any other facts</w:t>
      </w:r>
      <w:r w:rsidR="00071300" w:rsidRPr="00071300">
        <w:rPr>
          <w:rFonts w:ascii="Arial" w:eastAsia="Times New Roman" w:hAnsi="Arial" w:cs="Times New Roman"/>
          <w:sz w:val="24"/>
          <w:szCs w:val="24"/>
          <w:lang w:val="en-GB"/>
        </w:rPr>
        <w:t xml:space="preserve"> for that matter,</w:t>
      </w:r>
      <w:r w:rsidRPr="00071300">
        <w:rPr>
          <w:rFonts w:ascii="Arial" w:eastAsia="Times New Roman" w:hAnsi="Arial" w:cs="Times New Roman"/>
          <w:sz w:val="24"/>
          <w:szCs w:val="24"/>
          <w:lang w:val="en-GB"/>
        </w:rPr>
        <w:t xml:space="preserve"> supporting the quantification of the Plaintiff’s claim</w:t>
      </w:r>
      <w:r w:rsidR="003B4753">
        <w:rPr>
          <w:rFonts w:ascii="Arial" w:eastAsia="Times New Roman" w:hAnsi="Arial" w:cs="Times New Roman"/>
          <w:sz w:val="24"/>
          <w:szCs w:val="24"/>
          <w:lang w:val="en-GB"/>
        </w:rPr>
        <w:t>,</w:t>
      </w:r>
      <w:r w:rsidRPr="00071300">
        <w:rPr>
          <w:rFonts w:ascii="Arial" w:eastAsia="Times New Roman" w:hAnsi="Arial" w:cs="Times New Roman"/>
          <w:sz w:val="24"/>
          <w:szCs w:val="24"/>
          <w:lang w:val="en-GB"/>
        </w:rPr>
        <w:t xml:space="preserve"> was</w:t>
      </w:r>
      <w:r w:rsidR="00821777" w:rsidRPr="00071300">
        <w:rPr>
          <w:rFonts w:ascii="Arial" w:eastAsia="Times New Roman" w:hAnsi="Arial" w:cs="Times New Roman"/>
          <w:sz w:val="24"/>
          <w:szCs w:val="24"/>
          <w:lang w:val="en-GB"/>
        </w:rPr>
        <w:t xml:space="preserve"> placed in evidence</w:t>
      </w:r>
      <w:r w:rsidR="003B4753">
        <w:rPr>
          <w:rFonts w:ascii="Arial" w:eastAsia="Times New Roman" w:hAnsi="Arial" w:cs="Times New Roman"/>
          <w:sz w:val="24"/>
          <w:szCs w:val="24"/>
          <w:lang w:val="en-GB"/>
        </w:rPr>
        <w:t xml:space="preserve"> by the Plaintiff</w:t>
      </w:r>
      <w:r w:rsidR="00821777" w:rsidRPr="00071300">
        <w:rPr>
          <w:rFonts w:ascii="Arial" w:eastAsia="Times New Roman" w:hAnsi="Arial" w:cs="Times New Roman"/>
          <w:sz w:val="24"/>
          <w:szCs w:val="24"/>
          <w:lang w:val="en-GB"/>
        </w:rPr>
        <w:t>.</w:t>
      </w:r>
      <w:r w:rsidR="00071300" w:rsidRPr="00071300">
        <w:rPr>
          <w:rFonts w:ascii="Arial" w:eastAsia="Times New Roman" w:hAnsi="Arial" w:cs="Times New Roman"/>
          <w:sz w:val="24"/>
          <w:szCs w:val="24"/>
          <w:lang w:val="en-GB"/>
        </w:rPr>
        <w:t xml:space="preserve"> </w:t>
      </w:r>
      <w:r w:rsidR="00071300">
        <w:rPr>
          <w:rFonts w:ascii="Arial" w:eastAsia="Times New Roman" w:hAnsi="Arial" w:cs="Times New Roman"/>
          <w:sz w:val="24"/>
          <w:szCs w:val="24"/>
          <w:lang w:val="en-GB"/>
        </w:rPr>
        <w:t xml:space="preserve">My concern does not only go to the lack of corroboration or </w:t>
      </w:r>
      <w:r w:rsidR="003B4753">
        <w:rPr>
          <w:rFonts w:ascii="Arial" w:eastAsia="Times New Roman" w:hAnsi="Arial" w:cs="Times New Roman"/>
          <w:sz w:val="24"/>
          <w:szCs w:val="24"/>
          <w:lang w:val="en-GB"/>
        </w:rPr>
        <w:t>lack of</w:t>
      </w:r>
      <w:r w:rsidR="00071300">
        <w:rPr>
          <w:rFonts w:ascii="Arial" w:eastAsia="Times New Roman" w:hAnsi="Arial" w:cs="Times New Roman"/>
          <w:sz w:val="24"/>
          <w:szCs w:val="24"/>
          <w:lang w:val="en-GB"/>
        </w:rPr>
        <w:t xml:space="preserve"> attach</w:t>
      </w:r>
      <w:r w:rsidR="003B4753">
        <w:rPr>
          <w:rFonts w:ascii="Arial" w:eastAsia="Times New Roman" w:hAnsi="Arial" w:cs="Times New Roman"/>
          <w:sz w:val="24"/>
          <w:szCs w:val="24"/>
          <w:lang w:val="en-GB"/>
        </w:rPr>
        <w:t>ing</w:t>
      </w:r>
      <w:r w:rsidR="00071300">
        <w:rPr>
          <w:rFonts w:ascii="Arial" w:eastAsia="Times New Roman" w:hAnsi="Arial" w:cs="Times New Roman"/>
          <w:sz w:val="24"/>
          <w:szCs w:val="24"/>
          <w:lang w:val="en-GB"/>
        </w:rPr>
        <w:t xml:space="preserve"> </w:t>
      </w:r>
      <w:r w:rsidR="003B4753">
        <w:rPr>
          <w:rFonts w:ascii="Arial" w:eastAsia="Times New Roman" w:hAnsi="Arial" w:cs="Times New Roman"/>
          <w:sz w:val="24"/>
          <w:szCs w:val="24"/>
          <w:lang w:val="en-GB"/>
        </w:rPr>
        <w:t xml:space="preserve">the </w:t>
      </w:r>
      <w:r w:rsidR="00071300">
        <w:rPr>
          <w:rFonts w:ascii="Arial" w:eastAsia="Times New Roman" w:hAnsi="Arial" w:cs="Times New Roman"/>
          <w:sz w:val="24"/>
          <w:szCs w:val="24"/>
          <w:lang w:val="en-GB"/>
        </w:rPr>
        <w:t xml:space="preserve">supporting source documents. </w:t>
      </w:r>
      <w:r w:rsidR="00071300" w:rsidRPr="00071300">
        <w:rPr>
          <w:rFonts w:ascii="Arial" w:eastAsia="Times New Roman" w:hAnsi="Arial" w:cs="Times New Roman"/>
          <w:sz w:val="24"/>
          <w:szCs w:val="24"/>
          <w:lang w:val="en-GB"/>
        </w:rPr>
        <w:t>Nowhere in the Plaintiff’s own founding affidavit does he deal with his education, work history and income</w:t>
      </w:r>
      <w:r w:rsidR="003B4753">
        <w:rPr>
          <w:rFonts w:ascii="Arial" w:eastAsia="Times New Roman" w:hAnsi="Arial" w:cs="Times New Roman"/>
          <w:sz w:val="24"/>
          <w:szCs w:val="24"/>
          <w:lang w:val="en-GB"/>
        </w:rPr>
        <w:t xml:space="preserve"> at all</w:t>
      </w:r>
      <w:r w:rsidR="00071300">
        <w:rPr>
          <w:rFonts w:ascii="Arial" w:eastAsia="Times New Roman" w:hAnsi="Arial" w:cs="Times New Roman"/>
          <w:sz w:val="24"/>
          <w:szCs w:val="24"/>
          <w:lang w:val="en-GB"/>
        </w:rPr>
        <w:t xml:space="preserve">.  </w:t>
      </w:r>
    </w:p>
    <w:p w14:paraId="34EF88EE" w14:textId="77777777" w:rsidR="00071300" w:rsidRPr="00071300" w:rsidRDefault="00071300" w:rsidP="00071300">
      <w:pPr>
        <w:spacing w:after="0" w:line="480" w:lineRule="auto"/>
        <w:jc w:val="both"/>
        <w:rPr>
          <w:rFonts w:ascii="Arial" w:eastAsia="Times New Roman" w:hAnsi="Arial" w:cs="Times New Roman"/>
          <w:sz w:val="24"/>
          <w:szCs w:val="24"/>
          <w:lang w:val="en-GB"/>
        </w:rPr>
      </w:pPr>
    </w:p>
    <w:p w14:paraId="7B6AD820" w14:textId="457ABD75" w:rsidR="00E34749" w:rsidRPr="00E34749" w:rsidRDefault="00633367"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At best for the Plaintiff, he attaches ‘</w:t>
      </w:r>
      <w:r w:rsidRPr="00BE5CF4">
        <w:rPr>
          <w:rFonts w:ascii="Arial" w:eastAsia="Times New Roman" w:hAnsi="Arial" w:cs="Times New Roman"/>
          <w:i/>
          <w:iCs/>
          <w:sz w:val="24"/>
          <w:szCs w:val="24"/>
          <w:lang w:val="en-GB"/>
        </w:rPr>
        <w:t>proof of employment</w:t>
      </w:r>
      <w:r>
        <w:rPr>
          <w:rFonts w:ascii="Arial" w:eastAsia="Times New Roman" w:hAnsi="Arial" w:cs="Times New Roman"/>
          <w:sz w:val="24"/>
          <w:szCs w:val="24"/>
          <w:lang w:val="en-GB"/>
        </w:rPr>
        <w:t xml:space="preserve">’ to the founding affidavit, </w:t>
      </w:r>
      <w:r w:rsidR="00071300">
        <w:rPr>
          <w:rFonts w:ascii="Arial" w:eastAsia="Times New Roman" w:hAnsi="Arial" w:cs="Times New Roman"/>
          <w:sz w:val="24"/>
          <w:szCs w:val="24"/>
          <w:lang w:val="en-GB"/>
        </w:rPr>
        <w:t xml:space="preserve">and without more </w:t>
      </w:r>
      <w:r>
        <w:rPr>
          <w:rFonts w:ascii="Arial" w:eastAsia="Times New Roman" w:hAnsi="Arial" w:cs="Times New Roman"/>
          <w:sz w:val="24"/>
          <w:szCs w:val="24"/>
          <w:lang w:val="en-GB"/>
        </w:rPr>
        <w:t>omit to confirm that the attachment is factually correct and accurate. Th</w:t>
      </w:r>
      <w:r w:rsidR="003B4753">
        <w:rPr>
          <w:rFonts w:ascii="Arial" w:eastAsia="Times New Roman" w:hAnsi="Arial" w:cs="Times New Roman"/>
          <w:sz w:val="24"/>
          <w:szCs w:val="24"/>
          <w:lang w:val="en-GB"/>
        </w:rPr>
        <w:t>is</w:t>
      </w:r>
      <w:r>
        <w:rPr>
          <w:rFonts w:ascii="Arial" w:eastAsia="Times New Roman" w:hAnsi="Arial" w:cs="Times New Roman"/>
          <w:sz w:val="24"/>
          <w:szCs w:val="24"/>
          <w:lang w:val="en-GB"/>
        </w:rPr>
        <w:t xml:space="preserve"> </w:t>
      </w:r>
      <w:r w:rsidR="003B4753">
        <w:rPr>
          <w:rFonts w:ascii="Arial" w:eastAsia="Times New Roman" w:hAnsi="Arial" w:cs="Times New Roman"/>
          <w:sz w:val="24"/>
          <w:szCs w:val="24"/>
          <w:lang w:val="en-GB"/>
        </w:rPr>
        <w:t>‘</w:t>
      </w:r>
      <w:r w:rsidR="00071300" w:rsidRPr="003B4753">
        <w:rPr>
          <w:rFonts w:ascii="Arial" w:eastAsia="Times New Roman" w:hAnsi="Arial" w:cs="Times New Roman"/>
          <w:i/>
          <w:iCs/>
          <w:sz w:val="24"/>
          <w:szCs w:val="24"/>
          <w:lang w:val="en-GB"/>
        </w:rPr>
        <w:t>proof</w:t>
      </w:r>
      <w:r w:rsidR="003B4753">
        <w:rPr>
          <w:rFonts w:ascii="Arial" w:eastAsia="Times New Roman" w:hAnsi="Arial" w:cs="Times New Roman"/>
          <w:sz w:val="24"/>
          <w:szCs w:val="24"/>
          <w:lang w:val="en-GB"/>
        </w:rPr>
        <w:t>’</w:t>
      </w:r>
      <w:r w:rsidR="00071300">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which was so attached, is a letter from Magabane &amp; Associates Inc, a law firm, dated 8 February 2021, stating that the Plaintiff was in the employ of this law firm on a </w:t>
      </w:r>
      <w:r>
        <w:rPr>
          <w:rFonts w:ascii="Arial" w:eastAsia="Times New Roman" w:hAnsi="Arial" w:cs="Times New Roman"/>
          <w:sz w:val="24"/>
          <w:szCs w:val="24"/>
          <w:lang w:val="en-GB"/>
        </w:rPr>
        <w:lastRenderedPageBreak/>
        <w:t>temporary basis, depending o</w:t>
      </w:r>
      <w:r w:rsidR="003268AC">
        <w:rPr>
          <w:rFonts w:ascii="Arial" w:eastAsia="Times New Roman" w:hAnsi="Arial" w:cs="Times New Roman"/>
          <w:sz w:val="24"/>
          <w:szCs w:val="24"/>
          <w:lang w:val="en-GB"/>
        </w:rPr>
        <w:t>n</w:t>
      </w:r>
      <w:r>
        <w:rPr>
          <w:rFonts w:ascii="Arial" w:eastAsia="Times New Roman" w:hAnsi="Arial" w:cs="Times New Roman"/>
          <w:sz w:val="24"/>
          <w:szCs w:val="24"/>
          <w:lang w:val="en-GB"/>
        </w:rPr>
        <w:t xml:space="preserve"> the availability of work, from 1 November 2020 to 29 January 2021</w:t>
      </w:r>
      <w:r w:rsidR="00071300">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w:t>
      </w:r>
      <w:r w:rsidR="00071300">
        <w:rPr>
          <w:rFonts w:ascii="Arial" w:eastAsia="Times New Roman" w:hAnsi="Arial" w:cs="Times New Roman"/>
          <w:sz w:val="24"/>
          <w:szCs w:val="24"/>
          <w:lang w:val="en-GB"/>
        </w:rPr>
        <w:t xml:space="preserve">This </w:t>
      </w:r>
      <w:r w:rsidR="00FB4FAA">
        <w:rPr>
          <w:rFonts w:ascii="Arial" w:eastAsia="Times New Roman" w:hAnsi="Arial" w:cs="Times New Roman"/>
          <w:sz w:val="24"/>
          <w:szCs w:val="24"/>
          <w:lang w:val="en-GB"/>
        </w:rPr>
        <w:t>employment</w:t>
      </w:r>
      <w:r w:rsidR="00071300">
        <w:rPr>
          <w:rFonts w:ascii="Arial" w:eastAsia="Times New Roman" w:hAnsi="Arial" w:cs="Times New Roman"/>
          <w:sz w:val="24"/>
          <w:szCs w:val="24"/>
          <w:lang w:val="en-GB"/>
        </w:rPr>
        <w:t xml:space="preserve"> </w:t>
      </w:r>
      <w:r>
        <w:rPr>
          <w:rFonts w:ascii="Arial" w:eastAsia="Times New Roman" w:hAnsi="Arial" w:cs="Times New Roman"/>
          <w:sz w:val="24"/>
          <w:szCs w:val="24"/>
          <w:lang w:val="en-GB"/>
        </w:rPr>
        <w:t xml:space="preserve">as a cost consultant </w:t>
      </w:r>
      <w:r w:rsidR="00FB4FAA">
        <w:rPr>
          <w:rFonts w:ascii="Arial" w:eastAsia="Times New Roman" w:hAnsi="Arial" w:cs="Times New Roman"/>
          <w:sz w:val="24"/>
          <w:szCs w:val="24"/>
          <w:lang w:val="en-GB"/>
        </w:rPr>
        <w:t>commenced post</w:t>
      </w:r>
      <w:r w:rsidR="003B4753">
        <w:rPr>
          <w:rFonts w:ascii="Arial" w:eastAsia="Times New Roman" w:hAnsi="Arial" w:cs="Times New Roman"/>
          <w:sz w:val="24"/>
          <w:szCs w:val="24"/>
          <w:lang w:val="en-GB"/>
        </w:rPr>
        <w:t>-</w:t>
      </w:r>
      <w:r w:rsidR="00FB4FAA">
        <w:rPr>
          <w:rFonts w:ascii="Arial" w:eastAsia="Times New Roman" w:hAnsi="Arial" w:cs="Times New Roman"/>
          <w:sz w:val="24"/>
          <w:szCs w:val="24"/>
          <w:lang w:val="en-GB"/>
        </w:rPr>
        <w:t>accident. T</w:t>
      </w:r>
      <w:r>
        <w:rPr>
          <w:rFonts w:ascii="Arial" w:eastAsia="Times New Roman" w:hAnsi="Arial" w:cs="Times New Roman"/>
          <w:sz w:val="24"/>
          <w:szCs w:val="24"/>
          <w:lang w:val="en-GB"/>
        </w:rPr>
        <w:t xml:space="preserve">he </w:t>
      </w:r>
      <w:r w:rsidR="00FB4FAA">
        <w:rPr>
          <w:rFonts w:ascii="Arial" w:eastAsia="Times New Roman" w:hAnsi="Arial" w:cs="Times New Roman"/>
          <w:sz w:val="24"/>
          <w:szCs w:val="24"/>
          <w:lang w:val="en-GB"/>
        </w:rPr>
        <w:t xml:space="preserve">letter says that the Plaintiff’s </w:t>
      </w:r>
      <w:r>
        <w:rPr>
          <w:rFonts w:ascii="Arial" w:eastAsia="Times New Roman" w:hAnsi="Arial" w:cs="Times New Roman"/>
          <w:sz w:val="24"/>
          <w:szCs w:val="24"/>
          <w:lang w:val="en-GB"/>
        </w:rPr>
        <w:t>resigned due to the difficulty to continue with the work.</w:t>
      </w:r>
    </w:p>
    <w:p w14:paraId="4D652682" w14:textId="77777777" w:rsidR="00633367" w:rsidRPr="00633367" w:rsidRDefault="00633367" w:rsidP="00633367">
      <w:pPr>
        <w:pStyle w:val="ListParagraph"/>
        <w:rPr>
          <w:rFonts w:ascii="Arial" w:eastAsia="Times New Roman" w:hAnsi="Arial" w:cs="Times New Roman"/>
          <w:sz w:val="24"/>
          <w:szCs w:val="24"/>
          <w:lang w:val="en-GB"/>
        </w:rPr>
      </w:pPr>
    </w:p>
    <w:p w14:paraId="5BBDECC2" w14:textId="4A1D8575" w:rsidR="00E34749" w:rsidRPr="00E34749" w:rsidRDefault="00633367"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The first contention with this evidence is that it is </w:t>
      </w:r>
      <w:r w:rsidR="003B4753">
        <w:rPr>
          <w:rFonts w:ascii="Arial" w:eastAsia="Times New Roman" w:hAnsi="Arial" w:cs="Times New Roman"/>
          <w:sz w:val="24"/>
          <w:szCs w:val="24"/>
          <w:lang w:val="en-GB"/>
        </w:rPr>
        <w:t xml:space="preserve">inadmissible </w:t>
      </w:r>
      <w:r>
        <w:rPr>
          <w:rFonts w:ascii="Arial" w:eastAsia="Times New Roman" w:hAnsi="Arial" w:cs="Times New Roman"/>
          <w:sz w:val="24"/>
          <w:szCs w:val="24"/>
          <w:lang w:val="en-GB"/>
        </w:rPr>
        <w:t>hearsay evidence.</w:t>
      </w:r>
      <w:r w:rsidR="00E34749">
        <w:rPr>
          <w:rStyle w:val="FootnoteReference"/>
          <w:rFonts w:ascii="Arial" w:eastAsia="Times New Roman" w:hAnsi="Arial" w:cs="Times New Roman"/>
          <w:sz w:val="24"/>
          <w:szCs w:val="24"/>
          <w:lang w:val="en-GB"/>
        </w:rPr>
        <w:footnoteReference w:id="18"/>
      </w:r>
      <w:r w:rsidR="00E34749">
        <w:rPr>
          <w:rFonts w:ascii="Arial" w:eastAsia="Times New Roman" w:hAnsi="Arial" w:cs="Times New Roman"/>
          <w:sz w:val="24"/>
          <w:szCs w:val="24"/>
          <w:lang w:val="en-GB"/>
        </w:rPr>
        <w:t xml:space="preserve"> </w:t>
      </w:r>
      <w:r>
        <w:rPr>
          <w:rFonts w:ascii="Arial" w:eastAsia="Times New Roman" w:hAnsi="Arial" w:cs="Times New Roman"/>
          <w:sz w:val="24"/>
          <w:szCs w:val="24"/>
          <w:lang w:val="en-GB"/>
        </w:rPr>
        <w:t xml:space="preserve">It is advanced by the Plaintiff, but the probative value of the evidence depends on the author if this letter, which author did not depose to a confirmatory affidavit. </w:t>
      </w:r>
      <w:r w:rsidR="00FB4FAA">
        <w:rPr>
          <w:rFonts w:ascii="Arial" w:eastAsia="Times New Roman" w:hAnsi="Arial" w:cs="Times New Roman"/>
          <w:sz w:val="24"/>
          <w:szCs w:val="24"/>
          <w:lang w:val="en-GB"/>
        </w:rPr>
        <w:t>Although the Plaintiff could easily have done so, he did not himself place this employment into evidence and merely attach</w:t>
      </w:r>
      <w:r w:rsidR="003268AC">
        <w:rPr>
          <w:rFonts w:ascii="Arial" w:eastAsia="Times New Roman" w:hAnsi="Arial" w:cs="Times New Roman"/>
          <w:sz w:val="24"/>
          <w:szCs w:val="24"/>
          <w:lang w:val="en-GB"/>
        </w:rPr>
        <w:t>ed</w:t>
      </w:r>
      <w:r w:rsidR="00FB4FAA">
        <w:rPr>
          <w:rFonts w:ascii="Arial" w:eastAsia="Times New Roman" w:hAnsi="Arial" w:cs="Times New Roman"/>
          <w:sz w:val="24"/>
          <w:szCs w:val="24"/>
          <w:lang w:val="en-GB"/>
        </w:rPr>
        <w:t xml:space="preserve"> the letter. </w:t>
      </w:r>
      <w:r>
        <w:rPr>
          <w:rFonts w:ascii="Arial" w:eastAsia="Times New Roman" w:hAnsi="Arial" w:cs="Times New Roman"/>
          <w:sz w:val="24"/>
          <w:szCs w:val="24"/>
          <w:lang w:val="en-GB"/>
        </w:rPr>
        <w:t>The second contention is that the author res</w:t>
      </w:r>
      <w:r w:rsidR="00E34749">
        <w:rPr>
          <w:rFonts w:ascii="Arial" w:eastAsia="Times New Roman" w:hAnsi="Arial" w:cs="Times New Roman"/>
          <w:sz w:val="24"/>
          <w:szCs w:val="24"/>
          <w:lang w:val="en-GB"/>
        </w:rPr>
        <w:t>ort</w:t>
      </w:r>
      <w:r w:rsidR="003268AC">
        <w:rPr>
          <w:rFonts w:ascii="Arial" w:eastAsia="Times New Roman" w:hAnsi="Arial" w:cs="Times New Roman"/>
          <w:sz w:val="24"/>
          <w:szCs w:val="24"/>
          <w:lang w:val="en-GB"/>
        </w:rPr>
        <w:t>ed</w:t>
      </w:r>
      <w:r w:rsidR="00E34749">
        <w:rPr>
          <w:rFonts w:ascii="Arial" w:eastAsia="Times New Roman" w:hAnsi="Arial" w:cs="Times New Roman"/>
          <w:sz w:val="24"/>
          <w:szCs w:val="24"/>
          <w:lang w:val="en-GB"/>
        </w:rPr>
        <w:t xml:space="preserve"> to inadmissible </w:t>
      </w:r>
      <w:r>
        <w:rPr>
          <w:rFonts w:ascii="Arial" w:eastAsia="Times New Roman" w:hAnsi="Arial" w:cs="Times New Roman"/>
          <w:sz w:val="24"/>
          <w:szCs w:val="24"/>
          <w:lang w:val="en-GB"/>
        </w:rPr>
        <w:t>opinion</w:t>
      </w:r>
      <w:r w:rsidR="00E34749">
        <w:rPr>
          <w:rFonts w:ascii="Arial" w:eastAsia="Times New Roman" w:hAnsi="Arial" w:cs="Times New Roman"/>
          <w:sz w:val="24"/>
          <w:szCs w:val="24"/>
          <w:lang w:val="en-GB"/>
        </w:rPr>
        <w:t xml:space="preserve"> evidence, the opinion being that the Plaintiff resigned (from this temporary work) on the basis that it was difficult to do the work.  </w:t>
      </w:r>
      <w:r w:rsidR="00FB4FAA">
        <w:rPr>
          <w:rFonts w:ascii="Arial" w:eastAsia="Times New Roman" w:hAnsi="Arial" w:cs="Times New Roman"/>
          <w:sz w:val="24"/>
          <w:szCs w:val="24"/>
          <w:lang w:val="en-GB"/>
        </w:rPr>
        <w:t>Even if I were to accept the content</w:t>
      </w:r>
      <w:r w:rsidR="003268AC">
        <w:rPr>
          <w:rFonts w:ascii="Arial" w:eastAsia="Times New Roman" w:hAnsi="Arial" w:cs="Times New Roman"/>
          <w:sz w:val="24"/>
          <w:szCs w:val="24"/>
          <w:lang w:val="en-GB"/>
        </w:rPr>
        <w:t>s</w:t>
      </w:r>
      <w:r w:rsidR="00FB4FAA">
        <w:rPr>
          <w:rFonts w:ascii="Arial" w:eastAsia="Times New Roman" w:hAnsi="Arial" w:cs="Times New Roman"/>
          <w:sz w:val="24"/>
          <w:szCs w:val="24"/>
          <w:lang w:val="en-GB"/>
        </w:rPr>
        <w:t xml:space="preserve"> of this letter into evidence, it would be of very little probative value given that it does not deal with the Plaintiff’s income so derived from the employment, what the nature of the work entailed, the Plaintiff’s job description</w:t>
      </w:r>
      <w:r w:rsidR="003B4753">
        <w:rPr>
          <w:rFonts w:ascii="Arial" w:eastAsia="Times New Roman" w:hAnsi="Arial" w:cs="Times New Roman"/>
          <w:sz w:val="24"/>
          <w:szCs w:val="24"/>
          <w:lang w:val="en-GB"/>
        </w:rPr>
        <w:t>, the availability of the ‘</w:t>
      </w:r>
      <w:r w:rsidR="003B4753" w:rsidRPr="003B4753">
        <w:rPr>
          <w:rFonts w:ascii="Arial" w:eastAsia="Times New Roman" w:hAnsi="Arial" w:cs="Times New Roman"/>
          <w:i/>
          <w:iCs/>
          <w:sz w:val="24"/>
          <w:szCs w:val="24"/>
          <w:lang w:val="en-GB"/>
        </w:rPr>
        <w:t>available</w:t>
      </w:r>
      <w:r w:rsidR="003B4753">
        <w:rPr>
          <w:rFonts w:ascii="Arial" w:eastAsia="Times New Roman" w:hAnsi="Arial" w:cs="Times New Roman"/>
          <w:sz w:val="24"/>
          <w:szCs w:val="24"/>
          <w:lang w:val="en-GB"/>
        </w:rPr>
        <w:t>’ work</w:t>
      </w:r>
      <w:r w:rsidR="00FB4FAA">
        <w:rPr>
          <w:rFonts w:ascii="Arial" w:eastAsia="Times New Roman" w:hAnsi="Arial" w:cs="Times New Roman"/>
          <w:sz w:val="24"/>
          <w:szCs w:val="24"/>
          <w:lang w:val="en-GB"/>
        </w:rPr>
        <w:t xml:space="preserve"> and physical requirements of the position.</w:t>
      </w:r>
    </w:p>
    <w:p w14:paraId="2DCB4B91" w14:textId="77777777" w:rsidR="00A633A2" w:rsidRPr="00E34749" w:rsidRDefault="00A633A2" w:rsidP="00E34749">
      <w:pPr>
        <w:rPr>
          <w:rFonts w:ascii="Arial" w:eastAsia="Times New Roman" w:hAnsi="Arial" w:cs="Times New Roman"/>
          <w:sz w:val="24"/>
          <w:szCs w:val="24"/>
          <w:lang w:val="en-GB"/>
        </w:rPr>
      </w:pPr>
    </w:p>
    <w:p w14:paraId="79EE457B" w14:textId="7D1EA2DD" w:rsidR="00FB4FAA" w:rsidRDefault="00FB4FAA"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The experts</w:t>
      </w:r>
      <w:r w:rsidR="003B4753">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reliance on the </w:t>
      </w:r>
      <w:r w:rsidRPr="00FB4FAA">
        <w:rPr>
          <w:rFonts w:ascii="Arial" w:eastAsia="Times New Roman" w:hAnsi="Arial" w:cs="Times New Roman"/>
          <w:i/>
          <w:iCs/>
          <w:sz w:val="24"/>
          <w:szCs w:val="24"/>
          <w:lang w:val="en-GB"/>
        </w:rPr>
        <w:t>ipse dixit</w:t>
      </w:r>
      <w:r>
        <w:rPr>
          <w:rFonts w:ascii="Arial" w:eastAsia="Times New Roman" w:hAnsi="Arial" w:cs="Times New Roman"/>
          <w:sz w:val="24"/>
          <w:szCs w:val="24"/>
          <w:lang w:val="en-GB"/>
        </w:rPr>
        <w:t xml:space="preserve"> of the Plaintiff, regarding his education, employment history and income, among others, is similarly inadmissible hearsay evidence as the Plaintiff himself did not present these facts into evidence. </w:t>
      </w:r>
    </w:p>
    <w:p w14:paraId="44EC808F" w14:textId="77777777" w:rsidR="00FB4FAA" w:rsidRPr="00FB4FAA" w:rsidRDefault="00FB4FAA" w:rsidP="00FB4FAA">
      <w:pPr>
        <w:pStyle w:val="ListParagraph"/>
        <w:rPr>
          <w:rFonts w:ascii="Arial" w:eastAsia="Times New Roman" w:hAnsi="Arial" w:cs="Times New Roman"/>
          <w:sz w:val="24"/>
          <w:szCs w:val="24"/>
          <w:lang w:val="en-GB"/>
        </w:rPr>
      </w:pPr>
    </w:p>
    <w:p w14:paraId="4616555C" w14:textId="67FC5D6C" w:rsidR="003717D2" w:rsidRPr="00FB4FAA" w:rsidRDefault="00444CE9"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Although hearsay evidence may be permissibly included in an expert’s written report, this inclusion in the report is purely for convenience and practicality, </w:t>
      </w:r>
      <w:r w:rsidR="006917A6">
        <w:rPr>
          <w:rFonts w:ascii="Arial" w:eastAsia="Times New Roman" w:hAnsi="Arial" w:cs="Times New Roman"/>
          <w:sz w:val="24"/>
          <w:szCs w:val="24"/>
          <w:lang w:val="en-GB"/>
        </w:rPr>
        <w:t xml:space="preserve">and </w:t>
      </w:r>
      <w:r>
        <w:rPr>
          <w:rFonts w:ascii="Arial" w:eastAsia="Times New Roman" w:hAnsi="Arial" w:cs="Times New Roman"/>
          <w:sz w:val="24"/>
          <w:szCs w:val="24"/>
          <w:lang w:val="en-GB"/>
        </w:rPr>
        <w:t>such inclusion does not elevate the hearsay evidence to proven facts.</w:t>
      </w:r>
      <w:r>
        <w:rPr>
          <w:rStyle w:val="FootnoteReference"/>
          <w:rFonts w:ascii="Arial" w:eastAsia="Times New Roman" w:hAnsi="Arial" w:cs="Times New Roman"/>
          <w:sz w:val="24"/>
          <w:szCs w:val="24"/>
          <w:lang w:val="en-GB"/>
        </w:rPr>
        <w:footnoteReference w:id="19"/>
      </w:r>
      <w:r>
        <w:rPr>
          <w:rFonts w:ascii="Arial" w:eastAsia="Times New Roman" w:hAnsi="Arial" w:cs="Times New Roman"/>
          <w:sz w:val="24"/>
          <w:szCs w:val="24"/>
          <w:lang w:val="en-GB"/>
        </w:rPr>
        <w:t xml:space="preserve"> </w:t>
      </w:r>
      <w:r w:rsidR="00A633A2">
        <w:rPr>
          <w:rFonts w:ascii="Arial" w:eastAsia="Times New Roman" w:hAnsi="Arial" w:cs="Times New Roman"/>
          <w:sz w:val="24"/>
          <w:szCs w:val="24"/>
          <w:lang w:val="en-GB"/>
        </w:rPr>
        <w:t>Expert witnesses, just like lay witnesses may not give hearsay evidence.</w:t>
      </w:r>
      <w:r w:rsidR="00A633A2">
        <w:rPr>
          <w:rStyle w:val="FootnoteReference"/>
          <w:rFonts w:ascii="Arial" w:eastAsia="Times New Roman" w:hAnsi="Arial" w:cs="Times New Roman"/>
          <w:sz w:val="24"/>
          <w:szCs w:val="24"/>
          <w:lang w:val="en-GB"/>
        </w:rPr>
        <w:footnoteReference w:id="20"/>
      </w:r>
      <w:r w:rsidR="004D2E8C">
        <w:rPr>
          <w:rFonts w:ascii="Arial" w:eastAsia="Times New Roman" w:hAnsi="Arial" w:cs="Times New Roman"/>
          <w:sz w:val="24"/>
          <w:szCs w:val="24"/>
          <w:lang w:val="en-GB"/>
        </w:rPr>
        <w:t xml:space="preserve"> The SCA held in </w:t>
      </w:r>
      <w:r w:rsidR="004D2E8C" w:rsidRPr="004D2E8C">
        <w:rPr>
          <w:rFonts w:ascii="Arial" w:eastAsia="Times New Roman" w:hAnsi="Arial" w:cs="Times New Roman"/>
          <w:i/>
          <w:iCs/>
          <w:sz w:val="24"/>
          <w:szCs w:val="24"/>
          <w:lang w:val="en-GB"/>
        </w:rPr>
        <w:t>PWC</w:t>
      </w:r>
      <w:r w:rsidR="004D2E8C">
        <w:rPr>
          <w:rFonts w:ascii="Arial" w:eastAsia="Times New Roman" w:hAnsi="Arial" w:cs="Times New Roman"/>
          <w:sz w:val="24"/>
          <w:szCs w:val="24"/>
          <w:lang w:val="en-GB"/>
        </w:rPr>
        <w:t xml:space="preserve"> that before a court can attach weight to an expert opinion, the facts on which it is based must be proven, which facts </w:t>
      </w:r>
      <w:r w:rsidR="003B4753">
        <w:rPr>
          <w:rFonts w:ascii="Arial" w:eastAsia="Times New Roman" w:hAnsi="Arial" w:cs="Times New Roman"/>
          <w:sz w:val="24"/>
          <w:szCs w:val="24"/>
          <w:lang w:val="en-GB"/>
        </w:rPr>
        <w:t>may</w:t>
      </w:r>
      <w:r w:rsidR="004D2E8C">
        <w:rPr>
          <w:rFonts w:ascii="Arial" w:eastAsia="Times New Roman" w:hAnsi="Arial" w:cs="Times New Roman"/>
          <w:sz w:val="24"/>
          <w:szCs w:val="24"/>
          <w:lang w:val="en-GB"/>
        </w:rPr>
        <w:t xml:space="preserve"> be observed by the expert witness personally, failing which it is of no value to the court.</w:t>
      </w:r>
      <w:r w:rsidR="004D2E8C">
        <w:rPr>
          <w:rStyle w:val="FootnoteReference"/>
          <w:rFonts w:ascii="Arial" w:eastAsia="Times New Roman" w:hAnsi="Arial" w:cs="Times New Roman"/>
          <w:sz w:val="24"/>
          <w:szCs w:val="24"/>
          <w:lang w:val="en-GB"/>
        </w:rPr>
        <w:footnoteReference w:id="21"/>
      </w:r>
      <w:r w:rsidR="004D2E8C">
        <w:rPr>
          <w:rFonts w:ascii="Arial" w:eastAsia="Times New Roman" w:hAnsi="Arial" w:cs="Times New Roman"/>
          <w:sz w:val="24"/>
          <w:szCs w:val="24"/>
          <w:lang w:val="en-GB"/>
        </w:rPr>
        <w:t xml:space="preserve"> </w:t>
      </w:r>
      <w:r>
        <w:rPr>
          <w:rFonts w:ascii="Arial" w:eastAsia="Times New Roman" w:hAnsi="Arial" w:cs="Times New Roman"/>
          <w:sz w:val="24"/>
          <w:szCs w:val="24"/>
          <w:lang w:val="en-GB"/>
        </w:rPr>
        <w:t>The court is ultimately bound by the four corners of the proven facts and may not consider unproven facts or speculate about its existance.</w:t>
      </w:r>
      <w:r>
        <w:rPr>
          <w:rStyle w:val="FootnoteReference"/>
          <w:rFonts w:ascii="Arial" w:eastAsia="Times New Roman" w:hAnsi="Arial" w:cs="Times New Roman"/>
          <w:sz w:val="24"/>
          <w:szCs w:val="24"/>
          <w:lang w:val="en-GB"/>
        </w:rPr>
        <w:footnoteReference w:id="22"/>
      </w:r>
      <w:r>
        <w:rPr>
          <w:rFonts w:ascii="Arial" w:eastAsia="Times New Roman" w:hAnsi="Arial" w:cs="Times New Roman"/>
          <w:sz w:val="24"/>
          <w:szCs w:val="24"/>
          <w:lang w:val="en-GB"/>
        </w:rPr>
        <w:t xml:space="preserve"> </w:t>
      </w:r>
    </w:p>
    <w:p w14:paraId="4FB8DBCF" w14:textId="77777777" w:rsidR="00821777" w:rsidRPr="00821777" w:rsidRDefault="00821777" w:rsidP="00821777">
      <w:pPr>
        <w:pStyle w:val="ListParagraph"/>
        <w:rPr>
          <w:rFonts w:ascii="Arial" w:eastAsia="Times New Roman" w:hAnsi="Arial" w:cs="Times New Roman"/>
          <w:sz w:val="24"/>
          <w:szCs w:val="24"/>
          <w:lang w:val="en-GB"/>
        </w:rPr>
      </w:pPr>
    </w:p>
    <w:p w14:paraId="0EECFCB7" w14:textId="799F2A8B" w:rsidR="003717D2" w:rsidRDefault="00666BFC"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An expert witness has a duty to give clear and cogent reasoning for their opinions which must be premised on a relevant and reliable factual basis.</w:t>
      </w:r>
      <w:r>
        <w:rPr>
          <w:rStyle w:val="FootnoteReference"/>
          <w:rFonts w:ascii="Arial" w:eastAsia="Times New Roman" w:hAnsi="Arial" w:cs="Times New Roman"/>
          <w:sz w:val="24"/>
          <w:szCs w:val="24"/>
          <w:lang w:val="en-GB"/>
        </w:rPr>
        <w:footnoteReference w:id="23"/>
      </w:r>
      <w:r>
        <w:rPr>
          <w:rFonts w:ascii="Arial" w:eastAsia="Times New Roman" w:hAnsi="Arial" w:cs="Times New Roman"/>
          <w:sz w:val="24"/>
          <w:szCs w:val="24"/>
          <w:lang w:val="en-GB"/>
        </w:rPr>
        <w:t xml:space="preserve"> This will allow the court to test the cogency of the expert’s reasoning.</w:t>
      </w:r>
      <w:r>
        <w:rPr>
          <w:rStyle w:val="FootnoteReference"/>
          <w:rFonts w:ascii="Arial" w:eastAsia="Times New Roman" w:hAnsi="Arial" w:cs="Times New Roman"/>
          <w:sz w:val="24"/>
          <w:szCs w:val="24"/>
          <w:lang w:val="en-GB"/>
        </w:rPr>
        <w:footnoteReference w:id="24"/>
      </w:r>
      <w:r w:rsidR="00A633A2">
        <w:rPr>
          <w:rFonts w:ascii="Arial" w:eastAsia="Times New Roman" w:hAnsi="Arial" w:cs="Times New Roman"/>
          <w:sz w:val="24"/>
          <w:szCs w:val="24"/>
          <w:lang w:val="en-GB"/>
        </w:rPr>
        <w:t xml:space="preserve"> There is a duty on the expert to present the opinion in such a fashion that allows the court to make its own observations and to consider if the experts conclusions are sound.</w:t>
      </w:r>
      <w:r w:rsidR="00A633A2">
        <w:rPr>
          <w:rStyle w:val="FootnoteReference"/>
          <w:rFonts w:ascii="Arial" w:eastAsia="Times New Roman" w:hAnsi="Arial" w:cs="Times New Roman"/>
          <w:sz w:val="24"/>
          <w:szCs w:val="24"/>
          <w:lang w:val="en-GB"/>
        </w:rPr>
        <w:footnoteReference w:id="25"/>
      </w:r>
    </w:p>
    <w:p w14:paraId="12CE482E" w14:textId="77777777" w:rsidR="00444CE9" w:rsidRPr="00444CE9" w:rsidRDefault="00444CE9" w:rsidP="00444CE9">
      <w:pPr>
        <w:pStyle w:val="ListParagraph"/>
        <w:rPr>
          <w:rFonts w:ascii="Arial" w:eastAsia="Times New Roman" w:hAnsi="Arial" w:cs="Times New Roman"/>
          <w:sz w:val="24"/>
          <w:szCs w:val="24"/>
          <w:lang w:val="en-GB"/>
        </w:rPr>
      </w:pPr>
    </w:p>
    <w:p w14:paraId="003F2DD7" w14:textId="40467FFC" w:rsidR="00444CE9" w:rsidRDefault="006917A6" w:rsidP="00AF6DDF">
      <w:pPr>
        <w:pStyle w:val="ListParagraph"/>
        <w:numPr>
          <w:ilvl w:val="0"/>
          <w:numId w:val="3"/>
        </w:numPr>
        <w:spacing w:after="0" w:line="480" w:lineRule="auto"/>
        <w:jc w:val="both"/>
        <w:rPr>
          <w:rFonts w:ascii="Arial" w:eastAsia="Times New Roman" w:hAnsi="Arial" w:cs="Times New Roman"/>
          <w:sz w:val="24"/>
          <w:szCs w:val="24"/>
          <w:lang w:val="en-GB"/>
        </w:rPr>
      </w:pPr>
      <w:r w:rsidRPr="003268AC">
        <w:rPr>
          <w:rFonts w:ascii="Arial" w:eastAsia="Times New Roman" w:hAnsi="Arial" w:cs="Times New Roman"/>
          <w:i/>
          <w:iCs/>
          <w:sz w:val="24"/>
          <w:szCs w:val="24"/>
          <w:lang w:val="en-GB"/>
        </w:rPr>
        <w:lastRenderedPageBreak/>
        <w:t>In casu</w:t>
      </w:r>
      <w:r>
        <w:rPr>
          <w:rFonts w:ascii="Arial" w:eastAsia="Times New Roman" w:hAnsi="Arial" w:cs="Times New Roman"/>
          <w:sz w:val="24"/>
          <w:szCs w:val="24"/>
          <w:lang w:val="en-GB"/>
        </w:rPr>
        <w:t>,</w:t>
      </w:r>
      <w:r w:rsidR="00444CE9">
        <w:rPr>
          <w:rFonts w:ascii="Arial" w:eastAsia="Times New Roman" w:hAnsi="Arial" w:cs="Times New Roman"/>
          <w:sz w:val="24"/>
          <w:szCs w:val="24"/>
          <w:lang w:val="en-GB"/>
        </w:rPr>
        <w:t xml:space="preserve"> </w:t>
      </w:r>
      <w:r w:rsidR="00821777">
        <w:rPr>
          <w:rFonts w:ascii="Arial" w:eastAsia="Times New Roman" w:hAnsi="Arial" w:cs="Times New Roman"/>
          <w:sz w:val="24"/>
          <w:szCs w:val="24"/>
          <w:lang w:val="en-GB"/>
        </w:rPr>
        <w:t>the Plaintiff presented no evidence about his pre</w:t>
      </w:r>
      <w:r w:rsidR="003268AC">
        <w:rPr>
          <w:rFonts w:ascii="Arial" w:eastAsia="Times New Roman" w:hAnsi="Arial" w:cs="Times New Roman"/>
          <w:sz w:val="24"/>
          <w:szCs w:val="24"/>
          <w:lang w:val="en-GB"/>
        </w:rPr>
        <w:t>-</w:t>
      </w:r>
      <w:r w:rsidR="00821777">
        <w:rPr>
          <w:rFonts w:ascii="Arial" w:eastAsia="Times New Roman" w:hAnsi="Arial" w:cs="Times New Roman"/>
          <w:sz w:val="24"/>
          <w:szCs w:val="24"/>
          <w:lang w:val="en-GB"/>
        </w:rPr>
        <w:t xml:space="preserve"> and post-accident work history, his education, his pre</w:t>
      </w:r>
      <w:r w:rsidR="003268AC">
        <w:rPr>
          <w:rFonts w:ascii="Arial" w:eastAsia="Times New Roman" w:hAnsi="Arial" w:cs="Times New Roman"/>
          <w:sz w:val="24"/>
          <w:szCs w:val="24"/>
          <w:lang w:val="en-GB"/>
        </w:rPr>
        <w:t>-</w:t>
      </w:r>
      <w:r w:rsidR="00821777">
        <w:rPr>
          <w:rFonts w:ascii="Arial" w:eastAsia="Times New Roman" w:hAnsi="Arial" w:cs="Times New Roman"/>
          <w:sz w:val="24"/>
          <w:szCs w:val="24"/>
          <w:lang w:val="en-GB"/>
        </w:rPr>
        <w:t xml:space="preserve"> and post-accident income, the nature of his </w:t>
      </w:r>
      <w:r>
        <w:rPr>
          <w:rFonts w:ascii="Arial" w:eastAsia="Times New Roman" w:hAnsi="Arial" w:cs="Times New Roman"/>
          <w:sz w:val="24"/>
          <w:szCs w:val="24"/>
          <w:lang w:val="en-GB"/>
        </w:rPr>
        <w:t xml:space="preserve">work and/or </w:t>
      </w:r>
      <w:r w:rsidR="00821777">
        <w:rPr>
          <w:rFonts w:ascii="Arial" w:eastAsia="Times New Roman" w:hAnsi="Arial" w:cs="Times New Roman"/>
          <w:sz w:val="24"/>
          <w:szCs w:val="24"/>
          <w:lang w:val="en-GB"/>
        </w:rPr>
        <w:t>business and his</w:t>
      </w:r>
      <w:r>
        <w:rPr>
          <w:rFonts w:ascii="Arial" w:eastAsia="Times New Roman" w:hAnsi="Arial" w:cs="Times New Roman"/>
          <w:sz w:val="24"/>
          <w:szCs w:val="24"/>
          <w:lang w:val="en-GB"/>
        </w:rPr>
        <w:t xml:space="preserve"> job description and</w:t>
      </w:r>
      <w:r w:rsidR="00821777">
        <w:rPr>
          <w:rFonts w:ascii="Arial" w:eastAsia="Times New Roman" w:hAnsi="Arial" w:cs="Times New Roman"/>
          <w:sz w:val="24"/>
          <w:szCs w:val="24"/>
          <w:lang w:val="en-GB"/>
        </w:rPr>
        <w:t xml:space="preserve"> duties at the business, the income and expenses of the business or any other collateral fact</w:t>
      </w:r>
      <w:r>
        <w:rPr>
          <w:rFonts w:ascii="Arial" w:eastAsia="Times New Roman" w:hAnsi="Arial" w:cs="Times New Roman"/>
          <w:sz w:val="24"/>
          <w:szCs w:val="24"/>
          <w:lang w:val="en-GB"/>
        </w:rPr>
        <w:t>s</w:t>
      </w:r>
      <w:r w:rsidR="00821777">
        <w:rPr>
          <w:rFonts w:ascii="Arial" w:eastAsia="Times New Roman" w:hAnsi="Arial" w:cs="Times New Roman"/>
          <w:sz w:val="24"/>
          <w:szCs w:val="24"/>
          <w:lang w:val="en-GB"/>
        </w:rPr>
        <w:t xml:space="preserve"> which </w:t>
      </w:r>
      <w:r>
        <w:rPr>
          <w:rFonts w:ascii="Arial" w:eastAsia="Times New Roman" w:hAnsi="Arial" w:cs="Times New Roman"/>
          <w:sz w:val="24"/>
          <w:szCs w:val="24"/>
          <w:lang w:val="en-GB"/>
        </w:rPr>
        <w:t xml:space="preserve">are crucial markers </w:t>
      </w:r>
      <w:r w:rsidR="00A66246">
        <w:rPr>
          <w:rFonts w:ascii="Arial" w:eastAsia="Times New Roman" w:hAnsi="Arial" w:cs="Times New Roman"/>
          <w:sz w:val="24"/>
          <w:szCs w:val="24"/>
          <w:lang w:val="en-GB"/>
        </w:rPr>
        <w:t>to guide and assist the court in negotiating the rough terrain that is quantifying and awarding damages.</w:t>
      </w:r>
    </w:p>
    <w:p w14:paraId="2EC76187" w14:textId="77777777" w:rsidR="00A66246" w:rsidRPr="00A66246" w:rsidRDefault="00A66246" w:rsidP="00A66246">
      <w:pPr>
        <w:pStyle w:val="ListParagraph"/>
        <w:rPr>
          <w:rFonts w:ascii="Arial" w:eastAsia="Times New Roman" w:hAnsi="Arial" w:cs="Times New Roman"/>
          <w:sz w:val="24"/>
          <w:szCs w:val="24"/>
          <w:lang w:val="en-GB"/>
        </w:rPr>
      </w:pPr>
    </w:p>
    <w:p w14:paraId="14A59164" w14:textId="7271C63D" w:rsidR="00A66246" w:rsidRDefault="00A66246"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It can hardly be disputed that these ‘markers’ are also relied on heavily by the medico legal experts, in formulating an opinion about the Plaintiff’s pre</w:t>
      </w:r>
      <w:r w:rsidR="003268AC">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and post-accident career projection. If the court has any doubt as to the credibility and the veracity of these ‘markers’, the probative value of the expert</w:t>
      </w:r>
      <w:r w:rsidR="003268AC">
        <w:rPr>
          <w:rFonts w:ascii="Arial" w:eastAsia="Times New Roman" w:hAnsi="Arial" w:cs="Times New Roman"/>
          <w:sz w:val="24"/>
          <w:szCs w:val="24"/>
          <w:lang w:val="en-GB"/>
        </w:rPr>
        <w:t>s’ op</w:t>
      </w:r>
      <w:r>
        <w:rPr>
          <w:rFonts w:ascii="Arial" w:eastAsia="Times New Roman" w:hAnsi="Arial" w:cs="Times New Roman"/>
          <w:sz w:val="24"/>
          <w:szCs w:val="24"/>
          <w:lang w:val="en-GB"/>
        </w:rPr>
        <w:t>inion</w:t>
      </w:r>
      <w:r w:rsidR="003268AC">
        <w:rPr>
          <w:rFonts w:ascii="Arial" w:eastAsia="Times New Roman" w:hAnsi="Arial" w:cs="Times New Roman"/>
          <w:sz w:val="24"/>
          <w:szCs w:val="24"/>
          <w:lang w:val="en-GB"/>
        </w:rPr>
        <w:t>s</w:t>
      </w:r>
      <w:r>
        <w:rPr>
          <w:rFonts w:ascii="Arial" w:eastAsia="Times New Roman" w:hAnsi="Arial" w:cs="Times New Roman"/>
          <w:sz w:val="24"/>
          <w:szCs w:val="24"/>
          <w:lang w:val="en-GB"/>
        </w:rPr>
        <w:t xml:space="preserve"> i</w:t>
      </w:r>
      <w:r w:rsidR="003268AC">
        <w:rPr>
          <w:rFonts w:ascii="Arial" w:eastAsia="Times New Roman" w:hAnsi="Arial" w:cs="Times New Roman"/>
          <w:sz w:val="24"/>
          <w:szCs w:val="24"/>
          <w:lang w:val="en-GB"/>
        </w:rPr>
        <w:t>s</w:t>
      </w:r>
      <w:r>
        <w:rPr>
          <w:rFonts w:ascii="Arial" w:eastAsia="Times New Roman" w:hAnsi="Arial" w:cs="Times New Roman"/>
          <w:sz w:val="24"/>
          <w:szCs w:val="24"/>
          <w:lang w:val="en-GB"/>
        </w:rPr>
        <w:t xml:space="preserve"> adverse</w:t>
      </w:r>
      <w:r w:rsidR="00637AE9">
        <w:rPr>
          <w:rFonts w:ascii="Arial" w:eastAsia="Times New Roman" w:hAnsi="Arial" w:cs="Times New Roman"/>
          <w:sz w:val="24"/>
          <w:szCs w:val="24"/>
          <w:lang w:val="en-GB"/>
        </w:rPr>
        <w:t>ly</w:t>
      </w:r>
      <w:r>
        <w:rPr>
          <w:rFonts w:ascii="Arial" w:eastAsia="Times New Roman" w:hAnsi="Arial" w:cs="Times New Roman"/>
          <w:sz w:val="24"/>
          <w:szCs w:val="24"/>
          <w:lang w:val="en-GB"/>
        </w:rPr>
        <w:t xml:space="preserve"> reduced. </w:t>
      </w:r>
      <w:r w:rsidR="00637AE9">
        <w:rPr>
          <w:rFonts w:ascii="Arial" w:eastAsia="Times New Roman" w:hAnsi="Arial" w:cs="Times New Roman"/>
          <w:sz w:val="24"/>
          <w:szCs w:val="24"/>
          <w:lang w:val="en-GB"/>
        </w:rPr>
        <w:t>In this context where the expert relies</w:t>
      </w:r>
      <w:r w:rsidR="003B4753">
        <w:rPr>
          <w:rFonts w:ascii="Arial" w:eastAsia="Times New Roman" w:hAnsi="Arial" w:cs="Times New Roman"/>
          <w:sz w:val="24"/>
          <w:szCs w:val="24"/>
          <w:lang w:val="en-GB"/>
        </w:rPr>
        <w:t xml:space="preserve"> heavily on</w:t>
      </w:r>
      <w:r w:rsidR="00637AE9">
        <w:rPr>
          <w:rFonts w:ascii="Arial" w:eastAsia="Times New Roman" w:hAnsi="Arial" w:cs="Times New Roman"/>
          <w:sz w:val="24"/>
          <w:szCs w:val="24"/>
          <w:lang w:val="en-GB"/>
        </w:rPr>
        <w:t xml:space="preserve"> an incorrect factual basis</w:t>
      </w:r>
      <w:r w:rsidR="003B4753">
        <w:rPr>
          <w:rFonts w:ascii="Arial" w:eastAsia="Times New Roman" w:hAnsi="Arial" w:cs="Times New Roman"/>
          <w:sz w:val="24"/>
          <w:szCs w:val="24"/>
          <w:lang w:val="en-GB"/>
        </w:rPr>
        <w:t>,</w:t>
      </w:r>
      <w:r w:rsidR="00637AE9">
        <w:rPr>
          <w:rFonts w:ascii="Arial" w:eastAsia="Times New Roman" w:hAnsi="Arial" w:cs="Times New Roman"/>
          <w:sz w:val="24"/>
          <w:szCs w:val="24"/>
          <w:lang w:val="en-GB"/>
        </w:rPr>
        <w:t xml:space="preserve"> </w:t>
      </w:r>
      <w:r w:rsidR="003B4753">
        <w:rPr>
          <w:rFonts w:ascii="Arial" w:eastAsia="Times New Roman" w:hAnsi="Arial" w:cs="Times New Roman"/>
          <w:sz w:val="24"/>
          <w:szCs w:val="24"/>
          <w:lang w:val="en-GB"/>
        </w:rPr>
        <w:t xml:space="preserve">as they do, </w:t>
      </w:r>
      <w:r w:rsidR="00637AE9">
        <w:rPr>
          <w:rFonts w:ascii="Arial" w:eastAsia="Times New Roman" w:hAnsi="Arial" w:cs="Times New Roman"/>
          <w:sz w:val="24"/>
          <w:szCs w:val="24"/>
          <w:lang w:val="en-GB"/>
        </w:rPr>
        <w:t xml:space="preserve">as will become more apparent later, </w:t>
      </w:r>
      <w:r>
        <w:rPr>
          <w:rFonts w:ascii="Arial" w:eastAsia="Times New Roman" w:hAnsi="Arial" w:cs="Times New Roman"/>
          <w:sz w:val="24"/>
          <w:szCs w:val="24"/>
          <w:lang w:val="en-GB"/>
        </w:rPr>
        <w:t xml:space="preserve">the simple narrative of </w:t>
      </w:r>
      <w:r w:rsidR="00637AE9">
        <w:rPr>
          <w:rFonts w:ascii="Arial" w:eastAsia="Times New Roman" w:hAnsi="Arial" w:cs="Times New Roman"/>
          <w:sz w:val="24"/>
          <w:szCs w:val="24"/>
          <w:lang w:val="en-GB"/>
        </w:rPr>
        <w:t>‘</w:t>
      </w:r>
      <w:r w:rsidR="00637AE9">
        <w:rPr>
          <w:rFonts w:ascii="Arial" w:eastAsia="Times New Roman" w:hAnsi="Arial" w:cs="Times New Roman"/>
          <w:i/>
          <w:iCs/>
          <w:sz w:val="24"/>
          <w:szCs w:val="24"/>
          <w:lang w:val="en-GB"/>
        </w:rPr>
        <w:t>garbage</w:t>
      </w:r>
      <w:r w:rsidRPr="00637AE9">
        <w:rPr>
          <w:rFonts w:ascii="Arial" w:eastAsia="Times New Roman" w:hAnsi="Arial" w:cs="Times New Roman"/>
          <w:i/>
          <w:iCs/>
          <w:sz w:val="24"/>
          <w:szCs w:val="24"/>
          <w:lang w:val="en-GB"/>
        </w:rPr>
        <w:t xml:space="preserve"> in, </w:t>
      </w:r>
      <w:r w:rsidR="00637AE9">
        <w:rPr>
          <w:rFonts w:ascii="Arial" w:eastAsia="Times New Roman" w:hAnsi="Arial" w:cs="Times New Roman"/>
          <w:i/>
          <w:iCs/>
          <w:sz w:val="24"/>
          <w:szCs w:val="24"/>
          <w:lang w:val="en-GB"/>
        </w:rPr>
        <w:t>garbage out</w:t>
      </w:r>
      <w:r w:rsidR="00637AE9">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w:t>
      </w:r>
      <w:r w:rsidR="00637AE9">
        <w:rPr>
          <w:rFonts w:ascii="Arial" w:eastAsia="Times New Roman" w:hAnsi="Arial" w:cs="Times New Roman"/>
          <w:sz w:val="24"/>
          <w:szCs w:val="24"/>
          <w:lang w:val="en-GB"/>
        </w:rPr>
        <w:t>or ‘GIGO’ finds application</w:t>
      </w:r>
      <w:r w:rsidR="003268AC">
        <w:rPr>
          <w:rFonts w:ascii="Arial" w:eastAsia="Times New Roman" w:hAnsi="Arial" w:cs="Times New Roman"/>
          <w:sz w:val="24"/>
          <w:szCs w:val="24"/>
          <w:lang w:val="en-GB"/>
        </w:rPr>
        <w:t>.</w:t>
      </w:r>
      <w:r w:rsidR="003B4753">
        <w:rPr>
          <w:rFonts w:ascii="Arial" w:eastAsia="Times New Roman" w:hAnsi="Arial" w:cs="Times New Roman"/>
          <w:sz w:val="24"/>
          <w:szCs w:val="24"/>
          <w:lang w:val="en-GB"/>
        </w:rPr>
        <w:t xml:space="preserve"> </w:t>
      </w:r>
    </w:p>
    <w:p w14:paraId="3702BAAA" w14:textId="77777777" w:rsidR="00ED589D" w:rsidRPr="00ED589D" w:rsidRDefault="00ED589D" w:rsidP="00ED589D">
      <w:pPr>
        <w:pStyle w:val="ListParagraph"/>
        <w:rPr>
          <w:rFonts w:ascii="Arial" w:eastAsia="Times New Roman" w:hAnsi="Arial" w:cs="Times New Roman"/>
          <w:sz w:val="24"/>
          <w:szCs w:val="24"/>
          <w:lang w:val="en-GB"/>
        </w:rPr>
      </w:pPr>
    </w:p>
    <w:p w14:paraId="2CE4872E" w14:textId="6479A3AD" w:rsidR="00ED589D" w:rsidRDefault="00ED589D"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Dr Kumbirai (</w:t>
      </w:r>
      <w:r w:rsidR="003268AC">
        <w:rPr>
          <w:rFonts w:ascii="Arial" w:eastAsia="Times New Roman" w:hAnsi="Arial" w:cs="Times New Roman"/>
          <w:sz w:val="24"/>
          <w:szCs w:val="24"/>
          <w:lang w:val="en-GB"/>
        </w:rPr>
        <w:t>O</w:t>
      </w:r>
      <w:r>
        <w:rPr>
          <w:rFonts w:ascii="Arial" w:eastAsia="Times New Roman" w:hAnsi="Arial" w:cs="Times New Roman"/>
          <w:sz w:val="24"/>
          <w:szCs w:val="24"/>
          <w:lang w:val="en-GB"/>
        </w:rPr>
        <w:t>rthopaedic Surgeon) relied on x-rays taken for the purposes of his report. The x-rays revealed</w:t>
      </w:r>
      <w:r w:rsidR="00637AE9">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w:t>
      </w:r>
      <w:r w:rsidR="00637AE9">
        <w:rPr>
          <w:rFonts w:ascii="Arial" w:eastAsia="Times New Roman" w:hAnsi="Arial" w:cs="Times New Roman"/>
          <w:sz w:val="24"/>
          <w:szCs w:val="24"/>
          <w:lang w:val="en-GB"/>
        </w:rPr>
        <w:t xml:space="preserve">according to the medico legal report of Dr Kumbirai, </w:t>
      </w:r>
      <w:r>
        <w:rPr>
          <w:rFonts w:ascii="Arial" w:eastAsia="Times New Roman" w:hAnsi="Arial" w:cs="Times New Roman"/>
          <w:sz w:val="24"/>
          <w:szCs w:val="24"/>
          <w:lang w:val="en-GB"/>
        </w:rPr>
        <w:t>that the right shoulder is radiologically normal</w:t>
      </w:r>
      <w:r w:rsidR="00637AE9">
        <w:rPr>
          <w:rFonts w:ascii="Arial" w:eastAsia="Times New Roman" w:hAnsi="Arial" w:cs="Times New Roman"/>
          <w:sz w:val="24"/>
          <w:szCs w:val="24"/>
          <w:lang w:val="en-GB"/>
        </w:rPr>
        <w:t>. T</w:t>
      </w:r>
      <w:r>
        <w:rPr>
          <w:rFonts w:ascii="Arial" w:eastAsia="Times New Roman" w:hAnsi="Arial" w:cs="Times New Roman"/>
          <w:sz w:val="24"/>
          <w:szCs w:val="24"/>
          <w:lang w:val="en-GB"/>
        </w:rPr>
        <w:t>he radiolog</w:t>
      </w:r>
      <w:r w:rsidR="003B4753">
        <w:rPr>
          <w:rFonts w:ascii="Arial" w:eastAsia="Times New Roman" w:hAnsi="Arial" w:cs="Times New Roman"/>
          <w:sz w:val="24"/>
          <w:szCs w:val="24"/>
          <w:lang w:val="en-GB"/>
        </w:rPr>
        <w:t>ist</w:t>
      </w:r>
      <w:r>
        <w:rPr>
          <w:rFonts w:ascii="Arial" w:eastAsia="Times New Roman" w:hAnsi="Arial" w:cs="Times New Roman"/>
          <w:sz w:val="24"/>
          <w:szCs w:val="24"/>
          <w:lang w:val="en-GB"/>
        </w:rPr>
        <w:t xml:space="preserve"> report</w:t>
      </w:r>
      <w:r w:rsidR="003B4753">
        <w:rPr>
          <w:rFonts w:ascii="Arial" w:eastAsia="Times New Roman" w:hAnsi="Arial" w:cs="Times New Roman"/>
          <w:sz w:val="24"/>
          <w:szCs w:val="24"/>
          <w:lang w:val="en-GB"/>
        </w:rPr>
        <w:t>,</w:t>
      </w:r>
      <w:r w:rsidR="00637AE9">
        <w:rPr>
          <w:rFonts w:ascii="Arial" w:eastAsia="Times New Roman" w:hAnsi="Arial" w:cs="Times New Roman"/>
          <w:sz w:val="24"/>
          <w:szCs w:val="24"/>
          <w:lang w:val="en-GB"/>
        </w:rPr>
        <w:t xml:space="preserve"> attached to the report, </w:t>
      </w:r>
      <w:r>
        <w:rPr>
          <w:rFonts w:ascii="Arial" w:eastAsia="Times New Roman" w:hAnsi="Arial" w:cs="Times New Roman"/>
          <w:sz w:val="24"/>
          <w:szCs w:val="24"/>
          <w:lang w:val="en-GB"/>
        </w:rPr>
        <w:t xml:space="preserve">by Dr Mkhabele Zulu (a </w:t>
      </w:r>
      <w:r w:rsidR="003268AC">
        <w:rPr>
          <w:rFonts w:ascii="Arial" w:eastAsia="Times New Roman" w:hAnsi="Arial" w:cs="Times New Roman"/>
          <w:sz w:val="24"/>
          <w:szCs w:val="24"/>
          <w:lang w:val="en-GB"/>
        </w:rPr>
        <w:t>R</w:t>
      </w:r>
      <w:r>
        <w:rPr>
          <w:rFonts w:ascii="Arial" w:eastAsia="Times New Roman" w:hAnsi="Arial" w:cs="Times New Roman"/>
          <w:sz w:val="24"/>
          <w:szCs w:val="24"/>
          <w:lang w:val="en-GB"/>
        </w:rPr>
        <w:t>adiologist)</w:t>
      </w:r>
      <w:r w:rsidR="00637AE9">
        <w:rPr>
          <w:rFonts w:ascii="Arial" w:eastAsia="Times New Roman" w:hAnsi="Arial" w:cs="Times New Roman"/>
          <w:sz w:val="24"/>
          <w:szCs w:val="24"/>
          <w:lang w:val="en-GB"/>
        </w:rPr>
        <w:t>, however</w:t>
      </w:r>
      <w:r>
        <w:rPr>
          <w:rFonts w:ascii="Arial" w:eastAsia="Times New Roman" w:hAnsi="Arial" w:cs="Times New Roman"/>
          <w:sz w:val="24"/>
          <w:szCs w:val="24"/>
          <w:lang w:val="en-GB"/>
        </w:rPr>
        <w:t xml:space="preserve"> </w:t>
      </w:r>
      <w:r w:rsidR="00637AE9">
        <w:rPr>
          <w:rFonts w:ascii="Arial" w:eastAsia="Times New Roman" w:hAnsi="Arial" w:cs="Times New Roman"/>
          <w:sz w:val="24"/>
          <w:szCs w:val="24"/>
          <w:lang w:val="en-GB"/>
        </w:rPr>
        <w:t>reveal</w:t>
      </w:r>
      <w:r w:rsidR="003268AC">
        <w:rPr>
          <w:rFonts w:ascii="Arial" w:eastAsia="Times New Roman" w:hAnsi="Arial" w:cs="Times New Roman"/>
          <w:sz w:val="24"/>
          <w:szCs w:val="24"/>
          <w:lang w:val="en-GB"/>
        </w:rPr>
        <w:t>s</w:t>
      </w:r>
      <w:r w:rsidR="00637AE9">
        <w:rPr>
          <w:rFonts w:ascii="Arial" w:eastAsia="Times New Roman" w:hAnsi="Arial" w:cs="Times New Roman"/>
          <w:sz w:val="24"/>
          <w:szCs w:val="24"/>
          <w:lang w:val="en-GB"/>
        </w:rPr>
        <w:t xml:space="preserve"> radiological fallout in the right shoulder, specifically </w:t>
      </w:r>
      <w:r w:rsidR="00637AE9" w:rsidRPr="00637AE9">
        <w:rPr>
          <w:rFonts w:ascii="Arial" w:eastAsia="Times New Roman" w:hAnsi="Arial" w:cs="Times New Roman"/>
          <w:sz w:val="24"/>
          <w:szCs w:val="24"/>
          <w:lang w:val="en-GB"/>
        </w:rPr>
        <w:t>irregularity of the greater tuberosity of the humerus with narrowing of the acromio-humeral distance, suggestive of impingement.</w:t>
      </w:r>
      <w:r w:rsidR="00637AE9">
        <w:rPr>
          <w:rFonts w:ascii="Arial" w:eastAsia="Times New Roman" w:hAnsi="Arial" w:cs="Times New Roman"/>
          <w:sz w:val="24"/>
          <w:szCs w:val="24"/>
          <w:lang w:val="en-GB"/>
        </w:rPr>
        <w:t xml:space="preserve"> This radiologist report was similarly</w:t>
      </w:r>
      <w:r>
        <w:rPr>
          <w:rFonts w:ascii="Arial" w:eastAsia="Times New Roman" w:hAnsi="Arial" w:cs="Times New Roman"/>
          <w:sz w:val="24"/>
          <w:szCs w:val="24"/>
          <w:lang w:val="en-GB"/>
        </w:rPr>
        <w:t xml:space="preserve"> not supported by an affidavit from the radiologist, reducing this to inadmissible hearsay evidence, given that it was not properly established into evidence. </w:t>
      </w:r>
      <w:r w:rsidR="00AC50B2">
        <w:rPr>
          <w:rFonts w:ascii="Arial" w:eastAsia="Times New Roman" w:hAnsi="Arial" w:cs="Times New Roman"/>
          <w:sz w:val="24"/>
          <w:szCs w:val="24"/>
          <w:lang w:val="en-GB"/>
        </w:rPr>
        <w:t>Dr Kumbirai seemingly relied only on the radiologist report and does not state in his report that he personally studies the x-ray images.</w:t>
      </w:r>
    </w:p>
    <w:p w14:paraId="5622C4D4" w14:textId="77777777" w:rsidR="00ED589D" w:rsidRPr="00A949A3" w:rsidRDefault="00ED589D" w:rsidP="00ED589D">
      <w:pPr>
        <w:pStyle w:val="ListParagraph"/>
        <w:rPr>
          <w:rFonts w:ascii="Arial" w:eastAsia="Times New Roman" w:hAnsi="Arial" w:cs="Times New Roman"/>
          <w:sz w:val="24"/>
          <w:szCs w:val="24"/>
          <w:lang w:val="en-GB"/>
        </w:rPr>
      </w:pPr>
    </w:p>
    <w:p w14:paraId="23D0D679" w14:textId="77777777" w:rsidR="00ED589D" w:rsidRPr="00A46603" w:rsidRDefault="00ED589D" w:rsidP="00ED589D">
      <w:pPr>
        <w:pStyle w:val="ListParagraph"/>
        <w:rPr>
          <w:rFonts w:ascii="Arial" w:eastAsia="Times New Roman" w:hAnsi="Arial" w:cs="Times New Roman"/>
          <w:sz w:val="24"/>
          <w:szCs w:val="24"/>
          <w:lang w:val="en-GB"/>
        </w:rPr>
      </w:pPr>
    </w:p>
    <w:p w14:paraId="3D8BCB4A" w14:textId="0ABD94FB" w:rsidR="00ED589D" w:rsidRPr="00767B80" w:rsidRDefault="00AC50B2"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T</w:t>
      </w:r>
      <w:r w:rsidR="00ED589D">
        <w:rPr>
          <w:rFonts w:ascii="Arial" w:eastAsia="Times New Roman" w:hAnsi="Arial" w:cs="Times New Roman"/>
          <w:sz w:val="24"/>
          <w:szCs w:val="24"/>
          <w:lang w:val="en-GB"/>
        </w:rPr>
        <w:t xml:space="preserve">he </w:t>
      </w:r>
      <w:r w:rsidR="003268AC">
        <w:rPr>
          <w:rFonts w:ascii="Arial" w:eastAsia="Times New Roman" w:hAnsi="Arial" w:cs="Times New Roman"/>
          <w:sz w:val="24"/>
          <w:szCs w:val="24"/>
          <w:lang w:val="en-GB"/>
        </w:rPr>
        <w:t>C</w:t>
      </w:r>
      <w:r w:rsidR="00ED589D">
        <w:rPr>
          <w:rFonts w:ascii="Arial" w:eastAsia="Times New Roman" w:hAnsi="Arial" w:cs="Times New Roman"/>
          <w:sz w:val="24"/>
          <w:szCs w:val="24"/>
          <w:lang w:val="en-GB"/>
        </w:rPr>
        <w:t xml:space="preserve">linical </w:t>
      </w:r>
      <w:r w:rsidR="003268AC">
        <w:rPr>
          <w:rFonts w:ascii="Arial" w:eastAsia="Times New Roman" w:hAnsi="Arial" w:cs="Times New Roman"/>
          <w:sz w:val="24"/>
          <w:szCs w:val="24"/>
          <w:lang w:val="en-GB"/>
        </w:rPr>
        <w:t>P</w:t>
      </w:r>
      <w:r w:rsidR="00ED589D">
        <w:rPr>
          <w:rFonts w:ascii="Arial" w:eastAsia="Times New Roman" w:hAnsi="Arial" w:cs="Times New Roman"/>
          <w:sz w:val="24"/>
          <w:szCs w:val="24"/>
          <w:lang w:val="en-GB"/>
        </w:rPr>
        <w:t>sychologist, Ms Mokgatlhe, relied on psychometric tests conducted by Ms Elizabeth Mokoena (</w:t>
      </w:r>
      <w:r w:rsidR="003268AC">
        <w:rPr>
          <w:rFonts w:ascii="Arial" w:eastAsia="Times New Roman" w:hAnsi="Arial" w:cs="Times New Roman"/>
          <w:sz w:val="24"/>
          <w:szCs w:val="24"/>
          <w:lang w:val="en-GB"/>
        </w:rPr>
        <w:t>R</w:t>
      </w:r>
      <w:r w:rsidR="00ED589D">
        <w:rPr>
          <w:rFonts w:ascii="Arial" w:eastAsia="Times New Roman" w:hAnsi="Arial" w:cs="Times New Roman"/>
          <w:sz w:val="24"/>
          <w:szCs w:val="24"/>
          <w:lang w:val="en-GB"/>
        </w:rPr>
        <w:t xml:space="preserve">egistered </w:t>
      </w:r>
      <w:r w:rsidR="003268AC">
        <w:rPr>
          <w:rFonts w:ascii="Arial" w:eastAsia="Times New Roman" w:hAnsi="Arial" w:cs="Times New Roman"/>
          <w:sz w:val="24"/>
          <w:szCs w:val="24"/>
          <w:lang w:val="en-GB"/>
        </w:rPr>
        <w:t>P</w:t>
      </w:r>
      <w:r w:rsidR="00ED589D">
        <w:rPr>
          <w:rFonts w:ascii="Arial" w:eastAsia="Times New Roman" w:hAnsi="Arial" w:cs="Times New Roman"/>
          <w:sz w:val="24"/>
          <w:szCs w:val="24"/>
          <w:lang w:val="en-GB"/>
        </w:rPr>
        <w:t>sychometrist). There is no affidavit from Ms Mokoena (</w:t>
      </w:r>
      <w:r w:rsidR="003268AC">
        <w:rPr>
          <w:rFonts w:ascii="Arial" w:eastAsia="Times New Roman" w:hAnsi="Arial" w:cs="Times New Roman"/>
          <w:sz w:val="24"/>
          <w:szCs w:val="24"/>
          <w:lang w:val="en-GB"/>
        </w:rPr>
        <w:t>P</w:t>
      </w:r>
      <w:r w:rsidR="00ED589D">
        <w:rPr>
          <w:rFonts w:ascii="Arial" w:eastAsia="Times New Roman" w:hAnsi="Arial" w:cs="Times New Roman"/>
          <w:sz w:val="24"/>
          <w:szCs w:val="24"/>
          <w:lang w:val="en-GB"/>
        </w:rPr>
        <w:t>sychometrist), confirming her qualifications and experience and that she indeed conducted the tests and that the results relied on by Ms Mokgatlhe are accurate.</w:t>
      </w:r>
    </w:p>
    <w:p w14:paraId="34A7BBC4" w14:textId="77777777" w:rsidR="003717D2" w:rsidRPr="003717D2" w:rsidRDefault="003717D2" w:rsidP="003717D2">
      <w:pPr>
        <w:pStyle w:val="ListParagraph"/>
        <w:rPr>
          <w:rFonts w:ascii="Arial" w:eastAsia="Times New Roman" w:hAnsi="Arial" w:cs="Times New Roman"/>
          <w:sz w:val="24"/>
          <w:szCs w:val="24"/>
          <w:lang w:val="en-GB"/>
        </w:rPr>
      </w:pPr>
    </w:p>
    <w:p w14:paraId="0AE8297F" w14:textId="26EF9414" w:rsidR="007D0C9E" w:rsidRDefault="00C2470F" w:rsidP="00AF6DDF">
      <w:pPr>
        <w:pStyle w:val="ListParagraph"/>
        <w:numPr>
          <w:ilvl w:val="0"/>
          <w:numId w:val="3"/>
        </w:numPr>
        <w:spacing w:after="0" w:line="480" w:lineRule="auto"/>
        <w:jc w:val="both"/>
        <w:rPr>
          <w:rFonts w:ascii="Arial" w:eastAsia="Times New Roman" w:hAnsi="Arial" w:cs="Times New Roman"/>
          <w:sz w:val="24"/>
          <w:szCs w:val="24"/>
          <w:lang w:val="en-GB"/>
        </w:rPr>
      </w:pPr>
      <w:r w:rsidRPr="007D0C9E">
        <w:rPr>
          <w:rFonts w:ascii="Arial" w:eastAsia="Times New Roman" w:hAnsi="Arial" w:cs="Times New Roman"/>
          <w:sz w:val="24"/>
          <w:szCs w:val="24"/>
          <w:lang w:val="en-GB"/>
        </w:rPr>
        <w:t>Generally, t</w:t>
      </w:r>
      <w:r w:rsidR="003717D2" w:rsidRPr="007D0C9E">
        <w:rPr>
          <w:rFonts w:ascii="Arial" w:eastAsia="Times New Roman" w:hAnsi="Arial" w:cs="Times New Roman"/>
          <w:sz w:val="24"/>
          <w:szCs w:val="24"/>
          <w:lang w:val="en-GB"/>
        </w:rPr>
        <w:t>here is no explanation as to why the</w:t>
      </w:r>
      <w:r w:rsidR="00A66246" w:rsidRPr="007D0C9E">
        <w:rPr>
          <w:rFonts w:ascii="Arial" w:eastAsia="Times New Roman" w:hAnsi="Arial" w:cs="Times New Roman"/>
          <w:sz w:val="24"/>
          <w:szCs w:val="24"/>
          <w:lang w:val="en-GB"/>
        </w:rPr>
        <w:t xml:space="preserve"> factual basis</w:t>
      </w:r>
      <w:r w:rsidRPr="007D0C9E">
        <w:rPr>
          <w:rFonts w:ascii="Arial" w:eastAsia="Times New Roman" w:hAnsi="Arial" w:cs="Times New Roman"/>
          <w:sz w:val="24"/>
          <w:szCs w:val="24"/>
          <w:lang w:val="en-GB"/>
        </w:rPr>
        <w:t xml:space="preserve"> on which the Plaintiff relies, as the foundation of his case,</w:t>
      </w:r>
      <w:r w:rsidR="00A66246" w:rsidRPr="007D0C9E">
        <w:rPr>
          <w:rFonts w:ascii="Arial" w:eastAsia="Times New Roman" w:hAnsi="Arial" w:cs="Times New Roman"/>
          <w:sz w:val="24"/>
          <w:szCs w:val="24"/>
          <w:lang w:val="en-GB"/>
        </w:rPr>
        <w:t xml:space="preserve"> was not presented into evidence. The failure of the Road Accident Fund to participate in litigation is not an excuse </w:t>
      </w:r>
      <w:r w:rsidR="00BB03B0" w:rsidRPr="007D0C9E">
        <w:rPr>
          <w:rFonts w:ascii="Arial" w:eastAsia="Times New Roman" w:hAnsi="Arial" w:cs="Times New Roman"/>
          <w:sz w:val="24"/>
          <w:szCs w:val="24"/>
          <w:lang w:val="en-GB"/>
        </w:rPr>
        <w:t xml:space="preserve">to </w:t>
      </w:r>
      <w:r w:rsidRPr="007D0C9E">
        <w:rPr>
          <w:rFonts w:ascii="Arial" w:eastAsia="Times New Roman" w:hAnsi="Arial" w:cs="Times New Roman"/>
          <w:sz w:val="24"/>
          <w:szCs w:val="24"/>
          <w:lang w:val="en-GB"/>
        </w:rPr>
        <w:t>disregard</w:t>
      </w:r>
      <w:r w:rsidR="00BB03B0" w:rsidRPr="007D0C9E">
        <w:rPr>
          <w:rFonts w:ascii="Arial" w:eastAsia="Times New Roman" w:hAnsi="Arial" w:cs="Times New Roman"/>
          <w:sz w:val="24"/>
          <w:szCs w:val="24"/>
          <w:lang w:val="en-GB"/>
        </w:rPr>
        <w:t xml:space="preserve"> </w:t>
      </w:r>
      <w:r w:rsidR="00AC50B2">
        <w:rPr>
          <w:rFonts w:ascii="Arial" w:eastAsia="Times New Roman" w:hAnsi="Arial" w:cs="Times New Roman"/>
          <w:sz w:val="24"/>
          <w:szCs w:val="24"/>
          <w:lang w:val="en-GB"/>
        </w:rPr>
        <w:t>the</w:t>
      </w:r>
      <w:r w:rsidRPr="007D0C9E">
        <w:rPr>
          <w:rFonts w:ascii="Arial" w:eastAsia="Times New Roman" w:hAnsi="Arial" w:cs="Times New Roman"/>
          <w:sz w:val="24"/>
          <w:szCs w:val="24"/>
          <w:lang w:val="en-GB"/>
        </w:rPr>
        <w:t xml:space="preserve"> </w:t>
      </w:r>
      <w:r w:rsidR="00BB03B0" w:rsidRPr="007D0C9E">
        <w:rPr>
          <w:rFonts w:ascii="Arial" w:eastAsia="Times New Roman" w:hAnsi="Arial" w:cs="Times New Roman"/>
          <w:sz w:val="24"/>
          <w:szCs w:val="24"/>
          <w:lang w:val="en-GB"/>
        </w:rPr>
        <w:t xml:space="preserve">Rules and Laws of Evidence. In fact, these </w:t>
      </w:r>
      <w:r w:rsidRPr="007D0C9E">
        <w:rPr>
          <w:rFonts w:ascii="Arial" w:eastAsia="Times New Roman" w:hAnsi="Arial" w:cs="Times New Roman"/>
          <w:sz w:val="24"/>
          <w:szCs w:val="24"/>
          <w:lang w:val="en-GB"/>
        </w:rPr>
        <w:t>R</w:t>
      </w:r>
      <w:r w:rsidR="00BB03B0" w:rsidRPr="007D0C9E">
        <w:rPr>
          <w:rFonts w:ascii="Arial" w:eastAsia="Times New Roman" w:hAnsi="Arial" w:cs="Times New Roman"/>
          <w:sz w:val="24"/>
          <w:szCs w:val="24"/>
          <w:lang w:val="en-GB"/>
        </w:rPr>
        <w:t xml:space="preserve">ules and </w:t>
      </w:r>
      <w:r w:rsidRPr="007D0C9E">
        <w:rPr>
          <w:rFonts w:ascii="Arial" w:eastAsia="Times New Roman" w:hAnsi="Arial" w:cs="Times New Roman"/>
          <w:sz w:val="24"/>
          <w:szCs w:val="24"/>
          <w:lang w:val="en-GB"/>
        </w:rPr>
        <w:t>L</w:t>
      </w:r>
      <w:r w:rsidR="00BB03B0" w:rsidRPr="007D0C9E">
        <w:rPr>
          <w:rFonts w:ascii="Arial" w:eastAsia="Times New Roman" w:hAnsi="Arial" w:cs="Times New Roman"/>
          <w:sz w:val="24"/>
          <w:szCs w:val="24"/>
          <w:lang w:val="en-GB"/>
        </w:rPr>
        <w:t>aws of Evidence are even more vigorously enforced by this court owing to the Road Accident Fund’s absence</w:t>
      </w:r>
      <w:r w:rsidR="00AC50B2">
        <w:rPr>
          <w:rFonts w:ascii="Arial" w:eastAsia="Times New Roman" w:hAnsi="Arial" w:cs="Times New Roman"/>
          <w:sz w:val="24"/>
          <w:szCs w:val="24"/>
          <w:lang w:val="en-GB"/>
        </w:rPr>
        <w:t>, not to aid or assist a particular litigant but to</w:t>
      </w:r>
      <w:r w:rsidR="00C44C1C" w:rsidRPr="007D0C9E">
        <w:rPr>
          <w:rFonts w:ascii="Arial" w:eastAsia="Times New Roman" w:hAnsi="Arial" w:cs="Times New Roman"/>
          <w:sz w:val="24"/>
          <w:szCs w:val="24"/>
          <w:lang w:val="en-GB"/>
        </w:rPr>
        <w:t xml:space="preserve"> ensure that a proper case is made out for the requested relief.</w:t>
      </w:r>
      <w:r w:rsidR="00AC50B2">
        <w:rPr>
          <w:rFonts w:ascii="Arial" w:eastAsia="Times New Roman" w:hAnsi="Arial" w:cs="Times New Roman"/>
          <w:sz w:val="24"/>
          <w:szCs w:val="24"/>
          <w:lang w:val="en-GB"/>
        </w:rPr>
        <w:t xml:space="preserve"> This is a duty of the court. </w:t>
      </w:r>
      <w:r w:rsidR="007D0C9E" w:rsidRPr="007D0C9E">
        <w:rPr>
          <w:rFonts w:ascii="Arial" w:eastAsia="Times New Roman" w:hAnsi="Arial" w:cs="Times New Roman"/>
          <w:sz w:val="24"/>
          <w:szCs w:val="24"/>
          <w:lang w:val="en-GB"/>
        </w:rPr>
        <w:t xml:space="preserve"> </w:t>
      </w:r>
    </w:p>
    <w:p w14:paraId="078C93F4" w14:textId="77777777" w:rsidR="007D0C9E" w:rsidRPr="007D0C9E" w:rsidRDefault="007D0C9E" w:rsidP="007D0C9E">
      <w:pPr>
        <w:pStyle w:val="ListParagraph"/>
        <w:rPr>
          <w:rFonts w:ascii="Arial" w:hAnsi="Arial" w:cs="Arial"/>
          <w:sz w:val="24"/>
          <w:szCs w:val="24"/>
        </w:rPr>
      </w:pPr>
    </w:p>
    <w:p w14:paraId="152BF9FC" w14:textId="30A98C9E" w:rsidR="007D0C9E" w:rsidRPr="007D0C9E" w:rsidRDefault="007D0C9E"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hAnsi="Arial" w:cs="Arial"/>
          <w:sz w:val="24"/>
          <w:szCs w:val="24"/>
        </w:rPr>
        <w:t xml:space="preserve">The court in </w:t>
      </w:r>
      <w:r w:rsidRPr="007D0C9E">
        <w:rPr>
          <w:rFonts w:ascii="Arial" w:hAnsi="Arial" w:cs="Arial"/>
          <w:i/>
          <w:iCs/>
          <w:sz w:val="24"/>
          <w:szCs w:val="24"/>
        </w:rPr>
        <w:t>Ndlovu v RAF</w:t>
      </w:r>
      <w:r>
        <w:rPr>
          <w:rStyle w:val="FootnoteReference"/>
          <w:rFonts w:ascii="Arial" w:hAnsi="Arial" w:cs="Arial"/>
          <w:i/>
          <w:iCs/>
          <w:sz w:val="24"/>
          <w:szCs w:val="24"/>
        </w:rPr>
        <w:footnoteReference w:id="26"/>
      </w:r>
      <w:r>
        <w:rPr>
          <w:rFonts w:ascii="Arial" w:hAnsi="Arial" w:cs="Arial"/>
          <w:sz w:val="24"/>
          <w:szCs w:val="24"/>
        </w:rPr>
        <w:t xml:space="preserve"> held:</w:t>
      </w:r>
    </w:p>
    <w:p w14:paraId="556E111A" w14:textId="0B96775B" w:rsidR="007D0C9E" w:rsidRPr="007D0C9E" w:rsidRDefault="007D0C9E" w:rsidP="007D0C9E">
      <w:pPr>
        <w:pStyle w:val="ListParagraph"/>
        <w:spacing w:after="0" w:line="480" w:lineRule="auto"/>
        <w:ind w:left="1440"/>
        <w:jc w:val="both"/>
        <w:rPr>
          <w:rFonts w:ascii="Arial" w:eastAsia="Times New Roman" w:hAnsi="Arial" w:cs="Times New Roman"/>
          <w:i/>
          <w:iCs/>
          <w:sz w:val="24"/>
          <w:szCs w:val="24"/>
          <w:lang w:val="en-GB"/>
        </w:rPr>
      </w:pPr>
      <w:r w:rsidRPr="007D0C9E">
        <w:rPr>
          <w:rFonts w:ascii="Arial" w:hAnsi="Arial" w:cs="Arial"/>
          <w:i/>
          <w:iCs/>
          <w:sz w:val="20"/>
          <w:szCs w:val="20"/>
        </w:rPr>
        <w:t>A court’s decision cannot be based on speculation or reservations gathered from documents which, although placed before it, were not admitted as to truth of content; nor were they used in the present case to test the veracity of the plaintiff’s testimony and the author was not called to testify. Moreover</w:t>
      </w:r>
      <w:r w:rsidR="003268AC">
        <w:rPr>
          <w:rFonts w:ascii="Arial" w:hAnsi="Arial" w:cs="Arial"/>
          <w:i/>
          <w:iCs/>
          <w:sz w:val="20"/>
          <w:szCs w:val="20"/>
        </w:rPr>
        <w:t>,</w:t>
      </w:r>
      <w:r w:rsidRPr="007D0C9E">
        <w:rPr>
          <w:rFonts w:ascii="Arial" w:hAnsi="Arial" w:cs="Arial"/>
          <w:i/>
          <w:iCs/>
          <w:sz w:val="20"/>
          <w:szCs w:val="20"/>
        </w:rPr>
        <w:t xml:space="preserve"> a court cannot itself go beyond obtaining clarification of the evidence placed before it. On the authorities, it should not transcend this line and open up an avenue of enquiry not raised by opposing counsel nor should a court descend into the arena and engage in a process of questioning, even if its object is directed at the pursuit of truth, as this may otherwise be perceived as demonstrating bias or may imperceptibly cloud the judge’s assessment. </w:t>
      </w:r>
    </w:p>
    <w:p w14:paraId="725E902A" w14:textId="77777777" w:rsidR="00C44C1C" w:rsidRPr="007D0C9E" w:rsidRDefault="00C44C1C" w:rsidP="007D0C9E">
      <w:pPr>
        <w:spacing w:after="0" w:line="480" w:lineRule="auto"/>
        <w:jc w:val="both"/>
        <w:rPr>
          <w:rFonts w:ascii="Arial" w:eastAsia="Times New Roman" w:hAnsi="Arial" w:cs="Times New Roman"/>
          <w:sz w:val="24"/>
          <w:szCs w:val="24"/>
          <w:lang w:val="en-GB"/>
        </w:rPr>
      </w:pPr>
    </w:p>
    <w:p w14:paraId="5DB730E6" w14:textId="1A8E775C" w:rsidR="00ED589D" w:rsidRPr="00ED589D" w:rsidRDefault="00ED589D"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lastRenderedPageBreak/>
        <w:t xml:space="preserve">There must be in any running enterprise a legio of documentary evidence which could have been placed before the court to substantiate the Plaintiff’s claim, including financial statements, bank statements, business contracts with clients and SARS tax returns. There was simply no factual evidence before the court in relation to the issue of the </w:t>
      </w:r>
      <w:r w:rsidR="00AC50B2">
        <w:rPr>
          <w:rFonts w:ascii="Arial" w:eastAsia="Times New Roman" w:hAnsi="Arial" w:cs="Times New Roman"/>
          <w:sz w:val="24"/>
          <w:szCs w:val="24"/>
          <w:lang w:val="en-GB"/>
        </w:rPr>
        <w:t>loss of income claim</w:t>
      </w:r>
      <w:r>
        <w:rPr>
          <w:rFonts w:ascii="Arial" w:eastAsia="Times New Roman" w:hAnsi="Arial" w:cs="Times New Roman"/>
          <w:sz w:val="24"/>
          <w:szCs w:val="24"/>
          <w:lang w:val="en-GB"/>
        </w:rPr>
        <w:t xml:space="preserve"> and the Plaintiff elected not to present this evidence at his own peril.</w:t>
      </w:r>
      <w:r w:rsidR="00AC50B2">
        <w:rPr>
          <w:rFonts w:ascii="Arial" w:eastAsia="Times New Roman" w:hAnsi="Arial" w:cs="Times New Roman"/>
          <w:sz w:val="24"/>
          <w:szCs w:val="24"/>
          <w:lang w:val="en-GB"/>
        </w:rPr>
        <w:t xml:space="preserve"> I simply cannot make an award for damages, specifically loss of income, in the absence of admissible evidence.</w:t>
      </w:r>
    </w:p>
    <w:p w14:paraId="1445800B" w14:textId="77777777" w:rsidR="00821777" w:rsidRPr="00821777" w:rsidRDefault="00821777" w:rsidP="00821777">
      <w:pPr>
        <w:pStyle w:val="ListParagraph"/>
        <w:rPr>
          <w:rFonts w:ascii="Arial" w:eastAsia="Times New Roman" w:hAnsi="Arial" w:cs="Times New Roman"/>
          <w:sz w:val="24"/>
          <w:szCs w:val="24"/>
          <w:lang w:val="en-GB"/>
        </w:rPr>
      </w:pPr>
    </w:p>
    <w:p w14:paraId="078BB562" w14:textId="02BDDA78" w:rsidR="003717D2" w:rsidRDefault="00821777"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The lack of </w:t>
      </w:r>
      <w:r w:rsidR="00017B06">
        <w:rPr>
          <w:rFonts w:ascii="Arial" w:eastAsia="Times New Roman" w:hAnsi="Arial" w:cs="Times New Roman"/>
          <w:sz w:val="24"/>
          <w:szCs w:val="24"/>
          <w:lang w:val="en-GB"/>
        </w:rPr>
        <w:t>evidence in respect of the supporting facts is not the Plaintiff’s only hurdle.</w:t>
      </w:r>
      <w:r w:rsidR="003717D2" w:rsidRPr="00821777">
        <w:rPr>
          <w:rFonts w:ascii="Arial" w:eastAsia="Times New Roman" w:hAnsi="Arial" w:cs="Times New Roman"/>
          <w:sz w:val="24"/>
          <w:szCs w:val="24"/>
          <w:lang w:val="en-GB"/>
        </w:rPr>
        <w:t xml:space="preserve"> </w:t>
      </w:r>
      <w:r w:rsidR="00C44C1C">
        <w:rPr>
          <w:rFonts w:ascii="Arial" w:eastAsia="Times New Roman" w:hAnsi="Arial" w:cs="Times New Roman"/>
          <w:sz w:val="24"/>
          <w:szCs w:val="24"/>
          <w:lang w:val="en-GB"/>
        </w:rPr>
        <w:t xml:space="preserve">The hearsay evidence advanced by the experts </w:t>
      </w:r>
      <w:r w:rsidR="003268AC">
        <w:rPr>
          <w:rFonts w:ascii="Arial" w:eastAsia="Times New Roman" w:hAnsi="Arial" w:cs="Times New Roman"/>
          <w:sz w:val="24"/>
          <w:szCs w:val="24"/>
          <w:lang w:val="en-GB"/>
        </w:rPr>
        <w:t>are</w:t>
      </w:r>
      <w:r w:rsidR="00C44C1C">
        <w:rPr>
          <w:rFonts w:ascii="Arial" w:eastAsia="Times New Roman" w:hAnsi="Arial" w:cs="Times New Roman"/>
          <w:sz w:val="24"/>
          <w:szCs w:val="24"/>
          <w:lang w:val="en-GB"/>
        </w:rPr>
        <w:t xml:space="preserve"> riddled with factual discrepancies and inconsistencies. </w:t>
      </w:r>
    </w:p>
    <w:p w14:paraId="36007533" w14:textId="77777777" w:rsidR="00C44C1C" w:rsidRPr="00C44C1C" w:rsidRDefault="00C44C1C" w:rsidP="00C44C1C">
      <w:pPr>
        <w:pStyle w:val="ListParagraph"/>
        <w:rPr>
          <w:rFonts w:ascii="Arial" w:eastAsia="Times New Roman" w:hAnsi="Arial" w:cs="Times New Roman"/>
          <w:sz w:val="24"/>
          <w:szCs w:val="24"/>
          <w:lang w:val="en-GB"/>
        </w:rPr>
      </w:pPr>
    </w:p>
    <w:p w14:paraId="713FC1F3" w14:textId="77777777" w:rsidR="00C44C1C" w:rsidRPr="00C44C1C" w:rsidRDefault="00C44C1C" w:rsidP="00C44C1C">
      <w:pPr>
        <w:pStyle w:val="ListParagraph"/>
        <w:spacing w:after="0" w:line="480" w:lineRule="auto"/>
        <w:jc w:val="both"/>
        <w:rPr>
          <w:rFonts w:ascii="Arial" w:eastAsia="Times New Roman" w:hAnsi="Arial" w:cs="Times New Roman"/>
          <w:sz w:val="24"/>
          <w:szCs w:val="24"/>
          <w:lang w:val="en-GB"/>
        </w:rPr>
      </w:pPr>
    </w:p>
    <w:p w14:paraId="41B75E60" w14:textId="4A13A12E" w:rsidR="00ED589D" w:rsidRPr="00ED589D" w:rsidRDefault="00ED589D" w:rsidP="003717D2">
      <w:pPr>
        <w:spacing w:after="0" w:line="480" w:lineRule="auto"/>
        <w:jc w:val="both"/>
        <w:rPr>
          <w:rFonts w:ascii="Arial" w:eastAsia="Times New Roman" w:hAnsi="Arial" w:cs="Times New Roman"/>
          <w:i/>
          <w:iCs/>
          <w:sz w:val="24"/>
          <w:szCs w:val="24"/>
          <w:u w:val="single"/>
          <w:lang w:val="en-GB"/>
        </w:rPr>
      </w:pPr>
      <w:r w:rsidRPr="00ED589D">
        <w:rPr>
          <w:rFonts w:ascii="Arial" w:eastAsia="Times New Roman" w:hAnsi="Arial" w:cs="Times New Roman"/>
          <w:i/>
          <w:iCs/>
          <w:sz w:val="24"/>
          <w:szCs w:val="24"/>
          <w:u w:val="single"/>
          <w:lang w:val="en-GB"/>
        </w:rPr>
        <w:t>Mutually destructive factual hearsay versions in expert reports</w:t>
      </w:r>
    </w:p>
    <w:p w14:paraId="0BA9152D" w14:textId="5D8A293F" w:rsidR="003717D2" w:rsidRDefault="003717D2"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The version, which was narrated by Dr Kumbirai, specifically that the Plaintiff had lost his self-employment post-accident is mutually destructive to the version narrated by Ms Matsapa (</w:t>
      </w:r>
      <w:r w:rsidR="003268AC">
        <w:rPr>
          <w:rFonts w:ascii="Arial" w:eastAsia="Times New Roman" w:hAnsi="Arial" w:cs="Times New Roman"/>
          <w:sz w:val="24"/>
          <w:szCs w:val="24"/>
          <w:lang w:val="en-GB"/>
        </w:rPr>
        <w:t>O</w:t>
      </w:r>
      <w:r>
        <w:rPr>
          <w:rFonts w:ascii="Arial" w:eastAsia="Times New Roman" w:hAnsi="Arial" w:cs="Times New Roman"/>
          <w:sz w:val="24"/>
          <w:szCs w:val="24"/>
          <w:lang w:val="en-GB"/>
        </w:rPr>
        <w:t xml:space="preserve">ccupational </w:t>
      </w:r>
      <w:r w:rsidR="003268AC">
        <w:rPr>
          <w:rFonts w:ascii="Arial" w:eastAsia="Times New Roman" w:hAnsi="Arial" w:cs="Times New Roman"/>
          <w:sz w:val="24"/>
          <w:szCs w:val="24"/>
          <w:lang w:val="en-GB"/>
        </w:rPr>
        <w:t>T</w:t>
      </w:r>
      <w:r>
        <w:rPr>
          <w:rFonts w:ascii="Arial" w:eastAsia="Times New Roman" w:hAnsi="Arial" w:cs="Times New Roman"/>
          <w:sz w:val="24"/>
          <w:szCs w:val="24"/>
          <w:lang w:val="en-GB"/>
        </w:rPr>
        <w:t>herapist). She recorded that the Plaintiff’s ‘</w:t>
      </w:r>
      <w:r w:rsidRPr="00905FCD">
        <w:rPr>
          <w:rFonts w:ascii="Arial" w:eastAsia="Times New Roman" w:hAnsi="Arial" w:cs="Times New Roman"/>
          <w:i/>
          <w:iCs/>
          <w:sz w:val="24"/>
          <w:szCs w:val="24"/>
          <w:lang w:val="en-GB"/>
        </w:rPr>
        <w:t>present occupation</w:t>
      </w:r>
      <w:r>
        <w:rPr>
          <w:rFonts w:ascii="Arial" w:eastAsia="Times New Roman" w:hAnsi="Arial" w:cs="Times New Roman"/>
          <w:sz w:val="24"/>
          <w:szCs w:val="24"/>
          <w:lang w:val="en-GB"/>
        </w:rPr>
        <w:t>’ (as at 8 September 2022- the date of her report) is ‘</w:t>
      </w:r>
      <w:r w:rsidRPr="00407F62">
        <w:rPr>
          <w:rFonts w:ascii="Arial" w:eastAsia="Times New Roman" w:hAnsi="Arial" w:cs="Times New Roman"/>
          <w:i/>
          <w:iCs/>
          <w:sz w:val="24"/>
          <w:szCs w:val="24"/>
          <w:lang w:val="en-GB"/>
        </w:rPr>
        <w:t>self employed</w:t>
      </w:r>
      <w:r>
        <w:rPr>
          <w:rFonts w:ascii="Arial" w:eastAsia="Times New Roman" w:hAnsi="Arial" w:cs="Times New Roman"/>
          <w:sz w:val="24"/>
          <w:szCs w:val="24"/>
          <w:lang w:val="en-GB"/>
        </w:rPr>
        <w:t>’. Under the heading ‘</w:t>
      </w:r>
      <w:r w:rsidRPr="00905FCD">
        <w:rPr>
          <w:rFonts w:ascii="Arial" w:eastAsia="Times New Roman" w:hAnsi="Arial" w:cs="Times New Roman"/>
          <w:i/>
          <w:iCs/>
          <w:sz w:val="24"/>
          <w:szCs w:val="24"/>
          <w:lang w:val="en-GB"/>
        </w:rPr>
        <w:t>work history</w:t>
      </w:r>
      <w:r>
        <w:rPr>
          <w:rFonts w:ascii="Arial" w:eastAsia="Times New Roman" w:hAnsi="Arial" w:cs="Times New Roman"/>
          <w:sz w:val="24"/>
          <w:szCs w:val="24"/>
          <w:lang w:val="en-GB"/>
        </w:rPr>
        <w:t xml:space="preserve">’, it is recorded that the Plaintiff’s was </w:t>
      </w:r>
      <w:r w:rsidR="00407F62">
        <w:rPr>
          <w:rFonts w:ascii="Arial" w:eastAsia="Times New Roman" w:hAnsi="Arial" w:cs="Times New Roman"/>
          <w:sz w:val="24"/>
          <w:szCs w:val="24"/>
          <w:lang w:val="en-GB"/>
        </w:rPr>
        <w:t>self-employed</w:t>
      </w:r>
      <w:r>
        <w:rPr>
          <w:rFonts w:ascii="Arial" w:eastAsia="Times New Roman" w:hAnsi="Arial" w:cs="Times New Roman"/>
          <w:sz w:val="24"/>
          <w:szCs w:val="24"/>
          <w:lang w:val="en-GB"/>
        </w:rPr>
        <w:t xml:space="preserve"> (Training Development) from 2003 ‘</w:t>
      </w:r>
      <w:r w:rsidRPr="00905FCD">
        <w:rPr>
          <w:rFonts w:ascii="Arial" w:eastAsia="Times New Roman" w:hAnsi="Arial" w:cs="Times New Roman"/>
          <w:i/>
          <w:iCs/>
          <w:sz w:val="24"/>
          <w:szCs w:val="24"/>
          <w:lang w:val="en-GB"/>
        </w:rPr>
        <w:t>till now</w:t>
      </w:r>
      <w:r>
        <w:rPr>
          <w:rFonts w:ascii="Arial" w:eastAsia="Times New Roman" w:hAnsi="Arial" w:cs="Times New Roman"/>
          <w:sz w:val="24"/>
          <w:szCs w:val="24"/>
          <w:lang w:val="en-GB"/>
        </w:rPr>
        <w:t xml:space="preserve">’. </w:t>
      </w:r>
    </w:p>
    <w:p w14:paraId="2470FE95" w14:textId="77777777" w:rsidR="00407F62" w:rsidRPr="00407F62" w:rsidRDefault="00407F62" w:rsidP="00407F62">
      <w:pPr>
        <w:pStyle w:val="ListParagraph"/>
        <w:rPr>
          <w:rFonts w:ascii="Arial" w:eastAsia="Times New Roman" w:hAnsi="Arial" w:cs="Times New Roman"/>
          <w:sz w:val="24"/>
          <w:szCs w:val="24"/>
          <w:lang w:val="en-GB"/>
        </w:rPr>
      </w:pPr>
    </w:p>
    <w:p w14:paraId="767334A1" w14:textId="58001FFF" w:rsidR="00372B85" w:rsidRDefault="00407F62"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Both these experts would have obtained these direct </w:t>
      </w:r>
      <w:r w:rsidR="00074754">
        <w:rPr>
          <w:rFonts w:ascii="Arial" w:eastAsia="Times New Roman" w:hAnsi="Arial" w:cs="Times New Roman"/>
          <w:sz w:val="24"/>
          <w:szCs w:val="24"/>
          <w:lang w:val="en-GB"/>
        </w:rPr>
        <w:t xml:space="preserve">material </w:t>
      </w:r>
      <w:r>
        <w:rPr>
          <w:rFonts w:ascii="Arial" w:eastAsia="Times New Roman" w:hAnsi="Arial" w:cs="Times New Roman"/>
          <w:sz w:val="24"/>
          <w:szCs w:val="24"/>
          <w:lang w:val="en-GB"/>
        </w:rPr>
        <w:t>facts from the Plaintiff</w:t>
      </w:r>
      <w:r w:rsidR="00C44C1C">
        <w:rPr>
          <w:rFonts w:ascii="Arial" w:eastAsia="Times New Roman" w:hAnsi="Arial" w:cs="Times New Roman"/>
          <w:sz w:val="24"/>
          <w:szCs w:val="24"/>
          <w:lang w:val="en-GB"/>
        </w:rPr>
        <w:t xml:space="preserve">’s </w:t>
      </w:r>
      <w:r w:rsidR="00C44C1C" w:rsidRPr="00C44C1C">
        <w:rPr>
          <w:rFonts w:ascii="Arial" w:eastAsia="Times New Roman" w:hAnsi="Arial" w:cs="Times New Roman"/>
          <w:i/>
          <w:iCs/>
          <w:sz w:val="24"/>
          <w:szCs w:val="24"/>
          <w:lang w:val="en-GB"/>
        </w:rPr>
        <w:t>ipse dixit</w:t>
      </w:r>
      <w:r>
        <w:rPr>
          <w:rFonts w:ascii="Arial" w:eastAsia="Times New Roman" w:hAnsi="Arial" w:cs="Times New Roman"/>
          <w:sz w:val="24"/>
          <w:szCs w:val="24"/>
          <w:lang w:val="en-GB"/>
        </w:rPr>
        <w:t xml:space="preserve"> and they </w:t>
      </w:r>
      <w:r w:rsidR="00C44C1C">
        <w:rPr>
          <w:rFonts w:ascii="Arial" w:eastAsia="Times New Roman" w:hAnsi="Arial" w:cs="Times New Roman"/>
          <w:sz w:val="24"/>
          <w:szCs w:val="24"/>
          <w:lang w:val="en-GB"/>
        </w:rPr>
        <w:t xml:space="preserve">obviously </w:t>
      </w:r>
      <w:r>
        <w:rPr>
          <w:rFonts w:ascii="Arial" w:eastAsia="Times New Roman" w:hAnsi="Arial" w:cs="Times New Roman"/>
          <w:sz w:val="24"/>
          <w:szCs w:val="24"/>
          <w:lang w:val="en-GB"/>
        </w:rPr>
        <w:t xml:space="preserve">received mutually destructive versions. </w:t>
      </w:r>
      <w:r w:rsidR="00BB03B0">
        <w:rPr>
          <w:rFonts w:ascii="Arial" w:eastAsia="Times New Roman" w:hAnsi="Arial" w:cs="Times New Roman"/>
          <w:sz w:val="24"/>
          <w:szCs w:val="24"/>
          <w:lang w:val="en-GB"/>
        </w:rPr>
        <w:t xml:space="preserve">Neither of the two versions had been canvassed by the Plaintiff in the </w:t>
      </w:r>
      <w:r w:rsidR="00C44C1C">
        <w:rPr>
          <w:rFonts w:ascii="Arial" w:eastAsia="Times New Roman" w:hAnsi="Arial" w:cs="Times New Roman"/>
          <w:sz w:val="24"/>
          <w:szCs w:val="24"/>
          <w:lang w:val="en-GB"/>
        </w:rPr>
        <w:t xml:space="preserve">default judgement </w:t>
      </w:r>
      <w:r w:rsidR="00BB03B0">
        <w:rPr>
          <w:rFonts w:ascii="Arial" w:eastAsia="Times New Roman" w:hAnsi="Arial" w:cs="Times New Roman"/>
          <w:sz w:val="24"/>
          <w:szCs w:val="24"/>
          <w:lang w:val="en-GB"/>
        </w:rPr>
        <w:t xml:space="preserve">founding affidavit and the court is left to its </w:t>
      </w:r>
      <w:r w:rsidR="00C44C1C">
        <w:rPr>
          <w:rFonts w:ascii="Arial" w:eastAsia="Times New Roman" w:hAnsi="Arial" w:cs="Times New Roman"/>
          <w:sz w:val="24"/>
          <w:szCs w:val="24"/>
          <w:lang w:val="en-GB"/>
        </w:rPr>
        <w:t xml:space="preserve">own </w:t>
      </w:r>
      <w:r w:rsidR="00BB03B0">
        <w:rPr>
          <w:rFonts w:ascii="Arial" w:eastAsia="Times New Roman" w:hAnsi="Arial" w:cs="Times New Roman"/>
          <w:sz w:val="24"/>
          <w:szCs w:val="24"/>
          <w:lang w:val="en-GB"/>
        </w:rPr>
        <w:t>devices and to resort to speculation and conjecture</w:t>
      </w:r>
      <w:r w:rsidR="00C44C1C">
        <w:rPr>
          <w:rFonts w:ascii="Arial" w:eastAsia="Times New Roman" w:hAnsi="Arial" w:cs="Times New Roman"/>
          <w:sz w:val="24"/>
          <w:szCs w:val="24"/>
          <w:lang w:val="en-GB"/>
        </w:rPr>
        <w:t>: Which one is it?</w:t>
      </w:r>
    </w:p>
    <w:p w14:paraId="63DBA066" w14:textId="77777777" w:rsidR="00C44C1C" w:rsidRPr="00C44C1C" w:rsidRDefault="00C44C1C" w:rsidP="00C44C1C">
      <w:pPr>
        <w:spacing w:after="0" w:line="480" w:lineRule="auto"/>
        <w:jc w:val="both"/>
        <w:rPr>
          <w:rFonts w:ascii="Arial" w:eastAsia="Times New Roman" w:hAnsi="Arial" w:cs="Times New Roman"/>
          <w:sz w:val="24"/>
          <w:szCs w:val="24"/>
          <w:lang w:val="en-GB"/>
        </w:rPr>
      </w:pPr>
    </w:p>
    <w:p w14:paraId="3F7A66CA" w14:textId="578304F8" w:rsidR="00BB03B0" w:rsidRDefault="00BB03B0"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The work history which the </w:t>
      </w:r>
      <w:r w:rsidR="003268AC">
        <w:rPr>
          <w:rFonts w:ascii="Arial" w:eastAsia="Times New Roman" w:hAnsi="Arial" w:cs="Times New Roman"/>
          <w:sz w:val="24"/>
          <w:szCs w:val="24"/>
          <w:lang w:val="en-GB"/>
        </w:rPr>
        <w:t>C</w:t>
      </w:r>
      <w:r>
        <w:rPr>
          <w:rFonts w:ascii="Arial" w:eastAsia="Times New Roman" w:hAnsi="Arial" w:cs="Times New Roman"/>
          <w:sz w:val="24"/>
          <w:szCs w:val="24"/>
          <w:lang w:val="en-GB"/>
        </w:rPr>
        <w:t xml:space="preserve">linical </w:t>
      </w:r>
      <w:r w:rsidR="003268AC">
        <w:rPr>
          <w:rFonts w:ascii="Arial" w:eastAsia="Times New Roman" w:hAnsi="Arial" w:cs="Times New Roman"/>
          <w:sz w:val="24"/>
          <w:szCs w:val="24"/>
          <w:lang w:val="en-GB"/>
        </w:rPr>
        <w:t>P</w:t>
      </w:r>
      <w:r>
        <w:rPr>
          <w:rFonts w:ascii="Arial" w:eastAsia="Times New Roman" w:hAnsi="Arial" w:cs="Times New Roman"/>
          <w:sz w:val="24"/>
          <w:szCs w:val="24"/>
          <w:lang w:val="en-GB"/>
        </w:rPr>
        <w:t>sychologist (Mrs Mokgatlhe) sets out differ</w:t>
      </w:r>
      <w:r w:rsidR="003268AC">
        <w:rPr>
          <w:rFonts w:ascii="Arial" w:eastAsia="Times New Roman" w:hAnsi="Arial" w:cs="Times New Roman"/>
          <w:sz w:val="24"/>
          <w:szCs w:val="24"/>
          <w:lang w:val="en-GB"/>
        </w:rPr>
        <w:t>s</w:t>
      </w:r>
      <w:r>
        <w:rPr>
          <w:rFonts w:ascii="Arial" w:eastAsia="Times New Roman" w:hAnsi="Arial" w:cs="Times New Roman"/>
          <w:sz w:val="24"/>
          <w:szCs w:val="24"/>
          <w:lang w:val="en-GB"/>
        </w:rPr>
        <w:t xml:space="preserve"> from that of Dr Malulele-Baloyi (</w:t>
      </w:r>
      <w:r w:rsidR="003268AC">
        <w:rPr>
          <w:rFonts w:ascii="Arial" w:eastAsia="Times New Roman" w:hAnsi="Arial" w:cs="Times New Roman"/>
          <w:sz w:val="24"/>
          <w:szCs w:val="24"/>
          <w:lang w:val="en-GB"/>
        </w:rPr>
        <w:t>P</w:t>
      </w:r>
      <w:r>
        <w:rPr>
          <w:rFonts w:ascii="Arial" w:eastAsia="Times New Roman" w:hAnsi="Arial" w:cs="Times New Roman"/>
          <w:sz w:val="24"/>
          <w:szCs w:val="24"/>
          <w:lang w:val="en-GB"/>
        </w:rPr>
        <w:t>hysiotherapist) as set out above. To this end, she reports that the Plaintiff commenced work for the National Intelligence Agency in 1996 and not 1999, as reported by the physiotherapist.</w:t>
      </w:r>
      <w:r w:rsidR="00C44C1C">
        <w:rPr>
          <w:rFonts w:ascii="Arial" w:eastAsia="Times New Roman" w:hAnsi="Arial" w:cs="Times New Roman"/>
          <w:sz w:val="24"/>
          <w:szCs w:val="24"/>
          <w:lang w:val="en-GB"/>
        </w:rPr>
        <w:t xml:space="preserve"> </w:t>
      </w:r>
      <w:r>
        <w:rPr>
          <w:rFonts w:ascii="Arial" w:eastAsia="Times New Roman" w:hAnsi="Arial" w:cs="Times New Roman"/>
          <w:sz w:val="24"/>
          <w:szCs w:val="24"/>
          <w:lang w:val="en-GB"/>
        </w:rPr>
        <w:t xml:space="preserve"> </w:t>
      </w:r>
    </w:p>
    <w:p w14:paraId="6A73032A" w14:textId="77777777" w:rsidR="00715602" w:rsidRPr="00715602" w:rsidRDefault="00715602" w:rsidP="00715602">
      <w:pPr>
        <w:pStyle w:val="ListParagraph"/>
        <w:rPr>
          <w:rFonts w:ascii="Arial" w:eastAsia="Times New Roman" w:hAnsi="Arial" w:cs="Times New Roman"/>
          <w:sz w:val="24"/>
          <w:szCs w:val="24"/>
          <w:lang w:val="en-GB"/>
        </w:rPr>
      </w:pPr>
    </w:p>
    <w:p w14:paraId="10716D19" w14:textId="4B86F53A" w:rsidR="00715602" w:rsidRDefault="00715602"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Dr Maluleke-Baloyi (</w:t>
      </w:r>
      <w:r w:rsidR="005E7758">
        <w:rPr>
          <w:rFonts w:ascii="Arial" w:eastAsia="Times New Roman" w:hAnsi="Arial" w:cs="Times New Roman"/>
          <w:sz w:val="24"/>
          <w:szCs w:val="24"/>
          <w:lang w:val="en-GB"/>
        </w:rPr>
        <w:t>P</w:t>
      </w:r>
      <w:r>
        <w:rPr>
          <w:rFonts w:ascii="Arial" w:eastAsia="Times New Roman" w:hAnsi="Arial" w:cs="Times New Roman"/>
          <w:sz w:val="24"/>
          <w:szCs w:val="24"/>
          <w:lang w:val="en-GB"/>
        </w:rPr>
        <w:t xml:space="preserve">hysiotherapist) alluded to a motor vehicle in which the Plaintiff was involved in, some time ago in 1996, which necessitated hospital treatment. Dr Maluleke-Baloyi, without any supporting facts and without investigating the veracity of the Plaintiff’s </w:t>
      </w:r>
      <w:r w:rsidRPr="00BF71C0">
        <w:rPr>
          <w:rFonts w:ascii="Arial" w:eastAsia="Times New Roman" w:hAnsi="Arial" w:cs="Times New Roman"/>
          <w:i/>
          <w:iCs/>
          <w:sz w:val="24"/>
          <w:szCs w:val="24"/>
          <w:lang w:val="en-GB"/>
        </w:rPr>
        <w:t>ipse dixit</w:t>
      </w:r>
      <w:r>
        <w:rPr>
          <w:rFonts w:ascii="Arial" w:eastAsia="Times New Roman" w:hAnsi="Arial" w:cs="Times New Roman"/>
          <w:sz w:val="24"/>
          <w:szCs w:val="24"/>
          <w:lang w:val="en-GB"/>
        </w:rPr>
        <w:t>, records in her report that in the previous accident, the Plaintiff suffered only bruises and was treated at the Kopanong hospital but not admitted. Dr Kumbirai</w:t>
      </w:r>
      <w:r w:rsidR="00C44C1C">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to the contrary</w:t>
      </w:r>
      <w:r w:rsidR="00C44C1C">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recorded in his report that ‘</w:t>
      </w:r>
      <w:r w:rsidRPr="00932838">
        <w:rPr>
          <w:rFonts w:ascii="Arial" w:eastAsia="Times New Roman" w:hAnsi="Arial" w:cs="Times New Roman"/>
          <w:i/>
          <w:iCs/>
          <w:sz w:val="24"/>
          <w:szCs w:val="24"/>
          <w:lang w:val="en-GB"/>
        </w:rPr>
        <w:t>the claimant informs me that this is his first motor vehicle accident</w:t>
      </w:r>
      <w:r>
        <w:rPr>
          <w:rFonts w:ascii="Arial" w:eastAsia="Times New Roman" w:hAnsi="Arial" w:cs="Times New Roman"/>
          <w:sz w:val="24"/>
          <w:szCs w:val="24"/>
          <w:lang w:val="en-GB"/>
        </w:rPr>
        <w:t>’. Dr Segwapa (</w:t>
      </w:r>
      <w:r w:rsidR="005E7758">
        <w:rPr>
          <w:rFonts w:ascii="Arial" w:eastAsia="Times New Roman" w:hAnsi="Arial" w:cs="Times New Roman"/>
          <w:sz w:val="24"/>
          <w:szCs w:val="24"/>
          <w:lang w:val="en-GB"/>
        </w:rPr>
        <w:t>N</w:t>
      </w:r>
      <w:r>
        <w:rPr>
          <w:rFonts w:ascii="Arial" w:eastAsia="Times New Roman" w:hAnsi="Arial" w:cs="Times New Roman"/>
          <w:sz w:val="24"/>
          <w:szCs w:val="24"/>
          <w:lang w:val="en-GB"/>
        </w:rPr>
        <w:t xml:space="preserve">euro </w:t>
      </w:r>
      <w:r w:rsidR="005E7758">
        <w:rPr>
          <w:rFonts w:ascii="Arial" w:eastAsia="Times New Roman" w:hAnsi="Arial" w:cs="Times New Roman"/>
          <w:sz w:val="24"/>
          <w:szCs w:val="24"/>
          <w:lang w:val="en-GB"/>
        </w:rPr>
        <w:t>S</w:t>
      </w:r>
      <w:r>
        <w:rPr>
          <w:rFonts w:ascii="Arial" w:eastAsia="Times New Roman" w:hAnsi="Arial" w:cs="Times New Roman"/>
          <w:sz w:val="24"/>
          <w:szCs w:val="24"/>
          <w:lang w:val="en-GB"/>
        </w:rPr>
        <w:t>urgeon) similarly record</w:t>
      </w:r>
      <w:r w:rsidR="005E7758">
        <w:rPr>
          <w:rFonts w:ascii="Arial" w:eastAsia="Times New Roman" w:hAnsi="Arial" w:cs="Times New Roman"/>
          <w:sz w:val="24"/>
          <w:szCs w:val="24"/>
          <w:lang w:val="en-GB"/>
        </w:rPr>
        <w:t>ed</w:t>
      </w:r>
      <w:r>
        <w:rPr>
          <w:rFonts w:ascii="Arial" w:eastAsia="Times New Roman" w:hAnsi="Arial" w:cs="Times New Roman"/>
          <w:sz w:val="24"/>
          <w:szCs w:val="24"/>
          <w:lang w:val="en-GB"/>
        </w:rPr>
        <w:t xml:space="preserve"> that ‘</w:t>
      </w:r>
      <w:r w:rsidRPr="001A65FD">
        <w:rPr>
          <w:rFonts w:ascii="Arial" w:eastAsia="Times New Roman" w:hAnsi="Arial" w:cs="Times New Roman"/>
          <w:i/>
          <w:iCs/>
          <w:sz w:val="24"/>
          <w:szCs w:val="24"/>
          <w:lang w:val="en-GB"/>
        </w:rPr>
        <w:t>this is the only accident he was ever involved in</w:t>
      </w:r>
      <w:r>
        <w:rPr>
          <w:rFonts w:ascii="Arial" w:eastAsia="Times New Roman" w:hAnsi="Arial" w:cs="Times New Roman"/>
          <w:sz w:val="24"/>
          <w:szCs w:val="24"/>
          <w:lang w:val="en-GB"/>
        </w:rPr>
        <w:t>’. To the clinical psychologist, Mrs Banti Mokgathe</w:t>
      </w:r>
      <w:r w:rsidR="00C44C1C">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the Plaintiff </w:t>
      </w:r>
      <w:r w:rsidRPr="003D0492">
        <w:rPr>
          <w:rFonts w:ascii="Arial" w:eastAsia="Times New Roman" w:hAnsi="Arial" w:cs="Times New Roman"/>
          <w:i/>
          <w:iCs/>
          <w:sz w:val="24"/>
          <w:szCs w:val="24"/>
          <w:lang w:val="en-GB"/>
        </w:rPr>
        <w:t>‘reported that he has not been involved in any other accident except for the one under discussion</w:t>
      </w:r>
      <w:r>
        <w:rPr>
          <w:rFonts w:ascii="Arial" w:eastAsia="Times New Roman" w:hAnsi="Arial" w:cs="Times New Roman"/>
          <w:sz w:val="24"/>
          <w:szCs w:val="24"/>
          <w:lang w:val="en-GB"/>
        </w:rPr>
        <w:t xml:space="preserve">’. </w:t>
      </w:r>
    </w:p>
    <w:p w14:paraId="462C7170" w14:textId="77777777" w:rsidR="00C44C1C" w:rsidRPr="00C44C1C" w:rsidRDefault="00C44C1C" w:rsidP="00C44C1C">
      <w:pPr>
        <w:pStyle w:val="ListParagraph"/>
        <w:rPr>
          <w:rFonts w:ascii="Arial" w:eastAsia="Times New Roman" w:hAnsi="Arial" w:cs="Times New Roman"/>
          <w:sz w:val="24"/>
          <w:szCs w:val="24"/>
          <w:lang w:val="en-GB"/>
        </w:rPr>
      </w:pPr>
    </w:p>
    <w:p w14:paraId="473C3D26" w14:textId="38C07CFB" w:rsidR="00AC50B2" w:rsidRPr="00C210B6" w:rsidRDefault="00C654E7"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Were the Plaintiff to file an affidavit, placing the collateral and other facts advanced to the experts into evidence, t</w:t>
      </w:r>
      <w:r w:rsidR="00C44C1C">
        <w:rPr>
          <w:rFonts w:ascii="Arial" w:eastAsia="Times New Roman" w:hAnsi="Arial" w:cs="Times New Roman"/>
          <w:sz w:val="24"/>
          <w:szCs w:val="24"/>
          <w:lang w:val="en-GB"/>
        </w:rPr>
        <w:t>hese discrepancies</w:t>
      </w:r>
      <w:r w:rsidRPr="00C654E7">
        <w:rPr>
          <w:rFonts w:ascii="Arial" w:eastAsia="Times New Roman" w:hAnsi="Arial" w:cs="Times New Roman"/>
          <w:sz w:val="24"/>
          <w:szCs w:val="24"/>
          <w:lang w:val="en-GB"/>
        </w:rPr>
        <w:t xml:space="preserve"> </w:t>
      </w:r>
      <w:r>
        <w:rPr>
          <w:rFonts w:ascii="Arial" w:eastAsia="Times New Roman" w:hAnsi="Arial" w:cs="Times New Roman"/>
          <w:sz w:val="24"/>
          <w:szCs w:val="24"/>
          <w:lang w:val="en-GB"/>
        </w:rPr>
        <w:t>would have adversely affected the credibility of the Plaintiff.</w:t>
      </w:r>
      <w:r w:rsidR="00C44C1C">
        <w:rPr>
          <w:rFonts w:ascii="Arial" w:eastAsia="Times New Roman" w:hAnsi="Arial" w:cs="Times New Roman"/>
          <w:sz w:val="24"/>
          <w:szCs w:val="24"/>
          <w:lang w:val="en-GB"/>
        </w:rPr>
        <w:t xml:space="preserve"> </w:t>
      </w:r>
      <w:r>
        <w:rPr>
          <w:rFonts w:ascii="Arial" w:eastAsia="Times New Roman" w:hAnsi="Arial" w:cs="Times New Roman"/>
          <w:sz w:val="24"/>
          <w:szCs w:val="24"/>
          <w:lang w:val="en-GB"/>
        </w:rPr>
        <w:t>The Plaintiff did however file affidavits, placing the expert</w:t>
      </w:r>
      <w:r w:rsidR="005E7758">
        <w:rPr>
          <w:rFonts w:ascii="Arial" w:eastAsia="Times New Roman" w:hAnsi="Arial" w:cs="Times New Roman"/>
          <w:sz w:val="24"/>
          <w:szCs w:val="24"/>
          <w:lang w:val="en-GB"/>
        </w:rPr>
        <w:t>s’</w:t>
      </w:r>
      <w:r>
        <w:rPr>
          <w:rFonts w:ascii="Arial" w:eastAsia="Times New Roman" w:hAnsi="Arial" w:cs="Times New Roman"/>
          <w:sz w:val="24"/>
          <w:szCs w:val="24"/>
          <w:lang w:val="en-GB"/>
        </w:rPr>
        <w:t xml:space="preserve"> opinion</w:t>
      </w:r>
      <w:r w:rsidR="005E7758">
        <w:rPr>
          <w:rFonts w:ascii="Arial" w:eastAsia="Times New Roman" w:hAnsi="Arial" w:cs="Times New Roman"/>
          <w:sz w:val="24"/>
          <w:szCs w:val="24"/>
          <w:lang w:val="en-GB"/>
        </w:rPr>
        <w:t>s</w:t>
      </w:r>
      <w:r>
        <w:rPr>
          <w:rFonts w:ascii="Arial" w:eastAsia="Times New Roman" w:hAnsi="Arial" w:cs="Times New Roman"/>
          <w:sz w:val="24"/>
          <w:szCs w:val="24"/>
          <w:lang w:val="en-GB"/>
        </w:rPr>
        <w:t xml:space="preserve"> before the court, and these expert</w:t>
      </w:r>
      <w:r w:rsidR="005E7758">
        <w:rPr>
          <w:rFonts w:ascii="Arial" w:eastAsia="Times New Roman" w:hAnsi="Arial" w:cs="Times New Roman"/>
          <w:sz w:val="24"/>
          <w:szCs w:val="24"/>
          <w:lang w:val="en-GB"/>
        </w:rPr>
        <w:t>s’</w:t>
      </w:r>
      <w:r>
        <w:rPr>
          <w:rFonts w:ascii="Arial" w:eastAsia="Times New Roman" w:hAnsi="Arial" w:cs="Times New Roman"/>
          <w:sz w:val="24"/>
          <w:szCs w:val="24"/>
          <w:lang w:val="en-GB"/>
        </w:rPr>
        <w:t xml:space="preserve"> opinion</w:t>
      </w:r>
      <w:r w:rsidR="005E7758">
        <w:rPr>
          <w:rFonts w:ascii="Arial" w:eastAsia="Times New Roman" w:hAnsi="Arial" w:cs="Times New Roman"/>
          <w:sz w:val="24"/>
          <w:szCs w:val="24"/>
          <w:lang w:val="en-GB"/>
        </w:rPr>
        <w:t>s</w:t>
      </w:r>
      <w:r>
        <w:rPr>
          <w:rFonts w:ascii="Arial" w:eastAsia="Times New Roman" w:hAnsi="Arial" w:cs="Times New Roman"/>
          <w:sz w:val="24"/>
          <w:szCs w:val="24"/>
          <w:lang w:val="en-GB"/>
        </w:rPr>
        <w:t xml:space="preserve"> contain discrepancies. </w:t>
      </w:r>
      <w:r w:rsidRPr="00C210B6">
        <w:rPr>
          <w:rFonts w:ascii="Arial" w:eastAsia="Times New Roman" w:hAnsi="Arial" w:cs="Times New Roman"/>
          <w:sz w:val="24"/>
          <w:szCs w:val="24"/>
          <w:lang w:val="en-GB"/>
        </w:rPr>
        <w:t>Some discrepancies are</w:t>
      </w:r>
      <w:r w:rsidR="00C44C1C" w:rsidRPr="00C210B6">
        <w:rPr>
          <w:rFonts w:ascii="Arial" w:eastAsia="Times New Roman" w:hAnsi="Arial" w:cs="Times New Roman"/>
          <w:sz w:val="24"/>
          <w:szCs w:val="24"/>
          <w:lang w:val="en-GB"/>
        </w:rPr>
        <w:t xml:space="preserve"> </w:t>
      </w:r>
      <w:r w:rsidRPr="00C210B6">
        <w:rPr>
          <w:rFonts w:ascii="Arial" w:eastAsia="Times New Roman" w:hAnsi="Arial" w:cs="Times New Roman"/>
          <w:sz w:val="24"/>
          <w:szCs w:val="24"/>
          <w:lang w:val="en-GB"/>
        </w:rPr>
        <w:t xml:space="preserve">more </w:t>
      </w:r>
      <w:r w:rsidR="00C44C1C" w:rsidRPr="00C210B6">
        <w:rPr>
          <w:rFonts w:ascii="Arial" w:eastAsia="Times New Roman" w:hAnsi="Arial" w:cs="Times New Roman"/>
          <w:sz w:val="24"/>
          <w:szCs w:val="24"/>
          <w:lang w:val="en-GB"/>
        </w:rPr>
        <w:t xml:space="preserve">material than others, </w:t>
      </w:r>
      <w:r w:rsidRPr="00C210B6">
        <w:rPr>
          <w:rFonts w:ascii="Arial" w:eastAsia="Times New Roman" w:hAnsi="Arial" w:cs="Times New Roman"/>
          <w:sz w:val="24"/>
          <w:szCs w:val="24"/>
          <w:lang w:val="en-GB"/>
        </w:rPr>
        <w:t xml:space="preserve">but most adverse is </w:t>
      </w:r>
      <w:r w:rsidR="00C44C1C" w:rsidRPr="00C210B6">
        <w:rPr>
          <w:rFonts w:ascii="Arial" w:eastAsia="Times New Roman" w:hAnsi="Arial" w:cs="Times New Roman"/>
          <w:sz w:val="24"/>
          <w:szCs w:val="24"/>
          <w:lang w:val="en-GB"/>
        </w:rPr>
        <w:t xml:space="preserve">the </w:t>
      </w:r>
      <w:r w:rsidRPr="00C210B6">
        <w:rPr>
          <w:rFonts w:ascii="Arial" w:eastAsia="Times New Roman" w:hAnsi="Arial" w:cs="Times New Roman"/>
          <w:sz w:val="24"/>
          <w:szCs w:val="24"/>
          <w:lang w:val="en-GB"/>
        </w:rPr>
        <w:t>occupational therapist’s opinion which advance</w:t>
      </w:r>
      <w:r w:rsidR="005E7758" w:rsidRPr="00C210B6">
        <w:rPr>
          <w:rFonts w:ascii="Arial" w:eastAsia="Times New Roman" w:hAnsi="Arial" w:cs="Times New Roman"/>
          <w:sz w:val="24"/>
          <w:szCs w:val="24"/>
          <w:lang w:val="en-GB"/>
        </w:rPr>
        <w:t>s</w:t>
      </w:r>
      <w:r w:rsidRPr="00C210B6">
        <w:rPr>
          <w:rFonts w:ascii="Arial" w:eastAsia="Times New Roman" w:hAnsi="Arial" w:cs="Times New Roman"/>
          <w:sz w:val="24"/>
          <w:szCs w:val="24"/>
          <w:lang w:val="en-GB"/>
        </w:rPr>
        <w:t xml:space="preserve"> that the Plaintiff returned to his pre-accident employment, where his case advanced was to the contrary, that he had been rendered unemployable by the accident, which discrepancy </w:t>
      </w:r>
      <w:r w:rsidR="00AC50B2" w:rsidRPr="00C210B6">
        <w:rPr>
          <w:rFonts w:ascii="Arial" w:eastAsia="Times New Roman" w:hAnsi="Arial" w:cs="Times New Roman"/>
          <w:sz w:val="24"/>
          <w:szCs w:val="24"/>
          <w:lang w:val="en-GB"/>
        </w:rPr>
        <w:t>remained</w:t>
      </w:r>
      <w:r w:rsidRPr="00C210B6">
        <w:rPr>
          <w:rFonts w:ascii="Arial" w:eastAsia="Times New Roman" w:hAnsi="Arial" w:cs="Times New Roman"/>
          <w:sz w:val="24"/>
          <w:szCs w:val="24"/>
          <w:lang w:val="en-GB"/>
        </w:rPr>
        <w:t xml:space="preserve"> </w:t>
      </w:r>
      <w:r w:rsidR="00AC50B2" w:rsidRPr="00C210B6">
        <w:rPr>
          <w:rFonts w:ascii="Arial" w:eastAsia="Times New Roman" w:hAnsi="Arial" w:cs="Times New Roman"/>
          <w:sz w:val="24"/>
          <w:szCs w:val="24"/>
          <w:lang w:val="en-GB"/>
        </w:rPr>
        <w:t>un</w:t>
      </w:r>
      <w:r w:rsidRPr="00C210B6">
        <w:rPr>
          <w:rFonts w:ascii="Arial" w:eastAsia="Times New Roman" w:hAnsi="Arial" w:cs="Times New Roman"/>
          <w:sz w:val="24"/>
          <w:szCs w:val="24"/>
          <w:lang w:val="en-GB"/>
        </w:rPr>
        <w:t>explained</w:t>
      </w:r>
      <w:r w:rsidR="00AC50B2" w:rsidRPr="00C210B6">
        <w:rPr>
          <w:rFonts w:ascii="Arial" w:eastAsia="Times New Roman" w:hAnsi="Arial" w:cs="Times New Roman"/>
          <w:sz w:val="24"/>
          <w:szCs w:val="24"/>
          <w:lang w:val="en-GB"/>
        </w:rPr>
        <w:t>.</w:t>
      </w:r>
    </w:p>
    <w:p w14:paraId="1BDBCF7D" w14:textId="77777777" w:rsidR="00AC50B2" w:rsidRPr="00767B80" w:rsidRDefault="00AC50B2" w:rsidP="00767B80">
      <w:pPr>
        <w:rPr>
          <w:rFonts w:ascii="Arial" w:eastAsia="Times New Roman" w:hAnsi="Arial" w:cs="Times New Roman"/>
          <w:sz w:val="24"/>
          <w:szCs w:val="24"/>
          <w:lang w:val="en-GB"/>
        </w:rPr>
      </w:pPr>
    </w:p>
    <w:p w14:paraId="666EEC47" w14:textId="4EC4EB5E" w:rsidR="00712E31" w:rsidRPr="008326DB" w:rsidRDefault="00CA3212" w:rsidP="008326DB">
      <w:pPr>
        <w:spacing w:after="0" w:line="480" w:lineRule="auto"/>
        <w:jc w:val="both"/>
        <w:rPr>
          <w:rFonts w:ascii="Arial" w:eastAsia="Times New Roman" w:hAnsi="Arial" w:cs="Times New Roman"/>
          <w:i/>
          <w:iCs/>
          <w:sz w:val="24"/>
          <w:szCs w:val="24"/>
          <w:u w:val="single"/>
          <w:lang w:val="en-GB"/>
        </w:rPr>
      </w:pPr>
      <w:r w:rsidRPr="008326DB">
        <w:rPr>
          <w:rFonts w:ascii="Arial" w:eastAsia="Times New Roman" w:hAnsi="Arial" w:cs="Times New Roman"/>
          <w:i/>
          <w:iCs/>
          <w:sz w:val="24"/>
          <w:szCs w:val="24"/>
          <w:u w:val="single"/>
          <w:lang w:val="en-GB"/>
        </w:rPr>
        <w:lastRenderedPageBreak/>
        <w:t>Expert</w:t>
      </w:r>
      <w:r w:rsidR="008326DB">
        <w:rPr>
          <w:rFonts w:ascii="Arial" w:eastAsia="Times New Roman" w:hAnsi="Arial" w:cs="Times New Roman"/>
          <w:i/>
          <w:iCs/>
          <w:sz w:val="24"/>
          <w:szCs w:val="24"/>
          <w:u w:val="single"/>
          <w:lang w:val="en-GB"/>
        </w:rPr>
        <w:t>s</w:t>
      </w:r>
      <w:r w:rsidRPr="008326DB">
        <w:rPr>
          <w:rFonts w:ascii="Arial" w:eastAsia="Times New Roman" w:hAnsi="Arial" w:cs="Times New Roman"/>
          <w:i/>
          <w:iCs/>
          <w:sz w:val="24"/>
          <w:szCs w:val="24"/>
          <w:u w:val="single"/>
          <w:lang w:val="en-GB"/>
        </w:rPr>
        <w:t xml:space="preserve"> must give opinion related to their own disciplines and expertise</w:t>
      </w:r>
    </w:p>
    <w:p w14:paraId="7BEF04CE" w14:textId="6B7D4721" w:rsidR="00905FCD" w:rsidRDefault="003323B8" w:rsidP="00AF6DDF">
      <w:pPr>
        <w:pStyle w:val="ListParagraph"/>
        <w:numPr>
          <w:ilvl w:val="0"/>
          <w:numId w:val="3"/>
        </w:numPr>
        <w:spacing w:after="0" w:line="480" w:lineRule="auto"/>
        <w:jc w:val="both"/>
        <w:rPr>
          <w:rFonts w:ascii="Arial" w:eastAsia="Times New Roman" w:hAnsi="Arial" w:cs="Times New Roman"/>
          <w:sz w:val="24"/>
          <w:szCs w:val="24"/>
          <w:lang w:val="en-GB"/>
        </w:rPr>
      </w:pPr>
      <w:r w:rsidRPr="00CA3212">
        <w:rPr>
          <w:rFonts w:ascii="Arial" w:eastAsia="Times New Roman" w:hAnsi="Arial" w:cs="Times New Roman"/>
          <w:sz w:val="24"/>
          <w:szCs w:val="24"/>
          <w:lang w:val="en-GB"/>
        </w:rPr>
        <w:t xml:space="preserve">Dr Maluleke Baloyi </w:t>
      </w:r>
      <w:r w:rsidR="00CA3212" w:rsidRPr="00CA3212">
        <w:rPr>
          <w:rFonts w:ascii="Arial" w:eastAsia="Times New Roman" w:hAnsi="Arial" w:cs="Times New Roman"/>
          <w:sz w:val="24"/>
          <w:szCs w:val="24"/>
          <w:lang w:val="en-GB"/>
        </w:rPr>
        <w:t>(</w:t>
      </w:r>
      <w:r w:rsidR="005E7758">
        <w:rPr>
          <w:rFonts w:ascii="Arial" w:eastAsia="Times New Roman" w:hAnsi="Arial" w:cs="Times New Roman"/>
          <w:sz w:val="24"/>
          <w:szCs w:val="24"/>
          <w:lang w:val="en-GB"/>
        </w:rPr>
        <w:t>P</w:t>
      </w:r>
      <w:r w:rsidR="00CA3212" w:rsidRPr="00CA3212">
        <w:rPr>
          <w:rFonts w:ascii="Arial" w:eastAsia="Times New Roman" w:hAnsi="Arial" w:cs="Times New Roman"/>
          <w:sz w:val="24"/>
          <w:szCs w:val="24"/>
          <w:lang w:val="en-GB"/>
        </w:rPr>
        <w:t xml:space="preserve">hysiotherapist) </w:t>
      </w:r>
      <w:r w:rsidR="004F5BF2" w:rsidRPr="00CA3212">
        <w:rPr>
          <w:rFonts w:ascii="Arial" w:eastAsia="Times New Roman" w:hAnsi="Arial" w:cs="Times New Roman"/>
          <w:sz w:val="24"/>
          <w:szCs w:val="24"/>
          <w:lang w:val="en-GB"/>
        </w:rPr>
        <w:t xml:space="preserve">reported that the Plaintiff did not return to his </w:t>
      </w:r>
      <w:r w:rsidR="00CA3212">
        <w:rPr>
          <w:rFonts w:ascii="Arial" w:eastAsia="Times New Roman" w:hAnsi="Arial" w:cs="Times New Roman"/>
          <w:sz w:val="24"/>
          <w:szCs w:val="24"/>
          <w:lang w:val="en-GB"/>
        </w:rPr>
        <w:t xml:space="preserve">pre-accident </w:t>
      </w:r>
      <w:r w:rsidR="004F5BF2" w:rsidRPr="00CA3212">
        <w:rPr>
          <w:rFonts w:ascii="Arial" w:eastAsia="Times New Roman" w:hAnsi="Arial" w:cs="Times New Roman"/>
          <w:sz w:val="24"/>
          <w:szCs w:val="24"/>
          <w:lang w:val="en-GB"/>
        </w:rPr>
        <w:t>employment owing to blurry vision and disabling headaches. There is no expert evidence before the court</w:t>
      </w:r>
      <w:r w:rsidR="00060854">
        <w:rPr>
          <w:rFonts w:ascii="Arial" w:eastAsia="Times New Roman" w:hAnsi="Arial" w:cs="Times New Roman"/>
          <w:sz w:val="24"/>
          <w:szCs w:val="24"/>
          <w:lang w:val="en-GB"/>
        </w:rPr>
        <w:t xml:space="preserve"> to the effect</w:t>
      </w:r>
      <w:r w:rsidR="004F5BF2" w:rsidRPr="00CA3212">
        <w:rPr>
          <w:rFonts w:ascii="Arial" w:eastAsia="Times New Roman" w:hAnsi="Arial" w:cs="Times New Roman"/>
          <w:sz w:val="24"/>
          <w:szCs w:val="24"/>
          <w:lang w:val="en-GB"/>
        </w:rPr>
        <w:t xml:space="preserve"> that </w:t>
      </w:r>
      <w:r w:rsidR="00CA3212">
        <w:rPr>
          <w:rFonts w:ascii="Arial" w:eastAsia="Times New Roman" w:hAnsi="Arial" w:cs="Times New Roman"/>
          <w:sz w:val="24"/>
          <w:szCs w:val="24"/>
          <w:lang w:val="en-GB"/>
        </w:rPr>
        <w:t>the Plaintiff’s</w:t>
      </w:r>
      <w:r w:rsidR="004F5BF2" w:rsidRPr="00CA3212">
        <w:rPr>
          <w:rFonts w:ascii="Arial" w:eastAsia="Times New Roman" w:hAnsi="Arial" w:cs="Times New Roman"/>
          <w:sz w:val="24"/>
          <w:szCs w:val="24"/>
          <w:lang w:val="en-GB"/>
        </w:rPr>
        <w:t xml:space="preserve"> eye pathology </w:t>
      </w:r>
      <w:r w:rsidR="001A65FD" w:rsidRPr="00CA3212">
        <w:rPr>
          <w:rFonts w:ascii="Arial" w:eastAsia="Times New Roman" w:hAnsi="Arial" w:cs="Times New Roman"/>
          <w:sz w:val="24"/>
          <w:szCs w:val="24"/>
          <w:lang w:val="en-GB"/>
        </w:rPr>
        <w:t>is</w:t>
      </w:r>
      <w:r w:rsidR="004F5BF2" w:rsidRPr="00CA3212">
        <w:rPr>
          <w:rFonts w:ascii="Arial" w:eastAsia="Times New Roman" w:hAnsi="Arial" w:cs="Times New Roman"/>
          <w:sz w:val="24"/>
          <w:szCs w:val="24"/>
          <w:lang w:val="en-GB"/>
        </w:rPr>
        <w:t xml:space="preserve"> accident related.</w:t>
      </w:r>
      <w:r w:rsidR="006F732C" w:rsidRPr="00CA3212">
        <w:rPr>
          <w:rFonts w:ascii="Arial" w:eastAsia="Times New Roman" w:hAnsi="Arial" w:cs="Times New Roman"/>
          <w:sz w:val="24"/>
          <w:szCs w:val="24"/>
          <w:lang w:val="en-GB"/>
        </w:rPr>
        <w:t xml:space="preserve"> </w:t>
      </w:r>
      <w:r w:rsidR="00CA3212">
        <w:rPr>
          <w:rFonts w:ascii="Arial" w:eastAsia="Times New Roman" w:hAnsi="Arial" w:cs="Times New Roman"/>
          <w:sz w:val="24"/>
          <w:szCs w:val="24"/>
          <w:lang w:val="en-GB"/>
        </w:rPr>
        <w:t xml:space="preserve">Despite this, </w:t>
      </w:r>
      <w:r w:rsidR="006F732C" w:rsidRPr="00CA3212">
        <w:rPr>
          <w:rFonts w:ascii="Arial" w:eastAsia="Times New Roman" w:hAnsi="Arial" w:cs="Times New Roman"/>
          <w:sz w:val="24"/>
          <w:szCs w:val="24"/>
          <w:lang w:val="en-GB"/>
        </w:rPr>
        <w:t xml:space="preserve">Dr Maluleke-Baloyi goes on to </w:t>
      </w:r>
      <w:r w:rsidR="00BF71C0" w:rsidRPr="00CA3212">
        <w:rPr>
          <w:rFonts w:ascii="Arial" w:eastAsia="Times New Roman" w:hAnsi="Arial" w:cs="Times New Roman"/>
          <w:sz w:val="24"/>
          <w:szCs w:val="24"/>
          <w:lang w:val="en-GB"/>
        </w:rPr>
        <w:t>report under the heading ‘</w:t>
      </w:r>
      <w:r w:rsidR="006F732C" w:rsidRPr="00CA3212">
        <w:rPr>
          <w:rFonts w:ascii="Arial" w:eastAsia="Times New Roman" w:hAnsi="Arial" w:cs="Times New Roman"/>
          <w:i/>
          <w:iCs/>
          <w:sz w:val="24"/>
          <w:szCs w:val="24"/>
          <w:lang w:val="en-GB"/>
        </w:rPr>
        <w:t>diagnos</w:t>
      </w:r>
      <w:r w:rsidR="00BF71C0" w:rsidRPr="00CA3212">
        <w:rPr>
          <w:rFonts w:ascii="Arial" w:eastAsia="Times New Roman" w:hAnsi="Arial" w:cs="Times New Roman"/>
          <w:i/>
          <w:iCs/>
          <w:sz w:val="24"/>
          <w:szCs w:val="24"/>
          <w:lang w:val="en-GB"/>
        </w:rPr>
        <w:t>is</w:t>
      </w:r>
      <w:r w:rsidR="00BF71C0" w:rsidRPr="00CA3212">
        <w:rPr>
          <w:rFonts w:ascii="Arial" w:eastAsia="Times New Roman" w:hAnsi="Arial" w:cs="Times New Roman"/>
          <w:sz w:val="24"/>
          <w:szCs w:val="24"/>
          <w:lang w:val="en-GB"/>
        </w:rPr>
        <w:t>’</w:t>
      </w:r>
      <w:r w:rsidR="006F732C" w:rsidRPr="00CA3212">
        <w:rPr>
          <w:rFonts w:ascii="Arial" w:eastAsia="Times New Roman" w:hAnsi="Arial" w:cs="Times New Roman"/>
          <w:sz w:val="24"/>
          <w:szCs w:val="24"/>
          <w:lang w:val="en-GB"/>
        </w:rPr>
        <w:t xml:space="preserve"> </w:t>
      </w:r>
      <w:r w:rsidR="00060854">
        <w:rPr>
          <w:rFonts w:ascii="Arial" w:eastAsia="Times New Roman" w:hAnsi="Arial" w:cs="Times New Roman"/>
          <w:sz w:val="24"/>
          <w:szCs w:val="24"/>
          <w:lang w:val="en-GB"/>
        </w:rPr>
        <w:t>that the Plaintiff suffered a</w:t>
      </w:r>
      <w:r w:rsidR="006F732C" w:rsidRPr="00CA3212">
        <w:rPr>
          <w:rFonts w:ascii="Arial" w:eastAsia="Times New Roman" w:hAnsi="Arial" w:cs="Times New Roman"/>
          <w:sz w:val="24"/>
          <w:szCs w:val="24"/>
          <w:lang w:val="en-GB"/>
        </w:rPr>
        <w:t xml:space="preserve"> </w:t>
      </w:r>
      <w:r w:rsidR="00BF71C0" w:rsidRPr="00CA3212">
        <w:rPr>
          <w:rFonts w:ascii="Arial" w:eastAsia="Times New Roman" w:hAnsi="Arial" w:cs="Times New Roman"/>
          <w:sz w:val="24"/>
          <w:szCs w:val="24"/>
          <w:lang w:val="en-GB"/>
        </w:rPr>
        <w:t>‘</w:t>
      </w:r>
      <w:r w:rsidR="006F732C" w:rsidRPr="00CA3212">
        <w:rPr>
          <w:rFonts w:ascii="Arial" w:eastAsia="Times New Roman" w:hAnsi="Arial" w:cs="Times New Roman"/>
          <w:i/>
          <w:iCs/>
          <w:sz w:val="24"/>
          <w:szCs w:val="24"/>
          <w:lang w:val="en-GB"/>
        </w:rPr>
        <w:t>left eye soft tissue injury with broken glass</w:t>
      </w:r>
      <w:r w:rsidR="00BF71C0" w:rsidRPr="00CA3212">
        <w:rPr>
          <w:rFonts w:ascii="Arial" w:eastAsia="Times New Roman" w:hAnsi="Arial" w:cs="Times New Roman"/>
          <w:i/>
          <w:iCs/>
          <w:sz w:val="24"/>
          <w:szCs w:val="24"/>
          <w:lang w:val="en-GB"/>
        </w:rPr>
        <w:t>es</w:t>
      </w:r>
      <w:r w:rsidR="00BF71C0" w:rsidRPr="00CA3212">
        <w:rPr>
          <w:rFonts w:ascii="Arial" w:eastAsia="Times New Roman" w:hAnsi="Arial" w:cs="Times New Roman"/>
          <w:sz w:val="24"/>
          <w:szCs w:val="24"/>
          <w:lang w:val="en-GB"/>
        </w:rPr>
        <w:t>’</w:t>
      </w:r>
      <w:r w:rsidR="006F732C" w:rsidRPr="00CA3212">
        <w:rPr>
          <w:rFonts w:ascii="Arial" w:eastAsia="Times New Roman" w:hAnsi="Arial" w:cs="Times New Roman"/>
          <w:sz w:val="24"/>
          <w:szCs w:val="24"/>
          <w:lang w:val="en-GB"/>
        </w:rPr>
        <w:t>, despite the fact that she is not qualified to make such a diagnosis</w:t>
      </w:r>
      <w:r w:rsidR="00BF71C0" w:rsidRPr="00CA3212">
        <w:rPr>
          <w:rFonts w:ascii="Arial" w:eastAsia="Times New Roman" w:hAnsi="Arial" w:cs="Times New Roman"/>
          <w:sz w:val="24"/>
          <w:szCs w:val="24"/>
          <w:lang w:val="en-GB"/>
        </w:rPr>
        <w:t xml:space="preserve"> and despite the fact that she</w:t>
      </w:r>
      <w:r w:rsidR="006F732C" w:rsidRPr="00CA3212">
        <w:rPr>
          <w:rFonts w:ascii="Arial" w:eastAsia="Times New Roman" w:hAnsi="Arial" w:cs="Times New Roman"/>
          <w:sz w:val="24"/>
          <w:szCs w:val="24"/>
          <w:lang w:val="en-GB"/>
        </w:rPr>
        <w:t xml:space="preserve"> </w:t>
      </w:r>
      <w:r w:rsidR="005E7758" w:rsidRPr="00B97E20">
        <w:rPr>
          <w:rFonts w:ascii="Arial" w:eastAsia="Times New Roman" w:hAnsi="Arial" w:cs="Times New Roman"/>
          <w:sz w:val="24"/>
          <w:szCs w:val="24"/>
          <w:lang w:val="en-GB"/>
        </w:rPr>
        <w:t>did</w:t>
      </w:r>
      <w:r w:rsidR="005E7758">
        <w:rPr>
          <w:rFonts w:ascii="Arial" w:eastAsia="Times New Roman" w:hAnsi="Arial" w:cs="Times New Roman"/>
          <w:sz w:val="24"/>
          <w:szCs w:val="24"/>
          <w:lang w:val="en-GB"/>
        </w:rPr>
        <w:t xml:space="preserve"> </w:t>
      </w:r>
      <w:r w:rsidR="006F732C" w:rsidRPr="00CA3212">
        <w:rPr>
          <w:rFonts w:ascii="Arial" w:eastAsia="Times New Roman" w:hAnsi="Arial" w:cs="Times New Roman"/>
          <w:sz w:val="24"/>
          <w:szCs w:val="24"/>
          <w:lang w:val="en-GB"/>
        </w:rPr>
        <w:t xml:space="preserve">point out </w:t>
      </w:r>
      <w:r w:rsidR="00905FCD" w:rsidRPr="00CA3212">
        <w:rPr>
          <w:rFonts w:ascii="Arial" w:eastAsia="Times New Roman" w:hAnsi="Arial" w:cs="Times New Roman"/>
          <w:sz w:val="24"/>
          <w:szCs w:val="24"/>
          <w:lang w:val="en-GB"/>
        </w:rPr>
        <w:t>that an expert opinion is necessary regarding the headaches and the left eye blurry vision</w:t>
      </w:r>
      <w:r w:rsidR="00BF71C0" w:rsidRPr="00CA3212">
        <w:rPr>
          <w:rFonts w:ascii="Arial" w:eastAsia="Times New Roman" w:hAnsi="Arial" w:cs="Times New Roman"/>
          <w:sz w:val="24"/>
          <w:szCs w:val="24"/>
          <w:lang w:val="en-GB"/>
        </w:rPr>
        <w:t>.</w:t>
      </w:r>
      <w:r w:rsidR="00905FCD" w:rsidRPr="00CA3212">
        <w:rPr>
          <w:rFonts w:ascii="Arial" w:eastAsia="Times New Roman" w:hAnsi="Arial" w:cs="Times New Roman"/>
          <w:sz w:val="24"/>
          <w:szCs w:val="24"/>
          <w:lang w:val="en-GB"/>
        </w:rPr>
        <w:t xml:space="preserve"> </w:t>
      </w:r>
      <w:r w:rsidR="00CA3212">
        <w:rPr>
          <w:rFonts w:ascii="Arial" w:eastAsia="Times New Roman" w:hAnsi="Arial" w:cs="Times New Roman"/>
          <w:sz w:val="24"/>
          <w:szCs w:val="24"/>
          <w:lang w:val="en-GB"/>
        </w:rPr>
        <w:t xml:space="preserve">Even if it is to be accepted, in fairness to the expert, that she </w:t>
      </w:r>
      <w:r w:rsidR="00767B80">
        <w:rPr>
          <w:rFonts w:ascii="Arial" w:eastAsia="Times New Roman" w:hAnsi="Arial" w:cs="Times New Roman"/>
          <w:sz w:val="24"/>
          <w:szCs w:val="24"/>
          <w:lang w:val="en-GB"/>
        </w:rPr>
        <w:t>did mention in her report</w:t>
      </w:r>
      <w:r w:rsidR="00CA3212">
        <w:rPr>
          <w:rFonts w:ascii="Arial" w:eastAsia="Times New Roman" w:hAnsi="Arial" w:cs="Times New Roman"/>
          <w:sz w:val="24"/>
          <w:szCs w:val="24"/>
          <w:lang w:val="en-GB"/>
        </w:rPr>
        <w:t xml:space="preserve"> that an opinion from the relevant expert is outstanding, </w:t>
      </w:r>
      <w:r w:rsidR="00BF71C0" w:rsidRPr="00CA3212">
        <w:rPr>
          <w:rFonts w:ascii="Arial" w:eastAsia="Times New Roman" w:hAnsi="Arial" w:cs="Times New Roman"/>
          <w:sz w:val="24"/>
          <w:szCs w:val="24"/>
          <w:lang w:val="en-GB"/>
        </w:rPr>
        <w:t xml:space="preserve">she </w:t>
      </w:r>
      <w:r w:rsidR="00905FCD" w:rsidRPr="00CA3212">
        <w:rPr>
          <w:rFonts w:ascii="Arial" w:eastAsia="Times New Roman" w:hAnsi="Arial" w:cs="Times New Roman"/>
          <w:sz w:val="24"/>
          <w:szCs w:val="24"/>
          <w:lang w:val="en-GB"/>
        </w:rPr>
        <w:t>does not qualify her report to be an interim</w:t>
      </w:r>
      <w:r w:rsidR="00767B80">
        <w:rPr>
          <w:rFonts w:ascii="Arial" w:eastAsia="Times New Roman" w:hAnsi="Arial" w:cs="Times New Roman"/>
          <w:sz w:val="24"/>
          <w:szCs w:val="24"/>
          <w:lang w:val="en-GB"/>
        </w:rPr>
        <w:t xml:space="preserve"> report</w:t>
      </w:r>
      <w:r w:rsidR="00CA3212">
        <w:rPr>
          <w:rFonts w:ascii="Arial" w:eastAsia="Times New Roman" w:hAnsi="Arial" w:cs="Times New Roman"/>
          <w:sz w:val="24"/>
          <w:szCs w:val="24"/>
          <w:lang w:val="en-GB"/>
        </w:rPr>
        <w:t>, to be revisited once such an opinion, presumably by an ophthalmologist, had been solicited.</w:t>
      </w:r>
    </w:p>
    <w:p w14:paraId="694A0B74" w14:textId="77777777" w:rsidR="00A64E53" w:rsidRPr="00060854" w:rsidRDefault="00A64E53" w:rsidP="00060854">
      <w:pPr>
        <w:rPr>
          <w:rFonts w:ascii="Arial" w:eastAsia="Times New Roman" w:hAnsi="Arial" w:cs="Times New Roman"/>
          <w:sz w:val="24"/>
          <w:szCs w:val="24"/>
          <w:lang w:val="en-GB"/>
        </w:rPr>
      </w:pPr>
    </w:p>
    <w:p w14:paraId="7DB414AC" w14:textId="60AE52C6" w:rsidR="00C210B6" w:rsidRPr="00C210B6" w:rsidRDefault="00A64E53"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To the clinical psychologist, Mrs Banti Mokgatlhe, the Plaintiff reported to have suffered </w:t>
      </w:r>
      <w:r w:rsidRPr="00320881">
        <w:rPr>
          <w:rFonts w:ascii="Arial" w:eastAsia="Times New Roman" w:hAnsi="Arial" w:cs="Times New Roman"/>
          <w:i/>
          <w:iCs/>
          <w:sz w:val="24"/>
          <w:szCs w:val="24"/>
          <w:lang w:val="en-GB"/>
        </w:rPr>
        <w:t>inter alia</w:t>
      </w:r>
      <w:r>
        <w:rPr>
          <w:rFonts w:ascii="Arial" w:eastAsia="Times New Roman" w:hAnsi="Arial" w:cs="Times New Roman"/>
          <w:sz w:val="24"/>
          <w:szCs w:val="24"/>
          <w:lang w:val="en-GB"/>
        </w:rPr>
        <w:t xml:space="preserve">, a left pelvic fracture and a closed fracture of the left arm. Neither of these injuries have been diagnosed by the orthopaedic surgeon, </w:t>
      </w:r>
      <w:r w:rsidR="00C210B6">
        <w:rPr>
          <w:rFonts w:ascii="Arial" w:eastAsia="Times New Roman" w:hAnsi="Arial" w:cs="Times New Roman"/>
          <w:sz w:val="24"/>
          <w:szCs w:val="24"/>
          <w:lang w:val="en-GB"/>
        </w:rPr>
        <w:t>whose</w:t>
      </w:r>
      <w:r>
        <w:rPr>
          <w:rFonts w:ascii="Arial" w:eastAsia="Times New Roman" w:hAnsi="Arial" w:cs="Times New Roman"/>
          <w:sz w:val="24"/>
          <w:szCs w:val="24"/>
          <w:lang w:val="en-GB"/>
        </w:rPr>
        <w:t xml:space="preserve"> report was not provided to the clinical psychologist. Without these injuries appearing in the hospital records, and without an opinion by an orthopaedic surgeon, Mrs Banti Mokgatlhe was content to accept these injuries without more and </w:t>
      </w:r>
      <w:r w:rsidRPr="00B97E20">
        <w:rPr>
          <w:rFonts w:ascii="Arial" w:eastAsia="Times New Roman" w:hAnsi="Arial" w:cs="Times New Roman"/>
          <w:sz w:val="24"/>
          <w:szCs w:val="24"/>
          <w:lang w:val="en-GB"/>
        </w:rPr>
        <w:t xml:space="preserve">similarly </w:t>
      </w:r>
      <w:r w:rsidR="005E7758" w:rsidRPr="00B97E20">
        <w:rPr>
          <w:rFonts w:ascii="Arial" w:eastAsia="Times New Roman" w:hAnsi="Arial" w:cs="Times New Roman"/>
          <w:sz w:val="24"/>
          <w:szCs w:val="24"/>
          <w:lang w:val="en-GB"/>
        </w:rPr>
        <w:t>did not</w:t>
      </w:r>
      <w:r w:rsidR="005E7758">
        <w:rPr>
          <w:rFonts w:ascii="Arial" w:eastAsia="Times New Roman" w:hAnsi="Arial" w:cs="Times New Roman"/>
          <w:sz w:val="24"/>
          <w:szCs w:val="24"/>
          <w:lang w:val="en-GB"/>
        </w:rPr>
        <w:t xml:space="preserve"> </w:t>
      </w:r>
      <w:r>
        <w:rPr>
          <w:rFonts w:ascii="Arial" w:eastAsia="Times New Roman" w:hAnsi="Arial" w:cs="Times New Roman"/>
          <w:sz w:val="24"/>
          <w:szCs w:val="24"/>
          <w:lang w:val="en-GB"/>
        </w:rPr>
        <w:t>suggest that an orthopaedic opinion be solicited</w:t>
      </w:r>
      <w:r w:rsidR="00C210B6">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w:t>
      </w:r>
      <w:r w:rsidR="00C210B6">
        <w:rPr>
          <w:rFonts w:ascii="Arial" w:eastAsia="Times New Roman" w:hAnsi="Arial" w:cs="Times New Roman"/>
          <w:sz w:val="24"/>
          <w:szCs w:val="24"/>
          <w:lang w:val="en-GB"/>
        </w:rPr>
        <w:t>Her</w:t>
      </w:r>
      <w:r w:rsidR="00060854">
        <w:rPr>
          <w:rFonts w:ascii="Arial" w:eastAsia="Times New Roman" w:hAnsi="Arial" w:cs="Times New Roman"/>
          <w:sz w:val="24"/>
          <w:szCs w:val="24"/>
          <w:lang w:val="en-GB"/>
        </w:rPr>
        <w:t xml:space="preserve"> report was</w:t>
      </w:r>
      <w:r>
        <w:rPr>
          <w:rFonts w:ascii="Arial" w:eastAsia="Times New Roman" w:hAnsi="Arial" w:cs="Times New Roman"/>
          <w:sz w:val="24"/>
          <w:szCs w:val="24"/>
          <w:lang w:val="en-GB"/>
        </w:rPr>
        <w:t xml:space="preserve"> </w:t>
      </w:r>
      <w:r w:rsidR="00C210B6">
        <w:rPr>
          <w:rFonts w:ascii="Arial" w:eastAsia="Times New Roman" w:hAnsi="Arial" w:cs="Times New Roman"/>
          <w:sz w:val="24"/>
          <w:szCs w:val="24"/>
          <w:lang w:val="en-GB"/>
        </w:rPr>
        <w:t xml:space="preserve">also </w:t>
      </w:r>
      <w:r>
        <w:rPr>
          <w:rFonts w:ascii="Arial" w:eastAsia="Times New Roman" w:hAnsi="Arial" w:cs="Times New Roman"/>
          <w:sz w:val="24"/>
          <w:szCs w:val="24"/>
          <w:lang w:val="en-GB"/>
        </w:rPr>
        <w:t xml:space="preserve">a final </w:t>
      </w:r>
      <w:r w:rsidR="00060854">
        <w:rPr>
          <w:rFonts w:ascii="Arial" w:eastAsia="Times New Roman" w:hAnsi="Arial" w:cs="Times New Roman"/>
          <w:sz w:val="24"/>
          <w:szCs w:val="24"/>
          <w:lang w:val="en-GB"/>
        </w:rPr>
        <w:t>one</w:t>
      </w:r>
      <w:r>
        <w:rPr>
          <w:rFonts w:ascii="Arial" w:eastAsia="Times New Roman" w:hAnsi="Arial" w:cs="Times New Roman"/>
          <w:sz w:val="24"/>
          <w:szCs w:val="24"/>
          <w:lang w:val="en-GB"/>
        </w:rPr>
        <w:t xml:space="preserve">. </w:t>
      </w:r>
    </w:p>
    <w:p w14:paraId="1F4A3A87" w14:textId="77777777" w:rsidR="00C210B6" w:rsidRPr="00C210B6" w:rsidRDefault="00C210B6" w:rsidP="00C210B6">
      <w:pPr>
        <w:pStyle w:val="ListParagraph"/>
        <w:spacing w:after="0" w:line="480" w:lineRule="auto"/>
        <w:ind w:left="360"/>
        <w:jc w:val="both"/>
        <w:rPr>
          <w:rFonts w:ascii="Arial" w:eastAsia="Times New Roman" w:hAnsi="Arial" w:cs="Times New Roman"/>
          <w:sz w:val="24"/>
          <w:szCs w:val="24"/>
          <w:lang w:val="en-GB"/>
        </w:rPr>
      </w:pPr>
    </w:p>
    <w:p w14:paraId="1B983A51" w14:textId="0E613DBB" w:rsidR="00905FCD" w:rsidRDefault="00362D1E"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lastRenderedPageBreak/>
        <w:t>An experts may not go beyond the logic which underwrites the scientific knowledge of the expert’s discipline.</w:t>
      </w:r>
      <w:r>
        <w:rPr>
          <w:rStyle w:val="FootnoteReference"/>
          <w:rFonts w:ascii="Arial" w:eastAsia="Times New Roman" w:hAnsi="Arial" w:cs="Times New Roman"/>
          <w:sz w:val="24"/>
          <w:szCs w:val="24"/>
          <w:lang w:val="en-GB"/>
        </w:rPr>
        <w:footnoteReference w:id="27"/>
      </w:r>
      <w:r>
        <w:rPr>
          <w:rFonts w:ascii="Arial" w:eastAsia="Times New Roman" w:hAnsi="Arial" w:cs="Times New Roman"/>
          <w:sz w:val="24"/>
          <w:szCs w:val="24"/>
          <w:lang w:val="en-GB"/>
        </w:rPr>
        <w:t xml:space="preserve"> This will detract from the value of the evidence.</w:t>
      </w:r>
      <w:r>
        <w:rPr>
          <w:rStyle w:val="FootnoteReference"/>
          <w:rFonts w:ascii="Arial" w:eastAsia="Times New Roman" w:hAnsi="Arial" w:cs="Times New Roman"/>
          <w:sz w:val="24"/>
          <w:szCs w:val="24"/>
          <w:lang w:val="en-GB"/>
        </w:rPr>
        <w:footnoteReference w:id="28"/>
      </w:r>
      <w:r>
        <w:rPr>
          <w:rFonts w:ascii="Arial" w:eastAsia="Times New Roman" w:hAnsi="Arial" w:cs="Times New Roman"/>
          <w:sz w:val="24"/>
          <w:szCs w:val="24"/>
          <w:lang w:val="en-GB"/>
        </w:rPr>
        <w:t xml:space="preserve"> An expert has a duty to inform the court i</w:t>
      </w:r>
      <w:r w:rsidR="00715602">
        <w:rPr>
          <w:rFonts w:ascii="Arial" w:eastAsia="Times New Roman" w:hAnsi="Arial" w:cs="Times New Roman"/>
          <w:sz w:val="24"/>
          <w:szCs w:val="24"/>
          <w:lang w:val="en-GB"/>
        </w:rPr>
        <w:t>f</w:t>
      </w:r>
      <w:r>
        <w:rPr>
          <w:rFonts w:ascii="Arial" w:eastAsia="Times New Roman" w:hAnsi="Arial" w:cs="Times New Roman"/>
          <w:sz w:val="24"/>
          <w:szCs w:val="24"/>
          <w:lang w:val="en-GB"/>
        </w:rPr>
        <w:t xml:space="preserve"> a specific aspect of the report fall</w:t>
      </w:r>
      <w:r w:rsidR="005E7758">
        <w:rPr>
          <w:rFonts w:ascii="Arial" w:eastAsia="Times New Roman" w:hAnsi="Arial" w:cs="Times New Roman"/>
          <w:sz w:val="24"/>
          <w:szCs w:val="24"/>
          <w:lang w:val="en-GB"/>
        </w:rPr>
        <w:t>s</w:t>
      </w:r>
      <w:r>
        <w:rPr>
          <w:rFonts w:ascii="Arial" w:eastAsia="Times New Roman" w:hAnsi="Arial" w:cs="Times New Roman"/>
          <w:sz w:val="24"/>
          <w:szCs w:val="24"/>
          <w:lang w:val="en-GB"/>
        </w:rPr>
        <w:t xml:space="preserve"> beyond the expertise of the expert.</w:t>
      </w:r>
      <w:r>
        <w:rPr>
          <w:rStyle w:val="FootnoteReference"/>
          <w:rFonts w:ascii="Arial" w:eastAsia="Times New Roman" w:hAnsi="Arial" w:cs="Times New Roman"/>
          <w:sz w:val="24"/>
          <w:szCs w:val="24"/>
          <w:lang w:val="en-GB"/>
        </w:rPr>
        <w:footnoteReference w:id="29"/>
      </w:r>
      <w:r>
        <w:rPr>
          <w:rFonts w:ascii="Arial" w:eastAsia="Times New Roman" w:hAnsi="Arial" w:cs="Times New Roman"/>
          <w:sz w:val="24"/>
          <w:szCs w:val="24"/>
          <w:lang w:val="en-GB"/>
        </w:rPr>
        <w:t xml:space="preserve"> Dr Maluleke-Baloyi (</w:t>
      </w:r>
      <w:r w:rsidR="005E7758">
        <w:rPr>
          <w:rFonts w:ascii="Arial" w:eastAsia="Times New Roman" w:hAnsi="Arial" w:cs="Times New Roman"/>
          <w:sz w:val="24"/>
          <w:szCs w:val="24"/>
          <w:lang w:val="en-GB"/>
        </w:rPr>
        <w:t>P</w:t>
      </w:r>
      <w:r>
        <w:rPr>
          <w:rFonts w:ascii="Arial" w:eastAsia="Times New Roman" w:hAnsi="Arial" w:cs="Times New Roman"/>
          <w:sz w:val="24"/>
          <w:szCs w:val="24"/>
          <w:lang w:val="en-GB"/>
        </w:rPr>
        <w:t>hysiotherapist) deal</w:t>
      </w:r>
      <w:r w:rsidR="005E7758">
        <w:rPr>
          <w:rFonts w:ascii="Arial" w:eastAsia="Times New Roman" w:hAnsi="Arial" w:cs="Times New Roman"/>
          <w:sz w:val="24"/>
          <w:szCs w:val="24"/>
          <w:lang w:val="en-GB"/>
        </w:rPr>
        <w:t>s</w:t>
      </w:r>
      <w:r>
        <w:rPr>
          <w:rFonts w:ascii="Arial" w:eastAsia="Times New Roman" w:hAnsi="Arial" w:cs="Times New Roman"/>
          <w:sz w:val="24"/>
          <w:szCs w:val="24"/>
          <w:lang w:val="en-GB"/>
        </w:rPr>
        <w:t xml:space="preserve"> with radiological reports of the shoulder and the eye injury and do</w:t>
      </w:r>
      <w:r w:rsidR="005E7758">
        <w:rPr>
          <w:rFonts w:ascii="Arial" w:eastAsia="Times New Roman" w:hAnsi="Arial" w:cs="Times New Roman"/>
          <w:sz w:val="24"/>
          <w:szCs w:val="24"/>
          <w:lang w:val="en-GB"/>
        </w:rPr>
        <w:t>es</w:t>
      </w:r>
      <w:r>
        <w:rPr>
          <w:rFonts w:ascii="Arial" w:eastAsia="Times New Roman" w:hAnsi="Arial" w:cs="Times New Roman"/>
          <w:sz w:val="24"/>
          <w:szCs w:val="24"/>
          <w:lang w:val="en-GB"/>
        </w:rPr>
        <w:t xml:space="preserve">n’t say </w:t>
      </w:r>
      <w:r w:rsidR="00CA3212">
        <w:rPr>
          <w:rFonts w:ascii="Arial" w:eastAsia="Times New Roman" w:hAnsi="Arial" w:cs="Times New Roman"/>
          <w:sz w:val="24"/>
          <w:szCs w:val="24"/>
          <w:lang w:val="en-GB"/>
        </w:rPr>
        <w:t xml:space="preserve">that </w:t>
      </w:r>
      <w:r>
        <w:rPr>
          <w:rFonts w:ascii="Arial" w:eastAsia="Times New Roman" w:hAnsi="Arial" w:cs="Times New Roman"/>
          <w:sz w:val="24"/>
          <w:szCs w:val="24"/>
          <w:lang w:val="en-GB"/>
        </w:rPr>
        <w:t>these issues fall outside the scope of her expertise. At best</w:t>
      </w:r>
      <w:r w:rsidR="00CA3212">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w:t>
      </w:r>
      <w:r w:rsidR="00CA3212">
        <w:rPr>
          <w:rFonts w:ascii="Arial" w:eastAsia="Times New Roman" w:hAnsi="Arial" w:cs="Times New Roman"/>
          <w:sz w:val="24"/>
          <w:szCs w:val="24"/>
          <w:lang w:val="en-GB"/>
        </w:rPr>
        <w:t>she</w:t>
      </w:r>
      <w:r>
        <w:rPr>
          <w:rFonts w:ascii="Arial" w:eastAsia="Times New Roman" w:hAnsi="Arial" w:cs="Times New Roman"/>
          <w:sz w:val="24"/>
          <w:szCs w:val="24"/>
          <w:lang w:val="en-GB"/>
        </w:rPr>
        <w:t xml:space="preserve"> later on</w:t>
      </w:r>
      <w:r w:rsidR="00CA3212">
        <w:rPr>
          <w:rFonts w:ascii="Arial" w:eastAsia="Times New Roman" w:hAnsi="Arial" w:cs="Times New Roman"/>
          <w:sz w:val="24"/>
          <w:szCs w:val="24"/>
          <w:lang w:val="en-GB"/>
        </w:rPr>
        <w:t xml:space="preserve"> in her report</w:t>
      </w:r>
      <w:r w:rsidR="00715602">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suggest</w:t>
      </w:r>
      <w:r w:rsidR="005E7758">
        <w:rPr>
          <w:rFonts w:ascii="Arial" w:eastAsia="Times New Roman" w:hAnsi="Arial" w:cs="Times New Roman"/>
          <w:sz w:val="24"/>
          <w:szCs w:val="24"/>
          <w:lang w:val="en-GB"/>
        </w:rPr>
        <w:t>s</w:t>
      </w:r>
      <w:r>
        <w:rPr>
          <w:rFonts w:ascii="Arial" w:eastAsia="Times New Roman" w:hAnsi="Arial" w:cs="Times New Roman"/>
          <w:sz w:val="24"/>
          <w:szCs w:val="24"/>
          <w:lang w:val="en-GB"/>
        </w:rPr>
        <w:t xml:space="preserve"> an expert opinion be obtained from a neurologist </w:t>
      </w:r>
      <w:r w:rsidR="00CA3212">
        <w:rPr>
          <w:rFonts w:ascii="Arial" w:eastAsia="Times New Roman" w:hAnsi="Arial" w:cs="Times New Roman"/>
          <w:sz w:val="24"/>
          <w:szCs w:val="24"/>
          <w:lang w:val="en-GB"/>
        </w:rPr>
        <w:t>regarding</w:t>
      </w:r>
      <w:r>
        <w:rPr>
          <w:rFonts w:ascii="Arial" w:eastAsia="Times New Roman" w:hAnsi="Arial" w:cs="Times New Roman"/>
          <w:sz w:val="24"/>
          <w:szCs w:val="24"/>
          <w:lang w:val="en-GB"/>
        </w:rPr>
        <w:t xml:space="preserve"> the headaches and blurry vision. This does not detract from her actual </w:t>
      </w:r>
      <w:r w:rsidR="00060854">
        <w:rPr>
          <w:rFonts w:ascii="Arial" w:eastAsia="Times New Roman" w:hAnsi="Arial" w:cs="Times New Roman"/>
          <w:sz w:val="24"/>
          <w:szCs w:val="24"/>
          <w:lang w:val="en-GB"/>
        </w:rPr>
        <w:t>‘</w:t>
      </w:r>
      <w:r w:rsidRPr="00060854">
        <w:rPr>
          <w:rFonts w:ascii="Arial" w:eastAsia="Times New Roman" w:hAnsi="Arial" w:cs="Times New Roman"/>
          <w:i/>
          <w:iCs/>
          <w:sz w:val="24"/>
          <w:szCs w:val="24"/>
          <w:lang w:val="en-GB"/>
        </w:rPr>
        <w:t>diagnosis</w:t>
      </w:r>
      <w:r w:rsidR="00060854">
        <w:rPr>
          <w:rFonts w:ascii="Arial" w:eastAsia="Times New Roman" w:hAnsi="Arial" w:cs="Times New Roman"/>
          <w:sz w:val="24"/>
          <w:szCs w:val="24"/>
          <w:lang w:val="en-GB"/>
        </w:rPr>
        <w:t>’</w:t>
      </w:r>
      <w:r w:rsidR="00CA3212">
        <w:rPr>
          <w:rFonts w:ascii="Arial" w:eastAsia="Times New Roman" w:hAnsi="Arial" w:cs="Times New Roman"/>
          <w:sz w:val="24"/>
          <w:szCs w:val="24"/>
          <w:lang w:val="en-GB"/>
        </w:rPr>
        <w:t xml:space="preserve">. </w:t>
      </w:r>
      <w:r>
        <w:rPr>
          <w:rFonts w:ascii="Arial" w:eastAsia="Times New Roman" w:hAnsi="Arial" w:cs="Times New Roman"/>
          <w:sz w:val="24"/>
          <w:szCs w:val="24"/>
          <w:lang w:val="en-GB"/>
        </w:rPr>
        <w:t xml:space="preserve">Without more, </w:t>
      </w:r>
      <w:r w:rsidR="00CA3212">
        <w:rPr>
          <w:rFonts w:ascii="Arial" w:eastAsia="Times New Roman" w:hAnsi="Arial" w:cs="Times New Roman"/>
          <w:sz w:val="24"/>
          <w:szCs w:val="24"/>
          <w:lang w:val="en-GB"/>
        </w:rPr>
        <w:t xml:space="preserve">and despite not having </w:t>
      </w:r>
      <w:r w:rsidR="00060854">
        <w:rPr>
          <w:rFonts w:ascii="Arial" w:eastAsia="Times New Roman" w:hAnsi="Arial" w:cs="Times New Roman"/>
          <w:sz w:val="24"/>
          <w:szCs w:val="24"/>
          <w:lang w:val="en-GB"/>
        </w:rPr>
        <w:t xml:space="preserve">received </w:t>
      </w:r>
      <w:r w:rsidR="00CA3212">
        <w:rPr>
          <w:rFonts w:ascii="Arial" w:eastAsia="Times New Roman" w:hAnsi="Arial" w:cs="Times New Roman"/>
          <w:sz w:val="24"/>
          <w:szCs w:val="24"/>
          <w:lang w:val="en-GB"/>
        </w:rPr>
        <w:t>the further reports which she suggest</w:t>
      </w:r>
      <w:r w:rsidR="00715602">
        <w:rPr>
          <w:rFonts w:ascii="Arial" w:eastAsia="Times New Roman" w:hAnsi="Arial" w:cs="Times New Roman"/>
          <w:sz w:val="24"/>
          <w:szCs w:val="24"/>
          <w:lang w:val="en-GB"/>
        </w:rPr>
        <w:t>ed</w:t>
      </w:r>
      <w:r w:rsidR="00CA3212">
        <w:rPr>
          <w:rFonts w:ascii="Arial" w:eastAsia="Times New Roman" w:hAnsi="Arial" w:cs="Times New Roman"/>
          <w:sz w:val="24"/>
          <w:szCs w:val="24"/>
          <w:lang w:val="en-GB"/>
        </w:rPr>
        <w:t xml:space="preserve"> </w:t>
      </w:r>
      <w:r w:rsidR="008326DB">
        <w:rPr>
          <w:rFonts w:ascii="Arial" w:eastAsia="Times New Roman" w:hAnsi="Arial" w:cs="Times New Roman"/>
          <w:sz w:val="24"/>
          <w:szCs w:val="24"/>
          <w:lang w:val="en-GB"/>
        </w:rPr>
        <w:t>be</w:t>
      </w:r>
      <w:r w:rsidR="00CA3212">
        <w:rPr>
          <w:rFonts w:ascii="Arial" w:eastAsia="Times New Roman" w:hAnsi="Arial" w:cs="Times New Roman"/>
          <w:sz w:val="24"/>
          <w:szCs w:val="24"/>
          <w:lang w:val="en-GB"/>
        </w:rPr>
        <w:t xml:space="preserve"> secured,</w:t>
      </w:r>
      <w:r>
        <w:rPr>
          <w:rFonts w:ascii="Arial" w:eastAsia="Times New Roman" w:hAnsi="Arial" w:cs="Times New Roman"/>
          <w:sz w:val="24"/>
          <w:szCs w:val="24"/>
          <w:lang w:val="en-GB"/>
        </w:rPr>
        <w:t xml:space="preserve"> </w:t>
      </w:r>
      <w:r w:rsidR="00CA3212">
        <w:rPr>
          <w:rFonts w:ascii="Arial" w:eastAsia="Times New Roman" w:hAnsi="Arial" w:cs="Times New Roman"/>
          <w:sz w:val="24"/>
          <w:szCs w:val="24"/>
          <w:lang w:val="en-GB"/>
        </w:rPr>
        <w:t>she ascribes</w:t>
      </w:r>
      <w:r>
        <w:rPr>
          <w:rFonts w:ascii="Arial" w:eastAsia="Times New Roman" w:hAnsi="Arial" w:cs="Times New Roman"/>
          <w:sz w:val="24"/>
          <w:szCs w:val="24"/>
          <w:lang w:val="en-GB"/>
        </w:rPr>
        <w:t xml:space="preserve"> the </w:t>
      </w:r>
      <w:r w:rsidR="00CA3212">
        <w:rPr>
          <w:rFonts w:ascii="Arial" w:eastAsia="Times New Roman" w:hAnsi="Arial" w:cs="Times New Roman"/>
          <w:sz w:val="24"/>
          <w:szCs w:val="24"/>
          <w:lang w:val="en-GB"/>
        </w:rPr>
        <w:t xml:space="preserve">Plaintiff’s </w:t>
      </w:r>
      <w:r>
        <w:rPr>
          <w:rFonts w:ascii="Arial" w:eastAsia="Times New Roman" w:hAnsi="Arial" w:cs="Times New Roman"/>
          <w:sz w:val="24"/>
          <w:szCs w:val="24"/>
          <w:lang w:val="en-GB"/>
        </w:rPr>
        <w:t>‘</w:t>
      </w:r>
      <w:r w:rsidRPr="00CA3212">
        <w:rPr>
          <w:rFonts w:ascii="Arial" w:eastAsia="Times New Roman" w:hAnsi="Arial" w:cs="Times New Roman"/>
          <w:i/>
          <w:iCs/>
          <w:sz w:val="24"/>
          <w:szCs w:val="24"/>
          <w:lang w:val="en-GB"/>
        </w:rPr>
        <w:t>level of changes</w:t>
      </w:r>
      <w:r>
        <w:rPr>
          <w:rFonts w:ascii="Arial" w:eastAsia="Times New Roman" w:hAnsi="Arial" w:cs="Times New Roman"/>
          <w:sz w:val="24"/>
          <w:szCs w:val="24"/>
          <w:lang w:val="en-GB"/>
        </w:rPr>
        <w:t xml:space="preserve">’ owing to the accident </w:t>
      </w:r>
      <w:r w:rsidR="00CA3212">
        <w:rPr>
          <w:rFonts w:ascii="Arial" w:eastAsia="Times New Roman" w:hAnsi="Arial" w:cs="Times New Roman"/>
          <w:sz w:val="24"/>
          <w:szCs w:val="24"/>
          <w:lang w:val="en-GB"/>
        </w:rPr>
        <w:t xml:space="preserve">which changes include </w:t>
      </w:r>
      <w:r>
        <w:rPr>
          <w:rFonts w:ascii="Arial" w:eastAsia="Times New Roman" w:hAnsi="Arial" w:cs="Times New Roman"/>
          <w:sz w:val="24"/>
          <w:szCs w:val="24"/>
          <w:lang w:val="en-GB"/>
        </w:rPr>
        <w:t xml:space="preserve">the closing down of the </w:t>
      </w:r>
      <w:r w:rsidR="00CA3212">
        <w:rPr>
          <w:rFonts w:ascii="Arial" w:eastAsia="Times New Roman" w:hAnsi="Arial" w:cs="Times New Roman"/>
          <w:sz w:val="24"/>
          <w:szCs w:val="24"/>
          <w:lang w:val="en-GB"/>
        </w:rPr>
        <w:t xml:space="preserve">Plaintiff’s </w:t>
      </w:r>
      <w:r>
        <w:rPr>
          <w:rFonts w:ascii="Arial" w:eastAsia="Times New Roman" w:hAnsi="Arial" w:cs="Times New Roman"/>
          <w:sz w:val="24"/>
          <w:szCs w:val="24"/>
          <w:lang w:val="en-GB"/>
        </w:rPr>
        <w:t xml:space="preserve">company and </w:t>
      </w:r>
      <w:r w:rsidR="00CA3212">
        <w:rPr>
          <w:rFonts w:ascii="Arial" w:eastAsia="Times New Roman" w:hAnsi="Arial" w:cs="Times New Roman"/>
          <w:sz w:val="24"/>
          <w:szCs w:val="24"/>
          <w:lang w:val="en-GB"/>
        </w:rPr>
        <w:t xml:space="preserve">his </w:t>
      </w:r>
      <w:r>
        <w:rPr>
          <w:rFonts w:ascii="Arial" w:eastAsia="Times New Roman" w:hAnsi="Arial" w:cs="Times New Roman"/>
          <w:sz w:val="24"/>
          <w:szCs w:val="24"/>
          <w:lang w:val="en-GB"/>
        </w:rPr>
        <w:t xml:space="preserve">loss of income. </w:t>
      </w:r>
      <w:r w:rsidR="00CA3212">
        <w:rPr>
          <w:rFonts w:ascii="Arial" w:eastAsia="Times New Roman" w:hAnsi="Arial" w:cs="Times New Roman"/>
          <w:sz w:val="24"/>
          <w:szCs w:val="24"/>
          <w:lang w:val="en-GB"/>
        </w:rPr>
        <w:t xml:space="preserve">This finding not only usurp the function of the court but can hardly fall within the expertise of a physiotherapist. </w:t>
      </w:r>
    </w:p>
    <w:p w14:paraId="14F670E5" w14:textId="77777777" w:rsidR="00C210B6" w:rsidRPr="00C210B6" w:rsidRDefault="00C210B6" w:rsidP="00C210B6">
      <w:pPr>
        <w:spacing w:after="0" w:line="480" w:lineRule="auto"/>
        <w:jc w:val="both"/>
        <w:rPr>
          <w:rFonts w:ascii="Arial" w:eastAsia="Times New Roman" w:hAnsi="Arial" w:cs="Times New Roman"/>
          <w:sz w:val="24"/>
          <w:szCs w:val="24"/>
          <w:lang w:val="en-GB"/>
        </w:rPr>
      </w:pPr>
    </w:p>
    <w:p w14:paraId="371CDBF5" w14:textId="710927EB" w:rsidR="00060854" w:rsidRDefault="005F2959"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Dr Maluleke-Baloyi was </w:t>
      </w:r>
      <w:r w:rsidR="006F732C">
        <w:rPr>
          <w:rFonts w:ascii="Arial" w:eastAsia="Times New Roman" w:hAnsi="Arial" w:cs="Times New Roman"/>
          <w:sz w:val="24"/>
          <w:szCs w:val="24"/>
          <w:lang w:val="en-GB"/>
        </w:rPr>
        <w:t xml:space="preserve">also content to </w:t>
      </w:r>
      <w:r>
        <w:rPr>
          <w:rFonts w:ascii="Arial" w:eastAsia="Times New Roman" w:hAnsi="Arial" w:cs="Times New Roman"/>
          <w:sz w:val="24"/>
          <w:szCs w:val="24"/>
          <w:lang w:val="en-GB"/>
        </w:rPr>
        <w:t xml:space="preserve">allude to and accept </w:t>
      </w:r>
      <w:r w:rsidR="00BF71C0">
        <w:rPr>
          <w:rFonts w:ascii="Arial" w:eastAsia="Times New Roman" w:hAnsi="Arial" w:cs="Times New Roman"/>
          <w:sz w:val="24"/>
          <w:szCs w:val="24"/>
          <w:lang w:val="en-GB"/>
        </w:rPr>
        <w:t>the</w:t>
      </w:r>
      <w:r w:rsidR="006F732C">
        <w:rPr>
          <w:rFonts w:ascii="Arial" w:eastAsia="Times New Roman" w:hAnsi="Arial" w:cs="Times New Roman"/>
          <w:sz w:val="24"/>
          <w:szCs w:val="24"/>
          <w:lang w:val="en-GB"/>
        </w:rPr>
        <w:t xml:space="preserve"> radiological fallout in the left shoulder</w:t>
      </w:r>
      <w:r w:rsidR="00060854">
        <w:rPr>
          <w:rFonts w:ascii="Arial" w:eastAsia="Times New Roman" w:hAnsi="Arial" w:cs="Times New Roman"/>
          <w:sz w:val="24"/>
          <w:szCs w:val="24"/>
          <w:lang w:val="en-GB"/>
        </w:rPr>
        <w:t xml:space="preserve"> as narrated by the radiologist</w:t>
      </w:r>
      <w:r w:rsidR="006F732C">
        <w:rPr>
          <w:rFonts w:ascii="Arial" w:eastAsia="Times New Roman" w:hAnsi="Arial" w:cs="Times New Roman"/>
          <w:sz w:val="24"/>
          <w:szCs w:val="24"/>
          <w:lang w:val="en-GB"/>
        </w:rPr>
        <w:t xml:space="preserve">, despite Dr </w:t>
      </w:r>
      <w:r>
        <w:rPr>
          <w:rFonts w:ascii="Arial" w:eastAsia="Times New Roman" w:hAnsi="Arial" w:cs="Times New Roman"/>
          <w:sz w:val="24"/>
          <w:szCs w:val="24"/>
          <w:lang w:val="en-GB"/>
        </w:rPr>
        <w:t>Kumbirai</w:t>
      </w:r>
      <w:r w:rsidR="006F732C">
        <w:rPr>
          <w:rFonts w:ascii="Arial" w:eastAsia="Times New Roman" w:hAnsi="Arial" w:cs="Times New Roman"/>
          <w:sz w:val="24"/>
          <w:szCs w:val="24"/>
          <w:lang w:val="en-GB"/>
        </w:rPr>
        <w:t xml:space="preserve"> (orthopaedic </w:t>
      </w:r>
      <w:r w:rsidR="00060854">
        <w:rPr>
          <w:rFonts w:ascii="Arial" w:eastAsia="Times New Roman" w:hAnsi="Arial" w:cs="Times New Roman"/>
          <w:sz w:val="24"/>
          <w:szCs w:val="24"/>
          <w:lang w:val="en-GB"/>
        </w:rPr>
        <w:t>s</w:t>
      </w:r>
      <w:r w:rsidR="006F732C">
        <w:rPr>
          <w:rFonts w:ascii="Arial" w:eastAsia="Times New Roman" w:hAnsi="Arial" w:cs="Times New Roman"/>
          <w:sz w:val="24"/>
          <w:szCs w:val="24"/>
          <w:lang w:val="en-GB"/>
        </w:rPr>
        <w:t xml:space="preserve">urgeon) being of the opinion that the right shoulder is </w:t>
      </w:r>
      <w:r w:rsidR="00060854">
        <w:rPr>
          <w:rFonts w:ascii="Arial" w:eastAsia="Times New Roman" w:hAnsi="Arial" w:cs="Times New Roman"/>
          <w:sz w:val="24"/>
          <w:szCs w:val="24"/>
          <w:lang w:val="en-GB"/>
        </w:rPr>
        <w:t>‘</w:t>
      </w:r>
      <w:r w:rsidR="006F732C" w:rsidRPr="005F2959">
        <w:rPr>
          <w:rFonts w:ascii="Arial" w:eastAsia="Times New Roman" w:hAnsi="Arial" w:cs="Times New Roman"/>
          <w:i/>
          <w:iCs/>
          <w:sz w:val="24"/>
          <w:szCs w:val="24"/>
          <w:lang w:val="en-GB"/>
        </w:rPr>
        <w:t>normal</w:t>
      </w:r>
      <w:r w:rsidR="00060854">
        <w:rPr>
          <w:rFonts w:ascii="Arial" w:eastAsia="Times New Roman" w:hAnsi="Arial" w:cs="Times New Roman"/>
          <w:i/>
          <w:iCs/>
          <w:sz w:val="24"/>
          <w:szCs w:val="24"/>
          <w:lang w:val="en-GB"/>
        </w:rPr>
        <w:t>’</w:t>
      </w:r>
      <w:r w:rsidR="006F732C">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w:t>
      </w:r>
      <w:r w:rsidR="006F732C">
        <w:rPr>
          <w:rFonts w:ascii="Arial" w:eastAsia="Times New Roman" w:hAnsi="Arial" w:cs="Times New Roman"/>
          <w:sz w:val="24"/>
          <w:szCs w:val="24"/>
          <w:lang w:val="en-GB"/>
        </w:rPr>
        <w:t xml:space="preserve"> </w:t>
      </w:r>
      <w:r>
        <w:rPr>
          <w:rFonts w:ascii="Arial" w:eastAsia="Times New Roman" w:hAnsi="Arial" w:cs="Times New Roman"/>
          <w:sz w:val="24"/>
          <w:szCs w:val="24"/>
          <w:lang w:val="en-GB"/>
        </w:rPr>
        <w:t xml:space="preserve">Again, the orthopaedic pathology in the Plaintiff’s right shoulder does not fall within this expert’s </w:t>
      </w:r>
      <w:r w:rsidR="00060854">
        <w:rPr>
          <w:rFonts w:ascii="Arial" w:eastAsia="Times New Roman" w:hAnsi="Arial" w:cs="Times New Roman"/>
          <w:sz w:val="24"/>
          <w:szCs w:val="24"/>
          <w:lang w:val="en-GB"/>
        </w:rPr>
        <w:t>expertise</w:t>
      </w:r>
      <w:r>
        <w:rPr>
          <w:rFonts w:ascii="Arial" w:eastAsia="Times New Roman" w:hAnsi="Arial" w:cs="Times New Roman"/>
          <w:sz w:val="24"/>
          <w:szCs w:val="24"/>
          <w:lang w:val="en-GB"/>
        </w:rPr>
        <w:t xml:space="preserve">.  </w:t>
      </w:r>
    </w:p>
    <w:p w14:paraId="3C184AB0" w14:textId="77777777" w:rsidR="00060854" w:rsidRDefault="00060854" w:rsidP="00C210B6">
      <w:pPr>
        <w:rPr>
          <w:rFonts w:ascii="Arial" w:eastAsia="Times New Roman" w:hAnsi="Arial" w:cs="Times New Roman"/>
          <w:sz w:val="24"/>
          <w:szCs w:val="24"/>
          <w:lang w:val="en-GB"/>
        </w:rPr>
      </w:pPr>
    </w:p>
    <w:p w14:paraId="6878162B" w14:textId="2F32137C" w:rsidR="00C210B6" w:rsidRPr="00C210B6" w:rsidRDefault="00C210B6" w:rsidP="00C210B6">
      <w:pPr>
        <w:rPr>
          <w:rFonts w:ascii="Arial" w:eastAsia="Times New Roman" w:hAnsi="Arial" w:cs="Times New Roman"/>
          <w:i/>
          <w:iCs/>
          <w:sz w:val="24"/>
          <w:szCs w:val="24"/>
          <w:u w:val="single"/>
          <w:lang w:val="en-GB"/>
        </w:rPr>
      </w:pPr>
      <w:r w:rsidRPr="00C210B6">
        <w:rPr>
          <w:rFonts w:ascii="Arial" w:eastAsia="Times New Roman" w:hAnsi="Arial" w:cs="Times New Roman"/>
          <w:i/>
          <w:iCs/>
          <w:sz w:val="24"/>
          <w:szCs w:val="24"/>
          <w:u w:val="single"/>
          <w:lang w:val="en-GB"/>
        </w:rPr>
        <w:t>Reports to be marked preliminary is crucial facts outstanding</w:t>
      </w:r>
    </w:p>
    <w:p w14:paraId="3DE2AD1F" w14:textId="31321A78" w:rsidR="00060854" w:rsidRPr="00060854" w:rsidRDefault="00060854"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lastRenderedPageBreak/>
        <w:t xml:space="preserve">This brings me to my next concern. None of the expert’s made their reports a preliminary one, despite the gaping and patently obvious absent foundational </w:t>
      </w:r>
      <w:r w:rsidR="00B4211B">
        <w:rPr>
          <w:rFonts w:ascii="Arial" w:eastAsia="Times New Roman" w:hAnsi="Arial" w:cs="Times New Roman"/>
          <w:sz w:val="24"/>
          <w:szCs w:val="24"/>
          <w:lang w:val="en-GB"/>
        </w:rPr>
        <w:t xml:space="preserve">facts on which the experts based their opinions and despite discrepancies in the </w:t>
      </w:r>
      <w:r w:rsidR="00C210B6">
        <w:rPr>
          <w:rFonts w:ascii="Arial" w:eastAsia="Times New Roman" w:hAnsi="Arial" w:cs="Times New Roman"/>
          <w:sz w:val="24"/>
          <w:szCs w:val="24"/>
          <w:lang w:val="en-GB"/>
        </w:rPr>
        <w:t xml:space="preserve">various </w:t>
      </w:r>
      <w:r w:rsidR="00B4211B">
        <w:rPr>
          <w:rFonts w:ascii="Arial" w:eastAsia="Times New Roman" w:hAnsi="Arial" w:cs="Times New Roman"/>
          <w:sz w:val="24"/>
          <w:szCs w:val="24"/>
          <w:lang w:val="en-GB"/>
        </w:rPr>
        <w:t>reports</w:t>
      </w:r>
      <w:r w:rsidR="00C210B6">
        <w:rPr>
          <w:rFonts w:ascii="Arial" w:eastAsia="Times New Roman" w:hAnsi="Arial" w:cs="Times New Roman"/>
          <w:sz w:val="24"/>
          <w:szCs w:val="24"/>
          <w:lang w:val="en-GB"/>
        </w:rPr>
        <w:t>,</w:t>
      </w:r>
      <w:r w:rsidR="00B4211B">
        <w:rPr>
          <w:rFonts w:ascii="Arial" w:eastAsia="Times New Roman" w:hAnsi="Arial" w:cs="Times New Roman"/>
          <w:sz w:val="24"/>
          <w:szCs w:val="24"/>
          <w:lang w:val="en-GB"/>
        </w:rPr>
        <w:t xml:space="preserve"> which inevitably called for clarity, prior to a competent final report being produced. As one example, how could the industrial psychologist finally conclude that the Plaintiff would remain unemployable under circumstances where he was confronted with an opinion by the occupational therapist that the Plaintiff returned to work</w:t>
      </w:r>
      <w:r w:rsidR="00C210B6">
        <w:rPr>
          <w:rFonts w:ascii="Arial" w:eastAsia="Times New Roman" w:hAnsi="Arial" w:cs="Times New Roman"/>
          <w:sz w:val="24"/>
          <w:szCs w:val="24"/>
          <w:lang w:val="en-GB"/>
        </w:rPr>
        <w:t xml:space="preserve"> post-accident? </w:t>
      </w:r>
    </w:p>
    <w:p w14:paraId="49BCC004" w14:textId="69CBA67F" w:rsidR="004110EE" w:rsidRDefault="004110EE" w:rsidP="008326DB">
      <w:pPr>
        <w:rPr>
          <w:rFonts w:ascii="Arial" w:eastAsia="Times New Roman" w:hAnsi="Arial" w:cs="Times New Roman"/>
          <w:sz w:val="24"/>
          <w:szCs w:val="24"/>
          <w:lang w:val="en-GB"/>
        </w:rPr>
      </w:pPr>
    </w:p>
    <w:p w14:paraId="24972C13" w14:textId="71EA7385" w:rsidR="00D403DE" w:rsidRPr="00C210B6" w:rsidRDefault="00712E31" w:rsidP="00AF6DDF">
      <w:pPr>
        <w:pStyle w:val="ListParagraph"/>
        <w:numPr>
          <w:ilvl w:val="0"/>
          <w:numId w:val="3"/>
        </w:numPr>
        <w:spacing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Mr Sechudi chose to ignore this fact and to proceed with the narrative that the Plaintiff lost his employment </w:t>
      </w:r>
      <w:r w:rsidR="002A6624">
        <w:rPr>
          <w:rFonts w:ascii="Arial" w:eastAsia="Times New Roman" w:hAnsi="Arial" w:cs="Times New Roman"/>
          <w:sz w:val="24"/>
          <w:szCs w:val="24"/>
          <w:lang w:val="en-GB"/>
        </w:rPr>
        <w:t>post-accident</w:t>
      </w:r>
      <w:r>
        <w:rPr>
          <w:rFonts w:ascii="Arial" w:eastAsia="Times New Roman" w:hAnsi="Arial" w:cs="Times New Roman"/>
          <w:sz w:val="24"/>
          <w:szCs w:val="24"/>
          <w:lang w:val="en-GB"/>
        </w:rPr>
        <w:t>.</w:t>
      </w:r>
      <w:r w:rsidR="002A6624">
        <w:rPr>
          <w:rFonts w:ascii="Arial" w:eastAsia="Times New Roman" w:hAnsi="Arial" w:cs="Times New Roman"/>
          <w:sz w:val="24"/>
          <w:szCs w:val="24"/>
          <w:lang w:val="en-GB"/>
        </w:rPr>
        <w:t xml:space="preserve"> </w:t>
      </w:r>
    </w:p>
    <w:p w14:paraId="1B71972C" w14:textId="77777777" w:rsidR="00480DE2" w:rsidRDefault="00480DE2" w:rsidP="00480DE2">
      <w:pPr>
        <w:pStyle w:val="ListParagraph"/>
        <w:spacing w:line="480" w:lineRule="auto"/>
        <w:ind w:left="360"/>
        <w:rPr>
          <w:rFonts w:ascii="Arial" w:eastAsia="Times New Roman" w:hAnsi="Arial" w:cs="Times New Roman"/>
          <w:sz w:val="24"/>
          <w:szCs w:val="24"/>
          <w:lang w:val="en-GB"/>
        </w:rPr>
      </w:pPr>
    </w:p>
    <w:p w14:paraId="162F0FC5" w14:textId="77777777" w:rsidR="00D403DE" w:rsidRDefault="00480DE2" w:rsidP="00AF6DDF">
      <w:pPr>
        <w:pStyle w:val="ListParagraph"/>
        <w:numPr>
          <w:ilvl w:val="0"/>
          <w:numId w:val="3"/>
        </w:numPr>
        <w:spacing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Mr Sechudi says in his report that ‘</w:t>
      </w:r>
      <w:r w:rsidRPr="00480DE2">
        <w:rPr>
          <w:rFonts w:ascii="Arial" w:eastAsia="Times New Roman" w:hAnsi="Arial" w:cs="Times New Roman"/>
          <w:i/>
          <w:iCs/>
          <w:sz w:val="24"/>
          <w:szCs w:val="24"/>
          <w:lang w:val="en-GB"/>
        </w:rPr>
        <w:t>The opinions and recommendations made in this report is based on the expert reports, collateral information, as well</w:t>
      </w:r>
      <w:r>
        <w:rPr>
          <w:rFonts w:ascii="Arial" w:eastAsia="Times New Roman" w:hAnsi="Arial" w:cs="Times New Roman"/>
          <w:i/>
          <w:iCs/>
          <w:sz w:val="24"/>
          <w:szCs w:val="24"/>
          <w:lang w:val="en-GB"/>
        </w:rPr>
        <w:t xml:space="preserve"> </w:t>
      </w:r>
      <w:r w:rsidRPr="00480DE2">
        <w:rPr>
          <w:rFonts w:ascii="Arial" w:eastAsia="Times New Roman" w:hAnsi="Arial" w:cs="Times New Roman"/>
          <w:i/>
          <w:iCs/>
          <w:sz w:val="24"/>
          <w:szCs w:val="24"/>
          <w:lang w:val="en-GB"/>
        </w:rPr>
        <w:t>as self reported information made available during the interview’</w:t>
      </w:r>
      <w:r>
        <w:rPr>
          <w:rFonts w:ascii="Arial" w:eastAsia="Times New Roman" w:hAnsi="Arial" w:cs="Times New Roman"/>
          <w:sz w:val="24"/>
          <w:szCs w:val="24"/>
          <w:lang w:val="en-GB"/>
        </w:rPr>
        <w:t>.</w:t>
      </w:r>
      <w:r w:rsidR="00D403DE" w:rsidRPr="00D403DE">
        <w:rPr>
          <w:rFonts w:ascii="Arial" w:eastAsia="Times New Roman" w:hAnsi="Arial" w:cs="Times New Roman"/>
          <w:sz w:val="24"/>
          <w:szCs w:val="24"/>
          <w:lang w:val="en-GB"/>
        </w:rPr>
        <w:t xml:space="preserve"> </w:t>
      </w:r>
    </w:p>
    <w:p w14:paraId="19FD5B5B" w14:textId="77777777" w:rsidR="00D403DE" w:rsidRDefault="00D403DE" w:rsidP="00D403DE">
      <w:pPr>
        <w:pStyle w:val="ListParagraph"/>
        <w:spacing w:line="480" w:lineRule="auto"/>
        <w:ind w:left="360"/>
        <w:jc w:val="both"/>
        <w:rPr>
          <w:rFonts w:ascii="Arial" w:eastAsia="Times New Roman" w:hAnsi="Arial" w:cs="Times New Roman"/>
          <w:sz w:val="24"/>
          <w:szCs w:val="24"/>
          <w:lang w:val="en-GB"/>
        </w:rPr>
      </w:pPr>
    </w:p>
    <w:p w14:paraId="31653FE7" w14:textId="696C798A" w:rsidR="00D403DE" w:rsidRDefault="00D403DE" w:rsidP="00AF6DDF">
      <w:pPr>
        <w:pStyle w:val="ListParagraph"/>
        <w:numPr>
          <w:ilvl w:val="0"/>
          <w:numId w:val="3"/>
        </w:numPr>
        <w:spacing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This offends an overriding duty </w:t>
      </w:r>
      <w:r w:rsidR="005E7758">
        <w:rPr>
          <w:rFonts w:ascii="Arial" w:eastAsia="Times New Roman" w:hAnsi="Arial" w:cs="Times New Roman"/>
          <w:sz w:val="24"/>
          <w:szCs w:val="24"/>
          <w:lang w:val="en-GB"/>
        </w:rPr>
        <w:t xml:space="preserve">which </w:t>
      </w:r>
      <w:r>
        <w:rPr>
          <w:rFonts w:ascii="Arial" w:eastAsia="Times New Roman" w:hAnsi="Arial" w:cs="Times New Roman"/>
          <w:sz w:val="24"/>
          <w:szCs w:val="24"/>
          <w:lang w:val="en-GB"/>
        </w:rPr>
        <w:t>the expert has towards the court. An expert cannot assert the correctness of his/her opinion without a qualification</w:t>
      </w:r>
      <w:r w:rsidR="00C210B6">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such as where insufficient research or data is available to reach a conclusion, </w:t>
      </w:r>
      <w:r w:rsidR="00C210B6">
        <w:rPr>
          <w:rFonts w:ascii="Arial" w:eastAsia="Times New Roman" w:hAnsi="Arial" w:cs="Times New Roman"/>
          <w:sz w:val="24"/>
          <w:szCs w:val="24"/>
          <w:lang w:val="en-GB"/>
        </w:rPr>
        <w:t xml:space="preserve">and instead </w:t>
      </w:r>
      <w:r>
        <w:rPr>
          <w:rFonts w:ascii="Arial" w:eastAsia="Times New Roman" w:hAnsi="Arial" w:cs="Times New Roman"/>
          <w:sz w:val="24"/>
          <w:szCs w:val="24"/>
          <w:lang w:val="en-GB"/>
        </w:rPr>
        <w:t>the expert must indicate that the opinion is provision</w:t>
      </w:r>
      <w:r w:rsidR="008326DB">
        <w:rPr>
          <w:rFonts w:ascii="Arial" w:eastAsia="Times New Roman" w:hAnsi="Arial" w:cs="Times New Roman"/>
          <w:sz w:val="24"/>
          <w:szCs w:val="24"/>
          <w:lang w:val="en-GB"/>
        </w:rPr>
        <w:t>al</w:t>
      </w:r>
      <w:r>
        <w:rPr>
          <w:rFonts w:ascii="Arial" w:eastAsia="Times New Roman" w:hAnsi="Arial" w:cs="Times New Roman"/>
          <w:sz w:val="24"/>
          <w:szCs w:val="24"/>
          <w:lang w:val="en-GB"/>
        </w:rPr>
        <w:t>.</w:t>
      </w:r>
      <w:r>
        <w:rPr>
          <w:rStyle w:val="FootnoteReference"/>
          <w:rFonts w:ascii="Arial" w:eastAsia="Times New Roman" w:hAnsi="Arial" w:cs="Times New Roman"/>
          <w:sz w:val="24"/>
          <w:szCs w:val="24"/>
          <w:lang w:val="en-GB"/>
        </w:rPr>
        <w:footnoteReference w:id="30"/>
      </w:r>
      <w:r w:rsidR="00D83A6E">
        <w:rPr>
          <w:rFonts w:ascii="Arial" w:eastAsia="Times New Roman" w:hAnsi="Arial" w:cs="Times New Roman"/>
          <w:sz w:val="24"/>
          <w:szCs w:val="24"/>
          <w:lang w:val="en-GB"/>
        </w:rPr>
        <w:t xml:space="preserve"> Experts must draw the court’s attention to anomalies and obtain sufficient clarity before formulating an opinion.</w:t>
      </w:r>
      <w:r w:rsidR="00D83A6E">
        <w:rPr>
          <w:rStyle w:val="FootnoteReference"/>
          <w:rFonts w:ascii="Arial" w:eastAsia="Times New Roman" w:hAnsi="Arial" w:cs="Times New Roman"/>
          <w:sz w:val="24"/>
          <w:szCs w:val="24"/>
          <w:lang w:val="en-GB"/>
        </w:rPr>
        <w:footnoteReference w:id="31"/>
      </w:r>
      <w:r w:rsidR="00C210B6">
        <w:rPr>
          <w:rFonts w:ascii="Arial" w:eastAsia="Times New Roman" w:hAnsi="Arial" w:cs="Times New Roman"/>
          <w:sz w:val="24"/>
          <w:szCs w:val="24"/>
          <w:lang w:val="en-GB"/>
        </w:rPr>
        <w:t xml:space="preserve"> </w:t>
      </w:r>
    </w:p>
    <w:p w14:paraId="226C37F2" w14:textId="77777777" w:rsidR="00C210B6" w:rsidRPr="00C210B6" w:rsidRDefault="00C210B6" w:rsidP="00C210B6">
      <w:pPr>
        <w:pStyle w:val="ListParagraph"/>
        <w:rPr>
          <w:rFonts w:ascii="Arial" w:eastAsia="Times New Roman" w:hAnsi="Arial" w:cs="Times New Roman"/>
          <w:sz w:val="24"/>
          <w:szCs w:val="24"/>
          <w:lang w:val="en-GB"/>
        </w:rPr>
      </w:pPr>
    </w:p>
    <w:p w14:paraId="189B8C90" w14:textId="76B41127" w:rsidR="00C210B6" w:rsidRDefault="00C210B6" w:rsidP="00AF6DDF">
      <w:pPr>
        <w:pStyle w:val="ListParagraph"/>
        <w:numPr>
          <w:ilvl w:val="0"/>
          <w:numId w:val="3"/>
        </w:numPr>
        <w:spacing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By marking a report as ‘provisional’, the court would from the onset know that further data or clarity is required before the report can be relied. </w:t>
      </w:r>
      <w:r w:rsidR="00546757">
        <w:rPr>
          <w:rFonts w:ascii="Arial" w:eastAsia="Times New Roman" w:hAnsi="Arial" w:cs="Times New Roman"/>
          <w:sz w:val="24"/>
          <w:szCs w:val="24"/>
          <w:lang w:val="en-GB"/>
        </w:rPr>
        <w:t xml:space="preserve">If such outstanding data cannot be secured for whatever reason, this must be placed on record by the expert and the court would be in a position to consider the probative value of the evidence and attached the appropriate weight to the evidence. </w:t>
      </w:r>
    </w:p>
    <w:p w14:paraId="68ACDAFB" w14:textId="77777777" w:rsidR="005A4A2F" w:rsidRPr="005A4A2F" w:rsidRDefault="005A4A2F" w:rsidP="005A4A2F">
      <w:pPr>
        <w:pStyle w:val="ListParagraph"/>
        <w:rPr>
          <w:rFonts w:ascii="Arial" w:eastAsia="Times New Roman" w:hAnsi="Arial" w:cs="Times New Roman"/>
          <w:sz w:val="24"/>
          <w:szCs w:val="24"/>
          <w:lang w:val="en-GB"/>
        </w:rPr>
      </w:pPr>
    </w:p>
    <w:p w14:paraId="20495CC0" w14:textId="1E74AF2E" w:rsidR="009B3999" w:rsidRDefault="005A4A2F"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Experts should not omit material facts which may have detract from the final opinions.</w:t>
      </w:r>
      <w:r>
        <w:rPr>
          <w:rStyle w:val="FootnoteReference"/>
          <w:rFonts w:ascii="Arial" w:eastAsia="Times New Roman" w:hAnsi="Arial" w:cs="Times New Roman"/>
          <w:sz w:val="24"/>
          <w:szCs w:val="24"/>
          <w:lang w:val="en-GB"/>
        </w:rPr>
        <w:footnoteReference w:id="32"/>
      </w:r>
      <w:r>
        <w:rPr>
          <w:rFonts w:ascii="Arial" w:eastAsia="Times New Roman" w:hAnsi="Arial" w:cs="Times New Roman"/>
          <w:sz w:val="24"/>
          <w:szCs w:val="24"/>
          <w:lang w:val="en-GB"/>
        </w:rPr>
        <w:t xml:space="preserve"> Where the expert knows that there is a lack of research or insufficient dat</w:t>
      </w:r>
      <w:r w:rsidR="005E7758">
        <w:rPr>
          <w:rFonts w:ascii="Arial" w:eastAsia="Times New Roman" w:hAnsi="Arial" w:cs="Times New Roman"/>
          <w:sz w:val="24"/>
          <w:szCs w:val="24"/>
          <w:lang w:val="en-GB"/>
        </w:rPr>
        <w:t>a</w:t>
      </w:r>
      <w:r>
        <w:rPr>
          <w:rFonts w:ascii="Arial" w:eastAsia="Times New Roman" w:hAnsi="Arial" w:cs="Times New Roman"/>
          <w:sz w:val="24"/>
          <w:szCs w:val="24"/>
          <w:lang w:val="en-GB"/>
        </w:rPr>
        <w:t xml:space="preserve"> available, or if further facts is required, then the expert is duty bound to state this in the opinion</w:t>
      </w:r>
      <w:r w:rsidR="00B4211B">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w:t>
      </w:r>
      <w:r w:rsidR="00B4211B">
        <w:rPr>
          <w:rFonts w:ascii="Arial" w:eastAsia="Times New Roman" w:hAnsi="Arial" w:cs="Times New Roman"/>
          <w:sz w:val="24"/>
          <w:szCs w:val="24"/>
          <w:lang w:val="en-GB"/>
        </w:rPr>
        <w:t>T</w:t>
      </w:r>
      <w:r>
        <w:rPr>
          <w:rFonts w:ascii="Arial" w:eastAsia="Times New Roman" w:hAnsi="Arial" w:cs="Times New Roman"/>
          <w:sz w:val="24"/>
          <w:szCs w:val="24"/>
          <w:lang w:val="en-GB"/>
        </w:rPr>
        <w:t>he opinion must be subjected to a caveat or be declared provision</w:t>
      </w:r>
      <w:r w:rsidR="008326DB">
        <w:rPr>
          <w:rFonts w:ascii="Arial" w:eastAsia="Times New Roman" w:hAnsi="Arial" w:cs="Times New Roman"/>
          <w:sz w:val="24"/>
          <w:szCs w:val="24"/>
          <w:lang w:val="en-GB"/>
        </w:rPr>
        <w:t>al</w:t>
      </w:r>
      <w:r>
        <w:rPr>
          <w:rFonts w:ascii="Arial" w:eastAsia="Times New Roman" w:hAnsi="Arial" w:cs="Times New Roman"/>
          <w:sz w:val="24"/>
          <w:szCs w:val="24"/>
          <w:lang w:val="en-GB"/>
        </w:rPr>
        <w:t>.</w:t>
      </w:r>
      <w:r>
        <w:rPr>
          <w:rStyle w:val="FootnoteReference"/>
          <w:rFonts w:ascii="Arial" w:eastAsia="Times New Roman" w:hAnsi="Arial" w:cs="Times New Roman"/>
          <w:sz w:val="24"/>
          <w:szCs w:val="24"/>
          <w:lang w:val="en-GB"/>
        </w:rPr>
        <w:footnoteReference w:id="33"/>
      </w:r>
    </w:p>
    <w:p w14:paraId="5AA539EB" w14:textId="77777777" w:rsidR="00B4211B" w:rsidRPr="00B4211B" w:rsidRDefault="00B4211B" w:rsidP="00B4211B">
      <w:pPr>
        <w:pStyle w:val="ListParagraph"/>
        <w:rPr>
          <w:rFonts w:ascii="Arial" w:eastAsia="Times New Roman" w:hAnsi="Arial" w:cs="Times New Roman"/>
          <w:sz w:val="24"/>
          <w:szCs w:val="24"/>
          <w:lang w:val="en-GB"/>
        </w:rPr>
      </w:pPr>
    </w:p>
    <w:p w14:paraId="3A7FF9F7" w14:textId="32EDDEF5" w:rsidR="00B4211B" w:rsidRDefault="00B4211B"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Some of the expert</w:t>
      </w:r>
      <w:r w:rsidR="005E7758">
        <w:rPr>
          <w:rFonts w:ascii="Arial" w:eastAsia="Times New Roman" w:hAnsi="Arial" w:cs="Times New Roman"/>
          <w:sz w:val="24"/>
          <w:szCs w:val="24"/>
          <w:lang w:val="en-GB"/>
        </w:rPr>
        <w:t>s</w:t>
      </w:r>
      <w:r>
        <w:rPr>
          <w:rFonts w:ascii="Arial" w:eastAsia="Times New Roman" w:hAnsi="Arial" w:cs="Times New Roman"/>
          <w:sz w:val="24"/>
          <w:szCs w:val="24"/>
          <w:lang w:val="en-GB"/>
        </w:rPr>
        <w:t xml:space="preserve"> also relied on academic literature and research </w:t>
      </w:r>
      <w:r w:rsidR="005E7758">
        <w:rPr>
          <w:rFonts w:ascii="Arial" w:eastAsia="Times New Roman" w:hAnsi="Arial" w:cs="Times New Roman"/>
          <w:sz w:val="24"/>
          <w:szCs w:val="24"/>
          <w:lang w:val="en-GB"/>
        </w:rPr>
        <w:t>which</w:t>
      </w:r>
      <w:r>
        <w:rPr>
          <w:rFonts w:ascii="Arial" w:eastAsia="Times New Roman" w:hAnsi="Arial" w:cs="Times New Roman"/>
          <w:sz w:val="24"/>
          <w:szCs w:val="24"/>
          <w:lang w:val="en-GB"/>
        </w:rPr>
        <w:t xml:space="preserve"> the experts did not conduct personally. I turn to this next.</w:t>
      </w:r>
    </w:p>
    <w:p w14:paraId="032A2161" w14:textId="77777777" w:rsidR="009B3999" w:rsidRPr="009B3999" w:rsidRDefault="009B3999" w:rsidP="009B3999">
      <w:pPr>
        <w:rPr>
          <w:rFonts w:ascii="Arial" w:eastAsia="Times New Roman" w:hAnsi="Arial" w:cs="Times New Roman"/>
          <w:b/>
          <w:bCs/>
          <w:sz w:val="24"/>
          <w:szCs w:val="24"/>
          <w:lang w:val="en-GB"/>
        </w:rPr>
      </w:pPr>
    </w:p>
    <w:p w14:paraId="024F4867" w14:textId="77777777" w:rsidR="009B3999" w:rsidRPr="00546757" w:rsidRDefault="009B3999" w:rsidP="009B3999">
      <w:pPr>
        <w:rPr>
          <w:rFonts w:ascii="Arial" w:eastAsia="Times New Roman" w:hAnsi="Arial" w:cs="Times New Roman"/>
          <w:i/>
          <w:iCs/>
          <w:sz w:val="24"/>
          <w:szCs w:val="24"/>
          <w:u w:val="single"/>
          <w:lang w:val="en-GB"/>
        </w:rPr>
      </w:pPr>
      <w:r w:rsidRPr="00546757">
        <w:rPr>
          <w:rFonts w:ascii="Arial" w:eastAsia="Times New Roman" w:hAnsi="Arial" w:cs="Times New Roman"/>
          <w:i/>
          <w:iCs/>
          <w:sz w:val="24"/>
          <w:szCs w:val="24"/>
          <w:u w:val="single"/>
          <w:lang w:val="en-GB"/>
        </w:rPr>
        <w:t>Relying on the expertise of others</w:t>
      </w:r>
    </w:p>
    <w:p w14:paraId="369959CF" w14:textId="1A39B98F" w:rsidR="009B3999" w:rsidRDefault="009B3999" w:rsidP="00AF6DDF">
      <w:pPr>
        <w:pStyle w:val="ListParagraph"/>
        <w:numPr>
          <w:ilvl w:val="0"/>
          <w:numId w:val="3"/>
        </w:numPr>
        <w:spacing w:after="200" w:line="480" w:lineRule="auto"/>
        <w:jc w:val="both"/>
        <w:rPr>
          <w:rFonts w:ascii="Arial" w:eastAsia="Times New Roman" w:hAnsi="Arial" w:cs="Times New Roman"/>
          <w:sz w:val="24"/>
          <w:szCs w:val="24"/>
          <w:lang w:val="en-GB"/>
        </w:rPr>
      </w:pPr>
      <w:r w:rsidRPr="0007270E">
        <w:rPr>
          <w:rFonts w:ascii="Arial" w:eastAsia="Times New Roman" w:hAnsi="Arial" w:cs="Times New Roman"/>
          <w:sz w:val="24"/>
          <w:szCs w:val="24"/>
          <w:lang w:val="en-GB"/>
        </w:rPr>
        <w:t xml:space="preserve">Dr Kumbirai relied on the expertise of others in his report, more specifically on the work of </w:t>
      </w:r>
      <w:r w:rsidRPr="009B3999">
        <w:rPr>
          <w:rFonts w:ascii="Arial" w:eastAsia="Times New Roman" w:hAnsi="Arial" w:cs="Times New Roman"/>
          <w:i/>
          <w:iCs/>
          <w:sz w:val="24"/>
          <w:szCs w:val="24"/>
          <w:lang w:val="en-GB"/>
        </w:rPr>
        <w:t xml:space="preserve">Koostra, Hullenberg &amp; Finsen </w:t>
      </w:r>
      <w:r w:rsidR="00B4211B">
        <w:rPr>
          <w:rFonts w:ascii="Arial" w:eastAsia="Times New Roman" w:hAnsi="Arial" w:cs="Times New Roman"/>
          <w:sz w:val="24"/>
          <w:szCs w:val="24"/>
          <w:lang w:val="en-GB"/>
        </w:rPr>
        <w:t xml:space="preserve">on the one hand </w:t>
      </w:r>
      <w:r w:rsidRPr="009B3999">
        <w:rPr>
          <w:rFonts w:ascii="Arial" w:eastAsia="Times New Roman" w:hAnsi="Arial" w:cs="Times New Roman"/>
          <w:sz w:val="24"/>
          <w:szCs w:val="24"/>
          <w:lang w:val="en-GB"/>
        </w:rPr>
        <w:t>and</w:t>
      </w:r>
      <w:r w:rsidRPr="009B3999">
        <w:rPr>
          <w:rFonts w:ascii="Arial" w:eastAsia="Times New Roman" w:hAnsi="Arial" w:cs="Times New Roman"/>
          <w:i/>
          <w:iCs/>
          <w:sz w:val="24"/>
          <w:szCs w:val="24"/>
          <w:lang w:val="en-GB"/>
        </w:rPr>
        <w:t xml:space="preserve"> Zetterberg et al</w:t>
      </w:r>
      <w:r w:rsidR="00B4211B">
        <w:rPr>
          <w:rFonts w:ascii="Arial" w:eastAsia="Times New Roman" w:hAnsi="Arial" w:cs="Times New Roman"/>
          <w:sz w:val="24"/>
          <w:szCs w:val="24"/>
          <w:lang w:val="en-GB"/>
        </w:rPr>
        <w:t xml:space="preserve"> on the other.</w:t>
      </w:r>
      <w:r w:rsidRPr="0007270E">
        <w:rPr>
          <w:rFonts w:ascii="Arial" w:eastAsia="Times New Roman" w:hAnsi="Arial" w:cs="Times New Roman"/>
          <w:sz w:val="24"/>
          <w:szCs w:val="24"/>
          <w:lang w:val="en-GB"/>
        </w:rPr>
        <w:t xml:space="preserve"> Mr Sechudi (</w:t>
      </w:r>
      <w:r w:rsidR="005E7758">
        <w:rPr>
          <w:rFonts w:ascii="Arial" w:eastAsia="Times New Roman" w:hAnsi="Arial" w:cs="Times New Roman"/>
          <w:sz w:val="24"/>
          <w:szCs w:val="24"/>
          <w:lang w:val="en-GB"/>
        </w:rPr>
        <w:t>I</w:t>
      </w:r>
      <w:r w:rsidRPr="0007270E">
        <w:rPr>
          <w:rFonts w:ascii="Arial" w:eastAsia="Times New Roman" w:hAnsi="Arial" w:cs="Times New Roman"/>
          <w:sz w:val="24"/>
          <w:szCs w:val="24"/>
          <w:lang w:val="en-GB"/>
        </w:rPr>
        <w:t xml:space="preserve">ndustrial </w:t>
      </w:r>
      <w:r w:rsidR="005E7758">
        <w:rPr>
          <w:rFonts w:ascii="Arial" w:eastAsia="Times New Roman" w:hAnsi="Arial" w:cs="Times New Roman"/>
          <w:sz w:val="24"/>
          <w:szCs w:val="24"/>
          <w:lang w:val="en-GB"/>
        </w:rPr>
        <w:t>P</w:t>
      </w:r>
      <w:r w:rsidRPr="0007270E">
        <w:rPr>
          <w:rFonts w:ascii="Arial" w:eastAsia="Times New Roman" w:hAnsi="Arial" w:cs="Times New Roman"/>
          <w:sz w:val="24"/>
          <w:szCs w:val="24"/>
          <w:lang w:val="en-GB"/>
        </w:rPr>
        <w:t xml:space="preserve">sychologist) relies on the work of </w:t>
      </w:r>
      <w:r w:rsidRPr="009B3999">
        <w:rPr>
          <w:rFonts w:ascii="Arial" w:eastAsia="Times New Roman" w:hAnsi="Arial" w:cs="Times New Roman"/>
          <w:i/>
          <w:iCs/>
          <w:sz w:val="24"/>
          <w:szCs w:val="24"/>
          <w:lang w:val="en-GB"/>
        </w:rPr>
        <w:t>Foxcroft and Roodt</w:t>
      </w:r>
      <w:r w:rsidRPr="0007270E">
        <w:rPr>
          <w:rFonts w:ascii="Arial" w:eastAsia="Times New Roman" w:hAnsi="Arial" w:cs="Times New Roman"/>
          <w:sz w:val="24"/>
          <w:szCs w:val="24"/>
          <w:lang w:val="en-GB"/>
        </w:rPr>
        <w:t>.</w:t>
      </w:r>
      <w:r w:rsidRPr="009B3999">
        <w:rPr>
          <w:rFonts w:ascii="Arial" w:eastAsia="Times New Roman" w:hAnsi="Arial" w:cs="Times New Roman"/>
          <w:sz w:val="24"/>
          <w:szCs w:val="24"/>
          <w:lang w:val="en-GB"/>
        </w:rPr>
        <w:t xml:space="preserve"> Dr Segwapa (</w:t>
      </w:r>
      <w:r w:rsidR="005E7758">
        <w:rPr>
          <w:rFonts w:ascii="Arial" w:eastAsia="Times New Roman" w:hAnsi="Arial" w:cs="Times New Roman"/>
          <w:sz w:val="24"/>
          <w:szCs w:val="24"/>
          <w:lang w:val="en-GB"/>
        </w:rPr>
        <w:t>N</w:t>
      </w:r>
      <w:r w:rsidRPr="009B3999">
        <w:rPr>
          <w:rFonts w:ascii="Arial" w:eastAsia="Times New Roman" w:hAnsi="Arial" w:cs="Times New Roman"/>
          <w:sz w:val="24"/>
          <w:szCs w:val="24"/>
          <w:lang w:val="en-GB"/>
        </w:rPr>
        <w:t xml:space="preserve">euro </w:t>
      </w:r>
      <w:r w:rsidR="005E7758">
        <w:rPr>
          <w:rFonts w:ascii="Arial" w:eastAsia="Times New Roman" w:hAnsi="Arial" w:cs="Times New Roman"/>
          <w:sz w:val="24"/>
          <w:szCs w:val="24"/>
          <w:lang w:val="en-GB"/>
        </w:rPr>
        <w:t>S</w:t>
      </w:r>
      <w:r w:rsidRPr="009B3999">
        <w:rPr>
          <w:rFonts w:ascii="Arial" w:eastAsia="Times New Roman" w:hAnsi="Arial" w:cs="Times New Roman"/>
          <w:sz w:val="24"/>
          <w:szCs w:val="24"/>
          <w:lang w:val="en-GB"/>
        </w:rPr>
        <w:t>urgeon) opine that ‘</w:t>
      </w:r>
      <w:r w:rsidRPr="009B3999">
        <w:rPr>
          <w:rFonts w:ascii="Arial" w:eastAsia="Times New Roman" w:hAnsi="Arial" w:cs="Times New Roman"/>
          <w:i/>
          <w:iCs/>
          <w:sz w:val="24"/>
          <w:szCs w:val="24"/>
          <w:lang w:val="en-GB"/>
        </w:rPr>
        <w:t>It is well documented in the neurosurgical literature that +/- 80% of patient (sic) suffering from post-concussive headaches recover within 2-3 years…</w:t>
      </w:r>
      <w:r w:rsidRPr="009B3999">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The court is not informed as to the </w:t>
      </w:r>
      <w:r w:rsidR="00B4211B">
        <w:rPr>
          <w:rFonts w:ascii="Arial" w:eastAsia="Times New Roman" w:hAnsi="Arial" w:cs="Times New Roman"/>
          <w:sz w:val="24"/>
          <w:szCs w:val="24"/>
          <w:lang w:val="en-GB"/>
        </w:rPr>
        <w:t xml:space="preserve">specific </w:t>
      </w:r>
      <w:r>
        <w:rPr>
          <w:rFonts w:ascii="Arial" w:eastAsia="Times New Roman" w:hAnsi="Arial" w:cs="Times New Roman"/>
          <w:sz w:val="24"/>
          <w:szCs w:val="24"/>
          <w:lang w:val="en-GB"/>
        </w:rPr>
        <w:t xml:space="preserve">literature </w:t>
      </w:r>
      <w:r w:rsidR="00B4211B">
        <w:rPr>
          <w:rFonts w:ascii="Arial" w:eastAsia="Times New Roman" w:hAnsi="Arial" w:cs="Times New Roman"/>
          <w:sz w:val="24"/>
          <w:szCs w:val="24"/>
          <w:lang w:val="en-GB"/>
        </w:rPr>
        <w:t xml:space="preserve">that Dr Segwapa </w:t>
      </w:r>
      <w:r w:rsidR="00546757">
        <w:rPr>
          <w:rFonts w:ascii="Arial" w:eastAsia="Times New Roman" w:hAnsi="Arial" w:cs="Times New Roman"/>
          <w:sz w:val="24"/>
          <w:szCs w:val="24"/>
          <w:lang w:val="en-GB"/>
        </w:rPr>
        <w:t>relies</w:t>
      </w:r>
      <w:r>
        <w:rPr>
          <w:rFonts w:ascii="Arial" w:eastAsia="Times New Roman" w:hAnsi="Arial" w:cs="Times New Roman"/>
          <w:sz w:val="24"/>
          <w:szCs w:val="24"/>
          <w:lang w:val="en-GB"/>
        </w:rPr>
        <w:t xml:space="preserve"> on. </w:t>
      </w:r>
    </w:p>
    <w:p w14:paraId="0BC920C5" w14:textId="77777777" w:rsidR="009B3999" w:rsidRDefault="009B3999" w:rsidP="009B3999">
      <w:pPr>
        <w:pStyle w:val="ListParagraph"/>
        <w:spacing w:after="200" w:line="480" w:lineRule="auto"/>
        <w:ind w:left="360"/>
        <w:jc w:val="both"/>
        <w:rPr>
          <w:rFonts w:ascii="Arial" w:eastAsia="Times New Roman" w:hAnsi="Arial" w:cs="Times New Roman"/>
          <w:sz w:val="24"/>
          <w:szCs w:val="24"/>
          <w:lang w:val="en-GB"/>
        </w:rPr>
      </w:pPr>
    </w:p>
    <w:p w14:paraId="0C9D7710" w14:textId="19645C53" w:rsidR="009B3999" w:rsidRPr="009B3999" w:rsidRDefault="009B3999" w:rsidP="00AF6DDF">
      <w:pPr>
        <w:pStyle w:val="ListParagraph"/>
        <w:numPr>
          <w:ilvl w:val="0"/>
          <w:numId w:val="3"/>
        </w:numPr>
        <w:spacing w:after="200" w:line="480" w:lineRule="auto"/>
        <w:jc w:val="both"/>
        <w:rPr>
          <w:rFonts w:asciiTheme="minorBidi" w:eastAsia="Calibri" w:hAnsiTheme="minorBidi"/>
          <w:sz w:val="24"/>
        </w:rPr>
      </w:pPr>
      <w:r w:rsidRPr="009B3999">
        <w:rPr>
          <w:rFonts w:asciiTheme="minorBidi" w:eastAsia="Calibri" w:hAnsiTheme="minorBidi"/>
          <w:sz w:val="24"/>
          <w:lang w:val="en-US"/>
        </w:rPr>
        <w:lastRenderedPageBreak/>
        <w:t xml:space="preserve">An expert must either personally have the knowledge or experience in a field or rely on the experience and knowledge of others, who are </w:t>
      </w:r>
      <w:r w:rsidRPr="009B3999">
        <w:rPr>
          <w:rFonts w:asciiTheme="minorBidi" w:eastAsia="Calibri" w:hAnsiTheme="minorBidi"/>
          <w:sz w:val="24"/>
        </w:rPr>
        <w:t>known to be acceptable experts in the field</w:t>
      </w:r>
      <w:r>
        <w:rPr>
          <w:rFonts w:asciiTheme="minorBidi" w:eastAsia="Calibri" w:hAnsiTheme="minorBidi"/>
          <w:sz w:val="24"/>
          <w:lang w:val="en-US"/>
        </w:rPr>
        <w:t>.</w:t>
      </w:r>
      <w:r w:rsidRPr="004D1389">
        <w:rPr>
          <w:vertAlign w:val="superscript"/>
          <w:lang w:val="en-US"/>
        </w:rPr>
        <w:footnoteReference w:id="34"/>
      </w:r>
      <w:r w:rsidRPr="009B3999">
        <w:rPr>
          <w:rFonts w:asciiTheme="minorBidi" w:eastAsia="Calibri" w:hAnsiTheme="minorBidi"/>
          <w:sz w:val="24"/>
        </w:rPr>
        <w:t xml:space="preserve"> It is </w:t>
      </w:r>
      <w:r w:rsidRPr="009B3999">
        <w:rPr>
          <w:rFonts w:asciiTheme="minorBidi" w:eastAsia="Calibri" w:hAnsiTheme="minorBidi"/>
          <w:sz w:val="24"/>
          <w:lang w:val="en-US"/>
        </w:rPr>
        <w:t>easier for the court to make a ruling where the expert opinion is based on actual or direct knowledge of the testifying expert, as opposed to relying on acknowledged authors or authority, even though it also is an accepted method.</w:t>
      </w:r>
      <w:r w:rsidRPr="004D1389">
        <w:rPr>
          <w:vertAlign w:val="superscript"/>
          <w:lang w:val="en-US"/>
        </w:rPr>
        <w:footnoteReference w:id="35"/>
      </w:r>
      <w:r w:rsidRPr="009B3999">
        <w:rPr>
          <w:rFonts w:asciiTheme="minorBidi" w:eastAsia="Calibri" w:hAnsiTheme="minorBidi"/>
          <w:sz w:val="24"/>
          <w:lang w:val="en-US"/>
        </w:rPr>
        <w:t xml:space="preserve"> </w:t>
      </w:r>
    </w:p>
    <w:p w14:paraId="0FED5FC1" w14:textId="77777777" w:rsidR="009B3999" w:rsidRPr="0007270E" w:rsidRDefault="009B3999" w:rsidP="009B3999">
      <w:pPr>
        <w:pStyle w:val="ListParagraph"/>
        <w:rPr>
          <w:rFonts w:asciiTheme="minorBidi" w:eastAsia="Calibri" w:hAnsiTheme="minorBidi"/>
          <w:sz w:val="24"/>
        </w:rPr>
      </w:pPr>
    </w:p>
    <w:p w14:paraId="45877913" w14:textId="77777777" w:rsidR="00B4211B" w:rsidRPr="00B4211B" w:rsidRDefault="009B3999" w:rsidP="00AF6DDF">
      <w:pPr>
        <w:pStyle w:val="ListParagraph"/>
        <w:numPr>
          <w:ilvl w:val="0"/>
          <w:numId w:val="3"/>
        </w:numPr>
        <w:spacing w:after="200" w:line="480" w:lineRule="auto"/>
        <w:jc w:val="both"/>
        <w:rPr>
          <w:rFonts w:asciiTheme="minorBidi" w:eastAsia="Calibri" w:hAnsiTheme="minorBidi"/>
          <w:sz w:val="24"/>
        </w:rPr>
      </w:pPr>
      <w:r w:rsidRPr="0007270E">
        <w:rPr>
          <w:rFonts w:asciiTheme="minorBidi" w:eastAsia="Calibri" w:hAnsiTheme="minorBidi"/>
          <w:sz w:val="24"/>
        </w:rPr>
        <w:t>An expert may refer to the writing/opinion of others in support of his/her own opinion or for purposes of refreshing his/her memory, provided that the expert has sufficient personal knowledge in relation to the subject to express an opinion.</w:t>
      </w:r>
      <w:r w:rsidRPr="004D1389">
        <w:rPr>
          <w:vertAlign w:val="superscript"/>
        </w:rPr>
        <w:footnoteReference w:id="36"/>
      </w:r>
      <w:r w:rsidRPr="0007270E">
        <w:rPr>
          <w:rFonts w:asciiTheme="minorBidi" w:eastAsia="Calibri" w:hAnsiTheme="minorBidi"/>
          <w:sz w:val="24"/>
          <w:lang w:val="en-US"/>
        </w:rPr>
        <w:t xml:space="preserve"> Experts, relying on facts known to them only by their reliance on the authority of others, such as textbooks, technically give hearsay evidence, where the author of the book is not called as a witness.</w:t>
      </w:r>
      <w:r w:rsidRPr="004D1389">
        <w:rPr>
          <w:vertAlign w:val="superscript"/>
          <w:lang w:val="en-US"/>
        </w:rPr>
        <w:footnoteReference w:id="37"/>
      </w:r>
      <w:r w:rsidRPr="0007270E">
        <w:rPr>
          <w:rFonts w:asciiTheme="minorBidi" w:eastAsia="Calibri" w:hAnsiTheme="minorBidi"/>
          <w:sz w:val="24"/>
          <w:lang w:val="en-US"/>
        </w:rPr>
        <w:t xml:space="preserve"> To reject an expert’s opinion on this basis would set impossible standards, because it is practically unrealistic and repudiates accepted methods of professionalism.</w:t>
      </w:r>
      <w:r w:rsidRPr="004D1389">
        <w:rPr>
          <w:vertAlign w:val="superscript"/>
          <w:lang w:val="en-US"/>
        </w:rPr>
        <w:footnoteReference w:id="38"/>
      </w:r>
      <w:r w:rsidRPr="0007270E">
        <w:rPr>
          <w:rFonts w:asciiTheme="minorBidi" w:eastAsia="Calibri" w:hAnsiTheme="minorBidi"/>
          <w:sz w:val="24"/>
          <w:lang w:val="en-US"/>
        </w:rPr>
        <w:t xml:space="preserve"> </w:t>
      </w:r>
    </w:p>
    <w:p w14:paraId="793CA7F7" w14:textId="77777777" w:rsidR="00B4211B" w:rsidRPr="00B4211B" w:rsidRDefault="00B4211B" w:rsidP="00B4211B">
      <w:pPr>
        <w:pStyle w:val="ListParagraph"/>
        <w:rPr>
          <w:rFonts w:asciiTheme="minorBidi" w:eastAsia="Calibri" w:hAnsiTheme="minorBidi"/>
          <w:sz w:val="24"/>
        </w:rPr>
      </w:pPr>
    </w:p>
    <w:p w14:paraId="43F319E4" w14:textId="77777777" w:rsidR="00B97E20" w:rsidRDefault="009B3999" w:rsidP="00AF6DDF">
      <w:pPr>
        <w:pStyle w:val="ListParagraph"/>
        <w:numPr>
          <w:ilvl w:val="0"/>
          <w:numId w:val="3"/>
        </w:numPr>
        <w:spacing w:after="200" w:line="480" w:lineRule="auto"/>
        <w:jc w:val="both"/>
        <w:rPr>
          <w:rFonts w:asciiTheme="minorBidi" w:eastAsia="Calibri" w:hAnsiTheme="minorBidi"/>
          <w:sz w:val="24"/>
        </w:rPr>
      </w:pPr>
      <w:r w:rsidRPr="0007270E">
        <w:rPr>
          <w:rFonts w:asciiTheme="minorBidi" w:eastAsia="Calibri" w:hAnsiTheme="minorBidi"/>
          <w:sz w:val="24"/>
        </w:rPr>
        <w:t xml:space="preserve">Experts can </w:t>
      </w:r>
      <w:r w:rsidR="00B4211B">
        <w:rPr>
          <w:rFonts w:asciiTheme="minorBidi" w:eastAsia="Calibri" w:hAnsiTheme="minorBidi"/>
          <w:sz w:val="24"/>
        </w:rPr>
        <w:t xml:space="preserve">thus </w:t>
      </w:r>
      <w:r w:rsidRPr="0007270E">
        <w:rPr>
          <w:rFonts w:asciiTheme="minorBidi" w:eastAsia="Calibri" w:hAnsiTheme="minorBidi"/>
          <w:sz w:val="24"/>
        </w:rPr>
        <w:t>competently rely on textbooks if it is established that the expert relying on the textbook</w:t>
      </w:r>
      <w:r w:rsidR="00B4211B">
        <w:rPr>
          <w:rFonts w:asciiTheme="minorBidi" w:eastAsia="Calibri" w:hAnsiTheme="minorBidi"/>
          <w:sz w:val="24"/>
        </w:rPr>
        <w:t xml:space="preserve"> or academic literature</w:t>
      </w:r>
      <w:r w:rsidRPr="0007270E">
        <w:rPr>
          <w:rFonts w:asciiTheme="minorBidi" w:eastAsia="Calibri" w:hAnsiTheme="minorBidi"/>
          <w:sz w:val="24"/>
        </w:rPr>
        <w:t>:</w:t>
      </w:r>
    </w:p>
    <w:p w14:paraId="603523AB" w14:textId="77777777" w:rsidR="00B97E20" w:rsidRPr="00B97E20" w:rsidRDefault="00B97E20" w:rsidP="00B97E20">
      <w:pPr>
        <w:pStyle w:val="ListParagraph"/>
        <w:rPr>
          <w:rFonts w:asciiTheme="minorBidi" w:eastAsia="Calibri" w:hAnsiTheme="minorBidi"/>
          <w:sz w:val="24"/>
        </w:rPr>
      </w:pPr>
    </w:p>
    <w:p w14:paraId="6D2279A0" w14:textId="77777777" w:rsidR="00B97E20" w:rsidRDefault="009B3999" w:rsidP="00AF6DDF">
      <w:pPr>
        <w:pStyle w:val="ListParagraph"/>
        <w:numPr>
          <w:ilvl w:val="1"/>
          <w:numId w:val="3"/>
        </w:numPr>
        <w:spacing w:after="200" w:line="480" w:lineRule="auto"/>
        <w:ind w:left="1134" w:hanging="708"/>
        <w:jc w:val="both"/>
        <w:rPr>
          <w:rFonts w:asciiTheme="minorBidi" w:eastAsia="Calibri" w:hAnsiTheme="minorBidi"/>
          <w:sz w:val="24"/>
        </w:rPr>
      </w:pPr>
      <w:r w:rsidRPr="00B97E20">
        <w:rPr>
          <w:rFonts w:asciiTheme="minorBidi" w:eastAsia="Calibri" w:hAnsiTheme="minorBidi"/>
          <w:sz w:val="24"/>
        </w:rPr>
        <w:t>Can, by virtue of his/her own training, at least in principle, affirm the correctness and trustworthiness of the content of the passage.</w:t>
      </w:r>
    </w:p>
    <w:p w14:paraId="24DFACFA" w14:textId="3225B20B" w:rsidR="00B97E20" w:rsidRPr="00B97E20" w:rsidRDefault="009B3999" w:rsidP="00AF6DDF">
      <w:pPr>
        <w:pStyle w:val="ListParagraph"/>
        <w:numPr>
          <w:ilvl w:val="1"/>
          <w:numId w:val="3"/>
        </w:numPr>
        <w:spacing w:after="200" w:line="480" w:lineRule="auto"/>
        <w:ind w:left="1134" w:hanging="708"/>
        <w:jc w:val="both"/>
        <w:rPr>
          <w:rFonts w:asciiTheme="minorBidi" w:eastAsia="Calibri" w:hAnsiTheme="minorBidi"/>
          <w:sz w:val="24"/>
        </w:rPr>
      </w:pPr>
      <w:r w:rsidRPr="00B97E20">
        <w:rPr>
          <w:rFonts w:asciiTheme="minorBidi" w:eastAsia="Calibri" w:hAnsiTheme="minorBidi"/>
          <w:sz w:val="24"/>
        </w:rPr>
        <w:lastRenderedPageBreak/>
        <w:t xml:space="preserve">By personal observation, </w:t>
      </w:r>
      <w:r w:rsidR="00546757">
        <w:rPr>
          <w:rFonts w:asciiTheme="minorBidi" w:eastAsia="Calibri" w:hAnsiTheme="minorBidi"/>
          <w:sz w:val="24"/>
        </w:rPr>
        <w:t xml:space="preserve">the expert </w:t>
      </w:r>
      <w:r w:rsidRPr="00B97E20">
        <w:rPr>
          <w:rFonts w:asciiTheme="minorBidi" w:eastAsia="Calibri" w:hAnsiTheme="minorBidi"/>
          <w:sz w:val="24"/>
        </w:rPr>
        <w:t xml:space="preserve">is competent to affirm that the referenced text is </w:t>
      </w:r>
      <w:r w:rsidRPr="00B97E20">
        <w:rPr>
          <w:rFonts w:asciiTheme="minorBidi" w:eastAsia="Calibri" w:hAnsiTheme="minorBidi"/>
          <w:sz w:val="24"/>
          <w:lang w:val="en-US"/>
        </w:rPr>
        <w:t xml:space="preserve">plausible, probable, sound and/or reliable and </w:t>
      </w:r>
      <w:r w:rsidRPr="00B97E20">
        <w:rPr>
          <w:rFonts w:asciiTheme="minorBidi" w:eastAsia="Calibri" w:hAnsiTheme="minorBidi"/>
          <w:sz w:val="24"/>
        </w:rPr>
        <w:t>has been written by a reputable and experienced person in the relevant discipline;</w:t>
      </w:r>
      <w:r w:rsidRPr="004D1389">
        <w:rPr>
          <w:vertAlign w:val="superscript"/>
        </w:rPr>
        <w:footnoteReference w:id="39"/>
      </w:r>
      <w:r w:rsidRPr="00B97E20">
        <w:rPr>
          <w:rFonts w:asciiTheme="minorBidi" w:eastAsia="Calibri" w:hAnsiTheme="minorBidi"/>
          <w:sz w:val="24"/>
        </w:rPr>
        <w:t xml:space="preserve"> and</w:t>
      </w:r>
      <w:r w:rsidRPr="00B97E20">
        <w:rPr>
          <w:rFonts w:asciiTheme="minorBidi" w:eastAsia="Calibri" w:hAnsiTheme="minorBidi"/>
          <w:sz w:val="24"/>
          <w:vertAlign w:val="superscript"/>
          <w:lang w:val="en-US"/>
        </w:rPr>
        <w:t xml:space="preserve"> </w:t>
      </w:r>
    </w:p>
    <w:p w14:paraId="60553B1A" w14:textId="13F7CF7D" w:rsidR="009B3999" w:rsidRPr="00B97E20" w:rsidRDefault="009B3999" w:rsidP="00AF6DDF">
      <w:pPr>
        <w:pStyle w:val="ListParagraph"/>
        <w:numPr>
          <w:ilvl w:val="1"/>
          <w:numId w:val="3"/>
        </w:numPr>
        <w:spacing w:after="200" w:line="480" w:lineRule="auto"/>
        <w:ind w:left="1134" w:hanging="708"/>
        <w:jc w:val="both"/>
        <w:rPr>
          <w:rFonts w:asciiTheme="minorBidi" w:eastAsia="Calibri" w:hAnsiTheme="minorBidi"/>
          <w:sz w:val="24"/>
        </w:rPr>
      </w:pPr>
      <w:r w:rsidRPr="00B97E20">
        <w:rPr>
          <w:rFonts w:asciiTheme="minorBidi" w:eastAsia="Calibri" w:hAnsiTheme="minorBidi"/>
          <w:sz w:val="24"/>
          <w:lang w:val="en-US"/>
        </w:rPr>
        <w:t>It is impossible to secure the data otherwise.</w:t>
      </w:r>
      <w:r w:rsidRPr="004D1389">
        <w:rPr>
          <w:vertAlign w:val="superscript"/>
          <w:lang w:val="en-US"/>
        </w:rPr>
        <w:footnoteReference w:id="40"/>
      </w:r>
      <w:r w:rsidRPr="00B97E20">
        <w:rPr>
          <w:rFonts w:asciiTheme="minorBidi" w:eastAsia="Calibri" w:hAnsiTheme="minorBidi"/>
          <w:sz w:val="24"/>
        </w:rPr>
        <w:t xml:space="preserve"> </w:t>
      </w:r>
    </w:p>
    <w:p w14:paraId="1B374756" w14:textId="77777777" w:rsidR="009B3999" w:rsidRPr="009B3999" w:rsidRDefault="009B3999" w:rsidP="009B3999">
      <w:pPr>
        <w:pStyle w:val="ListParagraph"/>
        <w:spacing w:after="200" w:line="480" w:lineRule="auto"/>
        <w:ind w:left="1134"/>
        <w:jc w:val="both"/>
        <w:rPr>
          <w:rFonts w:asciiTheme="minorBidi" w:eastAsia="Calibri" w:hAnsiTheme="minorBidi"/>
          <w:sz w:val="24"/>
        </w:rPr>
      </w:pPr>
    </w:p>
    <w:p w14:paraId="1B792E97" w14:textId="0C98F67A" w:rsidR="009B3999" w:rsidRPr="00B97E20" w:rsidRDefault="009B3999" w:rsidP="00AF6DDF">
      <w:pPr>
        <w:pStyle w:val="ListParagraph"/>
        <w:numPr>
          <w:ilvl w:val="0"/>
          <w:numId w:val="3"/>
        </w:numPr>
        <w:spacing w:after="200" w:line="480" w:lineRule="auto"/>
        <w:jc w:val="both"/>
        <w:rPr>
          <w:rFonts w:asciiTheme="minorBidi" w:eastAsia="Calibri" w:hAnsiTheme="minorBidi"/>
          <w:sz w:val="24"/>
        </w:rPr>
      </w:pPr>
      <w:r w:rsidRPr="0007270E">
        <w:rPr>
          <w:rFonts w:asciiTheme="minorBidi" w:eastAsia="Calibri" w:hAnsiTheme="minorBidi"/>
          <w:sz w:val="24"/>
        </w:rPr>
        <w:t>Where an expert refers to what has been written, the referenced material becomes part of his/her opinion and not the other portions of the material, unless such material was the subject of cross examination.</w:t>
      </w:r>
      <w:r w:rsidRPr="004D1389">
        <w:rPr>
          <w:vertAlign w:val="superscript"/>
        </w:rPr>
        <w:footnoteReference w:id="41"/>
      </w:r>
      <w:r>
        <w:rPr>
          <w:rFonts w:asciiTheme="minorBidi" w:eastAsia="Calibri" w:hAnsiTheme="minorBidi"/>
          <w:sz w:val="24"/>
        </w:rPr>
        <w:t xml:space="preserve"> </w:t>
      </w:r>
      <w:r w:rsidR="00B4211B">
        <w:rPr>
          <w:rFonts w:asciiTheme="minorBidi" w:eastAsia="Calibri" w:hAnsiTheme="minorBidi"/>
          <w:sz w:val="24"/>
          <w:lang w:val="en-US"/>
        </w:rPr>
        <w:t>T</w:t>
      </w:r>
      <w:r w:rsidR="00B4211B" w:rsidRPr="0007270E">
        <w:rPr>
          <w:rFonts w:asciiTheme="minorBidi" w:eastAsia="Calibri" w:hAnsiTheme="minorBidi"/>
          <w:sz w:val="24"/>
          <w:lang w:val="en-US"/>
        </w:rPr>
        <w:t xml:space="preserve">he court </w:t>
      </w:r>
      <w:r w:rsidR="00B4211B">
        <w:rPr>
          <w:rFonts w:asciiTheme="minorBidi" w:eastAsia="Calibri" w:hAnsiTheme="minorBidi"/>
          <w:sz w:val="24"/>
          <w:lang w:val="en-US"/>
        </w:rPr>
        <w:t>cannot</w:t>
      </w:r>
      <w:r w:rsidR="00B4211B" w:rsidRPr="0007270E">
        <w:rPr>
          <w:rFonts w:asciiTheme="minorBidi" w:eastAsia="Calibri" w:hAnsiTheme="minorBidi"/>
          <w:sz w:val="24"/>
          <w:lang w:val="en-US"/>
        </w:rPr>
        <w:t xml:space="preserve"> rely on publications (or part thereof) if the expert did not approve or refer to </w:t>
      </w:r>
      <w:r w:rsidR="00B4211B">
        <w:rPr>
          <w:rFonts w:asciiTheme="minorBidi" w:eastAsia="Calibri" w:hAnsiTheme="minorBidi"/>
          <w:sz w:val="24"/>
          <w:lang w:val="en-US"/>
        </w:rPr>
        <w:t>it</w:t>
      </w:r>
      <w:r w:rsidR="00B4211B" w:rsidRPr="0007270E">
        <w:rPr>
          <w:rFonts w:asciiTheme="minorBidi" w:eastAsia="Calibri" w:hAnsiTheme="minorBidi"/>
          <w:sz w:val="24"/>
          <w:lang w:val="en-US"/>
        </w:rPr>
        <w:t>.</w:t>
      </w:r>
      <w:r w:rsidR="00B4211B" w:rsidRPr="004D1389">
        <w:rPr>
          <w:vertAlign w:val="superscript"/>
          <w:lang w:val="en-US"/>
        </w:rPr>
        <w:footnoteReference w:id="42"/>
      </w:r>
    </w:p>
    <w:p w14:paraId="364C3267" w14:textId="77777777" w:rsidR="00B97E20" w:rsidRPr="00B4211B" w:rsidRDefault="00B97E20" w:rsidP="00B97E20">
      <w:pPr>
        <w:pStyle w:val="ListParagraph"/>
        <w:spacing w:after="200" w:line="480" w:lineRule="auto"/>
        <w:ind w:left="360"/>
        <w:jc w:val="both"/>
        <w:rPr>
          <w:rFonts w:asciiTheme="minorBidi" w:eastAsia="Calibri" w:hAnsiTheme="minorBidi"/>
          <w:sz w:val="24"/>
        </w:rPr>
      </w:pPr>
    </w:p>
    <w:p w14:paraId="04AA8E09" w14:textId="2A4D9154" w:rsidR="009B3999" w:rsidRDefault="009B3999" w:rsidP="00AF6DDF">
      <w:pPr>
        <w:pStyle w:val="ListParagraph"/>
        <w:numPr>
          <w:ilvl w:val="0"/>
          <w:numId w:val="3"/>
        </w:numPr>
        <w:spacing w:after="200" w:line="480" w:lineRule="auto"/>
        <w:jc w:val="both"/>
        <w:rPr>
          <w:rFonts w:asciiTheme="minorBidi" w:eastAsia="Calibri" w:hAnsiTheme="minorBidi"/>
          <w:sz w:val="24"/>
        </w:rPr>
      </w:pPr>
      <w:r>
        <w:rPr>
          <w:rFonts w:asciiTheme="minorBidi" w:eastAsia="Calibri" w:hAnsiTheme="minorBidi"/>
          <w:sz w:val="24"/>
        </w:rPr>
        <w:t xml:space="preserve">In </w:t>
      </w:r>
      <w:r w:rsidRPr="005E7758">
        <w:rPr>
          <w:rFonts w:asciiTheme="minorBidi" w:eastAsia="Calibri" w:hAnsiTheme="minorBidi"/>
          <w:i/>
          <w:iCs/>
          <w:sz w:val="24"/>
        </w:rPr>
        <w:t>casu</w:t>
      </w:r>
      <w:r>
        <w:rPr>
          <w:rFonts w:asciiTheme="minorBidi" w:eastAsia="Calibri" w:hAnsiTheme="minorBidi"/>
          <w:sz w:val="24"/>
        </w:rPr>
        <w:t xml:space="preserve">, the experts merely referred to the </w:t>
      </w:r>
      <w:r w:rsidR="00295D36">
        <w:rPr>
          <w:rFonts w:asciiTheme="minorBidi" w:eastAsia="Calibri" w:hAnsiTheme="minorBidi"/>
          <w:sz w:val="24"/>
        </w:rPr>
        <w:t>academic work or literature</w:t>
      </w:r>
      <w:r>
        <w:rPr>
          <w:rFonts w:asciiTheme="minorBidi" w:eastAsia="Calibri" w:hAnsiTheme="minorBidi"/>
          <w:sz w:val="24"/>
        </w:rPr>
        <w:t xml:space="preserve"> without more, almost like</w:t>
      </w:r>
      <w:r w:rsidR="00295D36">
        <w:rPr>
          <w:rFonts w:asciiTheme="minorBidi" w:eastAsia="Calibri" w:hAnsiTheme="minorBidi"/>
          <w:sz w:val="24"/>
        </w:rPr>
        <w:t xml:space="preserve"> </w:t>
      </w:r>
      <w:r w:rsidR="00546757">
        <w:rPr>
          <w:rFonts w:asciiTheme="minorBidi" w:eastAsia="Calibri" w:hAnsiTheme="minorBidi"/>
          <w:sz w:val="24"/>
        </w:rPr>
        <w:t xml:space="preserve">referencing the sources used in </w:t>
      </w:r>
      <w:r w:rsidR="00295D36">
        <w:rPr>
          <w:rFonts w:asciiTheme="minorBidi" w:eastAsia="Calibri" w:hAnsiTheme="minorBidi"/>
          <w:sz w:val="24"/>
        </w:rPr>
        <w:t>a</w:t>
      </w:r>
      <w:r>
        <w:rPr>
          <w:rFonts w:asciiTheme="minorBidi" w:eastAsia="Calibri" w:hAnsiTheme="minorBidi"/>
          <w:sz w:val="24"/>
        </w:rPr>
        <w:t xml:space="preserve"> bibliography. </w:t>
      </w:r>
      <w:r w:rsidR="00546757">
        <w:rPr>
          <w:rFonts w:asciiTheme="minorBidi" w:eastAsia="Calibri" w:hAnsiTheme="minorBidi"/>
          <w:sz w:val="24"/>
        </w:rPr>
        <w:t xml:space="preserve">The experts completely disregarded the above criteria. </w:t>
      </w:r>
      <w:r>
        <w:rPr>
          <w:rFonts w:asciiTheme="minorBidi" w:eastAsia="Calibri" w:hAnsiTheme="minorBidi"/>
          <w:sz w:val="24"/>
        </w:rPr>
        <w:t xml:space="preserve">The court is left guessing what the significance of the work is and to what extend this work had impacted on the opinions of the experts. </w:t>
      </w:r>
    </w:p>
    <w:p w14:paraId="13D89BC2" w14:textId="77777777" w:rsidR="00546757" w:rsidRPr="00546757" w:rsidRDefault="00546757" w:rsidP="00546757">
      <w:pPr>
        <w:spacing w:after="200" w:line="480" w:lineRule="auto"/>
        <w:jc w:val="both"/>
        <w:rPr>
          <w:rFonts w:asciiTheme="minorBidi" w:eastAsia="Calibri" w:hAnsiTheme="minorBidi"/>
          <w:sz w:val="24"/>
        </w:rPr>
      </w:pPr>
    </w:p>
    <w:p w14:paraId="1E17A18C" w14:textId="21CA3AB9" w:rsidR="009B3999" w:rsidRDefault="009B3999" w:rsidP="00AF6DDF">
      <w:pPr>
        <w:pStyle w:val="ListParagraph"/>
        <w:numPr>
          <w:ilvl w:val="0"/>
          <w:numId w:val="3"/>
        </w:numPr>
        <w:spacing w:after="0" w:line="480" w:lineRule="auto"/>
        <w:jc w:val="both"/>
        <w:rPr>
          <w:rFonts w:asciiTheme="minorBidi" w:eastAsia="Times New Roman" w:hAnsiTheme="minorBidi"/>
          <w:sz w:val="24"/>
          <w:szCs w:val="24"/>
          <w:lang w:val="en-GB"/>
        </w:rPr>
      </w:pPr>
      <w:r>
        <w:rPr>
          <w:rFonts w:asciiTheme="minorBidi" w:eastAsia="Times New Roman" w:hAnsiTheme="minorBidi"/>
          <w:sz w:val="24"/>
          <w:szCs w:val="24"/>
          <w:lang w:val="en-GB"/>
        </w:rPr>
        <w:t xml:space="preserve">Apart from the arbitrary and elementary referral to the mentioned authors, citing only their surname and a year, presumably the year of publication, the court had been </w:t>
      </w:r>
      <w:r>
        <w:rPr>
          <w:rFonts w:asciiTheme="minorBidi" w:eastAsia="Times New Roman" w:hAnsiTheme="minorBidi"/>
          <w:sz w:val="24"/>
          <w:szCs w:val="24"/>
          <w:lang w:val="en-GB"/>
        </w:rPr>
        <w:lastRenderedPageBreak/>
        <w:t>favoured with no further guidance. Accordingly, I could not establish if the above criteria for relying on the expertise of others had been met. I would at the very least have expected Dr Kumbirai</w:t>
      </w:r>
      <w:r w:rsidR="00546757">
        <w:rPr>
          <w:rFonts w:asciiTheme="minorBidi" w:eastAsia="Times New Roman" w:hAnsiTheme="minorBidi"/>
          <w:sz w:val="24"/>
          <w:szCs w:val="24"/>
          <w:lang w:val="en-GB"/>
        </w:rPr>
        <w:t xml:space="preserve"> and the other experts mentioned,</w:t>
      </w:r>
      <w:r>
        <w:rPr>
          <w:rFonts w:asciiTheme="minorBidi" w:eastAsia="Times New Roman" w:hAnsiTheme="minorBidi"/>
          <w:sz w:val="24"/>
          <w:szCs w:val="24"/>
          <w:lang w:val="en-GB"/>
        </w:rPr>
        <w:t xml:space="preserve"> to provide the court with the full citation of the publication, the essential biographical details of the author and the minimum information which will assist the court to establish if the expert before the court can affirm the correctness and trustworthiness of the quoted passage, to affirm if the passage is plausible and why </w:t>
      </w:r>
      <w:r w:rsidR="00546757">
        <w:rPr>
          <w:rFonts w:asciiTheme="minorBidi" w:eastAsia="Times New Roman" w:hAnsiTheme="minorBidi"/>
          <w:sz w:val="24"/>
          <w:szCs w:val="24"/>
          <w:lang w:val="en-GB"/>
        </w:rPr>
        <w:t>the experts had the need to rely on the expertise of others and not their own expertise.</w:t>
      </w:r>
    </w:p>
    <w:p w14:paraId="1AFA728B" w14:textId="77777777" w:rsidR="00295D36" w:rsidRPr="00295D36" w:rsidRDefault="00295D36" w:rsidP="00295D36">
      <w:pPr>
        <w:pStyle w:val="ListParagraph"/>
        <w:rPr>
          <w:rFonts w:asciiTheme="minorBidi" w:eastAsia="Times New Roman" w:hAnsiTheme="minorBidi"/>
          <w:sz w:val="24"/>
          <w:szCs w:val="24"/>
          <w:lang w:val="en-GB"/>
        </w:rPr>
      </w:pPr>
    </w:p>
    <w:p w14:paraId="08A0C6E2" w14:textId="37985469" w:rsidR="00295D36" w:rsidRDefault="00295D36" w:rsidP="00AF6DDF">
      <w:pPr>
        <w:pStyle w:val="ListParagraph"/>
        <w:numPr>
          <w:ilvl w:val="0"/>
          <w:numId w:val="3"/>
        </w:numPr>
        <w:spacing w:after="0" w:line="480" w:lineRule="auto"/>
        <w:jc w:val="both"/>
        <w:rPr>
          <w:rFonts w:asciiTheme="minorBidi" w:eastAsia="Times New Roman" w:hAnsiTheme="minorBidi"/>
          <w:sz w:val="24"/>
          <w:szCs w:val="24"/>
          <w:lang w:val="en-GB"/>
        </w:rPr>
      </w:pPr>
      <w:r>
        <w:rPr>
          <w:rFonts w:asciiTheme="minorBidi" w:eastAsia="Times New Roman" w:hAnsiTheme="minorBidi"/>
          <w:sz w:val="24"/>
          <w:szCs w:val="24"/>
          <w:lang w:val="en-GB"/>
        </w:rPr>
        <w:t xml:space="preserve">It is clear that the experts pay lip service </w:t>
      </w:r>
      <w:r w:rsidR="00176B5A">
        <w:rPr>
          <w:rFonts w:asciiTheme="minorBidi" w:eastAsia="Times New Roman" w:hAnsiTheme="minorBidi"/>
          <w:sz w:val="24"/>
          <w:szCs w:val="24"/>
          <w:lang w:val="en-GB"/>
        </w:rPr>
        <w:t>in their duty towards the court</w:t>
      </w:r>
      <w:r w:rsidR="00C031F5">
        <w:rPr>
          <w:rFonts w:asciiTheme="minorBidi" w:eastAsia="Times New Roman" w:hAnsiTheme="minorBidi"/>
          <w:sz w:val="24"/>
          <w:szCs w:val="24"/>
          <w:lang w:val="en-GB"/>
        </w:rPr>
        <w:t xml:space="preserve"> </w:t>
      </w:r>
      <w:r w:rsidR="00176B5A">
        <w:rPr>
          <w:rFonts w:asciiTheme="minorBidi" w:eastAsia="Times New Roman" w:hAnsiTheme="minorBidi"/>
          <w:sz w:val="24"/>
          <w:szCs w:val="24"/>
          <w:lang w:val="en-GB"/>
        </w:rPr>
        <w:t>where experts rely on the academic work and literature of others.</w:t>
      </w:r>
      <w:r w:rsidR="00546757">
        <w:rPr>
          <w:rFonts w:asciiTheme="minorBidi" w:eastAsia="Times New Roman" w:hAnsiTheme="minorBidi"/>
          <w:sz w:val="24"/>
          <w:szCs w:val="24"/>
          <w:lang w:val="en-GB"/>
        </w:rPr>
        <w:t xml:space="preserve"> </w:t>
      </w:r>
    </w:p>
    <w:p w14:paraId="47365E44" w14:textId="77777777" w:rsidR="009B3999" w:rsidRPr="00176B5A" w:rsidRDefault="009B3999" w:rsidP="00176B5A">
      <w:pPr>
        <w:spacing w:after="0" w:line="480" w:lineRule="auto"/>
        <w:jc w:val="both"/>
        <w:rPr>
          <w:rFonts w:ascii="Arial" w:eastAsia="Times New Roman" w:hAnsi="Arial" w:cs="Times New Roman"/>
          <w:sz w:val="24"/>
          <w:szCs w:val="24"/>
          <w:lang w:val="en-GB"/>
        </w:rPr>
      </w:pPr>
    </w:p>
    <w:p w14:paraId="696D8FBA" w14:textId="58A78AFB" w:rsidR="009B3999" w:rsidRPr="0007270E" w:rsidRDefault="009B3999" w:rsidP="009B3999">
      <w:pPr>
        <w:spacing w:after="0" w:line="480" w:lineRule="auto"/>
        <w:jc w:val="both"/>
        <w:rPr>
          <w:rFonts w:asciiTheme="minorBidi" w:eastAsia="Times New Roman" w:hAnsiTheme="minorBidi"/>
          <w:i/>
          <w:iCs/>
          <w:sz w:val="24"/>
          <w:szCs w:val="24"/>
          <w:u w:val="single"/>
          <w:lang w:val="en-GB"/>
        </w:rPr>
      </w:pPr>
      <w:r w:rsidRPr="0007270E">
        <w:rPr>
          <w:rFonts w:asciiTheme="minorBidi" w:eastAsia="Times New Roman" w:hAnsiTheme="minorBidi"/>
          <w:i/>
          <w:iCs/>
          <w:sz w:val="24"/>
          <w:szCs w:val="24"/>
          <w:u w:val="single"/>
          <w:lang w:val="en-GB"/>
        </w:rPr>
        <w:t>Using statistic</w:t>
      </w:r>
      <w:r w:rsidR="00C031F5">
        <w:rPr>
          <w:rFonts w:asciiTheme="minorBidi" w:eastAsia="Times New Roman" w:hAnsiTheme="minorBidi"/>
          <w:i/>
          <w:iCs/>
          <w:sz w:val="24"/>
          <w:szCs w:val="24"/>
          <w:u w:val="single"/>
          <w:lang w:val="en-GB"/>
        </w:rPr>
        <w:t>s</w:t>
      </w:r>
      <w:r w:rsidRPr="0007270E">
        <w:rPr>
          <w:rFonts w:asciiTheme="minorBidi" w:eastAsia="Times New Roman" w:hAnsiTheme="minorBidi"/>
          <w:i/>
          <w:iCs/>
          <w:sz w:val="24"/>
          <w:szCs w:val="24"/>
          <w:u w:val="single"/>
          <w:lang w:val="en-GB"/>
        </w:rPr>
        <w:t xml:space="preserve"> in reaching a conclusion</w:t>
      </w:r>
    </w:p>
    <w:p w14:paraId="2B2FB554" w14:textId="69EB05D3" w:rsidR="009B3999" w:rsidRDefault="009B3999" w:rsidP="00AF6DDF">
      <w:pPr>
        <w:pStyle w:val="ListParagraph"/>
        <w:numPr>
          <w:ilvl w:val="0"/>
          <w:numId w:val="3"/>
        </w:numPr>
        <w:spacing w:after="0" w:line="480" w:lineRule="auto"/>
        <w:jc w:val="both"/>
        <w:rPr>
          <w:rFonts w:asciiTheme="minorBidi" w:eastAsia="Times New Roman" w:hAnsiTheme="minorBidi"/>
          <w:sz w:val="24"/>
          <w:szCs w:val="24"/>
          <w:lang w:val="en-GB"/>
        </w:rPr>
      </w:pPr>
      <w:r>
        <w:rPr>
          <w:rFonts w:asciiTheme="minorBidi" w:eastAsia="Times New Roman" w:hAnsiTheme="minorBidi"/>
          <w:sz w:val="24"/>
          <w:szCs w:val="24"/>
          <w:lang w:val="en-GB"/>
        </w:rPr>
        <w:t>Just like Dr Segwapa (</w:t>
      </w:r>
      <w:r w:rsidR="00C031F5">
        <w:rPr>
          <w:rFonts w:asciiTheme="minorBidi" w:eastAsia="Times New Roman" w:hAnsiTheme="minorBidi"/>
          <w:sz w:val="24"/>
          <w:szCs w:val="24"/>
          <w:lang w:val="en-GB"/>
        </w:rPr>
        <w:t>N</w:t>
      </w:r>
      <w:r>
        <w:rPr>
          <w:rFonts w:asciiTheme="minorBidi" w:eastAsia="Times New Roman" w:hAnsiTheme="minorBidi"/>
          <w:sz w:val="24"/>
          <w:szCs w:val="24"/>
          <w:lang w:val="en-GB"/>
        </w:rPr>
        <w:t>eurosurgeon), Dr Kumbirai also relies on literature containing statistical data. Dr Kumbirai relies of data from research</w:t>
      </w:r>
      <w:r w:rsidR="00546757">
        <w:rPr>
          <w:rFonts w:asciiTheme="minorBidi" w:eastAsia="Times New Roman" w:hAnsiTheme="minorBidi"/>
          <w:sz w:val="24"/>
          <w:szCs w:val="24"/>
          <w:lang w:val="en-GB"/>
        </w:rPr>
        <w:t>,</w:t>
      </w:r>
      <w:r>
        <w:rPr>
          <w:rFonts w:asciiTheme="minorBidi" w:eastAsia="Times New Roman" w:hAnsiTheme="minorBidi"/>
          <w:sz w:val="24"/>
          <w:szCs w:val="24"/>
          <w:lang w:val="en-GB"/>
        </w:rPr>
        <w:t xml:space="preserve"> which looked at a sample of people with femur fractures and then recorded certain statistics including that 1% of patients with a proximal femur fracture is unable to work, 2.5% had to change their occupation, many complain of pain and 44% has a reduced work capacity. </w:t>
      </w:r>
    </w:p>
    <w:p w14:paraId="604C1A6D" w14:textId="77777777" w:rsidR="009B3999" w:rsidRDefault="009B3999" w:rsidP="009B3999">
      <w:pPr>
        <w:pStyle w:val="ListParagraph"/>
        <w:spacing w:after="0" w:line="480" w:lineRule="auto"/>
        <w:ind w:left="360"/>
        <w:jc w:val="both"/>
        <w:rPr>
          <w:rFonts w:asciiTheme="minorBidi" w:eastAsia="Times New Roman" w:hAnsiTheme="minorBidi"/>
          <w:sz w:val="24"/>
          <w:szCs w:val="24"/>
          <w:lang w:val="en-GB"/>
        </w:rPr>
      </w:pPr>
    </w:p>
    <w:p w14:paraId="16C36E9A" w14:textId="15350EF8" w:rsidR="00176B5A" w:rsidRDefault="009B3999" w:rsidP="00AF6DDF">
      <w:pPr>
        <w:pStyle w:val="ListParagraph"/>
        <w:numPr>
          <w:ilvl w:val="0"/>
          <w:numId w:val="3"/>
        </w:numPr>
        <w:spacing w:after="0" w:line="480" w:lineRule="auto"/>
        <w:jc w:val="both"/>
        <w:rPr>
          <w:rFonts w:asciiTheme="minorBidi" w:eastAsia="Times New Roman" w:hAnsiTheme="minorBidi"/>
          <w:sz w:val="24"/>
          <w:szCs w:val="24"/>
          <w:lang w:val="en-GB"/>
        </w:rPr>
      </w:pPr>
      <w:r>
        <w:rPr>
          <w:rFonts w:asciiTheme="minorBidi" w:eastAsia="Times New Roman" w:hAnsiTheme="minorBidi"/>
          <w:sz w:val="24"/>
          <w:szCs w:val="24"/>
          <w:lang w:val="en-GB"/>
        </w:rPr>
        <w:t>Evidence of such a statistical nature cannot be relevant to a damages case dealing with the individual facts of the Plaintiff. I highlight that this finding does not equate to all statistical data and there may be circumstances where statistic</w:t>
      </w:r>
      <w:r w:rsidR="00C031F5">
        <w:rPr>
          <w:rFonts w:asciiTheme="minorBidi" w:eastAsia="Times New Roman" w:hAnsiTheme="minorBidi"/>
          <w:sz w:val="24"/>
          <w:szCs w:val="24"/>
          <w:lang w:val="en-GB"/>
        </w:rPr>
        <w:t>s are</w:t>
      </w:r>
      <w:r>
        <w:rPr>
          <w:rFonts w:asciiTheme="minorBidi" w:eastAsia="Times New Roman" w:hAnsiTheme="minorBidi"/>
          <w:sz w:val="24"/>
          <w:szCs w:val="24"/>
          <w:lang w:val="en-GB"/>
        </w:rPr>
        <w:t xml:space="preserve"> relevant to the quantification of damages. </w:t>
      </w:r>
    </w:p>
    <w:p w14:paraId="6276BE2B" w14:textId="77777777" w:rsidR="00176B5A" w:rsidRPr="00176B5A" w:rsidRDefault="00176B5A" w:rsidP="00176B5A">
      <w:pPr>
        <w:pStyle w:val="ListParagraph"/>
        <w:rPr>
          <w:rFonts w:asciiTheme="minorBidi" w:eastAsia="Times New Roman" w:hAnsiTheme="minorBidi"/>
          <w:sz w:val="24"/>
          <w:szCs w:val="24"/>
          <w:lang w:val="en-GB"/>
        </w:rPr>
      </w:pPr>
    </w:p>
    <w:p w14:paraId="29FF8048" w14:textId="69FB60C7" w:rsidR="00176B5A" w:rsidRPr="00546757" w:rsidRDefault="009B3999" w:rsidP="00AF6DDF">
      <w:pPr>
        <w:pStyle w:val="ListParagraph"/>
        <w:numPr>
          <w:ilvl w:val="0"/>
          <w:numId w:val="3"/>
        </w:numPr>
        <w:spacing w:after="0" w:line="480" w:lineRule="auto"/>
        <w:jc w:val="both"/>
        <w:rPr>
          <w:rFonts w:asciiTheme="minorBidi" w:eastAsia="Times New Roman" w:hAnsiTheme="minorBidi"/>
          <w:sz w:val="24"/>
          <w:szCs w:val="24"/>
          <w:lang w:val="en-GB"/>
        </w:rPr>
      </w:pPr>
      <w:r>
        <w:rPr>
          <w:rFonts w:asciiTheme="minorBidi" w:eastAsia="Times New Roman" w:hAnsiTheme="minorBidi"/>
          <w:sz w:val="24"/>
          <w:szCs w:val="24"/>
          <w:lang w:val="en-GB"/>
        </w:rPr>
        <w:lastRenderedPageBreak/>
        <w:t xml:space="preserve">This method of reasoning, specifically using statical data from a pool </w:t>
      </w:r>
      <w:r w:rsidR="00176B5A">
        <w:rPr>
          <w:rFonts w:asciiTheme="minorBidi" w:eastAsia="Times New Roman" w:hAnsiTheme="minorBidi"/>
          <w:sz w:val="24"/>
          <w:szCs w:val="24"/>
          <w:lang w:val="en-GB"/>
        </w:rPr>
        <w:t xml:space="preserve">of </w:t>
      </w:r>
      <w:r>
        <w:rPr>
          <w:rFonts w:asciiTheme="minorBidi" w:eastAsia="Times New Roman" w:hAnsiTheme="minorBidi"/>
          <w:sz w:val="24"/>
          <w:szCs w:val="24"/>
          <w:lang w:val="en-GB"/>
        </w:rPr>
        <w:t xml:space="preserve">people with a femur fracture and superimposing </w:t>
      </w:r>
      <w:r w:rsidR="00176B5A">
        <w:rPr>
          <w:rFonts w:asciiTheme="minorBidi" w:eastAsia="Times New Roman" w:hAnsiTheme="minorBidi"/>
          <w:sz w:val="24"/>
          <w:szCs w:val="24"/>
          <w:lang w:val="en-GB"/>
        </w:rPr>
        <w:t xml:space="preserve">the average of </w:t>
      </w:r>
      <w:r>
        <w:rPr>
          <w:rFonts w:asciiTheme="minorBidi" w:eastAsia="Times New Roman" w:hAnsiTheme="minorBidi"/>
          <w:sz w:val="24"/>
          <w:szCs w:val="24"/>
          <w:lang w:val="en-GB"/>
        </w:rPr>
        <w:t xml:space="preserve">such data on the Plaintiff, </w:t>
      </w:r>
      <w:r w:rsidR="00176B5A">
        <w:rPr>
          <w:rFonts w:asciiTheme="minorBidi" w:eastAsia="Times New Roman" w:hAnsiTheme="minorBidi"/>
          <w:sz w:val="24"/>
          <w:szCs w:val="24"/>
          <w:lang w:val="en-GB"/>
        </w:rPr>
        <w:t xml:space="preserve">without more </w:t>
      </w:r>
      <w:r>
        <w:rPr>
          <w:rFonts w:asciiTheme="minorBidi" w:eastAsia="Times New Roman" w:hAnsiTheme="minorBidi"/>
          <w:sz w:val="24"/>
          <w:szCs w:val="24"/>
          <w:lang w:val="en-GB"/>
        </w:rPr>
        <w:t xml:space="preserve">can be criticized on three fronts: </w:t>
      </w:r>
    </w:p>
    <w:p w14:paraId="616680F0" w14:textId="73BD461C" w:rsidR="00176B5A" w:rsidRDefault="009B3999" w:rsidP="00AF6DDF">
      <w:pPr>
        <w:pStyle w:val="ListParagraph"/>
        <w:numPr>
          <w:ilvl w:val="1"/>
          <w:numId w:val="3"/>
        </w:numPr>
        <w:spacing w:after="0" w:line="480" w:lineRule="auto"/>
        <w:ind w:left="1276" w:hanging="850"/>
        <w:jc w:val="both"/>
        <w:rPr>
          <w:rFonts w:asciiTheme="minorBidi" w:eastAsia="Times New Roman" w:hAnsiTheme="minorBidi"/>
          <w:sz w:val="24"/>
          <w:szCs w:val="24"/>
          <w:lang w:val="en-GB"/>
        </w:rPr>
      </w:pPr>
      <w:r w:rsidRPr="00176B5A">
        <w:rPr>
          <w:rFonts w:asciiTheme="minorBidi" w:eastAsia="Times New Roman" w:hAnsiTheme="minorBidi"/>
          <w:sz w:val="24"/>
          <w:szCs w:val="24"/>
          <w:lang w:val="en-GB"/>
        </w:rPr>
        <w:t>When confronted with a personal injury case in respect of loss of earnings, except perhaps in the context of contingency deductions,</w:t>
      </w:r>
      <w:r>
        <w:rPr>
          <w:rStyle w:val="FootnoteReference"/>
          <w:rFonts w:asciiTheme="minorBidi" w:eastAsia="Times New Roman" w:hAnsiTheme="minorBidi"/>
          <w:sz w:val="24"/>
          <w:szCs w:val="24"/>
          <w:lang w:val="en-GB"/>
        </w:rPr>
        <w:footnoteReference w:id="43"/>
      </w:r>
      <w:r w:rsidRPr="00176B5A">
        <w:rPr>
          <w:rFonts w:asciiTheme="minorBidi" w:eastAsia="Times New Roman" w:hAnsiTheme="minorBidi"/>
          <w:sz w:val="24"/>
          <w:szCs w:val="24"/>
          <w:lang w:val="en-GB"/>
        </w:rPr>
        <w:t xml:space="preserve"> the court should look into the individual circumstances of the Plaintiff and not into general statistics</w:t>
      </w:r>
      <w:r w:rsidR="00CB2854">
        <w:rPr>
          <w:rFonts w:asciiTheme="minorBidi" w:eastAsia="Times New Roman" w:hAnsiTheme="minorBidi"/>
          <w:sz w:val="24"/>
          <w:szCs w:val="24"/>
          <w:lang w:val="en-GB"/>
        </w:rPr>
        <w:t xml:space="preserve"> or averages</w:t>
      </w:r>
      <w:r w:rsidRPr="00176B5A">
        <w:rPr>
          <w:rFonts w:asciiTheme="minorBidi" w:eastAsia="Times New Roman" w:hAnsiTheme="minorBidi"/>
          <w:sz w:val="24"/>
          <w:szCs w:val="24"/>
          <w:lang w:val="en-GB"/>
        </w:rPr>
        <w:t>.</w:t>
      </w:r>
      <w:r w:rsidR="00CB2854">
        <w:rPr>
          <w:rStyle w:val="FootnoteReference"/>
          <w:rFonts w:asciiTheme="minorBidi" w:eastAsia="Times New Roman" w:hAnsiTheme="minorBidi"/>
          <w:sz w:val="24"/>
          <w:szCs w:val="24"/>
          <w:lang w:val="en-GB"/>
        </w:rPr>
        <w:footnoteReference w:id="44"/>
      </w:r>
      <w:r w:rsidRPr="00176B5A">
        <w:rPr>
          <w:rFonts w:asciiTheme="minorBidi" w:eastAsia="Times New Roman" w:hAnsiTheme="minorBidi"/>
          <w:sz w:val="24"/>
          <w:szCs w:val="24"/>
          <w:lang w:val="en-GB"/>
        </w:rPr>
        <w:t xml:space="preserve"> The court is more concerned with the Plaintiff’s specific chances of undergoing surgery or suffering a reduced work capacity tha</w:t>
      </w:r>
      <w:r w:rsidR="00931E08" w:rsidRPr="00176B5A">
        <w:rPr>
          <w:rFonts w:asciiTheme="minorBidi" w:eastAsia="Times New Roman" w:hAnsiTheme="minorBidi"/>
          <w:sz w:val="24"/>
          <w:szCs w:val="24"/>
          <w:lang w:val="en-GB"/>
        </w:rPr>
        <w:t>n</w:t>
      </w:r>
      <w:r w:rsidRPr="00176B5A">
        <w:rPr>
          <w:rFonts w:asciiTheme="minorBidi" w:eastAsia="Times New Roman" w:hAnsiTheme="minorBidi"/>
          <w:sz w:val="24"/>
          <w:szCs w:val="24"/>
          <w:lang w:val="en-GB"/>
        </w:rPr>
        <w:t xml:space="preserve"> that of the average person with a femur fracture. The Plaintiff’s case may be less or more severe tha</w:t>
      </w:r>
      <w:r w:rsidR="00C031F5">
        <w:rPr>
          <w:rFonts w:asciiTheme="minorBidi" w:eastAsia="Times New Roman" w:hAnsiTheme="minorBidi"/>
          <w:sz w:val="24"/>
          <w:szCs w:val="24"/>
          <w:lang w:val="en-GB"/>
        </w:rPr>
        <w:t>n</w:t>
      </w:r>
      <w:r w:rsidRPr="00176B5A">
        <w:rPr>
          <w:rFonts w:asciiTheme="minorBidi" w:eastAsia="Times New Roman" w:hAnsiTheme="minorBidi"/>
          <w:sz w:val="24"/>
          <w:szCs w:val="24"/>
          <w:lang w:val="en-GB"/>
        </w:rPr>
        <w:t xml:space="preserve"> the average person with a femur fracture. Such deduced reasoning has no probative value and cannot competently be applied to predict the impact on the </w:t>
      </w:r>
      <w:r w:rsidR="00546757">
        <w:rPr>
          <w:rFonts w:asciiTheme="minorBidi" w:eastAsia="Times New Roman" w:hAnsiTheme="minorBidi"/>
          <w:sz w:val="24"/>
          <w:szCs w:val="24"/>
          <w:lang w:val="en-GB"/>
        </w:rPr>
        <w:t xml:space="preserve">Plaintiff’s </w:t>
      </w:r>
      <w:r w:rsidRPr="00176B5A">
        <w:rPr>
          <w:rFonts w:asciiTheme="minorBidi" w:eastAsia="Times New Roman" w:hAnsiTheme="minorBidi"/>
          <w:sz w:val="24"/>
          <w:szCs w:val="24"/>
          <w:lang w:val="en-GB"/>
        </w:rPr>
        <w:t>earnings</w:t>
      </w:r>
      <w:r w:rsidR="006F702D">
        <w:rPr>
          <w:rFonts w:asciiTheme="minorBidi" w:eastAsia="Times New Roman" w:hAnsiTheme="minorBidi"/>
          <w:sz w:val="24"/>
          <w:szCs w:val="24"/>
          <w:lang w:val="en-GB"/>
        </w:rPr>
        <w:t>,</w:t>
      </w:r>
      <w:r w:rsidRPr="00176B5A">
        <w:rPr>
          <w:rFonts w:asciiTheme="minorBidi" w:eastAsia="Times New Roman" w:hAnsiTheme="minorBidi"/>
          <w:sz w:val="24"/>
          <w:szCs w:val="24"/>
          <w:lang w:val="en-GB"/>
        </w:rPr>
        <w:t xml:space="preserve"> as the expert endeavoured to do in this case. Compensating the Plaintiff for damages has the purpose of placing the Plaintiff in the position that he</w:t>
      </w:r>
      <w:r w:rsidR="00176B5A">
        <w:rPr>
          <w:rFonts w:asciiTheme="minorBidi" w:eastAsia="Times New Roman" w:hAnsiTheme="minorBidi"/>
          <w:sz w:val="24"/>
          <w:szCs w:val="24"/>
          <w:lang w:val="en-GB"/>
        </w:rPr>
        <w:t>, the Plaintiff</w:t>
      </w:r>
      <w:r w:rsidR="006F702D">
        <w:rPr>
          <w:rFonts w:asciiTheme="minorBidi" w:eastAsia="Times New Roman" w:hAnsiTheme="minorBidi"/>
          <w:sz w:val="24"/>
          <w:szCs w:val="24"/>
          <w:lang w:val="en-GB"/>
        </w:rPr>
        <w:t>,</w:t>
      </w:r>
      <w:r w:rsidRPr="00176B5A">
        <w:rPr>
          <w:rFonts w:asciiTheme="minorBidi" w:eastAsia="Times New Roman" w:hAnsiTheme="minorBidi"/>
          <w:sz w:val="24"/>
          <w:szCs w:val="24"/>
          <w:lang w:val="en-GB"/>
        </w:rPr>
        <w:t xml:space="preserve"> would have been in was it not for the accident. Statistical data of this </w:t>
      </w:r>
      <w:r w:rsidR="00931E08" w:rsidRPr="00176B5A">
        <w:rPr>
          <w:rFonts w:asciiTheme="minorBidi" w:eastAsia="Times New Roman" w:hAnsiTheme="minorBidi"/>
          <w:sz w:val="24"/>
          <w:szCs w:val="24"/>
          <w:lang w:val="en-GB"/>
        </w:rPr>
        <w:t>context is not helpful at all.</w:t>
      </w:r>
      <w:r w:rsidRPr="00176B5A">
        <w:rPr>
          <w:rFonts w:asciiTheme="minorBidi" w:eastAsia="Times New Roman" w:hAnsiTheme="minorBidi"/>
          <w:sz w:val="24"/>
          <w:szCs w:val="24"/>
          <w:lang w:val="en-GB"/>
        </w:rPr>
        <w:t xml:space="preserve"> </w:t>
      </w:r>
    </w:p>
    <w:p w14:paraId="42C73CD2" w14:textId="77777777" w:rsidR="00176B5A" w:rsidRDefault="009B3999" w:rsidP="00AF6DDF">
      <w:pPr>
        <w:pStyle w:val="ListParagraph"/>
        <w:numPr>
          <w:ilvl w:val="1"/>
          <w:numId w:val="3"/>
        </w:numPr>
        <w:spacing w:after="0" w:line="480" w:lineRule="auto"/>
        <w:ind w:left="1276" w:hanging="850"/>
        <w:jc w:val="both"/>
        <w:rPr>
          <w:rFonts w:asciiTheme="minorBidi" w:eastAsia="Times New Roman" w:hAnsiTheme="minorBidi"/>
          <w:sz w:val="24"/>
          <w:szCs w:val="24"/>
          <w:lang w:val="en-GB"/>
        </w:rPr>
      </w:pPr>
      <w:r w:rsidRPr="00176B5A">
        <w:rPr>
          <w:rFonts w:asciiTheme="minorBidi" w:eastAsia="Times New Roman" w:hAnsiTheme="minorBidi"/>
          <w:sz w:val="24"/>
          <w:szCs w:val="24"/>
          <w:lang w:val="en-GB"/>
        </w:rPr>
        <w:t xml:space="preserve">When the work of a statistical nature is so outdated, as it </w:t>
      </w:r>
      <w:r w:rsidR="00931E08" w:rsidRPr="00176B5A">
        <w:rPr>
          <w:rFonts w:asciiTheme="minorBidi" w:eastAsia="Times New Roman" w:hAnsiTheme="minorBidi"/>
          <w:sz w:val="24"/>
          <w:szCs w:val="24"/>
          <w:lang w:val="en-GB"/>
        </w:rPr>
        <w:t xml:space="preserve">probably </w:t>
      </w:r>
      <w:r w:rsidRPr="00176B5A">
        <w:rPr>
          <w:rFonts w:asciiTheme="minorBidi" w:eastAsia="Times New Roman" w:hAnsiTheme="minorBidi"/>
          <w:sz w:val="24"/>
          <w:szCs w:val="24"/>
          <w:lang w:val="en-GB"/>
        </w:rPr>
        <w:t xml:space="preserve">is </w:t>
      </w:r>
      <w:r w:rsidRPr="00176B5A">
        <w:rPr>
          <w:rFonts w:asciiTheme="minorBidi" w:eastAsia="Times New Roman" w:hAnsiTheme="minorBidi"/>
          <w:i/>
          <w:iCs/>
          <w:sz w:val="24"/>
          <w:szCs w:val="24"/>
          <w:lang w:val="en-GB"/>
        </w:rPr>
        <w:t>in casu</w:t>
      </w:r>
      <w:r w:rsidRPr="00176B5A">
        <w:rPr>
          <w:rFonts w:asciiTheme="minorBidi" w:eastAsia="Times New Roman" w:hAnsiTheme="minorBidi"/>
          <w:sz w:val="24"/>
          <w:szCs w:val="24"/>
          <w:lang w:val="en-GB"/>
        </w:rPr>
        <w:t>, the court cannot place any reliance thereon.</w:t>
      </w:r>
      <w:r>
        <w:rPr>
          <w:rStyle w:val="FootnoteReference"/>
          <w:rFonts w:asciiTheme="minorBidi" w:eastAsia="Times New Roman" w:hAnsiTheme="minorBidi"/>
          <w:sz w:val="24"/>
          <w:szCs w:val="24"/>
          <w:lang w:val="en-GB"/>
        </w:rPr>
        <w:footnoteReference w:id="45"/>
      </w:r>
      <w:r w:rsidRPr="00176B5A">
        <w:rPr>
          <w:rFonts w:asciiTheme="minorBidi" w:eastAsia="Times New Roman" w:hAnsiTheme="minorBidi"/>
          <w:sz w:val="24"/>
          <w:szCs w:val="24"/>
          <w:lang w:val="en-GB"/>
        </w:rPr>
        <w:t xml:space="preserve"> </w:t>
      </w:r>
    </w:p>
    <w:p w14:paraId="5B02C83A" w14:textId="15499434" w:rsidR="009B3999" w:rsidRPr="00176B5A" w:rsidRDefault="009B3999" w:rsidP="00AF6DDF">
      <w:pPr>
        <w:pStyle w:val="ListParagraph"/>
        <w:numPr>
          <w:ilvl w:val="1"/>
          <w:numId w:val="3"/>
        </w:numPr>
        <w:spacing w:after="0" w:line="480" w:lineRule="auto"/>
        <w:ind w:left="1276" w:hanging="850"/>
        <w:jc w:val="both"/>
        <w:rPr>
          <w:rFonts w:asciiTheme="minorBidi" w:eastAsia="Times New Roman" w:hAnsiTheme="minorBidi"/>
          <w:sz w:val="24"/>
          <w:szCs w:val="24"/>
          <w:lang w:val="en-GB"/>
        </w:rPr>
      </w:pPr>
      <w:r w:rsidRPr="00176B5A">
        <w:rPr>
          <w:rFonts w:asciiTheme="minorBidi" w:eastAsia="Times New Roman" w:hAnsiTheme="minorBidi"/>
          <w:sz w:val="24"/>
          <w:szCs w:val="24"/>
          <w:lang w:val="en-GB"/>
        </w:rPr>
        <w:t>The sample size of the study is nowhere disclosed by Dr Kumbirai.</w:t>
      </w:r>
      <w:r w:rsidR="00931E08" w:rsidRPr="00176B5A">
        <w:rPr>
          <w:rFonts w:asciiTheme="minorBidi" w:eastAsia="Times New Roman" w:hAnsiTheme="minorBidi"/>
          <w:sz w:val="24"/>
          <w:szCs w:val="24"/>
          <w:lang w:val="en-GB"/>
        </w:rPr>
        <w:t xml:space="preserve"> </w:t>
      </w:r>
      <w:r w:rsidRPr="00176B5A">
        <w:rPr>
          <w:rFonts w:asciiTheme="minorBidi" w:eastAsia="Times New Roman" w:hAnsiTheme="minorBidi"/>
          <w:sz w:val="24"/>
          <w:szCs w:val="24"/>
          <w:lang w:val="en-GB"/>
        </w:rPr>
        <w:t xml:space="preserve"> </w:t>
      </w:r>
    </w:p>
    <w:p w14:paraId="14C840A0" w14:textId="77777777" w:rsidR="009B3999" w:rsidRPr="00032E7A" w:rsidRDefault="009B3999" w:rsidP="009B3999">
      <w:pPr>
        <w:pStyle w:val="ListParagraph"/>
        <w:rPr>
          <w:rFonts w:asciiTheme="minorBidi" w:eastAsia="Times New Roman" w:hAnsiTheme="minorBidi"/>
          <w:sz w:val="24"/>
          <w:szCs w:val="24"/>
          <w:lang w:val="en-GB"/>
        </w:rPr>
      </w:pPr>
    </w:p>
    <w:p w14:paraId="51C73CCE" w14:textId="77777777" w:rsidR="009B3999" w:rsidRPr="00A207D9" w:rsidRDefault="009B3999" w:rsidP="009B3999">
      <w:pPr>
        <w:pStyle w:val="ListParagraph"/>
        <w:rPr>
          <w:rFonts w:asciiTheme="minorBidi" w:eastAsia="Times New Roman" w:hAnsiTheme="minorBidi"/>
          <w:sz w:val="24"/>
          <w:szCs w:val="24"/>
          <w:lang w:val="en-GB"/>
        </w:rPr>
      </w:pPr>
    </w:p>
    <w:p w14:paraId="63749741" w14:textId="77777777" w:rsidR="009B3999" w:rsidRDefault="009B3999" w:rsidP="00AF6DDF">
      <w:pPr>
        <w:pStyle w:val="ListParagraph"/>
        <w:numPr>
          <w:ilvl w:val="0"/>
          <w:numId w:val="3"/>
        </w:numPr>
        <w:spacing w:after="0" w:line="480" w:lineRule="auto"/>
        <w:jc w:val="both"/>
        <w:rPr>
          <w:rFonts w:asciiTheme="minorBidi" w:eastAsia="Times New Roman" w:hAnsiTheme="minorBidi"/>
          <w:sz w:val="24"/>
          <w:szCs w:val="24"/>
          <w:lang w:val="en-GB"/>
        </w:rPr>
      </w:pPr>
      <w:r>
        <w:rPr>
          <w:rFonts w:asciiTheme="minorBidi" w:eastAsia="Times New Roman" w:hAnsiTheme="minorBidi"/>
          <w:sz w:val="24"/>
          <w:szCs w:val="24"/>
          <w:lang w:val="en-GB"/>
        </w:rPr>
        <w:lastRenderedPageBreak/>
        <w:t>Justice Millar (AJ) [as he then was], seized with a loss of support case and dealing with remarriage contingencies, held in at para 32:</w:t>
      </w:r>
    </w:p>
    <w:p w14:paraId="0ADB9273" w14:textId="77777777" w:rsidR="009B3999" w:rsidRPr="00A207D9" w:rsidRDefault="009B3999" w:rsidP="009B3999">
      <w:pPr>
        <w:pStyle w:val="ListParagraph"/>
        <w:rPr>
          <w:rFonts w:asciiTheme="minorBidi" w:eastAsia="Times New Roman" w:hAnsiTheme="minorBidi"/>
          <w:sz w:val="24"/>
          <w:szCs w:val="24"/>
          <w:lang w:val="en-GB"/>
        </w:rPr>
      </w:pPr>
    </w:p>
    <w:p w14:paraId="4E68A9DD" w14:textId="7DC783A4" w:rsidR="009B3999" w:rsidRPr="00931E08" w:rsidRDefault="009B3999" w:rsidP="00931E08">
      <w:pPr>
        <w:pStyle w:val="ListParagraph"/>
        <w:spacing w:after="0" w:line="480" w:lineRule="auto"/>
        <w:ind w:left="1440"/>
        <w:jc w:val="both"/>
        <w:rPr>
          <w:rFonts w:asciiTheme="minorBidi" w:eastAsia="Times New Roman" w:hAnsiTheme="minorBidi"/>
          <w:i/>
          <w:iCs/>
          <w:sz w:val="20"/>
          <w:szCs w:val="20"/>
        </w:rPr>
      </w:pPr>
      <w:r w:rsidRPr="00A207D9">
        <w:rPr>
          <w:rFonts w:asciiTheme="minorBidi" w:eastAsia="Times New Roman" w:hAnsiTheme="minorBidi"/>
          <w:i/>
          <w:iCs/>
          <w:sz w:val="20"/>
          <w:szCs w:val="20"/>
        </w:rPr>
        <w:t xml:space="preserve">‘Proper statistics </w:t>
      </w:r>
      <w:r>
        <w:rPr>
          <w:rFonts w:asciiTheme="minorBidi" w:eastAsia="Times New Roman" w:hAnsiTheme="minorBidi"/>
          <w:i/>
          <w:iCs/>
          <w:sz w:val="20"/>
          <w:szCs w:val="20"/>
        </w:rPr>
        <w:t>…</w:t>
      </w:r>
      <w:r w:rsidRPr="00A207D9">
        <w:rPr>
          <w:rFonts w:asciiTheme="minorBidi" w:eastAsia="Times New Roman" w:hAnsiTheme="minorBidi"/>
          <w:i/>
          <w:iCs/>
          <w:sz w:val="20"/>
          <w:szCs w:val="20"/>
        </w:rPr>
        <w:t xml:space="preserve"> may well be useful in assessing an appropriate contingency, but statistics are only assistive if they are derived from a sufficiently large and representative sample. Furthermore, the statistics should at least be derived from data collected within a reasonable frame of time relative to when the contingency is to be applied, so as to provide some validity to the specific social and other circumstances which would influence marriage and remarriage trends prevailing at the time’.</w:t>
      </w:r>
    </w:p>
    <w:p w14:paraId="7EBCB892" w14:textId="77777777" w:rsidR="009B3999" w:rsidRPr="009B3999" w:rsidRDefault="009B3999" w:rsidP="009B3999">
      <w:pPr>
        <w:pStyle w:val="ListParagraph"/>
        <w:rPr>
          <w:rFonts w:ascii="Arial" w:eastAsia="Times New Roman" w:hAnsi="Arial" w:cs="Times New Roman"/>
          <w:sz w:val="24"/>
          <w:szCs w:val="24"/>
          <w:lang w:val="en-GB"/>
        </w:rPr>
      </w:pPr>
    </w:p>
    <w:p w14:paraId="3149FEB2" w14:textId="0286F3AF" w:rsidR="009B3999" w:rsidRPr="00176B5A" w:rsidRDefault="009B3999" w:rsidP="00176B5A">
      <w:pPr>
        <w:pStyle w:val="ListParagraph"/>
        <w:spacing w:after="0" w:line="480" w:lineRule="auto"/>
        <w:ind w:left="360"/>
        <w:jc w:val="both"/>
        <w:rPr>
          <w:rFonts w:ascii="Arial" w:eastAsia="Times New Roman" w:hAnsi="Arial" w:cs="Times New Roman"/>
          <w:sz w:val="24"/>
          <w:szCs w:val="24"/>
          <w:lang w:val="en-GB"/>
        </w:rPr>
      </w:pPr>
    </w:p>
    <w:p w14:paraId="01315212" w14:textId="35B43C1B" w:rsidR="009B3999" w:rsidRPr="009B3999" w:rsidRDefault="009B3999" w:rsidP="009B3999">
      <w:pPr>
        <w:spacing w:after="0" w:line="480" w:lineRule="auto"/>
        <w:jc w:val="both"/>
        <w:rPr>
          <w:rFonts w:ascii="Arial" w:eastAsia="Times New Roman" w:hAnsi="Arial" w:cs="Times New Roman"/>
          <w:b/>
          <w:bCs/>
          <w:i/>
          <w:iCs/>
          <w:sz w:val="24"/>
          <w:szCs w:val="24"/>
          <w:lang w:val="en-GB"/>
        </w:rPr>
      </w:pPr>
      <w:r w:rsidRPr="009B3999">
        <w:rPr>
          <w:rFonts w:ascii="Arial" w:eastAsia="Times New Roman" w:hAnsi="Arial" w:cs="Times New Roman"/>
          <w:b/>
          <w:bCs/>
          <w:i/>
          <w:iCs/>
          <w:sz w:val="24"/>
          <w:szCs w:val="24"/>
          <w:lang w:val="en-GB"/>
        </w:rPr>
        <w:t>The basis of the loss of earnings</w:t>
      </w:r>
    </w:p>
    <w:p w14:paraId="6E137FB9" w14:textId="1D0DD18B" w:rsidR="00480DE2" w:rsidRDefault="00480DE2" w:rsidP="00AF6DDF">
      <w:pPr>
        <w:pStyle w:val="ListParagraph"/>
        <w:numPr>
          <w:ilvl w:val="0"/>
          <w:numId w:val="3"/>
        </w:numPr>
        <w:spacing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Mr Sechudi suggest</w:t>
      </w:r>
      <w:r w:rsidR="00C031F5">
        <w:rPr>
          <w:rFonts w:ascii="Arial" w:eastAsia="Times New Roman" w:hAnsi="Arial" w:cs="Times New Roman"/>
          <w:sz w:val="24"/>
          <w:szCs w:val="24"/>
          <w:lang w:val="en-GB"/>
        </w:rPr>
        <w:t>s</w:t>
      </w:r>
      <w:r>
        <w:rPr>
          <w:rFonts w:ascii="Arial" w:eastAsia="Times New Roman" w:hAnsi="Arial" w:cs="Times New Roman"/>
          <w:sz w:val="24"/>
          <w:szCs w:val="24"/>
          <w:lang w:val="en-GB"/>
        </w:rPr>
        <w:t xml:space="preserve"> that the Plaintiff was earning</w:t>
      </w:r>
      <w:r w:rsidR="008326DB">
        <w:rPr>
          <w:rFonts w:ascii="Arial" w:eastAsia="Times New Roman" w:hAnsi="Arial" w:cs="Times New Roman"/>
          <w:sz w:val="24"/>
          <w:szCs w:val="24"/>
          <w:lang w:val="en-GB"/>
        </w:rPr>
        <w:t xml:space="preserve"> a profit</w:t>
      </w:r>
      <w:r>
        <w:rPr>
          <w:rFonts w:ascii="Arial" w:eastAsia="Times New Roman" w:hAnsi="Arial" w:cs="Times New Roman"/>
          <w:sz w:val="24"/>
          <w:szCs w:val="24"/>
          <w:lang w:val="en-GB"/>
        </w:rPr>
        <w:t xml:space="preserve"> </w:t>
      </w:r>
      <w:r w:rsidR="00C031F5">
        <w:rPr>
          <w:rFonts w:ascii="Arial" w:eastAsia="Times New Roman" w:hAnsi="Arial" w:cs="Times New Roman"/>
          <w:sz w:val="24"/>
          <w:szCs w:val="24"/>
          <w:lang w:val="en-GB"/>
        </w:rPr>
        <w:t xml:space="preserve">of </w:t>
      </w:r>
      <w:r>
        <w:rPr>
          <w:rFonts w:ascii="Arial" w:eastAsia="Times New Roman" w:hAnsi="Arial" w:cs="Times New Roman"/>
          <w:sz w:val="24"/>
          <w:szCs w:val="24"/>
          <w:lang w:val="en-GB"/>
        </w:rPr>
        <w:t xml:space="preserve">R320 000/annum from his </w:t>
      </w:r>
      <w:r w:rsidR="00176B5A">
        <w:rPr>
          <w:rFonts w:ascii="Arial" w:eastAsia="Times New Roman" w:hAnsi="Arial" w:cs="Times New Roman"/>
          <w:sz w:val="24"/>
          <w:szCs w:val="24"/>
          <w:lang w:val="en-GB"/>
        </w:rPr>
        <w:t>self-employed</w:t>
      </w:r>
      <w:r>
        <w:rPr>
          <w:rFonts w:ascii="Arial" w:eastAsia="Times New Roman" w:hAnsi="Arial" w:cs="Times New Roman"/>
          <w:sz w:val="24"/>
          <w:szCs w:val="24"/>
          <w:lang w:val="en-GB"/>
        </w:rPr>
        <w:t xml:space="preserve"> business. The expert note</w:t>
      </w:r>
      <w:r w:rsidR="00C031F5">
        <w:rPr>
          <w:rFonts w:ascii="Arial" w:eastAsia="Times New Roman" w:hAnsi="Arial" w:cs="Times New Roman"/>
          <w:sz w:val="24"/>
          <w:szCs w:val="24"/>
          <w:lang w:val="en-GB"/>
        </w:rPr>
        <w:t>s</w:t>
      </w:r>
      <w:r>
        <w:rPr>
          <w:rFonts w:ascii="Arial" w:eastAsia="Times New Roman" w:hAnsi="Arial" w:cs="Times New Roman"/>
          <w:sz w:val="24"/>
          <w:szCs w:val="24"/>
          <w:lang w:val="en-GB"/>
        </w:rPr>
        <w:t xml:space="preserve"> that the Plaintiff’s business focussed on a wide spectrum of business activities</w:t>
      </w:r>
      <w:r w:rsidR="008326DB">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which included property development, events and catering as well as mining related projects. </w:t>
      </w:r>
    </w:p>
    <w:p w14:paraId="6AF69BB3" w14:textId="77777777" w:rsidR="00480DE2" w:rsidRPr="00480DE2" w:rsidRDefault="00480DE2" w:rsidP="00480DE2">
      <w:pPr>
        <w:pStyle w:val="ListParagraph"/>
        <w:rPr>
          <w:rFonts w:ascii="Arial" w:eastAsia="Times New Roman" w:hAnsi="Arial" w:cs="Times New Roman"/>
          <w:sz w:val="24"/>
          <w:szCs w:val="24"/>
          <w:lang w:val="en-GB"/>
        </w:rPr>
      </w:pPr>
    </w:p>
    <w:p w14:paraId="3698D494" w14:textId="6E733643" w:rsidR="000F33D9" w:rsidRPr="006F702D" w:rsidRDefault="00480DE2" w:rsidP="00AF6DDF">
      <w:pPr>
        <w:pStyle w:val="ListParagraph"/>
        <w:numPr>
          <w:ilvl w:val="0"/>
          <w:numId w:val="3"/>
        </w:numPr>
        <w:spacing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The expert did not have the benefit of financial statements, </w:t>
      </w:r>
      <w:r w:rsidR="008326DB">
        <w:rPr>
          <w:rFonts w:ascii="Arial" w:eastAsia="Times New Roman" w:hAnsi="Arial" w:cs="Times New Roman"/>
          <w:sz w:val="24"/>
          <w:szCs w:val="24"/>
          <w:lang w:val="en-GB"/>
        </w:rPr>
        <w:t>company registration</w:t>
      </w:r>
      <w:r>
        <w:rPr>
          <w:rFonts w:ascii="Arial" w:eastAsia="Times New Roman" w:hAnsi="Arial" w:cs="Times New Roman"/>
          <w:sz w:val="24"/>
          <w:szCs w:val="24"/>
          <w:lang w:val="en-GB"/>
        </w:rPr>
        <w:t xml:space="preserve"> documents, business contracts</w:t>
      </w:r>
      <w:r w:rsidR="006F702D">
        <w:rPr>
          <w:rFonts w:ascii="Arial" w:eastAsia="Times New Roman" w:hAnsi="Arial" w:cs="Times New Roman"/>
          <w:sz w:val="24"/>
          <w:szCs w:val="24"/>
          <w:lang w:val="en-GB"/>
        </w:rPr>
        <w:t>, tax returns</w:t>
      </w:r>
      <w:r>
        <w:rPr>
          <w:rFonts w:ascii="Arial" w:eastAsia="Times New Roman" w:hAnsi="Arial" w:cs="Times New Roman"/>
          <w:sz w:val="24"/>
          <w:szCs w:val="24"/>
          <w:lang w:val="en-GB"/>
        </w:rPr>
        <w:t xml:space="preserve"> or any other objective sources which would have guided the expert on the nature</w:t>
      </w:r>
      <w:r w:rsidR="006F702D">
        <w:rPr>
          <w:rFonts w:ascii="Arial" w:eastAsia="Times New Roman" w:hAnsi="Arial" w:cs="Times New Roman"/>
          <w:sz w:val="24"/>
          <w:szCs w:val="24"/>
          <w:lang w:val="en-GB"/>
        </w:rPr>
        <w:t xml:space="preserve"> and income</w:t>
      </w:r>
      <w:r>
        <w:rPr>
          <w:rFonts w:ascii="Arial" w:eastAsia="Times New Roman" w:hAnsi="Arial" w:cs="Times New Roman"/>
          <w:sz w:val="24"/>
          <w:szCs w:val="24"/>
          <w:lang w:val="en-GB"/>
        </w:rPr>
        <w:t xml:space="preserve"> of the business. </w:t>
      </w:r>
      <w:r w:rsidR="001655CE">
        <w:rPr>
          <w:rFonts w:ascii="Arial" w:eastAsia="Times New Roman" w:hAnsi="Arial" w:cs="Times New Roman"/>
          <w:sz w:val="24"/>
          <w:szCs w:val="24"/>
          <w:lang w:val="en-GB"/>
        </w:rPr>
        <w:t>The expert did refer to factual information</w:t>
      </w:r>
      <w:r w:rsidR="002A6624">
        <w:rPr>
          <w:rFonts w:ascii="Arial" w:eastAsia="Times New Roman" w:hAnsi="Arial" w:cs="Times New Roman"/>
          <w:sz w:val="24"/>
          <w:szCs w:val="24"/>
          <w:lang w:val="en-GB"/>
        </w:rPr>
        <w:t xml:space="preserve"> but no </w:t>
      </w:r>
      <w:r w:rsidR="006F702D">
        <w:rPr>
          <w:rFonts w:ascii="Arial" w:eastAsia="Times New Roman" w:hAnsi="Arial" w:cs="Times New Roman"/>
          <w:sz w:val="24"/>
          <w:szCs w:val="24"/>
          <w:lang w:val="en-GB"/>
        </w:rPr>
        <w:t>source documents or corroboration evidence</w:t>
      </w:r>
      <w:r w:rsidR="002A6624">
        <w:rPr>
          <w:rFonts w:ascii="Arial" w:eastAsia="Times New Roman" w:hAnsi="Arial" w:cs="Times New Roman"/>
          <w:sz w:val="24"/>
          <w:szCs w:val="24"/>
          <w:lang w:val="en-GB"/>
        </w:rPr>
        <w:t xml:space="preserve"> was ever advanced to Mr Sechudi</w:t>
      </w:r>
      <w:r w:rsidR="001655CE">
        <w:rPr>
          <w:rFonts w:ascii="Arial" w:eastAsia="Times New Roman" w:hAnsi="Arial" w:cs="Times New Roman"/>
          <w:sz w:val="24"/>
          <w:szCs w:val="24"/>
          <w:lang w:val="en-GB"/>
        </w:rPr>
        <w:t xml:space="preserve">. </w:t>
      </w:r>
      <w:r w:rsidR="002A6624">
        <w:rPr>
          <w:rFonts w:ascii="Arial" w:eastAsia="Times New Roman" w:hAnsi="Arial" w:cs="Times New Roman"/>
          <w:sz w:val="24"/>
          <w:szCs w:val="24"/>
          <w:lang w:val="en-GB"/>
        </w:rPr>
        <w:t>Undeterred by the absence of the information</w:t>
      </w:r>
      <w:r w:rsidR="006F702D">
        <w:rPr>
          <w:rFonts w:ascii="Arial" w:eastAsia="Times New Roman" w:hAnsi="Arial" w:cs="Times New Roman"/>
          <w:sz w:val="24"/>
          <w:szCs w:val="24"/>
          <w:lang w:val="en-GB"/>
        </w:rPr>
        <w:t xml:space="preserve"> which I imagine would be readily ascertainable</w:t>
      </w:r>
      <w:r w:rsidR="002A6624">
        <w:rPr>
          <w:rFonts w:ascii="Arial" w:eastAsia="Times New Roman" w:hAnsi="Arial" w:cs="Times New Roman"/>
          <w:sz w:val="24"/>
          <w:szCs w:val="24"/>
          <w:lang w:val="en-GB"/>
        </w:rPr>
        <w:t xml:space="preserve">, the expert </w:t>
      </w:r>
      <w:r w:rsidR="00176B5A">
        <w:rPr>
          <w:rFonts w:ascii="Arial" w:eastAsia="Times New Roman" w:hAnsi="Arial" w:cs="Times New Roman"/>
          <w:sz w:val="24"/>
          <w:szCs w:val="24"/>
          <w:lang w:val="en-GB"/>
        </w:rPr>
        <w:t xml:space="preserve">submitted a final report and </w:t>
      </w:r>
      <w:r w:rsidR="002A6624">
        <w:rPr>
          <w:rFonts w:ascii="Arial" w:eastAsia="Times New Roman" w:hAnsi="Arial" w:cs="Times New Roman"/>
          <w:sz w:val="24"/>
          <w:szCs w:val="24"/>
          <w:lang w:val="en-GB"/>
        </w:rPr>
        <w:t xml:space="preserve">was content to submit an affidavit </w:t>
      </w:r>
      <w:r w:rsidR="000F33D9">
        <w:rPr>
          <w:rFonts w:ascii="Arial" w:eastAsia="Times New Roman" w:hAnsi="Arial" w:cs="Times New Roman"/>
          <w:sz w:val="24"/>
          <w:szCs w:val="24"/>
          <w:lang w:val="en-GB"/>
        </w:rPr>
        <w:t>to elevate his written report into evidence, stating that ‘</w:t>
      </w:r>
      <w:r w:rsidR="000F33D9" w:rsidRPr="008326DB">
        <w:rPr>
          <w:rFonts w:ascii="Arial" w:eastAsia="Times New Roman" w:hAnsi="Arial" w:cs="Times New Roman"/>
          <w:i/>
          <w:iCs/>
          <w:sz w:val="24"/>
          <w:szCs w:val="24"/>
          <w:lang w:val="en-GB"/>
        </w:rPr>
        <w:t>…the medico-legal report is correct and has been completed and compiled by m</w:t>
      </w:r>
      <w:r w:rsidR="008326DB">
        <w:rPr>
          <w:rFonts w:ascii="Arial" w:eastAsia="Times New Roman" w:hAnsi="Arial" w:cs="Times New Roman"/>
          <w:i/>
          <w:iCs/>
          <w:sz w:val="24"/>
          <w:szCs w:val="24"/>
          <w:lang w:val="en-GB"/>
        </w:rPr>
        <w:t>e</w:t>
      </w:r>
      <w:r w:rsidR="000F33D9" w:rsidRPr="008326DB">
        <w:rPr>
          <w:rFonts w:ascii="Arial" w:eastAsia="Times New Roman" w:hAnsi="Arial" w:cs="Times New Roman"/>
          <w:i/>
          <w:iCs/>
          <w:sz w:val="24"/>
          <w:szCs w:val="24"/>
          <w:lang w:val="en-GB"/>
        </w:rPr>
        <w:t xml:space="preserve"> in accordance with the required standards</w:t>
      </w:r>
      <w:r w:rsidR="000F33D9">
        <w:rPr>
          <w:rFonts w:ascii="Arial" w:eastAsia="Times New Roman" w:hAnsi="Arial" w:cs="Times New Roman"/>
          <w:sz w:val="24"/>
          <w:szCs w:val="24"/>
          <w:lang w:val="en-GB"/>
        </w:rPr>
        <w:t xml:space="preserve">’. </w:t>
      </w:r>
      <w:r w:rsidR="00176B5A">
        <w:rPr>
          <w:rFonts w:ascii="Arial" w:eastAsia="Times New Roman" w:hAnsi="Arial" w:cs="Times New Roman"/>
          <w:sz w:val="24"/>
          <w:szCs w:val="24"/>
          <w:lang w:val="en-GB"/>
        </w:rPr>
        <w:t>Mr Sechudi did not say in his affidavit that the factual information remain</w:t>
      </w:r>
      <w:r w:rsidR="00C031F5">
        <w:rPr>
          <w:rFonts w:ascii="Arial" w:eastAsia="Times New Roman" w:hAnsi="Arial" w:cs="Times New Roman"/>
          <w:sz w:val="24"/>
          <w:szCs w:val="24"/>
          <w:lang w:val="en-GB"/>
        </w:rPr>
        <w:t>ed</w:t>
      </w:r>
      <w:r w:rsidR="00176B5A">
        <w:rPr>
          <w:rFonts w:ascii="Arial" w:eastAsia="Times New Roman" w:hAnsi="Arial" w:cs="Times New Roman"/>
          <w:sz w:val="24"/>
          <w:szCs w:val="24"/>
          <w:lang w:val="en-GB"/>
        </w:rPr>
        <w:t xml:space="preserve"> outstanding and that his report should be deemed an interim one.</w:t>
      </w:r>
    </w:p>
    <w:p w14:paraId="23552A32" w14:textId="77777777" w:rsidR="000F33D9" w:rsidRPr="000F33D9" w:rsidRDefault="000F33D9" w:rsidP="000F33D9">
      <w:pPr>
        <w:pStyle w:val="ListParagraph"/>
        <w:rPr>
          <w:rFonts w:ascii="Arial" w:eastAsia="Times New Roman" w:hAnsi="Arial" w:cs="Times New Roman"/>
          <w:sz w:val="24"/>
          <w:szCs w:val="24"/>
          <w:lang w:val="en-GB"/>
        </w:rPr>
      </w:pPr>
    </w:p>
    <w:p w14:paraId="1985EF6F" w14:textId="6226DDA2" w:rsidR="000F33D9" w:rsidRDefault="000F33D9" w:rsidP="00AF6DDF">
      <w:pPr>
        <w:pStyle w:val="ListParagraph"/>
        <w:numPr>
          <w:ilvl w:val="0"/>
          <w:numId w:val="3"/>
        </w:numPr>
        <w:spacing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Mr Sechudi used the alleged income of R320 000/a</w:t>
      </w:r>
      <w:r w:rsidR="008326DB">
        <w:rPr>
          <w:rFonts w:ascii="Arial" w:eastAsia="Times New Roman" w:hAnsi="Arial" w:cs="Times New Roman"/>
          <w:sz w:val="24"/>
          <w:szCs w:val="24"/>
          <w:lang w:val="en-GB"/>
        </w:rPr>
        <w:t>nnum</w:t>
      </w:r>
      <w:r>
        <w:rPr>
          <w:rFonts w:ascii="Arial" w:eastAsia="Times New Roman" w:hAnsi="Arial" w:cs="Times New Roman"/>
          <w:sz w:val="24"/>
          <w:szCs w:val="24"/>
          <w:lang w:val="en-GB"/>
        </w:rPr>
        <w:t xml:space="preserve"> and </w:t>
      </w:r>
      <w:r w:rsidR="001655CE">
        <w:rPr>
          <w:rFonts w:ascii="Arial" w:eastAsia="Times New Roman" w:hAnsi="Arial" w:cs="Times New Roman"/>
          <w:sz w:val="24"/>
          <w:szCs w:val="24"/>
          <w:lang w:val="en-GB"/>
        </w:rPr>
        <w:t xml:space="preserve">then matched the earnings to the Patterson Scales, despite actual earnings being known, and opined that the Plaintiff’s alleged earnings is levelled at Patterson B5 (Median Quartile), total package. </w:t>
      </w:r>
      <w:r w:rsidR="008326DB">
        <w:rPr>
          <w:rFonts w:ascii="Arial" w:eastAsia="Times New Roman" w:hAnsi="Arial" w:cs="Times New Roman"/>
          <w:sz w:val="24"/>
          <w:szCs w:val="24"/>
          <w:lang w:val="en-GB"/>
        </w:rPr>
        <w:t>Mr Sechudi</w:t>
      </w:r>
      <w:r w:rsidR="001655CE">
        <w:rPr>
          <w:rFonts w:ascii="Arial" w:eastAsia="Times New Roman" w:hAnsi="Arial" w:cs="Times New Roman"/>
          <w:sz w:val="24"/>
          <w:szCs w:val="24"/>
          <w:lang w:val="en-GB"/>
        </w:rPr>
        <w:t xml:space="preserve"> then </w:t>
      </w:r>
      <w:r w:rsidR="007A04D8">
        <w:rPr>
          <w:rFonts w:ascii="Arial" w:eastAsia="Times New Roman" w:hAnsi="Arial" w:cs="Times New Roman"/>
          <w:sz w:val="24"/>
          <w:szCs w:val="24"/>
          <w:lang w:val="en-GB"/>
        </w:rPr>
        <w:t>opines</w:t>
      </w:r>
      <w:r w:rsidR="008326DB">
        <w:rPr>
          <w:rFonts w:ascii="Arial" w:eastAsia="Times New Roman" w:hAnsi="Arial" w:cs="Times New Roman"/>
          <w:sz w:val="24"/>
          <w:szCs w:val="24"/>
          <w:lang w:val="en-GB"/>
        </w:rPr>
        <w:t>, without a factual basis</w:t>
      </w:r>
      <w:r w:rsidR="006F702D">
        <w:rPr>
          <w:rFonts w:ascii="Arial" w:eastAsia="Times New Roman" w:hAnsi="Arial" w:cs="Times New Roman"/>
          <w:sz w:val="24"/>
          <w:szCs w:val="24"/>
          <w:lang w:val="en-GB"/>
        </w:rPr>
        <w:t xml:space="preserve"> which would inform or</w:t>
      </w:r>
      <w:r w:rsidR="008326DB">
        <w:rPr>
          <w:rFonts w:ascii="Arial" w:eastAsia="Times New Roman" w:hAnsi="Arial" w:cs="Times New Roman"/>
          <w:sz w:val="24"/>
          <w:szCs w:val="24"/>
          <w:lang w:val="en-GB"/>
        </w:rPr>
        <w:t xml:space="preserve"> justify this opinion,</w:t>
      </w:r>
      <w:r w:rsidR="001655CE">
        <w:rPr>
          <w:rFonts w:ascii="Arial" w:eastAsia="Times New Roman" w:hAnsi="Arial" w:cs="Times New Roman"/>
          <w:sz w:val="24"/>
          <w:szCs w:val="24"/>
          <w:lang w:val="en-GB"/>
        </w:rPr>
        <w:t xml:space="preserve"> that the Plaintiff’s earning would grow to Patterson C1 </w:t>
      </w:r>
      <w:r w:rsidR="008326DB">
        <w:rPr>
          <w:rFonts w:ascii="Arial" w:eastAsia="Times New Roman" w:hAnsi="Arial" w:cs="Times New Roman"/>
          <w:sz w:val="24"/>
          <w:szCs w:val="24"/>
          <w:lang w:val="en-GB"/>
        </w:rPr>
        <w:t>(</w:t>
      </w:r>
      <w:r w:rsidR="001655CE">
        <w:rPr>
          <w:rFonts w:ascii="Arial" w:eastAsia="Times New Roman" w:hAnsi="Arial" w:cs="Times New Roman"/>
          <w:sz w:val="24"/>
          <w:szCs w:val="24"/>
          <w:lang w:val="en-GB"/>
        </w:rPr>
        <w:t>median</w:t>
      </w:r>
      <w:r w:rsidR="008326DB">
        <w:rPr>
          <w:rFonts w:ascii="Arial" w:eastAsia="Times New Roman" w:hAnsi="Arial" w:cs="Times New Roman"/>
          <w:sz w:val="24"/>
          <w:szCs w:val="24"/>
          <w:lang w:val="en-GB"/>
        </w:rPr>
        <w:t xml:space="preserve"> quartile)</w:t>
      </w:r>
      <w:r w:rsidR="001655CE">
        <w:rPr>
          <w:rFonts w:ascii="Arial" w:eastAsia="Times New Roman" w:hAnsi="Arial" w:cs="Times New Roman"/>
          <w:sz w:val="24"/>
          <w:szCs w:val="24"/>
          <w:lang w:val="en-GB"/>
        </w:rPr>
        <w:t xml:space="preserve"> or R403 000/a at the age of 50 years. The Plaintiff would then retire at the age of 70.</w:t>
      </w:r>
    </w:p>
    <w:p w14:paraId="423F39E2" w14:textId="77777777" w:rsidR="000F33D9" w:rsidRPr="000F33D9" w:rsidRDefault="000F33D9" w:rsidP="000F33D9">
      <w:pPr>
        <w:pStyle w:val="ListParagraph"/>
        <w:rPr>
          <w:rFonts w:ascii="Arial" w:eastAsia="Times New Roman" w:hAnsi="Arial" w:cs="Times New Roman"/>
          <w:sz w:val="24"/>
          <w:szCs w:val="24"/>
          <w:lang w:val="en-GB"/>
        </w:rPr>
      </w:pPr>
    </w:p>
    <w:p w14:paraId="428A4DDE" w14:textId="77777777" w:rsidR="006F702D" w:rsidRDefault="008326DB" w:rsidP="00AF6DDF">
      <w:pPr>
        <w:pStyle w:val="ListParagraph"/>
        <w:numPr>
          <w:ilvl w:val="0"/>
          <w:numId w:val="3"/>
        </w:numPr>
        <w:spacing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Without a factual basis to support this increase in income of more than 25%, </w:t>
      </w:r>
      <w:r w:rsidR="007B254A">
        <w:rPr>
          <w:rFonts w:ascii="Arial" w:eastAsia="Times New Roman" w:hAnsi="Arial" w:cs="Times New Roman"/>
          <w:sz w:val="24"/>
          <w:szCs w:val="24"/>
          <w:lang w:val="en-GB"/>
        </w:rPr>
        <w:t>in such a short space of time</w:t>
      </w:r>
      <w:r>
        <w:rPr>
          <w:rFonts w:ascii="Arial" w:eastAsia="Times New Roman" w:hAnsi="Arial" w:cs="Times New Roman"/>
          <w:sz w:val="24"/>
          <w:szCs w:val="24"/>
          <w:lang w:val="en-GB"/>
        </w:rPr>
        <w:t xml:space="preserve">, I reject Mr Sechudi’s </w:t>
      </w:r>
      <w:r w:rsidR="007B254A">
        <w:rPr>
          <w:rFonts w:ascii="Arial" w:eastAsia="Times New Roman" w:hAnsi="Arial" w:cs="Times New Roman"/>
          <w:sz w:val="24"/>
          <w:szCs w:val="24"/>
          <w:lang w:val="en-GB"/>
        </w:rPr>
        <w:t>pre-morbid career postulation</w:t>
      </w:r>
      <w:r>
        <w:rPr>
          <w:rFonts w:ascii="Arial" w:eastAsia="Times New Roman" w:hAnsi="Arial" w:cs="Times New Roman"/>
          <w:sz w:val="24"/>
          <w:szCs w:val="24"/>
          <w:lang w:val="en-GB"/>
        </w:rPr>
        <w:t xml:space="preserve">. </w:t>
      </w:r>
      <w:r w:rsidR="006F702D">
        <w:rPr>
          <w:rFonts w:ascii="Arial" w:eastAsia="Times New Roman" w:hAnsi="Arial" w:cs="Times New Roman"/>
          <w:sz w:val="24"/>
          <w:szCs w:val="24"/>
          <w:lang w:val="en-GB"/>
        </w:rPr>
        <w:t>The Plaintiff</w:t>
      </w:r>
      <w:r w:rsidR="007B254A">
        <w:rPr>
          <w:rFonts w:ascii="Arial" w:eastAsia="Times New Roman" w:hAnsi="Arial" w:cs="Times New Roman"/>
          <w:sz w:val="24"/>
          <w:szCs w:val="24"/>
          <w:lang w:val="en-GB"/>
        </w:rPr>
        <w:t xml:space="preserve"> is clearly past the age where one generally reaches a career ceiling, widely accepted a</w:t>
      </w:r>
      <w:r w:rsidR="00176B5A">
        <w:rPr>
          <w:rFonts w:ascii="Arial" w:eastAsia="Times New Roman" w:hAnsi="Arial" w:cs="Times New Roman"/>
          <w:sz w:val="24"/>
          <w:szCs w:val="24"/>
          <w:lang w:val="en-GB"/>
        </w:rPr>
        <w:t>t</w:t>
      </w:r>
      <w:r w:rsidR="007B254A">
        <w:rPr>
          <w:rFonts w:ascii="Arial" w:eastAsia="Times New Roman" w:hAnsi="Arial" w:cs="Times New Roman"/>
          <w:sz w:val="24"/>
          <w:szCs w:val="24"/>
          <w:lang w:val="en-GB"/>
        </w:rPr>
        <w:t xml:space="preserve"> the age of 45 years. </w:t>
      </w:r>
    </w:p>
    <w:p w14:paraId="4EDA1889" w14:textId="77777777" w:rsidR="006F702D" w:rsidRPr="006F702D" w:rsidRDefault="006F702D" w:rsidP="006F702D">
      <w:pPr>
        <w:pStyle w:val="ListParagraph"/>
        <w:rPr>
          <w:rFonts w:ascii="Arial" w:eastAsia="Times New Roman" w:hAnsi="Arial" w:cs="Times New Roman"/>
          <w:sz w:val="24"/>
          <w:szCs w:val="24"/>
          <w:lang w:val="en-GB"/>
        </w:rPr>
      </w:pPr>
    </w:p>
    <w:p w14:paraId="62658044" w14:textId="3C87D885" w:rsidR="00480DE2" w:rsidRDefault="007B254A" w:rsidP="00AF6DDF">
      <w:pPr>
        <w:pStyle w:val="ListParagraph"/>
        <w:numPr>
          <w:ilvl w:val="0"/>
          <w:numId w:val="3"/>
        </w:numPr>
        <w:spacing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There is no evidence to support that a career increase was possible or likely in the future. </w:t>
      </w:r>
      <w:r w:rsidR="000F33D9">
        <w:rPr>
          <w:rFonts w:ascii="Arial" w:eastAsia="Times New Roman" w:hAnsi="Arial" w:cs="Times New Roman"/>
          <w:sz w:val="24"/>
          <w:szCs w:val="24"/>
          <w:lang w:val="en-GB"/>
        </w:rPr>
        <w:t xml:space="preserve">There is no factual basis on which Mr Sechudi could have reached the conclusion that the Plaintiff’s income would have increased to R403 000/a. </w:t>
      </w:r>
    </w:p>
    <w:p w14:paraId="096D1BF9" w14:textId="77777777" w:rsidR="003509FB" w:rsidRPr="003509FB" w:rsidRDefault="003509FB" w:rsidP="003509FB">
      <w:pPr>
        <w:pStyle w:val="ListParagraph"/>
        <w:rPr>
          <w:rFonts w:ascii="Arial" w:eastAsia="Times New Roman" w:hAnsi="Arial" w:cs="Times New Roman"/>
          <w:sz w:val="24"/>
          <w:szCs w:val="24"/>
          <w:lang w:val="en-GB"/>
        </w:rPr>
      </w:pPr>
    </w:p>
    <w:p w14:paraId="59201DAE" w14:textId="1D48659F" w:rsidR="003509FB" w:rsidRDefault="003509FB"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The </w:t>
      </w:r>
      <w:r w:rsidRPr="00516512">
        <w:rPr>
          <w:rFonts w:ascii="Arial" w:eastAsia="Times New Roman" w:hAnsi="Arial" w:cs="Times New Roman"/>
          <w:i/>
          <w:iCs/>
          <w:sz w:val="24"/>
          <w:szCs w:val="24"/>
          <w:lang w:val="en-GB"/>
        </w:rPr>
        <w:t>ipse dixit</w:t>
      </w:r>
      <w:r>
        <w:rPr>
          <w:rFonts w:ascii="Arial" w:eastAsia="Times New Roman" w:hAnsi="Arial" w:cs="Times New Roman"/>
          <w:sz w:val="24"/>
          <w:szCs w:val="24"/>
          <w:lang w:val="en-GB"/>
        </w:rPr>
        <w:t xml:space="preserve"> or conclusions of an expert is not enough to move </w:t>
      </w:r>
      <w:r w:rsidR="008326DB">
        <w:rPr>
          <w:rFonts w:ascii="Arial" w:eastAsia="Times New Roman" w:hAnsi="Arial" w:cs="Times New Roman"/>
          <w:sz w:val="24"/>
          <w:szCs w:val="24"/>
          <w:lang w:val="en-GB"/>
        </w:rPr>
        <w:t>the court</w:t>
      </w:r>
      <w:r>
        <w:rPr>
          <w:rFonts w:ascii="Arial" w:eastAsia="Times New Roman" w:hAnsi="Arial" w:cs="Times New Roman"/>
          <w:sz w:val="24"/>
          <w:szCs w:val="24"/>
          <w:lang w:val="en-GB"/>
        </w:rPr>
        <w:t xml:space="preserve"> to place reliance on the opinion</w:t>
      </w:r>
      <w:r w:rsidR="00176B5A">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This is so, even where only one party appointed experts and </w:t>
      </w:r>
      <w:r>
        <w:rPr>
          <w:rFonts w:ascii="Arial" w:eastAsia="Times New Roman" w:hAnsi="Arial" w:cs="Times New Roman"/>
          <w:sz w:val="24"/>
          <w:szCs w:val="24"/>
          <w:lang w:val="en-GB"/>
        </w:rPr>
        <w:lastRenderedPageBreak/>
        <w:t>there is no opposing opinion.</w:t>
      </w:r>
      <w:r>
        <w:rPr>
          <w:rStyle w:val="FootnoteReference"/>
          <w:rFonts w:ascii="Arial" w:eastAsia="Times New Roman" w:hAnsi="Arial" w:cs="Times New Roman"/>
          <w:sz w:val="24"/>
          <w:szCs w:val="24"/>
          <w:lang w:val="en-GB"/>
        </w:rPr>
        <w:footnoteReference w:id="46"/>
      </w:r>
      <w:r>
        <w:rPr>
          <w:rFonts w:ascii="Arial" w:eastAsia="Times New Roman" w:hAnsi="Arial" w:cs="Times New Roman"/>
          <w:sz w:val="24"/>
          <w:szCs w:val="24"/>
          <w:lang w:val="en-GB"/>
        </w:rPr>
        <w:t xml:space="preserve"> The expert is not to usurp the court’s function</w:t>
      </w:r>
      <w:r>
        <w:rPr>
          <w:rStyle w:val="FootnoteReference"/>
          <w:rFonts w:ascii="Arial" w:eastAsia="Times New Roman" w:hAnsi="Arial" w:cs="Times New Roman"/>
          <w:sz w:val="24"/>
          <w:szCs w:val="24"/>
          <w:lang w:val="en-GB"/>
        </w:rPr>
        <w:footnoteReference w:id="47"/>
      </w:r>
      <w:r>
        <w:rPr>
          <w:rFonts w:ascii="Arial" w:eastAsia="Times New Roman" w:hAnsi="Arial" w:cs="Times New Roman"/>
          <w:sz w:val="24"/>
          <w:szCs w:val="24"/>
          <w:lang w:val="en-GB"/>
        </w:rPr>
        <w:t xml:space="preserve"> who decides the case and the court may not abdicate its duty to find the facts</w:t>
      </w:r>
      <w:r w:rsidR="006F702D">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to an expert.</w:t>
      </w:r>
      <w:r>
        <w:rPr>
          <w:rStyle w:val="FootnoteReference"/>
          <w:rFonts w:ascii="Arial" w:eastAsia="Times New Roman" w:hAnsi="Arial" w:cs="Times New Roman"/>
          <w:sz w:val="24"/>
          <w:szCs w:val="24"/>
          <w:lang w:val="en-GB"/>
        </w:rPr>
        <w:footnoteReference w:id="48"/>
      </w:r>
      <w:r>
        <w:rPr>
          <w:rFonts w:ascii="Arial" w:eastAsia="Times New Roman" w:hAnsi="Arial" w:cs="Times New Roman"/>
          <w:sz w:val="24"/>
          <w:szCs w:val="24"/>
          <w:lang w:val="en-GB"/>
        </w:rPr>
        <w:t xml:space="preserve"> </w:t>
      </w:r>
    </w:p>
    <w:p w14:paraId="4629615C" w14:textId="77777777" w:rsidR="00D83A6E" w:rsidRPr="00D83A6E" w:rsidRDefault="00D83A6E" w:rsidP="00D83A6E">
      <w:pPr>
        <w:pStyle w:val="ListParagraph"/>
        <w:rPr>
          <w:rFonts w:ascii="Arial" w:eastAsia="Times New Roman" w:hAnsi="Arial" w:cs="Times New Roman"/>
          <w:sz w:val="24"/>
          <w:szCs w:val="24"/>
          <w:lang w:val="en-GB"/>
        </w:rPr>
      </w:pPr>
    </w:p>
    <w:p w14:paraId="601EDDBA" w14:textId="4274A26F" w:rsidR="00D83A6E" w:rsidRPr="00312C75" w:rsidRDefault="00D83A6E" w:rsidP="00AF6DDF">
      <w:pPr>
        <w:pStyle w:val="ListParagraph"/>
        <w:numPr>
          <w:ilvl w:val="0"/>
          <w:numId w:val="3"/>
        </w:numPr>
        <w:spacing w:after="0" w:line="480" w:lineRule="auto"/>
        <w:jc w:val="both"/>
        <w:rPr>
          <w:rFonts w:ascii="Arial" w:eastAsia="Times New Roman" w:hAnsi="Arial" w:cs="Times New Roman"/>
          <w:sz w:val="24"/>
          <w:szCs w:val="24"/>
          <w:lang w:val="en-GB"/>
        </w:rPr>
      </w:pPr>
      <w:r w:rsidRPr="00312C75">
        <w:rPr>
          <w:rFonts w:ascii="Arial" w:eastAsia="Times New Roman" w:hAnsi="Arial" w:cs="Times New Roman"/>
          <w:sz w:val="24"/>
          <w:szCs w:val="24"/>
          <w:lang w:val="en-GB"/>
        </w:rPr>
        <w:lastRenderedPageBreak/>
        <w:t xml:space="preserve">Wessels JA held in </w:t>
      </w:r>
      <w:r w:rsidRPr="00312C75">
        <w:rPr>
          <w:rFonts w:ascii="Arial" w:eastAsia="Times New Roman" w:hAnsi="Arial" w:cs="Times New Roman"/>
          <w:i/>
          <w:iCs/>
          <w:sz w:val="24"/>
          <w:szCs w:val="24"/>
          <w:lang w:val="en-GB"/>
        </w:rPr>
        <w:t>Coopers (South Africa) (Pty) Ltd v Deutsche Gesellschaft für Schädlingsbekämpfung MBH</w:t>
      </w:r>
      <w:r w:rsidR="00176B5A">
        <w:rPr>
          <w:rStyle w:val="FootnoteReference"/>
          <w:rFonts w:ascii="Arial" w:eastAsia="Times New Roman" w:hAnsi="Arial" w:cs="Times New Roman"/>
          <w:i/>
          <w:iCs/>
          <w:sz w:val="24"/>
          <w:szCs w:val="24"/>
          <w:lang w:val="en-GB"/>
        </w:rPr>
        <w:footnoteReference w:id="49"/>
      </w:r>
      <w:r w:rsidRPr="00312C75">
        <w:rPr>
          <w:rFonts w:ascii="Arial" w:eastAsia="Times New Roman" w:hAnsi="Arial" w:cs="Times New Roman"/>
          <w:sz w:val="24"/>
          <w:szCs w:val="24"/>
          <w:lang w:val="en-GB"/>
        </w:rPr>
        <w:t xml:space="preserve"> at 371 that:</w:t>
      </w:r>
    </w:p>
    <w:p w14:paraId="420DD81A" w14:textId="0CF78909" w:rsidR="005A4A2F" w:rsidRDefault="00D83A6E" w:rsidP="008326DB">
      <w:pPr>
        <w:pStyle w:val="ListParagraph"/>
        <w:spacing w:after="0" w:line="480" w:lineRule="auto"/>
        <w:ind w:left="1440"/>
        <w:jc w:val="both"/>
        <w:rPr>
          <w:rFonts w:ascii="Arial" w:eastAsia="Times New Roman" w:hAnsi="Arial" w:cs="Times New Roman"/>
          <w:i/>
          <w:iCs/>
          <w:sz w:val="20"/>
          <w:szCs w:val="20"/>
          <w:lang w:val="en-GB"/>
        </w:rPr>
      </w:pPr>
      <w:r w:rsidRPr="00312C75">
        <w:rPr>
          <w:rFonts w:ascii="Arial" w:eastAsia="Times New Roman" w:hAnsi="Arial" w:cs="Times New Roman"/>
          <w:i/>
          <w:iCs/>
          <w:sz w:val="20"/>
          <w:szCs w:val="20"/>
          <w:lang w:val="en-GB"/>
        </w:rPr>
        <w:t>‘… an expert's opinion represents his reasoned conclusion based on certain facts or data, which are either common cause, or established by his own evidence or that of some other competent witness. Except possibly where it is not controverted, an expert's bald statement of his opinion is not of any real assistance. Proper evaluation of the opinion can only be undertaken if the process of reasoning which led to the conclusion, including the premises from which the reasoning proceeds, are disclosed by the expert.</w:t>
      </w:r>
    </w:p>
    <w:p w14:paraId="5B269FE9" w14:textId="77777777" w:rsidR="007B254A" w:rsidRPr="008326DB" w:rsidRDefault="007B254A" w:rsidP="008326DB">
      <w:pPr>
        <w:pStyle w:val="ListParagraph"/>
        <w:spacing w:after="0" w:line="480" w:lineRule="auto"/>
        <w:ind w:left="1440"/>
        <w:jc w:val="both"/>
        <w:rPr>
          <w:rFonts w:ascii="Arial" w:eastAsia="Times New Roman" w:hAnsi="Arial" w:cs="Times New Roman"/>
          <w:i/>
          <w:iCs/>
          <w:sz w:val="20"/>
          <w:szCs w:val="20"/>
          <w:lang w:val="en-GB"/>
        </w:rPr>
      </w:pPr>
    </w:p>
    <w:p w14:paraId="53D187C1" w14:textId="4B7C5396" w:rsidR="00D83A6E" w:rsidRDefault="00D83A6E"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Something more tha</w:t>
      </w:r>
      <w:r w:rsidR="00C031F5">
        <w:rPr>
          <w:rFonts w:ascii="Arial" w:eastAsia="Times New Roman" w:hAnsi="Arial" w:cs="Times New Roman"/>
          <w:sz w:val="24"/>
          <w:szCs w:val="24"/>
          <w:lang w:val="en-GB"/>
        </w:rPr>
        <w:t>n</w:t>
      </w:r>
      <w:r>
        <w:rPr>
          <w:rFonts w:ascii="Arial" w:eastAsia="Times New Roman" w:hAnsi="Arial" w:cs="Times New Roman"/>
          <w:sz w:val="24"/>
          <w:szCs w:val="24"/>
          <w:lang w:val="en-GB"/>
        </w:rPr>
        <w:t xml:space="preserve"> the mere </w:t>
      </w:r>
      <w:r w:rsidRPr="007B254A">
        <w:rPr>
          <w:rFonts w:ascii="Arial" w:eastAsia="Times New Roman" w:hAnsi="Arial" w:cs="Times New Roman"/>
          <w:i/>
          <w:iCs/>
          <w:sz w:val="24"/>
          <w:szCs w:val="24"/>
          <w:lang w:val="en-GB"/>
        </w:rPr>
        <w:t>ipse dixit</w:t>
      </w:r>
      <w:r>
        <w:rPr>
          <w:rFonts w:ascii="Arial" w:eastAsia="Times New Roman" w:hAnsi="Arial" w:cs="Times New Roman"/>
          <w:sz w:val="24"/>
          <w:szCs w:val="24"/>
          <w:lang w:val="en-GB"/>
        </w:rPr>
        <w:t xml:space="preserve"> of the expert is required. The opinion must be supported by logical and cogent reasoning</w:t>
      </w:r>
      <w:r>
        <w:rPr>
          <w:rStyle w:val="FootnoteReference"/>
          <w:rFonts w:ascii="Arial" w:eastAsia="Times New Roman" w:hAnsi="Arial" w:cs="Times New Roman"/>
          <w:sz w:val="24"/>
          <w:szCs w:val="24"/>
          <w:lang w:val="en-GB"/>
        </w:rPr>
        <w:footnoteReference w:id="50"/>
      </w:r>
      <w:r>
        <w:rPr>
          <w:rFonts w:ascii="Arial" w:eastAsia="Times New Roman" w:hAnsi="Arial" w:cs="Times New Roman"/>
          <w:sz w:val="24"/>
          <w:szCs w:val="24"/>
          <w:lang w:val="en-GB"/>
        </w:rPr>
        <w:t xml:space="preserve"> which also may require of the expert to consider comparative or alternative scenarios.</w:t>
      </w:r>
      <w:r>
        <w:rPr>
          <w:rStyle w:val="FootnoteReference"/>
          <w:rFonts w:ascii="Arial" w:eastAsia="Times New Roman" w:hAnsi="Arial" w:cs="Times New Roman"/>
          <w:sz w:val="24"/>
          <w:szCs w:val="24"/>
          <w:lang w:val="en-GB"/>
        </w:rPr>
        <w:footnoteReference w:id="51"/>
      </w:r>
      <w:r>
        <w:rPr>
          <w:rFonts w:ascii="Arial" w:eastAsia="Times New Roman" w:hAnsi="Arial" w:cs="Times New Roman"/>
          <w:sz w:val="24"/>
          <w:szCs w:val="24"/>
          <w:lang w:val="en-GB"/>
        </w:rPr>
        <w:t xml:space="preserve"> A proper evaluation depends on the process of reasoning which resulted in the final opinion, the grounds on which the opinion is premised.</w:t>
      </w:r>
      <w:r>
        <w:rPr>
          <w:rStyle w:val="FootnoteReference"/>
          <w:rFonts w:ascii="Arial" w:eastAsia="Times New Roman" w:hAnsi="Arial" w:cs="Times New Roman"/>
          <w:sz w:val="24"/>
          <w:szCs w:val="24"/>
          <w:lang w:val="en-GB"/>
        </w:rPr>
        <w:footnoteReference w:id="52"/>
      </w:r>
      <w:r>
        <w:rPr>
          <w:rFonts w:ascii="Arial" w:eastAsia="Times New Roman" w:hAnsi="Arial" w:cs="Times New Roman"/>
          <w:sz w:val="24"/>
          <w:szCs w:val="24"/>
          <w:lang w:val="en-GB"/>
        </w:rPr>
        <w:t xml:space="preserve"> Additionally, the opinion must be reasonable considering the </w:t>
      </w:r>
      <w:r w:rsidRPr="00364228">
        <w:rPr>
          <w:rFonts w:ascii="Arial" w:eastAsia="Times New Roman" w:hAnsi="Arial" w:cs="Times New Roman"/>
          <w:i/>
          <w:iCs/>
          <w:sz w:val="24"/>
          <w:szCs w:val="24"/>
          <w:lang w:val="en-GB"/>
        </w:rPr>
        <w:t>prima facie</w:t>
      </w:r>
      <w:r>
        <w:rPr>
          <w:rFonts w:ascii="Arial" w:eastAsia="Times New Roman" w:hAnsi="Arial" w:cs="Times New Roman"/>
          <w:sz w:val="24"/>
          <w:szCs w:val="24"/>
          <w:lang w:val="en-GB"/>
        </w:rPr>
        <w:t xml:space="preserve"> facts on which the opinion is founded.</w:t>
      </w:r>
      <w:r>
        <w:rPr>
          <w:rStyle w:val="FootnoteReference"/>
          <w:rFonts w:ascii="Arial" w:eastAsia="Times New Roman" w:hAnsi="Arial" w:cs="Times New Roman"/>
          <w:sz w:val="24"/>
          <w:szCs w:val="24"/>
          <w:lang w:val="en-GB"/>
        </w:rPr>
        <w:footnoteReference w:id="53"/>
      </w:r>
    </w:p>
    <w:p w14:paraId="1BB4DC1D" w14:textId="77777777" w:rsidR="005A4A2F" w:rsidRDefault="005A4A2F" w:rsidP="005A4A2F">
      <w:pPr>
        <w:pStyle w:val="ListParagraph"/>
        <w:spacing w:after="0" w:line="480" w:lineRule="auto"/>
        <w:ind w:left="360"/>
        <w:jc w:val="both"/>
        <w:rPr>
          <w:rFonts w:ascii="Arial" w:eastAsia="Times New Roman" w:hAnsi="Arial" w:cs="Times New Roman"/>
          <w:sz w:val="24"/>
          <w:szCs w:val="24"/>
          <w:lang w:val="en-GB"/>
        </w:rPr>
      </w:pPr>
    </w:p>
    <w:p w14:paraId="52E38EA1" w14:textId="367457E0" w:rsidR="001655CE" w:rsidRDefault="005A4A2F"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lastRenderedPageBreak/>
        <w:t>I am not bound or obliged to accept the evidence of an expert witness and instead I must premise my findings on the expert</w:t>
      </w:r>
      <w:r w:rsidR="00C031F5">
        <w:rPr>
          <w:rFonts w:ascii="Arial" w:eastAsia="Times New Roman" w:hAnsi="Arial" w:cs="Times New Roman"/>
          <w:sz w:val="24"/>
          <w:szCs w:val="24"/>
          <w:lang w:val="en-GB"/>
        </w:rPr>
        <w:t>s’</w:t>
      </w:r>
      <w:r>
        <w:rPr>
          <w:rFonts w:ascii="Arial" w:eastAsia="Times New Roman" w:hAnsi="Arial" w:cs="Times New Roman"/>
          <w:sz w:val="24"/>
          <w:szCs w:val="24"/>
          <w:lang w:val="en-GB"/>
        </w:rPr>
        <w:t xml:space="preserve"> opinions which is properly premised upon the foundations which justifies the formation of the opinion.</w:t>
      </w:r>
      <w:r>
        <w:rPr>
          <w:rStyle w:val="FootnoteReference"/>
          <w:rFonts w:ascii="Arial" w:eastAsia="Times New Roman" w:hAnsi="Arial" w:cs="Times New Roman"/>
          <w:sz w:val="24"/>
          <w:szCs w:val="24"/>
          <w:lang w:val="en-GB"/>
        </w:rPr>
        <w:footnoteReference w:id="54"/>
      </w:r>
    </w:p>
    <w:p w14:paraId="2353B51A" w14:textId="77777777" w:rsidR="00176B5A" w:rsidRPr="00176B5A" w:rsidRDefault="00176B5A" w:rsidP="00176B5A">
      <w:pPr>
        <w:spacing w:after="0" w:line="480" w:lineRule="auto"/>
        <w:jc w:val="both"/>
        <w:rPr>
          <w:rFonts w:ascii="Arial" w:eastAsia="Times New Roman" w:hAnsi="Arial" w:cs="Times New Roman"/>
          <w:sz w:val="24"/>
          <w:szCs w:val="24"/>
          <w:lang w:val="en-GB"/>
        </w:rPr>
      </w:pPr>
    </w:p>
    <w:p w14:paraId="6E732872" w14:textId="285BF13C" w:rsidR="001655CE" w:rsidRDefault="00333791" w:rsidP="00AF6DDF">
      <w:pPr>
        <w:pStyle w:val="ListParagraph"/>
        <w:numPr>
          <w:ilvl w:val="0"/>
          <w:numId w:val="3"/>
        </w:numPr>
        <w:spacing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Post morbidly, </w:t>
      </w:r>
      <w:r w:rsidR="001655CE">
        <w:rPr>
          <w:rFonts w:ascii="Arial" w:eastAsia="Times New Roman" w:hAnsi="Arial" w:cs="Times New Roman"/>
          <w:sz w:val="24"/>
          <w:szCs w:val="24"/>
          <w:lang w:val="en-GB"/>
        </w:rPr>
        <w:t>Mr Sechudi conclude</w:t>
      </w:r>
      <w:r w:rsidR="00C031F5">
        <w:rPr>
          <w:rFonts w:ascii="Arial" w:eastAsia="Times New Roman" w:hAnsi="Arial" w:cs="Times New Roman"/>
          <w:sz w:val="24"/>
          <w:szCs w:val="24"/>
          <w:lang w:val="en-GB"/>
        </w:rPr>
        <w:t>s</w:t>
      </w:r>
      <w:r w:rsidR="001655CE">
        <w:rPr>
          <w:rFonts w:ascii="Arial" w:eastAsia="Times New Roman" w:hAnsi="Arial" w:cs="Times New Roman"/>
          <w:sz w:val="24"/>
          <w:szCs w:val="24"/>
          <w:lang w:val="en-GB"/>
        </w:rPr>
        <w:t xml:space="preserve"> that the Plaintiff had never returned </w:t>
      </w:r>
      <w:r>
        <w:rPr>
          <w:rFonts w:ascii="Arial" w:eastAsia="Times New Roman" w:hAnsi="Arial" w:cs="Times New Roman"/>
          <w:sz w:val="24"/>
          <w:szCs w:val="24"/>
          <w:lang w:val="en-GB"/>
        </w:rPr>
        <w:t xml:space="preserve">to his self-employment </w:t>
      </w:r>
      <w:r w:rsidR="001655CE">
        <w:rPr>
          <w:rFonts w:ascii="Arial" w:eastAsia="Times New Roman" w:hAnsi="Arial" w:cs="Times New Roman"/>
          <w:sz w:val="24"/>
          <w:szCs w:val="24"/>
          <w:lang w:val="en-GB"/>
        </w:rPr>
        <w:t xml:space="preserve">and will now remain unemployable. </w:t>
      </w:r>
      <w:r>
        <w:rPr>
          <w:rFonts w:ascii="Arial" w:eastAsia="Times New Roman" w:hAnsi="Arial" w:cs="Times New Roman"/>
          <w:sz w:val="24"/>
          <w:szCs w:val="24"/>
          <w:lang w:val="en-GB"/>
        </w:rPr>
        <w:t xml:space="preserve">He opines that re-entry into the open labour market is unlikely. </w:t>
      </w:r>
      <w:r w:rsidR="007B254A">
        <w:rPr>
          <w:rFonts w:ascii="Arial" w:eastAsia="Times New Roman" w:hAnsi="Arial" w:cs="Times New Roman"/>
          <w:sz w:val="24"/>
          <w:szCs w:val="24"/>
          <w:lang w:val="en-GB"/>
        </w:rPr>
        <w:t xml:space="preserve">Mr Sechudi elects to completely disregard the facts advanced by </w:t>
      </w:r>
      <w:r w:rsidR="001655CE">
        <w:rPr>
          <w:rFonts w:ascii="Arial" w:eastAsia="Times New Roman" w:hAnsi="Arial" w:cs="Times New Roman"/>
          <w:sz w:val="24"/>
          <w:szCs w:val="24"/>
          <w:lang w:val="en-GB"/>
        </w:rPr>
        <w:t>the occupational therapist</w:t>
      </w:r>
      <w:r>
        <w:rPr>
          <w:rFonts w:ascii="Arial" w:eastAsia="Times New Roman" w:hAnsi="Arial" w:cs="Times New Roman"/>
          <w:sz w:val="24"/>
          <w:szCs w:val="24"/>
          <w:lang w:val="en-GB"/>
        </w:rPr>
        <w:t>, who said in her</w:t>
      </w:r>
      <w:r w:rsidR="001655CE">
        <w:rPr>
          <w:rFonts w:ascii="Arial" w:eastAsia="Times New Roman" w:hAnsi="Arial" w:cs="Times New Roman"/>
          <w:sz w:val="24"/>
          <w:szCs w:val="24"/>
          <w:lang w:val="en-GB"/>
        </w:rPr>
        <w:t xml:space="preserve"> report </w:t>
      </w:r>
      <w:r>
        <w:rPr>
          <w:rFonts w:ascii="Arial" w:eastAsia="Times New Roman" w:hAnsi="Arial" w:cs="Times New Roman"/>
          <w:sz w:val="24"/>
          <w:szCs w:val="24"/>
          <w:lang w:val="en-GB"/>
        </w:rPr>
        <w:t xml:space="preserve">that </w:t>
      </w:r>
      <w:r w:rsidR="001655CE">
        <w:rPr>
          <w:rFonts w:ascii="Arial" w:eastAsia="Times New Roman" w:hAnsi="Arial" w:cs="Times New Roman"/>
          <w:sz w:val="24"/>
          <w:szCs w:val="24"/>
          <w:lang w:val="en-GB"/>
        </w:rPr>
        <w:t xml:space="preserve">the Plaintiff did factually return to work. </w:t>
      </w:r>
      <w:r w:rsidR="007B254A">
        <w:rPr>
          <w:rFonts w:ascii="Arial" w:eastAsia="Times New Roman" w:hAnsi="Arial" w:cs="Times New Roman"/>
          <w:sz w:val="24"/>
          <w:szCs w:val="24"/>
          <w:lang w:val="en-GB"/>
        </w:rPr>
        <w:t>Instead, Mr Sechudi opines that r</w:t>
      </w:r>
      <w:r w:rsidR="001655CE">
        <w:rPr>
          <w:rFonts w:ascii="Arial" w:eastAsia="Times New Roman" w:hAnsi="Arial" w:cs="Times New Roman"/>
          <w:sz w:val="24"/>
          <w:szCs w:val="24"/>
          <w:lang w:val="en-GB"/>
        </w:rPr>
        <w:t xml:space="preserve">e-entry into the open labour market is unlikely. </w:t>
      </w:r>
    </w:p>
    <w:p w14:paraId="56232FCD" w14:textId="77777777" w:rsidR="006F702D" w:rsidRPr="006F702D" w:rsidRDefault="006F702D" w:rsidP="006F702D">
      <w:pPr>
        <w:pStyle w:val="ListParagraph"/>
        <w:rPr>
          <w:rFonts w:ascii="Arial" w:eastAsia="Times New Roman" w:hAnsi="Arial" w:cs="Times New Roman"/>
          <w:sz w:val="24"/>
          <w:szCs w:val="24"/>
          <w:lang w:val="en-GB"/>
        </w:rPr>
      </w:pPr>
    </w:p>
    <w:p w14:paraId="2F010B81" w14:textId="6BAB9C40" w:rsidR="006F702D" w:rsidRDefault="006F702D" w:rsidP="00AF6DDF">
      <w:pPr>
        <w:pStyle w:val="ListParagraph"/>
        <w:numPr>
          <w:ilvl w:val="0"/>
          <w:numId w:val="3"/>
        </w:numPr>
        <w:spacing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Mr Sechudi was on the face of it also not informed about the Plaintiff’s </w:t>
      </w:r>
      <w:r w:rsidR="00056FB1">
        <w:rPr>
          <w:rFonts w:ascii="Arial" w:eastAsia="Times New Roman" w:hAnsi="Arial" w:cs="Times New Roman"/>
          <w:sz w:val="24"/>
          <w:szCs w:val="24"/>
          <w:lang w:val="en-GB"/>
        </w:rPr>
        <w:t>post-accident</w:t>
      </w:r>
      <w:r>
        <w:rPr>
          <w:rFonts w:ascii="Arial" w:eastAsia="Times New Roman" w:hAnsi="Arial" w:cs="Times New Roman"/>
          <w:sz w:val="24"/>
          <w:szCs w:val="24"/>
          <w:lang w:val="en-GB"/>
        </w:rPr>
        <w:t xml:space="preserve"> employment </w:t>
      </w:r>
      <w:r w:rsidR="00056FB1">
        <w:rPr>
          <w:rFonts w:ascii="Arial" w:eastAsia="Times New Roman" w:hAnsi="Arial" w:cs="Times New Roman"/>
          <w:sz w:val="24"/>
          <w:szCs w:val="24"/>
          <w:lang w:val="en-GB"/>
        </w:rPr>
        <w:t xml:space="preserve">on a temporary basis </w:t>
      </w:r>
      <w:r>
        <w:rPr>
          <w:rFonts w:ascii="Arial" w:eastAsia="Times New Roman" w:hAnsi="Arial" w:cs="Times New Roman"/>
          <w:sz w:val="24"/>
          <w:szCs w:val="24"/>
          <w:lang w:val="en-GB"/>
        </w:rPr>
        <w:t>as a cost</w:t>
      </w:r>
      <w:r w:rsidR="00056FB1">
        <w:rPr>
          <w:rFonts w:ascii="Arial" w:eastAsia="Times New Roman" w:hAnsi="Arial" w:cs="Times New Roman"/>
          <w:sz w:val="24"/>
          <w:szCs w:val="24"/>
          <w:lang w:val="en-GB"/>
        </w:rPr>
        <w:t>-</w:t>
      </w:r>
      <w:r>
        <w:rPr>
          <w:rFonts w:ascii="Arial" w:eastAsia="Times New Roman" w:hAnsi="Arial" w:cs="Times New Roman"/>
          <w:sz w:val="24"/>
          <w:szCs w:val="24"/>
          <w:lang w:val="en-GB"/>
        </w:rPr>
        <w:t>consultant</w:t>
      </w:r>
      <w:r w:rsidR="00056FB1">
        <w:rPr>
          <w:rFonts w:ascii="Arial" w:eastAsia="Times New Roman" w:hAnsi="Arial" w:cs="Times New Roman"/>
          <w:sz w:val="24"/>
          <w:szCs w:val="24"/>
          <w:lang w:val="en-GB"/>
        </w:rPr>
        <w:t>.</w:t>
      </w:r>
    </w:p>
    <w:p w14:paraId="18D2D4F6" w14:textId="4EF9E786" w:rsidR="007B254A" w:rsidRDefault="007B254A" w:rsidP="007B254A">
      <w:pPr>
        <w:pStyle w:val="ListParagraph"/>
        <w:spacing w:line="480" w:lineRule="auto"/>
        <w:ind w:left="360"/>
        <w:jc w:val="both"/>
        <w:rPr>
          <w:rFonts w:ascii="Arial" w:eastAsia="Times New Roman" w:hAnsi="Arial" w:cs="Times New Roman"/>
          <w:sz w:val="24"/>
          <w:szCs w:val="24"/>
          <w:lang w:val="en-GB"/>
        </w:rPr>
      </w:pPr>
    </w:p>
    <w:p w14:paraId="54933E62" w14:textId="1EC0DD18" w:rsidR="007B254A" w:rsidRDefault="007B254A" w:rsidP="00AF6DDF">
      <w:pPr>
        <w:pStyle w:val="ListParagraph"/>
        <w:numPr>
          <w:ilvl w:val="0"/>
          <w:numId w:val="3"/>
        </w:numPr>
        <w:spacing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This</w:t>
      </w:r>
      <w:r w:rsidR="00176B5A">
        <w:rPr>
          <w:rFonts w:ascii="Arial" w:eastAsia="Times New Roman" w:hAnsi="Arial" w:cs="Times New Roman"/>
          <w:sz w:val="24"/>
          <w:szCs w:val="24"/>
          <w:lang w:val="en-GB"/>
        </w:rPr>
        <w:t xml:space="preserve"> post morbid scenario of having been rendered unemployable post-accident</w:t>
      </w:r>
      <w:r>
        <w:rPr>
          <w:rFonts w:ascii="Arial" w:eastAsia="Times New Roman" w:hAnsi="Arial" w:cs="Times New Roman"/>
          <w:sz w:val="24"/>
          <w:szCs w:val="24"/>
          <w:lang w:val="en-GB"/>
        </w:rPr>
        <w:t xml:space="preserve"> is the case </w:t>
      </w:r>
      <w:r w:rsidR="00176B5A">
        <w:rPr>
          <w:rFonts w:ascii="Arial" w:eastAsia="Times New Roman" w:hAnsi="Arial" w:cs="Times New Roman"/>
          <w:sz w:val="24"/>
          <w:szCs w:val="24"/>
          <w:lang w:val="en-GB"/>
        </w:rPr>
        <w:t xml:space="preserve">that is being advanced by </w:t>
      </w:r>
      <w:r>
        <w:rPr>
          <w:rFonts w:ascii="Arial" w:eastAsia="Times New Roman" w:hAnsi="Arial" w:cs="Times New Roman"/>
          <w:sz w:val="24"/>
          <w:szCs w:val="24"/>
          <w:lang w:val="en-GB"/>
        </w:rPr>
        <w:t>the Plaintiff</w:t>
      </w:r>
      <w:r w:rsidR="00176B5A">
        <w:rPr>
          <w:rFonts w:ascii="Arial" w:eastAsia="Times New Roman" w:hAnsi="Arial" w:cs="Times New Roman"/>
          <w:sz w:val="24"/>
          <w:szCs w:val="24"/>
          <w:lang w:val="en-GB"/>
        </w:rPr>
        <w:t>.</w:t>
      </w:r>
      <w:r w:rsidR="00056FB1">
        <w:rPr>
          <w:rFonts w:ascii="Arial" w:eastAsia="Times New Roman" w:hAnsi="Arial" w:cs="Times New Roman"/>
          <w:sz w:val="24"/>
          <w:szCs w:val="24"/>
          <w:lang w:val="en-GB"/>
        </w:rPr>
        <w:t xml:space="preserve"> There is no evidence before the court which can justify this scenario and it is rejected. </w:t>
      </w:r>
      <w:r w:rsidR="00176B5A">
        <w:rPr>
          <w:rFonts w:ascii="Arial" w:eastAsia="Times New Roman" w:hAnsi="Arial" w:cs="Times New Roman"/>
          <w:sz w:val="24"/>
          <w:szCs w:val="24"/>
          <w:lang w:val="en-GB"/>
        </w:rPr>
        <w:t xml:space="preserve"> </w:t>
      </w:r>
    </w:p>
    <w:p w14:paraId="6E373176" w14:textId="77777777" w:rsidR="002A6624" w:rsidRPr="002A6624" w:rsidRDefault="002A6624" w:rsidP="002A6624">
      <w:pPr>
        <w:pStyle w:val="ListParagraph"/>
        <w:rPr>
          <w:rFonts w:ascii="Arial" w:eastAsia="Times New Roman" w:hAnsi="Arial" w:cs="Times New Roman"/>
          <w:sz w:val="24"/>
          <w:szCs w:val="24"/>
          <w:lang w:val="en-GB"/>
        </w:rPr>
      </w:pPr>
    </w:p>
    <w:p w14:paraId="076B3FBE" w14:textId="5D7BFAB9" w:rsidR="000F055F" w:rsidRPr="006F0848" w:rsidRDefault="006F0848" w:rsidP="006F0848">
      <w:pPr>
        <w:spacing w:after="0" w:line="480" w:lineRule="auto"/>
        <w:jc w:val="both"/>
        <w:rPr>
          <w:rFonts w:ascii="Arial" w:eastAsia="Times New Roman" w:hAnsi="Arial" w:cs="Times New Roman"/>
          <w:b/>
          <w:bCs/>
          <w:i/>
          <w:iCs/>
          <w:sz w:val="24"/>
          <w:szCs w:val="24"/>
          <w:lang w:val="en-GB"/>
        </w:rPr>
      </w:pPr>
      <w:r w:rsidRPr="006F0848">
        <w:rPr>
          <w:rFonts w:ascii="Arial" w:eastAsia="Times New Roman" w:hAnsi="Arial" w:cs="Times New Roman"/>
          <w:b/>
          <w:bCs/>
          <w:i/>
          <w:iCs/>
          <w:sz w:val="24"/>
          <w:szCs w:val="24"/>
          <w:lang w:val="en-GB"/>
        </w:rPr>
        <w:t>A damages award without any factual evidence</w:t>
      </w:r>
    </w:p>
    <w:p w14:paraId="19B568D8" w14:textId="221ECBAF" w:rsidR="00060854" w:rsidRDefault="00060854" w:rsidP="00AF6DDF">
      <w:pPr>
        <w:pStyle w:val="ListParagraph"/>
        <w:numPr>
          <w:ilvl w:val="0"/>
          <w:numId w:val="3"/>
        </w:numPr>
        <w:spacing w:after="0" w:line="480" w:lineRule="auto"/>
        <w:jc w:val="both"/>
        <w:rPr>
          <w:rFonts w:ascii="Arial" w:eastAsia="Times New Roman" w:hAnsi="Arial" w:cs="Times New Roman"/>
          <w:sz w:val="24"/>
          <w:szCs w:val="24"/>
          <w:lang w:val="en-GB"/>
        </w:rPr>
      </w:pPr>
      <w:r w:rsidRPr="00056FB1">
        <w:rPr>
          <w:rFonts w:ascii="Arial" w:eastAsia="Times New Roman" w:hAnsi="Arial" w:cs="Times New Roman"/>
          <w:sz w:val="24"/>
          <w:szCs w:val="24"/>
          <w:lang w:val="en-GB"/>
        </w:rPr>
        <w:t xml:space="preserve">As promised, I now return to the issue of how I should go about in making an award, if any, given the lack of admissible and reliable </w:t>
      </w:r>
      <w:r w:rsidR="006F0848" w:rsidRPr="00056FB1">
        <w:rPr>
          <w:rFonts w:ascii="Arial" w:eastAsia="Times New Roman" w:hAnsi="Arial" w:cs="Times New Roman"/>
          <w:sz w:val="24"/>
          <w:szCs w:val="24"/>
          <w:lang w:val="en-GB"/>
        </w:rPr>
        <w:t xml:space="preserve">factual </w:t>
      </w:r>
      <w:r w:rsidRPr="00056FB1">
        <w:rPr>
          <w:rFonts w:ascii="Arial" w:eastAsia="Times New Roman" w:hAnsi="Arial" w:cs="Times New Roman"/>
          <w:sz w:val="24"/>
          <w:szCs w:val="24"/>
          <w:lang w:val="en-GB"/>
        </w:rPr>
        <w:t>evidence.</w:t>
      </w:r>
      <w:r w:rsidR="00056FB1" w:rsidRPr="00056FB1">
        <w:rPr>
          <w:rFonts w:ascii="Arial" w:eastAsia="Times New Roman" w:hAnsi="Arial" w:cs="Times New Roman"/>
          <w:sz w:val="24"/>
          <w:szCs w:val="24"/>
          <w:lang w:val="en-GB"/>
        </w:rPr>
        <w:t xml:space="preserve"> </w:t>
      </w:r>
    </w:p>
    <w:p w14:paraId="3A2563A1" w14:textId="77777777" w:rsidR="00056FB1" w:rsidRPr="00056FB1" w:rsidRDefault="00056FB1" w:rsidP="00056FB1">
      <w:pPr>
        <w:pStyle w:val="ListParagraph"/>
        <w:spacing w:after="0" w:line="480" w:lineRule="auto"/>
        <w:ind w:left="360"/>
        <w:jc w:val="both"/>
        <w:rPr>
          <w:rFonts w:ascii="Arial" w:eastAsia="Times New Roman" w:hAnsi="Arial" w:cs="Times New Roman"/>
          <w:sz w:val="24"/>
          <w:szCs w:val="24"/>
          <w:lang w:val="en-GB"/>
        </w:rPr>
      </w:pPr>
    </w:p>
    <w:p w14:paraId="5F83F751" w14:textId="5F24C237" w:rsidR="00060854" w:rsidRDefault="00060854"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After I reserved judgement, counsel submitted supplementary heads</w:t>
      </w:r>
      <w:r w:rsidR="00056FB1">
        <w:rPr>
          <w:rFonts w:ascii="Arial" w:eastAsia="Times New Roman" w:hAnsi="Arial" w:cs="Times New Roman"/>
          <w:sz w:val="24"/>
          <w:szCs w:val="24"/>
          <w:lang w:val="en-GB"/>
        </w:rPr>
        <w:t xml:space="preserve"> of argument,</w:t>
      </w:r>
      <w:r>
        <w:rPr>
          <w:rFonts w:ascii="Arial" w:eastAsia="Times New Roman" w:hAnsi="Arial" w:cs="Times New Roman"/>
          <w:sz w:val="24"/>
          <w:szCs w:val="24"/>
          <w:lang w:val="en-GB"/>
        </w:rPr>
        <w:t xml:space="preserve"> inviting the court to consider</w:t>
      </w:r>
      <w:r w:rsidR="00056FB1">
        <w:rPr>
          <w:rFonts w:ascii="Arial" w:eastAsia="Times New Roman" w:hAnsi="Arial" w:cs="Times New Roman"/>
          <w:sz w:val="24"/>
          <w:szCs w:val="24"/>
          <w:lang w:val="en-GB"/>
        </w:rPr>
        <w:t xml:space="preserve"> the </w:t>
      </w:r>
      <w:r w:rsidR="00056FB1" w:rsidRPr="00056FB1">
        <w:rPr>
          <w:rFonts w:ascii="Arial" w:eastAsia="Times New Roman" w:hAnsi="Arial" w:cs="Times New Roman"/>
          <w:i/>
          <w:iCs/>
          <w:sz w:val="24"/>
          <w:szCs w:val="24"/>
          <w:lang w:val="en-GB"/>
        </w:rPr>
        <w:t>dicta</w:t>
      </w:r>
      <w:r w:rsidR="00056FB1">
        <w:rPr>
          <w:rFonts w:ascii="Arial" w:eastAsia="Times New Roman" w:hAnsi="Arial" w:cs="Times New Roman"/>
          <w:sz w:val="24"/>
          <w:szCs w:val="24"/>
          <w:lang w:val="en-GB"/>
        </w:rPr>
        <w:t xml:space="preserve"> of</w:t>
      </w:r>
      <w:r>
        <w:rPr>
          <w:rFonts w:ascii="Arial" w:eastAsia="Times New Roman" w:hAnsi="Arial" w:cs="Times New Roman"/>
          <w:sz w:val="24"/>
          <w:szCs w:val="24"/>
          <w:lang w:val="en-GB"/>
        </w:rPr>
        <w:t xml:space="preserve"> </w:t>
      </w:r>
      <w:r w:rsidRPr="00074754">
        <w:rPr>
          <w:rFonts w:ascii="Arial" w:eastAsia="Times New Roman" w:hAnsi="Arial" w:cs="Times New Roman"/>
          <w:i/>
          <w:iCs/>
          <w:sz w:val="24"/>
          <w:szCs w:val="24"/>
          <w:lang w:val="en-GB"/>
        </w:rPr>
        <w:t>Southern Insurance Association v Bailey NO</w:t>
      </w:r>
      <w:r>
        <w:rPr>
          <w:rStyle w:val="FootnoteReference"/>
          <w:rFonts w:ascii="Arial" w:eastAsia="Times New Roman" w:hAnsi="Arial" w:cs="Times New Roman"/>
          <w:i/>
          <w:iCs/>
          <w:sz w:val="24"/>
          <w:szCs w:val="24"/>
          <w:lang w:val="en-GB"/>
        </w:rPr>
        <w:footnoteReference w:id="55"/>
      </w:r>
      <w:r>
        <w:rPr>
          <w:rFonts w:ascii="Arial" w:eastAsia="Times New Roman" w:hAnsi="Arial" w:cs="Times New Roman"/>
          <w:sz w:val="24"/>
          <w:szCs w:val="24"/>
          <w:lang w:val="en-GB"/>
        </w:rPr>
        <w:t xml:space="preserve"> </w:t>
      </w:r>
      <w:r>
        <w:rPr>
          <w:rFonts w:ascii="Arial" w:eastAsia="Times New Roman" w:hAnsi="Arial" w:cs="Times New Roman"/>
          <w:sz w:val="24"/>
          <w:szCs w:val="24"/>
          <w:lang w:val="en-GB"/>
        </w:rPr>
        <w:lastRenderedPageBreak/>
        <w:t>which is authority for loss of earnings being speculative by it</w:t>
      </w:r>
      <w:r w:rsidR="00C031F5">
        <w:rPr>
          <w:rFonts w:ascii="Arial" w:eastAsia="Times New Roman" w:hAnsi="Arial" w:cs="Times New Roman"/>
          <w:sz w:val="24"/>
          <w:szCs w:val="24"/>
          <w:lang w:val="en-GB"/>
        </w:rPr>
        <w:t>s</w:t>
      </w:r>
      <w:r>
        <w:rPr>
          <w:rFonts w:ascii="Arial" w:eastAsia="Times New Roman" w:hAnsi="Arial" w:cs="Times New Roman"/>
          <w:sz w:val="24"/>
          <w:szCs w:val="24"/>
          <w:lang w:val="en-GB"/>
        </w:rPr>
        <w:t xml:space="preserve"> very nature and all that a court can do is to make an estimate which seems fair and reasonable and that the court cannot adopt a possumus attitude and make no award. Counsel relied on authorities such as </w:t>
      </w:r>
      <w:r w:rsidRPr="00407F62">
        <w:rPr>
          <w:rFonts w:ascii="Arial" w:eastAsia="Times New Roman" w:hAnsi="Arial" w:cs="Times New Roman"/>
          <w:i/>
          <w:iCs/>
          <w:sz w:val="24"/>
          <w:szCs w:val="24"/>
          <w:lang w:val="en-GB"/>
        </w:rPr>
        <w:t>AA Mutual Insurance v Maqula</w:t>
      </w:r>
      <w:r>
        <w:rPr>
          <w:rStyle w:val="FootnoteReference"/>
          <w:rFonts w:ascii="Arial" w:eastAsia="Times New Roman" w:hAnsi="Arial" w:cs="Times New Roman"/>
          <w:i/>
          <w:iCs/>
          <w:sz w:val="24"/>
          <w:szCs w:val="24"/>
          <w:lang w:val="en-GB"/>
        </w:rPr>
        <w:footnoteReference w:id="56"/>
      </w:r>
      <w:r>
        <w:rPr>
          <w:rFonts w:ascii="Arial" w:eastAsia="Times New Roman" w:hAnsi="Arial" w:cs="Times New Roman"/>
          <w:sz w:val="24"/>
          <w:szCs w:val="24"/>
          <w:lang w:val="en-GB"/>
        </w:rPr>
        <w:t xml:space="preserve">  in arguing that a higher contingency should be applied.</w:t>
      </w:r>
    </w:p>
    <w:p w14:paraId="64B3B7E3" w14:textId="77777777" w:rsidR="00060854" w:rsidRPr="00407F62" w:rsidRDefault="00060854" w:rsidP="00060854">
      <w:pPr>
        <w:pStyle w:val="ListParagraph"/>
        <w:rPr>
          <w:rFonts w:ascii="Arial" w:eastAsia="Times New Roman" w:hAnsi="Arial" w:cs="Times New Roman"/>
          <w:sz w:val="24"/>
          <w:szCs w:val="24"/>
          <w:lang w:val="en-GB"/>
        </w:rPr>
      </w:pPr>
    </w:p>
    <w:p w14:paraId="3D565CD0" w14:textId="34EC4C78" w:rsidR="00060854" w:rsidRPr="00056FB1" w:rsidRDefault="00060854" w:rsidP="00AF6DDF">
      <w:pPr>
        <w:pStyle w:val="ListParagraph"/>
        <w:numPr>
          <w:ilvl w:val="0"/>
          <w:numId w:val="3"/>
        </w:numPr>
        <w:spacing w:after="0" w:line="480" w:lineRule="auto"/>
        <w:jc w:val="both"/>
        <w:rPr>
          <w:rFonts w:ascii="Arial" w:eastAsia="Times New Roman" w:hAnsi="Arial" w:cs="Times New Roman"/>
          <w:sz w:val="24"/>
          <w:szCs w:val="24"/>
          <w:lang w:val="en-GB"/>
        </w:rPr>
      </w:pPr>
      <w:r w:rsidRPr="00407F62">
        <w:rPr>
          <w:rFonts w:ascii="Arial" w:eastAsia="Times New Roman" w:hAnsi="Arial" w:cs="Times New Roman"/>
          <w:sz w:val="24"/>
          <w:szCs w:val="24"/>
          <w:lang w:val="en-GB"/>
        </w:rPr>
        <w:t>It is so that where an injured victim</w:t>
      </w:r>
      <w:r>
        <w:rPr>
          <w:rFonts w:ascii="Arial" w:eastAsia="Times New Roman" w:hAnsi="Arial" w:cs="Times New Roman"/>
          <w:sz w:val="24"/>
          <w:szCs w:val="24"/>
          <w:lang w:val="en-GB"/>
        </w:rPr>
        <w:t>,</w:t>
      </w:r>
      <w:r w:rsidRPr="00407F62">
        <w:rPr>
          <w:rFonts w:ascii="Arial" w:eastAsia="Times New Roman" w:hAnsi="Arial" w:cs="Times New Roman"/>
          <w:sz w:val="24"/>
          <w:szCs w:val="24"/>
          <w:lang w:val="en-GB"/>
        </w:rPr>
        <w:t xml:space="preserve"> who is prosecuting a claim</w:t>
      </w:r>
      <w:r>
        <w:rPr>
          <w:rFonts w:ascii="Arial" w:eastAsia="Times New Roman" w:hAnsi="Arial" w:cs="Times New Roman"/>
          <w:sz w:val="24"/>
          <w:szCs w:val="24"/>
          <w:lang w:val="en-GB"/>
        </w:rPr>
        <w:t>,</w:t>
      </w:r>
      <w:r w:rsidRPr="00407F62">
        <w:rPr>
          <w:rFonts w:ascii="Arial" w:eastAsia="Times New Roman" w:hAnsi="Arial" w:cs="Times New Roman"/>
          <w:sz w:val="24"/>
          <w:szCs w:val="24"/>
          <w:lang w:val="en-GB"/>
        </w:rPr>
        <w:t xml:space="preserve"> has no proof of income, the court has at its disposal</w:t>
      </w:r>
      <w:r>
        <w:rPr>
          <w:rFonts w:ascii="Arial" w:eastAsia="Times New Roman" w:hAnsi="Arial" w:cs="Times New Roman"/>
          <w:sz w:val="24"/>
          <w:szCs w:val="24"/>
          <w:lang w:val="en-GB"/>
        </w:rPr>
        <w:t>,</w:t>
      </w:r>
      <w:r w:rsidRPr="00407F62">
        <w:rPr>
          <w:rFonts w:ascii="Arial" w:eastAsia="Times New Roman" w:hAnsi="Arial" w:cs="Times New Roman"/>
          <w:sz w:val="24"/>
          <w:szCs w:val="24"/>
          <w:lang w:val="en-GB"/>
        </w:rPr>
        <w:t xml:space="preserve"> the option to deduct a higher pre-morbid contingency</w:t>
      </w:r>
      <w:r>
        <w:rPr>
          <w:rFonts w:ascii="Arial" w:eastAsia="Times New Roman" w:hAnsi="Arial" w:cs="Times New Roman"/>
          <w:sz w:val="24"/>
          <w:szCs w:val="24"/>
          <w:lang w:val="en-GB"/>
        </w:rPr>
        <w:t>,</w:t>
      </w:r>
      <w:r w:rsidRPr="00407F62">
        <w:rPr>
          <w:rFonts w:ascii="Arial" w:eastAsia="Times New Roman" w:hAnsi="Arial" w:cs="Times New Roman"/>
          <w:sz w:val="24"/>
          <w:szCs w:val="24"/>
          <w:lang w:val="en-GB"/>
        </w:rPr>
        <w:t xml:space="preserve"> which has the effect of reducing the ultimate amount awarded.</w:t>
      </w:r>
      <w:r>
        <w:rPr>
          <w:rStyle w:val="FootnoteReference"/>
          <w:rFonts w:ascii="Arial" w:eastAsia="Times New Roman" w:hAnsi="Arial" w:cs="Times New Roman"/>
          <w:sz w:val="24"/>
          <w:szCs w:val="24"/>
          <w:lang w:val="en-GB"/>
        </w:rPr>
        <w:footnoteReference w:id="57"/>
      </w:r>
      <w:r w:rsidRPr="00407F62">
        <w:rPr>
          <w:rFonts w:ascii="Arial" w:eastAsia="Times New Roman" w:hAnsi="Arial" w:cs="Times New Roman"/>
          <w:sz w:val="24"/>
          <w:szCs w:val="24"/>
          <w:lang w:val="en-GB"/>
        </w:rPr>
        <w:t xml:space="preserve"> </w:t>
      </w:r>
      <w:r>
        <w:rPr>
          <w:rFonts w:ascii="Arial" w:eastAsia="Times New Roman" w:hAnsi="Arial" w:cs="Times New Roman"/>
          <w:sz w:val="24"/>
          <w:szCs w:val="24"/>
          <w:lang w:val="en-GB"/>
        </w:rPr>
        <w:t>The court must do the best it can with the available evidence even if this means making bricks from straw.</w:t>
      </w:r>
      <w:r>
        <w:rPr>
          <w:rStyle w:val="FootnoteReference"/>
          <w:rFonts w:ascii="Arial" w:eastAsia="Times New Roman" w:hAnsi="Arial" w:cs="Times New Roman"/>
          <w:sz w:val="24"/>
          <w:szCs w:val="24"/>
          <w:lang w:val="en-GB"/>
        </w:rPr>
        <w:footnoteReference w:id="58"/>
      </w:r>
      <w:r>
        <w:rPr>
          <w:rFonts w:ascii="Arial" w:eastAsia="Times New Roman" w:hAnsi="Arial" w:cs="Times New Roman"/>
          <w:sz w:val="24"/>
          <w:szCs w:val="24"/>
          <w:lang w:val="en-GB"/>
        </w:rPr>
        <w:t xml:space="preserve"> </w:t>
      </w:r>
      <w:r w:rsidRPr="00407F62">
        <w:rPr>
          <w:rFonts w:ascii="Arial" w:eastAsia="Times New Roman" w:hAnsi="Arial" w:cs="Times New Roman"/>
          <w:sz w:val="24"/>
          <w:szCs w:val="24"/>
          <w:lang w:val="en-GB"/>
        </w:rPr>
        <w:t xml:space="preserve">But </w:t>
      </w:r>
      <w:r>
        <w:rPr>
          <w:rFonts w:ascii="Arial" w:eastAsia="Times New Roman" w:hAnsi="Arial" w:cs="Times New Roman"/>
          <w:sz w:val="24"/>
          <w:szCs w:val="24"/>
          <w:lang w:val="en-GB"/>
        </w:rPr>
        <w:t>the SCA held that this approach only find</w:t>
      </w:r>
      <w:r w:rsidR="00C031F5">
        <w:rPr>
          <w:rFonts w:ascii="Arial" w:eastAsia="Times New Roman" w:hAnsi="Arial" w:cs="Times New Roman"/>
          <w:sz w:val="24"/>
          <w:szCs w:val="24"/>
          <w:lang w:val="en-GB"/>
        </w:rPr>
        <w:t>s</w:t>
      </w:r>
      <w:r>
        <w:rPr>
          <w:rFonts w:ascii="Arial" w:eastAsia="Times New Roman" w:hAnsi="Arial" w:cs="Times New Roman"/>
          <w:sz w:val="24"/>
          <w:szCs w:val="24"/>
          <w:lang w:val="en-GB"/>
        </w:rPr>
        <w:t xml:space="preserve"> application where the Plaintiff presented all available evidence </w:t>
      </w:r>
      <w:r w:rsidR="00056FB1">
        <w:rPr>
          <w:rFonts w:ascii="Arial" w:eastAsia="Times New Roman" w:hAnsi="Arial" w:cs="Times New Roman"/>
          <w:sz w:val="24"/>
          <w:szCs w:val="24"/>
          <w:lang w:val="en-GB"/>
        </w:rPr>
        <w:t>failing which</w:t>
      </w:r>
      <w:r>
        <w:rPr>
          <w:rFonts w:ascii="Arial" w:eastAsia="Times New Roman" w:hAnsi="Arial" w:cs="Times New Roman"/>
          <w:sz w:val="24"/>
          <w:szCs w:val="24"/>
          <w:lang w:val="en-GB"/>
        </w:rPr>
        <w:t xml:space="preserve"> the court is justified in giving absolution from the instance.</w:t>
      </w:r>
      <w:r>
        <w:rPr>
          <w:rStyle w:val="FootnoteReference"/>
          <w:rFonts w:ascii="Arial" w:eastAsia="Times New Roman" w:hAnsi="Arial" w:cs="Times New Roman"/>
          <w:sz w:val="24"/>
          <w:szCs w:val="24"/>
          <w:lang w:val="en-GB"/>
        </w:rPr>
        <w:footnoteReference w:id="59"/>
      </w:r>
    </w:p>
    <w:p w14:paraId="353363EA" w14:textId="1D670B8B" w:rsidR="00060854" w:rsidRPr="0015267F" w:rsidRDefault="00056FB1"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lastRenderedPageBreak/>
        <w:t>It was held that the reason why a</w:t>
      </w:r>
      <w:r w:rsidR="00060854">
        <w:rPr>
          <w:rFonts w:ascii="Arial" w:eastAsia="Times New Roman" w:hAnsi="Arial" w:cs="Times New Roman"/>
          <w:sz w:val="24"/>
          <w:szCs w:val="24"/>
          <w:lang w:val="en-GB"/>
        </w:rPr>
        <w:t xml:space="preserve"> court will only resort to doing the best i</w:t>
      </w:r>
      <w:r w:rsidR="00C031F5">
        <w:rPr>
          <w:rFonts w:ascii="Arial" w:eastAsia="Times New Roman" w:hAnsi="Arial" w:cs="Times New Roman"/>
          <w:sz w:val="24"/>
          <w:szCs w:val="24"/>
          <w:lang w:val="en-GB"/>
        </w:rPr>
        <w:t>t</w:t>
      </w:r>
      <w:r w:rsidR="00060854">
        <w:rPr>
          <w:rFonts w:ascii="Arial" w:eastAsia="Times New Roman" w:hAnsi="Arial" w:cs="Times New Roman"/>
          <w:sz w:val="24"/>
          <w:szCs w:val="24"/>
          <w:lang w:val="en-GB"/>
        </w:rPr>
        <w:t xml:space="preserve"> can</w:t>
      </w:r>
      <w:r>
        <w:rPr>
          <w:rFonts w:ascii="Arial" w:eastAsia="Times New Roman" w:hAnsi="Arial" w:cs="Times New Roman"/>
          <w:sz w:val="24"/>
          <w:szCs w:val="24"/>
          <w:lang w:val="en-GB"/>
        </w:rPr>
        <w:t>,</w:t>
      </w:r>
      <w:r w:rsidR="00060854">
        <w:rPr>
          <w:rFonts w:ascii="Arial" w:eastAsia="Times New Roman" w:hAnsi="Arial" w:cs="Times New Roman"/>
          <w:sz w:val="24"/>
          <w:szCs w:val="24"/>
          <w:lang w:val="en-GB"/>
        </w:rPr>
        <w:t xml:space="preserve"> when all the available evidence had been presented</w:t>
      </w:r>
      <w:r>
        <w:rPr>
          <w:rFonts w:ascii="Arial" w:eastAsia="Times New Roman" w:hAnsi="Arial" w:cs="Times New Roman"/>
          <w:sz w:val="24"/>
          <w:szCs w:val="24"/>
          <w:lang w:val="en-GB"/>
        </w:rPr>
        <w:t>,</w:t>
      </w:r>
      <w:r w:rsidR="00060854">
        <w:rPr>
          <w:rFonts w:ascii="Arial" w:eastAsia="Times New Roman" w:hAnsi="Arial" w:cs="Times New Roman"/>
          <w:sz w:val="24"/>
          <w:szCs w:val="24"/>
          <w:lang w:val="en-GB"/>
        </w:rPr>
        <w:t xml:space="preserve"> </w:t>
      </w:r>
      <w:r>
        <w:rPr>
          <w:rFonts w:ascii="Arial" w:eastAsia="Times New Roman" w:hAnsi="Arial" w:cs="Times New Roman"/>
          <w:sz w:val="24"/>
          <w:szCs w:val="24"/>
          <w:lang w:val="en-GB"/>
        </w:rPr>
        <w:t xml:space="preserve">is </w:t>
      </w:r>
      <w:r w:rsidR="00060854">
        <w:rPr>
          <w:rFonts w:ascii="Arial" w:eastAsia="Times New Roman" w:hAnsi="Arial" w:cs="Times New Roman"/>
          <w:sz w:val="24"/>
          <w:szCs w:val="24"/>
          <w:lang w:val="en-GB"/>
        </w:rPr>
        <w:t xml:space="preserve">‘obvious’ in </w:t>
      </w:r>
      <w:r w:rsidR="00060854" w:rsidRPr="00CA768A">
        <w:rPr>
          <w:rFonts w:ascii="Arial" w:eastAsia="Times New Roman" w:hAnsi="Arial" w:cs="Times New Roman"/>
          <w:i/>
          <w:iCs/>
          <w:sz w:val="24"/>
          <w:szCs w:val="24"/>
        </w:rPr>
        <w:t>Mkwanazi v Van Der Merwe and Another</w:t>
      </w:r>
      <w:r w:rsidR="00060854">
        <w:rPr>
          <w:rFonts w:ascii="Arial" w:eastAsia="Times New Roman" w:hAnsi="Arial" w:cs="Times New Roman"/>
          <w:sz w:val="24"/>
          <w:szCs w:val="24"/>
        </w:rPr>
        <w:t>.</w:t>
      </w:r>
      <w:r w:rsidR="00060854">
        <w:rPr>
          <w:rStyle w:val="FootnoteReference"/>
          <w:rFonts w:ascii="Arial" w:eastAsia="Times New Roman" w:hAnsi="Arial" w:cs="Times New Roman"/>
          <w:sz w:val="24"/>
          <w:szCs w:val="24"/>
        </w:rPr>
        <w:footnoteReference w:id="60"/>
      </w:r>
      <w:r w:rsidR="00060854">
        <w:rPr>
          <w:rFonts w:ascii="Arial" w:eastAsia="Times New Roman" w:hAnsi="Arial" w:cs="Times New Roman"/>
          <w:sz w:val="24"/>
          <w:szCs w:val="24"/>
        </w:rPr>
        <w:t xml:space="preserve"> The Appellate Division at page 632 held that if a court makes an award under circumstances where further evidence can be presented, it may be revealed </w:t>
      </w:r>
      <w:r w:rsidR="00060854" w:rsidRPr="00C91B70">
        <w:rPr>
          <w:rFonts w:ascii="Arial" w:eastAsia="Times New Roman" w:hAnsi="Arial" w:cs="Times New Roman"/>
          <w:i/>
          <w:iCs/>
          <w:sz w:val="24"/>
          <w:szCs w:val="24"/>
        </w:rPr>
        <w:t>ex post facto</w:t>
      </w:r>
      <w:r w:rsidR="00060854">
        <w:rPr>
          <w:rFonts w:ascii="Arial" w:eastAsia="Times New Roman" w:hAnsi="Arial" w:cs="Times New Roman"/>
          <w:sz w:val="24"/>
          <w:szCs w:val="24"/>
        </w:rPr>
        <w:t xml:space="preserve"> that the court’s quantification does not accord with reality and that an injustice can be done to one of the parties.</w:t>
      </w:r>
    </w:p>
    <w:p w14:paraId="0F8CE55F" w14:textId="77777777" w:rsidR="00060854" w:rsidRPr="0015267F" w:rsidRDefault="00060854" w:rsidP="00060854">
      <w:pPr>
        <w:pStyle w:val="ListParagraph"/>
        <w:rPr>
          <w:rFonts w:ascii="Arial" w:eastAsia="Times New Roman" w:hAnsi="Arial" w:cs="Times New Roman"/>
          <w:sz w:val="24"/>
          <w:szCs w:val="24"/>
          <w:lang w:val="en-GB"/>
        </w:rPr>
      </w:pPr>
    </w:p>
    <w:p w14:paraId="2B482D6D" w14:textId="3096A8B2" w:rsidR="00060854" w:rsidRPr="00CA768A" w:rsidRDefault="00060854"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If I were to make an award under circumstances where it is obvious that better evidence is available, I will create a precedent where the court condone this practice and litigants will be encouraged to purposefully and by design refrain from leading relevant evidence with the hope that the court’s quantification will be more beneficial than would be the case had all the evidence been presented. A court’s already complicated task would be exacerbated and the existing imponderables and uncertainties present in any once-and-for</w:t>
      </w:r>
      <w:r w:rsidR="00C031F5">
        <w:rPr>
          <w:rFonts w:ascii="Arial" w:eastAsia="Times New Roman" w:hAnsi="Arial" w:cs="Times New Roman"/>
          <w:sz w:val="24"/>
          <w:szCs w:val="24"/>
          <w:lang w:val="en-GB"/>
        </w:rPr>
        <w:t>-</w:t>
      </w:r>
      <w:r>
        <w:rPr>
          <w:rFonts w:ascii="Arial" w:eastAsia="Times New Roman" w:hAnsi="Arial" w:cs="Times New Roman"/>
          <w:sz w:val="24"/>
          <w:szCs w:val="24"/>
          <w:lang w:val="en-GB"/>
        </w:rPr>
        <w:t>all quantification process would be increase</w:t>
      </w:r>
      <w:r w:rsidR="00C031F5">
        <w:rPr>
          <w:rFonts w:ascii="Arial" w:eastAsia="Times New Roman" w:hAnsi="Arial" w:cs="Times New Roman"/>
          <w:sz w:val="24"/>
          <w:szCs w:val="24"/>
          <w:lang w:val="en-GB"/>
        </w:rPr>
        <w:t>d</w:t>
      </w:r>
      <w:r>
        <w:rPr>
          <w:rFonts w:ascii="Arial" w:eastAsia="Times New Roman" w:hAnsi="Arial" w:cs="Times New Roman"/>
          <w:sz w:val="24"/>
          <w:szCs w:val="24"/>
          <w:lang w:val="en-GB"/>
        </w:rPr>
        <w:t xml:space="preserve"> exponentially. </w:t>
      </w:r>
    </w:p>
    <w:p w14:paraId="0B03861E" w14:textId="77777777" w:rsidR="00060854" w:rsidRPr="00386ADD" w:rsidRDefault="00060854" w:rsidP="00060854">
      <w:pPr>
        <w:pStyle w:val="ListParagraph"/>
        <w:rPr>
          <w:rFonts w:ascii="Arial" w:eastAsia="Times New Roman" w:hAnsi="Arial" w:cs="Times New Roman"/>
          <w:sz w:val="24"/>
          <w:szCs w:val="24"/>
          <w:lang w:val="en-GB"/>
        </w:rPr>
      </w:pPr>
    </w:p>
    <w:p w14:paraId="213CE65F" w14:textId="77777777" w:rsidR="00060854" w:rsidRDefault="00060854"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Judge Spilg J in </w:t>
      </w:r>
      <w:r w:rsidRPr="00320881">
        <w:rPr>
          <w:rFonts w:ascii="Arial" w:eastAsia="Times New Roman" w:hAnsi="Arial" w:cs="Times New Roman"/>
          <w:i/>
          <w:iCs/>
          <w:sz w:val="24"/>
          <w:szCs w:val="24"/>
          <w:lang w:val="en-GB"/>
        </w:rPr>
        <w:t>Ndlovu v RAF</w:t>
      </w:r>
      <w:r>
        <w:rPr>
          <w:rStyle w:val="FootnoteReference"/>
          <w:rFonts w:ascii="Arial" w:eastAsia="Times New Roman" w:hAnsi="Arial" w:cs="Times New Roman"/>
          <w:i/>
          <w:iCs/>
          <w:sz w:val="24"/>
          <w:szCs w:val="24"/>
          <w:lang w:val="en-GB"/>
        </w:rPr>
        <w:footnoteReference w:id="61"/>
      </w:r>
      <w:r>
        <w:rPr>
          <w:rFonts w:ascii="Arial" w:eastAsia="Times New Roman" w:hAnsi="Arial" w:cs="Times New Roman"/>
          <w:sz w:val="24"/>
          <w:szCs w:val="24"/>
          <w:lang w:val="en-GB"/>
        </w:rPr>
        <w:t xml:space="preserve"> at 438-439 held:</w:t>
      </w:r>
    </w:p>
    <w:p w14:paraId="385E8A34" w14:textId="77777777" w:rsidR="00060854" w:rsidRPr="00557A72" w:rsidRDefault="00060854" w:rsidP="00060854">
      <w:pPr>
        <w:pStyle w:val="ListParagraph"/>
        <w:rPr>
          <w:rFonts w:ascii="Arial" w:eastAsia="Times New Roman" w:hAnsi="Arial" w:cs="Times New Roman"/>
          <w:sz w:val="24"/>
          <w:szCs w:val="24"/>
          <w:lang w:val="en-GB"/>
        </w:rPr>
      </w:pPr>
    </w:p>
    <w:p w14:paraId="1DE8AF81" w14:textId="77777777" w:rsidR="00060854" w:rsidRPr="00782F63" w:rsidRDefault="00060854" w:rsidP="00060854">
      <w:pPr>
        <w:pStyle w:val="ListParagraph"/>
        <w:spacing w:after="0" w:line="480" w:lineRule="auto"/>
        <w:jc w:val="both"/>
        <w:rPr>
          <w:rFonts w:ascii="Arial" w:eastAsia="Times New Roman" w:hAnsi="Arial" w:cs="Times New Roman"/>
          <w:i/>
          <w:iCs/>
          <w:sz w:val="20"/>
          <w:szCs w:val="20"/>
        </w:rPr>
      </w:pPr>
      <w:r w:rsidRPr="00265FDB">
        <w:rPr>
          <w:rFonts w:ascii="Arial" w:eastAsia="Times New Roman" w:hAnsi="Arial" w:cs="Times New Roman"/>
          <w:i/>
          <w:iCs/>
          <w:sz w:val="20"/>
          <w:szCs w:val="20"/>
        </w:rPr>
        <w:t>[</w:t>
      </w:r>
      <w:r>
        <w:rPr>
          <w:rFonts w:ascii="Arial" w:eastAsia="Times New Roman" w:hAnsi="Arial" w:cs="Times New Roman"/>
          <w:i/>
          <w:iCs/>
          <w:sz w:val="20"/>
          <w:szCs w:val="20"/>
        </w:rPr>
        <w:t>83</w:t>
      </w:r>
      <w:r w:rsidRPr="00265FDB">
        <w:rPr>
          <w:rFonts w:ascii="Arial" w:eastAsia="Times New Roman" w:hAnsi="Arial" w:cs="Times New Roman"/>
          <w:i/>
          <w:iCs/>
          <w:sz w:val="20"/>
          <w:szCs w:val="20"/>
        </w:rPr>
        <w:t>] The prejudicial consequences of a medico-legal report failing to comply with the basic requirement of identifying the underlying facts and their sources arise because in practice there can be a significant difference in the consequences where a court does the best it can with available evidence, and cases where the court finds that the plaintiff has not been frank with it or with the experts.</w:t>
      </w:r>
    </w:p>
    <w:p w14:paraId="02A1ADB3" w14:textId="6EB96F9A" w:rsidR="00060854" w:rsidRPr="00ED589D" w:rsidRDefault="00060854" w:rsidP="00060854">
      <w:pPr>
        <w:pStyle w:val="ListParagraph"/>
        <w:spacing w:after="0" w:line="480" w:lineRule="auto"/>
        <w:jc w:val="both"/>
        <w:rPr>
          <w:rFonts w:ascii="Arial" w:eastAsia="Times New Roman" w:hAnsi="Arial" w:cs="Times New Roman"/>
          <w:i/>
          <w:iCs/>
          <w:sz w:val="20"/>
          <w:szCs w:val="20"/>
        </w:rPr>
      </w:pPr>
      <w:r w:rsidRPr="00265FDB">
        <w:rPr>
          <w:rFonts w:ascii="Arial" w:eastAsia="Times New Roman" w:hAnsi="Arial" w:cs="Times New Roman"/>
          <w:i/>
          <w:iCs/>
          <w:sz w:val="20"/>
          <w:szCs w:val="20"/>
        </w:rPr>
        <w:lastRenderedPageBreak/>
        <w:t>[</w:t>
      </w:r>
      <w:r>
        <w:rPr>
          <w:rFonts w:ascii="Arial" w:eastAsia="Times New Roman" w:hAnsi="Arial" w:cs="Times New Roman"/>
          <w:i/>
          <w:iCs/>
          <w:sz w:val="20"/>
          <w:szCs w:val="20"/>
        </w:rPr>
        <w:t>85</w:t>
      </w:r>
      <w:r w:rsidRPr="00265FDB">
        <w:rPr>
          <w:rFonts w:ascii="Arial" w:eastAsia="Times New Roman" w:hAnsi="Arial" w:cs="Times New Roman"/>
          <w:i/>
          <w:iCs/>
          <w:sz w:val="20"/>
          <w:szCs w:val="20"/>
        </w:rPr>
        <w:t>] In the first-mentioned situation a court will utilise a contingency factor to cater for the risk of a symptom or an event being causally related, or eventuating in the future</w:t>
      </w:r>
      <w:r w:rsidRPr="00ED589D">
        <w:rPr>
          <w:rFonts w:ascii="Arial" w:eastAsia="Times New Roman" w:hAnsi="Arial" w:cs="Times New Roman"/>
          <w:i/>
          <w:iCs/>
          <w:sz w:val="20"/>
          <w:szCs w:val="20"/>
        </w:rPr>
        <w:t>. In the latter case the court may reject the evidence because it was presented as a fact that was subsequently shown to be incorrect, and not as an opinion, thereby precluding the court from adopting a contingency; in short, a matter of</w:t>
      </w:r>
      <w:r w:rsidR="00C031F5">
        <w:rPr>
          <w:rFonts w:ascii="Arial" w:eastAsia="Times New Roman" w:hAnsi="Arial" w:cs="Times New Roman"/>
          <w:i/>
          <w:iCs/>
          <w:sz w:val="20"/>
          <w:szCs w:val="20"/>
        </w:rPr>
        <w:t xml:space="preserve"> ir</w:t>
      </w:r>
      <w:r w:rsidR="00C031F5" w:rsidRPr="00ED589D">
        <w:rPr>
          <w:rFonts w:ascii="Arial" w:eastAsia="Times New Roman" w:hAnsi="Arial" w:cs="Times New Roman"/>
          <w:i/>
          <w:iCs/>
          <w:sz w:val="20"/>
          <w:szCs w:val="20"/>
        </w:rPr>
        <w:t>resoluble</w:t>
      </w:r>
      <w:r w:rsidRPr="00ED589D">
        <w:rPr>
          <w:rFonts w:ascii="Arial" w:eastAsia="Times New Roman" w:hAnsi="Arial" w:cs="Times New Roman"/>
          <w:i/>
          <w:iCs/>
          <w:sz w:val="20"/>
          <w:szCs w:val="20"/>
        </w:rPr>
        <w:t> imponderables is converted by the expert into a factual issue of true or false. The expert is not there to bolster the case of the attorney who elects to make use of his or her services, but to identify the imponderables and if possible weigh their likelihood of eventuating or having eventuated.</w:t>
      </w:r>
    </w:p>
    <w:p w14:paraId="0F916A99" w14:textId="77777777" w:rsidR="00060854" w:rsidRPr="00ED589D" w:rsidRDefault="00060854" w:rsidP="00060854">
      <w:pPr>
        <w:pStyle w:val="ListParagraph"/>
        <w:spacing w:after="0" w:line="480" w:lineRule="auto"/>
        <w:jc w:val="both"/>
        <w:rPr>
          <w:rFonts w:ascii="Arial" w:eastAsia="Times New Roman" w:hAnsi="Arial" w:cs="Times New Roman"/>
          <w:i/>
          <w:iCs/>
          <w:sz w:val="20"/>
          <w:szCs w:val="20"/>
        </w:rPr>
      </w:pPr>
      <w:r w:rsidRPr="00265FDB">
        <w:rPr>
          <w:rFonts w:ascii="Arial" w:eastAsia="Times New Roman" w:hAnsi="Arial" w:cs="Times New Roman"/>
          <w:i/>
          <w:iCs/>
          <w:sz w:val="20"/>
          <w:szCs w:val="20"/>
        </w:rPr>
        <w:t>[</w:t>
      </w:r>
      <w:r>
        <w:rPr>
          <w:rFonts w:ascii="Arial" w:eastAsia="Times New Roman" w:hAnsi="Arial" w:cs="Times New Roman"/>
          <w:i/>
          <w:iCs/>
          <w:sz w:val="20"/>
          <w:szCs w:val="20"/>
        </w:rPr>
        <w:t>85</w:t>
      </w:r>
      <w:r w:rsidRPr="00265FDB">
        <w:rPr>
          <w:rFonts w:ascii="Arial" w:eastAsia="Times New Roman" w:hAnsi="Arial" w:cs="Times New Roman"/>
          <w:i/>
          <w:iCs/>
          <w:sz w:val="20"/>
          <w:szCs w:val="20"/>
        </w:rPr>
        <w:t>] Accordingly much will depend on how the experts distinguish between objective originating data on the one hand, and the patient's say-so or unsubstantiated hearsay on the other. A court will readily be able to do the best it can and apply contingency factors in the first type of case. However, if it rejects the plaintiff's version or considers that available evidence has been suppressed it is entitled to reject the version and adopt an alternative conclusion with or without applying a contingency  factor (compare Harrington NO and Another v Transnet Ltd t/a Metrorail and Others </w:t>
      </w:r>
      <w:r w:rsidRPr="00ED589D">
        <w:rPr>
          <w:rFonts w:ascii="Arial" w:eastAsia="Times New Roman" w:hAnsi="Arial" w:cs="Times New Roman"/>
          <w:i/>
          <w:iCs/>
          <w:sz w:val="20"/>
          <w:szCs w:val="20"/>
        </w:rPr>
        <w:t>2010 (2) SA 479 (SCA)</w:t>
      </w:r>
      <w:r w:rsidRPr="00265FDB">
        <w:rPr>
          <w:rFonts w:ascii="Arial" w:eastAsia="Times New Roman" w:hAnsi="Arial" w:cs="Times New Roman"/>
          <w:i/>
          <w:iCs/>
          <w:sz w:val="20"/>
          <w:szCs w:val="20"/>
        </w:rPr>
        <w:t> at 494B – C).</w:t>
      </w:r>
    </w:p>
    <w:p w14:paraId="58B31665" w14:textId="77777777" w:rsidR="00060854" w:rsidRPr="00265FDB" w:rsidRDefault="00060854" w:rsidP="00060854">
      <w:pPr>
        <w:pStyle w:val="ListParagraph"/>
        <w:spacing w:line="480" w:lineRule="auto"/>
        <w:jc w:val="both"/>
        <w:rPr>
          <w:rFonts w:ascii="Arial" w:eastAsia="Times New Roman" w:hAnsi="Arial" w:cs="Times New Roman"/>
          <w:i/>
          <w:iCs/>
          <w:sz w:val="20"/>
          <w:szCs w:val="20"/>
        </w:rPr>
      </w:pPr>
      <w:r w:rsidRPr="00265FDB">
        <w:rPr>
          <w:rFonts w:ascii="Arial" w:eastAsia="Times New Roman" w:hAnsi="Arial" w:cs="Times New Roman"/>
          <w:i/>
          <w:iCs/>
          <w:sz w:val="20"/>
          <w:szCs w:val="20"/>
        </w:rPr>
        <w:t>[</w:t>
      </w:r>
      <w:r>
        <w:rPr>
          <w:rFonts w:ascii="Arial" w:eastAsia="Times New Roman" w:hAnsi="Arial" w:cs="Times New Roman"/>
          <w:i/>
          <w:iCs/>
          <w:sz w:val="20"/>
          <w:szCs w:val="20"/>
        </w:rPr>
        <w:t>86</w:t>
      </w:r>
      <w:r w:rsidRPr="00265FDB">
        <w:rPr>
          <w:rFonts w:ascii="Arial" w:eastAsia="Times New Roman" w:hAnsi="Arial" w:cs="Times New Roman"/>
          <w:i/>
          <w:iCs/>
          <w:sz w:val="20"/>
          <w:szCs w:val="20"/>
        </w:rPr>
        <w:t>] In this regard it is worth repeating the distinction drawn between the situation where a court will do the best it can with the available evidence (which is the norm when it quantifies damages and also when it considers the sequelae, provided causation of the underlying injury has been established), and cases where available evidence has not been produced and, if produced, would have resolved outstanding uncertainties. The distinction was set out by Colman J in Burger v Union National South British Insurance supra para 68 at 74G – 75B:</w:t>
      </w:r>
    </w:p>
    <w:p w14:paraId="696F14FA" w14:textId="77777777" w:rsidR="00060854" w:rsidRDefault="00060854" w:rsidP="00060854">
      <w:pPr>
        <w:pStyle w:val="ListParagraph"/>
        <w:spacing w:line="480" w:lineRule="auto"/>
        <w:ind w:left="1440"/>
        <w:jc w:val="both"/>
        <w:rPr>
          <w:rFonts w:ascii="Arial" w:eastAsia="Times New Roman" w:hAnsi="Arial" w:cs="Times New Roman"/>
          <w:i/>
          <w:iCs/>
          <w:sz w:val="20"/>
          <w:szCs w:val="20"/>
        </w:rPr>
      </w:pPr>
      <w:r>
        <w:rPr>
          <w:rFonts w:ascii="Arial" w:eastAsia="Times New Roman" w:hAnsi="Arial" w:cs="Times New Roman"/>
          <w:i/>
          <w:iCs/>
          <w:sz w:val="20"/>
          <w:szCs w:val="20"/>
        </w:rPr>
        <w:t>“</w:t>
      </w:r>
      <w:r w:rsidRPr="00265FDB">
        <w:rPr>
          <w:rFonts w:ascii="Arial" w:eastAsia="Times New Roman" w:hAnsi="Arial" w:cs="Times New Roman"/>
          <w:i/>
          <w:iCs/>
          <w:sz w:val="20"/>
          <w:szCs w:val="20"/>
        </w:rPr>
        <w:t xml:space="preserve">Causation is one thing and quantification is another, although I readily concede that it is not always possible to distinguish clearly between them in cases like the present one. It has never, within the range of my knowledge and experience, been the approach of our Courts, when charged with the assessment of damages, to resolve by an application of the burden of proof such uncertainties as I have referred to. I am not dealing with a case in which the plaintiff could have called evidence to remove the uncertainty, but neglected to do so. I am referring to cases like Turkstra Ltd. v Richards, 1926 T.P.D. 276, in which the plaintiff has laid before the Court such evidence as was available, but that evidence has necessarily failed to remove uncertainties with regard to matters bearing upon the quantum of damage. The </w:t>
      </w:r>
      <w:r w:rsidRPr="00265FDB">
        <w:rPr>
          <w:rFonts w:ascii="Arial" w:eastAsia="Times New Roman" w:hAnsi="Arial" w:cs="Times New Roman"/>
          <w:i/>
          <w:iCs/>
          <w:sz w:val="20"/>
          <w:szCs w:val="20"/>
        </w:rPr>
        <w:lastRenderedPageBreak/>
        <w:t>Court, in such a case, does the best it can with the material available. If it can do no better, it makes the informed guess referred to by Holmes, J.A., in Anthony and Another v Cape Town Municipality, </w:t>
      </w:r>
      <w:r w:rsidRPr="00ED589D">
        <w:rPr>
          <w:rFonts w:ascii="Arial" w:eastAsia="Times New Roman" w:hAnsi="Arial" w:cs="Times New Roman"/>
          <w:i/>
          <w:iCs/>
          <w:sz w:val="20"/>
          <w:szCs w:val="20"/>
        </w:rPr>
        <w:t>1967 (4) SA 445 (AD)</w:t>
      </w:r>
      <w:r w:rsidRPr="00265FDB">
        <w:rPr>
          <w:rFonts w:ascii="Arial" w:eastAsia="Times New Roman" w:hAnsi="Arial" w:cs="Times New Roman"/>
          <w:i/>
          <w:iCs/>
          <w:sz w:val="20"/>
          <w:szCs w:val="20"/>
        </w:rPr>
        <w:t>.</w:t>
      </w:r>
    </w:p>
    <w:p w14:paraId="6584B76D" w14:textId="77777777" w:rsidR="00060854" w:rsidRPr="00265FDB" w:rsidRDefault="00060854" w:rsidP="00060854">
      <w:pPr>
        <w:pStyle w:val="ListParagraph"/>
        <w:spacing w:line="480" w:lineRule="auto"/>
        <w:ind w:left="1440"/>
        <w:jc w:val="both"/>
        <w:rPr>
          <w:rFonts w:ascii="Arial" w:eastAsia="Times New Roman" w:hAnsi="Arial" w:cs="Times New Roman"/>
          <w:i/>
          <w:iCs/>
          <w:sz w:val="20"/>
          <w:szCs w:val="20"/>
        </w:rPr>
      </w:pPr>
    </w:p>
    <w:p w14:paraId="2F7DAD0F" w14:textId="5AFB4EA5" w:rsidR="00060854" w:rsidRPr="00ED589D" w:rsidRDefault="00060854" w:rsidP="00060854">
      <w:pPr>
        <w:pStyle w:val="ListParagraph"/>
        <w:spacing w:line="480" w:lineRule="auto"/>
        <w:ind w:left="1440"/>
        <w:jc w:val="both"/>
        <w:rPr>
          <w:rFonts w:ascii="Arial" w:eastAsia="Times New Roman" w:hAnsi="Arial" w:cs="Times New Roman"/>
          <w:i/>
          <w:iCs/>
          <w:sz w:val="20"/>
          <w:szCs w:val="20"/>
        </w:rPr>
      </w:pPr>
      <w:r w:rsidRPr="00265FDB">
        <w:rPr>
          <w:rFonts w:ascii="Arial" w:eastAsia="Times New Roman" w:hAnsi="Arial" w:cs="Times New Roman"/>
          <w:i/>
          <w:iCs/>
          <w:sz w:val="20"/>
          <w:szCs w:val="20"/>
        </w:rPr>
        <w:t>What the Court will not do in such a case is to select, from the range of possibilities presented by the evidence, the possibility which is least favourable to the plaintiff because he bears the onus,</w:t>
      </w:r>
      <w:r>
        <w:rPr>
          <w:rFonts w:ascii="Arial" w:eastAsia="Times New Roman" w:hAnsi="Arial" w:cs="Times New Roman"/>
          <w:i/>
          <w:iCs/>
          <w:sz w:val="20"/>
          <w:szCs w:val="20"/>
        </w:rPr>
        <w:t xml:space="preserve"> </w:t>
      </w:r>
      <w:r w:rsidRPr="00265FDB">
        <w:rPr>
          <w:rFonts w:ascii="Arial" w:eastAsia="Times New Roman" w:hAnsi="Arial" w:cs="Times New Roman"/>
          <w:i/>
          <w:iCs/>
          <w:sz w:val="20"/>
          <w:szCs w:val="20"/>
        </w:rPr>
        <w:t>and has not proved that a more favourable possibility ought to be preferred</w:t>
      </w:r>
      <w:r>
        <w:rPr>
          <w:rFonts w:ascii="Arial" w:eastAsia="Times New Roman" w:hAnsi="Arial" w:cs="Times New Roman"/>
          <w:i/>
          <w:iCs/>
          <w:sz w:val="20"/>
          <w:szCs w:val="20"/>
        </w:rPr>
        <w:t>”</w:t>
      </w:r>
      <w:r w:rsidR="00C031F5">
        <w:rPr>
          <w:rFonts w:ascii="Arial" w:eastAsia="Times New Roman" w:hAnsi="Arial" w:cs="Times New Roman"/>
          <w:i/>
          <w:iCs/>
          <w:sz w:val="20"/>
          <w:szCs w:val="20"/>
        </w:rPr>
        <w:t>.</w:t>
      </w:r>
    </w:p>
    <w:p w14:paraId="538488FC" w14:textId="501421A1" w:rsidR="00060854" w:rsidRPr="00056FB1" w:rsidRDefault="00060854" w:rsidP="00056FB1">
      <w:pPr>
        <w:spacing w:line="480" w:lineRule="auto"/>
        <w:ind w:left="720"/>
        <w:jc w:val="both"/>
        <w:rPr>
          <w:rFonts w:ascii="Arial" w:eastAsia="Times New Roman" w:hAnsi="Arial" w:cs="Times New Roman"/>
          <w:i/>
          <w:iCs/>
          <w:sz w:val="20"/>
          <w:szCs w:val="20"/>
        </w:rPr>
      </w:pPr>
      <w:r w:rsidRPr="00B41DED">
        <w:rPr>
          <w:rFonts w:ascii="Arial" w:eastAsia="Times New Roman" w:hAnsi="Arial" w:cs="Times New Roman"/>
          <w:i/>
          <w:iCs/>
          <w:sz w:val="20"/>
          <w:szCs w:val="20"/>
        </w:rPr>
        <w:t>The judgment goes on to set out in great detail the method of quantifying damages and its full import should not be considered by reference to this extract alone. The ratio was endorsed in Blyth v Van den Heever 1980 (1) SA 191 (A) at 225A – B and more recently in De Klerk v Absa Bank Ltd and Others </w:t>
      </w:r>
      <w:r w:rsidRPr="002B3B52">
        <w:rPr>
          <w:rFonts w:ascii="Arial" w:eastAsia="Times New Roman" w:hAnsi="Arial" w:cs="Times New Roman"/>
          <w:i/>
          <w:iCs/>
          <w:sz w:val="20"/>
          <w:szCs w:val="20"/>
        </w:rPr>
        <w:t>2003 (4) SA 315 (SCA)</w:t>
      </w:r>
      <w:r w:rsidRPr="00B41DED">
        <w:rPr>
          <w:rFonts w:ascii="Arial" w:eastAsia="Times New Roman" w:hAnsi="Arial" w:cs="Times New Roman"/>
          <w:i/>
          <w:iCs/>
          <w:sz w:val="20"/>
          <w:szCs w:val="20"/>
        </w:rPr>
        <w:t> ([2003] 1 All SA 651) in para 33.</w:t>
      </w:r>
    </w:p>
    <w:p w14:paraId="1E8806E3" w14:textId="77777777" w:rsidR="00060854" w:rsidRPr="005A4A2F" w:rsidRDefault="00060854" w:rsidP="00060854">
      <w:pPr>
        <w:pStyle w:val="ListParagraph"/>
        <w:rPr>
          <w:rFonts w:ascii="Arial" w:eastAsia="Times New Roman" w:hAnsi="Arial" w:cs="Times New Roman"/>
          <w:sz w:val="24"/>
          <w:szCs w:val="24"/>
          <w:lang w:val="en-GB"/>
        </w:rPr>
      </w:pPr>
    </w:p>
    <w:p w14:paraId="637CF60C" w14:textId="5CF00F69" w:rsidR="00060854" w:rsidRDefault="00060854"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When the expert relies on facts, such facts must be proven by admissible evidence and the court must know on which facts the expert opinion is based because when an expert has been misinformed about the facts or has taken irrelevant facts into consideration or has omitted to consider relevant facts, the opinion is valueless.</w:t>
      </w:r>
      <w:r>
        <w:rPr>
          <w:rStyle w:val="FootnoteReference"/>
          <w:rFonts w:ascii="Arial" w:eastAsia="Times New Roman" w:hAnsi="Arial" w:cs="Times New Roman"/>
          <w:sz w:val="24"/>
          <w:szCs w:val="24"/>
          <w:lang w:val="en-GB"/>
        </w:rPr>
        <w:footnoteReference w:id="62"/>
      </w:r>
      <w:r>
        <w:rPr>
          <w:rFonts w:ascii="Arial" w:eastAsia="Times New Roman" w:hAnsi="Arial" w:cs="Times New Roman"/>
          <w:sz w:val="24"/>
          <w:szCs w:val="24"/>
          <w:lang w:val="en-GB"/>
        </w:rPr>
        <w:t xml:space="preserve"> Failure to pro</w:t>
      </w:r>
      <w:r w:rsidR="00BA447D">
        <w:rPr>
          <w:rFonts w:ascii="Arial" w:eastAsia="Times New Roman" w:hAnsi="Arial" w:cs="Times New Roman"/>
          <w:sz w:val="24"/>
          <w:szCs w:val="24"/>
          <w:lang w:val="en-GB"/>
        </w:rPr>
        <w:t>ve</w:t>
      </w:r>
      <w:r>
        <w:rPr>
          <w:rFonts w:ascii="Arial" w:eastAsia="Times New Roman" w:hAnsi="Arial" w:cs="Times New Roman"/>
          <w:sz w:val="24"/>
          <w:szCs w:val="24"/>
          <w:lang w:val="en-GB"/>
        </w:rPr>
        <w:t xml:space="preserve"> the facts on which an expert relies would render the views of the expert meaningless as it is based on inadmissible hearsay evidence</w:t>
      </w:r>
      <w:r>
        <w:rPr>
          <w:rStyle w:val="FootnoteReference"/>
          <w:rFonts w:ascii="Arial" w:eastAsia="Times New Roman" w:hAnsi="Arial" w:cs="Times New Roman"/>
          <w:sz w:val="24"/>
          <w:szCs w:val="24"/>
          <w:lang w:val="en-GB"/>
        </w:rPr>
        <w:footnoteReference w:id="63"/>
      </w:r>
      <w:r>
        <w:rPr>
          <w:rFonts w:ascii="Arial" w:eastAsia="Times New Roman" w:hAnsi="Arial" w:cs="Times New Roman"/>
          <w:sz w:val="24"/>
          <w:szCs w:val="24"/>
          <w:lang w:val="en-GB"/>
        </w:rPr>
        <w:t xml:space="preserve"> and no more than an abstract theory.</w:t>
      </w:r>
      <w:r>
        <w:rPr>
          <w:rStyle w:val="FootnoteReference"/>
          <w:rFonts w:ascii="Arial" w:eastAsia="Times New Roman" w:hAnsi="Arial" w:cs="Times New Roman"/>
          <w:sz w:val="24"/>
          <w:szCs w:val="24"/>
          <w:lang w:val="en-GB"/>
        </w:rPr>
        <w:footnoteReference w:id="64"/>
      </w:r>
      <w:r>
        <w:rPr>
          <w:rFonts w:ascii="Arial" w:eastAsia="Times New Roman" w:hAnsi="Arial" w:cs="Times New Roman"/>
          <w:sz w:val="24"/>
          <w:szCs w:val="24"/>
          <w:lang w:val="en-GB"/>
        </w:rPr>
        <w:t xml:space="preserve"> </w:t>
      </w:r>
    </w:p>
    <w:p w14:paraId="4BF8246B" w14:textId="77777777" w:rsidR="00060854" w:rsidRPr="004F01E0" w:rsidRDefault="00060854" w:rsidP="00060854">
      <w:pPr>
        <w:pStyle w:val="ListParagraph"/>
        <w:rPr>
          <w:rFonts w:ascii="Arial" w:eastAsia="Times New Roman" w:hAnsi="Arial" w:cs="Times New Roman"/>
          <w:sz w:val="24"/>
          <w:szCs w:val="24"/>
          <w:lang w:val="en-GB"/>
        </w:rPr>
      </w:pPr>
    </w:p>
    <w:p w14:paraId="0999F298" w14:textId="348A9D40" w:rsidR="00060854" w:rsidRDefault="00060854"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In personal injury quantification, where experts are called to assist the court in quantifying the damages to be awarded, experts rely heavily on the collateral facts submitted by the Plaintiff. The weight to be attached to the expert’s opinion is </w:t>
      </w:r>
      <w:r>
        <w:rPr>
          <w:rFonts w:ascii="Arial" w:eastAsia="Times New Roman" w:hAnsi="Arial" w:cs="Times New Roman"/>
          <w:sz w:val="24"/>
          <w:szCs w:val="24"/>
          <w:lang w:val="en-GB"/>
        </w:rPr>
        <w:br/>
        <w:t>inextricably linked to the reliability of the Plaintiff who submit</w:t>
      </w:r>
      <w:r w:rsidR="00BA447D">
        <w:rPr>
          <w:rFonts w:ascii="Arial" w:eastAsia="Times New Roman" w:hAnsi="Arial" w:cs="Times New Roman"/>
          <w:sz w:val="24"/>
          <w:szCs w:val="24"/>
          <w:lang w:val="en-GB"/>
        </w:rPr>
        <w:t>s</w:t>
      </w:r>
      <w:r>
        <w:rPr>
          <w:rFonts w:ascii="Arial" w:eastAsia="Times New Roman" w:hAnsi="Arial" w:cs="Times New Roman"/>
          <w:sz w:val="24"/>
          <w:szCs w:val="24"/>
          <w:lang w:val="en-GB"/>
        </w:rPr>
        <w:t xml:space="preserve"> such facts to the expert and where the Plaintiff is discredited, the expert who relied on the </w:t>
      </w:r>
      <w:r w:rsidR="00B97E20">
        <w:rPr>
          <w:rFonts w:ascii="Arial" w:eastAsia="Times New Roman" w:hAnsi="Arial" w:cs="Times New Roman"/>
          <w:sz w:val="24"/>
          <w:szCs w:val="24"/>
          <w:lang w:val="en-GB"/>
        </w:rPr>
        <w:t>discredited</w:t>
      </w:r>
      <w:r w:rsidR="00BA447D">
        <w:rPr>
          <w:rFonts w:ascii="Arial" w:eastAsia="Times New Roman" w:hAnsi="Arial" w:cs="Times New Roman"/>
          <w:sz w:val="24"/>
          <w:szCs w:val="24"/>
          <w:lang w:val="en-GB"/>
        </w:rPr>
        <w:t xml:space="preserve"> </w:t>
      </w:r>
      <w:r>
        <w:rPr>
          <w:rFonts w:ascii="Arial" w:eastAsia="Times New Roman" w:hAnsi="Arial" w:cs="Times New Roman"/>
          <w:sz w:val="24"/>
          <w:szCs w:val="24"/>
          <w:lang w:val="en-GB"/>
        </w:rPr>
        <w:t xml:space="preserve">evidence </w:t>
      </w:r>
      <w:r>
        <w:rPr>
          <w:rFonts w:ascii="Arial" w:eastAsia="Times New Roman" w:hAnsi="Arial" w:cs="Times New Roman"/>
          <w:sz w:val="24"/>
          <w:szCs w:val="24"/>
          <w:lang w:val="en-GB"/>
        </w:rPr>
        <w:lastRenderedPageBreak/>
        <w:t>will be of no or little value.</w:t>
      </w:r>
      <w:r>
        <w:rPr>
          <w:rStyle w:val="FootnoteReference"/>
          <w:rFonts w:ascii="Arial" w:eastAsia="Times New Roman" w:hAnsi="Arial" w:cs="Times New Roman"/>
          <w:sz w:val="24"/>
          <w:szCs w:val="24"/>
          <w:lang w:val="en-GB"/>
        </w:rPr>
        <w:footnoteReference w:id="65"/>
      </w:r>
      <w:r>
        <w:rPr>
          <w:rFonts w:ascii="Arial" w:eastAsia="Times New Roman" w:hAnsi="Arial" w:cs="Times New Roman"/>
          <w:sz w:val="24"/>
          <w:szCs w:val="24"/>
          <w:lang w:val="en-GB"/>
        </w:rPr>
        <w:t xml:space="preserve"> This is especially true for disciplines such as the clinical psychologists and the industrial psychologists.</w:t>
      </w:r>
    </w:p>
    <w:p w14:paraId="71FC5CE6" w14:textId="77777777" w:rsidR="00060854" w:rsidRPr="005A4A2F" w:rsidRDefault="00060854" w:rsidP="00060854">
      <w:pPr>
        <w:pStyle w:val="ListParagraph"/>
        <w:rPr>
          <w:rFonts w:ascii="Arial" w:eastAsia="Times New Roman" w:hAnsi="Arial" w:cs="Times New Roman"/>
          <w:sz w:val="24"/>
          <w:szCs w:val="24"/>
          <w:lang w:val="en-GB"/>
        </w:rPr>
      </w:pPr>
    </w:p>
    <w:p w14:paraId="025B712A" w14:textId="78B99F1E" w:rsidR="004E0E9C" w:rsidRPr="006F0848" w:rsidRDefault="00060854" w:rsidP="00AF6DDF">
      <w:pPr>
        <w:pStyle w:val="ListParagraph"/>
        <w:numPr>
          <w:ilvl w:val="0"/>
          <w:numId w:val="3"/>
        </w:numPr>
        <w:spacing w:after="0" w:line="480" w:lineRule="auto"/>
        <w:jc w:val="both"/>
        <w:rPr>
          <w:rFonts w:ascii="Arial" w:eastAsia="Times New Roman" w:hAnsi="Arial" w:cs="Times New Roman"/>
          <w:sz w:val="24"/>
          <w:szCs w:val="24"/>
          <w:lang w:val="en-GB"/>
        </w:rPr>
      </w:pPr>
      <w:r w:rsidRPr="00756251">
        <w:rPr>
          <w:rFonts w:ascii="Arial" w:eastAsia="Times New Roman" w:hAnsi="Arial" w:cs="Times New Roman"/>
          <w:sz w:val="24"/>
          <w:szCs w:val="24"/>
        </w:rPr>
        <w:t>In </w:t>
      </w:r>
      <w:r w:rsidRPr="004F01E0">
        <w:rPr>
          <w:rFonts w:ascii="Arial" w:eastAsia="Times New Roman" w:hAnsi="Arial" w:cs="Times New Roman"/>
          <w:i/>
          <w:iCs/>
          <w:sz w:val="24"/>
          <w:szCs w:val="24"/>
        </w:rPr>
        <w:t>S v Shivute</w:t>
      </w:r>
      <w:r>
        <w:rPr>
          <w:rStyle w:val="FootnoteReference"/>
          <w:rFonts w:ascii="Arial" w:eastAsia="Times New Roman" w:hAnsi="Arial" w:cs="Times New Roman"/>
          <w:b/>
          <w:bCs/>
          <w:sz w:val="24"/>
          <w:szCs w:val="24"/>
        </w:rPr>
        <w:footnoteReference w:id="66"/>
      </w:r>
      <w:r w:rsidRPr="00756251">
        <w:rPr>
          <w:rFonts w:ascii="Arial" w:eastAsia="Times New Roman" w:hAnsi="Arial" w:cs="Times New Roman"/>
          <w:sz w:val="24"/>
          <w:szCs w:val="24"/>
        </w:rPr>
        <w:t xml:space="preserve"> it was noted that </w:t>
      </w:r>
      <w:r w:rsidRPr="00756251">
        <w:rPr>
          <w:rFonts w:ascii="Arial" w:eastAsia="Times New Roman" w:hAnsi="Arial" w:cs="Times New Roman"/>
          <w:i/>
          <w:iCs/>
          <w:sz w:val="24"/>
          <w:szCs w:val="24"/>
        </w:rPr>
        <w:t>“[t]he accused failure to testify stripped the opinion evidence of the expert witness of almost all relevance and weight.”</w:t>
      </w:r>
      <w:r>
        <w:rPr>
          <w:rFonts w:ascii="Arial" w:eastAsia="Times New Roman" w:hAnsi="Arial" w:cs="Times New Roman"/>
          <w:sz w:val="24"/>
          <w:szCs w:val="24"/>
        </w:rPr>
        <w:t xml:space="preserve"> </w:t>
      </w:r>
      <w:r w:rsidRPr="00756251">
        <w:rPr>
          <w:rFonts w:ascii="Arial" w:eastAsia="Times New Roman" w:hAnsi="Arial" w:cs="Times New Roman"/>
          <w:sz w:val="24"/>
          <w:szCs w:val="24"/>
        </w:rPr>
        <w:t>In these circumstances the court is constrained in accepting the opinion of the expert witness.</w:t>
      </w:r>
      <w:r>
        <w:rPr>
          <w:rStyle w:val="FootnoteReference"/>
          <w:rFonts w:ascii="Arial" w:eastAsia="Times New Roman" w:hAnsi="Arial" w:cs="Times New Roman"/>
          <w:sz w:val="24"/>
          <w:szCs w:val="24"/>
        </w:rPr>
        <w:footnoteReference w:id="67"/>
      </w:r>
      <w:r w:rsidRPr="00756251">
        <w:rPr>
          <w:rFonts w:ascii="Arial" w:eastAsia="Times New Roman" w:hAnsi="Arial" w:cs="Times New Roman"/>
          <w:sz w:val="24"/>
          <w:szCs w:val="24"/>
        </w:rPr>
        <w:t> Consequently</w:t>
      </w:r>
      <w:r w:rsidR="00BA447D">
        <w:rPr>
          <w:rFonts w:ascii="Arial" w:eastAsia="Times New Roman" w:hAnsi="Arial" w:cs="Times New Roman"/>
          <w:sz w:val="24"/>
          <w:szCs w:val="24"/>
        </w:rPr>
        <w:t>,</w:t>
      </w:r>
      <w:r w:rsidRPr="00756251">
        <w:rPr>
          <w:rFonts w:ascii="Arial" w:eastAsia="Times New Roman" w:hAnsi="Arial" w:cs="Times New Roman"/>
          <w:sz w:val="24"/>
          <w:szCs w:val="24"/>
        </w:rPr>
        <w:t xml:space="preserve"> </w:t>
      </w:r>
      <w:r w:rsidR="00056FB1">
        <w:rPr>
          <w:rFonts w:ascii="Arial" w:eastAsia="Times New Roman" w:hAnsi="Arial" w:cs="Times New Roman"/>
          <w:sz w:val="24"/>
          <w:szCs w:val="24"/>
        </w:rPr>
        <w:t xml:space="preserve">it was held in that case that </w:t>
      </w:r>
      <w:r w:rsidRPr="00756251">
        <w:rPr>
          <w:rFonts w:ascii="Arial" w:eastAsia="Times New Roman" w:hAnsi="Arial" w:cs="Times New Roman"/>
          <w:sz w:val="24"/>
          <w:szCs w:val="24"/>
        </w:rPr>
        <w:t xml:space="preserve">the accused’s silence and the inability of the court to determine the truthfulness of his account render </w:t>
      </w:r>
      <w:r>
        <w:rPr>
          <w:rFonts w:ascii="Arial" w:eastAsia="Times New Roman" w:hAnsi="Arial" w:cs="Times New Roman"/>
          <w:sz w:val="24"/>
          <w:szCs w:val="24"/>
        </w:rPr>
        <w:t>the expert’s opinion</w:t>
      </w:r>
      <w:r w:rsidRPr="00756251">
        <w:rPr>
          <w:rFonts w:ascii="Arial" w:eastAsia="Times New Roman" w:hAnsi="Arial" w:cs="Times New Roman"/>
          <w:sz w:val="24"/>
          <w:szCs w:val="24"/>
        </w:rPr>
        <w:t xml:space="preserve"> of no value.</w:t>
      </w:r>
    </w:p>
    <w:p w14:paraId="37FD48AE" w14:textId="77777777" w:rsidR="006F0848" w:rsidRDefault="006F0848" w:rsidP="006F0848">
      <w:pPr>
        <w:spacing w:after="0" w:line="480" w:lineRule="auto"/>
        <w:jc w:val="both"/>
        <w:rPr>
          <w:rFonts w:ascii="Arial" w:eastAsia="Times New Roman" w:hAnsi="Arial" w:cs="Times New Roman"/>
          <w:sz w:val="24"/>
          <w:szCs w:val="24"/>
          <w:lang w:val="en-GB"/>
        </w:rPr>
      </w:pPr>
    </w:p>
    <w:p w14:paraId="75F6113E" w14:textId="469CCDC1" w:rsidR="00386ADD" w:rsidRPr="00BA447D" w:rsidRDefault="006F0848" w:rsidP="006F0848">
      <w:pPr>
        <w:spacing w:after="0" w:line="480" w:lineRule="auto"/>
        <w:jc w:val="both"/>
        <w:rPr>
          <w:rFonts w:ascii="Arial" w:eastAsia="Times New Roman" w:hAnsi="Arial" w:cs="Times New Roman"/>
          <w:i/>
          <w:iCs/>
          <w:sz w:val="24"/>
          <w:szCs w:val="24"/>
          <w:u w:val="single"/>
          <w:lang w:val="en-GB"/>
        </w:rPr>
      </w:pPr>
      <w:r w:rsidRPr="00BA447D">
        <w:rPr>
          <w:rFonts w:ascii="Arial" w:eastAsia="Times New Roman" w:hAnsi="Arial" w:cs="Times New Roman"/>
          <w:i/>
          <w:iCs/>
          <w:sz w:val="24"/>
          <w:szCs w:val="24"/>
          <w:u w:val="single"/>
          <w:lang w:val="en-GB"/>
        </w:rPr>
        <w:t>Loss of earning capacity</w:t>
      </w:r>
    </w:p>
    <w:p w14:paraId="4F10DC4B" w14:textId="1D4923BE" w:rsidR="006F0848" w:rsidRPr="006F0848" w:rsidRDefault="005F115A" w:rsidP="00AF6DDF">
      <w:pPr>
        <w:pStyle w:val="ListParagraph"/>
        <w:numPr>
          <w:ilvl w:val="0"/>
          <w:numId w:val="3"/>
        </w:numPr>
        <w:spacing w:line="480" w:lineRule="auto"/>
        <w:jc w:val="both"/>
        <w:rPr>
          <w:rFonts w:ascii="Arial" w:hAnsi="Arial"/>
          <w:sz w:val="24"/>
          <w:szCs w:val="24"/>
        </w:rPr>
      </w:pPr>
      <w:r>
        <w:rPr>
          <w:rFonts w:ascii="Arial" w:eastAsia="Times New Roman" w:hAnsi="Arial" w:cs="Times New Roman"/>
          <w:sz w:val="24"/>
          <w:szCs w:val="24"/>
          <w:lang w:val="en-GB"/>
        </w:rPr>
        <w:t xml:space="preserve">Although the evidence presented in this case leave much to be desired, I have no doubt that the injuries and sequelae reduced the Plaintiff’s earning capacity. </w:t>
      </w:r>
      <w:r w:rsidR="006F0848">
        <w:rPr>
          <w:rFonts w:ascii="Arial" w:eastAsia="Times New Roman" w:hAnsi="Arial" w:cs="Times New Roman"/>
          <w:sz w:val="24"/>
          <w:szCs w:val="24"/>
          <w:lang w:val="en-GB"/>
        </w:rPr>
        <w:t xml:space="preserve">There is no evidence before the court of an actual </w:t>
      </w:r>
      <w:r w:rsidR="007C567F">
        <w:rPr>
          <w:rFonts w:ascii="Arial" w:eastAsia="Times New Roman" w:hAnsi="Arial" w:cs="Times New Roman"/>
          <w:sz w:val="24"/>
          <w:szCs w:val="24"/>
          <w:lang w:val="en-GB"/>
        </w:rPr>
        <w:t xml:space="preserve">pecuniary </w:t>
      </w:r>
      <w:r w:rsidR="006F0848">
        <w:rPr>
          <w:rFonts w:ascii="Arial" w:eastAsia="Times New Roman" w:hAnsi="Arial" w:cs="Times New Roman"/>
          <w:sz w:val="24"/>
          <w:szCs w:val="24"/>
          <w:lang w:val="en-GB"/>
        </w:rPr>
        <w:t>loss apart from the expert</w:t>
      </w:r>
      <w:r w:rsidR="00BA447D">
        <w:rPr>
          <w:rFonts w:ascii="Arial" w:eastAsia="Times New Roman" w:hAnsi="Arial" w:cs="Times New Roman"/>
          <w:sz w:val="24"/>
          <w:szCs w:val="24"/>
          <w:lang w:val="en-GB"/>
        </w:rPr>
        <w:t>s’</w:t>
      </w:r>
      <w:r w:rsidR="006F0848">
        <w:rPr>
          <w:rFonts w:ascii="Arial" w:eastAsia="Times New Roman" w:hAnsi="Arial" w:cs="Times New Roman"/>
          <w:sz w:val="24"/>
          <w:szCs w:val="24"/>
          <w:lang w:val="en-GB"/>
        </w:rPr>
        <w:t xml:space="preserve"> </w:t>
      </w:r>
      <w:r w:rsidR="007C567F">
        <w:rPr>
          <w:rFonts w:ascii="Arial" w:eastAsia="Times New Roman" w:hAnsi="Arial" w:cs="Times New Roman"/>
          <w:sz w:val="24"/>
          <w:szCs w:val="24"/>
          <w:lang w:val="en-GB"/>
        </w:rPr>
        <w:t>hearsay evidence,</w:t>
      </w:r>
      <w:r w:rsidR="006F0848">
        <w:rPr>
          <w:rFonts w:ascii="Arial" w:eastAsia="Times New Roman" w:hAnsi="Arial" w:cs="Times New Roman"/>
          <w:sz w:val="24"/>
          <w:szCs w:val="24"/>
          <w:lang w:val="en-GB"/>
        </w:rPr>
        <w:t xml:space="preserve"> which I reject</w:t>
      </w:r>
      <w:r w:rsidR="00CE7061">
        <w:rPr>
          <w:rFonts w:ascii="Arial" w:eastAsia="Times New Roman" w:hAnsi="Arial" w:cs="Times New Roman"/>
          <w:sz w:val="24"/>
          <w:szCs w:val="24"/>
          <w:lang w:val="en-GB"/>
        </w:rPr>
        <w:t xml:space="preserve"> for reasons set out already. The only question is whether I should ma</w:t>
      </w:r>
      <w:r w:rsidR="00BA447D">
        <w:rPr>
          <w:rFonts w:ascii="Arial" w:eastAsia="Times New Roman" w:hAnsi="Arial" w:cs="Times New Roman"/>
          <w:sz w:val="24"/>
          <w:szCs w:val="24"/>
          <w:lang w:val="en-GB"/>
        </w:rPr>
        <w:t>k</w:t>
      </w:r>
      <w:r w:rsidR="00CE7061">
        <w:rPr>
          <w:rFonts w:ascii="Arial" w:eastAsia="Times New Roman" w:hAnsi="Arial" w:cs="Times New Roman"/>
          <w:sz w:val="24"/>
          <w:szCs w:val="24"/>
          <w:lang w:val="en-GB"/>
        </w:rPr>
        <w:t>e an award if I accept that the Plaintiff suffered a loss of earning capacity.</w:t>
      </w:r>
    </w:p>
    <w:p w14:paraId="2FF1BF87" w14:textId="77777777" w:rsidR="006F0848" w:rsidRPr="006F0848" w:rsidRDefault="006F0848" w:rsidP="006F0848">
      <w:pPr>
        <w:pStyle w:val="ListParagraph"/>
        <w:spacing w:line="480" w:lineRule="auto"/>
        <w:ind w:left="360"/>
        <w:jc w:val="both"/>
        <w:rPr>
          <w:rFonts w:ascii="Arial" w:hAnsi="Arial"/>
          <w:sz w:val="24"/>
          <w:szCs w:val="24"/>
        </w:rPr>
      </w:pPr>
    </w:p>
    <w:p w14:paraId="1898055B" w14:textId="7938F634" w:rsidR="000F055F" w:rsidRPr="00090181" w:rsidRDefault="000F055F" w:rsidP="00AF6DDF">
      <w:pPr>
        <w:pStyle w:val="ListParagraph"/>
        <w:numPr>
          <w:ilvl w:val="0"/>
          <w:numId w:val="3"/>
        </w:numPr>
        <w:spacing w:line="480" w:lineRule="auto"/>
        <w:jc w:val="both"/>
        <w:rPr>
          <w:rFonts w:ascii="Arial" w:hAnsi="Arial"/>
          <w:sz w:val="24"/>
          <w:szCs w:val="24"/>
        </w:rPr>
      </w:pPr>
      <w:r w:rsidRPr="00090181">
        <w:rPr>
          <w:rFonts w:ascii="Arial" w:eastAsia="Times New Roman" w:hAnsi="Arial" w:cs="Times New Roman"/>
          <w:sz w:val="24"/>
          <w:szCs w:val="24"/>
          <w:lang w:val="en-GB"/>
        </w:rPr>
        <w:t>In</w:t>
      </w:r>
      <w:r w:rsidR="00CE7061">
        <w:rPr>
          <w:rFonts w:ascii="Arial" w:eastAsia="Times New Roman" w:hAnsi="Arial" w:cs="Times New Roman"/>
          <w:sz w:val="24"/>
          <w:szCs w:val="24"/>
          <w:lang w:val="en-GB"/>
        </w:rPr>
        <w:t xml:space="preserve"> </w:t>
      </w:r>
      <w:r w:rsidR="00BA447D">
        <w:rPr>
          <w:rFonts w:ascii="Arial" w:eastAsia="Times New Roman" w:hAnsi="Arial" w:cs="Times New Roman"/>
          <w:sz w:val="24"/>
          <w:szCs w:val="24"/>
          <w:lang w:val="en-GB"/>
        </w:rPr>
        <w:t xml:space="preserve">this </w:t>
      </w:r>
      <w:r w:rsidR="00CE7061">
        <w:rPr>
          <w:rFonts w:ascii="Arial" w:eastAsia="Times New Roman" w:hAnsi="Arial" w:cs="Times New Roman"/>
          <w:sz w:val="24"/>
          <w:szCs w:val="24"/>
          <w:lang w:val="en-GB"/>
        </w:rPr>
        <w:t>regard</w:t>
      </w:r>
      <w:r w:rsidR="00BA447D">
        <w:rPr>
          <w:rFonts w:ascii="Arial" w:eastAsia="Times New Roman" w:hAnsi="Arial" w:cs="Times New Roman"/>
          <w:sz w:val="24"/>
          <w:szCs w:val="24"/>
          <w:lang w:val="en-GB"/>
        </w:rPr>
        <w:t>,</w:t>
      </w:r>
      <w:r w:rsidR="00CE7061">
        <w:rPr>
          <w:rFonts w:ascii="Arial" w:eastAsia="Times New Roman" w:hAnsi="Arial" w:cs="Times New Roman"/>
          <w:sz w:val="24"/>
          <w:szCs w:val="24"/>
          <w:lang w:val="en-GB"/>
        </w:rPr>
        <w:t xml:space="preserve"> I considered</w:t>
      </w:r>
      <w:r w:rsidRPr="00090181">
        <w:rPr>
          <w:rFonts w:ascii="Arial" w:eastAsia="Times New Roman" w:hAnsi="Arial" w:cs="Times New Roman"/>
          <w:sz w:val="24"/>
          <w:szCs w:val="24"/>
          <w:lang w:val="en-GB"/>
        </w:rPr>
        <w:t xml:space="preserve"> </w:t>
      </w:r>
      <w:r w:rsidRPr="00090181">
        <w:rPr>
          <w:rFonts w:ascii="Arial" w:hAnsi="Arial"/>
          <w:i/>
          <w:iCs/>
          <w:sz w:val="24"/>
          <w:szCs w:val="24"/>
        </w:rPr>
        <w:t>Road Accident Fund v Maasdorp</w:t>
      </w:r>
      <w:r w:rsidRPr="00090181">
        <w:rPr>
          <w:rStyle w:val="FootnoteReference"/>
          <w:rFonts w:ascii="Arial" w:hAnsi="Arial"/>
          <w:i/>
          <w:iCs/>
          <w:sz w:val="24"/>
          <w:szCs w:val="24"/>
        </w:rPr>
        <w:footnoteReference w:id="68"/>
      </w:r>
      <w:r w:rsidRPr="00090181">
        <w:rPr>
          <w:rFonts w:ascii="Arial" w:hAnsi="Arial"/>
          <w:sz w:val="24"/>
          <w:szCs w:val="24"/>
        </w:rPr>
        <w:t> </w:t>
      </w:r>
      <w:r w:rsidR="00CE7061">
        <w:rPr>
          <w:rFonts w:ascii="Arial" w:hAnsi="Arial"/>
          <w:sz w:val="24"/>
          <w:szCs w:val="24"/>
        </w:rPr>
        <w:t xml:space="preserve">where the court held </w:t>
      </w:r>
      <w:r w:rsidRPr="00090181">
        <w:rPr>
          <w:rFonts w:ascii="Arial" w:hAnsi="Arial"/>
          <w:sz w:val="24"/>
          <w:szCs w:val="24"/>
        </w:rPr>
        <w:t>that:</w:t>
      </w:r>
    </w:p>
    <w:p w14:paraId="5E3DB2B5" w14:textId="2155E361" w:rsidR="005F115A" w:rsidRDefault="000F055F" w:rsidP="000F055F">
      <w:pPr>
        <w:pStyle w:val="ListParagraph"/>
        <w:spacing w:line="480" w:lineRule="auto"/>
        <w:ind w:left="1440"/>
        <w:jc w:val="both"/>
        <w:rPr>
          <w:rFonts w:ascii="Arial" w:eastAsia="Times New Roman" w:hAnsi="Arial" w:cs="Times New Roman"/>
          <w:i/>
          <w:iCs/>
          <w:sz w:val="20"/>
          <w:szCs w:val="20"/>
        </w:rPr>
      </w:pPr>
      <w:r w:rsidRPr="000F055F">
        <w:rPr>
          <w:rFonts w:ascii="Arial" w:eastAsia="Times New Roman" w:hAnsi="Arial" w:cs="Times New Roman"/>
          <w:i/>
          <w:iCs/>
          <w:sz w:val="20"/>
          <w:szCs w:val="20"/>
        </w:rPr>
        <w:t xml:space="preserve">'The question of loss of earnings and loss of earning capacity is a vexed one and is often considered by our courts. Usually, the material available to the court is scant, and very often, the contentions are speculative. Nevertheless, if the court is satisfied that there was a loss </w:t>
      </w:r>
      <w:r w:rsidRPr="000F055F">
        <w:rPr>
          <w:rFonts w:ascii="Arial" w:eastAsia="Times New Roman" w:hAnsi="Arial" w:cs="Times New Roman"/>
          <w:i/>
          <w:iCs/>
          <w:sz w:val="20"/>
          <w:szCs w:val="20"/>
        </w:rPr>
        <w:lastRenderedPageBreak/>
        <w:t>of earnings and/or earning capacity, the court must formulate an award of damages. What damages the court will award will depend entirely on the material available to the court.'</w:t>
      </w:r>
    </w:p>
    <w:p w14:paraId="34EDE492" w14:textId="77777777" w:rsidR="00931E08" w:rsidRPr="000F055F" w:rsidRDefault="00931E08" w:rsidP="000F055F">
      <w:pPr>
        <w:pStyle w:val="ListParagraph"/>
        <w:spacing w:line="480" w:lineRule="auto"/>
        <w:ind w:left="1440"/>
        <w:jc w:val="both"/>
        <w:rPr>
          <w:rFonts w:ascii="Arial" w:eastAsia="Times New Roman" w:hAnsi="Arial" w:cs="Times New Roman"/>
          <w:i/>
          <w:iCs/>
          <w:sz w:val="20"/>
          <w:szCs w:val="20"/>
        </w:rPr>
      </w:pPr>
    </w:p>
    <w:p w14:paraId="398D52DA" w14:textId="77777777" w:rsidR="005F115A" w:rsidRPr="005F115A" w:rsidRDefault="005F115A" w:rsidP="005F115A">
      <w:pPr>
        <w:pStyle w:val="ListParagraph"/>
        <w:rPr>
          <w:rFonts w:ascii="Arial" w:eastAsia="Times New Roman" w:hAnsi="Arial" w:cs="Times New Roman"/>
          <w:sz w:val="24"/>
          <w:szCs w:val="24"/>
          <w:lang w:val="en-GB"/>
        </w:rPr>
      </w:pPr>
    </w:p>
    <w:p w14:paraId="19890B90" w14:textId="317E648D" w:rsidR="005F115A" w:rsidRDefault="005F115A"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In </w:t>
      </w:r>
      <w:r w:rsidRPr="000F055F">
        <w:rPr>
          <w:rFonts w:ascii="Arial" w:eastAsia="Times New Roman" w:hAnsi="Arial" w:cs="Times New Roman"/>
          <w:i/>
          <w:iCs/>
          <w:sz w:val="24"/>
          <w:szCs w:val="24"/>
          <w:lang w:val="en-GB"/>
        </w:rPr>
        <w:t>Advocate Viljoen N.O v Road Accident Fund</w:t>
      </w:r>
      <w:r w:rsidR="000F055F">
        <w:rPr>
          <w:rStyle w:val="FootnoteReference"/>
          <w:rFonts w:ascii="Arial" w:eastAsia="Times New Roman" w:hAnsi="Arial" w:cs="Times New Roman"/>
          <w:i/>
          <w:iCs/>
          <w:sz w:val="24"/>
          <w:szCs w:val="24"/>
          <w:lang w:val="en-GB"/>
        </w:rPr>
        <w:footnoteReference w:id="69"/>
      </w:r>
      <w:r w:rsidRPr="005F115A">
        <w:rPr>
          <w:rFonts w:ascii="Arial" w:eastAsia="Times New Roman" w:hAnsi="Arial" w:cs="Times New Roman"/>
          <w:sz w:val="24"/>
          <w:szCs w:val="24"/>
          <w:lang w:val="en-GB"/>
        </w:rPr>
        <w:t xml:space="preserve"> </w:t>
      </w:r>
      <w:r>
        <w:rPr>
          <w:rFonts w:ascii="Arial" w:eastAsia="Times New Roman" w:hAnsi="Arial" w:cs="Times New Roman"/>
          <w:sz w:val="24"/>
          <w:szCs w:val="24"/>
          <w:lang w:val="en-GB"/>
        </w:rPr>
        <w:t xml:space="preserve"> three judges of this division</w:t>
      </w:r>
      <w:r w:rsidR="007C567F">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sitting as an appeal court</w:t>
      </w:r>
      <w:r w:rsidR="007C567F">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was confronted with a similar situation where the evidence left much to be desired but where </w:t>
      </w:r>
      <w:r w:rsidR="000F055F">
        <w:rPr>
          <w:rFonts w:ascii="Arial" w:eastAsia="Times New Roman" w:hAnsi="Arial" w:cs="Times New Roman"/>
          <w:sz w:val="24"/>
          <w:szCs w:val="24"/>
          <w:lang w:val="en-GB"/>
        </w:rPr>
        <w:t>there was no direct evidence from the Plaintiff, which would have been valuable in plotting a pre</w:t>
      </w:r>
      <w:r w:rsidR="00BA447D">
        <w:rPr>
          <w:rFonts w:ascii="Arial" w:eastAsia="Times New Roman" w:hAnsi="Arial" w:cs="Times New Roman"/>
          <w:sz w:val="24"/>
          <w:szCs w:val="24"/>
          <w:lang w:val="en-GB"/>
        </w:rPr>
        <w:t xml:space="preserve">- </w:t>
      </w:r>
      <w:r w:rsidR="000F055F">
        <w:rPr>
          <w:rFonts w:ascii="Arial" w:eastAsia="Times New Roman" w:hAnsi="Arial" w:cs="Times New Roman"/>
          <w:sz w:val="24"/>
          <w:szCs w:val="24"/>
          <w:lang w:val="en-GB"/>
        </w:rPr>
        <w:t>and post</w:t>
      </w:r>
      <w:r w:rsidR="00BA447D">
        <w:rPr>
          <w:rFonts w:ascii="Arial" w:eastAsia="Times New Roman" w:hAnsi="Arial" w:cs="Times New Roman"/>
          <w:sz w:val="24"/>
          <w:szCs w:val="24"/>
          <w:lang w:val="en-GB"/>
        </w:rPr>
        <w:t>-</w:t>
      </w:r>
      <w:r w:rsidR="000F055F">
        <w:rPr>
          <w:rFonts w:ascii="Arial" w:eastAsia="Times New Roman" w:hAnsi="Arial" w:cs="Times New Roman"/>
          <w:sz w:val="24"/>
          <w:szCs w:val="24"/>
          <w:lang w:val="en-GB"/>
        </w:rPr>
        <w:t>accident career path. The court held at para 14:</w:t>
      </w:r>
    </w:p>
    <w:p w14:paraId="195BD0F2" w14:textId="266D253C" w:rsidR="000F055F" w:rsidRDefault="000F055F" w:rsidP="000F055F">
      <w:pPr>
        <w:pStyle w:val="ListParagraph"/>
        <w:spacing w:after="0" w:line="480" w:lineRule="auto"/>
        <w:ind w:left="1440"/>
        <w:jc w:val="both"/>
        <w:rPr>
          <w:rFonts w:ascii="Arial" w:eastAsia="Times New Roman" w:hAnsi="Arial" w:cs="Times New Roman"/>
          <w:i/>
          <w:iCs/>
          <w:sz w:val="20"/>
          <w:szCs w:val="20"/>
        </w:rPr>
      </w:pPr>
      <w:r w:rsidRPr="000F055F">
        <w:rPr>
          <w:rFonts w:ascii="Arial" w:eastAsia="Times New Roman" w:hAnsi="Arial" w:cs="Times New Roman"/>
          <w:i/>
          <w:iCs/>
          <w:sz w:val="20"/>
          <w:szCs w:val="20"/>
        </w:rPr>
        <w:t>This, however, does not mean that the court cannot consider the evidence of the expert witnesses. It does, however, impact on the quantification method that will be utilised. It is impossible to accurately determine the patient's post-morbid progression without evidence of how the claimant sees and experiences her future unfolding. In the claimant's absence, insufficient light was shed on the reason for her failing her first year and why she did not consider another study field. Due to the patient's failure to testify, a considerable measure of uncertainty prevails. This disregards the application of a purely mathematical model, even if higher than normal contingencies are applied. It is trite that in these circumstances, the court may decide to fix a lump sum as compensation, although it considers the actuarial calculations as one of the factors in determining the award.</w:t>
      </w:r>
    </w:p>
    <w:p w14:paraId="077D47C0" w14:textId="77777777" w:rsidR="000F055F" w:rsidRPr="000F055F" w:rsidRDefault="000F055F" w:rsidP="000F055F">
      <w:pPr>
        <w:pStyle w:val="ListParagraph"/>
        <w:spacing w:after="0" w:line="480" w:lineRule="auto"/>
        <w:ind w:left="1440"/>
        <w:jc w:val="both"/>
        <w:rPr>
          <w:rFonts w:ascii="Arial" w:eastAsia="Times New Roman" w:hAnsi="Arial" w:cs="Times New Roman"/>
          <w:i/>
          <w:iCs/>
          <w:sz w:val="20"/>
          <w:szCs w:val="20"/>
          <w:lang w:val="en-GB"/>
        </w:rPr>
      </w:pPr>
    </w:p>
    <w:p w14:paraId="152A48A0" w14:textId="78C35478" w:rsidR="00CE7061" w:rsidRDefault="00CE7061"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The full court in th</w:t>
      </w:r>
      <w:r w:rsidR="007C567F">
        <w:rPr>
          <w:rFonts w:ascii="Arial" w:eastAsia="Times New Roman" w:hAnsi="Arial" w:cs="Times New Roman"/>
          <w:sz w:val="24"/>
          <w:szCs w:val="24"/>
          <w:lang w:val="en-GB"/>
        </w:rPr>
        <w:t>at</w:t>
      </w:r>
      <w:r>
        <w:rPr>
          <w:rFonts w:ascii="Arial" w:eastAsia="Times New Roman" w:hAnsi="Arial" w:cs="Times New Roman"/>
          <w:sz w:val="24"/>
          <w:szCs w:val="24"/>
          <w:lang w:val="en-GB"/>
        </w:rPr>
        <w:t xml:space="preserve"> case</w:t>
      </w:r>
      <w:r w:rsidR="007C567F">
        <w:rPr>
          <w:rFonts w:ascii="Arial" w:eastAsia="Times New Roman" w:hAnsi="Arial" w:cs="Times New Roman"/>
          <w:sz w:val="24"/>
          <w:szCs w:val="24"/>
          <w:lang w:val="en-GB"/>
        </w:rPr>
        <w:t xml:space="preserve"> (</w:t>
      </w:r>
      <w:r w:rsidR="007C567F" w:rsidRPr="007C567F">
        <w:rPr>
          <w:rFonts w:ascii="Arial" w:eastAsia="Times New Roman" w:hAnsi="Arial" w:cs="Times New Roman"/>
          <w:i/>
          <w:iCs/>
          <w:sz w:val="24"/>
          <w:szCs w:val="24"/>
          <w:lang w:val="en-GB"/>
        </w:rPr>
        <w:t>Viljoen</w:t>
      </w:r>
      <w:r w:rsidR="007C567F">
        <w:rPr>
          <w:rFonts w:ascii="Arial" w:eastAsia="Times New Roman" w:hAnsi="Arial" w:cs="Times New Roman"/>
          <w:sz w:val="24"/>
          <w:szCs w:val="24"/>
          <w:lang w:val="en-GB"/>
        </w:rPr>
        <w:t>)</w:t>
      </w:r>
      <w:r>
        <w:rPr>
          <w:rFonts w:ascii="Arial" w:eastAsia="Times New Roman" w:hAnsi="Arial" w:cs="Times New Roman"/>
          <w:sz w:val="24"/>
          <w:szCs w:val="24"/>
          <w:lang w:val="en-GB"/>
        </w:rPr>
        <w:t xml:space="preserve"> was obviously in a much better position to resort to a lump sum award based on the evidence presented in that case, albeit limited. The </w:t>
      </w:r>
      <w:r w:rsidR="007C567F">
        <w:rPr>
          <w:rFonts w:ascii="Arial" w:eastAsia="Times New Roman" w:hAnsi="Arial" w:cs="Times New Roman"/>
          <w:sz w:val="24"/>
          <w:szCs w:val="24"/>
          <w:lang w:val="en-GB"/>
        </w:rPr>
        <w:t>fact</w:t>
      </w:r>
      <w:r>
        <w:rPr>
          <w:rFonts w:ascii="Arial" w:eastAsia="Times New Roman" w:hAnsi="Arial" w:cs="Times New Roman"/>
          <w:sz w:val="24"/>
          <w:szCs w:val="24"/>
          <w:lang w:val="en-GB"/>
        </w:rPr>
        <w:t xml:space="preserve"> of this case is clearly distinguishable</w:t>
      </w:r>
      <w:r w:rsidR="007C567F">
        <w:rPr>
          <w:rFonts w:ascii="Arial" w:eastAsia="Times New Roman" w:hAnsi="Arial" w:cs="Times New Roman"/>
          <w:sz w:val="24"/>
          <w:szCs w:val="24"/>
          <w:lang w:val="en-GB"/>
        </w:rPr>
        <w:t xml:space="preserve"> and does not conform to an actual award being made. There is no evidence of a pecuniary loss at all in this instance. The Plaintiff’s case was also one of an actual loss as opposed to a loss of earning capacity.</w:t>
      </w:r>
      <w:r>
        <w:rPr>
          <w:rFonts w:ascii="Arial" w:eastAsia="Times New Roman" w:hAnsi="Arial" w:cs="Times New Roman"/>
          <w:sz w:val="24"/>
          <w:szCs w:val="24"/>
          <w:lang w:val="en-GB"/>
        </w:rPr>
        <w:t xml:space="preserve"> </w:t>
      </w:r>
    </w:p>
    <w:p w14:paraId="5CBB21CC" w14:textId="4F19E859" w:rsidR="00CE7061" w:rsidRDefault="00CE7061" w:rsidP="00CE7061">
      <w:pPr>
        <w:pStyle w:val="ListParagraph"/>
        <w:spacing w:after="0" w:line="480" w:lineRule="auto"/>
        <w:ind w:left="360"/>
        <w:jc w:val="both"/>
        <w:rPr>
          <w:rFonts w:ascii="Arial" w:eastAsia="Times New Roman" w:hAnsi="Arial" w:cs="Times New Roman"/>
          <w:sz w:val="24"/>
          <w:szCs w:val="24"/>
          <w:lang w:val="en-GB"/>
        </w:rPr>
      </w:pPr>
    </w:p>
    <w:p w14:paraId="085F39F5" w14:textId="57C2B0D7" w:rsidR="00CE7061" w:rsidRPr="00CE7061" w:rsidRDefault="00CE7061"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lastRenderedPageBreak/>
        <w:t>The Plaintiff ask</w:t>
      </w:r>
      <w:r w:rsidR="00BA447D">
        <w:rPr>
          <w:rFonts w:ascii="Arial" w:eastAsia="Times New Roman" w:hAnsi="Arial" w:cs="Times New Roman"/>
          <w:sz w:val="24"/>
          <w:szCs w:val="24"/>
          <w:lang w:val="en-GB"/>
        </w:rPr>
        <w:t>ed</w:t>
      </w:r>
      <w:r>
        <w:rPr>
          <w:rFonts w:ascii="Arial" w:eastAsia="Times New Roman" w:hAnsi="Arial" w:cs="Times New Roman"/>
          <w:sz w:val="24"/>
          <w:szCs w:val="24"/>
          <w:lang w:val="en-GB"/>
        </w:rPr>
        <w:t xml:space="preserve"> the court to make an award on loss of income and not for an award in respect of a loss of earning capacity. </w:t>
      </w:r>
      <w:r w:rsidRPr="00CE7061">
        <w:rPr>
          <w:rFonts w:ascii="Arial" w:eastAsia="Calibri" w:hAnsi="Arial" w:cs="Arial"/>
          <w:sz w:val="24"/>
          <w:szCs w:val="24"/>
        </w:rPr>
        <w:t>Although inextricably connected, the concepts of loss of income and loss of earning capacity are two different concepts.</w:t>
      </w:r>
      <w:r w:rsidRPr="00CE7061">
        <w:rPr>
          <w:rFonts w:ascii="Arial" w:eastAsia="Calibri" w:hAnsi="Arial" w:cs="Arial"/>
          <w:sz w:val="24"/>
          <w:szCs w:val="24"/>
          <w:vertAlign w:val="superscript"/>
        </w:rPr>
        <w:footnoteReference w:id="70"/>
      </w:r>
    </w:p>
    <w:p w14:paraId="483F33B6" w14:textId="77777777" w:rsidR="00CE7061" w:rsidRPr="00CE7061" w:rsidRDefault="00CE7061" w:rsidP="00CE7061">
      <w:pPr>
        <w:pStyle w:val="ListParagraph"/>
        <w:rPr>
          <w:rFonts w:ascii="Arial" w:eastAsia="Calibri" w:hAnsi="Arial" w:cs="Arial"/>
          <w:sz w:val="24"/>
          <w:szCs w:val="24"/>
        </w:rPr>
      </w:pPr>
    </w:p>
    <w:p w14:paraId="7BBE55E4" w14:textId="73419961" w:rsidR="000F055F" w:rsidRPr="00CE7061" w:rsidRDefault="00CE7061" w:rsidP="00AF6DDF">
      <w:pPr>
        <w:pStyle w:val="ListParagraph"/>
        <w:numPr>
          <w:ilvl w:val="0"/>
          <w:numId w:val="3"/>
        </w:numPr>
        <w:spacing w:after="0" w:line="480" w:lineRule="auto"/>
        <w:jc w:val="both"/>
        <w:rPr>
          <w:rFonts w:ascii="Arial" w:eastAsia="Times New Roman" w:hAnsi="Arial" w:cs="Times New Roman"/>
          <w:sz w:val="24"/>
          <w:szCs w:val="24"/>
          <w:lang w:val="en-GB"/>
        </w:rPr>
      </w:pPr>
      <w:r w:rsidRPr="00CE7061">
        <w:rPr>
          <w:rFonts w:ascii="Arial" w:eastAsia="Calibri" w:hAnsi="Arial" w:cs="Arial"/>
          <w:sz w:val="24"/>
          <w:szCs w:val="24"/>
        </w:rPr>
        <w:t>Earning capacity is part of a person patrimony, and the capacity can only pro</w:t>
      </w:r>
      <w:r w:rsidR="00BA447D">
        <w:rPr>
          <w:rFonts w:ascii="Arial" w:eastAsia="Calibri" w:hAnsi="Arial" w:cs="Arial"/>
          <w:sz w:val="24"/>
          <w:szCs w:val="24"/>
        </w:rPr>
        <w:t>ve</w:t>
      </w:r>
      <w:r w:rsidRPr="00CE7061">
        <w:rPr>
          <w:rFonts w:ascii="Arial" w:eastAsia="Calibri" w:hAnsi="Arial" w:cs="Arial"/>
          <w:sz w:val="24"/>
          <w:szCs w:val="24"/>
        </w:rPr>
        <w:t xml:space="preserve"> to have been lowered, and damages quantified in accordance, by proving an actual loss of income.</w:t>
      </w:r>
      <w:r w:rsidRPr="00CE7061">
        <w:rPr>
          <w:vertAlign w:val="superscript"/>
        </w:rPr>
        <w:footnoteReference w:id="71"/>
      </w:r>
    </w:p>
    <w:p w14:paraId="65B854F8" w14:textId="77777777" w:rsidR="00CE7061" w:rsidRPr="00CE7061" w:rsidRDefault="00CE7061" w:rsidP="00CE7061">
      <w:pPr>
        <w:pStyle w:val="ListParagraph"/>
        <w:rPr>
          <w:rFonts w:ascii="Arial" w:eastAsia="Times New Roman" w:hAnsi="Arial" w:cs="Times New Roman"/>
          <w:sz w:val="24"/>
          <w:szCs w:val="24"/>
          <w:lang w:val="en-GB"/>
        </w:rPr>
      </w:pPr>
    </w:p>
    <w:p w14:paraId="02CE75AB" w14:textId="77777777" w:rsidR="00CE7061" w:rsidRPr="007C567F" w:rsidRDefault="00CE7061" w:rsidP="00AF6DDF">
      <w:pPr>
        <w:pStyle w:val="ListParagraph"/>
        <w:numPr>
          <w:ilvl w:val="0"/>
          <w:numId w:val="3"/>
        </w:numPr>
        <w:spacing w:after="0" w:line="480" w:lineRule="auto"/>
        <w:jc w:val="both"/>
        <w:rPr>
          <w:rFonts w:ascii="Arial" w:eastAsia="Times New Roman" w:hAnsi="Arial" w:cs="Times New Roman"/>
          <w:sz w:val="24"/>
          <w:szCs w:val="24"/>
          <w:lang w:val="en-GB"/>
        </w:rPr>
      </w:pPr>
      <w:r w:rsidRPr="00CE7061">
        <w:rPr>
          <w:rFonts w:ascii="Arial" w:eastAsia="Calibri" w:hAnsi="Arial" w:cs="Arial"/>
          <w:sz w:val="24"/>
          <w:szCs w:val="24"/>
        </w:rPr>
        <w:t>Where both of these losses have been shown to exist, the claim for one becomes a claim for the other and they are interchangeable.</w:t>
      </w:r>
      <w:r w:rsidRPr="00CE7061">
        <w:rPr>
          <w:rFonts w:ascii="Arial" w:eastAsia="Calibri" w:hAnsi="Arial" w:cs="Arial"/>
          <w:sz w:val="24"/>
          <w:szCs w:val="24"/>
          <w:vertAlign w:val="superscript"/>
        </w:rPr>
        <w:footnoteReference w:id="72"/>
      </w:r>
      <w:r w:rsidRPr="00CE7061">
        <w:rPr>
          <w:rFonts w:ascii="Arial" w:eastAsia="Calibri" w:hAnsi="Arial" w:cs="Arial"/>
          <w:sz w:val="24"/>
          <w:szCs w:val="24"/>
        </w:rPr>
        <w:t xml:space="preserve"> In </w:t>
      </w:r>
      <w:r w:rsidRPr="00CE7061">
        <w:rPr>
          <w:rFonts w:ascii="Arial" w:eastAsia="Calibri" w:hAnsi="Arial" w:cs="Arial"/>
          <w:bCs/>
          <w:i/>
          <w:sz w:val="24"/>
          <w:szCs w:val="24"/>
        </w:rPr>
        <w:t>Bane and Others v D’AMbrosi</w:t>
      </w:r>
      <w:r w:rsidRPr="00CE7061">
        <w:rPr>
          <w:rFonts w:ascii="Arial" w:eastAsia="Calibri" w:hAnsi="Arial" w:cs="Arial"/>
          <w:bCs/>
          <w:sz w:val="24"/>
          <w:szCs w:val="24"/>
          <w:vertAlign w:val="superscript"/>
        </w:rPr>
        <w:footnoteReference w:id="73"/>
      </w:r>
      <w:r w:rsidRPr="00CE7061">
        <w:rPr>
          <w:rFonts w:ascii="Arial" w:eastAsia="Calibri" w:hAnsi="Arial" w:cs="Arial"/>
          <w:sz w:val="24"/>
          <w:szCs w:val="24"/>
        </w:rPr>
        <w:t xml:space="preserve"> the court held that the essence of computation of a claim for loss of earnings is to compensate the claimant for his loss of earning capacity. The Plaintiff must show a monetary loss before there will be damages to his patrimony, failing which his damage will be non-patrimonial loss.</w:t>
      </w:r>
      <w:r w:rsidRPr="00CE7061">
        <w:rPr>
          <w:rFonts w:ascii="Arial" w:eastAsia="Calibri" w:hAnsi="Arial" w:cs="Arial"/>
          <w:sz w:val="24"/>
          <w:szCs w:val="24"/>
          <w:vertAlign w:val="superscript"/>
        </w:rPr>
        <w:footnoteReference w:id="74"/>
      </w:r>
    </w:p>
    <w:p w14:paraId="21D84FC4" w14:textId="77777777" w:rsidR="007C567F" w:rsidRPr="007C567F" w:rsidRDefault="007C567F" w:rsidP="007C567F">
      <w:pPr>
        <w:pStyle w:val="ListParagraph"/>
        <w:rPr>
          <w:rFonts w:ascii="Arial" w:eastAsia="Times New Roman" w:hAnsi="Arial" w:cs="Times New Roman"/>
          <w:sz w:val="24"/>
          <w:szCs w:val="24"/>
          <w:lang w:val="en-GB"/>
        </w:rPr>
      </w:pPr>
    </w:p>
    <w:p w14:paraId="3E3567B5" w14:textId="36E0536C" w:rsidR="007C567F" w:rsidRPr="00CE7061" w:rsidRDefault="007C567F"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The Plaintiff’s claim for non-patrimonial loss or general damages will be postponed </w:t>
      </w:r>
      <w:r w:rsidRPr="007C567F">
        <w:rPr>
          <w:rFonts w:ascii="Arial" w:eastAsia="Times New Roman" w:hAnsi="Arial" w:cs="Times New Roman"/>
          <w:i/>
          <w:iCs/>
          <w:sz w:val="24"/>
          <w:szCs w:val="24"/>
          <w:lang w:val="en-GB"/>
        </w:rPr>
        <w:t>sine die</w:t>
      </w:r>
      <w:r>
        <w:rPr>
          <w:rFonts w:ascii="Arial" w:eastAsia="Times New Roman" w:hAnsi="Arial" w:cs="Times New Roman"/>
          <w:sz w:val="24"/>
          <w:szCs w:val="24"/>
          <w:lang w:val="en-GB"/>
        </w:rPr>
        <w:t xml:space="preserve"> and considered by a different court.</w:t>
      </w:r>
    </w:p>
    <w:p w14:paraId="4584DEA3" w14:textId="77777777" w:rsidR="00CE7061" w:rsidRPr="00CE7061" w:rsidRDefault="00CE7061" w:rsidP="00CE7061">
      <w:pPr>
        <w:pStyle w:val="ListParagraph"/>
        <w:rPr>
          <w:rFonts w:ascii="Arial" w:hAnsi="Arial" w:cs="Arial"/>
          <w:sz w:val="24"/>
          <w:szCs w:val="24"/>
        </w:rPr>
      </w:pPr>
    </w:p>
    <w:p w14:paraId="537BC6C3" w14:textId="2C6C01F5" w:rsidR="00CE7061" w:rsidRPr="00CE7061" w:rsidRDefault="00CE7061" w:rsidP="00AF6DDF">
      <w:pPr>
        <w:pStyle w:val="ListParagraph"/>
        <w:numPr>
          <w:ilvl w:val="0"/>
          <w:numId w:val="3"/>
        </w:numPr>
        <w:spacing w:after="0" w:line="480" w:lineRule="auto"/>
        <w:jc w:val="both"/>
        <w:rPr>
          <w:rFonts w:ascii="Arial" w:eastAsia="Times New Roman" w:hAnsi="Arial" w:cs="Times New Roman"/>
          <w:sz w:val="24"/>
          <w:szCs w:val="24"/>
          <w:lang w:val="en-GB"/>
        </w:rPr>
      </w:pPr>
      <w:r w:rsidRPr="00CE7061">
        <w:rPr>
          <w:rFonts w:ascii="Arial" w:hAnsi="Arial" w:cs="Arial"/>
          <w:sz w:val="24"/>
          <w:szCs w:val="24"/>
        </w:rPr>
        <w:lastRenderedPageBreak/>
        <w:t>Where a claimant cannot show</w:t>
      </w:r>
      <w:r w:rsidR="007C567F">
        <w:rPr>
          <w:rFonts w:ascii="Arial" w:hAnsi="Arial" w:cs="Arial"/>
          <w:sz w:val="24"/>
          <w:szCs w:val="24"/>
        </w:rPr>
        <w:t xml:space="preserve"> an actual</w:t>
      </w:r>
      <w:r w:rsidRPr="00CE7061">
        <w:rPr>
          <w:rFonts w:ascii="Arial" w:hAnsi="Arial" w:cs="Arial"/>
          <w:sz w:val="24"/>
          <w:szCs w:val="24"/>
        </w:rPr>
        <w:t xml:space="preserve"> loss of income (a pecuniary loss), his claim for general damages ought to increase.</w:t>
      </w:r>
      <w:r>
        <w:rPr>
          <w:rStyle w:val="FootnoteReference"/>
          <w:rFonts w:ascii="Arial" w:hAnsi="Arial" w:cs="Arial"/>
          <w:sz w:val="24"/>
          <w:szCs w:val="24"/>
        </w:rPr>
        <w:footnoteReference w:id="75"/>
      </w:r>
      <w:r w:rsidRPr="00CE7061">
        <w:rPr>
          <w:rFonts w:ascii="Arial" w:hAnsi="Arial" w:cs="Arial"/>
          <w:sz w:val="24"/>
          <w:szCs w:val="24"/>
        </w:rPr>
        <w:t xml:space="preserve"> In short then, for any patrimonial claim of this kind, the Plaintiff must show a loss of earning capacity and an actual patrimonial loss as a result of the loss of earning capacity, thereby allowing the claimant to claim either loss </w:t>
      </w:r>
      <w:r w:rsidR="00BA447D">
        <w:rPr>
          <w:rFonts w:ascii="Arial" w:hAnsi="Arial" w:cs="Arial"/>
          <w:sz w:val="24"/>
          <w:szCs w:val="24"/>
        </w:rPr>
        <w:t>o</w:t>
      </w:r>
      <w:r w:rsidRPr="00CE7061">
        <w:rPr>
          <w:rFonts w:ascii="Arial" w:hAnsi="Arial" w:cs="Arial"/>
          <w:sz w:val="24"/>
          <w:szCs w:val="24"/>
        </w:rPr>
        <w:t>f income or loss of earning capacity.</w:t>
      </w:r>
      <w:r>
        <w:rPr>
          <w:rStyle w:val="FootnoteReference"/>
          <w:rFonts w:ascii="Arial" w:hAnsi="Arial" w:cs="Arial"/>
          <w:sz w:val="24"/>
          <w:szCs w:val="24"/>
        </w:rPr>
        <w:footnoteReference w:id="76"/>
      </w:r>
    </w:p>
    <w:p w14:paraId="4E85065F" w14:textId="77777777" w:rsidR="00CE7061" w:rsidRPr="00CE7061" w:rsidRDefault="00CE7061" w:rsidP="00CE7061">
      <w:pPr>
        <w:pStyle w:val="ListParagraph"/>
        <w:rPr>
          <w:rFonts w:ascii="Arial" w:hAnsi="Arial" w:cs="Arial"/>
          <w:sz w:val="24"/>
          <w:szCs w:val="24"/>
        </w:rPr>
      </w:pPr>
    </w:p>
    <w:p w14:paraId="4787F05F" w14:textId="7F8A7DE3" w:rsidR="00CE7061" w:rsidRPr="00CE7061" w:rsidRDefault="00CE7061" w:rsidP="00AF6DDF">
      <w:pPr>
        <w:pStyle w:val="ListParagraph"/>
        <w:numPr>
          <w:ilvl w:val="0"/>
          <w:numId w:val="3"/>
        </w:numPr>
        <w:spacing w:after="0" w:line="480" w:lineRule="auto"/>
        <w:jc w:val="both"/>
        <w:rPr>
          <w:rFonts w:ascii="Arial" w:eastAsia="Times New Roman" w:hAnsi="Arial" w:cs="Times New Roman"/>
          <w:sz w:val="24"/>
          <w:szCs w:val="24"/>
          <w:lang w:val="en-GB"/>
        </w:rPr>
      </w:pPr>
      <w:r w:rsidRPr="00CE7061">
        <w:rPr>
          <w:rFonts w:ascii="Arial" w:hAnsi="Arial" w:cs="Arial"/>
          <w:sz w:val="24"/>
          <w:szCs w:val="24"/>
        </w:rPr>
        <w:t xml:space="preserve">However a person cannot claim for loss of earning capacity </w:t>
      </w:r>
      <w:r w:rsidR="00BA447D">
        <w:rPr>
          <w:rFonts w:ascii="Arial" w:hAnsi="Arial" w:cs="Arial"/>
          <w:sz w:val="24"/>
          <w:szCs w:val="24"/>
        </w:rPr>
        <w:t>which</w:t>
      </w:r>
      <w:r w:rsidRPr="00CE7061">
        <w:rPr>
          <w:rFonts w:ascii="Arial" w:hAnsi="Arial" w:cs="Arial"/>
          <w:sz w:val="24"/>
          <w:szCs w:val="24"/>
        </w:rPr>
        <w:t xml:space="preserve"> would not relate to an actual loss of income.</w:t>
      </w:r>
      <w:r>
        <w:rPr>
          <w:rStyle w:val="FootnoteReference"/>
          <w:rFonts w:ascii="Arial" w:hAnsi="Arial" w:cs="Arial"/>
          <w:sz w:val="24"/>
          <w:szCs w:val="24"/>
        </w:rPr>
        <w:footnoteReference w:id="77"/>
      </w:r>
      <w:r w:rsidRPr="00CE7061">
        <w:rPr>
          <w:rFonts w:ascii="Arial" w:hAnsi="Arial" w:cs="Arial"/>
          <w:sz w:val="24"/>
          <w:szCs w:val="24"/>
        </w:rPr>
        <w:t xml:space="preserve">  A claimant must first establish a patrimonial loss, through some form of formula that his loss of earning capacity will lead to an actual loss of income</w:t>
      </w:r>
      <w:r>
        <w:rPr>
          <w:rFonts w:ascii="Arial" w:hAnsi="Arial" w:cs="Arial"/>
          <w:sz w:val="24"/>
          <w:szCs w:val="24"/>
        </w:rPr>
        <w:t>.</w:t>
      </w:r>
      <w:r>
        <w:rPr>
          <w:rStyle w:val="FootnoteReference"/>
          <w:rFonts w:ascii="Arial" w:hAnsi="Arial" w:cs="Arial"/>
          <w:sz w:val="24"/>
          <w:szCs w:val="24"/>
        </w:rPr>
        <w:footnoteReference w:id="78"/>
      </w:r>
      <w:r w:rsidRPr="00CE7061">
        <w:rPr>
          <w:rFonts w:ascii="Arial" w:hAnsi="Arial" w:cs="Arial"/>
          <w:b/>
          <w:sz w:val="24"/>
          <w:szCs w:val="24"/>
        </w:rPr>
        <w:t xml:space="preserve"> </w:t>
      </w:r>
      <w:r w:rsidRPr="00CE7061">
        <w:rPr>
          <w:rFonts w:ascii="Arial" w:hAnsi="Arial" w:cs="Arial"/>
          <w:sz w:val="24"/>
          <w:szCs w:val="24"/>
        </w:rPr>
        <w:t xml:space="preserve">The general principle applicable in this regard has been succinctly stated in </w:t>
      </w:r>
      <w:r w:rsidRPr="00CE7061">
        <w:rPr>
          <w:rFonts w:ascii="Arial" w:hAnsi="Arial" w:cs="Arial"/>
          <w:b/>
          <w:i/>
          <w:sz w:val="24"/>
          <w:szCs w:val="24"/>
        </w:rPr>
        <w:t>Prinsloo v RAF</w:t>
      </w:r>
      <w:r>
        <w:rPr>
          <w:rStyle w:val="FootnoteReference"/>
          <w:rFonts w:ascii="Arial" w:hAnsi="Arial" w:cs="Arial"/>
          <w:sz w:val="24"/>
          <w:szCs w:val="24"/>
        </w:rPr>
        <w:footnoteReference w:id="79"/>
      </w:r>
      <w:r w:rsidRPr="00CE7061">
        <w:rPr>
          <w:rFonts w:ascii="Arial" w:hAnsi="Arial" w:cs="Arial"/>
          <w:sz w:val="24"/>
          <w:szCs w:val="24"/>
        </w:rPr>
        <w:t xml:space="preserve"> with reference to the leading cases of </w:t>
      </w:r>
      <w:r w:rsidRPr="00CE7061">
        <w:rPr>
          <w:rFonts w:ascii="Arial" w:hAnsi="Arial" w:cs="Arial"/>
          <w:b/>
          <w:i/>
          <w:sz w:val="24"/>
          <w:szCs w:val="24"/>
        </w:rPr>
        <w:t>Santam Versekeringsmaatskappy v Byleveld</w:t>
      </w:r>
      <w:r>
        <w:rPr>
          <w:rStyle w:val="FootnoteReference"/>
          <w:rFonts w:ascii="Arial" w:hAnsi="Arial" w:cs="Arial"/>
          <w:sz w:val="24"/>
          <w:szCs w:val="24"/>
        </w:rPr>
        <w:footnoteReference w:id="80"/>
      </w:r>
      <w:r w:rsidRPr="00CE7061">
        <w:rPr>
          <w:rFonts w:ascii="Arial" w:hAnsi="Arial" w:cs="Arial"/>
          <w:sz w:val="24"/>
          <w:szCs w:val="24"/>
        </w:rPr>
        <w:t xml:space="preserve"> and </w:t>
      </w:r>
      <w:r w:rsidRPr="00CE7061">
        <w:rPr>
          <w:rFonts w:ascii="Arial" w:hAnsi="Arial" w:cs="Arial"/>
          <w:b/>
          <w:i/>
          <w:sz w:val="24"/>
          <w:szCs w:val="24"/>
        </w:rPr>
        <w:t>Dippenaar v Shield Insurance</w:t>
      </w:r>
      <w:r>
        <w:rPr>
          <w:rStyle w:val="FootnoteReference"/>
          <w:rFonts w:ascii="Arial" w:hAnsi="Arial" w:cs="Arial"/>
          <w:sz w:val="24"/>
          <w:szCs w:val="24"/>
        </w:rPr>
        <w:footnoteReference w:id="81"/>
      </w:r>
      <w:r w:rsidRPr="00CE7061">
        <w:rPr>
          <w:rFonts w:ascii="Arial" w:hAnsi="Arial" w:cs="Arial"/>
          <w:sz w:val="24"/>
          <w:szCs w:val="24"/>
        </w:rPr>
        <w:t xml:space="preserve"> as follows:</w:t>
      </w:r>
    </w:p>
    <w:p w14:paraId="67D23EDA" w14:textId="07C2190D" w:rsidR="00CE7061" w:rsidRPr="00CE7061" w:rsidRDefault="00CE7061" w:rsidP="00CE7061">
      <w:pPr>
        <w:spacing w:line="480" w:lineRule="auto"/>
        <w:ind w:left="720"/>
        <w:jc w:val="both"/>
        <w:rPr>
          <w:rFonts w:ascii="Arial" w:hAnsi="Arial" w:cs="Arial"/>
          <w:i/>
          <w:color w:val="242121"/>
          <w:lang w:val="en-GB"/>
        </w:rPr>
      </w:pPr>
      <w:r w:rsidRPr="00420160">
        <w:rPr>
          <w:rFonts w:ascii="Verdana" w:hAnsi="Verdana"/>
          <w:i/>
          <w:color w:val="242121"/>
        </w:rPr>
        <w:t>‘</w:t>
      </w:r>
      <w:r w:rsidRPr="00420160">
        <w:rPr>
          <w:rFonts w:ascii="Arial" w:hAnsi="Arial" w:cs="Arial"/>
          <w:i/>
          <w:color w:val="242121"/>
          <w:lang w:val="en-GB"/>
        </w:rPr>
        <w:t xml:space="preserve">A person's all-round capacity to earn money consists, </w:t>
      </w:r>
      <w:r w:rsidRPr="00420160">
        <w:rPr>
          <w:rFonts w:ascii="Arial" w:hAnsi="Arial" w:cs="Arial"/>
          <w:i/>
          <w:iCs/>
          <w:color w:val="242121"/>
          <w:lang w:val="en-GB"/>
        </w:rPr>
        <w:t>inter</w:t>
      </w:r>
      <w:r w:rsidRPr="00420160">
        <w:rPr>
          <w:rFonts w:ascii="Arial" w:hAnsi="Arial" w:cs="Arial"/>
          <w:i/>
          <w:color w:val="242121"/>
          <w:lang w:val="en-GB"/>
        </w:rPr>
        <w:t xml:space="preserve"> </w:t>
      </w:r>
      <w:r w:rsidRPr="00420160">
        <w:rPr>
          <w:rFonts w:ascii="Arial" w:hAnsi="Arial" w:cs="Arial"/>
          <w:i/>
          <w:iCs/>
          <w:color w:val="242121"/>
          <w:lang w:val="en-GB"/>
        </w:rPr>
        <w:t>alia</w:t>
      </w:r>
      <w:r w:rsidRPr="00420160">
        <w:rPr>
          <w:rFonts w:ascii="Arial" w:hAnsi="Arial" w:cs="Arial"/>
          <w:i/>
          <w:color w:val="242121"/>
          <w:lang w:val="en-GB"/>
        </w:rPr>
        <w:t xml:space="preserve">, of an individual's talents, skill, including his/her present position and plans for the future, and, of course, external </w:t>
      </w:r>
      <w:r w:rsidRPr="00420160">
        <w:rPr>
          <w:rFonts w:ascii="Arial" w:hAnsi="Arial" w:cs="Arial"/>
          <w:i/>
          <w:color w:val="242121"/>
          <w:lang w:val="en-GB"/>
        </w:rPr>
        <w:lastRenderedPageBreak/>
        <w:t xml:space="preserve">factors over which a person has no control, for instance, </w:t>
      </w:r>
      <w:r w:rsidRPr="00420160">
        <w:rPr>
          <w:rFonts w:ascii="Arial" w:hAnsi="Arial" w:cs="Arial"/>
          <w:i/>
          <w:iCs/>
          <w:color w:val="242121"/>
          <w:lang w:val="en-GB"/>
        </w:rPr>
        <w:t>in casu</w:t>
      </w:r>
      <w:r w:rsidRPr="00420160">
        <w:rPr>
          <w:rFonts w:ascii="Arial" w:hAnsi="Arial" w:cs="Arial"/>
          <w:i/>
          <w:color w:val="242121"/>
          <w:lang w:val="en-GB"/>
        </w:rPr>
        <w:t xml:space="preserve">, considerations of equity. A court has to construct and compare two hypothetical models of the plaintiff's earnings after the date on which he/she sustained the injury. </w:t>
      </w:r>
      <w:r w:rsidRPr="00420160">
        <w:rPr>
          <w:rFonts w:ascii="Arial" w:hAnsi="Arial" w:cs="Arial"/>
          <w:i/>
          <w:iCs/>
          <w:color w:val="242121"/>
          <w:lang w:val="en-GB"/>
        </w:rPr>
        <w:t>In casu,</w:t>
      </w:r>
      <w:r w:rsidRPr="00420160">
        <w:rPr>
          <w:rFonts w:ascii="Arial" w:hAnsi="Arial" w:cs="Arial"/>
          <w:i/>
          <w:color w:val="242121"/>
          <w:lang w:val="en-GB"/>
        </w:rPr>
        <w:t xml:space="preserve"> the court must calculate, on the one hand, the total present monetary value of all that the plaintiff would have been capable of bringing into her patrimony had she not been injured, and, on the other, the total present monetary value of all that the plaintiff would be able to bring into her patrimony whilst handicapped by her injury. When the two hypothetical totals have been compared, the shortfall in value (if any) is the extent of the patrimonial loss. … At the same time the evidence may establish that an injury may in fact have no appreciable effect on earning capacity, in which event the damage under this head would be nil.’</w:t>
      </w:r>
    </w:p>
    <w:p w14:paraId="1519BE4C" w14:textId="77777777" w:rsidR="00CE7061" w:rsidRDefault="00CE7061" w:rsidP="00CE7061">
      <w:pPr>
        <w:spacing w:line="480" w:lineRule="auto"/>
        <w:jc w:val="both"/>
        <w:rPr>
          <w:rFonts w:ascii="Arial" w:hAnsi="Arial" w:cs="Arial"/>
          <w:sz w:val="24"/>
          <w:szCs w:val="24"/>
        </w:rPr>
      </w:pPr>
    </w:p>
    <w:p w14:paraId="583B1781" w14:textId="77777777" w:rsidR="00DE3C1D" w:rsidRDefault="00CE7061" w:rsidP="00AF6DDF">
      <w:pPr>
        <w:pStyle w:val="ListParagraph"/>
        <w:numPr>
          <w:ilvl w:val="0"/>
          <w:numId w:val="3"/>
        </w:numPr>
        <w:spacing w:line="480" w:lineRule="auto"/>
        <w:jc w:val="both"/>
        <w:rPr>
          <w:rFonts w:ascii="Arial" w:hAnsi="Arial" w:cs="Arial"/>
          <w:sz w:val="24"/>
          <w:szCs w:val="24"/>
        </w:rPr>
      </w:pPr>
      <w:r w:rsidRPr="00CE7061">
        <w:rPr>
          <w:rFonts w:ascii="Arial" w:hAnsi="Arial" w:cs="Arial"/>
          <w:sz w:val="24"/>
          <w:szCs w:val="24"/>
        </w:rPr>
        <w:t>The mere fact of a physical disability</w:t>
      </w:r>
      <w:r>
        <w:rPr>
          <w:rFonts w:ascii="Arial" w:hAnsi="Arial" w:cs="Arial"/>
          <w:sz w:val="24"/>
          <w:szCs w:val="24"/>
        </w:rPr>
        <w:t xml:space="preserve"> and </w:t>
      </w:r>
      <w:r w:rsidR="007B6FBA">
        <w:rPr>
          <w:rFonts w:ascii="Arial" w:hAnsi="Arial" w:cs="Arial"/>
          <w:sz w:val="24"/>
          <w:szCs w:val="24"/>
        </w:rPr>
        <w:t>accident-related</w:t>
      </w:r>
      <w:r>
        <w:rPr>
          <w:rFonts w:ascii="Arial" w:hAnsi="Arial" w:cs="Arial"/>
          <w:sz w:val="24"/>
          <w:szCs w:val="24"/>
        </w:rPr>
        <w:t xml:space="preserve"> sequelae</w:t>
      </w:r>
      <w:r w:rsidRPr="00CE7061">
        <w:rPr>
          <w:rFonts w:ascii="Arial" w:hAnsi="Arial" w:cs="Arial"/>
          <w:sz w:val="24"/>
          <w:szCs w:val="24"/>
        </w:rPr>
        <w:t xml:space="preserve"> does not necessar</w:t>
      </w:r>
      <w:bookmarkStart w:id="8" w:name="_GoBack"/>
      <w:bookmarkEnd w:id="8"/>
      <w:r w:rsidRPr="00CE7061">
        <w:rPr>
          <w:rFonts w:ascii="Arial" w:hAnsi="Arial" w:cs="Arial"/>
          <w:sz w:val="24"/>
          <w:szCs w:val="24"/>
        </w:rPr>
        <w:t>ily reduce the estate of the claimant.</w:t>
      </w:r>
      <w:r>
        <w:rPr>
          <w:rStyle w:val="FootnoteReference"/>
          <w:rFonts w:ascii="Arial" w:hAnsi="Arial" w:cs="Arial"/>
          <w:sz w:val="24"/>
          <w:szCs w:val="24"/>
        </w:rPr>
        <w:footnoteReference w:id="82"/>
      </w:r>
      <w:r w:rsidRPr="00CE7061">
        <w:rPr>
          <w:rFonts w:ascii="Arial" w:hAnsi="Arial" w:cs="Arial"/>
          <w:sz w:val="24"/>
          <w:szCs w:val="24"/>
        </w:rPr>
        <w:t xml:space="preserve"> </w:t>
      </w:r>
    </w:p>
    <w:p w14:paraId="4DC17C68" w14:textId="77777777" w:rsidR="00DE3C1D" w:rsidRDefault="00DE3C1D" w:rsidP="00DE3C1D">
      <w:pPr>
        <w:pStyle w:val="ListParagraph"/>
        <w:spacing w:line="480" w:lineRule="auto"/>
        <w:ind w:left="360"/>
        <w:jc w:val="both"/>
        <w:rPr>
          <w:rFonts w:ascii="Arial" w:hAnsi="Arial" w:cs="Arial"/>
          <w:sz w:val="24"/>
          <w:szCs w:val="24"/>
        </w:rPr>
      </w:pPr>
    </w:p>
    <w:p w14:paraId="5359C276" w14:textId="4F06974B" w:rsidR="00AA2D97" w:rsidRDefault="00CE7061" w:rsidP="00AF6DDF">
      <w:pPr>
        <w:pStyle w:val="ListParagraph"/>
        <w:numPr>
          <w:ilvl w:val="0"/>
          <w:numId w:val="3"/>
        </w:numPr>
        <w:spacing w:line="480" w:lineRule="auto"/>
        <w:jc w:val="both"/>
        <w:rPr>
          <w:rFonts w:ascii="Arial" w:hAnsi="Arial" w:cs="Arial"/>
          <w:sz w:val="24"/>
          <w:szCs w:val="24"/>
        </w:rPr>
      </w:pPr>
      <w:r w:rsidRPr="00CE7061">
        <w:rPr>
          <w:rFonts w:ascii="Arial" w:hAnsi="Arial" w:cs="Arial"/>
          <w:sz w:val="24"/>
          <w:szCs w:val="24"/>
        </w:rPr>
        <w:t>In assessing the claim for loss of earning capacity, the court has a wide discretion</w:t>
      </w:r>
      <w:r>
        <w:rPr>
          <w:rStyle w:val="FootnoteReference"/>
          <w:rFonts w:ascii="Arial" w:hAnsi="Arial" w:cs="Arial"/>
          <w:sz w:val="24"/>
          <w:szCs w:val="24"/>
        </w:rPr>
        <w:footnoteReference w:id="83"/>
      </w:r>
      <w:r w:rsidRPr="00CE7061">
        <w:rPr>
          <w:rFonts w:ascii="Arial" w:hAnsi="Arial" w:cs="Arial"/>
          <w:sz w:val="24"/>
          <w:szCs w:val="24"/>
        </w:rPr>
        <w:t xml:space="preserve"> and each case must be considered on its own merits and available evidence to establish if there is indeed a pecuniary loss.</w:t>
      </w:r>
    </w:p>
    <w:p w14:paraId="17D88D53" w14:textId="77777777" w:rsidR="00BA447D" w:rsidRPr="00DE3C1D" w:rsidRDefault="00BA447D" w:rsidP="00BA447D">
      <w:pPr>
        <w:pStyle w:val="ListParagraph"/>
        <w:spacing w:line="480" w:lineRule="auto"/>
        <w:ind w:left="360"/>
        <w:jc w:val="both"/>
        <w:rPr>
          <w:rFonts w:ascii="Arial" w:hAnsi="Arial" w:cs="Arial"/>
          <w:sz w:val="24"/>
          <w:szCs w:val="24"/>
        </w:rPr>
      </w:pPr>
    </w:p>
    <w:p w14:paraId="32971A79" w14:textId="77777777" w:rsidR="007C567F" w:rsidRDefault="00AA2D97"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I am not convinced that the Plaintiff had proven such a pecuniary loss. </w:t>
      </w:r>
    </w:p>
    <w:p w14:paraId="69DF561E" w14:textId="77777777" w:rsidR="007C567F" w:rsidRPr="007C567F" w:rsidRDefault="007C567F" w:rsidP="007C567F">
      <w:pPr>
        <w:pStyle w:val="ListParagraph"/>
        <w:rPr>
          <w:rFonts w:ascii="Arial" w:eastAsia="Times New Roman" w:hAnsi="Arial" w:cs="Times New Roman"/>
          <w:sz w:val="24"/>
          <w:szCs w:val="24"/>
          <w:lang w:val="en-GB"/>
        </w:rPr>
      </w:pPr>
    </w:p>
    <w:p w14:paraId="7BF622A4" w14:textId="4693E3CD" w:rsidR="00CE7061" w:rsidRPr="007B6FBA" w:rsidRDefault="00AA2D97"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lastRenderedPageBreak/>
        <w:t xml:space="preserve">I would have granted an order of absolution of the instance but the Plaintiff did make out a case for future medical expenses and unlike </w:t>
      </w:r>
      <w:r w:rsidRPr="00AA2D97">
        <w:rPr>
          <w:rFonts w:ascii="Arial" w:eastAsia="Times New Roman" w:hAnsi="Arial" w:cs="Times New Roman"/>
          <w:i/>
          <w:iCs/>
          <w:sz w:val="24"/>
          <w:szCs w:val="24"/>
          <w:lang w:val="en-GB"/>
        </w:rPr>
        <w:t>Ntombela v Minister of Police</w:t>
      </w:r>
      <w:r>
        <w:rPr>
          <w:rStyle w:val="FootnoteReference"/>
          <w:rFonts w:ascii="Arial" w:eastAsia="Times New Roman" w:hAnsi="Arial" w:cs="Times New Roman"/>
          <w:sz w:val="24"/>
          <w:szCs w:val="24"/>
          <w:lang w:val="en-GB"/>
        </w:rPr>
        <w:footnoteReference w:id="84"/>
      </w:r>
      <w:r>
        <w:rPr>
          <w:rFonts w:ascii="Arial" w:eastAsia="Times New Roman" w:hAnsi="Arial" w:cs="Times New Roman"/>
          <w:sz w:val="24"/>
          <w:szCs w:val="24"/>
          <w:lang w:val="en-GB"/>
        </w:rPr>
        <w:t xml:space="preserve"> where the court granted absolution in respect of one claim but not another, a court cannot split individual heads of damages and grant absolution only in respect of one head of damages but not the other.</w:t>
      </w:r>
    </w:p>
    <w:p w14:paraId="4EBEE7E8" w14:textId="77777777" w:rsidR="000F055F" w:rsidRPr="000F055F" w:rsidRDefault="000F055F" w:rsidP="000F055F">
      <w:pPr>
        <w:pStyle w:val="ListParagraph"/>
        <w:rPr>
          <w:rFonts w:ascii="Arial" w:eastAsia="Times New Roman" w:hAnsi="Arial" w:cs="Times New Roman"/>
          <w:sz w:val="24"/>
          <w:szCs w:val="24"/>
          <w:lang w:val="en-GB"/>
        </w:rPr>
      </w:pPr>
    </w:p>
    <w:p w14:paraId="7BE3392C" w14:textId="77777777" w:rsidR="00AA2D97" w:rsidRDefault="00090181" w:rsidP="00AF6DDF">
      <w:pPr>
        <w:pStyle w:val="ListParagraph"/>
        <w:numPr>
          <w:ilvl w:val="0"/>
          <w:numId w:val="3"/>
        </w:numPr>
        <w:spacing w:after="0" w:line="480" w:lineRule="auto"/>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In the result, </w:t>
      </w:r>
      <w:r w:rsidR="000F055F">
        <w:rPr>
          <w:rFonts w:ascii="Arial" w:eastAsia="Times New Roman" w:hAnsi="Arial" w:cs="Times New Roman"/>
          <w:sz w:val="24"/>
          <w:szCs w:val="24"/>
          <w:lang w:val="en-GB"/>
        </w:rPr>
        <w:t>I make the following order:</w:t>
      </w:r>
    </w:p>
    <w:p w14:paraId="293ABD9D" w14:textId="77777777" w:rsidR="00AA2D97" w:rsidRDefault="00090181" w:rsidP="00AF6DDF">
      <w:pPr>
        <w:pStyle w:val="ListParagraph"/>
        <w:numPr>
          <w:ilvl w:val="1"/>
          <w:numId w:val="3"/>
        </w:numPr>
        <w:spacing w:after="0" w:line="480" w:lineRule="auto"/>
        <w:ind w:left="1418" w:hanging="851"/>
        <w:jc w:val="both"/>
        <w:rPr>
          <w:rFonts w:ascii="Arial" w:eastAsia="Times New Roman" w:hAnsi="Arial" w:cs="Times New Roman"/>
          <w:sz w:val="24"/>
          <w:szCs w:val="24"/>
          <w:lang w:val="en-GB"/>
        </w:rPr>
      </w:pPr>
      <w:r w:rsidRPr="00AA2D97">
        <w:rPr>
          <w:rFonts w:ascii="Arial" w:eastAsia="Times New Roman" w:hAnsi="Arial" w:cs="Times New Roman"/>
          <w:sz w:val="24"/>
          <w:szCs w:val="24"/>
          <w:lang w:val="en-GB"/>
        </w:rPr>
        <w:t xml:space="preserve">The Defendant is ordered to pay 100% of the Plaintiff’s proven or agreed damages. </w:t>
      </w:r>
    </w:p>
    <w:p w14:paraId="07BBEB8B" w14:textId="77777777" w:rsidR="00AA2D97" w:rsidRDefault="00090181" w:rsidP="00AF6DDF">
      <w:pPr>
        <w:pStyle w:val="ListParagraph"/>
        <w:numPr>
          <w:ilvl w:val="1"/>
          <w:numId w:val="3"/>
        </w:numPr>
        <w:spacing w:after="0" w:line="480" w:lineRule="auto"/>
        <w:ind w:left="1418" w:hanging="851"/>
        <w:jc w:val="both"/>
        <w:rPr>
          <w:rFonts w:ascii="Arial" w:eastAsia="Times New Roman" w:hAnsi="Arial" w:cs="Times New Roman"/>
          <w:sz w:val="24"/>
          <w:szCs w:val="24"/>
          <w:lang w:val="en-GB"/>
        </w:rPr>
      </w:pPr>
      <w:r w:rsidRPr="00AA2D97">
        <w:rPr>
          <w:rFonts w:ascii="Arial" w:eastAsia="Times New Roman" w:hAnsi="Arial" w:cs="Times New Roman"/>
          <w:sz w:val="24"/>
          <w:szCs w:val="24"/>
          <w:lang w:val="en-GB"/>
        </w:rPr>
        <w:t xml:space="preserve">The Defendant is ordered to provide the Plaintiff, within 10 days of this order, with a section 17(4)(a) undertaking, which adopts the words used in S17(4)(a) if Road Accident Fund Act 56 of 1996 (as amended). </w:t>
      </w:r>
    </w:p>
    <w:p w14:paraId="1515A8E4" w14:textId="0D44A459" w:rsidR="00AA2D97" w:rsidRDefault="00AA2D97" w:rsidP="00AF6DDF">
      <w:pPr>
        <w:pStyle w:val="ListParagraph"/>
        <w:numPr>
          <w:ilvl w:val="1"/>
          <w:numId w:val="3"/>
        </w:numPr>
        <w:spacing w:after="0" w:line="480" w:lineRule="auto"/>
        <w:ind w:left="1418" w:hanging="851"/>
        <w:jc w:val="both"/>
        <w:rPr>
          <w:rFonts w:ascii="Arial" w:eastAsia="Times New Roman" w:hAnsi="Arial" w:cs="Times New Roman"/>
          <w:sz w:val="24"/>
          <w:szCs w:val="24"/>
          <w:lang w:val="en-GB"/>
        </w:rPr>
      </w:pPr>
      <w:r>
        <w:rPr>
          <w:rFonts w:ascii="Arial" w:eastAsia="Times New Roman" w:hAnsi="Arial" w:cs="Times New Roman"/>
          <w:sz w:val="24"/>
          <w:szCs w:val="24"/>
          <w:lang w:val="en-GB"/>
        </w:rPr>
        <w:t>The Plaintiff’s claim for loss of past and future loss of income is dismissed.</w:t>
      </w:r>
    </w:p>
    <w:p w14:paraId="600CB990" w14:textId="77777777" w:rsidR="00AA2D97" w:rsidRDefault="00090181" w:rsidP="00AF6DDF">
      <w:pPr>
        <w:pStyle w:val="ListParagraph"/>
        <w:numPr>
          <w:ilvl w:val="1"/>
          <w:numId w:val="3"/>
        </w:numPr>
        <w:spacing w:after="0" w:line="480" w:lineRule="auto"/>
        <w:ind w:left="1418" w:hanging="851"/>
        <w:jc w:val="both"/>
        <w:rPr>
          <w:rFonts w:ascii="Arial" w:eastAsia="Times New Roman" w:hAnsi="Arial" w:cs="Times New Roman"/>
          <w:sz w:val="24"/>
          <w:szCs w:val="24"/>
          <w:lang w:val="en-GB"/>
        </w:rPr>
      </w:pPr>
      <w:r w:rsidRPr="00AA2D97">
        <w:rPr>
          <w:rFonts w:ascii="Arial" w:eastAsia="Times New Roman" w:hAnsi="Arial" w:cs="Times New Roman"/>
          <w:sz w:val="24"/>
          <w:szCs w:val="24"/>
          <w:lang w:val="en-GB"/>
        </w:rPr>
        <w:t xml:space="preserve">The Plaintiff’s claim for general damages is postponed </w:t>
      </w:r>
      <w:r w:rsidRPr="00AA2D97">
        <w:rPr>
          <w:rFonts w:ascii="Arial" w:eastAsia="Times New Roman" w:hAnsi="Arial" w:cs="Times New Roman"/>
          <w:i/>
          <w:iCs/>
          <w:sz w:val="24"/>
          <w:szCs w:val="24"/>
          <w:lang w:val="en-GB"/>
        </w:rPr>
        <w:t>sine die</w:t>
      </w:r>
      <w:r w:rsidRPr="00AA2D97">
        <w:rPr>
          <w:rFonts w:ascii="Arial" w:eastAsia="Times New Roman" w:hAnsi="Arial" w:cs="Times New Roman"/>
          <w:sz w:val="24"/>
          <w:szCs w:val="24"/>
          <w:lang w:val="en-GB"/>
        </w:rPr>
        <w:t>.</w:t>
      </w:r>
    </w:p>
    <w:p w14:paraId="33442388" w14:textId="661573EA" w:rsidR="00090181" w:rsidRPr="00AA2D97" w:rsidRDefault="00090181" w:rsidP="00AF6DDF">
      <w:pPr>
        <w:pStyle w:val="ListParagraph"/>
        <w:numPr>
          <w:ilvl w:val="1"/>
          <w:numId w:val="3"/>
        </w:numPr>
        <w:spacing w:after="0" w:line="480" w:lineRule="auto"/>
        <w:ind w:left="1418" w:hanging="851"/>
        <w:jc w:val="both"/>
        <w:rPr>
          <w:rFonts w:ascii="Arial" w:eastAsia="Times New Roman" w:hAnsi="Arial" w:cs="Times New Roman"/>
          <w:sz w:val="24"/>
          <w:szCs w:val="24"/>
          <w:lang w:val="en-GB"/>
        </w:rPr>
      </w:pPr>
      <w:r w:rsidRPr="00AA2D97">
        <w:rPr>
          <w:rFonts w:ascii="Arial" w:eastAsia="Times New Roman" w:hAnsi="Arial" w:cs="Times New Roman"/>
          <w:sz w:val="24"/>
          <w:szCs w:val="24"/>
          <w:lang w:val="en-GB"/>
        </w:rPr>
        <w:t xml:space="preserve">The Defendant is ordered to pay the Plaintiff’s party and party High Court costs, including the cost of experts employed and the cost of counsel. </w:t>
      </w:r>
    </w:p>
    <w:p w14:paraId="743CA6EF" w14:textId="77777777" w:rsidR="000F055F" w:rsidRPr="000F055F" w:rsidRDefault="000F055F" w:rsidP="000F055F">
      <w:pPr>
        <w:spacing w:after="0" w:line="480" w:lineRule="auto"/>
        <w:jc w:val="both"/>
        <w:rPr>
          <w:rFonts w:ascii="Arial" w:eastAsia="Times New Roman" w:hAnsi="Arial" w:cs="Times New Roman"/>
          <w:sz w:val="24"/>
          <w:szCs w:val="24"/>
          <w:lang w:val="en-GB"/>
        </w:rPr>
      </w:pPr>
    </w:p>
    <w:p w14:paraId="7D68DCFB" w14:textId="77777777" w:rsidR="002B3B52" w:rsidRPr="002B3B52" w:rsidRDefault="002B3B52" w:rsidP="002B3B52">
      <w:pPr>
        <w:spacing w:after="0" w:line="480" w:lineRule="auto"/>
        <w:jc w:val="both"/>
        <w:rPr>
          <w:rFonts w:ascii="Arial" w:eastAsia="Times New Roman" w:hAnsi="Arial" w:cs="Times New Roman"/>
          <w:sz w:val="24"/>
          <w:szCs w:val="24"/>
          <w:lang w:val="en-GB"/>
        </w:rPr>
      </w:pPr>
    </w:p>
    <w:p w14:paraId="212834D9" w14:textId="77777777" w:rsidR="000F055F" w:rsidRPr="00105042" w:rsidRDefault="000F055F" w:rsidP="000F055F">
      <w:pPr>
        <w:jc w:val="right"/>
        <w:rPr>
          <w:rFonts w:asciiTheme="minorBidi" w:hAnsiTheme="minorBidi"/>
          <w:sz w:val="24"/>
          <w:szCs w:val="24"/>
        </w:rPr>
      </w:pPr>
      <w:r w:rsidRPr="00105042">
        <w:rPr>
          <w:rFonts w:asciiTheme="minorBidi" w:hAnsiTheme="minorBidi"/>
          <w:sz w:val="24"/>
          <w:szCs w:val="24"/>
        </w:rPr>
        <w:t>FHH Kehrhahn</w:t>
      </w:r>
    </w:p>
    <w:p w14:paraId="1E802959" w14:textId="77777777" w:rsidR="000F055F" w:rsidRPr="00105042" w:rsidRDefault="000F055F" w:rsidP="000F055F">
      <w:pPr>
        <w:jc w:val="right"/>
        <w:rPr>
          <w:rFonts w:asciiTheme="minorBidi" w:hAnsiTheme="minorBidi"/>
          <w:sz w:val="24"/>
          <w:szCs w:val="24"/>
        </w:rPr>
      </w:pPr>
      <w:r w:rsidRPr="00105042">
        <w:rPr>
          <w:rFonts w:asciiTheme="minorBidi" w:hAnsiTheme="minorBidi"/>
          <w:sz w:val="24"/>
          <w:szCs w:val="24"/>
        </w:rPr>
        <w:t>Acting Judge of the High Court</w:t>
      </w:r>
    </w:p>
    <w:p w14:paraId="35BEFDDF" w14:textId="77777777" w:rsidR="000F055F" w:rsidRPr="00105042" w:rsidRDefault="000F055F" w:rsidP="000F055F">
      <w:pPr>
        <w:jc w:val="right"/>
        <w:rPr>
          <w:rFonts w:asciiTheme="minorBidi" w:hAnsiTheme="minorBidi"/>
          <w:sz w:val="24"/>
          <w:szCs w:val="24"/>
        </w:rPr>
      </w:pPr>
      <w:r w:rsidRPr="00105042">
        <w:rPr>
          <w:rFonts w:asciiTheme="minorBidi" w:hAnsiTheme="minorBidi"/>
          <w:sz w:val="24"/>
          <w:szCs w:val="24"/>
        </w:rPr>
        <w:t>Gauteng Division, Pretoria</w:t>
      </w:r>
    </w:p>
    <w:p w14:paraId="7B1E12E0" w14:textId="77777777" w:rsidR="000F055F" w:rsidRDefault="000F055F" w:rsidP="000F055F">
      <w:pPr>
        <w:tabs>
          <w:tab w:val="left" w:pos="4917"/>
        </w:tabs>
        <w:spacing w:after="0" w:line="360" w:lineRule="auto"/>
        <w:ind w:left="357"/>
        <w:rPr>
          <w:rFonts w:ascii="Arial" w:hAnsi="Arial" w:cs="Arial"/>
          <w:sz w:val="24"/>
          <w:szCs w:val="24"/>
        </w:rPr>
      </w:pPr>
    </w:p>
    <w:p w14:paraId="4BC7046D" w14:textId="0D85ED50" w:rsidR="000F055F" w:rsidRDefault="000F055F" w:rsidP="000F055F">
      <w:pPr>
        <w:tabs>
          <w:tab w:val="left" w:pos="4917"/>
        </w:tabs>
        <w:spacing w:after="0" w:line="360" w:lineRule="auto"/>
        <w:ind w:left="357"/>
        <w:rPr>
          <w:rFonts w:ascii="Arial" w:hAnsi="Arial" w:cs="Arial"/>
          <w:sz w:val="24"/>
          <w:szCs w:val="24"/>
        </w:rPr>
      </w:pPr>
      <w:r>
        <w:rPr>
          <w:rFonts w:ascii="Arial" w:hAnsi="Arial" w:cs="Arial"/>
          <w:sz w:val="24"/>
          <w:szCs w:val="24"/>
        </w:rPr>
        <w:t>For the Plaintiff:</w:t>
      </w:r>
      <w:r>
        <w:rPr>
          <w:rFonts w:ascii="Arial" w:hAnsi="Arial" w:cs="Arial"/>
          <w:sz w:val="24"/>
          <w:szCs w:val="24"/>
        </w:rPr>
        <w:tab/>
      </w:r>
      <w:r w:rsidR="009F79E8">
        <w:rPr>
          <w:rFonts w:ascii="Arial" w:hAnsi="Arial" w:cs="Arial"/>
          <w:sz w:val="24"/>
          <w:szCs w:val="24"/>
        </w:rPr>
        <w:t>Adv M.I Thabede</w:t>
      </w:r>
    </w:p>
    <w:p w14:paraId="2D01968D" w14:textId="653F21CA" w:rsidR="000F055F" w:rsidRDefault="000F055F" w:rsidP="000F055F">
      <w:pPr>
        <w:tabs>
          <w:tab w:val="left" w:pos="4917"/>
        </w:tabs>
        <w:spacing w:after="0" w:line="360" w:lineRule="auto"/>
        <w:ind w:left="357"/>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r w:rsidR="009F79E8">
        <w:rPr>
          <w:rFonts w:ascii="Arial" w:hAnsi="Arial" w:cs="Arial"/>
          <w:sz w:val="24"/>
          <w:szCs w:val="24"/>
        </w:rPr>
        <w:t>RS Tau Attorneys</w:t>
      </w:r>
    </w:p>
    <w:p w14:paraId="4A34187D" w14:textId="393C303B" w:rsidR="003649CD" w:rsidRDefault="000F055F" w:rsidP="007C567F">
      <w:pPr>
        <w:tabs>
          <w:tab w:val="left" w:pos="4917"/>
        </w:tabs>
        <w:spacing w:after="0" w:line="360" w:lineRule="auto"/>
        <w:ind w:left="360"/>
        <w:rPr>
          <w:rFonts w:ascii="Arial" w:hAnsi="Arial" w:cs="Arial"/>
          <w:sz w:val="24"/>
          <w:szCs w:val="24"/>
        </w:rPr>
      </w:pPr>
      <w:r>
        <w:rPr>
          <w:rFonts w:ascii="Arial" w:hAnsi="Arial" w:cs="Arial"/>
          <w:sz w:val="24"/>
          <w:szCs w:val="24"/>
        </w:rPr>
        <w:t>Date of the hearing:</w:t>
      </w:r>
      <w:r>
        <w:rPr>
          <w:rFonts w:ascii="Arial" w:hAnsi="Arial" w:cs="Arial"/>
          <w:sz w:val="24"/>
          <w:szCs w:val="24"/>
        </w:rPr>
        <w:tab/>
        <w:t>2</w:t>
      </w:r>
      <w:r w:rsidR="00090181">
        <w:rPr>
          <w:rFonts w:ascii="Arial" w:hAnsi="Arial" w:cs="Arial"/>
          <w:sz w:val="24"/>
          <w:szCs w:val="24"/>
        </w:rPr>
        <w:t>0</w:t>
      </w:r>
      <w:r>
        <w:rPr>
          <w:rFonts w:ascii="Arial" w:hAnsi="Arial" w:cs="Arial"/>
          <w:sz w:val="24"/>
          <w:szCs w:val="24"/>
        </w:rPr>
        <w:t xml:space="preserve"> June 2023</w:t>
      </w:r>
    </w:p>
    <w:sectPr w:rsidR="003649CD" w:rsidSect="00065E8F">
      <w:headerReference w:type="default" r:id="rId12"/>
      <w:footerReference w:type="default" r:id="rId13"/>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61E9E" w14:textId="77777777" w:rsidR="00AC5935" w:rsidRDefault="00AC5935">
      <w:pPr>
        <w:spacing w:after="0" w:line="240" w:lineRule="auto"/>
      </w:pPr>
      <w:r>
        <w:separator/>
      </w:r>
    </w:p>
  </w:endnote>
  <w:endnote w:type="continuationSeparator" w:id="0">
    <w:p w14:paraId="68E68882" w14:textId="77777777" w:rsidR="00AC5935" w:rsidRDefault="00AC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615C6541" w:rsidR="00494B3B" w:rsidRDefault="00494B3B">
        <w:pPr>
          <w:pStyle w:val="Footer"/>
          <w:jc w:val="center"/>
        </w:pPr>
        <w:r>
          <w:fldChar w:fldCharType="begin"/>
        </w:r>
        <w:r>
          <w:instrText xml:space="preserve"> PAGE   \* MERGEFORMAT </w:instrText>
        </w:r>
        <w:r>
          <w:fldChar w:fldCharType="separate"/>
        </w:r>
        <w:r w:rsidR="008925B2">
          <w:rPr>
            <w:noProof/>
          </w:rPr>
          <w:t>2</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EF618" w14:textId="77777777" w:rsidR="00AC5935" w:rsidRDefault="00AC5935">
      <w:pPr>
        <w:spacing w:after="0" w:line="240" w:lineRule="auto"/>
      </w:pPr>
      <w:r>
        <w:separator/>
      </w:r>
    </w:p>
  </w:footnote>
  <w:footnote w:type="continuationSeparator" w:id="0">
    <w:p w14:paraId="047B3D68" w14:textId="77777777" w:rsidR="00AC5935" w:rsidRDefault="00AC5935">
      <w:pPr>
        <w:spacing w:after="0" w:line="240" w:lineRule="auto"/>
      </w:pPr>
      <w:r>
        <w:continuationSeparator/>
      </w:r>
    </w:p>
  </w:footnote>
  <w:footnote w:id="1">
    <w:p w14:paraId="0966EC8D" w14:textId="2395B1AD" w:rsidR="00216A94" w:rsidRPr="007B6FBA" w:rsidRDefault="00216A94"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lang w:val="en-GB"/>
        </w:rPr>
        <w:t xml:space="preserve">See </w:t>
      </w:r>
      <w:r w:rsidRPr="007B6FBA">
        <w:rPr>
          <w:rFonts w:asciiTheme="minorBidi" w:hAnsiTheme="minorBidi"/>
          <w:i/>
          <w:iCs/>
          <w:lang w:val="en-GB"/>
        </w:rPr>
        <w:t>Ntaka v Road Accident Fund</w:t>
      </w:r>
      <w:r w:rsidRPr="007B6FBA">
        <w:rPr>
          <w:rFonts w:asciiTheme="minorBidi" w:hAnsiTheme="minorBidi"/>
          <w:lang w:val="en-GB"/>
        </w:rPr>
        <w:t xml:space="preserve"> (19868/13) [2018] ZAGPPHC 536 (6 February 2018) </w:t>
      </w:r>
      <w:r w:rsidR="00C92E59" w:rsidRPr="007B6FBA">
        <w:rPr>
          <w:rFonts w:asciiTheme="minorBidi" w:hAnsiTheme="minorBidi"/>
          <w:lang w:val="en-GB"/>
        </w:rPr>
        <w:t xml:space="preserve">at </w:t>
      </w:r>
      <w:r w:rsidRPr="007B6FBA">
        <w:rPr>
          <w:rFonts w:asciiTheme="minorBidi" w:hAnsiTheme="minorBidi"/>
          <w:lang w:val="en-GB"/>
        </w:rPr>
        <w:t xml:space="preserve">para 27.    </w:t>
      </w:r>
    </w:p>
  </w:footnote>
  <w:footnote w:id="2">
    <w:p w14:paraId="0210FC9E" w14:textId="14059715" w:rsidR="00F0079A" w:rsidRPr="007B6FBA" w:rsidRDefault="00F0079A"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The inference that is s drawn must be consistent with all the proved facts; if it is not, then the inference cannot be drawn: See </w:t>
      </w:r>
      <w:r w:rsidRPr="007B6FBA">
        <w:rPr>
          <w:rFonts w:asciiTheme="minorBidi" w:hAnsiTheme="minorBidi"/>
          <w:i/>
          <w:iCs/>
          <w:lang w:val="en-GB"/>
        </w:rPr>
        <w:t>SA Post Office v Delacy and Another</w:t>
      </w:r>
      <w:r w:rsidRPr="007B6FBA">
        <w:rPr>
          <w:rFonts w:asciiTheme="minorBidi" w:hAnsiTheme="minorBidi"/>
        </w:rPr>
        <w:t> 2009 (5) SA 255 (SCA) at para 35; </w:t>
      </w:r>
      <w:r w:rsidRPr="007B6FBA">
        <w:rPr>
          <w:rFonts w:asciiTheme="minorBidi" w:hAnsiTheme="minorBidi"/>
          <w:i/>
          <w:iCs/>
        </w:rPr>
        <w:t>R v Blom </w:t>
      </w:r>
      <w:r w:rsidRPr="007B6FBA">
        <w:rPr>
          <w:rFonts w:asciiTheme="minorBidi" w:hAnsiTheme="minorBidi"/>
        </w:rPr>
        <w:t xml:space="preserve">1939 AD 188 at 202-203. The court </w:t>
      </w:r>
      <w:r w:rsidR="00745439" w:rsidRPr="007B6FBA">
        <w:rPr>
          <w:rFonts w:asciiTheme="minorBidi" w:hAnsiTheme="minorBidi"/>
        </w:rPr>
        <w:t xml:space="preserve">in </w:t>
      </w:r>
      <w:r w:rsidR="00745439" w:rsidRPr="007B6FBA">
        <w:rPr>
          <w:rFonts w:asciiTheme="minorBidi" w:hAnsiTheme="minorBidi"/>
          <w:i/>
          <w:iCs/>
        </w:rPr>
        <w:t>SA Post Office</w:t>
      </w:r>
      <w:r w:rsidR="00745439" w:rsidRPr="007B6FBA">
        <w:rPr>
          <w:rFonts w:asciiTheme="minorBidi" w:hAnsiTheme="minorBidi"/>
        </w:rPr>
        <w:t xml:space="preserve"> </w:t>
      </w:r>
      <w:r w:rsidRPr="007B6FBA">
        <w:rPr>
          <w:rFonts w:asciiTheme="minorBidi" w:hAnsiTheme="minorBidi"/>
        </w:rPr>
        <w:t>held at para 35:</w:t>
      </w:r>
    </w:p>
    <w:p w14:paraId="4E9CDCB2" w14:textId="3581B6CE" w:rsidR="00F0079A" w:rsidRPr="007B6FBA" w:rsidRDefault="00C92E59" w:rsidP="006F702D">
      <w:pPr>
        <w:pStyle w:val="FootnoteText"/>
        <w:spacing w:line="480" w:lineRule="auto"/>
        <w:ind w:left="720"/>
        <w:jc w:val="both"/>
        <w:rPr>
          <w:rFonts w:asciiTheme="minorBidi" w:hAnsiTheme="minorBidi"/>
        </w:rPr>
      </w:pPr>
      <w:r w:rsidRPr="007B6FBA">
        <w:rPr>
          <w:rFonts w:asciiTheme="minorBidi" w:hAnsiTheme="minorBidi"/>
          <w:i/>
          <w:iCs/>
          <w:lang w:val="en-GB"/>
        </w:rPr>
        <w:t>‘</w:t>
      </w:r>
      <w:r w:rsidR="00F0079A" w:rsidRPr="007B6FBA">
        <w:rPr>
          <w:rFonts w:asciiTheme="minorBidi" w:hAnsiTheme="minorBidi"/>
          <w:i/>
          <w:iCs/>
          <w:lang w:val="en-GB"/>
        </w:rPr>
        <w:t>The process of inferential reasoning calls for an evaluation of all the evidence and not merely selected parts. The inference that is sought to be drawn must be “consistent with all the proved facts. If it is not, then the inference cannot be drawn” and it must be the “more natural or plausible, conclusion from among several conceivable ones” when measured against the probabilities.</w:t>
      </w:r>
      <w:r w:rsidR="00F0079A" w:rsidRPr="007B6FBA">
        <w:rPr>
          <w:rFonts w:asciiTheme="minorBidi" w:hAnsiTheme="minorBidi"/>
        </w:rPr>
        <w:t>’</w:t>
      </w:r>
    </w:p>
  </w:footnote>
  <w:footnote w:id="3">
    <w:p w14:paraId="187B0F65" w14:textId="704D5694" w:rsidR="00F0079A" w:rsidRPr="007B6FBA" w:rsidRDefault="00F0079A" w:rsidP="006F702D">
      <w:pPr>
        <w:pStyle w:val="FootnoteText"/>
        <w:spacing w:line="480" w:lineRule="auto"/>
        <w:jc w:val="both"/>
        <w:rPr>
          <w:rFonts w:asciiTheme="minorBidi" w:hAnsiTheme="minorBidi"/>
          <w:b/>
          <w:bCs/>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Plausible</w:t>
      </w:r>
      <w:r w:rsidRPr="007B6FBA">
        <w:rPr>
          <w:rFonts w:asciiTheme="minorBidi" w:hAnsiTheme="minorBidi"/>
        </w:rPr>
        <w:t>’ in this context means ‘</w:t>
      </w:r>
      <w:r w:rsidRPr="007B6FBA">
        <w:rPr>
          <w:rFonts w:asciiTheme="minorBidi" w:hAnsiTheme="minorBidi"/>
          <w:i/>
          <w:iCs/>
        </w:rPr>
        <w:t>acceptable, credible</w:t>
      </w:r>
      <w:r w:rsidR="00C92E59" w:rsidRPr="007B6FBA">
        <w:rPr>
          <w:rFonts w:asciiTheme="minorBidi" w:hAnsiTheme="minorBidi"/>
          <w:i/>
          <w:iCs/>
        </w:rPr>
        <w:t xml:space="preserve"> or </w:t>
      </w:r>
      <w:r w:rsidRPr="007B6FBA">
        <w:rPr>
          <w:rFonts w:asciiTheme="minorBidi" w:hAnsiTheme="minorBidi"/>
          <w:i/>
          <w:iCs/>
        </w:rPr>
        <w:t>suitable</w:t>
      </w:r>
      <w:r w:rsidRPr="007B6FBA">
        <w:rPr>
          <w:rFonts w:asciiTheme="minorBidi" w:hAnsiTheme="minorBidi"/>
        </w:rPr>
        <w:t>’</w:t>
      </w:r>
      <w:r w:rsidR="00C92E59" w:rsidRPr="007B6FBA">
        <w:rPr>
          <w:rFonts w:asciiTheme="minorBidi" w:hAnsiTheme="minorBidi"/>
        </w:rPr>
        <w:t>: S</w:t>
      </w:r>
      <w:r w:rsidRPr="007B6FBA">
        <w:rPr>
          <w:rFonts w:asciiTheme="minorBidi" w:hAnsiTheme="minorBidi"/>
        </w:rPr>
        <w:t xml:space="preserve">ee </w:t>
      </w:r>
      <w:r w:rsidRPr="007B6FBA">
        <w:rPr>
          <w:rFonts w:asciiTheme="minorBidi" w:hAnsiTheme="minorBidi"/>
          <w:i/>
          <w:iCs/>
          <w:lang w:val="en-GB"/>
        </w:rPr>
        <w:t>Ocean Accident and Guarantee Corporation Ltd v Koch</w:t>
      </w:r>
      <w:r w:rsidRPr="007B6FBA">
        <w:rPr>
          <w:rFonts w:asciiTheme="minorBidi" w:hAnsiTheme="minorBidi"/>
        </w:rPr>
        <w:t xml:space="preserve"> 1963 (4) SA 147 (A) at 159B-D. Also see generally </w:t>
      </w:r>
      <w:r w:rsidRPr="007B6FBA">
        <w:rPr>
          <w:rFonts w:asciiTheme="minorBidi" w:hAnsiTheme="minorBidi"/>
          <w:i/>
          <w:iCs/>
          <w:lang w:val="pt-PT"/>
        </w:rPr>
        <w:t>AA Onderlinge Assuransie-Assosiasie Bpk v De Beer</w:t>
      </w:r>
      <w:r w:rsidRPr="007B6FBA">
        <w:rPr>
          <w:rFonts w:asciiTheme="minorBidi" w:hAnsiTheme="minorBidi"/>
        </w:rPr>
        <w:t> </w:t>
      </w:r>
      <w:r w:rsidRPr="007B6FBA">
        <w:rPr>
          <w:rFonts w:asciiTheme="minorBidi" w:hAnsiTheme="minorBidi"/>
          <w:lang w:val="pt-PT"/>
        </w:rPr>
        <w:t>1982 (2) SA 603 (A); </w:t>
      </w:r>
      <w:r w:rsidRPr="007B6FBA">
        <w:rPr>
          <w:rFonts w:asciiTheme="minorBidi" w:hAnsiTheme="minorBidi"/>
          <w:i/>
          <w:iCs/>
        </w:rPr>
        <w:t>Cooper and Another v Merchant Trade Finance Ltd</w:t>
      </w:r>
      <w:r w:rsidRPr="007B6FBA">
        <w:rPr>
          <w:rFonts w:asciiTheme="minorBidi" w:hAnsiTheme="minorBidi"/>
          <w:b/>
          <w:bCs/>
        </w:rPr>
        <w:t> </w:t>
      </w:r>
      <w:r w:rsidRPr="007B6FBA">
        <w:rPr>
          <w:rFonts w:asciiTheme="minorBidi" w:hAnsiTheme="minorBidi"/>
        </w:rPr>
        <w:t xml:space="preserve">(474/97) [1999] ZASCA 97 (1 December 1999) </w:t>
      </w:r>
      <w:r w:rsidR="00C92E59" w:rsidRPr="007B6FBA">
        <w:rPr>
          <w:rFonts w:asciiTheme="minorBidi" w:hAnsiTheme="minorBidi"/>
        </w:rPr>
        <w:t xml:space="preserve">at </w:t>
      </w:r>
      <w:r w:rsidRPr="007B6FBA">
        <w:rPr>
          <w:rFonts w:asciiTheme="minorBidi" w:hAnsiTheme="minorBidi"/>
        </w:rPr>
        <w:t>para 7</w:t>
      </w:r>
      <w:r w:rsidRPr="007B6FBA">
        <w:rPr>
          <w:rFonts w:asciiTheme="minorBidi" w:hAnsiTheme="minorBidi"/>
          <w:i/>
          <w:iCs/>
        </w:rPr>
        <w:t>; Govan v Skidmore </w:t>
      </w:r>
      <w:r w:rsidRPr="007B6FBA">
        <w:rPr>
          <w:rFonts w:asciiTheme="minorBidi" w:hAnsiTheme="minorBidi"/>
        </w:rPr>
        <w:t>1952 (1) SA 732 (N) at 734C-E.</w:t>
      </w:r>
    </w:p>
  </w:footnote>
  <w:footnote w:id="4">
    <w:p w14:paraId="14619C18" w14:textId="77777777" w:rsidR="004866AD" w:rsidRPr="007B6FBA" w:rsidRDefault="004866AD" w:rsidP="006F702D">
      <w:pPr>
        <w:spacing w:line="480" w:lineRule="auto"/>
        <w:jc w:val="both"/>
        <w:rPr>
          <w:rFonts w:asciiTheme="minorBidi" w:hAnsiTheme="minorBidi"/>
          <w:sz w:val="20"/>
          <w:szCs w:val="20"/>
        </w:rPr>
      </w:pPr>
      <w:r w:rsidRPr="007B6FBA">
        <w:rPr>
          <w:rStyle w:val="FootnoteReference"/>
          <w:rFonts w:asciiTheme="minorBidi" w:hAnsiTheme="minorBidi"/>
          <w:sz w:val="20"/>
          <w:szCs w:val="20"/>
        </w:rPr>
        <w:footnoteRef/>
      </w:r>
      <w:r w:rsidRPr="007B6FBA">
        <w:rPr>
          <w:rFonts w:asciiTheme="minorBidi" w:hAnsiTheme="minorBidi"/>
          <w:sz w:val="20"/>
          <w:szCs w:val="20"/>
        </w:rPr>
        <w:t xml:space="preserve"> </w:t>
      </w:r>
      <w:r w:rsidRPr="007B6FBA">
        <w:rPr>
          <w:rFonts w:asciiTheme="minorBidi" w:hAnsiTheme="minorBidi"/>
          <w:i/>
          <w:iCs/>
          <w:sz w:val="20"/>
          <w:szCs w:val="20"/>
        </w:rPr>
        <w:t>Hanekom v MMF</w:t>
      </w:r>
      <w:r w:rsidRPr="007B6FBA">
        <w:rPr>
          <w:rFonts w:asciiTheme="minorBidi" w:hAnsiTheme="minorBidi"/>
          <w:sz w:val="20"/>
          <w:szCs w:val="20"/>
        </w:rPr>
        <w:t xml:space="preserve"> 1998 (1) SA 634 (T) at 635-636; </w:t>
      </w:r>
      <w:r w:rsidRPr="007B6FBA">
        <w:rPr>
          <w:rFonts w:asciiTheme="minorBidi" w:hAnsiTheme="minorBidi"/>
          <w:i/>
          <w:iCs/>
          <w:sz w:val="20"/>
          <w:szCs w:val="20"/>
        </w:rPr>
        <w:t>Mojiki v RAF</w:t>
      </w:r>
      <w:r w:rsidRPr="007B6FBA">
        <w:rPr>
          <w:rFonts w:asciiTheme="minorBidi" w:hAnsiTheme="minorBidi"/>
          <w:sz w:val="20"/>
          <w:szCs w:val="20"/>
        </w:rPr>
        <w:t xml:space="preserve"> (21612/2005) [2008] ZAGPHC 19 (29 January 2008) at para 6.</w:t>
      </w:r>
    </w:p>
  </w:footnote>
  <w:footnote w:id="5">
    <w:p w14:paraId="107D9D59" w14:textId="77777777" w:rsidR="006A366E" w:rsidRPr="007B6FBA" w:rsidRDefault="006A366E"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[2018] 1 All SA 297 (GJ) at para 18(c).</w:t>
      </w:r>
    </w:p>
  </w:footnote>
  <w:footnote w:id="6">
    <w:p w14:paraId="55A8E434" w14:textId="2637FF57" w:rsidR="0021187C" w:rsidRPr="007B6FBA" w:rsidRDefault="0021187C" w:rsidP="006F702D">
      <w:pPr>
        <w:pStyle w:val="FootnoteText"/>
        <w:spacing w:line="480" w:lineRule="auto"/>
        <w:jc w:val="both"/>
        <w:rPr>
          <w:rFonts w:asciiTheme="minorBidi" w:hAnsiTheme="minorBidi"/>
          <w:lang w:val="en-US"/>
        </w:rPr>
      </w:pPr>
      <w:r w:rsidRPr="007B6FBA">
        <w:rPr>
          <w:rStyle w:val="FootnoteReference"/>
          <w:rFonts w:asciiTheme="minorBidi" w:hAnsiTheme="minorBidi"/>
        </w:rPr>
        <w:footnoteRef/>
      </w:r>
      <w:r w:rsidRPr="007B6FBA">
        <w:rPr>
          <w:rFonts w:asciiTheme="minorBidi" w:hAnsiTheme="minorBidi"/>
        </w:rPr>
        <w:t xml:space="preserve"> </w:t>
      </w:r>
      <w:r w:rsidRPr="006A366E">
        <w:rPr>
          <w:rFonts w:asciiTheme="minorBidi" w:hAnsiTheme="minorBidi"/>
          <w:i/>
          <w:iCs/>
          <w:lang w:val="en-US"/>
        </w:rPr>
        <w:t>Coopers v Deutsche Gesellschaft</w:t>
      </w:r>
      <w:r w:rsidRPr="007B6FBA">
        <w:rPr>
          <w:rFonts w:asciiTheme="minorBidi" w:hAnsiTheme="minorBidi"/>
          <w:lang w:val="en-US"/>
        </w:rPr>
        <w:t xml:space="preserve"> 1976 (3) SA 353 (A) at 370</w:t>
      </w:r>
      <w:r w:rsidR="006A366E">
        <w:rPr>
          <w:rFonts w:asciiTheme="minorBidi" w:hAnsiTheme="minorBidi"/>
          <w:lang w:val="en-US"/>
        </w:rPr>
        <w:t>;</w:t>
      </w:r>
      <w:r w:rsidRPr="007B6FBA">
        <w:rPr>
          <w:rFonts w:asciiTheme="minorBidi" w:hAnsiTheme="minorBidi"/>
          <w:lang w:val="en-US"/>
        </w:rPr>
        <w:t xml:space="preserve"> </w:t>
      </w:r>
      <w:r w:rsidRPr="006A366E">
        <w:rPr>
          <w:rFonts w:asciiTheme="minorBidi" w:hAnsiTheme="minorBidi"/>
          <w:i/>
          <w:iCs/>
          <w:lang w:val="en-US"/>
        </w:rPr>
        <w:t>S v Engelbrecht</w:t>
      </w:r>
      <w:r w:rsidRPr="007B6FBA">
        <w:rPr>
          <w:rFonts w:asciiTheme="minorBidi" w:hAnsiTheme="minorBidi"/>
          <w:lang w:val="en-US"/>
        </w:rPr>
        <w:t xml:space="preserve"> 2005 (2) SACR 41 (W) at para 26; </w:t>
      </w:r>
      <w:r w:rsidRPr="006A366E">
        <w:rPr>
          <w:rFonts w:asciiTheme="minorBidi" w:hAnsiTheme="minorBidi"/>
          <w:i/>
          <w:iCs/>
          <w:lang w:val="en-US"/>
        </w:rPr>
        <w:t>AM v MEC for Health, Western Cape</w:t>
      </w:r>
      <w:r w:rsidRPr="007B6FBA">
        <w:rPr>
          <w:rFonts w:asciiTheme="minorBidi" w:hAnsiTheme="minorBidi"/>
          <w:lang w:val="en-US"/>
        </w:rPr>
        <w:t xml:space="preserve"> 2021 (3) SA 337 (SCA) at para 17.</w:t>
      </w:r>
    </w:p>
  </w:footnote>
  <w:footnote w:id="7">
    <w:p w14:paraId="5B1CF15B" w14:textId="76070DCD" w:rsidR="008E15E8" w:rsidRPr="007B6FBA" w:rsidRDefault="008E15E8" w:rsidP="006F702D">
      <w:pPr>
        <w:pStyle w:val="FootnoteText"/>
        <w:spacing w:line="480" w:lineRule="auto"/>
        <w:jc w:val="both"/>
        <w:rPr>
          <w:rFonts w:asciiTheme="minorBidi" w:hAnsiTheme="minorBidi"/>
          <w:lang w:val="en-US"/>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Daubert v Merrell Dow Pharmaceuticals Inc</w:t>
      </w:r>
      <w:r w:rsidRPr="007B6FBA">
        <w:rPr>
          <w:rFonts w:asciiTheme="minorBidi" w:hAnsiTheme="minorBidi"/>
        </w:rPr>
        <w:t xml:space="preserve"> 509 US (1993).</w:t>
      </w:r>
    </w:p>
  </w:footnote>
  <w:footnote w:id="8">
    <w:p w14:paraId="158D8A10" w14:textId="276E5E4D" w:rsidR="008E15E8" w:rsidRPr="007B6FBA" w:rsidRDefault="008E15E8" w:rsidP="006F702D">
      <w:pPr>
        <w:pStyle w:val="FootnoteText"/>
        <w:spacing w:line="480" w:lineRule="auto"/>
        <w:jc w:val="both"/>
        <w:rPr>
          <w:rFonts w:asciiTheme="minorBidi" w:hAnsiTheme="minorBidi"/>
          <w:lang w:val="en-US"/>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Daubert v Merrell Dow Pharmaceuticals Inc</w:t>
      </w:r>
      <w:r w:rsidRPr="007B6FBA">
        <w:rPr>
          <w:rFonts w:asciiTheme="minorBidi" w:hAnsiTheme="minorBidi"/>
        </w:rPr>
        <w:t xml:space="preserve"> 509 US (1993).</w:t>
      </w:r>
    </w:p>
  </w:footnote>
  <w:footnote w:id="9">
    <w:p w14:paraId="22ECE810" w14:textId="77777777" w:rsidR="0021187C" w:rsidRPr="007B6FBA" w:rsidRDefault="0021187C"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[2018] 1 All SA 297 (GJ) at para 18(c).</w:t>
      </w:r>
    </w:p>
  </w:footnote>
  <w:footnote w:id="10">
    <w:p w14:paraId="758F71C5" w14:textId="77777777" w:rsidR="0021187C" w:rsidRPr="007B6FBA" w:rsidRDefault="0021187C"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Daubert v Merril Dow Pharmaceuticals Inc</w:t>
      </w:r>
      <w:r w:rsidRPr="007B6FBA">
        <w:rPr>
          <w:rFonts w:asciiTheme="minorBidi" w:hAnsiTheme="minorBidi"/>
        </w:rPr>
        <w:t xml:space="preserve"> [1993] USSC 99.</w:t>
      </w:r>
    </w:p>
  </w:footnote>
  <w:footnote w:id="11">
    <w:p w14:paraId="5E0FA9BC" w14:textId="40BD7969" w:rsidR="00F212BC" w:rsidRPr="007B6FBA" w:rsidRDefault="00F212BC"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009F1B50" w:rsidRPr="007B6FBA">
        <w:rPr>
          <w:rFonts w:asciiTheme="minorBidi" w:hAnsiTheme="minorBidi"/>
          <w:lang w:val="en-GB"/>
        </w:rPr>
        <w:t xml:space="preserve">See </w:t>
      </w:r>
      <w:r w:rsidR="009F1B50" w:rsidRPr="007B6FBA">
        <w:rPr>
          <w:rFonts w:asciiTheme="minorBidi" w:hAnsiTheme="minorBidi"/>
          <w:i/>
          <w:iCs/>
        </w:rPr>
        <w:t>Road Accident Fund v Duma, Road Accident Fund v Kubeka, Road Accident Fund v Meyer, Road Accident Fund v Mokoena</w:t>
      </w:r>
      <w:r w:rsidR="009F1B50" w:rsidRPr="007B6FBA">
        <w:rPr>
          <w:rFonts w:asciiTheme="minorBidi" w:hAnsiTheme="minorBidi"/>
        </w:rPr>
        <w:t xml:space="preserve"> [2013] 1 All SA 543 (SCA); 2013 (6) SA 9 (SCA) at para 19; </w:t>
      </w:r>
      <w:r w:rsidRPr="007B6FBA">
        <w:rPr>
          <w:rFonts w:asciiTheme="minorBidi" w:hAnsiTheme="minorBidi"/>
          <w:i/>
          <w:iCs/>
        </w:rPr>
        <w:t>Road Accident Fund v Faria</w:t>
      </w:r>
      <w:r w:rsidRPr="007B6FBA">
        <w:rPr>
          <w:rFonts w:asciiTheme="minorBidi" w:hAnsiTheme="minorBidi"/>
        </w:rPr>
        <w:t xml:space="preserve"> 2014 (6) SA 19 (SCA); [2014] 4 All SA 168 (SCA) at para 35.</w:t>
      </w:r>
    </w:p>
  </w:footnote>
  <w:footnote w:id="12">
    <w:p w14:paraId="39B7C5BF" w14:textId="451CE32E" w:rsidR="009C49DA" w:rsidRPr="007B6FBA" w:rsidRDefault="009C49DA"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rPr>
        <w:t>Dhlamini v Government of RSA</w:t>
      </w:r>
      <w:r w:rsidRPr="007B6FBA">
        <w:rPr>
          <w:rFonts w:asciiTheme="minorBidi" w:hAnsiTheme="minorBidi"/>
        </w:rPr>
        <w:t xml:space="preserve"> (3) C</w:t>
      </w:r>
      <w:r w:rsidR="00A82B3F" w:rsidRPr="007B6FBA">
        <w:rPr>
          <w:rFonts w:asciiTheme="minorBidi" w:hAnsiTheme="minorBidi"/>
        </w:rPr>
        <w:t xml:space="preserve"> </w:t>
      </w:r>
      <w:r w:rsidRPr="007B6FBA">
        <w:rPr>
          <w:rFonts w:asciiTheme="minorBidi" w:hAnsiTheme="minorBidi"/>
        </w:rPr>
        <w:t>&amp; B 554 (W) 582.</w:t>
      </w:r>
    </w:p>
  </w:footnote>
  <w:footnote w:id="13">
    <w:p w14:paraId="150FA4B9" w14:textId="60984972" w:rsidR="009F1B50" w:rsidRPr="007B6FBA" w:rsidRDefault="009F1B50"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lang w:val="en-GB"/>
        </w:rPr>
        <w:t xml:space="preserve">See </w:t>
      </w:r>
      <w:r w:rsidRPr="007B6FBA">
        <w:rPr>
          <w:rFonts w:asciiTheme="minorBidi" w:hAnsiTheme="minorBidi"/>
          <w:i/>
          <w:iCs/>
        </w:rPr>
        <w:t>Knoetze obo Malinga and Another v Road Accident Fund</w:t>
      </w:r>
      <w:r w:rsidRPr="007B6FBA">
        <w:rPr>
          <w:rFonts w:asciiTheme="minorBidi" w:hAnsiTheme="minorBidi"/>
        </w:rPr>
        <w:t xml:space="preserve"> [2023] 1 All SA 708 (GP); 2023 (3) SA 125 (GP) at para 26.</w:t>
      </w:r>
    </w:p>
  </w:footnote>
  <w:footnote w:id="14">
    <w:p w14:paraId="5B61575E" w14:textId="0C8A39C1" w:rsidR="009F1B50" w:rsidRPr="007B6FBA" w:rsidRDefault="009F1B50"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Marine &amp; Trade Ins Co Ltd v Katz</w:t>
      </w:r>
      <w:r w:rsidRPr="007B6FBA">
        <w:rPr>
          <w:rFonts w:asciiTheme="minorBidi" w:hAnsiTheme="minorBidi"/>
        </w:rPr>
        <w:t xml:space="preserve"> NO 1979 (4) SA 961 (A) </w:t>
      </w:r>
      <w:r w:rsidR="00A82B3F" w:rsidRPr="007B6FBA">
        <w:rPr>
          <w:rFonts w:asciiTheme="minorBidi" w:hAnsiTheme="minorBidi"/>
        </w:rPr>
        <w:t xml:space="preserve">at </w:t>
      </w:r>
      <w:r w:rsidRPr="007B6FBA">
        <w:rPr>
          <w:rFonts w:asciiTheme="minorBidi" w:hAnsiTheme="minorBidi"/>
        </w:rPr>
        <w:t>971.</w:t>
      </w:r>
    </w:p>
  </w:footnote>
  <w:footnote w:id="15">
    <w:p w14:paraId="214FC597" w14:textId="4EA986F6" w:rsidR="009F1B50" w:rsidRPr="007B6FBA" w:rsidRDefault="009F1B50"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Para 1 of</w:t>
      </w:r>
      <w:r w:rsidR="00A82B3F" w:rsidRPr="007B6FBA">
        <w:rPr>
          <w:rFonts w:asciiTheme="minorBidi" w:hAnsiTheme="minorBidi"/>
        </w:rPr>
        <w:t xml:space="preserve"> the order made on </w:t>
      </w:r>
      <w:r w:rsidR="00773B1D">
        <w:rPr>
          <w:rFonts w:asciiTheme="minorBidi" w:hAnsiTheme="minorBidi"/>
        </w:rPr>
        <w:t>8</w:t>
      </w:r>
      <w:r w:rsidR="00A82B3F" w:rsidRPr="007B6FBA">
        <w:rPr>
          <w:rFonts w:asciiTheme="minorBidi" w:hAnsiTheme="minorBidi"/>
        </w:rPr>
        <w:t xml:space="preserve"> September 2023 in</w:t>
      </w:r>
      <w:r w:rsidRPr="007B6FBA">
        <w:rPr>
          <w:rFonts w:asciiTheme="minorBidi" w:hAnsiTheme="minorBidi"/>
        </w:rPr>
        <w:t xml:space="preserve"> </w:t>
      </w:r>
      <w:r w:rsidRPr="007B6FBA">
        <w:rPr>
          <w:rFonts w:asciiTheme="minorBidi" w:hAnsiTheme="minorBidi"/>
          <w:i/>
          <w:iCs/>
        </w:rPr>
        <w:t>Muller obo Human &amp; 2 Others v The Road Accident Fund</w:t>
      </w:r>
      <w:r w:rsidRPr="007B6FBA">
        <w:rPr>
          <w:rFonts w:asciiTheme="minorBidi" w:hAnsiTheme="minorBidi"/>
        </w:rPr>
        <w:t xml:space="preserve"> [Case number 2023/066777], Gauteng Division, Pretoria.</w:t>
      </w:r>
    </w:p>
  </w:footnote>
  <w:footnote w:id="16">
    <w:p w14:paraId="1D18FBC0" w14:textId="2A7AF7EE" w:rsidR="00C45D2F" w:rsidRPr="007B6FBA" w:rsidRDefault="00C45D2F"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Syed v Metaf Limited t/a Metro Cash &amp; Carry</w:t>
      </w:r>
      <w:r w:rsidRPr="007B6FBA">
        <w:rPr>
          <w:rFonts w:asciiTheme="minorBidi" w:hAnsiTheme="minorBidi"/>
        </w:rPr>
        <w:t xml:space="preserve"> (CA356/2016) [2018] ZAECGHC 80 (13 March 2018) para 71.</w:t>
      </w:r>
    </w:p>
  </w:footnote>
  <w:footnote w:id="17">
    <w:p w14:paraId="72CAF13C" w14:textId="4EEF1D92" w:rsidR="00C45D2F" w:rsidRPr="00BC37AC" w:rsidRDefault="00C45D2F" w:rsidP="006F702D">
      <w:pPr>
        <w:pStyle w:val="FootnoteText"/>
        <w:spacing w:line="480" w:lineRule="auto"/>
        <w:jc w:val="both"/>
        <w:rPr>
          <w:rFonts w:asciiTheme="minorBidi" w:hAnsiTheme="minorBidi"/>
          <w:lang w:val="en-GB"/>
        </w:rPr>
      </w:pPr>
      <w:r w:rsidRPr="007B6FBA">
        <w:rPr>
          <w:rStyle w:val="FootnoteReference"/>
          <w:rFonts w:asciiTheme="minorBidi" w:hAnsiTheme="minorBidi"/>
        </w:rPr>
        <w:footnoteRef/>
      </w:r>
      <w:r w:rsidRPr="007B6FBA">
        <w:rPr>
          <w:rFonts w:asciiTheme="minorBidi" w:hAnsiTheme="minorBidi"/>
        </w:rPr>
        <w:t xml:space="preserve"> See </w:t>
      </w:r>
      <w:r w:rsidRPr="007B6FBA">
        <w:rPr>
          <w:rFonts w:asciiTheme="minorBidi" w:hAnsiTheme="minorBidi"/>
          <w:i/>
          <w:iCs/>
        </w:rPr>
        <w:t>Griffiths v Mutual and Federal Insurance </w:t>
      </w:r>
      <w:r w:rsidRPr="007B6FBA">
        <w:rPr>
          <w:rFonts w:asciiTheme="minorBidi" w:hAnsiTheme="minorBidi"/>
        </w:rPr>
        <w:t>Co </w:t>
      </w:r>
      <w:r w:rsidRPr="007B6FBA">
        <w:rPr>
          <w:rFonts w:asciiTheme="minorBidi" w:hAnsiTheme="minorBidi"/>
          <w:i/>
          <w:iCs/>
        </w:rPr>
        <w:t>Ltd </w:t>
      </w:r>
      <w:r w:rsidRPr="007B6FBA">
        <w:rPr>
          <w:rFonts w:asciiTheme="minorBidi" w:hAnsiTheme="minorBidi"/>
        </w:rPr>
        <w:t>1994 (1) SA 355 (AD) at 546</w:t>
      </w:r>
      <w:r w:rsidR="00BC37AC">
        <w:rPr>
          <w:rFonts w:asciiTheme="minorBidi" w:hAnsiTheme="minorBidi"/>
        </w:rPr>
        <w:t>.</w:t>
      </w:r>
    </w:p>
  </w:footnote>
  <w:footnote w:id="18">
    <w:p w14:paraId="695503B3" w14:textId="77777777" w:rsidR="00E34749" w:rsidRPr="007B6FBA" w:rsidRDefault="00E34749"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Section 3(1) of the Law of Evidence Amendment Act provide that:</w:t>
      </w:r>
    </w:p>
    <w:p w14:paraId="7D7BD46C" w14:textId="77777777" w:rsidR="00E34749" w:rsidRPr="007B6FBA" w:rsidRDefault="00E34749" w:rsidP="006F702D">
      <w:pPr>
        <w:pStyle w:val="FootnoteText"/>
        <w:spacing w:line="480" w:lineRule="auto"/>
        <w:ind w:left="720"/>
        <w:jc w:val="both"/>
        <w:rPr>
          <w:rFonts w:asciiTheme="minorBidi" w:hAnsiTheme="minorBidi"/>
          <w:i/>
          <w:iCs/>
        </w:rPr>
      </w:pPr>
      <w:r w:rsidRPr="007B6FBA">
        <w:rPr>
          <w:rFonts w:asciiTheme="minorBidi" w:hAnsiTheme="minorBidi"/>
          <w:i/>
          <w:iCs/>
        </w:rPr>
        <w:t>Subject to the provisions of any other law, hearsay evidence shall not be admitted as evidence at criminal or civil proceedings, unless-</w:t>
      </w:r>
    </w:p>
    <w:p w14:paraId="129130BE" w14:textId="77777777" w:rsidR="00E34749" w:rsidRPr="007B6FBA" w:rsidRDefault="00E34749" w:rsidP="006F702D">
      <w:pPr>
        <w:pStyle w:val="FootnoteText"/>
        <w:spacing w:line="480" w:lineRule="auto"/>
        <w:ind w:left="720"/>
        <w:jc w:val="both"/>
        <w:rPr>
          <w:rFonts w:asciiTheme="minorBidi" w:hAnsiTheme="minorBidi"/>
          <w:i/>
          <w:iCs/>
        </w:rPr>
      </w:pPr>
      <w:r w:rsidRPr="007B6FBA">
        <w:rPr>
          <w:rFonts w:asciiTheme="minorBidi" w:hAnsiTheme="minorBidi"/>
          <w:i/>
          <w:iCs/>
        </w:rPr>
        <w:t>…</w:t>
      </w:r>
    </w:p>
    <w:p w14:paraId="6707A617" w14:textId="208A6D69" w:rsidR="00E34749" w:rsidRPr="007B6FBA" w:rsidRDefault="00E34749" w:rsidP="006F702D">
      <w:pPr>
        <w:pStyle w:val="FootnoteText"/>
        <w:spacing w:line="480" w:lineRule="auto"/>
        <w:jc w:val="both"/>
        <w:rPr>
          <w:rFonts w:asciiTheme="minorBidi" w:hAnsiTheme="minorBidi"/>
        </w:rPr>
      </w:pPr>
      <w:r w:rsidRPr="007B6FBA">
        <w:rPr>
          <w:rFonts w:asciiTheme="minorBidi" w:hAnsiTheme="minorBidi"/>
        </w:rPr>
        <w:t>Section 3(4)</w:t>
      </w:r>
      <w:r w:rsidR="003268AC">
        <w:rPr>
          <w:rFonts w:asciiTheme="minorBidi" w:hAnsiTheme="minorBidi"/>
        </w:rPr>
        <w:t xml:space="preserve"> </w:t>
      </w:r>
      <w:r w:rsidRPr="007B6FBA">
        <w:rPr>
          <w:rFonts w:asciiTheme="minorBidi" w:hAnsiTheme="minorBidi"/>
        </w:rPr>
        <w:t>define</w:t>
      </w:r>
      <w:r w:rsidR="003268AC">
        <w:rPr>
          <w:rFonts w:asciiTheme="minorBidi" w:hAnsiTheme="minorBidi"/>
        </w:rPr>
        <w:t>s</w:t>
      </w:r>
      <w:r w:rsidRPr="007B6FBA">
        <w:rPr>
          <w:rFonts w:asciiTheme="minorBidi" w:hAnsiTheme="minorBidi"/>
        </w:rPr>
        <w:t xml:space="preserve"> hearsay evidence as: </w:t>
      </w:r>
    </w:p>
    <w:p w14:paraId="400DDF61" w14:textId="5F9E8A50" w:rsidR="00E34749" w:rsidRPr="007B6FBA" w:rsidRDefault="00E34749" w:rsidP="006F702D">
      <w:pPr>
        <w:pStyle w:val="FootnoteText"/>
        <w:spacing w:line="480" w:lineRule="auto"/>
        <w:ind w:left="720"/>
        <w:jc w:val="both"/>
        <w:rPr>
          <w:rFonts w:asciiTheme="minorBidi" w:hAnsiTheme="minorBidi"/>
          <w:i/>
          <w:iCs/>
        </w:rPr>
      </w:pPr>
      <w:r w:rsidRPr="007B6FBA">
        <w:rPr>
          <w:rFonts w:asciiTheme="minorBidi" w:hAnsiTheme="minorBidi"/>
          <w:i/>
          <w:iCs/>
        </w:rPr>
        <w:t>‘evidence, whether oral or in writing, the probative value of which depends upon the credibility of any person other than the person giving such evidence’.</w:t>
      </w:r>
    </w:p>
  </w:footnote>
  <w:footnote w:id="19">
    <w:p w14:paraId="7FD30595" w14:textId="15EE9F7F" w:rsidR="00444CE9" w:rsidRPr="007B6FBA" w:rsidRDefault="00444CE9"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 xml:space="preserve">Godi v S </w:t>
      </w:r>
      <w:r w:rsidRPr="007B6FBA">
        <w:rPr>
          <w:rFonts w:asciiTheme="minorBidi" w:hAnsiTheme="minorBidi"/>
        </w:rPr>
        <w:t>(A683/09) [2011] ZAWCHC 247 (31 May 2011) at para 20.</w:t>
      </w:r>
    </w:p>
  </w:footnote>
  <w:footnote w:id="20">
    <w:p w14:paraId="29391F6D" w14:textId="6CF4A191" w:rsidR="00A633A2" w:rsidRPr="007B6FBA" w:rsidRDefault="00A633A2"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Mathebula v RAF</w:t>
      </w:r>
      <w:r w:rsidRPr="007B6FBA">
        <w:rPr>
          <w:rFonts w:asciiTheme="minorBidi" w:hAnsiTheme="minorBidi"/>
        </w:rPr>
        <w:t xml:space="preserve"> (05967/05) [2006] ZAGPPHC 261 (8 November 2006) at para 13</w:t>
      </w:r>
      <w:r w:rsidR="004D2E8C" w:rsidRPr="007B6FBA">
        <w:rPr>
          <w:rFonts w:asciiTheme="minorBidi" w:hAnsiTheme="minorBidi"/>
        </w:rPr>
        <w:t xml:space="preserve">; </w:t>
      </w:r>
      <w:r w:rsidR="004D2E8C" w:rsidRPr="007B6FBA">
        <w:rPr>
          <w:rFonts w:asciiTheme="minorBidi" w:hAnsiTheme="minorBidi"/>
          <w:i/>
          <w:iCs/>
        </w:rPr>
        <w:t>Holtzhauzen v Roodt</w:t>
      </w:r>
      <w:r w:rsidR="004D2E8C" w:rsidRPr="007B6FBA">
        <w:rPr>
          <w:rFonts w:asciiTheme="minorBidi" w:hAnsiTheme="minorBidi"/>
        </w:rPr>
        <w:t xml:space="preserve"> 1997 (4) SA 766 (W) at 772.</w:t>
      </w:r>
    </w:p>
  </w:footnote>
  <w:footnote w:id="21">
    <w:p w14:paraId="2079652E" w14:textId="639FF62F" w:rsidR="004D2E8C" w:rsidRPr="007B6FBA" w:rsidRDefault="004D2E8C"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bookmarkStart w:id="2" w:name="_Hlk145015751"/>
      <w:r w:rsidRPr="007B6FBA">
        <w:rPr>
          <w:rFonts w:asciiTheme="minorBidi" w:hAnsiTheme="minorBidi"/>
          <w:i/>
          <w:iCs/>
        </w:rPr>
        <w:t>P</w:t>
      </w:r>
      <w:r w:rsidR="00444CE9" w:rsidRPr="007B6FBA">
        <w:rPr>
          <w:rFonts w:asciiTheme="minorBidi" w:hAnsiTheme="minorBidi"/>
          <w:i/>
          <w:iCs/>
        </w:rPr>
        <w:t xml:space="preserve">WC v National </w:t>
      </w:r>
      <w:r w:rsidR="00A7464E" w:rsidRPr="007B6FBA">
        <w:rPr>
          <w:rFonts w:asciiTheme="minorBidi" w:hAnsiTheme="minorBidi"/>
          <w:i/>
          <w:iCs/>
        </w:rPr>
        <w:t>Potato</w:t>
      </w:r>
      <w:r w:rsidR="00444CE9" w:rsidRPr="007B6FBA">
        <w:rPr>
          <w:rFonts w:asciiTheme="minorBidi" w:hAnsiTheme="minorBidi"/>
          <w:i/>
          <w:iCs/>
        </w:rPr>
        <w:t xml:space="preserve"> Co-Op</w:t>
      </w:r>
      <w:r w:rsidR="00444CE9" w:rsidRPr="007B6FBA">
        <w:rPr>
          <w:rFonts w:asciiTheme="minorBidi" w:hAnsiTheme="minorBidi"/>
        </w:rPr>
        <w:t xml:space="preserve"> [2015] All SA 403 (SCA) paras 326-330.</w:t>
      </w:r>
      <w:bookmarkEnd w:id="2"/>
    </w:p>
  </w:footnote>
  <w:footnote w:id="22">
    <w:p w14:paraId="46F67A3A" w14:textId="1BEF5B45" w:rsidR="00444CE9" w:rsidRPr="007B6FBA" w:rsidRDefault="00444CE9"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S v Ndlovu</w:t>
      </w:r>
      <w:r w:rsidRPr="007B6FBA">
        <w:rPr>
          <w:rFonts w:asciiTheme="minorBidi" w:hAnsiTheme="minorBidi"/>
        </w:rPr>
        <w:t xml:space="preserve"> 1987 1 PH H37 (A) at 68. </w:t>
      </w:r>
    </w:p>
  </w:footnote>
  <w:footnote w:id="23">
    <w:p w14:paraId="2B1B800F" w14:textId="0997A31F" w:rsidR="00666BFC" w:rsidRPr="007B6FBA" w:rsidRDefault="00666BFC"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Motor Vehicle Assurance Fund v Dubuzane</w:t>
      </w:r>
      <w:r w:rsidRPr="007B6FBA">
        <w:rPr>
          <w:rFonts w:asciiTheme="minorBidi" w:hAnsiTheme="minorBidi"/>
        </w:rPr>
        <w:t xml:space="preserve"> 1984 (1) SA 700 (A) at 706; </w:t>
      </w:r>
      <w:r w:rsidRPr="007B6FBA">
        <w:rPr>
          <w:rFonts w:asciiTheme="minorBidi" w:hAnsiTheme="minorBidi"/>
          <w:i/>
          <w:iCs/>
        </w:rPr>
        <w:t>Great River Shipping v Sunnyface Marine 1994 (1) SA 65 (C) at 75</w:t>
      </w:r>
      <w:r w:rsidR="00A633A2" w:rsidRPr="007B6FBA">
        <w:rPr>
          <w:rFonts w:asciiTheme="minorBidi" w:hAnsiTheme="minorBidi"/>
        </w:rPr>
        <w:t xml:space="preserve">; </w:t>
      </w:r>
      <w:r w:rsidR="00A633A2" w:rsidRPr="007B6FBA">
        <w:rPr>
          <w:rFonts w:asciiTheme="minorBidi" w:hAnsiTheme="minorBidi"/>
          <w:i/>
          <w:iCs/>
        </w:rPr>
        <w:t>R v Theunissen</w:t>
      </w:r>
      <w:r w:rsidR="00A633A2" w:rsidRPr="007B6FBA">
        <w:rPr>
          <w:rFonts w:asciiTheme="minorBidi" w:hAnsiTheme="minorBidi"/>
        </w:rPr>
        <w:t xml:space="preserve"> 1948 (4) SA 43 (C) at 46; </w:t>
      </w:r>
      <w:r w:rsidR="00A633A2" w:rsidRPr="007B6FBA">
        <w:rPr>
          <w:rFonts w:asciiTheme="minorBidi" w:hAnsiTheme="minorBidi"/>
          <w:i/>
          <w:iCs/>
        </w:rPr>
        <w:t>R v Dembo</w:t>
      </w:r>
      <w:r w:rsidR="00A633A2" w:rsidRPr="007B6FBA">
        <w:rPr>
          <w:rFonts w:asciiTheme="minorBidi" w:hAnsiTheme="minorBidi"/>
        </w:rPr>
        <w:t xml:space="preserve"> 1952 (2) SA 244 (T) at 249E.</w:t>
      </w:r>
    </w:p>
  </w:footnote>
  <w:footnote w:id="24">
    <w:p w14:paraId="3635A2AC" w14:textId="3AC6B1CC" w:rsidR="00666BFC" w:rsidRPr="007B6FBA" w:rsidRDefault="00666BFC"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R v Sibanda</w:t>
      </w:r>
      <w:r w:rsidRPr="007B6FBA">
        <w:rPr>
          <w:rFonts w:asciiTheme="minorBidi" w:hAnsiTheme="minorBidi"/>
        </w:rPr>
        <w:t xml:space="preserve"> 1963 (4) SA 182 (SR) at 190; </w:t>
      </w:r>
      <w:r w:rsidR="00A633A2" w:rsidRPr="007B6FBA">
        <w:rPr>
          <w:rFonts w:asciiTheme="minorBidi" w:hAnsiTheme="minorBidi"/>
          <w:i/>
          <w:iCs/>
        </w:rPr>
        <w:t>R v Nyamayaro</w:t>
      </w:r>
      <w:r w:rsidR="00A633A2" w:rsidRPr="007B6FBA">
        <w:rPr>
          <w:rFonts w:asciiTheme="minorBidi" w:hAnsiTheme="minorBidi"/>
        </w:rPr>
        <w:t xml:space="preserve"> 1967 (4) SA 263 (RA) at 264.</w:t>
      </w:r>
    </w:p>
  </w:footnote>
  <w:footnote w:id="25">
    <w:p w14:paraId="41E35946" w14:textId="37B97615" w:rsidR="00A633A2" w:rsidRPr="007B6FBA" w:rsidRDefault="00A633A2"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Powernet Services 1988 v Government of the Republic of South Africa</w:t>
      </w:r>
      <w:r w:rsidRPr="007B6FBA">
        <w:rPr>
          <w:rFonts w:asciiTheme="minorBidi" w:hAnsiTheme="minorBidi"/>
        </w:rPr>
        <w:t xml:space="preserve"> 1998 (2) SA 8 (SCA) at 19; </w:t>
      </w:r>
      <w:r w:rsidRPr="007B6FBA">
        <w:rPr>
          <w:rFonts w:asciiTheme="minorBidi" w:hAnsiTheme="minorBidi"/>
          <w:i/>
          <w:iCs/>
        </w:rPr>
        <w:t>S v Armstrong</w:t>
      </w:r>
      <w:r w:rsidRPr="007B6FBA">
        <w:rPr>
          <w:rFonts w:asciiTheme="minorBidi" w:hAnsiTheme="minorBidi"/>
        </w:rPr>
        <w:t xml:space="preserve"> 1998 (1) SACR 698 (SE) at 703. </w:t>
      </w:r>
    </w:p>
  </w:footnote>
  <w:footnote w:id="26">
    <w:p w14:paraId="4694CBB7" w14:textId="28AF2C75" w:rsidR="007D0C9E" w:rsidRPr="007B6FBA" w:rsidRDefault="007D0C9E" w:rsidP="006F702D">
      <w:pPr>
        <w:pStyle w:val="FootnoteText"/>
        <w:spacing w:line="480" w:lineRule="auto"/>
        <w:jc w:val="both"/>
        <w:rPr>
          <w:rFonts w:asciiTheme="minorBidi" w:hAnsiTheme="minorBidi"/>
          <w:lang w:val="en-US"/>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Ndlovu v RAF</w:t>
      </w:r>
      <w:r w:rsidRPr="007B6FBA">
        <w:rPr>
          <w:rFonts w:asciiTheme="minorBidi" w:hAnsiTheme="minorBidi"/>
        </w:rPr>
        <w:t xml:space="preserve"> (1) SA 415 (GSJ) at para 104.</w:t>
      </w:r>
    </w:p>
  </w:footnote>
  <w:footnote w:id="27">
    <w:p w14:paraId="53E16C8D" w14:textId="77777777" w:rsidR="00362D1E" w:rsidRPr="007B6FBA" w:rsidRDefault="00362D1E"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bookmarkStart w:id="3" w:name="_Hlk145015792"/>
      <w:r w:rsidRPr="007B6FBA">
        <w:rPr>
          <w:rFonts w:asciiTheme="minorBidi" w:hAnsiTheme="minorBidi"/>
          <w:i/>
          <w:iCs/>
        </w:rPr>
        <w:t>Schneider v Aspeling</w:t>
      </w:r>
      <w:r w:rsidRPr="007B6FBA">
        <w:rPr>
          <w:rFonts w:asciiTheme="minorBidi" w:hAnsiTheme="minorBidi"/>
        </w:rPr>
        <w:t xml:space="preserve"> 2010 (5) SA 203 (WCC</w:t>
      </w:r>
      <w:bookmarkEnd w:id="3"/>
      <w:r w:rsidRPr="007B6FBA">
        <w:rPr>
          <w:rFonts w:asciiTheme="minorBidi" w:hAnsiTheme="minorBidi"/>
        </w:rPr>
        <w:t>) 211.</w:t>
      </w:r>
    </w:p>
  </w:footnote>
  <w:footnote w:id="28">
    <w:p w14:paraId="0A0E52B7" w14:textId="4FCB8666" w:rsidR="00362D1E" w:rsidRPr="007B6FBA" w:rsidRDefault="00362D1E" w:rsidP="006F702D">
      <w:pPr>
        <w:pStyle w:val="FootnoteText"/>
        <w:spacing w:line="480" w:lineRule="auto"/>
        <w:jc w:val="both"/>
        <w:rPr>
          <w:rFonts w:asciiTheme="minorBidi" w:hAnsiTheme="minorBidi"/>
          <w:i/>
          <w:iCs/>
        </w:rPr>
      </w:pPr>
      <w:r w:rsidRPr="007B6FBA">
        <w:rPr>
          <w:rStyle w:val="FootnoteReference"/>
          <w:rFonts w:asciiTheme="minorBidi" w:hAnsiTheme="minorBidi"/>
        </w:rPr>
        <w:footnoteRef/>
      </w:r>
      <w:r w:rsidRPr="007B6FBA">
        <w:rPr>
          <w:rFonts w:asciiTheme="minorBidi" w:hAnsiTheme="minorBidi"/>
        </w:rPr>
        <w:t xml:space="preserve"> See </w:t>
      </w:r>
      <w:r w:rsidR="00A7464E" w:rsidRPr="007B6FBA">
        <w:rPr>
          <w:rFonts w:asciiTheme="minorBidi" w:hAnsiTheme="minorBidi"/>
          <w:i/>
          <w:iCs/>
        </w:rPr>
        <w:t xml:space="preserve">Nicholson v Road Accident Fund (07/11453) [2012] ZAGPJHC 137 (30 March 2012) </w:t>
      </w:r>
      <w:r w:rsidRPr="007B6FBA">
        <w:rPr>
          <w:rFonts w:asciiTheme="minorBidi" w:hAnsiTheme="minorBidi"/>
        </w:rPr>
        <w:t xml:space="preserve">para 17. </w:t>
      </w:r>
    </w:p>
  </w:footnote>
  <w:footnote w:id="29">
    <w:p w14:paraId="6287F9C4" w14:textId="4DEFC44E" w:rsidR="00362D1E" w:rsidRPr="007B6FBA" w:rsidRDefault="00362D1E" w:rsidP="006F702D">
      <w:pPr>
        <w:pStyle w:val="FootnoteText"/>
        <w:spacing w:line="480" w:lineRule="auto"/>
        <w:jc w:val="both"/>
        <w:rPr>
          <w:rFonts w:asciiTheme="minorBidi" w:hAnsiTheme="minorBidi"/>
        </w:rPr>
      </w:pPr>
      <w:r w:rsidRPr="007B6FBA">
        <w:rPr>
          <w:rStyle w:val="FootnoteReference"/>
          <w:rFonts w:asciiTheme="minorBidi" w:hAnsiTheme="minorBidi"/>
          <w:i/>
          <w:iCs/>
        </w:rPr>
        <w:footnoteRef/>
      </w:r>
      <w:r w:rsidRPr="007B6FBA">
        <w:rPr>
          <w:rFonts w:asciiTheme="minorBidi" w:hAnsiTheme="minorBidi"/>
          <w:i/>
          <w:iCs/>
        </w:rPr>
        <w:t xml:space="preserve"> National Justice Compania Naviera SA v Prudential Assurance</w:t>
      </w:r>
      <w:r w:rsidRPr="007B6FBA">
        <w:rPr>
          <w:rFonts w:asciiTheme="minorBidi" w:hAnsiTheme="minorBidi"/>
        </w:rPr>
        <w:t xml:space="preserve"> (The ‘Ikarian Reefer’) 1993 (2) Lloyds Reports 68 at 81 applied in </w:t>
      </w:r>
      <w:r w:rsidRPr="007B6FBA">
        <w:rPr>
          <w:rFonts w:asciiTheme="minorBidi" w:hAnsiTheme="minorBidi"/>
          <w:i/>
          <w:iCs/>
        </w:rPr>
        <w:t>National Justice Cia Naviera SA v Prudential Assurance</w:t>
      </w:r>
      <w:r w:rsidRPr="007B6FBA">
        <w:rPr>
          <w:rFonts w:asciiTheme="minorBidi" w:hAnsiTheme="minorBidi"/>
        </w:rPr>
        <w:t xml:space="preserve"> [1995] 1 Lloyd’s Rep 455 at 496</w:t>
      </w:r>
      <w:r w:rsidR="00A7464E" w:rsidRPr="007B6FBA">
        <w:rPr>
          <w:rFonts w:asciiTheme="minorBidi" w:hAnsiTheme="minorBidi"/>
        </w:rPr>
        <w:t>.</w:t>
      </w:r>
    </w:p>
  </w:footnote>
  <w:footnote w:id="30">
    <w:p w14:paraId="5A8823FD" w14:textId="008B8082" w:rsidR="00D403DE" w:rsidRPr="007B6FBA" w:rsidRDefault="00D403DE"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004916B5" w:rsidRPr="007B6FBA">
        <w:rPr>
          <w:rFonts w:asciiTheme="minorBidi" w:hAnsiTheme="minorBidi"/>
        </w:rPr>
        <w:t xml:space="preserve">Judgement by Sir Peter Cresswell in </w:t>
      </w:r>
      <w:r w:rsidR="004916B5" w:rsidRPr="007B6FBA">
        <w:rPr>
          <w:rFonts w:asciiTheme="minorBidi" w:hAnsiTheme="minorBidi"/>
          <w:i/>
          <w:iCs/>
        </w:rPr>
        <w:t>National Justice Cia Naviera SA v Prudential Assurance Co Ltd</w:t>
      </w:r>
      <w:r w:rsidR="004916B5" w:rsidRPr="007B6FBA">
        <w:rPr>
          <w:rFonts w:asciiTheme="minorBidi" w:hAnsiTheme="minorBidi"/>
        </w:rPr>
        <w:t xml:space="preserve"> (The Ikarian Reefer) [1993] 2 Lloyd’s Rep 68, 81- 82; [1993] F.S.R. 563; [1993] 37 E.G. 158</w:t>
      </w:r>
      <w:r w:rsidRPr="007B6FBA">
        <w:rPr>
          <w:rFonts w:asciiTheme="minorBidi" w:hAnsiTheme="minorBidi"/>
        </w:rPr>
        <w:t>81</w:t>
      </w:r>
      <w:r w:rsidR="00A7464E" w:rsidRPr="007B6FBA">
        <w:rPr>
          <w:rFonts w:asciiTheme="minorBidi" w:hAnsiTheme="minorBidi"/>
        </w:rPr>
        <w:t xml:space="preserve"> quoted with approval by the SCA in </w:t>
      </w:r>
      <w:r w:rsidR="00A7464E" w:rsidRPr="007B6FBA">
        <w:rPr>
          <w:rFonts w:asciiTheme="minorBidi" w:hAnsiTheme="minorBidi"/>
          <w:i/>
          <w:iCs/>
        </w:rPr>
        <w:t>PWC v National Potato Co-Op</w:t>
      </w:r>
      <w:r w:rsidR="00A7464E" w:rsidRPr="007B6FBA">
        <w:rPr>
          <w:rFonts w:asciiTheme="minorBidi" w:hAnsiTheme="minorBidi"/>
        </w:rPr>
        <w:t xml:space="preserve"> [2015] All SA 403 (SCA) para 98</w:t>
      </w:r>
      <w:r w:rsidRPr="007B6FBA">
        <w:rPr>
          <w:rFonts w:asciiTheme="minorBidi" w:hAnsiTheme="minorBidi"/>
        </w:rPr>
        <w:t xml:space="preserve">; </w:t>
      </w:r>
      <w:r w:rsidR="00A7464E" w:rsidRPr="007B6FBA">
        <w:rPr>
          <w:rFonts w:asciiTheme="minorBidi" w:hAnsiTheme="minorBidi"/>
          <w:i/>
          <w:iCs/>
        </w:rPr>
        <w:t>Schneider v Aspeling</w:t>
      </w:r>
      <w:r w:rsidR="00A7464E" w:rsidRPr="007B6FBA">
        <w:rPr>
          <w:rFonts w:asciiTheme="minorBidi" w:hAnsiTheme="minorBidi"/>
        </w:rPr>
        <w:t xml:space="preserve"> 2010 (5) SA 203 (WCC ay </w:t>
      </w:r>
      <w:r w:rsidRPr="007B6FBA">
        <w:rPr>
          <w:rFonts w:asciiTheme="minorBidi" w:hAnsiTheme="minorBidi"/>
        </w:rPr>
        <w:t xml:space="preserve">211. </w:t>
      </w:r>
    </w:p>
  </w:footnote>
  <w:footnote w:id="31">
    <w:p w14:paraId="772C401F" w14:textId="77D2EEC8" w:rsidR="00D83A6E" w:rsidRPr="007B6FBA" w:rsidRDefault="00D83A6E"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Ndlovu</w:t>
      </w:r>
      <w:r w:rsidR="004916B5" w:rsidRPr="007B6FBA">
        <w:rPr>
          <w:rFonts w:asciiTheme="minorBidi" w:hAnsiTheme="minorBidi"/>
          <w:i/>
          <w:iCs/>
        </w:rPr>
        <w:t xml:space="preserve"> v RAF</w:t>
      </w:r>
      <w:r w:rsidR="004916B5" w:rsidRPr="007B6FBA">
        <w:rPr>
          <w:rFonts w:asciiTheme="minorBidi" w:hAnsiTheme="minorBidi"/>
        </w:rPr>
        <w:t xml:space="preserve"> (1) SA 415 (GSJ) at</w:t>
      </w:r>
      <w:r w:rsidRPr="007B6FBA">
        <w:rPr>
          <w:rFonts w:asciiTheme="minorBidi" w:hAnsiTheme="minorBidi"/>
        </w:rPr>
        <w:t xml:space="preserve"> 437-438. Also see </w:t>
      </w:r>
      <w:r w:rsidRPr="007B6FBA">
        <w:rPr>
          <w:rFonts w:asciiTheme="minorBidi" w:hAnsiTheme="minorBidi"/>
          <w:i/>
          <w:iCs/>
        </w:rPr>
        <w:t>P v P</w:t>
      </w:r>
      <w:r w:rsidRPr="007B6FBA">
        <w:rPr>
          <w:rFonts w:asciiTheme="minorBidi" w:hAnsiTheme="minorBidi"/>
        </w:rPr>
        <w:t xml:space="preserve"> 2007 (5) SA 94 (SCA) 98. </w:t>
      </w:r>
    </w:p>
  </w:footnote>
  <w:footnote w:id="32">
    <w:p w14:paraId="28C8CB2F" w14:textId="285C29CF" w:rsidR="005A4A2F" w:rsidRPr="007B6FBA" w:rsidRDefault="005A4A2F"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004916B5" w:rsidRPr="007B6FBA">
        <w:rPr>
          <w:rFonts w:asciiTheme="minorBidi" w:hAnsiTheme="minorBidi"/>
          <w:i/>
          <w:iCs/>
        </w:rPr>
        <w:t>Twine v Naidoo</w:t>
      </w:r>
      <w:r w:rsidR="004916B5" w:rsidRPr="007B6FBA">
        <w:rPr>
          <w:rFonts w:asciiTheme="minorBidi" w:hAnsiTheme="minorBidi"/>
        </w:rPr>
        <w:t xml:space="preserve"> [2018] 1 All SA 297 (GJ) at </w:t>
      </w:r>
      <w:r w:rsidRPr="007B6FBA">
        <w:rPr>
          <w:rFonts w:asciiTheme="minorBidi" w:hAnsiTheme="minorBidi"/>
        </w:rPr>
        <w:t xml:space="preserve">18(i). </w:t>
      </w:r>
    </w:p>
  </w:footnote>
  <w:footnote w:id="33">
    <w:p w14:paraId="3A27A3B0" w14:textId="5A6009A3" w:rsidR="005A4A2F" w:rsidRPr="007B6FBA" w:rsidRDefault="005A4A2F"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004916B5" w:rsidRPr="007B6FBA">
        <w:rPr>
          <w:rFonts w:asciiTheme="minorBidi" w:hAnsiTheme="minorBidi"/>
          <w:i/>
          <w:iCs/>
        </w:rPr>
        <w:t>Twine v Naidoo</w:t>
      </w:r>
      <w:r w:rsidR="004916B5" w:rsidRPr="007B6FBA">
        <w:rPr>
          <w:rFonts w:asciiTheme="minorBidi" w:hAnsiTheme="minorBidi"/>
        </w:rPr>
        <w:t xml:space="preserve"> [2018] 1 All SA 297 (GJ) at </w:t>
      </w:r>
      <w:r w:rsidRPr="007B6FBA">
        <w:rPr>
          <w:rFonts w:asciiTheme="minorBidi" w:hAnsiTheme="minorBidi"/>
        </w:rPr>
        <w:t xml:space="preserve">para 18(j). </w:t>
      </w:r>
    </w:p>
  </w:footnote>
  <w:footnote w:id="34">
    <w:p w14:paraId="779FAD43" w14:textId="72D7E4BF" w:rsidR="009B3999" w:rsidRPr="007B6FBA" w:rsidRDefault="009B3999" w:rsidP="006F702D">
      <w:pPr>
        <w:pStyle w:val="FootnoteText"/>
        <w:spacing w:line="480" w:lineRule="auto"/>
        <w:jc w:val="both"/>
        <w:rPr>
          <w:rFonts w:asciiTheme="minorBidi" w:hAnsiTheme="minorBidi"/>
          <w:lang w:val="pt-BR"/>
        </w:rPr>
      </w:pPr>
      <w:r w:rsidRPr="007B6FBA">
        <w:rPr>
          <w:rStyle w:val="FootnoteReference"/>
          <w:rFonts w:asciiTheme="minorBidi" w:hAnsiTheme="minorBidi"/>
        </w:rPr>
        <w:footnoteRef/>
      </w:r>
      <w:r w:rsidRPr="007B6FBA">
        <w:rPr>
          <w:rFonts w:asciiTheme="minorBidi" w:hAnsiTheme="minorBidi"/>
          <w:lang w:val="pt-BR"/>
        </w:rPr>
        <w:t xml:space="preserve"> </w:t>
      </w:r>
      <w:r w:rsidR="00A731AE" w:rsidRPr="007B6FBA">
        <w:rPr>
          <w:rFonts w:asciiTheme="minorBidi" w:hAnsiTheme="minorBidi"/>
          <w:i/>
          <w:iCs/>
        </w:rPr>
        <w:t>Menday v Protea Assurance </w:t>
      </w:r>
      <w:r w:rsidR="00A731AE" w:rsidRPr="007B6FBA">
        <w:rPr>
          <w:rFonts w:asciiTheme="minorBidi" w:hAnsiTheme="minorBidi"/>
        </w:rPr>
        <w:t>Co Ltd 1976 (1) SA 565 (E) </w:t>
      </w:r>
      <w:r w:rsidRPr="007B6FBA">
        <w:rPr>
          <w:rFonts w:asciiTheme="minorBidi" w:hAnsiTheme="minorBidi"/>
          <w:lang w:val="pt-BR"/>
        </w:rPr>
        <w:t xml:space="preserve">at 569. </w:t>
      </w:r>
    </w:p>
  </w:footnote>
  <w:footnote w:id="35">
    <w:p w14:paraId="3F50A60A" w14:textId="5BC9336D" w:rsidR="009B3999" w:rsidRPr="007B6FBA" w:rsidRDefault="009B3999" w:rsidP="006F702D">
      <w:pPr>
        <w:pStyle w:val="FootnoteText"/>
        <w:spacing w:line="480" w:lineRule="auto"/>
        <w:jc w:val="both"/>
        <w:rPr>
          <w:rFonts w:asciiTheme="minorBidi" w:hAnsiTheme="minorBidi"/>
          <w:lang w:val="pt-BR"/>
        </w:rPr>
      </w:pPr>
      <w:r w:rsidRPr="007B6FBA">
        <w:rPr>
          <w:rStyle w:val="FootnoteReference"/>
          <w:rFonts w:asciiTheme="minorBidi" w:hAnsiTheme="minorBidi"/>
        </w:rPr>
        <w:footnoteRef/>
      </w:r>
      <w:r w:rsidRPr="007B6FBA">
        <w:rPr>
          <w:rFonts w:asciiTheme="minorBidi" w:hAnsiTheme="minorBidi"/>
          <w:lang w:val="pt-BR"/>
        </w:rPr>
        <w:t xml:space="preserve"> </w:t>
      </w:r>
      <w:r w:rsidRPr="007B6FBA">
        <w:rPr>
          <w:rFonts w:asciiTheme="minorBidi" w:hAnsiTheme="minorBidi"/>
          <w:i/>
          <w:iCs/>
          <w:lang w:val="pt-BR"/>
        </w:rPr>
        <w:t>S v Van As</w:t>
      </w:r>
      <w:r w:rsidRPr="007B6FBA">
        <w:rPr>
          <w:rFonts w:asciiTheme="minorBidi" w:hAnsiTheme="minorBidi"/>
          <w:lang w:val="pt-BR"/>
        </w:rPr>
        <w:t xml:space="preserve"> </w:t>
      </w:r>
      <w:r w:rsidR="00A731AE" w:rsidRPr="007B6FBA">
        <w:rPr>
          <w:rFonts w:asciiTheme="minorBidi" w:hAnsiTheme="minorBidi"/>
          <w:lang w:val="pt-BR"/>
        </w:rPr>
        <w:t xml:space="preserve">1991 (2) SACR 74 (W) at </w:t>
      </w:r>
      <w:r w:rsidRPr="007B6FBA">
        <w:rPr>
          <w:rFonts w:asciiTheme="minorBidi" w:hAnsiTheme="minorBidi"/>
          <w:lang w:val="pt-BR"/>
        </w:rPr>
        <w:t xml:space="preserve">86. </w:t>
      </w:r>
    </w:p>
  </w:footnote>
  <w:footnote w:id="36">
    <w:p w14:paraId="13FE9352" w14:textId="289FD88A" w:rsidR="009B3999" w:rsidRPr="007B6FBA" w:rsidRDefault="009B3999" w:rsidP="006F702D">
      <w:pPr>
        <w:pStyle w:val="FootnoteText"/>
        <w:spacing w:line="480" w:lineRule="auto"/>
        <w:jc w:val="both"/>
        <w:rPr>
          <w:rFonts w:asciiTheme="minorBidi" w:hAnsiTheme="minorBidi"/>
          <w:lang w:val="es-ES"/>
        </w:rPr>
      </w:pPr>
      <w:r w:rsidRPr="007B6FBA">
        <w:rPr>
          <w:rStyle w:val="FootnoteReference"/>
          <w:rFonts w:asciiTheme="minorBidi" w:hAnsiTheme="minorBidi"/>
        </w:rPr>
        <w:footnoteRef/>
      </w:r>
      <w:r w:rsidRPr="007B6FBA">
        <w:rPr>
          <w:rFonts w:asciiTheme="minorBidi" w:hAnsiTheme="minorBidi"/>
          <w:lang w:val="es-ES"/>
        </w:rPr>
        <w:t xml:space="preserve"> </w:t>
      </w:r>
      <w:r w:rsidRPr="007B6FBA">
        <w:rPr>
          <w:rFonts w:asciiTheme="minorBidi" w:hAnsiTheme="minorBidi"/>
          <w:i/>
          <w:iCs/>
          <w:lang w:val="es-ES"/>
        </w:rPr>
        <w:t>Van Heerden</w:t>
      </w:r>
      <w:r w:rsidR="00A731AE" w:rsidRPr="007B6FBA">
        <w:rPr>
          <w:rFonts w:asciiTheme="minorBidi" w:hAnsiTheme="minorBidi"/>
          <w:i/>
          <w:iCs/>
          <w:lang w:val="es-ES"/>
        </w:rPr>
        <w:t xml:space="preserve"> v SA Pulp and Paper Industries </w:t>
      </w:r>
      <w:r w:rsidR="00A731AE" w:rsidRPr="007B6FBA">
        <w:rPr>
          <w:rFonts w:asciiTheme="minorBidi" w:hAnsiTheme="minorBidi"/>
          <w:lang w:val="es-ES"/>
        </w:rPr>
        <w:t>1945 (2) PH J14.</w:t>
      </w:r>
      <w:r w:rsidRPr="007B6FBA">
        <w:rPr>
          <w:rFonts w:asciiTheme="minorBidi" w:hAnsiTheme="minorBidi"/>
          <w:lang w:val="es-ES"/>
        </w:rPr>
        <w:t xml:space="preserve"> </w:t>
      </w:r>
    </w:p>
  </w:footnote>
  <w:footnote w:id="37">
    <w:p w14:paraId="2866616B" w14:textId="1CF6DC10" w:rsidR="009B3999" w:rsidRPr="007B6FBA" w:rsidRDefault="009B3999" w:rsidP="006F702D">
      <w:pPr>
        <w:pStyle w:val="FootnoteText"/>
        <w:spacing w:line="480" w:lineRule="auto"/>
        <w:jc w:val="both"/>
        <w:rPr>
          <w:rFonts w:asciiTheme="minorBidi" w:hAnsiTheme="minorBidi"/>
          <w:lang w:val="es-ES"/>
        </w:rPr>
      </w:pPr>
      <w:r w:rsidRPr="007B6FBA">
        <w:rPr>
          <w:rStyle w:val="FootnoteReference"/>
          <w:rFonts w:asciiTheme="minorBidi" w:hAnsiTheme="minorBidi"/>
        </w:rPr>
        <w:footnoteRef/>
      </w:r>
      <w:r w:rsidRPr="007B6FBA">
        <w:rPr>
          <w:rFonts w:asciiTheme="minorBidi" w:hAnsiTheme="minorBidi"/>
          <w:lang w:val="es-ES"/>
        </w:rPr>
        <w:t xml:space="preserve"> </w:t>
      </w:r>
      <w:r w:rsidR="004916B5" w:rsidRPr="007B6FBA">
        <w:rPr>
          <w:rFonts w:asciiTheme="minorBidi" w:hAnsiTheme="minorBidi"/>
          <w:lang w:val="es-ES"/>
        </w:rPr>
        <w:t xml:space="preserve">PJ </w:t>
      </w:r>
      <w:r w:rsidRPr="007B6FBA">
        <w:rPr>
          <w:rFonts w:asciiTheme="minorBidi" w:hAnsiTheme="minorBidi"/>
          <w:lang w:val="es-ES"/>
        </w:rPr>
        <w:t xml:space="preserve">Schwikkard &amp; </w:t>
      </w:r>
      <w:r w:rsidR="004916B5" w:rsidRPr="007B6FBA">
        <w:rPr>
          <w:rFonts w:asciiTheme="minorBidi" w:hAnsiTheme="minorBidi"/>
          <w:lang w:val="es-ES"/>
        </w:rPr>
        <w:t xml:space="preserve">SE </w:t>
      </w:r>
      <w:r w:rsidRPr="007B6FBA">
        <w:rPr>
          <w:rFonts w:asciiTheme="minorBidi" w:hAnsiTheme="minorBidi"/>
          <w:lang w:val="es-ES"/>
        </w:rPr>
        <w:t xml:space="preserve">Van der Merwe </w:t>
      </w:r>
      <w:r w:rsidR="004916B5" w:rsidRPr="007B6FBA">
        <w:rPr>
          <w:rFonts w:asciiTheme="minorBidi" w:hAnsiTheme="minorBidi"/>
          <w:lang w:val="es-ES"/>
        </w:rPr>
        <w:t xml:space="preserve">(2016) </w:t>
      </w:r>
      <w:r w:rsidR="004916B5" w:rsidRPr="007B6FBA">
        <w:rPr>
          <w:rFonts w:asciiTheme="minorBidi" w:hAnsiTheme="minorBidi"/>
          <w:i/>
          <w:iCs/>
          <w:lang w:val="es-ES"/>
        </w:rPr>
        <w:t>Principles of Evidnece</w:t>
      </w:r>
      <w:r w:rsidR="004916B5" w:rsidRPr="007B6FBA">
        <w:rPr>
          <w:rFonts w:asciiTheme="minorBidi" w:hAnsiTheme="minorBidi"/>
          <w:lang w:val="es-ES"/>
        </w:rPr>
        <w:t xml:space="preserve"> (3ed) </w:t>
      </w:r>
      <w:r w:rsidRPr="007B6FBA">
        <w:rPr>
          <w:rFonts w:asciiTheme="minorBidi" w:hAnsiTheme="minorBidi"/>
          <w:lang w:val="es-ES"/>
        </w:rPr>
        <w:t xml:space="preserve">108. </w:t>
      </w:r>
    </w:p>
  </w:footnote>
  <w:footnote w:id="38">
    <w:p w14:paraId="7AB41B49" w14:textId="75144B73" w:rsidR="009B3999" w:rsidRPr="007B6FBA" w:rsidRDefault="009B3999" w:rsidP="006F702D">
      <w:pPr>
        <w:pStyle w:val="FootnoteText"/>
        <w:spacing w:line="480" w:lineRule="auto"/>
        <w:jc w:val="both"/>
        <w:rPr>
          <w:rFonts w:asciiTheme="minorBidi" w:hAnsiTheme="minorBidi"/>
          <w:lang w:val="pt-BR"/>
        </w:rPr>
      </w:pPr>
      <w:r w:rsidRPr="007B6FBA">
        <w:rPr>
          <w:rStyle w:val="FootnoteReference"/>
          <w:rFonts w:asciiTheme="minorBidi" w:hAnsiTheme="minorBidi"/>
        </w:rPr>
        <w:footnoteRef/>
      </w:r>
      <w:r w:rsidRPr="007B6FBA">
        <w:rPr>
          <w:rFonts w:asciiTheme="minorBidi" w:hAnsiTheme="minorBidi"/>
          <w:lang w:val="pt-BR"/>
        </w:rPr>
        <w:t xml:space="preserve"> </w:t>
      </w:r>
      <w:r w:rsidR="004916B5" w:rsidRPr="007B6FBA">
        <w:rPr>
          <w:rFonts w:asciiTheme="minorBidi" w:hAnsiTheme="minorBidi"/>
          <w:i/>
          <w:iCs/>
        </w:rPr>
        <w:t xml:space="preserve">S v Kimimbi </w:t>
      </w:r>
      <w:r w:rsidR="004916B5" w:rsidRPr="007B6FBA">
        <w:rPr>
          <w:rFonts w:asciiTheme="minorBidi" w:hAnsiTheme="minorBidi"/>
        </w:rPr>
        <w:t xml:space="preserve">1963 (3) SA 250 (C) </w:t>
      </w:r>
      <w:r w:rsidRPr="007B6FBA">
        <w:rPr>
          <w:rFonts w:asciiTheme="minorBidi" w:hAnsiTheme="minorBidi"/>
          <w:lang w:val="pt-BR"/>
        </w:rPr>
        <w:t>at 251.</w:t>
      </w:r>
    </w:p>
  </w:footnote>
  <w:footnote w:id="39">
    <w:p w14:paraId="6A87C26B" w14:textId="0414AD22" w:rsidR="009B3999" w:rsidRPr="007B6FBA" w:rsidRDefault="009B3999"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In </w:t>
      </w:r>
      <w:r w:rsidRPr="007B6FBA">
        <w:rPr>
          <w:rFonts w:asciiTheme="minorBidi" w:hAnsiTheme="minorBidi"/>
          <w:i/>
          <w:iCs/>
        </w:rPr>
        <w:t>S v Collop</w:t>
      </w:r>
      <w:r w:rsidRPr="007B6FBA">
        <w:rPr>
          <w:rFonts w:asciiTheme="minorBidi" w:hAnsiTheme="minorBidi"/>
        </w:rPr>
        <w:t xml:space="preserve"> 1981 (1) SA 150 (A), at 167B-C, the actual textbook did not become evidence. An expert may refer to data garnered from other experts, provided that the expert has the prerequisite qualifications to analyse the data or find reliable sources</w:t>
      </w:r>
      <w:r w:rsidR="00ED4D2F" w:rsidRPr="007B6FBA">
        <w:rPr>
          <w:rFonts w:asciiTheme="minorBidi" w:hAnsiTheme="minorBidi"/>
        </w:rPr>
        <w:t>:</w:t>
      </w:r>
      <w:r w:rsidRPr="007B6FBA">
        <w:rPr>
          <w:rFonts w:asciiTheme="minorBidi" w:hAnsiTheme="minorBidi"/>
        </w:rPr>
        <w:t xml:space="preserve"> </w:t>
      </w:r>
      <w:r w:rsidR="00ED4D2F" w:rsidRPr="007B6FBA">
        <w:rPr>
          <w:rFonts w:asciiTheme="minorBidi" w:hAnsiTheme="minorBidi"/>
        </w:rPr>
        <w:t>S</w:t>
      </w:r>
      <w:r w:rsidRPr="007B6FBA">
        <w:rPr>
          <w:rFonts w:asciiTheme="minorBidi" w:hAnsiTheme="minorBidi"/>
        </w:rPr>
        <w:t xml:space="preserve">ee </w:t>
      </w:r>
      <w:r w:rsidRPr="007B6FBA">
        <w:rPr>
          <w:rFonts w:asciiTheme="minorBidi" w:hAnsiTheme="minorBidi"/>
          <w:i/>
          <w:iCs/>
        </w:rPr>
        <w:t>S v Kimimbi</w:t>
      </w:r>
      <w:r w:rsidRPr="007B6FBA">
        <w:rPr>
          <w:rFonts w:asciiTheme="minorBidi" w:hAnsiTheme="minorBidi"/>
        </w:rPr>
        <w:t xml:space="preserve"> </w:t>
      </w:r>
      <w:r w:rsidR="00ED4D2F" w:rsidRPr="007B6FBA">
        <w:rPr>
          <w:rFonts w:asciiTheme="minorBidi" w:hAnsiTheme="minorBidi"/>
        </w:rPr>
        <w:t xml:space="preserve">1963 (3) SA 250 (C) </w:t>
      </w:r>
      <w:r w:rsidRPr="007B6FBA">
        <w:rPr>
          <w:rFonts w:asciiTheme="minorBidi" w:hAnsiTheme="minorBidi"/>
        </w:rPr>
        <w:t>at 252</w:t>
      </w:r>
      <w:r w:rsidR="00ED4D2F" w:rsidRPr="007B6FBA">
        <w:rPr>
          <w:rFonts w:asciiTheme="minorBidi" w:hAnsiTheme="minorBidi"/>
        </w:rPr>
        <w:t>.</w:t>
      </w:r>
    </w:p>
  </w:footnote>
  <w:footnote w:id="40">
    <w:p w14:paraId="753A694C" w14:textId="1827EC3F" w:rsidR="009B3999" w:rsidRPr="007B6FBA" w:rsidRDefault="009B3999" w:rsidP="006F702D">
      <w:pPr>
        <w:pStyle w:val="FootnoteText"/>
        <w:spacing w:line="480" w:lineRule="auto"/>
        <w:jc w:val="both"/>
        <w:rPr>
          <w:rFonts w:asciiTheme="minorBidi" w:hAnsiTheme="minorBidi"/>
          <w:lang w:val="pt-BR"/>
        </w:rPr>
      </w:pPr>
      <w:r w:rsidRPr="007B6FBA">
        <w:rPr>
          <w:rStyle w:val="FootnoteReference"/>
          <w:rFonts w:asciiTheme="minorBidi" w:hAnsiTheme="minorBidi"/>
        </w:rPr>
        <w:footnoteRef/>
      </w:r>
      <w:r w:rsidRPr="007B6FBA">
        <w:rPr>
          <w:rFonts w:asciiTheme="minorBidi" w:hAnsiTheme="minorBidi"/>
          <w:lang w:val="pt-BR"/>
        </w:rPr>
        <w:t xml:space="preserve"> </w:t>
      </w:r>
      <w:bookmarkStart w:id="4" w:name="_Hlk145015023"/>
      <w:r w:rsidR="00A731AE" w:rsidRPr="007B6FBA">
        <w:rPr>
          <w:rFonts w:asciiTheme="minorBidi" w:hAnsiTheme="minorBidi"/>
          <w:i/>
          <w:iCs/>
        </w:rPr>
        <w:t xml:space="preserve">S v Kimimbi </w:t>
      </w:r>
      <w:r w:rsidR="00A731AE" w:rsidRPr="007B6FBA">
        <w:rPr>
          <w:rFonts w:asciiTheme="minorBidi" w:hAnsiTheme="minorBidi"/>
        </w:rPr>
        <w:t xml:space="preserve">1963 (3) SA 250 (C) </w:t>
      </w:r>
      <w:bookmarkEnd w:id="4"/>
      <w:r w:rsidR="00A731AE" w:rsidRPr="007B6FBA">
        <w:rPr>
          <w:rFonts w:asciiTheme="minorBidi" w:hAnsiTheme="minorBidi"/>
        </w:rPr>
        <w:t>at 251.</w:t>
      </w:r>
    </w:p>
  </w:footnote>
  <w:footnote w:id="41">
    <w:p w14:paraId="0F19338F" w14:textId="0ECC96C5" w:rsidR="009B3999" w:rsidRPr="007B6FBA" w:rsidRDefault="009B3999" w:rsidP="006F702D">
      <w:pPr>
        <w:pStyle w:val="FootnoteText"/>
        <w:spacing w:line="480" w:lineRule="auto"/>
        <w:jc w:val="both"/>
        <w:rPr>
          <w:rFonts w:asciiTheme="minorBidi" w:hAnsiTheme="minorBidi"/>
          <w:lang w:val="pt-BR"/>
        </w:rPr>
      </w:pPr>
      <w:r w:rsidRPr="007B6FBA">
        <w:rPr>
          <w:rStyle w:val="FootnoteReference"/>
          <w:rFonts w:asciiTheme="minorBidi" w:hAnsiTheme="minorBidi"/>
        </w:rPr>
        <w:footnoteRef/>
      </w:r>
      <w:r w:rsidRPr="007B6FBA">
        <w:rPr>
          <w:rFonts w:asciiTheme="minorBidi" w:hAnsiTheme="minorBidi"/>
          <w:lang w:val="pt-BR"/>
        </w:rPr>
        <w:t xml:space="preserve"> </w:t>
      </w:r>
      <w:r w:rsidRPr="007B6FBA">
        <w:rPr>
          <w:rFonts w:asciiTheme="minorBidi" w:hAnsiTheme="minorBidi"/>
          <w:i/>
          <w:iCs/>
          <w:lang w:val="pt-BR"/>
        </w:rPr>
        <w:t>S v De Leeuw</w:t>
      </w:r>
      <w:r w:rsidRPr="007B6FBA">
        <w:rPr>
          <w:rFonts w:asciiTheme="minorBidi" w:hAnsiTheme="minorBidi"/>
          <w:lang w:val="pt-BR"/>
        </w:rPr>
        <w:t xml:space="preserve"> 1990 (2) SACR 165 (NC) at 174; </w:t>
      </w:r>
      <w:r w:rsidRPr="007B6FBA">
        <w:rPr>
          <w:rFonts w:asciiTheme="minorBidi" w:hAnsiTheme="minorBidi"/>
          <w:i/>
          <w:iCs/>
          <w:lang w:val="pt-BR"/>
        </w:rPr>
        <w:t>R v Mofokeng</w:t>
      </w:r>
      <w:r w:rsidRPr="007B6FBA">
        <w:rPr>
          <w:rFonts w:asciiTheme="minorBidi" w:hAnsiTheme="minorBidi"/>
          <w:lang w:val="pt-BR"/>
        </w:rPr>
        <w:t xml:space="preserve"> 1928 AD 132 at 136; </w:t>
      </w:r>
      <w:r w:rsidRPr="007B6FBA">
        <w:rPr>
          <w:rFonts w:asciiTheme="minorBidi" w:hAnsiTheme="minorBidi"/>
          <w:i/>
          <w:iCs/>
          <w:lang w:val="pt-BR"/>
        </w:rPr>
        <w:t>R v Basson</w:t>
      </w:r>
      <w:r w:rsidRPr="007B6FBA">
        <w:rPr>
          <w:rFonts w:asciiTheme="minorBidi" w:hAnsiTheme="minorBidi"/>
          <w:lang w:val="pt-BR"/>
        </w:rPr>
        <w:t xml:space="preserve"> 1946 CPD 479 at 479; </w:t>
      </w:r>
      <w:r w:rsidRPr="007B6FBA">
        <w:rPr>
          <w:rFonts w:asciiTheme="minorBidi" w:hAnsiTheme="minorBidi"/>
          <w:i/>
          <w:iCs/>
          <w:lang w:val="pt-BR"/>
        </w:rPr>
        <w:t>R v Phillips</w:t>
      </w:r>
      <w:r w:rsidRPr="007B6FBA">
        <w:rPr>
          <w:rFonts w:asciiTheme="minorBidi" w:hAnsiTheme="minorBidi"/>
          <w:lang w:val="pt-BR"/>
        </w:rPr>
        <w:t xml:space="preserve"> 1949 (2) SA 671 (O) at 676; </w:t>
      </w:r>
      <w:r w:rsidRPr="007B6FBA">
        <w:rPr>
          <w:rFonts w:asciiTheme="minorBidi" w:hAnsiTheme="minorBidi"/>
          <w:i/>
          <w:iCs/>
          <w:lang w:val="pt-BR"/>
        </w:rPr>
        <w:t>S v Henning</w:t>
      </w:r>
      <w:r w:rsidRPr="007B6FBA">
        <w:rPr>
          <w:rFonts w:asciiTheme="minorBidi" w:hAnsiTheme="minorBidi"/>
          <w:lang w:val="pt-BR"/>
        </w:rPr>
        <w:t xml:space="preserve"> 1972 1 PH H42 (N). </w:t>
      </w:r>
    </w:p>
  </w:footnote>
  <w:footnote w:id="42">
    <w:p w14:paraId="7E77C203" w14:textId="77777777" w:rsidR="00B4211B" w:rsidRPr="007B6FBA" w:rsidRDefault="00B4211B" w:rsidP="006F702D">
      <w:pPr>
        <w:pStyle w:val="FootnoteText"/>
        <w:spacing w:line="480" w:lineRule="auto"/>
        <w:jc w:val="both"/>
        <w:rPr>
          <w:rFonts w:asciiTheme="minorBidi" w:hAnsiTheme="minorBidi"/>
          <w:lang w:val="pt-BR"/>
        </w:rPr>
      </w:pPr>
      <w:r w:rsidRPr="007B6FBA">
        <w:rPr>
          <w:rStyle w:val="FootnoteReference"/>
          <w:rFonts w:asciiTheme="minorBidi" w:hAnsiTheme="minorBidi"/>
        </w:rPr>
        <w:footnoteRef/>
      </w:r>
      <w:r w:rsidRPr="007B6FBA">
        <w:rPr>
          <w:rFonts w:asciiTheme="minorBidi" w:hAnsiTheme="minorBidi"/>
          <w:lang w:val="pt-BR"/>
        </w:rPr>
        <w:t xml:space="preserve"> </w:t>
      </w:r>
      <w:r w:rsidRPr="007B6FBA">
        <w:rPr>
          <w:rFonts w:asciiTheme="minorBidi" w:hAnsiTheme="minorBidi"/>
          <w:i/>
          <w:iCs/>
          <w:lang w:val="pt-BR"/>
        </w:rPr>
        <w:t>S v Jones</w:t>
      </w:r>
      <w:r w:rsidRPr="007B6FBA">
        <w:rPr>
          <w:rFonts w:asciiTheme="minorBidi" w:hAnsiTheme="minorBidi"/>
          <w:lang w:val="pt-BR"/>
        </w:rPr>
        <w:t xml:space="preserve"> 2004 (1) SACR 420 (C) at 425. </w:t>
      </w:r>
    </w:p>
  </w:footnote>
  <w:footnote w:id="43">
    <w:p w14:paraId="54DB9CF6" w14:textId="2A927B18" w:rsidR="009B3999" w:rsidRPr="007B6FBA" w:rsidRDefault="009B3999"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L D v Road Accident Fund</w:t>
      </w:r>
      <w:r w:rsidRPr="007B6FBA">
        <w:rPr>
          <w:rFonts w:asciiTheme="minorBidi" w:hAnsiTheme="minorBidi"/>
        </w:rPr>
        <w:t xml:space="preserve"> (14606/2016) [2018] ZAGPPHC 181 (5 February 2018) </w:t>
      </w:r>
      <w:r w:rsidR="00090181" w:rsidRPr="007B6FBA">
        <w:rPr>
          <w:rFonts w:asciiTheme="minorBidi" w:hAnsiTheme="minorBidi"/>
        </w:rPr>
        <w:t xml:space="preserve">at </w:t>
      </w:r>
      <w:r w:rsidRPr="007B6FBA">
        <w:rPr>
          <w:rFonts w:asciiTheme="minorBidi" w:hAnsiTheme="minorBidi"/>
        </w:rPr>
        <w:t>para 29.</w:t>
      </w:r>
    </w:p>
  </w:footnote>
  <w:footnote w:id="44">
    <w:p w14:paraId="5E5DEC6D" w14:textId="7A414C29" w:rsidR="00CB2854" w:rsidRDefault="00CB2854" w:rsidP="006F702D">
      <w:pPr>
        <w:pStyle w:val="FootnoteText"/>
        <w:spacing w:line="480" w:lineRule="auto"/>
      </w:pPr>
      <w:r>
        <w:rPr>
          <w:rStyle w:val="FootnoteReference"/>
        </w:rPr>
        <w:footnoteRef/>
      </w:r>
      <w:r>
        <w:t xml:space="preserve"> </w:t>
      </w:r>
      <w:r w:rsidRPr="00CB2854">
        <w:rPr>
          <w:i/>
          <w:iCs/>
        </w:rPr>
        <w:t>Griffiths v Mutual &amp; Federal Insurance Company Ltd</w:t>
      </w:r>
      <w:r>
        <w:t xml:space="preserve"> </w:t>
      </w:r>
      <w:r w:rsidRPr="00CB2854">
        <w:t>1994 (1) SA 535 (AD)</w:t>
      </w:r>
      <w:r>
        <w:t xml:space="preserve"> 567.</w:t>
      </w:r>
    </w:p>
  </w:footnote>
  <w:footnote w:id="45">
    <w:p w14:paraId="0821630F" w14:textId="510C9190" w:rsidR="009B3999" w:rsidRPr="007B6FBA" w:rsidRDefault="009B3999"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Outdated statistics was criticized in: </w:t>
      </w:r>
      <w:r w:rsidRPr="007B6FBA">
        <w:rPr>
          <w:rFonts w:asciiTheme="minorBidi" w:hAnsiTheme="minorBidi"/>
          <w:i/>
          <w:iCs/>
        </w:rPr>
        <w:t>LD v Road Accident Fund</w:t>
      </w:r>
      <w:r w:rsidRPr="007B6FBA">
        <w:rPr>
          <w:rFonts w:asciiTheme="minorBidi" w:hAnsiTheme="minorBidi"/>
        </w:rPr>
        <w:t xml:space="preserve">  </w:t>
      </w:r>
      <w:r w:rsidRPr="007B6FBA">
        <w:rPr>
          <w:rFonts w:asciiTheme="minorBidi" w:hAnsiTheme="minorBidi"/>
          <w:lang w:val="en-US"/>
        </w:rPr>
        <w:t xml:space="preserve">14606/2016) [2018] ZAGPPHC 181 (5 February 2018) at para 29 &amp; 37; </w:t>
      </w:r>
      <w:r w:rsidRPr="007B6FBA">
        <w:rPr>
          <w:rFonts w:asciiTheme="minorBidi" w:hAnsiTheme="minorBidi"/>
          <w:i/>
          <w:iCs/>
        </w:rPr>
        <w:t>Kekana obo Motshwaede v Road Accident Fund</w:t>
      </w:r>
      <w:r w:rsidRPr="007B6FBA">
        <w:rPr>
          <w:rFonts w:asciiTheme="minorBidi" w:hAnsiTheme="minorBidi"/>
        </w:rPr>
        <w:t xml:space="preserve"> (2019/26724) [2023] ZAGPJHC 495 (16 May 2023) </w:t>
      </w:r>
      <w:r w:rsidR="00ED4D2F" w:rsidRPr="007B6FBA">
        <w:rPr>
          <w:rFonts w:asciiTheme="minorBidi" w:hAnsiTheme="minorBidi"/>
        </w:rPr>
        <w:t xml:space="preserve">at </w:t>
      </w:r>
      <w:r w:rsidRPr="007B6FBA">
        <w:rPr>
          <w:rFonts w:asciiTheme="minorBidi" w:hAnsiTheme="minorBidi"/>
        </w:rPr>
        <w:t>para 65.</w:t>
      </w:r>
    </w:p>
  </w:footnote>
  <w:footnote w:id="46">
    <w:p w14:paraId="401F88B5" w14:textId="44BD76CC" w:rsidR="003509FB" w:rsidRPr="007B6FBA" w:rsidRDefault="003509FB"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00090181" w:rsidRPr="007B6FBA">
        <w:rPr>
          <w:rFonts w:asciiTheme="minorBidi" w:hAnsiTheme="minorBidi"/>
          <w:i/>
          <w:iCs/>
        </w:rPr>
        <w:t>Twine v Naidoo</w:t>
      </w:r>
      <w:r w:rsidR="00090181" w:rsidRPr="007B6FBA">
        <w:rPr>
          <w:rFonts w:asciiTheme="minorBidi" w:hAnsiTheme="minorBidi"/>
        </w:rPr>
        <w:t xml:space="preserve"> [2018] 1 All SA 297 (GJ) at </w:t>
      </w:r>
      <w:r w:rsidRPr="007B6FBA">
        <w:rPr>
          <w:rFonts w:asciiTheme="minorBidi" w:hAnsiTheme="minorBidi"/>
        </w:rPr>
        <w:t xml:space="preserve">para 18(s) </w:t>
      </w:r>
      <w:r w:rsidR="00090181" w:rsidRPr="007B6FBA">
        <w:rPr>
          <w:rFonts w:asciiTheme="minorBidi" w:hAnsiTheme="minorBidi"/>
        </w:rPr>
        <w:t>quoting</w:t>
      </w:r>
      <w:r w:rsidRPr="007B6FBA">
        <w:rPr>
          <w:rFonts w:asciiTheme="minorBidi" w:hAnsiTheme="minorBidi"/>
        </w:rPr>
        <w:t xml:space="preserve"> with approval </w:t>
      </w:r>
      <w:r w:rsidRPr="007B6FBA">
        <w:rPr>
          <w:rFonts w:asciiTheme="minorBidi" w:hAnsiTheme="minorBidi"/>
          <w:i/>
          <w:iCs/>
        </w:rPr>
        <w:t>Davie v Magistrate of Edinburg</w:t>
      </w:r>
      <w:r w:rsidRPr="007B6FBA">
        <w:rPr>
          <w:rFonts w:asciiTheme="minorBidi" w:hAnsiTheme="minorBidi"/>
        </w:rPr>
        <w:t xml:space="preserve"> [1953] SC 34 at 40.</w:t>
      </w:r>
    </w:p>
  </w:footnote>
  <w:footnote w:id="47">
    <w:p w14:paraId="14CC6232" w14:textId="78AE7921" w:rsidR="003509FB" w:rsidRPr="007B6FBA" w:rsidRDefault="003509FB"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In </w:t>
      </w:r>
      <w:bookmarkStart w:id="5" w:name="_Hlk145015243"/>
      <w:r w:rsidR="00090181" w:rsidRPr="007B6FBA">
        <w:rPr>
          <w:rFonts w:asciiTheme="minorBidi" w:hAnsiTheme="minorBidi"/>
          <w:i/>
          <w:iCs/>
        </w:rPr>
        <w:t>Twine v Naidoo</w:t>
      </w:r>
      <w:r w:rsidR="00090181" w:rsidRPr="007B6FBA">
        <w:rPr>
          <w:rFonts w:asciiTheme="minorBidi" w:hAnsiTheme="minorBidi"/>
        </w:rPr>
        <w:t xml:space="preserve"> [2018] 1 All SA 297 (GJ) </w:t>
      </w:r>
      <w:bookmarkEnd w:id="5"/>
      <w:r w:rsidRPr="007B6FBA">
        <w:rPr>
          <w:rFonts w:asciiTheme="minorBidi" w:hAnsiTheme="minorBidi"/>
        </w:rPr>
        <w:t>at fn 23 the court held:</w:t>
      </w:r>
    </w:p>
    <w:p w14:paraId="7FDFD4DA" w14:textId="77777777" w:rsidR="003509FB" w:rsidRPr="007B6FBA" w:rsidRDefault="003509FB" w:rsidP="006F702D">
      <w:pPr>
        <w:pStyle w:val="FootnoteText"/>
        <w:spacing w:line="480" w:lineRule="auto"/>
        <w:ind w:left="720"/>
        <w:jc w:val="both"/>
        <w:rPr>
          <w:rFonts w:asciiTheme="minorBidi" w:hAnsiTheme="minorBidi"/>
          <w:i/>
          <w:iCs/>
        </w:rPr>
      </w:pPr>
      <w:r w:rsidRPr="007B6FBA">
        <w:rPr>
          <w:rFonts w:asciiTheme="minorBidi" w:hAnsiTheme="minorBidi"/>
          <w:i/>
          <w:iCs/>
        </w:rPr>
        <w:t>‘…unlike an expert witness, a judicial officer is often tasked to balance the probabilities derived from the admitted factual evidence, something the expert witness must never do or be allowed to do. The focus here is on admitted evidence. It is trite that not all evidence is admissible. However, the decision as to which evidence is admissible and which not is something that is not often appreciated by non-legal persons. Experts who trespass into this area are in danger of finding themselves unable to appreciate the nuances involved, in for example, accepting or rejecting hearsay evidence, and then ignore admissible, or include inadmissible, evidence in the balancing exercise- thus indelibly staining their evidence and rendering their conclusions nugatory’.</w:t>
      </w:r>
    </w:p>
    <w:p w14:paraId="48F5B458" w14:textId="77777777" w:rsidR="003509FB" w:rsidRPr="007B6FBA" w:rsidRDefault="003509FB" w:rsidP="006F702D">
      <w:pPr>
        <w:pStyle w:val="FootnoteText"/>
        <w:spacing w:line="480" w:lineRule="auto"/>
        <w:jc w:val="both"/>
        <w:rPr>
          <w:rFonts w:asciiTheme="minorBidi" w:hAnsiTheme="minorBidi"/>
        </w:rPr>
      </w:pPr>
      <w:r w:rsidRPr="007B6FBA">
        <w:rPr>
          <w:rFonts w:asciiTheme="minorBidi" w:hAnsiTheme="minorBidi"/>
        </w:rPr>
        <w:t xml:space="preserve">In </w:t>
      </w:r>
      <w:r w:rsidRPr="007B6FBA">
        <w:rPr>
          <w:rFonts w:asciiTheme="minorBidi" w:hAnsiTheme="minorBidi"/>
          <w:i/>
          <w:iCs/>
        </w:rPr>
        <w:t>Davie v Magistrate of Edinburg</w:t>
      </w:r>
      <w:r w:rsidRPr="007B6FBA">
        <w:rPr>
          <w:rFonts w:asciiTheme="minorBidi" w:hAnsiTheme="minorBidi"/>
        </w:rPr>
        <w:t xml:space="preserve"> [1953] SC 34 at 40 the court held:</w:t>
      </w:r>
    </w:p>
    <w:p w14:paraId="15146545" w14:textId="1C02BC82" w:rsidR="003509FB" w:rsidRPr="007B6FBA" w:rsidRDefault="003509FB" w:rsidP="006F702D">
      <w:pPr>
        <w:pStyle w:val="FootnoteText"/>
        <w:spacing w:line="480" w:lineRule="auto"/>
        <w:ind w:left="720"/>
        <w:jc w:val="both"/>
        <w:rPr>
          <w:rFonts w:asciiTheme="minorBidi" w:hAnsiTheme="minorBidi"/>
          <w:i/>
          <w:iCs/>
        </w:rPr>
      </w:pPr>
      <w:r w:rsidRPr="007B6FBA">
        <w:rPr>
          <w:rFonts w:asciiTheme="minorBidi" w:hAnsiTheme="minorBidi"/>
          <w:i/>
          <w:iCs/>
        </w:rPr>
        <w:t>“</w:t>
      </w:r>
      <w:r w:rsidRPr="007B6FBA">
        <w:rPr>
          <w:rFonts w:asciiTheme="minorBidi" w:hAnsiTheme="minorBidi"/>
          <w:i/>
          <w:iCs/>
          <w:lang w:val="en-GB"/>
        </w:rPr>
        <w:t xml:space="preserve">Expert witnesses, however skilled or eminent, can give no more than evidence. They cannot usurp the functions of the jury or </w:t>
      </w:r>
      <w:r w:rsidR="006F702D">
        <w:rPr>
          <w:rFonts w:asciiTheme="minorBidi" w:hAnsiTheme="minorBidi"/>
          <w:i/>
          <w:iCs/>
          <w:lang w:val="en-GB"/>
        </w:rPr>
        <w:t>j</w:t>
      </w:r>
      <w:r w:rsidRPr="007B6FBA">
        <w:rPr>
          <w:rFonts w:asciiTheme="minorBidi" w:hAnsiTheme="minorBidi"/>
          <w:i/>
          <w:iCs/>
          <w:lang w:val="en-GB"/>
        </w:rPr>
        <w:t xml:space="preserve">udge sitting as a jury, any more than a technical assessor can substitute his advice for the judgment of the </w:t>
      </w:r>
      <w:r w:rsidR="006F702D">
        <w:rPr>
          <w:rFonts w:asciiTheme="minorBidi" w:hAnsiTheme="minorBidi"/>
          <w:i/>
          <w:iCs/>
          <w:lang w:val="en-GB"/>
        </w:rPr>
        <w:t>c</w:t>
      </w:r>
      <w:r w:rsidRPr="007B6FBA">
        <w:rPr>
          <w:rFonts w:asciiTheme="minorBidi" w:hAnsiTheme="minorBidi"/>
          <w:i/>
          <w:iCs/>
          <w:lang w:val="en-GB"/>
        </w:rPr>
        <w:t xml:space="preserve">ourt. Their duty is to furnish the </w:t>
      </w:r>
      <w:r w:rsidR="006F702D">
        <w:rPr>
          <w:rFonts w:asciiTheme="minorBidi" w:hAnsiTheme="minorBidi"/>
          <w:i/>
          <w:iCs/>
          <w:lang w:val="en-GB"/>
        </w:rPr>
        <w:t>j</w:t>
      </w:r>
      <w:r w:rsidRPr="007B6FBA">
        <w:rPr>
          <w:rFonts w:asciiTheme="minorBidi" w:hAnsiTheme="minorBidi"/>
          <w:i/>
          <w:iCs/>
          <w:lang w:val="en-GB"/>
        </w:rPr>
        <w:t xml:space="preserve">udge or jury with the necessary scientific criteria for testing the accuracy of their conclusions, so as to enable the </w:t>
      </w:r>
      <w:r w:rsidR="006F702D">
        <w:rPr>
          <w:rFonts w:asciiTheme="minorBidi" w:hAnsiTheme="minorBidi"/>
          <w:i/>
          <w:iCs/>
          <w:lang w:val="en-GB"/>
        </w:rPr>
        <w:t>j</w:t>
      </w:r>
      <w:r w:rsidRPr="007B6FBA">
        <w:rPr>
          <w:rFonts w:asciiTheme="minorBidi" w:hAnsiTheme="minorBidi"/>
          <w:i/>
          <w:iCs/>
          <w:lang w:val="en-GB"/>
        </w:rPr>
        <w:t xml:space="preserve">udge or jury to form their own independent judgment by application of these criteria to the facts proved in evidence. The scientific opinion evidence, if intelligible, convincing and tested, becomes a factor (and often an important factor) for consideration along with the whole other evidence in the case, but the decision is for the </w:t>
      </w:r>
      <w:r w:rsidR="006F702D">
        <w:rPr>
          <w:rFonts w:asciiTheme="minorBidi" w:hAnsiTheme="minorBidi"/>
          <w:i/>
          <w:iCs/>
          <w:lang w:val="en-GB"/>
        </w:rPr>
        <w:t>j</w:t>
      </w:r>
      <w:r w:rsidRPr="007B6FBA">
        <w:rPr>
          <w:rFonts w:asciiTheme="minorBidi" w:hAnsiTheme="minorBidi"/>
          <w:i/>
          <w:iCs/>
          <w:lang w:val="en-GB"/>
        </w:rPr>
        <w:t>udge or the jury. In particular the bare ipse dixit of a scientist, however eminent, upon the issue in controversy, will normally carry little weight, for it cannot be tested by cross-examination nor independently appraised, and the parties have invoked the decision of a judicial tribunal and not an oracular pronouncement by an expert.</w:t>
      </w:r>
    </w:p>
  </w:footnote>
  <w:footnote w:id="48">
    <w:p w14:paraId="4A7DBE9D" w14:textId="48D628F7" w:rsidR="003509FB" w:rsidRPr="007B6FBA" w:rsidRDefault="003509FB"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00090181" w:rsidRPr="007B6FBA">
        <w:rPr>
          <w:rFonts w:asciiTheme="minorBidi" w:hAnsiTheme="minorBidi"/>
          <w:i/>
          <w:iCs/>
        </w:rPr>
        <w:t>Twine v Naidoo</w:t>
      </w:r>
      <w:r w:rsidR="00090181" w:rsidRPr="007B6FBA">
        <w:rPr>
          <w:rFonts w:asciiTheme="minorBidi" w:hAnsiTheme="minorBidi"/>
        </w:rPr>
        <w:t xml:space="preserve"> [2018] 1 All SA 297 (GJ) at </w:t>
      </w:r>
      <w:r w:rsidRPr="007B6FBA">
        <w:rPr>
          <w:rFonts w:asciiTheme="minorBidi" w:hAnsiTheme="minorBidi"/>
        </w:rPr>
        <w:t>para 18(k).</w:t>
      </w:r>
    </w:p>
  </w:footnote>
  <w:footnote w:id="49">
    <w:p w14:paraId="0F884E60" w14:textId="522E6F03" w:rsidR="00176B5A" w:rsidRPr="007B6FBA" w:rsidRDefault="00176B5A" w:rsidP="006F702D">
      <w:pPr>
        <w:pStyle w:val="FootnoteText"/>
        <w:spacing w:line="480" w:lineRule="auto"/>
        <w:jc w:val="both"/>
        <w:rPr>
          <w:rFonts w:asciiTheme="minorBidi" w:hAnsiTheme="minorBidi"/>
          <w:lang w:val="en-US"/>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lang w:val="en-GB"/>
        </w:rPr>
        <w:t>1976 (3) SA 352 (A).</w:t>
      </w:r>
    </w:p>
  </w:footnote>
  <w:footnote w:id="50">
    <w:p w14:paraId="2851E3B0" w14:textId="54409294" w:rsidR="00D83A6E" w:rsidRPr="007B6FBA" w:rsidRDefault="00D83A6E"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See </w:t>
      </w:r>
      <w:r w:rsidRPr="007B6FBA">
        <w:rPr>
          <w:rFonts w:asciiTheme="minorBidi" w:hAnsiTheme="minorBidi"/>
          <w:i/>
          <w:iCs/>
        </w:rPr>
        <w:t>Bee v RAF</w:t>
      </w:r>
      <w:r w:rsidRPr="007B6FBA">
        <w:rPr>
          <w:rFonts w:asciiTheme="minorBidi" w:hAnsiTheme="minorBidi"/>
        </w:rPr>
        <w:t xml:space="preserve"> 2018 (4) SA 366 SCA </w:t>
      </w:r>
      <w:r w:rsidR="00090181" w:rsidRPr="007B6FBA">
        <w:rPr>
          <w:rFonts w:asciiTheme="minorBidi" w:hAnsiTheme="minorBidi"/>
        </w:rPr>
        <w:t xml:space="preserve">at </w:t>
      </w:r>
      <w:r w:rsidRPr="007B6FBA">
        <w:rPr>
          <w:rFonts w:asciiTheme="minorBidi" w:hAnsiTheme="minorBidi"/>
        </w:rPr>
        <w:t xml:space="preserve">para 22; </w:t>
      </w:r>
      <w:r w:rsidRPr="007B6FBA">
        <w:rPr>
          <w:rFonts w:asciiTheme="minorBidi" w:hAnsiTheme="minorBidi"/>
          <w:i/>
          <w:iCs/>
        </w:rPr>
        <w:t>Stock v Stock</w:t>
      </w:r>
      <w:r w:rsidRPr="007B6FBA">
        <w:rPr>
          <w:rFonts w:asciiTheme="minorBidi" w:hAnsiTheme="minorBidi"/>
        </w:rPr>
        <w:t xml:space="preserve"> 1981 (3) SA 1280 (A) </w:t>
      </w:r>
      <w:r w:rsidR="00090181" w:rsidRPr="007B6FBA">
        <w:rPr>
          <w:rFonts w:asciiTheme="minorBidi" w:hAnsiTheme="minorBidi"/>
        </w:rPr>
        <w:t xml:space="preserve">at </w:t>
      </w:r>
      <w:r w:rsidRPr="007B6FBA">
        <w:rPr>
          <w:rFonts w:asciiTheme="minorBidi" w:hAnsiTheme="minorBidi"/>
        </w:rPr>
        <w:t>1296.</w:t>
      </w:r>
    </w:p>
  </w:footnote>
  <w:footnote w:id="51">
    <w:p w14:paraId="689891FB" w14:textId="1BB7283F" w:rsidR="00D83A6E" w:rsidRPr="007B6FBA" w:rsidRDefault="00D83A6E"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Michael v Linksfield Park Clinic</w:t>
      </w:r>
      <w:r w:rsidRPr="007B6FBA">
        <w:rPr>
          <w:rFonts w:asciiTheme="minorBidi" w:hAnsiTheme="minorBidi"/>
        </w:rPr>
        <w:t xml:space="preserve"> 2001 (3) SA 1188 (SCA) </w:t>
      </w:r>
      <w:r w:rsidR="00090181" w:rsidRPr="007B6FBA">
        <w:rPr>
          <w:rFonts w:asciiTheme="minorBidi" w:hAnsiTheme="minorBidi"/>
        </w:rPr>
        <w:t xml:space="preserve">at </w:t>
      </w:r>
      <w:r w:rsidRPr="007B6FBA">
        <w:rPr>
          <w:rFonts w:asciiTheme="minorBidi" w:hAnsiTheme="minorBidi"/>
        </w:rPr>
        <w:t>para 36-38.</w:t>
      </w:r>
    </w:p>
  </w:footnote>
  <w:footnote w:id="52">
    <w:p w14:paraId="4025291E" w14:textId="2F51A4B3" w:rsidR="00D83A6E" w:rsidRPr="007B6FBA" w:rsidRDefault="00D83A6E"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R v Jacobs</w:t>
      </w:r>
      <w:r w:rsidRPr="007B6FBA">
        <w:rPr>
          <w:rFonts w:asciiTheme="minorBidi" w:hAnsiTheme="minorBidi"/>
        </w:rPr>
        <w:t xml:space="preserve"> 1940 TPD 142 at 147; </w:t>
      </w:r>
      <w:r w:rsidRPr="007B6FBA">
        <w:rPr>
          <w:rFonts w:asciiTheme="minorBidi" w:hAnsiTheme="minorBidi"/>
          <w:i/>
          <w:iCs/>
        </w:rPr>
        <w:t>S v Nala</w:t>
      </w:r>
      <w:r w:rsidRPr="007B6FBA">
        <w:rPr>
          <w:rFonts w:asciiTheme="minorBidi" w:hAnsiTheme="minorBidi"/>
        </w:rPr>
        <w:t xml:space="preserve"> 1965 (4) SA360 (A) </w:t>
      </w:r>
      <w:r w:rsidR="00090181" w:rsidRPr="007B6FBA">
        <w:rPr>
          <w:rFonts w:asciiTheme="minorBidi" w:hAnsiTheme="minorBidi"/>
        </w:rPr>
        <w:t xml:space="preserve">at </w:t>
      </w:r>
      <w:r w:rsidRPr="007B6FBA">
        <w:rPr>
          <w:rFonts w:asciiTheme="minorBidi" w:hAnsiTheme="minorBidi"/>
        </w:rPr>
        <w:t xml:space="preserve">362; </w:t>
      </w:r>
      <w:r w:rsidRPr="007B6FBA">
        <w:rPr>
          <w:rFonts w:asciiTheme="minorBidi" w:hAnsiTheme="minorBidi"/>
          <w:i/>
          <w:iCs/>
        </w:rPr>
        <w:t>S v Blom</w:t>
      </w:r>
      <w:r w:rsidRPr="007B6FBA">
        <w:rPr>
          <w:rFonts w:asciiTheme="minorBidi" w:hAnsiTheme="minorBidi"/>
        </w:rPr>
        <w:t xml:space="preserve"> 1992 (1) SA 649 (EC) at 655; </w:t>
      </w:r>
      <w:r w:rsidRPr="007B6FBA">
        <w:rPr>
          <w:rFonts w:asciiTheme="minorBidi" w:hAnsiTheme="minorBidi"/>
          <w:i/>
          <w:iCs/>
        </w:rPr>
        <w:t>S v Mkhize</w:t>
      </w:r>
      <w:r w:rsidRPr="007B6FBA">
        <w:rPr>
          <w:rFonts w:asciiTheme="minorBidi" w:hAnsiTheme="minorBidi"/>
        </w:rPr>
        <w:t xml:space="preserve"> 1999 (1) SACR 256 (W) at 263-264.</w:t>
      </w:r>
    </w:p>
  </w:footnote>
  <w:footnote w:id="53">
    <w:p w14:paraId="6CA7430E" w14:textId="2682E77B" w:rsidR="00D83A6E" w:rsidRPr="007B6FBA" w:rsidRDefault="00D83A6E"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MV Pasquale Della Gatta MV Flippo Lembo Imperial Marine v Deiulemar Compagnia Di Navigazione</w:t>
      </w:r>
      <w:r w:rsidRPr="007B6FBA">
        <w:rPr>
          <w:rFonts w:asciiTheme="minorBidi" w:hAnsiTheme="minorBidi"/>
        </w:rPr>
        <w:t xml:space="preserve"> SPA 2012 (1) SA 58 (SCA) </w:t>
      </w:r>
      <w:r w:rsidR="00090181" w:rsidRPr="007B6FBA">
        <w:rPr>
          <w:rFonts w:asciiTheme="minorBidi" w:hAnsiTheme="minorBidi"/>
        </w:rPr>
        <w:t xml:space="preserve">at </w:t>
      </w:r>
      <w:r w:rsidRPr="007B6FBA">
        <w:rPr>
          <w:rFonts w:asciiTheme="minorBidi" w:hAnsiTheme="minorBidi"/>
        </w:rPr>
        <w:t xml:space="preserve">para 26; </w:t>
      </w:r>
      <w:r w:rsidRPr="007B6FBA">
        <w:rPr>
          <w:rFonts w:asciiTheme="minorBidi" w:hAnsiTheme="minorBidi"/>
          <w:i/>
          <w:iCs/>
        </w:rPr>
        <w:t>Maloney v RAF</w:t>
      </w:r>
      <w:r w:rsidRPr="007B6FBA">
        <w:rPr>
          <w:rFonts w:asciiTheme="minorBidi" w:hAnsiTheme="minorBidi"/>
        </w:rPr>
        <w:t xml:space="preserve"> 9468/20180 [2022] ZAWCHC 51 (4 April 2022) at para 101-103. </w:t>
      </w:r>
    </w:p>
  </w:footnote>
  <w:footnote w:id="54">
    <w:p w14:paraId="5841C9C7" w14:textId="6D07B993" w:rsidR="005A4A2F" w:rsidRPr="007B6FBA" w:rsidRDefault="005A4A2F"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R v Theunissen 1948</w:t>
      </w:r>
      <w:r w:rsidRPr="007B6FBA">
        <w:rPr>
          <w:rFonts w:asciiTheme="minorBidi" w:hAnsiTheme="minorBidi"/>
        </w:rPr>
        <w:t xml:space="preserve"> (4) SA 43 (C) at 46; </w:t>
      </w:r>
      <w:bookmarkStart w:id="6" w:name="_Hlk145014340"/>
      <w:r w:rsidRPr="007B6FBA">
        <w:rPr>
          <w:rFonts w:asciiTheme="minorBidi" w:hAnsiTheme="minorBidi"/>
          <w:i/>
          <w:iCs/>
        </w:rPr>
        <w:t>Twine v Naidoo</w:t>
      </w:r>
      <w:r w:rsidRPr="007B6FBA">
        <w:rPr>
          <w:rFonts w:asciiTheme="minorBidi" w:hAnsiTheme="minorBidi"/>
        </w:rPr>
        <w:t xml:space="preserve"> </w:t>
      </w:r>
      <w:r w:rsidR="00090181" w:rsidRPr="007B6FBA">
        <w:rPr>
          <w:rFonts w:asciiTheme="minorBidi" w:hAnsiTheme="minorBidi"/>
        </w:rPr>
        <w:t xml:space="preserve">[2018] 1 All SA 297 (GJ) </w:t>
      </w:r>
      <w:bookmarkEnd w:id="6"/>
      <w:r w:rsidR="00090181" w:rsidRPr="007B6FBA">
        <w:rPr>
          <w:rFonts w:asciiTheme="minorBidi" w:hAnsiTheme="minorBidi"/>
        </w:rPr>
        <w:t xml:space="preserve">at </w:t>
      </w:r>
      <w:r w:rsidRPr="007B6FBA">
        <w:rPr>
          <w:rFonts w:asciiTheme="minorBidi" w:hAnsiTheme="minorBidi"/>
        </w:rPr>
        <w:t xml:space="preserve">para 18(r). </w:t>
      </w:r>
    </w:p>
  </w:footnote>
  <w:footnote w:id="55">
    <w:p w14:paraId="798A0226" w14:textId="77777777" w:rsidR="00060854" w:rsidRPr="007B6FBA" w:rsidRDefault="00060854"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lang w:val="en-GB"/>
        </w:rPr>
        <w:t xml:space="preserve"> 1984 (1) SA 98 (A) at 113.</w:t>
      </w:r>
    </w:p>
  </w:footnote>
  <w:footnote w:id="56">
    <w:p w14:paraId="3E816DCE" w14:textId="77777777" w:rsidR="00060854" w:rsidRPr="007B6FBA" w:rsidRDefault="00060854" w:rsidP="006F702D">
      <w:pPr>
        <w:pStyle w:val="FootnoteText"/>
        <w:spacing w:line="480" w:lineRule="auto"/>
        <w:jc w:val="both"/>
        <w:rPr>
          <w:rFonts w:asciiTheme="minorBidi" w:hAnsiTheme="minorBidi"/>
          <w:lang w:val="en-US"/>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lang w:val="en-GB"/>
        </w:rPr>
        <w:t>1978 (1) SA 805 (A).</w:t>
      </w:r>
    </w:p>
  </w:footnote>
  <w:footnote w:id="57">
    <w:p w14:paraId="065E5760" w14:textId="77777777" w:rsidR="00060854" w:rsidRPr="007B6FBA" w:rsidRDefault="00060854"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See </w:t>
      </w:r>
      <w:r w:rsidRPr="007B6FBA">
        <w:rPr>
          <w:rFonts w:asciiTheme="minorBidi" w:hAnsiTheme="minorBidi"/>
          <w:i/>
          <w:iCs/>
        </w:rPr>
        <w:t>AA Mutual Insurance Association Ltd v Maqula</w:t>
      </w:r>
      <w:r w:rsidRPr="007B6FBA">
        <w:rPr>
          <w:rFonts w:asciiTheme="minorBidi" w:hAnsiTheme="minorBidi"/>
        </w:rPr>
        <w:t xml:space="preserve"> 1978 (1) SA 805 (A); </w:t>
      </w:r>
      <w:r w:rsidRPr="007B6FBA">
        <w:rPr>
          <w:rFonts w:asciiTheme="minorBidi" w:hAnsiTheme="minorBidi"/>
          <w:i/>
          <w:iCs/>
        </w:rPr>
        <w:t xml:space="preserve">Nonzinyana v Road Accident Fund </w:t>
      </w:r>
      <w:r w:rsidRPr="007B6FBA">
        <w:rPr>
          <w:rFonts w:asciiTheme="minorBidi" w:hAnsiTheme="minorBidi"/>
        </w:rPr>
        <w:t xml:space="preserve">(59682/13) [2015] ZAGPPHC 345 (15 May 2015); </w:t>
      </w:r>
      <w:r w:rsidRPr="007B6FBA">
        <w:rPr>
          <w:rFonts w:asciiTheme="minorBidi" w:hAnsiTheme="minorBidi"/>
          <w:i/>
          <w:iCs/>
        </w:rPr>
        <w:t xml:space="preserve">Ndaba v Road Accident Fund </w:t>
      </w:r>
      <w:r w:rsidRPr="007B6FBA">
        <w:rPr>
          <w:rFonts w:asciiTheme="minorBidi" w:hAnsiTheme="minorBidi"/>
        </w:rPr>
        <w:t>(EL 321/08) [2011] ZAECELL 6 (30 June 2011)</w:t>
      </w:r>
      <w:r w:rsidRPr="007B6FBA">
        <w:rPr>
          <w:rFonts w:asciiTheme="minorBidi" w:hAnsiTheme="minorBidi"/>
          <w:i/>
          <w:iCs/>
        </w:rPr>
        <w:t xml:space="preserve">; L v Road Accident Fund </w:t>
      </w:r>
      <w:r w:rsidRPr="007B6FBA">
        <w:rPr>
          <w:rFonts w:asciiTheme="minorBidi" w:hAnsiTheme="minorBidi"/>
        </w:rPr>
        <w:t>(69050/2013) [2017] ZAGPPHC 690 (27 October 2017)</w:t>
      </w:r>
      <w:r w:rsidRPr="007B6FBA">
        <w:rPr>
          <w:rFonts w:asciiTheme="minorBidi" w:hAnsiTheme="minorBidi"/>
          <w:i/>
          <w:iCs/>
        </w:rPr>
        <w:t xml:space="preserve">; H v Road Accident Fund </w:t>
      </w:r>
      <w:r w:rsidRPr="007B6FBA">
        <w:rPr>
          <w:rFonts w:asciiTheme="minorBidi" w:hAnsiTheme="minorBidi"/>
        </w:rPr>
        <w:t>(19585/2013) [2016] ZAGPPHC 584 (15 June 2016)</w:t>
      </w:r>
      <w:r w:rsidRPr="007B6FBA">
        <w:rPr>
          <w:rFonts w:asciiTheme="minorBidi" w:hAnsiTheme="minorBidi"/>
          <w:i/>
          <w:iCs/>
        </w:rPr>
        <w:t xml:space="preserve">; Gwaxula v Road Accident Fund </w:t>
      </w:r>
      <w:r w:rsidRPr="007B6FBA">
        <w:rPr>
          <w:rFonts w:asciiTheme="minorBidi" w:hAnsiTheme="minorBidi"/>
        </w:rPr>
        <w:t>(09/41896) [2013] ZAGPJHC 240 (25 September 2013).</w:t>
      </w:r>
    </w:p>
  </w:footnote>
  <w:footnote w:id="58">
    <w:p w14:paraId="6C4AA1B0" w14:textId="77777777" w:rsidR="00060854" w:rsidRPr="007B6FBA" w:rsidRDefault="00060854" w:rsidP="006F702D">
      <w:pPr>
        <w:pStyle w:val="FootnoteText"/>
        <w:spacing w:line="480" w:lineRule="auto"/>
        <w:jc w:val="both"/>
        <w:rPr>
          <w:rFonts w:asciiTheme="minorBidi" w:hAnsiTheme="minorBidi"/>
          <w:lang w:val="en-US"/>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Hersman v Shapiro &amp; Co</w:t>
      </w:r>
      <w:r w:rsidRPr="007B6FBA">
        <w:rPr>
          <w:rFonts w:asciiTheme="minorBidi" w:hAnsiTheme="minorBidi"/>
        </w:rPr>
        <w:t>., 1926 T.P.D. 367 at 379</w:t>
      </w:r>
    </w:p>
  </w:footnote>
  <w:footnote w:id="59">
    <w:p w14:paraId="0629D666" w14:textId="77777777" w:rsidR="00060854" w:rsidRPr="007B6FBA" w:rsidRDefault="00060854"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Mkwanazi v Van Der Merwe and Another</w:t>
      </w:r>
      <w:r w:rsidRPr="007B6FBA">
        <w:rPr>
          <w:rFonts w:asciiTheme="minorBidi" w:hAnsiTheme="minorBidi"/>
        </w:rPr>
        <w:t xml:space="preserve"> 1970 (1) SA 609 (A) 631. Also see Van </w:t>
      </w:r>
      <w:r w:rsidRPr="007B6FBA">
        <w:rPr>
          <w:rFonts w:asciiTheme="minorBidi" w:hAnsiTheme="minorBidi"/>
          <w:i/>
          <w:iCs/>
        </w:rPr>
        <w:t>Klopper v Mazoko</w:t>
      </w:r>
      <w:r w:rsidRPr="007B6FBA">
        <w:rPr>
          <w:rFonts w:asciiTheme="minorBidi" w:hAnsiTheme="minorBidi"/>
        </w:rPr>
        <w:t>, 1930</w:t>
      </w:r>
      <w:r w:rsidRPr="007B6FBA">
        <w:rPr>
          <w:rFonts w:asciiTheme="minorBidi" w:hAnsiTheme="minorBidi"/>
          <w:b/>
          <w:bCs/>
        </w:rPr>
        <w:t xml:space="preserve"> </w:t>
      </w:r>
      <w:r w:rsidRPr="007B6FBA">
        <w:rPr>
          <w:rFonts w:asciiTheme="minorBidi" w:hAnsiTheme="minorBidi"/>
        </w:rPr>
        <w:t>TPD 860 at 865, where judge Tindall J held :</w:t>
      </w:r>
    </w:p>
    <w:p w14:paraId="0E12CB78" w14:textId="77777777" w:rsidR="00060854" w:rsidRPr="007B6FBA" w:rsidRDefault="00060854" w:rsidP="006F702D">
      <w:pPr>
        <w:pStyle w:val="FootnoteText"/>
        <w:spacing w:line="480" w:lineRule="auto"/>
        <w:ind w:left="720"/>
        <w:jc w:val="both"/>
        <w:rPr>
          <w:rFonts w:asciiTheme="minorBidi" w:hAnsiTheme="minorBidi"/>
          <w:i/>
          <w:iCs/>
        </w:rPr>
      </w:pPr>
      <w:r w:rsidRPr="007B6FBA">
        <w:rPr>
          <w:rFonts w:asciiTheme="minorBidi" w:hAnsiTheme="minorBidi"/>
          <w:i/>
          <w:iCs/>
        </w:rPr>
        <w:t>   '. . . when a plaintiff is in a position to lead evidence which will enable the Court to assess the figure he should do so and not leave the Court to guess at the amount'.</w:t>
      </w:r>
    </w:p>
    <w:p w14:paraId="021467DB" w14:textId="77777777" w:rsidR="00060854" w:rsidRPr="007B6FBA" w:rsidRDefault="00060854" w:rsidP="006F702D">
      <w:pPr>
        <w:pStyle w:val="FootnoteText"/>
        <w:spacing w:line="480" w:lineRule="auto"/>
        <w:jc w:val="both"/>
        <w:rPr>
          <w:rFonts w:asciiTheme="minorBidi" w:hAnsiTheme="minorBidi"/>
        </w:rPr>
      </w:pPr>
      <w:r w:rsidRPr="007B6FBA">
        <w:rPr>
          <w:rFonts w:asciiTheme="minorBidi" w:hAnsiTheme="minorBidi"/>
        </w:rPr>
        <w:t xml:space="preserve">Also see </w:t>
      </w:r>
      <w:r w:rsidRPr="007B6FBA">
        <w:rPr>
          <w:rFonts w:asciiTheme="minorBidi" w:hAnsiTheme="minorBidi"/>
          <w:i/>
          <w:iCs/>
        </w:rPr>
        <w:t>Prinsloo v Luipaardsvlei Estates &amp; G.M. Co. Ltd</w:t>
      </w:r>
      <w:r w:rsidRPr="007B6FBA">
        <w:rPr>
          <w:rFonts w:asciiTheme="minorBidi" w:hAnsiTheme="minorBidi"/>
        </w:rPr>
        <w:t xml:space="preserve"> 1933 W.L.D. 6 at 23; </w:t>
      </w:r>
      <w:r w:rsidRPr="007B6FBA">
        <w:rPr>
          <w:rFonts w:asciiTheme="minorBidi" w:hAnsiTheme="minorBidi"/>
          <w:i/>
          <w:iCs/>
        </w:rPr>
        <w:t>Arendse v Maher</w:t>
      </w:r>
      <w:r w:rsidRPr="007B6FBA">
        <w:rPr>
          <w:rFonts w:asciiTheme="minorBidi" w:hAnsiTheme="minorBidi"/>
        </w:rPr>
        <w:t>, 1936 T.P.D. 162 at 165; </w:t>
      </w:r>
      <w:r w:rsidRPr="007B6FBA">
        <w:rPr>
          <w:rFonts w:asciiTheme="minorBidi" w:hAnsiTheme="minorBidi"/>
          <w:i/>
          <w:iCs/>
        </w:rPr>
        <w:t>Lazarus v Rand Steam Laundries</w:t>
      </w:r>
      <w:r w:rsidRPr="007B6FBA">
        <w:rPr>
          <w:rFonts w:asciiTheme="minorBidi" w:hAnsiTheme="minorBidi"/>
        </w:rPr>
        <w:t> (1946) (</w:t>
      </w:r>
      <w:r w:rsidRPr="007B6FBA">
        <w:rPr>
          <w:rFonts w:asciiTheme="minorBidi" w:hAnsiTheme="minorBidi"/>
          <w:i/>
          <w:iCs/>
        </w:rPr>
        <w:t>Pty</w:t>
      </w:r>
      <w:r w:rsidRPr="007B6FBA">
        <w:rPr>
          <w:rFonts w:asciiTheme="minorBidi" w:hAnsiTheme="minorBidi"/>
        </w:rPr>
        <w:t>.)  A Ltd 1952 (3) SA 49 (T) at 51; </w:t>
      </w:r>
      <w:r w:rsidRPr="007B6FBA">
        <w:rPr>
          <w:rFonts w:asciiTheme="minorBidi" w:hAnsiTheme="minorBidi"/>
          <w:i/>
          <w:iCs/>
        </w:rPr>
        <w:t>Enslin v Meyer</w:t>
      </w:r>
      <w:r w:rsidRPr="007B6FBA">
        <w:rPr>
          <w:rFonts w:asciiTheme="minorBidi" w:hAnsiTheme="minorBidi"/>
        </w:rPr>
        <w:t xml:space="preserve"> 1960 (4) SA 520 (T) at 523; </w:t>
      </w:r>
      <w:r w:rsidRPr="007B6FBA">
        <w:rPr>
          <w:rFonts w:asciiTheme="minorBidi" w:hAnsiTheme="minorBidi"/>
          <w:i/>
          <w:iCs/>
        </w:rPr>
        <w:t>Versfeld v South African Citrus Farms Ltd</w:t>
      </w:r>
      <w:r w:rsidRPr="007B6FBA">
        <w:rPr>
          <w:rFonts w:asciiTheme="minorBidi" w:hAnsiTheme="minorBidi"/>
        </w:rPr>
        <w:t>., 1930 AD 452 at 460; </w:t>
      </w:r>
      <w:r w:rsidRPr="007B6FBA">
        <w:rPr>
          <w:rFonts w:asciiTheme="minorBidi" w:hAnsiTheme="minorBidi"/>
          <w:i/>
          <w:iCs/>
        </w:rPr>
        <w:t>Erasmus v Davis</w:t>
      </w:r>
      <w:r w:rsidRPr="007B6FBA">
        <w:rPr>
          <w:rFonts w:asciiTheme="minorBidi" w:hAnsiTheme="minorBidi"/>
        </w:rPr>
        <w:t>, 1969 (2) SA 1 (A) at 22.</w:t>
      </w:r>
    </w:p>
  </w:footnote>
  <w:footnote w:id="60">
    <w:p w14:paraId="63E0E4F1" w14:textId="77777777" w:rsidR="00060854" w:rsidRPr="007B6FBA" w:rsidRDefault="00060854" w:rsidP="006F702D">
      <w:pPr>
        <w:pStyle w:val="FootnoteText"/>
        <w:spacing w:line="480" w:lineRule="auto"/>
        <w:jc w:val="both"/>
        <w:rPr>
          <w:rFonts w:asciiTheme="minorBidi" w:hAnsiTheme="minorBidi"/>
          <w:lang w:val="en-US"/>
        </w:rPr>
      </w:pPr>
      <w:r w:rsidRPr="007B6FBA">
        <w:rPr>
          <w:rStyle w:val="FootnoteReference"/>
          <w:rFonts w:asciiTheme="minorBidi" w:hAnsiTheme="minorBidi"/>
        </w:rPr>
        <w:footnoteRef/>
      </w:r>
      <w:r w:rsidRPr="007B6FBA">
        <w:rPr>
          <w:rFonts w:asciiTheme="minorBidi" w:hAnsiTheme="minorBidi"/>
        </w:rPr>
        <w:t xml:space="preserve"> 1970 (1) SA 609 (A) at 632.</w:t>
      </w:r>
    </w:p>
  </w:footnote>
  <w:footnote w:id="61">
    <w:p w14:paraId="45BBEE15" w14:textId="77777777" w:rsidR="00060854" w:rsidRPr="007B6FBA" w:rsidRDefault="00060854" w:rsidP="006F702D">
      <w:pPr>
        <w:pStyle w:val="FootnoteText"/>
        <w:spacing w:line="480" w:lineRule="auto"/>
        <w:jc w:val="both"/>
        <w:rPr>
          <w:rFonts w:asciiTheme="minorBidi" w:hAnsiTheme="minorBidi"/>
          <w:lang w:val="en-US"/>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lang w:val="en-GB"/>
        </w:rPr>
        <w:t>2014 (1) SA 4156 (GSJ).</w:t>
      </w:r>
    </w:p>
  </w:footnote>
  <w:footnote w:id="62">
    <w:p w14:paraId="55A98820" w14:textId="77777777" w:rsidR="00060854" w:rsidRPr="007B6FBA" w:rsidRDefault="00060854"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Twine v Naidoo</w:t>
      </w:r>
      <w:r w:rsidRPr="007B6FBA">
        <w:rPr>
          <w:rFonts w:asciiTheme="minorBidi" w:hAnsiTheme="minorBidi"/>
        </w:rPr>
        <w:t xml:space="preserve"> [2018] 1 All SA 297 (GJ) at para 18(h); </w:t>
      </w:r>
      <w:r w:rsidRPr="007B6FBA">
        <w:rPr>
          <w:rFonts w:asciiTheme="minorBidi" w:hAnsiTheme="minorBidi"/>
          <w:i/>
          <w:iCs/>
        </w:rPr>
        <w:t>Holtzhauzen v Roodt</w:t>
      </w:r>
      <w:r w:rsidRPr="007B6FBA">
        <w:rPr>
          <w:rFonts w:asciiTheme="minorBidi" w:hAnsiTheme="minorBidi"/>
        </w:rPr>
        <w:t xml:space="preserve"> 1997 (4) SA 766 (W) at 772.</w:t>
      </w:r>
    </w:p>
  </w:footnote>
  <w:footnote w:id="63">
    <w:p w14:paraId="63D80E10" w14:textId="77777777" w:rsidR="00060854" w:rsidRPr="007B6FBA" w:rsidRDefault="00060854"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Twine v Naidoo</w:t>
      </w:r>
      <w:r w:rsidRPr="007B6FBA">
        <w:rPr>
          <w:rFonts w:asciiTheme="minorBidi" w:hAnsiTheme="minorBidi"/>
        </w:rPr>
        <w:t xml:space="preserve"> [2018] 1 All SA 297 (GJ) at para 18(t). </w:t>
      </w:r>
    </w:p>
  </w:footnote>
  <w:footnote w:id="64">
    <w:p w14:paraId="72A05EDD" w14:textId="77777777" w:rsidR="00060854" w:rsidRPr="007B6FBA" w:rsidRDefault="00060854"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S v Mngomezulu</w:t>
      </w:r>
      <w:r w:rsidRPr="007B6FBA">
        <w:rPr>
          <w:rFonts w:asciiTheme="minorBidi" w:hAnsiTheme="minorBidi"/>
        </w:rPr>
        <w:t> 1972 (1) SA 797 (A) at 798F-H.</w:t>
      </w:r>
    </w:p>
  </w:footnote>
  <w:footnote w:id="65">
    <w:p w14:paraId="0D644970" w14:textId="77777777" w:rsidR="00060854" w:rsidRPr="007B6FBA" w:rsidRDefault="00060854"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S v Mthethwa</w:t>
      </w:r>
      <w:r w:rsidRPr="007B6FBA">
        <w:rPr>
          <w:rFonts w:asciiTheme="minorBidi" w:hAnsiTheme="minorBidi"/>
        </w:rPr>
        <w:t xml:space="preserve"> (CC03/2014) [2017] ZAWCHC 28 (16 March 2017) at para 98; </w:t>
      </w:r>
      <w:r w:rsidRPr="007B6FBA">
        <w:rPr>
          <w:rFonts w:asciiTheme="minorBidi" w:hAnsiTheme="minorBidi"/>
          <w:i/>
          <w:iCs/>
        </w:rPr>
        <w:t>R v Möhr</w:t>
      </w:r>
      <w:r w:rsidRPr="007B6FBA">
        <w:rPr>
          <w:rFonts w:asciiTheme="minorBidi" w:hAnsiTheme="minorBidi"/>
        </w:rPr>
        <w:t xml:space="preserve"> 1944 TPD 105 at 108; </w:t>
      </w:r>
      <w:r w:rsidRPr="007B6FBA">
        <w:rPr>
          <w:rFonts w:asciiTheme="minorBidi" w:hAnsiTheme="minorBidi"/>
          <w:i/>
          <w:iCs/>
        </w:rPr>
        <w:t>R v Abbey</w:t>
      </w:r>
      <w:r w:rsidRPr="007B6FBA">
        <w:rPr>
          <w:rFonts w:asciiTheme="minorBidi" w:hAnsiTheme="minorBidi"/>
        </w:rPr>
        <w:t xml:space="preserve"> [1982] 2 S.C.R. 24 at 43-45..</w:t>
      </w:r>
    </w:p>
  </w:footnote>
  <w:footnote w:id="66">
    <w:p w14:paraId="5B61F89F" w14:textId="77777777" w:rsidR="00060854" w:rsidRPr="007B6FBA" w:rsidRDefault="00060854"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1991 (1) SACR 656 (NM) at 661H. Also see </w:t>
      </w:r>
      <w:r w:rsidRPr="007B6FBA">
        <w:rPr>
          <w:rFonts w:asciiTheme="minorBidi" w:hAnsiTheme="minorBidi"/>
          <w:i/>
          <w:iCs/>
        </w:rPr>
        <w:t>S v Mngomezulu</w:t>
      </w:r>
      <w:r w:rsidRPr="007B6FBA">
        <w:rPr>
          <w:rFonts w:asciiTheme="minorBidi" w:hAnsiTheme="minorBidi"/>
        </w:rPr>
        <w:t> 1972 (1) SA 797 (A) at 798F-H.</w:t>
      </w:r>
    </w:p>
  </w:footnote>
  <w:footnote w:id="67">
    <w:p w14:paraId="588BC8AC" w14:textId="77777777" w:rsidR="00060854" w:rsidRPr="007B6FBA" w:rsidRDefault="00060854"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At 661H.</w:t>
      </w:r>
    </w:p>
  </w:footnote>
  <w:footnote w:id="68">
    <w:p w14:paraId="7A856237" w14:textId="10E11EFD" w:rsidR="000F055F" w:rsidRPr="007B6FBA" w:rsidRDefault="000F055F"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(1552/1999) [2003] ZANCHC 49 (21 November 2003).</w:t>
      </w:r>
    </w:p>
  </w:footnote>
  <w:footnote w:id="69">
    <w:p w14:paraId="1D518FC9" w14:textId="2472D6B8" w:rsidR="000F055F" w:rsidRPr="007B6FBA" w:rsidRDefault="000F055F"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lang w:val="en-GB"/>
        </w:rPr>
        <w:t>(A76/19) [2021] ZAGPPHC 461 (19 July 2021).</w:t>
      </w:r>
    </w:p>
  </w:footnote>
  <w:footnote w:id="70">
    <w:p w14:paraId="4FBB7778" w14:textId="7AD325F8" w:rsidR="00CE7061" w:rsidRPr="007B6FBA" w:rsidRDefault="00CE7061"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bookmarkStart w:id="7" w:name="_Hlk145145789"/>
      <w:r w:rsidRPr="007B6FBA">
        <w:rPr>
          <w:rFonts w:asciiTheme="minorBidi" w:hAnsiTheme="minorBidi"/>
          <w:i/>
        </w:rPr>
        <w:t>Deysel v Road Accident Fund</w:t>
      </w:r>
      <w:r w:rsidRPr="007B6FBA">
        <w:rPr>
          <w:rFonts w:asciiTheme="minorBidi" w:hAnsiTheme="minorBidi"/>
        </w:rPr>
        <w:t xml:space="preserve"> (2483/09) [2011] ZAGPJHC 242 (24 June 20</w:t>
      </w:r>
      <w:r w:rsidR="00B97E20">
        <w:rPr>
          <w:rFonts w:asciiTheme="minorBidi" w:hAnsiTheme="minorBidi"/>
        </w:rPr>
        <w:t>11</w:t>
      </w:r>
      <w:r w:rsidRPr="007B6FBA">
        <w:rPr>
          <w:rFonts w:asciiTheme="minorBidi" w:hAnsiTheme="minorBidi"/>
        </w:rPr>
        <w:t xml:space="preserve">) </w:t>
      </w:r>
      <w:bookmarkEnd w:id="7"/>
      <w:r w:rsidR="007B6FBA" w:rsidRPr="007B6FBA">
        <w:rPr>
          <w:rFonts w:asciiTheme="minorBidi" w:hAnsiTheme="minorBidi"/>
        </w:rPr>
        <w:t xml:space="preserve">at </w:t>
      </w:r>
      <w:r w:rsidRPr="007B6FBA">
        <w:rPr>
          <w:rFonts w:asciiTheme="minorBidi" w:hAnsiTheme="minorBidi"/>
        </w:rPr>
        <w:t>para 14.</w:t>
      </w:r>
    </w:p>
  </w:footnote>
  <w:footnote w:id="71">
    <w:p w14:paraId="758ECB8A" w14:textId="1F6EDAF8" w:rsidR="00CE7061" w:rsidRPr="007B6FBA" w:rsidRDefault="00CE7061"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007B6FBA" w:rsidRPr="007B6FBA">
        <w:rPr>
          <w:rFonts w:asciiTheme="minorBidi" w:hAnsiTheme="minorBidi"/>
          <w:i/>
        </w:rPr>
        <w:t>Deysel v Road Accident Fund</w:t>
      </w:r>
      <w:r w:rsidR="007B6FBA" w:rsidRPr="007B6FBA">
        <w:rPr>
          <w:rFonts w:asciiTheme="minorBidi" w:hAnsiTheme="minorBidi"/>
        </w:rPr>
        <w:t xml:space="preserve"> (2483/09) [2011] ZAGPJHC 242 (24 June 20</w:t>
      </w:r>
      <w:r w:rsidR="00B97E20">
        <w:rPr>
          <w:rFonts w:asciiTheme="minorBidi" w:hAnsiTheme="minorBidi"/>
        </w:rPr>
        <w:t>11</w:t>
      </w:r>
      <w:r w:rsidR="007B6FBA" w:rsidRPr="007B6FBA">
        <w:rPr>
          <w:rFonts w:asciiTheme="minorBidi" w:hAnsiTheme="minorBidi"/>
        </w:rPr>
        <w:t xml:space="preserve">) at </w:t>
      </w:r>
      <w:r w:rsidRPr="007B6FBA">
        <w:rPr>
          <w:rFonts w:asciiTheme="minorBidi" w:hAnsiTheme="minorBidi"/>
        </w:rPr>
        <w:t>para 18.</w:t>
      </w:r>
    </w:p>
  </w:footnote>
  <w:footnote w:id="72">
    <w:p w14:paraId="6D2F802C" w14:textId="27F125F4" w:rsidR="00CE7061" w:rsidRPr="007B6FBA" w:rsidRDefault="00CE7061"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007B6FBA" w:rsidRPr="007B6FBA">
        <w:rPr>
          <w:rFonts w:asciiTheme="minorBidi" w:hAnsiTheme="minorBidi"/>
          <w:i/>
        </w:rPr>
        <w:t>Deysel v Road Accident Fund</w:t>
      </w:r>
      <w:r w:rsidR="007B6FBA" w:rsidRPr="007B6FBA">
        <w:rPr>
          <w:rFonts w:asciiTheme="minorBidi" w:hAnsiTheme="minorBidi"/>
        </w:rPr>
        <w:t xml:space="preserve"> (2483/09) [2011] ZAGPJHC 242 (24 June 20</w:t>
      </w:r>
      <w:r w:rsidR="00B97E20">
        <w:rPr>
          <w:rFonts w:asciiTheme="minorBidi" w:hAnsiTheme="minorBidi"/>
        </w:rPr>
        <w:t>11</w:t>
      </w:r>
      <w:r w:rsidR="007B6FBA" w:rsidRPr="007B6FBA">
        <w:rPr>
          <w:rFonts w:asciiTheme="minorBidi" w:hAnsiTheme="minorBidi"/>
        </w:rPr>
        <w:t>) at para 18.</w:t>
      </w:r>
    </w:p>
  </w:footnote>
  <w:footnote w:id="73">
    <w:p w14:paraId="525503CE" w14:textId="77777777" w:rsidR="00CE7061" w:rsidRPr="007B6FBA" w:rsidRDefault="00CE7061"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2010 (2) SA 539 (SCA) para 15. In </w:t>
      </w:r>
      <w:r w:rsidRPr="007B6FBA">
        <w:rPr>
          <w:rFonts w:asciiTheme="minorBidi" w:hAnsiTheme="minorBidi"/>
          <w:i/>
        </w:rPr>
        <w:t>Saayman v RAF</w:t>
      </w:r>
      <w:r w:rsidRPr="007B6FBA">
        <w:rPr>
          <w:rFonts w:asciiTheme="minorBidi" w:hAnsiTheme="minorBidi"/>
        </w:rPr>
        <w:t xml:space="preserve"> 2010 (2) SA 539 (SCA) the court applied the loss of earnings and loss of earning capacity interchangeably. In </w:t>
      </w:r>
      <w:r w:rsidRPr="007B6FBA">
        <w:rPr>
          <w:rFonts w:asciiTheme="minorBidi" w:hAnsiTheme="minorBidi"/>
          <w:i/>
        </w:rPr>
        <w:t>RAF v Delport</w:t>
      </w:r>
      <w:r w:rsidRPr="007B6FBA">
        <w:rPr>
          <w:rFonts w:asciiTheme="minorBidi" w:hAnsiTheme="minorBidi"/>
        </w:rPr>
        <w:t xml:space="preserve"> 2005 (1) All SA 468 (SCA) the SCA awarded damages for ‘</w:t>
      </w:r>
      <w:r w:rsidRPr="007B6FBA">
        <w:rPr>
          <w:rFonts w:asciiTheme="minorBidi" w:hAnsiTheme="minorBidi"/>
          <w:i/>
        </w:rPr>
        <w:t>income earning capacity</w:t>
      </w:r>
      <w:r w:rsidRPr="007B6FBA">
        <w:rPr>
          <w:rFonts w:asciiTheme="minorBidi" w:hAnsiTheme="minorBidi"/>
        </w:rPr>
        <w:t>’, thereby further strengthening the argument that loss of income and loss of earning capacity may be used interchangeably.</w:t>
      </w:r>
    </w:p>
  </w:footnote>
  <w:footnote w:id="74">
    <w:p w14:paraId="227FDE5D" w14:textId="484DACCE" w:rsidR="00CE7061" w:rsidRPr="007B6FBA" w:rsidRDefault="00CE7061"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007B6FBA" w:rsidRPr="007B6FBA">
        <w:rPr>
          <w:rFonts w:asciiTheme="minorBidi" w:hAnsiTheme="minorBidi"/>
          <w:i/>
        </w:rPr>
        <w:t>Deysel v Road Accident Fund</w:t>
      </w:r>
      <w:r w:rsidR="007B6FBA" w:rsidRPr="007B6FBA">
        <w:rPr>
          <w:rFonts w:asciiTheme="minorBidi" w:hAnsiTheme="minorBidi"/>
        </w:rPr>
        <w:t xml:space="preserve"> (2483/09) [2011] ZAGPJHC 242 (24 June 201) at para 21.</w:t>
      </w:r>
    </w:p>
  </w:footnote>
  <w:footnote w:id="75">
    <w:p w14:paraId="65328F1F" w14:textId="7FF91E08" w:rsidR="00CE7061" w:rsidRPr="007B6FBA" w:rsidRDefault="00CE7061"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007B6FBA" w:rsidRPr="007B6FBA">
        <w:rPr>
          <w:rFonts w:asciiTheme="minorBidi" w:hAnsiTheme="minorBidi"/>
          <w:i/>
        </w:rPr>
        <w:t>Deysel v Road Accident Fund</w:t>
      </w:r>
      <w:r w:rsidR="007B6FBA" w:rsidRPr="007B6FBA">
        <w:rPr>
          <w:rFonts w:asciiTheme="minorBidi" w:hAnsiTheme="minorBidi"/>
        </w:rPr>
        <w:t xml:space="preserve"> (2483/09) [2011] ZAGPJHC 242 (24 June 20</w:t>
      </w:r>
      <w:r w:rsidR="00B97E20">
        <w:rPr>
          <w:rFonts w:asciiTheme="minorBidi" w:hAnsiTheme="minorBidi"/>
        </w:rPr>
        <w:t>11</w:t>
      </w:r>
      <w:r w:rsidR="007B6FBA" w:rsidRPr="007B6FBA">
        <w:rPr>
          <w:rFonts w:asciiTheme="minorBidi" w:hAnsiTheme="minorBidi"/>
        </w:rPr>
        <w:t xml:space="preserve">) at para </w:t>
      </w:r>
      <w:r w:rsidRPr="007B6FBA">
        <w:rPr>
          <w:rFonts w:asciiTheme="minorBidi" w:hAnsiTheme="minorBidi"/>
        </w:rPr>
        <w:t xml:space="preserve">26; </w:t>
      </w:r>
      <w:r w:rsidRPr="007B6FBA">
        <w:rPr>
          <w:rFonts w:asciiTheme="minorBidi" w:hAnsiTheme="minorBidi"/>
          <w:i/>
        </w:rPr>
        <w:t>De Kock v RAF</w:t>
      </w:r>
      <w:r w:rsidRPr="007B6FBA">
        <w:rPr>
          <w:rFonts w:asciiTheme="minorBidi" w:hAnsiTheme="minorBidi"/>
        </w:rPr>
        <w:t xml:space="preserve"> (2009) [9851/07] referred to in </w:t>
      </w:r>
      <w:r w:rsidR="007B6FBA" w:rsidRPr="007B6FBA">
        <w:rPr>
          <w:rFonts w:asciiTheme="minorBidi" w:hAnsiTheme="minorBidi"/>
          <w:i/>
        </w:rPr>
        <w:t>Deysel v Road Accident Fund</w:t>
      </w:r>
      <w:r w:rsidR="007B6FBA" w:rsidRPr="007B6FBA">
        <w:rPr>
          <w:rFonts w:asciiTheme="minorBidi" w:hAnsiTheme="minorBidi"/>
        </w:rPr>
        <w:t xml:space="preserve"> (2483/09) [2011] ZAGPJHC 242 (24 June 20</w:t>
      </w:r>
      <w:r w:rsidR="00B97E20">
        <w:rPr>
          <w:rFonts w:asciiTheme="minorBidi" w:hAnsiTheme="minorBidi"/>
        </w:rPr>
        <w:t>11</w:t>
      </w:r>
      <w:r w:rsidR="007B6FBA" w:rsidRPr="007B6FBA">
        <w:rPr>
          <w:rFonts w:asciiTheme="minorBidi" w:hAnsiTheme="minorBidi"/>
        </w:rPr>
        <w:t xml:space="preserve">) at </w:t>
      </w:r>
      <w:r w:rsidRPr="007B6FBA">
        <w:rPr>
          <w:rFonts w:asciiTheme="minorBidi" w:hAnsiTheme="minorBidi"/>
        </w:rPr>
        <w:t>para 26.</w:t>
      </w:r>
    </w:p>
  </w:footnote>
  <w:footnote w:id="76">
    <w:p w14:paraId="5FA98BB9" w14:textId="3E2BC413" w:rsidR="00CE7061" w:rsidRPr="007B6FBA" w:rsidRDefault="00CE7061"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i/>
        </w:rPr>
        <w:t xml:space="preserve"> </w:t>
      </w:r>
      <w:r w:rsidR="007B6FBA" w:rsidRPr="007B6FBA">
        <w:rPr>
          <w:rFonts w:asciiTheme="minorBidi" w:hAnsiTheme="minorBidi"/>
          <w:i/>
        </w:rPr>
        <w:t>Deysel v Road Accident Fund</w:t>
      </w:r>
      <w:r w:rsidR="007B6FBA" w:rsidRPr="007B6FBA">
        <w:rPr>
          <w:rFonts w:asciiTheme="minorBidi" w:hAnsiTheme="minorBidi"/>
        </w:rPr>
        <w:t xml:space="preserve"> (2483/09) [2011] ZAGPJHC 242 (24 June 20</w:t>
      </w:r>
      <w:r w:rsidR="00B97E20">
        <w:rPr>
          <w:rFonts w:asciiTheme="minorBidi" w:hAnsiTheme="minorBidi"/>
        </w:rPr>
        <w:t>11</w:t>
      </w:r>
      <w:r w:rsidR="007B6FBA" w:rsidRPr="007B6FBA">
        <w:rPr>
          <w:rFonts w:asciiTheme="minorBidi" w:hAnsiTheme="minorBidi"/>
        </w:rPr>
        <w:t xml:space="preserve">) at para </w:t>
      </w:r>
      <w:r w:rsidRPr="007B6FBA">
        <w:rPr>
          <w:rFonts w:asciiTheme="minorBidi" w:hAnsiTheme="minorBidi"/>
        </w:rPr>
        <w:t>27.</w:t>
      </w:r>
    </w:p>
  </w:footnote>
  <w:footnote w:id="77">
    <w:p w14:paraId="102EF037" w14:textId="005CE6C0" w:rsidR="00CE7061" w:rsidRPr="007B6FBA" w:rsidRDefault="00CE7061"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007B6FBA" w:rsidRPr="007B6FBA">
        <w:rPr>
          <w:rFonts w:asciiTheme="minorBidi" w:hAnsiTheme="minorBidi"/>
          <w:i/>
        </w:rPr>
        <w:t>Deysel v Road Accident Fund</w:t>
      </w:r>
      <w:r w:rsidR="007B6FBA" w:rsidRPr="007B6FBA">
        <w:rPr>
          <w:rFonts w:asciiTheme="minorBidi" w:hAnsiTheme="minorBidi"/>
        </w:rPr>
        <w:t xml:space="preserve"> (2483/09) [2011] ZAGPJHC 242 (24 June 20</w:t>
      </w:r>
      <w:r w:rsidR="00B97E20">
        <w:rPr>
          <w:rFonts w:asciiTheme="minorBidi" w:hAnsiTheme="minorBidi"/>
        </w:rPr>
        <w:t>11</w:t>
      </w:r>
      <w:r w:rsidR="007B6FBA" w:rsidRPr="007B6FBA">
        <w:rPr>
          <w:rFonts w:asciiTheme="minorBidi" w:hAnsiTheme="minorBidi"/>
        </w:rPr>
        <w:t xml:space="preserve">) at </w:t>
      </w:r>
      <w:r w:rsidRPr="007B6FBA">
        <w:rPr>
          <w:rFonts w:asciiTheme="minorBidi" w:hAnsiTheme="minorBidi"/>
        </w:rPr>
        <w:t>para 15.</w:t>
      </w:r>
    </w:p>
  </w:footnote>
  <w:footnote w:id="78">
    <w:p w14:paraId="73C21D42" w14:textId="3ABEC02F" w:rsidR="00CE7061" w:rsidRPr="007B6FBA" w:rsidRDefault="00CE7061"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CE7061">
        <w:rPr>
          <w:rFonts w:asciiTheme="minorBidi" w:hAnsiTheme="minorBidi"/>
          <w:bCs/>
          <w:i/>
        </w:rPr>
        <w:t>Rudman v Road Accident Fund</w:t>
      </w:r>
      <w:r w:rsidRPr="007B6FBA">
        <w:rPr>
          <w:rFonts w:asciiTheme="minorBidi" w:hAnsiTheme="minorBidi"/>
          <w:b/>
          <w:i/>
        </w:rPr>
        <w:t xml:space="preserve"> </w:t>
      </w:r>
      <w:r w:rsidRPr="007B6FBA">
        <w:rPr>
          <w:rFonts w:asciiTheme="minorBidi" w:hAnsiTheme="minorBidi"/>
        </w:rPr>
        <w:t>2002 4 All SA 422 (SCA)</w:t>
      </w:r>
      <w:r w:rsidR="00C21D38">
        <w:rPr>
          <w:rFonts w:asciiTheme="minorBidi" w:hAnsiTheme="minorBidi"/>
        </w:rPr>
        <w:t xml:space="preserve"> at para 11</w:t>
      </w:r>
      <w:r w:rsidRPr="007B6FBA">
        <w:rPr>
          <w:rFonts w:asciiTheme="minorBidi" w:hAnsiTheme="minorBidi"/>
        </w:rPr>
        <w:t xml:space="preserve">; </w:t>
      </w:r>
      <w:r w:rsidR="007B6FBA" w:rsidRPr="007B6FBA">
        <w:rPr>
          <w:rFonts w:asciiTheme="minorBidi" w:hAnsiTheme="minorBidi"/>
          <w:i/>
        </w:rPr>
        <w:t>Deysel v Road Accident Fund</w:t>
      </w:r>
      <w:r w:rsidR="007B6FBA" w:rsidRPr="007B6FBA">
        <w:rPr>
          <w:rFonts w:asciiTheme="minorBidi" w:hAnsiTheme="minorBidi"/>
        </w:rPr>
        <w:t xml:space="preserve"> (2483/09) [2011] ZAGPJHC 242 (24 June 20</w:t>
      </w:r>
      <w:r w:rsidR="00B97E20">
        <w:rPr>
          <w:rFonts w:asciiTheme="minorBidi" w:hAnsiTheme="minorBidi"/>
        </w:rPr>
        <w:t>11</w:t>
      </w:r>
      <w:r w:rsidR="007B6FBA" w:rsidRPr="007B6FBA">
        <w:rPr>
          <w:rFonts w:asciiTheme="minorBidi" w:hAnsiTheme="minorBidi"/>
        </w:rPr>
        <w:t xml:space="preserve">) at para </w:t>
      </w:r>
      <w:r w:rsidRPr="007B6FBA">
        <w:rPr>
          <w:rFonts w:asciiTheme="minorBidi" w:hAnsiTheme="minorBidi"/>
        </w:rPr>
        <w:t xml:space="preserve">17; </w:t>
      </w:r>
      <w:r w:rsidRPr="007B6FBA">
        <w:rPr>
          <w:rFonts w:asciiTheme="minorBidi" w:hAnsiTheme="minorBidi"/>
          <w:i/>
        </w:rPr>
        <w:t>Bridgman N.O v RAF</w:t>
      </w:r>
      <w:r w:rsidRPr="007B6FBA">
        <w:rPr>
          <w:rFonts w:asciiTheme="minorBidi" w:hAnsiTheme="minorBidi"/>
        </w:rPr>
        <w:t xml:space="preserve"> (C) Corbett &amp; Honey The Quantum of Damages in Bodily and Fatal injuries Cases Volume V at B4-1, B4-5.</w:t>
      </w:r>
    </w:p>
  </w:footnote>
  <w:footnote w:id="79">
    <w:p w14:paraId="78E95E6A" w14:textId="726F2B4F" w:rsidR="00CE7061" w:rsidRPr="007B6FBA" w:rsidRDefault="00CE7061"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2009 (5) SA 406 (SE). Also see </w:t>
      </w:r>
      <w:r w:rsidRPr="007B6FBA">
        <w:rPr>
          <w:rFonts w:asciiTheme="minorBidi" w:hAnsiTheme="minorBidi"/>
          <w:i/>
          <w:iCs/>
        </w:rPr>
        <w:t>Griffiths v Mutual Insurance Co Ltd</w:t>
      </w:r>
      <w:r w:rsidRPr="007B6FBA">
        <w:rPr>
          <w:rFonts w:asciiTheme="minorBidi" w:hAnsiTheme="minorBidi"/>
        </w:rPr>
        <w:t xml:space="preserve"> 1994 (1) SA 535 (A) </w:t>
      </w:r>
      <w:r w:rsidR="00C21D38">
        <w:rPr>
          <w:rFonts w:asciiTheme="minorBidi" w:hAnsiTheme="minorBidi"/>
        </w:rPr>
        <w:t xml:space="preserve">at </w:t>
      </w:r>
      <w:r w:rsidRPr="007B6FBA">
        <w:rPr>
          <w:rFonts w:asciiTheme="minorBidi" w:hAnsiTheme="minorBidi"/>
        </w:rPr>
        <w:t>564 F-G.</w:t>
      </w:r>
    </w:p>
  </w:footnote>
  <w:footnote w:id="80">
    <w:p w14:paraId="2BD80903" w14:textId="62BAA06B" w:rsidR="00CE7061" w:rsidRPr="007B6FBA" w:rsidRDefault="00CE7061"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1973 (2) SA 146 (A) </w:t>
      </w:r>
      <w:r w:rsidR="00DE3C1D">
        <w:rPr>
          <w:rFonts w:asciiTheme="minorBidi" w:hAnsiTheme="minorBidi"/>
        </w:rPr>
        <w:t xml:space="preserve">at </w:t>
      </w:r>
      <w:r w:rsidRPr="007B6FBA">
        <w:rPr>
          <w:rFonts w:asciiTheme="minorBidi" w:hAnsiTheme="minorBidi"/>
        </w:rPr>
        <w:t>150B-D.</w:t>
      </w:r>
    </w:p>
  </w:footnote>
  <w:footnote w:id="81">
    <w:p w14:paraId="19DE7F59" w14:textId="46A960A5" w:rsidR="00CE7061" w:rsidRPr="007B6FBA" w:rsidRDefault="00CE7061"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1979 (2) SA 904 (A) </w:t>
      </w:r>
      <w:r w:rsidR="00DE3C1D">
        <w:rPr>
          <w:rFonts w:asciiTheme="minorBidi" w:hAnsiTheme="minorBidi"/>
        </w:rPr>
        <w:t xml:space="preserve">at </w:t>
      </w:r>
      <w:r w:rsidRPr="007B6FBA">
        <w:rPr>
          <w:rFonts w:asciiTheme="minorBidi" w:hAnsiTheme="minorBidi"/>
        </w:rPr>
        <w:t>917 B-D.</w:t>
      </w:r>
    </w:p>
  </w:footnote>
  <w:footnote w:id="82">
    <w:p w14:paraId="7E854123" w14:textId="128E504D" w:rsidR="00CE7061" w:rsidRPr="007B6FBA" w:rsidRDefault="00CE7061"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Mashilo v RAF</w:t>
      </w:r>
      <w:r w:rsidRPr="007B6FBA">
        <w:rPr>
          <w:rFonts w:asciiTheme="minorBidi" w:hAnsiTheme="minorBidi"/>
        </w:rPr>
        <w:t xml:space="preserve"> {63915/09) [2009] North Gauteng High Court; Union and National Insurance Co Ltd 1970 (1) SA 295 (A) at 300A; </w:t>
      </w:r>
      <w:r w:rsidRPr="007B6FBA">
        <w:rPr>
          <w:rFonts w:asciiTheme="minorBidi" w:hAnsiTheme="minorBidi"/>
          <w:i/>
          <w:iCs/>
        </w:rPr>
        <w:t>Krugell v Shield Versekeringsmaatskappy Bpk</w:t>
      </w:r>
      <w:r w:rsidRPr="007B6FBA">
        <w:rPr>
          <w:rFonts w:asciiTheme="minorBidi" w:hAnsiTheme="minorBidi"/>
        </w:rPr>
        <w:t xml:space="preserve"> 1982 (4) SA 95 (T) </w:t>
      </w:r>
      <w:r w:rsidR="00DE3C1D">
        <w:rPr>
          <w:rFonts w:asciiTheme="minorBidi" w:hAnsiTheme="minorBidi"/>
        </w:rPr>
        <w:t xml:space="preserve">at </w:t>
      </w:r>
      <w:r w:rsidRPr="007B6FBA">
        <w:rPr>
          <w:rFonts w:asciiTheme="minorBidi" w:hAnsiTheme="minorBidi"/>
        </w:rPr>
        <w:t>99E.</w:t>
      </w:r>
    </w:p>
  </w:footnote>
  <w:footnote w:id="83">
    <w:p w14:paraId="5920C909" w14:textId="028B7DA9" w:rsidR="00CE7061" w:rsidRPr="007B6FBA" w:rsidRDefault="00CE7061" w:rsidP="006F702D">
      <w:pPr>
        <w:pStyle w:val="FootnoteText"/>
        <w:spacing w:line="480" w:lineRule="auto"/>
        <w:jc w:val="both"/>
        <w:rPr>
          <w:rFonts w:asciiTheme="minorBidi" w:hAnsiTheme="minorBidi"/>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i/>
          <w:iCs/>
        </w:rPr>
        <w:t xml:space="preserve">Legal </w:t>
      </w:r>
      <w:r w:rsidR="007B6FBA" w:rsidRPr="007B6FBA">
        <w:rPr>
          <w:rFonts w:asciiTheme="minorBidi" w:hAnsiTheme="minorBidi"/>
          <w:i/>
          <w:iCs/>
        </w:rPr>
        <w:t>Assurance</w:t>
      </w:r>
      <w:r w:rsidRPr="007B6FBA">
        <w:rPr>
          <w:rFonts w:asciiTheme="minorBidi" w:hAnsiTheme="minorBidi"/>
          <w:i/>
          <w:iCs/>
        </w:rPr>
        <w:t xml:space="preserve"> v Botes</w:t>
      </w:r>
      <w:r w:rsidRPr="007B6FBA">
        <w:rPr>
          <w:rFonts w:asciiTheme="minorBidi" w:hAnsiTheme="minorBidi"/>
        </w:rPr>
        <w:t xml:space="preserve"> 1963 </w:t>
      </w:r>
      <w:r w:rsidR="007B6FBA" w:rsidRPr="007B6FBA">
        <w:rPr>
          <w:rFonts w:asciiTheme="minorBidi" w:hAnsiTheme="minorBidi"/>
        </w:rPr>
        <w:t>(1)</w:t>
      </w:r>
      <w:r w:rsidRPr="007B6FBA">
        <w:rPr>
          <w:rFonts w:asciiTheme="minorBidi" w:hAnsiTheme="minorBidi"/>
        </w:rPr>
        <w:t xml:space="preserve"> </w:t>
      </w:r>
      <w:r w:rsidR="007B6FBA" w:rsidRPr="007B6FBA">
        <w:rPr>
          <w:rFonts w:asciiTheme="minorBidi" w:hAnsiTheme="minorBidi"/>
        </w:rPr>
        <w:t>SA</w:t>
      </w:r>
      <w:r w:rsidRPr="007B6FBA">
        <w:rPr>
          <w:rFonts w:asciiTheme="minorBidi" w:hAnsiTheme="minorBidi"/>
        </w:rPr>
        <w:t xml:space="preserve"> 608 </w:t>
      </w:r>
      <w:r w:rsidR="007B6FBA" w:rsidRPr="007B6FBA">
        <w:rPr>
          <w:rFonts w:asciiTheme="minorBidi" w:hAnsiTheme="minorBidi"/>
        </w:rPr>
        <w:t>(</w:t>
      </w:r>
      <w:r w:rsidRPr="007B6FBA">
        <w:rPr>
          <w:rFonts w:asciiTheme="minorBidi" w:hAnsiTheme="minorBidi"/>
        </w:rPr>
        <w:t>A</w:t>
      </w:r>
      <w:r w:rsidR="007B6FBA" w:rsidRPr="007B6FBA">
        <w:rPr>
          <w:rFonts w:asciiTheme="minorBidi" w:hAnsiTheme="minorBidi"/>
        </w:rPr>
        <w:t>)</w:t>
      </w:r>
      <w:r w:rsidR="00DE3C1D">
        <w:rPr>
          <w:rFonts w:asciiTheme="minorBidi" w:hAnsiTheme="minorBidi"/>
        </w:rPr>
        <w:t xml:space="preserve"> at 614.</w:t>
      </w:r>
    </w:p>
  </w:footnote>
  <w:footnote w:id="84">
    <w:p w14:paraId="76D77A9B" w14:textId="0B33D198" w:rsidR="00AA2D97" w:rsidRPr="007B6FBA" w:rsidRDefault="00AA2D97" w:rsidP="006F702D">
      <w:pPr>
        <w:pStyle w:val="FootnoteText"/>
        <w:spacing w:line="480" w:lineRule="auto"/>
        <w:jc w:val="both"/>
        <w:rPr>
          <w:rFonts w:asciiTheme="minorBidi" w:hAnsiTheme="minorBidi"/>
          <w:lang w:val="en-US"/>
        </w:rPr>
      </w:pPr>
      <w:r w:rsidRPr="007B6FBA">
        <w:rPr>
          <w:rStyle w:val="FootnoteReference"/>
          <w:rFonts w:asciiTheme="minorBidi" w:hAnsiTheme="minorBidi"/>
        </w:rPr>
        <w:footnoteRef/>
      </w:r>
      <w:r w:rsidRPr="007B6FBA">
        <w:rPr>
          <w:rFonts w:asciiTheme="minorBidi" w:hAnsiTheme="minorBidi"/>
        </w:rPr>
        <w:t xml:space="preserve"> </w:t>
      </w:r>
      <w:r w:rsidRPr="007B6FBA">
        <w:rPr>
          <w:rFonts w:asciiTheme="minorBidi" w:hAnsiTheme="minorBidi"/>
          <w:lang w:val="en-US"/>
        </w:rPr>
        <w:t>1985 (3) SA 571 (O)</w:t>
      </w:r>
      <w:r w:rsidR="007B6FBA">
        <w:rPr>
          <w:rFonts w:asciiTheme="minorBidi" w:hAnsiTheme="minorBidi"/>
          <w:lang w:val="en-US"/>
        </w:rPr>
        <w:t xml:space="preserve"> at </w:t>
      </w:r>
      <w:r w:rsidR="00DE3C1D">
        <w:rPr>
          <w:rFonts w:asciiTheme="minorBidi" w:hAnsiTheme="minorBidi"/>
          <w:lang w:val="en-US"/>
        </w:rPr>
        <w:t>573.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616B421B" w:rsidR="00494B3B" w:rsidRDefault="00494B3B">
        <w:pPr>
          <w:pStyle w:val="Header"/>
          <w:jc w:val="center"/>
        </w:pPr>
        <w:r>
          <w:fldChar w:fldCharType="begin"/>
        </w:r>
        <w:r>
          <w:instrText xml:space="preserve"> PAGE   \* MERGEFORMAT </w:instrText>
        </w:r>
        <w:r>
          <w:fldChar w:fldCharType="separate"/>
        </w:r>
        <w:r w:rsidR="008925B2">
          <w:rPr>
            <w:noProof/>
          </w:rPr>
          <w:t>2</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nsid w:val="1AAE2DB3"/>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10734D"/>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s6wFAPph56UtAAAA"/>
  </w:docVars>
  <w:rsids>
    <w:rsidRoot w:val="00716377"/>
    <w:rsid w:val="0000007B"/>
    <w:rsid w:val="00000977"/>
    <w:rsid w:val="0000112A"/>
    <w:rsid w:val="00002093"/>
    <w:rsid w:val="00002194"/>
    <w:rsid w:val="0000244E"/>
    <w:rsid w:val="0000273A"/>
    <w:rsid w:val="000029AD"/>
    <w:rsid w:val="00003194"/>
    <w:rsid w:val="000044D9"/>
    <w:rsid w:val="00004997"/>
    <w:rsid w:val="00004F7C"/>
    <w:rsid w:val="000055D3"/>
    <w:rsid w:val="0000567D"/>
    <w:rsid w:val="00005B07"/>
    <w:rsid w:val="00005C66"/>
    <w:rsid w:val="00005F8E"/>
    <w:rsid w:val="00007ADD"/>
    <w:rsid w:val="00010FE1"/>
    <w:rsid w:val="0001114D"/>
    <w:rsid w:val="00012309"/>
    <w:rsid w:val="000126E5"/>
    <w:rsid w:val="00015187"/>
    <w:rsid w:val="00015828"/>
    <w:rsid w:val="000171DB"/>
    <w:rsid w:val="000176C9"/>
    <w:rsid w:val="00017B06"/>
    <w:rsid w:val="000203E2"/>
    <w:rsid w:val="000204FE"/>
    <w:rsid w:val="0002091B"/>
    <w:rsid w:val="00021644"/>
    <w:rsid w:val="00021ECC"/>
    <w:rsid w:val="00022328"/>
    <w:rsid w:val="000230BD"/>
    <w:rsid w:val="00023275"/>
    <w:rsid w:val="00023CAC"/>
    <w:rsid w:val="00023ECF"/>
    <w:rsid w:val="0002404E"/>
    <w:rsid w:val="00024E0F"/>
    <w:rsid w:val="00025126"/>
    <w:rsid w:val="000257A9"/>
    <w:rsid w:val="000274E7"/>
    <w:rsid w:val="00031143"/>
    <w:rsid w:val="000317A3"/>
    <w:rsid w:val="00032C78"/>
    <w:rsid w:val="00032E7A"/>
    <w:rsid w:val="00032FC2"/>
    <w:rsid w:val="000337CB"/>
    <w:rsid w:val="00034E27"/>
    <w:rsid w:val="00035BF5"/>
    <w:rsid w:val="000363B7"/>
    <w:rsid w:val="000367C1"/>
    <w:rsid w:val="00036DE0"/>
    <w:rsid w:val="00036DF7"/>
    <w:rsid w:val="00037527"/>
    <w:rsid w:val="00037CA8"/>
    <w:rsid w:val="000406C2"/>
    <w:rsid w:val="00041763"/>
    <w:rsid w:val="00041CE8"/>
    <w:rsid w:val="00041D2B"/>
    <w:rsid w:val="000422BC"/>
    <w:rsid w:val="00042631"/>
    <w:rsid w:val="00042A4D"/>
    <w:rsid w:val="000439E3"/>
    <w:rsid w:val="00046AC5"/>
    <w:rsid w:val="00050A31"/>
    <w:rsid w:val="00051C95"/>
    <w:rsid w:val="00052C95"/>
    <w:rsid w:val="0005353C"/>
    <w:rsid w:val="0005554F"/>
    <w:rsid w:val="00055BFD"/>
    <w:rsid w:val="00056FB1"/>
    <w:rsid w:val="00060196"/>
    <w:rsid w:val="00060854"/>
    <w:rsid w:val="00060A29"/>
    <w:rsid w:val="00060B7B"/>
    <w:rsid w:val="00060E13"/>
    <w:rsid w:val="00061538"/>
    <w:rsid w:val="00061C12"/>
    <w:rsid w:val="00062130"/>
    <w:rsid w:val="00062922"/>
    <w:rsid w:val="00063A06"/>
    <w:rsid w:val="00064016"/>
    <w:rsid w:val="00064763"/>
    <w:rsid w:val="000649D6"/>
    <w:rsid w:val="000653DB"/>
    <w:rsid w:val="00065779"/>
    <w:rsid w:val="00065E8F"/>
    <w:rsid w:val="000664E5"/>
    <w:rsid w:val="000678F2"/>
    <w:rsid w:val="00070056"/>
    <w:rsid w:val="000703EA"/>
    <w:rsid w:val="00070EB1"/>
    <w:rsid w:val="00071300"/>
    <w:rsid w:val="00071ECB"/>
    <w:rsid w:val="0007249E"/>
    <w:rsid w:val="00072699"/>
    <w:rsid w:val="0007270E"/>
    <w:rsid w:val="000727C4"/>
    <w:rsid w:val="0007288F"/>
    <w:rsid w:val="00072C0C"/>
    <w:rsid w:val="00072D8C"/>
    <w:rsid w:val="00072DB1"/>
    <w:rsid w:val="0007341A"/>
    <w:rsid w:val="000734D0"/>
    <w:rsid w:val="00073D36"/>
    <w:rsid w:val="00074073"/>
    <w:rsid w:val="00074754"/>
    <w:rsid w:val="00074C0F"/>
    <w:rsid w:val="00074DC9"/>
    <w:rsid w:val="00074DF7"/>
    <w:rsid w:val="00075F85"/>
    <w:rsid w:val="000760AA"/>
    <w:rsid w:val="000769B8"/>
    <w:rsid w:val="00076D45"/>
    <w:rsid w:val="00076E83"/>
    <w:rsid w:val="00080965"/>
    <w:rsid w:val="0008099B"/>
    <w:rsid w:val="000809D6"/>
    <w:rsid w:val="0008149E"/>
    <w:rsid w:val="000837C5"/>
    <w:rsid w:val="00084058"/>
    <w:rsid w:val="00085CA1"/>
    <w:rsid w:val="00086714"/>
    <w:rsid w:val="00086814"/>
    <w:rsid w:val="0008711D"/>
    <w:rsid w:val="000876FC"/>
    <w:rsid w:val="00087A9C"/>
    <w:rsid w:val="00090049"/>
    <w:rsid w:val="00090181"/>
    <w:rsid w:val="00090328"/>
    <w:rsid w:val="0009046E"/>
    <w:rsid w:val="00091185"/>
    <w:rsid w:val="00091A89"/>
    <w:rsid w:val="00091AE9"/>
    <w:rsid w:val="00092153"/>
    <w:rsid w:val="0009232A"/>
    <w:rsid w:val="000935DC"/>
    <w:rsid w:val="00094B43"/>
    <w:rsid w:val="0009516A"/>
    <w:rsid w:val="00096099"/>
    <w:rsid w:val="00096DAE"/>
    <w:rsid w:val="000972C6"/>
    <w:rsid w:val="0009779B"/>
    <w:rsid w:val="000A0887"/>
    <w:rsid w:val="000A0BA2"/>
    <w:rsid w:val="000A0E23"/>
    <w:rsid w:val="000A0FE8"/>
    <w:rsid w:val="000A1BC6"/>
    <w:rsid w:val="000A3C9A"/>
    <w:rsid w:val="000A3E11"/>
    <w:rsid w:val="000A4062"/>
    <w:rsid w:val="000A518B"/>
    <w:rsid w:val="000A518C"/>
    <w:rsid w:val="000A5A2F"/>
    <w:rsid w:val="000A5CE1"/>
    <w:rsid w:val="000A5E45"/>
    <w:rsid w:val="000A6421"/>
    <w:rsid w:val="000A7776"/>
    <w:rsid w:val="000A7F2F"/>
    <w:rsid w:val="000B1AFB"/>
    <w:rsid w:val="000B2E75"/>
    <w:rsid w:val="000B31C4"/>
    <w:rsid w:val="000B4025"/>
    <w:rsid w:val="000B5884"/>
    <w:rsid w:val="000B5A68"/>
    <w:rsid w:val="000B6169"/>
    <w:rsid w:val="000B6F80"/>
    <w:rsid w:val="000B7BC9"/>
    <w:rsid w:val="000C02F7"/>
    <w:rsid w:val="000C085E"/>
    <w:rsid w:val="000C0C3C"/>
    <w:rsid w:val="000C1968"/>
    <w:rsid w:val="000C2246"/>
    <w:rsid w:val="000C23A9"/>
    <w:rsid w:val="000C290C"/>
    <w:rsid w:val="000C310D"/>
    <w:rsid w:val="000C36B5"/>
    <w:rsid w:val="000C4CCB"/>
    <w:rsid w:val="000C4DD8"/>
    <w:rsid w:val="000C4FFC"/>
    <w:rsid w:val="000C523F"/>
    <w:rsid w:val="000C5861"/>
    <w:rsid w:val="000C5993"/>
    <w:rsid w:val="000C6936"/>
    <w:rsid w:val="000C6A50"/>
    <w:rsid w:val="000C6AC9"/>
    <w:rsid w:val="000C6ADC"/>
    <w:rsid w:val="000C7ED3"/>
    <w:rsid w:val="000D205D"/>
    <w:rsid w:val="000D2C5C"/>
    <w:rsid w:val="000D5439"/>
    <w:rsid w:val="000D5CB8"/>
    <w:rsid w:val="000D5FF4"/>
    <w:rsid w:val="000D6650"/>
    <w:rsid w:val="000D6CA0"/>
    <w:rsid w:val="000D6E9A"/>
    <w:rsid w:val="000D7582"/>
    <w:rsid w:val="000D7F46"/>
    <w:rsid w:val="000D7FA9"/>
    <w:rsid w:val="000E009C"/>
    <w:rsid w:val="000E0F29"/>
    <w:rsid w:val="000E13AC"/>
    <w:rsid w:val="000E15F4"/>
    <w:rsid w:val="000E165F"/>
    <w:rsid w:val="000E1ED4"/>
    <w:rsid w:val="000E2182"/>
    <w:rsid w:val="000E2944"/>
    <w:rsid w:val="000E2EB2"/>
    <w:rsid w:val="000E4DD3"/>
    <w:rsid w:val="000E4E88"/>
    <w:rsid w:val="000E51F3"/>
    <w:rsid w:val="000E5467"/>
    <w:rsid w:val="000E599D"/>
    <w:rsid w:val="000E62AF"/>
    <w:rsid w:val="000E7A00"/>
    <w:rsid w:val="000F055F"/>
    <w:rsid w:val="000F134C"/>
    <w:rsid w:val="000F209F"/>
    <w:rsid w:val="000F33D9"/>
    <w:rsid w:val="000F382D"/>
    <w:rsid w:val="000F40EC"/>
    <w:rsid w:val="000F4953"/>
    <w:rsid w:val="000F532B"/>
    <w:rsid w:val="000F6670"/>
    <w:rsid w:val="000F6898"/>
    <w:rsid w:val="000F6F37"/>
    <w:rsid w:val="000F75DB"/>
    <w:rsid w:val="000F7E3B"/>
    <w:rsid w:val="00100013"/>
    <w:rsid w:val="00100D95"/>
    <w:rsid w:val="00101200"/>
    <w:rsid w:val="0010210F"/>
    <w:rsid w:val="00102BAC"/>
    <w:rsid w:val="00103781"/>
    <w:rsid w:val="00105042"/>
    <w:rsid w:val="0010514A"/>
    <w:rsid w:val="001051BF"/>
    <w:rsid w:val="0010548C"/>
    <w:rsid w:val="0010564D"/>
    <w:rsid w:val="00105D99"/>
    <w:rsid w:val="001062B3"/>
    <w:rsid w:val="00106334"/>
    <w:rsid w:val="001069B2"/>
    <w:rsid w:val="00106DC7"/>
    <w:rsid w:val="00107ABF"/>
    <w:rsid w:val="001106E5"/>
    <w:rsid w:val="00111644"/>
    <w:rsid w:val="0011310A"/>
    <w:rsid w:val="00113617"/>
    <w:rsid w:val="0011375D"/>
    <w:rsid w:val="00113E28"/>
    <w:rsid w:val="00113E97"/>
    <w:rsid w:val="00115401"/>
    <w:rsid w:val="0011574B"/>
    <w:rsid w:val="001160DE"/>
    <w:rsid w:val="001167B4"/>
    <w:rsid w:val="00116F8D"/>
    <w:rsid w:val="001176BA"/>
    <w:rsid w:val="00117DDB"/>
    <w:rsid w:val="001215C5"/>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431E"/>
    <w:rsid w:val="00134554"/>
    <w:rsid w:val="00134ABA"/>
    <w:rsid w:val="00135882"/>
    <w:rsid w:val="00135DE6"/>
    <w:rsid w:val="00136128"/>
    <w:rsid w:val="001363C9"/>
    <w:rsid w:val="00136D30"/>
    <w:rsid w:val="00137D9B"/>
    <w:rsid w:val="00140F30"/>
    <w:rsid w:val="00141DD9"/>
    <w:rsid w:val="0014280A"/>
    <w:rsid w:val="001434C3"/>
    <w:rsid w:val="001441F1"/>
    <w:rsid w:val="00146286"/>
    <w:rsid w:val="00146BA7"/>
    <w:rsid w:val="001470B9"/>
    <w:rsid w:val="0014739E"/>
    <w:rsid w:val="00150405"/>
    <w:rsid w:val="00150974"/>
    <w:rsid w:val="00151DEB"/>
    <w:rsid w:val="001521AC"/>
    <w:rsid w:val="001523C2"/>
    <w:rsid w:val="001525ED"/>
    <w:rsid w:val="0015267F"/>
    <w:rsid w:val="0015280B"/>
    <w:rsid w:val="00153851"/>
    <w:rsid w:val="00153ED5"/>
    <w:rsid w:val="0015408F"/>
    <w:rsid w:val="00154895"/>
    <w:rsid w:val="0015512A"/>
    <w:rsid w:val="00155217"/>
    <w:rsid w:val="001564DC"/>
    <w:rsid w:val="001564E3"/>
    <w:rsid w:val="00156C68"/>
    <w:rsid w:val="0015765D"/>
    <w:rsid w:val="00157A80"/>
    <w:rsid w:val="00157C7A"/>
    <w:rsid w:val="00157E11"/>
    <w:rsid w:val="0016057B"/>
    <w:rsid w:val="001615B0"/>
    <w:rsid w:val="0016180C"/>
    <w:rsid w:val="00162779"/>
    <w:rsid w:val="00162C52"/>
    <w:rsid w:val="00162C6B"/>
    <w:rsid w:val="00163D2C"/>
    <w:rsid w:val="00164075"/>
    <w:rsid w:val="001648A0"/>
    <w:rsid w:val="00164B19"/>
    <w:rsid w:val="001655CE"/>
    <w:rsid w:val="001664B3"/>
    <w:rsid w:val="00166CC5"/>
    <w:rsid w:val="00167521"/>
    <w:rsid w:val="001676C1"/>
    <w:rsid w:val="001678C5"/>
    <w:rsid w:val="001679BD"/>
    <w:rsid w:val="001708F9"/>
    <w:rsid w:val="00170999"/>
    <w:rsid w:val="00170C19"/>
    <w:rsid w:val="00170FC2"/>
    <w:rsid w:val="0017167F"/>
    <w:rsid w:val="00172B6E"/>
    <w:rsid w:val="00172E1D"/>
    <w:rsid w:val="00173785"/>
    <w:rsid w:val="0017396E"/>
    <w:rsid w:val="00173B1C"/>
    <w:rsid w:val="0017406D"/>
    <w:rsid w:val="0017473C"/>
    <w:rsid w:val="001752CD"/>
    <w:rsid w:val="00175560"/>
    <w:rsid w:val="001756AA"/>
    <w:rsid w:val="00175CF6"/>
    <w:rsid w:val="00176875"/>
    <w:rsid w:val="0017693B"/>
    <w:rsid w:val="00176B5A"/>
    <w:rsid w:val="00176E94"/>
    <w:rsid w:val="00177800"/>
    <w:rsid w:val="00177C38"/>
    <w:rsid w:val="00180745"/>
    <w:rsid w:val="00180852"/>
    <w:rsid w:val="00180B91"/>
    <w:rsid w:val="00181603"/>
    <w:rsid w:val="00181C47"/>
    <w:rsid w:val="00182850"/>
    <w:rsid w:val="00182894"/>
    <w:rsid w:val="00182A8B"/>
    <w:rsid w:val="00182C88"/>
    <w:rsid w:val="0018381F"/>
    <w:rsid w:val="00183C7D"/>
    <w:rsid w:val="00184221"/>
    <w:rsid w:val="001850CA"/>
    <w:rsid w:val="0018606E"/>
    <w:rsid w:val="0018677F"/>
    <w:rsid w:val="00186C60"/>
    <w:rsid w:val="00187295"/>
    <w:rsid w:val="00187D7E"/>
    <w:rsid w:val="001900B8"/>
    <w:rsid w:val="0019073F"/>
    <w:rsid w:val="001910A1"/>
    <w:rsid w:val="0019113E"/>
    <w:rsid w:val="00191FEC"/>
    <w:rsid w:val="001933F8"/>
    <w:rsid w:val="00193443"/>
    <w:rsid w:val="00193F95"/>
    <w:rsid w:val="00196B57"/>
    <w:rsid w:val="00197B4B"/>
    <w:rsid w:val="001A090F"/>
    <w:rsid w:val="001A1AF2"/>
    <w:rsid w:val="001A256F"/>
    <w:rsid w:val="001A31CC"/>
    <w:rsid w:val="001A378D"/>
    <w:rsid w:val="001A3B52"/>
    <w:rsid w:val="001A4896"/>
    <w:rsid w:val="001A49A8"/>
    <w:rsid w:val="001A4BA7"/>
    <w:rsid w:val="001A4BCE"/>
    <w:rsid w:val="001A54B8"/>
    <w:rsid w:val="001A55BD"/>
    <w:rsid w:val="001A5CC7"/>
    <w:rsid w:val="001A65FD"/>
    <w:rsid w:val="001A7400"/>
    <w:rsid w:val="001B0BDA"/>
    <w:rsid w:val="001B0C8D"/>
    <w:rsid w:val="001B1693"/>
    <w:rsid w:val="001B19CE"/>
    <w:rsid w:val="001B2183"/>
    <w:rsid w:val="001B27DE"/>
    <w:rsid w:val="001B31E0"/>
    <w:rsid w:val="001B4849"/>
    <w:rsid w:val="001B4CAE"/>
    <w:rsid w:val="001B5973"/>
    <w:rsid w:val="001B5C62"/>
    <w:rsid w:val="001B799E"/>
    <w:rsid w:val="001B7AEF"/>
    <w:rsid w:val="001B7DDE"/>
    <w:rsid w:val="001B7F29"/>
    <w:rsid w:val="001C086E"/>
    <w:rsid w:val="001C15CC"/>
    <w:rsid w:val="001C1F00"/>
    <w:rsid w:val="001C1F91"/>
    <w:rsid w:val="001C2169"/>
    <w:rsid w:val="001C2C71"/>
    <w:rsid w:val="001C38EE"/>
    <w:rsid w:val="001C46D3"/>
    <w:rsid w:val="001C487B"/>
    <w:rsid w:val="001C4D4F"/>
    <w:rsid w:val="001C56FD"/>
    <w:rsid w:val="001C6102"/>
    <w:rsid w:val="001C7831"/>
    <w:rsid w:val="001C79B2"/>
    <w:rsid w:val="001C7D68"/>
    <w:rsid w:val="001D0288"/>
    <w:rsid w:val="001D06F6"/>
    <w:rsid w:val="001D080B"/>
    <w:rsid w:val="001D115E"/>
    <w:rsid w:val="001D193E"/>
    <w:rsid w:val="001D2632"/>
    <w:rsid w:val="001D3B78"/>
    <w:rsid w:val="001D4A29"/>
    <w:rsid w:val="001D6772"/>
    <w:rsid w:val="001D6787"/>
    <w:rsid w:val="001D6E95"/>
    <w:rsid w:val="001D70DF"/>
    <w:rsid w:val="001D7577"/>
    <w:rsid w:val="001D779C"/>
    <w:rsid w:val="001E1B80"/>
    <w:rsid w:val="001E2B6C"/>
    <w:rsid w:val="001E2D8E"/>
    <w:rsid w:val="001E39CE"/>
    <w:rsid w:val="001E4659"/>
    <w:rsid w:val="001E4C5C"/>
    <w:rsid w:val="001E571B"/>
    <w:rsid w:val="001E59B4"/>
    <w:rsid w:val="001E5E65"/>
    <w:rsid w:val="001E6423"/>
    <w:rsid w:val="001F1C20"/>
    <w:rsid w:val="001F2AA1"/>
    <w:rsid w:val="001F2F56"/>
    <w:rsid w:val="001F31B4"/>
    <w:rsid w:val="001F3AF1"/>
    <w:rsid w:val="001F4FC6"/>
    <w:rsid w:val="001F6A6D"/>
    <w:rsid w:val="001F7084"/>
    <w:rsid w:val="002010BD"/>
    <w:rsid w:val="00201ABE"/>
    <w:rsid w:val="002026A5"/>
    <w:rsid w:val="002033C4"/>
    <w:rsid w:val="00203E30"/>
    <w:rsid w:val="0020431B"/>
    <w:rsid w:val="00205606"/>
    <w:rsid w:val="00205735"/>
    <w:rsid w:val="0020576B"/>
    <w:rsid w:val="00205BA3"/>
    <w:rsid w:val="00205BAF"/>
    <w:rsid w:val="00205D17"/>
    <w:rsid w:val="00206991"/>
    <w:rsid w:val="0020707E"/>
    <w:rsid w:val="00207ACE"/>
    <w:rsid w:val="00207C77"/>
    <w:rsid w:val="00207E8E"/>
    <w:rsid w:val="0021023C"/>
    <w:rsid w:val="0021084E"/>
    <w:rsid w:val="00211178"/>
    <w:rsid w:val="0021162E"/>
    <w:rsid w:val="0021187C"/>
    <w:rsid w:val="00211892"/>
    <w:rsid w:val="00212639"/>
    <w:rsid w:val="00212B1A"/>
    <w:rsid w:val="00212B3B"/>
    <w:rsid w:val="00212B41"/>
    <w:rsid w:val="00213529"/>
    <w:rsid w:val="00213C6C"/>
    <w:rsid w:val="00213E73"/>
    <w:rsid w:val="002143D4"/>
    <w:rsid w:val="00215ACE"/>
    <w:rsid w:val="00216A94"/>
    <w:rsid w:val="0021722F"/>
    <w:rsid w:val="002216B5"/>
    <w:rsid w:val="0022184C"/>
    <w:rsid w:val="0022189E"/>
    <w:rsid w:val="00221F9C"/>
    <w:rsid w:val="00222EDE"/>
    <w:rsid w:val="00223518"/>
    <w:rsid w:val="00223864"/>
    <w:rsid w:val="00223DCA"/>
    <w:rsid w:val="002245AC"/>
    <w:rsid w:val="00225180"/>
    <w:rsid w:val="002264B5"/>
    <w:rsid w:val="0022692F"/>
    <w:rsid w:val="00227A67"/>
    <w:rsid w:val="00227A76"/>
    <w:rsid w:val="00230074"/>
    <w:rsid w:val="00232C6A"/>
    <w:rsid w:val="002330E1"/>
    <w:rsid w:val="0023401D"/>
    <w:rsid w:val="002341F3"/>
    <w:rsid w:val="00234C05"/>
    <w:rsid w:val="00234D25"/>
    <w:rsid w:val="00236A17"/>
    <w:rsid w:val="0023737E"/>
    <w:rsid w:val="00237E63"/>
    <w:rsid w:val="0024178E"/>
    <w:rsid w:val="00243028"/>
    <w:rsid w:val="00243553"/>
    <w:rsid w:val="00243BCF"/>
    <w:rsid w:val="00243C9C"/>
    <w:rsid w:val="002456B0"/>
    <w:rsid w:val="0024604F"/>
    <w:rsid w:val="002464C8"/>
    <w:rsid w:val="002478CE"/>
    <w:rsid w:val="002503AB"/>
    <w:rsid w:val="00250C70"/>
    <w:rsid w:val="0025195C"/>
    <w:rsid w:val="00251E93"/>
    <w:rsid w:val="00252206"/>
    <w:rsid w:val="0025457C"/>
    <w:rsid w:val="00254995"/>
    <w:rsid w:val="0025519C"/>
    <w:rsid w:val="00256AB0"/>
    <w:rsid w:val="00256C8F"/>
    <w:rsid w:val="0025719A"/>
    <w:rsid w:val="00260466"/>
    <w:rsid w:val="00260E95"/>
    <w:rsid w:val="002610C4"/>
    <w:rsid w:val="00262781"/>
    <w:rsid w:val="002631E0"/>
    <w:rsid w:val="0026393E"/>
    <w:rsid w:val="00264144"/>
    <w:rsid w:val="00264B2A"/>
    <w:rsid w:val="002658B7"/>
    <w:rsid w:val="00265FDB"/>
    <w:rsid w:val="0026622E"/>
    <w:rsid w:val="0026627B"/>
    <w:rsid w:val="0026654A"/>
    <w:rsid w:val="002667E1"/>
    <w:rsid w:val="00266953"/>
    <w:rsid w:val="00267BFE"/>
    <w:rsid w:val="00270060"/>
    <w:rsid w:val="0027047E"/>
    <w:rsid w:val="00270532"/>
    <w:rsid w:val="002709BF"/>
    <w:rsid w:val="00272086"/>
    <w:rsid w:val="00272DA7"/>
    <w:rsid w:val="00273356"/>
    <w:rsid w:val="00273745"/>
    <w:rsid w:val="00273774"/>
    <w:rsid w:val="00273C53"/>
    <w:rsid w:val="002741ED"/>
    <w:rsid w:val="0027529F"/>
    <w:rsid w:val="00275ACC"/>
    <w:rsid w:val="002760C7"/>
    <w:rsid w:val="00276EF5"/>
    <w:rsid w:val="0028088C"/>
    <w:rsid w:val="00280AF4"/>
    <w:rsid w:val="00280CBB"/>
    <w:rsid w:val="0028159D"/>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7BA3"/>
    <w:rsid w:val="00290703"/>
    <w:rsid w:val="00290AF3"/>
    <w:rsid w:val="002910C2"/>
    <w:rsid w:val="00292039"/>
    <w:rsid w:val="0029337C"/>
    <w:rsid w:val="00295D36"/>
    <w:rsid w:val="00295D61"/>
    <w:rsid w:val="002966CE"/>
    <w:rsid w:val="002977C3"/>
    <w:rsid w:val="00297A1B"/>
    <w:rsid w:val="00297A86"/>
    <w:rsid w:val="002A0531"/>
    <w:rsid w:val="002A062D"/>
    <w:rsid w:val="002A0E7A"/>
    <w:rsid w:val="002A1EDE"/>
    <w:rsid w:val="002A2019"/>
    <w:rsid w:val="002A245F"/>
    <w:rsid w:val="002A2F72"/>
    <w:rsid w:val="002A312D"/>
    <w:rsid w:val="002A380F"/>
    <w:rsid w:val="002A382D"/>
    <w:rsid w:val="002A3CFB"/>
    <w:rsid w:val="002A4417"/>
    <w:rsid w:val="002A44F2"/>
    <w:rsid w:val="002A47B4"/>
    <w:rsid w:val="002A51A4"/>
    <w:rsid w:val="002A6624"/>
    <w:rsid w:val="002A6D64"/>
    <w:rsid w:val="002A77E8"/>
    <w:rsid w:val="002B095A"/>
    <w:rsid w:val="002B0AC4"/>
    <w:rsid w:val="002B0D1E"/>
    <w:rsid w:val="002B1498"/>
    <w:rsid w:val="002B1900"/>
    <w:rsid w:val="002B3141"/>
    <w:rsid w:val="002B324A"/>
    <w:rsid w:val="002B35C1"/>
    <w:rsid w:val="002B3B52"/>
    <w:rsid w:val="002B3DF0"/>
    <w:rsid w:val="002B421A"/>
    <w:rsid w:val="002B467F"/>
    <w:rsid w:val="002B5F54"/>
    <w:rsid w:val="002B635C"/>
    <w:rsid w:val="002B7099"/>
    <w:rsid w:val="002B7175"/>
    <w:rsid w:val="002C001C"/>
    <w:rsid w:val="002C015A"/>
    <w:rsid w:val="002C0193"/>
    <w:rsid w:val="002C09A7"/>
    <w:rsid w:val="002C0BEA"/>
    <w:rsid w:val="002C0DB9"/>
    <w:rsid w:val="002C0FDF"/>
    <w:rsid w:val="002C117A"/>
    <w:rsid w:val="002C1A02"/>
    <w:rsid w:val="002C1C08"/>
    <w:rsid w:val="002C2149"/>
    <w:rsid w:val="002C25D3"/>
    <w:rsid w:val="002C2B9A"/>
    <w:rsid w:val="002C4DB8"/>
    <w:rsid w:val="002C54C6"/>
    <w:rsid w:val="002C5C09"/>
    <w:rsid w:val="002C5CE4"/>
    <w:rsid w:val="002C6110"/>
    <w:rsid w:val="002C6618"/>
    <w:rsid w:val="002C6B8F"/>
    <w:rsid w:val="002C7851"/>
    <w:rsid w:val="002C7989"/>
    <w:rsid w:val="002D0838"/>
    <w:rsid w:val="002D1306"/>
    <w:rsid w:val="002D1539"/>
    <w:rsid w:val="002D287C"/>
    <w:rsid w:val="002D3182"/>
    <w:rsid w:val="002D33EE"/>
    <w:rsid w:val="002D50D6"/>
    <w:rsid w:val="002D60A8"/>
    <w:rsid w:val="002D6F91"/>
    <w:rsid w:val="002D7125"/>
    <w:rsid w:val="002D7236"/>
    <w:rsid w:val="002D7FE5"/>
    <w:rsid w:val="002E080F"/>
    <w:rsid w:val="002E34B3"/>
    <w:rsid w:val="002E3CF1"/>
    <w:rsid w:val="002E46AF"/>
    <w:rsid w:val="002E4BB9"/>
    <w:rsid w:val="002E5635"/>
    <w:rsid w:val="002E63AB"/>
    <w:rsid w:val="002E66B7"/>
    <w:rsid w:val="002E6ABB"/>
    <w:rsid w:val="002E6BBF"/>
    <w:rsid w:val="002E7125"/>
    <w:rsid w:val="002E75F0"/>
    <w:rsid w:val="002F07DE"/>
    <w:rsid w:val="002F0AF5"/>
    <w:rsid w:val="002F1742"/>
    <w:rsid w:val="002F216F"/>
    <w:rsid w:val="002F3636"/>
    <w:rsid w:val="002F365E"/>
    <w:rsid w:val="002F4264"/>
    <w:rsid w:val="002F45F6"/>
    <w:rsid w:val="002F65EC"/>
    <w:rsid w:val="002F6924"/>
    <w:rsid w:val="002F742A"/>
    <w:rsid w:val="002F7CBE"/>
    <w:rsid w:val="003000A5"/>
    <w:rsid w:val="00300C0B"/>
    <w:rsid w:val="00300E24"/>
    <w:rsid w:val="0030111F"/>
    <w:rsid w:val="00301C50"/>
    <w:rsid w:val="00302287"/>
    <w:rsid w:val="00302466"/>
    <w:rsid w:val="00303909"/>
    <w:rsid w:val="0030390F"/>
    <w:rsid w:val="0030422C"/>
    <w:rsid w:val="003044EE"/>
    <w:rsid w:val="00304B84"/>
    <w:rsid w:val="00304C43"/>
    <w:rsid w:val="003051BE"/>
    <w:rsid w:val="00305472"/>
    <w:rsid w:val="003058A4"/>
    <w:rsid w:val="00305AEE"/>
    <w:rsid w:val="00305BE9"/>
    <w:rsid w:val="0030602B"/>
    <w:rsid w:val="00306A42"/>
    <w:rsid w:val="00306AFF"/>
    <w:rsid w:val="00306C8D"/>
    <w:rsid w:val="00306E49"/>
    <w:rsid w:val="003079EA"/>
    <w:rsid w:val="00310DA1"/>
    <w:rsid w:val="003117CF"/>
    <w:rsid w:val="0031238D"/>
    <w:rsid w:val="003129AD"/>
    <w:rsid w:val="00312C75"/>
    <w:rsid w:val="00312D8D"/>
    <w:rsid w:val="00314020"/>
    <w:rsid w:val="003145ED"/>
    <w:rsid w:val="00314C4D"/>
    <w:rsid w:val="003151F4"/>
    <w:rsid w:val="00315700"/>
    <w:rsid w:val="00315CC5"/>
    <w:rsid w:val="00316191"/>
    <w:rsid w:val="00317A0C"/>
    <w:rsid w:val="003204CC"/>
    <w:rsid w:val="00320767"/>
    <w:rsid w:val="00320881"/>
    <w:rsid w:val="00320913"/>
    <w:rsid w:val="00321A4D"/>
    <w:rsid w:val="00321A60"/>
    <w:rsid w:val="00321C6A"/>
    <w:rsid w:val="00321F01"/>
    <w:rsid w:val="00321F8D"/>
    <w:rsid w:val="00322B73"/>
    <w:rsid w:val="00322FD9"/>
    <w:rsid w:val="003230D2"/>
    <w:rsid w:val="00324460"/>
    <w:rsid w:val="0032526F"/>
    <w:rsid w:val="00325448"/>
    <w:rsid w:val="0032653D"/>
    <w:rsid w:val="003268AC"/>
    <w:rsid w:val="00326DBD"/>
    <w:rsid w:val="00326F07"/>
    <w:rsid w:val="003275AC"/>
    <w:rsid w:val="0032784F"/>
    <w:rsid w:val="00327B5E"/>
    <w:rsid w:val="003309C7"/>
    <w:rsid w:val="00330CC7"/>
    <w:rsid w:val="00330ED3"/>
    <w:rsid w:val="00331E5A"/>
    <w:rsid w:val="00332266"/>
    <w:rsid w:val="003323B8"/>
    <w:rsid w:val="00332D2F"/>
    <w:rsid w:val="00333791"/>
    <w:rsid w:val="00334428"/>
    <w:rsid w:val="003345AF"/>
    <w:rsid w:val="00335621"/>
    <w:rsid w:val="0033595A"/>
    <w:rsid w:val="00335AB3"/>
    <w:rsid w:val="00336718"/>
    <w:rsid w:val="0033772C"/>
    <w:rsid w:val="00340292"/>
    <w:rsid w:val="00341CD8"/>
    <w:rsid w:val="00341F77"/>
    <w:rsid w:val="00342003"/>
    <w:rsid w:val="003428AC"/>
    <w:rsid w:val="00342AB5"/>
    <w:rsid w:val="00342EE0"/>
    <w:rsid w:val="003431C0"/>
    <w:rsid w:val="003436BB"/>
    <w:rsid w:val="003446C8"/>
    <w:rsid w:val="003460F9"/>
    <w:rsid w:val="00346468"/>
    <w:rsid w:val="003478A2"/>
    <w:rsid w:val="00347E91"/>
    <w:rsid w:val="00350127"/>
    <w:rsid w:val="003509FB"/>
    <w:rsid w:val="00350D2C"/>
    <w:rsid w:val="003515C7"/>
    <w:rsid w:val="003517C7"/>
    <w:rsid w:val="00351E4B"/>
    <w:rsid w:val="0035256C"/>
    <w:rsid w:val="003531AA"/>
    <w:rsid w:val="00353B52"/>
    <w:rsid w:val="00353C5E"/>
    <w:rsid w:val="003548DC"/>
    <w:rsid w:val="003552CD"/>
    <w:rsid w:val="00356044"/>
    <w:rsid w:val="00356319"/>
    <w:rsid w:val="00357A8B"/>
    <w:rsid w:val="00357D15"/>
    <w:rsid w:val="00357F9F"/>
    <w:rsid w:val="003604F3"/>
    <w:rsid w:val="00360800"/>
    <w:rsid w:val="00361ED6"/>
    <w:rsid w:val="00362299"/>
    <w:rsid w:val="00362621"/>
    <w:rsid w:val="00362D1E"/>
    <w:rsid w:val="00362FC5"/>
    <w:rsid w:val="00363AE6"/>
    <w:rsid w:val="00364043"/>
    <w:rsid w:val="00364228"/>
    <w:rsid w:val="003644E7"/>
    <w:rsid w:val="003645E0"/>
    <w:rsid w:val="003649CD"/>
    <w:rsid w:val="00365290"/>
    <w:rsid w:val="00365CCC"/>
    <w:rsid w:val="00367204"/>
    <w:rsid w:val="00367891"/>
    <w:rsid w:val="00370824"/>
    <w:rsid w:val="00370839"/>
    <w:rsid w:val="003717D2"/>
    <w:rsid w:val="00371B13"/>
    <w:rsid w:val="00371DFF"/>
    <w:rsid w:val="0037270F"/>
    <w:rsid w:val="00372B85"/>
    <w:rsid w:val="00372DBB"/>
    <w:rsid w:val="003731E6"/>
    <w:rsid w:val="0037375E"/>
    <w:rsid w:val="00373BD3"/>
    <w:rsid w:val="00374C88"/>
    <w:rsid w:val="0037516E"/>
    <w:rsid w:val="003758C1"/>
    <w:rsid w:val="00375FBD"/>
    <w:rsid w:val="00376C06"/>
    <w:rsid w:val="00376CF4"/>
    <w:rsid w:val="00377FDC"/>
    <w:rsid w:val="00380A1C"/>
    <w:rsid w:val="00384E67"/>
    <w:rsid w:val="00385F40"/>
    <w:rsid w:val="00386ADD"/>
    <w:rsid w:val="00387956"/>
    <w:rsid w:val="00387D7E"/>
    <w:rsid w:val="003907B9"/>
    <w:rsid w:val="0039083E"/>
    <w:rsid w:val="00390C35"/>
    <w:rsid w:val="0039103E"/>
    <w:rsid w:val="003911D9"/>
    <w:rsid w:val="00391E31"/>
    <w:rsid w:val="003928E4"/>
    <w:rsid w:val="00392E9C"/>
    <w:rsid w:val="00393566"/>
    <w:rsid w:val="003939A1"/>
    <w:rsid w:val="00394687"/>
    <w:rsid w:val="00394CDC"/>
    <w:rsid w:val="003958F2"/>
    <w:rsid w:val="00395DF0"/>
    <w:rsid w:val="00395F53"/>
    <w:rsid w:val="00397C7A"/>
    <w:rsid w:val="003A016E"/>
    <w:rsid w:val="003A0B6A"/>
    <w:rsid w:val="003A0E23"/>
    <w:rsid w:val="003A1758"/>
    <w:rsid w:val="003A1D39"/>
    <w:rsid w:val="003A2136"/>
    <w:rsid w:val="003A2651"/>
    <w:rsid w:val="003A28F5"/>
    <w:rsid w:val="003A2F8C"/>
    <w:rsid w:val="003A47BA"/>
    <w:rsid w:val="003A4E74"/>
    <w:rsid w:val="003A5085"/>
    <w:rsid w:val="003A66D8"/>
    <w:rsid w:val="003A6E81"/>
    <w:rsid w:val="003A7A57"/>
    <w:rsid w:val="003B0BB2"/>
    <w:rsid w:val="003B0C3A"/>
    <w:rsid w:val="003B0CDB"/>
    <w:rsid w:val="003B12FE"/>
    <w:rsid w:val="003B1590"/>
    <w:rsid w:val="003B1E8D"/>
    <w:rsid w:val="003B2313"/>
    <w:rsid w:val="003B240B"/>
    <w:rsid w:val="003B27FF"/>
    <w:rsid w:val="003B2E9C"/>
    <w:rsid w:val="003B354E"/>
    <w:rsid w:val="003B4753"/>
    <w:rsid w:val="003B5083"/>
    <w:rsid w:val="003B6352"/>
    <w:rsid w:val="003B68DD"/>
    <w:rsid w:val="003B746B"/>
    <w:rsid w:val="003C09DA"/>
    <w:rsid w:val="003C0A87"/>
    <w:rsid w:val="003C171B"/>
    <w:rsid w:val="003C2304"/>
    <w:rsid w:val="003C26DF"/>
    <w:rsid w:val="003C3FEF"/>
    <w:rsid w:val="003C429F"/>
    <w:rsid w:val="003C59B2"/>
    <w:rsid w:val="003C5D8E"/>
    <w:rsid w:val="003C7B32"/>
    <w:rsid w:val="003C7C14"/>
    <w:rsid w:val="003D03E7"/>
    <w:rsid w:val="003D0492"/>
    <w:rsid w:val="003D0578"/>
    <w:rsid w:val="003D1021"/>
    <w:rsid w:val="003D1355"/>
    <w:rsid w:val="003D1EB3"/>
    <w:rsid w:val="003D29D4"/>
    <w:rsid w:val="003D32B7"/>
    <w:rsid w:val="003D3362"/>
    <w:rsid w:val="003D3BF2"/>
    <w:rsid w:val="003D3CF6"/>
    <w:rsid w:val="003D5436"/>
    <w:rsid w:val="003D6149"/>
    <w:rsid w:val="003D6E7A"/>
    <w:rsid w:val="003D7137"/>
    <w:rsid w:val="003D75C5"/>
    <w:rsid w:val="003E011D"/>
    <w:rsid w:val="003E058F"/>
    <w:rsid w:val="003E249F"/>
    <w:rsid w:val="003E28CD"/>
    <w:rsid w:val="003E2BB2"/>
    <w:rsid w:val="003E37F5"/>
    <w:rsid w:val="003E39EC"/>
    <w:rsid w:val="003E3A23"/>
    <w:rsid w:val="003E4676"/>
    <w:rsid w:val="003E5F74"/>
    <w:rsid w:val="003E6276"/>
    <w:rsid w:val="003E6969"/>
    <w:rsid w:val="003F061C"/>
    <w:rsid w:val="003F0A9C"/>
    <w:rsid w:val="003F0D7E"/>
    <w:rsid w:val="003F0D9F"/>
    <w:rsid w:val="003F131C"/>
    <w:rsid w:val="003F1580"/>
    <w:rsid w:val="003F1981"/>
    <w:rsid w:val="003F4433"/>
    <w:rsid w:val="003F5865"/>
    <w:rsid w:val="003F5DC7"/>
    <w:rsid w:val="003F64B3"/>
    <w:rsid w:val="003F672B"/>
    <w:rsid w:val="003F728B"/>
    <w:rsid w:val="004004B7"/>
    <w:rsid w:val="00400C70"/>
    <w:rsid w:val="00400F7A"/>
    <w:rsid w:val="00401027"/>
    <w:rsid w:val="00401A8B"/>
    <w:rsid w:val="00401B88"/>
    <w:rsid w:val="00402229"/>
    <w:rsid w:val="00403533"/>
    <w:rsid w:val="00403920"/>
    <w:rsid w:val="00403BDC"/>
    <w:rsid w:val="00405F18"/>
    <w:rsid w:val="00406248"/>
    <w:rsid w:val="004078B5"/>
    <w:rsid w:val="00407987"/>
    <w:rsid w:val="00407F62"/>
    <w:rsid w:val="0041001D"/>
    <w:rsid w:val="0041042A"/>
    <w:rsid w:val="004110EE"/>
    <w:rsid w:val="00411608"/>
    <w:rsid w:val="00411BC6"/>
    <w:rsid w:val="00411CAF"/>
    <w:rsid w:val="004123A8"/>
    <w:rsid w:val="004145DD"/>
    <w:rsid w:val="004151F3"/>
    <w:rsid w:val="00415CDF"/>
    <w:rsid w:val="00416D00"/>
    <w:rsid w:val="00417AD9"/>
    <w:rsid w:val="004200D4"/>
    <w:rsid w:val="00421162"/>
    <w:rsid w:val="004215F5"/>
    <w:rsid w:val="00423ABD"/>
    <w:rsid w:val="0042492A"/>
    <w:rsid w:val="004250B3"/>
    <w:rsid w:val="0042535C"/>
    <w:rsid w:val="004258BA"/>
    <w:rsid w:val="004263F6"/>
    <w:rsid w:val="004266AF"/>
    <w:rsid w:val="004279BA"/>
    <w:rsid w:val="00427A39"/>
    <w:rsid w:val="0043099F"/>
    <w:rsid w:val="00430F1C"/>
    <w:rsid w:val="00431036"/>
    <w:rsid w:val="0043115F"/>
    <w:rsid w:val="004313C4"/>
    <w:rsid w:val="004318BB"/>
    <w:rsid w:val="00431B1D"/>
    <w:rsid w:val="00431F9F"/>
    <w:rsid w:val="004327BE"/>
    <w:rsid w:val="00433EAE"/>
    <w:rsid w:val="00434199"/>
    <w:rsid w:val="00435314"/>
    <w:rsid w:val="004364F2"/>
    <w:rsid w:val="00436A31"/>
    <w:rsid w:val="0043731B"/>
    <w:rsid w:val="0043781F"/>
    <w:rsid w:val="00437B32"/>
    <w:rsid w:val="004404F7"/>
    <w:rsid w:val="0044052D"/>
    <w:rsid w:val="00441BFE"/>
    <w:rsid w:val="00441CBE"/>
    <w:rsid w:val="004427C9"/>
    <w:rsid w:val="00442E2A"/>
    <w:rsid w:val="004437AE"/>
    <w:rsid w:val="00443AE8"/>
    <w:rsid w:val="00443DDB"/>
    <w:rsid w:val="00444465"/>
    <w:rsid w:val="00444CE9"/>
    <w:rsid w:val="00445EEB"/>
    <w:rsid w:val="0044629B"/>
    <w:rsid w:val="00447061"/>
    <w:rsid w:val="00447D02"/>
    <w:rsid w:val="00447DCA"/>
    <w:rsid w:val="00451616"/>
    <w:rsid w:val="004529FD"/>
    <w:rsid w:val="00454447"/>
    <w:rsid w:val="00454D07"/>
    <w:rsid w:val="00454F45"/>
    <w:rsid w:val="0045523E"/>
    <w:rsid w:val="004552AA"/>
    <w:rsid w:val="00455641"/>
    <w:rsid w:val="0045595B"/>
    <w:rsid w:val="00456A32"/>
    <w:rsid w:val="004570ED"/>
    <w:rsid w:val="004577F2"/>
    <w:rsid w:val="00457A59"/>
    <w:rsid w:val="00457B10"/>
    <w:rsid w:val="00457B3B"/>
    <w:rsid w:val="00460056"/>
    <w:rsid w:val="00460613"/>
    <w:rsid w:val="0046068B"/>
    <w:rsid w:val="00460832"/>
    <w:rsid w:val="004611FF"/>
    <w:rsid w:val="00461E4A"/>
    <w:rsid w:val="0046371F"/>
    <w:rsid w:val="00464263"/>
    <w:rsid w:val="0046488B"/>
    <w:rsid w:val="004649F0"/>
    <w:rsid w:val="004655BC"/>
    <w:rsid w:val="004662CB"/>
    <w:rsid w:val="00466AAF"/>
    <w:rsid w:val="00466E54"/>
    <w:rsid w:val="00467B30"/>
    <w:rsid w:val="00470DBD"/>
    <w:rsid w:val="004716A2"/>
    <w:rsid w:val="00471B52"/>
    <w:rsid w:val="00471C5C"/>
    <w:rsid w:val="00472391"/>
    <w:rsid w:val="0047254F"/>
    <w:rsid w:val="00472D1F"/>
    <w:rsid w:val="00474496"/>
    <w:rsid w:val="00474816"/>
    <w:rsid w:val="00474CD8"/>
    <w:rsid w:val="00474F65"/>
    <w:rsid w:val="00476116"/>
    <w:rsid w:val="0047638F"/>
    <w:rsid w:val="00476B20"/>
    <w:rsid w:val="00476D8F"/>
    <w:rsid w:val="00476F09"/>
    <w:rsid w:val="004770C1"/>
    <w:rsid w:val="0047714B"/>
    <w:rsid w:val="00480D08"/>
    <w:rsid w:val="00480DE2"/>
    <w:rsid w:val="00481658"/>
    <w:rsid w:val="00481BC1"/>
    <w:rsid w:val="00481BD4"/>
    <w:rsid w:val="0048256F"/>
    <w:rsid w:val="0048293C"/>
    <w:rsid w:val="00483AFA"/>
    <w:rsid w:val="00483B29"/>
    <w:rsid w:val="00483D1F"/>
    <w:rsid w:val="004857C3"/>
    <w:rsid w:val="00485D05"/>
    <w:rsid w:val="00485E4F"/>
    <w:rsid w:val="00486174"/>
    <w:rsid w:val="004866AD"/>
    <w:rsid w:val="0048672B"/>
    <w:rsid w:val="00486E33"/>
    <w:rsid w:val="00490247"/>
    <w:rsid w:val="004908ED"/>
    <w:rsid w:val="00490C49"/>
    <w:rsid w:val="00490D13"/>
    <w:rsid w:val="00490EC0"/>
    <w:rsid w:val="004913CF"/>
    <w:rsid w:val="004916B5"/>
    <w:rsid w:val="0049255B"/>
    <w:rsid w:val="00492898"/>
    <w:rsid w:val="00492C00"/>
    <w:rsid w:val="00493A7E"/>
    <w:rsid w:val="00494B3B"/>
    <w:rsid w:val="004952B8"/>
    <w:rsid w:val="00495F16"/>
    <w:rsid w:val="0049637A"/>
    <w:rsid w:val="004967D9"/>
    <w:rsid w:val="004A0574"/>
    <w:rsid w:val="004A1EEA"/>
    <w:rsid w:val="004A2146"/>
    <w:rsid w:val="004A2AE2"/>
    <w:rsid w:val="004A2DFD"/>
    <w:rsid w:val="004A30F4"/>
    <w:rsid w:val="004A36FF"/>
    <w:rsid w:val="004A3A6D"/>
    <w:rsid w:val="004A4925"/>
    <w:rsid w:val="004A4C09"/>
    <w:rsid w:val="004A550F"/>
    <w:rsid w:val="004A5E9D"/>
    <w:rsid w:val="004A634E"/>
    <w:rsid w:val="004A7F43"/>
    <w:rsid w:val="004B054A"/>
    <w:rsid w:val="004B0D22"/>
    <w:rsid w:val="004B0F3C"/>
    <w:rsid w:val="004B12BC"/>
    <w:rsid w:val="004B13C7"/>
    <w:rsid w:val="004B1AFA"/>
    <w:rsid w:val="004B2DBB"/>
    <w:rsid w:val="004B31DE"/>
    <w:rsid w:val="004B3D6E"/>
    <w:rsid w:val="004B4367"/>
    <w:rsid w:val="004B4CF5"/>
    <w:rsid w:val="004B53DF"/>
    <w:rsid w:val="004B5BE5"/>
    <w:rsid w:val="004B6D1A"/>
    <w:rsid w:val="004B7F9C"/>
    <w:rsid w:val="004B7FC8"/>
    <w:rsid w:val="004C01AC"/>
    <w:rsid w:val="004C064B"/>
    <w:rsid w:val="004C1BFA"/>
    <w:rsid w:val="004C1C76"/>
    <w:rsid w:val="004C3347"/>
    <w:rsid w:val="004C3350"/>
    <w:rsid w:val="004C3B8E"/>
    <w:rsid w:val="004C3F34"/>
    <w:rsid w:val="004C4587"/>
    <w:rsid w:val="004C5540"/>
    <w:rsid w:val="004C58FD"/>
    <w:rsid w:val="004C5B86"/>
    <w:rsid w:val="004C74F7"/>
    <w:rsid w:val="004C79B0"/>
    <w:rsid w:val="004D0217"/>
    <w:rsid w:val="004D08CB"/>
    <w:rsid w:val="004D1389"/>
    <w:rsid w:val="004D1C21"/>
    <w:rsid w:val="004D1F6E"/>
    <w:rsid w:val="004D29D7"/>
    <w:rsid w:val="004D2E8C"/>
    <w:rsid w:val="004D2EE0"/>
    <w:rsid w:val="004D32C7"/>
    <w:rsid w:val="004D333A"/>
    <w:rsid w:val="004D36C1"/>
    <w:rsid w:val="004D3A7D"/>
    <w:rsid w:val="004D4131"/>
    <w:rsid w:val="004D424E"/>
    <w:rsid w:val="004D42BF"/>
    <w:rsid w:val="004D43E9"/>
    <w:rsid w:val="004D4622"/>
    <w:rsid w:val="004D4997"/>
    <w:rsid w:val="004D4E5C"/>
    <w:rsid w:val="004D515E"/>
    <w:rsid w:val="004D56CD"/>
    <w:rsid w:val="004D6396"/>
    <w:rsid w:val="004D73A3"/>
    <w:rsid w:val="004D7EEA"/>
    <w:rsid w:val="004D7FCC"/>
    <w:rsid w:val="004E0DE7"/>
    <w:rsid w:val="004E0E9C"/>
    <w:rsid w:val="004E12D6"/>
    <w:rsid w:val="004E17C6"/>
    <w:rsid w:val="004E369E"/>
    <w:rsid w:val="004E3FCB"/>
    <w:rsid w:val="004E466B"/>
    <w:rsid w:val="004E476B"/>
    <w:rsid w:val="004E58E5"/>
    <w:rsid w:val="004E5BDB"/>
    <w:rsid w:val="004E5FA3"/>
    <w:rsid w:val="004E6D3E"/>
    <w:rsid w:val="004E7C38"/>
    <w:rsid w:val="004F01E0"/>
    <w:rsid w:val="004F0D67"/>
    <w:rsid w:val="004F10C9"/>
    <w:rsid w:val="004F17D1"/>
    <w:rsid w:val="004F2088"/>
    <w:rsid w:val="004F2DB5"/>
    <w:rsid w:val="004F3075"/>
    <w:rsid w:val="004F4C56"/>
    <w:rsid w:val="004F5BF2"/>
    <w:rsid w:val="004F5DCF"/>
    <w:rsid w:val="004F64F2"/>
    <w:rsid w:val="004F77AB"/>
    <w:rsid w:val="004F7A8A"/>
    <w:rsid w:val="005001F3"/>
    <w:rsid w:val="0050026B"/>
    <w:rsid w:val="005010A0"/>
    <w:rsid w:val="0050127E"/>
    <w:rsid w:val="00501305"/>
    <w:rsid w:val="005014E1"/>
    <w:rsid w:val="00501896"/>
    <w:rsid w:val="00502030"/>
    <w:rsid w:val="00502311"/>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3FB"/>
    <w:rsid w:val="00514EC9"/>
    <w:rsid w:val="00515A23"/>
    <w:rsid w:val="00515F91"/>
    <w:rsid w:val="00516250"/>
    <w:rsid w:val="00516512"/>
    <w:rsid w:val="00517B7D"/>
    <w:rsid w:val="0052382C"/>
    <w:rsid w:val="00524331"/>
    <w:rsid w:val="00524746"/>
    <w:rsid w:val="00525DD1"/>
    <w:rsid w:val="00526511"/>
    <w:rsid w:val="005277B4"/>
    <w:rsid w:val="00527927"/>
    <w:rsid w:val="0053017F"/>
    <w:rsid w:val="00530202"/>
    <w:rsid w:val="0053144B"/>
    <w:rsid w:val="0053196C"/>
    <w:rsid w:val="00531C58"/>
    <w:rsid w:val="005320D4"/>
    <w:rsid w:val="00532247"/>
    <w:rsid w:val="00532788"/>
    <w:rsid w:val="005327C2"/>
    <w:rsid w:val="00533609"/>
    <w:rsid w:val="005339EC"/>
    <w:rsid w:val="00533C04"/>
    <w:rsid w:val="00534B0F"/>
    <w:rsid w:val="0053574D"/>
    <w:rsid w:val="00536DE7"/>
    <w:rsid w:val="00537115"/>
    <w:rsid w:val="00537D40"/>
    <w:rsid w:val="005400AD"/>
    <w:rsid w:val="00540884"/>
    <w:rsid w:val="005420CC"/>
    <w:rsid w:val="005424B3"/>
    <w:rsid w:val="005427AF"/>
    <w:rsid w:val="00542ECB"/>
    <w:rsid w:val="005432BA"/>
    <w:rsid w:val="00543682"/>
    <w:rsid w:val="005443A5"/>
    <w:rsid w:val="005452E5"/>
    <w:rsid w:val="00545312"/>
    <w:rsid w:val="00545AED"/>
    <w:rsid w:val="00545D0C"/>
    <w:rsid w:val="00546757"/>
    <w:rsid w:val="005472B3"/>
    <w:rsid w:val="00547C77"/>
    <w:rsid w:val="00550C11"/>
    <w:rsid w:val="00550DE7"/>
    <w:rsid w:val="005514BB"/>
    <w:rsid w:val="00551F73"/>
    <w:rsid w:val="00552301"/>
    <w:rsid w:val="0055269F"/>
    <w:rsid w:val="00553046"/>
    <w:rsid w:val="0055325F"/>
    <w:rsid w:val="00553711"/>
    <w:rsid w:val="00553E62"/>
    <w:rsid w:val="00553EA4"/>
    <w:rsid w:val="0055471C"/>
    <w:rsid w:val="00554AB0"/>
    <w:rsid w:val="005550B9"/>
    <w:rsid w:val="0055561C"/>
    <w:rsid w:val="0055629C"/>
    <w:rsid w:val="0055644C"/>
    <w:rsid w:val="00557981"/>
    <w:rsid w:val="00557A72"/>
    <w:rsid w:val="00560148"/>
    <w:rsid w:val="0056016F"/>
    <w:rsid w:val="005605A2"/>
    <w:rsid w:val="0056080F"/>
    <w:rsid w:val="00560EDE"/>
    <w:rsid w:val="00561042"/>
    <w:rsid w:val="005610C7"/>
    <w:rsid w:val="005613DA"/>
    <w:rsid w:val="00561C91"/>
    <w:rsid w:val="0056222E"/>
    <w:rsid w:val="0056224F"/>
    <w:rsid w:val="005643BB"/>
    <w:rsid w:val="00565011"/>
    <w:rsid w:val="0056506E"/>
    <w:rsid w:val="00565EBC"/>
    <w:rsid w:val="0056662F"/>
    <w:rsid w:val="00566D53"/>
    <w:rsid w:val="0056708A"/>
    <w:rsid w:val="00567242"/>
    <w:rsid w:val="00567755"/>
    <w:rsid w:val="00567EA2"/>
    <w:rsid w:val="00571BB7"/>
    <w:rsid w:val="00572C3E"/>
    <w:rsid w:val="00572DEB"/>
    <w:rsid w:val="0057317C"/>
    <w:rsid w:val="00573656"/>
    <w:rsid w:val="0057496C"/>
    <w:rsid w:val="005749A3"/>
    <w:rsid w:val="00574A7F"/>
    <w:rsid w:val="00576774"/>
    <w:rsid w:val="00576BE9"/>
    <w:rsid w:val="00581260"/>
    <w:rsid w:val="00581962"/>
    <w:rsid w:val="005823F5"/>
    <w:rsid w:val="00583542"/>
    <w:rsid w:val="00583B31"/>
    <w:rsid w:val="00583FEE"/>
    <w:rsid w:val="00584380"/>
    <w:rsid w:val="00584A01"/>
    <w:rsid w:val="00584A5C"/>
    <w:rsid w:val="00586108"/>
    <w:rsid w:val="00586636"/>
    <w:rsid w:val="00586BF6"/>
    <w:rsid w:val="00587348"/>
    <w:rsid w:val="00587CF6"/>
    <w:rsid w:val="00590142"/>
    <w:rsid w:val="00590860"/>
    <w:rsid w:val="0059225E"/>
    <w:rsid w:val="00593058"/>
    <w:rsid w:val="00593173"/>
    <w:rsid w:val="005939D5"/>
    <w:rsid w:val="00593A8F"/>
    <w:rsid w:val="00594680"/>
    <w:rsid w:val="005949D1"/>
    <w:rsid w:val="00594F48"/>
    <w:rsid w:val="0059500E"/>
    <w:rsid w:val="00595A3C"/>
    <w:rsid w:val="00596491"/>
    <w:rsid w:val="005977F1"/>
    <w:rsid w:val="005A002F"/>
    <w:rsid w:val="005A0068"/>
    <w:rsid w:val="005A0446"/>
    <w:rsid w:val="005A0590"/>
    <w:rsid w:val="005A0C98"/>
    <w:rsid w:val="005A1375"/>
    <w:rsid w:val="005A16F0"/>
    <w:rsid w:val="005A36AB"/>
    <w:rsid w:val="005A3965"/>
    <w:rsid w:val="005A3D6F"/>
    <w:rsid w:val="005A3D89"/>
    <w:rsid w:val="005A4806"/>
    <w:rsid w:val="005A4A2F"/>
    <w:rsid w:val="005A4DBC"/>
    <w:rsid w:val="005A5578"/>
    <w:rsid w:val="005A5684"/>
    <w:rsid w:val="005A6B51"/>
    <w:rsid w:val="005A6FB0"/>
    <w:rsid w:val="005A77BF"/>
    <w:rsid w:val="005A7A04"/>
    <w:rsid w:val="005A7C9B"/>
    <w:rsid w:val="005B0B37"/>
    <w:rsid w:val="005B0E94"/>
    <w:rsid w:val="005B0EC4"/>
    <w:rsid w:val="005B1A7C"/>
    <w:rsid w:val="005B1E94"/>
    <w:rsid w:val="005B2964"/>
    <w:rsid w:val="005B2C4B"/>
    <w:rsid w:val="005B2CA6"/>
    <w:rsid w:val="005B4289"/>
    <w:rsid w:val="005B4660"/>
    <w:rsid w:val="005B4CAF"/>
    <w:rsid w:val="005B5497"/>
    <w:rsid w:val="005B569E"/>
    <w:rsid w:val="005B5859"/>
    <w:rsid w:val="005B5D13"/>
    <w:rsid w:val="005B7466"/>
    <w:rsid w:val="005B7F66"/>
    <w:rsid w:val="005C113B"/>
    <w:rsid w:val="005C1523"/>
    <w:rsid w:val="005C1882"/>
    <w:rsid w:val="005C22CF"/>
    <w:rsid w:val="005C2688"/>
    <w:rsid w:val="005C3156"/>
    <w:rsid w:val="005C4570"/>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6DD7"/>
    <w:rsid w:val="005D7C43"/>
    <w:rsid w:val="005E0175"/>
    <w:rsid w:val="005E1472"/>
    <w:rsid w:val="005E24E0"/>
    <w:rsid w:val="005E279F"/>
    <w:rsid w:val="005E30E2"/>
    <w:rsid w:val="005E4AAB"/>
    <w:rsid w:val="005E4DDB"/>
    <w:rsid w:val="005E5756"/>
    <w:rsid w:val="005E6808"/>
    <w:rsid w:val="005E6F5E"/>
    <w:rsid w:val="005E7758"/>
    <w:rsid w:val="005F0052"/>
    <w:rsid w:val="005F0F02"/>
    <w:rsid w:val="005F0FE2"/>
    <w:rsid w:val="005F115A"/>
    <w:rsid w:val="005F168F"/>
    <w:rsid w:val="005F16FF"/>
    <w:rsid w:val="005F1E3E"/>
    <w:rsid w:val="005F23B3"/>
    <w:rsid w:val="005F2527"/>
    <w:rsid w:val="005F2959"/>
    <w:rsid w:val="005F2F2D"/>
    <w:rsid w:val="005F55EA"/>
    <w:rsid w:val="005F58D3"/>
    <w:rsid w:val="005F5AFD"/>
    <w:rsid w:val="005F6328"/>
    <w:rsid w:val="005F6347"/>
    <w:rsid w:val="005F6F43"/>
    <w:rsid w:val="005F7502"/>
    <w:rsid w:val="005F770C"/>
    <w:rsid w:val="0060366A"/>
    <w:rsid w:val="006038D0"/>
    <w:rsid w:val="006043B4"/>
    <w:rsid w:val="006044F8"/>
    <w:rsid w:val="00605B49"/>
    <w:rsid w:val="006066C1"/>
    <w:rsid w:val="006066D3"/>
    <w:rsid w:val="00606F4C"/>
    <w:rsid w:val="006079E3"/>
    <w:rsid w:val="00607C74"/>
    <w:rsid w:val="006103D7"/>
    <w:rsid w:val="00610998"/>
    <w:rsid w:val="00610DA3"/>
    <w:rsid w:val="00611D0E"/>
    <w:rsid w:val="00612912"/>
    <w:rsid w:val="00613A5E"/>
    <w:rsid w:val="00613B36"/>
    <w:rsid w:val="00614119"/>
    <w:rsid w:val="006148FE"/>
    <w:rsid w:val="0061492A"/>
    <w:rsid w:val="00614B54"/>
    <w:rsid w:val="006151B1"/>
    <w:rsid w:val="0061566E"/>
    <w:rsid w:val="0061640A"/>
    <w:rsid w:val="00616662"/>
    <w:rsid w:val="0061782B"/>
    <w:rsid w:val="00617912"/>
    <w:rsid w:val="006217FA"/>
    <w:rsid w:val="006225F0"/>
    <w:rsid w:val="00623AD0"/>
    <w:rsid w:val="00624877"/>
    <w:rsid w:val="006249F6"/>
    <w:rsid w:val="00624CE5"/>
    <w:rsid w:val="00624D8C"/>
    <w:rsid w:val="00625C02"/>
    <w:rsid w:val="00626956"/>
    <w:rsid w:val="00626B84"/>
    <w:rsid w:val="00626ED8"/>
    <w:rsid w:val="00627F68"/>
    <w:rsid w:val="00630425"/>
    <w:rsid w:val="0063100D"/>
    <w:rsid w:val="006311CF"/>
    <w:rsid w:val="00631979"/>
    <w:rsid w:val="00632B82"/>
    <w:rsid w:val="00632E12"/>
    <w:rsid w:val="00633367"/>
    <w:rsid w:val="006342B7"/>
    <w:rsid w:val="006344D6"/>
    <w:rsid w:val="006345EA"/>
    <w:rsid w:val="0063472B"/>
    <w:rsid w:val="00635860"/>
    <w:rsid w:val="006363FA"/>
    <w:rsid w:val="006364B4"/>
    <w:rsid w:val="00636D98"/>
    <w:rsid w:val="0063705A"/>
    <w:rsid w:val="0063726F"/>
    <w:rsid w:val="00637AE9"/>
    <w:rsid w:val="00637C36"/>
    <w:rsid w:val="0064147F"/>
    <w:rsid w:val="00641AA7"/>
    <w:rsid w:val="006422CB"/>
    <w:rsid w:val="00642520"/>
    <w:rsid w:val="00642699"/>
    <w:rsid w:val="006429BA"/>
    <w:rsid w:val="006438A7"/>
    <w:rsid w:val="00643AAD"/>
    <w:rsid w:val="00643CBA"/>
    <w:rsid w:val="00645D67"/>
    <w:rsid w:val="00646D05"/>
    <w:rsid w:val="00646FC1"/>
    <w:rsid w:val="0065021B"/>
    <w:rsid w:val="006508B5"/>
    <w:rsid w:val="00651942"/>
    <w:rsid w:val="00651EBD"/>
    <w:rsid w:val="00652ED0"/>
    <w:rsid w:val="0065314C"/>
    <w:rsid w:val="0065373C"/>
    <w:rsid w:val="00653E55"/>
    <w:rsid w:val="006540B2"/>
    <w:rsid w:val="0065472B"/>
    <w:rsid w:val="00655C9D"/>
    <w:rsid w:val="0065773B"/>
    <w:rsid w:val="00660C4F"/>
    <w:rsid w:val="00660DFA"/>
    <w:rsid w:val="00660F44"/>
    <w:rsid w:val="0066135B"/>
    <w:rsid w:val="0066289A"/>
    <w:rsid w:val="00662E49"/>
    <w:rsid w:val="00664494"/>
    <w:rsid w:val="00664759"/>
    <w:rsid w:val="00664BF5"/>
    <w:rsid w:val="006651CC"/>
    <w:rsid w:val="00665539"/>
    <w:rsid w:val="00666066"/>
    <w:rsid w:val="006665B5"/>
    <w:rsid w:val="00666BFC"/>
    <w:rsid w:val="00666DD9"/>
    <w:rsid w:val="00667393"/>
    <w:rsid w:val="00667C9E"/>
    <w:rsid w:val="00667CD6"/>
    <w:rsid w:val="00670F17"/>
    <w:rsid w:val="00670FBB"/>
    <w:rsid w:val="00672137"/>
    <w:rsid w:val="0067292A"/>
    <w:rsid w:val="00673291"/>
    <w:rsid w:val="00673E6B"/>
    <w:rsid w:val="006745C0"/>
    <w:rsid w:val="00674C2A"/>
    <w:rsid w:val="00675B31"/>
    <w:rsid w:val="006766F8"/>
    <w:rsid w:val="00676F3F"/>
    <w:rsid w:val="006773E0"/>
    <w:rsid w:val="006775D6"/>
    <w:rsid w:val="006776EF"/>
    <w:rsid w:val="00677D84"/>
    <w:rsid w:val="00681003"/>
    <w:rsid w:val="0068145A"/>
    <w:rsid w:val="00681987"/>
    <w:rsid w:val="006824A4"/>
    <w:rsid w:val="00683456"/>
    <w:rsid w:val="00683E07"/>
    <w:rsid w:val="00683E4A"/>
    <w:rsid w:val="00683F33"/>
    <w:rsid w:val="0068459E"/>
    <w:rsid w:val="0068545B"/>
    <w:rsid w:val="00685CFD"/>
    <w:rsid w:val="006866D9"/>
    <w:rsid w:val="00686EFD"/>
    <w:rsid w:val="00686FD0"/>
    <w:rsid w:val="00687337"/>
    <w:rsid w:val="0068759C"/>
    <w:rsid w:val="00690771"/>
    <w:rsid w:val="00690B3B"/>
    <w:rsid w:val="006914BA"/>
    <w:rsid w:val="006917A6"/>
    <w:rsid w:val="00692613"/>
    <w:rsid w:val="00692EA3"/>
    <w:rsid w:val="00693AC0"/>
    <w:rsid w:val="00694F5B"/>
    <w:rsid w:val="00695DA1"/>
    <w:rsid w:val="0069638E"/>
    <w:rsid w:val="00696A55"/>
    <w:rsid w:val="00696B90"/>
    <w:rsid w:val="00696BBC"/>
    <w:rsid w:val="00696E41"/>
    <w:rsid w:val="006970F7"/>
    <w:rsid w:val="0069735A"/>
    <w:rsid w:val="0069786A"/>
    <w:rsid w:val="00697EA3"/>
    <w:rsid w:val="006A18D4"/>
    <w:rsid w:val="006A1D1A"/>
    <w:rsid w:val="006A2C53"/>
    <w:rsid w:val="006A3036"/>
    <w:rsid w:val="006A366E"/>
    <w:rsid w:val="006A3698"/>
    <w:rsid w:val="006A37CF"/>
    <w:rsid w:val="006A51AF"/>
    <w:rsid w:val="006A69E1"/>
    <w:rsid w:val="006B0DC9"/>
    <w:rsid w:val="006B0EB0"/>
    <w:rsid w:val="006B22CE"/>
    <w:rsid w:val="006B2BE2"/>
    <w:rsid w:val="006B3049"/>
    <w:rsid w:val="006B34D1"/>
    <w:rsid w:val="006B3633"/>
    <w:rsid w:val="006B3D81"/>
    <w:rsid w:val="006B3E3B"/>
    <w:rsid w:val="006B40CD"/>
    <w:rsid w:val="006B415A"/>
    <w:rsid w:val="006B41A7"/>
    <w:rsid w:val="006B48AC"/>
    <w:rsid w:val="006B57E3"/>
    <w:rsid w:val="006B5F68"/>
    <w:rsid w:val="006C0019"/>
    <w:rsid w:val="006C0350"/>
    <w:rsid w:val="006C08A0"/>
    <w:rsid w:val="006C0F4C"/>
    <w:rsid w:val="006C0F90"/>
    <w:rsid w:val="006C1FCA"/>
    <w:rsid w:val="006C2C99"/>
    <w:rsid w:val="006C375E"/>
    <w:rsid w:val="006C3A88"/>
    <w:rsid w:val="006C4219"/>
    <w:rsid w:val="006C63B1"/>
    <w:rsid w:val="006C7A4B"/>
    <w:rsid w:val="006D01D1"/>
    <w:rsid w:val="006D37F0"/>
    <w:rsid w:val="006D3D42"/>
    <w:rsid w:val="006D4A8E"/>
    <w:rsid w:val="006D5A87"/>
    <w:rsid w:val="006D62CE"/>
    <w:rsid w:val="006D6DBD"/>
    <w:rsid w:val="006D73B9"/>
    <w:rsid w:val="006D762C"/>
    <w:rsid w:val="006D7E5D"/>
    <w:rsid w:val="006E0190"/>
    <w:rsid w:val="006E0193"/>
    <w:rsid w:val="006E03FB"/>
    <w:rsid w:val="006E0909"/>
    <w:rsid w:val="006E096C"/>
    <w:rsid w:val="006E0CB7"/>
    <w:rsid w:val="006E11BD"/>
    <w:rsid w:val="006E17F1"/>
    <w:rsid w:val="006E1B28"/>
    <w:rsid w:val="006E1FB6"/>
    <w:rsid w:val="006E4809"/>
    <w:rsid w:val="006E527B"/>
    <w:rsid w:val="006E5309"/>
    <w:rsid w:val="006E5946"/>
    <w:rsid w:val="006E5A81"/>
    <w:rsid w:val="006E6BFD"/>
    <w:rsid w:val="006F00F9"/>
    <w:rsid w:val="006F0848"/>
    <w:rsid w:val="006F0CEB"/>
    <w:rsid w:val="006F1589"/>
    <w:rsid w:val="006F2B58"/>
    <w:rsid w:val="006F2C01"/>
    <w:rsid w:val="006F2E9B"/>
    <w:rsid w:val="006F30C4"/>
    <w:rsid w:val="006F33DF"/>
    <w:rsid w:val="006F387A"/>
    <w:rsid w:val="006F3EF2"/>
    <w:rsid w:val="006F4F5E"/>
    <w:rsid w:val="006F6072"/>
    <w:rsid w:val="006F64B3"/>
    <w:rsid w:val="006F702D"/>
    <w:rsid w:val="006F732C"/>
    <w:rsid w:val="006F7ADA"/>
    <w:rsid w:val="006F7D2C"/>
    <w:rsid w:val="00700324"/>
    <w:rsid w:val="007009A3"/>
    <w:rsid w:val="00700AFF"/>
    <w:rsid w:val="007013B2"/>
    <w:rsid w:val="00701767"/>
    <w:rsid w:val="00702080"/>
    <w:rsid w:val="007021BC"/>
    <w:rsid w:val="00702CD0"/>
    <w:rsid w:val="00703191"/>
    <w:rsid w:val="007046E4"/>
    <w:rsid w:val="00704854"/>
    <w:rsid w:val="007049C6"/>
    <w:rsid w:val="00704F9D"/>
    <w:rsid w:val="007055A8"/>
    <w:rsid w:val="007056C3"/>
    <w:rsid w:val="007059D5"/>
    <w:rsid w:val="00705B6D"/>
    <w:rsid w:val="007067D7"/>
    <w:rsid w:val="00707224"/>
    <w:rsid w:val="007073C4"/>
    <w:rsid w:val="007075FA"/>
    <w:rsid w:val="00710BD3"/>
    <w:rsid w:val="00711DA4"/>
    <w:rsid w:val="00711F83"/>
    <w:rsid w:val="00712E31"/>
    <w:rsid w:val="0071300D"/>
    <w:rsid w:val="0071349D"/>
    <w:rsid w:val="00713537"/>
    <w:rsid w:val="00713998"/>
    <w:rsid w:val="00713E3C"/>
    <w:rsid w:val="00715602"/>
    <w:rsid w:val="00715BF2"/>
    <w:rsid w:val="0071602B"/>
    <w:rsid w:val="00716377"/>
    <w:rsid w:val="00717B90"/>
    <w:rsid w:val="00717E81"/>
    <w:rsid w:val="00720275"/>
    <w:rsid w:val="00720BDF"/>
    <w:rsid w:val="00721B8C"/>
    <w:rsid w:val="00721C66"/>
    <w:rsid w:val="00721ECE"/>
    <w:rsid w:val="007222BE"/>
    <w:rsid w:val="007225E3"/>
    <w:rsid w:val="007227EA"/>
    <w:rsid w:val="007231B7"/>
    <w:rsid w:val="007231E9"/>
    <w:rsid w:val="00724BA3"/>
    <w:rsid w:val="00724E33"/>
    <w:rsid w:val="007256DC"/>
    <w:rsid w:val="00725EF2"/>
    <w:rsid w:val="00726946"/>
    <w:rsid w:val="007269A3"/>
    <w:rsid w:val="00726B60"/>
    <w:rsid w:val="007271D7"/>
    <w:rsid w:val="007300DF"/>
    <w:rsid w:val="00730B38"/>
    <w:rsid w:val="00732375"/>
    <w:rsid w:val="00732745"/>
    <w:rsid w:val="007328B4"/>
    <w:rsid w:val="00732976"/>
    <w:rsid w:val="0073323D"/>
    <w:rsid w:val="00733248"/>
    <w:rsid w:val="007334D5"/>
    <w:rsid w:val="00733639"/>
    <w:rsid w:val="0073367D"/>
    <w:rsid w:val="00733AB7"/>
    <w:rsid w:val="007340A5"/>
    <w:rsid w:val="00734426"/>
    <w:rsid w:val="0073471A"/>
    <w:rsid w:val="007347BF"/>
    <w:rsid w:val="00735117"/>
    <w:rsid w:val="0073712D"/>
    <w:rsid w:val="007375A6"/>
    <w:rsid w:val="00740108"/>
    <w:rsid w:val="00740B1D"/>
    <w:rsid w:val="0074183C"/>
    <w:rsid w:val="00741D2E"/>
    <w:rsid w:val="007424CB"/>
    <w:rsid w:val="00743047"/>
    <w:rsid w:val="007431E3"/>
    <w:rsid w:val="00743AA8"/>
    <w:rsid w:val="00744E00"/>
    <w:rsid w:val="00744FF0"/>
    <w:rsid w:val="00745439"/>
    <w:rsid w:val="0074571B"/>
    <w:rsid w:val="00745ADF"/>
    <w:rsid w:val="007469BD"/>
    <w:rsid w:val="007477BE"/>
    <w:rsid w:val="007503C7"/>
    <w:rsid w:val="0075069A"/>
    <w:rsid w:val="007513FE"/>
    <w:rsid w:val="00752378"/>
    <w:rsid w:val="00752E4B"/>
    <w:rsid w:val="0075346A"/>
    <w:rsid w:val="0075399C"/>
    <w:rsid w:val="00753FA6"/>
    <w:rsid w:val="00756057"/>
    <w:rsid w:val="00756202"/>
    <w:rsid w:val="00756251"/>
    <w:rsid w:val="0075638F"/>
    <w:rsid w:val="00757D15"/>
    <w:rsid w:val="0076001D"/>
    <w:rsid w:val="0076113E"/>
    <w:rsid w:val="00761426"/>
    <w:rsid w:val="00761A46"/>
    <w:rsid w:val="007625C7"/>
    <w:rsid w:val="0076298A"/>
    <w:rsid w:val="007629B8"/>
    <w:rsid w:val="00762D12"/>
    <w:rsid w:val="00762F11"/>
    <w:rsid w:val="00763140"/>
    <w:rsid w:val="0076334E"/>
    <w:rsid w:val="00763BF0"/>
    <w:rsid w:val="00763F0D"/>
    <w:rsid w:val="00764121"/>
    <w:rsid w:val="0076454A"/>
    <w:rsid w:val="00765120"/>
    <w:rsid w:val="007658A9"/>
    <w:rsid w:val="007663C1"/>
    <w:rsid w:val="007666D9"/>
    <w:rsid w:val="007667CD"/>
    <w:rsid w:val="00767378"/>
    <w:rsid w:val="00767A63"/>
    <w:rsid w:val="00767B80"/>
    <w:rsid w:val="0077006D"/>
    <w:rsid w:val="007706B7"/>
    <w:rsid w:val="007707A6"/>
    <w:rsid w:val="00770DC9"/>
    <w:rsid w:val="0077175E"/>
    <w:rsid w:val="00771AD1"/>
    <w:rsid w:val="0077253D"/>
    <w:rsid w:val="007727CC"/>
    <w:rsid w:val="00772A38"/>
    <w:rsid w:val="00772FC4"/>
    <w:rsid w:val="00773629"/>
    <w:rsid w:val="0077377B"/>
    <w:rsid w:val="00773B1D"/>
    <w:rsid w:val="00773C29"/>
    <w:rsid w:val="007740B9"/>
    <w:rsid w:val="00774352"/>
    <w:rsid w:val="00775496"/>
    <w:rsid w:val="00775E3E"/>
    <w:rsid w:val="00776E0A"/>
    <w:rsid w:val="00777364"/>
    <w:rsid w:val="00777527"/>
    <w:rsid w:val="0077798C"/>
    <w:rsid w:val="00777F71"/>
    <w:rsid w:val="00780513"/>
    <w:rsid w:val="00780A96"/>
    <w:rsid w:val="00780D06"/>
    <w:rsid w:val="00780F85"/>
    <w:rsid w:val="00781108"/>
    <w:rsid w:val="0078142B"/>
    <w:rsid w:val="007819DA"/>
    <w:rsid w:val="00781A85"/>
    <w:rsid w:val="00781A96"/>
    <w:rsid w:val="00782475"/>
    <w:rsid w:val="00782929"/>
    <w:rsid w:val="00782F63"/>
    <w:rsid w:val="00783360"/>
    <w:rsid w:val="00784EF5"/>
    <w:rsid w:val="007862EE"/>
    <w:rsid w:val="007863AE"/>
    <w:rsid w:val="0078690F"/>
    <w:rsid w:val="007873F8"/>
    <w:rsid w:val="00787AEB"/>
    <w:rsid w:val="007909AA"/>
    <w:rsid w:val="0079135A"/>
    <w:rsid w:val="00792B3D"/>
    <w:rsid w:val="00793B9F"/>
    <w:rsid w:val="0079634D"/>
    <w:rsid w:val="007969C0"/>
    <w:rsid w:val="00796C5A"/>
    <w:rsid w:val="007970E6"/>
    <w:rsid w:val="0079714E"/>
    <w:rsid w:val="00797628"/>
    <w:rsid w:val="00797E0D"/>
    <w:rsid w:val="007A04D8"/>
    <w:rsid w:val="007A0E98"/>
    <w:rsid w:val="007A2B87"/>
    <w:rsid w:val="007A37A2"/>
    <w:rsid w:val="007A39C8"/>
    <w:rsid w:val="007A405A"/>
    <w:rsid w:val="007A4CA5"/>
    <w:rsid w:val="007A50C3"/>
    <w:rsid w:val="007A5719"/>
    <w:rsid w:val="007A5B35"/>
    <w:rsid w:val="007A5F48"/>
    <w:rsid w:val="007A619F"/>
    <w:rsid w:val="007A62E2"/>
    <w:rsid w:val="007A6B4F"/>
    <w:rsid w:val="007A7774"/>
    <w:rsid w:val="007A7FC4"/>
    <w:rsid w:val="007B0CB4"/>
    <w:rsid w:val="007B254A"/>
    <w:rsid w:val="007B3086"/>
    <w:rsid w:val="007B3888"/>
    <w:rsid w:val="007B43EC"/>
    <w:rsid w:val="007B4DB6"/>
    <w:rsid w:val="007B51BE"/>
    <w:rsid w:val="007B59D4"/>
    <w:rsid w:val="007B5A1C"/>
    <w:rsid w:val="007B5A90"/>
    <w:rsid w:val="007B6FBA"/>
    <w:rsid w:val="007B705F"/>
    <w:rsid w:val="007B7149"/>
    <w:rsid w:val="007B7733"/>
    <w:rsid w:val="007B7E77"/>
    <w:rsid w:val="007C137D"/>
    <w:rsid w:val="007C1CE4"/>
    <w:rsid w:val="007C2260"/>
    <w:rsid w:val="007C26FB"/>
    <w:rsid w:val="007C356E"/>
    <w:rsid w:val="007C4C2B"/>
    <w:rsid w:val="007C567F"/>
    <w:rsid w:val="007C5F71"/>
    <w:rsid w:val="007C71AF"/>
    <w:rsid w:val="007C7A97"/>
    <w:rsid w:val="007C7DC9"/>
    <w:rsid w:val="007D0436"/>
    <w:rsid w:val="007D07B2"/>
    <w:rsid w:val="007D0C9E"/>
    <w:rsid w:val="007D161F"/>
    <w:rsid w:val="007D2626"/>
    <w:rsid w:val="007D26B3"/>
    <w:rsid w:val="007D3525"/>
    <w:rsid w:val="007D40FD"/>
    <w:rsid w:val="007D469E"/>
    <w:rsid w:val="007D55EE"/>
    <w:rsid w:val="007D5E6A"/>
    <w:rsid w:val="007D6403"/>
    <w:rsid w:val="007D6C89"/>
    <w:rsid w:val="007D786E"/>
    <w:rsid w:val="007D7902"/>
    <w:rsid w:val="007E07A4"/>
    <w:rsid w:val="007E0FD8"/>
    <w:rsid w:val="007E359C"/>
    <w:rsid w:val="007E4E2F"/>
    <w:rsid w:val="007E4F28"/>
    <w:rsid w:val="007E573D"/>
    <w:rsid w:val="007E5CE9"/>
    <w:rsid w:val="007E6830"/>
    <w:rsid w:val="007E6D18"/>
    <w:rsid w:val="007E715A"/>
    <w:rsid w:val="007F0D02"/>
    <w:rsid w:val="007F1146"/>
    <w:rsid w:val="007F1472"/>
    <w:rsid w:val="007F1A3E"/>
    <w:rsid w:val="007F1FFF"/>
    <w:rsid w:val="007F34F4"/>
    <w:rsid w:val="007F3A90"/>
    <w:rsid w:val="007F46F6"/>
    <w:rsid w:val="007F49D8"/>
    <w:rsid w:val="007F4B7E"/>
    <w:rsid w:val="007F5AEE"/>
    <w:rsid w:val="007F64F9"/>
    <w:rsid w:val="007F69E1"/>
    <w:rsid w:val="007F6D4D"/>
    <w:rsid w:val="007F7C7B"/>
    <w:rsid w:val="00800372"/>
    <w:rsid w:val="008016C4"/>
    <w:rsid w:val="00801772"/>
    <w:rsid w:val="00801DD8"/>
    <w:rsid w:val="00802AA0"/>
    <w:rsid w:val="00804514"/>
    <w:rsid w:val="00804E7C"/>
    <w:rsid w:val="00804FFC"/>
    <w:rsid w:val="00805614"/>
    <w:rsid w:val="008059B6"/>
    <w:rsid w:val="00805A8C"/>
    <w:rsid w:val="00805E9A"/>
    <w:rsid w:val="0080622C"/>
    <w:rsid w:val="00806781"/>
    <w:rsid w:val="0080760D"/>
    <w:rsid w:val="00810A08"/>
    <w:rsid w:val="00811809"/>
    <w:rsid w:val="00811A3B"/>
    <w:rsid w:val="00811BCB"/>
    <w:rsid w:val="0081269F"/>
    <w:rsid w:val="00813019"/>
    <w:rsid w:val="00813027"/>
    <w:rsid w:val="00813338"/>
    <w:rsid w:val="008135BC"/>
    <w:rsid w:val="0081421D"/>
    <w:rsid w:val="00814E3D"/>
    <w:rsid w:val="00814FF0"/>
    <w:rsid w:val="00815291"/>
    <w:rsid w:val="00816EDC"/>
    <w:rsid w:val="008200D8"/>
    <w:rsid w:val="00820AC0"/>
    <w:rsid w:val="0082165E"/>
    <w:rsid w:val="00821777"/>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26DB"/>
    <w:rsid w:val="008338BD"/>
    <w:rsid w:val="0083423A"/>
    <w:rsid w:val="00834B5E"/>
    <w:rsid w:val="00834EBD"/>
    <w:rsid w:val="008352D0"/>
    <w:rsid w:val="00835832"/>
    <w:rsid w:val="0083598E"/>
    <w:rsid w:val="008376F3"/>
    <w:rsid w:val="00837AF0"/>
    <w:rsid w:val="0084018E"/>
    <w:rsid w:val="008403A2"/>
    <w:rsid w:val="00840A08"/>
    <w:rsid w:val="00840A65"/>
    <w:rsid w:val="0084112D"/>
    <w:rsid w:val="008422E5"/>
    <w:rsid w:val="00842DD5"/>
    <w:rsid w:val="00843071"/>
    <w:rsid w:val="0084437E"/>
    <w:rsid w:val="008449D9"/>
    <w:rsid w:val="008451AD"/>
    <w:rsid w:val="00845430"/>
    <w:rsid w:val="008457E4"/>
    <w:rsid w:val="00846994"/>
    <w:rsid w:val="008474C5"/>
    <w:rsid w:val="00850297"/>
    <w:rsid w:val="00850EAD"/>
    <w:rsid w:val="00851583"/>
    <w:rsid w:val="0085160D"/>
    <w:rsid w:val="00851CAF"/>
    <w:rsid w:val="00852363"/>
    <w:rsid w:val="008529E2"/>
    <w:rsid w:val="008535C8"/>
    <w:rsid w:val="008535CE"/>
    <w:rsid w:val="00853A46"/>
    <w:rsid w:val="00854305"/>
    <w:rsid w:val="00854E34"/>
    <w:rsid w:val="00855DBA"/>
    <w:rsid w:val="00856108"/>
    <w:rsid w:val="0085654E"/>
    <w:rsid w:val="0085780F"/>
    <w:rsid w:val="00857A96"/>
    <w:rsid w:val="008608C8"/>
    <w:rsid w:val="00860963"/>
    <w:rsid w:val="00860B9F"/>
    <w:rsid w:val="00861994"/>
    <w:rsid w:val="00861FB8"/>
    <w:rsid w:val="00862166"/>
    <w:rsid w:val="00862318"/>
    <w:rsid w:val="00862ECD"/>
    <w:rsid w:val="00863747"/>
    <w:rsid w:val="00864B02"/>
    <w:rsid w:val="0086566D"/>
    <w:rsid w:val="0086599F"/>
    <w:rsid w:val="00865B39"/>
    <w:rsid w:val="00866087"/>
    <w:rsid w:val="0087094A"/>
    <w:rsid w:val="00870D37"/>
    <w:rsid w:val="00871238"/>
    <w:rsid w:val="008717CE"/>
    <w:rsid w:val="00873177"/>
    <w:rsid w:val="0087350A"/>
    <w:rsid w:val="0087369B"/>
    <w:rsid w:val="00873B73"/>
    <w:rsid w:val="008743C1"/>
    <w:rsid w:val="0087452D"/>
    <w:rsid w:val="008751FA"/>
    <w:rsid w:val="00875554"/>
    <w:rsid w:val="008768BC"/>
    <w:rsid w:val="00876C80"/>
    <w:rsid w:val="00877B3B"/>
    <w:rsid w:val="00877F4C"/>
    <w:rsid w:val="008802D3"/>
    <w:rsid w:val="0088054E"/>
    <w:rsid w:val="00880E08"/>
    <w:rsid w:val="00881943"/>
    <w:rsid w:val="00882512"/>
    <w:rsid w:val="00883A04"/>
    <w:rsid w:val="00883B65"/>
    <w:rsid w:val="00884DFF"/>
    <w:rsid w:val="00885A95"/>
    <w:rsid w:val="00885AE1"/>
    <w:rsid w:val="0088618D"/>
    <w:rsid w:val="00886357"/>
    <w:rsid w:val="008873C7"/>
    <w:rsid w:val="008873CD"/>
    <w:rsid w:val="00887C94"/>
    <w:rsid w:val="00887F9D"/>
    <w:rsid w:val="00890C2F"/>
    <w:rsid w:val="00891679"/>
    <w:rsid w:val="008925B2"/>
    <w:rsid w:val="0089309F"/>
    <w:rsid w:val="00893806"/>
    <w:rsid w:val="00893958"/>
    <w:rsid w:val="00893C7D"/>
    <w:rsid w:val="00893CD6"/>
    <w:rsid w:val="00893E0F"/>
    <w:rsid w:val="00894A2A"/>
    <w:rsid w:val="008963EC"/>
    <w:rsid w:val="008963EF"/>
    <w:rsid w:val="008964A5"/>
    <w:rsid w:val="00896A99"/>
    <w:rsid w:val="00897BEA"/>
    <w:rsid w:val="00897E82"/>
    <w:rsid w:val="008A0186"/>
    <w:rsid w:val="008A01B6"/>
    <w:rsid w:val="008A0293"/>
    <w:rsid w:val="008A0432"/>
    <w:rsid w:val="008A0EDC"/>
    <w:rsid w:val="008A199C"/>
    <w:rsid w:val="008A2031"/>
    <w:rsid w:val="008A233C"/>
    <w:rsid w:val="008A3B9A"/>
    <w:rsid w:val="008A42E9"/>
    <w:rsid w:val="008A5B5D"/>
    <w:rsid w:val="008A5D64"/>
    <w:rsid w:val="008A5F61"/>
    <w:rsid w:val="008A6435"/>
    <w:rsid w:val="008A6FE2"/>
    <w:rsid w:val="008B0479"/>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17E"/>
    <w:rsid w:val="008C0246"/>
    <w:rsid w:val="008C06EB"/>
    <w:rsid w:val="008C0753"/>
    <w:rsid w:val="008C16D2"/>
    <w:rsid w:val="008C1B3A"/>
    <w:rsid w:val="008C1CFF"/>
    <w:rsid w:val="008C26AF"/>
    <w:rsid w:val="008C4ACE"/>
    <w:rsid w:val="008C4B00"/>
    <w:rsid w:val="008C5307"/>
    <w:rsid w:val="008C5738"/>
    <w:rsid w:val="008C66C0"/>
    <w:rsid w:val="008C70EF"/>
    <w:rsid w:val="008C7ADC"/>
    <w:rsid w:val="008C7B79"/>
    <w:rsid w:val="008C7C48"/>
    <w:rsid w:val="008C7C74"/>
    <w:rsid w:val="008D04E5"/>
    <w:rsid w:val="008D106D"/>
    <w:rsid w:val="008D13E5"/>
    <w:rsid w:val="008D1CD9"/>
    <w:rsid w:val="008D2234"/>
    <w:rsid w:val="008D22FB"/>
    <w:rsid w:val="008D24F8"/>
    <w:rsid w:val="008D3019"/>
    <w:rsid w:val="008D32BD"/>
    <w:rsid w:val="008D5271"/>
    <w:rsid w:val="008D5940"/>
    <w:rsid w:val="008D5FED"/>
    <w:rsid w:val="008D5FF3"/>
    <w:rsid w:val="008D6302"/>
    <w:rsid w:val="008D6763"/>
    <w:rsid w:val="008D69E1"/>
    <w:rsid w:val="008D6C1E"/>
    <w:rsid w:val="008D7513"/>
    <w:rsid w:val="008E0050"/>
    <w:rsid w:val="008E15E8"/>
    <w:rsid w:val="008E24EC"/>
    <w:rsid w:val="008E304A"/>
    <w:rsid w:val="008E36B1"/>
    <w:rsid w:val="008E5461"/>
    <w:rsid w:val="008E54A4"/>
    <w:rsid w:val="008E56E9"/>
    <w:rsid w:val="008E59FD"/>
    <w:rsid w:val="008E5B6B"/>
    <w:rsid w:val="008E6115"/>
    <w:rsid w:val="008E6740"/>
    <w:rsid w:val="008E70C8"/>
    <w:rsid w:val="008E7326"/>
    <w:rsid w:val="008E78A1"/>
    <w:rsid w:val="008E7B4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446"/>
    <w:rsid w:val="009026E0"/>
    <w:rsid w:val="00902771"/>
    <w:rsid w:val="00903188"/>
    <w:rsid w:val="0090375F"/>
    <w:rsid w:val="00903AA2"/>
    <w:rsid w:val="00903B0C"/>
    <w:rsid w:val="00904257"/>
    <w:rsid w:val="00904277"/>
    <w:rsid w:val="00905046"/>
    <w:rsid w:val="009053F1"/>
    <w:rsid w:val="00905530"/>
    <w:rsid w:val="009058B9"/>
    <w:rsid w:val="00905FCD"/>
    <w:rsid w:val="009062EA"/>
    <w:rsid w:val="00907031"/>
    <w:rsid w:val="00907526"/>
    <w:rsid w:val="0091086B"/>
    <w:rsid w:val="00911306"/>
    <w:rsid w:val="0091162A"/>
    <w:rsid w:val="00911B6F"/>
    <w:rsid w:val="009131DD"/>
    <w:rsid w:val="00914645"/>
    <w:rsid w:val="009147AD"/>
    <w:rsid w:val="009149B9"/>
    <w:rsid w:val="00916779"/>
    <w:rsid w:val="0091743A"/>
    <w:rsid w:val="009179F5"/>
    <w:rsid w:val="00920C7A"/>
    <w:rsid w:val="00921C7E"/>
    <w:rsid w:val="00922553"/>
    <w:rsid w:val="009244C6"/>
    <w:rsid w:val="009245C1"/>
    <w:rsid w:val="00924E2E"/>
    <w:rsid w:val="009250CF"/>
    <w:rsid w:val="00925404"/>
    <w:rsid w:val="0092743E"/>
    <w:rsid w:val="00927E06"/>
    <w:rsid w:val="00930149"/>
    <w:rsid w:val="00931910"/>
    <w:rsid w:val="00931E08"/>
    <w:rsid w:val="009323EF"/>
    <w:rsid w:val="00932838"/>
    <w:rsid w:val="0093342C"/>
    <w:rsid w:val="009334CA"/>
    <w:rsid w:val="00933958"/>
    <w:rsid w:val="0093441E"/>
    <w:rsid w:val="0093608D"/>
    <w:rsid w:val="009368A2"/>
    <w:rsid w:val="0093726A"/>
    <w:rsid w:val="00937534"/>
    <w:rsid w:val="00937DF6"/>
    <w:rsid w:val="009400F8"/>
    <w:rsid w:val="00940700"/>
    <w:rsid w:val="00941182"/>
    <w:rsid w:val="009412D8"/>
    <w:rsid w:val="009418FA"/>
    <w:rsid w:val="0094228C"/>
    <w:rsid w:val="0094269F"/>
    <w:rsid w:val="009429F2"/>
    <w:rsid w:val="00943F2A"/>
    <w:rsid w:val="00943F63"/>
    <w:rsid w:val="00944100"/>
    <w:rsid w:val="009447C4"/>
    <w:rsid w:val="00944889"/>
    <w:rsid w:val="009461DB"/>
    <w:rsid w:val="0094626B"/>
    <w:rsid w:val="009468F8"/>
    <w:rsid w:val="00946A7B"/>
    <w:rsid w:val="00950554"/>
    <w:rsid w:val="009507EA"/>
    <w:rsid w:val="009509B0"/>
    <w:rsid w:val="00950A6F"/>
    <w:rsid w:val="00951143"/>
    <w:rsid w:val="009515DF"/>
    <w:rsid w:val="00951F54"/>
    <w:rsid w:val="009538C7"/>
    <w:rsid w:val="00953F31"/>
    <w:rsid w:val="00954981"/>
    <w:rsid w:val="00954A09"/>
    <w:rsid w:val="00954BEC"/>
    <w:rsid w:val="009552D4"/>
    <w:rsid w:val="00955D22"/>
    <w:rsid w:val="009562ED"/>
    <w:rsid w:val="00956B8B"/>
    <w:rsid w:val="0096012C"/>
    <w:rsid w:val="00960F48"/>
    <w:rsid w:val="00960FE0"/>
    <w:rsid w:val="00961F5A"/>
    <w:rsid w:val="00962ADE"/>
    <w:rsid w:val="00962E65"/>
    <w:rsid w:val="009631D4"/>
    <w:rsid w:val="009640A7"/>
    <w:rsid w:val="009645C6"/>
    <w:rsid w:val="00964689"/>
    <w:rsid w:val="009654D5"/>
    <w:rsid w:val="009662DF"/>
    <w:rsid w:val="009662F7"/>
    <w:rsid w:val="00966D8B"/>
    <w:rsid w:val="00967C7A"/>
    <w:rsid w:val="0097003C"/>
    <w:rsid w:val="00970583"/>
    <w:rsid w:val="00970F59"/>
    <w:rsid w:val="00971319"/>
    <w:rsid w:val="0097136B"/>
    <w:rsid w:val="009721CC"/>
    <w:rsid w:val="00972409"/>
    <w:rsid w:val="00972A6E"/>
    <w:rsid w:val="009732EB"/>
    <w:rsid w:val="00973FD8"/>
    <w:rsid w:val="009744AB"/>
    <w:rsid w:val="00975495"/>
    <w:rsid w:val="009757AB"/>
    <w:rsid w:val="00975858"/>
    <w:rsid w:val="009762DF"/>
    <w:rsid w:val="00976701"/>
    <w:rsid w:val="00977831"/>
    <w:rsid w:val="00977B6F"/>
    <w:rsid w:val="0098016A"/>
    <w:rsid w:val="009801C4"/>
    <w:rsid w:val="0098069C"/>
    <w:rsid w:val="0098069D"/>
    <w:rsid w:val="00980B8C"/>
    <w:rsid w:val="00981A8C"/>
    <w:rsid w:val="00981BD6"/>
    <w:rsid w:val="009820C8"/>
    <w:rsid w:val="00982479"/>
    <w:rsid w:val="0098269E"/>
    <w:rsid w:val="009826A2"/>
    <w:rsid w:val="00982AA1"/>
    <w:rsid w:val="0098341B"/>
    <w:rsid w:val="009834A6"/>
    <w:rsid w:val="009852C5"/>
    <w:rsid w:val="00985E9B"/>
    <w:rsid w:val="009867C2"/>
    <w:rsid w:val="0098795A"/>
    <w:rsid w:val="00990398"/>
    <w:rsid w:val="009910E1"/>
    <w:rsid w:val="009914EE"/>
    <w:rsid w:val="00994624"/>
    <w:rsid w:val="00994782"/>
    <w:rsid w:val="00994C56"/>
    <w:rsid w:val="00996241"/>
    <w:rsid w:val="00996982"/>
    <w:rsid w:val="009A0084"/>
    <w:rsid w:val="009A15C0"/>
    <w:rsid w:val="009A1B74"/>
    <w:rsid w:val="009A23BD"/>
    <w:rsid w:val="009A2858"/>
    <w:rsid w:val="009A2B84"/>
    <w:rsid w:val="009A2EC8"/>
    <w:rsid w:val="009A31B5"/>
    <w:rsid w:val="009A3590"/>
    <w:rsid w:val="009A378C"/>
    <w:rsid w:val="009A3C0C"/>
    <w:rsid w:val="009A3DD5"/>
    <w:rsid w:val="009A42B1"/>
    <w:rsid w:val="009A49FE"/>
    <w:rsid w:val="009A4FEC"/>
    <w:rsid w:val="009A5B9D"/>
    <w:rsid w:val="009A62A1"/>
    <w:rsid w:val="009A6348"/>
    <w:rsid w:val="009A64D5"/>
    <w:rsid w:val="009A6A5C"/>
    <w:rsid w:val="009A6B59"/>
    <w:rsid w:val="009A6F02"/>
    <w:rsid w:val="009A75A3"/>
    <w:rsid w:val="009B11E7"/>
    <w:rsid w:val="009B179F"/>
    <w:rsid w:val="009B195B"/>
    <w:rsid w:val="009B26F6"/>
    <w:rsid w:val="009B3067"/>
    <w:rsid w:val="009B3381"/>
    <w:rsid w:val="009B3399"/>
    <w:rsid w:val="009B3999"/>
    <w:rsid w:val="009B5F03"/>
    <w:rsid w:val="009B6340"/>
    <w:rsid w:val="009B64F7"/>
    <w:rsid w:val="009B67EA"/>
    <w:rsid w:val="009B6C8D"/>
    <w:rsid w:val="009B6C9C"/>
    <w:rsid w:val="009B7414"/>
    <w:rsid w:val="009B775C"/>
    <w:rsid w:val="009B7B16"/>
    <w:rsid w:val="009B7EA2"/>
    <w:rsid w:val="009C0045"/>
    <w:rsid w:val="009C12A3"/>
    <w:rsid w:val="009C1763"/>
    <w:rsid w:val="009C25AB"/>
    <w:rsid w:val="009C2C05"/>
    <w:rsid w:val="009C3412"/>
    <w:rsid w:val="009C355B"/>
    <w:rsid w:val="009C4894"/>
    <w:rsid w:val="009C49DA"/>
    <w:rsid w:val="009C4F0E"/>
    <w:rsid w:val="009C5216"/>
    <w:rsid w:val="009C56C8"/>
    <w:rsid w:val="009C5F5F"/>
    <w:rsid w:val="009C6441"/>
    <w:rsid w:val="009C66AD"/>
    <w:rsid w:val="009C6780"/>
    <w:rsid w:val="009C72C9"/>
    <w:rsid w:val="009C7A32"/>
    <w:rsid w:val="009D1412"/>
    <w:rsid w:val="009D14C1"/>
    <w:rsid w:val="009D1707"/>
    <w:rsid w:val="009D1D87"/>
    <w:rsid w:val="009D1E34"/>
    <w:rsid w:val="009D2B29"/>
    <w:rsid w:val="009D2ED8"/>
    <w:rsid w:val="009D3185"/>
    <w:rsid w:val="009D358B"/>
    <w:rsid w:val="009D3620"/>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2C0F"/>
    <w:rsid w:val="009E365D"/>
    <w:rsid w:val="009E3881"/>
    <w:rsid w:val="009E410E"/>
    <w:rsid w:val="009E433D"/>
    <w:rsid w:val="009E454F"/>
    <w:rsid w:val="009E51C3"/>
    <w:rsid w:val="009E6D0F"/>
    <w:rsid w:val="009E7C18"/>
    <w:rsid w:val="009F12A8"/>
    <w:rsid w:val="009F14AD"/>
    <w:rsid w:val="009F14EF"/>
    <w:rsid w:val="009F1B50"/>
    <w:rsid w:val="009F1F03"/>
    <w:rsid w:val="009F3121"/>
    <w:rsid w:val="009F397E"/>
    <w:rsid w:val="009F39A1"/>
    <w:rsid w:val="009F3A0B"/>
    <w:rsid w:val="009F3C64"/>
    <w:rsid w:val="009F3D6C"/>
    <w:rsid w:val="009F5B19"/>
    <w:rsid w:val="009F71D8"/>
    <w:rsid w:val="009F79E8"/>
    <w:rsid w:val="009F7C6C"/>
    <w:rsid w:val="00A0005E"/>
    <w:rsid w:val="00A0089B"/>
    <w:rsid w:val="00A00BC6"/>
    <w:rsid w:val="00A0106A"/>
    <w:rsid w:val="00A01A50"/>
    <w:rsid w:val="00A01CDD"/>
    <w:rsid w:val="00A02448"/>
    <w:rsid w:val="00A026EA"/>
    <w:rsid w:val="00A03B41"/>
    <w:rsid w:val="00A04066"/>
    <w:rsid w:val="00A04A14"/>
    <w:rsid w:val="00A04F38"/>
    <w:rsid w:val="00A0535B"/>
    <w:rsid w:val="00A059DB"/>
    <w:rsid w:val="00A06F8F"/>
    <w:rsid w:val="00A103C9"/>
    <w:rsid w:val="00A10999"/>
    <w:rsid w:val="00A12C61"/>
    <w:rsid w:val="00A15373"/>
    <w:rsid w:val="00A156D4"/>
    <w:rsid w:val="00A16AFB"/>
    <w:rsid w:val="00A17BE4"/>
    <w:rsid w:val="00A2022C"/>
    <w:rsid w:val="00A20355"/>
    <w:rsid w:val="00A207D9"/>
    <w:rsid w:val="00A2083F"/>
    <w:rsid w:val="00A2172C"/>
    <w:rsid w:val="00A2199D"/>
    <w:rsid w:val="00A21AD0"/>
    <w:rsid w:val="00A222B2"/>
    <w:rsid w:val="00A246CC"/>
    <w:rsid w:val="00A258C9"/>
    <w:rsid w:val="00A261F4"/>
    <w:rsid w:val="00A262CA"/>
    <w:rsid w:val="00A26604"/>
    <w:rsid w:val="00A26ADF"/>
    <w:rsid w:val="00A27206"/>
    <w:rsid w:val="00A301D8"/>
    <w:rsid w:val="00A30ACD"/>
    <w:rsid w:val="00A3107F"/>
    <w:rsid w:val="00A315F2"/>
    <w:rsid w:val="00A31D30"/>
    <w:rsid w:val="00A3216D"/>
    <w:rsid w:val="00A32731"/>
    <w:rsid w:val="00A3289F"/>
    <w:rsid w:val="00A329E1"/>
    <w:rsid w:val="00A32CD7"/>
    <w:rsid w:val="00A33FA1"/>
    <w:rsid w:val="00A3441D"/>
    <w:rsid w:val="00A355FB"/>
    <w:rsid w:val="00A35ADC"/>
    <w:rsid w:val="00A35D9C"/>
    <w:rsid w:val="00A37B40"/>
    <w:rsid w:val="00A42BDA"/>
    <w:rsid w:val="00A4466D"/>
    <w:rsid w:val="00A4588D"/>
    <w:rsid w:val="00A45B8A"/>
    <w:rsid w:val="00A4604E"/>
    <w:rsid w:val="00A46603"/>
    <w:rsid w:val="00A47B24"/>
    <w:rsid w:val="00A50498"/>
    <w:rsid w:val="00A5100F"/>
    <w:rsid w:val="00A5139A"/>
    <w:rsid w:val="00A5162D"/>
    <w:rsid w:val="00A51C92"/>
    <w:rsid w:val="00A52163"/>
    <w:rsid w:val="00A524CA"/>
    <w:rsid w:val="00A526E7"/>
    <w:rsid w:val="00A53641"/>
    <w:rsid w:val="00A54752"/>
    <w:rsid w:val="00A54BDB"/>
    <w:rsid w:val="00A55F42"/>
    <w:rsid w:val="00A5693C"/>
    <w:rsid w:val="00A5695E"/>
    <w:rsid w:val="00A56A48"/>
    <w:rsid w:val="00A56D8B"/>
    <w:rsid w:val="00A57377"/>
    <w:rsid w:val="00A5740A"/>
    <w:rsid w:val="00A60578"/>
    <w:rsid w:val="00A60C2B"/>
    <w:rsid w:val="00A617C5"/>
    <w:rsid w:val="00A61E65"/>
    <w:rsid w:val="00A633A2"/>
    <w:rsid w:val="00A64E53"/>
    <w:rsid w:val="00A657CC"/>
    <w:rsid w:val="00A65ABA"/>
    <w:rsid w:val="00A65B37"/>
    <w:rsid w:val="00A66064"/>
    <w:rsid w:val="00A66246"/>
    <w:rsid w:val="00A66CD9"/>
    <w:rsid w:val="00A67D95"/>
    <w:rsid w:val="00A70939"/>
    <w:rsid w:val="00A7213A"/>
    <w:rsid w:val="00A731AE"/>
    <w:rsid w:val="00A73869"/>
    <w:rsid w:val="00A73ABC"/>
    <w:rsid w:val="00A7464E"/>
    <w:rsid w:val="00A74D18"/>
    <w:rsid w:val="00A75311"/>
    <w:rsid w:val="00A75A3C"/>
    <w:rsid w:val="00A75A90"/>
    <w:rsid w:val="00A774CD"/>
    <w:rsid w:val="00A7792D"/>
    <w:rsid w:val="00A80580"/>
    <w:rsid w:val="00A805D2"/>
    <w:rsid w:val="00A80735"/>
    <w:rsid w:val="00A81937"/>
    <w:rsid w:val="00A81999"/>
    <w:rsid w:val="00A81D6C"/>
    <w:rsid w:val="00A82B3F"/>
    <w:rsid w:val="00A83434"/>
    <w:rsid w:val="00A835A7"/>
    <w:rsid w:val="00A83A10"/>
    <w:rsid w:val="00A84874"/>
    <w:rsid w:val="00A852A1"/>
    <w:rsid w:val="00A85683"/>
    <w:rsid w:val="00A85838"/>
    <w:rsid w:val="00A86CAA"/>
    <w:rsid w:val="00A870B7"/>
    <w:rsid w:val="00A87C7C"/>
    <w:rsid w:val="00A90011"/>
    <w:rsid w:val="00A90600"/>
    <w:rsid w:val="00A90786"/>
    <w:rsid w:val="00A92853"/>
    <w:rsid w:val="00A93759"/>
    <w:rsid w:val="00A93B03"/>
    <w:rsid w:val="00A949A3"/>
    <w:rsid w:val="00A9697A"/>
    <w:rsid w:val="00A97627"/>
    <w:rsid w:val="00AA028D"/>
    <w:rsid w:val="00AA1014"/>
    <w:rsid w:val="00AA115F"/>
    <w:rsid w:val="00AA158F"/>
    <w:rsid w:val="00AA167B"/>
    <w:rsid w:val="00AA1C6A"/>
    <w:rsid w:val="00AA1EC5"/>
    <w:rsid w:val="00AA1F42"/>
    <w:rsid w:val="00AA25E9"/>
    <w:rsid w:val="00AA26E5"/>
    <w:rsid w:val="00AA2D97"/>
    <w:rsid w:val="00AA36A0"/>
    <w:rsid w:val="00AA44BB"/>
    <w:rsid w:val="00AA4867"/>
    <w:rsid w:val="00AA4B0D"/>
    <w:rsid w:val="00AA4E57"/>
    <w:rsid w:val="00AA60B9"/>
    <w:rsid w:val="00AA6194"/>
    <w:rsid w:val="00AA6C52"/>
    <w:rsid w:val="00AA6F2A"/>
    <w:rsid w:val="00AA70DC"/>
    <w:rsid w:val="00AA7189"/>
    <w:rsid w:val="00AA74B4"/>
    <w:rsid w:val="00AA7589"/>
    <w:rsid w:val="00AA7770"/>
    <w:rsid w:val="00AB0BB8"/>
    <w:rsid w:val="00AB1DC7"/>
    <w:rsid w:val="00AB2A99"/>
    <w:rsid w:val="00AB65DA"/>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0B2"/>
    <w:rsid w:val="00AC510F"/>
    <w:rsid w:val="00AC5167"/>
    <w:rsid w:val="00AC5935"/>
    <w:rsid w:val="00AC598A"/>
    <w:rsid w:val="00AC5A91"/>
    <w:rsid w:val="00AC5E28"/>
    <w:rsid w:val="00AC72DA"/>
    <w:rsid w:val="00AD11B2"/>
    <w:rsid w:val="00AD128F"/>
    <w:rsid w:val="00AD13DF"/>
    <w:rsid w:val="00AD1E15"/>
    <w:rsid w:val="00AD1FD8"/>
    <w:rsid w:val="00AD204C"/>
    <w:rsid w:val="00AD23B7"/>
    <w:rsid w:val="00AD3025"/>
    <w:rsid w:val="00AD646A"/>
    <w:rsid w:val="00AD6B5E"/>
    <w:rsid w:val="00AD6C7F"/>
    <w:rsid w:val="00AD701C"/>
    <w:rsid w:val="00AD77BF"/>
    <w:rsid w:val="00AD78C1"/>
    <w:rsid w:val="00AD7ABC"/>
    <w:rsid w:val="00AE2226"/>
    <w:rsid w:val="00AE256A"/>
    <w:rsid w:val="00AE29F5"/>
    <w:rsid w:val="00AE33DF"/>
    <w:rsid w:val="00AE38B9"/>
    <w:rsid w:val="00AE41D5"/>
    <w:rsid w:val="00AE502C"/>
    <w:rsid w:val="00AE53F4"/>
    <w:rsid w:val="00AE5C7A"/>
    <w:rsid w:val="00AE69F1"/>
    <w:rsid w:val="00AE749E"/>
    <w:rsid w:val="00AE756E"/>
    <w:rsid w:val="00AE7C4B"/>
    <w:rsid w:val="00AF048C"/>
    <w:rsid w:val="00AF0909"/>
    <w:rsid w:val="00AF0910"/>
    <w:rsid w:val="00AF0F0D"/>
    <w:rsid w:val="00AF1132"/>
    <w:rsid w:val="00AF1F58"/>
    <w:rsid w:val="00AF20E8"/>
    <w:rsid w:val="00AF2539"/>
    <w:rsid w:val="00AF32B8"/>
    <w:rsid w:val="00AF3C01"/>
    <w:rsid w:val="00AF4075"/>
    <w:rsid w:val="00AF4323"/>
    <w:rsid w:val="00AF47BF"/>
    <w:rsid w:val="00AF5BC0"/>
    <w:rsid w:val="00AF5DC3"/>
    <w:rsid w:val="00AF6DDF"/>
    <w:rsid w:val="00B0025E"/>
    <w:rsid w:val="00B01458"/>
    <w:rsid w:val="00B01887"/>
    <w:rsid w:val="00B0288D"/>
    <w:rsid w:val="00B047A5"/>
    <w:rsid w:val="00B06E92"/>
    <w:rsid w:val="00B07001"/>
    <w:rsid w:val="00B0705E"/>
    <w:rsid w:val="00B0728E"/>
    <w:rsid w:val="00B07AD5"/>
    <w:rsid w:val="00B1008C"/>
    <w:rsid w:val="00B105A4"/>
    <w:rsid w:val="00B107A6"/>
    <w:rsid w:val="00B10E5F"/>
    <w:rsid w:val="00B11338"/>
    <w:rsid w:val="00B1242A"/>
    <w:rsid w:val="00B125F6"/>
    <w:rsid w:val="00B13350"/>
    <w:rsid w:val="00B13372"/>
    <w:rsid w:val="00B135BA"/>
    <w:rsid w:val="00B13E04"/>
    <w:rsid w:val="00B141D9"/>
    <w:rsid w:val="00B1535F"/>
    <w:rsid w:val="00B153EA"/>
    <w:rsid w:val="00B154B4"/>
    <w:rsid w:val="00B156EB"/>
    <w:rsid w:val="00B16010"/>
    <w:rsid w:val="00B16070"/>
    <w:rsid w:val="00B161A4"/>
    <w:rsid w:val="00B171DC"/>
    <w:rsid w:val="00B21417"/>
    <w:rsid w:val="00B224E4"/>
    <w:rsid w:val="00B22A5D"/>
    <w:rsid w:val="00B235C8"/>
    <w:rsid w:val="00B24099"/>
    <w:rsid w:val="00B24380"/>
    <w:rsid w:val="00B25111"/>
    <w:rsid w:val="00B2547F"/>
    <w:rsid w:val="00B263E4"/>
    <w:rsid w:val="00B31348"/>
    <w:rsid w:val="00B3155A"/>
    <w:rsid w:val="00B33C5F"/>
    <w:rsid w:val="00B3465D"/>
    <w:rsid w:val="00B34B68"/>
    <w:rsid w:val="00B3529A"/>
    <w:rsid w:val="00B358D0"/>
    <w:rsid w:val="00B362DD"/>
    <w:rsid w:val="00B36472"/>
    <w:rsid w:val="00B36C5E"/>
    <w:rsid w:val="00B40239"/>
    <w:rsid w:val="00B41DED"/>
    <w:rsid w:val="00B4211B"/>
    <w:rsid w:val="00B42176"/>
    <w:rsid w:val="00B43928"/>
    <w:rsid w:val="00B43EDB"/>
    <w:rsid w:val="00B43F00"/>
    <w:rsid w:val="00B44A91"/>
    <w:rsid w:val="00B44AE5"/>
    <w:rsid w:val="00B44D6C"/>
    <w:rsid w:val="00B451C1"/>
    <w:rsid w:val="00B45715"/>
    <w:rsid w:val="00B465C8"/>
    <w:rsid w:val="00B46FDA"/>
    <w:rsid w:val="00B4792A"/>
    <w:rsid w:val="00B47D56"/>
    <w:rsid w:val="00B505F7"/>
    <w:rsid w:val="00B51101"/>
    <w:rsid w:val="00B51852"/>
    <w:rsid w:val="00B51E24"/>
    <w:rsid w:val="00B52392"/>
    <w:rsid w:val="00B52655"/>
    <w:rsid w:val="00B5309C"/>
    <w:rsid w:val="00B533DE"/>
    <w:rsid w:val="00B53C1C"/>
    <w:rsid w:val="00B54BB7"/>
    <w:rsid w:val="00B55072"/>
    <w:rsid w:val="00B554A0"/>
    <w:rsid w:val="00B554CE"/>
    <w:rsid w:val="00B55E99"/>
    <w:rsid w:val="00B562C5"/>
    <w:rsid w:val="00B563D3"/>
    <w:rsid w:val="00B565EC"/>
    <w:rsid w:val="00B56B26"/>
    <w:rsid w:val="00B56D67"/>
    <w:rsid w:val="00B601B1"/>
    <w:rsid w:val="00B601F1"/>
    <w:rsid w:val="00B602EB"/>
    <w:rsid w:val="00B6333E"/>
    <w:rsid w:val="00B633D9"/>
    <w:rsid w:val="00B6443C"/>
    <w:rsid w:val="00B64A18"/>
    <w:rsid w:val="00B650D4"/>
    <w:rsid w:val="00B65FEC"/>
    <w:rsid w:val="00B67086"/>
    <w:rsid w:val="00B67332"/>
    <w:rsid w:val="00B67737"/>
    <w:rsid w:val="00B67A42"/>
    <w:rsid w:val="00B70DFD"/>
    <w:rsid w:val="00B72046"/>
    <w:rsid w:val="00B720B9"/>
    <w:rsid w:val="00B7337A"/>
    <w:rsid w:val="00B7420B"/>
    <w:rsid w:val="00B745FE"/>
    <w:rsid w:val="00B74A05"/>
    <w:rsid w:val="00B76D20"/>
    <w:rsid w:val="00B76E1F"/>
    <w:rsid w:val="00B7783F"/>
    <w:rsid w:val="00B808B8"/>
    <w:rsid w:val="00B80ED9"/>
    <w:rsid w:val="00B8188E"/>
    <w:rsid w:val="00B81E25"/>
    <w:rsid w:val="00B81F5D"/>
    <w:rsid w:val="00B8225E"/>
    <w:rsid w:val="00B82482"/>
    <w:rsid w:val="00B833FD"/>
    <w:rsid w:val="00B856C8"/>
    <w:rsid w:val="00B8596A"/>
    <w:rsid w:val="00B859FB"/>
    <w:rsid w:val="00B85B7E"/>
    <w:rsid w:val="00B85CBA"/>
    <w:rsid w:val="00B86648"/>
    <w:rsid w:val="00B86863"/>
    <w:rsid w:val="00B87CFB"/>
    <w:rsid w:val="00B87EC5"/>
    <w:rsid w:val="00B87F2F"/>
    <w:rsid w:val="00B90516"/>
    <w:rsid w:val="00B90C09"/>
    <w:rsid w:val="00B91885"/>
    <w:rsid w:val="00B91F21"/>
    <w:rsid w:val="00B924DB"/>
    <w:rsid w:val="00B9380F"/>
    <w:rsid w:val="00B9384D"/>
    <w:rsid w:val="00B9432D"/>
    <w:rsid w:val="00B950AB"/>
    <w:rsid w:val="00B950B5"/>
    <w:rsid w:val="00B95181"/>
    <w:rsid w:val="00B952EA"/>
    <w:rsid w:val="00B9648B"/>
    <w:rsid w:val="00B969BB"/>
    <w:rsid w:val="00B96F22"/>
    <w:rsid w:val="00B97014"/>
    <w:rsid w:val="00B97E20"/>
    <w:rsid w:val="00BA11DA"/>
    <w:rsid w:val="00BA1301"/>
    <w:rsid w:val="00BA1728"/>
    <w:rsid w:val="00BA1F10"/>
    <w:rsid w:val="00BA2018"/>
    <w:rsid w:val="00BA2622"/>
    <w:rsid w:val="00BA316A"/>
    <w:rsid w:val="00BA3E01"/>
    <w:rsid w:val="00BA3E9C"/>
    <w:rsid w:val="00BA414A"/>
    <w:rsid w:val="00BA447D"/>
    <w:rsid w:val="00BA6614"/>
    <w:rsid w:val="00BA71ED"/>
    <w:rsid w:val="00BA760F"/>
    <w:rsid w:val="00BB0001"/>
    <w:rsid w:val="00BB03B0"/>
    <w:rsid w:val="00BB04A9"/>
    <w:rsid w:val="00BB059D"/>
    <w:rsid w:val="00BB07E4"/>
    <w:rsid w:val="00BB0B34"/>
    <w:rsid w:val="00BB18EF"/>
    <w:rsid w:val="00BB1A92"/>
    <w:rsid w:val="00BB4851"/>
    <w:rsid w:val="00BB5414"/>
    <w:rsid w:val="00BB55B9"/>
    <w:rsid w:val="00BB56AD"/>
    <w:rsid w:val="00BB5ABF"/>
    <w:rsid w:val="00BB6E90"/>
    <w:rsid w:val="00BB6F87"/>
    <w:rsid w:val="00BB7925"/>
    <w:rsid w:val="00BB798B"/>
    <w:rsid w:val="00BB7DE4"/>
    <w:rsid w:val="00BB7E0E"/>
    <w:rsid w:val="00BB7E69"/>
    <w:rsid w:val="00BC117D"/>
    <w:rsid w:val="00BC1272"/>
    <w:rsid w:val="00BC1644"/>
    <w:rsid w:val="00BC1F3C"/>
    <w:rsid w:val="00BC24B5"/>
    <w:rsid w:val="00BC2D12"/>
    <w:rsid w:val="00BC2F86"/>
    <w:rsid w:val="00BC2FB0"/>
    <w:rsid w:val="00BC3421"/>
    <w:rsid w:val="00BC37AC"/>
    <w:rsid w:val="00BC3874"/>
    <w:rsid w:val="00BC4728"/>
    <w:rsid w:val="00BC4AB9"/>
    <w:rsid w:val="00BC5D10"/>
    <w:rsid w:val="00BC6BF9"/>
    <w:rsid w:val="00BC6EAD"/>
    <w:rsid w:val="00BC7DFD"/>
    <w:rsid w:val="00BC7F63"/>
    <w:rsid w:val="00BD164A"/>
    <w:rsid w:val="00BD1754"/>
    <w:rsid w:val="00BD2877"/>
    <w:rsid w:val="00BD28B7"/>
    <w:rsid w:val="00BD3077"/>
    <w:rsid w:val="00BD3B2E"/>
    <w:rsid w:val="00BD3E60"/>
    <w:rsid w:val="00BD4667"/>
    <w:rsid w:val="00BD4D95"/>
    <w:rsid w:val="00BD515A"/>
    <w:rsid w:val="00BD5539"/>
    <w:rsid w:val="00BD5CAC"/>
    <w:rsid w:val="00BD696A"/>
    <w:rsid w:val="00BD6A6A"/>
    <w:rsid w:val="00BD71E1"/>
    <w:rsid w:val="00BD77A2"/>
    <w:rsid w:val="00BE029D"/>
    <w:rsid w:val="00BE05BB"/>
    <w:rsid w:val="00BE07D6"/>
    <w:rsid w:val="00BE229A"/>
    <w:rsid w:val="00BE3762"/>
    <w:rsid w:val="00BE4A47"/>
    <w:rsid w:val="00BE500B"/>
    <w:rsid w:val="00BE5401"/>
    <w:rsid w:val="00BE556E"/>
    <w:rsid w:val="00BE56B3"/>
    <w:rsid w:val="00BE5CF4"/>
    <w:rsid w:val="00BE6923"/>
    <w:rsid w:val="00BE69EC"/>
    <w:rsid w:val="00BE6FBA"/>
    <w:rsid w:val="00BE71AA"/>
    <w:rsid w:val="00BE786E"/>
    <w:rsid w:val="00BF0151"/>
    <w:rsid w:val="00BF0D04"/>
    <w:rsid w:val="00BF0F95"/>
    <w:rsid w:val="00BF1CAB"/>
    <w:rsid w:val="00BF207B"/>
    <w:rsid w:val="00BF257C"/>
    <w:rsid w:val="00BF26D9"/>
    <w:rsid w:val="00BF2A8A"/>
    <w:rsid w:val="00BF2BBE"/>
    <w:rsid w:val="00BF311B"/>
    <w:rsid w:val="00BF31B7"/>
    <w:rsid w:val="00BF3409"/>
    <w:rsid w:val="00BF39D1"/>
    <w:rsid w:val="00BF3AE4"/>
    <w:rsid w:val="00BF6234"/>
    <w:rsid w:val="00BF6718"/>
    <w:rsid w:val="00BF6A7A"/>
    <w:rsid w:val="00BF71C0"/>
    <w:rsid w:val="00BF734D"/>
    <w:rsid w:val="00BF759A"/>
    <w:rsid w:val="00BF7884"/>
    <w:rsid w:val="00C005E2"/>
    <w:rsid w:val="00C00FCE"/>
    <w:rsid w:val="00C01A49"/>
    <w:rsid w:val="00C01DA5"/>
    <w:rsid w:val="00C01EEA"/>
    <w:rsid w:val="00C031F5"/>
    <w:rsid w:val="00C03B97"/>
    <w:rsid w:val="00C040AA"/>
    <w:rsid w:val="00C04C1E"/>
    <w:rsid w:val="00C063F6"/>
    <w:rsid w:val="00C067B4"/>
    <w:rsid w:val="00C06BCD"/>
    <w:rsid w:val="00C06D82"/>
    <w:rsid w:val="00C0728B"/>
    <w:rsid w:val="00C073E7"/>
    <w:rsid w:val="00C07524"/>
    <w:rsid w:val="00C077C6"/>
    <w:rsid w:val="00C07809"/>
    <w:rsid w:val="00C105B3"/>
    <w:rsid w:val="00C10708"/>
    <w:rsid w:val="00C110B2"/>
    <w:rsid w:val="00C117BD"/>
    <w:rsid w:val="00C11A61"/>
    <w:rsid w:val="00C11AF3"/>
    <w:rsid w:val="00C122EF"/>
    <w:rsid w:val="00C12CB7"/>
    <w:rsid w:val="00C136E3"/>
    <w:rsid w:val="00C13AF0"/>
    <w:rsid w:val="00C13CE1"/>
    <w:rsid w:val="00C13ED1"/>
    <w:rsid w:val="00C14532"/>
    <w:rsid w:val="00C147BC"/>
    <w:rsid w:val="00C14944"/>
    <w:rsid w:val="00C15925"/>
    <w:rsid w:val="00C15BB1"/>
    <w:rsid w:val="00C160A1"/>
    <w:rsid w:val="00C16112"/>
    <w:rsid w:val="00C16386"/>
    <w:rsid w:val="00C16557"/>
    <w:rsid w:val="00C16A05"/>
    <w:rsid w:val="00C17050"/>
    <w:rsid w:val="00C17911"/>
    <w:rsid w:val="00C210B6"/>
    <w:rsid w:val="00C21880"/>
    <w:rsid w:val="00C21AE6"/>
    <w:rsid w:val="00C21D38"/>
    <w:rsid w:val="00C2202C"/>
    <w:rsid w:val="00C220CB"/>
    <w:rsid w:val="00C22DC6"/>
    <w:rsid w:val="00C233F3"/>
    <w:rsid w:val="00C2470F"/>
    <w:rsid w:val="00C24984"/>
    <w:rsid w:val="00C24D0F"/>
    <w:rsid w:val="00C24D83"/>
    <w:rsid w:val="00C24E3F"/>
    <w:rsid w:val="00C25BF3"/>
    <w:rsid w:val="00C26E8D"/>
    <w:rsid w:val="00C26EF6"/>
    <w:rsid w:val="00C27B65"/>
    <w:rsid w:val="00C27BE6"/>
    <w:rsid w:val="00C300E2"/>
    <w:rsid w:val="00C30310"/>
    <w:rsid w:val="00C31471"/>
    <w:rsid w:val="00C32590"/>
    <w:rsid w:val="00C32F9C"/>
    <w:rsid w:val="00C338B8"/>
    <w:rsid w:val="00C33C9C"/>
    <w:rsid w:val="00C33EFD"/>
    <w:rsid w:val="00C34315"/>
    <w:rsid w:val="00C3443A"/>
    <w:rsid w:val="00C344EF"/>
    <w:rsid w:val="00C34863"/>
    <w:rsid w:val="00C3487B"/>
    <w:rsid w:val="00C34BF0"/>
    <w:rsid w:val="00C34C0A"/>
    <w:rsid w:val="00C353B0"/>
    <w:rsid w:val="00C35405"/>
    <w:rsid w:val="00C3602B"/>
    <w:rsid w:val="00C363BC"/>
    <w:rsid w:val="00C402DA"/>
    <w:rsid w:val="00C403D2"/>
    <w:rsid w:val="00C404DE"/>
    <w:rsid w:val="00C404F7"/>
    <w:rsid w:val="00C4081A"/>
    <w:rsid w:val="00C40E50"/>
    <w:rsid w:val="00C42718"/>
    <w:rsid w:val="00C42FB9"/>
    <w:rsid w:val="00C441EE"/>
    <w:rsid w:val="00C44C1C"/>
    <w:rsid w:val="00C450F3"/>
    <w:rsid w:val="00C4571A"/>
    <w:rsid w:val="00C45D2F"/>
    <w:rsid w:val="00C46144"/>
    <w:rsid w:val="00C4659B"/>
    <w:rsid w:val="00C46CAF"/>
    <w:rsid w:val="00C46D9C"/>
    <w:rsid w:val="00C475B6"/>
    <w:rsid w:val="00C513DC"/>
    <w:rsid w:val="00C5149B"/>
    <w:rsid w:val="00C51E28"/>
    <w:rsid w:val="00C53DA5"/>
    <w:rsid w:val="00C55220"/>
    <w:rsid w:val="00C55251"/>
    <w:rsid w:val="00C55442"/>
    <w:rsid w:val="00C55FFF"/>
    <w:rsid w:val="00C56235"/>
    <w:rsid w:val="00C564B4"/>
    <w:rsid w:val="00C5693E"/>
    <w:rsid w:val="00C578B8"/>
    <w:rsid w:val="00C57B04"/>
    <w:rsid w:val="00C57BA6"/>
    <w:rsid w:val="00C602CF"/>
    <w:rsid w:val="00C6086E"/>
    <w:rsid w:val="00C613DF"/>
    <w:rsid w:val="00C623FA"/>
    <w:rsid w:val="00C62CE8"/>
    <w:rsid w:val="00C62F78"/>
    <w:rsid w:val="00C63DEA"/>
    <w:rsid w:val="00C643E5"/>
    <w:rsid w:val="00C64DA1"/>
    <w:rsid w:val="00C654E7"/>
    <w:rsid w:val="00C6621D"/>
    <w:rsid w:val="00C664F2"/>
    <w:rsid w:val="00C667D9"/>
    <w:rsid w:val="00C71AA2"/>
    <w:rsid w:val="00C720FA"/>
    <w:rsid w:val="00C72204"/>
    <w:rsid w:val="00C7221A"/>
    <w:rsid w:val="00C72CA6"/>
    <w:rsid w:val="00C732D8"/>
    <w:rsid w:val="00C740D1"/>
    <w:rsid w:val="00C743FF"/>
    <w:rsid w:val="00C74670"/>
    <w:rsid w:val="00C74805"/>
    <w:rsid w:val="00C74C16"/>
    <w:rsid w:val="00C7501C"/>
    <w:rsid w:val="00C77100"/>
    <w:rsid w:val="00C77117"/>
    <w:rsid w:val="00C7763E"/>
    <w:rsid w:val="00C77C6A"/>
    <w:rsid w:val="00C8048B"/>
    <w:rsid w:val="00C8287D"/>
    <w:rsid w:val="00C828A5"/>
    <w:rsid w:val="00C8388E"/>
    <w:rsid w:val="00C8420A"/>
    <w:rsid w:val="00C85236"/>
    <w:rsid w:val="00C854B1"/>
    <w:rsid w:val="00C85FE2"/>
    <w:rsid w:val="00C875D1"/>
    <w:rsid w:val="00C90A63"/>
    <w:rsid w:val="00C91B70"/>
    <w:rsid w:val="00C92732"/>
    <w:rsid w:val="00C92E59"/>
    <w:rsid w:val="00C937C7"/>
    <w:rsid w:val="00C94B75"/>
    <w:rsid w:val="00C953A8"/>
    <w:rsid w:val="00C95DFE"/>
    <w:rsid w:val="00C9608A"/>
    <w:rsid w:val="00C96C9A"/>
    <w:rsid w:val="00C96F9A"/>
    <w:rsid w:val="00C97578"/>
    <w:rsid w:val="00CA101E"/>
    <w:rsid w:val="00CA1519"/>
    <w:rsid w:val="00CA1B89"/>
    <w:rsid w:val="00CA25AD"/>
    <w:rsid w:val="00CA26A1"/>
    <w:rsid w:val="00CA306F"/>
    <w:rsid w:val="00CA3212"/>
    <w:rsid w:val="00CA3367"/>
    <w:rsid w:val="00CA3528"/>
    <w:rsid w:val="00CA4B5E"/>
    <w:rsid w:val="00CA50A4"/>
    <w:rsid w:val="00CA5141"/>
    <w:rsid w:val="00CA56FF"/>
    <w:rsid w:val="00CA57AE"/>
    <w:rsid w:val="00CA5B2C"/>
    <w:rsid w:val="00CA6F65"/>
    <w:rsid w:val="00CA768A"/>
    <w:rsid w:val="00CA7B55"/>
    <w:rsid w:val="00CB036F"/>
    <w:rsid w:val="00CB192F"/>
    <w:rsid w:val="00CB275E"/>
    <w:rsid w:val="00CB2854"/>
    <w:rsid w:val="00CB2AF8"/>
    <w:rsid w:val="00CB3217"/>
    <w:rsid w:val="00CB3A06"/>
    <w:rsid w:val="00CB3AE4"/>
    <w:rsid w:val="00CB4396"/>
    <w:rsid w:val="00CB469E"/>
    <w:rsid w:val="00CB4931"/>
    <w:rsid w:val="00CB5D7E"/>
    <w:rsid w:val="00CB5F00"/>
    <w:rsid w:val="00CB616D"/>
    <w:rsid w:val="00CB62F2"/>
    <w:rsid w:val="00CB676F"/>
    <w:rsid w:val="00CB68BB"/>
    <w:rsid w:val="00CB7653"/>
    <w:rsid w:val="00CB7AC4"/>
    <w:rsid w:val="00CC07FF"/>
    <w:rsid w:val="00CC0868"/>
    <w:rsid w:val="00CC08DB"/>
    <w:rsid w:val="00CC096C"/>
    <w:rsid w:val="00CC09FA"/>
    <w:rsid w:val="00CC0C5E"/>
    <w:rsid w:val="00CC1105"/>
    <w:rsid w:val="00CC1387"/>
    <w:rsid w:val="00CC144C"/>
    <w:rsid w:val="00CC148A"/>
    <w:rsid w:val="00CC2468"/>
    <w:rsid w:val="00CC2FA4"/>
    <w:rsid w:val="00CC325E"/>
    <w:rsid w:val="00CC48BC"/>
    <w:rsid w:val="00CC4DC0"/>
    <w:rsid w:val="00CC4FE4"/>
    <w:rsid w:val="00CC558E"/>
    <w:rsid w:val="00CC5CC6"/>
    <w:rsid w:val="00CC5D2C"/>
    <w:rsid w:val="00CC5EE7"/>
    <w:rsid w:val="00CC61D7"/>
    <w:rsid w:val="00CC664E"/>
    <w:rsid w:val="00CC7BDA"/>
    <w:rsid w:val="00CD0913"/>
    <w:rsid w:val="00CD09C0"/>
    <w:rsid w:val="00CD1462"/>
    <w:rsid w:val="00CD25AA"/>
    <w:rsid w:val="00CD30A9"/>
    <w:rsid w:val="00CD3A0C"/>
    <w:rsid w:val="00CD3E0D"/>
    <w:rsid w:val="00CD3F07"/>
    <w:rsid w:val="00CD4002"/>
    <w:rsid w:val="00CD415D"/>
    <w:rsid w:val="00CD4949"/>
    <w:rsid w:val="00CD4DAE"/>
    <w:rsid w:val="00CE222A"/>
    <w:rsid w:val="00CE3E3F"/>
    <w:rsid w:val="00CE3E81"/>
    <w:rsid w:val="00CE4B0A"/>
    <w:rsid w:val="00CE4D8F"/>
    <w:rsid w:val="00CE5D0C"/>
    <w:rsid w:val="00CE60F9"/>
    <w:rsid w:val="00CE6A12"/>
    <w:rsid w:val="00CE7061"/>
    <w:rsid w:val="00CE7762"/>
    <w:rsid w:val="00CE7D3E"/>
    <w:rsid w:val="00CF05A8"/>
    <w:rsid w:val="00CF27CE"/>
    <w:rsid w:val="00CF303D"/>
    <w:rsid w:val="00CF3DD0"/>
    <w:rsid w:val="00CF45B0"/>
    <w:rsid w:val="00CF46EA"/>
    <w:rsid w:val="00CF4E1A"/>
    <w:rsid w:val="00CF518C"/>
    <w:rsid w:val="00CF5A3E"/>
    <w:rsid w:val="00CF7942"/>
    <w:rsid w:val="00CF79DC"/>
    <w:rsid w:val="00D000EC"/>
    <w:rsid w:val="00D00991"/>
    <w:rsid w:val="00D00C9D"/>
    <w:rsid w:val="00D022B2"/>
    <w:rsid w:val="00D02478"/>
    <w:rsid w:val="00D0315C"/>
    <w:rsid w:val="00D03541"/>
    <w:rsid w:val="00D04E69"/>
    <w:rsid w:val="00D04FBC"/>
    <w:rsid w:val="00D060BB"/>
    <w:rsid w:val="00D062BB"/>
    <w:rsid w:val="00D0677D"/>
    <w:rsid w:val="00D07631"/>
    <w:rsid w:val="00D07A11"/>
    <w:rsid w:val="00D101F1"/>
    <w:rsid w:val="00D10778"/>
    <w:rsid w:val="00D122A8"/>
    <w:rsid w:val="00D131D3"/>
    <w:rsid w:val="00D13BE5"/>
    <w:rsid w:val="00D14F23"/>
    <w:rsid w:val="00D15429"/>
    <w:rsid w:val="00D15FC0"/>
    <w:rsid w:val="00D16E5B"/>
    <w:rsid w:val="00D17A0F"/>
    <w:rsid w:val="00D17BE4"/>
    <w:rsid w:val="00D17DE3"/>
    <w:rsid w:val="00D2210B"/>
    <w:rsid w:val="00D22485"/>
    <w:rsid w:val="00D2426F"/>
    <w:rsid w:val="00D2468B"/>
    <w:rsid w:val="00D24C91"/>
    <w:rsid w:val="00D24F0A"/>
    <w:rsid w:val="00D25073"/>
    <w:rsid w:val="00D25B48"/>
    <w:rsid w:val="00D26787"/>
    <w:rsid w:val="00D26DE1"/>
    <w:rsid w:val="00D272AA"/>
    <w:rsid w:val="00D27464"/>
    <w:rsid w:val="00D274D6"/>
    <w:rsid w:val="00D30239"/>
    <w:rsid w:val="00D3045E"/>
    <w:rsid w:val="00D30682"/>
    <w:rsid w:val="00D3082D"/>
    <w:rsid w:val="00D30D62"/>
    <w:rsid w:val="00D31923"/>
    <w:rsid w:val="00D324EB"/>
    <w:rsid w:val="00D32F28"/>
    <w:rsid w:val="00D332E1"/>
    <w:rsid w:val="00D3366D"/>
    <w:rsid w:val="00D336FD"/>
    <w:rsid w:val="00D33FA0"/>
    <w:rsid w:val="00D34550"/>
    <w:rsid w:val="00D34900"/>
    <w:rsid w:val="00D34928"/>
    <w:rsid w:val="00D352C6"/>
    <w:rsid w:val="00D35C97"/>
    <w:rsid w:val="00D403DE"/>
    <w:rsid w:val="00D40789"/>
    <w:rsid w:val="00D417B6"/>
    <w:rsid w:val="00D42005"/>
    <w:rsid w:val="00D42423"/>
    <w:rsid w:val="00D42701"/>
    <w:rsid w:val="00D4312B"/>
    <w:rsid w:val="00D43213"/>
    <w:rsid w:val="00D43D65"/>
    <w:rsid w:val="00D44D06"/>
    <w:rsid w:val="00D457E4"/>
    <w:rsid w:val="00D45B89"/>
    <w:rsid w:val="00D464F2"/>
    <w:rsid w:val="00D46A50"/>
    <w:rsid w:val="00D474E8"/>
    <w:rsid w:val="00D47A2D"/>
    <w:rsid w:val="00D47F69"/>
    <w:rsid w:val="00D50424"/>
    <w:rsid w:val="00D50A77"/>
    <w:rsid w:val="00D50F2C"/>
    <w:rsid w:val="00D528EA"/>
    <w:rsid w:val="00D54258"/>
    <w:rsid w:val="00D54D85"/>
    <w:rsid w:val="00D550A0"/>
    <w:rsid w:val="00D55179"/>
    <w:rsid w:val="00D551BC"/>
    <w:rsid w:val="00D55446"/>
    <w:rsid w:val="00D55D71"/>
    <w:rsid w:val="00D57DB8"/>
    <w:rsid w:val="00D57DFC"/>
    <w:rsid w:val="00D615C1"/>
    <w:rsid w:val="00D620E7"/>
    <w:rsid w:val="00D62820"/>
    <w:rsid w:val="00D62994"/>
    <w:rsid w:val="00D62A3A"/>
    <w:rsid w:val="00D63502"/>
    <w:rsid w:val="00D63996"/>
    <w:rsid w:val="00D63EA9"/>
    <w:rsid w:val="00D64CB4"/>
    <w:rsid w:val="00D64F92"/>
    <w:rsid w:val="00D64FA2"/>
    <w:rsid w:val="00D6574A"/>
    <w:rsid w:val="00D65D3B"/>
    <w:rsid w:val="00D66030"/>
    <w:rsid w:val="00D66E9E"/>
    <w:rsid w:val="00D70922"/>
    <w:rsid w:val="00D70F2A"/>
    <w:rsid w:val="00D713BE"/>
    <w:rsid w:val="00D71CE0"/>
    <w:rsid w:val="00D71FAA"/>
    <w:rsid w:val="00D7220E"/>
    <w:rsid w:val="00D72B25"/>
    <w:rsid w:val="00D72C0C"/>
    <w:rsid w:val="00D72C11"/>
    <w:rsid w:val="00D72C27"/>
    <w:rsid w:val="00D732E4"/>
    <w:rsid w:val="00D74649"/>
    <w:rsid w:val="00D74C22"/>
    <w:rsid w:val="00D7518C"/>
    <w:rsid w:val="00D75831"/>
    <w:rsid w:val="00D75E9C"/>
    <w:rsid w:val="00D7612B"/>
    <w:rsid w:val="00D77832"/>
    <w:rsid w:val="00D77A43"/>
    <w:rsid w:val="00D8072C"/>
    <w:rsid w:val="00D808D8"/>
    <w:rsid w:val="00D831A4"/>
    <w:rsid w:val="00D836D9"/>
    <w:rsid w:val="00D83A6E"/>
    <w:rsid w:val="00D83AD5"/>
    <w:rsid w:val="00D83F8C"/>
    <w:rsid w:val="00D84493"/>
    <w:rsid w:val="00D84972"/>
    <w:rsid w:val="00D84A13"/>
    <w:rsid w:val="00D84DBD"/>
    <w:rsid w:val="00D852E9"/>
    <w:rsid w:val="00D85BA4"/>
    <w:rsid w:val="00D85DC2"/>
    <w:rsid w:val="00D85FDB"/>
    <w:rsid w:val="00D8689E"/>
    <w:rsid w:val="00D8690B"/>
    <w:rsid w:val="00D872E6"/>
    <w:rsid w:val="00D87561"/>
    <w:rsid w:val="00D87601"/>
    <w:rsid w:val="00D87D71"/>
    <w:rsid w:val="00D90614"/>
    <w:rsid w:val="00D90F8C"/>
    <w:rsid w:val="00D913D1"/>
    <w:rsid w:val="00D93473"/>
    <w:rsid w:val="00D9367A"/>
    <w:rsid w:val="00D93AE7"/>
    <w:rsid w:val="00D943BA"/>
    <w:rsid w:val="00D94A5C"/>
    <w:rsid w:val="00D94A64"/>
    <w:rsid w:val="00D957A8"/>
    <w:rsid w:val="00D9588B"/>
    <w:rsid w:val="00D95951"/>
    <w:rsid w:val="00D9789B"/>
    <w:rsid w:val="00D97A00"/>
    <w:rsid w:val="00D97A29"/>
    <w:rsid w:val="00D97B72"/>
    <w:rsid w:val="00DA06C7"/>
    <w:rsid w:val="00DA0719"/>
    <w:rsid w:val="00DA07EE"/>
    <w:rsid w:val="00DA12D1"/>
    <w:rsid w:val="00DA141C"/>
    <w:rsid w:val="00DA1C8B"/>
    <w:rsid w:val="00DA2E41"/>
    <w:rsid w:val="00DA50CA"/>
    <w:rsid w:val="00DA585E"/>
    <w:rsid w:val="00DA7417"/>
    <w:rsid w:val="00DA7B43"/>
    <w:rsid w:val="00DB0522"/>
    <w:rsid w:val="00DB07C2"/>
    <w:rsid w:val="00DB0E5A"/>
    <w:rsid w:val="00DB10B5"/>
    <w:rsid w:val="00DB15E9"/>
    <w:rsid w:val="00DB163C"/>
    <w:rsid w:val="00DB24FE"/>
    <w:rsid w:val="00DB26E2"/>
    <w:rsid w:val="00DB27EA"/>
    <w:rsid w:val="00DB395E"/>
    <w:rsid w:val="00DB3C96"/>
    <w:rsid w:val="00DB4195"/>
    <w:rsid w:val="00DB41B3"/>
    <w:rsid w:val="00DB47D4"/>
    <w:rsid w:val="00DB5220"/>
    <w:rsid w:val="00DB55F1"/>
    <w:rsid w:val="00DB5A97"/>
    <w:rsid w:val="00DB5C37"/>
    <w:rsid w:val="00DB6C24"/>
    <w:rsid w:val="00DB6DE7"/>
    <w:rsid w:val="00DB785F"/>
    <w:rsid w:val="00DB7A11"/>
    <w:rsid w:val="00DB7AE0"/>
    <w:rsid w:val="00DB7B05"/>
    <w:rsid w:val="00DB7C4B"/>
    <w:rsid w:val="00DC01F9"/>
    <w:rsid w:val="00DC052A"/>
    <w:rsid w:val="00DC10EF"/>
    <w:rsid w:val="00DC2594"/>
    <w:rsid w:val="00DC3831"/>
    <w:rsid w:val="00DC4017"/>
    <w:rsid w:val="00DC5C68"/>
    <w:rsid w:val="00DC7126"/>
    <w:rsid w:val="00DC7645"/>
    <w:rsid w:val="00DD05AB"/>
    <w:rsid w:val="00DD0C82"/>
    <w:rsid w:val="00DD0E7F"/>
    <w:rsid w:val="00DD109D"/>
    <w:rsid w:val="00DD184B"/>
    <w:rsid w:val="00DD3723"/>
    <w:rsid w:val="00DD37E3"/>
    <w:rsid w:val="00DD3F1C"/>
    <w:rsid w:val="00DD43AC"/>
    <w:rsid w:val="00DD4D99"/>
    <w:rsid w:val="00DD569C"/>
    <w:rsid w:val="00DD57F2"/>
    <w:rsid w:val="00DD6B6D"/>
    <w:rsid w:val="00DD7A61"/>
    <w:rsid w:val="00DD7DDA"/>
    <w:rsid w:val="00DE0E16"/>
    <w:rsid w:val="00DE17FC"/>
    <w:rsid w:val="00DE24CF"/>
    <w:rsid w:val="00DE267A"/>
    <w:rsid w:val="00DE2B38"/>
    <w:rsid w:val="00DE2C54"/>
    <w:rsid w:val="00DE2FA3"/>
    <w:rsid w:val="00DE3716"/>
    <w:rsid w:val="00DE3835"/>
    <w:rsid w:val="00DE3C1D"/>
    <w:rsid w:val="00DE42E3"/>
    <w:rsid w:val="00DE47E5"/>
    <w:rsid w:val="00DE489C"/>
    <w:rsid w:val="00DE5018"/>
    <w:rsid w:val="00DE59B1"/>
    <w:rsid w:val="00DE5E5D"/>
    <w:rsid w:val="00DE65EA"/>
    <w:rsid w:val="00DE6A84"/>
    <w:rsid w:val="00DE6E8C"/>
    <w:rsid w:val="00DE70AA"/>
    <w:rsid w:val="00DE791E"/>
    <w:rsid w:val="00DF0578"/>
    <w:rsid w:val="00DF0BF4"/>
    <w:rsid w:val="00DF1085"/>
    <w:rsid w:val="00DF1B8F"/>
    <w:rsid w:val="00DF1F71"/>
    <w:rsid w:val="00DF260B"/>
    <w:rsid w:val="00DF34F9"/>
    <w:rsid w:val="00DF469D"/>
    <w:rsid w:val="00DF4E30"/>
    <w:rsid w:val="00DF55BD"/>
    <w:rsid w:val="00DF5960"/>
    <w:rsid w:val="00DF7DFD"/>
    <w:rsid w:val="00E00518"/>
    <w:rsid w:val="00E00728"/>
    <w:rsid w:val="00E025AB"/>
    <w:rsid w:val="00E03FA1"/>
    <w:rsid w:val="00E047C3"/>
    <w:rsid w:val="00E04F26"/>
    <w:rsid w:val="00E056A1"/>
    <w:rsid w:val="00E05843"/>
    <w:rsid w:val="00E05AB4"/>
    <w:rsid w:val="00E05D25"/>
    <w:rsid w:val="00E0620A"/>
    <w:rsid w:val="00E1056F"/>
    <w:rsid w:val="00E10F1F"/>
    <w:rsid w:val="00E11039"/>
    <w:rsid w:val="00E12670"/>
    <w:rsid w:val="00E12C79"/>
    <w:rsid w:val="00E13960"/>
    <w:rsid w:val="00E13AD9"/>
    <w:rsid w:val="00E1629A"/>
    <w:rsid w:val="00E168A7"/>
    <w:rsid w:val="00E17312"/>
    <w:rsid w:val="00E175D2"/>
    <w:rsid w:val="00E1782D"/>
    <w:rsid w:val="00E17A0A"/>
    <w:rsid w:val="00E17D51"/>
    <w:rsid w:val="00E20004"/>
    <w:rsid w:val="00E2099F"/>
    <w:rsid w:val="00E21091"/>
    <w:rsid w:val="00E2136C"/>
    <w:rsid w:val="00E23FAB"/>
    <w:rsid w:val="00E24379"/>
    <w:rsid w:val="00E24E14"/>
    <w:rsid w:val="00E25373"/>
    <w:rsid w:val="00E2546C"/>
    <w:rsid w:val="00E26B68"/>
    <w:rsid w:val="00E26EC0"/>
    <w:rsid w:val="00E26EDF"/>
    <w:rsid w:val="00E27E12"/>
    <w:rsid w:val="00E3005E"/>
    <w:rsid w:val="00E30858"/>
    <w:rsid w:val="00E313F6"/>
    <w:rsid w:val="00E31889"/>
    <w:rsid w:val="00E31B56"/>
    <w:rsid w:val="00E31D92"/>
    <w:rsid w:val="00E3275F"/>
    <w:rsid w:val="00E32785"/>
    <w:rsid w:val="00E32829"/>
    <w:rsid w:val="00E32E7C"/>
    <w:rsid w:val="00E33460"/>
    <w:rsid w:val="00E33CEE"/>
    <w:rsid w:val="00E34749"/>
    <w:rsid w:val="00E3574A"/>
    <w:rsid w:val="00E36042"/>
    <w:rsid w:val="00E369AA"/>
    <w:rsid w:val="00E370A6"/>
    <w:rsid w:val="00E373A7"/>
    <w:rsid w:val="00E377D8"/>
    <w:rsid w:val="00E40752"/>
    <w:rsid w:val="00E40B30"/>
    <w:rsid w:val="00E41680"/>
    <w:rsid w:val="00E4169B"/>
    <w:rsid w:val="00E41769"/>
    <w:rsid w:val="00E419F0"/>
    <w:rsid w:val="00E41D19"/>
    <w:rsid w:val="00E41D49"/>
    <w:rsid w:val="00E42351"/>
    <w:rsid w:val="00E425D4"/>
    <w:rsid w:val="00E42773"/>
    <w:rsid w:val="00E42AF8"/>
    <w:rsid w:val="00E42B12"/>
    <w:rsid w:val="00E42D8B"/>
    <w:rsid w:val="00E44579"/>
    <w:rsid w:val="00E4475D"/>
    <w:rsid w:val="00E44FCB"/>
    <w:rsid w:val="00E45953"/>
    <w:rsid w:val="00E46358"/>
    <w:rsid w:val="00E46AA5"/>
    <w:rsid w:val="00E46DA4"/>
    <w:rsid w:val="00E47AD7"/>
    <w:rsid w:val="00E502F5"/>
    <w:rsid w:val="00E52123"/>
    <w:rsid w:val="00E5284A"/>
    <w:rsid w:val="00E544AC"/>
    <w:rsid w:val="00E548E2"/>
    <w:rsid w:val="00E549B2"/>
    <w:rsid w:val="00E5566D"/>
    <w:rsid w:val="00E55A3F"/>
    <w:rsid w:val="00E55CC9"/>
    <w:rsid w:val="00E56069"/>
    <w:rsid w:val="00E56091"/>
    <w:rsid w:val="00E56363"/>
    <w:rsid w:val="00E567AD"/>
    <w:rsid w:val="00E607C9"/>
    <w:rsid w:val="00E61097"/>
    <w:rsid w:val="00E619F6"/>
    <w:rsid w:val="00E61D89"/>
    <w:rsid w:val="00E61DAF"/>
    <w:rsid w:val="00E61E3E"/>
    <w:rsid w:val="00E62893"/>
    <w:rsid w:val="00E62981"/>
    <w:rsid w:val="00E63807"/>
    <w:rsid w:val="00E63DC1"/>
    <w:rsid w:val="00E64268"/>
    <w:rsid w:val="00E646D3"/>
    <w:rsid w:val="00E651D5"/>
    <w:rsid w:val="00E65208"/>
    <w:rsid w:val="00E66488"/>
    <w:rsid w:val="00E665FF"/>
    <w:rsid w:val="00E6699D"/>
    <w:rsid w:val="00E66A18"/>
    <w:rsid w:val="00E670FF"/>
    <w:rsid w:val="00E6761B"/>
    <w:rsid w:val="00E67634"/>
    <w:rsid w:val="00E6798F"/>
    <w:rsid w:val="00E70255"/>
    <w:rsid w:val="00E70C46"/>
    <w:rsid w:val="00E717CC"/>
    <w:rsid w:val="00E719E1"/>
    <w:rsid w:val="00E720A1"/>
    <w:rsid w:val="00E72360"/>
    <w:rsid w:val="00E72C8B"/>
    <w:rsid w:val="00E73B24"/>
    <w:rsid w:val="00E7569F"/>
    <w:rsid w:val="00E7585A"/>
    <w:rsid w:val="00E7589B"/>
    <w:rsid w:val="00E7597B"/>
    <w:rsid w:val="00E75D31"/>
    <w:rsid w:val="00E7616E"/>
    <w:rsid w:val="00E76338"/>
    <w:rsid w:val="00E7654D"/>
    <w:rsid w:val="00E80469"/>
    <w:rsid w:val="00E81F96"/>
    <w:rsid w:val="00E82B00"/>
    <w:rsid w:val="00E82FCC"/>
    <w:rsid w:val="00E846EA"/>
    <w:rsid w:val="00E8471C"/>
    <w:rsid w:val="00E84799"/>
    <w:rsid w:val="00E84DEE"/>
    <w:rsid w:val="00E86668"/>
    <w:rsid w:val="00E90780"/>
    <w:rsid w:val="00E912BA"/>
    <w:rsid w:val="00E91DED"/>
    <w:rsid w:val="00E9332C"/>
    <w:rsid w:val="00E937ED"/>
    <w:rsid w:val="00E94B16"/>
    <w:rsid w:val="00E94E40"/>
    <w:rsid w:val="00E95F8E"/>
    <w:rsid w:val="00E9612A"/>
    <w:rsid w:val="00E96154"/>
    <w:rsid w:val="00E96269"/>
    <w:rsid w:val="00E962FF"/>
    <w:rsid w:val="00E96F8E"/>
    <w:rsid w:val="00E96FED"/>
    <w:rsid w:val="00E9714C"/>
    <w:rsid w:val="00E97339"/>
    <w:rsid w:val="00E97724"/>
    <w:rsid w:val="00EA0B8F"/>
    <w:rsid w:val="00EA1907"/>
    <w:rsid w:val="00EA285E"/>
    <w:rsid w:val="00EA2A8C"/>
    <w:rsid w:val="00EA3C96"/>
    <w:rsid w:val="00EA3FCC"/>
    <w:rsid w:val="00EA4276"/>
    <w:rsid w:val="00EA46E0"/>
    <w:rsid w:val="00EA4756"/>
    <w:rsid w:val="00EA4E6F"/>
    <w:rsid w:val="00EA4EE7"/>
    <w:rsid w:val="00EA6120"/>
    <w:rsid w:val="00EA61D2"/>
    <w:rsid w:val="00EA70D1"/>
    <w:rsid w:val="00EA7511"/>
    <w:rsid w:val="00EB0AE5"/>
    <w:rsid w:val="00EB14F8"/>
    <w:rsid w:val="00EB1A6A"/>
    <w:rsid w:val="00EB4036"/>
    <w:rsid w:val="00EB461D"/>
    <w:rsid w:val="00EB4689"/>
    <w:rsid w:val="00EB4F9A"/>
    <w:rsid w:val="00EB5520"/>
    <w:rsid w:val="00EB589D"/>
    <w:rsid w:val="00EB5E85"/>
    <w:rsid w:val="00EB5F1B"/>
    <w:rsid w:val="00EB6036"/>
    <w:rsid w:val="00EB6722"/>
    <w:rsid w:val="00EB6CF8"/>
    <w:rsid w:val="00EB6FD1"/>
    <w:rsid w:val="00EB749C"/>
    <w:rsid w:val="00EC04AC"/>
    <w:rsid w:val="00EC07C1"/>
    <w:rsid w:val="00EC0FC6"/>
    <w:rsid w:val="00EC19E2"/>
    <w:rsid w:val="00EC1F72"/>
    <w:rsid w:val="00EC277D"/>
    <w:rsid w:val="00EC30D6"/>
    <w:rsid w:val="00EC3A42"/>
    <w:rsid w:val="00EC4333"/>
    <w:rsid w:val="00EC4716"/>
    <w:rsid w:val="00EC63F4"/>
    <w:rsid w:val="00EC6966"/>
    <w:rsid w:val="00EC6C90"/>
    <w:rsid w:val="00EC6FC7"/>
    <w:rsid w:val="00ED01AF"/>
    <w:rsid w:val="00ED09F6"/>
    <w:rsid w:val="00ED2AF3"/>
    <w:rsid w:val="00ED2E3E"/>
    <w:rsid w:val="00ED2F7A"/>
    <w:rsid w:val="00ED2FC5"/>
    <w:rsid w:val="00ED38DE"/>
    <w:rsid w:val="00ED43AA"/>
    <w:rsid w:val="00ED4D2F"/>
    <w:rsid w:val="00ED4D91"/>
    <w:rsid w:val="00ED4DB5"/>
    <w:rsid w:val="00ED57BB"/>
    <w:rsid w:val="00ED589D"/>
    <w:rsid w:val="00ED5DA8"/>
    <w:rsid w:val="00ED7742"/>
    <w:rsid w:val="00ED7A40"/>
    <w:rsid w:val="00EE0395"/>
    <w:rsid w:val="00EE052C"/>
    <w:rsid w:val="00EE0669"/>
    <w:rsid w:val="00EE072D"/>
    <w:rsid w:val="00EE1B88"/>
    <w:rsid w:val="00EE232E"/>
    <w:rsid w:val="00EE4016"/>
    <w:rsid w:val="00EE4AD2"/>
    <w:rsid w:val="00EE5916"/>
    <w:rsid w:val="00EE67CD"/>
    <w:rsid w:val="00EE70B1"/>
    <w:rsid w:val="00EF04ED"/>
    <w:rsid w:val="00EF0ED8"/>
    <w:rsid w:val="00EF2FD9"/>
    <w:rsid w:val="00EF2FE1"/>
    <w:rsid w:val="00EF3454"/>
    <w:rsid w:val="00EF38F3"/>
    <w:rsid w:val="00EF46B6"/>
    <w:rsid w:val="00EF51D1"/>
    <w:rsid w:val="00EF5FD5"/>
    <w:rsid w:val="00EF71AF"/>
    <w:rsid w:val="00F0022D"/>
    <w:rsid w:val="00F0079A"/>
    <w:rsid w:val="00F00A47"/>
    <w:rsid w:val="00F018A4"/>
    <w:rsid w:val="00F01B76"/>
    <w:rsid w:val="00F029E0"/>
    <w:rsid w:val="00F02B40"/>
    <w:rsid w:val="00F02DF5"/>
    <w:rsid w:val="00F0376A"/>
    <w:rsid w:val="00F03C7D"/>
    <w:rsid w:val="00F03EE2"/>
    <w:rsid w:val="00F03FDC"/>
    <w:rsid w:val="00F040B4"/>
    <w:rsid w:val="00F04296"/>
    <w:rsid w:val="00F0446B"/>
    <w:rsid w:val="00F04785"/>
    <w:rsid w:val="00F056BA"/>
    <w:rsid w:val="00F0682C"/>
    <w:rsid w:val="00F07259"/>
    <w:rsid w:val="00F0790A"/>
    <w:rsid w:val="00F07D4D"/>
    <w:rsid w:val="00F07E15"/>
    <w:rsid w:val="00F1000F"/>
    <w:rsid w:val="00F10095"/>
    <w:rsid w:val="00F1066E"/>
    <w:rsid w:val="00F10EF3"/>
    <w:rsid w:val="00F12B2D"/>
    <w:rsid w:val="00F13633"/>
    <w:rsid w:val="00F14223"/>
    <w:rsid w:val="00F1490E"/>
    <w:rsid w:val="00F16C60"/>
    <w:rsid w:val="00F2022E"/>
    <w:rsid w:val="00F2035F"/>
    <w:rsid w:val="00F209E2"/>
    <w:rsid w:val="00F212BC"/>
    <w:rsid w:val="00F21414"/>
    <w:rsid w:val="00F218F8"/>
    <w:rsid w:val="00F22F3D"/>
    <w:rsid w:val="00F2325C"/>
    <w:rsid w:val="00F23BCA"/>
    <w:rsid w:val="00F23E99"/>
    <w:rsid w:val="00F24C2A"/>
    <w:rsid w:val="00F265CA"/>
    <w:rsid w:val="00F277B5"/>
    <w:rsid w:val="00F309AF"/>
    <w:rsid w:val="00F30C82"/>
    <w:rsid w:val="00F3148C"/>
    <w:rsid w:val="00F32515"/>
    <w:rsid w:val="00F32548"/>
    <w:rsid w:val="00F328DE"/>
    <w:rsid w:val="00F33C82"/>
    <w:rsid w:val="00F3452B"/>
    <w:rsid w:val="00F347DA"/>
    <w:rsid w:val="00F348E1"/>
    <w:rsid w:val="00F34CAC"/>
    <w:rsid w:val="00F35B55"/>
    <w:rsid w:val="00F36850"/>
    <w:rsid w:val="00F3790D"/>
    <w:rsid w:val="00F412D9"/>
    <w:rsid w:val="00F417D6"/>
    <w:rsid w:val="00F42C96"/>
    <w:rsid w:val="00F42D52"/>
    <w:rsid w:val="00F438D7"/>
    <w:rsid w:val="00F43A1C"/>
    <w:rsid w:val="00F445AC"/>
    <w:rsid w:val="00F451A1"/>
    <w:rsid w:val="00F45CDE"/>
    <w:rsid w:val="00F45F6F"/>
    <w:rsid w:val="00F46DD5"/>
    <w:rsid w:val="00F47707"/>
    <w:rsid w:val="00F507A2"/>
    <w:rsid w:val="00F50B26"/>
    <w:rsid w:val="00F510BC"/>
    <w:rsid w:val="00F520F5"/>
    <w:rsid w:val="00F5255C"/>
    <w:rsid w:val="00F53601"/>
    <w:rsid w:val="00F541AB"/>
    <w:rsid w:val="00F54A41"/>
    <w:rsid w:val="00F54A76"/>
    <w:rsid w:val="00F54C2E"/>
    <w:rsid w:val="00F54C3F"/>
    <w:rsid w:val="00F5518E"/>
    <w:rsid w:val="00F557A4"/>
    <w:rsid w:val="00F560CA"/>
    <w:rsid w:val="00F571D9"/>
    <w:rsid w:val="00F574E6"/>
    <w:rsid w:val="00F6012A"/>
    <w:rsid w:val="00F6012E"/>
    <w:rsid w:val="00F60941"/>
    <w:rsid w:val="00F61168"/>
    <w:rsid w:val="00F611A8"/>
    <w:rsid w:val="00F61482"/>
    <w:rsid w:val="00F614A6"/>
    <w:rsid w:val="00F62697"/>
    <w:rsid w:val="00F64E61"/>
    <w:rsid w:val="00F655E3"/>
    <w:rsid w:val="00F659DD"/>
    <w:rsid w:val="00F65FC9"/>
    <w:rsid w:val="00F664FB"/>
    <w:rsid w:val="00F66850"/>
    <w:rsid w:val="00F67249"/>
    <w:rsid w:val="00F672F6"/>
    <w:rsid w:val="00F674DC"/>
    <w:rsid w:val="00F67F76"/>
    <w:rsid w:val="00F70645"/>
    <w:rsid w:val="00F728CE"/>
    <w:rsid w:val="00F730AB"/>
    <w:rsid w:val="00F73679"/>
    <w:rsid w:val="00F736D6"/>
    <w:rsid w:val="00F73DCE"/>
    <w:rsid w:val="00F74774"/>
    <w:rsid w:val="00F751D9"/>
    <w:rsid w:val="00F752AD"/>
    <w:rsid w:val="00F753F6"/>
    <w:rsid w:val="00F7559D"/>
    <w:rsid w:val="00F760B7"/>
    <w:rsid w:val="00F766EC"/>
    <w:rsid w:val="00F778D4"/>
    <w:rsid w:val="00F811DA"/>
    <w:rsid w:val="00F81B28"/>
    <w:rsid w:val="00F81B4B"/>
    <w:rsid w:val="00F81B92"/>
    <w:rsid w:val="00F81E90"/>
    <w:rsid w:val="00F8286D"/>
    <w:rsid w:val="00F82BE9"/>
    <w:rsid w:val="00F82F84"/>
    <w:rsid w:val="00F848D4"/>
    <w:rsid w:val="00F84CCD"/>
    <w:rsid w:val="00F852DC"/>
    <w:rsid w:val="00F85331"/>
    <w:rsid w:val="00F855D3"/>
    <w:rsid w:val="00F8679A"/>
    <w:rsid w:val="00F867DC"/>
    <w:rsid w:val="00F87EB8"/>
    <w:rsid w:val="00F9045D"/>
    <w:rsid w:val="00F9064E"/>
    <w:rsid w:val="00F90D95"/>
    <w:rsid w:val="00F91B0B"/>
    <w:rsid w:val="00F92139"/>
    <w:rsid w:val="00F92208"/>
    <w:rsid w:val="00F93264"/>
    <w:rsid w:val="00F9362E"/>
    <w:rsid w:val="00F9483D"/>
    <w:rsid w:val="00F95382"/>
    <w:rsid w:val="00F9639E"/>
    <w:rsid w:val="00F96707"/>
    <w:rsid w:val="00F978A1"/>
    <w:rsid w:val="00F97AB2"/>
    <w:rsid w:val="00F97EF0"/>
    <w:rsid w:val="00FA120D"/>
    <w:rsid w:val="00FA1222"/>
    <w:rsid w:val="00FA1428"/>
    <w:rsid w:val="00FA1689"/>
    <w:rsid w:val="00FA1C20"/>
    <w:rsid w:val="00FA2D50"/>
    <w:rsid w:val="00FA2F2C"/>
    <w:rsid w:val="00FA323C"/>
    <w:rsid w:val="00FA38CD"/>
    <w:rsid w:val="00FA410A"/>
    <w:rsid w:val="00FA41E9"/>
    <w:rsid w:val="00FA4770"/>
    <w:rsid w:val="00FA5251"/>
    <w:rsid w:val="00FA59A5"/>
    <w:rsid w:val="00FA5B41"/>
    <w:rsid w:val="00FA6FF8"/>
    <w:rsid w:val="00FA78DA"/>
    <w:rsid w:val="00FB0BC1"/>
    <w:rsid w:val="00FB0F4E"/>
    <w:rsid w:val="00FB136C"/>
    <w:rsid w:val="00FB1575"/>
    <w:rsid w:val="00FB245A"/>
    <w:rsid w:val="00FB2658"/>
    <w:rsid w:val="00FB2994"/>
    <w:rsid w:val="00FB2EA7"/>
    <w:rsid w:val="00FB2F98"/>
    <w:rsid w:val="00FB3EE7"/>
    <w:rsid w:val="00FB3FC7"/>
    <w:rsid w:val="00FB45C1"/>
    <w:rsid w:val="00FB4FAA"/>
    <w:rsid w:val="00FB50A5"/>
    <w:rsid w:val="00FB5865"/>
    <w:rsid w:val="00FB5BC5"/>
    <w:rsid w:val="00FB5DAD"/>
    <w:rsid w:val="00FB5E87"/>
    <w:rsid w:val="00FB616B"/>
    <w:rsid w:val="00FB6B24"/>
    <w:rsid w:val="00FB6E44"/>
    <w:rsid w:val="00FC0296"/>
    <w:rsid w:val="00FC02DA"/>
    <w:rsid w:val="00FC038E"/>
    <w:rsid w:val="00FC0391"/>
    <w:rsid w:val="00FC0667"/>
    <w:rsid w:val="00FC0E46"/>
    <w:rsid w:val="00FC15EE"/>
    <w:rsid w:val="00FC21AC"/>
    <w:rsid w:val="00FC2651"/>
    <w:rsid w:val="00FC2BD9"/>
    <w:rsid w:val="00FC300B"/>
    <w:rsid w:val="00FC340C"/>
    <w:rsid w:val="00FC37A4"/>
    <w:rsid w:val="00FC3D0D"/>
    <w:rsid w:val="00FC3DC3"/>
    <w:rsid w:val="00FC47FE"/>
    <w:rsid w:val="00FC4A10"/>
    <w:rsid w:val="00FC4D19"/>
    <w:rsid w:val="00FC5D4C"/>
    <w:rsid w:val="00FC5F99"/>
    <w:rsid w:val="00FC67F6"/>
    <w:rsid w:val="00FC7DA6"/>
    <w:rsid w:val="00FD0364"/>
    <w:rsid w:val="00FD0886"/>
    <w:rsid w:val="00FD16C0"/>
    <w:rsid w:val="00FD16F7"/>
    <w:rsid w:val="00FD178E"/>
    <w:rsid w:val="00FD1B95"/>
    <w:rsid w:val="00FD26BA"/>
    <w:rsid w:val="00FD505E"/>
    <w:rsid w:val="00FD53DD"/>
    <w:rsid w:val="00FD6821"/>
    <w:rsid w:val="00FD703F"/>
    <w:rsid w:val="00FD7BDC"/>
    <w:rsid w:val="00FE0D16"/>
    <w:rsid w:val="00FE0E98"/>
    <w:rsid w:val="00FE101E"/>
    <w:rsid w:val="00FE1172"/>
    <w:rsid w:val="00FE163B"/>
    <w:rsid w:val="00FE2590"/>
    <w:rsid w:val="00FE28EC"/>
    <w:rsid w:val="00FE3378"/>
    <w:rsid w:val="00FE34F3"/>
    <w:rsid w:val="00FE6044"/>
    <w:rsid w:val="00FE60EE"/>
    <w:rsid w:val="00FE65FA"/>
    <w:rsid w:val="00FE6C56"/>
    <w:rsid w:val="00FE7FC3"/>
    <w:rsid w:val="00FF034F"/>
    <w:rsid w:val="00FF19C7"/>
    <w:rsid w:val="00FF29D9"/>
    <w:rsid w:val="00FF3150"/>
    <w:rsid w:val="00FF3F77"/>
    <w:rsid w:val="00FF44D8"/>
    <w:rsid w:val="00FF4954"/>
    <w:rsid w:val="00FF4C65"/>
    <w:rsid w:val="00FF533D"/>
    <w:rsid w:val="00FF55F1"/>
    <w:rsid w:val="00FF5D84"/>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3CF0C420-3347-432E-9723-25285112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 w:type="character" w:customStyle="1" w:styleId="mc">
    <w:name w:val="mc"/>
    <w:basedOn w:val="DefaultParagraphFont"/>
    <w:rsid w:val="007E6D18"/>
  </w:style>
  <w:style w:type="character" w:customStyle="1" w:styleId="UnresolvedMention">
    <w:name w:val="Unresolved Mention"/>
    <w:basedOn w:val="DefaultParagraphFont"/>
    <w:uiPriority w:val="99"/>
    <w:semiHidden/>
    <w:unhideWhenUsed/>
    <w:rsid w:val="007F1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9708">
      <w:bodyDiv w:val="1"/>
      <w:marLeft w:val="0"/>
      <w:marRight w:val="0"/>
      <w:marTop w:val="0"/>
      <w:marBottom w:val="0"/>
      <w:divBdr>
        <w:top w:val="none" w:sz="0" w:space="0" w:color="auto"/>
        <w:left w:val="none" w:sz="0" w:space="0" w:color="auto"/>
        <w:bottom w:val="none" w:sz="0" w:space="0" w:color="auto"/>
        <w:right w:val="none" w:sz="0" w:space="0" w:color="auto"/>
      </w:divBdr>
    </w:div>
    <w:div w:id="80883379">
      <w:bodyDiv w:val="1"/>
      <w:marLeft w:val="0"/>
      <w:marRight w:val="0"/>
      <w:marTop w:val="0"/>
      <w:marBottom w:val="0"/>
      <w:divBdr>
        <w:top w:val="none" w:sz="0" w:space="0" w:color="auto"/>
        <w:left w:val="none" w:sz="0" w:space="0" w:color="auto"/>
        <w:bottom w:val="none" w:sz="0" w:space="0" w:color="auto"/>
        <w:right w:val="none" w:sz="0" w:space="0" w:color="auto"/>
      </w:divBdr>
    </w:div>
    <w:div w:id="181358465">
      <w:bodyDiv w:val="1"/>
      <w:marLeft w:val="0"/>
      <w:marRight w:val="0"/>
      <w:marTop w:val="0"/>
      <w:marBottom w:val="0"/>
      <w:divBdr>
        <w:top w:val="none" w:sz="0" w:space="0" w:color="auto"/>
        <w:left w:val="none" w:sz="0" w:space="0" w:color="auto"/>
        <w:bottom w:val="none" w:sz="0" w:space="0" w:color="auto"/>
        <w:right w:val="none" w:sz="0" w:space="0" w:color="auto"/>
      </w:divBdr>
    </w:div>
    <w:div w:id="228424066">
      <w:bodyDiv w:val="1"/>
      <w:marLeft w:val="0"/>
      <w:marRight w:val="0"/>
      <w:marTop w:val="0"/>
      <w:marBottom w:val="0"/>
      <w:divBdr>
        <w:top w:val="none" w:sz="0" w:space="0" w:color="auto"/>
        <w:left w:val="none" w:sz="0" w:space="0" w:color="auto"/>
        <w:bottom w:val="none" w:sz="0" w:space="0" w:color="auto"/>
        <w:right w:val="none" w:sz="0" w:space="0" w:color="auto"/>
      </w:divBdr>
      <w:divsChild>
        <w:div w:id="978728727">
          <w:marLeft w:val="0"/>
          <w:marRight w:val="0"/>
          <w:marTop w:val="120"/>
          <w:marBottom w:val="0"/>
          <w:divBdr>
            <w:top w:val="none" w:sz="0" w:space="0" w:color="auto"/>
            <w:left w:val="none" w:sz="0" w:space="0" w:color="auto"/>
            <w:bottom w:val="none" w:sz="0" w:space="0" w:color="auto"/>
            <w:right w:val="none" w:sz="0" w:space="0" w:color="auto"/>
          </w:divBdr>
        </w:div>
      </w:divsChild>
    </w:div>
    <w:div w:id="327372101">
      <w:bodyDiv w:val="1"/>
      <w:marLeft w:val="0"/>
      <w:marRight w:val="0"/>
      <w:marTop w:val="0"/>
      <w:marBottom w:val="0"/>
      <w:divBdr>
        <w:top w:val="none" w:sz="0" w:space="0" w:color="auto"/>
        <w:left w:val="none" w:sz="0" w:space="0" w:color="auto"/>
        <w:bottom w:val="none" w:sz="0" w:space="0" w:color="auto"/>
        <w:right w:val="none" w:sz="0" w:space="0" w:color="auto"/>
      </w:divBdr>
    </w:div>
    <w:div w:id="363485904">
      <w:bodyDiv w:val="1"/>
      <w:marLeft w:val="0"/>
      <w:marRight w:val="0"/>
      <w:marTop w:val="0"/>
      <w:marBottom w:val="0"/>
      <w:divBdr>
        <w:top w:val="none" w:sz="0" w:space="0" w:color="auto"/>
        <w:left w:val="none" w:sz="0" w:space="0" w:color="auto"/>
        <w:bottom w:val="none" w:sz="0" w:space="0" w:color="auto"/>
        <w:right w:val="none" w:sz="0" w:space="0" w:color="auto"/>
      </w:divBdr>
    </w:div>
    <w:div w:id="390614141">
      <w:bodyDiv w:val="1"/>
      <w:marLeft w:val="0"/>
      <w:marRight w:val="0"/>
      <w:marTop w:val="0"/>
      <w:marBottom w:val="0"/>
      <w:divBdr>
        <w:top w:val="none" w:sz="0" w:space="0" w:color="auto"/>
        <w:left w:val="none" w:sz="0" w:space="0" w:color="auto"/>
        <w:bottom w:val="none" w:sz="0" w:space="0" w:color="auto"/>
        <w:right w:val="none" w:sz="0" w:space="0" w:color="auto"/>
      </w:divBdr>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502204521">
      <w:bodyDiv w:val="1"/>
      <w:marLeft w:val="0"/>
      <w:marRight w:val="0"/>
      <w:marTop w:val="0"/>
      <w:marBottom w:val="0"/>
      <w:divBdr>
        <w:top w:val="none" w:sz="0" w:space="0" w:color="auto"/>
        <w:left w:val="none" w:sz="0" w:space="0" w:color="auto"/>
        <w:bottom w:val="none" w:sz="0" w:space="0" w:color="auto"/>
        <w:right w:val="none" w:sz="0" w:space="0" w:color="auto"/>
      </w:divBdr>
    </w:div>
    <w:div w:id="609893272">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57353913">
      <w:bodyDiv w:val="1"/>
      <w:marLeft w:val="0"/>
      <w:marRight w:val="0"/>
      <w:marTop w:val="0"/>
      <w:marBottom w:val="0"/>
      <w:divBdr>
        <w:top w:val="none" w:sz="0" w:space="0" w:color="auto"/>
        <w:left w:val="none" w:sz="0" w:space="0" w:color="auto"/>
        <w:bottom w:val="none" w:sz="0" w:space="0" w:color="auto"/>
        <w:right w:val="none" w:sz="0" w:space="0" w:color="auto"/>
      </w:divBdr>
    </w:div>
    <w:div w:id="922950677">
      <w:bodyDiv w:val="1"/>
      <w:marLeft w:val="0"/>
      <w:marRight w:val="0"/>
      <w:marTop w:val="0"/>
      <w:marBottom w:val="0"/>
      <w:divBdr>
        <w:top w:val="none" w:sz="0" w:space="0" w:color="auto"/>
        <w:left w:val="none" w:sz="0" w:space="0" w:color="auto"/>
        <w:bottom w:val="none" w:sz="0" w:space="0" w:color="auto"/>
        <w:right w:val="none" w:sz="0" w:space="0" w:color="auto"/>
      </w:divBdr>
      <w:divsChild>
        <w:div w:id="1261596458">
          <w:marLeft w:val="0"/>
          <w:marRight w:val="0"/>
          <w:marTop w:val="120"/>
          <w:marBottom w:val="0"/>
          <w:divBdr>
            <w:top w:val="none" w:sz="0" w:space="0" w:color="auto"/>
            <w:left w:val="none" w:sz="0" w:space="0" w:color="auto"/>
            <w:bottom w:val="none" w:sz="0" w:space="0" w:color="auto"/>
            <w:right w:val="none" w:sz="0" w:space="0" w:color="auto"/>
          </w:divBdr>
        </w:div>
      </w:divsChild>
    </w:div>
    <w:div w:id="989166026">
      <w:bodyDiv w:val="1"/>
      <w:marLeft w:val="0"/>
      <w:marRight w:val="0"/>
      <w:marTop w:val="0"/>
      <w:marBottom w:val="0"/>
      <w:divBdr>
        <w:top w:val="none" w:sz="0" w:space="0" w:color="auto"/>
        <w:left w:val="none" w:sz="0" w:space="0" w:color="auto"/>
        <w:bottom w:val="none" w:sz="0" w:space="0" w:color="auto"/>
        <w:right w:val="none" w:sz="0" w:space="0" w:color="auto"/>
      </w:divBdr>
    </w:div>
    <w:div w:id="1048869942">
      <w:bodyDiv w:val="1"/>
      <w:marLeft w:val="0"/>
      <w:marRight w:val="0"/>
      <w:marTop w:val="0"/>
      <w:marBottom w:val="0"/>
      <w:divBdr>
        <w:top w:val="none" w:sz="0" w:space="0" w:color="auto"/>
        <w:left w:val="none" w:sz="0" w:space="0" w:color="auto"/>
        <w:bottom w:val="none" w:sz="0" w:space="0" w:color="auto"/>
        <w:right w:val="none" w:sz="0" w:space="0" w:color="auto"/>
      </w:divBdr>
    </w:div>
    <w:div w:id="1049841262">
      <w:bodyDiv w:val="1"/>
      <w:marLeft w:val="0"/>
      <w:marRight w:val="0"/>
      <w:marTop w:val="0"/>
      <w:marBottom w:val="0"/>
      <w:divBdr>
        <w:top w:val="none" w:sz="0" w:space="0" w:color="auto"/>
        <w:left w:val="none" w:sz="0" w:space="0" w:color="auto"/>
        <w:bottom w:val="none" w:sz="0" w:space="0" w:color="auto"/>
        <w:right w:val="none" w:sz="0" w:space="0" w:color="auto"/>
      </w:divBdr>
    </w:div>
    <w:div w:id="1091046398">
      <w:bodyDiv w:val="1"/>
      <w:marLeft w:val="0"/>
      <w:marRight w:val="0"/>
      <w:marTop w:val="0"/>
      <w:marBottom w:val="0"/>
      <w:divBdr>
        <w:top w:val="none" w:sz="0" w:space="0" w:color="auto"/>
        <w:left w:val="none" w:sz="0" w:space="0" w:color="auto"/>
        <w:bottom w:val="none" w:sz="0" w:space="0" w:color="auto"/>
        <w:right w:val="none" w:sz="0" w:space="0" w:color="auto"/>
      </w:divBdr>
    </w:div>
    <w:div w:id="1384909715">
      <w:bodyDiv w:val="1"/>
      <w:marLeft w:val="0"/>
      <w:marRight w:val="0"/>
      <w:marTop w:val="0"/>
      <w:marBottom w:val="0"/>
      <w:divBdr>
        <w:top w:val="none" w:sz="0" w:space="0" w:color="auto"/>
        <w:left w:val="none" w:sz="0" w:space="0" w:color="auto"/>
        <w:bottom w:val="none" w:sz="0" w:space="0" w:color="auto"/>
        <w:right w:val="none" w:sz="0" w:space="0" w:color="auto"/>
      </w:divBdr>
      <w:divsChild>
        <w:div w:id="520558555">
          <w:marLeft w:val="0"/>
          <w:marRight w:val="0"/>
          <w:marTop w:val="120"/>
          <w:marBottom w:val="0"/>
          <w:divBdr>
            <w:top w:val="none" w:sz="0" w:space="0" w:color="auto"/>
            <w:left w:val="none" w:sz="0" w:space="0" w:color="auto"/>
            <w:bottom w:val="none" w:sz="0" w:space="0" w:color="auto"/>
            <w:right w:val="none" w:sz="0" w:space="0" w:color="auto"/>
          </w:divBdr>
        </w:div>
        <w:div w:id="1064136794">
          <w:marLeft w:val="567"/>
          <w:marRight w:val="0"/>
          <w:marTop w:val="60"/>
          <w:marBottom w:val="0"/>
          <w:divBdr>
            <w:top w:val="none" w:sz="0" w:space="0" w:color="auto"/>
            <w:left w:val="none" w:sz="0" w:space="0" w:color="auto"/>
            <w:bottom w:val="none" w:sz="0" w:space="0" w:color="auto"/>
            <w:right w:val="none" w:sz="0" w:space="0" w:color="auto"/>
          </w:divBdr>
        </w:div>
      </w:divsChild>
    </w:div>
    <w:div w:id="1421949671">
      <w:bodyDiv w:val="1"/>
      <w:marLeft w:val="0"/>
      <w:marRight w:val="0"/>
      <w:marTop w:val="0"/>
      <w:marBottom w:val="0"/>
      <w:divBdr>
        <w:top w:val="none" w:sz="0" w:space="0" w:color="auto"/>
        <w:left w:val="none" w:sz="0" w:space="0" w:color="auto"/>
        <w:bottom w:val="none" w:sz="0" w:space="0" w:color="auto"/>
        <w:right w:val="none" w:sz="0" w:space="0" w:color="auto"/>
      </w:divBdr>
    </w:div>
    <w:div w:id="1443525603">
      <w:bodyDiv w:val="1"/>
      <w:marLeft w:val="0"/>
      <w:marRight w:val="0"/>
      <w:marTop w:val="0"/>
      <w:marBottom w:val="0"/>
      <w:divBdr>
        <w:top w:val="none" w:sz="0" w:space="0" w:color="auto"/>
        <w:left w:val="none" w:sz="0" w:space="0" w:color="auto"/>
        <w:bottom w:val="none" w:sz="0" w:space="0" w:color="auto"/>
        <w:right w:val="none" w:sz="0" w:space="0" w:color="auto"/>
      </w:divBdr>
    </w:div>
    <w:div w:id="1625306490">
      <w:bodyDiv w:val="1"/>
      <w:marLeft w:val="0"/>
      <w:marRight w:val="0"/>
      <w:marTop w:val="0"/>
      <w:marBottom w:val="0"/>
      <w:divBdr>
        <w:top w:val="none" w:sz="0" w:space="0" w:color="auto"/>
        <w:left w:val="none" w:sz="0" w:space="0" w:color="auto"/>
        <w:bottom w:val="none" w:sz="0" w:space="0" w:color="auto"/>
        <w:right w:val="none" w:sz="0" w:space="0" w:color="auto"/>
      </w:divBdr>
      <w:divsChild>
        <w:div w:id="1903755623">
          <w:marLeft w:val="0"/>
          <w:marRight w:val="0"/>
          <w:marTop w:val="120"/>
          <w:marBottom w:val="0"/>
          <w:divBdr>
            <w:top w:val="none" w:sz="0" w:space="0" w:color="auto"/>
            <w:left w:val="none" w:sz="0" w:space="0" w:color="auto"/>
            <w:bottom w:val="none" w:sz="0" w:space="0" w:color="auto"/>
            <w:right w:val="none" w:sz="0" w:space="0" w:color="auto"/>
          </w:divBdr>
        </w:div>
      </w:divsChild>
    </w:div>
    <w:div w:id="1643997251">
      <w:bodyDiv w:val="1"/>
      <w:marLeft w:val="0"/>
      <w:marRight w:val="0"/>
      <w:marTop w:val="0"/>
      <w:marBottom w:val="0"/>
      <w:divBdr>
        <w:top w:val="none" w:sz="0" w:space="0" w:color="auto"/>
        <w:left w:val="none" w:sz="0" w:space="0" w:color="auto"/>
        <w:bottom w:val="none" w:sz="0" w:space="0" w:color="auto"/>
        <w:right w:val="none" w:sz="0" w:space="0" w:color="auto"/>
      </w:divBdr>
      <w:divsChild>
        <w:div w:id="1804157839">
          <w:marLeft w:val="0"/>
          <w:marRight w:val="0"/>
          <w:marTop w:val="120"/>
          <w:marBottom w:val="0"/>
          <w:divBdr>
            <w:top w:val="none" w:sz="0" w:space="0" w:color="auto"/>
            <w:left w:val="none" w:sz="0" w:space="0" w:color="auto"/>
            <w:bottom w:val="none" w:sz="0" w:space="0" w:color="auto"/>
            <w:right w:val="none" w:sz="0" w:space="0" w:color="auto"/>
          </w:divBdr>
        </w:div>
      </w:divsChild>
    </w:div>
    <w:div w:id="1664966739">
      <w:bodyDiv w:val="1"/>
      <w:marLeft w:val="0"/>
      <w:marRight w:val="0"/>
      <w:marTop w:val="0"/>
      <w:marBottom w:val="0"/>
      <w:divBdr>
        <w:top w:val="none" w:sz="0" w:space="0" w:color="auto"/>
        <w:left w:val="none" w:sz="0" w:space="0" w:color="auto"/>
        <w:bottom w:val="none" w:sz="0" w:space="0" w:color="auto"/>
        <w:right w:val="none" w:sz="0" w:space="0" w:color="auto"/>
      </w:divBdr>
    </w:div>
    <w:div w:id="1688092104">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48794473">
      <w:bodyDiv w:val="1"/>
      <w:marLeft w:val="0"/>
      <w:marRight w:val="0"/>
      <w:marTop w:val="0"/>
      <w:marBottom w:val="0"/>
      <w:divBdr>
        <w:top w:val="none" w:sz="0" w:space="0" w:color="auto"/>
        <w:left w:val="none" w:sz="0" w:space="0" w:color="auto"/>
        <w:bottom w:val="none" w:sz="0" w:space="0" w:color="auto"/>
        <w:right w:val="none" w:sz="0" w:space="0" w:color="auto"/>
      </w:divBdr>
    </w:div>
    <w:div w:id="2050638755">
      <w:bodyDiv w:val="1"/>
      <w:marLeft w:val="0"/>
      <w:marRight w:val="0"/>
      <w:marTop w:val="0"/>
      <w:marBottom w:val="0"/>
      <w:divBdr>
        <w:top w:val="none" w:sz="0" w:space="0" w:color="auto"/>
        <w:left w:val="none" w:sz="0" w:space="0" w:color="auto"/>
        <w:bottom w:val="none" w:sz="0" w:space="0" w:color="auto"/>
        <w:right w:val="none" w:sz="0" w:space="0" w:color="auto"/>
      </w:divBdr>
      <w:divsChild>
        <w:div w:id="20011240">
          <w:marLeft w:val="567"/>
          <w:marRight w:val="0"/>
          <w:marTop w:val="60"/>
          <w:marBottom w:val="0"/>
          <w:divBdr>
            <w:top w:val="none" w:sz="0" w:space="0" w:color="auto"/>
            <w:left w:val="none" w:sz="0" w:space="0" w:color="auto"/>
            <w:bottom w:val="none" w:sz="0" w:space="0" w:color="auto"/>
            <w:right w:val="none" w:sz="0" w:space="0" w:color="auto"/>
          </w:divBdr>
        </w:div>
        <w:div w:id="188760355">
          <w:marLeft w:val="0"/>
          <w:marRight w:val="0"/>
          <w:marTop w:val="240"/>
          <w:marBottom w:val="24"/>
          <w:divBdr>
            <w:top w:val="single" w:sz="8" w:space="2" w:color="808080"/>
            <w:left w:val="none" w:sz="0" w:space="0" w:color="auto"/>
            <w:bottom w:val="none" w:sz="0" w:space="0" w:color="auto"/>
            <w:right w:val="none" w:sz="0" w:space="0" w:color="auto"/>
          </w:divBdr>
        </w:div>
        <w:div w:id="476646390">
          <w:marLeft w:val="0"/>
          <w:marRight w:val="0"/>
          <w:marTop w:val="120"/>
          <w:marBottom w:val="0"/>
          <w:divBdr>
            <w:top w:val="none" w:sz="0" w:space="0" w:color="auto"/>
            <w:left w:val="none" w:sz="0" w:space="0" w:color="auto"/>
            <w:bottom w:val="none" w:sz="0" w:space="0" w:color="auto"/>
            <w:right w:val="none" w:sz="0" w:space="0" w:color="auto"/>
          </w:divBdr>
        </w:div>
        <w:div w:id="961300555">
          <w:marLeft w:val="0"/>
          <w:marRight w:val="0"/>
          <w:marTop w:val="120"/>
          <w:marBottom w:val="0"/>
          <w:divBdr>
            <w:top w:val="none" w:sz="0" w:space="0" w:color="auto"/>
            <w:left w:val="none" w:sz="0" w:space="0" w:color="auto"/>
            <w:bottom w:val="none" w:sz="0" w:space="0" w:color="auto"/>
            <w:right w:val="none" w:sz="0" w:space="0" w:color="auto"/>
          </w:divBdr>
        </w:div>
        <w:div w:id="1139806684">
          <w:marLeft w:val="567"/>
          <w:marRight w:val="0"/>
          <w:marTop w:val="60"/>
          <w:marBottom w:val="0"/>
          <w:divBdr>
            <w:top w:val="none" w:sz="0" w:space="0" w:color="auto"/>
            <w:left w:val="none" w:sz="0" w:space="0" w:color="auto"/>
            <w:bottom w:val="none" w:sz="0" w:space="0" w:color="auto"/>
            <w:right w:val="none" w:sz="0" w:space="0" w:color="auto"/>
          </w:divBdr>
        </w:div>
        <w:div w:id="1374964915">
          <w:marLeft w:val="0"/>
          <w:marRight w:val="0"/>
          <w:marTop w:val="120"/>
          <w:marBottom w:val="0"/>
          <w:divBdr>
            <w:top w:val="none" w:sz="0" w:space="0" w:color="auto"/>
            <w:left w:val="none" w:sz="0" w:space="0" w:color="auto"/>
            <w:bottom w:val="none" w:sz="0" w:space="0" w:color="auto"/>
            <w:right w:val="none" w:sz="0" w:space="0" w:color="auto"/>
          </w:divBdr>
        </w:div>
        <w:div w:id="1526139152">
          <w:marLeft w:val="567"/>
          <w:marRight w:val="0"/>
          <w:marTop w:val="60"/>
          <w:marBottom w:val="0"/>
          <w:divBdr>
            <w:top w:val="none" w:sz="0" w:space="0" w:color="auto"/>
            <w:left w:val="none" w:sz="0" w:space="0" w:color="auto"/>
            <w:bottom w:val="none" w:sz="0" w:space="0" w:color="auto"/>
            <w:right w:val="none" w:sz="0" w:space="0" w:color="auto"/>
          </w:divBdr>
        </w:div>
        <w:div w:id="1886021043">
          <w:marLeft w:val="0"/>
          <w:marRight w:val="0"/>
          <w:marTop w:val="120"/>
          <w:marBottom w:val="0"/>
          <w:divBdr>
            <w:top w:val="none" w:sz="0" w:space="0" w:color="auto"/>
            <w:left w:val="none" w:sz="0" w:space="0" w:color="auto"/>
            <w:bottom w:val="none" w:sz="0" w:space="0" w:color="auto"/>
            <w:right w:val="none" w:sz="0" w:space="0" w:color="auto"/>
          </w:divBdr>
        </w:div>
      </w:divsChild>
    </w:div>
    <w:div w:id="2138528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5605-B604-40EA-ADFF-BEF2C7B3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8336</Words>
  <Characters>47516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2</cp:revision>
  <cp:lastPrinted>2023-09-07T12:57:00Z</cp:lastPrinted>
  <dcterms:created xsi:type="dcterms:W3CDTF">2023-09-18T14:43:00Z</dcterms:created>
  <dcterms:modified xsi:type="dcterms:W3CDTF">2023-09-18T14:43:00Z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