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73E65C0F">
            <wp:extent cx="1602000" cy="16020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602000" cy="1602000"/>
                    </a:xfrm>
                    <a:prstGeom prst="rect">
                      <a:avLst/>
                    </a:prstGeom>
                    <a:ln w="12700" cap="flat">
                      <a:noFill/>
                      <a:miter lim="400000"/>
                    </a:ln>
                    <a:effectLst/>
                  </pic:spPr>
                </pic:pic>
              </a:graphicData>
            </a:graphic>
          </wp:inline>
        </w:drawing>
      </w:r>
    </w:p>
    <w:p w14:paraId="1D01E514" w14:textId="2FB9206C"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 xml:space="preserve">IN THE HIGH </w:t>
      </w:r>
      <w:r w:rsidR="00E87C23">
        <w:rPr>
          <w:rFonts w:cs="Arial"/>
          <w:b/>
          <w:bCs/>
          <w:sz w:val="24"/>
          <w:szCs w:val="24"/>
          <w:u w:val="single"/>
        </w:rPr>
        <w:t>COURT</w:t>
      </w:r>
      <w:r w:rsidRPr="0031449E">
        <w:rPr>
          <w:rFonts w:cs="Arial"/>
          <w:b/>
          <w:bCs/>
          <w:sz w:val="24"/>
          <w:szCs w:val="24"/>
          <w:u w:val="single"/>
        </w:rPr>
        <w:t xml:space="preserve"> OF SOUTH AFRICA</w:t>
      </w:r>
    </w:p>
    <w:p w14:paraId="7D0FFBD4" w14:textId="6766A0DC" w:rsidR="00A7128E" w:rsidRPr="00383D55" w:rsidRDefault="00B50E11" w:rsidP="00383D55">
      <w:pPr>
        <w:pStyle w:val="Body"/>
        <w:jc w:val="center"/>
        <w:rPr>
          <w:rFonts w:cs="Arial"/>
          <w:b/>
          <w:bCs/>
          <w:sz w:val="24"/>
          <w:szCs w:val="24"/>
          <w:u w:val="single"/>
          <w:lang w:val="de-D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3"/>
      </w:tblGrid>
      <w:tr w:rsidR="00C519B2" w:rsidRPr="004164F3" w14:paraId="7564B942" w14:textId="77777777" w:rsidTr="00AD4721">
        <w:trPr>
          <w:trHeight w:val="1743"/>
        </w:trPr>
        <w:tc>
          <w:tcPr>
            <w:tcW w:w="5983"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1E9C5970"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9926E5">
              <w:rPr>
                <w:rFonts w:ascii="Arial Unicode MS" w:eastAsia="Arial Unicode MS" w:hAnsi="Arial Unicode MS" w:cs="Arial Unicode MS"/>
                <w:strike/>
                <w:sz w:val="16"/>
                <w:szCs w:val="16"/>
              </w:rPr>
              <w:t>YE</w:t>
            </w:r>
            <w:r w:rsidR="009B3D4B" w:rsidRPr="009926E5">
              <w:rPr>
                <w:rFonts w:ascii="Arial Unicode MS" w:eastAsia="Arial Unicode MS" w:hAnsi="Arial Unicode MS" w:cs="Arial Unicode MS"/>
                <w:strike/>
                <w:sz w:val="16"/>
                <w:szCs w:val="16"/>
              </w:rPr>
              <w:t>S</w:t>
            </w:r>
            <w:r w:rsidRPr="00A26F7C">
              <w:rPr>
                <w:rFonts w:ascii="Arial Unicode MS" w:eastAsia="Arial Unicode MS" w:hAnsi="Arial Unicode MS" w:cs="Arial Unicode MS"/>
                <w:sz w:val="16"/>
                <w:szCs w:val="16"/>
              </w:rPr>
              <w:t>/</w:t>
            </w:r>
            <w:r w:rsidRPr="009926E5">
              <w:rPr>
                <w:rFonts w:ascii="Arial Unicode MS" w:eastAsia="Arial Unicode MS" w:hAnsi="Arial Unicode MS" w:cs="Arial Unicode MS"/>
                <w:b/>
                <w:bCs/>
                <w:sz w:val="16"/>
                <w:szCs w:val="16"/>
              </w:rPr>
              <w:t>NO</w:t>
            </w:r>
          </w:p>
          <w:p w14:paraId="528A128C" w14:textId="7CB85296"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E87C23" w:rsidRPr="000E55BD">
              <w:rPr>
                <w:rFonts w:ascii="Arial Unicode MS" w:eastAsia="Arial Unicode MS" w:hAnsi="Arial Unicode MS" w:cs="Arial Unicode MS"/>
                <w:b/>
                <w:bCs/>
                <w:sz w:val="16"/>
                <w:szCs w:val="16"/>
              </w:rPr>
              <w:t xml:space="preserve"> </w:t>
            </w:r>
            <w:r w:rsidRPr="009926E5">
              <w:rPr>
                <w:rFonts w:ascii="Arial Unicode MS" w:eastAsia="Arial Unicode MS" w:hAnsi="Arial Unicode MS" w:cs="Arial Unicode MS"/>
                <w:strike/>
                <w:sz w:val="16"/>
                <w:szCs w:val="16"/>
              </w:rPr>
              <w:t>YES/</w:t>
            </w:r>
            <w:r w:rsidRPr="009926E5">
              <w:rPr>
                <w:rFonts w:ascii="Arial Unicode MS" w:eastAsia="Arial Unicode MS" w:hAnsi="Arial Unicode MS" w:cs="Arial Unicode MS"/>
                <w:b/>
                <w:bCs/>
                <w:sz w:val="16"/>
                <w:szCs w:val="16"/>
              </w:rPr>
              <w:t>NO</w:t>
            </w:r>
          </w:p>
          <w:p w14:paraId="15F66332" w14:textId="25EEA8AD"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E87C2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0E55BD">
              <w:rPr>
                <w:rFonts w:ascii="Arial Unicode MS" w:eastAsia="Arial Unicode MS" w:hAnsi="Arial Unicode MS" w:cs="Arial Unicode MS"/>
                <w:sz w:val="16"/>
                <w:szCs w:val="16"/>
              </w:rPr>
              <w:t xml:space="preserve">: </w:t>
            </w:r>
            <w:r w:rsidR="009926E5" w:rsidRPr="009926E5">
              <w:rPr>
                <w:rFonts w:ascii="Arial Unicode MS" w:eastAsia="Arial Unicode MS" w:hAnsi="Arial Unicode MS" w:cs="Arial Unicode MS"/>
                <w:b/>
                <w:bCs/>
                <w:sz w:val="16"/>
                <w:szCs w:val="16"/>
              </w:rPr>
              <w:t>NO</w:t>
            </w:r>
          </w:p>
          <w:p w14:paraId="773CDFDB" w14:textId="7D0B5FCF" w:rsidR="00C519B2" w:rsidRPr="004164F3" w:rsidRDefault="00C519B2" w:rsidP="00821FE9">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AD4721">
              <w:rPr>
                <w:rFonts w:ascii="Arial Unicode MS" w:eastAsia="Arial Unicode MS" w:hAnsi="Arial Unicode MS" w:cs="Arial Unicode MS"/>
                <w:sz w:val="16"/>
                <w:szCs w:val="16"/>
              </w:rPr>
              <w:t xml:space="preserve">     </w:t>
            </w:r>
            <w:r w:rsidR="00AD4721" w:rsidRPr="00AD4721">
              <w:rPr>
                <w:rFonts w:ascii="Arial Unicode MS" w:eastAsia="Arial Unicode MS" w:hAnsi="Arial Unicode MS" w:cs="Arial Unicode MS"/>
                <w:b/>
                <w:bCs/>
                <w:sz w:val="16"/>
                <w:szCs w:val="16"/>
              </w:rPr>
              <w:t>2</w:t>
            </w:r>
            <w:r w:rsidR="00461169">
              <w:rPr>
                <w:rFonts w:ascii="Arial Unicode MS" w:eastAsia="Arial Unicode MS" w:hAnsi="Arial Unicode MS" w:cs="Arial Unicode MS"/>
                <w:b/>
                <w:bCs/>
                <w:sz w:val="16"/>
                <w:szCs w:val="16"/>
              </w:rPr>
              <w:t>9 September</w:t>
            </w:r>
            <w:r w:rsidR="00AD4721" w:rsidRPr="00AD4721">
              <w:rPr>
                <w:rFonts w:ascii="Arial Unicode MS" w:eastAsia="Arial Unicode MS" w:hAnsi="Arial Unicode MS" w:cs="Arial Unicode MS"/>
                <w:sz w:val="15"/>
                <w:szCs w:val="15"/>
              </w:rPr>
              <w:t xml:space="preserve"> </w:t>
            </w:r>
            <w:r w:rsidR="00AD4721" w:rsidRPr="00AD4721">
              <w:rPr>
                <w:rFonts w:ascii="Arial Unicode MS" w:eastAsia="Arial Unicode MS" w:hAnsi="Arial Unicode MS" w:cs="Arial Unicode MS"/>
                <w:b/>
                <w:bCs/>
                <w:sz w:val="16"/>
                <w:szCs w:val="16"/>
              </w:rPr>
              <w:t>2023</w:t>
            </w:r>
            <w:r w:rsidR="00821FE9" w:rsidRPr="00AD4721">
              <w:rPr>
                <w:rFonts w:ascii="Arial Unicode MS" w:eastAsia="Arial Unicode MS" w:hAnsi="Arial Unicode MS" w:cs="Arial Unicode MS"/>
                <w:b/>
                <w:bCs/>
                <w:sz w:val="16"/>
                <w:szCs w:val="16"/>
              </w:rPr>
              <w:t xml:space="preserve">      </w:t>
            </w:r>
            <w:r w:rsidRPr="004164F3">
              <w:rPr>
                <w:rFonts w:ascii="Arial Unicode MS" w:eastAsia="Arial Unicode MS" w:hAnsi="Arial Unicode MS" w:cs="Arial Unicode MS"/>
                <w:sz w:val="16"/>
                <w:szCs w:val="16"/>
              </w:rPr>
              <w:t>SIGNATURE:</w:t>
            </w:r>
            <w:r w:rsidRPr="004164F3">
              <w:rPr>
                <w:rFonts w:ascii="Arial Unicode MS" w:eastAsia="Arial Unicode MS" w:hAnsi="Arial Unicode MS" w:cs="Arial Unicode MS"/>
                <w:sz w:val="16"/>
                <w:szCs w:val="16"/>
              </w:rPr>
              <w:tab/>
            </w:r>
            <w:r w:rsidR="00821FE9">
              <w:rPr>
                <w:rFonts w:ascii="Arial Unicode MS" w:eastAsia="Arial Unicode MS" w:hAnsi="Arial Unicode MS" w:cs="Arial Unicode MS"/>
                <w:sz w:val="16"/>
                <w:szCs w:val="16"/>
              </w:rPr>
              <w:t>____________________</w:t>
            </w:r>
            <w:r w:rsidR="00AD4721">
              <w:rPr>
                <w:rFonts w:ascii="Arial Unicode MS" w:eastAsia="Arial Unicode MS" w:hAnsi="Arial Unicode MS" w:cs="Arial Unicode MS"/>
                <w:sz w:val="16"/>
                <w:szCs w:val="16"/>
              </w:rPr>
              <w:t>__</w:t>
            </w:r>
            <w:r w:rsidR="00821FE9">
              <w:rPr>
                <w:rFonts w:ascii="Arial Unicode MS" w:eastAsia="Arial Unicode MS" w:hAnsi="Arial Unicode MS" w:cs="Arial Unicode MS"/>
                <w:sz w:val="16"/>
                <w:szCs w:val="16"/>
              </w:rPr>
              <w:t>__</w:t>
            </w:r>
          </w:p>
        </w:tc>
      </w:tr>
    </w:tbl>
    <w:p w14:paraId="46E43E32" w14:textId="5A575264" w:rsidR="00B50E11" w:rsidRPr="0031449E" w:rsidRDefault="00B50E11" w:rsidP="0025737D">
      <w:pPr>
        <w:pStyle w:val="Body"/>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7F7E04">
        <w:rPr>
          <w:rFonts w:cs="Arial"/>
          <w:b/>
          <w:bCs/>
          <w:sz w:val="24"/>
          <w:szCs w:val="24"/>
        </w:rPr>
        <w:t>38719/2022</w:t>
      </w: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3080"/>
        <w:gridCol w:w="106"/>
      </w:tblGrid>
      <w:tr w:rsidR="00B50E11" w:rsidRPr="0031449E" w14:paraId="22698168" w14:textId="77777777" w:rsidTr="00641775">
        <w:trPr>
          <w:gridAfter w:val="1"/>
          <w:wAfter w:w="142" w:type="dxa"/>
        </w:trPr>
        <w:tc>
          <w:tcPr>
            <w:tcW w:w="6660" w:type="dxa"/>
          </w:tcPr>
          <w:p w14:paraId="3D32D802" w14:textId="77777777" w:rsidR="00B50E11" w:rsidRPr="0031449E" w:rsidRDefault="00B50E11" w:rsidP="00E12A80">
            <w:pPr>
              <w:pStyle w:val="Body"/>
              <w:spacing w:before="240" w:after="240" w:line="360" w:lineRule="auto"/>
              <w:jc w:val="both"/>
              <w:rPr>
                <w:rFonts w:cs="Arial"/>
                <w:sz w:val="24"/>
                <w:szCs w:val="24"/>
              </w:rPr>
            </w:pPr>
            <w:r w:rsidRPr="0031449E">
              <w:rPr>
                <w:rFonts w:cs="Arial"/>
                <w:sz w:val="24"/>
                <w:szCs w:val="24"/>
              </w:rPr>
              <w:t>In the matter between:</w:t>
            </w:r>
          </w:p>
        </w:tc>
        <w:tc>
          <w:tcPr>
            <w:tcW w:w="2685" w:type="dxa"/>
          </w:tcPr>
          <w:p w14:paraId="6295A861" w14:textId="77777777" w:rsidR="00B50E11" w:rsidRPr="0031449E" w:rsidRDefault="00B50E11"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sz w:val="24"/>
                <w:szCs w:val="24"/>
              </w:rPr>
            </w:pPr>
          </w:p>
        </w:tc>
      </w:tr>
      <w:tr w:rsidR="00B50E11" w:rsidRPr="0031449E" w14:paraId="4638A8A4" w14:textId="77777777" w:rsidTr="00641775">
        <w:trPr>
          <w:gridAfter w:val="1"/>
          <w:wAfter w:w="142" w:type="dxa"/>
          <w:trHeight w:val="1045"/>
        </w:trPr>
        <w:tc>
          <w:tcPr>
            <w:tcW w:w="6660" w:type="dxa"/>
          </w:tcPr>
          <w:p w14:paraId="548AA6FE" w14:textId="0355347F" w:rsidR="007F7FED" w:rsidRPr="00E55C66" w:rsidRDefault="007F7E04" w:rsidP="00821F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rPr>
                <w:rFonts w:cs="Arial"/>
                <w:b/>
                <w:bCs/>
                <w:sz w:val="24"/>
                <w:szCs w:val="24"/>
              </w:rPr>
            </w:pPr>
            <w:r>
              <w:rPr>
                <w:rFonts w:cs="Arial"/>
                <w:b/>
                <w:bCs/>
                <w:sz w:val="24"/>
                <w:szCs w:val="24"/>
              </w:rPr>
              <w:t>MEC FOR ECONOMIC DEVELOPMENT, TOURISM AND ENVIRONMENTAL AFFAIRS, KWAZULU-NATAL PROVINCE</w:t>
            </w:r>
          </w:p>
        </w:tc>
        <w:tc>
          <w:tcPr>
            <w:tcW w:w="2685" w:type="dxa"/>
          </w:tcPr>
          <w:p w14:paraId="263479FD" w14:textId="6E010AEB" w:rsidR="00B50E11" w:rsidRPr="0031449E"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 xml:space="preserve"> First </w:t>
            </w:r>
            <w:r w:rsidR="000218AC">
              <w:rPr>
                <w:rFonts w:cs="Arial"/>
                <w:b/>
                <w:sz w:val="24"/>
                <w:szCs w:val="24"/>
              </w:rPr>
              <w:t>A</w:t>
            </w:r>
            <w:r w:rsidR="00F867F4">
              <w:rPr>
                <w:rFonts w:cs="Arial"/>
                <w:b/>
                <w:sz w:val="24"/>
                <w:szCs w:val="24"/>
              </w:rPr>
              <w:t>pplicant</w:t>
            </w:r>
          </w:p>
        </w:tc>
      </w:tr>
      <w:tr w:rsidR="001E6ABF" w:rsidRPr="0031449E" w14:paraId="55299126" w14:textId="77777777" w:rsidTr="00641775">
        <w:trPr>
          <w:gridAfter w:val="1"/>
          <w:wAfter w:w="142" w:type="dxa"/>
          <w:trHeight w:val="1045"/>
        </w:trPr>
        <w:tc>
          <w:tcPr>
            <w:tcW w:w="6660" w:type="dxa"/>
          </w:tcPr>
          <w:p w14:paraId="041DCB3B" w14:textId="5EAA5ABE" w:rsidR="001E6ABF" w:rsidRDefault="007F7E04" w:rsidP="00D40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bCs/>
                <w:sz w:val="24"/>
                <w:szCs w:val="24"/>
              </w:rPr>
            </w:pPr>
            <w:r>
              <w:rPr>
                <w:rFonts w:cs="Arial"/>
                <w:b/>
                <w:bCs/>
                <w:sz w:val="24"/>
                <w:szCs w:val="24"/>
              </w:rPr>
              <w:t>THE PREMIER OF KWA-ZULU NATAL</w:t>
            </w:r>
            <w:r w:rsidR="008869C8">
              <w:rPr>
                <w:rFonts w:cs="Arial"/>
                <w:b/>
                <w:bCs/>
                <w:sz w:val="24"/>
                <w:szCs w:val="24"/>
              </w:rPr>
              <w:t xml:space="preserve"> PROVINCE</w:t>
            </w:r>
          </w:p>
        </w:tc>
        <w:tc>
          <w:tcPr>
            <w:tcW w:w="2685" w:type="dxa"/>
          </w:tcPr>
          <w:p w14:paraId="060A5347" w14:textId="6BEECA20" w:rsidR="001E6ABF" w:rsidRDefault="001E6ABF"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Second Applicant</w:t>
            </w:r>
          </w:p>
        </w:tc>
      </w:tr>
      <w:tr w:rsidR="00B50E11" w:rsidRPr="0031449E" w14:paraId="2DE3831D" w14:textId="77777777" w:rsidTr="00641775">
        <w:trPr>
          <w:gridAfter w:val="1"/>
          <w:wAfter w:w="142" w:type="dxa"/>
        </w:trPr>
        <w:tc>
          <w:tcPr>
            <w:tcW w:w="6660" w:type="dxa"/>
          </w:tcPr>
          <w:p w14:paraId="52E06D21" w14:textId="198C0E7E" w:rsidR="00B50E11" w:rsidRPr="0031449E" w:rsidRDefault="00461169" w:rsidP="00E12A80">
            <w:pPr>
              <w:pStyle w:val="Body"/>
              <w:spacing w:before="240" w:after="240" w:line="360" w:lineRule="auto"/>
              <w:jc w:val="both"/>
              <w:rPr>
                <w:rFonts w:eastAsia="Tahoma" w:cs="Arial"/>
                <w:sz w:val="24"/>
                <w:szCs w:val="24"/>
              </w:rPr>
            </w:pPr>
            <w:r>
              <w:rPr>
                <w:rFonts w:cs="Arial"/>
                <w:sz w:val="24"/>
                <w:szCs w:val="24"/>
              </w:rPr>
              <w:t>a</w:t>
            </w:r>
            <w:r w:rsidR="00B50E11" w:rsidRPr="0031449E">
              <w:rPr>
                <w:rFonts w:cs="Arial"/>
                <w:sz w:val="24"/>
                <w:szCs w:val="24"/>
              </w:rPr>
              <w:t>nd</w:t>
            </w:r>
          </w:p>
        </w:tc>
        <w:tc>
          <w:tcPr>
            <w:tcW w:w="2685" w:type="dxa"/>
          </w:tcPr>
          <w:p w14:paraId="06C77BC2" w14:textId="032FD205" w:rsidR="00B50E11" w:rsidRPr="0031449E" w:rsidRDefault="00B50E11" w:rsidP="00AD472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cs="Arial"/>
                <w:b/>
                <w:sz w:val="24"/>
                <w:szCs w:val="24"/>
              </w:rPr>
            </w:pPr>
          </w:p>
        </w:tc>
      </w:tr>
      <w:tr w:rsidR="00B50E11" w:rsidRPr="0031449E" w14:paraId="4829D036" w14:textId="77777777" w:rsidTr="00641775">
        <w:trPr>
          <w:gridAfter w:val="1"/>
          <w:wAfter w:w="142" w:type="dxa"/>
          <w:trHeight w:val="850"/>
        </w:trPr>
        <w:tc>
          <w:tcPr>
            <w:tcW w:w="6660" w:type="dxa"/>
          </w:tcPr>
          <w:p w14:paraId="48D745C0" w14:textId="77777777" w:rsidR="00821FE9" w:rsidRDefault="007F7E04" w:rsidP="00821F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 xml:space="preserve">THE SOUTH AFRICAN RESERVE BANK </w:t>
            </w:r>
          </w:p>
          <w:p w14:paraId="3ACBB1CA" w14:textId="0F54F212" w:rsidR="00B50E11" w:rsidRPr="00DA7A8D" w:rsidRDefault="007F7E04" w:rsidP="00821FE9">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PRUDENTIAL AUTHORITY</w:t>
            </w:r>
          </w:p>
        </w:tc>
        <w:tc>
          <w:tcPr>
            <w:tcW w:w="2685" w:type="dxa"/>
          </w:tcPr>
          <w:p w14:paraId="7853F6A3" w14:textId="15EFBAD7" w:rsidR="00B50E11" w:rsidRPr="0031449E" w:rsidRDefault="007F7E04" w:rsidP="006417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First</w:t>
            </w:r>
            <w:r w:rsidR="00621654">
              <w:rPr>
                <w:rFonts w:cs="Arial"/>
                <w:b/>
                <w:sz w:val="24"/>
                <w:szCs w:val="24"/>
              </w:rPr>
              <w:t xml:space="preserve"> R</w:t>
            </w:r>
            <w:r w:rsidR="00F867F4">
              <w:rPr>
                <w:rFonts w:cs="Arial"/>
                <w:b/>
                <w:sz w:val="24"/>
                <w:szCs w:val="24"/>
              </w:rPr>
              <w:t>espondent</w:t>
            </w:r>
          </w:p>
        </w:tc>
      </w:tr>
      <w:tr w:rsidR="0027008F" w:rsidRPr="0031449E" w14:paraId="0432C152" w14:textId="77777777" w:rsidTr="00641775">
        <w:trPr>
          <w:gridAfter w:val="1"/>
          <w:wAfter w:w="142" w:type="dxa"/>
        </w:trPr>
        <w:tc>
          <w:tcPr>
            <w:tcW w:w="6660" w:type="dxa"/>
          </w:tcPr>
          <w:p w14:paraId="7F45D086" w14:textId="4D346241" w:rsidR="0027008F" w:rsidRDefault="007F7E04"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THE MINISTER OF FINANCE</w:t>
            </w:r>
          </w:p>
        </w:tc>
        <w:tc>
          <w:tcPr>
            <w:tcW w:w="2685" w:type="dxa"/>
          </w:tcPr>
          <w:p w14:paraId="345D8E8F" w14:textId="0563CB72" w:rsidR="0027008F" w:rsidRDefault="007F7E04"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Second</w:t>
            </w:r>
            <w:r w:rsidR="00621654">
              <w:rPr>
                <w:rFonts w:cs="Arial"/>
                <w:b/>
                <w:sz w:val="24"/>
                <w:szCs w:val="24"/>
              </w:rPr>
              <w:t xml:space="preserve"> R</w:t>
            </w:r>
            <w:r w:rsidR="00F867F4">
              <w:rPr>
                <w:rFonts w:cs="Arial"/>
                <w:b/>
                <w:sz w:val="24"/>
                <w:szCs w:val="24"/>
              </w:rPr>
              <w:t>espondent</w:t>
            </w:r>
          </w:p>
        </w:tc>
      </w:tr>
      <w:tr w:rsidR="002A3982" w:rsidRPr="0031449E" w14:paraId="2CABC4E3" w14:textId="77777777" w:rsidTr="00641775">
        <w:trPr>
          <w:gridAfter w:val="1"/>
          <w:wAfter w:w="142" w:type="dxa"/>
        </w:trPr>
        <w:tc>
          <w:tcPr>
            <w:tcW w:w="6660" w:type="dxa"/>
          </w:tcPr>
          <w:p w14:paraId="731E5175" w14:textId="78FB0667" w:rsidR="00660826" w:rsidRDefault="007F7E04"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both"/>
              <w:rPr>
                <w:rFonts w:cs="Arial"/>
                <w:b/>
                <w:bCs/>
                <w:sz w:val="24"/>
                <w:szCs w:val="24"/>
                <w:lang w:val="de-DE"/>
              </w:rPr>
            </w:pPr>
            <w:r>
              <w:rPr>
                <w:rFonts w:cs="Arial"/>
                <w:b/>
                <w:bCs/>
                <w:sz w:val="24"/>
                <w:szCs w:val="24"/>
                <w:lang w:val="de-DE"/>
              </w:rPr>
              <w:t>ITHALA SOC LIMITED</w:t>
            </w:r>
          </w:p>
        </w:tc>
        <w:tc>
          <w:tcPr>
            <w:tcW w:w="2685" w:type="dxa"/>
          </w:tcPr>
          <w:p w14:paraId="6D27D88F" w14:textId="2A0D328F" w:rsidR="002A3982" w:rsidRDefault="007F7E04"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Third</w:t>
            </w:r>
            <w:r w:rsidR="00E12A80">
              <w:rPr>
                <w:rFonts w:cs="Arial"/>
                <w:b/>
                <w:sz w:val="24"/>
                <w:szCs w:val="24"/>
              </w:rPr>
              <w:t xml:space="preserve"> R</w:t>
            </w:r>
            <w:r w:rsidR="00F867F4">
              <w:rPr>
                <w:rFonts w:cs="Arial"/>
                <w:b/>
                <w:sz w:val="24"/>
                <w:szCs w:val="24"/>
              </w:rPr>
              <w:t>espondent</w:t>
            </w:r>
          </w:p>
        </w:tc>
      </w:tr>
      <w:tr w:rsidR="001E6ABF" w:rsidRPr="0031449E" w14:paraId="251BCA5B" w14:textId="77777777" w:rsidTr="00641775">
        <w:trPr>
          <w:gridAfter w:val="1"/>
          <w:wAfter w:w="142" w:type="dxa"/>
        </w:trPr>
        <w:tc>
          <w:tcPr>
            <w:tcW w:w="6660" w:type="dxa"/>
          </w:tcPr>
          <w:p w14:paraId="7B74E18E" w14:textId="247032EC" w:rsidR="001E6ABF" w:rsidRDefault="007F7E04" w:rsidP="00821FE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jc w:val="both"/>
              <w:rPr>
                <w:rFonts w:cs="Arial"/>
                <w:b/>
                <w:bCs/>
                <w:sz w:val="24"/>
                <w:szCs w:val="24"/>
                <w:lang w:val="de-DE"/>
              </w:rPr>
            </w:pPr>
            <w:r>
              <w:rPr>
                <w:rFonts w:cs="Arial"/>
                <w:b/>
                <w:bCs/>
                <w:sz w:val="24"/>
                <w:szCs w:val="24"/>
                <w:lang w:val="de-DE"/>
              </w:rPr>
              <w:t>ITHALA DEVELOPMENT FINANCE CORPORATION LIMITED (REG. NO. 2001/007427/30)</w:t>
            </w:r>
          </w:p>
        </w:tc>
        <w:tc>
          <w:tcPr>
            <w:tcW w:w="2685" w:type="dxa"/>
          </w:tcPr>
          <w:p w14:paraId="4DFE053D" w14:textId="4A08C127" w:rsidR="001E6ABF" w:rsidRDefault="007F7E04" w:rsidP="00E12A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jc w:val="right"/>
              <w:rPr>
                <w:rFonts w:cs="Arial"/>
                <w:b/>
                <w:sz w:val="24"/>
                <w:szCs w:val="24"/>
              </w:rPr>
            </w:pPr>
            <w:r>
              <w:rPr>
                <w:rFonts w:cs="Arial"/>
                <w:b/>
                <w:sz w:val="24"/>
                <w:szCs w:val="24"/>
              </w:rPr>
              <w:t>Fourth</w:t>
            </w:r>
            <w:r w:rsidR="001E6ABF">
              <w:rPr>
                <w:rFonts w:cs="Arial"/>
                <w:b/>
                <w:sz w:val="24"/>
                <w:szCs w:val="24"/>
              </w:rPr>
              <w:t xml:space="preserve"> Respondent</w:t>
            </w:r>
          </w:p>
        </w:tc>
      </w:tr>
      <w:tr w:rsidR="00260F2D" w:rsidRPr="00665EC9" w14:paraId="58735F72" w14:textId="77777777" w:rsidTr="008107AD">
        <w:trPr>
          <w:trHeight w:val="1045"/>
        </w:trPr>
        <w:tc>
          <w:tcPr>
            <w:tcW w:w="9487" w:type="dxa"/>
            <w:gridSpan w:val="3"/>
          </w:tcPr>
          <w:p w14:paraId="1E19AEEA" w14:textId="5A5807F8" w:rsidR="000C45CF" w:rsidRDefault="000C45CF" w:rsidP="008107AD">
            <w:pPr>
              <w:pBdr>
                <w:top w:val="none" w:sz="0" w:space="0" w:color="auto"/>
                <w:left w:val="none" w:sz="0" w:space="0" w:color="auto"/>
                <w:bottom w:val="single" w:sz="12" w:space="1" w:color="auto"/>
                <w:right w:val="none" w:sz="0" w:space="0" w:color="auto"/>
                <w:between w:val="none" w:sz="0" w:space="0" w:color="auto"/>
                <w:bar w:val="none" w:sz="0" w:color="auto"/>
              </w:pBdr>
              <w:spacing w:line="276" w:lineRule="auto"/>
              <w:jc w:val="both"/>
              <w:rPr>
                <w:rFonts w:ascii="Arial" w:hAnsi="Arial" w:cs="Arial"/>
                <w:b/>
                <w:bCs/>
              </w:rPr>
            </w:pPr>
          </w:p>
          <w:p w14:paraId="10DC388E" w14:textId="77777777" w:rsidR="000C45CF" w:rsidRDefault="000C45CF" w:rsidP="00810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rPr>
            </w:pPr>
          </w:p>
          <w:p w14:paraId="3DC19059" w14:textId="7E36A170" w:rsidR="00260F2D" w:rsidRPr="00665EC9" w:rsidRDefault="00260F2D" w:rsidP="008107A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7430"/>
              <w:gridCol w:w="169"/>
            </w:tblGrid>
            <w:tr w:rsidR="00260F2D" w:rsidRPr="00665EC9" w14:paraId="1B2970AA" w14:textId="77777777" w:rsidTr="003447FB">
              <w:trPr>
                <w:trHeight w:val="759"/>
              </w:trPr>
              <w:tc>
                <w:tcPr>
                  <w:tcW w:w="1815" w:type="dxa"/>
                </w:tcPr>
                <w:p w14:paraId="45CB6FFD"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Coram:</w:t>
                  </w:r>
                  <w:r w:rsidRPr="00361C33">
                    <w:rPr>
                      <w:rFonts w:ascii="Times" w:eastAsia="Times New Roman" w:hAnsi="Times" w:cs="Arial"/>
                      <w:i/>
                      <w:iCs/>
                      <w:sz w:val="24"/>
                      <w:szCs w:val="24"/>
                      <w:lang w:val="en-ZA"/>
                    </w:rPr>
                    <w:t>          </w:t>
                  </w:r>
                </w:p>
              </w:tc>
              <w:tc>
                <w:tcPr>
                  <w:tcW w:w="7599" w:type="dxa"/>
                  <w:gridSpan w:val="2"/>
                </w:tcPr>
                <w:p w14:paraId="28940598" w14:textId="68144A2E" w:rsidR="00260F2D" w:rsidRPr="005D1D30" w:rsidRDefault="00260F2D"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A75309" w14:textId="77777777" w:rsidR="00260F2D" w:rsidRPr="005D1D30"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CF55DA0" w14:textId="77777777" w:rsidTr="003447FB">
              <w:trPr>
                <w:gridAfter w:val="1"/>
                <w:wAfter w:w="169" w:type="dxa"/>
                <w:trHeight w:val="759"/>
              </w:trPr>
              <w:tc>
                <w:tcPr>
                  <w:tcW w:w="1815" w:type="dxa"/>
                </w:tcPr>
                <w:p w14:paraId="1FD3EEEB"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Heard on</w:t>
                  </w:r>
                  <w:r w:rsidRPr="00361C33">
                    <w:rPr>
                      <w:rFonts w:ascii="Times" w:eastAsia="Times New Roman" w:hAnsi="Times" w:cs="Arial"/>
                      <w:i/>
                      <w:iCs/>
                      <w:sz w:val="24"/>
                      <w:szCs w:val="24"/>
                      <w:lang w:val="en-ZA"/>
                    </w:rPr>
                    <w:t>:      </w:t>
                  </w:r>
                </w:p>
              </w:tc>
              <w:tc>
                <w:tcPr>
                  <w:tcW w:w="7430" w:type="dxa"/>
                </w:tcPr>
                <w:p w14:paraId="208179F3" w14:textId="119B829D" w:rsidR="00260F2D" w:rsidRPr="005D1D30" w:rsidRDefault="008869C8" w:rsidP="008107A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rPr>
                    <w:t>15 September</w:t>
                  </w:r>
                  <w:r w:rsidR="007E1AF2">
                    <w:rPr>
                      <w:rFonts w:ascii="Arial" w:eastAsia="Times New Roman" w:hAnsi="Arial" w:cs="Arial"/>
                      <w:color w:val="000000"/>
                      <w:sz w:val="24"/>
                      <w:szCs w:val="24"/>
                    </w:rPr>
                    <w:t xml:space="preserve"> 2023</w:t>
                  </w:r>
                  <w:r w:rsidR="002133E4">
                    <w:rPr>
                      <w:rFonts w:ascii="Arial" w:eastAsia="Times New Roman" w:hAnsi="Arial" w:cs="Arial"/>
                      <w:color w:val="000000"/>
                      <w:sz w:val="24"/>
                      <w:szCs w:val="24"/>
                    </w:rPr>
                    <w:t xml:space="preserve"> </w:t>
                  </w:r>
                </w:p>
                <w:p w14:paraId="22302B2F" w14:textId="77777777" w:rsidR="00260F2D" w:rsidRPr="005D1D30"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260F2D" w:rsidRPr="00665EC9" w14:paraId="2291878F" w14:textId="77777777" w:rsidTr="003447FB">
              <w:trPr>
                <w:gridAfter w:val="1"/>
                <w:wAfter w:w="169" w:type="dxa"/>
                <w:trHeight w:val="60"/>
              </w:trPr>
              <w:tc>
                <w:tcPr>
                  <w:tcW w:w="1815" w:type="dxa"/>
                </w:tcPr>
                <w:p w14:paraId="5C159BC4" w14:textId="77777777" w:rsidR="00260F2D" w:rsidRPr="00361C33" w:rsidRDefault="00260F2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hAnsi="Times" w:cs="Arial"/>
                      <w:b/>
                      <w:bCs/>
                      <w:i/>
                      <w:iCs/>
                      <w:sz w:val="24"/>
                      <w:szCs w:val="24"/>
                    </w:rPr>
                  </w:pPr>
                  <w:r w:rsidRPr="00361C33">
                    <w:rPr>
                      <w:rFonts w:ascii="Times" w:eastAsia="Times New Roman" w:hAnsi="Times" w:cs="Arial"/>
                      <w:b/>
                      <w:bCs/>
                      <w:i/>
                      <w:iCs/>
                      <w:sz w:val="24"/>
                      <w:szCs w:val="24"/>
                      <w:lang w:val="en-ZA"/>
                    </w:rPr>
                    <w:t xml:space="preserve">Delivered:   </w:t>
                  </w:r>
                </w:p>
              </w:tc>
              <w:tc>
                <w:tcPr>
                  <w:tcW w:w="7430" w:type="dxa"/>
                </w:tcPr>
                <w:p w14:paraId="44058379" w14:textId="2947139E" w:rsidR="00260F2D" w:rsidRPr="00385E64" w:rsidRDefault="00AD4721"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2</w:t>
                  </w:r>
                  <w:r w:rsidR="00461169">
                    <w:rPr>
                      <w:rFonts w:ascii="Arial" w:eastAsia="Times New Roman" w:hAnsi="Arial" w:cs="Arial"/>
                      <w:color w:val="000000"/>
                      <w:sz w:val="24"/>
                      <w:szCs w:val="24"/>
                      <w:lang w:val="en-ZA"/>
                    </w:rPr>
                    <w:t>9 September</w:t>
                  </w:r>
                  <w:r w:rsidR="00953D16">
                    <w:rPr>
                      <w:rFonts w:ascii="Arial" w:eastAsia="Times New Roman" w:hAnsi="Arial" w:cs="Arial"/>
                      <w:color w:val="000000"/>
                      <w:sz w:val="24"/>
                      <w:szCs w:val="24"/>
                      <w:lang w:val="en-ZA"/>
                    </w:rPr>
                    <w:t xml:space="preserve"> </w:t>
                  </w:r>
                  <w:r w:rsidR="007E1AF2">
                    <w:rPr>
                      <w:rFonts w:ascii="Arial" w:eastAsia="Times New Roman" w:hAnsi="Arial" w:cs="Arial"/>
                      <w:color w:val="000000"/>
                      <w:sz w:val="24"/>
                      <w:szCs w:val="24"/>
                      <w:lang w:val="en-ZA"/>
                    </w:rPr>
                    <w:t>2023</w:t>
                  </w:r>
                  <w:r w:rsidR="00260F2D"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260F2D" w:rsidRPr="005D1D30">
                    <w:rPr>
                      <w:rFonts w:ascii="Arial" w:eastAsia="Times New Roman" w:hAnsi="Arial" w:cs="Arial"/>
                      <w:i/>
                      <w:iCs/>
                      <w:color w:val="000000"/>
                      <w:sz w:val="24"/>
                      <w:szCs w:val="24"/>
                      <w:lang w:val="en-ZA"/>
                    </w:rPr>
                    <w:t>CaseLines</w:t>
                  </w:r>
                  <w:r w:rsidR="00260F2D" w:rsidRPr="005D1D30">
                    <w:rPr>
                      <w:rFonts w:ascii="Arial" w:eastAsia="Times New Roman" w:hAnsi="Arial" w:cs="Arial"/>
                      <w:color w:val="000000"/>
                      <w:sz w:val="24"/>
                      <w:szCs w:val="24"/>
                      <w:lang w:val="en-ZA"/>
                    </w:rPr>
                    <w:t xml:space="preserve"> system of the GD and by release to SAFLII. The date and time for hand-down is deemed to be </w:t>
                  </w:r>
                  <w:r w:rsidR="00461169">
                    <w:rPr>
                      <w:rFonts w:ascii="Arial" w:eastAsia="Times New Roman" w:hAnsi="Arial" w:cs="Arial"/>
                      <w:color w:val="000000"/>
                      <w:sz w:val="24"/>
                      <w:szCs w:val="24"/>
                      <w:lang w:val="en-ZA"/>
                    </w:rPr>
                    <w:t>12H</w:t>
                  </w:r>
                  <w:r w:rsidR="00685DA9">
                    <w:rPr>
                      <w:rFonts w:ascii="Arial" w:eastAsia="Times New Roman" w:hAnsi="Arial" w:cs="Arial"/>
                      <w:color w:val="000000"/>
                      <w:sz w:val="24"/>
                      <w:szCs w:val="24"/>
                      <w:lang w:val="en-ZA"/>
                    </w:rPr>
                    <w:t>3</w:t>
                  </w:r>
                  <w:r w:rsidR="00461169">
                    <w:rPr>
                      <w:rFonts w:ascii="Arial" w:eastAsia="Times New Roman" w:hAnsi="Arial" w:cs="Arial"/>
                      <w:color w:val="000000"/>
                      <w:sz w:val="24"/>
                      <w:szCs w:val="24"/>
                      <w:lang w:val="en-ZA"/>
                    </w:rPr>
                    <w:t>0</w:t>
                  </w:r>
                  <w:r w:rsidR="00260F2D"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2</w:t>
                  </w:r>
                  <w:r w:rsidR="00461169">
                    <w:rPr>
                      <w:rFonts w:ascii="Arial" w:eastAsia="Times New Roman" w:hAnsi="Arial" w:cs="Arial"/>
                      <w:color w:val="000000"/>
                      <w:sz w:val="24"/>
                      <w:szCs w:val="24"/>
                      <w:lang w:val="en-ZA"/>
                    </w:rPr>
                    <w:t>9</w:t>
                  </w:r>
                  <w:r>
                    <w:rPr>
                      <w:rFonts w:ascii="Arial" w:eastAsia="Times New Roman" w:hAnsi="Arial" w:cs="Arial"/>
                      <w:color w:val="000000"/>
                      <w:sz w:val="24"/>
                      <w:szCs w:val="24"/>
                      <w:lang w:val="en-ZA"/>
                    </w:rPr>
                    <w:t xml:space="preserve"> </w:t>
                  </w:r>
                  <w:r w:rsidR="00461169">
                    <w:rPr>
                      <w:rFonts w:ascii="Arial" w:eastAsia="Times New Roman" w:hAnsi="Arial" w:cs="Arial"/>
                      <w:color w:val="000000"/>
                      <w:sz w:val="24"/>
                      <w:szCs w:val="24"/>
                      <w:lang w:val="en-ZA"/>
                    </w:rPr>
                    <w:t xml:space="preserve">September </w:t>
                  </w:r>
                  <w:r w:rsidR="007E1AF2">
                    <w:rPr>
                      <w:rFonts w:ascii="Arial" w:eastAsia="Times New Roman" w:hAnsi="Arial" w:cs="Arial"/>
                      <w:color w:val="000000"/>
                      <w:sz w:val="24"/>
                      <w:szCs w:val="24"/>
                      <w:lang w:val="en-ZA"/>
                    </w:rPr>
                    <w:t>2023</w:t>
                  </w:r>
                </w:p>
              </w:tc>
            </w:tr>
            <w:tr w:rsidR="008107AD" w:rsidRPr="00665EC9" w14:paraId="6FE0CA0F" w14:textId="77777777" w:rsidTr="003447FB">
              <w:trPr>
                <w:gridAfter w:val="1"/>
                <w:wAfter w:w="169" w:type="dxa"/>
                <w:trHeight w:val="60"/>
              </w:trPr>
              <w:tc>
                <w:tcPr>
                  <w:tcW w:w="1815" w:type="dxa"/>
                </w:tcPr>
                <w:p w14:paraId="4EF42B0C" w14:textId="77777777" w:rsidR="0032736C" w:rsidRPr="00361C33" w:rsidRDefault="0032736C"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eastAsia="Times New Roman" w:hAnsi="Times" w:cs="Arial"/>
                      <w:b/>
                      <w:bCs/>
                      <w:i/>
                      <w:iCs/>
                      <w:sz w:val="24"/>
                      <w:szCs w:val="24"/>
                      <w:lang w:val="en-ZA"/>
                    </w:rPr>
                  </w:pPr>
                </w:p>
                <w:p w14:paraId="5BCA254B" w14:textId="38166A2E" w:rsidR="008107AD" w:rsidRPr="00361C33" w:rsidRDefault="008107AD" w:rsidP="008107A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imes" w:eastAsia="Times New Roman" w:hAnsi="Times" w:cs="Arial"/>
                      <w:b/>
                      <w:bCs/>
                      <w:i/>
                      <w:iCs/>
                      <w:sz w:val="24"/>
                      <w:szCs w:val="24"/>
                      <w:lang w:val="en-ZA"/>
                    </w:rPr>
                  </w:pPr>
                  <w:r w:rsidRPr="00361C33">
                    <w:rPr>
                      <w:rFonts w:ascii="Times" w:eastAsia="Times New Roman" w:hAnsi="Times" w:cs="Arial"/>
                      <w:b/>
                      <w:bCs/>
                      <w:i/>
                      <w:iCs/>
                      <w:sz w:val="24"/>
                      <w:szCs w:val="24"/>
                      <w:lang w:val="en-ZA"/>
                    </w:rPr>
                    <w:t>Summary:</w:t>
                  </w:r>
                </w:p>
              </w:tc>
              <w:tc>
                <w:tcPr>
                  <w:tcW w:w="7430" w:type="dxa"/>
                </w:tcPr>
                <w:p w14:paraId="70859DF5" w14:textId="77777777" w:rsidR="0032736C" w:rsidRDefault="0032736C" w:rsidP="008107A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20" w:line="276" w:lineRule="auto"/>
                    <w:ind w:right="37" w:hanging="21"/>
                    <w:jc w:val="both"/>
                    <w:rPr>
                      <w:rFonts w:ascii="Arial" w:eastAsia="Times New Roman" w:hAnsi="Arial" w:cs="Arial"/>
                      <w:color w:val="000000"/>
                      <w:sz w:val="24"/>
                      <w:szCs w:val="24"/>
                      <w:lang w:val="en-ZA"/>
                    </w:rPr>
                  </w:pPr>
                </w:p>
                <w:p w14:paraId="60F5DF16" w14:textId="77777777" w:rsidR="008107AD" w:rsidRDefault="003447FB" w:rsidP="00361C33">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 xml:space="preserve">Application to review and set aside conditions attached to an Exemption from compliance with the provisions of the Banks Act – legality review – no basis upon which to find that any of the conditions imposed are subject to review – application dismissed with costs.  </w:t>
                  </w:r>
                </w:p>
                <w:p w14:paraId="75058589" w14:textId="327F83F3" w:rsidR="003447FB" w:rsidRPr="00361C33" w:rsidRDefault="003447FB" w:rsidP="00361C33">
                  <w:pPr>
                    <w:tabs>
                      <w:tab w:val="left" w:pos="0"/>
                    </w:tabs>
                    <w:spacing w:after="120" w:line="276" w:lineRule="auto"/>
                    <w:ind w:right="37" w:hanging="21"/>
                    <w:jc w:val="both"/>
                    <w:rPr>
                      <w:rFonts w:ascii="Arial" w:eastAsia="Times New Roman" w:hAnsi="Arial" w:cs="Arial"/>
                      <w:color w:val="000000"/>
                      <w:sz w:val="24"/>
                      <w:szCs w:val="24"/>
                      <w:lang w:val="en-ZA"/>
                    </w:rPr>
                  </w:pPr>
                </w:p>
              </w:tc>
            </w:tr>
          </w:tbl>
          <w:p w14:paraId="440A412E" w14:textId="77777777" w:rsidR="00260F2D" w:rsidRPr="00665EC9" w:rsidRDefault="00260F2D" w:rsidP="0063569A">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44684878" w14:textId="5F98A9A2" w:rsidR="00B70620" w:rsidRPr="0032736C" w:rsidRDefault="00B70620" w:rsidP="00361C33">
      <w:pPr>
        <w:pStyle w:val="LegalTramLines"/>
        <w:pBdr>
          <w:top w:val="single" w:sz="12" w:space="31" w:color="auto"/>
          <w:bottom w:val="single" w:sz="12" w:space="18" w:color="auto"/>
        </w:pBdr>
        <w:spacing w:after="240"/>
        <w:rPr>
          <w:rFonts w:ascii="Arial" w:hAnsi="Arial" w:cs="Arial"/>
        </w:rPr>
      </w:pPr>
      <w:r w:rsidRPr="00217B1F">
        <w:rPr>
          <w:rFonts w:ascii="Arial" w:hAnsi="Arial" w:cs="Arial"/>
        </w:rPr>
        <w:t>ORDER</w:t>
      </w:r>
    </w:p>
    <w:p w14:paraId="1FBF965D" w14:textId="77777777" w:rsidR="003447FB" w:rsidRDefault="003447FB" w:rsidP="00B70620">
      <w:pPr>
        <w:pStyle w:val="LegalMAINHEADING"/>
        <w:spacing w:before="0" w:after="120" w:line="360" w:lineRule="auto"/>
        <w:rPr>
          <w:rFonts w:cs="Arial"/>
          <w:caps w:val="0"/>
          <w:lang w:eastAsia="en-US"/>
        </w:rPr>
      </w:pPr>
    </w:p>
    <w:p w14:paraId="6FB1000D" w14:textId="3771B1D2" w:rsidR="00B70620" w:rsidRPr="005D79B5" w:rsidRDefault="00B70620" w:rsidP="00B70620">
      <w:pPr>
        <w:pStyle w:val="LegalMAINHEADING"/>
        <w:spacing w:before="0" w:after="120" w:line="360" w:lineRule="auto"/>
        <w:rPr>
          <w:rFonts w:cs="Arial"/>
          <w:b w:val="0"/>
          <w:caps w:val="0"/>
          <w:lang w:eastAsia="en-US"/>
        </w:rPr>
      </w:pPr>
      <w:r w:rsidRPr="005D79B5">
        <w:rPr>
          <w:rFonts w:cs="Arial"/>
          <w:caps w:val="0"/>
          <w:lang w:eastAsia="en-US"/>
        </w:rPr>
        <w:t>It is Ordered</w:t>
      </w:r>
      <w:r w:rsidRPr="005D79B5">
        <w:rPr>
          <w:rFonts w:cs="Arial"/>
          <w:b w:val="0"/>
          <w:caps w:val="0"/>
          <w:lang w:eastAsia="en-US"/>
        </w:rPr>
        <w:t>:</w:t>
      </w:r>
    </w:p>
    <w:p w14:paraId="745BF877" w14:textId="77777777" w:rsidR="00B70620" w:rsidRPr="005D79B5" w:rsidRDefault="00B70620" w:rsidP="00B70620">
      <w:pPr>
        <w:rPr>
          <w:lang w:val="en-GB"/>
        </w:rPr>
      </w:pPr>
    </w:p>
    <w:p w14:paraId="745AB005" w14:textId="53DA251A" w:rsidR="00CB2B7F" w:rsidRPr="00CB2B7F" w:rsidRDefault="00CB2B7F" w:rsidP="00CB2B7F">
      <w:pPr>
        <w:spacing w:line="360" w:lineRule="auto"/>
        <w:ind w:left="851" w:hanging="851"/>
        <w:jc w:val="both"/>
        <w:rPr>
          <w:rFonts w:ascii="Arial" w:hAnsi="Arial" w:cs="Arial"/>
          <w:iCs/>
          <w:color w:val="000000" w:themeColor="text1"/>
        </w:rPr>
      </w:pPr>
      <w:bookmarkStart w:id="0" w:name="_Hlk102030155"/>
      <w:r>
        <w:rPr>
          <w:rFonts w:ascii="Arial" w:hAnsi="Arial" w:cs="Arial"/>
          <w:iCs/>
          <w:color w:val="000000" w:themeColor="text1"/>
        </w:rPr>
        <w:t>[1]</w:t>
      </w:r>
      <w:r>
        <w:rPr>
          <w:rFonts w:ascii="Arial" w:hAnsi="Arial" w:cs="Arial"/>
          <w:iCs/>
          <w:color w:val="000000" w:themeColor="text1"/>
        </w:rPr>
        <w:tab/>
      </w:r>
      <w:r w:rsidRPr="00CB2B7F">
        <w:rPr>
          <w:rFonts w:ascii="Arial" w:hAnsi="Arial" w:cs="Arial"/>
          <w:iCs/>
          <w:color w:val="000000" w:themeColor="text1"/>
        </w:rPr>
        <w:t>The application is dismissed.</w:t>
      </w:r>
    </w:p>
    <w:p w14:paraId="13595CA2" w14:textId="77777777" w:rsidR="00CB2B7F" w:rsidRDefault="00CB2B7F" w:rsidP="00CB2B7F">
      <w:pPr>
        <w:spacing w:line="360" w:lineRule="auto"/>
        <w:jc w:val="both"/>
        <w:rPr>
          <w:rFonts w:ascii="Arial" w:hAnsi="Arial" w:cs="Arial"/>
          <w:iCs/>
          <w:color w:val="000000" w:themeColor="text1"/>
        </w:rPr>
      </w:pPr>
    </w:p>
    <w:p w14:paraId="17E75628" w14:textId="7729FB29" w:rsidR="00CB2B7F" w:rsidRPr="00CB2B7F" w:rsidRDefault="00CB2B7F" w:rsidP="00CB2B7F">
      <w:pPr>
        <w:spacing w:line="360" w:lineRule="auto"/>
        <w:ind w:left="851" w:hanging="851"/>
        <w:jc w:val="both"/>
        <w:rPr>
          <w:rFonts w:ascii="Arial" w:hAnsi="Arial" w:cs="Arial"/>
          <w:iCs/>
          <w:color w:val="000000" w:themeColor="text1"/>
        </w:rPr>
      </w:pPr>
      <w:r>
        <w:rPr>
          <w:rFonts w:ascii="Arial" w:hAnsi="Arial" w:cs="Arial"/>
          <w:iCs/>
          <w:color w:val="000000" w:themeColor="text1"/>
        </w:rPr>
        <w:t>[2]</w:t>
      </w:r>
      <w:r>
        <w:rPr>
          <w:rFonts w:ascii="Arial" w:hAnsi="Arial" w:cs="Arial"/>
          <w:iCs/>
          <w:color w:val="000000" w:themeColor="text1"/>
        </w:rPr>
        <w:tab/>
      </w:r>
      <w:r w:rsidRPr="00CB2B7F">
        <w:rPr>
          <w:rFonts w:ascii="Arial" w:hAnsi="Arial" w:cs="Arial"/>
          <w:iCs/>
          <w:color w:val="000000" w:themeColor="text1"/>
        </w:rPr>
        <w:t>The applicants are ordered to pay the costs of the first and second respondents on the scale as between party and party, such costs to include the cost</w:t>
      </w:r>
      <w:r w:rsidR="00461169">
        <w:rPr>
          <w:rFonts w:ascii="Arial" w:hAnsi="Arial" w:cs="Arial"/>
          <w:iCs/>
          <w:color w:val="000000" w:themeColor="text1"/>
        </w:rPr>
        <w:t>s</w:t>
      </w:r>
      <w:r w:rsidRPr="00CB2B7F">
        <w:rPr>
          <w:rFonts w:ascii="Arial" w:hAnsi="Arial" w:cs="Arial"/>
          <w:iCs/>
          <w:color w:val="000000" w:themeColor="text1"/>
        </w:rPr>
        <w:t xml:space="preserve"> consequent upon the employment of two counsel where more than one counsel was engaged.</w:t>
      </w:r>
    </w:p>
    <w:bookmarkEnd w:id="0"/>
    <w:p w14:paraId="213AFAC9" w14:textId="77777777" w:rsidR="0032736C" w:rsidRPr="00CB2B7F" w:rsidRDefault="0032736C" w:rsidP="00CB2B7F">
      <w:pPr>
        <w:spacing w:line="360" w:lineRule="auto"/>
        <w:jc w:val="both"/>
        <w:rPr>
          <w:rFonts w:ascii="Arial" w:hAnsi="Arial" w:cs="Arial"/>
          <w:iCs/>
          <w:color w:val="000000" w:themeColor="text1"/>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E87C23" w:rsidRPr="0031449E" w14:paraId="4ADC5BDB" w14:textId="77777777" w:rsidTr="00195908">
        <w:tc>
          <w:tcPr>
            <w:tcW w:w="9350" w:type="dxa"/>
          </w:tcPr>
          <w:p w14:paraId="1A8C2A0E" w14:textId="19B078BD" w:rsidR="00E87C23" w:rsidRDefault="00E87C23" w:rsidP="00E87C2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r>
              <w:rPr>
                <w:rFonts w:eastAsia="Tahoma" w:cs="Arial"/>
                <w:b/>
                <w:bCs/>
                <w:sz w:val="32"/>
                <w:szCs w:val="24"/>
                <w:lang w:val="de-DE"/>
              </w:rPr>
              <w:t xml:space="preserve"> </w:t>
            </w:r>
          </w:p>
          <w:p w14:paraId="0E360EA4" w14:textId="29EA24F1" w:rsidR="00E87C23" w:rsidRPr="00E965B7" w:rsidRDefault="00E87C23" w:rsidP="00E965B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center"/>
              <w:rPr>
                <w:rFonts w:eastAsia="Tahoma" w:cs="Arial"/>
                <w:b/>
                <w:bCs/>
                <w:sz w:val="24"/>
                <w:szCs w:val="24"/>
                <w:lang w:val="de-DE"/>
              </w:rPr>
            </w:pPr>
            <w:r w:rsidRPr="000C45CF">
              <w:rPr>
                <w:rFonts w:eastAsia="Tahoma" w:cs="Arial"/>
                <w:b/>
                <w:bCs/>
                <w:sz w:val="24"/>
                <w:szCs w:val="24"/>
                <w:lang w:val="de-DE"/>
              </w:rPr>
              <w:t>JUDGMENT</w:t>
            </w:r>
            <w:r w:rsidR="00F07FAF" w:rsidRPr="000C45CF">
              <w:rPr>
                <w:rFonts w:eastAsia="Tahoma" w:cs="Arial"/>
                <w:b/>
                <w:bCs/>
                <w:sz w:val="24"/>
                <w:szCs w:val="24"/>
                <w:lang w:val="de-DE"/>
              </w:rPr>
              <w:t xml:space="preserve"> </w:t>
            </w:r>
          </w:p>
        </w:tc>
      </w:tr>
    </w:tbl>
    <w:p w14:paraId="02BCB5D5" w14:textId="77777777" w:rsidR="00E87C23" w:rsidRDefault="00E87C23" w:rsidP="00E87C23">
      <w:pPr>
        <w:pStyle w:val="Body"/>
        <w:jc w:val="both"/>
        <w:rPr>
          <w:b/>
          <w:sz w:val="22"/>
          <w:szCs w:val="22"/>
        </w:rPr>
      </w:pPr>
    </w:p>
    <w:p w14:paraId="1C98549E" w14:textId="77777777" w:rsidR="00E87C23" w:rsidRDefault="00E87C23" w:rsidP="00E87C23">
      <w:pPr>
        <w:pStyle w:val="Body"/>
        <w:jc w:val="both"/>
        <w:rPr>
          <w:b/>
          <w:sz w:val="22"/>
          <w:szCs w:val="22"/>
          <w:u w:val="single"/>
        </w:rPr>
      </w:pPr>
      <w:r w:rsidRPr="00C519B2">
        <w:rPr>
          <w:b/>
          <w:sz w:val="22"/>
          <w:szCs w:val="22"/>
          <w:u w:val="single"/>
        </w:rPr>
        <w:t>MILLAR J</w:t>
      </w:r>
    </w:p>
    <w:p w14:paraId="614F38BC" w14:textId="5292C95E" w:rsidR="00765BC3" w:rsidRDefault="00765BC3" w:rsidP="00765BC3"/>
    <w:p w14:paraId="6443F150" w14:textId="1B3BC8EA" w:rsidR="002133E4" w:rsidRDefault="00361C33" w:rsidP="00765BC3">
      <w:pPr>
        <w:rPr>
          <w:rFonts w:ascii="Arial" w:hAnsi="Arial" w:cs="Arial"/>
          <w:b/>
          <w:bCs/>
          <w:u w:val="single"/>
        </w:rPr>
      </w:pPr>
      <w:r>
        <w:rPr>
          <w:rFonts w:ascii="Arial" w:hAnsi="Arial" w:cs="Arial"/>
          <w:b/>
          <w:bCs/>
          <w:u w:val="single"/>
        </w:rPr>
        <w:t>INTRODUCTION</w:t>
      </w:r>
    </w:p>
    <w:p w14:paraId="26982CD3" w14:textId="77777777" w:rsidR="002133E4" w:rsidRPr="002133E4" w:rsidRDefault="002133E4" w:rsidP="00765BC3">
      <w:pPr>
        <w:rPr>
          <w:rFonts w:ascii="Arial" w:hAnsi="Arial" w:cs="Arial"/>
          <w:b/>
          <w:bCs/>
          <w:u w:val="single"/>
        </w:rPr>
      </w:pPr>
    </w:p>
    <w:p w14:paraId="1327DD08" w14:textId="77777777" w:rsidR="002133E4" w:rsidRDefault="002133E4" w:rsidP="00765BC3"/>
    <w:p w14:paraId="1000BFE0" w14:textId="3D43921D" w:rsidR="005B62B3" w:rsidRPr="00AB10E4" w:rsidRDefault="00AB10E4" w:rsidP="00AB10E4">
      <w:pPr>
        <w:spacing w:line="360" w:lineRule="auto"/>
        <w:ind w:left="851" w:hanging="851"/>
        <w:jc w:val="both"/>
        <w:rPr>
          <w:rFonts w:ascii="Arial" w:hAnsi="Arial" w:cs="Arial"/>
          <w:color w:val="000000" w:themeColor="text1"/>
        </w:rPr>
      </w:pPr>
      <w:r w:rsidRPr="005B62B3">
        <w:rPr>
          <w:rFonts w:ascii="Arial" w:hAnsi="Arial" w:cs="Arial"/>
          <w:color w:val="000000" w:themeColor="text1"/>
        </w:rPr>
        <w:t>[1</w:t>
      </w:r>
      <w:bookmarkStart w:id="1" w:name="_GoBack"/>
      <w:bookmarkEnd w:id="1"/>
      <w:r w:rsidRPr="005B62B3">
        <w:rPr>
          <w:rFonts w:ascii="Arial" w:hAnsi="Arial" w:cs="Arial"/>
          <w:color w:val="000000" w:themeColor="text1"/>
        </w:rPr>
        <w:t>]</w:t>
      </w:r>
      <w:r w:rsidRPr="005B62B3">
        <w:rPr>
          <w:rFonts w:ascii="Arial" w:hAnsi="Arial" w:cs="Arial"/>
          <w:color w:val="000000" w:themeColor="text1"/>
        </w:rPr>
        <w:tab/>
      </w:r>
      <w:r w:rsidR="003F6E41" w:rsidRPr="00AB10E4">
        <w:rPr>
          <w:rFonts w:ascii="Arial" w:hAnsi="Arial" w:cs="Arial"/>
        </w:rPr>
        <w:t>For almost three decades, the fourth respondent, the Ithala Development Finance Corporation (Ithala),</w:t>
      </w:r>
      <w:r w:rsidR="005B62B3" w:rsidRPr="00AB10E4">
        <w:rPr>
          <w:rFonts w:ascii="Arial" w:hAnsi="Arial" w:cs="Arial"/>
        </w:rPr>
        <w:t xml:space="preserve"> which amongst other business took deposits from members of the public, as banks </w:t>
      </w:r>
      <w:r w:rsidR="009D5C1A" w:rsidRPr="00AB10E4">
        <w:rPr>
          <w:rFonts w:ascii="Arial" w:hAnsi="Arial" w:cs="Arial"/>
        </w:rPr>
        <w:t>do, even</w:t>
      </w:r>
      <w:r w:rsidR="005B62B3" w:rsidRPr="00AB10E4">
        <w:rPr>
          <w:rFonts w:ascii="Arial" w:hAnsi="Arial" w:cs="Arial"/>
        </w:rPr>
        <w:t xml:space="preserve"> though it is not a bank, </w:t>
      </w:r>
      <w:r w:rsidR="003F6E41" w:rsidRPr="00AB10E4">
        <w:rPr>
          <w:rFonts w:ascii="Arial" w:hAnsi="Arial" w:cs="Arial"/>
        </w:rPr>
        <w:t>sought and w</w:t>
      </w:r>
      <w:r w:rsidR="005B62B3" w:rsidRPr="00AB10E4">
        <w:rPr>
          <w:rFonts w:ascii="Arial" w:hAnsi="Arial" w:cs="Arial"/>
        </w:rPr>
        <w:t>as</w:t>
      </w:r>
      <w:r w:rsidR="003F6E41" w:rsidRPr="00AB10E4">
        <w:rPr>
          <w:rFonts w:ascii="Arial" w:hAnsi="Arial" w:cs="Arial"/>
        </w:rPr>
        <w:t xml:space="preserve"> granted, </w:t>
      </w:r>
      <w:r w:rsidR="00984B95" w:rsidRPr="00AB10E4">
        <w:rPr>
          <w:rFonts w:ascii="Arial" w:hAnsi="Arial" w:cs="Arial"/>
        </w:rPr>
        <w:t>Exemption</w:t>
      </w:r>
      <w:r w:rsidR="00C867BE" w:rsidRPr="00AB10E4">
        <w:rPr>
          <w:rFonts w:ascii="Arial" w:hAnsi="Arial" w:cs="Arial"/>
        </w:rPr>
        <w:t xml:space="preserve"> from compliance with certain provisions of the Banks Act.</w:t>
      </w:r>
      <w:r w:rsidR="00AD0032">
        <w:rPr>
          <w:rStyle w:val="FootnoteReference"/>
          <w:rFonts w:ascii="Arial" w:hAnsi="Arial" w:cs="Arial"/>
        </w:rPr>
        <w:footnoteReference w:id="1"/>
      </w:r>
      <w:r w:rsidR="00140BDC" w:rsidRPr="00AB10E4">
        <w:rPr>
          <w:rFonts w:ascii="Arial" w:hAnsi="Arial" w:cs="Arial"/>
        </w:rPr>
        <w:t xml:space="preserve">  </w:t>
      </w:r>
    </w:p>
    <w:p w14:paraId="1ABBA2C2" w14:textId="2B5FA9C5" w:rsidR="005B62B3" w:rsidRPr="005B62B3" w:rsidRDefault="00C867BE" w:rsidP="00D229F8">
      <w:pPr>
        <w:pStyle w:val="ListParagraph"/>
        <w:spacing w:line="360" w:lineRule="auto"/>
        <w:ind w:left="851"/>
        <w:jc w:val="both"/>
        <w:rPr>
          <w:rFonts w:ascii="Arial" w:hAnsi="Arial" w:cs="Arial"/>
          <w:color w:val="000000" w:themeColor="text1"/>
        </w:rPr>
      </w:pPr>
      <w:r>
        <w:rPr>
          <w:rFonts w:ascii="Arial" w:hAnsi="Arial" w:cs="Arial"/>
        </w:rPr>
        <w:t xml:space="preserve"> </w:t>
      </w:r>
    </w:p>
    <w:p w14:paraId="26D91565" w14:textId="7940CFD4" w:rsidR="00C867BE" w:rsidRPr="00AB10E4" w:rsidRDefault="00AB10E4" w:rsidP="00AB10E4">
      <w:pPr>
        <w:spacing w:line="360" w:lineRule="auto"/>
        <w:ind w:left="851" w:hanging="851"/>
        <w:jc w:val="both"/>
        <w:rPr>
          <w:rFonts w:ascii="Arial" w:hAnsi="Arial" w:cs="Arial"/>
          <w:color w:val="000000" w:themeColor="text1"/>
        </w:rPr>
      </w:pPr>
      <w:r w:rsidRPr="00C867BE">
        <w:rPr>
          <w:rFonts w:ascii="Arial" w:hAnsi="Arial" w:cs="Arial"/>
          <w:color w:val="000000" w:themeColor="text1"/>
        </w:rPr>
        <w:t>[2]</w:t>
      </w:r>
      <w:r w:rsidRPr="00C867BE">
        <w:rPr>
          <w:rFonts w:ascii="Arial" w:hAnsi="Arial" w:cs="Arial"/>
          <w:color w:val="000000" w:themeColor="text1"/>
        </w:rPr>
        <w:tab/>
      </w:r>
      <w:r w:rsidR="00C867BE" w:rsidRPr="00AB10E4">
        <w:rPr>
          <w:rFonts w:ascii="Arial" w:hAnsi="Arial" w:cs="Arial"/>
        </w:rPr>
        <w:t xml:space="preserve">The most recent of these </w:t>
      </w:r>
      <w:r w:rsidR="00984B95" w:rsidRPr="00AB10E4">
        <w:rPr>
          <w:rFonts w:ascii="Arial" w:hAnsi="Arial" w:cs="Arial"/>
        </w:rPr>
        <w:t>Exemption</w:t>
      </w:r>
      <w:r w:rsidR="00C867BE" w:rsidRPr="00AB10E4">
        <w:rPr>
          <w:rFonts w:ascii="Arial" w:hAnsi="Arial" w:cs="Arial"/>
        </w:rPr>
        <w:t xml:space="preserve">s was granted on 22 July 2022 together with certain conditions. </w:t>
      </w:r>
    </w:p>
    <w:p w14:paraId="7CCC98B5" w14:textId="77777777" w:rsidR="00C867BE" w:rsidRPr="00C867BE" w:rsidRDefault="00C867BE" w:rsidP="00D229F8">
      <w:pPr>
        <w:pStyle w:val="ListParagraph"/>
        <w:spacing w:line="360" w:lineRule="auto"/>
        <w:ind w:left="851"/>
        <w:jc w:val="both"/>
        <w:rPr>
          <w:rFonts w:ascii="Arial" w:hAnsi="Arial" w:cs="Arial"/>
          <w:color w:val="000000" w:themeColor="text1"/>
        </w:rPr>
      </w:pPr>
    </w:p>
    <w:p w14:paraId="53D70EAB" w14:textId="0F224159" w:rsidR="00AD0032"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C867BE" w:rsidRPr="00AB10E4">
        <w:rPr>
          <w:rFonts w:ascii="Arial" w:hAnsi="Arial" w:cs="Arial"/>
          <w:color w:val="000000" w:themeColor="text1"/>
        </w:rPr>
        <w:t>The first applicant</w:t>
      </w:r>
      <w:r w:rsidR="0025174A" w:rsidRPr="00AB10E4">
        <w:rPr>
          <w:rFonts w:ascii="Arial" w:hAnsi="Arial" w:cs="Arial"/>
          <w:color w:val="000000" w:themeColor="text1"/>
        </w:rPr>
        <w:t xml:space="preserve">, </w:t>
      </w:r>
      <w:r w:rsidR="00C867BE" w:rsidRPr="00AB10E4">
        <w:rPr>
          <w:rFonts w:ascii="Arial" w:hAnsi="Arial" w:cs="Arial"/>
          <w:color w:val="000000" w:themeColor="text1"/>
        </w:rPr>
        <w:t xml:space="preserve">as the main shareholder of the </w:t>
      </w:r>
      <w:r w:rsidR="00DE497F" w:rsidRPr="00AB10E4">
        <w:rPr>
          <w:rFonts w:ascii="Arial" w:hAnsi="Arial" w:cs="Arial"/>
          <w:color w:val="000000" w:themeColor="text1"/>
        </w:rPr>
        <w:t>fourth</w:t>
      </w:r>
      <w:r w:rsidR="00C867BE" w:rsidRPr="00AB10E4">
        <w:rPr>
          <w:rFonts w:ascii="Arial" w:hAnsi="Arial" w:cs="Arial"/>
          <w:color w:val="000000" w:themeColor="text1"/>
        </w:rPr>
        <w:t xml:space="preserve"> respondent of which Ithala</w:t>
      </w:r>
      <w:r w:rsidR="00DA2C1D" w:rsidRPr="00AB10E4">
        <w:rPr>
          <w:rFonts w:ascii="Arial" w:hAnsi="Arial" w:cs="Arial"/>
          <w:color w:val="000000" w:themeColor="text1"/>
        </w:rPr>
        <w:t xml:space="preserve"> SOC Limited, the third </w:t>
      </w:r>
      <w:r w:rsidR="00AD4721" w:rsidRPr="00AB10E4">
        <w:rPr>
          <w:rFonts w:ascii="Arial" w:hAnsi="Arial" w:cs="Arial"/>
          <w:color w:val="000000" w:themeColor="text1"/>
        </w:rPr>
        <w:t>respondent, is</w:t>
      </w:r>
      <w:r w:rsidR="00C867BE" w:rsidRPr="00AB10E4">
        <w:rPr>
          <w:rFonts w:ascii="Arial" w:hAnsi="Arial" w:cs="Arial"/>
          <w:color w:val="000000" w:themeColor="text1"/>
        </w:rPr>
        <w:t xml:space="preserve"> a wholly owned subsidiary, takes issue with the imposition of </w:t>
      </w:r>
      <w:r w:rsidR="00D229F8" w:rsidRPr="00AB10E4">
        <w:rPr>
          <w:rFonts w:ascii="Arial" w:hAnsi="Arial" w:cs="Arial"/>
          <w:color w:val="000000" w:themeColor="text1"/>
        </w:rPr>
        <w:t>certain</w:t>
      </w:r>
      <w:r w:rsidR="00C867BE" w:rsidRPr="00AB10E4">
        <w:rPr>
          <w:rFonts w:ascii="Arial" w:hAnsi="Arial" w:cs="Arial"/>
          <w:color w:val="000000" w:themeColor="text1"/>
        </w:rPr>
        <w:t xml:space="preserve"> </w:t>
      </w:r>
      <w:r w:rsidR="00D229F8" w:rsidRPr="00AB10E4">
        <w:rPr>
          <w:rFonts w:ascii="Arial" w:hAnsi="Arial" w:cs="Arial"/>
          <w:color w:val="000000" w:themeColor="text1"/>
        </w:rPr>
        <w:t xml:space="preserve">specific </w:t>
      </w:r>
      <w:r w:rsidR="00C867BE" w:rsidRPr="00AB10E4">
        <w:rPr>
          <w:rFonts w:ascii="Arial" w:hAnsi="Arial" w:cs="Arial"/>
          <w:color w:val="000000" w:themeColor="text1"/>
        </w:rPr>
        <w:t xml:space="preserve">conditions and seeks to impugn the </w:t>
      </w:r>
      <w:r w:rsidR="00984B95" w:rsidRPr="00AB10E4">
        <w:rPr>
          <w:rFonts w:ascii="Arial" w:hAnsi="Arial" w:cs="Arial"/>
          <w:color w:val="000000" w:themeColor="text1"/>
        </w:rPr>
        <w:t>Exemption</w:t>
      </w:r>
      <w:r w:rsidR="00C867BE" w:rsidRPr="00AB10E4">
        <w:rPr>
          <w:rFonts w:ascii="Arial" w:hAnsi="Arial" w:cs="Arial"/>
          <w:color w:val="000000" w:themeColor="text1"/>
        </w:rPr>
        <w:t xml:space="preserve"> </w:t>
      </w:r>
      <w:r w:rsidR="00D229F8" w:rsidRPr="00AB10E4">
        <w:rPr>
          <w:rFonts w:ascii="Arial" w:hAnsi="Arial" w:cs="Arial"/>
          <w:color w:val="000000" w:themeColor="text1"/>
        </w:rPr>
        <w:t>o</w:t>
      </w:r>
      <w:r w:rsidR="00C867BE" w:rsidRPr="00AB10E4">
        <w:rPr>
          <w:rFonts w:ascii="Arial" w:hAnsi="Arial" w:cs="Arial"/>
          <w:color w:val="000000" w:themeColor="text1"/>
        </w:rPr>
        <w:t>n the terms in which it was granted.</w:t>
      </w:r>
      <w:r w:rsidR="00AD0032" w:rsidRPr="00AB10E4">
        <w:rPr>
          <w:rFonts w:ascii="Arial" w:hAnsi="Arial" w:cs="Arial"/>
          <w:color w:val="000000" w:themeColor="text1"/>
        </w:rPr>
        <w:t xml:space="preserve">  </w:t>
      </w:r>
      <w:r w:rsidR="001F1068" w:rsidRPr="00AB10E4">
        <w:rPr>
          <w:rFonts w:ascii="Arial" w:hAnsi="Arial" w:cs="Arial"/>
          <w:color w:val="000000" w:themeColor="text1"/>
        </w:rPr>
        <w:t>A previous application brought by the third respondent itself was unsuccessful.</w:t>
      </w:r>
      <w:r w:rsidR="001F1068">
        <w:rPr>
          <w:rStyle w:val="FootnoteReference"/>
          <w:rFonts w:ascii="Arial" w:hAnsi="Arial" w:cs="Arial"/>
          <w:color w:val="000000" w:themeColor="text1"/>
        </w:rPr>
        <w:footnoteReference w:id="2"/>
      </w:r>
    </w:p>
    <w:p w14:paraId="7C5A9A86" w14:textId="77777777" w:rsidR="00AD0032" w:rsidRPr="00AD0032" w:rsidRDefault="00AD0032" w:rsidP="00AD0032">
      <w:pPr>
        <w:pStyle w:val="ListParagraph"/>
        <w:rPr>
          <w:rFonts w:ascii="Arial" w:hAnsi="Arial" w:cs="Arial"/>
          <w:color w:val="000000" w:themeColor="text1"/>
        </w:rPr>
      </w:pPr>
    </w:p>
    <w:p w14:paraId="12BE0F81" w14:textId="39E049BD" w:rsidR="00AD0032"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AD0032" w:rsidRPr="00AB10E4">
        <w:rPr>
          <w:rFonts w:ascii="Arial" w:hAnsi="Arial" w:cs="Arial"/>
          <w:color w:val="000000" w:themeColor="text1"/>
        </w:rPr>
        <w:t xml:space="preserve">The first and second applicants, together with the third and fourth respondents, make common cause in challenging the legality of the imposition of the conditions that were attached to the Exemption.  For convenience, these </w:t>
      </w:r>
      <w:r w:rsidR="00461169" w:rsidRPr="00AB10E4">
        <w:rPr>
          <w:rFonts w:ascii="Arial" w:hAnsi="Arial" w:cs="Arial"/>
          <w:color w:val="000000" w:themeColor="text1"/>
        </w:rPr>
        <w:t>four</w:t>
      </w:r>
      <w:r w:rsidR="00AD0032" w:rsidRPr="00AB10E4">
        <w:rPr>
          <w:rFonts w:ascii="Arial" w:hAnsi="Arial" w:cs="Arial"/>
          <w:color w:val="000000" w:themeColor="text1"/>
        </w:rPr>
        <w:t xml:space="preserve"> parties will be referred to in this judgment collectively as “Ithala”.</w:t>
      </w:r>
      <w:r w:rsidR="00D229F8" w:rsidRPr="00AB10E4">
        <w:rPr>
          <w:rFonts w:ascii="Arial" w:hAnsi="Arial" w:cs="Arial"/>
          <w:color w:val="000000" w:themeColor="text1"/>
        </w:rPr>
        <w:t xml:space="preserve">  </w:t>
      </w:r>
    </w:p>
    <w:p w14:paraId="633F5515" w14:textId="77777777" w:rsidR="002F6148" w:rsidRPr="002F6148" w:rsidRDefault="002F6148" w:rsidP="002F6148">
      <w:pPr>
        <w:spacing w:line="360" w:lineRule="auto"/>
        <w:jc w:val="both"/>
        <w:rPr>
          <w:rFonts w:ascii="Arial" w:hAnsi="Arial" w:cs="Arial"/>
          <w:color w:val="000000" w:themeColor="text1"/>
        </w:rPr>
      </w:pPr>
    </w:p>
    <w:p w14:paraId="59BB5187" w14:textId="6917C279" w:rsidR="007F7E04"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D229F8" w:rsidRPr="00AB10E4">
        <w:rPr>
          <w:rFonts w:ascii="Arial" w:hAnsi="Arial" w:cs="Arial"/>
          <w:color w:val="000000" w:themeColor="text1"/>
        </w:rPr>
        <w:t xml:space="preserve">It is the case for the applicants and Ithala that the granting of the </w:t>
      </w:r>
      <w:r w:rsidR="00984B95" w:rsidRPr="00AB10E4">
        <w:rPr>
          <w:rFonts w:ascii="Arial" w:hAnsi="Arial" w:cs="Arial"/>
          <w:color w:val="000000" w:themeColor="text1"/>
        </w:rPr>
        <w:t>Exemption</w:t>
      </w:r>
      <w:r w:rsidR="00D229F8" w:rsidRPr="00AB10E4">
        <w:rPr>
          <w:rFonts w:ascii="Arial" w:hAnsi="Arial" w:cs="Arial"/>
          <w:color w:val="000000" w:themeColor="text1"/>
        </w:rPr>
        <w:t xml:space="preserve"> with the specific conditions that are challenged is subject to legal review and that those conditions should be set aside </w:t>
      </w:r>
      <w:r w:rsidR="00D229F8" w:rsidRPr="00AB10E4">
        <w:rPr>
          <w:rFonts w:ascii="Arial" w:hAnsi="Arial" w:cs="Arial"/>
          <w:i/>
          <w:iCs/>
          <w:color w:val="000000" w:themeColor="text1"/>
        </w:rPr>
        <w:t>inter alia</w:t>
      </w:r>
      <w:r w:rsidR="00D229F8" w:rsidRPr="00AB10E4">
        <w:rPr>
          <w:rFonts w:ascii="Arial" w:hAnsi="Arial" w:cs="Arial"/>
          <w:color w:val="000000" w:themeColor="text1"/>
        </w:rPr>
        <w:t xml:space="preserve"> on the basis that their imposition was irrational, done with a lack of </w:t>
      </w:r>
      <w:r w:rsidR="00D229F8" w:rsidRPr="00AB10E4">
        <w:rPr>
          <w:rFonts w:ascii="Arial" w:hAnsi="Arial" w:cs="Arial"/>
          <w:i/>
          <w:iCs/>
          <w:color w:val="000000" w:themeColor="text1"/>
        </w:rPr>
        <w:t>bona fides, ultra vires</w:t>
      </w:r>
      <w:r w:rsidR="00D229F8" w:rsidRPr="00AB10E4">
        <w:rPr>
          <w:rFonts w:ascii="Arial" w:hAnsi="Arial" w:cs="Arial"/>
          <w:color w:val="000000" w:themeColor="text1"/>
        </w:rPr>
        <w:t xml:space="preserve"> as well as being unconstitutional and unlawful.</w:t>
      </w:r>
      <w:r w:rsidR="001F1068" w:rsidRPr="00AB10E4">
        <w:rPr>
          <w:rFonts w:ascii="Arial" w:hAnsi="Arial" w:cs="Arial"/>
          <w:color w:val="000000" w:themeColor="text1"/>
        </w:rPr>
        <w:t xml:space="preserve"> </w:t>
      </w:r>
    </w:p>
    <w:p w14:paraId="17C9A7D1" w14:textId="77777777" w:rsidR="00AA68DF" w:rsidRPr="00AA68DF" w:rsidRDefault="00AA68DF" w:rsidP="00AA68DF">
      <w:pPr>
        <w:pStyle w:val="ListParagraph"/>
        <w:rPr>
          <w:rFonts w:ascii="Arial" w:hAnsi="Arial" w:cs="Arial"/>
          <w:color w:val="000000" w:themeColor="text1"/>
        </w:rPr>
      </w:pPr>
    </w:p>
    <w:p w14:paraId="649A8ABF" w14:textId="46D2F63E" w:rsidR="00AA68DF" w:rsidRPr="00AB10E4" w:rsidRDefault="00AB10E4" w:rsidP="00AB10E4">
      <w:pPr>
        <w:spacing w:line="360" w:lineRule="auto"/>
        <w:ind w:left="851" w:hanging="851"/>
        <w:jc w:val="both"/>
        <w:rPr>
          <w:rFonts w:ascii="Arial" w:hAnsi="Arial" w:cs="Arial"/>
          <w:color w:val="000000" w:themeColor="text1"/>
        </w:rPr>
      </w:pPr>
      <w:r w:rsidRPr="00111B4F">
        <w:rPr>
          <w:rFonts w:ascii="Arial" w:hAnsi="Arial" w:cs="Arial"/>
          <w:color w:val="000000" w:themeColor="text1"/>
        </w:rPr>
        <w:t>[6]</w:t>
      </w:r>
      <w:r w:rsidRPr="00111B4F">
        <w:rPr>
          <w:rFonts w:ascii="Arial" w:hAnsi="Arial" w:cs="Arial"/>
          <w:color w:val="000000" w:themeColor="text1"/>
        </w:rPr>
        <w:tab/>
      </w:r>
      <w:r w:rsidR="00AA68DF" w:rsidRPr="00AB10E4">
        <w:rPr>
          <w:rFonts w:ascii="Arial" w:hAnsi="Arial" w:cs="Arial"/>
          <w:color w:val="000000" w:themeColor="text1"/>
        </w:rPr>
        <w:t xml:space="preserve">Overshadowing these review proceedings was the argument on behalf of Ithala that in consequence of the conditions attached to the Exemption, </w:t>
      </w:r>
      <w:r w:rsidR="00461169" w:rsidRPr="00AB10E4">
        <w:rPr>
          <w:rFonts w:ascii="Arial" w:hAnsi="Arial" w:cs="Arial"/>
          <w:color w:val="000000" w:themeColor="text1"/>
        </w:rPr>
        <w:t>‘</w:t>
      </w:r>
      <w:r w:rsidR="00AA68DF" w:rsidRPr="00AB10E4">
        <w:rPr>
          <w:rFonts w:ascii="Arial" w:hAnsi="Arial" w:cs="Arial"/>
          <w:i/>
          <w:iCs/>
          <w:color w:val="000000" w:themeColor="text1"/>
          <w:sz w:val="22"/>
          <w:szCs w:val="22"/>
        </w:rPr>
        <w:t xml:space="preserve">existing clients of Ithala [will], through an arbitrary stroke of regulatory fait join the innumerable in South Africa who are excluded from the formal regulatory banking </w:t>
      </w:r>
      <w:r w:rsidR="00AA68DF" w:rsidRPr="00AB10E4">
        <w:rPr>
          <w:rFonts w:ascii="Arial" w:hAnsi="Arial" w:cs="Arial"/>
          <w:i/>
          <w:iCs/>
          <w:color w:val="000000" w:themeColor="text1"/>
          <w:sz w:val="22"/>
          <w:szCs w:val="22"/>
        </w:rPr>
        <w:lastRenderedPageBreak/>
        <w:t xml:space="preserve">space and who operate on the fringes of the sophisticated and regulated financial systems in South Africa.  This is contrary to the intention and policy of incorporating, rather than excluding, rural communities from such critical banking functions.  It would be a significant step backwards for rural KwaZulu-Natal with many very </w:t>
      </w:r>
      <w:r w:rsidR="00AD4721" w:rsidRPr="00AB10E4">
        <w:rPr>
          <w:rFonts w:ascii="Arial" w:hAnsi="Arial" w:cs="Arial"/>
          <w:i/>
          <w:iCs/>
          <w:color w:val="000000" w:themeColor="text1"/>
          <w:sz w:val="22"/>
          <w:szCs w:val="22"/>
        </w:rPr>
        <w:t>real-world</w:t>
      </w:r>
      <w:r w:rsidR="00AA68DF" w:rsidRPr="00AB10E4">
        <w:rPr>
          <w:rFonts w:ascii="Arial" w:hAnsi="Arial" w:cs="Arial"/>
          <w:i/>
          <w:iCs/>
          <w:color w:val="000000" w:themeColor="text1"/>
          <w:sz w:val="22"/>
          <w:szCs w:val="22"/>
        </w:rPr>
        <w:t xml:space="preserve"> consequences that make this highly undesirable.</w:t>
      </w:r>
      <w:r w:rsidR="00461169" w:rsidRPr="00AB10E4">
        <w:rPr>
          <w:rFonts w:ascii="Arial" w:hAnsi="Arial" w:cs="Arial"/>
          <w:i/>
          <w:iCs/>
          <w:color w:val="000000" w:themeColor="text1"/>
          <w:sz w:val="22"/>
          <w:szCs w:val="22"/>
        </w:rPr>
        <w:t>’</w:t>
      </w:r>
      <w:r w:rsidR="001D6EE5" w:rsidRPr="00AB10E4">
        <w:rPr>
          <w:rFonts w:ascii="Arial" w:hAnsi="Arial" w:cs="Arial"/>
          <w:i/>
          <w:iCs/>
          <w:color w:val="000000" w:themeColor="text1"/>
          <w:sz w:val="22"/>
          <w:szCs w:val="22"/>
        </w:rPr>
        <w:t xml:space="preserve"> </w:t>
      </w:r>
    </w:p>
    <w:p w14:paraId="1623FB7B" w14:textId="77777777" w:rsidR="0078301E" w:rsidRDefault="0078301E" w:rsidP="002133E4">
      <w:pPr>
        <w:rPr>
          <w:rFonts w:ascii="Arial" w:hAnsi="Arial" w:cs="Arial"/>
          <w:b/>
          <w:bCs/>
          <w:color w:val="000000" w:themeColor="text1"/>
          <w:u w:val="single"/>
        </w:rPr>
      </w:pPr>
    </w:p>
    <w:p w14:paraId="21A8747E" w14:textId="537F30CC" w:rsidR="00595FAB" w:rsidRPr="002133E4" w:rsidRDefault="00361C33" w:rsidP="002133E4">
      <w:pPr>
        <w:rPr>
          <w:rFonts w:ascii="Arial" w:hAnsi="Arial" w:cs="Arial"/>
          <w:b/>
          <w:bCs/>
          <w:color w:val="000000" w:themeColor="text1"/>
          <w:u w:val="single"/>
        </w:rPr>
      </w:pPr>
      <w:r>
        <w:rPr>
          <w:rFonts w:ascii="Arial" w:hAnsi="Arial" w:cs="Arial"/>
          <w:b/>
          <w:bCs/>
          <w:color w:val="000000" w:themeColor="text1"/>
          <w:u w:val="single"/>
        </w:rPr>
        <w:t>BACKGROUND</w:t>
      </w:r>
    </w:p>
    <w:p w14:paraId="042D5CF3" w14:textId="7D735B45" w:rsidR="002133E4" w:rsidRDefault="002133E4" w:rsidP="002133E4">
      <w:pPr>
        <w:rPr>
          <w:rFonts w:ascii="Arial" w:hAnsi="Arial" w:cs="Arial"/>
          <w:color w:val="000000" w:themeColor="text1"/>
        </w:rPr>
      </w:pPr>
    </w:p>
    <w:p w14:paraId="590D0C77" w14:textId="77777777" w:rsidR="002423E5" w:rsidRPr="002133E4" w:rsidRDefault="002423E5" w:rsidP="002133E4">
      <w:pPr>
        <w:rPr>
          <w:rFonts w:ascii="Arial" w:hAnsi="Arial" w:cs="Arial"/>
          <w:color w:val="000000" w:themeColor="text1"/>
        </w:rPr>
      </w:pPr>
    </w:p>
    <w:p w14:paraId="27964C08" w14:textId="58A5898E" w:rsidR="007F7E04" w:rsidRPr="00AB10E4" w:rsidRDefault="00AB10E4" w:rsidP="00AB10E4">
      <w:pPr>
        <w:spacing w:line="360" w:lineRule="auto"/>
        <w:ind w:left="851" w:hanging="851"/>
        <w:jc w:val="both"/>
        <w:rPr>
          <w:rFonts w:ascii="Arial" w:hAnsi="Arial" w:cs="Arial"/>
          <w:b/>
          <w:bCs/>
          <w:color w:val="000000" w:themeColor="text1"/>
          <w:u w:val="single"/>
        </w:rPr>
      </w:pPr>
      <w:r w:rsidRPr="00140BDC">
        <w:rPr>
          <w:rFonts w:ascii="Arial" w:hAnsi="Arial" w:cs="Arial"/>
          <w:color w:val="000000" w:themeColor="text1"/>
        </w:rPr>
        <w:t>[7]</w:t>
      </w:r>
      <w:r w:rsidRPr="00140BDC">
        <w:rPr>
          <w:rFonts w:ascii="Arial" w:hAnsi="Arial" w:cs="Arial"/>
          <w:color w:val="000000" w:themeColor="text1"/>
        </w:rPr>
        <w:tab/>
      </w:r>
      <w:r w:rsidR="00140BDC" w:rsidRPr="00AB10E4">
        <w:rPr>
          <w:rFonts w:ascii="Arial" w:hAnsi="Arial" w:cs="Arial"/>
          <w:color w:val="000000" w:themeColor="text1"/>
        </w:rPr>
        <w:t>Ithala, and its predecessors, have their origin in the establishment of the Bantu Investment Corporation Ltd</w:t>
      </w:r>
      <w:r w:rsidR="00461169" w:rsidRPr="00AB10E4">
        <w:rPr>
          <w:rFonts w:ascii="Arial" w:hAnsi="Arial" w:cs="Arial"/>
          <w:color w:val="000000" w:themeColor="text1"/>
        </w:rPr>
        <w:t xml:space="preserve"> in 1959</w:t>
      </w:r>
      <w:r w:rsidR="00140BDC" w:rsidRPr="00AB10E4">
        <w:rPr>
          <w:rFonts w:ascii="Arial" w:hAnsi="Arial" w:cs="Arial"/>
          <w:color w:val="000000" w:themeColor="text1"/>
        </w:rPr>
        <w:t>.  This was established for the purpose of development of what were euphemistically called “black areas” within the Republic.  A branch was established in the then province of Natal.</w:t>
      </w:r>
    </w:p>
    <w:p w14:paraId="07A4F053" w14:textId="77777777" w:rsidR="00140BDC" w:rsidRPr="00140BDC" w:rsidRDefault="00140BDC" w:rsidP="00140BDC">
      <w:pPr>
        <w:pStyle w:val="ListParagraph"/>
        <w:spacing w:line="360" w:lineRule="auto"/>
        <w:ind w:left="851"/>
        <w:jc w:val="both"/>
        <w:rPr>
          <w:rFonts w:ascii="Arial" w:hAnsi="Arial" w:cs="Arial"/>
          <w:b/>
          <w:bCs/>
          <w:color w:val="000000" w:themeColor="text1"/>
          <w:u w:val="single"/>
        </w:rPr>
      </w:pPr>
    </w:p>
    <w:p w14:paraId="7F5CFE70" w14:textId="25FF507D" w:rsidR="00140BDC"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140BDC" w:rsidRPr="00AB10E4">
        <w:rPr>
          <w:rFonts w:ascii="Arial" w:hAnsi="Arial" w:cs="Arial"/>
          <w:color w:val="000000" w:themeColor="text1"/>
        </w:rPr>
        <w:t>Over the passage of time, together with a number of regulatory and other changes, it</w:t>
      </w:r>
      <w:r w:rsidR="00D7498E" w:rsidRPr="00AB10E4">
        <w:rPr>
          <w:rFonts w:ascii="Arial" w:hAnsi="Arial" w:cs="Arial"/>
          <w:color w:val="000000" w:themeColor="text1"/>
        </w:rPr>
        <w:t xml:space="preserve"> found itself under the control of the Kwa-Zulu Natal Government operating as the Kwa-Zulu Finance and Investment Corporation Ltd.  In 1999, it became the Ithala Development Finance Corporation Ltd.</w:t>
      </w:r>
    </w:p>
    <w:p w14:paraId="6D9E94B2" w14:textId="77777777" w:rsidR="00D7498E" w:rsidRPr="00D7498E" w:rsidRDefault="00D7498E" w:rsidP="00D7498E">
      <w:pPr>
        <w:pStyle w:val="ListParagraph"/>
        <w:rPr>
          <w:rFonts w:ascii="Arial" w:hAnsi="Arial" w:cs="Arial"/>
          <w:color w:val="000000" w:themeColor="text1"/>
        </w:rPr>
      </w:pPr>
    </w:p>
    <w:p w14:paraId="713DDEF0" w14:textId="74BE2502" w:rsidR="00D7498E"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D7498E" w:rsidRPr="00AB10E4">
        <w:rPr>
          <w:rFonts w:ascii="Arial" w:hAnsi="Arial" w:cs="Arial"/>
          <w:color w:val="000000" w:themeColor="text1"/>
        </w:rPr>
        <w:t>Ithala is subject to the Ithala Development Finance Corporation Act.</w:t>
      </w:r>
      <w:r w:rsidR="00D7498E">
        <w:rPr>
          <w:rStyle w:val="FootnoteReference"/>
          <w:rFonts w:ascii="Arial" w:hAnsi="Arial" w:cs="Arial"/>
          <w:color w:val="000000" w:themeColor="text1"/>
        </w:rPr>
        <w:footnoteReference w:id="3"/>
      </w:r>
      <w:r w:rsidR="00DA0836" w:rsidRPr="00AB10E4">
        <w:rPr>
          <w:rFonts w:ascii="Arial" w:hAnsi="Arial" w:cs="Arial"/>
          <w:color w:val="000000" w:themeColor="text1"/>
        </w:rPr>
        <w:t xml:space="preserve">  It is listed as a provincial government business enterprise in </w:t>
      </w:r>
      <w:r w:rsidR="00461169" w:rsidRPr="00AB10E4">
        <w:rPr>
          <w:rFonts w:ascii="Arial" w:hAnsi="Arial" w:cs="Arial"/>
          <w:color w:val="000000" w:themeColor="text1"/>
        </w:rPr>
        <w:t>S</w:t>
      </w:r>
      <w:r w:rsidR="00DA0836" w:rsidRPr="00AB10E4">
        <w:rPr>
          <w:rFonts w:ascii="Arial" w:hAnsi="Arial" w:cs="Arial"/>
          <w:color w:val="000000" w:themeColor="text1"/>
        </w:rPr>
        <w:t>chedule 3D of the Public Finance Management Act</w:t>
      </w:r>
      <w:r w:rsidR="00DA0836">
        <w:rPr>
          <w:rStyle w:val="FootnoteReference"/>
          <w:rFonts w:ascii="Arial" w:hAnsi="Arial" w:cs="Arial"/>
          <w:color w:val="000000" w:themeColor="text1"/>
        </w:rPr>
        <w:footnoteReference w:id="4"/>
      </w:r>
      <w:r w:rsidR="00DA0836" w:rsidRPr="00AB10E4">
        <w:rPr>
          <w:rFonts w:ascii="Arial" w:hAnsi="Arial" w:cs="Arial"/>
          <w:color w:val="000000" w:themeColor="text1"/>
        </w:rPr>
        <w:t xml:space="preserve"> (PFMA).</w:t>
      </w:r>
    </w:p>
    <w:p w14:paraId="789AAFA0" w14:textId="77777777" w:rsidR="00DA0836" w:rsidRPr="00DA0836" w:rsidRDefault="00DA0836" w:rsidP="00DA0836">
      <w:pPr>
        <w:pStyle w:val="ListParagraph"/>
        <w:rPr>
          <w:rFonts w:ascii="Arial" w:hAnsi="Arial" w:cs="Arial"/>
          <w:color w:val="000000" w:themeColor="text1"/>
        </w:rPr>
      </w:pPr>
    </w:p>
    <w:p w14:paraId="468C500B" w14:textId="1A7799CA" w:rsidR="00443D08"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DA0836" w:rsidRPr="00AB10E4">
        <w:rPr>
          <w:rFonts w:ascii="Arial" w:hAnsi="Arial" w:cs="Arial"/>
          <w:color w:val="000000" w:themeColor="text1"/>
        </w:rPr>
        <w:t xml:space="preserve">Ithala is not a bank although it takes deposits.  It is only able to continue to do so upon application for and the granting of an </w:t>
      </w:r>
      <w:r w:rsidR="00984B95" w:rsidRPr="00AB10E4">
        <w:rPr>
          <w:rFonts w:ascii="Arial" w:hAnsi="Arial" w:cs="Arial"/>
          <w:color w:val="000000" w:themeColor="text1"/>
        </w:rPr>
        <w:t>Exemption</w:t>
      </w:r>
      <w:r w:rsidR="00A943F9" w:rsidRPr="00AB10E4">
        <w:rPr>
          <w:rFonts w:ascii="Arial" w:hAnsi="Arial" w:cs="Arial"/>
          <w:color w:val="000000" w:themeColor="text1"/>
        </w:rPr>
        <w:t xml:space="preserve">. </w:t>
      </w:r>
      <w:r w:rsidR="00984B95" w:rsidRPr="00AB10E4">
        <w:rPr>
          <w:rFonts w:ascii="Arial" w:hAnsi="Arial" w:cs="Arial"/>
          <w:color w:val="000000" w:themeColor="text1"/>
        </w:rPr>
        <w:t xml:space="preserve"> </w:t>
      </w:r>
    </w:p>
    <w:p w14:paraId="061CA0AF" w14:textId="77777777" w:rsidR="00984B95" w:rsidRPr="00984B95" w:rsidRDefault="00984B95" w:rsidP="00984B95">
      <w:pPr>
        <w:spacing w:line="360" w:lineRule="auto"/>
        <w:jc w:val="both"/>
        <w:rPr>
          <w:rFonts w:ascii="Arial" w:hAnsi="Arial" w:cs="Arial"/>
          <w:color w:val="000000" w:themeColor="text1"/>
        </w:rPr>
      </w:pPr>
    </w:p>
    <w:p w14:paraId="3CA210A9" w14:textId="11034541" w:rsidR="007F7E04" w:rsidRPr="00AB10E4" w:rsidRDefault="00AB10E4" w:rsidP="00AB10E4">
      <w:pPr>
        <w:spacing w:line="360" w:lineRule="auto"/>
        <w:ind w:left="851" w:hanging="851"/>
        <w:jc w:val="both"/>
        <w:rPr>
          <w:rFonts w:ascii="Arial" w:hAnsi="Arial" w:cs="Arial"/>
          <w:b/>
          <w:bCs/>
          <w:color w:val="000000" w:themeColor="text1"/>
          <w:u w:val="single"/>
        </w:rPr>
      </w:pPr>
      <w:r w:rsidRPr="00443D08">
        <w:rPr>
          <w:rFonts w:ascii="Arial" w:hAnsi="Arial" w:cs="Arial"/>
          <w:color w:val="000000" w:themeColor="text1"/>
        </w:rPr>
        <w:t>[11]</w:t>
      </w:r>
      <w:r w:rsidRPr="00443D08">
        <w:rPr>
          <w:rFonts w:ascii="Arial" w:hAnsi="Arial" w:cs="Arial"/>
          <w:color w:val="000000" w:themeColor="text1"/>
        </w:rPr>
        <w:tab/>
      </w:r>
      <w:r w:rsidR="00A943F9" w:rsidRPr="00AB10E4">
        <w:rPr>
          <w:rFonts w:ascii="Arial" w:hAnsi="Arial" w:cs="Arial"/>
          <w:color w:val="000000" w:themeColor="text1"/>
        </w:rPr>
        <w:t xml:space="preserve">The </w:t>
      </w:r>
      <w:r w:rsidR="00984B95" w:rsidRPr="00AB10E4">
        <w:rPr>
          <w:rFonts w:ascii="Arial" w:hAnsi="Arial" w:cs="Arial"/>
          <w:color w:val="000000" w:themeColor="text1"/>
        </w:rPr>
        <w:t>Exemption</w:t>
      </w:r>
      <w:r w:rsidR="00443D08" w:rsidRPr="00AB10E4">
        <w:rPr>
          <w:rFonts w:ascii="Arial" w:hAnsi="Arial" w:cs="Arial"/>
          <w:color w:val="000000" w:themeColor="text1"/>
        </w:rPr>
        <w:t xml:space="preserve"> is granted by the Prudential Authority acting together with the concurrence of the Minister of Finance.  The </w:t>
      </w:r>
      <w:r w:rsidR="00984B95" w:rsidRPr="00AB10E4">
        <w:rPr>
          <w:rFonts w:ascii="Arial" w:hAnsi="Arial" w:cs="Arial"/>
          <w:color w:val="000000" w:themeColor="text1"/>
        </w:rPr>
        <w:t>Exemption</w:t>
      </w:r>
      <w:r w:rsidR="00443D08" w:rsidRPr="00AB10E4">
        <w:rPr>
          <w:rFonts w:ascii="Arial" w:hAnsi="Arial" w:cs="Arial"/>
          <w:color w:val="000000" w:themeColor="text1"/>
        </w:rPr>
        <w:t xml:space="preserve"> is to the effect that the deposit taking activity of Ithala is deemed not</w:t>
      </w:r>
      <w:r w:rsidR="00461169" w:rsidRPr="00AB10E4">
        <w:rPr>
          <w:rFonts w:ascii="Arial" w:hAnsi="Arial" w:cs="Arial"/>
          <w:color w:val="000000" w:themeColor="text1"/>
        </w:rPr>
        <w:t xml:space="preserve"> to</w:t>
      </w:r>
      <w:r w:rsidR="00443D08" w:rsidRPr="00AB10E4">
        <w:rPr>
          <w:rFonts w:ascii="Arial" w:hAnsi="Arial" w:cs="Arial"/>
          <w:color w:val="000000" w:themeColor="text1"/>
        </w:rPr>
        <w:t xml:space="preserve"> constitute </w:t>
      </w:r>
      <w:r w:rsidR="00461169" w:rsidRPr="00AB10E4">
        <w:rPr>
          <w:rFonts w:ascii="Arial" w:hAnsi="Arial" w:cs="Arial"/>
          <w:color w:val="000000" w:themeColor="text1"/>
        </w:rPr>
        <w:t>‘</w:t>
      </w:r>
      <w:r w:rsidR="00443D08" w:rsidRPr="00AB10E4">
        <w:rPr>
          <w:rFonts w:ascii="Arial" w:hAnsi="Arial" w:cs="Arial"/>
          <w:i/>
          <w:iCs/>
          <w:color w:val="000000" w:themeColor="text1"/>
          <w:sz w:val="22"/>
          <w:szCs w:val="22"/>
        </w:rPr>
        <w:t>the business of a bank</w:t>
      </w:r>
      <w:r w:rsidR="00461169" w:rsidRPr="00AB10E4">
        <w:rPr>
          <w:rFonts w:ascii="Arial" w:hAnsi="Arial" w:cs="Arial"/>
          <w:i/>
          <w:iCs/>
          <w:color w:val="000000" w:themeColor="text1"/>
          <w:sz w:val="22"/>
          <w:szCs w:val="22"/>
        </w:rPr>
        <w:t xml:space="preserve">’ </w:t>
      </w:r>
      <w:r w:rsidR="00443D08" w:rsidRPr="00AB10E4">
        <w:rPr>
          <w:rFonts w:ascii="Arial" w:hAnsi="Arial" w:cs="Arial"/>
          <w:color w:val="000000" w:themeColor="text1"/>
        </w:rPr>
        <w:t>as provided for in s 1(1)(cc) of the Banks Act.</w:t>
      </w:r>
    </w:p>
    <w:p w14:paraId="183F6189" w14:textId="77777777" w:rsidR="00443D08" w:rsidRPr="00443D08" w:rsidRDefault="00443D08" w:rsidP="00443D08">
      <w:pPr>
        <w:pStyle w:val="ListParagraph"/>
        <w:rPr>
          <w:rFonts w:ascii="Arial" w:hAnsi="Arial" w:cs="Arial"/>
          <w:b/>
          <w:bCs/>
          <w:color w:val="000000" w:themeColor="text1"/>
          <w:u w:val="single"/>
        </w:rPr>
      </w:pPr>
    </w:p>
    <w:p w14:paraId="461E44A8" w14:textId="2B2CA4D5" w:rsidR="00881EE5" w:rsidRPr="00AB10E4" w:rsidRDefault="00AB10E4" w:rsidP="00AB10E4">
      <w:pPr>
        <w:spacing w:line="360" w:lineRule="auto"/>
        <w:ind w:left="851" w:hanging="851"/>
        <w:jc w:val="both"/>
        <w:rPr>
          <w:rFonts w:ascii="Arial" w:hAnsi="Arial" w:cs="Arial"/>
          <w:b/>
          <w:bCs/>
          <w:color w:val="000000" w:themeColor="text1"/>
          <w:u w:val="single"/>
        </w:rPr>
      </w:pPr>
      <w:r w:rsidRPr="00881EE5">
        <w:rPr>
          <w:rFonts w:ascii="Arial" w:hAnsi="Arial" w:cs="Arial"/>
          <w:color w:val="000000" w:themeColor="text1"/>
        </w:rPr>
        <w:t>[12]</w:t>
      </w:r>
      <w:r w:rsidRPr="00881EE5">
        <w:rPr>
          <w:rFonts w:ascii="Arial" w:hAnsi="Arial" w:cs="Arial"/>
          <w:color w:val="000000" w:themeColor="text1"/>
        </w:rPr>
        <w:tab/>
      </w:r>
      <w:r w:rsidR="00881EE5" w:rsidRPr="00AB10E4">
        <w:rPr>
          <w:rFonts w:ascii="Arial" w:hAnsi="Arial" w:cs="Arial"/>
        </w:rPr>
        <w:t>The section provides that the business of a bank</w:t>
      </w:r>
      <w:r w:rsidR="00461169">
        <w:t xml:space="preserve"> </w:t>
      </w:r>
      <w:r w:rsidR="00461169" w:rsidRPr="00AB10E4">
        <w:rPr>
          <w:rFonts w:ascii="Arial" w:hAnsi="Arial" w:cs="Arial"/>
          <w:i/>
          <w:iCs/>
          <w:sz w:val="22"/>
          <w:szCs w:val="22"/>
        </w:rPr>
        <w:t>‘</w:t>
      </w:r>
      <w:r w:rsidR="00881EE5" w:rsidRPr="00AB10E4">
        <w:rPr>
          <w:rFonts w:ascii="Arial" w:hAnsi="Arial" w:cs="Arial"/>
          <w:i/>
          <w:iCs/>
          <w:sz w:val="22"/>
          <w:szCs w:val="22"/>
        </w:rPr>
        <w:t xml:space="preserve">does not include. . .  (cc) any activity of a public sector, governmental or other institution, or of any person or category of persons, designated by the Authority, with the approval of the Minister, by notice in the Gazette, provided such activity is performed in accordance with such </w:t>
      </w:r>
      <w:r w:rsidR="00881EE5" w:rsidRPr="00AB10E4">
        <w:rPr>
          <w:rFonts w:ascii="Arial" w:hAnsi="Arial" w:cs="Arial"/>
          <w:i/>
          <w:iCs/>
          <w:sz w:val="22"/>
          <w:szCs w:val="22"/>
        </w:rPr>
        <w:lastRenderedPageBreak/>
        <w:t>conditions as the Authority may with the approval of the Minister determine in the relevant notice.</w:t>
      </w:r>
      <w:r w:rsidR="00461169" w:rsidRPr="00AB10E4">
        <w:rPr>
          <w:rFonts w:ascii="Arial" w:hAnsi="Arial" w:cs="Arial"/>
          <w:i/>
          <w:iCs/>
          <w:sz w:val="22"/>
          <w:szCs w:val="22"/>
        </w:rPr>
        <w:t>’</w:t>
      </w:r>
    </w:p>
    <w:p w14:paraId="5CAE9555" w14:textId="77777777" w:rsidR="00881EE5" w:rsidRPr="00881EE5" w:rsidRDefault="00881EE5" w:rsidP="00881EE5">
      <w:pPr>
        <w:pStyle w:val="ListParagraph"/>
        <w:rPr>
          <w:rFonts w:ascii="Arial" w:hAnsi="Arial" w:cs="Arial"/>
          <w:b/>
          <w:bCs/>
          <w:color w:val="000000" w:themeColor="text1"/>
          <w:u w:val="single"/>
        </w:rPr>
      </w:pPr>
    </w:p>
    <w:p w14:paraId="2F9405C8" w14:textId="6C8EED72" w:rsidR="00881EE5"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2961A4" w:rsidRPr="00AB10E4">
        <w:rPr>
          <w:rFonts w:ascii="Arial" w:hAnsi="Arial" w:cs="Arial"/>
          <w:color w:val="000000" w:themeColor="text1"/>
        </w:rPr>
        <w:t xml:space="preserve">What is clear is that the decision to grant the </w:t>
      </w:r>
      <w:r w:rsidR="00984B95" w:rsidRPr="00AB10E4">
        <w:rPr>
          <w:rFonts w:ascii="Arial" w:hAnsi="Arial" w:cs="Arial"/>
          <w:color w:val="000000" w:themeColor="text1"/>
        </w:rPr>
        <w:t>Exemption</w:t>
      </w:r>
      <w:r w:rsidR="002961A4" w:rsidRPr="00AB10E4">
        <w:rPr>
          <w:rFonts w:ascii="Arial" w:hAnsi="Arial" w:cs="Arial"/>
          <w:color w:val="000000" w:themeColor="text1"/>
        </w:rPr>
        <w:t xml:space="preserve"> and to impose conditions is within the statutory remit of the Prudential Authority, subject only to the approval of the Minister of Finance.  </w:t>
      </w:r>
      <w:r w:rsidR="00984B95" w:rsidRPr="00AB10E4">
        <w:rPr>
          <w:rFonts w:ascii="Arial" w:hAnsi="Arial" w:cs="Arial"/>
          <w:color w:val="000000" w:themeColor="text1"/>
        </w:rPr>
        <w:t>The granting of an Exemption, with or without conditions, is in consequence of the discharge of statutory obligations.</w:t>
      </w:r>
      <w:r w:rsidR="00180030">
        <w:rPr>
          <w:rStyle w:val="FootnoteReference"/>
          <w:rFonts w:ascii="Arial" w:hAnsi="Arial" w:cs="Arial"/>
          <w:color w:val="000000" w:themeColor="text1"/>
        </w:rPr>
        <w:footnoteReference w:id="5"/>
      </w:r>
      <w:r w:rsidR="00984B95" w:rsidRPr="00AB10E4">
        <w:rPr>
          <w:rFonts w:ascii="Arial" w:hAnsi="Arial" w:cs="Arial"/>
          <w:color w:val="000000" w:themeColor="text1"/>
        </w:rPr>
        <w:t xml:space="preserve"> </w:t>
      </w:r>
      <w:r w:rsidR="00A25189" w:rsidRPr="00AB10E4">
        <w:rPr>
          <w:rFonts w:ascii="Arial" w:hAnsi="Arial" w:cs="Arial"/>
          <w:color w:val="000000" w:themeColor="text1"/>
        </w:rPr>
        <w:t>In the present matter, it is not in dispute that the Prudential Authority and the Minister speak with one voice.</w:t>
      </w:r>
    </w:p>
    <w:p w14:paraId="4BDB40A3" w14:textId="77777777" w:rsidR="00651E05" w:rsidRPr="00651E05" w:rsidRDefault="00651E05" w:rsidP="00651E05">
      <w:pPr>
        <w:pStyle w:val="ListParagraph"/>
        <w:rPr>
          <w:rFonts w:ascii="Arial" w:hAnsi="Arial" w:cs="Arial"/>
          <w:color w:val="000000" w:themeColor="text1"/>
        </w:rPr>
      </w:pPr>
    </w:p>
    <w:p w14:paraId="47BF9183" w14:textId="174D7B28" w:rsidR="00CC7A2F" w:rsidRPr="00AB10E4" w:rsidRDefault="00AB10E4" w:rsidP="00AB10E4">
      <w:pPr>
        <w:spacing w:line="360" w:lineRule="auto"/>
        <w:ind w:left="851" w:hanging="851"/>
        <w:jc w:val="both"/>
        <w:rPr>
          <w:rFonts w:ascii="Arial" w:hAnsi="Arial" w:cs="Arial"/>
          <w:color w:val="000000" w:themeColor="text1"/>
        </w:rPr>
      </w:pPr>
      <w:r w:rsidRPr="00984B95">
        <w:rPr>
          <w:rFonts w:ascii="Arial" w:hAnsi="Arial" w:cs="Arial"/>
          <w:color w:val="000000" w:themeColor="text1"/>
        </w:rPr>
        <w:t>[14]</w:t>
      </w:r>
      <w:r w:rsidRPr="00984B95">
        <w:rPr>
          <w:rFonts w:ascii="Arial" w:hAnsi="Arial" w:cs="Arial"/>
          <w:color w:val="000000" w:themeColor="text1"/>
        </w:rPr>
        <w:tab/>
      </w:r>
      <w:r w:rsidR="00651E05" w:rsidRPr="00AB10E4">
        <w:rPr>
          <w:rFonts w:ascii="Arial" w:hAnsi="Arial" w:cs="Arial"/>
          <w:color w:val="000000" w:themeColor="text1"/>
        </w:rPr>
        <w:t xml:space="preserve">The attachment of conditions to the granting of the </w:t>
      </w:r>
      <w:r w:rsidR="00984B95" w:rsidRPr="00AB10E4">
        <w:rPr>
          <w:rFonts w:ascii="Arial" w:hAnsi="Arial" w:cs="Arial"/>
          <w:color w:val="000000" w:themeColor="text1"/>
        </w:rPr>
        <w:t>Exemption</w:t>
      </w:r>
      <w:r w:rsidR="00651E05" w:rsidRPr="00AB10E4">
        <w:rPr>
          <w:rFonts w:ascii="Arial" w:hAnsi="Arial" w:cs="Arial"/>
          <w:color w:val="000000" w:themeColor="text1"/>
        </w:rPr>
        <w:t xml:space="preserve"> is not a recent phenomenon.  The granting of an </w:t>
      </w:r>
      <w:r w:rsidR="00984B95" w:rsidRPr="00AB10E4">
        <w:rPr>
          <w:rFonts w:ascii="Arial" w:hAnsi="Arial" w:cs="Arial"/>
          <w:color w:val="000000" w:themeColor="text1"/>
        </w:rPr>
        <w:t>Exemption</w:t>
      </w:r>
      <w:r w:rsidR="00461169" w:rsidRPr="00AB10E4">
        <w:rPr>
          <w:rFonts w:ascii="Arial" w:hAnsi="Arial" w:cs="Arial"/>
          <w:color w:val="000000" w:themeColor="text1"/>
        </w:rPr>
        <w:t>,</w:t>
      </w:r>
      <w:r w:rsidR="00651E05" w:rsidRPr="00AB10E4">
        <w:rPr>
          <w:rFonts w:ascii="Arial" w:hAnsi="Arial" w:cs="Arial"/>
          <w:color w:val="000000" w:themeColor="text1"/>
        </w:rPr>
        <w:t xml:space="preserve"> together with conditions</w:t>
      </w:r>
      <w:r w:rsidR="00461169" w:rsidRPr="00AB10E4">
        <w:rPr>
          <w:rFonts w:ascii="Arial" w:hAnsi="Arial" w:cs="Arial"/>
          <w:color w:val="000000" w:themeColor="text1"/>
        </w:rPr>
        <w:t>,</w:t>
      </w:r>
      <w:r w:rsidR="007E21EE" w:rsidRPr="00AB10E4">
        <w:rPr>
          <w:rFonts w:ascii="Arial" w:hAnsi="Arial" w:cs="Arial"/>
          <w:color w:val="000000" w:themeColor="text1"/>
        </w:rPr>
        <w:t xml:space="preserve"> has occurred each time an </w:t>
      </w:r>
      <w:r w:rsidR="00984B95" w:rsidRPr="00AB10E4">
        <w:rPr>
          <w:rFonts w:ascii="Arial" w:hAnsi="Arial" w:cs="Arial"/>
          <w:color w:val="000000" w:themeColor="text1"/>
        </w:rPr>
        <w:t>Exemption</w:t>
      </w:r>
      <w:r w:rsidR="007E21EE" w:rsidRPr="00AB10E4">
        <w:rPr>
          <w:rFonts w:ascii="Arial" w:hAnsi="Arial" w:cs="Arial"/>
          <w:color w:val="000000" w:themeColor="text1"/>
        </w:rPr>
        <w:t xml:space="preserve"> was applied for</w:t>
      </w:r>
      <w:r w:rsidR="00CC7A2F" w:rsidRPr="00AB10E4">
        <w:rPr>
          <w:rFonts w:ascii="Arial" w:hAnsi="Arial" w:cs="Arial"/>
          <w:color w:val="000000" w:themeColor="text1"/>
        </w:rPr>
        <w:t xml:space="preserve"> and granted</w:t>
      </w:r>
      <w:r w:rsidR="007E21EE" w:rsidRPr="00AB10E4">
        <w:rPr>
          <w:rFonts w:ascii="Arial" w:hAnsi="Arial" w:cs="Arial"/>
          <w:color w:val="000000" w:themeColor="text1"/>
        </w:rPr>
        <w:t xml:space="preserve"> since at least 2014.</w:t>
      </w:r>
      <w:r w:rsidR="00AD39CE" w:rsidRPr="00AB10E4">
        <w:rPr>
          <w:rFonts w:ascii="Arial" w:hAnsi="Arial" w:cs="Arial"/>
          <w:color w:val="000000" w:themeColor="text1"/>
        </w:rPr>
        <w:t xml:space="preserve">  </w:t>
      </w:r>
    </w:p>
    <w:p w14:paraId="201CB74D" w14:textId="08B0C4BE" w:rsidR="00984B95" w:rsidRPr="00984B95" w:rsidRDefault="00984B95" w:rsidP="00984B95">
      <w:pPr>
        <w:tabs>
          <w:tab w:val="left" w:pos="5387"/>
        </w:tabs>
        <w:rPr>
          <w:rFonts w:ascii="Arial" w:hAnsi="Arial" w:cs="Arial"/>
        </w:rPr>
      </w:pPr>
      <w:r>
        <w:rPr>
          <w:rFonts w:ascii="Arial" w:hAnsi="Arial" w:cs="Arial"/>
        </w:rPr>
        <w:tab/>
      </w:r>
    </w:p>
    <w:p w14:paraId="0B1E62C2" w14:textId="52BFA19D" w:rsidR="00A31233"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CC7A2F" w:rsidRPr="00AB10E4">
        <w:rPr>
          <w:rFonts w:ascii="Arial" w:hAnsi="Arial" w:cs="Arial"/>
          <w:color w:val="000000" w:themeColor="text1"/>
        </w:rPr>
        <w:t xml:space="preserve">On </w:t>
      </w:r>
      <w:r w:rsidR="00116CBB" w:rsidRPr="00AB10E4">
        <w:rPr>
          <w:rFonts w:ascii="Arial" w:hAnsi="Arial" w:cs="Arial"/>
          <w:color w:val="000000" w:themeColor="text1"/>
        </w:rPr>
        <w:t>17</w:t>
      </w:r>
      <w:r w:rsidR="00CC7A2F" w:rsidRPr="00AB10E4">
        <w:rPr>
          <w:rFonts w:ascii="Arial" w:hAnsi="Arial" w:cs="Arial"/>
          <w:color w:val="000000" w:themeColor="text1"/>
        </w:rPr>
        <w:t xml:space="preserve"> January 2022, the Prudential Authority issued an </w:t>
      </w:r>
      <w:r w:rsidR="00984B95" w:rsidRPr="00AB10E4">
        <w:rPr>
          <w:rFonts w:ascii="Arial" w:hAnsi="Arial" w:cs="Arial"/>
          <w:color w:val="000000" w:themeColor="text1"/>
        </w:rPr>
        <w:t>Exemption</w:t>
      </w:r>
      <w:r w:rsidR="00CC7A2F" w:rsidRPr="00AB10E4">
        <w:rPr>
          <w:rFonts w:ascii="Arial" w:hAnsi="Arial" w:cs="Arial"/>
          <w:color w:val="000000" w:themeColor="text1"/>
        </w:rPr>
        <w:t xml:space="preserve"> to Ithala </w:t>
      </w:r>
      <w:r w:rsidR="00116CBB" w:rsidRPr="00AB10E4">
        <w:rPr>
          <w:rFonts w:ascii="Arial" w:hAnsi="Arial" w:cs="Arial"/>
          <w:color w:val="000000" w:themeColor="text1"/>
        </w:rPr>
        <w:t xml:space="preserve">for the period 1 January 2022 up to and including 30 June 2022.  This </w:t>
      </w:r>
      <w:r w:rsidR="00984B95" w:rsidRPr="00AB10E4">
        <w:rPr>
          <w:rFonts w:ascii="Arial" w:hAnsi="Arial" w:cs="Arial"/>
          <w:color w:val="000000" w:themeColor="text1"/>
        </w:rPr>
        <w:t>Exemption</w:t>
      </w:r>
      <w:r w:rsidR="00116CBB" w:rsidRPr="00AB10E4">
        <w:rPr>
          <w:rFonts w:ascii="Arial" w:hAnsi="Arial" w:cs="Arial"/>
          <w:color w:val="000000" w:themeColor="text1"/>
        </w:rPr>
        <w:t xml:space="preserve"> also contained various conditions</w:t>
      </w:r>
      <w:r w:rsidR="00E027F6" w:rsidRPr="00AB10E4">
        <w:rPr>
          <w:rFonts w:ascii="Arial" w:hAnsi="Arial" w:cs="Arial"/>
          <w:color w:val="000000" w:themeColor="text1"/>
        </w:rPr>
        <w:t xml:space="preserve">.  </w:t>
      </w:r>
    </w:p>
    <w:p w14:paraId="27BF7622" w14:textId="77777777" w:rsidR="00A31233" w:rsidRPr="00A31233" w:rsidRDefault="00A31233" w:rsidP="00A31233">
      <w:pPr>
        <w:pStyle w:val="ListParagraph"/>
        <w:rPr>
          <w:rFonts w:ascii="Arial" w:hAnsi="Arial" w:cs="Arial"/>
          <w:color w:val="000000" w:themeColor="text1"/>
        </w:rPr>
      </w:pPr>
    </w:p>
    <w:p w14:paraId="1885DC22" w14:textId="665449DD" w:rsidR="00864173"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[16]</w:t>
      </w:r>
      <w:r>
        <w:rPr>
          <w:rFonts w:ascii="Arial" w:hAnsi="Arial" w:cs="Arial"/>
          <w:color w:val="000000" w:themeColor="text1"/>
        </w:rPr>
        <w:tab/>
      </w:r>
      <w:r w:rsidR="00A31233" w:rsidRPr="00AB10E4">
        <w:rPr>
          <w:rFonts w:ascii="Arial" w:hAnsi="Arial" w:cs="Arial"/>
          <w:color w:val="000000" w:themeColor="text1"/>
        </w:rPr>
        <w:t xml:space="preserve">On 3 June 2022, </w:t>
      </w:r>
      <w:r w:rsidR="0029445E" w:rsidRPr="00AB10E4">
        <w:rPr>
          <w:rFonts w:ascii="Arial" w:hAnsi="Arial" w:cs="Arial"/>
          <w:color w:val="000000" w:themeColor="text1"/>
        </w:rPr>
        <w:t xml:space="preserve">the Prudential Authority addressed a letter to the CEO of Ithala.  The letter was marked </w:t>
      </w:r>
      <w:r w:rsidR="0029445E" w:rsidRPr="00AB10E4">
        <w:rPr>
          <w:rFonts w:ascii="Arial" w:hAnsi="Arial" w:cs="Arial"/>
          <w:color w:val="000000" w:themeColor="text1"/>
          <w:sz w:val="22"/>
          <w:szCs w:val="22"/>
        </w:rPr>
        <w:t xml:space="preserve">“secret” </w:t>
      </w:r>
      <w:r w:rsidR="0029445E" w:rsidRPr="00AB10E4">
        <w:rPr>
          <w:rFonts w:ascii="Arial" w:hAnsi="Arial" w:cs="Arial"/>
          <w:color w:val="000000" w:themeColor="text1"/>
        </w:rPr>
        <w:t xml:space="preserve">and headed </w:t>
      </w:r>
      <w:r w:rsidR="0029445E" w:rsidRPr="00AB10E4">
        <w:rPr>
          <w:rFonts w:ascii="Arial" w:hAnsi="Arial" w:cs="Arial"/>
          <w:i/>
          <w:iCs/>
          <w:color w:val="000000" w:themeColor="text1"/>
          <w:sz w:val="22"/>
          <w:szCs w:val="22"/>
        </w:rPr>
        <w:t xml:space="preserve">“Ithala SOC Ltd: </w:t>
      </w:r>
      <w:r w:rsidR="00984B95" w:rsidRPr="00AB10E4">
        <w:rPr>
          <w:rFonts w:ascii="Arial" w:hAnsi="Arial" w:cs="Arial"/>
          <w:i/>
          <w:iCs/>
          <w:color w:val="000000" w:themeColor="text1"/>
          <w:sz w:val="22"/>
          <w:szCs w:val="22"/>
        </w:rPr>
        <w:t>Exemption</w:t>
      </w:r>
      <w:r w:rsidR="0029445E" w:rsidRPr="00AB10E4">
        <w:rPr>
          <w:rFonts w:ascii="Arial" w:hAnsi="Arial" w:cs="Arial"/>
          <w:i/>
          <w:iCs/>
          <w:color w:val="000000" w:themeColor="text1"/>
          <w:sz w:val="22"/>
          <w:szCs w:val="22"/>
        </w:rPr>
        <w:t xml:space="preserve"> Notice and Proposed Directive”</w:t>
      </w:r>
      <w:r w:rsidR="0029445E" w:rsidRPr="00AB10E4">
        <w:rPr>
          <w:rFonts w:ascii="Arial" w:hAnsi="Arial" w:cs="Arial"/>
          <w:color w:val="000000" w:themeColor="text1"/>
        </w:rPr>
        <w:t xml:space="preserve">.  The letter recorded </w:t>
      </w:r>
      <w:r w:rsidR="0029445E" w:rsidRPr="00AB10E4">
        <w:rPr>
          <w:rFonts w:ascii="Arial" w:hAnsi="Arial" w:cs="Arial"/>
          <w:i/>
          <w:iCs/>
          <w:color w:val="000000" w:themeColor="text1"/>
        </w:rPr>
        <w:t>inter alia</w:t>
      </w:r>
      <w:r w:rsidR="0029445E" w:rsidRPr="00AB10E4">
        <w:rPr>
          <w:rFonts w:ascii="Arial" w:hAnsi="Arial" w:cs="Arial"/>
          <w:color w:val="000000" w:themeColor="text1"/>
        </w:rPr>
        <w:t xml:space="preserve"> that </w:t>
      </w:r>
      <w:r w:rsidR="0029445E" w:rsidRPr="00AB10E4">
        <w:rPr>
          <w:rFonts w:ascii="Arial" w:hAnsi="Arial" w:cs="Arial"/>
          <w:i/>
          <w:iCs/>
          <w:color w:val="000000" w:themeColor="text1"/>
          <w:sz w:val="22"/>
          <w:szCs w:val="22"/>
        </w:rPr>
        <w:t xml:space="preserve">“Ithala remains in breach of conditions attached to the </w:t>
      </w:r>
      <w:r w:rsidR="00984B95" w:rsidRPr="00AB10E4">
        <w:rPr>
          <w:rFonts w:ascii="Arial" w:hAnsi="Arial" w:cs="Arial"/>
          <w:i/>
          <w:iCs/>
          <w:color w:val="000000" w:themeColor="text1"/>
          <w:sz w:val="22"/>
          <w:szCs w:val="22"/>
        </w:rPr>
        <w:t>Exemption</w:t>
      </w:r>
      <w:r w:rsidR="0029445E" w:rsidRPr="00AB10E4">
        <w:rPr>
          <w:rFonts w:ascii="Arial" w:hAnsi="Arial" w:cs="Arial"/>
          <w:i/>
          <w:iCs/>
          <w:color w:val="000000" w:themeColor="text1"/>
          <w:sz w:val="22"/>
          <w:szCs w:val="22"/>
        </w:rPr>
        <w:t xml:space="preserve"> Notices” </w:t>
      </w:r>
      <w:r w:rsidR="0029445E" w:rsidRPr="00AB10E4">
        <w:rPr>
          <w:rFonts w:ascii="Arial" w:hAnsi="Arial" w:cs="Arial"/>
          <w:color w:val="000000" w:themeColor="text1"/>
        </w:rPr>
        <w:t>and then went on to specify a number of concerns.  The</w:t>
      </w:r>
      <w:r w:rsidR="00864173" w:rsidRPr="00AB10E4">
        <w:rPr>
          <w:rFonts w:ascii="Arial" w:hAnsi="Arial" w:cs="Arial"/>
          <w:color w:val="000000" w:themeColor="text1"/>
        </w:rPr>
        <w:t xml:space="preserve">se included </w:t>
      </w:r>
      <w:r w:rsidR="00864173" w:rsidRPr="00AB10E4">
        <w:rPr>
          <w:rFonts w:ascii="Arial" w:hAnsi="Arial" w:cs="Arial"/>
          <w:i/>
          <w:iCs/>
          <w:color w:val="000000" w:themeColor="text1"/>
        </w:rPr>
        <w:t>inter alia</w:t>
      </w:r>
      <w:r w:rsidR="00864173" w:rsidRPr="00AB10E4">
        <w:rPr>
          <w:rFonts w:ascii="Arial" w:hAnsi="Arial" w:cs="Arial"/>
          <w:color w:val="000000" w:themeColor="text1"/>
        </w:rPr>
        <w:t xml:space="preserve"> that the positions of both the Chief Financial Officer as well as Chairperson of the Board had been vacant for </w:t>
      </w:r>
      <w:r w:rsidR="00461169" w:rsidRPr="00AB10E4">
        <w:rPr>
          <w:rFonts w:ascii="Arial" w:hAnsi="Arial" w:cs="Arial"/>
          <w:color w:val="000000" w:themeColor="text1"/>
        </w:rPr>
        <w:t>three</w:t>
      </w:r>
      <w:r w:rsidR="00864173" w:rsidRPr="00AB10E4">
        <w:rPr>
          <w:rFonts w:ascii="Arial" w:hAnsi="Arial" w:cs="Arial"/>
          <w:color w:val="000000" w:themeColor="text1"/>
        </w:rPr>
        <w:t xml:space="preserve"> and </w:t>
      </w:r>
      <w:r w:rsidR="00461169" w:rsidRPr="00AB10E4">
        <w:rPr>
          <w:rFonts w:ascii="Arial" w:hAnsi="Arial" w:cs="Arial"/>
          <w:color w:val="000000" w:themeColor="text1"/>
        </w:rPr>
        <w:t>two</w:t>
      </w:r>
      <w:r w:rsidR="00864173" w:rsidRPr="00AB10E4">
        <w:rPr>
          <w:rFonts w:ascii="Arial" w:hAnsi="Arial" w:cs="Arial"/>
          <w:color w:val="000000" w:themeColor="text1"/>
        </w:rPr>
        <w:t xml:space="preserve"> years respectively and that the Board of Directors was not </w:t>
      </w:r>
      <w:r w:rsidR="00461169" w:rsidRPr="00AB10E4">
        <w:rPr>
          <w:rFonts w:ascii="Arial" w:hAnsi="Arial" w:cs="Arial"/>
          <w:i/>
          <w:iCs/>
          <w:color w:val="000000" w:themeColor="text1"/>
          <w:sz w:val="22"/>
          <w:szCs w:val="22"/>
        </w:rPr>
        <w:t>‘</w:t>
      </w:r>
      <w:r w:rsidR="00864173" w:rsidRPr="00AB10E4">
        <w:rPr>
          <w:rFonts w:ascii="Arial" w:hAnsi="Arial" w:cs="Arial"/>
          <w:i/>
          <w:iCs/>
          <w:color w:val="000000" w:themeColor="text1"/>
          <w:sz w:val="22"/>
          <w:szCs w:val="22"/>
        </w:rPr>
        <w:t>fully and appropriately constituted and in compliance with the requirements of the Banks Act.</w:t>
      </w:r>
      <w:r w:rsidR="00461169" w:rsidRPr="00AB10E4">
        <w:rPr>
          <w:rFonts w:ascii="Arial" w:hAnsi="Arial" w:cs="Arial"/>
          <w:i/>
          <w:iCs/>
          <w:color w:val="000000" w:themeColor="text1"/>
          <w:sz w:val="22"/>
          <w:szCs w:val="22"/>
        </w:rPr>
        <w:t>’</w:t>
      </w:r>
    </w:p>
    <w:p w14:paraId="625AD51F" w14:textId="77777777" w:rsidR="00864173" w:rsidRPr="00864173" w:rsidRDefault="00864173" w:rsidP="00864173">
      <w:pPr>
        <w:pStyle w:val="ListParagraph"/>
        <w:rPr>
          <w:rFonts w:ascii="Arial" w:hAnsi="Arial" w:cs="Arial"/>
          <w:color w:val="000000" w:themeColor="text1"/>
        </w:rPr>
      </w:pPr>
    </w:p>
    <w:p w14:paraId="0C736805" w14:textId="4F0C4C72" w:rsidR="0029445E"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[17]</w:t>
      </w:r>
      <w:r>
        <w:rPr>
          <w:rFonts w:ascii="Arial" w:hAnsi="Arial" w:cs="Arial"/>
          <w:color w:val="000000" w:themeColor="text1"/>
        </w:rPr>
        <w:tab/>
      </w:r>
      <w:r w:rsidR="00864173" w:rsidRPr="00AB10E4">
        <w:rPr>
          <w:rFonts w:ascii="Arial" w:hAnsi="Arial" w:cs="Arial"/>
          <w:color w:val="000000" w:themeColor="text1"/>
        </w:rPr>
        <w:t xml:space="preserve">The </w:t>
      </w:r>
      <w:r w:rsidR="0029445E" w:rsidRPr="00AB10E4">
        <w:rPr>
          <w:rFonts w:ascii="Arial" w:hAnsi="Arial" w:cs="Arial"/>
          <w:color w:val="000000" w:themeColor="text1"/>
        </w:rPr>
        <w:t>consequence of the failure to comply with the conditions and the concerns raised was that</w:t>
      </w:r>
      <w:r w:rsidR="0025174A" w:rsidRPr="00AB10E4">
        <w:rPr>
          <w:rFonts w:ascii="Arial" w:hAnsi="Arial" w:cs="Arial"/>
          <w:color w:val="000000" w:themeColor="text1"/>
        </w:rPr>
        <w:t xml:space="preserve"> the Prudential Authority</w:t>
      </w:r>
      <w:r w:rsidR="0029445E" w:rsidRPr="00AB10E4">
        <w:rPr>
          <w:rFonts w:ascii="Arial" w:hAnsi="Arial" w:cs="Arial"/>
          <w:color w:val="000000" w:themeColor="text1"/>
        </w:rPr>
        <w:t xml:space="preserve">: </w:t>
      </w:r>
    </w:p>
    <w:p w14:paraId="75E32374" w14:textId="77777777" w:rsidR="0029445E" w:rsidRPr="0029445E" w:rsidRDefault="0029445E" w:rsidP="0029445E">
      <w:pPr>
        <w:pStyle w:val="ListParagraph"/>
        <w:rPr>
          <w:rFonts w:ascii="Arial" w:hAnsi="Arial" w:cs="Arial"/>
          <w:color w:val="000000" w:themeColor="text1"/>
        </w:rPr>
      </w:pPr>
    </w:p>
    <w:p w14:paraId="1095CCA3" w14:textId="14A5E3E9" w:rsidR="00864173" w:rsidRPr="00864173" w:rsidRDefault="00461169" w:rsidP="0029445E">
      <w:pPr>
        <w:pStyle w:val="ListParagraph"/>
        <w:spacing w:line="360" w:lineRule="auto"/>
        <w:ind w:left="1440"/>
        <w:jc w:val="both"/>
        <w:rPr>
          <w:rFonts w:ascii="Arial" w:hAnsi="Arial" w:cs="Arial"/>
          <w:i/>
          <w:iCs/>
          <w:color w:val="000000" w:themeColor="text1"/>
          <w:sz w:val="22"/>
          <w:szCs w:val="22"/>
        </w:rPr>
      </w:pPr>
      <w:r>
        <w:rPr>
          <w:rFonts w:ascii="Arial" w:hAnsi="Arial" w:cs="Arial"/>
          <w:i/>
          <w:iCs/>
          <w:color w:val="000000" w:themeColor="text1"/>
          <w:sz w:val="22"/>
          <w:szCs w:val="22"/>
        </w:rPr>
        <w:t>‘</w:t>
      </w:r>
      <w:r w:rsidR="0025174A">
        <w:rPr>
          <w:rFonts w:ascii="Arial" w:hAnsi="Arial" w:cs="Arial"/>
          <w:i/>
          <w:iCs/>
          <w:color w:val="000000" w:themeColor="text1"/>
          <w:sz w:val="22"/>
          <w:szCs w:val="22"/>
        </w:rPr>
        <w:t xml:space="preserve">. . . </w:t>
      </w:r>
      <w:r w:rsidR="00864173" w:rsidRPr="00864173">
        <w:rPr>
          <w:rFonts w:ascii="Arial" w:hAnsi="Arial" w:cs="Arial"/>
          <w:i/>
          <w:iCs/>
          <w:color w:val="000000" w:themeColor="text1"/>
          <w:sz w:val="22"/>
          <w:szCs w:val="22"/>
        </w:rPr>
        <w:t>is not able to rely on the regulatory returns submitted by or the accuracy of financial and prudential and regulatory reporting received from Ithala due to its failure to fill the Chief Financial Officer’s position as well as that of the General Manager of Finance which has been vacant since 1 September 2020.</w:t>
      </w:r>
      <w:r>
        <w:rPr>
          <w:rFonts w:ascii="Arial" w:hAnsi="Arial" w:cs="Arial"/>
          <w:i/>
          <w:iCs/>
          <w:color w:val="000000" w:themeColor="text1"/>
          <w:sz w:val="22"/>
          <w:szCs w:val="22"/>
        </w:rPr>
        <w:t>’</w:t>
      </w:r>
    </w:p>
    <w:p w14:paraId="4B46E7DA" w14:textId="77777777" w:rsidR="00864173" w:rsidRDefault="00864173" w:rsidP="0029445E">
      <w:pPr>
        <w:pStyle w:val="ListParagraph"/>
        <w:spacing w:line="360" w:lineRule="auto"/>
        <w:ind w:left="1440"/>
        <w:jc w:val="both"/>
        <w:rPr>
          <w:rFonts w:ascii="Arial" w:hAnsi="Arial" w:cs="Arial"/>
          <w:color w:val="000000" w:themeColor="text1"/>
        </w:rPr>
      </w:pPr>
    </w:p>
    <w:p w14:paraId="0B5414D5" w14:textId="190F9348" w:rsidR="00864173" w:rsidRDefault="00461169" w:rsidP="0029445E">
      <w:pPr>
        <w:pStyle w:val="ListParagraph"/>
        <w:spacing w:line="360" w:lineRule="auto"/>
        <w:ind w:left="1440"/>
        <w:jc w:val="both"/>
        <w:rPr>
          <w:rFonts w:ascii="Arial" w:hAnsi="Arial" w:cs="Arial"/>
          <w:color w:val="000000" w:themeColor="text1"/>
        </w:rPr>
      </w:pPr>
      <w:r>
        <w:rPr>
          <w:rFonts w:ascii="Arial" w:hAnsi="Arial" w:cs="Arial"/>
          <w:color w:val="000000" w:themeColor="text1"/>
        </w:rPr>
        <w:t>a</w:t>
      </w:r>
      <w:r w:rsidR="00864173">
        <w:rPr>
          <w:rFonts w:ascii="Arial" w:hAnsi="Arial" w:cs="Arial"/>
          <w:color w:val="000000" w:themeColor="text1"/>
        </w:rPr>
        <w:t>nd</w:t>
      </w:r>
    </w:p>
    <w:p w14:paraId="176EF34D" w14:textId="77777777" w:rsidR="00864173" w:rsidRDefault="00864173" w:rsidP="0029445E">
      <w:pPr>
        <w:pStyle w:val="ListParagraph"/>
        <w:spacing w:line="360" w:lineRule="auto"/>
        <w:ind w:left="1440"/>
        <w:jc w:val="both"/>
        <w:rPr>
          <w:rFonts w:ascii="Arial" w:hAnsi="Arial" w:cs="Arial"/>
          <w:color w:val="000000" w:themeColor="text1"/>
        </w:rPr>
      </w:pPr>
    </w:p>
    <w:p w14:paraId="5EBF8F23" w14:textId="4541CDED" w:rsidR="0029445E" w:rsidRDefault="00461169" w:rsidP="0029445E">
      <w:pPr>
        <w:pStyle w:val="ListParagraph"/>
        <w:spacing w:line="360" w:lineRule="auto"/>
        <w:ind w:left="1440"/>
        <w:jc w:val="both"/>
        <w:rPr>
          <w:rFonts w:ascii="Arial" w:hAnsi="Arial" w:cs="Arial"/>
          <w:i/>
          <w:iCs/>
          <w:color w:val="000000" w:themeColor="text1"/>
        </w:rPr>
      </w:pPr>
      <w:r>
        <w:rPr>
          <w:rFonts w:ascii="Arial" w:hAnsi="Arial" w:cs="Arial"/>
          <w:i/>
          <w:iCs/>
          <w:color w:val="000000" w:themeColor="text1"/>
          <w:sz w:val="22"/>
          <w:szCs w:val="22"/>
        </w:rPr>
        <w:t>‘</w:t>
      </w:r>
      <w:r w:rsidR="00864173" w:rsidRPr="00864173">
        <w:rPr>
          <w:rFonts w:ascii="Arial" w:hAnsi="Arial" w:cs="Arial"/>
          <w:i/>
          <w:iCs/>
          <w:color w:val="000000" w:themeColor="text1"/>
          <w:sz w:val="22"/>
          <w:szCs w:val="22"/>
        </w:rPr>
        <w:t xml:space="preserve">In addition, Ithala’s regulatory returns are frequently late, in non-compliance of </w:t>
      </w:r>
      <w:r w:rsidR="00864173">
        <w:rPr>
          <w:rFonts w:ascii="Arial" w:hAnsi="Arial" w:cs="Arial"/>
          <w:i/>
          <w:iCs/>
          <w:color w:val="000000" w:themeColor="text1"/>
          <w:sz w:val="22"/>
          <w:szCs w:val="22"/>
        </w:rPr>
        <w:t>R</w:t>
      </w:r>
      <w:r w:rsidR="00864173" w:rsidRPr="00864173">
        <w:rPr>
          <w:rFonts w:ascii="Arial" w:hAnsi="Arial" w:cs="Arial"/>
          <w:i/>
          <w:iCs/>
          <w:color w:val="000000" w:themeColor="text1"/>
          <w:sz w:val="22"/>
          <w:szCs w:val="22"/>
        </w:rPr>
        <w:t>egulation 6(1) read with</w:t>
      </w:r>
      <w:r w:rsidR="00864173">
        <w:rPr>
          <w:rFonts w:ascii="Arial" w:hAnsi="Arial" w:cs="Arial"/>
          <w:i/>
          <w:iCs/>
          <w:color w:val="000000" w:themeColor="text1"/>
          <w:sz w:val="22"/>
          <w:szCs w:val="22"/>
        </w:rPr>
        <w:t xml:space="preserve"> R</w:t>
      </w:r>
      <w:r w:rsidR="00864173" w:rsidRPr="00864173">
        <w:rPr>
          <w:rFonts w:ascii="Arial" w:hAnsi="Arial" w:cs="Arial"/>
          <w:i/>
          <w:iCs/>
          <w:color w:val="000000" w:themeColor="text1"/>
          <w:sz w:val="22"/>
          <w:szCs w:val="22"/>
        </w:rPr>
        <w:t>egulation 7 of the Regulations relating to Banks, making it difficult for the PA to appropriately supervise Ithala.</w:t>
      </w:r>
      <w:r>
        <w:rPr>
          <w:rFonts w:ascii="Arial" w:hAnsi="Arial" w:cs="Arial"/>
          <w:i/>
          <w:iCs/>
          <w:color w:val="000000" w:themeColor="text1"/>
          <w:sz w:val="22"/>
          <w:szCs w:val="22"/>
        </w:rPr>
        <w:t>’</w:t>
      </w:r>
      <w:r w:rsidR="0029445E" w:rsidRPr="00864173">
        <w:rPr>
          <w:rFonts w:ascii="Arial" w:hAnsi="Arial" w:cs="Arial"/>
          <w:i/>
          <w:iCs/>
          <w:color w:val="000000" w:themeColor="text1"/>
        </w:rPr>
        <w:tab/>
      </w:r>
    </w:p>
    <w:p w14:paraId="4F00D8FA" w14:textId="6E90CE80" w:rsidR="00864173" w:rsidRDefault="00864173" w:rsidP="0029445E">
      <w:pPr>
        <w:pStyle w:val="ListParagraph"/>
        <w:spacing w:line="360" w:lineRule="auto"/>
        <w:ind w:left="1440"/>
        <w:jc w:val="both"/>
        <w:rPr>
          <w:rFonts w:ascii="Arial" w:hAnsi="Arial" w:cs="Arial"/>
          <w:i/>
          <w:iCs/>
          <w:color w:val="000000" w:themeColor="text1"/>
        </w:rPr>
      </w:pPr>
    </w:p>
    <w:p w14:paraId="444F02FB" w14:textId="13D26CFF" w:rsidR="00864173" w:rsidRDefault="00461169" w:rsidP="0029445E">
      <w:pPr>
        <w:pStyle w:val="ListParagraph"/>
        <w:spacing w:line="360" w:lineRule="auto"/>
        <w:ind w:left="1440"/>
        <w:jc w:val="both"/>
        <w:rPr>
          <w:rFonts w:ascii="Arial" w:hAnsi="Arial" w:cs="Arial"/>
          <w:color w:val="000000" w:themeColor="text1"/>
        </w:rPr>
      </w:pPr>
      <w:r>
        <w:rPr>
          <w:rFonts w:ascii="Arial" w:hAnsi="Arial" w:cs="Arial"/>
          <w:color w:val="000000" w:themeColor="text1"/>
        </w:rPr>
        <w:t>a</w:t>
      </w:r>
      <w:r w:rsidR="00864173">
        <w:rPr>
          <w:rFonts w:ascii="Arial" w:hAnsi="Arial" w:cs="Arial"/>
          <w:color w:val="000000" w:themeColor="text1"/>
        </w:rPr>
        <w:t>nd</w:t>
      </w:r>
    </w:p>
    <w:p w14:paraId="38094D09" w14:textId="57DD1BD9" w:rsidR="00864173" w:rsidRDefault="00864173" w:rsidP="0029445E">
      <w:pPr>
        <w:pStyle w:val="ListParagraph"/>
        <w:spacing w:line="360" w:lineRule="auto"/>
        <w:ind w:left="1440"/>
        <w:jc w:val="both"/>
        <w:rPr>
          <w:rFonts w:ascii="Arial" w:hAnsi="Arial" w:cs="Arial"/>
          <w:color w:val="000000" w:themeColor="text1"/>
        </w:rPr>
      </w:pPr>
    </w:p>
    <w:p w14:paraId="58823BE8" w14:textId="39B7275A" w:rsidR="00864173" w:rsidRDefault="00461169" w:rsidP="0029445E">
      <w:pPr>
        <w:pStyle w:val="ListParagraph"/>
        <w:spacing w:line="360" w:lineRule="auto"/>
        <w:ind w:left="1440"/>
        <w:jc w:val="both"/>
        <w:rPr>
          <w:rFonts w:ascii="Arial" w:hAnsi="Arial" w:cs="Arial"/>
          <w:i/>
          <w:iCs/>
          <w:color w:val="000000" w:themeColor="text1"/>
          <w:sz w:val="22"/>
          <w:szCs w:val="22"/>
        </w:rPr>
      </w:pPr>
      <w:r>
        <w:rPr>
          <w:rFonts w:ascii="Arial" w:hAnsi="Arial" w:cs="Arial"/>
          <w:i/>
          <w:iCs/>
          <w:color w:val="000000" w:themeColor="text1"/>
          <w:sz w:val="22"/>
          <w:szCs w:val="22"/>
        </w:rPr>
        <w:t>‘</w:t>
      </w:r>
      <w:r w:rsidR="00864173">
        <w:rPr>
          <w:rFonts w:ascii="Arial" w:hAnsi="Arial" w:cs="Arial"/>
          <w:i/>
          <w:iCs/>
          <w:color w:val="000000" w:themeColor="text1"/>
          <w:sz w:val="22"/>
          <w:szCs w:val="22"/>
        </w:rPr>
        <w:t xml:space="preserve">Ithala has also not been able to provide adequate capital </w:t>
      </w:r>
      <w:r w:rsidR="00700153">
        <w:rPr>
          <w:rFonts w:ascii="Arial" w:hAnsi="Arial" w:cs="Arial"/>
          <w:i/>
          <w:iCs/>
          <w:color w:val="000000" w:themeColor="text1"/>
          <w:sz w:val="22"/>
          <w:szCs w:val="22"/>
        </w:rPr>
        <w:t>commitments</w:t>
      </w:r>
      <w:r w:rsidR="00864173">
        <w:rPr>
          <w:rFonts w:ascii="Arial" w:hAnsi="Arial" w:cs="Arial"/>
          <w:i/>
          <w:iCs/>
          <w:color w:val="000000" w:themeColor="text1"/>
          <w:sz w:val="22"/>
          <w:szCs w:val="22"/>
        </w:rPr>
        <w:t xml:space="preserve"> or a legally binding ren</w:t>
      </w:r>
      <w:r w:rsidR="00700153">
        <w:rPr>
          <w:rFonts w:ascii="Arial" w:hAnsi="Arial" w:cs="Arial"/>
          <w:i/>
          <w:iCs/>
          <w:color w:val="000000" w:themeColor="text1"/>
          <w:sz w:val="22"/>
          <w:szCs w:val="22"/>
        </w:rPr>
        <w:t>ewal of a guarantee over its deposits from its shareholder – Province of Kwa-Zulu Natal.</w:t>
      </w:r>
      <w:r>
        <w:rPr>
          <w:rFonts w:ascii="Arial" w:hAnsi="Arial" w:cs="Arial"/>
          <w:i/>
          <w:iCs/>
          <w:color w:val="000000" w:themeColor="text1"/>
          <w:sz w:val="22"/>
          <w:szCs w:val="22"/>
        </w:rPr>
        <w:t>’</w:t>
      </w:r>
      <w:r w:rsidR="00864173">
        <w:rPr>
          <w:rFonts w:ascii="Arial" w:hAnsi="Arial" w:cs="Arial"/>
          <w:i/>
          <w:iCs/>
          <w:color w:val="000000" w:themeColor="text1"/>
          <w:sz w:val="22"/>
          <w:szCs w:val="22"/>
        </w:rPr>
        <w:t xml:space="preserve"> </w:t>
      </w:r>
    </w:p>
    <w:p w14:paraId="426A46C2" w14:textId="77777777" w:rsidR="0029445E" w:rsidRPr="00AD4721" w:rsidRDefault="0029445E" w:rsidP="00AD4721">
      <w:pPr>
        <w:rPr>
          <w:rFonts w:ascii="Arial" w:hAnsi="Arial" w:cs="Arial"/>
          <w:color w:val="000000" w:themeColor="text1"/>
        </w:rPr>
      </w:pPr>
    </w:p>
    <w:p w14:paraId="4D03623A" w14:textId="77AE63E6" w:rsidR="002313ED"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[18]</w:t>
      </w:r>
      <w:r>
        <w:rPr>
          <w:rFonts w:ascii="Arial" w:hAnsi="Arial" w:cs="Arial"/>
          <w:color w:val="000000" w:themeColor="text1"/>
        </w:rPr>
        <w:tab/>
      </w:r>
      <w:r w:rsidR="002313ED" w:rsidRPr="00AB10E4">
        <w:rPr>
          <w:rFonts w:ascii="Arial" w:hAnsi="Arial" w:cs="Arial"/>
          <w:color w:val="000000" w:themeColor="text1"/>
        </w:rPr>
        <w:t>The letter went on to record that:</w:t>
      </w:r>
    </w:p>
    <w:p w14:paraId="390815C0" w14:textId="77777777" w:rsidR="002313ED" w:rsidRPr="003447FB" w:rsidRDefault="002313ED" w:rsidP="003447FB">
      <w:pPr>
        <w:spacing w:line="360" w:lineRule="auto"/>
        <w:jc w:val="both"/>
        <w:rPr>
          <w:rFonts w:ascii="Arial" w:hAnsi="Arial" w:cs="Arial"/>
          <w:color w:val="000000" w:themeColor="text1"/>
        </w:rPr>
      </w:pPr>
    </w:p>
    <w:p w14:paraId="71C5BA81" w14:textId="362D7EAD" w:rsidR="002313ED" w:rsidRPr="002313ED" w:rsidRDefault="00461169" w:rsidP="002313ED">
      <w:pPr>
        <w:pStyle w:val="ListParagraph"/>
        <w:spacing w:line="360" w:lineRule="auto"/>
        <w:ind w:left="1418"/>
        <w:jc w:val="both"/>
        <w:rPr>
          <w:rFonts w:ascii="Arial" w:hAnsi="Arial" w:cs="Arial"/>
          <w:i/>
          <w:iCs/>
          <w:color w:val="000000" w:themeColor="text1"/>
          <w:sz w:val="22"/>
          <w:szCs w:val="22"/>
        </w:rPr>
      </w:pPr>
      <w:r>
        <w:rPr>
          <w:rFonts w:ascii="Arial" w:hAnsi="Arial" w:cs="Arial"/>
          <w:i/>
          <w:iCs/>
          <w:color w:val="000000" w:themeColor="text1"/>
          <w:sz w:val="22"/>
          <w:szCs w:val="22"/>
        </w:rPr>
        <w:t>‘</w:t>
      </w:r>
      <w:r w:rsidR="002313ED" w:rsidRPr="002313ED">
        <w:rPr>
          <w:rFonts w:ascii="Arial" w:hAnsi="Arial" w:cs="Arial"/>
          <w:i/>
          <w:iCs/>
          <w:color w:val="000000" w:themeColor="text1"/>
          <w:sz w:val="22"/>
          <w:szCs w:val="22"/>
        </w:rPr>
        <w:t xml:space="preserve">The Banks Act </w:t>
      </w:r>
      <w:r w:rsidR="002313ED" w:rsidRPr="002313ED">
        <w:rPr>
          <w:rFonts w:ascii="Arial" w:hAnsi="Arial" w:cs="Arial"/>
          <w:b/>
          <w:bCs/>
          <w:i/>
          <w:iCs/>
          <w:color w:val="000000" w:themeColor="text1"/>
          <w:sz w:val="22"/>
          <w:szCs w:val="22"/>
        </w:rPr>
        <w:t xml:space="preserve">does not provide for a provincially owned entity such as Ithala to apply for authorization to establish a bank.  </w:t>
      </w:r>
      <w:r w:rsidR="002313ED" w:rsidRPr="002313ED">
        <w:rPr>
          <w:rFonts w:ascii="Arial" w:hAnsi="Arial" w:cs="Arial"/>
          <w:i/>
          <w:iCs/>
          <w:color w:val="000000" w:themeColor="text1"/>
          <w:sz w:val="22"/>
          <w:szCs w:val="22"/>
        </w:rPr>
        <w:t xml:space="preserve">Consequently, Ithala’s continuation of its deposit taking activities will be entirely reliant on the PA’s continued issuance of </w:t>
      </w:r>
      <w:r w:rsidR="00984B95">
        <w:rPr>
          <w:rFonts w:ascii="Arial" w:hAnsi="Arial" w:cs="Arial"/>
          <w:i/>
          <w:iCs/>
          <w:color w:val="000000" w:themeColor="text1"/>
          <w:sz w:val="22"/>
          <w:szCs w:val="22"/>
        </w:rPr>
        <w:t>Exemption</w:t>
      </w:r>
      <w:r w:rsidR="002313ED" w:rsidRPr="002313ED">
        <w:rPr>
          <w:rFonts w:ascii="Arial" w:hAnsi="Arial" w:cs="Arial"/>
          <w:i/>
          <w:iCs/>
          <w:color w:val="000000" w:themeColor="text1"/>
          <w:sz w:val="22"/>
          <w:szCs w:val="22"/>
        </w:rPr>
        <w:t xml:space="preserve"> Notices in terms of the Banks Act.  Operation under </w:t>
      </w:r>
      <w:r w:rsidR="00984B95">
        <w:rPr>
          <w:rFonts w:ascii="Arial" w:hAnsi="Arial" w:cs="Arial"/>
          <w:i/>
          <w:iCs/>
          <w:color w:val="000000" w:themeColor="text1"/>
          <w:sz w:val="22"/>
          <w:szCs w:val="22"/>
        </w:rPr>
        <w:t>Exemption</w:t>
      </w:r>
      <w:r w:rsidR="002313ED" w:rsidRPr="002313ED">
        <w:rPr>
          <w:rFonts w:ascii="Arial" w:hAnsi="Arial" w:cs="Arial"/>
          <w:i/>
          <w:iCs/>
          <w:color w:val="000000" w:themeColor="text1"/>
          <w:sz w:val="22"/>
          <w:szCs w:val="22"/>
        </w:rPr>
        <w:t xml:space="preserve"> is meant to be a temporarily measure that is aimed at assisting qualifying institutions to regularize themselves as a type of financial institution.  Ithala has not been able to do that since formation.</w:t>
      </w:r>
      <w:r>
        <w:rPr>
          <w:rFonts w:ascii="Arial" w:hAnsi="Arial" w:cs="Arial"/>
          <w:i/>
          <w:iCs/>
          <w:color w:val="000000" w:themeColor="text1"/>
          <w:sz w:val="22"/>
          <w:szCs w:val="22"/>
        </w:rPr>
        <w:t>’</w:t>
      </w:r>
    </w:p>
    <w:p w14:paraId="7196F846" w14:textId="0E288918" w:rsidR="00CC7A2F" w:rsidRDefault="00CC7A2F" w:rsidP="002313ED">
      <w:pPr>
        <w:pStyle w:val="ListParagraph"/>
        <w:spacing w:line="360" w:lineRule="auto"/>
        <w:ind w:left="851"/>
        <w:jc w:val="both"/>
        <w:rPr>
          <w:rFonts w:ascii="Arial" w:hAnsi="Arial" w:cs="Arial"/>
          <w:color w:val="000000" w:themeColor="text1"/>
        </w:rPr>
      </w:pPr>
    </w:p>
    <w:p w14:paraId="44201BFC" w14:textId="5A7ED7B2" w:rsidR="002313ED" w:rsidRDefault="00461169" w:rsidP="002313ED">
      <w:pPr>
        <w:pStyle w:val="ListParagraph"/>
        <w:spacing w:line="360" w:lineRule="auto"/>
        <w:ind w:left="851"/>
        <w:jc w:val="both"/>
        <w:rPr>
          <w:rFonts w:ascii="Arial" w:hAnsi="Arial" w:cs="Arial"/>
          <w:color w:val="000000" w:themeColor="text1"/>
        </w:rPr>
      </w:pPr>
      <w:r>
        <w:rPr>
          <w:rFonts w:ascii="Arial" w:hAnsi="Arial" w:cs="Arial"/>
          <w:color w:val="000000" w:themeColor="text1"/>
        </w:rPr>
        <w:t>a</w:t>
      </w:r>
      <w:r w:rsidR="002313ED">
        <w:rPr>
          <w:rFonts w:ascii="Arial" w:hAnsi="Arial" w:cs="Arial"/>
          <w:color w:val="000000" w:themeColor="text1"/>
        </w:rPr>
        <w:t>nd</w:t>
      </w:r>
    </w:p>
    <w:p w14:paraId="172E3AD3" w14:textId="63936C5E" w:rsidR="002313ED" w:rsidRDefault="002313ED" w:rsidP="002313ED">
      <w:pPr>
        <w:pStyle w:val="ListParagraph"/>
        <w:spacing w:line="360" w:lineRule="auto"/>
        <w:ind w:left="851"/>
        <w:jc w:val="both"/>
        <w:rPr>
          <w:rFonts w:ascii="Arial" w:hAnsi="Arial" w:cs="Arial"/>
          <w:color w:val="000000" w:themeColor="text1"/>
        </w:rPr>
      </w:pPr>
    </w:p>
    <w:p w14:paraId="29B14970" w14:textId="462CB232" w:rsidR="002313ED" w:rsidRDefault="00461169" w:rsidP="002313ED">
      <w:pPr>
        <w:pStyle w:val="ListParagraph"/>
        <w:spacing w:line="360" w:lineRule="auto"/>
        <w:ind w:left="1418"/>
        <w:jc w:val="both"/>
        <w:rPr>
          <w:rFonts w:ascii="Arial" w:hAnsi="Arial" w:cs="Arial"/>
          <w:i/>
          <w:iCs/>
          <w:color w:val="000000" w:themeColor="text1"/>
          <w:sz w:val="22"/>
          <w:szCs w:val="22"/>
        </w:rPr>
      </w:pPr>
      <w:r>
        <w:rPr>
          <w:rFonts w:ascii="Arial" w:hAnsi="Arial" w:cs="Arial"/>
          <w:i/>
          <w:iCs/>
          <w:color w:val="000000" w:themeColor="text1"/>
          <w:sz w:val="22"/>
          <w:szCs w:val="22"/>
        </w:rPr>
        <w:t>‘</w:t>
      </w:r>
      <w:r w:rsidR="002313ED" w:rsidRPr="002313ED">
        <w:rPr>
          <w:rFonts w:ascii="Arial" w:hAnsi="Arial" w:cs="Arial"/>
          <w:i/>
          <w:iCs/>
          <w:color w:val="000000" w:themeColor="text1"/>
          <w:sz w:val="22"/>
          <w:szCs w:val="22"/>
        </w:rPr>
        <w:t>Furthermore, ABSA Bank Ltd has advised Ithala that it intends to terminate its sponsorship arrangement with Ithala for clearing and settlement in the national payment system, with effect from 31 December 2023.</w:t>
      </w:r>
      <w:r>
        <w:rPr>
          <w:rFonts w:ascii="Arial" w:hAnsi="Arial" w:cs="Arial"/>
          <w:i/>
          <w:iCs/>
          <w:color w:val="000000" w:themeColor="text1"/>
          <w:sz w:val="22"/>
          <w:szCs w:val="22"/>
        </w:rPr>
        <w:t>’</w:t>
      </w:r>
    </w:p>
    <w:p w14:paraId="492D68FD" w14:textId="6E21974A" w:rsidR="002313ED" w:rsidRDefault="002313ED" w:rsidP="002313ED">
      <w:pPr>
        <w:pStyle w:val="ListParagraph"/>
        <w:spacing w:line="360" w:lineRule="auto"/>
        <w:ind w:left="1418"/>
        <w:jc w:val="both"/>
        <w:rPr>
          <w:rFonts w:ascii="Arial" w:hAnsi="Arial" w:cs="Arial"/>
          <w:i/>
          <w:iCs/>
          <w:color w:val="000000" w:themeColor="text1"/>
          <w:sz w:val="22"/>
          <w:szCs w:val="22"/>
        </w:rPr>
      </w:pPr>
    </w:p>
    <w:p w14:paraId="19B5D983" w14:textId="73CE0B38" w:rsidR="002313ED" w:rsidRDefault="00461169" w:rsidP="002313ED">
      <w:pPr>
        <w:pStyle w:val="ListParagraph"/>
        <w:spacing w:line="360" w:lineRule="auto"/>
        <w:ind w:left="851"/>
        <w:jc w:val="both"/>
        <w:rPr>
          <w:rFonts w:ascii="Arial" w:hAnsi="Arial" w:cs="Arial"/>
          <w:color w:val="000000" w:themeColor="text1"/>
        </w:rPr>
      </w:pPr>
      <w:r>
        <w:rPr>
          <w:rFonts w:ascii="Arial" w:hAnsi="Arial" w:cs="Arial"/>
          <w:color w:val="000000" w:themeColor="text1"/>
        </w:rPr>
        <w:t>a</w:t>
      </w:r>
      <w:r w:rsidR="002313ED">
        <w:rPr>
          <w:rFonts w:ascii="Arial" w:hAnsi="Arial" w:cs="Arial"/>
          <w:color w:val="000000" w:themeColor="text1"/>
        </w:rPr>
        <w:t>nd</w:t>
      </w:r>
    </w:p>
    <w:p w14:paraId="09B12D37" w14:textId="6D203D0B" w:rsidR="002313ED" w:rsidRDefault="002313ED" w:rsidP="002313ED">
      <w:pPr>
        <w:pStyle w:val="ListParagraph"/>
        <w:spacing w:line="360" w:lineRule="auto"/>
        <w:ind w:left="851"/>
        <w:jc w:val="both"/>
        <w:rPr>
          <w:rFonts w:ascii="Arial" w:hAnsi="Arial" w:cs="Arial"/>
          <w:color w:val="000000" w:themeColor="text1"/>
        </w:rPr>
      </w:pPr>
    </w:p>
    <w:p w14:paraId="08D2B354" w14:textId="31AF1992" w:rsidR="002313ED" w:rsidRDefault="00461169" w:rsidP="00061581">
      <w:pPr>
        <w:pStyle w:val="ListParagraph"/>
        <w:spacing w:line="360" w:lineRule="auto"/>
        <w:ind w:left="1418"/>
        <w:jc w:val="both"/>
        <w:rPr>
          <w:rFonts w:ascii="Arial" w:hAnsi="Arial" w:cs="Arial"/>
          <w:i/>
          <w:iCs/>
          <w:color w:val="000000" w:themeColor="text1"/>
          <w:sz w:val="22"/>
          <w:szCs w:val="22"/>
        </w:rPr>
      </w:pPr>
      <w:r>
        <w:rPr>
          <w:rFonts w:ascii="Arial" w:hAnsi="Arial" w:cs="Arial"/>
          <w:i/>
          <w:iCs/>
          <w:color w:val="000000" w:themeColor="text1"/>
          <w:sz w:val="22"/>
          <w:szCs w:val="22"/>
        </w:rPr>
        <w:t>‘</w:t>
      </w:r>
      <w:r w:rsidR="00061581" w:rsidRPr="00061581">
        <w:rPr>
          <w:rFonts w:ascii="Arial" w:hAnsi="Arial" w:cs="Arial"/>
          <w:i/>
          <w:iCs/>
          <w:color w:val="000000" w:themeColor="text1"/>
          <w:sz w:val="22"/>
          <w:szCs w:val="22"/>
        </w:rPr>
        <w:t>The PA has also been advised by Ithala that the Standard Bank of South Africa Ltd has declined to enter into a sponsorship arrangement with Ithala for clearing and settlement in the national payment system.</w:t>
      </w:r>
      <w:r>
        <w:rPr>
          <w:rFonts w:ascii="Arial" w:hAnsi="Arial" w:cs="Arial"/>
          <w:i/>
          <w:iCs/>
          <w:color w:val="000000" w:themeColor="text1"/>
          <w:sz w:val="22"/>
          <w:szCs w:val="22"/>
        </w:rPr>
        <w:t>’</w:t>
      </w:r>
    </w:p>
    <w:p w14:paraId="25D337C0" w14:textId="77777777" w:rsidR="00061581" w:rsidRPr="00061581" w:rsidRDefault="00061581" w:rsidP="00061581">
      <w:pPr>
        <w:pStyle w:val="ListParagraph"/>
        <w:spacing w:line="360" w:lineRule="auto"/>
        <w:ind w:left="1418"/>
        <w:jc w:val="both"/>
        <w:rPr>
          <w:rFonts w:ascii="Arial" w:hAnsi="Arial" w:cs="Arial"/>
          <w:i/>
          <w:iCs/>
          <w:color w:val="000000" w:themeColor="text1"/>
          <w:sz w:val="22"/>
          <w:szCs w:val="22"/>
        </w:rPr>
      </w:pPr>
    </w:p>
    <w:p w14:paraId="6D98CEFE" w14:textId="04BC6BD1" w:rsidR="00CC7A2F" w:rsidRPr="00AB10E4" w:rsidRDefault="00AB10E4" w:rsidP="00AB10E4">
      <w:pPr>
        <w:spacing w:line="360" w:lineRule="auto"/>
        <w:ind w:left="851" w:hanging="851"/>
        <w:jc w:val="both"/>
        <w:rPr>
          <w:rFonts w:ascii="Arial" w:hAnsi="Arial" w:cs="Arial"/>
          <w:b/>
          <w:bCs/>
          <w:color w:val="000000" w:themeColor="text1"/>
        </w:rPr>
      </w:pPr>
      <w:r w:rsidRPr="001323A1">
        <w:rPr>
          <w:rFonts w:ascii="Arial" w:hAnsi="Arial" w:cs="Arial"/>
          <w:color w:val="000000" w:themeColor="text1"/>
        </w:rPr>
        <w:t>[19]</w:t>
      </w:r>
      <w:r w:rsidRPr="001323A1">
        <w:rPr>
          <w:rFonts w:ascii="Arial" w:hAnsi="Arial" w:cs="Arial"/>
          <w:color w:val="000000" w:themeColor="text1"/>
        </w:rPr>
        <w:tab/>
      </w:r>
      <w:r w:rsidR="00AA463B" w:rsidRPr="00AB10E4">
        <w:rPr>
          <w:rFonts w:ascii="Arial" w:hAnsi="Arial" w:cs="Arial"/>
          <w:color w:val="000000" w:themeColor="text1"/>
        </w:rPr>
        <w:t xml:space="preserve">The Prudential Authority then went on to inform Ithala that, subject to any representation it may receive from it, by 21 June 2022, it would not be issuing </w:t>
      </w:r>
      <w:r w:rsidR="00AA463B" w:rsidRPr="00AB10E4">
        <w:rPr>
          <w:rFonts w:ascii="Arial" w:hAnsi="Arial" w:cs="Arial"/>
          <w:color w:val="000000" w:themeColor="text1"/>
        </w:rPr>
        <w:lastRenderedPageBreak/>
        <w:t xml:space="preserve">any further </w:t>
      </w:r>
      <w:r w:rsidR="00984B95" w:rsidRPr="00AB10E4">
        <w:rPr>
          <w:rFonts w:ascii="Arial" w:hAnsi="Arial" w:cs="Arial"/>
          <w:color w:val="000000" w:themeColor="text1"/>
        </w:rPr>
        <w:t>Exemption</w:t>
      </w:r>
      <w:r w:rsidR="00AA463B" w:rsidRPr="00AB10E4">
        <w:rPr>
          <w:rFonts w:ascii="Arial" w:hAnsi="Arial" w:cs="Arial"/>
          <w:color w:val="000000" w:themeColor="text1"/>
        </w:rPr>
        <w:t xml:space="preserve"> Notices beyond 30 June 2022.</w:t>
      </w:r>
      <w:r w:rsidR="00303B08" w:rsidRPr="00AB10E4">
        <w:rPr>
          <w:rFonts w:ascii="Arial" w:hAnsi="Arial" w:cs="Arial"/>
          <w:color w:val="000000" w:themeColor="text1"/>
        </w:rPr>
        <w:t xml:space="preserve">  On 20 June 2022, a lengthy letter was sent by Ithala to the Prudential Authority in which it sought to address the concerns raised in the letter of 3 June 2022</w:t>
      </w:r>
      <w:r w:rsidR="00383D55" w:rsidRPr="00AB10E4">
        <w:rPr>
          <w:rFonts w:ascii="Arial" w:hAnsi="Arial" w:cs="Arial"/>
          <w:color w:val="000000" w:themeColor="text1"/>
        </w:rPr>
        <w:t xml:space="preserve"> and requested reconsideration of the decision. </w:t>
      </w:r>
      <w:r w:rsidR="001323A1" w:rsidRPr="00AB10E4">
        <w:rPr>
          <w:rFonts w:ascii="Arial" w:hAnsi="Arial" w:cs="Arial"/>
          <w:color w:val="000000" w:themeColor="text1"/>
        </w:rPr>
        <w:t xml:space="preserve">  </w:t>
      </w:r>
    </w:p>
    <w:p w14:paraId="33EF0AEB" w14:textId="77777777" w:rsidR="00AD4721" w:rsidRPr="003447FB" w:rsidRDefault="00AD4721" w:rsidP="003447FB">
      <w:pPr>
        <w:spacing w:line="360" w:lineRule="auto"/>
        <w:jc w:val="both"/>
        <w:rPr>
          <w:rFonts w:ascii="Arial" w:hAnsi="Arial" w:cs="Arial"/>
          <w:color w:val="000000" w:themeColor="text1"/>
        </w:rPr>
      </w:pPr>
    </w:p>
    <w:p w14:paraId="10F530C5" w14:textId="6771A7BC" w:rsidR="00881EE5" w:rsidRPr="00AB10E4" w:rsidRDefault="00AB10E4" w:rsidP="00AB10E4">
      <w:pPr>
        <w:spacing w:line="360" w:lineRule="auto"/>
        <w:ind w:left="851" w:hanging="851"/>
        <w:jc w:val="both"/>
        <w:rPr>
          <w:rFonts w:ascii="Arial" w:hAnsi="Arial" w:cs="Arial"/>
          <w:color w:val="000000" w:themeColor="text1"/>
        </w:rPr>
      </w:pPr>
      <w:r w:rsidRPr="00AD39CE">
        <w:rPr>
          <w:rFonts w:ascii="Arial" w:hAnsi="Arial" w:cs="Arial"/>
          <w:color w:val="000000" w:themeColor="text1"/>
        </w:rPr>
        <w:t>[20]</w:t>
      </w:r>
      <w:r w:rsidRPr="00AD39CE">
        <w:rPr>
          <w:rFonts w:ascii="Arial" w:hAnsi="Arial" w:cs="Arial"/>
          <w:color w:val="000000" w:themeColor="text1"/>
        </w:rPr>
        <w:tab/>
      </w:r>
      <w:r w:rsidR="00383D55" w:rsidRPr="00AB10E4">
        <w:rPr>
          <w:rFonts w:ascii="Arial" w:hAnsi="Arial" w:cs="Arial"/>
          <w:color w:val="000000" w:themeColor="text1"/>
        </w:rPr>
        <w:t xml:space="preserve">When no response was received from the Prudential Authority by Ithala, </w:t>
      </w:r>
      <w:r w:rsidR="001658CC" w:rsidRPr="00AB10E4">
        <w:rPr>
          <w:rFonts w:ascii="Arial" w:hAnsi="Arial" w:cs="Arial"/>
          <w:color w:val="000000" w:themeColor="text1"/>
        </w:rPr>
        <w:t xml:space="preserve">Ithala </w:t>
      </w:r>
      <w:r w:rsidR="00383D55" w:rsidRPr="00AB10E4">
        <w:rPr>
          <w:rFonts w:ascii="Arial" w:hAnsi="Arial" w:cs="Arial"/>
          <w:color w:val="000000" w:themeColor="text1"/>
        </w:rPr>
        <w:t>launched a</w:t>
      </w:r>
      <w:r w:rsidR="001658CC" w:rsidRPr="00AB10E4">
        <w:rPr>
          <w:rFonts w:ascii="Arial" w:hAnsi="Arial" w:cs="Arial"/>
          <w:color w:val="000000" w:themeColor="text1"/>
        </w:rPr>
        <w:t xml:space="preserve">n urgent application on 28 June 2022 to compel the grant </w:t>
      </w:r>
      <w:r w:rsidR="00383D55" w:rsidRPr="00AB10E4">
        <w:rPr>
          <w:rFonts w:ascii="Arial" w:hAnsi="Arial" w:cs="Arial"/>
          <w:color w:val="000000" w:themeColor="text1"/>
        </w:rPr>
        <w:t>of a</w:t>
      </w:r>
      <w:r w:rsidR="001658CC" w:rsidRPr="00AB10E4">
        <w:rPr>
          <w:rFonts w:ascii="Arial" w:hAnsi="Arial" w:cs="Arial"/>
          <w:color w:val="000000" w:themeColor="text1"/>
        </w:rPr>
        <w:t xml:space="preserve"> further </w:t>
      </w:r>
      <w:r w:rsidR="00984B95" w:rsidRPr="00AB10E4">
        <w:rPr>
          <w:rFonts w:ascii="Arial" w:hAnsi="Arial" w:cs="Arial"/>
          <w:color w:val="000000" w:themeColor="text1"/>
        </w:rPr>
        <w:t>Exemption</w:t>
      </w:r>
      <w:r w:rsidR="001658CC" w:rsidRPr="00AB10E4">
        <w:rPr>
          <w:rFonts w:ascii="Arial" w:hAnsi="Arial" w:cs="Arial"/>
          <w:color w:val="000000" w:themeColor="text1"/>
        </w:rPr>
        <w:t xml:space="preserve">.  Prior to the hearing of that application the </w:t>
      </w:r>
      <w:r w:rsidR="00984B95" w:rsidRPr="00AB10E4">
        <w:rPr>
          <w:rFonts w:ascii="Arial" w:hAnsi="Arial" w:cs="Arial"/>
          <w:color w:val="000000" w:themeColor="text1"/>
        </w:rPr>
        <w:t>Exemption</w:t>
      </w:r>
      <w:r w:rsidR="0022305A" w:rsidRPr="00AB10E4">
        <w:rPr>
          <w:rFonts w:ascii="Arial" w:hAnsi="Arial" w:cs="Arial"/>
          <w:color w:val="000000" w:themeColor="text1"/>
        </w:rPr>
        <w:t>,</w:t>
      </w:r>
      <w:r w:rsidR="001658CC" w:rsidRPr="00AB10E4">
        <w:rPr>
          <w:rFonts w:ascii="Arial" w:hAnsi="Arial" w:cs="Arial"/>
          <w:color w:val="000000" w:themeColor="text1"/>
        </w:rPr>
        <w:t xml:space="preserve"> which forms the subject of this application, valid from 1 July 2022 to 31 December 2023 was granted.</w:t>
      </w:r>
    </w:p>
    <w:p w14:paraId="57660B3F" w14:textId="77777777" w:rsidR="00C3343E" w:rsidRPr="003F2406" w:rsidRDefault="00C3343E" w:rsidP="003F2406">
      <w:pPr>
        <w:spacing w:line="360" w:lineRule="auto"/>
        <w:jc w:val="both"/>
        <w:rPr>
          <w:rFonts w:ascii="Arial" w:hAnsi="Arial" w:cs="Arial"/>
          <w:b/>
          <w:bCs/>
          <w:color w:val="000000" w:themeColor="text1"/>
          <w:u w:val="single"/>
        </w:rPr>
      </w:pPr>
    </w:p>
    <w:p w14:paraId="601CB1E4" w14:textId="26C292A5" w:rsidR="00730F62" w:rsidRDefault="00730F62" w:rsidP="007F7E04">
      <w:pPr>
        <w:spacing w:line="360" w:lineRule="auto"/>
        <w:jc w:val="both"/>
        <w:rPr>
          <w:rFonts w:ascii="Arial" w:hAnsi="Arial" w:cs="Arial"/>
          <w:b/>
          <w:bCs/>
          <w:color w:val="000000" w:themeColor="text1"/>
          <w:u w:val="single"/>
        </w:rPr>
      </w:pPr>
      <w:r>
        <w:rPr>
          <w:rFonts w:ascii="Arial" w:hAnsi="Arial" w:cs="Arial"/>
          <w:b/>
          <w:bCs/>
          <w:color w:val="000000" w:themeColor="text1"/>
          <w:u w:val="single"/>
        </w:rPr>
        <w:t xml:space="preserve">THE </w:t>
      </w:r>
      <w:r w:rsidR="00062DAD">
        <w:rPr>
          <w:rFonts w:ascii="Arial" w:hAnsi="Arial" w:cs="Arial"/>
          <w:b/>
          <w:bCs/>
          <w:color w:val="000000" w:themeColor="text1"/>
          <w:u w:val="single"/>
        </w:rPr>
        <w:t xml:space="preserve">IMPUGNED </w:t>
      </w:r>
      <w:r w:rsidR="00984B95">
        <w:rPr>
          <w:rFonts w:ascii="Arial" w:hAnsi="Arial" w:cs="Arial"/>
          <w:b/>
          <w:bCs/>
          <w:color w:val="000000" w:themeColor="text1"/>
          <w:u w:val="single"/>
        </w:rPr>
        <w:t>EXEMPTION</w:t>
      </w:r>
      <w:r>
        <w:rPr>
          <w:rFonts w:ascii="Arial" w:hAnsi="Arial" w:cs="Arial"/>
          <w:b/>
          <w:bCs/>
          <w:color w:val="000000" w:themeColor="text1"/>
          <w:u w:val="single"/>
        </w:rPr>
        <w:t xml:space="preserve"> NOTICE</w:t>
      </w:r>
      <w:r w:rsidR="003F2406">
        <w:rPr>
          <w:rFonts w:ascii="Arial" w:hAnsi="Arial" w:cs="Arial"/>
          <w:b/>
          <w:bCs/>
          <w:color w:val="000000" w:themeColor="text1"/>
          <w:u w:val="single"/>
        </w:rPr>
        <w:t xml:space="preserve"> </w:t>
      </w:r>
    </w:p>
    <w:p w14:paraId="5D197FF0" w14:textId="77777777" w:rsidR="009721F3" w:rsidRPr="00730F62" w:rsidRDefault="009721F3" w:rsidP="007F7E04">
      <w:pPr>
        <w:spacing w:line="360" w:lineRule="auto"/>
        <w:jc w:val="both"/>
        <w:rPr>
          <w:rFonts w:ascii="Arial" w:hAnsi="Arial" w:cs="Arial"/>
          <w:color w:val="000000" w:themeColor="text1"/>
        </w:rPr>
      </w:pPr>
    </w:p>
    <w:p w14:paraId="17F813E1" w14:textId="3F1F969D" w:rsidR="00730F62" w:rsidRPr="00AB10E4" w:rsidRDefault="00AB10E4" w:rsidP="00AB10E4">
      <w:pPr>
        <w:spacing w:line="360" w:lineRule="auto"/>
        <w:ind w:left="851" w:hanging="851"/>
        <w:jc w:val="both"/>
        <w:rPr>
          <w:rFonts w:ascii="Arial" w:hAnsi="Arial" w:cs="Arial"/>
          <w:color w:val="000000" w:themeColor="text1"/>
        </w:rPr>
      </w:pPr>
      <w:r w:rsidRPr="00303B08">
        <w:rPr>
          <w:rFonts w:ascii="Arial" w:hAnsi="Arial" w:cs="Arial"/>
          <w:color w:val="000000" w:themeColor="text1"/>
        </w:rPr>
        <w:t>[21]</w:t>
      </w:r>
      <w:r w:rsidRPr="00303B08">
        <w:rPr>
          <w:rFonts w:ascii="Arial" w:hAnsi="Arial" w:cs="Arial"/>
          <w:color w:val="000000" w:themeColor="text1"/>
        </w:rPr>
        <w:tab/>
      </w:r>
      <w:r w:rsidR="00C53D4F" w:rsidRPr="00AB10E4">
        <w:rPr>
          <w:rFonts w:ascii="Arial" w:hAnsi="Arial" w:cs="Arial"/>
          <w:color w:val="000000" w:themeColor="text1"/>
        </w:rPr>
        <w:t xml:space="preserve">The </w:t>
      </w:r>
      <w:r w:rsidR="002B5A2F" w:rsidRPr="00AB10E4">
        <w:rPr>
          <w:rFonts w:ascii="Arial" w:hAnsi="Arial" w:cs="Arial"/>
          <w:color w:val="000000" w:themeColor="text1"/>
        </w:rPr>
        <w:t xml:space="preserve">impugned </w:t>
      </w:r>
      <w:r w:rsidR="00984B95" w:rsidRPr="00AB10E4">
        <w:rPr>
          <w:rFonts w:ascii="Arial" w:hAnsi="Arial" w:cs="Arial"/>
          <w:color w:val="000000" w:themeColor="text1"/>
        </w:rPr>
        <w:t>Exemption</w:t>
      </w:r>
      <w:r w:rsidR="00C53D4F" w:rsidRPr="00AB10E4">
        <w:rPr>
          <w:rFonts w:ascii="Arial" w:hAnsi="Arial" w:cs="Arial"/>
          <w:color w:val="000000" w:themeColor="text1"/>
        </w:rPr>
        <w:t xml:space="preserve"> </w:t>
      </w:r>
      <w:r w:rsidR="002B5A2F" w:rsidRPr="00AB10E4">
        <w:rPr>
          <w:rFonts w:ascii="Arial" w:hAnsi="Arial" w:cs="Arial"/>
          <w:color w:val="000000" w:themeColor="text1"/>
        </w:rPr>
        <w:t>N</w:t>
      </w:r>
      <w:r w:rsidR="00C53D4F" w:rsidRPr="00AB10E4">
        <w:rPr>
          <w:rFonts w:ascii="Arial" w:hAnsi="Arial" w:cs="Arial"/>
          <w:color w:val="000000" w:themeColor="text1"/>
        </w:rPr>
        <w:t>otice was published</w:t>
      </w:r>
      <w:r w:rsidR="00C53D4F">
        <w:rPr>
          <w:rStyle w:val="FootnoteReference"/>
          <w:rFonts w:ascii="Arial" w:hAnsi="Arial" w:cs="Arial"/>
          <w:color w:val="000000" w:themeColor="text1"/>
        </w:rPr>
        <w:footnoteReference w:id="6"/>
      </w:r>
      <w:r w:rsidR="00C53D4F" w:rsidRPr="00AB10E4">
        <w:rPr>
          <w:rFonts w:ascii="Arial" w:hAnsi="Arial" w:cs="Arial"/>
          <w:color w:val="000000" w:themeColor="text1"/>
        </w:rPr>
        <w:t xml:space="preserve"> on 22 July 2022.  </w:t>
      </w:r>
      <w:r w:rsidR="002B5A2F" w:rsidRPr="00AB10E4">
        <w:rPr>
          <w:rFonts w:ascii="Arial" w:hAnsi="Arial" w:cs="Arial"/>
          <w:color w:val="000000" w:themeColor="text1"/>
        </w:rPr>
        <w:t>In its ex</w:t>
      </w:r>
      <w:r w:rsidR="00C53D4F" w:rsidRPr="00AB10E4">
        <w:rPr>
          <w:rFonts w:ascii="Arial" w:hAnsi="Arial" w:cs="Arial"/>
          <w:color w:val="000000" w:themeColor="text1"/>
        </w:rPr>
        <w:t>plicit terms</w:t>
      </w:r>
      <w:r w:rsidR="002B5A2F" w:rsidRPr="00AB10E4">
        <w:rPr>
          <w:rFonts w:ascii="Arial" w:hAnsi="Arial" w:cs="Arial"/>
          <w:color w:val="000000" w:themeColor="text1"/>
        </w:rPr>
        <w:t>, it</w:t>
      </w:r>
      <w:r w:rsidR="00C53D4F" w:rsidRPr="00AB10E4">
        <w:rPr>
          <w:rFonts w:ascii="Arial" w:hAnsi="Arial" w:cs="Arial"/>
          <w:color w:val="000000" w:themeColor="text1"/>
        </w:rPr>
        <w:t xml:space="preserve"> provides:</w:t>
      </w:r>
    </w:p>
    <w:p w14:paraId="2D7451AC" w14:textId="3B7E7C82" w:rsidR="00C53D4F" w:rsidRDefault="00C53D4F" w:rsidP="007F7E04">
      <w:pPr>
        <w:spacing w:line="360" w:lineRule="auto"/>
        <w:jc w:val="both"/>
        <w:rPr>
          <w:rFonts w:ascii="Arial" w:hAnsi="Arial" w:cs="Arial"/>
          <w:color w:val="000000" w:themeColor="text1"/>
        </w:rPr>
      </w:pPr>
    </w:p>
    <w:p w14:paraId="7E7B658F" w14:textId="70AF91BE" w:rsidR="00C53D4F" w:rsidRDefault="0022305A" w:rsidP="00C53D4F">
      <w:pPr>
        <w:spacing w:line="360" w:lineRule="auto"/>
        <w:ind w:left="1418"/>
        <w:jc w:val="both"/>
        <w:rPr>
          <w:rFonts w:ascii="Arial" w:hAnsi="Arial" w:cs="Arial"/>
          <w:i/>
          <w:iCs/>
          <w:color w:val="000000" w:themeColor="text1"/>
          <w:sz w:val="22"/>
          <w:szCs w:val="22"/>
        </w:rPr>
      </w:pPr>
      <w:r>
        <w:rPr>
          <w:rFonts w:ascii="Arial" w:hAnsi="Arial" w:cs="Arial"/>
          <w:i/>
          <w:iCs/>
          <w:color w:val="000000" w:themeColor="text1"/>
          <w:sz w:val="22"/>
          <w:szCs w:val="22"/>
        </w:rPr>
        <w:t>‘</w:t>
      </w:r>
      <w:r w:rsidR="00C53D4F" w:rsidRPr="00C53D4F">
        <w:rPr>
          <w:rFonts w:ascii="Arial" w:hAnsi="Arial" w:cs="Arial"/>
          <w:i/>
          <w:iCs/>
          <w:color w:val="000000" w:themeColor="text1"/>
          <w:sz w:val="22"/>
          <w:szCs w:val="22"/>
        </w:rPr>
        <w:t>The Prudential Authority hereby designates with the approval of the Minister of Finance, under the definition of “the business of a bank” in Section 1(1), paragraph (cc) of the Bank’s Act, 1990 (Act 94 of 1990) that the business of the institution, specified in paragraph 2 of the schedule, shall not be deemed to constitute the business of a bank until 15 December 2023, subject to the conditions set out in paragraph 4 of the schedule.</w:t>
      </w:r>
      <w:r>
        <w:rPr>
          <w:rFonts w:ascii="Arial" w:hAnsi="Arial" w:cs="Arial"/>
          <w:i/>
          <w:iCs/>
          <w:color w:val="000000" w:themeColor="text1"/>
          <w:sz w:val="22"/>
          <w:szCs w:val="22"/>
        </w:rPr>
        <w:t>’</w:t>
      </w:r>
    </w:p>
    <w:p w14:paraId="2A99233F" w14:textId="4FE9F67C" w:rsidR="00C53D4F" w:rsidRDefault="00C53D4F" w:rsidP="00C53D4F">
      <w:pPr>
        <w:spacing w:line="360" w:lineRule="auto"/>
        <w:jc w:val="both"/>
        <w:rPr>
          <w:rFonts w:ascii="Arial" w:hAnsi="Arial" w:cs="Arial"/>
          <w:color w:val="000000" w:themeColor="text1"/>
        </w:rPr>
      </w:pPr>
    </w:p>
    <w:p w14:paraId="446E98CF" w14:textId="5B6AA2C7" w:rsidR="00EF01CC" w:rsidRPr="00AB10E4" w:rsidRDefault="00AB10E4" w:rsidP="00AB10E4">
      <w:pPr>
        <w:spacing w:line="360" w:lineRule="auto"/>
        <w:ind w:left="851" w:hanging="851"/>
        <w:jc w:val="both"/>
        <w:rPr>
          <w:rFonts w:ascii="Arial" w:hAnsi="Arial" w:cs="Arial"/>
          <w:color w:val="000000" w:themeColor="text1"/>
        </w:rPr>
      </w:pPr>
      <w:r w:rsidRPr="00EF01CC">
        <w:rPr>
          <w:rFonts w:ascii="Arial" w:hAnsi="Arial" w:cs="Arial"/>
          <w:color w:val="000000" w:themeColor="text1"/>
        </w:rPr>
        <w:t>[22]</w:t>
      </w:r>
      <w:r w:rsidRPr="00EF01CC">
        <w:rPr>
          <w:rFonts w:ascii="Arial" w:hAnsi="Arial" w:cs="Arial"/>
          <w:color w:val="000000" w:themeColor="text1"/>
        </w:rPr>
        <w:tab/>
      </w:r>
      <w:r w:rsidR="002B5A2F" w:rsidRPr="00AB10E4">
        <w:rPr>
          <w:rFonts w:ascii="Arial" w:hAnsi="Arial" w:cs="Arial"/>
          <w:color w:val="000000" w:themeColor="text1"/>
        </w:rPr>
        <w:t xml:space="preserve">The schedule attached to the </w:t>
      </w:r>
      <w:r w:rsidR="00984B95" w:rsidRPr="00AB10E4">
        <w:rPr>
          <w:rFonts w:ascii="Arial" w:hAnsi="Arial" w:cs="Arial"/>
          <w:color w:val="000000" w:themeColor="text1"/>
        </w:rPr>
        <w:t>Exemption</w:t>
      </w:r>
      <w:r w:rsidR="002B5A2F" w:rsidRPr="00AB10E4">
        <w:rPr>
          <w:rFonts w:ascii="Arial" w:hAnsi="Arial" w:cs="Arial"/>
          <w:color w:val="000000" w:themeColor="text1"/>
        </w:rPr>
        <w:t xml:space="preserve"> contains a number of explanatory paragraphs.  It is certain of the conditions contained in paragraph 4 with which Ithala takes issue.  Before turning to consider each of the </w:t>
      </w:r>
      <w:r w:rsidR="00EF01CC" w:rsidRPr="00AB10E4">
        <w:rPr>
          <w:rFonts w:ascii="Arial" w:hAnsi="Arial" w:cs="Arial"/>
          <w:color w:val="000000" w:themeColor="text1"/>
        </w:rPr>
        <w:t xml:space="preserve">specific </w:t>
      </w:r>
      <w:r w:rsidR="002B5A2F" w:rsidRPr="00AB10E4">
        <w:rPr>
          <w:rFonts w:ascii="Arial" w:hAnsi="Arial" w:cs="Arial"/>
          <w:color w:val="000000" w:themeColor="text1"/>
        </w:rPr>
        <w:t xml:space="preserve">conditions, </w:t>
      </w:r>
      <w:r w:rsidR="00EF01CC" w:rsidRPr="00AB10E4">
        <w:rPr>
          <w:rFonts w:ascii="Arial" w:hAnsi="Arial" w:cs="Arial"/>
          <w:color w:val="000000" w:themeColor="text1"/>
        </w:rPr>
        <w:t xml:space="preserve">it must be noted what the reason for granting the </w:t>
      </w:r>
      <w:r w:rsidR="00984B95" w:rsidRPr="00AB10E4">
        <w:rPr>
          <w:rFonts w:ascii="Arial" w:hAnsi="Arial" w:cs="Arial"/>
          <w:color w:val="000000" w:themeColor="text1"/>
        </w:rPr>
        <w:t>Exemption</w:t>
      </w:r>
      <w:r w:rsidR="00EF01CC" w:rsidRPr="00AB10E4">
        <w:rPr>
          <w:rFonts w:ascii="Arial" w:hAnsi="Arial" w:cs="Arial"/>
          <w:color w:val="000000" w:themeColor="text1"/>
        </w:rPr>
        <w:t xml:space="preserve"> was.  This is found in paragraph 3.5 of the schedule which states:</w:t>
      </w:r>
    </w:p>
    <w:p w14:paraId="393E44C2" w14:textId="7DE9D924" w:rsidR="00F94BB0" w:rsidRPr="00EF01CC" w:rsidRDefault="00F94BB0" w:rsidP="00EF01CC">
      <w:pPr>
        <w:rPr>
          <w:rFonts w:ascii="Arial" w:hAnsi="Arial" w:cs="Arial"/>
          <w:color w:val="000000" w:themeColor="text1"/>
        </w:rPr>
      </w:pPr>
    </w:p>
    <w:p w14:paraId="0F3C3C9B" w14:textId="60C0B2A0" w:rsidR="00F94BB0" w:rsidRDefault="0022305A" w:rsidP="00F94BB0">
      <w:pPr>
        <w:pStyle w:val="ListParagraph"/>
        <w:spacing w:line="360" w:lineRule="auto"/>
        <w:ind w:left="2268" w:hanging="850"/>
        <w:jc w:val="both"/>
        <w:rPr>
          <w:rFonts w:ascii="Arial" w:hAnsi="Arial" w:cs="Arial"/>
          <w:i/>
          <w:iCs/>
          <w:color w:val="000000" w:themeColor="text1"/>
          <w:sz w:val="22"/>
          <w:szCs w:val="22"/>
        </w:rPr>
      </w:pPr>
      <w:r>
        <w:rPr>
          <w:rFonts w:ascii="Arial" w:hAnsi="Arial" w:cs="Arial"/>
          <w:i/>
          <w:iCs/>
          <w:color w:val="000000" w:themeColor="text1"/>
          <w:sz w:val="22"/>
          <w:szCs w:val="22"/>
        </w:rPr>
        <w:t>‘</w:t>
      </w:r>
      <w:r w:rsidR="00F94BB0" w:rsidRPr="00F94BB0">
        <w:rPr>
          <w:rFonts w:ascii="Arial" w:hAnsi="Arial" w:cs="Arial"/>
          <w:i/>
          <w:iCs/>
          <w:color w:val="000000" w:themeColor="text1"/>
          <w:sz w:val="22"/>
          <w:szCs w:val="22"/>
        </w:rPr>
        <w:t>3.5</w:t>
      </w:r>
      <w:r w:rsidR="00F94BB0" w:rsidRPr="00F94BB0">
        <w:rPr>
          <w:rFonts w:ascii="Arial" w:hAnsi="Arial" w:cs="Arial"/>
          <w:i/>
          <w:iCs/>
          <w:color w:val="000000" w:themeColor="text1"/>
          <w:sz w:val="22"/>
          <w:szCs w:val="22"/>
        </w:rPr>
        <w:tab/>
        <w:t xml:space="preserve">This </w:t>
      </w:r>
      <w:r w:rsidR="00984B95">
        <w:rPr>
          <w:rFonts w:ascii="Arial" w:hAnsi="Arial" w:cs="Arial"/>
          <w:i/>
          <w:iCs/>
          <w:color w:val="000000" w:themeColor="text1"/>
          <w:sz w:val="22"/>
          <w:szCs w:val="22"/>
        </w:rPr>
        <w:t>Exemption</w:t>
      </w:r>
      <w:r w:rsidR="00F94BB0" w:rsidRPr="00F94BB0">
        <w:rPr>
          <w:rFonts w:ascii="Arial" w:hAnsi="Arial" w:cs="Arial"/>
          <w:i/>
          <w:iCs/>
          <w:color w:val="000000" w:themeColor="text1"/>
          <w:sz w:val="22"/>
          <w:szCs w:val="22"/>
        </w:rPr>
        <w:t xml:space="preserve"> granted to Ithala in terms of this </w:t>
      </w:r>
      <w:r w:rsidR="00984B95">
        <w:rPr>
          <w:rFonts w:ascii="Arial" w:hAnsi="Arial" w:cs="Arial"/>
          <w:i/>
          <w:iCs/>
          <w:color w:val="000000" w:themeColor="text1"/>
          <w:sz w:val="22"/>
          <w:szCs w:val="22"/>
        </w:rPr>
        <w:t>Exemption</w:t>
      </w:r>
      <w:r w:rsidR="00F94BB0" w:rsidRPr="00F94BB0">
        <w:rPr>
          <w:rFonts w:ascii="Arial" w:hAnsi="Arial" w:cs="Arial"/>
          <w:i/>
          <w:iCs/>
          <w:color w:val="000000" w:themeColor="text1"/>
          <w:sz w:val="22"/>
          <w:szCs w:val="22"/>
        </w:rPr>
        <w:t xml:space="preserve"> notice is granted to afford Ithala a </w:t>
      </w:r>
      <w:r w:rsidR="00F94BB0" w:rsidRPr="00F94BB0">
        <w:rPr>
          <w:rFonts w:ascii="Arial" w:hAnsi="Arial" w:cs="Arial"/>
          <w:i/>
          <w:iCs/>
          <w:color w:val="000000" w:themeColor="text1"/>
          <w:sz w:val="22"/>
          <w:szCs w:val="22"/>
          <w:u w:val="single"/>
        </w:rPr>
        <w:t>final opportunity</w:t>
      </w:r>
      <w:r w:rsidR="00F94BB0" w:rsidRPr="00F94BB0">
        <w:rPr>
          <w:rFonts w:ascii="Arial" w:hAnsi="Arial" w:cs="Arial"/>
          <w:i/>
          <w:iCs/>
          <w:color w:val="000000" w:themeColor="text1"/>
          <w:sz w:val="22"/>
          <w:szCs w:val="22"/>
        </w:rPr>
        <w:t xml:space="preserve"> to </w:t>
      </w:r>
      <w:r w:rsidR="00F94BB0" w:rsidRPr="007721FF">
        <w:rPr>
          <w:rFonts w:ascii="Arial" w:hAnsi="Arial" w:cs="Arial"/>
          <w:i/>
          <w:iCs/>
          <w:color w:val="000000" w:themeColor="text1"/>
          <w:sz w:val="22"/>
          <w:szCs w:val="22"/>
          <w:u w:val="single"/>
        </w:rPr>
        <w:t>regularize its deposit taking activities</w:t>
      </w:r>
      <w:r w:rsidR="00F94BB0" w:rsidRPr="00F94BB0">
        <w:rPr>
          <w:rFonts w:ascii="Arial" w:hAnsi="Arial" w:cs="Arial"/>
          <w:i/>
          <w:iCs/>
          <w:color w:val="000000" w:themeColor="text1"/>
          <w:sz w:val="22"/>
          <w:szCs w:val="22"/>
        </w:rPr>
        <w:t xml:space="preserve"> and accordingly should the conditions stipulated in this </w:t>
      </w:r>
      <w:r w:rsidR="00984B95">
        <w:rPr>
          <w:rFonts w:ascii="Arial" w:hAnsi="Arial" w:cs="Arial"/>
          <w:i/>
          <w:iCs/>
          <w:color w:val="000000" w:themeColor="text1"/>
          <w:sz w:val="22"/>
          <w:szCs w:val="22"/>
        </w:rPr>
        <w:t>Exemption</w:t>
      </w:r>
      <w:r w:rsidR="00F94BB0" w:rsidRPr="00F94BB0">
        <w:rPr>
          <w:rFonts w:ascii="Arial" w:hAnsi="Arial" w:cs="Arial"/>
          <w:i/>
          <w:iCs/>
          <w:color w:val="000000" w:themeColor="text1"/>
          <w:sz w:val="22"/>
          <w:szCs w:val="22"/>
        </w:rPr>
        <w:t xml:space="preserve"> notice not be met, in accordance with the terms and on the basis stipulated herein, then Ithala’s </w:t>
      </w:r>
      <w:r w:rsidR="00F94BB0" w:rsidRPr="007721FF">
        <w:rPr>
          <w:rFonts w:ascii="Arial" w:hAnsi="Arial" w:cs="Arial"/>
          <w:i/>
          <w:iCs/>
          <w:color w:val="000000" w:themeColor="text1"/>
          <w:sz w:val="22"/>
          <w:szCs w:val="22"/>
          <w:u w:val="single"/>
        </w:rPr>
        <w:t xml:space="preserve">deposit taking activities shall be subject to wind–down </w:t>
      </w:r>
      <w:r w:rsidR="00F94BB0" w:rsidRPr="00F94BB0">
        <w:rPr>
          <w:rFonts w:ascii="Arial" w:hAnsi="Arial" w:cs="Arial"/>
          <w:i/>
          <w:iCs/>
          <w:color w:val="000000" w:themeColor="text1"/>
          <w:sz w:val="22"/>
          <w:szCs w:val="22"/>
        </w:rPr>
        <w:t>as detailed herein.</w:t>
      </w:r>
      <w:r>
        <w:rPr>
          <w:rFonts w:ascii="Arial" w:hAnsi="Arial" w:cs="Arial"/>
          <w:i/>
          <w:iCs/>
          <w:color w:val="000000" w:themeColor="text1"/>
          <w:sz w:val="22"/>
          <w:szCs w:val="22"/>
        </w:rPr>
        <w:t>’</w:t>
      </w:r>
      <w:r w:rsidR="007721FF">
        <w:rPr>
          <w:rFonts w:ascii="Arial" w:hAnsi="Arial" w:cs="Arial"/>
          <w:i/>
          <w:iCs/>
          <w:color w:val="000000" w:themeColor="text1"/>
          <w:sz w:val="22"/>
          <w:szCs w:val="22"/>
        </w:rPr>
        <w:t xml:space="preserve"> </w:t>
      </w:r>
      <w:r w:rsidR="007721FF" w:rsidRPr="0022305A">
        <w:rPr>
          <w:rFonts w:ascii="Arial" w:hAnsi="Arial" w:cs="Arial"/>
          <w:color w:val="000000" w:themeColor="text1"/>
          <w:sz w:val="22"/>
          <w:szCs w:val="22"/>
        </w:rPr>
        <w:t>[my underlining].</w:t>
      </w:r>
    </w:p>
    <w:p w14:paraId="21B1B95E" w14:textId="77777777" w:rsidR="002E53A1" w:rsidRPr="00F94BB0" w:rsidRDefault="002E53A1" w:rsidP="00F94BB0">
      <w:pPr>
        <w:pStyle w:val="ListParagraph"/>
        <w:spacing w:line="360" w:lineRule="auto"/>
        <w:ind w:left="2268" w:hanging="850"/>
        <w:jc w:val="both"/>
        <w:rPr>
          <w:rFonts w:ascii="Arial" w:hAnsi="Arial" w:cs="Arial"/>
          <w:i/>
          <w:iCs/>
          <w:color w:val="000000" w:themeColor="text1"/>
          <w:sz w:val="22"/>
          <w:szCs w:val="22"/>
        </w:rPr>
      </w:pPr>
    </w:p>
    <w:p w14:paraId="49531946" w14:textId="002DFA22" w:rsidR="00651562"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[23]</w:t>
      </w:r>
      <w:r>
        <w:rPr>
          <w:rFonts w:ascii="Arial" w:hAnsi="Arial" w:cs="Arial"/>
          <w:color w:val="000000" w:themeColor="text1"/>
        </w:rPr>
        <w:tab/>
      </w:r>
      <w:r w:rsidR="002E53A1" w:rsidRPr="00AB10E4">
        <w:rPr>
          <w:rFonts w:ascii="Arial" w:hAnsi="Arial" w:cs="Arial"/>
          <w:color w:val="000000" w:themeColor="text1"/>
        </w:rPr>
        <w:t xml:space="preserve">The KZN Province took issue with </w:t>
      </w:r>
      <w:r w:rsidR="0022305A" w:rsidRPr="00AB10E4">
        <w:rPr>
          <w:rFonts w:ascii="Arial" w:hAnsi="Arial" w:cs="Arial"/>
          <w:color w:val="000000" w:themeColor="text1"/>
        </w:rPr>
        <w:t>four</w:t>
      </w:r>
      <w:r w:rsidR="00651562" w:rsidRPr="00AB10E4">
        <w:rPr>
          <w:rFonts w:ascii="Arial" w:hAnsi="Arial" w:cs="Arial"/>
          <w:color w:val="000000" w:themeColor="text1"/>
        </w:rPr>
        <w:t xml:space="preserve"> </w:t>
      </w:r>
      <w:r w:rsidR="002E53A1" w:rsidRPr="00AB10E4">
        <w:rPr>
          <w:rFonts w:ascii="Arial" w:hAnsi="Arial" w:cs="Arial"/>
          <w:color w:val="000000" w:themeColor="text1"/>
        </w:rPr>
        <w:t>specific conditions</w:t>
      </w:r>
      <w:r w:rsidR="00651562" w:rsidRPr="00AB10E4">
        <w:rPr>
          <w:rFonts w:ascii="Arial" w:hAnsi="Arial" w:cs="Arial"/>
          <w:color w:val="000000" w:themeColor="text1"/>
        </w:rPr>
        <w:t xml:space="preserve">.  </w:t>
      </w:r>
    </w:p>
    <w:p w14:paraId="4F65DD59" w14:textId="77777777" w:rsidR="00B9522C" w:rsidRPr="003447FB" w:rsidRDefault="00B9522C" w:rsidP="003447FB">
      <w:pPr>
        <w:spacing w:line="360" w:lineRule="auto"/>
        <w:jc w:val="both"/>
        <w:rPr>
          <w:rFonts w:ascii="Arial" w:hAnsi="Arial" w:cs="Arial"/>
          <w:color w:val="000000" w:themeColor="text1"/>
        </w:rPr>
      </w:pPr>
    </w:p>
    <w:p w14:paraId="49E03D80" w14:textId="20875A2E" w:rsidR="00651562"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[24]</w:t>
      </w:r>
      <w:r>
        <w:rPr>
          <w:rFonts w:ascii="Arial" w:hAnsi="Arial" w:cs="Arial"/>
          <w:color w:val="000000" w:themeColor="text1"/>
        </w:rPr>
        <w:tab/>
      </w:r>
      <w:r w:rsidR="00651562" w:rsidRPr="00AB10E4">
        <w:rPr>
          <w:rFonts w:ascii="Arial" w:hAnsi="Arial" w:cs="Arial"/>
          <w:color w:val="000000" w:themeColor="text1"/>
        </w:rPr>
        <w:t>Firstly, condition</w:t>
      </w:r>
      <w:r w:rsidR="002E53A1" w:rsidRPr="00AB10E4">
        <w:rPr>
          <w:rFonts w:ascii="Arial" w:hAnsi="Arial" w:cs="Arial"/>
          <w:color w:val="000000" w:themeColor="text1"/>
        </w:rPr>
        <w:t xml:space="preserve"> 4.3</w:t>
      </w:r>
      <w:r w:rsidR="00651562" w:rsidRPr="00AB10E4">
        <w:rPr>
          <w:rFonts w:ascii="Arial" w:hAnsi="Arial" w:cs="Arial"/>
          <w:color w:val="000000" w:themeColor="text1"/>
        </w:rPr>
        <w:t xml:space="preserve"> which provides that Ithala shall obtain authori</w:t>
      </w:r>
      <w:r w:rsidR="0022305A" w:rsidRPr="00AB10E4">
        <w:rPr>
          <w:rFonts w:ascii="Arial" w:hAnsi="Arial" w:cs="Arial"/>
          <w:color w:val="000000" w:themeColor="text1"/>
        </w:rPr>
        <w:t>s</w:t>
      </w:r>
      <w:r w:rsidR="00651562" w:rsidRPr="00AB10E4">
        <w:rPr>
          <w:rFonts w:ascii="Arial" w:hAnsi="Arial" w:cs="Arial"/>
          <w:color w:val="000000" w:themeColor="text1"/>
        </w:rPr>
        <w:t>ation by no later than 30 June 2023 from the Prudential Authority to establish a bank in terms of s 13 of the Banks Act or to establish a mutual bank in terms of s 14 of the Mutual Banks Act.</w:t>
      </w:r>
    </w:p>
    <w:p w14:paraId="098F7B88" w14:textId="77777777" w:rsidR="00651562" w:rsidRPr="00651562" w:rsidRDefault="00651562" w:rsidP="00303B08">
      <w:pPr>
        <w:pStyle w:val="ListParagraph"/>
        <w:ind w:left="851" w:hanging="851"/>
        <w:rPr>
          <w:rFonts w:ascii="Arial" w:hAnsi="Arial" w:cs="Arial"/>
          <w:color w:val="000000" w:themeColor="text1"/>
        </w:rPr>
      </w:pPr>
    </w:p>
    <w:p w14:paraId="777D9DBF" w14:textId="2C116AD4" w:rsidR="007479DC"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[25]</w:t>
      </w:r>
      <w:r>
        <w:rPr>
          <w:rFonts w:ascii="Arial" w:hAnsi="Arial" w:cs="Arial"/>
          <w:color w:val="000000" w:themeColor="text1"/>
        </w:rPr>
        <w:tab/>
      </w:r>
      <w:r w:rsidR="00651562" w:rsidRPr="00AB10E4">
        <w:rPr>
          <w:rFonts w:ascii="Arial" w:hAnsi="Arial" w:cs="Arial"/>
          <w:color w:val="000000" w:themeColor="text1"/>
        </w:rPr>
        <w:t xml:space="preserve">Secondly, condition </w:t>
      </w:r>
      <w:r w:rsidR="002E53A1" w:rsidRPr="00AB10E4">
        <w:rPr>
          <w:rFonts w:ascii="Arial" w:hAnsi="Arial" w:cs="Arial"/>
          <w:color w:val="000000" w:themeColor="text1"/>
        </w:rPr>
        <w:t>4.5</w:t>
      </w:r>
      <w:r w:rsidR="00651562" w:rsidRPr="00AB10E4">
        <w:rPr>
          <w:rFonts w:ascii="Arial" w:hAnsi="Arial" w:cs="Arial"/>
          <w:color w:val="000000" w:themeColor="text1"/>
        </w:rPr>
        <w:t xml:space="preserve"> which provides that Ithala shall procure that the KZN Provincial Government or National Government provide irrevocable </w:t>
      </w:r>
      <w:r w:rsidR="007479DC" w:rsidRPr="00AB10E4">
        <w:rPr>
          <w:rFonts w:ascii="Arial" w:hAnsi="Arial" w:cs="Arial"/>
          <w:color w:val="000000" w:themeColor="text1"/>
        </w:rPr>
        <w:t>and unconditional guarantees to fund all capital shortfalls to an amount of 15% of the risk weighted assets held by Ithala or R250 million, whichever was the lessor, valid until 31 March 2024.  This guarantee was to be in favour of the Prudential Authority.</w:t>
      </w:r>
    </w:p>
    <w:p w14:paraId="291999AE" w14:textId="77777777" w:rsidR="007479DC" w:rsidRPr="007479DC" w:rsidRDefault="007479DC" w:rsidP="007479DC">
      <w:pPr>
        <w:pStyle w:val="ListParagraph"/>
        <w:rPr>
          <w:rFonts w:ascii="Arial" w:hAnsi="Arial" w:cs="Arial"/>
          <w:color w:val="000000" w:themeColor="text1"/>
        </w:rPr>
      </w:pPr>
    </w:p>
    <w:p w14:paraId="5EF25FF9" w14:textId="632B3E9C" w:rsidR="007479DC"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[26]</w:t>
      </w:r>
      <w:r>
        <w:rPr>
          <w:rFonts w:ascii="Arial" w:hAnsi="Arial" w:cs="Arial"/>
          <w:color w:val="000000" w:themeColor="text1"/>
        </w:rPr>
        <w:tab/>
      </w:r>
      <w:r w:rsidR="007479DC" w:rsidRPr="00AB10E4">
        <w:rPr>
          <w:rFonts w:ascii="Arial" w:hAnsi="Arial" w:cs="Arial"/>
          <w:color w:val="000000" w:themeColor="text1"/>
        </w:rPr>
        <w:t>Thirdly, condition</w:t>
      </w:r>
      <w:r w:rsidR="002E53A1" w:rsidRPr="00AB10E4">
        <w:rPr>
          <w:rFonts w:ascii="Arial" w:hAnsi="Arial" w:cs="Arial"/>
          <w:color w:val="000000" w:themeColor="text1"/>
        </w:rPr>
        <w:t xml:space="preserve"> 4.8 </w:t>
      </w:r>
      <w:r w:rsidR="007479DC" w:rsidRPr="00AB10E4">
        <w:rPr>
          <w:rFonts w:ascii="Arial" w:hAnsi="Arial" w:cs="Arial"/>
          <w:color w:val="000000" w:themeColor="text1"/>
        </w:rPr>
        <w:t xml:space="preserve">which provides for the process, in the event of non-compliance with the conditions attached to the </w:t>
      </w:r>
      <w:r w:rsidR="00984B95" w:rsidRPr="00AB10E4">
        <w:rPr>
          <w:rFonts w:ascii="Arial" w:hAnsi="Arial" w:cs="Arial"/>
          <w:color w:val="000000" w:themeColor="text1"/>
        </w:rPr>
        <w:t>Exemption</w:t>
      </w:r>
      <w:r w:rsidR="007479DC" w:rsidRPr="00AB10E4">
        <w:rPr>
          <w:rFonts w:ascii="Arial" w:hAnsi="Arial" w:cs="Arial"/>
          <w:color w:val="000000" w:themeColor="text1"/>
        </w:rPr>
        <w:t xml:space="preserve"> </w:t>
      </w:r>
      <w:r w:rsidR="004C5898" w:rsidRPr="00AB10E4">
        <w:rPr>
          <w:rFonts w:ascii="Arial" w:hAnsi="Arial" w:cs="Arial"/>
          <w:color w:val="000000" w:themeColor="text1"/>
        </w:rPr>
        <w:t>notice, for</w:t>
      </w:r>
      <w:r w:rsidR="007479DC" w:rsidRPr="00AB10E4">
        <w:rPr>
          <w:rFonts w:ascii="Arial" w:hAnsi="Arial" w:cs="Arial"/>
          <w:color w:val="000000" w:themeColor="text1"/>
        </w:rPr>
        <w:t xml:space="preserve"> the winding down of Ithala’s deposit taking activities</w:t>
      </w:r>
      <w:r w:rsidR="00EC32CC" w:rsidRPr="00AB10E4">
        <w:rPr>
          <w:rFonts w:ascii="Arial" w:hAnsi="Arial" w:cs="Arial"/>
          <w:color w:val="000000" w:themeColor="text1"/>
        </w:rPr>
        <w:t>.  This was conditional should Ithala fail to comply with any of the conditions</w:t>
      </w:r>
      <w:r w:rsidR="003E43A0" w:rsidRPr="00AB10E4">
        <w:rPr>
          <w:rFonts w:ascii="Arial" w:hAnsi="Arial" w:cs="Arial"/>
          <w:color w:val="000000" w:themeColor="text1"/>
        </w:rPr>
        <w:t xml:space="preserve"> of the </w:t>
      </w:r>
      <w:r w:rsidR="00984B95" w:rsidRPr="00AB10E4">
        <w:rPr>
          <w:rFonts w:ascii="Arial" w:hAnsi="Arial" w:cs="Arial"/>
          <w:color w:val="000000" w:themeColor="text1"/>
        </w:rPr>
        <w:t>Exemption</w:t>
      </w:r>
      <w:r w:rsidR="003E43A0" w:rsidRPr="00AB10E4">
        <w:rPr>
          <w:rFonts w:ascii="Arial" w:hAnsi="Arial" w:cs="Arial"/>
          <w:color w:val="000000" w:themeColor="text1"/>
        </w:rPr>
        <w:t xml:space="preserve"> and fail to remedy the non-compliance within 48 hours of being called upon to do so or a failure to obtain authorization to establish a bank or mutual bank by 30 June 2023.</w:t>
      </w:r>
      <w:r w:rsidR="007479DC" w:rsidRPr="00AB10E4">
        <w:rPr>
          <w:rFonts w:ascii="Arial" w:hAnsi="Arial" w:cs="Arial"/>
          <w:color w:val="000000" w:themeColor="text1"/>
        </w:rPr>
        <w:t xml:space="preserve"> </w:t>
      </w:r>
    </w:p>
    <w:p w14:paraId="1358BCE2" w14:textId="77777777" w:rsidR="007479DC" w:rsidRPr="007479DC" w:rsidRDefault="007479DC" w:rsidP="00303B08">
      <w:pPr>
        <w:pStyle w:val="ListParagraph"/>
        <w:ind w:left="851" w:hanging="851"/>
        <w:rPr>
          <w:rFonts w:ascii="Arial" w:hAnsi="Arial" w:cs="Arial"/>
          <w:color w:val="000000" w:themeColor="text1"/>
        </w:rPr>
      </w:pPr>
    </w:p>
    <w:p w14:paraId="083A2230" w14:textId="29450F38" w:rsidR="00F94BB0" w:rsidRPr="00AB10E4" w:rsidRDefault="00AB10E4" w:rsidP="00AB10E4">
      <w:pPr>
        <w:spacing w:line="360" w:lineRule="auto"/>
        <w:ind w:left="851" w:hanging="851"/>
        <w:jc w:val="both"/>
        <w:rPr>
          <w:rFonts w:ascii="Arial" w:hAnsi="Arial" w:cs="Arial"/>
          <w:color w:val="000000" w:themeColor="text1"/>
        </w:rPr>
      </w:pPr>
      <w:r w:rsidRPr="00651562">
        <w:rPr>
          <w:rFonts w:ascii="Arial" w:hAnsi="Arial" w:cs="Arial"/>
          <w:color w:val="000000" w:themeColor="text1"/>
        </w:rPr>
        <w:t>[27]</w:t>
      </w:r>
      <w:r w:rsidRPr="00651562">
        <w:rPr>
          <w:rFonts w:ascii="Arial" w:hAnsi="Arial" w:cs="Arial"/>
          <w:color w:val="000000" w:themeColor="text1"/>
        </w:rPr>
        <w:tab/>
      </w:r>
      <w:r w:rsidR="007479DC" w:rsidRPr="00AB10E4">
        <w:rPr>
          <w:rFonts w:ascii="Arial" w:hAnsi="Arial" w:cs="Arial"/>
          <w:color w:val="000000" w:themeColor="text1"/>
        </w:rPr>
        <w:t xml:space="preserve">Fourthly, condition </w:t>
      </w:r>
      <w:r w:rsidR="002E53A1" w:rsidRPr="00AB10E4">
        <w:rPr>
          <w:rFonts w:ascii="Arial" w:hAnsi="Arial" w:cs="Arial"/>
          <w:color w:val="000000" w:themeColor="text1"/>
        </w:rPr>
        <w:t>4.9</w:t>
      </w:r>
      <w:r w:rsidR="007479DC" w:rsidRPr="00AB10E4">
        <w:rPr>
          <w:rFonts w:ascii="Arial" w:hAnsi="Arial" w:cs="Arial"/>
          <w:color w:val="000000" w:themeColor="text1"/>
        </w:rPr>
        <w:t xml:space="preserve"> which provides </w:t>
      </w:r>
      <w:r w:rsidR="004C5898" w:rsidRPr="00AB10E4">
        <w:rPr>
          <w:rFonts w:ascii="Arial" w:hAnsi="Arial" w:cs="Arial"/>
          <w:color w:val="000000" w:themeColor="text1"/>
        </w:rPr>
        <w:t>that Ithala is directed in terms of s 131(1)(a) of the Financial Sector Regulation Act,</w:t>
      </w:r>
      <w:r w:rsidR="0022305A">
        <w:rPr>
          <w:rStyle w:val="FootnoteReference"/>
          <w:rFonts w:ascii="Arial" w:hAnsi="Arial" w:cs="Arial"/>
          <w:color w:val="000000" w:themeColor="text1"/>
        </w:rPr>
        <w:footnoteReference w:id="7"/>
      </w:r>
      <w:r w:rsidR="004C5898" w:rsidRPr="00AB10E4">
        <w:rPr>
          <w:rFonts w:ascii="Arial" w:hAnsi="Arial" w:cs="Arial"/>
          <w:color w:val="000000" w:themeColor="text1"/>
        </w:rPr>
        <w:t xml:space="preserve"> to submit information to the Prudential Authority and to subject itself to an audit, to be conducted at the cost of the Prudential Authority by no later than </w:t>
      </w:r>
      <w:r w:rsidR="00805613" w:rsidRPr="00AB10E4">
        <w:rPr>
          <w:rFonts w:ascii="Arial" w:hAnsi="Arial" w:cs="Arial"/>
          <w:color w:val="000000" w:themeColor="text1"/>
        </w:rPr>
        <w:t xml:space="preserve">30 </w:t>
      </w:r>
      <w:r w:rsidR="004C5898" w:rsidRPr="00AB10E4">
        <w:rPr>
          <w:rFonts w:ascii="Arial" w:hAnsi="Arial" w:cs="Arial"/>
          <w:color w:val="000000" w:themeColor="text1"/>
        </w:rPr>
        <w:t>September 20</w:t>
      </w:r>
      <w:r w:rsidR="00805613" w:rsidRPr="00AB10E4">
        <w:rPr>
          <w:rFonts w:ascii="Arial" w:hAnsi="Arial" w:cs="Arial"/>
          <w:color w:val="000000" w:themeColor="text1"/>
        </w:rPr>
        <w:t>22 in order to give effect to condition 4.8 in the event that it was necessary to do so.</w:t>
      </w:r>
    </w:p>
    <w:p w14:paraId="3257D04A" w14:textId="77777777" w:rsidR="00651562" w:rsidRDefault="00651562" w:rsidP="00303B08">
      <w:pPr>
        <w:pStyle w:val="ListParagraph"/>
        <w:spacing w:line="360" w:lineRule="auto"/>
        <w:ind w:left="851" w:hanging="851"/>
        <w:jc w:val="both"/>
        <w:rPr>
          <w:rFonts w:ascii="Arial" w:hAnsi="Arial" w:cs="Arial"/>
          <w:color w:val="000000" w:themeColor="text1"/>
        </w:rPr>
      </w:pPr>
    </w:p>
    <w:p w14:paraId="3CA2FC17" w14:textId="6C946A78" w:rsidR="009A0230" w:rsidRPr="00AB10E4" w:rsidRDefault="00AB10E4" w:rsidP="00AB10E4">
      <w:pPr>
        <w:spacing w:line="360" w:lineRule="auto"/>
        <w:ind w:left="851" w:hanging="851"/>
        <w:jc w:val="both"/>
        <w:rPr>
          <w:rFonts w:ascii="Arial" w:hAnsi="Arial" w:cs="Arial"/>
          <w:color w:val="000000" w:themeColor="text1"/>
        </w:rPr>
      </w:pPr>
      <w:r w:rsidRPr="001323A1">
        <w:rPr>
          <w:rFonts w:ascii="Arial" w:hAnsi="Arial" w:cs="Arial"/>
          <w:color w:val="000000" w:themeColor="text1"/>
        </w:rPr>
        <w:t>[28]</w:t>
      </w:r>
      <w:r w:rsidRPr="001323A1">
        <w:rPr>
          <w:rFonts w:ascii="Arial" w:hAnsi="Arial" w:cs="Arial"/>
          <w:color w:val="000000" w:themeColor="text1"/>
        </w:rPr>
        <w:tab/>
      </w:r>
      <w:r w:rsidR="00805613" w:rsidRPr="00AB10E4">
        <w:rPr>
          <w:rFonts w:ascii="Arial" w:hAnsi="Arial" w:cs="Arial"/>
          <w:color w:val="000000" w:themeColor="text1"/>
        </w:rPr>
        <w:t>It is common cause that Ithala has</w:t>
      </w:r>
      <w:r w:rsidR="0022305A" w:rsidRPr="00AB10E4">
        <w:rPr>
          <w:rFonts w:ascii="Arial" w:hAnsi="Arial" w:cs="Arial"/>
          <w:color w:val="000000" w:themeColor="text1"/>
        </w:rPr>
        <w:t>,</w:t>
      </w:r>
      <w:r w:rsidR="00805613" w:rsidRPr="00AB10E4">
        <w:rPr>
          <w:rFonts w:ascii="Arial" w:hAnsi="Arial" w:cs="Arial"/>
          <w:color w:val="000000" w:themeColor="text1"/>
        </w:rPr>
        <w:t xml:space="preserve"> to date</w:t>
      </w:r>
      <w:r w:rsidR="0022305A" w:rsidRPr="00AB10E4">
        <w:rPr>
          <w:rFonts w:ascii="Arial" w:hAnsi="Arial" w:cs="Arial"/>
          <w:color w:val="000000" w:themeColor="text1"/>
        </w:rPr>
        <w:t>,</w:t>
      </w:r>
      <w:r w:rsidR="00805613" w:rsidRPr="00AB10E4">
        <w:rPr>
          <w:rFonts w:ascii="Arial" w:hAnsi="Arial" w:cs="Arial"/>
          <w:color w:val="000000" w:themeColor="text1"/>
        </w:rPr>
        <w:t xml:space="preserve"> failed to comply with any of the </w:t>
      </w:r>
      <w:r w:rsidR="003E43A0" w:rsidRPr="00AB10E4">
        <w:rPr>
          <w:rFonts w:ascii="Arial" w:hAnsi="Arial" w:cs="Arial"/>
          <w:color w:val="000000" w:themeColor="text1"/>
        </w:rPr>
        <w:t xml:space="preserve">above </w:t>
      </w:r>
      <w:r w:rsidR="00805613" w:rsidRPr="00AB10E4">
        <w:rPr>
          <w:rFonts w:ascii="Arial" w:hAnsi="Arial" w:cs="Arial"/>
          <w:color w:val="000000" w:themeColor="text1"/>
        </w:rPr>
        <w:t>conditions.</w:t>
      </w:r>
    </w:p>
    <w:p w14:paraId="71F5FB56" w14:textId="77777777" w:rsidR="00C25E70" w:rsidRPr="00C25E70" w:rsidRDefault="00C25E70" w:rsidP="00C25E70">
      <w:pPr>
        <w:spacing w:line="360" w:lineRule="auto"/>
        <w:jc w:val="both"/>
        <w:rPr>
          <w:rFonts w:ascii="Arial" w:hAnsi="Arial" w:cs="Arial"/>
          <w:color w:val="000000" w:themeColor="text1"/>
        </w:rPr>
      </w:pPr>
    </w:p>
    <w:p w14:paraId="37129D89" w14:textId="06899A68" w:rsidR="00730F62" w:rsidRPr="00C25E70" w:rsidRDefault="00C25E70" w:rsidP="007F7E04">
      <w:pPr>
        <w:spacing w:line="360" w:lineRule="auto"/>
        <w:jc w:val="both"/>
        <w:rPr>
          <w:rFonts w:ascii="Arial" w:hAnsi="Arial" w:cs="Arial"/>
          <w:b/>
          <w:bCs/>
          <w:color w:val="000000" w:themeColor="text1"/>
          <w:u w:val="single"/>
        </w:rPr>
      </w:pPr>
      <w:r w:rsidRPr="00C25E70">
        <w:rPr>
          <w:rFonts w:ascii="Arial" w:hAnsi="Arial" w:cs="Arial"/>
          <w:b/>
          <w:bCs/>
          <w:color w:val="000000" w:themeColor="text1"/>
          <w:u w:val="single"/>
        </w:rPr>
        <w:t>LEGALITY REVIEW</w:t>
      </w:r>
    </w:p>
    <w:p w14:paraId="67F546DE" w14:textId="47ACB09A" w:rsidR="00C25E70" w:rsidRDefault="00C25E70" w:rsidP="007F7E04">
      <w:pPr>
        <w:spacing w:line="360" w:lineRule="auto"/>
        <w:jc w:val="both"/>
        <w:rPr>
          <w:rFonts w:ascii="Arial" w:hAnsi="Arial" w:cs="Arial"/>
          <w:color w:val="000000" w:themeColor="text1"/>
        </w:rPr>
      </w:pPr>
    </w:p>
    <w:p w14:paraId="46FFEABF" w14:textId="3FF54B82" w:rsidR="00C25E70"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lastRenderedPageBreak/>
        <w:t>[29]</w:t>
      </w:r>
      <w:r>
        <w:rPr>
          <w:rFonts w:ascii="Arial" w:hAnsi="Arial" w:cs="Arial"/>
          <w:color w:val="000000" w:themeColor="text1"/>
        </w:rPr>
        <w:tab/>
      </w:r>
      <w:r w:rsidR="00985C81" w:rsidRPr="00AB10E4">
        <w:rPr>
          <w:rFonts w:ascii="Arial" w:hAnsi="Arial" w:cs="Arial"/>
          <w:color w:val="000000" w:themeColor="text1"/>
        </w:rPr>
        <w:t xml:space="preserve">Before dealing with the basis upon which the present review has been brought, it is apposite to address the contention by Ithala that </w:t>
      </w:r>
      <w:r w:rsidR="00DB7B86" w:rsidRPr="00AB10E4">
        <w:rPr>
          <w:rFonts w:ascii="Arial" w:hAnsi="Arial" w:cs="Arial"/>
          <w:color w:val="000000" w:themeColor="text1"/>
        </w:rPr>
        <w:t xml:space="preserve">the Prudential Authority at no stage furnished written reasons for the decision to issue the impugned </w:t>
      </w:r>
      <w:r w:rsidR="00984B95" w:rsidRPr="00AB10E4">
        <w:rPr>
          <w:rFonts w:ascii="Arial" w:hAnsi="Arial" w:cs="Arial"/>
          <w:color w:val="000000" w:themeColor="text1"/>
        </w:rPr>
        <w:t>Exemption</w:t>
      </w:r>
      <w:r w:rsidR="00DB7B86" w:rsidRPr="00AB10E4">
        <w:rPr>
          <w:rFonts w:ascii="Arial" w:hAnsi="Arial" w:cs="Arial"/>
          <w:color w:val="000000" w:themeColor="text1"/>
        </w:rPr>
        <w:t xml:space="preserve"> Notice with the conditions in it.</w:t>
      </w:r>
    </w:p>
    <w:p w14:paraId="441CA731" w14:textId="77777777" w:rsidR="00B9522C" w:rsidRPr="003447FB" w:rsidRDefault="00B9522C" w:rsidP="003447FB">
      <w:pPr>
        <w:spacing w:line="360" w:lineRule="auto"/>
        <w:jc w:val="both"/>
        <w:rPr>
          <w:rFonts w:ascii="Arial" w:hAnsi="Arial" w:cs="Arial"/>
          <w:color w:val="000000" w:themeColor="text1"/>
        </w:rPr>
      </w:pPr>
    </w:p>
    <w:p w14:paraId="382B749F" w14:textId="3BC0249D" w:rsidR="00DB7B86"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[30]</w:t>
      </w:r>
      <w:r>
        <w:rPr>
          <w:rFonts w:ascii="Arial" w:hAnsi="Arial" w:cs="Arial"/>
          <w:color w:val="000000" w:themeColor="text1"/>
        </w:rPr>
        <w:tab/>
      </w:r>
      <w:r w:rsidR="00DB7B86" w:rsidRPr="00AB10E4">
        <w:rPr>
          <w:rFonts w:ascii="Arial" w:hAnsi="Arial" w:cs="Arial"/>
          <w:color w:val="000000" w:themeColor="text1"/>
        </w:rPr>
        <w:t xml:space="preserve">Prior to the issue of the </w:t>
      </w:r>
      <w:r w:rsidR="00984B95" w:rsidRPr="00AB10E4">
        <w:rPr>
          <w:rFonts w:ascii="Arial" w:hAnsi="Arial" w:cs="Arial"/>
          <w:color w:val="000000" w:themeColor="text1"/>
        </w:rPr>
        <w:t>Exemption</w:t>
      </w:r>
      <w:r w:rsidR="00DB7B86" w:rsidRPr="00AB10E4">
        <w:rPr>
          <w:rFonts w:ascii="Arial" w:hAnsi="Arial" w:cs="Arial"/>
          <w:color w:val="000000" w:themeColor="text1"/>
        </w:rPr>
        <w:t xml:space="preserve"> Notice, the parties engaged with each other in writing.  The Prudential Authority in its letter of 3 June 2022, raised its concerns and gave its reasons why it was disinclined to grant a further </w:t>
      </w:r>
      <w:r w:rsidR="00984B95" w:rsidRPr="00AB10E4">
        <w:rPr>
          <w:rFonts w:ascii="Arial" w:hAnsi="Arial" w:cs="Arial"/>
          <w:color w:val="000000" w:themeColor="text1"/>
        </w:rPr>
        <w:t>Exemption</w:t>
      </w:r>
      <w:r w:rsidR="00DB7B86" w:rsidRPr="00AB10E4">
        <w:rPr>
          <w:rFonts w:ascii="Arial" w:hAnsi="Arial" w:cs="Arial"/>
          <w:color w:val="000000" w:themeColor="text1"/>
        </w:rPr>
        <w:t xml:space="preserve"> beyond 30 June 2022.  Ithala for its part and in its letter of 20 June 2022, responded comprehensively to the concerns raised by the Prudential Authority and it was </w:t>
      </w:r>
      <w:r w:rsidR="0022305A" w:rsidRPr="00AB10E4">
        <w:rPr>
          <w:rFonts w:ascii="Arial" w:hAnsi="Arial" w:cs="Arial"/>
          <w:color w:val="000000" w:themeColor="text1"/>
        </w:rPr>
        <w:t>i</w:t>
      </w:r>
      <w:r w:rsidR="00DB7B86" w:rsidRPr="00AB10E4">
        <w:rPr>
          <w:rFonts w:ascii="Arial" w:hAnsi="Arial" w:cs="Arial"/>
          <w:color w:val="000000" w:themeColor="text1"/>
        </w:rPr>
        <w:t xml:space="preserve">n consequence of this, that the further </w:t>
      </w:r>
      <w:r w:rsidR="00984B95" w:rsidRPr="00AB10E4">
        <w:rPr>
          <w:rFonts w:ascii="Arial" w:hAnsi="Arial" w:cs="Arial"/>
          <w:color w:val="000000" w:themeColor="text1"/>
        </w:rPr>
        <w:t>Exemption</w:t>
      </w:r>
      <w:r w:rsidR="00DB7B86" w:rsidRPr="00AB10E4">
        <w:rPr>
          <w:rFonts w:ascii="Arial" w:hAnsi="Arial" w:cs="Arial"/>
          <w:color w:val="000000" w:themeColor="text1"/>
        </w:rPr>
        <w:t xml:space="preserve"> with the conditions attached to it was granted.</w:t>
      </w:r>
    </w:p>
    <w:p w14:paraId="6CD397C5" w14:textId="77777777" w:rsidR="00DB7B86" w:rsidRPr="00DB7B86" w:rsidRDefault="00DB7B86" w:rsidP="00B9522C">
      <w:pPr>
        <w:pStyle w:val="ListParagraph"/>
        <w:ind w:left="851" w:hanging="851"/>
        <w:rPr>
          <w:rFonts w:ascii="Arial" w:hAnsi="Arial" w:cs="Arial"/>
          <w:color w:val="000000" w:themeColor="text1"/>
        </w:rPr>
      </w:pPr>
    </w:p>
    <w:p w14:paraId="42C3CE71" w14:textId="5571390B" w:rsidR="00DB7B86" w:rsidRPr="00AB10E4" w:rsidRDefault="00AB10E4" w:rsidP="00AB10E4">
      <w:pPr>
        <w:spacing w:line="360" w:lineRule="auto"/>
        <w:ind w:left="851" w:hanging="851"/>
        <w:jc w:val="both"/>
        <w:rPr>
          <w:rFonts w:ascii="Arial" w:hAnsi="Arial" w:cs="Arial"/>
          <w:b/>
          <w:bCs/>
          <w:color w:val="000000" w:themeColor="text1"/>
        </w:rPr>
      </w:pPr>
      <w:r>
        <w:rPr>
          <w:rFonts w:ascii="Arial" w:hAnsi="Arial" w:cs="Arial"/>
          <w:color w:val="000000" w:themeColor="text1"/>
        </w:rPr>
        <w:t>[31]</w:t>
      </w:r>
      <w:r>
        <w:rPr>
          <w:rFonts w:ascii="Arial" w:hAnsi="Arial" w:cs="Arial"/>
          <w:color w:val="000000" w:themeColor="text1"/>
        </w:rPr>
        <w:tab/>
      </w:r>
      <w:r w:rsidR="00DB7B86" w:rsidRPr="00AB10E4">
        <w:rPr>
          <w:rFonts w:ascii="Arial" w:hAnsi="Arial" w:cs="Arial"/>
          <w:color w:val="000000" w:themeColor="text1"/>
        </w:rPr>
        <w:t xml:space="preserve">Put plainly, the Prudential Authority precognized Ithala with its reasons for not wanting to grant a further </w:t>
      </w:r>
      <w:r w:rsidR="00984B95" w:rsidRPr="00AB10E4">
        <w:rPr>
          <w:rFonts w:ascii="Arial" w:hAnsi="Arial" w:cs="Arial"/>
          <w:color w:val="000000" w:themeColor="text1"/>
        </w:rPr>
        <w:t>Exemption</w:t>
      </w:r>
      <w:r w:rsidR="00DB7B86" w:rsidRPr="00AB10E4">
        <w:rPr>
          <w:rFonts w:ascii="Arial" w:hAnsi="Arial" w:cs="Arial"/>
          <w:color w:val="000000" w:themeColor="text1"/>
        </w:rPr>
        <w:t xml:space="preserve">, Ithala engaged with those reasons and the result was the granting of a further </w:t>
      </w:r>
      <w:r w:rsidR="00984B95" w:rsidRPr="00AB10E4">
        <w:rPr>
          <w:rFonts w:ascii="Arial" w:hAnsi="Arial" w:cs="Arial"/>
          <w:color w:val="000000" w:themeColor="text1"/>
        </w:rPr>
        <w:t>Exemption</w:t>
      </w:r>
      <w:r w:rsidR="00DB7B86" w:rsidRPr="00AB10E4">
        <w:rPr>
          <w:rFonts w:ascii="Arial" w:hAnsi="Arial" w:cs="Arial"/>
          <w:color w:val="000000" w:themeColor="text1"/>
        </w:rPr>
        <w:t>.  The reasons need not be clothed with the title “reasons for decision”</w:t>
      </w:r>
      <w:r w:rsidR="00FF5A95" w:rsidRPr="00AB10E4">
        <w:rPr>
          <w:rFonts w:ascii="Arial" w:hAnsi="Arial" w:cs="Arial"/>
          <w:color w:val="000000" w:themeColor="text1"/>
        </w:rPr>
        <w:t xml:space="preserve"> when they are readily ascertainable from the record before the parties. It seems to me that it must be a determination made on substance and not on form.</w:t>
      </w:r>
      <w:r w:rsidR="00FF5A95" w:rsidRPr="00FF5A95">
        <w:rPr>
          <w:rStyle w:val="FootnoteReference"/>
          <w:rFonts w:ascii="Arial" w:hAnsi="Arial" w:cs="Arial"/>
          <w:color w:val="000000" w:themeColor="text1"/>
        </w:rPr>
        <w:footnoteReference w:id="8"/>
      </w:r>
    </w:p>
    <w:p w14:paraId="13605D00" w14:textId="77777777" w:rsidR="005657D2" w:rsidRPr="005657D2" w:rsidRDefault="005657D2" w:rsidP="005657D2">
      <w:pPr>
        <w:pStyle w:val="ListParagraph"/>
        <w:rPr>
          <w:rFonts w:ascii="Arial" w:hAnsi="Arial" w:cs="Arial"/>
          <w:b/>
          <w:bCs/>
          <w:color w:val="000000" w:themeColor="text1"/>
        </w:rPr>
      </w:pPr>
    </w:p>
    <w:p w14:paraId="4994F65D" w14:textId="2192B7BE" w:rsidR="008751CF" w:rsidRPr="00AB10E4" w:rsidRDefault="00AB10E4" w:rsidP="00AB10E4">
      <w:pPr>
        <w:spacing w:line="360" w:lineRule="auto"/>
        <w:ind w:left="851" w:hanging="851"/>
        <w:jc w:val="both"/>
        <w:rPr>
          <w:rFonts w:ascii="Arial" w:hAnsi="Arial" w:cs="Arial"/>
          <w:b/>
          <w:bCs/>
          <w:color w:val="000000" w:themeColor="text1"/>
        </w:rPr>
      </w:pPr>
      <w:r w:rsidRPr="008751CF">
        <w:rPr>
          <w:rFonts w:ascii="Arial" w:hAnsi="Arial" w:cs="Arial"/>
          <w:color w:val="000000" w:themeColor="text1"/>
        </w:rPr>
        <w:t>[32]</w:t>
      </w:r>
      <w:r w:rsidRPr="008751CF">
        <w:rPr>
          <w:rFonts w:ascii="Arial" w:hAnsi="Arial" w:cs="Arial"/>
          <w:color w:val="000000" w:themeColor="text1"/>
        </w:rPr>
        <w:tab/>
      </w:r>
      <w:r w:rsidR="005657D2" w:rsidRPr="00AB10E4">
        <w:rPr>
          <w:rFonts w:ascii="Arial" w:hAnsi="Arial" w:cs="Arial"/>
          <w:color w:val="000000" w:themeColor="text1"/>
        </w:rPr>
        <w:t xml:space="preserve">The present review is brought in terms of the principle of legality. </w:t>
      </w:r>
      <w:r w:rsidR="0010480C" w:rsidRPr="00AB10E4">
        <w:rPr>
          <w:rFonts w:ascii="Arial" w:hAnsi="Arial" w:cs="Arial"/>
          <w:color w:val="000000" w:themeColor="text1"/>
        </w:rPr>
        <w:t>The exercise of all public power must comply with the principle of legality</w:t>
      </w:r>
      <w:r w:rsidR="008751CF" w:rsidRPr="00AB10E4">
        <w:rPr>
          <w:rFonts w:ascii="Arial" w:hAnsi="Arial" w:cs="Arial"/>
          <w:color w:val="000000" w:themeColor="text1"/>
        </w:rPr>
        <w:t xml:space="preserve"> - </w:t>
      </w:r>
      <w:r w:rsidR="0010480C" w:rsidRPr="00AB10E4">
        <w:rPr>
          <w:rFonts w:ascii="Arial" w:hAnsi="Arial" w:cs="Arial"/>
          <w:color w:val="000000" w:themeColor="text1"/>
        </w:rPr>
        <w:t xml:space="preserve"> </w:t>
      </w:r>
      <w:r w:rsidR="008751CF" w:rsidRPr="00AB10E4">
        <w:rPr>
          <w:rFonts w:ascii="Arial" w:hAnsi="Arial" w:cs="Arial"/>
        </w:rPr>
        <w:t xml:space="preserve">Section 2 of the Constitution of the Republic of South Africa 1996 provides that </w:t>
      </w:r>
      <w:r w:rsidR="0022305A" w:rsidRPr="00AB10E4">
        <w:rPr>
          <w:rFonts w:ascii="Arial" w:hAnsi="Arial" w:cs="Arial"/>
          <w:i/>
          <w:iCs/>
        </w:rPr>
        <w:t>‘</w:t>
      </w:r>
      <w:r w:rsidR="008751CF" w:rsidRPr="00AB10E4">
        <w:rPr>
          <w:rFonts w:ascii="Arial" w:hAnsi="Arial" w:cs="Arial"/>
          <w:i/>
          <w:iCs/>
        </w:rPr>
        <w:t>The Constitution is the supreme law of the Republic; law or conduct inconsistent with it is invalid, and the obligations imposed by it must be fulfilled.</w:t>
      </w:r>
      <w:r w:rsidR="0022305A" w:rsidRPr="00AB10E4">
        <w:rPr>
          <w:rFonts w:ascii="Arial" w:hAnsi="Arial" w:cs="Arial"/>
          <w:i/>
          <w:iCs/>
        </w:rPr>
        <w:t>’</w:t>
      </w:r>
    </w:p>
    <w:p w14:paraId="72BC273F" w14:textId="77777777" w:rsidR="008751CF" w:rsidRPr="008751CF" w:rsidRDefault="008751CF" w:rsidP="00B9522C">
      <w:pPr>
        <w:pStyle w:val="ListParagraph"/>
        <w:ind w:left="851" w:hanging="851"/>
        <w:rPr>
          <w:rFonts w:ascii="Arial" w:hAnsi="Arial" w:cs="Arial"/>
          <w:color w:val="000000" w:themeColor="text1"/>
        </w:rPr>
      </w:pPr>
    </w:p>
    <w:p w14:paraId="7FE07CC1" w14:textId="1DDF7C8A" w:rsidR="00B9522C" w:rsidRPr="00AB10E4" w:rsidRDefault="00AB10E4" w:rsidP="00AB10E4">
      <w:pPr>
        <w:spacing w:line="360" w:lineRule="auto"/>
        <w:ind w:left="851" w:hanging="851"/>
        <w:jc w:val="both"/>
        <w:rPr>
          <w:rFonts w:ascii="Arial" w:hAnsi="Arial" w:cs="Arial"/>
          <w:b/>
          <w:bCs/>
          <w:color w:val="000000" w:themeColor="text1"/>
        </w:rPr>
      </w:pPr>
      <w:r w:rsidRPr="00B9522C">
        <w:rPr>
          <w:rFonts w:ascii="Arial" w:hAnsi="Arial" w:cs="Arial"/>
          <w:color w:val="000000" w:themeColor="text1"/>
        </w:rPr>
        <w:t>[33]</w:t>
      </w:r>
      <w:r w:rsidRPr="00B9522C">
        <w:rPr>
          <w:rFonts w:ascii="Arial" w:hAnsi="Arial" w:cs="Arial"/>
          <w:color w:val="000000" w:themeColor="text1"/>
        </w:rPr>
        <w:tab/>
      </w:r>
      <w:r w:rsidR="006419C9" w:rsidRPr="00AB10E4">
        <w:rPr>
          <w:rFonts w:ascii="Arial" w:hAnsi="Arial" w:cs="Arial"/>
          <w:color w:val="000000" w:themeColor="text1"/>
        </w:rPr>
        <w:t>The exercise of the power must be within the scope of the power conferred</w:t>
      </w:r>
      <w:r w:rsidR="006419C9">
        <w:rPr>
          <w:rStyle w:val="FootnoteReference"/>
          <w:rFonts w:ascii="Arial" w:hAnsi="Arial" w:cs="Arial"/>
          <w:color w:val="000000" w:themeColor="text1"/>
        </w:rPr>
        <w:footnoteReference w:id="9"/>
      </w:r>
      <w:r w:rsidR="006419C9" w:rsidRPr="00AB10E4">
        <w:rPr>
          <w:rFonts w:ascii="Arial" w:hAnsi="Arial" w:cs="Arial"/>
          <w:color w:val="000000" w:themeColor="text1"/>
        </w:rPr>
        <w:t>, exercised in good faith</w:t>
      </w:r>
      <w:r w:rsidR="006419C9">
        <w:rPr>
          <w:rStyle w:val="FootnoteReference"/>
          <w:rFonts w:ascii="Arial" w:hAnsi="Arial" w:cs="Arial"/>
          <w:color w:val="000000" w:themeColor="text1"/>
        </w:rPr>
        <w:footnoteReference w:id="10"/>
      </w:r>
      <w:r w:rsidR="006419C9" w:rsidRPr="00AB10E4">
        <w:rPr>
          <w:rFonts w:ascii="Arial" w:hAnsi="Arial" w:cs="Arial"/>
          <w:color w:val="000000" w:themeColor="text1"/>
        </w:rPr>
        <w:t xml:space="preserve"> and be neither arbitrarily nor irrationally exercised.</w:t>
      </w:r>
      <w:r w:rsidR="006419C9">
        <w:rPr>
          <w:rStyle w:val="FootnoteReference"/>
          <w:rFonts w:ascii="Arial" w:hAnsi="Arial" w:cs="Arial"/>
          <w:color w:val="000000" w:themeColor="text1"/>
        </w:rPr>
        <w:footnoteReference w:id="11"/>
      </w:r>
      <w:r w:rsidR="006419C9" w:rsidRPr="00AB10E4">
        <w:rPr>
          <w:rFonts w:ascii="Arial" w:hAnsi="Arial" w:cs="Arial"/>
          <w:i/>
          <w:iCs/>
          <w:color w:val="000000" w:themeColor="text1"/>
          <w:sz w:val="22"/>
          <w:szCs w:val="22"/>
        </w:rPr>
        <w:t xml:space="preserve"> </w:t>
      </w:r>
      <w:r w:rsidR="0022305A" w:rsidRPr="00AB10E4">
        <w:rPr>
          <w:rFonts w:ascii="Arial" w:hAnsi="Arial" w:cs="Arial"/>
          <w:i/>
          <w:iCs/>
          <w:color w:val="000000" w:themeColor="text1"/>
          <w:sz w:val="22"/>
          <w:szCs w:val="22"/>
        </w:rPr>
        <w:t>‘</w:t>
      </w:r>
      <w:r w:rsidR="006419C9" w:rsidRPr="00AB10E4">
        <w:rPr>
          <w:rFonts w:ascii="Arial" w:hAnsi="Arial" w:cs="Arial"/>
          <w:i/>
          <w:iCs/>
          <w:color w:val="000000" w:themeColor="text1"/>
          <w:sz w:val="22"/>
          <w:szCs w:val="22"/>
        </w:rPr>
        <w:t>The principle of legality provides a general justification for the review of exercises of public power and operates as a residual source of review jurisdiction.</w:t>
      </w:r>
      <w:r w:rsidR="0022305A" w:rsidRPr="00AB10E4">
        <w:rPr>
          <w:rFonts w:ascii="Arial" w:hAnsi="Arial" w:cs="Arial"/>
          <w:i/>
          <w:iCs/>
          <w:color w:val="000000" w:themeColor="text1"/>
          <w:sz w:val="22"/>
          <w:szCs w:val="22"/>
        </w:rPr>
        <w:t xml:space="preserve">’ </w:t>
      </w:r>
      <w:r w:rsidR="006419C9">
        <w:rPr>
          <w:rStyle w:val="FootnoteReference"/>
          <w:rFonts w:ascii="Arial" w:hAnsi="Arial" w:cs="Arial"/>
          <w:color w:val="000000" w:themeColor="text1"/>
        </w:rPr>
        <w:footnoteReference w:id="12"/>
      </w:r>
    </w:p>
    <w:p w14:paraId="621EF4DE" w14:textId="77777777" w:rsidR="00B9522C" w:rsidRPr="00B9522C" w:rsidRDefault="00B9522C" w:rsidP="00B9522C">
      <w:pPr>
        <w:pStyle w:val="ListParagraph"/>
        <w:rPr>
          <w:rFonts w:ascii="Arial" w:hAnsi="Arial" w:cs="Arial"/>
          <w:color w:val="000000" w:themeColor="text1"/>
        </w:rPr>
      </w:pPr>
    </w:p>
    <w:p w14:paraId="0D90A317" w14:textId="6BA13FBC" w:rsidR="00B9522C" w:rsidRDefault="00B9522C" w:rsidP="00B9522C">
      <w:pPr>
        <w:spacing w:line="360" w:lineRule="auto"/>
        <w:jc w:val="both"/>
        <w:rPr>
          <w:rFonts w:ascii="Arial" w:hAnsi="Arial" w:cs="Arial"/>
          <w:b/>
          <w:bCs/>
          <w:color w:val="000000" w:themeColor="text1"/>
        </w:rPr>
      </w:pPr>
    </w:p>
    <w:p w14:paraId="24170A68" w14:textId="22F6FC0B" w:rsidR="00B9522C" w:rsidRDefault="00B9522C" w:rsidP="00B9522C">
      <w:pPr>
        <w:spacing w:line="360" w:lineRule="auto"/>
        <w:jc w:val="both"/>
        <w:rPr>
          <w:rFonts w:ascii="Arial" w:hAnsi="Arial" w:cs="Arial"/>
          <w:b/>
          <w:bCs/>
          <w:color w:val="000000" w:themeColor="text1"/>
        </w:rPr>
      </w:pPr>
    </w:p>
    <w:p w14:paraId="01552E0B" w14:textId="77777777" w:rsidR="00B9522C" w:rsidRPr="00B9522C" w:rsidRDefault="00B9522C" w:rsidP="00B9522C">
      <w:pPr>
        <w:spacing w:line="360" w:lineRule="auto"/>
        <w:jc w:val="both"/>
        <w:rPr>
          <w:rFonts w:ascii="Arial" w:hAnsi="Arial" w:cs="Arial"/>
          <w:b/>
          <w:bCs/>
          <w:color w:val="000000" w:themeColor="text1"/>
        </w:rPr>
      </w:pPr>
    </w:p>
    <w:p w14:paraId="5C390ACE" w14:textId="63CD35EC" w:rsidR="005657D2" w:rsidRPr="00AB10E4" w:rsidRDefault="00AB10E4" w:rsidP="00AB10E4">
      <w:pPr>
        <w:spacing w:line="360" w:lineRule="auto"/>
        <w:ind w:left="851" w:hanging="851"/>
        <w:jc w:val="both"/>
        <w:rPr>
          <w:rFonts w:ascii="Arial" w:hAnsi="Arial" w:cs="Arial"/>
          <w:b/>
          <w:bCs/>
          <w:color w:val="000000" w:themeColor="text1"/>
        </w:rPr>
      </w:pPr>
      <w:r w:rsidRPr="00B9522C">
        <w:rPr>
          <w:rFonts w:ascii="Arial" w:hAnsi="Arial" w:cs="Arial"/>
          <w:color w:val="000000" w:themeColor="text1"/>
        </w:rPr>
        <w:t>[34]</w:t>
      </w:r>
      <w:r w:rsidRPr="00B9522C">
        <w:rPr>
          <w:rFonts w:ascii="Arial" w:hAnsi="Arial" w:cs="Arial"/>
          <w:color w:val="000000" w:themeColor="text1"/>
        </w:rPr>
        <w:tab/>
      </w:r>
      <w:r w:rsidR="006419C9" w:rsidRPr="00AB10E4">
        <w:rPr>
          <w:rFonts w:ascii="Arial" w:hAnsi="Arial" w:cs="Arial"/>
          <w:color w:val="000000" w:themeColor="text1"/>
        </w:rPr>
        <w:t xml:space="preserve">It </w:t>
      </w:r>
      <w:r w:rsidR="0010480C" w:rsidRPr="00AB10E4">
        <w:rPr>
          <w:rFonts w:ascii="Arial" w:hAnsi="Arial" w:cs="Arial"/>
          <w:color w:val="000000" w:themeColor="text1"/>
        </w:rPr>
        <w:t>is not in issue</w:t>
      </w:r>
      <w:r w:rsidR="00BA4B57" w:rsidRPr="00AB10E4">
        <w:rPr>
          <w:rFonts w:ascii="Arial" w:hAnsi="Arial" w:cs="Arial"/>
          <w:color w:val="000000" w:themeColor="text1"/>
        </w:rPr>
        <w:t xml:space="preserve"> that the Prudential Authority and the Minister of Finance are in the exercise of their authority </w:t>
      </w:r>
      <w:r w:rsidR="00851829" w:rsidRPr="00AB10E4">
        <w:rPr>
          <w:rFonts w:ascii="Arial" w:hAnsi="Arial" w:cs="Arial"/>
          <w:color w:val="000000" w:themeColor="text1"/>
        </w:rPr>
        <w:t xml:space="preserve">to grant </w:t>
      </w:r>
      <w:r w:rsidR="00984B95" w:rsidRPr="00AB10E4">
        <w:rPr>
          <w:rFonts w:ascii="Arial" w:hAnsi="Arial" w:cs="Arial"/>
          <w:color w:val="000000" w:themeColor="text1"/>
        </w:rPr>
        <w:t>Exemption</w:t>
      </w:r>
      <w:r w:rsidR="00851829" w:rsidRPr="00AB10E4">
        <w:rPr>
          <w:rFonts w:ascii="Arial" w:hAnsi="Arial" w:cs="Arial"/>
          <w:color w:val="000000" w:themeColor="text1"/>
        </w:rPr>
        <w:t>s in terms of</w:t>
      </w:r>
      <w:r w:rsidR="00BA4B57" w:rsidRPr="00AB10E4">
        <w:rPr>
          <w:rFonts w:ascii="Arial" w:hAnsi="Arial" w:cs="Arial"/>
          <w:color w:val="000000" w:themeColor="text1"/>
        </w:rPr>
        <w:t xml:space="preserve"> the Banks Act, obliged to do so.</w:t>
      </w:r>
      <w:r w:rsidR="00851829">
        <w:rPr>
          <w:rStyle w:val="FootnoteReference"/>
          <w:rFonts w:ascii="Arial" w:hAnsi="Arial" w:cs="Arial"/>
          <w:color w:val="000000" w:themeColor="text1"/>
        </w:rPr>
        <w:footnoteReference w:id="13"/>
      </w:r>
      <w:r w:rsidR="00B22DF5" w:rsidRPr="00AB10E4">
        <w:rPr>
          <w:rFonts w:ascii="Arial" w:hAnsi="Arial" w:cs="Arial"/>
          <w:color w:val="000000" w:themeColor="text1"/>
        </w:rPr>
        <w:t xml:space="preserve">  </w:t>
      </w:r>
    </w:p>
    <w:p w14:paraId="2A274D06" w14:textId="77777777" w:rsidR="00C25E70" w:rsidRDefault="00C25E70" w:rsidP="0032736C">
      <w:pPr>
        <w:spacing w:line="360" w:lineRule="auto"/>
        <w:jc w:val="both"/>
        <w:rPr>
          <w:rFonts w:ascii="Arial" w:hAnsi="Arial" w:cs="Arial"/>
          <w:b/>
          <w:bCs/>
          <w:color w:val="000000" w:themeColor="text1"/>
          <w:u w:val="single"/>
        </w:rPr>
      </w:pPr>
    </w:p>
    <w:p w14:paraId="43185072" w14:textId="20166EA4" w:rsidR="0032736C" w:rsidRDefault="00361C33" w:rsidP="0032736C">
      <w:pPr>
        <w:spacing w:line="360" w:lineRule="auto"/>
        <w:jc w:val="both"/>
        <w:rPr>
          <w:rFonts w:ascii="Arial" w:hAnsi="Arial" w:cs="Arial"/>
          <w:b/>
          <w:bCs/>
          <w:color w:val="000000" w:themeColor="text1"/>
          <w:u w:val="single"/>
        </w:rPr>
      </w:pPr>
      <w:r w:rsidRPr="007F7E04">
        <w:rPr>
          <w:rFonts w:ascii="Arial" w:hAnsi="Arial" w:cs="Arial"/>
          <w:b/>
          <w:bCs/>
          <w:color w:val="000000" w:themeColor="text1"/>
          <w:u w:val="single"/>
        </w:rPr>
        <w:t>THE FIRST</w:t>
      </w:r>
      <w:r w:rsidR="00E10D7B">
        <w:rPr>
          <w:rFonts w:ascii="Arial" w:hAnsi="Arial" w:cs="Arial"/>
          <w:b/>
          <w:bCs/>
          <w:color w:val="000000" w:themeColor="text1"/>
          <w:u w:val="single"/>
        </w:rPr>
        <w:t xml:space="preserve"> AND SECOND</w:t>
      </w:r>
      <w:r w:rsidRPr="007F7E04">
        <w:rPr>
          <w:rFonts w:ascii="Arial" w:hAnsi="Arial" w:cs="Arial"/>
          <w:b/>
          <w:bCs/>
          <w:color w:val="000000" w:themeColor="text1"/>
          <w:u w:val="single"/>
        </w:rPr>
        <w:t xml:space="preserve"> GROUND</w:t>
      </w:r>
      <w:r w:rsidR="00E10D7B">
        <w:rPr>
          <w:rFonts w:ascii="Arial" w:hAnsi="Arial" w:cs="Arial"/>
          <w:b/>
          <w:bCs/>
          <w:color w:val="000000" w:themeColor="text1"/>
          <w:u w:val="single"/>
        </w:rPr>
        <w:t>S</w:t>
      </w:r>
      <w:r w:rsidRPr="007F7E04">
        <w:rPr>
          <w:rFonts w:ascii="Arial" w:hAnsi="Arial" w:cs="Arial"/>
          <w:b/>
          <w:bCs/>
          <w:color w:val="000000" w:themeColor="text1"/>
          <w:u w:val="single"/>
        </w:rPr>
        <w:t xml:space="preserve"> OF REVIEW</w:t>
      </w:r>
      <w:r w:rsidR="00C25E70">
        <w:rPr>
          <w:rFonts w:ascii="Arial" w:hAnsi="Arial" w:cs="Arial"/>
          <w:b/>
          <w:bCs/>
          <w:color w:val="000000" w:themeColor="text1"/>
          <w:u w:val="single"/>
        </w:rPr>
        <w:t xml:space="preserve"> </w:t>
      </w:r>
      <w:r w:rsidR="00E10D7B">
        <w:rPr>
          <w:rFonts w:ascii="Arial" w:hAnsi="Arial" w:cs="Arial"/>
          <w:b/>
          <w:bCs/>
          <w:color w:val="000000" w:themeColor="text1"/>
          <w:u w:val="single"/>
        </w:rPr>
        <w:t>–</w:t>
      </w:r>
      <w:r w:rsidR="00C25E70">
        <w:rPr>
          <w:rFonts w:ascii="Arial" w:hAnsi="Arial" w:cs="Arial"/>
          <w:b/>
          <w:bCs/>
          <w:color w:val="000000" w:themeColor="text1"/>
          <w:u w:val="single"/>
        </w:rPr>
        <w:t xml:space="preserve"> IRRATIONALITY</w:t>
      </w:r>
      <w:r w:rsidR="00E10D7B">
        <w:rPr>
          <w:rFonts w:ascii="Arial" w:hAnsi="Arial" w:cs="Arial"/>
          <w:b/>
          <w:bCs/>
          <w:color w:val="000000" w:themeColor="text1"/>
          <w:u w:val="single"/>
        </w:rPr>
        <w:t xml:space="preserve"> AND</w:t>
      </w:r>
      <w:r w:rsidR="009E05F4">
        <w:rPr>
          <w:rFonts w:ascii="Arial" w:hAnsi="Arial" w:cs="Arial"/>
          <w:b/>
          <w:bCs/>
          <w:color w:val="000000" w:themeColor="text1"/>
          <w:u w:val="single"/>
        </w:rPr>
        <w:t xml:space="preserve"> LACK OF</w:t>
      </w:r>
      <w:r w:rsidR="00E10D7B">
        <w:rPr>
          <w:rFonts w:ascii="Arial" w:hAnsi="Arial" w:cs="Arial"/>
          <w:b/>
          <w:bCs/>
          <w:color w:val="000000" w:themeColor="text1"/>
          <w:u w:val="single"/>
        </w:rPr>
        <w:t xml:space="preserve"> </w:t>
      </w:r>
      <w:r w:rsidR="00E10D7B" w:rsidRPr="009E05F4">
        <w:rPr>
          <w:rFonts w:ascii="Arial" w:hAnsi="Arial" w:cs="Arial"/>
          <w:b/>
          <w:bCs/>
          <w:i/>
          <w:iCs/>
          <w:color w:val="000000" w:themeColor="text1"/>
          <w:u w:val="single"/>
        </w:rPr>
        <w:t>BONA FIDES</w:t>
      </w:r>
    </w:p>
    <w:p w14:paraId="7A9CA228" w14:textId="77777777" w:rsidR="0039398E" w:rsidRPr="00AD4721" w:rsidRDefault="0039398E" w:rsidP="00AD4721">
      <w:pPr>
        <w:spacing w:line="360" w:lineRule="auto"/>
        <w:jc w:val="both"/>
        <w:rPr>
          <w:rFonts w:ascii="Arial" w:hAnsi="Arial" w:cs="Arial"/>
          <w:color w:val="000000" w:themeColor="text1"/>
          <w:sz w:val="22"/>
          <w:szCs w:val="22"/>
        </w:rPr>
      </w:pPr>
    </w:p>
    <w:p w14:paraId="50D6AD23" w14:textId="427964F6" w:rsidR="0039398E" w:rsidRPr="00AB10E4" w:rsidRDefault="00AB10E4" w:rsidP="00AB10E4">
      <w:pPr>
        <w:spacing w:line="360" w:lineRule="auto"/>
        <w:ind w:left="851" w:hanging="851"/>
        <w:jc w:val="both"/>
        <w:rPr>
          <w:rFonts w:ascii="Arial" w:hAnsi="Arial" w:cs="Arial"/>
          <w:color w:val="000000" w:themeColor="text1"/>
          <w:sz w:val="22"/>
          <w:szCs w:val="22"/>
        </w:rPr>
      </w:pPr>
      <w:r w:rsidRPr="001D744C">
        <w:rPr>
          <w:rFonts w:ascii="Arial" w:hAnsi="Arial" w:cs="Arial"/>
          <w:color w:val="000000" w:themeColor="text1"/>
        </w:rPr>
        <w:t>[35]</w:t>
      </w:r>
      <w:r w:rsidRPr="001D744C">
        <w:rPr>
          <w:rFonts w:ascii="Arial" w:hAnsi="Arial" w:cs="Arial"/>
          <w:color w:val="000000" w:themeColor="text1"/>
        </w:rPr>
        <w:tab/>
      </w:r>
      <w:r w:rsidR="0039398E" w:rsidRPr="00AB10E4">
        <w:rPr>
          <w:rFonts w:ascii="Arial" w:hAnsi="Arial" w:cs="Arial"/>
          <w:color w:val="000000" w:themeColor="text1"/>
        </w:rPr>
        <w:t xml:space="preserve">In </w:t>
      </w:r>
      <w:r w:rsidR="0039398E" w:rsidRPr="00AB10E4">
        <w:rPr>
          <w:rFonts w:ascii="Arial" w:hAnsi="Arial" w:cs="Arial"/>
          <w:i/>
          <w:iCs/>
          <w:color w:val="000000" w:themeColor="text1"/>
        </w:rPr>
        <w:t>Albutt v Centre for the Study of Violence and Reconciliation</w:t>
      </w:r>
      <w:r w:rsidR="00506D5A" w:rsidRPr="00AB10E4">
        <w:rPr>
          <w:rFonts w:ascii="Arial" w:hAnsi="Arial" w:cs="Arial"/>
          <w:i/>
          <w:iCs/>
          <w:color w:val="000000" w:themeColor="text1"/>
        </w:rPr>
        <w:t>,</w:t>
      </w:r>
      <w:r w:rsidR="0039398E" w:rsidRPr="00AB10E4">
        <w:rPr>
          <w:rFonts w:ascii="Arial" w:hAnsi="Arial" w:cs="Arial"/>
          <w:i/>
          <w:iCs/>
          <w:color w:val="000000" w:themeColor="text1"/>
        </w:rPr>
        <w:t xml:space="preserve"> and Others</w:t>
      </w:r>
      <w:r w:rsidR="0039398E">
        <w:rPr>
          <w:rStyle w:val="FootnoteReference"/>
          <w:rFonts w:ascii="Arial" w:hAnsi="Arial" w:cs="Arial"/>
          <w:i/>
          <w:iCs/>
          <w:color w:val="000000" w:themeColor="text1"/>
        </w:rPr>
        <w:footnoteReference w:id="14"/>
      </w:r>
      <w:r w:rsidR="0039398E" w:rsidRPr="00AB10E4">
        <w:rPr>
          <w:rFonts w:ascii="Arial" w:hAnsi="Arial" w:cs="Arial"/>
          <w:color w:val="000000" w:themeColor="text1"/>
        </w:rPr>
        <w:t xml:space="preserve"> </w:t>
      </w:r>
      <w:r w:rsidR="006419C9" w:rsidRPr="00AB10E4">
        <w:rPr>
          <w:rFonts w:ascii="Arial" w:hAnsi="Arial" w:cs="Arial"/>
          <w:color w:val="000000" w:themeColor="text1"/>
        </w:rPr>
        <w:t>it was held</w:t>
      </w:r>
      <w:r w:rsidR="003166B3" w:rsidRPr="00AB10E4">
        <w:rPr>
          <w:rFonts w:ascii="Arial" w:hAnsi="Arial" w:cs="Arial"/>
          <w:color w:val="000000" w:themeColor="text1"/>
        </w:rPr>
        <w:t xml:space="preserve"> that</w:t>
      </w:r>
      <w:r w:rsidR="00506D5A" w:rsidRPr="00AB10E4">
        <w:rPr>
          <w:rFonts w:ascii="Arial" w:hAnsi="Arial" w:cs="Arial"/>
          <w:color w:val="000000" w:themeColor="text1"/>
        </w:rPr>
        <w:t>:</w:t>
      </w:r>
      <w:r w:rsidR="001D744C" w:rsidRPr="00AB10E4">
        <w:rPr>
          <w:rFonts w:ascii="Arial" w:hAnsi="Arial" w:cs="Arial"/>
          <w:color w:val="000000" w:themeColor="text1"/>
        </w:rPr>
        <w:t xml:space="preserve"> </w:t>
      </w:r>
    </w:p>
    <w:p w14:paraId="41F8A373" w14:textId="77777777" w:rsidR="001D744C" w:rsidRPr="001D744C" w:rsidRDefault="001D744C" w:rsidP="001D744C">
      <w:pPr>
        <w:pStyle w:val="ListParagraph"/>
        <w:rPr>
          <w:rFonts w:ascii="Arial" w:hAnsi="Arial" w:cs="Arial"/>
          <w:color w:val="000000" w:themeColor="text1"/>
          <w:sz w:val="22"/>
          <w:szCs w:val="22"/>
        </w:rPr>
      </w:pPr>
    </w:p>
    <w:p w14:paraId="376BE9E4" w14:textId="0251536A" w:rsidR="001D744C" w:rsidRPr="00EE7A6B" w:rsidRDefault="001D744C" w:rsidP="001D744C">
      <w:pPr>
        <w:pStyle w:val="ListParagraph"/>
        <w:spacing w:line="360" w:lineRule="auto"/>
        <w:ind w:left="1440"/>
        <w:jc w:val="both"/>
        <w:rPr>
          <w:rFonts w:ascii="Arial" w:hAnsi="Arial" w:cs="Arial"/>
          <w:color w:val="000000" w:themeColor="text1"/>
          <w:sz w:val="22"/>
          <w:szCs w:val="22"/>
          <w:u w:val="single"/>
        </w:rPr>
      </w:pPr>
      <w:r>
        <w:rPr>
          <w:rFonts w:ascii="Arial" w:hAnsi="Arial" w:cs="Arial"/>
          <w:color w:val="000000" w:themeColor="text1"/>
          <w:sz w:val="22"/>
          <w:szCs w:val="22"/>
        </w:rPr>
        <w:t>“</w:t>
      </w:r>
      <w:r w:rsidR="00DB1B3D">
        <w:rPr>
          <w:rFonts w:ascii="Arial" w:hAnsi="Arial" w:cs="Arial"/>
          <w:i/>
          <w:iCs/>
          <w:color w:val="000000" w:themeColor="text1"/>
          <w:sz w:val="22"/>
          <w:szCs w:val="22"/>
        </w:rPr>
        <w:t xml:space="preserve">The Executive has a wide discretion in selecting the means to achieve its constitutionally permissible objectives.  Courts may not interfere with the means selected simply because they do not like them, or because there are more appropriate means that could have been selected.  But, where the decision is challenged on the grounds of rationality, courts are obliged to examine </w:t>
      </w:r>
      <w:r w:rsidR="00DB1B3D" w:rsidRPr="00EE7A6B">
        <w:rPr>
          <w:rFonts w:ascii="Arial" w:hAnsi="Arial" w:cs="Arial"/>
          <w:i/>
          <w:iCs/>
          <w:color w:val="000000" w:themeColor="text1"/>
          <w:sz w:val="22"/>
          <w:szCs w:val="22"/>
          <w:u w:val="single"/>
        </w:rPr>
        <w:t>the means selected to determine whether they are rationally related to the objectives sought to be achieved.  What must be stressed is that the purpose of the enquiry is to determine not whether there are other means that could have been used, but whether the means selected are rationally related to the objective sought to be achieved.</w:t>
      </w:r>
      <w:r w:rsidRPr="00EE7A6B">
        <w:rPr>
          <w:rFonts w:ascii="Arial" w:hAnsi="Arial" w:cs="Arial"/>
          <w:color w:val="000000" w:themeColor="text1"/>
          <w:sz w:val="22"/>
          <w:szCs w:val="22"/>
          <w:u w:val="single"/>
        </w:rPr>
        <w:t>”</w:t>
      </w:r>
      <w:r w:rsidR="00EE7A6B">
        <w:rPr>
          <w:rFonts w:ascii="Arial" w:hAnsi="Arial" w:cs="Arial"/>
          <w:color w:val="000000" w:themeColor="text1"/>
          <w:sz w:val="22"/>
          <w:szCs w:val="22"/>
          <w:u w:val="single"/>
        </w:rPr>
        <w:t xml:space="preserve"> (my underlining)</w:t>
      </w:r>
    </w:p>
    <w:p w14:paraId="1E22837F" w14:textId="77777777" w:rsidR="001D744C" w:rsidRPr="00877D2E" w:rsidRDefault="001D744C" w:rsidP="00877D2E">
      <w:pPr>
        <w:spacing w:line="360" w:lineRule="auto"/>
        <w:jc w:val="both"/>
        <w:rPr>
          <w:rFonts w:ascii="Arial" w:hAnsi="Arial" w:cs="Arial"/>
          <w:color w:val="000000" w:themeColor="text1"/>
        </w:rPr>
      </w:pPr>
    </w:p>
    <w:p w14:paraId="2C1C0FBF" w14:textId="39D583C8" w:rsidR="00877D2E" w:rsidRPr="00AB10E4" w:rsidRDefault="00AB10E4" w:rsidP="00AB10E4">
      <w:pPr>
        <w:spacing w:line="360" w:lineRule="auto"/>
        <w:ind w:left="851" w:hanging="851"/>
        <w:jc w:val="both"/>
        <w:rPr>
          <w:rFonts w:ascii="Arial" w:hAnsi="Arial" w:cs="Arial"/>
          <w:i/>
          <w:iCs/>
          <w:color w:val="000000" w:themeColor="text1"/>
        </w:rPr>
      </w:pPr>
      <w:r w:rsidRPr="00877D2E">
        <w:rPr>
          <w:rFonts w:ascii="Arial" w:hAnsi="Arial" w:cs="Arial"/>
          <w:color w:val="000000" w:themeColor="text1"/>
        </w:rPr>
        <w:t>[36]</w:t>
      </w:r>
      <w:r w:rsidRPr="00877D2E">
        <w:rPr>
          <w:rFonts w:ascii="Arial" w:hAnsi="Arial" w:cs="Arial"/>
          <w:color w:val="000000" w:themeColor="text1"/>
        </w:rPr>
        <w:tab/>
      </w:r>
      <w:r w:rsidR="00E53CA4" w:rsidRPr="00AB10E4">
        <w:rPr>
          <w:rFonts w:ascii="Arial" w:hAnsi="Arial" w:cs="Arial"/>
          <w:color w:val="000000" w:themeColor="text1"/>
        </w:rPr>
        <w:t xml:space="preserve">It was argued for Ithala that paragraph 3.5, as a condition, </w:t>
      </w:r>
      <w:r w:rsidR="006D0FB1" w:rsidRPr="00AB10E4">
        <w:rPr>
          <w:rFonts w:ascii="Arial" w:hAnsi="Arial" w:cs="Arial"/>
          <w:color w:val="000000" w:themeColor="text1"/>
        </w:rPr>
        <w:t xml:space="preserve">was irrational.  Properly construed however, paragraph 3.5 in its terms simply records that the </w:t>
      </w:r>
      <w:r w:rsidR="00984B95" w:rsidRPr="00AB10E4">
        <w:rPr>
          <w:rFonts w:ascii="Arial" w:hAnsi="Arial" w:cs="Arial"/>
          <w:color w:val="000000" w:themeColor="text1"/>
        </w:rPr>
        <w:t>Exemption</w:t>
      </w:r>
      <w:r w:rsidR="006D0FB1" w:rsidRPr="00AB10E4">
        <w:rPr>
          <w:rFonts w:ascii="Arial" w:hAnsi="Arial" w:cs="Arial"/>
          <w:color w:val="000000" w:themeColor="text1"/>
        </w:rPr>
        <w:t xml:space="preserve"> that has now been granted was granted to </w:t>
      </w:r>
      <w:r w:rsidR="0022305A" w:rsidRPr="00AB10E4">
        <w:rPr>
          <w:rFonts w:ascii="Arial" w:hAnsi="Arial" w:cs="Arial"/>
          <w:i/>
          <w:iCs/>
          <w:color w:val="000000" w:themeColor="text1"/>
        </w:rPr>
        <w:t>‘</w:t>
      </w:r>
      <w:r w:rsidR="006D0FB1" w:rsidRPr="00AB10E4">
        <w:rPr>
          <w:rFonts w:ascii="Arial" w:hAnsi="Arial" w:cs="Arial"/>
          <w:i/>
          <w:iCs/>
          <w:color w:val="000000" w:themeColor="text1"/>
        </w:rPr>
        <w:t>afford Ithala a final opportunity to regularize its deposit taking activities</w:t>
      </w:r>
      <w:r w:rsidR="0022305A" w:rsidRPr="00AB10E4">
        <w:rPr>
          <w:rFonts w:ascii="Arial" w:hAnsi="Arial" w:cs="Arial"/>
          <w:i/>
          <w:iCs/>
          <w:color w:val="000000" w:themeColor="text1"/>
        </w:rPr>
        <w:t>’</w:t>
      </w:r>
      <w:r w:rsidR="006D0FB1" w:rsidRPr="00AB10E4">
        <w:rPr>
          <w:rFonts w:ascii="Arial" w:hAnsi="Arial" w:cs="Arial"/>
          <w:i/>
          <w:iCs/>
          <w:color w:val="000000" w:themeColor="text1"/>
        </w:rPr>
        <w:t xml:space="preserve">.  </w:t>
      </w:r>
      <w:r w:rsidR="006D0FB1" w:rsidRPr="00AB10E4">
        <w:rPr>
          <w:rFonts w:ascii="Arial" w:hAnsi="Arial" w:cs="Arial"/>
          <w:color w:val="000000" w:themeColor="text1"/>
        </w:rPr>
        <w:t xml:space="preserve">It goes on further to state the consequences of failure to meet the conditions upon which the </w:t>
      </w:r>
      <w:r w:rsidR="00984B95" w:rsidRPr="00AB10E4">
        <w:rPr>
          <w:rFonts w:ascii="Arial" w:hAnsi="Arial" w:cs="Arial"/>
          <w:color w:val="000000" w:themeColor="text1"/>
        </w:rPr>
        <w:t>Exemption</w:t>
      </w:r>
      <w:r w:rsidR="006D0FB1" w:rsidRPr="00AB10E4">
        <w:rPr>
          <w:rFonts w:ascii="Arial" w:hAnsi="Arial" w:cs="Arial"/>
          <w:color w:val="000000" w:themeColor="text1"/>
        </w:rPr>
        <w:t xml:space="preserve"> was granted – the winding down of the deposit taking activities. </w:t>
      </w:r>
    </w:p>
    <w:p w14:paraId="29E40E01" w14:textId="77777777" w:rsidR="00877D2E" w:rsidRPr="00877D2E" w:rsidRDefault="00877D2E" w:rsidP="00877D2E">
      <w:pPr>
        <w:pStyle w:val="ListParagraph"/>
        <w:spacing w:line="360" w:lineRule="auto"/>
        <w:ind w:left="851"/>
        <w:jc w:val="both"/>
        <w:rPr>
          <w:rFonts w:ascii="Arial" w:hAnsi="Arial" w:cs="Arial"/>
          <w:i/>
          <w:iCs/>
          <w:color w:val="000000" w:themeColor="text1"/>
        </w:rPr>
      </w:pPr>
    </w:p>
    <w:p w14:paraId="247FBFD5" w14:textId="684776C8" w:rsidR="00425731" w:rsidRPr="00AB10E4" w:rsidRDefault="00AB10E4" w:rsidP="00AB10E4">
      <w:pPr>
        <w:spacing w:line="360" w:lineRule="auto"/>
        <w:ind w:left="851" w:hanging="851"/>
        <w:jc w:val="both"/>
        <w:rPr>
          <w:rFonts w:ascii="Arial" w:hAnsi="Arial" w:cs="Arial"/>
          <w:i/>
          <w:iCs/>
          <w:color w:val="000000" w:themeColor="text1"/>
        </w:rPr>
      </w:pPr>
      <w:r w:rsidRPr="006D0FB1">
        <w:rPr>
          <w:rFonts w:ascii="Arial" w:hAnsi="Arial" w:cs="Arial"/>
          <w:color w:val="000000" w:themeColor="text1"/>
        </w:rPr>
        <w:lastRenderedPageBreak/>
        <w:t>[37]</w:t>
      </w:r>
      <w:r w:rsidRPr="006D0FB1">
        <w:rPr>
          <w:rFonts w:ascii="Arial" w:hAnsi="Arial" w:cs="Arial"/>
          <w:color w:val="000000" w:themeColor="text1"/>
        </w:rPr>
        <w:tab/>
      </w:r>
      <w:r w:rsidR="006D0FB1" w:rsidRPr="00AB10E4">
        <w:rPr>
          <w:rFonts w:ascii="Arial" w:hAnsi="Arial" w:cs="Arial"/>
          <w:color w:val="000000" w:themeColor="text1"/>
        </w:rPr>
        <w:t xml:space="preserve"> It follows that if Ithala does not obtain a further </w:t>
      </w:r>
      <w:r w:rsidR="00984B95" w:rsidRPr="00AB10E4">
        <w:rPr>
          <w:rFonts w:ascii="Arial" w:hAnsi="Arial" w:cs="Arial"/>
          <w:color w:val="000000" w:themeColor="text1"/>
        </w:rPr>
        <w:t>Exemption</w:t>
      </w:r>
      <w:r w:rsidR="006D0FB1" w:rsidRPr="00AB10E4">
        <w:rPr>
          <w:rFonts w:ascii="Arial" w:hAnsi="Arial" w:cs="Arial"/>
          <w:color w:val="000000" w:themeColor="text1"/>
        </w:rPr>
        <w:t xml:space="preserve">, it cannot lawfully continue with its deposit taking activities.  This paragraph imposes no condition upon Ithala and in its terms simply serves to record the legal consequences of the failure to meet the conditions in terms of which the </w:t>
      </w:r>
      <w:r w:rsidR="00984B95" w:rsidRPr="00AB10E4">
        <w:rPr>
          <w:rFonts w:ascii="Arial" w:hAnsi="Arial" w:cs="Arial"/>
          <w:color w:val="000000" w:themeColor="text1"/>
        </w:rPr>
        <w:t>Exemption</w:t>
      </w:r>
      <w:r w:rsidR="006D0FB1" w:rsidRPr="00AB10E4">
        <w:rPr>
          <w:rFonts w:ascii="Arial" w:hAnsi="Arial" w:cs="Arial"/>
          <w:color w:val="000000" w:themeColor="text1"/>
        </w:rPr>
        <w:t xml:space="preserve"> was granted.</w:t>
      </w:r>
    </w:p>
    <w:p w14:paraId="1C05E6BA" w14:textId="01436AF6" w:rsidR="001D744C" w:rsidRPr="001D744C" w:rsidRDefault="001D744C" w:rsidP="00425731">
      <w:pPr>
        <w:pStyle w:val="ListParagraph"/>
        <w:spacing w:line="360" w:lineRule="auto"/>
        <w:ind w:left="851"/>
        <w:jc w:val="both"/>
        <w:rPr>
          <w:rFonts w:ascii="Arial" w:hAnsi="Arial" w:cs="Arial"/>
          <w:color w:val="000000" w:themeColor="text1"/>
        </w:rPr>
      </w:pPr>
    </w:p>
    <w:p w14:paraId="59EF76FB" w14:textId="2C40532A" w:rsidR="001D744C"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[38]</w:t>
      </w:r>
      <w:r>
        <w:rPr>
          <w:rFonts w:ascii="Arial" w:hAnsi="Arial" w:cs="Arial"/>
          <w:color w:val="000000" w:themeColor="text1"/>
        </w:rPr>
        <w:tab/>
      </w:r>
      <w:r w:rsidR="006D0FB1" w:rsidRPr="00AB10E4">
        <w:rPr>
          <w:rFonts w:ascii="Arial" w:hAnsi="Arial" w:cs="Arial"/>
          <w:color w:val="000000" w:themeColor="text1"/>
        </w:rPr>
        <w:t xml:space="preserve">Since s 1(1)(cc) of the Banks Act permits the granting of an </w:t>
      </w:r>
      <w:r w:rsidR="00984B95" w:rsidRPr="00AB10E4">
        <w:rPr>
          <w:rFonts w:ascii="Arial" w:hAnsi="Arial" w:cs="Arial"/>
          <w:color w:val="000000" w:themeColor="text1"/>
        </w:rPr>
        <w:t>Exemption</w:t>
      </w:r>
      <w:r w:rsidR="006D0FB1" w:rsidRPr="00AB10E4">
        <w:rPr>
          <w:rFonts w:ascii="Arial" w:hAnsi="Arial" w:cs="Arial"/>
          <w:color w:val="000000" w:themeColor="text1"/>
        </w:rPr>
        <w:t xml:space="preserve"> with conditions, there is nothing </w:t>
      </w:r>
      <w:r w:rsidR="002A3640" w:rsidRPr="00AB10E4">
        <w:rPr>
          <w:rFonts w:ascii="Arial" w:hAnsi="Arial" w:cs="Arial"/>
          <w:color w:val="000000" w:themeColor="text1"/>
        </w:rPr>
        <w:t xml:space="preserve">irrational in including within the </w:t>
      </w:r>
      <w:r w:rsidR="00984B95" w:rsidRPr="00AB10E4">
        <w:rPr>
          <w:rFonts w:ascii="Arial" w:hAnsi="Arial" w:cs="Arial"/>
          <w:color w:val="000000" w:themeColor="text1"/>
        </w:rPr>
        <w:t>Exemption</w:t>
      </w:r>
      <w:r w:rsidR="002A3640" w:rsidRPr="00AB10E4">
        <w:rPr>
          <w:rFonts w:ascii="Arial" w:hAnsi="Arial" w:cs="Arial"/>
          <w:color w:val="000000" w:themeColor="text1"/>
        </w:rPr>
        <w:t xml:space="preserve"> a statement of the legal consequences of non-compliance.  Paragraph 3.5 is not a condition and as such its inclusion is not irreconcilable with the granting of the </w:t>
      </w:r>
      <w:r w:rsidR="00984B95" w:rsidRPr="00AB10E4">
        <w:rPr>
          <w:rFonts w:ascii="Arial" w:hAnsi="Arial" w:cs="Arial"/>
          <w:color w:val="000000" w:themeColor="text1"/>
        </w:rPr>
        <w:t>Exemption</w:t>
      </w:r>
      <w:r w:rsidR="002A3640" w:rsidRPr="00AB10E4">
        <w:rPr>
          <w:rFonts w:ascii="Arial" w:hAnsi="Arial" w:cs="Arial"/>
          <w:color w:val="000000" w:themeColor="text1"/>
        </w:rPr>
        <w:t>.</w:t>
      </w:r>
    </w:p>
    <w:p w14:paraId="04BBD18B" w14:textId="77777777" w:rsidR="00425731" w:rsidRPr="00425731" w:rsidRDefault="00425731" w:rsidP="00425731">
      <w:pPr>
        <w:pStyle w:val="ListParagraph"/>
        <w:rPr>
          <w:rFonts w:ascii="Arial" w:hAnsi="Arial" w:cs="Arial"/>
          <w:color w:val="000000" w:themeColor="text1"/>
        </w:rPr>
      </w:pPr>
    </w:p>
    <w:p w14:paraId="2EBC314B" w14:textId="6A02BC3F" w:rsidR="00425731"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[39]</w:t>
      </w:r>
      <w:r>
        <w:rPr>
          <w:rFonts w:ascii="Arial" w:hAnsi="Arial" w:cs="Arial"/>
          <w:color w:val="000000" w:themeColor="text1"/>
        </w:rPr>
        <w:tab/>
      </w:r>
      <w:r w:rsidR="00EC30CF" w:rsidRPr="00AB10E4">
        <w:rPr>
          <w:rFonts w:ascii="Arial" w:hAnsi="Arial" w:cs="Arial"/>
          <w:color w:val="000000" w:themeColor="text1"/>
        </w:rPr>
        <w:t>It was argued that paragraph 4.3</w:t>
      </w:r>
      <w:r w:rsidR="0022305A" w:rsidRPr="00AB10E4">
        <w:rPr>
          <w:rFonts w:ascii="Arial" w:hAnsi="Arial" w:cs="Arial"/>
          <w:color w:val="000000" w:themeColor="text1"/>
        </w:rPr>
        <w:t>,</w:t>
      </w:r>
      <w:r w:rsidR="00EC30CF" w:rsidRPr="00AB10E4">
        <w:rPr>
          <w:rFonts w:ascii="Arial" w:hAnsi="Arial" w:cs="Arial"/>
          <w:color w:val="000000" w:themeColor="text1"/>
        </w:rPr>
        <w:t xml:space="preserve"> which deals with the authorization to establish a bank or mutual bank is inconsistent with the notion of an </w:t>
      </w:r>
      <w:r w:rsidR="00984B95" w:rsidRPr="00AB10E4">
        <w:rPr>
          <w:rFonts w:ascii="Arial" w:hAnsi="Arial" w:cs="Arial"/>
          <w:color w:val="000000" w:themeColor="text1"/>
        </w:rPr>
        <w:t>Exemption</w:t>
      </w:r>
      <w:r w:rsidR="00EC30CF" w:rsidRPr="00AB10E4">
        <w:rPr>
          <w:rFonts w:ascii="Arial" w:hAnsi="Arial" w:cs="Arial"/>
          <w:color w:val="000000" w:themeColor="text1"/>
        </w:rPr>
        <w:t xml:space="preserve"> in the present circumstances.  The argument on behalf of Ithala was that an </w:t>
      </w:r>
      <w:r w:rsidR="00984B95" w:rsidRPr="00AB10E4">
        <w:rPr>
          <w:rFonts w:ascii="Arial" w:hAnsi="Arial" w:cs="Arial"/>
          <w:color w:val="000000" w:themeColor="text1"/>
        </w:rPr>
        <w:t>Exemption</w:t>
      </w:r>
      <w:r w:rsidR="00EC30CF" w:rsidRPr="00AB10E4">
        <w:rPr>
          <w:rFonts w:ascii="Arial" w:hAnsi="Arial" w:cs="Arial"/>
          <w:color w:val="000000" w:themeColor="text1"/>
        </w:rPr>
        <w:t xml:space="preserve"> from the Banks Act</w:t>
      </w:r>
      <w:r w:rsidR="0022305A" w:rsidRPr="00AB10E4">
        <w:rPr>
          <w:rFonts w:ascii="Arial" w:hAnsi="Arial" w:cs="Arial"/>
          <w:color w:val="000000" w:themeColor="text1"/>
        </w:rPr>
        <w:t>,</w:t>
      </w:r>
      <w:r w:rsidR="00EC30CF" w:rsidRPr="00AB10E4">
        <w:rPr>
          <w:rFonts w:ascii="Arial" w:hAnsi="Arial" w:cs="Arial"/>
          <w:color w:val="000000" w:themeColor="text1"/>
        </w:rPr>
        <w:t xml:space="preserve"> cannot through the imposition of a condition</w:t>
      </w:r>
      <w:r w:rsidR="0022305A" w:rsidRPr="00AB10E4">
        <w:rPr>
          <w:rFonts w:ascii="Arial" w:hAnsi="Arial" w:cs="Arial"/>
          <w:color w:val="000000" w:themeColor="text1"/>
        </w:rPr>
        <w:t>,</w:t>
      </w:r>
      <w:r w:rsidR="00EC30CF" w:rsidRPr="00AB10E4">
        <w:rPr>
          <w:rFonts w:ascii="Arial" w:hAnsi="Arial" w:cs="Arial"/>
          <w:color w:val="000000" w:themeColor="text1"/>
        </w:rPr>
        <w:t xml:space="preserve"> be used to achieve something diametrically opposite being enforcement of compliance with the provisions of the Banks Act by compelling registration in terms of that Act.</w:t>
      </w:r>
    </w:p>
    <w:p w14:paraId="0D18D085" w14:textId="77777777" w:rsidR="00425731" w:rsidRPr="00425731" w:rsidRDefault="00425731" w:rsidP="00425731">
      <w:pPr>
        <w:pStyle w:val="ListParagraph"/>
        <w:rPr>
          <w:rFonts w:ascii="Arial" w:hAnsi="Arial" w:cs="Arial"/>
          <w:color w:val="000000" w:themeColor="text1"/>
        </w:rPr>
      </w:pPr>
    </w:p>
    <w:p w14:paraId="2189AB6C" w14:textId="7625F7F8" w:rsidR="00DB2D1A"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[40]</w:t>
      </w:r>
      <w:r>
        <w:rPr>
          <w:rFonts w:ascii="Arial" w:hAnsi="Arial" w:cs="Arial"/>
          <w:color w:val="000000" w:themeColor="text1"/>
        </w:rPr>
        <w:tab/>
      </w:r>
      <w:r w:rsidR="00EC30CF" w:rsidRPr="00AB10E4">
        <w:rPr>
          <w:rFonts w:ascii="Arial" w:hAnsi="Arial" w:cs="Arial"/>
          <w:color w:val="000000" w:themeColor="text1"/>
        </w:rPr>
        <w:t>It was argued that the Financial Sector Regulation Act</w:t>
      </w:r>
      <w:r w:rsidR="002239B3">
        <w:rPr>
          <w:rStyle w:val="FootnoteReference"/>
          <w:rFonts w:ascii="Arial" w:hAnsi="Arial" w:cs="Arial"/>
          <w:color w:val="000000" w:themeColor="text1"/>
        </w:rPr>
        <w:footnoteReference w:id="15"/>
      </w:r>
      <w:r w:rsidR="00EC30CF" w:rsidRPr="00AB10E4">
        <w:rPr>
          <w:rFonts w:ascii="Arial" w:hAnsi="Arial" w:cs="Arial"/>
          <w:color w:val="000000" w:themeColor="text1"/>
        </w:rPr>
        <w:t xml:space="preserve"> (FSR Act)</w:t>
      </w:r>
      <w:r w:rsidR="00DB2D1A" w:rsidRPr="00AB10E4">
        <w:rPr>
          <w:rFonts w:ascii="Arial" w:hAnsi="Arial" w:cs="Arial"/>
          <w:color w:val="000000" w:themeColor="text1"/>
        </w:rPr>
        <w:t xml:space="preserve"> provides the Prudential Authority with extensive enforcement powers and that the exercise of any power should be in terms of that Act.  The use by the Prudential Authority of s 1(1)(cc) of the Banks Act to impose conditions on Ithala was improper and this should necessarily have occurred within the powers conferred in terms of the FSR Act.</w:t>
      </w:r>
    </w:p>
    <w:p w14:paraId="3982121F" w14:textId="77777777" w:rsidR="00DB2D1A" w:rsidRPr="00DB2D1A" w:rsidRDefault="00DB2D1A" w:rsidP="00DB2D1A">
      <w:pPr>
        <w:pStyle w:val="ListParagraph"/>
        <w:rPr>
          <w:rFonts w:ascii="Arial" w:hAnsi="Arial" w:cs="Arial"/>
          <w:color w:val="000000" w:themeColor="text1"/>
        </w:rPr>
      </w:pPr>
    </w:p>
    <w:p w14:paraId="275694BD" w14:textId="0D1B86B5" w:rsidR="00DB2D1A"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946762" w:rsidRPr="00AB10E4">
        <w:rPr>
          <w:rFonts w:ascii="Arial" w:hAnsi="Arial" w:cs="Arial"/>
          <w:color w:val="000000" w:themeColor="text1"/>
        </w:rPr>
        <w:t xml:space="preserve">This argument was predicated on the assumption that the Prudential Authority had no intention to exempt Ithala but rather to force compliance with the Banks Act through the imposition of conditions. </w:t>
      </w:r>
      <w:r w:rsidR="002F69D1" w:rsidRPr="00AB10E4">
        <w:rPr>
          <w:rFonts w:ascii="Arial" w:hAnsi="Arial" w:cs="Arial"/>
          <w:color w:val="000000" w:themeColor="text1"/>
        </w:rPr>
        <w:t xml:space="preserve"> Under</w:t>
      </w:r>
      <w:r w:rsidR="004F4C69" w:rsidRPr="00AB10E4">
        <w:rPr>
          <w:rFonts w:ascii="Arial" w:hAnsi="Arial" w:cs="Arial"/>
          <w:color w:val="000000" w:themeColor="text1"/>
        </w:rPr>
        <w:t>-</w:t>
      </w:r>
      <w:r w:rsidR="002F69D1" w:rsidRPr="00AB10E4">
        <w:rPr>
          <w:rFonts w:ascii="Arial" w:hAnsi="Arial" w:cs="Arial"/>
          <w:color w:val="000000" w:themeColor="text1"/>
        </w:rPr>
        <w:t xml:space="preserve">pinning this argument, was a </w:t>
      </w:r>
      <w:r w:rsidR="004F4C69" w:rsidRPr="00AB10E4">
        <w:rPr>
          <w:rFonts w:ascii="Arial" w:hAnsi="Arial" w:cs="Arial"/>
          <w:color w:val="000000" w:themeColor="text1"/>
        </w:rPr>
        <w:t>‘</w:t>
      </w:r>
      <w:r w:rsidR="002F69D1" w:rsidRPr="00AB10E4">
        <w:rPr>
          <w:rFonts w:ascii="Arial" w:hAnsi="Arial" w:cs="Arial"/>
          <w:color w:val="000000" w:themeColor="text1"/>
        </w:rPr>
        <w:t>legitimate expectation</w:t>
      </w:r>
      <w:r w:rsidR="004F4C69" w:rsidRPr="00AB10E4">
        <w:rPr>
          <w:rFonts w:ascii="Arial" w:hAnsi="Arial" w:cs="Arial"/>
          <w:color w:val="000000" w:themeColor="text1"/>
        </w:rPr>
        <w:t>’</w:t>
      </w:r>
      <w:r w:rsidR="002F69D1" w:rsidRPr="00AB10E4">
        <w:rPr>
          <w:rFonts w:ascii="Arial" w:hAnsi="Arial" w:cs="Arial"/>
          <w:color w:val="000000" w:themeColor="text1"/>
        </w:rPr>
        <w:t xml:space="preserve"> by Ithala to the grant of an unconditional Exemption predicated on the fact that even though conditions were imposed, there would be no concomitant obligation to comply with these.</w:t>
      </w:r>
      <w:r w:rsidR="002F69D1">
        <w:rPr>
          <w:rStyle w:val="FootnoteReference"/>
          <w:rFonts w:ascii="Arial" w:hAnsi="Arial" w:cs="Arial"/>
          <w:color w:val="000000" w:themeColor="text1"/>
        </w:rPr>
        <w:footnoteReference w:id="16"/>
      </w:r>
    </w:p>
    <w:p w14:paraId="3F94D60D" w14:textId="3BD4147E" w:rsidR="00DB2D1A" w:rsidRDefault="00DB2D1A" w:rsidP="00DB2D1A">
      <w:pPr>
        <w:pStyle w:val="ListParagraph"/>
        <w:rPr>
          <w:rFonts w:ascii="Arial" w:hAnsi="Arial" w:cs="Arial"/>
          <w:color w:val="000000" w:themeColor="text1"/>
        </w:rPr>
      </w:pPr>
    </w:p>
    <w:p w14:paraId="5222FDF7" w14:textId="2375CA05" w:rsidR="00B9522C" w:rsidRDefault="00B9522C" w:rsidP="00DB2D1A">
      <w:pPr>
        <w:pStyle w:val="ListParagraph"/>
        <w:rPr>
          <w:rFonts w:ascii="Arial" w:hAnsi="Arial" w:cs="Arial"/>
          <w:color w:val="000000" w:themeColor="text1"/>
        </w:rPr>
      </w:pPr>
    </w:p>
    <w:p w14:paraId="78D3DAC2" w14:textId="727C4679" w:rsidR="00B9522C" w:rsidRDefault="00B9522C" w:rsidP="00DB2D1A">
      <w:pPr>
        <w:pStyle w:val="ListParagraph"/>
        <w:rPr>
          <w:rFonts w:ascii="Arial" w:hAnsi="Arial" w:cs="Arial"/>
          <w:color w:val="000000" w:themeColor="text1"/>
        </w:rPr>
      </w:pPr>
    </w:p>
    <w:p w14:paraId="24A895DB" w14:textId="7289BCCF" w:rsidR="00B9522C" w:rsidRDefault="00B9522C" w:rsidP="00DB2D1A">
      <w:pPr>
        <w:pStyle w:val="ListParagraph"/>
        <w:rPr>
          <w:rFonts w:ascii="Arial" w:hAnsi="Arial" w:cs="Arial"/>
          <w:color w:val="000000" w:themeColor="text1"/>
        </w:rPr>
      </w:pPr>
    </w:p>
    <w:p w14:paraId="291D51A1" w14:textId="64D14DDA" w:rsidR="00B9522C" w:rsidRDefault="00B9522C" w:rsidP="00DB2D1A">
      <w:pPr>
        <w:pStyle w:val="ListParagraph"/>
        <w:rPr>
          <w:rFonts w:ascii="Arial" w:hAnsi="Arial" w:cs="Arial"/>
          <w:color w:val="000000" w:themeColor="text1"/>
        </w:rPr>
      </w:pPr>
    </w:p>
    <w:p w14:paraId="4CA47F28" w14:textId="5DAF0F00" w:rsidR="00B9522C" w:rsidRDefault="00B9522C" w:rsidP="00DB2D1A">
      <w:pPr>
        <w:pStyle w:val="ListParagraph"/>
        <w:rPr>
          <w:rFonts w:ascii="Arial" w:hAnsi="Arial" w:cs="Arial"/>
          <w:color w:val="000000" w:themeColor="text1"/>
        </w:rPr>
      </w:pPr>
    </w:p>
    <w:p w14:paraId="1FDF5B4D" w14:textId="77777777" w:rsidR="00B9522C" w:rsidRPr="00DB2D1A" w:rsidRDefault="00B9522C" w:rsidP="00DB2D1A">
      <w:pPr>
        <w:pStyle w:val="ListParagraph"/>
        <w:rPr>
          <w:rFonts w:ascii="Arial" w:hAnsi="Arial" w:cs="Arial"/>
          <w:color w:val="000000" w:themeColor="text1"/>
        </w:rPr>
      </w:pPr>
    </w:p>
    <w:p w14:paraId="0F35B42C" w14:textId="03D44C1C" w:rsidR="00DB2D1A" w:rsidRPr="00AB10E4" w:rsidRDefault="00AB10E4" w:rsidP="00AB10E4">
      <w:pPr>
        <w:spacing w:line="360" w:lineRule="auto"/>
        <w:ind w:left="851" w:hanging="851"/>
        <w:jc w:val="both"/>
        <w:rPr>
          <w:rFonts w:ascii="Arial" w:hAnsi="Arial" w:cs="Arial"/>
          <w:color w:val="000000" w:themeColor="text1"/>
        </w:rPr>
      </w:pPr>
      <w:r w:rsidRPr="00A30E76">
        <w:rPr>
          <w:rFonts w:ascii="Arial" w:hAnsi="Arial" w:cs="Arial"/>
          <w:color w:val="000000" w:themeColor="text1"/>
        </w:rPr>
        <w:t>[42]</w:t>
      </w:r>
      <w:r w:rsidRPr="00A30E76">
        <w:rPr>
          <w:rFonts w:ascii="Arial" w:hAnsi="Arial" w:cs="Arial"/>
          <w:color w:val="000000" w:themeColor="text1"/>
        </w:rPr>
        <w:tab/>
      </w:r>
      <w:r w:rsidR="00330E4B" w:rsidRPr="00AB10E4">
        <w:rPr>
          <w:rFonts w:ascii="Arial" w:hAnsi="Arial" w:cs="Arial"/>
          <w:color w:val="000000" w:themeColor="text1"/>
        </w:rPr>
        <w:t xml:space="preserve">Ithala argued that the imposition of condition 4.3 </w:t>
      </w:r>
      <w:r w:rsidR="00C270BB" w:rsidRPr="00AB10E4">
        <w:rPr>
          <w:rFonts w:ascii="Arial" w:hAnsi="Arial" w:cs="Arial"/>
          <w:color w:val="000000" w:themeColor="text1"/>
        </w:rPr>
        <w:t xml:space="preserve">created an </w:t>
      </w:r>
      <w:r w:rsidR="00330E4B" w:rsidRPr="00AB10E4">
        <w:rPr>
          <w:rFonts w:ascii="Arial" w:hAnsi="Arial" w:cs="Arial"/>
          <w:color w:val="000000" w:themeColor="text1"/>
        </w:rPr>
        <w:t>impossibility</w:t>
      </w:r>
      <w:r w:rsidR="00C270BB" w:rsidRPr="00AB10E4">
        <w:rPr>
          <w:rFonts w:ascii="Arial" w:hAnsi="Arial" w:cs="Arial"/>
          <w:color w:val="000000" w:themeColor="text1"/>
        </w:rPr>
        <w:t xml:space="preserve"> on the part of Ithala </w:t>
      </w:r>
      <w:r w:rsidR="00C270BB" w:rsidRPr="00AB10E4">
        <w:rPr>
          <w:rFonts w:ascii="Arial" w:hAnsi="Arial" w:cs="Arial"/>
          <w:i/>
          <w:iCs/>
          <w:color w:val="000000" w:themeColor="text1"/>
        </w:rPr>
        <w:t>inter alia</w:t>
      </w:r>
      <w:r w:rsidR="00C270BB" w:rsidRPr="00AB10E4">
        <w:rPr>
          <w:rFonts w:ascii="Arial" w:hAnsi="Arial" w:cs="Arial"/>
          <w:color w:val="000000" w:themeColor="text1"/>
        </w:rPr>
        <w:t xml:space="preserve"> because the Banks Act requires the business of a bank to be conducted by a public company and Ithala, being a provincial government business enterprise falls within the definition of state-owned company and does not fall within the definition of a public company.</w:t>
      </w:r>
      <w:r w:rsidR="00C270BB">
        <w:rPr>
          <w:rStyle w:val="FootnoteReference"/>
          <w:rFonts w:ascii="Arial" w:hAnsi="Arial" w:cs="Arial"/>
          <w:color w:val="000000" w:themeColor="text1"/>
        </w:rPr>
        <w:footnoteReference w:id="17"/>
      </w:r>
      <w:r w:rsidR="00C270BB" w:rsidRPr="00AB10E4">
        <w:rPr>
          <w:rFonts w:ascii="Arial" w:hAnsi="Arial" w:cs="Arial"/>
          <w:color w:val="000000" w:themeColor="text1"/>
        </w:rPr>
        <w:t xml:space="preserve">  </w:t>
      </w:r>
      <w:r w:rsidR="00216296" w:rsidRPr="00AB10E4">
        <w:rPr>
          <w:rFonts w:ascii="Arial" w:hAnsi="Arial" w:cs="Arial"/>
          <w:color w:val="000000" w:themeColor="text1"/>
        </w:rPr>
        <w:t>For this reason, Ithala argued that it cannot apply for and obtain a banking license under the Banks Act.</w:t>
      </w:r>
      <w:r w:rsidR="006F261A" w:rsidRPr="00AB10E4">
        <w:rPr>
          <w:rFonts w:ascii="Arial" w:hAnsi="Arial" w:cs="Arial"/>
          <w:color w:val="000000" w:themeColor="text1"/>
        </w:rPr>
        <w:t xml:space="preserve">  Following on from this</w:t>
      </w:r>
      <w:r w:rsidR="00A30E76" w:rsidRPr="00AB10E4">
        <w:rPr>
          <w:rFonts w:ascii="Arial" w:hAnsi="Arial" w:cs="Arial"/>
          <w:color w:val="000000" w:themeColor="text1"/>
        </w:rPr>
        <w:t xml:space="preserve"> “impossibility”, </w:t>
      </w:r>
      <w:r w:rsidR="006F261A" w:rsidRPr="00AB10E4">
        <w:rPr>
          <w:rFonts w:ascii="Arial" w:hAnsi="Arial" w:cs="Arial"/>
          <w:color w:val="000000" w:themeColor="text1"/>
        </w:rPr>
        <w:t xml:space="preserve">condition </w:t>
      </w:r>
      <w:r w:rsidR="00A30E76" w:rsidRPr="00AB10E4">
        <w:rPr>
          <w:rFonts w:ascii="Arial" w:hAnsi="Arial" w:cs="Arial"/>
          <w:color w:val="000000" w:themeColor="text1"/>
        </w:rPr>
        <w:t xml:space="preserve">4.8 serves to provide for the winding down of </w:t>
      </w:r>
      <w:r w:rsidR="006F261A" w:rsidRPr="00AB10E4">
        <w:rPr>
          <w:rFonts w:ascii="Arial" w:hAnsi="Arial" w:cs="Arial"/>
          <w:color w:val="000000" w:themeColor="text1"/>
        </w:rPr>
        <w:t>Ithala’s deposit taking activities.</w:t>
      </w:r>
      <w:r w:rsidR="00A30E76" w:rsidRPr="00AB10E4">
        <w:rPr>
          <w:rFonts w:ascii="Arial" w:hAnsi="Arial" w:cs="Arial"/>
          <w:color w:val="000000" w:themeColor="text1"/>
        </w:rPr>
        <w:t xml:space="preserve">  On this basis, the imposition of both conditions 4.3 and 4.8 are both irrational and without </w:t>
      </w:r>
      <w:r w:rsidR="00A30E76" w:rsidRPr="00AB10E4">
        <w:rPr>
          <w:rFonts w:ascii="Arial" w:hAnsi="Arial" w:cs="Arial"/>
          <w:i/>
          <w:iCs/>
          <w:color w:val="000000" w:themeColor="text1"/>
        </w:rPr>
        <w:t>bona fides</w:t>
      </w:r>
      <w:r w:rsidR="00A30E76" w:rsidRPr="00AB10E4">
        <w:rPr>
          <w:rFonts w:ascii="Arial" w:hAnsi="Arial" w:cs="Arial"/>
          <w:color w:val="000000" w:themeColor="text1"/>
        </w:rPr>
        <w:t>.</w:t>
      </w:r>
    </w:p>
    <w:p w14:paraId="1A4DB4DC" w14:textId="77777777" w:rsidR="00DB2D1A" w:rsidRPr="00DB2D1A" w:rsidRDefault="00DB2D1A" w:rsidP="00DB2D1A">
      <w:pPr>
        <w:pStyle w:val="ListParagraph"/>
        <w:rPr>
          <w:rFonts w:ascii="Arial" w:hAnsi="Arial" w:cs="Arial"/>
          <w:color w:val="000000" w:themeColor="text1"/>
        </w:rPr>
      </w:pPr>
    </w:p>
    <w:p w14:paraId="7C4A3DAC" w14:textId="0141DEE1" w:rsidR="00C270BB"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7A6E43" w:rsidRPr="00AB10E4">
        <w:rPr>
          <w:rFonts w:ascii="Arial" w:hAnsi="Arial" w:cs="Arial"/>
          <w:color w:val="000000" w:themeColor="text1"/>
        </w:rPr>
        <w:t xml:space="preserve">This argument considered </w:t>
      </w:r>
      <w:r w:rsidR="007A6E43" w:rsidRPr="00AB10E4">
        <w:rPr>
          <w:rFonts w:ascii="Arial" w:hAnsi="Arial" w:cs="Arial"/>
          <w:i/>
          <w:iCs/>
          <w:color w:val="000000" w:themeColor="text1"/>
        </w:rPr>
        <w:t>in vacuo</w:t>
      </w:r>
      <w:r w:rsidR="007A6E43" w:rsidRPr="00AB10E4">
        <w:rPr>
          <w:rFonts w:ascii="Arial" w:hAnsi="Arial" w:cs="Arial"/>
          <w:color w:val="000000" w:themeColor="text1"/>
        </w:rPr>
        <w:t xml:space="preserve"> is appealing.  However, condition 4.3 is not circumscribed in its terms by Ithala only having to obtain authori</w:t>
      </w:r>
      <w:r w:rsidR="004F4C69" w:rsidRPr="00AB10E4">
        <w:rPr>
          <w:rFonts w:ascii="Arial" w:hAnsi="Arial" w:cs="Arial"/>
          <w:color w:val="000000" w:themeColor="text1"/>
        </w:rPr>
        <w:t>s</w:t>
      </w:r>
      <w:r w:rsidR="007A6E43" w:rsidRPr="00AB10E4">
        <w:rPr>
          <w:rFonts w:ascii="Arial" w:hAnsi="Arial" w:cs="Arial"/>
          <w:color w:val="000000" w:themeColor="text1"/>
        </w:rPr>
        <w:t>ation to establish a bank or mutual bank.  Paragraph 4.3 in its entirety provides:</w:t>
      </w:r>
    </w:p>
    <w:p w14:paraId="786CDF54" w14:textId="77777777" w:rsidR="007A6E43" w:rsidRPr="007A6E43" w:rsidRDefault="007A6E43" w:rsidP="007A6E43">
      <w:pPr>
        <w:pStyle w:val="ListParagraph"/>
        <w:rPr>
          <w:rFonts w:ascii="Arial" w:hAnsi="Arial" w:cs="Arial"/>
          <w:color w:val="000000" w:themeColor="text1"/>
        </w:rPr>
      </w:pPr>
    </w:p>
    <w:p w14:paraId="3CF0AEC0" w14:textId="703D9B74" w:rsidR="007A6E43" w:rsidRPr="00E1740C" w:rsidRDefault="004F4C69" w:rsidP="00E1740C">
      <w:pPr>
        <w:pStyle w:val="ListParagraph"/>
        <w:spacing w:line="360" w:lineRule="auto"/>
        <w:ind w:left="2268" w:hanging="850"/>
        <w:jc w:val="both"/>
        <w:rPr>
          <w:rFonts w:ascii="Arial" w:hAnsi="Arial" w:cs="Arial"/>
          <w:i/>
          <w:iCs/>
          <w:color w:val="000000" w:themeColor="text1"/>
          <w:sz w:val="22"/>
          <w:szCs w:val="22"/>
        </w:rPr>
      </w:pPr>
      <w:r>
        <w:rPr>
          <w:rFonts w:ascii="Arial" w:hAnsi="Arial" w:cs="Arial"/>
          <w:i/>
          <w:iCs/>
          <w:color w:val="000000" w:themeColor="text1"/>
          <w:sz w:val="22"/>
          <w:szCs w:val="22"/>
        </w:rPr>
        <w:t>‘</w:t>
      </w:r>
      <w:r w:rsidR="007A6E43" w:rsidRPr="00E1740C">
        <w:rPr>
          <w:rFonts w:ascii="Arial" w:hAnsi="Arial" w:cs="Arial"/>
          <w:i/>
          <w:iCs/>
          <w:color w:val="000000" w:themeColor="text1"/>
          <w:sz w:val="22"/>
          <w:szCs w:val="22"/>
        </w:rPr>
        <w:t>4.3.1</w:t>
      </w:r>
      <w:r w:rsidR="007A6E43" w:rsidRPr="00E1740C">
        <w:rPr>
          <w:rFonts w:ascii="Arial" w:hAnsi="Arial" w:cs="Arial"/>
          <w:i/>
          <w:iCs/>
          <w:color w:val="000000" w:themeColor="text1"/>
          <w:sz w:val="22"/>
          <w:szCs w:val="22"/>
        </w:rPr>
        <w:tab/>
        <w:t>Ithala shall obtain authorization from the Prudential Authority before 30 June 2023 to establish a bank as provided for in section 13 of the Banks Act or a mutual bank as provided for in section 14 of the Mutual Banks Act.</w:t>
      </w:r>
    </w:p>
    <w:p w14:paraId="04EEEB8B" w14:textId="5CCED74F"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p>
    <w:p w14:paraId="0626EB29" w14:textId="3D2D77C2"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r w:rsidRPr="00E1740C">
        <w:rPr>
          <w:rFonts w:ascii="Arial" w:hAnsi="Arial" w:cs="Arial"/>
          <w:i/>
          <w:iCs/>
          <w:color w:val="000000" w:themeColor="text1"/>
          <w:sz w:val="22"/>
          <w:szCs w:val="22"/>
        </w:rPr>
        <w:t>4.3.2</w:t>
      </w:r>
      <w:r w:rsidRPr="00E1740C">
        <w:rPr>
          <w:rFonts w:ascii="Arial" w:hAnsi="Arial" w:cs="Arial"/>
          <w:i/>
          <w:iCs/>
          <w:color w:val="000000" w:themeColor="text1"/>
          <w:sz w:val="22"/>
          <w:szCs w:val="22"/>
        </w:rPr>
        <w:tab/>
        <w:t>The requirement to obtain authori</w:t>
      </w:r>
      <w:r w:rsidR="004F4C69">
        <w:rPr>
          <w:rFonts w:ascii="Arial" w:hAnsi="Arial" w:cs="Arial"/>
          <w:i/>
          <w:iCs/>
          <w:color w:val="000000" w:themeColor="text1"/>
          <w:sz w:val="22"/>
          <w:szCs w:val="22"/>
        </w:rPr>
        <w:t>s</w:t>
      </w:r>
      <w:r w:rsidRPr="00E1740C">
        <w:rPr>
          <w:rFonts w:ascii="Arial" w:hAnsi="Arial" w:cs="Arial"/>
          <w:i/>
          <w:iCs/>
          <w:color w:val="000000" w:themeColor="text1"/>
          <w:sz w:val="22"/>
          <w:szCs w:val="22"/>
        </w:rPr>
        <w:t>ation to establish a bank or mutual bank does not in any way imply that Ithala will obtain such authorization.</w:t>
      </w:r>
    </w:p>
    <w:p w14:paraId="70ADB1EA" w14:textId="528F5AEA"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p>
    <w:p w14:paraId="609F950D" w14:textId="05A97288"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r w:rsidRPr="00E1740C">
        <w:rPr>
          <w:rFonts w:ascii="Arial" w:hAnsi="Arial" w:cs="Arial"/>
          <w:i/>
          <w:iCs/>
          <w:color w:val="000000" w:themeColor="text1"/>
          <w:sz w:val="22"/>
          <w:szCs w:val="22"/>
        </w:rPr>
        <w:t>4.3.3.</w:t>
      </w:r>
      <w:r w:rsidRPr="00E1740C">
        <w:rPr>
          <w:rFonts w:ascii="Arial" w:hAnsi="Arial" w:cs="Arial"/>
          <w:i/>
          <w:iCs/>
          <w:color w:val="000000" w:themeColor="text1"/>
          <w:sz w:val="22"/>
          <w:szCs w:val="22"/>
        </w:rPr>
        <w:tab/>
        <w:t xml:space="preserve">Obtaining authorization to establish a bank or mutual bank is dependent on Ithala complying </w:t>
      </w:r>
      <w:r w:rsidR="00EE1D6B">
        <w:rPr>
          <w:rFonts w:ascii="Arial" w:hAnsi="Arial" w:cs="Arial"/>
          <w:i/>
          <w:iCs/>
          <w:color w:val="000000" w:themeColor="text1"/>
          <w:sz w:val="22"/>
          <w:szCs w:val="22"/>
        </w:rPr>
        <w:t xml:space="preserve">with </w:t>
      </w:r>
      <w:r w:rsidRPr="00E1740C">
        <w:rPr>
          <w:rFonts w:ascii="Arial" w:hAnsi="Arial" w:cs="Arial"/>
          <w:i/>
          <w:iCs/>
          <w:color w:val="000000" w:themeColor="text1"/>
          <w:sz w:val="22"/>
          <w:szCs w:val="22"/>
        </w:rPr>
        <w:t>the requirements of the Banks Act or the Mutual Banks Act, as applicable.</w:t>
      </w:r>
    </w:p>
    <w:p w14:paraId="392C7430" w14:textId="1EC08684"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p>
    <w:p w14:paraId="5AF54287" w14:textId="3C18D8E4" w:rsidR="007A6E43" w:rsidRPr="00E1740C" w:rsidRDefault="007A6E43" w:rsidP="00E1740C">
      <w:pPr>
        <w:pStyle w:val="ListParagraph"/>
        <w:spacing w:line="360" w:lineRule="auto"/>
        <w:ind w:left="2268" w:hanging="850"/>
        <w:jc w:val="both"/>
        <w:rPr>
          <w:rFonts w:ascii="Arial" w:hAnsi="Arial" w:cs="Arial"/>
          <w:i/>
          <w:iCs/>
          <w:color w:val="000000" w:themeColor="text1"/>
          <w:sz w:val="22"/>
          <w:szCs w:val="22"/>
        </w:rPr>
      </w:pPr>
      <w:r w:rsidRPr="00E1740C">
        <w:rPr>
          <w:rFonts w:ascii="Arial" w:hAnsi="Arial" w:cs="Arial"/>
          <w:i/>
          <w:iCs/>
          <w:color w:val="000000" w:themeColor="text1"/>
          <w:sz w:val="22"/>
          <w:szCs w:val="22"/>
        </w:rPr>
        <w:t>4.3.4</w:t>
      </w:r>
      <w:r w:rsidRPr="00E1740C">
        <w:rPr>
          <w:rFonts w:ascii="Arial" w:hAnsi="Arial" w:cs="Arial"/>
          <w:i/>
          <w:iCs/>
          <w:color w:val="000000" w:themeColor="text1"/>
          <w:sz w:val="22"/>
          <w:szCs w:val="22"/>
        </w:rPr>
        <w:tab/>
        <w:t>Ithala shall be required to submit its application for authori</w:t>
      </w:r>
      <w:r w:rsidR="004F4C69">
        <w:rPr>
          <w:rFonts w:ascii="Arial" w:hAnsi="Arial" w:cs="Arial"/>
          <w:i/>
          <w:iCs/>
          <w:color w:val="000000" w:themeColor="text1"/>
          <w:sz w:val="22"/>
          <w:szCs w:val="22"/>
        </w:rPr>
        <w:t>s</w:t>
      </w:r>
      <w:r w:rsidRPr="00E1740C">
        <w:rPr>
          <w:rFonts w:ascii="Arial" w:hAnsi="Arial" w:cs="Arial"/>
          <w:i/>
          <w:iCs/>
          <w:color w:val="000000" w:themeColor="text1"/>
          <w:sz w:val="22"/>
          <w:szCs w:val="22"/>
        </w:rPr>
        <w:t xml:space="preserve">ation as referred to in 4.3.1 sufficiently in advance of 30 June 2023 so as to ensure that such application can be </w:t>
      </w:r>
      <w:r w:rsidR="00E1740C" w:rsidRPr="00E1740C">
        <w:rPr>
          <w:rFonts w:ascii="Arial" w:hAnsi="Arial" w:cs="Arial"/>
          <w:i/>
          <w:iCs/>
          <w:color w:val="000000" w:themeColor="text1"/>
          <w:sz w:val="22"/>
          <w:szCs w:val="22"/>
        </w:rPr>
        <w:t>considered,</w:t>
      </w:r>
      <w:r w:rsidRPr="00E1740C">
        <w:rPr>
          <w:rFonts w:ascii="Arial" w:hAnsi="Arial" w:cs="Arial"/>
          <w:i/>
          <w:iCs/>
          <w:color w:val="000000" w:themeColor="text1"/>
          <w:sz w:val="22"/>
          <w:szCs w:val="22"/>
        </w:rPr>
        <w:t xml:space="preserve"> and a decision taken by the Prudential Authority in relation thereto prior to such date</w:t>
      </w:r>
      <w:r w:rsidR="004F4C69">
        <w:rPr>
          <w:rFonts w:ascii="Arial" w:hAnsi="Arial" w:cs="Arial"/>
          <w:i/>
          <w:iCs/>
          <w:color w:val="000000" w:themeColor="text1"/>
          <w:sz w:val="22"/>
          <w:szCs w:val="22"/>
        </w:rPr>
        <w:t>’</w:t>
      </w:r>
      <w:r w:rsidRPr="00E1740C">
        <w:rPr>
          <w:rFonts w:ascii="Arial" w:hAnsi="Arial" w:cs="Arial"/>
          <w:i/>
          <w:iCs/>
          <w:color w:val="000000" w:themeColor="text1"/>
          <w:sz w:val="22"/>
          <w:szCs w:val="22"/>
        </w:rPr>
        <w:t>.</w:t>
      </w:r>
    </w:p>
    <w:p w14:paraId="71A5CDA6" w14:textId="56BE6CD1" w:rsidR="007A6E43" w:rsidRDefault="007A6E43" w:rsidP="007A6E43">
      <w:pPr>
        <w:pStyle w:val="ListParagraph"/>
        <w:spacing w:line="360" w:lineRule="auto"/>
        <w:ind w:left="851"/>
        <w:jc w:val="both"/>
        <w:rPr>
          <w:rFonts w:ascii="Arial" w:hAnsi="Arial" w:cs="Arial"/>
          <w:color w:val="000000" w:themeColor="text1"/>
        </w:rPr>
      </w:pPr>
    </w:p>
    <w:p w14:paraId="62617194" w14:textId="4F4F2AEF" w:rsidR="00B9522C" w:rsidRDefault="00B9522C" w:rsidP="007A6E43">
      <w:pPr>
        <w:pStyle w:val="ListParagraph"/>
        <w:spacing w:line="360" w:lineRule="auto"/>
        <w:ind w:left="851"/>
        <w:jc w:val="both"/>
        <w:rPr>
          <w:rFonts w:ascii="Arial" w:hAnsi="Arial" w:cs="Arial"/>
          <w:color w:val="000000" w:themeColor="text1"/>
        </w:rPr>
      </w:pPr>
    </w:p>
    <w:p w14:paraId="2B2EE971" w14:textId="41BE6CFE" w:rsidR="00B9522C" w:rsidRDefault="00B9522C" w:rsidP="007A6E43">
      <w:pPr>
        <w:pStyle w:val="ListParagraph"/>
        <w:spacing w:line="360" w:lineRule="auto"/>
        <w:ind w:left="851"/>
        <w:jc w:val="both"/>
        <w:rPr>
          <w:rFonts w:ascii="Arial" w:hAnsi="Arial" w:cs="Arial"/>
          <w:color w:val="000000" w:themeColor="text1"/>
        </w:rPr>
      </w:pPr>
    </w:p>
    <w:p w14:paraId="4168170D" w14:textId="77777777" w:rsidR="00B9522C" w:rsidRPr="007A6E43" w:rsidRDefault="00B9522C" w:rsidP="007A6E43">
      <w:pPr>
        <w:pStyle w:val="ListParagraph"/>
        <w:spacing w:line="360" w:lineRule="auto"/>
        <w:ind w:left="851"/>
        <w:jc w:val="both"/>
        <w:rPr>
          <w:rFonts w:ascii="Arial" w:hAnsi="Arial" w:cs="Arial"/>
          <w:color w:val="000000" w:themeColor="text1"/>
        </w:rPr>
      </w:pPr>
    </w:p>
    <w:p w14:paraId="5699576D" w14:textId="5EC1CEFE" w:rsidR="00BB0EFD"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[44]</w:t>
      </w:r>
      <w:r>
        <w:rPr>
          <w:rFonts w:ascii="Arial" w:hAnsi="Arial" w:cs="Arial"/>
          <w:color w:val="000000" w:themeColor="text1"/>
        </w:rPr>
        <w:tab/>
      </w:r>
      <w:r w:rsidR="00B94D08" w:rsidRPr="00AB10E4">
        <w:rPr>
          <w:rFonts w:ascii="Arial" w:hAnsi="Arial" w:cs="Arial"/>
          <w:color w:val="000000" w:themeColor="text1"/>
        </w:rPr>
        <w:t xml:space="preserve">The Prudential Authority in its letter of 3 June 2020 </w:t>
      </w:r>
      <w:r w:rsidR="00F67561" w:rsidRPr="00AB10E4">
        <w:rPr>
          <w:rFonts w:ascii="Arial" w:hAnsi="Arial" w:cs="Arial"/>
          <w:color w:val="000000" w:themeColor="text1"/>
        </w:rPr>
        <w:t xml:space="preserve">specifically recognised that Ithala could not, at least on its understanding of the provisions of the Banks Act, meet the requirements for registration as a bank.   It was Ithala itself in its letter of 20 June 2020 that informed the Prudential Authority that </w:t>
      </w:r>
      <w:r w:rsidR="004F4C69" w:rsidRPr="00AB10E4">
        <w:rPr>
          <w:rFonts w:ascii="Arial" w:hAnsi="Arial" w:cs="Arial"/>
          <w:i/>
          <w:iCs/>
          <w:color w:val="000000" w:themeColor="text1"/>
          <w:sz w:val="22"/>
          <w:szCs w:val="22"/>
        </w:rPr>
        <w:t>‘</w:t>
      </w:r>
      <w:r w:rsidR="00F67561" w:rsidRPr="00AB10E4">
        <w:rPr>
          <w:rFonts w:ascii="Arial" w:hAnsi="Arial" w:cs="Arial"/>
          <w:i/>
          <w:iCs/>
          <w:color w:val="000000" w:themeColor="text1"/>
          <w:sz w:val="22"/>
          <w:szCs w:val="22"/>
        </w:rPr>
        <w:t>The perceived impediment to “establish a bank in terms of the banks act” is not insurmountable</w:t>
      </w:r>
      <w:r w:rsidR="004F4C69" w:rsidRPr="00AB10E4">
        <w:rPr>
          <w:rFonts w:ascii="Arial" w:hAnsi="Arial" w:cs="Arial"/>
          <w:i/>
          <w:iCs/>
          <w:color w:val="000000" w:themeColor="text1"/>
          <w:sz w:val="22"/>
          <w:szCs w:val="22"/>
        </w:rPr>
        <w:t>’</w:t>
      </w:r>
      <w:r w:rsidR="00F67561" w:rsidRPr="00AB10E4">
        <w:rPr>
          <w:rFonts w:ascii="Arial" w:hAnsi="Arial" w:cs="Arial"/>
          <w:i/>
          <w:iCs/>
          <w:color w:val="000000" w:themeColor="text1"/>
          <w:sz w:val="22"/>
          <w:szCs w:val="22"/>
        </w:rPr>
        <w:t xml:space="preserve">.  </w:t>
      </w:r>
      <w:r w:rsidR="00F67561" w:rsidRPr="00AB10E4">
        <w:rPr>
          <w:rFonts w:ascii="Arial" w:hAnsi="Arial" w:cs="Arial"/>
          <w:color w:val="000000" w:themeColor="text1"/>
        </w:rPr>
        <w:t>In that letter, Ithala set out how it believed it would be able to go about this.</w:t>
      </w:r>
      <w:r w:rsidR="00590AA1" w:rsidRPr="00AB10E4">
        <w:rPr>
          <w:rFonts w:ascii="Arial" w:hAnsi="Arial" w:cs="Arial"/>
          <w:color w:val="000000" w:themeColor="text1"/>
        </w:rPr>
        <w:t xml:space="preserve">  </w:t>
      </w:r>
      <w:r w:rsidR="00BB0EFD" w:rsidRPr="00AB10E4">
        <w:rPr>
          <w:rFonts w:ascii="Arial" w:hAnsi="Arial" w:cs="Arial"/>
          <w:color w:val="000000" w:themeColor="text1"/>
        </w:rPr>
        <w:t xml:space="preserve">The proposal included </w:t>
      </w:r>
      <w:r w:rsidR="003D2CC1" w:rsidRPr="00AB10E4">
        <w:rPr>
          <w:rFonts w:ascii="Arial" w:hAnsi="Arial" w:cs="Arial"/>
          <w:color w:val="000000" w:themeColor="text1"/>
        </w:rPr>
        <w:t xml:space="preserve">reference to </w:t>
      </w:r>
      <w:r w:rsidR="00BB0EFD" w:rsidRPr="00AB10E4">
        <w:rPr>
          <w:rFonts w:ascii="Arial" w:hAnsi="Arial" w:cs="Arial"/>
          <w:color w:val="000000" w:themeColor="text1"/>
        </w:rPr>
        <w:t xml:space="preserve">consultative as well as legislative “processes” which required </w:t>
      </w:r>
      <w:r w:rsidR="004F4C69" w:rsidRPr="00AB10E4">
        <w:rPr>
          <w:rFonts w:ascii="Arial" w:hAnsi="Arial" w:cs="Arial"/>
          <w:i/>
          <w:iCs/>
          <w:color w:val="000000" w:themeColor="text1"/>
          <w:sz w:val="22"/>
          <w:szCs w:val="22"/>
        </w:rPr>
        <w:t>‘</w:t>
      </w:r>
      <w:r w:rsidR="00590AA1" w:rsidRPr="00AB10E4">
        <w:rPr>
          <w:rFonts w:ascii="Arial" w:hAnsi="Arial" w:cs="Arial"/>
          <w:i/>
          <w:iCs/>
          <w:color w:val="000000" w:themeColor="text1"/>
          <w:sz w:val="22"/>
          <w:szCs w:val="22"/>
        </w:rPr>
        <w:t>a reasonable period</w:t>
      </w:r>
      <w:r w:rsidR="004F4C69" w:rsidRPr="00AB10E4">
        <w:rPr>
          <w:rFonts w:ascii="Arial" w:hAnsi="Arial" w:cs="Arial"/>
          <w:i/>
          <w:iCs/>
          <w:color w:val="000000" w:themeColor="text1"/>
          <w:sz w:val="22"/>
          <w:szCs w:val="22"/>
        </w:rPr>
        <w:t>’</w:t>
      </w:r>
      <w:r w:rsidR="00590AA1" w:rsidRPr="00AB10E4">
        <w:rPr>
          <w:rFonts w:ascii="Arial" w:hAnsi="Arial" w:cs="Arial"/>
          <w:i/>
          <w:iCs/>
          <w:color w:val="000000" w:themeColor="text1"/>
          <w:sz w:val="22"/>
          <w:szCs w:val="22"/>
        </w:rPr>
        <w:t xml:space="preserve"> </w:t>
      </w:r>
      <w:r w:rsidR="00BB0EFD" w:rsidRPr="00AB10E4">
        <w:rPr>
          <w:rFonts w:ascii="Arial" w:hAnsi="Arial" w:cs="Arial"/>
          <w:color w:val="000000" w:themeColor="text1"/>
        </w:rPr>
        <w:t xml:space="preserve">for these to take place and which necessitated a further </w:t>
      </w:r>
      <w:r w:rsidR="00984B95" w:rsidRPr="00AB10E4">
        <w:rPr>
          <w:rFonts w:ascii="Arial" w:hAnsi="Arial" w:cs="Arial"/>
          <w:color w:val="000000" w:themeColor="text1"/>
        </w:rPr>
        <w:t>Exemption</w:t>
      </w:r>
      <w:r w:rsidR="00BB0EFD" w:rsidRPr="00AB10E4">
        <w:rPr>
          <w:rFonts w:ascii="Arial" w:hAnsi="Arial" w:cs="Arial"/>
          <w:color w:val="000000" w:themeColor="text1"/>
        </w:rPr>
        <w:t>.</w:t>
      </w:r>
    </w:p>
    <w:p w14:paraId="0F5843D6" w14:textId="3D67EA6E" w:rsidR="00590AA1" w:rsidRDefault="00590AA1" w:rsidP="00BB0EFD">
      <w:pPr>
        <w:pStyle w:val="ListParagraph"/>
        <w:spacing w:line="360" w:lineRule="auto"/>
        <w:ind w:left="851"/>
        <w:jc w:val="both"/>
        <w:rPr>
          <w:rFonts w:ascii="Arial" w:hAnsi="Arial" w:cs="Arial"/>
          <w:color w:val="000000" w:themeColor="text1"/>
        </w:rPr>
      </w:pPr>
      <w:r w:rsidRPr="00590AA1">
        <w:rPr>
          <w:rFonts w:ascii="Arial" w:hAnsi="Arial" w:cs="Arial"/>
          <w:i/>
          <w:iCs/>
          <w:color w:val="000000" w:themeColor="text1"/>
          <w:sz w:val="22"/>
          <w:szCs w:val="22"/>
        </w:rPr>
        <w:t xml:space="preserve"> </w:t>
      </w:r>
    </w:p>
    <w:p w14:paraId="0573831B" w14:textId="36C1C841" w:rsidR="00EC30CF"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[45]</w:t>
      </w:r>
      <w:r>
        <w:rPr>
          <w:rFonts w:ascii="Arial" w:hAnsi="Arial" w:cs="Arial"/>
          <w:color w:val="000000" w:themeColor="text1"/>
        </w:rPr>
        <w:tab/>
      </w:r>
      <w:r w:rsidR="00BB0EFD" w:rsidRPr="00AB10E4">
        <w:rPr>
          <w:rFonts w:ascii="Arial" w:hAnsi="Arial" w:cs="Arial"/>
          <w:color w:val="000000" w:themeColor="text1"/>
        </w:rPr>
        <w:t>When one considers condition 4.3 together with the 18 month extension that accompanied it, notwithstanding the initial reservations of the Prudential Authority as to whether or not registration in terms of the Banks Act could be achieved by Ithala, it is apparent that the very purpose for which this condition was imposed, was</w:t>
      </w:r>
      <w:r w:rsidR="004F4C69" w:rsidRPr="00AB10E4">
        <w:rPr>
          <w:rFonts w:ascii="Arial" w:hAnsi="Arial" w:cs="Arial"/>
          <w:color w:val="000000" w:themeColor="text1"/>
        </w:rPr>
        <w:t xml:space="preserve"> </w:t>
      </w:r>
      <w:r w:rsidR="00BB0EFD" w:rsidRPr="00AB10E4">
        <w:rPr>
          <w:rFonts w:ascii="Arial" w:hAnsi="Arial" w:cs="Arial"/>
          <w:color w:val="000000" w:themeColor="text1"/>
        </w:rPr>
        <w:t>to afford Ithala the opportunity to effect that which it had proposed.</w:t>
      </w:r>
    </w:p>
    <w:p w14:paraId="391E7E28" w14:textId="77777777" w:rsidR="00A77007" w:rsidRPr="00A77007" w:rsidRDefault="00A77007" w:rsidP="00A77007">
      <w:pPr>
        <w:pStyle w:val="ListParagraph"/>
        <w:rPr>
          <w:rFonts w:ascii="Arial" w:hAnsi="Arial" w:cs="Arial"/>
          <w:color w:val="000000" w:themeColor="text1"/>
        </w:rPr>
      </w:pPr>
    </w:p>
    <w:p w14:paraId="170394A2" w14:textId="168BBBDD" w:rsidR="00AD215F"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[46]</w:t>
      </w:r>
      <w:r>
        <w:rPr>
          <w:rFonts w:ascii="Arial" w:hAnsi="Arial" w:cs="Arial"/>
          <w:color w:val="000000" w:themeColor="text1"/>
        </w:rPr>
        <w:tab/>
      </w:r>
      <w:r w:rsidR="00A77007" w:rsidRPr="00AB10E4">
        <w:rPr>
          <w:rFonts w:ascii="Arial" w:hAnsi="Arial" w:cs="Arial"/>
          <w:color w:val="000000" w:themeColor="text1"/>
        </w:rPr>
        <w:t xml:space="preserve">It was argued for Ithala, somewhat cynically, that after having imposed the condition neither the Prudential Authority nor Treasury had sought to or had provided any detailed explanation as to how Ithala could either become a bank or a mutual bank.  It seems to have missed the point that having </w:t>
      </w:r>
      <w:r w:rsidR="00AD215F" w:rsidRPr="00AB10E4">
        <w:rPr>
          <w:rFonts w:ascii="Arial" w:hAnsi="Arial" w:cs="Arial"/>
          <w:color w:val="000000" w:themeColor="text1"/>
        </w:rPr>
        <w:t>put up the skittle itself, it was illogical for it to now argue an impossibility.</w:t>
      </w:r>
      <w:r w:rsidR="008669F0" w:rsidRPr="00AB10E4">
        <w:rPr>
          <w:rFonts w:ascii="Arial" w:hAnsi="Arial" w:cs="Arial"/>
          <w:color w:val="000000" w:themeColor="text1"/>
        </w:rPr>
        <w:t xml:space="preserve">  </w:t>
      </w:r>
    </w:p>
    <w:p w14:paraId="3DEDB254" w14:textId="77777777" w:rsidR="008669F0" w:rsidRPr="008669F0" w:rsidRDefault="008669F0" w:rsidP="008669F0">
      <w:pPr>
        <w:pStyle w:val="ListParagraph"/>
        <w:rPr>
          <w:rFonts w:ascii="Arial" w:hAnsi="Arial" w:cs="Arial"/>
          <w:color w:val="000000" w:themeColor="text1"/>
        </w:rPr>
      </w:pPr>
    </w:p>
    <w:p w14:paraId="055235FC" w14:textId="2924C1A3" w:rsidR="008669F0"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[47]</w:t>
      </w:r>
      <w:r>
        <w:rPr>
          <w:rFonts w:ascii="Arial" w:hAnsi="Arial" w:cs="Arial"/>
          <w:color w:val="000000" w:themeColor="text1"/>
        </w:rPr>
        <w:tab/>
      </w:r>
      <w:r w:rsidR="008669F0" w:rsidRPr="00AB10E4">
        <w:rPr>
          <w:rFonts w:ascii="Arial" w:hAnsi="Arial" w:cs="Arial"/>
          <w:color w:val="000000" w:themeColor="text1"/>
        </w:rPr>
        <w:t xml:space="preserve">Furthermore, even if Ithala was incorrect in its representation that compliance with the Banks Act or the Mutual Banks Act was </w:t>
      </w:r>
      <w:r w:rsidR="004F4C69" w:rsidRPr="00AB10E4">
        <w:rPr>
          <w:rFonts w:ascii="Arial" w:hAnsi="Arial" w:cs="Arial"/>
          <w:i/>
          <w:iCs/>
          <w:color w:val="000000" w:themeColor="text1"/>
          <w:sz w:val="22"/>
          <w:szCs w:val="22"/>
        </w:rPr>
        <w:t>‘</w:t>
      </w:r>
      <w:r w:rsidR="008669F0" w:rsidRPr="00AB10E4">
        <w:rPr>
          <w:rFonts w:ascii="Arial" w:hAnsi="Arial" w:cs="Arial"/>
          <w:i/>
          <w:iCs/>
          <w:color w:val="000000" w:themeColor="text1"/>
          <w:sz w:val="22"/>
          <w:szCs w:val="22"/>
        </w:rPr>
        <w:t>not insurmountable</w:t>
      </w:r>
      <w:r w:rsidR="004F4C69" w:rsidRPr="00AB10E4">
        <w:rPr>
          <w:rFonts w:ascii="Arial" w:hAnsi="Arial" w:cs="Arial"/>
          <w:i/>
          <w:iCs/>
          <w:color w:val="000000" w:themeColor="text1"/>
          <w:sz w:val="22"/>
          <w:szCs w:val="22"/>
        </w:rPr>
        <w:t>’</w:t>
      </w:r>
      <w:r w:rsidR="008669F0" w:rsidRPr="00AB10E4">
        <w:rPr>
          <w:rFonts w:ascii="Arial" w:hAnsi="Arial" w:cs="Arial"/>
          <w:i/>
          <w:iCs/>
          <w:color w:val="000000" w:themeColor="text1"/>
          <w:sz w:val="22"/>
          <w:szCs w:val="22"/>
        </w:rPr>
        <w:t>,</w:t>
      </w:r>
      <w:r w:rsidR="008669F0" w:rsidRPr="00AB10E4">
        <w:rPr>
          <w:rFonts w:ascii="Arial" w:hAnsi="Arial" w:cs="Arial"/>
          <w:color w:val="000000" w:themeColor="text1"/>
          <w:sz w:val="22"/>
          <w:szCs w:val="22"/>
        </w:rPr>
        <w:t xml:space="preserve"> </w:t>
      </w:r>
      <w:r w:rsidR="008669F0" w:rsidRPr="00AB10E4">
        <w:rPr>
          <w:rFonts w:ascii="Arial" w:hAnsi="Arial" w:cs="Arial"/>
          <w:color w:val="000000" w:themeColor="text1"/>
        </w:rPr>
        <w:t xml:space="preserve">the fact that the Prudential Authority imposed the condition and afforded the opportunity for Ithala to attempt to comply with that condition establishes to my mind, that any </w:t>
      </w:r>
      <w:r w:rsidR="004F4C69" w:rsidRPr="00AB10E4">
        <w:rPr>
          <w:rFonts w:ascii="Arial" w:hAnsi="Arial" w:cs="Arial"/>
          <w:color w:val="000000" w:themeColor="text1"/>
        </w:rPr>
        <w:t>‘</w:t>
      </w:r>
      <w:r w:rsidR="008669F0" w:rsidRPr="00AB10E4">
        <w:rPr>
          <w:rFonts w:ascii="Arial" w:hAnsi="Arial" w:cs="Arial"/>
          <w:color w:val="000000" w:themeColor="text1"/>
        </w:rPr>
        <w:t>legitimate expectation</w:t>
      </w:r>
      <w:r w:rsidR="004F4C69" w:rsidRPr="00AB10E4">
        <w:rPr>
          <w:rFonts w:ascii="Arial" w:hAnsi="Arial" w:cs="Arial"/>
          <w:color w:val="000000" w:themeColor="text1"/>
        </w:rPr>
        <w:t>’</w:t>
      </w:r>
      <w:r w:rsidR="008669F0" w:rsidRPr="00AB10E4">
        <w:rPr>
          <w:rFonts w:ascii="Arial" w:hAnsi="Arial" w:cs="Arial"/>
          <w:color w:val="000000" w:themeColor="text1"/>
        </w:rPr>
        <w:t xml:space="preserve"> on the part of Ithala was in respect of the process that was to be followed – which it was.  There is simply no legal </w:t>
      </w:r>
      <w:r w:rsidR="008669F0" w:rsidRPr="00AB10E4">
        <w:rPr>
          <w:rFonts w:ascii="Arial" w:hAnsi="Arial" w:cs="Arial"/>
          <w:color w:val="000000" w:themeColor="text1"/>
        </w:rPr>
        <w:lastRenderedPageBreak/>
        <w:t>basis upon which a legitimate expectation could be claimed in respect of the grant of an Exemption without or with a waiver of conditions.</w:t>
      </w:r>
      <w:r w:rsidR="008669F0">
        <w:rPr>
          <w:rStyle w:val="FootnoteReference"/>
          <w:rFonts w:ascii="Arial" w:hAnsi="Arial" w:cs="Arial"/>
          <w:color w:val="000000" w:themeColor="text1"/>
        </w:rPr>
        <w:footnoteReference w:id="18"/>
      </w:r>
    </w:p>
    <w:p w14:paraId="7F69B6AE" w14:textId="77777777" w:rsidR="00AD215F" w:rsidRPr="00AD215F" w:rsidRDefault="00AD215F" w:rsidP="00AD215F">
      <w:pPr>
        <w:pStyle w:val="ListParagraph"/>
        <w:rPr>
          <w:rFonts w:ascii="Arial" w:hAnsi="Arial" w:cs="Arial"/>
          <w:color w:val="000000" w:themeColor="text1"/>
        </w:rPr>
      </w:pPr>
    </w:p>
    <w:p w14:paraId="01BB257F" w14:textId="6B4B9C97" w:rsidR="00DF608A" w:rsidRPr="00AB10E4" w:rsidRDefault="00AB10E4" w:rsidP="00AB10E4">
      <w:pPr>
        <w:spacing w:line="360" w:lineRule="auto"/>
        <w:ind w:left="851" w:hanging="851"/>
        <w:jc w:val="both"/>
        <w:rPr>
          <w:rFonts w:ascii="Arial" w:hAnsi="Arial" w:cs="Arial"/>
          <w:color w:val="000000" w:themeColor="text1"/>
        </w:rPr>
      </w:pPr>
      <w:r w:rsidRPr="00AD215F">
        <w:rPr>
          <w:rFonts w:ascii="Arial" w:hAnsi="Arial" w:cs="Arial"/>
          <w:color w:val="000000" w:themeColor="text1"/>
        </w:rPr>
        <w:t>[48]</w:t>
      </w:r>
      <w:r w:rsidRPr="00AD215F">
        <w:rPr>
          <w:rFonts w:ascii="Arial" w:hAnsi="Arial" w:cs="Arial"/>
          <w:color w:val="000000" w:themeColor="text1"/>
        </w:rPr>
        <w:tab/>
      </w:r>
      <w:r w:rsidR="00DF608A" w:rsidRPr="00AB10E4">
        <w:rPr>
          <w:rFonts w:ascii="Arial" w:hAnsi="Arial" w:cs="Arial"/>
          <w:color w:val="000000" w:themeColor="text1"/>
        </w:rPr>
        <w:t>It cannot be argued that the imposition of condition 4.3</w:t>
      </w:r>
      <w:r w:rsidR="001C1D2E" w:rsidRPr="00AB10E4">
        <w:rPr>
          <w:rFonts w:ascii="Arial" w:hAnsi="Arial" w:cs="Arial"/>
          <w:color w:val="000000" w:themeColor="text1"/>
        </w:rPr>
        <w:t xml:space="preserve"> was</w:t>
      </w:r>
      <w:r w:rsidR="003D2CC1" w:rsidRPr="00AB10E4">
        <w:rPr>
          <w:rFonts w:ascii="Arial" w:hAnsi="Arial" w:cs="Arial"/>
          <w:color w:val="000000" w:themeColor="text1"/>
        </w:rPr>
        <w:t xml:space="preserve"> either</w:t>
      </w:r>
      <w:r w:rsidR="001C1D2E" w:rsidRPr="00AB10E4">
        <w:rPr>
          <w:rFonts w:ascii="Arial" w:hAnsi="Arial" w:cs="Arial"/>
          <w:color w:val="000000" w:themeColor="text1"/>
        </w:rPr>
        <w:t xml:space="preserve"> irrational or </w:t>
      </w:r>
      <w:r w:rsidR="003D2CC1" w:rsidRPr="00AB10E4">
        <w:rPr>
          <w:rFonts w:ascii="Arial" w:hAnsi="Arial" w:cs="Arial"/>
          <w:color w:val="000000" w:themeColor="text1"/>
        </w:rPr>
        <w:t xml:space="preserve">lacked </w:t>
      </w:r>
      <w:r w:rsidR="003D2CC1" w:rsidRPr="00AB10E4">
        <w:rPr>
          <w:rFonts w:ascii="Arial" w:hAnsi="Arial" w:cs="Arial"/>
          <w:i/>
          <w:iCs/>
          <w:color w:val="000000" w:themeColor="text1"/>
        </w:rPr>
        <w:t>bona fides</w:t>
      </w:r>
      <w:r w:rsidR="003D2CC1" w:rsidRPr="00AB10E4">
        <w:rPr>
          <w:rFonts w:ascii="Arial" w:hAnsi="Arial" w:cs="Arial"/>
          <w:color w:val="000000" w:themeColor="text1"/>
        </w:rPr>
        <w:t xml:space="preserve"> or was </w:t>
      </w:r>
      <w:r w:rsidR="001C1D2E" w:rsidRPr="00AB10E4">
        <w:rPr>
          <w:rFonts w:ascii="Arial" w:hAnsi="Arial" w:cs="Arial"/>
          <w:color w:val="000000" w:themeColor="text1"/>
        </w:rPr>
        <w:t xml:space="preserve">imposed in circumstances where it was impossible for Ithala to comply. It was imposed </w:t>
      </w:r>
      <w:r w:rsidR="003D2CC1" w:rsidRPr="00AB10E4">
        <w:rPr>
          <w:rFonts w:ascii="Arial" w:hAnsi="Arial" w:cs="Arial"/>
          <w:color w:val="000000" w:themeColor="text1"/>
        </w:rPr>
        <w:t>in consequence of the representation</w:t>
      </w:r>
      <w:r w:rsidR="001C1D2E" w:rsidRPr="00AB10E4">
        <w:rPr>
          <w:rFonts w:ascii="Arial" w:hAnsi="Arial" w:cs="Arial"/>
          <w:color w:val="000000" w:themeColor="text1"/>
        </w:rPr>
        <w:t xml:space="preserve"> by Ithala itself that compliance was “not insurmountable”</w:t>
      </w:r>
      <w:r w:rsidR="00B3435C">
        <w:rPr>
          <w:rStyle w:val="FootnoteReference"/>
          <w:rFonts w:ascii="Arial" w:hAnsi="Arial" w:cs="Arial"/>
          <w:color w:val="000000" w:themeColor="text1"/>
        </w:rPr>
        <w:footnoteReference w:id="19"/>
      </w:r>
      <w:r w:rsidR="001C1D2E" w:rsidRPr="00AB10E4">
        <w:rPr>
          <w:rFonts w:ascii="Arial" w:hAnsi="Arial" w:cs="Arial"/>
          <w:color w:val="000000" w:themeColor="text1"/>
        </w:rPr>
        <w:t xml:space="preserve"> and furthermore a sufficient period of time was afforded to it.</w:t>
      </w:r>
      <w:r w:rsidR="00632514" w:rsidRPr="00AB10E4">
        <w:rPr>
          <w:rFonts w:ascii="Arial" w:hAnsi="Arial" w:cs="Arial"/>
          <w:color w:val="000000" w:themeColor="text1"/>
        </w:rPr>
        <w:t xml:space="preserve"> </w:t>
      </w:r>
      <w:r w:rsidR="00877D2E">
        <w:rPr>
          <w:rStyle w:val="FootnoteReference"/>
          <w:rFonts w:ascii="Arial" w:hAnsi="Arial" w:cs="Arial"/>
          <w:color w:val="000000" w:themeColor="text1"/>
        </w:rPr>
        <w:footnoteReference w:id="20"/>
      </w:r>
      <w:r w:rsidR="00632514" w:rsidRPr="00AB10E4">
        <w:rPr>
          <w:rFonts w:ascii="Arial" w:hAnsi="Arial" w:cs="Arial"/>
          <w:color w:val="000000" w:themeColor="text1"/>
        </w:rPr>
        <w:t xml:space="preserve"> </w:t>
      </w:r>
    </w:p>
    <w:p w14:paraId="6AD8CF3B" w14:textId="77777777" w:rsidR="003A5EB2" w:rsidRPr="003A5EB2" w:rsidRDefault="003A5EB2" w:rsidP="003A5EB2">
      <w:pPr>
        <w:pStyle w:val="ListParagraph"/>
        <w:rPr>
          <w:rFonts w:ascii="Arial" w:hAnsi="Arial" w:cs="Arial"/>
          <w:color w:val="000000" w:themeColor="text1"/>
        </w:rPr>
      </w:pPr>
    </w:p>
    <w:p w14:paraId="360594FA" w14:textId="5B35F0D4" w:rsidR="003A5EB2"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[49]</w:t>
      </w:r>
      <w:r>
        <w:rPr>
          <w:rFonts w:ascii="Arial" w:hAnsi="Arial" w:cs="Arial"/>
          <w:color w:val="000000" w:themeColor="text1"/>
        </w:rPr>
        <w:tab/>
      </w:r>
      <w:r w:rsidR="004F4C69" w:rsidRPr="00AB10E4">
        <w:rPr>
          <w:rFonts w:ascii="Arial" w:hAnsi="Arial" w:cs="Arial"/>
          <w:color w:val="000000" w:themeColor="text1"/>
        </w:rPr>
        <w:t>C</w:t>
      </w:r>
      <w:r w:rsidR="003A5EB2" w:rsidRPr="00AB10E4">
        <w:rPr>
          <w:rFonts w:ascii="Arial" w:hAnsi="Arial" w:cs="Arial"/>
          <w:color w:val="000000" w:themeColor="text1"/>
        </w:rPr>
        <w:t xml:space="preserve">ondition 4.5 was that guarantees were to be furnished before 31 October 2022  by the Kwa-Zulu Natal Provincial Government or National Government.  </w:t>
      </w:r>
    </w:p>
    <w:p w14:paraId="0F31054D" w14:textId="77777777" w:rsidR="003A5EB2" w:rsidRPr="003A5EB2" w:rsidRDefault="003A5EB2" w:rsidP="003A5EB2">
      <w:pPr>
        <w:pStyle w:val="ListParagraph"/>
        <w:rPr>
          <w:rFonts w:ascii="Arial" w:hAnsi="Arial" w:cs="Arial"/>
          <w:color w:val="000000" w:themeColor="text1"/>
        </w:rPr>
      </w:pPr>
    </w:p>
    <w:p w14:paraId="0EDCA602" w14:textId="4903697D" w:rsidR="00500C61"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[50]</w:t>
      </w:r>
      <w:r>
        <w:rPr>
          <w:rFonts w:ascii="Arial" w:hAnsi="Arial" w:cs="Arial"/>
          <w:color w:val="000000" w:themeColor="text1"/>
        </w:rPr>
        <w:tab/>
      </w:r>
      <w:r w:rsidR="003A5EB2" w:rsidRPr="00AB10E4">
        <w:rPr>
          <w:rFonts w:ascii="Arial" w:hAnsi="Arial" w:cs="Arial"/>
          <w:color w:val="000000" w:themeColor="text1"/>
        </w:rPr>
        <w:t>There were two guarantees required</w:t>
      </w:r>
      <w:r w:rsidR="00500C61" w:rsidRPr="00AB10E4">
        <w:rPr>
          <w:rFonts w:ascii="Arial" w:hAnsi="Arial" w:cs="Arial"/>
          <w:color w:val="000000" w:themeColor="text1"/>
        </w:rPr>
        <w:t>:</w:t>
      </w:r>
    </w:p>
    <w:p w14:paraId="41D95D43" w14:textId="77777777" w:rsidR="00500C61" w:rsidRPr="00500C61" w:rsidRDefault="00500C61" w:rsidP="00500C61">
      <w:pPr>
        <w:pStyle w:val="ListParagraph"/>
        <w:rPr>
          <w:rFonts w:ascii="Arial" w:hAnsi="Arial" w:cs="Arial"/>
          <w:color w:val="000000" w:themeColor="text1"/>
        </w:rPr>
      </w:pPr>
    </w:p>
    <w:p w14:paraId="095A05BD" w14:textId="4387FE35" w:rsidR="003A5EB2" w:rsidRDefault="00500C61" w:rsidP="00270635">
      <w:pPr>
        <w:pStyle w:val="ListParagraph"/>
        <w:tabs>
          <w:tab w:val="center" w:pos="1418"/>
        </w:tabs>
        <w:spacing w:line="360" w:lineRule="auto"/>
        <w:ind w:left="851"/>
        <w:jc w:val="both"/>
        <w:rPr>
          <w:rFonts w:ascii="Arial" w:hAnsi="Arial" w:cs="Arial"/>
          <w:color w:val="000000" w:themeColor="text1"/>
        </w:rPr>
      </w:pPr>
      <w:r>
        <w:rPr>
          <w:rFonts w:ascii="Arial" w:hAnsi="Arial" w:cs="Arial"/>
          <w:color w:val="000000" w:themeColor="text1"/>
        </w:rPr>
        <w:t>[</w:t>
      </w:r>
      <w:r w:rsidR="00B9522C">
        <w:rPr>
          <w:rFonts w:ascii="Arial" w:hAnsi="Arial" w:cs="Arial"/>
          <w:color w:val="000000" w:themeColor="text1"/>
        </w:rPr>
        <w:t>50</w:t>
      </w:r>
      <w:r>
        <w:rPr>
          <w:rFonts w:ascii="Arial" w:hAnsi="Arial" w:cs="Arial"/>
          <w:color w:val="000000" w:themeColor="text1"/>
        </w:rPr>
        <w:t>.1]</w:t>
      </w:r>
      <w:r>
        <w:rPr>
          <w:rFonts w:ascii="Arial" w:hAnsi="Arial" w:cs="Arial"/>
          <w:color w:val="000000" w:themeColor="text1"/>
        </w:rPr>
        <w:tab/>
        <w:t>The first:</w:t>
      </w:r>
    </w:p>
    <w:p w14:paraId="5D9AE8E4" w14:textId="77777777" w:rsidR="003A5EB2" w:rsidRPr="003A5EB2" w:rsidRDefault="003A5EB2" w:rsidP="003A5EB2">
      <w:pPr>
        <w:pStyle w:val="ListParagraph"/>
        <w:rPr>
          <w:rFonts w:ascii="Arial" w:hAnsi="Arial" w:cs="Arial"/>
          <w:color w:val="000000" w:themeColor="text1"/>
        </w:rPr>
      </w:pPr>
    </w:p>
    <w:p w14:paraId="14EE0881" w14:textId="29191002" w:rsidR="00500C61" w:rsidRPr="00270635" w:rsidRDefault="004F4C69" w:rsidP="00500C61">
      <w:pPr>
        <w:spacing w:line="360" w:lineRule="auto"/>
        <w:ind w:left="3119" w:hanging="851"/>
        <w:jc w:val="both"/>
        <w:rPr>
          <w:rFonts w:ascii="Arial" w:hAnsi="Arial" w:cs="Arial"/>
          <w:i/>
          <w:iCs/>
          <w:color w:val="000000" w:themeColor="text1"/>
          <w:sz w:val="22"/>
          <w:szCs w:val="22"/>
        </w:rPr>
      </w:pPr>
      <w:r>
        <w:rPr>
          <w:rFonts w:ascii="Arial" w:hAnsi="Arial" w:cs="Arial"/>
          <w:i/>
          <w:iCs/>
          <w:color w:val="000000" w:themeColor="text1"/>
          <w:sz w:val="22"/>
          <w:szCs w:val="22"/>
        </w:rPr>
        <w:t>‘</w:t>
      </w:r>
      <w:r w:rsidR="00500C61" w:rsidRPr="00270635">
        <w:rPr>
          <w:rFonts w:ascii="Arial" w:hAnsi="Arial" w:cs="Arial"/>
          <w:i/>
          <w:iCs/>
          <w:color w:val="000000" w:themeColor="text1"/>
          <w:sz w:val="22"/>
          <w:szCs w:val="22"/>
        </w:rPr>
        <w:t>(a)</w:t>
      </w:r>
      <w:r w:rsidR="00500C61" w:rsidRPr="00270635">
        <w:rPr>
          <w:rFonts w:ascii="Arial" w:hAnsi="Arial" w:cs="Arial"/>
          <w:i/>
          <w:iCs/>
          <w:color w:val="000000" w:themeColor="text1"/>
          <w:sz w:val="22"/>
          <w:szCs w:val="22"/>
        </w:rPr>
        <w:tab/>
        <w:t>An irrevocable and unconditional commitment, valid until 31 March 2024, to fund all capital shortfalls of Ithala below the higher of R250 000 000 or 15% of risk-weighted assets, to be settled within 48 hours from the occurrence of the shortfall;</w:t>
      </w:r>
      <w:r>
        <w:rPr>
          <w:rFonts w:ascii="Arial" w:hAnsi="Arial" w:cs="Arial"/>
          <w:i/>
          <w:iCs/>
          <w:color w:val="000000" w:themeColor="text1"/>
          <w:sz w:val="22"/>
          <w:szCs w:val="22"/>
        </w:rPr>
        <w:t>’</w:t>
      </w:r>
    </w:p>
    <w:p w14:paraId="2915AA0A" w14:textId="3F2916E7" w:rsidR="00500C61" w:rsidRDefault="00500C61" w:rsidP="00500C61">
      <w:pPr>
        <w:pStyle w:val="ListParagraph"/>
        <w:spacing w:line="360" w:lineRule="auto"/>
        <w:ind w:left="1211"/>
        <w:jc w:val="both"/>
        <w:rPr>
          <w:rFonts w:ascii="Arial" w:hAnsi="Arial" w:cs="Arial"/>
          <w:color w:val="000000" w:themeColor="text1"/>
        </w:rPr>
      </w:pPr>
    </w:p>
    <w:p w14:paraId="26606A85" w14:textId="6B18CC46" w:rsidR="00500C61" w:rsidRDefault="00500C61" w:rsidP="00500C61">
      <w:pPr>
        <w:pStyle w:val="ListParagraph"/>
        <w:spacing w:line="360" w:lineRule="auto"/>
        <w:ind w:left="851"/>
        <w:jc w:val="both"/>
        <w:rPr>
          <w:rFonts w:ascii="Arial" w:hAnsi="Arial" w:cs="Arial"/>
          <w:color w:val="000000" w:themeColor="text1"/>
        </w:rPr>
      </w:pPr>
      <w:r>
        <w:rPr>
          <w:rFonts w:ascii="Arial" w:hAnsi="Arial" w:cs="Arial"/>
          <w:color w:val="000000" w:themeColor="text1"/>
        </w:rPr>
        <w:t>[</w:t>
      </w:r>
      <w:r w:rsidR="00B9522C">
        <w:rPr>
          <w:rFonts w:ascii="Arial" w:hAnsi="Arial" w:cs="Arial"/>
          <w:color w:val="000000" w:themeColor="text1"/>
        </w:rPr>
        <w:t>50</w:t>
      </w:r>
      <w:r>
        <w:rPr>
          <w:rFonts w:ascii="Arial" w:hAnsi="Arial" w:cs="Arial"/>
          <w:color w:val="000000" w:themeColor="text1"/>
        </w:rPr>
        <w:t>.2]</w:t>
      </w:r>
      <w:r>
        <w:rPr>
          <w:rFonts w:ascii="Arial" w:hAnsi="Arial" w:cs="Arial"/>
          <w:color w:val="000000" w:themeColor="text1"/>
        </w:rPr>
        <w:tab/>
        <w:t>The second:</w:t>
      </w:r>
    </w:p>
    <w:p w14:paraId="45D625D0" w14:textId="77777777" w:rsidR="00500C61" w:rsidRPr="00270635" w:rsidRDefault="00500C61" w:rsidP="00500C61">
      <w:pPr>
        <w:pStyle w:val="ListParagraph"/>
        <w:spacing w:line="360" w:lineRule="auto"/>
        <w:ind w:left="1211"/>
        <w:jc w:val="both"/>
        <w:rPr>
          <w:rFonts w:ascii="Arial" w:hAnsi="Arial" w:cs="Arial"/>
          <w:color w:val="000000" w:themeColor="text1"/>
          <w:sz w:val="22"/>
          <w:szCs w:val="22"/>
        </w:rPr>
      </w:pPr>
    </w:p>
    <w:p w14:paraId="4A6048E1" w14:textId="52109B36" w:rsidR="003A5EB2" w:rsidRPr="00270635" w:rsidRDefault="004F4C69" w:rsidP="00500C61">
      <w:pPr>
        <w:spacing w:line="360" w:lineRule="auto"/>
        <w:ind w:left="3119" w:hanging="851"/>
        <w:jc w:val="both"/>
        <w:rPr>
          <w:rFonts w:ascii="Arial" w:hAnsi="Arial" w:cs="Arial"/>
          <w:i/>
          <w:iCs/>
          <w:color w:val="000000" w:themeColor="text1"/>
          <w:sz w:val="21"/>
          <w:szCs w:val="21"/>
        </w:rPr>
      </w:pPr>
      <w:r>
        <w:rPr>
          <w:rFonts w:ascii="Arial" w:hAnsi="Arial" w:cs="Arial"/>
          <w:i/>
          <w:iCs/>
          <w:color w:val="000000" w:themeColor="text1"/>
          <w:sz w:val="21"/>
          <w:szCs w:val="21"/>
        </w:rPr>
        <w:t>‘</w:t>
      </w:r>
      <w:r w:rsidR="00500C61" w:rsidRPr="00270635">
        <w:rPr>
          <w:rFonts w:ascii="Arial" w:hAnsi="Arial" w:cs="Arial"/>
          <w:i/>
          <w:iCs/>
          <w:color w:val="000000" w:themeColor="text1"/>
          <w:sz w:val="21"/>
          <w:szCs w:val="21"/>
        </w:rPr>
        <w:t>(b)</w:t>
      </w:r>
      <w:r w:rsidR="00500C61" w:rsidRPr="00270635">
        <w:rPr>
          <w:rFonts w:ascii="Arial" w:hAnsi="Arial" w:cs="Arial"/>
          <w:i/>
          <w:iCs/>
          <w:color w:val="000000" w:themeColor="text1"/>
          <w:sz w:val="21"/>
          <w:szCs w:val="21"/>
        </w:rPr>
        <w:tab/>
      </w:r>
      <w:r w:rsidR="003A5EB2" w:rsidRPr="00270635">
        <w:rPr>
          <w:rFonts w:ascii="Arial" w:hAnsi="Arial" w:cs="Arial"/>
          <w:i/>
          <w:iCs/>
          <w:color w:val="000000" w:themeColor="text1"/>
          <w:sz w:val="21"/>
          <w:szCs w:val="21"/>
        </w:rPr>
        <w:t xml:space="preserve"> </w:t>
      </w:r>
      <w:r w:rsidR="00500C61" w:rsidRPr="00270635">
        <w:rPr>
          <w:rFonts w:ascii="Arial" w:hAnsi="Arial" w:cs="Arial"/>
          <w:i/>
          <w:iCs/>
          <w:color w:val="000000" w:themeColor="text1"/>
          <w:sz w:val="21"/>
          <w:szCs w:val="21"/>
        </w:rPr>
        <w:t>An irrevocable and unconditional guarantee, valid until 31 March 2024, in favour of the Prudential Authority for the benefit of the depositors of Ithala equal to R0.75 for every R1.00 of depositor funds to be called on by the Prudential Authority should Ithala breach its minimum capital adequacy requirement of the higher of R250 000 000 or 15% of risk-weighted assets.</w:t>
      </w:r>
      <w:r>
        <w:rPr>
          <w:rFonts w:ascii="Arial" w:hAnsi="Arial" w:cs="Arial"/>
          <w:i/>
          <w:iCs/>
          <w:color w:val="000000" w:themeColor="text1"/>
          <w:sz w:val="21"/>
          <w:szCs w:val="21"/>
        </w:rPr>
        <w:t>’</w:t>
      </w:r>
    </w:p>
    <w:p w14:paraId="09CA58A5" w14:textId="77777777" w:rsidR="00087386" w:rsidRPr="00087386" w:rsidRDefault="00087386" w:rsidP="00087386">
      <w:pPr>
        <w:spacing w:line="360" w:lineRule="auto"/>
        <w:jc w:val="both"/>
        <w:rPr>
          <w:rFonts w:ascii="Arial" w:hAnsi="Arial" w:cs="Arial"/>
          <w:color w:val="000000" w:themeColor="text1"/>
        </w:rPr>
      </w:pPr>
    </w:p>
    <w:p w14:paraId="32B7638C" w14:textId="164810EF" w:rsidR="00087386"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[51]</w:t>
      </w:r>
      <w:r>
        <w:rPr>
          <w:rFonts w:ascii="Arial" w:hAnsi="Arial" w:cs="Arial"/>
          <w:color w:val="000000" w:themeColor="text1"/>
        </w:rPr>
        <w:tab/>
      </w:r>
      <w:r w:rsidR="006F4006" w:rsidRPr="00AB10E4">
        <w:rPr>
          <w:rFonts w:ascii="Arial" w:hAnsi="Arial" w:cs="Arial"/>
          <w:color w:val="000000" w:themeColor="text1"/>
        </w:rPr>
        <w:t>It was argued for Ithala that the condition relating to the furnishing of the guarantees was “extraordinary” and that there was no reason to believe that these would ever be triggered. The Prudential Authority was also criti</w:t>
      </w:r>
      <w:r w:rsidR="004F4C69" w:rsidRPr="00AB10E4">
        <w:rPr>
          <w:rFonts w:ascii="Arial" w:hAnsi="Arial" w:cs="Arial"/>
          <w:color w:val="000000" w:themeColor="text1"/>
        </w:rPr>
        <w:t>s</w:t>
      </w:r>
      <w:r w:rsidR="006F4006" w:rsidRPr="00AB10E4">
        <w:rPr>
          <w:rFonts w:ascii="Arial" w:hAnsi="Arial" w:cs="Arial"/>
          <w:color w:val="000000" w:themeColor="text1"/>
        </w:rPr>
        <w:t xml:space="preserve">ized for </w:t>
      </w:r>
      <w:r w:rsidR="006F4006" w:rsidRPr="00AB10E4">
        <w:rPr>
          <w:rFonts w:ascii="Arial" w:hAnsi="Arial" w:cs="Arial"/>
          <w:color w:val="000000" w:themeColor="text1"/>
        </w:rPr>
        <w:lastRenderedPageBreak/>
        <w:t xml:space="preserve">imposing the condition in circumstances where there was already security in place. The security which was extant was </w:t>
      </w:r>
      <w:r w:rsidR="008D19E5" w:rsidRPr="00AB10E4">
        <w:rPr>
          <w:rFonts w:ascii="Arial" w:hAnsi="Arial" w:cs="Arial"/>
          <w:color w:val="000000" w:themeColor="text1"/>
        </w:rPr>
        <w:t xml:space="preserve">a guarantee with a maximum value of R300 million furnished by the Provincial Government in favour of </w:t>
      </w:r>
      <w:r w:rsidR="000D097A" w:rsidRPr="00AB10E4">
        <w:rPr>
          <w:rFonts w:ascii="Arial" w:hAnsi="Arial" w:cs="Arial"/>
          <w:color w:val="000000" w:themeColor="text1"/>
        </w:rPr>
        <w:t xml:space="preserve">the depositors in </w:t>
      </w:r>
      <w:r w:rsidR="008D19E5" w:rsidRPr="00AB10E4">
        <w:rPr>
          <w:rFonts w:ascii="Arial" w:hAnsi="Arial" w:cs="Arial"/>
          <w:color w:val="000000" w:themeColor="text1"/>
        </w:rPr>
        <w:t>Ithala in order to safeguard the deposits held by Ithala.</w:t>
      </w:r>
      <w:r w:rsidR="0032412B" w:rsidRPr="00AB10E4">
        <w:rPr>
          <w:rFonts w:ascii="Arial" w:hAnsi="Arial" w:cs="Arial"/>
          <w:color w:val="000000" w:themeColor="text1"/>
        </w:rPr>
        <w:t xml:space="preserve">  This guarantee was for the period 1 January 2022 </w:t>
      </w:r>
      <w:r w:rsidR="00B45D0C" w:rsidRPr="00AB10E4">
        <w:rPr>
          <w:rFonts w:ascii="Arial" w:hAnsi="Arial" w:cs="Arial"/>
          <w:color w:val="000000" w:themeColor="text1"/>
        </w:rPr>
        <w:t>up to and including 31 December 2024.</w:t>
      </w:r>
    </w:p>
    <w:p w14:paraId="3F8FACDE" w14:textId="77777777" w:rsidR="008D19E5" w:rsidRDefault="008D19E5" w:rsidP="008D19E5">
      <w:pPr>
        <w:pStyle w:val="ListParagraph"/>
        <w:spacing w:line="360" w:lineRule="auto"/>
        <w:ind w:left="851"/>
        <w:jc w:val="both"/>
        <w:rPr>
          <w:rFonts w:ascii="Arial" w:hAnsi="Arial" w:cs="Arial"/>
          <w:color w:val="000000" w:themeColor="text1"/>
        </w:rPr>
      </w:pPr>
    </w:p>
    <w:p w14:paraId="5ABC0CF6" w14:textId="6138C9A1" w:rsidR="008D19E5"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[52]</w:t>
      </w:r>
      <w:r>
        <w:rPr>
          <w:rFonts w:ascii="Arial" w:hAnsi="Arial" w:cs="Arial"/>
          <w:color w:val="000000" w:themeColor="text1"/>
        </w:rPr>
        <w:tab/>
      </w:r>
      <w:r w:rsidR="0032412B" w:rsidRPr="00AB10E4">
        <w:rPr>
          <w:rFonts w:ascii="Arial" w:hAnsi="Arial" w:cs="Arial"/>
          <w:color w:val="000000" w:themeColor="text1"/>
        </w:rPr>
        <w:t xml:space="preserve">The </w:t>
      </w:r>
      <w:r w:rsidR="008D19E5" w:rsidRPr="00AB10E4">
        <w:rPr>
          <w:rFonts w:ascii="Arial" w:hAnsi="Arial" w:cs="Arial"/>
          <w:color w:val="000000" w:themeColor="text1"/>
        </w:rPr>
        <w:t>guarantee</w:t>
      </w:r>
      <w:r w:rsidR="0032412B" w:rsidRPr="00AB10E4">
        <w:rPr>
          <w:rFonts w:ascii="Arial" w:hAnsi="Arial" w:cs="Arial"/>
          <w:color w:val="000000" w:themeColor="text1"/>
        </w:rPr>
        <w:t xml:space="preserve">, although it is stated to be given </w:t>
      </w:r>
      <w:r w:rsidR="004F4C69" w:rsidRPr="00AB10E4">
        <w:rPr>
          <w:rFonts w:ascii="Arial" w:hAnsi="Arial" w:cs="Arial"/>
          <w:i/>
          <w:iCs/>
          <w:color w:val="000000" w:themeColor="text1"/>
          <w:sz w:val="22"/>
          <w:szCs w:val="22"/>
        </w:rPr>
        <w:t>‘</w:t>
      </w:r>
      <w:r w:rsidR="0032412B" w:rsidRPr="00AB10E4">
        <w:rPr>
          <w:rFonts w:ascii="Arial" w:hAnsi="Arial" w:cs="Arial"/>
          <w:i/>
          <w:iCs/>
          <w:color w:val="000000" w:themeColor="text1"/>
          <w:sz w:val="22"/>
          <w:szCs w:val="22"/>
        </w:rPr>
        <w:t>irrevocably, and unconditionally</w:t>
      </w:r>
      <w:r w:rsidR="004F4C69" w:rsidRPr="00AB10E4">
        <w:rPr>
          <w:rFonts w:ascii="Arial" w:hAnsi="Arial" w:cs="Arial"/>
          <w:color w:val="000000" w:themeColor="text1"/>
        </w:rPr>
        <w:t>’</w:t>
      </w:r>
      <w:r w:rsidR="0032412B">
        <w:rPr>
          <w:rStyle w:val="FootnoteReference"/>
          <w:rFonts w:ascii="Arial" w:hAnsi="Arial" w:cs="Arial"/>
          <w:color w:val="000000" w:themeColor="text1"/>
        </w:rPr>
        <w:footnoteReference w:id="21"/>
      </w:r>
      <w:r w:rsidR="0032412B" w:rsidRPr="00AB10E4">
        <w:rPr>
          <w:rFonts w:ascii="Arial" w:hAnsi="Arial" w:cs="Arial"/>
          <w:color w:val="000000" w:themeColor="text1"/>
        </w:rPr>
        <w:t xml:space="preserve"> the Kwa-Zulu Provincial Government </w:t>
      </w:r>
      <w:r w:rsidR="004F4C69" w:rsidRPr="00AB10E4">
        <w:rPr>
          <w:rFonts w:ascii="Arial" w:hAnsi="Arial" w:cs="Arial"/>
          <w:i/>
          <w:iCs/>
          <w:color w:val="000000" w:themeColor="text1"/>
          <w:sz w:val="22"/>
          <w:szCs w:val="22"/>
        </w:rPr>
        <w:t>‘</w:t>
      </w:r>
      <w:r w:rsidR="0032412B" w:rsidRPr="00AB10E4">
        <w:rPr>
          <w:rFonts w:ascii="Arial" w:hAnsi="Arial" w:cs="Arial"/>
          <w:i/>
          <w:iCs/>
          <w:color w:val="000000" w:themeColor="text1"/>
          <w:sz w:val="22"/>
          <w:szCs w:val="22"/>
        </w:rPr>
        <w:t>would need to comply with further legislative provisions in order to make payment of the due amounts.</w:t>
      </w:r>
      <w:r w:rsidR="004F4C69" w:rsidRPr="00AB10E4">
        <w:rPr>
          <w:rFonts w:ascii="Arial" w:hAnsi="Arial" w:cs="Arial"/>
          <w:color w:val="000000" w:themeColor="text1"/>
        </w:rPr>
        <w:t>’</w:t>
      </w:r>
      <w:r w:rsidR="0032412B">
        <w:rPr>
          <w:rStyle w:val="FootnoteReference"/>
          <w:rFonts w:ascii="Arial" w:hAnsi="Arial" w:cs="Arial"/>
          <w:color w:val="000000" w:themeColor="text1"/>
        </w:rPr>
        <w:footnoteReference w:id="22"/>
      </w:r>
      <w:r w:rsidR="0032412B" w:rsidRPr="00AB10E4">
        <w:rPr>
          <w:rFonts w:ascii="Arial" w:hAnsi="Arial" w:cs="Arial"/>
          <w:color w:val="000000" w:themeColor="text1"/>
        </w:rPr>
        <w:t xml:space="preserve">  </w:t>
      </w:r>
    </w:p>
    <w:p w14:paraId="2C2D0E0F" w14:textId="77777777" w:rsidR="00B45D0C" w:rsidRPr="00B45D0C" w:rsidRDefault="00B45D0C" w:rsidP="00B45D0C">
      <w:pPr>
        <w:pStyle w:val="ListParagraph"/>
        <w:rPr>
          <w:rFonts w:ascii="Arial" w:hAnsi="Arial" w:cs="Arial"/>
          <w:color w:val="000000" w:themeColor="text1"/>
        </w:rPr>
      </w:pPr>
    </w:p>
    <w:p w14:paraId="2629C9BD" w14:textId="69322CAB" w:rsidR="00B45D0C"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[53]</w:t>
      </w:r>
      <w:r>
        <w:rPr>
          <w:rFonts w:ascii="Arial" w:hAnsi="Arial" w:cs="Arial"/>
          <w:color w:val="000000" w:themeColor="text1"/>
        </w:rPr>
        <w:tab/>
      </w:r>
      <w:r w:rsidR="00945756" w:rsidRPr="00AB10E4">
        <w:rPr>
          <w:rFonts w:ascii="Arial" w:hAnsi="Arial" w:cs="Arial"/>
          <w:color w:val="000000" w:themeColor="text1"/>
        </w:rPr>
        <w:t xml:space="preserve">The guarantee is for a fixed maximum amount and does not address the requirements of </w:t>
      </w:r>
      <w:r w:rsidR="004F4C69" w:rsidRPr="00AB10E4">
        <w:rPr>
          <w:rFonts w:ascii="Arial" w:hAnsi="Arial" w:cs="Arial"/>
          <w:i/>
          <w:iCs/>
          <w:color w:val="000000" w:themeColor="text1"/>
          <w:sz w:val="22"/>
          <w:szCs w:val="22"/>
        </w:rPr>
        <w:t>‘</w:t>
      </w:r>
      <w:r w:rsidR="00945756" w:rsidRPr="00AB10E4">
        <w:rPr>
          <w:rFonts w:ascii="Arial" w:hAnsi="Arial" w:cs="Arial"/>
          <w:i/>
          <w:iCs/>
          <w:color w:val="000000" w:themeColor="text1"/>
          <w:sz w:val="22"/>
          <w:szCs w:val="22"/>
        </w:rPr>
        <w:t>R250 000 000 or 15% of risk weighted assets</w:t>
      </w:r>
      <w:r w:rsidR="004F4C69" w:rsidRPr="00AB10E4">
        <w:rPr>
          <w:rFonts w:ascii="Arial" w:hAnsi="Arial" w:cs="Arial"/>
          <w:i/>
          <w:iCs/>
          <w:color w:val="000000" w:themeColor="text1"/>
          <w:sz w:val="22"/>
          <w:szCs w:val="22"/>
        </w:rPr>
        <w:t>’</w:t>
      </w:r>
      <w:r w:rsidR="00945756" w:rsidRPr="00AB10E4">
        <w:rPr>
          <w:rFonts w:ascii="Arial" w:hAnsi="Arial" w:cs="Arial"/>
          <w:color w:val="000000" w:themeColor="text1"/>
          <w:sz w:val="22"/>
          <w:szCs w:val="22"/>
        </w:rPr>
        <w:t xml:space="preserve"> </w:t>
      </w:r>
      <w:r w:rsidR="00945756" w:rsidRPr="00AB10E4">
        <w:rPr>
          <w:rFonts w:ascii="Arial" w:hAnsi="Arial" w:cs="Arial"/>
          <w:color w:val="000000" w:themeColor="text1"/>
        </w:rPr>
        <w:t>as set out in either paragraphs (a) or (b) of condition 4.5.  Furthermore, the guarantee is in favour of individual depositors</w:t>
      </w:r>
      <w:r w:rsidR="00D450C7" w:rsidRPr="00AB10E4">
        <w:rPr>
          <w:rFonts w:ascii="Arial" w:hAnsi="Arial" w:cs="Arial"/>
          <w:color w:val="000000" w:themeColor="text1"/>
        </w:rPr>
        <w:t>.</w:t>
      </w:r>
      <w:r w:rsidR="000D097A">
        <w:rPr>
          <w:rStyle w:val="FootnoteReference"/>
          <w:rFonts w:ascii="Arial" w:hAnsi="Arial" w:cs="Arial"/>
          <w:color w:val="000000" w:themeColor="text1"/>
        </w:rPr>
        <w:footnoteReference w:id="23"/>
      </w:r>
      <w:r w:rsidR="00D450C7" w:rsidRPr="00AB10E4">
        <w:rPr>
          <w:rFonts w:ascii="Arial" w:hAnsi="Arial" w:cs="Arial"/>
          <w:color w:val="000000" w:themeColor="text1"/>
        </w:rPr>
        <w:t xml:space="preserve">  </w:t>
      </w:r>
    </w:p>
    <w:p w14:paraId="6DA72451" w14:textId="77777777" w:rsidR="00D450C7" w:rsidRPr="00D450C7" w:rsidRDefault="00D450C7" w:rsidP="00D450C7">
      <w:pPr>
        <w:pStyle w:val="ListParagraph"/>
        <w:rPr>
          <w:rFonts w:ascii="Arial" w:hAnsi="Arial" w:cs="Arial"/>
          <w:color w:val="000000" w:themeColor="text1"/>
        </w:rPr>
      </w:pPr>
    </w:p>
    <w:p w14:paraId="6A0C1C50" w14:textId="1344ABE9" w:rsidR="00D450C7"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[54]</w:t>
      </w:r>
      <w:r>
        <w:rPr>
          <w:rFonts w:ascii="Arial" w:hAnsi="Arial" w:cs="Arial"/>
          <w:color w:val="000000" w:themeColor="text1"/>
        </w:rPr>
        <w:tab/>
      </w:r>
      <w:r w:rsidR="00D450C7" w:rsidRPr="00AB10E4">
        <w:rPr>
          <w:rFonts w:ascii="Arial" w:hAnsi="Arial" w:cs="Arial"/>
          <w:color w:val="000000" w:themeColor="text1"/>
        </w:rPr>
        <w:t>On a plain interpretation of the guarantee that has been furnished, it neither complies with condition 4.5 (a) or (b) in respect of</w:t>
      </w:r>
      <w:r w:rsidR="001B4A25" w:rsidRPr="00AB10E4">
        <w:rPr>
          <w:rFonts w:ascii="Arial" w:hAnsi="Arial" w:cs="Arial"/>
          <w:color w:val="000000" w:themeColor="text1"/>
        </w:rPr>
        <w:t xml:space="preserve"> the amount and in respect of 4.5 (b) it is in favour of the individual depositors and not the Prudential Authority as stipulated in the condition.</w:t>
      </w:r>
    </w:p>
    <w:p w14:paraId="2F4B15CC" w14:textId="77777777" w:rsidR="007B2E2D" w:rsidRPr="007B2E2D" w:rsidRDefault="007B2E2D" w:rsidP="007B2E2D">
      <w:pPr>
        <w:pStyle w:val="ListParagraph"/>
        <w:rPr>
          <w:rFonts w:ascii="Arial" w:hAnsi="Arial" w:cs="Arial"/>
          <w:color w:val="000000" w:themeColor="text1"/>
        </w:rPr>
      </w:pPr>
    </w:p>
    <w:p w14:paraId="4B5FA509" w14:textId="649B1101" w:rsidR="007B2E2D" w:rsidRPr="00AB10E4" w:rsidRDefault="00AB10E4" w:rsidP="00AB10E4">
      <w:pPr>
        <w:spacing w:line="360" w:lineRule="auto"/>
        <w:ind w:left="851" w:hanging="851"/>
        <w:jc w:val="both"/>
        <w:rPr>
          <w:rFonts w:ascii="Arial" w:hAnsi="Arial" w:cs="Arial"/>
          <w:i/>
          <w:iCs/>
          <w:color w:val="000000" w:themeColor="text1"/>
          <w:sz w:val="22"/>
          <w:szCs w:val="22"/>
        </w:rPr>
      </w:pPr>
      <w:r w:rsidRPr="00463E53">
        <w:rPr>
          <w:rFonts w:ascii="Arial" w:hAnsi="Arial" w:cs="Arial"/>
          <w:color w:val="000000" w:themeColor="text1"/>
        </w:rPr>
        <w:t>[55]</w:t>
      </w:r>
      <w:r w:rsidRPr="00463E53">
        <w:rPr>
          <w:rFonts w:ascii="Arial" w:hAnsi="Arial" w:cs="Arial"/>
          <w:color w:val="000000" w:themeColor="text1"/>
        </w:rPr>
        <w:tab/>
      </w:r>
      <w:r w:rsidR="007B2E2D" w:rsidRPr="00AB10E4">
        <w:rPr>
          <w:rFonts w:ascii="Arial" w:hAnsi="Arial" w:cs="Arial"/>
          <w:color w:val="000000" w:themeColor="text1"/>
        </w:rPr>
        <w:t xml:space="preserve">Ithala argued that condition 4.5 is ambiguous.  The premise from which the ambiguity is said to arise is that the Kwa-Zulu Natal Province has already furnished a guarantee which complies with condition 4.5 (a).   This being so, the argument goes, </w:t>
      </w:r>
      <w:r w:rsidR="004F4C69" w:rsidRPr="00AB10E4">
        <w:rPr>
          <w:rFonts w:ascii="Arial" w:hAnsi="Arial" w:cs="Arial"/>
          <w:i/>
          <w:iCs/>
          <w:color w:val="000000" w:themeColor="text1"/>
          <w:sz w:val="22"/>
          <w:szCs w:val="22"/>
        </w:rPr>
        <w:t>‘</w:t>
      </w:r>
      <w:r w:rsidR="007B2E2D" w:rsidRPr="00AB10E4">
        <w:rPr>
          <w:rFonts w:ascii="Arial" w:hAnsi="Arial" w:cs="Arial"/>
          <w:i/>
          <w:iCs/>
          <w:color w:val="000000" w:themeColor="text1"/>
          <w:sz w:val="22"/>
          <w:szCs w:val="22"/>
        </w:rPr>
        <w:t>it would be a nonsensical interpretation of clause 4.5 (b) to require the provincial government to effectively provide a guarantee that would be triggered by its failure to comply with its own financial commitment</w:t>
      </w:r>
      <w:r w:rsidR="00D2277F" w:rsidRPr="00AB10E4">
        <w:rPr>
          <w:rFonts w:ascii="Arial" w:hAnsi="Arial" w:cs="Arial"/>
          <w:i/>
          <w:iCs/>
          <w:color w:val="000000" w:themeColor="text1"/>
          <w:sz w:val="22"/>
          <w:szCs w:val="22"/>
        </w:rPr>
        <w:t>.</w:t>
      </w:r>
      <w:r w:rsidR="004F4C69" w:rsidRPr="00AB10E4">
        <w:rPr>
          <w:rFonts w:ascii="Arial" w:hAnsi="Arial" w:cs="Arial"/>
          <w:i/>
          <w:iCs/>
          <w:color w:val="000000" w:themeColor="text1"/>
          <w:sz w:val="22"/>
          <w:szCs w:val="22"/>
        </w:rPr>
        <w:t>’</w:t>
      </w:r>
      <w:r w:rsidR="00D2277F" w:rsidRPr="00AB10E4">
        <w:rPr>
          <w:rFonts w:ascii="Arial" w:hAnsi="Arial" w:cs="Arial"/>
          <w:i/>
          <w:iCs/>
          <w:color w:val="000000" w:themeColor="text1"/>
          <w:sz w:val="22"/>
          <w:szCs w:val="22"/>
        </w:rPr>
        <w:t xml:space="preserve">  </w:t>
      </w:r>
      <w:r w:rsidR="00D2277F" w:rsidRPr="00AB10E4">
        <w:rPr>
          <w:rFonts w:ascii="Arial" w:hAnsi="Arial" w:cs="Arial"/>
          <w:color w:val="000000" w:themeColor="text1"/>
        </w:rPr>
        <w:t>On this argument, the only party who could provide the guarantee contemplated in condition 4.5 (b) is the National Government</w:t>
      </w:r>
      <w:r w:rsidR="00463E53" w:rsidRPr="00AB10E4">
        <w:rPr>
          <w:rFonts w:ascii="Arial" w:hAnsi="Arial" w:cs="Arial"/>
          <w:color w:val="000000" w:themeColor="text1"/>
        </w:rPr>
        <w:t xml:space="preserve"> and that it is its failure to furnish that guarantee that is frustrating compliance with the condition.</w:t>
      </w:r>
    </w:p>
    <w:p w14:paraId="5D82F613" w14:textId="77777777" w:rsidR="00463E53" w:rsidRPr="00463E53" w:rsidRDefault="00463E53" w:rsidP="00463E53">
      <w:pPr>
        <w:pStyle w:val="ListParagraph"/>
        <w:rPr>
          <w:rFonts w:ascii="Arial" w:hAnsi="Arial" w:cs="Arial"/>
          <w:i/>
          <w:iCs/>
          <w:color w:val="000000" w:themeColor="text1"/>
          <w:sz w:val="22"/>
          <w:szCs w:val="22"/>
        </w:rPr>
      </w:pPr>
    </w:p>
    <w:p w14:paraId="760CA0D5" w14:textId="13739134" w:rsidR="00463E53" w:rsidRPr="00AB10E4" w:rsidRDefault="00AB10E4" w:rsidP="00AB10E4">
      <w:pPr>
        <w:spacing w:line="360" w:lineRule="auto"/>
        <w:ind w:left="851" w:hanging="851"/>
        <w:jc w:val="both"/>
        <w:rPr>
          <w:rFonts w:ascii="Arial" w:hAnsi="Arial" w:cs="Arial"/>
          <w:i/>
          <w:iCs/>
          <w:color w:val="000000" w:themeColor="text1"/>
          <w:sz w:val="22"/>
          <w:szCs w:val="22"/>
        </w:rPr>
      </w:pPr>
      <w:r w:rsidRPr="00463E53">
        <w:rPr>
          <w:rFonts w:ascii="Arial" w:hAnsi="Arial" w:cs="Arial"/>
          <w:color w:val="000000" w:themeColor="text1"/>
        </w:rPr>
        <w:lastRenderedPageBreak/>
        <w:t>[56]</w:t>
      </w:r>
      <w:r w:rsidRPr="00463E53">
        <w:rPr>
          <w:rFonts w:ascii="Arial" w:hAnsi="Arial" w:cs="Arial"/>
          <w:color w:val="000000" w:themeColor="text1"/>
        </w:rPr>
        <w:tab/>
      </w:r>
      <w:r w:rsidR="00463E53" w:rsidRPr="00AB10E4">
        <w:rPr>
          <w:rFonts w:ascii="Arial" w:hAnsi="Arial" w:cs="Arial"/>
          <w:color w:val="000000" w:themeColor="text1"/>
        </w:rPr>
        <w:t xml:space="preserve">The entirety of Ithala’s argument on this aspect is based on the guarantee obtained by it on 10 June 2022.  The terms of the guarantee as is apparent, do not match the terms of the conditions that were imposed.  There is no dispute that the furnishing of security is necessary – what is in issue is whether or not the security that has been furnished is sufficient to meet the purpose for which the condition is imposed.  </w:t>
      </w:r>
    </w:p>
    <w:p w14:paraId="46F93399" w14:textId="77777777" w:rsidR="00463E53" w:rsidRPr="00463E53" w:rsidRDefault="00463E53" w:rsidP="00463E53">
      <w:pPr>
        <w:pStyle w:val="ListParagraph"/>
        <w:rPr>
          <w:rFonts w:ascii="Arial" w:hAnsi="Arial" w:cs="Arial"/>
          <w:i/>
          <w:iCs/>
          <w:color w:val="000000" w:themeColor="text1"/>
          <w:sz w:val="22"/>
          <w:szCs w:val="22"/>
        </w:rPr>
      </w:pPr>
    </w:p>
    <w:p w14:paraId="27D169D4" w14:textId="66C4D718" w:rsidR="00BF366E" w:rsidRPr="00AB10E4" w:rsidRDefault="00AB10E4" w:rsidP="00AB10E4">
      <w:pPr>
        <w:spacing w:line="360" w:lineRule="auto"/>
        <w:ind w:left="900" w:hanging="851"/>
        <w:jc w:val="both"/>
        <w:rPr>
          <w:rFonts w:ascii="Arial" w:hAnsi="Arial" w:cs="Arial"/>
          <w:color w:val="000000" w:themeColor="text1"/>
        </w:rPr>
      </w:pPr>
      <w:r>
        <w:rPr>
          <w:rFonts w:ascii="Arial" w:hAnsi="Arial" w:cs="Arial"/>
          <w:color w:val="000000" w:themeColor="text1"/>
        </w:rPr>
        <w:t>[57]</w:t>
      </w:r>
      <w:r>
        <w:rPr>
          <w:rFonts w:ascii="Arial" w:hAnsi="Arial" w:cs="Arial"/>
          <w:color w:val="000000" w:themeColor="text1"/>
        </w:rPr>
        <w:tab/>
      </w:r>
      <w:r w:rsidR="00463E53" w:rsidRPr="00AB10E4">
        <w:rPr>
          <w:rFonts w:ascii="Arial" w:hAnsi="Arial" w:cs="Arial"/>
          <w:color w:val="000000" w:themeColor="text1"/>
        </w:rPr>
        <w:t>Instead of obtaining a guarantee that meets the conditions imposed by the Prudential Authority, Ithala</w:t>
      </w:r>
      <w:r w:rsidR="00BF366E" w:rsidRPr="00AB10E4">
        <w:rPr>
          <w:rFonts w:ascii="Arial" w:hAnsi="Arial" w:cs="Arial"/>
          <w:color w:val="000000" w:themeColor="text1"/>
        </w:rPr>
        <w:t xml:space="preserve"> seeks to hammer the proverbial square peg into a round hole and when it does not fit, claim a lack of rational connection between the terms of the condition, considerations before the Prudential Authority and purpose of the condition.  </w:t>
      </w:r>
    </w:p>
    <w:p w14:paraId="672888B5" w14:textId="77777777" w:rsidR="00BF366E" w:rsidRPr="00BF366E" w:rsidRDefault="00BF366E" w:rsidP="00BF366E">
      <w:pPr>
        <w:pStyle w:val="ListParagraph"/>
        <w:rPr>
          <w:rFonts w:ascii="Arial" w:hAnsi="Arial" w:cs="Arial"/>
          <w:color w:val="000000" w:themeColor="text1"/>
        </w:rPr>
      </w:pPr>
    </w:p>
    <w:p w14:paraId="54F21BFC" w14:textId="6AB801F0" w:rsidR="00BF366E" w:rsidRPr="00AB10E4" w:rsidRDefault="00AB10E4" w:rsidP="00AB10E4">
      <w:pPr>
        <w:spacing w:line="360" w:lineRule="auto"/>
        <w:ind w:left="900" w:hanging="851"/>
        <w:jc w:val="both"/>
        <w:rPr>
          <w:rFonts w:ascii="Arial" w:hAnsi="Arial" w:cs="Arial"/>
          <w:color w:val="000000" w:themeColor="text1"/>
        </w:rPr>
      </w:pPr>
      <w:r>
        <w:rPr>
          <w:rFonts w:ascii="Arial" w:hAnsi="Arial" w:cs="Arial"/>
          <w:color w:val="000000" w:themeColor="text1"/>
        </w:rPr>
        <w:t>[58]</w:t>
      </w:r>
      <w:r>
        <w:rPr>
          <w:rFonts w:ascii="Arial" w:hAnsi="Arial" w:cs="Arial"/>
          <w:color w:val="000000" w:themeColor="text1"/>
        </w:rPr>
        <w:tab/>
      </w:r>
      <w:r w:rsidR="00BF366E" w:rsidRPr="00AB10E4">
        <w:rPr>
          <w:rFonts w:ascii="Arial" w:hAnsi="Arial" w:cs="Arial"/>
          <w:color w:val="000000" w:themeColor="text1"/>
        </w:rPr>
        <w:t xml:space="preserve">The fifth condition which Ithala claims is irrational, is condition 4.9.  </w:t>
      </w:r>
      <w:r w:rsidR="00641775" w:rsidRPr="00AB10E4">
        <w:rPr>
          <w:rFonts w:ascii="Arial" w:hAnsi="Arial" w:cs="Arial"/>
          <w:color w:val="000000" w:themeColor="text1"/>
        </w:rPr>
        <w:t>This condition is framed as a directive to Ithala in terms of s 131(1)(a)</w:t>
      </w:r>
      <w:r w:rsidR="006C41B8">
        <w:rPr>
          <w:rStyle w:val="FootnoteReference"/>
          <w:rFonts w:ascii="Arial" w:hAnsi="Arial" w:cs="Arial"/>
          <w:color w:val="000000" w:themeColor="text1"/>
        </w:rPr>
        <w:footnoteReference w:id="24"/>
      </w:r>
      <w:r w:rsidR="00641775" w:rsidRPr="00AB10E4">
        <w:rPr>
          <w:rFonts w:ascii="Arial" w:hAnsi="Arial" w:cs="Arial"/>
          <w:color w:val="000000" w:themeColor="text1"/>
        </w:rPr>
        <w:t xml:space="preserve"> of the FSR Act for Ithala to provide the Prudential Authority</w:t>
      </w:r>
      <w:r w:rsidR="00775077" w:rsidRPr="00AB10E4">
        <w:rPr>
          <w:rFonts w:ascii="Arial" w:hAnsi="Arial" w:cs="Arial"/>
          <w:color w:val="000000" w:themeColor="text1"/>
        </w:rPr>
        <w:t xml:space="preserve"> with information.  The directive provides for the furnishing of information and the compilation of a report:</w:t>
      </w:r>
    </w:p>
    <w:p w14:paraId="0F8F1E54" w14:textId="77777777" w:rsidR="00775077" w:rsidRPr="00775077" w:rsidRDefault="00775077" w:rsidP="00775077">
      <w:pPr>
        <w:pStyle w:val="ListParagraph"/>
        <w:rPr>
          <w:rFonts w:ascii="Arial" w:hAnsi="Arial" w:cs="Arial"/>
          <w:color w:val="000000" w:themeColor="text1"/>
        </w:rPr>
      </w:pPr>
    </w:p>
    <w:p w14:paraId="69601105" w14:textId="7796E51D" w:rsidR="003F0312" w:rsidRDefault="004F4C69" w:rsidP="0074264E">
      <w:pPr>
        <w:pStyle w:val="ListParagraph"/>
        <w:spacing w:line="360" w:lineRule="auto"/>
        <w:ind w:left="2268" w:hanging="850"/>
        <w:jc w:val="both"/>
        <w:rPr>
          <w:rFonts w:ascii="Arial" w:hAnsi="Arial" w:cs="Arial"/>
          <w:i/>
          <w:iCs/>
          <w:color w:val="000000" w:themeColor="text1"/>
          <w:sz w:val="22"/>
          <w:szCs w:val="22"/>
        </w:rPr>
      </w:pPr>
      <w:r>
        <w:rPr>
          <w:rFonts w:ascii="Arial" w:hAnsi="Arial" w:cs="Arial"/>
          <w:i/>
          <w:iCs/>
          <w:color w:val="000000" w:themeColor="text1"/>
          <w:sz w:val="22"/>
          <w:szCs w:val="22"/>
        </w:rPr>
        <w:t>‘</w:t>
      </w:r>
      <w:r w:rsidR="003F0312">
        <w:rPr>
          <w:rFonts w:ascii="Arial" w:hAnsi="Arial" w:cs="Arial"/>
          <w:i/>
          <w:iCs/>
          <w:color w:val="000000" w:themeColor="text1"/>
          <w:sz w:val="22"/>
          <w:szCs w:val="22"/>
        </w:rPr>
        <w:t>4.9.1</w:t>
      </w:r>
      <w:r w:rsidR="003F0312">
        <w:rPr>
          <w:rFonts w:ascii="Arial" w:hAnsi="Arial" w:cs="Arial"/>
          <w:i/>
          <w:iCs/>
          <w:color w:val="000000" w:themeColor="text1"/>
          <w:sz w:val="22"/>
          <w:szCs w:val="22"/>
        </w:rPr>
        <w:tab/>
        <w:t>Ithala is directed, in terms of the provision of section 131(1)(a) of the Financial Sector Regulation Act, to provide the Prudential Authority with specified information or a specified document under the control of Ithala, that is relevant to assisting the Prudential Authority in performing its functions in terms of a financial sector law.  The specified information and document that the Prudential Authority requires from Ithala is a report to be compiled by an auditor, as selected by the Prudential Authority, by no later than 30 September 2022, at the cost of the Prudential Authority</w:t>
      </w:r>
      <w:r w:rsidR="00102E91">
        <w:rPr>
          <w:rFonts w:ascii="Arial" w:hAnsi="Arial" w:cs="Arial"/>
          <w:i/>
          <w:iCs/>
          <w:color w:val="000000" w:themeColor="text1"/>
          <w:sz w:val="22"/>
          <w:szCs w:val="22"/>
        </w:rPr>
        <w:t>:</w:t>
      </w:r>
    </w:p>
    <w:p w14:paraId="55A78FD0" w14:textId="77777777" w:rsidR="00102E91" w:rsidRDefault="00102E91" w:rsidP="0074264E">
      <w:pPr>
        <w:pStyle w:val="ListParagraph"/>
        <w:spacing w:line="360" w:lineRule="auto"/>
        <w:ind w:left="2268" w:hanging="850"/>
        <w:jc w:val="both"/>
        <w:rPr>
          <w:rFonts w:ascii="Arial" w:hAnsi="Arial" w:cs="Arial"/>
          <w:i/>
          <w:iCs/>
          <w:color w:val="000000" w:themeColor="text1"/>
          <w:sz w:val="22"/>
          <w:szCs w:val="22"/>
        </w:rPr>
      </w:pPr>
    </w:p>
    <w:p w14:paraId="369E864B" w14:textId="5B3E8223" w:rsidR="0074264E" w:rsidRPr="00B9522C" w:rsidRDefault="00775077" w:rsidP="00B9522C">
      <w:pPr>
        <w:pStyle w:val="ListParagraph"/>
        <w:spacing w:line="360" w:lineRule="auto"/>
        <w:ind w:left="3119" w:hanging="851"/>
        <w:jc w:val="both"/>
        <w:rPr>
          <w:rFonts w:ascii="Arial" w:hAnsi="Arial" w:cs="Arial"/>
          <w:i/>
          <w:iCs/>
          <w:color w:val="000000" w:themeColor="text1"/>
          <w:sz w:val="22"/>
          <w:szCs w:val="22"/>
        </w:rPr>
      </w:pPr>
      <w:r w:rsidRPr="0074264E">
        <w:rPr>
          <w:rFonts w:ascii="Arial" w:hAnsi="Arial" w:cs="Arial"/>
          <w:i/>
          <w:iCs/>
          <w:color w:val="000000" w:themeColor="text1"/>
          <w:sz w:val="22"/>
          <w:szCs w:val="22"/>
        </w:rPr>
        <w:t>(a)</w:t>
      </w:r>
      <w:r w:rsidRPr="0074264E">
        <w:rPr>
          <w:rFonts w:ascii="Arial" w:hAnsi="Arial" w:cs="Arial"/>
          <w:i/>
          <w:iCs/>
          <w:color w:val="000000" w:themeColor="text1"/>
          <w:sz w:val="22"/>
          <w:szCs w:val="22"/>
        </w:rPr>
        <w:tab/>
        <w:t>which will detail the manner in which, by no later than 31 March 2024, all depositor claims of Ithala can be settled, if required, through the wind-down</w:t>
      </w:r>
      <w:r w:rsidR="0074264E" w:rsidRPr="0074264E">
        <w:rPr>
          <w:rFonts w:ascii="Arial" w:hAnsi="Arial" w:cs="Arial"/>
          <w:i/>
          <w:iCs/>
          <w:color w:val="000000" w:themeColor="text1"/>
          <w:sz w:val="22"/>
          <w:szCs w:val="22"/>
        </w:rPr>
        <w:t xml:space="preserve"> of the deposit-taking activities of Ithala to be transferred to a registered bank or </w:t>
      </w:r>
      <w:r w:rsidR="0074264E" w:rsidRPr="0074264E">
        <w:rPr>
          <w:rFonts w:ascii="Arial" w:hAnsi="Arial" w:cs="Arial"/>
          <w:i/>
          <w:iCs/>
          <w:color w:val="000000" w:themeColor="text1"/>
          <w:sz w:val="22"/>
          <w:szCs w:val="22"/>
        </w:rPr>
        <w:lastRenderedPageBreak/>
        <w:t>mutual bank in terms of an alliance banking relationship or similar with minimal disruption to clients of Ithala;</w:t>
      </w:r>
    </w:p>
    <w:p w14:paraId="7F657F08" w14:textId="19CAC284" w:rsidR="0074264E" w:rsidRPr="0074264E" w:rsidRDefault="0074264E" w:rsidP="00102E91">
      <w:pPr>
        <w:pStyle w:val="ListParagraph"/>
        <w:spacing w:line="360" w:lineRule="auto"/>
        <w:ind w:left="3119" w:hanging="851"/>
        <w:jc w:val="both"/>
        <w:rPr>
          <w:rFonts w:ascii="Arial" w:hAnsi="Arial" w:cs="Arial"/>
          <w:i/>
          <w:iCs/>
          <w:color w:val="000000" w:themeColor="text1"/>
          <w:sz w:val="22"/>
          <w:szCs w:val="22"/>
        </w:rPr>
      </w:pPr>
      <w:r w:rsidRPr="0074264E">
        <w:rPr>
          <w:rFonts w:ascii="Arial" w:hAnsi="Arial" w:cs="Arial"/>
          <w:i/>
          <w:iCs/>
          <w:color w:val="000000" w:themeColor="text1"/>
          <w:sz w:val="22"/>
          <w:szCs w:val="22"/>
        </w:rPr>
        <w:t>(b)</w:t>
      </w:r>
      <w:r w:rsidRPr="0074264E">
        <w:rPr>
          <w:rFonts w:ascii="Arial" w:hAnsi="Arial" w:cs="Arial"/>
          <w:i/>
          <w:iCs/>
          <w:color w:val="000000" w:themeColor="text1"/>
          <w:sz w:val="22"/>
          <w:szCs w:val="22"/>
        </w:rPr>
        <w:tab/>
        <w:t>by giving consideration and priority to the interests of all its stakeholders, in particular dep</w:t>
      </w:r>
      <w:r>
        <w:rPr>
          <w:rFonts w:ascii="Arial" w:hAnsi="Arial" w:cs="Arial"/>
          <w:i/>
          <w:iCs/>
          <w:color w:val="000000" w:themeColor="text1"/>
          <w:sz w:val="22"/>
          <w:szCs w:val="22"/>
        </w:rPr>
        <w:t>ositors</w:t>
      </w:r>
      <w:r w:rsidRPr="0074264E">
        <w:rPr>
          <w:rFonts w:ascii="Arial" w:hAnsi="Arial" w:cs="Arial"/>
          <w:i/>
          <w:iCs/>
          <w:color w:val="000000" w:themeColor="text1"/>
          <w:sz w:val="22"/>
          <w:szCs w:val="22"/>
        </w:rPr>
        <w:t xml:space="preserve"> and employees.</w:t>
      </w:r>
      <w:r w:rsidR="004F4C69">
        <w:rPr>
          <w:rFonts w:ascii="Arial" w:hAnsi="Arial" w:cs="Arial"/>
          <w:i/>
          <w:iCs/>
          <w:color w:val="000000" w:themeColor="text1"/>
          <w:sz w:val="22"/>
          <w:szCs w:val="22"/>
        </w:rPr>
        <w:t>’</w:t>
      </w:r>
    </w:p>
    <w:p w14:paraId="1D631A47" w14:textId="08136A76" w:rsidR="00775077" w:rsidRDefault="00775077" w:rsidP="00775077">
      <w:pPr>
        <w:pStyle w:val="ListParagraph"/>
        <w:rPr>
          <w:rFonts w:ascii="Arial" w:hAnsi="Arial" w:cs="Arial"/>
          <w:color w:val="000000" w:themeColor="text1"/>
        </w:rPr>
      </w:pPr>
    </w:p>
    <w:p w14:paraId="6BE7DA00" w14:textId="38A3277D" w:rsidR="00B9522C" w:rsidRDefault="00B9522C" w:rsidP="00775077">
      <w:pPr>
        <w:pStyle w:val="ListParagraph"/>
        <w:rPr>
          <w:rFonts w:ascii="Arial" w:hAnsi="Arial" w:cs="Arial"/>
          <w:color w:val="000000" w:themeColor="text1"/>
        </w:rPr>
      </w:pPr>
    </w:p>
    <w:p w14:paraId="662EB90E" w14:textId="77777777" w:rsidR="00B9522C" w:rsidRPr="00775077" w:rsidRDefault="00B9522C" w:rsidP="00775077">
      <w:pPr>
        <w:pStyle w:val="ListParagraph"/>
        <w:rPr>
          <w:rFonts w:ascii="Arial" w:hAnsi="Arial" w:cs="Arial"/>
          <w:color w:val="000000" w:themeColor="text1"/>
        </w:rPr>
      </w:pPr>
    </w:p>
    <w:p w14:paraId="18695EB6" w14:textId="392B8871" w:rsidR="00775077" w:rsidRPr="00AB10E4" w:rsidRDefault="00AB10E4" w:rsidP="00AB10E4">
      <w:pPr>
        <w:spacing w:line="360" w:lineRule="auto"/>
        <w:ind w:left="900" w:hanging="851"/>
        <w:jc w:val="both"/>
        <w:rPr>
          <w:rFonts w:ascii="Arial" w:hAnsi="Arial" w:cs="Arial"/>
          <w:color w:val="000000" w:themeColor="text1"/>
        </w:rPr>
      </w:pPr>
      <w:r>
        <w:rPr>
          <w:rFonts w:ascii="Arial" w:hAnsi="Arial" w:cs="Arial"/>
          <w:color w:val="000000" w:themeColor="text1"/>
        </w:rPr>
        <w:t>[59]</w:t>
      </w:r>
      <w:r>
        <w:rPr>
          <w:rFonts w:ascii="Arial" w:hAnsi="Arial" w:cs="Arial"/>
          <w:color w:val="000000" w:themeColor="text1"/>
        </w:rPr>
        <w:tab/>
      </w:r>
      <w:r w:rsidR="00775077" w:rsidRPr="00AB10E4">
        <w:rPr>
          <w:rFonts w:ascii="Arial" w:hAnsi="Arial" w:cs="Arial"/>
          <w:color w:val="000000" w:themeColor="text1"/>
        </w:rPr>
        <w:t xml:space="preserve">It was argued for Ithala that no document that exists is specified.  However, the condition refers not only to documents but also to information.  </w:t>
      </w:r>
      <w:r w:rsidR="006C41B8" w:rsidRPr="00AB10E4">
        <w:rPr>
          <w:rFonts w:ascii="Arial" w:hAnsi="Arial" w:cs="Arial"/>
          <w:color w:val="000000" w:themeColor="text1"/>
        </w:rPr>
        <w:t>The</w:t>
      </w:r>
      <w:r w:rsidR="00775077" w:rsidRPr="00AB10E4">
        <w:rPr>
          <w:rFonts w:ascii="Arial" w:hAnsi="Arial" w:cs="Arial"/>
          <w:color w:val="000000" w:themeColor="text1"/>
        </w:rPr>
        <w:t xml:space="preserve"> condition </w:t>
      </w:r>
      <w:r w:rsidR="006C41B8" w:rsidRPr="00AB10E4">
        <w:rPr>
          <w:rFonts w:ascii="Arial" w:hAnsi="Arial" w:cs="Arial"/>
          <w:color w:val="000000" w:themeColor="text1"/>
        </w:rPr>
        <w:t xml:space="preserve">explicitly </w:t>
      </w:r>
      <w:r w:rsidR="00775077" w:rsidRPr="00AB10E4">
        <w:rPr>
          <w:rFonts w:ascii="Arial" w:hAnsi="Arial" w:cs="Arial"/>
          <w:color w:val="000000" w:themeColor="text1"/>
        </w:rPr>
        <w:t>requires Ithala to furnish information to an auditor to be appointed and paid for by the Prudential Authority so as to enable the compilation of a report.</w:t>
      </w:r>
      <w:r w:rsidR="006C41B8" w:rsidRPr="00AB10E4">
        <w:rPr>
          <w:rFonts w:ascii="Arial" w:hAnsi="Arial" w:cs="Arial"/>
          <w:color w:val="000000" w:themeColor="text1"/>
        </w:rPr>
        <w:t xml:space="preserve">  This is permissible having regard to the provisions of s 131(2)(b)</w:t>
      </w:r>
      <w:r w:rsidR="00FE6B39">
        <w:rPr>
          <w:rStyle w:val="FootnoteReference"/>
          <w:rFonts w:ascii="Arial" w:hAnsi="Arial" w:cs="Arial"/>
          <w:color w:val="000000" w:themeColor="text1"/>
        </w:rPr>
        <w:footnoteReference w:id="25"/>
      </w:r>
      <w:r w:rsidR="006C41B8" w:rsidRPr="00AB10E4">
        <w:rPr>
          <w:rFonts w:ascii="Arial" w:hAnsi="Arial" w:cs="Arial"/>
          <w:color w:val="000000" w:themeColor="text1"/>
        </w:rPr>
        <w:t>.</w:t>
      </w:r>
    </w:p>
    <w:p w14:paraId="4C9968CD" w14:textId="77777777" w:rsidR="00775077" w:rsidRPr="00775077" w:rsidRDefault="00775077" w:rsidP="00775077">
      <w:pPr>
        <w:pStyle w:val="ListParagraph"/>
        <w:rPr>
          <w:rFonts w:ascii="Arial" w:hAnsi="Arial" w:cs="Arial"/>
          <w:color w:val="000000" w:themeColor="text1"/>
        </w:rPr>
      </w:pPr>
    </w:p>
    <w:p w14:paraId="2144BBF2" w14:textId="42416568" w:rsidR="00E564FA" w:rsidRPr="00AB10E4" w:rsidRDefault="00AB10E4" w:rsidP="00AB10E4">
      <w:pPr>
        <w:spacing w:line="360" w:lineRule="auto"/>
        <w:ind w:left="900" w:hanging="851"/>
        <w:jc w:val="both"/>
        <w:rPr>
          <w:rFonts w:ascii="Arial" w:hAnsi="Arial" w:cs="Arial"/>
          <w:color w:val="000000" w:themeColor="text1"/>
        </w:rPr>
      </w:pPr>
      <w:r w:rsidRPr="009B5CFE">
        <w:rPr>
          <w:rFonts w:ascii="Arial" w:hAnsi="Arial" w:cs="Arial"/>
          <w:color w:val="000000" w:themeColor="text1"/>
        </w:rPr>
        <w:t>[60]</w:t>
      </w:r>
      <w:r w:rsidRPr="009B5CFE">
        <w:rPr>
          <w:rFonts w:ascii="Arial" w:hAnsi="Arial" w:cs="Arial"/>
          <w:color w:val="000000" w:themeColor="text1"/>
        </w:rPr>
        <w:tab/>
      </w:r>
      <w:r w:rsidR="00775077" w:rsidRPr="00AB10E4">
        <w:rPr>
          <w:rFonts w:ascii="Arial" w:hAnsi="Arial" w:cs="Arial"/>
          <w:color w:val="000000" w:themeColor="text1"/>
        </w:rPr>
        <w:t xml:space="preserve">The purpose of </w:t>
      </w:r>
      <w:r w:rsidR="00E564FA" w:rsidRPr="00AB10E4">
        <w:rPr>
          <w:rFonts w:ascii="Arial" w:hAnsi="Arial" w:cs="Arial"/>
          <w:color w:val="000000" w:themeColor="text1"/>
        </w:rPr>
        <w:t>imposing this condition is entirely consistent with the purpose for which the Prudential Authority was established</w:t>
      </w:r>
      <w:r w:rsidR="002C3A05" w:rsidRPr="00AB10E4">
        <w:rPr>
          <w:rFonts w:ascii="Arial" w:hAnsi="Arial" w:cs="Arial"/>
          <w:color w:val="000000" w:themeColor="text1"/>
        </w:rPr>
        <w:t xml:space="preserve"> </w:t>
      </w:r>
      <w:r w:rsidR="009B5CFE">
        <w:rPr>
          <w:rStyle w:val="FootnoteReference"/>
          <w:rFonts w:ascii="Arial" w:hAnsi="Arial" w:cs="Arial"/>
          <w:color w:val="000000" w:themeColor="text1"/>
        </w:rPr>
        <w:footnoteReference w:id="26"/>
      </w:r>
      <w:r w:rsidR="00E564FA" w:rsidRPr="00AB10E4">
        <w:rPr>
          <w:rFonts w:ascii="Arial" w:hAnsi="Arial" w:cs="Arial"/>
          <w:color w:val="000000" w:themeColor="text1"/>
        </w:rPr>
        <w:t xml:space="preserve"> and </w:t>
      </w:r>
      <w:r w:rsidR="009B5CFE" w:rsidRPr="00AB10E4">
        <w:rPr>
          <w:rFonts w:ascii="Arial" w:hAnsi="Arial" w:cs="Arial"/>
          <w:color w:val="000000" w:themeColor="text1"/>
        </w:rPr>
        <w:t xml:space="preserve">pertinently, in the case of Ithala to </w:t>
      </w:r>
      <w:r w:rsidR="004F4C69" w:rsidRPr="00AB10E4">
        <w:rPr>
          <w:rFonts w:ascii="Arial" w:hAnsi="Arial" w:cs="Arial"/>
          <w:i/>
          <w:iCs/>
          <w:color w:val="000000" w:themeColor="text1"/>
          <w:sz w:val="22"/>
          <w:szCs w:val="22"/>
        </w:rPr>
        <w:t>‘</w:t>
      </w:r>
      <w:r w:rsidR="009B5CFE" w:rsidRPr="00AB10E4">
        <w:rPr>
          <w:rFonts w:ascii="Arial" w:hAnsi="Arial" w:cs="Arial"/>
          <w:i/>
          <w:iCs/>
          <w:color w:val="000000" w:themeColor="text1"/>
          <w:sz w:val="22"/>
          <w:szCs w:val="22"/>
        </w:rPr>
        <w:t>protect financial customers against the risk that those financial institutions may fail to meet their obligations</w:t>
      </w:r>
      <w:r w:rsidR="009A52A3" w:rsidRPr="00AB10E4">
        <w:rPr>
          <w:rFonts w:ascii="Arial" w:hAnsi="Arial" w:cs="Arial"/>
          <w:i/>
          <w:iCs/>
          <w:color w:val="000000" w:themeColor="text1"/>
          <w:sz w:val="22"/>
          <w:szCs w:val="22"/>
        </w:rPr>
        <w:t>.</w:t>
      </w:r>
      <w:r w:rsidR="004F4C69" w:rsidRPr="00AB10E4">
        <w:rPr>
          <w:rFonts w:ascii="Arial" w:hAnsi="Arial" w:cs="Arial"/>
          <w:i/>
          <w:iCs/>
          <w:color w:val="000000" w:themeColor="text1"/>
          <w:sz w:val="22"/>
          <w:szCs w:val="22"/>
        </w:rPr>
        <w:t>’</w:t>
      </w:r>
      <w:r w:rsidR="002C3A05" w:rsidRPr="00AB10E4">
        <w:rPr>
          <w:rFonts w:ascii="Arial" w:hAnsi="Arial" w:cs="Arial"/>
          <w:i/>
          <w:iCs/>
          <w:color w:val="000000" w:themeColor="text1"/>
          <w:sz w:val="22"/>
          <w:szCs w:val="22"/>
        </w:rPr>
        <w:t xml:space="preserve"> </w:t>
      </w:r>
      <w:r w:rsidR="009B5CFE">
        <w:rPr>
          <w:rStyle w:val="FootnoteReference"/>
          <w:rFonts w:ascii="Arial" w:hAnsi="Arial" w:cs="Arial"/>
          <w:i/>
          <w:iCs/>
          <w:color w:val="000000" w:themeColor="text1"/>
          <w:sz w:val="22"/>
          <w:szCs w:val="22"/>
        </w:rPr>
        <w:footnoteReference w:id="27"/>
      </w:r>
      <w:r w:rsidR="009B5CFE" w:rsidRPr="00AB10E4">
        <w:rPr>
          <w:rFonts w:ascii="Arial" w:hAnsi="Arial" w:cs="Arial"/>
          <w:i/>
          <w:iCs/>
          <w:color w:val="000000" w:themeColor="text1"/>
          <w:sz w:val="22"/>
          <w:szCs w:val="22"/>
        </w:rPr>
        <w:t xml:space="preserve"> </w:t>
      </w:r>
    </w:p>
    <w:p w14:paraId="26A2C66A" w14:textId="77777777" w:rsidR="00C270BB" w:rsidRDefault="00C270BB" w:rsidP="002133E4">
      <w:pPr>
        <w:spacing w:line="360" w:lineRule="auto"/>
        <w:jc w:val="both"/>
        <w:rPr>
          <w:rFonts w:ascii="Arial" w:hAnsi="Arial" w:cs="Arial"/>
          <w:b/>
          <w:bCs/>
          <w:color w:val="000000" w:themeColor="text1"/>
          <w:u w:val="single"/>
        </w:rPr>
      </w:pPr>
    </w:p>
    <w:p w14:paraId="25F2DFF1" w14:textId="2432B942" w:rsidR="009E05F4" w:rsidRDefault="002423E5" w:rsidP="002133E4">
      <w:pPr>
        <w:rPr>
          <w:rFonts w:ascii="Arial" w:hAnsi="Arial" w:cs="Arial"/>
          <w:b/>
          <w:bCs/>
          <w:color w:val="000000" w:themeColor="text1"/>
          <w:u w:val="single"/>
        </w:rPr>
      </w:pPr>
      <w:r>
        <w:rPr>
          <w:rFonts w:ascii="Arial" w:hAnsi="Arial" w:cs="Arial"/>
          <w:b/>
          <w:bCs/>
          <w:color w:val="000000" w:themeColor="text1"/>
          <w:u w:val="single"/>
        </w:rPr>
        <w:t>THE T</w:t>
      </w:r>
      <w:r w:rsidRPr="002133E4">
        <w:rPr>
          <w:rFonts w:ascii="Arial" w:hAnsi="Arial" w:cs="Arial"/>
          <w:b/>
          <w:bCs/>
          <w:color w:val="000000" w:themeColor="text1"/>
          <w:u w:val="single"/>
        </w:rPr>
        <w:t>HIRD</w:t>
      </w:r>
      <w:r w:rsidR="00F73D2F">
        <w:rPr>
          <w:rFonts w:ascii="Arial" w:hAnsi="Arial" w:cs="Arial"/>
          <w:b/>
          <w:bCs/>
          <w:color w:val="000000" w:themeColor="text1"/>
          <w:u w:val="single"/>
        </w:rPr>
        <w:t xml:space="preserve"> AND FOURTH</w:t>
      </w:r>
      <w:r w:rsidRPr="002133E4">
        <w:rPr>
          <w:rFonts w:ascii="Arial" w:hAnsi="Arial" w:cs="Arial"/>
          <w:b/>
          <w:bCs/>
          <w:color w:val="000000" w:themeColor="text1"/>
          <w:u w:val="single"/>
        </w:rPr>
        <w:t xml:space="preserve"> </w:t>
      </w:r>
      <w:r>
        <w:rPr>
          <w:rFonts w:ascii="Arial" w:hAnsi="Arial" w:cs="Arial"/>
          <w:b/>
          <w:bCs/>
          <w:color w:val="000000" w:themeColor="text1"/>
          <w:u w:val="single"/>
        </w:rPr>
        <w:t>G</w:t>
      </w:r>
      <w:r w:rsidRPr="002133E4">
        <w:rPr>
          <w:rFonts w:ascii="Arial" w:hAnsi="Arial" w:cs="Arial"/>
          <w:b/>
          <w:bCs/>
          <w:color w:val="000000" w:themeColor="text1"/>
          <w:u w:val="single"/>
        </w:rPr>
        <w:t>ROUND</w:t>
      </w:r>
      <w:r w:rsidR="00F73D2F">
        <w:rPr>
          <w:rFonts w:ascii="Arial" w:hAnsi="Arial" w:cs="Arial"/>
          <w:b/>
          <w:bCs/>
          <w:color w:val="000000" w:themeColor="text1"/>
          <w:u w:val="single"/>
        </w:rPr>
        <w:t>S</w:t>
      </w:r>
      <w:r w:rsidRPr="002133E4">
        <w:rPr>
          <w:rFonts w:ascii="Arial" w:hAnsi="Arial" w:cs="Arial"/>
          <w:b/>
          <w:bCs/>
          <w:color w:val="000000" w:themeColor="text1"/>
          <w:u w:val="single"/>
        </w:rPr>
        <w:t xml:space="preserve"> OF </w:t>
      </w:r>
      <w:r>
        <w:rPr>
          <w:rFonts w:ascii="Arial" w:hAnsi="Arial" w:cs="Arial"/>
          <w:b/>
          <w:bCs/>
          <w:color w:val="000000" w:themeColor="text1"/>
          <w:u w:val="single"/>
        </w:rPr>
        <w:t>R</w:t>
      </w:r>
      <w:r w:rsidRPr="002133E4">
        <w:rPr>
          <w:rFonts w:ascii="Arial" w:hAnsi="Arial" w:cs="Arial"/>
          <w:b/>
          <w:bCs/>
          <w:color w:val="000000" w:themeColor="text1"/>
          <w:u w:val="single"/>
        </w:rPr>
        <w:t>EVIEW</w:t>
      </w:r>
      <w:r w:rsidR="00C25E70">
        <w:rPr>
          <w:rFonts w:ascii="Arial" w:hAnsi="Arial" w:cs="Arial"/>
          <w:b/>
          <w:bCs/>
          <w:color w:val="000000" w:themeColor="text1"/>
          <w:u w:val="single"/>
        </w:rPr>
        <w:t xml:space="preserve"> – </w:t>
      </w:r>
      <w:r w:rsidR="009E05F4">
        <w:rPr>
          <w:rFonts w:ascii="Arial" w:hAnsi="Arial" w:cs="Arial"/>
          <w:b/>
          <w:bCs/>
          <w:color w:val="000000" w:themeColor="text1"/>
          <w:u w:val="single"/>
        </w:rPr>
        <w:t>ULTERIOR PURPOSE</w:t>
      </w:r>
      <w:r w:rsidR="00F73D2F">
        <w:rPr>
          <w:rFonts w:ascii="Arial" w:hAnsi="Arial" w:cs="Arial"/>
          <w:b/>
          <w:bCs/>
          <w:color w:val="000000" w:themeColor="text1"/>
          <w:u w:val="single"/>
        </w:rPr>
        <w:t xml:space="preserve"> AND </w:t>
      </w:r>
      <w:r w:rsidR="00F73D2F" w:rsidRPr="00F73D2F">
        <w:rPr>
          <w:rFonts w:ascii="Arial" w:hAnsi="Arial" w:cs="Arial"/>
          <w:b/>
          <w:bCs/>
          <w:i/>
          <w:iCs/>
          <w:color w:val="000000" w:themeColor="text1"/>
          <w:u w:val="single"/>
        </w:rPr>
        <w:t>ULTRA VIRES</w:t>
      </w:r>
    </w:p>
    <w:p w14:paraId="07E38D48" w14:textId="3FAFC7DE" w:rsidR="009E05F4" w:rsidRDefault="009E05F4" w:rsidP="002133E4">
      <w:pPr>
        <w:rPr>
          <w:rFonts w:ascii="Arial" w:hAnsi="Arial" w:cs="Arial"/>
          <w:b/>
          <w:bCs/>
          <w:color w:val="000000" w:themeColor="text1"/>
          <w:u w:val="single"/>
        </w:rPr>
      </w:pPr>
    </w:p>
    <w:p w14:paraId="559358C7" w14:textId="77777777" w:rsidR="009E05F4" w:rsidRPr="009E05F4" w:rsidRDefault="009E05F4" w:rsidP="002133E4">
      <w:pPr>
        <w:rPr>
          <w:rFonts w:ascii="Arial" w:hAnsi="Arial" w:cs="Arial"/>
          <w:color w:val="000000" w:themeColor="text1"/>
        </w:rPr>
      </w:pPr>
    </w:p>
    <w:p w14:paraId="048B8601" w14:textId="747D8E38" w:rsidR="00DA3AE0" w:rsidRPr="00AB10E4" w:rsidRDefault="00AB10E4" w:rsidP="00AB10E4">
      <w:pPr>
        <w:spacing w:line="360" w:lineRule="auto"/>
        <w:ind w:left="851" w:hanging="851"/>
        <w:jc w:val="both"/>
        <w:rPr>
          <w:rFonts w:ascii="Arial" w:hAnsi="Arial" w:cs="Arial"/>
          <w:color w:val="000000" w:themeColor="text1"/>
          <w:sz w:val="28"/>
          <w:szCs w:val="28"/>
        </w:rPr>
      </w:pPr>
      <w:r w:rsidRPr="00B22DF5">
        <w:rPr>
          <w:rFonts w:ascii="Arial" w:hAnsi="Arial" w:cs="Arial"/>
          <w:color w:val="000000" w:themeColor="text1"/>
        </w:rPr>
        <w:t>[61]</w:t>
      </w:r>
      <w:r w:rsidRPr="00B22DF5">
        <w:rPr>
          <w:rFonts w:ascii="Arial" w:hAnsi="Arial" w:cs="Arial"/>
          <w:color w:val="000000" w:themeColor="text1"/>
        </w:rPr>
        <w:tab/>
      </w:r>
      <w:r w:rsidR="009E05F4" w:rsidRPr="00AB10E4">
        <w:rPr>
          <w:rFonts w:ascii="Arial" w:hAnsi="Arial" w:cs="Arial"/>
          <w:color w:val="000000" w:themeColor="text1"/>
        </w:rPr>
        <w:t xml:space="preserve">Ithala argues that the imposition of the conditions and in particular 4.3, was done for an ulterior purpose.  It was argued that </w:t>
      </w:r>
      <w:r w:rsidR="004F4C69" w:rsidRPr="00AB10E4">
        <w:rPr>
          <w:rFonts w:ascii="Arial" w:hAnsi="Arial" w:cs="Arial"/>
          <w:i/>
          <w:iCs/>
          <w:color w:val="000000" w:themeColor="text1"/>
          <w:sz w:val="22"/>
          <w:szCs w:val="22"/>
        </w:rPr>
        <w:t>‘</w:t>
      </w:r>
      <w:r w:rsidR="002B0955" w:rsidRPr="00AB10E4">
        <w:rPr>
          <w:rFonts w:ascii="Arial" w:hAnsi="Arial" w:cs="Arial"/>
          <w:i/>
          <w:iCs/>
          <w:color w:val="000000" w:themeColor="text1"/>
          <w:sz w:val="22"/>
          <w:szCs w:val="22"/>
        </w:rPr>
        <w:t xml:space="preserve">the respondents </w:t>
      </w:r>
      <w:r w:rsidR="00984B95" w:rsidRPr="00AB10E4">
        <w:rPr>
          <w:rFonts w:ascii="Arial" w:hAnsi="Arial" w:cs="Arial"/>
          <w:i/>
          <w:iCs/>
          <w:color w:val="000000" w:themeColor="text1"/>
          <w:sz w:val="22"/>
          <w:szCs w:val="22"/>
        </w:rPr>
        <w:t>Exemption</w:t>
      </w:r>
      <w:r w:rsidR="002B0955" w:rsidRPr="00AB10E4">
        <w:rPr>
          <w:rFonts w:ascii="Arial" w:hAnsi="Arial" w:cs="Arial"/>
          <w:i/>
          <w:iCs/>
          <w:color w:val="000000" w:themeColor="text1"/>
          <w:sz w:val="22"/>
          <w:szCs w:val="22"/>
        </w:rPr>
        <w:t xml:space="preserve"> granting powers were put to use for an ulterior purpose (not for the purpose of exempting compliance with the Banks Act) but another purpose (for the purposes of winding up Ithala’s operations; or divesting provincial ownership of Ithala).</w:t>
      </w:r>
      <w:r w:rsidR="004F4C69" w:rsidRPr="00AB10E4">
        <w:rPr>
          <w:rFonts w:ascii="Arial" w:hAnsi="Arial" w:cs="Arial"/>
          <w:i/>
          <w:iCs/>
          <w:color w:val="000000" w:themeColor="text1"/>
          <w:sz w:val="22"/>
          <w:szCs w:val="22"/>
        </w:rPr>
        <w:t>’</w:t>
      </w:r>
    </w:p>
    <w:p w14:paraId="3D830040" w14:textId="77777777" w:rsidR="00B22DF5" w:rsidRPr="00DA3AE0" w:rsidRDefault="00B22DF5" w:rsidP="00B22DF5">
      <w:pPr>
        <w:pStyle w:val="ListParagraph"/>
        <w:spacing w:line="360" w:lineRule="auto"/>
        <w:ind w:left="851"/>
        <w:jc w:val="both"/>
        <w:rPr>
          <w:rFonts w:ascii="Arial" w:hAnsi="Arial" w:cs="Arial"/>
          <w:color w:val="000000" w:themeColor="text1"/>
          <w:sz w:val="28"/>
          <w:szCs w:val="28"/>
        </w:rPr>
      </w:pPr>
    </w:p>
    <w:p w14:paraId="3B57384F" w14:textId="4B614EA8" w:rsidR="002202CC" w:rsidRPr="00AB10E4" w:rsidRDefault="00AB10E4" w:rsidP="00AB10E4">
      <w:pPr>
        <w:spacing w:line="360" w:lineRule="auto"/>
        <w:ind w:left="851" w:hanging="851"/>
        <w:jc w:val="both"/>
        <w:rPr>
          <w:rFonts w:ascii="Arial" w:hAnsi="Arial" w:cs="Arial"/>
          <w:color w:val="000000" w:themeColor="text1"/>
          <w:sz w:val="28"/>
          <w:szCs w:val="28"/>
        </w:rPr>
      </w:pPr>
      <w:r w:rsidRPr="002202CC">
        <w:rPr>
          <w:rFonts w:ascii="Arial" w:hAnsi="Arial" w:cs="Arial"/>
          <w:color w:val="000000" w:themeColor="text1"/>
        </w:rPr>
        <w:t>[62]</w:t>
      </w:r>
      <w:r w:rsidRPr="002202CC">
        <w:rPr>
          <w:rFonts w:ascii="Arial" w:hAnsi="Arial" w:cs="Arial"/>
          <w:color w:val="000000" w:themeColor="text1"/>
        </w:rPr>
        <w:tab/>
      </w:r>
      <w:r w:rsidR="00DA3AE0" w:rsidRPr="00AB10E4">
        <w:rPr>
          <w:rFonts w:ascii="Arial" w:hAnsi="Arial" w:cs="Arial"/>
          <w:color w:val="000000" w:themeColor="text1"/>
        </w:rPr>
        <w:t xml:space="preserve">It is </w:t>
      </w:r>
      <w:r w:rsidR="00114E9C" w:rsidRPr="00AB10E4">
        <w:rPr>
          <w:rFonts w:ascii="Arial" w:hAnsi="Arial" w:cs="Arial"/>
          <w:color w:val="000000" w:themeColor="text1"/>
        </w:rPr>
        <w:t>trite that</w:t>
      </w:r>
      <w:r w:rsidR="00DA3AE0" w:rsidRPr="00AB10E4">
        <w:rPr>
          <w:rFonts w:ascii="Arial" w:hAnsi="Arial" w:cs="Arial"/>
          <w:color w:val="000000" w:themeColor="text1"/>
        </w:rPr>
        <w:t xml:space="preserve"> a statutory power may only be used for a valid statutory purpose</w:t>
      </w:r>
      <w:r w:rsidR="00114E9C">
        <w:rPr>
          <w:rStyle w:val="FootnoteReference"/>
          <w:rFonts w:ascii="Arial" w:hAnsi="Arial" w:cs="Arial"/>
          <w:color w:val="000000" w:themeColor="text1"/>
        </w:rPr>
        <w:footnoteReference w:id="28"/>
      </w:r>
      <w:r w:rsidR="00DA3AE0" w:rsidRPr="00AB10E4">
        <w:rPr>
          <w:rFonts w:ascii="Arial" w:hAnsi="Arial" w:cs="Arial"/>
          <w:color w:val="000000" w:themeColor="text1"/>
        </w:rPr>
        <w:t xml:space="preserve"> </w:t>
      </w:r>
      <w:r w:rsidR="00015845" w:rsidRPr="00AB10E4">
        <w:rPr>
          <w:rFonts w:ascii="Arial" w:hAnsi="Arial" w:cs="Arial"/>
          <w:color w:val="000000" w:themeColor="text1"/>
        </w:rPr>
        <w:t xml:space="preserve">and may not be used for an ulterior purpose.  </w:t>
      </w:r>
      <w:r w:rsidR="002202CC" w:rsidRPr="00AB10E4">
        <w:rPr>
          <w:rFonts w:ascii="Arial" w:hAnsi="Arial" w:cs="Arial"/>
          <w:color w:val="000000" w:themeColor="text1"/>
        </w:rPr>
        <w:t>It was argued that the only purpose for which s 1(1)(cc) of the Banks Act</w:t>
      </w:r>
      <w:r w:rsidR="002F0B2E" w:rsidRPr="00AB10E4">
        <w:rPr>
          <w:rFonts w:ascii="Arial" w:hAnsi="Arial" w:cs="Arial"/>
          <w:color w:val="000000" w:themeColor="text1"/>
        </w:rPr>
        <w:t xml:space="preserve"> could be used was for the granting of an </w:t>
      </w:r>
      <w:r w:rsidR="00984B95" w:rsidRPr="00AB10E4">
        <w:rPr>
          <w:rFonts w:ascii="Arial" w:hAnsi="Arial" w:cs="Arial"/>
          <w:color w:val="000000" w:themeColor="text1"/>
        </w:rPr>
        <w:t>Exemption</w:t>
      </w:r>
      <w:r w:rsidR="002F0B2E" w:rsidRPr="00AB10E4">
        <w:rPr>
          <w:rFonts w:ascii="Arial" w:hAnsi="Arial" w:cs="Arial"/>
          <w:color w:val="000000" w:themeColor="text1"/>
        </w:rPr>
        <w:t xml:space="preserve">.  </w:t>
      </w:r>
    </w:p>
    <w:p w14:paraId="62D5733D" w14:textId="77777777" w:rsidR="002202CC" w:rsidRPr="002202CC" w:rsidRDefault="002202CC" w:rsidP="002202CC">
      <w:pPr>
        <w:pStyle w:val="ListParagraph"/>
        <w:spacing w:line="360" w:lineRule="auto"/>
        <w:ind w:left="851"/>
        <w:jc w:val="both"/>
        <w:rPr>
          <w:rFonts w:ascii="Arial" w:hAnsi="Arial" w:cs="Arial"/>
          <w:color w:val="000000" w:themeColor="text1"/>
          <w:sz w:val="28"/>
          <w:szCs w:val="28"/>
        </w:rPr>
      </w:pPr>
    </w:p>
    <w:p w14:paraId="2E8E3870" w14:textId="107722EE" w:rsidR="009E05F4" w:rsidRPr="00AB10E4" w:rsidRDefault="00AB10E4" w:rsidP="00AB10E4">
      <w:pPr>
        <w:spacing w:line="360" w:lineRule="auto"/>
        <w:ind w:left="851" w:hanging="851"/>
        <w:jc w:val="both"/>
        <w:rPr>
          <w:rFonts w:ascii="Arial" w:hAnsi="Arial" w:cs="Arial"/>
          <w:color w:val="000000" w:themeColor="text1"/>
          <w:sz w:val="28"/>
          <w:szCs w:val="28"/>
        </w:rPr>
      </w:pPr>
      <w:r w:rsidRPr="009B18EA">
        <w:rPr>
          <w:rFonts w:ascii="Arial" w:hAnsi="Arial" w:cs="Arial"/>
          <w:color w:val="000000" w:themeColor="text1"/>
        </w:rPr>
        <w:lastRenderedPageBreak/>
        <w:t>[63]</w:t>
      </w:r>
      <w:r w:rsidRPr="009B18EA">
        <w:rPr>
          <w:rFonts w:ascii="Arial" w:hAnsi="Arial" w:cs="Arial"/>
          <w:color w:val="000000" w:themeColor="text1"/>
        </w:rPr>
        <w:tab/>
      </w:r>
      <w:r w:rsidR="00015845" w:rsidRPr="00AB10E4">
        <w:rPr>
          <w:rFonts w:ascii="Arial" w:hAnsi="Arial" w:cs="Arial"/>
          <w:color w:val="000000" w:themeColor="text1"/>
        </w:rPr>
        <w:t xml:space="preserve">I was referred by way of example in this regard to </w:t>
      </w:r>
      <w:r w:rsidR="00015845" w:rsidRPr="00AB10E4">
        <w:rPr>
          <w:rFonts w:ascii="Arial" w:hAnsi="Arial" w:cs="Arial"/>
          <w:i/>
          <w:iCs/>
          <w:color w:val="000000" w:themeColor="text1"/>
        </w:rPr>
        <w:t>National Director of Public Prosecutions v Zuma</w:t>
      </w:r>
      <w:r w:rsidR="002F0B2E" w:rsidRPr="00AB10E4">
        <w:rPr>
          <w:rFonts w:ascii="Arial" w:hAnsi="Arial" w:cs="Arial"/>
          <w:i/>
          <w:iCs/>
          <w:color w:val="000000" w:themeColor="text1"/>
        </w:rPr>
        <w:t xml:space="preserve"> </w:t>
      </w:r>
      <w:r w:rsidR="00015845">
        <w:rPr>
          <w:rStyle w:val="FootnoteReference"/>
          <w:rFonts w:ascii="Arial" w:hAnsi="Arial" w:cs="Arial"/>
          <w:color w:val="000000" w:themeColor="text1"/>
        </w:rPr>
        <w:footnoteReference w:id="29"/>
      </w:r>
      <w:r w:rsidR="00015845" w:rsidRPr="00AB10E4">
        <w:rPr>
          <w:rFonts w:ascii="Arial" w:hAnsi="Arial" w:cs="Arial"/>
          <w:i/>
          <w:iCs/>
          <w:color w:val="000000" w:themeColor="text1"/>
        </w:rPr>
        <w:t xml:space="preserve"> </w:t>
      </w:r>
      <w:r w:rsidR="00015845" w:rsidRPr="00AB10E4">
        <w:rPr>
          <w:rFonts w:ascii="Arial" w:hAnsi="Arial" w:cs="Arial"/>
          <w:color w:val="000000" w:themeColor="text1"/>
        </w:rPr>
        <w:t xml:space="preserve">which in turn referred to </w:t>
      </w:r>
      <w:r w:rsidR="00015845" w:rsidRPr="00AB10E4">
        <w:rPr>
          <w:rFonts w:ascii="Arial" w:hAnsi="Arial" w:cs="Arial"/>
          <w:i/>
          <w:iCs/>
          <w:color w:val="000000" w:themeColor="text1"/>
        </w:rPr>
        <w:t>Highstead Entertainment (Pty) Ltd t/a ‘The Club’ v Minister of Law and Order and Others,</w:t>
      </w:r>
      <w:r w:rsidR="00015845">
        <w:rPr>
          <w:rStyle w:val="FootnoteReference"/>
          <w:rFonts w:ascii="Arial" w:hAnsi="Arial" w:cs="Arial"/>
          <w:i/>
          <w:iCs/>
          <w:color w:val="000000" w:themeColor="text1"/>
        </w:rPr>
        <w:footnoteReference w:id="30"/>
      </w:r>
      <w:r w:rsidR="00015845" w:rsidRPr="00AB10E4">
        <w:rPr>
          <w:rFonts w:ascii="Arial" w:hAnsi="Arial" w:cs="Arial"/>
          <w:color w:val="000000" w:themeColor="text1"/>
        </w:rPr>
        <w:t xml:space="preserve"> a case in which the police had gone about confiscating gambling machines, not for the purpose of using them as evidence but rather to put </w:t>
      </w:r>
      <w:r w:rsidR="00015845" w:rsidRPr="00AB10E4">
        <w:rPr>
          <w:rFonts w:ascii="Arial" w:hAnsi="Arial" w:cs="Arial"/>
          <w:i/>
          <w:iCs/>
          <w:color w:val="000000" w:themeColor="text1"/>
        </w:rPr>
        <w:t>Highstead</w:t>
      </w:r>
      <w:r w:rsidR="00015845" w:rsidRPr="00AB10E4">
        <w:rPr>
          <w:rFonts w:ascii="Arial" w:hAnsi="Arial" w:cs="Arial"/>
          <w:color w:val="000000" w:themeColor="text1"/>
        </w:rPr>
        <w:t xml:space="preserve"> out of business.</w:t>
      </w:r>
      <w:r w:rsidR="00750709" w:rsidRPr="00AB10E4">
        <w:rPr>
          <w:rFonts w:ascii="Arial" w:hAnsi="Arial" w:cs="Arial"/>
          <w:color w:val="000000" w:themeColor="text1"/>
        </w:rPr>
        <w:t xml:space="preserve">  I was also referred to </w:t>
      </w:r>
      <w:r w:rsidR="00750709" w:rsidRPr="00AB10E4">
        <w:rPr>
          <w:rFonts w:ascii="Arial" w:hAnsi="Arial" w:cs="Arial"/>
          <w:i/>
          <w:iCs/>
          <w:color w:val="000000" w:themeColor="text1"/>
        </w:rPr>
        <w:t>Sex Worker Education and Advocacy Task Force v Minister of Safety and Security and Others</w:t>
      </w:r>
      <w:r w:rsidR="00750709" w:rsidRPr="00AB10E4">
        <w:rPr>
          <w:rFonts w:ascii="Arial" w:hAnsi="Arial" w:cs="Arial"/>
          <w:color w:val="000000" w:themeColor="text1"/>
        </w:rPr>
        <w:t xml:space="preserve"> </w:t>
      </w:r>
      <w:r w:rsidR="00750709">
        <w:rPr>
          <w:rStyle w:val="FootnoteReference"/>
          <w:rFonts w:ascii="Arial" w:hAnsi="Arial" w:cs="Arial"/>
          <w:color w:val="000000" w:themeColor="text1"/>
        </w:rPr>
        <w:footnoteReference w:id="31"/>
      </w:r>
      <w:r w:rsidR="00750709" w:rsidRPr="00AB10E4">
        <w:rPr>
          <w:rFonts w:ascii="Arial" w:hAnsi="Arial" w:cs="Arial"/>
          <w:color w:val="000000" w:themeColor="text1"/>
        </w:rPr>
        <w:t xml:space="preserve"> as well as </w:t>
      </w:r>
      <w:r w:rsidR="00750709" w:rsidRPr="00AB10E4">
        <w:rPr>
          <w:rFonts w:ascii="Arial" w:hAnsi="Arial" w:cs="Arial"/>
          <w:i/>
          <w:iCs/>
          <w:color w:val="000000" w:themeColor="text1"/>
        </w:rPr>
        <w:t>Tsose v Minister of Justice and Others</w:t>
      </w:r>
      <w:r w:rsidR="00E6141A" w:rsidRPr="00AB10E4">
        <w:rPr>
          <w:rFonts w:ascii="Arial" w:hAnsi="Arial" w:cs="Arial"/>
          <w:i/>
          <w:iCs/>
          <w:color w:val="000000" w:themeColor="text1"/>
        </w:rPr>
        <w:t>.</w:t>
      </w:r>
      <w:r w:rsidR="00750709" w:rsidRPr="00AB10E4">
        <w:rPr>
          <w:rFonts w:ascii="Arial" w:hAnsi="Arial" w:cs="Arial"/>
          <w:color w:val="000000" w:themeColor="text1"/>
        </w:rPr>
        <w:t xml:space="preserve"> </w:t>
      </w:r>
      <w:r w:rsidR="00750709">
        <w:rPr>
          <w:rStyle w:val="FootnoteReference"/>
          <w:rFonts w:ascii="Arial" w:hAnsi="Arial" w:cs="Arial"/>
          <w:color w:val="000000" w:themeColor="text1"/>
        </w:rPr>
        <w:footnoteReference w:id="32"/>
      </w:r>
      <w:r w:rsidR="00E6141A" w:rsidRPr="00AB10E4">
        <w:rPr>
          <w:rFonts w:ascii="Arial" w:hAnsi="Arial" w:cs="Arial"/>
          <w:color w:val="000000" w:themeColor="text1"/>
        </w:rPr>
        <w:t xml:space="preserve"> All the cases to which I was referred, make plain that the exercise of a statutory power is circumscribed by the purpose for which the power is granted and that it must be exercised within that context lawfully.</w:t>
      </w:r>
    </w:p>
    <w:p w14:paraId="3ADD5626" w14:textId="77777777" w:rsidR="009B18EA" w:rsidRPr="00DA3AE0" w:rsidRDefault="009B18EA" w:rsidP="009B18EA">
      <w:pPr>
        <w:pStyle w:val="ListParagraph"/>
        <w:spacing w:line="360" w:lineRule="auto"/>
        <w:ind w:left="851"/>
        <w:jc w:val="both"/>
        <w:rPr>
          <w:rFonts w:ascii="Arial" w:hAnsi="Arial" w:cs="Arial"/>
          <w:color w:val="000000" w:themeColor="text1"/>
          <w:sz w:val="28"/>
          <w:szCs w:val="28"/>
        </w:rPr>
      </w:pPr>
    </w:p>
    <w:p w14:paraId="1FD15F5D" w14:textId="0557F991" w:rsidR="00271828" w:rsidRPr="00AB10E4" w:rsidRDefault="00AB10E4" w:rsidP="00AB10E4">
      <w:pPr>
        <w:spacing w:line="360" w:lineRule="auto"/>
        <w:ind w:left="851" w:hanging="851"/>
        <w:jc w:val="both"/>
        <w:rPr>
          <w:rFonts w:ascii="Arial" w:hAnsi="Arial" w:cs="Arial"/>
          <w:color w:val="000000" w:themeColor="text1"/>
          <w:sz w:val="28"/>
          <w:szCs w:val="28"/>
        </w:rPr>
      </w:pPr>
      <w:r w:rsidRPr="00271828">
        <w:rPr>
          <w:rFonts w:ascii="Arial" w:hAnsi="Arial" w:cs="Arial"/>
          <w:color w:val="000000" w:themeColor="text1"/>
        </w:rPr>
        <w:t>[64]</w:t>
      </w:r>
      <w:r w:rsidRPr="00271828">
        <w:rPr>
          <w:rFonts w:ascii="Arial" w:hAnsi="Arial" w:cs="Arial"/>
          <w:color w:val="000000" w:themeColor="text1"/>
        </w:rPr>
        <w:tab/>
      </w:r>
      <w:r w:rsidR="00D43B66" w:rsidRPr="00AB10E4">
        <w:rPr>
          <w:rFonts w:ascii="Arial" w:hAnsi="Arial" w:cs="Arial"/>
          <w:color w:val="000000" w:themeColor="text1"/>
        </w:rPr>
        <w:t xml:space="preserve">In the present matter, </w:t>
      </w:r>
      <w:r w:rsidR="00BF03A7" w:rsidRPr="00AB10E4">
        <w:rPr>
          <w:rFonts w:ascii="Arial" w:hAnsi="Arial" w:cs="Arial"/>
          <w:color w:val="000000" w:themeColor="text1"/>
        </w:rPr>
        <w:t xml:space="preserve">each of the conditions imposed is directly connected to the concerns raised by the Prudential Authority in its letter of 3 June 2022 read together with Ithala’s response to that letter of 20 June 2022.  </w:t>
      </w:r>
    </w:p>
    <w:p w14:paraId="3E44298F" w14:textId="77777777" w:rsidR="00271828" w:rsidRPr="00271828" w:rsidRDefault="00271828" w:rsidP="00271828">
      <w:pPr>
        <w:pStyle w:val="ListParagraph"/>
        <w:rPr>
          <w:rFonts w:ascii="Arial" w:hAnsi="Arial" w:cs="Arial"/>
          <w:color w:val="000000" w:themeColor="text1"/>
        </w:rPr>
      </w:pPr>
    </w:p>
    <w:p w14:paraId="1A1939DB" w14:textId="081D60BB" w:rsidR="00D43B66" w:rsidRPr="00AB10E4" w:rsidRDefault="00AB10E4" w:rsidP="00AB10E4">
      <w:pPr>
        <w:spacing w:line="360" w:lineRule="auto"/>
        <w:ind w:left="851" w:hanging="851"/>
        <w:jc w:val="both"/>
        <w:rPr>
          <w:rFonts w:ascii="Arial" w:hAnsi="Arial" w:cs="Arial"/>
          <w:color w:val="000000" w:themeColor="text1"/>
          <w:sz w:val="28"/>
          <w:szCs w:val="28"/>
        </w:rPr>
      </w:pPr>
      <w:r w:rsidRPr="00F73D2F">
        <w:rPr>
          <w:rFonts w:ascii="Arial" w:hAnsi="Arial" w:cs="Arial"/>
          <w:color w:val="000000" w:themeColor="text1"/>
        </w:rPr>
        <w:t>[65]</w:t>
      </w:r>
      <w:r w:rsidRPr="00F73D2F">
        <w:rPr>
          <w:rFonts w:ascii="Arial" w:hAnsi="Arial" w:cs="Arial"/>
          <w:color w:val="000000" w:themeColor="text1"/>
        </w:rPr>
        <w:tab/>
      </w:r>
      <w:r w:rsidR="00BF03A7" w:rsidRPr="00AB10E4">
        <w:rPr>
          <w:rFonts w:ascii="Arial" w:hAnsi="Arial" w:cs="Arial"/>
          <w:color w:val="000000" w:themeColor="text1"/>
        </w:rPr>
        <w:t xml:space="preserve">Indeed insofar as a position had been taken in that letter subject to the response of Ithala, that no further extension would be granted beyond 30 June 2022, after receiving the response from Ithala, an </w:t>
      </w:r>
      <w:r w:rsidR="00984B95" w:rsidRPr="00AB10E4">
        <w:rPr>
          <w:rFonts w:ascii="Arial" w:hAnsi="Arial" w:cs="Arial"/>
          <w:color w:val="000000" w:themeColor="text1"/>
        </w:rPr>
        <w:t>Exemption</w:t>
      </w:r>
      <w:r w:rsidR="00BF03A7" w:rsidRPr="00AB10E4">
        <w:rPr>
          <w:rFonts w:ascii="Arial" w:hAnsi="Arial" w:cs="Arial"/>
          <w:color w:val="000000" w:themeColor="text1"/>
        </w:rPr>
        <w:t xml:space="preserve"> was indeed granted with conditions that are directly and pertinently the consequence of the engagement by the Prudential Authority with Ithala.</w:t>
      </w:r>
      <w:r w:rsidR="00271828" w:rsidRPr="00AB10E4">
        <w:rPr>
          <w:rFonts w:ascii="Arial" w:hAnsi="Arial" w:cs="Arial"/>
          <w:color w:val="000000" w:themeColor="text1"/>
        </w:rPr>
        <w:t xml:space="preserve">  For this reason, I am not persuaded that the imposition of any of the conditions was actuated by an ulterior purpose.</w:t>
      </w:r>
    </w:p>
    <w:p w14:paraId="4875E675" w14:textId="77777777" w:rsidR="00F73D2F" w:rsidRPr="00F73D2F" w:rsidRDefault="00F73D2F" w:rsidP="00F73D2F">
      <w:pPr>
        <w:pStyle w:val="ListParagraph"/>
        <w:rPr>
          <w:rFonts w:ascii="Arial" w:hAnsi="Arial" w:cs="Arial"/>
          <w:color w:val="000000" w:themeColor="text1"/>
          <w:sz w:val="28"/>
          <w:szCs w:val="28"/>
        </w:rPr>
      </w:pPr>
    </w:p>
    <w:p w14:paraId="23B82476" w14:textId="55721E9F" w:rsidR="000F6070" w:rsidRPr="00AB10E4" w:rsidRDefault="00AB10E4" w:rsidP="00AB10E4">
      <w:pPr>
        <w:spacing w:line="360" w:lineRule="auto"/>
        <w:ind w:left="851" w:hanging="851"/>
        <w:jc w:val="both"/>
        <w:rPr>
          <w:rFonts w:ascii="Arial" w:hAnsi="Arial" w:cs="Arial"/>
          <w:color w:val="000000" w:themeColor="text1"/>
          <w:sz w:val="28"/>
          <w:szCs w:val="28"/>
        </w:rPr>
      </w:pPr>
      <w:r w:rsidRPr="000F6070">
        <w:rPr>
          <w:rFonts w:ascii="Arial" w:hAnsi="Arial" w:cs="Arial"/>
          <w:color w:val="000000" w:themeColor="text1"/>
        </w:rPr>
        <w:t>[66]</w:t>
      </w:r>
      <w:r w:rsidRPr="000F6070">
        <w:rPr>
          <w:rFonts w:ascii="Arial" w:hAnsi="Arial" w:cs="Arial"/>
          <w:color w:val="000000" w:themeColor="text1"/>
        </w:rPr>
        <w:tab/>
      </w:r>
      <w:r w:rsidR="00F73D2F" w:rsidRPr="00AB10E4">
        <w:rPr>
          <w:rFonts w:ascii="Arial" w:hAnsi="Arial" w:cs="Arial"/>
          <w:color w:val="000000" w:themeColor="text1"/>
        </w:rPr>
        <w:t xml:space="preserve">When regard is had to the entirety of the contents of the schedule attached to the </w:t>
      </w:r>
      <w:r w:rsidR="00984B95" w:rsidRPr="00AB10E4">
        <w:rPr>
          <w:rFonts w:ascii="Arial" w:hAnsi="Arial" w:cs="Arial"/>
          <w:color w:val="000000" w:themeColor="text1"/>
        </w:rPr>
        <w:t>Exemption</w:t>
      </w:r>
      <w:r w:rsidR="00F73D2F" w:rsidRPr="00AB10E4">
        <w:rPr>
          <w:rFonts w:ascii="Arial" w:hAnsi="Arial" w:cs="Arial"/>
          <w:color w:val="000000" w:themeColor="text1"/>
        </w:rPr>
        <w:t xml:space="preserve"> Notice, what is readily apparent is that paragraph 3.5 is in its terms not a condition but a recordal of the reason for the granting of the </w:t>
      </w:r>
      <w:r w:rsidR="00984B95" w:rsidRPr="00AB10E4">
        <w:rPr>
          <w:rFonts w:ascii="Arial" w:hAnsi="Arial" w:cs="Arial"/>
          <w:color w:val="000000" w:themeColor="text1"/>
        </w:rPr>
        <w:t>Exemption</w:t>
      </w:r>
      <w:r w:rsidR="00F73D2F" w:rsidRPr="00AB10E4">
        <w:rPr>
          <w:rFonts w:ascii="Arial" w:hAnsi="Arial" w:cs="Arial"/>
          <w:color w:val="000000" w:themeColor="text1"/>
        </w:rPr>
        <w:t xml:space="preserve">.  Similarly, paragraph 4.9 is a regulatory directive which the Prudential Authority is entitled to issue at any time and does not form a condition relating to the deposit taking activities of Ithala.  </w:t>
      </w:r>
    </w:p>
    <w:p w14:paraId="6A5B8D58" w14:textId="77777777" w:rsidR="000F6070" w:rsidRPr="000F6070" w:rsidRDefault="000F6070" w:rsidP="000F6070">
      <w:pPr>
        <w:pStyle w:val="ListParagraph"/>
        <w:rPr>
          <w:rFonts w:ascii="Arial" w:hAnsi="Arial" w:cs="Arial"/>
          <w:color w:val="000000" w:themeColor="text1"/>
        </w:rPr>
      </w:pPr>
    </w:p>
    <w:p w14:paraId="01B107E3" w14:textId="2F7D7C67" w:rsidR="00271828" w:rsidRPr="00AB10E4" w:rsidRDefault="00AB10E4" w:rsidP="00AB10E4">
      <w:pPr>
        <w:spacing w:line="360" w:lineRule="auto"/>
        <w:ind w:left="851" w:hanging="851"/>
        <w:jc w:val="both"/>
        <w:rPr>
          <w:rFonts w:ascii="Arial" w:hAnsi="Arial" w:cs="Arial"/>
          <w:color w:val="000000" w:themeColor="text1"/>
          <w:sz w:val="28"/>
          <w:szCs w:val="28"/>
        </w:rPr>
      </w:pPr>
      <w:r w:rsidRPr="00F73D2F">
        <w:rPr>
          <w:rFonts w:ascii="Arial" w:hAnsi="Arial" w:cs="Arial"/>
          <w:color w:val="000000" w:themeColor="text1"/>
        </w:rPr>
        <w:lastRenderedPageBreak/>
        <w:t>[67]</w:t>
      </w:r>
      <w:r w:rsidRPr="00F73D2F">
        <w:rPr>
          <w:rFonts w:ascii="Arial" w:hAnsi="Arial" w:cs="Arial"/>
          <w:color w:val="000000" w:themeColor="text1"/>
        </w:rPr>
        <w:tab/>
      </w:r>
      <w:r w:rsidR="00F73D2F" w:rsidRPr="00AB10E4">
        <w:rPr>
          <w:rFonts w:ascii="Arial" w:hAnsi="Arial" w:cs="Arial"/>
          <w:color w:val="000000" w:themeColor="text1"/>
        </w:rPr>
        <w:t>The conditions that relate directly to the deposit taking activities – condition</w:t>
      </w:r>
      <w:r w:rsidR="00DC055F" w:rsidRPr="00AB10E4">
        <w:rPr>
          <w:rFonts w:ascii="Arial" w:hAnsi="Arial" w:cs="Arial"/>
          <w:color w:val="000000" w:themeColor="text1"/>
        </w:rPr>
        <w:t>s</w:t>
      </w:r>
      <w:r w:rsidR="00F73D2F" w:rsidRPr="00AB10E4">
        <w:rPr>
          <w:rFonts w:ascii="Arial" w:hAnsi="Arial" w:cs="Arial"/>
          <w:color w:val="000000" w:themeColor="text1"/>
        </w:rPr>
        <w:t xml:space="preserve"> 4.3, 4.5 and 4.8</w:t>
      </w:r>
      <w:r w:rsidR="004F4C69" w:rsidRPr="00AB10E4">
        <w:rPr>
          <w:rFonts w:ascii="Arial" w:hAnsi="Arial" w:cs="Arial"/>
          <w:color w:val="000000" w:themeColor="text1"/>
        </w:rPr>
        <w:t xml:space="preserve"> -</w:t>
      </w:r>
      <w:r w:rsidR="00F73D2F" w:rsidRPr="00AB10E4">
        <w:rPr>
          <w:rFonts w:ascii="Arial" w:hAnsi="Arial" w:cs="Arial"/>
          <w:color w:val="000000" w:themeColor="text1"/>
        </w:rPr>
        <w:t xml:space="preserve"> </w:t>
      </w:r>
      <w:r w:rsidR="00A35CFE" w:rsidRPr="00AB10E4">
        <w:rPr>
          <w:rFonts w:ascii="Arial" w:hAnsi="Arial" w:cs="Arial"/>
          <w:color w:val="000000" w:themeColor="text1"/>
        </w:rPr>
        <w:t xml:space="preserve">deal with this particular aspect pertinently and fall squarely within </w:t>
      </w:r>
      <w:r w:rsidR="004F4C69" w:rsidRPr="00AB10E4">
        <w:rPr>
          <w:rFonts w:ascii="Arial" w:hAnsi="Arial" w:cs="Arial"/>
          <w:color w:val="000000" w:themeColor="text1"/>
        </w:rPr>
        <w:t xml:space="preserve">the </w:t>
      </w:r>
      <w:r w:rsidR="002E3837" w:rsidRPr="00AB10E4">
        <w:rPr>
          <w:rFonts w:ascii="Arial" w:hAnsi="Arial" w:cs="Arial"/>
          <w:color w:val="000000" w:themeColor="text1"/>
        </w:rPr>
        <w:t xml:space="preserve">power </w:t>
      </w:r>
      <w:r w:rsidR="002E3837">
        <w:rPr>
          <w:rStyle w:val="FootnoteReference"/>
          <w:rFonts w:ascii="Arial" w:hAnsi="Arial" w:cs="Arial"/>
          <w:color w:val="000000" w:themeColor="text1"/>
        </w:rPr>
        <w:footnoteReference w:id="33"/>
      </w:r>
      <w:r w:rsidR="00A35CFE" w:rsidRPr="00AB10E4">
        <w:rPr>
          <w:rFonts w:ascii="Arial" w:hAnsi="Arial" w:cs="Arial"/>
          <w:color w:val="000000" w:themeColor="text1"/>
        </w:rPr>
        <w:t xml:space="preserve"> to grant the </w:t>
      </w:r>
      <w:r w:rsidR="00984B95" w:rsidRPr="00AB10E4">
        <w:rPr>
          <w:rFonts w:ascii="Arial" w:hAnsi="Arial" w:cs="Arial"/>
          <w:color w:val="000000" w:themeColor="text1"/>
        </w:rPr>
        <w:t>Exemption</w:t>
      </w:r>
      <w:r w:rsidR="00A35CFE" w:rsidRPr="00AB10E4">
        <w:rPr>
          <w:rFonts w:ascii="Arial" w:hAnsi="Arial" w:cs="Arial"/>
          <w:color w:val="000000" w:themeColor="text1"/>
        </w:rPr>
        <w:t xml:space="preserve"> with conditions as provided for in s 1(1)(cc) of the Banks Act. </w:t>
      </w:r>
      <w:r w:rsidR="00971F5A" w:rsidRPr="00AB10E4">
        <w:rPr>
          <w:rFonts w:ascii="Arial" w:hAnsi="Arial" w:cs="Arial"/>
          <w:color w:val="000000" w:themeColor="text1"/>
        </w:rPr>
        <w:t xml:space="preserve"> For this reason, too, I find the argument that the imposition of the particular conditions was </w:t>
      </w:r>
      <w:r w:rsidR="00971F5A" w:rsidRPr="00AB10E4">
        <w:rPr>
          <w:rFonts w:ascii="Arial" w:hAnsi="Arial" w:cs="Arial"/>
          <w:i/>
          <w:iCs/>
          <w:color w:val="000000" w:themeColor="text1"/>
        </w:rPr>
        <w:t>ultra vires</w:t>
      </w:r>
      <w:r w:rsidR="00971F5A" w:rsidRPr="00AB10E4">
        <w:rPr>
          <w:rFonts w:ascii="Arial" w:hAnsi="Arial" w:cs="Arial"/>
          <w:color w:val="000000" w:themeColor="text1"/>
        </w:rPr>
        <w:t xml:space="preserve"> to be without merit.</w:t>
      </w:r>
    </w:p>
    <w:p w14:paraId="3E118576" w14:textId="77777777" w:rsidR="00C25E70" w:rsidRDefault="00C25E70" w:rsidP="00234BD8">
      <w:pPr>
        <w:spacing w:line="360" w:lineRule="auto"/>
        <w:jc w:val="both"/>
        <w:rPr>
          <w:rFonts w:ascii="Arial" w:hAnsi="Arial" w:cs="Arial"/>
          <w:b/>
          <w:bCs/>
          <w:color w:val="000000" w:themeColor="text1"/>
          <w:u w:val="single"/>
        </w:rPr>
      </w:pPr>
    </w:p>
    <w:p w14:paraId="45679481" w14:textId="1BEFCADB" w:rsidR="00C25E70" w:rsidRDefault="00C25E70" w:rsidP="00234BD8">
      <w:pPr>
        <w:spacing w:line="360" w:lineRule="auto"/>
        <w:jc w:val="both"/>
        <w:rPr>
          <w:rFonts w:ascii="Arial" w:hAnsi="Arial" w:cs="Arial"/>
          <w:b/>
          <w:bCs/>
          <w:color w:val="000000" w:themeColor="text1"/>
          <w:u w:val="single"/>
        </w:rPr>
      </w:pPr>
      <w:r>
        <w:rPr>
          <w:rFonts w:ascii="Arial" w:hAnsi="Arial" w:cs="Arial"/>
          <w:b/>
          <w:bCs/>
          <w:color w:val="000000" w:themeColor="text1"/>
          <w:u w:val="single"/>
        </w:rPr>
        <w:t>THE F</w:t>
      </w:r>
      <w:r w:rsidR="009E05F4">
        <w:rPr>
          <w:rFonts w:ascii="Arial" w:hAnsi="Arial" w:cs="Arial"/>
          <w:b/>
          <w:bCs/>
          <w:color w:val="000000" w:themeColor="text1"/>
          <w:u w:val="single"/>
        </w:rPr>
        <w:t>IFTH</w:t>
      </w:r>
      <w:r>
        <w:rPr>
          <w:rFonts w:ascii="Arial" w:hAnsi="Arial" w:cs="Arial"/>
          <w:b/>
          <w:bCs/>
          <w:color w:val="000000" w:themeColor="text1"/>
          <w:u w:val="single"/>
        </w:rPr>
        <w:t xml:space="preserve"> GROUND OF REVIEW – UNCONSTITUTIONALITY AND UNLAWFULNESS</w:t>
      </w:r>
    </w:p>
    <w:p w14:paraId="1A383BE4" w14:textId="03294ABD" w:rsidR="00F73D2F" w:rsidRPr="002133E4" w:rsidRDefault="00F73D2F" w:rsidP="00F73D2F">
      <w:pPr>
        <w:rPr>
          <w:rFonts w:ascii="Arial" w:hAnsi="Arial" w:cs="Arial"/>
          <w:color w:val="000000" w:themeColor="text1"/>
        </w:rPr>
      </w:pPr>
    </w:p>
    <w:p w14:paraId="04BEDC26" w14:textId="22EB8B0B" w:rsidR="00C25E70" w:rsidRPr="00AB10E4" w:rsidRDefault="00AB10E4" w:rsidP="00AB10E4">
      <w:pPr>
        <w:spacing w:line="360" w:lineRule="auto"/>
        <w:ind w:left="851" w:hanging="851"/>
        <w:jc w:val="both"/>
        <w:rPr>
          <w:rFonts w:ascii="Arial" w:hAnsi="Arial" w:cs="Arial"/>
          <w:color w:val="000000" w:themeColor="text1"/>
        </w:rPr>
      </w:pPr>
      <w:r>
        <w:rPr>
          <w:rFonts w:ascii="Arial" w:hAnsi="Arial" w:cs="Arial"/>
          <w:color w:val="000000" w:themeColor="text1"/>
        </w:rPr>
        <w:t>[68]</w:t>
      </w:r>
      <w:r>
        <w:rPr>
          <w:rFonts w:ascii="Arial" w:hAnsi="Arial" w:cs="Arial"/>
          <w:color w:val="000000" w:themeColor="text1"/>
        </w:rPr>
        <w:tab/>
      </w:r>
      <w:r w:rsidR="00971F5A" w:rsidRPr="00AB10E4">
        <w:rPr>
          <w:rFonts w:ascii="Arial" w:hAnsi="Arial" w:cs="Arial"/>
          <w:color w:val="000000" w:themeColor="text1"/>
        </w:rPr>
        <w:t xml:space="preserve">This ground is predicated upon a finding that the granting of the </w:t>
      </w:r>
      <w:r w:rsidR="00984B95" w:rsidRPr="00AB10E4">
        <w:rPr>
          <w:rFonts w:ascii="Arial" w:hAnsi="Arial" w:cs="Arial"/>
          <w:color w:val="000000" w:themeColor="text1"/>
        </w:rPr>
        <w:t>Exemption</w:t>
      </w:r>
      <w:r w:rsidR="00971F5A" w:rsidRPr="00AB10E4">
        <w:rPr>
          <w:rFonts w:ascii="Arial" w:hAnsi="Arial" w:cs="Arial"/>
          <w:color w:val="000000" w:themeColor="text1"/>
        </w:rPr>
        <w:t xml:space="preserve"> with the conditions that were attached to it was done for the ulterior purpose of either forcing Ithala to </w:t>
      </w:r>
      <w:r w:rsidR="004F4C69" w:rsidRPr="00AB10E4">
        <w:rPr>
          <w:rFonts w:ascii="Arial" w:hAnsi="Arial" w:cs="Arial"/>
          <w:color w:val="000000" w:themeColor="text1"/>
        </w:rPr>
        <w:t>‘</w:t>
      </w:r>
      <w:r w:rsidR="00971F5A" w:rsidRPr="00AB10E4">
        <w:rPr>
          <w:rFonts w:ascii="Arial" w:hAnsi="Arial" w:cs="Arial"/>
          <w:color w:val="000000" w:themeColor="text1"/>
        </w:rPr>
        <w:t>close its doors</w:t>
      </w:r>
      <w:r w:rsidR="004F4C69" w:rsidRPr="00AB10E4">
        <w:rPr>
          <w:rFonts w:ascii="Arial" w:hAnsi="Arial" w:cs="Arial"/>
          <w:color w:val="000000" w:themeColor="text1"/>
        </w:rPr>
        <w:t>’</w:t>
      </w:r>
      <w:r w:rsidR="00971F5A" w:rsidRPr="00AB10E4">
        <w:rPr>
          <w:rFonts w:ascii="Arial" w:hAnsi="Arial" w:cs="Arial"/>
          <w:color w:val="000000" w:themeColor="text1"/>
        </w:rPr>
        <w:t xml:space="preserve"> or to force the provincial government to </w:t>
      </w:r>
      <w:r w:rsidR="004F4C69" w:rsidRPr="00AB10E4">
        <w:rPr>
          <w:rFonts w:ascii="Arial" w:hAnsi="Arial" w:cs="Arial"/>
          <w:color w:val="000000" w:themeColor="text1"/>
        </w:rPr>
        <w:t>‘</w:t>
      </w:r>
      <w:r w:rsidR="00971F5A" w:rsidRPr="00AB10E4">
        <w:rPr>
          <w:rFonts w:ascii="Arial" w:hAnsi="Arial" w:cs="Arial"/>
          <w:color w:val="000000" w:themeColor="text1"/>
        </w:rPr>
        <w:t>part with ownership and control</w:t>
      </w:r>
      <w:r w:rsidR="004F4C69" w:rsidRPr="00AB10E4">
        <w:rPr>
          <w:rFonts w:ascii="Arial" w:hAnsi="Arial" w:cs="Arial"/>
          <w:color w:val="000000" w:themeColor="text1"/>
        </w:rPr>
        <w:t>’</w:t>
      </w:r>
      <w:r w:rsidR="00971F5A" w:rsidRPr="00AB10E4">
        <w:rPr>
          <w:rFonts w:ascii="Arial" w:hAnsi="Arial" w:cs="Arial"/>
          <w:color w:val="000000" w:themeColor="text1"/>
        </w:rPr>
        <w:t>.  For the reasons that I have set out above, I have declined to make that finding.</w:t>
      </w:r>
    </w:p>
    <w:p w14:paraId="4ECD683A" w14:textId="77777777" w:rsidR="00971F5A" w:rsidRPr="00B9522C" w:rsidRDefault="00971F5A" w:rsidP="00B9522C">
      <w:pPr>
        <w:spacing w:line="360" w:lineRule="auto"/>
        <w:jc w:val="both"/>
        <w:rPr>
          <w:rFonts w:ascii="Arial" w:hAnsi="Arial" w:cs="Arial"/>
          <w:color w:val="000000" w:themeColor="text1"/>
        </w:rPr>
      </w:pPr>
    </w:p>
    <w:p w14:paraId="0C3AB2E3" w14:textId="081BB8A6" w:rsidR="002C3A05" w:rsidRPr="00AB10E4" w:rsidRDefault="00AB10E4" w:rsidP="00AB10E4">
      <w:pPr>
        <w:spacing w:line="360" w:lineRule="auto"/>
        <w:ind w:left="851" w:hanging="851"/>
        <w:jc w:val="both"/>
        <w:rPr>
          <w:rFonts w:ascii="Arial" w:hAnsi="Arial" w:cs="Arial"/>
          <w:color w:val="000000" w:themeColor="text1"/>
        </w:rPr>
      </w:pPr>
      <w:r w:rsidRPr="00AD4721">
        <w:rPr>
          <w:rFonts w:ascii="Arial" w:hAnsi="Arial" w:cs="Arial"/>
          <w:color w:val="000000" w:themeColor="text1"/>
        </w:rPr>
        <w:t>[69]</w:t>
      </w:r>
      <w:r w:rsidRPr="00AD4721">
        <w:rPr>
          <w:rFonts w:ascii="Arial" w:hAnsi="Arial" w:cs="Arial"/>
          <w:color w:val="000000" w:themeColor="text1"/>
        </w:rPr>
        <w:tab/>
      </w:r>
      <w:r w:rsidR="00971F5A" w:rsidRPr="00AB10E4">
        <w:rPr>
          <w:rFonts w:ascii="Arial" w:hAnsi="Arial" w:cs="Arial"/>
          <w:color w:val="000000" w:themeColor="text1"/>
        </w:rPr>
        <w:t>Ithala devoted some time in its heads of argument dealing with the purpose for which it was created and its objectives.  Notwithstanding the concession that Ithala is only in a position</w:t>
      </w:r>
      <w:r w:rsidR="00BB2C42" w:rsidRPr="00AB10E4">
        <w:rPr>
          <w:rFonts w:ascii="Arial" w:hAnsi="Arial" w:cs="Arial"/>
          <w:color w:val="000000" w:themeColor="text1"/>
        </w:rPr>
        <w:t xml:space="preserve"> to take deposits subject to </w:t>
      </w:r>
      <w:r w:rsidR="00984B95" w:rsidRPr="00AB10E4">
        <w:rPr>
          <w:rFonts w:ascii="Arial" w:hAnsi="Arial" w:cs="Arial"/>
          <w:color w:val="000000" w:themeColor="text1"/>
        </w:rPr>
        <w:t>Exemption</w:t>
      </w:r>
      <w:r w:rsidR="00BB2C42" w:rsidRPr="00AB10E4">
        <w:rPr>
          <w:rFonts w:ascii="Arial" w:hAnsi="Arial" w:cs="Arial"/>
          <w:color w:val="000000" w:themeColor="text1"/>
        </w:rPr>
        <w:t xml:space="preserve">s and any conditions attached thereto being granted to it in terms of the Banks Act, it </w:t>
      </w:r>
      <w:r w:rsidR="006858B5" w:rsidRPr="00AB10E4">
        <w:rPr>
          <w:rFonts w:ascii="Arial" w:hAnsi="Arial" w:cs="Arial"/>
          <w:color w:val="000000" w:themeColor="text1"/>
        </w:rPr>
        <w:t>argues,</w:t>
      </w:r>
      <w:r w:rsidR="00BB2C42" w:rsidRPr="00AB10E4">
        <w:rPr>
          <w:rFonts w:ascii="Arial" w:hAnsi="Arial" w:cs="Arial"/>
          <w:color w:val="000000" w:themeColor="text1"/>
        </w:rPr>
        <w:t xml:space="preserve"> that because Ithala was established </w:t>
      </w:r>
      <w:r w:rsidR="004F4C69" w:rsidRPr="00AB10E4">
        <w:rPr>
          <w:rFonts w:ascii="Arial" w:hAnsi="Arial" w:cs="Arial"/>
          <w:color w:val="000000" w:themeColor="text1"/>
        </w:rPr>
        <w:t>‘</w:t>
      </w:r>
      <w:r w:rsidR="00BB2C42" w:rsidRPr="00AB10E4">
        <w:rPr>
          <w:rFonts w:ascii="Arial" w:hAnsi="Arial" w:cs="Arial"/>
          <w:i/>
          <w:iCs/>
          <w:color w:val="000000" w:themeColor="text1"/>
          <w:sz w:val="22"/>
          <w:szCs w:val="22"/>
        </w:rPr>
        <w:t>to further socio-economic development – that is to say, urban and rural development -  within the Province of KwaZulu - Natal, as an instrument under the control of the Provincial Government</w:t>
      </w:r>
      <w:r w:rsidR="004F4C69" w:rsidRPr="00AB10E4">
        <w:rPr>
          <w:rFonts w:ascii="Arial" w:hAnsi="Arial" w:cs="Arial"/>
          <w:i/>
          <w:iCs/>
          <w:color w:val="000000" w:themeColor="text1"/>
          <w:sz w:val="22"/>
          <w:szCs w:val="22"/>
        </w:rPr>
        <w:t>’</w:t>
      </w:r>
      <w:r w:rsidR="00BB2C42" w:rsidRPr="00AB10E4">
        <w:rPr>
          <w:rFonts w:ascii="Arial" w:hAnsi="Arial" w:cs="Arial"/>
          <w:color w:val="000000" w:themeColor="text1"/>
        </w:rPr>
        <w:t xml:space="preserve"> that the imposition of the very conditions deemed necessary for the protection of depositors </w:t>
      </w:r>
      <w:r w:rsidR="004F4C69" w:rsidRPr="00AB10E4">
        <w:rPr>
          <w:rFonts w:ascii="Arial" w:hAnsi="Arial" w:cs="Arial"/>
          <w:color w:val="000000" w:themeColor="text1"/>
        </w:rPr>
        <w:t>‘</w:t>
      </w:r>
      <w:r w:rsidR="00BB2C42" w:rsidRPr="00AB10E4">
        <w:rPr>
          <w:rFonts w:ascii="Arial" w:hAnsi="Arial" w:cs="Arial"/>
          <w:i/>
          <w:iCs/>
          <w:color w:val="000000" w:themeColor="text1"/>
          <w:sz w:val="22"/>
          <w:szCs w:val="22"/>
        </w:rPr>
        <w:t>amount to unconstitutional interference with the performance by the Provincial Government of a legitimate governmental function on behalf of persons domiciled, ordinarily resident or carrying on business within the Province of KwaZulu – Natal</w:t>
      </w:r>
      <w:r w:rsidR="00BB2C42" w:rsidRPr="00AB10E4">
        <w:rPr>
          <w:rFonts w:ascii="Arial" w:hAnsi="Arial" w:cs="Arial"/>
          <w:color w:val="000000" w:themeColor="text1"/>
        </w:rPr>
        <w:t>.</w:t>
      </w:r>
      <w:r w:rsidR="004F4C69" w:rsidRPr="00AB10E4">
        <w:rPr>
          <w:rFonts w:ascii="Arial" w:hAnsi="Arial" w:cs="Arial"/>
          <w:color w:val="000000" w:themeColor="text1"/>
        </w:rPr>
        <w:t>’</w:t>
      </w:r>
      <w:r w:rsidR="007D4123" w:rsidRPr="00AB10E4">
        <w:rPr>
          <w:rFonts w:ascii="Arial" w:hAnsi="Arial" w:cs="Arial"/>
          <w:color w:val="000000" w:themeColor="text1"/>
        </w:rPr>
        <w:t xml:space="preserve">  </w:t>
      </w:r>
      <w:r w:rsidR="00AD4721" w:rsidRPr="00AB10E4">
        <w:rPr>
          <w:rFonts w:ascii="Arial" w:hAnsi="Arial" w:cs="Arial"/>
          <w:color w:val="000000" w:themeColor="text1"/>
        </w:rPr>
        <w:t xml:space="preserve">This argument disregards the very purpose for which the Prudential Authority was established. </w:t>
      </w:r>
      <w:r w:rsidR="007D4123" w:rsidRPr="00AB10E4">
        <w:rPr>
          <w:rFonts w:ascii="Arial" w:hAnsi="Arial" w:cs="Arial"/>
          <w:color w:val="000000" w:themeColor="text1"/>
        </w:rPr>
        <w:t>I am of the view that th</w:t>
      </w:r>
      <w:r w:rsidR="00AD4721" w:rsidRPr="00AB10E4">
        <w:rPr>
          <w:rFonts w:ascii="Arial" w:hAnsi="Arial" w:cs="Arial"/>
          <w:color w:val="000000" w:themeColor="text1"/>
        </w:rPr>
        <w:t>ese</w:t>
      </w:r>
      <w:r w:rsidR="007D4123" w:rsidRPr="00AB10E4">
        <w:rPr>
          <w:rFonts w:ascii="Arial" w:hAnsi="Arial" w:cs="Arial"/>
          <w:color w:val="000000" w:themeColor="text1"/>
        </w:rPr>
        <w:t xml:space="preserve"> ground</w:t>
      </w:r>
      <w:r w:rsidR="00AD4721" w:rsidRPr="00AB10E4">
        <w:rPr>
          <w:rFonts w:ascii="Arial" w:hAnsi="Arial" w:cs="Arial"/>
          <w:color w:val="000000" w:themeColor="text1"/>
        </w:rPr>
        <w:t>s</w:t>
      </w:r>
      <w:r w:rsidR="007D4123" w:rsidRPr="00AB10E4">
        <w:rPr>
          <w:rFonts w:ascii="Arial" w:hAnsi="Arial" w:cs="Arial"/>
          <w:color w:val="000000" w:themeColor="text1"/>
        </w:rPr>
        <w:t xml:space="preserve"> of review </w:t>
      </w:r>
      <w:r w:rsidR="00AD4721" w:rsidRPr="00AB10E4">
        <w:rPr>
          <w:rFonts w:ascii="Arial" w:hAnsi="Arial" w:cs="Arial"/>
          <w:color w:val="000000" w:themeColor="text1"/>
        </w:rPr>
        <w:t>are</w:t>
      </w:r>
      <w:r w:rsidR="007D4123" w:rsidRPr="00AB10E4">
        <w:rPr>
          <w:rFonts w:ascii="Arial" w:hAnsi="Arial" w:cs="Arial"/>
          <w:color w:val="000000" w:themeColor="text1"/>
        </w:rPr>
        <w:t xml:space="preserve"> </w:t>
      </w:r>
      <w:r w:rsidR="00AD4721" w:rsidRPr="00AB10E4">
        <w:rPr>
          <w:rFonts w:ascii="Arial" w:hAnsi="Arial" w:cs="Arial"/>
          <w:color w:val="000000" w:themeColor="text1"/>
        </w:rPr>
        <w:t xml:space="preserve">also </w:t>
      </w:r>
      <w:r w:rsidR="007D4123" w:rsidRPr="00AB10E4">
        <w:rPr>
          <w:rFonts w:ascii="Arial" w:hAnsi="Arial" w:cs="Arial"/>
          <w:color w:val="000000" w:themeColor="text1"/>
        </w:rPr>
        <w:t>without merit.</w:t>
      </w:r>
    </w:p>
    <w:p w14:paraId="6A80762E" w14:textId="77777777" w:rsidR="00C25E70" w:rsidRDefault="00C25E70" w:rsidP="00234BD8">
      <w:pPr>
        <w:spacing w:line="360" w:lineRule="auto"/>
        <w:jc w:val="both"/>
        <w:rPr>
          <w:rFonts w:ascii="Arial" w:hAnsi="Arial" w:cs="Arial"/>
          <w:b/>
          <w:bCs/>
          <w:color w:val="000000" w:themeColor="text1"/>
          <w:u w:val="single"/>
        </w:rPr>
      </w:pPr>
    </w:p>
    <w:p w14:paraId="4F9D2CF8" w14:textId="402F35AE" w:rsidR="0025737D" w:rsidRDefault="00361C33" w:rsidP="00234BD8">
      <w:pPr>
        <w:spacing w:line="360" w:lineRule="auto"/>
        <w:jc w:val="both"/>
        <w:rPr>
          <w:rFonts w:ascii="Arial" w:hAnsi="Arial" w:cs="Arial"/>
          <w:b/>
          <w:bCs/>
          <w:color w:val="000000" w:themeColor="text1"/>
          <w:u w:val="single"/>
        </w:rPr>
      </w:pPr>
      <w:r w:rsidRPr="002133E4">
        <w:rPr>
          <w:rFonts w:ascii="Arial" w:hAnsi="Arial" w:cs="Arial"/>
          <w:b/>
          <w:bCs/>
          <w:color w:val="000000" w:themeColor="text1"/>
          <w:u w:val="single"/>
        </w:rPr>
        <w:t>COSTS</w:t>
      </w:r>
    </w:p>
    <w:p w14:paraId="72C07959" w14:textId="77777777" w:rsidR="002423E5" w:rsidRPr="002133E4" w:rsidRDefault="002423E5" w:rsidP="00234BD8">
      <w:pPr>
        <w:spacing w:line="360" w:lineRule="auto"/>
        <w:jc w:val="both"/>
        <w:rPr>
          <w:rFonts w:ascii="Arial" w:hAnsi="Arial" w:cs="Arial"/>
          <w:b/>
          <w:bCs/>
          <w:color w:val="000000" w:themeColor="text1"/>
          <w:u w:val="single"/>
        </w:rPr>
      </w:pPr>
    </w:p>
    <w:p w14:paraId="234D00CF" w14:textId="63F6ACD7" w:rsidR="002133E4" w:rsidRPr="00AB10E4" w:rsidRDefault="00AB10E4" w:rsidP="00AB10E4">
      <w:pPr>
        <w:spacing w:line="360" w:lineRule="auto"/>
        <w:ind w:left="851" w:hanging="851"/>
        <w:jc w:val="both"/>
        <w:rPr>
          <w:rFonts w:ascii="Arial" w:hAnsi="Arial" w:cs="Arial"/>
          <w:b/>
          <w:bCs/>
          <w:color w:val="000000" w:themeColor="text1"/>
          <w:u w:val="single"/>
        </w:rPr>
      </w:pPr>
      <w:r w:rsidRPr="007F7E04">
        <w:rPr>
          <w:rFonts w:ascii="Arial" w:hAnsi="Arial" w:cs="Arial"/>
          <w:color w:val="000000" w:themeColor="text1"/>
        </w:rPr>
        <w:t>[70]</w:t>
      </w:r>
      <w:r w:rsidRPr="007F7E04">
        <w:rPr>
          <w:rFonts w:ascii="Arial" w:hAnsi="Arial" w:cs="Arial"/>
          <w:color w:val="000000" w:themeColor="text1"/>
        </w:rPr>
        <w:tab/>
      </w:r>
      <w:r w:rsidR="00B41711" w:rsidRPr="00AB10E4">
        <w:rPr>
          <w:rFonts w:ascii="Arial" w:hAnsi="Arial" w:cs="Arial"/>
          <w:color w:val="000000" w:themeColor="text1"/>
        </w:rPr>
        <w:t xml:space="preserve">The parties were all agreed that the costs should follow the result and furthermore that given the nature of the matter, its importance not only to the </w:t>
      </w:r>
      <w:r w:rsidR="00B41711" w:rsidRPr="00AB10E4">
        <w:rPr>
          <w:rFonts w:ascii="Arial" w:hAnsi="Arial" w:cs="Arial"/>
          <w:color w:val="000000" w:themeColor="text1"/>
        </w:rPr>
        <w:lastRenderedPageBreak/>
        <w:t>parties but to the interests of the wider community, that the engagement of more than one counsel was a wise and reasonable precaution.  It is for this reason that I intend to make the order for costs that I do.</w:t>
      </w:r>
    </w:p>
    <w:p w14:paraId="52BA3D3E" w14:textId="5C0FBFAB" w:rsidR="002423E5" w:rsidRDefault="002423E5" w:rsidP="002133E4">
      <w:pPr>
        <w:rPr>
          <w:rFonts w:ascii="Arial" w:hAnsi="Arial" w:cs="Arial"/>
          <w:b/>
          <w:bCs/>
          <w:color w:val="000000" w:themeColor="text1"/>
          <w:u w:val="single"/>
        </w:rPr>
      </w:pPr>
    </w:p>
    <w:p w14:paraId="6338DA09" w14:textId="17118016" w:rsidR="00B9522C" w:rsidRDefault="00B9522C" w:rsidP="002133E4">
      <w:pPr>
        <w:rPr>
          <w:rFonts w:ascii="Arial" w:hAnsi="Arial" w:cs="Arial"/>
          <w:b/>
          <w:bCs/>
          <w:color w:val="000000" w:themeColor="text1"/>
          <w:u w:val="single"/>
        </w:rPr>
      </w:pPr>
    </w:p>
    <w:p w14:paraId="156B864A" w14:textId="77777777" w:rsidR="00B9522C" w:rsidRDefault="00B9522C" w:rsidP="002133E4">
      <w:pPr>
        <w:rPr>
          <w:rFonts w:ascii="Arial" w:hAnsi="Arial" w:cs="Arial"/>
          <w:b/>
          <w:bCs/>
          <w:color w:val="000000" w:themeColor="text1"/>
          <w:u w:val="single"/>
        </w:rPr>
      </w:pPr>
    </w:p>
    <w:p w14:paraId="47E24ECF" w14:textId="5CFC3641" w:rsidR="0025737D" w:rsidRPr="002133E4" w:rsidRDefault="00361C33" w:rsidP="002133E4">
      <w:pPr>
        <w:rPr>
          <w:rFonts w:ascii="Arial" w:hAnsi="Arial" w:cs="Arial"/>
          <w:b/>
          <w:bCs/>
          <w:color w:val="000000" w:themeColor="text1"/>
          <w:u w:val="single"/>
        </w:rPr>
      </w:pPr>
      <w:r w:rsidRPr="002133E4">
        <w:rPr>
          <w:rFonts w:ascii="Arial" w:hAnsi="Arial" w:cs="Arial"/>
          <w:b/>
          <w:bCs/>
          <w:color w:val="000000" w:themeColor="text1"/>
          <w:u w:val="single"/>
        </w:rPr>
        <w:t>ORDER</w:t>
      </w:r>
    </w:p>
    <w:p w14:paraId="565C4F6B" w14:textId="4DCC675D" w:rsidR="002133E4" w:rsidRDefault="002133E4" w:rsidP="002133E4">
      <w:pPr>
        <w:rPr>
          <w:rFonts w:ascii="Arial" w:hAnsi="Arial" w:cs="Arial"/>
          <w:color w:val="000000" w:themeColor="text1"/>
        </w:rPr>
      </w:pPr>
    </w:p>
    <w:p w14:paraId="1F268C1D" w14:textId="77777777" w:rsidR="00361C33" w:rsidRPr="002133E4" w:rsidRDefault="00361C33" w:rsidP="002133E4">
      <w:pPr>
        <w:rPr>
          <w:rFonts w:ascii="Arial" w:hAnsi="Arial" w:cs="Arial"/>
          <w:color w:val="000000" w:themeColor="text1"/>
        </w:rPr>
      </w:pPr>
    </w:p>
    <w:p w14:paraId="7AC623B3" w14:textId="51B63D2A" w:rsidR="000B2542" w:rsidRPr="00AB10E4" w:rsidRDefault="00AB10E4" w:rsidP="00AB10E4">
      <w:pPr>
        <w:spacing w:line="360" w:lineRule="auto"/>
        <w:ind w:left="851" w:hanging="851"/>
        <w:jc w:val="both"/>
        <w:rPr>
          <w:rFonts w:ascii="Arial" w:hAnsi="Arial" w:cs="Arial"/>
          <w:color w:val="000000" w:themeColor="text1"/>
        </w:rPr>
      </w:pPr>
      <w:r w:rsidRPr="001E082A">
        <w:rPr>
          <w:rFonts w:ascii="Arial" w:hAnsi="Arial" w:cs="Arial"/>
          <w:color w:val="000000" w:themeColor="text1"/>
        </w:rPr>
        <w:t>[71]</w:t>
      </w:r>
      <w:r w:rsidRPr="001E082A">
        <w:rPr>
          <w:rFonts w:ascii="Arial" w:hAnsi="Arial" w:cs="Arial"/>
          <w:color w:val="000000" w:themeColor="text1"/>
        </w:rPr>
        <w:tab/>
      </w:r>
      <w:r w:rsidR="00A019EC" w:rsidRPr="00AB10E4">
        <w:rPr>
          <w:rFonts w:ascii="Arial" w:hAnsi="Arial" w:cs="Arial"/>
          <w:color w:val="000000" w:themeColor="text1"/>
        </w:rPr>
        <w:t>I</w:t>
      </w:r>
      <w:r w:rsidR="000B2542" w:rsidRPr="00AB10E4">
        <w:rPr>
          <w:rFonts w:ascii="Arial" w:hAnsi="Arial" w:cs="Arial"/>
          <w:color w:val="000000" w:themeColor="text1"/>
        </w:rPr>
        <w:t>n the circumstances it is ordered:</w:t>
      </w:r>
    </w:p>
    <w:p w14:paraId="1E547314" w14:textId="042AEAEC" w:rsidR="000B2542" w:rsidRPr="001E082A" w:rsidRDefault="000B2542" w:rsidP="000B2542">
      <w:pPr>
        <w:pStyle w:val="ListParagraph"/>
        <w:spacing w:line="360" w:lineRule="auto"/>
        <w:ind w:left="851"/>
        <w:jc w:val="both"/>
        <w:rPr>
          <w:rFonts w:ascii="Arial" w:hAnsi="Arial" w:cs="Arial"/>
          <w:iCs/>
          <w:color w:val="000000" w:themeColor="text1"/>
        </w:rPr>
      </w:pPr>
    </w:p>
    <w:p w14:paraId="6FC7603D" w14:textId="5B27D161" w:rsidR="000B2542" w:rsidRPr="001E082A" w:rsidRDefault="00E43FC2" w:rsidP="00B83C34">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t>[</w:t>
      </w:r>
      <w:r w:rsidR="00B41711">
        <w:rPr>
          <w:rFonts w:ascii="Arial" w:hAnsi="Arial" w:cs="Arial"/>
          <w:iCs/>
          <w:color w:val="000000" w:themeColor="text1"/>
        </w:rPr>
        <w:t>7</w:t>
      </w:r>
      <w:r w:rsidR="002F6148">
        <w:rPr>
          <w:rFonts w:ascii="Arial" w:hAnsi="Arial" w:cs="Arial"/>
          <w:iCs/>
          <w:color w:val="000000" w:themeColor="text1"/>
        </w:rPr>
        <w:t>1</w:t>
      </w:r>
      <w:r>
        <w:rPr>
          <w:rFonts w:ascii="Arial" w:hAnsi="Arial" w:cs="Arial"/>
          <w:iCs/>
          <w:color w:val="000000" w:themeColor="text1"/>
        </w:rPr>
        <w:t>.1]</w:t>
      </w:r>
      <w:r w:rsidR="000B2542" w:rsidRPr="001E082A">
        <w:rPr>
          <w:rFonts w:ascii="Arial" w:hAnsi="Arial" w:cs="Arial"/>
          <w:iCs/>
          <w:color w:val="000000" w:themeColor="text1"/>
        </w:rPr>
        <w:t xml:space="preserve"> </w:t>
      </w:r>
      <w:r w:rsidR="00B83C34">
        <w:rPr>
          <w:rFonts w:ascii="Arial" w:hAnsi="Arial" w:cs="Arial"/>
          <w:iCs/>
          <w:color w:val="000000" w:themeColor="text1"/>
        </w:rPr>
        <w:tab/>
      </w:r>
      <w:r w:rsidR="00B41711">
        <w:rPr>
          <w:rFonts w:ascii="Arial" w:hAnsi="Arial" w:cs="Arial"/>
          <w:iCs/>
          <w:color w:val="000000" w:themeColor="text1"/>
        </w:rPr>
        <w:t>The application is dismissed.</w:t>
      </w:r>
    </w:p>
    <w:p w14:paraId="4D6A3DAD" w14:textId="77777777" w:rsidR="000B2542" w:rsidRPr="001E082A" w:rsidRDefault="000B2542" w:rsidP="00B83C34">
      <w:pPr>
        <w:pStyle w:val="ListParagraph"/>
        <w:spacing w:line="360" w:lineRule="auto"/>
        <w:ind w:left="1701" w:hanging="850"/>
        <w:jc w:val="both"/>
        <w:rPr>
          <w:rFonts w:ascii="Arial" w:hAnsi="Arial" w:cs="Arial"/>
          <w:iCs/>
          <w:color w:val="000000" w:themeColor="text1"/>
        </w:rPr>
      </w:pPr>
    </w:p>
    <w:p w14:paraId="28CF9338" w14:textId="6CF9CD47" w:rsidR="000B2542" w:rsidRPr="001E082A" w:rsidRDefault="00E43FC2" w:rsidP="00B83C34">
      <w:pPr>
        <w:pStyle w:val="ListParagraph"/>
        <w:spacing w:line="360" w:lineRule="auto"/>
        <w:ind w:left="1701" w:hanging="850"/>
        <w:jc w:val="both"/>
        <w:rPr>
          <w:rFonts w:ascii="Arial" w:hAnsi="Arial" w:cs="Arial"/>
          <w:iCs/>
          <w:color w:val="000000" w:themeColor="text1"/>
        </w:rPr>
      </w:pPr>
      <w:r>
        <w:rPr>
          <w:rFonts w:ascii="Arial" w:hAnsi="Arial" w:cs="Arial"/>
          <w:iCs/>
          <w:color w:val="000000" w:themeColor="text1"/>
        </w:rPr>
        <w:t>[</w:t>
      </w:r>
      <w:r w:rsidR="00B41711">
        <w:rPr>
          <w:rFonts w:ascii="Arial" w:hAnsi="Arial" w:cs="Arial"/>
          <w:iCs/>
          <w:color w:val="000000" w:themeColor="text1"/>
        </w:rPr>
        <w:t>7</w:t>
      </w:r>
      <w:r w:rsidR="002F6148">
        <w:rPr>
          <w:rFonts w:ascii="Arial" w:hAnsi="Arial" w:cs="Arial"/>
          <w:iCs/>
          <w:color w:val="000000" w:themeColor="text1"/>
        </w:rPr>
        <w:t>1</w:t>
      </w:r>
      <w:r w:rsidR="000B2542" w:rsidRPr="001E082A">
        <w:rPr>
          <w:rFonts w:ascii="Arial" w:hAnsi="Arial" w:cs="Arial"/>
          <w:iCs/>
          <w:color w:val="000000" w:themeColor="text1"/>
        </w:rPr>
        <w:t>.2</w:t>
      </w:r>
      <w:r>
        <w:rPr>
          <w:rFonts w:ascii="Arial" w:hAnsi="Arial" w:cs="Arial"/>
          <w:iCs/>
          <w:color w:val="000000" w:themeColor="text1"/>
        </w:rPr>
        <w:t>]</w:t>
      </w:r>
      <w:r w:rsidR="000B2542" w:rsidRPr="001E082A">
        <w:rPr>
          <w:rFonts w:ascii="Arial" w:hAnsi="Arial" w:cs="Arial"/>
          <w:iCs/>
          <w:color w:val="000000" w:themeColor="text1"/>
        </w:rPr>
        <w:tab/>
      </w:r>
      <w:r w:rsidR="00B41711">
        <w:rPr>
          <w:rFonts w:ascii="Arial" w:hAnsi="Arial" w:cs="Arial"/>
          <w:iCs/>
          <w:color w:val="000000" w:themeColor="text1"/>
        </w:rPr>
        <w:t xml:space="preserve">The applicants are ordered to pay the costs of the </w:t>
      </w:r>
      <w:r w:rsidR="00CB2B7F">
        <w:rPr>
          <w:rFonts w:ascii="Arial" w:hAnsi="Arial" w:cs="Arial"/>
          <w:iCs/>
          <w:color w:val="000000" w:themeColor="text1"/>
        </w:rPr>
        <w:t xml:space="preserve">first and second </w:t>
      </w:r>
      <w:r w:rsidR="00B41711">
        <w:rPr>
          <w:rFonts w:ascii="Arial" w:hAnsi="Arial" w:cs="Arial"/>
          <w:iCs/>
          <w:color w:val="000000" w:themeColor="text1"/>
        </w:rPr>
        <w:t xml:space="preserve">respondents on the scale as between party and party, such costs to include the cost consequent upon the employment of two counsel where </w:t>
      </w:r>
      <w:r w:rsidR="00D069A6">
        <w:rPr>
          <w:rFonts w:ascii="Arial" w:hAnsi="Arial" w:cs="Arial"/>
          <w:iCs/>
          <w:color w:val="000000" w:themeColor="text1"/>
        </w:rPr>
        <w:t>more than one counsel was engaged.</w:t>
      </w:r>
    </w:p>
    <w:p w14:paraId="48748E3E" w14:textId="77777777" w:rsidR="00D3705F" w:rsidRDefault="00D3705F" w:rsidP="00D3705F">
      <w:pPr>
        <w:pStyle w:val="Body"/>
        <w:rPr>
          <w:rFonts w:cs="Arial"/>
          <w:b/>
          <w:bCs/>
          <w:sz w:val="24"/>
          <w:szCs w:val="24"/>
        </w:rPr>
      </w:pPr>
    </w:p>
    <w:p w14:paraId="3A81ACF3" w14:textId="77777777" w:rsidR="00D3705F" w:rsidRDefault="00D3705F" w:rsidP="00D3705F">
      <w:pPr>
        <w:pStyle w:val="Body"/>
        <w:rPr>
          <w:rFonts w:cs="Arial"/>
          <w:b/>
          <w:bCs/>
          <w:sz w:val="24"/>
          <w:szCs w:val="24"/>
        </w:rPr>
      </w:pPr>
    </w:p>
    <w:p w14:paraId="1BD4CA9C" w14:textId="77777777" w:rsidR="00D3705F" w:rsidRPr="00DB4BAE" w:rsidRDefault="00D3705F" w:rsidP="00D3705F">
      <w:pPr>
        <w:pStyle w:val="Body"/>
        <w:ind w:left="720"/>
        <w:jc w:val="right"/>
        <w:rPr>
          <w:rFonts w:cs="Arial"/>
          <w:sz w:val="24"/>
          <w:szCs w:val="24"/>
        </w:rPr>
      </w:pPr>
      <w:r w:rsidRPr="00DB4BAE">
        <w:rPr>
          <w:rFonts w:cs="Arial"/>
          <w:b/>
          <w:bCs/>
          <w:sz w:val="24"/>
          <w:szCs w:val="24"/>
        </w:rPr>
        <w:t>_____________________________</w:t>
      </w:r>
    </w:p>
    <w:p w14:paraId="4D6D7E77" w14:textId="3B748DF4" w:rsidR="00D3705F" w:rsidRDefault="00D3705F" w:rsidP="002423E5">
      <w:pPr>
        <w:pStyle w:val="BodyA"/>
        <w:jc w:val="right"/>
        <w:rPr>
          <w:rFonts w:ascii="Arial" w:hAnsi="Arial" w:cs="Arial"/>
          <w:b/>
          <w:bCs/>
          <w:sz w:val="24"/>
          <w:szCs w:val="24"/>
        </w:rPr>
      </w:pPr>
      <w:r w:rsidRPr="00DB4BAE">
        <w:rPr>
          <w:rFonts w:ascii="Arial" w:hAnsi="Arial" w:cs="Arial"/>
          <w:b/>
          <w:bCs/>
          <w:sz w:val="24"/>
          <w:szCs w:val="24"/>
        </w:rPr>
        <w:t>A MILLAR</w:t>
      </w:r>
    </w:p>
    <w:p w14:paraId="0176A19C" w14:textId="77777777" w:rsidR="003447FB" w:rsidRPr="00DB4BAE" w:rsidRDefault="003447FB" w:rsidP="002423E5">
      <w:pPr>
        <w:pStyle w:val="BodyA"/>
        <w:jc w:val="right"/>
        <w:rPr>
          <w:rFonts w:ascii="Arial" w:hAnsi="Arial" w:cs="Arial"/>
          <w:b/>
          <w:bCs/>
          <w:sz w:val="24"/>
          <w:szCs w:val="24"/>
        </w:rPr>
      </w:pPr>
    </w:p>
    <w:p w14:paraId="7C99731E" w14:textId="77777777" w:rsidR="00D3705F" w:rsidRPr="00DB4BAE" w:rsidRDefault="00D3705F" w:rsidP="00D3705F">
      <w:pPr>
        <w:pStyle w:val="BodyA"/>
        <w:spacing w:before="120"/>
        <w:ind w:left="720"/>
        <w:jc w:val="right"/>
        <w:rPr>
          <w:rFonts w:ascii="Arial" w:hAnsi="Arial" w:cs="Arial"/>
          <w:b/>
          <w:bCs/>
          <w:sz w:val="24"/>
          <w:szCs w:val="24"/>
        </w:rPr>
      </w:pPr>
      <w:r w:rsidRPr="00DB4BAE">
        <w:rPr>
          <w:rFonts w:ascii="Arial" w:hAnsi="Arial" w:cs="Arial"/>
          <w:b/>
          <w:bCs/>
          <w:sz w:val="24"/>
          <w:szCs w:val="24"/>
        </w:rPr>
        <w:t xml:space="preserve"> JUDGE OF THE HIGH COURT</w:t>
      </w:r>
    </w:p>
    <w:p w14:paraId="25E24893" w14:textId="77777777" w:rsidR="00D3705F" w:rsidRPr="00DB4BAE" w:rsidRDefault="00D3705F" w:rsidP="00D3705F">
      <w:pPr>
        <w:spacing w:before="120"/>
        <w:ind w:left="720"/>
        <w:jc w:val="right"/>
        <w:rPr>
          <w:rFonts w:ascii="Arial" w:eastAsia="Arial Unicode MS" w:hAnsi="Arial" w:cs="Arial"/>
          <w:b/>
        </w:rPr>
      </w:pPr>
      <w:r w:rsidRPr="00DB4BAE">
        <w:rPr>
          <w:rFonts w:ascii="Arial" w:eastAsia="Arial Unicode MS" w:hAnsi="Arial" w:cs="Arial"/>
          <w:b/>
        </w:rPr>
        <w:t>GAUTENG DIVISION, PRETORIA</w:t>
      </w:r>
    </w:p>
    <w:p w14:paraId="56DD2C72" w14:textId="3317E443" w:rsidR="00765BC3" w:rsidRPr="00D3705F" w:rsidRDefault="00765BC3" w:rsidP="00595FAB">
      <w:pPr>
        <w:spacing w:line="480" w:lineRule="auto"/>
        <w:jc w:val="both"/>
        <w:rPr>
          <w:rFonts w:ascii="Arial" w:hAnsi="Arial" w:cs="Arial"/>
        </w:rPr>
      </w:pPr>
    </w:p>
    <w:p w14:paraId="7DFF070C" w14:textId="77777777" w:rsidR="00765BC3" w:rsidRDefault="00765BC3" w:rsidP="00765BC3">
      <w:pPr>
        <w:pStyle w:val="ListParagraph"/>
        <w:spacing w:line="360" w:lineRule="auto"/>
        <w:ind w:left="1440"/>
        <w:jc w:val="both"/>
        <w:rPr>
          <w:rFonts w:ascii="Arial" w:hAnsi="Arial" w:cs="Arial"/>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42"/>
      </w:tblGrid>
      <w:tr w:rsidR="00D3705F" w14:paraId="204F9602" w14:textId="77777777" w:rsidTr="008869C8">
        <w:tc>
          <w:tcPr>
            <w:tcW w:w="4678" w:type="dxa"/>
          </w:tcPr>
          <w:p w14:paraId="1F870FB8" w14:textId="629932DD" w:rsidR="00D3705F" w:rsidRPr="00D3705F" w:rsidRDefault="00D3705F" w:rsidP="00672288">
            <w:pPr>
              <w:spacing w:after="160" w:line="360" w:lineRule="auto"/>
              <w:jc w:val="both"/>
              <w:rPr>
                <w:rFonts w:ascii="Arial" w:hAnsi="Arial" w:cs="Arial"/>
                <w:bCs/>
                <w:sz w:val="24"/>
                <w:szCs w:val="24"/>
              </w:rPr>
            </w:pPr>
            <w:r w:rsidRPr="00D3705F">
              <w:rPr>
                <w:rFonts w:ascii="Arial" w:hAnsi="Arial" w:cs="Arial"/>
                <w:sz w:val="24"/>
                <w:szCs w:val="24"/>
              </w:rPr>
              <w:t>HEARD ON:</w:t>
            </w:r>
            <w:r w:rsidRPr="00D3705F">
              <w:rPr>
                <w:rFonts w:ascii="Arial" w:hAnsi="Arial" w:cs="Arial"/>
                <w:sz w:val="24"/>
                <w:szCs w:val="24"/>
              </w:rPr>
              <w:tab/>
            </w:r>
          </w:p>
        </w:tc>
        <w:tc>
          <w:tcPr>
            <w:tcW w:w="4342" w:type="dxa"/>
          </w:tcPr>
          <w:p w14:paraId="1B72DB31" w14:textId="343139DD" w:rsidR="00D3705F" w:rsidRPr="00D3705F" w:rsidRDefault="008869C8" w:rsidP="00672288">
            <w:pPr>
              <w:spacing w:after="160" w:line="360" w:lineRule="auto"/>
              <w:jc w:val="both"/>
              <w:rPr>
                <w:rFonts w:ascii="Arial" w:hAnsi="Arial" w:cs="Arial"/>
                <w:bCs/>
                <w:sz w:val="24"/>
                <w:szCs w:val="24"/>
              </w:rPr>
            </w:pPr>
            <w:r>
              <w:rPr>
                <w:rFonts w:ascii="Arial" w:hAnsi="Arial" w:cs="Arial"/>
                <w:bCs/>
                <w:sz w:val="24"/>
                <w:szCs w:val="24"/>
              </w:rPr>
              <w:t>15 SEPTEMBER</w:t>
            </w:r>
            <w:r w:rsidR="00C477DE">
              <w:rPr>
                <w:rFonts w:ascii="Arial" w:hAnsi="Arial" w:cs="Arial"/>
                <w:bCs/>
                <w:sz w:val="24"/>
                <w:szCs w:val="24"/>
              </w:rPr>
              <w:t xml:space="preserve"> 2023</w:t>
            </w:r>
          </w:p>
        </w:tc>
      </w:tr>
      <w:tr w:rsidR="00D3705F" w14:paraId="3C2CCCCE" w14:textId="77777777" w:rsidTr="008869C8">
        <w:tc>
          <w:tcPr>
            <w:tcW w:w="4678" w:type="dxa"/>
          </w:tcPr>
          <w:p w14:paraId="40B5417C" w14:textId="698948E5" w:rsidR="00D3705F" w:rsidRPr="00D3705F" w:rsidRDefault="00D3705F" w:rsidP="00672288">
            <w:pPr>
              <w:spacing w:after="160" w:line="360" w:lineRule="auto"/>
              <w:jc w:val="both"/>
              <w:rPr>
                <w:rFonts w:ascii="Arial" w:hAnsi="Arial" w:cs="Arial"/>
                <w:bCs/>
                <w:sz w:val="24"/>
                <w:szCs w:val="24"/>
              </w:rPr>
            </w:pPr>
            <w:r w:rsidRPr="00D3705F">
              <w:rPr>
                <w:rFonts w:ascii="Arial" w:hAnsi="Arial" w:cs="Arial"/>
                <w:sz w:val="24"/>
                <w:szCs w:val="24"/>
              </w:rPr>
              <w:t>JUDGMENT DELIVERED ON:</w:t>
            </w:r>
          </w:p>
        </w:tc>
        <w:tc>
          <w:tcPr>
            <w:tcW w:w="4342" w:type="dxa"/>
          </w:tcPr>
          <w:p w14:paraId="049DFE2E" w14:textId="67643C95" w:rsidR="00D3705F" w:rsidRPr="00D3705F" w:rsidRDefault="00B9522C" w:rsidP="00672288">
            <w:pPr>
              <w:spacing w:after="160" w:line="360" w:lineRule="auto"/>
              <w:jc w:val="both"/>
              <w:rPr>
                <w:rFonts w:ascii="Arial" w:hAnsi="Arial" w:cs="Arial"/>
                <w:bCs/>
                <w:sz w:val="24"/>
                <w:szCs w:val="24"/>
              </w:rPr>
            </w:pPr>
            <w:r>
              <w:rPr>
                <w:rFonts w:ascii="Arial" w:hAnsi="Arial" w:cs="Arial"/>
                <w:bCs/>
                <w:sz w:val="24"/>
                <w:szCs w:val="24"/>
              </w:rPr>
              <w:t>2</w:t>
            </w:r>
            <w:r w:rsidR="00461169">
              <w:rPr>
                <w:rFonts w:ascii="Arial" w:hAnsi="Arial" w:cs="Arial"/>
                <w:bCs/>
                <w:sz w:val="24"/>
                <w:szCs w:val="24"/>
              </w:rPr>
              <w:t>9 SEPTEMBER</w:t>
            </w:r>
            <w:r>
              <w:rPr>
                <w:rFonts w:ascii="Arial" w:hAnsi="Arial" w:cs="Arial"/>
                <w:bCs/>
                <w:sz w:val="24"/>
                <w:szCs w:val="24"/>
              </w:rPr>
              <w:t xml:space="preserve"> 2023</w:t>
            </w:r>
          </w:p>
        </w:tc>
      </w:tr>
      <w:tr w:rsidR="00E9478D" w14:paraId="3BB1318D" w14:textId="77777777" w:rsidTr="008869C8">
        <w:tc>
          <w:tcPr>
            <w:tcW w:w="4678" w:type="dxa"/>
          </w:tcPr>
          <w:p w14:paraId="0A562A10" w14:textId="0712D4F1" w:rsidR="00E9478D" w:rsidRPr="00E9478D" w:rsidRDefault="00E9478D" w:rsidP="00672288">
            <w:pPr>
              <w:spacing w:after="160" w:line="360" w:lineRule="auto"/>
              <w:jc w:val="both"/>
              <w:rPr>
                <w:rFonts w:ascii="Arial" w:hAnsi="Arial" w:cs="Arial"/>
                <w:bCs/>
                <w:sz w:val="24"/>
                <w:szCs w:val="24"/>
              </w:rPr>
            </w:pPr>
          </w:p>
        </w:tc>
        <w:tc>
          <w:tcPr>
            <w:tcW w:w="4342" w:type="dxa"/>
          </w:tcPr>
          <w:p w14:paraId="26984C3B" w14:textId="77777777" w:rsidR="00E9478D" w:rsidRPr="00E9478D" w:rsidRDefault="00E9478D" w:rsidP="00672288">
            <w:pPr>
              <w:spacing w:after="160" w:line="360" w:lineRule="auto"/>
              <w:jc w:val="both"/>
              <w:rPr>
                <w:rFonts w:ascii="Arial" w:hAnsi="Arial" w:cs="Arial"/>
                <w:bCs/>
                <w:sz w:val="24"/>
                <w:szCs w:val="24"/>
              </w:rPr>
            </w:pPr>
          </w:p>
        </w:tc>
      </w:tr>
      <w:tr w:rsidR="00E9478D" w14:paraId="396882F2" w14:textId="77777777" w:rsidTr="008869C8">
        <w:tc>
          <w:tcPr>
            <w:tcW w:w="4678" w:type="dxa"/>
          </w:tcPr>
          <w:p w14:paraId="17C6B7F4" w14:textId="762A4E82" w:rsidR="00E9478D" w:rsidRPr="00C16DB2" w:rsidRDefault="00E9478D" w:rsidP="00672288">
            <w:pPr>
              <w:spacing w:after="160" w:line="360" w:lineRule="auto"/>
              <w:jc w:val="both"/>
              <w:rPr>
                <w:rFonts w:ascii="Arial" w:hAnsi="Arial" w:cs="Arial"/>
                <w:b/>
                <w:sz w:val="24"/>
                <w:szCs w:val="24"/>
              </w:rPr>
            </w:pPr>
            <w:r w:rsidRPr="00C16DB2">
              <w:rPr>
                <w:rFonts w:ascii="Arial" w:eastAsia="Courier New" w:hAnsi="Arial" w:cs="Arial"/>
                <w:b/>
                <w:color w:val="000000"/>
                <w:sz w:val="24"/>
                <w:szCs w:val="24"/>
              </w:rPr>
              <w:t>FOR THE AP</w:t>
            </w:r>
            <w:r w:rsidR="00C16DB2" w:rsidRPr="00C16DB2">
              <w:rPr>
                <w:rFonts w:ascii="Arial" w:eastAsia="Courier New" w:hAnsi="Arial" w:cs="Arial"/>
                <w:b/>
                <w:color w:val="000000"/>
                <w:sz w:val="24"/>
                <w:szCs w:val="24"/>
              </w:rPr>
              <w:t>P</w:t>
            </w:r>
            <w:r w:rsidRPr="00C16DB2">
              <w:rPr>
                <w:rFonts w:ascii="Arial" w:eastAsia="Courier New" w:hAnsi="Arial" w:cs="Arial"/>
                <w:b/>
                <w:color w:val="000000"/>
                <w:sz w:val="24"/>
                <w:szCs w:val="24"/>
              </w:rPr>
              <w:t>LICANT</w:t>
            </w:r>
            <w:r w:rsidR="00C24738">
              <w:rPr>
                <w:rFonts w:ascii="Arial" w:eastAsia="Courier New" w:hAnsi="Arial" w:cs="Arial"/>
                <w:b/>
                <w:color w:val="000000"/>
                <w:sz w:val="24"/>
                <w:szCs w:val="24"/>
              </w:rPr>
              <w:t>S</w:t>
            </w:r>
            <w:r w:rsidRPr="00C16DB2">
              <w:rPr>
                <w:rFonts w:ascii="Arial" w:eastAsia="Courier New" w:hAnsi="Arial" w:cs="Arial"/>
                <w:b/>
                <w:color w:val="000000"/>
                <w:sz w:val="24"/>
                <w:szCs w:val="24"/>
              </w:rPr>
              <w:t>:</w:t>
            </w:r>
          </w:p>
        </w:tc>
        <w:tc>
          <w:tcPr>
            <w:tcW w:w="4342" w:type="dxa"/>
          </w:tcPr>
          <w:p w14:paraId="3D8BDB4A" w14:textId="71D0605F"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rPr>
              <w:t>ADV</w:t>
            </w:r>
            <w:r w:rsidR="00C24738">
              <w:rPr>
                <w:rFonts w:ascii="Arial" w:eastAsia="Courier New" w:hAnsi="Arial" w:cs="Arial"/>
                <w:bCs/>
                <w:color w:val="000000"/>
                <w:sz w:val="24"/>
                <w:szCs w:val="24"/>
              </w:rPr>
              <w:t>.</w:t>
            </w:r>
            <w:r w:rsidRPr="00E9478D">
              <w:rPr>
                <w:rFonts w:ascii="Arial" w:eastAsia="Courier New" w:hAnsi="Arial" w:cs="Arial"/>
                <w:bCs/>
                <w:color w:val="000000"/>
                <w:sz w:val="24"/>
                <w:szCs w:val="24"/>
              </w:rPr>
              <w:t xml:space="preserve"> A</w:t>
            </w:r>
            <w:r w:rsidR="001E6ABF">
              <w:rPr>
                <w:rFonts w:ascii="Arial" w:eastAsia="Courier New" w:hAnsi="Arial" w:cs="Arial"/>
                <w:bCs/>
                <w:color w:val="000000"/>
                <w:sz w:val="24"/>
                <w:szCs w:val="24"/>
              </w:rPr>
              <w:t xml:space="preserve"> </w:t>
            </w:r>
            <w:r w:rsidR="00C24738">
              <w:rPr>
                <w:rFonts w:ascii="Arial" w:eastAsia="Courier New" w:hAnsi="Arial" w:cs="Arial"/>
                <w:bCs/>
                <w:color w:val="000000"/>
                <w:sz w:val="24"/>
                <w:szCs w:val="24"/>
              </w:rPr>
              <w:t xml:space="preserve">DICKSON </w:t>
            </w:r>
            <w:r w:rsidR="001E6ABF">
              <w:rPr>
                <w:rFonts w:ascii="Arial" w:eastAsia="Courier New" w:hAnsi="Arial" w:cs="Arial"/>
                <w:bCs/>
                <w:color w:val="000000"/>
                <w:sz w:val="24"/>
                <w:szCs w:val="24"/>
              </w:rPr>
              <w:t>SC</w:t>
            </w:r>
          </w:p>
        </w:tc>
      </w:tr>
      <w:tr w:rsidR="00E9478D" w14:paraId="184CBAEF" w14:textId="77777777" w:rsidTr="008869C8">
        <w:tc>
          <w:tcPr>
            <w:tcW w:w="4678" w:type="dxa"/>
          </w:tcPr>
          <w:p w14:paraId="79744851" w14:textId="77777777" w:rsidR="00E9478D" w:rsidRPr="00E9478D" w:rsidRDefault="00E9478D" w:rsidP="00672288">
            <w:pPr>
              <w:spacing w:after="160" w:line="360" w:lineRule="auto"/>
              <w:jc w:val="both"/>
              <w:rPr>
                <w:rFonts w:ascii="Arial" w:hAnsi="Arial" w:cs="Arial"/>
                <w:bCs/>
                <w:sz w:val="24"/>
                <w:szCs w:val="24"/>
              </w:rPr>
            </w:pPr>
          </w:p>
        </w:tc>
        <w:tc>
          <w:tcPr>
            <w:tcW w:w="4342" w:type="dxa"/>
          </w:tcPr>
          <w:p w14:paraId="7D07336C" w14:textId="11A7EA33"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rPr>
              <w:t>ADV</w:t>
            </w:r>
            <w:r w:rsidR="00C24738">
              <w:rPr>
                <w:rFonts w:ascii="Arial" w:eastAsia="Courier New" w:hAnsi="Arial" w:cs="Arial"/>
                <w:bCs/>
                <w:color w:val="000000"/>
                <w:sz w:val="24"/>
                <w:szCs w:val="24"/>
              </w:rPr>
              <w:t>.</w:t>
            </w:r>
            <w:r w:rsidRPr="00E9478D">
              <w:rPr>
                <w:rFonts w:ascii="Arial" w:eastAsia="Courier New" w:hAnsi="Arial" w:cs="Arial"/>
                <w:bCs/>
                <w:color w:val="000000"/>
                <w:sz w:val="24"/>
                <w:szCs w:val="24"/>
              </w:rPr>
              <w:t xml:space="preserve"> </w:t>
            </w:r>
            <w:r w:rsidR="00C24738">
              <w:rPr>
                <w:rFonts w:ascii="Arial" w:eastAsia="Courier New" w:hAnsi="Arial" w:cs="Arial"/>
                <w:bCs/>
                <w:color w:val="000000"/>
                <w:sz w:val="24"/>
                <w:szCs w:val="24"/>
              </w:rPr>
              <w:t>A CHRISTISEN</w:t>
            </w:r>
          </w:p>
        </w:tc>
      </w:tr>
      <w:tr w:rsidR="00C24738" w14:paraId="268730EB" w14:textId="77777777" w:rsidTr="008869C8">
        <w:tc>
          <w:tcPr>
            <w:tcW w:w="4678" w:type="dxa"/>
          </w:tcPr>
          <w:p w14:paraId="531CF048" w14:textId="77777777" w:rsidR="00C24738" w:rsidRPr="00C24738" w:rsidRDefault="00C24738" w:rsidP="00672288">
            <w:pPr>
              <w:spacing w:after="160" w:line="360" w:lineRule="auto"/>
              <w:jc w:val="both"/>
              <w:rPr>
                <w:rFonts w:ascii="Arial" w:hAnsi="Arial" w:cs="Arial"/>
                <w:bCs/>
                <w:sz w:val="24"/>
                <w:szCs w:val="24"/>
              </w:rPr>
            </w:pPr>
          </w:p>
        </w:tc>
        <w:tc>
          <w:tcPr>
            <w:tcW w:w="4342" w:type="dxa"/>
          </w:tcPr>
          <w:p w14:paraId="183AE59B" w14:textId="620DFF0A" w:rsidR="00C24738" w:rsidRPr="00C24738" w:rsidRDefault="00C24738" w:rsidP="00672288">
            <w:pPr>
              <w:spacing w:after="160" w:line="360" w:lineRule="auto"/>
              <w:rPr>
                <w:rFonts w:ascii="Arial" w:eastAsia="Courier New" w:hAnsi="Arial" w:cs="Arial"/>
                <w:bCs/>
                <w:color w:val="000000"/>
                <w:sz w:val="24"/>
                <w:szCs w:val="24"/>
              </w:rPr>
            </w:pPr>
            <w:r w:rsidRPr="00C24738">
              <w:rPr>
                <w:rFonts w:ascii="Arial" w:eastAsia="Courier New" w:hAnsi="Arial" w:cs="Arial"/>
                <w:bCs/>
                <w:color w:val="000000"/>
                <w:sz w:val="24"/>
                <w:szCs w:val="24"/>
              </w:rPr>
              <w:t>ADV. T PALMER</w:t>
            </w:r>
          </w:p>
        </w:tc>
      </w:tr>
      <w:tr w:rsidR="00E9478D" w14:paraId="10AD81D9" w14:textId="77777777" w:rsidTr="008869C8">
        <w:trPr>
          <w:trHeight w:val="821"/>
        </w:trPr>
        <w:tc>
          <w:tcPr>
            <w:tcW w:w="4678" w:type="dxa"/>
          </w:tcPr>
          <w:p w14:paraId="52AC30AD" w14:textId="00FBF5EC" w:rsidR="00E9478D" w:rsidRPr="00E9478D" w:rsidRDefault="00E9478D" w:rsidP="00672288">
            <w:pPr>
              <w:spacing w:after="160" w:line="360" w:lineRule="auto"/>
              <w:jc w:val="both"/>
              <w:rPr>
                <w:rFonts w:ascii="Arial" w:hAnsi="Arial" w:cs="Arial"/>
                <w:bCs/>
                <w:sz w:val="24"/>
                <w:szCs w:val="24"/>
              </w:rPr>
            </w:pPr>
            <w:r w:rsidRPr="00E9478D">
              <w:rPr>
                <w:rFonts w:ascii="Arial" w:eastAsia="Courier New" w:hAnsi="Arial" w:cs="Arial"/>
                <w:bCs/>
                <w:color w:val="000000"/>
                <w:sz w:val="24"/>
                <w:szCs w:val="24"/>
              </w:rPr>
              <w:t>INSTRUCTED BY:</w:t>
            </w:r>
          </w:p>
        </w:tc>
        <w:tc>
          <w:tcPr>
            <w:tcW w:w="4342" w:type="dxa"/>
          </w:tcPr>
          <w:p w14:paraId="552A7EF7" w14:textId="0F33F824" w:rsidR="00E9478D" w:rsidRPr="00E9478D" w:rsidRDefault="00C24738" w:rsidP="00672288">
            <w:pPr>
              <w:spacing w:line="360" w:lineRule="auto"/>
              <w:rPr>
                <w:rFonts w:ascii="Arial" w:eastAsia="Courier New" w:hAnsi="Arial" w:cs="Arial"/>
                <w:bCs/>
                <w:color w:val="000000"/>
                <w:sz w:val="24"/>
                <w:szCs w:val="24"/>
              </w:rPr>
            </w:pPr>
            <w:r>
              <w:rPr>
                <w:rFonts w:ascii="Arial" w:eastAsia="Courier New" w:hAnsi="Arial" w:cs="Arial"/>
                <w:bCs/>
                <w:color w:val="000000"/>
                <w:sz w:val="24"/>
                <w:szCs w:val="24"/>
              </w:rPr>
              <w:t>MATTHEW FRANCIS INC.</w:t>
            </w:r>
          </w:p>
          <w:p w14:paraId="32D42C1F" w14:textId="77777777" w:rsidR="00E9478D" w:rsidRPr="00E9478D" w:rsidRDefault="00E9478D" w:rsidP="00672288">
            <w:pPr>
              <w:spacing w:after="160" w:line="360" w:lineRule="auto"/>
              <w:rPr>
                <w:rFonts w:ascii="Arial" w:hAnsi="Arial" w:cs="Arial"/>
                <w:bCs/>
                <w:sz w:val="24"/>
                <w:szCs w:val="24"/>
              </w:rPr>
            </w:pPr>
          </w:p>
        </w:tc>
      </w:tr>
      <w:tr w:rsidR="00E9478D" w14:paraId="08FF256F" w14:textId="77777777" w:rsidTr="008869C8">
        <w:tc>
          <w:tcPr>
            <w:tcW w:w="4678" w:type="dxa"/>
          </w:tcPr>
          <w:p w14:paraId="6B5B1A7A" w14:textId="46EB18DA"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lastRenderedPageBreak/>
              <w:t>REFERENCE:</w:t>
            </w:r>
          </w:p>
        </w:tc>
        <w:tc>
          <w:tcPr>
            <w:tcW w:w="4342" w:type="dxa"/>
          </w:tcPr>
          <w:p w14:paraId="2113A073" w14:textId="556886E2" w:rsidR="00E9478D" w:rsidRPr="00E9478D" w:rsidRDefault="00C24738" w:rsidP="00672288">
            <w:pPr>
              <w:spacing w:after="160" w:line="360" w:lineRule="auto"/>
              <w:rPr>
                <w:rFonts w:ascii="Arial" w:hAnsi="Arial" w:cs="Arial"/>
                <w:bCs/>
                <w:sz w:val="24"/>
                <w:szCs w:val="24"/>
              </w:rPr>
            </w:pPr>
            <w:r>
              <w:rPr>
                <w:rFonts w:ascii="Arial" w:hAnsi="Arial" w:cs="Arial"/>
                <w:bCs/>
                <w:sz w:val="24"/>
                <w:szCs w:val="24"/>
              </w:rPr>
              <w:t>MR. Y MAHARAJ</w:t>
            </w:r>
          </w:p>
        </w:tc>
      </w:tr>
      <w:tr w:rsidR="00E9478D" w14:paraId="719A67BA" w14:textId="77777777" w:rsidTr="008869C8">
        <w:tc>
          <w:tcPr>
            <w:tcW w:w="4678" w:type="dxa"/>
          </w:tcPr>
          <w:p w14:paraId="414F942D" w14:textId="518E947A" w:rsidR="00715D2A" w:rsidRDefault="00715D2A" w:rsidP="00672288">
            <w:pPr>
              <w:spacing w:after="160" w:line="360" w:lineRule="auto"/>
              <w:jc w:val="both"/>
              <w:rPr>
                <w:rFonts w:ascii="Arial" w:hAnsi="Arial" w:cs="Arial"/>
                <w:b/>
                <w:sz w:val="24"/>
                <w:szCs w:val="24"/>
              </w:rPr>
            </w:pPr>
          </w:p>
          <w:p w14:paraId="65E3003B" w14:textId="508CD78F" w:rsidR="002D5067" w:rsidRDefault="002D5067" w:rsidP="00672288">
            <w:pPr>
              <w:spacing w:after="160" w:line="360" w:lineRule="auto"/>
              <w:jc w:val="both"/>
              <w:rPr>
                <w:rFonts w:ascii="Arial" w:hAnsi="Arial" w:cs="Arial"/>
                <w:b/>
                <w:sz w:val="24"/>
                <w:szCs w:val="24"/>
              </w:rPr>
            </w:pPr>
          </w:p>
          <w:p w14:paraId="4D717995" w14:textId="77777777" w:rsidR="002D5067" w:rsidRDefault="002D5067" w:rsidP="00672288">
            <w:pPr>
              <w:spacing w:after="160" w:line="360" w:lineRule="auto"/>
              <w:jc w:val="both"/>
              <w:rPr>
                <w:rFonts w:ascii="Arial" w:hAnsi="Arial" w:cs="Arial"/>
                <w:b/>
                <w:sz w:val="24"/>
                <w:szCs w:val="24"/>
              </w:rPr>
            </w:pPr>
          </w:p>
          <w:p w14:paraId="54A01CF7" w14:textId="50324503" w:rsidR="00E9478D" w:rsidRPr="00C16DB2" w:rsidRDefault="00E9478D" w:rsidP="00672288">
            <w:pPr>
              <w:spacing w:after="160" w:line="360" w:lineRule="auto"/>
              <w:jc w:val="both"/>
              <w:rPr>
                <w:rFonts w:ascii="Arial" w:hAnsi="Arial" w:cs="Arial"/>
                <w:b/>
                <w:sz w:val="24"/>
                <w:szCs w:val="24"/>
              </w:rPr>
            </w:pPr>
            <w:r w:rsidRPr="00C16DB2">
              <w:rPr>
                <w:rFonts w:ascii="Arial" w:hAnsi="Arial" w:cs="Arial"/>
                <w:b/>
                <w:sz w:val="24"/>
                <w:szCs w:val="24"/>
              </w:rPr>
              <w:t xml:space="preserve">FOR THE </w:t>
            </w:r>
            <w:r w:rsidR="00005D63">
              <w:rPr>
                <w:rFonts w:ascii="Arial" w:hAnsi="Arial" w:cs="Arial"/>
                <w:b/>
                <w:sz w:val="24"/>
                <w:szCs w:val="24"/>
              </w:rPr>
              <w:t xml:space="preserve">FIRST </w:t>
            </w:r>
            <w:r w:rsidRPr="00C16DB2">
              <w:rPr>
                <w:rFonts w:ascii="Arial" w:hAnsi="Arial" w:cs="Arial"/>
                <w:b/>
                <w:sz w:val="24"/>
                <w:szCs w:val="24"/>
              </w:rPr>
              <w:t>RESPONDENT:</w:t>
            </w:r>
          </w:p>
        </w:tc>
        <w:tc>
          <w:tcPr>
            <w:tcW w:w="4342" w:type="dxa"/>
          </w:tcPr>
          <w:p w14:paraId="4EE01F55" w14:textId="77777777" w:rsidR="00715D2A" w:rsidRDefault="00715D2A" w:rsidP="00672288">
            <w:pPr>
              <w:spacing w:after="160" w:line="360" w:lineRule="auto"/>
              <w:rPr>
                <w:rFonts w:ascii="Arial" w:eastAsia="Courier New" w:hAnsi="Arial" w:cs="Arial"/>
                <w:bCs/>
                <w:color w:val="000000"/>
                <w:sz w:val="24"/>
                <w:szCs w:val="24"/>
                <w:lang w:eastAsia="en-ZA"/>
              </w:rPr>
            </w:pPr>
          </w:p>
          <w:p w14:paraId="4CBBBE31" w14:textId="77777777" w:rsidR="00780112" w:rsidRDefault="00780112" w:rsidP="00672288">
            <w:pPr>
              <w:spacing w:after="160" w:line="360" w:lineRule="auto"/>
              <w:rPr>
                <w:rFonts w:ascii="Arial" w:eastAsia="Courier New" w:hAnsi="Arial" w:cs="Arial"/>
                <w:bCs/>
                <w:color w:val="000000"/>
                <w:sz w:val="24"/>
                <w:szCs w:val="24"/>
                <w:lang w:eastAsia="en-ZA"/>
              </w:rPr>
            </w:pPr>
          </w:p>
          <w:p w14:paraId="10BC7A3B" w14:textId="77777777" w:rsidR="00780112" w:rsidRDefault="00780112" w:rsidP="00672288">
            <w:pPr>
              <w:spacing w:after="160" w:line="360" w:lineRule="auto"/>
              <w:rPr>
                <w:rFonts w:ascii="Arial" w:eastAsia="Courier New" w:hAnsi="Arial" w:cs="Arial"/>
                <w:bCs/>
                <w:color w:val="000000"/>
                <w:sz w:val="24"/>
                <w:szCs w:val="24"/>
                <w:lang w:eastAsia="en-ZA"/>
              </w:rPr>
            </w:pPr>
          </w:p>
          <w:p w14:paraId="1D84255F" w14:textId="597C4DAB"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w:t>
            </w:r>
            <w:r w:rsidR="00C24738">
              <w:rPr>
                <w:rFonts w:ascii="Arial" w:eastAsia="Courier New" w:hAnsi="Arial" w:cs="Arial"/>
                <w:bCs/>
                <w:color w:val="000000"/>
                <w:sz w:val="24"/>
                <w:szCs w:val="24"/>
                <w:lang w:eastAsia="en-ZA"/>
              </w:rPr>
              <w:t>.</w:t>
            </w:r>
            <w:r w:rsidRPr="00E9478D">
              <w:rPr>
                <w:rFonts w:ascii="Arial" w:eastAsia="Courier New" w:hAnsi="Arial" w:cs="Arial"/>
                <w:bCs/>
                <w:color w:val="000000"/>
                <w:sz w:val="24"/>
                <w:szCs w:val="24"/>
                <w:lang w:eastAsia="en-ZA"/>
              </w:rPr>
              <w:t xml:space="preserve"> </w:t>
            </w:r>
            <w:r w:rsidR="00005D63">
              <w:rPr>
                <w:rFonts w:ascii="Arial" w:eastAsia="Courier New" w:hAnsi="Arial" w:cs="Arial"/>
                <w:bCs/>
                <w:color w:val="000000"/>
                <w:sz w:val="24"/>
                <w:szCs w:val="24"/>
                <w:lang w:eastAsia="en-ZA"/>
              </w:rPr>
              <w:t xml:space="preserve">N MAENETJE </w:t>
            </w:r>
            <w:r w:rsidRPr="00E9478D">
              <w:rPr>
                <w:rFonts w:ascii="Arial" w:eastAsia="Courier New" w:hAnsi="Arial" w:cs="Arial"/>
                <w:bCs/>
                <w:color w:val="000000"/>
                <w:sz w:val="24"/>
                <w:szCs w:val="24"/>
                <w:lang w:eastAsia="en-ZA"/>
              </w:rPr>
              <w:t>SC</w:t>
            </w:r>
          </w:p>
        </w:tc>
      </w:tr>
      <w:tr w:rsidR="00E9478D" w14:paraId="056B10D0" w14:textId="77777777" w:rsidTr="008869C8">
        <w:tc>
          <w:tcPr>
            <w:tcW w:w="4678" w:type="dxa"/>
          </w:tcPr>
          <w:p w14:paraId="1F51FACB" w14:textId="77777777" w:rsidR="00E9478D" w:rsidRPr="00E9478D" w:rsidRDefault="00E9478D" w:rsidP="00672288">
            <w:pPr>
              <w:spacing w:after="160" w:line="360" w:lineRule="auto"/>
              <w:jc w:val="both"/>
              <w:rPr>
                <w:rFonts w:ascii="Arial" w:hAnsi="Arial" w:cs="Arial"/>
                <w:bCs/>
                <w:sz w:val="24"/>
                <w:szCs w:val="24"/>
              </w:rPr>
            </w:pPr>
          </w:p>
        </w:tc>
        <w:tc>
          <w:tcPr>
            <w:tcW w:w="4342" w:type="dxa"/>
          </w:tcPr>
          <w:p w14:paraId="270EFF76" w14:textId="59A62012"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w:t>
            </w:r>
            <w:r w:rsidR="00C24738">
              <w:rPr>
                <w:rFonts w:ascii="Arial" w:eastAsia="Courier New" w:hAnsi="Arial" w:cs="Arial"/>
                <w:bCs/>
                <w:color w:val="000000"/>
                <w:sz w:val="24"/>
                <w:szCs w:val="24"/>
                <w:lang w:eastAsia="en-ZA"/>
              </w:rPr>
              <w:t>. M MAJOZI</w:t>
            </w:r>
          </w:p>
        </w:tc>
      </w:tr>
      <w:tr w:rsidR="00E9478D" w14:paraId="14D757F1" w14:textId="77777777" w:rsidTr="008869C8">
        <w:tc>
          <w:tcPr>
            <w:tcW w:w="4678" w:type="dxa"/>
          </w:tcPr>
          <w:p w14:paraId="0D95057F" w14:textId="02D03F28"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342" w:type="dxa"/>
          </w:tcPr>
          <w:p w14:paraId="29008ABE" w14:textId="2871EA10" w:rsidR="00E9478D" w:rsidRPr="00E9478D" w:rsidRDefault="00C24738" w:rsidP="00672288">
            <w:pPr>
              <w:spacing w:after="160" w:line="360" w:lineRule="auto"/>
              <w:rPr>
                <w:rFonts w:ascii="Arial" w:hAnsi="Arial" w:cs="Arial"/>
                <w:bCs/>
                <w:sz w:val="24"/>
                <w:szCs w:val="24"/>
              </w:rPr>
            </w:pPr>
            <w:r>
              <w:rPr>
                <w:rFonts w:ascii="Arial" w:hAnsi="Arial" w:cs="Arial"/>
                <w:bCs/>
                <w:sz w:val="24"/>
                <w:szCs w:val="24"/>
              </w:rPr>
              <w:t>WERKSMANS ATTORNEYS</w:t>
            </w:r>
          </w:p>
        </w:tc>
      </w:tr>
      <w:tr w:rsidR="00E9478D" w14:paraId="43B04F75" w14:textId="77777777" w:rsidTr="008869C8">
        <w:tc>
          <w:tcPr>
            <w:tcW w:w="4678" w:type="dxa"/>
          </w:tcPr>
          <w:p w14:paraId="46C53DA6" w14:textId="3ED8D5ED"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p>
        </w:tc>
        <w:tc>
          <w:tcPr>
            <w:tcW w:w="4342" w:type="dxa"/>
          </w:tcPr>
          <w:p w14:paraId="17DAE5D8" w14:textId="21FA7E7E" w:rsidR="00E9478D" w:rsidRPr="00E9478D" w:rsidRDefault="000F535B" w:rsidP="00672288">
            <w:pPr>
              <w:spacing w:after="160" w:line="360" w:lineRule="auto"/>
              <w:rPr>
                <w:rFonts w:ascii="Arial" w:hAnsi="Arial" w:cs="Arial"/>
                <w:bCs/>
                <w:sz w:val="24"/>
                <w:szCs w:val="24"/>
              </w:rPr>
            </w:pPr>
            <w:r>
              <w:rPr>
                <w:rFonts w:ascii="Arial" w:hAnsi="Arial" w:cs="Arial"/>
                <w:bCs/>
                <w:sz w:val="24"/>
                <w:szCs w:val="24"/>
              </w:rPr>
              <w:t>M</w:t>
            </w:r>
            <w:r w:rsidR="00932498">
              <w:rPr>
                <w:rFonts w:ascii="Arial" w:hAnsi="Arial" w:cs="Arial"/>
                <w:bCs/>
                <w:sz w:val="24"/>
                <w:szCs w:val="24"/>
              </w:rPr>
              <w:t>S. C MANAKA</w:t>
            </w:r>
          </w:p>
        </w:tc>
      </w:tr>
      <w:tr w:rsidR="00C16DB2" w14:paraId="1142F40E" w14:textId="77777777" w:rsidTr="008869C8">
        <w:tc>
          <w:tcPr>
            <w:tcW w:w="4678" w:type="dxa"/>
          </w:tcPr>
          <w:p w14:paraId="4208BF98" w14:textId="77777777" w:rsidR="00C16DB2" w:rsidRPr="00E9478D" w:rsidRDefault="00C16DB2" w:rsidP="00672288">
            <w:pPr>
              <w:spacing w:after="160" w:line="360" w:lineRule="auto"/>
              <w:jc w:val="both"/>
              <w:rPr>
                <w:rFonts w:ascii="Arial" w:hAnsi="Arial" w:cs="Arial"/>
                <w:bCs/>
              </w:rPr>
            </w:pPr>
          </w:p>
        </w:tc>
        <w:tc>
          <w:tcPr>
            <w:tcW w:w="4342" w:type="dxa"/>
          </w:tcPr>
          <w:p w14:paraId="64AB0DF2" w14:textId="77777777" w:rsidR="00C16DB2" w:rsidRPr="00E9478D" w:rsidRDefault="00C16DB2" w:rsidP="00672288">
            <w:pPr>
              <w:spacing w:after="160" w:line="360" w:lineRule="auto"/>
              <w:rPr>
                <w:rFonts w:ascii="Arial" w:eastAsia="Courier New" w:hAnsi="Arial" w:cs="Arial"/>
                <w:bCs/>
                <w:color w:val="000000"/>
                <w:lang w:eastAsia="en-ZA"/>
              </w:rPr>
            </w:pPr>
          </w:p>
        </w:tc>
      </w:tr>
      <w:tr w:rsidR="00E9478D" w14:paraId="25E54C6C" w14:textId="77777777" w:rsidTr="008869C8">
        <w:tc>
          <w:tcPr>
            <w:tcW w:w="4678" w:type="dxa"/>
          </w:tcPr>
          <w:p w14:paraId="0929EC31" w14:textId="0CA2B0F5" w:rsidR="00E9478D" w:rsidRPr="00C16DB2" w:rsidRDefault="00E9478D" w:rsidP="00672288">
            <w:pPr>
              <w:spacing w:after="160" w:line="360" w:lineRule="auto"/>
              <w:jc w:val="both"/>
              <w:rPr>
                <w:rFonts w:ascii="Arial" w:hAnsi="Arial" w:cs="Arial"/>
                <w:b/>
                <w:sz w:val="24"/>
                <w:szCs w:val="24"/>
              </w:rPr>
            </w:pPr>
            <w:r w:rsidRPr="00C16DB2">
              <w:rPr>
                <w:rFonts w:ascii="Arial" w:hAnsi="Arial" w:cs="Arial"/>
                <w:b/>
                <w:sz w:val="24"/>
                <w:szCs w:val="24"/>
              </w:rPr>
              <w:t>FOR THE</w:t>
            </w:r>
            <w:r w:rsidR="00C16DB2" w:rsidRPr="00C16DB2">
              <w:rPr>
                <w:rFonts w:ascii="Arial" w:hAnsi="Arial" w:cs="Arial"/>
                <w:b/>
                <w:sz w:val="24"/>
                <w:szCs w:val="24"/>
              </w:rPr>
              <w:t xml:space="preserve"> </w:t>
            </w:r>
            <w:r w:rsidR="00005D63">
              <w:rPr>
                <w:rFonts w:ascii="Arial" w:hAnsi="Arial" w:cs="Arial"/>
                <w:b/>
                <w:sz w:val="24"/>
                <w:szCs w:val="24"/>
              </w:rPr>
              <w:t>SECOND</w:t>
            </w:r>
            <w:r w:rsidRPr="00C16DB2">
              <w:rPr>
                <w:rFonts w:ascii="Arial" w:hAnsi="Arial" w:cs="Arial"/>
                <w:b/>
                <w:sz w:val="24"/>
                <w:szCs w:val="24"/>
              </w:rPr>
              <w:t xml:space="preserve"> RESPONDENT:</w:t>
            </w:r>
          </w:p>
        </w:tc>
        <w:tc>
          <w:tcPr>
            <w:tcW w:w="4342" w:type="dxa"/>
          </w:tcPr>
          <w:p w14:paraId="2856D2E4" w14:textId="4A86F19F" w:rsidR="00E9478D" w:rsidRPr="00E9478D" w:rsidRDefault="00E9478D" w:rsidP="00672288">
            <w:pPr>
              <w:spacing w:after="160" w:line="360" w:lineRule="auto"/>
              <w:rPr>
                <w:rFonts w:ascii="Arial" w:hAnsi="Arial" w:cs="Arial"/>
                <w:bCs/>
                <w:sz w:val="24"/>
                <w:szCs w:val="24"/>
              </w:rPr>
            </w:pPr>
            <w:r w:rsidRPr="00E9478D">
              <w:rPr>
                <w:rFonts w:ascii="Arial" w:eastAsia="Courier New" w:hAnsi="Arial" w:cs="Arial"/>
                <w:bCs/>
                <w:color w:val="000000"/>
                <w:sz w:val="24"/>
                <w:szCs w:val="24"/>
                <w:lang w:eastAsia="en-ZA"/>
              </w:rPr>
              <w:t>ADV</w:t>
            </w:r>
            <w:r w:rsidR="00C24738">
              <w:rPr>
                <w:rFonts w:ascii="Arial" w:eastAsia="Courier New" w:hAnsi="Arial" w:cs="Arial"/>
                <w:bCs/>
                <w:color w:val="000000"/>
                <w:sz w:val="24"/>
                <w:szCs w:val="24"/>
                <w:lang w:eastAsia="en-ZA"/>
              </w:rPr>
              <w:t>. L ABRAHAMS</w:t>
            </w:r>
          </w:p>
        </w:tc>
      </w:tr>
      <w:tr w:rsidR="00E9478D" w14:paraId="6209F23F" w14:textId="77777777" w:rsidTr="008869C8">
        <w:tc>
          <w:tcPr>
            <w:tcW w:w="4678" w:type="dxa"/>
          </w:tcPr>
          <w:p w14:paraId="7E7346C4" w14:textId="79FD1084"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INSTRUCTED BY:</w:t>
            </w:r>
          </w:p>
        </w:tc>
        <w:tc>
          <w:tcPr>
            <w:tcW w:w="4342" w:type="dxa"/>
          </w:tcPr>
          <w:p w14:paraId="276ED5B9" w14:textId="7D2700DE" w:rsidR="00E9478D" w:rsidRPr="00E9478D" w:rsidRDefault="00005D63" w:rsidP="00672288">
            <w:pPr>
              <w:spacing w:after="160" w:line="360" w:lineRule="auto"/>
              <w:rPr>
                <w:rFonts w:ascii="Arial" w:hAnsi="Arial" w:cs="Arial"/>
                <w:bCs/>
                <w:sz w:val="24"/>
                <w:szCs w:val="24"/>
              </w:rPr>
            </w:pPr>
            <w:r>
              <w:rPr>
                <w:rFonts w:ascii="Arial" w:hAnsi="Arial" w:cs="Arial"/>
                <w:bCs/>
                <w:sz w:val="24"/>
                <w:szCs w:val="24"/>
              </w:rPr>
              <w:t>THE STATE ATTORNEY  PRETORIA</w:t>
            </w:r>
          </w:p>
        </w:tc>
      </w:tr>
      <w:tr w:rsidR="00E9478D" w14:paraId="125D6E70" w14:textId="77777777" w:rsidTr="008869C8">
        <w:tc>
          <w:tcPr>
            <w:tcW w:w="4678" w:type="dxa"/>
          </w:tcPr>
          <w:p w14:paraId="6DC4DAF7" w14:textId="452D0BC3" w:rsidR="00E9478D" w:rsidRPr="00E9478D" w:rsidRDefault="00E9478D" w:rsidP="00672288">
            <w:pPr>
              <w:spacing w:after="160" w:line="360" w:lineRule="auto"/>
              <w:jc w:val="both"/>
              <w:rPr>
                <w:rFonts w:ascii="Arial" w:hAnsi="Arial" w:cs="Arial"/>
                <w:bCs/>
                <w:sz w:val="24"/>
                <w:szCs w:val="24"/>
              </w:rPr>
            </w:pPr>
            <w:r w:rsidRPr="00E9478D">
              <w:rPr>
                <w:rFonts w:ascii="Arial" w:hAnsi="Arial" w:cs="Arial"/>
                <w:bCs/>
                <w:sz w:val="24"/>
                <w:szCs w:val="24"/>
              </w:rPr>
              <w:t>REFERENCE</w:t>
            </w:r>
            <w:r w:rsidR="000F535B">
              <w:rPr>
                <w:rFonts w:ascii="Arial" w:hAnsi="Arial" w:cs="Arial"/>
                <w:bCs/>
                <w:sz w:val="24"/>
                <w:szCs w:val="24"/>
              </w:rPr>
              <w:t>:</w:t>
            </w:r>
          </w:p>
        </w:tc>
        <w:tc>
          <w:tcPr>
            <w:tcW w:w="4342" w:type="dxa"/>
          </w:tcPr>
          <w:p w14:paraId="34112FA4" w14:textId="36D1BEF1" w:rsidR="00E9478D" w:rsidRPr="00E9478D" w:rsidRDefault="00005D63" w:rsidP="00672288">
            <w:pPr>
              <w:spacing w:after="160" w:line="360" w:lineRule="auto"/>
              <w:rPr>
                <w:rFonts w:ascii="Arial" w:hAnsi="Arial" w:cs="Arial"/>
                <w:bCs/>
                <w:sz w:val="24"/>
                <w:szCs w:val="24"/>
              </w:rPr>
            </w:pPr>
            <w:r>
              <w:rPr>
                <w:rFonts w:ascii="Arial" w:hAnsi="Arial" w:cs="Arial"/>
                <w:bCs/>
                <w:sz w:val="24"/>
                <w:szCs w:val="24"/>
              </w:rPr>
              <w:t>MS</w:t>
            </w:r>
            <w:r w:rsidR="00932498">
              <w:rPr>
                <w:rFonts w:ascii="Arial" w:hAnsi="Arial" w:cs="Arial"/>
                <w:bCs/>
                <w:sz w:val="24"/>
                <w:szCs w:val="24"/>
              </w:rPr>
              <w:t>. Z ZENANI</w:t>
            </w:r>
          </w:p>
        </w:tc>
      </w:tr>
      <w:tr w:rsidR="00005D63" w14:paraId="421A4FA3" w14:textId="77777777" w:rsidTr="008869C8">
        <w:tc>
          <w:tcPr>
            <w:tcW w:w="4678" w:type="dxa"/>
          </w:tcPr>
          <w:p w14:paraId="3A4F3012" w14:textId="77777777" w:rsidR="00005D63" w:rsidRDefault="00005D63" w:rsidP="008869C8">
            <w:pPr>
              <w:spacing w:line="360" w:lineRule="auto"/>
              <w:ind w:right="288"/>
              <w:rPr>
                <w:rFonts w:ascii="Arial" w:hAnsi="Arial" w:cs="Arial"/>
                <w:bCs/>
              </w:rPr>
            </w:pPr>
          </w:p>
          <w:p w14:paraId="401A3F36" w14:textId="6D0A3ED1" w:rsidR="008869C8" w:rsidRPr="008869C8" w:rsidRDefault="008869C8" w:rsidP="008869C8">
            <w:pPr>
              <w:spacing w:line="360" w:lineRule="auto"/>
              <w:ind w:right="288"/>
              <w:rPr>
                <w:rFonts w:ascii="Arial" w:hAnsi="Arial" w:cs="Arial"/>
                <w:b/>
                <w:sz w:val="24"/>
                <w:szCs w:val="24"/>
              </w:rPr>
            </w:pPr>
            <w:r w:rsidRPr="008869C8">
              <w:rPr>
                <w:rFonts w:ascii="Arial" w:hAnsi="Arial" w:cs="Arial"/>
                <w:b/>
                <w:sz w:val="24"/>
                <w:szCs w:val="24"/>
              </w:rPr>
              <w:t>NO APPEARANCE FOR THE THIRD OR FOURTH RESPONDENTS</w:t>
            </w:r>
          </w:p>
        </w:tc>
        <w:tc>
          <w:tcPr>
            <w:tcW w:w="4342" w:type="dxa"/>
          </w:tcPr>
          <w:p w14:paraId="49F7CA57" w14:textId="77777777" w:rsidR="00005D63" w:rsidRPr="00E9478D" w:rsidRDefault="00005D63" w:rsidP="00672288">
            <w:pPr>
              <w:spacing w:after="160" w:line="360" w:lineRule="auto"/>
              <w:rPr>
                <w:rFonts w:ascii="Arial" w:eastAsia="Courier New" w:hAnsi="Arial" w:cs="Arial"/>
                <w:bCs/>
                <w:color w:val="000000"/>
                <w:lang w:eastAsia="en-ZA"/>
              </w:rPr>
            </w:pPr>
          </w:p>
        </w:tc>
      </w:tr>
    </w:tbl>
    <w:p w14:paraId="56023C2B" w14:textId="703F0FE0" w:rsidR="0027008F" w:rsidRDefault="0027008F" w:rsidP="00715D2A">
      <w:pPr>
        <w:ind w:right="288"/>
        <w:rPr>
          <w:rFonts w:ascii="Arial" w:eastAsia="Courier New" w:hAnsi="Arial" w:cs="Arial"/>
          <w:b/>
          <w:color w:val="000000"/>
          <w:lang w:eastAsia="en-ZA"/>
        </w:rPr>
      </w:pPr>
    </w:p>
    <w:p w14:paraId="3E5101BB" w14:textId="44BC386D" w:rsidR="00005D63" w:rsidRDefault="00005D63" w:rsidP="00715D2A">
      <w:pPr>
        <w:ind w:right="288"/>
        <w:rPr>
          <w:rFonts w:ascii="Arial" w:eastAsia="Courier New" w:hAnsi="Arial" w:cs="Arial"/>
          <w:b/>
          <w:color w:val="000000"/>
          <w:lang w:eastAsia="en-ZA"/>
        </w:rPr>
      </w:pPr>
    </w:p>
    <w:p w14:paraId="48136541" w14:textId="793EBADF" w:rsidR="00005D63" w:rsidRPr="00715D2A" w:rsidRDefault="00005D63">
      <w:pPr>
        <w:ind w:right="288"/>
        <w:rPr>
          <w:rFonts w:ascii="Arial" w:eastAsia="Courier New" w:hAnsi="Arial" w:cs="Arial"/>
          <w:b/>
          <w:color w:val="000000"/>
          <w:lang w:eastAsia="en-ZA"/>
        </w:rPr>
      </w:pPr>
    </w:p>
    <w:sectPr w:rsidR="00005D63" w:rsidRPr="00715D2A" w:rsidSect="002133E4">
      <w:headerReference w:type="even" r:id="rId9"/>
      <w:headerReference w:type="default" r:id="rId10"/>
      <w:endnotePr>
        <w:numFmt w:val="decimal"/>
      </w:endnotePr>
      <w:pgSz w:w="11900" w:h="16840"/>
      <w:pgMar w:top="168" w:right="1440" w:bottom="1233"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B1D54" w14:textId="77777777" w:rsidR="00C822A4" w:rsidRDefault="00C822A4" w:rsidP="008C18AE">
      <w:r>
        <w:separator/>
      </w:r>
    </w:p>
  </w:endnote>
  <w:endnote w:type="continuationSeparator" w:id="0">
    <w:p w14:paraId="24ABEECB" w14:textId="77777777" w:rsidR="00C822A4" w:rsidRDefault="00C822A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8AF8" w14:textId="77777777" w:rsidR="00C822A4" w:rsidRDefault="00C822A4" w:rsidP="008C18AE">
      <w:r>
        <w:separator/>
      </w:r>
    </w:p>
  </w:footnote>
  <w:footnote w:type="continuationSeparator" w:id="0">
    <w:p w14:paraId="7D5D4A62" w14:textId="77777777" w:rsidR="00C822A4" w:rsidRDefault="00C822A4" w:rsidP="008C18AE">
      <w:r>
        <w:continuationSeparator/>
      </w:r>
    </w:p>
  </w:footnote>
  <w:footnote w:id="1">
    <w:p w14:paraId="00D367A7" w14:textId="5281E62A" w:rsidR="00AD0032" w:rsidRPr="00AD0032" w:rsidRDefault="00AD0032" w:rsidP="00AD0032">
      <w:pPr>
        <w:pStyle w:val="FootnoteText"/>
        <w:ind w:left="284" w:hanging="284"/>
        <w:rPr>
          <w:rFonts w:ascii="Arial" w:hAnsi="Arial" w:cs="Arial"/>
        </w:rPr>
      </w:pPr>
      <w:r w:rsidRPr="00AD0032">
        <w:rPr>
          <w:rStyle w:val="FootnoteReference"/>
          <w:rFonts w:ascii="Arial" w:hAnsi="Arial" w:cs="Arial"/>
          <w:sz w:val="20"/>
          <w:szCs w:val="20"/>
        </w:rPr>
        <w:footnoteRef/>
      </w:r>
      <w:r w:rsidRPr="00AD0032">
        <w:rPr>
          <w:rFonts w:ascii="Arial" w:hAnsi="Arial" w:cs="Arial"/>
          <w:sz w:val="20"/>
          <w:szCs w:val="20"/>
        </w:rPr>
        <w:t xml:space="preserve"> </w:t>
      </w:r>
      <w:r w:rsidRPr="00AD0032">
        <w:rPr>
          <w:rFonts w:ascii="Arial" w:hAnsi="Arial" w:cs="Arial"/>
          <w:sz w:val="20"/>
          <w:szCs w:val="20"/>
        </w:rPr>
        <w:tab/>
        <w:t>94 of 1990.</w:t>
      </w:r>
    </w:p>
  </w:footnote>
  <w:footnote w:id="2">
    <w:p w14:paraId="11093D42" w14:textId="3FB8660B" w:rsidR="001F1068" w:rsidRPr="00ED77B9" w:rsidRDefault="001F1068" w:rsidP="00AD4721">
      <w:pPr>
        <w:pStyle w:val="FootnoteText"/>
        <w:ind w:left="284" w:hanging="284"/>
        <w:jc w:val="both"/>
        <w:rPr>
          <w:rFonts w:ascii="Arial" w:hAnsi="Arial" w:cs="Arial"/>
          <w:sz w:val="20"/>
          <w:szCs w:val="20"/>
        </w:rPr>
      </w:pPr>
      <w:r w:rsidRPr="00ED77B9">
        <w:rPr>
          <w:rStyle w:val="FootnoteReference"/>
          <w:rFonts w:ascii="Arial" w:hAnsi="Arial" w:cs="Arial"/>
          <w:sz w:val="20"/>
          <w:szCs w:val="20"/>
        </w:rPr>
        <w:footnoteRef/>
      </w:r>
      <w:r w:rsidRPr="00ED77B9">
        <w:rPr>
          <w:rFonts w:ascii="Arial" w:hAnsi="Arial" w:cs="Arial"/>
          <w:sz w:val="20"/>
          <w:szCs w:val="20"/>
        </w:rPr>
        <w:t xml:space="preserve"> </w:t>
      </w:r>
      <w:r w:rsidR="00AD4721">
        <w:rPr>
          <w:rFonts w:ascii="Arial" w:hAnsi="Arial" w:cs="Arial"/>
          <w:sz w:val="20"/>
          <w:szCs w:val="20"/>
        </w:rPr>
        <w:tab/>
      </w:r>
      <w:r w:rsidR="00ED77B9" w:rsidRPr="00BC60BD">
        <w:rPr>
          <w:rFonts w:ascii="Arial" w:hAnsi="Arial" w:cs="Arial"/>
          <w:i/>
          <w:iCs/>
          <w:sz w:val="20"/>
          <w:szCs w:val="20"/>
        </w:rPr>
        <w:t>Ithala SOC Limited v South African Reserve Bank and Others</w:t>
      </w:r>
      <w:r w:rsidR="00ED77B9" w:rsidRPr="00BC60BD">
        <w:rPr>
          <w:rFonts w:ascii="Arial" w:hAnsi="Arial" w:cs="Arial"/>
          <w:sz w:val="20"/>
          <w:szCs w:val="20"/>
        </w:rPr>
        <w:t xml:space="preserve"> (010146/2022) [2022] ZAGPPHC 784 (14 October 2022).</w:t>
      </w:r>
    </w:p>
  </w:footnote>
  <w:footnote w:id="3">
    <w:p w14:paraId="20CBB01C" w14:textId="757A115A" w:rsidR="0010480C" w:rsidRPr="00E027F6" w:rsidRDefault="0010480C" w:rsidP="00E027F6">
      <w:pPr>
        <w:pStyle w:val="FootnoteText"/>
        <w:ind w:left="284" w:hanging="284"/>
        <w:rPr>
          <w:rFonts w:ascii="Arial" w:hAnsi="Arial" w:cs="Arial"/>
          <w:sz w:val="20"/>
          <w:szCs w:val="20"/>
        </w:rPr>
      </w:pPr>
      <w:r w:rsidRPr="00E027F6">
        <w:rPr>
          <w:rStyle w:val="FootnoteReference"/>
          <w:rFonts w:ascii="Arial" w:hAnsi="Arial" w:cs="Arial"/>
          <w:sz w:val="20"/>
          <w:szCs w:val="20"/>
        </w:rPr>
        <w:footnoteRef/>
      </w:r>
      <w:r w:rsidRPr="00E027F6">
        <w:rPr>
          <w:rFonts w:ascii="Arial" w:hAnsi="Arial" w:cs="Arial"/>
          <w:sz w:val="20"/>
          <w:szCs w:val="20"/>
        </w:rPr>
        <w:t xml:space="preserve"> </w:t>
      </w:r>
      <w:r>
        <w:rPr>
          <w:rFonts w:ascii="Arial" w:hAnsi="Arial" w:cs="Arial"/>
          <w:sz w:val="20"/>
          <w:szCs w:val="20"/>
        </w:rPr>
        <w:tab/>
      </w:r>
      <w:r w:rsidRPr="00E027F6">
        <w:rPr>
          <w:rFonts w:ascii="Arial" w:hAnsi="Arial" w:cs="Arial"/>
          <w:sz w:val="20"/>
          <w:szCs w:val="20"/>
        </w:rPr>
        <w:t>5 of 2013.</w:t>
      </w:r>
    </w:p>
  </w:footnote>
  <w:footnote w:id="4">
    <w:p w14:paraId="20E6CEAA" w14:textId="66F8A639" w:rsidR="0010480C" w:rsidRDefault="0010480C" w:rsidP="00E027F6">
      <w:pPr>
        <w:pStyle w:val="FootnoteText"/>
        <w:ind w:left="284" w:hanging="284"/>
      </w:pPr>
      <w:r w:rsidRPr="00E027F6">
        <w:rPr>
          <w:rStyle w:val="FootnoteReference"/>
          <w:rFonts w:ascii="Arial" w:hAnsi="Arial" w:cs="Arial"/>
          <w:sz w:val="20"/>
          <w:szCs w:val="20"/>
        </w:rPr>
        <w:footnoteRef/>
      </w:r>
      <w:r w:rsidRPr="00E027F6">
        <w:rPr>
          <w:rFonts w:ascii="Arial" w:hAnsi="Arial" w:cs="Arial"/>
          <w:sz w:val="20"/>
          <w:szCs w:val="20"/>
        </w:rPr>
        <w:t xml:space="preserve"> </w:t>
      </w:r>
      <w:r>
        <w:rPr>
          <w:rFonts w:ascii="Arial" w:hAnsi="Arial" w:cs="Arial"/>
          <w:sz w:val="20"/>
          <w:szCs w:val="20"/>
        </w:rPr>
        <w:tab/>
      </w:r>
      <w:r w:rsidRPr="00E027F6">
        <w:rPr>
          <w:rFonts w:ascii="Arial" w:hAnsi="Arial" w:cs="Arial"/>
          <w:sz w:val="20"/>
          <w:szCs w:val="20"/>
        </w:rPr>
        <w:t>1 of 1999.</w:t>
      </w:r>
    </w:p>
  </w:footnote>
  <w:footnote w:id="5">
    <w:p w14:paraId="442920FC" w14:textId="3B56917C" w:rsidR="00180030" w:rsidRPr="00180030" w:rsidRDefault="00180030" w:rsidP="00180030">
      <w:pPr>
        <w:pStyle w:val="FootnoteText"/>
        <w:ind w:left="284" w:hanging="284"/>
        <w:jc w:val="both"/>
        <w:rPr>
          <w:rFonts w:ascii="Arial" w:hAnsi="Arial" w:cs="Arial"/>
          <w:sz w:val="20"/>
          <w:szCs w:val="20"/>
        </w:rPr>
      </w:pPr>
      <w:r w:rsidRPr="00180030">
        <w:rPr>
          <w:rStyle w:val="FootnoteReference"/>
          <w:rFonts w:ascii="Arial" w:hAnsi="Arial" w:cs="Arial"/>
          <w:sz w:val="20"/>
          <w:szCs w:val="20"/>
        </w:rPr>
        <w:footnoteRef/>
      </w:r>
      <w:r w:rsidRPr="00180030">
        <w:rPr>
          <w:rFonts w:ascii="Arial" w:hAnsi="Arial" w:cs="Arial"/>
          <w:sz w:val="20"/>
          <w:szCs w:val="20"/>
        </w:rPr>
        <w:t xml:space="preserve"> </w:t>
      </w:r>
      <w:r>
        <w:rPr>
          <w:rFonts w:ascii="Arial" w:hAnsi="Arial" w:cs="Arial"/>
          <w:sz w:val="20"/>
          <w:szCs w:val="20"/>
        </w:rPr>
        <w:tab/>
      </w:r>
      <w:r w:rsidRPr="00180030">
        <w:rPr>
          <w:rFonts w:ascii="Arial" w:hAnsi="Arial" w:cs="Arial"/>
          <w:i/>
          <w:iCs/>
          <w:sz w:val="20"/>
          <w:szCs w:val="20"/>
        </w:rPr>
        <w:t>S v Weinberg</w:t>
      </w:r>
      <w:r w:rsidRPr="00180030">
        <w:rPr>
          <w:rFonts w:ascii="Arial" w:hAnsi="Arial" w:cs="Arial"/>
          <w:sz w:val="20"/>
          <w:szCs w:val="20"/>
        </w:rPr>
        <w:t xml:space="preserve"> 1979 (3) SA 89 (A) at 98E and </w:t>
      </w:r>
      <w:r w:rsidRPr="00180030">
        <w:rPr>
          <w:rFonts w:ascii="Arial" w:hAnsi="Arial" w:cs="Arial"/>
          <w:i/>
          <w:iCs/>
          <w:sz w:val="20"/>
          <w:szCs w:val="20"/>
        </w:rPr>
        <w:t xml:space="preserve">Qwelane v South African Human Rights Commission and Another </w:t>
      </w:r>
      <w:r w:rsidRPr="00180030">
        <w:rPr>
          <w:rFonts w:ascii="Arial" w:hAnsi="Arial" w:cs="Arial"/>
          <w:sz w:val="20"/>
          <w:szCs w:val="20"/>
        </w:rPr>
        <w:t>2021 (6) SA 579 (CC) at para [153].</w:t>
      </w:r>
    </w:p>
  </w:footnote>
  <w:footnote w:id="6">
    <w:p w14:paraId="7FF9D994" w14:textId="2FEFAF78" w:rsidR="0010480C" w:rsidRPr="00F16523" w:rsidRDefault="0010480C" w:rsidP="005B62B3">
      <w:pPr>
        <w:pStyle w:val="FootnoteText"/>
        <w:jc w:val="both"/>
        <w:rPr>
          <w:rFonts w:ascii="Arial" w:hAnsi="Arial" w:cs="Arial"/>
          <w:sz w:val="20"/>
          <w:szCs w:val="20"/>
        </w:rPr>
      </w:pPr>
      <w:r w:rsidRPr="00F16523">
        <w:rPr>
          <w:rStyle w:val="FootnoteReference"/>
          <w:rFonts w:ascii="Arial" w:hAnsi="Arial" w:cs="Arial"/>
          <w:sz w:val="20"/>
          <w:szCs w:val="20"/>
        </w:rPr>
        <w:footnoteRef/>
      </w:r>
      <w:r w:rsidRPr="00F16523">
        <w:rPr>
          <w:rFonts w:ascii="Arial" w:hAnsi="Arial" w:cs="Arial"/>
          <w:sz w:val="20"/>
          <w:szCs w:val="20"/>
        </w:rPr>
        <w:t xml:space="preserve"> The </w:t>
      </w:r>
      <w:r w:rsidR="00984B95">
        <w:rPr>
          <w:rFonts w:ascii="Arial" w:hAnsi="Arial" w:cs="Arial"/>
          <w:sz w:val="20"/>
          <w:szCs w:val="20"/>
        </w:rPr>
        <w:t>Exemption</w:t>
      </w:r>
      <w:r w:rsidRPr="00F16523">
        <w:rPr>
          <w:rFonts w:ascii="Arial" w:hAnsi="Arial" w:cs="Arial"/>
          <w:sz w:val="20"/>
          <w:szCs w:val="20"/>
        </w:rPr>
        <w:t xml:space="preserve"> was published as General Notice 1169 of 2022, in Government Gazette No. 47063.</w:t>
      </w:r>
    </w:p>
  </w:footnote>
  <w:footnote w:id="7">
    <w:p w14:paraId="6C1B9CCF" w14:textId="6E53A6E6" w:rsidR="0022305A" w:rsidRPr="0022305A" w:rsidRDefault="0022305A">
      <w:pPr>
        <w:pStyle w:val="FootnoteText"/>
        <w:rPr>
          <w:rFonts w:ascii="Arial" w:hAnsi="Arial" w:cs="Arial"/>
          <w:sz w:val="20"/>
          <w:szCs w:val="20"/>
        </w:rPr>
      </w:pPr>
      <w:r w:rsidRPr="0022305A">
        <w:rPr>
          <w:rStyle w:val="FootnoteReference"/>
          <w:rFonts w:ascii="Arial" w:hAnsi="Arial" w:cs="Arial"/>
          <w:sz w:val="20"/>
          <w:szCs w:val="20"/>
        </w:rPr>
        <w:footnoteRef/>
      </w:r>
      <w:r w:rsidRPr="0022305A">
        <w:rPr>
          <w:rFonts w:ascii="Arial" w:hAnsi="Arial" w:cs="Arial"/>
          <w:sz w:val="20"/>
          <w:szCs w:val="20"/>
        </w:rPr>
        <w:t xml:space="preserve"> 9 of 2017</w:t>
      </w:r>
    </w:p>
  </w:footnote>
  <w:footnote w:id="8">
    <w:p w14:paraId="1911B87F" w14:textId="1EAF56FA" w:rsidR="00FF5A95" w:rsidRPr="006419C9" w:rsidRDefault="00FF5A95"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i/>
          <w:iCs/>
          <w:sz w:val="20"/>
          <w:szCs w:val="20"/>
        </w:rPr>
        <w:t>Wessels v Minister for Justice and Constitutional Development</w:t>
      </w:r>
      <w:r w:rsidRPr="006419C9">
        <w:rPr>
          <w:rFonts w:ascii="Arial" w:hAnsi="Arial" w:cs="Arial"/>
          <w:sz w:val="20"/>
          <w:szCs w:val="20"/>
        </w:rPr>
        <w:t xml:space="preserve"> 2010 (4) SA 128 (GNP) at 141I-J.</w:t>
      </w:r>
    </w:p>
  </w:footnote>
  <w:footnote w:id="9">
    <w:p w14:paraId="066FDE06" w14:textId="602BC112" w:rsidR="006419C9" w:rsidRPr="006419C9" w:rsidRDefault="006419C9"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i/>
          <w:iCs/>
          <w:sz w:val="20"/>
          <w:szCs w:val="20"/>
        </w:rPr>
        <w:t>Fedsure Life Assurance Ltd &amp; Others v Greater Johannesburg Transitional Metropolitan Council &amp; Others</w:t>
      </w:r>
      <w:r w:rsidRPr="006419C9">
        <w:rPr>
          <w:rFonts w:ascii="Arial" w:hAnsi="Arial" w:cs="Arial"/>
          <w:sz w:val="20"/>
          <w:szCs w:val="20"/>
        </w:rPr>
        <w:t xml:space="preserve"> 1999 (1) SA 374 (CC)</w:t>
      </w:r>
      <w:r w:rsidR="0022305A">
        <w:rPr>
          <w:rFonts w:ascii="Arial" w:hAnsi="Arial" w:cs="Arial"/>
          <w:sz w:val="20"/>
          <w:szCs w:val="20"/>
        </w:rPr>
        <w:t>.</w:t>
      </w:r>
    </w:p>
  </w:footnote>
  <w:footnote w:id="10">
    <w:p w14:paraId="17EC8AED" w14:textId="24E963EF" w:rsidR="006419C9" w:rsidRPr="006419C9" w:rsidRDefault="006419C9"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i/>
          <w:iCs/>
          <w:sz w:val="20"/>
          <w:szCs w:val="20"/>
        </w:rPr>
        <w:t>President of the Republic of South Africa and Others v South African Rugby Football Union and Others</w:t>
      </w:r>
      <w:r w:rsidRPr="006419C9">
        <w:rPr>
          <w:rFonts w:ascii="Arial" w:hAnsi="Arial" w:cs="Arial"/>
          <w:sz w:val="20"/>
          <w:szCs w:val="20"/>
        </w:rPr>
        <w:t xml:space="preserve"> 2000 (1) SA 1 (CC).</w:t>
      </w:r>
    </w:p>
  </w:footnote>
  <w:footnote w:id="11">
    <w:p w14:paraId="7AF5EB5B" w14:textId="28AB9F1E" w:rsidR="006419C9" w:rsidRPr="006419C9" w:rsidRDefault="006419C9"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i/>
          <w:iCs/>
          <w:sz w:val="20"/>
          <w:szCs w:val="20"/>
        </w:rPr>
        <w:t xml:space="preserve">Pharmaceutical Manufacturers Association of SA: In re Ex parte President of the Republic of South Africa </w:t>
      </w:r>
      <w:r w:rsidRPr="006419C9">
        <w:rPr>
          <w:rFonts w:ascii="Arial" w:hAnsi="Arial" w:cs="Arial"/>
          <w:sz w:val="20"/>
          <w:szCs w:val="20"/>
        </w:rPr>
        <w:t>2000 (2) SA 674 (CC).</w:t>
      </w:r>
    </w:p>
  </w:footnote>
  <w:footnote w:id="12">
    <w:p w14:paraId="54F8D5D7" w14:textId="35E7E46A" w:rsidR="006419C9" w:rsidRPr="006419C9" w:rsidRDefault="006419C9"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sz w:val="20"/>
          <w:szCs w:val="20"/>
        </w:rPr>
        <w:t>Administrative Law in South Africa, 2</w:t>
      </w:r>
      <w:r w:rsidRPr="006419C9">
        <w:rPr>
          <w:rFonts w:ascii="Arial" w:hAnsi="Arial" w:cs="Arial"/>
          <w:sz w:val="20"/>
          <w:szCs w:val="20"/>
          <w:vertAlign w:val="superscript"/>
        </w:rPr>
        <w:t>nd</w:t>
      </w:r>
      <w:r w:rsidRPr="006419C9">
        <w:rPr>
          <w:rFonts w:ascii="Arial" w:hAnsi="Arial" w:cs="Arial"/>
          <w:sz w:val="20"/>
          <w:szCs w:val="20"/>
        </w:rPr>
        <w:t xml:space="preserve"> Ed, C Hoexter, Juta, 2012 at</w:t>
      </w:r>
      <w:r w:rsidR="0022305A">
        <w:rPr>
          <w:rFonts w:ascii="Arial" w:hAnsi="Arial" w:cs="Arial"/>
          <w:sz w:val="20"/>
          <w:szCs w:val="20"/>
        </w:rPr>
        <w:t xml:space="preserve"> </w:t>
      </w:r>
      <w:r w:rsidRPr="006419C9">
        <w:rPr>
          <w:rFonts w:ascii="Arial" w:hAnsi="Arial" w:cs="Arial"/>
          <w:sz w:val="20"/>
          <w:szCs w:val="20"/>
        </w:rPr>
        <w:t>121.</w:t>
      </w:r>
    </w:p>
  </w:footnote>
  <w:footnote w:id="13">
    <w:p w14:paraId="65998F20" w14:textId="456CED11" w:rsidR="00851829" w:rsidRPr="00851829" w:rsidRDefault="00851829" w:rsidP="001D2974">
      <w:pPr>
        <w:pStyle w:val="FootnoteText"/>
        <w:ind w:left="284" w:hanging="284"/>
        <w:jc w:val="both"/>
        <w:rPr>
          <w:rFonts w:ascii="Arial" w:hAnsi="Arial" w:cs="Arial"/>
          <w:sz w:val="20"/>
          <w:szCs w:val="20"/>
        </w:rPr>
      </w:pPr>
      <w:r w:rsidRPr="006419C9">
        <w:rPr>
          <w:rStyle w:val="FootnoteReference"/>
          <w:rFonts w:ascii="Arial" w:hAnsi="Arial" w:cs="Arial"/>
          <w:sz w:val="20"/>
          <w:szCs w:val="20"/>
        </w:rPr>
        <w:footnoteRef/>
      </w:r>
      <w:r w:rsidRPr="006419C9">
        <w:rPr>
          <w:rFonts w:ascii="Arial" w:hAnsi="Arial" w:cs="Arial"/>
          <w:sz w:val="20"/>
          <w:szCs w:val="20"/>
        </w:rPr>
        <w:t xml:space="preserve"> </w:t>
      </w:r>
      <w:r w:rsidR="001D2974">
        <w:rPr>
          <w:rFonts w:ascii="Arial" w:hAnsi="Arial" w:cs="Arial"/>
          <w:sz w:val="20"/>
          <w:szCs w:val="20"/>
        </w:rPr>
        <w:tab/>
      </w:r>
      <w:r w:rsidRPr="006419C9">
        <w:rPr>
          <w:rFonts w:ascii="Arial" w:hAnsi="Arial" w:cs="Arial"/>
          <w:i/>
          <w:iCs/>
          <w:color w:val="000000" w:themeColor="text1"/>
          <w:sz w:val="20"/>
          <w:szCs w:val="20"/>
        </w:rPr>
        <w:t>Member of the Executive Council for Health, Eastern Cape and Another</w:t>
      </w:r>
      <w:r w:rsidRPr="006419C9">
        <w:rPr>
          <w:rFonts w:ascii="Arial" w:hAnsi="Arial" w:cs="Arial"/>
          <w:color w:val="000000" w:themeColor="text1"/>
          <w:sz w:val="20"/>
          <w:szCs w:val="20"/>
        </w:rPr>
        <w:t xml:space="preserve"> </w:t>
      </w:r>
      <w:r w:rsidRPr="006419C9">
        <w:rPr>
          <w:rFonts w:ascii="Arial" w:hAnsi="Arial" w:cs="Arial"/>
          <w:i/>
          <w:iCs/>
          <w:color w:val="000000" w:themeColor="text1"/>
          <w:sz w:val="20"/>
          <w:szCs w:val="20"/>
        </w:rPr>
        <w:t xml:space="preserve">v Kirland Investments (Pty) Ltd t/a Eye &amp; Laser Institute </w:t>
      </w:r>
      <w:r w:rsidRPr="006419C9">
        <w:rPr>
          <w:rFonts w:ascii="Arial" w:hAnsi="Arial" w:cs="Arial"/>
          <w:sz w:val="20"/>
          <w:szCs w:val="20"/>
        </w:rPr>
        <w:t>2014 (3) SA 481 (CC) at para [82].</w:t>
      </w:r>
    </w:p>
  </w:footnote>
  <w:footnote w:id="14">
    <w:p w14:paraId="311891F1" w14:textId="060C4499" w:rsidR="0039398E" w:rsidRPr="00B3435C" w:rsidRDefault="0039398E" w:rsidP="00506D5A">
      <w:pPr>
        <w:pStyle w:val="FootnoteText"/>
        <w:ind w:left="284" w:hanging="284"/>
        <w:jc w:val="both"/>
        <w:rPr>
          <w:rFonts w:ascii="Arial" w:hAnsi="Arial" w:cs="Arial"/>
          <w:sz w:val="20"/>
          <w:szCs w:val="20"/>
        </w:rPr>
      </w:pPr>
      <w:r w:rsidRPr="00B3435C">
        <w:rPr>
          <w:rStyle w:val="FootnoteReference"/>
          <w:rFonts w:ascii="Arial" w:hAnsi="Arial" w:cs="Arial"/>
          <w:sz w:val="20"/>
          <w:szCs w:val="20"/>
        </w:rPr>
        <w:footnoteRef/>
      </w:r>
      <w:r w:rsidRPr="00B3435C">
        <w:rPr>
          <w:rFonts w:ascii="Arial" w:hAnsi="Arial" w:cs="Arial"/>
          <w:sz w:val="20"/>
          <w:szCs w:val="20"/>
        </w:rPr>
        <w:t xml:space="preserve"> </w:t>
      </w:r>
      <w:r w:rsidR="00506D5A" w:rsidRPr="00B3435C">
        <w:rPr>
          <w:rFonts w:ascii="Arial" w:hAnsi="Arial" w:cs="Arial"/>
          <w:sz w:val="20"/>
          <w:szCs w:val="20"/>
        </w:rPr>
        <w:tab/>
      </w:r>
      <w:r w:rsidRPr="00B3435C">
        <w:rPr>
          <w:rFonts w:ascii="Arial" w:hAnsi="Arial" w:cs="Arial"/>
          <w:sz w:val="20"/>
          <w:szCs w:val="20"/>
        </w:rPr>
        <w:t>2010 (3) SA 293 (CC) at para [51]</w:t>
      </w:r>
      <w:r w:rsidR="00EE7A6B" w:rsidRPr="00B3435C">
        <w:rPr>
          <w:rFonts w:ascii="Arial" w:hAnsi="Arial" w:cs="Arial"/>
          <w:sz w:val="20"/>
          <w:szCs w:val="20"/>
        </w:rPr>
        <w:t>.</w:t>
      </w:r>
      <w:r w:rsidR="00EE7A6B" w:rsidRPr="00B3435C">
        <w:rPr>
          <w:rFonts w:ascii="Arial" w:hAnsi="Arial" w:cs="Arial"/>
          <w:i/>
          <w:iCs/>
          <w:color w:val="000000" w:themeColor="text1"/>
          <w:sz w:val="20"/>
          <w:szCs w:val="20"/>
        </w:rPr>
        <w:t xml:space="preserve"> Westinghouse Electric Belgium SA v Eskom Holdings (SOC) Ltd and Another </w:t>
      </w:r>
      <w:r w:rsidR="00EE7A6B" w:rsidRPr="00B3435C">
        <w:rPr>
          <w:rFonts w:ascii="Arial" w:hAnsi="Arial" w:cs="Arial"/>
          <w:sz w:val="20"/>
          <w:szCs w:val="20"/>
        </w:rPr>
        <w:t xml:space="preserve">2016 (3) SA 1 (SCA) at paras [44] and to the reference therein to </w:t>
      </w:r>
      <w:r w:rsidR="00EE7A6B" w:rsidRPr="00B3435C">
        <w:rPr>
          <w:rFonts w:ascii="Arial" w:hAnsi="Arial" w:cs="Arial"/>
          <w:i/>
          <w:iCs/>
          <w:sz w:val="20"/>
          <w:szCs w:val="20"/>
        </w:rPr>
        <w:t xml:space="preserve">Patel v Witbank Town Council </w:t>
      </w:r>
      <w:r w:rsidR="00EE7A6B" w:rsidRPr="00B3435C">
        <w:rPr>
          <w:rFonts w:ascii="Arial" w:hAnsi="Arial" w:cs="Arial"/>
          <w:sz w:val="20"/>
          <w:szCs w:val="20"/>
        </w:rPr>
        <w:t xml:space="preserve">1931 ((TPD) 284 at 290 and </w:t>
      </w:r>
      <w:r w:rsidR="00EE7A6B" w:rsidRPr="00B3435C">
        <w:rPr>
          <w:rFonts w:ascii="Arial" w:hAnsi="Arial" w:cs="Arial"/>
          <w:i/>
          <w:iCs/>
          <w:color w:val="000000" w:themeColor="text1"/>
          <w:sz w:val="20"/>
          <w:szCs w:val="20"/>
        </w:rPr>
        <w:t xml:space="preserve">Democratic Alliance v President of the Republic of South Africa and Others </w:t>
      </w:r>
      <w:r w:rsidR="00EE7A6B" w:rsidRPr="00B3435C">
        <w:rPr>
          <w:rFonts w:ascii="Arial" w:hAnsi="Arial" w:cs="Arial"/>
          <w:sz w:val="20"/>
          <w:szCs w:val="20"/>
        </w:rPr>
        <w:t>13 (1) SA 248 (CC) at para [40].</w:t>
      </w:r>
    </w:p>
  </w:footnote>
  <w:footnote w:id="15">
    <w:p w14:paraId="4CDCE46B" w14:textId="23C9ADDD" w:rsidR="002239B3" w:rsidRPr="002239B3" w:rsidRDefault="002239B3" w:rsidP="002239B3">
      <w:pPr>
        <w:pStyle w:val="FootnoteText"/>
        <w:ind w:left="284" w:hanging="284"/>
        <w:rPr>
          <w:rFonts w:ascii="Arial" w:hAnsi="Arial" w:cs="Arial"/>
        </w:rPr>
      </w:pPr>
      <w:r w:rsidRPr="002239B3">
        <w:rPr>
          <w:rStyle w:val="FootnoteReference"/>
          <w:rFonts w:ascii="Arial" w:hAnsi="Arial" w:cs="Arial"/>
          <w:sz w:val="20"/>
          <w:szCs w:val="20"/>
        </w:rPr>
        <w:footnoteRef/>
      </w:r>
      <w:r w:rsidRPr="002239B3">
        <w:rPr>
          <w:rFonts w:ascii="Arial" w:hAnsi="Arial" w:cs="Arial"/>
          <w:sz w:val="20"/>
          <w:szCs w:val="20"/>
        </w:rPr>
        <w:t xml:space="preserve"> </w:t>
      </w:r>
      <w:r>
        <w:rPr>
          <w:rFonts w:ascii="Arial" w:hAnsi="Arial" w:cs="Arial"/>
          <w:sz w:val="20"/>
          <w:szCs w:val="20"/>
        </w:rPr>
        <w:tab/>
      </w:r>
      <w:r w:rsidRPr="002239B3">
        <w:rPr>
          <w:rFonts w:ascii="Arial" w:hAnsi="Arial" w:cs="Arial"/>
          <w:sz w:val="20"/>
          <w:szCs w:val="20"/>
        </w:rPr>
        <w:t>9 of 2017.</w:t>
      </w:r>
    </w:p>
  </w:footnote>
  <w:footnote w:id="16">
    <w:p w14:paraId="1C43C874" w14:textId="52CF628A" w:rsidR="002F69D1" w:rsidRPr="0012129C" w:rsidRDefault="002F69D1" w:rsidP="002F69D1">
      <w:pPr>
        <w:pStyle w:val="FootnoteText"/>
        <w:ind w:left="284" w:hanging="284"/>
        <w:rPr>
          <w:rFonts w:ascii="Arial" w:hAnsi="Arial" w:cs="Arial"/>
        </w:rPr>
      </w:pPr>
      <w:r w:rsidRPr="0012129C">
        <w:rPr>
          <w:rStyle w:val="FootnoteReference"/>
          <w:rFonts w:ascii="Arial" w:hAnsi="Arial" w:cs="Arial"/>
          <w:sz w:val="20"/>
          <w:szCs w:val="20"/>
        </w:rPr>
        <w:footnoteRef/>
      </w:r>
      <w:r w:rsidRPr="0012129C">
        <w:rPr>
          <w:rFonts w:ascii="Arial" w:hAnsi="Arial" w:cs="Arial"/>
          <w:sz w:val="20"/>
          <w:szCs w:val="20"/>
        </w:rPr>
        <w:t xml:space="preserve"> </w:t>
      </w:r>
      <w:r w:rsidRPr="0012129C">
        <w:rPr>
          <w:rFonts w:ascii="Arial" w:hAnsi="Arial" w:cs="Arial"/>
          <w:sz w:val="20"/>
          <w:szCs w:val="20"/>
        </w:rPr>
        <w:tab/>
      </w:r>
      <w:r w:rsidRPr="0012129C">
        <w:rPr>
          <w:rFonts w:ascii="Arial" w:hAnsi="Arial" w:cs="Arial"/>
          <w:i/>
          <w:iCs/>
          <w:sz w:val="20"/>
          <w:szCs w:val="20"/>
        </w:rPr>
        <w:t xml:space="preserve">SA Veterinary Council and Another v </w:t>
      </w:r>
      <w:r w:rsidR="0012129C" w:rsidRPr="0012129C">
        <w:rPr>
          <w:rFonts w:ascii="Arial" w:hAnsi="Arial" w:cs="Arial"/>
          <w:i/>
          <w:iCs/>
          <w:sz w:val="20"/>
          <w:szCs w:val="20"/>
        </w:rPr>
        <w:t>Szymanski</w:t>
      </w:r>
      <w:r w:rsidR="0012129C" w:rsidRPr="0012129C">
        <w:rPr>
          <w:rFonts w:ascii="Arial" w:hAnsi="Arial" w:cs="Arial"/>
          <w:sz w:val="20"/>
          <w:szCs w:val="20"/>
        </w:rPr>
        <w:t xml:space="preserve"> 2003 (4) BCLR 378 (SCA) a</w:t>
      </w:r>
      <w:r w:rsidRPr="0012129C">
        <w:rPr>
          <w:rFonts w:ascii="Arial" w:hAnsi="Arial" w:cs="Arial"/>
          <w:sz w:val="20"/>
          <w:szCs w:val="20"/>
        </w:rPr>
        <w:t>t para [19].</w:t>
      </w:r>
    </w:p>
  </w:footnote>
  <w:footnote w:id="17">
    <w:p w14:paraId="33041CEF" w14:textId="12FAF199" w:rsidR="00C270BB" w:rsidRPr="00F16523" w:rsidRDefault="00C270BB" w:rsidP="00C270BB">
      <w:pPr>
        <w:pStyle w:val="FootnoteText"/>
        <w:ind w:left="284" w:hanging="284"/>
        <w:jc w:val="both"/>
        <w:rPr>
          <w:rFonts w:ascii="Arial" w:hAnsi="Arial" w:cs="Arial"/>
          <w:sz w:val="20"/>
          <w:szCs w:val="20"/>
        </w:rPr>
      </w:pPr>
      <w:r w:rsidRPr="0012129C">
        <w:rPr>
          <w:rStyle w:val="FootnoteReference"/>
          <w:rFonts w:ascii="Arial" w:hAnsi="Arial" w:cs="Arial"/>
          <w:sz w:val="20"/>
          <w:szCs w:val="20"/>
        </w:rPr>
        <w:footnoteRef/>
      </w:r>
      <w:r w:rsidRPr="0012129C">
        <w:rPr>
          <w:rFonts w:ascii="Arial" w:hAnsi="Arial" w:cs="Arial"/>
          <w:sz w:val="20"/>
          <w:szCs w:val="20"/>
        </w:rPr>
        <w:t xml:space="preserve"> </w:t>
      </w:r>
      <w:r w:rsidRPr="0012129C">
        <w:rPr>
          <w:rFonts w:ascii="Arial" w:hAnsi="Arial" w:cs="Arial"/>
          <w:sz w:val="20"/>
          <w:szCs w:val="20"/>
        </w:rPr>
        <w:tab/>
        <w:t xml:space="preserve">See s 11(1) of the Banks Act read together with s 1 of the Companies Act </w:t>
      </w:r>
      <w:r w:rsidR="00F16523" w:rsidRPr="0012129C">
        <w:rPr>
          <w:rFonts w:ascii="Arial" w:hAnsi="Arial" w:cs="Arial"/>
          <w:sz w:val="20"/>
          <w:szCs w:val="20"/>
        </w:rPr>
        <w:t>71 of</w:t>
      </w:r>
      <w:r w:rsidRPr="0012129C">
        <w:rPr>
          <w:rFonts w:ascii="Arial" w:hAnsi="Arial" w:cs="Arial"/>
          <w:sz w:val="20"/>
          <w:szCs w:val="20"/>
        </w:rPr>
        <w:t xml:space="preserve"> 2008.</w:t>
      </w:r>
    </w:p>
  </w:footnote>
  <w:footnote w:id="18">
    <w:p w14:paraId="249BA323" w14:textId="103C1DBF" w:rsidR="008669F0" w:rsidRPr="008A01AE" w:rsidRDefault="008669F0" w:rsidP="008A01AE">
      <w:pPr>
        <w:pStyle w:val="FootnoteText"/>
        <w:ind w:left="284" w:hanging="284"/>
        <w:jc w:val="both"/>
        <w:rPr>
          <w:rFonts w:ascii="Arial" w:hAnsi="Arial" w:cs="Arial"/>
          <w:sz w:val="20"/>
          <w:szCs w:val="20"/>
        </w:rPr>
      </w:pPr>
      <w:r w:rsidRPr="008A01AE">
        <w:rPr>
          <w:rStyle w:val="FootnoteReference"/>
          <w:rFonts w:ascii="Arial" w:hAnsi="Arial" w:cs="Arial"/>
          <w:sz w:val="20"/>
          <w:szCs w:val="20"/>
        </w:rPr>
        <w:footnoteRef/>
      </w:r>
      <w:r w:rsidRPr="008A01AE">
        <w:rPr>
          <w:rFonts w:ascii="Arial" w:hAnsi="Arial" w:cs="Arial"/>
          <w:sz w:val="20"/>
          <w:szCs w:val="20"/>
        </w:rPr>
        <w:t xml:space="preserve"> </w:t>
      </w:r>
      <w:r w:rsidRPr="008A01AE">
        <w:rPr>
          <w:rFonts w:ascii="Arial" w:hAnsi="Arial" w:cs="Arial"/>
          <w:sz w:val="20"/>
          <w:szCs w:val="20"/>
        </w:rPr>
        <w:tab/>
        <w:t xml:space="preserve">See </w:t>
      </w:r>
      <w:r w:rsidRPr="008A01AE">
        <w:rPr>
          <w:rFonts w:ascii="Arial" w:hAnsi="Arial" w:cs="Arial"/>
          <w:i/>
          <w:iCs/>
          <w:sz w:val="20"/>
          <w:szCs w:val="20"/>
        </w:rPr>
        <w:t>Premier, Province of Mpumalanga and</w:t>
      </w:r>
      <w:r w:rsidRPr="008A01AE">
        <w:rPr>
          <w:rFonts w:ascii="Arial" w:hAnsi="Arial" w:cs="Arial"/>
          <w:sz w:val="20"/>
          <w:szCs w:val="20"/>
        </w:rPr>
        <w:t xml:space="preserve"> </w:t>
      </w:r>
      <w:r w:rsidRPr="008A01AE">
        <w:rPr>
          <w:rFonts w:ascii="Arial" w:hAnsi="Arial" w:cs="Arial"/>
          <w:i/>
          <w:iCs/>
          <w:sz w:val="20"/>
          <w:szCs w:val="20"/>
        </w:rPr>
        <w:t xml:space="preserve">Another </w:t>
      </w:r>
      <w:r w:rsidR="0012129C" w:rsidRPr="008A01AE">
        <w:rPr>
          <w:rFonts w:ascii="Arial" w:hAnsi="Arial" w:cs="Arial"/>
          <w:i/>
          <w:iCs/>
          <w:sz w:val="20"/>
          <w:szCs w:val="20"/>
        </w:rPr>
        <w:t>v Executive Committee of the Association of Governing Bodies of State</w:t>
      </w:r>
      <w:r w:rsidR="008A01AE" w:rsidRPr="008A01AE">
        <w:rPr>
          <w:rFonts w:ascii="Arial" w:hAnsi="Arial" w:cs="Arial"/>
          <w:i/>
          <w:iCs/>
          <w:sz w:val="20"/>
          <w:szCs w:val="20"/>
        </w:rPr>
        <w:t>-Aided Schools: Eastern Transvaal</w:t>
      </w:r>
      <w:r w:rsidR="008A01AE" w:rsidRPr="008A01AE">
        <w:rPr>
          <w:rFonts w:ascii="Arial" w:hAnsi="Arial" w:cs="Arial"/>
          <w:sz w:val="20"/>
          <w:szCs w:val="20"/>
        </w:rPr>
        <w:t xml:space="preserve"> 1999 (2) BCLR 151 (CC) </w:t>
      </w:r>
      <w:r w:rsidR="0012129C" w:rsidRPr="008A01AE">
        <w:rPr>
          <w:rFonts w:ascii="Arial" w:hAnsi="Arial" w:cs="Arial"/>
          <w:sz w:val="20"/>
          <w:szCs w:val="20"/>
        </w:rPr>
        <w:t>a</w:t>
      </w:r>
      <w:r w:rsidRPr="008A01AE">
        <w:rPr>
          <w:rFonts w:ascii="Arial" w:hAnsi="Arial" w:cs="Arial"/>
          <w:sz w:val="20"/>
          <w:szCs w:val="20"/>
        </w:rPr>
        <w:t xml:space="preserve">t para [36]; </w:t>
      </w:r>
      <w:r w:rsidRPr="008A01AE">
        <w:rPr>
          <w:rFonts w:ascii="Arial" w:hAnsi="Arial" w:cs="Arial"/>
          <w:i/>
          <w:iCs/>
          <w:sz w:val="20"/>
          <w:szCs w:val="20"/>
        </w:rPr>
        <w:t>Bel Porto School Governing Body and Others</w:t>
      </w:r>
      <w:r w:rsidRPr="008A01AE">
        <w:rPr>
          <w:rFonts w:ascii="Arial" w:hAnsi="Arial" w:cs="Arial"/>
          <w:sz w:val="20"/>
          <w:szCs w:val="20"/>
        </w:rPr>
        <w:t xml:space="preserve"> </w:t>
      </w:r>
      <w:r w:rsidR="008A01AE" w:rsidRPr="008A01AE">
        <w:rPr>
          <w:rFonts w:ascii="Arial" w:hAnsi="Arial" w:cs="Arial"/>
          <w:sz w:val="20"/>
          <w:szCs w:val="20"/>
        </w:rPr>
        <w:t>v Premier of the Province, Western Cape and Another 2002 (9) BCLR 891 (CC) a</w:t>
      </w:r>
      <w:r w:rsidRPr="008A01AE">
        <w:rPr>
          <w:rFonts w:ascii="Arial" w:hAnsi="Arial" w:cs="Arial"/>
          <w:sz w:val="20"/>
          <w:szCs w:val="20"/>
        </w:rPr>
        <w:t>t para [96].</w:t>
      </w:r>
    </w:p>
  </w:footnote>
  <w:footnote w:id="19">
    <w:p w14:paraId="0A6C204A" w14:textId="6D4DE1C8" w:rsidR="00B3435C" w:rsidRPr="00BC60BD" w:rsidRDefault="00B3435C" w:rsidP="008A01AE">
      <w:pPr>
        <w:pStyle w:val="FootnoteText"/>
        <w:ind w:left="284" w:hanging="284"/>
        <w:jc w:val="both"/>
        <w:rPr>
          <w:rFonts w:ascii="Arial" w:hAnsi="Arial" w:cs="Arial"/>
          <w:sz w:val="20"/>
          <w:szCs w:val="20"/>
        </w:rPr>
      </w:pPr>
      <w:r w:rsidRPr="00B3435C">
        <w:rPr>
          <w:rStyle w:val="FootnoteReference"/>
          <w:rFonts w:ascii="Arial" w:hAnsi="Arial" w:cs="Arial"/>
          <w:sz w:val="20"/>
          <w:szCs w:val="20"/>
        </w:rPr>
        <w:footnoteRef/>
      </w:r>
      <w:r w:rsidRPr="00B3435C">
        <w:rPr>
          <w:rFonts w:ascii="Arial" w:hAnsi="Arial" w:cs="Arial"/>
          <w:b/>
          <w:bCs/>
          <w:sz w:val="20"/>
          <w:szCs w:val="20"/>
        </w:rPr>
        <w:t xml:space="preserve"> </w:t>
      </w:r>
      <w:r w:rsidR="008A01AE">
        <w:rPr>
          <w:rFonts w:ascii="Arial" w:hAnsi="Arial" w:cs="Arial"/>
          <w:b/>
          <w:bCs/>
          <w:sz w:val="20"/>
          <w:szCs w:val="20"/>
        </w:rPr>
        <w:tab/>
      </w:r>
      <w:r w:rsidRPr="00BC60BD">
        <w:rPr>
          <w:rFonts w:ascii="Arial" w:hAnsi="Arial" w:cs="Arial"/>
          <w:i/>
          <w:iCs/>
          <w:sz w:val="20"/>
          <w:szCs w:val="20"/>
        </w:rPr>
        <w:t>Trinity Broadcasting (Ciskei) v Independent Communications Authority of SA</w:t>
      </w:r>
      <w:r w:rsidRPr="00BC60BD">
        <w:rPr>
          <w:rFonts w:ascii="Arial" w:hAnsi="Arial" w:cs="Arial"/>
          <w:sz w:val="20"/>
          <w:szCs w:val="20"/>
        </w:rPr>
        <w:t xml:space="preserve"> 2004 (3) SA 346 (SCA).</w:t>
      </w:r>
    </w:p>
  </w:footnote>
  <w:footnote w:id="20">
    <w:p w14:paraId="0F4430CF" w14:textId="3BA1EF2F" w:rsidR="00877D2E" w:rsidRPr="00877D2E" w:rsidRDefault="00877D2E" w:rsidP="008A01AE">
      <w:pPr>
        <w:pStyle w:val="FootnoteText"/>
        <w:ind w:left="284" w:hanging="284"/>
        <w:jc w:val="both"/>
        <w:rPr>
          <w:rFonts w:ascii="Arial" w:hAnsi="Arial" w:cs="Arial"/>
          <w:sz w:val="20"/>
          <w:szCs w:val="20"/>
        </w:rPr>
      </w:pPr>
      <w:r w:rsidRPr="00BC60BD">
        <w:rPr>
          <w:rStyle w:val="FootnoteReference"/>
          <w:rFonts w:ascii="Arial" w:hAnsi="Arial" w:cs="Arial"/>
          <w:sz w:val="20"/>
          <w:szCs w:val="20"/>
        </w:rPr>
        <w:footnoteRef/>
      </w:r>
      <w:r w:rsidRPr="00BC60BD">
        <w:rPr>
          <w:rFonts w:ascii="Arial" w:hAnsi="Arial" w:cs="Arial"/>
          <w:sz w:val="20"/>
          <w:szCs w:val="20"/>
        </w:rPr>
        <w:t xml:space="preserve"> </w:t>
      </w:r>
      <w:r w:rsidR="008A01AE" w:rsidRPr="00BC60BD">
        <w:rPr>
          <w:rFonts w:ascii="Arial" w:hAnsi="Arial" w:cs="Arial"/>
          <w:sz w:val="20"/>
          <w:szCs w:val="20"/>
        </w:rPr>
        <w:tab/>
      </w:r>
      <w:r w:rsidRPr="00BC60BD">
        <w:rPr>
          <w:rFonts w:ascii="Arial" w:hAnsi="Arial" w:cs="Arial"/>
          <w:i/>
          <w:iCs/>
          <w:sz w:val="20"/>
          <w:szCs w:val="20"/>
        </w:rPr>
        <w:t>Minister of Home affairs and Others v Scalabrini Centre, Cape Town and Others</w:t>
      </w:r>
      <w:r w:rsidRPr="00BC60BD">
        <w:rPr>
          <w:rFonts w:ascii="Arial" w:hAnsi="Arial" w:cs="Arial"/>
          <w:sz w:val="20"/>
          <w:szCs w:val="20"/>
        </w:rPr>
        <w:t xml:space="preserve"> 2013 (6) 421 (SCA).</w:t>
      </w:r>
    </w:p>
  </w:footnote>
  <w:footnote w:id="21">
    <w:p w14:paraId="1E0FF093" w14:textId="539E4AA9" w:rsidR="0032412B" w:rsidRPr="000D097A" w:rsidRDefault="0032412B" w:rsidP="000D097A">
      <w:pPr>
        <w:pStyle w:val="FootnoteText"/>
        <w:ind w:left="284" w:hanging="284"/>
        <w:jc w:val="both"/>
        <w:rPr>
          <w:rFonts w:ascii="Arial" w:hAnsi="Arial" w:cs="Arial"/>
          <w:sz w:val="20"/>
          <w:szCs w:val="20"/>
        </w:rPr>
      </w:pPr>
      <w:r w:rsidRPr="000D097A">
        <w:rPr>
          <w:rStyle w:val="FootnoteReference"/>
          <w:rFonts w:ascii="Arial" w:hAnsi="Arial" w:cs="Arial"/>
          <w:sz w:val="20"/>
          <w:szCs w:val="20"/>
        </w:rPr>
        <w:footnoteRef/>
      </w:r>
      <w:r w:rsidRPr="000D097A">
        <w:rPr>
          <w:rFonts w:ascii="Arial" w:hAnsi="Arial" w:cs="Arial"/>
          <w:sz w:val="20"/>
          <w:szCs w:val="20"/>
        </w:rPr>
        <w:t xml:space="preserve"> </w:t>
      </w:r>
      <w:r w:rsidR="000D097A">
        <w:rPr>
          <w:rFonts w:ascii="Arial" w:hAnsi="Arial" w:cs="Arial"/>
          <w:sz w:val="20"/>
          <w:szCs w:val="20"/>
        </w:rPr>
        <w:tab/>
      </w:r>
      <w:r w:rsidRPr="000D097A">
        <w:rPr>
          <w:rFonts w:ascii="Arial" w:hAnsi="Arial" w:cs="Arial"/>
          <w:sz w:val="20"/>
          <w:szCs w:val="20"/>
        </w:rPr>
        <w:t>Paragraph 4.1 of the guarantee issued on 10 June 2022, the benefits of which were accepted by Ithala on 14 June 2022.</w:t>
      </w:r>
    </w:p>
  </w:footnote>
  <w:footnote w:id="22">
    <w:p w14:paraId="27FBF6E1" w14:textId="2F807CCE" w:rsidR="0032412B" w:rsidRPr="000D097A" w:rsidRDefault="0032412B" w:rsidP="000D097A">
      <w:pPr>
        <w:pStyle w:val="FootnoteText"/>
        <w:ind w:left="284" w:hanging="284"/>
        <w:jc w:val="both"/>
        <w:rPr>
          <w:rFonts w:ascii="Arial" w:hAnsi="Arial" w:cs="Arial"/>
          <w:sz w:val="20"/>
          <w:szCs w:val="20"/>
        </w:rPr>
      </w:pPr>
      <w:r w:rsidRPr="000D097A">
        <w:rPr>
          <w:rStyle w:val="FootnoteReference"/>
          <w:rFonts w:ascii="Arial" w:hAnsi="Arial" w:cs="Arial"/>
          <w:sz w:val="20"/>
          <w:szCs w:val="20"/>
        </w:rPr>
        <w:footnoteRef/>
      </w:r>
      <w:r w:rsidRPr="000D097A">
        <w:rPr>
          <w:rFonts w:ascii="Arial" w:hAnsi="Arial" w:cs="Arial"/>
          <w:sz w:val="20"/>
          <w:szCs w:val="20"/>
        </w:rPr>
        <w:t xml:space="preserve"> </w:t>
      </w:r>
      <w:r w:rsidR="000D097A">
        <w:rPr>
          <w:rFonts w:ascii="Arial" w:hAnsi="Arial" w:cs="Arial"/>
          <w:sz w:val="20"/>
          <w:szCs w:val="20"/>
        </w:rPr>
        <w:tab/>
      </w:r>
      <w:r w:rsidRPr="000D097A">
        <w:rPr>
          <w:rFonts w:ascii="Arial" w:hAnsi="Arial" w:cs="Arial"/>
          <w:i/>
          <w:iCs/>
          <w:sz w:val="20"/>
          <w:szCs w:val="20"/>
        </w:rPr>
        <w:t>Ibid</w:t>
      </w:r>
      <w:r w:rsidRPr="000D097A">
        <w:rPr>
          <w:rFonts w:ascii="Arial" w:hAnsi="Arial" w:cs="Arial"/>
          <w:sz w:val="20"/>
          <w:szCs w:val="20"/>
        </w:rPr>
        <w:t xml:space="preserve"> para</w:t>
      </w:r>
      <w:r w:rsidR="004F4C69">
        <w:rPr>
          <w:rFonts w:ascii="Arial" w:hAnsi="Arial" w:cs="Arial"/>
          <w:sz w:val="20"/>
          <w:szCs w:val="20"/>
        </w:rPr>
        <w:t xml:space="preserve"> </w:t>
      </w:r>
      <w:r w:rsidRPr="000D097A">
        <w:rPr>
          <w:rFonts w:ascii="Arial" w:hAnsi="Arial" w:cs="Arial"/>
          <w:sz w:val="20"/>
          <w:szCs w:val="20"/>
        </w:rPr>
        <w:t>11.2.</w:t>
      </w:r>
    </w:p>
  </w:footnote>
  <w:footnote w:id="23">
    <w:p w14:paraId="512A6653" w14:textId="07B7FA53" w:rsidR="000D097A" w:rsidRDefault="000D097A" w:rsidP="000D097A">
      <w:pPr>
        <w:pStyle w:val="FootnoteText"/>
        <w:ind w:left="284" w:hanging="284"/>
        <w:jc w:val="both"/>
      </w:pPr>
      <w:r w:rsidRPr="000D097A">
        <w:rPr>
          <w:rStyle w:val="FootnoteReference"/>
          <w:rFonts w:ascii="Arial" w:hAnsi="Arial" w:cs="Arial"/>
          <w:sz w:val="20"/>
          <w:szCs w:val="20"/>
        </w:rPr>
        <w:footnoteRef/>
      </w:r>
      <w:r w:rsidRPr="000D097A">
        <w:rPr>
          <w:rFonts w:ascii="Arial" w:hAnsi="Arial" w:cs="Arial"/>
          <w:sz w:val="20"/>
          <w:szCs w:val="20"/>
        </w:rPr>
        <w:t xml:space="preserve"> </w:t>
      </w:r>
      <w:r>
        <w:rPr>
          <w:rFonts w:ascii="Arial" w:hAnsi="Arial" w:cs="Arial"/>
          <w:sz w:val="20"/>
          <w:szCs w:val="20"/>
        </w:rPr>
        <w:tab/>
      </w:r>
      <w:r w:rsidRPr="000D097A">
        <w:rPr>
          <w:rFonts w:ascii="Arial" w:hAnsi="Arial" w:cs="Arial"/>
          <w:sz w:val="20"/>
          <w:szCs w:val="20"/>
        </w:rPr>
        <w:t xml:space="preserve">The guarantee is expressed to be in favour of a </w:t>
      </w:r>
      <w:r w:rsidRPr="000D097A">
        <w:rPr>
          <w:rFonts w:ascii="Arial" w:hAnsi="Arial" w:cs="Arial"/>
          <w:i/>
          <w:iCs/>
          <w:sz w:val="20"/>
          <w:szCs w:val="20"/>
        </w:rPr>
        <w:t>“Finance Party” who may submit a written demand for payment – the guarantee defines “Finance Parties” as meaning “the depositors of Ithala SOC Ltd, and “Finance Party” means anyone of them as the context may require”.</w:t>
      </w:r>
    </w:p>
  </w:footnote>
  <w:footnote w:id="24">
    <w:p w14:paraId="5668EA2D" w14:textId="0ABBEF9F" w:rsidR="006C41B8" w:rsidRPr="0013436E" w:rsidRDefault="006C41B8" w:rsidP="0013436E">
      <w:pPr>
        <w:pStyle w:val="FootnoteText"/>
        <w:ind w:left="284" w:hanging="284"/>
        <w:jc w:val="both"/>
        <w:rPr>
          <w:rFonts w:ascii="Arial" w:hAnsi="Arial" w:cs="Arial"/>
          <w:sz w:val="20"/>
          <w:szCs w:val="20"/>
        </w:rPr>
      </w:pPr>
      <w:r w:rsidRPr="0013436E">
        <w:rPr>
          <w:rStyle w:val="FootnoteReference"/>
          <w:rFonts w:ascii="Arial" w:hAnsi="Arial" w:cs="Arial"/>
          <w:sz w:val="20"/>
          <w:szCs w:val="20"/>
        </w:rPr>
        <w:footnoteRef/>
      </w:r>
      <w:r w:rsidRPr="0013436E">
        <w:rPr>
          <w:rFonts w:ascii="Arial" w:hAnsi="Arial" w:cs="Arial"/>
          <w:sz w:val="20"/>
          <w:szCs w:val="20"/>
        </w:rPr>
        <w:t xml:space="preserve"> </w:t>
      </w:r>
      <w:r w:rsidR="0013436E">
        <w:rPr>
          <w:rFonts w:ascii="Arial" w:hAnsi="Arial" w:cs="Arial"/>
          <w:sz w:val="20"/>
          <w:szCs w:val="20"/>
        </w:rPr>
        <w:tab/>
      </w:r>
      <w:r w:rsidR="00AC0BFF" w:rsidRPr="0013436E">
        <w:rPr>
          <w:rFonts w:ascii="Arial" w:hAnsi="Arial" w:cs="Arial"/>
          <w:sz w:val="20"/>
          <w:szCs w:val="20"/>
        </w:rPr>
        <w:t xml:space="preserve">The section provides:  </w:t>
      </w:r>
      <w:r w:rsidR="00AC0BFF" w:rsidRPr="0013436E">
        <w:rPr>
          <w:rFonts w:ascii="Arial" w:hAnsi="Arial" w:cs="Arial"/>
          <w:i/>
          <w:iCs/>
          <w:sz w:val="20"/>
          <w:szCs w:val="20"/>
        </w:rPr>
        <w:t xml:space="preserve">“The responsible authority for a financial sector law may, by written notice to any person, request the person to provide specified information or a specified document in the possession of, </w:t>
      </w:r>
      <w:r w:rsidR="00344F4A" w:rsidRPr="0013436E">
        <w:rPr>
          <w:rFonts w:ascii="Arial" w:hAnsi="Arial" w:cs="Arial"/>
          <w:i/>
          <w:iCs/>
          <w:sz w:val="20"/>
          <w:szCs w:val="20"/>
        </w:rPr>
        <w:t>or under the control of, the person that is relevant to assisting the responsible authority to perform its functions in terms of a financial sector law.”</w:t>
      </w:r>
    </w:p>
  </w:footnote>
  <w:footnote w:id="25">
    <w:p w14:paraId="5C3CE59A" w14:textId="21FAD2AE" w:rsidR="00FE6B39" w:rsidRPr="00B85121" w:rsidRDefault="00FE6B39" w:rsidP="00B85121">
      <w:pPr>
        <w:pStyle w:val="FootnoteText"/>
        <w:ind w:left="284" w:hanging="284"/>
        <w:jc w:val="both"/>
        <w:rPr>
          <w:rFonts w:ascii="Arial" w:hAnsi="Arial" w:cs="Arial"/>
          <w:i/>
          <w:iCs/>
          <w:sz w:val="20"/>
          <w:szCs w:val="20"/>
        </w:rPr>
      </w:pPr>
      <w:r w:rsidRPr="00B85121">
        <w:rPr>
          <w:rStyle w:val="FootnoteReference"/>
          <w:rFonts w:ascii="Arial" w:hAnsi="Arial" w:cs="Arial"/>
          <w:sz w:val="20"/>
          <w:szCs w:val="20"/>
        </w:rPr>
        <w:footnoteRef/>
      </w:r>
      <w:r w:rsidRPr="00B85121">
        <w:rPr>
          <w:rFonts w:ascii="Arial" w:hAnsi="Arial" w:cs="Arial"/>
          <w:sz w:val="20"/>
          <w:szCs w:val="20"/>
        </w:rPr>
        <w:t xml:space="preserve"> </w:t>
      </w:r>
      <w:r w:rsidR="00B85121">
        <w:rPr>
          <w:rFonts w:ascii="Arial" w:hAnsi="Arial" w:cs="Arial"/>
          <w:sz w:val="20"/>
          <w:szCs w:val="20"/>
        </w:rPr>
        <w:tab/>
      </w:r>
      <w:r w:rsidRPr="00B85121">
        <w:rPr>
          <w:rFonts w:ascii="Arial" w:hAnsi="Arial" w:cs="Arial"/>
          <w:sz w:val="20"/>
          <w:szCs w:val="20"/>
        </w:rPr>
        <w:t xml:space="preserve">This </w:t>
      </w:r>
      <w:r w:rsidR="004F4C69">
        <w:rPr>
          <w:rFonts w:ascii="Arial" w:hAnsi="Arial" w:cs="Arial"/>
          <w:sz w:val="20"/>
          <w:szCs w:val="20"/>
        </w:rPr>
        <w:t>s</w:t>
      </w:r>
      <w:r w:rsidRPr="00B85121">
        <w:rPr>
          <w:rFonts w:ascii="Arial" w:hAnsi="Arial" w:cs="Arial"/>
          <w:sz w:val="20"/>
          <w:szCs w:val="20"/>
        </w:rPr>
        <w:t xml:space="preserve">ection provides: </w:t>
      </w:r>
      <w:r w:rsidRPr="00B85121">
        <w:rPr>
          <w:rFonts w:ascii="Arial" w:hAnsi="Arial" w:cs="Arial"/>
          <w:i/>
          <w:iCs/>
          <w:sz w:val="20"/>
          <w:szCs w:val="20"/>
        </w:rPr>
        <w:t>“The responsible authority may require the information or document to be verified as specified in the notice, including by an auditor approved by the responsible authority.”</w:t>
      </w:r>
    </w:p>
  </w:footnote>
  <w:footnote w:id="26">
    <w:p w14:paraId="7B7AF046" w14:textId="429441DE" w:rsidR="009B5CFE" w:rsidRPr="009B5CFE" w:rsidRDefault="009B5CFE" w:rsidP="009B5CFE">
      <w:pPr>
        <w:pStyle w:val="FootnoteText"/>
        <w:ind w:left="284" w:hanging="284"/>
        <w:jc w:val="both"/>
        <w:rPr>
          <w:rFonts w:ascii="Arial" w:hAnsi="Arial" w:cs="Arial"/>
          <w:sz w:val="20"/>
          <w:szCs w:val="20"/>
        </w:rPr>
      </w:pPr>
      <w:r w:rsidRPr="009B5CFE">
        <w:rPr>
          <w:rStyle w:val="FootnoteReference"/>
          <w:rFonts w:ascii="Arial" w:hAnsi="Arial" w:cs="Arial"/>
          <w:sz w:val="20"/>
          <w:szCs w:val="20"/>
        </w:rPr>
        <w:footnoteRef/>
      </w:r>
      <w:r w:rsidRPr="009B5CFE">
        <w:rPr>
          <w:rFonts w:ascii="Arial" w:hAnsi="Arial" w:cs="Arial"/>
          <w:sz w:val="20"/>
          <w:szCs w:val="20"/>
        </w:rPr>
        <w:t xml:space="preserve"> </w:t>
      </w:r>
      <w:r>
        <w:rPr>
          <w:rFonts w:ascii="Arial" w:hAnsi="Arial" w:cs="Arial"/>
          <w:sz w:val="20"/>
          <w:szCs w:val="20"/>
        </w:rPr>
        <w:tab/>
      </w:r>
      <w:r w:rsidRPr="009B5CFE">
        <w:rPr>
          <w:rFonts w:ascii="Arial" w:hAnsi="Arial" w:cs="Arial"/>
          <w:sz w:val="20"/>
          <w:szCs w:val="20"/>
        </w:rPr>
        <w:t xml:space="preserve">See </w:t>
      </w:r>
      <w:r w:rsidR="004F4C69">
        <w:rPr>
          <w:rFonts w:ascii="Arial" w:hAnsi="Arial" w:cs="Arial"/>
          <w:sz w:val="20"/>
          <w:szCs w:val="20"/>
        </w:rPr>
        <w:t>s</w:t>
      </w:r>
      <w:r w:rsidRPr="009B5CFE">
        <w:rPr>
          <w:rFonts w:ascii="Arial" w:hAnsi="Arial" w:cs="Arial"/>
          <w:sz w:val="20"/>
          <w:szCs w:val="20"/>
        </w:rPr>
        <w:t>ection 33 of the FSR Act.</w:t>
      </w:r>
    </w:p>
  </w:footnote>
  <w:footnote w:id="27">
    <w:p w14:paraId="34491CA0" w14:textId="0DE36EA3" w:rsidR="009B5CFE" w:rsidRDefault="009B5CFE" w:rsidP="009B5CFE">
      <w:pPr>
        <w:pStyle w:val="FootnoteText"/>
        <w:ind w:left="284" w:hanging="284"/>
        <w:jc w:val="both"/>
      </w:pPr>
      <w:r w:rsidRPr="009B5CFE">
        <w:rPr>
          <w:rStyle w:val="FootnoteReference"/>
          <w:rFonts w:ascii="Arial" w:hAnsi="Arial" w:cs="Arial"/>
          <w:sz w:val="20"/>
          <w:szCs w:val="20"/>
        </w:rPr>
        <w:footnoteRef/>
      </w:r>
      <w:r w:rsidRPr="009B5CFE">
        <w:rPr>
          <w:rFonts w:ascii="Arial" w:hAnsi="Arial" w:cs="Arial"/>
          <w:sz w:val="20"/>
          <w:szCs w:val="20"/>
        </w:rPr>
        <w:t xml:space="preserve"> </w:t>
      </w:r>
      <w:r>
        <w:rPr>
          <w:rFonts w:ascii="Arial" w:hAnsi="Arial" w:cs="Arial"/>
          <w:sz w:val="20"/>
          <w:szCs w:val="20"/>
        </w:rPr>
        <w:tab/>
      </w:r>
      <w:r w:rsidRPr="009B5CFE">
        <w:rPr>
          <w:rFonts w:ascii="Arial" w:hAnsi="Arial" w:cs="Arial"/>
          <w:i/>
          <w:iCs/>
          <w:sz w:val="20"/>
          <w:szCs w:val="20"/>
        </w:rPr>
        <w:t>Ibid</w:t>
      </w:r>
      <w:r w:rsidRPr="009B5CFE">
        <w:rPr>
          <w:rFonts w:ascii="Arial" w:hAnsi="Arial" w:cs="Arial"/>
          <w:sz w:val="20"/>
          <w:szCs w:val="20"/>
        </w:rPr>
        <w:t xml:space="preserve"> </w:t>
      </w:r>
      <w:r w:rsidR="004F4C69">
        <w:rPr>
          <w:rFonts w:ascii="Arial" w:hAnsi="Arial" w:cs="Arial"/>
          <w:sz w:val="20"/>
          <w:szCs w:val="20"/>
        </w:rPr>
        <w:t>s</w:t>
      </w:r>
      <w:r w:rsidRPr="009B5CFE">
        <w:rPr>
          <w:rFonts w:ascii="Arial" w:hAnsi="Arial" w:cs="Arial"/>
          <w:sz w:val="20"/>
          <w:szCs w:val="20"/>
        </w:rPr>
        <w:t>ection 33(c).</w:t>
      </w:r>
    </w:p>
  </w:footnote>
  <w:footnote w:id="28">
    <w:p w14:paraId="55098223" w14:textId="4AB1549C" w:rsidR="00114E9C" w:rsidRPr="00114E9C" w:rsidRDefault="00114E9C" w:rsidP="00114E9C">
      <w:pPr>
        <w:pStyle w:val="FootnoteText"/>
        <w:ind w:left="284" w:hanging="284"/>
        <w:rPr>
          <w:rFonts w:ascii="Arial" w:hAnsi="Arial" w:cs="Arial"/>
          <w:sz w:val="20"/>
          <w:szCs w:val="20"/>
        </w:rPr>
      </w:pPr>
      <w:r w:rsidRPr="00114E9C">
        <w:rPr>
          <w:rStyle w:val="FootnoteReference"/>
          <w:rFonts w:ascii="Arial" w:hAnsi="Arial" w:cs="Arial"/>
          <w:sz w:val="20"/>
          <w:szCs w:val="20"/>
        </w:rPr>
        <w:footnoteRef/>
      </w:r>
      <w:r>
        <w:t xml:space="preserve"> </w:t>
      </w:r>
      <w:r>
        <w:tab/>
      </w:r>
      <w:r w:rsidRPr="00114E9C">
        <w:rPr>
          <w:rFonts w:ascii="Arial" w:hAnsi="Arial" w:cs="Arial"/>
          <w:i/>
          <w:iCs/>
          <w:sz w:val="20"/>
          <w:szCs w:val="20"/>
        </w:rPr>
        <w:t>Bernstein and Others v Bester and Others NNO</w:t>
      </w:r>
      <w:r>
        <w:rPr>
          <w:rFonts w:ascii="Arial" w:hAnsi="Arial" w:cs="Arial"/>
          <w:sz w:val="20"/>
          <w:szCs w:val="20"/>
        </w:rPr>
        <w:t xml:space="preserve"> 1996 (2) SA 751 (CC) at 780G-H.</w:t>
      </w:r>
    </w:p>
  </w:footnote>
  <w:footnote w:id="29">
    <w:p w14:paraId="2112CF01" w14:textId="14CF0B65" w:rsidR="00015845" w:rsidRPr="00E004E1" w:rsidRDefault="00015845" w:rsidP="00E004E1">
      <w:pPr>
        <w:pStyle w:val="FootnoteText"/>
        <w:ind w:left="284" w:hanging="284"/>
        <w:jc w:val="both"/>
        <w:rPr>
          <w:rFonts w:ascii="Arial" w:hAnsi="Arial" w:cs="Arial"/>
          <w:sz w:val="20"/>
          <w:szCs w:val="20"/>
        </w:rPr>
      </w:pPr>
      <w:r w:rsidRPr="00E004E1">
        <w:rPr>
          <w:rStyle w:val="FootnoteReference"/>
          <w:rFonts w:ascii="Arial" w:hAnsi="Arial" w:cs="Arial"/>
          <w:sz w:val="20"/>
          <w:szCs w:val="20"/>
        </w:rPr>
        <w:footnoteRef/>
      </w:r>
      <w:r w:rsidRPr="00E004E1">
        <w:rPr>
          <w:rFonts w:ascii="Arial" w:hAnsi="Arial" w:cs="Arial"/>
          <w:sz w:val="20"/>
          <w:szCs w:val="20"/>
        </w:rPr>
        <w:t xml:space="preserve"> </w:t>
      </w:r>
      <w:r w:rsidR="00E004E1">
        <w:rPr>
          <w:rFonts w:ascii="Arial" w:hAnsi="Arial" w:cs="Arial"/>
          <w:sz w:val="20"/>
          <w:szCs w:val="20"/>
        </w:rPr>
        <w:tab/>
      </w:r>
      <w:r w:rsidRPr="00E004E1">
        <w:rPr>
          <w:rFonts w:ascii="Arial" w:hAnsi="Arial" w:cs="Arial"/>
          <w:sz w:val="20"/>
          <w:szCs w:val="20"/>
        </w:rPr>
        <w:t>2009 (2) SA 277 (SCA) at para [38].</w:t>
      </w:r>
    </w:p>
  </w:footnote>
  <w:footnote w:id="30">
    <w:p w14:paraId="6B737008" w14:textId="65F4CFEC" w:rsidR="00015845" w:rsidRPr="00E004E1" w:rsidRDefault="00015845" w:rsidP="00E004E1">
      <w:pPr>
        <w:pStyle w:val="FootnoteText"/>
        <w:ind w:left="284" w:hanging="284"/>
        <w:jc w:val="both"/>
        <w:rPr>
          <w:rFonts w:ascii="Arial" w:hAnsi="Arial" w:cs="Arial"/>
          <w:sz w:val="20"/>
          <w:szCs w:val="20"/>
        </w:rPr>
      </w:pPr>
      <w:r w:rsidRPr="00E004E1">
        <w:rPr>
          <w:rStyle w:val="FootnoteReference"/>
          <w:rFonts w:ascii="Arial" w:hAnsi="Arial" w:cs="Arial"/>
          <w:sz w:val="20"/>
          <w:szCs w:val="20"/>
        </w:rPr>
        <w:footnoteRef/>
      </w:r>
      <w:r w:rsidRPr="00E004E1">
        <w:rPr>
          <w:rFonts w:ascii="Arial" w:hAnsi="Arial" w:cs="Arial"/>
          <w:sz w:val="20"/>
          <w:szCs w:val="20"/>
        </w:rPr>
        <w:t xml:space="preserve"> </w:t>
      </w:r>
      <w:r w:rsidR="00E004E1">
        <w:rPr>
          <w:rFonts w:ascii="Arial" w:hAnsi="Arial" w:cs="Arial"/>
          <w:sz w:val="20"/>
          <w:szCs w:val="20"/>
        </w:rPr>
        <w:tab/>
      </w:r>
      <w:r w:rsidRPr="00E004E1">
        <w:rPr>
          <w:rFonts w:ascii="Arial" w:hAnsi="Arial" w:cs="Arial"/>
          <w:sz w:val="20"/>
          <w:szCs w:val="20"/>
        </w:rPr>
        <w:t>1994 (1) SA 387 (C).</w:t>
      </w:r>
    </w:p>
  </w:footnote>
  <w:footnote w:id="31">
    <w:p w14:paraId="27B79642" w14:textId="7BC1125A" w:rsidR="00750709" w:rsidRPr="00F16523" w:rsidRDefault="00750709" w:rsidP="00E004E1">
      <w:pPr>
        <w:pStyle w:val="FootnoteText"/>
        <w:ind w:left="284" w:hanging="284"/>
        <w:jc w:val="both"/>
        <w:rPr>
          <w:rFonts w:ascii="Arial" w:hAnsi="Arial" w:cs="Arial"/>
          <w:sz w:val="20"/>
          <w:szCs w:val="20"/>
        </w:rPr>
      </w:pPr>
      <w:r w:rsidRPr="00F16523">
        <w:rPr>
          <w:rStyle w:val="FootnoteReference"/>
          <w:rFonts w:ascii="Arial" w:hAnsi="Arial" w:cs="Arial"/>
          <w:sz w:val="20"/>
          <w:szCs w:val="20"/>
        </w:rPr>
        <w:footnoteRef/>
      </w:r>
      <w:r w:rsidRPr="00F16523">
        <w:rPr>
          <w:rFonts w:ascii="Arial" w:hAnsi="Arial" w:cs="Arial"/>
          <w:sz w:val="20"/>
          <w:szCs w:val="20"/>
        </w:rPr>
        <w:t xml:space="preserve"> </w:t>
      </w:r>
      <w:r w:rsidR="00E004E1" w:rsidRPr="00F16523">
        <w:rPr>
          <w:rFonts w:ascii="Arial" w:hAnsi="Arial" w:cs="Arial"/>
          <w:sz w:val="20"/>
          <w:szCs w:val="20"/>
        </w:rPr>
        <w:tab/>
      </w:r>
      <w:r w:rsidRPr="00F16523">
        <w:rPr>
          <w:rFonts w:ascii="Arial" w:hAnsi="Arial" w:cs="Arial"/>
          <w:sz w:val="20"/>
          <w:szCs w:val="20"/>
        </w:rPr>
        <w:t>2009 (6) SA 513 (WCC)</w:t>
      </w:r>
      <w:r w:rsidR="00E6141A" w:rsidRPr="00F16523">
        <w:rPr>
          <w:rFonts w:ascii="Arial" w:hAnsi="Arial" w:cs="Arial"/>
          <w:sz w:val="20"/>
          <w:szCs w:val="20"/>
        </w:rPr>
        <w:t>. This was a case which concerned the use by the police of their powers to arrest for purposes of intimidating, harassing and punishing sex workers</w:t>
      </w:r>
      <w:r w:rsidR="00E004E1" w:rsidRPr="00F16523">
        <w:rPr>
          <w:rFonts w:ascii="Arial" w:hAnsi="Arial" w:cs="Arial"/>
          <w:sz w:val="20"/>
          <w:szCs w:val="20"/>
        </w:rPr>
        <w:t xml:space="preserve"> instead of bringing them to trial</w:t>
      </w:r>
      <w:r w:rsidRPr="00F16523">
        <w:rPr>
          <w:rFonts w:ascii="Arial" w:hAnsi="Arial" w:cs="Arial"/>
          <w:sz w:val="20"/>
          <w:szCs w:val="20"/>
        </w:rPr>
        <w:t>.</w:t>
      </w:r>
    </w:p>
  </w:footnote>
  <w:footnote w:id="32">
    <w:p w14:paraId="4A6DC3D6" w14:textId="5A754864" w:rsidR="00750709" w:rsidRDefault="00750709" w:rsidP="00E004E1">
      <w:pPr>
        <w:pStyle w:val="FootnoteText"/>
        <w:ind w:left="284" w:hanging="284"/>
        <w:jc w:val="both"/>
      </w:pPr>
      <w:r w:rsidRPr="00F16523">
        <w:rPr>
          <w:rStyle w:val="FootnoteReference"/>
          <w:rFonts w:ascii="Arial" w:hAnsi="Arial" w:cs="Arial"/>
          <w:sz w:val="20"/>
          <w:szCs w:val="20"/>
        </w:rPr>
        <w:footnoteRef/>
      </w:r>
      <w:r w:rsidRPr="00F16523">
        <w:rPr>
          <w:rFonts w:ascii="Arial" w:hAnsi="Arial" w:cs="Arial"/>
          <w:sz w:val="20"/>
          <w:szCs w:val="20"/>
        </w:rPr>
        <w:t xml:space="preserve"> </w:t>
      </w:r>
      <w:r w:rsidR="00E004E1" w:rsidRPr="00F16523">
        <w:rPr>
          <w:rFonts w:ascii="Arial" w:hAnsi="Arial" w:cs="Arial"/>
          <w:sz w:val="20"/>
          <w:szCs w:val="20"/>
        </w:rPr>
        <w:tab/>
      </w:r>
      <w:r w:rsidRPr="00F16523">
        <w:rPr>
          <w:rFonts w:ascii="Arial" w:hAnsi="Arial" w:cs="Arial"/>
          <w:sz w:val="20"/>
          <w:szCs w:val="20"/>
        </w:rPr>
        <w:t>1951 (3) SA 10 (A) at 17C-D.</w:t>
      </w:r>
      <w:r w:rsidR="00E004E1" w:rsidRPr="00F16523">
        <w:rPr>
          <w:rFonts w:ascii="Arial" w:hAnsi="Arial" w:cs="Arial"/>
          <w:sz w:val="20"/>
          <w:szCs w:val="20"/>
        </w:rPr>
        <w:t xml:space="preserve">  This was a case in which it was held that if the object of the arrest, although ostensibly to bring the arrested person before court, was not effected for that purpose but rather to frighten or harass him, without his appearing in court, then that arrest was effected for an ulterior purpose and is unlawful.</w:t>
      </w:r>
    </w:p>
  </w:footnote>
  <w:footnote w:id="33">
    <w:p w14:paraId="42349F28" w14:textId="5C1B4CCE" w:rsidR="002E3837" w:rsidRPr="002E3837" w:rsidRDefault="002E3837" w:rsidP="002E3837">
      <w:pPr>
        <w:pStyle w:val="FootnoteText"/>
        <w:ind w:left="284" w:hanging="284"/>
        <w:jc w:val="both"/>
        <w:rPr>
          <w:rFonts w:ascii="Arial" w:hAnsi="Arial" w:cs="Arial"/>
          <w:sz w:val="20"/>
          <w:szCs w:val="20"/>
        </w:rPr>
      </w:pPr>
      <w:r w:rsidRPr="002E3837">
        <w:rPr>
          <w:rStyle w:val="FootnoteReference"/>
          <w:rFonts w:ascii="Arial" w:hAnsi="Arial" w:cs="Arial"/>
          <w:sz w:val="20"/>
          <w:szCs w:val="20"/>
        </w:rPr>
        <w:footnoteRef/>
      </w:r>
      <w:r w:rsidRPr="002E3837">
        <w:rPr>
          <w:rFonts w:ascii="Arial" w:hAnsi="Arial" w:cs="Arial"/>
          <w:sz w:val="20"/>
          <w:szCs w:val="20"/>
        </w:rPr>
        <w:t xml:space="preserve"> </w:t>
      </w:r>
      <w:r>
        <w:rPr>
          <w:rFonts w:ascii="Arial" w:hAnsi="Arial" w:cs="Arial"/>
          <w:sz w:val="20"/>
          <w:szCs w:val="20"/>
        </w:rPr>
        <w:tab/>
      </w:r>
      <w:r w:rsidRPr="002E3837">
        <w:rPr>
          <w:rFonts w:ascii="Arial" w:hAnsi="Arial" w:cs="Arial"/>
          <w:i/>
          <w:iCs/>
          <w:sz w:val="20"/>
          <w:szCs w:val="20"/>
        </w:rPr>
        <w:t>Minister of Finance v Afribusiness NPC</w:t>
      </w:r>
      <w:r w:rsidRPr="002E3837">
        <w:rPr>
          <w:rFonts w:ascii="Arial" w:hAnsi="Arial" w:cs="Arial"/>
          <w:sz w:val="20"/>
          <w:szCs w:val="20"/>
        </w:rPr>
        <w:t xml:space="preserve"> 2022 (4) SA 362</w:t>
      </w:r>
      <w:r w:rsidR="00FB3456">
        <w:rPr>
          <w:rFonts w:ascii="Arial" w:hAnsi="Arial" w:cs="Arial"/>
          <w:sz w:val="20"/>
          <w:szCs w:val="20"/>
        </w:rPr>
        <w:t xml:space="preserve"> (CC)</w:t>
      </w:r>
      <w:r w:rsidR="000F6070">
        <w:rPr>
          <w:rFonts w:ascii="Arial" w:hAnsi="Arial" w:cs="Arial"/>
          <w:sz w:val="20"/>
          <w:szCs w:val="20"/>
        </w:rPr>
        <w:t xml:space="preserve"> at para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10480C" w:rsidRDefault="0010480C"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10480C" w:rsidRDefault="0010480C"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10480C" w:rsidRDefault="0010480C" w:rsidP="001959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0E4">
      <w:rPr>
        <w:rStyle w:val="PageNumber"/>
        <w:noProof/>
      </w:rPr>
      <w:t>3</w:t>
    </w:r>
    <w:r>
      <w:rPr>
        <w:rStyle w:val="PageNumber"/>
      </w:rPr>
      <w:fldChar w:fldCharType="end"/>
    </w:r>
  </w:p>
  <w:p w14:paraId="7E704A95" w14:textId="77777777" w:rsidR="0010480C" w:rsidRDefault="0010480C"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243"/>
    <w:multiLevelType w:val="hybridMultilevel"/>
    <w:tmpl w:val="56FC7E4E"/>
    <w:lvl w:ilvl="0" w:tplc="136C875E">
      <w:start w:val="76"/>
      <w:numFmt w:val="decimal"/>
      <w:lvlText w:val="[%1]"/>
      <w:lvlJc w:val="left"/>
      <w:pPr>
        <w:ind w:left="37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8E12C274">
      <w:start w:val="1"/>
      <w:numFmt w:val="lowerRoman"/>
      <w:lvlText w:val="(%2)"/>
      <w:lvlJc w:val="left"/>
      <w:pPr>
        <w:ind w:left="684"/>
      </w:pPr>
      <w:rPr>
        <w:rFonts w:ascii="Verdana" w:eastAsia="Verdana" w:hAnsi="Verdana" w:cs="Verdana"/>
        <w:b w:val="0"/>
        <w:i w:val="0"/>
        <w:strike w:val="0"/>
        <w:dstrike w:val="0"/>
        <w:color w:val="000000"/>
        <w:sz w:val="13"/>
        <w:szCs w:val="13"/>
        <w:u w:val="none" w:color="000000"/>
        <w:bdr w:val="none" w:sz="0" w:space="0" w:color="auto"/>
        <w:shd w:val="clear" w:color="auto" w:fill="auto"/>
        <w:vertAlign w:val="baseline"/>
      </w:rPr>
    </w:lvl>
    <w:lvl w:ilvl="2" w:tplc="611E4466">
      <w:start w:val="27"/>
      <w:numFmt w:val="lowerLetter"/>
      <w:lvlText w:val="(%3)"/>
      <w:lvlJc w:val="left"/>
      <w:pPr>
        <w:ind w:left="919"/>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3" w:tplc="88582DE0">
      <w:start w:val="1"/>
      <w:numFmt w:val="decimal"/>
      <w:lvlText w:val="%4"/>
      <w:lvlJc w:val="left"/>
      <w:pPr>
        <w:ind w:left="208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4" w:tplc="69B81136">
      <w:start w:val="1"/>
      <w:numFmt w:val="lowerLetter"/>
      <w:lvlText w:val="%5"/>
      <w:lvlJc w:val="left"/>
      <w:pPr>
        <w:ind w:left="280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5" w:tplc="836A1AF6">
      <w:start w:val="1"/>
      <w:numFmt w:val="lowerRoman"/>
      <w:lvlText w:val="%6"/>
      <w:lvlJc w:val="left"/>
      <w:pPr>
        <w:ind w:left="352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6" w:tplc="A55066E4">
      <w:start w:val="1"/>
      <w:numFmt w:val="decimal"/>
      <w:lvlText w:val="%7"/>
      <w:lvlJc w:val="left"/>
      <w:pPr>
        <w:ind w:left="424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7" w:tplc="B82E3518">
      <w:start w:val="1"/>
      <w:numFmt w:val="lowerLetter"/>
      <w:lvlText w:val="%8"/>
      <w:lvlJc w:val="left"/>
      <w:pPr>
        <w:ind w:left="496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lvl w:ilvl="8" w:tplc="57E8E3C6">
      <w:start w:val="1"/>
      <w:numFmt w:val="lowerRoman"/>
      <w:lvlText w:val="%9"/>
      <w:lvlJc w:val="left"/>
      <w:pPr>
        <w:ind w:left="5680"/>
      </w:pPr>
      <w:rPr>
        <w:rFonts w:ascii="Verdana" w:eastAsia="Verdana" w:hAnsi="Verdana" w:cs="Verdana"/>
        <w:b w:val="0"/>
        <w:i/>
        <w:iCs/>
        <w:strike w:val="0"/>
        <w:dstrike w:val="0"/>
        <w:color w:val="000000"/>
        <w:sz w:val="13"/>
        <w:szCs w:val="13"/>
        <w:u w:val="none" w:color="000000"/>
        <w:bdr w:val="none" w:sz="0" w:space="0" w:color="auto"/>
        <w:shd w:val="clear" w:color="auto" w:fill="auto"/>
        <w:vertAlign w:val="baseline"/>
      </w:rPr>
    </w:lvl>
  </w:abstractNum>
  <w:abstractNum w:abstractNumId="1">
    <w:nsid w:val="02F10F1E"/>
    <w:multiLevelType w:val="hybridMultilevel"/>
    <w:tmpl w:val="939C3E02"/>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B553B"/>
    <w:multiLevelType w:val="hybridMultilevel"/>
    <w:tmpl w:val="EEB89F22"/>
    <w:lvl w:ilvl="0" w:tplc="3F62193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13722814"/>
    <w:multiLevelType w:val="hybridMultilevel"/>
    <w:tmpl w:val="DC228172"/>
    <w:lvl w:ilvl="0" w:tplc="AA4C91E6">
      <w:start w:val="1"/>
      <w:numFmt w:val="decimal"/>
      <w:lvlText w:val="[%1]"/>
      <w:lvlJc w:val="left"/>
      <w:pPr>
        <w:ind w:left="720" w:hanging="360"/>
      </w:pPr>
      <w:rPr>
        <w:rFonts w:hint="default"/>
        <w:b w:val="0"/>
        <w:bCs w:val="0"/>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4337A3"/>
    <w:multiLevelType w:val="hybridMultilevel"/>
    <w:tmpl w:val="832A7AE4"/>
    <w:lvl w:ilvl="0" w:tplc="B1466DEC">
      <w:start w:val="1"/>
      <w:numFmt w:val="lowerLetter"/>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
    <w:nsid w:val="1A9038C1"/>
    <w:multiLevelType w:val="hybridMultilevel"/>
    <w:tmpl w:val="FC62E176"/>
    <w:lvl w:ilvl="0" w:tplc="4E265988">
      <w:start w:val="7"/>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04CAA"/>
    <w:multiLevelType w:val="hybridMultilevel"/>
    <w:tmpl w:val="5516A036"/>
    <w:lvl w:ilvl="0" w:tplc="F4CE259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8">
    <w:nsid w:val="1EC34608"/>
    <w:multiLevelType w:val="hybridMultilevel"/>
    <w:tmpl w:val="D60A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29868EC"/>
    <w:multiLevelType w:val="hybridMultilevel"/>
    <w:tmpl w:val="E0663F36"/>
    <w:lvl w:ilvl="0" w:tplc="3F62193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D3050"/>
    <w:multiLevelType w:val="multilevel"/>
    <w:tmpl w:val="0D36367A"/>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A290EF5"/>
    <w:multiLevelType w:val="hybridMultilevel"/>
    <w:tmpl w:val="31B8E44A"/>
    <w:lvl w:ilvl="0" w:tplc="08A058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D223730"/>
    <w:multiLevelType w:val="hybridMultilevel"/>
    <w:tmpl w:val="98B6F9D0"/>
    <w:lvl w:ilvl="0" w:tplc="AA4C91E6">
      <w:start w:val="1"/>
      <w:numFmt w:val="decimal"/>
      <w:lvlText w:val="[%1]"/>
      <w:lvlJc w:val="left"/>
      <w:pPr>
        <w:ind w:left="720" w:hanging="360"/>
      </w:pPr>
      <w:rPr>
        <w:rFonts w:hint="default"/>
        <w:b w:val="0"/>
        <w:bCs w:val="0"/>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F1D26"/>
    <w:multiLevelType w:val="hybridMultilevel"/>
    <w:tmpl w:val="FBEE93D4"/>
    <w:lvl w:ilvl="0" w:tplc="A170B88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3AD2A40"/>
    <w:multiLevelType w:val="multilevel"/>
    <w:tmpl w:val="5FF6D7CA"/>
    <w:lvl w:ilvl="0">
      <w:start w:val="1"/>
      <w:numFmt w:val="decimal"/>
      <w:lvlText w:val="%1."/>
      <w:lvlJc w:val="left"/>
      <w:pPr>
        <w:ind w:left="720" w:hanging="360"/>
      </w:pPr>
      <w:rPr>
        <w:rFonts w:hint="default"/>
        <w:b w:val="0"/>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3D41175"/>
    <w:multiLevelType w:val="hybridMultilevel"/>
    <w:tmpl w:val="E2F09E08"/>
    <w:lvl w:ilvl="0" w:tplc="235CF388">
      <w:start w:val="15"/>
      <w:numFmt w:val="decimal"/>
      <w:lvlText w:val="[%1]"/>
      <w:lvlJc w:val="left"/>
      <w:pPr>
        <w:ind w:left="1080" w:hanging="360"/>
      </w:pPr>
      <w:rPr>
        <w:rFonts w:hint="default"/>
        <w:b w:val="0"/>
        <w:bCs w:val="0"/>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63FC8"/>
    <w:multiLevelType w:val="multilevel"/>
    <w:tmpl w:val="4E1A9742"/>
    <w:lvl w:ilvl="0">
      <w:start w:val="28"/>
      <w:numFmt w:val="decimal"/>
      <w:lvlText w:val="%1"/>
      <w:lvlJc w:val="left"/>
      <w:pPr>
        <w:ind w:left="460" w:hanging="460"/>
      </w:pPr>
      <w:rPr>
        <w:rFonts w:hint="default"/>
      </w:rPr>
    </w:lvl>
    <w:lvl w:ilvl="1">
      <w:start w:val="1"/>
      <w:numFmt w:val="decimal"/>
      <w:lvlText w:val="%1.%2"/>
      <w:lvlJc w:val="left"/>
      <w:pPr>
        <w:ind w:left="1360" w:hanging="4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nsid w:val="43832CEF"/>
    <w:multiLevelType w:val="hybridMultilevel"/>
    <w:tmpl w:val="CF6AA342"/>
    <w:lvl w:ilvl="0" w:tplc="1B6A1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071A0F"/>
    <w:multiLevelType w:val="hybridMultilevel"/>
    <w:tmpl w:val="C9545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A61304"/>
    <w:multiLevelType w:val="multilevel"/>
    <w:tmpl w:val="59DE3662"/>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0">
    <w:nsid w:val="77D90C12"/>
    <w:multiLevelType w:val="hybridMultilevel"/>
    <w:tmpl w:val="1474F7FA"/>
    <w:lvl w:ilvl="0" w:tplc="D65878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4"/>
  </w:num>
  <w:num w:numId="5">
    <w:abstractNumId w:val="20"/>
  </w:num>
  <w:num w:numId="6">
    <w:abstractNumId w:val="19"/>
  </w:num>
  <w:num w:numId="7">
    <w:abstractNumId w:val="18"/>
  </w:num>
  <w:num w:numId="8">
    <w:abstractNumId w:val="4"/>
  </w:num>
  <w:num w:numId="9">
    <w:abstractNumId w:val="11"/>
  </w:num>
  <w:num w:numId="10">
    <w:abstractNumId w:val="17"/>
  </w:num>
  <w:num w:numId="11">
    <w:abstractNumId w:val="16"/>
  </w:num>
  <w:num w:numId="12">
    <w:abstractNumId w:val="3"/>
  </w:num>
  <w:num w:numId="13">
    <w:abstractNumId w:val="0"/>
  </w:num>
  <w:num w:numId="14">
    <w:abstractNumId w:val="6"/>
  </w:num>
  <w:num w:numId="15">
    <w:abstractNumId w:val="15"/>
  </w:num>
  <w:num w:numId="16">
    <w:abstractNumId w:val="8"/>
  </w:num>
  <w:num w:numId="17">
    <w:abstractNumId w:val="2"/>
  </w:num>
  <w:num w:numId="18">
    <w:abstractNumId w:val="9"/>
  </w:num>
  <w:num w:numId="19">
    <w:abstractNumId w:val="1"/>
  </w:num>
  <w:num w:numId="20">
    <w:abstractNumId w:val="13"/>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01B7"/>
    <w:rsid w:val="0000394C"/>
    <w:rsid w:val="00004A9C"/>
    <w:rsid w:val="00005D63"/>
    <w:rsid w:val="000060CB"/>
    <w:rsid w:val="00007B6A"/>
    <w:rsid w:val="000104B4"/>
    <w:rsid w:val="000153A2"/>
    <w:rsid w:val="00015845"/>
    <w:rsid w:val="000200A5"/>
    <w:rsid w:val="00020BF8"/>
    <w:rsid w:val="000218AC"/>
    <w:rsid w:val="0002295E"/>
    <w:rsid w:val="00022E29"/>
    <w:rsid w:val="00023284"/>
    <w:rsid w:val="000268DE"/>
    <w:rsid w:val="00030EDB"/>
    <w:rsid w:val="00033B19"/>
    <w:rsid w:val="0003697B"/>
    <w:rsid w:val="00041722"/>
    <w:rsid w:val="00045367"/>
    <w:rsid w:val="00050078"/>
    <w:rsid w:val="00050F49"/>
    <w:rsid w:val="00052547"/>
    <w:rsid w:val="000538FC"/>
    <w:rsid w:val="000578D1"/>
    <w:rsid w:val="0006138E"/>
    <w:rsid w:val="00061581"/>
    <w:rsid w:val="00062CEF"/>
    <w:rsid w:val="00062DAD"/>
    <w:rsid w:val="0006302B"/>
    <w:rsid w:val="00067975"/>
    <w:rsid w:val="00070EA4"/>
    <w:rsid w:val="000714B1"/>
    <w:rsid w:val="0007211D"/>
    <w:rsid w:val="000730BB"/>
    <w:rsid w:val="00080330"/>
    <w:rsid w:val="000829DC"/>
    <w:rsid w:val="0008376B"/>
    <w:rsid w:val="0008544C"/>
    <w:rsid w:val="00085E25"/>
    <w:rsid w:val="0008693D"/>
    <w:rsid w:val="00087386"/>
    <w:rsid w:val="00087C44"/>
    <w:rsid w:val="00092C66"/>
    <w:rsid w:val="0009334D"/>
    <w:rsid w:val="00093A0C"/>
    <w:rsid w:val="0009577C"/>
    <w:rsid w:val="000959B4"/>
    <w:rsid w:val="000964D1"/>
    <w:rsid w:val="000971DB"/>
    <w:rsid w:val="000A11AD"/>
    <w:rsid w:val="000A11F4"/>
    <w:rsid w:val="000A1578"/>
    <w:rsid w:val="000A1AA2"/>
    <w:rsid w:val="000A26D7"/>
    <w:rsid w:val="000A3965"/>
    <w:rsid w:val="000A5270"/>
    <w:rsid w:val="000A5272"/>
    <w:rsid w:val="000A6AC5"/>
    <w:rsid w:val="000B2542"/>
    <w:rsid w:val="000B2609"/>
    <w:rsid w:val="000C091F"/>
    <w:rsid w:val="000C0E58"/>
    <w:rsid w:val="000C1577"/>
    <w:rsid w:val="000C1D16"/>
    <w:rsid w:val="000C3019"/>
    <w:rsid w:val="000C4554"/>
    <w:rsid w:val="000C45CF"/>
    <w:rsid w:val="000C7EBE"/>
    <w:rsid w:val="000D0136"/>
    <w:rsid w:val="000D097A"/>
    <w:rsid w:val="000D0E63"/>
    <w:rsid w:val="000D6B36"/>
    <w:rsid w:val="000E07B1"/>
    <w:rsid w:val="000E10F9"/>
    <w:rsid w:val="000E172E"/>
    <w:rsid w:val="000E2882"/>
    <w:rsid w:val="000E5109"/>
    <w:rsid w:val="000E5543"/>
    <w:rsid w:val="000E55BD"/>
    <w:rsid w:val="000E5FB9"/>
    <w:rsid w:val="000E6633"/>
    <w:rsid w:val="000F01E7"/>
    <w:rsid w:val="000F535B"/>
    <w:rsid w:val="000F5696"/>
    <w:rsid w:val="000F6070"/>
    <w:rsid w:val="00101D88"/>
    <w:rsid w:val="001021EE"/>
    <w:rsid w:val="00102E91"/>
    <w:rsid w:val="00103B10"/>
    <w:rsid w:val="00103EC1"/>
    <w:rsid w:val="0010480C"/>
    <w:rsid w:val="00110784"/>
    <w:rsid w:val="00111B4F"/>
    <w:rsid w:val="001141B8"/>
    <w:rsid w:val="00114724"/>
    <w:rsid w:val="00114E9C"/>
    <w:rsid w:val="0011570F"/>
    <w:rsid w:val="00116CBB"/>
    <w:rsid w:val="0012129C"/>
    <w:rsid w:val="00121456"/>
    <w:rsid w:val="00121C78"/>
    <w:rsid w:val="00127014"/>
    <w:rsid w:val="00131289"/>
    <w:rsid w:val="001323A1"/>
    <w:rsid w:val="001327CE"/>
    <w:rsid w:val="0013436E"/>
    <w:rsid w:val="0013492F"/>
    <w:rsid w:val="00135D96"/>
    <w:rsid w:val="00140BDC"/>
    <w:rsid w:val="001410CA"/>
    <w:rsid w:val="00141727"/>
    <w:rsid w:val="00142C68"/>
    <w:rsid w:val="00144EA8"/>
    <w:rsid w:val="0014709B"/>
    <w:rsid w:val="00147C2B"/>
    <w:rsid w:val="00151F35"/>
    <w:rsid w:val="00155668"/>
    <w:rsid w:val="00160231"/>
    <w:rsid w:val="0016046F"/>
    <w:rsid w:val="001610C4"/>
    <w:rsid w:val="00161F55"/>
    <w:rsid w:val="00163683"/>
    <w:rsid w:val="001658CC"/>
    <w:rsid w:val="00167161"/>
    <w:rsid w:val="00171DE0"/>
    <w:rsid w:val="001721F5"/>
    <w:rsid w:val="0017317E"/>
    <w:rsid w:val="0017416E"/>
    <w:rsid w:val="0017465D"/>
    <w:rsid w:val="00180030"/>
    <w:rsid w:val="00182E8E"/>
    <w:rsid w:val="0018359A"/>
    <w:rsid w:val="001835A6"/>
    <w:rsid w:val="0018654C"/>
    <w:rsid w:val="00191167"/>
    <w:rsid w:val="00192F71"/>
    <w:rsid w:val="00193741"/>
    <w:rsid w:val="00194AFD"/>
    <w:rsid w:val="00194BAE"/>
    <w:rsid w:val="00195908"/>
    <w:rsid w:val="001A21CD"/>
    <w:rsid w:val="001A3451"/>
    <w:rsid w:val="001A52B0"/>
    <w:rsid w:val="001A6A41"/>
    <w:rsid w:val="001A7F86"/>
    <w:rsid w:val="001B288A"/>
    <w:rsid w:val="001B487B"/>
    <w:rsid w:val="001B4A25"/>
    <w:rsid w:val="001B76BC"/>
    <w:rsid w:val="001C032F"/>
    <w:rsid w:val="001C1D2E"/>
    <w:rsid w:val="001C3AEB"/>
    <w:rsid w:val="001C7E6B"/>
    <w:rsid w:val="001D2974"/>
    <w:rsid w:val="001D59C7"/>
    <w:rsid w:val="001D6C62"/>
    <w:rsid w:val="001D6EE5"/>
    <w:rsid w:val="001D6F4F"/>
    <w:rsid w:val="001D744C"/>
    <w:rsid w:val="001E082A"/>
    <w:rsid w:val="001E195E"/>
    <w:rsid w:val="001E2843"/>
    <w:rsid w:val="001E2CE3"/>
    <w:rsid w:val="001E6710"/>
    <w:rsid w:val="001E6ABF"/>
    <w:rsid w:val="001F07DD"/>
    <w:rsid w:val="001F0B41"/>
    <w:rsid w:val="001F1068"/>
    <w:rsid w:val="001F39E0"/>
    <w:rsid w:val="001F450A"/>
    <w:rsid w:val="001F4AE5"/>
    <w:rsid w:val="001F5784"/>
    <w:rsid w:val="001F7197"/>
    <w:rsid w:val="002003EF"/>
    <w:rsid w:val="00201A93"/>
    <w:rsid w:val="00202A41"/>
    <w:rsid w:val="002040D5"/>
    <w:rsid w:val="00205098"/>
    <w:rsid w:val="00206012"/>
    <w:rsid w:val="002073B7"/>
    <w:rsid w:val="0020751F"/>
    <w:rsid w:val="00210400"/>
    <w:rsid w:val="0021216F"/>
    <w:rsid w:val="002129F5"/>
    <w:rsid w:val="002133E4"/>
    <w:rsid w:val="00216296"/>
    <w:rsid w:val="002202CC"/>
    <w:rsid w:val="00222329"/>
    <w:rsid w:val="0022305A"/>
    <w:rsid w:val="00223799"/>
    <w:rsid w:val="002239B3"/>
    <w:rsid w:val="00225733"/>
    <w:rsid w:val="00227A0E"/>
    <w:rsid w:val="002313ED"/>
    <w:rsid w:val="00231953"/>
    <w:rsid w:val="00232BFD"/>
    <w:rsid w:val="00232EA0"/>
    <w:rsid w:val="002332DE"/>
    <w:rsid w:val="00234BD8"/>
    <w:rsid w:val="00235638"/>
    <w:rsid w:val="00235C37"/>
    <w:rsid w:val="0023773C"/>
    <w:rsid w:val="002423E5"/>
    <w:rsid w:val="00242E76"/>
    <w:rsid w:val="00244901"/>
    <w:rsid w:val="0025174A"/>
    <w:rsid w:val="00254146"/>
    <w:rsid w:val="00255485"/>
    <w:rsid w:val="00256849"/>
    <w:rsid w:val="0025737D"/>
    <w:rsid w:val="00260F2D"/>
    <w:rsid w:val="00262240"/>
    <w:rsid w:val="00264079"/>
    <w:rsid w:val="00264A38"/>
    <w:rsid w:val="00265336"/>
    <w:rsid w:val="00266548"/>
    <w:rsid w:val="00267036"/>
    <w:rsid w:val="0027008F"/>
    <w:rsid w:val="00270635"/>
    <w:rsid w:val="00270B1D"/>
    <w:rsid w:val="00271828"/>
    <w:rsid w:val="00273985"/>
    <w:rsid w:val="002740B5"/>
    <w:rsid w:val="0027691A"/>
    <w:rsid w:val="00280528"/>
    <w:rsid w:val="00281CA0"/>
    <w:rsid w:val="00282A6E"/>
    <w:rsid w:val="002830A2"/>
    <w:rsid w:val="00283B34"/>
    <w:rsid w:val="002868F7"/>
    <w:rsid w:val="002875FA"/>
    <w:rsid w:val="00287E6E"/>
    <w:rsid w:val="002914E5"/>
    <w:rsid w:val="00293A69"/>
    <w:rsid w:val="00293CA3"/>
    <w:rsid w:val="0029445E"/>
    <w:rsid w:val="002961A4"/>
    <w:rsid w:val="0029767F"/>
    <w:rsid w:val="002A2D7B"/>
    <w:rsid w:val="002A3640"/>
    <w:rsid w:val="002A36F9"/>
    <w:rsid w:val="002A3982"/>
    <w:rsid w:val="002A3DB6"/>
    <w:rsid w:val="002A51AF"/>
    <w:rsid w:val="002A53F8"/>
    <w:rsid w:val="002A6A3F"/>
    <w:rsid w:val="002A75C3"/>
    <w:rsid w:val="002B0955"/>
    <w:rsid w:val="002B0A35"/>
    <w:rsid w:val="002B4437"/>
    <w:rsid w:val="002B5A2F"/>
    <w:rsid w:val="002B69B1"/>
    <w:rsid w:val="002C0FFB"/>
    <w:rsid w:val="002C3A05"/>
    <w:rsid w:val="002C413A"/>
    <w:rsid w:val="002C4D4E"/>
    <w:rsid w:val="002C7527"/>
    <w:rsid w:val="002C7AFB"/>
    <w:rsid w:val="002D0B72"/>
    <w:rsid w:val="002D1B87"/>
    <w:rsid w:val="002D288B"/>
    <w:rsid w:val="002D3D78"/>
    <w:rsid w:val="002D48B9"/>
    <w:rsid w:val="002D5067"/>
    <w:rsid w:val="002D6A2A"/>
    <w:rsid w:val="002D6BF0"/>
    <w:rsid w:val="002E1F21"/>
    <w:rsid w:val="002E1F5F"/>
    <w:rsid w:val="002E2007"/>
    <w:rsid w:val="002E20D8"/>
    <w:rsid w:val="002E220C"/>
    <w:rsid w:val="002E3837"/>
    <w:rsid w:val="002E53A1"/>
    <w:rsid w:val="002F0B2E"/>
    <w:rsid w:val="002F3B32"/>
    <w:rsid w:val="002F610D"/>
    <w:rsid w:val="002F6148"/>
    <w:rsid w:val="002F69D1"/>
    <w:rsid w:val="00303B08"/>
    <w:rsid w:val="00307191"/>
    <w:rsid w:val="003120FA"/>
    <w:rsid w:val="003130F3"/>
    <w:rsid w:val="00313396"/>
    <w:rsid w:val="003155D7"/>
    <w:rsid w:val="00316515"/>
    <w:rsid w:val="003166B3"/>
    <w:rsid w:val="003168C5"/>
    <w:rsid w:val="00322298"/>
    <w:rsid w:val="00322D7D"/>
    <w:rsid w:val="00323F5E"/>
    <w:rsid w:val="0032412B"/>
    <w:rsid w:val="00324DEF"/>
    <w:rsid w:val="0032736C"/>
    <w:rsid w:val="00330DE1"/>
    <w:rsid w:val="00330E4B"/>
    <w:rsid w:val="00333325"/>
    <w:rsid w:val="003348C6"/>
    <w:rsid w:val="00334F20"/>
    <w:rsid w:val="00335D42"/>
    <w:rsid w:val="00336F9F"/>
    <w:rsid w:val="00342015"/>
    <w:rsid w:val="003445CB"/>
    <w:rsid w:val="003447FB"/>
    <w:rsid w:val="00344F4A"/>
    <w:rsid w:val="0034507A"/>
    <w:rsid w:val="003459A7"/>
    <w:rsid w:val="00346AAA"/>
    <w:rsid w:val="00353BB5"/>
    <w:rsid w:val="00353E5B"/>
    <w:rsid w:val="00356E34"/>
    <w:rsid w:val="00360697"/>
    <w:rsid w:val="00361136"/>
    <w:rsid w:val="00361C33"/>
    <w:rsid w:val="00363165"/>
    <w:rsid w:val="00363CD3"/>
    <w:rsid w:val="00371BE5"/>
    <w:rsid w:val="003722A1"/>
    <w:rsid w:val="00372E0B"/>
    <w:rsid w:val="00373C77"/>
    <w:rsid w:val="00375DC6"/>
    <w:rsid w:val="0038358C"/>
    <w:rsid w:val="003838F9"/>
    <w:rsid w:val="00383D55"/>
    <w:rsid w:val="00385391"/>
    <w:rsid w:val="00385695"/>
    <w:rsid w:val="00385FBC"/>
    <w:rsid w:val="00390120"/>
    <w:rsid w:val="00390B5F"/>
    <w:rsid w:val="0039398E"/>
    <w:rsid w:val="00397445"/>
    <w:rsid w:val="00397FE5"/>
    <w:rsid w:val="003A0F8D"/>
    <w:rsid w:val="003A14B0"/>
    <w:rsid w:val="003A20FB"/>
    <w:rsid w:val="003A3574"/>
    <w:rsid w:val="003A5BC8"/>
    <w:rsid w:val="003A5EB2"/>
    <w:rsid w:val="003B5292"/>
    <w:rsid w:val="003B6C23"/>
    <w:rsid w:val="003C20EF"/>
    <w:rsid w:val="003C415E"/>
    <w:rsid w:val="003C432D"/>
    <w:rsid w:val="003C5FEE"/>
    <w:rsid w:val="003C6333"/>
    <w:rsid w:val="003D17D0"/>
    <w:rsid w:val="003D2CC1"/>
    <w:rsid w:val="003D7268"/>
    <w:rsid w:val="003E2BF9"/>
    <w:rsid w:val="003E43A0"/>
    <w:rsid w:val="003E5CCD"/>
    <w:rsid w:val="003E6BDA"/>
    <w:rsid w:val="003E7D7E"/>
    <w:rsid w:val="003F0312"/>
    <w:rsid w:val="003F0C07"/>
    <w:rsid w:val="003F136E"/>
    <w:rsid w:val="003F2236"/>
    <w:rsid w:val="003F2406"/>
    <w:rsid w:val="003F2698"/>
    <w:rsid w:val="003F2EDA"/>
    <w:rsid w:val="003F37AE"/>
    <w:rsid w:val="003F46D7"/>
    <w:rsid w:val="003F6E41"/>
    <w:rsid w:val="00402FAB"/>
    <w:rsid w:val="00406F88"/>
    <w:rsid w:val="004075F2"/>
    <w:rsid w:val="00412E0C"/>
    <w:rsid w:val="00413603"/>
    <w:rsid w:val="00413E2B"/>
    <w:rsid w:val="00416EA1"/>
    <w:rsid w:val="00417BE7"/>
    <w:rsid w:val="0042184A"/>
    <w:rsid w:val="00423B30"/>
    <w:rsid w:val="004247F2"/>
    <w:rsid w:val="00425731"/>
    <w:rsid w:val="00425F53"/>
    <w:rsid w:val="00431C6C"/>
    <w:rsid w:val="00432B66"/>
    <w:rsid w:val="004367B8"/>
    <w:rsid w:val="00440D4B"/>
    <w:rsid w:val="0044117D"/>
    <w:rsid w:val="00441FE0"/>
    <w:rsid w:val="00442156"/>
    <w:rsid w:val="0044361B"/>
    <w:rsid w:val="00443ADE"/>
    <w:rsid w:val="00443BED"/>
    <w:rsid w:val="00443D08"/>
    <w:rsid w:val="00444C8B"/>
    <w:rsid w:val="0044572B"/>
    <w:rsid w:val="0044597A"/>
    <w:rsid w:val="00446EFE"/>
    <w:rsid w:val="0045149D"/>
    <w:rsid w:val="00452748"/>
    <w:rsid w:val="00452A4C"/>
    <w:rsid w:val="00453754"/>
    <w:rsid w:val="00453C16"/>
    <w:rsid w:val="00453CF3"/>
    <w:rsid w:val="00454072"/>
    <w:rsid w:val="00456CAB"/>
    <w:rsid w:val="00460F1A"/>
    <w:rsid w:val="00461169"/>
    <w:rsid w:val="00461E12"/>
    <w:rsid w:val="004627DC"/>
    <w:rsid w:val="00463D10"/>
    <w:rsid w:val="00463E53"/>
    <w:rsid w:val="00475569"/>
    <w:rsid w:val="00475A8E"/>
    <w:rsid w:val="00475DE0"/>
    <w:rsid w:val="00477165"/>
    <w:rsid w:val="0048191C"/>
    <w:rsid w:val="00482239"/>
    <w:rsid w:val="00482966"/>
    <w:rsid w:val="004854D5"/>
    <w:rsid w:val="0049074E"/>
    <w:rsid w:val="0049313B"/>
    <w:rsid w:val="00496F1D"/>
    <w:rsid w:val="004A1DD2"/>
    <w:rsid w:val="004A73EB"/>
    <w:rsid w:val="004B08C6"/>
    <w:rsid w:val="004B5013"/>
    <w:rsid w:val="004B701C"/>
    <w:rsid w:val="004C0936"/>
    <w:rsid w:val="004C0AC5"/>
    <w:rsid w:val="004C5898"/>
    <w:rsid w:val="004C6A1E"/>
    <w:rsid w:val="004D12FE"/>
    <w:rsid w:val="004D1C80"/>
    <w:rsid w:val="004D3845"/>
    <w:rsid w:val="004D3E1C"/>
    <w:rsid w:val="004D45B5"/>
    <w:rsid w:val="004D5698"/>
    <w:rsid w:val="004D658A"/>
    <w:rsid w:val="004D67A2"/>
    <w:rsid w:val="004E41FB"/>
    <w:rsid w:val="004E581A"/>
    <w:rsid w:val="004E6C18"/>
    <w:rsid w:val="004F0167"/>
    <w:rsid w:val="004F1F56"/>
    <w:rsid w:val="004F4C69"/>
    <w:rsid w:val="004F53EA"/>
    <w:rsid w:val="004F6419"/>
    <w:rsid w:val="005007E2"/>
    <w:rsid w:val="00500C61"/>
    <w:rsid w:val="00500DA0"/>
    <w:rsid w:val="0050250E"/>
    <w:rsid w:val="005069D9"/>
    <w:rsid w:val="00506D5A"/>
    <w:rsid w:val="00514611"/>
    <w:rsid w:val="005152B7"/>
    <w:rsid w:val="0051651C"/>
    <w:rsid w:val="00517801"/>
    <w:rsid w:val="0052011D"/>
    <w:rsid w:val="00522834"/>
    <w:rsid w:val="0052438F"/>
    <w:rsid w:val="0052535A"/>
    <w:rsid w:val="00531669"/>
    <w:rsid w:val="00535551"/>
    <w:rsid w:val="0053699C"/>
    <w:rsid w:val="00540198"/>
    <w:rsid w:val="00541219"/>
    <w:rsid w:val="00547503"/>
    <w:rsid w:val="005475F2"/>
    <w:rsid w:val="00547AC7"/>
    <w:rsid w:val="00551B4C"/>
    <w:rsid w:val="0055431B"/>
    <w:rsid w:val="00554BD1"/>
    <w:rsid w:val="005560EF"/>
    <w:rsid w:val="0056449D"/>
    <w:rsid w:val="005645E5"/>
    <w:rsid w:val="005657D2"/>
    <w:rsid w:val="00566292"/>
    <w:rsid w:val="00567950"/>
    <w:rsid w:val="0057074A"/>
    <w:rsid w:val="0057076A"/>
    <w:rsid w:val="005720E9"/>
    <w:rsid w:val="00584468"/>
    <w:rsid w:val="00587548"/>
    <w:rsid w:val="00587BF3"/>
    <w:rsid w:val="00590AA1"/>
    <w:rsid w:val="00594578"/>
    <w:rsid w:val="00595099"/>
    <w:rsid w:val="00595FAB"/>
    <w:rsid w:val="005A2A1F"/>
    <w:rsid w:val="005A2F73"/>
    <w:rsid w:val="005A34A1"/>
    <w:rsid w:val="005B0DB3"/>
    <w:rsid w:val="005B118D"/>
    <w:rsid w:val="005B153A"/>
    <w:rsid w:val="005B6266"/>
    <w:rsid w:val="005B62B3"/>
    <w:rsid w:val="005B75C1"/>
    <w:rsid w:val="005C4478"/>
    <w:rsid w:val="005C7EFA"/>
    <w:rsid w:val="005D3007"/>
    <w:rsid w:val="005D3129"/>
    <w:rsid w:val="005D4335"/>
    <w:rsid w:val="005D4790"/>
    <w:rsid w:val="005E2259"/>
    <w:rsid w:val="005E230C"/>
    <w:rsid w:val="005E343C"/>
    <w:rsid w:val="005E448E"/>
    <w:rsid w:val="005E515E"/>
    <w:rsid w:val="005E739F"/>
    <w:rsid w:val="005F16FA"/>
    <w:rsid w:val="005F28F3"/>
    <w:rsid w:val="005F49B3"/>
    <w:rsid w:val="005F4BFF"/>
    <w:rsid w:val="005F51B9"/>
    <w:rsid w:val="005F653D"/>
    <w:rsid w:val="006000BC"/>
    <w:rsid w:val="006009FF"/>
    <w:rsid w:val="006036F8"/>
    <w:rsid w:val="00603D7B"/>
    <w:rsid w:val="00605316"/>
    <w:rsid w:val="00607209"/>
    <w:rsid w:val="006077A9"/>
    <w:rsid w:val="006108CE"/>
    <w:rsid w:val="006110B2"/>
    <w:rsid w:val="00612675"/>
    <w:rsid w:val="00612696"/>
    <w:rsid w:val="00613E4D"/>
    <w:rsid w:val="00615A0C"/>
    <w:rsid w:val="00621654"/>
    <w:rsid w:val="006216B4"/>
    <w:rsid w:val="006247E0"/>
    <w:rsid w:val="00624CDA"/>
    <w:rsid w:val="006257C1"/>
    <w:rsid w:val="0063067F"/>
    <w:rsid w:val="006308D8"/>
    <w:rsid w:val="00632514"/>
    <w:rsid w:val="00633C29"/>
    <w:rsid w:val="0063569A"/>
    <w:rsid w:val="00636921"/>
    <w:rsid w:val="00637C14"/>
    <w:rsid w:val="00641775"/>
    <w:rsid w:val="006419C9"/>
    <w:rsid w:val="006430C0"/>
    <w:rsid w:val="00644BB3"/>
    <w:rsid w:val="00646138"/>
    <w:rsid w:val="00650745"/>
    <w:rsid w:val="00650FD2"/>
    <w:rsid w:val="00651562"/>
    <w:rsid w:val="00651B9B"/>
    <w:rsid w:val="00651E05"/>
    <w:rsid w:val="00653433"/>
    <w:rsid w:val="006542EB"/>
    <w:rsid w:val="00654FD2"/>
    <w:rsid w:val="00655236"/>
    <w:rsid w:val="00656569"/>
    <w:rsid w:val="00660826"/>
    <w:rsid w:val="00661AA8"/>
    <w:rsid w:val="006630FB"/>
    <w:rsid w:val="00665F7E"/>
    <w:rsid w:val="006710DC"/>
    <w:rsid w:val="00672288"/>
    <w:rsid w:val="0067399C"/>
    <w:rsid w:val="006746BF"/>
    <w:rsid w:val="00675035"/>
    <w:rsid w:val="00676987"/>
    <w:rsid w:val="00677BC9"/>
    <w:rsid w:val="00683071"/>
    <w:rsid w:val="006858B5"/>
    <w:rsid w:val="00685DA9"/>
    <w:rsid w:val="0068607F"/>
    <w:rsid w:val="00686AFF"/>
    <w:rsid w:val="00695533"/>
    <w:rsid w:val="006A1AA8"/>
    <w:rsid w:val="006A2498"/>
    <w:rsid w:val="006A37E3"/>
    <w:rsid w:val="006A500D"/>
    <w:rsid w:val="006A5954"/>
    <w:rsid w:val="006A6DDB"/>
    <w:rsid w:val="006A770C"/>
    <w:rsid w:val="006B0014"/>
    <w:rsid w:val="006B3D1D"/>
    <w:rsid w:val="006B44D6"/>
    <w:rsid w:val="006B5516"/>
    <w:rsid w:val="006B67ED"/>
    <w:rsid w:val="006C034E"/>
    <w:rsid w:val="006C2C45"/>
    <w:rsid w:val="006C41B8"/>
    <w:rsid w:val="006C45CC"/>
    <w:rsid w:val="006C705A"/>
    <w:rsid w:val="006D0FB1"/>
    <w:rsid w:val="006D1F36"/>
    <w:rsid w:val="006D6F58"/>
    <w:rsid w:val="006E111E"/>
    <w:rsid w:val="006E193E"/>
    <w:rsid w:val="006E4415"/>
    <w:rsid w:val="006E462C"/>
    <w:rsid w:val="006E6557"/>
    <w:rsid w:val="006F261A"/>
    <w:rsid w:val="006F2787"/>
    <w:rsid w:val="006F4006"/>
    <w:rsid w:val="006F40B5"/>
    <w:rsid w:val="00700153"/>
    <w:rsid w:val="00700E66"/>
    <w:rsid w:val="00701132"/>
    <w:rsid w:val="00701570"/>
    <w:rsid w:val="007022F9"/>
    <w:rsid w:val="00703511"/>
    <w:rsid w:val="00707C51"/>
    <w:rsid w:val="0071053D"/>
    <w:rsid w:val="00713A5D"/>
    <w:rsid w:val="007159FA"/>
    <w:rsid w:val="00715D2A"/>
    <w:rsid w:val="00720FEF"/>
    <w:rsid w:val="0072221F"/>
    <w:rsid w:val="0072253A"/>
    <w:rsid w:val="007227F2"/>
    <w:rsid w:val="007237FA"/>
    <w:rsid w:val="007240E6"/>
    <w:rsid w:val="007305A7"/>
    <w:rsid w:val="00730F62"/>
    <w:rsid w:val="0073212D"/>
    <w:rsid w:val="007325FF"/>
    <w:rsid w:val="00733746"/>
    <w:rsid w:val="00735EB8"/>
    <w:rsid w:val="00736CDA"/>
    <w:rsid w:val="00737291"/>
    <w:rsid w:val="00741C22"/>
    <w:rsid w:val="0074264E"/>
    <w:rsid w:val="00742BAE"/>
    <w:rsid w:val="00743A35"/>
    <w:rsid w:val="0074440F"/>
    <w:rsid w:val="007458C9"/>
    <w:rsid w:val="007479DC"/>
    <w:rsid w:val="00750709"/>
    <w:rsid w:val="00750CC1"/>
    <w:rsid w:val="007530CC"/>
    <w:rsid w:val="00753AD4"/>
    <w:rsid w:val="00755484"/>
    <w:rsid w:val="00763002"/>
    <w:rsid w:val="00764D0D"/>
    <w:rsid w:val="00765BC3"/>
    <w:rsid w:val="0076608B"/>
    <w:rsid w:val="007679D5"/>
    <w:rsid w:val="00771E0F"/>
    <w:rsid w:val="007721FF"/>
    <w:rsid w:val="007728D2"/>
    <w:rsid w:val="00773FEA"/>
    <w:rsid w:val="00775077"/>
    <w:rsid w:val="00776528"/>
    <w:rsid w:val="00777941"/>
    <w:rsid w:val="00780112"/>
    <w:rsid w:val="0078301E"/>
    <w:rsid w:val="00785866"/>
    <w:rsid w:val="00785F78"/>
    <w:rsid w:val="007875AE"/>
    <w:rsid w:val="0078777C"/>
    <w:rsid w:val="007925FD"/>
    <w:rsid w:val="007970E1"/>
    <w:rsid w:val="00797FA6"/>
    <w:rsid w:val="007A288E"/>
    <w:rsid w:val="007A3393"/>
    <w:rsid w:val="007A53BB"/>
    <w:rsid w:val="007A6E43"/>
    <w:rsid w:val="007A6F48"/>
    <w:rsid w:val="007B1CEA"/>
    <w:rsid w:val="007B2C1E"/>
    <w:rsid w:val="007B2E2D"/>
    <w:rsid w:val="007B46F6"/>
    <w:rsid w:val="007B63CD"/>
    <w:rsid w:val="007B78A3"/>
    <w:rsid w:val="007C373C"/>
    <w:rsid w:val="007C41A1"/>
    <w:rsid w:val="007C6C98"/>
    <w:rsid w:val="007C7D36"/>
    <w:rsid w:val="007D17B5"/>
    <w:rsid w:val="007D24A3"/>
    <w:rsid w:val="007D4123"/>
    <w:rsid w:val="007D4803"/>
    <w:rsid w:val="007D7414"/>
    <w:rsid w:val="007E14BF"/>
    <w:rsid w:val="007E1AF2"/>
    <w:rsid w:val="007E21EE"/>
    <w:rsid w:val="007E5CFD"/>
    <w:rsid w:val="007E6B79"/>
    <w:rsid w:val="007E7B98"/>
    <w:rsid w:val="007F0BBF"/>
    <w:rsid w:val="007F16B2"/>
    <w:rsid w:val="007F267C"/>
    <w:rsid w:val="007F3E57"/>
    <w:rsid w:val="007F6920"/>
    <w:rsid w:val="007F7E04"/>
    <w:rsid w:val="007F7FED"/>
    <w:rsid w:val="00805613"/>
    <w:rsid w:val="0080634A"/>
    <w:rsid w:val="00806DFA"/>
    <w:rsid w:val="008107AD"/>
    <w:rsid w:val="0082147C"/>
    <w:rsid w:val="00821962"/>
    <w:rsid w:val="00821FE9"/>
    <w:rsid w:val="00822511"/>
    <w:rsid w:val="00831091"/>
    <w:rsid w:val="00831794"/>
    <w:rsid w:val="0083215B"/>
    <w:rsid w:val="0083630E"/>
    <w:rsid w:val="00836D43"/>
    <w:rsid w:val="0083710F"/>
    <w:rsid w:val="00837200"/>
    <w:rsid w:val="008402F6"/>
    <w:rsid w:val="00840547"/>
    <w:rsid w:val="008412BE"/>
    <w:rsid w:val="0084332A"/>
    <w:rsid w:val="008465D6"/>
    <w:rsid w:val="00846A80"/>
    <w:rsid w:val="008513A5"/>
    <w:rsid w:val="00851829"/>
    <w:rsid w:val="00852B2D"/>
    <w:rsid w:val="00857310"/>
    <w:rsid w:val="00860899"/>
    <w:rsid w:val="00860F1C"/>
    <w:rsid w:val="00864173"/>
    <w:rsid w:val="008644CC"/>
    <w:rsid w:val="008649B6"/>
    <w:rsid w:val="00866025"/>
    <w:rsid w:val="008669F0"/>
    <w:rsid w:val="008702E3"/>
    <w:rsid w:val="008751CF"/>
    <w:rsid w:val="00877D2E"/>
    <w:rsid w:val="008812CB"/>
    <w:rsid w:val="00881EE5"/>
    <w:rsid w:val="0088233C"/>
    <w:rsid w:val="00883E47"/>
    <w:rsid w:val="008869C8"/>
    <w:rsid w:val="0088782D"/>
    <w:rsid w:val="00892766"/>
    <w:rsid w:val="008956FD"/>
    <w:rsid w:val="008A01AE"/>
    <w:rsid w:val="008A3877"/>
    <w:rsid w:val="008A6396"/>
    <w:rsid w:val="008A7B19"/>
    <w:rsid w:val="008B1A58"/>
    <w:rsid w:val="008B1B71"/>
    <w:rsid w:val="008B2182"/>
    <w:rsid w:val="008B40A8"/>
    <w:rsid w:val="008B6AB5"/>
    <w:rsid w:val="008C18AE"/>
    <w:rsid w:val="008C2424"/>
    <w:rsid w:val="008C30DD"/>
    <w:rsid w:val="008C3603"/>
    <w:rsid w:val="008C45A5"/>
    <w:rsid w:val="008C633E"/>
    <w:rsid w:val="008D19E5"/>
    <w:rsid w:val="008D2675"/>
    <w:rsid w:val="008D34A8"/>
    <w:rsid w:val="008D4FD5"/>
    <w:rsid w:val="008D738D"/>
    <w:rsid w:val="008E295E"/>
    <w:rsid w:val="008E2CA8"/>
    <w:rsid w:val="008E3210"/>
    <w:rsid w:val="008E3838"/>
    <w:rsid w:val="008E3CBC"/>
    <w:rsid w:val="008E4705"/>
    <w:rsid w:val="008E5BBF"/>
    <w:rsid w:val="008E61F0"/>
    <w:rsid w:val="008F04D0"/>
    <w:rsid w:val="008F2EA2"/>
    <w:rsid w:val="008F59C0"/>
    <w:rsid w:val="009007B6"/>
    <w:rsid w:val="00901159"/>
    <w:rsid w:val="009026AA"/>
    <w:rsid w:val="00903033"/>
    <w:rsid w:val="00905EBE"/>
    <w:rsid w:val="00911000"/>
    <w:rsid w:val="00911F9D"/>
    <w:rsid w:val="009155B3"/>
    <w:rsid w:val="00916812"/>
    <w:rsid w:val="00916FDE"/>
    <w:rsid w:val="009227A6"/>
    <w:rsid w:val="00923678"/>
    <w:rsid w:val="00923E09"/>
    <w:rsid w:val="00926EAA"/>
    <w:rsid w:val="00932498"/>
    <w:rsid w:val="00934721"/>
    <w:rsid w:val="0093492C"/>
    <w:rsid w:val="0093762E"/>
    <w:rsid w:val="00940B57"/>
    <w:rsid w:val="00941562"/>
    <w:rsid w:val="00944BDE"/>
    <w:rsid w:val="00945756"/>
    <w:rsid w:val="0094618C"/>
    <w:rsid w:val="00946762"/>
    <w:rsid w:val="0095114B"/>
    <w:rsid w:val="009515CF"/>
    <w:rsid w:val="00953D16"/>
    <w:rsid w:val="009542EF"/>
    <w:rsid w:val="0095576C"/>
    <w:rsid w:val="009567D8"/>
    <w:rsid w:val="009601A4"/>
    <w:rsid w:val="00962B70"/>
    <w:rsid w:val="00965032"/>
    <w:rsid w:val="00965FC6"/>
    <w:rsid w:val="00971F5A"/>
    <w:rsid w:val="009721F3"/>
    <w:rsid w:val="00972E77"/>
    <w:rsid w:val="009732B6"/>
    <w:rsid w:val="00974554"/>
    <w:rsid w:val="00974627"/>
    <w:rsid w:val="00974894"/>
    <w:rsid w:val="00976D15"/>
    <w:rsid w:val="00977E1A"/>
    <w:rsid w:val="00982553"/>
    <w:rsid w:val="009838D5"/>
    <w:rsid w:val="00984887"/>
    <w:rsid w:val="00984B95"/>
    <w:rsid w:val="00985C81"/>
    <w:rsid w:val="00987290"/>
    <w:rsid w:val="0098796F"/>
    <w:rsid w:val="00990570"/>
    <w:rsid w:val="009926E5"/>
    <w:rsid w:val="00992DEB"/>
    <w:rsid w:val="009942AE"/>
    <w:rsid w:val="009950C9"/>
    <w:rsid w:val="009A0230"/>
    <w:rsid w:val="009A1CFA"/>
    <w:rsid w:val="009A269B"/>
    <w:rsid w:val="009A2D04"/>
    <w:rsid w:val="009A33C1"/>
    <w:rsid w:val="009A52A3"/>
    <w:rsid w:val="009A79F1"/>
    <w:rsid w:val="009B0113"/>
    <w:rsid w:val="009B099B"/>
    <w:rsid w:val="009B18EA"/>
    <w:rsid w:val="009B2BC9"/>
    <w:rsid w:val="009B31C4"/>
    <w:rsid w:val="009B36AA"/>
    <w:rsid w:val="009B3D4B"/>
    <w:rsid w:val="009B3E83"/>
    <w:rsid w:val="009B4C31"/>
    <w:rsid w:val="009B5CFE"/>
    <w:rsid w:val="009B7B26"/>
    <w:rsid w:val="009B7EE6"/>
    <w:rsid w:val="009C0A48"/>
    <w:rsid w:val="009C514B"/>
    <w:rsid w:val="009C6042"/>
    <w:rsid w:val="009D29E3"/>
    <w:rsid w:val="009D318B"/>
    <w:rsid w:val="009D376F"/>
    <w:rsid w:val="009D3ABC"/>
    <w:rsid w:val="009D57DB"/>
    <w:rsid w:val="009D5C1A"/>
    <w:rsid w:val="009E05F4"/>
    <w:rsid w:val="009E1EF1"/>
    <w:rsid w:val="009E2FF8"/>
    <w:rsid w:val="009E40A8"/>
    <w:rsid w:val="009E6B57"/>
    <w:rsid w:val="009F22F0"/>
    <w:rsid w:val="009F43A4"/>
    <w:rsid w:val="009F5BA2"/>
    <w:rsid w:val="009F5E83"/>
    <w:rsid w:val="00A00768"/>
    <w:rsid w:val="00A01777"/>
    <w:rsid w:val="00A019EC"/>
    <w:rsid w:val="00A02FD9"/>
    <w:rsid w:val="00A055B0"/>
    <w:rsid w:val="00A06BF9"/>
    <w:rsid w:val="00A06E43"/>
    <w:rsid w:val="00A07432"/>
    <w:rsid w:val="00A12932"/>
    <w:rsid w:val="00A13793"/>
    <w:rsid w:val="00A14806"/>
    <w:rsid w:val="00A14959"/>
    <w:rsid w:val="00A156AE"/>
    <w:rsid w:val="00A15E04"/>
    <w:rsid w:val="00A161B0"/>
    <w:rsid w:val="00A165EA"/>
    <w:rsid w:val="00A22388"/>
    <w:rsid w:val="00A24B93"/>
    <w:rsid w:val="00A25189"/>
    <w:rsid w:val="00A26F7C"/>
    <w:rsid w:val="00A30486"/>
    <w:rsid w:val="00A30E76"/>
    <w:rsid w:val="00A31233"/>
    <w:rsid w:val="00A323D2"/>
    <w:rsid w:val="00A32C10"/>
    <w:rsid w:val="00A337E6"/>
    <w:rsid w:val="00A35CFE"/>
    <w:rsid w:val="00A3600A"/>
    <w:rsid w:val="00A4048D"/>
    <w:rsid w:val="00A43F9C"/>
    <w:rsid w:val="00A4634B"/>
    <w:rsid w:val="00A52EE8"/>
    <w:rsid w:val="00A54C36"/>
    <w:rsid w:val="00A55C3C"/>
    <w:rsid w:val="00A56BC1"/>
    <w:rsid w:val="00A600CF"/>
    <w:rsid w:val="00A61AE8"/>
    <w:rsid w:val="00A62353"/>
    <w:rsid w:val="00A636B7"/>
    <w:rsid w:val="00A63F51"/>
    <w:rsid w:val="00A66FF5"/>
    <w:rsid w:val="00A67CBE"/>
    <w:rsid w:val="00A7128E"/>
    <w:rsid w:val="00A75EF4"/>
    <w:rsid w:val="00A76344"/>
    <w:rsid w:val="00A77007"/>
    <w:rsid w:val="00A77551"/>
    <w:rsid w:val="00A775F2"/>
    <w:rsid w:val="00A83A03"/>
    <w:rsid w:val="00A84193"/>
    <w:rsid w:val="00A8522E"/>
    <w:rsid w:val="00A9010C"/>
    <w:rsid w:val="00A901C5"/>
    <w:rsid w:val="00A943F9"/>
    <w:rsid w:val="00A95337"/>
    <w:rsid w:val="00AA463B"/>
    <w:rsid w:val="00AA464F"/>
    <w:rsid w:val="00AA475A"/>
    <w:rsid w:val="00AA5F45"/>
    <w:rsid w:val="00AA663B"/>
    <w:rsid w:val="00AA68DF"/>
    <w:rsid w:val="00AB10E4"/>
    <w:rsid w:val="00AB1510"/>
    <w:rsid w:val="00AB2DE7"/>
    <w:rsid w:val="00AB40AF"/>
    <w:rsid w:val="00AB4CA7"/>
    <w:rsid w:val="00AB636E"/>
    <w:rsid w:val="00AB652A"/>
    <w:rsid w:val="00AB6798"/>
    <w:rsid w:val="00AB6877"/>
    <w:rsid w:val="00AC09ED"/>
    <w:rsid w:val="00AC0BFF"/>
    <w:rsid w:val="00AD0032"/>
    <w:rsid w:val="00AD215F"/>
    <w:rsid w:val="00AD39CE"/>
    <w:rsid w:val="00AD4721"/>
    <w:rsid w:val="00AD49F8"/>
    <w:rsid w:val="00AD7C32"/>
    <w:rsid w:val="00AE19AF"/>
    <w:rsid w:val="00AE1E5D"/>
    <w:rsid w:val="00AE4E9C"/>
    <w:rsid w:val="00AE54A8"/>
    <w:rsid w:val="00AF1197"/>
    <w:rsid w:val="00AF1688"/>
    <w:rsid w:val="00AF1F04"/>
    <w:rsid w:val="00AF3194"/>
    <w:rsid w:val="00AF698F"/>
    <w:rsid w:val="00B036F0"/>
    <w:rsid w:val="00B03BD1"/>
    <w:rsid w:val="00B05716"/>
    <w:rsid w:val="00B10AF6"/>
    <w:rsid w:val="00B11DEB"/>
    <w:rsid w:val="00B120C9"/>
    <w:rsid w:val="00B12662"/>
    <w:rsid w:val="00B13443"/>
    <w:rsid w:val="00B20170"/>
    <w:rsid w:val="00B21489"/>
    <w:rsid w:val="00B2186B"/>
    <w:rsid w:val="00B21E88"/>
    <w:rsid w:val="00B22495"/>
    <w:rsid w:val="00B22DF5"/>
    <w:rsid w:val="00B244B7"/>
    <w:rsid w:val="00B3097A"/>
    <w:rsid w:val="00B3106B"/>
    <w:rsid w:val="00B3435C"/>
    <w:rsid w:val="00B361A3"/>
    <w:rsid w:val="00B404D0"/>
    <w:rsid w:val="00B41711"/>
    <w:rsid w:val="00B428B7"/>
    <w:rsid w:val="00B44F10"/>
    <w:rsid w:val="00B45255"/>
    <w:rsid w:val="00B45D0C"/>
    <w:rsid w:val="00B50E11"/>
    <w:rsid w:val="00B62CCE"/>
    <w:rsid w:val="00B64D36"/>
    <w:rsid w:val="00B70181"/>
    <w:rsid w:val="00B70620"/>
    <w:rsid w:val="00B72DD4"/>
    <w:rsid w:val="00B72F08"/>
    <w:rsid w:val="00B73443"/>
    <w:rsid w:val="00B75368"/>
    <w:rsid w:val="00B76129"/>
    <w:rsid w:val="00B8347D"/>
    <w:rsid w:val="00B83C34"/>
    <w:rsid w:val="00B85121"/>
    <w:rsid w:val="00B86223"/>
    <w:rsid w:val="00B862D2"/>
    <w:rsid w:val="00B908DF"/>
    <w:rsid w:val="00B90C40"/>
    <w:rsid w:val="00B90D72"/>
    <w:rsid w:val="00B91270"/>
    <w:rsid w:val="00B92074"/>
    <w:rsid w:val="00B92366"/>
    <w:rsid w:val="00B92A41"/>
    <w:rsid w:val="00B94D08"/>
    <w:rsid w:val="00B9522C"/>
    <w:rsid w:val="00B9551D"/>
    <w:rsid w:val="00B95693"/>
    <w:rsid w:val="00B95E84"/>
    <w:rsid w:val="00BA1F62"/>
    <w:rsid w:val="00BA4B57"/>
    <w:rsid w:val="00BA5982"/>
    <w:rsid w:val="00BB0EFD"/>
    <w:rsid w:val="00BB2283"/>
    <w:rsid w:val="00BB2C42"/>
    <w:rsid w:val="00BB3F25"/>
    <w:rsid w:val="00BB3F9A"/>
    <w:rsid w:val="00BB6202"/>
    <w:rsid w:val="00BB6451"/>
    <w:rsid w:val="00BB769A"/>
    <w:rsid w:val="00BC0DEB"/>
    <w:rsid w:val="00BC44C5"/>
    <w:rsid w:val="00BC60BD"/>
    <w:rsid w:val="00BD1DB5"/>
    <w:rsid w:val="00BD2454"/>
    <w:rsid w:val="00BD647C"/>
    <w:rsid w:val="00BE10A8"/>
    <w:rsid w:val="00BE257B"/>
    <w:rsid w:val="00BE6CCB"/>
    <w:rsid w:val="00BF03A7"/>
    <w:rsid w:val="00BF09B4"/>
    <w:rsid w:val="00BF366E"/>
    <w:rsid w:val="00BF43E1"/>
    <w:rsid w:val="00C03C15"/>
    <w:rsid w:val="00C04C43"/>
    <w:rsid w:val="00C05042"/>
    <w:rsid w:val="00C06229"/>
    <w:rsid w:val="00C1009D"/>
    <w:rsid w:val="00C11D38"/>
    <w:rsid w:val="00C11D79"/>
    <w:rsid w:val="00C1227A"/>
    <w:rsid w:val="00C13329"/>
    <w:rsid w:val="00C16DB2"/>
    <w:rsid w:val="00C24738"/>
    <w:rsid w:val="00C252A9"/>
    <w:rsid w:val="00C25E70"/>
    <w:rsid w:val="00C270BB"/>
    <w:rsid w:val="00C32A6F"/>
    <w:rsid w:val="00C3343E"/>
    <w:rsid w:val="00C33AAD"/>
    <w:rsid w:val="00C359FB"/>
    <w:rsid w:val="00C35AE1"/>
    <w:rsid w:val="00C414E1"/>
    <w:rsid w:val="00C4185B"/>
    <w:rsid w:val="00C44625"/>
    <w:rsid w:val="00C4520D"/>
    <w:rsid w:val="00C45291"/>
    <w:rsid w:val="00C45CF3"/>
    <w:rsid w:val="00C46E2F"/>
    <w:rsid w:val="00C476E5"/>
    <w:rsid w:val="00C477DE"/>
    <w:rsid w:val="00C50A22"/>
    <w:rsid w:val="00C519B2"/>
    <w:rsid w:val="00C52737"/>
    <w:rsid w:val="00C53A35"/>
    <w:rsid w:val="00C53B19"/>
    <w:rsid w:val="00C53D4F"/>
    <w:rsid w:val="00C5727B"/>
    <w:rsid w:val="00C60890"/>
    <w:rsid w:val="00C63FFA"/>
    <w:rsid w:val="00C64B6A"/>
    <w:rsid w:val="00C67439"/>
    <w:rsid w:val="00C7071F"/>
    <w:rsid w:val="00C72619"/>
    <w:rsid w:val="00C72A6C"/>
    <w:rsid w:val="00C7361A"/>
    <w:rsid w:val="00C7460D"/>
    <w:rsid w:val="00C80336"/>
    <w:rsid w:val="00C822A4"/>
    <w:rsid w:val="00C82E72"/>
    <w:rsid w:val="00C8430A"/>
    <w:rsid w:val="00C867BE"/>
    <w:rsid w:val="00C87F56"/>
    <w:rsid w:val="00C9262D"/>
    <w:rsid w:val="00C934ED"/>
    <w:rsid w:val="00CA078B"/>
    <w:rsid w:val="00CA0B1A"/>
    <w:rsid w:val="00CA67E2"/>
    <w:rsid w:val="00CA6C2A"/>
    <w:rsid w:val="00CA7442"/>
    <w:rsid w:val="00CB1F1D"/>
    <w:rsid w:val="00CB2381"/>
    <w:rsid w:val="00CB2439"/>
    <w:rsid w:val="00CB2B7F"/>
    <w:rsid w:val="00CB6F8A"/>
    <w:rsid w:val="00CC3AB3"/>
    <w:rsid w:val="00CC7A2F"/>
    <w:rsid w:val="00CD1BDD"/>
    <w:rsid w:val="00CE09E5"/>
    <w:rsid w:val="00CE0CC7"/>
    <w:rsid w:val="00CE30E0"/>
    <w:rsid w:val="00CE3BED"/>
    <w:rsid w:val="00CF05BE"/>
    <w:rsid w:val="00CF08CE"/>
    <w:rsid w:val="00CF0F09"/>
    <w:rsid w:val="00CF1C9D"/>
    <w:rsid w:val="00CF51FB"/>
    <w:rsid w:val="00CF7090"/>
    <w:rsid w:val="00CF7D86"/>
    <w:rsid w:val="00CF7D99"/>
    <w:rsid w:val="00D00B2E"/>
    <w:rsid w:val="00D01565"/>
    <w:rsid w:val="00D026E5"/>
    <w:rsid w:val="00D02E78"/>
    <w:rsid w:val="00D04376"/>
    <w:rsid w:val="00D0642F"/>
    <w:rsid w:val="00D069A6"/>
    <w:rsid w:val="00D07002"/>
    <w:rsid w:val="00D10577"/>
    <w:rsid w:val="00D11A47"/>
    <w:rsid w:val="00D1280F"/>
    <w:rsid w:val="00D15C8C"/>
    <w:rsid w:val="00D16320"/>
    <w:rsid w:val="00D1638A"/>
    <w:rsid w:val="00D17425"/>
    <w:rsid w:val="00D17997"/>
    <w:rsid w:val="00D17B06"/>
    <w:rsid w:val="00D2145B"/>
    <w:rsid w:val="00D2277F"/>
    <w:rsid w:val="00D229F8"/>
    <w:rsid w:val="00D23118"/>
    <w:rsid w:val="00D23AB6"/>
    <w:rsid w:val="00D245F3"/>
    <w:rsid w:val="00D24E41"/>
    <w:rsid w:val="00D26776"/>
    <w:rsid w:val="00D2698D"/>
    <w:rsid w:val="00D314A6"/>
    <w:rsid w:val="00D31928"/>
    <w:rsid w:val="00D344C1"/>
    <w:rsid w:val="00D36006"/>
    <w:rsid w:val="00D3705F"/>
    <w:rsid w:val="00D373D9"/>
    <w:rsid w:val="00D40135"/>
    <w:rsid w:val="00D42B06"/>
    <w:rsid w:val="00D43B66"/>
    <w:rsid w:val="00D450C7"/>
    <w:rsid w:val="00D47041"/>
    <w:rsid w:val="00D523A1"/>
    <w:rsid w:val="00D526DF"/>
    <w:rsid w:val="00D61362"/>
    <w:rsid w:val="00D643F2"/>
    <w:rsid w:val="00D72025"/>
    <w:rsid w:val="00D725B6"/>
    <w:rsid w:val="00D72ED2"/>
    <w:rsid w:val="00D7498E"/>
    <w:rsid w:val="00D75D27"/>
    <w:rsid w:val="00D75F3B"/>
    <w:rsid w:val="00D77C76"/>
    <w:rsid w:val="00D911AC"/>
    <w:rsid w:val="00D91BA3"/>
    <w:rsid w:val="00D9427C"/>
    <w:rsid w:val="00D94ADD"/>
    <w:rsid w:val="00DA0836"/>
    <w:rsid w:val="00DA17B9"/>
    <w:rsid w:val="00DA2C1D"/>
    <w:rsid w:val="00DA3AE0"/>
    <w:rsid w:val="00DA44A9"/>
    <w:rsid w:val="00DA7A8D"/>
    <w:rsid w:val="00DB19FF"/>
    <w:rsid w:val="00DB1B3D"/>
    <w:rsid w:val="00DB2D1A"/>
    <w:rsid w:val="00DB60E6"/>
    <w:rsid w:val="00DB7B86"/>
    <w:rsid w:val="00DC055F"/>
    <w:rsid w:val="00DC0738"/>
    <w:rsid w:val="00DC2C05"/>
    <w:rsid w:val="00DC7A05"/>
    <w:rsid w:val="00DD0D2F"/>
    <w:rsid w:val="00DD4D3D"/>
    <w:rsid w:val="00DD5A44"/>
    <w:rsid w:val="00DD7178"/>
    <w:rsid w:val="00DE0282"/>
    <w:rsid w:val="00DE0308"/>
    <w:rsid w:val="00DE0346"/>
    <w:rsid w:val="00DE1587"/>
    <w:rsid w:val="00DE39D7"/>
    <w:rsid w:val="00DE497F"/>
    <w:rsid w:val="00DF0D64"/>
    <w:rsid w:val="00DF1032"/>
    <w:rsid w:val="00DF1FC4"/>
    <w:rsid w:val="00DF4D83"/>
    <w:rsid w:val="00DF608A"/>
    <w:rsid w:val="00E004E1"/>
    <w:rsid w:val="00E01835"/>
    <w:rsid w:val="00E027F6"/>
    <w:rsid w:val="00E02EAF"/>
    <w:rsid w:val="00E03204"/>
    <w:rsid w:val="00E03B46"/>
    <w:rsid w:val="00E054BD"/>
    <w:rsid w:val="00E05A9C"/>
    <w:rsid w:val="00E067A2"/>
    <w:rsid w:val="00E077DF"/>
    <w:rsid w:val="00E07A72"/>
    <w:rsid w:val="00E10D7B"/>
    <w:rsid w:val="00E12A80"/>
    <w:rsid w:val="00E15BCC"/>
    <w:rsid w:val="00E1740C"/>
    <w:rsid w:val="00E25A3E"/>
    <w:rsid w:val="00E2606B"/>
    <w:rsid w:val="00E3052B"/>
    <w:rsid w:val="00E31629"/>
    <w:rsid w:val="00E331B6"/>
    <w:rsid w:val="00E36FD9"/>
    <w:rsid w:val="00E424A7"/>
    <w:rsid w:val="00E43F8E"/>
    <w:rsid w:val="00E43FC2"/>
    <w:rsid w:val="00E45186"/>
    <w:rsid w:val="00E47528"/>
    <w:rsid w:val="00E4759E"/>
    <w:rsid w:val="00E50554"/>
    <w:rsid w:val="00E507F0"/>
    <w:rsid w:val="00E51144"/>
    <w:rsid w:val="00E53CA4"/>
    <w:rsid w:val="00E55848"/>
    <w:rsid w:val="00E55C66"/>
    <w:rsid w:val="00E564FA"/>
    <w:rsid w:val="00E6141A"/>
    <w:rsid w:val="00E61771"/>
    <w:rsid w:val="00E63F2E"/>
    <w:rsid w:val="00E64F4F"/>
    <w:rsid w:val="00E6515C"/>
    <w:rsid w:val="00E65A77"/>
    <w:rsid w:val="00E65FD4"/>
    <w:rsid w:val="00E7210A"/>
    <w:rsid w:val="00E72A79"/>
    <w:rsid w:val="00E73A04"/>
    <w:rsid w:val="00E802B6"/>
    <w:rsid w:val="00E80769"/>
    <w:rsid w:val="00E8231E"/>
    <w:rsid w:val="00E82E00"/>
    <w:rsid w:val="00E82F1E"/>
    <w:rsid w:val="00E8500B"/>
    <w:rsid w:val="00E8695C"/>
    <w:rsid w:val="00E86AD4"/>
    <w:rsid w:val="00E8765D"/>
    <w:rsid w:val="00E87C23"/>
    <w:rsid w:val="00E87F75"/>
    <w:rsid w:val="00E904E4"/>
    <w:rsid w:val="00E9116C"/>
    <w:rsid w:val="00E916A7"/>
    <w:rsid w:val="00E91DE8"/>
    <w:rsid w:val="00E932B5"/>
    <w:rsid w:val="00E9478D"/>
    <w:rsid w:val="00E94C86"/>
    <w:rsid w:val="00E95904"/>
    <w:rsid w:val="00E95FDF"/>
    <w:rsid w:val="00E965B7"/>
    <w:rsid w:val="00E972D3"/>
    <w:rsid w:val="00EA316A"/>
    <w:rsid w:val="00EA66AD"/>
    <w:rsid w:val="00EB239A"/>
    <w:rsid w:val="00EC30CF"/>
    <w:rsid w:val="00EC32CC"/>
    <w:rsid w:val="00EC4FE5"/>
    <w:rsid w:val="00EC72BA"/>
    <w:rsid w:val="00EC7C52"/>
    <w:rsid w:val="00ED011F"/>
    <w:rsid w:val="00ED23AA"/>
    <w:rsid w:val="00ED44EE"/>
    <w:rsid w:val="00ED45B5"/>
    <w:rsid w:val="00ED4CFF"/>
    <w:rsid w:val="00ED58E4"/>
    <w:rsid w:val="00ED68B8"/>
    <w:rsid w:val="00ED77B9"/>
    <w:rsid w:val="00EE0738"/>
    <w:rsid w:val="00EE0DBB"/>
    <w:rsid w:val="00EE1161"/>
    <w:rsid w:val="00EE1D6B"/>
    <w:rsid w:val="00EE709D"/>
    <w:rsid w:val="00EE7699"/>
    <w:rsid w:val="00EE7A6B"/>
    <w:rsid w:val="00EE7C9E"/>
    <w:rsid w:val="00EF01CC"/>
    <w:rsid w:val="00EF0C48"/>
    <w:rsid w:val="00EF46E6"/>
    <w:rsid w:val="00EF5F44"/>
    <w:rsid w:val="00EF626F"/>
    <w:rsid w:val="00F00B18"/>
    <w:rsid w:val="00F0330D"/>
    <w:rsid w:val="00F0562B"/>
    <w:rsid w:val="00F05FE9"/>
    <w:rsid w:val="00F06E7C"/>
    <w:rsid w:val="00F077A7"/>
    <w:rsid w:val="00F07FAF"/>
    <w:rsid w:val="00F10750"/>
    <w:rsid w:val="00F12440"/>
    <w:rsid w:val="00F142DB"/>
    <w:rsid w:val="00F16056"/>
    <w:rsid w:val="00F1648F"/>
    <w:rsid w:val="00F16523"/>
    <w:rsid w:val="00F20D5C"/>
    <w:rsid w:val="00F21520"/>
    <w:rsid w:val="00F22289"/>
    <w:rsid w:val="00F25D67"/>
    <w:rsid w:val="00F26354"/>
    <w:rsid w:val="00F27F84"/>
    <w:rsid w:val="00F34654"/>
    <w:rsid w:val="00F3578B"/>
    <w:rsid w:val="00F357F6"/>
    <w:rsid w:val="00F3641B"/>
    <w:rsid w:val="00F412E8"/>
    <w:rsid w:val="00F43A15"/>
    <w:rsid w:val="00F43C52"/>
    <w:rsid w:val="00F44185"/>
    <w:rsid w:val="00F442D7"/>
    <w:rsid w:val="00F471C4"/>
    <w:rsid w:val="00F5238A"/>
    <w:rsid w:val="00F53553"/>
    <w:rsid w:val="00F5420B"/>
    <w:rsid w:val="00F55C9B"/>
    <w:rsid w:val="00F56324"/>
    <w:rsid w:val="00F57032"/>
    <w:rsid w:val="00F579ED"/>
    <w:rsid w:val="00F57BC1"/>
    <w:rsid w:val="00F57DD6"/>
    <w:rsid w:val="00F63187"/>
    <w:rsid w:val="00F63AA6"/>
    <w:rsid w:val="00F64177"/>
    <w:rsid w:val="00F64284"/>
    <w:rsid w:val="00F67561"/>
    <w:rsid w:val="00F67AE3"/>
    <w:rsid w:val="00F70A12"/>
    <w:rsid w:val="00F71C68"/>
    <w:rsid w:val="00F7380D"/>
    <w:rsid w:val="00F73D2F"/>
    <w:rsid w:val="00F743E1"/>
    <w:rsid w:val="00F77866"/>
    <w:rsid w:val="00F81010"/>
    <w:rsid w:val="00F853E2"/>
    <w:rsid w:val="00F85632"/>
    <w:rsid w:val="00F867F4"/>
    <w:rsid w:val="00F87163"/>
    <w:rsid w:val="00F90936"/>
    <w:rsid w:val="00F9379B"/>
    <w:rsid w:val="00F93BA4"/>
    <w:rsid w:val="00F9431B"/>
    <w:rsid w:val="00F94BB0"/>
    <w:rsid w:val="00F95B0D"/>
    <w:rsid w:val="00F95C40"/>
    <w:rsid w:val="00F96145"/>
    <w:rsid w:val="00F97E13"/>
    <w:rsid w:val="00FA1191"/>
    <w:rsid w:val="00FA175F"/>
    <w:rsid w:val="00FA547D"/>
    <w:rsid w:val="00FB0ED4"/>
    <w:rsid w:val="00FB3456"/>
    <w:rsid w:val="00FB4AB3"/>
    <w:rsid w:val="00FB6ECF"/>
    <w:rsid w:val="00FC01F2"/>
    <w:rsid w:val="00FC0385"/>
    <w:rsid w:val="00FC13A4"/>
    <w:rsid w:val="00FC1DFB"/>
    <w:rsid w:val="00FC34D5"/>
    <w:rsid w:val="00FC61F3"/>
    <w:rsid w:val="00FC76E7"/>
    <w:rsid w:val="00FD07EE"/>
    <w:rsid w:val="00FD36CE"/>
    <w:rsid w:val="00FD48A0"/>
    <w:rsid w:val="00FD5090"/>
    <w:rsid w:val="00FD5648"/>
    <w:rsid w:val="00FE07D3"/>
    <w:rsid w:val="00FE20FB"/>
    <w:rsid w:val="00FE2557"/>
    <w:rsid w:val="00FE4DF3"/>
    <w:rsid w:val="00FE53D2"/>
    <w:rsid w:val="00FE6B39"/>
    <w:rsid w:val="00FE7668"/>
    <w:rsid w:val="00FF07BC"/>
    <w:rsid w:val="00FF1218"/>
    <w:rsid w:val="00FF3062"/>
    <w:rsid w:val="00FF5A95"/>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02EBC203-3844-8248-A444-0E641108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E655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1"/>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EndnoteText">
    <w:name w:val="endnote text"/>
    <w:basedOn w:val="Normal"/>
    <w:link w:val="EndnoteTextChar"/>
    <w:uiPriority w:val="99"/>
    <w:semiHidden/>
    <w:unhideWhenUsed/>
    <w:rsid w:val="00D23118"/>
    <w:rPr>
      <w:sz w:val="20"/>
      <w:szCs w:val="20"/>
    </w:rPr>
  </w:style>
  <w:style w:type="character" w:customStyle="1" w:styleId="EndnoteTextChar">
    <w:name w:val="Endnote Text Char"/>
    <w:basedOn w:val="DefaultParagraphFont"/>
    <w:link w:val="EndnoteText"/>
    <w:uiPriority w:val="99"/>
    <w:semiHidden/>
    <w:rsid w:val="00D23118"/>
    <w:rPr>
      <w:sz w:val="20"/>
      <w:szCs w:val="20"/>
    </w:rPr>
  </w:style>
  <w:style w:type="character" w:styleId="EndnoteReference">
    <w:name w:val="endnote reference"/>
    <w:basedOn w:val="DefaultParagraphFont"/>
    <w:uiPriority w:val="99"/>
    <w:semiHidden/>
    <w:unhideWhenUsed/>
    <w:rsid w:val="00D23118"/>
    <w:rPr>
      <w:vertAlign w:val="superscript"/>
    </w:rPr>
  </w:style>
  <w:style w:type="paragraph" w:customStyle="1" w:styleId="LegalList1">
    <w:name w:val="Legal_List1"/>
    <w:basedOn w:val="Normal"/>
    <w:semiHidden/>
    <w:rsid w:val="00E87C23"/>
    <w:pPr>
      <w:suppressAutoHyphens/>
      <w:spacing w:after="360" w:line="480" w:lineRule="auto"/>
      <w:jc w:val="both"/>
      <w:outlineLvl w:val="0"/>
    </w:pPr>
    <w:rPr>
      <w:rFonts w:ascii="Arial" w:eastAsia="Times New Roman" w:hAnsi="Arial" w:cs="Times New Roman"/>
      <w:lang w:val="en-GB" w:eastAsia="en-GB"/>
    </w:rPr>
  </w:style>
  <w:style w:type="paragraph" w:customStyle="1" w:styleId="LegalMAINHEADING">
    <w:name w:val="Legal_MAINHEADING"/>
    <w:basedOn w:val="LegalNormal"/>
    <w:next w:val="LegalNormal"/>
    <w:semiHidden/>
    <w:rsid w:val="00E87C23"/>
    <w:pPr>
      <w:keepNext/>
      <w:spacing w:before="480"/>
    </w:pPr>
    <w:rPr>
      <w:b/>
      <w:caps/>
    </w:rPr>
  </w:style>
  <w:style w:type="paragraph" w:customStyle="1" w:styleId="LegalTramLines">
    <w:name w:val="Legal_TramLines"/>
    <w:basedOn w:val="LegalNormal"/>
    <w:next w:val="LegalNormal"/>
    <w:semiHidden/>
    <w:rsid w:val="00E87C23"/>
    <w:pPr>
      <w:pBdr>
        <w:top w:val="single" w:sz="4" w:space="18" w:color="auto"/>
        <w:bottom w:val="single" w:sz="4" w:space="18" w:color="auto"/>
      </w:pBdr>
      <w:spacing w:after="480" w:line="240" w:lineRule="auto"/>
      <w:jc w:val="center"/>
    </w:pPr>
    <w:rPr>
      <w:rFonts w:ascii="Arial Bold" w:hAnsi="Arial Bold"/>
      <w:b/>
    </w:rPr>
  </w:style>
  <w:style w:type="paragraph" w:customStyle="1" w:styleId="LegalNormal">
    <w:name w:val="Legal_Normal"/>
    <w:basedOn w:val="Normal"/>
    <w:rsid w:val="00E87C23"/>
    <w:pPr>
      <w:suppressAutoHyphens/>
      <w:spacing w:after="360" w:line="480" w:lineRule="auto"/>
      <w:jc w:val="both"/>
    </w:pPr>
    <w:rPr>
      <w:rFonts w:ascii="Arial" w:eastAsia="Times New Roman" w:hAnsi="Arial" w:cs="Times New Roman"/>
      <w:lang w:val="en-GB" w:eastAsia="en-GB"/>
    </w:rPr>
  </w:style>
  <w:style w:type="character" w:customStyle="1" w:styleId="Heading3Char">
    <w:name w:val="Heading 3 Char"/>
    <w:basedOn w:val="DefaultParagraphFont"/>
    <w:link w:val="Heading3"/>
    <w:uiPriority w:val="9"/>
    <w:semiHidden/>
    <w:rsid w:val="006E6557"/>
    <w:rPr>
      <w:rFonts w:asciiTheme="majorHAnsi" w:eastAsiaTheme="majorEastAsia" w:hAnsiTheme="majorHAnsi" w:cstheme="majorBidi"/>
      <w:color w:val="1F3763" w:themeColor="accent1" w:themeShade="7F"/>
    </w:rPr>
  </w:style>
  <w:style w:type="table" w:customStyle="1" w:styleId="TableGrid1">
    <w:name w:val="TableGrid1"/>
    <w:rsid w:val="00765BC3"/>
    <w:rPr>
      <w:rFonts w:eastAsiaTheme="minorEastAsia"/>
      <w:sz w:val="22"/>
      <w:szCs w:val="22"/>
      <w:lang w:val="en-ZA" w:eastAsia="en-ZA"/>
    </w:rPr>
    <w:tblPr>
      <w:tblCellMar>
        <w:top w:w="0" w:type="dxa"/>
        <w:left w:w="0" w:type="dxa"/>
        <w:bottom w:w="0" w:type="dxa"/>
        <w:right w:w="0" w:type="dxa"/>
      </w:tblCellMar>
    </w:tblPr>
  </w:style>
  <w:style w:type="paragraph" w:customStyle="1" w:styleId="WLGLevel1">
    <w:name w:val="WLGLevel1"/>
    <w:basedOn w:val="Normal"/>
    <w:qFormat/>
    <w:rsid w:val="00F7380D"/>
    <w:pPr>
      <w:numPr>
        <w:numId w:val="6"/>
      </w:numPr>
      <w:suppressAutoHyphens/>
      <w:spacing w:before="320" w:after="320" w:line="480" w:lineRule="auto"/>
      <w:jc w:val="both"/>
      <w:outlineLvl w:val="0"/>
    </w:pPr>
    <w:rPr>
      <w:rFonts w:ascii="Arial" w:eastAsia="Times New Roman" w:hAnsi="Arial" w:cs="Times New Roman"/>
      <w:szCs w:val="20"/>
      <w:lang w:val="en-ZA"/>
    </w:rPr>
  </w:style>
  <w:style w:type="paragraph" w:customStyle="1" w:styleId="WLGLevel2">
    <w:name w:val="WLGLevel2"/>
    <w:basedOn w:val="Normal"/>
    <w:qFormat/>
    <w:rsid w:val="00F7380D"/>
    <w:pPr>
      <w:numPr>
        <w:ilvl w:val="1"/>
        <w:numId w:val="6"/>
      </w:numPr>
      <w:suppressAutoHyphens/>
      <w:spacing w:after="320" w:line="480" w:lineRule="auto"/>
      <w:jc w:val="both"/>
      <w:outlineLvl w:val="1"/>
    </w:pPr>
    <w:rPr>
      <w:rFonts w:ascii="Arial" w:eastAsia="Times New Roman" w:hAnsi="Arial" w:cs="Times New Roman"/>
      <w:szCs w:val="20"/>
      <w:lang w:val="en-ZA"/>
    </w:rPr>
  </w:style>
  <w:style w:type="paragraph" w:customStyle="1" w:styleId="WLGLevel3">
    <w:name w:val="WLGLevel3"/>
    <w:basedOn w:val="Normal"/>
    <w:qFormat/>
    <w:rsid w:val="00F7380D"/>
    <w:pPr>
      <w:numPr>
        <w:ilvl w:val="2"/>
        <w:numId w:val="6"/>
      </w:numPr>
      <w:suppressAutoHyphens/>
      <w:spacing w:after="320" w:line="480" w:lineRule="auto"/>
      <w:jc w:val="both"/>
      <w:outlineLvl w:val="2"/>
    </w:pPr>
    <w:rPr>
      <w:rFonts w:ascii="Arial" w:eastAsia="Times New Roman" w:hAnsi="Arial" w:cs="Times New Roman"/>
      <w:szCs w:val="20"/>
      <w:lang w:val="en-ZA"/>
    </w:rPr>
  </w:style>
  <w:style w:type="paragraph" w:customStyle="1" w:styleId="WLGLevel4">
    <w:name w:val="WLGLevel4"/>
    <w:basedOn w:val="Normal"/>
    <w:qFormat/>
    <w:rsid w:val="00F7380D"/>
    <w:pPr>
      <w:numPr>
        <w:ilvl w:val="3"/>
        <w:numId w:val="6"/>
      </w:numPr>
      <w:suppressAutoHyphens/>
      <w:spacing w:after="320" w:line="480" w:lineRule="auto"/>
      <w:jc w:val="both"/>
      <w:outlineLvl w:val="3"/>
    </w:pPr>
    <w:rPr>
      <w:rFonts w:ascii="Arial" w:eastAsia="Times New Roman" w:hAnsi="Arial" w:cs="Times New Roman"/>
      <w:szCs w:val="20"/>
      <w:lang w:val="en-ZA"/>
    </w:rPr>
  </w:style>
  <w:style w:type="paragraph" w:customStyle="1" w:styleId="WLGLevel5">
    <w:name w:val="WLGLevel5"/>
    <w:basedOn w:val="Normal"/>
    <w:qFormat/>
    <w:rsid w:val="00F7380D"/>
    <w:pPr>
      <w:numPr>
        <w:ilvl w:val="4"/>
        <w:numId w:val="6"/>
      </w:numPr>
      <w:suppressAutoHyphens/>
      <w:spacing w:after="320" w:line="480" w:lineRule="auto"/>
      <w:jc w:val="both"/>
      <w:outlineLvl w:val="4"/>
    </w:pPr>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444543315">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761491403">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458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48897-B851-4F9E-956C-828542E3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Mokone</cp:lastModifiedBy>
  <cp:revision>2</cp:revision>
  <cp:lastPrinted>2023-04-27T07:21:00Z</cp:lastPrinted>
  <dcterms:created xsi:type="dcterms:W3CDTF">2023-10-03T07:57:00Z</dcterms:created>
  <dcterms:modified xsi:type="dcterms:W3CDTF">2023-10-03T07:57:00Z</dcterms:modified>
</cp:coreProperties>
</file>