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bookmarkStart w:id="0" w:name="_GoBack"/>
      <w:bookmarkEnd w:id="0"/>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26A104BF" w:rsidR="00C519B2" w:rsidRDefault="00B50E11" w:rsidP="008E6813">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0A3FD328" w14:textId="77777777" w:rsidR="0006746C" w:rsidRPr="008E6813" w:rsidRDefault="0006746C" w:rsidP="008E6813">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364832">
        <w:trPr>
          <w:trHeight w:val="1997"/>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572966">
              <w:rPr>
                <w:rFonts w:ascii="Arial Unicode MS" w:eastAsia="Arial Unicode MS" w:hAnsi="Arial Unicode MS" w:cs="Arial Unicode MS"/>
                <w:strike/>
                <w:sz w:val="16"/>
                <w:szCs w:val="16"/>
              </w:rPr>
              <w:t>YES/</w:t>
            </w:r>
            <w:r w:rsidRPr="00572966">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572966">
              <w:rPr>
                <w:rFonts w:ascii="Arial Unicode MS" w:eastAsia="Arial Unicode MS" w:hAnsi="Arial Unicode MS" w:cs="Arial Unicode MS"/>
                <w:strike/>
                <w:sz w:val="16"/>
                <w:szCs w:val="16"/>
              </w:rPr>
              <w:t>YES/</w:t>
            </w:r>
            <w:r w:rsidRPr="00572966">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64AE8435"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572966">
              <w:rPr>
                <w:rFonts w:ascii="Arial Unicode MS" w:eastAsia="Arial Unicode MS" w:hAnsi="Arial Unicode MS" w:cs="Arial Unicode MS"/>
                <w:sz w:val="16"/>
                <w:szCs w:val="16"/>
              </w:rPr>
              <w:t xml:space="preserve"> </w:t>
            </w:r>
            <w:r w:rsidR="00BC18C7" w:rsidRPr="00BC18C7">
              <w:rPr>
                <w:rFonts w:ascii="Arial Unicode MS" w:eastAsia="Arial Unicode MS" w:hAnsi="Arial Unicode MS" w:cs="Arial Unicode MS"/>
                <w:b/>
                <w:bCs/>
                <w:sz w:val="20"/>
                <w:szCs w:val="20"/>
              </w:rPr>
              <w:t xml:space="preserve">19 </w:t>
            </w:r>
            <w:r w:rsidR="003473B8" w:rsidRPr="00BC18C7">
              <w:rPr>
                <w:rFonts w:ascii="Arial Unicode MS" w:eastAsia="Arial Unicode MS" w:hAnsi="Arial Unicode MS" w:cs="Arial Unicode MS"/>
                <w:b/>
                <w:bCs/>
                <w:sz w:val="20"/>
                <w:szCs w:val="20"/>
              </w:rPr>
              <w:t>S</w:t>
            </w:r>
            <w:r w:rsidR="00572966" w:rsidRPr="00BC18C7">
              <w:rPr>
                <w:rFonts w:ascii="Arial Unicode MS" w:eastAsia="Arial Unicode MS" w:hAnsi="Arial Unicode MS" w:cs="Arial Unicode MS"/>
                <w:b/>
                <w:bCs/>
                <w:sz w:val="20"/>
                <w:szCs w:val="20"/>
              </w:rPr>
              <w:t>eptember 2023</w:t>
            </w:r>
            <w:r w:rsidR="00572966" w:rsidRPr="00572966">
              <w:rPr>
                <w:rFonts w:ascii="Arial Unicode MS" w:eastAsia="Arial Unicode MS" w:hAnsi="Arial Unicode MS" w:cs="Arial Unicode MS"/>
                <w:sz w:val="18"/>
                <w:szCs w:val="18"/>
              </w:rPr>
              <w:t xml:space="preserve"> </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4F36278A"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926CAD">
        <w:rPr>
          <w:rFonts w:cs="Arial"/>
          <w:b/>
          <w:bCs/>
          <w:sz w:val="24"/>
          <w:szCs w:val="24"/>
        </w:rPr>
        <w:t>A32/2023</w:t>
      </w:r>
    </w:p>
    <w:tbl>
      <w:tblPr>
        <w:tblStyle w:val="TableGrid"/>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261"/>
        <w:gridCol w:w="200"/>
      </w:tblGrid>
      <w:tr w:rsidR="00417B99" w:rsidRPr="0031449E" w14:paraId="22698168" w14:textId="77777777" w:rsidTr="00417B99">
        <w:trPr>
          <w:gridAfter w:val="1"/>
          <w:wAfter w:w="200" w:type="dxa"/>
        </w:trPr>
        <w:tc>
          <w:tcPr>
            <w:tcW w:w="6232"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3261"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417B99" w:rsidRPr="0031449E" w14:paraId="4638A8A4" w14:textId="77777777" w:rsidTr="00417B99">
        <w:trPr>
          <w:gridAfter w:val="1"/>
          <w:wAfter w:w="200" w:type="dxa"/>
          <w:trHeight w:val="1045"/>
        </w:trPr>
        <w:tc>
          <w:tcPr>
            <w:tcW w:w="6232" w:type="dxa"/>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6B09D51B" w:rsidR="007F7FED" w:rsidRPr="00926CAD" w:rsidRDefault="00926CA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926CAD">
              <w:rPr>
                <w:rFonts w:cs="Arial"/>
                <w:b/>
                <w:bCs/>
                <w:sz w:val="24"/>
                <w:szCs w:val="24"/>
              </w:rPr>
              <w:t>FIRST GROUP INVESTMENT HOLDINGS (PTY) LTD</w:t>
            </w:r>
          </w:p>
        </w:tc>
        <w:tc>
          <w:tcPr>
            <w:tcW w:w="3261"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0F35981D"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w:t>
            </w:r>
            <w:r w:rsidR="00926CAD">
              <w:rPr>
                <w:rFonts w:cs="Arial"/>
                <w:b/>
                <w:sz w:val="24"/>
                <w:szCs w:val="24"/>
              </w:rPr>
              <w:t>ELL</w:t>
            </w:r>
            <w:r>
              <w:rPr>
                <w:rFonts w:cs="Arial"/>
                <w:b/>
                <w:sz w:val="24"/>
                <w:szCs w:val="24"/>
              </w:rPr>
              <w:t>ANT</w:t>
            </w:r>
          </w:p>
        </w:tc>
      </w:tr>
      <w:tr w:rsidR="00417B99" w:rsidRPr="0031449E" w14:paraId="2DE3831D" w14:textId="77777777" w:rsidTr="00417B99">
        <w:trPr>
          <w:gridAfter w:val="1"/>
          <w:wAfter w:w="200" w:type="dxa"/>
        </w:trPr>
        <w:tc>
          <w:tcPr>
            <w:tcW w:w="6232" w:type="dxa"/>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3261"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417B99" w:rsidRPr="0031449E" w14:paraId="4829D036" w14:textId="77777777" w:rsidTr="00417B99">
        <w:trPr>
          <w:gridAfter w:val="1"/>
          <w:wAfter w:w="200" w:type="dxa"/>
        </w:trPr>
        <w:tc>
          <w:tcPr>
            <w:tcW w:w="6232" w:type="dxa"/>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730E555F" w:rsidR="001F07DD" w:rsidRDefault="00926CA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NATIONAL CREDIT REGULATOR</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3261"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417B99" w:rsidRPr="0031449E" w14:paraId="0432C152" w14:textId="77777777" w:rsidTr="00417B99">
        <w:trPr>
          <w:gridAfter w:val="1"/>
          <w:wAfter w:w="200" w:type="dxa"/>
        </w:trPr>
        <w:tc>
          <w:tcPr>
            <w:tcW w:w="6232" w:type="dxa"/>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6FC69A7C" w:rsidR="0027008F" w:rsidRDefault="00926CA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THE NATIONAL CONSUMER TRIBUNAL</w:t>
            </w:r>
          </w:p>
        </w:tc>
        <w:tc>
          <w:tcPr>
            <w:tcW w:w="3261"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1D7244" w:rsidRPr="00217B1F" w14:paraId="0BE69F19" w14:textId="77777777" w:rsidTr="00417B99">
        <w:trPr>
          <w:trHeight w:val="1045"/>
        </w:trPr>
        <w:tc>
          <w:tcPr>
            <w:tcW w:w="9693" w:type="dxa"/>
            <w:gridSpan w:val="3"/>
          </w:tcPr>
          <w:p w14:paraId="0CA1B4FB" w14:textId="0FEC6BF8" w:rsidR="001D7244" w:rsidRPr="00217B1F" w:rsidRDefault="0036483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FA2702">
              <w:tc>
                <w:tcPr>
                  <w:tcW w:w="1734" w:type="dxa"/>
                </w:tcPr>
                <w:p w14:paraId="32A8A6B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0B10E120" w14:textId="31CD4F80"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r w:rsidR="00926CAD" w:rsidRPr="00B970F6">
                    <w:rPr>
                      <w:rFonts w:ascii="Arial" w:eastAsia="Times New Roman" w:hAnsi="Arial" w:cs="Arial"/>
                      <w:i/>
                      <w:iCs/>
                      <w:color w:val="000000"/>
                      <w:sz w:val="24"/>
                      <w:szCs w:val="24"/>
                      <w:lang w:val="en-ZA"/>
                    </w:rPr>
                    <w:t>et</w:t>
                  </w:r>
                  <w:r w:rsidR="00926CAD">
                    <w:rPr>
                      <w:rFonts w:ascii="Arial" w:eastAsia="Times New Roman" w:hAnsi="Arial" w:cs="Arial"/>
                      <w:color w:val="000000"/>
                      <w:sz w:val="24"/>
                      <w:szCs w:val="24"/>
                      <w:lang w:val="en-ZA"/>
                    </w:rPr>
                    <w:t xml:space="preserve"> Ally AJ</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E740E4">
              <w:tc>
                <w:tcPr>
                  <w:tcW w:w="1734" w:type="dxa"/>
                </w:tcPr>
                <w:p w14:paraId="4D83510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Heard on</w:t>
                  </w:r>
                  <w:r w:rsidRPr="00364832">
                    <w:rPr>
                      <w:rFonts w:ascii="Times" w:eastAsia="Times New Roman" w:hAnsi="Times" w:cs="Arial"/>
                      <w:i/>
                      <w:iCs/>
                      <w:sz w:val="24"/>
                      <w:szCs w:val="24"/>
                      <w:lang w:val="en-ZA"/>
                    </w:rPr>
                    <w:t>:      </w:t>
                  </w:r>
                </w:p>
              </w:tc>
              <w:tc>
                <w:tcPr>
                  <w:tcW w:w="7513" w:type="dxa"/>
                </w:tcPr>
                <w:p w14:paraId="41C8B4DD" w14:textId="0EE7F9D2" w:rsidR="001D7244" w:rsidRPr="00217B1F" w:rsidRDefault="00926CAD"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rPr>
                    <w:t>5 September 2023</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E740E4">
              <w:tc>
                <w:tcPr>
                  <w:tcW w:w="1734" w:type="dxa"/>
                </w:tcPr>
                <w:p w14:paraId="58A5EC6A" w14:textId="77777777" w:rsidR="00FB2F67" w:rsidRDefault="00FB2F67"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eastAsia="Times New Roman" w:hAnsi="Times" w:cs="Arial"/>
                      <w:b/>
                      <w:bCs/>
                      <w:i/>
                      <w:iCs/>
                      <w:sz w:val="24"/>
                      <w:szCs w:val="24"/>
                      <w:lang w:val="en-ZA"/>
                    </w:rPr>
                  </w:pPr>
                </w:p>
                <w:p w14:paraId="34D50450" w14:textId="18FD509C"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 xml:space="preserve">Delivered:   </w:t>
                  </w:r>
                </w:p>
              </w:tc>
              <w:tc>
                <w:tcPr>
                  <w:tcW w:w="7513" w:type="dxa"/>
                </w:tcPr>
                <w:p w14:paraId="127AE0D8" w14:textId="77777777" w:rsidR="00FB2F67" w:rsidRDefault="00FB2F67" w:rsidP="00E740E4">
                  <w:pPr>
                    <w:tabs>
                      <w:tab w:val="left" w:pos="0"/>
                    </w:tabs>
                    <w:spacing w:after="120" w:line="360" w:lineRule="auto"/>
                    <w:ind w:right="37"/>
                    <w:jc w:val="both"/>
                    <w:rPr>
                      <w:rFonts w:ascii="Arial" w:eastAsia="Times New Roman" w:hAnsi="Arial" w:cs="Arial"/>
                      <w:color w:val="000000"/>
                      <w:sz w:val="24"/>
                      <w:szCs w:val="24"/>
                      <w:lang w:val="en-ZA"/>
                    </w:rPr>
                  </w:pPr>
                </w:p>
                <w:p w14:paraId="6B1352D7" w14:textId="51708F1A" w:rsidR="001D7244" w:rsidRPr="00217B1F" w:rsidRDefault="00BC18C7" w:rsidP="008E6813">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19</w:t>
                  </w:r>
                  <w:r w:rsidR="001D7244">
                    <w:rPr>
                      <w:rFonts w:ascii="Arial" w:eastAsia="Times New Roman" w:hAnsi="Arial" w:cs="Arial"/>
                      <w:color w:val="000000"/>
                      <w:sz w:val="24"/>
                      <w:szCs w:val="24"/>
                      <w:lang w:val="en-ZA"/>
                    </w:rPr>
                    <w:t xml:space="preserve"> </w:t>
                  </w:r>
                  <w:r w:rsidR="00926CAD">
                    <w:rPr>
                      <w:rFonts w:ascii="Arial" w:eastAsia="Times New Roman" w:hAnsi="Arial" w:cs="Arial"/>
                      <w:color w:val="000000"/>
                      <w:sz w:val="24"/>
                      <w:szCs w:val="24"/>
                      <w:lang w:val="en-ZA"/>
                    </w:rPr>
                    <w:t>September 2023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system of the GD and by release to SAFLII. The date and time for hand-down is deemed to be 1</w:t>
                  </w:r>
                  <w:r w:rsidR="001D7244">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19</w:t>
                  </w:r>
                  <w:r w:rsidR="001D7244">
                    <w:rPr>
                      <w:rFonts w:ascii="Arial" w:eastAsia="Times New Roman" w:hAnsi="Arial" w:cs="Arial"/>
                      <w:color w:val="000000"/>
                      <w:sz w:val="24"/>
                      <w:szCs w:val="24"/>
                      <w:lang w:val="en-ZA"/>
                    </w:rPr>
                    <w:t xml:space="preserve"> </w:t>
                  </w:r>
                  <w:r w:rsidR="00926CAD">
                    <w:rPr>
                      <w:rFonts w:ascii="Arial" w:eastAsia="Times New Roman" w:hAnsi="Arial" w:cs="Arial"/>
                      <w:color w:val="000000"/>
                      <w:sz w:val="24"/>
                      <w:szCs w:val="24"/>
                      <w:lang w:val="en-ZA"/>
                    </w:rPr>
                    <w:t>September 2023</w:t>
                  </w:r>
                  <w:r w:rsidR="001D7244" w:rsidRPr="00217B1F">
                    <w:rPr>
                      <w:rFonts w:ascii="Arial" w:eastAsia="Times New Roman" w:hAnsi="Arial" w:cs="Arial"/>
                      <w:color w:val="000000"/>
                      <w:sz w:val="24"/>
                      <w:szCs w:val="24"/>
                      <w:lang w:val="en-ZA"/>
                    </w:rPr>
                    <w:t>.</w:t>
                  </w:r>
                </w:p>
                <w:p w14:paraId="5F5E03E1"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393A505" w14:textId="77777777" w:rsidTr="00E740E4">
              <w:tc>
                <w:tcPr>
                  <w:tcW w:w="1734" w:type="dxa"/>
                </w:tcPr>
                <w:p w14:paraId="6E105F9A"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Summary:      </w:t>
                  </w:r>
                </w:p>
              </w:tc>
              <w:tc>
                <w:tcPr>
                  <w:tcW w:w="7513" w:type="dxa"/>
                </w:tcPr>
                <w:p w14:paraId="05309368" w14:textId="24E87792" w:rsidR="001D7244" w:rsidRPr="002518C4" w:rsidRDefault="00E74C48"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 xml:space="preserve">Appeal against a decision of the National Consumer Tribunal in terms of s 148(2)(b) of the National Credit Act against the dismissal of challenges </w:t>
                  </w:r>
                  <w:r w:rsidRPr="00E74C48">
                    <w:rPr>
                      <w:rFonts w:cs="Arial"/>
                      <w:i/>
                      <w:iCs/>
                      <w:sz w:val="24"/>
                      <w:szCs w:val="24"/>
                    </w:rPr>
                    <w:t>in limine</w:t>
                  </w:r>
                  <w:r>
                    <w:rPr>
                      <w:rFonts w:cs="Arial"/>
                      <w:sz w:val="24"/>
                      <w:szCs w:val="24"/>
                    </w:rPr>
                    <w:t xml:space="preserve"> in respect of the authorization of the referral and admissibility of evidence before it – having elected to proceed by way of motion the Regulator was obligated to see the process through and cannot change the process midstream to make up for shortcomings identified in the referral – appellant entitled to fair procedure and to know what that procedure </w:t>
                  </w:r>
                  <w:r w:rsidR="00687C00">
                    <w:rPr>
                      <w:rFonts w:cs="Arial"/>
                      <w:sz w:val="24"/>
                      <w:szCs w:val="24"/>
                    </w:rPr>
                    <w:t>was</w:t>
                  </w:r>
                  <w:r>
                    <w:rPr>
                      <w:rFonts w:cs="Arial"/>
                      <w:sz w:val="24"/>
                      <w:szCs w:val="24"/>
                    </w:rPr>
                    <w:t xml:space="preserve"> before engaging – appeal upheld - consequences of </w:t>
                  </w:r>
                  <w:r w:rsidR="00572966">
                    <w:rPr>
                      <w:rFonts w:cs="Arial"/>
                      <w:sz w:val="24"/>
                      <w:szCs w:val="24"/>
                    </w:rPr>
                    <w:t xml:space="preserve">possible </w:t>
                  </w:r>
                  <w:r>
                    <w:rPr>
                      <w:rFonts w:cs="Arial"/>
                      <w:sz w:val="24"/>
                      <w:szCs w:val="24"/>
                    </w:rPr>
                    <w:t>adverse finding against appellant sufficiently serious</w:t>
                  </w:r>
                  <w:r w:rsidR="00572966">
                    <w:rPr>
                      <w:rFonts w:cs="Arial"/>
                      <w:sz w:val="24"/>
                      <w:szCs w:val="24"/>
                    </w:rPr>
                    <w:t xml:space="preserve"> to warrant engagement of two counsel and so ordered.</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417B99">
        <w:tc>
          <w:tcPr>
            <w:tcW w:w="9693" w:type="dxa"/>
            <w:gridSpan w:val="3"/>
          </w:tcPr>
          <w:p w14:paraId="1ED3913C" w14:textId="73B0C037" w:rsidR="001D7244" w:rsidRPr="00217B1F" w:rsidRDefault="001D7244" w:rsidP="00572966">
            <w:pPr>
              <w:spacing w:after="120" w:line="360" w:lineRule="atLeast"/>
              <w:jc w:val="both"/>
              <w:rPr>
                <w:rFonts w:ascii="Arial" w:eastAsia="Times New Roman" w:hAnsi="Arial" w:cs="Arial"/>
                <w:color w:val="000000"/>
                <w:sz w:val="24"/>
                <w:szCs w:val="24"/>
              </w:rPr>
            </w:pPr>
          </w:p>
          <w:p w14:paraId="35776624" w14:textId="77777777" w:rsidR="001D7244" w:rsidRPr="00217B1F" w:rsidRDefault="001D7244" w:rsidP="00FA2702">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6042AE5A" w14:textId="77777777" w:rsidR="001D7244" w:rsidRPr="005D79B5" w:rsidRDefault="001D7244" w:rsidP="00FA2702">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64CD9FDB" w14:textId="77777777" w:rsidR="00054D32" w:rsidRDefault="00054D32" w:rsidP="00054D32">
            <w:pPr>
              <w:rPr>
                <w:rFonts w:ascii="Arial" w:hAnsi="Arial" w:cs="Arial"/>
                <w:bCs/>
              </w:rPr>
            </w:pPr>
            <w:bookmarkStart w:id="1" w:name="_Hlk102030155"/>
          </w:p>
          <w:p w14:paraId="3F7A9177" w14:textId="6B909229" w:rsidR="00054D32" w:rsidRPr="00054D32" w:rsidRDefault="00054D32" w:rsidP="00054D32">
            <w:pPr>
              <w:ind w:left="882" w:hanging="882"/>
              <w:rPr>
                <w:rFonts w:ascii="Arial" w:hAnsi="Arial" w:cs="Arial"/>
                <w:bCs/>
                <w:sz w:val="24"/>
                <w:szCs w:val="24"/>
              </w:rPr>
            </w:pPr>
            <w:r w:rsidRPr="00054D32">
              <w:rPr>
                <w:rFonts w:ascii="Arial" w:hAnsi="Arial" w:cs="Arial"/>
                <w:bCs/>
                <w:sz w:val="24"/>
                <w:szCs w:val="24"/>
              </w:rPr>
              <w:t>[1]</w:t>
            </w:r>
            <w:r w:rsidRPr="00054D32">
              <w:rPr>
                <w:rFonts w:ascii="Arial" w:hAnsi="Arial" w:cs="Arial"/>
                <w:bCs/>
                <w:sz w:val="24"/>
                <w:szCs w:val="24"/>
              </w:rPr>
              <w:tab/>
              <w:t>The appeal is upheld.</w:t>
            </w:r>
          </w:p>
          <w:p w14:paraId="5C2B5433" w14:textId="77777777" w:rsidR="00054D32" w:rsidRPr="00054D32" w:rsidRDefault="00054D32" w:rsidP="00054D32">
            <w:pPr>
              <w:ind w:left="882" w:hanging="882"/>
              <w:rPr>
                <w:rFonts w:ascii="Arial" w:hAnsi="Arial" w:cs="Arial"/>
                <w:bCs/>
                <w:sz w:val="24"/>
                <w:szCs w:val="24"/>
              </w:rPr>
            </w:pPr>
          </w:p>
          <w:p w14:paraId="054A1DCB" w14:textId="31A2D575" w:rsidR="00054D32" w:rsidRPr="00054D32" w:rsidRDefault="00054D32" w:rsidP="00054D32">
            <w:pPr>
              <w:ind w:left="882" w:hanging="882"/>
              <w:rPr>
                <w:rFonts w:ascii="Arial" w:hAnsi="Arial" w:cs="Arial"/>
                <w:bCs/>
                <w:sz w:val="24"/>
                <w:szCs w:val="24"/>
              </w:rPr>
            </w:pPr>
            <w:r w:rsidRPr="00054D32">
              <w:rPr>
                <w:rFonts w:ascii="Arial" w:hAnsi="Arial" w:cs="Arial"/>
                <w:bCs/>
                <w:sz w:val="24"/>
                <w:szCs w:val="24"/>
              </w:rPr>
              <w:t>[2]</w:t>
            </w:r>
            <w:r w:rsidRPr="00054D32">
              <w:rPr>
                <w:rFonts w:ascii="Arial" w:hAnsi="Arial" w:cs="Arial"/>
                <w:bCs/>
                <w:sz w:val="24"/>
                <w:szCs w:val="24"/>
              </w:rPr>
              <w:tab/>
              <w:t>The decision of the NCT is set aside and replaced with the following:</w:t>
            </w:r>
          </w:p>
          <w:p w14:paraId="0765B27E" w14:textId="77777777" w:rsidR="00054D32" w:rsidRPr="00054D32" w:rsidRDefault="00054D32" w:rsidP="00054D32">
            <w:pPr>
              <w:ind w:left="882" w:hanging="882"/>
              <w:rPr>
                <w:rFonts w:ascii="Arial" w:hAnsi="Arial" w:cs="Arial"/>
                <w:bCs/>
                <w:sz w:val="24"/>
                <w:szCs w:val="24"/>
              </w:rPr>
            </w:pPr>
          </w:p>
          <w:p w14:paraId="637D32A9" w14:textId="77777777" w:rsidR="00054D32" w:rsidRPr="00054D32" w:rsidRDefault="00054D32" w:rsidP="00054D32">
            <w:pPr>
              <w:ind w:left="882"/>
              <w:rPr>
                <w:rFonts w:ascii="Arial" w:hAnsi="Arial" w:cs="Arial"/>
                <w:bCs/>
                <w:i/>
                <w:iCs/>
                <w:sz w:val="24"/>
                <w:szCs w:val="24"/>
              </w:rPr>
            </w:pPr>
            <w:r w:rsidRPr="00054D32">
              <w:rPr>
                <w:rFonts w:ascii="Arial" w:hAnsi="Arial" w:cs="Arial"/>
                <w:bCs/>
                <w:i/>
                <w:iCs/>
                <w:sz w:val="24"/>
                <w:szCs w:val="24"/>
              </w:rPr>
              <w:t>“1.</w:t>
            </w:r>
            <w:r w:rsidRPr="00054D32">
              <w:rPr>
                <w:rFonts w:ascii="Arial" w:hAnsi="Arial" w:cs="Arial"/>
                <w:bCs/>
                <w:i/>
                <w:iCs/>
                <w:sz w:val="24"/>
                <w:szCs w:val="24"/>
              </w:rPr>
              <w:tab/>
              <w:t>The Respondent’s 5 points in limine are upheld.</w:t>
            </w:r>
          </w:p>
          <w:p w14:paraId="550D61A6" w14:textId="77777777" w:rsidR="00054D32" w:rsidRPr="00054D32" w:rsidRDefault="00054D32" w:rsidP="00054D32">
            <w:pPr>
              <w:ind w:left="882"/>
              <w:rPr>
                <w:rFonts w:ascii="Arial" w:hAnsi="Arial" w:cs="Arial"/>
                <w:bCs/>
                <w:i/>
                <w:iCs/>
                <w:sz w:val="24"/>
                <w:szCs w:val="24"/>
              </w:rPr>
            </w:pPr>
          </w:p>
          <w:p w14:paraId="7D67F87D" w14:textId="77777777" w:rsidR="00054D32" w:rsidRPr="00054D32" w:rsidRDefault="00054D32" w:rsidP="00054D32">
            <w:pPr>
              <w:ind w:left="882"/>
              <w:rPr>
                <w:rFonts w:ascii="Arial" w:hAnsi="Arial" w:cs="Arial"/>
                <w:bCs/>
                <w:i/>
                <w:iCs/>
                <w:sz w:val="24"/>
                <w:szCs w:val="24"/>
              </w:rPr>
            </w:pPr>
            <w:r w:rsidRPr="00054D32">
              <w:rPr>
                <w:rFonts w:ascii="Arial" w:hAnsi="Arial" w:cs="Arial"/>
                <w:bCs/>
                <w:i/>
                <w:iCs/>
                <w:sz w:val="24"/>
                <w:szCs w:val="24"/>
              </w:rPr>
              <w:t>2.</w:t>
            </w:r>
            <w:r w:rsidRPr="00054D32">
              <w:rPr>
                <w:rFonts w:ascii="Arial" w:hAnsi="Arial" w:cs="Arial"/>
                <w:bCs/>
                <w:i/>
                <w:iCs/>
                <w:sz w:val="24"/>
                <w:szCs w:val="24"/>
              </w:rPr>
              <w:tab/>
              <w:t>The application is dismissed.</w:t>
            </w:r>
          </w:p>
          <w:p w14:paraId="18B4D5CA" w14:textId="77777777" w:rsidR="00054D32" w:rsidRPr="00054D32" w:rsidRDefault="00054D32" w:rsidP="00054D32">
            <w:pPr>
              <w:ind w:left="882"/>
              <w:rPr>
                <w:rFonts w:ascii="Arial" w:hAnsi="Arial" w:cs="Arial"/>
                <w:bCs/>
                <w:i/>
                <w:iCs/>
                <w:sz w:val="24"/>
                <w:szCs w:val="24"/>
              </w:rPr>
            </w:pPr>
          </w:p>
          <w:p w14:paraId="6C7A5BF4" w14:textId="77777777" w:rsidR="00054D32" w:rsidRPr="00054D32" w:rsidRDefault="00054D32" w:rsidP="00054D32">
            <w:pPr>
              <w:ind w:left="882"/>
              <w:rPr>
                <w:rFonts w:ascii="Arial" w:hAnsi="Arial" w:cs="Arial"/>
                <w:bCs/>
                <w:sz w:val="24"/>
                <w:szCs w:val="24"/>
              </w:rPr>
            </w:pPr>
            <w:r w:rsidRPr="00054D32">
              <w:rPr>
                <w:rFonts w:ascii="Arial" w:hAnsi="Arial" w:cs="Arial"/>
                <w:bCs/>
                <w:i/>
                <w:iCs/>
                <w:sz w:val="24"/>
                <w:szCs w:val="24"/>
              </w:rPr>
              <w:t>3.</w:t>
            </w:r>
            <w:r w:rsidRPr="00054D32">
              <w:rPr>
                <w:rFonts w:ascii="Arial" w:hAnsi="Arial" w:cs="Arial"/>
                <w:bCs/>
                <w:i/>
                <w:iCs/>
                <w:sz w:val="24"/>
                <w:szCs w:val="24"/>
              </w:rPr>
              <w:tab/>
              <w:t>No order is made as to costs</w:t>
            </w:r>
            <w:r w:rsidRPr="00054D32">
              <w:rPr>
                <w:rFonts w:ascii="Arial" w:hAnsi="Arial" w:cs="Arial"/>
                <w:bCs/>
                <w:sz w:val="24"/>
                <w:szCs w:val="24"/>
              </w:rPr>
              <w:t>”.</w:t>
            </w:r>
          </w:p>
          <w:p w14:paraId="2D269AF9" w14:textId="77777777" w:rsidR="00054D32" w:rsidRPr="00054D32" w:rsidRDefault="00054D32" w:rsidP="00054D32">
            <w:pPr>
              <w:ind w:left="882" w:hanging="882"/>
              <w:rPr>
                <w:rFonts w:ascii="Arial" w:hAnsi="Arial" w:cs="Arial"/>
                <w:bCs/>
                <w:sz w:val="24"/>
                <w:szCs w:val="24"/>
              </w:rPr>
            </w:pPr>
          </w:p>
          <w:p w14:paraId="3D141BB2" w14:textId="1D0626E3" w:rsidR="00054D32" w:rsidRDefault="00054D32" w:rsidP="00054D32">
            <w:pPr>
              <w:ind w:left="882" w:hanging="882"/>
              <w:rPr>
                <w:rFonts w:ascii="Arial" w:hAnsi="Arial" w:cs="Arial"/>
                <w:bCs/>
                <w:sz w:val="24"/>
                <w:szCs w:val="24"/>
              </w:rPr>
            </w:pPr>
          </w:p>
          <w:p w14:paraId="100E924F" w14:textId="1A0F8AE3" w:rsidR="00FB2F67" w:rsidRDefault="00FB2F67" w:rsidP="00054D32">
            <w:pPr>
              <w:ind w:left="882" w:hanging="882"/>
              <w:rPr>
                <w:rFonts w:ascii="Arial" w:hAnsi="Arial" w:cs="Arial"/>
                <w:bCs/>
                <w:sz w:val="24"/>
                <w:szCs w:val="24"/>
              </w:rPr>
            </w:pPr>
          </w:p>
          <w:p w14:paraId="614FE40E" w14:textId="77777777" w:rsidR="00FB2F67" w:rsidRPr="00054D32" w:rsidRDefault="00FB2F67" w:rsidP="00054D32">
            <w:pPr>
              <w:ind w:left="882" w:hanging="882"/>
              <w:rPr>
                <w:rFonts w:ascii="Arial" w:hAnsi="Arial" w:cs="Arial"/>
                <w:bCs/>
                <w:sz w:val="24"/>
                <w:szCs w:val="24"/>
              </w:rPr>
            </w:pPr>
          </w:p>
          <w:p w14:paraId="1EF4ED4E" w14:textId="216E4CB7" w:rsidR="001D7244" w:rsidRPr="00F83944" w:rsidRDefault="00054D32" w:rsidP="00F83944">
            <w:pPr>
              <w:spacing w:line="360" w:lineRule="auto"/>
              <w:ind w:left="882" w:hanging="882"/>
              <w:jc w:val="both"/>
              <w:rPr>
                <w:rFonts w:ascii="Arial" w:hAnsi="Arial" w:cs="Arial"/>
                <w:bCs/>
                <w:sz w:val="24"/>
                <w:szCs w:val="24"/>
              </w:rPr>
            </w:pPr>
            <w:r w:rsidRPr="00054D32">
              <w:rPr>
                <w:rFonts w:ascii="Arial" w:hAnsi="Arial" w:cs="Arial"/>
                <w:bCs/>
                <w:sz w:val="24"/>
                <w:szCs w:val="24"/>
              </w:rPr>
              <w:t>[3]</w:t>
            </w:r>
            <w:r w:rsidRPr="00054D32">
              <w:rPr>
                <w:rFonts w:ascii="Arial" w:hAnsi="Arial" w:cs="Arial"/>
                <w:bCs/>
                <w:sz w:val="24"/>
                <w:szCs w:val="24"/>
              </w:rPr>
              <w:tab/>
              <w:t>The First Respondent is ordered to pay the appellant’s costs of the appeal on the scale as between party and party which costs are to include the costs consequent upon the engagement of two counsel.</w:t>
            </w:r>
            <w:r w:rsidR="001D7244" w:rsidRPr="005D79B5">
              <w:rPr>
                <w:rFonts w:cs="Arial"/>
                <w:b/>
                <w:bCs/>
                <w:sz w:val="24"/>
                <w:szCs w:val="24"/>
                <w:lang w:val="de-DE"/>
              </w:rPr>
              <w:t xml:space="preserve"> </w:t>
            </w:r>
            <w:bookmarkEnd w:id="1"/>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8E6813">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47DA881F" w:rsidR="00B50E11" w:rsidRPr="00F83944" w:rsidRDefault="00B50E11" w:rsidP="008E6813">
      <w:pPr>
        <w:pStyle w:val="Body"/>
        <w:spacing w:line="360" w:lineRule="auto"/>
        <w:jc w:val="both"/>
        <w:rPr>
          <w:b/>
          <w:sz w:val="24"/>
          <w:szCs w:val="24"/>
          <w:u w:val="single"/>
        </w:rPr>
      </w:pPr>
      <w:r w:rsidRPr="00F83944">
        <w:rPr>
          <w:b/>
          <w:sz w:val="24"/>
          <w:szCs w:val="24"/>
          <w:u w:val="single"/>
        </w:rPr>
        <w:t>MILLAR</w:t>
      </w:r>
      <w:r w:rsidR="004075F2" w:rsidRPr="00F83944">
        <w:rPr>
          <w:b/>
          <w:sz w:val="24"/>
          <w:szCs w:val="24"/>
          <w:u w:val="single"/>
        </w:rPr>
        <w:t xml:space="preserve"> </w:t>
      </w:r>
      <w:r w:rsidRPr="00F83944">
        <w:rPr>
          <w:b/>
          <w:sz w:val="24"/>
          <w:szCs w:val="24"/>
          <w:u w:val="single"/>
        </w:rPr>
        <w:t>J</w:t>
      </w:r>
      <w:r w:rsidR="00572966" w:rsidRPr="00F83944">
        <w:rPr>
          <w:b/>
          <w:sz w:val="24"/>
          <w:szCs w:val="24"/>
          <w:u w:val="single"/>
        </w:rPr>
        <w:t xml:space="preserve">  (ALLY AJ </w:t>
      </w:r>
      <w:r w:rsidR="00F83944" w:rsidRPr="00F83944">
        <w:rPr>
          <w:b/>
          <w:sz w:val="24"/>
          <w:szCs w:val="24"/>
          <w:u w:val="single"/>
        </w:rPr>
        <w:t>CONCURRING</w:t>
      </w:r>
      <w:r w:rsidR="00572966" w:rsidRPr="00F83944">
        <w:rPr>
          <w:b/>
          <w:sz w:val="24"/>
          <w:szCs w:val="24"/>
          <w:u w:val="single"/>
        </w:rPr>
        <w:t>)</w:t>
      </w:r>
    </w:p>
    <w:p w14:paraId="508C58F5" w14:textId="7495D807" w:rsidR="008E6813" w:rsidRDefault="008E6813" w:rsidP="00364832">
      <w:pPr>
        <w:pStyle w:val="Body"/>
        <w:tabs>
          <w:tab w:val="center" w:pos="851"/>
          <w:tab w:val="center" w:pos="1701"/>
          <w:tab w:val="center" w:pos="2552"/>
        </w:tabs>
        <w:spacing w:line="360" w:lineRule="auto"/>
        <w:jc w:val="both"/>
        <w:rPr>
          <w:bCs/>
          <w:sz w:val="24"/>
          <w:szCs w:val="24"/>
        </w:rPr>
      </w:pPr>
    </w:p>
    <w:p w14:paraId="338D7F34" w14:textId="0136F20A" w:rsidR="00340E58" w:rsidRPr="00340E58" w:rsidRDefault="00340E58" w:rsidP="00364832">
      <w:pPr>
        <w:pStyle w:val="Body"/>
        <w:tabs>
          <w:tab w:val="center" w:pos="851"/>
          <w:tab w:val="center" w:pos="1701"/>
          <w:tab w:val="center" w:pos="2552"/>
        </w:tabs>
        <w:spacing w:line="360" w:lineRule="auto"/>
        <w:jc w:val="both"/>
        <w:rPr>
          <w:b/>
          <w:sz w:val="24"/>
          <w:szCs w:val="24"/>
        </w:rPr>
      </w:pPr>
      <w:r w:rsidRPr="00340E58">
        <w:rPr>
          <w:b/>
          <w:sz w:val="24"/>
          <w:szCs w:val="24"/>
        </w:rPr>
        <w:t>BACKGROUND</w:t>
      </w:r>
      <w:r w:rsidR="00417B99">
        <w:rPr>
          <w:b/>
          <w:sz w:val="24"/>
          <w:szCs w:val="24"/>
        </w:rPr>
        <w:t>.</w:t>
      </w:r>
    </w:p>
    <w:p w14:paraId="3AC2EAD1" w14:textId="77777777" w:rsidR="00340E58" w:rsidRPr="008E6813" w:rsidRDefault="00340E58" w:rsidP="00364832">
      <w:pPr>
        <w:pStyle w:val="Body"/>
        <w:tabs>
          <w:tab w:val="center" w:pos="851"/>
          <w:tab w:val="center" w:pos="1701"/>
          <w:tab w:val="center" w:pos="2552"/>
        </w:tabs>
        <w:spacing w:line="360" w:lineRule="auto"/>
        <w:jc w:val="both"/>
        <w:rPr>
          <w:bCs/>
          <w:sz w:val="24"/>
          <w:szCs w:val="24"/>
        </w:rPr>
      </w:pPr>
    </w:p>
    <w:p w14:paraId="5C9AB654" w14:textId="08D97B5A" w:rsidR="00B970F6" w:rsidRPr="0076233B" w:rsidRDefault="00F97696" w:rsidP="00D95EF6">
      <w:pPr>
        <w:pStyle w:val="ListParagraph"/>
        <w:numPr>
          <w:ilvl w:val="0"/>
          <w:numId w:val="15"/>
        </w:numPr>
        <w:spacing w:line="360" w:lineRule="auto"/>
        <w:ind w:left="851" w:hanging="851"/>
        <w:jc w:val="both"/>
        <w:rPr>
          <w:rFonts w:ascii="Arial" w:eastAsia="Calibri" w:hAnsi="Arial" w:cs="Arial"/>
          <w:lang w:val="en-GB"/>
        </w:rPr>
      </w:pPr>
      <w:r w:rsidRPr="006B1733">
        <w:rPr>
          <w:rFonts w:ascii="Arial" w:eastAsia="Calibri" w:hAnsi="Arial" w:cs="Arial"/>
          <w:iCs/>
          <w:lang w:val="en-GB"/>
        </w:rPr>
        <w:t>This is an</w:t>
      </w:r>
      <w:r w:rsidR="00215368" w:rsidRPr="006B1733">
        <w:rPr>
          <w:rFonts w:ascii="Arial" w:eastAsia="Calibri" w:hAnsi="Arial" w:cs="Arial"/>
          <w:iCs/>
          <w:lang w:val="en-GB"/>
        </w:rPr>
        <w:t xml:space="preserve"> appea</w:t>
      </w:r>
      <w:r w:rsidR="006B1733" w:rsidRPr="006B1733">
        <w:rPr>
          <w:rFonts w:ascii="Arial" w:eastAsia="Calibri" w:hAnsi="Arial" w:cs="Arial"/>
          <w:iCs/>
          <w:lang w:val="en-GB"/>
        </w:rPr>
        <w:t>l</w:t>
      </w:r>
      <w:r w:rsidR="00061B93">
        <w:rPr>
          <w:rFonts w:ascii="Arial" w:eastAsia="Calibri" w:hAnsi="Arial" w:cs="Arial"/>
          <w:iCs/>
          <w:lang w:val="en-GB"/>
        </w:rPr>
        <w:t xml:space="preserve"> </w:t>
      </w:r>
      <w:r w:rsidR="006B1733" w:rsidRPr="006B1733">
        <w:rPr>
          <w:rFonts w:ascii="Arial" w:eastAsia="Calibri" w:hAnsi="Arial" w:cs="Arial"/>
          <w:iCs/>
          <w:lang w:val="en-GB"/>
        </w:rPr>
        <w:t xml:space="preserve">by First Group Investment Holdings (Pty) Ltd (FGI) against orders by the second respondent, the National Consumer Tribunal (NCT) dismissing </w:t>
      </w:r>
      <w:r w:rsidR="006D17FB">
        <w:rPr>
          <w:rFonts w:ascii="Arial" w:eastAsia="Calibri" w:hAnsi="Arial" w:cs="Arial"/>
          <w:iCs/>
          <w:lang w:val="en-GB"/>
        </w:rPr>
        <w:t>5</w:t>
      </w:r>
      <w:r w:rsidR="006B1733" w:rsidRPr="006B1733">
        <w:rPr>
          <w:rFonts w:ascii="Arial" w:eastAsia="Calibri" w:hAnsi="Arial" w:cs="Arial"/>
          <w:iCs/>
          <w:lang w:val="en-GB"/>
        </w:rPr>
        <w:t xml:space="preserve"> points</w:t>
      </w:r>
      <w:r w:rsidR="006B1733" w:rsidRPr="006B1733">
        <w:rPr>
          <w:rFonts w:ascii="Arial" w:eastAsia="Calibri" w:hAnsi="Arial" w:cs="Arial"/>
          <w:i/>
          <w:lang w:val="en-GB"/>
        </w:rPr>
        <w:t xml:space="preserve"> in limine </w:t>
      </w:r>
      <w:r w:rsidR="006B1733" w:rsidRPr="006B1733">
        <w:rPr>
          <w:rFonts w:ascii="Arial" w:eastAsia="Calibri" w:hAnsi="Arial" w:cs="Arial"/>
          <w:iCs/>
          <w:lang w:val="en-GB"/>
        </w:rPr>
        <w:t>that were argued before it.  These points were raised in proceedings brought by the first respondent, the National Credit Regulator (NCR) against FGI for an order that it had engaged in what was alleged to be conduct prohibited by the National Credit Act</w:t>
      </w:r>
      <w:r w:rsidR="006B1733">
        <w:rPr>
          <w:rStyle w:val="FootnoteReference"/>
          <w:rFonts w:ascii="Arial" w:eastAsia="Calibri" w:hAnsi="Arial" w:cs="Arial"/>
          <w:iCs/>
          <w:lang w:val="en-GB"/>
        </w:rPr>
        <w:footnoteReference w:id="1"/>
      </w:r>
      <w:r w:rsidR="006B1733">
        <w:rPr>
          <w:rFonts w:ascii="Arial" w:eastAsia="Calibri" w:hAnsi="Arial" w:cs="Arial"/>
          <w:iCs/>
          <w:lang w:val="en-GB"/>
        </w:rPr>
        <w:t xml:space="preserve"> (NCA).</w:t>
      </w:r>
    </w:p>
    <w:p w14:paraId="1A5DED1C" w14:textId="77777777" w:rsidR="0076233B" w:rsidRPr="006B1733" w:rsidRDefault="0076233B" w:rsidP="0076233B">
      <w:pPr>
        <w:pStyle w:val="ListParagraph"/>
        <w:spacing w:line="360" w:lineRule="auto"/>
        <w:ind w:left="851"/>
        <w:jc w:val="both"/>
        <w:rPr>
          <w:rFonts w:ascii="Arial" w:eastAsia="Calibri" w:hAnsi="Arial" w:cs="Arial"/>
          <w:lang w:val="en-GB"/>
        </w:rPr>
      </w:pPr>
    </w:p>
    <w:p w14:paraId="3AC1FBED" w14:textId="11152675" w:rsidR="006B1733" w:rsidRPr="00F15870" w:rsidRDefault="006B1733" w:rsidP="00D95EF6">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iCs/>
          <w:lang w:val="en-GB"/>
        </w:rPr>
        <w:t>The referral to the NCT was made in consequence, not</w:t>
      </w:r>
      <w:r w:rsidR="00F15870">
        <w:rPr>
          <w:rFonts w:ascii="Arial" w:eastAsia="Calibri" w:hAnsi="Arial" w:cs="Arial"/>
          <w:iCs/>
          <w:lang w:val="en-GB"/>
        </w:rPr>
        <w:t xml:space="preserve"> at the instance of a complaint initiated by a third party, but by a complaint initiated by the NCR itself.</w:t>
      </w:r>
    </w:p>
    <w:p w14:paraId="737104F5" w14:textId="77777777" w:rsidR="00F15870" w:rsidRPr="006B1733" w:rsidRDefault="00F15870" w:rsidP="00F15870">
      <w:pPr>
        <w:pStyle w:val="ListParagraph"/>
        <w:spacing w:line="360" w:lineRule="auto"/>
        <w:ind w:left="851"/>
        <w:jc w:val="both"/>
        <w:rPr>
          <w:rFonts w:ascii="Arial" w:eastAsia="Calibri" w:hAnsi="Arial" w:cs="Arial"/>
          <w:lang w:val="en-GB"/>
        </w:rPr>
      </w:pPr>
    </w:p>
    <w:p w14:paraId="5865E31C" w14:textId="72A9F813" w:rsidR="00B970F6" w:rsidRDefault="00F15870" w:rsidP="00C41E7E">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This appeal</w:t>
      </w:r>
      <w:r w:rsidR="00061B93">
        <w:rPr>
          <w:rStyle w:val="FootnoteReference"/>
          <w:rFonts w:ascii="Arial" w:eastAsia="Calibri" w:hAnsi="Arial" w:cs="Arial"/>
          <w:lang w:val="en-GB"/>
        </w:rPr>
        <w:footnoteReference w:id="2"/>
      </w:r>
      <w:r>
        <w:rPr>
          <w:rFonts w:ascii="Arial" w:eastAsia="Calibri" w:hAnsi="Arial" w:cs="Arial"/>
          <w:lang w:val="en-GB"/>
        </w:rPr>
        <w:t xml:space="preserve"> concerns only the genesis of the complaint, the manner in which it was referred to the NCT and then to the proceedings before the NCT.  </w:t>
      </w:r>
      <w:r w:rsidRPr="00C41E7E">
        <w:rPr>
          <w:rFonts w:ascii="Arial" w:eastAsia="Calibri" w:hAnsi="Arial" w:cs="Arial"/>
          <w:lang w:val="en-GB"/>
        </w:rPr>
        <w:t xml:space="preserve">It is common cause that the NCT did not make any finding in respect of the conduct of FGI, electing instead, to postpone this aspect for hearing </w:t>
      </w:r>
      <w:r w:rsidR="00687C00">
        <w:rPr>
          <w:rFonts w:ascii="Arial" w:eastAsia="Calibri" w:hAnsi="Arial" w:cs="Arial"/>
          <w:lang w:val="en-GB"/>
        </w:rPr>
        <w:t>to</w:t>
      </w:r>
      <w:r w:rsidRPr="00C41E7E">
        <w:rPr>
          <w:rFonts w:ascii="Arial" w:eastAsia="Calibri" w:hAnsi="Arial" w:cs="Arial"/>
          <w:lang w:val="en-GB"/>
        </w:rPr>
        <w:t xml:space="preserve"> a later date.</w:t>
      </w:r>
      <w:r w:rsidR="00F10717">
        <w:rPr>
          <w:rStyle w:val="FootnoteReference"/>
          <w:rFonts w:ascii="Arial" w:eastAsia="Calibri" w:hAnsi="Arial" w:cs="Arial"/>
          <w:lang w:val="en-GB"/>
        </w:rPr>
        <w:footnoteReference w:id="3"/>
      </w:r>
    </w:p>
    <w:p w14:paraId="54442F6D" w14:textId="77777777" w:rsidR="00340E58" w:rsidRDefault="00340E58" w:rsidP="00340E58">
      <w:pPr>
        <w:rPr>
          <w:rFonts w:ascii="Arial" w:eastAsia="Calibri" w:hAnsi="Arial" w:cs="Arial"/>
          <w:lang w:val="en-GB"/>
        </w:rPr>
      </w:pPr>
    </w:p>
    <w:p w14:paraId="3C72B728" w14:textId="77777777" w:rsidR="00572966" w:rsidRDefault="00572966" w:rsidP="00340E58">
      <w:pPr>
        <w:rPr>
          <w:rFonts w:ascii="Arial" w:eastAsia="Calibri" w:hAnsi="Arial" w:cs="Arial"/>
          <w:b/>
          <w:bCs/>
          <w:lang w:val="en-GB"/>
        </w:rPr>
      </w:pPr>
    </w:p>
    <w:p w14:paraId="6BAF0683" w14:textId="77777777" w:rsidR="00572966" w:rsidRDefault="00572966" w:rsidP="00340E58">
      <w:pPr>
        <w:rPr>
          <w:rFonts w:ascii="Arial" w:eastAsia="Calibri" w:hAnsi="Arial" w:cs="Arial"/>
          <w:b/>
          <w:bCs/>
          <w:lang w:val="en-GB"/>
        </w:rPr>
      </w:pPr>
    </w:p>
    <w:p w14:paraId="2BE94C62" w14:textId="77777777" w:rsidR="00572966" w:rsidRDefault="00572966" w:rsidP="00340E58">
      <w:pPr>
        <w:rPr>
          <w:rFonts w:ascii="Arial" w:eastAsia="Calibri" w:hAnsi="Arial" w:cs="Arial"/>
          <w:b/>
          <w:bCs/>
          <w:lang w:val="en-GB"/>
        </w:rPr>
      </w:pPr>
    </w:p>
    <w:p w14:paraId="261CB407" w14:textId="118EBCAF" w:rsidR="00340E58" w:rsidRPr="00340E58" w:rsidRDefault="00340E58" w:rsidP="00340E58">
      <w:pPr>
        <w:rPr>
          <w:rFonts w:ascii="Arial" w:eastAsia="Calibri" w:hAnsi="Arial" w:cs="Arial"/>
          <w:b/>
          <w:bCs/>
          <w:lang w:val="en-GB"/>
        </w:rPr>
      </w:pPr>
      <w:r w:rsidRPr="00340E58">
        <w:rPr>
          <w:rFonts w:ascii="Arial" w:eastAsia="Calibri" w:hAnsi="Arial" w:cs="Arial"/>
          <w:b/>
          <w:bCs/>
          <w:lang w:val="en-GB"/>
        </w:rPr>
        <w:t>THE FINDINGS AND ORDER OF THE NCT</w:t>
      </w:r>
      <w:r w:rsidR="00417B99">
        <w:rPr>
          <w:rFonts w:ascii="Arial" w:eastAsia="Calibri" w:hAnsi="Arial" w:cs="Arial"/>
          <w:b/>
          <w:bCs/>
          <w:lang w:val="en-GB"/>
        </w:rPr>
        <w:t>.</w:t>
      </w:r>
    </w:p>
    <w:p w14:paraId="5A88F8E2" w14:textId="77777777" w:rsidR="00340E58" w:rsidRDefault="00340E58" w:rsidP="00340E58">
      <w:pPr>
        <w:rPr>
          <w:rFonts w:ascii="Arial" w:eastAsia="Calibri" w:hAnsi="Arial" w:cs="Arial"/>
          <w:lang w:val="en-GB"/>
        </w:rPr>
      </w:pPr>
    </w:p>
    <w:p w14:paraId="389A2011" w14:textId="77777777" w:rsidR="00340E58" w:rsidRPr="00340E58" w:rsidRDefault="00340E58" w:rsidP="00340E58">
      <w:pPr>
        <w:rPr>
          <w:rFonts w:ascii="Arial" w:eastAsia="Calibri" w:hAnsi="Arial" w:cs="Arial"/>
          <w:lang w:val="en-GB"/>
        </w:rPr>
      </w:pPr>
    </w:p>
    <w:p w14:paraId="18F45E25" w14:textId="63F22578" w:rsidR="00C41E7E" w:rsidRDefault="00C41E7E" w:rsidP="00C41E7E">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 xml:space="preserve">The findings of the NCT in respect of the points </w:t>
      </w:r>
      <w:r w:rsidRPr="000B0B55">
        <w:rPr>
          <w:rFonts w:ascii="Arial" w:eastAsia="Calibri" w:hAnsi="Arial" w:cs="Arial"/>
          <w:i/>
          <w:iCs/>
          <w:lang w:val="en-GB"/>
        </w:rPr>
        <w:t>in limine</w:t>
      </w:r>
      <w:r>
        <w:rPr>
          <w:rFonts w:ascii="Arial" w:eastAsia="Calibri" w:hAnsi="Arial" w:cs="Arial"/>
          <w:lang w:val="en-GB"/>
        </w:rPr>
        <w:t xml:space="preserve"> and which are challenged in this appeal, are as follows:</w:t>
      </w:r>
    </w:p>
    <w:p w14:paraId="66D12EC8" w14:textId="77777777" w:rsidR="00C41E7E" w:rsidRPr="00C41E7E" w:rsidRDefault="00C41E7E" w:rsidP="00C41E7E">
      <w:pPr>
        <w:pStyle w:val="ListParagraph"/>
        <w:rPr>
          <w:rFonts w:ascii="Arial" w:eastAsia="Calibri" w:hAnsi="Arial" w:cs="Arial"/>
          <w:lang w:val="en-GB"/>
        </w:rPr>
      </w:pPr>
    </w:p>
    <w:p w14:paraId="7864DF8D" w14:textId="41BD1A38"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r w:rsidRPr="000B0B55">
        <w:rPr>
          <w:rFonts w:ascii="Arial" w:eastAsia="Calibri" w:hAnsi="Arial" w:cs="Arial"/>
          <w:i/>
          <w:iCs/>
          <w:sz w:val="22"/>
          <w:szCs w:val="22"/>
          <w:lang w:val="en-GB"/>
        </w:rPr>
        <w:t>“(i)</w:t>
      </w:r>
      <w:r w:rsidRPr="000B0B55">
        <w:rPr>
          <w:rFonts w:ascii="Arial" w:eastAsia="Calibri" w:hAnsi="Arial" w:cs="Arial"/>
          <w:i/>
          <w:iCs/>
          <w:sz w:val="22"/>
          <w:szCs w:val="22"/>
          <w:lang w:val="en-GB"/>
        </w:rPr>
        <w:tab/>
        <w:t>There is prima facie proof that the application was duly authorised, and Ms Schwartz was authorised to act on behalf of the Applicant;</w:t>
      </w:r>
    </w:p>
    <w:p w14:paraId="65879AA4" w14:textId="77777777"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p>
    <w:p w14:paraId="5B94641A" w14:textId="4C7E70D4"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r w:rsidRPr="000B0B55">
        <w:rPr>
          <w:rFonts w:ascii="Arial" w:eastAsia="Calibri" w:hAnsi="Arial" w:cs="Arial"/>
          <w:i/>
          <w:iCs/>
          <w:sz w:val="22"/>
          <w:szCs w:val="22"/>
          <w:lang w:val="en-GB"/>
        </w:rPr>
        <w:t>(ii)</w:t>
      </w:r>
      <w:r w:rsidRPr="000B0B55">
        <w:rPr>
          <w:rFonts w:ascii="Arial" w:eastAsia="Calibri" w:hAnsi="Arial" w:cs="Arial"/>
          <w:i/>
          <w:iCs/>
          <w:sz w:val="22"/>
          <w:szCs w:val="22"/>
          <w:lang w:val="en-GB"/>
        </w:rPr>
        <w:tab/>
        <w:t>Whether the evidence tendered by the applicant constitutes inadmissible hearsay evidence can be determined in the main application;</w:t>
      </w:r>
    </w:p>
    <w:p w14:paraId="2675ADE2" w14:textId="0B9C8388"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p>
    <w:p w14:paraId="0E6EB660" w14:textId="52582C33"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r w:rsidRPr="000B0B55">
        <w:rPr>
          <w:rFonts w:ascii="Arial" w:eastAsia="Calibri" w:hAnsi="Arial" w:cs="Arial"/>
          <w:i/>
          <w:iCs/>
          <w:sz w:val="22"/>
          <w:szCs w:val="22"/>
          <w:lang w:val="en-GB"/>
        </w:rPr>
        <w:t>(iii)</w:t>
      </w:r>
      <w:r w:rsidRPr="000B0B55">
        <w:rPr>
          <w:rFonts w:ascii="Arial" w:eastAsia="Calibri" w:hAnsi="Arial" w:cs="Arial"/>
          <w:i/>
          <w:iCs/>
          <w:sz w:val="22"/>
          <w:szCs w:val="22"/>
          <w:lang w:val="en-GB"/>
        </w:rPr>
        <w:tab/>
        <w:t>The Applicant had a reasonable suspicion to investigate the Respondent’s alleged engagement in prohibited conduct.</w:t>
      </w:r>
    </w:p>
    <w:p w14:paraId="683F3364" w14:textId="5BA36363"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p>
    <w:p w14:paraId="2628A190" w14:textId="536F4EA3"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r w:rsidRPr="000B0B55">
        <w:rPr>
          <w:rFonts w:ascii="Arial" w:eastAsia="Calibri" w:hAnsi="Arial" w:cs="Arial"/>
          <w:i/>
          <w:iCs/>
          <w:sz w:val="22"/>
          <w:szCs w:val="22"/>
          <w:lang w:val="en-GB"/>
        </w:rPr>
        <w:t>(iv)</w:t>
      </w:r>
      <w:r w:rsidRPr="000B0B55">
        <w:rPr>
          <w:rFonts w:ascii="Arial" w:eastAsia="Calibri" w:hAnsi="Arial" w:cs="Arial"/>
          <w:i/>
          <w:iCs/>
          <w:sz w:val="22"/>
          <w:szCs w:val="22"/>
          <w:lang w:val="en-GB"/>
        </w:rPr>
        <w:tab/>
        <w:t>The scope of the investigation was within the authority of the Applicant and the parameters of the NCA; and</w:t>
      </w:r>
    </w:p>
    <w:p w14:paraId="42D88DA8" w14:textId="08BF2B7E"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p>
    <w:p w14:paraId="28F442DD" w14:textId="5D549622" w:rsidR="00C41E7E" w:rsidRPr="000B0B55" w:rsidRDefault="00C41E7E" w:rsidP="000B0B55">
      <w:pPr>
        <w:pStyle w:val="ListParagraph"/>
        <w:spacing w:line="360" w:lineRule="auto"/>
        <w:ind w:left="2268" w:hanging="850"/>
        <w:jc w:val="both"/>
        <w:rPr>
          <w:rFonts w:ascii="Arial" w:eastAsia="Calibri" w:hAnsi="Arial" w:cs="Arial"/>
          <w:i/>
          <w:iCs/>
          <w:sz w:val="22"/>
          <w:szCs w:val="22"/>
          <w:lang w:val="en-GB"/>
        </w:rPr>
      </w:pPr>
      <w:r w:rsidRPr="000B0B55">
        <w:rPr>
          <w:rFonts w:ascii="Arial" w:eastAsia="Calibri" w:hAnsi="Arial" w:cs="Arial"/>
          <w:i/>
          <w:iCs/>
          <w:sz w:val="22"/>
          <w:szCs w:val="22"/>
          <w:lang w:val="en-GB"/>
        </w:rPr>
        <w:t>(v)</w:t>
      </w:r>
      <w:r w:rsidRPr="000B0B55">
        <w:rPr>
          <w:rFonts w:ascii="Arial" w:eastAsia="Calibri" w:hAnsi="Arial" w:cs="Arial"/>
          <w:i/>
          <w:iCs/>
          <w:sz w:val="22"/>
          <w:szCs w:val="22"/>
          <w:lang w:val="en-GB"/>
        </w:rPr>
        <w:tab/>
        <w:t>The report compiled by the Applicant’s inspector, Phalanndwa, was materially sufficient to launch this application.”</w:t>
      </w:r>
    </w:p>
    <w:p w14:paraId="014A4F41" w14:textId="77777777" w:rsidR="00B970F6" w:rsidRPr="00B970F6" w:rsidRDefault="00B970F6" w:rsidP="00B970F6">
      <w:pPr>
        <w:pStyle w:val="ListParagraph"/>
        <w:rPr>
          <w:rFonts w:ascii="Arial" w:eastAsia="Calibri" w:hAnsi="Arial" w:cs="Arial"/>
          <w:lang w:val="en-GB"/>
        </w:rPr>
      </w:pPr>
    </w:p>
    <w:p w14:paraId="24F6A8A0" w14:textId="5487F1BF" w:rsidR="00442252" w:rsidRDefault="00442252" w:rsidP="00F10717">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Having made those findings, the NCT then ordered that:</w:t>
      </w:r>
    </w:p>
    <w:p w14:paraId="7E5209F8" w14:textId="2C556A47" w:rsidR="00442252" w:rsidRDefault="00442252" w:rsidP="00442252">
      <w:pPr>
        <w:pStyle w:val="ListParagraph"/>
        <w:spacing w:line="360" w:lineRule="auto"/>
        <w:ind w:left="851"/>
        <w:jc w:val="both"/>
        <w:rPr>
          <w:rFonts w:ascii="Arial" w:eastAsia="Calibri" w:hAnsi="Arial" w:cs="Arial"/>
          <w:lang w:val="en-GB"/>
        </w:rPr>
      </w:pPr>
    </w:p>
    <w:p w14:paraId="63DAF0F2" w14:textId="0C37C1E8" w:rsidR="00442252" w:rsidRPr="00442252" w:rsidRDefault="00442252" w:rsidP="00442252">
      <w:pPr>
        <w:pStyle w:val="ListParagraph"/>
        <w:spacing w:line="360" w:lineRule="auto"/>
        <w:ind w:left="2268" w:hanging="850"/>
        <w:jc w:val="both"/>
        <w:rPr>
          <w:rFonts w:ascii="Arial" w:eastAsia="Calibri" w:hAnsi="Arial" w:cs="Arial"/>
          <w:i/>
          <w:iCs/>
          <w:sz w:val="22"/>
          <w:szCs w:val="22"/>
          <w:lang w:val="en-GB"/>
        </w:rPr>
      </w:pPr>
      <w:r w:rsidRPr="00442252">
        <w:rPr>
          <w:rFonts w:ascii="Arial" w:eastAsia="Calibri" w:hAnsi="Arial" w:cs="Arial"/>
          <w:i/>
          <w:iCs/>
          <w:sz w:val="22"/>
          <w:szCs w:val="22"/>
          <w:lang w:val="en-GB"/>
        </w:rPr>
        <w:t>“59.1</w:t>
      </w:r>
      <w:r w:rsidRPr="00442252">
        <w:rPr>
          <w:rFonts w:ascii="Arial" w:eastAsia="Calibri" w:hAnsi="Arial" w:cs="Arial"/>
          <w:i/>
          <w:iCs/>
          <w:sz w:val="22"/>
          <w:szCs w:val="22"/>
          <w:lang w:val="en-GB"/>
        </w:rPr>
        <w:tab/>
        <w:t>The Respondent’s 5 points in limine are dismissed;</w:t>
      </w:r>
    </w:p>
    <w:p w14:paraId="52168ADE" w14:textId="45DA3938" w:rsidR="00442252" w:rsidRPr="00442252" w:rsidRDefault="00442252" w:rsidP="00442252">
      <w:pPr>
        <w:pStyle w:val="ListParagraph"/>
        <w:spacing w:line="360" w:lineRule="auto"/>
        <w:ind w:left="2268" w:hanging="850"/>
        <w:jc w:val="both"/>
        <w:rPr>
          <w:rFonts w:ascii="Arial" w:eastAsia="Calibri" w:hAnsi="Arial" w:cs="Arial"/>
          <w:i/>
          <w:iCs/>
          <w:sz w:val="22"/>
          <w:szCs w:val="22"/>
          <w:lang w:val="en-GB"/>
        </w:rPr>
      </w:pPr>
    </w:p>
    <w:p w14:paraId="5FD1F9A0" w14:textId="52F1B518" w:rsidR="00442252" w:rsidRPr="00442252" w:rsidRDefault="00442252" w:rsidP="00442252">
      <w:pPr>
        <w:pStyle w:val="ListParagraph"/>
        <w:spacing w:line="360" w:lineRule="auto"/>
        <w:ind w:left="2268" w:hanging="850"/>
        <w:jc w:val="both"/>
        <w:rPr>
          <w:rFonts w:ascii="Arial" w:eastAsia="Calibri" w:hAnsi="Arial" w:cs="Arial"/>
          <w:i/>
          <w:iCs/>
          <w:sz w:val="22"/>
          <w:szCs w:val="22"/>
          <w:lang w:val="en-GB"/>
        </w:rPr>
      </w:pPr>
      <w:r w:rsidRPr="00442252">
        <w:rPr>
          <w:rFonts w:ascii="Arial" w:eastAsia="Calibri" w:hAnsi="Arial" w:cs="Arial"/>
          <w:i/>
          <w:iCs/>
          <w:sz w:val="22"/>
          <w:szCs w:val="22"/>
          <w:lang w:val="en-GB"/>
        </w:rPr>
        <w:t>59.2</w:t>
      </w:r>
      <w:r w:rsidRPr="00442252">
        <w:rPr>
          <w:rFonts w:ascii="Arial" w:eastAsia="Calibri" w:hAnsi="Arial" w:cs="Arial"/>
          <w:i/>
          <w:iCs/>
          <w:sz w:val="22"/>
          <w:szCs w:val="22"/>
          <w:lang w:val="en-GB"/>
        </w:rPr>
        <w:tab/>
        <w:t>The main application may proceed;</w:t>
      </w:r>
    </w:p>
    <w:p w14:paraId="1DBD4804" w14:textId="01808352" w:rsidR="00442252" w:rsidRPr="00442252" w:rsidRDefault="00442252" w:rsidP="00442252">
      <w:pPr>
        <w:pStyle w:val="ListParagraph"/>
        <w:spacing w:line="360" w:lineRule="auto"/>
        <w:ind w:left="2268" w:hanging="850"/>
        <w:jc w:val="both"/>
        <w:rPr>
          <w:rFonts w:ascii="Arial" w:eastAsia="Calibri" w:hAnsi="Arial" w:cs="Arial"/>
          <w:i/>
          <w:iCs/>
          <w:sz w:val="22"/>
          <w:szCs w:val="22"/>
          <w:lang w:val="en-GB"/>
        </w:rPr>
      </w:pPr>
    </w:p>
    <w:p w14:paraId="3A3A874E" w14:textId="64316041" w:rsidR="00442252" w:rsidRPr="00442252" w:rsidRDefault="00442252" w:rsidP="00442252">
      <w:pPr>
        <w:pStyle w:val="ListParagraph"/>
        <w:spacing w:line="360" w:lineRule="auto"/>
        <w:ind w:left="2268" w:hanging="850"/>
        <w:jc w:val="both"/>
        <w:rPr>
          <w:rFonts w:ascii="Arial" w:eastAsia="Calibri" w:hAnsi="Arial" w:cs="Arial"/>
          <w:i/>
          <w:iCs/>
          <w:sz w:val="22"/>
          <w:szCs w:val="22"/>
          <w:lang w:val="en-GB"/>
        </w:rPr>
      </w:pPr>
      <w:r w:rsidRPr="00442252">
        <w:rPr>
          <w:rFonts w:ascii="Arial" w:eastAsia="Calibri" w:hAnsi="Arial" w:cs="Arial"/>
          <w:i/>
          <w:iCs/>
          <w:sz w:val="22"/>
          <w:szCs w:val="22"/>
          <w:lang w:val="en-GB"/>
        </w:rPr>
        <w:t>59.3</w:t>
      </w:r>
      <w:r w:rsidRPr="00442252">
        <w:rPr>
          <w:rFonts w:ascii="Arial" w:eastAsia="Calibri" w:hAnsi="Arial" w:cs="Arial"/>
          <w:i/>
          <w:iCs/>
          <w:sz w:val="22"/>
          <w:szCs w:val="22"/>
          <w:lang w:val="en-GB"/>
        </w:rPr>
        <w:tab/>
        <w:t>The Registrar must set the application down for hearing after the adjudication of the Applicant’s condonation application; and</w:t>
      </w:r>
    </w:p>
    <w:p w14:paraId="5546913A" w14:textId="0F3E4254" w:rsidR="00442252" w:rsidRPr="00442252" w:rsidRDefault="00442252" w:rsidP="00442252">
      <w:pPr>
        <w:pStyle w:val="ListParagraph"/>
        <w:spacing w:line="360" w:lineRule="auto"/>
        <w:ind w:left="2268" w:hanging="850"/>
        <w:jc w:val="both"/>
        <w:rPr>
          <w:rFonts w:ascii="Arial" w:eastAsia="Calibri" w:hAnsi="Arial" w:cs="Arial"/>
          <w:i/>
          <w:iCs/>
          <w:sz w:val="22"/>
          <w:szCs w:val="22"/>
          <w:lang w:val="en-GB"/>
        </w:rPr>
      </w:pPr>
    </w:p>
    <w:p w14:paraId="62834557" w14:textId="54C19B3A" w:rsidR="00442252" w:rsidRPr="00442252" w:rsidRDefault="00442252" w:rsidP="00442252">
      <w:pPr>
        <w:pStyle w:val="ListParagraph"/>
        <w:spacing w:line="360" w:lineRule="auto"/>
        <w:ind w:left="2268" w:hanging="850"/>
        <w:jc w:val="both"/>
        <w:rPr>
          <w:rFonts w:ascii="Arial" w:eastAsia="Calibri" w:hAnsi="Arial" w:cs="Arial"/>
          <w:i/>
          <w:iCs/>
          <w:sz w:val="22"/>
          <w:szCs w:val="22"/>
          <w:lang w:val="en-GB"/>
        </w:rPr>
      </w:pPr>
      <w:r w:rsidRPr="00442252">
        <w:rPr>
          <w:rFonts w:ascii="Arial" w:eastAsia="Calibri" w:hAnsi="Arial" w:cs="Arial"/>
          <w:i/>
          <w:iCs/>
          <w:sz w:val="22"/>
          <w:szCs w:val="22"/>
          <w:lang w:val="en-GB"/>
        </w:rPr>
        <w:t>59.4</w:t>
      </w:r>
      <w:r w:rsidRPr="00442252">
        <w:rPr>
          <w:rFonts w:ascii="Arial" w:eastAsia="Calibri" w:hAnsi="Arial" w:cs="Arial"/>
          <w:i/>
          <w:iCs/>
          <w:sz w:val="22"/>
          <w:szCs w:val="22"/>
          <w:lang w:val="en-GB"/>
        </w:rPr>
        <w:tab/>
        <w:t>No order is made as to costs.</w:t>
      </w:r>
    </w:p>
    <w:p w14:paraId="5834B894" w14:textId="23A79AFE" w:rsidR="00442252" w:rsidRPr="002139C2" w:rsidRDefault="00442252" w:rsidP="002139C2">
      <w:pPr>
        <w:spacing w:line="360" w:lineRule="auto"/>
        <w:jc w:val="both"/>
        <w:rPr>
          <w:rFonts w:ascii="Arial" w:eastAsia="Calibri" w:hAnsi="Arial" w:cs="Arial"/>
          <w:lang w:val="en-GB"/>
        </w:rPr>
      </w:pPr>
    </w:p>
    <w:p w14:paraId="3EFDD0C0" w14:textId="2A3E2447" w:rsidR="00AE3EC4" w:rsidRDefault="002139C2" w:rsidP="00F10717">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 xml:space="preserve">Insofar as the findings made in each of the points </w:t>
      </w:r>
      <w:r w:rsidRPr="002139C2">
        <w:rPr>
          <w:rFonts w:ascii="Arial" w:eastAsia="Calibri" w:hAnsi="Arial" w:cs="Arial"/>
          <w:i/>
          <w:iCs/>
          <w:lang w:val="en-GB"/>
        </w:rPr>
        <w:t>in limine</w:t>
      </w:r>
      <w:r>
        <w:rPr>
          <w:rFonts w:ascii="Arial" w:eastAsia="Calibri" w:hAnsi="Arial" w:cs="Arial"/>
          <w:lang w:val="en-GB"/>
        </w:rPr>
        <w:t xml:space="preserve"> are concerned, </w:t>
      </w:r>
      <w:r w:rsidR="00AE3EC4">
        <w:rPr>
          <w:rFonts w:ascii="Arial" w:eastAsia="Calibri" w:hAnsi="Arial" w:cs="Arial"/>
          <w:lang w:val="en-GB"/>
        </w:rPr>
        <w:t>it is in respect of each of these that this appeal has been brought.</w:t>
      </w:r>
    </w:p>
    <w:p w14:paraId="2D02790F" w14:textId="77777777" w:rsidR="00AE3EC4" w:rsidRDefault="00AE3EC4" w:rsidP="00AE3EC4">
      <w:pPr>
        <w:pStyle w:val="ListParagraph"/>
        <w:spacing w:line="360" w:lineRule="auto"/>
        <w:ind w:left="851"/>
        <w:jc w:val="both"/>
        <w:rPr>
          <w:rFonts w:ascii="Arial" w:eastAsia="Calibri" w:hAnsi="Arial" w:cs="Arial"/>
          <w:lang w:val="en-GB"/>
        </w:rPr>
      </w:pPr>
    </w:p>
    <w:p w14:paraId="73BAA8DE" w14:textId="77777777" w:rsidR="00572966" w:rsidRDefault="00572966" w:rsidP="00340E58">
      <w:pPr>
        <w:rPr>
          <w:rFonts w:ascii="Arial" w:eastAsia="Calibri" w:hAnsi="Arial" w:cs="Arial"/>
          <w:b/>
          <w:bCs/>
          <w:iCs/>
          <w:lang w:val="en-GB"/>
        </w:rPr>
      </w:pPr>
    </w:p>
    <w:p w14:paraId="2004810A" w14:textId="30241808" w:rsidR="00340E58" w:rsidRPr="00340E58" w:rsidRDefault="00340E58" w:rsidP="00340E58">
      <w:pPr>
        <w:rPr>
          <w:rFonts w:ascii="Arial" w:eastAsia="Calibri" w:hAnsi="Arial" w:cs="Arial"/>
          <w:b/>
          <w:bCs/>
          <w:iCs/>
          <w:lang w:val="en-GB"/>
        </w:rPr>
      </w:pPr>
      <w:r w:rsidRPr="00340E58">
        <w:rPr>
          <w:rFonts w:ascii="Arial" w:eastAsia="Calibri" w:hAnsi="Arial" w:cs="Arial"/>
          <w:b/>
          <w:bCs/>
          <w:iCs/>
          <w:lang w:val="en-GB"/>
        </w:rPr>
        <w:t xml:space="preserve">THE </w:t>
      </w:r>
      <w:r>
        <w:rPr>
          <w:rFonts w:ascii="Arial" w:eastAsia="Calibri" w:hAnsi="Arial" w:cs="Arial"/>
          <w:b/>
          <w:bCs/>
          <w:iCs/>
          <w:lang w:val="en-GB"/>
        </w:rPr>
        <w:t>COMPLAINT, INVESTIGATION AND SUBSEQUENT REFERRAL</w:t>
      </w:r>
      <w:r w:rsidR="00417B99">
        <w:rPr>
          <w:rFonts w:ascii="Arial" w:eastAsia="Calibri" w:hAnsi="Arial" w:cs="Arial"/>
          <w:b/>
          <w:bCs/>
          <w:iCs/>
          <w:lang w:val="en-GB"/>
        </w:rPr>
        <w:t>.</w:t>
      </w:r>
    </w:p>
    <w:p w14:paraId="2BF0E58B" w14:textId="77777777" w:rsidR="00340E58" w:rsidRDefault="00340E58" w:rsidP="00340E58">
      <w:pPr>
        <w:rPr>
          <w:rFonts w:ascii="Arial" w:eastAsia="Calibri" w:hAnsi="Arial" w:cs="Arial"/>
          <w:iCs/>
          <w:lang w:val="en-GB"/>
        </w:rPr>
      </w:pPr>
    </w:p>
    <w:p w14:paraId="734F10C1" w14:textId="77777777" w:rsidR="00340E58" w:rsidRPr="00340E58" w:rsidRDefault="00340E58" w:rsidP="00340E58">
      <w:pPr>
        <w:rPr>
          <w:rFonts w:ascii="Arial" w:eastAsia="Calibri" w:hAnsi="Arial" w:cs="Arial"/>
          <w:iCs/>
          <w:lang w:val="en-GB"/>
        </w:rPr>
      </w:pPr>
    </w:p>
    <w:p w14:paraId="7F3B0AE9" w14:textId="3E4FC413" w:rsidR="00740A28" w:rsidRPr="0013361F" w:rsidRDefault="00F10717" w:rsidP="00F10717">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iCs/>
          <w:lang w:val="en-GB"/>
        </w:rPr>
        <w:t xml:space="preserve">The NCA was enacted </w:t>
      </w:r>
      <w:r w:rsidRPr="00F10717">
        <w:rPr>
          <w:rFonts w:ascii="Arial" w:eastAsia="Calibri" w:hAnsi="Arial" w:cs="Arial"/>
          <w:i/>
          <w:lang w:val="en-GB"/>
        </w:rPr>
        <w:t>inter alia</w:t>
      </w:r>
      <w:r>
        <w:rPr>
          <w:rFonts w:ascii="Arial" w:eastAsia="Calibri" w:hAnsi="Arial" w:cs="Arial"/>
          <w:iCs/>
          <w:lang w:val="en-GB"/>
        </w:rPr>
        <w:t xml:space="preserve"> </w:t>
      </w:r>
      <w:r w:rsidR="0013361F">
        <w:rPr>
          <w:rFonts w:ascii="Arial" w:eastAsia="Calibri" w:hAnsi="Arial" w:cs="Arial"/>
          <w:iCs/>
          <w:lang w:val="en-GB"/>
        </w:rPr>
        <w:t xml:space="preserve">and relevant to the present matter, </w:t>
      </w:r>
      <w:r w:rsidR="00215368" w:rsidRPr="003473B8">
        <w:rPr>
          <w:rFonts w:ascii="Arial" w:eastAsia="Calibri" w:hAnsi="Arial" w:cs="Arial"/>
          <w:i/>
          <w:lang w:val="en-GB"/>
        </w:rPr>
        <w:t>”</w:t>
      </w:r>
      <w:r w:rsidRPr="003473B8">
        <w:rPr>
          <w:rFonts w:ascii="Arial" w:eastAsia="Calibri" w:hAnsi="Arial" w:cs="Arial"/>
          <w:i/>
          <w:lang w:val="en-GB"/>
        </w:rPr>
        <w:t xml:space="preserve">. . . </w:t>
      </w:r>
      <w:r w:rsidR="00215368" w:rsidRPr="003473B8">
        <w:rPr>
          <w:rFonts w:ascii="Arial" w:eastAsia="Calibri" w:hAnsi="Arial" w:cs="Arial"/>
          <w:i/>
          <w:lang w:val="en-GB"/>
        </w:rPr>
        <w:t>to promote a consistent enforcement framework relating to consumer credit</w:t>
      </w:r>
      <w:r w:rsidR="0013361F" w:rsidRPr="003473B8">
        <w:rPr>
          <w:rFonts w:ascii="Arial" w:eastAsia="Calibri" w:hAnsi="Arial" w:cs="Arial"/>
          <w:i/>
          <w:lang w:val="en-GB"/>
        </w:rPr>
        <w:t xml:space="preserve"> . . .</w:t>
      </w:r>
      <w:r w:rsidR="00215368" w:rsidRPr="003473B8">
        <w:rPr>
          <w:rFonts w:ascii="Arial" w:eastAsia="Calibri" w:hAnsi="Arial" w:cs="Arial"/>
          <w:i/>
          <w:lang w:val="en-GB"/>
        </w:rPr>
        <w:t>”</w:t>
      </w:r>
      <w:r w:rsidR="003473B8">
        <w:rPr>
          <w:rFonts w:ascii="Arial" w:eastAsia="Calibri" w:hAnsi="Arial" w:cs="Arial"/>
          <w:i/>
          <w:lang w:val="en-GB"/>
        </w:rPr>
        <w:t xml:space="preserve"> </w:t>
      </w:r>
      <w:r w:rsidR="00215368" w:rsidRPr="003473B8">
        <w:rPr>
          <w:rStyle w:val="FootnoteReference"/>
          <w:rFonts w:ascii="Arial" w:eastAsia="Calibri" w:hAnsi="Arial" w:cs="Arial"/>
          <w:i/>
          <w:lang w:val="en-GB"/>
        </w:rPr>
        <w:footnoteReference w:id="4"/>
      </w:r>
    </w:p>
    <w:p w14:paraId="1E1CF998" w14:textId="77777777" w:rsidR="0013361F" w:rsidRPr="0013361F" w:rsidRDefault="0013361F" w:rsidP="0013361F">
      <w:pPr>
        <w:pStyle w:val="ListParagraph"/>
        <w:rPr>
          <w:rFonts w:ascii="Arial" w:eastAsia="Calibri" w:hAnsi="Arial" w:cs="Arial"/>
          <w:lang w:val="en-GB"/>
        </w:rPr>
      </w:pPr>
    </w:p>
    <w:p w14:paraId="524A887C" w14:textId="3BEE87B9" w:rsidR="00F46ECA" w:rsidRPr="00F46ECA" w:rsidRDefault="00215368" w:rsidP="00F46ECA">
      <w:pPr>
        <w:pStyle w:val="ListParagraph"/>
        <w:numPr>
          <w:ilvl w:val="0"/>
          <w:numId w:val="15"/>
        </w:numPr>
        <w:spacing w:line="360" w:lineRule="auto"/>
        <w:ind w:left="851" w:hanging="851"/>
        <w:jc w:val="both"/>
        <w:rPr>
          <w:rFonts w:ascii="Arial" w:eastAsia="Calibri" w:hAnsi="Arial" w:cs="Arial"/>
          <w:lang w:val="en-GB"/>
        </w:rPr>
      </w:pPr>
      <w:r w:rsidRPr="00F46ECA">
        <w:rPr>
          <w:rFonts w:ascii="Arial" w:eastAsia="Calibri" w:hAnsi="Arial" w:cs="Arial"/>
          <w:iCs/>
          <w:lang w:val="en-GB"/>
        </w:rPr>
        <w:t xml:space="preserve">Section 136 </w:t>
      </w:r>
      <w:r w:rsidR="00F46ECA">
        <w:rPr>
          <w:rFonts w:ascii="Arial" w:eastAsia="Calibri" w:hAnsi="Arial" w:cs="Arial"/>
          <w:iCs/>
          <w:lang w:val="en-GB"/>
        </w:rPr>
        <w:t xml:space="preserve">of the NCA </w:t>
      </w:r>
      <w:r w:rsidRPr="00F46ECA">
        <w:rPr>
          <w:rFonts w:ascii="Arial" w:eastAsia="Calibri" w:hAnsi="Arial" w:cs="Arial"/>
          <w:iCs/>
          <w:lang w:val="en-GB"/>
        </w:rPr>
        <w:t>provides that a complaint may be initiated to the NCR in one of two ways</w:t>
      </w:r>
      <w:r w:rsidR="00F46ECA">
        <w:rPr>
          <w:rFonts w:ascii="Arial" w:eastAsia="Calibri" w:hAnsi="Arial" w:cs="Arial"/>
          <w:iCs/>
          <w:lang w:val="en-GB"/>
        </w:rPr>
        <w:t xml:space="preserve"> –</w:t>
      </w:r>
    </w:p>
    <w:p w14:paraId="48D9919C" w14:textId="77777777" w:rsidR="00F46ECA" w:rsidRPr="00F46ECA" w:rsidRDefault="00F46ECA" w:rsidP="00F46ECA">
      <w:pPr>
        <w:pStyle w:val="ListParagraph"/>
        <w:rPr>
          <w:rFonts w:ascii="Arial" w:eastAsia="Calibri" w:hAnsi="Arial" w:cs="Arial"/>
          <w:iCs/>
          <w:lang w:val="en-GB"/>
        </w:rPr>
      </w:pPr>
    </w:p>
    <w:p w14:paraId="78631358" w14:textId="5DE92AA9" w:rsidR="00F26C67" w:rsidRDefault="00F46ECA" w:rsidP="00F26C67">
      <w:pPr>
        <w:pStyle w:val="ListParagraph"/>
        <w:spacing w:line="360" w:lineRule="auto"/>
        <w:ind w:left="1843" w:hanging="992"/>
        <w:jc w:val="both"/>
        <w:rPr>
          <w:rFonts w:ascii="Arial" w:eastAsia="Calibri" w:hAnsi="Arial" w:cs="Arial"/>
          <w:iCs/>
          <w:lang w:val="en-GB"/>
        </w:rPr>
      </w:pPr>
      <w:r>
        <w:rPr>
          <w:rFonts w:ascii="Arial" w:eastAsia="Calibri" w:hAnsi="Arial" w:cs="Arial"/>
          <w:iCs/>
          <w:lang w:val="en-GB"/>
        </w:rPr>
        <w:t>[</w:t>
      </w:r>
      <w:r w:rsidR="00572966">
        <w:rPr>
          <w:rFonts w:ascii="Arial" w:eastAsia="Calibri" w:hAnsi="Arial" w:cs="Arial"/>
          <w:iCs/>
          <w:lang w:val="en-GB"/>
        </w:rPr>
        <w:t>8</w:t>
      </w:r>
      <w:r>
        <w:rPr>
          <w:rFonts w:ascii="Arial" w:eastAsia="Calibri" w:hAnsi="Arial" w:cs="Arial"/>
          <w:iCs/>
          <w:lang w:val="en-GB"/>
        </w:rPr>
        <w:t>.1]</w:t>
      </w:r>
      <w:r>
        <w:rPr>
          <w:rFonts w:ascii="Arial" w:eastAsia="Calibri" w:hAnsi="Arial" w:cs="Arial"/>
          <w:iCs/>
          <w:lang w:val="en-GB"/>
        </w:rPr>
        <w:tab/>
      </w:r>
      <w:r w:rsidR="00215368" w:rsidRPr="00F46ECA">
        <w:rPr>
          <w:rFonts w:ascii="Arial" w:eastAsia="Calibri" w:hAnsi="Arial" w:cs="Arial"/>
          <w:iCs/>
          <w:lang w:val="en-GB"/>
        </w:rPr>
        <w:t>The first is by any person who has a complaint</w:t>
      </w:r>
      <w:r w:rsidR="00215368">
        <w:rPr>
          <w:rStyle w:val="FootnoteReference"/>
          <w:rFonts w:ascii="Arial" w:eastAsia="Calibri" w:hAnsi="Arial" w:cs="Arial"/>
          <w:iCs/>
          <w:lang w:val="en-GB"/>
        </w:rPr>
        <w:footnoteReference w:id="5"/>
      </w:r>
      <w:r w:rsidR="00215368" w:rsidRPr="00F46ECA">
        <w:rPr>
          <w:rFonts w:ascii="Arial" w:eastAsia="Calibri" w:hAnsi="Arial" w:cs="Arial"/>
          <w:iCs/>
          <w:lang w:val="en-GB"/>
        </w:rPr>
        <w:t xml:space="preserve"> and who must do so “in the prescribed manner and form” in the regulations</w:t>
      </w:r>
      <w:r w:rsidR="00215368">
        <w:rPr>
          <w:rStyle w:val="FootnoteReference"/>
          <w:rFonts w:ascii="Arial" w:eastAsia="Calibri" w:hAnsi="Arial" w:cs="Arial"/>
          <w:iCs/>
          <w:lang w:val="en-GB"/>
        </w:rPr>
        <w:footnoteReference w:id="6"/>
      </w:r>
      <w:r w:rsidR="00F26C67">
        <w:rPr>
          <w:rFonts w:ascii="Arial" w:eastAsia="Calibri" w:hAnsi="Arial" w:cs="Arial"/>
          <w:iCs/>
          <w:lang w:val="en-GB"/>
        </w:rPr>
        <w:t>.</w:t>
      </w:r>
    </w:p>
    <w:p w14:paraId="2B79E7E9" w14:textId="77777777" w:rsidR="00F26C67" w:rsidRDefault="00F26C67" w:rsidP="00F26C67">
      <w:pPr>
        <w:pStyle w:val="ListParagraph"/>
        <w:spacing w:line="360" w:lineRule="auto"/>
        <w:ind w:left="1843" w:hanging="992"/>
        <w:jc w:val="both"/>
        <w:rPr>
          <w:rFonts w:ascii="Arial" w:eastAsia="Calibri" w:hAnsi="Arial" w:cs="Arial"/>
          <w:iCs/>
          <w:lang w:val="en-GB"/>
        </w:rPr>
      </w:pPr>
    </w:p>
    <w:p w14:paraId="51377A57" w14:textId="5B2BA625" w:rsidR="00F26C67" w:rsidRDefault="00F26C67" w:rsidP="00F26C67">
      <w:pPr>
        <w:pStyle w:val="ListParagraph"/>
        <w:spacing w:line="360" w:lineRule="auto"/>
        <w:ind w:left="1843" w:hanging="992"/>
        <w:jc w:val="both"/>
        <w:rPr>
          <w:rFonts w:ascii="Arial" w:eastAsia="Calibri" w:hAnsi="Arial" w:cs="Arial"/>
          <w:iCs/>
          <w:lang w:val="en-GB"/>
        </w:rPr>
      </w:pPr>
      <w:r>
        <w:rPr>
          <w:rFonts w:ascii="Arial" w:eastAsia="Calibri" w:hAnsi="Arial" w:cs="Arial"/>
          <w:iCs/>
          <w:lang w:val="en-GB"/>
        </w:rPr>
        <w:t>[</w:t>
      </w:r>
      <w:r w:rsidR="00572966">
        <w:rPr>
          <w:rFonts w:ascii="Arial" w:eastAsia="Calibri" w:hAnsi="Arial" w:cs="Arial"/>
          <w:iCs/>
          <w:lang w:val="en-GB"/>
        </w:rPr>
        <w:t>8</w:t>
      </w:r>
      <w:r>
        <w:rPr>
          <w:rFonts w:ascii="Arial" w:eastAsia="Calibri" w:hAnsi="Arial" w:cs="Arial"/>
          <w:iCs/>
          <w:lang w:val="en-GB"/>
        </w:rPr>
        <w:t>.2]</w:t>
      </w:r>
      <w:r>
        <w:rPr>
          <w:rFonts w:ascii="Arial" w:eastAsia="Calibri" w:hAnsi="Arial" w:cs="Arial"/>
          <w:iCs/>
          <w:lang w:val="en-GB"/>
        </w:rPr>
        <w:tab/>
        <w:t>T</w:t>
      </w:r>
      <w:r w:rsidR="00215368" w:rsidRPr="00F46ECA">
        <w:rPr>
          <w:rFonts w:ascii="Arial" w:eastAsia="Calibri" w:hAnsi="Arial" w:cs="Arial"/>
          <w:iCs/>
          <w:lang w:val="en-GB"/>
        </w:rPr>
        <w:t>he second is where the NCR initiates a complaint “in its own name.”</w:t>
      </w:r>
      <w:r w:rsidR="00215368">
        <w:rPr>
          <w:rStyle w:val="FootnoteReference"/>
          <w:rFonts w:ascii="Arial" w:eastAsia="Calibri" w:hAnsi="Arial" w:cs="Arial"/>
          <w:iCs/>
          <w:lang w:val="en-GB"/>
        </w:rPr>
        <w:footnoteReference w:id="7"/>
      </w:r>
      <w:r w:rsidR="00253A03" w:rsidRPr="00F46ECA">
        <w:rPr>
          <w:rFonts w:ascii="Arial" w:eastAsia="Calibri" w:hAnsi="Arial" w:cs="Arial"/>
          <w:iCs/>
          <w:lang w:val="en-GB"/>
        </w:rPr>
        <w:t xml:space="preserve"> </w:t>
      </w:r>
    </w:p>
    <w:p w14:paraId="3A092F02" w14:textId="77777777" w:rsidR="00890EE7" w:rsidRPr="00253A03" w:rsidRDefault="00890EE7" w:rsidP="00890EE7">
      <w:pPr>
        <w:pStyle w:val="ListParagraph"/>
        <w:spacing w:line="360" w:lineRule="auto"/>
        <w:jc w:val="both"/>
        <w:rPr>
          <w:rFonts w:ascii="Arial" w:eastAsia="Calibri" w:hAnsi="Arial" w:cs="Arial"/>
          <w:lang w:val="en-GB"/>
        </w:rPr>
      </w:pPr>
    </w:p>
    <w:p w14:paraId="2E9A5E29" w14:textId="19B87D80" w:rsidR="00A57320" w:rsidRPr="00ED59AC" w:rsidRDefault="00A57320" w:rsidP="00061B93">
      <w:pPr>
        <w:pStyle w:val="ListParagraph"/>
        <w:numPr>
          <w:ilvl w:val="0"/>
          <w:numId w:val="15"/>
        </w:numPr>
        <w:spacing w:line="360" w:lineRule="auto"/>
        <w:ind w:left="851" w:hanging="851"/>
        <w:jc w:val="both"/>
        <w:rPr>
          <w:rFonts w:ascii="Arial" w:eastAsia="Calibri" w:hAnsi="Arial" w:cs="Arial"/>
          <w:b/>
          <w:bCs/>
          <w:lang w:val="en-GB"/>
        </w:rPr>
      </w:pPr>
      <w:r>
        <w:rPr>
          <w:rFonts w:ascii="Arial" w:eastAsia="Calibri" w:hAnsi="Arial" w:cs="Arial"/>
          <w:lang w:val="en-GB"/>
        </w:rPr>
        <w:t>In the present case, the NCR initiated a complaint in its own name.  On 2 February 2021, an investigation of FGI was authorised and on 9 February 2021, an in</w:t>
      </w:r>
      <w:r w:rsidR="00534FBD">
        <w:rPr>
          <w:rFonts w:ascii="Arial" w:eastAsia="Calibri" w:hAnsi="Arial" w:cs="Arial"/>
          <w:lang w:val="en-GB"/>
        </w:rPr>
        <w:t>spector</w:t>
      </w:r>
      <w:r>
        <w:rPr>
          <w:rFonts w:ascii="Arial" w:eastAsia="Calibri" w:hAnsi="Arial" w:cs="Arial"/>
          <w:lang w:val="en-GB"/>
        </w:rPr>
        <w:t xml:space="preserve"> was appointed to conduct such investigation.</w:t>
      </w:r>
      <w:r w:rsidR="00534FBD">
        <w:rPr>
          <w:rStyle w:val="FootnoteReference"/>
          <w:rFonts w:ascii="Arial" w:eastAsia="Calibri" w:hAnsi="Arial" w:cs="Arial"/>
          <w:lang w:val="en-GB"/>
        </w:rPr>
        <w:footnoteReference w:id="8"/>
      </w:r>
      <w:r>
        <w:rPr>
          <w:rFonts w:ascii="Arial" w:eastAsia="Calibri" w:hAnsi="Arial" w:cs="Arial"/>
          <w:lang w:val="en-GB"/>
        </w:rPr>
        <w:t xml:space="preserve">  On 8 March 2021, the in</w:t>
      </w:r>
      <w:r w:rsidR="00534FBD">
        <w:rPr>
          <w:rFonts w:ascii="Arial" w:eastAsia="Calibri" w:hAnsi="Arial" w:cs="Arial"/>
          <w:lang w:val="en-GB"/>
        </w:rPr>
        <w:t>spector</w:t>
      </w:r>
      <w:r>
        <w:rPr>
          <w:rFonts w:ascii="Arial" w:eastAsia="Calibri" w:hAnsi="Arial" w:cs="Arial"/>
          <w:lang w:val="en-GB"/>
        </w:rPr>
        <w:t xml:space="preserve"> interviewed a representative of FGI and requested certain documents which were subsequently furnished on 29 March 2021.</w:t>
      </w:r>
      <w:r w:rsidR="00ED59AC">
        <w:rPr>
          <w:rFonts w:ascii="Arial" w:eastAsia="Calibri" w:hAnsi="Arial" w:cs="Arial"/>
          <w:lang w:val="en-GB"/>
        </w:rPr>
        <w:t xml:space="preserve">  On </w:t>
      </w:r>
      <w:r w:rsidR="00677920">
        <w:rPr>
          <w:rFonts w:ascii="Arial" w:eastAsia="Calibri" w:hAnsi="Arial" w:cs="Arial"/>
          <w:lang w:val="en-GB"/>
        </w:rPr>
        <w:t>23 April 2021,</w:t>
      </w:r>
      <w:r w:rsidR="00ED59AC">
        <w:rPr>
          <w:rFonts w:ascii="Arial" w:eastAsia="Calibri" w:hAnsi="Arial" w:cs="Arial"/>
          <w:lang w:val="en-GB"/>
        </w:rPr>
        <w:t xml:space="preserve"> the inspector completed his investigation and submitted a report in which he found</w:t>
      </w:r>
      <w:r w:rsidR="00677920">
        <w:rPr>
          <w:rFonts w:ascii="Arial" w:eastAsia="Calibri" w:hAnsi="Arial" w:cs="Arial"/>
          <w:lang w:val="en-GB"/>
        </w:rPr>
        <w:t xml:space="preserve"> </w:t>
      </w:r>
      <w:r w:rsidR="00677920" w:rsidRPr="00677920">
        <w:rPr>
          <w:rFonts w:ascii="Arial" w:eastAsia="Calibri" w:hAnsi="Arial" w:cs="Arial"/>
          <w:i/>
          <w:iCs/>
          <w:lang w:val="en-GB"/>
        </w:rPr>
        <w:t>inter alia</w:t>
      </w:r>
      <w:r w:rsidR="00677920">
        <w:rPr>
          <w:rFonts w:ascii="Arial" w:eastAsia="Calibri" w:hAnsi="Arial" w:cs="Arial"/>
          <w:lang w:val="en-GB"/>
        </w:rPr>
        <w:t>, contraventions of the NCA Act.</w:t>
      </w:r>
      <w:r w:rsidR="00677920">
        <w:rPr>
          <w:rStyle w:val="FootnoteReference"/>
          <w:rFonts w:ascii="Arial" w:eastAsia="Calibri" w:hAnsi="Arial" w:cs="Arial"/>
          <w:lang w:val="en-GB"/>
        </w:rPr>
        <w:footnoteReference w:id="9"/>
      </w:r>
    </w:p>
    <w:p w14:paraId="7A0566A6" w14:textId="3491C50A" w:rsidR="00ED59AC" w:rsidRDefault="00ED59AC" w:rsidP="00677920">
      <w:pPr>
        <w:spacing w:line="360" w:lineRule="auto"/>
        <w:jc w:val="both"/>
        <w:rPr>
          <w:rFonts w:ascii="Arial" w:eastAsia="Calibri" w:hAnsi="Arial" w:cs="Arial"/>
          <w:b/>
          <w:bCs/>
          <w:lang w:val="en-GB"/>
        </w:rPr>
      </w:pPr>
    </w:p>
    <w:p w14:paraId="5740E42D" w14:textId="6F7E807D" w:rsidR="00572966" w:rsidRDefault="00572966" w:rsidP="00677920">
      <w:pPr>
        <w:spacing w:line="360" w:lineRule="auto"/>
        <w:jc w:val="both"/>
        <w:rPr>
          <w:rFonts w:ascii="Arial" w:eastAsia="Calibri" w:hAnsi="Arial" w:cs="Arial"/>
          <w:b/>
          <w:bCs/>
          <w:lang w:val="en-GB"/>
        </w:rPr>
      </w:pPr>
    </w:p>
    <w:p w14:paraId="63143C0F" w14:textId="1A510702" w:rsidR="00572966" w:rsidRDefault="00572966" w:rsidP="00677920">
      <w:pPr>
        <w:spacing w:line="360" w:lineRule="auto"/>
        <w:jc w:val="both"/>
        <w:rPr>
          <w:rFonts w:ascii="Arial" w:eastAsia="Calibri" w:hAnsi="Arial" w:cs="Arial"/>
          <w:b/>
          <w:bCs/>
          <w:lang w:val="en-GB"/>
        </w:rPr>
      </w:pPr>
    </w:p>
    <w:p w14:paraId="31869F5C" w14:textId="77777777" w:rsidR="00572966" w:rsidRPr="00677920" w:rsidRDefault="00572966" w:rsidP="00677920">
      <w:pPr>
        <w:spacing w:line="360" w:lineRule="auto"/>
        <w:jc w:val="both"/>
        <w:rPr>
          <w:rFonts w:ascii="Arial" w:eastAsia="Calibri" w:hAnsi="Arial" w:cs="Arial"/>
          <w:b/>
          <w:bCs/>
          <w:lang w:val="en-GB"/>
        </w:rPr>
      </w:pPr>
    </w:p>
    <w:p w14:paraId="3D7D5EC1" w14:textId="18043DE5" w:rsidR="004C1B8F" w:rsidRDefault="00C35F5B" w:rsidP="00C6516F">
      <w:pPr>
        <w:pStyle w:val="ListParagraph"/>
        <w:numPr>
          <w:ilvl w:val="0"/>
          <w:numId w:val="15"/>
        </w:numPr>
        <w:spacing w:line="360" w:lineRule="auto"/>
        <w:ind w:left="851" w:hanging="851"/>
        <w:jc w:val="both"/>
        <w:rPr>
          <w:rFonts w:ascii="Arial" w:eastAsia="Calibri" w:hAnsi="Arial" w:cs="Arial"/>
          <w:lang w:val="en-GB"/>
        </w:rPr>
      </w:pPr>
      <w:r w:rsidRPr="006A6AB4">
        <w:rPr>
          <w:rFonts w:ascii="Arial" w:eastAsia="Calibri" w:hAnsi="Arial" w:cs="Arial"/>
          <w:lang w:val="en-GB"/>
        </w:rPr>
        <w:t>In consequence of the investigation, the NCR chose in terms of s 140(1)(b)</w:t>
      </w:r>
      <w:r>
        <w:rPr>
          <w:rStyle w:val="FootnoteReference"/>
          <w:rFonts w:ascii="Arial" w:eastAsia="Calibri" w:hAnsi="Arial" w:cs="Arial"/>
          <w:lang w:val="en-GB"/>
        </w:rPr>
        <w:footnoteReference w:id="10"/>
      </w:r>
      <w:r w:rsidRPr="006A6AB4">
        <w:rPr>
          <w:rFonts w:ascii="Arial" w:eastAsia="Calibri" w:hAnsi="Arial" w:cs="Arial"/>
          <w:lang w:val="en-GB"/>
        </w:rPr>
        <w:t xml:space="preserve"> read together with s 140(2)(b)</w:t>
      </w:r>
      <w:r>
        <w:rPr>
          <w:rStyle w:val="FootnoteReference"/>
          <w:rFonts w:ascii="Arial" w:eastAsia="Calibri" w:hAnsi="Arial" w:cs="Arial"/>
          <w:lang w:val="en-GB"/>
        </w:rPr>
        <w:footnoteReference w:id="11"/>
      </w:r>
      <w:r w:rsidRPr="006A6AB4">
        <w:rPr>
          <w:rFonts w:ascii="Arial" w:eastAsia="Calibri" w:hAnsi="Arial" w:cs="Arial"/>
          <w:lang w:val="en-GB"/>
        </w:rPr>
        <w:t xml:space="preserve"> to refer this matter to the NCT.</w:t>
      </w:r>
      <w:r w:rsidR="004C1B8F" w:rsidRPr="006A6AB4">
        <w:rPr>
          <w:rFonts w:ascii="Arial" w:eastAsia="Calibri" w:hAnsi="Arial" w:cs="Arial"/>
          <w:lang w:val="en-GB"/>
        </w:rPr>
        <w:t xml:space="preserve"> </w:t>
      </w:r>
      <w:r w:rsidR="002C6764" w:rsidRPr="006A6AB4">
        <w:rPr>
          <w:rFonts w:ascii="Arial" w:eastAsia="Calibri" w:hAnsi="Arial" w:cs="Arial"/>
          <w:lang w:val="en-GB"/>
        </w:rPr>
        <w:t xml:space="preserve"> </w:t>
      </w:r>
    </w:p>
    <w:p w14:paraId="75C73CE0" w14:textId="77777777" w:rsidR="006A6AB4" w:rsidRPr="006A6AB4" w:rsidRDefault="006A6AB4" w:rsidP="006A6AB4">
      <w:pPr>
        <w:pStyle w:val="ListParagraph"/>
        <w:spacing w:line="360" w:lineRule="auto"/>
        <w:ind w:left="851"/>
        <w:jc w:val="both"/>
        <w:rPr>
          <w:rFonts w:ascii="Arial" w:eastAsia="Calibri" w:hAnsi="Arial" w:cs="Arial"/>
          <w:lang w:val="en-GB"/>
        </w:rPr>
      </w:pPr>
    </w:p>
    <w:p w14:paraId="5466D871" w14:textId="04BB9B9B" w:rsidR="004C1B8F" w:rsidRDefault="00CF13EE" w:rsidP="00061B93">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 xml:space="preserve">The NCT must, </w:t>
      </w:r>
      <w:r w:rsidR="006A6AB4">
        <w:rPr>
          <w:rFonts w:ascii="Arial" w:eastAsia="Calibri" w:hAnsi="Arial" w:cs="Arial"/>
          <w:lang w:val="en-GB"/>
        </w:rPr>
        <w:t xml:space="preserve">once a matter has been referred to it, </w:t>
      </w:r>
      <w:r>
        <w:rPr>
          <w:rFonts w:ascii="Arial" w:eastAsia="Calibri" w:hAnsi="Arial" w:cs="Arial"/>
          <w:lang w:val="en-GB"/>
        </w:rPr>
        <w:t>in terms of s 142(1), conduct its hearings in public and:</w:t>
      </w:r>
    </w:p>
    <w:p w14:paraId="3E9B1BB7" w14:textId="77777777" w:rsidR="00CF13EE" w:rsidRPr="00CF13EE" w:rsidRDefault="00CF13EE" w:rsidP="00CF13EE">
      <w:pPr>
        <w:pStyle w:val="ListParagraph"/>
        <w:rPr>
          <w:rFonts w:ascii="Arial" w:eastAsia="Calibri" w:hAnsi="Arial" w:cs="Arial"/>
          <w:lang w:val="en-GB"/>
        </w:rPr>
      </w:pPr>
    </w:p>
    <w:p w14:paraId="530EBF1D" w14:textId="77777777" w:rsidR="00CF13EE" w:rsidRPr="00CF13EE" w:rsidRDefault="00CF13EE" w:rsidP="00CF13EE">
      <w:pPr>
        <w:pStyle w:val="ListParagraph"/>
        <w:spacing w:line="360" w:lineRule="auto"/>
        <w:ind w:left="1985" w:hanging="567"/>
        <w:jc w:val="both"/>
        <w:rPr>
          <w:rFonts w:ascii="Arial" w:eastAsia="Calibri" w:hAnsi="Arial" w:cs="Arial"/>
          <w:i/>
          <w:iCs/>
          <w:sz w:val="22"/>
          <w:szCs w:val="22"/>
          <w:lang w:val="en-GB"/>
        </w:rPr>
      </w:pPr>
      <w:r w:rsidRPr="00CF13EE">
        <w:rPr>
          <w:rFonts w:ascii="Arial" w:eastAsia="Calibri" w:hAnsi="Arial" w:cs="Arial"/>
          <w:i/>
          <w:iCs/>
          <w:sz w:val="22"/>
          <w:szCs w:val="22"/>
          <w:lang w:val="en-GB"/>
        </w:rPr>
        <w:t>“(a)</w:t>
      </w:r>
      <w:r w:rsidRPr="00CF13EE">
        <w:rPr>
          <w:rFonts w:ascii="Arial" w:eastAsia="Calibri" w:hAnsi="Arial" w:cs="Arial"/>
          <w:i/>
          <w:iCs/>
          <w:sz w:val="22"/>
          <w:szCs w:val="22"/>
          <w:lang w:val="en-GB"/>
        </w:rPr>
        <w:tab/>
        <w:t>in an inquisitorial manner;</w:t>
      </w:r>
    </w:p>
    <w:p w14:paraId="1A06F9A1" w14:textId="77777777" w:rsidR="00CF13EE" w:rsidRPr="00CF13EE" w:rsidRDefault="00CF13EE" w:rsidP="00CF13EE">
      <w:pPr>
        <w:pStyle w:val="ListParagraph"/>
        <w:spacing w:line="360" w:lineRule="auto"/>
        <w:ind w:left="1985" w:hanging="567"/>
        <w:jc w:val="both"/>
        <w:rPr>
          <w:rFonts w:ascii="Arial" w:eastAsia="Calibri" w:hAnsi="Arial" w:cs="Arial"/>
          <w:i/>
          <w:iCs/>
          <w:sz w:val="22"/>
          <w:szCs w:val="22"/>
          <w:lang w:val="en-GB"/>
        </w:rPr>
      </w:pPr>
      <w:r w:rsidRPr="00CF13EE">
        <w:rPr>
          <w:rFonts w:ascii="Arial" w:eastAsia="Calibri" w:hAnsi="Arial" w:cs="Arial"/>
          <w:i/>
          <w:iCs/>
          <w:sz w:val="22"/>
          <w:szCs w:val="22"/>
          <w:lang w:val="en-GB"/>
        </w:rPr>
        <w:t xml:space="preserve">(b) </w:t>
      </w:r>
      <w:r w:rsidRPr="00CF13EE">
        <w:rPr>
          <w:rFonts w:ascii="Arial" w:eastAsia="Calibri" w:hAnsi="Arial" w:cs="Arial"/>
          <w:i/>
          <w:iCs/>
          <w:sz w:val="22"/>
          <w:szCs w:val="22"/>
          <w:lang w:val="en-GB"/>
        </w:rPr>
        <w:tab/>
        <w:t>as expeditiously as possible;</w:t>
      </w:r>
    </w:p>
    <w:p w14:paraId="0922DC1F" w14:textId="7A59C759" w:rsidR="00CF13EE" w:rsidRPr="00CF13EE" w:rsidRDefault="00CF13EE" w:rsidP="00CF13EE">
      <w:pPr>
        <w:pStyle w:val="ListParagraph"/>
        <w:spacing w:line="360" w:lineRule="auto"/>
        <w:ind w:left="1985" w:hanging="567"/>
        <w:jc w:val="both"/>
        <w:rPr>
          <w:rFonts w:ascii="Arial" w:eastAsia="Calibri" w:hAnsi="Arial" w:cs="Arial"/>
          <w:i/>
          <w:iCs/>
          <w:sz w:val="22"/>
          <w:szCs w:val="22"/>
          <w:lang w:val="en-GB"/>
        </w:rPr>
      </w:pPr>
      <w:r w:rsidRPr="00CF13EE">
        <w:rPr>
          <w:rFonts w:ascii="Arial" w:eastAsia="Calibri" w:hAnsi="Arial" w:cs="Arial"/>
          <w:i/>
          <w:iCs/>
          <w:sz w:val="22"/>
          <w:szCs w:val="22"/>
          <w:lang w:val="en-GB"/>
        </w:rPr>
        <w:t>(c)</w:t>
      </w:r>
      <w:r w:rsidRPr="00CF13EE">
        <w:rPr>
          <w:rFonts w:ascii="Arial" w:eastAsia="Calibri" w:hAnsi="Arial" w:cs="Arial"/>
          <w:i/>
          <w:iCs/>
          <w:sz w:val="22"/>
          <w:szCs w:val="22"/>
          <w:lang w:val="en-GB"/>
        </w:rPr>
        <w:tab/>
        <w:t>as informally as possible and</w:t>
      </w:r>
    </w:p>
    <w:p w14:paraId="54EDB73A" w14:textId="56FD4FBD" w:rsidR="00CF13EE" w:rsidRPr="00CF13EE" w:rsidRDefault="00CF13EE" w:rsidP="00CF13EE">
      <w:pPr>
        <w:pStyle w:val="ListParagraph"/>
        <w:spacing w:line="360" w:lineRule="auto"/>
        <w:ind w:left="1985" w:hanging="567"/>
        <w:jc w:val="both"/>
        <w:rPr>
          <w:rFonts w:ascii="Arial" w:eastAsia="Calibri" w:hAnsi="Arial" w:cs="Arial"/>
          <w:i/>
          <w:iCs/>
          <w:sz w:val="22"/>
          <w:szCs w:val="22"/>
          <w:lang w:val="en-GB"/>
        </w:rPr>
      </w:pPr>
      <w:r w:rsidRPr="00CF13EE">
        <w:rPr>
          <w:rFonts w:ascii="Arial" w:eastAsia="Calibri" w:hAnsi="Arial" w:cs="Arial"/>
          <w:i/>
          <w:iCs/>
          <w:sz w:val="22"/>
          <w:szCs w:val="22"/>
          <w:lang w:val="en-GB"/>
        </w:rPr>
        <w:t>(d)</w:t>
      </w:r>
      <w:r w:rsidRPr="00CF13EE">
        <w:rPr>
          <w:rFonts w:ascii="Arial" w:eastAsia="Calibri" w:hAnsi="Arial" w:cs="Arial"/>
          <w:i/>
          <w:iCs/>
          <w:sz w:val="22"/>
          <w:szCs w:val="22"/>
          <w:lang w:val="en-GB"/>
        </w:rPr>
        <w:tab/>
        <w:t xml:space="preserve">in accordance with the principles of natural justice.” </w:t>
      </w:r>
    </w:p>
    <w:p w14:paraId="43DFF7F2" w14:textId="77777777" w:rsidR="00C35F5B" w:rsidRPr="00C35F5B" w:rsidRDefault="00C35F5B" w:rsidP="00C35F5B">
      <w:pPr>
        <w:spacing w:line="360" w:lineRule="auto"/>
        <w:jc w:val="both"/>
        <w:rPr>
          <w:rFonts w:ascii="Arial" w:eastAsia="Calibri" w:hAnsi="Arial" w:cs="Arial"/>
          <w:lang w:val="en-GB"/>
        </w:rPr>
      </w:pPr>
    </w:p>
    <w:p w14:paraId="2C3754A0" w14:textId="67FF32E1" w:rsidR="00CF13EE" w:rsidRPr="00883060" w:rsidRDefault="00CD594E" w:rsidP="00061B93">
      <w:pPr>
        <w:pStyle w:val="ListParagraph"/>
        <w:numPr>
          <w:ilvl w:val="0"/>
          <w:numId w:val="15"/>
        </w:numPr>
        <w:spacing w:line="360" w:lineRule="auto"/>
        <w:ind w:left="851" w:hanging="851"/>
        <w:jc w:val="both"/>
        <w:rPr>
          <w:rFonts w:ascii="Arial" w:eastAsia="Calibri" w:hAnsi="Arial" w:cs="Arial"/>
          <w:b/>
          <w:bCs/>
          <w:i/>
          <w:iCs/>
          <w:sz w:val="22"/>
          <w:szCs w:val="22"/>
          <w:lang w:val="en-GB"/>
        </w:rPr>
      </w:pPr>
      <w:r>
        <w:rPr>
          <w:rFonts w:ascii="Arial" w:eastAsia="Calibri" w:hAnsi="Arial" w:cs="Arial"/>
          <w:lang w:val="en-GB"/>
        </w:rPr>
        <w:t xml:space="preserve">Importantly for the present appeal, s 145 of the NCA provides that </w:t>
      </w:r>
      <w:r w:rsidRPr="00CD594E">
        <w:rPr>
          <w:rFonts w:ascii="Arial" w:eastAsia="Calibri" w:hAnsi="Arial" w:cs="Arial"/>
          <w:i/>
          <w:iCs/>
          <w:sz w:val="22"/>
          <w:szCs w:val="22"/>
          <w:lang w:val="en-GB"/>
        </w:rPr>
        <w:t>“Subject to the rules of procedure of the Tribunal, the member of the Tribunal, presiding at a hearing, may determine any matter of procedure for that hearing, with due regard to the circumstances of the case and the requirements of the applicable sections of this [the] Act.”</w:t>
      </w:r>
      <w:r w:rsidR="003473B8">
        <w:rPr>
          <w:rFonts w:ascii="Arial" w:eastAsia="Calibri" w:hAnsi="Arial" w:cs="Arial"/>
          <w:i/>
          <w:iCs/>
          <w:sz w:val="22"/>
          <w:szCs w:val="22"/>
          <w:lang w:val="en-GB"/>
        </w:rPr>
        <w:t xml:space="preserve">  </w:t>
      </w:r>
      <w:r w:rsidR="003473B8">
        <w:rPr>
          <w:rFonts w:ascii="Arial" w:eastAsia="Calibri" w:hAnsi="Arial" w:cs="Arial"/>
          <w:lang w:val="en-GB"/>
        </w:rPr>
        <w:t xml:space="preserve">It is self-evident that no matter the exigencies </w:t>
      </w:r>
      <w:r w:rsidR="00555E40">
        <w:rPr>
          <w:rFonts w:ascii="Arial" w:eastAsia="Calibri" w:hAnsi="Arial" w:cs="Arial"/>
          <w:lang w:val="en-GB"/>
        </w:rPr>
        <w:t>of facilitating an expeditious hearing, that these cannot over-ride the right of any respondent to have the matter conducted in accordance with the principles of natural justice.</w:t>
      </w:r>
    </w:p>
    <w:p w14:paraId="4DFAFCCC" w14:textId="77777777" w:rsidR="00883060" w:rsidRPr="00883060" w:rsidRDefault="00883060" w:rsidP="00883060">
      <w:pPr>
        <w:pStyle w:val="ListParagraph"/>
        <w:spacing w:line="360" w:lineRule="auto"/>
        <w:ind w:left="851"/>
        <w:jc w:val="both"/>
        <w:rPr>
          <w:rFonts w:ascii="Arial" w:eastAsia="Calibri" w:hAnsi="Arial" w:cs="Arial"/>
          <w:b/>
          <w:bCs/>
          <w:i/>
          <w:iCs/>
          <w:sz w:val="22"/>
          <w:szCs w:val="22"/>
          <w:lang w:val="en-GB"/>
        </w:rPr>
      </w:pPr>
    </w:p>
    <w:p w14:paraId="5CB336B5" w14:textId="0C70F129" w:rsidR="00883060" w:rsidRPr="00FD0FD2" w:rsidRDefault="00883060" w:rsidP="00061B93">
      <w:pPr>
        <w:pStyle w:val="ListParagraph"/>
        <w:numPr>
          <w:ilvl w:val="0"/>
          <w:numId w:val="15"/>
        </w:numPr>
        <w:spacing w:line="360" w:lineRule="auto"/>
        <w:ind w:left="851" w:hanging="851"/>
        <w:jc w:val="both"/>
        <w:rPr>
          <w:rFonts w:ascii="Arial" w:eastAsia="Calibri" w:hAnsi="Arial" w:cs="Arial"/>
          <w:b/>
          <w:bCs/>
          <w:i/>
          <w:iCs/>
          <w:sz w:val="22"/>
          <w:szCs w:val="22"/>
          <w:lang w:val="en-GB"/>
        </w:rPr>
      </w:pPr>
      <w:r>
        <w:rPr>
          <w:rFonts w:ascii="Arial" w:eastAsia="Calibri" w:hAnsi="Arial" w:cs="Arial"/>
          <w:lang w:val="en-GB"/>
        </w:rPr>
        <w:t>The consequences of an adverse finding by the NCT may be grave.  In terms of s 151(1) and (2), the NCT may impose an administrative fine which may not exceed the greater of 10% of annual turnover or R1 million.</w:t>
      </w:r>
    </w:p>
    <w:p w14:paraId="2472BB65" w14:textId="77777777" w:rsidR="00FD0FD2" w:rsidRDefault="00FD0FD2" w:rsidP="00FD0FD2">
      <w:pPr>
        <w:spacing w:line="360" w:lineRule="auto"/>
        <w:jc w:val="both"/>
        <w:rPr>
          <w:rFonts w:ascii="Arial" w:eastAsia="Calibri" w:hAnsi="Arial" w:cs="Arial"/>
          <w:b/>
          <w:bCs/>
          <w:i/>
          <w:iCs/>
          <w:sz w:val="22"/>
          <w:szCs w:val="22"/>
          <w:lang w:val="en-GB"/>
        </w:rPr>
      </w:pPr>
    </w:p>
    <w:p w14:paraId="5ED014AB" w14:textId="4FC4A0FA" w:rsidR="00FD0FD2" w:rsidRDefault="00FD0FD2" w:rsidP="00FD0FD2">
      <w:pPr>
        <w:spacing w:line="360" w:lineRule="auto"/>
        <w:jc w:val="both"/>
        <w:rPr>
          <w:rFonts w:ascii="Arial" w:eastAsia="Calibri" w:hAnsi="Arial" w:cs="Arial"/>
          <w:b/>
          <w:bCs/>
          <w:lang w:val="en-GB"/>
        </w:rPr>
      </w:pPr>
      <w:r>
        <w:rPr>
          <w:rFonts w:ascii="Arial" w:eastAsia="Calibri" w:hAnsi="Arial" w:cs="Arial"/>
          <w:b/>
          <w:bCs/>
          <w:lang w:val="en-GB"/>
        </w:rPr>
        <w:t>THE HEARING BEFORE THE NCT</w:t>
      </w:r>
      <w:r w:rsidR="00417B99">
        <w:rPr>
          <w:rFonts w:ascii="Arial" w:eastAsia="Calibri" w:hAnsi="Arial" w:cs="Arial"/>
          <w:b/>
          <w:bCs/>
          <w:lang w:val="en-GB"/>
        </w:rPr>
        <w:t>.</w:t>
      </w:r>
    </w:p>
    <w:p w14:paraId="4A4F9046" w14:textId="77777777" w:rsidR="00FD0FD2" w:rsidRPr="00FD0FD2" w:rsidRDefault="00FD0FD2" w:rsidP="00FD0FD2">
      <w:pPr>
        <w:spacing w:line="360" w:lineRule="auto"/>
        <w:jc w:val="both"/>
        <w:rPr>
          <w:rFonts w:ascii="Arial" w:eastAsia="Calibri" w:hAnsi="Arial" w:cs="Arial"/>
          <w:b/>
          <w:bCs/>
          <w:lang w:val="en-GB"/>
        </w:rPr>
      </w:pPr>
    </w:p>
    <w:p w14:paraId="2327D895" w14:textId="2639438D" w:rsidR="00FD0FD2" w:rsidRDefault="008537D3" w:rsidP="00061B93">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 xml:space="preserve">The hearing before the NCT took place on 5 December 2022.  When the hearing took place, the only documents before the NCT were the NCR’s </w:t>
      </w:r>
      <w:r w:rsidR="00EA6E02">
        <w:rPr>
          <w:rFonts w:ascii="Arial" w:eastAsia="Calibri" w:hAnsi="Arial" w:cs="Arial"/>
          <w:lang w:val="en-GB"/>
        </w:rPr>
        <w:t>referral together with the attached</w:t>
      </w:r>
      <w:r>
        <w:rPr>
          <w:rFonts w:ascii="Arial" w:eastAsia="Calibri" w:hAnsi="Arial" w:cs="Arial"/>
          <w:lang w:val="en-GB"/>
        </w:rPr>
        <w:t xml:space="preserve"> founding affidavit</w:t>
      </w:r>
      <w:r w:rsidR="00EA6E02">
        <w:rPr>
          <w:rFonts w:ascii="Arial" w:eastAsia="Calibri" w:hAnsi="Arial" w:cs="Arial"/>
          <w:lang w:val="en-GB"/>
        </w:rPr>
        <w:t xml:space="preserve"> and </w:t>
      </w:r>
      <w:r>
        <w:rPr>
          <w:rFonts w:ascii="Arial" w:eastAsia="Calibri" w:hAnsi="Arial" w:cs="Arial"/>
          <w:lang w:val="en-GB"/>
        </w:rPr>
        <w:t>FGI’s answering affidavit.</w:t>
      </w:r>
    </w:p>
    <w:p w14:paraId="52BFF9CF" w14:textId="77777777" w:rsidR="00883060" w:rsidRPr="00555E40" w:rsidRDefault="00883060" w:rsidP="00555E40">
      <w:pPr>
        <w:spacing w:line="360" w:lineRule="auto"/>
        <w:jc w:val="both"/>
        <w:rPr>
          <w:rFonts w:ascii="Arial" w:eastAsia="Calibri" w:hAnsi="Arial" w:cs="Arial"/>
          <w:lang w:val="en-GB"/>
        </w:rPr>
      </w:pPr>
    </w:p>
    <w:p w14:paraId="4558A10A" w14:textId="77777777" w:rsidR="00EA6E02" w:rsidRDefault="00F55C5C" w:rsidP="00061B93">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 xml:space="preserve">The NCR had delivered on 28 November 2022, a week before the hearing, a replying affidavit and sought </w:t>
      </w:r>
      <w:r w:rsidR="0066502D">
        <w:rPr>
          <w:rFonts w:ascii="Arial" w:eastAsia="Calibri" w:hAnsi="Arial" w:cs="Arial"/>
          <w:lang w:val="en-GB"/>
        </w:rPr>
        <w:t xml:space="preserve">a postponement of the hearing so that an application for condonation for the late filing of the replying affidavit could be heard.  </w:t>
      </w:r>
    </w:p>
    <w:p w14:paraId="7C406E29" w14:textId="77777777" w:rsidR="006665B3" w:rsidRPr="00EA6E02" w:rsidRDefault="006665B3" w:rsidP="00EA6E02">
      <w:pPr>
        <w:pStyle w:val="ListParagraph"/>
        <w:rPr>
          <w:rFonts w:ascii="Arial" w:eastAsia="Calibri" w:hAnsi="Arial" w:cs="Arial"/>
          <w:lang w:val="en-GB"/>
        </w:rPr>
      </w:pPr>
    </w:p>
    <w:p w14:paraId="010AC272" w14:textId="05F06F38" w:rsidR="008537D3" w:rsidRPr="00FD0FD2" w:rsidRDefault="0066502D" w:rsidP="00061B93">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 xml:space="preserve">There was no application for condonation before the NCT and having heard argument on the application for postponement, it was refused, and the hearing proceeded on the basis that the points </w:t>
      </w:r>
      <w:r w:rsidRPr="0066502D">
        <w:rPr>
          <w:rFonts w:ascii="Arial" w:eastAsia="Calibri" w:hAnsi="Arial" w:cs="Arial"/>
          <w:i/>
          <w:iCs/>
          <w:lang w:val="en-GB"/>
        </w:rPr>
        <w:t>in limine</w:t>
      </w:r>
      <w:r>
        <w:rPr>
          <w:rFonts w:ascii="Arial" w:eastAsia="Calibri" w:hAnsi="Arial" w:cs="Arial"/>
          <w:lang w:val="en-GB"/>
        </w:rPr>
        <w:t xml:space="preserve"> only would be argued</w:t>
      </w:r>
      <w:r w:rsidR="00EA6E02">
        <w:rPr>
          <w:rFonts w:ascii="Arial" w:eastAsia="Calibri" w:hAnsi="Arial" w:cs="Arial"/>
          <w:lang w:val="en-GB"/>
        </w:rPr>
        <w:t xml:space="preserve"> on what was before the NCT.</w:t>
      </w:r>
    </w:p>
    <w:p w14:paraId="4870770F" w14:textId="77777777" w:rsidR="00340E58" w:rsidRDefault="00340E58" w:rsidP="00340E58">
      <w:pPr>
        <w:spacing w:line="360" w:lineRule="auto"/>
        <w:jc w:val="both"/>
        <w:rPr>
          <w:rFonts w:ascii="Arial" w:eastAsia="Calibri" w:hAnsi="Arial" w:cs="Arial"/>
          <w:b/>
          <w:bCs/>
          <w:lang w:val="en-GB"/>
        </w:rPr>
      </w:pPr>
    </w:p>
    <w:p w14:paraId="22FCBEE7" w14:textId="45606EDC" w:rsidR="00340E58" w:rsidRDefault="00340E58" w:rsidP="00340E58">
      <w:pPr>
        <w:spacing w:line="360" w:lineRule="auto"/>
        <w:jc w:val="both"/>
        <w:rPr>
          <w:rFonts w:ascii="Arial" w:eastAsia="Calibri" w:hAnsi="Arial" w:cs="Arial"/>
          <w:b/>
          <w:bCs/>
          <w:lang w:val="en-GB"/>
        </w:rPr>
      </w:pPr>
      <w:r>
        <w:rPr>
          <w:rFonts w:ascii="Arial" w:eastAsia="Calibri" w:hAnsi="Arial" w:cs="Arial"/>
          <w:b/>
          <w:bCs/>
          <w:lang w:val="en-GB"/>
        </w:rPr>
        <w:t>THE GROUNDS OF APPEAL</w:t>
      </w:r>
      <w:r w:rsidR="00417B99">
        <w:rPr>
          <w:rFonts w:ascii="Arial" w:eastAsia="Calibri" w:hAnsi="Arial" w:cs="Arial"/>
          <w:b/>
          <w:bCs/>
          <w:lang w:val="en-GB"/>
        </w:rPr>
        <w:t>.</w:t>
      </w:r>
    </w:p>
    <w:p w14:paraId="523E61C6" w14:textId="77777777" w:rsidR="00340E58" w:rsidRPr="00340E58" w:rsidRDefault="00340E58" w:rsidP="00340E58">
      <w:pPr>
        <w:spacing w:line="360" w:lineRule="auto"/>
        <w:jc w:val="both"/>
        <w:rPr>
          <w:rFonts w:ascii="Arial" w:eastAsia="Calibri" w:hAnsi="Arial" w:cs="Arial"/>
          <w:b/>
          <w:bCs/>
          <w:lang w:val="en-GB"/>
        </w:rPr>
      </w:pPr>
    </w:p>
    <w:p w14:paraId="780ACE54" w14:textId="3B9260E8" w:rsidR="00CA1D6E" w:rsidRDefault="00CA1D6E" w:rsidP="00061B93">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The NCR chose to submit its referral</w:t>
      </w:r>
      <w:r w:rsidR="004A30F9">
        <w:rPr>
          <w:rFonts w:ascii="Arial" w:eastAsia="Calibri" w:hAnsi="Arial" w:cs="Arial"/>
          <w:lang w:val="en-GB"/>
        </w:rPr>
        <w:t xml:space="preserve"> in the prescribed form</w:t>
      </w:r>
      <w:r>
        <w:rPr>
          <w:rFonts w:ascii="Arial" w:eastAsia="Calibri" w:hAnsi="Arial" w:cs="Arial"/>
          <w:lang w:val="en-GB"/>
        </w:rPr>
        <w:t xml:space="preserve"> accompanied by a founding affidavit. </w:t>
      </w:r>
      <w:r w:rsidR="004A30F9">
        <w:rPr>
          <w:rFonts w:ascii="Arial" w:eastAsia="Calibri" w:hAnsi="Arial" w:cs="Arial"/>
          <w:lang w:val="en-GB"/>
        </w:rPr>
        <w:t>The prescribed form is in its terms an abridged notice of motion.</w:t>
      </w:r>
      <w:r w:rsidR="004A30F9">
        <w:rPr>
          <w:rStyle w:val="FootnoteReference"/>
          <w:rFonts w:ascii="Arial" w:eastAsia="Calibri" w:hAnsi="Arial" w:cs="Arial"/>
          <w:lang w:val="en-GB"/>
        </w:rPr>
        <w:footnoteReference w:id="12"/>
      </w:r>
      <w:r>
        <w:rPr>
          <w:rFonts w:ascii="Arial" w:eastAsia="Calibri" w:hAnsi="Arial" w:cs="Arial"/>
          <w:lang w:val="en-GB"/>
        </w:rPr>
        <w:t xml:space="preserve"> In its </w:t>
      </w:r>
      <w:r w:rsidR="004A30F9">
        <w:rPr>
          <w:rFonts w:ascii="Arial" w:eastAsia="Calibri" w:hAnsi="Arial" w:cs="Arial"/>
          <w:lang w:val="en-GB"/>
        </w:rPr>
        <w:t>answer</w:t>
      </w:r>
      <w:r>
        <w:rPr>
          <w:rFonts w:ascii="Arial" w:eastAsia="Calibri" w:hAnsi="Arial" w:cs="Arial"/>
          <w:lang w:val="en-GB"/>
        </w:rPr>
        <w:t xml:space="preserve">, FGI raised the following </w:t>
      </w:r>
      <w:r w:rsidR="006D17FB">
        <w:rPr>
          <w:rFonts w:ascii="Arial" w:eastAsia="Calibri" w:hAnsi="Arial" w:cs="Arial"/>
          <w:lang w:val="en-GB"/>
        </w:rPr>
        <w:t>5</w:t>
      </w:r>
      <w:r>
        <w:rPr>
          <w:rFonts w:ascii="Arial" w:eastAsia="Calibri" w:hAnsi="Arial" w:cs="Arial"/>
          <w:lang w:val="en-GB"/>
        </w:rPr>
        <w:t xml:space="preserve"> points </w:t>
      </w:r>
      <w:r w:rsidRPr="00CA1D6E">
        <w:rPr>
          <w:rFonts w:ascii="Arial" w:eastAsia="Calibri" w:hAnsi="Arial" w:cs="Arial"/>
          <w:i/>
          <w:iCs/>
          <w:lang w:val="en-GB"/>
        </w:rPr>
        <w:t>in limine</w:t>
      </w:r>
      <w:r>
        <w:rPr>
          <w:rFonts w:ascii="Arial" w:eastAsia="Calibri" w:hAnsi="Arial" w:cs="Arial"/>
          <w:lang w:val="en-GB"/>
        </w:rPr>
        <w:t xml:space="preserve"> </w:t>
      </w:r>
      <w:r w:rsidR="00340E58">
        <w:rPr>
          <w:rFonts w:ascii="Arial" w:eastAsia="Calibri" w:hAnsi="Arial" w:cs="Arial"/>
          <w:lang w:val="en-GB"/>
        </w:rPr>
        <w:t>which are also the grounds upon which this appeal is advanced</w:t>
      </w:r>
      <w:r>
        <w:rPr>
          <w:rFonts w:ascii="Arial" w:eastAsia="Calibri" w:hAnsi="Arial" w:cs="Arial"/>
          <w:lang w:val="en-GB"/>
        </w:rPr>
        <w:t>–</w:t>
      </w:r>
    </w:p>
    <w:p w14:paraId="7A6F8F38" w14:textId="77777777" w:rsidR="00CA1D6E" w:rsidRPr="00CA1D6E" w:rsidRDefault="00CA1D6E" w:rsidP="006D17FB">
      <w:pPr>
        <w:pStyle w:val="ListParagraph"/>
        <w:ind w:left="1985" w:hanging="1134"/>
        <w:rPr>
          <w:rFonts w:ascii="Arial" w:eastAsia="Calibri" w:hAnsi="Arial" w:cs="Arial"/>
          <w:lang w:val="en-GB"/>
        </w:rPr>
      </w:pPr>
    </w:p>
    <w:p w14:paraId="2AF42751" w14:textId="7A7C34B6" w:rsidR="00CA1D6E" w:rsidRDefault="00CA1D6E" w:rsidP="006D17FB">
      <w:pPr>
        <w:pStyle w:val="ListParagraph"/>
        <w:spacing w:line="360" w:lineRule="auto"/>
        <w:ind w:left="1985" w:hanging="1134"/>
        <w:jc w:val="both"/>
        <w:rPr>
          <w:rFonts w:ascii="Arial" w:eastAsia="Calibri" w:hAnsi="Arial" w:cs="Arial"/>
          <w:lang w:val="en-GB"/>
        </w:rPr>
      </w:pPr>
      <w:r>
        <w:rPr>
          <w:rFonts w:ascii="Arial" w:eastAsia="Calibri" w:hAnsi="Arial" w:cs="Arial"/>
          <w:lang w:val="en-GB"/>
        </w:rPr>
        <w:t>[1</w:t>
      </w:r>
      <w:r w:rsidR="00883060">
        <w:rPr>
          <w:rFonts w:ascii="Arial" w:eastAsia="Calibri" w:hAnsi="Arial" w:cs="Arial"/>
          <w:lang w:val="en-GB"/>
        </w:rPr>
        <w:t>7</w:t>
      </w:r>
      <w:r>
        <w:rPr>
          <w:rFonts w:ascii="Arial" w:eastAsia="Calibri" w:hAnsi="Arial" w:cs="Arial"/>
          <w:lang w:val="en-GB"/>
        </w:rPr>
        <w:t>.1]</w:t>
      </w:r>
      <w:r>
        <w:rPr>
          <w:rFonts w:ascii="Arial" w:eastAsia="Calibri" w:hAnsi="Arial" w:cs="Arial"/>
          <w:lang w:val="en-GB"/>
        </w:rPr>
        <w:tab/>
      </w:r>
      <w:r w:rsidR="006D17FB">
        <w:rPr>
          <w:rFonts w:ascii="Arial" w:eastAsia="Calibri" w:hAnsi="Arial" w:cs="Arial"/>
          <w:lang w:val="en-GB"/>
        </w:rPr>
        <w:t>that the deponent to the founding affidavit and consequently the referral it represented, had not been properly authorised.</w:t>
      </w:r>
    </w:p>
    <w:p w14:paraId="07FA84B6" w14:textId="30C1F6F6" w:rsidR="006D17FB" w:rsidRDefault="006D17FB" w:rsidP="006D17FB">
      <w:pPr>
        <w:pStyle w:val="ListParagraph"/>
        <w:spacing w:line="360" w:lineRule="auto"/>
        <w:ind w:left="1985" w:hanging="1134"/>
        <w:jc w:val="both"/>
        <w:rPr>
          <w:rFonts w:ascii="Arial" w:eastAsia="Calibri" w:hAnsi="Arial" w:cs="Arial"/>
          <w:lang w:val="en-GB"/>
        </w:rPr>
      </w:pPr>
    </w:p>
    <w:p w14:paraId="1C2C01BA" w14:textId="1C8EA2F8" w:rsidR="006D17FB" w:rsidRDefault="006D17FB" w:rsidP="006D17FB">
      <w:pPr>
        <w:pStyle w:val="ListParagraph"/>
        <w:spacing w:line="360" w:lineRule="auto"/>
        <w:ind w:left="1985" w:hanging="1134"/>
        <w:jc w:val="both"/>
        <w:rPr>
          <w:rFonts w:ascii="Arial" w:eastAsia="Calibri" w:hAnsi="Arial" w:cs="Arial"/>
          <w:lang w:val="en-GB"/>
        </w:rPr>
      </w:pPr>
      <w:r>
        <w:rPr>
          <w:rFonts w:ascii="Arial" w:eastAsia="Calibri" w:hAnsi="Arial" w:cs="Arial"/>
          <w:lang w:val="en-GB"/>
        </w:rPr>
        <w:t>[1</w:t>
      </w:r>
      <w:r w:rsidR="00883060">
        <w:rPr>
          <w:rFonts w:ascii="Arial" w:eastAsia="Calibri" w:hAnsi="Arial" w:cs="Arial"/>
          <w:lang w:val="en-GB"/>
        </w:rPr>
        <w:t>7</w:t>
      </w:r>
      <w:r>
        <w:rPr>
          <w:rFonts w:ascii="Arial" w:eastAsia="Calibri" w:hAnsi="Arial" w:cs="Arial"/>
          <w:lang w:val="en-GB"/>
        </w:rPr>
        <w:t>.2]</w:t>
      </w:r>
      <w:r>
        <w:rPr>
          <w:rFonts w:ascii="Arial" w:eastAsia="Calibri" w:hAnsi="Arial" w:cs="Arial"/>
          <w:lang w:val="en-GB"/>
        </w:rPr>
        <w:tab/>
        <w:t>the referral was predicated on unconfirmed and inadmissible hearsay evidence.</w:t>
      </w:r>
    </w:p>
    <w:p w14:paraId="17A2E6F5" w14:textId="5F83090A" w:rsidR="006D17FB" w:rsidRDefault="006D17FB" w:rsidP="006D17FB">
      <w:pPr>
        <w:pStyle w:val="ListParagraph"/>
        <w:spacing w:line="360" w:lineRule="auto"/>
        <w:ind w:left="1985" w:hanging="1134"/>
        <w:jc w:val="both"/>
        <w:rPr>
          <w:rFonts w:ascii="Arial" w:eastAsia="Calibri" w:hAnsi="Arial" w:cs="Arial"/>
          <w:lang w:val="en-GB"/>
        </w:rPr>
      </w:pPr>
    </w:p>
    <w:p w14:paraId="40FE9BC6" w14:textId="7E906093" w:rsidR="006D17FB" w:rsidRDefault="006D17FB" w:rsidP="006D17FB">
      <w:pPr>
        <w:pStyle w:val="ListParagraph"/>
        <w:spacing w:line="360" w:lineRule="auto"/>
        <w:ind w:left="1985" w:hanging="1134"/>
        <w:jc w:val="both"/>
        <w:rPr>
          <w:rFonts w:ascii="Arial" w:eastAsia="Calibri" w:hAnsi="Arial" w:cs="Arial"/>
          <w:lang w:val="en-GB"/>
        </w:rPr>
      </w:pPr>
      <w:r>
        <w:rPr>
          <w:rFonts w:ascii="Arial" w:eastAsia="Calibri" w:hAnsi="Arial" w:cs="Arial"/>
          <w:lang w:val="en-GB"/>
        </w:rPr>
        <w:t>[1</w:t>
      </w:r>
      <w:r w:rsidR="00883060">
        <w:rPr>
          <w:rFonts w:ascii="Arial" w:eastAsia="Calibri" w:hAnsi="Arial" w:cs="Arial"/>
          <w:lang w:val="en-GB"/>
        </w:rPr>
        <w:t>7</w:t>
      </w:r>
      <w:r>
        <w:rPr>
          <w:rFonts w:ascii="Arial" w:eastAsia="Calibri" w:hAnsi="Arial" w:cs="Arial"/>
          <w:lang w:val="en-GB"/>
        </w:rPr>
        <w:t>.3]</w:t>
      </w:r>
      <w:r>
        <w:rPr>
          <w:rFonts w:ascii="Arial" w:eastAsia="Calibri" w:hAnsi="Arial" w:cs="Arial"/>
          <w:lang w:val="en-GB"/>
        </w:rPr>
        <w:tab/>
        <w:t xml:space="preserve">the referral failed to meet the threshold of establishing “a reasonable suspicion” or for that matter any suspicion that FGI had engaged in “prohibited conduct”  </w:t>
      </w:r>
    </w:p>
    <w:p w14:paraId="37E8B166" w14:textId="74EA6D6B" w:rsidR="006D17FB" w:rsidRDefault="006D17FB" w:rsidP="006D17FB">
      <w:pPr>
        <w:pStyle w:val="ListParagraph"/>
        <w:spacing w:line="360" w:lineRule="auto"/>
        <w:ind w:left="1985" w:hanging="1134"/>
        <w:jc w:val="both"/>
        <w:rPr>
          <w:rFonts w:ascii="Arial" w:eastAsia="Calibri" w:hAnsi="Arial" w:cs="Arial"/>
          <w:lang w:val="en-GB"/>
        </w:rPr>
      </w:pPr>
    </w:p>
    <w:p w14:paraId="35C786B6" w14:textId="3D40385E" w:rsidR="006D17FB" w:rsidRDefault="006D17FB" w:rsidP="006D17FB">
      <w:pPr>
        <w:pStyle w:val="ListParagraph"/>
        <w:spacing w:line="360" w:lineRule="auto"/>
        <w:ind w:left="1985" w:hanging="1134"/>
        <w:jc w:val="both"/>
        <w:rPr>
          <w:rFonts w:ascii="Arial" w:eastAsia="Calibri" w:hAnsi="Arial" w:cs="Arial"/>
          <w:lang w:val="en-GB"/>
        </w:rPr>
      </w:pPr>
      <w:r>
        <w:rPr>
          <w:rFonts w:ascii="Arial" w:eastAsia="Calibri" w:hAnsi="Arial" w:cs="Arial"/>
          <w:lang w:val="en-GB"/>
        </w:rPr>
        <w:t>[1</w:t>
      </w:r>
      <w:r w:rsidR="00883060">
        <w:rPr>
          <w:rFonts w:ascii="Arial" w:eastAsia="Calibri" w:hAnsi="Arial" w:cs="Arial"/>
          <w:lang w:val="en-GB"/>
        </w:rPr>
        <w:t>7</w:t>
      </w:r>
      <w:r>
        <w:rPr>
          <w:rFonts w:ascii="Arial" w:eastAsia="Calibri" w:hAnsi="Arial" w:cs="Arial"/>
          <w:lang w:val="en-GB"/>
        </w:rPr>
        <w:t>.4]</w:t>
      </w:r>
      <w:r>
        <w:rPr>
          <w:rFonts w:ascii="Arial" w:eastAsia="Calibri" w:hAnsi="Arial" w:cs="Arial"/>
          <w:lang w:val="en-GB"/>
        </w:rPr>
        <w:tab/>
        <w:t>that the inspector upon whose report the referral was advanced, had exceeded the scope of the investigation that had been authorised and</w:t>
      </w:r>
    </w:p>
    <w:p w14:paraId="43A36299" w14:textId="6E0A7161" w:rsidR="006D17FB" w:rsidRDefault="006D17FB" w:rsidP="006D17FB">
      <w:pPr>
        <w:pStyle w:val="ListParagraph"/>
        <w:spacing w:line="360" w:lineRule="auto"/>
        <w:ind w:left="1985" w:hanging="1134"/>
        <w:jc w:val="both"/>
        <w:rPr>
          <w:rFonts w:ascii="Arial" w:eastAsia="Calibri" w:hAnsi="Arial" w:cs="Arial"/>
          <w:lang w:val="en-GB"/>
        </w:rPr>
      </w:pPr>
    </w:p>
    <w:p w14:paraId="21AC825D" w14:textId="3BFD294C" w:rsidR="006D17FB" w:rsidRDefault="006D17FB" w:rsidP="006D17FB">
      <w:pPr>
        <w:pStyle w:val="ListParagraph"/>
        <w:spacing w:line="360" w:lineRule="auto"/>
        <w:ind w:left="1985" w:hanging="1134"/>
        <w:jc w:val="both"/>
        <w:rPr>
          <w:rFonts w:ascii="Arial" w:eastAsia="Calibri" w:hAnsi="Arial" w:cs="Arial"/>
          <w:lang w:val="en-GB"/>
        </w:rPr>
      </w:pPr>
      <w:r>
        <w:rPr>
          <w:rFonts w:ascii="Arial" w:eastAsia="Calibri" w:hAnsi="Arial" w:cs="Arial"/>
          <w:lang w:val="en-GB"/>
        </w:rPr>
        <w:t>[1</w:t>
      </w:r>
      <w:r w:rsidR="00883060">
        <w:rPr>
          <w:rFonts w:ascii="Arial" w:eastAsia="Calibri" w:hAnsi="Arial" w:cs="Arial"/>
          <w:lang w:val="en-GB"/>
        </w:rPr>
        <w:t>7</w:t>
      </w:r>
      <w:r>
        <w:rPr>
          <w:rFonts w:ascii="Arial" w:eastAsia="Calibri" w:hAnsi="Arial" w:cs="Arial"/>
          <w:lang w:val="en-GB"/>
        </w:rPr>
        <w:t>.5]</w:t>
      </w:r>
      <w:r>
        <w:rPr>
          <w:rFonts w:ascii="Arial" w:eastAsia="Calibri" w:hAnsi="Arial" w:cs="Arial"/>
          <w:lang w:val="en-GB"/>
        </w:rPr>
        <w:tab/>
        <w:t>the inspector’s report was materially incomplete and defective.</w:t>
      </w:r>
    </w:p>
    <w:p w14:paraId="24D2A846" w14:textId="408E493D" w:rsidR="006665B3" w:rsidRPr="00883060" w:rsidRDefault="006665B3" w:rsidP="00883060">
      <w:pPr>
        <w:rPr>
          <w:rFonts w:ascii="Arial" w:eastAsia="Calibri" w:hAnsi="Arial" w:cs="Arial"/>
          <w:lang w:val="en-GB"/>
        </w:rPr>
      </w:pPr>
    </w:p>
    <w:p w14:paraId="2D9C91C3" w14:textId="77777777" w:rsidR="006665B3" w:rsidRPr="00CA1D6E" w:rsidRDefault="006665B3" w:rsidP="00CA1D6E">
      <w:pPr>
        <w:pStyle w:val="ListParagraph"/>
        <w:rPr>
          <w:rFonts w:ascii="Arial" w:eastAsia="Calibri" w:hAnsi="Arial" w:cs="Arial"/>
          <w:lang w:val="en-GB"/>
        </w:rPr>
      </w:pPr>
    </w:p>
    <w:p w14:paraId="574B8C3F" w14:textId="065E0972" w:rsidR="00200DEE" w:rsidRPr="00CA4DB0" w:rsidRDefault="00ED27BE" w:rsidP="00061B93">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 xml:space="preserve">The principal argument advanced by FGI </w:t>
      </w:r>
      <w:r w:rsidR="00BD2FA1">
        <w:rPr>
          <w:rFonts w:ascii="Arial" w:eastAsia="Calibri" w:hAnsi="Arial" w:cs="Arial"/>
          <w:lang w:val="en-GB"/>
        </w:rPr>
        <w:t>wa</w:t>
      </w:r>
      <w:r>
        <w:rPr>
          <w:rFonts w:ascii="Arial" w:eastAsia="Calibri" w:hAnsi="Arial" w:cs="Arial"/>
          <w:lang w:val="en-GB"/>
        </w:rPr>
        <w:t>s that “</w:t>
      </w:r>
      <w:r>
        <w:rPr>
          <w:rFonts w:ascii="Arial" w:eastAsia="Calibri" w:hAnsi="Arial" w:cs="Arial"/>
          <w:i/>
          <w:iCs/>
          <w:sz w:val="22"/>
          <w:szCs w:val="22"/>
          <w:lang w:val="en-GB"/>
        </w:rPr>
        <w:t>. . . the Regulator, in its referral application to the Tribu</w:t>
      </w:r>
      <w:r w:rsidR="008A56EF">
        <w:rPr>
          <w:rFonts w:ascii="Arial" w:eastAsia="Calibri" w:hAnsi="Arial" w:cs="Arial"/>
          <w:i/>
          <w:iCs/>
          <w:sz w:val="22"/>
          <w:szCs w:val="22"/>
          <w:lang w:val="en-GB"/>
        </w:rPr>
        <w:t>n</w:t>
      </w:r>
      <w:r>
        <w:rPr>
          <w:rFonts w:ascii="Arial" w:eastAsia="Calibri" w:hAnsi="Arial" w:cs="Arial"/>
          <w:i/>
          <w:iCs/>
          <w:sz w:val="22"/>
          <w:szCs w:val="22"/>
          <w:lang w:val="en-GB"/>
        </w:rPr>
        <w:t>al, elected to proceed by way of (motion) application and, as such</w:t>
      </w:r>
      <w:r w:rsidR="008A56EF">
        <w:rPr>
          <w:rFonts w:ascii="Arial" w:eastAsia="Calibri" w:hAnsi="Arial" w:cs="Arial"/>
          <w:i/>
          <w:iCs/>
          <w:sz w:val="22"/>
          <w:szCs w:val="22"/>
          <w:lang w:val="en-GB"/>
        </w:rPr>
        <w:t>, is, and was, duty bound to make out its case in its founding papers</w:t>
      </w:r>
      <w:r w:rsidR="00200DEE">
        <w:rPr>
          <w:rFonts w:ascii="Arial" w:eastAsia="Calibri" w:hAnsi="Arial" w:cs="Arial"/>
          <w:i/>
          <w:iCs/>
          <w:sz w:val="22"/>
          <w:szCs w:val="22"/>
          <w:lang w:val="en-GB"/>
        </w:rPr>
        <w:t>.”</w:t>
      </w:r>
      <w:r w:rsidR="008A56EF">
        <w:rPr>
          <w:rFonts w:ascii="Arial" w:eastAsia="Calibri" w:hAnsi="Arial" w:cs="Arial"/>
          <w:i/>
          <w:iCs/>
          <w:sz w:val="22"/>
          <w:szCs w:val="22"/>
          <w:lang w:val="en-GB"/>
        </w:rPr>
        <w:t xml:space="preserve"> </w:t>
      </w:r>
      <w:r w:rsidR="00200DEE">
        <w:rPr>
          <w:rFonts w:ascii="Arial" w:eastAsia="Calibri" w:hAnsi="Arial" w:cs="Arial"/>
          <w:i/>
          <w:iCs/>
          <w:sz w:val="22"/>
          <w:szCs w:val="22"/>
          <w:lang w:val="en-GB"/>
        </w:rPr>
        <w:t xml:space="preserve"> </w:t>
      </w:r>
      <w:r w:rsidR="00200DEE">
        <w:rPr>
          <w:rFonts w:ascii="Arial" w:eastAsia="Calibri" w:hAnsi="Arial" w:cs="Arial"/>
          <w:lang w:val="en-GB"/>
        </w:rPr>
        <w:t>This proposition is well established in our law</w:t>
      </w:r>
      <w:r w:rsidR="00200DEE">
        <w:rPr>
          <w:rStyle w:val="FootnoteReference"/>
          <w:rFonts w:ascii="Arial" w:eastAsia="Calibri" w:hAnsi="Arial" w:cs="Arial"/>
          <w:lang w:val="en-GB"/>
        </w:rPr>
        <w:footnoteReference w:id="13"/>
      </w:r>
      <w:r w:rsidR="008C7BED">
        <w:rPr>
          <w:rFonts w:ascii="Arial" w:eastAsia="Calibri" w:hAnsi="Arial" w:cs="Arial"/>
          <w:lang w:val="en-GB"/>
        </w:rPr>
        <w:t xml:space="preserve"> </w:t>
      </w:r>
      <w:r w:rsidR="00157361">
        <w:rPr>
          <w:rFonts w:ascii="Arial" w:eastAsia="Calibri" w:hAnsi="Arial" w:cs="Arial"/>
          <w:lang w:val="en-GB"/>
        </w:rPr>
        <w:t xml:space="preserve">and confirmed </w:t>
      </w:r>
      <w:r w:rsidR="008C7BED">
        <w:rPr>
          <w:rFonts w:ascii="Arial" w:eastAsia="Calibri" w:hAnsi="Arial" w:cs="Arial"/>
          <w:lang w:val="en-GB"/>
        </w:rPr>
        <w:t>most pertinently</w:t>
      </w:r>
      <w:r w:rsidR="00157361">
        <w:rPr>
          <w:rFonts w:ascii="Arial" w:eastAsia="Calibri" w:hAnsi="Arial" w:cs="Arial"/>
          <w:lang w:val="en-GB"/>
        </w:rPr>
        <w:t>, within the present context</w:t>
      </w:r>
      <w:r w:rsidR="008C7BED">
        <w:rPr>
          <w:rFonts w:ascii="Arial" w:eastAsia="Calibri" w:hAnsi="Arial" w:cs="Arial"/>
          <w:lang w:val="en-GB"/>
        </w:rPr>
        <w:t xml:space="preserve"> in </w:t>
      </w:r>
      <w:r w:rsidR="008C7BED" w:rsidRPr="008C7BED">
        <w:rPr>
          <w:rFonts w:ascii="Arial" w:eastAsia="Calibri" w:hAnsi="Arial" w:cs="Arial"/>
          <w:i/>
          <w:iCs/>
          <w:lang w:val="en-GB"/>
        </w:rPr>
        <w:t>National Credit Regulator v Lewis Stores (Pty) Ltd and Another</w:t>
      </w:r>
      <w:r w:rsidR="008C7BED">
        <w:rPr>
          <w:rStyle w:val="FootnoteReference"/>
          <w:rFonts w:ascii="Arial" w:eastAsia="Calibri" w:hAnsi="Arial" w:cs="Arial"/>
          <w:i/>
          <w:iCs/>
          <w:lang w:val="en-GB"/>
        </w:rPr>
        <w:footnoteReference w:id="14"/>
      </w:r>
      <w:r w:rsidR="008C7BED">
        <w:rPr>
          <w:rFonts w:ascii="Arial" w:eastAsia="Calibri" w:hAnsi="Arial" w:cs="Arial"/>
          <w:i/>
          <w:iCs/>
          <w:lang w:val="en-GB"/>
        </w:rPr>
        <w:t xml:space="preserve"> (Lewis 1)</w:t>
      </w:r>
      <w:r w:rsidR="00157361">
        <w:rPr>
          <w:rFonts w:ascii="Arial" w:eastAsia="Calibri" w:hAnsi="Arial" w:cs="Arial"/>
          <w:i/>
          <w:iCs/>
          <w:lang w:val="en-GB"/>
        </w:rPr>
        <w:t xml:space="preserve">. </w:t>
      </w:r>
    </w:p>
    <w:p w14:paraId="3956F4E2" w14:textId="77777777" w:rsidR="00CA4DB0" w:rsidRDefault="00CA4DB0" w:rsidP="00CA4DB0">
      <w:pPr>
        <w:pStyle w:val="ListParagraph"/>
        <w:spacing w:line="360" w:lineRule="auto"/>
        <w:ind w:left="851"/>
        <w:jc w:val="both"/>
        <w:rPr>
          <w:rFonts w:ascii="Arial" w:eastAsia="Calibri" w:hAnsi="Arial" w:cs="Arial"/>
          <w:lang w:val="en-GB"/>
        </w:rPr>
      </w:pPr>
    </w:p>
    <w:p w14:paraId="45EFDEB5" w14:textId="720A6BA6" w:rsidR="00556AF3" w:rsidRDefault="00556AF3" w:rsidP="00061B93">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Having elected to proceed by way of motion, both the NCR who referred the matter</w:t>
      </w:r>
      <w:r w:rsidR="002215E5">
        <w:rPr>
          <w:rFonts w:ascii="Arial" w:eastAsia="Calibri" w:hAnsi="Arial" w:cs="Arial"/>
          <w:lang w:val="en-GB"/>
        </w:rPr>
        <w:t xml:space="preserve"> </w:t>
      </w:r>
      <w:r>
        <w:rPr>
          <w:rFonts w:ascii="Arial" w:eastAsia="Calibri" w:hAnsi="Arial" w:cs="Arial"/>
          <w:lang w:val="en-GB"/>
        </w:rPr>
        <w:t>and the NCT who subsequently dealt with it as such</w:t>
      </w:r>
      <w:r w:rsidR="00555E40">
        <w:rPr>
          <w:rFonts w:ascii="Arial" w:eastAsia="Calibri" w:hAnsi="Arial" w:cs="Arial"/>
          <w:lang w:val="en-GB"/>
        </w:rPr>
        <w:t>,</w:t>
      </w:r>
      <w:r>
        <w:rPr>
          <w:rFonts w:ascii="Arial" w:eastAsia="Calibri" w:hAnsi="Arial" w:cs="Arial"/>
          <w:lang w:val="en-GB"/>
        </w:rPr>
        <w:t xml:space="preserve"> must have been mindful of the nature of </w:t>
      </w:r>
      <w:r w:rsidR="002215E5">
        <w:rPr>
          <w:rFonts w:ascii="Arial" w:eastAsia="Calibri" w:hAnsi="Arial" w:cs="Arial"/>
          <w:lang w:val="en-GB"/>
        </w:rPr>
        <w:t>the proceedings b</w:t>
      </w:r>
      <w:r>
        <w:rPr>
          <w:rFonts w:ascii="Arial" w:eastAsia="Calibri" w:hAnsi="Arial" w:cs="Arial"/>
          <w:lang w:val="en-GB"/>
        </w:rPr>
        <w:t>efore it.</w:t>
      </w:r>
    </w:p>
    <w:p w14:paraId="4607AA00" w14:textId="77777777" w:rsidR="00CA4DB0" w:rsidRDefault="00CA4DB0" w:rsidP="00CA4DB0">
      <w:pPr>
        <w:pStyle w:val="ListParagraph"/>
        <w:spacing w:line="360" w:lineRule="auto"/>
        <w:ind w:left="851"/>
        <w:jc w:val="both"/>
        <w:rPr>
          <w:rFonts w:ascii="Arial" w:eastAsia="Calibri" w:hAnsi="Arial" w:cs="Arial"/>
          <w:lang w:val="en-GB"/>
        </w:rPr>
      </w:pPr>
    </w:p>
    <w:p w14:paraId="27C8ED06" w14:textId="0C9BCB0C" w:rsidR="00A40594" w:rsidRPr="00A40594" w:rsidRDefault="00A40594" w:rsidP="00A40594">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The NCR argued that the dictum of the</w:t>
      </w:r>
      <w:r w:rsidRPr="00A40594">
        <w:rPr>
          <w:rFonts w:ascii="Arial" w:eastAsia="Calibri" w:hAnsi="Arial" w:cs="Arial"/>
          <w:i/>
          <w:iCs/>
          <w:lang w:val="en-GB"/>
        </w:rPr>
        <w:t xml:space="preserve"> </w:t>
      </w:r>
      <w:r w:rsidRPr="00A40594">
        <w:rPr>
          <w:rFonts w:ascii="Arial" w:eastAsia="Calibri" w:hAnsi="Arial" w:cs="Arial"/>
          <w:lang w:val="en-GB"/>
        </w:rPr>
        <w:t>Court in</w:t>
      </w:r>
      <w:r w:rsidRPr="00A40594">
        <w:rPr>
          <w:rFonts w:ascii="Arial" w:eastAsia="Calibri" w:hAnsi="Arial" w:cs="Arial"/>
          <w:i/>
          <w:iCs/>
          <w:lang w:val="en-GB"/>
        </w:rPr>
        <w:t xml:space="preserve"> Edcon Holdings Ltd v The National Consumer Tribunal and Another</w:t>
      </w:r>
      <w:r>
        <w:rPr>
          <w:rStyle w:val="FootnoteReference"/>
          <w:rFonts w:ascii="Arial" w:eastAsia="Calibri" w:hAnsi="Arial" w:cs="Arial"/>
          <w:i/>
          <w:iCs/>
          <w:lang w:val="en-GB"/>
        </w:rPr>
        <w:footnoteReference w:id="15"/>
      </w:r>
      <w:r>
        <w:rPr>
          <w:rFonts w:ascii="Arial" w:eastAsia="Calibri" w:hAnsi="Arial" w:cs="Arial"/>
          <w:i/>
          <w:iCs/>
          <w:lang w:val="en-GB"/>
        </w:rPr>
        <w:t xml:space="preserve"> </w:t>
      </w:r>
      <w:r>
        <w:rPr>
          <w:rFonts w:ascii="Arial" w:eastAsia="Calibri" w:hAnsi="Arial" w:cs="Arial"/>
          <w:lang w:val="en-GB"/>
        </w:rPr>
        <w:t xml:space="preserve">that: </w:t>
      </w:r>
      <w:r w:rsidRPr="00A40594">
        <w:rPr>
          <w:rFonts w:ascii="Arial" w:eastAsia="Calibri" w:hAnsi="Arial" w:cs="Arial"/>
          <w:i/>
          <w:iCs/>
          <w:sz w:val="22"/>
          <w:szCs w:val="22"/>
          <w:lang w:val="en-GB"/>
        </w:rPr>
        <w:t>“The proceedings before the Tribunal were brought by way of affidavit.  The Regulator could therefore only succeed if the facts averred in its founding affidavit which were admitted by Edcon together with the facts alleged by Edcon justified the order made”</w:t>
      </w:r>
      <w:r>
        <w:rPr>
          <w:rFonts w:ascii="Arial" w:eastAsia="Calibri" w:hAnsi="Arial" w:cs="Arial"/>
          <w:i/>
          <w:iCs/>
          <w:sz w:val="22"/>
          <w:szCs w:val="22"/>
          <w:lang w:val="en-GB"/>
        </w:rPr>
        <w:t xml:space="preserve">  </w:t>
      </w:r>
      <w:r>
        <w:rPr>
          <w:rFonts w:ascii="Arial" w:eastAsia="Calibri" w:hAnsi="Arial" w:cs="Arial"/>
          <w:lang w:val="en-GB"/>
        </w:rPr>
        <w:t xml:space="preserve">was distinguishable from the present case inasmuch as that Court did not have regard to the prescribed form for referral and none of the parties had raised it in that matter. So too in the present matter, the NCR brought its proceedings before the NCT by way of affidavit.  </w:t>
      </w:r>
      <w:r w:rsidR="009B4389">
        <w:rPr>
          <w:rFonts w:ascii="Arial" w:eastAsia="Calibri" w:hAnsi="Arial" w:cs="Arial"/>
          <w:lang w:val="en-GB"/>
        </w:rPr>
        <w:t>The NCR h</w:t>
      </w:r>
      <w:r>
        <w:rPr>
          <w:rFonts w:ascii="Arial" w:eastAsia="Calibri" w:hAnsi="Arial" w:cs="Arial"/>
          <w:lang w:val="en-GB"/>
        </w:rPr>
        <w:t>aving pinned its colours to the mast, it was no</w:t>
      </w:r>
      <w:r w:rsidR="009B4389">
        <w:rPr>
          <w:rFonts w:ascii="Arial" w:eastAsia="Calibri" w:hAnsi="Arial" w:cs="Arial"/>
          <w:lang w:val="en-GB"/>
        </w:rPr>
        <w:t>w</w:t>
      </w:r>
      <w:r>
        <w:rPr>
          <w:rFonts w:ascii="Arial" w:eastAsia="Calibri" w:hAnsi="Arial" w:cs="Arial"/>
          <w:lang w:val="en-GB"/>
        </w:rPr>
        <w:t xml:space="preserve"> obligated to sail under those colours.</w:t>
      </w:r>
    </w:p>
    <w:p w14:paraId="2700EC59" w14:textId="77777777" w:rsidR="002215E5" w:rsidRPr="002215E5" w:rsidRDefault="002215E5" w:rsidP="002215E5">
      <w:pPr>
        <w:pStyle w:val="ListParagraph"/>
        <w:rPr>
          <w:rFonts w:ascii="Arial" w:eastAsia="Calibri" w:hAnsi="Arial" w:cs="Arial"/>
          <w:lang w:val="en-GB"/>
        </w:rPr>
      </w:pPr>
    </w:p>
    <w:p w14:paraId="52CB0342" w14:textId="2FF2528C" w:rsidR="00CA4DB0" w:rsidRPr="00CA4DB0" w:rsidRDefault="007806FC" w:rsidP="00A903F7">
      <w:pPr>
        <w:pStyle w:val="ListParagraph"/>
        <w:numPr>
          <w:ilvl w:val="0"/>
          <w:numId w:val="15"/>
        </w:numPr>
        <w:spacing w:line="360" w:lineRule="auto"/>
        <w:ind w:left="851" w:hanging="851"/>
        <w:jc w:val="both"/>
        <w:rPr>
          <w:rFonts w:ascii="Arial" w:eastAsia="Calibri" w:hAnsi="Arial" w:cs="Arial"/>
          <w:lang w:val="en-GB"/>
        </w:rPr>
      </w:pPr>
      <w:r w:rsidRPr="00CA4DB0">
        <w:rPr>
          <w:rFonts w:ascii="Arial" w:eastAsia="Calibri" w:hAnsi="Arial" w:cs="Arial"/>
          <w:lang w:val="en-GB"/>
        </w:rPr>
        <w:t xml:space="preserve">In </w:t>
      </w:r>
      <w:r w:rsidRPr="00CA4DB0">
        <w:rPr>
          <w:rFonts w:ascii="Arial" w:eastAsia="Calibri" w:hAnsi="Arial" w:cs="Arial"/>
          <w:i/>
          <w:iCs/>
          <w:lang w:val="en-GB"/>
        </w:rPr>
        <w:t>Venmop 275 (Pty) Ltd and Another v Cleverlad Projects (Pty) Ltd and Another</w:t>
      </w:r>
      <w:r>
        <w:rPr>
          <w:rStyle w:val="FootnoteReference"/>
          <w:rFonts w:ascii="Arial" w:eastAsia="Calibri" w:hAnsi="Arial" w:cs="Arial"/>
          <w:lang w:val="en-GB"/>
        </w:rPr>
        <w:footnoteReference w:id="16"/>
      </w:r>
      <w:r w:rsidRPr="00CA4DB0">
        <w:rPr>
          <w:rFonts w:ascii="Arial" w:eastAsia="Calibri" w:hAnsi="Arial" w:cs="Arial"/>
          <w:lang w:val="en-GB"/>
        </w:rPr>
        <w:t xml:space="preserve"> the court </w:t>
      </w:r>
      <w:r w:rsidR="00CA4DB0" w:rsidRPr="00CA4DB0">
        <w:rPr>
          <w:rFonts w:ascii="Arial" w:eastAsia="Calibri" w:hAnsi="Arial" w:cs="Arial"/>
          <w:lang w:val="en-GB"/>
        </w:rPr>
        <w:t xml:space="preserve">pertinently </w:t>
      </w:r>
      <w:r w:rsidR="00FA290A">
        <w:rPr>
          <w:rFonts w:ascii="Arial" w:eastAsia="Calibri" w:hAnsi="Arial" w:cs="Arial"/>
          <w:lang w:val="en-GB"/>
        </w:rPr>
        <w:t>enunciated</w:t>
      </w:r>
      <w:r w:rsidR="00CA4DB0" w:rsidRPr="00CA4DB0">
        <w:rPr>
          <w:rFonts w:ascii="Arial" w:eastAsia="Calibri" w:hAnsi="Arial" w:cs="Arial"/>
          <w:lang w:val="en-GB"/>
        </w:rPr>
        <w:t xml:space="preserve"> that “</w:t>
      </w:r>
      <w:r w:rsidR="00CA4DB0" w:rsidRPr="00CA4DB0">
        <w:rPr>
          <w:rFonts w:ascii="Arial" w:hAnsi="Arial" w:cs="Arial"/>
          <w:i/>
          <w:iCs/>
          <w:sz w:val="22"/>
          <w:szCs w:val="22"/>
        </w:rPr>
        <w:t xml:space="preserve">In motion proceedings, affidavits serve a dual function of both pleadings and evidence” </w:t>
      </w:r>
      <w:r w:rsidR="00CA4DB0">
        <w:rPr>
          <w:rStyle w:val="FootnoteReference"/>
          <w:rFonts w:ascii="Arial" w:hAnsi="Arial" w:cs="Arial"/>
          <w:i/>
          <w:iCs/>
          <w:sz w:val="22"/>
          <w:szCs w:val="22"/>
        </w:rPr>
        <w:footnoteReference w:id="17"/>
      </w:r>
      <w:r w:rsidR="00CA4DB0" w:rsidRPr="00CA4DB0">
        <w:rPr>
          <w:rFonts w:ascii="Arial" w:hAnsi="Arial" w:cs="Arial"/>
          <w:i/>
          <w:iCs/>
          <w:sz w:val="22"/>
          <w:szCs w:val="22"/>
        </w:rPr>
        <w:t xml:space="preserve"> </w:t>
      </w:r>
      <w:r w:rsidR="00CA4DB0" w:rsidRPr="00BE7BD5">
        <w:rPr>
          <w:rFonts w:ascii="Arial" w:hAnsi="Arial" w:cs="Arial"/>
          <w:i/>
          <w:iCs/>
        </w:rPr>
        <w:t>and that</w:t>
      </w:r>
      <w:r w:rsidR="00CA4DB0" w:rsidRPr="00CA4DB0">
        <w:rPr>
          <w:rFonts w:ascii="Arial" w:hAnsi="Arial" w:cs="Arial"/>
          <w:i/>
          <w:iCs/>
          <w:sz w:val="22"/>
          <w:szCs w:val="22"/>
        </w:rPr>
        <w:t xml:space="preserve"> “Deponents to the affidavits are testifying in the motion proceedings.”</w:t>
      </w:r>
      <w:r w:rsidR="00CA4DB0">
        <w:rPr>
          <w:rStyle w:val="FootnoteReference"/>
          <w:rFonts w:ascii="Arial" w:hAnsi="Arial" w:cs="Arial"/>
          <w:i/>
          <w:iCs/>
          <w:sz w:val="22"/>
          <w:szCs w:val="22"/>
        </w:rPr>
        <w:footnoteReference w:id="18"/>
      </w:r>
      <w:r w:rsidR="00CA4DB0" w:rsidRPr="00CA4DB0">
        <w:rPr>
          <w:rFonts w:ascii="Arial" w:hAnsi="Arial" w:cs="Arial"/>
          <w:i/>
          <w:iCs/>
          <w:sz w:val="22"/>
          <w:szCs w:val="22"/>
        </w:rPr>
        <w:t xml:space="preserve">  </w:t>
      </w:r>
    </w:p>
    <w:p w14:paraId="73BCD4B7" w14:textId="77777777" w:rsidR="00CA4DB0" w:rsidRDefault="00CA4DB0" w:rsidP="00CA4DB0">
      <w:pPr>
        <w:pStyle w:val="ListParagraph"/>
        <w:spacing w:line="360" w:lineRule="auto"/>
        <w:ind w:left="851"/>
        <w:jc w:val="both"/>
        <w:rPr>
          <w:rFonts w:ascii="Arial" w:eastAsia="Calibri" w:hAnsi="Arial" w:cs="Arial"/>
          <w:lang w:val="en-GB"/>
        </w:rPr>
      </w:pPr>
    </w:p>
    <w:p w14:paraId="49485DFB" w14:textId="5B932C63" w:rsidR="00CA4DB0" w:rsidRDefault="00CA4DB0" w:rsidP="00CA4DB0">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lastRenderedPageBreak/>
        <w:t xml:space="preserve">It is against the mosaic of the </w:t>
      </w:r>
      <w:r w:rsidR="0000351F">
        <w:rPr>
          <w:rFonts w:ascii="Arial" w:eastAsia="Calibri" w:hAnsi="Arial" w:cs="Arial"/>
          <w:lang w:val="en-GB"/>
        </w:rPr>
        <w:t xml:space="preserve">affidavits before it together with </w:t>
      </w:r>
      <w:r>
        <w:rPr>
          <w:rFonts w:ascii="Arial" w:eastAsia="Calibri" w:hAnsi="Arial" w:cs="Arial"/>
          <w:lang w:val="en-GB"/>
        </w:rPr>
        <w:t xml:space="preserve">s 142(1) of the NCA </w:t>
      </w:r>
      <w:r w:rsidR="0000351F">
        <w:rPr>
          <w:rFonts w:ascii="Arial" w:eastAsia="Calibri" w:hAnsi="Arial" w:cs="Arial"/>
          <w:lang w:val="en-GB"/>
        </w:rPr>
        <w:t xml:space="preserve">that the NCT was obliged to conduct itself and consider both the complaint as well as the points </w:t>
      </w:r>
      <w:r w:rsidR="0000351F" w:rsidRPr="0000351F">
        <w:rPr>
          <w:rFonts w:ascii="Arial" w:eastAsia="Calibri" w:hAnsi="Arial" w:cs="Arial"/>
          <w:i/>
          <w:iCs/>
          <w:lang w:val="en-GB"/>
        </w:rPr>
        <w:t>in limine</w:t>
      </w:r>
      <w:r w:rsidR="0000351F">
        <w:rPr>
          <w:rFonts w:ascii="Arial" w:eastAsia="Calibri" w:hAnsi="Arial" w:cs="Arial"/>
          <w:lang w:val="en-GB"/>
        </w:rPr>
        <w:t>. I turn now to the grounds of appeal.</w:t>
      </w:r>
    </w:p>
    <w:p w14:paraId="138D665C" w14:textId="77777777" w:rsidR="00CA4DB0" w:rsidRDefault="00CA4DB0" w:rsidP="00CA4DB0">
      <w:pPr>
        <w:spacing w:line="360" w:lineRule="auto"/>
        <w:jc w:val="both"/>
        <w:rPr>
          <w:rFonts w:ascii="Arial" w:eastAsia="Calibri" w:hAnsi="Arial" w:cs="Arial"/>
          <w:b/>
          <w:bCs/>
          <w:lang w:val="en-GB"/>
        </w:rPr>
      </w:pPr>
    </w:p>
    <w:p w14:paraId="46F23C0A" w14:textId="5D229A7C" w:rsidR="00CA4DB0" w:rsidRPr="00CA4DB0" w:rsidRDefault="00CA4DB0" w:rsidP="00CA4DB0">
      <w:pPr>
        <w:spacing w:line="360" w:lineRule="auto"/>
        <w:jc w:val="both"/>
        <w:rPr>
          <w:rFonts w:ascii="Arial" w:eastAsia="Calibri" w:hAnsi="Arial" w:cs="Arial"/>
          <w:b/>
          <w:bCs/>
          <w:lang w:val="en-GB"/>
        </w:rPr>
      </w:pPr>
      <w:r w:rsidRPr="00CA4DB0">
        <w:rPr>
          <w:rFonts w:ascii="Arial" w:eastAsia="Calibri" w:hAnsi="Arial" w:cs="Arial"/>
          <w:b/>
          <w:bCs/>
          <w:lang w:val="en-GB"/>
        </w:rPr>
        <w:t xml:space="preserve">FIRST GROUND OF APPEAL. </w:t>
      </w:r>
    </w:p>
    <w:p w14:paraId="03BB8638" w14:textId="2D3DF30A" w:rsidR="00176941" w:rsidRDefault="00176941" w:rsidP="00176941">
      <w:pPr>
        <w:spacing w:line="360" w:lineRule="auto"/>
        <w:jc w:val="both"/>
        <w:rPr>
          <w:rFonts w:ascii="Arial" w:eastAsia="Calibri" w:hAnsi="Arial" w:cs="Arial"/>
          <w:lang w:val="en-GB"/>
        </w:rPr>
      </w:pPr>
    </w:p>
    <w:p w14:paraId="48554F8B" w14:textId="17202E62" w:rsidR="00176941" w:rsidRPr="009B4389" w:rsidRDefault="00CA4DB0" w:rsidP="009B4389">
      <w:pPr>
        <w:pStyle w:val="ListParagraph"/>
        <w:numPr>
          <w:ilvl w:val="0"/>
          <w:numId w:val="15"/>
        </w:numPr>
        <w:spacing w:line="360" w:lineRule="auto"/>
        <w:ind w:left="851" w:hanging="851"/>
        <w:jc w:val="both"/>
        <w:rPr>
          <w:rFonts w:ascii="Arial" w:eastAsia="Calibri" w:hAnsi="Arial" w:cs="Arial"/>
          <w:lang w:val="en-GB"/>
        </w:rPr>
      </w:pPr>
      <w:r w:rsidRPr="006665B3">
        <w:rPr>
          <w:rFonts w:ascii="Arial" w:eastAsia="Calibri" w:hAnsi="Arial" w:cs="Arial"/>
          <w:lang w:val="en-GB"/>
        </w:rPr>
        <w:t xml:space="preserve">The first ground of appeal is that the deponent to the founding affidavit, Ms Schwartz, and consequently the referral </w:t>
      </w:r>
      <w:r w:rsidR="00EA6E02" w:rsidRPr="006665B3">
        <w:rPr>
          <w:rFonts w:ascii="Arial" w:eastAsia="Calibri" w:hAnsi="Arial" w:cs="Arial"/>
          <w:lang w:val="en-GB"/>
        </w:rPr>
        <w:t xml:space="preserve">to which </w:t>
      </w:r>
      <w:r w:rsidRPr="006665B3">
        <w:rPr>
          <w:rFonts w:ascii="Arial" w:eastAsia="Calibri" w:hAnsi="Arial" w:cs="Arial"/>
          <w:lang w:val="en-GB"/>
        </w:rPr>
        <w:t xml:space="preserve">it </w:t>
      </w:r>
      <w:r w:rsidR="00EA6E02" w:rsidRPr="006665B3">
        <w:rPr>
          <w:rFonts w:ascii="Arial" w:eastAsia="Calibri" w:hAnsi="Arial" w:cs="Arial"/>
          <w:lang w:val="en-GB"/>
        </w:rPr>
        <w:t xml:space="preserve">was attached, </w:t>
      </w:r>
      <w:r w:rsidRPr="006665B3">
        <w:rPr>
          <w:rFonts w:ascii="Arial" w:eastAsia="Calibri" w:hAnsi="Arial" w:cs="Arial"/>
          <w:lang w:val="en-GB"/>
        </w:rPr>
        <w:t>had not been properly authorised.</w:t>
      </w:r>
      <w:r w:rsidR="00176941" w:rsidRPr="006665B3">
        <w:rPr>
          <w:rFonts w:ascii="Arial" w:eastAsia="Calibri" w:hAnsi="Arial" w:cs="Arial"/>
          <w:lang w:val="en-GB"/>
        </w:rPr>
        <w:t xml:space="preserve">  </w:t>
      </w:r>
      <w:r w:rsidR="00DB59F0" w:rsidRPr="006665B3">
        <w:rPr>
          <w:rFonts w:ascii="Arial" w:eastAsia="Calibri" w:hAnsi="Arial" w:cs="Arial"/>
          <w:lang w:val="en-GB"/>
        </w:rPr>
        <w:t>On this ground, it was the finding of the NCT</w:t>
      </w:r>
      <w:r w:rsidR="00176941" w:rsidRPr="006665B3">
        <w:rPr>
          <w:rFonts w:ascii="Arial" w:eastAsia="Calibri" w:hAnsi="Arial" w:cs="Arial"/>
          <w:lang w:val="en-GB"/>
        </w:rPr>
        <w:t xml:space="preserve"> that:</w:t>
      </w:r>
    </w:p>
    <w:p w14:paraId="33B22601" w14:textId="77777777" w:rsidR="006665B3" w:rsidRPr="003F1F5E" w:rsidRDefault="006665B3" w:rsidP="003F1F5E">
      <w:pPr>
        <w:spacing w:line="360" w:lineRule="auto"/>
        <w:jc w:val="both"/>
        <w:rPr>
          <w:rFonts w:ascii="Arial" w:eastAsia="Calibri" w:hAnsi="Arial" w:cs="Arial"/>
          <w:lang w:val="en-GB"/>
        </w:rPr>
      </w:pPr>
    </w:p>
    <w:p w14:paraId="445464B2" w14:textId="2822AC1F" w:rsidR="00176941" w:rsidRPr="000B0B55" w:rsidRDefault="00176941" w:rsidP="00A32A6F">
      <w:pPr>
        <w:pStyle w:val="ListParagraph"/>
        <w:spacing w:line="360" w:lineRule="auto"/>
        <w:ind w:left="1418"/>
        <w:jc w:val="both"/>
        <w:rPr>
          <w:rFonts w:ascii="Arial" w:eastAsia="Calibri" w:hAnsi="Arial" w:cs="Arial"/>
          <w:i/>
          <w:iCs/>
          <w:sz w:val="22"/>
          <w:szCs w:val="22"/>
          <w:lang w:val="en-GB"/>
        </w:rPr>
      </w:pPr>
      <w:r w:rsidRPr="000B0B55">
        <w:rPr>
          <w:rFonts w:ascii="Arial" w:eastAsia="Calibri" w:hAnsi="Arial" w:cs="Arial"/>
          <w:i/>
          <w:iCs/>
          <w:sz w:val="22"/>
          <w:szCs w:val="22"/>
          <w:lang w:val="en-GB"/>
        </w:rPr>
        <w:t>“There is prima facie proof that the application was duly authorised, and Ms Schwartz was authorised to act on behalf of the Applicant</w:t>
      </w:r>
      <w:r>
        <w:rPr>
          <w:rFonts w:ascii="Arial" w:eastAsia="Calibri" w:hAnsi="Arial" w:cs="Arial"/>
          <w:i/>
          <w:iCs/>
          <w:sz w:val="22"/>
          <w:szCs w:val="22"/>
          <w:lang w:val="en-GB"/>
        </w:rPr>
        <w:t>”</w:t>
      </w:r>
    </w:p>
    <w:p w14:paraId="3CC81EFF" w14:textId="77777777" w:rsidR="00176941" w:rsidRPr="00DB59F0" w:rsidRDefault="00176941" w:rsidP="00A32A6F">
      <w:pPr>
        <w:spacing w:line="360" w:lineRule="auto"/>
        <w:ind w:left="851" w:hanging="851"/>
        <w:jc w:val="both"/>
        <w:rPr>
          <w:rFonts w:ascii="Arial" w:eastAsia="Calibri" w:hAnsi="Arial" w:cs="Arial"/>
          <w:lang w:val="en-GB"/>
        </w:rPr>
      </w:pPr>
    </w:p>
    <w:p w14:paraId="0E5802A8" w14:textId="5C0BC3A3" w:rsidR="003F542D" w:rsidRDefault="00E63A74" w:rsidP="00A32A6F">
      <w:pPr>
        <w:pStyle w:val="ListParagraph"/>
        <w:numPr>
          <w:ilvl w:val="0"/>
          <w:numId w:val="15"/>
        </w:numPr>
        <w:spacing w:line="360" w:lineRule="auto"/>
        <w:ind w:left="851" w:hanging="851"/>
        <w:jc w:val="both"/>
        <w:rPr>
          <w:rFonts w:ascii="Arial" w:eastAsia="Calibri" w:hAnsi="Arial" w:cs="Arial"/>
          <w:lang w:val="en-GB"/>
        </w:rPr>
      </w:pPr>
      <w:r w:rsidRPr="003F542D">
        <w:rPr>
          <w:rFonts w:ascii="Arial" w:eastAsia="Calibri" w:hAnsi="Arial" w:cs="Arial"/>
          <w:lang w:val="en-GB"/>
        </w:rPr>
        <w:t xml:space="preserve">FGI challenged the authority on the basis that </w:t>
      </w:r>
      <w:r w:rsidR="005952CF" w:rsidRPr="003F542D">
        <w:rPr>
          <w:rFonts w:ascii="Arial" w:eastAsia="Calibri" w:hAnsi="Arial" w:cs="Arial"/>
          <w:lang w:val="en-GB"/>
        </w:rPr>
        <w:t xml:space="preserve">she had failed to prove and establish </w:t>
      </w:r>
      <w:r w:rsidRPr="003F542D">
        <w:rPr>
          <w:rFonts w:ascii="Arial" w:eastAsia="Calibri" w:hAnsi="Arial" w:cs="Arial"/>
          <w:lang w:val="en-GB"/>
        </w:rPr>
        <w:t xml:space="preserve">her authority </w:t>
      </w:r>
      <w:r w:rsidR="005952CF" w:rsidRPr="003F542D">
        <w:rPr>
          <w:rFonts w:ascii="Arial" w:eastAsia="Calibri" w:hAnsi="Arial" w:cs="Arial"/>
          <w:lang w:val="en-GB"/>
        </w:rPr>
        <w:t xml:space="preserve">to represent the NCR.  It was not in issue that Ms Schwartz </w:t>
      </w:r>
      <w:r w:rsidR="002E2E35" w:rsidRPr="003F542D">
        <w:rPr>
          <w:rFonts w:ascii="Arial" w:eastAsia="Calibri" w:hAnsi="Arial" w:cs="Arial"/>
          <w:lang w:val="en-GB"/>
        </w:rPr>
        <w:t xml:space="preserve">had never interacted with any of the representatives of FGI and was not involved in the investigation and compiling of the report.   </w:t>
      </w:r>
    </w:p>
    <w:p w14:paraId="4A5D2925" w14:textId="77777777" w:rsidR="003F542D" w:rsidRDefault="003F542D" w:rsidP="00A32A6F">
      <w:pPr>
        <w:pStyle w:val="ListParagraph"/>
        <w:spacing w:line="360" w:lineRule="auto"/>
        <w:ind w:left="851" w:hanging="851"/>
        <w:jc w:val="both"/>
        <w:rPr>
          <w:rFonts w:ascii="Arial" w:eastAsia="Calibri" w:hAnsi="Arial" w:cs="Arial"/>
          <w:lang w:val="en-GB"/>
        </w:rPr>
      </w:pPr>
    </w:p>
    <w:p w14:paraId="24EE37F4" w14:textId="77777777" w:rsidR="003F542D" w:rsidRPr="003F542D" w:rsidRDefault="001168D3" w:rsidP="00A32A6F">
      <w:pPr>
        <w:pStyle w:val="ListParagraph"/>
        <w:numPr>
          <w:ilvl w:val="0"/>
          <w:numId w:val="15"/>
        </w:numPr>
        <w:spacing w:line="360" w:lineRule="auto"/>
        <w:ind w:left="851" w:hanging="851"/>
        <w:jc w:val="both"/>
        <w:rPr>
          <w:rFonts w:ascii="Arial" w:eastAsia="Calibri" w:hAnsi="Arial" w:cs="Arial"/>
          <w:lang w:val="en-GB"/>
        </w:rPr>
      </w:pPr>
      <w:r w:rsidRPr="003F542D">
        <w:rPr>
          <w:rFonts w:ascii="Arial" w:eastAsia="Calibri" w:hAnsi="Arial" w:cs="Arial"/>
          <w:lang w:val="en-GB"/>
        </w:rPr>
        <w:t xml:space="preserve">On the referral (form NCR2) Ms Schwartz describes herself as being </w:t>
      </w:r>
      <w:r w:rsidRPr="003F542D">
        <w:rPr>
          <w:rFonts w:ascii="Arial" w:eastAsia="Calibri" w:hAnsi="Arial" w:cs="Arial"/>
          <w:i/>
          <w:iCs/>
          <w:sz w:val="22"/>
          <w:szCs w:val="22"/>
          <w:lang w:val="en-GB"/>
        </w:rPr>
        <w:t xml:space="preserve">“duly authorised on behalf of the applicant.”  </w:t>
      </w:r>
      <w:r w:rsidRPr="003F542D">
        <w:rPr>
          <w:rFonts w:ascii="Arial" w:eastAsia="Calibri" w:hAnsi="Arial" w:cs="Arial"/>
          <w:lang w:val="en-GB"/>
        </w:rPr>
        <w:t xml:space="preserve">She goes further in the founding affidavit in alleging that she was </w:t>
      </w:r>
      <w:r w:rsidRPr="003F542D">
        <w:rPr>
          <w:rFonts w:ascii="Arial" w:eastAsia="Calibri" w:hAnsi="Arial" w:cs="Arial"/>
          <w:i/>
          <w:iCs/>
          <w:sz w:val="22"/>
          <w:szCs w:val="22"/>
          <w:lang w:val="en-GB"/>
        </w:rPr>
        <w:t xml:space="preserve">“duly authorised to depose to this affidavit and to launch this application on behalf of the Applicant, by the Chief Executive Officer.”  </w:t>
      </w:r>
    </w:p>
    <w:p w14:paraId="61E55C7D" w14:textId="77777777" w:rsidR="003F542D" w:rsidRPr="003F542D" w:rsidRDefault="003F542D" w:rsidP="00A32A6F">
      <w:pPr>
        <w:pStyle w:val="ListParagraph"/>
        <w:ind w:left="851" w:hanging="851"/>
        <w:rPr>
          <w:rFonts w:ascii="Arial" w:eastAsia="Calibri" w:hAnsi="Arial" w:cs="Arial"/>
          <w:lang w:val="en-GB"/>
        </w:rPr>
      </w:pPr>
    </w:p>
    <w:p w14:paraId="3EC8B30A" w14:textId="61607A61" w:rsidR="00992E2D" w:rsidRDefault="001168D3" w:rsidP="00A32A6F">
      <w:pPr>
        <w:pStyle w:val="ListParagraph"/>
        <w:numPr>
          <w:ilvl w:val="0"/>
          <w:numId w:val="15"/>
        </w:numPr>
        <w:spacing w:line="360" w:lineRule="auto"/>
        <w:ind w:left="851" w:hanging="851"/>
        <w:jc w:val="both"/>
        <w:rPr>
          <w:rFonts w:ascii="Arial" w:eastAsia="Calibri" w:hAnsi="Arial" w:cs="Arial"/>
          <w:lang w:val="en-GB"/>
        </w:rPr>
      </w:pPr>
      <w:r w:rsidRPr="003F542D">
        <w:rPr>
          <w:rFonts w:ascii="Arial" w:eastAsia="Calibri" w:hAnsi="Arial" w:cs="Arial"/>
          <w:lang w:val="en-GB"/>
        </w:rPr>
        <w:t>It is common cause that there was no</w:t>
      </w:r>
      <w:r w:rsidR="00176941" w:rsidRPr="003F542D">
        <w:rPr>
          <w:rFonts w:ascii="Arial" w:eastAsia="Calibri" w:hAnsi="Arial" w:cs="Arial"/>
          <w:lang w:val="en-GB"/>
        </w:rPr>
        <w:t xml:space="preserve"> document attached to the referral or founding affidavit from which such authorisation could be inferred and furthermore, no affidavit from either the Chief Executive Officer confirming that such authority had been delegated to her.</w:t>
      </w:r>
      <w:r w:rsidR="002215E5">
        <w:rPr>
          <w:rFonts w:ascii="Arial" w:eastAsia="Calibri" w:hAnsi="Arial" w:cs="Arial"/>
          <w:lang w:val="en-GB"/>
        </w:rPr>
        <w:t xml:space="preserve">  Additionally, it is not in issue that she had no personal knowledge of the investigation and was neither involved in the preparation nor finalisation of Mr Phalanndwa’s report.</w:t>
      </w:r>
    </w:p>
    <w:p w14:paraId="34896F75" w14:textId="25A4F7E3" w:rsidR="00992E2D" w:rsidRDefault="00992E2D" w:rsidP="00A32A6F">
      <w:pPr>
        <w:pStyle w:val="ListParagraph"/>
        <w:ind w:left="851" w:hanging="851"/>
        <w:rPr>
          <w:rFonts w:ascii="Arial" w:eastAsia="Calibri" w:hAnsi="Arial" w:cs="Arial"/>
          <w:lang w:val="en-GB"/>
        </w:rPr>
      </w:pPr>
    </w:p>
    <w:p w14:paraId="44C68526" w14:textId="0EEED9CD" w:rsidR="00F83944" w:rsidRDefault="00F83944" w:rsidP="00A32A6F">
      <w:pPr>
        <w:pStyle w:val="ListParagraph"/>
        <w:ind w:left="851" w:hanging="851"/>
        <w:rPr>
          <w:rFonts w:ascii="Arial" w:eastAsia="Calibri" w:hAnsi="Arial" w:cs="Arial"/>
          <w:lang w:val="en-GB"/>
        </w:rPr>
      </w:pPr>
    </w:p>
    <w:p w14:paraId="7C263C86" w14:textId="61ECE394" w:rsidR="00F83944" w:rsidRDefault="00F83944" w:rsidP="00A32A6F">
      <w:pPr>
        <w:pStyle w:val="ListParagraph"/>
        <w:ind w:left="851" w:hanging="851"/>
        <w:rPr>
          <w:rFonts w:ascii="Arial" w:eastAsia="Calibri" w:hAnsi="Arial" w:cs="Arial"/>
          <w:lang w:val="en-GB"/>
        </w:rPr>
      </w:pPr>
    </w:p>
    <w:p w14:paraId="57E38B31" w14:textId="4F5FBC41" w:rsidR="00F83944" w:rsidRDefault="00F83944" w:rsidP="00A32A6F">
      <w:pPr>
        <w:pStyle w:val="ListParagraph"/>
        <w:ind w:left="851" w:hanging="851"/>
        <w:rPr>
          <w:rFonts w:ascii="Arial" w:eastAsia="Calibri" w:hAnsi="Arial" w:cs="Arial"/>
          <w:lang w:val="en-GB"/>
        </w:rPr>
      </w:pPr>
    </w:p>
    <w:p w14:paraId="26C5E135" w14:textId="105D6EB2" w:rsidR="00F83944" w:rsidRDefault="00F83944" w:rsidP="00A32A6F">
      <w:pPr>
        <w:pStyle w:val="ListParagraph"/>
        <w:ind w:left="851" w:hanging="851"/>
        <w:rPr>
          <w:rFonts w:ascii="Arial" w:eastAsia="Calibri" w:hAnsi="Arial" w:cs="Arial"/>
          <w:lang w:val="en-GB"/>
        </w:rPr>
      </w:pPr>
    </w:p>
    <w:p w14:paraId="6B6C5E3B" w14:textId="77777777" w:rsidR="00F83944" w:rsidRPr="00992E2D" w:rsidRDefault="00F83944" w:rsidP="00A32A6F">
      <w:pPr>
        <w:pStyle w:val="ListParagraph"/>
        <w:ind w:left="851" w:hanging="851"/>
        <w:rPr>
          <w:rFonts w:ascii="Arial" w:eastAsia="Calibri" w:hAnsi="Arial" w:cs="Arial"/>
          <w:lang w:val="en-GB"/>
        </w:rPr>
      </w:pPr>
    </w:p>
    <w:p w14:paraId="65DEFB72" w14:textId="3DBAB543" w:rsidR="00176941" w:rsidRPr="00992E2D" w:rsidRDefault="00D456A0" w:rsidP="00A32A6F">
      <w:pPr>
        <w:pStyle w:val="ListParagraph"/>
        <w:numPr>
          <w:ilvl w:val="0"/>
          <w:numId w:val="15"/>
        </w:numPr>
        <w:spacing w:line="360" w:lineRule="auto"/>
        <w:ind w:left="851" w:hanging="851"/>
        <w:jc w:val="both"/>
        <w:rPr>
          <w:rFonts w:ascii="Arial" w:eastAsia="Calibri" w:hAnsi="Arial" w:cs="Arial"/>
          <w:lang w:val="en-GB"/>
        </w:rPr>
      </w:pPr>
      <w:r w:rsidRPr="00992E2D">
        <w:rPr>
          <w:rFonts w:ascii="Arial" w:eastAsia="Calibri" w:hAnsi="Arial" w:cs="Arial"/>
          <w:lang w:val="en-GB"/>
        </w:rPr>
        <w:t xml:space="preserve">The law on this aspect is clear.  </w:t>
      </w:r>
      <w:r w:rsidR="00DB59F0" w:rsidRPr="00992E2D">
        <w:rPr>
          <w:rFonts w:ascii="Arial" w:eastAsia="Calibri" w:hAnsi="Arial" w:cs="Arial"/>
          <w:lang w:val="en-GB"/>
        </w:rPr>
        <w:t xml:space="preserve">In </w:t>
      </w:r>
      <w:r w:rsidR="00DB59F0" w:rsidRPr="00992E2D">
        <w:rPr>
          <w:rFonts w:ascii="Arial" w:eastAsia="Calibri" w:hAnsi="Arial" w:cs="Arial"/>
          <w:i/>
          <w:iCs/>
          <w:lang w:val="en-GB"/>
        </w:rPr>
        <w:t>Kasiyamhuru v Minister of Home Affairs and Others</w:t>
      </w:r>
      <w:r w:rsidR="00DB59F0">
        <w:rPr>
          <w:rStyle w:val="FootnoteReference"/>
          <w:rFonts w:ascii="Arial" w:eastAsia="Calibri" w:hAnsi="Arial" w:cs="Arial"/>
          <w:i/>
          <w:iCs/>
          <w:lang w:val="en-GB"/>
        </w:rPr>
        <w:footnoteReference w:id="19"/>
      </w:r>
      <w:r w:rsidR="00DB59F0" w:rsidRPr="00992E2D">
        <w:rPr>
          <w:rFonts w:ascii="Arial" w:eastAsia="Calibri" w:hAnsi="Arial" w:cs="Arial"/>
          <w:i/>
          <w:iCs/>
          <w:lang w:val="en-GB"/>
        </w:rPr>
        <w:t xml:space="preserve"> </w:t>
      </w:r>
      <w:r w:rsidR="00DB59F0" w:rsidRPr="00992E2D">
        <w:rPr>
          <w:rFonts w:ascii="Arial" w:eastAsia="Calibri" w:hAnsi="Arial" w:cs="Arial"/>
          <w:lang w:val="en-GB"/>
        </w:rPr>
        <w:t>it was held that:</w:t>
      </w:r>
    </w:p>
    <w:p w14:paraId="225B0BA9" w14:textId="77777777" w:rsidR="00DB59F0" w:rsidRPr="00DB59F0" w:rsidRDefault="00DB59F0" w:rsidP="006665B3">
      <w:pPr>
        <w:pStyle w:val="ListParagraph"/>
        <w:ind w:left="851" w:hanging="851"/>
        <w:rPr>
          <w:rFonts w:ascii="Arial" w:eastAsia="Calibri" w:hAnsi="Arial" w:cs="Arial"/>
          <w:b/>
          <w:bCs/>
          <w:i/>
          <w:iCs/>
          <w:sz w:val="22"/>
          <w:szCs w:val="22"/>
          <w:lang w:val="en-GB"/>
        </w:rPr>
      </w:pPr>
    </w:p>
    <w:p w14:paraId="311531FF" w14:textId="26C1AF52" w:rsidR="00DB59F0" w:rsidRDefault="00DB59F0" w:rsidP="009A019C">
      <w:pPr>
        <w:pStyle w:val="ListParagraph"/>
        <w:spacing w:line="360" w:lineRule="auto"/>
        <w:ind w:left="1418"/>
        <w:jc w:val="both"/>
        <w:rPr>
          <w:rFonts w:ascii="Arial" w:eastAsia="Calibri" w:hAnsi="Arial" w:cs="Arial"/>
          <w:i/>
          <w:iCs/>
          <w:sz w:val="22"/>
          <w:szCs w:val="22"/>
          <w:lang w:val="en-GB"/>
        </w:rPr>
      </w:pPr>
      <w:r w:rsidRPr="00DB59F0">
        <w:rPr>
          <w:rFonts w:ascii="Arial" w:eastAsia="Calibri" w:hAnsi="Arial" w:cs="Arial"/>
          <w:i/>
          <w:iCs/>
          <w:sz w:val="22"/>
          <w:szCs w:val="22"/>
          <w:lang w:val="en-GB"/>
        </w:rPr>
        <w:t>“</w:t>
      </w:r>
      <w:r>
        <w:rPr>
          <w:rFonts w:ascii="Arial" w:eastAsia="Calibri" w:hAnsi="Arial" w:cs="Arial"/>
          <w:i/>
          <w:iCs/>
          <w:sz w:val="22"/>
          <w:szCs w:val="22"/>
          <w:lang w:val="en-GB"/>
        </w:rPr>
        <w:t>T</w:t>
      </w:r>
      <w:r w:rsidRPr="00DB59F0">
        <w:rPr>
          <w:rFonts w:ascii="Arial" w:eastAsia="Calibri" w:hAnsi="Arial" w:cs="Arial"/>
          <w:i/>
          <w:iCs/>
          <w:sz w:val="22"/>
          <w:szCs w:val="22"/>
          <w:lang w:val="en-GB"/>
        </w:rPr>
        <w:t>he fact of a valid delegation must be clearly and satisfactorily be established and an express power of delegation must be interpreted restrictively</w:t>
      </w:r>
      <w:r>
        <w:rPr>
          <w:rFonts w:ascii="Arial" w:eastAsia="Calibri" w:hAnsi="Arial" w:cs="Arial"/>
          <w:i/>
          <w:iCs/>
          <w:sz w:val="22"/>
          <w:szCs w:val="22"/>
          <w:lang w:val="en-GB"/>
        </w:rPr>
        <w:t>.”</w:t>
      </w:r>
    </w:p>
    <w:p w14:paraId="4329E92F" w14:textId="77777777" w:rsidR="005F5DCC" w:rsidRDefault="005F5DCC" w:rsidP="00D456A0">
      <w:pPr>
        <w:pStyle w:val="ListParagraph"/>
        <w:spacing w:line="360" w:lineRule="auto"/>
        <w:ind w:left="851" w:hanging="851"/>
        <w:rPr>
          <w:rFonts w:ascii="Arial" w:eastAsia="Calibri" w:hAnsi="Arial" w:cs="Arial"/>
          <w:i/>
          <w:iCs/>
          <w:sz w:val="22"/>
          <w:szCs w:val="22"/>
          <w:lang w:val="en-GB"/>
        </w:rPr>
      </w:pPr>
    </w:p>
    <w:p w14:paraId="2C6853D6" w14:textId="247DF830" w:rsidR="00D456A0" w:rsidRDefault="00D456A0" w:rsidP="009B4389">
      <w:pPr>
        <w:pStyle w:val="ListParagraph"/>
        <w:numPr>
          <w:ilvl w:val="0"/>
          <w:numId w:val="15"/>
        </w:numPr>
        <w:spacing w:line="360" w:lineRule="auto"/>
        <w:ind w:left="851" w:hanging="851"/>
        <w:rPr>
          <w:rFonts w:ascii="Arial" w:eastAsia="Calibri" w:hAnsi="Arial" w:cs="Arial"/>
          <w:lang w:val="en-GB"/>
        </w:rPr>
      </w:pPr>
      <w:r>
        <w:rPr>
          <w:rFonts w:ascii="Arial" w:eastAsia="Calibri" w:hAnsi="Arial" w:cs="Arial"/>
          <w:lang w:val="en-GB"/>
        </w:rPr>
        <w:t xml:space="preserve">Furthermore, in </w:t>
      </w:r>
      <w:r w:rsidRPr="006665B3">
        <w:rPr>
          <w:rFonts w:ascii="Arial" w:eastAsia="Calibri" w:hAnsi="Arial" w:cs="Arial"/>
          <w:i/>
          <w:iCs/>
          <w:lang w:val="en-GB"/>
        </w:rPr>
        <w:t>Eveleth v Minister of Home Affairs</w:t>
      </w:r>
      <w:r>
        <w:rPr>
          <w:rStyle w:val="FootnoteReference"/>
          <w:rFonts w:ascii="Arial" w:eastAsia="Calibri" w:hAnsi="Arial" w:cs="Arial"/>
          <w:lang w:val="en-GB"/>
        </w:rPr>
        <w:footnoteReference w:id="20"/>
      </w:r>
      <w:r>
        <w:rPr>
          <w:rFonts w:ascii="Arial" w:eastAsia="Calibri" w:hAnsi="Arial" w:cs="Arial"/>
          <w:lang w:val="en-GB"/>
        </w:rPr>
        <w:t xml:space="preserve"> and pertinent to this matter, it was held that:</w:t>
      </w:r>
    </w:p>
    <w:p w14:paraId="75B4ADBB" w14:textId="77777777" w:rsidR="00D456A0" w:rsidRDefault="00D456A0" w:rsidP="00DB59F0">
      <w:pPr>
        <w:pStyle w:val="ListParagraph"/>
        <w:ind w:left="851" w:hanging="851"/>
        <w:rPr>
          <w:rFonts w:ascii="Arial" w:eastAsia="Calibri" w:hAnsi="Arial" w:cs="Arial"/>
          <w:lang w:val="en-GB"/>
        </w:rPr>
      </w:pPr>
    </w:p>
    <w:p w14:paraId="5AA2951F" w14:textId="583263AC" w:rsidR="00DB59F0" w:rsidRDefault="00D456A0" w:rsidP="00D456A0">
      <w:pPr>
        <w:pStyle w:val="ListParagraph"/>
        <w:spacing w:line="360" w:lineRule="auto"/>
        <w:ind w:left="1418"/>
        <w:jc w:val="both"/>
        <w:rPr>
          <w:rFonts w:ascii="Arial" w:eastAsia="Calibri" w:hAnsi="Arial" w:cs="Arial"/>
          <w:lang w:val="en-GB"/>
        </w:rPr>
      </w:pPr>
      <w:r w:rsidRPr="00D456A0">
        <w:rPr>
          <w:rFonts w:ascii="Arial" w:eastAsia="Calibri" w:hAnsi="Arial" w:cs="Arial"/>
          <w:i/>
          <w:iCs/>
          <w:sz w:val="22"/>
          <w:szCs w:val="22"/>
          <w:lang w:val="en-GB"/>
        </w:rPr>
        <w:t xml:space="preserve">“. . ., it is </w:t>
      </w:r>
      <w:r w:rsidR="003F542D" w:rsidRPr="00D456A0">
        <w:rPr>
          <w:rFonts w:ascii="Arial" w:eastAsia="Calibri" w:hAnsi="Arial" w:cs="Arial"/>
          <w:i/>
          <w:iCs/>
          <w:sz w:val="22"/>
          <w:szCs w:val="22"/>
          <w:lang w:val="en-GB"/>
        </w:rPr>
        <w:t>incumbent</w:t>
      </w:r>
      <w:r w:rsidRPr="00D456A0">
        <w:rPr>
          <w:rFonts w:ascii="Arial" w:eastAsia="Calibri" w:hAnsi="Arial" w:cs="Arial"/>
          <w:i/>
          <w:iCs/>
          <w:sz w:val="22"/>
          <w:szCs w:val="22"/>
          <w:lang w:val="en-GB"/>
        </w:rPr>
        <w:t xml:space="preserve"> upon the State to produce proof that such officer is duly delegated, directed and authorised to represent it in the proceedings.  The </w:t>
      </w:r>
      <w:r w:rsidRPr="00D456A0">
        <w:rPr>
          <w:rFonts w:ascii="Arial" w:eastAsia="Calibri" w:hAnsi="Arial" w:cs="Arial"/>
          <w:b/>
          <w:bCs/>
          <w:i/>
          <w:iCs/>
          <w:sz w:val="22"/>
          <w:szCs w:val="22"/>
          <w:u w:val="single"/>
          <w:lang w:val="en-GB"/>
        </w:rPr>
        <w:t xml:space="preserve">mere </w:t>
      </w:r>
      <w:r w:rsidRPr="00E864D5">
        <w:rPr>
          <w:rFonts w:ascii="Arial" w:eastAsia="Calibri" w:hAnsi="Arial" w:cs="Arial"/>
          <w:b/>
          <w:bCs/>
          <w:i/>
          <w:iCs/>
          <w:color w:val="000000" w:themeColor="text1"/>
          <w:sz w:val="22"/>
          <w:szCs w:val="22"/>
          <w:u w:val="single"/>
          <w:lang w:val="en-GB"/>
        </w:rPr>
        <w:t>say</w:t>
      </w:r>
      <w:r w:rsidRPr="00D456A0">
        <w:rPr>
          <w:rFonts w:ascii="Arial" w:eastAsia="Calibri" w:hAnsi="Arial" w:cs="Arial"/>
          <w:b/>
          <w:bCs/>
          <w:i/>
          <w:iCs/>
          <w:sz w:val="22"/>
          <w:szCs w:val="22"/>
          <w:u w:val="single"/>
          <w:lang w:val="en-GB"/>
        </w:rPr>
        <w:t xml:space="preserve"> so</w:t>
      </w:r>
      <w:r w:rsidRPr="00D456A0">
        <w:rPr>
          <w:rFonts w:ascii="Arial" w:eastAsia="Calibri" w:hAnsi="Arial" w:cs="Arial"/>
          <w:i/>
          <w:iCs/>
          <w:sz w:val="22"/>
          <w:szCs w:val="22"/>
          <w:lang w:val="en-GB"/>
        </w:rPr>
        <w:t xml:space="preserve"> of a departmental officer in an affidavit is no proof of either delegation or authority without submitting acceptable evidence or documentation to substantiate the averments.”</w:t>
      </w:r>
      <w:r>
        <w:rPr>
          <w:rFonts w:ascii="Arial" w:eastAsia="Calibri" w:hAnsi="Arial" w:cs="Arial"/>
          <w:i/>
          <w:iCs/>
          <w:sz w:val="22"/>
          <w:szCs w:val="22"/>
          <w:lang w:val="en-GB"/>
        </w:rPr>
        <w:t xml:space="preserve"> </w:t>
      </w:r>
      <w:r>
        <w:rPr>
          <w:rFonts w:ascii="Arial" w:eastAsia="Calibri" w:hAnsi="Arial" w:cs="Arial"/>
          <w:lang w:val="en-GB"/>
        </w:rPr>
        <w:t xml:space="preserve"> [emphasis added].</w:t>
      </w:r>
    </w:p>
    <w:p w14:paraId="4D26116F" w14:textId="77777777" w:rsidR="00D456A0" w:rsidRPr="00D456A0" w:rsidRDefault="00D456A0" w:rsidP="00D456A0">
      <w:pPr>
        <w:pStyle w:val="ListParagraph"/>
        <w:spacing w:line="360" w:lineRule="auto"/>
        <w:ind w:left="1418"/>
        <w:jc w:val="both"/>
        <w:rPr>
          <w:rFonts w:ascii="Arial" w:eastAsia="Calibri" w:hAnsi="Arial" w:cs="Arial"/>
          <w:lang w:val="en-GB"/>
        </w:rPr>
      </w:pPr>
    </w:p>
    <w:p w14:paraId="5E6BBCA4" w14:textId="6630B54B" w:rsidR="005F5DCC" w:rsidRDefault="003F542D" w:rsidP="009B4389">
      <w:pPr>
        <w:pStyle w:val="ListParagraph"/>
        <w:numPr>
          <w:ilvl w:val="0"/>
          <w:numId w:val="15"/>
        </w:numPr>
        <w:spacing w:line="360" w:lineRule="auto"/>
        <w:ind w:left="851" w:hanging="851"/>
        <w:jc w:val="both"/>
        <w:rPr>
          <w:rFonts w:ascii="Arial" w:eastAsia="Calibri" w:hAnsi="Arial" w:cs="Arial"/>
          <w:lang w:val="en-GB"/>
        </w:rPr>
      </w:pPr>
      <w:r w:rsidRPr="005F5DCC">
        <w:rPr>
          <w:rFonts w:ascii="Arial" w:eastAsia="Calibri" w:hAnsi="Arial" w:cs="Arial"/>
          <w:lang w:val="en-GB"/>
        </w:rPr>
        <w:t>The NCT recognised this shortcoming in the affidavit of Ms Schwartz but nonetheless dismissed it ostensibly on the basis that it amounted to no more than a procedural irregularity, a failure to comply with Rule 4(3)</w:t>
      </w:r>
      <w:r>
        <w:rPr>
          <w:rStyle w:val="FootnoteReference"/>
          <w:rFonts w:ascii="Arial" w:eastAsia="Calibri" w:hAnsi="Arial" w:cs="Arial"/>
          <w:lang w:val="en-GB"/>
        </w:rPr>
        <w:footnoteReference w:id="21"/>
      </w:r>
      <w:r w:rsidRPr="005F5DCC">
        <w:rPr>
          <w:rFonts w:ascii="Arial" w:eastAsia="Calibri" w:hAnsi="Arial" w:cs="Arial"/>
          <w:lang w:val="en-GB"/>
        </w:rPr>
        <w:t>.  Even if it did amount to a procedural irregularity, it was an irregularity that required condonation – something that was not sought by the NCR at the hearing.</w:t>
      </w:r>
      <w:r w:rsidR="002279E3" w:rsidRPr="005F5DCC">
        <w:rPr>
          <w:rFonts w:ascii="Arial" w:eastAsia="Calibri" w:hAnsi="Arial" w:cs="Arial"/>
          <w:lang w:val="en-GB"/>
        </w:rPr>
        <w:t xml:space="preserve">  The NCR for its part argued that Rule 4(3) did not apply to it as it was neither a company nor other corporate entity.  This is not the view that was taken by the NCT and did not inform its decision on the point.</w:t>
      </w:r>
    </w:p>
    <w:p w14:paraId="75A7F6A7" w14:textId="77777777" w:rsidR="005F5DCC" w:rsidRDefault="005F5DCC" w:rsidP="009B4389">
      <w:pPr>
        <w:pStyle w:val="ListParagraph"/>
        <w:spacing w:line="360" w:lineRule="auto"/>
        <w:ind w:left="851" w:hanging="851"/>
        <w:jc w:val="both"/>
        <w:rPr>
          <w:rFonts w:ascii="Arial" w:eastAsia="Calibri" w:hAnsi="Arial" w:cs="Arial"/>
          <w:lang w:val="en-GB"/>
        </w:rPr>
      </w:pPr>
    </w:p>
    <w:p w14:paraId="611EFEA8" w14:textId="060F950A" w:rsidR="005F5DCC" w:rsidRDefault="003F542D" w:rsidP="009B4389">
      <w:pPr>
        <w:pStyle w:val="ListParagraph"/>
        <w:numPr>
          <w:ilvl w:val="0"/>
          <w:numId w:val="15"/>
        </w:numPr>
        <w:spacing w:line="360" w:lineRule="auto"/>
        <w:ind w:left="851" w:hanging="851"/>
        <w:jc w:val="both"/>
        <w:rPr>
          <w:rFonts w:ascii="Arial" w:eastAsia="Calibri" w:hAnsi="Arial" w:cs="Arial"/>
          <w:lang w:val="en-GB"/>
        </w:rPr>
      </w:pPr>
      <w:r w:rsidRPr="005F5DCC">
        <w:rPr>
          <w:rFonts w:ascii="Arial" w:eastAsia="Calibri" w:hAnsi="Arial" w:cs="Arial"/>
          <w:lang w:val="en-GB"/>
        </w:rPr>
        <w:t xml:space="preserve">Having decided to proceed to hear the points </w:t>
      </w:r>
      <w:r w:rsidRPr="005F5DCC">
        <w:rPr>
          <w:rFonts w:ascii="Arial" w:eastAsia="Calibri" w:hAnsi="Arial" w:cs="Arial"/>
          <w:i/>
          <w:iCs/>
          <w:lang w:val="en-GB"/>
        </w:rPr>
        <w:t>in limine</w:t>
      </w:r>
      <w:r w:rsidRPr="005F5DCC">
        <w:rPr>
          <w:rFonts w:ascii="Arial" w:eastAsia="Calibri" w:hAnsi="Arial" w:cs="Arial"/>
          <w:lang w:val="en-GB"/>
        </w:rPr>
        <w:t xml:space="preserve"> on what was before it, it was not within the remit of the NCT to then</w:t>
      </w:r>
      <w:r w:rsidR="0095558C" w:rsidRPr="005F5DCC">
        <w:rPr>
          <w:rFonts w:ascii="Arial" w:eastAsia="Calibri" w:hAnsi="Arial" w:cs="Arial"/>
          <w:lang w:val="en-GB"/>
        </w:rPr>
        <w:t xml:space="preserve"> disregard its own finding of non-compliance absent an application for condonation.  To then, having prejudged that condonation would be granted, for it to dismiss the first point </w:t>
      </w:r>
      <w:r w:rsidR="0095558C" w:rsidRPr="005F5DCC">
        <w:rPr>
          <w:rFonts w:ascii="Arial" w:eastAsia="Calibri" w:hAnsi="Arial" w:cs="Arial"/>
          <w:i/>
          <w:iCs/>
          <w:lang w:val="en-GB"/>
        </w:rPr>
        <w:t>in limine</w:t>
      </w:r>
      <w:r w:rsidR="0095558C" w:rsidRPr="005F5DCC">
        <w:rPr>
          <w:rFonts w:ascii="Arial" w:eastAsia="Calibri" w:hAnsi="Arial" w:cs="Arial"/>
          <w:lang w:val="en-GB"/>
        </w:rPr>
        <w:t xml:space="preserve"> was </w:t>
      </w:r>
      <w:r w:rsidR="0095558C" w:rsidRPr="005F5DCC">
        <w:rPr>
          <w:rFonts w:ascii="Arial" w:eastAsia="Calibri" w:hAnsi="Arial" w:cs="Arial"/>
          <w:lang w:val="en-GB"/>
        </w:rPr>
        <w:lastRenderedPageBreak/>
        <w:t>plainly wrong.</w:t>
      </w:r>
      <w:r w:rsidR="006037BA" w:rsidRPr="005F5DCC">
        <w:rPr>
          <w:rFonts w:ascii="Arial" w:eastAsia="Calibri" w:hAnsi="Arial" w:cs="Arial"/>
          <w:lang w:val="en-GB"/>
        </w:rPr>
        <w:t xml:space="preserve">  It was argued by the NCR that FGI had </w:t>
      </w:r>
      <w:r w:rsidR="006037BA" w:rsidRPr="005F5DCC">
        <w:rPr>
          <w:rFonts w:ascii="Arial" w:eastAsia="Calibri" w:hAnsi="Arial" w:cs="Arial"/>
          <w:i/>
          <w:iCs/>
          <w:sz w:val="22"/>
          <w:szCs w:val="22"/>
          <w:lang w:val="en-GB"/>
        </w:rPr>
        <w:t xml:space="preserve">“no regard for the rules of the Tribunal in relation to the required form of the complaint referral.”  </w:t>
      </w:r>
      <w:r w:rsidR="006037BA" w:rsidRPr="005F5DCC">
        <w:rPr>
          <w:rFonts w:ascii="Arial" w:eastAsia="Calibri" w:hAnsi="Arial" w:cs="Arial"/>
          <w:lang w:val="en-GB"/>
        </w:rPr>
        <w:t>This argument however overlooks the fact that once the referral</w:t>
      </w:r>
      <w:r w:rsidR="005F5DCC">
        <w:rPr>
          <w:rFonts w:ascii="Arial" w:eastAsia="Calibri" w:hAnsi="Arial" w:cs="Arial"/>
          <w:lang w:val="en-GB"/>
        </w:rPr>
        <w:t xml:space="preserve"> was </w:t>
      </w:r>
      <w:r w:rsidR="006037BA" w:rsidRPr="005F5DCC">
        <w:rPr>
          <w:rFonts w:ascii="Arial" w:eastAsia="Calibri" w:hAnsi="Arial" w:cs="Arial"/>
          <w:lang w:val="en-GB"/>
        </w:rPr>
        <w:t>placed before the NCT in the form that it was, the NCT was required to conduct the proceedings on the basis provided for in s 142(1).</w:t>
      </w:r>
      <w:r w:rsidR="006037BA">
        <w:rPr>
          <w:rStyle w:val="FootnoteReference"/>
          <w:rFonts w:ascii="Arial" w:eastAsia="Calibri" w:hAnsi="Arial" w:cs="Arial"/>
          <w:lang w:val="en-GB"/>
        </w:rPr>
        <w:footnoteReference w:id="22"/>
      </w:r>
      <w:r w:rsidR="002279E3" w:rsidRPr="005F5DCC">
        <w:rPr>
          <w:rFonts w:ascii="Arial" w:eastAsia="Calibri" w:hAnsi="Arial" w:cs="Arial"/>
          <w:lang w:val="en-GB"/>
        </w:rPr>
        <w:t xml:space="preserve">  </w:t>
      </w:r>
    </w:p>
    <w:p w14:paraId="7D1C7029" w14:textId="77777777" w:rsidR="005F5DCC" w:rsidRPr="005F5DCC" w:rsidRDefault="005F5DCC" w:rsidP="005F5DCC">
      <w:pPr>
        <w:pStyle w:val="ListParagraph"/>
        <w:rPr>
          <w:rFonts w:ascii="Arial" w:eastAsia="Calibri" w:hAnsi="Arial" w:cs="Arial"/>
          <w:lang w:val="en-GB"/>
        </w:rPr>
      </w:pPr>
    </w:p>
    <w:p w14:paraId="73668E72" w14:textId="02DC8676" w:rsidR="0095558C" w:rsidRPr="005F5DCC" w:rsidRDefault="0095558C" w:rsidP="009B4389">
      <w:pPr>
        <w:pStyle w:val="ListParagraph"/>
        <w:numPr>
          <w:ilvl w:val="0"/>
          <w:numId w:val="15"/>
        </w:numPr>
        <w:spacing w:line="360" w:lineRule="auto"/>
        <w:ind w:left="851" w:hanging="851"/>
        <w:jc w:val="both"/>
        <w:rPr>
          <w:rFonts w:ascii="Arial" w:eastAsia="Calibri" w:hAnsi="Arial" w:cs="Arial"/>
          <w:lang w:val="en-GB"/>
        </w:rPr>
      </w:pPr>
      <w:r w:rsidRPr="005F5DCC">
        <w:rPr>
          <w:rFonts w:ascii="Arial" w:eastAsia="Calibri" w:hAnsi="Arial" w:cs="Arial"/>
          <w:lang w:val="en-GB"/>
        </w:rPr>
        <w:t>It is simply illogical that the first point in limine would be dismissed on the basis that it was otherwise sustainable, subject to an application for condonation</w:t>
      </w:r>
      <w:r w:rsidR="00D42F3D" w:rsidRPr="005F5DCC">
        <w:rPr>
          <w:rFonts w:ascii="Arial" w:eastAsia="Calibri" w:hAnsi="Arial" w:cs="Arial"/>
          <w:lang w:val="en-GB"/>
        </w:rPr>
        <w:t xml:space="preserve"> and to then after the dismissal order that the application for condonation should be heard.  Put simply, the application for condonation ought to have preceded any consideration of this first point in limine and on this basis alone, the dismissal is impeachable.</w:t>
      </w:r>
    </w:p>
    <w:p w14:paraId="0521A223" w14:textId="77777777" w:rsidR="00D456A0" w:rsidRPr="00D456A0" w:rsidRDefault="00D456A0" w:rsidP="001168D3">
      <w:pPr>
        <w:spacing w:line="360" w:lineRule="auto"/>
        <w:jc w:val="both"/>
        <w:rPr>
          <w:rFonts w:ascii="Arial" w:eastAsia="Calibri" w:hAnsi="Arial" w:cs="Arial"/>
          <w:lang w:val="en-GB"/>
        </w:rPr>
      </w:pPr>
    </w:p>
    <w:p w14:paraId="5CAC0CC6" w14:textId="6A530978" w:rsidR="00664432" w:rsidRPr="001168D3" w:rsidRDefault="00664432" w:rsidP="001168D3">
      <w:pPr>
        <w:spacing w:line="360" w:lineRule="auto"/>
        <w:jc w:val="both"/>
        <w:rPr>
          <w:rFonts w:ascii="Arial" w:eastAsia="Calibri" w:hAnsi="Arial" w:cs="Arial"/>
          <w:b/>
          <w:bCs/>
          <w:lang w:val="en-GB"/>
        </w:rPr>
      </w:pPr>
      <w:r w:rsidRPr="001168D3">
        <w:rPr>
          <w:rFonts w:ascii="Arial" w:eastAsia="Calibri" w:hAnsi="Arial" w:cs="Arial"/>
          <w:b/>
          <w:bCs/>
          <w:lang w:val="en-GB"/>
        </w:rPr>
        <w:t>SECOND GROUND OF APPEAL</w:t>
      </w:r>
      <w:r w:rsidR="00417B99" w:rsidRPr="001168D3">
        <w:rPr>
          <w:rFonts w:ascii="Arial" w:eastAsia="Calibri" w:hAnsi="Arial" w:cs="Arial"/>
          <w:b/>
          <w:bCs/>
          <w:lang w:val="en-GB"/>
        </w:rPr>
        <w:t>.</w:t>
      </w:r>
    </w:p>
    <w:p w14:paraId="625D555D" w14:textId="77777777" w:rsidR="00664432" w:rsidRPr="00664432" w:rsidRDefault="00664432" w:rsidP="00664432">
      <w:pPr>
        <w:spacing w:line="360" w:lineRule="auto"/>
        <w:jc w:val="both"/>
        <w:rPr>
          <w:rFonts w:ascii="Arial" w:eastAsia="Calibri" w:hAnsi="Arial" w:cs="Arial"/>
          <w:lang w:val="en-GB"/>
        </w:rPr>
      </w:pPr>
    </w:p>
    <w:p w14:paraId="72F086E9" w14:textId="77777777" w:rsidR="00992E2D" w:rsidRPr="00992E2D" w:rsidRDefault="00664432" w:rsidP="009B4389">
      <w:pPr>
        <w:pStyle w:val="ListParagraph"/>
        <w:numPr>
          <w:ilvl w:val="0"/>
          <w:numId w:val="15"/>
        </w:numPr>
        <w:spacing w:line="360" w:lineRule="auto"/>
        <w:ind w:left="851" w:hanging="851"/>
        <w:jc w:val="both"/>
        <w:rPr>
          <w:rFonts w:ascii="Arial" w:eastAsia="Calibri" w:hAnsi="Arial" w:cs="Arial"/>
          <w:lang w:val="en-GB"/>
        </w:rPr>
      </w:pPr>
      <w:r w:rsidRPr="00992E2D">
        <w:rPr>
          <w:rFonts w:ascii="Arial" w:eastAsia="Calibri" w:hAnsi="Arial" w:cs="Arial"/>
          <w:lang w:val="en-GB"/>
        </w:rPr>
        <w:t>The second ground of appeal is that the referral was predicated on unconfirmed and inadmissible hearsay evidence.</w:t>
      </w:r>
      <w:r w:rsidR="00992E2D" w:rsidRPr="00992E2D">
        <w:rPr>
          <w:rFonts w:ascii="Arial" w:eastAsia="Calibri" w:hAnsi="Arial" w:cs="Arial"/>
          <w:lang w:val="en-GB"/>
        </w:rPr>
        <w:t xml:space="preserve">  It was the finding of the NCT that: </w:t>
      </w:r>
    </w:p>
    <w:p w14:paraId="652102AE" w14:textId="77777777" w:rsidR="00992E2D" w:rsidRDefault="00992E2D" w:rsidP="009B4389">
      <w:pPr>
        <w:pStyle w:val="ListParagraph"/>
        <w:spacing w:line="360" w:lineRule="auto"/>
        <w:ind w:left="851" w:hanging="851"/>
        <w:jc w:val="both"/>
        <w:rPr>
          <w:rFonts w:ascii="Arial" w:eastAsia="Calibri" w:hAnsi="Arial" w:cs="Arial"/>
          <w:lang w:val="en-GB"/>
        </w:rPr>
      </w:pPr>
    </w:p>
    <w:p w14:paraId="7CDB20FD" w14:textId="580B0E62" w:rsidR="00664432" w:rsidRDefault="00992E2D" w:rsidP="009B4389">
      <w:pPr>
        <w:pStyle w:val="ListParagraph"/>
        <w:spacing w:line="360" w:lineRule="auto"/>
        <w:ind w:left="1418"/>
        <w:jc w:val="both"/>
        <w:rPr>
          <w:rFonts w:ascii="Arial" w:eastAsia="Calibri" w:hAnsi="Arial" w:cs="Arial"/>
          <w:i/>
          <w:iCs/>
          <w:sz w:val="22"/>
          <w:szCs w:val="22"/>
          <w:lang w:val="en-GB"/>
        </w:rPr>
      </w:pPr>
      <w:r>
        <w:rPr>
          <w:rFonts w:ascii="Arial" w:eastAsia="Calibri" w:hAnsi="Arial" w:cs="Arial"/>
          <w:lang w:val="en-GB"/>
        </w:rPr>
        <w:t>“</w:t>
      </w:r>
      <w:r w:rsidRPr="000B0B55">
        <w:rPr>
          <w:rFonts w:ascii="Arial" w:eastAsia="Calibri" w:hAnsi="Arial" w:cs="Arial"/>
          <w:i/>
          <w:iCs/>
          <w:sz w:val="22"/>
          <w:szCs w:val="22"/>
          <w:lang w:val="en-GB"/>
        </w:rPr>
        <w:t>Whether the evidence tendered by the applicant constitutes inadmissible hearsay evidence can be determined in the main application</w:t>
      </w:r>
      <w:r>
        <w:rPr>
          <w:rFonts w:ascii="Arial" w:eastAsia="Calibri" w:hAnsi="Arial" w:cs="Arial"/>
          <w:i/>
          <w:iCs/>
          <w:sz w:val="22"/>
          <w:szCs w:val="22"/>
          <w:lang w:val="en-GB"/>
        </w:rPr>
        <w:t>.”</w:t>
      </w:r>
    </w:p>
    <w:p w14:paraId="1B863934" w14:textId="77777777" w:rsidR="006665B3" w:rsidRPr="006665B3" w:rsidRDefault="006665B3" w:rsidP="009B4389">
      <w:pPr>
        <w:spacing w:line="360" w:lineRule="auto"/>
        <w:ind w:left="851" w:hanging="851"/>
        <w:jc w:val="both"/>
        <w:rPr>
          <w:rFonts w:ascii="Arial" w:eastAsia="Calibri" w:hAnsi="Arial" w:cs="Arial"/>
          <w:lang w:val="en-GB"/>
        </w:rPr>
      </w:pPr>
    </w:p>
    <w:p w14:paraId="09A7A130" w14:textId="09EF27BE" w:rsidR="00AF3FEF" w:rsidRDefault="00B247C0" w:rsidP="009B4389">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 xml:space="preserve">The proceedings in this matter were conducted as motion proceedings.  The affidavit of Ms Schwartz together with the affidavit of </w:t>
      </w:r>
      <w:r w:rsidR="00515AAA">
        <w:rPr>
          <w:rFonts w:ascii="Arial" w:eastAsia="Calibri" w:hAnsi="Arial" w:cs="Arial"/>
          <w:lang w:val="en-GB"/>
        </w:rPr>
        <w:t>F</w:t>
      </w:r>
      <w:r>
        <w:rPr>
          <w:rFonts w:ascii="Arial" w:eastAsia="Calibri" w:hAnsi="Arial" w:cs="Arial"/>
          <w:lang w:val="en-GB"/>
        </w:rPr>
        <w:t>GI and presumably in due course, the replying affidavit, would have constituted the entire body of both allegations and evidence in support as well as FGI’s answer to be considered.</w:t>
      </w:r>
      <w:r w:rsidR="00EC45C4">
        <w:rPr>
          <w:rStyle w:val="FootnoteReference"/>
          <w:rFonts w:ascii="Arial" w:eastAsia="Calibri" w:hAnsi="Arial" w:cs="Arial"/>
          <w:lang w:val="en-GB"/>
        </w:rPr>
        <w:footnoteReference w:id="23"/>
      </w:r>
    </w:p>
    <w:p w14:paraId="281DAD75" w14:textId="77777777" w:rsidR="00B247C0" w:rsidRDefault="00B247C0" w:rsidP="002215E5">
      <w:pPr>
        <w:pStyle w:val="ListParagraph"/>
        <w:spacing w:line="360" w:lineRule="auto"/>
        <w:ind w:left="851" w:hanging="851"/>
        <w:jc w:val="both"/>
        <w:rPr>
          <w:rFonts w:ascii="Arial" w:eastAsia="Calibri" w:hAnsi="Arial" w:cs="Arial"/>
          <w:lang w:val="en-GB"/>
        </w:rPr>
      </w:pPr>
    </w:p>
    <w:p w14:paraId="28000DD1" w14:textId="77777777" w:rsidR="00F75764" w:rsidRDefault="00B247C0" w:rsidP="009B4389">
      <w:pPr>
        <w:pStyle w:val="ListParagraph"/>
        <w:numPr>
          <w:ilvl w:val="0"/>
          <w:numId w:val="15"/>
        </w:numPr>
        <w:spacing w:line="360" w:lineRule="auto"/>
        <w:ind w:left="851" w:hanging="851"/>
        <w:jc w:val="both"/>
        <w:rPr>
          <w:rFonts w:ascii="Arial" w:eastAsia="Calibri" w:hAnsi="Arial" w:cs="Arial"/>
          <w:lang w:val="en-GB"/>
        </w:rPr>
      </w:pPr>
      <w:r w:rsidRPr="00EC45C4">
        <w:rPr>
          <w:rFonts w:ascii="Arial" w:eastAsia="Calibri" w:hAnsi="Arial" w:cs="Arial"/>
          <w:lang w:val="en-GB"/>
        </w:rPr>
        <w:t xml:space="preserve">It was never suggested during the course of the proceedings before the NCT or before the Court, that any witnesses would be called to testify.  The NCT took the view that the failure to attach a confirmatory affidavit by Mr Phalanndwa, the </w:t>
      </w:r>
      <w:r w:rsidRPr="00EC45C4">
        <w:rPr>
          <w:rFonts w:ascii="Arial" w:eastAsia="Calibri" w:hAnsi="Arial" w:cs="Arial"/>
          <w:lang w:val="en-GB"/>
        </w:rPr>
        <w:lastRenderedPageBreak/>
        <w:t>author of the investigation report, could be cured in due course by the leading of evidence.  In this regard, it referred specifically to s 3(</w:t>
      </w:r>
      <w:r w:rsidR="002F5618" w:rsidRPr="00EC45C4">
        <w:rPr>
          <w:rFonts w:ascii="Arial" w:eastAsia="Calibri" w:hAnsi="Arial" w:cs="Arial"/>
          <w:lang w:val="en-GB"/>
        </w:rPr>
        <w:t>3</w:t>
      </w:r>
      <w:r w:rsidRPr="00EC45C4">
        <w:rPr>
          <w:rFonts w:ascii="Arial" w:eastAsia="Calibri" w:hAnsi="Arial" w:cs="Arial"/>
          <w:lang w:val="en-GB"/>
        </w:rPr>
        <w:t>)</w:t>
      </w:r>
      <w:r w:rsidR="002F5618" w:rsidRPr="00EC45C4">
        <w:rPr>
          <w:rFonts w:ascii="Arial" w:eastAsia="Calibri" w:hAnsi="Arial" w:cs="Arial"/>
          <w:lang w:val="en-GB"/>
        </w:rPr>
        <w:t xml:space="preserve"> and s 3(4)</w:t>
      </w:r>
      <w:r w:rsidRPr="00EC45C4">
        <w:rPr>
          <w:rFonts w:ascii="Arial" w:eastAsia="Calibri" w:hAnsi="Arial" w:cs="Arial"/>
          <w:lang w:val="en-GB"/>
        </w:rPr>
        <w:t xml:space="preserve"> of the Law of Evidence Amendment Act</w:t>
      </w:r>
      <w:r w:rsidR="002F5618" w:rsidRPr="00EC45C4">
        <w:rPr>
          <w:rFonts w:ascii="Arial" w:eastAsia="Calibri" w:hAnsi="Arial" w:cs="Arial"/>
          <w:lang w:val="en-GB"/>
        </w:rPr>
        <w:t>.</w:t>
      </w:r>
      <w:r>
        <w:rPr>
          <w:rStyle w:val="FootnoteReference"/>
          <w:rFonts w:ascii="Arial" w:eastAsia="Calibri" w:hAnsi="Arial" w:cs="Arial"/>
          <w:lang w:val="en-GB"/>
        </w:rPr>
        <w:footnoteReference w:id="24"/>
      </w:r>
      <w:r w:rsidR="002F5618" w:rsidRPr="00EC45C4">
        <w:rPr>
          <w:rFonts w:ascii="Arial" w:eastAsia="Calibri" w:hAnsi="Arial" w:cs="Arial"/>
          <w:lang w:val="en-GB"/>
        </w:rPr>
        <w:t xml:space="preserve">  </w:t>
      </w:r>
    </w:p>
    <w:p w14:paraId="251EE272" w14:textId="77777777" w:rsidR="00F75764" w:rsidRPr="00F75764" w:rsidRDefault="00F75764" w:rsidP="009B4389">
      <w:pPr>
        <w:pStyle w:val="ListParagraph"/>
        <w:ind w:left="851" w:hanging="851"/>
        <w:rPr>
          <w:rFonts w:ascii="Arial" w:eastAsia="Calibri" w:hAnsi="Arial" w:cs="Arial"/>
          <w:lang w:val="en-GB"/>
        </w:rPr>
      </w:pPr>
    </w:p>
    <w:p w14:paraId="280D6F7C" w14:textId="77777777" w:rsidR="00F83944" w:rsidRDefault="002F5618" w:rsidP="00BA1E0B">
      <w:pPr>
        <w:pStyle w:val="ListParagraph"/>
        <w:numPr>
          <w:ilvl w:val="0"/>
          <w:numId w:val="15"/>
        </w:numPr>
        <w:spacing w:line="360" w:lineRule="auto"/>
        <w:ind w:left="851" w:hanging="851"/>
        <w:jc w:val="both"/>
        <w:rPr>
          <w:rFonts w:ascii="Arial" w:eastAsia="Calibri" w:hAnsi="Arial" w:cs="Arial"/>
          <w:lang w:val="en-GB"/>
        </w:rPr>
      </w:pPr>
      <w:r w:rsidRPr="00EC45C4">
        <w:rPr>
          <w:rFonts w:ascii="Arial" w:eastAsia="Calibri" w:hAnsi="Arial" w:cs="Arial"/>
          <w:lang w:val="en-GB"/>
        </w:rPr>
        <w:t>In view of the fact that the proceedings were conducted as motion proceedings and that no oral evidence would be led, this too is unsustainable.  Were the proceedings to have been a hybrid with both evidence presented on affidavit and orally</w:t>
      </w:r>
      <w:r w:rsidR="009B4389">
        <w:rPr>
          <w:rStyle w:val="FootnoteReference"/>
          <w:rFonts w:ascii="Arial" w:eastAsia="Calibri" w:hAnsi="Arial" w:cs="Arial"/>
          <w:lang w:val="en-GB"/>
        </w:rPr>
        <w:footnoteReference w:id="25"/>
      </w:r>
      <w:r w:rsidRPr="00EC45C4">
        <w:rPr>
          <w:rFonts w:ascii="Arial" w:eastAsia="Calibri" w:hAnsi="Arial" w:cs="Arial"/>
          <w:lang w:val="en-GB"/>
        </w:rPr>
        <w:t xml:space="preserve">, then chronologically, </w:t>
      </w:r>
      <w:r w:rsidR="005F063F">
        <w:rPr>
          <w:rFonts w:ascii="Arial" w:eastAsia="Calibri" w:hAnsi="Arial" w:cs="Arial"/>
          <w:lang w:val="en-GB"/>
        </w:rPr>
        <w:t xml:space="preserve">in any event, </w:t>
      </w:r>
      <w:r w:rsidRPr="00EC45C4">
        <w:rPr>
          <w:rFonts w:ascii="Arial" w:eastAsia="Calibri" w:hAnsi="Arial" w:cs="Arial"/>
          <w:lang w:val="en-GB"/>
        </w:rPr>
        <w:t xml:space="preserve">no finding could have been made on this point </w:t>
      </w:r>
      <w:r w:rsidRPr="00EC45C4">
        <w:rPr>
          <w:rFonts w:ascii="Arial" w:eastAsia="Calibri" w:hAnsi="Arial" w:cs="Arial"/>
          <w:i/>
          <w:iCs/>
          <w:lang w:val="en-GB"/>
        </w:rPr>
        <w:t>in limine</w:t>
      </w:r>
      <w:r w:rsidRPr="00EC45C4">
        <w:rPr>
          <w:rFonts w:ascii="Arial" w:eastAsia="Calibri" w:hAnsi="Arial" w:cs="Arial"/>
          <w:lang w:val="en-GB"/>
        </w:rPr>
        <w:t xml:space="preserve"> unless and until the evidence had actually been led and a ruling made on its admissibility.</w:t>
      </w:r>
      <w:r w:rsidR="00F75764">
        <w:rPr>
          <w:rStyle w:val="FootnoteReference"/>
          <w:rFonts w:ascii="Arial" w:eastAsia="Calibri" w:hAnsi="Arial" w:cs="Arial"/>
          <w:lang w:val="en-GB"/>
        </w:rPr>
        <w:footnoteReference w:id="26"/>
      </w:r>
      <w:r w:rsidRPr="00EC45C4">
        <w:rPr>
          <w:rFonts w:ascii="Arial" w:eastAsia="Calibri" w:hAnsi="Arial" w:cs="Arial"/>
          <w:lang w:val="en-GB"/>
        </w:rPr>
        <w:t xml:space="preserve">  </w:t>
      </w:r>
      <w:r w:rsidR="00BA1E0B">
        <w:rPr>
          <w:rFonts w:ascii="Arial" w:eastAsia="Calibri" w:hAnsi="Arial" w:cs="Arial"/>
          <w:lang w:val="en-GB"/>
        </w:rPr>
        <w:t xml:space="preserve">To have made the ruling in the present matter at the time that it did, offends the principle of natural justice.  </w:t>
      </w:r>
    </w:p>
    <w:p w14:paraId="267A9FF2" w14:textId="77777777" w:rsidR="00F83944" w:rsidRPr="00F83944" w:rsidRDefault="00F83944" w:rsidP="00F83944">
      <w:pPr>
        <w:pStyle w:val="ListParagraph"/>
        <w:rPr>
          <w:rFonts w:ascii="Arial" w:eastAsia="Calibri" w:hAnsi="Arial" w:cs="Arial"/>
          <w:lang w:val="en-GB"/>
        </w:rPr>
      </w:pPr>
    </w:p>
    <w:p w14:paraId="7CD83BCE" w14:textId="3767E6C9" w:rsidR="00B247C0" w:rsidRPr="00BA1E0B" w:rsidRDefault="00BA1E0B" w:rsidP="00BA1E0B">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If the proceedings were motion proceedings, then what was required was a finding that the evidence was either admissible or it was not.  If the proceedings were to be conducted as a hybrid, then FGI was entitled to know – it offends natural justice</w:t>
      </w:r>
      <w:r>
        <w:rPr>
          <w:rStyle w:val="FootnoteReference"/>
          <w:rFonts w:ascii="Arial" w:eastAsia="Calibri" w:hAnsi="Arial" w:cs="Arial"/>
          <w:lang w:val="en-GB"/>
        </w:rPr>
        <w:footnoteReference w:id="27"/>
      </w:r>
      <w:r>
        <w:rPr>
          <w:rFonts w:ascii="Arial" w:eastAsia="Calibri" w:hAnsi="Arial" w:cs="Arial"/>
          <w:lang w:val="en-GB"/>
        </w:rPr>
        <w:t xml:space="preserve"> for a party to be subjected to an ever-changing procedure, the exigencies of which are tailored to accommodate the interests of one of the parties.  </w:t>
      </w:r>
      <w:r w:rsidR="002F5618" w:rsidRPr="00BA1E0B">
        <w:rPr>
          <w:rFonts w:ascii="Arial" w:eastAsia="Calibri" w:hAnsi="Arial" w:cs="Arial"/>
          <w:lang w:val="en-GB"/>
        </w:rPr>
        <w:t xml:space="preserve">This finding by the </w:t>
      </w:r>
      <w:r w:rsidR="005F063F" w:rsidRPr="00BA1E0B">
        <w:rPr>
          <w:rFonts w:ascii="Arial" w:eastAsia="Calibri" w:hAnsi="Arial" w:cs="Arial"/>
          <w:lang w:val="en-GB"/>
        </w:rPr>
        <w:t>NCT</w:t>
      </w:r>
      <w:r w:rsidR="002F5618" w:rsidRPr="00BA1E0B">
        <w:rPr>
          <w:rFonts w:ascii="Arial" w:eastAsia="Calibri" w:hAnsi="Arial" w:cs="Arial"/>
          <w:lang w:val="en-GB"/>
        </w:rPr>
        <w:t xml:space="preserve"> is similarly impeachable.</w:t>
      </w:r>
    </w:p>
    <w:p w14:paraId="589356FD" w14:textId="1D4168D4" w:rsidR="00664432" w:rsidRDefault="00664432" w:rsidP="00664432">
      <w:pPr>
        <w:spacing w:line="360" w:lineRule="auto"/>
        <w:jc w:val="both"/>
        <w:rPr>
          <w:rFonts w:ascii="Arial" w:eastAsia="Calibri" w:hAnsi="Arial" w:cs="Arial"/>
          <w:lang w:val="en-GB"/>
        </w:rPr>
      </w:pPr>
    </w:p>
    <w:p w14:paraId="715F42F6" w14:textId="135DDF75" w:rsidR="00664432" w:rsidRPr="00664432" w:rsidRDefault="00664432" w:rsidP="00664432">
      <w:pPr>
        <w:spacing w:line="360" w:lineRule="auto"/>
        <w:jc w:val="both"/>
        <w:rPr>
          <w:rFonts w:ascii="Arial" w:eastAsia="Calibri" w:hAnsi="Arial" w:cs="Arial"/>
          <w:b/>
          <w:bCs/>
          <w:lang w:val="en-GB"/>
        </w:rPr>
      </w:pPr>
      <w:r w:rsidRPr="00664432">
        <w:rPr>
          <w:rFonts w:ascii="Arial" w:eastAsia="Calibri" w:hAnsi="Arial" w:cs="Arial"/>
          <w:b/>
          <w:bCs/>
          <w:lang w:val="en-GB"/>
        </w:rPr>
        <w:t>THIRD</w:t>
      </w:r>
      <w:r w:rsidR="00DE19C3">
        <w:rPr>
          <w:rFonts w:ascii="Arial" w:eastAsia="Calibri" w:hAnsi="Arial" w:cs="Arial"/>
          <w:b/>
          <w:bCs/>
          <w:lang w:val="en-GB"/>
        </w:rPr>
        <w:t>, FOURTH AND FIFTH</w:t>
      </w:r>
      <w:r w:rsidRPr="00664432">
        <w:rPr>
          <w:rFonts w:ascii="Arial" w:eastAsia="Calibri" w:hAnsi="Arial" w:cs="Arial"/>
          <w:b/>
          <w:bCs/>
          <w:lang w:val="en-GB"/>
        </w:rPr>
        <w:t xml:space="preserve"> GROUND</w:t>
      </w:r>
      <w:r w:rsidR="00DE19C3">
        <w:rPr>
          <w:rFonts w:ascii="Arial" w:eastAsia="Calibri" w:hAnsi="Arial" w:cs="Arial"/>
          <w:b/>
          <w:bCs/>
          <w:lang w:val="en-GB"/>
        </w:rPr>
        <w:t>S</w:t>
      </w:r>
      <w:r w:rsidRPr="00664432">
        <w:rPr>
          <w:rFonts w:ascii="Arial" w:eastAsia="Calibri" w:hAnsi="Arial" w:cs="Arial"/>
          <w:b/>
          <w:bCs/>
          <w:lang w:val="en-GB"/>
        </w:rPr>
        <w:t xml:space="preserve"> OF APPEAL</w:t>
      </w:r>
      <w:r w:rsidR="00417B99">
        <w:rPr>
          <w:rFonts w:ascii="Arial" w:eastAsia="Calibri" w:hAnsi="Arial" w:cs="Arial"/>
          <w:b/>
          <w:bCs/>
          <w:lang w:val="en-GB"/>
        </w:rPr>
        <w:t>.</w:t>
      </w:r>
    </w:p>
    <w:p w14:paraId="22AC942F" w14:textId="77777777" w:rsidR="00664432" w:rsidRPr="00664432" w:rsidRDefault="00664432" w:rsidP="00664432">
      <w:pPr>
        <w:spacing w:line="360" w:lineRule="auto"/>
        <w:jc w:val="both"/>
        <w:rPr>
          <w:rFonts w:ascii="Arial" w:eastAsia="Calibri" w:hAnsi="Arial" w:cs="Arial"/>
          <w:lang w:val="en-GB"/>
        </w:rPr>
      </w:pPr>
    </w:p>
    <w:p w14:paraId="2EA6CB35" w14:textId="30AC96E2" w:rsidR="005F063F" w:rsidRDefault="00664432" w:rsidP="009B4389">
      <w:pPr>
        <w:pStyle w:val="ListParagraph"/>
        <w:numPr>
          <w:ilvl w:val="0"/>
          <w:numId w:val="15"/>
        </w:numPr>
        <w:spacing w:line="360" w:lineRule="auto"/>
        <w:ind w:left="851" w:hanging="851"/>
        <w:jc w:val="both"/>
        <w:rPr>
          <w:rFonts w:ascii="Arial" w:eastAsia="Calibri" w:hAnsi="Arial" w:cs="Arial"/>
          <w:lang w:val="en-GB"/>
        </w:rPr>
      </w:pPr>
      <w:r w:rsidRPr="00F75764">
        <w:rPr>
          <w:rFonts w:ascii="Arial" w:eastAsia="Calibri" w:hAnsi="Arial" w:cs="Arial"/>
          <w:lang w:val="en-GB"/>
        </w:rPr>
        <w:t>The third ground of appeal is that the referral failed to meet the threshold of establishing “a reasonable suspicion” or for that matter any suspicion that FGI had engaged in “prohibited conduct”.</w:t>
      </w:r>
      <w:r w:rsidR="004969C5">
        <w:rPr>
          <w:rFonts w:ascii="Arial" w:eastAsia="Calibri" w:hAnsi="Arial" w:cs="Arial"/>
          <w:lang w:val="en-GB"/>
        </w:rPr>
        <w:t xml:space="preserve">  It was the finding of the NCT that:</w:t>
      </w:r>
    </w:p>
    <w:p w14:paraId="477BA3C5" w14:textId="77777777" w:rsidR="004969C5" w:rsidRDefault="004969C5" w:rsidP="004969C5">
      <w:pPr>
        <w:spacing w:line="360" w:lineRule="auto"/>
        <w:jc w:val="both"/>
        <w:rPr>
          <w:rFonts w:ascii="Arial" w:eastAsia="Calibri" w:hAnsi="Arial" w:cs="Arial"/>
          <w:i/>
          <w:iCs/>
          <w:sz w:val="22"/>
          <w:szCs w:val="22"/>
          <w:lang w:val="en-GB"/>
        </w:rPr>
      </w:pPr>
    </w:p>
    <w:p w14:paraId="39A6BDF2" w14:textId="37C13785" w:rsidR="004969C5" w:rsidRPr="004969C5" w:rsidRDefault="004969C5" w:rsidP="00B224DB">
      <w:pPr>
        <w:spacing w:line="360" w:lineRule="auto"/>
        <w:ind w:left="1418"/>
        <w:jc w:val="both"/>
        <w:rPr>
          <w:rFonts w:ascii="Arial" w:eastAsia="Calibri" w:hAnsi="Arial" w:cs="Arial"/>
          <w:i/>
          <w:iCs/>
          <w:sz w:val="22"/>
          <w:szCs w:val="22"/>
          <w:lang w:val="en-GB"/>
        </w:rPr>
      </w:pPr>
      <w:r>
        <w:rPr>
          <w:rFonts w:ascii="Arial" w:eastAsia="Calibri" w:hAnsi="Arial" w:cs="Arial"/>
          <w:i/>
          <w:iCs/>
          <w:sz w:val="22"/>
          <w:szCs w:val="22"/>
          <w:lang w:val="en-GB"/>
        </w:rPr>
        <w:lastRenderedPageBreak/>
        <w:t>“</w:t>
      </w:r>
      <w:r w:rsidRPr="004969C5">
        <w:rPr>
          <w:rFonts w:ascii="Arial" w:eastAsia="Calibri" w:hAnsi="Arial" w:cs="Arial"/>
          <w:i/>
          <w:iCs/>
          <w:sz w:val="22"/>
          <w:szCs w:val="22"/>
          <w:lang w:val="en-GB"/>
        </w:rPr>
        <w:t>The Applicant had a reasonable suspicion to investigate the Respondent’s alleged engagement in prohibited conduct.</w:t>
      </w:r>
      <w:r>
        <w:rPr>
          <w:rFonts w:ascii="Arial" w:eastAsia="Calibri" w:hAnsi="Arial" w:cs="Arial"/>
          <w:i/>
          <w:iCs/>
          <w:sz w:val="22"/>
          <w:szCs w:val="22"/>
          <w:lang w:val="en-GB"/>
        </w:rPr>
        <w:t>”</w:t>
      </w:r>
    </w:p>
    <w:p w14:paraId="40D6D4ED" w14:textId="77777777" w:rsidR="005F063F" w:rsidRPr="004969C5" w:rsidRDefault="005F063F" w:rsidP="004969C5">
      <w:pPr>
        <w:spacing w:line="360" w:lineRule="auto"/>
        <w:jc w:val="both"/>
        <w:rPr>
          <w:rFonts w:ascii="Arial" w:eastAsia="Calibri" w:hAnsi="Arial" w:cs="Arial"/>
          <w:lang w:val="en-GB"/>
        </w:rPr>
      </w:pPr>
    </w:p>
    <w:p w14:paraId="47DAE2B3" w14:textId="5FB372AD" w:rsidR="00885050" w:rsidRDefault="00885050" w:rsidP="00EA52D1">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In regard to t</w:t>
      </w:r>
      <w:r w:rsidR="00DE19C3">
        <w:rPr>
          <w:rFonts w:ascii="Arial" w:eastAsia="Calibri" w:hAnsi="Arial" w:cs="Arial"/>
          <w:lang w:val="en-GB"/>
        </w:rPr>
        <w:t>he fourth ground of the appeal</w:t>
      </w:r>
      <w:r>
        <w:rPr>
          <w:rFonts w:ascii="Arial" w:eastAsia="Calibri" w:hAnsi="Arial" w:cs="Arial"/>
          <w:lang w:val="en-GB"/>
        </w:rPr>
        <w:t>, it was the finding of the NCT that:</w:t>
      </w:r>
    </w:p>
    <w:p w14:paraId="5F0D351D" w14:textId="77777777" w:rsidR="00885050" w:rsidRDefault="00885050" w:rsidP="00885050">
      <w:pPr>
        <w:pStyle w:val="ListParagraph"/>
        <w:spacing w:line="360" w:lineRule="auto"/>
        <w:jc w:val="both"/>
        <w:rPr>
          <w:rFonts w:ascii="Arial" w:eastAsia="Calibri" w:hAnsi="Arial" w:cs="Arial"/>
          <w:i/>
          <w:iCs/>
          <w:sz w:val="22"/>
          <w:szCs w:val="22"/>
          <w:lang w:val="en-GB"/>
        </w:rPr>
      </w:pPr>
    </w:p>
    <w:p w14:paraId="4D2F4C0A" w14:textId="0232BAFE" w:rsidR="00885050" w:rsidRPr="00BF7831" w:rsidRDefault="00885050" w:rsidP="00BF7831">
      <w:pPr>
        <w:pStyle w:val="ListParagraph"/>
        <w:spacing w:line="360" w:lineRule="auto"/>
        <w:ind w:left="1418"/>
        <w:jc w:val="both"/>
        <w:rPr>
          <w:rFonts w:ascii="Arial" w:eastAsia="Calibri" w:hAnsi="Arial" w:cs="Arial"/>
          <w:i/>
          <w:iCs/>
          <w:sz w:val="22"/>
          <w:szCs w:val="22"/>
          <w:lang w:val="en-GB"/>
        </w:rPr>
      </w:pPr>
      <w:r>
        <w:rPr>
          <w:rFonts w:ascii="Arial" w:eastAsia="Calibri" w:hAnsi="Arial" w:cs="Arial"/>
          <w:i/>
          <w:iCs/>
          <w:sz w:val="22"/>
          <w:szCs w:val="22"/>
          <w:lang w:val="en-GB"/>
        </w:rPr>
        <w:t>“</w:t>
      </w:r>
      <w:r w:rsidRPr="000B0B55">
        <w:rPr>
          <w:rFonts w:ascii="Arial" w:eastAsia="Calibri" w:hAnsi="Arial" w:cs="Arial"/>
          <w:i/>
          <w:iCs/>
          <w:sz w:val="22"/>
          <w:szCs w:val="22"/>
          <w:lang w:val="en-GB"/>
        </w:rPr>
        <w:t>The scope of the investigation was within the authority of the Applicant and the parameters of the NCA</w:t>
      </w:r>
      <w:r>
        <w:rPr>
          <w:rFonts w:ascii="Arial" w:eastAsia="Calibri" w:hAnsi="Arial" w:cs="Arial"/>
          <w:i/>
          <w:iCs/>
          <w:sz w:val="22"/>
          <w:szCs w:val="22"/>
          <w:lang w:val="en-GB"/>
        </w:rPr>
        <w:t>”</w:t>
      </w:r>
    </w:p>
    <w:p w14:paraId="6B15180B" w14:textId="77777777" w:rsidR="00DE19C3" w:rsidRDefault="00DE19C3" w:rsidP="00DE19C3">
      <w:pPr>
        <w:pStyle w:val="ListParagraph"/>
        <w:spacing w:line="360" w:lineRule="auto"/>
        <w:ind w:left="851"/>
        <w:jc w:val="both"/>
        <w:rPr>
          <w:rFonts w:ascii="Arial" w:eastAsia="Calibri" w:hAnsi="Arial" w:cs="Arial"/>
          <w:lang w:val="en-GB"/>
        </w:rPr>
      </w:pPr>
    </w:p>
    <w:p w14:paraId="456BF00B" w14:textId="3E766686" w:rsidR="00885050" w:rsidRDefault="00885050" w:rsidP="00EA52D1">
      <w:pPr>
        <w:pStyle w:val="ListParagraph"/>
        <w:numPr>
          <w:ilvl w:val="0"/>
          <w:numId w:val="15"/>
        </w:numPr>
        <w:spacing w:line="360" w:lineRule="auto"/>
        <w:ind w:left="851" w:hanging="851"/>
        <w:jc w:val="both"/>
        <w:rPr>
          <w:rFonts w:ascii="Arial" w:eastAsia="Calibri" w:hAnsi="Arial" w:cs="Arial"/>
          <w:lang w:val="en-GB"/>
        </w:rPr>
      </w:pPr>
      <w:r>
        <w:rPr>
          <w:rFonts w:ascii="Arial" w:eastAsia="Calibri" w:hAnsi="Arial" w:cs="Arial"/>
          <w:lang w:val="en-GB"/>
        </w:rPr>
        <w:t>In regard to the fifth ground of the appeal, it was the finding of the NCT that:</w:t>
      </w:r>
    </w:p>
    <w:p w14:paraId="40174C85" w14:textId="77777777" w:rsidR="00885050" w:rsidRDefault="00885050" w:rsidP="00885050">
      <w:pPr>
        <w:pStyle w:val="ListParagraph"/>
        <w:spacing w:line="360" w:lineRule="auto"/>
        <w:ind w:left="851"/>
        <w:jc w:val="both"/>
        <w:rPr>
          <w:rFonts w:ascii="Arial" w:eastAsia="Calibri" w:hAnsi="Arial" w:cs="Arial"/>
          <w:i/>
          <w:iCs/>
          <w:sz w:val="22"/>
          <w:szCs w:val="22"/>
          <w:lang w:val="en-GB"/>
        </w:rPr>
      </w:pPr>
    </w:p>
    <w:p w14:paraId="590C63FA" w14:textId="4677449F" w:rsidR="00885050" w:rsidRDefault="00885050" w:rsidP="00885050">
      <w:pPr>
        <w:pStyle w:val="ListParagraph"/>
        <w:spacing w:line="360" w:lineRule="auto"/>
        <w:ind w:left="1418"/>
        <w:jc w:val="both"/>
        <w:rPr>
          <w:rFonts w:ascii="Arial" w:eastAsia="Calibri" w:hAnsi="Arial" w:cs="Arial"/>
          <w:i/>
          <w:iCs/>
          <w:sz w:val="22"/>
          <w:szCs w:val="22"/>
          <w:lang w:val="en-GB"/>
        </w:rPr>
      </w:pPr>
      <w:r>
        <w:rPr>
          <w:rFonts w:ascii="Arial" w:eastAsia="Calibri" w:hAnsi="Arial" w:cs="Arial"/>
          <w:i/>
          <w:iCs/>
          <w:sz w:val="22"/>
          <w:szCs w:val="22"/>
          <w:lang w:val="en-GB"/>
        </w:rPr>
        <w:t>“</w:t>
      </w:r>
      <w:r w:rsidRPr="000B0B55">
        <w:rPr>
          <w:rFonts w:ascii="Arial" w:eastAsia="Calibri" w:hAnsi="Arial" w:cs="Arial"/>
          <w:i/>
          <w:iCs/>
          <w:sz w:val="22"/>
          <w:szCs w:val="22"/>
          <w:lang w:val="en-GB"/>
        </w:rPr>
        <w:t>The report compiled by the Applicant’s inspector, Phalanndwa, was materially sufficient to launch this application.”</w:t>
      </w:r>
    </w:p>
    <w:p w14:paraId="68905FF3" w14:textId="77777777" w:rsidR="00885050" w:rsidRDefault="00885050" w:rsidP="00885050">
      <w:pPr>
        <w:pStyle w:val="ListParagraph"/>
        <w:spacing w:line="360" w:lineRule="auto"/>
        <w:ind w:left="851"/>
        <w:jc w:val="both"/>
        <w:rPr>
          <w:rFonts w:ascii="Arial" w:eastAsia="Calibri" w:hAnsi="Arial" w:cs="Arial"/>
          <w:lang w:val="en-GB"/>
        </w:rPr>
      </w:pPr>
    </w:p>
    <w:p w14:paraId="378D1450" w14:textId="6CC99466" w:rsidR="00BF7831" w:rsidRPr="00BF7831" w:rsidRDefault="00BF7831" w:rsidP="00EA52D1">
      <w:pPr>
        <w:pStyle w:val="ListParagraph"/>
        <w:numPr>
          <w:ilvl w:val="0"/>
          <w:numId w:val="15"/>
        </w:numPr>
        <w:spacing w:line="360" w:lineRule="auto"/>
        <w:ind w:left="851" w:hanging="851"/>
        <w:jc w:val="both"/>
        <w:rPr>
          <w:rFonts w:ascii="Arial" w:eastAsia="Calibri" w:hAnsi="Arial" w:cs="Arial"/>
          <w:i/>
          <w:iCs/>
          <w:sz w:val="22"/>
          <w:szCs w:val="22"/>
          <w:lang w:val="en-GB"/>
        </w:rPr>
      </w:pPr>
      <w:r w:rsidRPr="00885050">
        <w:rPr>
          <w:rFonts w:ascii="Arial" w:eastAsia="Calibri" w:hAnsi="Arial" w:cs="Arial"/>
          <w:lang w:val="en-GB"/>
        </w:rPr>
        <w:t>The entirety of the NCT’s reasoning for the dismissal of the third</w:t>
      </w:r>
      <w:r>
        <w:rPr>
          <w:rFonts w:ascii="Arial" w:eastAsia="Calibri" w:hAnsi="Arial" w:cs="Arial"/>
          <w:lang w:val="en-GB"/>
        </w:rPr>
        <w:t>, fourth and fifth</w:t>
      </w:r>
      <w:r w:rsidRPr="00885050">
        <w:rPr>
          <w:rFonts w:ascii="Arial" w:eastAsia="Calibri" w:hAnsi="Arial" w:cs="Arial"/>
          <w:lang w:val="en-GB"/>
        </w:rPr>
        <w:t xml:space="preserve"> point</w:t>
      </w:r>
      <w:r>
        <w:rPr>
          <w:rFonts w:ascii="Arial" w:eastAsia="Calibri" w:hAnsi="Arial" w:cs="Arial"/>
          <w:lang w:val="en-GB"/>
        </w:rPr>
        <w:t>s</w:t>
      </w:r>
      <w:r w:rsidRPr="00885050">
        <w:rPr>
          <w:rFonts w:ascii="Arial" w:eastAsia="Calibri" w:hAnsi="Arial" w:cs="Arial"/>
          <w:lang w:val="en-GB"/>
        </w:rPr>
        <w:t xml:space="preserve"> </w:t>
      </w:r>
      <w:r w:rsidRPr="00885050">
        <w:rPr>
          <w:rFonts w:ascii="Arial" w:eastAsia="Calibri" w:hAnsi="Arial" w:cs="Arial"/>
          <w:i/>
          <w:iCs/>
          <w:lang w:val="en-GB"/>
        </w:rPr>
        <w:t>in limine</w:t>
      </w:r>
      <w:r w:rsidRPr="00885050">
        <w:rPr>
          <w:rFonts w:ascii="Arial" w:eastAsia="Calibri" w:hAnsi="Arial" w:cs="Arial"/>
          <w:lang w:val="en-GB"/>
        </w:rPr>
        <w:t xml:space="preserve"> was predicated upon the admissibility of what was before it.  Absent the admissibility of the Phalanndwa report, there was no case before the NCT for FGI to answer</w:t>
      </w:r>
      <w:r>
        <w:rPr>
          <w:rFonts w:ascii="Arial" w:eastAsia="Calibri" w:hAnsi="Arial" w:cs="Arial"/>
          <w:lang w:val="en-GB"/>
        </w:rPr>
        <w:t>, the content of the report being inadmissible was irrelevant and so too the investigation and findings.</w:t>
      </w:r>
      <w:r w:rsidR="00A12D6D">
        <w:rPr>
          <w:rStyle w:val="FootnoteReference"/>
          <w:rFonts w:ascii="Arial" w:eastAsia="Calibri" w:hAnsi="Arial" w:cs="Arial"/>
          <w:lang w:val="en-GB"/>
        </w:rPr>
        <w:footnoteReference w:id="28"/>
      </w:r>
    </w:p>
    <w:p w14:paraId="647FF138" w14:textId="77777777" w:rsidR="00BF7831" w:rsidRPr="00885050" w:rsidRDefault="00BF7831" w:rsidP="00EA52D1">
      <w:pPr>
        <w:pStyle w:val="ListParagraph"/>
        <w:spacing w:line="360" w:lineRule="auto"/>
        <w:ind w:left="851" w:hanging="851"/>
        <w:jc w:val="both"/>
        <w:rPr>
          <w:rFonts w:ascii="Arial" w:eastAsia="Calibri" w:hAnsi="Arial" w:cs="Arial"/>
          <w:i/>
          <w:iCs/>
          <w:sz w:val="22"/>
          <w:szCs w:val="22"/>
          <w:lang w:val="en-GB"/>
        </w:rPr>
      </w:pPr>
    </w:p>
    <w:p w14:paraId="2C2D4512" w14:textId="653909ED" w:rsidR="00B224DB" w:rsidRDefault="00DE19C3" w:rsidP="00EA52D1">
      <w:pPr>
        <w:pStyle w:val="ListParagraph"/>
        <w:numPr>
          <w:ilvl w:val="0"/>
          <w:numId w:val="15"/>
        </w:numPr>
        <w:spacing w:line="360" w:lineRule="auto"/>
        <w:ind w:left="851" w:hanging="851"/>
        <w:jc w:val="both"/>
        <w:rPr>
          <w:rFonts w:ascii="Arial" w:eastAsia="Calibri" w:hAnsi="Arial" w:cs="Arial"/>
          <w:lang w:val="en-GB"/>
        </w:rPr>
      </w:pPr>
      <w:r w:rsidRPr="00885050">
        <w:rPr>
          <w:rFonts w:ascii="Arial" w:eastAsia="Calibri" w:hAnsi="Arial" w:cs="Arial"/>
          <w:lang w:val="en-GB"/>
        </w:rPr>
        <w:t xml:space="preserve">Whether or not the report establishes </w:t>
      </w:r>
      <w:r w:rsidRPr="00BF7831">
        <w:rPr>
          <w:rFonts w:ascii="Arial" w:eastAsia="Calibri" w:hAnsi="Arial" w:cs="Arial"/>
          <w:i/>
          <w:iCs/>
          <w:lang w:val="en-GB"/>
        </w:rPr>
        <w:t>“reasonable suspicion”</w:t>
      </w:r>
      <w:r w:rsidRPr="00885050">
        <w:rPr>
          <w:rFonts w:ascii="Arial" w:eastAsia="Calibri" w:hAnsi="Arial" w:cs="Arial"/>
          <w:lang w:val="en-GB"/>
        </w:rPr>
        <w:t xml:space="preserve"> or that FGI had engaged in “</w:t>
      </w:r>
      <w:r w:rsidRPr="00BF7831">
        <w:rPr>
          <w:rFonts w:ascii="Arial" w:eastAsia="Calibri" w:hAnsi="Arial" w:cs="Arial"/>
          <w:i/>
          <w:iCs/>
          <w:lang w:val="en-GB"/>
        </w:rPr>
        <w:t>prohibited conduct”</w:t>
      </w:r>
      <w:r w:rsidRPr="00885050">
        <w:rPr>
          <w:rFonts w:ascii="Arial" w:eastAsia="Calibri" w:hAnsi="Arial" w:cs="Arial"/>
          <w:lang w:val="en-GB"/>
        </w:rPr>
        <w:t xml:space="preserve"> need not be considered at this juncture.  </w:t>
      </w:r>
      <w:r w:rsidR="0076233B">
        <w:rPr>
          <w:rFonts w:ascii="Arial" w:eastAsia="Calibri" w:hAnsi="Arial" w:cs="Arial"/>
          <w:lang w:val="en-GB"/>
        </w:rPr>
        <w:t>Similarly,</w:t>
      </w:r>
      <w:r w:rsidR="00BF7831">
        <w:rPr>
          <w:rFonts w:ascii="Arial" w:eastAsia="Calibri" w:hAnsi="Arial" w:cs="Arial"/>
          <w:lang w:val="en-GB"/>
        </w:rPr>
        <w:t xml:space="preserve"> also whether or not</w:t>
      </w:r>
      <w:r w:rsidR="0076233B">
        <w:rPr>
          <w:rFonts w:ascii="Arial" w:eastAsia="Calibri" w:hAnsi="Arial" w:cs="Arial"/>
          <w:lang w:val="en-GB"/>
        </w:rPr>
        <w:t xml:space="preserve"> the investigation was properly authorised or whether it was sufficiently material to have justified the referral, only arise for consideration </w:t>
      </w:r>
      <w:r w:rsidRPr="00885050">
        <w:rPr>
          <w:rFonts w:ascii="Arial" w:eastAsia="Calibri" w:hAnsi="Arial" w:cs="Arial"/>
          <w:lang w:val="en-GB"/>
        </w:rPr>
        <w:t xml:space="preserve">if the report was admissible. </w:t>
      </w:r>
    </w:p>
    <w:p w14:paraId="525382F3" w14:textId="77777777" w:rsidR="00B224DB" w:rsidRDefault="00B224DB" w:rsidP="00EA52D1">
      <w:pPr>
        <w:pStyle w:val="ListParagraph"/>
        <w:spacing w:line="360" w:lineRule="auto"/>
        <w:ind w:left="851" w:hanging="851"/>
        <w:jc w:val="both"/>
        <w:rPr>
          <w:rFonts w:ascii="Arial" w:eastAsia="Calibri" w:hAnsi="Arial" w:cs="Arial"/>
          <w:lang w:val="en-GB"/>
        </w:rPr>
      </w:pPr>
    </w:p>
    <w:p w14:paraId="7877EFF7" w14:textId="5ADA6ECC" w:rsidR="0069000A" w:rsidRPr="00B224DB" w:rsidRDefault="0069000A" w:rsidP="00EA52D1">
      <w:pPr>
        <w:pStyle w:val="ListParagraph"/>
        <w:numPr>
          <w:ilvl w:val="0"/>
          <w:numId w:val="15"/>
        </w:numPr>
        <w:spacing w:line="360" w:lineRule="auto"/>
        <w:ind w:left="851" w:hanging="851"/>
        <w:jc w:val="both"/>
        <w:rPr>
          <w:rFonts w:ascii="Arial" w:eastAsia="Calibri" w:hAnsi="Arial" w:cs="Arial"/>
          <w:lang w:val="en-GB"/>
        </w:rPr>
      </w:pPr>
      <w:r w:rsidRPr="00B224DB">
        <w:rPr>
          <w:rFonts w:ascii="Arial" w:eastAsia="Calibri" w:hAnsi="Arial" w:cs="Arial"/>
          <w:lang w:val="en-GB"/>
        </w:rPr>
        <w:t>For the reasons set out above, the dismissal of th</w:t>
      </w:r>
      <w:r w:rsidR="00DE19C3" w:rsidRPr="00B224DB">
        <w:rPr>
          <w:rFonts w:ascii="Arial" w:eastAsia="Calibri" w:hAnsi="Arial" w:cs="Arial"/>
          <w:lang w:val="en-GB"/>
        </w:rPr>
        <w:t>e third</w:t>
      </w:r>
      <w:r w:rsidR="0076233B">
        <w:rPr>
          <w:rFonts w:ascii="Arial" w:eastAsia="Calibri" w:hAnsi="Arial" w:cs="Arial"/>
          <w:lang w:val="en-GB"/>
        </w:rPr>
        <w:t>, fourth and fifth</w:t>
      </w:r>
      <w:r w:rsidR="00DE19C3" w:rsidRPr="00B224DB">
        <w:rPr>
          <w:rFonts w:ascii="Arial" w:eastAsia="Calibri" w:hAnsi="Arial" w:cs="Arial"/>
          <w:lang w:val="en-GB"/>
        </w:rPr>
        <w:t xml:space="preserve"> </w:t>
      </w:r>
      <w:r w:rsidRPr="00B224DB">
        <w:rPr>
          <w:rFonts w:ascii="Arial" w:eastAsia="Calibri" w:hAnsi="Arial" w:cs="Arial"/>
          <w:lang w:val="en-GB"/>
        </w:rPr>
        <w:t>point</w:t>
      </w:r>
      <w:r w:rsidR="0076233B">
        <w:rPr>
          <w:rFonts w:ascii="Arial" w:eastAsia="Calibri" w:hAnsi="Arial" w:cs="Arial"/>
          <w:lang w:val="en-GB"/>
        </w:rPr>
        <w:t>s</w:t>
      </w:r>
      <w:r w:rsidRPr="00B224DB">
        <w:rPr>
          <w:rFonts w:ascii="Arial" w:eastAsia="Calibri" w:hAnsi="Arial" w:cs="Arial"/>
          <w:lang w:val="en-GB"/>
        </w:rPr>
        <w:t xml:space="preserve"> </w:t>
      </w:r>
      <w:r w:rsidRPr="00B224DB">
        <w:rPr>
          <w:rFonts w:ascii="Arial" w:eastAsia="Calibri" w:hAnsi="Arial" w:cs="Arial"/>
          <w:i/>
          <w:iCs/>
          <w:lang w:val="en-GB"/>
        </w:rPr>
        <w:t>in limine</w:t>
      </w:r>
      <w:r w:rsidRPr="00B224DB">
        <w:rPr>
          <w:rFonts w:ascii="Arial" w:eastAsia="Calibri" w:hAnsi="Arial" w:cs="Arial"/>
          <w:lang w:val="en-GB"/>
        </w:rPr>
        <w:t xml:space="preserve"> </w:t>
      </w:r>
      <w:r w:rsidR="0076233B">
        <w:rPr>
          <w:rFonts w:ascii="Arial" w:eastAsia="Calibri" w:hAnsi="Arial" w:cs="Arial"/>
          <w:lang w:val="en-GB"/>
        </w:rPr>
        <w:t>are</w:t>
      </w:r>
      <w:r w:rsidRPr="00B224DB">
        <w:rPr>
          <w:rFonts w:ascii="Arial" w:eastAsia="Calibri" w:hAnsi="Arial" w:cs="Arial"/>
          <w:lang w:val="en-GB"/>
        </w:rPr>
        <w:t xml:space="preserve"> similarly impeachable</w:t>
      </w:r>
      <w:r w:rsidR="0076233B">
        <w:rPr>
          <w:rFonts w:ascii="Arial" w:eastAsia="Calibri" w:hAnsi="Arial" w:cs="Arial"/>
          <w:lang w:val="en-GB"/>
        </w:rPr>
        <w:t xml:space="preserve"> and the appeal must succeed</w:t>
      </w:r>
      <w:r w:rsidRPr="00B224DB">
        <w:rPr>
          <w:rFonts w:ascii="Arial" w:eastAsia="Calibri" w:hAnsi="Arial" w:cs="Arial"/>
          <w:lang w:val="en-GB"/>
        </w:rPr>
        <w:t>.</w:t>
      </w:r>
    </w:p>
    <w:p w14:paraId="13C39D37" w14:textId="630436FE" w:rsidR="00CD594E" w:rsidRDefault="00CD594E" w:rsidP="00BA1E0B">
      <w:pPr>
        <w:rPr>
          <w:rFonts w:ascii="Arial" w:eastAsia="Calibri" w:hAnsi="Arial" w:cs="Arial"/>
          <w:lang w:val="en-GB"/>
        </w:rPr>
      </w:pPr>
    </w:p>
    <w:p w14:paraId="33BE942D" w14:textId="77777777" w:rsidR="00BA1E0B" w:rsidRPr="00BA1E0B" w:rsidRDefault="00BA1E0B" w:rsidP="00BA1E0B">
      <w:pPr>
        <w:rPr>
          <w:rFonts w:ascii="Arial" w:eastAsia="Calibri" w:hAnsi="Arial" w:cs="Arial"/>
          <w:b/>
          <w:bCs/>
          <w:iCs/>
          <w:lang w:val="en-GB"/>
        </w:rPr>
      </w:pPr>
    </w:p>
    <w:p w14:paraId="0CA4CFD9" w14:textId="133DEB18" w:rsidR="00CD594E" w:rsidRDefault="00664432" w:rsidP="00664432">
      <w:pPr>
        <w:spacing w:line="360" w:lineRule="auto"/>
        <w:jc w:val="both"/>
        <w:rPr>
          <w:rFonts w:ascii="Arial" w:eastAsia="Calibri" w:hAnsi="Arial" w:cs="Arial"/>
          <w:b/>
          <w:bCs/>
          <w:lang w:val="en-GB"/>
        </w:rPr>
      </w:pPr>
      <w:r>
        <w:rPr>
          <w:rFonts w:ascii="Arial" w:eastAsia="Calibri" w:hAnsi="Arial" w:cs="Arial"/>
          <w:b/>
          <w:bCs/>
          <w:lang w:val="en-GB"/>
        </w:rPr>
        <w:t>COSTS</w:t>
      </w:r>
      <w:r w:rsidR="00417B99">
        <w:rPr>
          <w:rFonts w:ascii="Arial" w:eastAsia="Calibri" w:hAnsi="Arial" w:cs="Arial"/>
          <w:b/>
          <w:bCs/>
          <w:lang w:val="en-GB"/>
        </w:rPr>
        <w:t>.</w:t>
      </w:r>
    </w:p>
    <w:p w14:paraId="3BB6FC00" w14:textId="77777777" w:rsidR="00664432" w:rsidRPr="00664432" w:rsidRDefault="00664432" w:rsidP="00664432">
      <w:pPr>
        <w:spacing w:line="360" w:lineRule="auto"/>
        <w:jc w:val="both"/>
        <w:rPr>
          <w:rFonts w:ascii="Arial" w:eastAsia="Calibri" w:hAnsi="Arial" w:cs="Arial"/>
          <w:b/>
          <w:bCs/>
          <w:lang w:val="en-GB"/>
        </w:rPr>
      </w:pPr>
    </w:p>
    <w:p w14:paraId="1E7D7DB0" w14:textId="0DECF2DE" w:rsidR="00956003" w:rsidRPr="006665B3" w:rsidRDefault="0076233B" w:rsidP="00EA52D1">
      <w:pPr>
        <w:pStyle w:val="ListParagraph"/>
        <w:numPr>
          <w:ilvl w:val="0"/>
          <w:numId w:val="15"/>
        </w:numPr>
        <w:spacing w:line="360" w:lineRule="auto"/>
        <w:ind w:left="851" w:hanging="851"/>
        <w:jc w:val="both"/>
        <w:rPr>
          <w:rFonts w:ascii="Arial" w:eastAsia="Calibri" w:hAnsi="Arial" w:cs="Arial"/>
          <w:lang w:val="en-GB"/>
        </w:rPr>
      </w:pPr>
      <w:r w:rsidRPr="006665B3">
        <w:rPr>
          <w:rFonts w:ascii="Arial" w:eastAsia="Calibri" w:hAnsi="Arial" w:cs="Arial"/>
          <w:lang w:val="en-GB"/>
        </w:rPr>
        <w:lastRenderedPageBreak/>
        <w:t xml:space="preserve">The costs will follow the result.  FGI argued that </w:t>
      </w:r>
      <w:r w:rsidR="00956003" w:rsidRPr="006665B3">
        <w:rPr>
          <w:rFonts w:ascii="Arial" w:eastAsia="Calibri" w:hAnsi="Arial" w:cs="Arial"/>
          <w:lang w:val="en-GB"/>
        </w:rPr>
        <w:t>the matter is an extremely important one to it, having regard to the gravity of the complaints against it and the potential consequences of any adverse decision.   It was argued that it was prudent to have engaged more than one counsel.  I agree and for this reason, make the costs order that follows.</w:t>
      </w:r>
    </w:p>
    <w:p w14:paraId="1DA8E36A" w14:textId="044A853B" w:rsidR="00956003" w:rsidRDefault="00956003" w:rsidP="00956003">
      <w:pPr>
        <w:rPr>
          <w:b/>
          <w:u w:val="single"/>
        </w:rPr>
      </w:pPr>
    </w:p>
    <w:p w14:paraId="39E5D983" w14:textId="6C3280FA" w:rsidR="00956003" w:rsidRDefault="00956003" w:rsidP="00956003">
      <w:pPr>
        <w:rPr>
          <w:rFonts w:ascii="Arial" w:hAnsi="Arial" w:cs="Arial"/>
          <w:b/>
        </w:rPr>
      </w:pPr>
      <w:r w:rsidRPr="00956003">
        <w:rPr>
          <w:rFonts w:ascii="Arial" w:hAnsi="Arial" w:cs="Arial"/>
          <w:b/>
        </w:rPr>
        <w:t>ORDER</w:t>
      </w:r>
      <w:r>
        <w:rPr>
          <w:rFonts w:ascii="Arial" w:hAnsi="Arial" w:cs="Arial"/>
          <w:b/>
        </w:rPr>
        <w:t>.</w:t>
      </w:r>
    </w:p>
    <w:p w14:paraId="688AF06D" w14:textId="35367E4F" w:rsidR="00956003" w:rsidRDefault="00956003" w:rsidP="00956003">
      <w:pPr>
        <w:rPr>
          <w:rFonts w:ascii="Arial" w:hAnsi="Arial" w:cs="Arial"/>
          <w:b/>
        </w:rPr>
      </w:pPr>
    </w:p>
    <w:p w14:paraId="37925F00" w14:textId="77777777" w:rsidR="006665B3" w:rsidRDefault="006665B3" w:rsidP="00956003">
      <w:pPr>
        <w:ind w:left="851" w:hanging="851"/>
        <w:rPr>
          <w:rFonts w:ascii="Arial" w:hAnsi="Arial" w:cs="Arial"/>
          <w:bCs/>
        </w:rPr>
      </w:pPr>
    </w:p>
    <w:p w14:paraId="3469EFB7" w14:textId="5D9A23DC" w:rsidR="00956003" w:rsidRDefault="00956003" w:rsidP="00956003">
      <w:pPr>
        <w:ind w:left="851" w:hanging="851"/>
        <w:rPr>
          <w:rFonts w:ascii="Arial" w:hAnsi="Arial" w:cs="Arial"/>
          <w:bCs/>
        </w:rPr>
      </w:pPr>
      <w:r>
        <w:rPr>
          <w:rFonts w:ascii="Arial" w:hAnsi="Arial" w:cs="Arial"/>
          <w:bCs/>
        </w:rPr>
        <w:t>[4</w:t>
      </w:r>
      <w:r w:rsidR="00F83944">
        <w:rPr>
          <w:rFonts w:ascii="Arial" w:hAnsi="Arial" w:cs="Arial"/>
          <w:bCs/>
        </w:rPr>
        <w:t>4</w:t>
      </w:r>
      <w:r>
        <w:rPr>
          <w:rFonts w:ascii="Arial" w:hAnsi="Arial" w:cs="Arial"/>
          <w:bCs/>
        </w:rPr>
        <w:t>]</w:t>
      </w:r>
      <w:r>
        <w:rPr>
          <w:rFonts w:ascii="Arial" w:hAnsi="Arial" w:cs="Arial"/>
          <w:bCs/>
        </w:rPr>
        <w:tab/>
        <w:t>It is ordered:</w:t>
      </w:r>
    </w:p>
    <w:p w14:paraId="1FB2DC7E" w14:textId="77777777" w:rsidR="00956003" w:rsidRDefault="00956003" w:rsidP="00956003">
      <w:pPr>
        <w:rPr>
          <w:rFonts w:ascii="Arial" w:hAnsi="Arial" w:cs="Arial"/>
          <w:bCs/>
        </w:rPr>
      </w:pPr>
    </w:p>
    <w:p w14:paraId="43E5B4D1" w14:textId="3140D507" w:rsidR="00956003" w:rsidRDefault="00956003" w:rsidP="00956003">
      <w:pPr>
        <w:ind w:left="1985" w:hanging="1134"/>
        <w:rPr>
          <w:rFonts w:ascii="Arial" w:hAnsi="Arial" w:cs="Arial"/>
          <w:bCs/>
        </w:rPr>
      </w:pPr>
      <w:r>
        <w:rPr>
          <w:rFonts w:ascii="Arial" w:hAnsi="Arial" w:cs="Arial"/>
          <w:bCs/>
        </w:rPr>
        <w:t>[4</w:t>
      </w:r>
      <w:r w:rsidR="00F83944">
        <w:rPr>
          <w:rFonts w:ascii="Arial" w:hAnsi="Arial" w:cs="Arial"/>
          <w:bCs/>
        </w:rPr>
        <w:t>4</w:t>
      </w:r>
      <w:r>
        <w:rPr>
          <w:rFonts w:ascii="Arial" w:hAnsi="Arial" w:cs="Arial"/>
          <w:bCs/>
        </w:rPr>
        <w:t>.1]</w:t>
      </w:r>
      <w:r>
        <w:rPr>
          <w:rFonts w:ascii="Arial" w:hAnsi="Arial" w:cs="Arial"/>
          <w:bCs/>
        </w:rPr>
        <w:tab/>
        <w:t>The appeal is upheld.</w:t>
      </w:r>
    </w:p>
    <w:p w14:paraId="387D3365" w14:textId="77777777" w:rsidR="00956003" w:rsidRDefault="00956003" w:rsidP="00956003">
      <w:pPr>
        <w:ind w:left="1985" w:hanging="1134"/>
        <w:rPr>
          <w:rFonts w:ascii="Arial" w:hAnsi="Arial" w:cs="Arial"/>
          <w:bCs/>
        </w:rPr>
      </w:pPr>
    </w:p>
    <w:p w14:paraId="0C71D14E" w14:textId="70946D61" w:rsidR="00956003" w:rsidRDefault="00956003" w:rsidP="00956003">
      <w:pPr>
        <w:ind w:left="1985" w:hanging="1134"/>
        <w:rPr>
          <w:rFonts w:ascii="Arial" w:hAnsi="Arial" w:cs="Arial"/>
          <w:bCs/>
        </w:rPr>
      </w:pPr>
      <w:r>
        <w:rPr>
          <w:rFonts w:ascii="Arial" w:hAnsi="Arial" w:cs="Arial"/>
          <w:bCs/>
        </w:rPr>
        <w:t>[4</w:t>
      </w:r>
      <w:r w:rsidR="00F83944">
        <w:rPr>
          <w:rFonts w:ascii="Arial" w:hAnsi="Arial" w:cs="Arial"/>
          <w:bCs/>
        </w:rPr>
        <w:t>4</w:t>
      </w:r>
      <w:r>
        <w:rPr>
          <w:rFonts w:ascii="Arial" w:hAnsi="Arial" w:cs="Arial"/>
          <w:bCs/>
        </w:rPr>
        <w:t>.2]</w:t>
      </w:r>
      <w:r>
        <w:rPr>
          <w:rFonts w:ascii="Arial" w:hAnsi="Arial" w:cs="Arial"/>
          <w:bCs/>
        </w:rPr>
        <w:tab/>
        <w:t>The decision of the NCT is set aside and replaced with the following:</w:t>
      </w:r>
    </w:p>
    <w:p w14:paraId="507D698A" w14:textId="77777777" w:rsidR="00956003" w:rsidRDefault="00956003" w:rsidP="00956003">
      <w:pPr>
        <w:rPr>
          <w:rFonts w:ascii="Arial" w:hAnsi="Arial" w:cs="Arial"/>
          <w:bCs/>
        </w:rPr>
      </w:pPr>
    </w:p>
    <w:p w14:paraId="2A99C551" w14:textId="77777777" w:rsidR="00956003" w:rsidRPr="00956003" w:rsidRDefault="00956003" w:rsidP="00956003">
      <w:pPr>
        <w:ind w:left="2835" w:hanging="850"/>
        <w:rPr>
          <w:rFonts w:ascii="Arial" w:hAnsi="Arial" w:cs="Arial"/>
          <w:bCs/>
          <w:i/>
          <w:iCs/>
        </w:rPr>
      </w:pPr>
      <w:r w:rsidRPr="00956003">
        <w:rPr>
          <w:rFonts w:ascii="Arial" w:hAnsi="Arial" w:cs="Arial"/>
          <w:bCs/>
          <w:i/>
          <w:iCs/>
        </w:rPr>
        <w:t>“1.</w:t>
      </w:r>
      <w:r w:rsidRPr="00956003">
        <w:rPr>
          <w:rFonts w:ascii="Arial" w:hAnsi="Arial" w:cs="Arial"/>
          <w:bCs/>
          <w:i/>
          <w:iCs/>
        </w:rPr>
        <w:tab/>
        <w:t>The Respondent’s 5 points in limine are upheld.</w:t>
      </w:r>
    </w:p>
    <w:p w14:paraId="1A5635DD" w14:textId="77777777" w:rsidR="00956003" w:rsidRPr="00956003" w:rsidRDefault="00956003" w:rsidP="00956003">
      <w:pPr>
        <w:ind w:left="2835" w:hanging="850"/>
        <w:rPr>
          <w:rFonts w:ascii="Arial" w:hAnsi="Arial" w:cs="Arial"/>
          <w:bCs/>
          <w:i/>
          <w:iCs/>
        </w:rPr>
      </w:pPr>
    </w:p>
    <w:p w14:paraId="3931A650" w14:textId="77777777" w:rsidR="00956003" w:rsidRPr="00956003" w:rsidRDefault="00956003" w:rsidP="00956003">
      <w:pPr>
        <w:ind w:left="2835" w:hanging="850"/>
        <w:rPr>
          <w:rFonts w:ascii="Arial" w:hAnsi="Arial" w:cs="Arial"/>
          <w:bCs/>
          <w:i/>
          <w:iCs/>
        </w:rPr>
      </w:pPr>
      <w:r w:rsidRPr="00956003">
        <w:rPr>
          <w:rFonts w:ascii="Arial" w:hAnsi="Arial" w:cs="Arial"/>
          <w:bCs/>
          <w:i/>
          <w:iCs/>
        </w:rPr>
        <w:t>2.</w:t>
      </w:r>
      <w:r w:rsidRPr="00956003">
        <w:rPr>
          <w:rFonts w:ascii="Arial" w:hAnsi="Arial" w:cs="Arial"/>
          <w:bCs/>
          <w:i/>
          <w:iCs/>
        </w:rPr>
        <w:tab/>
        <w:t>The application is dismissed.</w:t>
      </w:r>
    </w:p>
    <w:p w14:paraId="0D73F8BB" w14:textId="77777777" w:rsidR="00956003" w:rsidRPr="00956003" w:rsidRDefault="00956003" w:rsidP="00956003">
      <w:pPr>
        <w:ind w:left="2835" w:hanging="850"/>
        <w:rPr>
          <w:rFonts w:ascii="Arial" w:hAnsi="Arial" w:cs="Arial"/>
          <w:bCs/>
          <w:i/>
          <w:iCs/>
        </w:rPr>
      </w:pPr>
    </w:p>
    <w:p w14:paraId="03AAB571" w14:textId="0AC75181" w:rsidR="00956003" w:rsidRPr="00956003" w:rsidRDefault="00956003" w:rsidP="00956003">
      <w:pPr>
        <w:ind w:left="2835" w:hanging="850"/>
        <w:rPr>
          <w:rFonts w:ascii="Arial" w:hAnsi="Arial" w:cs="Arial"/>
          <w:bCs/>
          <w:sz w:val="28"/>
          <w:szCs w:val="28"/>
        </w:rPr>
      </w:pPr>
      <w:r w:rsidRPr="00956003">
        <w:rPr>
          <w:rFonts w:ascii="Arial" w:hAnsi="Arial" w:cs="Arial"/>
          <w:bCs/>
          <w:i/>
          <w:iCs/>
        </w:rPr>
        <w:t>3.</w:t>
      </w:r>
      <w:r w:rsidRPr="00956003">
        <w:rPr>
          <w:rFonts w:ascii="Arial" w:hAnsi="Arial" w:cs="Arial"/>
          <w:bCs/>
          <w:i/>
          <w:iCs/>
        </w:rPr>
        <w:tab/>
        <w:t>No order is made as to costs</w:t>
      </w:r>
      <w:r w:rsidRPr="00956003">
        <w:rPr>
          <w:rFonts w:ascii="Arial" w:hAnsi="Arial" w:cs="Arial"/>
          <w:bCs/>
          <w:sz w:val="28"/>
          <w:szCs w:val="28"/>
        </w:rPr>
        <w:t>”.</w:t>
      </w:r>
    </w:p>
    <w:p w14:paraId="50C1EAE2" w14:textId="77777777" w:rsidR="00956003" w:rsidRDefault="00956003" w:rsidP="00956003">
      <w:pPr>
        <w:rPr>
          <w:rFonts w:ascii="Arial" w:hAnsi="Arial" w:cs="Arial"/>
          <w:bCs/>
        </w:rPr>
      </w:pPr>
    </w:p>
    <w:p w14:paraId="146CCC2C" w14:textId="77777777" w:rsidR="00956003" w:rsidRDefault="00956003" w:rsidP="00956003">
      <w:pPr>
        <w:rPr>
          <w:rFonts w:ascii="Arial" w:hAnsi="Arial" w:cs="Arial"/>
          <w:bCs/>
        </w:rPr>
      </w:pPr>
    </w:p>
    <w:p w14:paraId="4ABA6540" w14:textId="5385FCAE" w:rsidR="00956003" w:rsidRDefault="00956003" w:rsidP="00956003">
      <w:pPr>
        <w:spacing w:line="360" w:lineRule="auto"/>
        <w:ind w:left="1985" w:hanging="1134"/>
        <w:jc w:val="both"/>
        <w:rPr>
          <w:rFonts w:ascii="Arial" w:hAnsi="Arial" w:cs="Arial"/>
          <w:bCs/>
        </w:rPr>
      </w:pPr>
      <w:r>
        <w:rPr>
          <w:rFonts w:ascii="Arial" w:hAnsi="Arial" w:cs="Arial"/>
          <w:bCs/>
        </w:rPr>
        <w:t>[4</w:t>
      </w:r>
      <w:r w:rsidR="00F83944">
        <w:rPr>
          <w:rFonts w:ascii="Arial" w:hAnsi="Arial" w:cs="Arial"/>
          <w:bCs/>
        </w:rPr>
        <w:t>4</w:t>
      </w:r>
      <w:r>
        <w:rPr>
          <w:rFonts w:ascii="Arial" w:hAnsi="Arial" w:cs="Arial"/>
          <w:bCs/>
        </w:rPr>
        <w:t>.3]</w:t>
      </w:r>
      <w:r>
        <w:rPr>
          <w:rFonts w:ascii="Arial" w:hAnsi="Arial" w:cs="Arial"/>
          <w:bCs/>
        </w:rPr>
        <w:tab/>
        <w:t>The First Respondent is ordered to pay the appellant’s costs of the appeal on the scale as between party and party which costs are to include the costs consequent upon the engagement of two counsel.</w:t>
      </w:r>
    </w:p>
    <w:p w14:paraId="4001F8B8" w14:textId="77777777" w:rsidR="00926CAD" w:rsidRDefault="00926CAD" w:rsidP="006665B3">
      <w:pPr>
        <w:pStyle w:val="Body"/>
        <w:spacing w:line="360" w:lineRule="auto"/>
        <w:rPr>
          <w:rFonts w:cs="Arial"/>
          <w:b/>
          <w:bCs/>
          <w:sz w:val="24"/>
          <w:szCs w:val="24"/>
        </w:rPr>
      </w:pPr>
    </w:p>
    <w:p w14:paraId="3445F8FC" w14:textId="77777777" w:rsidR="00926CAD" w:rsidRDefault="00926CAD" w:rsidP="008E6813">
      <w:pPr>
        <w:pStyle w:val="Body"/>
        <w:spacing w:line="360" w:lineRule="auto"/>
        <w:ind w:left="720"/>
        <w:jc w:val="right"/>
        <w:rPr>
          <w:rFonts w:cs="Arial"/>
          <w:b/>
          <w:bCs/>
          <w:sz w:val="24"/>
          <w:szCs w:val="24"/>
        </w:rPr>
      </w:pPr>
    </w:p>
    <w:p w14:paraId="75814BE3" w14:textId="26AF75C6"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6665B3">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6665B3">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6665B3">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042C8EA7" w14:textId="77777777" w:rsidR="00926CAD" w:rsidRPr="00413603" w:rsidRDefault="00926CAD" w:rsidP="00926CAD">
      <w:pPr>
        <w:pStyle w:val="Body"/>
        <w:spacing w:line="360" w:lineRule="auto"/>
        <w:ind w:left="720"/>
        <w:jc w:val="right"/>
        <w:rPr>
          <w:rFonts w:cs="Arial"/>
          <w:sz w:val="24"/>
          <w:szCs w:val="24"/>
        </w:rPr>
      </w:pPr>
      <w:r w:rsidRPr="00413603">
        <w:rPr>
          <w:rFonts w:cs="Arial"/>
          <w:b/>
          <w:bCs/>
          <w:sz w:val="24"/>
          <w:szCs w:val="24"/>
        </w:rPr>
        <w:t>_____________________________</w:t>
      </w:r>
    </w:p>
    <w:p w14:paraId="1F09A603" w14:textId="77777777" w:rsidR="00572966" w:rsidRDefault="00572966" w:rsidP="00572966">
      <w:pPr>
        <w:pStyle w:val="BodyA"/>
        <w:spacing w:line="360" w:lineRule="auto"/>
        <w:rPr>
          <w:rFonts w:ascii="Arial" w:hAnsi="Arial" w:cs="Arial"/>
          <w:b/>
          <w:bCs/>
        </w:rPr>
      </w:pPr>
    </w:p>
    <w:p w14:paraId="2E7F5543" w14:textId="1336F6BC" w:rsidR="00926CAD" w:rsidRPr="00242E76" w:rsidRDefault="00572966" w:rsidP="006665B3">
      <w:pPr>
        <w:pStyle w:val="BodyA"/>
        <w:ind w:right="4"/>
        <w:jc w:val="right"/>
        <w:rPr>
          <w:rFonts w:ascii="Arial" w:hAnsi="Arial" w:cs="Arial"/>
          <w:b/>
          <w:bCs/>
        </w:rPr>
      </w:pPr>
      <w:r>
        <w:rPr>
          <w:rFonts w:ascii="Arial" w:hAnsi="Arial" w:cs="Arial"/>
          <w:b/>
          <w:bCs/>
        </w:rPr>
        <w:t>I CONCUR</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26CAD">
        <w:rPr>
          <w:rFonts w:ascii="Arial" w:hAnsi="Arial" w:cs="Arial"/>
          <w:b/>
          <w:bCs/>
        </w:rPr>
        <w:t>G ALLY</w:t>
      </w:r>
    </w:p>
    <w:p w14:paraId="65F6BBD0" w14:textId="195EC5FB" w:rsidR="00926CAD" w:rsidRPr="00242E76" w:rsidRDefault="00926CAD" w:rsidP="006665B3">
      <w:pPr>
        <w:pStyle w:val="BodyA"/>
        <w:spacing w:before="120"/>
        <w:ind w:left="720"/>
        <w:jc w:val="right"/>
        <w:rPr>
          <w:rFonts w:ascii="Arial" w:hAnsi="Arial" w:cs="Arial"/>
          <w:b/>
          <w:bCs/>
        </w:rPr>
      </w:pPr>
      <w:r>
        <w:rPr>
          <w:rFonts w:ascii="Arial" w:hAnsi="Arial" w:cs="Arial"/>
          <w:b/>
          <w:bCs/>
        </w:rPr>
        <w:t>ACTING</w:t>
      </w:r>
      <w:r w:rsidRPr="00242E76">
        <w:rPr>
          <w:rFonts w:ascii="Arial" w:hAnsi="Arial" w:cs="Arial"/>
          <w:b/>
          <w:bCs/>
        </w:rPr>
        <w:t xml:space="preserve"> JUDGE OF THE HIGH COURT</w:t>
      </w:r>
    </w:p>
    <w:p w14:paraId="458FF78C" w14:textId="77777777" w:rsidR="00926CAD" w:rsidRPr="00242E76" w:rsidRDefault="00926CAD" w:rsidP="006665B3">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08C0F372" w14:textId="563B851D" w:rsidR="00926CAD" w:rsidRDefault="00926CAD" w:rsidP="00F83944">
      <w:pPr>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ACDA854" w14:textId="7727D411"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926CAD">
        <w:rPr>
          <w:rFonts w:ascii="Arial" w:hAnsi="Arial" w:cs="Arial"/>
          <w:sz w:val="22"/>
          <w:szCs w:val="22"/>
        </w:rPr>
        <w:t>5 SEPTEMBER 2023</w:t>
      </w:r>
    </w:p>
    <w:p w14:paraId="7E6457D4" w14:textId="4D05016C"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BC18C7">
        <w:rPr>
          <w:rFonts w:ascii="Arial" w:hAnsi="Arial" w:cs="Arial"/>
          <w:sz w:val="22"/>
          <w:szCs w:val="22"/>
        </w:rPr>
        <w:t>19</w:t>
      </w:r>
      <w:r w:rsidR="003473B8">
        <w:rPr>
          <w:rFonts w:ascii="Arial" w:hAnsi="Arial" w:cs="Arial"/>
          <w:sz w:val="22"/>
          <w:szCs w:val="22"/>
        </w:rPr>
        <w:t xml:space="preserve"> </w:t>
      </w:r>
      <w:r w:rsidR="00926CAD">
        <w:rPr>
          <w:rFonts w:ascii="Arial" w:hAnsi="Arial" w:cs="Arial"/>
          <w:sz w:val="22"/>
          <w:szCs w:val="22"/>
        </w:rPr>
        <w:t>SEPTEMBER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4FFC2860" w:rsidR="006630FB"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w:t>
      </w:r>
      <w:r w:rsidR="00926AD9">
        <w:rPr>
          <w:rFonts w:ascii="Arial" w:hAnsi="Arial" w:cs="Arial"/>
          <w:sz w:val="22"/>
          <w:szCs w:val="22"/>
        </w:rPr>
        <w:t>ELL</w:t>
      </w:r>
      <w:r w:rsidR="000218AC">
        <w:rPr>
          <w:rFonts w:ascii="Arial" w:hAnsi="Arial" w:cs="Arial"/>
          <w:sz w:val="22"/>
          <w:szCs w:val="22"/>
        </w:rPr>
        <w:t>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926CAD">
        <w:rPr>
          <w:rFonts w:ascii="Arial" w:hAnsi="Arial" w:cs="Arial"/>
          <w:sz w:val="22"/>
          <w:szCs w:val="22"/>
        </w:rPr>
        <w:t>G AMM</w:t>
      </w:r>
    </w:p>
    <w:p w14:paraId="5FC1751F" w14:textId="37F9794A" w:rsidR="00926CAD" w:rsidRPr="00242E76" w:rsidRDefault="00926CAD" w:rsidP="008E6813">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B EDWARDS</w:t>
      </w:r>
    </w:p>
    <w:p w14:paraId="1D6795FE" w14:textId="77777777" w:rsidR="00740A28" w:rsidRDefault="00740A28" w:rsidP="008E6813">
      <w:pPr>
        <w:spacing w:line="360" w:lineRule="auto"/>
        <w:ind w:left="567" w:hanging="567"/>
        <w:jc w:val="both"/>
        <w:rPr>
          <w:rFonts w:ascii="Arial" w:hAnsi="Arial" w:cs="Arial"/>
          <w:sz w:val="22"/>
          <w:szCs w:val="22"/>
        </w:rPr>
      </w:pPr>
    </w:p>
    <w:p w14:paraId="6434C520" w14:textId="33AA0AA8"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926CAD">
        <w:rPr>
          <w:rFonts w:ascii="Arial" w:hAnsi="Arial" w:cs="Arial"/>
          <w:sz w:val="22"/>
          <w:szCs w:val="22"/>
        </w:rPr>
        <w:t>HSG ATTORNEYS</w:t>
      </w:r>
    </w:p>
    <w:p w14:paraId="7383FC0C" w14:textId="24552D4B"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926CAD">
        <w:rPr>
          <w:rFonts w:ascii="Arial" w:hAnsi="Arial" w:cs="Arial"/>
          <w:sz w:val="22"/>
          <w:szCs w:val="22"/>
        </w:rPr>
        <w:t>MR. F DAVIDS</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728AE03A"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D77C76">
        <w:rPr>
          <w:rFonts w:ascii="Arial" w:hAnsi="Arial" w:cs="Arial"/>
          <w:sz w:val="22"/>
          <w:szCs w:val="22"/>
        </w:rPr>
        <w:t xml:space="preserve">FIRST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926CAD">
        <w:rPr>
          <w:rFonts w:ascii="Arial" w:hAnsi="Arial" w:cs="Arial"/>
          <w:sz w:val="22"/>
          <w:szCs w:val="22"/>
        </w:rPr>
        <w:t>P LONG</w:t>
      </w:r>
    </w:p>
    <w:p w14:paraId="3FF58A84" w14:textId="77777777" w:rsidR="00740A28" w:rsidRDefault="00740A28" w:rsidP="008E6813">
      <w:pPr>
        <w:spacing w:line="360" w:lineRule="auto"/>
        <w:ind w:left="567" w:hanging="567"/>
        <w:jc w:val="both"/>
        <w:rPr>
          <w:rFonts w:ascii="Arial" w:hAnsi="Arial" w:cs="Arial"/>
          <w:sz w:val="22"/>
          <w:szCs w:val="22"/>
        </w:rPr>
      </w:pPr>
    </w:p>
    <w:p w14:paraId="6EEF6A02" w14:textId="29F1E546"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926CAD">
        <w:rPr>
          <w:rFonts w:ascii="Arial" w:hAnsi="Arial" w:cs="Arial"/>
          <w:sz w:val="22"/>
          <w:szCs w:val="22"/>
        </w:rPr>
        <w:t>M INC. ATTORNEYS</w:t>
      </w:r>
    </w:p>
    <w:p w14:paraId="0030EF17" w14:textId="1FE92360"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926CAD">
        <w:rPr>
          <w:rFonts w:ascii="Arial" w:hAnsi="Arial" w:cs="Arial"/>
          <w:sz w:val="22"/>
          <w:szCs w:val="22"/>
        </w:rPr>
        <w:t>MR. K KALPOO</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5498AAD6" w:rsidR="0027008F" w:rsidRPr="00CB6F8A" w:rsidRDefault="00740A28" w:rsidP="00CB6F8A">
      <w:pPr>
        <w:spacing w:line="480" w:lineRule="auto"/>
        <w:jc w:val="both"/>
        <w:rPr>
          <w:rFonts w:ascii="Arial" w:hAnsi="Arial"/>
          <w:sz w:val="22"/>
          <w:szCs w:val="22"/>
        </w:rPr>
      </w:pPr>
      <w:r>
        <w:rPr>
          <w:rFonts w:ascii="Arial" w:hAnsi="Arial"/>
          <w:sz w:val="22"/>
          <w:szCs w:val="22"/>
        </w:rPr>
        <w:t>NO APPEARANCE FOR THE SECOND RESPONDENT</w:t>
      </w:r>
      <w:r w:rsidR="00926AD9">
        <w:rPr>
          <w:rFonts w:ascii="Arial" w:hAnsi="Arial"/>
          <w:sz w:val="22"/>
          <w:szCs w:val="22"/>
        </w:rPr>
        <w:t>.</w:t>
      </w:r>
    </w:p>
    <w:sectPr w:rsidR="0027008F" w:rsidRPr="00CB6F8A" w:rsidSect="008E6813">
      <w:headerReference w:type="even" r:id="rId9"/>
      <w:headerReference w:type="default" r:id="rId10"/>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58B38" w14:textId="77777777" w:rsidR="00413368" w:rsidRDefault="00413368" w:rsidP="008C18AE">
      <w:r>
        <w:separator/>
      </w:r>
    </w:p>
  </w:endnote>
  <w:endnote w:type="continuationSeparator" w:id="0">
    <w:p w14:paraId="5702DCB5" w14:textId="77777777" w:rsidR="00413368" w:rsidRDefault="00413368"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BDAA1" w14:textId="77777777" w:rsidR="00413368" w:rsidRDefault="00413368" w:rsidP="008C18AE">
      <w:r>
        <w:separator/>
      </w:r>
    </w:p>
  </w:footnote>
  <w:footnote w:type="continuationSeparator" w:id="0">
    <w:p w14:paraId="720E4305" w14:textId="77777777" w:rsidR="00413368" w:rsidRDefault="00413368" w:rsidP="008C18AE">
      <w:r>
        <w:continuationSeparator/>
      </w:r>
    </w:p>
  </w:footnote>
  <w:footnote w:id="1">
    <w:p w14:paraId="764F623D" w14:textId="211A33DF" w:rsidR="006B1733" w:rsidRPr="005A001B" w:rsidRDefault="006B1733" w:rsidP="005A001B">
      <w:pPr>
        <w:pStyle w:val="FootnoteText"/>
        <w:ind w:left="284" w:hanging="284"/>
        <w:rPr>
          <w:rFonts w:ascii="Arial" w:hAnsi="Arial" w:cs="Arial"/>
          <w:sz w:val="20"/>
          <w:szCs w:val="20"/>
        </w:rPr>
      </w:pPr>
      <w:r w:rsidRPr="005A001B">
        <w:rPr>
          <w:rStyle w:val="FootnoteReference"/>
          <w:rFonts w:ascii="Arial" w:hAnsi="Arial" w:cs="Arial"/>
          <w:sz w:val="20"/>
          <w:szCs w:val="20"/>
        </w:rPr>
        <w:footnoteRef/>
      </w:r>
      <w:r w:rsidRPr="005A001B">
        <w:rPr>
          <w:rFonts w:ascii="Arial" w:hAnsi="Arial" w:cs="Arial"/>
          <w:sz w:val="20"/>
          <w:szCs w:val="20"/>
        </w:rPr>
        <w:t xml:space="preserve"> </w:t>
      </w:r>
      <w:r w:rsidR="005A001B">
        <w:rPr>
          <w:rFonts w:ascii="Arial" w:hAnsi="Arial" w:cs="Arial"/>
          <w:sz w:val="20"/>
          <w:szCs w:val="20"/>
        </w:rPr>
        <w:tab/>
      </w:r>
      <w:r w:rsidRPr="005A001B">
        <w:rPr>
          <w:rFonts w:ascii="Arial" w:hAnsi="Arial" w:cs="Arial"/>
          <w:sz w:val="20"/>
          <w:szCs w:val="20"/>
        </w:rPr>
        <w:t>34 of 2005.</w:t>
      </w:r>
    </w:p>
  </w:footnote>
  <w:footnote w:id="2">
    <w:p w14:paraId="0B43091E" w14:textId="3BD1567B" w:rsidR="00061B93" w:rsidRPr="00F26C67" w:rsidRDefault="00061B93" w:rsidP="00F26C67">
      <w:pPr>
        <w:pStyle w:val="FootnoteText"/>
        <w:ind w:left="284" w:hanging="284"/>
        <w:rPr>
          <w:rFonts w:ascii="Arial" w:hAnsi="Arial" w:cs="Arial"/>
          <w:sz w:val="20"/>
          <w:szCs w:val="20"/>
        </w:rPr>
      </w:pPr>
      <w:r w:rsidRPr="00F26C67">
        <w:rPr>
          <w:rStyle w:val="FootnoteReference"/>
          <w:rFonts w:ascii="Arial" w:hAnsi="Arial" w:cs="Arial"/>
          <w:sz w:val="20"/>
          <w:szCs w:val="20"/>
        </w:rPr>
        <w:footnoteRef/>
      </w:r>
      <w:r w:rsidRPr="00F26C67">
        <w:rPr>
          <w:rFonts w:ascii="Arial" w:hAnsi="Arial" w:cs="Arial"/>
          <w:sz w:val="20"/>
          <w:szCs w:val="20"/>
        </w:rPr>
        <w:t xml:space="preserve"> </w:t>
      </w:r>
      <w:r w:rsidR="00F26C67">
        <w:rPr>
          <w:rFonts w:ascii="Arial" w:hAnsi="Arial" w:cs="Arial"/>
          <w:sz w:val="20"/>
          <w:szCs w:val="20"/>
        </w:rPr>
        <w:tab/>
      </w:r>
      <w:r w:rsidRPr="00F26C67">
        <w:rPr>
          <w:rFonts w:ascii="Arial" w:hAnsi="Arial" w:cs="Arial"/>
          <w:sz w:val="20"/>
          <w:szCs w:val="20"/>
        </w:rPr>
        <w:t>Brought in terms of s</w:t>
      </w:r>
      <w:r w:rsidR="00F26C67" w:rsidRPr="00F26C67">
        <w:rPr>
          <w:rFonts w:ascii="Arial" w:hAnsi="Arial" w:cs="Arial"/>
          <w:sz w:val="20"/>
          <w:szCs w:val="20"/>
        </w:rPr>
        <w:t xml:space="preserve"> </w:t>
      </w:r>
      <w:r w:rsidRPr="00F26C67">
        <w:rPr>
          <w:rFonts w:ascii="Arial" w:hAnsi="Arial" w:cs="Arial"/>
          <w:sz w:val="20"/>
          <w:szCs w:val="20"/>
        </w:rPr>
        <w:t>148(2)(b) of the NCA.</w:t>
      </w:r>
    </w:p>
  </w:footnote>
  <w:footnote w:id="3">
    <w:p w14:paraId="4D086CAE" w14:textId="79DF3C2A" w:rsidR="00F10717" w:rsidRPr="00F26C67" w:rsidRDefault="00F10717" w:rsidP="00F26C67">
      <w:pPr>
        <w:pStyle w:val="FootnoteText"/>
        <w:ind w:left="284" w:hanging="284"/>
        <w:rPr>
          <w:rFonts w:ascii="Arial" w:hAnsi="Arial" w:cs="Arial"/>
          <w:sz w:val="20"/>
          <w:szCs w:val="20"/>
        </w:rPr>
      </w:pPr>
      <w:r w:rsidRPr="00F26C67">
        <w:rPr>
          <w:rStyle w:val="FootnoteReference"/>
          <w:rFonts w:ascii="Arial" w:hAnsi="Arial" w:cs="Arial"/>
          <w:sz w:val="20"/>
          <w:szCs w:val="20"/>
        </w:rPr>
        <w:footnoteRef/>
      </w:r>
      <w:r w:rsidRPr="00F26C67">
        <w:rPr>
          <w:rFonts w:ascii="Arial" w:hAnsi="Arial" w:cs="Arial"/>
          <w:sz w:val="20"/>
          <w:szCs w:val="20"/>
        </w:rPr>
        <w:t xml:space="preserve"> </w:t>
      </w:r>
      <w:r w:rsidR="00F26C67">
        <w:rPr>
          <w:rFonts w:ascii="Arial" w:hAnsi="Arial" w:cs="Arial"/>
          <w:sz w:val="20"/>
          <w:szCs w:val="20"/>
        </w:rPr>
        <w:tab/>
      </w:r>
      <w:r w:rsidRPr="00F26C67">
        <w:rPr>
          <w:rFonts w:ascii="Arial" w:hAnsi="Arial" w:cs="Arial"/>
          <w:sz w:val="20"/>
          <w:szCs w:val="20"/>
        </w:rPr>
        <w:t xml:space="preserve">The finding of the NCT </w:t>
      </w:r>
      <w:r w:rsidR="00282490">
        <w:rPr>
          <w:rFonts w:ascii="Arial" w:hAnsi="Arial" w:cs="Arial"/>
          <w:sz w:val="20"/>
          <w:szCs w:val="20"/>
        </w:rPr>
        <w:t xml:space="preserve">in this regard </w:t>
      </w:r>
      <w:r w:rsidRPr="00F26C67">
        <w:rPr>
          <w:rFonts w:ascii="Arial" w:hAnsi="Arial" w:cs="Arial"/>
          <w:sz w:val="20"/>
          <w:szCs w:val="20"/>
        </w:rPr>
        <w:t xml:space="preserve">was </w:t>
      </w:r>
      <w:r w:rsidR="00883060">
        <w:rPr>
          <w:rFonts w:ascii="Arial" w:hAnsi="Arial" w:cs="Arial"/>
          <w:sz w:val="20"/>
          <w:szCs w:val="20"/>
        </w:rPr>
        <w:t xml:space="preserve">inter alia that </w:t>
      </w:r>
      <w:r w:rsidRPr="00883060">
        <w:rPr>
          <w:rFonts w:ascii="Arial" w:hAnsi="Arial" w:cs="Arial"/>
          <w:i/>
          <w:iCs/>
          <w:sz w:val="20"/>
          <w:szCs w:val="20"/>
        </w:rPr>
        <w:t>“</w:t>
      </w:r>
      <w:r w:rsidR="00883060" w:rsidRPr="00883060">
        <w:rPr>
          <w:rFonts w:ascii="Arial" w:hAnsi="Arial" w:cs="Arial"/>
          <w:i/>
          <w:iCs/>
          <w:sz w:val="20"/>
          <w:szCs w:val="20"/>
        </w:rPr>
        <w:t>The main application may proceed”</w:t>
      </w:r>
      <w:r w:rsidRPr="00883060">
        <w:rPr>
          <w:rFonts w:ascii="Arial" w:hAnsi="Arial" w:cs="Arial"/>
          <w:i/>
          <w:iCs/>
          <w:sz w:val="20"/>
          <w:szCs w:val="20"/>
        </w:rPr>
        <w:t>.</w:t>
      </w:r>
    </w:p>
  </w:footnote>
  <w:footnote w:id="4">
    <w:p w14:paraId="414DA414" w14:textId="46CC6294" w:rsidR="00215368" w:rsidRPr="00F26C67" w:rsidRDefault="00215368" w:rsidP="00F26C67">
      <w:pPr>
        <w:pStyle w:val="FootnoteText"/>
        <w:ind w:left="284" w:hanging="284"/>
        <w:rPr>
          <w:rFonts w:ascii="Arial" w:hAnsi="Arial" w:cs="Arial"/>
          <w:sz w:val="20"/>
          <w:szCs w:val="20"/>
        </w:rPr>
      </w:pPr>
      <w:r w:rsidRPr="00F26C67">
        <w:rPr>
          <w:rStyle w:val="FootnoteReference"/>
          <w:rFonts w:ascii="Arial" w:hAnsi="Arial" w:cs="Arial"/>
          <w:sz w:val="20"/>
          <w:szCs w:val="20"/>
        </w:rPr>
        <w:footnoteRef/>
      </w:r>
      <w:r w:rsidRPr="00F26C67">
        <w:rPr>
          <w:rFonts w:ascii="Arial" w:hAnsi="Arial" w:cs="Arial"/>
          <w:sz w:val="20"/>
          <w:szCs w:val="20"/>
        </w:rPr>
        <w:t xml:space="preserve"> </w:t>
      </w:r>
      <w:r w:rsidR="00F26C67">
        <w:rPr>
          <w:rFonts w:ascii="Arial" w:hAnsi="Arial" w:cs="Arial"/>
          <w:sz w:val="20"/>
          <w:szCs w:val="20"/>
        </w:rPr>
        <w:tab/>
      </w:r>
      <w:r w:rsidRPr="00F26C67">
        <w:rPr>
          <w:rFonts w:ascii="Arial" w:hAnsi="Arial" w:cs="Arial"/>
          <w:sz w:val="20"/>
          <w:szCs w:val="20"/>
        </w:rPr>
        <w:t>The National Credit Act 34 of 2005, the preamble.</w:t>
      </w:r>
    </w:p>
  </w:footnote>
  <w:footnote w:id="5">
    <w:p w14:paraId="47D37387" w14:textId="29EE9A1D" w:rsidR="00215368" w:rsidRPr="00F26C67" w:rsidRDefault="00215368" w:rsidP="00F26C67">
      <w:pPr>
        <w:pStyle w:val="FootnoteText"/>
        <w:ind w:left="284" w:hanging="284"/>
        <w:rPr>
          <w:rFonts w:ascii="Arial" w:hAnsi="Arial" w:cs="Arial"/>
          <w:sz w:val="20"/>
          <w:szCs w:val="20"/>
        </w:rPr>
      </w:pPr>
      <w:r w:rsidRPr="00F26C67">
        <w:rPr>
          <w:rStyle w:val="FootnoteReference"/>
          <w:rFonts w:ascii="Arial" w:hAnsi="Arial" w:cs="Arial"/>
          <w:sz w:val="20"/>
          <w:szCs w:val="20"/>
        </w:rPr>
        <w:footnoteRef/>
      </w:r>
      <w:r w:rsidRPr="00F26C67">
        <w:rPr>
          <w:rFonts w:ascii="Arial" w:hAnsi="Arial" w:cs="Arial"/>
          <w:sz w:val="20"/>
          <w:szCs w:val="20"/>
        </w:rPr>
        <w:t xml:space="preserve"> </w:t>
      </w:r>
      <w:r w:rsidR="00F26C67">
        <w:rPr>
          <w:rFonts w:ascii="Arial" w:hAnsi="Arial" w:cs="Arial"/>
          <w:sz w:val="20"/>
          <w:szCs w:val="20"/>
        </w:rPr>
        <w:tab/>
      </w:r>
      <w:r w:rsidRPr="00F26C67">
        <w:rPr>
          <w:rFonts w:ascii="Arial" w:hAnsi="Arial" w:cs="Arial"/>
          <w:sz w:val="20"/>
          <w:szCs w:val="20"/>
        </w:rPr>
        <w:t>S 136(1).</w:t>
      </w:r>
    </w:p>
  </w:footnote>
  <w:footnote w:id="6">
    <w:p w14:paraId="1DB20242" w14:textId="0EE8B62D" w:rsidR="00215368" w:rsidRPr="00F26C67" w:rsidRDefault="00215368" w:rsidP="005A001B">
      <w:pPr>
        <w:pStyle w:val="FootnoteText"/>
        <w:ind w:left="284" w:hanging="284"/>
        <w:jc w:val="both"/>
        <w:rPr>
          <w:rFonts w:ascii="Arial" w:hAnsi="Arial" w:cs="Arial"/>
          <w:sz w:val="20"/>
          <w:szCs w:val="20"/>
        </w:rPr>
      </w:pPr>
      <w:r w:rsidRPr="00F26C67">
        <w:rPr>
          <w:rStyle w:val="FootnoteReference"/>
          <w:rFonts w:ascii="Arial" w:hAnsi="Arial" w:cs="Arial"/>
          <w:sz w:val="20"/>
          <w:szCs w:val="20"/>
        </w:rPr>
        <w:footnoteRef/>
      </w:r>
      <w:r w:rsidRPr="00F26C67">
        <w:rPr>
          <w:rFonts w:ascii="Arial" w:hAnsi="Arial" w:cs="Arial"/>
          <w:sz w:val="20"/>
          <w:szCs w:val="20"/>
        </w:rPr>
        <w:t xml:space="preserve"> </w:t>
      </w:r>
      <w:r w:rsidR="00F26C67">
        <w:rPr>
          <w:rFonts w:ascii="Arial" w:hAnsi="Arial" w:cs="Arial"/>
          <w:sz w:val="20"/>
          <w:szCs w:val="20"/>
        </w:rPr>
        <w:tab/>
        <w:t xml:space="preserve">Regulation 50 which provides that a consumer may lodge a complaint against a credit provider </w:t>
      </w:r>
      <w:r w:rsidR="005A001B">
        <w:rPr>
          <w:rFonts w:ascii="Arial" w:hAnsi="Arial" w:cs="Arial"/>
          <w:sz w:val="20"/>
          <w:szCs w:val="20"/>
        </w:rPr>
        <w:t>either in writing (Regulation 50(1)(a)) or telephonically (Regulation 50(1)(b)).  The Regulation provides that if a written complaint is made on behalf of another person, authority to do so must be furnished, provided however that telephonic complaints may only be made by the complainant themselves</w:t>
      </w:r>
      <w:r w:rsidR="00253A03" w:rsidRPr="00F26C67">
        <w:rPr>
          <w:rFonts w:ascii="Arial" w:hAnsi="Arial" w:cs="Arial"/>
          <w:sz w:val="20"/>
          <w:szCs w:val="20"/>
        </w:rPr>
        <w:t>.</w:t>
      </w:r>
    </w:p>
  </w:footnote>
  <w:footnote w:id="7">
    <w:p w14:paraId="587FAB06" w14:textId="75A48181" w:rsidR="00215368" w:rsidRPr="00253A03" w:rsidRDefault="00215368" w:rsidP="00F26C67">
      <w:pPr>
        <w:pStyle w:val="FootnoteText"/>
        <w:ind w:left="284" w:hanging="284"/>
        <w:rPr>
          <w:rFonts w:ascii="Arial" w:hAnsi="Arial" w:cs="Arial"/>
          <w:sz w:val="20"/>
          <w:szCs w:val="20"/>
        </w:rPr>
      </w:pPr>
      <w:r w:rsidRPr="00F26C67">
        <w:rPr>
          <w:rStyle w:val="FootnoteReference"/>
          <w:rFonts w:ascii="Arial" w:hAnsi="Arial" w:cs="Arial"/>
          <w:sz w:val="20"/>
          <w:szCs w:val="20"/>
        </w:rPr>
        <w:footnoteRef/>
      </w:r>
      <w:r w:rsidRPr="00F26C67">
        <w:rPr>
          <w:rFonts w:ascii="Arial" w:hAnsi="Arial" w:cs="Arial"/>
          <w:sz w:val="20"/>
          <w:szCs w:val="20"/>
        </w:rPr>
        <w:t xml:space="preserve"> </w:t>
      </w:r>
      <w:r w:rsidR="00F26C67">
        <w:rPr>
          <w:rFonts w:ascii="Arial" w:hAnsi="Arial" w:cs="Arial"/>
          <w:sz w:val="20"/>
          <w:szCs w:val="20"/>
        </w:rPr>
        <w:tab/>
      </w:r>
      <w:r w:rsidRPr="00F26C67">
        <w:rPr>
          <w:rFonts w:ascii="Arial" w:hAnsi="Arial" w:cs="Arial"/>
          <w:sz w:val="20"/>
          <w:szCs w:val="20"/>
        </w:rPr>
        <w:t>S 136(2).</w:t>
      </w:r>
    </w:p>
  </w:footnote>
  <w:footnote w:id="8">
    <w:p w14:paraId="291DFF06" w14:textId="3479979D" w:rsidR="00534FBD" w:rsidRPr="00751452" w:rsidRDefault="00534FBD" w:rsidP="00751452">
      <w:pPr>
        <w:pStyle w:val="FootnoteText"/>
        <w:ind w:left="284" w:hanging="284"/>
        <w:jc w:val="both"/>
        <w:rPr>
          <w:rFonts w:ascii="Arial" w:hAnsi="Arial" w:cs="Arial"/>
          <w:i/>
          <w:iCs/>
          <w:sz w:val="20"/>
          <w:szCs w:val="20"/>
        </w:rPr>
      </w:pPr>
      <w:r>
        <w:rPr>
          <w:rStyle w:val="FootnoteReference"/>
        </w:rPr>
        <w:footnoteRef/>
      </w:r>
      <w:r>
        <w:t xml:space="preserve"> </w:t>
      </w:r>
      <w:r w:rsidR="00751452">
        <w:tab/>
      </w:r>
      <w:r>
        <w:rPr>
          <w:rFonts w:ascii="Arial" w:hAnsi="Arial" w:cs="Arial"/>
          <w:sz w:val="20"/>
          <w:szCs w:val="20"/>
        </w:rPr>
        <w:t xml:space="preserve">S 139(1)(c) provides that </w:t>
      </w:r>
      <w:r w:rsidR="00751452">
        <w:rPr>
          <w:rFonts w:ascii="Arial" w:hAnsi="Arial" w:cs="Arial"/>
          <w:sz w:val="20"/>
          <w:szCs w:val="20"/>
        </w:rPr>
        <w:t xml:space="preserve">the NCR may </w:t>
      </w:r>
      <w:r w:rsidR="00751452" w:rsidRPr="00751452">
        <w:rPr>
          <w:rFonts w:ascii="Arial" w:hAnsi="Arial" w:cs="Arial"/>
          <w:i/>
          <w:iCs/>
          <w:sz w:val="20"/>
          <w:szCs w:val="20"/>
        </w:rPr>
        <w:t>“direct an inspector to investigate the complaint as quickly as practicable.”</w:t>
      </w:r>
    </w:p>
  </w:footnote>
  <w:footnote w:id="9">
    <w:p w14:paraId="55B354B7" w14:textId="4149C692" w:rsidR="00677920" w:rsidRPr="00677920" w:rsidRDefault="00677920" w:rsidP="00677920">
      <w:pPr>
        <w:pStyle w:val="FootnoteText"/>
        <w:ind w:left="284" w:hanging="284"/>
        <w:jc w:val="both"/>
        <w:rPr>
          <w:rFonts w:ascii="Arial" w:hAnsi="Arial" w:cs="Arial"/>
          <w:sz w:val="20"/>
          <w:szCs w:val="20"/>
        </w:rPr>
      </w:pPr>
      <w:r w:rsidRPr="00677920">
        <w:rPr>
          <w:rStyle w:val="FootnoteReference"/>
          <w:rFonts w:ascii="Arial" w:hAnsi="Arial" w:cs="Arial"/>
          <w:sz w:val="20"/>
          <w:szCs w:val="20"/>
        </w:rPr>
        <w:footnoteRef/>
      </w:r>
      <w:r w:rsidRPr="00677920">
        <w:rPr>
          <w:rFonts w:ascii="Arial" w:hAnsi="Arial" w:cs="Arial"/>
          <w:sz w:val="20"/>
          <w:szCs w:val="20"/>
        </w:rPr>
        <w:t xml:space="preserve"> </w:t>
      </w:r>
      <w:r>
        <w:rPr>
          <w:rFonts w:ascii="Arial" w:hAnsi="Arial" w:cs="Arial"/>
          <w:sz w:val="20"/>
          <w:szCs w:val="20"/>
        </w:rPr>
        <w:tab/>
      </w:r>
      <w:r w:rsidRPr="00677920">
        <w:rPr>
          <w:rFonts w:ascii="Arial" w:hAnsi="Arial" w:cs="Arial"/>
          <w:sz w:val="20"/>
          <w:szCs w:val="20"/>
        </w:rPr>
        <w:t>The specific contraventions were said to be in respect of s 100 and s 101 in that the total cost of credit charged by the credit provider exceeded the maximum amounts allowed; in respect of s 80 and s 81 read with Regulation 23, in that there was a failure to conduct an assessment of consumers and lastly, in respect of s 92(1) read together with Regulation 28(1) and Form 20, in that credit was extended without giving the consumers the requisite pre-agreement statement and quotation in the prescribed form.</w:t>
      </w:r>
    </w:p>
  </w:footnote>
  <w:footnote w:id="10">
    <w:p w14:paraId="4D095D89" w14:textId="79DB4697" w:rsidR="00C35F5B" w:rsidRPr="00F5607D" w:rsidRDefault="00C35F5B" w:rsidP="00F5607D">
      <w:pPr>
        <w:pStyle w:val="FootnoteText"/>
        <w:ind w:left="284" w:hanging="284"/>
        <w:jc w:val="both"/>
        <w:rPr>
          <w:rFonts w:ascii="Arial" w:hAnsi="Arial" w:cs="Arial"/>
          <w:sz w:val="20"/>
          <w:szCs w:val="20"/>
        </w:rPr>
      </w:pPr>
      <w:r w:rsidRPr="00F5607D">
        <w:rPr>
          <w:rStyle w:val="FootnoteReference"/>
          <w:rFonts w:ascii="Arial" w:hAnsi="Arial" w:cs="Arial"/>
          <w:sz w:val="20"/>
          <w:szCs w:val="20"/>
        </w:rPr>
        <w:footnoteRef/>
      </w:r>
      <w:r w:rsidRPr="00F5607D">
        <w:rPr>
          <w:rFonts w:ascii="Arial" w:hAnsi="Arial" w:cs="Arial"/>
          <w:sz w:val="20"/>
          <w:szCs w:val="20"/>
        </w:rPr>
        <w:t xml:space="preserve"> </w:t>
      </w:r>
      <w:r w:rsidR="00F5607D">
        <w:rPr>
          <w:rFonts w:ascii="Arial" w:hAnsi="Arial" w:cs="Arial"/>
          <w:sz w:val="20"/>
          <w:szCs w:val="20"/>
        </w:rPr>
        <w:tab/>
      </w:r>
      <w:r w:rsidRPr="00F5607D">
        <w:rPr>
          <w:rFonts w:ascii="Arial" w:hAnsi="Arial" w:cs="Arial"/>
          <w:sz w:val="20"/>
          <w:szCs w:val="20"/>
        </w:rPr>
        <w:t xml:space="preserve">Which provides that after completing an investigation, the NCR may </w:t>
      </w:r>
      <w:r w:rsidRPr="00F5607D">
        <w:rPr>
          <w:rFonts w:ascii="Arial" w:hAnsi="Arial" w:cs="Arial"/>
          <w:i/>
          <w:iCs/>
          <w:sz w:val="20"/>
          <w:szCs w:val="20"/>
        </w:rPr>
        <w:t>“make a referral in accordance with subsection (2), if the National Credit Regulator believes that a person has engaged in prohibited conduct.”</w:t>
      </w:r>
    </w:p>
  </w:footnote>
  <w:footnote w:id="11">
    <w:p w14:paraId="68F50FF7" w14:textId="6C2FFF8C" w:rsidR="00C35F5B" w:rsidRDefault="00C35F5B" w:rsidP="00F5607D">
      <w:pPr>
        <w:pStyle w:val="FootnoteText"/>
        <w:ind w:left="284" w:hanging="284"/>
        <w:jc w:val="both"/>
      </w:pPr>
      <w:r w:rsidRPr="00F5607D">
        <w:rPr>
          <w:rStyle w:val="FootnoteReference"/>
          <w:rFonts w:ascii="Arial" w:hAnsi="Arial" w:cs="Arial"/>
          <w:sz w:val="20"/>
          <w:szCs w:val="20"/>
        </w:rPr>
        <w:footnoteRef/>
      </w:r>
      <w:r w:rsidRPr="00F5607D">
        <w:rPr>
          <w:rFonts w:ascii="Arial" w:hAnsi="Arial" w:cs="Arial"/>
          <w:sz w:val="20"/>
          <w:szCs w:val="20"/>
        </w:rPr>
        <w:t xml:space="preserve"> </w:t>
      </w:r>
      <w:r w:rsidR="00F5607D">
        <w:rPr>
          <w:rFonts w:ascii="Arial" w:hAnsi="Arial" w:cs="Arial"/>
          <w:sz w:val="20"/>
          <w:szCs w:val="20"/>
        </w:rPr>
        <w:tab/>
      </w:r>
      <w:r w:rsidR="00F5607D" w:rsidRPr="00F5607D">
        <w:rPr>
          <w:rFonts w:ascii="Arial" w:hAnsi="Arial" w:cs="Arial"/>
          <w:sz w:val="20"/>
          <w:szCs w:val="20"/>
        </w:rPr>
        <w:t>In terms of s 140(2), the NCR may either refer the matter to a consumer court (s 140(2)(a)) or to the NCT (s 140(2)(b)).</w:t>
      </w:r>
    </w:p>
  </w:footnote>
  <w:footnote w:id="12">
    <w:p w14:paraId="799C72BA" w14:textId="110C252E" w:rsidR="004A30F9" w:rsidRPr="0048687A" w:rsidRDefault="004A30F9" w:rsidP="0048687A">
      <w:pPr>
        <w:pStyle w:val="FootnoteText"/>
        <w:ind w:left="284" w:hanging="284"/>
        <w:jc w:val="both"/>
        <w:rPr>
          <w:rFonts w:ascii="Arial" w:hAnsi="Arial" w:cs="Arial"/>
          <w:sz w:val="20"/>
          <w:szCs w:val="20"/>
        </w:rPr>
      </w:pPr>
      <w:r w:rsidRPr="0048687A">
        <w:rPr>
          <w:rStyle w:val="FootnoteReference"/>
          <w:rFonts w:ascii="Arial" w:hAnsi="Arial" w:cs="Arial"/>
          <w:sz w:val="20"/>
          <w:szCs w:val="20"/>
        </w:rPr>
        <w:footnoteRef/>
      </w:r>
      <w:r w:rsidRPr="0048687A">
        <w:rPr>
          <w:rFonts w:ascii="Arial" w:hAnsi="Arial" w:cs="Arial"/>
          <w:sz w:val="20"/>
          <w:szCs w:val="20"/>
        </w:rPr>
        <w:t xml:space="preserve"> </w:t>
      </w:r>
      <w:r w:rsidR="0048687A">
        <w:rPr>
          <w:rFonts w:ascii="Arial" w:hAnsi="Arial" w:cs="Arial"/>
          <w:sz w:val="20"/>
          <w:szCs w:val="20"/>
        </w:rPr>
        <w:tab/>
      </w:r>
      <w:r w:rsidRPr="0048687A">
        <w:rPr>
          <w:rFonts w:ascii="Arial" w:hAnsi="Arial" w:cs="Arial"/>
          <w:sz w:val="20"/>
          <w:szCs w:val="20"/>
        </w:rPr>
        <w:t xml:space="preserve">Form 32 which provides </w:t>
      </w:r>
      <w:r w:rsidRPr="0048687A">
        <w:rPr>
          <w:rFonts w:ascii="Arial" w:hAnsi="Arial" w:cs="Arial"/>
          <w:i/>
          <w:iCs/>
          <w:sz w:val="20"/>
          <w:szCs w:val="20"/>
        </w:rPr>
        <w:t>inter alia</w:t>
      </w:r>
      <w:r w:rsidRPr="0048687A">
        <w:rPr>
          <w:rFonts w:ascii="Arial" w:hAnsi="Arial" w:cs="Arial"/>
          <w:sz w:val="20"/>
          <w:szCs w:val="20"/>
        </w:rPr>
        <w:t xml:space="preserve"> </w:t>
      </w:r>
      <w:r w:rsidR="0048687A" w:rsidRPr="0048687A">
        <w:rPr>
          <w:rFonts w:ascii="Arial" w:hAnsi="Arial" w:cs="Arial"/>
          <w:sz w:val="20"/>
          <w:szCs w:val="20"/>
        </w:rPr>
        <w:t>substantially the same particulars that one would find in a notice of motion in High Court proceedings.</w:t>
      </w:r>
    </w:p>
  </w:footnote>
  <w:footnote w:id="13">
    <w:p w14:paraId="45D34A66" w14:textId="0D7CA8E7" w:rsidR="00200DEE" w:rsidRPr="00B53BC1" w:rsidRDefault="00200DEE" w:rsidP="00B53BC1">
      <w:pPr>
        <w:pStyle w:val="FootnoteText"/>
        <w:ind w:left="284" w:hanging="284"/>
        <w:jc w:val="both"/>
        <w:rPr>
          <w:rFonts w:ascii="Arial" w:hAnsi="Arial" w:cs="Arial"/>
          <w:sz w:val="20"/>
          <w:szCs w:val="20"/>
        </w:rPr>
      </w:pPr>
      <w:r w:rsidRPr="00B53BC1">
        <w:rPr>
          <w:rStyle w:val="FootnoteReference"/>
          <w:rFonts w:ascii="Arial" w:hAnsi="Arial" w:cs="Arial"/>
          <w:sz w:val="20"/>
          <w:szCs w:val="20"/>
        </w:rPr>
        <w:footnoteRef/>
      </w:r>
      <w:r w:rsidRPr="00B53BC1">
        <w:rPr>
          <w:rFonts w:ascii="Arial" w:hAnsi="Arial" w:cs="Arial"/>
          <w:sz w:val="20"/>
          <w:szCs w:val="20"/>
        </w:rPr>
        <w:t xml:space="preserve"> </w:t>
      </w:r>
      <w:r w:rsidR="008C7BED" w:rsidRPr="00B53BC1">
        <w:rPr>
          <w:rFonts w:ascii="Arial" w:hAnsi="Arial" w:cs="Arial"/>
          <w:sz w:val="20"/>
          <w:szCs w:val="20"/>
        </w:rPr>
        <w:tab/>
      </w:r>
      <w:r w:rsidRPr="00B53BC1">
        <w:rPr>
          <w:rFonts w:ascii="Arial" w:hAnsi="Arial" w:cs="Arial"/>
          <w:sz w:val="20"/>
          <w:szCs w:val="20"/>
        </w:rPr>
        <w:t xml:space="preserve">See </w:t>
      </w:r>
      <w:r w:rsidRPr="00B53BC1">
        <w:rPr>
          <w:rFonts w:ascii="Arial" w:hAnsi="Arial" w:cs="Arial"/>
          <w:i/>
          <w:iCs/>
          <w:sz w:val="20"/>
          <w:szCs w:val="20"/>
        </w:rPr>
        <w:t xml:space="preserve">Director of Hospital Services v Mistry </w:t>
      </w:r>
      <w:r w:rsidR="00BE7BD5" w:rsidRPr="00B53BC1">
        <w:rPr>
          <w:rFonts w:ascii="Arial" w:hAnsi="Arial" w:cs="Arial"/>
          <w:i/>
          <w:iCs/>
          <w:sz w:val="20"/>
          <w:szCs w:val="20"/>
        </w:rPr>
        <w:t>1979 (1) SA 626 (A) at 635H – 636A;</w:t>
      </w:r>
      <w:r w:rsidRPr="00B53BC1">
        <w:rPr>
          <w:rFonts w:ascii="Arial" w:hAnsi="Arial" w:cs="Arial"/>
          <w:i/>
          <w:iCs/>
          <w:sz w:val="20"/>
          <w:szCs w:val="20"/>
        </w:rPr>
        <w:t xml:space="preserve"> Gold Fields Ltd and Others v Motley Rice</w:t>
      </w:r>
      <w:r w:rsidR="008C7BED" w:rsidRPr="00B53BC1">
        <w:rPr>
          <w:rFonts w:ascii="Arial" w:hAnsi="Arial" w:cs="Arial"/>
          <w:i/>
          <w:iCs/>
          <w:sz w:val="20"/>
          <w:szCs w:val="20"/>
        </w:rPr>
        <w:t xml:space="preserve"> </w:t>
      </w:r>
      <w:r w:rsidR="008C7BED" w:rsidRPr="00B53BC1">
        <w:rPr>
          <w:rFonts w:ascii="Arial" w:hAnsi="Arial" w:cs="Arial"/>
          <w:sz w:val="20"/>
          <w:szCs w:val="20"/>
        </w:rPr>
        <w:t xml:space="preserve">LLC </w:t>
      </w:r>
      <w:r w:rsidR="00BE7BD5" w:rsidRPr="00B53BC1">
        <w:rPr>
          <w:rFonts w:ascii="Arial" w:hAnsi="Arial" w:cs="Arial"/>
          <w:sz w:val="20"/>
          <w:szCs w:val="20"/>
        </w:rPr>
        <w:t>2015 (4) SA 299 (GJ) at p</w:t>
      </w:r>
      <w:r w:rsidR="008C7BED" w:rsidRPr="00B53BC1">
        <w:rPr>
          <w:rFonts w:ascii="Arial" w:hAnsi="Arial" w:cs="Arial"/>
          <w:sz w:val="20"/>
          <w:szCs w:val="20"/>
        </w:rPr>
        <w:t>ara [121]</w:t>
      </w:r>
      <w:r w:rsidR="00BE7BD5" w:rsidRPr="00B53BC1">
        <w:rPr>
          <w:rFonts w:ascii="Arial" w:hAnsi="Arial" w:cs="Arial"/>
          <w:sz w:val="20"/>
          <w:szCs w:val="20"/>
        </w:rPr>
        <w:t>.</w:t>
      </w:r>
    </w:p>
  </w:footnote>
  <w:footnote w:id="14">
    <w:p w14:paraId="6AA08C67" w14:textId="7DBF5AA1" w:rsidR="008C7BED" w:rsidRPr="00B53BC1" w:rsidRDefault="008C7BED" w:rsidP="00B53BC1">
      <w:pPr>
        <w:pStyle w:val="FootnoteText"/>
        <w:ind w:left="284" w:hanging="284"/>
        <w:jc w:val="both"/>
        <w:rPr>
          <w:rFonts w:ascii="Arial" w:hAnsi="Arial" w:cs="Arial"/>
          <w:sz w:val="20"/>
          <w:szCs w:val="20"/>
        </w:rPr>
      </w:pPr>
      <w:r w:rsidRPr="00B53BC1">
        <w:rPr>
          <w:rStyle w:val="FootnoteReference"/>
          <w:rFonts w:ascii="Arial" w:hAnsi="Arial" w:cs="Arial"/>
          <w:sz w:val="20"/>
          <w:szCs w:val="20"/>
        </w:rPr>
        <w:footnoteRef/>
      </w:r>
      <w:r w:rsidRPr="00B53BC1">
        <w:rPr>
          <w:rFonts w:ascii="Arial" w:hAnsi="Arial" w:cs="Arial"/>
          <w:sz w:val="20"/>
          <w:szCs w:val="20"/>
        </w:rPr>
        <w:t xml:space="preserve"> </w:t>
      </w:r>
      <w:r w:rsidR="00157361" w:rsidRPr="00B53BC1">
        <w:rPr>
          <w:rFonts w:ascii="Arial" w:hAnsi="Arial" w:cs="Arial"/>
          <w:sz w:val="20"/>
          <w:szCs w:val="20"/>
        </w:rPr>
        <w:tab/>
      </w:r>
      <w:r w:rsidRPr="00B53BC1">
        <w:rPr>
          <w:rFonts w:ascii="Arial" w:hAnsi="Arial" w:cs="Arial"/>
          <w:sz w:val="20"/>
          <w:szCs w:val="20"/>
        </w:rPr>
        <w:t>2020 (2) SA 390 (SCA) at para</w:t>
      </w:r>
      <w:r w:rsidR="00157361" w:rsidRPr="00B53BC1">
        <w:rPr>
          <w:rFonts w:ascii="Arial" w:hAnsi="Arial" w:cs="Arial"/>
          <w:sz w:val="20"/>
          <w:szCs w:val="20"/>
        </w:rPr>
        <w:t xml:space="preserve"> </w:t>
      </w:r>
      <w:r w:rsidRPr="00B53BC1">
        <w:rPr>
          <w:rFonts w:ascii="Arial" w:hAnsi="Arial" w:cs="Arial"/>
          <w:sz w:val="20"/>
          <w:szCs w:val="20"/>
        </w:rPr>
        <w:t>[</w:t>
      </w:r>
      <w:r w:rsidR="00157361" w:rsidRPr="00B53BC1">
        <w:rPr>
          <w:rFonts w:ascii="Arial" w:hAnsi="Arial" w:cs="Arial"/>
          <w:sz w:val="20"/>
          <w:szCs w:val="20"/>
        </w:rPr>
        <w:t>29].</w:t>
      </w:r>
    </w:p>
  </w:footnote>
  <w:footnote w:id="15">
    <w:p w14:paraId="4A91F5D9" w14:textId="10C11B10" w:rsidR="00A40594" w:rsidRPr="00B53BC1" w:rsidRDefault="00A40594" w:rsidP="00B53BC1">
      <w:pPr>
        <w:pStyle w:val="FootnoteText"/>
        <w:ind w:left="284" w:hanging="284"/>
        <w:jc w:val="both"/>
        <w:rPr>
          <w:rFonts w:ascii="Arial" w:hAnsi="Arial" w:cs="Arial"/>
          <w:sz w:val="20"/>
          <w:szCs w:val="20"/>
        </w:rPr>
      </w:pPr>
      <w:r w:rsidRPr="00B53BC1">
        <w:rPr>
          <w:rStyle w:val="FootnoteReference"/>
          <w:rFonts w:ascii="Arial" w:hAnsi="Arial" w:cs="Arial"/>
          <w:sz w:val="20"/>
          <w:szCs w:val="20"/>
        </w:rPr>
        <w:footnoteRef/>
      </w:r>
      <w:r w:rsidRPr="00B53BC1">
        <w:rPr>
          <w:rFonts w:ascii="Arial" w:hAnsi="Arial" w:cs="Arial"/>
          <w:sz w:val="20"/>
          <w:szCs w:val="20"/>
        </w:rPr>
        <w:t xml:space="preserve"> </w:t>
      </w:r>
      <w:r w:rsidR="00B53BC1">
        <w:rPr>
          <w:rFonts w:ascii="Arial" w:hAnsi="Arial" w:cs="Arial"/>
          <w:sz w:val="20"/>
          <w:szCs w:val="20"/>
        </w:rPr>
        <w:tab/>
      </w:r>
      <w:r w:rsidRPr="00B53BC1">
        <w:rPr>
          <w:rFonts w:ascii="Arial" w:hAnsi="Arial" w:cs="Arial"/>
          <w:sz w:val="20"/>
          <w:szCs w:val="20"/>
        </w:rPr>
        <w:t>2018 (5) SA 609 (GP).</w:t>
      </w:r>
    </w:p>
  </w:footnote>
  <w:footnote w:id="16">
    <w:p w14:paraId="397387C4" w14:textId="3E634964" w:rsidR="007806FC" w:rsidRPr="00B53BC1" w:rsidRDefault="007806FC" w:rsidP="00B53BC1">
      <w:pPr>
        <w:pStyle w:val="FootnoteText"/>
        <w:ind w:left="284" w:hanging="284"/>
        <w:jc w:val="both"/>
        <w:rPr>
          <w:rFonts w:ascii="Arial" w:hAnsi="Arial" w:cs="Arial"/>
          <w:sz w:val="20"/>
          <w:szCs w:val="20"/>
        </w:rPr>
      </w:pPr>
      <w:r w:rsidRPr="00B53BC1">
        <w:rPr>
          <w:rStyle w:val="FootnoteReference"/>
          <w:rFonts w:ascii="Arial" w:hAnsi="Arial" w:cs="Arial"/>
          <w:sz w:val="20"/>
          <w:szCs w:val="20"/>
        </w:rPr>
        <w:footnoteRef/>
      </w:r>
      <w:r w:rsidRPr="00B53BC1">
        <w:rPr>
          <w:rFonts w:ascii="Arial" w:hAnsi="Arial" w:cs="Arial"/>
          <w:sz w:val="20"/>
          <w:szCs w:val="20"/>
        </w:rPr>
        <w:t xml:space="preserve">  </w:t>
      </w:r>
      <w:r w:rsidR="00E63A74" w:rsidRPr="00B53BC1">
        <w:rPr>
          <w:rFonts w:ascii="Arial" w:hAnsi="Arial" w:cs="Arial"/>
          <w:sz w:val="20"/>
          <w:szCs w:val="20"/>
        </w:rPr>
        <w:t xml:space="preserve"> </w:t>
      </w:r>
      <w:r w:rsidRPr="00B53BC1">
        <w:rPr>
          <w:rFonts w:ascii="Arial" w:hAnsi="Arial" w:cs="Arial"/>
          <w:sz w:val="20"/>
          <w:szCs w:val="20"/>
        </w:rPr>
        <w:t>2016 (1) SA 78 (GJ) at paras [8] – [9].</w:t>
      </w:r>
    </w:p>
  </w:footnote>
  <w:footnote w:id="17">
    <w:p w14:paraId="29ED882C" w14:textId="4CB9AF3B" w:rsidR="00CA4DB0" w:rsidRPr="00B53BC1" w:rsidRDefault="00CA4DB0" w:rsidP="00B53BC1">
      <w:pPr>
        <w:pStyle w:val="FootnoteText"/>
        <w:ind w:left="284" w:hanging="284"/>
        <w:jc w:val="both"/>
        <w:rPr>
          <w:rFonts w:ascii="Arial" w:hAnsi="Arial" w:cs="Arial"/>
          <w:sz w:val="20"/>
          <w:szCs w:val="20"/>
        </w:rPr>
      </w:pPr>
      <w:r w:rsidRPr="00B53BC1">
        <w:rPr>
          <w:rStyle w:val="FootnoteReference"/>
          <w:rFonts w:ascii="Arial" w:hAnsi="Arial" w:cs="Arial"/>
          <w:sz w:val="20"/>
          <w:szCs w:val="20"/>
        </w:rPr>
        <w:footnoteRef/>
      </w:r>
      <w:r w:rsidRPr="00B53BC1">
        <w:rPr>
          <w:rFonts w:ascii="Arial" w:hAnsi="Arial" w:cs="Arial"/>
          <w:sz w:val="20"/>
          <w:szCs w:val="20"/>
        </w:rPr>
        <w:t xml:space="preserve"> </w:t>
      </w:r>
      <w:r w:rsidR="00E63A74" w:rsidRPr="00B53BC1">
        <w:rPr>
          <w:rFonts w:ascii="Arial" w:hAnsi="Arial" w:cs="Arial"/>
          <w:sz w:val="20"/>
          <w:szCs w:val="20"/>
        </w:rPr>
        <w:tab/>
      </w:r>
      <w:r w:rsidRPr="00B53BC1">
        <w:rPr>
          <w:rFonts w:ascii="Arial" w:hAnsi="Arial" w:cs="Arial"/>
          <w:sz w:val="20"/>
          <w:szCs w:val="20"/>
        </w:rPr>
        <w:t>Ibid at para [8] and to the authorities referred to there</w:t>
      </w:r>
      <w:r w:rsidR="00BE7BD5" w:rsidRPr="00B53BC1">
        <w:rPr>
          <w:rFonts w:ascii="Arial" w:hAnsi="Arial" w:cs="Arial"/>
          <w:sz w:val="20"/>
          <w:szCs w:val="20"/>
        </w:rPr>
        <w:t>in</w:t>
      </w:r>
      <w:r w:rsidRPr="00B53BC1">
        <w:rPr>
          <w:rFonts w:ascii="Arial" w:hAnsi="Arial" w:cs="Arial"/>
          <w:sz w:val="20"/>
          <w:szCs w:val="20"/>
        </w:rPr>
        <w:t>.</w:t>
      </w:r>
    </w:p>
  </w:footnote>
  <w:footnote w:id="18">
    <w:p w14:paraId="4B0D883B" w14:textId="0A8437EA" w:rsidR="00CA4DB0" w:rsidRDefault="00CA4DB0" w:rsidP="00B53BC1">
      <w:pPr>
        <w:pStyle w:val="FootnoteText"/>
        <w:ind w:left="284" w:hanging="284"/>
        <w:jc w:val="both"/>
      </w:pPr>
      <w:r w:rsidRPr="00B53BC1">
        <w:rPr>
          <w:rStyle w:val="FootnoteReference"/>
          <w:rFonts w:ascii="Arial" w:hAnsi="Arial" w:cs="Arial"/>
          <w:sz w:val="20"/>
          <w:szCs w:val="20"/>
        </w:rPr>
        <w:footnoteRef/>
      </w:r>
      <w:r w:rsidRPr="00B53BC1">
        <w:rPr>
          <w:rFonts w:ascii="Arial" w:hAnsi="Arial" w:cs="Arial"/>
          <w:sz w:val="20"/>
          <w:szCs w:val="20"/>
        </w:rPr>
        <w:t xml:space="preserve"> </w:t>
      </w:r>
      <w:r w:rsidR="00E63A74" w:rsidRPr="00B53BC1">
        <w:rPr>
          <w:rFonts w:ascii="Arial" w:hAnsi="Arial" w:cs="Arial"/>
          <w:sz w:val="20"/>
          <w:szCs w:val="20"/>
        </w:rPr>
        <w:tab/>
      </w:r>
      <w:r w:rsidRPr="00B53BC1">
        <w:rPr>
          <w:rFonts w:ascii="Arial" w:hAnsi="Arial" w:cs="Arial"/>
          <w:sz w:val="20"/>
          <w:szCs w:val="20"/>
        </w:rPr>
        <w:t>Ibid at para [9].</w:t>
      </w:r>
    </w:p>
  </w:footnote>
  <w:footnote w:id="19">
    <w:p w14:paraId="40949BFD" w14:textId="3C55FCC2" w:rsidR="00DB59F0" w:rsidRPr="00E864D5" w:rsidRDefault="00DB59F0" w:rsidP="00E864D5">
      <w:pPr>
        <w:pStyle w:val="FootnoteText"/>
        <w:ind w:left="284" w:hanging="284"/>
        <w:jc w:val="both"/>
        <w:rPr>
          <w:rFonts w:ascii="Arial" w:hAnsi="Arial" w:cs="Arial"/>
          <w:sz w:val="20"/>
          <w:szCs w:val="20"/>
        </w:rPr>
      </w:pPr>
      <w:r w:rsidRPr="00E864D5">
        <w:rPr>
          <w:rStyle w:val="FootnoteReference"/>
          <w:rFonts w:ascii="Arial" w:hAnsi="Arial" w:cs="Arial"/>
          <w:sz w:val="20"/>
          <w:szCs w:val="20"/>
        </w:rPr>
        <w:footnoteRef/>
      </w:r>
      <w:r w:rsidRPr="00E864D5">
        <w:rPr>
          <w:rFonts w:ascii="Arial" w:hAnsi="Arial" w:cs="Arial"/>
          <w:sz w:val="20"/>
          <w:szCs w:val="20"/>
        </w:rPr>
        <w:t xml:space="preserve"> </w:t>
      </w:r>
      <w:r w:rsidR="006665B3" w:rsidRPr="00E864D5">
        <w:rPr>
          <w:rFonts w:ascii="Arial" w:hAnsi="Arial" w:cs="Arial"/>
          <w:sz w:val="20"/>
          <w:szCs w:val="20"/>
        </w:rPr>
        <w:tab/>
      </w:r>
      <w:r w:rsidRPr="00E864D5">
        <w:rPr>
          <w:rFonts w:ascii="Arial" w:hAnsi="Arial" w:cs="Arial"/>
          <w:sz w:val="20"/>
          <w:szCs w:val="20"/>
        </w:rPr>
        <w:t xml:space="preserve">1999 (1) SA 643 (W) at </w:t>
      </w:r>
      <w:r w:rsidR="00E864D5" w:rsidRPr="00E864D5">
        <w:rPr>
          <w:rFonts w:ascii="Arial" w:hAnsi="Arial" w:cs="Arial"/>
          <w:sz w:val="20"/>
          <w:szCs w:val="20"/>
        </w:rPr>
        <w:t>page 648I-J.</w:t>
      </w:r>
      <w:r w:rsidRPr="00E864D5">
        <w:rPr>
          <w:rFonts w:ascii="Arial" w:hAnsi="Arial" w:cs="Arial"/>
          <w:sz w:val="20"/>
          <w:szCs w:val="20"/>
        </w:rPr>
        <w:t xml:space="preserve">  See also </w:t>
      </w:r>
      <w:r w:rsidRPr="00E864D5">
        <w:rPr>
          <w:rFonts w:ascii="Arial" w:hAnsi="Arial" w:cs="Arial"/>
          <w:i/>
          <w:iCs/>
          <w:sz w:val="20"/>
          <w:szCs w:val="20"/>
        </w:rPr>
        <w:t>Chairman, Board on Tariffs and Trades and Others v Teltron (Pty) Ltd</w:t>
      </w:r>
      <w:r w:rsidRPr="00E864D5">
        <w:rPr>
          <w:rFonts w:ascii="Arial" w:hAnsi="Arial" w:cs="Arial"/>
          <w:sz w:val="20"/>
          <w:szCs w:val="20"/>
        </w:rPr>
        <w:t xml:space="preserve"> 1997 (2) SA 25 (A)</w:t>
      </w:r>
      <w:r w:rsidR="00E864D5" w:rsidRPr="00E864D5">
        <w:rPr>
          <w:rFonts w:ascii="Arial" w:hAnsi="Arial" w:cs="Arial"/>
          <w:sz w:val="20"/>
          <w:szCs w:val="20"/>
        </w:rPr>
        <w:t>.</w:t>
      </w:r>
    </w:p>
  </w:footnote>
  <w:footnote w:id="20">
    <w:p w14:paraId="085B255B" w14:textId="6CBF6862" w:rsidR="00D456A0" w:rsidRPr="00BB2121" w:rsidRDefault="00D456A0" w:rsidP="00E864D5">
      <w:pPr>
        <w:pStyle w:val="FootnoteText"/>
        <w:ind w:left="284" w:hanging="284"/>
        <w:jc w:val="both"/>
        <w:rPr>
          <w:rFonts w:ascii="Arial" w:hAnsi="Arial" w:cs="Arial"/>
          <w:b/>
          <w:bCs/>
          <w:sz w:val="20"/>
          <w:szCs w:val="20"/>
        </w:rPr>
      </w:pPr>
      <w:r w:rsidRPr="00E864D5">
        <w:rPr>
          <w:rStyle w:val="FootnoteReference"/>
          <w:rFonts w:ascii="Arial" w:hAnsi="Arial" w:cs="Arial"/>
          <w:sz w:val="20"/>
          <w:szCs w:val="20"/>
        </w:rPr>
        <w:footnoteRef/>
      </w:r>
      <w:r w:rsidRPr="00E864D5">
        <w:rPr>
          <w:rFonts w:ascii="Arial" w:hAnsi="Arial" w:cs="Arial"/>
          <w:sz w:val="20"/>
          <w:szCs w:val="20"/>
        </w:rPr>
        <w:t xml:space="preserve"> </w:t>
      </w:r>
      <w:r w:rsidR="00BB2121" w:rsidRPr="00E864D5">
        <w:rPr>
          <w:rFonts w:ascii="Arial" w:hAnsi="Arial" w:cs="Arial"/>
          <w:sz w:val="20"/>
          <w:szCs w:val="20"/>
        </w:rPr>
        <w:tab/>
      </w:r>
      <w:r w:rsidRPr="00E864D5">
        <w:rPr>
          <w:rFonts w:ascii="Arial" w:hAnsi="Arial" w:cs="Arial"/>
          <w:sz w:val="20"/>
          <w:szCs w:val="20"/>
        </w:rPr>
        <w:t>[2004] 3 ALL SA 3</w:t>
      </w:r>
      <w:r w:rsidR="00C2270A">
        <w:rPr>
          <w:rFonts w:ascii="Arial" w:hAnsi="Arial" w:cs="Arial"/>
          <w:sz w:val="20"/>
          <w:szCs w:val="20"/>
        </w:rPr>
        <w:t>2</w:t>
      </w:r>
      <w:r w:rsidRPr="00E864D5">
        <w:rPr>
          <w:rFonts w:ascii="Arial" w:hAnsi="Arial" w:cs="Arial"/>
          <w:sz w:val="20"/>
          <w:szCs w:val="20"/>
        </w:rPr>
        <w:t xml:space="preserve">2 (T) at </w:t>
      </w:r>
      <w:r w:rsidR="00C2270A">
        <w:rPr>
          <w:rFonts w:ascii="Arial" w:hAnsi="Arial" w:cs="Arial"/>
          <w:sz w:val="20"/>
          <w:szCs w:val="20"/>
        </w:rPr>
        <w:t>para [9]</w:t>
      </w:r>
      <w:r w:rsidRPr="00E864D5">
        <w:rPr>
          <w:rFonts w:ascii="Arial" w:hAnsi="Arial" w:cs="Arial"/>
          <w:sz w:val="20"/>
          <w:szCs w:val="20"/>
        </w:rPr>
        <w:t>.</w:t>
      </w:r>
    </w:p>
  </w:footnote>
  <w:footnote w:id="21">
    <w:p w14:paraId="03F61424" w14:textId="5A73304A" w:rsidR="003F542D" w:rsidRPr="003F542D" w:rsidRDefault="003F542D" w:rsidP="009A019C">
      <w:pPr>
        <w:pStyle w:val="FootnoteText"/>
        <w:ind w:left="284" w:hanging="284"/>
        <w:jc w:val="both"/>
        <w:rPr>
          <w:b/>
          <w:bCs/>
        </w:rPr>
      </w:pPr>
      <w:r w:rsidRPr="002215E5">
        <w:rPr>
          <w:rStyle w:val="FootnoteReference"/>
          <w:rFonts w:ascii="Arial" w:hAnsi="Arial" w:cs="Arial"/>
          <w:sz w:val="20"/>
          <w:szCs w:val="20"/>
        </w:rPr>
        <w:footnoteRef/>
      </w:r>
      <w:r w:rsidRPr="002215E5">
        <w:rPr>
          <w:rFonts w:ascii="Arial" w:hAnsi="Arial" w:cs="Arial"/>
          <w:sz w:val="20"/>
          <w:szCs w:val="20"/>
        </w:rPr>
        <w:t xml:space="preserve"> </w:t>
      </w:r>
      <w:r w:rsidR="00BB2121">
        <w:rPr>
          <w:rFonts w:ascii="Arial" w:hAnsi="Arial" w:cs="Arial"/>
          <w:b/>
          <w:bCs/>
          <w:sz w:val="20"/>
          <w:szCs w:val="20"/>
        </w:rPr>
        <w:tab/>
      </w:r>
      <w:r w:rsidRPr="009A019C">
        <w:rPr>
          <w:rFonts w:ascii="Arial" w:hAnsi="Arial" w:cs="Arial"/>
          <w:sz w:val="20"/>
          <w:szCs w:val="20"/>
        </w:rPr>
        <w:t>Rule 4(3) provides</w:t>
      </w:r>
      <w:r w:rsidR="009A019C" w:rsidRPr="009A019C">
        <w:rPr>
          <w:rFonts w:ascii="Arial" w:hAnsi="Arial" w:cs="Arial"/>
          <w:sz w:val="20"/>
          <w:szCs w:val="20"/>
        </w:rPr>
        <w:t xml:space="preserve"> </w:t>
      </w:r>
      <w:r w:rsidR="009A019C" w:rsidRPr="009A019C">
        <w:rPr>
          <w:rFonts w:ascii="Arial" w:hAnsi="Arial" w:cs="Arial"/>
          <w:i/>
          <w:iCs/>
          <w:sz w:val="20"/>
          <w:szCs w:val="20"/>
        </w:rPr>
        <w:t>“If the Applicant is a company or other corporate entity, the officer signing the application must append a copy of the board resolution or other proof of authority to act on behalf of that company or entity.”</w:t>
      </w:r>
      <w:r w:rsidRPr="00BB2121">
        <w:rPr>
          <w:rFonts w:ascii="Arial" w:hAnsi="Arial" w:cs="Arial"/>
          <w:b/>
          <w:bCs/>
          <w:sz w:val="20"/>
          <w:szCs w:val="20"/>
        </w:rPr>
        <w:t xml:space="preserve"> </w:t>
      </w:r>
    </w:p>
  </w:footnote>
  <w:footnote w:id="22">
    <w:p w14:paraId="46DB3320" w14:textId="639A8807" w:rsidR="006037BA" w:rsidRDefault="006037BA" w:rsidP="000B4C25">
      <w:pPr>
        <w:pStyle w:val="FootnoteText"/>
        <w:ind w:left="284" w:hanging="284"/>
        <w:jc w:val="both"/>
      </w:pPr>
      <w:r w:rsidRPr="002215E5">
        <w:rPr>
          <w:rStyle w:val="FootnoteReference"/>
          <w:rFonts w:ascii="Arial" w:hAnsi="Arial" w:cs="Arial"/>
          <w:sz w:val="20"/>
          <w:szCs w:val="20"/>
        </w:rPr>
        <w:footnoteRef/>
      </w:r>
      <w:r w:rsidRPr="002215E5">
        <w:rPr>
          <w:rFonts w:ascii="Arial" w:hAnsi="Arial" w:cs="Arial"/>
          <w:sz w:val="20"/>
          <w:szCs w:val="20"/>
        </w:rPr>
        <w:t xml:space="preserve"> </w:t>
      </w:r>
      <w:r w:rsidR="000B4C25">
        <w:tab/>
      </w:r>
      <w:r w:rsidRPr="005F5DCC">
        <w:rPr>
          <w:rFonts w:ascii="Arial" w:hAnsi="Arial" w:cs="Arial"/>
          <w:sz w:val="20"/>
          <w:szCs w:val="20"/>
        </w:rPr>
        <w:t>Para</w:t>
      </w:r>
      <w:r w:rsidR="005F5DCC" w:rsidRPr="005F5DCC">
        <w:rPr>
          <w:rFonts w:ascii="Arial" w:hAnsi="Arial" w:cs="Arial"/>
          <w:sz w:val="20"/>
          <w:szCs w:val="20"/>
        </w:rPr>
        <w:t xml:space="preserve"> 11 </w:t>
      </w:r>
      <w:r w:rsidR="005F5DCC" w:rsidRPr="005F5DCC">
        <w:rPr>
          <w:rFonts w:ascii="Arial" w:hAnsi="Arial" w:cs="Arial"/>
          <w:i/>
          <w:iCs/>
          <w:sz w:val="20"/>
          <w:szCs w:val="20"/>
        </w:rPr>
        <w:t>s</w:t>
      </w:r>
      <w:r w:rsidRPr="005F5DCC">
        <w:rPr>
          <w:rFonts w:ascii="Arial" w:hAnsi="Arial" w:cs="Arial"/>
          <w:i/>
          <w:iCs/>
          <w:sz w:val="20"/>
          <w:szCs w:val="20"/>
        </w:rPr>
        <w:t>upra</w:t>
      </w:r>
      <w:r w:rsidRPr="005F5DCC">
        <w:rPr>
          <w:rFonts w:ascii="Arial" w:hAnsi="Arial" w:cs="Arial"/>
          <w:sz w:val="20"/>
          <w:szCs w:val="20"/>
        </w:rPr>
        <w:t>.</w:t>
      </w:r>
    </w:p>
  </w:footnote>
  <w:footnote w:id="23">
    <w:p w14:paraId="4EA9305E" w14:textId="02E08B23" w:rsidR="00EC45C4" w:rsidRPr="003473B8" w:rsidRDefault="00EC45C4" w:rsidP="00EC45C4">
      <w:pPr>
        <w:pStyle w:val="FootnoteText"/>
        <w:ind w:left="284" w:hanging="284"/>
        <w:jc w:val="both"/>
        <w:rPr>
          <w:rFonts w:ascii="Arial" w:hAnsi="Arial" w:cs="Arial"/>
          <w:sz w:val="20"/>
          <w:szCs w:val="20"/>
        </w:rPr>
      </w:pPr>
      <w:r w:rsidRPr="003473B8">
        <w:rPr>
          <w:rStyle w:val="FootnoteReference"/>
          <w:rFonts w:ascii="Arial" w:hAnsi="Arial" w:cs="Arial"/>
          <w:sz w:val="20"/>
          <w:szCs w:val="20"/>
        </w:rPr>
        <w:footnoteRef/>
      </w:r>
      <w:r w:rsidRPr="003473B8">
        <w:rPr>
          <w:rFonts w:ascii="Arial" w:hAnsi="Arial" w:cs="Arial"/>
          <w:sz w:val="20"/>
          <w:szCs w:val="20"/>
        </w:rPr>
        <w:t xml:space="preserve"> </w:t>
      </w:r>
      <w:r w:rsidRPr="003473B8">
        <w:rPr>
          <w:rFonts w:ascii="Arial" w:hAnsi="Arial" w:cs="Arial"/>
          <w:sz w:val="20"/>
          <w:szCs w:val="20"/>
        </w:rPr>
        <w:tab/>
      </w:r>
      <w:r w:rsidRPr="003473B8">
        <w:rPr>
          <w:rFonts w:ascii="Arial" w:hAnsi="Arial" w:cs="Arial"/>
          <w:i/>
          <w:iCs/>
          <w:sz w:val="20"/>
          <w:szCs w:val="20"/>
        </w:rPr>
        <w:t>Swissborough Diamond Mines (Pty) Ltd and Others v Government of the Republic of South Africa and Others</w:t>
      </w:r>
      <w:r w:rsidRPr="003473B8">
        <w:rPr>
          <w:rFonts w:ascii="Arial" w:hAnsi="Arial" w:cs="Arial"/>
          <w:sz w:val="20"/>
          <w:szCs w:val="20"/>
        </w:rPr>
        <w:t xml:space="preserve"> 1999 (2) SA 279 (T) at 336</w:t>
      </w:r>
      <w:r w:rsidR="00C2270A" w:rsidRPr="003473B8">
        <w:rPr>
          <w:rFonts w:ascii="Arial" w:hAnsi="Arial" w:cs="Arial"/>
          <w:sz w:val="20"/>
          <w:szCs w:val="20"/>
        </w:rPr>
        <w:t>A-H</w:t>
      </w:r>
      <w:r w:rsidRPr="003473B8">
        <w:rPr>
          <w:rFonts w:ascii="Arial" w:hAnsi="Arial" w:cs="Arial"/>
          <w:sz w:val="20"/>
          <w:szCs w:val="20"/>
        </w:rPr>
        <w:t>.</w:t>
      </w:r>
      <w:r w:rsidR="00515AAA" w:rsidRPr="003473B8">
        <w:rPr>
          <w:rFonts w:ascii="Arial" w:hAnsi="Arial" w:cs="Arial"/>
          <w:sz w:val="20"/>
          <w:szCs w:val="20"/>
        </w:rPr>
        <w:t xml:space="preserve">  See also </w:t>
      </w:r>
      <w:r w:rsidR="00515AAA" w:rsidRPr="003473B8">
        <w:rPr>
          <w:rFonts w:ascii="Arial" w:hAnsi="Arial" w:cs="Arial"/>
          <w:i/>
          <w:iCs/>
          <w:sz w:val="20"/>
          <w:szCs w:val="20"/>
        </w:rPr>
        <w:t xml:space="preserve">Shackleton Credit Management (Pty) Ltd v Microzone Trading 88 CC and Another </w:t>
      </w:r>
      <w:r w:rsidR="00515AAA" w:rsidRPr="003473B8">
        <w:rPr>
          <w:rFonts w:ascii="Arial" w:hAnsi="Arial" w:cs="Arial"/>
          <w:sz w:val="20"/>
          <w:szCs w:val="20"/>
        </w:rPr>
        <w:t>2010 (5) SA 112 (KZP) at 115G-116C.</w:t>
      </w:r>
    </w:p>
  </w:footnote>
  <w:footnote w:id="24">
    <w:p w14:paraId="1B827604" w14:textId="7AAECA29" w:rsidR="00B247C0" w:rsidRPr="00237AC7" w:rsidRDefault="00B247C0" w:rsidP="00EC45C4">
      <w:pPr>
        <w:pStyle w:val="FootnoteText"/>
        <w:ind w:left="284" w:hanging="284"/>
        <w:jc w:val="both"/>
      </w:pPr>
      <w:r w:rsidRPr="00237AC7">
        <w:rPr>
          <w:rStyle w:val="FootnoteReference"/>
          <w:rFonts w:ascii="Arial" w:hAnsi="Arial" w:cs="Arial"/>
          <w:sz w:val="20"/>
          <w:szCs w:val="20"/>
        </w:rPr>
        <w:footnoteRef/>
      </w:r>
      <w:r w:rsidRPr="00237AC7">
        <w:rPr>
          <w:rFonts w:ascii="Arial" w:hAnsi="Arial" w:cs="Arial"/>
          <w:sz w:val="20"/>
          <w:szCs w:val="20"/>
        </w:rPr>
        <w:t xml:space="preserve"> </w:t>
      </w:r>
      <w:r w:rsidR="00EC45C4" w:rsidRPr="00237AC7">
        <w:rPr>
          <w:rFonts w:ascii="Arial" w:hAnsi="Arial" w:cs="Arial"/>
          <w:sz w:val="20"/>
          <w:szCs w:val="20"/>
        </w:rPr>
        <w:tab/>
      </w:r>
      <w:r w:rsidRPr="00237AC7">
        <w:rPr>
          <w:rFonts w:ascii="Arial" w:hAnsi="Arial" w:cs="Arial"/>
          <w:sz w:val="20"/>
          <w:szCs w:val="20"/>
        </w:rPr>
        <w:t>45 of 19</w:t>
      </w:r>
      <w:r w:rsidR="00237AC7" w:rsidRPr="00237AC7">
        <w:rPr>
          <w:rFonts w:ascii="Arial" w:hAnsi="Arial" w:cs="Arial"/>
          <w:sz w:val="20"/>
          <w:szCs w:val="20"/>
        </w:rPr>
        <w:t>8</w:t>
      </w:r>
      <w:r w:rsidRPr="00237AC7">
        <w:rPr>
          <w:rFonts w:ascii="Arial" w:hAnsi="Arial" w:cs="Arial"/>
          <w:sz w:val="20"/>
          <w:szCs w:val="20"/>
        </w:rPr>
        <w:t>8.</w:t>
      </w:r>
    </w:p>
  </w:footnote>
  <w:footnote w:id="25">
    <w:p w14:paraId="3A581651" w14:textId="69EE513F" w:rsidR="009B4389" w:rsidRPr="009B4389" w:rsidRDefault="009B4389" w:rsidP="009B4389">
      <w:pPr>
        <w:pStyle w:val="FootnoteText"/>
        <w:ind w:left="284" w:hanging="284"/>
        <w:jc w:val="both"/>
        <w:rPr>
          <w:rFonts w:ascii="Arial" w:hAnsi="Arial" w:cs="Arial"/>
          <w:sz w:val="20"/>
          <w:szCs w:val="20"/>
        </w:rPr>
      </w:pPr>
      <w:r w:rsidRPr="009B4389">
        <w:rPr>
          <w:rStyle w:val="FootnoteReference"/>
          <w:rFonts w:ascii="Arial" w:hAnsi="Arial" w:cs="Arial"/>
          <w:sz w:val="20"/>
          <w:szCs w:val="20"/>
        </w:rPr>
        <w:footnoteRef/>
      </w:r>
      <w:r w:rsidRPr="009B4389">
        <w:rPr>
          <w:rFonts w:ascii="Arial" w:hAnsi="Arial" w:cs="Arial"/>
          <w:sz w:val="20"/>
          <w:szCs w:val="20"/>
        </w:rPr>
        <w:t xml:space="preserve"> </w:t>
      </w:r>
      <w:r>
        <w:rPr>
          <w:rFonts w:ascii="Arial" w:hAnsi="Arial" w:cs="Arial"/>
          <w:sz w:val="20"/>
          <w:szCs w:val="20"/>
        </w:rPr>
        <w:tab/>
      </w:r>
      <w:r w:rsidRPr="009B4389">
        <w:rPr>
          <w:rFonts w:ascii="Arial" w:hAnsi="Arial" w:cs="Arial"/>
          <w:sz w:val="20"/>
          <w:szCs w:val="20"/>
        </w:rPr>
        <w:t xml:space="preserve">S 144 of the NCA provides that the NCT may </w:t>
      </w:r>
      <w:r w:rsidRPr="009B4389">
        <w:rPr>
          <w:rFonts w:ascii="Arial" w:hAnsi="Arial" w:cs="Arial"/>
          <w:i/>
          <w:iCs/>
          <w:sz w:val="20"/>
          <w:szCs w:val="20"/>
        </w:rPr>
        <w:t>inter alia</w:t>
      </w:r>
      <w:r w:rsidRPr="009B4389">
        <w:rPr>
          <w:rFonts w:ascii="Arial" w:hAnsi="Arial" w:cs="Arial"/>
          <w:sz w:val="20"/>
          <w:szCs w:val="20"/>
        </w:rPr>
        <w:t xml:space="preserve"> summon any person to appear, question them under oath or affirmation and order them to produce any book, document or other item necessary for purpose of the hearing.</w:t>
      </w:r>
    </w:p>
  </w:footnote>
  <w:footnote w:id="26">
    <w:p w14:paraId="722BDB81" w14:textId="6839DB2A" w:rsidR="00F75764" w:rsidRPr="00F75764" w:rsidRDefault="00F75764" w:rsidP="00F75764">
      <w:pPr>
        <w:pStyle w:val="FootnoteText"/>
        <w:ind w:left="284" w:hanging="284"/>
        <w:jc w:val="both"/>
        <w:rPr>
          <w:rFonts w:ascii="Arial" w:hAnsi="Arial" w:cs="Arial"/>
          <w:b/>
          <w:bCs/>
          <w:sz w:val="20"/>
          <w:szCs w:val="20"/>
        </w:rPr>
      </w:pPr>
      <w:r w:rsidRPr="00F75764">
        <w:rPr>
          <w:rStyle w:val="FootnoteReference"/>
          <w:rFonts w:ascii="Arial" w:hAnsi="Arial" w:cs="Arial"/>
          <w:b/>
          <w:bCs/>
          <w:sz w:val="20"/>
          <w:szCs w:val="20"/>
        </w:rPr>
        <w:footnoteRef/>
      </w:r>
      <w:r w:rsidRPr="00F75764">
        <w:rPr>
          <w:rFonts w:ascii="Arial" w:hAnsi="Arial" w:cs="Arial"/>
          <w:b/>
          <w:bCs/>
          <w:sz w:val="20"/>
          <w:szCs w:val="20"/>
        </w:rPr>
        <w:t xml:space="preserve"> </w:t>
      </w:r>
      <w:r>
        <w:rPr>
          <w:rFonts w:ascii="Arial" w:hAnsi="Arial" w:cs="Arial"/>
          <w:b/>
          <w:bCs/>
          <w:sz w:val="20"/>
          <w:szCs w:val="20"/>
        </w:rPr>
        <w:tab/>
      </w:r>
      <w:r w:rsidRPr="00237AC7">
        <w:rPr>
          <w:rFonts w:ascii="Arial" w:hAnsi="Arial" w:cs="Arial"/>
          <w:i/>
          <w:iCs/>
          <w:sz w:val="20"/>
          <w:szCs w:val="20"/>
        </w:rPr>
        <w:t>McDonald Corporation v Joburgers Drive-Inn Restaurant (Pty) Ltd and Another; McDonald’s Corporation v Dax Prop CC and Another; McDonald’s Corporation v Joburgers Drive-Inn Restaurant (Pty) Ltd and Dax Prop CC</w:t>
      </w:r>
      <w:r w:rsidRPr="00237AC7">
        <w:rPr>
          <w:rFonts w:ascii="Arial" w:hAnsi="Arial" w:cs="Arial"/>
          <w:sz w:val="20"/>
          <w:szCs w:val="20"/>
        </w:rPr>
        <w:t xml:space="preserve"> 1997 (1) SA 1 (A) at </w:t>
      </w:r>
      <w:r w:rsidR="00237AC7">
        <w:rPr>
          <w:rFonts w:ascii="Arial" w:hAnsi="Arial" w:cs="Arial"/>
          <w:sz w:val="20"/>
          <w:szCs w:val="20"/>
        </w:rPr>
        <w:t>27D-E</w:t>
      </w:r>
      <w:r w:rsidRPr="00237AC7">
        <w:rPr>
          <w:rFonts w:ascii="Arial" w:hAnsi="Arial" w:cs="Arial"/>
          <w:sz w:val="20"/>
          <w:szCs w:val="20"/>
        </w:rPr>
        <w:t xml:space="preserve"> in which it was held “</w:t>
      </w:r>
      <w:r w:rsidRPr="00237AC7">
        <w:rPr>
          <w:rFonts w:ascii="Arial" w:hAnsi="Arial" w:cs="Arial"/>
          <w:i/>
          <w:iCs/>
          <w:sz w:val="20"/>
          <w:szCs w:val="20"/>
        </w:rPr>
        <w:t>A decision on the admissibility of evidence is, in general, one of law, not discretion.”</w:t>
      </w:r>
    </w:p>
  </w:footnote>
  <w:footnote w:id="27">
    <w:p w14:paraId="39A29E8A" w14:textId="483F2859" w:rsidR="00BA1E0B" w:rsidRDefault="00BA1E0B" w:rsidP="00EF4DB6">
      <w:pPr>
        <w:pStyle w:val="FootnoteText"/>
        <w:ind w:left="284" w:hanging="284"/>
        <w:jc w:val="both"/>
      </w:pPr>
      <w:r w:rsidRPr="00EF4DB6">
        <w:rPr>
          <w:rStyle w:val="FootnoteReference"/>
          <w:rFonts w:ascii="Arial" w:hAnsi="Arial" w:cs="Arial"/>
          <w:sz w:val="20"/>
          <w:szCs w:val="20"/>
        </w:rPr>
        <w:footnoteRef/>
      </w:r>
      <w:r w:rsidRPr="00EF4DB6">
        <w:rPr>
          <w:rFonts w:ascii="Arial" w:hAnsi="Arial" w:cs="Arial"/>
          <w:sz w:val="20"/>
          <w:szCs w:val="20"/>
        </w:rPr>
        <w:t xml:space="preserve"> </w:t>
      </w:r>
      <w:r w:rsidR="00EF4DB6">
        <w:rPr>
          <w:rFonts w:ascii="Arial" w:hAnsi="Arial" w:cs="Arial"/>
          <w:sz w:val="20"/>
          <w:szCs w:val="20"/>
        </w:rPr>
        <w:tab/>
      </w:r>
      <w:r w:rsidR="00EF4DB6" w:rsidRPr="00EF4DB6">
        <w:rPr>
          <w:rFonts w:ascii="Arial" w:hAnsi="Arial" w:cs="Arial"/>
          <w:i/>
          <w:iCs/>
          <w:sz w:val="20"/>
          <w:szCs w:val="20"/>
        </w:rPr>
        <w:t>Deighton v Financial Sector Conduct Authority and Others</w:t>
      </w:r>
      <w:r w:rsidR="00EF4DB6" w:rsidRPr="00EF4DB6">
        <w:rPr>
          <w:rFonts w:ascii="Arial" w:hAnsi="Arial" w:cs="Arial"/>
          <w:sz w:val="20"/>
          <w:szCs w:val="20"/>
        </w:rPr>
        <w:t xml:space="preserve"> 2022 JDR 2006 (GP) at para</w:t>
      </w:r>
      <w:r w:rsidR="00AC3817">
        <w:rPr>
          <w:rFonts w:ascii="Arial" w:hAnsi="Arial" w:cs="Arial"/>
          <w:sz w:val="20"/>
          <w:szCs w:val="20"/>
        </w:rPr>
        <w:t xml:space="preserve"> 70 referring to </w:t>
      </w:r>
      <w:r w:rsidR="00AC3817" w:rsidRPr="003601B6">
        <w:rPr>
          <w:rFonts w:ascii="Arial" w:hAnsi="Arial" w:cs="Arial"/>
          <w:i/>
          <w:iCs/>
          <w:sz w:val="20"/>
          <w:szCs w:val="20"/>
        </w:rPr>
        <w:t>John v Rees</w:t>
      </w:r>
      <w:r w:rsidR="00AC3817">
        <w:rPr>
          <w:rFonts w:ascii="Arial" w:hAnsi="Arial" w:cs="Arial"/>
          <w:sz w:val="20"/>
          <w:szCs w:val="20"/>
        </w:rPr>
        <w:t xml:space="preserve"> [1970] CH </w:t>
      </w:r>
      <w:r w:rsidR="003601B6">
        <w:rPr>
          <w:rFonts w:ascii="Arial" w:hAnsi="Arial" w:cs="Arial"/>
          <w:sz w:val="20"/>
          <w:szCs w:val="20"/>
        </w:rPr>
        <w:t>345 at 402C-E.</w:t>
      </w:r>
    </w:p>
  </w:footnote>
  <w:footnote w:id="28">
    <w:p w14:paraId="0C4F08D7" w14:textId="242BD3FE" w:rsidR="00A12D6D" w:rsidRPr="00A12D6D" w:rsidRDefault="00A12D6D" w:rsidP="00A12D6D">
      <w:pPr>
        <w:pStyle w:val="FootnoteText"/>
        <w:ind w:left="284" w:hanging="284"/>
        <w:jc w:val="both"/>
        <w:rPr>
          <w:rFonts w:ascii="Arial" w:hAnsi="Arial" w:cs="Arial"/>
          <w:sz w:val="20"/>
          <w:szCs w:val="20"/>
        </w:rPr>
      </w:pPr>
      <w:r w:rsidRPr="00A12D6D">
        <w:rPr>
          <w:rStyle w:val="FootnoteReference"/>
          <w:rFonts w:ascii="Arial" w:hAnsi="Arial" w:cs="Arial"/>
          <w:sz w:val="20"/>
          <w:szCs w:val="20"/>
        </w:rPr>
        <w:footnoteRef/>
      </w:r>
      <w:r w:rsidRPr="00A12D6D">
        <w:rPr>
          <w:rFonts w:ascii="Arial" w:hAnsi="Arial" w:cs="Arial"/>
          <w:sz w:val="20"/>
          <w:szCs w:val="20"/>
        </w:rPr>
        <w:t xml:space="preserve"> </w:t>
      </w:r>
      <w:r>
        <w:rPr>
          <w:rFonts w:ascii="Arial" w:hAnsi="Arial" w:cs="Arial"/>
          <w:sz w:val="20"/>
          <w:szCs w:val="20"/>
        </w:rPr>
        <w:tab/>
      </w:r>
      <w:r w:rsidRPr="00A12D6D">
        <w:rPr>
          <w:rFonts w:ascii="Arial" w:hAnsi="Arial" w:cs="Arial"/>
          <w:i/>
          <w:iCs/>
          <w:sz w:val="20"/>
          <w:szCs w:val="20"/>
        </w:rPr>
        <w:t xml:space="preserve">Ibid </w:t>
      </w:r>
      <w:r w:rsidRPr="00A12D6D">
        <w:rPr>
          <w:rFonts w:ascii="Arial" w:hAnsi="Arial" w:cs="Arial"/>
          <w:sz w:val="20"/>
          <w:szCs w:val="20"/>
        </w:rPr>
        <w:t xml:space="preserve">para 71 – natural justice demands that if there are findings to be made and penalties to be imposed in consequence of reliance on a report, that report must be admissible and the party in respect of whose conduct the report is tendered, must have a fair opportunity to test that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51D">
      <w:rPr>
        <w:rStyle w:val="PageNumber"/>
        <w:noProof/>
      </w:rPr>
      <w:t>1</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580516"/>
    <w:multiLevelType w:val="hybridMultilevel"/>
    <w:tmpl w:val="8A660E32"/>
    <w:lvl w:ilvl="0" w:tplc="46A22B42">
      <w:start w:val="31"/>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0F09"/>
    <w:multiLevelType w:val="multilevel"/>
    <w:tmpl w:val="1DF6BCB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5">
    <w:nsid w:val="0DE96881"/>
    <w:multiLevelType w:val="hybridMultilevel"/>
    <w:tmpl w:val="B3EA917C"/>
    <w:lvl w:ilvl="0" w:tplc="E7402552">
      <w:start w:val="27"/>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32AB6"/>
    <w:multiLevelType w:val="hybridMultilevel"/>
    <w:tmpl w:val="310E42A4"/>
    <w:lvl w:ilvl="0" w:tplc="9F2A904C">
      <w:start w:val="21"/>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91201"/>
    <w:multiLevelType w:val="hybridMultilevel"/>
    <w:tmpl w:val="04602728"/>
    <w:lvl w:ilvl="0" w:tplc="DF986368">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BF27F3"/>
    <w:multiLevelType w:val="hybridMultilevel"/>
    <w:tmpl w:val="B9B85246"/>
    <w:lvl w:ilvl="0" w:tplc="7B1695C8">
      <w:start w:val="1"/>
      <w:numFmt w:val="decimal"/>
      <w:lvlText w:val="[%1]"/>
      <w:lvlJc w:val="left"/>
      <w:pPr>
        <w:ind w:left="720" w:hanging="360"/>
      </w:pPr>
      <w:rPr>
        <w:rFonts w:hint="default"/>
        <w:b w:val="0"/>
        <w:bCs w:val="0"/>
        <w:i w:val="0"/>
        <w:i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nsid w:val="3E6264FA"/>
    <w:multiLevelType w:val="hybridMultilevel"/>
    <w:tmpl w:val="0E9A7026"/>
    <w:lvl w:ilvl="0" w:tplc="25849188">
      <w:start w:val="27"/>
      <w:numFmt w:val="decimal"/>
      <w:lvlText w:val="[%1]"/>
      <w:lvlJc w:val="left"/>
      <w:pPr>
        <w:ind w:left="108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C7FD4"/>
    <w:multiLevelType w:val="hybridMultilevel"/>
    <w:tmpl w:val="91ACF8D4"/>
    <w:lvl w:ilvl="0" w:tplc="1AEE9F6C">
      <w:start w:val="31"/>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74651"/>
    <w:multiLevelType w:val="hybridMultilevel"/>
    <w:tmpl w:val="C6EA955E"/>
    <w:lvl w:ilvl="0" w:tplc="4AF87686">
      <w:start w:val="40"/>
      <w:numFmt w:val="decimal"/>
      <w:lvlText w:val="[%1]"/>
      <w:lvlJc w:val="left"/>
      <w:pPr>
        <w:ind w:left="108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46ECA"/>
    <w:multiLevelType w:val="hybridMultilevel"/>
    <w:tmpl w:val="31ECA2EC"/>
    <w:lvl w:ilvl="0" w:tplc="ADA2C95E">
      <w:start w:val="28"/>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72C4F37"/>
    <w:multiLevelType w:val="hybridMultilevel"/>
    <w:tmpl w:val="DE76F33A"/>
    <w:lvl w:ilvl="0" w:tplc="E47CE974">
      <w:start w:val="35"/>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97E4A"/>
    <w:multiLevelType w:val="hybridMultilevel"/>
    <w:tmpl w:val="6862FFE6"/>
    <w:lvl w:ilvl="0" w:tplc="65EED744">
      <w:start w:val="23"/>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260E6"/>
    <w:multiLevelType w:val="hybridMultilevel"/>
    <w:tmpl w:val="3DAAF1D4"/>
    <w:lvl w:ilvl="0" w:tplc="674E7286">
      <w:start w:val="28"/>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F6369"/>
    <w:multiLevelType w:val="hybridMultilevel"/>
    <w:tmpl w:val="EB4079C0"/>
    <w:lvl w:ilvl="0" w:tplc="AC246E68">
      <w:start w:val="39"/>
      <w:numFmt w:val="decimal"/>
      <w:lvlText w:val="[%1]"/>
      <w:lvlJc w:val="left"/>
      <w:pPr>
        <w:ind w:left="72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0"/>
  </w:num>
  <w:num w:numId="4">
    <w:abstractNumId w:val="1"/>
  </w:num>
  <w:num w:numId="5">
    <w:abstractNumId w:val="8"/>
  </w:num>
  <w:num w:numId="6">
    <w:abstractNumId w:val="20"/>
  </w:num>
  <w:num w:numId="7">
    <w:abstractNumId w:val="26"/>
  </w:num>
  <w:num w:numId="8">
    <w:abstractNumId w:val="25"/>
  </w:num>
  <w:num w:numId="9">
    <w:abstractNumId w:val="7"/>
  </w:num>
  <w:num w:numId="10">
    <w:abstractNumId w:val="9"/>
  </w:num>
  <w:num w:numId="11">
    <w:abstractNumId w:val="14"/>
  </w:num>
  <w:num w:numId="12">
    <w:abstractNumId w:val="4"/>
  </w:num>
  <w:num w:numId="13">
    <w:abstractNumId w:val="12"/>
  </w:num>
  <w:num w:numId="14">
    <w:abstractNumId w:val="2"/>
  </w:num>
  <w:num w:numId="15">
    <w:abstractNumId w:val="13"/>
  </w:num>
  <w:num w:numId="16">
    <w:abstractNumId w:val="10"/>
  </w:num>
  <w:num w:numId="17">
    <w:abstractNumId w:val="22"/>
  </w:num>
  <w:num w:numId="18">
    <w:abstractNumId w:val="18"/>
  </w:num>
  <w:num w:numId="19">
    <w:abstractNumId w:val="16"/>
  </w:num>
  <w:num w:numId="20">
    <w:abstractNumId w:val="3"/>
  </w:num>
  <w:num w:numId="21">
    <w:abstractNumId w:val="21"/>
  </w:num>
  <w:num w:numId="22">
    <w:abstractNumId w:val="24"/>
  </w:num>
  <w:num w:numId="23">
    <w:abstractNumId w:val="6"/>
  </w:num>
  <w:num w:numId="24">
    <w:abstractNumId w:val="15"/>
  </w:num>
  <w:num w:numId="25">
    <w:abstractNumId w:val="17"/>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351F"/>
    <w:rsid w:val="00004A9C"/>
    <w:rsid w:val="000060CB"/>
    <w:rsid w:val="000104B4"/>
    <w:rsid w:val="000218AC"/>
    <w:rsid w:val="0002295E"/>
    <w:rsid w:val="00022E29"/>
    <w:rsid w:val="00030EDB"/>
    <w:rsid w:val="00050078"/>
    <w:rsid w:val="00052547"/>
    <w:rsid w:val="00054D32"/>
    <w:rsid w:val="000578D1"/>
    <w:rsid w:val="00061B93"/>
    <w:rsid w:val="00062CEF"/>
    <w:rsid w:val="0006302B"/>
    <w:rsid w:val="0006746C"/>
    <w:rsid w:val="00070EA4"/>
    <w:rsid w:val="000730BB"/>
    <w:rsid w:val="0008376B"/>
    <w:rsid w:val="0008544C"/>
    <w:rsid w:val="00085E25"/>
    <w:rsid w:val="0008693D"/>
    <w:rsid w:val="000964D1"/>
    <w:rsid w:val="000971DB"/>
    <w:rsid w:val="000A26D7"/>
    <w:rsid w:val="000A5272"/>
    <w:rsid w:val="000B0B55"/>
    <w:rsid w:val="000B4C25"/>
    <w:rsid w:val="000C091F"/>
    <w:rsid w:val="000C1577"/>
    <w:rsid w:val="000C1D16"/>
    <w:rsid w:val="000C4554"/>
    <w:rsid w:val="000D0136"/>
    <w:rsid w:val="000D1B23"/>
    <w:rsid w:val="000E07B1"/>
    <w:rsid w:val="000E5109"/>
    <w:rsid w:val="000E5543"/>
    <w:rsid w:val="000E5FB9"/>
    <w:rsid w:val="000E6633"/>
    <w:rsid w:val="00101D88"/>
    <w:rsid w:val="001021EE"/>
    <w:rsid w:val="00103EC1"/>
    <w:rsid w:val="00114724"/>
    <w:rsid w:val="001168D3"/>
    <w:rsid w:val="00121456"/>
    <w:rsid w:val="0013361F"/>
    <w:rsid w:val="0013492F"/>
    <w:rsid w:val="00135C44"/>
    <w:rsid w:val="00144EA8"/>
    <w:rsid w:val="00151F35"/>
    <w:rsid w:val="00155668"/>
    <w:rsid w:val="00157361"/>
    <w:rsid w:val="0016046F"/>
    <w:rsid w:val="00161F55"/>
    <w:rsid w:val="00163683"/>
    <w:rsid w:val="001721F5"/>
    <w:rsid w:val="0017465D"/>
    <w:rsid w:val="00176941"/>
    <w:rsid w:val="00194AFD"/>
    <w:rsid w:val="00194BAE"/>
    <w:rsid w:val="001A21CD"/>
    <w:rsid w:val="001A7F86"/>
    <w:rsid w:val="001B288A"/>
    <w:rsid w:val="001B487B"/>
    <w:rsid w:val="001D6C62"/>
    <w:rsid w:val="001D6F4F"/>
    <w:rsid w:val="001D7244"/>
    <w:rsid w:val="001E6710"/>
    <w:rsid w:val="001F07DD"/>
    <w:rsid w:val="001F450A"/>
    <w:rsid w:val="001F4AE5"/>
    <w:rsid w:val="002003EF"/>
    <w:rsid w:val="00200DEE"/>
    <w:rsid w:val="00201A93"/>
    <w:rsid w:val="002040D5"/>
    <w:rsid w:val="00205098"/>
    <w:rsid w:val="00207315"/>
    <w:rsid w:val="0020751F"/>
    <w:rsid w:val="0021216F"/>
    <w:rsid w:val="002129F5"/>
    <w:rsid w:val="002139C2"/>
    <w:rsid w:val="00215368"/>
    <w:rsid w:val="002215E5"/>
    <w:rsid w:val="00223245"/>
    <w:rsid w:val="002279E3"/>
    <w:rsid w:val="00232BFD"/>
    <w:rsid w:val="00232EA0"/>
    <w:rsid w:val="002332DE"/>
    <w:rsid w:val="00235638"/>
    <w:rsid w:val="00237AC7"/>
    <w:rsid w:val="00242E76"/>
    <w:rsid w:val="00244901"/>
    <w:rsid w:val="00253A03"/>
    <w:rsid w:val="00254146"/>
    <w:rsid w:val="00255485"/>
    <w:rsid w:val="00264079"/>
    <w:rsid w:val="00265336"/>
    <w:rsid w:val="00267036"/>
    <w:rsid w:val="0027008F"/>
    <w:rsid w:val="0027717B"/>
    <w:rsid w:val="00280528"/>
    <w:rsid w:val="00281CA0"/>
    <w:rsid w:val="00282490"/>
    <w:rsid w:val="00283B34"/>
    <w:rsid w:val="00287E6E"/>
    <w:rsid w:val="002914E5"/>
    <w:rsid w:val="002943BC"/>
    <w:rsid w:val="0029767F"/>
    <w:rsid w:val="002A51AF"/>
    <w:rsid w:val="002A53F8"/>
    <w:rsid w:val="002A6A3F"/>
    <w:rsid w:val="002B0A35"/>
    <w:rsid w:val="002B4437"/>
    <w:rsid w:val="002B69B1"/>
    <w:rsid w:val="002C413A"/>
    <w:rsid w:val="002C4D4E"/>
    <w:rsid w:val="002C6764"/>
    <w:rsid w:val="002C7527"/>
    <w:rsid w:val="002D6A2A"/>
    <w:rsid w:val="002D6BF0"/>
    <w:rsid w:val="002E1F21"/>
    <w:rsid w:val="002E2E35"/>
    <w:rsid w:val="002F5618"/>
    <w:rsid w:val="00307191"/>
    <w:rsid w:val="00313396"/>
    <w:rsid w:val="003155D7"/>
    <w:rsid w:val="00316515"/>
    <w:rsid w:val="00322298"/>
    <w:rsid w:val="00323F5E"/>
    <w:rsid w:val="00333325"/>
    <w:rsid w:val="003348C6"/>
    <w:rsid w:val="00334F20"/>
    <w:rsid w:val="00335D42"/>
    <w:rsid w:val="00340E58"/>
    <w:rsid w:val="00342015"/>
    <w:rsid w:val="003473B8"/>
    <w:rsid w:val="003601B6"/>
    <w:rsid w:val="00360697"/>
    <w:rsid w:val="00363165"/>
    <w:rsid w:val="00364832"/>
    <w:rsid w:val="00371BE5"/>
    <w:rsid w:val="00375DC6"/>
    <w:rsid w:val="003851E9"/>
    <w:rsid w:val="00385391"/>
    <w:rsid w:val="00385FBC"/>
    <w:rsid w:val="003A14B0"/>
    <w:rsid w:val="003A20FB"/>
    <w:rsid w:val="003A3574"/>
    <w:rsid w:val="003A5BC8"/>
    <w:rsid w:val="003B6C23"/>
    <w:rsid w:val="003C415E"/>
    <w:rsid w:val="003C432D"/>
    <w:rsid w:val="003E6BDA"/>
    <w:rsid w:val="003F1F5E"/>
    <w:rsid w:val="003F37AE"/>
    <w:rsid w:val="003F46D7"/>
    <w:rsid w:val="003F542D"/>
    <w:rsid w:val="00402EAE"/>
    <w:rsid w:val="00406F88"/>
    <w:rsid w:val="004075F2"/>
    <w:rsid w:val="00412E0C"/>
    <w:rsid w:val="00413368"/>
    <w:rsid w:val="00413603"/>
    <w:rsid w:val="00413E2B"/>
    <w:rsid w:val="00416EA1"/>
    <w:rsid w:val="00417B99"/>
    <w:rsid w:val="00417BE7"/>
    <w:rsid w:val="0042184A"/>
    <w:rsid w:val="004244D9"/>
    <w:rsid w:val="004247F2"/>
    <w:rsid w:val="00425F53"/>
    <w:rsid w:val="00432B66"/>
    <w:rsid w:val="00440D4B"/>
    <w:rsid w:val="0044117D"/>
    <w:rsid w:val="00442252"/>
    <w:rsid w:val="0044361B"/>
    <w:rsid w:val="00443ADE"/>
    <w:rsid w:val="00444C8B"/>
    <w:rsid w:val="0045149D"/>
    <w:rsid w:val="00452A4C"/>
    <w:rsid w:val="00454072"/>
    <w:rsid w:val="00460F1A"/>
    <w:rsid w:val="00461E12"/>
    <w:rsid w:val="00475569"/>
    <w:rsid w:val="00475A8E"/>
    <w:rsid w:val="0048019C"/>
    <w:rsid w:val="0048191C"/>
    <w:rsid w:val="00482966"/>
    <w:rsid w:val="004854D5"/>
    <w:rsid w:val="0048687A"/>
    <w:rsid w:val="0049074E"/>
    <w:rsid w:val="0049313B"/>
    <w:rsid w:val="004969C5"/>
    <w:rsid w:val="004A30F9"/>
    <w:rsid w:val="004C1B8F"/>
    <w:rsid w:val="004C6A1E"/>
    <w:rsid w:val="004D12FE"/>
    <w:rsid w:val="004D3845"/>
    <w:rsid w:val="004E581A"/>
    <w:rsid w:val="004F0167"/>
    <w:rsid w:val="00500DA0"/>
    <w:rsid w:val="005069D9"/>
    <w:rsid w:val="00514611"/>
    <w:rsid w:val="00515AAA"/>
    <w:rsid w:val="0051651C"/>
    <w:rsid w:val="00534FBD"/>
    <w:rsid w:val="00540198"/>
    <w:rsid w:val="00547AC7"/>
    <w:rsid w:val="00551B4C"/>
    <w:rsid w:val="0055431B"/>
    <w:rsid w:val="00555E40"/>
    <w:rsid w:val="005560EF"/>
    <w:rsid w:val="00556AF3"/>
    <w:rsid w:val="0057074A"/>
    <w:rsid w:val="005720E9"/>
    <w:rsid w:val="00572966"/>
    <w:rsid w:val="00587548"/>
    <w:rsid w:val="00587BF3"/>
    <w:rsid w:val="00595099"/>
    <w:rsid w:val="005952CF"/>
    <w:rsid w:val="005A001B"/>
    <w:rsid w:val="005A2F73"/>
    <w:rsid w:val="005B0DB3"/>
    <w:rsid w:val="005B118D"/>
    <w:rsid w:val="005B6266"/>
    <w:rsid w:val="005B75C1"/>
    <w:rsid w:val="005C17EE"/>
    <w:rsid w:val="005C77B9"/>
    <w:rsid w:val="005D3007"/>
    <w:rsid w:val="005D4790"/>
    <w:rsid w:val="005E2259"/>
    <w:rsid w:val="005E230C"/>
    <w:rsid w:val="005E448E"/>
    <w:rsid w:val="005F063F"/>
    <w:rsid w:val="005F49B3"/>
    <w:rsid w:val="005F5DCC"/>
    <w:rsid w:val="005F653D"/>
    <w:rsid w:val="006036F8"/>
    <w:rsid w:val="006037BA"/>
    <w:rsid w:val="00605316"/>
    <w:rsid w:val="006077A9"/>
    <w:rsid w:val="00613E4D"/>
    <w:rsid w:val="00615A0C"/>
    <w:rsid w:val="006216B4"/>
    <w:rsid w:val="006430C0"/>
    <w:rsid w:val="00644BB3"/>
    <w:rsid w:val="00646138"/>
    <w:rsid w:val="00650745"/>
    <w:rsid w:val="00651B9B"/>
    <w:rsid w:val="00653433"/>
    <w:rsid w:val="00655236"/>
    <w:rsid w:val="006630FB"/>
    <w:rsid w:val="00664432"/>
    <w:rsid w:val="0066502D"/>
    <w:rsid w:val="006665B3"/>
    <w:rsid w:val="006710DC"/>
    <w:rsid w:val="00675035"/>
    <w:rsid w:val="00676987"/>
    <w:rsid w:val="00677920"/>
    <w:rsid w:val="00677BC9"/>
    <w:rsid w:val="00683071"/>
    <w:rsid w:val="00686AFF"/>
    <w:rsid w:val="00687C00"/>
    <w:rsid w:val="0069000A"/>
    <w:rsid w:val="00695533"/>
    <w:rsid w:val="006A1AA8"/>
    <w:rsid w:val="006A37E3"/>
    <w:rsid w:val="006A6AB4"/>
    <w:rsid w:val="006A6DDB"/>
    <w:rsid w:val="006A770C"/>
    <w:rsid w:val="006B0014"/>
    <w:rsid w:val="006B1733"/>
    <w:rsid w:val="006B3D1D"/>
    <w:rsid w:val="006B67ED"/>
    <w:rsid w:val="006C705A"/>
    <w:rsid w:val="006D17FB"/>
    <w:rsid w:val="006E4415"/>
    <w:rsid w:val="006E462C"/>
    <w:rsid w:val="006F2787"/>
    <w:rsid w:val="006F40B5"/>
    <w:rsid w:val="006F7175"/>
    <w:rsid w:val="00707C51"/>
    <w:rsid w:val="00713A5D"/>
    <w:rsid w:val="00720FEF"/>
    <w:rsid w:val="0072221F"/>
    <w:rsid w:val="007240E6"/>
    <w:rsid w:val="0073212D"/>
    <w:rsid w:val="00733746"/>
    <w:rsid w:val="00735EB8"/>
    <w:rsid w:val="00736CDA"/>
    <w:rsid w:val="00737291"/>
    <w:rsid w:val="00740A28"/>
    <w:rsid w:val="00742BAE"/>
    <w:rsid w:val="00750CC1"/>
    <w:rsid w:val="007511CA"/>
    <w:rsid w:val="00751452"/>
    <w:rsid w:val="00753AD4"/>
    <w:rsid w:val="00755484"/>
    <w:rsid w:val="0076233B"/>
    <w:rsid w:val="00763002"/>
    <w:rsid w:val="007679D5"/>
    <w:rsid w:val="00771E0F"/>
    <w:rsid w:val="007728D2"/>
    <w:rsid w:val="007806FC"/>
    <w:rsid w:val="00785866"/>
    <w:rsid w:val="007875AE"/>
    <w:rsid w:val="0078777C"/>
    <w:rsid w:val="007970E1"/>
    <w:rsid w:val="007A288E"/>
    <w:rsid w:val="007A53BB"/>
    <w:rsid w:val="007B2C1E"/>
    <w:rsid w:val="007B46F6"/>
    <w:rsid w:val="007B63CD"/>
    <w:rsid w:val="007C373C"/>
    <w:rsid w:val="007C7D36"/>
    <w:rsid w:val="007D17B5"/>
    <w:rsid w:val="007D24A3"/>
    <w:rsid w:val="007E14BF"/>
    <w:rsid w:val="007E7B98"/>
    <w:rsid w:val="007F0BBF"/>
    <w:rsid w:val="007F7FED"/>
    <w:rsid w:val="0080634A"/>
    <w:rsid w:val="00806DFA"/>
    <w:rsid w:val="00821962"/>
    <w:rsid w:val="00822511"/>
    <w:rsid w:val="0083215B"/>
    <w:rsid w:val="0083710F"/>
    <w:rsid w:val="00837200"/>
    <w:rsid w:val="00840547"/>
    <w:rsid w:val="0084332A"/>
    <w:rsid w:val="008465D6"/>
    <w:rsid w:val="008537D3"/>
    <w:rsid w:val="00854948"/>
    <w:rsid w:val="00860899"/>
    <w:rsid w:val="00866025"/>
    <w:rsid w:val="00880306"/>
    <w:rsid w:val="0088233C"/>
    <w:rsid w:val="00883060"/>
    <w:rsid w:val="00885050"/>
    <w:rsid w:val="00890EE7"/>
    <w:rsid w:val="008A3877"/>
    <w:rsid w:val="008A56EF"/>
    <w:rsid w:val="008B1A58"/>
    <w:rsid w:val="008B1B71"/>
    <w:rsid w:val="008B2182"/>
    <w:rsid w:val="008C18AE"/>
    <w:rsid w:val="008C3603"/>
    <w:rsid w:val="008C45A5"/>
    <w:rsid w:val="008C7BED"/>
    <w:rsid w:val="008D34A8"/>
    <w:rsid w:val="008D4FD5"/>
    <w:rsid w:val="008E4705"/>
    <w:rsid w:val="008E5BBF"/>
    <w:rsid w:val="008E6813"/>
    <w:rsid w:val="008F2EA2"/>
    <w:rsid w:val="009007B6"/>
    <w:rsid w:val="00901159"/>
    <w:rsid w:val="009026AA"/>
    <w:rsid w:val="00911000"/>
    <w:rsid w:val="00911F9D"/>
    <w:rsid w:val="009155B3"/>
    <w:rsid w:val="00916812"/>
    <w:rsid w:val="00916FDE"/>
    <w:rsid w:val="009227A6"/>
    <w:rsid w:val="00923678"/>
    <w:rsid w:val="00926AD9"/>
    <w:rsid w:val="00926CAD"/>
    <w:rsid w:val="00926EAA"/>
    <w:rsid w:val="0093492C"/>
    <w:rsid w:val="0093762E"/>
    <w:rsid w:val="00940B57"/>
    <w:rsid w:val="00941562"/>
    <w:rsid w:val="00944BDE"/>
    <w:rsid w:val="0094618C"/>
    <w:rsid w:val="0095558C"/>
    <w:rsid w:val="0095576C"/>
    <w:rsid w:val="00956003"/>
    <w:rsid w:val="009732B6"/>
    <w:rsid w:val="00974554"/>
    <w:rsid w:val="00976D15"/>
    <w:rsid w:val="00977E1A"/>
    <w:rsid w:val="009838D5"/>
    <w:rsid w:val="00987290"/>
    <w:rsid w:val="00992E2D"/>
    <w:rsid w:val="009950C9"/>
    <w:rsid w:val="009A019C"/>
    <w:rsid w:val="009A269B"/>
    <w:rsid w:val="009A33C1"/>
    <w:rsid w:val="009A79F1"/>
    <w:rsid w:val="009B099B"/>
    <w:rsid w:val="009B2BC9"/>
    <w:rsid w:val="009B36AA"/>
    <w:rsid w:val="009B4389"/>
    <w:rsid w:val="009B4C31"/>
    <w:rsid w:val="009D57DB"/>
    <w:rsid w:val="009E1EF1"/>
    <w:rsid w:val="009F22F0"/>
    <w:rsid w:val="009F43A4"/>
    <w:rsid w:val="009F5E83"/>
    <w:rsid w:val="00A01777"/>
    <w:rsid w:val="00A06E43"/>
    <w:rsid w:val="00A07432"/>
    <w:rsid w:val="00A12932"/>
    <w:rsid w:val="00A12D6D"/>
    <w:rsid w:val="00A13793"/>
    <w:rsid w:val="00A156AE"/>
    <w:rsid w:val="00A15E04"/>
    <w:rsid w:val="00A165EA"/>
    <w:rsid w:val="00A22388"/>
    <w:rsid w:val="00A24B93"/>
    <w:rsid w:val="00A32A6F"/>
    <w:rsid w:val="00A337E6"/>
    <w:rsid w:val="00A3600A"/>
    <w:rsid w:val="00A376C5"/>
    <w:rsid w:val="00A40594"/>
    <w:rsid w:val="00A43F9C"/>
    <w:rsid w:val="00A4634B"/>
    <w:rsid w:val="00A52FDF"/>
    <w:rsid w:val="00A54C36"/>
    <w:rsid w:val="00A56BC1"/>
    <w:rsid w:val="00A57320"/>
    <w:rsid w:val="00A600CF"/>
    <w:rsid w:val="00A62353"/>
    <w:rsid w:val="00A63F51"/>
    <w:rsid w:val="00A75EF4"/>
    <w:rsid w:val="00A77551"/>
    <w:rsid w:val="00A9010C"/>
    <w:rsid w:val="00A901C5"/>
    <w:rsid w:val="00AA663B"/>
    <w:rsid w:val="00AB1510"/>
    <w:rsid w:val="00AB2DE7"/>
    <w:rsid w:val="00AB4CA7"/>
    <w:rsid w:val="00AB636E"/>
    <w:rsid w:val="00AB6798"/>
    <w:rsid w:val="00AC3817"/>
    <w:rsid w:val="00AD49F8"/>
    <w:rsid w:val="00AE063C"/>
    <w:rsid w:val="00AE1E5D"/>
    <w:rsid w:val="00AE3EC4"/>
    <w:rsid w:val="00AE4E9C"/>
    <w:rsid w:val="00AF1688"/>
    <w:rsid w:val="00AF3194"/>
    <w:rsid w:val="00AF3FEF"/>
    <w:rsid w:val="00B11DEB"/>
    <w:rsid w:val="00B120C9"/>
    <w:rsid w:val="00B20170"/>
    <w:rsid w:val="00B21489"/>
    <w:rsid w:val="00B22495"/>
    <w:rsid w:val="00B224DB"/>
    <w:rsid w:val="00B244B7"/>
    <w:rsid w:val="00B247C0"/>
    <w:rsid w:val="00B3097A"/>
    <w:rsid w:val="00B3106B"/>
    <w:rsid w:val="00B404D0"/>
    <w:rsid w:val="00B44F10"/>
    <w:rsid w:val="00B50E11"/>
    <w:rsid w:val="00B53BC1"/>
    <w:rsid w:val="00B64D36"/>
    <w:rsid w:val="00B70181"/>
    <w:rsid w:val="00B73443"/>
    <w:rsid w:val="00B76C82"/>
    <w:rsid w:val="00B8347D"/>
    <w:rsid w:val="00B862D2"/>
    <w:rsid w:val="00B908DF"/>
    <w:rsid w:val="00B92A41"/>
    <w:rsid w:val="00B9551D"/>
    <w:rsid w:val="00B95693"/>
    <w:rsid w:val="00B95E84"/>
    <w:rsid w:val="00B970F6"/>
    <w:rsid w:val="00BA1E0B"/>
    <w:rsid w:val="00BA1F62"/>
    <w:rsid w:val="00BB2121"/>
    <w:rsid w:val="00BB3F9A"/>
    <w:rsid w:val="00BC18C7"/>
    <w:rsid w:val="00BC22F4"/>
    <w:rsid w:val="00BD2454"/>
    <w:rsid w:val="00BD2FA1"/>
    <w:rsid w:val="00BD44E9"/>
    <w:rsid w:val="00BE7BD5"/>
    <w:rsid w:val="00BF09B4"/>
    <w:rsid w:val="00BF7831"/>
    <w:rsid w:val="00C04C43"/>
    <w:rsid w:val="00C11D38"/>
    <w:rsid w:val="00C2270A"/>
    <w:rsid w:val="00C33AAD"/>
    <w:rsid w:val="00C35F5B"/>
    <w:rsid w:val="00C4185B"/>
    <w:rsid w:val="00C41E7E"/>
    <w:rsid w:val="00C45291"/>
    <w:rsid w:val="00C46111"/>
    <w:rsid w:val="00C519B2"/>
    <w:rsid w:val="00C52737"/>
    <w:rsid w:val="00C53B19"/>
    <w:rsid w:val="00C5727B"/>
    <w:rsid w:val="00C63FFA"/>
    <w:rsid w:val="00C64B6A"/>
    <w:rsid w:val="00C72A6C"/>
    <w:rsid w:val="00C7361A"/>
    <w:rsid w:val="00C7460D"/>
    <w:rsid w:val="00C7551D"/>
    <w:rsid w:val="00C8430A"/>
    <w:rsid w:val="00C9262D"/>
    <w:rsid w:val="00CA1D6E"/>
    <w:rsid w:val="00CA4DB0"/>
    <w:rsid w:val="00CA6C2A"/>
    <w:rsid w:val="00CB2381"/>
    <w:rsid w:val="00CB2439"/>
    <w:rsid w:val="00CB6F8A"/>
    <w:rsid w:val="00CC3AB3"/>
    <w:rsid w:val="00CD1BDD"/>
    <w:rsid w:val="00CD594E"/>
    <w:rsid w:val="00CE09E5"/>
    <w:rsid w:val="00CE0CC7"/>
    <w:rsid w:val="00CE30E0"/>
    <w:rsid w:val="00CE3BED"/>
    <w:rsid w:val="00CF05BE"/>
    <w:rsid w:val="00CF13EE"/>
    <w:rsid w:val="00CF7D86"/>
    <w:rsid w:val="00CF7D99"/>
    <w:rsid w:val="00D00B2E"/>
    <w:rsid w:val="00D026E5"/>
    <w:rsid w:val="00D0642F"/>
    <w:rsid w:val="00D1542D"/>
    <w:rsid w:val="00D16320"/>
    <w:rsid w:val="00D17D06"/>
    <w:rsid w:val="00D2145B"/>
    <w:rsid w:val="00D23AB6"/>
    <w:rsid w:val="00D2698D"/>
    <w:rsid w:val="00D31928"/>
    <w:rsid w:val="00D344C1"/>
    <w:rsid w:val="00D42B06"/>
    <w:rsid w:val="00D42F3D"/>
    <w:rsid w:val="00D456A0"/>
    <w:rsid w:val="00D523A1"/>
    <w:rsid w:val="00D526DF"/>
    <w:rsid w:val="00D5604E"/>
    <w:rsid w:val="00D61362"/>
    <w:rsid w:val="00D77C76"/>
    <w:rsid w:val="00D91BA3"/>
    <w:rsid w:val="00DA44A9"/>
    <w:rsid w:val="00DA7A8D"/>
    <w:rsid w:val="00DB19FF"/>
    <w:rsid w:val="00DB59F0"/>
    <w:rsid w:val="00DC0738"/>
    <w:rsid w:val="00DD0D2F"/>
    <w:rsid w:val="00DD4D3D"/>
    <w:rsid w:val="00DE0282"/>
    <w:rsid w:val="00DE1587"/>
    <w:rsid w:val="00DE19C3"/>
    <w:rsid w:val="00DE39D7"/>
    <w:rsid w:val="00DF0D64"/>
    <w:rsid w:val="00DF1032"/>
    <w:rsid w:val="00DF4D83"/>
    <w:rsid w:val="00E01835"/>
    <w:rsid w:val="00E02EAF"/>
    <w:rsid w:val="00E03204"/>
    <w:rsid w:val="00E03B46"/>
    <w:rsid w:val="00E067A2"/>
    <w:rsid w:val="00E077DF"/>
    <w:rsid w:val="00E07A72"/>
    <w:rsid w:val="00E15BCC"/>
    <w:rsid w:val="00E212CD"/>
    <w:rsid w:val="00E3052B"/>
    <w:rsid w:val="00E31629"/>
    <w:rsid w:val="00E43F8E"/>
    <w:rsid w:val="00E45186"/>
    <w:rsid w:val="00E50554"/>
    <w:rsid w:val="00E507F0"/>
    <w:rsid w:val="00E51144"/>
    <w:rsid w:val="00E55848"/>
    <w:rsid w:val="00E63A74"/>
    <w:rsid w:val="00E63F2E"/>
    <w:rsid w:val="00E65FD4"/>
    <w:rsid w:val="00E7210A"/>
    <w:rsid w:val="00E72A79"/>
    <w:rsid w:val="00E740E4"/>
    <w:rsid w:val="00E74C48"/>
    <w:rsid w:val="00E802B6"/>
    <w:rsid w:val="00E82E00"/>
    <w:rsid w:val="00E8500B"/>
    <w:rsid w:val="00E864D5"/>
    <w:rsid w:val="00E8695C"/>
    <w:rsid w:val="00E86AD4"/>
    <w:rsid w:val="00E904E4"/>
    <w:rsid w:val="00E932B5"/>
    <w:rsid w:val="00E94C86"/>
    <w:rsid w:val="00E95904"/>
    <w:rsid w:val="00E972D3"/>
    <w:rsid w:val="00EA52D1"/>
    <w:rsid w:val="00EA6E02"/>
    <w:rsid w:val="00EB239A"/>
    <w:rsid w:val="00EB6D92"/>
    <w:rsid w:val="00EC45C4"/>
    <w:rsid w:val="00EC7C52"/>
    <w:rsid w:val="00ED011F"/>
    <w:rsid w:val="00ED23AA"/>
    <w:rsid w:val="00ED27BE"/>
    <w:rsid w:val="00ED58E4"/>
    <w:rsid w:val="00ED59AC"/>
    <w:rsid w:val="00ED68B8"/>
    <w:rsid w:val="00EE0738"/>
    <w:rsid w:val="00EE0DBB"/>
    <w:rsid w:val="00EE2150"/>
    <w:rsid w:val="00EE7699"/>
    <w:rsid w:val="00EE7C9E"/>
    <w:rsid w:val="00EF0C48"/>
    <w:rsid w:val="00EF46E6"/>
    <w:rsid w:val="00EF4DB6"/>
    <w:rsid w:val="00EF5F44"/>
    <w:rsid w:val="00EF626F"/>
    <w:rsid w:val="00F00B18"/>
    <w:rsid w:val="00F10717"/>
    <w:rsid w:val="00F12440"/>
    <w:rsid w:val="00F142DB"/>
    <w:rsid w:val="00F15870"/>
    <w:rsid w:val="00F16056"/>
    <w:rsid w:val="00F21520"/>
    <w:rsid w:val="00F21A5F"/>
    <w:rsid w:val="00F25D67"/>
    <w:rsid w:val="00F26354"/>
    <w:rsid w:val="00F26C67"/>
    <w:rsid w:val="00F3578B"/>
    <w:rsid w:val="00F43A15"/>
    <w:rsid w:val="00F43C52"/>
    <w:rsid w:val="00F44185"/>
    <w:rsid w:val="00F46ECA"/>
    <w:rsid w:val="00F471C4"/>
    <w:rsid w:val="00F53553"/>
    <w:rsid w:val="00F5420B"/>
    <w:rsid w:val="00F55C5C"/>
    <w:rsid w:val="00F55C9B"/>
    <w:rsid w:val="00F5607D"/>
    <w:rsid w:val="00F56324"/>
    <w:rsid w:val="00F57032"/>
    <w:rsid w:val="00F63187"/>
    <w:rsid w:val="00F67271"/>
    <w:rsid w:val="00F71C68"/>
    <w:rsid w:val="00F75764"/>
    <w:rsid w:val="00F83944"/>
    <w:rsid w:val="00F85632"/>
    <w:rsid w:val="00F87163"/>
    <w:rsid w:val="00F90936"/>
    <w:rsid w:val="00F93BA4"/>
    <w:rsid w:val="00F95B0D"/>
    <w:rsid w:val="00F96145"/>
    <w:rsid w:val="00F97696"/>
    <w:rsid w:val="00F97E13"/>
    <w:rsid w:val="00FA290A"/>
    <w:rsid w:val="00FA335F"/>
    <w:rsid w:val="00FB2F67"/>
    <w:rsid w:val="00FB3ABD"/>
    <w:rsid w:val="00FC01F2"/>
    <w:rsid w:val="00FC0385"/>
    <w:rsid w:val="00FC76E7"/>
    <w:rsid w:val="00FD07EE"/>
    <w:rsid w:val="00FD0FD2"/>
    <w:rsid w:val="00FD36CE"/>
    <w:rsid w:val="00FD48A0"/>
    <w:rsid w:val="00FE07D3"/>
    <w:rsid w:val="00FE2219"/>
    <w:rsid w:val="00FE4277"/>
    <w:rsid w:val="00FE53D2"/>
    <w:rsid w:val="00FF07BC"/>
    <w:rsid w:val="00FF1218"/>
    <w:rsid w:val="00FF1ACB"/>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 w:type="paragraph" w:styleId="Revision">
    <w:name w:val="Revision"/>
    <w:hidden/>
    <w:uiPriority w:val="99"/>
    <w:semiHidden/>
    <w:rsid w:val="0068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A32CE7-C75E-489A-8029-A054B4FF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2</cp:revision>
  <cp:lastPrinted>2023-09-19T05:38:00Z</cp:lastPrinted>
  <dcterms:created xsi:type="dcterms:W3CDTF">2023-10-03T09:37:00Z</dcterms:created>
  <dcterms:modified xsi:type="dcterms:W3CDTF">2023-10-03T09:37:00Z</dcterms:modified>
</cp:coreProperties>
</file>